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83FE53" w14:textId="0956E5B9" w:rsidR="004B35F0" w:rsidRDefault="004B35F0" w:rsidP="000B599F">
      <w:pPr>
        <w:ind w:firstLine="720"/>
        <w:jc w:val="both"/>
        <w:rPr>
          <w:rFonts w:ascii="Abadi" w:hAnsi="Abadi"/>
          <w:color w:val="FFFFFF" w:themeColor="background1"/>
          <w:sz w:val="22"/>
          <w:szCs w:val="22"/>
          <w14:textFill>
            <w14:noFill/>
          </w14:textFill>
        </w:rPr>
      </w:pPr>
      <w:bookmarkStart w:id="0" w:name="_Hlk108639732"/>
      <w:bookmarkEnd w:id="0"/>
    </w:p>
    <w:p w14:paraId="65B79B5C" w14:textId="77777777" w:rsidR="00361B4E" w:rsidRPr="00FA1003" w:rsidRDefault="00361B4E" w:rsidP="00332634">
      <w:pPr>
        <w:ind w:left="284" w:firstLine="720"/>
        <w:jc w:val="both"/>
        <w:rPr>
          <w:rFonts w:ascii="Abadi" w:hAnsi="Abadi"/>
          <w:color w:val="FFFFFF" w:themeColor="background1"/>
          <w:sz w:val="22"/>
          <w:szCs w:val="22"/>
          <w14:textFill>
            <w14:noFill/>
          </w14:textFill>
        </w:rPr>
      </w:pPr>
    </w:p>
    <w:p w14:paraId="59C0928A" w14:textId="66816774" w:rsidR="002463F1" w:rsidRPr="0056537E" w:rsidRDefault="00C402B4" w:rsidP="00BB6CF0">
      <w:pPr>
        <w:ind w:left="720"/>
        <w:jc w:val="both"/>
        <w:rPr>
          <w:rFonts w:ascii="Abadi" w:hAnsi="Abadi"/>
          <w:b/>
          <w:sz w:val="22"/>
          <w:szCs w:val="22"/>
        </w:rPr>
        <w:sectPr w:rsidR="002463F1" w:rsidRPr="0056537E" w:rsidSect="00616111">
          <w:headerReference w:type="even" r:id="rId11"/>
          <w:headerReference w:type="default" r:id="rId12"/>
          <w:footerReference w:type="even" r:id="rId13"/>
          <w:footerReference w:type="default" r:id="rId14"/>
          <w:headerReference w:type="first" r:id="rId15"/>
          <w:footerReference w:type="first" r:id="rId16"/>
          <w:footnotePr>
            <w:pos w:val="beneathText"/>
            <w:numStart w:val="2"/>
          </w:footnotePr>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r>
        <w:rPr>
          <w:rFonts w:ascii="Abadi" w:hAnsi="Abadi"/>
          <w:b/>
          <w:sz w:val="22"/>
          <w:szCs w:val="22"/>
        </w:rPr>
        <w:tab/>
      </w:r>
      <w:r>
        <w:rPr>
          <w:rFonts w:ascii="Abadi" w:hAnsi="Abadi"/>
          <w:b/>
          <w:sz w:val="22"/>
          <w:szCs w:val="22"/>
        </w:rPr>
        <w:tab/>
      </w:r>
      <w:r>
        <w:rPr>
          <w:rFonts w:ascii="Abadi" w:hAnsi="Abadi"/>
          <w:b/>
          <w:sz w:val="22"/>
          <w:szCs w:val="22"/>
        </w:rPr>
        <w:tab/>
      </w:r>
    </w:p>
    <w:p w14:paraId="4BC2908C" w14:textId="555C1073" w:rsidR="0024733C" w:rsidRPr="0066249B" w:rsidRDefault="00B67E56" w:rsidP="0024733C">
      <w:pPr>
        <w:ind w:firstLine="709"/>
        <w:jc w:val="both"/>
        <w:rPr>
          <w:rFonts w:ascii="Abadi" w:hAnsi="Abadi"/>
          <w:b/>
          <w:sz w:val="21"/>
          <w:szCs w:val="21"/>
        </w:rPr>
      </w:pPr>
      <w:r w:rsidRPr="0066249B">
        <w:rPr>
          <w:rFonts w:ascii="Abadi" w:hAnsi="Abadi"/>
          <w:b/>
          <w:sz w:val="21"/>
          <w:szCs w:val="21"/>
        </w:rPr>
        <w:t xml:space="preserve">PODER LEGISLATIVO. SEXAGÉSIMA </w:t>
      </w:r>
      <w:r w:rsidR="00615EB6">
        <w:rPr>
          <w:rFonts w:ascii="Abadi" w:hAnsi="Abadi"/>
          <w:b/>
          <w:sz w:val="21"/>
          <w:szCs w:val="21"/>
        </w:rPr>
        <w:t>QUINTA</w:t>
      </w:r>
      <w:r w:rsidRPr="0066249B">
        <w:rPr>
          <w:rFonts w:ascii="Abadi" w:hAnsi="Abadi"/>
          <w:b/>
          <w:sz w:val="21"/>
          <w:szCs w:val="21"/>
        </w:rPr>
        <w:t xml:space="preserve"> LEGISLATURA DEL CONGRESO DEL ESTADO DE GUANAJUATO. </w:t>
      </w:r>
      <w:r w:rsidR="00EB55CD">
        <w:rPr>
          <w:rFonts w:ascii="Abadi" w:hAnsi="Abadi"/>
          <w:b/>
          <w:sz w:val="21"/>
          <w:szCs w:val="21"/>
        </w:rPr>
        <w:t>SESIÓN ORDINARIA</w:t>
      </w:r>
      <w:r w:rsidRPr="0066249B">
        <w:rPr>
          <w:rFonts w:ascii="Abadi" w:hAnsi="Abadi"/>
          <w:b/>
          <w:sz w:val="21"/>
          <w:szCs w:val="21"/>
        </w:rPr>
        <w:t xml:space="preserve">. PRIMER AÑO DE EJERCICIO CONSTITUCIONAL. </w:t>
      </w:r>
      <w:r w:rsidR="000A0B61">
        <w:rPr>
          <w:rFonts w:ascii="Abadi" w:hAnsi="Abadi"/>
          <w:b/>
          <w:sz w:val="21"/>
          <w:szCs w:val="21"/>
        </w:rPr>
        <w:t>SEGUNDO PERIODO</w:t>
      </w:r>
      <w:r w:rsidRPr="0066249B">
        <w:rPr>
          <w:rFonts w:ascii="Abadi" w:hAnsi="Abadi"/>
          <w:b/>
          <w:sz w:val="21"/>
          <w:szCs w:val="21"/>
        </w:rPr>
        <w:t>.</w:t>
      </w:r>
      <w:r w:rsidR="003F20EB">
        <w:rPr>
          <w:rFonts w:ascii="Abadi" w:hAnsi="Abadi"/>
          <w:b/>
          <w:sz w:val="21"/>
          <w:szCs w:val="21"/>
        </w:rPr>
        <w:t xml:space="preserve"> </w:t>
      </w:r>
      <w:r w:rsidR="008836DA">
        <w:rPr>
          <w:rFonts w:ascii="Abadi" w:hAnsi="Abadi"/>
          <w:b/>
          <w:sz w:val="21"/>
          <w:szCs w:val="21"/>
        </w:rPr>
        <w:t xml:space="preserve">PRESIDENCIA DE LA DIPUTADA IRMA LETICIA </w:t>
      </w:r>
      <w:r w:rsidR="00E11DA1">
        <w:rPr>
          <w:rFonts w:ascii="Abadi" w:hAnsi="Abadi"/>
          <w:b/>
          <w:sz w:val="21"/>
          <w:szCs w:val="21"/>
        </w:rPr>
        <w:t>GONZALÉZ SÁNCHEZ.</w:t>
      </w:r>
      <w:r w:rsidR="00DB6DE2">
        <w:rPr>
          <w:rFonts w:ascii="Abadi" w:hAnsi="Abadi"/>
          <w:b/>
          <w:sz w:val="21"/>
          <w:szCs w:val="21"/>
        </w:rPr>
        <w:t xml:space="preserve"> </w:t>
      </w:r>
      <w:r w:rsidR="003F20EB">
        <w:rPr>
          <w:rFonts w:ascii="Abadi" w:hAnsi="Abadi"/>
          <w:b/>
          <w:sz w:val="21"/>
          <w:szCs w:val="21"/>
        </w:rPr>
        <w:t xml:space="preserve"> </w:t>
      </w:r>
      <w:r w:rsidR="00732C07">
        <w:rPr>
          <w:rFonts w:ascii="Abadi" w:hAnsi="Abadi"/>
          <w:b/>
          <w:sz w:val="21"/>
          <w:szCs w:val="21"/>
        </w:rPr>
        <w:t>1</w:t>
      </w:r>
      <w:r w:rsidR="00682A47">
        <w:rPr>
          <w:rFonts w:ascii="Abadi" w:hAnsi="Abadi"/>
          <w:b/>
          <w:sz w:val="21"/>
          <w:szCs w:val="21"/>
        </w:rPr>
        <w:t>9</w:t>
      </w:r>
      <w:r w:rsidR="00406BF5">
        <w:rPr>
          <w:rFonts w:ascii="Abadi" w:hAnsi="Abadi"/>
          <w:b/>
          <w:sz w:val="21"/>
          <w:szCs w:val="21"/>
        </w:rPr>
        <w:t xml:space="preserve"> </w:t>
      </w:r>
      <w:r w:rsidR="00736CD3">
        <w:rPr>
          <w:rFonts w:ascii="Abadi" w:hAnsi="Abadi"/>
          <w:b/>
          <w:sz w:val="21"/>
          <w:szCs w:val="21"/>
        </w:rPr>
        <w:t xml:space="preserve">DE </w:t>
      </w:r>
      <w:r w:rsidR="00732C07">
        <w:rPr>
          <w:rFonts w:ascii="Abadi" w:hAnsi="Abadi"/>
          <w:b/>
          <w:sz w:val="21"/>
          <w:szCs w:val="21"/>
        </w:rPr>
        <w:t xml:space="preserve">MAYO </w:t>
      </w:r>
      <w:r w:rsidR="0024726D">
        <w:rPr>
          <w:rFonts w:ascii="Abadi" w:hAnsi="Abadi"/>
          <w:b/>
          <w:sz w:val="21"/>
          <w:szCs w:val="21"/>
        </w:rPr>
        <w:t>D</w:t>
      </w:r>
      <w:r w:rsidR="00736CD3">
        <w:rPr>
          <w:rFonts w:ascii="Abadi" w:hAnsi="Abadi"/>
          <w:b/>
          <w:sz w:val="21"/>
          <w:szCs w:val="21"/>
        </w:rPr>
        <w:t>E 202</w:t>
      </w:r>
      <w:r w:rsidR="003F20EB">
        <w:rPr>
          <w:rFonts w:ascii="Abadi" w:hAnsi="Abadi"/>
          <w:b/>
          <w:sz w:val="21"/>
          <w:szCs w:val="21"/>
        </w:rPr>
        <w:t>2</w:t>
      </w:r>
      <w:r w:rsidR="00BE665D">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80AE5">
        <w:rPr>
          <w:rFonts w:ascii="Abadi" w:hAnsi="Abadi"/>
          <w:b/>
          <w:sz w:val="21"/>
          <w:szCs w:val="21"/>
        </w:rPr>
        <w:t>1</w:t>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7D621A7C" w:rsidR="0024733C" w:rsidRDefault="0024733C" w:rsidP="0024733C">
      <w:pPr>
        <w:jc w:val="center"/>
        <w:rPr>
          <w:rFonts w:ascii="Abadi" w:hAnsi="Abadi"/>
          <w:b/>
          <w:sz w:val="21"/>
          <w:szCs w:val="21"/>
        </w:rPr>
      </w:pPr>
      <w:r w:rsidRPr="0066249B">
        <w:rPr>
          <w:rFonts w:ascii="Abadi" w:hAnsi="Abadi"/>
          <w:b/>
          <w:sz w:val="21"/>
          <w:szCs w:val="21"/>
        </w:rPr>
        <w:t>SUMARIO</w:t>
      </w:r>
    </w:p>
    <w:p w14:paraId="379F0214" w14:textId="77777777" w:rsidR="005739F3" w:rsidRDefault="005739F3" w:rsidP="0024733C">
      <w:pPr>
        <w:jc w:val="center"/>
        <w:rPr>
          <w:rFonts w:ascii="Abadi" w:hAnsi="Abadi"/>
          <w:b/>
          <w:sz w:val="21"/>
          <w:szCs w:val="21"/>
        </w:rPr>
      </w:pPr>
    </w:p>
    <w:p w14:paraId="56C29863" w14:textId="1D7426E4" w:rsidR="00332634" w:rsidRDefault="00332634" w:rsidP="00343CA9">
      <w:pPr>
        <w:pStyle w:val="Prrafodelista"/>
        <w:numPr>
          <w:ilvl w:val="0"/>
          <w:numId w:val="11"/>
        </w:numPr>
        <w:autoSpaceDE w:val="0"/>
        <w:autoSpaceDN w:val="0"/>
        <w:adjustRightInd w:val="0"/>
        <w:ind w:left="851" w:right="566" w:hanging="436"/>
        <w:contextualSpacing/>
        <w:jc w:val="both"/>
        <w:rPr>
          <w:rFonts w:ascii="Abadi" w:hAnsi="Abadi" w:cs="ArialMT"/>
          <w:b/>
          <w:bCs/>
          <w:sz w:val="21"/>
          <w:szCs w:val="21"/>
        </w:rPr>
      </w:pPr>
      <w:r w:rsidRPr="003225C2">
        <w:rPr>
          <w:rFonts w:ascii="Abadi" w:hAnsi="Abadi" w:cs="ArialMT"/>
          <w:b/>
          <w:bCs/>
          <w:sz w:val="21"/>
          <w:szCs w:val="21"/>
        </w:rPr>
        <w:t>Lectura y, en su caso, aprobación del orden del día.</w:t>
      </w:r>
    </w:p>
    <w:p w14:paraId="0F9F888B" w14:textId="514FDE78" w:rsidR="000646AE" w:rsidRPr="000646AE" w:rsidRDefault="000646AE" w:rsidP="0049698C">
      <w:pPr>
        <w:ind w:left="3220" w:right="-284"/>
        <w:rPr>
          <w:rFonts w:ascii="Abadi" w:hAnsi="Abadi"/>
          <w:b/>
          <w:bCs/>
          <w:sz w:val="18"/>
          <w:szCs w:val="18"/>
        </w:rPr>
      </w:pPr>
      <w:r w:rsidRPr="000646AE">
        <w:rPr>
          <w:rFonts w:ascii="Abadi" w:hAnsi="Abadi"/>
          <w:b/>
          <w:bCs/>
          <w:sz w:val="18"/>
          <w:szCs w:val="18"/>
        </w:rPr>
        <w:t xml:space="preserve">Pág. </w:t>
      </w:r>
      <w:r w:rsidR="00BD29A3">
        <w:rPr>
          <w:rFonts w:ascii="Abadi" w:hAnsi="Abadi"/>
          <w:b/>
          <w:bCs/>
          <w:sz w:val="18"/>
          <w:szCs w:val="18"/>
        </w:rPr>
        <w:t xml:space="preserve"> </w:t>
      </w:r>
      <w:r w:rsidR="00D228BB">
        <w:rPr>
          <w:rFonts w:ascii="Abadi" w:hAnsi="Abadi"/>
          <w:b/>
          <w:bCs/>
          <w:sz w:val="18"/>
          <w:szCs w:val="18"/>
        </w:rPr>
        <w:t>11</w:t>
      </w:r>
    </w:p>
    <w:p w14:paraId="0C04A8DC" w14:textId="77777777" w:rsidR="000646AE" w:rsidRPr="000646AE" w:rsidRDefault="000646AE" w:rsidP="000646AE">
      <w:pPr>
        <w:autoSpaceDE w:val="0"/>
        <w:autoSpaceDN w:val="0"/>
        <w:adjustRightInd w:val="0"/>
        <w:ind w:right="566"/>
        <w:contextualSpacing/>
        <w:jc w:val="both"/>
        <w:rPr>
          <w:rFonts w:ascii="Abadi" w:hAnsi="Abadi" w:cs="ArialMT"/>
          <w:b/>
          <w:bCs/>
          <w:sz w:val="21"/>
          <w:szCs w:val="21"/>
        </w:rPr>
      </w:pPr>
    </w:p>
    <w:p w14:paraId="33468BF0" w14:textId="2800BE8B" w:rsidR="00A077A4" w:rsidRPr="00A077A4" w:rsidRDefault="00A077A4" w:rsidP="00A077A4">
      <w:pPr>
        <w:autoSpaceDE w:val="0"/>
        <w:autoSpaceDN w:val="0"/>
        <w:adjustRightInd w:val="0"/>
        <w:ind w:right="566"/>
        <w:contextualSpacing/>
        <w:jc w:val="both"/>
        <w:rPr>
          <w:rFonts w:ascii="Abadi" w:hAnsi="Abadi" w:cs="ArialMT"/>
          <w:b/>
          <w:bCs/>
          <w:sz w:val="21"/>
          <w:szCs w:val="21"/>
        </w:rPr>
      </w:pPr>
    </w:p>
    <w:p w14:paraId="025D033B" w14:textId="77777777" w:rsidR="00332634" w:rsidRPr="003225C2" w:rsidRDefault="00332634" w:rsidP="00332634">
      <w:pPr>
        <w:autoSpaceDE w:val="0"/>
        <w:autoSpaceDN w:val="0"/>
        <w:adjustRightInd w:val="0"/>
        <w:ind w:left="851" w:right="566" w:hanging="436"/>
        <w:jc w:val="both"/>
        <w:rPr>
          <w:rFonts w:ascii="Abadi" w:hAnsi="Abadi" w:cs="ArialMT"/>
          <w:b/>
          <w:bCs/>
          <w:sz w:val="21"/>
          <w:szCs w:val="21"/>
        </w:rPr>
      </w:pPr>
    </w:p>
    <w:p w14:paraId="4551AC2D" w14:textId="579333A8" w:rsidR="00332634" w:rsidRDefault="00332634" w:rsidP="00343CA9">
      <w:pPr>
        <w:pStyle w:val="Prrafodelista"/>
        <w:numPr>
          <w:ilvl w:val="0"/>
          <w:numId w:val="11"/>
        </w:numPr>
        <w:autoSpaceDE w:val="0"/>
        <w:autoSpaceDN w:val="0"/>
        <w:adjustRightInd w:val="0"/>
        <w:ind w:left="851" w:right="566" w:hanging="436"/>
        <w:contextualSpacing/>
        <w:jc w:val="both"/>
        <w:rPr>
          <w:rFonts w:ascii="Abadi" w:hAnsi="Abadi" w:cs="ArialMT"/>
          <w:b/>
          <w:bCs/>
          <w:sz w:val="21"/>
          <w:szCs w:val="21"/>
        </w:rPr>
      </w:pPr>
      <w:r w:rsidRPr="003225C2">
        <w:rPr>
          <w:rFonts w:ascii="Abadi" w:hAnsi="Abadi" w:cs="ArialMT"/>
          <w:b/>
          <w:bCs/>
          <w:sz w:val="21"/>
          <w:szCs w:val="21"/>
        </w:rPr>
        <w:t>Lectura y, en su caso, aprobación del acta de la sesión ordinaria celebrada el 12 de mayo del año en curso.</w:t>
      </w:r>
    </w:p>
    <w:p w14:paraId="2F0A44DD" w14:textId="7C6CE1C2" w:rsidR="000646AE" w:rsidRPr="000646AE" w:rsidRDefault="000646AE" w:rsidP="00D12709">
      <w:pPr>
        <w:ind w:left="3220" w:right="-284"/>
        <w:rPr>
          <w:rFonts w:ascii="Abadi" w:hAnsi="Abadi"/>
          <w:b/>
          <w:bCs/>
          <w:sz w:val="18"/>
          <w:szCs w:val="18"/>
        </w:rPr>
      </w:pPr>
      <w:r w:rsidRPr="000646AE">
        <w:rPr>
          <w:rFonts w:ascii="Abadi" w:hAnsi="Abadi"/>
          <w:b/>
          <w:bCs/>
          <w:sz w:val="18"/>
          <w:szCs w:val="18"/>
        </w:rPr>
        <w:t xml:space="preserve">Pág. </w:t>
      </w:r>
      <w:r w:rsidR="00D12709">
        <w:rPr>
          <w:rFonts w:ascii="Abadi" w:hAnsi="Abadi"/>
          <w:b/>
          <w:bCs/>
          <w:sz w:val="18"/>
          <w:szCs w:val="18"/>
        </w:rPr>
        <w:t>1</w:t>
      </w:r>
      <w:r w:rsidR="00D228BB">
        <w:rPr>
          <w:rFonts w:ascii="Abadi" w:hAnsi="Abadi"/>
          <w:b/>
          <w:bCs/>
          <w:sz w:val="18"/>
          <w:szCs w:val="18"/>
        </w:rPr>
        <w:t>6</w:t>
      </w:r>
    </w:p>
    <w:p w14:paraId="7FC160C5" w14:textId="77777777" w:rsidR="000646AE" w:rsidRPr="000646AE" w:rsidRDefault="000646AE" w:rsidP="000646AE">
      <w:pPr>
        <w:autoSpaceDE w:val="0"/>
        <w:autoSpaceDN w:val="0"/>
        <w:adjustRightInd w:val="0"/>
        <w:ind w:right="566"/>
        <w:contextualSpacing/>
        <w:jc w:val="both"/>
        <w:rPr>
          <w:rFonts w:ascii="Abadi" w:hAnsi="Abadi" w:cs="ArialMT"/>
          <w:b/>
          <w:bCs/>
          <w:sz w:val="21"/>
          <w:szCs w:val="21"/>
        </w:rPr>
      </w:pPr>
    </w:p>
    <w:p w14:paraId="69470799" w14:textId="77777777" w:rsidR="00332634" w:rsidRPr="003225C2" w:rsidRDefault="00332634" w:rsidP="00332634">
      <w:pPr>
        <w:autoSpaceDE w:val="0"/>
        <w:autoSpaceDN w:val="0"/>
        <w:adjustRightInd w:val="0"/>
        <w:ind w:left="851" w:right="566" w:hanging="436"/>
        <w:jc w:val="both"/>
        <w:rPr>
          <w:rFonts w:ascii="Abadi" w:hAnsi="Abadi" w:cs="ArialMT"/>
          <w:b/>
          <w:bCs/>
          <w:sz w:val="21"/>
          <w:szCs w:val="21"/>
        </w:rPr>
      </w:pPr>
    </w:p>
    <w:p w14:paraId="3AE52071" w14:textId="0955363B" w:rsidR="003F7603" w:rsidRPr="000646AE" w:rsidRDefault="00332634" w:rsidP="00343CA9">
      <w:pPr>
        <w:pStyle w:val="Prrafodelista"/>
        <w:numPr>
          <w:ilvl w:val="0"/>
          <w:numId w:val="10"/>
        </w:numPr>
        <w:autoSpaceDE w:val="0"/>
        <w:autoSpaceDN w:val="0"/>
        <w:adjustRightInd w:val="0"/>
        <w:ind w:left="851" w:right="566" w:hanging="436"/>
        <w:contextualSpacing/>
        <w:jc w:val="both"/>
        <w:rPr>
          <w:rFonts w:ascii="Abadi" w:hAnsi="Abadi" w:cs="ArialMT"/>
          <w:b/>
          <w:bCs/>
          <w:sz w:val="21"/>
          <w:szCs w:val="21"/>
        </w:rPr>
      </w:pPr>
      <w:r w:rsidRPr="003225C2">
        <w:rPr>
          <w:rFonts w:ascii="Abadi" w:hAnsi="Abadi" w:cs="ArialMT"/>
          <w:b/>
          <w:bCs/>
          <w:sz w:val="21"/>
          <w:szCs w:val="21"/>
        </w:rPr>
        <w:t>Dar cuenta con las comunicaciones y correspondencia recibidas.</w:t>
      </w:r>
      <w:r w:rsidRPr="003225C2">
        <w:rPr>
          <w:rFonts w:ascii="Abadi" w:hAnsi="Abadi" w:cs="Arial-BoldMT"/>
          <w:b/>
          <w:bCs/>
          <w:sz w:val="21"/>
          <w:szCs w:val="21"/>
        </w:rPr>
        <w:t xml:space="preserve"> </w:t>
      </w:r>
    </w:p>
    <w:p w14:paraId="1862E614" w14:textId="2725EEAB" w:rsidR="000646AE" w:rsidRPr="000646AE" w:rsidRDefault="000646AE" w:rsidP="004934E9">
      <w:pPr>
        <w:ind w:left="3220" w:right="-284"/>
        <w:rPr>
          <w:rFonts w:ascii="Abadi" w:hAnsi="Abadi"/>
          <w:b/>
          <w:bCs/>
          <w:sz w:val="18"/>
          <w:szCs w:val="18"/>
        </w:rPr>
      </w:pPr>
      <w:r w:rsidRPr="000646AE">
        <w:rPr>
          <w:rFonts w:ascii="Abadi" w:hAnsi="Abadi"/>
          <w:b/>
          <w:bCs/>
          <w:sz w:val="18"/>
          <w:szCs w:val="18"/>
        </w:rPr>
        <w:t xml:space="preserve">Pág. </w:t>
      </w:r>
      <w:r w:rsidR="004934E9">
        <w:rPr>
          <w:rFonts w:ascii="Abadi" w:hAnsi="Abadi"/>
          <w:b/>
          <w:bCs/>
          <w:sz w:val="18"/>
          <w:szCs w:val="18"/>
        </w:rPr>
        <w:t>2</w:t>
      </w:r>
      <w:r w:rsidR="00D228BB">
        <w:rPr>
          <w:rFonts w:ascii="Abadi" w:hAnsi="Abadi"/>
          <w:b/>
          <w:bCs/>
          <w:sz w:val="18"/>
          <w:szCs w:val="18"/>
        </w:rPr>
        <w:t>5</w:t>
      </w:r>
    </w:p>
    <w:p w14:paraId="3FDF5EDB" w14:textId="77777777" w:rsidR="000646AE" w:rsidRPr="000646AE" w:rsidRDefault="000646AE" w:rsidP="000646AE">
      <w:pPr>
        <w:autoSpaceDE w:val="0"/>
        <w:autoSpaceDN w:val="0"/>
        <w:adjustRightInd w:val="0"/>
        <w:ind w:right="566"/>
        <w:contextualSpacing/>
        <w:jc w:val="both"/>
        <w:rPr>
          <w:rFonts w:ascii="Abadi" w:hAnsi="Abadi" w:cs="ArialMT"/>
          <w:b/>
          <w:bCs/>
          <w:sz w:val="21"/>
          <w:szCs w:val="21"/>
        </w:rPr>
      </w:pPr>
    </w:p>
    <w:p w14:paraId="2556BA19" w14:textId="77777777" w:rsidR="003F7603" w:rsidRPr="003F7603" w:rsidRDefault="003F7603" w:rsidP="003F7603">
      <w:pPr>
        <w:pStyle w:val="Prrafodelista"/>
        <w:autoSpaceDE w:val="0"/>
        <w:autoSpaceDN w:val="0"/>
        <w:adjustRightInd w:val="0"/>
        <w:ind w:left="851" w:right="566"/>
        <w:contextualSpacing/>
        <w:jc w:val="both"/>
        <w:rPr>
          <w:rFonts w:ascii="Abadi" w:hAnsi="Abadi" w:cs="ArialMT"/>
          <w:b/>
          <w:bCs/>
          <w:sz w:val="21"/>
          <w:szCs w:val="21"/>
        </w:rPr>
      </w:pPr>
    </w:p>
    <w:p w14:paraId="64FB73D6" w14:textId="7F27B092" w:rsidR="00332634" w:rsidRDefault="00332634" w:rsidP="00343CA9">
      <w:pPr>
        <w:pStyle w:val="Prrafodelista"/>
        <w:numPr>
          <w:ilvl w:val="0"/>
          <w:numId w:val="10"/>
        </w:numPr>
        <w:autoSpaceDE w:val="0"/>
        <w:autoSpaceDN w:val="0"/>
        <w:adjustRightInd w:val="0"/>
        <w:ind w:left="851" w:right="566" w:hanging="436"/>
        <w:contextualSpacing/>
        <w:jc w:val="both"/>
        <w:rPr>
          <w:rFonts w:ascii="Abadi" w:hAnsi="Abadi" w:cs="ArialMT"/>
          <w:b/>
          <w:bCs/>
          <w:sz w:val="21"/>
          <w:szCs w:val="21"/>
        </w:rPr>
      </w:pPr>
      <w:r w:rsidRPr="003225C2">
        <w:rPr>
          <w:rFonts w:ascii="Abadi" w:hAnsi="Abadi" w:cs="ArialMT"/>
          <w:b/>
          <w:bCs/>
          <w:sz w:val="21"/>
          <w:szCs w:val="21"/>
        </w:rPr>
        <w:t xml:space="preserve">Presentación de la propuesta de terna para designar a la persona titular del Órgano Interno de Control del Instituto de </w:t>
      </w:r>
      <w:r w:rsidRPr="003225C2">
        <w:rPr>
          <w:rFonts w:ascii="Abadi" w:hAnsi="Abadi" w:cs="ArialMT"/>
          <w:b/>
          <w:bCs/>
          <w:sz w:val="21"/>
          <w:szCs w:val="21"/>
        </w:rPr>
        <w:t>Acceso a la Información Pública para el Estado de Guanajuato, formulada por el Pleno de dicho Instituto.</w:t>
      </w:r>
    </w:p>
    <w:p w14:paraId="397B9109" w14:textId="5477E6ED" w:rsidR="00814D83" w:rsidRDefault="00814D83" w:rsidP="00814D83">
      <w:pPr>
        <w:autoSpaceDE w:val="0"/>
        <w:autoSpaceDN w:val="0"/>
        <w:adjustRightInd w:val="0"/>
        <w:ind w:right="566"/>
        <w:contextualSpacing/>
        <w:jc w:val="both"/>
        <w:rPr>
          <w:rFonts w:ascii="Abadi" w:hAnsi="Abadi" w:cs="ArialMT"/>
          <w:b/>
          <w:bCs/>
          <w:sz w:val="21"/>
          <w:szCs w:val="21"/>
        </w:rPr>
      </w:pPr>
    </w:p>
    <w:p w14:paraId="4543FA4C" w14:textId="633D6481" w:rsidR="000646AE" w:rsidRPr="000646AE" w:rsidRDefault="000646AE" w:rsidP="006E53A3">
      <w:pPr>
        <w:ind w:left="3220" w:right="-284"/>
        <w:rPr>
          <w:rFonts w:ascii="Abadi" w:hAnsi="Abadi"/>
          <w:b/>
          <w:bCs/>
          <w:sz w:val="18"/>
          <w:szCs w:val="18"/>
        </w:rPr>
      </w:pPr>
      <w:r w:rsidRPr="000646AE">
        <w:rPr>
          <w:rFonts w:ascii="Abadi" w:hAnsi="Abadi"/>
          <w:b/>
          <w:bCs/>
          <w:sz w:val="18"/>
          <w:szCs w:val="18"/>
        </w:rPr>
        <w:t xml:space="preserve">Pág. </w:t>
      </w:r>
      <w:r w:rsidR="006E53A3">
        <w:rPr>
          <w:rFonts w:ascii="Abadi" w:hAnsi="Abadi"/>
          <w:b/>
          <w:bCs/>
          <w:sz w:val="18"/>
          <w:szCs w:val="18"/>
        </w:rPr>
        <w:t>3</w:t>
      </w:r>
      <w:r w:rsidR="00DA3693">
        <w:rPr>
          <w:rFonts w:ascii="Abadi" w:hAnsi="Abadi"/>
          <w:b/>
          <w:bCs/>
          <w:sz w:val="18"/>
          <w:szCs w:val="18"/>
        </w:rPr>
        <w:t>3</w:t>
      </w:r>
    </w:p>
    <w:p w14:paraId="2114A70E" w14:textId="77777777" w:rsidR="000646AE" w:rsidRPr="000646AE" w:rsidRDefault="000646AE" w:rsidP="000646AE">
      <w:pPr>
        <w:autoSpaceDE w:val="0"/>
        <w:autoSpaceDN w:val="0"/>
        <w:adjustRightInd w:val="0"/>
        <w:ind w:right="566"/>
        <w:contextualSpacing/>
        <w:jc w:val="both"/>
        <w:rPr>
          <w:rFonts w:ascii="Abadi" w:hAnsi="Abadi" w:cs="ArialMT"/>
          <w:b/>
          <w:bCs/>
          <w:sz w:val="21"/>
          <w:szCs w:val="21"/>
        </w:rPr>
      </w:pPr>
    </w:p>
    <w:p w14:paraId="64427AE8" w14:textId="3BAB7C2D" w:rsidR="00332634" w:rsidRDefault="00332634" w:rsidP="00343CA9">
      <w:pPr>
        <w:pStyle w:val="Prrafodelista"/>
        <w:numPr>
          <w:ilvl w:val="0"/>
          <w:numId w:val="10"/>
        </w:numPr>
        <w:autoSpaceDE w:val="0"/>
        <w:autoSpaceDN w:val="0"/>
        <w:adjustRightInd w:val="0"/>
        <w:ind w:left="851" w:right="566" w:hanging="436"/>
        <w:contextualSpacing/>
        <w:jc w:val="both"/>
        <w:rPr>
          <w:rFonts w:ascii="Abadi" w:hAnsi="Abadi" w:cs="ArialMT"/>
          <w:b/>
          <w:bCs/>
          <w:sz w:val="21"/>
          <w:szCs w:val="21"/>
        </w:rPr>
      </w:pPr>
      <w:r w:rsidRPr="003225C2">
        <w:rPr>
          <w:rFonts w:ascii="Abadi" w:hAnsi="Abadi" w:cs="ArialMT"/>
          <w:b/>
          <w:bCs/>
          <w:sz w:val="21"/>
          <w:szCs w:val="21"/>
        </w:rPr>
        <w:t>Presentación de la iniciativa suscrita por diputadas y diputados integrantes del Grupo Parlamentario del Partido Acción Nacional a efecto de adicionarlos párrafos cuarto y quinto al artículo 14, recorriéndose en su orden los subsecuentes, de la Ley de Instituciones y Procedimientos Electorales para el Estado de Guanajuato.</w:t>
      </w:r>
    </w:p>
    <w:p w14:paraId="554737D1" w14:textId="77777777" w:rsidR="000646AE" w:rsidRPr="000646AE" w:rsidRDefault="000646AE" w:rsidP="000646AE">
      <w:pPr>
        <w:pStyle w:val="Prrafodelista"/>
        <w:rPr>
          <w:rFonts w:ascii="Abadi" w:hAnsi="Abadi" w:cs="ArialMT"/>
          <w:b/>
          <w:bCs/>
          <w:sz w:val="21"/>
          <w:szCs w:val="21"/>
        </w:rPr>
      </w:pPr>
    </w:p>
    <w:p w14:paraId="75420714" w14:textId="49DEA8A7" w:rsidR="000646AE" w:rsidRDefault="000646AE" w:rsidP="000F29AC">
      <w:pPr>
        <w:ind w:left="2124" w:right="-284" w:firstLine="1096"/>
        <w:rPr>
          <w:rFonts w:ascii="Abadi" w:hAnsi="Abadi"/>
          <w:b/>
          <w:bCs/>
          <w:sz w:val="18"/>
          <w:szCs w:val="18"/>
        </w:rPr>
      </w:pPr>
      <w:r w:rsidRPr="006779BC">
        <w:rPr>
          <w:rFonts w:ascii="Abadi" w:hAnsi="Abadi"/>
          <w:b/>
          <w:bCs/>
          <w:sz w:val="18"/>
          <w:szCs w:val="18"/>
        </w:rPr>
        <w:t xml:space="preserve">Pág. </w:t>
      </w:r>
      <w:r w:rsidR="000F29AC">
        <w:rPr>
          <w:rFonts w:ascii="Abadi" w:hAnsi="Abadi"/>
          <w:b/>
          <w:bCs/>
          <w:sz w:val="18"/>
          <w:szCs w:val="18"/>
        </w:rPr>
        <w:t>3</w:t>
      </w:r>
      <w:r w:rsidR="006752B9">
        <w:rPr>
          <w:rFonts w:ascii="Abadi" w:hAnsi="Abadi"/>
          <w:b/>
          <w:bCs/>
          <w:sz w:val="18"/>
          <w:szCs w:val="18"/>
        </w:rPr>
        <w:t>5</w:t>
      </w:r>
    </w:p>
    <w:p w14:paraId="2F6F43C4" w14:textId="5A8790A4" w:rsidR="00F05145" w:rsidRDefault="00F05145" w:rsidP="000646AE">
      <w:pPr>
        <w:ind w:right="-284"/>
        <w:rPr>
          <w:rFonts w:ascii="Abadi" w:hAnsi="Abadi"/>
          <w:b/>
          <w:bCs/>
          <w:sz w:val="18"/>
          <w:szCs w:val="18"/>
        </w:rPr>
      </w:pPr>
    </w:p>
    <w:p w14:paraId="210513A3" w14:textId="3B1F86DB" w:rsidR="00F05145" w:rsidRPr="006779BC" w:rsidRDefault="00F05145" w:rsidP="00F05145">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sidR="00D774B1">
        <w:rPr>
          <w:rFonts w:ascii="Abadi" w:hAnsi="Abadi" w:cs="ArialMT"/>
          <w:b/>
          <w:bCs/>
          <w:sz w:val="21"/>
          <w:szCs w:val="21"/>
        </w:rPr>
        <w:t>el diputado Bricio Balderas Álvarez</w:t>
      </w:r>
      <w:r w:rsidR="00D774B1" w:rsidRPr="006779BC">
        <w:rPr>
          <w:rFonts w:ascii="Abadi" w:hAnsi="Abadi" w:cs="ArialMT"/>
          <w:b/>
          <w:bCs/>
          <w:sz w:val="21"/>
          <w:szCs w:val="21"/>
        </w:rPr>
        <w:t xml:space="preserve"> </w:t>
      </w:r>
      <w:r w:rsidRPr="006779BC">
        <w:rPr>
          <w:rFonts w:ascii="Abadi" w:hAnsi="Abadi" w:cs="ArialMT"/>
          <w:b/>
          <w:bCs/>
          <w:sz w:val="21"/>
          <w:szCs w:val="21"/>
        </w:rPr>
        <w:t xml:space="preserve">para presentar la iniciativa en referencia) </w:t>
      </w:r>
    </w:p>
    <w:p w14:paraId="1DC4C6A3" w14:textId="244AC47F" w:rsidR="00F05145" w:rsidRDefault="00F05145" w:rsidP="000646AE">
      <w:pPr>
        <w:ind w:right="-284"/>
        <w:rPr>
          <w:rFonts w:ascii="Abadi" w:hAnsi="Abadi"/>
          <w:b/>
          <w:bCs/>
          <w:sz w:val="18"/>
          <w:szCs w:val="18"/>
        </w:rPr>
      </w:pPr>
    </w:p>
    <w:p w14:paraId="1BE028AA" w14:textId="2EEE4117" w:rsidR="00392283" w:rsidRDefault="00392283" w:rsidP="00DD10AD">
      <w:pPr>
        <w:ind w:left="3220" w:right="-284"/>
        <w:rPr>
          <w:rFonts w:ascii="Abadi" w:hAnsi="Abadi"/>
          <w:b/>
          <w:bCs/>
          <w:sz w:val="18"/>
          <w:szCs w:val="18"/>
        </w:rPr>
      </w:pPr>
      <w:r w:rsidRPr="006779BC">
        <w:rPr>
          <w:rFonts w:ascii="Abadi" w:hAnsi="Abadi"/>
          <w:b/>
          <w:bCs/>
          <w:sz w:val="18"/>
          <w:szCs w:val="18"/>
        </w:rPr>
        <w:t>Pág.</w:t>
      </w:r>
      <w:r w:rsidR="00784B12">
        <w:rPr>
          <w:rFonts w:ascii="Abadi" w:hAnsi="Abadi"/>
          <w:b/>
          <w:bCs/>
          <w:sz w:val="18"/>
          <w:szCs w:val="18"/>
        </w:rPr>
        <w:t xml:space="preserve"> </w:t>
      </w:r>
      <w:r w:rsidR="006752B9">
        <w:rPr>
          <w:rFonts w:ascii="Abadi" w:hAnsi="Abadi"/>
          <w:b/>
          <w:bCs/>
          <w:sz w:val="18"/>
          <w:szCs w:val="18"/>
        </w:rPr>
        <w:t>40</w:t>
      </w:r>
    </w:p>
    <w:p w14:paraId="636103EB" w14:textId="77777777" w:rsidR="00392283" w:rsidRDefault="00392283" w:rsidP="000646AE">
      <w:pPr>
        <w:ind w:right="-284"/>
        <w:rPr>
          <w:rFonts w:ascii="Abadi" w:hAnsi="Abadi"/>
          <w:b/>
          <w:bCs/>
          <w:sz w:val="18"/>
          <w:szCs w:val="18"/>
        </w:rPr>
      </w:pPr>
    </w:p>
    <w:p w14:paraId="01167079" w14:textId="77777777" w:rsidR="000646AE" w:rsidRDefault="000646AE" w:rsidP="000646AE">
      <w:pPr>
        <w:ind w:left="3261" w:right="-284"/>
        <w:rPr>
          <w:rFonts w:ascii="Abadi" w:hAnsi="Abadi"/>
          <w:b/>
          <w:bCs/>
          <w:sz w:val="18"/>
          <w:szCs w:val="18"/>
        </w:rPr>
      </w:pPr>
    </w:p>
    <w:p w14:paraId="5F634371" w14:textId="7FB8CD57" w:rsidR="00332634" w:rsidRDefault="00332634" w:rsidP="00343CA9">
      <w:pPr>
        <w:pStyle w:val="Prrafodelista"/>
        <w:numPr>
          <w:ilvl w:val="0"/>
          <w:numId w:val="10"/>
        </w:numPr>
        <w:autoSpaceDE w:val="0"/>
        <w:autoSpaceDN w:val="0"/>
        <w:adjustRightInd w:val="0"/>
        <w:ind w:left="851" w:right="566"/>
        <w:contextualSpacing/>
        <w:jc w:val="both"/>
        <w:rPr>
          <w:rFonts w:ascii="Abadi" w:hAnsi="Abadi" w:cs="ArialMT"/>
          <w:b/>
          <w:bCs/>
          <w:sz w:val="21"/>
          <w:szCs w:val="21"/>
        </w:rPr>
      </w:pPr>
      <w:r w:rsidRPr="003225C2">
        <w:rPr>
          <w:rFonts w:ascii="Abadi" w:hAnsi="Abadi" w:cs="ArialMT"/>
          <w:b/>
          <w:bCs/>
          <w:sz w:val="21"/>
          <w:szCs w:val="21"/>
        </w:rPr>
        <w:t xml:space="preserve">Presentación de la iniciativa por la que se reforman, adicionan y derogan diversas disposiciones de la Ley de Acceso de las Mujeres a una Vida Libre de </w:t>
      </w:r>
      <w:r w:rsidRPr="003225C2">
        <w:rPr>
          <w:rFonts w:ascii="Abadi" w:hAnsi="Abadi" w:cs="ArialMT"/>
          <w:b/>
          <w:bCs/>
          <w:sz w:val="21"/>
          <w:szCs w:val="21"/>
        </w:rPr>
        <w:lastRenderedPageBreak/>
        <w:t>Violencia para el Estado de Guanajuato, formulada por la diputada Martha Edith Moreno Valencia y el diputado David Martínez Mendizábal integrantes del Grupo Parlamentario del Partido MORENA.</w:t>
      </w:r>
    </w:p>
    <w:p w14:paraId="1B899780" w14:textId="33990FDA" w:rsidR="007359A2" w:rsidRDefault="007359A2" w:rsidP="007359A2">
      <w:pPr>
        <w:ind w:left="2124" w:right="-284" w:firstLine="708"/>
        <w:rPr>
          <w:rFonts w:ascii="Abadi" w:hAnsi="Abadi"/>
          <w:b/>
          <w:bCs/>
          <w:sz w:val="18"/>
          <w:szCs w:val="18"/>
        </w:rPr>
      </w:pPr>
    </w:p>
    <w:p w14:paraId="1FB22CE8" w14:textId="3FB1A6A2" w:rsidR="000646AE" w:rsidRDefault="000646AE" w:rsidP="007359A2">
      <w:pPr>
        <w:ind w:left="3119" w:right="-284"/>
        <w:rPr>
          <w:rFonts w:ascii="Abadi" w:hAnsi="Abadi"/>
          <w:b/>
          <w:bCs/>
          <w:sz w:val="18"/>
          <w:szCs w:val="18"/>
        </w:rPr>
      </w:pPr>
      <w:r w:rsidRPr="000646AE">
        <w:rPr>
          <w:rFonts w:ascii="Abadi" w:hAnsi="Abadi"/>
          <w:b/>
          <w:bCs/>
          <w:sz w:val="18"/>
          <w:szCs w:val="18"/>
        </w:rPr>
        <w:t xml:space="preserve">Pág. </w:t>
      </w:r>
      <w:r w:rsidR="00A13A2E">
        <w:rPr>
          <w:rFonts w:ascii="Abadi" w:hAnsi="Abadi"/>
          <w:b/>
          <w:bCs/>
          <w:sz w:val="18"/>
          <w:szCs w:val="18"/>
        </w:rPr>
        <w:t>4</w:t>
      </w:r>
      <w:r w:rsidR="007E2738">
        <w:rPr>
          <w:rFonts w:ascii="Abadi" w:hAnsi="Abadi"/>
          <w:b/>
          <w:bCs/>
          <w:sz w:val="18"/>
          <w:szCs w:val="18"/>
        </w:rPr>
        <w:t>2</w:t>
      </w:r>
    </w:p>
    <w:p w14:paraId="57DC0FA1" w14:textId="7948B003" w:rsidR="00F05145" w:rsidRDefault="00F05145" w:rsidP="000646AE">
      <w:pPr>
        <w:ind w:right="-284"/>
        <w:rPr>
          <w:rFonts w:ascii="Abadi" w:hAnsi="Abadi"/>
          <w:b/>
          <w:bCs/>
          <w:sz w:val="18"/>
          <w:szCs w:val="18"/>
        </w:rPr>
      </w:pPr>
    </w:p>
    <w:p w14:paraId="3D7FCAB2" w14:textId="15343988" w:rsidR="00F05145" w:rsidRPr="006779BC" w:rsidRDefault="00B722FF" w:rsidP="00F05145">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 </w:t>
      </w:r>
      <w:r w:rsidR="00F05145" w:rsidRPr="006779BC">
        <w:rPr>
          <w:rFonts w:ascii="Abadi" w:hAnsi="Abadi" w:cs="ArialMT"/>
          <w:b/>
          <w:bCs/>
          <w:sz w:val="21"/>
          <w:szCs w:val="21"/>
        </w:rPr>
        <w:t xml:space="preserve">(Sube a tribuna </w:t>
      </w:r>
      <w:r w:rsidR="00385384">
        <w:rPr>
          <w:rFonts w:ascii="Abadi" w:hAnsi="Abadi" w:cs="ArialMT"/>
          <w:b/>
          <w:bCs/>
          <w:sz w:val="21"/>
          <w:szCs w:val="21"/>
        </w:rPr>
        <w:t xml:space="preserve">la diputada </w:t>
      </w:r>
      <w:r w:rsidR="00037D52">
        <w:rPr>
          <w:rFonts w:ascii="Abadi" w:hAnsi="Abadi" w:cs="ArialMT"/>
          <w:b/>
          <w:bCs/>
          <w:sz w:val="21"/>
          <w:szCs w:val="21"/>
        </w:rPr>
        <w:t>Martha Edith Moreno Valen</w:t>
      </w:r>
      <w:r w:rsidR="00603944">
        <w:rPr>
          <w:rFonts w:ascii="Abadi" w:hAnsi="Abadi" w:cs="ArialMT"/>
          <w:b/>
          <w:bCs/>
          <w:sz w:val="21"/>
          <w:szCs w:val="21"/>
        </w:rPr>
        <w:t>c</w:t>
      </w:r>
      <w:r w:rsidR="00037D52">
        <w:rPr>
          <w:rFonts w:ascii="Abadi" w:hAnsi="Abadi" w:cs="ArialMT"/>
          <w:b/>
          <w:bCs/>
          <w:sz w:val="21"/>
          <w:szCs w:val="21"/>
        </w:rPr>
        <w:t>ia pa</w:t>
      </w:r>
      <w:r w:rsidR="00F05145" w:rsidRPr="006779BC">
        <w:rPr>
          <w:rFonts w:ascii="Abadi" w:hAnsi="Abadi" w:cs="ArialMT"/>
          <w:b/>
          <w:bCs/>
          <w:sz w:val="21"/>
          <w:szCs w:val="21"/>
        </w:rPr>
        <w:t>ra presentar la iniciativa en referencia</w:t>
      </w:r>
      <w:r w:rsidR="00D774B1">
        <w:rPr>
          <w:rFonts w:ascii="Abadi" w:hAnsi="Abadi" w:cs="ArialMT"/>
          <w:b/>
          <w:bCs/>
          <w:sz w:val="21"/>
          <w:szCs w:val="21"/>
        </w:rPr>
        <w:t>)</w:t>
      </w:r>
    </w:p>
    <w:p w14:paraId="1A760A8F" w14:textId="77777777" w:rsidR="00F05145" w:rsidRPr="000646AE" w:rsidRDefault="00F05145" w:rsidP="000646AE">
      <w:pPr>
        <w:ind w:right="-284"/>
        <w:rPr>
          <w:rFonts w:ascii="Abadi" w:hAnsi="Abadi"/>
          <w:b/>
          <w:bCs/>
          <w:sz w:val="18"/>
          <w:szCs w:val="18"/>
        </w:rPr>
      </w:pPr>
    </w:p>
    <w:p w14:paraId="325C72F0" w14:textId="472F06E5" w:rsidR="000646AE" w:rsidRPr="003225C2" w:rsidRDefault="000646AE" w:rsidP="000646AE">
      <w:pPr>
        <w:pStyle w:val="Prrafodelista"/>
        <w:autoSpaceDE w:val="0"/>
        <w:autoSpaceDN w:val="0"/>
        <w:adjustRightInd w:val="0"/>
        <w:ind w:left="851" w:right="566"/>
        <w:contextualSpacing/>
        <w:jc w:val="both"/>
        <w:rPr>
          <w:rFonts w:ascii="Abadi" w:hAnsi="Abadi" w:cs="ArialMT"/>
          <w:b/>
          <w:bCs/>
          <w:sz w:val="21"/>
          <w:szCs w:val="21"/>
        </w:rPr>
      </w:pPr>
    </w:p>
    <w:p w14:paraId="5D2C7798" w14:textId="54DAECB1" w:rsidR="007359A2" w:rsidRDefault="007359A2" w:rsidP="007359A2">
      <w:pPr>
        <w:ind w:left="3119" w:right="-284"/>
        <w:rPr>
          <w:rFonts w:ascii="Abadi" w:hAnsi="Abadi"/>
          <w:b/>
          <w:bCs/>
          <w:sz w:val="18"/>
          <w:szCs w:val="18"/>
        </w:rPr>
      </w:pPr>
      <w:r w:rsidRPr="000646AE">
        <w:rPr>
          <w:rFonts w:ascii="Abadi" w:hAnsi="Abadi"/>
          <w:b/>
          <w:bCs/>
          <w:sz w:val="18"/>
          <w:szCs w:val="18"/>
        </w:rPr>
        <w:t xml:space="preserve">Pág. </w:t>
      </w:r>
      <w:r w:rsidR="00A13A2E">
        <w:rPr>
          <w:rFonts w:ascii="Abadi" w:hAnsi="Abadi"/>
          <w:b/>
          <w:bCs/>
          <w:sz w:val="18"/>
          <w:szCs w:val="18"/>
        </w:rPr>
        <w:t>5</w:t>
      </w:r>
      <w:r w:rsidR="00AD4A23">
        <w:rPr>
          <w:rFonts w:ascii="Abadi" w:hAnsi="Abadi"/>
          <w:b/>
          <w:bCs/>
          <w:sz w:val="18"/>
          <w:szCs w:val="18"/>
        </w:rPr>
        <w:t>2</w:t>
      </w:r>
    </w:p>
    <w:p w14:paraId="7E1F2342" w14:textId="77777777" w:rsidR="00332634" w:rsidRPr="003225C2" w:rsidRDefault="00332634" w:rsidP="007359A2">
      <w:pPr>
        <w:autoSpaceDE w:val="0"/>
        <w:autoSpaceDN w:val="0"/>
        <w:adjustRightInd w:val="0"/>
        <w:ind w:right="566"/>
        <w:jc w:val="both"/>
        <w:rPr>
          <w:rFonts w:ascii="Abadi" w:hAnsi="Abadi" w:cs="ArialMT"/>
          <w:b/>
          <w:bCs/>
          <w:sz w:val="21"/>
          <w:szCs w:val="21"/>
        </w:rPr>
      </w:pPr>
    </w:p>
    <w:p w14:paraId="0B9899AF" w14:textId="26C7AB58" w:rsidR="00332634" w:rsidRDefault="00332634" w:rsidP="00343CA9">
      <w:pPr>
        <w:pStyle w:val="Prrafodelista"/>
        <w:numPr>
          <w:ilvl w:val="0"/>
          <w:numId w:val="10"/>
        </w:numPr>
        <w:autoSpaceDE w:val="0"/>
        <w:autoSpaceDN w:val="0"/>
        <w:adjustRightInd w:val="0"/>
        <w:ind w:left="851" w:right="566"/>
        <w:contextualSpacing/>
        <w:jc w:val="both"/>
        <w:rPr>
          <w:rFonts w:ascii="Abadi" w:hAnsi="Abadi" w:cs="ArialMT"/>
          <w:b/>
          <w:bCs/>
          <w:sz w:val="21"/>
          <w:szCs w:val="21"/>
        </w:rPr>
      </w:pPr>
      <w:r w:rsidRPr="003225C2">
        <w:rPr>
          <w:rFonts w:ascii="Abadi" w:hAnsi="Abadi" w:cs="ArialMT"/>
          <w:b/>
          <w:bCs/>
          <w:sz w:val="21"/>
          <w:szCs w:val="21"/>
        </w:rPr>
        <w:t xml:space="preserve">Presentación de la iniciativa de Ley para la Detección y Tratamiento Oportuno e Integral del Cáncer en la infancia y la adolescencia para el Estado de Guanajuato, suscrita por la diputada Dessire </w:t>
      </w:r>
      <w:proofErr w:type="spellStart"/>
      <w:r w:rsidRPr="003225C2">
        <w:rPr>
          <w:rFonts w:ascii="Abadi" w:hAnsi="Abadi" w:cs="ArialMT"/>
          <w:b/>
          <w:bCs/>
          <w:sz w:val="21"/>
          <w:szCs w:val="21"/>
        </w:rPr>
        <w:t>Angel</w:t>
      </w:r>
      <w:proofErr w:type="spellEnd"/>
      <w:r w:rsidRPr="003225C2">
        <w:rPr>
          <w:rFonts w:ascii="Abadi" w:hAnsi="Abadi" w:cs="ArialMT"/>
          <w:b/>
          <w:bCs/>
          <w:sz w:val="21"/>
          <w:szCs w:val="21"/>
        </w:rPr>
        <w:t xml:space="preserve"> Rocha de la Representación</w:t>
      </w:r>
      <w:r w:rsidR="00AD4A23">
        <w:rPr>
          <w:rFonts w:ascii="Abadi" w:hAnsi="Abadi" w:cs="ArialMT"/>
          <w:b/>
          <w:bCs/>
          <w:sz w:val="21"/>
          <w:szCs w:val="21"/>
        </w:rPr>
        <w:t xml:space="preserve"> </w:t>
      </w:r>
      <w:r w:rsidRPr="003225C2">
        <w:rPr>
          <w:rFonts w:ascii="Abadi" w:hAnsi="Abadi" w:cs="ArialMT"/>
          <w:b/>
          <w:bCs/>
          <w:sz w:val="21"/>
          <w:szCs w:val="21"/>
        </w:rPr>
        <w:t>Parlamentaria del Partido Movimiento Ciudadano.</w:t>
      </w:r>
    </w:p>
    <w:p w14:paraId="2FDC1D73" w14:textId="77777777" w:rsidR="00212E22" w:rsidRDefault="00212E22" w:rsidP="00212E22">
      <w:pPr>
        <w:ind w:left="143" w:right="-284" w:firstLine="708"/>
        <w:rPr>
          <w:rFonts w:ascii="Abadi" w:hAnsi="Abadi"/>
          <w:b/>
          <w:bCs/>
          <w:sz w:val="18"/>
          <w:szCs w:val="18"/>
        </w:rPr>
      </w:pPr>
    </w:p>
    <w:p w14:paraId="4CCD92ED" w14:textId="4FB4A0C1" w:rsidR="000646AE" w:rsidRDefault="000646AE" w:rsidP="00ED283F">
      <w:pPr>
        <w:ind w:left="3119" w:right="-284"/>
        <w:rPr>
          <w:rFonts w:ascii="Abadi" w:hAnsi="Abadi"/>
          <w:b/>
          <w:bCs/>
          <w:sz w:val="18"/>
          <w:szCs w:val="18"/>
        </w:rPr>
      </w:pPr>
      <w:r w:rsidRPr="000646AE">
        <w:rPr>
          <w:rFonts w:ascii="Abadi" w:hAnsi="Abadi"/>
          <w:b/>
          <w:bCs/>
          <w:sz w:val="18"/>
          <w:szCs w:val="18"/>
        </w:rPr>
        <w:t xml:space="preserve">Pág. </w:t>
      </w:r>
      <w:r w:rsidR="00264496">
        <w:rPr>
          <w:rFonts w:ascii="Abadi" w:hAnsi="Abadi"/>
          <w:b/>
          <w:bCs/>
          <w:sz w:val="18"/>
          <w:szCs w:val="18"/>
        </w:rPr>
        <w:t>5</w:t>
      </w:r>
      <w:r w:rsidR="007E2738">
        <w:rPr>
          <w:rFonts w:ascii="Abadi" w:hAnsi="Abadi"/>
          <w:b/>
          <w:bCs/>
          <w:sz w:val="18"/>
          <w:szCs w:val="18"/>
        </w:rPr>
        <w:t>4</w:t>
      </w:r>
    </w:p>
    <w:p w14:paraId="33578BB4" w14:textId="77777777" w:rsidR="00616E8F" w:rsidRDefault="00616E8F" w:rsidP="00264496">
      <w:pPr>
        <w:ind w:left="2832" w:right="-284"/>
        <w:rPr>
          <w:rFonts w:ascii="Abadi" w:hAnsi="Abadi"/>
          <w:b/>
          <w:bCs/>
          <w:sz w:val="18"/>
          <w:szCs w:val="18"/>
        </w:rPr>
      </w:pPr>
    </w:p>
    <w:p w14:paraId="3D869E07" w14:textId="7069566B" w:rsidR="000C59BC" w:rsidRDefault="000C59BC" w:rsidP="000646AE">
      <w:pPr>
        <w:ind w:right="-284"/>
        <w:rPr>
          <w:rFonts w:ascii="Abadi" w:hAnsi="Abadi"/>
          <w:b/>
          <w:bCs/>
          <w:sz w:val="18"/>
          <w:szCs w:val="18"/>
        </w:rPr>
      </w:pPr>
    </w:p>
    <w:p w14:paraId="4360C33C" w14:textId="2B2ECAF6" w:rsidR="0016400F" w:rsidRPr="00264496" w:rsidRDefault="000C59BC" w:rsidP="00264496">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w:t>
      </w:r>
      <w:r w:rsidR="00EF763A">
        <w:rPr>
          <w:rFonts w:ascii="Abadi" w:hAnsi="Abadi" w:cs="ArialMT"/>
          <w:b/>
          <w:bCs/>
          <w:sz w:val="21"/>
          <w:szCs w:val="21"/>
        </w:rPr>
        <w:t xml:space="preserve">tribuna </w:t>
      </w:r>
      <w:r w:rsidR="0016400F">
        <w:rPr>
          <w:rFonts w:ascii="Abadi" w:hAnsi="Abadi" w:cs="ArialMT"/>
          <w:b/>
          <w:bCs/>
          <w:sz w:val="21"/>
          <w:szCs w:val="21"/>
        </w:rPr>
        <w:t xml:space="preserve">la diputada Dessire </w:t>
      </w:r>
      <w:proofErr w:type="spellStart"/>
      <w:r w:rsidR="0016400F">
        <w:rPr>
          <w:rFonts w:ascii="Abadi" w:hAnsi="Abadi" w:cs="ArialMT"/>
          <w:b/>
          <w:bCs/>
          <w:sz w:val="21"/>
          <w:szCs w:val="21"/>
        </w:rPr>
        <w:t>Angel</w:t>
      </w:r>
      <w:proofErr w:type="spellEnd"/>
      <w:r w:rsidR="0016400F">
        <w:rPr>
          <w:rFonts w:ascii="Abadi" w:hAnsi="Abadi" w:cs="ArialMT"/>
          <w:b/>
          <w:bCs/>
          <w:sz w:val="21"/>
          <w:szCs w:val="21"/>
        </w:rPr>
        <w:t xml:space="preserve"> Rocha</w:t>
      </w:r>
      <w:r w:rsidR="00507DDF">
        <w:rPr>
          <w:rFonts w:ascii="Abadi" w:hAnsi="Abadi" w:cs="ArialMT"/>
          <w:b/>
          <w:bCs/>
          <w:sz w:val="21"/>
          <w:szCs w:val="21"/>
        </w:rPr>
        <w:t xml:space="preserve">, para presentar la iniciativa </w:t>
      </w:r>
      <w:r w:rsidR="00F62C44">
        <w:rPr>
          <w:rFonts w:ascii="Abadi" w:hAnsi="Abadi" w:cs="ArialMT"/>
          <w:b/>
          <w:bCs/>
          <w:sz w:val="21"/>
          <w:szCs w:val="21"/>
        </w:rPr>
        <w:t>en referencia</w:t>
      </w:r>
      <w:r w:rsidR="0016400F" w:rsidRPr="006779BC">
        <w:rPr>
          <w:rFonts w:ascii="Abadi" w:hAnsi="Abadi" w:cs="ArialMT"/>
          <w:b/>
          <w:bCs/>
          <w:sz w:val="21"/>
          <w:szCs w:val="21"/>
        </w:rPr>
        <w:t>)</w:t>
      </w:r>
    </w:p>
    <w:p w14:paraId="456A6229" w14:textId="77777777" w:rsidR="00616E8F" w:rsidRDefault="00616E8F" w:rsidP="00616E8F">
      <w:pPr>
        <w:autoSpaceDE w:val="0"/>
        <w:autoSpaceDN w:val="0"/>
        <w:adjustRightInd w:val="0"/>
        <w:ind w:left="3261" w:right="-355"/>
        <w:contextualSpacing/>
        <w:jc w:val="both"/>
        <w:rPr>
          <w:rFonts w:ascii="Abadi" w:hAnsi="Abadi"/>
          <w:b/>
          <w:bCs/>
          <w:sz w:val="18"/>
          <w:szCs w:val="18"/>
        </w:rPr>
      </w:pPr>
    </w:p>
    <w:p w14:paraId="694E50DE" w14:textId="77777777" w:rsidR="00616E8F" w:rsidRDefault="00616E8F" w:rsidP="00616E8F">
      <w:pPr>
        <w:autoSpaceDE w:val="0"/>
        <w:autoSpaceDN w:val="0"/>
        <w:adjustRightInd w:val="0"/>
        <w:ind w:left="3261" w:right="-355"/>
        <w:contextualSpacing/>
        <w:jc w:val="both"/>
        <w:rPr>
          <w:rFonts w:ascii="Abadi" w:hAnsi="Abadi"/>
          <w:b/>
          <w:bCs/>
          <w:sz w:val="18"/>
          <w:szCs w:val="18"/>
        </w:rPr>
      </w:pPr>
    </w:p>
    <w:p w14:paraId="55E5FB21" w14:textId="6CC131E0" w:rsidR="000646AE" w:rsidRDefault="005C1C6D" w:rsidP="00ED283F">
      <w:pPr>
        <w:autoSpaceDE w:val="0"/>
        <w:autoSpaceDN w:val="0"/>
        <w:adjustRightInd w:val="0"/>
        <w:ind w:left="3119" w:right="-355"/>
        <w:contextualSpacing/>
        <w:jc w:val="both"/>
        <w:rPr>
          <w:rFonts w:ascii="Abadi" w:hAnsi="Abadi"/>
          <w:b/>
          <w:bCs/>
          <w:sz w:val="18"/>
          <w:szCs w:val="18"/>
        </w:rPr>
      </w:pPr>
      <w:r w:rsidRPr="000646AE">
        <w:rPr>
          <w:rFonts w:ascii="Abadi" w:hAnsi="Abadi"/>
          <w:b/>
          <w:bCs/>
          <w:sz w:val="18"/>
          <w:szCs w:val="18"/>
        </w:rPr>
        <w:t>Pág.</w:t>
      </w:r>
      <w:r w:rsidR="00264496">
        <w:rPr>
          <w:rFonts w:ascii="Abadi" w:hAnsi="Abadi"/>
          <w:b/>
          <w:bCs/>
          <w:sz w:val="18"/>
          <w:szCs w:val="18"/>
        </w:rPr>
        <w:t xml:space="preserve"> 6</w:t>
      </w:r>
      <w:r w:rsidR="009B2CD2">
        <w:rPr>
          <w:rFonts w:ascii="Abadi" w:hAnsi="Abadi"/>
          <w:b/>
          <w:bCs/>
          <w:sz w:val="18"/>
          <w:szCs w:val="18"/>
        </w:rPr>
        <w:t>9</w:t>
      </w:r>
    </w:p>
    <w:p w14:paraId="06070C75" w14:textId="77777777" w:rsidR="00616E8F" w:rsidRPr="000646AE" w:rsidRDefault="00616E8F" w:rsidP="00616E8F">
      <w:pPr>
        <w:autoSpaceDE w:val="0"/>
        <w:autoSpaceDN w:val="0"/>
        <w:adjustRightInd w:val="0"/>
        <w:ind w:left="3261" w:right="-355"/>
        <w:contextualSpacing/>
        <w:jc w:val="both"/>
        <w:rPr>
          <w:rFonts w:ascii="Abadi" w:hAnsi="Abadi" w:cs="ArialMT"/>
          <w:b/>
          <w:bCs/>
          <w:sz w:val="21"/>
          <w:szCs w:val="21"/>
        </w:rPr>
      </w:pPr>
    </w:p>
    <w:p w14:paraId="784C880B" w14:textId="77777777" w:rsidR="00332634" w:rsidRPr="003225C2" w:rsidRDefault="00332634" w:rsidP="00332634">
      <w:pPr>
        <w:autoSpaceDE w:val="0"/>
        <w:autoSpaceDN w:val="0"/>
        <w:adjustRightInd w:val="0"/>
        <w:jc w:val="both"/>
        <w:rPr>
          <w:rFonts w:ascii="Abadi" w:hAnsi="Abadi" w:cs="ArialMT"/>
          <w:b/>
          <w:bCs/>
          <w:sz w:val="21"/>
          <w:szCs w:val="21"/>
        </w:rPr>
      </w:pPr>
    </w:p>
    <w:p w14:paraId="2B0BF40D" w14:textId="3AC8FCAA" w:rsidR="00332634" w:rsidRDefault="00332634" w:rsidP="00343CA9">
      <w:pPr>
        <w:pStyle w:val="Prrafodelista"/>
        <w:numPr>
          <w:ilvl w:val="0"/>
          <w:numId w:val="10"/>
        </w:numPr>
        <w:autoSpaceDE w:val="0"/>
        <w:autoSpaceDN w:val="0"/>
        <w:adjustRightInd w:val="0"/>
        <w:ind w:left="851" w:right="566"/>
        <w:contextualSpacing/>
        <w:jc w:val="both"/>
        <w:rPr>
          <w:rFonts w:ascii="Abadi" w:hAnsi="Abadi" w:cs="ArialMT"/>
          <w:b/>
          <w:bCs/>
          <w:sz w:val="21"/>
          <w:szCs w:val="21"/>
        </w:rPr>
      </w:pPr>
      <w:r w:rsidRPr="003225C2">
        <w:rPr>
          <w:rFonts w:ascii="Abadi" w:hAnsi="Abadi" w:cs="ArialMT"/>
          <w:b/>
          <w:bCs/>
          <w:sz w:val="21"/>
          <w:szCs w:val="21"/>
        </w:rPr>
        <w:t xml:space="preserve">Presentación de los informes de resultados formulados por la Auditoría Superior del Estado de Guanajuato relativos a la revisión practicada a la cuenta pública municipal de Yuriria; así como a la auditoría practicada a la infraestructura pública municipal, respecto a las </w:t>
      </w:r>
      <w:r w:rsidRPr="003225C2">
        <w:rPr>
          <w:rFonts w:ascii="Abadi" w:hAnsi="Abadi" w:cs="ArialMT"/>
          <w:b/>
          <w:bCs/>
          <w:sz w:val="21"/>
          <w:szCs w:val="21"/>
        </w:rPr>
        <w:t>operaciones realizadas por la administración municipal de Irapuato, correspondientes al ejercicio fiscal del año 2020.</w:t>
      </w:r>
    </w:p>
    <w:p w14:paraId="4B91EC09" w14:textId="77777777" w:rsidR="00F77E00" w:rsidRDefault="00F77E00" w:rsidP="00F77E00">
      <w:pPr>
        <w:pStyle w:val="Prrafodelista"/>
        <w:autoSpaceDE w:val="0"/>
        <w:autoSpaceDN w:val="0"/>
        <w:adjustRightInd w:val="0"/>
        <w:ind w:left="851" w:right="566"/>
        <w:contextualSpacing/>
        <w:jc w:val="both"/>
        <w:rPr>
          <w:rFonts w:ascii="Abadi" w:hAnsi="Abadi" w:cs="ArialMT"/>
          <w:b/>
          <w:bCs/>
          <w:sz w:val="21"/>
          <w:szCs w:val="21"/>
        </w:rPr>
      </w:pPr>
    </w:p>
    <w:p w14:paraId="049E597D" w14:textId="3ACA62A3" w:rsidR="00332634" w:rsidRDefault="000646AE" w:rsidP="00F77E00">
      <w:pPr>
        <w:ind w:left="3220" w:right="-284"/>
        <w:rPr>
          <w:rFonts w:ascii="Abadi" w:hAnsi="Abadi"/>
          <w:b/>
          <w:bCs/>
          <w:sz w:val="18"/>
          <w:szCs w:val="18"/>
        </w:rPr>
      </w:pPr>
      <w:r w:rsidRPr="000646AE">
        <w:rPr>
          <w:rFonts w:ascii="Abadi" w:hAnsi="Abadi"/>
          <w:b/>
          <w:bCs/>
          <w:sz w:val="18"/>
          <w:szCs w:val="18"/>
        </w:rPr>
        <w:t xml:space="preserve">Pág. </w:t>
      </w:r>
      <w:r w:rsidR="007E2738">
        <w:rPr>
          <w:rFonts w:ascii="Abadi" w:hAnsi="Abadi"/>
          <w:b/>
          <w:bCs/>
          <w:sz w:val="18"/>
          <w:szCs w:val="18"/>
        </w:rPr>
        <w:t>7</w:t>
      </w:r>
      <w:r w:rsidR="00B83E72">
        <w:rPr>
          <w:rFonts w:ascii="Abadi" w:hAnsi="Abadi"/>
          <w:b/>
          <w:bCs/>
          <w:sz w:val="18"/>
          <w:szCs w:val="18"/>
        </w:rPr>
        <w:t>1</w:t>
      </w:r>
    </w:p>
    <w:p w14:paraId="0759913C" w14:textId="46E19A55" w:rsidR="00F05145" w:rsidRDefault="00F05145" w:rsidP="00F05145">
      <w:pPr>
        <w:ind w:right="-284"/>
        <w:rPr>
          <w:rFonts w:ascii="Abadi" w:hAnsi="Abadi"/>
          <w:b/>
          <w:bCs/>
          <w:sz w:val="18"/>
          <w:szCs w:val="18"/>
        </w:rPr>
      </w:pPr>
    </w:p>
    <w:p w14:paraId="7C5EC372" w14:textId="5A7CF289" w:rsidR="00990E6F" w:rsidRDefault="00990E6F" w:rsidP="00F05145">
      <w:pPr>
        <w:ind w:right="-284"/>
        <w:rPr>
          <w:rFonts w:ascii="Abadi" w:hAnsi="Abadi" w:cs="ArialMT"/>
          <w:b/>
          <w:bCs/>
          <w:sz w:val="21"/>
          <w:szCs w:val="21"/>
        </w:rPr>
      </w:pPr>
    </w:p>
    <w:p w14:paraId="49DBBDD1" w14:textId="1D7C5FDD" w:rsidR="00332634" w:rsidRDefault="00332634" w:rsidP="00343CA9">
      <w:pPr>
        <w:pStyle w:val="Prrafodelista"/>
        <w:numPr>
          <w:ilvl w:val="0"/>
          <w:numId w:val="10"/>
        </w:numPr>
        <w:autoSpaceDE w:val="0"/>
        <w:autoSpaceDN w:val="0"/>
        <w:adjustRightInd w:val="0"/>
        <w:ind w:left="851" w:right="566"/>
        <w:contextualSpacing/>
        <w:jc w:val="both"/>
        <w:rPr>
          <w:rFonts w:ascii="Abadi" w:hAnsi="Abadi" w:cs="ArialMT"/>
          <w:b/>
          <w:bCs/>
          <w:sz w:val="21"/>
          <w:szCs w:val="21"/>
        </w:rPr>
      </w:pPr>
      <w:r w:rsidRPr="003225C2">
        <w:rPr>
          <w:rFonts w:ascii="Abadi" w:hAnsi="Abadi" w:cs="ArialMT"/>
          <w:b/>
          <w:bCs/>
          <w:sz w:val="21"/>
          <w:szCs w:val="21"/>
        </w:rPr>
        <w:t>Presentación de la propuesta de punto de acuerdo suscrita por diputadas y diputados integrantes del Grupo Parlamentario del Partido Acción Nacional a fin de exhortar a la Secretaría de Gobernación para que atienda con las medidas de prevención y urgentes las solicitudes de las y los activistas ambientalistas de México.</w:t>
      </w:r>
    </w:p>
    <w:p w14:paraId="7B928913" w14:textId="77777777" w:rsidR="000646AE" w:rsidRDefault="000646AE" w:rsidP="000646AE">
      <w:pPr>
        <w:pStyle w:val="Prrafodelista"/>
        <w:autoSpaceDE w:val="0"/>
        <w:autoSpaceDN w:val="0"/>
        <w:adjustRightInd w:val="0"/>
        <w:ind w:left="851" w:right="566"/>
        <w:contextualSpacing/>
        <w:jc w:val="both"/>
        <w:rPr>
          <w:rFonts w:ascii="Abadi" w:hAnsi="Abadi" w:cs="ArialMT"/>
          <w:b/>
          <w:bCs/>
          <w:sz w:val="21"/>
          <w:szCs w:val="21"/>
        </w:rPr>
      </w:pPr>
    </w:p>
    <w:p w14:paraId="6687807C" w14:textId="327E5B16" w:rsidR="000646AE" w:rsidRDefault="000646AE" w:rsidP="00F26869">
      <w:pPr>
        <w:ind w:left="3220" w:right="-284"/>
        <w:rPr>
          <w:rFonts w:ascii="Abadi" w:hAnsi="Abadi"/>
          <w:b/>
          <w:bCs/>
          <w:sz w:val="18"/>
          <w:szCs w:val="18"/>
        </w:rPr>
      </w:pPr>
      <w:r w:rsidRPr="000646AE">
        <w:rPr>
          <w:rFonts w:ascii="Abadi" w:hAnsi="Abadi"/>
          <w:b/>
          <w:bCs/>
          <w:sz w:val="18"/>
          <w:szCs w:val="18"/>
        </w:rPr>
        <w:t xml:space="preserve">Pág. </w:t>
      </w:r>
      <w:r w:rsidR="00F26869">
        <w:rPr>
          <w:rFonts w:ascii="Abadi" w:hAnsi="Abadi"/>
          <w:b/>
          <w:bCs/>
          <w:sz w:val="18"/>
          <w:szCs w:val="18"/>
        </w:rPr>
        <w:t>7</w:t>
      </w:r>
      <w:r w:rsidR="00B83E72">
        <w:rPr>
          <w:rFonts w:ascii="Abadi" w:hAnsi="Abadi"/>
          <w:b/>
          <w:bCs/>
          <w:sz w:val="18"/>
          <w:szCs w:val="18"/>
        </w:rPr>
        <w:t>2</w:t>
      </w:r>
    </w:p>
    <w:p w14:paraId="2A6D95DA" w14:textId="491A9866" w:rsidR="00F05145" w:rsidRDefault="00F05145" w:rsidP="000646AE">
      <w:pPr>
        <w:ind w:right="-284"/>
        <w:rPr>
          <w:rFonts w:ascii="Abadi" w:hAnsi="Abadi"/>
          <w:b/>
          <w:bCs/>
          <w:sz w:val="18"/>
          <w:szCs w:val="18"/>
        </w:rPr>
      </w:pPr>
    </w:p>
    <w:p w14:paraId="0FFD46D8" w14:textId="17335661" w:rsidR="00F05145" w:rsidRPr="006779BC" w:rsidRDefault="00F05145" w:rsidP="00F05145">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sidR="005C2BF5">
        <w:rPr>
          <w:rFonts w:ascii="Abadi" w:hAnsi="Abadi" w:cs="ArialMT"/>
          <w:b/>
          <w:bCs/>
          <w:sz w:val="21"/>
          <w:szCs w:val="21"/>
        </w:rPr>
        <w:t xml:space="preserve">el diputado </w:t>
      </w:r>
      <w:r w:rsidR="00C31458">
        <w:rPr>
          <w:rFonts w:ascii="Abadi" w:hAnsi="Abadi" w:cs="ArialMT"/>
          <w:b/>
          <w:bCs/>
          <w:sz w:val="21"/>
          <w:szCs w:val="21"/>
        </w:rPr>
        <w:t>Cesar Larrondo Díaz p</w:t>
      </w:r>
      <w:r w:rsidRPr="006779BC">
        <w:rPr>
          <w:rFonts w:ascii="Abadi" w:hAnsi="Abadi" w:cs="ArialMT"/>
          <w:b/>
          <w:bCs/>
          <w:sz w:val="21"/>
          <w:szCs w:val="21"/>
        </w:rPr>
        <w:t xml:space="preserve">ara presentar la iniciativa en referencia) </w:t>
      </w:r>
    </w:p>
    <w:p w14:paraId="57D1F664" w14:textId="77777777" w:rsidR="00BF16FA" w:rsidRDefault="00BF16FA" w:rsidP="00BF16FA">
      <w:pPr>
        <w:ind w:left="708" w:right="-284" w:firstLine="708"/>
        <w:rPr>
          <w:rFonts w:ascii="Abadi" w:hAnsi="Abadi"/>
          <w:b/>
          <w:bCs/>
          <w:sz w:val="18"/>
          <w:szCs w:val="18"/>
        </w:rPr>
      </w:pPr>
    </w:p>
    <w:p w14:paraId="15C56ECC" w14:textId="77777777" w:rsidR="00BF16FA" w:rsidRDefault="00BF16FA" w:rsidP="00F26869">
      <w:pPr>
        <w:ind w:right="-284"/>
        <w:rPr>
          <w:rFonts w:ascii="Abadi" w:hAnsi="Abadi"/>
          <w:b/>
          <w:bCs/>
          <w:sz w:val="18"/>
          <w:szCs w:val="18"/>
        </w:rPr>
      </w:pPr>
    </w:p>
    <w:p w14:paraId="1C55507B" w14:textId="25D35040" w:rsidR="00F05145" w:rsidRPr="000646AE" w:rsidRDefault="00BF16FA" w:rsidP="00F26869">
      <w:pPr>
        <w:ind w:left="3220" w:right="-284"/>
        <w:rPr>
          <w:rFonts w:ascii="Abadi" w:hAnsi="Abadi"/>
          <w:b/>
          <w:bCs/>
          <w:sz w:val="18"/>
          <w:szCs w:val="18"/>
        </w:rPr>
      </w:pPr>
      <w:r w:rsidRPr="000646AE">
        <w:rPr>
          <w:rFonts w:ascii="Abadi" w:hAnsi="Abadi"/>
          <w:b/>
          <w:bCs/>
          <w:sz w:val="18"/>
          <w:szCs w:val="18"/>
        </w:rPr>
        <w:t>Pág.</w:t>
      </w:r>
      <w:r w:rsidR="00F26869">
        <w:rPr>
          <w:rFonts w:ascii="Abadi" w:hAnsi="Abadi"/>
          <w:b/>
          <w:bCs/>
          <w:sz w:val="18"/>
          <w:szCs w:val="18"/>
        </w:rPr>
        <w:t xml:space="preserve"> 7</w:t>
      </w:r>
      <w:r w:rsidR="00B83E72">
        <w:rPr>
          <w:rFonts w:ascii="Abadi" w:hAnsi="Abadi"/>
          <w:b/>
          <w:bCs/>
          <w:sz w:val="18"/>
          <w:szCs w:val="18"/>
        </w:rPr>
        <w:t>5</w:t>
      </w:r>
    </w:p>
    <w:p w14:paraId="7F34CB2F" w14:textId="77777777" w:rsidR="000646AE" w:rsidRPr="000646AE" w:rsidRDefault="000646AE" w:rsidP="000646AE">
      <w:pPr>
        <w:autoSpaceDE w:val="0"/>
        <w:autoSpaceDN w:val="0"/>
        <w:adjustRightInd w:val="0"/>
        <w:ind w:left="491" w:right="566"/>
        <w:contextualSpacing/>
        <w:jc w:val="both"/>
        <w:rPr>
          <w:rFonts w:ascii="Abadi" w:hAnsi="Abadi" w:cs="ArialMT"/>
          <w:b/>
          <w:bCs/>
          <w:sz w:val="21"/>
          <w:szCs w:val="21"/>
        </w:rPr>
      </w:pPr>
    </w:p>
    <w:p w14:paraId="0E0DD79E" w14:textId="77777777" w:rsidR="00332634" w:rsidRPr="003225C2" w:rsidRDefault="00332634" w:rsidP="00332634">
      <w:pPr>
        <w:autoSpaceDE w:val="0"/>
        <w:autoSpaceDN w:val="0"/>
        <w:adjustRightInd w:val="0"/>
        <w:jc w:val="both"/>
        <w:rPr>
          <w:rFonts w:ascii="Abadi" w:hAnsi="Abadi" w:cs="ArialMT"/>
          <w:b/>
          <w:bCs/>
          <w:sz w:val="21"/>
          <w:szCs w:val="21"/>
        </w:rPr>
      </w:pPr>
    </w:p>
    <w:p w14:paraId="44156FF6" w14:textId="5CED68C6" w:rsidR="00332634" w:rsidRDefault="00332634" w:rsidP="00343CA9">
      <w:pPr>
        <w:pStyle w:val="Prrafodelista"/>
        <w:numPr>
          <w:ilvl w:val="0"/>
          <w:numId w:val="10"/>
        </w:numPr>
        <w:autoSpaceDE w:val="0"/>
        <w:autoSpaceDN w:val="0"/>
        <w:adjustRightInd w:val="0"/>
        <w:ind w:left="851" w:right="566"/>
        <w:contextualSpacing/>
        <w:jc w:val="both"/>
        <w:rPr>
          <w:rFonts w:ascii="Abadi" w:hAnsi="Abadi" w:cs="ArialMT"/>
          <w:b/>
          <w:bCs/>
          <w:sz w:val="21"/>
          <w:szCs w:val="21"/>
        </w:rPr>
      </w:pPr>
      <w:r w:rsidRPr="003225C2">
        <w:rPr>
          <w:rFonts w:ascii="Abadi" w:hAnsi="Abadi" w:cs="ArialMT"/>
          <w:b/>
          <w:bCs/>
          <w:sz w:val="21"/>
          <w:szCs w:val="21"/>
        </w:rPr>
        <w:t xml:space="preserve">Presentación de la propuesta de punto de acuerdo formulada por diputadas y diputados integrantes del Grupo Parlamentario del Partido MORENA a efecto de exhortar al Fiscal General de Guanajuato Carlos Zamarripa para que la Fiscalía a su cargo obre bajo el principio de máxima publicidad con respecto al derecho a la información sobre todos los contextos de hallazgo, incluyendo en particular las fosas clandestinas de los que tiene conocimiento y homologue </w:t>
      </w:r>
      <w:r w:rsidRPr="003225C2">
        <w:rPr>
          <w:rFonts w:ascii="Abadi" w:hAnsi="Abadi" w:cs="ArialMT"/>
          <w:b/>
          <w:bCs/>
          <w:sz w:val="21"/>
          <w:szCs w:val="21"/>
        </w:rPr>
        <w:lastRenderedPageBreak/>
        <w:t xml:space="preserve">consecuentemente los datos del </w:t>
      </w:r>
      <w:r w:rsidRPr="003225C2">
        <w:rPr>
          <w:rFonts w:ascii="Abadi" w:hAnsi="Abadi" w:cs="Arial-ItalicMT"/>
          <w:b/>
          <w:bCs/>
          <w:i/>
          <w:iCs/>
          <w:sz w:val="21"/>
          <w:szCs w:val="21"/>
        </w:rPr>
        <w:t xml:space="preserve">mapa </w:t>
      </w:r>
      <w:r w:rsidRPr="003225C2">
        <w:rPr>
          <w:rFonts w:ascii="Abadi" w:hAnsi="Abadi" w:cs="ArialMT"/>
          <w:b/>
          <w:bCs/>
          <w:sz w:val="21"/>
          <w:szCs w:val="21"/>
        </w:rPr>
        <w:t>que aparecen en su página oficial.</w:t>
      </w:r>
    </w:p>
    <w:p w14:paraId="7B806C85" w14:textId="77777777" w:rsidR="000646AE" w:rsidRPr="000646AE" w:rsidRDefault="000646AE" w:rsidP="000646AE">
      <w:pPr>
        <w:autoSpaceDE w:val="0"/>
        <w:autoSpaceDN w:val="0"/>
        <w:adjustRightInd w:val="0"/>
        <w:ind w:right="566"/>
        <w:contextualSpacing/>
        <w:jc w:val="both"/>
        <w:rPr>
          <w:rFonts w:ascii="Abadi" w:hAnsi="Abadi" w:cs="ArialMT"/>
          <w:b/>
          <w:bCs/>
          <w:sz w:val="21"/>
          <w:szCs w:val="21"/>
        </w:rPr>
      </w:pPr>
    </w:p>
    <w:p w14:paraId="4F072F6C" w14:textId="0ED16721" w:rsidR="000646AE" w:rsidRDefault="000646AE" w:rsidP="00A40160">
      <w:pPr>
        <w:pStyle w:val="Prrafodelista"/>
        <w:ind w:left="3220" w:right="-284"/>
        <w:rPr>
          <w:rFonts w:ascii="Abadi" w:hAnsi="Abadi"/>
          <w:b/>
          <w:bCs/>
          <w:sz w:val="18"/>
          <w:szCs w:val="18"/>
        </w:rPr>
      </w:pPr>
      <w:r w:rsidRPr="000646AE">
        <w:rPr>
          <w:rFonts w:ascii="Abadi" w:hAnsi="Abadi"/>
          <w:b/>
          <w:bCs/>
          <w:sz w:val="18"/>
          <w:szCs w:val="18"/>
        </w:rPr>
        <w:t xml:space="preserve">Pág. </w:t>
      </w:r>
      <w:r w:rsidR="003B5379">
        <w:rPr>
          <w:rFonts w:ascii="Abadi" w:hAnsi="Abadi"/>
          <w:b/>
          <w:bCs/>
          <w:sz w:val="18"/>
          <w:szCs w:val="18"/>
        </w:rPr>
        <w:t>7</w:t>
      </w:r>
      <w:r w:rsidR="00E608B4">
        <w:rPr>
          <w:rFonts w:ascii="Abadi" w:hAnsi="Abadi"/>
          <w:b/>
          <w:bCs/>
          <w:sz w:val="18"/>
          <w:szCs w:val="18"/>
        </w:rPr>
        <w:t>8</w:t>
      </w:r>
    </w:p>
    <w:p w14:paraId="5AA4EA7E" w14:textId="03C4CD47" w:rsidR="00F05145" w:rsidRDefault="00F05145" w:rsidP="000646AE">
      <w:pPr>
        <w:pStyle w:val="Prrafodelista"/>
        <w:ind w:left="720" w:right="-284"/>
        <w:rPr>
          <w:rFonts w:ascii="Abadi" w:hAnsi="Abadi"/>
          <w:b/>
          <w:bCs/>
          <w:sz w:val="18"/>
          <w:szCs w:val="18"/>
        </w:rPr>
      </w:pPr>
    </w:p>
    <w:p w14:paraId="1BE9C94B" w14:textId="3E169E3D" w:rsidR="00F05145" w:rsidRPr="006779BC" w:rsidRDefault="00F05145" w:rsidP="00F05145">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sidR="00AF2B67">
        <w:rPr>
          <w:rFonts w:ascii="Abadi" w:hAnsi="Abadi" w:cs="ArialMT"/>
          <w:b/>
          <w:bCs/>
          <w:sz w:val="21"/>
          <w:szCs w:val="21"/>
        </w:rPr>
        <w:t>el diputado David Martínez Mendizabal</w:t>
      </w:r>
      <w:r w:rsidR="00AF2B67" w:rsidRPr="006779BC">
        <w:rPr>
          <w:rFonts w:ascii="Abadi" w:hAnsi="Abadi" w:cs="ArialMT"/>
          <w:b/>
          <w:bCs/>
          <w:sz w:val="21"/>
          <w:szCs w:val="21"/>
        </w:rPr>
        <w:t xml:space="preserve"> </w:t>
      </w:r>
      <w:r w:rsidRPr="006779BC">
        <w:rPr>
          <w:rFonts w:ascii="Abadi" w:hAnsi="Abadi" w:cs="ArialMT"/>
          <w:b/>
          <w:bCs/>
          <w:sz w:val="21"/>
          <w:szCs w:val="21"/>
        </w:rPr>
        <w:t>para presentar la iniciativa en referencia</w:t>
      </w:r>
      <w:r w:rsidR="00AF2B67">
        <w:rPr>
          <w:rFonts w:ascii="Abadi" w:hAnsi="Abadi" w:cs="ArialMT"/>
          <w:b/>
          <w:bCs/>
          <w:sz w:val="21"/>
          <w:szCs w:val="21"/>
        </w:rPr>
        <w:t>)</w:t>
      </w:r>
      <w:r w:rsidRPr="006779BC">
        <w:rPr>
          <w:rFonts w:ascii="Abadi" w:hAnsi="Abadi" w:cs="ArialMT"/>
          <w:b/>
          <w:bCs/>
          <w:sz w:val="21"/>
          <w:szCs w:val="21"/>
        </w:rPr>
        <w:t xml:space="preserve"> </w:t>
      </w:r>
    </w:p>
    <w:p w14:paraId="3003C6AE" w14:textId="77777777" w:rsidR="00F05145" w:rsidRPr="000646AE" w:rsidRDefault="00F05145" w:rsidP="000646AE">
      <w:pPr>
        <w:pStyle w:val="Prrafodelista"/>
        <w:ind w:left="720" w:right="-284"/>
        <w:rPr>
          <w:rFonts w:ascii="Abadi" w:hAnsi="Abadi"/>
          <w:b/>
          <w:bCs/>
          <w:sz w:val="18"/>
          <w:szCs w:val="18"/>
        </w:rPr>
      </w:pPr>
    </w:p>
    <w:p w14:paraId="2BB432F3" w14:textId="73BF3AFE" w:rsidR="00320A82" w:rsidRPr="000646AE" w:rsidRDefault="00320A82" w:rsidP="00A40160">
      <w:pPr>
        <w:ind w:left="3261" w:right="-284"/>
        <w:rPr>
          <w:rFonts w:ascii="Abadi" w:hAnsi="Abadi"/>
          <w:b/>
          <w:bCs/>
          <w:sz w:val="18"/>
          <w:szCs w:val="18"/>
        </w:rPr>
      </w:pPr>
      <w:r w:rsidRPr="000646AE">
        <w:rPr>
          <w:rFonts w:ascii="Abadi" w:hAnsi="Abadi"/>
          <w:b/>
          <w:bCs/>
          <w:sz w:val="18"/>
          <w:szCs w:val="18"/>
        </w:rPr>
        <w:t>Pág.</w:t>
      </w:r>
      <w:r>
        <w:rPr>
          <w:rFonts w:ascii="Abadi" w:hAnsi="Abadi"/>
          <w:b/>
          <w:bCs/>
          <w:sz w:val="18"/>
          <w:szCs w:val="18"/>
        </w:rPr>
        <w:t xml:space="preserve"> </w:t>
      </w:r>
      <w:r w:rsidR="00A33CD7">
        <w:rPr>
          <w:rFonts w:ascii="Abadi" w:hAnsi="Abadi"/>
          <w:b/>
          <w:bCs/>
          <w:sz w:val="18"/>
          <w:szCs w:val="18"/>
        </w:rPr>
        <w:t>8</w:t>
      </w:r>
      <w:r w:rsidR="00736650">
        <w:rPr>
          <w:rFonts w:ascii="Abadi" w:hAnsi="Abadi"/>
          <w:b/>
          <w:bCs/>
          <w:sz w:val="18"/>
          <w:szCs w:val="18"/>
        </w:rPr>
        <w:t>1</w:t>
      </w:r>
    </w:p>
    <w:p w14:paraId="316E8B83" w14:textId="77777777" w:rsidR="000646AE" w:rsidRPr="000646AE" w:rsidRDefault="000646AE" w:rsidP="000646AE">
      <w:pPr>
        <w:autoSpaceDE w:val="0"/>
        <w:autoSpaceDN w:val="0"/>
        <w:adjustRightInd w:val="0"/>
        <w:ind w:left="491" w:right="566"/>
        <w:contextualSpacing/>
        <w:jc w:val="both"/>
        <w:rPr>
          <w:rFonts w:ascii="Abadi" w:hAnsi="Abadi" w:cs="ArialMT"/>
          <w:b/>
          <w:bCs/>
          <w:sz w:val="21"/>
          <w:szCs w:val="21"/>
        </w:rPr>
      </w:pPr>
    </w:p>
    <w:p w14:paraId="0575069D" w14:textId="77777777" w:rsidR="00332634" w:rsidRPr="003225C2" w:rsidRDefault="00332634" w:rsidP="00332634">
      <w:pPr>
        <w:autoSpaceDE w:val="0"/>
        <w:autoSpaceDN w:val="0"/>
        <w:adjustRightInd w:val="0"/>
        <w:ind w:left="851"/>
        <w:jc w:val="both"/>
        <w:rPr>
          <w:rFonts w:ascii="Abadi" w:hAnsi="Abadi" w:cs="Arial-BoldMT"/>
          <w:b/>
          <w:bCs/>
          <w:sz w:val="21"/>
          <w:szCs w:val="21"/>
        </w:rPr>
      </w:pPr>
    </w:p>
    <w:p w14:paraId="0099D6BD" w14:textId="41011C1B" w:rsidR="00332634" w:rsidRDefault="00332634" w:rsidP="00343CA9">
      <w:pPr>
        <w:pStyle w:val="Prrafodelista"/>
        <w:numPr>
          <w:ilvl w:val="0"/>
          <w:numId w:val="9"/>
        </w:numPr>
        <w:autoSpaceDE w:val="0"/>
        <w:autoSpaceDN w:val="0"/>
        <w:adjustRightInd w:val="0"/>
        <w:ind w:left="851" w:right="566"/>
        <w:contextualSpacing/>
        <w:jc w:val="both"/>
        <w:rPr>
          <w:rFonts w:ascii="Abadi" w:hAnsi="Abadi" w:cs="ArialMT"/>
          <w:b/>
          <w:bCs/>
          <w:sz w:val="21"/>
          <w:szCs w:val="21"/>
        </w:rPr>
      </w:pPr>
      <w:r w:rsidRPr="003225C2">
        <w:rPr>
          <w:rFonts w:ascii="Abadi" w:hAnsi="Abadi" w:cs="ArialMT"/>
          <w:b/>
          <w:bCs/>
          <w:sz w:val="21"/>
          <w:szCs w:val="21"/>
        </w:rPr>
        <w:t>Presentación de la propuesta de punto de acuerdo de obvia resolución formulada por diputadas y diputados integrantes del Grupo Parlamentario del Partido Acción Nacional por el que se exhorta al Presidente de la República para que diseñe urgentemente una estrategia de seguridad pública integral y de alcance nacional. Asimismo, para que, en su carácter de Jefe Supremo de las Fuerzas Armadas, proteja la vida de sus elementos, así como de los integrantes de la Guardia Nacional y, en su caso, aprobación de la misma.</w:t>
      </w:r>
    </w:p>
    <w:p w14:paraId="62A01AC9" w14:textId="33308F33" w:rsidR="000646AE" w:rsidRDefault="000646AE" w:rsidP="000646AE">
      <w:pPr>
        <w:pStyle w:val="Prrafodelista"/>
        <w:autoSpaceDE w:val="0"/>
        <w:autoSpaceDN w:val="0"/>
        <w:adjustRightInd w:val="0"/>
        <w:ind w:left="851" w:right="566"/>
        <w:contextualSpacing/>
        <w:jc w:val="both"/>
        <w:rPr>
          <w:rFonts w:ascii="Abadi" w:hAnsi="Abadi" w:cs="ArialMT"/>
          <w:b/>
          <w:bCs/>
          <w:sz w:val="21"/>
          <w:szCs w:val="21"/>
        </w:rPr>
      </w:pPr>
    </w:p>
    <w:p w14:paraId="37477C95" w14:textId="26491693" w:rsidR="000646AE" w:rsidRDefault="000646AE" w:rsidP="006D7AC5">
      <w:pPr>
        <w:ind w:left="2124" w:right="-284" w:firstLine="1096"/>
        <w:rPr>
          <w:rFonts w:ascii="Abadi" w:hAnsi="Abadi"/>
          <w:b/>
          <w:bCs/>
          <w:sz w:val="18"/>
          <w:szCs w:val="18"/>
        </w:rPr>
      </w:pPr>
      <w:r w:rsidRPr="006779BC">
        <w:rPr>
          <w:rFonts w:ascii="Abadi" w:hAnsi="Abadi"/>
          <w:b/>
          <w:bCs/>
          <w:sz w:val="18"/>
          <w:szCs w:val="18"/>
        </w:rPr>
        <w:t xml:space="preserve">Pág. </w:t>
      </w:r>
      <w:r w:rsidR="00AA7BDF">
        <w:rPr>
          <w:rFonts w:ascii="Abadi" w:hAnsi="Abadi"/>
          <w:b/>
          <w:bCs/>
          <w:sz w:val="18"/>
          <w:szCs w:val="18"/>
        </w:rPr>
        <w:t>8</w:t>
      </w:r>
      <w:r w:rsidR="00E608B4">
        <w:rPr>
          <w:rFonts w:ascii="Abadi" w:hAnsi="Abadi"/>
          <w:b/>
          <w:bCs/>
          <w:sz w:val="18"/>
          <w:szCs w:val="18"/>
        </w:rPr>
        <w:t>5</w:t>
      </w:r>
    </w:p>
    <w:p w14:paraId="700721A3" w14:textId="5CA26CAA" w:rsidR="00F05145" w:rsidRDefault="00F05145" w:rsidP="000646AE">
      <w:pPr>
        <w:ind w:right="-284"/>
        <w:rPr>
          <w:rFonts w:ascii="Abadi" w:hAnsi="Abadi"/>
          <w:b/>
          <w:bCs/>
          <w:sz w:val="18"/>
          <w:szCs w:val="18"/>
        </w:rPr>
      </w:pPr>
    </w:p>
    <w:p w14:paraId="63036279" w14:textId="350737CE" w:rsidR="00F05145" w:rsidRPr="006779BC" w:rsidRDefault="00F05145" w:rsidP="00F05145">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sidR="00D05C63">
        <w:rPr>
          <w:rFonts w:ascii="Abadi" w:hAnsi="Abadi" w:cs="ArialMT"/>
          <w:b/>
          <w:bCs/>
          <w:sz w:val="21"/>
          <w:szCs w:val="21"/>
        </w:rPr>
        <w:t>el diputado Martín López Camacho</w:t>
      </w:r>
      <w:r w:rsidR="00D05C63" w:rsidRPr="006779BC">
        <w:rPr>
          <w:rFonts w:ascii="Abadi" w:hAnsi="Abadi" w:cs="ArialMT"/>
          <w:b/>
          <w:bCs/>
          <w:sz w:val="21"/>
          <w:szCs w:val="21"/>
        </w:rPr>
        <w:t xml:space="preserve"> </w:t>
      </w:r>
      <w:r w:rsidRPr="006779BC">
        <w:rPr>
          <w:rFonts w:ascii="Abadi" w:hAnsi="Abadi" w:cs="ArialMT"/>
          <w:b/>
          <w:bCs/>
          <w:sz w:val="21"/>
          <w:szCs w:val="21"/>
        </w:rPr>
        <w:t xml:space="preserve">para presentar </w:t>
      </w:r>
      <w:r w:rsidR="00D05C63">
        <w:rPr>
          <w:rFonts w:ascii="Abadi" w:hAnsi="Abadi" w:cs="ArialMT"/>
          <w:b/>
          <w:bCs/>
          <w:sz w:val="21"/>
          <w:szCs w:val="21"/>
        </w:rPr>
        <w:t xml:space="preserve">el punto de acuerdo </w:t>
      </w:r>
      <w:r w:rsidRPr="006779BC">
        <w:rPr>
          <w:rFonts w:ascii="Abadi" w:hAnsi="Abadi" w:cs="ArialMT"/>
          <w:b/>
          <w:bCs/>
          <w:sz w:val="21"/>
          <w:szCs w:val="21"/>
        </w:rPr>
        <w:t xml:space="preserve">en referencia) </w:t>
      </w:r>
    </w:p>
    <w:p w14:paraId="5E2F98BD" w14:textId="77777777" w:rsidR="00F05145" w:rsidRDefault="00F05145" w:rsidP="000646AE">
      <w:pPr>
        <w:ind w:right="-284"/>
        <w:rPr>
          <w:rFonts w:ascii="Abadi" w:hAnsi="Abadi"/>
          <w:b/>
          <w:bCs/>
          <w:sz w:val="18"/>
          <w:szCs w:val="18"/>
        </w:rPr>
      </w:pPr>
    </w:p>
    <w:p w14:paraId="68F26CDE" w14:textId="0DCBD89F" w:rsidR="000646AE" w:rsidRDefault="006D7AC5" w:rsidP="006D7AC5">
      <w:pPr>
        <w:pStyle w:val="Prrafodelista"/>
        <w:autoSpaceDE w:val="0"/>
        <w:autoSpaceDN w:val="0"/>
        <w:adjustRightInd w:val="0"/>
        <w:ind w:left="1805" w:right="-355" w:firstLine="1456"/>
        <w:contextualSpacing/>
        <w:jc w:val="both"/>
        <w:rPr>
          <w:rFonts w:ascii="Abadi" w:hAnsi="Abadi"/>
          <w:b/>
          <w:bCs/>
          <w:sz w:val="18"/>
          <w:szCs w:val="18"/>
        </w:rPr>
      </w:pPr>
      <w:r w:rsidRPr="006779BC">
        <w:rPr>
          <w:rFonts w:ascii="Abadi" w:hAnsi="Abadi"/>
          <w:b/>
          <w:bCs/>
          <w:sz w:val="18"/>
          <w:szCs w:val="18"/>
        </w:rPr>
        <w:t>Pág.</w:t>
      </w:r>
      <w:r w:rsidR="00FD1F1A">
        <w:rPr>
          <w:rFonts w:ascii="Abadi" w:hAnsi="Abadi"/>
          <w:b/>
          <w:bCs/>
          <w:sz w:val="18"/>
          <w:szCs w:val="18"/>
        </w:rPr>
        <w:t xml:space="preserve"> 8</w:t>
      </w:r>
      <w:r w:rsidR="00E608B4">
        <w:rPr>
          <w:rFonts w:ascii="Abadi" w:hAnsi="Abadi"/>
          <w:b/>
          <w:bCs/>
          <w:sz w:val="18"/>
          <w:szCs w:val="18"/>
        </w:rPr>
        <w:t>7</w:t>
      </w:r>
    </w:p>
    <w:p w14:paraId="7464444F" w14:textId="459D89B4" w:rsidR="003E104B" w:rsidRDefault="003E104B" w:rsidP="006D7AC5">
      <w:pPr>
        <w:pStyle w:val="Prrafodelista"/>
        <w:autoSpaceDE w:val="0"/>
        <w:autoSpaceDN w:val="0"/>
        <w:adjustRightInd w:val="0"/>
        <w:ind w:left="1805" w:right="-355" w:firstLine="1456"/>
        <w:contextualSpacing/>
        <w:jc w:val="both"/>
        <w:rPr>
          <w:rFonts w:ascii="Abadi" w:hAnsi="Abadi"/>
          <w:b/>
          <w:bCs/>
          <w:sz w:val="18"/>
          <w:szCs w:val="18"/>
        </w:rPr>
      </w:pPr>
    </w:p>
    <w:p w14:paraId="7686B8F0" w14:textId="5B29ACE3" w:rsidR="003E104B" w:rsidRPr="006779BC" w:rsidRDefault="003E104B" w:rsidP="003E104B">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Pr>
          <w:rFonts w:ascii="Abadi" w:hAnsi="Abadi" w:cs="ArialMT"/>
          <w:b/>
          <w:bCs/>
          <w:sz w:val="21"/>
          <w:szCs w:val="21"/>
        </w:rPr>
        <w:t xml:space="preserve">el diputado David Martínez </w:t>
      </w:r>
      <w:r w:rsidR="002D2057">
        <w:rPr>
          <w:rFonts w:ascii="Abadi" w:hAnsi="Abadi" w:cs="ArialMT"/>
          <w:b/>
          <w:bCs/>
          <w:sz w:val="21"/>
          <w:szCs w:val="21"/>
        </w:rPr>
        <w:t>Mendizábal</w:t>
      </w:r>
      <w:r>
        <w:rPr>
          <w:rFonts w:ascii="Abadi" w:hAnsi="Abadi" w:cs="ArialMT"/>
          <w:b/>
          <w:bCs/>
          <w:sz w:val="21"/>
          <w:szCs w:val="21"/>
        </w:rPr>
        <w:t xml:space="preserve"> para hablar a favor de</w:t>
      </w:r>
      <w:r w:rsidR="00A6519E">
        <w:rPr>
          <w:rFonts w:ascii="Abadi" w:hAnsi="Abadi" w:cs="ArialMT"/>
          <w:b/>
          <w:bCs/>
          <w:sz w:val="21"/>
          <w:szCs w:val="21"/>
        </w:rPr>
        <w:t xml:space="preserve"> la obvia resolución</w:t>
      </w:r>
      <w:r w:rsidRPr="006779BC">
        <w:rPr>
          <w:rFonts w:ascii="Abadi" w:hAnsi="Abadi" w:cs="ArialMT"/>
          <w:b/>
          <w:bCs/>
          <w:sz w:val="21"/>
          <w:szCs w:val="21"/>
        </w:rPr>
        <w:t xml:space="preserve">) </w:t>
      </w:r>
    </w:p>
    <w:p w14:paraId="2971BA90" w14:textId="77777777" w:rsidR="003E104B" w:rsidRDefault="003E104B" w:rsidP="003E104B">
      <w:pPr>
        <w:ind w:right="-284"/>
        <w:rPr>
          <w:rFonts w:ascii="Abadi" w:hAnsi="Abadi"/>
          <w:b/>
          <w:bCs/>
          <w:sz w:val="18"/>
          <w:szCs w:val="18"/>
        </w:rPr>
      </w:pPr>
    </w:p>
    <w:p w14:paraId="47B893BC" w14:textId="77777777" w:rsidR="003E104B" w:rsidRPr="003225C2" w:rsidRDefault="003E104B" w:rsidP="006D7AC5">
      <w:pPr>
        <w:pStyle w:val="Prrafodelista"/>
        <w:autoSpaceDE w:val="0"/>
        <w:autoSpaceDN w:val="0"/>
        <w:adjustRightInd w:val="0"/>
        <w:ind w:left="1805" w:right="-355" w:firstLine="1456"/>
        <w:contextualSpacing/>
        <w:jc w:val="both"/>
        <w:rPr>
          <w:rFonts w:ascii="Abadi" w:hAnsi="Abadi" w:cs="ArialMT"/>
          <w:b/>
          <w:bCs/>
          <w:sz w:val="21"/>
          <w:szCs w:val="21"/>
        </w:rPr>
      </w:pPr>
    </w:p>
    <w:p w14:paraId="1E99D53F" w14:textId="75918D29" w:rsidR="002D2057" w:rsidRDefault="002D2057" w:rsidP="002D2057">
      <w:pPr>
        <w:pStyle w:val="Prrafodelista"/>
        <w:autoSpaceDE w:val="0"/>
        <w:autoSpaceDN w:val="0"/>
        <w:adjustRightInd w:val="0"/>
        <w:ind w:left="1805" w:right="-355" w:firstLine="1456"/>
        <w:contextualSpacing/>
        <w:jc w:val="both"/>
        <w:rPr>
          <w:rFonts w:ascii="Abadi" w:hAnsi="Abadi"/>
          <w:b/>
          <w:bCs/>
          <w:sz w:val="18"/>
          <w:szCs w:val="18"/>
        </w:rPr>
      </w:pPr>
      <w:r w:rsidRPr="006779BC">
        <w:rPr>
          <w:rFonts w:ascii="Abadi" w:hAnsi="Abadi"/>
          <w:b/>
          <w:bCs/>
          <w:sz w:val="18"/>
          <w:szCs w:val="18"/>
        </w:rPr>
        <w:t>Pág.</w:t>
      </w:r>
      <w:r>
        <w:rPr>
          <w:rFonts w:ascii="Abadi" w:hAnsi="Abadi"/>
          <w:b/>
          <w:bCs/>
          <w:sz w:val="18"/>
          <w:szCs w:val="18"/>
        </w:rPr>
        <w:t xml:space="preserve"> </w:t>
      </w:r>
      <w:r w:rsidR="00E608B4">
        <w:rPr>
          <w:rFonts w:ascii="Abadi" w:hAnsi="Abadi"/>
          <w:b/>
          <w:bCs/>
          <w:sz w:val="18"/>
          <w:szCs w:val="18"/>
        </w:rPr>
        <w:t>90</w:t>
      </w:r>
    </w:p>
    <w:p w14:paraId="77B9E43F" w14:textId="31764B76" w:rsidR="008808D4" w:rsidRDefault="008808D4" w:rsidP="002D2057">
      <w:pPr>
        <w:pStyle w:val="Prrafodelista"/>
        <w:autoSpaceDE w:val="0"/>
        <w:autoSpaceDN w:val="0"/>
        <w:adjustRightInd w:val="0"/>
        <w:ind w:left="1805" w:right="-355" w:firstLine="1456"/>
        <w:contextualSpacing/>
        <w:jc w:val="both"/>
        <w:rPr>
          <w:rFonts w:ascii="Abadi" w:hAnsi="Abadi"/>
          <w:b/>
          <w:bCs/>
          <w:sz w:val="18"/>
          <w:szCs w:val="18"/>
        </w:rPr>
      </w:pPr>
    </w:p>
    <w:p w14:paraId="193CEFA4" w14:textId="592D0658" w:rsidR="008808D4" w:rsidRPr="006779BC" w:rsidRDefault="008808D4" w:rsidP="008808D4">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w:t>
      </w:r>
      <w:r>
        <w:rPr>
          <w:rFonts w:ascii="Abadi" w:hAnsi="Abadi"/>
          <w:b/>
          <w:bCs/>
          <w:sz w:val="21"/>
          <w:szCs w:val="21"/>
        </w:rPr>
        <w:t xml:space="preserve">Sube a tribuna el </w:t>
      </w:r>
      <w:r w:rsidRPr="001A4FF5">
        <w:rPr>
          <w:rFonts w:ascii="Abadi" w:hAnsi="Abadi"/>
          <w:b/>
          <w:bCs/>
          <w:sz w:val="21"/>
          <w:szCs w:val="21"/>
        </w:rPr>
        <w:t xml:space="preserve">Diputado Martín López Camacho, para rectificación de hechos </w:t>
      </w:r>
      <w:r>
        <w:rPr>
          <w:rFonts w:ascii="Abadi" w:hAnsi="Abadi"/>
          <w:b/>
          <w:bCs/>
          <w:sz w:val="21"/>
          <w:szCs w:val="21"/>
        </w:rPr>
        <w:t>del diputado quien le antecedió en el uso de la voz</w:t>
      </w:r>
      <w:r>
        <w:rPr>
          <w:rFonts w:ascii="Abadi" w:hAnsi="Abadi" w:cs="ArialMT"/>
          <w:b/>
          <w:bCs/>
          <w:sz w:val="21"/>
          <w:szCs w:val="21"/>
        </w:rPr>
        <w:t>)</w:t>
      </w:r>
      <w:r w:rsidRPr="006779BC">
        <w:rPr>
          <w:rFonts w:ascii="Abadi" w:hAnsi="Abadi" w:cs="ArialMT"/>
          <w:b/>
          <w:bCs/>
          <w:sz w:val="21"/>
          <w:szCs w:val="21"/>
        </w:rPr>
        <w:t xml:space="preserve"> </w:t>
      </w:r>
    </w:p>
    <w:p w14:paraId="2239AA09" w14:textId="77777777" w:rsidR="008808D4" w:rsidRDefault="008808D4" w:rsidP="002D2057">
      <w:pPr>
        <w:pStyle w:val="Prrafodelista"/>
        <w:autoSpaceDE w:val="0"/>
        <w:autoSpaceDN w:val="0"/>
        <w:adjustRightInd w:val="0"/>
        <w:ind w:left="1805" w:right="-355" w:firstLine="1456"/>
        <w:contextualSpacing/>
        <w:jc w:val="both"/>
        <w:rPr>
          <w:rFonts w:ascii="Abadi" w:hAnsi="Abadi"/>
          <w:b/>
          <w:bCs/>
          <w:sz w:val="18"/>
          <w:szCs w:val="18"/>
        </w:rPr>
      </w:pPr>
    </w:p>
    <w:p w14:paraId="4185D4C9" w14:textId="652F39F4" w:rsidR="008808D4" w:rsidRDefault="008808D4" w:rsidP="002D2057">
      <w:pPr>
        <w:pStyle w:val="Prrafodelista"/>
        <w:autoSpaceDE w:val="0"/>
        <w:autoSpaceDN w:val="0"/>
        <w:adjustRightInd w:val="0"/>
        <w:ind w:left="1805" w:right="-355" w:firstLine="1456"/>
        <w:contextualSpacing/>
        <w:jc w:val="both"/>
        <w:rPr>
          <w:rFonts w:ascii="Abadi" w:hAnsi="Abadi"/>
          <w:b/>
          <w:bCs/>
          <w:sz w:val="18"/>
          <w:szCs w:val="18"/>
        </w:rPr>
      </w:pPr>
    </w:p>
    <w:p w14:paraId="5FCF3715" w14:textId="77777777" w:rsidR="00F26016" w:rsidRDefault="00F26016" w:rsidP="002D2057">
      <w:pPr>
        <w:pStyle w:val="Prrafodelista"/>
        <w:autoSpaceDE w:val="0"/>
        <w:autoSpaceDN w:val="0"/>
        <w:adjustRightInd w:val="0"/>
        <w:ind w:left="1805" w:right="-355" w:firstLine="1456"/>
        <w:contextualSpacing/>
        <w:jc w:val="both"/>
        <w:rPr>
          <w:rFonts w:ascii="Abadi" w:hAnsi="Abadi"/>
          <w:b/>
          <w:bCs/>
          <w:sz w:val="18"/>
          <w:szCs w:val="18"/>
        </w:rPr>
      </w:pPr>
    </w:p>
    <w:p w14:paraId="47D61C40" w14:textId="24465243" w:rsidR="008808D4" w:rsidRDefault="008808D4" w:rsidP="008808D4">
      <w:pPr>
        <w:pStyle w:val="Prrafodelista"/>
        <w:autoSpaceDE w:val="0"/>
        <w:autoSpaceDN w:val="0"/>
        <w:adjustRightInd w:val="0"/>
        <w:ind w:left="1805" w:right="-355" w:firstLine="1456"/>
        <w:contextualSpacing/>
        <w:jc w:val="both"/>
        <w:rPr>
          <w:rFonts w:ascii="Abadi" w:hAnsi="Abadi"/>
          <w:b/>
          <w:bCs/>
          <w:sz w:val="18"/>
          <w:szCs w:val="18"/>
        </w:rPr>
      </w:pPr>
      <w:r w:rsidRPr="006779BC">
        <w:rPr>
          <w:rFonts w:ascii="Abadi" w:hAnsi="Abadi"/>
          <w:b/>
          <w:bCs/>
          <w:sz w:val="18"/>
          <w:szCs w:val="18"/>
        </w:rPr>
        <w:t>Pág.</w:t>
      </w:r>
      <w:r>
        <w:rPr>
          <w:rFonts w:ascii="Abadi" w:hAnsi="Abadi"/>
          <w:b/>
          <w:bCs/>
          <w:sz w:val="18"/>
          <w:szCs w:val="18"/>
        </w:rPr>
        <w:t xml:space="preserve"> 9</w:t>
      </w:r>
      <w:r w:rsidR="00813CAD">
        <w:rPr>
          <w:rFonts w:ascii="Abadi" w:hAnsi="Abadi"/>
          <w:b/>
          <w:bCs/>
          <w:sz w:val="18"/>
          <w:szCs w:val="18"/>
        </w:rPr>
        <w:t>2</w:t>
      </w:r>
    </w:p>
    <w:p w14:paraId="0E1B5F03" w14:textId="77777777" w:rsidR="00F26016" w:rsidRDefault="00F26016" w:rsidP="008808D4">
      <w:pPr>
        <w:pStyle w:val="Prrafodelista"/>
        <w:autoSpaceDE w:val="0"/>
        <w:autoSpaceDN w:val="0"/>
        <w:adjustRightInd w:val="0"/>
        <w:ind w:left="1805" w:right="-355" w:firstLine="1456"/>
        <w:contextualSpacing/>
        <w:jc w:val="both"/>
        <w:rPr>
          <w:rFonts w:ascii="Abadi" w:hAnsi="Abadi"/>
          <w:b/>
          <w:bCs/>
          <w:sz w:val="18"/>
          <w:szCs w:val="18"/>
        </w:rPr>
      </w:pPr>
    </w:p>
    <w:p w14:paraId="4AF171E3" w14:textId="2BAAEA55" w:rsidR="00AC6125" w:rsidRDefault="00AC6125" w:rsidP="008808D4">
      <w:pPr>
        <w:pStyle w:val="Prrafodelista"/>
        <w:autoSpaceDE w:val="0"/>
        <w:autoSpaceDN w:val="0"/>
        <w:adjustRightInd w:val="0"/>
        <w:ind w:left="1805" w:right="-355" w:firstLine="1456"/>
        <w:contextualSpacing/>
        <w:jc w:val="both"/>
        <w:rPr>
          <w:rFonts w:ascii="Abadi" w:hAnsi="Abadi"/>
          <w:b/>
          <w:bCs/>
          <w:sz w:val="18"/>
          <w:szCs w:val="18"/>
        </w:rPr>
      </w:pPr>
    </w:p>
    <w:p w14:paraId="4A5E8289" w14:textId="3DD31090" w:rsidR="00AC6125" w:rsidRPr="006779BC" w:rsidRDefault="00AC6125" w:rsidP="00AC6125">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w:t>
      </w:r>
      <w:r>
        <w:rPr>
          <w:rFonts w:ascii="Abadi" w:hAnsi="Abadi"/>
          <w:b/>
          <w:bCs/>
          <w:sz w:val="21"/>
          <w:szCs w:val="21"/>
        </w:rPr>
        <w:t xml:space="preserve">Sube a tribuna </w:t>
      </w:r>
      <w:r w:rsidRPr="001B1211">
        <w:rPr>
          <w:rFonts w:ascii="Abadi" w:hAnsi="Abadi"/>
          <w:b/>
          <w:bCs/>
          <w:sz w:val="21"/>
          <w:szCs w:val="21"/>
        </w:rPr>
        <w:t>el diputado Davi</w:t>
      </w:r>
      <w:r>
        <w:rPr>
          <w:rFonts w:ascii="Abadi" w:hAnsi="Abadi"/>
          <w:b/>
          <w:bCs/>
          <w:sz w:val="21"/>
          <w:szCs w:val="21"/>
        </w:rPr>
        <w:t xml:space="preserve">d Martínez, </w:t>
      </w:r>
      <w:r w:rsidRPr="001B1211">
        <w:rPr>
          <w:rFonts w:ascii="Abadi" w:hAnsi="Abadi"/>
          <w:b/>
          <w:bCs/>
          <w:sz w:val="21"/>
          <w:szCs w:val="21"/>
        </w:rPr>
        <w:t>para rectificación de hechos referente, ah que en la visión del Presidente están primero los delincuentes que las víctimas»</w:t>
      </w:r>
      <w:r>
        <w:rPr>
          <w:rFonts w:ascii="Abadi" w:hAnsi="Abadi" w:cs="ArialMT"/>
          <w:b/>
          <w:bCs/>
          <w:sz w:val="21"/>
          <w:szCs w:val="21"/>
        </w:rPr>
        <w:t>)</w:t>
      </w:r>
      <w:r w:rsidRPr="006779BC">
        <w:rPr>
          <w:rFonts w:ascii="Abadi" w:hAnsi="Abadi" w:cs="ArialMT"/>
          <w:b/>
          <w:bCs/>
          <w:sz w:val="21"/>
          <w:szCs w:val="21"/>
        </w:rPr>
        <w:t xml:space="preserve"> </w:t>
      </w:r>
    </w:p>
    <w:p w14:paraId="56EC82B0" w14:textId="77777777" w:rsidR="00AC6125" w:rsidRDefault="00AC6125" w:rsidP="008808D4">
      <w:pPr>
        <w:pStyle w:val="Prrafodelista"/>
        <w:autoSpaceDE w:val="0"/>
        <w:autoSpaceDN w:val="0"/>
        <w:adjustRightInd w:val="0"/>
        <w:ind w:left="1805" w:right="-355" w:firstLine="1456"/>
        <w:contextualSpacing/>
        <w:jc w:val="both"/>
        <w:rPr>
          <w:rFonts w:ascii="Abadi" w:hAnsi="Abadi"/>
          <w:b/>
          <w:bCs/>
          <w:sz w:val="18"/>
          <w:szCs w:val="18"/>
        </w:rPr>
      </w:pPr>
    </w:p>
    <w:p w14:paraId="0D7F4A57" w14:textId="6753B02A" w:rsidR="00AC6125" w:rsidRDefault="00AC6125" w:rsidP="008808D4">
      <w:pPr>
        <w:pStyle w:val="Prrafodelista"/>
        <w:autoSpaceDE w:val="0"/>
        <w:autoSpaceDN w:val="0"/>
        <w:adjustRightInd w:val="0"/>
        <w:ind w:left="1805" w:right="-355" w:firstLine="1456"/>
        <w:contextualSpacing/>
        <w:jc w:val="both"/>
        <w:rPr>
          <w:rFonts w:ascii="Abadi" w:hAnsi="Abadi"/>
          <w:b/>
          <w:bCs/>
          <w:sz w:val="18"/>
          <w:szCs w:val="18"/>
        </w:rPr>
      </w:pPr>
    </w:p>
    <w:p w14:paraId="66AFCAAD" w14:textId="69340C74" w:rsidR="00AC6125" w:rsidRDefault="00AC6125" w:rsidP="00AC6125">
      <w:pPr>
        <w:pStyle w:val="Prrafodelista"/>
        <w:autoSpaceDE w:val="0"/>
        <w:autoSpaceDN w:val="0"/>
        <w:adjustRightInd w:val="0"/>
        <w:ind w:left="1805" w:right="-355" w:firstLine="1456"/>
        <w:contextualSpacing/>
        <w:jc w:val="both"/>
        <w:rPr>
          <w:rFonts w:ascii="Abadi" w:hAnsi="Abadi"/>
          <w:b/>
          <w:bCs/>
          <w:sz w:val="18"/>
          <w:szCs w:val="18"/>
        </w:rPr>
      </w:pPr>
      <w:r w:rsidRPr="006779BC">
        <w:rPr>
          <w:rFonts w:ascii="Abadi" w:hAnsi="Abadi"/>
          <w:b/>
          <w:bCs/>
          <w:sz w:val="18"/>
          <w:szCs w:val="18"/>
        </w:rPr>
        <w:t>Pág.</w:t>
      </w:r>
      <w:r>
        <w:rPr>
          <w:rFonts w:ascii="Abadi" w:hAnsi="Abadi"/>
          <w:b/>
          <w:bCs/>
          <w:sz w:val="18"/>
          <w:szCs w:val="18"/>
        </w:rPr>
        <w:t xml:space="preserve"> 9</w:t>
      </w:r>
      <w:r w:rsidR="00813CAD">
        <w:rPr>
          <w:rFonts w:ascii="Abadi" w:hAnsi="Abadi"/>
          <w:b/>
          <w:bCs/>
          <w:sz w:val="18"/>
          <w:szCs w:val="18"/>
        </w:rPr>
        <w:t>3</w:t>
      </w:r>
    </w:p>
    <w:p w14:paraId="28CFCCFB" w14:textId="37B9F435" w:rsidR="00332634" w:rsidRDefault="00332634" w:rsidP="00332634">
      <w:pPr>
        <w:autoSpaceDE w:val="0"/>
        <w:autoSpaceDN w:val="0"/>
        <w:adjustRightInd w:val="0"/>
        <w:ind w:left="851" w:right="566"/>
        <w:jc w:val="both"/>
        <w:rPr>
          <w:rFonts w:ascii="Abadi" w:hAnsi="Abadi" w:cs="Arial-BoldMT"/>
          <w:b/>
          <w:bCs/>
          <w:sz w:val="21"/>
          <w:szCs w:val="21"/>
        </w:rPr>
      </w:pPr>
    </w:p>
    <w:p w14:paraId="73DA73D0" w14:textId="77777777" w:rsidR="002D2057" w:rsidRPr="003225C2" w:rsidRDefault="002D2057" w:rsidP="00332634">
      <w:pPr>
        <w:autoSpaceDE w:val="0"/>
        <w:autoSpaceDN w:val="0"/>
        <w:adjustRightInd w:val="0"/>
        <w:ind w:left="851" w:right="566"/>
        <w:jc w:val="both"/>
        <w:rPr>
          <w:rFonts w:ascii="Abadi" w:hAnsi="Abadi" w:cs="Arial-BoldMT"/>
          <w:b/>
          <w:bCs/>
          <w:sz w:val="21"/>
          <w:szCs w:val="21"/>
        </w:rPr>
      </w:pPr>
    </w:p>
    <w:p w14:paraId="5E121645" w14:textId="10947592" w:rsidR="000646AE" w:rsidRDefault="00332634" w:rsidP="000646AE">
      <w:pPr>
        <w:pStyle w:val="Prrafodelista"/>
        <w:numPr>
          <w:ilvl w:val="0"/>
          <w:numId w:val="9"/>
        </w:numPr>
        <w:autoSpaceDE w:val="0"/>
        <w:autoSpaceDN w:val="0"/>
        <w:adjustRightInd w:val="0"/>
        <w:ind w:left="851" w:right="566"/>
        <w:contextualSpacing/>
        <w:jc w:val="both"/>
        <w:rPr>
          <w:rFonts w:ascii="Abadi" w:hAnsi="Abadi" w:cs="ArialMT"/>
          <w:b/>
          <w:bCs/>
          <w:sz w:val="21"/>
          <w:szCs w:val="21"/>
        </w:rPr>
      </w:pPr>
      <w:r w:rsidRPr="003225C2">
        <w:rPr>
          <w:rFonts w:ascii="Abadi" w:hAnsi="Abadi" w:cs="ArialMT"/>
          <w:b/>
          <w:bCs/>
          <w:sz w:val="21"/>
          <w:szCs w:val="21"/>
        </w:rPr>
        <w:t xml:space="preserve">Presentación de la propuesta de punto de acuerdo de obvia resolución suscrita por diputadas y diputados integrantes del Grupo Parlamentario del Partido Acción Nacional a efecto de exhortar a los 46 ayuntamientos para que, en caso de no haberlo efectuado, realicen los nombramientos de los delegados y subdelegados y se informe a esta soberanía sobre </w:t>
      </w:r>
      <w:proofErr w:type="gramStart"/>
      <w:r w:rsidRPr="003225C2">
        <w:rPr>
          <w:rFonts w:ascii="Abadi" w:hAnsi="Abadi" w:cs="ArialMT"/>
          <w:b/>
          <w:bCs/>
          <w:sz w:val="21"/>
          <w:szCs w:val="21"/>
        </w:rPr>
        <w:t>los  resultados</w:t>
      </w:r>
      <w:proofErr w:type="gramEnd"/>
      <w:r w:rsidRPr="003225C2">
        <w:rPr>
          <w:rFonts w:ascii="Abadi" w:hAnsi="Abadi" w:cs="ArialMT"/>
          <w:b/>
          <w:bCs/>
          <w:sz w:val="21"/>
          <w:szCs w:val="21"/>
        </w:rPr>
        <w:t xml:space="preserve"> y, en su caso, aprobación de la misma.</w:t>
      </w:r>
    </w:p>
    <w:p w14:paraId="097EB102" w14:textId="77777777" w:rsidR="00F26016" w:rsidRDefault="00F26016" w:rsidP="00F26016">
      <w:pPr>
        <w:ind w:left="2832" w:right="-284" w:firstLine="708"/>
        <w:rPr>
          <w:rFonts w:ascii="Abadi" w:hAnsi="Abadi"/>
          <w:b/>
          <w:bCs/>
          <w:sz w:val="18"/>
          <w:szCs w:val="18"/>
        </w:rPr>
      </w:pPr>
    </w:p>
    <w:p w14:paraId="66C10292" w14:textId="36D0F82E" w:rsidR="000646AE" w:rsidRDefault="000646AE" w:rsidP="008E7615">
      <w:pPr>
        <w:ind w:left="3261" w:right="-284"/>
        <w:rPr>
          <w:rFonts w:ascii="Abadi" w:hAnsi="Abadi"/>
          <w:b/>
          <w:bCs/>
          <w:sz w:val="18"/>
          <w:szCs w:val="18"/>
        </w:rPr>
      </w:pPr>
      <w:r w:rsidRPr="000646AE">
        <w:rPr>
          <w:rFonts w:ascii="Abadi" w:hAnsi="Abadi"/>
          <w:b/>
          <w:bCs/>
          <w:sz w:val="18"/>
          <w:szCs w:val="18"/>
        </w:rPr>
        <w:t xml:space="preserve">Pág. </w:t>
      </w:r>
      <w:r w:rsidR="008E7615">
        <w:rPr>
          <w:rFonts w:ascii="Abadi" w:hAnsi="Abadi"/>
          <w:b/>
          <w:bCs/>
          <w:sz w:val="18"/>
          <w:szCs w:val="18"/>
        </w:rPr>
        <w:t>9</w:t>
      </w:r>
      <w:r w:rsidR="00606134">
        <w:rPr>
          <w:rFonts w:ascii="Abadi" w:hAnsi="Abadi"/>
          <w:b/>
          <w:bCs/>
          <w:sz w:val="18"/>
          <w:szCs w:val="18"/>
        </w:rPr>
        <w:t>4</w:t>
      </w:r>
    </w:p>
    <w:p w14:paraId="7FAD1AFD" w14:textId="2EF16ACD" w:rsidR="00F05145" w:rsidRDefault="00F05145" w:rsidP="000646AE">
      <w:pPr>
        <w:ind w:right="-284"/>
        <w:rPr>
          <w:rFonts w:ascii="Abadi" w:hAnsi="Abadi"/>
          <w:b/>
          <w:bCs/>
          <w:sz w:val="18"/>
          <w:szCs w:val="18"/>
        </w:rPr>
      </w:pPr>
    </w:p>
    <w:p w14:paraId="1AE63B16" w14:textId="74C78E02" w:rsidR="00F05145" w:rsidRPr="006779BC" w:rsidRDefault="00F05145" w:rsidP="00F05145">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sidR="00F251DD">
        <w:rPr>
          <w:rFonts w:ascii="Abadi" w:hAnsi="Abadi" w:cs="ArialMT"/>
          <w:b/>
          <w:bCs/>
          <w:sz w:val="21"/>
          <w:szCs w:val="21"/>
        </w:rPr>
        <w:t>el diputado Jorge Ortiz</w:t>
      </w:r>
      <w:r w:rsidR="00F251DD" w:rsidRPr="006779BC">
        <w:rPr>
          <w:rFonts w:ascii="Abadi" w:hAnsi="Abadi" w:cs="ArialMT"/>
          <w:b/>
          <w:bCs/>
          <w:sz w:val="21"/>
          <w:szCs w:val="21"/>
        </w:rPr>
        <w:t xml:space="preserve"> </w:t>
      </w:r>
      <w:r w:rsidRPr="006779BC">
        <w:rPr>
          <w:rFonts w:ascii="Abadi" w:hAnsi="Abadi" w:cs="ArialMT"/>
          <w:b/>
          <w:bCs/>
          <w:sz w:val="21"/>
          <w:szCs w:val="21"/>
        </w:rPr>
        <w:t xml:space="preserve">para presentar </w:t>
      </w:r>
      <w:r w:rsidR="00F251DD">
        <w:rPr>
          <w:rFonts w:ascii="Abadi" w:hAnsi="Abadi" w:cs="ArialMT"/>
          <w:b/>
          <w:bCs/>
          <w:sz w:val="21"/>
          <w:szCs w:val="21"/>
        </w:rPr>
        <w:t xml:space="preserve">el punto de acuerdo </w:t>
      </w:r>
      <w:r w:rsidRPr="006779BC">
        <w:rPr>
          <w:rFonts w:ascii="Abadi" w:hAnsi="Abadi" w:cs="ArialMT"/>
          <w:b/>
          <w:bCs/>
          <w:sz w:val="21"/>
          <w:szCs w:val="21"/>
        </w:rPr>
        <w:t xml:space="preserve">en referencia) </w:t>
      </w:r>
    </w:p>
    <w:p w14:paraId="7E9AFCEE" w14:textId="77777777" w:rsidR="00F05145" w:rsidRPr="000646AE" w:rsidRDefault="00F05145" w:rsidP="000646AE">
      <w:pPr>
        <w:ind w:right="-284"/>
        <w:rPr>
          <w:rFonts w:ascii="Abadi" w:hAnsi="Abadi"/>
          <w:b/>
          <w:bCs/>
          <w:sz w:val="18"/>
          <w:szCs w:val="18"/>
        </w:rPr>
      </w:pPr>
    </w:p>
    <w:p w14:paraId="2A6F2540" w14:textId="77777777" w:rsidR="000646AE" w:rsidRPr="000646AE" w:rsidRDefault="000646AE" w:rsidP="000646AE">
      <w:pPr>
        <w:autoSpaceDE w:val="0"/>
        <w:autoSpaceDN w:val="0"/>
        <w:adjustRightInd w:val="0"/>
        <w:ind w:right="566"/>
        <w:contextualSpacing/>
        <w:jc w:val="both"/>
        <w:rPr>
          <w:rFonts w:ascii="Abadi" w:hAnsi="Abadi" w:cs="ArialMT"/>
          <w:b/>
          <w:bCs/>
          <w:sz w:val="21"/>
          <w:szCs w:val="21"/>
        </w:rPr>
      </w:pPr>
    </w:p>
    <w:p w14:paraId="1E553DF5" w14:textId="77777777" w:rsidR="00332634" w:rsidRPr="003225C2" w:rsidRDefault="00332634" w:rsidP="00332634">
      <w:pPr>
        <w:autoSpaceDE w:val="0"/>
        <w:autoSpaceDN w:val="0"/>
        <w:adjustRightInd w:val="0"/>
        <w:jc w:val="both"/>
        <w:rPr>
          <w:rFonts w:ascii="Abadi" w:hAnsi="Abadi" w:cs="ArialMT"/>
          <w:b/>
          <w:bCs/>
          <w:sz w:val="21"/>
          <w:szCs w:val="21"/>
        </w:rPr>
      </w:pPr>
    </w:p>
    <w:p w14:paraId="47369C65" w14:textId="7603844E" w:rsidR="00332634" w:rsidRDefault="00332634" w:rsidP="00332634">
      <w:pPr>
        <w:autoSpaceDE w:val="0"/>
        <w:autoSpaceDN w:val="0"/>
        <w:adjustRightInd w:val="0"/>
        <w:jc w:val="both"/>
        <w:rPr>
          <w:rFonts w:ascii="Abadi" w:hAnsi="Abadi" w:cs="Arial-BoldMT"/>
          <w:b/>
          <w:bCs/>
          <w:sz w:val="21"/>
          <w:szCs w:val="21"/>
        </w:rPr>
      </w:pPr>
    </w:p>
    <w:p w14:paraId="5BE5C311" w14:textId="022EC12B" w:rsidR="00F251DD" w:rsidRDefault="00F251DD" w:rsidP="00F251DD">
      <w:pPr>
        <w:ind w:left="3261" w:right="-284"/>
        <w:rPr>
          <w:rFonts w:ascii="Abadi" w:hAnsi="Abadi"/>
          <w:b/>
          <w:bCs/>
          <w:sz w:val="18"/>
          <w:szCs w:val="18"/>
        </w:rPr>
      </w:pPr>
      <w:r w:rsidRPr="000646AE">
        <w:rPr>
          <w:rFonts w:ascii="Abadi" w:hAnsi="Abadi"/>
          <w:b/>
          <w:bCs/>
          <w:sz w:val="18"/>
          <w:szCs w:val="18"/>
        </w:rPr>
        <w:t xml:space="preserve">Pág. </w:t>
      </w:r>
      <w:r>
        <w:rPr>
          <w:rFonts w:ascii="Abadi" w:hAnsi="Abadi"/>
          <w:b/>
          <w:bCs/>
          <w:sz w:val="18"/>
          <w:szCs w:val="18"/>
        </w:rPr>
        <w:t>9</w:t>
      </w:r>
      <w:r w:rsidR="00606134">
        <w:rPr>
          <w:rFonts w:ascii="Abadi" w:hAnsi="Abadi"/>
          <w:b/>
          <w:bCs/>
          <w:sz w:val="18"/>
          <w:szCs w:val="18"/>
        </w:rPr>
        <w:t>6</w:t>
      </w:r>
    </w:p>
    <w:p w14:paraId="7FF7AE46" w14:textId="77777777" w:rsidR="00F251DD" w:rsidRPr="003225C2" w:rsidRDefault="00F251DD" w:rsidP="00332634">
      <w:pPr>
        <w:autoSpaceDE w:val="0"/>
        <w:autoSpaceDN w:val="0"/>
        <w:adjustRightInd w:val="0"/>
        <w:jc w:val="both"/>
        <w:rPr>
          <w:rFonts w:ascii="Abadi" w:hAnsi="Abadi" w:cs="Arial-BoldMT"/>
          <w:b/>
          <w:bCs/>
          <w:sz w:val="21"/>
          <w:szCs w:val="21"/>
        </w:rPr>
      </w:pPr>
    </w:p>
    <w:p w14:paraId="151AB7F8" w14:textId="7127D175" w:rsidR="00332634" w:rsidRDefault="00332634" w:rsidP="00343CA9">
      <w:pPr>
        <w:pStyle w:val="Prrafodelista"/>
        <w:numPr>
          <w:ilvl w:val="0"/>
          <w:numId w:val="8"/>
        </w:numPr>
        <w:autoSpaceDE w:val="0"/>
        <w:autoSpaceDN w:val="0"/>
        <w:adjustRightInd w:val="0"/>
        <w:ind w:left="851" w:right="637"/>
        <w:contextualSpacing/>
        <w:jc w:val="both"/>
        <w:rPr>
          <w:rFonts w:ascii="Abadi" w:hAnsi="Abadi" w:cs="ArialMT"/>
          <w:b/>
          <w:bCs/>
          <w:sz w:val="21"/>
          <w:szCs w:val="21"/>
        </w:rPr>
      </w:pPr>
      <w:r w:rsidRPr="003225C2">
        <w:rPr>
          <w:rFonts w:ascii="Abadi" w:hAnsi="Abadi" w:cs="ArialMT"/>
          <w:b/>
          <w:bCs/>
          <w:sz w:val="21"/>
          <w:szCs w:val="21"/>
        </w:rPr>
        <w:t>Presentación de la propuesta de punto de acuerdo de obvia resolución suscrita por el diputado Pablo Alonso Ripoll integrante del Grupo  Parlamentario del Partido MORENA por la que se acuerda la creación de la Comisión Legislativa Especial que tendrá por objeto elaborar un informe en relación al seguimiento y cumplimiento que han dado los 46 Ayuntamientos del Estado de Guanajuato, y las autoridades estatales que corresponde, a la Ley de Justicia Cívica del Estado de Guanajuato, específicamente para conocer el estado que guardan las obligaciones de adecuación o creación de los instrumentos normativos municipales; la adecuación o implementación de los órganos que se encargarán de la Justicia Cívica; la realización de Jornadas de Justicia Itinerante; y la implementación y funcionamiento del Registro de infractores. Comisión Especial que se integrará por 5 miembros a propuesta de la Junta de Gobierno y Coordinación Política. Se establece un plazo de 3 meses para realizar el informe que se le encomienda y, en su caso, aprobación de la misma.</w:t>
      </w:r>
    </w:p>
    <w:p w14:paraId="27657805" w14:textId="77777777" w:rsidR="00CC4DE1" w:rsidRDefault="00CC4DE1" w:rsidP="00CC4DE1">
      <w:pPr>
        <w:ind w:left="2124" w:right="-284" w:firstLine="708"/>
        <w:rPr>
          <w:rFonts w:ascii="Abadi" w:hAnsi="Abadi"/>
          <w:b/>
          <w:bCs/>
          <w:sz w:val="18"/>
          <w:szCs w:val="18"/>
        </w:rPr>
      </w:pPr>
    </w:p>
    <w:p w14:paraId="64A4E09F" w14:textId="5C53F08C" w:rsidR="000646AE" w:rsidRDefault="000646AE" w:rsidP="00CC4DE1">
      <w:pPr>
        <w:ind w:left="2832" w:right="-284" w:firstLine="570"/>
        <w:rPr>
          <w:rFonts w:ascii="Abadi" w:hAnsi="Abadi"/>
          <w:b/>
          <w:bCs/>
          <w:sz w:val="18"/>
          <w:szCs w:val="18"/>
        </w:rPr>
      </w:pPr>
      <w:r w:rsidRPr="000646AE">
        <w:rPr>
          <w:rFonts w:ascii="Abadi" w:hAnsi="Abadi"/>
          <w:b/>
          <w:bCs/>
          <w:sz w:val="18"/>
          <w:szCs w:val="18"/>
        </w:rPr>
        <w:t xml:space="preserve">Pág. </w:t>
      </w:r>
      <w:r w:rsidR="00CC4DE1">
        <w:rPr>
          <w:rFonts w:ascii="Abadi" w:hAnsi="Abadi"/>
          <w:b/>
          <w:bCs/>
          <w:sz w:val="18"/>
          <w:szCs w:val="18"/>
        </w:rPr>
        <w:t>9</w:t>
      </w:r>
      <w:r w:rsidR="00606134">
        <w:rPr>
          <w:rFonts w:ascii="Abadi" w:hAnsi="Abadi"/>
          <w:b/>
          <w:bCs/>
          <w:sz w:val="18"/>
          <w:szCs w:val="18"/>
        </w:rPr>
        <w:t>7</w:t>
      </w:r>
    </w:p>
    <w:p w14:paraId="57260E1F" w14:textId="69F8A668" w:rsidR="00F2222D" w:rsidRDefault="00F2222D" w:rsidP="000646AE">
      <w:pPr>
        <w:ind w:right="-284"/>
        <w:rPr>
          <w:rFonts w:ascii="Abadi" w:hAnsi="Abadi"/>
          <w:b/>
          <w:bCs/>
          <w:sz w:val="18"/>
          <w:szCs w:val="18"/>
        </w:rPr>
      </w:pPr>
    </w:p>
    <w:p w14:paraId="52055D08" w14:textId="70CD5133" w:rsidR="00F2222D" w:rsidRPr="006779BC" w:rsidRDefault="00F2222D" w:rsidP="00F2222D">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sidR="004A00E7">
        <w:rPr>
          <w:rFonts w:ascii="Abadi" w:hAnsi="Abadi" w:cs="ArialMT"/>
          <w:b/>
          <w:bCs/>
          <w:sz w:val="21"/>
          <w:szCs w:val="21"/>
        </w:rPr>
        <w:t>el diputado Pablo Alonso Ripoll</w:t>
      </w:r>
      <w:r w:rsidR="004A00E7" w:rsidRPr="006779BC">
        <w:rPr>
          <w:rFonts w:ascii="Abadi" w:hAnsi="Abadi" w:cs="ArialMT"/>
          <w:b/>
          <w:bCs/>
          <w:sz w:val="21"/>
          <w:szCs w:val="21"/>
        </w:rPr>
        <w:t xml:space="preserve"> </w:t>
      </w:r>
      <w:r w:rsidRPr="006779BC">
        <w:rPr>
          <w:rFonts w:ascii="Abadi" w:hAnsi="Abadi" w:cs="ArialMT"/>
          <w:b/>
          <w:bCs/>
          <w:sz w:val="21"/>
          <w:szCs w:val="21"/>
        </w:rPr>
        <w:t xml:space="preserve">para presentar </w:t>
      </w:r>
      <w:r w:rsidR="00827443">
        <w:rPr>
          <w:rFonts w:ascii="Abadi" w:hAnsi="Abadi" w:cs="ArialMT"/>
          <w:b/>
          <w:bCs/>
          <w:sz w:val="21"/>
          <w:szCs w:val="21"/>
        </w:rPr>
        <w:t xml:space="preserve">el punto de acuerdo </w:t>
      </w:r>
      <w:r w:rsidRPr="006779BC">
        <w:rPr>
          <w:rFonts w:ascii="Abadi" w:hAnsi="Abadi" w:cs="ArialMT"/>
          <w:b/>
          <w:bCs/>
          <w:sz w:val="21"/>
          <w:szCs w:val="21"/>
        </w:rPr>
        <w:t xml:space="preserve">en referencia) </w:t>
      </w:r>
    </w:p>
    <w:p w14:paraId="0314DA3F" w14:textId="77777777" w:rsidR="00F2222D" w:rsidRPr="000646AE" w:rsidRDefault="00F2222D" w:rsidP="000646AE">
      <w:pPr>
        <w:ind w:right="-284"/>
        <w:rPr>
          <w:rFonts w:ascii="Abadi" w:hAnsi="Abadi"/>
          <w:b/>
          <w:bCs/>
          <w:sz w:val="18"/>
          <w:szCs w:val="18"/>
        </w:rPr>
      </w:pPr>
    </w:p>
    <w:p w14:paraId="1F9B7901" w14:textId="77777777" w:rsidR="000646AE" w:rsidRPr="000646AE" w:rsidRDefault="000646AE" w:rsidP="000646AE">
      <w:pPr>
        <w:autoSpaceDE w:val="0"/>
        <w:autoSpaceDN w:val="0"/>
        <w:adjustRightInd w:val="0"/>
        <w:ind w:right="637"/>
        <w:contextualSpacing/>
        <w:jc w:val="both"/>
        <w:rPr>
          <w:rFonts w:ascii="Abadi" w:hAnsi="Abadi" w:cs="ArialMT"/>
          <w:b/>
          <w:bCs/>
          <w:sz w:val="21"/>
          <w:szCs w:val="21"/>
        </w:rPr>
      </w:pPr>
    </w:p>
    <w:p w14:paraId="7F42CF79" w14:textId="0CB13FEB" w:rsidR="00CC4DE1" w:rsidRDefault="00CC4DE1" w:rsidP="00CC4DE1">
      <w:pPr>
        <w:ind w:left="3261" w:right="-284"/>
        <w:rPr>
          <w:rFonts w:ascii="Abadi" w:hAnsi="Abadi"/>
          <w:b/>
          <w:bCs/>
          <w:sz w:val="18"/>
          <w:szCs w:val="18"/>
        </w:rPr>
      </w:pPr>
      <w:r w:rsidRPr="000646AE">
        <w:rPr>
          <w:rFonts w:ascii="Abadi" w:hAnsi="Abadi"/>
          <w:b/>
          <w:bCs/>
          <w:sz w:val="18"/>
          <w:szCs w:val="18"/>
        </w:rPr>
        <w:t xml:space="preserve">Pág. </w:t>
      </w:r>
      <w:r w:rsidR="00606134">
        <w:rPr>
          <w:rFonts w:ascii="Abadi" w:hAnsi="Abadi"/>
          <w:b/>
          <w:bCs/>
          <w:sz w:val="18"/>
          <w:szCs w:val="18"/>
        </w:rPr>
        <w:t>100</w:t>
      </w:r>
    </w:p>
    <w:p w14:paraId="7515CAFD" w14:textId="60194212" w:rsidR="004D0C50" w:rsidRDefault="004D0C50" w:rsidP="00CC4DE1">
      <w:pPr>
        <w:ind w:left="3261" w:right="-284"/>
        <w:rPr>
          <w:rFonts w:ascii="Abadi" w:hAnsi="Abadi"/>
          <w:b/>
          <w:bCs/>
          <w:sz w:val="18"/>
          <w:szCs w:val="18"/>
        </w:rPr>
      </w:pPr>
    </w:p>
    <w:p w14:paraId="18AD2B2B" w14:textId="5BAC2581" w:rsidR="004D0C50" w:rsidRPr="006779BC" w:rsidRDefault="004D0C50" w:rsidP="004D0C50">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sidRPr="000116FA">
        <w:rPr>
          <w:rFonts w:ascii="Abadi" w:hAnsi="Abadi"/>
          <w:b/>
          <w:bCs/>
          <w:sz w:val="21"/>
          <w:szCs w:val="21"/>
        </w:rPr>
        <w:t>el diputado Armando Rangel Hernández, para hablar en contra</w:t>
      </w:r>
      <w:r>
        <w:rPr>
          <w:rFonts w:ascii="Abadi" w:hAnsi="Abadi"/>
          <w:b/>
          <w:bCs/>
          <w:sz w:val="21"/>
          <w:szCs w:val="21"/>
        </w:rPr>
        <w:t xml:space="preserve"> </w:t>
      </w:r>
      <w:r w:rsidR="00F765B7">
        <w:rPr>
          <w:rFonts w:ascii="Abadi" w:hAnsi="Abadi"/>
          <w:b/>
          <w:bCs/>
          <w:sz w:val="21"/>
          <w:szCs w:val="21"/>
        </w:rPr>
        <w:t>del punto de acuerdo</w:t>
      </w:r>
      <w:r w:rsidRPr="006779BC">
        <w:rPr>
          <w:rFonts w:ascii="Abadi" w:hAnsi="Abadi" w:cs="ArialMT"/>
          <w:b/>
          <w:bCs/>
          <w:sz w:val="21"/>
          <w:szCs w:val="21"/>
        </w:rPr>
        <w:t xml:space="preserve">) </w:t>
      </w:r>
    </w:p>
    <w:p w14:paraId="4408979D" w14:textId="77777777" w:rsidR="004D0C50" w:rsidRDefault="004D0C50" w:rsidP="00CC4DE1">
      <w:pPr>
        <w:ind w:left="3261" w:right="-284"/>
        <w:rPr>
          <w:rFonts w:ascii="Abadi" w:hAnsi="Abadi"/>
          <w:b/>
          <w:bCs/>
          <w:sz w:val="18"/>
          <w:szCs w:val="18"/>
        </w:rPr>
      </w:pPr>
    </w:p>
    <w:p w14:paraId="3D9D2AFC" w14:textId="5186E3A8" w:rsidR="00FA0CB1" w:rsidRDefault="00FA0CB1" w:rsidP="00CC4DE1">
      <w:pPr>
        <w:ind w:left="3261" w:right="-284"/>
        <w:rPr>
          <w:rFonts w:ascii="Abadi" w:hAnsi="Abadi"/>
          <w:b/>
          <w:bCs/>
          <w:sz w:val="18"/>
          <w:szCs w:val="18"/>
        </w:rPr>
      </w:pPr>
    </w:p>
    <w:p w14:paraId="7ACA6D77" w14:textId="43BE0702" w:rsidR="00F765B7" w:rsidRDefault="00F765B7" w:rsidP="00F765B7">
      <w:pPr>
        <w:ind w:left="3261" w:right="-284"/>
        <w:rPr>
          <w:rFonts w:ascii="Abadi" w:hAnsi="Abadi"/>
          <w:b/>
          <w:bCs/>
          <w:sz w:val="18"/>
          <w:szCs w:val="18"/>
        </w:rPr>
      </w:pPr>
      <w:r w:rsidRPr="000646AE">
        <w:rPr>
          <w:rFonts w:ascii="Abadi" w:hAnsi="Abadi"/>
          <w:b/>
          <w:bCs/>
          <w:sz w:val="18"/>
          <w:szCs w:val="18"/>
        </w:rPr>
        <w:t xml:space="preserve">Pág. </w:t>
      </w:r>
      <w:r w:rsidR="00861CE4">
        <w:rPr>
          <w:rFonts w:ascii="Abadi" w:hAnsi="Abadi"/>
          <w:b/>
          <w:bCs/>
          <w:sz w:val="18"/>
          <w:szCs w:val="18"/>
        </w:rPr>
        <w:t>10</w:t>
      </w:r>
      <w:r w:rsidR="00FC1257">
        <w:rPr>
          <w:rFonts w:ascii="Abadi" w:hAnsi="Abadi"/>
          <w:b/>
          <w:bCs/>
          <w:sz w:val="18"/>
          <w:szCs w:val="18"/>
        </w:rPr>
        <w:t>1</w:t>
      </w:r>
    </w:p>
    <w:p w14:paraId="3ED88344" w14:textId="5062A0CF" w:rsidR="00FA0CB1" w:rsidRDefault="00FA0CB1" w:rsidP="00CC4DE1">
      <w:pPr>
        <w:ind w:left="3261" w:right="-284"/>
        <w:rPr>
          <w:rFonts w:ascii="Abadi" w:hAnsi="Abadi"/>
          <w:b/>
          <w:bCs/>
          <w:sz w:val="18"/>
          <w:szCs w:val="18"/>
        </w:rPr>
      </w:pPr>
    </w:p>
    <w:p w14:paraId="72BFF838" w14:textId="49A26013" w:rsidR="00F765B7" w:rsidRDefault="00F765B7" w:rsidP="00CC4DE1">
      <w:pPr>
        <w:ind w:left="3261" w:right="-284"/>
        <w:rPr>
          <w:rFonts w:ascii="Abadi" w:hAnsi="Abadi"/>
          <w:b/>
          <w:bCs/>
          <w:sz w:val="18"/>
          <w:szCs w:val="18"/>
        </w:rPr>
      </w:pPr>
    </w:p>
    <w:p w14:paraId="144D6438" w14:textId="77777777" w:rsidR="00F765B7" w:rsidRDefault="00F765B7" w:rsidP="00F765B7">
      <w:pPr>
        <w:ind w:left="3261" w:right="-284"/>
        <w:rPr>
          <w:rFonts w:ascii="Abadi" w:hAnsi="Abadi"/>
          <w:b/>
          <w:bCs/>
          <w:sz w:val="18"/>
          <w:szCs w:val="18"/>
        </w:rPr>
      </w:pPr>
    </w:p>
    <w:p w14:paraId="780A6752" w14:textId="47F333E6" w:rsidR="00F765B7" w:rsidRPr="006779BC" w:rsidRDefault="00F765B7" w:rsidP="00F765B7">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w:t>
      </w:r>
      <w:r w:rsidR="00861CE4" w:rsidRPr="00567FCE">
        <w:rPr>
          <w:rFonts w:ascii="Abadi" w:hAnsi="Abadi"/>
          <w:b/>
          <w:bCs/>
          <w:sz w:val="21"/>
          <w:szCs w:val="21"/>
        </w:rPr>
        <w:t>Sube a tribuna el diputado, Cuauhtémoc Becerra, para hablar a favor del punto de acuerdo</w:t>
      </w:r>
      <w:r w:rsidRPr="006779BC">
        <w:rPr>
          <w:rFonts w:ascii="Abadi" w:hAnsi="Abadi" w:cs="ArialMT"/>
          <w:b/>
          <w:bCs/>
          <w:sz w:val="21"/>
          <w:szCs w:val="21"/>
        </w:rPr>
        <w:t xml:space="preserve">) </w:t>
      </w:r>
    </w:p>
    <w:p w14:paraId="754C89BF" w14:textId="77777777" w:rsidR="00F765B7" w:rsidRDefault="00F765B7" w:rsidP="00CC4DE1">
      <w:pPr>
        <w:ind w:left="3261" w:right="-284"/>
        <w:rPr>
          <w:rFonts w:ascii="Abadi" w:hAnsi="Abadi"/>
          <w:b/>
          <w:bCs/>
          <w:sz w:val="18"/>
          <w:szCs w:val="18"/>
        </w:rPr>
      </w:pPr>
    </w:p>
    <w:p w14:paraId="497DA901" w14:textId="7EDF5B7E" w:rsidR="00F765B7" w:rsidRDefault="00F765B7" w:rsidP="00F765B7">
      <w:pPr>
        <w:ind w:left="3261" w:right="-284"/>
        <w:rPr>
          <w:rFonts w:ascii="Abadi" w:hAnsi="Abadi"/>
          <w:b/>
          <w:bCs/>
          <w:sz w:val="18"/>
          <w:szCs w:val="18"/>
        </w:rPr>
      </w:pPr>
      <w:r w:rsidRPr="000646AE">
        <w:rPr>
          <w:rFonts w:ascii="Abadi" w:hAnsi="Abadi"/>
          <w:b/>
          <w:bCs/>
          <w:sz w:val="18"/>
          <w:szCs w:val="18"/>
        </w:rPr>
        <w:t xml:space="preserve">Pág. </w:t>
      </w:r>
      <w:r w:rsidR="00550C8A">
        <w:rPr>
          <w:rFonts w:ascii="Abadi" w:hAnsi="Abadi"/>
          <w:b/>
          <w:bCs/>
          <w:sz w:val="18"/>
          <w:szCs w:val="18"/>
        </w:rPr>
        <w:t>1</w:t>
      </w:r>
      <w:r w:rsidR="00861CE4">
        <w:rPr>
          <w:rFonts w:ascii="Abadi" w:hAnsi="Abadi"/>
          <w:b/>
          <w:bCs/>
          <w:sz w:val="18"/>
          <w:szCs w:val="18"/>
        </w:rPr>
        <w:t>0</w:t>
      </w:r>
      <w:r w:rsidR="00606134">
        <w:rPr>
          <w:rFonts w:ascii="Abadi" w:hAnsi="Abadi"/>
          <w:b/>
          <w:bCs/>
          <w:sz w:val="18"/>
          <w:szCs w:val="18"/>
        </w:rPr>
        <w:t>2</w:t>
      </w:r>
    </w:p>
    <w:p w14:paraId="3D106070" w14:textId="74C97276" w:rsidR="00332634" w:rsidRDefault="00332634" w:rsidP="00332634">
      <w:pPr>
        <w:autoSpaceDE w:val="0"/>
        <w:autoSpaceDN w:val="0"/>
        <w:adjustRightInd w:val="0"/>
        <w:jc w:val="both"/>
        <w:rPr>
          <w:rFonts w:ascii="Abadi" w:hAnsi="Abadi" w:cs="ArialMT"/>
          <w:b/>
          <w:bCs/>
          <w:sz w:val="21"/>
          <w:szCs w:val="21"/>
        </w:rPr>
      </w:pPr>
    </w:p>
    <w:p w14:paraId="16CF2974" w14:textId="67BD3708" w:rsidR="00F765B7" w:rsidRPr="006779BC" w:rsidRDefault="00F765B7" w:rsidP="00F765B7">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w:t>
      </w:r>
      <w:r w:rsidR="00861CE4" w:rsidRPr="001830A4">
        <w:rPr>
          <w:rFonts w:ascii="Abadi" w:hAnsi="Abadi"/>
          <w:b/>
          <w:bCs/>
          <w:sz w:val="21"/>
          <w:szCs w:val="21"/>
        </w:rPr>
        <w:t>Sube a tribuna la diputada Ruth Noemí Tiscareño Agoitia, para hablar en</w:t>
      </w:r>
      <w:r w:rsidR="00861CE4">
        <w:rPr>
          <w:rFonts w:ascii="Abadi" w:hAnsi="Abadi"/>
          <w:b/>
          <w:bCs/>
          <w:sz w:val="21"/>
          <w:szCs w:val="21"/>
        </w:rPr>
        <w:t xml:space="preserve"> </w:t>
      </w:r>
      <w:r w:rsidR="00861CE4" w:rsidRPr="001830A4">
        <w:rPr>
          <w:rFonts w:ascii="Abadi" w:hAnsi="Abadi"/>
          <w:b/>
          <w:bCs/>
          <w:sz w:val="21"/>
          <w:szCs w:val="21"/>
        </w:rPr>
        <w:t xml:space="preserve">contra del </w:t>
      </w:r>
      <w:r w:rsidR="00861CE4">
        <w:rPr>
          <w:rFonts w:ascii="Abadi" w:hAnsi="Abadi"/>
          <w:b/>
          <w:bCs/>
          <w:sz w:val="21"/>
          <w:szCs w:val="21"/>
        </w:rPr>
        <w:t>punto de acuerdo</w:t>
      </w:r>
      <w:r w:rsidRPr="006779BC">
        <w:rPr>
          <w:rFonts w:ascii="Abadi" w:hAnsi="Abadi" w:cs="ArialMT"/>
          <w:b/>
          <w:bCs/>
          <w:sz w:val="21"/>
          <w:szCs w:val="21"/>
        </w:rPr>
        <w:t xml:space="preserve">) </w:t>
      </w:r>
    </w:p>
    <w:p w14:paraId="6F3916AB" w14:textId="5787B043" w:rsidR="00F765B7" w:rsidRDefault="00F765B7" w:rsidP="00332634">
      <w:pPr>
        <w:autoSpaceDE w:val="0"/>
        <w:autoSpaceDN w:val="0"/>
        <w:adjustRightInd w:val="0"/>
        <w:jc w:val="both"/>
        <w:rPr>
          <w:rFonts w:ascii="Abadi" w:hAnsi="Abadi" w:cs="ArialMT"/>
          <w:b/>
          <w:bCs/>
          <w:sz w:val="21"/>
          <w:szCs w:val="21"/>
        </w:rPr>
      </w:pPr>
    </w:p>
    <w:p w14:paraId="105297E0" w14:textId="77777777" w:rsidR="00861CE4" w:rsidRDefault="00861CE4" w:rsidP="00861CE4">
      <w:pPr>
        <w:ind w:left="3261" w:right="-284"/>
        <w:rPr>
          <w:rFonts w:ascii="Abadi" w:hAnsi="Abadi"/>
          <w:b/>
          <w:bCs/>
          <w:sz w:val="18"/>
          <w:szCs w:val="18"/>
        </w:rPr>
      </w:pPr>
    </w:p>
    <w:p w14:paraId="4B992C23" w14:textId="163F611C" w:rsidR="00861CE4" w:rsidRDefault="00861CE4" w:rsidP="00861CE4">
      <w:pPr>
        <w:ind w:left="3261" w:right="-284"/>
        <w:rPr>
          <w:rFonts w:ascii="Abadi" w:hAnsi="Abadi"/>
          <w:b/>
          <w:bCs/>
          <w:sz w:val="18"/>
          <w:szCs w:val="18"/>
        </w:rPr>
      </w:pPr>
      <w:r w:rsidRPr="000646AE">
        <w:rPr>
          <w:rFonts w:ascii="Abadi" w:hAnsi="Abadi"/>
          <w:b/>
          <w:bCs/>
          <w:sz w:val="18"/>
          <w:szCs w:val="18"/>
        </w:rPr>
        <w:t xml:space="preserve">Pág. </w:t>
      </w:r>
      <w:r>
        <w:rPr>
          <w:rFonts w:ascii="Abadi" w:hAnsi="Abadi"/>
          <w:b/>
          <w:bCs/>
          <w:sz w:val="18"/>
          <w:szCs w:val="18"/>
        </w:rPr>
        <w:t>10</w:t>
      </w:r>
      <w:r w:rsidR="00FC1257">
        <w:rPr>
          <w:rFonts w:ascii="Abadi" w:hAnsi="Abadi"/>
          <w:b/>
          <w:bCs/>
          <w:sz w:val="18"/>
          <w:szCs w:val="18"/>
        </w:rPr>
        <w:t>3</w:t>
      </w:r>
    </w:p>
    <w:p w14:paraId="72B8A439" w14:textId="77777777" w:rsidR="00894DDF" w:rsidRDefault="00894DDF" w:rsidP="00861CE4">
      <w:pPr>
        <w:ind w:left="3261" w:right="-284"/>
        <w:rPr>
          <w:rFonts w:ascii="Abadi" w:hAnsi="Abadi"/>
          <w:b/>
          <w:bCs/>
          <w:sz w:val="18"/>
          <w:szCs w:val="18"/>
        </w:rPr>
      </w:pPr>
    </w:p>
    <w:p w14:paraId="44294939" w14:textId="6874B1A2" w:rsidR="00275472" w:rsidRPr="006779BC" w:rsidRDefault="00275472" w:rsidP="00275472">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w:t>
      </w:r>
      <w:r w:rsidR="00894DDF" w:rsidRPr="007F6E65">
        <w:rPr>
          <w:rFonts w:ascii="Abadi" w:hAnsi="Abadi"/>
          <w:b/>
          <w:bCs/>
          <w:sz w:val="21"/>
          <w:szCs w:val="21"/>
        </w:rPr>
        <w:t>Hace uso de la voz la diputada Yulma</w:t>
      </w:r>
      <w:r w:rsidR="00894DDF">
        <w:rPr>
          <w:rFonts w:ascii="Abadi" w:hAnsi="Abadi"/>
          <w:b/>
          <w:bCs/>
          <w:sz w:val="21"/>
          <w:szCs w:val="21"/>
        </w:rPr>
        <w:t xml:space="preserve"> Rocha</w:t>
      </w:r>
      <w:r w:rsidR="00894DDF" w:rsidRPr="007F6E65">
        <w:rPr>
          <w:rFonts w:ascii="Abadi" w:hAnsi="Abadi"/>
          <w:b/>
          <w:bCs/>
          <w:sz w:val="21"/>
          <w:szCs w:val="21"/>
        </w:rPr>
        <w:t xml:space="preserve"> para razonar su voto</w:t>
      </w:r>
      <w:r w:rsidR="00651E75">
        <w:rPr>
          <w:rFonts w:ascii="Abadi" w:hAnsi="Abadi"/>
          <w:b/>
          <w:bCs/>
          <w:sz w:val="21"/>
          <w:szCs w:val="21"/>
        </w:rPr>
        <w:t>, a favor del punto de acuerdo</w:t>
      </w:r>
      <w:r w:rsidRPr="006779BC">
        <w:rPr>
          <w:rFonts w:ascii="Abadi" w:hAnsi="Abadi" w:cs="ArialMT"/>
          <w:b/>
          <w:bCs/>
          <w:sz w:val="21"/>
          <w:szCs w:val="21"/>
        </w:rPr>
        <w:t xml:space="preserve">) </w:t>
      </w:r>
    </w:p>
    <w:p w14:paraId="7EEAF814" w14:textId="77777777" w:rsidR="00275472" w:rsidRDefault="00275472" w:rsidP="00275472">
      <w:pPr>
        <w:autoSpaceDE w:val="0"/>
        <w:autoSpaceDN w:val="0"/>
        <w:adjustRightInd w:val="0"/>
        <w:jc w:val="both"/>
        <w:rPr>
          <w:rFonts w:ascii="Abadi" w:hAnsi="Abadi" w:cs="ArialMT"/>
          <w:b/>
          <w:bCs/>
          <w:sz w:val="21"/>
          <w:szCs w:val="21"/>
        </w:rPr>
      </w:pPr>
    </w:p>
    <w:p w14:paraId="2E245DA5" w14:textId="77777777" w:rsidR="00275472" w:rsidRDefault="00275472" w:rsidP="00861CE4">
      <w:pPr>
        <w:ind w:left="3261" w:right="-284"/>
        <w:rPr>
          <w:rFonts w:ascii="Abadi" w:hAnsi="Abadi"/>
          <w:b/>
          <w:bCs/>
          <w:sz w:val="18"/>
          <w:szCs w:val="18"/>
        </w:rPr>
      </w:pPr>
    </w:p>
    <w:p w14:paraId="779D1569" w14:textId="336D1DA5" w:rsidR="00894DDF" w:rsidRDefault="00894DDF" w:rsidP="00894DDF">
      <w:pPr>
        <w:ind w:left="3261" w:right="-284"/>
        <w:rPr>
          <w:rFonts w:ascii="Abadi" w:hAnsi="Abadi"/>
          <w:b/>
          <w:bCs/>
          <w:sz w:val="18"/>
          <w:szCs w:val="18"/>
        </w:rPr>
      </w:pPr>
      <w:r w:rsidRPr="000646AE">
        <w:rPr>
          <w:rFonts w:ascii="Abadi" w:hAnsi="Abadi"/>
          <w:b/>
          <w:bCs/>
          <w:sz w:val="18"/>
          <w:szCs w:val="18"/>
        </w:rPr>
        <w:t xml:space="preserve">Pág. </w:t>
      </w:r>
      <w:r>
        <w:rPr>
          <w:rFonts w:ascii="Abadi" w:hAnsi="Abadi"/>
          <w:b/>
          <w:bCs/>
          <w:sz w:val="18"/>
          <w:szCs w:val="18"/>
        </w:rPr>
        <w:t>10</w:t>
      </w:r>
      <w:r w:rsidR="005947D9">
        <w:rPr>
          <w:rFonts w:ascii="Abadi" w:hAnsi="Abadi"/>
          <w:b/>
          <w:bCs/>
          <w:sz w:val="18"/>
          <w:szCs w:val="18"/>
        </w:rPr>
        <w:t>4</w:t>
      </w:r>
    </w:p>
    <w:p w14:paraId="6FFFE7CF" w14:textId="476CD7FA" w:rsidR="00E15BFB" w:rsidRDefault="00E15BFB" w:rsidP="00861CE4">
      <w:pPr>
        <w:ind w:left="3261" w:right="-284"/>
        <w:rPr>
          <w:rFonts w:ascii="Abadi" w:hAnsi="Abadi"/>
          <w:b/>
          <w:bCs/>
          <w:sz w:val="18"/>
          <w:szCs w:val="18"/>
        </w:rPr>
      </w:pPr>
    </w:p>
    <w:p w14:paraId="0D8DB482" w14:textId="77777777" w:rsidR="00861CE4" w:rsidRPr="003225C2" w:rsidRDefault="00861CE4" w:rsidP="00332634">
      <w:pPr>
        <w:autoSpaceDE w:val="0"/>
        <w:autoSpaceDN w:val="0"/>
        <w:adjustRightInd w:val="0"/>
        <w:jc w:val="both"/>
        <w:rPr>
          <w:rFonts w:ascii="Abadi" w:hAnsi="Abadi" w:cs="ArialMT"/>
          <w:b/>
          <w:bCs/>
          <w:sz w:val="21"/>
          <w:szCs w:val="21"/>
        </w:rPr>
      </w:pPr>
    </w:p>
    <w:p w14:paraId="38507D22" w14:textId="6F5E59EB" w:rsidR="00332634" w:rsidRDefault="00332634" w:rsidP="00343CA9">
      <w:pPr>
        <w:pStyle w:val="Prrafodelista"/>
        <w:numPr>
          <w:ilvl w:val="0"/>
          <w:numId w:val="7"/>
        </w:numPr>
        <w:autoSpaceDE w:val="0"/>
        <w:autoSpaceDN w:val="0"/>
        <w:adjustRightInd w:val="0"/>
        <w:ind w:left="851" w:right="637"/>
        <w:contextualSpacing/>
        <w:jc w:val="both"/>
        <w:rPr>
          <w:rFonts w:ascii="Abadi" w:hAnsi="Abadi" w:cs="ArialMT"/>
          <w:b/>
          <w:bCs/>
          <w:sz w:val="21"/>
          <w:szCs w:val="21"/>
        </w:rPr>
      </w:pPr>
      <w:r w:rsidRPr="003225C2">
        <w:rPr>
          <w:rFonts w:ascii="Abadi" w:hAnsi="Abadi" w:cs="ArialMT"/>
          <w:b/>
          <w:bCs/>
          <w:sz w:val="21"/>
          <w:szCs w:val="21"/>
        </w:rPr>
        <w:t xml:space="preserve">Presentación de la propuesta de punto de acuerdo de obvia resolución suscrita por la diputada Alma Edwviges Alcaraz Hernández integrante del Grupo Parlamentario del Partido MORENA a efecto de exhortar respetuosamente al </w:t>
      </w:r>
      <w:r w:rsidRPr="003225C2">
        <w:rPr>
          <w:rFonts w:ascii="Abadi" w:hAnsi="Abadi" w:cs="ArialMT"/>
          <w:b/>
          <w:bCs/>
          <w:sz w:val="21"/>
          <w:szCs w:val="21"/>
        </w:rPr>
        <w:lastRenderedPageBreak/>
        <w:t xml:space="preserve">Gobernador del Estado de Guanajuato, el C. Diego </w:t>
      </w:r>
      <w:proofErr w:type="spellStart"/>
      <w:r w:rsidRPr="003225C2">
        <w:rPr>
          <w:rFonts w:ascii="Abadi" w:hAnsi="Abadi" w:cs="ArialMT"/>
          <w:b/>
          <w:bCs/>
          <w:sz w:val="21"/>
          <w:szCs w:val="21"/>
        </w:rPr>
        <w:t>Sinhue</w:t>
      </w:r>
      <w:proofErr w:type="spellEnd"/>
      <w:r w:rsidRPr="003225C2">
        <w:rPr>
          <w:rFonts w:ascii="Abadi" w:hAnsi="Abadi" w:cs="ArialMT"/>
          <w:b/>
          <w:bCs/>
          <w:sz w:val="21"/>
          <w:szCs w:val="21"/>
        </w:rPr>
        <w:t xml:space="preserve"> Rodríguez Vallejo, para que, con fundamento en lo establecido en la fracción IV del artículo 95 de la Constitución Política en el Estado, inicie el procedimiento de remoción del Fiscal General del Estado, Carlos Zamarripa Aguirre y, en su caso, aprobación de la misma.</w:t>
      </w:r>
    </w:p>
    <w:p w14:paraId="04543D79" w14:textId="77777777" w:rsidR="00EF2128" w:rsidRDefault="00EF2128" w:rsidP="00EF2128">
      <w:pPr>
        <w:ind w:left="2832" w:right="-284" w:firstLine="708"/>
        <w:rPr>
          <w:rFonts w:ascii="Abadi" w:hAnsi="Abadi"/>
          <w:b/>
          <w:bCs/>
          <w:sz w:val="18"/>
          <w:szCs w:val="18"/>
        </w:rPr>
      </w:pPr>
    </w:p>
    <w:p w14:paraId="3EB2DAA9" w14:textId="5705780E" w:rsidR="00601D7D" w:rsidRPr="00601D7D" w:rsidRDefault="00601D7D" w:rsidP="00EF2128">
      <w:pPr>
        <w:ind w:left="3220" w:right="-284"/>
        <w:rPr>
          <w:rFonts w:ascii="Abadi" w:hAnsi="Abadi"/>
          <w:b/>
          <w:bCs/>
          <w:sz w:val="18"/>
          <w:szCs w:val="18"/>
        </w:rPr>
      </w:pPr>
      <w:r w:rsidRPr="00601D7D">
        <w:rPr>
          <w:rFonts w:ascii="Abadi" w:hAnsi="Abadi"/>
          <w:b/>
          <w:bCs/>
          <w:sz w:val="18"/>
          <w:szCs w:val="18"/>
        </w:rPr>
        <w:t xml:space="preserve">Pág. </w:t>
      </w:r>
      <w:r w:rsidR="00EF2128">
        <w:rPr>
          <w:rFonts w:ascii="Abadi" w:hAnsi="Abadi"/>
          <w:b/>
          <w:bCs/>
          <w:sz w:val="18"/>
          <w:szCs w:val="18"/>
        </w:rPr>
        <w:t>10</w:t>
      </w:r>
      <w:r w:rsidR="00E2646D">
        <w:rPr>
          <w:rFonts w:ascii="Abadi" w:hAnsi="Abadi"/>
          <w:b/>
          <w:bCs/>
          <w:sz w:val="18"/>
          <w:szCs w:val="18"/>
        </w:rPr>
        <w:t>5</w:t>
      </w:r>
    </w:p>
    <w:p w14:paraId="11AC80F6" w14:textId="77777777" w:rsidR="00601D7D" w:rsidRPr="00601D7D" w:rsidRDefault="00601D7D" w:rsidP="00601D7D">
      <w:pPr>
        <w:autoSpaceDE w:val="0"/>
        <w:autoSpaceDN w:val="0"/>
        <w:adjustRightInd w:val="0"/>
        <w:ind w:right="637"/>
        <w:contextualSpacing/>
        <w:jc w:val="both"/>
        <w:rPr>
          <w:rFonts w:ascii="Abadi" w:hAnsi="Abadi" w:cs="ArialMT"/>
          <w:b/>
          <w:bCs/>
          <w:sz w:val="21"/>
          <w:szCs w:val="21"/>
        </w:rPr>
      </w:pPr>
    </w:p>
    <w:p w14:paraId="6FFD559F" w14:textId="5FE1044D" w:rsidR="00CC4DE1" w:rsidRPr="006779BC" w:rsidRDefault="00CC4DE1" w:rsidP="00CC4DE1">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sidR="00B76659">
        <w:rPr>
          <w:rFonts w:ascii="Abadi" w:hAnsi="Abadi" w:cs="ArialMT"/>
          <w:b/>
          <w:bCs/>
          <w:sz w:val="21"/>
          <w:szCs w:val="21"/>
        </w:rPr>
        <w:t xml:space="preserve">la diputada Alma Edwviges Alcaraz Hernández </w:t>
      </w:r>
      <w:r w:rsidR="008E773A">
        <w:rPr>
          <w:rFonts w:ascii="Abadi" w:hAnsi="Abadi" w:cs="ArialMT"/>
          <w:b/>
          <w:bCs/>
          <w:sz w:val="21"/>
          <w:szCs w:val="21"/>
        </w:rPr>
        <w:t>para presentar el punto de acuerdo referido</w:t>
      </w:r>
      <w:r w:rsidRPr="006779BC">
        <w:rPr>
          <w:rFonts w:ascii="Abadi" w:hAnsi="Abadi" w:cs="ArialMT"/>
          <w:b/>
          <w:bCs/>
          <w:sz w:val="21"/>
          <w:szCs w:val="21"/>
        </w:rPr>
        <w:t xml:space="preserve">) </w:t>
      </w:r>
    </w:p>
    <w:p w14:paraId="02DD5008" w14:textId="4BEFA31F" w:rsidR="00332634" w:rsidRDefault="00332634" w:rsidP="00332634">
      <w:pPr>
        <w:autoSpaceDE w:val="0"/>
        <w:autoSpaceDN w:val="0"/>
        <w:adjustRightInd w:val="0"/>
        <w:jc w:val="both"/>
        <w:rPr>
          <w:rFonts w:ascii="Abadi" w:hAnsi="Abadi" w:cs="Arial-BoldMT"/>
          <w:b/>
          <w:bCs/>
          <w:sz w:val="21"/>
          <w:szCs w:val="21"/>
        </w:rPr>
      </w:pPr>
    </w:p>
    <w:p w14:paraId="4351ACE2" w14:textId="2F624507" w:rsidR="00CC4DE1" w:rsidRDefault="00CC4DE1" w:rsidP="00332634">
      <w:pPr>
        <w:autoSpaceDE w:val="0"/>
        <w:autoSpaceDN w:val="0"/>
        <w:adjustRightInd w:val="0"/>
        <w:jc w:val="both"/>
        <w:rPr>
          <w:rFonts w:ascii="Abadi" w:hAnsi="Abadi" w:cs="Arial-BoldMT"/>
          <w:b/>
          <w:bCs/>
          <w:sz w:val="21"/>
          <w:szCs w:val="21"/>
        </w:rPr>
      </w:pPr>
    </w:p>
    <w:p w14:paraId="36CD912B" w14:textId="1EEE685D" w:rsidR="00CC4DE1" w:rsidRDefault="00CC4DE1" w:rsidP="00FE6FE8">
      <w:pPr>
        <w:ind w:left="3220" w:right="-284"/>
        <w:rPr>
          <w:rFonts w:ascii="Abadi" w:hAnsi="Abadi"/>
          <w:b/>
          <w:bCs/>
          <w:sz w:val="18"/>
          <w:szCs w:val="18"/>
        </w:rPr>
      </w:pPr>
      <w:r w:rsidRPr="00601D7D">
        <w:rPr>
          <w:rFonts w:ascii="Abadi" w:hAnsi="Abadi"/>
          <w:b/>
          <w:bCs/>
          <w:sz w:val="18"/>
          <w:szCs w:val="18"/>
        </w:rPr>
        <w:t xml:space="preserve">Pág. </w:t>
      </w:r>
      <w:r w:rsidR="002A1950">
        <w:rPr>
          <w:rFonts w:ascii="Abadi" w:hAnsi="Abadi"/>
          <w:b/>
          <w:bCs/>
          <w:sz w:val="18"/>
          <w:szCs w:val="18"/>
        </w:rPr>
        <w:t>1</w:t>
      </w:r>
      <w:r w:rsidR="00FE6FE8">
        <w:rPr>
          <w:rFonts w:ascii="Abadi" w:hAnsi="Abadi"/>
          <w:b/>
          <w:bCs/>
          <w:sz w:val="18"/>
          <w:szCs w:val="18"/>
        </w:rPr>
        <w:t>0</w:t>
      </w:r>
      <w:r w:rsidR="005947D9">
        <w:rPr>
          <w:rFonts w:ascii="Abadi" w:hAnsi="Abadi"/>
          <w:b/>
          <w:bCs/>
          <w:sz w:val="18"/>
          <w:szCs w:val="18"/>
        </w:rPr>
        <w:t>8</w:t>
      </w:r>
    </w:p>
    <w:p w14:paraId="57D9851C" w14:textId="4ED460FB" w:rsidR="00957953" w:rsidRDefault="00957953" w:rsidP="00957953">
      <w:pPr>
        <w:ind w:left="2832" w:right="-284" w:firstLine="708"/>
        <w:rPr>
          <w:rFonts w:ascii="Abadi" w:hAnsi="Abadi"/>
          <w:b/>
          <w:bCs/>
          <w:sz w:val="18"/>
          <w:szCs w:val="18"/>
        </w:rPr>
      </w:pPr>
    </w:p>
    <w:p w14:paraId="4C0DB76F" w14:textId="5C5B6852" w:rsidR="00957953" w:rsidRPr="006779BC" w:rsidRDefault="00957953" w:rsidP="00957953">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Pr>
          <w:rFonts w:ascii="Abadi" w:hAnsi="Abadi" w:cs="ArialMT"/>
          <w:b/>
          <w:bCs/>
          <w:sz w:val="21"/>
          <w:szCs w:val="21"/>
        </w:rPr>
        <w:t xml:space="preserve">la diputada </w:t>
      </w:r>
      <w:r w:rsidR="002537A5">
        <w:rPr>
          <w:rFonts w:ascii="Abadi" w:hAnsi="Abadi" w:cs="ArialMT"/>
          <w:b/>
          <w:bCs/>
          <w:sz w:val="21"/>
          <w:szCs w:val="21"/>
        </w:rPr>
        <w:t xml:space="preserve">Hades Aguilar </w:t>
      </w:r>
      <w:r w:rsidR="004F27BA">
        <w:rPr>
          <w:rFonts w:ascii="Abadi" w:hAnsi="Abadi" w:cs="ArialMT"/>
          <w:b/>
          <w:bCs/>
          <w:sz w:val="21"/>
          <w:szCs w:val="21"/>
        </w:rPr>
        <w:t>pa</w:t>
      </w:r>
      <w:r>
        <w:rPr>
          <w:rFonts w:ascii="Abadi" w:hAnsi="Abadi" w:cs="ArialMT"/>
          <w:b/>
          <w:bCs/>
          <w:sz w:val="21"/>
          <w:szCs w:val="21"/>
        </w:rPr>
        <w:t xml:space="preserve">ra </w:t>
      </w:r>
      <w:r w:rsidR="002537A5">
        <w:rPr>
          <w:rFonts w:ascii="Abadi" w:hAnsi="Abadi" w:cs="ArialMT"/>
          <w:b/>
          <w:bCs/>
          <w:sz w:val="21"/>
          <w:szCs w:val="21"/>
        </w:rPr>
        <w:t>hablar a favor del punto de acuerdo</w:t>
      </w:r>
      <w:r w:rsidRPr="006779BC">
        <w:rPr>
          <w:rFonts w:ascii="Abadi" w:hAnsi="Abadi" w:cs="ArialMT"/>
          <w:b/>
          <w:bCs/>
          <w:sz w:val="21"/>
          <w:szCs w:val="21"/>
        </w:rPr>
        <w:t xml:space="preserve">) </w:t>
      </w:r>
    </w:p>
    <w:p w14:paraId="4542FF68" w14:textId="5B3DF66D" w:rsidR="00957953" w:rsidRDefault="00957953" w:rsidP="00957953">
      <w:pPr>
        <w:autoSpaceDE w:val="0"/>
        <w:autoSpaceDN w:val="0"/>
        <w:adjustRightInd w:val="0"/>
        <w:jc w:val="both"/>
        <w:rPr>
          <w:rFonts w:ascii="Abadi" w:hAnsi="Abadi" w:cs="Arial-BoldMT"/>
          <w:b/>
          <w:bCs/>
          <w:sz w:val="21"/>
          <w:szCs w:val="21"/>
        </w:rPr>
      </w:pPr>
    </w:p>
    <w:p w14:paraId="1B9F3641" w14:textId="4E2CA125" w:rsidR="00CF1DBF" w:rsidRDefault="00CF1DBF" w:rsidP="00CF1DBF">
      <w:pPr>
        <w:ind w:left="3220" w:right="-284"/>
        <w:rPr>
          <w:rFonts w:ascii="Abadi" w:hAnsi="Abadi"/>
          <w:b/>
          <w:bCs/>
          <w:sz w:val="18"/>
          <w:szCs w:val="18"/>
        </w:rPr>
      </w:pPr>
      <w:r w:rsidRPr="00601D7D">
        <w:rPr>
          <w:rFonts w:ascii="Abadi" w:hAnsi="Abadi"/>
          <w:b/>
          <w:bCs/>
          <w:sz w:val="18"/>
          <w:szCs w:val="18"/>
        </w:rPr>
        <w:t xml:space="preserve">Pág. </w:t>
      </w:r>
      <w:r>
        <w:rPr>
          <w:rFonts w:ascii="Abadi" w:hAnsi="Abadi"/>
          <w:b/>
          <w:bCs/>
          <w:sz w:val="18"/>
          <w:szCs w:val="18"/>
        </w:rPr>
        <w:t>11</w:t>
      </w:r>
      <w:r w:rsidR="005947D9">
        <w:rPr>
          <w:rFonts w:ascii="Abadi" w:hAnsi="Abadi"/>
          <w:b/>
          <w:bCs/>
          <w:sz w:val="18"/>
          <w:szCs w:val="18"/>
        </w:rPr>
        <w:t>2</w:t>
      </w:r>
    </w:p>
    <w:p w14:paraId="65265C7A" w14:textId="77777777" w:rsidR="00E17CA6" w:rsidRDefault="00E17CA6" w:rsidP="00957953">
      <w:pPr>
        <w:autoSpaceDE w:val="0"/>
        <w:autoSpaceDN w:val="0"/>
        <w:adjustRightInd w:val="0"/>
        <w:jc w:val="both"/>
        <w:rPr>
          <w:rFonts w:ascii="Abadi" w:hAnsi="Abadi" w:cs="Arial-BoldMT"/>
          <w:b/>
          <w:bCs/>
          <w:sz w:val="21"/>
          <w:szCs w:val="21"/>
        </w:rPr>
      </w:pPr>
    </w:p>
    <w:p w14:paraId="44B84B71" w14:textId="25C261B6" w:rsidR="00E17CA6" w:rsidRPr="006779BC" w:rsidRDefault="00E17CA6" w:rsidP="00E17CA6">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w:t>
      </w:r>
      <w:r w:rsidR="00FA5134">
        <w:rPr>
          <w:rFonts w:ascii="Abadi" w:hAnsi="Abadi" w:cs="ArialMT"/>
          <w:b/>
          <w:bCs/>
          <w:sz w:val="21"/>
          <w:szCs w:val="21"/>
        </w:rPr>
        <w:t>Hace uso de la voz la diputada Ruth Noemí Tiscareño para razonar su voto en contra del punto de acuerdo</w:t>
      </w:r>
      <w:r w:rsidRPr="006779BC">
        <w:rPr>
          <w:rFonts w:ascii="Abadi" w:hAnsi="Abadi" w:cs="ArialMT"/>
          <w:b/>
          <w:bCs/>
          <w:sz w:val="21"/>
          <w:szCs w:val="21"/>
        </w:rPr>
        <w:t xml:space="preserve">) </w:t>
      </w:r>
    </w:p>
    <w:p w14:paraId="40E05B4A" w14:textId="77777777" w:rsidR="00FA5134" w:rsidRDefault="00FA5134" w:rsidP="00FA5134">
      <w:pPr>
        <w:ind w:left="3220" w:right="-284"/>
        <w:rPr>
          <w:rFonts w:ascii="Abadi" w:hAnsi="Abadi"/>
          <w:b/>
          <w:bCs/>
          <w:sz w:val="18"/>
          <w:szCs w:val="18"/>
        </w:rPr>
      </w:pPr>
    </w:p>
    <w:p w14:paraId="76BA85EE" w14:textId="77777777" w:rsidR="00FA5134" w:rsidRDefault="00FA5134" w:rsidP="00FA5134">
      <w:pPr>
        <w:ind w:left="3220" w:right="-284"/>
        <w:rPr>
          <w:rFonts w:ascii="Abadi" w:hAnsi="Abadi"/>
          <w:b/>
          <w:bCs/>
          <w:sz w:val="18"/>
          <w:szCs w:val="18"/>
        </w:rPr>
      </w:pPr>
    </w:p>
    <w:p w14:paraId="638B0D47" w14:textId="3CFA69E5" w:rsidR="00FA5134" w:rsidRDefault="00FA5134" w:rsidP="00FA5134">
      <w:pPr>
        <w:ind w:left="3220" w:right="-284"/>
        <w:rPr>
          <w:rFonts w:ascii="Abadi" w:hAnsi="Abadi"/>
          <w:b/>
          <w:bCs/>
          <w:sz w:val="18"/>
          <w:szCs w:val="18"/>
        </w:rPr>
      </w:pPr>
      <w:r w:rsidRPr="00601D7D">
        <w:rPr>
          <w:rFonts w:ascii="Abadi" w:hAnsi="Abadi"/>
          <w:b/>
          <w:bCs/>
          <w:sz w:val="18"/>
          <w:szCs w:val="18"/>
        </w:rPr>
        <w:t xml:space="preserve">Pág. </w:t>
      </w:r>
      <w:r>
        <w:rPr>
          <w:rFonts w:ascii="Abadi" w:hAnsi="Abadi"/>
          <w:b/>
          <w:bCs/>
          <w:sz w:val="18"/>
          <w:szCs w:val="18"/>
        </w:rPr>
        <w:t>11</w:t>
      </w:r>
      <w:r w:rsidR="003B03B6">
        <w:rPr>
          <w:rFonts w:ascii="Abadi" w:hAnsi="Abadi"/>
          <w:b/>
          <w:bCs/>
          <w:sz w:val="18"/>
          <w:szCs w:val="18"/>
        </w:rPr>
        <w:t>4</w:t>
      </w:r>
    </w:p>
    <w:p w14:paraId="6D3311C7" w14:textId="77777777" w:rsidR="00E17CA6" w:rsidRDefault="00E17CA6" w:rsidP="00E17CA6">
      <w:pPr>
        <w:autoSpaceDE w:val="0"/>
        <w:autoSpaceDN w:val="0"/>
        <w:adjustRightInd w:val="0"/>
        <w:jc w:val="both"/>
        <w:rPr>
          <w:rFonts w:ascii="Abadi" w:hAnsi="Abadi" w:cs="Arial-BoldMT"/>
          <w:b/>
          <w:bCs/>
          <w:sz w:val="21"/>
          <w:szCs w:val="21"/>
        </w:rPr>
      </w:pPr>
    </w:p>
    <w:p w14:paraId="7D701503" w14:textId="7CE98DED" w:rsidR="00066C69" w:rsidRPr="00D76D63" w:rsidRDefault="00332634" w:rsidP="00AA5FD1">
      <w:pPr>
        <w:pStyle w:val="Prrafodelista"/>
        <w:numPr>
          <w:ilvl w:val="0"/>
          <w:numId w:val="7"/>
        </w:numPr>
        <w:autoSpaceDE w:val="0"/>
        <w:autoSpaceDN w:val="0"/>
        <w:adjustRightInd w:val="0"/>
        <w:ind w:left="851" w:right="637"/>
        <w:contextualSpacing/>
        <w:jc w:val="both"/>
        <w:rPr>
          <w:rFonts w:ascii="Abadi" w:hAnsi="Abadi" w:cs="ArialMT"/>
          <w:b/>
          <w:bCs/>
          <w:sz w:val="21"/>
          <w:szCs w:val="21"/>
        </w:rPr>
      </w:pPr>
      <w:r w:rsidRPr="00D76D63">
        <w:rPr>
          <w:rFonts w:ascii="Abadi" w:hAnsi="Abadi" w:cs="ArialMT"/>
          <w:b/>
          <w:bCs/>
          <w:sz w:val="21"/>
          <w:szCs w:val="21"/>
        </w:rPr>
        <w:t xml:space="preserve">Discusión y, en su caso, aprobación del dictamen presentado por la Comisión de Derechos Humanos y Atención a Grupos Vulnerables relativo a la propuesta de punto de acuerdo formulada por la diputada y el diputado integrantes del Grupo </w:t>
      </w:r>
      <w:r w:rsidR="00D76D63">
        <w:rPr>
          <w:rFonts w:ascii="Abadi" w:hAnsi="Abadi" w:cs="ArialMT"/>
          <w:b/>
          <w:bCs/>
          <w:sz w:val="21"/>
          <w:szCs w:val="21"/>
        </w:rPr>
        <w:t xml:space="preserve">Parlamentario del Partido </w:t>
      </w:r>
    </w:p>
    <w:p w14:paraId="4C4EB21D" w14:textId="10DF9DA2" w:rsidR="00066C69" w:rsidRDefault="00066C69" w:rsidP="00066C69">
      <w:pPr>
        <w:ind w:right="-284"/>
        <w:rPr>
          <w:rFonts w:ascii="Abadi" w:hAnsi="Abadi"/>
          <w:b/>
          <w:bCs/>
          <w:sz w:val="18"/>
          <w:szCs w:val="18"/>
        </w:rPr>
      </w:pPr>
    </w:p>
    <w:p w14:paraId="7F53EBBD" w14:textId="1156B273" w:rsidR="00332634" w:rsidRDefault="00332634" w:rsidP="00D76D63">
      <w:pPr>
        <w:pStyle w:val="Prrafodelista"/>
        <w:autoSpaceDE w:val="0"/>
        <w:autoSpaceDN w:val="0"/>
        <w:adjustRightInd w:val="0"/>
        <w:ind w:left="851" w:right="637"/>
        <w:contextualSpacing/>
        <w:jc w:val="both"/>
        <w:rPr>
          <w:rFonts w:ascii="Abadi" w:hAnsi="Abadi" w:cs="ArialMT"/>
          <w:b/>
          <w:bCs/>
          <w:sz w:val="21"/>
          <w:szCs w:val="21"/>
        </w:rPr>
      </w:pPr>
      <w:r w:rsidRPr="003225C2">
        <w:rPr>
          <w:rFonts w:ascii="Abadi" w:hAnsi="Abadi" w:cs="ArialMT"/>
          <w:b/>
          <w:bCs/>
          <w:sz w:val="21"/>
          <w:szCs w:val="21"/>
        </w:rPr>
        <w:t>Verde Ecologista de México ante la Sexagésima Cuarta Legislatura, a fin de solicitar al Poder Ejecutivo que a través de la Secretaría de la Transparencia y Rendición de Cuentas realice la investigación, substanciación y calificación en contra de quien resulte responsable, por conductas constitutivas de responsabilidad administrativa por la omisión en el cumplimiento en tiempo de los artículos segundo y tercero transitorios de la Ley para la Protección de Personas Defensoras de Derechos Humanos y Periodistas del Estado de Guanajuato, así como de los artículos segundo y cuarto transitorios de la</w:t>
      </w:r>
      <w:r w:rsidR="006D7FB1">
        <w:rPr>
          <w:rFonts w:ascii="Abadi" w:hAnsi="Abadi" w:cs="ArialMT"/>
          <w:b/>
          <w:bCs/>
          <w:sz w:val="21"/>
          <w:szCs w:val="21"/>
        </w:rPr>
        <w:t xml:space="preserve"> </w:t>
      </w:r>
      <w:r w:rsidRPr="003225C2">
        <w:rPr>
          <w:rFonts w:ascii="Abadi" w:hAnsi="Abadi" w:cs="ArialMT"/>
          <w:b/>
          <w:bCs/>
          <w:sz w:val="21"/>
          <w:szCs w:val="21"/>
        </w:rPr>
        <w:t>Ley para Regular la Prestación de Servicios de Atención, Cuidado y Desarrollo Integral Infantil en el Estado de Guanajuato.</w:t>
      </w:r>
    </w:p>
    <w:p w14:paraId="6C6B2173" w14:textId="095BD61D" w:rsidR="00601D7D" w:rsidRPr="00601D7D" w:rsidRDefault="00601D7D" w:rsidP="00D76D63">
      <w:pPr>
        <w:ind w:left="3220" w:right="-284"/>
        <w:rPr>
          <w:rFonts w:ascii="Abadi" w:hAnsi="Abadi"/>
          <w:b/>
          <w:bCs/>
          <w:sz w:val="18"/>
          <w:szCs w:val="18"/>
        </w:rPr>
      </w:pPr>
      <w:r w:rsidRPr="00601D7D">
        <w:rPr>
          <w:rFonts w:ascii="Abadi" w:hAnsi="Abadi"/>
          <w:b/>
          <w:bCs/>
          <w:sz w:val="18"/>
          <w:szCs w:val="18"/>
        </w:rPr>
        <w:t xml:space="preserve">Pág. </w:t>
      </w:r>
      <w:r w:rsidR="00D76D63">
        <w:rPr>
          <w:rFonts w:ascii="Abadi" w:hAnsi="Abadi"/>
          <w:b/>
          <w:bCs/>
          <w:sz w:val="18"/>
          <w:szCs w:val="18"/>
        </w:rPr>
        <w:t xml:space="preserve"> 115</w:t>
      </w:r>
    </w:p>
    <w:p w14:paraId="3932338A" w14:textId="77777777" w:rsidR="00601D7D" w:rsidRPr="00601D7D" w:rsidRDefault="00601D7D" w:rsidP="00601D7D">
      <w:pPr>
        <w:autoSpaceDE w:val="0"/>
        <w:autoSpaceDN w:val="0"/>
        <w:adjustRightInd w:val="0"/>
        <w:ind w:left="491" w:right="637"/>
        <w:contextualSpacing/>
        <w:jc w:val="both"/>
        <w:rPr>
          <w:rFonts w:ascii="Abadi" w:hAnsi="Abadi" w:cs="ArialMT"/>
          <w:b/>
          <w:bCs/>
          <w:sz w:val="21"/>
          <w:szCs w:val="21"/>
        </w:rPr>
      </w:pPr>
    </w:p>
    <w:p w14:paraId="5187B1A4" w14:textId="77777777" w:rsidR="00332634" w:rsidRPr="003225C2" w:rsidRDefault="00332634" w:rsidP="00332634">
      <w:pPr>
        <w:autoSpaceDE w:val="0"/>
        <w:autoSpaceDN w:val="0"/>
        <w:adjustRightInd w:val="0"/>
        <w:jc w:val="both"/>
        <w:rPr>
          <w:rFonts w:ascii="Abadi" w:hAnsi="Abadi" w:cs="ArialMT"/>
          <w:b/>
          <w:bCs/>
          <w:sz w:val="21"/>
          <w:szCs w:val="21"/>
        </w:rPr>
      </w:pPr>
    </w:p>
    <w:p w14:paraId="5DB6B46C" w14:textId="45550A58"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suscrito por la Comisión de Gobernación y Puntos Constitucionales relativo a las propuestas de punto de acuerdo, la primera, suscrita por diputadas y diputados integrantes del Grupo Parlamentario del Partido Acción Nacional por el cual se efectúa un respetuoso exhorto a la Cámara de Diputados del Honorable Congreso de la Unión, a efecto de que no se apruebe la iniciativa presentada por el Presidente de la República, </w:t>
      </w:r>
      <w:r w:rsidRPr="003225C2">
        <w:rPr>
          <w:rFonts w:ascii="Abadi" w:hAnsi="Abadi" w:cs="ArialMT"/>
          <w:b/>
          <w:bCs/>
          <w:sz w:val="21"/>
          <w:szCs w:val="21"/>
        </w:rPr>
        <w:lastRenderedPageBreak/>
        <w:t>licenciado Andrés Manuel López Obrador, por la que se reforman los artículos 25, 27 y 28 de la Constitución Política de los Estados Unidos Mexicanos, presentada ante esa Soberanía el 1 de octubre del presente año, y la segunda, suscrita por el diputado Ernesto Alejandro Prieto Gallardo integrante del Grupo Parlamentario del Partido MORENA a efecto de exhortar al Congreso de la Unión, a través de la Cámara de Diputados y la Cámara de Senadores a aprobar las reformas constitucionales y de leyes secundarias planteadas por el Presidente de la República, en el tema del sector eléctrico que representan beneficios para el pueblo de México, favoreciendo el gasto público y el fortalecimiento del sistema eléctrico nacional como sector  estratégico.</w:t>
      </w:r>
    </w:p>
    <w:p w14:paraId="2AF546CB" w14:textId="77777777" w:rsidR="002C4F2E" w:rsidRDefault="002C4F2E" w:rsidP="002C4F2E">
      <w:pPr>
        <w:ind w:left="708" w:right="-284" w:firstLine="708"/>
        <w:rPr>
          <w:rFonts w:ascii="Abadi" w:hAnsi="Abadi"/>
          <w:b/>
          <w:bCs/>
          <w:sz w:val="18"/>
          <w:szCs w:val="18"/>
        </w:rPr>
      </w:pPr>
    </w:p>
    <w:p w14:paraId="1E974E81" w14:textId="3E9632B2" w:rsidR="00601D7D" w:rsidRPr="00601D7D" w:rsidRDefault="00601D7D" w:rsidP="002C4F2E">
      <w:pPr>
        <w:ind w:left="2124" w:right="-284" w:firstLine="1096"/>
        <w:rPr>
          <w:rFonts w:ascii="Abadi" w:hAnsi="Abadi"/>
          <w:b/>
          <w:bCs/>
          <w:sz w:val="18"/>
          <w:szCs w:val="18"/>
        </w:rPr>
      </w:pPr>
      <w:r w:rsidRPr="00601D7D">
        <w:rPr>
          <w:rFonts w:ascii="Abadi" w:hAnsi="Abadi"/>
          <w:b/>
          <w:bCs/>
          <w:sz w:val="18"/>
          <w:szCs w:val="18"/>
        </w:rPr>
        <w:t xml:space="preserve">Pág. </w:t>
      </w:r>
      <w:r w:rsidR="002C4F2E">
        <w:rPr>
          <w:rFonts w:ascii="Abadi" w:hAnsi="Abadi"/>
          <w:b/>
          <w:bCs/>
          <w:sz w:val="18"/>
          <w:szCs w:val="18"/>
        </w:rPr>
        <w:t>12</w:t>
      </w:r>
      <w:r w:rsidR="00FD43E2">
        <w:rPr>
          <w:rFonts w:ascii="Abadi" w:hAnsi="Abadi"/>
          <w:b/>
          <w:bCs/>
          <w:sz w:val="18"/>
          <w:szCs w:val="18"/>
        </w:rPr>
        <w:t>3</w:t>
      </w:r>
    </w:p>
    <w:p w14:paraId="6A7AAB35" w14:textId="77777777" w:rsidR="00601D7D" w:rsidRPr="00601D7D" w:rsidRDefault="00601D7D" w:rsidP="00601D7D">
      <w:pPr>
        <w:autoSpaceDE w:val="0"/>
        <w:autoSpaceDN w:val="0"/>
        <w:adjustRightInd w:val="0"/>
        <w:ind w:right="495"/>
        <w:contextualSpacing/>
        <w:jc w:val="both"/>
        <w:rPr>
          <w:rFonts w:ascii="Abadi" w:hAnsi="Abadi" w:cs="ArialMT"/>
          <w:b/>
          <w:bCs/>
          <w:sz w:val="21"/>
          <w:szCs w:val="21"/>
        </w:rPr>
      </w:pPr>
    </w:p>
    <w:p w14:paraId="453476E4" w14:textId="77777777" w:rsidR="00332634" w:rsidRPr="003225C2" w:rsidRDefault="00332634" w:rsidP="00332634">
      <w:pPr>
        <w:autoSpaceDE w:val="0"/>
        <w:autoSpaceDN w:val="0"/>
        <w:adjustRightInd w:val="0"/>
        <w:ind w:left="851" w:right="495"/>
        <w:jc w:val="both"/>
        <w:rPr>
          <w:rFonts w:ascii="Abadi" w:hAnsi="Abadi" w:cs="ArialMT"/>
          <w:b/>
          <w:bCs/>
          <w:sz w:val="21"/>
          <w:szCs w:val="21"/>
        </w:rPr>
      </w:pPr>
    </w:p>
    <w:p w14:paraId="15F36F02" w14:textId="17083AFC" w:rsidR="00601D7D" w:rsidRDefault="00332634" w:rsidP="00601D7D">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Discusión y, en su caso, aprobación del dictamen emitido por la Comisión de Gobernación y Puntos Constitucionales relativo a la solicitud de licencia para separarse del cargo de diputada local de Ruth Noemí Tiscareño Agoitia, integrante del Grupo Parlamentario del Partido Revolucionario Institucional.</w:t>
      </w:r>
    </w:p>
    <w:p w14:paraId="39BB8807" w14:textId="77777777" w:rsidR="002C4F2E" w:rsidRDefault="002C4F2E" w:rsidP="002C4F2E">
      <w:pPr>
        <w:ind w:left="2124" w:right="-284" w:firstLine="708"/>
        <w:rPr>
          <w:rFonts w:ascii="Abadi" w:hAnsi="Abadi"/>
          <w:b/>
          <w:bCs/>
          <w:sz w:val="18"/>
          <w:szCs w:val="18"/>
        </w:rPr>
      </w:pPr>
    </w:p>
    <w:p w14:paraId="6CA1CE39" w14:textId="20A123A1" w:rsidR="00601D7D" w:rsidRDefault="00601D7D" w:rsidP="002C4F2E">
      <w:pPr>
        <w:ind w:left="2124" w:right="-284" w:firstLine="1096"/>
        <w:rPr>
          <w:rFonts w:ascii="Abadi" w:hAnsi="Abadi"/>
          <w:b/>
          <w:bCs/>
          <w:sz w:val="18"/>
          <w:szCs w:val="18"/>
        </w:rPr>
      </w:pPr>
      <w:r w:rsidRPr="00601D7D">
        <w:rPr>
          <w:rFonts w:ascii="Abadi" w:hAnsi="Abadi"/>
          <w:b/>
          <w:bCs/>
          <w:sz w:val="18"/>
          <w:szCs w:val="18"/>
        </w:rPr>
        <w:t xml:space="preserve">Pág. </w:t>
      </w:r>
      <w:r w:rsidR="002C4F2E">
        <w:rPr>
          <w:rFonts w:ascii="Abadi" w:hAnsi="Abadi"/>
          <w:b/>
          <w:bCs/>
          <w:sz w:val="18"/>
          <w:szCs w:val="18"/>
        </w:rPr>
        <w:t>13</w:t>
      </w:r>
      <w:r w:rsidR="00341317">
        <w:rPr>
          <w:rFonts w:ascii="Abadi" w:hAnsi="Abadi"/>
          <w:b/>
          <w:bCs/>
          <w:sz w:val="18"/>
          <w:szCs w:val="18"/>
        </w:rPr>
        <w:t>1</w:t>
      </w:r>
    </w:p>
    <w:p w14:paraId="60E09F45" w14:textId="244AF45B" w:rsidR="00341317" w:rsidRDefault="00341317" w:rsidP="002C4F2E">
      <w:pPr>
        <w:ind w:left="2124" w:right="-284" w:firstLine="1096"/>
        <w:rPr>
          <w:rFonts w:ascii="Abadi" w:hAnsi="Abadi"/>
          <w:b/>
          <w:bCs/>
          <w:sz w:val="18"/>
          <w:szCs w:val="18"/>
        </w:rPr>
      </w:pPr>
    </w:p>
    <w:p w14:paraId="427ED160" w14:textId="7DFD8EBB" w:rsidR="00341317" w:rsidRPr="006779BC" w:rsidRDefault="00341317" w:rsidP="00341317">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w:t>
      </w:r>
      <w:r>
        <w:rPr>
          <w:rFonts w:ascii="Abadi" w:hAnsi="Abadi" w:cs="ArialMT"/>
          <w:b/>
          <w:bCs/>
          <w:sz w:val="21"/>
          <w:szCs w:val="21"/>
        </w:rPr>
        <w:t>Hace uso de la voz la diputada Ruth Noemí Tiscareño para razonar su voto</w:t>
      </w:r>
      <w:r w:rsidRPr="006779BC">
        <w:rPr>
          <w:rFonts w:ascii="Abadi" w:hAnsi="Abadi" w:cs="ArialMT"/>
          <w:b/>
          <w:bCs/>
          <w:sz w:val="21"/>
          <w:szCs w:val="21"/>
        </w:rPr>
        <w:t xml:space="preserve">) </w:t>
      </w:r>
    </w:p>
    <w:p w14:paraId="1F43826A" w14:textId="1451A0DA" w:rsidR="00DF31DF" w:rsidRDefault="00DF31DF" w:rsidP="00DF31DF">
      <w:pPr>
        <w:ind w:left="2124" w:right="-284" w:firstLine="1096"/>
        <w:rPr>
          <w:rFonts w:ascii="Abadi" w:hAnsi="Abadi"/>
          <w:b/>
          <w:bCs/>
          <w:sz w:val="18"/>
          <w:szCs w:val="18"/>
        </w:rPr>
      </w:pPr>
      <w:r w:rsidRPr="00601D7D">
        <w:rPr>
          <w:rFonts w:ascii="Abadi" w:hAnsi="Abadi"/>
          <w:b/>
          <w:bCs/>
          <w:sz w:val="18"/>
          <w:szCs w:val="18"/>
        </w:rPr>
        <w:t xml:space="preserve">Pág. </w:t>
      </w:r>
      <w:r>
        <w:rPr>
          <w:rFonts w:ascii="Abadi" w:hAnsi="Abadi"/>
          <w:b/>
          <w:bCs/>
          <w:sz w:val="18"/>
          <w:szCs w:val="18"/>
        </w:rPr>
        <w:t>133</w:t>
      </w:r>
    </w:p>
    <w:p w14:paraId="0EBA6779" w14:textId="77777777" w:rsidR="00332634" w:rsidRPr="003225C2" w:rsidRDefault="00332634" w:rsidP="00332634">
      <w:pPr>
        <w:autoSpaceDE w:val="0"/>
        <w:autoSpaceDN w:val="0"/>
        <w:adjustRightInd w:val="0"/>
        <w:jc w:val="both"/>
        <w:rPr>
          <w:rFonts w:ascii="Abadi" w:hAnsi="Abadi" w:cs="ArialMT"/>
          <w:b/>
          <w:bCs/>
          <w:sz w:val="21"/>
          <w:szCs w:val="21"/>
        </w:rPr>
      </w:pPr>
    </w:p>
    <w:p w14:paraId="20203F89" w14:textId="40475256"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signado por la Comisión de Gobernación y Puntos Constitucionales relativo a la propuesta de punto de acuerdo suscrita por la diputada María Magdalena Rosales Cruz, integrante del Grupo Parlamentario del Partido MORENA,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 4°, 41, 52, 53, 56, 94 y 115 en materia de </w:t>
      </w:r>
      <w:r w:rsidRPr="003225C2">
        <w:rPr>
          <w:rFonts w:ascii="Abadi" w:hAnsi="Abadi" w:cs="Arial-ItalicMT"/>
          <w:b/>
          <w:bCs/>
          <w:i/>
          <w:iCs/>
          <w:sz w:val="21"/>
          <w:szCs w:val="21"/>
        </w:rPr>
        <w:t>paridad de género</w:t>
      </w:r>
      <w:r w:rsidRPr="003225C2">
        <w:rPr>
          <w:rFonts w:ascii="Abadi" w:hAnsi="Abadi" w:cs="ArialMT"/>
          <w:b/>
          <w:bCs/>
          <w:sz w:val="21"/>
          <w:szCs w:val="21"/>
        </w:rPr>
        <w:t>, ante la Sexagésima Cuarta Legislatura.</w:t>
      </w:r>
    </w:p>
    <w:p w14:paraId="3B68975A" w14:textId="32EA6C6E" w:rsidR="00ED285D" w:rsidRPr="00ED285D" w:rsidRDefault="00ED285D" w:rsidP="00442DAB">
      <w:pPr>
        <w:ind w:left="3220" w:right="-284"/>
        <w:rPr>
          <w:rFonts w:ascii="Abadi" w:hAnsi="Abadi"/>
          <w:b/>
          <w:bCs/>
          <w:sz w:val="18"/>
          <w:szCs w:val="18"/>
        </w:rPr>
      </w:pPr>
      <w:r w:rsidRPr="00ED285D">
        <w:rPr>
          <w:rFonts w:ascii="Abadi" w:hAnsi="Abadi"/>
          <w:b/>
          <w:bCs/>
          <w:sz w:val="18"/>
          <w:szCs w:val="18"/>
        </w:rPr>
        <w:t xml:space="preserve">Pág. </w:t>
      </w:r>
      <w:r w:rsidR="00442DAB">
        <w:rPr>
          <w:rFonts w:ascii="Abadi" w:hAnsi="Abadi"/>
          <w:b/>
          <w:bCs/>
          <w:sz w:val="18"/>
          <w:szCs w:val="18"/>
        </w:rPr>
        <w:t>13</w:t>
      </w:r>
      <w:r w:rsidR="00365A11">
        <w:rPr>
          <w:rFonts w:ascii="Abadi" w:hAnsi="Abadi"/>
          <w:b/>
          <w:bCs/>
          <w:sz w:val="18"/>
          <w:szCs w:val="18"/>
        </w:rPr>
        <w:t>3</w:t>
      </w:r>
    </w:p>
    <w:p w14:paraId="0B2E8DE7" w14:textId="77777777"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1032358D" w14:textId="77777777" w:rsidR="00332634" w:rsidRPr="003225C2" w:rsidRDefault="00332634" w:rsidP="00332634">
      <w:pPr>
        <w:autoSpaceDE w:val="0"/>
        <w:autoSpaceDN w:val="0"/>
        <w:adjustRightInd w:val="0"/>
        <w:jc w:val="both"/>
        <w:rPr>
          <w:rFonts w:ascii="Abadi" w:hAnsi="Abadi" w:cs="ArialMT"/>
          <w:b/>
          <w:bCs/>
          <w:sz w:val="21"/>
          <w:szCs w:val="21"/>
        </w:rPr>
      </w:pPr>
    </w:p>
    <w:p w14:paraId="713D2056" w14:textId="45C49E1C"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presentado por la Comisión de Asuntos Municipales relativo a la </w:t>
      </w:r>
      <w:r w:rsidRPr="003225C2">
        <w:rPr>
          <w:rFonts w:ascii="Abadi" w:hAnsi="Abadi" w:cs="ArialMT"/>
          <w:b/>
          <w:bCs/>
          <w:sz w:val="21"/>
          <w:szCs w:val="21"/>
        </w:rPr>
        <w:lastRenderedPageBreak/>
        <w:t>propuesta de punto de acuerdo formulada por diputadas y diputados integrantes del Grupo Parlamentario del Partido Acción Nacional mediante el cual el Congreso del Estado Libre y Soberano de Guanajuato efectúa un respetuoso exhorto a los cuarenta y seis ayuntamientos, a efecto de dar seguimiento a la instalación de los Consejos Municipales de Adultos Mayores y se expidan los reglamentos</w:t>
      </w:r>
      <w:r w:rsidR="006378C7">
        <w:rPr>
          <w:rFonts w:ascii="Abadi" w:hAnsi="Abadi" w:cs="ArialMT"/>
          <w:b/>
          <w:bCs/>
          <w:sz w:val="21"/>
          <w:szCs w:val="21"/>
        </w:rPr>
        <w:t xml:space="preserve"> </w:t>
      </w:r>
      <w:r w:rsidRPr="003225C2">
        <w:rPr>
          <w:rFonts w:ascii="Abadi" w:hAnsi="Abadi" w:cs="ArialMT"/>
          <w:b/>
          <w:bCs/>
          <w:sz w:val="21"/>
          <w:szCs w:val="21"/>
        </w:rPr>
        <w:t>correspondientes.</w:t>
      </w:r>
    </w:p>
    <w:p w14:paraId="49156219" w14:textId="77777777" w:rsidR="00442DAB" w:rsidRPr="00442DAB" w:rsidRDefault="00442DAB" w:rsidP="00442DAB">
      <w:pPr>
        <w:autoSpaceDE w:val="0"/>
        <w:autoSpaceDN w:val="0"/>
        <w:adjustRightInd w:val="0"/>
        <w:ind w:right="495"/>
        <w:contextualSpacing/>
        <w:jc w:val="both"/>
        <w:rPr>
          <w:rFonts w:ascii="Abadi" w:hAnsi="Abadi" w:cs="ArialMT"/>
          <w:b/>
          <w:bCs/>
          <w:sz w:val="21"/>
          <w:szCs w:val="21"/>
        </w:rPr>
      </w:pPr>
    </w:p>
    <w:p w14:paraId="1497C6B0" w14:textId="63552EC7" w:rsidR="00442DAB" w:rsidRDefault="00442DAB" w:rsidP="00442DAB">
      <w:pPr>
        <w:ind w:left="2136" w:right="-284" w:firstLine="983"/>
        <w:rPr>
          <w:rFonts w:ascii="Abadi" w:hAnsi="Abadi"/>
          <w:b/>
          <w:bCs/>
          <w:sz w:val="18"/>
          <w:szCs w:val="18"/>
        </w:rPr>
      </w:pPr>
      <w:r w:rsidRPr="00442DAB">
        <w:rPr>
          <w:rFonts w:ascii="Abadi" w:hAnsi="Abadi"/>
          <w:b/>
          <w:bCs/>
          <w:sz w:val="18"/>
          <w:szCs w:val="18"/>
        </w:rPr>
        <w:t>Pág. 14</w:t>
      </w:r>
      <w:r w:rsidR="00CD6CD8">
        <w:rPr>
          <w:rFonts w:ascii="Abadi" w:hAnsi="Abadi"/>
          <w:b/>
          <w:bCs/>
          <w:sz w:val="18"/>
          <w:szCs w:val="18"/>
        </w:rPr>
        <w:t>7</w:t>
      </w:r>
    </w:p>
    <w:p w14:paraId="34EF4EAE" w14:textId="5BAA3749" w:rsidR="00415A38" w:rsidRDefault="00415A38" w:rsidP="00442DAB">
      <w:pPr>
        <w:ind w:left="2136" w:right="-284" w:firstLine="983"/>
        <w:rPr>
          <w:rFonts w:ascii="Abadi" w:hAnsi="Abadi"/>
          <w:b/>
          <w:bCs/>
          <w:sz w:val="18"/>
          <w:szCs w:val="18"/>
        </w:rPr>
      </w:pPr>
    </w:p>
    <w:p w14:paraId="0D6528AD" w14:textId="6CE4FEC2" w:rsidR="00415A38" w:rsidRPr="006779BC" w:rsidRDefault="00415A38" w:rsidP="00415A38">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Pr>
          <w:rFonts w:ascii="Abadi" w:hAnsi="Abadi" w:cs="ArialMT"/>
          <w:b/>
          <w:bCs/>
          <w:sz w:val="21"/>
          <w:szCs w:val="21"/>
        </w:rPr>
        <w:t>la diputada</w:t>
      </w:r>
      <w:r>
        <w:rPr>
          <w:rFonts w:ascii="Abadi" w:hAnsi="Abadi"/>
          <w:b/>
          <w:bCs/>
          <w:sz w:val="21"/>
          <w:szCs w:val="21"/>
        </w:rPr>
        <w:t xml:space="preserve"> </w:t>
      </w:r>
      <w:r w:rsidRPr="00170350">
        <w:rPr>
          <w:rFonts w:ascii="Abadi" w:hAnsi="Abadi"/>
          <w:b/>
          <w:bCs/>
          <w:sz w:val="21"/>
          <w:szCs w:val="21"/>
        </w:rPr>
        <w:t xml:space="preserve">Briseida </w:t>
      </w:r>
      <w:r>
        <w:rPr>
          <w:rFonts w:ascii="Abadi" w:hAnsi="Abadi"/>
          <w:b/>
          <w:bCs/>
          <w:sz w:val="21"/>
          <w:szCs w:val="21"/>
        </w:rPr>
        <w:t xml:space="preserve">Anabel </w:t>
      </w:r>
      <w:r w:rsidRPr="00170350">
        <w:rPr>
          <w:rFonts w:ascii="Abadi" w:hAnsi="Abadi"/>
          <w:b/>
          <w:bCs/>
          <w:sz w:val="21"/>
          <w:szCs w:val="21"/>
        </w:rPr>
        <w:t>Magdaleno</w:t>
      </w:r>
      <w:r>
        <w:rPr>
          <w:rFonts w:ascii="Abadi" w:hAnsi="Abadi"/>
          <w:b/>
          <w:bCs/>
          <w:sz w:val="21"/>
          <w:szCs w:val="21"/>
        </w:rPr>
        <w:t xml:space="preserve">, </w:t>
      </w:r>
      <w:r w:rsidRPr="00170350">
        <w:rPr>
          <w:rFonts w:ascii="Abadi" w:hAnsi="Abadi"/>
          <w:b/>
          <w:bCs/>
          <w:sz w:val="21"/>
          <w:szCs w:val="21"/>
        </w:rPr>
        <w:t>para hablar a favor del dictamen</w:t>
      </w:r>
      <w:r w:rsidRPr="006779BC">
        <w:rPr>
          <w:rFonts w:ascii="Abadi" w:hAnsi="Abadi" w:cs="ArialMT"/>
          <w:b/>
          <w:bCs/>
          <w:sz w:val="21"/>
          <w:szCs w:val="21"/>
        </w:rPr>
        <w:t xml:space="preserve">) </w:t>
      </w:r>
    </w:p>
    <w:p w14:paraId="2C17CFB3" w14:textId="77777777" w:rsidR="00415A38" w:rsidRPr="00442DAB" w:rsidRDefault="00415A38" w:rsidP="00415A38">
      <w:pPr>
        <w:ind w:left="2832" w:right="-284" w:firstLine="983"/>
        <w:rPr>
          <w:rFonts w:ascii="Abadi" w:hAnsi="Abadi"/>
          <w:b/>
          <w:bCs/>
          <w:sz w:val="18"/>
          <w:szCs w:val="18"/>
        </w:rPr>
      </w:pPr>
    </w:p>
    <w:p w14:paraId="62581941" w14:textId="042D8A4B" w:rsidR="00415A38" w:rsidRPr="00442DAB" w:rsidRDefault="00415A38" w:rsidP="00415A38">
      <w:pPr>
        <w:ind w:left="2136" w:right="-284" w:firstLine="983"/>
        <w:rPr>
          <w:rFonts w:ascii="Abadi" w:hAnsi="Abadi"/>
          <w:b/>
          <w:bCs/>
          <w:sz w:val="18"/>
          <w:szCs w:val="18"/>
        </w:rPr>
      </w:pPr>
      <w:r>
        <w:rPr>
          <w:rFonts w:ascii="Abadi" w:hAnsi="Abadi"/>
          <w:b/>
          <w:bCs/>
          <w:sz w:val="18"/>
          <w:szCs w:val="18"/>
        </w:rPr>
        <w:t>P</w:t>
      </w:r>
      <w:r w:rsidRPr="00442DAB">
        <w:rPr>
          <w:rFonts w:ascii="Abadi" w:hAnsi="Abadi"/>
          <w:b/>
          <w:bCs/>
          <w:sz w:val="18"/>
          <w:szCs w:val="18"/>
        </w:rPr>
        <w:t>ág. 1</w:t>
      </w:r>
      <w:r>
        <w:rPr>
          <w:rFonts w:ascii="Abadi" w:hAnsi="Abadi"/>
          <w:b/>
          <w:bCs/>
          <w:sz w:val="18"/>
          <w:szCs w:val="18"/>
        </w:rPr>
        <w:t>5</w:t>
      </w:r>
      <w:r w:rsidR="00CD6CD8">
        <w:rPr>
          <w:rFonts w:ascii="Abadi" w:hAnsi="Abadi"/>
          <w:b/>
          <w:bCs/>
          <w:sz w:val="18"/>
          <w:szCs w:val="18"/>
        </w:rPr>
        <w:t>2</w:t>
      </w:r>
    </w:p>
    <w:p w14:paraId="510E7356" w14:textId="77777777" w:rsidR="00332634" w:rsidRPr="003225C2" w:rsidRDefault="00332634" w:rsidP="00332634">
      <w:pPr>
        <w:autoSpaceDE w:val="0"/>
        <w:autoSpaceDN w:val="0"/>
        <w:adjustRightInd w:val="0"/>
        <w:jc w:val="both"/>
        <w:rPr>
          <w:rFonts w:ascii="Abadi" w:hAnsi="Abadi" w:cs="ArialMT"/>
          <w:b/>
          <w:bCs/>
          <w:sz w:val="21"/>
          <w:szCs w:val="21"/>
        </w:rPr>
      </w:pPr>
    </w:p>
    <w:p w14:paraId="326B79E4" w14:textId="54C9E6BF"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Discusión y, en su caso, aprobación del dictamen suscrito por la Comisión de Asuntos Municipales relativo a la propuesta de punto de acuerdo formulada por la diputada Hades Berenice Aguilar Castillo integrante del Grupo Parlamentario del Partido MORENA, por el cual se exhorta al Presidente Municipal de Celaya, Guanajuato, para que atienda el caso de los comerciantes del Mercado Agropecuario Siglo XXI.</w:t>
      </w:r>
    </w:p>
    <w:p w14:paraId="5BC872A2" w14:textId="77777777" w:rsidR="005D1D8E" w:rsidRDefault="005D1D8E" w:rsidP="005D1D8E">
      <w:pPr>
        <w:ind w:left="2832" w:right="-284"/>
        <w:rPr>
          <w:rFonts w:ascii="Abadi" w:hAnsi="Abadi"/>
          <w:b/>
          <w:bCs/>
          <w:sz w:val="18"/>
          <w:szCs w:val="18"/>
        </w:rPr>
      </w:pPr>
    </w:p>
    <w:p w14:paraId="633339CB" w14:textId="1231CE14" w:rsidR="00ED285D" w:rsidRPr="00ED285D" w:rsidRDefault="00ED285D" w:rsidP="005D1D8E">
      <w:pPr>
        <w:ind w:left="3119" w:right="-284"/>
        <w:rPr>
          <w:rFonts w:ascii="Abadi" w:hAnsi="Abadi"/>
          <w:b/>
          <w:bCs/>
          <w:sz w:val="18"/>
          <w:szCs w:val="18"/>
        </w:rPr>
      </w:pPr>
      <w:r w:rsidRPr="00ED285D">
        <w:rPr>
          <w:rFonts w:ascii="Abadi" w:hAnsi="Abadi"/>
          <w:b/>
          <w:bCs/>
          <w:sz w:val="18"/>
          <w:szCs w:val="18"/>
        </w:rPr>
        <w:t xml:space="preserve">Pág. </w:t>
      </w:r>
      <w:r w:rsidR="005D1D8E">
        <w:rPr>
          <w:rFonts w:ascii="Abadi" w:hAnsi="Abadi"/>
          <w:b/>
          <w:bCs/>
          <w:sz w:val="18"/>
          <w:szCs w:val="18"/>
        </w:rPr>
        <w:t>15</w:t>
      </w:r>
      <w:r w:rsidR="003558B0">
        <w:rPr>
          <w:rFonts w:ascii="Abadi" w:hAnsi="Abadi"/>
          <w:b/>
          <w:bCs/>
          <w:sz w:val="18"/>
          <w:szCs w:val="18"/>
        </w:rPr>
        <w:t>4</w:t>
      </w:r>
    </w:p>
    <w:p w14:paraId="60A6153C" w14:textId="77777777"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602FFCE3" w14:textId="77777777" w:rsidR="00332634" w:rsidRPr="003225C2" w:rsidRDefault="00332634" w:rsidP="00332634">
      <w:pPr>
        <w:autoSpaceDE w:val="0"/>
        <w:autoSpaceDN w:val="0"/>
        <w:adjustRightInd w:val="0"/>
        <w:ind w:left="851"/>
        <w:jc w:val="both"/>
        <w:rPr>
          <w:rFonts w:ascii="Abadi" w:hAnsi="Abadi" w:cs="ArialMT"/>
          <w:b/>
          <w:bCs/>
          <w:sz w:val="21"/>
          <w:szCs w:val="21"/>
        </w:rPr>
      </w:pPr>
    </w:p>
    <w:p w14:paraId="2C05813C" w14:textId="6D2E4770"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signado por la Comisión de Asuntos Municipales relativo a la propuesta de punto de acuerdo formulada por el diputado </w:t>
      </w:r>
      <w:r w:rsidRPr="003225C2">
        <w:rPr>
          <w:rFonts w:ascii="Abadi" w:hAnsi="Abadi" w:cs="ArialMT"/>
          <w:b/>
          <w:bCs/>
          <w:sz w:val="21"/>
          <w:szCs w:val="21"/>
        </w:rPr>
        <w:t xml:space="preserve">David Martínez Mendizábal integrante del Grupo Parlamentario del Partido MORENA, a efecto de exhortar al Sistema de Agua Potable y Alcantarillado de León (SAPAL) para que informe detalladamente a esta Soberanía sobre sus investigaciones internas de los hechos ocurridos el 13 de noviembre de 2020 en la Planta de Tratamiento  de Aguas Residuales Municipales y su Módulo de Desbaste; a la Fiscalía General del Estado de Guanajuato a efecto de que remita un informe a esta Soberanía sobre las investigaciones criminales correspondientes a los hechos ocurridos el 13 de noviembre de 2020 en la Planta de Tratamiento de Aguas Residuales Municipales y su Módulo de Desbaste del Sistema de Agua Potable y Alcantarillado de León (SAPAL); a la Procuraduría de Derechos Humanos del Estado de Guanajuato, a efecto de que rinda un informe a esta Soberanía sobre el estado que guarda el expediente número 24-21-A-II, radicado en la Subprocuraduría Zona A, el día 8 de febrero de 2021, y al Ayuntamiento del Municipio de León para que conforme una comisión mixta, integrada tanto por ediles tanto como por civiles, con facultades suficientes de investigación sobre posibles violaciones a diversas normativas laborales de seguridad e higiene en la Planta de Tratamiento de Aguas Residuales Municipales y </w:t>
      </w:r>
      <w:r w:rsidRPr="003225C2">
        <w:rPr>
          <w:rFonts w:ascii="Abadi" w:hAnsi="Abadi" w:cs="ArialMT"/>
          <w:b/>
          <w:bCs/>
          <w:sz w:val="21"/>
          <w:szCs w:val="21"/>
        </w:rPr>
        <w:lastRenderedPageBreak/>
        <w:t>su Módulo de Desbaste del Sistema de Agua Potable y Alcantarillado de León (SAPAL) y, en su caso, iniciar los procedimientos legales que correspondan.</w:t>
      </w:r>
    </w:p>
    <w:p w14:paraId="4732E801" w14:textId="77777777" w:rsidR="005D1D8E" w:rsidRDefault="005D1D8E" w:rsidP="005D1D8E">
      <w:pPr>
        <w:ind w:left="2124" w:right="-284" w:firstLine="708"/>
        <w:rPr>
          <w:rFonts w:ascii="Abadi" w:hAnsi="Abadi"/>
          <w:b/>
          <w:bCs/>
          <w:sz w:val="18"/>
          <w:szCs w:val="18"/>
        </w:rPr>
      </w:pPr>
    </w:p>
    <w:p w14:paraId="71B47D0F" w14:textId="77777777" w:rsidR="005D1D8E" w:rsidRDefault="005D1D8E" w:rsidP="005D1D8E">
      <w:pPr>
        <w:ind w:left="2124" w:right="-284" w:firstLine="708"/>
        <w:rPr>
          <w:rFonts w:ascii="Abadi" w:hAnsi="Abadi"/>
          <w:b/>
          <w:bCs/>
          <w:sz w:val="18"/>
          <w:szCs w:val="18"/>
        </w:rPr>
      </w:pPr>
    </w:p>
    <w:p w14:paraId="180914CC" w14:textId="5FAF95C4" w:rsidR="00ED285D" w:rsidRDefault="00ED285D" w:rsidP="006C6904">
      <w:pPr>
        <w:ind w:left="2124" w:right="-284" w:firstLine="995"/>
        <w:rPr>
          <w:rFonts w:ascii="Abadi" w:hAnsi="Abadi"/>
          <w:b/>
          <w:bCs/>
          <w:sz w:val="18"/>
          <w:szCs w:val="18"/>
        </w:rPr>
      </w:pPr>
      <w:r w:rsidRPr="006779BC">
        <w:rPr>
          <w:rFonts w:ascii="Abadi" w:hAnsi="Abadi"/>
          <w:b/>
          <w:bCs/>
          <w:sz w:val="18"/>
          <w:szCs w:val="18"/>
        </w:rPr>
        <w:t xml:space="preserve">Pág. </w:t>
      </w:r>
      <w:r w:rsidR="005D1D8E">
        <w:rPr>
          <w:rFonts w:ascii="Abadi" w:hAnsi="Abadi"/>
          <w:b/>
          <w:bCs/>
          <w:sz w:val="18"/>
          <w:szCs w:val="18"/>
        </w:rPr>
        <w:t>15</w:t>
      </w:r>
      <w:r w:rsidR="00627504">
        <w:rPr>
          <w:rFonts w:ascii="Abadi" w:hAnsi="Abadi"/>
          <w:b/>
          <w:bCs/>
          <w:sz w:val="18"/>
          <w:szCs w:val="18"/>
        </w:rPr>
        <w:t>8</w:t>
      </w:r>
    </w:p>
    <w:p w14:paraId="30E3684B" w14:textId="1F24C0F7" w:rsidR="00095E56" w:rsidRDefault="00095E56" w:rsidP="005D1D8E">
      <w:pPr>
        <w:ind w:left="2124" w:right="-284" w:firstLine="708"/>
        <w:rPr>
          <w:rFonts w:ascii="Abadi" w:hAnsi="Abadi"/>
          <w:b/>
          <w:bCs/>
          <w:sz w:val="18"/>
          <w:szCs w:val="18"/>
        </w:rPr>
      </w:pPr>
    </w:p>
    <w:p w14:paraId="3752AB1A" w14:textId="4EECB4D8" w:rsidR="00095E56" w:rsidRPr="006779BC" w:rsidRDefault="00095E56" w:rsidP="00095E56">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sidR="00627504">
        <w:rPr>
          <w:rFonts w:ascii="Abadi" w:hAnsi="Abadi" w:cs="ArialMT"/>
          <w:b/>
          <w:bCs/>
          <w:sz w:val="21"/>
          <w:szCs w:val="21"/>
        </w:rPr>
        <w:t>el diputado David Martínez Mendizabal</w:t>
      </w:r>
      <w:r>
        <w:rPr>
          <w:rFonts w:ascii="Abadi" w:hAnsi="Abadi"/>
          <w:b/>
          <w:bCs/>
          <w:sz w:val="21"/>
          <w:szCs w:val="21"/>
        </w:rPr>
        <w:t xml:space="preserve"> </w:t>
      </w:r>
      <w:r w:rsidRPr="00170350">
        <w:rPr>
          <w:rFonts w:ascii="Abadi" w:hAnsi="Abadi"/>
          <w:b/>
          <w:bCs/>
          <w:sz w:val="21"/>
          <w:szCs w:val="21"/>
        </w:rPr>
        <w:t xml:space="preserve">para hablar </w:t>
      </w:r>
      <w:r w:rsidR="00307B03">
        <w:rPr>
          <w:rFonts w:ascii="Abadi" w:hAnsi="Abadi"/>
          <w:b/>
          <w:bCs/>
          <w:sz w:val="21"/>
          <w:szCs w:val="21"/>
        </w:rPr>
        <w:t>en contra del d</w:t>
      </w:r>
      <w:r w:rsidRPr="00170350">
        <w:rPr>
          <w:rFonts w:ascii="Abadi" w:hAnsi="Abadi"/>
          <w:b/>
          <w:bCs/>
          <w:sz w:val="21"/>
          <w:szCs w:val="21"/>
        </w:rPr>
        <w:t>el dictamen</w:t>
      </w:r>
      <w:r w:rsidRPr="006779BC">
        <w:rPr>
          <w:rFonts w:ascii="Abadi" w:hAnsi="Abadi" w:cs="ArialMT"/>
          <w:b/>
          <w:bCs/>
          <w:sz w:val="21"/>
          <w:szCs w:val="21"/>
        </w:rPr>
        <w:t xml:space="preserve">) </w:t>
      </w:r>
    </w:p>
    <w:p w14:paraId="600B94A7" w14:textId="77777777" w:rsidR="00095E56" w:rsidRDefault="00095E56" w:rsidP="005D1D8E">
      <w:pPr>
        <w:ind w:left="2124" w:right="-284" w:firstLine="708"/>
        <w:rPr>
          <w:rFonts w:ascii="Abadi" w:hAnsi="Abadi"/>
          <w:b/>
          <w:bCs/>
          <w:sz w:val="18"/>
          <w:szCs w:val="18"/>
        </w:rPr>
      </w:pPr>
    </w:p>
    <w:p w14:paraId="0D97A28C" w14:textId="77777777" w:rsidR="00F93B28" w:rsidRDefault="00F93B28" w:rsidP="00095E56">
      <w:pPr>
        <w:ind w:left="2124" w:right="-284" w:firstLine="708"/>
        <w:rPr>
          <w:rFonts w:ascii="Abadi" w:hAnsi="Abadi"/>
          <w:b/>
          <w:bCs/>
          <w:sz w:val="18"/>
          <w:szCs w:val="18"/>
        </w:rPr>
      </w:pPr>
    </w:p>
    <w:p w14:paraId="785E1752" w14:textId="08496687" w:rsidR="00095E56" w:rsidRDefault="00095E56" w:rsidP="006C6904">
      <w:pPr>
        <w:ind w:left="2124" w:right="-284" w:firstLine="1096"/>
        <w:rPr>
          <w:rFonts w:ascii="Abadi" w:hAnsi="Abadi"/>
          <w:b/>
          <w:bCs/>
          <w:sz w:val="18"/>
          <w:szCs w:val="18"/>
        </w:rPr>
      </w:pPr>
      <w:r w:rsidRPr="006779BC">
        <w:rPr>
          <w:rFonts w:ascii="Abadi" w:hAnsi="Abadi"/>
          <w:b/>
          <w:bCs/>
          <w:sz w:val="18"/>
          <w:szCs w:val="18"/>
        </w:rPr>
        <w:t xml:space="preserve">Pág. </w:t>
      </w:r>
      <w:r w:rsidR="00627504">
        <w:rPr>
          <w:rFonts w:ascii="Abadi" w:hAnsi="Abadi"/>
          <w:b/>
          <w:bCs/>
          <w:sz w:val="18"/>
          <w:szCs w:val="18"/>
        </w:rPr>
        <w:t>17</w:t>
      </w:r>
      <w:r w:rsidR="006C6904">
        <w:rPr>
          <w:rFonts w:ascii="Abadi" w:hAnsi="Abadi"/>
          <w:b/>
          <w:bCs/>
          <w:sz w:val="18"/>
          <w:szCs w:val="18"/>
        </w:rPr>
        <w:t>1</w:t>
      </w:r>
    </w:p>
    <w:p w14:paraId="7111B116" w14:textId="77777777" w:rsidR="00F93B28" w:rsidRDefault="00F93B28" w:rsidP="00095E56">
      <w:pPr>
        <w:ind w:left="2124" w:right="-284" w:firstLine="708"/>
        <w:rPr>
          <w:rFonts w:ascii="Abadi" w:hAnsi="Abadi"/>
          <w:b/>
          <w:bCs/>
          <w:sz w:val="18"/>
          <w:szCs w:val="18"/>
        </w:rPr>
      </w:pPr>
    </w:p>
    <w:p w14:paraId="05D953B3" w14:textId="7D6CBDD6" w:rsidR="00307B03" w:rsidRDefault="00307B03" w:rsidP="00095E56">
      <w:pPr>
        <w:ind w:left="2124" w:right="-284" w:firstLine="708"/>
        <w:rPr>
          <w:rFonts w:ascii="Abadi" w:hAnsi="Abadi"/>
          <w:b/>
          <w:bCs/>
          <w:sz w:val="18"/>
          <w:szCs w:val="18"/>
        </w:rPr>
      </w:pPr>
    </w:p>
    <w:p w14:paraId="6C763052" w14:textId="692EAC1A" w:rsidR="00307B03" w:rsidRPr="006779BC" w:rsidRDefault="00307B03" w:rsidP="00307B03">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w:t>
      </w:r>
      <w:r w:rsidRPr="001C781B">
        <w:rPr>
          <w:rFonts w:ascii="Abadi" w:hAnsi="Abadi"/>
          <w:b/>
          <w:bCs/>
          <w:sz w:val="21"/>
          <w:szCs w:val="21"/>
        </w:rPr>
        <w:t xml:space="preserve">Sube a tribuna </w:t>
      </w:r>
      <w:r>
        <w:rPr>
          <w:rFonts w:ascii="Abadi" w:hAnsi="Abadi"/>
          <w:b/>
          <w:bCs/>
          <w:sz w:val="21"/>
          <w:szCs w:val="21"/>
        </w:rPr>
        <w:t xml:space="preserve">el </w:t>
      </w:r>
      <w:r w:rsidRPr="001C781B">
        <w:rPr>
          <w:rFonts w:ascii="Abadi" w:hAnsi="Abadi"/>
          <w:b/>
          <w:bCs/>
          <w:sz w:val="21"/>
          <w:szCs w:val="21"/>
        </w:rPr>
        <w:t>Diputado Bricio Balderas</w:t>
      </w:r>
      <w:r>
        <w:rPr>
          <w:rFonts w:ascii="Abadi" w:hAnsi="Abadi"/>
          <w:b/>
          <w:bCs/>
          <w:sz w:val="21"/>
          <w:szCs w:val="21"/>
        </w:rPr>
        <w:t>,</w:t>
      </w:r>
      <w:r w:rsidRPr="001C781B">
        <w:rPr>
          <w:rFonts w:ascii="Abadi" w:hAnsi="Abadi"/>
          <w:b/>
          <w:bCs/>
          <w:sz w:val="21"/>
          <w:szCs w:val="21"/>
        </w:rPr>
        <w:t xml:space="preserve"> para hablar a favor del dictamen</w:t>
      </w:r>
      <w:r w:rsidRPr="006779BC">
        <w:rPr>
          <w:rFonts w:ascii="Abadi" w:hAnsi="Abadi" w:cs="ArialMT"/>
          <w:b/>
          <w:bCs/>
          <w:sz w:val="21"/>
          <w:szCs w:val="21"/>
        </w:rPr>
        <w:t xml:space="preserve">) </w:t>
      </w:r>
    </w:p>
    <w:p w14:paraId="4FBBA357" w14:textId="77777777" w:rsidR="00307B03" w:rsidRDefault="00307B03" w:rsidP="00095E56">
      <w:pPr>
        <w:ind w:left="2124" w:right="-284" w:firstLine="708"/>
        <w:rPr>
          <w:rFonts w:ascii="Abadi" w:hAnsi="Abadi"/>
          <w:b/>
          <w:bCs/>
          <w:sz w:val="18"/>
          <w:szCs w:val="18"/>
        </w:rPr>
      </w:pPr>
    </w:p>
    <w:p w14:paraId="76C95CE2" w14:textId="25FD3CF8" w:rsidR="00307B03" w:rsidRDefault="00307B03" w:rsidP="00095E56">
      <w:pPr>
        <w:ind w:left="2124" w:right="-284" w:firstLine="708"/>
        <w:rPr>
          <w:rFonts w:ascii="Abadi" w:hAnsi="Abadi"/>
          <w:b/>
          <w:bCs/>
          <w:sz w:val="18"/>
          <w:szCs w:val="18"/>
        </w:rPr>
      </w:pPr>
    </w:p>
    <w:p w14:paraId="348B5BF6" w14:textId="78EFC7D7" w:rsidR="00307B03" w:rsidRDefault="00307B03" w:rsidP="0046155D">
      <w:pPr>
        <w:ind w:left="2124" w:right="-284" w:firstLine="1096"/>
        <w:rPr>
          <w:rFonts w:ascii="Abadi" w:hAnsi="Abadi"/>
          <w:b/>
          <w:bCs/>
          <w:sz w:val="18"/>
          <w:szCs w:val="18"/>
        </w:rPr>
      </w:pPr>
      <w:r w:rsidRPr="006779BC">
        <w:rPr>
          <w:rFonts w:ascii="Abadi" w:hAnsi="Abadi"/>
          <w:b/>
          <w:bCs/>
          <w:sz w:val="18"/>
          <w:szCs w:val="18"/>
        </w:rPr>
        <w:t xml:space="preserve">Pág. </w:t>
      </w:r>
      <w:r>
        <w:rPr>
          <w:rFonts w:ascii="Abadi" w:hAnsi="Abadi"/>
          <w:b/>
          <w:bCs/>
          <w:sz w:val="18"/>
          <w:szCs w:val="18"/>
        </w:rPr>
        <w:t>17</w:t>
      </w:r>
      <w:r w:rsidR="0046155D">
        <w:rPr>
          <w:rFonts w:ascii="Abadi" w:hAnsi="Abadi"/>
          <w:b/>
          <w:bCs/>
          <w:sz w:val="18"/>
          <w:szCs w:val="18"/>
        </w:rPr>
        <w:t>3</w:t>
      </w:r>
    </w:p>
    <w:p w14:paraId="16458F2A" w14:textId="0591ED04" w:rsidR="00357F46" w:rsidRDefault="00357F46" w:rsidP="00307B03">
      <w:pPr>
        <w:ind w:left="2124" w:right="-284" w:firstLine="708"/>
        <w:rPr>
          <w:rFonts w:ascii="Abadi" w:hAnsi="Abadi"/>
          <w:b/>
          <w:bCs/>
          <w:sz w:val="18"/>
          <w:szCs w:val="18"/>
        </w:rPr>
      </w:pPr>
    </w:p>
    <w:p w14:paraId="58D3165F" w14:textId="6B9C58F2" w:rsidR="00357F46" w:rsidRPr="006779BC" w:rsidRDefault="00357F46" w:rsidP="00357F46">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w:t>
      </w:r>
      <w:r w:rsidRPr="00243BEE">
        <w:rPr>
          <w:rFonts w:ascii="Abadi" w:hAnsi="Abadi"/>
          <w:b/>
          <w:bCs/>
          <w:sz w:val="21"/>
          <w:szCs w:val="21"/>
        </w:rPr>
        <w:t>Sube a</w:t>
      </w:r>
      <w:r>
        <w:rPr>
          <w:rFonts w:ascii="Abadi" w:hAnsi="Abadi"/>
          <w:b/>
          <w:bCs/>
          <w:sz w:val="21"/>
          <w:szCs w:val="21"/>
        </w:rPr>
        <w:t xml:space="preserve"> </w:t>
      </w:r>
      <w:r w:rsidRPr="00243BEE">
        <w:rPr>
          <w:rFonts w:ascii="Abadi" w:hAnsi="Abadi"/>
          <w:b/>
          <w:bCs/>
          <w:sz w:val="21"/>
          <w:szCs w:val="21"/>
        </w:rPr>
        <w:t xml:space="preserve">tribuna </w:t>
      </w:r>
      <w:r>
        <w:rPr>
          <w:rFonts w:ascii="Abadi" w:hAnsi="Abadi"/>
          <w:b/>
          <w:bCs/>
          <w:sz w:val="21"/>
          <w:szCs w:val="21"/>
        </w:rPr>
        <w:t xml:space="preserve">el </w:t>
      </w:r>
      <w:r w:rsidRPr="00243BEE">
        <w:rPr>
          <w:rFonts w:ascii="Abadi" w:hAnsi="Abadi"/>
          <w:b/>
          <w:bCs/>
          <w:sz w:val="21"/>
          <w:szCs w:val="21"/>
        </w:rPr>
        <w:t>Diputado David Martinez</w:t>
      </w:r>
      <w:r>
        <w:rPr>
          <w:rFonts w:ascii="Abadi" w:hAnsi="Abadi"/>
          <w:b/>
          <w:bCs/>
          <w:sz w:val="21"/>
          <w:szCs w:val="21"/>
        </w:rPr>
        <w:t>,</w:t>
      </w:r>
      <w:r w:rsidRPr="00243BEE">
        <w:rPr>
          <w:rFonts w:ascii="Abadi" w:hAnsi="Abadi"/>
          <w:b/>
          <w:bCs/>
          <w:sz w:val="21"/>
          <w:szCs w:val="21"/>
        </w:rPr>
        <w:t xml:space="preserve"> para rectificación de hechos</w:t>
      </w:r>
      <w:r>
        <w:rPr>
          <w:rFonts w:ascii="Abadi" w:hAnsi="Abadi"/>
          <w:b/>
          <w:bCs/>
          <w:sz w:val="21"/>
          <w:szCs w:val="21"/>
        </w:rPr>
        <w:t xml:space="preserve"> del diputado que le antecedió</w:t>
      </w:r>
      <w:r w:rsidRPr="006779BC">
        <w:rPr>
          <w:rFonts w:ascii="Abadi" w:hAnsi="Abadi" w:cs="ArialMT"/>
          <w:b/>
          <w:bCs/>
          <w:sz w:val="21"/>
          <w:szCs w:val="21"/>
        </w:rPr>
        <w:t xml:space="preserve">) </w:t>
      </w:r>
    </w:p>
    <w:p w14:paraId="4A3E731E" w14:textId="77777777" w:rsidR="00357F46" w:rsidRDefault="00357F46" w:rsidP="00307B03">
      <w:pPr>
        <w:ind w:left="2124" w:right="-284" w:firstLine="708"/>
        <w:rPr>
          <w:rFonts w:ascii="Abadi" w:hAnsi="Abadi"/>
          <w:b/>
          <w:bCs/>
          <w:sz w:val="18"/>
          <w:szCs w:val="18"/>
        </w:rPr>
      </w:pPr>
    </w:p>
    <w:p w14:paraId="2B82D502" w14:textId="21861C29" w:rsidR="00357F46" w:rsidRDefault="00357F46" w:rsidP="0046155D">
      <w:pPr>
        <w:ind w:left="2124" w:right="-284" w:firstLine="1096"/>
        <w:rPr>
          <w:rFonts w:ascii="Abadi" w:hAnsi="Abadi"/>
          <w:b/>
          <w:bCs/>
          <w:sz w:val="18"/>
          <w:szCs w:val="18"/>
        </w:rPr>
      </w:pPr>
      <w:r w:rsidRPr="006779BC">
        <w:rPr>
          <w:rFonts w:ascii="Abadi" w:hAnsi="Abadi"/>
          <w:b/>
          <w:bCs/>
          <w:sz w:val="18"/>
          <w:szCs w:val="18"/>
        </w:rPr>
        <w:t xml:space="preserve">Pág. </w:t>
      </w:r>
      <w:r>
        <w:rPr>
          <w:rFonts w:ascii="Abadi" w:hAnsi="Abadi"/>
          <w:b/>
          <w:bCs/>
          <w:sz w:val="18"/>
          <w:szCs w:val="18"/>
        </w:rPr>
        <w:t>17</w:t>
      </w:r>
      <w:r w:rsidR="0046155D">
        <w:rPr>
          <w:rFonts w:ascii="Abadi" w:hAnsi="Abadi"/>
          <w:b/>
          <w:bCs/>
          <w:sz w:val="18"/>
          <w:szCs w:val="18"/>
        </w:rPr>
        <w:t>5</w:t>
      </w:r>
    </w:p>
    <w:p w14:paraId="23778222" w14:textId="2F6F8265"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6A3B9C6F" w14:textId="77777777" w:rsidR="00332634" w:rsidRPr="003225C2" w:rsidRDefault="00332634" w:rsidP="00332634">
      <w:pPr>
        <w:autoSpaceDE w:val="0"/>
        <w:autoSpaceDN w:val="0"/>
        <w:adjustRightInd w:val="0"/>
        <w:jc w:val="both"/>
        <w:rPr>
          <w:rFonts w:ascii="Abadi" w:hAnsi="Abadi" w:cs="ArialMT"/>
          <w:b/>
          <w:bCs/>
          <w:sz w:val="21"/>
          <w:szCs w:val="21"/>
        </w:rPr>
      </w:pPr>
      <w:r w:rsidRPr="003225C2">
        <w:rPr>
          <w:rFonts w:ascii="Abadi" w:hAnsi="Abadi" w:cs="ArialMT"/>
          <w:b/>
          <w:bCs/>
          <w:sz w:val="21"/>
          <w:szCs w:val="21"/>
        </w:rPr>
        <w:t xml:space="preserve"> </w:t>
      </w:r>
    </w:p>
    <w:p w14:paraId="0BED2CAA" w14:textId="277D9C25"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Discusión y, en su caso, aprobación del dictamen presentado por la Comisión de Asuntos Municipales relativo a la iniciativa por la que se reforma el artículo 19 de la Ley Orgánica Municipal para el Estado de Guanajuato suscrita por diputadas y diputados integrantes del Grupo Parlamentario del Partido Acción Nacional.</w:t>
      </w:r>
    </w:p>
    <w:p w14:paraId="59DEAD1E" w14:textId="77777777" w:rsidR="00EB6C90" w:rsidRDefault="00EB6C90" w:rsidP="00EB6C90">
      <w:pPr>
        <w:ind w:left="2124" w:right="-284" w:firstLine="708"/>
        <w:rPr>
          <w:rFonts w:ascii="Abadi" w:hAnsi="Abadi"/>
          <w:b/>
          <w:bCs/>
          <w:sz w:val="18"/>
          <w:szCs w:val="18"/>
        </w:rPr>
      </w:pPr>
    </w:p>
    <w:p w14:paraId="1ECAE548" w14:textId="76156104" w:rsidR="00ED285D" w:rsidRPr="00ED285D" w:rsidRDefault="00ED285D" w:rsidP="0046155D">
      <w:pPr>
        <w:ind w:left="2124" w:right="-284" w:firstLine="1096"/>
        <w:rPr>
          <w:rFonts w:ascii="Abadi" w:hAnsi="Abadi"/>
          <w:b/>
          <w:bCs/>
          <w:sz w:val="18"/>
          <w:szCs w:val="18"/>
        </w:rPr>
      </w:pPr>
      <w:r w:rsidRPr="00ED285D">
        <w:rPr>
          <w:rFonts w:ascii="Abadi" w:hAnsi="Abadi"/>
          <w:b/>
          <w:bCs/>
          <w:sz w:val="18"/>
          <w:szCs w:val="18"/>
        </w:rPr>
        <w:t xml:space="preserve">Pág. </w:t>
      </w:r>
      <w:r w:rsidR="00EB6C90">
        <w:rPr>
          <w:rFonts w:ascii="Abadi" w:hAnsi="Abadi"/>
          <w:b/>
          <w:bCs/>
          <w:sz w:val="18"/>
          <w:szCs w:val="18"/>
        </w:rPr>
        <w:t>17</w:t>
      </w:r>
      <w:r w:rsidR="0046155D">
        <w:rPr>
          <w:rFonts w:ascii="Abadi" w:hAnsi="Abadi"/>
          <w:b/>
          <w:bCs/>
          <w:sz w:val="18"/>
          <w:szCs w:val="18"/>
        </w:rPr>
        <w:t>7</w:t>
      </w:r>
    </w:p>
    <w:p w14:paraId="18DC0811" w14:textId="77777777"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24D71D2C" w14:textId="77777777" w:rsidR="00332634" w:rsidRPr="003225C2" w:rsidRDefault="00332634" w:rsidP="00332634">
      <w:pPr>
        <w:autoSpaceDE w:val="0"/>
        <w:autoSpaceDN w:val="0"/>
        <w:adjustRightInd w:val="0"/>
        <w:ind w:left="851" w:right="495"/>
        <w:jc w:val="both"/>
        <w:rPr>
          <w:rFonts w:ascii="Abadi" w:hAnsi="Abadi" w:cs="ArialMT"/>
          <w:b/>
          <w:bCs/>
          <w:sz w:val="21"/>
          <w:szCs w:val="21"/>
        </w:rPr>
      </w:pPr>
    </w:p>
    <w:p w14:paraId="6B86E94A" w14:textId="7E608495"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signado por la Comisión de Seguridad Pública y </w:t>
      </w:r>
      <w:r w:rsidRPr="003225C2">
        <w:rPr>
          <w:rFonts w:ascii="Abadi" w:hAnsi="Abadi" w:cs="ArialMT"/>
          <w:b/>
          <w:bCs/>
          <w:sz w:val="21"/>
          <w:szCs w:val="21"/>
        </w:rPr>
        <w:t>Comunicaciones relativo a la iniciativa suscrita por la diputada y el diputado integrantes del Grupo Parlamentario del Partido Verde Ecologista de México a efecto de adicionar un párrafo segundo al artículo 251 de la Ley de Movilidad del Estado de Guanajuato y sus Municipios.</w:t>
      </w:r>
    </w:p>
    <w:p w14:paraId="266F7236" w14:textId="77777777" w:rsidR="00EB6C90" w:rsidRDefault="00EB6C90" w:rsidP="00EB6C90">
      <w:pPr>
        <w:ind w:left="2124" w:right="-284" w:firstLine="708"/>
        <w:rPr>
          <w:rFonts w:ascii="Abadi" w:hAnsi="Abadi"/>
          <w:b/>
          <w:bCs/>
          <w:sz w:val="18"/>
          <w:szCs w:val="18"/>
        </w:rPr>
      </w:pPr>
    </w:p>
    <w:p w14:paraId="1592FDD2" w14:textId="310FA3AA" w:rsidR="00ED285D" w:rsidRDefault="00ED285D" w:rsidP="0046155D">
      <w:pPr>
        <w:ind w:left="2124" w:right="-284" w:firstLine="995"/>
        <w:rPr>
          <w:rFonts w:ascii="Abadi" w:hAnsi="Abadi"/>
          <w:b/>
          <w:bCs/>
          <w:sz w:val="18"/>
          <w:szCs w:val="18"/>
        </w:rPr>
      </w:pPr>
      <w:r w:rsidRPr="00ED285D">
        <w:rPr>
          <w:rFonts w:ascii="Abadi" w:hAnsi="Abadi"/>
          <w:b/>
          <w:bCs/>
          <w:sz w:val="18"/>
          <w:szCs w:val="18"/>
        </w:rPr>
        <w:t xml:space="preserve">Pág. </w:t>
      </w:r>
      <w:r w:rsidR="00EB6C90">
        <w:rPr>
          <w:rFonts w:ascii="Abadi" w:hAnsi="Abadi"/>
          <w:b/>
          <w:bCs/>
          <w:sz w:val="18"/>
          <w:szCs w:val="18"/>
        </w:rPr>
        <w:t>18</w:t>
      </w:r>
      <w:r w:rsidR="00E8642B">
        <w:rPr>
          <w:rFonts w:ascii="Abadi" w:hAnsi="Abadi"/>
          <w:b/>
          <w:bCs/>
          <w:sz w:val="18"/>
          <w:szCs w:val="18"/>
        </w:rPr>
        <w:t>4</w:t>
      </w:r>
    </w:p>
    <w:p w14:paraId="6672A151" w14:textId="56A3A067" w:rsidR="000B77D6" w:rsidRDefault="000B77D6" w:rsidP="00EB6C90">
      <w:pPr>
        <w:ind w:left="2124" w:right="-284" w:firstLine="708"/>
        <w:rPr>
          <w:rFonts w:ascii="Abadi" w:hAnsi="Abadi"/>
          <w:b/>
          <w:bCs/>
          <w:sz w:val="18"/>
          <w:szCs w:val="18"/>
        </w:rPr>
      </w:pPr>
    </w:p>
    <w:p w14:paraId="0862B008" w14:textId="2766F1E5" w:rsidR="000B77D6" w:rsidRPr="006779BC" w:rsidRDefault="000B77D6" w:rsidP="000B77D6">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w:t>
      </w:r>
      <w:r w:rsidRPr="00D11B90">
        <w:rPr>
          <w:rFonts w:ascii="Abadi" w:hAnsi="Abadi"/>
          <w:b/>
          <w:bCs/>
          <w:sz w:val="21"/>
          <w:szCs w:val="21"/>
        </w:rPr>
        <w:t xml:space="preserve">Sube a tribuna </w:t>
      </w:r>
      <w:r>
        <w:rPr>
          <w:rFonts w:ascii="Abadi" w:hAnsi="Abadi"/>
          <w:b/>
          <w:bCs/>
          <w:sz w:val="21"/>
          <w:szCs w:val="21"/>
        </w:rPr>
        <w:t xml:space="preserve">el </w:t>
      </w:r>
      <w:r w:rsidRPr="00D11B90">
        <w:rPr>
          <w:rFonts w:ascii="Abadi" w:hAnsi="Abadi"/>
          <w:b/>
          <w:bCs/>
          <w:sz w:val="21"/>
          <w:szCs w:val="21"/>
        </w:rPr>
        <w:t>Diputado Gerardo Fernández para hablar a favor del dictamen</w:t>
      </w:r>
      <w:r w:rsidRPr="006779BC">
        <w:rPr>
          <w:rFonts w:ascii="Abadi" w:hAnsi="Abadi" w:cs="ArialMT"/>
          <w:b/>
          <w:bCs/>
          <w:sz w:val="21"/>
          <w:szCs w:val="21"/>
        </w:rPr>
        <w:t xml:space="preserve">) </w:t>
      </w:r>
    </w:p>
    <w:p w14:paraId="5E4D728C" w14:textId="77777777" w:rsidR="000B77D6" w:rsidRPr="00ED285D" w:rsidRDefault="000B77D6" w:rsidP="00EB6C90">
      <w:pPr>
        <w:ind w:left="2124" w:right="-284" w:firstLine="708"/>
        <w:rPr>
          <w:rFonts w:ascii="Abadi" w:hAnsi="Abadi"/>
          <w:b/>
          <w:bCs/>
          <w:sz w:val="18"/>
          <w:szCs w:val="18"/>
        </w:rPr>
      </w:pPr>
    </w:p>
    <w:p w14:paraId="57CB4615" w14:textId="77777777"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1A48B309" w14:textId="62B74781" w:rsidR="000B77D6" w:rsidRDefault="000B77D6" w:rsidP="0046155D">
      <w:pPr>
        <w:ind w:left="2124" w:right="-284" w:firstLine="995"/>
        <w:rPr>
          <w:rFonts w:ascii="Abadi" w:hAnsi="Abadi"/>
          <w:b/>
          <w:bCs/>
          <w:sz w:val="18"/>
          <w:szCs w:val="18"/>
        </w:rPr>
      </w:pPr>
      <w:r w:rsidRPr="00ED285D">
        <w:rPr>
          <w:rFonts w:ascii="Abadi" w:hAnsi="Abadi"/>
          <w:b/>
          <w:bCs/>
          <w:sz w:val="18"/>
          <w:szCs w:val="18"/>
        </w:rPr>
        <w:t xml:space="preserve">Pág. </w:t>
      </w:r>
      <w:r>
        <w:rPr>
          <w:rFonts w:ascii="Abadi" w:hAnsi="Abadi"/>
          <w:b/>
          <w:bCs/>
          <w:sz w:val="18"/>
          <w:szCs w:val="18"/>
        </w:rPr>
        <w:t>188</w:t>
      </w:r>
    </w:p>
    <w:p w14:paraId="600D7920" w14:textId="77777777" w:rsidR="00332634" w:rsidRPr="003225C2" w:rsidRDefault="00332634" w:rsidP="00332634">
      <w:pPr>
        <w:autoSpaceDE w:val="0"/>
        <w:autoSpaceDN w:val="0"/>
        <w:adjustRightInd w:val="0"/>
        <w:jc w:val="both"/>
        <w:rPr>
          <w:rFonts w:ascii="Abadi" w:hAnsi="Abadi" w:cs="Arial-BoldMT"/>
          <w:b/>
          <w:bCs/>
          <w:sz w:val="21"/>
          <w:szCs w:val="21"/>
        </w:rPr>
      </w:pPr>
    </w:p>
    <w:p w14:paraId="7FECAA45" w14:textId="0C85CDCC"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Discusión y, en su caso, aprobación del dictamen emitido por la Comisión de Seguridad Pública y Comunicaciones relativo a la iniciativa suscrita por diputadas y diputados integrantes del Grupo Parlamentario del Partido Acción Nacional por la que se adiciona un segundo párrafo que contiene las fracciones de la I a la VIII al artículo 18 de la Ley del Sistema de Seguridad Pública del Estado de Guanajuato.</w:t>
      </w:r>
    </w:p>
    <w:p w14:paraId="16A52721" w14:textId="77777777" w:rsidR="00ED285D" w:rsidRDefault="00ED285D" w:rsidP="00ED285D">
      <w:pPr>
        <w:ind w:right="-284"/>
        <w:rPr>
          <w:rFonts w:ascii="Abadi" w:hAnsi="Abadi"/>
          <w:b/>
          <w:bCs/>
          <w:sz w:val="18"/>
          <w:szCs w:val="18"/>
        </w:rPr>
      </w:pPr>
    </w:p>
    <w:p w14:paraId="76F1C910" w14:textId="56F71621" w:rsidR="00ED285D" w:rsidRDefault="00ED285D" w:rsidP="00E8642B">
      <w:pPr>
        <w:ind w:left="2124" w:right="-284" w:firstLine="995"/>
        <w:rPr>
          <w:rFonts w:ascii="Abadi" w:hAnsi="Abadi"/>
          <w:b/>
          <w:bCs/>
          <w:sz w:val="18"/>
          <w:szCs w:val="18"/>
        </w:rPr>
      </w:pPr>
      <w:r w:rsidRPr="00ED285D">
        <w:rPr>
          <w:rFonts w:ascii="Abadi" w:hAnsi="Abadi"/>
          <w:b/>
          <w:bCs/>
          <w:sz w:val="18"/>
          <w:szCs w:val="18"/>
        </w:rPr>
        <w:t xml:space="preserve">Pág. </w:t>
      </w:r>
      <w:r w:rsidR="000B77D6">
        <w:rPr>
          <w:rFonts w:ascii="Abadi" w:hAnsi="Abadi"/>
          <w:b/>
          <w:bCs/>
          <w:sz w:val="18"/>
          <w:szCs w:val="18"/>
        </w:rPr>
        <w:t>1</w:t>
      </w:r>
      <w:r w:rsidR="00292B44">
        <w:rPr>
          <w:rFonts w:ascii="Abadi" w:hAnsi="Abadi"/>
          <w:b/>
          <w:bCs/>
          <w:sz w:val="18"/>
          <w:szCs w:val="18"/>
        </w:rPr>
        <w:t>9</w:t>
      </w:r>
      <w:r w:rsidR="00E8642B">
        <w:rPr>
          <w:rFonts w:ascii="Abadi" w:hAnsi="Abadi"/>
          <w:b/>
          <w:bCs/>
          <w:sz w:val="18"/>
          <w:szCs w:val="18"/>
        </w:rPr>
        <w:t>1</w:t>
      </w:r>
    </w:p>
    <w:p w14:paraId="4AC8B220" w14:textId="0CBD8C4C" w:rsidR="00A60753" w:rsidRDefault="00A60753" w:rsidP="000B77D6">
      <w:pPr>
        <w:ind w:left="2124" w:right="-284" w:firstLine="708"/>
        <w:rPr>
          <w:rFonts w:ascii="Abadi" w:hAnsi="Abadi"/>
          <w:b/>
          <w:bCs/>
          <w:sz w:val="18"/>
          <w:szCs w:val="18"/>
        </w:rPr>
      </w:pPr>
    </w:p>
    <w:p w14:paraId="6CC25524" w14:textId="6CA911C7" w:rsidR="00A60753" w:rsidRPr="006779BC" w:rsidRDefault="00A60753" w:rsidP="00A60753">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w:t>
      </w:r>
      <w:r w:rsidRPr="00D11B90">
        <w:rPr>
          <w:rFonts w:ascii="Abadi" w:hAnsi="Abadi"/>
          <w:b/>
          <w:bCs/>
          <w:sz w:val="21"/>
          <w:szCs w:val="21"/>
        </w:rPr>
        <w:t xml:space="preserve">Sube a tribuna </w:t>
      </w:r>
      <w:r>
        <w:rPr>
          <w:rFonts w:ascii="Abadi" w:hAnsi="Abadi"/>
          <w:b/>
          <w:bCs/>
          <w:sz w:val="21"/>
          <w:szCs w:val="21"/>
        </w:rPr>
        <w:t xml:space="preserve">el </w:t>
      </w:r>
      <w:r w:rsidRPr="00D11B90">
        <w:rPr>
          <w:rFonts w:ascii="Abadi" w:hAnsi="Abadi"/>
          <w:b/>
          <w:bCs/>
          <w:sz w:val="21"/>
          <w:szCs w:val="21"/>
        </w:rPr>
        <w:t xml:space="preserve">Diputado </w:t>
      </w:r>
      <w:r w:rsidRPr="00932105">
        <w:rPr>
          <w:rFonts w:ascii="Abadi" w:hAnsi="Abadi"/>
          <w:b/>
          <w:bCs/>
          <w:sz w:val="21"/>
          <w:szCs w:val="21"/>
        </w:rPr>
        <w:t>Martín López Camacho</w:t>
      </w:r>
      <w:r>
        <w:rPr>
          <w:rFonts w:ascii="Abadi" w:hAnsi="Abadi"/>
          <w:b/>
          <w:bCs/>
          <w:sz w:val="21"/>
          <w:szCs w:val="21"/>
        </w:rPr>
        <w:t>,</w:t>
      </w:r>
      <w:r w:rsidRPr="00932105">
        <w:rPr>
          <w:rFonts w:ascii="Abadi" w:hAnsi="Abadi"/>
          <w:b/>
          <w:bCs/>
          <w:sz w:val="21"/>
          <w:szCs w:val="21"/>
        </w:rPr>
        <w:t xml:space="preserve"> para hablar a favor del dictamen</w:t>
      </w:r>
      <w:r w:rsidRPr="006779BC">
        <w:rPr>
          <w:rFonts w:ascii="Abadi" w:hAnsi="Abadi" w:cs="ArialMT"/>
          <w:b/>
          <w:bCs/>
          <w:sz w:val="21"/>
          <w:szCs w:val="21"/>
        </w:rPr>
        <w:t xml:space="preserve">) </w:t>
      </w:r>
    </w:p>
    <w:p w14:paraId="5EBBFC13" w14:textId="77777777" w:rsidR="00A60753" w:rsidRDefault="00A60753" w:rsidP="000B77D6">
      <w:pPr>
        <w:ind w:left="2124" w:right="-284" w:firstLine="708"/>
        <w:rPr>
          <w:rFonts w:ascii="Abadi" w:hAnsi="Abadi"/>
          <w:b/>
          <w:bCs/>
          <w:sz w:val="18"/>
          <w:szCs w:val="18"/>
        </w:rPr>
      </w:pPr>
    </w:p>
    <w:p w14:paraId="63E6A63D" w14:textId="0BAC4B8C" w:rsidR="00A60753" w:rsidRDefault="00A60753" w:rsidP="000B77D6">
      <w:pPr>
        <w:ind w:left="2124" w:right="-284" w:firstLine="708"/>
        <w:rPr>
          <w:rFonts w:ascii="Abadi" w:hAnsi="Abadi"/>
          <w:b/>
          <w:bCs/>
          <w:sz w:val="18"/>
          <w:szCs w:val="18"/>
        </w:rPr>
      </w:pPr>
    </w:p>
    <w:p w14:paraId="6BDAF68D" w14:textId="4A315E02" w:rsidR="00FB436E" w:rsidRDefault="00FB436E" w:rsidP="000B77D6">
      <w:pPr>
        <w:ind w:left="2124" w:right="-284" w:firstLine="708"/>
        <w:rPr>
          <w:rFonts w:ascii="Abadi" w:hAnsi="Abadi"/>
          <w:b/>
          <w:bCs/>
          <w:sz w:val="18"/>
          <w:szCs w:val="18"/>
        </w:rPr>
      </w:pPr>
    </w:p>
    <w:p w14:paraId="366E7717" w14:textId="51C14823" w:rsidR="00FB436E" w:rsidRDefault="00FB436E" w:rsidP="00E8642B">
      <w:pPr>
        <w:ind w:left="2124" w:right="-284" w:firstLine="995"/>
        <w:rPr>
          <w:rFonts w:ascii="Abadi" w:hAnsi="Abadi"/>
          <w:b/>
          <w:bCs/>
          <w:sz w:val="18"/>
          <w:szCs w:val="18"/>
        </w:rPr>
      </w:pPr>
      <w:r w:rsidRPr="00ED285D">
        <w:rPr>
          <w:rFonts w:ascii="Abadi" w:hAnsi="Abadi"/>
          <w:b/>
          <w:bCs/>
          <w:sz w:val="18"/>
          <w:szCs w:val="18"/>
        </w:rPr>
        <w:t xml:space="preserve">Pág. </w:t>
      </w:r>
      <w:r>
        <w:rPr>
          <w:rFonts w:ascii="Abadi" w:hAnsi="Abadi"/>
          <w:b/>
          <w:bCs/>
          <w:sz w:val="18"/>
          <w:szCs w:val="18"/>
        </w:rPr>
        <w:t>19</w:t>
      </w:r>
      <w:r w:rsidR="00292B44">
        <w:rPr>
          <w:rFonts w:ascii="Abadi" w:hAnsi="Abadi"/>
          <w:b/>
          <w:bCs/>
          <w:sz w:val="18"/>
          <w:szCs w:val="18"/>
        </w:rPr>
        <w:t>5</w:t>
      </w:r>
    </w:p>
    <w:p w14:paraId="62F04406" w14:textId="77777777" w:rsidR="00FB436E" w:rsidRDefault="00FB436E" w:rsidP="000B77D6">
      <w:pPr>
        <w:ind w:left="2124" w:right="-284" w:firstLine="708"/>
        <w:rPr>
          <w:rFonts w:ascii="Abadi" w:hAnsi="Abadi"/>
          <w:b/>
          <w:bCs/>
          <w:sz w:val="18"/>
          <w:szCs w:val="18"/>
        </w:rPr>
      </w:pPr>
    </w:p>
    <w:p w14:paraId="6A75F64F" w14:textId="58DAEA3D"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suscrito por la Comisión de Hacienda y Fiscalización relativo a la iniciativa </w:t>
      </w:r>
      <w:r w:rsidRPr="003225C2">
        <w:rPr>
          <w:rFonts w:ascii="Abadi" w:hAnsi="Abadi" w:cs="ArialMT"/>
          <w:b/>
          <w:bCs/>
          <w:sz w:val="21"/>
          <w:szCs w:val="21"/>
        </w:rPr>
        <w:lastRenderedPageBreak/>
        <w:t>formulada por las diputadas y los diputados integrantes del Grupo Parlamentario del Partido Revolucionario Institucional de la Sexagésima Cuarta Legislatura, a efecto de reformar el artículo 11 y derogar el Capítulo III del Título Segundo de la Ley de Concesiones de Servicios e Infraestructura Pública para el Estado de Guanajuato.</w:t>
      </w:r>
    </w:p>
    <w:p w14:paraId="51C85DB7" w14:textId="453F14A8" w:rsidR="00ED285D" w:rsidRPr="00ED285D" w:rsidRDefault="00ED285D" w:rsidP="002D3146">
      <w:pPr>
        <w:ind w:left="3220" w:right="-284"/>
        <w:rPr>
          <w:rFonts w:ascii="Abadi" w:hAnsi="Abadi"/>
          <w:b/>
          <w:bCs/>
          <w:sz w:val="18"/>
          <w:szCs w:val="18"/>
        </w:rPr>
      </w:pPr>
      <w:r w:rsidRPr="00ED285D">
        <w:rPr>
          <w:rFonts w:ascii="Abadi" w:hAnsi="Abadi"/>
          <w:b/>
          <w:bCs/>
          <w:sz w:val="18"/>
          <w:szCs w:val="18"/>
        </w:rPr>
        <w:t xml:space="preserve">Pág. </w:t>
      </w:r>
      <w:r w:rsidR="002D3146">
        <w:rPr>
          <w:rFonts w:ascii="Abadi" w:hAnsi="Abadi"/>
          <w:b/>
          <w:bCs/>
          <w:sz w:val="18"/>
          <w:szCs w:val="18"/>
        </w:rPr>
        <w:t>19</w:t>
      </w:r>
      <w:r w:rsidR="00F479A3">
        <w:rPr>
          <w:rFonts w:ascii="Abadi" w:hAnsi="Abadi"/>
          <w:b/>
          <w:bCs/>
          <w:sz w:val="18"/>
          <w:szCs w:val="18"/>
        </w:rPr>
        <w:t>8</w:t>
      </w:r>
    </w:p>
    <w:p w14:paraId="61590A6A" w14:textId="77777777"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4A773294" w14:textId="77777777" w:rsidR="00332634" w:rsidRPr="003225C2" w:rsidRDefault="00332634" w:rsidP="00332634">
      <w:pPr>
        <w:autoSpaceDE w:val="0"/>
        <w:autoSpaceDN w:val="0"/>
        <w:adjustRightInd w:val="0"/>
        <w:jc w:val="both"/>
        <w:rPr>
          <w:rFonts w:ascii="Abadi" w:hAnsi="Abadi" w:cs="ArialMT"/>
          <w:b/>
          <w:bCs/>
          <w:sz w:val="21"/>
          <w:szCs w:val="21"/>
        </w:rPr>
      </w:pPr>
    </w:p>
    <w:p w14:paraId="07114B71" w14:textId="31056ED9" w:rsidR="00ED285D" w:rsidRDefault="00332634" w:rsidP="00ED285D">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Discusión y, en su caso, aprobación del dictamen suscrito por la Comisión de Hacienda y Fiscalización relativo a la iniciativa formulada por la diputada y el diputado integrantes del Grupo Parlamentario del Partido Verde Ecologista de México de la Sexagésima Cuarta Legislatura, a efecto de reformar y adicionar diversos artículos de la Ley para el Ejercicio y Control de los Recursos Públicos para el Estado y los Municipios de Guanajuato, y derogar la fracción X del artículo 276 de la Ley Orgánica del Poder Legislativo del Estado de Guanajuato.</w:t>
      </w:r>
    </w:p>
    <w:p w14:paraId="3E2ECA9C" w14:textId="77777777" w:rsidR="002D3146" w:rsidRDefault="002D3146" w:rsidP="002D3146">
      <w:pPr>
        <w:ind w:left="2124" w:right="-284" w:firstLine="708"/>
        <w:rPr>
          <w:rFonts w:ascii="Abadi" w:hAnsi="Abadi"/>
          <w:b/>
          <w:bCs/>
          <w:sz w:val="18"/>
          <w:szCs w:val="18"/>
        </w:rPr>
      </w:pPr>
    </w:p>
    <w:p w14:paraId="36E98851" w14:textId="28E0F4B8" w:rsidR="00ED285D" w:rsidRPr="00ED285D" w:rsidRDefault="00ED285D" w:rsidP="002D3146">
      <w:pPr>
        <w:ind w:left="3220" w:right="-284"/>
        <w:rPr>
          <w:rFonts w:ascii="Abadi" w:hAnsi="Abadi"/>
          <w:b/>
          <w:bCs/>
          <w:sz w:val="18"/>
          <w:szCs w:val="18"/>
        </w:rPr>
      </w:pPr>
      <w:r w:rsidRPr="00ED285D">
        <w:rPr>
          <w:rFonts w:ascii="Abadi" w:hAnsi="Abadi"/>
          <w:b/>
          <w:bCs/>
          <w:sz w:val="18"/>
          <w:szCs w:val="18"/>
        </w:rPr>
        <w:t xml:space="preserve">Pág. </w:t>
      </w:r>
      <w:r w:rsidR="002D3146">
        <w:rPr>
          <w:rFonts w:ascii="Abadi" w:hAnsi="Abadi"/>
          <w:b/>
          <w:bCs/>
          <w:sz w:val="18"/>
          <w:szCs w:val="18"/>
        </w:rPr>
        <w:t>20</w:t>
      </w:r>
      <w:r w:rsidR="00480696">
        <w:rPr>
          <w:rFonts w:ascii="Abadi" w:hAnsi="Abadi"/>
          <w:b/>
          <w:bCs/>
          <w:sz w:val="18"/>
          <w:szCs w:val="18"/>
        </w:rPr>
        <w:t>3</w:t>
      </w:r>
    </w:p>
    <w:p w14:paraId="387A4C94" w14:textId="77777777"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704DCEA2" w14:textId="77777777" w:rsidR="00332634" w:rsidRPr="003225C2" w:rsidRDefault="00332634" w:rsidP="00332634">
      <w:pPr>
        <w:autoSpaceDE w:val="0"/>
        <w:autoSpaceDN w:val="0"/>
        <w:adjustRightInd w:val="0"/>
        <w:ind w:left="851" w:right="495"/>
        <w:jc w:val="both"/>
        <w:rPr>
          <w:rFonts w:ascii="Abadi" w:hAnsi="Abadi" w:cs="ArialMT"/>
          <w:b/>
          <w:bCs/>
          <w:sz w:val="21"/>
          <w:szCs w:val="21"/>
        </w:rPr>
      </w:pPr>
    </w:p>
    <w:p w14:paraId="5A926E76" w14:textId="69D1D808" w:rsidR="00ED285D" w:rsidRDefault="00332634" w:rsidP="00ED285D">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Coroneo, </w:t>
      </w:r>
      <w:proofErr w:type="spellStart"/>
      <w:r w:rsidRPr="003225C2">
        <w:rPr>
          <w:rFonts w:ascii="Abadi" w:hAnsi="Abadi" w:cs="ArialMT"/>
          <w:b/>
          <w:bCs/>
          <w:sz w:val="21"/>
          <w:szCs w:val="21"/>
        </w:rPr>
        <w:t>Gto</w:t>
      </w:r>
      <w:proofErr w:type="spellEnd"/>
      <w:r w:rsidRPr="003225C2">
        <w:rPr>
          <w:rFonts w:ascii="Abadi" w:hAnsi="Abadi" w:cs="ArialMT"/>
          <w:b/>
          <w:bCs/>
          <w:sz w:val="21"/>
          <w:szCs w:val="21"/>
        </w:rPr>
        <w:t xml:space="preserve">., con </w:t>
      </w:r>
      <w:r w:rsidRPr="003225C2">
        <w:rPr>
          <w:rFonts w:ascii="Abadi" w:hAnsi="Abadi" w:cs="ArialMT"/>
          <w:b/>
          <w:bCs/>
          <w:sz w:val="21"/>
          <w:szCs w:val="21"/>
        </w:rPr>
        <w:t>enfoque a resultados del servicio de alumbrado público, por el periodo comprendido del 1 de enero al 31 de diciembre del ejercicio fiscal del año 2020.</w:t>
      </w:r>
    </w:p>
    <w:p w14:paraId="325999A7" w14:textId="77777777" w:rsidR="00ED285D" w:rsidRPr="00ED285D" w:rsidRDefault="00ED285D" w:rsidP="00ED285D">
      <w:pPr>
        <w:autoSpaceDE w:val="0"/>
        <w:autoSpaceDN w:val="0"/>
        <w:adjustRightInd w:val="0"/>
        <w:ind w:left="491" w:right="495"/>
        <w:contextualSpacing/>
        <w:jc w:val="both"/>
        <w:rPr>
          <w:rFonts w:ascii="Abadi" w:hAnsi="Abadi" w:cs="ArialMT"/>
          <w:b/>
          <w:bCs/>
          <w:sz w:val="21"/>
          <w:szCs w:val="21"/>
        </w:rPr>
      </w:pPr>
    </w:p>
    <w:p w14:paraId="6DB48EE5" w14:textId="42F96A8E" w:rsidR="00ED285D" w:rsidRPr="00ED285D" w:rsidRDefault="00ED285D" w:rsidP="00A53B33">
      <w:pPr>
        <w:ind w:left="2124" w:right="-284" w:firstLine="995"/>
        <w:rPr>
          <w:rFonts w:ascii="Abadi" w:hAnsi="Abadi"/>
          <w:b/>
          <w:bCs/>
          <w:sz w:val="18"/>
          <w:szCs w:val="18"/>
        </w:rPr>
      </w:pPr>
      <w:r w:rsidRPr="00ED285D">
        <w:rPr>
          <w:rFonts w:ascii="Abadi" w:hAnsi="Abadi"/>
          <w:b/>
          <w:bCs/>
          <w:sz w:val="18"/>
          <w:szCs w:val="18"/>
        </w:rPr>
        <w:t xml:space="preserve">Pág. </w:t>
      </w:r>
      <w:r w:rsidR="00A53B33">
        <w:rPr>
          <w:rFonts w:ascii="Abadi" w:hAnsi="Abadi"/>
          <w:b/>
          <w:bCs/>
          <w:sz w:val="18"/>
          <w:szCs w:val="18"/>
        </w:rPr>
        <w:t>212</w:t>
      </w:r>
    </w:p>
    <w:p w14:paraId="32DE99E2" w14:textId="77777777"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4CD55BEC" w14:textId="77777777" w:rsidR="00332634" w:rsidRPr="003225C2" w:rsidRDefault="00332634" w:rsidP="00332634">
      <w:pPr>
        <w:autoSpaceDE w:val="0"/>
        <w:autoSpaceDN w:val="0"/>
        <w:adjustRightInd w:val="0"/>
        <w:jc w:val="both"/>
        <w:rPr>
          <w:rFonts w:ascii="Abadi" w:hAnsi="Abadi" w:cs="ArialMT"/>
          <w:b/>
          <w:bCs/>
          <w:sz w:val="21"/>
          <w:szCs w:val="21"/>
        </w:rPr>
      </w:pPr>
    </w:p>
    <w:p w14:paraId="303458B5" w14:textId="5F55AFEE"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Pueblo Nuevo, </w:t>
      </w:r>
      <w:proofErr w:type="spellStart"/>
      <w:r w:rsidRPr="003225C2">
        <w:rPr>
          <w:rFonts w:ascii="Abadi" w:hAnsi="Abadi" w:cs="ArialMT"/>
          <w:b/>
          <w:bCs/>
          <w:sz w:val="21"/>
          <w:szCs w:val="21"/>
        </w:rPr>
        <w:t>Gto</w:t>
      </w:r>
      <w:proofErr w:type="spellEnd"/>
      <w:r w:rsidRPr="003225C2">
        <w:rPr>
          <w:rFonts w:ascii="Abadi" w:hAnsi="Abadi" w:cs="ArialMT"/>
          <w:b/>
          <w:bCs/>
          <w:sz w:val="21"/>
          <w:szCs w:val="21"/>
        </w:rPr>
        <w:t>., con enfoque a resultados del servicio de alumbrado público, por el periodo comprendido del 1 de enero al 31 de diciembre del ejercicio fiscal del año 2020.</w:t>
      </w:r>
    </w:p>
    <w:p w14:paraId="754B1F17" w14:textId="77777777" w:rsidR="00ED285D" w:rsidRDefault="00ED285D" w:rsidP="00ED285D">
      <w:pPr>
        <w:pStyle w:val="Prrafodelista"/>
        <w:autoSpaceDE w:val="0"/>
        <w:autoSpaceDN w:val="0"/>
        <w:adjustRightInd w:val="0"/>
        <w:ind w:left="851" w:right="495"/>
        <w:contextualSpacing/>
        <w:jc w:val="both"/>
        <w:rPr>
          <w:rFonts w:ascii="Abadi" w:hAnsi="Abadi" w:cs="ArialMT"/>
          <w:b/>
          <w:bCs/>
          <w:sz w:val="21"/>
          <w:szCs w:val="21"/>
        </w:rPr>
      </w:pPr>
    </w:p>
    <w:p w14:paraId="5FD4779E" w14:textId="3AC55393" w:rsidR="00ED285D" w:rsidRPr="00ED285D" w:rsidRDefault="00ED285D" w:rsidP="00A53B33">
      <w:pPr>
        <w:pStyle w:val="Prrafodelista"/>
        <w:ind w:left="2136" w:right="-284" w:firstLine="983"/>
        <w:rPr>
          <w:rFonts w:ascii="Abadi" w:hAnsi="Abadi"/>
          <w:b/>
          <w:bCs/>
          <w:sz w:val="18"/>
          <w:szCs w:val="18"/>
        </w:rPr>
      </w:pPr>
      <w:r w:rsidRPr="00ED285D">
        <w:rPr>
          <w:rFonts w:ascii="Abadi" w:hAnsi="Abadi"/>
          <w:b/>
          <w:bCs/>
          <w:sz w:val="18"/>
          <w:szCs w:val="18"/>
        </w:rPr>
        <w:t xml:space="preserve">Pág. </w:t>
      </w:r>
      <w:r w:rsidR="00A53B33">
        <w:rPr>
          <w:rFonts w:ascii="Abadi" w:hAnsi="Abadi"/>
          <w:b/>
          <w:bCs/>
          <w:sz w:val="18"/>
          <w:szCs w:val="18"/>
        </w:rPr>
        <w:t>22</w:t>
      </w:r>
      <w:r w:rsidR="00ED7C1A">
        <w:rPr>
          <w:rFonts w:ascii="Abadi" w:hAnsi="Abadi"/>
          <w:b/>
          <w:bCs/>
          <w:sz w:val="18"/>
          <w:szCs w:val="18"/>
        </w:rPr>
        <w:t>3</w:t>
      </w:r>
    </w:p>
    <w:p w14:paraId="633BE7C7" w14:textId="77777777" w:rsidR="00332634" w:rsidRPr="003225C2" w:rsidRDefault="00332634" w:rsidP="00332634">
      <w:pPr>
        <w:autoSpaceDE w:val="0"/>
        <w:autoSpaceDN w:val="0"/>
        <w:adjustRightInd w:val="0"/>
        <w:ind w:left="851" w:right="495"/>
        <w:jc w:val="both"/>
        <w:rPr>
          <w:rFonts w:ascii="Abadi" w:hAnsi="Abadi" w:cs="ArialMT"/>
          <w:b/>
          <w:bCs/>
          <w:sz w:val="21"/>
          <w:szCs w:val="21"/>
        </w:rPr>
      </w:pPr>
    </w:p>
    <w:p w14:paraId="0C3796D6" w14:textId="5DF4A931"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Purísima del Rincón, </w:t>
      </w:r>
      <w:proofErr w:type="spellStart"/>
      <w:r w:rsidRPr="003225C2">
        <w:rPr>
          <w:rFonts w:ascii="Abadi" w:hAnsi="Abadi" w:cs="ArialMT"/>
          <w:b/>
          <w:bCs/>
          <w:sz w:val="21"/>
          <w:szCs w:val="21"/>
        </w:rPr>
        <w:t>Gto</w:t>
      </w:r>
      <w:proofErr w:type="spellEnd"/>
      <w:r w:rsidRPr="003225C2">
        <w:rPr>
          <w:rFonts w:ascii="Abadi" w:hAnsi="Abadi" w:cs="ArialMT"/>
          <w:b/>
          <w:bCs/>
          <w:sz w:val="21"/>
          <w:szCs w:val="21"/>
        </w:rPr>
        <w:t>., con enfoque a resultados del servicio de alumbrado público, por el periodo comprendido del 1 de enero al 31 de diciembre del ejercicio fiscal del año 2020.</w:t>
      </w:r>
    </w:p>
    <w:p w14:paraId="37380064" w14:textId="77777777" w:rsidR="00F05514" w:rsidRDefault="00F05514" w:rsidP="00F05514">
      <w:pPr>
        <w:ind w:left="2124" w:right="-284" w:firstLine="708"/>
        <w:rPr>
          <w:rFonts w:ascii="Abadi" w:hAnsi="Abadi"/>
          <w:b/>
          <w:bCs/>
          <w:sz w:val="18"/>
          <w:szCs w:val="18"/>
        </w:rPr>
      </w:pPr>
    </w:p>
    <w:p w14:paraId="455CCA4A" w14:textId="77777777" w:rsidR="00F05514" w:rsidRDefault="00F05514" w:rsidP="00F05514">
      <w:pPr>
        <w:ind w:left="2124" w:right="-284" w:firstLine="708"/>
        <w:rPr>
          <w:rFonts w:ascii="Abadi" w:hAnsi="Abadi"/>
          <w:b/>
          <w:bCs/>
          <w:sz w:val="18"/>
          <w:szCs w:val="18"/>
        </w:rPr>
      </w:pPr>
    </w:p>
    <w:p w14:paraId="482ED919" w14:textId="7A73BE69" w:rsidR="00ED285D" w:rsidRPr="00ED285D" w:rsidRDefault="00ED285D" w:rsidP="00F05514">
      <w:pPr>
        <w:ind w:left="2124" w:right="-284" w:firstLine="708"/>
        <w:rPr>
          <w:rFonts w:ascii="Abadi" w:hAnsi="Abadi"/>
          <w:b/>
          <w:bCs/>
          <w:sz w:val="18"/>
          <w:szCs w:val="18"/>
        </w:rPr>
      </w:pPr>
      <w:r w:rsidRPr="00ED285D">
        <w:rPr>
          <w:rFonts w:ascii="Abadi" w:hAnsi="Abadi"/>
          <w:b/>
          <w:bCs/>
          <w:sz w:val="18"/>
          <w:szCs w:val="18"/>
        </w:rPr>
        <w:t xml:space="preserve">Pág. </w:t>
      </w:r>
      <w:r w:rsidR="00F05514">
        <w:rPr>
          <w:rFonts w:ascii="Abadi" w:hAnsi="Abadi"/>
          <w:b/>
          <w:bCs/>
          <w:sz w:val="18"/>
          <w:szCs w:val="18"/>
        </w:rPr>
        <w:t>234</w:t>
      </w:r>
    </w:p>
    <w:p w14:paraId="0E0BB61D" w14:textId="77777777"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2B52A902" w14:textId="77777777" w:rsidR="00332634" w:rsidRPr="003225C2" w:rsidRDefault="00332634" w:rsidP="00332634">
      <w:pPr>
        <w:autoSpaceDE w:val="0"/>
        <w:autoSpaceDN w:val="0"/>
        <w:adjustRightInd w:val="0"/>
        <w:jc w:val="both"/>
        <w:rPr>
          <w:rFonts w:ascii="Abadi" w:hAnsi="Abadi" w:cs="Arial-BoldMT"/>
          <w:b/>
          <w:bCs/>
          <w:sz w:val="21"/>
          <w:szCs w:val="21"/>
        </w:rPr>
      </w:pPr>
    </w:p>
    <w:p w14:paraId="1D2A7E75" w14:textId="77DF63F5"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lastRenderedPageBreak/>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Romita, </w:t>
      </w:r>
      <w:proofErr w:type="spellStart"/>
      <w:r w:rsidRPr="003225C2">
        <w:rPr>
          <w:rFonts w:ascii="Abadi" w:hAnsi="Abadi" w:cs="ArialMT"/>
          <w:b/>
          <w:bCs/>
          <w:sz w:val="21"/>
          <w:szCs w:val="21"/>
        </w:rPr>
        <w:t>Gto</w:t>
      </w:r>
      <w:proofErr w:type="spellEnd"/>
      <w:r w:rsidRPr="003225C2">
        <w:rPr>
          <w:rFonts w:ascii="Abadi" w:hAnsi="Abadi" w:cs="ArialMT"/>
          <w:b/>
          <w:bCs/>
          <w:sz w:val="21"/>
          <w:szCs w:val="21"/>
        </w:rPr>
        <w:t>., con enfoque a resultados del servicio de alumbrado público, por el periodo comprendido del 1 de enero al 31 de diciembre del ejercicio fiscal del año 2020.</w:t>
      </w:r>
    </w:p>
    <w:p w14:paraId="3AC2EA37" w14:textId="77777777" w:rsidR="00F05514" w:rsidRDefault="00F05514" w:rsidP="00ED285D">
      <w:pPr>
        <w:ind w:right="-284"/>
        <w:rPr>
          <w:rFonts w:ascii="Abadi" w:hAnsi="Abadi"/>
          <w:b/>
          <w:bCs/>
          <w:sz w:val="18"/>
          <w:szCs w:val="18"/>
        </w:rPr>
      </w:pPr>
    </w:p>
    <w:p w14:paraId="243C75D5" w14:textId="746AA82E" w:rsidR="00ED285D" w:rsidRDefault="00ED285D" w:rsidP="00F05514">
      <w:pPr>
        <w:ind w:left="3119" w:right="-284"/>
        <w:rPr>
          <w:rFonts w:ascii="Abadi" w:hAnsi="Abadi"/>
          <w:b/>
          <w:bCs/>
          <w:sz w:val="18"/>
          <w:szCs w:val="18"/>
        </w:rPr>
      </w:pPr>
      <w:r w:rsidRPr="006779BC">
        <w:rPr>
          <w:rFonts w:ascii="Abadi" w:hAnsi="Abadi"/>
          <w:b/>
          <w:bCs/>
          <w:sz w:val="18"/>
          <w:szCs w:val="18"/>
        </w:rPr>
        <w:t xml:space="preserve">Pág. </w:t>
      </w:r>
      <w:r w:rsidR="00F05514">
        <w:rPr>
          <w:rFonts w:ascii="Abadi" w:hAnsi="Abadi"/>
          <w:b/>
          <w:bCs/>
          <w:sz w:val="18"/>
          <w:szCs w:val="18"/>
        </w:rPr>
        <w:t>246</w:t>
      </w:r>
    </w:p>
    <w:p w14:paraId="500AA849" w14:textId="3E8121CE"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024201FC" w14:textId="77777777" w:rsidR="00332634" w:rsidRPr="003225C2" w:rsidRDefault="00332634" w:rsidP="00332634">
      <w:pPr>
        <w:autoSpaceDE w:val="0"/>
        <w:autoSpaceDN w:val="0"/>
        <w:adjustRightInd w:val="0"/>
        <w:jc w:val="both"/>
        <w:rPr>
          <w:rFonts w:ascii="Abadi" w:hAnsi="Abadi" w:cs="ArialMT"/>
          <w:b/>
          <w:bCs/>
          <w:sz w:val="21"/>
          <w:szCs w:val="21"/>
        </w:rPr>
      </w:pPr>
    </w:p>
    <w:p w14:paraId="3952CBDB" w14:textId="7C46FFFA"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Salvatierra, </w:t>
      </w:r>
      <w:proofErr w:type="spellStart"/>
      <w:r w:rsidRPr="003225C2">
        <w:rPr>
          <w:rFonts w:ascii="Abadi" w:hAnsi="Abadi" w:cs="ArialMT"/>
          <w:b/>
          <w:bCs/>
          <w:sz w:val="21"/>
          <w:szCs w:val="21"/>
        </w:rPr>
        <w:t>Gto</w:t>
      </w:r>
      <w:proofErr w:type="spellEnd"/>
      <w:r w:rsidRPr="003225C2">
        <w:rPr>
          <w:rFonts w:ascii="Abadi" w:hAnsi="Abadi" w:cs="ArialMT"/>
          <w:b/>
          <w:bCs/>
          <w:sz w:val="21"/>
          <w:szCs w:val="21"/>
        </w:rPr>
        <w:t xml:space="preserve">., con enfoque a resultados del servicio de alumbrado público, por el periodo comprendido del 1 de enero al 31 de diciembre del ejercicio fiscal del año 2020. </w:t>
      </w:r>
    </w:p>
    <w:p w14:paraId="549B5D58" w14:textId="77777777" w:rsidR="00E616C9" w:rsidRDefault="00E616C9" w:rsidP="00ED285D">
      <w:pPr>
        <w:ind w:right="-284"/>
        <w:rPr>
          <w:rFonts w:ascii="Abadi" w:hAnsi="Abadi"/>
          <w:b/>
          <w:bCs/>
          <w:sz w:val="18"/>
          <w:szCs w:val="18"/>
        </w:rPr>
      </w:pPr>
    </w:p>
    <w:p w14:paraId="576DCBEB" w14:textId="77777777" w:rsidR="00E616C9" w:rsidRDefault="00E616C9" w:rsidP="00ED285D">
      <w:pPr>
        <w:ind w:right="-284"/>
        <w:rPr>
          <w:rFonts w:ascii="Abadi" w:hAnsi="Abadi"/>
          <w:b/>
          <w:bCs/>
          <w:sz w:val="18"/>
          <w:szCs w:val="18"/>
        </w:rPr>
      </w:pPr>
    </w:p>
    <w:p w14:paraId="4B8BB21B" w14:textId="6758DEF2" w:rsidR="00ED285D" w:rsidRPr="00ED285D" w:rsidRDefault="00ED285D" w:rsidP="00E616C9">
      <w:pPr>
        <w:ind w:left="3119" w:right="-284"/>
        <w:rPr>
          <w:rFonts w:ascii="Abadi" w:hAnsi="Abadi"/>
          <w:b/>
          <w:bCs/>
          <w:sz w:val="18"/>
          <w:szCs w:val="18"/>
        </w:rPr>
      </w:pPr>
      <w:r w:rsidRPr="00ED285D">
        <w:rPr>
          <w:rFonts w:ascii="Abadi" w:hAnsi="Abadi"/>
          <w:b/>
          <w:bCs/>
          <w:sz w:val="18"/>
          <w:szCs w:val="18"/>
        </w:rPr>
        <w:t xml:space="preserve">Pág. </w:t>
      </w:r>
      <w:r w:rsidR="00E616C9">
        <w:rPr>
          <w:rFonts w:ascii="Abadi" w:hAnsi="Abadi"/>
          <w:b/>
          <w:bCs/>
          <w:sz w:val="18"/>
          <w:szCs w:val="18"/>
        </w:rPr>
        <w:t>258</w:t>
      </w:r>
    </w:p>
    <w:p w14:paraId="4AD71839" w14:textId="77777777"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58E47481" w14:textId="5AD7CD38"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San Diego de la Unión, </w:t>
      </w:r>
      <w:proofErr w:type="spellStart"/>
      <w:r w:rsidRPr="003225C2">
        <w:rPr>
          <w:rFonts w:ascii="Abadi" w:hAnsi="Abadi" w:cs="ArialMT"/>
          <w:b/>
          <w:bCs/>
          <w:sz w:val="21"/>
          <w:szCs w:val="21"/>
        </w:rPr>
        <w:t>Gto</w:t>
      </w:r>
      <w:proofErr w:type="spellEnd"/>
      <w:r w:rsidRPr="003225C2">
        <w:rPr>
          <w:rFonts w:ascii="Abadi" w:hAnsi="Abadi" w:cs="ArialMT"/>
          <w:b/>
          <w:bCs/>
          <w:sz w:val="21"/>
          <w:szCs w:val="21"/>
        </w:rPr>
        <w:t xml:space="preserve">., con enfoque a </w:t>
      </w:r>
      <w:r w:rsidRPr="003225C2">
        <w:rPr>
          <w:rFonts w:ascii="Abadi" w:hAnsi="Abadi" w:cs="ArialMT"/>
          <w:b/>
          <w:bCs/>
          <w:sz w:val="21"/>
          <w:szCs w:val="21"/>
        </w:rPr>
        <w:t>resultados del servicio de alumbrado público, por el periodo comprendido del 1 de enero al 31 de diciembre del ejercicio fiscal del año 2020.</w:t>
      </w:r>
    </w:p>
    <w:p w14:paraId="23E8C39F" w14:textId="33A58247" w:rsidR="00ED285D" w:rsidRDefault="00ED285D" w:rsidP="00ED285D">
      <w:pPr>
        <w:pStyle w:val="Prrafodelista"/>
        <w:autoSpaceDE w:val="0"/>
        <w:autoSpaceDN w:val="0"/>
        <w:adjustRightInd w:val="0"/>
        <w:ind w:left="851" w:right="495"/>
        <w:contextualSpacing/>
        <w:jc w:val="both"/>
        <w:rPr>
          <w:rFonts w:ascii="Abadi" w:hAnsi="Abadi" w:cs="ArialMT"/>
          <w:b/>
          <w:bCs/>
          <w:sz w:val="21"/>
          <w:szCs w:val="21"/>
        </w:rPr>
      </w:pPr>
    </w:p>
    <w:p w14:paraId="2C0E892E" w14:textId="34857F20" w:rsidR="00ED285D" w:rsidRDefault="00ED285D" w:rsidP="0014039C">
      <w:pPr>
        <w:ind w:left="3220" w:right="-284"/>
        <w:rPr>
          <w:rFonts w:ascii="Abadi" w:hAnsi="Abadi"/>
          <w:b/>
          <w:bCs/>
          <w:sz w:val="18"/>
          <w:szCs w:val="18"/>
        </w:rPr>
      </w:pPr>
      <w:r w:rsidRPr="006779BC">
        <w:rPr>
          <w:rFonts w:ascii="Abadi" w:hAnsi="Abadi"/>
          <w:b/>
          <w:bCs/>
          <w:sz w:val="18"/>
          <w:szCs w:val="18"/>
        </w:rPr>
        <w:t xml:space="preserve">Pág. </w:t>
      </w:r>
      <w:r w:rsidR="00E616C9">
        <w:rPr>
          <w:rFonts w:ascii="Abadi" w:hAnsi="Abadi"/>
          <w:b/>
          <w:bCs/>
          <w:sz w:val="18"/>
          <w:szCs w:val="18"/>
        </w:rPr>
        <w:t>2</w:t>
      </w:r>
      <w:r w:rsidR="007A087B">
        <w:rPr>
          <w:rFonts w:ascii="Abadi" w:hAnsi="Abadi"/>
          <w:b/>
          <w:bCs/>
          <w:sz w:val="18"/>
          <w:szCs w:val="18"/>
        </w:rPr>
        <w:t>69</w:t>
      </w:r>
    </w:p>
    <w:p w14:paraId="6F83BDA0" w14:textId="77777777" w:rsidR="00ED285D" w:rsidRPr="003225C2" w:rsidRDefault="00ED285D" w:rsidP="00ED285D">
      <w:pPr>
        <w:pStyle w:val="Prrafodelista"/>
        <w:autoSpaceDE w:val="0"/>
        <w:autoSpaceDN w:val="0"/>
        <w:adjustRightInd w:val="0"/>
        <w:ind w:left="851" w:right="495"/>
        <w:contextualSpacing/>
        <w:jc w:val="both"/>
        <w:rPr>
          <w:rFonts w:ascii="Abadi" w:hAnsi="Abadi" w:cs="ArialMT"/>
          <w:b/>
          <w:bCs/>
          <w:sz w:val="21"/>
          <w:szCs w:val="21"/>
        </w:rPr>
      </w:pPr>
    </w:p>
    <w:p w14:paraId="3FF71ACF" w14:textId="44B16C79"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San Francisco del Rincón, </w:t>
      </w:r>
      <w:proofErr w:type="spellStart"/>
      <w:r w:rsidRPr="003225C2">
        <w:rPr>
          <w:rFonts w:ascii="Abadi" w:hAnsi="Abadi" w:cs="ArialMT"/>
          <w:b/>
          <w:bCs/>
          <w:sz w:val="21"/>
          <w:szCs w:val="21"/>
        </w:rPr>
        <w:t>Gto</w:t>
      </w:r>
      <w:proofErr w:type="spellEnd"/>
      <w:r w:rsidRPr="003225C2">
        <w:rPr>
          <w:rFonts w:ascii="Abadi" w:hAnsi="Abadi" w:cs="ArialMT"/>
          <w:b/>
          <w:bCs/>
          <w:sz w:val="21"/>
          <w:szCs w:val="21"/>
        </w:rPr>
        <w:t>., con enfoque a resultados del servicio de alumbrado público, por el periodo comprendido del 1 de enero al 31 de diciembre del ejercicio fiscal del año 2020.</w:t>
      </w:r>
    </w:p>
    <w:p w14:paraId="57A3283E" w14:textId="77777777" w:rsidR="005D0060" w:rsidRDefault="005D0060" w:rsidP="00ED285D">
      <w:pPr>
        <w:ind w:right="-284"/>
        <w:rPr>
          <w:rFonts w:ascii="Abadi" w:hAnsi="Abadi"/>
          <w:b/>
          <w:bCs/>
          <w:sz w:val="18"/>
          <w:szCs w:val="18"/>
        </w:rPr>
      </w:pPr>
    </w:p>
    <w:p w14:paraId="3F02D8B3" w14:textId="46CA6CF2" w:rsidR="00ED285D" w:rsidRPr="00ED285D" w:rsidRDefault="00ED285D" w:rsidP="0014039C">
      <w:pPr>
        <w:ind w:left="2124" w:right="-284" w:firstLine="1096"/>
        <w:rPr>
          <w:rFonts w:ascii="Abadi" w:hAnsi="Abadi"/>
          <w:b/>
          <w:bCs/>
          <w:sz w:val="18"/>
          <w:szCs w:val="18"/>
        </w:rPr>
      </w:pPr>
      <w:r w:rsidRPr="00ED285D">
        <w:rPr>
          <w:rFonts w:ascii="Abadi" w:hAnsi="Abadi"/>
          <w:b/>
          <w:bCs/>
          <w:sz w:val="18"/>
          <w:szCs w:val="18"/>
        </w:rPr>
        <w:t xml:space="preserve">Pág. </w:t>
      </w:r>
      <w:r w:rsidR="0014039C">
        <w:rPr>
          <w:rFonts w:ascii="Abadi" w:hAnsi="Abadi"/>
          <w:b/>
          <w:bCs/>
          <w:sz w:val="18"/>
          <w:szCs w:val="18"/>
        </w:rPr>
        <w:t>281</w:t>
      </w:r>
    </w:p>
    <w:p w14:paraId="659B31BA" w14:textId="77777777" w:rsidR="00ED285D" w:rsidRPr="00ED285D" w:rsidRDefault="00ED285D" w:rsidP="00ED285D">
      <w:pPr>
        <w:autoSpaceDE w:val="0"/>
        <w:autoSpaceDN w:val="0"/>
        <w:adjustRightInd w:val="0"/>
        <w:ind w:right="495"/>
        <w:contextualSpacing/>
        <w:jc w:val="both"/>
        <w:rPr>
          <w:rFonts w:ascii="Abadi" w:hAnsi="Abadi" w:cs="ArialMT"/>
          <w:b/>
          <w:bCs/>
          <w:sz w:val="21"/>
          <w:szCs w:val="21"/>
        </w:rPr>
      </w:pPr>
    </w:p>
    <w:p w14:paraId="05CC5803" w14:textId="77777777" w:rsidR="00332634" w:rsidRPr="003225C2" w:rsidRDefault="00332634" w:rsidP="00332634">
      <w:pPr>
        <w:autoSpaceDE w:val="0"/>
        <w:autoSpaceDN w:val="0"/>
        <w:adjustRightInd w:val="0"/>
        <w:jc w:val="both"/>
        <w:rPr>
          <w:rFonts w:ascii="Abadi" w:hAnsi="Abadi" w:cs="ArialMT"/>
          <w:b/>
          <w:bCs/>
          <w:sz w:val="21"/>
          <w:szCs w:val="21"/>
        </w:rPr>
      </w:pPr>
    </w:p>
    <w:p w14:paraId="0B591248" w14:textId="7C326EAF" w:rsidR="00332634" w:rsidRDefault="00332634" w:rsidP="00343CA9">
      <w:pPr>
        <w:pStyle w:val="Prrafodelista"/>
        <w:numPr>
          <w:ilvl w:val="0"/>
          <w:numId w:val="6"/>
        </w:numPr>
        <w:autoSpaceDE w:val="0"/>
        <w:autoSpaceDN w:val="0"/>
        <w:adjustRightInd w:val="0"/>
        <w:ind w:left="851" w:right="495"/>
        <w:contextualSpacing/>
        <w:jc w:val="both"/>
        <w:rPr>
          <w:rFonts w:ascii="Abadi" w:hAnsi="Abadi" w:cs="ArialMT"/>
          <w:b/>
          <w:bCs/>
          <w:sz w:val="21"/>
          <w:szCs w:val="21"/>
        </w:rPr>
      </w:pPr>
      <w:r w:rsidRPr="003225C2">
        <w:rPr>
          <w:rFonts w:ascii="Abadi" w:hAnsi="Abadi" w:cs="ArialMT"/>
          <w:b/>
          <w:bCs/>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San Miguel de Allende, </w:t>
      </w:r>
      <w:proofErr w:type="spellStart"/>
      <w:r w:rsidRPr="003225C2">
        <w:rPr>
          <w:rFonts w:ascii="Abadi" w:hAnsi="Abadi" w:cs="ArialMT"/>
          <w:b/>
          <w:bCs/>
          <w:sz w:val="21"/>
          <w:szCs w:val="21"/>
        </w:rPr>
        <w:t>Gto</w:t>
      </w:r>
      <w:proofErr w:type="spellEnd"/>
      <w:r w:rsidRPr="003225C2">
        <w:rPr>
          <w:rFonts w:ascii="Abadi" w:hAnsi="Abadi" w:cs="ArialMT"/>
          <w:b/>
          <w:bCs/>
          <w:sz w:val="21"/>
          <w:szCs w:val="21"/>
        </w:rPr>
        <w:t>., con enfoque a resultados del servicio de alumbrado público, por el periodo comprendido del 1 de enero al 31 de diciembre del ejercicio fiscal del año 2020.</w:t>
      </w:r>
    </w:p>
    <w:p w14:paraId="1E5A60FC" w14:textId="77777777" w:rsidR="00F05514" w:rsidRDefault="00F05514" w:rsidP="00F05514">
      <w:pPr>
        <w:ind w:right="-284"/>
        <w:rPr>
          <w:rFonts w:ascii="Abadi" w:hAnsi="Abadi"/>
          <w:b/>
          <w:bCs/>
          <w:sz w:val="18"/>
          <w:szCs w:val="18"/>
        </w:rPr>
      </w:pPr>
    </w:p>
    <w:p w14:paraId="228E1DE5" w14:textId="766280B3" w:rsidR="00F05514" w:rsidRPr="00F05514" w:rsidRDefault="00F05514" w:rsidP="0014039C">
      <w:pPr>
        <w:ind w:left="3220" w:right="-284"/>
        <w:rPr>
          <w:rFonts w:ascii="Abadi" w:hAnsi="Abadi"/>
          <w:b/>
          <w:bCs/>
          <w:sz w:val="18"/>
          <w:szCs w:val="18"/>
        </w:rPr>
      </w:pPr>
      <w:r w:rsidRPr="00F05514">
        <w:rPr>
          <w:rFonts w:ascii="Abadi" w:hAnsi="Abadi"/>
          <w:b/>
          <w:bCs/>
          <w:sz w:val="18"/>
          <w:szCs w:val="18"/>
        </w:rPr>
        <w:t xml:space="preserve">Pág. </w:t>
      </w:r>
      <w:r w:rsidR="0014039C">
        <w:rPr>
          <w:rFonts w:ascii="Abadi" w:hAnsi="Abadi"/>
          <w:b/>
          <w:bCs/>
          <w:sz w:val="18"/>
          <w:szCs w:val="18"/>
        </w:rPr>
        <w:t>29</w:t>
      </w:r>
      <w:r w:rsidR="00602FF5">
        <w:rPr>
          <w:rFonts w:ascii="Abadi" w:hAnsi="Abadi"/>
          <w:b/>
          <w:bCs/>
          <w:sz w:val="18"/>
          <w:szCs w:val="18"/>
        </w:rPr>
        <w:t>4</w:t>
      </w:r>
    </w:p>
    <w:p w14:paraId="35CD2D74" w14:textId="77777777" w:rsidR="00F05514" w:rsidRPr="00F05514" w:rsidRDefault="00F05514" w:rsidP="00F05514">
      <w:pPr>
        <w:autoSpaceDE w:val="0"/>
        <w:autoSpaceDN w:val="0"/>
        <w:adjustRightInd w:val="0"/>
        <w:ind w:right="495"/>
        <w:contextualSpacing/>
        <w:jc w:val="both"/>
        <w:rPr>
          <w:rFonts w:ascii="Abadi" w:hAnsi="Abadi" w:cs="ArialMT"/>
          <w:b/>
          <w:bCs/>
          <w:sz w:val="21"/>
          <w:szCs w:val="21"/>
        </w:rPr>
      </w:pPr>
    </w:p>
    <w:p w14:paraId="22553963" w14:textId="77777777" w:rsidR="000646AE" w:rsidRPr="000646AE" w:rsidRDefault="000646AE" w:rsidP="000646AE">
      <w:pPr>
        <w:pStyle w:val="Prrafodelista"/>
        <w:rPr>
          <w:rFonts w:ascii="Abadi" w:hAnsi="Abadi" w:cs="ArialMT"/>
          <w:b/>
          <w:bCs/>
          <w:sz w:val="21"/>
          <w:szCs w:val="21"/>
        </w:rPr>
      </w:pPr>
    </w:p>
    <w:p w14:paraId="0871C3A8" w14:textId="0C47566D" w:rsidR="00332634" w:rsidRDefault="00332634" w:rsidP="00343CA9">
      <w:pPr>
        <w:pStyle w:val="Prrafodelista"/>
        <w:numPr>
          <w:ilvl w:val="0"/>
          <w:numId w:val="6"/>
        </w:numPr>
        <w:spacing w:after="160" w:line="259" w:lineRule="auto"/>
        <w:ind w:left="851" w:right="495"/>
        <w:contextualSpacing/>
        <w:jc w:val="both"/>
        <w:rPr>
          <w:rFonts w:ascii="Abadi" w:hAnsi="Abadi" w:cs="ArialMT"/>
          <w:b/>
          <w:bCs/>
          <w:sz w:val="21"/>
          <w:szCs w:val="21"/>
        </w:rPr>
      </w:pPr>
      <w:r w:rsidRPr="003225C2">
        <w:rPr>
          <w:rFonts w:ascii="Abadi" w:hAnsi="Abadi" w:cs="ArialMT"/>
          <w:b/>
          <w:bCs/>
          <w:sz w:val="21"/>
          <w:szCs w:val="21"/>
        </w:rPr>
        <w:t>Asuntos generales.</w:t>
      </w:r>
    </w:p>
    <w:p w14:paraId="5D1337D7" w14:textId="40D2A13A" w:rsidR="00F05514" w:rsidRPr="00F05514" w:rsidRDefault="00F05514" w:rsidP="00602FF5">
      <w:pPr>
        <w:ind w:right="-284"/>
        <w:jc w:val="right"/>
        <w:rPr>
          <w:rFonts w:ascii="Abadi" w:hAnsi="Abadi"/>
          <w:b/>
          <w:bCs/>
          <w:sz w:val="18"/>
          <w:szCs w:val="18"/>
        </w:rPr>
      </w:pPr>
      <w:r w:rsidRPr="00F05514">
        <w:rPr>
          <w:rFonts w:ascii="Abadi" w:hAnsi="Abadi"/>
          <w:b/>
          <w:bCs/>
          <w:sz w:val="18"/>
          <w:szCs w:val="18"/>
        </w:rPr>
        <w:t>Pág.</w:t>
      </w:r>
      <w:r w:rsidR="0014039C">
        <w:rPr>
          <w:rFonts w:ascii="Abadi" w:hAnsi="Abadi"/>
          <w:b/>
          <w:bCs/>
          <w:sz w:val="18"/>
          <w:szCs w:val="18"/>
        </w:rPr>
        <w:t xml:space="preserve"> </w:t>
      </w:r>
      <w:r w:rsidRPr="00F05514">
        <w:rPr>
          <w:rFonts w:ascii="Abadi" w:hAnsi="Abadi"/>
          <w:b/>
          <w:bCs/>
          <w:sz w:val="18"/>
          <w:szCs w:val="18"/>
        </w:rPr>
        <w:t xml:space="preserve"> </w:t>
      </w:r>
      <w:r w:rsidR="00602FF5">
        <w:rPr>
          <w:rFonts w:ascii="Abadi" w:hAnsi="Abadi"/>
          <w:b/>
          <w:bCs/>
          <w:sz w:val="18"/>
          <w:szCs w:val="18"/>
        </w:rPr>
        <w:t>305</w:t>
      </w:r>
    </w:p>
    <w:p w14:paraId="27CB53E3" w14:textId="59BEC7E3" w:rsidR="00F05514" w:rsidRDefault="00F05514" w:rsidP="00F05514">
      <w:pPr>
        <w:spacing w:after="160" w:line="259" w:lineRule="auto"/>
        <w:ind w:right="495"/>
        <w:contextualSpacing/>
        <w:jc w:val="both"/>
        <w:rPr>
          <w:rFonts w:ascii="Abadi" w:hAnsi="Abadi" w:cs="ArialMT"/>
          <w:b/>
          <w:bCs/>
          <w:sz w:val="21"/>
          <w:szCs w:val="21"/>
        </w:rPr>
      </w:pPr>
    </w:p>
    <w:p w14:paraId="6B537086" w14:textId="4CC34E03" w:rsidR="00B24CC8" w:rsidRDefault="00B24CC8" w:rsidP="00423AA9">
      <w:pPr>
        <w:pStyle w:val="NormalWeb"/>
        <w:ind w:left="720"/>
        <w:jc w:val="both"/>
        <w:rPr>
          <w:rFonts w:ascii="Abadi" w:hAnsi="Abadi"/>
          <w:b/>
          <w:bCs/>
          <w:sz w:val="21"/>
          <w:szCs w:val="21"/>
        </w:rPr>
      </w:pPr>
      <w:r w:rsidRPr="007E2273">
        <w:rPr>
          <w:rFonts w:ascii="Abadi" w:hAnsi="Abadi"/>
          <w:b/>
          <w:bCs/>
          <w:sz w:val="21"/>
          <w:szCs w:val="21"/>
        </w:rPr>
        <w:lastRenderedPageBreak/>
        <w:t xml:space="preserve">(Sube a tribuna </w:t>
      </w:r>
      <w:r>
        <w:rPr>
          <w:rFonts w:ascii="Abadi" w:hAnsi="Abadi"/>
          <w:b/>
          <w:bCs/>
          <w:sz w:val="21"/>
          <w:szCs w:val="21"/>
        </w:rPr>
        <w:t xml:space="preserve">la </w:t>
      </w:r>
      <w:r w:rsidRPr="007E2273">
        <w:rPr>
          <w:rFonts w:ascii="Abadi" w:hAnsi="Abadi"/>
          <w:b/>
          <w:bCs/>
          <w:sz w:val="21"/>
          <w:szCs w:val="21"/>
        </w:rPr>
        <w:t>Diputada</w:t>
      </w:r>
      <w:r>
        <w:rPr>
          <w:rFonts w:ascii="Abadi" w:hAnsi="Abadi"/>
          <w:b/>
          <w:bCs/>
          <w:sz w:val="21"/>
          <w:szCs w:val="21"/>
        </w:rPr>
        <w:t xml:space="preserve"> </w:t>
      </w:r>
      <w:r w:rsidRPr="007E2273">
        <w:rPr>
          <w:rFonts w:ascii="Abadi" w:hAnsi="Abadi"/>
          <w:b/>
          <w:bCs/>
          <w:sz w:val="21"/>
          <w:szCs w:val="21"/>
        </w:rPr>
        <w:t xml:space="preserve">Laura Cristina Márquez Alcalá para hablar del tema </w:t>
      </w:r>
      <w:r>
        <w:rPr>
          <w:rFonts w:ascii="Abadi" w:hAnsi="Abadi"/>
          <w:b/>
          <w:bCs/>
          <w:sz w:val="21"/>
          <w:szCs w:val="21"/>
        </w:rPr>
        <w:t>«</w:t>
      </w:r>
      <w:r w:rsidRPr="007E2273">
        <w:rPr>
          <w:rFonts w:ascii="Abadi" w:hAnsi="Abadi"/>
          <w:b/>
          <w:bCs/>
          <w:sz w:val="21"/>
          <w:szCs w:val="21"/>
        </w:rPr>
        <w:t>Tiempo</w:t>
      </w:r>
      <w:r>
        <w:rPr>
          <w:rFonts w:ascii="Abadi" w:hAnsi="Abadi"/>
          <w:b/>
          <w:bCs/>
          <w:sz w:val="21"/>
          <w:szCs w:val="21"/>
        </w:rPr>
        <w:t>»</w:t>
      </w:r>
      <w:r w:rsidRPr="007E2273">
        <w:rPr>
          <w:rFonts w:ascii="Abadi" w:hAnsi="Abadi"/>
          <w:b/>
          <w:bCs/>
          <w:sz w:val="21"/>
          <w:szCs w:val="21"/>
        </w:rPr>
        <w:t>)</w:t>
      </w:r>
    </w:p>
    <w:p w14:paraId="133233FE" w14:textId="77777777" w:rsidR="00350E63" w:rsidRPr="00350E63" w:rsidRDefault="00350E63" w:rsidP="002F5F14">
      <w:pPr>
        <w:ind w:left="3220" w:right="-284"/>
        <w:rPr>
          <w:rFonts w:ascii="Abadi" w:hAnsi="Abadi"/>
          <w:b/>
          <w:bCs/>
          <w:sz w:val="18"/>
          <w:szCs w:val="18"/>
        </w:rPr>
      </w:pPr>
      <w:r w:rsidRPr="00350E63">
        <w:rPr>
          <w:rFonts w:ascii="Abadi" w:hAnsi="Abadi"/>
          <w:b/>
          <w:bCs/>
          <w:sz w:val="18"/>
          <w:szCs w:val="18"/>
        </w:rPr>
        <w:t>Pág.  305</w:t>
      </w:r>
    </w:p>
    <w:p w14:paraId="714CB48E" w14:textId="742840E4" w:rsidR="00B24CC8" w:rsidRDefault="0044370B" w:rsidP="00423AA9">
      <w:pPr>
        <w:pStyle w:val="NormalWeb"/>
        <w:ind w:left="720"/>
        <w:jc w:val="both"/>
        <w:rPr>
          <w:rFonts w:ascii="Abadi" w:hAnsi="Abadi"/>
          <w:b/>
          <w:bCs/>
          <w:sz w:val="21"/>
          <w:szCs w:val="21"/>
        </w:rPr>
      </w:pPr>
      <w:r w:rsidRPr="00A5574F">
        <w:rPr>
          <w:rFonts w:ascii="Abadi" w:hAnsi="Abadi"/>
          <w:b/>
          <w:sz w:val="21"/>
          <w:szCs w:val="21"/>
        </w:rPr>
        <w:t xml:space="preserve">(Sube a tribuna </w:t>
      </w:r>
      <w:r w:rsidRPr="00A5574F">
        <w:rPr>
          <w:rFonts w:ascii="Abadi" w:hAnsi="Abadi"/>
          <w:b/>
          <w:bCs/>
          <w:sz w:val="21"/>
          <w:szCs w:val="21"/>
        </w:rPr>
        <w:t>Diputada Susana Bermúdez Cano</w:t>
      </w:r>
      <w:r>
        <w:rPr>
          <w:rFonts w:ascii="Abadi" w:hAnsi="Abadi"/>
          <w:b/>
          <w:bCs/>
          <w:sz w:val="21"/>
          <w:szCs w:val="21"/>
        </w:rPr>
        <w:t>,</w:t>
      </w:r>
      <w:r w:rsidRPr="00A5574F">
        <w:rPr>
          <w:rFonts w:ascii="Abadi" w:hAnsi="Abadi"/>
          <w:b/>
          <w:sz w:val="21"/>
          <w:szCs w:val="21"/>
        </w:rPr>
        <w:t xml:space="preserve"> para hablar de </w:t>
      </w:r>
      <w:r w:rsidRPr="00A5574F">
        <w:rPr>
          <w:rFonts w:ascii="Abadi" w:hAnsi="Abadi"/>
          <w:b/>
          <w:bCs/>
          <w:sz w:val="21"/>
          <w:szCs w:val="21"/>
        </w:rPr>
        <w:t xml:space="preserve">“Bienestar”) </w:t>
      </w:r>
    </w:p>
    <w:p w14:paraId="276CB812" w14:textId="2769B915" w:rsidR="00350E63" w:rsidRPr="00423AA9" w:rsidRDefault="00350E63" w:rsidP="002F5F14">
      <w:pPr>
        <w:ind w:left="2124" w:right="-284" w:firstLine="1096"/>
        <w:rPr>
          <w:rFonts w:ascii="Abadi" w:hAnsi="Abadi"/>
          <w:b/>
          <w:bCs/>
          <w:sz w:val="18"/>
          <w:szCs w:val="18"/>
        </w:rPr>
      </w:pPr>
      <w:r w:rsidRPr="00423AA9">
        <w:rPr>
          <w:rFonts w:ascii="Abadi" w:hAnsi="Abadi"/>
          <w:b/>
          <w:bCs/>
          <w:sz w:val="18"/>
          <w:szCs w:val="18"/>
        </w:rPr>
        <w:t>Pág.  30</w:t>
      </w:r>
      <w:r w:rsidR="001C2B39">
        <w:rPr>
          <w:rFonts w:ascii="Abadi" w:hAnsi="Abadi"/>
          <w:b/>
          <w:bCs/>
          <w:sz w:val="18"/>
          <w:szCs w:val="18"/>
        </w:rPr>
        <w:t>7</w:t>
      </w:r>
    </w:p>
    <w:p w14:paraId="19C356A2" w14:textId="77777777" w:rsidR="00350E63" w:rsidRPr="00350E63" w:rsidRDefault="00350E63" w:rsidP="00350E63">
      <w:pPr>
        <w:pStyle w:val="Prrafodelista"/>
        <w:ind w:left="720" w:right="-284"/>
        <w:jc w:val="center"/>
        <w:rPr>
          <w:rFonts w:ascii="Abadi" w:hAnsi="Abadi"/>
          <w:b/>
          <w:bCs/>
          <w:sz w:val="18"/>
          <w:szCs w:val="18"/>
        </w:rPr>
      </w:pPr>
    </w:p>
    <w:p w14:paraId="7F873E8F" w14:textId="07DAD97B" w:rsidR="00B24CC8" w:rsidRDefault="0044370B" w:rsidP="00CD3EFE">
      <w:pPr>
        <w:pStyle w:val="NormalWeb"/>
        <w:ind w:left="720"/>
        <w:jc w:val="both"/>
        <w:rPr>
          <w:rFonts w:ascii="Abadi" w:hAnsi="Abadi"/>
          <w:b/>
          <w:bCs/>
          <w:sz w:val="21"/>
          <w:szCs w:val="21"/>
        </w:rPr>
      </w:pPr>
      <w:r w:rsidRPr="00A5574F">
        <w:rPr>
          <w:rFonts w:ascii="Abadi" w:hAnsi="Abadi"/>
          <w:b/>
          <w:sz w:val="21"/>
          <w:szCs w:val="21"/>
        </w:rPr>
        <w:t xml:space="preserve">(Sube a tribuna </w:t>
      </w:r>
      <w:r>
        <w:rPr>
          <w:rFonts w:ascii="Abadi" w:hAnsi="Abadi"/>
          <w:b/>
          <w:sz w:val="21"/>
          <w:szCs w:val="21"/>
        </w:rPr>
        <w:t>el</w:t>
      </w:r>
      <w:r w:rsidRPr="00A5574F">
        <w:rPr>
          <w:rFonts w:ascii="Abadi" w:hAnsi="Abadi"/>
          <w:b/>
          <w:sz w:val="21"/>
          <w:szCs w:val="21"/>
        </w:rPr>
        <w:t xml:space="preserve"> </w:t>
      </w:r>
      <w:r>
        <w:rPr>
          <w:rFonts w:ascii="Abadi" w:hAnsi="Abadi"/>
          <w:b/>
          <w:bCs/>
          <w:sz w:val="21"/>
          <w:szCs w:val="21"/>
        </w:rPr>
        <w:t>Cuauhtémoc Becerra González,</w:t>
      </w:r>
      <w:r w:rsidRPr="00A5574F">
        <w:rPr>
          <w:rFonts w:ascii="Abadi" w:hAnsi="Abadi"/>
          <w:b/>
          <w:sz w:val="21"/>
          <w:szCs w:val="21"/>
        </w:rPr>
        <w:t xml:space="preserve"> para hablar</w:t>
      </w:r>
      <w:r>
        <w:rPr>
          <w:rFonts w:ascii="Abadi" w:hAnsi="Abadi"/>
          <w:b/>
          <w:bCs/>
          <w:sz w:val="21"/>
          <w:szCs w:val="21"/>
        </w:rPr>
        <w:t xml:space="preserve"> </w:t>
      </w:r>
      <w:r w:rsidRPr="00A5574F">
        <w:rPr>
          <w:rFonts w:ascii="Abadi" w:hAnsi="Abadi"/>
          <w:b/>
          <w:sz w:val="21"/>
          <w:szCs w:val="21"/>
        </w:rPr>
        <w:t>de</w:t>
      </w:r>
      <w:r>
        <w:rPr>
          <w:rFonts w:ascii="Abadi" w:hAnsi="Abadi"/>
          <w:b/>
          <w:sz w:val="21"/>
          <w:szCs w:val="21"/>
        </w:rPr>
        <w:t>l «Día Internacional de la homofobia»</w:t>
      </w:r>
      <w:r w:rsidRPr="00A5574F">
        <w:rPr>
          <w:rFonts w:ascii="Abadi" w:hAnsi="Abadi"/>
          <w:b/>
          <w:bCs/>
          <w:sz w:val="21"/>
          <w:szCs w:val="21"/>
        </w:rPr>
        <w:t xml:space="preserve">) </w:t>
      </w:r>
    </w:p>
    <w:p w14:paraId="3971C651" w14:textId="5BE0F1B9" w:rsidR="00350E63" w:rsidRPr="00350E63" w:rsidRDefault="00350E63" w:rsidP="002F5F14">
      <w:pPr>
        <w:ind w:left="2124" w:right="-284" w:firstLine="1096"/>
        <w:rPr>
          <w:rFonts w:ascii="Abadi" w:hAnsi="Abadi"/>
          <w:b/>
          <w:bCs/>
          <w:sz w:val="18"/>
          <w:szCs w:val="18"/>
        </w:rPr>
      </w:pPr>
      <w:r w:rsidRPr="00350E63">
        <w:rPr>
          <w:rFonts w:ascii="Abadi" w:hAnsi="Abadi"/>
          <w:b/>
          <w:bCs/>
          <w:sz w:val="18"/>
          <w:szCs w:val="18"/>
        </w:rPr>
        <w:t>Pág.  3</w:t>
      </w:r>
      <w:r w:rsidR="001C2B39">
        <w:rPr>
          <w:rFonts w:ascii="Abadi" w:hAnsi="Abadi"/>
          <w:b/>
          <w:bCs/>
          <w:sz w:val="18"/>
          <w:szCs w:val="18"/>
        </w:rPr>
        <w:t>10</w:t>
      </w:r>
    </w:p>
    <w:p w14:paraId="7451E8C1" w14:textId="3106275D" w:rsidR="00B24CC8" w:rsidRPr="0044370B" w:rsidRDefault="0044370B" w:rsidP="00423AA9">
      <w:pPr>
        <w:pStyle w:val="NormalWeb"/>
        <w:ind w:left="720"/>
        <w:jc w:val="both"/>
        <w:rPr>
          <w:rFonts w:ascii="Abadi" w:hAnsi="Abadi"/>
          <w:b/>
          <w:bCs/>
          <w:sz w:val="21"/>
          <w:szCs w:val="21"/>
        </w:rPr>
      </w:pPr>
      <w:r w:rsidRPr="00A5574F">
        <w:rPr>
          <w:rFonts w:ascii="Abadi" w:hAnsi="Abadi"/>
          <w:b/>
          <w:sz w:val="21"/>
          <w:szCs w:val="21"/>
        </w:rPr>
        <w:t xml:space="preserve">(Sube a tribuna </w:t>
      </w:r>
      <w:r>
        <w:rPr>
          <w:rFonts w:ascii="Abadi" w:hAnsi="Abadi"/>
          <w:b/>
          <w:sz w:val="21"/>
          <w:szCs w:val="21"/>
        </w:rPr>
        <w:t xml:space="preserve">la diputada </w:t>
      </w:r>
      <w:r>
        <w:rPr>
          <w:rFonts w:ascii="Abadi" w:hAnsi="Abadi"/>
          <w:b/>
          <w:bCs/>
          <w:sz w:val="21"/>
          <w:szCs w:val="21"/>
        </w:rPr>
        <w:t xml:space="preserve">Martha Edith Moreno Valencia, </w:t>
      </w:r>
      <w:r w:rsidRPr="00A5574F">
        <w:rPr>
          <w:rFonts w:ascii="Abadi" w:hAnsi="Abadi"/>
          <w:b/>
          <w:sz w:val="21"/>
          <w:szCs w:val="21"/>
        </w:rPr>
        <w:t>para hablar de</w:t>
      </w:r>
      <w:r>
        <w:rPr>
          <w:rFonts w:ascii="Abadi" w:hAnsi="Abadi"/>
          <w:b/>
          <w:sz w:val="21"/>
          <w:szCs w:val="21"/>
        </w:rPr>
        <w:t xml:space="preserve"> «Guanajuato la grandeza de México»</w:t>
      </w:r>
      <w:r w:rsidRPr="00A5574F">
        <w:rPr>
          <w:rFonts w:ascii="Abadi" w:hAnsi="Abadi"/>
          <w:b/>
          <w:bCs/>
          <w:sz w:val="21"/>
          <w:szCs w:val="21"/>
        </w:rPr>
        <w:t xml:space="preserve">) </w:t>
      </w:r>
    </w:p>
    <w:p w14:paraId="6E3E5D58" w14:textId="4FC57967" w:rsidR="00350E63" w:rsidRPr="00F05514" w:rsidRDefault="00350E63" w:rsidP="002F5F14">
      <w:pPr>
        <w:ind w:left="3220" w:right="-284"/>
        <w:rPr>
          <w:rFonts w:ascii="Abadi" w:hAnsi="Abadi"/>
          <w:b/>
          <w:bCs/>
          <w:sz w:val="18"/>
          <w:szCs w:val="18"/>
        </w:rPr>
      </w:pPr>
      <w:r w:rsidRPr="00F05514">
        <w:rPr>
          <w:rFonts w:ascii="Abadi" w:hAnsi="Abadi"/>
          <w:b/>
          <w:bCs/>
          <w:sz w:val="18"/>
          <w:szCs w:val="18"/>
        </w:rPr>
        <w:t>Pág.</w:t>
      </w:r>
      <w:r>
        <w:rPr>
          <w:rFonts w:ascii="Abadi" w:hAnsi="Abadi"/>
          <w:b/>
          <w:bCs/>
          <w:sz w:val="18"/>
          <w:szCs w:val="18"/>
        </w:rPr>
        <w:t xml:space="preserve"> </w:t>
      </w:r>
      <w:r w:rsidRPr="00F05514">
        <w:rPr>
          <w:rFonts w:ascii="Abadi" w:hAnsi="Abadi"/>
          <w:b/>
          <w:bCs/>
          <w:sz w:val="18"/>
          <w:szCs w:val="18"/>
        </w:rPr>
        <w:t xml:space="preserve"> </w:t>
      </w:r>
      <w:r>
        <w:rPr>
          <w:rFonts w:ascii="Abadi" w:hAnsi="Abadi"/>
          <w:b/>
          <w:bCs/>
          <w:sz w:val="18"/>
          <w:szCs w:val="18"/>
        </w:rPr>
        <w:t>3</w:t>
      </w:r>
      <w:r w:rsidR="001C2B39">
        <w:rPr>
          <w:rFonts w:ascii="Abadi" w:hAnsi="Abadi"/>
          <w:b/>
          <w:bCs/>
          <w:sz w:val="18"/>
          <w:szCs w:val="18"/>
        </w:rPr>
        <w:t>11</w:t>
      </w:r>
    </w:p>
    <w:p w14:paraId="4C99A80A" w14:textId="37C4107F" w:rsidR="00B24CC8" w:rsidRDefault="00B24CC8" w:rsidP="00423AA9">
      <w:pPr>
        <w:pStyle w:val="NormalWeb"/>
        <w:ind w:left="720"/>
        <w:jc w:val="both"/>
        <w:rPr>
          <w:rFonts w:ascii="Abadi" w:hAnsi="Abadi"/>
          <w:b/>
          <w:bCs/>
          <w:sz w:val="21"/>
          <w:szCs w:val="21"/>
        </w:rPr>
      </w:pPr>
      <w:r w:rsidRPr="007E2273">
        <w:rPr>
          <w:rFonts w:ascii="Abadi" w:hAnsi="Abadi"/>
          <w:b/>
          <w:bCs/>
          <w:sz w:val="21"/>
          <w:szCs w:val="21"/>
        </w:rPr>
        <w:t>(</w:t>
      </w:r>
      <w:r w:rsidR="0044370B" w:rsidRPr="00A5574F">
        <w:rPr>
          <w:rFonts w:ascii="Abadi" w:hAnsi="Abadi"/>
          <w:b/>
          <w:sz w:val="21"/>
          <w:szCs w:val="21"/>
        </w:rPr>
        <w:t xml:space="preserve">Sube a tribuna </w:t>
      </w:r>
      <w:r w:rsidR="0044370B">
        <w:rPr>
          <w:rFonts w:ascii="Abadi" w:hAnsi="Abadi"/>
          <w:b/>
          <w:sz w:val="21"/>
          <w:szCs w:val="21"/>
        </w:rPr>
        <w:t xml:space="preserve">la diputada </w:t>
      </w:r>
      <w:r w:rsidR="0044370B">
        <w:rPr>
          <w:rFonts w:ascii="Abadi" w:hAnsi="Abadi"/>
          <w:b/>
          <w:bCs/>
          <w:sz w:val="21"/>
          <w:szCs w:val="21"/>
        </w:rPr>
        <w:t xml:space="preserve">Laura Cristina Márquez Alcalá </w:t>
      </w:r>
      <w:r w:rsidR="0044370B" w:rsidRPr="00A5574F">
        <w:rPr>
          <w:rFonts w:ascii="Abadi" w:hAnsi="Abadi"/>
          <w:b/>
          <w:sz w:val="21"/>
          <w:szCs w:val="21"/>
        </w:rPr>
        <w:t>para</w:t>
      </w:r>
      <w:r w:rsidR="0044370B">
        <w:rPr>
          <w:rFonts w:ascii="Abadi" w:hAnsi="Abadi"/>
          <w:b/>
          <w:sz w:val="21"/>
          <w:szCs w:val="21"/>
        </w:rPr>
        <w:t xml:space="preserve"> rectificación de hechos, referente a </w:t>
      </w:r>
      <w:r w:rsidR="0044370B" w:rsidRPr="00E4430D">
        <w:rPr>
          <w:rFonts w:ascii="Abadi" w:hAnsi="Abadi"/>
          <w:b/>
          <w:bCs/>
          <w:sz w:val="21"/>
          <w:szCs w:val="21"/>
        </w:rPr>
        <w:t>«</w:t>
      </w:r>
      <w:r w:rsidR="0044370B">
        <w:rPr>
          <w:rFonts w:ascii="Abadi" w:hAnsi="Abadi"/>
          <w:b/>
          <w:bCs/>
          <w:sz w:val="21"/>
          <w:szCs w:val="21"/>
        </w:rPr>
        <w:t>c</w:t>
      </w:r>
      <w:r w:rsidR="0044370B" w:rsidRPr="00E4430D">
        <w:rPr>
          <w:rFonts w:ascii="Abadi" w:hAnsi="Abadi"/>
          <w:b/>
          <w:bCs/>
          <w:sz w:val="21"/>
          <w:szCs w:val="21"/>
        </w:rPr>
        <w:t xml:space="preserve">ifras y nombres» de la diputada que le antecedió) </w:t>
      </w:r>
    </w:p>
    <w:p w14:paraId="698FFDE4" w14:textId="583C9590" w:rsidR="00350E63" w:rsidRPr="00423AA9" w:rsidRDefault="00350E63" w:rsidP="002F5F14">
      <w:pPr>
        <w:ind w:left="3220" w:right="-284"/>
        <w:rPr>
          <w:rFonts w:ascii="Abadi" w:hAnsi="Abadi"/>
          <w:b/>
          <w:bCs/>
          <w:sz w:val="18"/>
          <w:szCs w:val="18"/>
        </w:rPr>
      </w:pPr>
      <w:r w:rsidRPr="00423AA9">
        <w:rPr>
          <w:rFonts w:ascii="Abadi" w:hAnsi="Abadi"/>
          <w:b/>
          <w:bCs/>
          <w:sz w:val="18"/>
          <w:szCs w:val="18"/>
        </w:rPr>
        <w:t>Pág.  3</w:t>
      </w:r>
      <w:r w:rsidR="001C2B39">
        <w:rPr>
          <w:rFonts w:ascii="Abadi" w:hAnsi="Abadi"/>
          <w:b/>
          <w:bCs/>
          <w:sz w:val="18"/>
          <w:szCs w:val="18"/>
        </w:rPr>
        <w:t>13</w:t>
      </w:r>
    </w:p>
    <w:p w14:paraId="5FE0F74B" w14:textId="77777777" w:rsidR="00350E63" w:rsidRPr="00350E63" w:rsidRDefault="00350E63" w:rsidP="00350E63">
      <w:pPr>
        <w:pStyle w:val="Prrafodelista"/>
        <w:rPr>
          <w:rFonts w:ascii="Abadi" w:hAnsi="Abadi"/>
          <w:b/>
          <w:bCs/>
          <w:sz w:val="18"/>
          <w:szCs w:val="18"/>
        </w:rPr>
      </w:pPr>
    </w:p>
    <w:p w14:paraId="07073333" w14:textId="34FC190B" w:rsidR="003B51D0" w:rsidRPr="0044370B" w:rsidRDefault="00B33EC2" w:rsidP="00B33EC2">
      <w:pPr>
        <w:pStyle w:val="NormalWeb"/>
        <w:ind w:left="720"/>
        <w:jc w:val="both"/>
        <w:rPr>
          <w:rFonts w:ascii="Abadi" w:hAnsi="Abadi"/>
          <w:b/>
          <w:bCs/>
          <w:sz w:val="21"/>
          <w:szCs w:val="21"/>
        </w:rPr>
      </w:pPr>
      <w:r>
        <w:rPr>
          <w:rFonts w:ascii="Abadi" w:hAnsi="Abadi"/>
          <w:b/>
          <w:bCs/>
          <w:sz w:val="21"/>
          <w:szCs w:val="21"/>
        </w:rPr>
        <w:t>(</w:t>
      </w:r>
      <w:r w:rsidR="0044370B" w:rsidRPr="00333F22">
        <w:rPr>
          <w:rFonts w:ascii="Abadi" w:hAnsi="Abadi"/>
          <w:b/>
          <w:bCs/>
          <w:sz w:val="21"/>
          <w:szCs w:val="21"/>
        </w:rPr>
        <w:t xml:space="preserve">Sube a tribuna diputado David Martinez para rectificación de hechos sobre política social) </w:t>
      </w:r>
    </w:p>
    <w:p w14:paraId="3F1BC11C" w14:textId="340C421F" w:rsidR="001C2B39" w:rsidRPr="00B33EC2" w:rsidRDefault="001C2B39" w:rsidP="002F5F14">
      <w:pPr>
        <w:ind w:left="3220" w:right="-284"/>
        <w:rPr>
          <w:rFonts w:ascii="Abadi" w:hAnsi="Abadi"/>
          <w:b/>
          <w:bCs/>
          <w:sz w:val="18"/>
          <w:szCs w:val="18"/>
        </w:rPr>
      </w:pPr>
      <w:r w:rsidRPr="00B33EC2">
        <w:rPr>
          <w:rFonts w:ascii="Abadi" w:hAnsi="Abadi"/>
          <w:b/>
          <w:bCs/>
          <w:sz w:val="18"/>
          <w:szCs w:val="18"/>
        </w:rPr>
        <w:t>Pág.  31</w:t>
      </w:r>
      <w:r w:rsidR="00B33EC2" w:rsidRPr="00B33EC2">
        <w:rPr>
          <w:rFonts w:ascii="Abadi" w:hAnsi="Abadi"/>
          <w:b/>
          <w:bCs/>
          <w:sz w:val="18"/>
          <w:szCs w:val="18"/>
        </w:rPr>
        <w:t>6</w:t>
      </w:r>
    </w:p>
    <w:p w14:paraId="15B87D95" w14:textId="5043BF5A" w:rsidR="00922D45" w:rsidRDefault="00922D45" w:rsidP="00922D45">
      <w:pPr>
        <w:ind w:firstLine="709"/>
        <w:jc w:val="both"/>
        <w:rPr>
          <w:rFonts w:ascii="Abadi" w:hAnsi="Abadi"/>
          <w:b/>
          <w:bCs/>
          <w:iCs/>
          <w:sz w:val="21"/>
          <w:szCs w:val="21"/>
        </w:rPr>
      </w:pPr>
    </w:p>
    <w:p w14:paraId="5210C885" w14:textId="77777777" w:rsidR="00B24CC8" w:rsidRDefault="00B24CC8" w:rsidP="00922D45">
      <w:pPr>
        <w:ind w:firstLine="709"/>
        <w:jc w:val="both"/>
        <w:rPr>
          <w:rFonts w:ascii="Abadi" w:hAnsi="Abadi"/>
          <w:b/>
          <w:bCs/>
          <w:iCs/>
          <w:sz w:val="21"/>
          <w:szCs w:val="21"/>
        </w:rPr>
      </w:pPr>
    </w:p>
    <w:p w14:paraId="7C746926" w14:textId="042F5EAA" w:rsidR="00922D45" w:rsidRDefault="00922D45" w:rsidP="00922D45">
      <w:pPr>
        <w:ind w:firstLine="709"/>
        <w:jc w:val="both"/>
        <w:rPr>
          <w:rFonts w:ascii="Abadi" w:hAnsi="Abadi"/>
          <w:b/>
          <w:bCs/>
          <w:iCs/>
          <w:sz w:val="21"/>
          <w:szCs w:val="21"/>
        </w:rPr>
      </w:pPr>
      <w:r w:rsidRPr="0066249B">
        <w:rPr>
          <w:rFonts w:ascii="Abadi" w:hAnsi="Abadi"/>
          <w:b/>
          <w:bCs/>
          <w:iCs/>
          <w:sz w:val="21"/>
          <w:szCs w:val="21"/>
        </w:rPr>
        <w:t>PRESIDENCIA D</w:t>
      </w:r>
      <w:r>
        <w:rPr>
          <w:rFonts w:ascii="Abadi" w:hAnsi="Abadi"/>
          <w:b/>
          <w:bCs/>
          <w:iCs/>
          <w:sz w:val="21"/>
          <w:szCs w:val="21"/>
        </w:rPr>
        <w:t xml:space="preserve">E LA DIPUTADA </w:t>
      </w:r>
      <w:r w:rsidR="00BF1FDD">
        <w:rPr>
          <w:rFonts w:ascii="Abadi" w:hAnsi="Abadi"/>
          <w:b/>
          <w:bCs/>
          <w:iCs/>
          <w:sz w:val="21"/>
          <w:szCs w:val="21"/>
        </w:rPr>
        <w:t>IRMA LETICIA GONZÁLEZ SÁNCHEZ</w:t>
      </w:r>
      <w:r>
        <w:rPr>
          <w:rFonts w:ascii="Abadi" w:hAnsi="Abadi"/>
          <w:b/>
          <w:bCs/>
          <w:iCs/>
          <w:sz w:val="21"/>
          <w:szCs w:val="21"/>
        </w:rPr>
        <w:t>.</w:t>
      </w:r>
    </w:p>
    <w:p w14:paraId="02309FCB" w14:textId="77777777" w:rsidR="00922D45" w:rsidRDefault="00922D45" w:rsidP="00C0132B">
      <w:pPr>
        <w:ind w:firstLine="349"/>
        <w:jc w:val="both"/>
        <w:rPr>
          <w:rFonts w:ascii="Abadi" w:hAnsi="Abadi"/>
          <w:b/>
          <w:bCs/>
          <w:sz w:val="21"/>
          <w:szCs w:val="21"/>
        </w:rPr>
      </w:pPr>
    </w:p>
    <w:p w14:paraId="37788019" w14:textId="77777777" w:rsidR="004F011D" w:rsidRDefault="004F011D" w:rsidP="004F011D">
      <w:pPr>
        <w:pStyle w:val="NormalWeb"/>
        <w:ind w:firstLine="708"/>
        <w:jc w:val="both"/>
        <w:rPr>
          <w:rFonts w:ascii="Abadi" w:hAnsi="Abadi"/>
          <w:sz w:val="21"/>
          <w:szCs w:val="21"/>
        </w:rPr>
      </w:pPr>
      <w:r>
        <w:rPr>
          <w:rFonts w:ascii="Abadi" w:hAnsi="Abadi"/>
          <w:b/>
          <w:bCs/>
          <w:sz w:val="21"/>
          <w:szCs w:val="21"/>
        </w:rPr>
        <w:t xml:space="preserve">- </w:t>
      </w:r>
      <w:r w:rsidRPr="001438E3">
        <w:rPr>
          <w:rFonts w:ascii="Abadi" w:hAnsi="Abadi"/>
          <w:b/>
          <w:bCs/>
          <w:sz w:val="21"/>
          <w:szCs w:val="21"/>
        </w:rPr>
        <w:t xml:space="preserve">La </w:t>
      </w:r>
      <w:proofErr w:type="gramStart"/>
      <w:r w:rsidRPr="001438E3">
        <w:rPr>
          <w:rFonts w:ascii="Abadi" w:hAnsi="Abadi"/>
          <w:b/>
          <w:bCs/>
          <w:sz w:val="21"/>
          <w:szCs w:val="21"/>
        </w:rPr>
        <w:t>Presidencia.-</w:t>
      </w:r>
      <w:proofErr w:type="gramEnd"/>
      <w:r>
        <w:rPr>
          <w:rFonts w:ascii="Abadi" w:hAnsi="Abadi"/>
          <w:sz w:val="21"/>
          <w:szCs w:val="21"/>
        </w:rPr>
        <w:t xml:space="preserve"> En un día de mucho </w:t>
      </w:r>
      <w:r w:rsidRPr="0021199F">
        <w:rPr>
          <w:rFonts w:ascii="Abadi" w:hAnsi="Abadi"/>
          <w:sz w:val="21"/>
          <w:szCs w:val="21"/>
        </w:rPr>
        <w:t>éxito</w:t>
      </w:r>
      <w:r>
        <w:rPr>
          <w:rFonts w:ascii="Abadi" w:hAnsi="Abadi"/>
          <w:sz w:val="21"/>
          <w:szCs w:val="21"/>
        </w:rPr>
        <w:t xml:space="preserve"> benéfico </w:t>
      </w:r>
      <w:r w:rsidRPr="0021199F">
        <w:rPr>
          <w:rFonts w:ascii="Abadi" w:hAnsi="Abadi"/>
          <w:sz w:val="21"/>
          <w:szCs w:val="21"/>
        </w:rPr>
        <w:t xml:space="preserve">para todos los ciudadanos guanajuatense </w:t>
      </w:r>
      <w:r>
        <w:rPr>
          <w:rFonts w:ascii="Abadi" w:hAnsi="Abadi"/>
          <w:sz w:val="21"/>
          <w:szCs w:val="21"/>
        </w:rPr>
        <w:t xml:space="preserve">en </w:t>
      </w:r>
      <w:r w:rsidRPr="0021199F">
        <w:rPr>
          <w:rFonts w:ascii="Abadi" w:hAnsi="Abadi"/>
          <w:sz w:val="21"/>
          <w:szCs w:val="21"/>
        </w:rPr>
        <w:t xml:space="preserve">los trabajos que hacemos aquí esta </w:t>
      </w:r>
      <w:r>
        <w:rPr>
          <w:rFonts w:ascii="Abadi" w:hAnsi="Abadi"/>
          <w:sz w:val="21"/>
          <w:szCs w:val="21"/>
        </w:rPr>
        <w:t>S</w:t>
      </w:r>
      <w:r w:rsidRPr="0021199F">
        <w:rPr>
          <w:rFonts w:ascii="Abadi" w:hAnsi="Abadi"/>
          <w:sz w:val="21"/>
          <w:szCs w:val="21"/>
        </w:rPr>
        <w:t xml:space="preserve">exagésima </w:t>
      </w:r>
      <w:r>
        <w:rPr>
          <w:rFonts w:ascii="Abadi" w:hAnsi="Abadi"/>
          <w:sz w:val="21"/>
          <w:szCs w:val="21"/>
        </w:rPr>
        <w:t>Q</w:t>
      </w:r>
      <w:r w:rsidRPr="0021199F">
        <w:rPr>
          <w:rFonts w:ascii="Abadi" w:hAnsi="Abadi"/>
          <w:sz w:val="21"/>
          <w:szCs w:val="21"/>
        </w:rPr>
        <w:t xml:space="preserve">uinta </w:t>
      </w:r>
      <w:r>
        <w:rPr>
          <w:rFonts w:ascii="Abadi" w:hAnsi="Abadi"/>
          <w:sz w:val="21"/>
          <w:szCs w:val="21"/>
        </w:rPr>
        <w:t>L</w:t>
      </w:r>
      <w:r w:rsidRPr="0021199F">
        <w:rPr>
          <w:rFonts w:ascii="Abadi" w:hAnsi="Abadi"/>
          <w:sz w:val="21"/>
          <w:szCs w:val="21"/>
        </w:rPr>
        <w:t>egislatura</w:t>
      </w:r>
      <w:r>
        <w:rPr>
          <w:rFonts w:ascii="Abadi" w:hAnsi="Abadi"/>
          <w:sz w:val="21"/>
          <w:szCs w:val="21"/>
        </w:rPr>
        <w:t>,</w:t>
      </w:r>
    </w:p>
    <w:p w14:paraId="24D7018C" w14:textId="77777777" w:rsidR="004F011D" w:rsidRDefault="004F011D" w:rsidP="004F011D">
      <w:pPr>
        <w:pStyle w:val="NormalWeb"/>
        <w:ind w:firstLine="708"/>
        <w:jc w:val="both"/>
        <w:rPr>
          <w:rFonts w:ascii="Abadi" w:hAnsi="Abadi"/>
          <w:sz w:val="21"/>
          <w:szCs w:val="21"/>
        </w:rPr>
      </w:pPr>
      <w:r>
        <w:rPr>
          <w:rFonts w:ascii="Abadi" w:hAnsi="Abadi"/>
          <w:sz w:val="21"/>
          <w:szCs w:val="21"/>
        </w:rPr>
        <w:t>- Y</w:t>
      </w:r>
      <w:r w:rsidRPr="0021199F">
        <w:rPr>
          <w:rFonts w:ascii="Abadi" w:hAnsi="Abadi"/>
          <w:sz w:val="21"/>
          <w:szCs w:val="21"/>
        </w:rPr>
        <w:t xml:space="preserve"> se pide </w:t>
      </w:r>
      <w:r>
        <w:rPr>
          <w:rFonts w:ascii="Abadi" w:hAnsi="Abadi"/>
          <w:sz w:val="21"/>
          <w:szCs w:val="21"/>
        </w:rPr>
        <w:t xml:space="preserve">a </w:t>
      </w:r>
      <w:r w:rsidRPr="0021199F">
        <w:rPr>
          <w:rFonts w:ascii="Abadi" w:hAnsi="Abadi"/>
          <w:sz w:val="21"/>
          <w:szCs w:val="21"/>
        </w:rPr>
        <w:t>la Secretar</w:t>
      </w:r>
      <w:r>
        <w:rPr>
          <w:rFonts w:ascii="Abadi" w:hAnsi="Abadi"/>
          <w:sz w:val="21"/>
          <w:szCs w:val="21"/>
        </w:rPr>
        <w:t>i</w:t>
      </w:r>
      <w:r w:rsidRPr="0021199F">
        <w:rPr>
          <w:rFonts w:ascii="Abadi" w:hAnsi="Abadi"/>
          <w:sz w:val="21"/>
          <w:szCs w:val="21"/>
        </w:rPr>
        <w:t xml:space="preserve">a certificar el </w:t>
      </w:r>
      <w:r>
        <w:rPr>
          <w:rFonts w:ascii="Abadi" w:hAnsi="Abadi"/>
          <w:sz w:val="21"/>
          <w:szCs w:val="21"/>
        </w:rPr>
        <w:t>c</w:t>
      </w:r>
      <w:r w:rsidRPr="0021199F">
        <w:rPr>
          <w:rFonts w:ascii="Abadi" w:hAnsi="Abadi"/>
          <w:sz w:val="21"/>
          <w:szCs w:val="21"/>
        </w:rPr>
        <w:t xml:space="preserve">uórum conforme </w:t>
      </w:r>
      <w:r>
        <w:rPr>
          <w:rFonts w:ascii="Abadi" w:hAnsi="Abadi"/>
          <w:sz w:val="21"/>
          <w:szCs w:val="21"/>
        </w:rPr>
        <w:t xml:space="preserve">al </w:t>
      </w:r>
      <w:r w:rsidRPr="0021199F">
        <w:rPr>
          <w:rFonts w:ascii="Abadi" w:hAnsi="Abadi"/>
          <w:sz w:val="21"/>
          <w:szCs w:val="21"/>
        </w:rPr>
        <w:t xml:space="preserve">registro de asistencia del sistema electrónico. </w:t>
      </w:r>
    </w:p>
    <w:p w14:paraId="67630FC1" w14:textId="77777777" w:rsidR="004F011D" w:rsidRDefault="004F011D" w:rsidP="004F011D">
      <w:pPr>
        <w:pStyle w:val="NormalWeb"/>
        <w:ind w:firstLine="708"/>
        <w:jc w:val="both"/>
        <w:rPr>
          <w:rFonts w:ascii="Abadi" w:hAnsi="Abadi"/>
          <w:sz w:val="21"/>
          <w:szCs w:val="21"/>
        </w:rPr>
      </w:pPr>
      <w:r>
        <w:rPr>
          <w:rFonts w:ascii="Abadi" w:hAnsi="Abadi"/>
          <w:b/>
          <w:bCs/>
          <w:sz w:val="21"/>
          <w:szCs w:val="21"/>
        </w:rPr>
        <w:t xml:space="preserve">- </w:t>
      </w:r>
      <w:r w:rsidRPr="00225307">
        <w:rPr>
          <w:rFonts w:ascii="Abadi" w:hAnsi="Abadi"/>
          <w:b/>
          <w:bCs/>
          <w:sz w:val="21"/>
          <w:szCs w:val="21"/>
        </w:rPr>
        <w:t xml:space="preserve">La </w:t>
      </w:r>
      <w:proofErr w:type="gramStart"/>
      <w:r w:rsidRPr="00225307">
        <w:rPr>
          <w:rFonts w:ascii="Abadi" w:hAnsi="Abadi"/>
          <w:b/>
          <w:bCs/>
          <w:sz w:val="21"/>
          <w:szCs w:val="21"/>
        </w:rPr>
        <w:t>Secretaria.-</w:t>
      </w:r>
      <w:proofErr w:type="gramEnd"/>
      <w:r>
        <w:rPr>
          <w:rFonts w:ascii="Abadi" w:hAnsi="Abadi"/>
          <w:sz w:val="21"/>
          <w:szCs w:val="21"/>
        </w:rPr>
        <w:t xml:space="preserve"> La</w:t>
      </w:r>
      <w:r w:rsidRPr="0021199F">
        <w:rPr>
          <w:rFonts w:ascii="Abadi" w:hAnsi="Abadi"/>
          <w:sz w:val="21"/>
          <w:szCs w:val="21"/>
        </w:rPr>
        <w:t xml:space="preserve"> asistencia es de </w:t>
      </w:r>
      <w:r>
        <w:rPr>
          <w:rFonts w:ascii="Abadi" w:hAnsi="Abadi"/>
          <w:sz w:val="21"/>
          <w:szCs w:val="21"/>
        </w:rPr>
        <w:t xml:space="preserve">27 </w:t>
      </w:r>
      <w:r w:rsidRPr="0021199F">
        <w:rPr>
          <w:rFonts w:ascii="Abadi" w:hAnsi="Abadi"/>
          <w:sz w:val="21"/>
          <w:szCs w:val="21"/>
        </w:rPr>
        <w:t>diputadas y diputados</w:t>
      </w:r>
      <w:r>
        <w:rPr>
          <w:rFonts w:ascii="Abadi" w:hAnsi="Abadi"/>
          <w:sz w:val="21"/>
          <w:szCs w:val="21"/>
        </w:rPr>
        <w:t>, m</w:t>
      </w:r>
      <w:r w:rsidRPr="0021199F">
        <w:rPr>
          <w:rFonts w:ascii="Abadi" w:hAnsi="Abadi"/>
          <w:sz w:val="21"/>
          <w:szCs w:val="21"/>
        </w:rPr>
        <w:t>uy buenos días a tod</w:t>
      </w:r>
      <w:r>
        <w:rPr>
          <w:rFonts w:ascii="Abadi" w:hAnsi="Abadi"/>
          <w:sz w:val="21"/>
          <w:szCs w:val="21"/>
        </w:rPr>
        <w:t>a</w:t>
      </w:r>
      <w:r w:rsidRPr="0021199F">
        <w:rPr>
          <w:rFonts w:ascii="Abadi" w:hAnsi="Abadi"/>
          <w:sz w:val="21"/>
          <w:szCs w:val="21"/>
        </w:rPr>
        <w:t xml:space="preserve">s y a todos. </w:t>
      </w:r>
    </w:p>
    <w:p w14:paraId="5E604C48" w14:textId="77777777" w:rsidR="004F011D" w:rsidRDefault="004F011D" w:rsidP="004F011D">
      <w:pPr>
        <w:pStyle w:val="NormalWeb"/>
        <w:ind w:firstLine="708"/>
        <w:jc w:val="both"/>
        <w:rPr>
          <w:rFonts w:ascii="Abadi" w:hAnsi="Abadi"/>
          <w:sz w:val="21"/>
          <w:szCs w:val="21"/>
        </w:rPr>
      </w:pPr>
      <w:r>
        <w:rPr>
          <w:rFonts w:ascii="Abadi" w:hAnsi="Abadi"/>
          <w:b/>
          <w:bCs/>
          <w:sz w:val="21"/>
          <w:szCs w:val="21"/>
        </w:rPr>
        <w:t xml:space="preserve">- </w:t>
      </w:r>
      <w:r w:rsidRPr="004545B2">
        <w:rPr>
          <w:rFonts w:ascii="Abadi" w:hAnsi="Abadi"/>
          <w:b/>
          <w:bCs/>
          <w:sz w:val="21"/>
          <w:szCs w:val="21"/>
        </w:rPr>
        <w:t xml:space="preserve">La </w:t>
      </w:r>
      <w:proofErr w:type="gramStart"/>
      <w:r w:rsidRPr="004545B2">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 xml:space="preserve">Siendo las </w:t>
      </w:r>
      <w:r>
        <w:rPr>
          <w:rFonts w:ascii="Abadi" w:hAnsi="Abadi"/>
          <w:sz w:val="21"/>
          <w:szCs w:val="21"/>
        </w:rPr>
        <w:t>10:25 (diez horas c</w:t>
      </w:r>
      <w:r w:rsidRPr="0021199F">
        <w:rPr>
          <w:rFonts w:ascii="Abadi" w:hAnsi="Abadi"/>
          <w:sz w:val="21"/>
          <w:szCs w:val="21"/>
        </w:rPr>
        <w:t>on veintiocho minutos</w:t>
      </w:r>
      <w:r>
        <w:rPr>
          <w:rFonts w:ascii="Abadi" w:hAnsi="Abadi"/>
          <w:sz w:val="21"/>
          <w:szCs w:val="21"/>
        </w:rPr>
        <w:t>)</w:t>
      </w:r>
      <w:r w:rsidRPr="0021199F">
        <w:rPr>
          <w:rFonts w:ascii="Abadi" w:hAnsi="Abadi"/>
          <w:sz w:val="21"/>
          <w:szCs w:val="21"/>
        </w:rPr>
        <w:t xml:space="preserve"> damos inicio </w:t>
      </w:r>
      <w:r>
        <w:rPr>
          <w:rFonts w:ascii="Abadi" w:hAnsi="Abadi"/>
          <w:sz w:val="21"/>
          <w:szCs w:val="21"/>
        </w:rPr>
        <w:t xml:space="preserve">a </w:t>
      </w:r>
      <w:r w:rsidRPr="0021199F">
        <w:rPr>
          <w:rFonts w:ascii="Abadi" w:hAnsi="Abadi"/>
          <w:sz w:val="21"/>
          <w:szCs w:val="21"/>
        </w:rPr>
        <w:t xml:space="preserve">la </w:t>
      </w:r>
      <w:r>
        <w:rPr>
          <w:rFonts w:ascii="Abadi" w:hAnsi="Abadi"/>
          <w:sz w:val="21"/>
          <w:szCs w:val="21"/>
        </w:rPr>
        <w:t>S</w:t>
      </w:r>
      <w:r w:rsidRPr="0021199F">
        <w:rPr>
          <w:rFonts w:ascii="Abadi" w:hAnsi="Abadi"/>
          <w:sz w:val="21"/>
          <w:szCs w:val="21"/>
        </w:rPr>
        <w:t xml:space="preserve">esión </w:t>
      </w:r>
      <w:r>
        <w:rPr>
          <w:rFonts w:ascii="Abadi" w:hAnsi="Abadi"/>
          <w:sz w:val="21"/>
          <w:szCs w:val="21"/>
        </w:rPr>
        <w:t>O</w:t>
      </w:r>
      <w:r w:rsidRPr="0021199F">
        <w:rPr>
          <w:rFonts w:ascii="Abadi" w:hAnsi="Abadi"/>
          <w:sz w:val="21"/>
          <w:szCs w:val="21"/>
        </w:rPr>
        <w:t xml:space="preserve">rdinaria del </w:t>
      </w:r>
      <w:r>
        <w:rPr>
          <w:rFonts w:ascii="Abadi" w:hAnsi="Abadi"/>
          <w:sz w:val="21"/>
          <w:szCs w:val="21"/>
        </w:rPr>
        <w:t>19</w:t>
      </w:r>
      <w:r w:rsidRPr="0021199F">
        <w:rPr>
          <w:rFonts w:ascii="Abadi" w:hAnsi="Abadi"/>
          <w:sz w:val="21"/>
          <w:szCs w:val="21"/>
        </w:rPr>
        <w:t xml:space="preserve"> de mayo del </w:t>
      </w:r>
      <w:r>
        <w:rPr>
          <w:rFonts w:ascii="Abadi" w:hAnsi="Abadi"/>
          <w:sz w:val="21"/>
          <w:szCs w:val="21"/>
        </w:rPr>
        <w:t>2022.</w:t>
      </w:r>
    </w:p>
    <w:p w14:paraId="2F5B58F3" w14:textId="77777777" w:rsidR="004F011D" w:rsidRDefault="004F011D" w:rsidP="004F011D">
      <w:pPr>
        <w:pStyle w:val="NormalWeb"/>
        <w:jc w:val="both"/>
        <w:rPr>
          <w:rFonts w:ascii="Abadi" w:hAnsi="Abadi"/>
          <w:b/>
          <w:bCs/>
          <w:sz w:val="21"/>
          <w:szCs w:val="21"/>
        </w:rPr>
      </w:pPr>
      <w:r w:rsidRPr="005F7A15">
        <w:rPr>
          <w:rFonts w:ascii="Abadi" w:hAnsi="Abadi"/>
          <w:b/>
          <w:bCs/>
          <w:sz w:val="21"/>
          <w:szCs w:val="21"/>
        </w:rPr>
        <w:t xml:space="preserve">(Se instruye a la </w:t>
      </w:r>
      <w:r>
        <w:rPr>
          <w:rFonts w:ascii="Abadi" w:hAnsi="Abadi"/>
          <w:b/>
          <w:bCs/>
          <w:sz w:val="21"/>
          <w:szCs w:val="21"/>
        </w:rPr>
        <w:t>S</w:t>
      </w:r>
      <w:r w:rsidRPr="005F7A15">
        <w:rPr>
          <w:rFonts w:ascii="Abadi" w:hAnsi="Abadi"/>
          <w:b/>
          <w:bCs/>
          <w:sz w:val="21"/>
          <w:szCs w:val="21"/>
        </w:rPr>
        <w:t>ecretaria dar lectura del orden del día)</w:t>
      </w:r>
    </w:p>
    <w:p w14:paraId="5E70203E" w14:textId="77777777" w:rsidR="004F011D" w:rsidRDefault="004F011D" w:rsidP="004F011D">
      <w:pPr>
        <w:pStyle w:val="NormalWeb"/>
        <w:jc w:val="both"/>
        <w:rPr>
          <w:rFonts w:ascii="Abadi" w:hAnsi="Abadi"/>
          <w:b/>
          <w:bCs/>
          <w:sz w:val="21"/>
          <w:szCs w:val="21"/>
        </w:rPr>
      </w:pPr>
    </w:p>
    <w:p w14:paraId="0E91CCAF" w14:textId="77777777" w:rsidR="004F011D" w:rsidRDefault="004F011D" w:rsidP="004F011D">
      <w:pPr>
        <w:pStyle w:val="NormalWeb"/>
        <w:jc w:val="both"/>
        <w:rPr>
          <w:rFonts w:ascii="Abadi" w:hAnsi="Abadi"/>
          <w:b/>
          <w:bCs/>
          <w:sz w:val="21"/>
          <w:szCs w:val="21"/>
        </w:rPr>
      </w:pPr>
      <w:r>
        <w:rPr>
          <w:noProof/>
        </w:rPr>
        <w:drawing>
          <wp:inline distT="0" distB="0" distL="0" distR="0" wp14:anchorId="072B4CC3" wp14:editId="141DD7A5">
            <wp:extent cx="2172060" cy="1148506"/>
            <wp:effectExtent l="19050" t="133350" r="0" b="8712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5990"/>
                    <a:stretch/>
                  </pic:blipFill>
                  <pic:spPr bwMode="auto">
                    <a:xfrm>
                      <a:off x="0" y="0"/>
                      <a:ext cx="2186635" cy="1156213"/>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0A66071B" w14:textId="44CC82DC" w:rsidR="004F011D" w:rsidRDefault="004F011D" w:rsidP="00DC6EDB">
      <w:pPr>
        <w:pStyle w:val="NormalWeb"/>
        <w:ind w:firstLine="708"/>
        <w:jc w:val="both"/>
        <w:rPr>
          <w:rFonts w:ascii="Abadi" w:hAnsi="Abadi"/>
          <w:sz w:val="21"/>
          <w:szCs w:val="21"/>
        </w:rPr>
      </w:pPr>
      <w:r>
        <w:rPr>
          <w:rFonts w:ascii="Abadi" w:hAnsi="Abadi"/>
          <w:b/>
          <w:bCs/>
          <w:sz w:val="21"/>
          <w:szCs w:val="21"/>
        </w:rPr>
        <w:t xml:space="preserve">- </w:t>
      </w:r>
      <w:r w:rsidRPr="005F7A15">
        <w:rPr>
          <w:rFonts w:ascii="Abadi" w:hAnsi="Abadi"/>
          <w:b/>
          <w:bCs/>
          <w:sz w:val="21"/>
          <w:szCs w:val="21"/>
        </w:rPr>
        <w:t xml:space="preserve">La </w:t>
      </w:r>
      <w:proofErr w:type="gramStart"/>
      <w:r w:rsidRPr="005F7A15">
        <w:rPr>
          <w:rFonts w:ascii="Abadi" w:hAnsi="Abadi"/>
          <w:b/>
          <w:bCs/>
          <w:sz w:val="21"/>
          <w:szCs w:val="21"/>
        </w:rPr>
        <w:t>Secretaria.-</w:t>
      </w:r>
      <w:proofErr w:type="gramEnd"/>
      <w:r>
        <w:rPr>
          <w:rFonts w:ascii="Abadi" w:hAnsi="Abadi"/>
          <w:sz w:val="21"/>
          <w:szCs w:val="21"/>
        </w:rPr>
        <w:t xml:space="preserve"> C</w:t>
      </w:r>
      <w:r w:rsidRPr="0021199F">
        <w:rPr>
          <w:rFonts w:ascii="Abadi" w:hAnsi="Abadi"/>
          <w:sz w:val="21"/>
          <w:szCs w:val="21"/>
        </w:rPr>
        <w:t xml:space="preserve">on mucho gusto. </w:t>
      </w:r>
    </w:p>
    <w:p w14:paraId="7062F885" w14:textId="77777777" w:rsidR="00AD7E6D" w:rsidRPr="006F59BB" w:rsidRDefault="00AD7E6D" w:rsidP="00343CA9">
      <w:pPr>
        <w:pStyle w:val="Textoindependiente"/>
        <w:numPr>
          <w:ilvl w:val="0"/>
          <w:numId w:val="5"/>
        </w:numPr>
        <w:spacing w:before="214"/>
        <w:ind w:left="284" w:right="-142"/>
        <w:rPr>
          <w:rFonts w:ascii="Abadi" w:hAnsi="Abadi"/>
          <w:sz w:val="21"/>
          <w:szCs w:val="21"/>
        </w:rPr>
      </w:pPr>
      <w:r w:rsidRPr="006F59BB">
        <w:rPr>
          <w:rFonts w:ascii="Abadi" w:hAnsi="Abadi"/>
          <w:sz w:val="21"/>
          <w:szCs w:val="21"/>
        </w:rPr>
        <w:t>LECTURA</w:t>
      </w:r>
      <w:r w:rsidRPr="006F59BB">
        <w:rPr>
          <w:rFonts w:ascii="Abadi" w:hAnsi="Abadi"/>
          <w:spacing w:val="-2"/>
          <w:sz w:val="21"/>
          <w:szCs w:val="21"/>
        </w:rPr>
        <w:t xml:space="preserve"> </w:t>
      </w:r>
      <w:r w:rsidRPr="006F59BB">
        <w:rPr>
          <w:rFonts w:ascii="Abadi" w:hAnsi="Abadi"/>
          <w:sz w:val="21"/>
          <w:szCs w:val="21"/>
        </w:rPr>
        <w:t>Y,</w:t>
      </w:r>
      <w:r w:rsidRPr="006F59BB">
        <w:rPr>
          <w:rFonts w:ascii="Abadi" w:hAnsi="Abadi"/>
          <w:spacing w:val="-2"/>
          <w:sz w:val="21"/>
          <w:szCs w:val="21"/>
        </w:rPr>
        <w:t xml:space="preserve"> </w:t>
      </w:r>
      <w:r w:rsidRPr="006F59BB">
        <w:rPr>
          <w:rFonts w:ascii="Abadi" w:hAnsi="Abadi"/>
          <w:sz w:val="21"/>
          <w:szCs w:val="21"/>
        </w:rPr>
        <w:t>EN</w:t>
      </w:r>
      <w:r w:rsidRPr="006F59BB">
        <w:rPr>
          <w:rFonts w:ascii="Abadi" w:hAnsi="Abadi"/>
          <w:spacing w:val="-1"/>
          <w:sz w:val="21"/>
          <w:szCs w:val="21"/>
        </w:rPr>
        <w:t xml:space="preserve"> </w:t>
      </w:r>
      <w:r w:rsidRPr="006F59BB">
        <w:rPr>
          <w:rFonts w:ascii="Abadi" w:hAnsi="Abadi"/>
          <w:sz w:val="21"/>
          <w:szCs w:val="21"/>
        </w:rPr>
        <w:t>SU</w:t>
      </w:r>
      <w:r w:rsidRPr="006F59BB">
        <w:rPr>
          <w:rFonts w:ascii="Abadi" w:hAnsi="Abadi"/>
          <w:spacing w:val="-2"/>
          <w:sz w:val="21"/>
          <w:szCs w:val="21"/>
        </w:rPr>
        <w:t xml:space="preserve"> </w:t>
      </w:r>
      <w:r w:rsidRPr="006F59BB">
        <w:rPr>
          <w:rFonts w:ascii="Abadi" w:hAnsi="Abadi"/>
          <w:sz w:val="21"/>
          <w:szCs w:val="21"/>
        </w:rPr>
        <w:t>CASO,</w:t>
      </w:r>
      <w:r w:rsidRPr="006F59BB">
        <w:rPr>
          <w:rFonts w:ascii="Abadi" w:hAnsi="Abadi"/>
          <w:spacing w:val="-2"/>
          <w:sz w:val="21"/>
          <w:szCs w:val="21"/>
        </w:rPr>
        <w:t xml:space="preserve"> </w:t>
      </w:r>
      <w:r w:rsidRPr="006F59BB">
        <w:rPr>
          <w:rFonts w:ascii="Abadi" w:hAnsi="Abadi"/>
          <w:sz w:val="21"/>
          <w:szCs w:val="21"/>
        </w:rPr>
        <w:t>APROBACIÓN</w:t>
      </w:r>
      <w:r w:rsidRPr="006F59BB">
        <w:rPr>
          <w:rFonts w:ascii="Abadi" w:hAnsi="Abadi"/>
          <w:spacing w:val="-1"/>
          <w:sz w:val="21"/>
          <w:szCs w:val="21"/>
        </w:rPr>
        <w:t xml:space="preserve"> </w:t>
      </w:r>
      <w:r w:rsidRPr="006F59BB">
        <w:rPr>
          <w:rFonts w:ascii="Abadi" w:hAnsi="Abadi"/>
          <w:sz w:val="21"/>
          <w:szCs w:val="21"/>
        </w:rPr>
        <w:t>DEL</w:t>
      </w:r>
      <w:r w:rsidRPr="006F59BB">
        <w:rPr>
          <w:rFonts w:ascii="Abadi" w:hAnsi="Abadi"/>
          <w:spacing w:val="-2"/>
          <w:sz w:val="21"/>
          <w:szCs w:val="21"/>
        </w:rPr>
        <w:t xml:space="preserve"> </w:t>
      </w:r>
      <w:r w:rsidRPr="006F59BB">
        <w:rPr>
          <w:rFonts w:ascii="Abadi" w:hAnsi="Abadi"/>
          <w:sz w:val="21"/>
          <w:szCs w:val="21"/>
        </w:rPr>
        <w:t>ORDEN</w:t>
      </w:r>
      <w:r w:rsidRPr="006F59BB">
        <w:rPr>
          <w:rFonts w:ascii="Abadi" w:hAnsi="Abadi"/>
          <w:spacing w:val="-1"/>
          <w:sz w:val="21"/>
          <w:szCs w:val="21"/>
        </w:rPr>
        <w:t xml:space="preserve"> </w:t>
      </w:r>
      <w:r w:rsidRPr="006F59BB">
        <w:rPr>
          <w:rFonts w:ascii="Abadi" w:hAnsi="Abadi"/>
          <w:sz w:val="21"/>
          <w:szCs w:val="21"/>
        </w:rPr>
        <w:t>DEL</w:t>
      </w:r>
      <w:r w:rsidRPr="006F59BB">
        <w:rPr>
          <w:rFonts w:ascii="Abadi" w:hAnsi="Abadi"/>
          <w:spacing w:val="-2"/>
          <w:sz w:val="21"/>
          <w:szCs w:val="21"/>
        </w:rPr>
        <w:t xml:space="preserve"> </w:t>
      </w:r>
      <w:r w:rsidRPr="006F59BB">
        <w:rPr>
          <w:rFonts w:ascii="Abadi" w:hAnsi="Abadi"/>
          <w:sz w:val="21"/>
          <w:szCs w:val="21"/>
        </w:rPr>
        <w:t>DÍA.</w:t>
      </w:r>
    </w:p>
    <w:p w14:paraId="72A80FEB" w14:textId="77777777" w:rsidR="00AD7E6D" w:rsidRPr="007F1D57" w:rsidRDefault="00AD7E6D" w:rsidP="007728C4">
      <w:pPr>
        <w:pStyle w:val="Estilo1"/>
        <w:numPr>
          <w:ilvl w:val="0"/>
          <w:numId w:val="0"/>
        </w:numPr>
        <w:ind w:left="851"/>
        <w:rPr>
          <w:rFonts w:ascii="Abadi" w:hAnsi="Abadi"/>
          <w:b w:val="0"/>
          <w:bCs w:val="0"/>
          <w:sz w:val="21"/>
          <w:szCs w:val="21"/>
        </w:rPr>
      </w:pPr>
    </w:p>
    <w:p w14:paraId="25D0DB08" w14:textId="77777777" w:rsidR="00C81307" w:rsidRPr="005C35F6" w:rsidRDefault="00C81307" w:rsidP="0024733C">
      <w:pPr>
        <w:ind w:firstLine="720"/>
        <w:jc w:val="both"/>
        <w:rPr>
          <w:rFonts w:ascii="Abadi" w:hAnsi="Abadi"/>
          <w:iCs/>
          <w:sz w:val="21"/>
          <w:szCs w:val="21"/>
        </w:rPr>
      </w:pPr>
    </w:p>
    <w:p w14:paraId="5C738FA2" w14:textId="129EDA93" w:rsidR="00951F6D" w:rsidRDefault="00A86E23" w:rsidP="00B6262E">
      <w:pPr>
        <w:jc w:val="both"/>
        <w:rPr>
          <w:rFonts w:ascii="Abadi" w:hAnsi="Abadi"/>
          <w:b/>
          <w:bCs/>
          <w:iCs/>
          <w:sz w:val="21"/>
          <w:szCs w:val="21"/>
        </w:rPr>
      </w:pPr>
      <w:r>
        <w:rPr>
          <w:rFonts w:ascii="Abadi" w:hAnsi="Abadi"/>
          <w:b/>
          <w:bCs/>
          <w:iCs/>
          <w:sz w:val="21"/>
          <w:szCs w:val="21"/>
        </w:rPr>
        <w:t>«</w:t>
      </w:r>
      <w:r w:rsidR="00B73D82">
        <w:rPr>
          <w:rFonts w:ascii="Abadi" w:hAnsi="Abadi"/>
          <w:b/>
          <w:bCs/>
          <w:iCs/>
          <w:sz w:val="21"/>
          <w:szCs w:val="21"/>
        </w:rPr>
        <w:t>SEXAGÉSIMA</w:t>
      </w:r>
      <w:r w:rsidR="00B205D1">
        <w:rPr>
          <w:rFonts w:ascii="Abadi" w:hAnsi="Abadi"/>
          <w:b/>
          <w:bCs/>
          <w:iCs/>
          <w:sz w:val="21"/>
          <w:szCs w:val="21"/>
        </w:rPr>
        <w:t xml:space="preserve"> </w:t>
      </w:r>
      <w:r w:rsidR="00DD3236">
        <w:rPr>
          <w:rFonts w:ascii="Abadi" w:hAnsi="Abadi"/>
          <w:b/>
          <w:sz w:val="21"/>
          <w:szCs w:val="21"/>
        </w:rPr>
        <w:t>QUINTA</w:t>
      </w:r>
      <w:r w:rsidR="00DD3236" w:rsidRPr="0066249B">
        <w:rPr>
          <w:rFonts w:ascii="Abadi" w:hAnsi="Abadi"/>
          <w:b/>
          <w:sz w:val="21"/>
          <w:szCs w:val="21"/>
        </w:rPr>
        <w:t xml:space="preserve"> LEGISLATURA DEL CONGRESO DEL ESTADO DE GUANAJUATO. </w:t>
      </w:r>
      <w:r w:rsidR="00B000F3">
        <w:rPr>
          <w:rFonts w:ascii="Abadi" w:hAnsi="Abadi"/>
          <w:b/>
          <w:sz w:val="21"/>
          <w:szCs w:val="21"/>
        </w:rPr>
        <w:t xml:space="preserve">SESIÓN </w:t>
      </w:r>
      <w:r w:rsidR="006A5467">
        <w:rPr>
          <w:rFonts w:ascii="Abadi" w:hAnsi="Abadi"/>
          <w:b/>
          <w:sz w:val="21"/>
          <w:szCs w:val="21"/>
        </w:rPr>
        <w:t>ORDINARI</w:t>
      </w:r>
      <w:r w:rsidR="004D2542">
        <w:rPr>
          <w:rFonts w:ascii="Abadi" w:hAnsi="Abadi"/>
          <w:b/>
          <w:sz w:val="21"/>
          <w:szCs w:val="21"/>
        </w:rPr>
        <w:t>A DEL</w:t>
      </w:r>
      <w:r w:rsidR="00DD3236" w:rsidRPr="0066249B">
        <w:rPr>
          <w:rFonts w:ascii="Abadi" w:hAnsi="Abadi"/>
          <w:b/>
          <w:sz w:val="21"/>
          <w:szCs w:val="21"/>
        </w:rPr>
        <w:t xml:space="preserve"> PRIMER AÑO DE EJERCICIO CONSTITUCIONAL</w:t>
      </w:r>
      <w:r w:rsidR="00B73D82">
        <w:rPr>
          <w:rFonts w:ascii="Abadi" w:hAnsi="Abadi"/>
          <w:b/>
          <w:bCs/>
          <w:iCs/>
          <w:sz w:val="21"/>
          <w:szCs w:val="21"/>
        </w:rPr>
        <w:t xml:space="preserve">. </w:t>
      </w:r>
      <w:r w:rsidR="00A802FE">
        <w:rPr>
          <w:rFonts w:ascii="Abadi" w:hAnsi="Abadi"/>
          <w:b/>
          <w:bCs/>
          <w:iCs/>
          <w:sz w:val="21"/>
          <w:szCs w:val="21"/>
        </w:rPr>
        <w:t>SEGUNDO PERIODO</w:t>
      </w:r>
      <w:r w:rsidR="00B73D82">
        <w:rPr>
          <w:rFonts w:ascii="Abadi" w:hAnsi="Abadi"/>
          <w:b/>
          <w:bCs/>
          <w:iCs/>
          <w:sz w:val="21"/>
          <w:szCs w:val="21"/>
        </w:rPr>
        <w:t xml:space="preserve">. </w:t>
      </w:r>
      <w:r w:rsidR="00B6262E">
        <w:rPr>
          <w:rFonts w:ascii="Abadi" w:hAnsi="Abadi"/>
          <w:b/>
          <w:bCs/>
          <w:iCs/>
          <w:sz w:val="21"/>
          <w:szCs w:val="21"/>
        </w:rPr>
        <w:t xml:space="preserve">19 </w:t>
      </w:r>
      <w:r w:rsidR="00DD3236">
        <w:rPr>
          <w:rFonts w:ascii="Abadi" w:hAnsi="Abadi"/>
          <w:b/>
          <w:bCs/>
          <w:iCs/>
          <w:sz w:val="21"/>
          <w:szCs w:val="21"/>
        </w:rPr>
        <w:t>DE</w:t>
      </w:r>
      <w:r w:rsidR="00A802FE">
        <w:rPr>
          <w:rFonts w:ascii="Abadi" w:hAnsi="Abadi"/>
          <w:b/>
          <w:bCs/>
          <w:iCs/>
          <w:sz w:val="21"/>
          <w:szCs w:val="21"/>
        </w:rPr>
        <w:t xml:space="preserve"> </w:t>
      </w:r>
      <w:r w:rsidR="00A11000">
        <w:rPr>
          <w:rFonts w:ascii="Abadi" w:hAnsi="Abadi"/>
          <w:b/>
          <w:bCs/>
          <w:iCs/>
          <w:sz w:val="21"/>
          <w:szCs w:val="21"/>
        </w:rPr>
        <w:t>MAYO</w:t>
      </w:r>
      <w:r w:rsidR="004225F5">
        <w:rPr>
          <w:rFonts w:ascii="Abadi" w:hAnsi="Abadi"/>
          <w:b/>
          <w:bCs/>
          <w:iCs/>
          <w:sz w:val="21"/>
          <w:szCs w:val="21"/>
        </w:rPr>
        <w:t xml:space="preserve"> </w:t>
      </w:r>
      <w:r w:rsidR="00DD3236">
        <w:rPr>
          <w:rFonts w:ascii="Abadi" w:hAnsi="Abadi"/>
          <w:b/>
          <w:bCs/>
          <w:iCs/>
          <w:sz w:val="21"/>
          <w:szCs w:val="21"/>
        </w:rPr>
        <w:t>DE 2022.</w:t>
      </w:r>
    </w:p>
    <w:p w14:paraId="287075CC" w14:textId="77777777" w:rsidR="00B0382D" w:rsidRDefault="00B0382D" w:rsidP="00A86E23">
      <w:pPr>
        <w:ind w:firstLine="720"/>
        <w:jc w:val="both"/>
        <w:rPr>
          <w:rFonts w:ascii="Abadi" w:hAnsi="Abadi"/>
          <w:b/>
          <w:bCs/>
          <w:iCs/>
          <w:sz w:val="21"/>
          <w:szCs w:val="21"/>
        </w:rPr>
      </w:pPr>
    </w:p>
    <w:p w14:paraId="3D96D5AC" w14:textId="77777777" w:rsidR="00201064" w:rsidRDefault="00201064" w:rsidP="009F648A">
      <w:pPr>
        <w:jc w:val="center"/>
        <w:rPr>
          <w:rFonts w:ascii="Abadi" w:hAnsi="Abadi"/>
          <w:b/>
          <w:bCs/>
          <w:iCs/>
          <w:sz w:val="21"/>
          <w:szCs w:val="21"/>
        </w:rPr>
      </w:pPr>
    </w:p>
    <w:p w14:paraId="04C9132C" w14:textId="5A9C69E1" w:rsidR="00B0382D" w:rsidRDefault="009F648A" w:rsidP="009F648A">
      <w:pPr>
        <w:jc w:val="center"/>
        <w:rPr>
          <w:rFonts w:ascii="Abadi" w:hAnsi="Abadi"/>
          <w:b/>
          <w:bCs/>
          <w:iCs/>
          <w:sz w:val="21"/>
          <w:szCs w:val="21"/>
        </w:rPr>
      </w:pPr>
      <w:r>
        <w:rPr>
          <w:rFonts w:ascii="Abadi" w:hAnsi="Abadi"/>
          <w:b/>
          <w:bCs/>
          <w:iCs/>
          <w:sz w:val="21"/>
          <w:szCs w:val="21"/>
        </w:rPr>
        <w:t>-</w:t>
      </w:r>
      <w:r w:rsidR="00A86E23">
        <w:rPr>
          <w:rFonts w:ascii="Abadi" w:hAnsi="Abadi"/>
          <w:b/>
          <w:bCs/>
          <w:iCs/>
          <w:sz w:val="21"/>
          <w:szCs w:val="21"/>
        </w:rPr>
        <w:t>Orden del día</w:t>
      </w:r>
      <w:r>
        <w:rPr>
          <w:rFonts w:ascii="Abadi" w:hAnsi="Abadi"/>
          <w:b/>
          <w:bCs/>
          <w:iCs/>
          <w:sz w:val="21"/>
          <w:szCs w:val="21"/>
        </w:rPr>
        <w:t>-</w:t>
      </w:r>
    </w:p>
    <w:p w14:paraId="2EE8A27F" w14:textId="2DAEBF0D" w:rsidR="00B73011" w:rsidRDefault="00B73011" w:rsidP="009F648A">
      <w:pPr>
        <w:jc w:val="center"/>
        <w:rPr>
          <w:rFonts w:ascii="Abadi" w:hAnsi="Abadi"/>
          <w:b/>
          <w:bCs/>
          <w:iCs/>
          <w:sz w:val="21"/>
          <w:szCs w:val="21"/>
        </w:rPr>
      </w:pPr>
    </w:p>
    <w:p w14:paraId="2B695606" w14:textId="77777777" w:rsidR="00B6262E" w:rsidRPr="0003104D" w:rsidRDefault="00B6262E" w:rsidP="00B6262E">
      <w:pPr>
        <w:autoSpaceDE w:val="0"/>
        <w:autoSpaceDN w:val="0"/>
        <w:adjustRightInd w:val="0"/>
        <w:jc w:val="both"/>
        <w:rPr>
          <w:rFonts w:ascii="Abadi" w:hAnsi="Abadi"/>
          <w:sz w:val="21"/>
          <w:szCs w:val="21"/>
        </w:rPr>
      </w:pPr>
      <w:r w:rsidRPr="00D43D5C">
        <w:rPr>
          <w:rFonts w:ascii="Abadi" w:hAnsi="Abadi" w:cs="ArialMT"/>
          <w:b/>
          <w:bCs/>
          <w:sz w:val="21"/>
          <w:szCs w:val="21"/>
        </w:rPr>
        <w:t>I.</w:t>
      </w:r>
      <w:r>
        <w:rPr>
          <w:rFonts w:ascii="Abadi" w:hAnsi="Abadi" w:cs="ArialMT"/>
          <w:sz w:val="21"/>
          <w:szCs w:val="21"/>
        </w:rPr>
        <w:t xml:space="preserve"> </w:t>
      </w:r>
      <w:r w:rsidRPr="0003104D">
        <w:rPr>
          <w:rFonts w:ascii="Abadi" w:hAnsi="Abadi" w:cs="ArialMT"/>
          <w:sz w:val="21"/>
          <w:szCs w:val="21"/>
        </w:rPr>
        <w:t>Lectura y, en su caso, aprobación del orden del día.</w:t>
      </w:r>
      <w:r>
        <w:rPr>
          <w:rFonts w:ascii="Abadi" w:hAnsi="Abadi" w:cs="ArialMT"/>
          <w:sz w:val="21"/>
          <w:szCs w:val="21"/>
        </w:rPr>
        <w:t xml:space="preserve"> </w:t>
      </w:r>
      <w:r w:rsidRPr="00D43D5C">
        <w:rPr>
          <w:rFonts w:ascii="Abadi" w:hAnsi="Abadi" w:cs="ArialMT"/>
          <w:b/>
          <w:bCs/>
          <w:sz w:val="21"/>
          <w:szCs w:val="21"/>
        </w:rPr>
        <w:t>II.</w:t>
      </w:r>
      <w:r>
        <w:rPr>
          <w:rFonts w:ascii="Abadi" w:hAnsi="Abadi" w:cs="ArialMT"/>
          <w:sz w:val="21"/>
          <w:szCs w:val="21"/>
        </w:rPr>
        <w:t xml:space="preserve"> </w:t>
      </w:r>
      <w:r w:rsidRPr="0003104D">
        <w:rPr>
          <w:rFonts w:ascii="Abadi" w:hAnsi="Abadi" w:cs="ArialMT"/>
          <w:sz w:val="21"/>
          <w:szCs w:val="21"/>
        </w:rPr>
        <w:t>Lectura y, en su caso, aprobación del acta de la sesión ordinaria celebrada</w:t>
      </w:r>
      <w:r>
        <w:rPr>
          <w:rFonts w:ascii="Abadi" w:hAnsi="Abadi" w:cs="ArialMT"/>
          <w:sz w:val="21"/>
          <w:szCs w:val="21"/>
        </w:rPr>
        <w:t xml:space="preserve"> </w:t>
      </w:r>
      <w:r w:rsidRPr="0003104D">
        <w:rPr>
          <w:rFonts w:ascii="Abadi" w:hAnsi="Abadi" w:cs="ArialMT"/>
          <w:sz w:val="21"/>
          <w:szCs w:val="21"/>
        </w:rPr>
        <w:t>el 12 de mayo del año en curso.</w:t>
      </w:r>
      <w:r>
        <w:rPr>
          <w:rFonts w:ascii="Abadi" w:hAnsi="Abadi" w:cs="ArialMT"/>
          <w:sz w:val="21"/>
          <w:szCs w:val="21"/>
        </w:rPr>
        <w:t xml:space="preserve"> </w:t>
      </w:r>
      <w:r w:rsidRPr="00D43D5C">
        <w:rPr>
          <w:rFonts w:ascii="Abadi" w:hAnsi="Abadi" w:cs="ArialMT"/>
          <w:b/>
          <w:bCs/>
          <w:sz w:val="21"/>
          <w:szCs w:val="21"/>
        </w:rPr>
        <w:t>III.</w:t>
      </w:r>
      <w:r>
        <w:rPr>
          <w:rFonts w:ascii="Abadi" w:hAnsi="Abadi" w:cs="ArialMT"/>
          <w:sz w:val="21"/>
          <w:szCs w:val="21"/>
        </w:rPr>
        <w:t xml:space="preserve"> </w:t>
      </w:r>
      <w:r w:rsidRPr="0003104D">
        <w:rPr>
          <w:rFonts w:ascii="Abadi" w:hAnsi="Abadi" w:cs="ArialMT"/>
          <w:sz w:val="21"/>
          <w:szCs w:val="21"/>
        </w:rPr>
        <w:t xml:space="preserve">Dar cuenta con las comunicaciones y </w:t>
      </w:r>
      <w:r w:rsidRPr="0003104D">
        <w:rPr>
          <w:rFonts w:ascii="Abadi" w:hAnsi="Abadi" w:cs="ArialMT"/>
          <w:sz w:val="21"/>
          <w:szCs w:val="21"/>
        </w:rPr>
        <w:lastRenderedPageBreak/>
        <w:t>correspondencia recibidas.</w:t>
      </w:r>
      <w:r w:rsidRPr="0003104D">
        <w:rPr>
          <w:rFonts w:ascii="Abadi" w:hAnsi="Abadi" w:cs="Arial-BoldMT"/>
          <w:b/>
          <w:bCs/>
          <w:sz w:val="21"/>
          <w:szCs w:val="21"/>
        </w:rPr>
        <w:t xml:space="preserve"> </w:t>
      </w:r>
      <w:r w:rsidRPr="0003104D">
        <w:rPr>
          <w:rFonts w:ascii="Abadi" w:hAnsi="Abadi" w:cs="ArialMT"/>
          <w:sz w:val="21"/>
          <w:szCs w:val="21"/>
        </w:rPr>
        <w:t>Presentación de la propuesta de terna para designar a la persona titular</w:t>
      </w:r>
      <w:r>
        <w:rPr>
          <w:rFonts w:ascii="Abadi" w:hAnsi="Abadi" w:cs="ArialMT"/>
          <w:sz w:val="21"/>
          <w:szCs w:val="21"/>
        </w:rPr>
        <w:t xml:space="preserve"> </w:t>
      </w:r>
      <w:r w:rsidRPr="0003104D">
        <w:rPr>
          <w:rFonts w:ascii="Abadi" w:hAnsi="Abadi" w:cs="ArialMT"/>
          <w:sz w:val="21"/>
          <w:szCs w:val="21"/>
        </w:rPr>
        <w:t>del Órgano Interno de Control del Instituto de Acceso a la Información</w:t>
      </w:r>
      <w:r>
        <w:rPr>
          <w:rFonts w:ascii="Abadi" w:hAnsi="Abadi" w:cs="ArialMT"/>
          <w:sz w:val="21"/>
          <w:szCs w:val="21"/>
        </w:rPr>
        <w:t xml:space="preserve"> </w:t>
      </w:r>
      <w:r w:rsidRPr="0003104D">
        <w:rPr>
          <w:rFonts w:ascii="Abadi" w:hAnsi="Abadi" w:cs="ArialMT"/>
          <w:sz w:val="21"/>
          <w:szCs w:val="21"/>
        </w:rPr>
        <w:t>Pública para el Estado de Guanajuato, formulada por el Pleno de dicho</w:t>
      </w:r>
      <w:r>
        <w:rPr>
          <w:rFonts w:ascii="Abadi" w:hAnsi="Abadi" w:cs="ArialMT"/>
          <w:sz w:val="21"/>
          <w:szCs w:val="21"/>
        </w:rPr>
        <w:t xml:space="preserve"> </w:t>
      </w:r>
      <w:r w:rsidRPr="0003104D">
        <w:rPr>
          <w:rFonts w:ascii="Abadi" w:hAnsi="Abadi" w:cs="ArialMT"/>
          <w:sz w:val="21"/>
          <w:szCs w:val="21"/>
        </w:rPr>
        <w:t>Instituto.</w:t>
      </w:r>
      <w:r>
        <w:rPr>
          <w:rFonts w:ascii="Abadi" w:hAnsi="Abadi" w:cs="ArialMT"/>
          <w:sz w:val="21"/>
          <w:szCs w:val="21"/>
        </w:rPr>
        <w:t xml:space="preserve"> </w:t>
      </w:r>
      <w:r w:rsidRPr="00D43D5C">
        <w:rPr>
          <w:rFonts w:ascii="Abadi" w:hAnsi="Abadi" w:cs="ArialMT"/>
          <w:b/>
          <w:bCs/>
          <w:sz w:val="21"/>
          <w:szCs w:val="21"/>
        </w:rPr>
        <w:t>IV.</w:t>
      </w:r>
      <w:r>
        <w:rPr>
          <w:rFonts w:ascii="Abadi" w:hAnsi="Abadi" w:cs="ArialMT"/>
          <w:sz w:val="21"/>
          <w:szCs w:val="21"/>
        </w:rPr>
        <w:t xml:space="preserve"> </w:t>
      </w:r>
      <w:r w:rsidRPr="0003104D">
        <w:rPr>
          <w:rFonts w:ascii="Abadi" w:hAnsi="Abadi" w:cs="ArialMT"/>
          <w:sz w:val="21"/>
          <w:szCs w:val="21"/>
        </w:rPr>
        <w:t>Presentación de la iniciativa suscrita por diputadas y diputados integrantes</w:t>
      </w:r>
      <w:r>
        <w:rPr>
          <w:rFonts w:ascii="Abadi" w:hAnsi="Abadi" w:cs="ArialMT"/>
          <w:sz w:val="21"/>
          <w:szCs w:val="21"/>
        </w:rPr>
        <w:t xml:space="preserve"> </w:t>
      </w:r>
      <w:r w:rsidRPr="0003104D">
        <w:rPr>
          <w:rFonts w:ascii="Abadi" w:hAnsi="Abadi" w:cs="ArialMT"/>
          <w:sz w:val="21"/>
          <w:szCs w:val="21"/>
        </w:rPr>
        <w:t>del Grupo Parlamentario del Partido Acción Nacional a efecto de adicionarlos párrafos cuarto y quinto al artículo 14, recorriéndose en su orden los</w:t>
      </w:r>
      <w:r>
        <w:rPr>
          <w:rFonts w:ascii="Abadi" w:hAnsi="Abadi" w:cs="ArialMT"/>
          <w:sz w:val="21"/>
          <w:szCs w:val="21"/>
        </w:rPr>
        <w:t xml:space="preserve"> </w:t>
      </w:r>
      <w:r w:rsidRPr="0003104D">
        <w:rPr>
          <w:rFonts w:ascii="Abadi" w:hAnsi="Abadi" w:cs="ArialMT"/>
          <w:sz w:val="21"/>
          <w:szCs w:val="21"/>
        </w:rPr>
        <w:t>subsecuentes, de la Ley de Instituciones y Procedimientos Electorales</w:t>
      </w:r>
      <w:r>
        <w:rPr>
          <w:rFonts w:ascii="Abadi" w:hAnsi="Abadi" w:cs="ArialMT"/>
          <w:sz w:val="21"/>
          <w:szCs w:val="21"/>
        </w:rPr>
        <w:t xml:space="preserve"> </w:t>
      </w:r>
      <w:r w:rsidRPr="0003104D">
        <w:rPr>
          <w:rFonts w:ascii="Abadi" w:hAnsi="Abadi" w:cs="ArialMT"/>
          <w:sz w:val="21"/>
          <w:szCs w:val="21"/>
        </w:rPr>
        <w:t>para el Estado de Guanajuato.</w:t>
      </w:r>
      <w:r>
        <w:rPr>
          <w:rFonts w:ascii="Abadi" w:hAnsi="Abadi" w:cs="ArialMT"/>
          <w:sz w:val="21"/>
          <w:szCs w:val="21"/>
        </w:rPr>
        <w:t xml:space="preserve"> </w:t>
      </w:r>
      <w:r w:rsidRPr="00D43D5C">
        <w:rPr>
          <w:rFonts w:ascii="Abadi" w:hAnsi="Abadi" w:cs="ArialMT"/>
          <w:b/>
          <w:bCs/>
          <w:sz w:val="21"/>
          <w:szCs w:val="21"/>
        </w:rPr>
        <w:t>V.</w:t>
      </w:r>
      <w:r>
        <w:rPr>
          <w:rFonts w:ascii="Abadi" w:hAnsi="Abadi" w:cs="ArialMT"/>
          <w:sz w:val="21"/>
          <w:szCs w:val="21"/>
        </w:rPr>
        <w:t xml:space="preserve"> </w:t>
      </w:r>
      <w:r w:rsidRPr="0003104D">
        <w:rPr>
          <w:rFonts w:ascii="Abadi" w:hAnsi="Abadi" w:cs="ArialMT"/>
          <w:sz w:val="21"/>
          <w:szCs w:val="21"/>
        </w:rPr>
        <w:t>Presentación de la iniciativa por la que se reforman, adicionan y derogan</w:t>
      </w:r>
      <w:r>
        <w:rPr>
          <w:rFonts w:ascii="Abadi" w:hAnsi="Abadi" w:cs="ArialMT"/>
          <w:sz w:val="21"/>
          <w:szCs w:val="21"/>
        </w:rPr>
        <w:t xml:space="preserve"> </w:t>
      </w:r>
      <w:r w:rsidRPr="0003104D">
        <w:rPr>
          <w:rFonts w:ascii="Abadi" w:hAnsi="Abadi" w:cs="ArialMT"/>
          <w:sz w:val="21"/>
          <w:szCs w:val="21"/>
        </w:rPr>
        <w:t>diversas disposiciones de la Ley de Acceso de las Mujeres a una Vida</w:t>
      </w:r>
      <w:r>
        <w:rPr>
          <w:rFonts w:ascii="Abadi" w:hAnsi="Abadi" w:cs="ArialMT"/>
          <w:sz w:val="21"/>
          <w:szCs w:val="21"/>
        </w:rPr>
        <w:t xml:space="preserve"> </w:t>
      </w:r>
      <w:r w:rsidRPr="0003104D">
        <w:rPr>
          <w:rFonts w:ascii="Abadi" w:hAnsi="Abadi" w:cs="ArialMT"/>
          <w:sz w:val="21"/>
          <w:szCs w:val="21"/>
        </w:rPr>
        <w:t>Libre de Violencia para el Estado de Guanajuato, formulada por la</w:t>
      </w:r>
      <w:r>
        <w:rPr>
          <w:rFonts w:ascii="Abadi" w:hAnsi="Abadi" w:cs="ArialMT"/>
          <w:sz w:val="21"/>
          <w:szCs w:val="21"/>
        </w:rPr>
        <w:t xml:space="preserve"> </w:t>
      </w:r>
      <w:r w:rsidRPr="0003104D">
        <w:rPr>
          <w:rFonts w:ascii="Abadi" w:hAnsi="Abadi" w:cs="ArialMT"/>
          <w:sz w:val="21"/>
          <w:szCs w:val="21"/>
        </w:rPr>
        <w:t>diputada Martha Edith Moreno Valencia y el diputado David Martínez</w:t>
      </w:r>
      <w:r>
        <w:rPr>
          <w:rFonts w:ascii="Abadi" w:hAnsi="Abadi" w:cs="ArialMT"/>
          <w:sz w:val="21"/>
          <w:szCs w:val="21"/>
        </w:rPr>
        <w:t xml:space="preserve"> </w:t>
      </w:r>
      <w:r w:rsidRPr="0003104D">
        <w:rPr>
          <w:rFonts w:ascii="Abadi" w:hAnsi="Abadi" w:cs="ArialMT"/>
          <w:sz w:val="21"/>
          <w:szCs w:val="21"/>
        </w:rPr>
        <w:t>Mendizábal integrantes del Grupo Parlamentario del Partido MORENA.</w:t>
      </w:r>
      <w:r>
        <w:rPr>
          <w:rFonts w:ascii="Abadi" w:hAnsi="Abadi" w:cs="ArialMT"/>
          <w:sz w:val="21"/>
          <w:szCs w:val="21"/>
        </w:rPr>
        <w:t xml:space="preserve"> </w:t>
      </w:r>
      <w:r w:rsidRPr="00D43D5C">
        <w:rPr>
          <w:rFonts w:ascii="Abadi" w:hAnsi="Abadi" w:cs="ArialMT"/>
          <w:b/>
          <w:bCs/>
          <w:sz w:val="21"/>
          <w:szCs w:val="21"/>
        </w:rPr>
        <w:t>VI.</w:t>
      </w:r>
      <w:r>
        <w:rPr>
          <w:rFonts w:ascii="Abadi" w:hAnsi="Abadi" w:cs="ArialMT"/>
          <w:sz w:val="21"/>
          <w:szCs w:val="21"/>
        </w:rPr>
        <w:t xml:space="preserve"> </w:t>
      </w:r>
      <w:r w:rsidRPr="0003104D">
        <w:rPr>
          <w:rFonts w:ascii="Abadi" w:hAnsi="Abadi" w:cs="ArialMT"/>
          <w:sz w:val="21"/>
          <w:szCs w:val="21"/>
        </w:rPr>
        <w:t>Presentación de la iniciativa de Ley para la Detección y Tratamiento</w:t>
      </w:r>
      <w:r>
        <w:rPr>
          <w:rFonts w:ascii="Abadi" w:hAnsi="Abadi" w:cs="ArialMT"/>
          <w:sz w:val="21"/>
          <w:szCs w:val="21"/>
        </w:rPr>
        <w:t xml:space="preserve"> </w:t>
      </w:r>
      <w:r w:rsidRPr="0003104D">
        <w:rPr>
          <w:rFonts w:ascii="Abadi" w:hAnsi="Abadi" w:cs="ArialMT"/>
          <w:sz w:val="21"/>
          <w:szCs w:val="21"/>
        </w:rPr>
        <w:t>Oportuno e Integral del Cáncer en la infancia y la adolescencia para el</w:t>
      </w:r>
      <w:r>
        <w:rPr>
          <w:rFonts w:ascii="Abadi" w:hAnsi="Abadi" w:cs="ArialMT"/>
          <w:sz w:val="21"/>
          <w:szCs w:val="21"/>
        </w:rPr>
        <w:t xml:space="preserve"> </w:t>
      </w:r>
      <w:r w:rsidRPr="0003104D">
        <w:rPr>
          <w:rFonts w:ascii="Abadi" w:hAnsi="Abadi" w:cs="ArialMT"/>
          <w:sz w:val="21"/>
          <w:szCs w:val="21"/>
        </w:rPr>
        <w:t xml:space="preserve">Estado de Guanajuato, suscrita por la diputada Dessire </w:t>
      </w:r>
      <w:proofErr w:type="spellStart"/>
      <w:r w:rsidRPr="0003104D">
        <w:rPr>
          <w:rFonts w:ascii="Abadi" w:hAnsi="Abadi" w:cs="ArialMT"/>
          <w:sz w:val="21"/>
          <w:szCs w:val="21"/>
        </w:rPr>
        <w:t>Angel</w:t>
      </w:r>
      <w:proofErr w:type="spellEnd"/>
      <w:r w:rsidRPr="0003104D">
        <w:rPr>
          <w:rFonts w:ascii="Abadi" w:hAnsi="Abadi" w:cs="ArialMT"/>
          <w:sz w:val="21"/>
          <w:szCs w:val="21"/>
        </w:rPr>
        <w:t xml:space="preserve"> Rocha de la</w:t>
      </w:r>
      <w:r>
        <w:rPr>
          <w:rFonts w:ascii="Abadi" w:hAnsi="Abadi" w:cs="ArialMT"/>
          <w:sz w:val="21"/>
          <w:szCs w:val="21"/>
        </w:rPr>
        <w:t xml:space="preserve"> </w:t>
      </w:r>
      <w:r w:rsidRPr="0003104D">
        <w:rPr>
          <w:rFonts w:ascii="Abadi" w:hAnsi="Abadi" w:cs="ArialMT"/>
          <w:sz w:val="21"/>
          <w:szCs w:val="21"/>
        </w:rPr>
        <w:t>Representación Parlamentaria del Partido Movimiento Ciudadano.</w:t>
      </w:r>
      <w:r>
        <w:rPr>
          <w:rFonts w:ascii="Abadi" w:hAnsi="Abadi" w:cs="ArialMT"/>
          <w:sz w:val="21"/>
          <w:szCs w:val="21"/>
        </w:rPr>
        <w:t xml:space="preserve"> </w:t>
      </w:r>
      <w:r w:rsidRPr="00D43D5C">
        <w:rPr>
          <w:rFonts w:ascii="Abadi" w:hAnsi="Abadi" w:cs="ArialMT"/>
          <w:b/>
          <w:bCs/>
          <w:sz w:val="21"/>
          <w:szCs w:val="21"/>
        </w:rPr>
        <w:t>VII.</w:t>
      </w:r>
      <w:r>
        <w:rPr>
          <w:rFonts w:ascii="Abadi" w:hAnsi="Abadi" w:cs="ArialMT"/>
          <w:sz w:val="21"/>
          <w:szCs w:val="21"/>
        </w:rPr>
        <w:t xml:space="preserve"> </w:t>
      </w:r>
      <w:r w:rsidRPr="0003104D">
        <w:rPr>
          <w:rFonts w:ascii="Abadi" w:hAnsi="Abadi" w:cs="ArialMT"/>
          <w:sz w:val="21"/>
          <w:szCs w:val="21"/>
        </w:rPr>
        <w:t>Presentación de los informes de resultados formulados por la Auditoría</w:t>
      </w:r>
      <w:r>
        <w:rPr>
          <w:rFonts w:ascii="Abadi" w:hAnsi="Abadi" w:cs="ArialMT"/>
          <w:sz w:val="21"/>
          <w:szCs w:val="21"/>
        </w:rPr>
        <w:t xml:space="preserve"> </w:t>
      </w:r>
      <w:r w:rsidRPr="0003104D">
        <w:rPr>
          <w:rFonts w:ascii="Abadi" w:hAnsi="Abadi" w:cs="ArialMT"/>
          <w:sz w:val="21"/>
          <w:szCs w:val="21"/>
        </w:rPr>
        <w:t>Superior del Estado de Guanajuato relativos a la revisión practicada a la</w:t>
      </w:r>
      <w:r>
        <w:rPr>
          <w:rFonts w:ascii="Abadi" w:hAnsi="Abadi" w:cs="ArialMT"/>
          <w:sz w:val="21"/>
          <w:szCs w:val="21"/>
        </w:rPr>
        <w:t xml:space="preserve"> </w:t>
      </w:r>
      <w:r w:rsidRPr="0003104D">
        <w:rPr>
          <w:rFonts w:ascii="Abadi" w:hAnsi="Abadi" w:cs="ArialMT"/>
          <w:sz w:val="21"/>
          <w:szCs w:val="21"/>
        </w:rPr>
        <w:t>cuenta pública municipal de Yuriria; así como a la auditoría practicada a la</w:t>
      </w:r>
      <w:r>
        <w:rPr>
          <w:rFonts w:ascii="Abadi" w:hAnsi="Abadi" w:cs="ArialMT"/>
          <w:sz w:val="21"/>
          <w:szCs w:val="21"/>
        </w:rPr>
        <w:t xml:space="preserve"> </w:t>
      </w:r>
      <w:r w:rsidRPr="0003104D">
        <w:rPr>
          <w:rFonts w:ascii="Abadi" w:hAnsi="Abadi" w:cs="ArialMT"/>
          <w:sz w:val="21"/>
          <w:szCs w:val="21"/>
        </w:rPr>
        <w:t>infraestructura pública municipal, respecto a las operaciones realizadas</w:t>
      </w:r>
      <w:r>
        <w:rPr>
          <w:rFonts w:ascii="Abadi" w:hAnsi="Abadi" w:cs="ArialMT"/>
          <w:sz w:val="21"/>
          <w:szCs w:val="21"/>
        </w:rPr>
        <w:t xml:space="preserve"> </w:t>
      </w:r>
      <w:r w:rsidRPr="0003104D">
        <w:rPr>
          <w:rFonts w:ascii="Abadi" w:hAnsi="Abadi" w:cs="ArialMT"/>
          <w:sz w:val="21"/>
          <w:szCs w:val="21"/>
        </w:rPr>
        <w:t>por la administración municipal de Irapuato, correspondientes al ejercicio</w:t>
      </w:r>
      <w:r>
        <w:rPr>
          <w:rFonts w:ascii="Abadi" w:hAnsi="Abadi" w:cs="ArialMT"/>
          <w:sz w:val="21"/>
          <w:szCs w:val="21"/>
        </w:rPr>
        <w:t xml:space="preserve"> </w:t>
      </w:r>
      <w:r w:rsidRPr="0003104D">
        <w:rPr>
          <w:rFonts w:ascii="Abadi" w:hAnsi="Abadi" w:cs="ArialMT"/>
          <w:sz w:val="21"/>
          <w:szCs w:val="21"/>
        </w:rPr>
        <w:t>fiscal del año 2020.</w:t>
      </w:r>
      <w:r>
        <w:rPr>
          <w:rFonts w:ascii="Abadi" w:hAnsi="Abadi" w:cs="ArialMT"/>
          <w:sz w:val="21"/>
          <w:szCs w:val="21"/>
        </w:rPr>
        <w:t xml:space="preserve"> </w:t>
      </w:r>
      <w:r w:rsidRPr="00D43D5C">
        <w:rPr>
          <w:rFonts w:ascii="Abadi" w:hAnsi="Abadi" w:cs="ArialMT"/>
          <w:b/>
          <w:bCs/>
          <w:sz w:val="21"/>
          <w:szCs w:val="21"/>
        </w:rPr>
        <w:t>VIII.</w:t>
      </w:r>
      <w:r>
        <w:rPr>
          <w:rFonts w:ascii="Abadi" w:hAnsi="Abadi" w:cs="ArialMT"/>
          <w:sz w:val="21"/>
          <w:szCs w:val="21"/>
        </w:rPr>
        <w:t xml:space="preserve"> </w:t>
      </w:r>
      <w:r w:rsidRPr="0003104D">
        <w:rPr>
          <w:rFonts w:ascii="Abadi" w:hAnsi="Abadi" w:cs="ArialMT"/>
          <w:sz w:val="21"/>
          <w:szCs w:val="21"/>
        </w:rPr>
        <w:t>Presentación de la propuesta de punto de acuerdo suscrita por diputadas y</w:t>
      </w:r>
      <w:r>
        <w:rPr>
          <w:rFonts w:ascii="Abadi" w:hAnsi="Abadi" w:cs="ArialMT"/>
          <w:sz w:val="21"/>
          <w:szCs w:val="21"/>
        </w:rPr>
        <w:t xml:space="preserve"> </w:t>
      </w:r>
      <w:r w:rsidRPr="0003104D">
        <w:rPr>
          <w:rFonts w:ascii="Abadi" w:hAnsi="Abadi" w:cs="ArialMT"/>
          <w:sz w:val="21"/>
          <w:szCs w:val="21"/>
        </w:rPr>
        <w:t>diputados integrantes del Grupo Parlamentario del Partido Acción Nacional</w:t>
      </w:r>
      <w:r>
        <w:rPr>
          <w:rFonts w:ascii="Abadi" w:hAnsi="Abadi" w:cs="ArialMT"/>
          <w:sz w:val="21"/>
          <w:szCs w:val="21"/>
        </w:rPr>
        <w:t xml:space="preserve"> </w:t>
      </w:r>
      <w:r w:rsidRPr="0003104D">
        <w:rPr>
          <w:rFonts w:ascii="Abadi" w:hAnsi="Abadi" w:cs="ArialMT"/>
          <w:sz w:val="21"/>
          <w:szCs w:val="21"/>
        </w:rPr>
        <w:t>a fin de exhortar a la Secretaría de Gobernación para que atienda con las</w:t>
      </w:r>
      <w:r>
        <w:rPr>
          <w:rFonts w:ascii="Abadi" w:hAnsi="Abadi" w:cs="ArialMT"/>
          <w:sz w:val="21"/>
          <w:szCs w:val="21"/>
        </w:rPr>
        <w:t xml:space="preserve"> </w:t>
      </w:r>
      <w:r w:rsidRPr="0003104D">
        <w:rPr>
          <w:rFonts w:ascii="Abadi" w:hAnsi="Abadi" w:cs="ArialMT"/>
          <w:sz w:val="21"/>
          <w:szCs w:val="21"/>
        </w:rPr>
        <w:t>medidas de prevención y urgentes las solicitudes de las y los activistas</w:t>
      </w:r>
      <w:r>
        <w:rPr>
          <w:rFonts w:ascii="Abadi" w:hAnsi="Abadi" w:cs="ArialMT"/>
          <w:sz w:val="21"/>
          <w:szCs w:val="21"/>
        </w:rPr>
        <w:t xml:space="preserve"> </w:t>
      </w:r>
      <w:r w:rsidRPr="0003104D">
        <w:rPr>
          <w:rFonts w:ascii="Abadi" w:hAnsi="Abadi" w:cs="ArialMT"/>
          <w:sz w:val="21"/>
          <w:szCs w:val="21"/>
        </w:rPr>
        <w:t>ambientalistas de México.</w:t>
      </w:r>
      <w:r>
        <w:rPr>
          <w:rFonts w:ascii="Abadi" w:hAnsi="Abadi" w:cs="ArialMT"/>
          <w:sz w:val="21"/>
          <w:szCs w:val="21"/>
        </w:rPr>
        <w:t xml:space="preserve"> </w:t>
      </w:r>
      <w:r w:rsidRPr="00D43D5C">
        <w:rPr>
          <w:rFonts w:ascii="Abadi" w:hAnsi="Abadi" w:cs="ArialMT"/>
          <w:b/>
          <w:bCs/>
          <w:sz w:val="21"/>
          <w:szCs w:val="21"/>
        </w:rPr>
        <w:t>XIX.</w:t>
      </w:r>
      <w:r>
        <w:rPr>
          <w:rFonts w:ascii="Abadi" w:hAnsi="Abadi" w:cs="ArialMT"/>
          <w:sz w:val="21"/>
          <w:szCs w:val="21"/>
        </w:rPr>
        <w:t xml:space="preserve"> </w:t>
      </w:r>
      <w:r w:rsidRPr="0003104D">
        <w:rPr>
          <w:rFonts w:ascii="Abadi" w:hAnsi="Abadi" w:cs="ArialMT"/>
          <w:sz w:val="21"/>
          <w:szCs w:val="21"/>
        </w:rPr>
        <w:t>Presentación de la propuesta de punto de acuerdo formulada por</w:t>
      </w:r>
      <w:r>
        <w:rPr>
          <w:rFonts w:ascii="Abadi" w:hAnsi="Abadi" w:cs="ArialMT"/>
          <w:sz w:val="21"/>
          <w:szCs w:val="21"/>
        </w:rPr>
        <w:t xml:space="preserve"> </w:t>
      </w:r>
      <w:r w:rsidRPr="0003104D">
        <w:rPr>
          <w:rFonts w:ascii="Abadi" w:hAnsi="Abadi" w:cs="ArialMT"/>
          <w:sz w:val="21"/>
          <w:szCs w:val="21"/>
        </w:rPr>
        <w:t>diputadas y diputados integrantes del Grupo Parlamentario del Partido</w:t>
      </w:r>
      <w:r>
        <w:rPr>
          <w:rFonts w:ascii="Abadi" w:hAnsi="Abadi" w:cs="ArialMT"/>
          <w:sz w:val="21"/>
          <w:szCs w:val="21"/>
        </w:rPr>
        <w:t xml:space="preserve"> </w:t>
      </w:r>
      <w:r w:rsidRPr="0003104D">
        <w:rPr>
          <w:rFonts w:ascii="Abadi" w:hAnsi="Abadi" w:cs="ArialMT"/>
          <w:sz w:val="21"/>
          <w:szCs w:val="21"/>
        </w:rPr>
        <w:t>MORENA a efecto de exhortar al Fiscal General de Guanajuato Carlos</w:t>
      </w:r>
      <w:r>
        <w:rPr>
          <w:rFonts w:ascii="Abadi" w:hAnsi="Abadi" w:cs="ArialMT"/>
          <w:sz w:val="21"/>
          <w:szCs w:val="21"/>
        </w:rPr>
        <w:t xml:space="preserve"> </w:t>
      </w:r>
      <w:r w:rsidRPr="0003104D">
        <w:rPr>
          <w:rFonts w:ascii="Abadi" w:hAnsi="Abadi" w:cs="ArialMT"/>
          <w:sz w:val="21"/>
          <w:szCs w:val="21"/>
        </w:rPr>
        <w:t xml:space="preserve">Zamarripa para que la Fiscalía a su cargo obre bajo el principio </w:t>
      </w:r>
      <w:r w:rsidRPr="0003104D">
        <w:rPr>
          <w:rFonts w:ascii="Abadi" w:hAnsi="Abadi" w:cs="ArialMT"/>
          <w:sz w:val="21"/>
          <w:szCs w:val="21"/>
        </w:rPr>
        <w:t>de máxima</w:t>
      </w:r>
      <w:r>
        <w:rPr>
          <w:rFonts w:ascii="Abadi" w:hAnsi="Abadi" w:cs="ArialMT"/>
          <w:sz w:val="21"/>
          <w:szCs w:val="21"/>
        </w:rPr>
        <w:t xml:space="preserve"> </w:t>
      </w:r>
      <w:r w:rsidRPr="0003104D">
        <w:rPr>
          <w:rFonts w:ascii="Abadi" w:hAnsi="Abadi" w:cs="ArialMT"/>
          <w:sz w:val="21"/>
          <w:szCs w:val="21"/>
        </w:rPr>
        <w:t>publicidad con respecto al derecho a la información sobre todos los</w:t>
      </w:r>
      <w:r>
        <w:rPr>
          <w:rFonts w:ascii="Abadi" w:hAnsi="Abadi" w:cs="ArialMT"/>
          <w:sz w:val="21"/>
          <w:szCs w:val="21"/>
        </w:rPr>
        <w:t xml:space="preserve"> </w:t>
      </w:r>
      <w:r w:rsidRPr="0003104D">
        <w:rPr>
          <w:rFonts w:ascii="Abadi" w:hAnsi="Abadi" w:cs="ArialMT"/>
          <w:sz w:val="21"/>
          <w:szCs w:val="21"/>
        </w:rPr>
        <w:t>contextos de hallazgo, incluyendo en particular las fosas clandestinas de</w:t>
      </w:r>
      <w:r>
        <w:rPr>
          <w:rFonts w:ascii="Abadi" w:hAnsi="Abadi" w:cs="ArialMT"/>
          <w:sz w:val="21"/>
          <w:szCs w:val="21"/>
        </w:rPr>
        <w:t xml:space="preserve"> </w:t>
      </w:r>
      <w:r w:rsidRPr="0003104D">
        <w:rPr>
          <w:rFonts w:ascii="Abadi" w:hAnsi="Abadi" w:cs="ArialMT"/>
          <w:sz w:val="21"/>
          <w:szCs w:val="21"/>
        </w:rPr>
        <w:t>los que tiene conocimiento y homologue consecuentemente los datos del</w:t>
      </w:r>
      <w:r>
        <w:rPr>
          <w:rFonts w:ascii="Abadi" w:hAnsi="Abadi" w:cs="ArialMT"/>
          <w:sz w:val="21"/>
          <w:szCs w:val="21"/>
        </w:rPr>
        <w:t xml:space="preserve"> </w:t>
      </w:r>
      <w:r w:rsidRPr="0003104D">
        <w:rPr>
          <w:rFonts w:ascii="Abadi" w:hAnsi="Abadi" w:cs="Arial-ItalicMT"/>
          <w:i/>
          <w:iCs/>
          <w:sz w:val="21"/>
          <w:szCs w:val="21"/>
        </w:rPr>
        <w:t xml:space="preserve">mapa </w:t>
      </w:r>
      <w:r w:rsidRPr="0003104D">
        <w:rPr>
          <w:rFonts w:ascii="Abadi" w:hAnsi="Abadi" w:cs="ArialMT"/>
          <w:sz w:val="21"/>
          <w:szCs w:val="21"/>
        </w:rPr>
        <w:t>que aparecen en su página oficial.</w:t>
      </w:r>
      <w:r>
        <w:rPr>
          <w:rFonts w:ascii="Abadi" w:hAnsi="Abadi" w:cs="ArialMT"/>
          <w:sz w:val="21"/>
          <w:szCs w:val="21"/>
        </w:rPr>
        <w:t xml:space="preserve"> </w:t>
      </w:r>
      <w:r w:rsidRPr="00D43D5C">
        <w:rPr>
          <w:rFonts w:ascii="Abadi" w:hAnsi="Abadi" w:cs="ArialMT"/>
          <w:b/>
          <w:bCs/>
          <w:sz w:val="21"/>
          <w:szCs w:val="21"/>
        </w:rPr>
        <w:t>X.</w:t>
      </w:r>
      <w:r>
        <w:rPr>
          <w:rFonts w:ascii="Abadi" w:hAnsi="Abadi" w:cs="ArialMT"/>
          <w:sz w:val="21"/>
          <w:szCs w:val="21"/>
        </w:rPr>
        <w:t xml:space="preserve"> </w:t>
      </w:r>
      <w:r w:rsidRPr="0003104D">
        <w:rPr>
          <w:rFonts w:ascii="Abadi" w:hAnsi="Abadi" w:cs="ArialMT"/>
          <w:sz w:val="21"/>
          <w:szCs w:val="21"/>
        </w:rPr>
        <w:t>Presentación de la propuesta de punto de acuerdo de obvia resolución</w:t>
      </w:r>
      <w:r>
        <w:rPr>
          <w:rFonts w:ascii="Abadi" w:hAnsi="Abadi" w:cs="ArialMT"/>
          <w:sz w:val="21"/>
          <w:szCs w:val="21"/>
        </w:rPr>
        <w:t xml:space="preserve"> </w:t>
      </w:r>
      <w:r w:rsidRPr="0003104D">
        <w:rPr>
          <w:rFonts w:ascii="Abadi" w:hAnsi="Abadi" w:cs="ArialMT"/>
          <w:sz w:val="21"/>
          <w:szCs w:val="21"/>
        </w:rPr>
        <w:t>formulada por diputadas y diputados integrantes del Grupo Parlamentario</w:t>
      </w:r>
      <w:r>
        <w:rPr>
          <w:rFonts w:ascii="Abadi" w:hAnsi="Abadi" w:cs="ArialMT"/>
          <w:sz w:val="21"/>
          <w:szCs w:val="21"/>
        </w:rPr>
        <w:t xml:space="preserve"> </w:t>
      </w:r>
      <w:r w:rsidRPr="0003104D">
        <w:rPr>
          <w:rFonts w:ascii="Abadi" w:hAnsi="Abadi" w:cs="ArialMT"/>
          <w:sz w:val="21"/>
          <w:szCs w:val="21"/>
        </w:rPr>
        <w:t>del Partido Acción Nacional por el que se exhorta al Presidente de la</w:t>
      </w:r>
      <w:r>
        <w:rPr>
          <w:rFonts w:ascii="Abadi" w:hAnsi="Abadi" w:cs="ArialMT"/>
          <w:sz w:val="21"/>
          <w:szCs w:val="21"/>
        </w:rPr>
        <w:t xml:space="preserve"> </w:t>
      </w:r>
      <w:r w:rsidRPr="0003104D">
        <w:rPr>
          <w:rFonts w:ascii="Abadi" w:hAnsi="Abadi" w:cs="ArialMT"/>
          <w:sz w:val="21"/>
          <w:szCs w:val="21"/>
        </w:rPr>
        <w:t>República para que diseñe urgentemente una estrategia de seguridad</w:t>
      </w:r>
      <w:r>
        <w:rPr>
          <w:rFonts w:ascii="Abadi" w:hAnsi="Abadi" w:cs="ArialMT"/>
          <w:sz w:val="21"/>
          <w:szCs w:val="21"/>
        </w:rPr>
        <w:t xml:space="preserve"> </w:t>
      </w:r>
      <w:r w:rsidRPr="0003104D">
        <w:rPr>
          <w:rFonts w:ascii="Abadi" w:hAnsi="Abadi" w:cs="ArialMT"/>
          <w:sz w:val="21"/>
          <w:szCs w:val="21"/>
        </w:rPr>
        <w:t>pública integral y de alcance nacional. Asimismo, para que, en su carácter</w:t>
      </w:r>
      <w:r>
        <w:rPr>
          <w:rFonts w:ascii="Abadi" w:hAnsi="Abadi" w:cs="ArialMT"/>
          <w:sz w:val="21"/>
          <w:szCs w:val="21"/>
        </w:rPr>
        <w:t xml:space="preserve"> </w:t>
      </w:r>
      <w:r w:rsidRPr="0003104D">
        <w:rPr>
          <w:rFonts w:ascii="Abadi" w:hAnsi="Abadi" w:cs="ArialMT"/>
          <w:sz w:val="21"/>
          <w:szCs w:val="21"/>
        </w:rPr>
        <w:t>de Jefe Supremo de las Fuerzas Armadas, proteja la vida de sus</w:t>
      </w:r>
      <w:r>
        <w:rPr>
          <w:rFonts w:ascii="Abadi" w:hAnsi="Abadi" w:cs="ArialMT"/>
          <w:sz w:val="21"/>
          <w:szCs w:val="21"/>
        </w:rPr>
        <w:t xml:space="preserve"> </w:t>
      </w:r>
      <w:r w:rsidRPr="0003104D">
        <w:rPr>
          <w:rFonts w:ascii="Abadi" w:hAnsi="Abadi" w:cs="ArialMT"/>
          <w:sz w:val="21"/>
          <w:szCs w:val="21"/>
        </w:rPr>
        <w:t>elementos, así como de los integrantes de la Guardia Nacional y, en su</w:t>
      </w:r>
      <w:r>
        <w:rPr>
          <w:rFonts w:ascii="Abadi" w:hAnsi="Abadi" w:cs="ArialMT"/>
          <w:sz w:val="21"/>
          <w:szCs w:val="21"/>
        </w:rPr>
        <w:t xml:space="preserve"> </w:t>
      </w:r>
      <w:r w:rsidRPr="0003104D">
        <w:rPr>
          <w:rFonts w:ascii="Abadi" w:hAnsi="Abadi" w:cs="ArialMT"/>
          <w:sz w:val="21"/>
          <w:szCs w:val="21"/>
        </w:rPr>
        <w:t>caso, aprobación de la misma.</w:t>
      </w:r>
      <w:r>
        <w:rPr>
          <w:rFonts w:ascii="Abadi" w:hAnsi="Abadi" w:cs="ArialMT"/>
          <w:sz w:val="21"/>
          <w:szCs w:val="21"/>
        </w:rPr>
        <w:t xml:space="preserve"> </w:t>
      </w:r>
      <w:r w:rsidRPr="00D43D5C">
        <w:rPr>
          <w:rFonts w:ascii="Abadi" w:hAnsi="Abadi" w:cs="ArialMT"/>
          <w:b/>
          <w:bCs/>
          <w:sz w:val="21"/>
          <w:szCs w:val="21"/>
        </w:rPr>
        <w:t>XI.</w:t>
      </w:r>
      <w:r>
        <w:rPr>
          <w:rFonts w:ascii="Abadi" w:hAnsi="Abadi" w:cs="ArialMT"/>
          <w:sz w:val="21"/>
          <w:szCs w:val="21"/>
        </w:rPr>
        <w:t xml:space="preserve"> </w:t>
      </w:r>
      <w:r w:rsidRPr="0003104D">
        <w:rPr>
          <w:rFonts w:ascii="Abadi" w:hAnsi="Abadi" w:cs="ArialMT"/>
          <w:sz w:val="21"/>
          <w:szCs w:val="21"/>
        </w:rPr>
        <w:t>Presentación de la propuesta de punto de acuerdo de obvia resolución</w:t>
      </w:r>
      <w:r>
        <w:rPr>
          <w:rFonts w:ascii="Abadi" w:hAnsi="Abadi" w:cs="ArialMT"/>
          <w:sz w:val="21"/>
          <w:szCs w:val="21"/>
        </w:rPr>
        <w:t xml:space="preserve"> </w:t>
      </w:r>
      <w:r w:rsidRPr="0003104D">
        <w:rPr>
          <w:rFonts w:ascii="Abadi" w:hAnsi="Abadi" w:cs="ArialMT"/>
          <w:sz w:val="21"/>
          <w:szCs w:val="21"/>
        </w:rPr>
        <w:t>suscrita por diputadas y diputados integrantes del Grupo Parlamentario del</w:t>
      </w:r>
      <w:r>
        <w:rPr>
          <w:rFonts w:ascii="Abadi" w:hAnsi="Abadi" w:cs="ArialMT"/>
          <w:sz w:val="21"/>
          <w:szCs w:val="21"/>
        </w:rPr>
        <w:t xml:space="preserve"> </w:t>
      </w:r>
      <w:r w:rsidRPr="0003104D">
        <w:rPr>
          <w:rFonts w:ascii="Abadi" w:hAnsi="Abadi" w:cs="ArialMT"/>
          <w:sz w:val="21"/>
          <w:szCs w:val="21"/>
        </w:rPr>
        <w:t>Partido Acción Nacional a efecto de exhortar a los 46 ayuntamientos para</w:t>
      </w:r>
      <w:r>
        <w:rPr>
          <w:rFonts w:ascii="Abadi" w:hAnsi="Abadi" w:cs="ArialMT"/>
          <w:sz w:val="21"/>
          <w:szCs w:val="21"/>
        </w:rPr>
        <w:t xml:space="preserve"> </w:t>
      </w:r>
      <w:r w:rsidRPr="0003104D">
        <w:rPr>
          <w:rFonts w:ascii="Abadi" w:hAnsi="Abadi" w:cs="ArialMT"/>
          <w:sz w:val="21"/>
          <w:szCs w:val="21"/>
        </w:rPr>
        <w:t>que, en caso de no haberlo efectuado, realicen los nombramientos de los</w:t>
      </w:r>
      <w:r>
        <w:rPr>
          <w:rFonts w:ascii="Abadi" w:hAnsi="Abadi" w:cs="ArialMT"/>
          <w:sz w:val="21"/>
          <w:szCs w:val="21"/>
        </w:rPr>
        <w:t xml:space="preserve"> </w:t>
      </w:r>
      <w:r w:rsidRPr="0003104D">
        <w:rPr>
          <w:rFonts w:ascii="Abadi" w:hAnsi="Abadi" w:cs="ArialMT"/>
          <w:sz w:val="21"/>
          <w:szCs w:val="21"/>
        </w:rPr>
        <w:t>delegados y subdelegados y se informe a esta soberanía sobre los</w:t>
      </w:r>
      <w:r>
        <w:rPr>
          <w:rFonts w:ascii="Abadi" w:hAnsi="Abadi" w:cs="ArialMT"/>
          <w:sz w:val="21"/>
          <w:szCs w:val="21"/>
        </w:rPr>
        <w:t xml:space="preserve"> </w:t>
      </w:r>
      <w:r w:rsidRPr="0003104D">
        <w:rPr>
          <w:rFonts w:ascii="Abadi" w:hAnsi="Abadi" w:cs="ArialMT"/>
          <w:sz w:val="21"/>
          <w:szCs w:val="21"/>
        </w:rPr>
        <w:t>resultados y, en su caso, aprobación de la misma.</w:t>
      </w:r>
      <w:r>
        <w:rPr>
          <w:rFonts w:ascii="Abadi" w:hAnsi="Abadi" w:cs="ArialMT"/>
          <w:sz w:val="21"/>
          <w:szCs w:val="21"/>
        </w:rPr>
        <w:t xml:space="preserve"> </w:t>
      </w:r>
      <w:r w:rsidRPr="00D43D5C">
        <w:rPr>
          <w:rFonts w:ascii="Abadi" w:hAnsi="Abadi" w:cs="ArialMT"/>
          <w:b/>
          <w:bCs/>
          <w:sz w:val="21"/>
          <w:szCs w:val="21"/>
        </w:rPr>
        <w:t>XII.</w:t>
      </w:r>
      <w:r>
        <w:rPr>
          <w:rFonts w:ascii="Abadi" w:hAnsi="Abadi" w:cs="ArialMT"/>
          <w:sz w:val="21"/>
          <w:szCs w:val="21"/>
        </w:rPr>
        <w:t xml:space="preserve"> </w:t>
      </w:r>
      <w:r w:rsidRPr="0003104D">
        <w:rPr>
          <w:rFonts w:ascii="Abadi" w:hAnsi="Abadi" w:cs="ArialMT"/>
          <w:sz w:val="21"/>
          <w:szCs w:val="21"/>
        </w:rPr>
        <w:t>Presentación de la propuesta de punto de acuerdo de obvia resolución</w:t>
      </w:r>
      <w:r>
        <w:rPr>
          <w:rFonts w:ascii="Abadi" w:hAnsi="Abadi" w:cs="ArialMT"/>
          <w:sz w:val="21"/>
          <w:szCs w:val="21"/>
        </w:rPr>
        <w:t xml:space="preserve"> </w:t>
      </w:r>
      <w:r w:rsidRPr="0003104D">
        <w:rPr>
          <w:rFonts w:ascii="Abadi" w:hAnsi="Abadi" w:cs="ArialMT"/>
          <w:sz w:val="21"/>
          <w:szCs w:val="21"/>
        </w:rPr>
        <w:t>suscrita por el diputado Pablo Alonso Ripoll integrante del Grupo</w:t>
      </w:r>
      <w:r>
        <w:rPr>
          <w:rFonts w:ascii="Abadi" w:hAnsi="Abadi" w:cs="ArialMT"/>
          <w:sz w:val="21"/>
          <w:szCs w:val="21"/>
        </w:rPr>
        <w:t xml:space="preserve">  </w:t>
      </w:r>
      <w:r w:rsidRPr="0003104D">
        <w:rPr>
          <w:rFonts w:ascii="Abadi" w:hAnsi="Abadi" w:cs="ArialMT"/>
          <w:sz w:val="21"/>
          <w:szCs w:val="21"/>
        </w:rPr>
        <w:t>Parlamentario del Partido MORENA por la que se acuerda la creación de</w:t>
      </w:r>
      <w:r>
        <w:rPr>
          <w:rFonts w:ascii="Abadi" w:hAnsi="Abadi" w:cs="ArialMT"/>
          <w:sz w:val="21"/>
          <w:szCs w:val="21"/>
        </w:rPr>
        <w:t xml:space="preserve"> </w:t>
      </w:r>
      <w:r w:rsidRPr="0003104D">
        <w:rPr>
          <w:rFonts w:ascii="Abadi" w:hAnsi="Abadi" w:cs="ArialMT"/>
          <w:sz w:val="21"/>
          <w:szCs w:val="21"/>
        </w:rPr>
        <w:t>la Comisión Legislativa Especial que tendrá por objeto elaborar un informe</w:t>
      </w:r>
      <w:r>
        <w:rPr>
          <w:rFonts w:ascii="Abadi" w:hAnsi="Abadi" w:cs="ArialMT"/>
          <w:sz w:val="21"/>
          <w:szCs w:val="21"/>
        </w:rPr>
        <w:t xml:space="preserve"> </w:t>
      </w:r>
      <w:r w:rsidRPr="0003104D">
        <w:rPr>
          <w:rFonts w:ascii="Abadi" w:hAnsi="Abadi" w:cs="ArialMT"/>
          <w:sz w:val="21"/>
          <w:szCs w:val="21"/>
        </w:rPr>
        <w:t>en relación al seguimiento y cumplimiento que han dado los 46</w:t>
      </w:r>
      <w:r>
        <w:rPr>
          <w:rFonts w:ascii="Abadi" w:hAnsi="Abadi" w:cs="ArialMT"/>
          <w:sz w:val="21"/>
          <w:szCs w:val="21"/>
        </w:rPr>
        <w:t xml:space="preserve"> </w:t>
      </w:r>
      <w:r w:rsidRPr="0003104D">
        <w:rPr>
          <w:rFonts w:ascii="Abadi" w:hAnsi="Abadi" w:cs="ArialMT"/>
          <w:sz w:val="21"/>
          <w:szCs w:val="21"/>
        </w:rPr>
        <w:t>Ayuntamientos del Estado de Guanajuato, y las autoridades estatales que</w:t>
      </w:r>
      <w:r>
        <w:rPr>
          <w:rFonts w:ascii="Abadi" w:hAnsi="Abadi" w:cs="ArialMT"/>
          <w:sz w:val="21"/>
          <w:szCs w:val="21"/>
        </w:rPr>
        <w:t xml:space="preserve"> </w:t>
      </w:r>
      <w:r w:rsidRPr="0003104D">
        <w:rPr>
          <w:rFonts w:ascii="Abadi" w:hAnsi="Abadi" w:cs="ArialMT"/>
          <w:sz w:val="21"/>
          <w:szCs w:val="21"/>
        </w:rPr>
        <w:t>corresponde, a la Ley de Justicia Cívica del Estado de Guanajuato,</w:t>
      </w:r>
      <w:r>
        <w:rPr>
          <w:rFonts w:ascii="Abadi" w:hAnsi="Abadi" w:cs="ArialMT"/>
          <w:sz w:val="21"/>
          <w:szCs w:val="21"/>
        </w:rPr>
        <w:t xml:space="preserve"> </w:t>
      </w:r>
      <w:r w:rsidRPr="0003104D">
        <w:rPr>
          <w:rFonts w:ascii="Abadi" w:hAnsi="Abadi" w:cs="ArialMT"/>
          <w:sz w:val="21"/>
          <w:szCs w:val="21"/>
        </w:rPr>
        <w:t>específicamente para conocer el estado que guardan las obligaciones de</w:t>
      </w:r>
      <w:r>
        <w:rPr>
          <w:rFonts w:ascii="Abadi" w:hAnsi="Abadi" w:cs="ArialMT"/>
          <w:sz w:val="21"/>
          <w:szCs w:val="21"/>
        </w:rPr>
        <w:t xml:space="preserve"> </w:t>
      </w:r>
      <w:r w:rsidRPr="0003104D">
        <w:rPr>
          <w:rFonts w:ascii="Abadi" w:hAnsi="Abadi" w:cs="ArialMT"/>
          <w:sz w:val="21"/>
          <w:szCs w:val="21"/>
        </w:rPr>
        <w:t>adecuación o creación de los instrumentos normativos municipales; la</w:t>
      </w:r>
      <w:r>
        <w:rPr>
          <w:rFonts w:ascii="Abadi" w:hAnsi="Abadi" w:cs="ArialMT"/>
          <w:sz w:val="21"/>
          <w:szCs w:val="21"/>
        </w:rPr>
        <w:t xml:space="preserve"> </w:t>
      </w:r>
      <w:r w:rsidRPr="0003104D">
        <w:rPr>
          <w:rFonts w:ascii="Abadi" w:hAnsi="Abadi" w:cs="ArialMT"/>
          <w:sz w:val="21"/>
          <w:szCs w:val="21"/>
        </w:rPr>
        <w:t>adecuación o implementación de los órganos que se encargarán de la</w:t>
      </w:r>
      <w:r>
        <w:rPr>
          <w:rFonts w:ascii="Abadi" w:hAnsi="Abadi" w:cs="ArialMT"/>
          <w:sz w:val="21"/>
          <w:szCs w:val="21"/>
        </w:rPr>
        <w:t xml:space="preserve"> </w:t>
      </w:r>
      <w:r w:rsidRPr="0003104D">
        <w:rPr>
          <w:rFonts w:ascii="Abadi" w:hAnsi="Abadi" w:cs="ArialMT"/>
          <w:sz w:val="21"/>
          <w:szCs w:val="21"/>
        </w:rPr>
        <w:t>Justicia Cívica; la realización de Jornadas de Justicia Itinerante; y la</w:t>
      </w:r>
      <w:r>
        <w:rPr>
          <w:rFonts w:ascii="Abadi" w:hAnsi="Abadi" w:cs="ArialMT"/>
          <w:sz w:val="21"/>
          <w:szCs w:val="21"/>
        </w:rPr>
        <w:t xml:space="preserve"> </w:t>
      </w:r>
      <w:r w:rsidRPr="0003104D">
        <w:rPr>
          <w:rFonts w:ascii="Abadi" w:hAnsi="Abadi" w:cs="ArialMT"/>
          <w:sz w:val="21"/>
          <w:szCs w:val="21"/>
        </w:rPr>
        <w:t>implementación y funcionamiento del Registro de infractores. Comisión</w:t>
      </w:r>
      <w:r>
        <w:rPr>
          <w:rFonts w:ascii="Abadi" w:hAnsi="Abadi" w:cs="ArialMT"/>
          <w:sz w:val="21"/>
          <w:szCs w:val="21"/>
        </w:rPr>
        <w:t xml:space="preserve"> </w:t>
      </w:r>
      <w:r w:rsidRPr="0003104D">
        <w:rPr>
          <w:rFonts w:ascii="Abadi" w:hAnsi="Abadi" w:cs="ArialMT"/>
          <w:sz w:val="21"/>
          <w:szCs w:val="21"/>
        </w:rPr>
        <w:t>Especial que se integrará por 5 miembros a propuesta de la Junta de</w:t>
      </w:r>
      <w:r>
        <w:rPr>
          <w:rFonts w:ascii="Abadi" w:hAnsi="Abadi" w:cs="ArialMT"/>
          <w:sz w:val="21"/>
          <w:szCs w:val="21"/>
        </w:rPr>
        <w:t xml:space="preserve"> </w:t>
      </w:r>
      <w:r w:rsidRPr="0003104D">
        <w:rPr>
          <w:rFonts w:ascii="Abadi" w:hAnsi="Abadi" w:cs="ArialMT"/>
          <w:sz w:val="21"/>
          <w:szCs w:val="21"/>
        </w:rPr>
        <w:t xml:space="preserve">Gobierno y Coordinación </w:t>
      </w:r>
      <w:r w:rsidRPr="0003104D">
        <w:rPr>
          <w:rFonts w:ascii="Abadi" w:hAnsi="Abadi" w:cs="ArialMT"/>
          <w:sz w:val="21"/>
          <w:szCs w:val="21"/>
        </w:rPr>
        <w:lastRenderedPageBreak/>
        <w:t>Política. Se establece un plazo de 3 meses para</w:t>
      </w:r>
      <w:r>
        <w:rPr>
          <w:rFonts w:ascii="Abadi" w:hAnsi="Abadi" w:cs="ArialMT"/>
          <w:sz w:val="21"/>
          <w:szCs w:val="21"/>
        </w:rPr>
        <w:t xml:space="preserve"> </w:t>
      </w:r>
      <w:r w:rsidRPr="0003104D">
        <w:rPr>
          <w:rFonts w:ascii="Abadi" w:hAnsi="Abadi" w:cs="ArialMT"/>
          <w:sz w:val="21"/>
          <w:szCs w:val="21"/>
        </w:rPr>
        <w:t>realizar el informe que se le encomienda y, en su caso, aprobación de la</w:t>
      </w:r>
      <w:r>
        <w:rPr>
          <w:rFonts w:ascii="Abadi" w:hAnsi="Abadi" w:cs="ArialMT"/>
          <w:sz w:val="21"/>
          <w:szCs w:val="21"/>
        </w:rPr>
        <w:t xml:space="preserve"> </w:t>
      </w:r>
      <w:r w:rsidRPr="0003104D">
        <w:rPr>
          <w:rFonts w:ascii="Abadi" w:hAnsi="Abadi" w:cs="ArialMT"/>
          <w:sz w:val="21"/>
          <w:szCs w:val="21"/>
        </w:rPr>
        <w:t>misma.</w:t>
      </w:r>
      <w:r>
        <w:rPr>
          <w:rFonts w:ascii="Abadi" w:hAnsi="Abadi" w:cs="ArialMT"/>
          <w:sz w:val="21"/>
          <w:szCs w:val="21"/>
        </w:rPr>
        <w:t xml:space="preserve"> </w:t>
      </w:r>
      <w:r w:rsidRPr="00D43D5C">
        <w:rPr>
          <w:rFonts w:ascii="Abadi" w:hAnsi="Abadi" w:cs="ArialMT"/>
          <w:b/>
          <w:bCs/>
          <w:sz w:val="21"/>
          <w:szCs w:val="21"/>
        </w:rPr>
        <w:t>XIII.</w:t>
      </w:r>
      <w:r>
        <w:rPr>
          <w:rFonts w:ascii="Abadi" w:hAnsi="Abadi" w:cs="ArialMT"/>
          <w:sz w:val="21"/>
          <w:szCs w:val="21"/>
        </w:rPr>
        <w:t xml:space="preserve"> </w:t>
      </w:r>
      <w:r w:rsidRPr="0003104D">
        <w:rPr>
          <w:rFonts w:ascii="Abadi" w:hAnsi="Abadi" w:cs="ArialMT"/>
          <w:sz w:val="21"/>
          <w:szCs w:val="21"/>
        </w:rPr>
        <w:t>Presentación de la propuesta de punto de acuerdo de obvia resolución</w:t>
      </w:r>
      <w:r>
        <w:rPr>
          <w:rFonts w:ascii="Abadi" w:hAnsi="Abadi" w:cs="ArialMT"/>
          <w:sz w:val="21"/>
          <w:szCs w:val="21"/>
        </w:rPr>
        <w:t xml:space="preserve"> </w:t>
      </w:r>
      <w:r w:rsidRPr="0003104D">
        <w:rPr>
          <w:rFonts w:ascii="Abadi" w:hAnsi="Abadi" w:cs="ArialMT"/>
          <w:sz w:val="21"/>
          <w:szCs w:val="21"/>
        </w:rPr>
        <w:t>suscrita por la diputada Alma Edwviges Alcaraz Hernández integrante del</w:t>
      </w:r>
      <w:r>
        <w:rPr>
          <w:rFonts w:ascii="Abadi" w:hAnsi="Abadi" w:cs="ArialMT"/>
          <w:sz w:val="21"/>
          <w:szCs w:val="21"/>
        </w:rPr>
        <w:t xml:space="preserve"> </w:t>
      </w:r>
      <w:r w:rsidRPr="0003104D">
        <w:rPr>
          <w:rFonts w:ascii="Abadi" w:hAnsi="Abadi" w:cs="ArialMT"/>
          <w:sz w:val="21"/>
          <w:szCs w:val="21"/>
        </w:rPr>
        <w:t>Grupo Parlamentario del Partido MORENA a efecto de exhortar</w:t>
      </w:r>
      <w:r>
        <w:rPr>
          <w:rFonts w:ascii="Abadi" w:hAnsi="Abadi" w:cs="ArialMT"/>
          <w:sz w:val="21"/>
          <w:szCs w:val="21"/>
        </w:rPr>
        <w:t xml:space="preserve"> </w:t>
      </w:r>
      <w:r w:rsidRPr="0003104D">
        <w:rPr>
          <w:rFonts w:ascii="Abadi" w:hAnsi="Abadi" w:cs="ArialMT"/>
          <w:sz w:val="21"/>
          <w:szCs w:val="21"/>
        </w:rPr>
        <w:t>respetuosamente al Gobernador del Estado de Guanajuato, el C. Diego</w:t>
      </w:r>
      <w:r>
        <w:rPr>
          <w:rFonts w:ascii="Abadi" w:hAnsi="Abadi" w:cs="ArialMT"/>
          <w:sz w:val="21"/>
          <w:szCs w:val="21"/>
        </w:rPr>
        <w:t xml:space="preserve"> </w:t>
      </w:r>
      <w:proofErr w:type="spellStart"/>
      <w:r w:rsidRPr="0003104D">
        <w:rPr>
          <w:rFonts w:ascii="Abadi" w:hAnsi="Abadi" w:cs="ArialMT"/>
          <w:sz w:val="21"/>
          <w:szCs w:val="21"/>
        </w:rPr>
        <w:t>Sinhue</w:t>
      </w:r>
      <w:proofErr w:type="spellEnd"/>
      <w:r w:rsidRPr="0003104D">
        <w:rPr>
          <w:rFonts w:ascii="Abadi" w:hAnsi="Abadi" w:cs="ArialMT"/>
          <w:sz w:val="21"/>
          <w:szCs w:val="21"/>
        </w:rPr>
        <w:t xml:space="preserve"> Rodríguez Vallejo, para que, con fundamento en lo establecido en</w:t>
      </w:r>
      <w:r>
        <w:rPr>
          <w:rFonts w:ascii="Abadi" w:hAnsi="Abadi" w:cs="ArialMT"/>
          <w:sz w:val="21"/>
          <w:szCs w:val="21"/>
        </w:rPr>
        <w:t xml:space="preserve"> </w:t>
      </w:r>
      <w:r w:rsidRPr="0003104D">
        <w:rPr>
          <w:rFonts w:ascii="Abadi" w:hAnsi="Abadi" w:cs="ArialMT"/>
          <w:sz w:val="21"/>
          <w:szCs w:val="21"/>
        </w:rPr>
        <w:t>la fracción IV del artículo 95 de la Constitución Política en el Estado, inicie</w:t>
      </w:r>
      <w:r>
        <w:rPr>
          <w:rFonts w:ascii="Abadi" w:hAnsi="Abadi" w:cs="ArialMT"/>
          <w:sz w:val="21"/>
          <w:szCs w:val="21"/>
        </w:rPr>
        <w:t xml:space="preserve"> </w:t>
      </w:r>
      <w:r w:rsidRPr="0003104D">
        <w:rPr>
          <w:rFonts w:ascii="Abadi" w:hAnsi="Abadi" w:cs="ArialMT"/>
          <w:sz w:val="21"/>
          <w:szCs w:val="21"/>
        </w:rPr>
        <w:t>el procedimiento de remoción del Fiscal General del Estado, Carlos</w:t>
      </w:r>
      <w:r>
        <w:rPr>
          <w:rFonts w:ascii="Abadi" w:hAnsi="Abadi" w:cs="ArialMT"/>
          <w:sz w:val="21"/>
          <w:szCs w:val="21"/>
        </w:rPr>
        <w:t xml:space="preserve"> </w:t>
      </w:r>
      <w:r w:rsidRPr="0003104D">
        <w:rPr>
          <w:rFonts w:ascii="Abadi" w:hAnsi="Abadi" w:cs="ArialMT"/>
          <w:sz w:val="21"/>
          <w:szCs w:val="21"/>
        </w:rPr>
        <w:t>Zamarripa Aguirre y, en su caso, aprobación de la misma.</w:t>
      </w:r>
      <w:r>
        <w:rPr>
          <w:rFonts w:ascii="Abadi" w:hAnsi="Abadi" w:cs="ArialMT"/>
          <w:sz w:val="21"/>
          <w:szCs w:val="21"/>
        </w:rPr>
        <w:t xml:space="preserve"> </w:t>
      </w:r>
      <w:r w:rsidRPr="00D43D5C">
        <w:rPr>
          <w:rFonts w:ascii="Abadi" w:hAnsi="Abadi" w:cs="ArialMT"/>
          <w:b/>
          <w:bCs/>
          <w:sz w:val="21"/>
          <w:szCs w:val="21"/>
        </w:rPr>
        <w:t>XIV.</w:t>
      </w:r>
      <w:r>
        <w:rPr>
          <w:rFonts w:ascii="Abadi" w:hAnsi="Abadi" w:cs="ArialMT"/>
          <w:sz w:val="21"/>
          <w:szCs w:val="21"/>
        </w:rPr>
        <w:t xml:space="preserve"> </w:t>
      </w:r>
      <w:r w:rsidRPr="0003104D">
        <w:rPr>
          <w:rFonts w:ascii="Abadi" w:hAnsi="Abadi" w:cs="ArialMT"/>
          <w:sz w:val="21"/>
          <w:szCs w:val="21"/>
        </w:rPr>
        <w:t>Discusión y, en su caso, aprobación del dictamen presentado por la</w:t>
      </w:r>
      <w:r>
        <w:rPr>
          <w:rFonts w:ascii="Abadi" w:hAnsi="Abadi" w:cs="ArialMT"/>
          <w:sz w:val="21"/>
          <w:szCs w:val="21"/>
        </w:rPr>
        <w:t xml:space="preserve"> </w:t>
      </w:r>
      <w:r w:rsidRPr="0003104D">
        <w:rPr>
          <w:rFonts w:ascii="Abadi" w:hAnsi="Abadi" w:cs="ArialMT"/>
          <w:sz w:val="21"/>
          <w:szCs w:val="21"/>
        </w:rPr>
        <w:t>Comisión de Derechos Humanos y Atención a Grupos Vulnerables relativo</w:t>
      </w:r>
      <w:r>
        <w:rPr>
          <w:rFonts w:ascii="Abadi" w:hAnsi="Abadi" w:cs="ArialMT"/>
          <w:sz w:val="21"/>
          <w:szCs w:val="21"/>
        </w:rPr>
        <w:t xml:space="preserve"> </w:t>
      </w:r>
      <w:r w:rsidRPr="0003104D">
        <w:rPr>
          <w:rFonts w:ascii="Abadi" w:hAnsi="Abadi" w:cs="ArialMT"/>
          <w:sz w:val="21"/>
          <w:szCs w:val="21"/>
        </w:rPr>
        <w:t>a la propuesta de punto de acuerdo formulada por la</w:t>
      </w:r>
      <w:r>
        <w:rPr>
          <w:rFonts w:ascii="Abadi" w:hAnsi="Abadi" w:cs="ArialMT"/>
          <w:sz w:val="21"/>
          <w:szCs w:val="21"/>
        </w:rPr>
        <w:t xml:space="preserve"> d</w:t>
      </w:r>
      <w:r w:rsidRPr="0003104D">
        <w:rPr>
          <w:rFonts w:ascii="Abadi" w:hAnsi="Abadi" w:cs="ArialMT"/>
          <w:sz w:val="21"/>
          <w:szCs w:val="21"/>
        </w:rPr>
        <w:t>iputada y el diputado</w:t>
      </w:r>
      <w:r>
        <w:rPr>
          <w:rFonts w:ascii="Abadi" w:hAnsi="Abadi" w:cs="ArialMT"/>
          <w:sz w:val="21"/>
          <w:szCs w:val="21"/>
        </w:rPr>
        <w:t xml:space="preserve"> </w:t>
      </w:r>
      <w:r w:rsidRPr="0003104D">
        <w:rPr>
          <w:rFonts w:ascii="Abadi" w:hAnsi="Abadi" w:cs="ArialMT"/>
          <w:sz w:val="21"/>
          <w:szCs w:val="21"/>
        </w:rPr>
        <w:t>integrantes del Grupo Parlamentario del Partido Verde Ecologista de</w:t>
      </w:r>
      <w:r>
        <w:rPr>
          <w:rFonts w:ascii="Abadi" w:hAnsi="Abadi" w:cs="ArialMT"/>
          <w:sz w:val="21"/>
          <w:szCs w:val="21"/>
        </w:rPr>
        <w:t xml:space="preserve"> </w:t>
      </w:r>
      <w:r w:rsidRPr="0003104D">
        <w:rPr>
          <w:rFonts w:ascii="Abadi" w:hAnsi="Abadi" w:cs="ArialMT"/>
          <w:sz w:val="21"/>
          <w:szCs w:val="21"/>
        </w:rPr>
        <w:t>México ante la Sexagésima Cuarta Legislatura, a fin de solicitar al Poder</w:t>
      </w:r>
      <w:r>
        <w:rPr>
          <w:rFonts w:ascii="Abadi" w:hAnsi="Abadi" w:cs="ArialMT"/>
          <w:sz w:val="21"/>
          <w:szCs w:val="21"/>
        </w:rPr>
        <w:t xml:space="preserve"> </w:t>
      </w:r>
      <w:r w:rsidRPr="0003104D">
        <w:rPr>
          <w:rFonts w:ascii="Abadi" w:hAnsi="Abadi" w:cs="ArialMT"/>
          <w:sz w:val="21"/>
          <w:szCs w:val="21"/>
        </w:rPr>
        <w:t>Ejecutivo que a través de la Secretaría de la Transparencia y Rendición de</w:t>
      </w:r>
      <w:r>
        <w:rPr>
          <w:rFonts w:ascii="Abadi" w:hAnsi="Abadi" w:cs="ArialMT"/>
          <w:sz w:val="21"/>
          <w:szCs w:val="21"/>
        </w:rPr>
        <w:t xml:space="preserve"> </w:t>
      </w:r>
      <w:r w:rsidRPr="0003104D">
        <w:rPr>
          <w:rFonts w:ascii="Abadi" w:hAnsi="Abadi" w:cs="ArialMT"/>
          <w:sz w:val="21"/>
          <w:szCs w:val="21"/>
        </w:rPr>
        <w:t>Cuentas realice la investigación, substanciación y calificación en contra de</w:t>
      </w:r>
      <w:r>
        <w:rPr>
          <w:rFonts w:ascii="Abadi" w:hAnsi="Abadi" w:cs="ArialMT"/>
          <w:sz w:val="21"/>
          <w:szCs w:val="21"/>
        </w:rPr>
        <w:t xml:space="preserve"> </w:t>
      </w:r>
      <w:r w:rsidRPr="0003104D">
        <w:rPr>
          <w:rFonts w:ascii="Abadi" w:hAnsi="Abadi" w:cs="ArialMT"/>
          <w:sz w:val="21"/>
          <w:szCs w:val="21"/>
        </w:rPr>
        <w:t>quien resulte responsable, por conductas constitutivas de responsabilidad</w:t>
      </w:r>
      <w:r>
        <w:rPr>
          <w:rFonts w:ascii="Abadi" w:hAnsi="Abadi" w:cs="ArialMT"/>
          <w:sz w:val="21"/>
          <w:szCs w:val="21"/>
        </w:rPr>
        <w:t xml:space="preserve"> </w:t>
      </w:r>
      <w:r w:rsidRPr="0003104D">
        <w:rPr>
          <w:rFonts w:ascii="Abadi" w:hAnsi="Abadi" w:cs="ArialMT"/>
          <w:sz w:val="21"/>
          <w:szCs w:val="21"/>
        </w:rPr>
        <w:t>administrativa por la omisión en el cumplimiento en tiempo de los artículos</w:t>
      </w:r>
      <w:r>
        <w:rPr>
          <w:rFonts w:ascii="Abadi" w:hAnsi="Abadi" w:cs="ArialMT"/>
          <w:sz w:val="21"/>
          <w:szCs w:val="21"/>
        </w:rPr>
        <w:t xml:space="preserve"> </w:t>
      </w:r>
      <w:r w:rsidRPr="0003104D">
        <w:rPr>
          <w:rFonts w:ascii="Abadi" w:hAnsi="Abadi" w:cs="ArialMT"/>
          <w:sz w:val="21"/>
          <w:szCs w:val="21"/>
        </w:rPr>
        <w:t>segundo y tercero transitorios de la Ley para la Protección de Personas</w:t>
      </w:r>
      <w:r>
        <w:rPr>
          <w:rFonts w:ascii="Abadi" w:hAnsi="Abadi" w:cs="ArialMT"/>
          <w:sz w:val="21"/>
          <w:szCs w:val="21"/>
        </w:rPr>
        <w:t xml:space="preserve"> </w:t>
      </w:r>
      <w:r w:rsidRPr="0003104D">
        <w:rPr>
          <w:rFonts w:ascii="Abadi" w:hAnsi="Abadi" w:cs="ArialMT"/>
          <w:sz w:val="21"/>
          <w:szCs w:val="21"/>
        </w:rPr>
        <w:t>Defensoras de Derechos Humanos y Periodistas del Estado de</w:t>
      </w:r>
      <w:r>
        <w:rPr>
          <w:rFonts w:ascii="Abadi" w:hAnsi="Abadi" w:cs="ArialMT"/>
          <w:sz w:val="21"/>
          <w:szCs w:val="21"/>
        </w:rPr>
        <w:t xml:space="preserve"> </w:t>
      </w:r>
      <w:r w:rsidRPr="0003104D">
        <w:rPr>
          <w:rFonts w:ascii="Abadi" w:hAnsi="Abadi" w:cs="ArialMT"/>
          <w:sz w:val="21"/>
          <w:szCs w:val="21"/>
        </w:rPr>
        <w:t>Guanajuato, así como de los artículos segundo y cuarto transitorios de la</w:t>
      </w:r>
      <w:r>
        <w:rPr>
          <w:rFonts w:ascii="Abadi" w:hAnsi="Abadi" w:cs="ArialMT"/>
          <w:sz w:val="21"/>
          <w:szCs w:val="21"/>
        </w:rPr>
        <w:t xml:space="preserve"> </w:t>
      </w:r>
      <w:r w:rsidRPr="0003104D">
        <w:rPr>
          <w:rFonts w:ascii="Abadi" w:hAnsi="Abadi" w:cs="ArialMT"/>
          <w:sz w:val="21"/>
          <w:szCs w:val="21"/>
        </w:rPr>
        <w:t>Ley para Regular la Prestación de Servicios de Atención, Cuidado y</w:t>
      </w:r>
      <w:r>
        <w:rPr>
          <w:rFonts w:ascii="Abadi" w:hAnsi="Abadi" w:cs="ArialMT"/>
          <w:sz w:val="21"/>
          <w:szCs w:val="21"/>
        </w:rPr>
        <w:t xml:space="preserve"> </w:t>
      </w:r>
      <w:r w:rsidRPr="0003104D">
        <w:rPr>
          <w:rFonts w:ascii="Abadi" w:hAnsi="Abadi" w:cs="ArialMT"/>
          <w:sz w:val="21"/>
          <w:szCs w:val="21"/>
        </w:rPr>
        <w:t>Desarrollo Integral Infantil en el Estado de Guanajuato.</w:t>
      </w:r>
      <w:r>
        <w:rPr>
          <w:rFonts w:ascii="Abadi" w:hAnsi="Abadi" w:cs="ArialMT"/>
          <w:sz w:val="21"/>
          <w:szCs w:val="21"/>
        </w:rPr>
        <w:t xml:space="preserve"> </w:t>
      </w:r>
      <w:r w:rsidRPr="00D43D5C">
        <w:rPr>
          <w:rFonts w:ascii="Abadi" w:hAnsi="Abadi" w:cs="ArialMT"/>
          <w:b/>
          <w:bCs/>
          <w:sz w:val="21"/>
          <w:szCs w:val="21"/>
        </w:rPr>
        <w:t>XV.</w:t>
      </w:r>
      <w:r>
        <w:rPr>
          <w:rFonts w:ascii="Abadi" w:hAnsi="Abadi" w:cs="ArialMT"/>
          <w:sz w:val="21"/>
          <w:szCs w:val="21"/>
        </w:rPr>
        <w:t xml:space="preserve"> </w:t>
      </w:r>
      <w:r w:rsidRPr="0003104D">
        <w:rPr>
          <w:rFonts w:ascii="Abadi" w:hAnsi="Abadi" w:cs="ArialMT"/>
          <w:sz w:val="21"/>
          <w:szCs w:val="21"/>
        </w:rPr>
        <w:t>Discusión y, en su caso, aprobación del dictamen suscrito por la Comisión</w:t>
      </w:r>
      <w:r>
        <w:rPr>
          <w:rFonts w:ascii="Abadi" w:hAnsi="Abadi" w:cs="ArialMT"/>
          <w:sz w:val="21"/>
          <w:szCs w:val="21"/>
        </w:rPr>
        <w:t xml:space="preserve"> </w:t>
      </w:r>
      <w:r w:rsidRPr="0003104D">
        <w:rPr>
          <w:rFonts w:ascii="Abadi" w:hAnsi="Abadi" w:cs="ArialMT"/>
          <w:sz w:val="21"/>
          <w:szCs w:val="21"/>
        </w:rPr>
        <w:t>de Gobernación y Puntos Constitucionales relativo a las propuestas de</w:t>
      </w:r>
      <w:r>
        <w:rPr>
          <w:rFonts w:ascii="Abadi" w:hAnsi="Abadi" w:cs="ArialMT"/>
          <w:sz w:val="21"/>
          <w:szCs w:val="21"/>
        </w:rPr>
        <w:t xml:space="preserve"> </w:t>
      </w:r>
      <w:r w:rsidRPr="0003104D">
        <w:rPr>
          <w:rFonts w:ascii="Abadi" w:hAnsi="Abadi" w:cs="ArialMT"/>
          <w:sz w:val="21"/>
          <w:szCs w:val="21"/>
        </w:rPr>
        <w:t>punto de acuerdo, la primera, suscrita por diputadas y diputados</w:t>
      </w:r>
      <w:r>
        <w:rPr>
          <w:rFonts w:ascii="Abadi" w:hAnsi="Abadi" w:cs="ArialMT"/>
          <w:sz w:val="21"/>
          <w:szCs w:val="21"/>
        </w:rPr>
        <w:t xml:space="preserve"> </w:t>
      </w:r>
      <w:r w:rsidRPr="0003104D">
        <w:rPr>
          <w:rFonts w:ascii="Abadi" w:hAnsi="Abadi" w:cs="ArialMT"/>
          <w:sz w:val="21"/>
          <w:szCs w:val="21"/>
        </w:rPr>
        <w:t>integrantes del Grupo Parlamentario del Partido Acción Nacional por el</w:t>
      </w:r>
      <w:r>
        <w:rPr>
          <w:rFonts w:ascii="Abadi" w:hAnsi="Abadi" w:cs="ArialMT"/>
          <w:sz w:val="21"/>
          <w:szCs w:val="21"/>
        </w:rPr>
        <w:t xml:space="preserve"> </w:t>
      </w:r>
      <w:r w:rsidRPr="0003104D">
        <w:rPr>
          <w:rFonts w:ascii="Abadi" w:hAnsi="Abadi" w:cs="ArialMT"/>
          <w:sz w:val="21"/>
          <w:szCs w:val="21"/>
        </w:rPr>
        <w:t>cual se efectúa un respetuoso exhorto a la Cámara de Diputados del</w:t>
      </w:r>
      <w:r>
        <w:rPr>
          <w:rFonts w:ascii="Abadi" w:hAnsi="Abadi" w:cs="ArialMT"/>
          <w:sz w:val="21"/>
          <w:szCs w:val="21"/>
        </w:rPr>
        <w:t xml:space="preserve"> </w:t>
      </w:r>
      <w:r w:rsidRPr="0003104D">
        <w:rPr>
          <w:rFonts w:ascii="Abadi" w:hAnsi="Abadi" w:cs="ArialMT"/>
          <w:sz w:val="21"/>
          <w:szCs w:val="21"/>
        </w:rPr>
        <w:t>Honorable Congreso de la Unión, a efecto de que no se apruebe la</w:t>
      </w:r>
      <w:r>
        <w:rPr>
          <w:rFonts w:ascii="Abadi" w:hAnsi="Abadi" w:cs="ArialMT"/>
          <w:sz w:val="21"/>
          <w:szCs w:val="21"/>
        </w:rPr>
        <w:t xml:space="preserve"> </w:t>
      </w:r>
      <w:r w:rsidRPr="0003104D">
        <w:rPr>
          <w:rFonts w:ascii="Abadi" w:hAnsi="Abadi" w:cs="ArialMT"/>
          <w:sz w:val="21"/>
          <w:szCs w:val="21"/>
        </w:rPr>
        <w:t xml:space="preserve">iniciativa presentada por el Presidente de </w:t>
      </w:r>
      <w:r w:rsidRPr="0003104D">
        <w:rPr>
          <w:rFonts w:ascii="Abadi" w:hAnsi="Abadi" w:cs="ArialMT"/>
          <w:sz w:val="21"/>
          <w:szCs w:val="21"/>
        </w:rPr>
        <w:t>la República, licenciado Andrés</w:t>
      </w:r>
      <w:r>
        <w:rPr>
          <w:rFonts w:ascii="Abadi" w:hAnsi="Abadi" w:cs="ArialMT"/>
          <w:sz w:val="21"/>
          <w:szCs w:val="21"/>
        </w:rPr>
        <w:t xml:space="preserve"> </w:t>
      </w:r>
      <w:r w:rsidRPr="0003104D">
        <w:rPr>
          <w:rFonts w:ascii="Abadi" w:hAnsi="Abadi" w:cs="ArialMT"/>
          <w:sz w:val="21"/>
          <w:szCs w:val="21"/>
        </w:rPr>
        <w:t>Manuel López Obrador, por la que se reforman los artículos 25, 27 y 28 de</w:t>
      </w:r>
      <w:r>
        <w:rPr>
          <w:rFonts w:ascii="Abadi" w:hAnsi="Abadi" w:cs="ArialMT"/>
          <w:sz w:val="21"/>
          <w:szCs w:val="21"/>
        </w:rPr>
        <w:t xml:space="preserve"> </w:t>
      </w:r>
      <w:r w:rsidRPr="0003104D">
        <w:rPr>
          <w:rFonts w:ascii="Abadi" w:hAnsi="Abadi" w:cs="ArialMT"/>
          <w:sz w:val="21"/>
          <w:szCs w:val="21"/>
        </w:rPr>
        <w:t>la Constitución Política de los Estados Unidos Mexicanos, presentada ante</w:t>
      </w:r>
      <w:r>
        <w:rPr>
          <w:rFonts w:ascii="Abadi" w:hAnsi="Abadi" w:cs="ArialMT"/>
          <w:sz w:val="21"/>
          <w:szCs w:val="21"/>
        </w:rPr>
        <w:t xml:space="preserve"> </w:t>
      </w:r>
      <w:r w:rsidRPr="0003104D">
        <w:rPr>
          <w:rFonts w:ascii="Abadi" w:hAnsi="Abadi" w:cs="ArialMT"/>
          <w:sz w:val="21"/>
          <w:szCs w:val="21"/>
        </w:rPr>
        <w:t>esa Soberanía el 1 de octubre del presente año, y la segunda, suscrita por</w:t>
      </w:r>
      <w:r>
        <w:rPr>
          <w:rFonts w:ascii="Abadi" w:hAnsi="Abadi" w:cs="ArialMT"/>
          <w:sz w:val="21"/>
          <w:szCs w:val="21"/>
        </w:rPr>
        <w:t xml:space="preserve"> </w:t>
      </w:r>
      <w:r w:rsidRPr="0003104D">
        <w:rPr>
          <w:rFonts w:ascii="Abadi" w:hAnsi="Abadi" w:cs="ArialMT"/>
          <w:sz w:val="21"/>
          <w:szCs w:val="21"/>
        </w:rPr>
        <w:t>el diputado Ernesto Alejandro Prieto Gallardo integrante del Grupo</w:t>
      </w:r>
      <w:r>
        <w:rPr>
          <w:rFonts w:ascii="Abadi" w:hAnsi="Abadi" w:cs="ArialMT"/>
          <w:sz w:val="21"/>
          <w:szCs w:val="21"/>
        </w:rPr>
        <w:t xml:space="preserve"> </w:t>
      </w:r>
      <w:r w:rsidRPr="0003104D">
        <w:rPr>
          <w:rFonts w:ascii="Abadi" w:hAnsi="Abadi" w:cs="ArialMT"/>
          <w:sz w:val="21"/>
          <w:szCs w:val="21"/>
        </w:rPr>
        <w:t>Parlamentario del Partido MORENA a efecto de exhortar al Congreso de la</w:t>
      </w:r>
      <w:r>
        <w:rPr>
          <w:rFonts w:ascii="Abadi" w:hAnsi="Abadi" w:cs="ArialMT"/>
          <w:sz w:val="21"/>
          <w:szCs w:val="21"/>
        </w:rPr>
        <w:t xml:space="preserve"> </w:t>
      </w:r>
      <w:r w:rsidRPr="0003104D">
        <w:rPr>
          <w:rFonts w:ascii="Abadi" w:hAnsi="Abadi" w:cs="ArialMT"/>
          <w:sz w:val="21"/>
          <w:szCs w:val="21"/>
        </w:rPr>
        <w:t>Unión, a través de la Cámara de Diputados y la Cámara de Senadores a</w:t>
      </w:r>
      <w:r>
        <w:rPr>
          <w:rFonts w:ascii="Abadi" w:hAnsi="Abadi" w:cs="ArialMT"/>
          <w:sz w:val="21"/>
          <w:szCs w:val="21"/>
        </w:rPr>
        <w:t xml:space="preserve"> </w:t>
      </w:r>
      <w:r w:rsidRPr="0003104D">
        <w:rPr>
          <w:rFonts w:ascii="Abadi" w:hAnsi="Abadi" w:cs="ArialMT"/>
          <w:sz w:val="21"/>
          <w:szCs w:val="21"/>
        </w:rPr>
        <w:t>aprobar las reformas constitucionales y de leyes secundarias planteadas</w:t>
      </w:r>
      <w:r>
        <w:rPr>
          <w:rFonts w:ascii="Abadi" w:hAnsi="Abadi" w:cs="ArialMT"/>
          <w:sz w:val="21"/>
          <w:szCs w:val="21"/>
        </w:rPr>
        <w:t xml:space="preserve"> </w:t>
      </w:r>
      <w:r w:rsidRPr="0003104D">
        <w:rPr>
          <w:rFonts w:ascii="Abadi" w:hAnsi="Abadi" w:cs="ArialMT"/>
          <w:sz w:val="21"/>
          <w:szCs w:val="21"/>
        </w:rPr>
        <w:t>por el Presidente de la República, en el tema del sector eléctrico que</w:t>
      </w:r>
      <w:r>
        <w:rPr>
          <w:rFonts w:ascii="Abadi" w:hAnsi="Abadi" w:cs="ArialMT"/>
          <w:sz w:val="21"/>
          <w:szCs w:val="21"/>
        </w:rPr>
        <w:t xml:space="preserve"> </w:t>
      </w:r>
      <w:r w:rsidRPr="0003104D">
        <w:rPr>
          <w:rFonts w:ascii="Abadi" w:hAnsi="Abadi" w:cs="ArialMT"/>
          <w:sz w:val="21"/>
          <w:szCs w:val="21"/>
        </w:rPr>
        <w:t>representan beneficios para el pueblo de México, favoreciendo el gasto</w:t>
      </w:r>
      <w:r>
        <w:rPr>
          <w:rFonts w:ascii="Abadi" w:hAnsi="Abadi" w:cs="ArialMT"/>
          <w:sz w:val="21"/>
          <w:szCs w:val="21"/>
        </w:rPr>
        <w:t xml:space="preserve"> </w:t>
      </w:r>
      <w:r w:rsidRPr="0003104D">
        <w:rPr>
          <w:rFonts w:ascii="Abadi" w:hAnsi="Abadi" w:cs="ArialMT"/>
          <w:sz w:val="21"/>
          <w:szCs w:val="21"/>
        </w:rPr>
        <w:t>público y el fortalecimiento del sistema eléctrico nacional como sector</w:t>
      </w:r>
      <w:r>
        <w:rPr>
          <w:rFonts w:ascii="Abadi" w:hAnsi="Abadi" w:cs="ArialMT"/>
          <w:sz w:val="21"/>
          <w:szCs w:val="21"/>
        </w:rPr>
        <w:t xml:space="preserve">  </w:t>
      </w:r>
      <w:r w:rsidRPr="0003104D">
        <w:rPr>
          <w:rFonts w:ascii="Abadi" w:hAnsi="Abadi" w:cs="ArialMT"/>
          <w:sz w:val="21"/>
          <w:szCs w:val="21"/>
        </w:rPr>
        <w:t>estratégico.</w:t>
      </w:r>
      <w:r>
        <w:rPr>
          <w:rFonts w:ascii="Abadi" w:hAnsi="Abadi" w:cs="ArialMT"/>
          <w:sz w:val="21"/>
          <w:szCs w:val="21"/>
        </w:rPr>
        <w:t xml:space="preserve"> </w:t>
      </w:r>
      <w:r w:rsidRPr="00D43D5C">
        <w:rPr>
          <w:rFonts w:ascii="Abadi" w:hAnsi="Abadi" w:cs="ArialMT"/>
          <w:b/>
          <w:bCs/>
          <w:sz w:val="21"/>
          <w:szCs w:val="21"/>
        </w:rPr>
        <w:t>XVI.</w:t>
      </w:r>
      <w:r>
        <w:rPr>
          <w:rFonts w:ascii="Abadi" w:hAnsi="Abadi" w:cs="ArialMT"/>
          <w:sz w:val="21"/>
          <w:szCs w:val="21"/>
        </w:rPr>
        <w:t xml:space="preserve"> </w:t>
      </w:r>
      <w:r w:rsidRPr="0003104D">
        <w:rPr>
          <w:rFonts w:ascii="Abadi" w:hAnsi="Abadi" w:cs="ArialMT"/>
          <w:sz w:val="21"/>
          <w:szCs w:val="21"/>
        </w:rPr>
        <w:t>Discusión y, en su caso, aprobación del dictamen emitido por la Comisión</w:t>
      </w:r>
      <w:r>
        <w:rPr>
          <w:rFonts w:ascii="Abadi" w:hAnsi="Abadi" w:cs="ArialMT"/>
          <w:sz w:val="21"/>
          <w:szCs w:val="21"/>
        </w:rPr>
        <w:t xml:space="preserve"> </w:t>
      </w:r>
      <w:r w:rsidRPr="0003104D">
        <w:rPr>
          <w:rFonts w:ascii="Abadi" w:hAnsi="Abadi" w:cs="ArialMT"/>
          <w:sz w:val="21"/>
          <w:szCs w:val="21"/>
        </w:rPr>
        <w:t>de Gobernación y Puntos Constitucionales relativo a la solicitud de licencia</w:t>
      </w:r>
      <w:r>
        <w:rPr>
          <w:rFonts w:ascii="Abadi" w:hAnsi="Abadi" w:cs="ArialMT"/>
          <w:sz w:val="21"/>
          <w:szCs w:val="21"/>
        </w:rPr>
        <w:t xml:space="preserve"> </w:t>
      </w:r>
      <w:r w:rsidRPr="0003104D">
        <w:rPr>
          <w:rFonts w:ascii="Abadi" w:hAnsi="Abadi" w:cs="ArialMT"/>
          <w:sz w:val="21"/>
          <w:szCs w:val="21"/>
        </w:rPr>
        <w:t>para separarse del cargo de diputada local de Ruth Noemí Tiscareño</w:t>
      </w:r>
      <w:r>
        <w:rPr>
          <w:rFonts w:ascii="Abadi" w:hAnsi="Abadi" w:cs="ArialMT"/>
          <w:sz w:val="21"/>
          <w:szCs w:val="21"/>
        </w:rPr>
        <w:t xml:space="preserve"> </w:t>
      </w:r>
      <w:r w:rsidRPr="0003104D">
        <w:rPr>
          <w:rFonts w:ascii="Abadi" w:hAnsi="Abadi" w:cs="ArialMT"/>
          <w:sz w:val="21"/>
          <w:szCs w:val="21"/>
        </w:rPr>
        <w:t>Agoitia, integrante del Grupo Parlamentario del Partido Revolucionario</w:t>
      </w:r>
      <w:r>
        <w:rPr>
          <w:rFonts w:ascii="Abadi" w:hAnsi="Abadi" w:cs="ArialMT"/>
          <w:sz w:val="21"/>
          <w:szCs w:val="21"/>
        </w:rPr>
        <w:t xml:space="preserve"> </w:t>
      </w:r>
      <w:r w:rsidRPr="0003104D">
        <w:rPr>
          <w:rFonts w:ascii="Abadi" w:hAnsi="Abadi" w:cs="ArialMT"/>
          <w:sz w:val="21"/>
          <w:szCs w:val="21"/>
        </w:rPr>
        <w:t>Institucional.</w:t>
      </w:r>
      <w:r>
        <w:rPr>
          <w:rFonts w:ascii="Abadi" w:hAnsi="Abadi" w:cs="ArialMT"/>
          <w:sz w:val="21"/>
          <w:szCs w:val="21"/>
        </w:rPr>
        <w:t xml:space="preserve"> </w:t>
      </w:r>
      <w:r w:rsidRPr="00D43D5C">
        <w:rPr>
          <w:rFonts w:ascii="Abadi" w:hAnsi="Abadi" w:cs="ArialMT"/>
          <w:b/>
          <w:bCs/>
          <w:sz w:val="21"/>
          <w:szCs w:val="21"/>
        </w:rPr>
        <w:t>XVII.</w:t>
      </w:r>
      <w:r>
        <w:rPr>
          <w:rFonts w:ascii="Abadi" w:hAnsi="Abadi" w:cs="ArialMT"/>
          <w:sz w:val="21"/>
          <w:szCs w:val="21"/>
        </w:rPr>
        <w:t xml:space="preserve"> </w:t>
      </w:r>
      <w:r w:rsidRPr="0003104D">
        <w:rPr>
          <w:rFonts w:ascii="Abadi" w:hAnsi="Abadi" w:cs="ArialMT"/>
          <w:sz w:val="21"/>
          <w:szCs w:val="21"/>
        </w:rPr>
        <w:t>Discusión y, en su caso, aprobación del dictamen signado por la Comisión</w:t>
      </w:r>
      <w:r>
        <w:rPr>
          <w:rFonts w:ascii="Abadi" w:hAnsi="Abadi" w:cs="ArialMT"/>
          <w:sz w:val="21"/>
          <w:szCs w:val="21"/>
        </w:rPr>
        <w:t xml:space="preserve"> </w:t>
      </w:r>
      <w:r w:rsidRPr="0003104D">
        <w:rPr>
          <w:rFonts w:ascii="Abadi" w:hAnsi="Abadi" w:cs="ArialMT"/>
          <w:sz w:val="21"/>
          <w:szCs w:val="21"/>
        </w:rPr>
        <w:t>de Gobernación y Puntos Constitucionales relativo a la propuesta de punto</w:t>
      </w:r>
      <w:r>
        <w:rPr>
          <w:rFonts w:ascii="Abadi" w:hAnsi="Abadi" w:cs="ArialMT"/>
          <w:sz w:val="21"/>
          <w:szCs w:val="21"/>
        </w:rPr>
        <w:t xml:space="preserve"> </w:t>
      </w:r>
      <w:r w:rsidRPr="0003104D">
        <w:rPr>
          <w:rFonts w:ascii="Abadi" w:hAnsi="Abadi" w:cs="ArialMT"/>
          <w:sz w:val="21"/>
          <w:szCs w:val="21"/>
        </w:rPr>
        <w:t>de acuerdo suscrita por la diputada María Magdalena Rosales Cruz,</w:t>
      </w:r>
      <w:r>
        <w:rPr>
          <w:rFonts w:ascii="Abadi" w:hAnsi="Abadi" w:cs="ArialMT"/>
          <w:sz w:val="21"/>
          <w:szCs w:val="21"/>
        </w:rPr>
        <w:t xml:space="preserve"> </w:t>
      </w:r>
      <w:r w:rsidRPr="0003104D">
        <w:rPr>
          <w:rFonts w:ascii="Abadi" w:hAnsi="Abadi" w:cs="ArialMT"/>
          <w:sz w:val="21"/>
          <w:szCs w:val="21"/>
        </w:rPr>
        <w:t>integrante del Grupo Parlamentario del Partido MORENA, a efecto de</w:t>
      </w:r>
      <w:r>
        <w:rPr>
          <w:rFonts w:ascii="Abadi" w:hAnsi="Abadi" w:cs="ArialMT"/>
          <w:sz w:val="21"/>
          <w:szCs w:val="21"/>
        </w:rPr>
        <w:t xml:space="preserve"> </w:t>
      </w:r>
      <w:r w:rsidRPr="0003104D">
        <w:rPr>
          <w:rFonts w:ascii="Abadi" w:hAnsi="Abadi" w:cs="ArialMT"/>
          <w:sz w:val="21"/>
          <w:szCs w:val="21"/>
        </w:rPr>
        <w:t>exhortar al Poder Ejecutivo del Estado, para que a través de la Secretaría</w:t>
      </w:r>
      <w:r>
        <w:rPr>
          <w:rFonts w:ascii="Abadi" w:hAnsi="Abadi" w:cs="ArialMT"/>
          <w:sz w:val="21"/>
          <w:szCs w:val="21"/>
        </w:rPr>
        <w:t xml:space="preserve"> </w:t>
      </w:r>
      <w:r w:rsidRPr="0003104D">
        <w:rPr>
          <w:rFonts w:ascii="Abadi" w:hAnsi="Abadi" w:cs="ArialMT"/>
          <w:sz w:val="21"/>
          <w:szCs w:val="21"/>
        </w:rPr>
        <w:t>de Gobierno, se realice una revisión y reporte puntual en las dependencias</w:t>
      </w:r>
      <w:r>
        <w:rPr>
          <w:rFonts w:ascii="Abadi" w:hAnsi="Abadi" w:cs="ArialMT"/>
          <w:sz w:val="21"/>
          <w:szCs w:val="21"/>
        </w:rPr>
        <w:t xml:space="preserve"> </w:t>
      </w:r>
      <w:r w:rsidRPr="0003104D">
        <w:rPr>
          <w:rFonts w:ascii="Abadi" w:hAnsi="Abadi" w:cs="ArialMT"/>
          <w:sz w:val="21"/>
          <w:szCs w:val="21"/>
        </w:rPr>
        <w:t>que integran la administración pública centralizada del Poder Ejecutivo; al</w:t>
      </w:r>
      <w:r>
        <w:rPr>
          <w:rFonts w:ascii="Abadi" w:hAnsi="Abadi" w:cs="ArialMT"/>
          <w:sz w:val="21"/>
          <w:szCs w:val="21"/>
        </w:rPr>
        <w:t xml:space="preserve"> </w:t>
      </w:r>
      <w:r w:rsidRPr="0003104D">
        <w:rPr>
          <w:rFonts w:ascii="Abadi" w:hAnsi="Abadi" w:cs="ArialMT"/>
          <w:sz w:val="21"/>
          <w:szCs w:val="21"/>
        </w:rPr>
        <w:t>titular del Supremo Tribunal de Justicia del Estado para que, a través del</w:t>
      </w:r>
      <w:r>
        <w:rPr>
          <w:rFonts w:ascii="Abadi" w:hAnsi="Abadi" w:cs="ArialMT"/>
          <w:sz w:val="21"/>
          <w:szCs w:val="21"/>
        </w:rPr>
        <w:t xml:space="preserve"> </w:t>
      </w:r>
      <w:r w:rsidRPr="0003104D">
        <w:rPr>
          <w:rFonts w:ascii="Abadi" w:hAnsi="Abadi" w:cs="ArialMT"/>
          <w:sz w:val="21"/>
          <w:szCs w:val="21"/>
        </w:rPr>
        <w:t>Consejo del Poder Judicial del Estado se realice una revisión y reporte</w:t>
      </w:r>
      <w:r>
        <w:rPr>
          <w:rFonts w:ascii="Abadi" w:hAnsi="Abadi" w:cs="ArialMT"/>
          <w:sz w:val="21"/>
          <w:szCs w:val="21"/>
        </w:rPr>
        <w:t xml:space="preserve"> </w:t>
      </w:r>
      <w:r w:rsidRPr="0003104D">
        <w:rPr>
          <w:rFonts w:ascii="Abadi" w:hAnsi="Abadi" w:cs="ArialMT"/>
          <w:sz w:val="21"/>
          <w:szCs w:val="21"/>
        </w:rPr>
        <w:t>puntual de los órganos que lo integran; así como a los organismos</w:t>
      </w:r>
      <w:r>
        <w:rPr>
          <w:rFonts w:ascii="Abadi" w:hAnsi="Abadi" w:cs="ArialMT"/>
          <w:sz w:val="21"/>
          <w:szCs w:val="21"/>
        </w:rPr>
        <w:t xml:space="preserve"> </w:t>
      </w:r>
      <w:r w:rsidRPr="0003104D">
        <w:rPr>
          <w:rFonts w:ascii="Abadi" w:hAnsi="Abadi" w:cs="ArialMT"/>
          <w:sz w:val="21"/>
          <w:szCs w:val="21"/>
        </w:rPr>
        <w:t>autónomos y a los ayuntamientos para que de igual forma se realice una</w:t>
      </w:r>
      <w:r>
        <w:rPr>
          <w:rFonts w:ascii="Abadi" w:hAnsi="Abadi" w:cs="ArialMT"/>
          <w:sz w:val="21"/>
          <w:szCs w:val="21"/>
        </w:rPr>
        <w:t xml:space="preserve"> </w:t>
      </w:r>
      <w:r w:rsidRPr="0003104D">
        <w:rPr>
          <w:rFonts w:ascii="Abadi" w:hAnsi="Abadi" w:cs="ArialMT"/>
          <w:sz w:val="21"/>
          <w:szCs w:val="21"/>
        </w:rPr>
        <w:t>revisión y reporte puntual de sus órganos integradores, a fin de conocer el</w:t>
      </w:r>
      <w:r>
        <w:rPr>
          <w:rFonts w:ascii="Abadi" w:hAnsi="Abadi" w:cs="ArialMT"/>
          <w:sz w:val="21"/>
          <w:szCs w:val="21"/>
        </w:rPr>
        <w:t xml:space="preserve"> </w:t>
      </w:r>
      <w:r w:rsidRPr="0003104D">
        <w:rPr>
          <w:rFonts w:ascii="Abadi" w:hAnsi="Abadi" w:cs="ArialMT"/>
          <w:sz w:val="21"/>
          <w:szCs w:val="21"/>
        </w:rPr>
        <w:t>estado que guarda el cumplimiento de lo mandatado por la reciente</w:t>
      </w:r>
      <w:r>
        <w:rPr>
          <w:rFonts w:ascii="Abadi" w:hAnsi="Abadi" w:cs="ArialMT"/>
          <w:sz w:val="21"/>
          <w:szCs w:val="21"/>
        </w:rPr>
        <w:t xml:space="preserve"> </w:t>
      </w:r>
      <w:r w:rsidRPr="0003104D">
        <w:rPr>
          <w:rFonts w:ascii="Abadi" w:hAnsi="Abadi" w:cs="ArialMT"/>
          <w:sz w:val="21"/>
          <w:szCs w:val="21"/>
        </w:rPr>
        <w:t>reforma a la Constitución Política de los Estados Unidos Mexicanos en los</w:t>
      </w:r>
      <w:r>
        <w:rPr>
          <w:rFonts w:ascii="Abadi" w:hAnsi="Abadi" w:cs="ArialMT"/>
          <w:sz w:val="21"/>
          <w:szCs w:val="21"/>
        </w:rPr>
        <w:t xml:space="preserve"> </w:t>
      </w:r>
      <w:r w:rsidRPr="0003104D">
        <w:rPr>
          <w:rFonts w:ascii="Abadi" w:hAnsi="Abadi" w:cs="ArialMT"/>
          <w:sz w:val="21"/>
          <w:szCs w:val="21"/>
        </w:rPr>
        <w:t xml:space="preserve">artículos 2°, 4°, 41, 52, 53, 56, 94 y 115 en materia de </w:t>
      </w:r>
      <w:r w:rsidRPr="0003104D">
        <w:rPr>
          <w:rFonts w:ascii="Abadi" w:hAnsi="Abadi" w:cs="Arial-ItalicMT"/>
          <w:i/>
          <w:iCs/>
          <w:sz w:val="21"/>
          <w:szCs w:val="21"/>
        </w:rPr>
        <w:t>paridad de género</w:t>
      </w:r>
      <w:r w:rsidRPr="0003104D">
        <w:rPr>
          <w:rFonts w:ascii="Abadi" w:hAnsi="Abadi" w:cs="ArialMT"/>
          <w:sz w:val="21"/>
          <w:szCs w:val="21"/>
        </w:rPr>
        <w:t>,</w:t>
      </w:r>
      <w:r>
        <w:rPr>
          <w:rFonts w:ascii="Abadi" w:hAnsi="Abadi" w:cs="ArialMT"/>
          <w:sz w:val="21"/>
          <w:szCs w:val="21"/>
        </w:rPr>
        <w:t xml:space="preserve"> </w:t>
      </w:r>
      <w:r w:rsidRPr="0003104D">
        <w:rPr>
          <w:rFonts w:ascii="Abadi" w:hAnsi="Abadi" w:cs="ArialMT"/>
          <w:sz w:val="21"/>
          <w:szCs w:val="21"/>
        </w:rPr>
        <w:t>ante la Sexagésima Cuarta Legislatura.</w:t>
      </w:r>
      <w:r>
        <w:rPr>
          <w:rFonts w:ascii="Abadi" w:hAnsi="Abadi" w:cs="ArialMT"/>
          <w:sz w:val="21"/>
          <w:szCs w:val="21"/>
        </w:rPr>
        <w:t xml:space="preserve"> </w:t>
      </w:r>
      <w:r w:rsidRPr="00747C01">
        <w:rPr>
          <w:rFonts w:ascii="Abadi" w:hAnsi="Abadi" w:cs="ArialMT"/>
          <w:sz w:val="21"/>
          <w:szCs w:val="21"/>
        </w:rPr>
        <w:t>XVIII.</w:t>
      </w:r>
      <w:r>
        <w:rPr>
          <w:rFonts w:ascii="Abadi" w:hAnsi="Abadi" w:cs="ArialMT"/>
          <w:sz w:val="21"/>
          <w:szCs w:val="21"/>
        </w:rPr>
        <w:t xml:space="preserve"> </w:t>
      </w:r>
      <w:r w:rsidRPr="0003104D">
        <w:rPr>
          <w:rFonts w:ascii="Abadi" w:hAnsi="Abadi" w:cs="ArialMT"/>
          <w:sz w:val="21"/>
          <w:szCs w:val="21"/>
        </w:rPr>
        <w:t xml:space="preserve">Discusión y, en </w:t>
      </w:r>
      <w:r w:rsidRPr="0003104D">
        <w:rPr>
          <w:rFonts w:ascii="Abadi" w:hAnsi="Abadi" w:cs="ArialMT"/>
          <w:sz w:val="21"/>
          <w:szCs w:val="21"/>
        </w:rPr>
        <w:lastRenderedPageBreak/>
        <w:t>su caso, aprobación del dictamen presentado por la</w:t>
      </w:r>
      <w:r>
        <w:rPr>
          <w:rFonts w:ascii="Abadi" w:hAnsi="Abadi" w:cs="ArialMT"/>
          <w:sz w:val="21"/>
          <w:szCs w:val="21"/>
        </w:rPr>
        <w:t xml:space="preserve"> </w:t>
      </w:r>
      <w:r w:rsidRPr="0003104D">
        <w:rPr>
          <w:rFonts w:ascii="Abadi" w:hAnsi="Abadi" w:cs="ArialMT"/>
          <w:sz w:val="21"/>
          <w:szCs w:val="21"/>
        </w:rPr>
        <w:t>Comisión de Asuntos Municipales relativo a la propuesta de punto de</w:t>
      </w:r>
      <w:r>
        <w:rPr>
          <w:rFonts w:ascii="Abadi" w:hAnsi="Abadi" w:cs="ArialMT"/>
          <w:sz w:val="21"/>
          <w:szCs w:val="21"/>
        </w:rPr>
        <w:t xml:space="preserve"> </w:t>
      </w:r>
      <w:r w:rsidRPr="0003104D">
        <w:rPr>
          <w:rFonts w:ascii="Abadi" w:hAnsi="Abadi" w:cs="ArialMT"/>
          <w:sz w:val="21"/>
          <w:szCs w:val="21"/>
        </w:rPr>
        <w:t>acuerdo formulada por diputadas y diputados integrantes del Grupo</w:t>
      </w:r>
      <w:r>
        <w:rPr>
          <w:rFonts w:ascii="Abadi" w:hAnsi="Abadi" w:cs="ArialMT"/>
          <w:sz w:val="21"/>
          <w:szCs w:val="21"/>
        </w:rPr>
        <w:t xml:space="preserve"> </w:t>
      </w:r>
      <w:r w:rsidRPr="0003104D">
        <w:rPr>
          <w:rFonts w:ascii="Abadi" w:hAnsi="Abadi" w:cs="ArialMT"/>
          <w:sz w:val="21"/>
          <w:szCs w:val="21"/>
        </w:rPr>
        <w:t>Parlamentario del Partido Acción Nacional mediante el cual el Congreso</w:t>
      </w:r>
      <w:r>
        <w:rPr>
          <w:rFonts w:ascii="Abadi" w:hAnsi="Abadi" w:cs="ArialMT"/>
          <w:sz w:val="21"/>
          <w:szCs w:val="21"/>
        </w:rPr>
        <w:t xml:space="preserve"> </w:t>
      </w:r>
      <w:r w:rsidRPr="0003104D">
        <w:rPr>
          <w:rFonts w:ascii="Abadi" w:hAnsi="Abadi" w:cs="ArialMT"/>
          <w:sz w:val="21"/>
          <w:szCs w:val="21"/>
        </w:rPr>
        <w:t>del Estado Libre y Soberano de Guanajuato efectúa un respetuoso exhorto</w:t>
      </w:r>
      <w:r>
        <w:rPr>
          <w:rFonts w:ascii="Abadi" w:hAnsi="Abadi" w:cs="ArialMT"/>
          <w:sz w:val="21"/>
          <w:szCs w:val="21"/>
        </w:rPr>
        <w:t xml:space="preserve"> </w:t>
      </w:r>
      <w:r w:rsidRPr="0003104D">
        <w:rPr>
          <w:rFonts w:ascii="Abadi" w:hAnsi="Abadi" w:cs="ArialMT"/>
          <w:sz w:val="21"/>
          <w:szCs w:val="21"/>
        </w:rPr>
        <w:t>a los cuarenta y seis ayuntamientos, a efecto de dar seguimiento a la</w:t>
      </w:r>
      <w:r>
        <w:rPr>
          <w:rFonts w:ascii="Abadi" w:hAnsi="Abadi" w:cs="ArialMT"/>
          <w:sz w:val="21"/>
          <w:szCs w:val="21"/>
        </w:rPr>
        <w:t xml:space="preserve"> </w:t>
      </w:r>
      <w:r w:rsidRPr="0003104D">
        <w:rPr>
          <w:rFonts w:ascii="Abadi" w:hAnsi="Abadi" w:cs="ArialMT"/>
          <w:sz w:val="21"/>
          <w:szCs w:val="21"/>
        </w:rPr>
        <w:t>instalación de los Consejos Municipales de Adultos Mayores y se expidan</w:t>
      </w:r>
      <w:r>
        <w:rPr>
          <w:rFonts w:ascii="Abadi" w:hAnsi="Abadi" w:cs="ArialMT"/>
          <w:sz w:val="21"/>
          <w:szCs w:val="21"/>
        </w:rPr>
        <w:t xml:space="preserve"> </w:t>
      </w:r>
      <w:r w:rsidRPr="0003104D">
        <w:rPr>
          <w:rFonts w:ascii="Abadi" w:hAnsi="Abadi" w:cs="ArialMT"/>
          <w:sz w:val="21"/>
          <w:szCs w:val="21"/>
        </w:rPr>
        <w:t>los reglamentos correspondientes.</w:t>
      </w:r>
      <w:r>
        <w:rPr>
          <w:rFonts w:ascii="Abadi" w:hAnsi="Abadi" w:cs="ArialMT"/>
          <w:sz w:val="21"/>
          <w:szCs w:val="21"/>
        </w:rPr>
        <w:t xml:space="preserve"> </w:t>
      </w:r>
      <w:r w:rsidRPr="00D43D5C">
        <w:rPr>
          <w:rFonts w:ascii="Abadi" w:hAnsi="Abadi" w:cs="ArialMT"/>
          <w:b/>
          <w:bCs/>
          <w:sz w:val="21"/>
          <w:szCs w:val="21"/>
        </w:rPr>
        <w:t>XIX.</w:t>
      </w:r>
      <w:r>
        <w:rPr>
          <w:rFonts w:ascii="Abadi" w:hAnsi="Abadi" w:cs="ArialMT"/>
          <w:sz w:val="21"/>
          <w:szCs w:val="21"/>
        </w:rPr>
        <w:t xml:space="preserve"> </w:t>
      </w:r>
      <w:r w:rsidRPr="0003104D">
        <w:rPr>
          <w:rFonts w:ascii="Abadi" w:hAnsi="Abadi" w:cs="ArialMT"/>
          <w:sz w:val="21"/>
          <w:szCs w:val="21"/>
        </w:rPr>
        <w:t>Discusión y, en su caso, aprobación del dictamen suscrito por la Comisión</w:t>
      </w:r>
      <w:r>
        <w:rPr>
          <w:rFonts w:ascii="Abadi" w:hAnsi="Abadi" w:cs="ArialMT"/>
          <w:sz w:val="21"/>
          <w:szCs w:val="21"/>
        </w:rPr>
        <w:t xml:space="preserve"> </w:t>
      </w:r>
      <w:r w:rsidRPr="0003104D">
        <w:rPr>
          <w:rFonts w:ascii="Abadi" w:hAnsi="Abadi" w:cs="ArialMT"/>
          <w:sz w:val="21"/>
          <w:szCs w:val="21"/>
        </w:rPr>
        <w:t>de Asuntos Municipales relativo a la propuesta de punto de acuerdo</w:t>
      </w:r>
      <w:r>
        <w:rPr>
          <w:rFonts w:ascii="Abadi" w:hAnsi="Abadi" w:cs="ArialMT"/>
          <w:sz w:val="21"/>
          <w:szCs w:val="21"/>
        </w:rPr>
        <w:t xml:space="preserve"> </w:t>
      </w:r>
      <w:r w:rsidRPr="0003104D">
        <w:rPr>
          <w:rFonts w:ascii="Abadi" w:hAnsi="Abadi" w:cs="ArialMT"/>
          <w:sz w:val="21"/>
          <w:szCs w:val="21"/>
        </w:rPr>
        <w:t>formulada por la diputada Hades Berenice Aguilar Castillo integrante del</w:t>
      </w:r>
      <w:r>
        <w:rPr>
          <w:rFonts w:ascii="Abadi" w:hAnsi="Abadi" w:cs="ArialMT"/>
          <w:sz w:val="21"/>
          <w:szCs w:val="21"/>
        </w:rPr>
        <w:t xml:space="preserve"> </w:t>
      </w:r>
      <w:r w:rsidRPr="0003104D">
        <w:rPr>
          <w:rFonts w:ascii="Abadi" w:hAnsi="Abadi" w:cs="ArialMT"/>
          <w:sz w:val="21"/>
          <w:szCs w:val="21"/>
        </w:rPr>
        <w:t>Grupo Parlamentario del Partido MORENA, por el cual se exhorta al</w:t>
      </w:r>
      <w:r>
        <w:rPr>
          <w:rFonts w:ascii="Abadi" w:hAnsi="Abadi" w:cs="ArialMT"/>
          <w:sz w:val="21"/>
          <w:szCs w:val="21"/>
        </w:rPr>
        <w:t xml:space="preserve"> </w:t>
      </w:r>
      <w:r w:rsidRPr="0003104D">
        <w:rPr>
          <w:rFonts w:ascii="Abadi" w:hAnsi="Abadi" w:cs="ArialMT"/>
          <w:sz w:val="21"/>
          <w:szCs w:val="21"/>
        </w:rPr>
        <w:t>Presidente Municipal de Celaya, Guanajuato, para que atienda el caso de</w:t>
      </w:r>
      <w:r>
        <w:rPr>
          <w:rFonts w:ascii="Abadi" w:hAnsi="Abadi" w:cs="ArialMT"/>
          <w:sz w:val="21"/>
          <w:szCs w:val="21"/>
        </w:rPr>
        <w:t xml:space="preserve"> </w:t>
      </w:r>
      <w:r w:rsidRPr="0003104D">
        <w:rPr>
          <w:rFonts w:ascii="Abadi" w:hAnsi="Abadi" w:cs="ArialMT"/>
          <w:sz w:val="21"/>
          <w:szCs w:val="21"/>
        </w:rPr>
        <w:t>los comerciantes del Mercado Agropecuario Siglo XXI.</w:t>
      </w:r>
      <w:r>
        <w:rPr>
          <w:rFonts w:ascii="Abadi" w:hAnsi="Abadi" w:cs="ArialMT"/>
          <w:sz w:val="21"/>
          <w:szCs w:val="21"/>
        </w:rPr>
        <w:t xml:space="preserve"> </w:t>
      </w:r>
      <w:r w:rsidRPr="00D43D5C">
        <w:rPr>
          <w:rFonts w:ascii="Abadi" w:hAnsi="Abadi" w:cs="ArialMT"/>
          <w:b/>
          <w:bCs/>
          <w:sz w:val="21"/>
          <w:szCs w:val="21"/>
        </w:rPr>
        <w:t>XX.</w:t>
      </w:r>
      <w:r>
        <w:rPr>
          <w:rFonts w:ascii="Abadi" w:hAnsi="Abadi" w:cs="ArialMT"/>
          <w:sz w:val="21"/>
          <w:szCs w:val="21"/>
        </w:rPr>
        <w:t xml:space="preserve"> </w:t>
      </w:r>
      <w:r w:rsidRPr="0003104D">
        <w:rPr>
          <w:rFonts w:ascii="Abadi" w:hAnsi="Abadi" w:cs="ArialMT"/>
          <w:sz w:val="21"/>
          <w:szCs w:val="21"/>
        </w:rPr>
        <w:t>Discusión y, en su caso, aprobación del dictamen signado por la Comisión</w:t>
      </w:r>
      <w:r>
        <w:rPr>
          <w:rFonts w:ascii="Abadi" w:hAnsi="Abadi" w:cs="ArialMT"/>
          <w:sz w:val="21"/>
          <w:szCs w:val="21"/>
        </w:rPr>
        <w:t xml:space="preserve"> </w:t>
      </w:r>
      <w:r w:rsidRPr="0003104D">
        <w:rPr>
          <w:rFonts w:ascii="Abadi" w:hAnsi="Abadi" w:cs="ArialMT"/>
          <w:sz w:val="21"/>
          <w:szCs w:val="21"/>
        </w:rPr>
        <w:t>de Asuntos Municipales relativo a la propuesta de punto de acuerdo</w:t>
      </w:r>
      <w:r>
        <w:rPr>
          <w:rFonts w:ascii="Abadi" w:hAnsi="Abadi" w:cs="ArialMT"/>
          <w:sz w:val="21"/>
          <w:szCs w:val="21"/>
        </w:rPr>
        <w:t xml:space="preserve"> </w:t>
      </w:r>
      <w:r w:rsidRPr="0003104D">
        <w:rPr>
          <w:rFonts w:ascii="Abadi" w:hAnsi="Abadi" w:cs="ArialMT"/>
          <w:sz w:val="21"/>
          <w:szCs w:val="21"/>
        </w:rPr>
        <w:t>formulada por el diputado David Martínez Mendizábal integrante del Grupo</w:t>
      </w:r>
      <w:r>
        <w:rPr>
          <w:rFonts w:ascii="Abadi" w:hAnsi="Abadi" w:cs="ArialMT"/>
          <w:sz w:val="21"/>
          <w:szCs w:val="21"/>
        </w:rPr>
        <w:t xml:space="preserve"> </w:t>
      </w:r>
      <w:r w:rsidRPr="0003104D">
        <w:rPr>
          <w:rFonts w:ascii="Abadi" w:hAnsi="Abadi" w:cs="ArialMT"/>
          <w:sz w:val="21"/>
          <w:szCs w:val="21"/>
        </w:rPr>
        <w:t>Parlamentario del Partido MORENA, a efecto de exhortar al Sistema de</w:t>
      </w:r>
      <w:r>
        <w:rPr>
          <w:rFonts w:ascii="Abadi" w:hAnsi="Abadi" w:cs="ArialMT"/>
          <w:sz w:val="21"/>
          <w:szCs w:val="21"/>
        </w:rPr>
        <w:t xml:space="preserve"> </w:t>
      </w:r>
      <w:r w:rsidRPr="0003104D">
        <w:rPr>
          <w:rFonts w:ascii="Abadi" w:hAnsi="Abadi" w:cs="ArialMT"/>
          <w:sz w:val="21"/>
          <w:szCs w:val="21"/>
        </w:rPr>
        <w:t>Agua Potable y Alcantarillado de León (SAPAL) para que informe</w:t>
      </w:r>
      <w:r>
        <w:rPr>
          <w:rFonts w:ascii="Abadi" w:hAnsi="Abadi" w:cs="ArialMT"/>
          <w:sz w:val="21"/>
          <w:szCs w:val="21"/>
        </w:rPr>
        <w:t xml:space="preserve"> </w:t>
      </w:r>
      <w:r w:rsidRPr="0003104D">
        <w:rPr>
          <w:rFonts w:ascii="Abadi" w:hAnsi="Abadi" w:cs="ArialMT"/>
          <w:sz w:val="21"/>
          <w:szCs w:val="21"/>
        </w:rPr>
        <w:t>detalladamente a esta Soberanía sobre sus investigaciones internas de los</w:t>
      </w:r>
      <w:r>
        <w:rPr>
          <w:rFonts w:ascii="Abadi" w:hAnsi="Abadi" w:cs="ArialMT"/>
          <w:sz w:val="21"/>
          <w:szCs w:val="21"/>
        </w:rPr>
        <w:t xml:space="preserve"> </w:t>
      </w:r>
      <w:r w:rsidRPr="0003104D">
        <w:rPr>
          <w:rFonts w:ascii="Abadi" w:hAnsi="Abadi" w:cs="ArialMT"/>
          <w:sz w:val="21"/>
          <w:szCs w:val="21"/>
        </w:rPr>
        <w:t>hechos ocurridos el 13 de noviembre de 2020 en la Planta de Tratamiento</w:t>
      </w:r>
      <w:r>
        <w:rPr>
          <w:rFonts w:ascii="Abadi" w:hAnsi="Abadi" w:cs="ArialMT"/>
          <w:sz w:val="21"/>
          <w:szCs w:val="21"/>
        </w:rPr>
        <w:t xml:space="preserve">  </w:t>
      </w:r>
      <w:r w:rsidRPr="0003104D">
        <w:rPr>
          <w:rFonts w:ascii="Abadi" w:hAnsi="Abadi" w:cs="ArialMT"/>
          <w:sz w:val="21"/>
          <w:szCs w:val="21"/>
        </w:rPr>
        <w:t>de Aguas Residuales Municipales y su Módulo de Desbaste; a la Fiscalía</w:t>
      </w:r>
      <w:r>
        <w:rPr>
          <w:rFonts w:ascii="Abadi" w:hAnsi="Abadi" w:cs="ArialMT"/>
          <w:sz w:val="21"/>
          <w:szCs w:val="21"/>
        </w:rPr>
        <w:t xml:space="preserve"> </w:t>
      </w:r>
      <w:r w:rsidRPr="0003104D">
        <w:rPr>
          <w:rFonts w:ascii="Abadi" w:hAnsi="Abadi" w:cs="ArialMT"/>
          <w:sz w:val="21"/>
          <w:szCs w:val="21"/>
        </w:rPr>
        <w:t>General del Estado de Guanajuato a efecto de que remita un informe a</w:t>
      </w:r>
      <w:r>
        <w:rPr>
          <w:rFonts w:ascii="Abadi" w:hAnsi="Abadi" w:cs="ArialMT"/>
          <w:sz w:val="21"/>
          <w:szCs w:val="21"/>
        </w:rPr>
        <w:t xml:space="preserve"> </w:t>
      </w:r>
      <w:r w:rsidRPr="0003104D">
        <w:rPr>
          <w:rFonts w:ascii="Abadi" w:hAnsi="Abadi" w:cs="ArialMT"/>
          <w:sz w:val="21"/>
          <w:szCs w:val="21"/>
        </w:rPr>
        <w:t>esta Soberanía sobre las investigaciones criminales correspondientes a los</w:t>
      </w:r>
      <w:r>
        <w:rPr>
          <w:rFonts w:ascii="Abadi" w:hAnsi="Abadi" w:cs="ArialMT"/>
          <w:sz w:val="21"/>
          <w:szCs w:val="21"/>
        </w:rPr>
        <w:t xml:space="preserve"> </w:t>
      </w:r>
      <w:r w:rsidRPr="0003104D">
        <w:rPr>
          <w:rFonts w:ascii="Abadi" w:hAnsi="Abadi" w:cs="ArialMT"/>
          <w:sz w:val="21"/>
          <w:szCs w:val="21"/>
        </w:rPr>
        <w:t>hechos ocurridos el 13 de noviembre de 2020 en la Planta de Tratamiento</w:t>
      </w:r>
      <w:r>
        <w:rPr>
          <w:rFonts w:ascii="Abadi" w:hAnsi="Abadi" w:cs="ArialMT"/>
          <w:sz w:val="21"/>
          <w:szCs w:val="21"/>
        </w:rPr>
        <w:t xml:space="preserve"> </w:t>
      </w:r>
      <w:r w:rsidRPr="0003104D">
        <w:rPr>
          <w:rFonts w:ascii="Abadi" w:hAnsi="Abadi" w:cs="ArialMT"/>
          <w:sz w:val="21"/>
          <w:szCs w:val="21"/>
        </w:rPr>
        <w:t>de Aguas Residuales Municipales y su Módulo de Desbaste del Sistema</w:t>
      </w:r>
      <w:r>
        <w:rPr>
          <w:rFonts w:ascii="Abadi" w:hAnsi="Abadi" w:cs="ArialMT"/>
          <w:sz w:val="21"/>
          <w:szCs w:val="21"/>
        </w:rPr>
        <w:t xml:space="preserve"> </w:t>
      </w:r>
      <w:r w:rsidRPr="0003104D">
        <w:rPr>
          <w:rFonts w:ascii="Abadi" w:hAnsi="Abadi" w:cs="ArialMT"/>
          <w:sz w:val="21"/>
          <w:szCs w:val="21"/>
        </w:rPr>
        <w:t>de Agua Potable y Alcantarillado de León (SAPAL); a la Procuraduría de</w:t>
      </w:r>
      <w:r>
        <w:rPr>
          <w:rFonts w:ascii="Abadi" w:hAnsi="Abadi" w:cs="ArialMT"/>
          <w:sz w:val="21"/>
          <w:szCs w:val="21"/>
        </w:rPr>
        <w:t xml:space="preserve"> </w:t>
      </w:r>
      <w:r w:rsidRPr="0003104D">
        <w:rPr>
          <w:rFonts w:ascii="Abadi" w:hAnsi="Abadi" w:cs="ArialMT"/>
          <w:sz w:val="21"/>
          <w:szCs w:val="21"/>
        </w:rPr>
        <w:t>Derechos Humanos del Estado de Guanajuato, a efecto de que rinda un</w:t>
      </w:r>
      <w:r>
        <w:rPr>
          <w:rFonts w:ascii="Abadi" w:hAnsi="Abadi" w:cs="ArialMT"/>
          <w:sz w:val="21"/>
          <w:szCs w:val="21"/>
        </w:rPr>
        <w:t xml:space="preserve"> </w:t>
      </w:r>
      <w:r w:rsidRPr="0003104D">
        <w:rPr>
          <w:rFonts w:ascii="Abadi" w:hAnsi="Abadi" w:cs="ArialMT"/>
          <w:sz w:val="21"/>
          <w:szCs w:val="21"/>
        </w:rPr>
        <w:t>informe a esta Soberanía sobre el estado que guarda el expediente</w:t>
      </w:r>
      <w:r>
        <w:rPr>
          <w:rFonts w:ascii="Abadi" w:hAnsi="Abadi" w:cs="ArialMT"/>
          <w:sz w:val="21"/>
          <w:szCs w:val="21"/>
        </w:rPr>
        <w:t xml:space="preserve"> </w:t>
      </w:r>
      <w:r w:rsidRPr="0003104D">
        <w:rPr>
          <w:rFonts w:ascii="Abadi" w:hAnsi="Abadi" w:cs="ArialMT"/>
          <w:sz w:val="21"/>
          <w:szCs w:val="21"/>
        </w:rPr>
        <w:t>número 24-21-A-II, radicado en la Subprocuraduría Zona A, el día 8 de</w:t>
      </w:r>
      <w:r>
        <w:rPr>
          <w:rFonts w:ascii="Abadi" w:hAnsi="Abadi" w:cs="ArialMT"/>
          <w:sz w:val="21"/>
          <w:szCs w:val="21"/>
        </w:rPr>
        <w:t xml:space="preserve"> </w:t>
      </w:r>
      <w:r w:rsidRPr="0003104D">
        <w:rPr>
          <w:rFonts w:ascii="Abadi" w:hAnsi="Abadi" w:cs="ArialMT"/>
          <w:sz w:val="21"/>
          <w:szCs w:val="21"/>
        </w:rPr>
        <w:t>febrero de 2021, y al Ayuntamiento del Municipio de León para que</w:t>
      </w:r>
      <w:r>
        <w:rPr>
          <w:rFonts w:ascii="Abadi" w:hAnsi="Abadi" w:cs="ArialMT"/>
          <w:sz w:val="21"/>
          <w:szCs w:val="21"/>
        </w:rPr>
        <w:t xml:space="preserve"> </w:t>
      </w:r>
      <w:r w:rsidRPr="0003104D">
        <w:rPr>
          <w:rFonts w:ascii="Abadi" w:hAnsi="Abadi" w:cs="ArialMT"/>
          <w:sz w:val="21"/>
          <w:szCs w:val="21"/>
        </w:rPr>
        <w:t xml:space="preserve">conforme una </w:t>
      </w:r>
      <w:r w:rsidRPr="0003104D">
        <w:rPr>
          <w:rFonts w:ascii="Abadi" w:hAnsi="Abadi" w:cs="ArialMT"/>
          <w:sz w:val="21"/>
          <w:szCs w:val="21"/>
        </w:rPr>
        <w:t>comisión mixta, integrada tanto por ediles tanto como por</w:t>
      </w:r>
      <w:r>
        <w:rPr>
          <w:rFonts w:ascii="Abadi" w:hAnsi="Abadi" w:cs="ArialMT"/>
          <w:sz w:val="21"/>
          <w:szCs w:val="21"/>
        </w:rPr>
        <w:t xml:space="preserve"> </w:t>
      </w:r>
      <w:r w:rsidRPr="0003104D">
        <w:rPr>
          <w:rFonts w:ascii="Abadi" w:hAnsi="Abadi" w:cs="ArialMT"/>
          <w:sz w:val="21"/>
          <w:szCs w:val="21"/>
        </w:rPr>
        <w:t>civiles, con facultades suficientes de investigación sobre posibles</w:t>
      </w:r>
      <w:r>
        <w:rPr>
          <w:rFonts w:ascii="Abadi" w:hAnsi="Abadi" w:cs="ArialMT"/>
          <w:sz w:val="21"/>
          <w:szCs w:val="21"/>
        </w:rPr>
        <w:t xml:space="preserve"> </w:t>
      </w:r>
      <w:r w:rsidRPr="0003104D">
        <w:rPr>
          <w:rFonts w:ascii="Abadi" w:hAnsi="Abadi" w:cs="ArialMT"/>
          <w:sz w:val="21"/>
          <w:szCs w:val="21"/>
        </w:rPr>
        <w:t>violaciones a diversas normativas laborales de seguridad e higiene en la</w:t>
      </w:r>
      <w:r>
        <w:rPr>
          <w:rFonts w:ascii="Abadi" w:hAnsi="Abadi" w:cs="ArialMT"/>
          <w:sz w:val="21"/>
          <w:szCs w:val="21"/>
        </w:rPr>
        <w:t xml:space="preserve"> </w:t>
      </w:r>
      <w:r w:rsidRPr="0003104D">
        <w:rPr>
          <w:rFonts w:ascii="Abadi" w:hAnsi="Abadi" w:cs="ArialMT"/>
          <w:sz w:val="21"/>
          <w:szCs w:val="21"/>
        </w:rPr>
        <w:t>Planta de Tratamiento de Aguas Residuales Municipales y su Módulo de</w:t>
      </w:r>
      <w:r>
        <w:rPr>
          <w:rFonts w:ascii="Abadi" w:hAnsi="Abadi" w:cs="ArialMT"/>
          <w:sz w:val="21"/>
          <w:szCs w:val="21"/>
        </w:rPr>
        <w:t xml:space="preserve"> </w:t>
      </w:r>
      <w:r w:rsidRPr="0003104D">
        <w:rPr>
          <w:rFonts w:ascii="Abadi" w:hAnsi="Abadi" w:cs="ArialMT"/>
          <w:sz w:val="21"/>
          <w:szCs w:val="21"/>
        </w:rPr>
        <w:t>Desbaste del Sistema de Agua Potable y Alcantarillado de León (SAPAL)</w:t>
      </w:r>
      <w:r>
        <w:rPr>
          <w:rFonts w:ascii="Abadi" w:hAnsi="Abadi" w:cs="ArialMT"/>
          <w:sz w:val="21"/>
          <w:szCs w:val="21"/>
        </w:rPr>
        <w:t xml:space="preserve"> </w:t>
      </w:r>
      <w:r w:rsidRPr="0003104D">
        <w:rPr>
          <w:rFonts w:ascii="Abadi" w:hAnsi="Abadi" w:cs="ArialMT"/>
          <w:sz w:val="21"/>
          <w:szCs w:val="21"/>
        </w:rPr>
        <w:t>y, en su caso, iniciar los procedimientos legales que correspondan.</w:t>
      </w:r>
      <w:r>
        <w:rPr>
          <w:rFonts w:ascii="Abadi" w:hAnsi="Abadi" w:cs="ArialMT"/>
          <w:sz w:val="21"/>
          <w:szCs w:val="21"/>
        </w:rPr>
        <w:t xml:space="preserve"> </w:t>
      </w:r>
      <w:r w:rsidRPr="00B02130">
        <w:rPr>
          <w:rFonts w:ascii="Abadi" w:hAnsi="Abadi" w:cs="ArialMT"/>
          <w:b/>
          <w:bCs/>
          <w:sz w:val="21"/>
          <w:szCs w:val="21"/>
        </w:rPr>
        <w:t>XXI.</w:t>
      </w:r>
      <w:r>
        <w:rPr>
          <w:rFonts w:ascii="Abadi" w:hAnsi="Abadi" w:cs="ArialMT"/>
          <w:sz w:val="21"/>
          <w:szCs w:val="21"/>
        </w:rPr>
        <w:t xml:space="preserve"> </w:t>
      </w:r>
      <w:r w:rsidRPr="0003104D">
        <w:rPr>
          <w:rFonts w:ascii="Abadi" w:hAnsi="Abadi" w:cs="ArialMT"/>
          <w:sz w:val="21"/>
          <w:szCs w:val="21"/>
        </w:rPr>
        <w:t>Discusión y, en su caso, aprobación del dictamen presentado por la</w:t>
      </w:r>
      <w:r>
        <w:rPr>
          <w:rFonts w:ascii="Abadi" w:hAnsi="Abadi" w:cs="ArialMT"/>
          <w:sz w:val="21"/>
          <w:szCs w:val="21"/>
        </w:rPr>
        <w:t xml:space="preserve"> </w:t>
      </w:r>
      <w:r w:rsidRPr="0003104D">
        <w:rPr>
          <w:rFonts w:ascii="Abadi" w:hAnsi="Abadi" w:cs="ArialMT"/>
          <w:sz w:val="21"/>
          <w:szCs w:val="21"/>
        </w:rPr>
        <w:t>Comisión de Asuntos Municipales relativo a la iniciativa por la que se</w:t>
      </w:r>
      <w:r>
        <w:rPr>
          <w:rFonts w:ascii="Abadi" w:hAnsi="Abadi" w:cs="ArialMT"/>
          <w:sz w:val="21"/>
          <w:szCs w:val="21"/>
        </w:rPr>
        <w:t xml:space="preserve"> </w:t>
      </w:r>
      <w:r w:rsidRPr="0003104D">
        <w:rPr>
          <w:rFonts w:ascii="Abadi" w:hAnsi="Abadi" w:cs="ArialMT"/>
          <w:sz w:val="21"/>
          <w:szCs w:val="21"/>
        </w:rPr>
        <w:t>reforma el artículo 19 de la Ley Orgánica Municipal para el Estado de</w:t>
      </w:r>
      <w:r>
        <w:rPr>
          <w:rFonts w:ascii="Abadi" w:hAnsi="Abadi" w:cs="ArialMT"/>
          <w:sz w:val="21"/>
          <w:szCs w:val="21"/>
        </w:rPr>
        <w:t xml:space="preserve"> </w:t>
      </w:r>
      <w:r w:rsidRPr="0003104D">
        <w:rPr>
          <w:rFonts w:ascii="Abadi" w:hAnsi="Abadi" w:cs="ArialMT"/>
          <w:sz w:val="21"/>
          <w:szCs w:val="21"/>
        </w:rPr>
        <w:t>Guanajuato suscrita por diputadas y diputados integrantes del Grupo</w:t>
      </w:r>
      <w:r>
        <w:rPr>
          <w:rFonts w:ascii="Abadi" w:hAnsi="Abadi" w:cs="ArialMT"/>
          <w:sz w:val="21"/>
          <w:szCs w:val="21"/>
        </w:rPr>
        <w:t xml:space="preserve"> </w:t>
      </w:r>
      <w:r w:rsidRPr="0003104D">
        <w:rPr>
          <w:rFonts w:ascii="Abadi" w:hAnsi="Abadi" w:cs="ArialMT"/>
          <w:sz w:val="21"/>
          <w:szCs w:val="21"/>
        </w:rPr>
        <w:t>Parlamentario del Partido Acción Nacional.</w:t>
      </w:r>
      <w:r>
        <w:rPr>
          <w:rFonts w:ascii="Abadi" w:hAnsi="Abadi" w:cs="ArialMT"/>
          <w:sz w:val="21"/>
          <w:szCs w:val="21"/>
        </w:rPr>
        <w:t xml:space="preserve"> </w:t>
      </w:r>
      <w:r w:rsidRPr="00B02130">
        <w:rPr>
          <w:rFonts w:ascii="Abadi" w:hAnsi="Abadi" w:cs="ArialMT"/>
          <w:b/>
          <w:bCs/>
          <w:sz w:val="21"/>
          <w:szCs w:val="21"/>
        </w:rPr>
        <w:t>XXII.</w:t>
      </w:r>
      <w:r>
        <w:rPr>
          <w:rFonts w:ascii="Abadi" w:hAnsi="Abadi" w:cs="ArialMT"/>
          <w:sz w:val="21"/>
          <w:szCs w:val="21"/>
        </w:rPr>
        <w:t xml:space="preserve"> </w:t>
      </w:r>
      <w:r w:rsidRPr="0003104D">
        <w:rPr>
          <w:rFonts w:ascii="Abadi" w:hAnsi="Abadi" w:cs="ArialMT"/>
          <w:sz w:val="21"/>
          <w:szCs w:val="21"/>
        </w:rPr>
        <w:t>Discusión y, en su caso, aprobación del dictamen signado por la Comisión</w:t>
      </w:r>
      <w:r>
        <w:rPr>
          <w:rFonts w:ascii="Abadi" w:hAnsi="Abadi" w:cs="ArialMT"/>
          <w:sz w:val="21"/>
          <w:szCs w:val="21"/>
        </w:rPr>
        <w:t xml:space="preserve"> </w:t>
      </w:r>
      <w:r w:rsidRPr="0003104D">
        <w:rPr>
          <w:rFonts w:ascii="Abadi" w:hAnsi="Abadi" w:cs="ArialMT"/>
          <w:sz w:val="21"/>
          <w:szCs w:val="21"/>
        </w:rPr>
        <w:t>de Seguridad Pública y Comunicaciones relativo a la iniciativa suscrita por</w:t>
      </w:r>
      <w:r>
        <w:rPr>
          <w:rFonts w:ascii="Abadi" w:hAnsi="Abadi" w:cs="ArialMT"/>
          <w:sz w:val="21"/>
          <w:szCs w:val="21"/>
        </w:rPr>
        <w:t xml:space="preserve"> </w:t>
      </w:r>
      <w:r w:rsidRPr="0003104D">
        <w:rPr>
          <w:rFonts w:ascii="Abadi" w:hAnsi="Abadi" w:cs="ArialMT"/>
          <w:sz w:val="21"/>
          <w:szCs w:val="21"/>
        </w:rPr>
        <w:t>la diputada y el diputado integrantes del Grupo Parlamentario del Partido</w:t>
      </w:r>
      <w:r>
        <w:rPr>
          <w:rFonts w:ascii="Abadi" w:hAnsi="Abadi" w:cs="ArialMT"/>
          <w:sz w:val="21"/>
          <w:szCs w:val="21"/>
        </w:rPr>
        <w:t xml:space="preserve"> </w:t>
      </w:r>
      <w:r w:rsidRPr="0003104D">
        <w:rPr>
          <w:rFonts w:ascii="Abadi" w:hAnsi="Abadi" w:cs="ArialMT"/>
          <w:sz w:val="21"/>
          <w:szCs w:val="21"/>
        </w:rPr>
        <w:t>Verde Ecologista de México a efecto de adicionar un párrafo segundo al</w:t>
      </w:r>
      <w:r>
        <w:rPr>
          <w:rFonts w:ascii="Abadi" w:hAnsi="Abadi" w:cs="ArialMT"/>
          <w:sz w:val="21"/>
          <w:szCs w:val="21"/>
        </w:rPr>
        <w:t xml:space="preserve"> </w:t>
      </w:r>
      <w:r w:rsidRPr="0003104D">
        <w:rPr>
          <w:rFonts w:ascii="Abadi" w:hAnsi="Abadi" w:cs="ArialMT"/>
          <w:sz w:val="21"/>
          <w:szCs w:val="21"/>
        </w:rPr>
        <w:t>artículo 251 de la Ley de Movilidad del Estado de Guanajuato y sus</w:t>
      </w:r>
      <w:r>
        <w:rPr>
          <w:rFonts w:ascii="Abadi" w:hAnsi="Abadi" w:cs="ArialMT"/>
          <w:sz w:val="21"/>
          <w:szCs w:val="21"/>
        </w:rPr>
        <w:t xml:space="preserve"> </w:t>
      </w:r>
      <w:r w:rsidRPr="0003104D">
        <w:rPr>
          <w:rFonts w:ascii="Abadi" w:hAnsi="Abadi" w:cs="ArialMT"/>
          <w:sz w:val="21"/>
          <w:szCs w:val="21"/>
        </w:rPr>
        <w:t>Municipios.</w:t>
      </w:r>
      <w:r>
        <w:rPr>
          <w:rFonts w:ascii="Abadi" w:hAnsi="Abadi" w:cs="ArialMT"/>
          <w:sz w:val="21"/>
          <w:szCs w:val="21"/>
        </w:rPr>
        <w:t xml:space="preserve"> </w:t>
      </w:r>
      <w:r w:rsidRPr="00B02130">
        <w:rPr>
          <w:rFonts w:ascii="Abadi" w:hAnsi="Abadi" w:cs="ArialMT"/>
          <w:b/>
          <w:bCs/>
          <w:sz w:val="21"/>
          <w:szCs w:val="21"/>
        </w:rPr>
        <w:t>XXIII.</w:t>
      </w:r>
      <w:r>
        <w:rPr>
          <w:rFonts w:ascii="Abadi" w:hAnsi="Abadi" w:cs="ArialMT"/>
          <w:sz w:val="21"/>
          <w:szCs w:val="21"/>
        </w:rPr>
        <w:t xml:space="preserve"> </w:t>
      </w:r>
      <w:r w:rsidRPr="0003104D">
        <w:rPr>
          <w:rFonts w:ascii="Abadi" w:hAnsi="Abadi" w:cs="ArialMT"/>
          <w:sz w:val="21"/>
          <w:szCs w:val="21"/>
        </w:rPr>
        <w:t>Discusión y, en su caso, aprobación del dictamen emitido por la Comisión</w:t>
      </w:r>
      <w:r>
        <w:rPr>
          <w:rFonts w:ascii="Abadi" w:hAnsi="Abadi" w:cs="ArialMT"/>
          <w:sz w:val="21"/>
          <w:szCs w:val="21"/>
        </w:rPr>
        <w:t xml:space="preserve"> </w:t>
      </w:r>
      <w:r w:rsidRPr="0003104D">
        <w:rPr>
          <w:rFonts w:ascii="Abadi" w:hAnsi="Abadi" w:cs="ArialMT"/>
          <w:sz w:val="21"/>
          <w:szCs w:val="21"/>
        </w:rPr>
        <w:t>de Seguridad Pública y Comunicaciones relativo a la iniciativa suscrita por</w:t>
      </w:r>
      <w:r>
        <w:rPr>
          <w:rFonts w:ascii="Abadi" w:hAnsi="Abadi" w:cs="ArialMT"/>
          <w:sz w:val="21"/>
          <w:szCs w:val="21"/>
        </w:rPr>
        <w:t xml:space="preserve"> </w:t>
      </w:r>
      <w:r w:rsidRPr="0003104D">
        <w:rPr>
          <w:rFonts w:ascii="Abadi" w:hAnsi="Abadi" w:cs="ArialMT"/>
          <w:sz w:val="21"/>
          <w:szCs w:val="21"/>
        </w:rPr>
        <w:t>diputadas y diputados integrantes del Grupo Parlamentario del Partido</w:t>
      </w:r>
      <w:r>
        <w:rPr>
          <w:rFonts w:ascii="Abadi" w:hAnsi="Abadi" w:cs="ArialMT"/>
          <w:sz w:val="21"/>
          <w:szCs w:val="21"/>
        </w:rPr>
        <w:t xml:space="preserve"> </w:t>
      </w:r>
      <w:r w:rsidRPr="0003104D">
        <w:rPr>
          <w:rFonts w:ascii="Abadi" w:hAnsi="Abadi" w:cs="ArialMT"/>
          <w:sz w:val="21"/>
          <w:szCs w:val="21"/>
        </w:rPr>
        <w:t>Acción Nacional por la que se adiciona un segundo párrafo que contiene</w:t>
      </w:r>
      <w:r>
        <w:rPr>
          <w:rFonts w:ascii="Abadi" w:hAnsi="Abadi" w:cs="ArialMT"/>
          <w:sz w:val="21"/>
          <w:szCs w:val="21"/>
        </w:rPr>
        <w:t xml:space="preserve"> </w:t>
      </w:r>
      <w:r w:rsidRPr="0003104D">
        <w:rPr>
          <w:rFonts w:ascii="Abadi" w:hAnsi="Abadi" w:cs="ArialMT"/>
          <w:sz w:val="21"/>
          <w:szCs w:val="21"/>
        </w:rPr>
        <w:t>las fracciones de la I a la VIII al artículo 18 de la Ley del Sistema de</w:t>
      </w:r>
      <w:r>
        <w:rPr>
          <w:rFonts w:ascii="Abadi" w:hAnsi="Abadi" w:cs="ArialMT"/>
          <w:sz w:val="21"/>
          <w:szCs w:val="21"/>
        </w:rPr>
        <w:t xml:space="preserve"> </w:t>
      </w:r>
      <w:r w:rsidRPr="0003104D">
        <w:rPr>
          <w:rFonts w:ascii="Abadi" w:hAnsi="Abadi" w:cs="ArialMT"/>
          <w:sz w:val="21"/>
          <w:szCs w:val="21"/>
        </w:rPr>
        <w:t>Seguridad Pública del Estado de Guanajuato.</w:t>
      </w:r>
      <w:r>
        <w:rPr>
          <w:rFonts w:ascii="Abadi" w:hAnsi="Abadi" w:cs="ArialMT"/>
          <w:sz w:val="21"/>
          <w:szCs w:val="21"/>
        </w:rPr>
        <w:t xml:space="preserve"> </w:t>
      </w:r>
      <w:r w:rsidRPr="00B02130">
        <w:rPr>
          <w:rFonts w:ascii="Abadi" w:hAnsi="Abadi" w:cs="ArialMT"/>
          <w:b/>
          <w:bCs/>
          <w:sz w:val="21"/>
          <w:szCs w:val="21"/>
        </w:rPr>
        <w:t>XXIV.</w:t>
      </w:r>
      <w:r>
        <w:rPr>
          <w:rFonts w:ascii="Abadi" w:hAnsi="Abadi" w:cs="ArialMT"/>
          <w:sz w:val="21"/>
          <w:szCs w:val="21"/>
        </w:rPr>
        <w:t xml:space="preserve"> </w:t>
      </w:r>
      <w:r w:rsidRPr="0003104D">
        <w:rPr>
          <w:rFonts w:ascii="Abadi" w:hAnsi="Abadi" w:cs="ArialMT"/>
          <w:sz w:val="21"/>
          <w:szCs w:val="21"/>
        </w:rPr>
        <w:t>Discusión y, en su caso, aprobación del dictamen suscrito por la Comisión</w:t>
      </w:r>
      <w:r>
        <w:rPr>
          <w:rFonts w:ascii="Abadi" w:hAnsi="Abadi" w:cs="ArialMT"/>
          <w:sz w:val="21"/>
          <w:szCs w:val="21"/>
        </w:rPr>
        <w:t xml:space="preserve"> </w:t>
      </w:r>
      <w:r w:rsidRPr="0003104D">
        <w:rPr>
          <w:rFonts w:ascii="Abadi" w:hAnsi="Abadi" w:cs="ArialMT"/>
          <w:sz w:val="21"/>
          <w:szCs w:val="21"/>
        </w:rPr>
        <w:t>de Hacienda y Fiscalización relativo a la iniciativa formulada por las</w:t>
      </w:r>
      <w:r>
        <w:rPr>
          <w:rFonts w:ascii="Abadi" w:hAnsi="Abadi" w:cs="ArialMT"/>
          <w:sz w:val="21"/>
          <w:szCs w:val="21"/>
        </w:rPr>
        <w:t xml:space="preserve"> </w:t>
      </w:r>
      <w:r w:rsidRPr="0003104D">
        <w:rPr>
          <w:rFonts w:ascii="Abadi" w:hAnsi="Abadi" w:cs="ArialMT"/>
          <w:sz w:val="21"/>
          <w:szCs w:val="21"/>
        </w:rPr>
        <w:t>diputadas y los diputados integrantes del Grupo Parlamentario del Partido</w:t>
      </w:r>
      <w:r>
        <w:rPr>
          <w:rFonts w:ascii="Abadi" w:hAnsi="Abadi" w:cs="ArialMT"/>
          <w:sz w:val="21"/>
          <w:szCs w:val="21"/>
        </w:rPr>
        <w:t xml:space="preserve"> </w:t>
      </w:r>
      <w:r w:rsidRPr="0003104D">
        <w:rPr>
          <w:rFonts w:ascii="Abadi" w:hAnsi="Abadi" w:cs="ArialMT"/>
          <w:sz w:val="21"/>
          <w:szCs w:val="21"/>
        </w:rPr>
        <w:t>Revolucionario Institucional de la Sexagésima Cuarta Legislatura, a efecto</w:t>
      </w:r>
      <w:r>
        <w:rPr>
          <w:rFonts w:ascii="Abadi" w:hAnsi="Abadi" w:cs="ArialMT"/>
          <w:sz w:val="21"/>
          <w:szCs w:val="21"/>
        </w:rPr>
        <w:t xml:space="preserve"> </w:t>
      </w:r>
      <w:r w:rsidRPr="0003104D">
        <w:rPr>
          <w:rFonts w:ascii="Abadi" w:hAnsi="Abadi" w:cs="ArialMT"/>
          <w:sz w:val="21"/>
          <w:szCs w:val="21"/>
        </w:rPr>
        <w:t>de reformar el artículo 11 y derogar el Capítulo III del Título Segundo de la</w:t>
      </w:r>
      <w:r>
        <w:rPr>
          <w:rFonts w:ascii="Abadi" w:hAnsi="Abadi" w:cs="ArialMT"/>
          <w:sz w:val="21"/>
          <w:szCs w:val="21"/>
        </w:rPr>
        <w:t xml:space="preserve"> </w:t>
      </w:r>
      <w:r w:rsidRPr="0003104D">
        <w:rPr>
          <w:rFonts w:ascii="Abadi" w:hAnsi="Abadi" w:cs="ArialMT"/>
          <w:sz w:val="21"/>
          <w:szCs w:val="21"/>
        </w:rPr>
        <w:t>Ley de Concesiones de Servicios e Infraestructura Pública para el Estado</w:t>
      </w:r>
      <w:r>
        <w:rPr>
          <w:rFonts w:ascii="Abadi" w:hAnsi="Abadi" w:cs="ArialMT"/>
          <w:sz w:val="21"/>
          <w:szCs w:val="21"/>
        </w:rPr>
        <w:t xml:space="preserve"> </w:t>
      </w:r>
      <w:r w:rsidRPr="0003104D">
        <w:rPr>
          <w:rFonts w:ascii="Abadi" w:hAnsi="Abadi" w:cs="ArialMT"/>
          <w:sz w:val="21"/>
          <w:szCs w:val="21"/>
        </w:rPr>
        <w:t>de Guanajuato.</w:t>
      </w:r>
      <w:r>
        <w:rPr>
          <w:rFonts w:ascii="Abadi" w:hAnsi="Abadi" w:cs="ArialMT"/>
          <w:sz w:val="21"/>
          <w:szCs w:val="21"/>
        </w:rPr>
        <w:t xml:space="preserve"> </w:t>
      </w:r>
      <w:r w:rsidRPr="00B02130">
        <w:rPr>
          <w:rFonts w:ascii="Abadi" w:hAnsi="Abadi" w:cs="ArialMT"/>
          <w:b/>
          <w:bCs/>
          <w:sz w:val="21"/>
          <w:szCs w:val="21"/>
        </w:rPr>
        <w:t>XXV.</w:t>
      </w:r>
      <w:r>
        <w:rPr>
          <w:rFonts w:ascii="Abadi" w:hAnsi="Abadi" w:cs="ArialMT"/>
          <w:sz w:val="21"/>
          <w:szCs w:val="21"/>
        </w:rPr>
        <w:t xml:space="preserve"> </w:t>
      </w:r>
      <w:r w:rsidRPr="0003104D">
        <w:rPr>
          <w:rFonts w:ascii="Abadi" w:hAnsi="Abadi" w:cs="ArialMT"/>
          <w:sz w:val="21"/>
          <w:szCs w:val="21"/>
        </w:rPr>
        <w:t>Discusión y, en su caso, aprobación del dictamen suscrito por la Comisión</w:t>
      </w:r>
      <w:r>
        <w:rPr>
          <w:rFonts w:ascii="Abadi" w:hAnsi="Abadi" w:cs="ArialMT"/>
          <w:sz w:val="21"/>
          <w:szCs w:val="21"/>
        </w:rPr>
        <w:t xml:space="preserve"> </w:t>
      </w:r>
      <w:r w:rsidRPr="0003104D">
        <w:rPr>
          <w:rFonts w:ascii="Abadi" w:hAnsi="Abadi" w:cs="ArialMT"/>
          <w:sz w:val="21"/>
          <w:szCs w:val="21"/>
        </w:rPr>
        <w:t>de Hacienda y Fiscalización relativo a la iniciativa formulada por la</w:t>
      </w:r>
      <w:r>
        <w:rPr>
          <w:rFonts w:ascii="Abadi" w:hAnsi="Abadi" w:cs="ArialMT"/>
          <w:sz w:val="21"/>
          <w:szCs w:val="21"/>
        </w:rPr>
        <w:t xml:space="preserve"> </w:t>
      </w:r>
      <w:r w:rsidRPr="0003104D">
        <w:rPr>
          <w:rFonts w:ascii="Abadi" w:hAnsi="Abadi" w:cs="ArialMT"/>
          <w:sz w:val="21"/>
          <w:szCs w:val="21"/>
        </w:rPr>
        <w:t xml:space="preserve">diputada y el diputado </w:t>
      </w:r>
      <w:r w:rsidRPr="0003104D">
        <w:rPr>
          <w:rFonts w:ascii="Abadi" w:hAnsi="Abadi" w:cs="ArialMT"/>
          <w:sz w:val="21"/>
          <w:szCs w:val="21"/>
        </w:rPr>
        <w:lastRenderedPageBreak/>
        <w:t>integrantes del Grupo Parlamentario del Partido</w:t>
      </w:r>
      <w:r>
        <w:rPr>
          <w:rFonts w:ascii="Abadi" w:hAnsi="Abadi" w:cs="ArialMT"/>
          <w:sz w:val="21"/>
          <w:szCs w:val="21"/>
        </w:rPr>
        <w:t xml:space="preserve"> </w:t>
      </w:r>
      <w:r w:rsidRPr="0003104D">
        <w:rPr>
          <w:rFonts w:ascii="Abadi" w:hAnsi="Abadi" w:cs="ArialMT"/>
          <w:sz w:val="21"/>
          <w:szCs w:val="21"/>
        </w:rPr>
        <w:t>Verde Ecologista de México de la Sexagésima Cuarta Legislatura, a efecto</w:t>
      </w:r>
      <w:r>
        <w:rPr>
          <w:rFonts w:ascii="Abadi" w:hAnsi="Abadi" w:cs="ArialMT"/>
          <w:sz w:val="21"/>
          <w:szCs w:val="21"/>
        </w:rPr>
        <w:t xml:space="preserve"> d</w:t>
      </w:r>
      <w:r w:rsidRPr="0003104D">
        <w:rPr>
          <w:rFonts w:ascii="Abadi" w:hAnsi="Abadi" w:cs="ArialMT"/>
          <w:sz w:val="21"/>
          <w:szCs w:val="21"/>
        </w:rPr>
        <w:t>e reformar y adicionar diversos artículos de la Ley para el Ejercicio y</w:t>
      </w:r>
      <w:r>
        <w:rPr>
          <w:rFonts w:ascii="Abadi" w:hAnsi="Abadi" w:cs="ArialMT"/>
          <w:sz w:val="21"/>
          <w:szCs w:val="21"/>
        </w:rPr>
        <w:t xml:space="preserve"> </w:t>
      </w:r>
      <w:r w:rsidRPr="0003104D">
        <w:rPr>
          <w:rFonts w:ascii="Abadi" w:hAnsi="Abadi" w:cs="ArialMT"/>
          <w:sz w:val="21"/>
          <w:szCs w:val="21"/>
        </w:rPr>
        <w:t>Control de los Recursos Públicos para el Estado y los Municipios de</w:t>
      </w:r>
      <w:r>
        <w:rPr>
          <w:rFonts w:ascii="Abadi" w:hAnsi="Abadi" w:cs="ArialMT"/>
          <w:sz w:val="21"/>
          <w:szCs w:val="21"/>
        </w:rPr>
        <w:t xml:space="preserve"> </w:t>
      </w:r>
      <w:r w:rsidRPr="0003104D">
        <w:rPr>
          <w:rFonts w:ascii="Abadi" w:hAnsi="Abadi" w:cs="ArialMT"/>
          <w:sz w:val="21"/>
          <w:szCs w:val="21"/>
        </w:rPr>
        <w:t>Guanajuato, y derogar la fracción X del artículo 276 de la Ley Orgánica del</w:t>
      </w:r>
      <w:r>
        <w:rPr>
          <w:rFonts w:ascii="Abadi" w:hAnsi="Abadi" w:cs="ArialMT"/>
          <w:sz w:val="21"/>
          <w:szCs w:val="21"/>
        </w:rPr>
        <w:t xml:space="preserve"> </w:t>
      </w:r>
      <w:r w:rsidRPr="0003104D">
        <w:rPr>
          <w:rFonts w:ascii="Abadi" w:hAnsi="Abadi" w:cs="ArialMT"/>
          <w:sz w:val="21"/>
          <w:szCs w:val="21"/>
        </w:rPr>
        <w:t>Poder Legislativo del Estado de Guanajuato.</w:t>
      </w:r>
      <w:r>
        <w:rPr>
          <w:rFonts w:ascii="Abadi" w:hAnsi="Abadi" w:cs="ArialMT"/>
          <w:sz w:val="21"/>
          <w:szCs w:val="21"/>
        </w:rPr>
        <w:t xml:space="preserve"> </w:t>
      </w:r>
      <w:r w:rsidRPr="00B02130">
        <w:rPr>
          <w:rFonts w:ascii="Abadi" w:hAnsi="Abadi" w:cs="ArialMT"/>
          <w:b/>
          <w:bCs/>
          <w:sz w:val="21"/>
          <w:szCs w:val="21"/>
        </w:rPr>
        <w:t>XXVI.</w:t>
      </w:r>
      <w:r>
        <w:rPr>
          <w:rFonts w:ascii="Abadi" w:hAnsi="Abadi" w:cs="ArialMT"/>
          <w:sz w:val="21"/>
          <w:szCs w:val="21"/>
        </w:rPr>
        <w:t xml:space="preserve"> </w:t>
      </w:r>
      <w:r w:rsidRPr="0003104D">
        <w:rPr>
          <w:rFonts w:ascii="Abadi" w:hAnsi="Abadi" w:cs="ArialMT"/>
          <w:sz w:val="21"/>
          <w:szCs w:val="21"/>
        </w:rPr>
        <w:t>Discusión y, en su caso, aprobación del dictamen emitido por la Comisión</w:t>
      </w:r>
      <w:r>
        <w:rPr>
          <w:rFonts w:ascii="Abadi" w:hAnsi="Abadi" w:cs="ArialMT"/>
          <w:sz w:val="21"/>
          <w:szCs w:val="21"/>
        </w:rPr>
        <w:t xml:space="preserve"> </w:t>
      </w:r>
      <w:r w:rsidRPr="0003104D">
        <w:rPr>
          <w:rFonts w:ascii="Abadi" w:hAnsi="Abadi" w:cs="ArialMT"/>
          <w:sz w:val="21"/>
          <w:szCs w:val="21"/>
        </w:rPr>
        <w:t>de Hacienda y Fiscalización relativo al informe de resultados de la</w:t>
      </w:r>
      <w:r>
        <w:rPr>
          <w:rFonts w:ascii="Abadi" w:hAnsi="Abadi" w:cs="ArialMT"/>
          <w:sz w:val="21"/>
          <w:szCs w:val="21"/>
        </w:rPr>
        <w:t xml:space="preserve"> </w:t>
      </w:r>
      <w:r w:rsidRPr="0003104D">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3104D">
        <w:rPr>
          <w:rFonts w:ascii="Abadi" w:hAnsi="Abadi" w:cs="ArialMT"/>
          <w:sz w:val="21"/>
          <w:szCs w:val="21"/>
        </w:rPr>
        <w:t xml:space="preserve">Guanajuato a la administración municipal de Coroneo, </w:t>
      </w:r>
      <w:proofErr w:type="spellStart"/>
      <w:r w:rsidRPr="0003104D">
        <w:rPr>
          <w:rFonts w:ascii="Abadi" w:hAnsi="Abadi" w:cs="ArialMT"/>
          <w:sz w:val="21"/>
          <w:szCs w:val="21"/>
        </w:rPr>
        <w:t>Gto</w:t>
      </w:r>
      <w:proofErr w:type="spellEnd"/>
      <w:r w:rsidRPr="0003104D">
        <w:rPr>
          <w:rFonts w:ascii="Abadi" w:hAnsi="Abadi" w:cs="ArialMT"/>
          <w:sz w:val="21"/>
          <w:szCs w:val="21"/>
        </w:rPr>
        <w:t>., con enfoque a</w:t>
      </w:r>
      <w:r>
        <w:rPr>
          <w:rFonts w:ascii="Abadi" w:hAnsi="Abadi" w:cs="ArialMT"/>
          <w:sz w:val="21"/>
          <w:szCs w:val="21"/>
        </w:rPr>
        <w:t xml:space="preserve"> </w:t>
      </w:r>
      <w:r w:rsidRPr="0003104D">
        <w:rPr>
          <w:rFonts w:ascii="Abadi" w:hAnsi="Abadi" w:cs="ArialMT"/>
          <w:sz w:val="21"/>
          <w:szCs w:val="21"/>
        </w:rPr>
        <w:t>resultados del servicio de alumbrado público, por el periodo comprendido</w:t>
      </w:r>
      <w:r>
        <w:rPr>
          <w:rFonts w:ascii="Abadi" w:hAnsi="Abadi" w:cs="ArialMT"/>
          <w:sz w:val="21"/>
          <w:szCs w:val="21"/>
        </w:rPr>
        <w:t xml:space="preserve"> </w:t>
      </w:r>
      <w:r w:rsidRPr="0003104D">
        <w:rPr>
          <w:rFonts w:ascii="Abadi" w:hAnsi="Abadi" w:cs="ArialMT"/>
          <w:sz w:val="21"/>
          <w:szCs w:val="21"/>
        </w:rPr>
        <w:t>el 1 de enero al 31 de diciembre del ejercicio fiscal del año 2020.</w:t>
      </w:r>
      <w:r>
        <w:rPr>
          <w:rFonts w:ascii="Abadi" w:hAnsi="Abadi" w:cs="ArialMT"/>
          <w:sz w:val="21"/>
          <w:szCs w:val="21"/>
        </w:rPr>
        <w:t xml:space="preserve"> </w:t>
      </w:r>
      <w:r w:rsidRPr="00B02130">
        <w:rPr>
          <w:rFonts w:ascii="Abadi" w:hAnsi="Abadi" w:cs="ArialMT"/>
          <w:b/>
          <w:bCs/>
          <w:sz w:val="21"/>
          <w:szCs w:val="21"/>
        </w:rPr>
        <w:t>XXVII.</w:t>
      </w:r>
      <w:r>
        <w:rPr>
          <w:rFonts w:ascii="Abadi" w:hAnsi="Abadi" w:cs="ArialMT"/>
          <w:sz w:val="21"/>
          <w:szCs w:val="21"/>
        </w:rPr>
        <w:t xml:space="preserve"> </w:t>
      </w:r>
      <w:r w:rsidRPr="0003104D">
        <w:rPr>
          <w:rFonts w:ascii="Abadi" w:hAnsi="Abadi" w:cs="ArialMT"/>
          <w:sz w:val="21"/>
          <w:szCs w:val="21"/>
        </w:rPr>
        <w:t>Discusión y, en su caso, aprobación del dictamen emitido por la Comisión</w:t>
      </w:r>
      <w:r>
        <w:rPr>
          <w:rFonts w:ascii="Abadi" w:hAnsi="Abadi" w:cs="ArialMT"/>
          <w:sz w:val="21"/>
          <w:szCs w:val="21"/>
        </w:rPr>
        <w:t xml:space="preserve"> </w:t>
      </w:r>
      <w:r w:rsidRPr="0003104D">
        <w:rPr>
          <w:rFonts w:ascii="Abadi" w:hAnsi="Abadi" w:cs="ArialMT"/>
          <w:sz w:val="21"/>
          <w:szCs w:val="21"/>
        </w:rPr>
        <w:t>de Hacienda y Fiscalización relativo al informe de resultados de la</w:t>
      </w:r>
      <w:r>
        <w:rPr>
          <w:rFonts w:ascii="Abadi" w:hAnsi="Abadi" w:cs="ArialMT"/>
          <w:sz w:val="21"/>
          <w:szCs w:val="21"/>
        </w:rPr>
        <w:t xml:space="preserve"> </w:t>
      </w:r>
      <w:r w:rsidRPr="0003104D">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3104D">
        <w:rPr>
          <w:rFonts w:ascii="Abadi" w:hAnsi="Abadi" w:cs="ArialMT"/>
          <w:sz w:val="21"/>
          <w:szCs w:val="21"/>
        </w:rPr>
        <w:t xml:space="preserve">Guanajuato a la administración municipal de Pueblo Nuevo, </w:t>
      </w:r>
      <w:proofErr w:type="spellStart"/>
      <w:r w:rsidRPr="0003104D">
        <w:rPr>
          <w:rFonts w:ascii="Abadi" w:hAnsi="Abadi" w:cs="ArialMT"/>
          <w:sz w:val="21"/>
          <w:szCs w:val="21"/>
        </w:rPr>
        <w:t>Gto</w:t>
      </w:r>
      <w:proofErr w:type="spellEnd"/>
      <w:r w:rsidRPr="0003104D">
        <w:rPr>
          <w:rFonts w:ascii="Abadi" w:hAnsi="Abadi" w:cs="ArialMT"/>
          <w:sz w:val="21"/>
          <w:szCs w:val="21"/>
        </w:rPr>
        <w:t>., con</w:t>
      </w:r>
      <w:r>
        <w:rPr>
          <w:rFonts w:ascii="Abadi" w:hAnsi="Abadi" w:cs="ArialMT"/>
          <w:sz w:val="21"/>
          <w:szCs w:val="21"/>
        </w:rPr>
        <w:t xml:space="preserve"> </w:t>
      </w:r>
      <w:r w:rsidRPr="0003104D">
        <w:rPr>
          <w:rFonts w:ascii="Abadi" w:hAnsi="Abadi" w:cs="ArialMT"/>
          <w:sz w:val="21"/>
          <w:szCs w:val="21"/>
        </w:rPr>
        <w:t>enfoque a resultados del servicio de alumbrado público, por el periodo</w:t>
      </w:r>
      <w:r>
        <w:rPr>
          <w:rFonts w:ascii="Abadi" w:hAnsi="Abadi" w:cs="ArialMT"/>
          <w:sz w:val="21"/>
          <w:szCs w:val="21"/>
        </w:rPr>
        <w:t xml:space="preserve"> </w:t>
      </w:r>
      <w:r w:rsidRPr="0003104D">
        <w:rPr>
          <w:rFonts w:ascii="Abadi" w:hAnsi="Abadi" w:cs="ArialMT"/>
          <w:sz w:val="21"/>
          <w:szCs w:val="21"/>
        </w:rPr>
        <w:t>comprendido del 1 de enero al 31 de diciembre del ejercicio fiscal del año</w:t>
      </w:r>
      <w:r>
        <w:rPr>
          <w:rFonts w:ascii="Abadi" w:hAnsi="Abadi" w:cs="ArialMT"/>
          <w:sz w:val="21"/>
          <w:szCs w:val="21"/>
        </w:rPr>
        <w:t xml:space="preserve"> </w:t>
      </w:r>
      <w:r w:rsidRPr="0003104D">
        <w:rPr>
          <w:rFonts w:ascii="Abadi" w:hAnsi="Abadi" w:cs="ArialMT"/>
          <w:sz w:val="21"/>
          <w:szCs w:val="21"/>
        </w:rPr>
        <w:t>2020.</w:t>
      </w:r>
      <w:r>
        <w:rPr>
          <w:rFonts w:ascii="Abadi" w:hAnsi="Abadi" w:cs="ArialMT"/>
          <w:sz w:val="21"/>
          <w:szCs w:val="21"/>
        </w:rPr>
        <w:t xml:space="preserve"> </w:t>
      </w:r>
      <w:r w:rsidRPr="00B02130">
        <w:rPr>
          <w:rFonts w:ascii="Abadi" w:hAnsi="Abadi" w:cs="ArialMT"/>
          <w:b/>
          <w:bCs/>
          <w:sz w:val="21"/>
          <w:szCs w:val="21"/>
        </w:rPr>
        <w:t>XXVIII.</w:t>
      </w:r>
      <w:r>
        <w:rPr>
          <w:rFonts w:ascii="Abadi" w:hAnsi="Abadi" w:cs="ArialMT"/>
          <w:sz w:val="21"/>
          <w:szCs w:val="21"/>
        </w:rPr>
        <w:t xml:space="preserve"> </w:t>
      </w:r>
      <w:r w:rsidRPr="0003104D">
        <w:rPr>
          <w:rFonts w:ascii="Abadi" w:hAnsi="Abadi" w:cs="ArialMT"/>
          <w:sz w:val="21"/>
          <w:szCs w:val="21"/>
        </w:rPr>
        <w:t>Discusión y, en su caso, aprobación del dictamen emitido por la Comisión</w:t>
      </w:r>
      <w:r>
        <w:rPr>
          <w:rFonts w:ascii="Abadi" w:hAnsi="Abadi" w:cs="ArialMT"/>
          <w:sz w:val="21"/>
          <w:szCs w:val="21"/>
        </w:rPr>
        <w:t xml:space="preserve"> </w:t>
      </w:r>
      <w:r w:rsidRPr="0003104D">
        <w:rPr>
          <w:rFonts w:ascii="Abadi" w:hAnsi="Abadi" w:cs="ArialMT"/>
          <w:sz w:val="21"/>
          <w:szCs w:val="21"/>
        </w:rPr>
        <w:t>de Hacienda y Fiscalización relativo al informe de resultados de la</w:t>
      </w:r>
      <w:r>
        <w:rPr>
          <w:rFonts w:ascii="Abadi" w:hAnsi="Abadi" w:cs="ArialMT"/>
          <w:sz w:val="21"/>
          <w:szCs w:val="21"/>
        </w:rPr>
        <w:t xml:space="preserve"> </w:t>
      </w:r>
      <w:r w:rsidRPr="0003104D">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3104D">
        <w:rPr>
          <w:rFonts w:ascii="Abadi" w:hAnsi="Abadi" w:cs="ArialMT"/>
          <w:sz w:val="21"/>
          <w:szCs w:val="21"/>
        </w:rPr>
        <w:t xml:space="preserve">Guanajuato a la administración municipal de Purísima del Rincón, </w:t>
      </w:r>
      <w:proofErr w:type="spellStart"/>
      <w:r w:rsidRPr="0003104D">
        <w:rPr>
          <w:rFonts w:ascii="Abadi" w:hAnsi="Abadi" w:cs="ArialMT"/>
          <w:sz w:val="21"/>
          <w:szCs w:val="21"/>
        </w:rPr>
        <w:t>Gto</w:t>
      </w:r>
      <w:proofErr w:type="spellEnd"/>
      <w:r w:rsidRPr="0003104D">
        <w:rPr>
          <w:rFonts w:ascii="Abadi" w:hAnsi="Abadi" w:cs="ArialMT"/>
          <w:sz w:val="21"/>
          <w:szCs w:val="21"/>
        </w:rPr>
        <w:t>.,</w:t>
      </w:r>
      <w:r>
        <w:rPr>
          <w:rFonts w:ascii="Abadi" w:hAnsi="Abadi" w:cs="ArialMT"/>
          <w:sz w:val="21"/>
          <w:szCs w:val="21"/>
        </w:rPr>
        <w:t xml:space="preserve"> </w:t>
      </w:r>
      <w:r w:rsidRPr="0003104D">
        <w:rPr>
          <w:rFonts w:ascii="Abadi" w:hAnsi="Abadi" w:cs="ArialMT"/>
          <w:sz w:val="21"/>
          <w:szCs w:val="21"/>
        </w:rPr>
        <w:t>con enfoque a resultados del servicio de alumbrado público, por el periodo</w:t>
      </w:r>
      <w:r>
        <w:rPr>
          <w:rFonts w:ascii="Abadi" w:hAnsi="Abadi" w:cs="ArialMT"/>
          <w:sz w:val="21"/>
          <w:szCs w:val="21"/>
        </w:rPr>
        <w:t xml:space="preserve"> </w:t>
      </w:r>
      <w:r w:rsidRPr="0003104D">
        <w:rPr>
          <w:rFonts w:ascii="Abadi" w:hAnsi="Abadi" w:cs="ArialMT"/>
          <w:sz w:val="21"/>
          <w:szCs w:val="21"/>
        </w:rPr>
        <w:t>comprendido del 1 de enero al 31 de diciembre del ejercicio fiscal del año</w:t>
      </w:r>
      <w:r>
        <w:rPr>
          <w:rFonts w:ascii="Abadi" w:hAnsi="Abadi" w:cs="ArialMT"/>
          <w:sz w:val="21"/>
          <w:szCs w:val="21"/>
        </w:rPr>
        <w:t xml:space="preserve"> </w:t>
      </w:r>
      <w:r w:rsidRPr="0003104D">
        <w:rPr>
          <w:rFonts w:ascii="Abadi" w:hAnsi="Abadi" w:cs="ArialMT"/>
          <w:sz w:val="21"/>
          <w:szCs w:val="21"/>
        </w:rPr>
        <w:t>2020.</w:t>
      </w:r>
      <w:r>
        <w:rPr>
          <w:rFonts w:ascii="Abadi" w:hAnsi="Abadi" w:cs="ArialMT"/>
          <w:sz w:val="21"/>
          <w:szCs w:val="21"/>
        </w:rPr>
        <w:t xml:space="preserve"> </w:t>
      </w:r>
      <w:r w:rsidRPr="00B02130">
        <w:rPr>
          <w:rFonts w:ascii="Abadi" w:hAnsi="Abadi" w:cs="ArialMT"/>
          <w:b/>
          <w:bCs/>
          <w:sz w:val="21"/>
          <w:szCs w:val="21"/>
        </w:rPr>
        <w:t>XXIX.</w:t>
      </w:r>
      <w:r>
        <w:rPr>
          <w:rFonts w:ascii="Abadi" w:hAnsi="Abadi" w:cs="ArialMT"/>
          <w:sz w:val="21"/>
          <w:szCs w:val="21"/>
        </w:rPr>
        <w:t xml:space="preserve"> </w:t>
      </w:r>
      <w:r w:rsidRPr="0003104D">
        <w:rPr>
          <w:rFonts w:ascii="Abadi" w:hAnsi="Abadi" w:cs="ArialMT"/>
          <w:sz w:val="21"/>
          <w:szCs w:val="21"/>
        </w:rPr>
        <w:t>Discusión y, en su caso, aprobación del dictamen emitido por la Comisión</w:t>
      </w:r>
      <w:r>
        <w:rPr>
          <w:rFonts w:ascii="Abadi" w:hAnsi="Abadi" w:cs="ArialMT"/>
          <w:sz w:val="21"/>
          <w:szCs w:val="21"/>
        </w:rPr>
        <w:t xml:space="preserve"> </w:t>
      </w:r>
      <w:r w:rsidRPr="0003104D">
        <w:rPr>
          <w:rFonts w:ascii="Abadi" w:hAnsi="Abadi" w:cs="ArialMT"/>
          <w:sz w:val="21"/>
          <w:szCs w:val="21"/>
        </w:rPr>
        <w:t>de Hacienda y Fiscalización relativo al informe de resultados de la</w:t>
      </w:r>
      <w:r>
        <w:rPr>
          <w:rFonts w:ascii="Abadi" w:hAnsi="Abadi" w:cs="ArialMT"/>
          <w:sz w:val="21"/>
          <w:szCs w:val="21"/>
        </w:rPr>
        <w:t xml:space="preserve"> </w:t>
      </w:r>
      <w:r w:rsidRPr="0003104D">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3104D">
        <w:rPr>
          <w:rFonts w:ascii="Abadi" w:hAnsi="Abadi" w:cs="ArialMT"/>
          <w:sz w:val="21"/>
          <w:szCs w:val="21"/>
        </w:rPr>
        <w:t xml:space="preserve">Guanajuato a la administración municipal de Romita, </w:t>
      </w:r>
      <w:proofErr w:type="spellStart"/>
      <w:r w:rsidRPr="0003104D">
        <w:rPr>
          <w:rFonts w:ascii="Abadi" w:hAnsi="Abadi" w:cs="ArialMT"/>
          <w:sz w:val="21"/>
          <w:szCs w:val="21"/>
        </w:rPr>
        <w:t>Gto</w:t>
      </w:r>
      <w:proofErr w:type="spellEnd"/>
      <w:r w:rsidRPr="0003104D">
        <w:rPr>
          <w:rFonts w:ascii="Abadi" w:hAnsi="Abadi" w:cs="ArialMT"/>
          <w:sz w:val="21"/>
          <w:szCs w:val="21"/>
        </w:rPr>
        <w:t>., con enfoque a</w:t>
      </w:r>
      <w:r>
        <w:rPr>
          <w:rFonts w:ascii="Abadi" w:hAnsi="Abadi" w:cs="ArialMT"/>
          <w:sz w:val="21"/>
          <w:szCs w:val="21"/>
        </w:rPr>
        <w:t xml:space="preserve"> </w:t>
      </w:r>
      <w:r w:rsidRPr="0003104D">
        <w:rPr>
          <w:rFonts w:ascii="Abadi" w:hAnsi="Abadi" w:cs="ArialMT"/>
          <w:sz w:val="21"/>
          <w:szCs w:val="21"/>
        </w:rPr>
        <w:t>resultados del servicio de alumbrado público, por el periodo comprendido</w:t>
      </w:r>
      <w:r>
        <w:rPr>
          <w:rFonts w:ascii="Abadi" w:hAnsi="Abadi" w:cs="ArialMT"/>
          <w:sz w:val="21"/>
          <w:szCs w:val="21"/>
        </w:rPr>
        <w:t xml:space="preserve"> </w:t>
      </w:r>
      <w:r w:rsidRPr="0003104D">
        <w:rPr>
          <w:rFonts w:ascii="Abadi" w:hAnsi="Abadi" w:cs="ArialMT"/>
          <w:sz w:val="21"/>
          <w:szCs w:val="21"/>
        </w:rPr>
        <w:t>del 1 de enero al 31 de diciembre del ejercicio fiscal del año 2020.</w:t>
      </w:r>
      <w:r>
        <w:rPr>
          <w:rFonts w:ascii="Abadi" w:hAnsi="Abadi" w:cs="ArialMT"/>
          <w:sz w:val="21"/>
          <w:szCs w:val="21"/>
        </w:rPr>
        <w:t xml:space="preserve"> </w:t>
      </w:r>
      <w:r w:rsidRPr="00B02130">
        <w:rPr>
          <w:rFonts w:ascii="Abadi" w:hAnsi="Abadi" w:cs="ArialMT"/>
          <w:b/>
          <w:bCs/>
          <w:sz w:val="21"/>
          <w:szCs w:val="21"/>
        </w:rPr>
        <w:t>XXX.</w:t>
      </w:r>
      <w:r>
        <w:rPr>
          <w:rFonts w:ascii="Abadi" w:hAnsi="Abadi" w:cs="ArialMT"/>
          <w:sz w:val="21"/>
          <w:szCs w:val="21"/>
        </w:rPr>
        <w:t xml:space="preserve"> </w:t>
      </w:r>
      <w:r w:rsidRPr="0003104D">
        <w:rPr>
          <w:rFonts w:ascii="Abadi" w:hAnsi="Abadi" w:cs="ArialMT"/>
          <w:sz w:val="21"/>
          <w:szCs w:val="21"/>
        </w:rPr>
        <w:t xml:space="preserve">Discusión y, en su caso, aprobación del dictamen emitido </w:t>
      </w:r>
      <w:r w:rsidRPr="0003104D">
        <w:rPr>
          <w:rFonts w:ascii="Abadi" w:hAnsi="Abadi" w:cs="ArialMT"/>
          <w:sz w:val="21"/>
          <w:szCs w:val="21"/>
        </w:rPr>
        <w:t>por la Comisión</w:t>
      </w:r>
      <w:r>
        <w:rPr>
          <w:rFonts w:ascii="Abadi" w:hAnsi="Abadi" w:cs="ArialMT"/>
          <w:sz w:val="21"/>
          <w:szCs w:val="21"/>
        </w:rPr>
        <w:t xml:space="preserve"> </w:t>
      </w:r>
      <w:r w:rsidRPr="0003104D">
        <w:rPr>
          <w:rFonts w:ascii="Abadi" w:hAnsi="Abadi" w:cs="ArialMT"/>
          <w:sz w:val="21"/>
          <w:szCs w:val="21"/>
        </w:rPr>
        <w:t>de Hacienda y Fiscalización relativo al informe de resultados de la</w:t>
      </w:r>
      <w:r>
        <w:rPr>
          <w:rFonts w:ascii="Abadi" w:hAnsi="Abadi" w:cs="ArialMT"/>
          <w:sz w:val="21"/>
          <w:szCs w:val="21"/>
        </w:rPr>
        <w:t xml:space="preserve"> </w:t>
      </w:r>
      <w:r w:rsidRPr="0003104D">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3104D">
        <w:rPr>
          <w:rFonts w:ascii="Abadi" w:hAnsi="Abadi" w:cs="ArialMT"/>
          <w:sz w:val="21"/>
          <w:szCs w:val="21"/>
        </w:rPr>
        <w:t xml:space="preserve">Guanajuato a la administración municipal de Salvatierra, </w:t>
      </w:r>
      <w:proofErr w:type="spellStart"/>
      <w:r w:rsidRPr="0003104D">
        <w:rPr>
          <w:rFonts w:ascii="Abadi" w:hAnsi="Abadi" w:cs="ArialMT"/>
          <w:sz w:val="21"/>
          <w:szCs w:val="21"/>
        </w:rPr>
        <w:t>Gto</w:t>
      </w:r>
      <w:proofErr w:type="spellEnd"/>
      <w:r w:rsidRPr="0003104D">
        <w:rPr>
          <w:rFonts w:ascii="Abadi" w:hAnsi="Abadi" w:cs="ArialMT"/>
          <w:sz w:val="21"/>
          <w:szCs w:val="21"/>
        </w:rPr>
        <w:t>., con enfoque</w:t>
      </w:r>
      <w:r>
        <w:rPr>
          <w:rFonts w:ascii="Abadi" w:hAnsi="Abadi" w:cs="ArialMT"/>
          <w:sz w:val="21"/>
          <w:szCs w:val="21"/>
        </w:rPr>
        <w:t xml:space="preserve"> </w:t>
      </w:r>
      <w:r w:rsidRPr="0003104D">
        <w:rPr>
          <w:rFonts w:ascii="Abadi" w:hAnsi="Abadi" w:cs="ArialMT"/>
          <w:sz w:val="21"/>
          <w:szCs w:val="21"/>
        </w:rPr>
        <w:t>a resultados del servicio de alumbrado público, por el periodo comprendido</w:t>
      </w:r>
      <w:r>
        <w:rPr>
          <w:rFonts w:ascii="Abadi" w:hAnsi="Abadi" w:cs="ArialMT"/>
          <w:sz w:val="21"/>
          <w:szCs w:val="21"/>
        </w:rPr>
        <w:t xml:space="preserve"> </w:t>
      </w:r>
      <w:r w:rsidRPr="0003104D">
        <w:rPr>
          <w:rFonts w:ascii="Abadi" w:hAnsi="Abadi" w:cs="ArialMT"/>
          <w:sz w:val="21"/>
          <w:szCs w:val="21"/>
        </w:rPr>
        <w:t>del 1 de enero al 31 de diciembre del ejercicio fiscal del año 2020.</w:t>
      </w:r>
      <w:r>
        <w:rPr>
          <w:rFonts w:ascii="Abadi" w:hAnsi="Abadi" w:cs="ArialMT"/>
          <w:sz w:val="21"/>
          <w:szCs w:val="21"/>
        </w:rPr>
        <w:t xml:space="preserve">  </w:t>
      </w:r>
      <w:r w:rsidRPr="00B02130">
        <w:rPr>
          <w:rFonts w:ascii="Abadi" w:hAnsi="Abadi" w:cs="ArialMT"/>
          <w:b/>
          <w:bCs/>
          <w:sz w:val="21"/>
          <w:szCs w:val="21"/>
        </w:rPr>
        <w:t>XXXI.</w:t>
      </w:r>
      <w:r>
        <w:rPr>
          <w:rFonts w:ascii="Abadi" w:hAnsi="Abadi" w:cs="ArialMT"/>
          <w:sz w:val="21"/>
          <w:szCs w:val="21"/>
        </w:rPr>
        <w:t xml:space="preserve"> </w:t>
      </w:r>
      <w:r w:rsidRPr="0003104D">
        <w:rPr>
          <w:rFonts w:ascii="Abadi" w:hAnsi="Abadi" w:cs="ArialMT"/>
          <w:sz w:val="21"/>
          <w:szCs w:val="21"/>
        </w:rPr>
        <w:t>Discusión y, en su caso, aprobación del dictamen emitido por la Comisión</w:t>
      </w:r>
      <w:r>
        <w:rPr>
          <w:rFonts w:ascii="Abadi" w:hAnsi="Abadi" w:cs="ArialMT"/>
          <w:sz w:val="21"/>
          <w:szCs w:val="21"/>
        </w:rPr>
        <w:t xml:space="preserve"> </w:t>
      </w:r>
      <w:r w:rsidRPr="0003104D">
        <w:rPr>
          <w:rFonts w:ascii="Abadi" w:hAnsi="Abadi" w:cs="ArialMT"/>
          <w:sz w:val="21"/>
          <w:szCs w:val="21"/>
        </w:rPr>
        <w:t>de Hacienda y Fiscalización relativo al informe de resultados de la</w:t>
      </w:r>
      <w:r>
        <w:rPr>
          <w:rFonts w:ascii="Abadi" w:hAnsi="Abadi" w:cs="ArialMT"/>
          <w:sz w:val="21"/>
          <w:szCs w:val="21"/>
        </w:rPr>
        <w:t xml:space="preserve"> </w:t>
      </w:r>
      <w:r w:rsidRPr="0003104D">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3104D">
        <w:rPr>
          <w:rFonts w:ascii="Abadi" w:hAnsi="Abadi" w:cs="ArialMT"/>
          <w:sz w:val="21"/>
          <w:szCs w:val="21"/>
        </w:rPr>
        <w:t xml:space="preserve">Guanajuato a la administración municipal de San Diego de la Unión, </w:t>
      </w:r>
      <w:proofErr w:type="spellStart"/>
      <w:r w:rsidRPr="0003104D">
        <w:rPr>
          <w:rFonts w:ascii="Abadi" w:hAnsi="Abadi" w:cs="ArialMT"/>
          <w:sz w:val="21"/>
          <w:szCs w:val="21"/>
        </w:rPr>
        <w:t>Gto</w:t>
      </w:r>
      <w:proofErr w:type="spellEnd"/>
      <w:r w:rsidRPr="0003104D">
        <w:rPr>
          <w:rFonts w:ascii="Abadi" w:hAnsi="Abadi" w:cs="ArialMT"/>
          <w:sz w:val="21"/>
          <w:szCs w:val="21"/>
        </w:rPr>
        <w:t>.,</w:t>
      </w:r>
      <w:r>
        <w:rPr>
          <w:rFonts w:ascii="Abadi" w:hAnsi="Abadi" w:cs="ArialMT"/>
          <w:sz w:val="21"/>
          <w:szCs w:val="21"/>
        </w:rPr>
        <w:t xml:space="preserve"> </w:t>
      </w:r>
      <w:r w:rsidRPr="0003104D">
        <w:rPr>
          <w:rFonts w:ascii="Abadi" w:hAnsi="Abadi" w:cs="ArialMT"/>
          <w:sz w:val="21"/>
          <w:szCs w:val="21"/>
        </w:rPr>
        <w:t>con enfoque a resultados del servicio de alumbrado público, por el periodo</w:t>
      </w:r>
      <w:r>
        <w:rPr>
          <w:rFonts w:ascii="Abadi" w:hAnsi="Abadi" w:cs="ArialMT"/>
          <w:sz w:val="21"/>
          <w:szCs w:val="21"/>
        </w:rPr>
        <w:t xml:space="preserve"> </w:t>
      </w:r>
      <w:r w:rsidRPr="0003104D">
        <w:rPr>
          <w:rFonts w:ascii="Abadi" w:hAnsi="Abadi" w:cs="ArialMT"/>
          <w:sz w:val="21"/>
          <w:szCs w:val="21"/>
        </w:rPr>
        <w:t>comprendido del 1 de enero al 31 de diciembre del ejercicio fiscal del año</w:t>
      </w:r>
      <w:r>
        <w:rPr>
          <w:rFonts w:ascii="Abadi" w:hAnsi="Abadi" w:cs="ArialMT"/>
          <w:sz w:val="21"/>
          <w:szCs w:val="21"/>
        </w:rPr>
        <w:t xml:space="preserve"> </w:t>
      </w:r>
      <w:r w:rsidRPr="0003104D">
        <w:rPr>
          <w:rFonts w:ascii="Abadi" w:hAnsi="Abadi" w:cs="ArialMT"/>
          <w:sz w:val="21"/>
          <w:szCs w:val="21"/>
        </w:rPr>
        <w:t>2020.</w:t>
      </w:r>
      <w:r>
        <w:rPr>
          <w:rFonts w:ascii="Abadi" w:hAnsi="Abadi" w:cs="ArialMT"/>
          <w:sz w:val="21"/>
          <w:szCs w:val="21"/>
        </w:rPr>
        <w:t xml:space="preserve"> </w:t>
      </w:r>
      <w:r w:rsidRPr="00B02130">
        <w:rPr>
          <w:rFonts w:ascii="Abadi" w:hAnsi="Abadi" w:cs="ArialMT"/>
          <w:b/>
          <w:bCs/>
          <w:sz w:val="21"/>
          <w:szCs w:val="21"/>
        </w:rPr>
        <w:t>XXXII.</w:t>
      </w:r>
      <w:r>
        <w:rPr>
          <w:rFonts w:ascii="Abadi" w:hAnsi="Abadi" w:cs="ArialMT"/>
          <w:sz w:val="21"/>
          <w:szCs w:val="21"/>
        </w:rPr>
        <w:t xml:space="preserve"> </w:t>
      </w:r>
      <w:r w:rsidRPr="0003104D">
        <w:rPr>
          <w:rFonts w:ascii="Abadi" w:hAnsi="Abadi" w:cs="ArialMT"/>
          <w:sz w:val="21"/>
          <w:szCs w:val="21"/>
        </w:rPr>
        <w:t>Discusión y, en su caso, aprobación del dictamen emitido por la Comisión</w:t>
      </w:r>
      <w:r>
        <w:rPr>
          <w:rFonts w:ascii="Abadi" w:hAnsi="Abadi" w:cs="ArialMT"/>
          <w:sz w:val="21"/>
          <w:szCs w:val="21"/>
        </w:rPr>
        <w:t xml:space="preserve"> </w:t>
      </w:r>
      <w:r w:rsidRPr="0003104D">
        <w:rPr>
          <w:rFonts w:ascii="Abadi" w:hAnsi="Abadi" w:cs="ArialMT"/>
          <w:sz w:val="21"/>
          <w:szCs w:val="21"/>
        </w:rPr>
        <w:t>de Hacienda y Fiscalización relativo al informe de resultados de la</w:t>
      </w:r>
      <w:r>
        <w:rPr>
          <w:rFonts w:ascii="Abadi" w:hAnsi="Abadi" w:cs="ArialMT"/>
          <w:sz w:val="21"/>
          <w:szCs w:val="21"/>
        </w:rPr>
        <w:t xml:space="preserve"> </w:t>
      </w:r>
      <w:r w:rsidRPr="0003104D">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3104D">
        <w:rPr>
          <w:rFonts w:ascii="Abadi" w:hAnsi="Abadi" w:cs="ArialMT"/>
          <w:sz w:val="21"/>
          <w:szCs w:val="21"/>
        </w:rPr>
        <w:t>Guanajuato a la administración municipal de San Francisco del Rincón,</w:t>
      </w:r>
      <w:r>
        <w:rPr>
          <w:rFonts w:ascii="Abadi" w:hAnsi="Abadi" w:cs="ArialMT"/>
          <w:sz w:val="21"/>
          <w:szCs w:val="21"/>
        </w:rPr>
        <w:t xml:space="preserve"> </w:t>
      </w:r>
      <w:proofErr w:type="spellStart"/>
      <w:r w:rsidRPr="0003104D">
        <w:rPr>
          <w:rFonts w:ascii="Abadi" w:hAnsi="Abadi" w:cs="ArialMT"/>
          <w:sz w:val="21"/>
          <w:szCs w:val="21"/>
        </w:rPr>
        <w:t>Gto</w:t>
      </w:r>
      <w:proofErr w:type="spellEnd"/>
      <w:r w:rsidRPr="0003104D">
        <w:rPr>
          <w:rFonts w:ascii="Abadi" w:hAnsi="Abadi" w:cs="ArialMT"/>
          <w:sz w:val="21"/>
          <w:szCs w:val="21"/>
        </w:rPr>
        <w:t>., con enfoque a resultados del servicio de alumbrado público, por el</w:t>
      </w:r>
      <w:r>
        <w:rPr>
          <w:rFonts w:ascii="Abadi" w:hAnsi="Abadi" w:cs="ArialMT"/>
          <w:sz w:val="21"/>
          <w:szCs w:val="21"/>
        </w:rPr>
        <w:t xml:space="preserve"> </w:t>
      </w:r>
      <w:r w:rsidRPr="0003104D">
        <w:rPr>
          <w:rFonts w:ascii="Abadi" w:hAnsi="Abadi" w:cs="ArialMT"/>
          <w:sz w:val="21"/>
          <w:szCs w:val="21"/>
        </w:rPr>
        <w:t>periodo comprendido del 1 de enero al 31 de diciembre del ejercicio fiscal</w:t>
      </w:r>
      <w:r>
        <w:rPr>
          <w:rFonts w:ascii="Abadi" w:hAnsi="Abadi" w:cs="ArialMT"/>
          <w:sz w:val="21"/>
          <w:szCs w:val="21"/>
        </w:rPr>
        <w:t xml:space="preserve"> </w:t>
      </w:r>
      <w:r w:rsidRPr="0003104D">
        <w:rPr>
          <w:rFonts w:ascii="Abadi" w:hAnsi="Abadi" w:cs="ArialMT"/>
          <w:sz w:val="21"/>
          <w:szCs w:val="21"/>
        </w:rPr>
        <w:t>del año 2020.</w:t>
      </w:r>
      <w:r>
        <w:rPr>
          <w:rFonts w:ascii="Abadi" w:hAnsi="Abadi" w:cs="ArialMT"/>
          <w:sz w:val="21"/>
          <w:szCs w:val="21"/>
        </w:rPr>
        <w:t xml:space="preserve"> </w:t>
      </w:r>
      <w:r w:rsidRPr="00B02130">
        <w:rPr>
          <w:rFonts w:ascii="Abadi" w:hAnsi="Abadi" w:cs="ArialMT"/>
          <w:b/>
          <w:bCs/>
          <w:sz w:val="21"/>
          <w:szCs w:val="21"/>
        </w:rPr>
        <w:t>XXXIII.</w:t>
      </w:r>
      <w:r>
        <w:rPr>
          <w:rFonts w:ascii="Abadi" w:hAnsi="Abadi" w:cs="ArialMT"/>
          <w:sz w:val="21"/>
          <w:szCs w:val="21"/>
        </w:rPr>
        <w:t xml:space="preserve"> </w:t>
      </w:r>
      <w:r w:rsidRPr="0003104D">
        <w:rPr>
          <w:rFonts w:ascii="Abadi" w:hAnsi="Abadi" w:cs="ArialMT"/>
          <w:sz w:val="21"/>
          <w:szCs w:val="21"/>
        </w:rPr>
        <w:t>Discusión y, en su caso, aprobación del dictamen emitido por la Comisión</w:t>
      </w:r>
      <w:r>
        <w:rPr>
          <w:rFonts w:ascii="Abadi" w:hAnsi="Abadi" w:cs="ArialMT"/>
          <w:sz w:val="21"/>
          <w:szCs w:val="21"/>
        </w:rPr>
        <w:t xml:space="preserve"> </w:t>
      </w:r>
      <w:r w:rsidRPr="0003104D">
        <w:rPr>
          <w:rFonts w:ascii="Abadi" w:hAnsi="Abadi" w:cs="ArialMT"/>
          <w:sz w:val="21"/>
          <w:szCs w:val="21"/>
        </w:rPr>
        <w:t>de Hacienda y Fiscalización relativo al informe de resultados de la</w:t>
      </w:r>
      <w:r>
        <w:rPr>
          <w:rFonts w:ascii="Abadi" w:hAnsi="Abadi" w:cs="ArialMT"/>
          <w:sz w:val="21"/>
          <w:szCs w:val="21"/>
        </w:rPr>
        <w:t xml:space="preserve"> </w:t>
      </w:r>
      <w:r w:rsidRPr="0003104D">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3104D">
        <w:rPr>
          <w:rFonts w:ascii="Abadi" w:hAnsi="Abadi" w:cs="ArialMT"/>
          <w:sz w:val="21"/>
          <w:szCs w:val="21"/>
        </w:rPr>
        <w:t xml:space="preserve">Guanajuato a la administración municipal de San Miguel de Allende, </w:t>
      </w:r>
      <w:proofErr w:type="spellStart"/>
      <w:r w:rsidRPr="0003104D">
        <w:rPr>
          <w:rFonts w:ascii="Abadi" w:hAnsi="Abadi" w:cs="ArialMT"/>
          <w:sz w:val="21"/>
          <w:szCs w:val="21"/>
        </w:rPr>
        <w:t>Gto</w:t>
      </w:r>
      <w:proofErr w:type="spellEnd"/>
      <w:r w:rsidRPr="0003104D">
        <w:rPr>
          <w:rFonts w:ascii="Abadi" w:hAnsi="Abadi" w:cs="ArialMT"/>
          <w:sz w:val="21"/>
          <w:szCs w:val="21"/>
        </w:rPr>
        <w:t>.,</w:t>
      </w:r>
      <w:r>
        <w:rPr>
          <w:rFonts w:ascii="Abadi" w:hAnsi="Abadi" w:cs="ArialMT"/>
          <w:sz w:val="21"/>
          <w:szCs w:val="21"/>
        </w:rPr>
        <w:t xml:space="preserve"> </w:t>
      </w:r>
      <w:r w:rsidRPr="0003104D">
        <w:rPr>
          <w:rFonts w:ascii="Abadi" w:hAnsi="Abadi" w:cs="ArialMT"/>
          <w:sz w:val="21"/>
          <w:szCs w:val="21"/>
        </w:rPr>
        <w:t>con enfoque a resultados del servicio de alumbrado público, por el periodo</w:t>
      </w:r>
      <w:r>
        <w:rPr>
          <w:rFonts w:ascii="Abadi" w:hAnsi="Abadi" w:cs="ArialMT"/>
          <w:sz w:val="21"/>
          <w:szCs w:val="21"/>
        </w:rPr>
        <w:t xml:space="preserve"> </w:t>
      </w:r>
      <w:r w:rsidRPr="0003104D">
        <w:rPr>
          <w:rFonts w:ascii="Abadi" w:hAnsi="Abadi" w:cs="ArialMT"/>
          <w:sz w:val="21"/>
          <w:szCs w:val="21"/>
        </w:rPr>
        <w:t>comprendido del 1 de enero al 31 de diciembre del ejercicio fiscal del año</w:t>
      </w:r>
      <w:r>
        <w:rPr>
          <w:rFonts w:ascii="Abadi" w:hAnsi="Abadi" w:cs="ArialMT"/>
          <w:sz w:val="21"/>
          <w:szCs w:val="21"/>
        </w:rPr>
        <w:t xml:space="preserve"> </w:t>
      </w:r>
      <w:r w:rsidRPr="0003104D">
        <w:rPr>
          <w:rFonts w:ascii="Abadi" w:hAnsi="Abadi" w:cs="ArialMT"/>
          <w:sz w:val="21"/>
          <w:szCs w:val="21"/>
        </w:rPr>
        <w:t>2020.</w:t>
      </w:r>
      <w:r>
        <w:rPr>
          <w:rFonts w:ascii="Abadi" w:hAnsi="Abadi" w:cs="ArialMT"/>
          <w:sz w:val="21"/>
          <w:szCs w:val="21"/>
        </w:rPr>
        <w:t xml:space="preserve"> </w:t>
      </w:r>
      <w:r w:rsidRPr="00B02130">
        <w:rPr>
          <w:rFonts w:ascii="Abadi" w:hAnsi="Abadi" w:cs="ArialMT"/>
          <w:b/>
          <w:bCs/>
          <w:sz w:val="21"/>
          <w:szCs w:val="21"/>
        </w:rPr>
        <w:t>XXXIV.</w:t>
      </w:r>
      <w:r>
        <w:rPr>
          <w:rFonts w:ascii="Abadi" w:hAnsi="Abadi" w:cs="ArialMT"/>
          <w:sz w:val="21"/>
          <w:szCs w:val="21"/>
        </w:rPr>
        <w:t xml:space="preserve"> </w:t>
      </w:r>
      <w:r w:rsidRPr="0003104D">
        <w:rPr>
          <w:rFonts w:ascii="Abadi" w:hAnsi="Abadi" w:cs="ArialMT"/>
          <w:sz w:val="21"/>
          <w:szCs w:val="21"/>
        </w:rPr>
        <w:t>Asuntos generales.</w:t>
      </w:r>
    </w:p>
    <w:p w14:paraId="1F4E34C5" w14:textId="77777777" w:rsidR="00901400" w:rsidRDefault="00901400" w:rsidP="00901400">
      <w:pPr>
        <w:autoSpaceDE w:val="0"/>
        <w:autoSpaceDN w:val="0"/>
        <w:adjustRightInd w:val="0"/>
        <w:jc w:val="both"/>
        <w:rPr>
          <w:rFonts w:ascii="Abadi" w:hAnsi="Abadi" w:cs="ArialMT"/>
          <w:sz w:val="21"/>
          <w:szCs w:val="21"/>
        </w:rPr>
      </w:pPr>
    </w:p>
    <w:p w14:paraId="1BB36625" w14:textId="77777777" w:rsidR="00514BC1" w:rsidRDefault="00514BC1" w:rsidP="00514BC1">
      <w:pPr>
        <w:pStyle w:val="NormalWeb"/>
        <w:ind w:firstLine="708"/>
        <w:jc w:val="both"/>
        <w:rPr>
          <w:rFonts w:ascii="Abadi" w:hAnsi="Abadi"/>
          <w:sz w:val="21"/>
          <w:szCs w:val="21"/>
        </w:rPr>
      </w:pPr>
      <w:r>
        <w:rPr>
          <w:rFonts w:ascii="Abadi" w:hAnsi="Abadi"/>
          <w:b/>
          <w:bCs/>
          <w:sz w:val="21"/>
          <w:szCs w:val="21"/>
        </w:rPr>
        <w:t xml:space="preserve">- </w:t>
      </w:r>
      <w:r w:rsidRPr="001438E3">
        <w:rPr>
          <w:rFonts w:ascii="Abadi" w:hAnsi="Abadi"/>
          <w:b/>
          <w:bCs/>
          <w:sz w:val="21"/>
          <w:szCs w:val="21"/>
        </w:rPr>
        <w:t xml:space="preserve">La </w:t>
      </w:r>
      <w:proofErr w:type="gramStart"/>
      <w:r w:rsidRPr="001438E3">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Muchas gracias diputada</w:t>
      </w:r>
      <w:r>
        <w:rPr>
          <w:rFonts w:ascii="Abadi" w:hAnsi="Abadi"/>
          <w:sz w:val="21"/>
          <w:szCs w:val="21"/>
        </w:rPr>
        <w:t>, l</w:t>
      </w:r>
      <w:r w:rsidRPr="0021199F">
        <w:rPr>
          <w:rFonts w:ascii="Abadi" w:hAnsi="Abadi"/>
          <w:sz w:val="21"/>
          <w:szCs w:val="21"/>
        </w:rPr>
        <w:t xml:space="preserve">a propuesta de orden del día </w:t>
      </w:r>
      <w:r>
        <w:rPr>
          <w:rFonts w:ascii="Abadi" w:hAnsi="Abadi"/>
          <w:sz w:val="21"/>
          <w:szCs w:val="21"/>
        </w:rPr>
        <w:t>e</w:t>
      </w:r>
      <w:r w:rsidRPr="0021199F">
        <w:rPr>
          <w:rFonts w:ascii="Abadi" w:hAnsi="Abadi"/>
          <w:sz w:val="21"/>
          <w:szCs w:val="21"/>
        </w:rPr>
        <w:t>sta consideración de las diputadas y de los diputados si desean hacer uso de la palabra indique</w:t>
      </w:r>
      <w:r>
        <w:rPr>
          <w:rFonts w:ascii="Abadi" w:hAnsi="Abadi"/>
          <w:sz w:val="21"/>
          <w:szCs w:val="21"/>
        </w:rPr>
        <w:t>n</w:t>
      </w:r>
      <w:r w:rsidRPr="0021199F">
        <w:rPr>
          <w:rFonts w:ascii="Abadi" w:hAnsi="Abadi"/>
          <w:sz w:val="21"/>
          <w:szCs w:val="21"/>
        </w:rPr>
        <w:t xml:space="preserve">lo </w:t>
      </w:r>
      <w:r>
        <w:rPr>
          <w:rFonts w:ascii="Abadi" w:hAnsi="Abadi"/>
          <w:sz w:val="21"/>
          <w:szCs w:val="21"/>
        </w:rPr>
        <w:t>a esta Presidencia.</w:t>
      </w:r>
    </w:p>
    <w:p w14:paraId="4C624A38" w14:textId="77777777" w:rsidR="00514BC1" w:rsidRDefault="00514BC1" w:rsidP="00514BC1">
      <w:pPr>
        <w:pStyle w:val="NormalWeb"/>
        <w:ind w:firstLine="708"/>
        <w:jc w:val="both"/>
        <w:rPr>
          <w:rFonts w:ascii="Abadi" w:hAnsi="Abadi"/>
          <w:sz w:val="21"/>
          <w:szCs w:val="21"/>
        </w:rPr>
      </w:pPr>
      <w:r>
        <w:rPr>
          <w:rFonts w:ascii="Abadi" w:hAnsi="Abadi"/>
          <w:sz w:val="21"/>
          <w:szCs w:val="21"/>
        </w:rPr>
        <w:lastRenderedPageBreak/>
        <w:t>- E</w:t>
      </w:r>
      <w:r w:rsidRPr="0021199F">
        <w:rPr>
          <w:rFonts w:ascii="Abadi" w:hAnsi="Abadi"/>
          <w:sz w:val="21"/>
          <w:szCs w:val="21"/>
        </w:rPr>
        <w:t>n vi</w:t>
      </w:r>
      <w:r>
        <w:rPr>
          <w:rFonts w:ascii="Abadi" w:hAnsi="Abadi"/>
          <w:sz w:val="21"/>
          <w:szCs w:val="21"/>
        </w:rPr>
        <w:t xml:space="preserve">rtud </w:t>
      </w:r>
      <w:r w:rsidRPr="0021199F">
        <w:rPr>
          <w:rFonts w:ascii="Abadi" w:hAnsi="Abadi"/>
          <w:sz w:val="21"/>
          <w:szCs w:val="21"/>
        </w:rPr>
        <w:t>de que ninguna diputada de ningún diputado desea hacer uso de la palabra</w:t>
      </w:r>
      <w:r>
        <w:rPr>
          <w:rFonts w:ascii="Abadi" w:hAnsi="Abadi"/>
          <w:sz w:val="21"/>
          <w:szCs w:val="21"/>
        </w:rPr>
        <w:t xml:space="preserve">, se ruega a la </w:t>
      </w:r>
      <w:r w:rsidRPr="0021199F">
        <w:rPr>
          <w:rFonts w:ascii="Abadi" w:hAnsi="Abadi"/>
          <w:sz w:val="21"/>
          <w:szCs w:val="21"/>
        </w:rPr>
        <w:t>Secretar</w:t>
      </w:r>
      <w:r>
        <w:rPr>
          <w:rFonts w:ascii="Abadi" w:hAnsi="Abadi"/>
          <w:sz w:val="21"/>
          <w:szCs w:val="21"/>
        </w:rPr>
        <w:t>i</w:t>
      </w:r>
      <w:r w:rsidRPr="0021199F">
        <w:rPr>
          <w:rFonts w:ascii="Abadi" w:hAnsi="Abadi"/>
          <w:sz w:val="21"/>
          <w:szCs w:val="21"/>
        </w:rPr>
        <w:t xml:space="preserve">a que </w:t>
      </w:r>
      <w:r>
        <w:rPr>
          <w:rFonts w:ascii="Abadi" w:hAnsi="Abadi"/>
          <w:sz w:val="21"/>
          <w:szCs w:val="21"/>
        </w:rPr>
        <w:t>en votación económica</w:t>
      </w:r>
      <w:r w:rsidRPr="0021199F">
        <w:rPr>
          <w:rFonts w:ascii="Abadi" w:hAnsi="Abadi"/>
          <w:sz w:val="21"/>
          <w:szCs w:val="21"/>
        </w:rPr>
        <w:t xml:space="preserve"> a través del sistema electrónico</w:t>
      </w:r>
      <w:r>
        <w:rPr>
          <w:rFonts w:ascii="Abadi" w:hAnsi="Abadi"/>
          <w:sz w:val="21"/>
          <w:szCs w:val="21"/>
        </w:rPr>
        <w:t xml:space="preserve">, si es de aprobarse el orden del día </w:t>
      </w:r>
      <w:r w:rsidRPr="0021199F">
        <w:rPr>
          <w:rFonts w:ascii="Abadi" w:hAnsi="Abadi"/>
          <w:sz w:val="21"/>
          <w:szCs w:val="21"/>
        </w:rPr>
        <w:t>puesto</w:t>
      </w:r>
      <w:r>
        <w:rPr>
          <w:rFonts w:ascii="Abadi" w:hAnsi="Abadi"/>
          <w:sz w:val="21"/>
          <w:szCs w:val="21"/>
        </w:rPr>
        <w:t xml:space="preserve"> a</w:t>
      </w:r>
      <w:r w:rsidRPr="0021199F">
        <w:rPr>
          <w:rFonts w:ascii="Abadi" w:hAnsi="Abadi"/>
          <w:sz w:val="21"/>
          <w:szCs w:val="21"/>
        </w:rPr>
        <w:t xml:space="preserve"> su consideración</w:t>
      </w:r>
      <w:r>
        <w:rPr>
          <w:rFonts w:ascii="Abadi" w:hAnsi="Abadi"/>
          <w:sz w:val="21"/>
          <w:szCs w:val="21"/>
        </w:rPr>
        <w:t xml:space="preserve">. </w:t>
      </w:r>
    </w:p>
    <w:p w14:paraId="71C629B2" w14:textId="3382119A" w:rsidR="00514BC1" w:rsidRPr="008D2989" w:rsidRDefault="00514BC1" w:rsidP="00514BC1">
      <w:pPr>
        <w:pStyle w:val="NormalWeb"/>
        <w:jc w:val="center"/>
        <w:rPr>
          <w:rFonts w:ascii="Abadi" w:hAnsi="Abadi"/>
          <w:b/>
          <w:bCs/>
          <w:sz w:val="21"/>
          <w:szCs w:val="21"/>
        </w:rPr>
      </w:pPr>
      <w:r w:rsidRPr="008D2989">
        <w:rPr>
          <w:rFonts w:ascii="Abadi" w:hAnsi="Abadi"/>
          <w:b/>
          <w:bCs/>
          <w:sz w:val="21"/>
          <w:szCs w:val="21"/>
        </w:rPr>
        <w:t>(Se abre el sistema electrónico)</w:t>
      </w:r>
    </w:p>
    <w:p w14:paraId="13260CF8" w14:textId="77777777" w:rsidR="00514BC1" w:rsidRDefault="00514BC1" w:rsidP="00D25530">
      <w:pPr>
        <w:pStyle w:val="NormalWeb"/>
        <w:ind w:firstLine="708"/>
        <w:jc w:val="both"/>
        <w:rPr>
          <w:rFonts w:ascii="Abadi" w:hAnsi="Abadi"/>
          <w:sz w:val="21"/>
          <w:szCs w:val="21"/>
        </w:rPr>
      </w:pPr>
      <w:r>
        <w:rPr>
          <w:rFonts w:ascii="Abadi" w:hAnsi="Abadi"/>
          <w:b/>
          <w:bCs/>
          <w:sz w:val="21"/>
          <w:szCs w:val="21"/>
        </w:rPr>
        <w:t xml:space="preserve">- </w:t>
      </w:r>
      <w:r w:rsidRPr="004F5F31">
        <w:rPr>
          <w:rFonts w:ascii="Abadi" w:hAnsi="Abadi"/>
          <w:b/>
          <w:bCs/>
          <w:sz w:val="21"/>
          <w:szCs w:val="21"/>
        </w:rPr>
        <w:t xml:space="preserve">La </w:t>
      </w:r>
      <w:proofErr w:type="gramStart"/>
      <w:r w:rsidRPr="004F5F31">
        <w:rPr>
          <w:rFonts w:ascii="Abadi" w:hAnsi="Abadi"/>
          <w:b/>
          <w:bCs/>
          <w:sz w:val="21"/>
          <w:szCs w:val="21"/>
        </w:rPr>
        <w:t>Presidencia.-</w:t>
      </w:r>
      <w:proofErr w:type="gramEnd"/>
      <w:r>
        <w:rPr>
          <w:rFonts w:ascii="Abadi" w:hAnsi="Abadi"/>
          <w:sz w:val="21"/>
          <w:szCs w:val="21"/>
        </w:rPr>
        <w:t xml:space="preserve"> P</w:t>
      </w:r>
      <w:r w:rsidRPr="0021199F">
        <w:rPr>
          <w:rFonts w:ascii="Abadi" w:hAnsi="Abadi"/>
          <w:sz w:val="21"/>
          <w:szCs w:val="21"/>
        </w:rPr>
        <w:t>or instrucciones de la Presidencia</w:t>
      </w:r>
      <w:r>
        <w:rPr>
          <w:rFonts w:ascii="Abadi" w:hAnsi="Abadi"/>
          <w:sz w:val="21"/>
          <w:szCs w:val="21"/>
        </w:rPr>
        <w:t xml:space="preserve">, en </w:t>
      </w:r>
      <w:r w:rsidRPr="0021199F">
        <w:rPr>
          <w:rFonts w:ascii="Abadi" w:hAnsi="Abadi"/>
          <w:sz w:val="21"/>
          <w:szCs w:val="21"/>
        </w:rPr>
        <w:t>votación económica se pregunta a las diputadas</w:t>
      </w:r>
      <w:r>
        <w:rPr>
          <w:rFonts w:ascii="Abadi" w:hAnsi="Abadi"/>
          <w:sz w:val="21"/>
          <w:szCs w:val="21"/>
        </w:rPr>
        <w:t xml:space="preserve"> y a los diputados, si se aprueba el orden del día mediante el sistema electronico, ¿</w:t>
      </w:r>
      <w:r w:rsidRPr="0021199F">
        <w:rPr>
          <w:rFonts w:ascii="Abadi" w:hAnsi="Abadi"/>
          <w:sz w:val="21"/>
          <w:szCs w:val="21"/>
        </w:rPr>
        <w:t>Diputado David Martínez</w:t>
      </w:r>
      <w:r>
        <w:rPr>
          <w:rFonts w:ascii="Abadi" w:hAnsi="Abadi"/>
          <w:sz w:val="21"/>
          <w:szCs w:val="21"/>
        </w:rPr>
        <w:t xml:space="preserve">? </w:t>
      </w:r>
      <w:r w:rsidRPr="0021199F">
        <w:rPr>
          <w:rFonts w:ascii="Abadi" w:hAnsi="Abadi"/>
          <w:sz w:val="21"/>
          <w:szCs w:val="21"/>
        </w:rPr>
        <w:t xml:space="preserve">Gracias, diputado. </w:t>
      </w:r>
    </w:p>
    <w:p w14:paraId="35CC3E24" w14:textId="77777777" w:rsidR="00514BC1" w:rsidRDefault="00514BC1" w:rsidP="00514BC1">
      <w:pPr>
        <w:pStyle w:val="NormalWeb"/>
        <w:jc w:val="both"/>
        <w:rPr>
          <w:rFonts w:ascii="Abadi" w:hAnsi="Abadi"/>
          <w:sz w:val="21"/>
          <w:szCs w:val="21"/>
        </w:rPr>
      </w:pPr>
      <w:r>
        <w:rPr>
          <w:rFonts w:ascii="Abadi" w:hAnsi="Abadi"/>
          <w:sz w:val="21"/>
          <w:szCs w:val="21"/>
        </w:rPr>
        <w:t>¿</w:t>
      </w:r>
      <w:r w:rsidRPr="0021199F">
        <w:rPr>
          <w:rFonts w:ascii="Abadi" w:hAnsi="Abadi"/>
          <w:sz w:val="21"/>
          <w:szCs w:val="21"/>
        </w:rPr>
        <w:t>Falta alguna diputada o algún diputado de emitir su voto</w:t>
      </w:r>
      <w:r>
        <w:rPr>
          <w:rFonts w:ascii="Abadi" w:hAnsi="Abadi"/>
          <w:sz w:val="21"/>
          <w:szCs w:val="21"/>
        </w:rPr>
        <w:t>?</w:t>
      </w:r>
    </w:p>
    <w:p w14:paraId="7778BFD2" w14:textId="77777777" w:rsidR="00514BC1" w:rsidRDefault="00514BC1" w:rsidP="00D25530">
      <w:pPr>
        <w:pStyle w:val="NormalWeb"/>
        <w:jc w:val="center"/>
        <w:rPr>
          <w:rFonts w:ascii="Abadi" w:hAnsi="Abadi"/>
          <w:b/>
          <w:bCs/>
          <w:sz w:val="21"/>
          <w:szCs w:val="21"/>
        </w:rPr>
      </w:pPr>
      <w:r w:rsidRPr="004F5F31">
        <w:rPr>
          <w:rFonts w:ascii="Abadi" w:hAnsi="Abadi"/>
          <w:b/>
          <w:bCs/>
          <w:sz w:val="21"/>
          <w:szCs w:val="21"/>
        </w:rPr>
        <w:t>(Se cierra el sistema electrónico)</w:t>
      </w:r>
    </w:p>
    <w:p w14:paraId="6E63C5D6" w14:textId="77777777" w:rsidR="00514BC1" w:rsidRDefault="00514BC1" w:rsidP="00514BC1">
      <w:pPr>
        <w:pStyle w:val="NormalWeb"/>
        <w:jc w:val="both"/>
        <w:rPr>
          <w:noProof/>
        </w:rPr>
      </w:pPr>
    </w:p>
    <w:p w14:paraId="04A987F9" w14:textId="77777777" w:rsidR="00514BC1" w:rsidRPr="00F2379B" w:rsidRDefault="00514BC1" w:rsidP="00514BC1">
      <w:pPr>
        <w:pStyle w:val="NormalWeb"/>
        <w:jc w:val="both"/>
        <w:rPr>
          <w:noProof/>
        </w:rPr>
      </w:pPr>
      <w:r>
        <w:rPr>
          <w:noProof/>
        </w:rPr>
        <w:drawing>
          <wp:inline distT="0" distB="0" distL="0" distR="0" wp14:anchorId="1C99A77B" wp14:editId="5278E198">
            <wp:extent cx="2133600" cy="1128165"/>
            <wp:effectExtent l="152400" t="152400" r="361950" b="3581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990"/>
                    <a:stretch/>
                  </pic:blipFill>
                  <pic:spPr bwMode="auto">
                    <a:xfrm>
                      <a:off x="0" y="0"/>
                      <a:ext cx="2185561" cy="11556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6D21E37" w14:textId="6DE960A2" w:rsidR="00514BC1" w:rsidRDefault="00D25530" w:rsidP="00D25530">
      <w:pPr>
        <w:pStyle w:val="NormalWeb"/>
        <w:ind w:firstLine="708"/>
        <w:jc w:val="both"/>
        <w:rPr>
          <w:rFonts w:ascii="Abadi" w:hAnsi="Abadi"/>
          <w:sz w:val="21"/>
          <w:szCs w:val="21"/>
        </w:rPr>
      </w:pPr>
      <w:r>
        <w:rPr>
          <w:rFonts w:ascii="Abadi" w:hAnsi="Abadi"/>
          <w:b/>
          <w:bCs/>
          <w:sz w:val="21"/>
          <w:szCs w:val="21"/>
        </w:rPr>
        <w:t xml:space="preserve">- </w:t>
      </w:r>
      <w:r w:rsidR="00514BC1" w:rsidRPr="004F5F31">
        <w:rPr>
          <w:rFonts w:ascii="Abadi" w:hAnsi="Abadi"/>
          <w:b/>
          <w:bCs/>
          <w:sz w:val="21"/>
          <w:szCs w:val="21"/>
        </w:rPr>
        <w:t xml:space="preserve">La </w:t>
      </w:r>
      <w:proofErr w:type="gramStart"/>
      <w:r w:rsidR="00514BC1" w:rsidRPr="004F5F31">
        <w:rPr>
          <w:rFonts w:ascii="Abadi" w:hAnsi="Abadi"/>
          <w:b/>
          <w:bCs/>
          <w:sz w:val="21"/>
          <w:szCs w:val="21"/>
        </w:rPr>
        <w:t>Secretaria.-</w:t>
      </w:r>
      <w:proofErr w:type="gramEnd"/>
      <w:r w:rsidR="00514BC1">
        <w:rPr>
          <w:rFonts w:ascii="Abadi" w:hAnsi="Abadi"/>
          <w:sz w:val="21"/>
          <w:szCs w:val="21"/>
        </w:rPr>
        <w:t xml:space="preserve"> S</w:t>
      </w:r>
      <w:r w:rsidR="00514BC1" w:rsidRPr="0021199F">
        <w:rPr>
          <w:rFonts w:ascii="Abadi" w:hAnsi="Abadi"/>
          <w:sz w:val="21"/>
          <w:szCs w:val="21"/>
        </w:rPr>
        <w:t xml:space="preserve">e registraron </w:t>
      </w:r>
      <w:r w:rsidR="00514BC1">
        <w:rPr>
          <w:rFonts w:ascii="Abadi" w:hAnsi="Abadi"/>
          <w:sz w:val="21"/>
          <w:szCs w:val="21"/>
        </w:rPr>
        <w:t>29</w:t>
      </w:r>
      <w:r w:rsidR="00514BC1" w:rsidRPr="0021199F">
        <w:rPr>
          <w:rFonts w:ascii="Abadi" w:hAnsi="Abadi"/>
          <w:sz w:val="21"/>
          <w:szCs w:val="21"/>
        </w:rPr>
        <w:t xml:space="preserve"> votos a favor. </w:t>
      </w:r>
    </w:p>
    <w:p w14:paraId="75DE1E1C" w14:textId="2D2D27F4" w:rsidR="00514BC1" w:rsidRDefault="00D25530" w:rsidP="00D25530">
      <w:pPr>
        <w:pStyle w:val="NormalWeb"/>
        <w:ind w:firstLine="708"/>
        <w:jc w:val="both"/>
        <w:rPr>
          <w:rFonts w:ascii="Abadi" w:hAnsi="Abadi"/>
          <w:sz w:val="21"/>
          <w:szCs w:val="21"/>
        </w:rPr>
      </w:pPr>
      <w:r>
        <w:rPr>
          <w:rFonts w:ascii="Abadi" w:hAnsi="Abadi"/>
          <w:b/>
          <w:bCs/>
          <w:sz w:val="21"/>
          <w:szCs w:val="21"/>
        </w:rPr>
        <w:t xml:space="preserve"> </w:t>
      </w:r>
      <w:r w:rsidR="00514BC1" w:rsidRPr="004F5F31">
        <w:rPr>
          <w:rFonts w:ascii="Abadi" w:hAnsi="Abadi"/>
          <w:b/>
          <w:bCs/>
          <w:sz w:val="21"/>
          <w:szCs w:val="21"/>
        </w:rPr>
        <w:t xml:space="preserve">La </w:t>
      </w:r>
      <w:proofErr w:type="gramStart"/>
      <w:r w:rsidR="00514BC1" w:rsidRPr="004F5F31">
        <w:rPr>
          <w:rFonts w:ascii="Abadi" w:hAnsi="Abadi"/>
          <w:b/>
          <w:bCs/>
          <w:sz w:val="21"/>
          <w:szCs w:val="21"/>
        </w:rPr>
        <w:t>Secretaria.-</w:t>
      </w:r>
      <w:proofErr w:type="gramEnd"/>
      <w:r w:rsidR="00514BC1">
        <w:rPr>
          <w:rFonts w:ascii="Abadi" w:hAnsi="Abadi"/>
          <w:sz w:val="21"/>
          <w:szCs w:val="21"/>
        </w:rPr>
        <w:t xml:space="preserve"> </w:t>
      </w:r>
      <w:r w:rsidR="00514BC1" w:rsidRPr="0021199F">
        <w:rPr>
          <w:rFonts w:ascii="Abadi" w:hAnsi="Abadi"/>
          <w:sz w:val="21"/>
          <w:szCs w:val="21"/>
        </w:rPr>
        <w:t xml:space="preserve">El orden del día ha sido aprobado por unanimidad de votos. </w:t>
      </w:r>
    </w:p>
    <w:p w14:paraId="65361B5F" w14:textId="77777777" w:rsidR="00514BC1" w:rsidRDefault="00514BC1" w:rsidP="00D25530">
      <w:pPr>
        <w:pStyle w:val="NormalWeb"/>
        <w:ind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Quiero dar la más cordial bienvenida a los diputados que se integran ahorita al </w:t>
      </w:r>
      <w:r>
        <w:rPr>
          <w:rFonts w:ascii="Abadi" w:hAnsi="Abadi"/>
          <w:sz w:val="21"/>
          <w:szCs w:val="21"/>
        </w:rPr>
        <w:t>P</w:t>
      </w:r>
      <w:r w:rsidRPr="0021199F">
        <w:rPr>
          <w:rFonts w:ascii="Abadi" w:hAnsi="Abadi"/>
          <w:sz w:val="21"/>
          <w:szCs w:val="21"/>
        </w:rPr>
        <w:t>leno, a la diputada</w:t>
      </w:r>
      <w:r>
        <w:rPr>
          <w:rFonts w:ascii="Abadi" w:hAnsi="Abadi"/>
          <w:sz w:val="21"/>
          <w:szCs w:val="21"/>
        </w:rPr>
        <w:t xml:space="preserve"> Alma Edwviges Alcaraz Hernández,</w:t>
      </w:r>
      <w:r w:rsidRPr="0021199F">
        <w:rPr>
          <w:rFonts w:ascii="Abadi" w:hAnsi="Abadi"/>
          <w:sz w:val="21"/>
          <w:szCs w:val="21"/>
        </w:rPr>
        <w:t xml:space="preserve"> </w:t>
      </w:r>
      <w:r>
        <w:rPr>
          <w:rFonts w:ascii="Abadi" w:hAnsi="Abadi"/>
          <w:sz w:val="21"/>
          <w:szCs w:val="21"/>
        </w:rPr>
        <w:t>m</w:t>
      </w:r>
      <w:r w:rsidRPr="0021199F">
        <w:rPr>
          <w:rFonts w:ascii="Abadi" w:hAnsi="Abadi"/>
          <w:sz w:val="21"/>
          <w:szCs w:val="21"/>
        </w:rPr>
        <w:t>uy buenos días</w:t>
      </w:r>
      <w:r>
        <w:rPr>
          <w:rFonts w:ascii="Abadi" w:hAnsi="Abadi"/>
          <w:sz w:val="21"/>
          <w:szCs w:val="21"/>
        </w:rPr>
        <w:t>, b</w:t>
      </w:r>
      <w:r w:rsidRPr="0021199F">
        <w:rPr>
          <w:rFonts w:ascii="Abadi" w:hAnsi="Abadi"/>
          <w:sz w:val="21"/>
          <w:szCs w:val="21"/>
        </w:rPr>
        <w:t xml:space="preserve">ienvenida a la diputada Angélica Casillas Martínez, </w:t>
      </w:r>
      <w:r>
        <w:rPr>
          <w:rFonts w:ascii="Abadi" w:hAnsi="Abadi"/>
          <w:sz w:val="21"/>
          <w:szCs w:val="21"/>
        </w:rPr>
        <w:t>d</w:t>
      </w:r>
      <w:r w:rsidRPr="0021199F">
        <w:rPr>
          <w:rFonts w:ascii="Abadi" w:hAnsi="Abadi"/>
          <w:sz w:val="21"/>
          <w:szCs w:val="21"/>
        </w:rPr>
        <w:t>iputada Angélica</w:t>
      </w:r>
      <w:r>
        <w:rPr>
          <w:rFonts w:ascii="Abadi" w:hAnsi="Abadi"/>
          <w:sz w:val="21"/>
          <w:szCs w:val="21"/>
        </w:rPr>
        <w:t>, m</w:t>
      </w:r>
      <w:r w:rsidRPr="0021199F">
        <w:rPr>
          <w:rFonts w:ascii="Abadi" w:hAnsi="Abadi"/>
          <w:sz w:val="21"/>
          <w:szCs w:val="21"/>
        </w:rPr>
        <w:t>uy buenos días</w:t>
      </w:r>
      <w:r>
        <w:rPr>
          <w:rFonts w:ascii="Abadi" w:hAnsi="Abadi"/>
          <w:sz w:val="21"/>
          <w:szCs w:val="21"/>
        </w:rPr>
        <w:t>, b</w:t>
      </w:r>
      <w:r w:rsidRPr="0021199F">
        <w:rPr>
          <w:rFonts w:ascii="Abadi" w:hAnsi="Abadi"/>
          <w:sz w:val="21"/>
          <w:szCs w:val="21"/>
        </w:rPr>
        <w:t>ienvenida al diputado Gerardo Fernández González</w:t>
      </w:r>
      <w:r>
        <w:rPr>
          <w:rFonts w:ascii="Abadi" w:hAnsi="Abadi"/>
          <w:sz w:val="21"/>
          <w:szCs w:val="21"/>
        </w:rPr>
        <w:t>, d</w:t>
      </w:r>
      <w:r w:rsidRPr="0021199F">
        <w:rPr>
          <w:rFonts w:ascii="Abadi" w:hAnsi="Abadi"/>
          <w:sz w:val="21"/>
          <w:szCs w:val="21"/>
        </w:rPr>
        <w:t xml:space="preserve">iputado muy buenos días y a la diputada </w:t>
      </w:r>
      <w:r>
        <w:rPr>
          <w:rFonts w:ascii="Abadi" w:hAnsi="Abadi"/>
          <w:sz w:val="21"/>
          <w:szCs w:val="21"/>
        </w:rPr>
        <w:t>Hades Be</w:t>
      </w:r>
      <w:r w:rsidRPr="0021199F">
        <w:rPr>
          <w:rFonts w:ascii="Abadi" w:hAnsi="Abadi"/>
          <w:sz w:val="21"/>
          <w:szCs w:val="21"/>
        </w:rPr>
        <w:t>renice</w:t>
      </w:r>
      <w:r>
        <w:rPr>
          <w:rFonts w:ascii="Abadi" w:hAnsi="Abadi"/>
          <w:sz w:val="21"/>
          <w:szCs w:val="21"/>
        </w:rPr>
        <w:t xml:space="preserve"> Aguilar Castillo, </w:t>
      </w:r>
      <w:r w:rsidRPr="0021199F">
        <w:rPr>
          <w:rFonts w:ascii="Abadi" w:hAnsi="Abadi"/>
          <w:sz w:val="21"/>
          <w:szCs w:val="21"/>
        </w:rPr>
        <w:t>muy buenos días</w:t>
      </w:r>
      <w:r>
        <w:rPr>
          <w:rFonts w:ascii="Abadi" w:hAnsi="Abadi"/>
          <w:sz w:val="21"/>
          <w:szCs w:val="21"/>
        </w:rPr>
        <w:t>.</w:t>
      </w:r>
    </w:p>
    <w:p w14:paraId="67C4E772" w14:textId="38DF636D" w:rsidR="00514BC1" w:rsidRDefault="00D25530" w:rsidP="00D25530">
      <w:pPr>
        <w:pStyle w:val="NormalWeb"/>
        <w:ind w:firstLine="708"/>
        <w:jc w:val="both"/>
        <w:rPr>
          <w:rFonts w:ascii="Abadi" w:hAnsi="Abadi"/>
          <w:sz w:val="21"/>
          <w:szCs w:val="21"/>
        </w:rPr>
      </w:pPr>
      <w:r>
        <w:rPr>
          <w:rFonts w:ascii="Abadi" w:hAnsi="Abadi"/>
          <w:sz w:val="21"/>
          <w:szCs w:val="21"/>
        </w:rPr>
        <w:t xml:space="preserve">- </w:t>
      </w:r>
      <w:r w:rsidR="00514BC1" w:rsidRPr="0021199F">
        <w:rPr>
          <w:rFonts w:ascii="Abadi" w:hAnsi="Abadi"/>
          <w:sz w:val="21"/>
          <w:szCs w:val="21"/>
        </w:rPr>
        <w:t>Bienvenido y al diputado César Larrondo</w:t>
      </w:r>
      <w:r w:rsidR="00514BC1">
        <w:rPr>
          <w:rFonts w:ascii="Abadi" w:hAnsi="Abadi"/>
          <w:sz w:val="21"/>
          <w:szCs w:val="21"/>
        </w:rPr>
        <w:t>, Díaz,</w:t>
      </w:r>
      <w:r w:rsidR="00514BC1" w:rsidRPr="0021199F">
        <w:rPr>
          <w:rFonts w:ascii="Abadi" w:hAnsi="Abadi"/>
          <w:sz w:val="21"/>
          <w:szCs w:val="21"/>
        </w:rPr>
        <w:t xml:space="preserve"> muy bienvenido y felicidades por su cumpleaños, diputado</w:t>
      </w:r>
      <w:r w:rsidR="00514BC1">
        <w:rPr>
          <w:rFonts w:ascii="Abadi" w:hAnsi="Abadi"/>
          <w:sz w:val="21"/>
          <w:szCs w:val="21"/>
        </w:rPr>
        <w:t>.</w:t>
      </w:r>
      <w:r w:rsidR="00514BC1" w:rsidRPr="0021199F">
        <w:rPr>
          <w:rFonts w:ascii="Abadi" w:hAnsi="Abadi"/>
          <w:sz w:val="21"/>
          <w:szCs w:val="21"/>
        </w:rPr>
        <w:t xml:space="preserve"> </w:t>
      </w:r>
    </w:p>
    <w:p w14:paraId="07EFFBC0" w14:textId="77777777" w:rsidR="00514BC1" w:rsidRDefault="00514BC1" w:rsidP="00D25530">
      <w:pPr>
        <w:pStyle w:val="NormalWeb"/>
        <w:ind w:firstLine="284"/>
        <w:jc w:val="both"/>
        <w:rPr>
          <w:rFonts w:ascii="Abadi" w:hAnsi="Abadi"/>
          <w:sz w:val="21"/>
          <w:szCs w:val="21"/>
        </w:rPr>
      </w:pPr>
      <w:r>
        <w:rPr>
          <w:rFonts w:ascii="Abadi" w:hAnsi="Abadi"/>
          <w:sz w:val="21"/>
          <w:szCs w:val="21"/>
        </w:rPr>
        <w:t>- Y</w:t>
      </w:r>
      <w:r w:rsidRPr="0021199F">
        <w:rPr>
          <w:rFonts w:ascii="Abadi" w:hAnsi="Abadi"/>
          <w:sz w:val="21"/>
          <w:szCs w:val="21"/>
        </w:rPr>
        <w:t xml:space="preserve"> ya se había integrado el diputado </w:t>
      </w:r>
      <w:r>
        <w:rPr>
          <w:rFonts w:ascii="Abadi" w:hAnsi="Abadi"/>
          <w:sz w:val="21"/>
          <w:szCs w:val="21"/>
        </w:rPr>
        <w:t xml:space="preserve">David, </w:t>
      </w:r>
      <w:r w:rsidRPr="0021199F">
        <w:rPr>
          <w:rFonts w:ascii="Abadi" w:hAnsi="Abadi"/>
          <w:sz w:val="21"/>
          <w:szCs w:val="21"/>
        </w:rPr>
        <w:t xml:space="preserve">pero también es tu cumpleaños, así que también para el Muchas felicidades. </w:t>
      </w:r>
    </w:p>
    <w:p w14:paraId="73140F72" w14:textId="77777777" w:rsidR="003B673C" w:rsidRDefault="003B673C" w:rsidP="00AD7E6D">
      <w:pPr>
        <w:pStyle w:val="Prrafodelista"/>
        <w:tabs>
          <w:tab w:val="left" w:pos="856"/>
        </w:tabs>
        <w:spacing w:before="1"/>
        <w:ind w:left="0" w:right="-142"/>
        <w:jc w:val="both"/>
        <w:rPr>
          <w:rFonts w:ascii="Abadi" w:hAnsi="Abadi"/>
          <w:b/>
          <w:bCs/>
          <w:sz w:val="21"/>
          <w:szCs w:val="21"/>
        </w:rPr>
      </w:pPr>
    </w:p>
    <w:p w14:paraId="53A52C8C" w14:textId="3A5FA68D" w:rsidR="00AD7E6D" w:rsidRPr="006F59BB" w:rsidRDefault="00AD7E6D" w:rsidP="00343CA9">
      <w:pPr>
        <w:pStyle w:val="Prrafodelista"/>
        <w:numPr>
          <w:ilvl w:val="0"/>
          <w:numId w:val="4"/>
        </w:numPr>
        <w:tabs>
          <w:tab w:val="left" w:pos="856"/>
        </w:tabs>
        <w:spacing w:before="1"/>
        <w:ind w:left="284" w:right="-1"/>
        <w:jc w:val="both"/>
        <w:rPr>
          <w:rFonts w:ascii="Abadi" w:hAnsi="Abadi"/>
          <w:b/>
          <w:bCs/>
          <w:sz w:val="21"/>
          <w:szCs w:val="21"/>
        </w:rPr>
      </w:pPr>
      <w:r w:rsidRPr="006F59BB">
        <w:rPr>
          <w:rFonts w:ascii="Abadi" w:hAnsi="Abadi"/>
          <w:b/>
          <w:bCs/>
          <w:sz w:val="21"/>
          <w:szCs w:val="21"/>
        </w:rPr>
        <w:t>LECTURA Y, EN SU CASO, APROBACIÓN DEL ACTA DE LA SESIÓN ORDINARIA CELEBRADA</w:t>
      </w:r>
      <w:r w:rsidRPr="006F59BB">
        <w:rPr>
          <w:rFonts w:ascii="Abadi" w:hAnsi="Abadi"/>
          <w:b/>
          <w:bCs/>
          <w:spacing w:val="-70"/>
          <w:sz w:val="21"/>
          <w:szCs w:val="21"/>
        </w:rPr>
        <w:t xml:space="preserve"> </w:t>
      </w:r>
      <w:r w:rsidRPr="006F59BB">
        <w:rPr>
          <w:rFonts w:ascii="Abadi" w:hAnsi="Abadi"/>
          <w:b/>
          <w:bCs/>
          <w:sz w:val="21"/>
          <w:szCs w:val="21"/>
        </w:rPr>
        <w:t>EL</w:t>
      </w:r>
      <w:r w:rsidRPr="006F59BB">
        <w:rPr>
          <w:rFonts w:ascii="Abadi" w:hAnsi="Abadi"/>
          <w:b/>
          <w:bCs/>
          <w:spacing w:val="-1"/>
          <w:sz w:val="21"/>
          <w:szCs w:val="21"/>
        </w:rPr>
        <w:t xml:space="preserve"> </w:t>
      </w:r>
      <w:r w:rsidR="007E3716">
        <w:rPr>
          <w:rFonts w:ascii="Abadi" w:hAnsi="Abadi"/>
          <w:b/>
          <w:bCs/>
          <w:spacing w:val="-1"/>
          <w:sz w:val="21"/>
          <w:szCs w:val="21"/>
        </w:rPr>
        <w:t>05</w:t>
      </w:r>
      <w:r w:rsidR="008646B5">
        <w:rPr>
          <w:rFonts w:ascii="Abadi" w:hAnsi="Abadi"/>
          <w:b/>
          <w:bCs/>
          <w:spacing w:val="-1"/>
          <w:sz w:val="21"/>
          <w:szCs w:val="21"/>
        </w:rPr>
        <w:t xml:space="preserve"> DE </w:t>
      </w:r>
      <w:r w:rsidR="007E3716">
        <w:rPr>
          <w:rFonts w:ascii="Abadi" w:hAnsi="Abadi"/>
          <w:b/>
          <w:bCs/>
          <w:spacing w:val="-1"/>
          <w:sz w:val="21"/>
          <w:szCs w:val="21"/>
        </w:rPr>
        <w:t>MAYO</w:t>
      </w:r>
      <w:r w:rsidRPr="006F59BB">
        <w:rPr>
          <w:rFonts w:ascii="Abadi" w:hAnsi="Abadi"/>
          <w:b/>
          <w:bCs/>
          <w:sz w:val="21"/>
          <w:szCs w:val="21"/>
        </w:rPr>
        <w:t xml:space="preserve"> DEL AÑO EN CURSO.</w:t>
      </w:r>
    </w:p>
    <w:p w14:paraId="40AED146" w14:textId="77777777" w:rsidR="00702601" w:rsidRDefault="00702601" w:rsidP="00711CB3">
      <w:pPr>
        <w:pStyle w:val="Estilo1"/>
        <w:numPr>
          <w:ilvl w:val="0"/>
          <w:numId w:val="0"/>
        </w:numPr>
        <w:tabs>
          <w:tab w:val="clear" w:pos="4059"/>
        </w:tabs>
        <w:ind w:left="284" w:right="0" w:firstLine="708"/>
        <w:rPr>
          <w:rFonts w:ascii="Abadi" w:hAnsi="Abadi"/>
          <w:b w:val="0"/>
          <w:bCs w:val="0"/>
          <w:sz w:val="21"/>
          <w:szCs w:val="21"/>
        </w:rPr>
      </w:pPr>
    </w:p>
    <w:p w14:paraId="7E823F70" w14:textId="77777777" w:rsidR="00135E64" w:rsidRPr="00E6379B" w:rsidRDefault="00135E64" w:rsidP="00135E64">
      <w:pPr>
        <w:pStyle w:val="Default"/>
        <w:jc w:val="both"/>
        <w:rPr>
          <w:rFonts w:ascii="Abadi" w:hAnsi="Abadi"/>
          <w:sz w:val="21"/>
          <w:szCs w:val="21"/>
        </w:rPr>
      </w:pPr>
    </w:p>
    <w:p w14:paraId="65C89EC6" w14:textId="62ABB1BC" w:rsidR="00135E64" w:rsidRPr="00E6379B" w:rsidRDefault="00D36B8F" w:rsidP="00135E64">
      <w:pPr>
        <w:pStyle w:val="Default"/>
        <w:jc w:val="center"/>
        <w:rPr>
          <w:rFonts w:ascii="Abadi" w:hAnsi="Abadi"/>
          <w:b/>
          <w:bCs/>
          <w:sz w:val="21"/>
          <w:szCs w:val="21"/>
        </w:rPr>
      </w:pPr>
      <w:r>
        <w:rPr>
          <w:rStyle w:val="Refdenotaalpie"/>
          <w:rFonts w:ascii="Abadi" w:hAnsi="Abadi"/>
          <w:b/>
          <w:bCs/>
          <w:sz w:val="21"/>
          <w:szCs w:val="21"/>
        </w:rPr>
        <w:footnoteReference w:id="2"/>
      </w:r>
      <w:r w:rsidR="00135E64" w:rsidRPr="00E6379B">
        <w:rPr>
          <w:rFonts w:ascii="Abadi" w:hAnsi="Abadi"/>
          <w:b/>
          <w:bCs/>
          <w:sz w:val="21"/>
          <w:szCs w:val="21"/>
        </w:rPr>
        <w:t>ACTA NÚMERO 2</w:t>
      </w:r>
      <w:r w:rsidR="003416D6">
        <w:rPr>
          <w:rFonts w:ascii="Abadi" w:hAnsi="Abadi"/>
          <w:b/>
          <w:bCs/>
          <w:sz w:val="21"/>
          <w:szCs w:val="21"/>
        </w:rPr>
        <w:t>9</w:t>
      </w:r>
    </w:p>
    <w:p w14:paraId="5C801221" w14:textId="77777777" w:rsidR="00135E64" w:rsidRDefault="00135E64" w:rsidP="00135E64">
      <w:pPr>
        <w:pStyle w:val="Default"/>
        <w:jc w:val="center"/>
        <w:rPr>
          <w:rFonts w:ascii="Abadi" w:hAnsi="Abadi"/>
          <w:b/>
          <w:bCs/>
          <w:sz w:val="21"/>
          <w:szCs w:val="21"/>
        </w:rPr>
      </w:pPr>
      <w:r w:rsidRPr="00E6379B">
        <w:rPr>
          <w:rFonts w:ascii="Abadi" w:hAnsi="Abadi"/>
          <w:b/>
          <w:bCs/>
          <w:sz w:val="21"/>
          <w:szCs w:val="21"/>
        </w:rPr>
        <w:t xml:space="preserve">SEXAGÉSIMA QUINTA LEGISLATURA CONSTITUCIONAL DEL </w:t>
      </w:r>
    </w:p>
    <w:p w14:paraId="38447406" w14:textId="77777777"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CONGRESO DEL ESTADO LIBRE Y SOBERANO DE GUANAJUATO</w:t>
      </w:r>
    </w:p>
    <w:p w14:paraId="3523E392" w14:textId="77777777"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SEGUNDO PERIODO ORDINARIO DE SESIONES</w:t>
      </w:r>
    </w:p>
    <w:p w14:paraId="3CDE2644" w14:textId="77777777"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PRIMER AÑO DE EJERCICIO CONSTITUCIONAL</w:t>
      </w:r>
    </w:p>
    <w:p w14:paraId="316ECA75" w14:textId="2EECD368" w:rsidR="00135E64" w:rsidRDefault="00135E64" w:rsidP="00135E64">
      <w:pPr>
        <w:pStyle w:val="Default"/>
        <w:jc w:val="center"/>
        <w:rPr>
          <w:rFonts w:ascii="Abadi" w:hAnsi="Abadi"/>
          <w:b/>
          <w:bCs/>
          <w:sz w:val="21"/>
          <w:szCs w:val="21"/>
        </w:rPr>
      </w:pPr>
      <w:r w:rsidRPr="00E6379B">
        <w:rPr>
          <w:rFonts w:ascii="Abadi" w:hAnsi="Abadi"/>
          <w:b/>
          <w:bCs/>
          <w:sz w:val="21"/>
          <w:szCs w:val="21"/>
        </w:rPr>
        <w:t>SESIÓN CELEBRADA EL</w:t>
      </w:r>
      <w:r w:rsidR="00FD513B">
        <w:rPr>
          <w:rFonts w:ascii="Abadi" w:hAnsi="Abadi"/>
          <w:b/>
          <w:bCs/>
          <w:sz w:val="21"/>
          <w:szCs w:val="21"/>
        </w:rPr>
        <w:t xml:space="preserve"> </w:t>
      </w:r>
      <w:r w:rsidR="003416D6">
        <w:rPr>
          <w:rFonts w:ascii="Abadi" w:hAnsi="Abadi"/>
          <w:b/>
          <w:bCs/>
          <w:sz w:val="21"/>
          <w:szCs w:val="21"/>
        </w:rPr>
        <w:t>12</w:t>
      </w:r>
      <w:r w:rsidR="00FD513B">
        <w:rPr>
          <w:rFonts w:ascii="Abadi" w:hAnsi="Abadi"/>
          <w:b/>
          <w:bCs/>
          <w:sz w:val="21"/>
          <w:szCs w:val="21"/>
        </w:rPr>
        <w:t xml:space="preserve"> MAYO</w:t>
      </w:r>
      <w:r w:rsidRPr="00E6379B">
        <w:rPr>
          <w:rFonts w:ascii="Abadi" w:hAnsi="Abadi"/>
          <w:b/>
          <w:bCs/>
          <w:sz w:val="21"/>
          <w:szCs w:val="21"/>
        </w:rPr>
        <w:t xml:space="preserve"> DE 2022 </w:t>
      </w:r>
    </w:p>
    <w:p w14:paraId="1FE06551" w14:textId="77777777" w:rsidR="007E220E" w:rsidRDefault="007E220E" w:rsidP="00135E64">
      <w:pPr>
        <w:pStyle w:val="Default"/>
        <w:jc w:val="center"/>
        <w:rPr>
          <w:rFonts w:ascii="Abadi" w:hAnsi="Abadi"/>
          <w:b/>
          <w:bCs/>
          <w:sz w:val="21"/>
          <w:szCs w:val="21"/>
        </w:rPr>
      </w:pPr>
    </w:p>
    <w:p w14:paraId="5054D03F" w14:textId="77777777" w:rsidR="00711CB3" w:rsidRDefault="00135E64" w:rsidP="00135E64">
      <w:pPr>
        <w:pStyle w:val="Default"/>
        <w:jc w:val="center"/>
        <w:rPr>
          <w:rFonts w:ascii="Abadi" w:hAnsi="Abadi"/>
          <w:b/>
          <w:bCs/>
          <w:sz w:val="21"/>
          <w:szCs w:val="21"/>
        </w:rPr>
      </w:pPr>
      <w:r w:rsidRPr="00E6379B">
        <w:rPr>
          <w:rFonts w:ascii="Abadi" w:hAnsi="Abadi"/>
          <w:b/>
          <w:bCs/>
          <w:sz w:val="21"/>
          <w:szCs w:val="21"/>
        </w:rPr>
        <w:t xml:space="preserve"> PRESIDENCIA DE LA DIPUTADA</w:t>
      </w:r>
    </w:p>
    <w:p w14:paraId="0259B67C" w14:textId="70AA4CE5"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 xml:space="preserve"> IRMA LETICIA GONZÁLEZ SÁNCHEZ</w:t>
      </w:r>
    </w:p>
    <w:p w14:paraId="0825DC28" w14:textId="77777777" w:rsidR="00307D50" w:rsidRPr="00E807BA" w:rsidRDefault="00307D50" w:rsidP="00307D50">
      <w:pPr>
        <w:pStyle w:val="Default"/>
        <w:jc w:val="both"/>
        <w:rPr>
          <w:rFonts w:ascii="Abadi" w:hAnsi="Abadi"/>
          <w:sz w:val="21"/>
          <w:szCs w:val="21"/>
        </w:rPr>
      </w:pPr>
    </w:p>
    <w:p w14:paraId="3E3EDDE5" w14:textId="64BEF627" w:rsidR="00861FE9" w:rsidRPr="002D32D1" w:rsidRDefault="00861FE9" w:rsidP="00861FE9">
      <w:pPr>
        <w:ind w:firstLine="708"/>
        <w:jc w:val="both"/>
        <w:rPr>
          <w:rFonts w:ascii="Abadi" w:hAnsi="Abadi"/>
          <w:sz w:val="21"/>
          <w:szCs w:val="21"/>
        </w:rPr>
      </w:pPr>
      <w:r w:rsidRPr="002D32D1">
        <w:rPr>
          <w:rFonts w:ascii="Abadi" w:hAnsi="Abadi"/>
          <w:sz w:val="21"/>
          <w:szCs w:val="21"/>
        </w:rPr>
        <w:t xml:space="preserve">En la ciudad de Guanajuato, capital del Estado del mismo nombre, se reunieron las diputadas y los diputados que integran la Sexagésima Quinta Legislatura del Congreso del Estado Libre y Soberano de Guanajuato a efecto de llevar a cabo la sesión ordinaria, en los términos de la convocatoria, la cual tuvo el siguiente desarrollo: - - - - - - - - - - - - -  </w:t>
      </w:r>
    </w:p>
    <w:p w14:paraId="0CD37143" w14:textId="0CF61C99" w:rsidR="00861FE9" w:rsidRPr="002D32D1" w:rsidRDefault="00861FE9" w:rsidP="00861FE9">
      <w:pPr>
        <w:ind w:firstLine="708"/>
        <w:jc w:val="both"/>
        <w:rPr>
          <w:rFonts w:ascii="Abadi" w:hAnsi="Abadi"/>
          <w:sz w:val="21"/>
          <w:szCs w:val="21"/>
        </w:rPr>
      </w:pPr>
      <w:r w:rsidRPr="002D32D1">
        <w:rPr>
          <w:rFonts w:ascii="Abadi" w:hAnsi="Abadi"/>
          <w:sz w:val="21"/>
          <w:szCs w:val="21"/>
        </w:rPr>
        <w:t xml:space="preserve">La presidencia solicitó a la secretaría certificar el cuórum conforme al registro de asistencia del sistema electrónico. - - - - - - - - - - - - - - - - - - - - </w:t>
      </w:r>
    </w:p>
    <w:p w14:paraId="26ACCD5D" w14:textId="58B3D8AC" w:rsidR="00861FE9" w:rsidRDefault="00861FE9" w:rsidP="00861FE9">
      <w:pPr>
        <w:ind w:firstLine="708"/>
        <w:jc w:val="both"/>
        <w:rPr>
          <w:rFonts w:ascii="Abadi" w:hAnsi="Abadi"/>
          <w:sz w:val="21"/>
          <w:szCs w:val="21"/>
        </w:rPr>
      </w:pPr>
      <w:r w:rsidRPr="002D32D1">
        <w:rPr>
          <w:rFonts w:ascii="Abadi" w:hAnsi="Abadi"/>
          <w:sz w:val="21"/>
          <w:szCs w:val="21"/>
        </w:rPr>
        <w:t xml:space="preserve">Se registró la presencia de veintinueve diputadas y diputados. La diputada Hades Berenice Aguilar Castillo y los diputados José Alfonso Borja Pimentel y Pablo Alonso Ripoll se incorporaron a la sesión en el desarrollo del punto uno del </w:t>
      </w:r>
      <w:r w:rsidRPr="002D32D1">
        <w:rPr>
          <w:rFonts w:ascii="Abadi" w:hAnsi="Abadi"/>
          <w:sz w:val="21"/>
          <w:szCs w:val="21"/>
        </w:rPr>
        <w:lastRenderedPageBreak/>
        <w:t xml:space="preserve">orden del día, y las diputadas Lilia Margarita Rionda Salas y Alma Edwviges Alcaraz Hernández en el desarrollo del punto cinco del orden del día. Se registraron las inasistencias de las diputadas Janet Melanie Murillo Chávez y Noemí Márquez </w:t>
      </w:r>
      <w:proofErr w:type="spellStart"/>
      <w:r w:rsidRPr="002D32D1">
        <w:rPr>
          <w:rFonts w:ascii="Abadi" w:hAnsi="Abadi"/>
          <w:sz w:val="21"/>
          <w:szCs w:val="21"/>
        </w:rPr>
        <w:t>Márquez</w:t>
      </w:r>
      <w:proofErr w:type="spellEnd"/>
      <w:r w:rsidRPr="002D32D1">
        <w:rPr>
          <w:rFonts w:ascii="Abadi" w:hAnsi="Abadi"/>
          <w:sz w:val="21"/>
          <w:szCs w:val="21"/>
        </w:rPr>
        <w:t xml:space="preserve">, justificadas en su momento por la presidencia en virtud de los oficios presentados en términos del artículo veintiocho de la Ley Orgánica del Poder Legislativo del </w:t>
      </w:r>
      <w:proofErr w:type="gramStart"/>
      <w:r w:rsidRPr="002D32D1">
        <w:rPr>
          <w:rFonts w:ascii="Abadi" w:hAnsi="Abadi"/>
          <w:sz w:val="21"/>
          <w:szCs w:val="21"/>
        </w:rPr>
        <w:t>Estado.</w:t>
      </w:r>
      <w:r>
        <w:rPr>
          <w:rFonts w:ascii="Abadi" w:hAnsi="Abadi"/>
          <w:sz w:val="21"/>
          <w:szCs w:val="21"/>
        </w:rPr>
        <w:t>-</w:t>
      </w:r>
      <w:proofErr w:type="gramEnd"/>
      <w:r>
        <w:rPr>
          <w:rFonts w:ascii="Abadi" w:hAnsi="Abadi"/>
          <w:sz w:val="21"/>
          <w:szCs w:val="21"/>
        </w:rPr>
        <w:t xml:space="preserve"> - - - - - - - - </w:t>
      </w:r>
    </w:p>
    <w:p w14:paraId="4E4F4133" w14:textId="40758452" w:rsidR="00861FE9" w:rsidRDefault="00861FE9" w:rsidP="00861FE9">
      <w:pPr>
        <w:ind w:firstLine="708"/>
        <w:jc w:val="both"/>
        <w:rPr>
          <w:rFonts w:ascii="Abadi" w:hAnsi="Abadi"/>
          <w:sz w:val="21"/>
          <w:szCs w:val="21"/>
        </w:rPr>
      </w:pPr>
      <w:r w:rsidRPr="002D32D1">
        <w:rPr>
          <w:rFonts w:ascii="Abadi" w:hAnsi="Abadi"/>
          <w:sz w:val="21"/>
          <w:szCs w:val="21"/>
        </w:rPr>
        <w:t xml:space="preserve">Comprobado el cuórum legal, la presidencia declaró abierta la sesión a las diez horas con veintinueve minutos del doce de mayo de dos mil veintidós. - - - - </w:t>
      </w:r>
    </w:p>
    <w:p w14:paraId="51852841" w14:textId="4737BDB4" w:rsidR="00861FE9" w:rsidRDefault="00861FE9" w:rsidP="00861FE9">
      <w:pPr>
        <w:ind w:firstLine="708"/>
        <w:jc w:val="both"/>
        <w:rPr>
          <w:rFonts w:ascii="Abadi" w:hAnsi="Abadi"/>
          <w:sz w:val="21"/>
          <w:szCs w:val="21"/>
        </w:rPr>
      </w:pPr>
      <w:r w:rsidRPr="002D32D1">
        <w:rPr>
          <w:rFonts w:ascii="Abadi" w:hAnsi="Abadi"/>
          <w:sz w:val="21"/>
          <w:szCs w:val="21"/>
        </w:rPr>
        <w:t xml:space="preserve">La secretaría por instrucción de la presidencia dio lectura al orden del día; mismo que en la modalidad electrónica resultó aprobado por unanimidad de los presentes, en votación económica, sin discusión, con treinta y un votos. - - - - - - </w:t>
      </w:r>
    </w:p>
    <w:p w14:paraId="7C662093" w14:textId="068C1614" w:rsidR="00861FE9" w:rsidRDefault="00861FE9" w:rsidP="00861FE9">
      <w:pPr>
        <w:ind w:firstLine="708"/>
        <w:jc w:val="both"/>
        <w:rPr>
          <w:rFonts w:ascii="Abadi" w:hAnsi="Abadi"/>
          <w:sz w:val="21"/>
          <w:szCs w:val="21"/>
        </w:rPr>
      </w:pPr>
      <w:r w:rsidRPr="002D32D1">
        <w:rPr>
          <w:rFonts w:ascii="Abadi" w:hAnsi="Abadi"/>
          <w:sz w:val="21"/>
          <w:szCs w:val="21"/>
        </w:rPr>
        <w:t xml:space="preserve">En votación económica, en la modalidad electrónica, se aprobó por unanimidad de los presentes, con treinta y dos votos, sin discusión, la propuesta de dispensa de lectura del acta de la sesión ordinaria celebrada el cinco de mayo del año en curso. En los mismos términos, con treinta y dos votos se aprobó el acta de referencia. - - - - - - - - - - - - - - - - - - - - - </w:t>
      </w:r>
    </w:p>
    <w:p w14:paraId="74FC94DF" w14:textId="77622723" w:rsidR="00861FE9" w:rsidRDefault="00861FE9" w:rsidP="00861FE9">
      <w:pPr>
        <w:ind w:firstLine="708"/>
        <w:jc w:val="both"/>
        <w:rPr>
          <w:rFonts w:ascii="Abadi" w:hAnsi="Abadi"/>
          <w:sz w:val="21"/>
          <w:szCs w:val="21"/>
        </w:rPr>
      </w:pPr>
      <w:r w:rsidRPr="002D32D1">
        <w:rPr>
          <w:rFonts w:ascii="Abadi" w:hAnsi="Abadi"/>
          <w:sz w:val="21"/>
          <w:szCs w:val="21"/>
        </w:rPr>
        <w:t xml:space="preserve">En votación económica, en la modalidad electrónica, se aprobó por unanimidad de los presentes, con treinta y dos votos, la propuesta de dispensa de lectura de las comunicaciones y correspondencia recibidas, en razón de encontrarse en la Gaceta Parlamentaria. Una vez lo cual, la presidencia ordenó ejecutar los acuerdos dictados a las comunicaciones y correspondencia recibidas. - - - - - - - - - - - - - - - - - - - - - - </w:t>
      </w:r>
    </w:p>
    <w:p w14:paraId="18E81764" w14:textId="0B845265" w:rsidR="00861FE9" w:rsidRDefault="00861FE9" w:rsidP="00861FE9">
      <w:pPr>
        <w:ind w:firstLine="708"/>
        <w:jc w:val="both"/>
        <w:rPr>
          <w:rFonts w:ascii="Abadi" w:hAnsi="Abadi"/>
          <w:sz w:val="21"/>
          <w:szCs w:val="21"/>
        </w:rPr>
      </w:pPr>
      <w:r w:rsidRPr="002D32D1">
        <w:rPr>
          <w:rFonts w:ascii="Abadi" w:hAnsi="Abadi"/>
          <w:sz w:val="21"/>
          <w:szCs w:val="21"/>
        </w:rPr>
        <w:t xml:space="preserve">La diputada Hades Berenice Aguilar Castillo integrante del Grupo Parlamentario del Partido MORENA, a petición de la presidencia, dio lectura a la exposición de motivos de su iniciativa a efecto de reformar el artículo ciento setenta y uno; adicionar la fracción novena al artículo cincuenta y nueve, recorriéndose en su orden las subsecuentes; y derogar el artículo ciento sesenta y nueve de la Ley Orgánica del Poder Legislativo del Estado de Guanajuato. Concluida la lectura, la presidencia turnó la iniciativa a la Comisión de Gobernación y Puntos </w:t>
      </w:r>
      <w:r w:rsidRPr="002D32D1">
        <w:rPr>
          <w:rFonts w:ascii="Abadi" w:hAnsi="Abadi"/>
          <w:sz w:val="21"/>
          <w:szCs w:val="21"/>
        </w:rPr>
        <w:t xml:space="preserve">Constitucionales, con fundamento en el artículo ciento once -fracción segunda- de la Ley Orgánica del Poder Legislativo del Estado, para su estudio y dictamen. - - - - </w:t>
      </w:r>
    </w:p>
    <w:p w14:paraId="1AD60BDB" w14:textId="6E5996B9" w:rsidR="00861FE9" w:rsidRDefault="00861FE9" w:rsidP="00861FE9">
      <w:pPr>
        <w:ind w:firstLine="708"/>
        <w:jc w:val="both"/>
        <w:rPr>
          <w:rFonts w:ascii="Abadi" w:hAnsi="Abadi"/>
          <w:sz w:val="21"/>
          <w:szCs w:val="21"/>
        </w:rPr>
      </w:pPr>
      <w:r w:rsidRPr="002D32D1">
        <w:rPr>
          <w:rFonts w:ascii="Abadi" w:hAnsi="Abadi"/>
          <w:sz w:val="21"/>
          <w:szCs w:val="21"/>
        </w:rPr>
        <w:t xml:space="preserve">La presidencia dio la bienvenida a las y los integrantes del Laboratorio de Gestión Pública y Prácticas Parlamentarias de la Universidad de Guanajuato, invitados por el diputado Aldo Iván Márquez Becerra. - - - - - - - - - - - - - - - - - - - - - - - </w:t>
      </w:r>
    </w:p>
    <w:p w14:paraId="209190B3" w14:textId="7DF83396" w:rsidR="00861FE9" w:rsidRDefault="00861FE9" w:rsidP="00861FE9">
      <w:pPr>
        <w:ind w:firstLine="708"/>
        <w:jc w:val="both"/>
        <w:rPr>
          <w:rFonts w:ascii="Abadi" w:hAnsi="Abadi"/>
          <w:sz w:val="21"/>
          <w:szCs w:val="21"/>
        </w:rPr>
      </w:pPr>
      <w:r w:rsidRPr="002D32D1">
        <w:rPr>
          <w:rFonts w:ascii="Abadi" w:hAnsi="Abadi"/>
          <w:sz w:val="21"/>
          <w:szCs w:val="21"/>
        </w:rPr>
        <w:t xml:space="preserve">El diputado Aldo Iván Márquez Becerra, a petición de la presidencia, dio lectura a la exposición de motivos de la iniciativa de Ley de Educación Superior para el Estado de Guanajuato suscrita por diputadas y diputados integrantes del Grupo Parlamentario del Partido Acción Nacional. Hecho lo cual, la presidencia turnó la iniciativa a la Comisión de Educación, Ciencia y Tecnología y Cultura, con fundamento en el artículo ciento nueve -fracción primera- de la Ley Orgánica del Poder Legislativo del Estado, para su estudio y dictamen. - - - - - - - - - </w:t>
      </w:r>
    </w:p>
    <w:p w14:paraId="0B68E917" w14:textId="6AF07AF7" w:rsidR="00861FE9" w:rsidRDefault="00861FE9" w:rsidP="00861FE9">
      <w:pPr>
        <w:ind w:firstLine="708"/>
        <w:jc w:val="both"/>
        <w:rPr>
          <w:rFonts w:ascii="Abadi" w:hAnsi="Abadi"/>
          <w:sz w:val="21"/>
          <w:szCs w:val="21"/>
        </w:rPr>
      </w:pPr>
      <w:r w:rsidRPr="002D32D1">
        <w:rPr>
          <w:rFonts w:ascii="Abadi" w:hAnsi="Abadi"/>
          <w:sz w:val="21"/>
          <w:szCs w:val="21"/>
        </w:rPr>
        <w:t xml:space="preserve">La presidencia dio la bienvenida a la Unión de Comerciantes de la Línea de Fuego de León, Guanajuato, invitados por la diputada Laura Cristina Márquez Alcalá. </w:t>
      </w:r>
    </w:p>
    <w:p w14:paraId="52C2C476" w14:textId="26AA3E2F" w:rsidR="00861FE9" w:rsidRDefault="00861FE9" w:rsidP="00861FE9">
      <w:pPr>
        <w:ind w:firstLine="708"/>
        <w:jc w:val="both"/>
        <w:rPr>
          <w:rFonts w:ascii="Abadi" w:hAnsi="Abadi"/>
          <w:sz w:val="21"/>
          <w:szCs w:val="21"/>
        </w:rPr>
      </w:pPr>
      <w:r w:rsidRPr="002D32D1">
        <w:rPr>
          <w:rFonts w:ascii="Abadi" w:hAnsi="Abadi"/>
          <w:sz w:val="21"/>
          <w:szCs w:val="21"/>
        </w:rPr>
        <w:t xml:space="preserve">La diputada Ruth Noemí Tiscareño Agoitia, a petición de la presidencia, dio lectura a la exposición de motivos de la iniciativa formulada por ella y por los diputados integrantes del Grupo Parlamentario del Partido Revolucionario Institucional por la que se adiciona un párrafo al artículo uno de la Constitución Política para el Estado de Guanajuato. Agotada la lectura, la presidencia turnó la iniciativa a la Comisión de Gobernación y Puntos Constitucionales, con fundamento en el artículo ciento once -fracción primera- de la Ley Orgánica del Poder Legislativo del Estado, para su estudio y dictamen. - - - - - - - - - - - - - - - - - - - - - - </w:t>
      </w:r>
    </w:p>
    <w:p w14:paraId="14F7CA0C" w14:textId="413DCE44" w:rsidR="00861FE9" w:rsidRDefault="00861FE9" w:rsidP="00861FE9">
      <w:pPr>
        <w:ind w:firstLine="708"/>
        <w:jc w:val="both"/>
        <w:rPr>
          <w:rFonts w:ascii="Abadi" w:hAnsi="Abadi"/>
          <w:sz w:val="21"/>
          <w:szCs w:val="21"/>
        </w:rPr>
      </w:pPr>
      <w:r w:rsidRPr="002D32D1">
        <w:rPr>
          <w:rFonts w:ascii="Abadi" w:hAnsi="Abadi"/>
          <w:sz w:val="21"/>
          <w:szCs w:val="21"/>
        </w:rPr>
        <w:t xml:space="preserve">La presidencia dio la bienvenida a los estudiantes de Gobernanza y Políticas Públicas de la Universidad de la Salle Bajío Campus León, invitados por la diputada Martha Guadalupe Hernández Camarena, así como a los estudiantes de la Escuela Secundaria Técnica número treinta y cinco del municipio de Jaral del Progreso, invitados por el diputado José Alfonso Borja Pimentel. </w:t>
      </w:r>
      <w:r>
        <w:rPr>
          <w:rFonts w:ascii="Abadi" w:hAnsi="Abadi"/>
          <w:sz w:val="21"/>
          <w:szCs w:val="21"/>
        </w:rPr>
        <w:t>- - - - - - - - - - - - - - - - - -</w:t>
      </w:r>
    </w:p>
    <w:p w14:paraId="010EE669" w14:textId="3441F869" w:rsidR="00861FE9" w:rsidRDefault="00861FE9" w:rsidP="00861FE9">
      <w:pPr>
        <w:ind w:firstLine="708"/>
        <w:jc w:val="both"/>
        <w:rPr>
          <w:rFonts w:ascii="Abadi" w:hAnsi="Abadi"/>
          <w:sz w:val="21"/>
          <w:szCs w:val="21"/>
        </w:rPr>
      </w:pPr>
      <w:r w:rsidRPr="002D32D1">
        <w:rPr>
          <w:rFonts w:ascii="Abadi" w:hAnsi="Abadi"/>
          <w:sz w:val="21"/>
          <w:szCs w:val="21"/>
        </w:rPr>
        <w:t xml:space="preserve">El diputado Gustavo Adolfo Alfaro Reyes, a petición de la presidencia, dio </w:t>
      </w:r>
      <w:r w:rsidRPr="002D32D1">
        <w:rPr>
          <w:rFonts w:ascii="Abadi" w:hAnsi="Abadi"/>
          <w:sz w:val="21"/>
          <w:szCs w:val="21"/>
        </w:rPr>
        <w:lastRenderedPageBreak/>
        <w:t>lectura a la exposición de motivos de la iniciativa signada por diputada y diputados integrantes del Grupo Parlamentario del Partido Revolucionario Institucional a efecto de reformar el artículo dos mil ochocientos noventa del Código Civil para el Estado de Guanajuato. Concluida la lectura, la presidencia turnó la iniciativa a la Comisión de Justicia, con fundamento en el artículo ciento trece -fracción segunda- de la Ley Orgánica del Poder Legislativo del Estado, para su estudio y dictamen.</w:t>
      </w:r>
      <w:r>
        <w:rPr>
          <w:rFonts w:ascii="Abadi" w:hAnsi="Abadi"/>
          <w:sz w:val="21"/>
          <w:szCs w:val="21"/>
        </w:rPr>
        <w:t xml:space="preserve"> - - - - - - - - - - - - - - -</w:t>
      </w:r>
    </w:p>
    <w:p w14:paraId="33A9F887" w14:textId="61E3B51A" w:rsidR="00861FE9" w:rsidRDefault="00861FE9" w:rsidP="00861FE9">
      <w:pPr>
        <w:ind w:firstLine="708"/>
        <w:jc w:val="both"/>
        <w:rPr>
          <w:rFonts w:ascii="Abadi" w:hAnsi="Abadi"/>
          <w:sz w:val="21"/>
          <w:szCs w:val="21"/>
        </w:rPr>
      </w:pPr>
      <w:r w:rsidRPr="002D32D1">
        <w:rPr>
          <w:rFonts w:ascii="Abadi" w:hAnsi="Abadi"/>
          <w:sz w:val="21"/>
          <w:szCs w:val="21"/>
        </w:rPr>
        <w:t>El diputado Cuauhtémoc Becerra González integrante del Grupo Parlamentario del Partido MORENA, por instrucción de la presidencia, dio lectura a la exposición de motivos de su iniciativa a efecto de adicionar un segundo párrafo al artículo cincuenta y seis de la Ley de Propiedad en Condominio de Inmuebles para el Estado de Guanajuato. Hecho lo cual, la presidencia turnó la iniciativa a la Comisión de Justicia, con fundamento en el artículo ciento trece -fracción primera</w:t>
      </w:r>
      <w:r>
        <w:rPr>
          <w:rFonts w:ascii="Abadi" w:hAnsi="Abadi"/>
          <w:sz w:val="21"/>
          <w:szCs w:val="21"/>
        </w:rPr>
        <w:t xml:space="preserve"> </w:t>
      </w:r>
      <w:r w:rsidRPr="002D32D1">
        <w:rPr>
          <w:rFonts w:ascii="Abadi" w:hAnsi="Abadi"/>
          <w:sz w:val="21"/>
          <w:szCs w:val="21"/>
        </w:rPr>
        <w:t xml:space="preserve">de la Ley Orgánica del Poder Legislativo del Estado, para su estudio y dictamen. - - </w:t>
      </w:r>
    </w:p>
    <w:p w14:paraId="1AB0173B" w14:textId="77A781EE" w:rsidR="00861FE9" w:rsidRDefault="00861FE9" w:rsidP="00861FE9">
      <w:pPr>
        <w:ind w:firstLine="708"/>
        <w:jc w:val="both"/>
        <w:rPr>
          <w:rFonts w:ascii="Abadi" w:hAnsi="Abadi"/>
          <w:sz w:val="21"/>
          <w:szCs w:val="21"/>
        </w:rPr>
      </w:pPr>
      <w:r w:rsidRPr="002D32D1">
        <w:rPr>
          <w:rFonts w:ascii="Abadi" w:hAnsi="Abadi"/>
          <w:sz w:val="21"/>
          <w:szCs w:val="21"/>
        </w:rPr>
        <w:t xml:space="preserve">El diputado Pablo Alonso Ripoll integrante del Grupo Parlamentario del Partido MORENA, por instrucción de la presidencia, dio lectura a la exposición de motivos de su iniciativa a efecto de reformar el artículo trescientos cuarenta y uno del Código Civil para el Estado de Guanajuato. Concluida la lectura, la presidencia turnó la iniciativa a la Comisión de Justicia, con fundamento en el artículo ciento trece -fracción segunda- de la Ley Orgánica del Poder Legislativo del Estado, para su estudio y dictamen. - - </w:t>
      </w:r>
    </w:p>
    <w:p w14:paraId="7077FCA6" w14:textId="7965A98F" w:rsidR="00861FE9" w:rsidRDefault="00861FE9" w:rsidP="00861FE9">
      <w:pPr>
        <w:ind w:firstLine="708"/>
        <w:jc w:val="both"/>
        <w:rPr>
          <w:rFonts w:ascii="Abadi" w:hAnsi="Abadi"/>
          <w:sz w:val="21"/>
          <w:szCs w:val="21"/>
        </w:rPr>
      </w:pPr>
      <w:r w:rsidRPr="002D32D1">
        <w:rPr>
          <w:rFonts w:ascii="Abadi" w:hAnsi="Abadi"/>
          <w:sz w:val="21"/>
          <w:szCs w:val="21"/>
        </w:rPr>
        <w:t xml:space="preserve">La presidencia dio la bienvenida a ciudadanas y ciudadanos del municipio de León, Guanajuato, invitados por la diputada Martha Lourdes Ortega Roque y el diputado Gerardo Fernández </w:t>
      </w:r>
      <w:proofErr w:type="gramStart"/>
      <w:r w:rsidRPr="002D32D1">
        <w:rPr>
          <w:rFonts w:ascii="Abadi" w:hAnsi="Abadi"/>
          <w:sz w:val="21"/>
          <w:szCs w:val="21"/>
        </w:rPr>
        <w:t>González.</w:t>
      </w:r>
      <w:r>
        <w:rPr>
          <w:rFonts w:ascii="Abadi" w:hAnsi="Abadi"/>
          <w:sz w:val="21"/>
          <w:szCs w:val="21"/>
        </w:rPr>
        <w:t>-</w:t>
      </w:r>
      <w:proofErr w:type="gramEnd"/>
    </w:p>
    <w:p w14:paraId="46245611" w14:textId="03BA0CA7" w:rsidR="00861FE9" w:rsidRDefault="00861FE9" w:rsidP="00861FE9">
      <w:pPr>
        <w:ind w:firstLine="708"/>
        <w:jc w:val="both"/>
        <w:rPr>
          <w:rFonts w:ascii="Abadi" w:hAnsi="Abadi"/>
          <w:sz w:val="21"/>
          <w:szCs w:val="21"/>
        </w:rPr>
      </w:pPr>
      <w:r w:rsidRPr="002D32D1">
        <w:rPr>
          <w:rFonts w:ascii="Abadi" w:hAnsi="Abadi"/>
          <w:sz w:val="21"/>
          <w:szCs w:val="21"/>
        </w:rPr>
        <w:t xml:space="preserve">La diputada Hades Berenice Aguilar Castillo integrante del Grupo Parlamentario del Partido MORENA, a petición de la presidencia, dio lectura a su propuesta de punto de acuerdo a efecto de exhortar al Gobernador del Estado de Guanajuato, Diego </w:t>
      </w:r>
      <w:proofErr w:type="spellStart"/>
      <w:r w:rsidRPr="002D32D1">
        <w:rPr>
          <w:rFonts w:ascii="Abadi" w:hAnsi="Abadi"/>
          <w:sz w:val="21"/>
          <w:szCs w:val="21"/>
        </w:rPr>
        <w:t>Sinhue</w:t>
      </w:r>
      <w:proofErr w:type="spellEnd"/>
      <w:r w:rsidRPr="002D32D1">
        <w:rPr>
          <w:rFonts w:ascii="Abadi" w:hAnsi="Abadi"/>
          <w:sz w:val="21"/>
          <w:szCs w:val="21"/>
        </w:rPr>
        <w:t xml:space="preserve"> Rodríguez Vallejo, para que inicie un proceso de revisión y rediseño de la política estatal de seguridad pública, incorporando las mejores prácticas en la materia. Agotada </w:t>
      </w:r>
      <w:r w:rsidRPr="002D32D1">
        <w:rPr>
          <w:rFonts w:ascii="Abadi" w:hAnsi="Abadi"/>
          <w:sz w:val="21"/>
          <w:szCs w:val="21"/>
        </w:rPr>
        <w:t>la lectura, la presidencia turnó la propuesta a la Comisión de Seguridad Pública y Comunicaciones, con fundamento en el artículo ciento diecinueve -fracción cuarta- de la Ley Orgánica del Poder Legislativo del Estado, para su estudio y dictamen. - - - - - - -</w:t>
      </w:r>
      <w:r>
        <w:rPr>
          <w:rFonts w:ascii="Abadi" w:hAnsi="Abadi"/>
          <w:sz w:val="21"/>
          <w:szCs w:val="21"/>
        </w:rPr>
        <w:t xml:space="preserve"> - - </w:t>
      </w:r>
      <w:r w:rsidRPr="002D32D1">
        <w:rPr>
          <w:rFonts w:ascii="Abadi" w:hAnsi="Abadi"/>
          <w:sz w:val="21"/>
          <w:szCs w:val="21"/>
        </w:rPr>
        <w:t xml:space="preserve"> </w:t>
      </w:r>
    </w:p>
    <w:p w14:paraId="7B069FAA" w14:textId="40F9CDCC" w:rsidR="00861FE9" w:rsidRDefault="00861FE9" w:rsidP="00861FE9">
      <w:pPr>
        <w:ind w:firstLine="708"/>
        <w:jc w:val="both"/>
        <w:rPr>
          <w:rFonts w:ascii="Abadi" w:hAnsi="Abadi"/>
          <w:sz w:val="21"/>
          <w:szCs w:val="21"/>
        </w:rPr>
      </w:pPr>
      <w:r w:rsidRPr="002D32D1">
        <w:rPr>
          <w:rFonts w:ascii="Abadi" w:hAnsi="Abadi"/>
          <w:sz w:val="21"/>
          <w:szCs w:val="21"/>
        </w:rPr>
        <w:t xml:space="preserve">La diputada Alma Edwviges Alcaraz Hernández integrante del Grupo Parlamentario del Partido MORENA, a petición de la presidencia, dio lectura a su propuesta de punto de acuerdo a efecto de exhortar a la Fiscalía General del Estado, para que dé a conocer a esta Soberanía cuáles son las causas por las que no se han podido identificar la totalidad de los restos humanos hasta ahora encontrados en fosas clandestinas; así como al titular del Ejecutivo Estatal para que, a través de la Secretaría de Seguridad Pública, se brinde protección y apoyo técnico a los colectivos de familiares de personas desaparecidas que realizan el trabajo que debería hacer el propio Estado. Una vez lo cual, la presidencia turnó la propuesta a la Comisión de Gobernación y Puntos Constitucionales, con fundamento en el artículo ciento once -fracción décima novena- de la Ley Orgánica del Poder Legislativo del Estado, para su estudio y dictamen. - - - - - - - - - - - - - - - - - </w:t>
      </w:r>
      <w:r>
        <w:rPr>
          <w:rFonts w:ascii="Abadi" w:hAnsi="Abadi"/>
          <w:sz w:val="21"/>
          <w:szCs w:val="21"/>
        </w:rPr>
        <w:t>- - - - -</w:t>
      </w:r>
    </w:p>
    <w:p w14:paraId="482846A0" w14:textId="4A58D3B7" w:rsidR="00861FE9" w:rsidRDefault="00861FE9" w:rsidP="00861FE9">
      <w:pPr>
        <w:ind w:firstLine="708"/>
        <w:jc w:val="both"/>
        <w:rPr>
          <w:rFonts w:ascii="Abadi" w:hAnsi="Abadi"/>
          <w:sz w:val="21"/>
          <w:szCs w:val="21"/>
        </w:rPr>
      </w:pPr>
      <w:r w:rsidRPr="002D32D1">
        <w:rPr>
          <w:rFonts w:ascii="Abadi" w:hAnsi="Abadi"/>
          <w:sz w:val="21"/>
          <w:szCs w:val="21"/>
        </w:rPr>
        <w:t xml:space="preserve">La diputada Alma Edwviges Alcaraz Hernández integrante del Grupo Parlamentario del Partido MORENA, a petición de la presidencia, dio lectura a su propuesta de punto de acuerdo a efecto de exhortar a los titulares de los poderes ejecutivos de los municipios del Estado a considerar la capacidad real de pago de sus municipios y el estado de sus finanzas públicas antes de solicitar a este Congreso la autorización para contratar deuda pública; así como a establecer medidas que les permitan aumentar la recaudación de sus ingresos propios para disminuir su dependencia de los ingresos federales y locales. Previo a dar lectura la proponente, el diputado 4 Víctor Manuel Zanella Huerta, con fundamento en el artículo ciento setenta y siete -fracción primera- de la Ley Orgánica del Poder Legislativo del Estado, solicitó a la presidencia declarar de obvia resolución la propuesta de punto de acuerdo. Una vez concluida la lectura, en los términos solicitados por el diputado </w:t>
      </w:r>
      <w:r w:rsidRPr="002D32D1">
        <w:rPr>
          <w:rFonts w:ascii="Abadi" w:hAnsi="Abadi"/>
          <w:sz w:val="21"/>
          <w:szCs w:val="21"/>
        </w:rPr>
        <w:lastRenderedPageBreak/>
        <w:t xml:space="preserve">Víctor Manuel Zanella Huerta, se sometió a consideración de la Asamblea declarar de obvia resolución la propuesta de punto de acuerdo. Al no registrarse participaciones, se recabó votación económica, en la modalidad electrónica, resultando aprobada la obvia resolución por unanimidad de los presentes, al computarse treinta y cuatro votos. Una vez lo cual, se sometió a discusión el punto de acuerdo, registrándose la participación del diputado Víctor Manuel Zanella Huerta para hablar en contra, quien aceptó una interpelación del diputado José Alfonso Borja Pimentel, y durante su intervención los diputados David Martínez Mendizábal y Armando Rangel Hernández solicitaron a la presidencia mociones de orden, y fue rectificado en hechos por la diputada Alma Edwviges Alcaraz Hernández, quien durante su participación aceptó la interpelación formulada por la diputada Katya Cristina Soto Escamilla, y no accedió a las interpelaciones de los diputados Bricio Balderas Álvarez y Jorge </w:t>
      </w:r>
      <w:proofErr w:type="spellStart"/>
      <w:r w:rsidRPr="002D32D1">
        <w:rPr>
          <w:rFonts w:ascii="Abadi" w:hAnsi="Abadi"/>
          <w:sz w:val="21"/>
          <w:szCs w:val="21"/>
        </w:rPr>
        <w:t>Ortíz</w:t>
      </w:r>
      <w:proofErr w:type="spellEnd"/>
      <w:r w:rsidRPr="002D32D1">
        <w:rPr>
          <w:rFonts w:ascii="Abadi" w:hAnsi="Abadi"/>
          <w:sz w:val="21"/>
          <w:szCs w:val="21"/>
        </w:rPr>
        <w:t xml:space="preserve"> Ortega; siendo rectificada en hechos por el diputado Bricio Balderas Álvarez, a quien durante su intervención la presidencia le solicitó se ciñera al tema para el que se registró, dada la solicitud de moción de orden realizada por el diputado Ernesto Millán Soberanes, orador que fue rectificado en hechos por el diputado David Martínez Mendizábal. Durante la participación de este último, la diputada Susana Bermúdez Cano solicitó a la presidencia una moción de orden para que el orador se ciñera al tema para el cual registró su participación, la cual no fue concedida por la presidencia. Agotada la participación del diputado David Martínez Mendizábal, el diputado Armando Rangel Hernández solicitó el uso de la voz para rectificación de hechos; asimismo, el diputado Alejandro Arias Ávila solicitó a la presidencia someter a consideración de la Asamblea declarar suficientemente discutido el tema, señalando la presidencia que atendería su petición al agotarse las participaciones de quienes se encontraban previamente inscritos. Durante la participación del diputado Armando Rangel Hernández, la diputada Alma Edwviges Alcaraz solicitó intervención para rectificarle hechos, una vez que concluyera su intervención. </w:t>
      </w:r>
      <w:r w:rsidRPr="002D32D1">
        <w:rPr>
          <w:rFonts w:ascii="Abadi" w:hAnsi="Abadi"/>
          <w:sz w:val="21"/>
          <w:szCs w:val="21"/>
        </w:rPr>
        <w:t xml:space="preserve">Finalizada la intervención del diputado Armando Rangel Hernández, la diputada Alma Edwviges Alcaraz Hernández, solicitó intervención para rectificación de hechos, indicando la presidencia corresponder el turno de participación a la diputada Ruth Noemí Tiscareño Agoitia, quien se encontraba previamente inscrita y una vez que concluyera su participación, se consultaría al Pleno si el tema estaba suficientemente discutido, de no ser así, se le daría el uso de la palabra. En consecuencia, se dio el uso de la voz a la diputada Ruth Noemí Tiscareño Agoitia para hablar en contra de la propuesta de punto de acuerdo. Una vez concluida su participación, la presidencia sometió a consideración de la Asamblea declarar suficientemente discutido el asunto, no registrándose participaciones. Una vez recabada la votación económica, 5 mediante el sistema electrónico, resultó aprobado por mayoría al registrase veinticinco votos a favor y ocho votos en contra, declarar el asunto como suficientemente discutido, una vez lo cual, se procedió a recabar votación nominal, mediante el sistema electrónico a fin de aprobar la propuesta de punto de acuerdo, la cual resultó no aprobada, al registrarse ocho votos a favor y veintiséis votos en contra. En consecuencia, la presidencia instruyó a la Secretaría General para que procediera al archivo definitivo de la propuesta. - - - - - - - - - - </w:t>
      </w:r>
    </w:p>
    <w:p w14:paraId="4C2A4A5B" w14:textId="4CBEEDB2" w:rsidR="00861FE9" w:rsidRDefault="00861FE9" w:rsidP="00861FE9">
      <w:pPr>
        <w:ind w:firstLine="708"/>
        <w:jc w:val="both"/>
        <w:rPr>
          <w:rFonts w:ascii="Abadi" w:hAnsi="Abadi"/>
          <w:sz w:val="21"/>
          <w:szCs w:val="21"/>
        </w:rPr>
      </w:pPr>
      <w:r w:rsidRPr="002D32D1">
        <w:rPr>
          <w:rFonts w:ascii="Abadi" w:hAnsi="Abadi"/>
          <w:sz w:val="21"/>
          <w:szCs w:val="21"/>
        </w:rPr>
        <w:t xml:space="preserve">La presidencia dio la bienvenida a estudiantes de la licenciatura en Ciencia Política y Administración Pública de la Universidad de Guanajuato, y de la licenciatura en Gestión y Administración Pública de la Universidad de la Ciénega del Estado de Michoacán de Ocampo, invitados por el diputado Víctor Manuel Zanella Huerta. - - - - - - - - - - - - - - - - - - </w:t>
      </w:r>
    </w:p>
    <w:p w14:paraId="0D7363EC" w14:textId="53B193D0" w:rsidR="00861FE9" w:rsidRDefault="00861FE9" w:rsidP="00861FE9">
      <w:pPr>
        <w:ind w:firstLine="708"/>
        <w:jc w:val="both"/>
        <w:rPr>
          <w:rFonts w:ascii="Abadi" w:hAnsi="Abadi"/>
          <w:sz w:val="21"/>
          <w:szCs w:val="21"/>
        </w:rPr>
      </w:pPr>
      <w:r w:rsidRPr="002D32D1">
        <w:rPr>
          <w:rFonts w:ascii="Abadi" w:hAnsi="Abadi"/>
          <w:sz w:val="21"/>
          <w:szCs w:val="21"/>
        </w:rPr>
        <w:t xml:space="preserve">La presidencia solicitó a las diputadas y los diputados abstenerse de abandonar el salón de sesiones durante las votaciones. - - - - - - - - - - - - - - - - - - </w:t>
      </w:r>
    </w:p>
    <w:p w14:paraId="1ECD0690" w14:textId="5E807DB5" w:rsidR="00861FE9" w:rsidRDefault="00861FE9" w:rsidP="00861FE9">
      <w:pPr>
        <w:jc w:val="both"/>
        <w:rPr>
          <w:rFonts w:ascii="Abadi" w:hAnsi="Abadi"/>
          <w:sz w:val="21"/>
          <w:szCs w:val="21"/>
        </w:rPr>
      </w:pPr>
      <w:r w:rsidRPr="002D32D1">
        <w:rPr>
          <w:rFonts w:ascii="Abadi" w:hAnsi="Abadi"/>
          <w:sz w:val="21"/>
          <w:szCs w:val="21"/>
        </w:rPr>
        <w:t xml:space="preserve">La presidencia dio la bienvenida a integrantes de la asociación civil Chispitas de Felicidad de Celaya, Guanajuato, perteneciente al distrito décimo quinto, invitados por la diputada María de la Luz Hernández Martínez. - - - - - - - - - - - - - - </w:t>
      </w:r>
    </w:p>
    <w:p w14:paraId="3A819423" w14:textId="02637F38" w:rsidR="00861FE9" w:rsidRDefault="00861FE9" w:rsidP="00861FE9">
      <w:pPr>
        <w:ind w:firstLine="708"/>
        <w:jc w:val="both"/>
        <w:rPr>
          <w:rFonts w:ascii="Abadi" w:hAnsi="Abadi"/>
          <w:sz w:val="21"/>
          <w:szCs w:val="21"/>
        </w:rPr>
      </w:pPr>
      <w:r w:rsidRPr="002D32D1">
        <w:rPr>
          <w:rFonts w:ascii="Abadi" w:hAnsi="Abadi"/>
          <w:sz w:val="21"/>
          <w:szCs w:val="21"/>
        </w:rPr>
        <w:t xml:space="preserve">Se dio cuenta con la propuesta de punto de acuerdo de obvia resolución </w:t>
      </w:r>
      <w:r w:rsidRPr="002D32D1">
        <w:rPr>
          <w:rFonts w:ascii="Abadi" w:hAnsi="Abadi"/>
          <w:sz w:val="21"/>
          <w:szCs w:val="21"/>
        </w:rPr>
        <w:lastRenderedPageBreak/>
        <w:t xml:space="preserve">suscrita por las diputadas y los diputados integrantes del Grupo Parlamentario del Partido MORENA a efecto de crear la Comisión Especial de Seguimiento a los hechos del uno de mayo en el municipio de Irapuato, Guanajuato. Acto seguido, el diputado Ernesto Millán Soberanes solicitó a la presidencia retirar la solicitud de obvia resolución, una vez lo cual, la diputada Susana Bermúdez Cano, con fundamento en el artículo ciento setenta y siete -fracción primera- de la Ley Orgánica del Poder Legislativo del Estado, solicitó a la presidencia declarar de obvia resolución la propuesta de punto de acuerdo. En los términos solicitados por la diputada Susana Bermúdez Cano, se sometió a consideración de la Asamblea declarar de obvia resolución la propuesta de punto de acuerdo. Al no registrarse participaciones, se recabó votación económica, mediante el sistema electrónico, resultando aprobada la obvia resolución por mayoría de los presentes, al computarse veintiséis votos a favor y siete votos en contra. Acto seguido, se sometió a discusión el punto de acuerdo, se registró la intervención de la diputada Susana Bermúdez Cano para hablar en contra de la propuesta de punto de acuerdo, quien fue rectificada en hechos por el diputado Ernesto Millán Soberanes, quien a su vez fue rectificado en hechos por la oradora que le antecedió en el uso de la palabra. Acto continuo, se dio el uso de la voz al diputado Alejandro Arias Ávila, para hablar en contra de la propuesta. Concluidas las intervenciones se recabó votación nominal, mediante el sistema electrónico, resultando no aprobada la propuesta de punto de acuerdo, al registrarse diez votos a favor y veinticuatro votos en contra. En consecuencia, la presidencia instruyó a la Secretaría General para que procediera al archivo definitivo de la propuesta. - - - - - </w:t>
      </w:r>
    </w:p>
    <w:p w14:paraId="181CC3AE" w14:textId="3E14417D" w:rsidR="00861FE9" w:rsidRDefault="00861FE9" w:rsidP="00861FE9">
      <w:pPr>
        <w:ind w:firstLine="708"/>
        <w:jc w:val="both"/>
        <w:rPr>
          <w:rFonts w:ascii="Abadi" w:hAnsi="Abadi"/>
          <w:sz w:val="21"/>
          <w:szCs w:val="21"/>
        </w:rPr>
      </w:pPr>
      <w:r w:rsidRPr="002D32D1">
        <w:rPr>
          <w:rFonts w:ascii="Abadi" w:hAnsi="Abadi"/>
          <w:sz w:val="21"/>
          <w:szCs w:val="21"/>
        </w:rPr>
        <w:t xml:space="preserve">Con el objeto de agilizar el trámite parlamentario de los asuntos agendados en los puntos del catorce al treinta del orden del día, y en virtud de haberse proporcionado con anticipación, así como encontrarse en la Gaceta Parlamentaria, la presidencia propuso su dispensa de lectura; de igual manera, propuso que los dictámenes emitidos por la Comisión de Hacienda y Fiscalización agendados en los puntos del veintitrés al treinta del orden </w:t>
      </w:r>
      <w:r w:rsidRPr="002D32D1">
        <w:rPr>
          <w:rFonts w:ascii="Abadi" w:hAnsi="Abadi"/>
          <w:sz w:val="21"/>
          <w:szCs w:val="21"/>
        </w:rPr>
        <w:t xml:space="preserve">del día, se sometieran a discusión y posterior votación en un solo acto. Puesta consideración la propuesta, resultó aprobada por unanimidad de los presentes, al computarse treinta y cuatro votos a favor, sin discusión, en votación económica en la modalidad electrónica. Por lo que se procedió a desahogar el orden del día en los términos aprobados. </w:t>
      </w:r>
    </w:p>
    <w:p w14:paraId="228BB032" w14:textId="564CAD07" w:rsidR="00861FE9" w:rsidRDefault="00861FE9" w:rsidP="00861FE9">
      <w:pPr>
        <w:ind w:firstLine="708"/>
        <w:jc w:val="both"/>
        <w:rPr>
          <w:rFonts w:ascii="Abadi" w:hAnsi="Abadi"/>
          <w:sz w:val="21"/>
          <w:szCs w:val="21"/>
        </w:rPr>
      </w:pPr>
      <w:r w:rsidRPr="002D32D1">
        <w:rPr>
          <w:rFonts w:ascii="Abadi" w:hAnsi="Abadi"/>
          <w:sz w:val="21"/>
          <w:szCs w:val="21"/>
        </w:rPr>
        <w:t xml:space="preserve">Se sometió a discusión el informe de los conceptos generales de los estados financieros de los recursos presupuestales y las transferencias y ajustes presupuestales, correspondiente al periodo comprendido del uno al treinta y uno de marzo del dos mil veintidós, formulado por la Comisión de Administración. No se registraron participaciones. Se recabó votación nominal, en la modalidad electrónica, resultando aprobado el informe por mayoría, al computarse treinta y dos votos a favor y dos votos en contra. - - - - - - - -  </w:t>
      </w:r>
    </w:p>
    <w:p w14:paraId="63F33AAA" w14:textId="5696CC0B" w:rsidR="00861FE9" w:rsidRDefault="00861FE9" w:rsidP="00861FE9">
      <w:pPr>
        <w:ind w:firstLine="708"/>
        <w:jc w:val="both"/>
        <w:rPr>
          <w:rFonts w:ascii="Abadi" w:hAnsi="Abadi"/>
          <w:sz w:val="21"/>
          <w:szCs w:val="21"/>
        </w:rPr>
      </w:pPr>
      <w:r w:rsidRPr="002D32D1">
        <w:rPr>
          <w:rFonts w:ascii="Abadi" w:hAnsi="Abadi"/>
          <w:sz w:val="21"/>
          <w:szCs w:val="21"/>
        </w:rPr>
        <w:t xml:space="preserve">Se sometió a discusión el dictamen presentado por la Comisión de Seguridad Pública y Comunicaciones relativo a la propuesta de punto de acuerdo suscrita por diputada y diputado integrantes del Grupo Parlamentario del Partido Revolucionario Institucional mediante el cual se efectúa un respetuoso exhorto a los titulares del Ejecutivo Federal y de la Fiscalía General de la República para que, realicen medidas urgentes y contundentes para impedir que, en las fronteras, litorales y aduanas se introduzcan armas de fuego y proyectiles, y se persiga y sancione con eficacia a quienes introduzcan, acopien, trafiquen y/o porten estos instrumentos en nuestro país. Se registraron las intervenciones del diputado Martín López Camacho y de la diputada Ruth Noemí Tiscareño Acosta para hablar a favor del dictamen. Agotadas las intervenciones se recabó votación nominal, resultando aprobado el dictamen por mayoría, en la modalidad electrónica, al registrarse veintiséis votos a favor y ocho votos en contra, con los votos razonados de los diputados David Martínez Mendizábal y Cuauhtémoc Becerra González. La presidencia instruyó remitir el acuerdo aprobado junto con su dictamen a los titulares del Poder Ejecutivo de la </w:t>
      </w:r>
      <w:r w:rsidRPr="002D32D1">
        <w:rPr>
          <w:rFonts w:ascii="Abadi" w:hAnsi="Abadi"/>
          <w:sz w:val="21"/>
          <w:szCs w:val="21"/>
        </w:rPr>
        <w:lastRenderedPageBreak/>
        <w:t xml:space="preserve">Federación y de la Fiscalía General de la República, para los efectos conducentes. - </w:t>
      </w:r>
    </w:p>
    <w:p w14:paraId="051E770F" w14:textId="721EAE6A" w:rsidR="00861FE9" w:rsidRDefault="00861FE9" w:rsidP="00861FE9">
      <w:pPr>
        <w:ind w:firstLine="708"/>
        <w:jc w:val="both"/>
        <w:rPr>
          <w:rFonts w:ascii="Abadi" w:hAnsi="Abadi"/>
          <w:sz w:val="21"/>
          <w:szCs w:val="21"/>
        </w:rPr>
      </w:pPr>
      <w:r w:rsidRPr="002D32D1">
        <w:rPr>
          <w:rFonts w:ascii="Abadi" w:hAnsi="Abadi"/>
          <w:sz w:val="21"/>
          <w:szCs w:val="21"/>
        </w:rPr>
        <w:t xml:space="preserve">Se sometió a discusión el dictamen suscrito por la Comisión de Seguridad Pública y Comunicaciones relativo a la propuesta de punto de acuerdo suscrita por la diputada Irma Leticia González Sánchez integrante del Grupo Parlamentario del Partido MORENA a efecto de exhortar a los cuarenta y seis ayuntamientos para que revisen y actualicen los protocolos, reglamentos y manuales de Protección Civil y Bomberos en donde incluyan apartados de análisis de riesgos preventivos, de la misma forma, reexaminar las disposiciones administrativas en la realización de 7 espectáculos públicos masivos; al titular del Poder Ejecutivo a través de la Secretaría de Seguridad Pública para que revise los permisos y certificaciones de las empresas y personal que prestan sus servicios como seguridad privada en el Estado de Guanajuato; y al titular del Poder Ejecutivo a través de la Comisión de Deporte del Estado de Guanajuato, para que informe detalladamente las medidas encaminadas a prevenir la violencia en eventos deportivos, así como las acciones para garantizar el desarrollo pacífico en los recintos donde se celebran eventos públicos masivos. Se registraron las intervenciones del diputado Bricio Balderas Álvarez y de la diputada Irma Leticia González Sánchez para hablar a favor del dictamen. Agotadas las intervenciones se recabó votación nominal, resultando aprobado el dictamen por unanimidad de los presentes, en la modalidad electrónica, al registrarse treinta y dos votos a favor. La presidencia instruyó remitir el acuerdo aprobado junto con su dictamen al titular del Poder Ejecutivo del Estado y a los cuarenta y seis ayuntamientos, para los efectos conducentes. - - - - - - - - - - - - - - - - - - - </w:t>
      </w:r>
    </w:p>
    <w:p w14:paraId="7CCA321E" w14:textId="77777777" w:rsidR="00861FE9" w:rsidRDefault="00861FE9" w:rsidP="00861FE9">
      <w:pPr>
        <w:ind w:firstLine="708"/>
        <w:jc w:val="both"/>
        <w:rPr>
          <w:rFonts w:ascii="Abadi" w:hAnsi="Abadi"/>
          <w:sz w:val="21"/>
          <w:szCs w:val="21"/>
        </w:rPr>
      </w:pPr>
      <w:r w:rsidRPr="002D32D1">
        <w:rPr>
          <w:rFonts w:ascii="Abadi" w:hAnsi="Abadi"/>
          <w:sz w:val="21"/>
          <w:szCs w:val="21"/>
        </w:rPr>
        <w:t xml:space="preserve">Se sometió a discusión el dictamen emitido por la Comisión de Justicia relativo a cinco iniciativas: la primera, a efecto de reformar el artículo ciento cincuenta y tres guion a, fracción sexta; y adicionar un tercer párrafo al artículo dieciocho, la fracción octava bis al artículo treinta y ocho, las fracciones octava y novena al artículo ciento cincuenta y tres, las fracciones octava, </w:t>
      </w:r>
      <w:r w:rsidRPr="002D32D1">
        <w:rPr>
          <w:rFonts w:ascii="Abadi" w:hAnsi="Abadi"/>
          <w:sz w:val="21"/>
          <w:szCs w:val="21"/>
        </w:rPr>
        <w:t xml:space="preserve">novena, décima y décima primera al artículo ciento cincuenta y tres guion a y el artículo ciento cincuenta y tres guion a guion dos al Código Penal del Estado de Guanajuato, presentada por el Ayuntamiento de León, Guanajuato; la segunda, a efecto de reformar el artículo ciento cincuenta y tres guion a del Código Penal del Estado de Guanajuato, presentada por diputada y diputado integrantes del Grupo Parlamentario del Partido Verde Ecologista de México de la Sexagésima Cuarta Legislatura; la tercera, por la que se adiciona un cuarto párrafo al artículo ciento cincuenta y tres guion a del Código Penal del Estado de Guanajuato, presentada por diputadas y diputados integrantes del Grupo Parlamentario del Partido Acción Nacional; la cuarta, a efecto de reformar la fracción quinta del artículo ciento cincuenta y tres guion a del Código Penal del Estado de Guanajuato, presentada por diputadas y diputados integrantes del Grupo Parlamentario del Partido Acción Nacional; y la quinta, a efecto de reformar las fracciones primera, segunda, quinta y sexta, y adicionar las fracciones octava, novena y décima y un tercer párrafo al artículo ciento cincuenta y tres guion a y, un segundo párrafo al artículo ciento cincuenta y tres guion a guion uno del Código Penal del Estado de Guanajuato, presentada por la diputada Alma Edwviges Alcaraz Hernández integrante del Grupo Parlamentario del Partido MORENA. Se registraron las intervenciones de la diputada Laura Cristina Márquez Alcalá como autora del dictamen en los términos del artículo ciento setenta y ocho -fracción primera, último párrafo- de la Ley Orgánica del Poder Legislativo del Estado, del diputado Gerardo Fernández González y de las diputadas María de la Luz Hernández Martínez y Angélica Casillas Martínez, para hablar a favor. Agotadas 8 las intervenciones se recabó votación nominal, resultando aprobado el dictamen por unanimidad de los presentes, en la modalidad electrónica, al registrarse treinta y tres votos a favor, con el voto razonado del diputado Cuauhtémoc Becerra González. La presidencia instruyó remitir al Ejecutivo del Estado el decreto aprobado para los efectos constitucionales de su competencia. - - Se </w:t>
      </w:r>
      <w:r w:rsidRPr="002D32D1">
        <w:rPr>
          <w:rFonts w:ascii="Abadi" w:hAnsi="Abadi"/>
          <w:sz w:val="21"/>
          <w:szCs w:val="21"/>
        </w:rPr>
        <w:lastRenderedPageBreak/>
        <w:t xml:space="preserve">sometió a discusión el dictamen signado por la Comisión de Educación, Ciencia y Tecnología y Cultura relativo a la iniciativa formulada por la diputada y el diputado integrantes del Grupo Parlamentario del Partido Verde Ecologista de México, en la Sexagésima Cuarta Legislatura, por la cual se reforman y adicionan diversos artículos de la Ley de Educación para el Estado de Guanajuato. No se registraron intervenciones. Se recabó votación nominal, resultando aprobado el dictamen por mayoría, en la modalidad electrónica, al registrarse veintidós votos a favor y diez votos en contra. La presidencia instruyó a la Secretaría General para que procediera al archivo definitivo de la iniciativa referida en el dictamen aprobado. </w:t>
      </w:r>
    </w:p>
    <w:p w14:paraId="73F1A786" w14:textId="5858B809" w:rsidR="00861FE9" w:rsidRDefault="00861FE9" w:rsidP="00861FE9">
      <w:pPr>
        <w:ind w:firstLine="708"/>
        <w:jc w:val="both"/>
        <w:rPr>
          <w:rFonts w:ascii="Abadi" w:hAnsi="Abadi"/>
          <w:sz w:val="21"/>
          <w:szCs w:val="21"/>
        </w:rPr>
      </w:pPr>
      <w:r w:rsidRPr="002D32D1">
        <w:rPr>
          <w:rFonts w:ascii="Abadi" w:hAnsi="Abadi"/>
          <w:sz w:val="21"/>
          <w:szCs w:val="21"/>
        </w:rPr>
        <w:t xml:space="preserve">Se sometió a discusión el dictamen emitido por la Comisión de Educación, Ciencia y Tecnología y Cultura relativo a la propuesta de punto de acuerdo suscrita por diputadas y diputados integrantes del Grupo Parlamentario del Partido MORENA a efecto de exhortar a Jorge Enrique Hernández Meza, titular de la Secretaría de Educación de Guanajuato, para que lleve a cabo las acciones necesarias a fin de implementar en todas las instituciones educativas la utilización de uniformes escolares neutros, para que las niñas y adolescentes mujeres tengan la oportunidad de elegir entre el uso de pantalón o falda. Se registraron las intervenciones de las diputadas Martha Edith Moreno Valencia para hablar en contra del dictamen y María de la Luz Hernández Martínez para hablar a favor. Agotadas las intervenciones se recabó votación nominal, resultando aprobado el dictamen por mayoría, en la modalidad electrónica, al registrarse veintiún votos a favor y once votos en contra, con los votos razonados del diputado David Martínez Mendizábal y de la diputada Laura Cristina Márquez Alcalá. La presidencia instruyó a la Secretaría General para que procediera al archivo definitivo de la propuesta de punto de acuerdo referida en el dictamen aprobado. - - - </w:t>
      </w:r>
      <w:r>
        <w:rPr>
          <w:rFonts w:ascii="Abadi" w:hAnsi="Abadi"/>
          <w:sz w:val="21"/>
          <w:szCs w:val="21"/>
        </w:rPr>
        <w:t xml:space="preserve">- - - - - - - - - - - - - - - - - - </w:t>
      </w:r>
    </w:p>
    <w:p w14:paraId="18B4BEFC" w14:textId="5E992927" w:rsidR="00861FE9" w:rsidRDefault="00861FE9" w:rsidP="00861FE9">
      <w:pPr>
        <w:ind w:firstLine="708"/>
        <w:jc w:val="both"/>
        <w:rPr>
          <w:rFonts w:ascii="Abadi" w:hAnsi="Abadi"/>
          <w:sz w:val="21"/>
          <w:szCs w:val="21"/>
        </w:rPr>
      </w:pPr>
      <w:r w:rsidRPr="002D32D1">
        <w:rPr>
          <w:rFonts w:ascii="Abadi" w:hAnsi="Abadi"/>
          <w:sz w:val="21"/>
          <w:szCs w:val="21"/>
        </w:rPr>
        <w:t xml:space="preserve">Se sometió a discusión el dictamen suscrito por la Comisión de Desarrollo Económico y Social relativo a la iniciativa de Ley para la Protección, Apoyo </w:t>
      </w:r>
      <w:r w:rsidRPr="002D32D1">
        <w:rPr>
          <w:rFonts w:ascii="Abadi" w:hAnsi="Abadi"/>
          <w:sz w:val="21"/>
          <w:szCs w:val="21"/>
        </w:rPr>
        <w:t xml:space="preserve">y Fomento a la Donación de Alimentos en el Estado de Guanajuato formulada por diputadas y diputados integrantes del Grupo Parlamentario del Partido Acción Nacional en la Sexagésima Cuarta Legislatura. No se registraron intervenciones. Se recabó votación nominal, resultando aprobado el dictamen por unanimidad de los presentes, en la modalidad electrónica, al registrarse treinta y un votos. La presidencia instruyó a la Secretaría General para que procediera al archivo definitivo de la iniciativa referida en el dictamen aprobado. - - - - - - - - - - - - - - - - - - - - - </w:t>
      </w:r>
    </w:p>
    <w:p w14:paraId="690F9466" w14:textId="34CCAEFC" w:rsidR="00861FE9" w:rsidRDefault="00861FE9" w:rsidP="00861FE9">
      <w:pPr>
        <w:ind w:firstLine="708"/>
        <w:jc w:val="both"/>
        <w:rPr>
          <w:rFonts w:ascii="Abadi" w:hAnsi="Abadi"/>
          <w:sz w:val="21"/>
          <w:szCs w:val="21"/>
        </w:rPr>
      </w:pPr>
      <w:r w:rsidRPr="002D32D1">
        <w:rPr>
          <w:rFonts w:ascii="Abadi" w:hAnsi="Abadi"/>
          <w:sz w:val="21"/>
          <w:szCs w:val="21"/>
        </w:rPr>
        <w:t xml:space="preserve">Se sometió a discusión el dictamen emitido por la Comisión de Desarrollo Económico y Social relativo a la iniciativa de Ley de Fomento e Impulso a la Actividad Artesanal para el Estado de Guanajuato formulada por diputadas y diputados integrantes del Grupo Parlamentario del Partido Acción Nacional en la Sexagésima Cuarta Legislatura. No se registraron intervenciones. Se recabó votación nominal, resultando aprobado el dictamen por unanimidad de los presentes, en la modalidad electrónica, al registrarse treinta y un votos. La presidencia instruyó a la Secretaría General para que procediera al archivo definitivo de la iniciativa referida en el dictamen aprobado. Se sometió a discusión el dictamen signado por la Comisión de Desarrollo Económico y Social relativo a la propuesta de punto de acuerdo formulada por la diputada Martha Edith Moreno Valencia integrante del Grupo Parlamentario del Partido MORENA, con la finalidad de enviar un exhorto a la Cámara de Diputados del Honorable Congreso de la Unión, a efecto de aprobar la iniciativa de reformas a la Constitución Política de los Estados Unidos Mexicanos, en materia energética, presentada por el presidente de la república, licenciado Andrés Manuel López Obrador, por la que se reforman los artículos veinticinco, veintisiete y veintiocho de la Constitución Política de los Estados Unidos Mexicanos, así como al titular de la Secretaría de Desarrollo Económico Sustentable, a efecto de realizar foros sobre la Reforma Energética promovida por el licenciado Andrés Manuel López Obrador, para ver sus impactos económicos y sociales. No se </w:t>
      </w:r>
      <w:r w:rsidRPr="002D32D1">
        <w:rPr>
          <w:rFonts w:ascii="Abadi" w:hAnsi="Abadi"/>
          <w:sz w:val="21"/>
          <w:szCs w:val="21"/>
        </w:rPr>
        <w:lastRenderedPageBreak/>
        <w:t xml:space="preserve">registraron intervenciones. Se recabó votación nominal, resultando aprobado el dictamen por unanimidad de los presentes, en la modalidad electrónica, al registrarse treinta y dos votos. La presidencia instruyó a la Secretaría General para que procediera al archivo definitivo de la propuesta de punto de acuerdo referida en el dictamen aprobado. </w:t>
      </w:r>
    </w:p>
    <w:p w14:paraId="15BCF881" w14:textId="2B61D004" w:rsidR="00861FE9" w:rsidRDefault="00861FE9" w:rsidP="00861FE9">
      <w:pPr>
        <w:ind w:firstLine="708"/>
        <w:jc w:val="both"/>
        <w:rPr>
          <w:rFonts w:ascii="Abadi" w:hAnsi="Abadi"/>
          <w:sz w:val="21"/>
          <w:szCs w:val="21"/>
        </w:rPr>
      </w:pPr>
      <w:r w:rsidRPr="002D32D1">
        <w:rPr>
          <w:rFonts w:ascii="Abadi" w:hAnsi="Abadi"/>
          <w:sz w:val="21"/>
          <w:szCs w:val="21"/>
        </w:rPr>
        <w:t xml:space="preserve">Se sometieron a discusión los dictámenes emitidos por la Comisión de Hacienda y Fiscalización agendados en los puntos del veintitrés al treinta del orden del día, relativos a: 1. Informe de resultados de la auditoría de desempeño practicada por la Auditoría Superior del Estado de Guanajuato a la administración municipal de Apaseo el Grande, Guanajuato, con enfoque a resultados del servicio de alumbrado público, por el periodo comprendido del uno de enero al treinta y uno de diciembre del ejercicio fiscal del año dos mil veinte; 2. Informe de resultados de la auditoría de desempeño practicada por la Auditoría Superior del Estado de Guanajuato al Poder Ejecutivo del Estado de Guanajuato con enfoque de resultados del Programa Q3391 Vale Grandeza-Compra Local, a cargo de la Secretaría de Desarrollo Económico Sustentable, por el periodo comprendido del uno de enero al treinta y uno de diciembre del ejercicio fiscal del año dos mil veinte; 3. Informe de resultados de la auditoría de desempeño practicada por la Auditoría Superior del Estado de Guanajuato a la administración municipal de Apaseo el Alto, Guanajuato, con enfoque a resultados del servicio de alumbrado público, por el periodo comprendido del uno de enero al treinta y uno de diciembre del ejercicio fiscal del año dos mil veinte; 4. Informe de 10 resultados de la auditoría de desempeño practicada por la Auditoría Superior del Estado de Guanajuato a la administración municipal de Acámbaro, Guanajuato, con enfoque a resultados del servicio de alumbrado público, por el periodo comprendido del uno de enero al treinta y uno de diciembre del ejercicio fiscal del año dos mil veinte; 5. Informe de resultados de la auditoría de desempeño practicada por la Auditoría Superior del Estado de Guanajuato a la administración municipal de Huanímaro, Guanajuato, con enfoque a resultados del servicio de alumbrado público, por el periodo comprendido del uno de enero al treinta y uno de diciembre del ejercicio fiscal del año dos mil veinte; 6. Informe de resultados de la auditoría de desempeño practicada por la Auditoría Superior del Estado de Guanajuato a la administración municipal de Irapuato, Guanajuato, con enfoque a resultados del servicio de alumbrado público, por el periodo comprendido del uno de enero al treinta y uno de diciembre del ejercicio fiscal del año dos mil veinte; 7. Informe de resultados de la auditoría de desempeño practicada por la Auditoría Superior del Estado de Guanajuato a la administración municipal de Ocampo, Guanajuato, con enfoque a resultados del servicio de alumbrado público, por el periodo comprendido del uno de enero al treinta y uno de diciembre del ejercicio fiscal del año dos mil veinte; y 8. Informe de resultados de la auditoría de desempeño practicada por la Auditoría Superior del Estado de Guanajuato a la administración municipal de Guanajuato, Guanajuato, con enfoque a resultados del servicio de alumbrado público, por el periodo comprendido del uno de enero al treinta y uno de diciembre del ejercicio fiscal del año dos mil veinte. No se registraron participaciones. Se recabó votación nominal, en la modalidad electrónica y resultaron aprobados los dictámenes por mayoría, al computarse veintitrés votos a favor y diez votos en contra; excepto el dictamen del informe de resultados de la auditoría de desempeño practicada con enfoque de resultados del Programa Q3391 Vale Grandeza-Compra Local, a cargo de la Secretaría de Desarrollo Económico Sustentable, por el periodo comprendido del uno de enero al treinta y uno de diciembre del ejercicio fiscal del año dos mil veinte, en el que se registraron diecinueve votos a favor, diez votos en contra y cuatro abstenciones de las diputadas Briseida Anabel Magdaleno González y Martha Guadalupe Hernández Camarena, así como de los diputados Aldo Iván Márquez Becerra y José Alfonso Borja Pimentel, justificando los motivos de las mismas; así como el dictamen relativo al informe de resultados de la auditoría de desempeño practicada a la administración municipal de Guanajuato, Guanajuato, con enfoque a resultados del servicio de alumbrado público, por el periodo comprendido del uno de enero al treinta y uno de diciembre del ejercicio fiscal del año dos mil veinte, en el que se registraron veintidós votos a favor, diez votos en contra y una abstención de la diputada Lilia Margarita Rionda Salas, justificando los motivos de la misma. En consecuencia, la presidencia ordenó remitir los acuerdos aprobados junto con sus dictámenes y los informes de resultados a la Auditoría Superior del Estado de Guanajuato, para efectos de su notificación, con 11 fundamento en el artículo treinta y siete -fracción sexta- de la Ley de Fiscalización Superior del Estado de Guanajuato. - - - - - - - - - - - - - - - - - - </w:t>
      </w:r>
    </w:p>
    <w:p w14:paraId="0D96327A" w14:textId="622FFF86" w:rsidR="00861FE9" w:rsidRDefault="00861FE9" w:rsidP="00861FE9">
      <w:pPr>
        <w:ind w:firstLine="708"/>
        <w:jc w:val="both"/>
        <w:rPr>
          <w:rFonts w:ascii="Abadi" w:hAnsi="Abadi"/>
          <w:sz w:val="21"/>
          <w:szCs w:val="21"/>
        </w:rPr>
      </w:pPr>
      <w:r w:rsidRPr="002D32D1">
        <w:rPr>
          <w:rFonts w:ascii="Abadi" w:hAnsi="Abadi"/>
          <w:sz w:val="21"/>
          <w:szCs w:val="21"/>
        </w:rPr>
        <w:t>En el apartado de asuntos generales se registraron las intervenciones del diputado Gerardo Fernández González con el tema día del maestro, de la diputada Angélica Casillas Martínez con el tema efemérides, y del diputado Ernesto Millán Soberanes con el tema otros datos, quien fue rectificado en hechos por la diputada Laura Cristina Márquez Alcalá. - - - - - - - - - - - - - - - -</w:t>
      </w:r>
      <w:r>
        <w:rPr>
          <w:rFonts w:ascii="Abadi" w:hAnsi="Abadi"/>
          <w:sz w:val="21"/>
          <w:szCs w:val="21"/>
        </w:rPr>
        <w:t xml:space="preserve"> -</w:t>
      </w:r>
    </w:p>
    <w:p w14:paraId="561B1BFB" w14:textId="77777777" w:rsidR="00861FE9" w:rsidRDefault="00861FE9" w:rsidP="00861FE9">
      <w:pPr>
        <w:jc w:val="both"/>
        <w:rPr>
          <w:rFonts w:ascii="Abadi" w:hAnsi="Abadi"/>
          <w:sz w:val="21"/>
          <w:szCs w:val="21"/>
        </w:rPr>
      </w:pPr>
      <w:r w:rsidRPr="002D32D1">
        <w:rPr>
          <w:rFonts w:ascii="Abadi" w:hAnsi="Abadi"/>
          <w:sz w:val="21"/>
          <w:szCs w:val="21"/>
        </w:rPr>
        <w:t xml:space="preserve"> La secretaría informó que se habían agotado los asuntos listados en el orden del día, que la asistencia a la sesión había sido de treinta y cuatro diputadas y diputados; y que se retiró con permiso de la presidencia el diputado Gustavo Adolfo Alfaro Reyes. - - - - - - - - - - - - - - - - - - - </w:t>
      </w:r>
    </w:p>
    <w:p w14:paraId="690D45B9" w14:textId="666A9B68" w:rsidR="00861FE9" w:rsidRDefault="00861FE9" w:rsidP="00861FE9">
      <w:pPr>
        <w:ind w:firstLine="708"/>
        <w:jc w:val="both"/>
        <w:rPr>
          <w:rFonts w:ascii="Abadi" w:hAnsi="Abadi"/>
          <w:sz w:val="21"/>
          <w:szCs w:val="21"/>
        </w:rPr>
      </w:pPr>
      <w:r w:rsidRPr="002D32D1">
        <w:rPr>
          <w:rFonts w:ascii="Abadi" w:hAnsi="Abadi"/>
          <w:sz w:val="21"/>
          <w:szCs w:val="21"/>
        </w:rPr>
        <w:t xml:space="preserve">La presidencia calificó de justificadas las inasistencias de las diputadas Janet Melanie Murillo Chávez y Noemí Márquez </w:t>
      </w:r>
      <w:proofErr w:type="spellStart"/>
      <w:r w:rsidRPr="002D32D1">
        <w:rPr>
          <w:rFonts w:ascii="Abadi" w:hAnsi="Abadi"/>
          <w:sz w:val="21"/>
          <w:szCs w:val="21"/>
        </w:rPr>
        <w:t>Márquez</w:t>
      </w:r>
      <w:proofErr w:type="spellEnd"/>
      <w:r w:rsidRPr="002D32D1">
        <w:rPr>
          <w:rFonts w:ascii="Abadi" w:hAnsi="Abadi"/>
          <w:sz w:val="21"/>
          <w:szCs w:val="21"/>
        </w:rPr>
        <w:t xml:space="preserve">, en virtud de los justificantes remitidos en términos del artículo veintiocho de la Ley Orgánica del Poder Legislativo. Asimismo, refirió que el cuórum de asistencia se había mantenido, por lo que no procedería a instruir a la secretaría a un nuevo pase de lista; por lo que levantó la sesión a las quince horas con seis minutos e indicó que se citaría para la siguiente por conducto de Secretaría General. - - - - - - - - - - - - - - - </w:t>
      </w:r>
    </w:p>
    <w:p w14:paraId="3D38A65F" w14:textId="6EBE0908" w:rsidR="00861FE9" w:rsidRDefault="00861FE9" w:rsidP="00861FE9">
      <w:pPr>
        <w:ind w:firstLine="708"/>
        <w:jc w:val="both"/>
        <w:rPr>
          <w:rFonts w:ascii="Abadi" w:hAnsi="Abadi"/>
          <w:sz w:val="21"/>
          <w:szCs w:val="21"/>
        </w:rPr>
      </w:pPr>
      <w:r w:rsidRPr="002D32D1">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los oficios por los que se solicitó la justificación de las inasistencias de las diputadas Janet Melanie Murillo Chávez y Noemí Márquez </w:t>
      </w:r>
      <w:proofErr w:type="spellStart"/>
      <w:r w:rsidRPr="002D32D1">
        <w:rPr>
          <w:rFonts w:ascii="Abadi" w:hAnsi="Abadi"/>
          <w:sz w:val="21"/>
          <w:szCs w:val="21"/>
        </w:rPr>
        <w:t>Márquez</w:t>
      </w:r>
      <w:proofErr w:type="spellEnd"/>
      <w:r w:rsidRPr="002D32D1">
        <w:rPr>
          <w:rFonts w:ascii="Abadi" w:hAnsi="Abadi"/>
          <w:sz w:val="21"/>
          <w:szCs w:val="21"/>
        </w:rPr>
        <w:t xml:space="preserve">. Damos fe. - - - - - - - - </w:t>
      </w:r>
      <w:r>
        <w:rPr>
          <w:rFonts w:ascii="Abadi" w:hAnsi="Abadi"/>
          <w:sz w:val="21"/>
          <w:szCs w:val="21"/>
        </w:rPr>
        <w:t>- - - - - - -</w:t>
      </w:r>
    </w:p>
    <w:p w14:paraId="41534E06" w14:textId="77777777" w:rsidR="00861FE9" w:rsidRDefault="00861FE9" w:rsidP="00861FE9">
      <w:pPr>
        <w:jc w:val="both"/>
        <w:rPr>
          <w:rFonts w:ascii="Abadi" w:hAnsi="Abadi"/>
          <w:sz w:val="21"/>
          <w:szCs w:val="21"/>
        </w:rPr>
      </w:pPr>
    </w:p>
    <w:p w14:paraId="33E508E8" w14:textId="77777777" w:rsidR="00861FE9" w:rsidRDefault="00861FE9" w:rsidP="00861FE9">
      <w:pPr>
        <w:jc w:val="both"/>
        <w:rPr>
          <w:rFonts w:ascii="Abadi" w:hAnsi="Abadi"/>
          <w:b/>
          <w:bCs/>
          <w:sz w:val="21"/>
          <w:szCs w:val="21"/>
        </w:rPr>
      </w:pPr>
      <w:r w:rsidRPr="0088226E">
        <w:rPr>
          <w:rFonts w:ascii="Abadi" w:hAnsi="Abadi"/>
          <w:b/>
          <w:bCs/>
          <w:sz w:val="21"/>
          <w:szCs w:val="21"/>
        </w:rPr>
        <w:t xml:space="preserve">Irma Leticia González Sánchez </w:t>
      </w:r>
    </w:p>
    <w:p w14:paraId="7493861E" w14:textId="77777777" w:rsidR="00861FE9" w:rsidRPr="0088226E" w:rsidRDefault="00861FE9" w:rsidP="00861FE9">
      <w:pPr>
        <w:jc w:val="both"/>
        <w:rPr>
          <w:rFonts w:ascii="Abadi" w:hAnsi="Abadi"/>
          <w:b/>
          <w:bCs/>
          <w:sz w:val="21"/>
          <w:szCs w:val="21"/>
        </w:rPr>
      </w:pPr>
      <w:r w:rsidRPr="0088226E">
        <w:rPr>
          <w:rFonts w:ascii="Abadi" w:hAnsi="Abadi"/>
          <w:b/>
          <w:bCs/>
          <w:sz w:val="21"/>
          <w:szCs w:val="21"/>
        </w:rPr>
        <w:t xml:space="preserve">Diputada presidenta </w:t>
      </w:r>
    </w:p>
    <w:p w14:paraId="5A8D24EF" w14:textId="77777777" w:rsidR="00861FE9" w:rsidRDefault="00861FE9" w:rsidP="00861FE9">
      <w:pPr>
        <w:jc w:val="both"/>
        <w:rPr>
          <w:rFonts w:ascii="Abadi" w:hAnsi="Abadi"/>
          <w:b/>
          <w:bCs/>
          <w:sz w:val="21"/>
          <w:szCs w:val="21"/>
        </w:rPr>
      </w:pPr>
      <w:r w:rsidRPr="0088226E">
        <w:rPr>
          <w:rFonts w:ascii="Abadi" w:hAnsi="Abadi"/>
          <w:b/>
          <w:bCs/>
          <w:sz w:val="21"/>
          <w:szCs w:val="21"/>
        </w:rPr>
        <w:t xml:space="preserve">Briseida Anabel Magdaleno González </w:t>
      </w:r>
    </w:p>
    <w:p w14:paraId="73CEBE5C" w14:textId="77777777" w:rsidR="00861FE9" w:rsidRPr="0088226E" w:rsidRDefault="00861FE9" w:rsidP="00861FE9">
      <w:pPr>
        <w:jc w:val="both"/>
        <w:rPr>
          <w:rFonts w:ascii="Abadi" w:hAnsi="Abadi"/>
          <w:b/>
          <w:bCs/>
          <w:sz w:val="21"/>
          <w:szCs w:val="21"/>
        </w:rPr>
      </w:pPr>
      <w:r w:rsidRPr="0088226E">
        <w:rPr>
          <w:rFonts w:ascii="Abadi" w:hAnsi="Abadi"/>
          <w:b/>
          <w:bCs/>
          <w:sz w:val="21"/>
          <w:szCs w:val="21"/>
        </w:rPr>
        <w:t xml:space="preserve">Diputada secretaria </w:t>
      </w:r>
    </w:p>
    <w:p w14:paraId="5D69D1F2" w14:textId="77777777" w:rsidR="00861FE9" w:rsidRDefault="00861FE9" w:rsidP="00861FE9">
      <w:pPr>
        <w:jc w:val="both"/>
        <w:rPr>
          <w:rFonts w:ascii="Abadi" w:hAnsi="Abadi"/>
          <w:b/>
          <w:bCs/>
          <w:sz w:val="21"/>
          <w:szCs w:val="21"/>
        </w:rPr>
      </w:pPr>
      <w:r w:rsidRPr="0088226E">
        <w:rPr>
          <w:rFonts w:ascii="Abadi" w:hAnsi="Abadi"/>
          <w:b/>
          <w:bCs/>
          <w:sz w:val="21"/>
          <w:szCs w:val="21"/>
        </w:rPr>
        <w:t xml:space="preserve">Yulma Rocha Aguilar </w:t>
      </w:r>
    </w:p>
    <w:p w14:paraId="3FA81AF0" w14:textId="77777777" w:rsidR="00861FE9" w:rsidRPr="0088226E" w:rsidRDefault="00861FE9" w:rsidP="00861FE9">
      <w:pPr>
        <w:jc w:val="both"/>
        <w:rPr>
          <w:rFonts w:ascii="Abadi" w:hAnsi="Abadi"/>
          <w:b/>
          <w:bCs/>
          <w:sz w:val="21"/>
          <w:szCs w:val="21"/>
        </w:rPr>
      </w:pPr>
      <w:r w:rsidRPr="0088226E">
        <w:rPr>
          <w:rFonts w:ascii="Abadi" w:hAnsi="Abadi"/>
          <w:b/>
          <w:bCs/>
          <w:sz w:val="21"/>
          <w:szCs w:val="21"/>
        </w:rPr>
        <w:t xml:space="preserve">Diputada secretaria </w:t>
      </w:r>
    </w:p>
    <w:p w14:paraId="2F1E43DA" w14:textId="77777777" w:rsidR="00861FE9" w:rsidRDefault="00861FE9" w:rsidP="00861FE9">
      <w:pPr>
        <w:jc w:val="both"/>
        <w:rPr>
          <w:rFonts w:ascii="Abadi" w:hAnsi="Abadi"/>
          <w:b/>
          <w:bCs/>
          <w:sz w:val="21"/>
          <w:szCs w:val="21"/>
        </w:rPr>
      </w:pPr>
      <w:r w:rsidRPr="0088226E">
        <w:rPr>
          <w:rFonts w:ascii="Abadi" w:hAnsi="Abadi"/>
          <w:b/>
          <w:bCs/>
          <w:sz w:val="21"/>
          <w:szCs w:val="21"/>
        </w:rPr>
        <w:t xml:space="preserve">Laura Cristina Márquez Alcalá </w:t>
      </w:r>
    </w:p>
    <w:p w14:paraId="371DD3CB" w14:textId="7B551CFF" w:rsidR="00861FE9" w:rsidRDefault="00861FE9" w:rsidP="00861FE9">
      <w:pPr>
        <w:jc w:val="both"/>
        <w:rPr>
          <w:rFonts w:ascii="Abadi" w:hAnsi="Abadi"/>
          <w:b/>
          <w:bCs/>
          <w:sz w:val="21"/>
          <w:szCs w:val="21"/>
        </w:rPr>
      </w:pPr>
      <w:r w:rsidRPr="0088226E">
        <w:rPr>
          <w:rFonts w:ascii="Abadi" w:hAnsi="Abadi"/>
          <w:b/>
          <w:bCs/>
          <w:sz w:val="21"/>
          <w:szCs w:val="21"/>
        </w:rPr>
        <w:t>Diputada vicepresidenta</w:t>
      </w:r>
    </w:p>
    <w:p w14:paraId="25A9AB19" w14:textId="6D884CE8" w:rsidR="00752FA2" w:rsidRDefault="00752FA2" w:rsidP="00752FA2">
      <w:pPr>
        <w:pStyle w:val="NormalWeb"/>
        <w:ind w:firstLine="708"/>
        <w:jc w:val="both"/>
        <w:rPr>
          <w:rFonts w:ascii="Abadi" w:hAnsi="Abadi"/>
          <w:sz w:val="21"/>
          <w:szCs w:val="21"/>
        </w:rPr>
      </w:pPr>
      <w:r>
        <w:rPr>
          <w:rFonts w:ascii="Abadi" w:hAnsi="Abadi"/>
          <w:b/>
          <w:bCs/>
          <w:sz w:val="21"/>
          <w:szCs w:val="21"/>
        </w:rPr>
        <w:t xml:space="preserve">- </w:t>
      </w:r>
      <w:r w:rsidRPr="001B7A12">
        <w:rPr>
          <w:rFonts w:ascii="Abadi" w:hAnsi="Abadi"/>
          <w:b/>
          <w:bCs/>
          <w:sz w:val="21"/>
          <w:szCs w:val="21"/>
        </w:rPr>
        <w:t xml:space="preserve">La </w:t>
      </w:r>
      <w:proofErr w:type="gramStart"/>
      <w:r w:rsidRPr="001B7A12">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 xml:space="preserve">Para el desahogo del siguiente punto del orden del día se propone se </w:t>
      </w:r>
      <w:r>
        <w:rPr>
          <w:rFonts w:ascii="Abadi" w:hAnsi="Abadi"/>
          <w:sz w:val="21"/>
          <w:szCs w:val="21"/>
        </w:rPr>
        <w:t>dispens</w:t>
      </w:r>
      <w:r w:rsidR="004178AB">
        <w:rPr>
          <w:rFonts w:ascii="Abadi" w:hAnsi="Abadi"/>
          <w:sz w:val="21"/>
          <w:szCs w:val="21"/>
        </w:rPr>
        <w:t>e</w:t>
      </w:r>
      <w:r w:rsidRPr="0021199F">
        <w:rPr>
          <w:rFonts w:ascii="Abadi" w:hAnsi="Abadi"/>
          <w:sz w:val="21"/>
          <w:szCs w:val="21"/>
        </w:rPr>
        <w:t xml:space="preserve"> la lectura del </w:t>
      </w:r>
      <w:r>
        <w:rPr>
          <w:rFonts w:ascii="Abadi" w:hAnsi="Abadi"/>
          <w:sz w:val="21"/>
          <w:szCs w:val="21"/>
        </w:rPr>
        <w:t>A</w:t>
      </w:r>
      <w:r w:rsidRPr="0021199F">
        <w:rPr>
          <w:rFonts w:ascii="Abadi" w:hAnsi="Abadi"/>
          <w:sz w:val="21"/>
          <w:szCs w:val="21"/>
        </w:rPr>
        <w:t xml:space="preserve">cta de la </w:t>
      </w:r>
      <w:r>
        <w:rPr>
          <w:rFonts w:ascii="Abadi" w:hAnsi="Abadi"/>
          <w:sz w:val="21"/>
          <w:szCs w:val="21"/>
        </w:rPr>
        <w:t>S</w:t>
      </w:r>
      <w:r w:rsidRPr="0021199F">
        <w:rPr>
          <w:rFonts w:ascii="Abadi" w:hAnsi="Abadi"/>
          <w:sz w:val="21"/>
          <w:szCs w:val="21"/>
        </w:rPr>
        <w:t xml:space="preserve">esión </w:t>
      </w:r>
      <w:r>
        <w:rPr>
          <w:rFonts w:ascii="Abadi" w:hAnsi="Abadi"/>
          <w:sz w:val="21"/>
          <w:szCs w:val="21"/>
        </w:rPr>
        <w:t>O</w:t>
      </w:r>
      <w:r w:rsidRPr="0021199F">
        <w:rPr>
          <w:rFonts w:ascii="Abadi" w:hAnsi="Abadi"/>
          <w:sz w:val="21"/>
          <w:szCs w:val="21"/>
        </w:rPr>
        <w:t xml:space="preserve">rdinaria </w:t>
      </w:r>
      <w:r>
        <w:rPr>
          <w:rFonts w:ascii="Abadi" w:hAnsi="Abadi"/>
          <w:sz w:val="21"/>
          <w:szCs w:val="21"/>
        </w:rPr>
        <w:t>c</w:t>
      </w:r>
      <w:r w:rsidRPr="0021199F">
        <w:rPr>
          <w:rFonts w:ascii="Abadi" w:hAnsi="Abadi"/>
          <w:sz w:val="21"/>
          <w:szCs w:val="21"/>
        </w:rPr>
        <w:t xml:space="preserve">elebrada </w:t>
      </w:r>
      <w:r>
        <w:rPr>
          <w:rFonts w:ascii="Abadi" w:hAnsi="Abadi"/>
          <w:sz w:val="21"/>
          <w:szCs w:val="21"/>
        </w:rPr>
        <w:t xml:space="preserve">el 12 de mayo </w:t>
      </w:r>
      <w:r w:rsidRPr="0021199F">
        <w:rPr>
          <w:rFonts w:ascii="Abadi" w:hAnsi="Abadi"/>
          <w:sz w:val="21"/>
          <w:szCs w:val="21"/>
        </w:rPr>
        <w:t>del año curso, misma que se encuentra en la Gaceta Parlamentaria.</w:t>
      </w:r>
    </w:p>
    <w:p w14:paraId="791598AC" w14:textId="37CF9AAA" w:rsidR="00752FA2" w:rsidRDefault="00752FA2" w:rsidP="00752FA2">
      <w:pPr>
        <w:pStyle w:val="NormalWeb"/>
        <w:ind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Si desea registrarse con respecto a esta propuesta, indique</w:t>
      </w:r>
      <w:r>
        <w:rPr>
          <w:rFonts w:ascii="Abadi" w:hAnsi="Abadi"/>
          <w:sz w:val="21"/>
          <w:szCs w:val="21"/>
        </w:rPr>
        <w:t>n</w:t>
      </w:r>
      <w:r w:rsidRPr="0021199F">
        <w:rPr>
          <w:rFonts w:ascii="Abadi" w:hAnsi="Abadi"/>
          <w:sz w:val="21"/>
          <w:szCs w:val="21"/>
        </w:rPr>
        <w:t>lo ha esta presidencia</w:t>
      </w:r>
      <w:r>
        <w:rPr>
          <w:rFonts w:ascii="Abadi" w:hAnsi="Abadi"/>
          <w:sz w:val="21"/>
          <w:szCs w:val="21"/>
        </w:rPr>
        <w:t>.</w:t>
      </w:r>
    </w:p>
    <w:p w14:paraId="4C8F0056" w14:textId="01F7063E" w:rsidR="00752FA2" w:rsidRDefault="00752FA2" w:rsidP="005B6600">
      <w:pPr>
        <w:pStyle w:val="NormalWeb"/>
        <w:ind w:firstLine="708"/>
        <w:jc w:val="both"/>
        <w:rPr>
          <w:rFonts w:ascii="Abadi" w:hAnsi="Abadi"/>
          <w:sz w:val="21"/>
          <w:szCs w:val="21"/>
        </w:rPr>
      </w:pPr>
      <w:r>
        <w:rPr>
          <w:rFonts w:ascii="Abadi" w:hAnsi="Abadi"/>
          <w:sz w:val="21"/>
          <w:szCs w:val="21"/>
        </w:rPr>
        <w:t>- A</w:t>
      </w:r>
      <w:r w:rsidRPr="0021199F">
        <w:rPr>
          <w:rFonts w:ascii="Abadi" w:hAnsi="Abadi"/>
          <w:sz w:val="21"/>
          <w:szCs w:val="21"/>
        </w:rPr>
        <w:t xml:space="preserve">l no </w:t>
      </w:r>
      <w:r>
        <w:rPr>
          <w:rFonts w:ascii="Abadi" w:hAnsi="Abadi"/>
          <w:sz w:val="21"/>
          <w:szCs w:val="21"/>
        </w:rPr>
        <w:t xml:space="preserve">registrase </w:t>
      </w:r>
      <w:r w:rsidRPr="0021199F">
        <w:rPr>
          <w:rFonts w:ascii="Abadi" w:hAnsi="Abadi"/>
          <w:sz w:val="21"/>
          <w:szCs w:val="21"/>
        </w:rPr>
        <w:t>participaciones</w:t>
      </w:r>
      <w:r>
        <w:rPr>
          <w:rFonts w:ascii="Abadi" w:hAnsi="Abadi"/>
          <w:sz w:val="21"/>
          <w:szCs w:val="21"/>
        </w:rPr>
        <w:t>, s</w:t>
      </w:r>
      <w:r w:rsidRPr="0021199F">
        <w:rPr>
          <w:rFonts w:ascii="Abadi" w:hAnsi="Abadi"/>
          <w:sz w:val="21"/>
          <w:szCs w:val="21"/>
        </w:rPr>
        <w:t xml:space="preserve">e pide la </w:t>
      </w:r>
      <w:r>
        <w:rPr>
          <w:rFonts w:ascii="Abadi" w:hAnsi="Abadi"/>
          <w:sz w:val="21"/>
          <w:szCs w:val="21"/>
        </w:rPr>
        <w:t>Secretaria</w:t>
      </w:r>
      <w:r w:rsidRPr="0021199F">
        <w:rPr>
          <w:rFonts w:ascii="Abadi" w:hAnsi="Abadi"/>
          <w:sz w:val="21"/>
          <w:szCs w:val="21"/>
        </w:rPr>
        <w:t xml:space="preserve"> que en votación económica, a través del sistema electrónico, pregunt</w:t>
      </w:r>
      <w:r>
        <w:rPr>
          <w:rFonts w:ascii="Abadi" w:hAnsi="Abadi"/>
          <w:sz w:val="21"/>
          <w:szCs w:val="21"/>
        </w:rPr>
        <w:t>e a</w:t>
      </w:r>
      <w:r w:rsidRPr="0021199F">
        <w:rPr>
          <w:rFonts w:ascii="Abadi" w:hAnsi="Abadi"/>
          <w:sz w:val="21"/>
          <w:szCs w:val="21"/>
        </w:rPr>
        <w:t xml:space="preserve"> las diputadas y</w:t>
      </w:r>
      <w:r>
        <w:rPr>
          <w:rFonts w:ascii="Abadi" w:hAnsi="Abadi"/>
          <w:sz w:val="21"/>
          <w:szCs w:val="21"/>
        </w:rPr>
        <w:t xml:space="preserve"> </w:t>
      </w:r>
      <w:r w:rsidRPr="0021199F">
        <w:rPr>
          <w:rFonts w:ascii="Abadi" w:hAnsi="Abadi"/>
          <w:sz w:val="21"/>
          <w:szCs w:val="21"/>
        </w:rPr>
        <w:t>a</w:t>
      </w:r>
      <w:r w:rsidR="00790081">
        <w:rPr>
          <w:rFonts w:ascii="Abadi" w:hAnsi="Abadi"/>
          <w:sz w:val="21"/>
          <w:szCs w:val="21"/>
        </w:rPr>
        <w:t xml:space="preserve"> </w:t>
      </w:r>
      <w:r w:rsidRPr="0021199F">
        <w:rPr>
          <w:rFonts w:ascii="Abadi" w:hAnsi="Abadi"/>
          <w:sz w:val="21"/>
          <w:szCs w:val="21"/>
        </w:rPr>
        <w:t xml:space="preserve">los diputados </w:t>
      </w:r>
      <w:r>
        <w:rPr>
          <w:rFonts w:ascii="Abadi" w:hAnsi="Abadi"/>
          <w:sz w:val="21"/>
          <w:szCs w:val="21"/>
        </w:rPr>
        <w:t xml:space="preserve">si se aprueba la </w:t>
      </w:r>
      <w:r w:rsidRPr="0021199F">
        <w:rPr>
          <w:rFonts w:ascii="Abadi" w:hAnsi="Abadi"/>
          <w:sz w:val="21"/>
          <w:szCs w:val="21"/>
        </w:rPr>
        <w:t>propuesta sobre dispensa de lectura</w:t>
      </w:r>
      <w:r>
        <w:rPr>
          <w:rFonts w:ascii="Abadi" w:hAnsi="Abadi"/>
          <w:sz w:val="21"/>
          <w:szCs w:val="21"/>
        </w:rPr>
        <w:t>.</w:t>
      </w:r>
    </w:p>
    <w:p w14:paraId="250CB4D7" w14:textId="77777777" w:rsidR="00752FA2" w:rsidRPr="002D0E13" w:rsidRDefault="00752FA2" w:rsidP="005B6600">
      <w:pPr>
        <w:pStyle w:val="NormalWeb"/>
        <w:jc w:val="center"/>
        <w:rPr>
          <w:rFonts w:ascii="Abadi" w:hAnsi="Abadi"/>
          <w:b/>
          <w:bCs/>
          <w:sz w:val="21"/>
          <w:szCs w:val="21"/>
        </w:rPr>
      </w:pPr>
      <w:r w:rsidRPr="002D0E13">
        <w:rPr>
          <w:rFonts w:ascii="Abadi" w:hAnsi="Abadi"/>
          <w:b/>
          <w:bCs/>
          <w:sz w:val="21"/>
          <w:szCs w:val="21"/>
        </w:rPr>
        <w:t>(Se abre el sistema electrónico)</w:t>
      </w:r>
    </w:p>
    <w:p w14:paraId="73826E86" w14:textId="19FD4F3B" w:rsidR="00752FA2" w:rsidRDefault="005B6600" w:rsidP="005B6600">
      <w:pPr>
        <w:pStyle w:val="NormalWeb"/>
        <w:ind w:firstLine="708"/>
        <w:jc w:val="both"/>
        <w:rPr>
          <w:rFonts w:ascii="Abadi" w:hAnsi="Abadi"/>
          <w:sz w:val="21"/>
          <w:szCs w:val="21"/>
        </w:rPr>
      </w:pPr>
      <w:r>
        <w:rPr>
          <w:rFonts w:ascii="Abadi" w:hAnsi="Abadi"/>
          <w:b/>
          <w:bCs/>
          <w:sz w:val="21"/>
          <w:szCs w:val="21"/>
        </w:rPr>
        <w:t xml:space="preserve">- </w:t>
      </w:r>
      <w:r w:rsidR="00752FA2" w:rsidRPr="002D0E13">
        <w:rPr>
          <w:rFonts w:ascii="Abadi" w:hAnsi="Abadi"/>
          <w:b/>
          <w:bCs/>
          <w:sz w:val="21"/>
          <w:szCs w:val="21"/>
        </w:rPr>
        <w:t xml:space="preserve">La </w:t>
      </w:r>
      <w:proofErr w:type="gramStart"/>
      <w:r w:rsidR="00752FA2" w:rsidRPr="002D0E13">
        <w:rPr>
          <w:rFonts w:ascii="Abadi" w:hAnsi="Abadi"/>
          <w:b/>
          <w:bCs/>
          <w:sz w:val="21"/>
          <w:szCs w:val="21"/>
        </w:rPr>
        <w:t>Secretaria.-</w:t>
      </w:r>
      <w:proofErr w:type="gramEnd"/>
      <w:r w:rsidR="00752FA2">
        <w:rPr>
          <w:rFonts w:ascii="Abadi" w:hAnsi="Abadi"/>
          <w:sz w:val="21"/>
          <w:szCs w:val="21"/>
        </w:rPr>
        <w:t xml:space="preserve"> P</w:t>
      </w:r>
      <w:r w:rsidR="00752FA2" w:rsidRPr="0021199F">
        <w:rPr>
          <w:rFonts w:ascii="Abadi" w:hAnsi="Abadi"/>
          <w:sz w:val="21"/>
          <w:szCs w:val="21"/>
        </w:rPr>
        <w:t>or instrucciones de la Presidencia en votación económica se pregunta a las diputadas</w:t>
      </w:r>
      <w:r w:rsidR="00752FA2">
        <w:rPr>
          <w:rFonts w:ascii="Abadi" w:hAnsi="Abadi"/>
          <w:sz w:val="21"/>
          <w:szCs w:val="21"/>
        </w:rPr>
        <w:t xml:space="preserve"> y a los diputados s</w:t>
      </w:r>
      <w:r w:rsidR="00752FA2" w:rsidRPr="0021199F">
        <w:rPr>
          <w:rFonts w:ascii="Abadi" w:hAnsi="Abadi"/>
          <w:sz w:val="21"/>
          <w:szCs w:val="21"/>
        </w:rPr>
        <w:t xml:space="preserve">i se aprueba la propuesta sobre dispensa de lectura mediante el sistema electrónico. </w:t>
      </w:r>
      <w:r w:rsidR="00752FA2">
        <w:rPr>
          <w:rFonts w:ascii="Abadi" w:hAnsi="Abadi"/>
          <w:sz w:val="21"/>
          <w:szCs w:val="21"/>
        </w:rPr>
        <w:t>¿D</w:t>
      </w:r>
      <w:r w:rsidR="00752FA2" w:rsidRPr="0021199F">
        <w:rPr>
          <w:rFonts w:ascii="Abadi" w:hAnsi="Abadi"/>
          <w:sz w:val="21"/>
          <w:szCs w:val="21"/>
        </w:rPr>
        <w:t xml:space="preserve">iputado </w:t>
      </w:r>
      <w:r w:rsidR="00752FA2">
        <w:rPr>
          <w:rFonts w:ascii="Abadi" w:hAnsi="Abadi"/>
          <w:sz w:val="21"/>
          <w:szCs w:val="21"/>
        </w:rPr>
        <w:t xml:space="preserve">David Martinez? </w:t>
      </w:r>
      <w:r w:rsidR="00752FA2" w:rsidRPr="0021199F">
        <w:rPr>
          <w:rFonts w:ascii="Abadi" w:hAnsi="Abadi"/>
          <w:sz w:val="21"/>
          <w:szCs w:val="21"/>
        </w:rPr>
        <w:t>gracias diputado</w:t>
      </w:r>
      <w:r w:rsidR="00752FA2">
        <w:rPr>
          <w:rFonts w:ascii="Abadi" w:hAnsi="Abadi"/>
          <w:sz w:val="21"/>
          <w:szCs w:val="21"/>
        </w:rPr>
        <w:t>.</w:t>
      </w:r>
    </w:p>
    <w:p w14:paraId="6DD70363" w14:textId="295276F0" w:rsidR="00752FA2" w:rsidRDefault="00752FA2" w:rsidP="00752FA2">
      <w:pPr>
        <w:pStyle w:val="NormalWeb"/>
        <w:jc w:val="both"/>
        <w:rPr>
          <w:rFonts w:ascii="Abadi" w:hAnsi="Abadi"/>
          <w:sz w:val="21"/>
          <w:szCs w:val="21"/>
        </w:rPr>
      </w:pPr>
      <w:r>
        <w:rPr>
          <w:rFonts w:ascii="Abadi" w:hAnsi="Abadi"/>
          <w:sz w:val="21"/>
          <w:szCs w:val="21"/>
        </w:rPr>
        <w:t>¿F</w:t>
      </w:r>
      <w:r w:rsidRPr="0021199F">
        <w:rPr>
          <w:rFonts w:ascii="Abadi" w:hAnsi="Abadi"/>
          <w:sz w:val="21"/>
          <w:szCs w:val="21"/>
        </w:rPr>
        <w:t xml:space="preserve">alta alguna diputada, algún diputado de emitir su voto? </w:t>
      </w:r>
    </w:p>
    <w:p w14:paraId="6CA9DEC7" w14:textId="735BEECE" w:rsidR="00752FA2" w:rsidRDefault="007D0138" w:rsidP="00506320">
      <w:pPr>
        <w:pStyle w:val="NormalWeb"/>
        <w:jc w:val="center"/>
        <w:rPr>
          <w:rFonts w:ascii="Abadi" w:hAnsi="Abadi"/>
          <w:b/>
          <w:bCs/>
          <w:sz w:val="21"/>
          <w:szCs w:val="21"/>
        </w:rPr>
      </w:pPr>
      <w:r>
        <w:rPr>
          <w:noProof/>
        </w:rPr>
        <w:drawing>
          <wp:anchor distT="0" distB="0" distL="114300" distR="114300" simplePos="0" relativeHeight="251658243" behindDoc="0" locked="0" layoutInCell="1" allowOverlap="1" wp14:anchorId="65D6AEFF" wp14:editId="6514F7AE">
            <wp:simplePos x="0" y="0"/>
            <wp:positionH relativeFrom="column">
              <wp:posOffset>120770</wp:posOffset>
            </wp:positionH>
            <wp:positionV relativeFrom="page">
              <wp:posOffset>7289931</wp:posOffset>
            </wp:positionV>
            <wp:extent cx="2198370" cy="1236345"/>
            <wp:effectExtent l="152400" t="152400" r="354330" b="363855"/>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98370" cy="12363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52FA2" w:rsidRPr="002D0E13">
        <w:rPr>
          <w:rFonts w:ascii="Abadi" w:hAnsi="Abadi"/>
          <w:b/>
          <w:bCs/>
          <w:sz w:val="21"/>
          <w:szCs w:val="21"/>
        </w:rPr>
        <w:t>(Se cierra el sistema electrónico)</w:t>
      </w:r>
    </w:p>
    <w:p w14:paraId="30A0F793" w14:textId="1B4D7D72" w:rsidR="00752FA2" w:rsidRDefault="00CF12FD" w:rsidP="00CF12FD">
      <w:pPr>
        <w:pStyle w:val="NormalWeb"/>
        <w:ind w:firstLine="708"/>
        <w:jc w:val="both"/>
        <w:rPr>
          <w:rFonts w:ascii="Abadi" w:hAnsi="Abadi"/>
          <w:sz w:val="21"/>
          <w:szCs w:val="21"/>
        </w:rPr>
      </w:pPr>
      <w:r>
        <w:rPr>
          <w:rFonts w:ascii="Abadi" w:hAnsi="Abadi"/>
          <w:b/>
          <w:bCs/>
          <w:sz w:val="21"/>
          <w:szCs w:val="21"/>
        </w:rPr>
        <w:t xml:space="preserve">- </w:t>
      </w:r>
      <w:r w:rsidR="00752FA2" w:rsidRPr="002D0E13">
        <w:rPr>
          <w:rFonts w:ascii="Abadi" w:hAnsi="Abadi"/>
          <w:b/>
          <w:bCs/>
          <w:sz w:val="21"/>
          <w:szCs w:val="21"/>
        </w:rPr>
        <w:t xml:space="preserve">La </w:t>
      </w:r>
      <w:proofErr w:type="gramStart"/>
      <w:r w:rsidR="00752FA2" w:rsidRPr="002D0E13">
        <w:rPr>
          <w:rFonts w:ascii="Abadi" w:hAnsi="Abadi"/>
          <w:b/>
          <w:bCs/>
          <w:sz w:val="21"/>
          <w:szCs w:val="21"/>
        </w:rPr>
        <w:t>Presidencia.-</w:t>
      </w:r>
      <w:proofErr w:type="gramEnd"/>
      <w:r w:rsidR="00752FA2">
        <w:rPr>
          <w:rFonts w:ascii="Abadi" w:hAnsi="Abadi"/>
          <w:sz w:val="21"/>
          <w:szCs w:val="21"/>
        </w:rPr>
        <w:t xml:space="preserve"> S</w:t>
      </w:r>
      <w:r w:rsidR="00752FA2" w:rsidRPr="0021199F">
        <w:rPr>
          <w:rFonts w:ascii="Abadi" w:hAnsi="Abadi"/>
          <w:sz w:val="21"/>
          <w:szCs w:val="21"/>
        </w:rPr>
        <w:t xml:space="preserve">e registraron </w:t>
      </w:r>
      <w:r w:rsidR="00752FA2">
        <w:rPr>
          <w:rFonts w:ascii="Abadi" w:hAnsi="Abadi"/>
          <w:sz w:val="21"/>
          <w:szCs w:val="21"/>
        </w:rPr>
        <w:t xml:space="preserve">31 votos </w:t>
      </w:r>
      <w:r w:rsidR="00752FA2" w:rsidRPr="0021199F">
        <w:rPr>
          <w:rFonts w:ascii="Abadi" w:hAnsi="Abadi"/>
          <w:sz w:val="21"/>
          <w:szCs w:val="21"/>
        </w:rPr>
        <w:t xml:space="preserve">a favor. </w:t>
      </w:r>
    </w:p>
    <w:p w14:paraId="2A469846" w14:textId="4AE74D8B" w:rsidR="00752FA2" w:rsidRDefault="007D0138" w:rsidP="00CF12FD">
      <w:pPr>
        <w:pStyle w:val="NormalWeb"/>
        <w:jc w:val="both"/>
        <w:rPr>
          <w:rFonts w:ascii="Abadi" w:hAnsi="Abadi"/>
          <w:sz w:val="21"/>
          <w:szCs w:val="21"/>
        </w:rPr>
      </w:pPr>
      <w:r>
        <w:rPr>
          <w:rFonts w:ascii="Abadi" w:hAnsi="Abadi"/>
          <w:b/>
          <w:bCs/>
          <w:sz w:val="21"/>
          <w:szCs w:val="21"/>
        </w:rPr>
        <w:t xml:space="preserve"> </w:t>
      </w:r>
      <w:r w:rsidR="00CF12FD">
        <w:rPr>
          <w:rFonts w:ascii="Abadi" w:hAnsi="Abadi"/>
          <w:b/>
          <w:bCs/>
          <w:sz w:val="21"/>
          <w:szCs w:val="21"/>
        </w:rPr>
        <w:tab/>
        <w:t xml:space="preserve">- </w:t>
      </w:r>
      <w:r w:rsidR="00752FA2" w:rsidRPr="002D0E13">
        <w:rPr>
          <w:rFonts w:ascii="Abadi" w:hAnsi="Abadi"/>
          <w:b/>
          <w:bCs/>
          <w:sz w:val="21"/>
          <w:szCs w:val="21"/>
        </w:rPr>
        <w:t xml:space="preserve">La </w:t>
      </w:r>
      <w:proofErr w:type="gramStart"/>
      <w:r w:rsidR="00752FA2" w:rsidRPr="002D0E13">
        <w:rPr>
          <w:rFonts w:ascii="Abadi" w:hAnsi="Abadi"/>
          <w:b/>
          <w:bCs/>
          <w:sz w:val="21"/>
          <w:szCs w:val="21"/>
        </w:rPr>
        <w:t>Presidencia.-</w:t>
      </w:r>
      <w:proofErr w:type="gramEnd"/>
      <w:r w:rsidR="00752FA2">
        <w:rPr>
          <w:rFonts w:ascii="Abadi" w:hAnsi="Abadi"/>
          <w:sz w:val="21"/>
          <w:szCs w:val="21"/>
        </w:rPr>
        <w:t xml:space="preserve"> </w:t>
      </w:r>
      <w:r w:rsidR="00752FA2" w:rsidRPr="0021199F">
        <w:rPr>
          <w:rFonts w:ascii="Abadi" w:hAnsi="Abadi"/>
          <w:sz w:val="21"/>
          <w:szCs w:val="21"/>
        </w:rPr>
        <w:t xml:space="preserve">La dispensa de lectura ha sido aprobada por unanimidad de votos. </w:t>
      </w:r>
    </w:p>
    <w:p w14:paraId="714C6F0C" w14:textId="7D4AD827" w:rsidR="00752FA2" w:rsidRDefault="00CF12FD" w:rsidP="00CF12FD">
      <w:pPr>
        <w:pStyle w:val="NormalWeb"/>
        <w:ind w:firstLine="708"/>
        <w:jc w:val="both"/>
        <w:rPr>
          <w:rFonts w:ascii="Abadi" w:hAnsi="Abadi"/>
          <w:sz w:val="21"/>
          <w:szCs w:val="21"/>
        </w:rPr>
      </w:pPr>
      <w:r>
        <w:rPr>
          <w:rFonts w:ascii="Abadi" w:hAnsi="Abadi"/>
          <w:sz w:val="21"/>
          <w:szCs w:val="21"/>
        </w:rPr>
        <w:t xml:space="preserve">- </w:t>
      </w:r>
      <w:r w:rsidR="00752FA2" w:rsidRPr="0021199F">
        <w:rPr>
          <w:rFonts w:ascii="Abadi" w:hAnsi="Abadi"/>
          <w:sz w:val="21"/>
          <w:szCs w:val="21"/>
        </w:rPr>
        <w:t xml:space="preserve">En consecuencia, se procede someter a consideración de este </w:t>
      </w:r>
      <w:r w:rsidR="00752FA2">
        <w:rPr>
          <w:rFonts w:ascii="Abadi" w:hAnsi="Abadi"/>
          <w:sz w:val="21"/>
          <w:szCs w:val="21"/>
        </w:rPr>
        <w:t>P</w:t>
      </w:r>
      <w:r w:rsidR="00752FA2" w:rsidRPr="0021199F">
        <w:rPr>
          <w:rFonts w:ascii="Abadi" w:hAnsi="Abadi"/>
          <w:sz w:val="21"/>
          <w:szCs w:val="21"/>
        </w:rPr>
        <w:t xml:space="preserve">leno el </w:t>
      </w:r>
      <w:r w:rsidR="00752FA2">
        <w:rPr>
          <w:rFonts w:ascii="Abadi" w:hAnsi="Abadi"/>
          <w:sz w:val="21"/>
          <w:szCs w:val="21"/>
        </w:rPr>
        <w:t>A</w:t>
      </w:r>
      <w:r w:rsidR="00752FA2" w:rsidRPr="0021199F">
        <w:rPr>
          <w:rFonts w:ascii="Abadi" w:hAnsi="Abadi"/>
          <w:sz w:val="21"/>
          <w:szCs w:val="21"/>
        </w:rPr>
        <w:t>cta de referencia</w:t>
      </w:r>
      <w:r w:rsidR="00752FA2">
        <w:rPr>
          <w:rFonts w:ascii="Abadi" w:hAnsi="Abadi"/>
          <w:sz w:val="21"/>
          <w:szCs w:val="21"/>
        </w:rPr>
        <w:t>, s</w:t>
      </w:r>
      <w:r w:rsidR="00752FA2" w:rsidRPr="0021199F">
        <w:rPr>
          <w:rFonts w:ascii="Abadi" w:hAnsi="Abadi"/>
          <w:sz w:val="21"/>
          <w:szCs w:val="21"/>
        </w:rPr>
        <w:t>i desean hacer uso de la palabra, indique</w:t>
      </w:r>
      <w:r w:rsidR="00752FA2">
        <w:rPr>
          <w:rFonts w:ascii="Abadi" w:hAnsi="Abadi"/>
          <w:sz w:val="21"/>
          <w:szCs w:val="21"/>
        </w:rPr>
        <w:t>n</w:t>
      </w:r>
      <w:r w:rsidR="00752FA2" w:rsidRPr="0021199F">
        <w:rPr>
          <w:rFonts w:ascii="Abadi" w:hAnsi="Abadi"/>
          <w:sz w:val="21"/>
          <w:szCs w:val="21"/>
        </w:rPr>
        <w:t xml:space="preserve">lo a esa presidencia. </w:t>
      </w:r>
    </w:p>
    <w:p w14:paraId="1C4D135A" w14:textId="7F9AB9B3" w:rsidR="00752FA2" w:rsidRDefault="00CF12FD" w:rsidP="00CF12FD">
      <w:pPr>
        <w:pStyle w:val="NormalWeb"/>
        <w:ind w:firstLine="708"/>
        <w:jc w:val="both"/>
        <w:rPr>
          <w:rFonts w:ascii="Abadi" w:hAnsi="Abadi"/>
          <w:sz w:val="21"/>
          <w:szCs w:val="21"/>
        </w:rPr>
      </w:pPr>
      <w:r>
        <w:rPr>
          <w:rFonts w:ascii="Abadi" w:hAnsi="Abadi"/>
          <w:sz w:val="21"/>
          <w:szCs w:val="21"/>
        </w:rPr>
        <w:t xml:space="preserve">- </w:t>
      </w:r>
      <w:r w:rsidR="00752FA2" w:rsidRPr="0021199F">
        <w:rPr>
          <w:rFonts w:ascii="Abadi" w:hAnsi="Abadi"/>
          <w:sz w:val="21"/>
          <w:szCs w:val="21"/>
        </w:rPr>
        <w:t>Al no registras</w:t>
      </w:r>
      <w:r w:rsidR="00752FA2">
        <w:rPr>
          <w:rFonts w:ascii="Abadi" w:hAnsi="Abadi"/>
          <w:sz w:val="21"/>
          <w:szCs w:val="21"/>
        </w:rPr>
        <w:t>e</w:t>
      </w:r>
      <w:r w:rsidR="00752FA2" w:rsidRPr="0021199F">
        <w:rPr>
          <w:rFonts w:ascii="Abadi" w:hAnsi="Abadi"/>
          <w:sz w:val="21"/>
          <w:szCs w:val="21"/>
        </w:rPr>
        <w:t xml:space="preserve"> intervenciones, se solicita </w:t>
      </w:r>
      <w:r w:rsidR="004178AB">
        <w:rPr>
          <w:rFonts w:ascii="Abadi" w:hAnsi="Abadi"/>
          <w:sz w:val="21"/>
          <w:szCs w:val="21"/>
        </w:rPr>
        <w:t xml:space="preserve">a </w:t>
      </w:r>
      <w:r w:rsidR="00752FA2" w:rsidRPr="0021199F">
        <w:rPr>
          <w:rFonts w:ascii="Abadi" w:hAnsi="Abadi"/>
          <w:sz w:val="21"/>
          <w:szCs w:val="21"/>
        </w:rPr>
        <w:t xml:space="preserve">la </w:t>
      </w:r>
      <w:r w:rsidR="00752FA2">
        <w:rPr>
          <w:rFonts w:ascii="Abadi" w:hAnsi="Abadi"/>
          <w:sz w:val="21"/>
          <w:szCs w:val="21"/>
        </w:rPr>
        <w:t>S</w:t>
      </w:r>
      <w:r w:rsidR="00752FA2" w:rsidRPr="0021199F">
        <w:rPr>
          <w:rFonts w:ascii="Abadi" w:hAnsi="Abadi"/>
          <w:sz w:val="21"/>
          <w:szCs w:val="21"/>
        </w:rPr>
        <w:t>ecretar</w:t>
      </w:r>
      <w:r w:rsidR="00752FA2">
        <w:rPr>
          <w:rFonts w:ascii="Abadi" w:hAnsi="Abadi"/>
          <w:sz w:val="21"/>
          <w:szCs w:val="21"/>
        </w:rPr>
        <w:t>i</w:t>
      </w:r>
      <w:r w:rsidR="00752FA2" w:rsidRPr="0021199F">
        <w:rPr>
          <w:rFonts w:ascii="Abadi" w:hAnsi="Abadi"/>
          <w:sz w:val="21"/>
          <w:szCs w:val="21"/>
        </w:rPr>
        <w:t>a que en votación económica a través del sistema electrónico, pregunt</w:t>
      </w:r>
      <w:r w:rsidR="00752FA2">
        <w:rPr>
          <w:rFonts w:ascii="Abadi" w:hAnsi="Abadi"/>
          <w:sz w:val="21"/>
          <w:szCs w:val="21"/>
        </w:rPr>
        <w:t>e a las diputadas y a los diputados si es de a</w:t>
      </w:r>
      <w:r w:rsidR="00752FA2" w:rsidRPr="0021199F">
        <w:rPr>
          <w:rFonts w:ascii="Abadi" w:hAnsi="Abadi"/>
          <w:sz w:val="21"/>
          <w:szCs w:val="21"/>
        </w:rPr>
        <w:t>probarse</w:t>
      </w:r>
      <w:r w:rsidR="00752FA2">
        <w:rPr>
          <w:rFonts w:ascii="Abadi" w:hAnsi="Abadi"/>
          <w:sz w:val="21"/>
          <w:szCs w:val="21"/>
        </w:rPr>
        <w:t xml:space="preserve"> el Acta.</w:t>
      </w:r>
    </w:p>
    <w:p w14:paraId="53EC1E10" w14:textId="77777777" w:rsidR="00752FA2" w:rsidRPr="002D0E13" w:rsidRDefault="00752FA2" w:rsidP="00CF12FD">
      <w:pPr>
        <w:pStyle w:val="NormalWeb"/>
        <w:jc w:val="center"/>
        <w:rPr>
          <w:rFonts w:ascii="Abadi" w:hAnsi="Abadi"/>
          <w:b/>
          <w:bCs/>
          <w:sz w:val="21"/>
          <w:szCs w:val="21"/>
        </w:rPr>
      </w:pPr>
      <w:r w:rsidRPr="002D0E13">
        <w:rPr>
          <w:rFonts w:ascii="Abadi" w:hAnsi="Abadi"/>
          <w:b/>
          <w:bCs/>
          <w:sz w:val="21"/>
          <w:szCs w:val="21"/>
        </w:rPr>
        <w:t>(Se abre el sistema electrónico)</w:t>
      </w:r>
    </w:p>
    <w:p w14:paraId="244A38C3" w14:textId="326A1FE6" w:rsidR="00752FA2" w:rsidRDefault="00CF12FD" w:rsidP="00CF12FD">
      <w:pPr>
        <w:pStyle w:val="NormalWeb"/>
        <w:ind w:firstLine="708"/>
        <w:jc w:val="both"/>
        <w:rPr>
          <w:rFonts w:ascii="Abadi" w:hAnsi="Abadi"/>
          <w:sz w:val="21"/>
          <w:szCs w:val="21"/>
        </w:rPr>
      </w:pPr>
      <w:r>
        <w:rPr>
          <w:rFonts w:ascii="Abadi" w:hAnsi="Abadi"/>
          <w:b/>
          <w:bCs/>
          <w:sz w:val="21"/>
          <w:szCs w:val="21"/>
        </w:rPr>
        <w:t xml:space="preserve">- </w:t>
      </w:r>
      <w:r w:rsidR="00752FA2" w:rsidRPr="002D0E13">
        <w:rPr>
          <w:rFonts w:ascii="Abadi" w:hAnsi="Abadi"/>
          <w:b/>
          <w:bCs/>
          <w:sz w:val="21"/>
          <w:szCs w:val="21"/>
        </w:rPr>
        <w:t xml:space="preserve">La </w:t>
      </w:r>
      <w:proofErr w:type="gramStart"/>
      <w:r w:rsidR="00752FA2" w:rsidRPr="002D0E13">
        <w:rPr>
          <w:rFonts w:ascii="Abadi" w:hAnsi="Abadi"/>
          <w:b/>
          <w:bCs/>
          <w:sz w:val="21"/>
          <w:szCs w:val="21"/>
        </w:rPr>
        <w:t>Secretaria.-</w:t>
      </w:r>
      <w:proofErr w:type="gramEnd"/>
      <w:r w:rsidR="00752FA2">
        <w:rPr>
          <w:rFonts w:ascii="Abadi" w:hAnsi="Abadi"/>
          <w:sz w:val="21"/>
          <w:szCs w:val="21"/>
        </w:rPr>
        <w:t xml:space="preserve"> E</w:t>
      </w:r>
      <w:r w:rsidR="00752FA2" w:rsidRPr="0021199F">
        <w:rPr>
          <w:rFonts w:ascii="Abadi" w:hAnsi="Abadi"/>
          <w:sz w:val="21"/>
          <w:szCs w:val="21"/>
        </w:rPr>
        <w:t xml:space="preserve">n votación económica se pregunta a las diputadas </w:t>
      </w:r>
      <w:r w:rsidR="00752FA2">
        <w:rPr>
          <w:rFonts w:ascii="Abadi" w:hAnsi="Abadi"/>
          <w:sz w:val="21"/>
          <w:szCs w:val="21"/>
        </w:rPr>
        <w:t xml:space="preserve">y a </w:t>
      </w:r>
      <w:r w:rsidR="00752FA2" w:rsidRPr="0021199F">
        <w:rPr>
          <w:rFonts w:ascii="Abadi" w:hAnsi="Abadi"/>
          <w:sz w:val="21"/>
          <w:szCs w:val="21"/>
        </w:rPr>
        <w:t xml:space="preserve">los diputados si se aprueba el </w:t>
      </w:r>
      <w:r w:rsidR="00752FA2">
        <w:rPr>
          <w:rFonts w:ascii="Abadi" w:hAnsi="Abadi"/>
          <w:sz w:val="21"/>
          <w:szCs w:val="21"/>
        </w:rPr>
        <w:t>A</w:t>
      </w:r>
      <w:r w:rsidR="00752FA2" w:rsidRPr="0021199F">
        <w:rPr>
          <w:rFonts w:ascii="Abadi" w:hAnsi="Abadi"/>
          <w:sz w:val="21"/>
          <w:szCs w:val="21"/>
        </w:rPr>
        <w:t>cta a través del sistema electrónico.</w:t>
      </w:r>
      <w:r w:rsidR="00752FA2">
        <w:rPr>
          <w:rFonts w:ascii="Abadi" w:hAnsi="Abadi"/>
          <w:sz w:val="21"/>
          <w:szCs w:val="21"/>
        </w:rPr>
        <w:t xml:space="preserve"> ¿</w:t>
      </w:r>
      <w:r w:rsidR="00752FA2" w:rsidRPr="0021199F">
        <w:rPr>
          <w:rFonts w:ascii="Abadi" w:hAnsi="Abadi"/>
          <w:sz w:val="21"/>
          <w:szCs w:val="21"/>
        </w:rPr>
        <w:t>Diputado Ernesto Millán</w:t>
      </w:r>
      <w:r w:rsidR="00752FA2">
        <w:rPr>
          <w:rFonts w:ascii="Abadi" w:hAnsi="Abadi"/>
          <w:sz w:val="21"/>
          <w:szCs w:val="21"/>
        </w:rPr>
        <w:t xml:space="preserve">? </w:t>
      </w:r>
      <w:r w:rsidR="00752FA2" w:rsidRPr="0021199F">
        <w:rPr>
          <w:rFonts w:ascii="Abadi" w:hAnsi="Abadi"/>
          <w:sz w:val="21"/>
          <w:szCs w:val="21"/>
        </w:rPr>
        <w:t>Gracias, diputado.</w:t>
      </w:r>
    </w:p>
    <w:p w14:paraId="4E70485C" w14:textId="77777777" w:rsidR="00752FA2" w:rsidRDefault="00752FA2" w:rsidP="00752FA2">
      <w:pPr>
        <w:pStyle w:val="NormalWeb"/>
        <w:jc w:val="both"/>
        <w:rPr>
          <w:rFonts w:ascii="Abadi" w:hAnsi="Abadi"/>
          <w:sz w:val="21"/>
          <w:szCs w:val="21"/>
        </w:rPr>
      </w:pPr>
      <w:r>
        <w:rPr>
          <w:rFonts w:ascii="Abadi" w:hAnsi="Abadi"/>
          <w:sz w:val="21"/>
          <w:szCs w:val="21"/>
        </w:rPr>
        <w:t>¿</w:t>
      </w:r>
      <w:r w:rsidRPr="0021199F">
        <w:rPr>
          <w:rFonts w:ascii="Abadi" w:hAnsi="Abadi"/>
          <w:sz w:val="21"/>
          <w:szCs w:val="21"/>
        </w:rPr>
        <w:t>Falta alguna diputad</w:t>
      </w:r>
      <w:r>
        <w:rPr>
          <w:rFonts w:ascii="Abadi" w:hAnsi="Abadi"/>
          <w:sz w:val="21"/>
          <w:szCs w:val="21"/>
        </w:rPr>
        <w:t>a</w:t>
      </w:r>
      <w:r w:rsidRPr="0021199F">
        <w:rPr>
          <w:rFonts w:ascii="Abadi" w:hAnsi="Abadi"/>
          <w:sz w:val="21"/>
          <w:szCs w:val="21"/>
        </w:rPr>
        <w:t xml:space="preserve"> algún diputado </w:t>
      </w:r>
      <w:r>
        <w:rPr>
          <w:rFonts w:ascii="Abadi" w:hAnsi="Abadi"/>
          <w:sz w:val="21"/>
          <w:szCs w:val="21"/>
        </w:rPr>
        <w:t xml:space="preserve">de </w:t>
      </w:r>
      <w:r w:rsidRPr="0021199F">
        <w:rPr>
          <w:rFonts w:ascii="Abadi" w:hAnsi="Abadi"/>
          <w:sz w:val="21"/>
          <w:szCs w:val="21"/>
        </w:rPr>
        <w:t>emitir su voto?</w:t>
      </w:r>
    </w:p>
    <w:p w14:paraId="4494E21D" w14:textId="77777777" w:rsidR="00752FA2" w:rsidRDefault="00752FA2" w:rsidP="00CF12FD">
      <w:pPr>
        <w:pStyle w:val="NormalWeb"/>
        <w:jc w:val="center"/>
        <w:rPr>
          <w:rFonts w:ascii="Abadi" w:hAnsi="Abadi"/>
          <w:b/>
          <w:bCs/>
          <w:sz w:val="21"/>
          <w:szCs w:val="21"/>
        </w:rPr>
      </w:pPr>
      <w:r w:rsidRPr="002D0E13">
        <w:rPr>
          <w:rFonts w:ascii="Abadi" w:hAnsi="Abadi"/>
          <w:b/>
          <w:bCs/>
          <w:sz w:val="21"/>
          <w:szCs w:val="21"/>
        </w:rPr>
        <w:t>(Se cierra el sistema electrónico)</w:t>
      </w:r>
    </w:p>
    <w:p w14:paraId="1EB35392" w14:textId="77777777" w:rsidR="00752FA2" w:rsidRPr="002D0E13" w:rsidRDefault="00752FA2" w:rsidP="00752FA2">
      <w:pPr>
        <w:pStyle w:val="NormalWeb"/>
        <w:jc w:val="both"/>
        <w:rPr>
          <w:rFonts w:ascii="Abadi" w:hAnsi="Abadi"/>
          <w:b/>
          <w:bCs/>
          <w:sz w:val="21"/>
          <w:szCs w:val="21"/>
        </w:rPr>
      </w:pPr>
      <w:r>
        <w:rPr>
          <w:noProof/>
        </w:rPr>
        <w:drawing>
          <wp:inline distT="0" distB="0" distL="0" distR="0" wp14:anchorId="650940E5" wp14:editId="2F0B8C73">
            <wp:extent cx="2243776" cy="1193321"/>
            <wp:effectExtent l="152400" t="152400" r="366395" b="3689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5444"/>
                    <a:stretch/>
                  </pic:blipFill>
                  <pic:spPr bwMode="auto">
                    <a:xfrm>
                      <a:off x="0" y="0"/>
                      <a:ext cx="2329520" cy="123892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099C421" w14:textId="65C0BE6B" w:rsidR="00752FA2" w:rsidRDefault="00CF12FD" w:rsidP="00CF12FD">
      <w:pPr>
        <w:pStyle w:val="NormalWeb"/>
        <w:ind w:firstLine="708"/>
        <w:jc w:val="both"/>
        <w:rPr>
          <w:rFonts w:ascii="Abadi" w:hAnsi="Abadi"/>
          <w:sz w:val="21"/>
          <w:szCs w:val="21"/>
        </w:rPr>
      </w:pPr>
      <w:r>
        <w:rPr>
          <w:rFonts w:ascii="Abadi" w:hAnsi="Abadi"/>
          <w:b/>
          <w:bCs/>
          <w:sz w:val="21"/>
          <w:szCs w:val="21"/>
        </w:rPr>
        <w:t xml:space="preserve">- </w:t>
      </w:r>
      <w:r w:rsidR="00752FA2" w:rsidRPr="002D0E13">
        <w:rPr>
          <w:rFonts w:ascii="Abadi" w:hAnsi="Abadi"/>
          <w:b/>
          <w:bCs/>
          <w:sz w:val="21"/>
          <w:szCs w:val="21"/>
        </w:rPr>
        <w:t xml:space="preserve">La </w:t>
      </w:r>
      <w:proofErr w:type="gramStart"/>
      <w:r w:rsidR="00752FA2" w:rsidRPr="002D0E13">
        <w:rPr>
          <w:rFonts w:ascii="Abadi" w:hAnsi="Abadi"/>
          <w:b/>
          <w:bCs/>
          <w:sz w:val="21"/>
          <w:szCs w:val="21"/>
        </w:rPr>
        <w:t>Secretaria.-</w:t>
      </w:r>
      <w:proofErr w:type="gramEnd"/>
      <w:r w:rsidR="00752FA2">
        <w:rPr>
          <w:rFonts w:ascii="Abadi" w:hAnsi="Abadi"/>
          <w:sz w:val="21"/>
          <w:szCs w:val="21"/>
        </w:rPr>
        <w:t xml:space="preserve"> </w:t>
      </w:r>
      <w:r w:rsidR="00752FA2" w:rsidRPr="0021199F">
        <w:rPr>
          <w:rFonts w:ascii="Abadi" w:hAnsi="Abadi"/>
          <w:sz w:val="21"/>
          <w:szCs w:val="21"/>
        </w:rPr>
        <w:t xml:space="preserve">Se registraron </w:t>
      </w:r>
      <w:r w:rsidR="00752FA2">
        <w:rPr>
          <w:rFonts w:ascii="Abadi" w:hAnsi="Abadi"/>
          <w:sz w:val="21"/>
          <w:szCs w:val="21"/>
        </w:rPr>
        <w:t>31</w:t>
      </w:r>
      <w:r w:rsidR="00752FA2" w:rsidRPr="0021199F">
        <w:rPr>
          <w:rFonts w:ascii="Abadi" w:hAnsi="Abadi"/>
          <w:sz w:val="21"/>
          <w:szCs w:val="21"/>
        </w:rPr>
        <w:t xml:space="preserve"> votos a favor. </w:t>
      </w:r>
    </w:p>
    <w:p w14:paraId="060619C2" w14:textId="7F6EF24F" w:rsidR="00752FA2" w:rsidRDefault="00CF12FD" w:rsidP="00CF12FD">
      <w:pPr>
        <w:pStyle w:val="NormalWeb"/>
        <w:ind w:firstLine="708"/>
        <w:jc w:val="both"/>
        <w:rPr>
          <w:rFonts w:ascii="Abadi" w:hAnsi="Abadi"/>
          <w:sz w:val="21"/>
          <w:szCs w:val="21"/>
        </w:rPr>
      </w:pPr>
      <w:r>
        <w:rPr>
          <w:rFonts w:ascii="Abadi" w:hAnsi="Abadi"/>
          <w:b/>
          <w:bCs/>
          <w:sz w:val="21"/>
          <w:szCs w:val="21"/>
        </w:rPr>
        <w:t xml:space="preserve">- </w:t>
      </w:r>
      <w:r w:rsidR="00752FA2" w:rsidRPr="002D0E13">
        <w:rPr>
          <w:rFonts w:ascii="Abadi" w:hAnsi="Abadi"/>
          <w:b/>
          <w:bCs/>
          <w:sz w:val="21"/>
          <w:szCs w:val="21"/>
        </w:rPr>
        <w:t xml:space="preserve">La </w:t>
      </w:r>
      <w:proofErr w:type="gramStart"/>
      <w:r w:rsidR="00752FA2" w:rsidRPr="002D0E13">
        <w:rPr>
          <w:rFonts w:ascii="Abadi" w:hAnsi="Abadi"/>
          <w:b/>
          <w:bCs/>
          <w:sz w:val="21"/>
          <w:szCs w:val="21"/>
        </w:rPr>
        <w:t>Presidencia.-</w:t>
      </w:r>
      <w:proofErr w:type="gramEnd"/>
      <w:r w:rsidR="00752FA2">
        <w:rPr>
          <w:rFonts w:ascii="Abadi" w:hAnsi="Abadi"/>
          <w:sz w:val="21"/>
          <w:szCs w:val="21"/>
        </w:rPr>
        <w:t xml:space="preserve"> </w:t>
      </w:r>
      <w:r w:rsidR="00752FA2" w:rsidRPr="0021199F">
        <w:rPr>
          <w:rFonts w:ascii="Abadi" w:hAnsi="Abadi"/>
          <w:sz w:val="21"/>
          <w:szCs w:val="21"/>
        </w:rPr>
        <w:t xml:space="preserve">El </w:t>
      </w:r>
      <w:r w:rsidR="00752FA2">
        <w:rPr>
          <w:rFonts w:ascii="Abadi" w:hAnsi="Abadi"/>
          <w:sz w:val="21"/>
          <w:szCs w:val="21"/>
        </w:rPr>
        <w:t>A</w:t>
      </w:r>
      <w:r w:rsidR="00752FA2" w:rsidRPr="0021199F">
        <w:rPr>
          <w:rFonts w:ascii="Abadi" w:hAnsi="Abadi"/>
          <w:sz w:val="21"/>
          <w:szCs w:val="21"/>
        </w:rPr>
        <w:t>ct</w:t>
      </w:r>
      <w:r w:rsidR="00752FA2">
        <w:rPr>
          <w:rFonts w:ascii="Abadi" w:hAnsi="Abadi"/>
          <w:sz w:val="21"/>
          <w:szCs w:val="21"/>
        </w:rPr>
        <w:t>a</w:t>
      </w:r>
      <w:r w:rsidR="00752FA2" w:rsidRPr="0021199F">
        <w:rPr>
          <w:rFonts w:ascii="Abadi" w:hAnsi="Abadi"/>
          <w:sz w:val="21"/>
          <w:szCs w:val="21"/>
        </w:rPr>
        <w:t xml:space="preserve"> ha sido aprobada por unanimidad de </w:t>
      </w:r>
      <w:r w:rsidR="00752FA2">
        <w:rPr>
          <w:rFonts w:ascii="Abadi" w:hAnsi="Abadi"/>
          <w:sz w:val="21"/>
          <w:szCs w:val="21"/>
        </w:rPr>
        <w:t>votos.</w:t>
      </w:r>
    </w:p>
    <w:p w14:paraId="0B465EA6" w14:textId="77777777" w:rsidR="00752FA2" w:rsidRPr="0088226E" w:rsidRDefault="00752FA2" w:rsidP="00861FE9">
      <w:pPr>
        <w:jc w:val="both"/>
        <w:rPr>
          <w:rFonts w:ascii="Abadi" w:hAnsi="Abadi"/>
          <w:b/>
          <w:bCs/>
          <w:sz w:val="21"/>
          <w:szCs w:val="21"/>
        </w:rPr>
      </w:pPr>
    </w:p>
    <w:p w14:paraId="1F62888F" w14:textId="1F3015DA" w:rsidR="00FA5D95" w:rsidRPr="001045B0" w:rsidRDefault="00FA5D95">
      <w:pPr>
        <w:pStyle w:val="Prrafodelista"/>
        <w:numPr>
          <w:ilvl w:val="0"/>
          <w:numId w:val="78"/>
        </w:numPr>
        <w:jc w:val="both"/>
        <w:rPr>
          <w:rFonts w:ascii="Abadi" w:hAnsi="Abadi"/>
          <w:b/>
          <w:bCs/>
          <w:sz w:val="21"/>
          <w:szCs w:val="21"/>
        </w:rPr>
      </w:pPr>
      <w:r w:rsidRPr="001045B0">
        <w:rPr>
          <w:rFonts w:ascii="Abadi" w:hAnsi="Abadi"/>
          <w:b/>
          <w:bCs/>
          <w:sz w:val="21"/>
          <w:szCs w:val="21"/>
        </w:rPr>
        <w:t xml:space="preserve">DAR CUENTA CON LAS COMUNICACIONES </w:t>
      </w:r>
      <w:r w:rsidR="000D1744" w:rsidRPr="001045B0">
        <w:rPr>
          <w:rFonts w:ascii="Abadi" w:hAnsi="Abadi"/>
          <w:b/>
          <w:bCs/>
          <w:sz w:val="21"/>
          <w:szCs w:val="21"/>
        </w:rPr>
        <w:t>Y CORRESPONDENCIA</w:t>
      </w:r>
      <w:r w:rsidRPr="001045B0">
        <w:rPr>
          <w:rFonts w:ascii="Abadi" w:hAnsi="Abadi"/>
          <w:b/>
          <w:bCs/>
          <w:sz w:val="21"/>
          <w:szCs w:val="21"/>
        </w:rPr>
        <w:t xml:space="preserve"> RECIBIDAS</w:t>
      </w:r>
      <w:r w:rsidR="005F21F2" w:rsidRPr="001045B0">
        <w:rPr>
          <w:rFonts w:ascii="Abadi" w:hAnsi="Abadi"/>
          <w:b/>
          <w:bCs/>
          <w:sz w:val="21"/>
          <w:szCs w:val="21"/>
        </w:rPr>
        <w:t xml:space="preserve"> </w:t>
      </w:r>
      <w:r w:rsidR="00D36B8F">
        <w:rPr>
          <w:rStyle w:val="Refdenotaalpie"/>
          <w:rFonts w:ascii="Abadi" w:hAnsi="Abadi"/>
          <w:b/>
          <w:bCs/>
          <w:sz w:val="21"/>
          <w:szCs w:val="21"/>
        </w:rPr>
        <w:footnoteReference w:id="3"/>
      </w:r>
    </w:p>
    <w:p w14:paraId="50940C5C" w14:textId="10C99286" w:rsidR="006B5884" w:rsidRDefault="006B5884" w:rsidP="00FA5D95">
      <w:pPr>
        <w:jc w:val="both"/>
        <w:rPr>
          <w:rFonts w:ascii="Abadi" w:hAnsi="Abadi"/>
          <w:b/>
          <w:bCs/>
          <w:sz w:val="21"/>
          <w:szCs w:val="21"/>
        </w:rPr>
      </w:pPr>
    </w:p>
    <w:p w14:paraId="62127273" w14:textId="78BD7F9D" w:rsidR="00443882" w:rsidRDefault="00443882" w:rsidP="00FA5D95">
      <w:pPr>
        <w:jc w:val="both"/>
        <w:rPr>
          <w:rFonts w:ascii="Abadi" w:hAnsi="Abadi"/>
          <w:b/>
          <w:bCs/>
          <w:sz w:val="21"/>
          <w:szCs w:val="21"/>
        </w:rPr>
      </w:pPr>
    </w:p>
    <w:tbl>
      <w:tblPr>
        <w:tblStyle w:val="Tablaconcuadrcula"/>
        <w:tblW w:w="438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494"/>
        <w:gridCol w:w="1886"/>
      </w:tblGrid>
      <w:tr w:rsidR="00443882" w14:paraId="60AEE478" w14:textId="77777777" w:rsidTr="00343DB4">
        <w:tc>
          <w:tcPr>
            <w:tcW w:w="2494" w:type="dxa"/>
            <w:shd w:val="clear" w:color="auto" w:fill="DDD9C3" w:themeFill="background2" w:themeFillShade="E6"/>
          </w:tcPr>
          <w:p w14:paraId="56B76614" w14:textId="77777777" w:rsidR="00443882" w:rsidRPr="006206B9" w:rsidRDefault="00443882" w:rsidP="00901400">
            <w:pPr>
              <w:jc w:val="both"/>
              <w:rPr>
                <w:rFonts w:ascii="Abadi" w:hAnsi="Abadi"/>
                <w:b/>
                <w:bCs/>
                <w:sz w:val="21"/>
                <w:szCs w:val="21"/>
              </w:rPr>
            </w:pPr>
            <w:r w:rsidRPr="006206B9">
              <w:rPr>
                <w:rFonts w:ascii="Abadi" w:hAnsi="Abadi"/>
                <w:b/>
                <w:bCs/>
                <w:sz w:val="21"/>
                <w:szCs w:val="21"/>
              </w:rPr>
              <w:t>A S U N T O</w:t>
            </w:r>
          </w:p>
        </w:tc>
        <w:tc>
          <w:tcPr>
            <w:tcW w:w="1886" w:type="dxa"/>
            <w:shd w:val="clear" w:color="auto" w:fill="DDD9C3" w:themeFill="background2" w:themeFillShade="E6"/>
          </w:tcPr>
          <w:p w14:paraId="54D3E96D" w14:textId="77777777" w:rsidR="00443882" w:rsidRPr="006206B9" w:rsidRDefault="00443882" w:rsidP="00901400">
            <w:pPr>
              <w:jc w:val="both"/>
              <w:rPr>
                <w:rFonts w:ascii="Abadi" w:hAnsi="Abadi"/>
                <w:b/>
                <w:bCs/>
                <w:sz w:val="21"/>
                <w:szCs w:val="21"/>
              </w:rPr>
            </w:pPr>
            <w:r w:rsidRPr="006206B9">
              <w:rPr>
                <w:rFonts w:ascii="Abadi" w:hAnsi="Abadi"/>
                <w:b/>
                <w:bCs/>
                <w:sz w:val="21"/>
                <w:szCs w:val="21"/>
              </w:rPr>
              <w:t>A C U E R D O</w:t>
            </w:r>
          </w:p>
        </w:tc>
      </w:tr>
      <w:tr w:rsidR="00443882" w14:paraId="305C8D6A" w14:textId="77777777" w:rsidTr="00343DB4">
        <w:tc>
          <w:tcPr>
            <w:tcW w:w="4380" w:type="dxa"/>
            <w:gridSpan w:val="2"/>
            <w:shd w:val="clear" w:color="auto" w:fill="DDD9C3" w:themeFill="background2" w:themeFillShade="E6"/>
          </w:tcPr>
          <w:p w14:paraId="307FC2AF" w14:textId="5187463D" w:rsidR="00443882" w:rsidRPr="006206B9" w:rsidRDefault="00C529C5" w:rsidP="00901400">
            <w:pPr>
              <w:jc w:val="both"/>
              <w:rPr>
                <w:rFonts w:ascii="Abadi" w:hAnsi="Abadi"/>
                <w:b/>
                <w:bCs/>
                <w:sz w:val="21"/>
                <w:szCs w:val="21"/>
              </w:rPr>
            </w:pPr>
            <w:r w:rsidRPr="00C529C5">
              <w:rPr>
                <w:rFonts w:ascii="Abadi" w:hAnsi="Abadi"/>
                <w:b/>
                <w:bCs/>
                <w:sz w:val="21"/>
                <w:szCs w:val="21"/>
              </w:rPr>
              <w:t>I. Comunicados provenientes de los poderes de la Unión y Organismos Autónomos.</w:t>
            </w:r>
          </w:p>
        </w:tc>
      </w:tr>
      <w:tr w:rsidR="00443882" w14:paraId="1CD4CEAC" w14:textId="77777777" w:rsidTr="00724EA0">
        <w:tc>
          <w:tcPr>
            <w:tcW w:w="2494" w:type="dxa"/>
          </w:tcPr>
          <w:p w14:paraId="2CE1D7DD" w14:textId="77777777" w:rsidR="004E6C29" w:rsidRDefault="006B2A7C" w:rsidP="00307482">
            <w:pPr>
              <w:autoSpaceDE w:val="0"/>
              <w:autoSpaceDN w:val="0"/>
              <w:adjustRightInd w:val="0"/>
              <w:jc w:val="both"/>
              <w:rPr>
                <w:rFonts w:ascii="Abadi" w:hAnsi="Abadi"/>
                <w:sz w:val="21"/>
                <w:szCs w:val="21"/>
              </w:rPr>
            </w:pPr>
            <w:r w:rsidRPr="006B2A7C">
              <w:rPr>
                <w:rFonts w:ascii="Abadi" w:hAnsi="Abadi"/>
                <w:sz w:val="21"/>
                <w:szCs w:val="21"/>
              </w:rPr>
              <w:t xml:space="preserve">La vicepresidenta de la Cámara de Diputados del Congreso de la Unión remite dos exhortos a los congresos locales: el primero para que, si aún no han legislado el delito de abigeato, realicen las reformas y adiciones correspondientes conforme a lo establecido en el Código Penal Federal, con el propósito de contar con un marco jurídico homogéneo en México para dar mayor certeza legal en la persecución y castigo de ese delito; y el segundo, para que fortalezcan la legislación en materia de bienestar animal para: a) Fomentar acciones de protección hacia los animales; b) Promover la adopción de animales domésticos; c) Promover acciones a favor de los animales abandonados; d) Fomentar las conductas de trato digno y respetuoso, y </w:t>
            </w:r>
            <w:proofErr w:type="spellStart"/>
            <w:r w:rsidRPr="006B2A7C">
              <w:rPr>
                <w:rFonts w:ascii="Abadi" w:hAnsi="Abadi"/>
                <w:sz w:val="21"/>
                <w:szCs w:val="21"/>
              </w:rPr>
              <w:t>e</w:t>
            </w:r>
            <w:proofErr w:type="spellEnd"/>
            <w:r w:rsidRPr="006B2A7C">
              <w:rPr>
                <w:rFonts w:ascii="Abadi" w:hAnsi="Abadi"/>
                <w:sz w:val="21"/>
                <w:szCs w:val="21"/>
              </w:rPr>
              <w:t>) Evitar y sancionar el maltrato animal.</w:t>
            </w:r>
          </w:p>
          <w:p w14:paraId="69A9ED2D" w14:textId="6F22F839" w:rsidR="006B2A7C" w:rsidRPr="00D53B60" w:rsidRDefault="006B2A7C" w:rsidP="00307482">
            <w:pPr>
              <w:autoSpaceDE w:val="0"/>
              <w:autoSpaceDN w:val="0"/>
              <w:adjustRightInd w:val="0"/>
              <w:jc w:val="both"/>
              <w:rPr>
                <w:rFonts w:ascii="Abadi" w:eastAsia="Calibri" w:hAnsi="Abadi" w:cs="Arial"/>
                <w:color w:val="000000"/>
                <w:sz w:val="21"/>
                <w:szCs w:val="21"/>
                <w:lang w:eastAsia="en-US"/>
              </w:rPr>
            </w:pPr>
          </w:p>
        </w:tc>
        <w:tc>
          <w:tcPr>
            <w:tcW w:w="1886" w:type="dxa"/>
          </w:tcPr>
          <w:p w14:paraId="36FCD71A" w14:textId="5999B76A" w:rsidR="00443882" w:rsidRPr="006B2A7C" w:rsidRDefault="006B2A7C" w:rsidP="00F94067">
            <w:pPr>
              <w:jc w:val="both"/>
              <w:rPr>
                <w:rFonts w:ascii="Abadi" w:hAnsi="Abadi"/>
                <w:b/>
                <w:bCs/>
                <w:sz w:val="20"/>
                <w:szCs w:val="20"/>
              </w:rPr>
            </w:pPr>
            <w:r w:rsidRPr="00BE598E">
              <w:rPr>
                <w:rFonts w:ascii="Abadi" w:hAnsi="Abadi"/>
                <w:b/>
                <w:bCs/>
                <w:sz w:val="21"/>
                <w:szCs w:val="21"/>
              </w:rPr>
              <w:t>Enterados</w:t>
            </w:r>
          </w:p>
        </w:tc>
      </w:tr>
      <w:tr w:rsidR="006B2A7C" w14:paraId="3FC6F35D" w14:textId="77777777" w:rsidTr="00724EA0">
        <w:tc>
          <w:tcPr>
            <w:tcW w:w="2494" w:type="dxa"/>
          </w:tcPr>
          <w:p w14:paraId="6F4F8894" w14:textId="690AB2B0" w:rsidR="006B2A7C" w:rsidRPr="006B2A7C" w:rsidRDefault="000964D9" w:rsidP="00307482">
            <w:pPr>
              <w:autoSpaceDE w:val="0"/>
              <w:autoSpaceDN w:val="0"/>
              <w:adjustRightInd w:val="0"/>
              <w:jc w:val="both"/>
              <w:rPr>
                <w:rFonts w:ascii="Abadi" w:hAnsi="Abadi"/>
                <w:sz w:val="21"/>
                <w:szCs w:val="21"/>
              </w:rPr>
            </w:pPr>
            <w:r w:rsidRPr="000964D9">
              <w:rPr>
                <w:rFonts w:ascii="Abadi" w:hAnsi="Abadi"/>
                <w:sz w:val="21"/>
                <w:szCs w:val="21"/>
              </w:rPr>
              <w:t>La vicepresidenta de la Cámara de Diputados del Congreso de la Unión remite el acuerdo aprobado en el que se exhorta a los congresos de las entidades federativas para que, en el ámbito de sus atribuciones y con pleno respeto a su autonomía, instalen comisiones legislativas encargadas de vigilar e impulsar el cumplimiento de los objetivos de la Agenda 2030, a fin de proteger los derechos humanos.</w:t>
            </w:r>
          </w:p>
        </w:tc>
        <w:tc>
          <w:tcPr>
            <w:tcW w:w="1886" w:type="dxa"/>
          </w:tcPr>
          <w:p w14:paraId="5937766C" w14:textId="3D0CCF93" w:rsidR="006B2A7C" w:rsidRPr="00BE598E" w:rsidRDefault="00BE598E" w:rsidP="00F94067">
            <w:pPr>
              <w:jc w:val="both"/>
              <w:rPr>
                <w:b/>
                <w:bCs/>
              </w:rPr>
            </w:pPr>
            <w:r w:rsidRPr="00BE598E">
              <w:rPr>
                <w:rFonts w:ascii="Abadi" w:hAnsi="Abadi"/>
                <w:b/>
                <w:bCs/>
                <w:sz w:val="21"/>
                <w:szCs w:val="21"/>
              </w:rPr>
              <w:t>Enterados y se informa que este Congreso cuenta con la Comisión Especial para dar Seguimiento a la Implementación de la Agenda 2030.</w:t>
            </w:r>
          </w:p>
        </w:tc>
      </w:tr>
      <w:tr w:rsidR="006B2A7C" w14:paraId="52766E24" w14:textId="77777777" w:rsidTr="00724EA0">
        <w:tc>
          <w:tcPr>
            <w:tcW w:w="2494" w:type="dxa"/>
          </w:tcPr>
          <w:p w14:paraId="0D23DCF8" w14:textId="4CBFFBA9" w:rsidR="006B2A7C" w:rsidRPr="006B2A7C" w:rsidRDefault="00BE598E" w:rsidP="00307482">
            <w:pPr>
              <w:autoSpaceDE w:val="0"/>
              <w:autoSpaceDN w:val="0"/>
              <w:adjustRightInd w:val="0"/>
              <w:jc w:val="both"/>
              <w:rPr>
                <w:rFonts w:ascii="Abadi" w:hAnsi="Abadi"/>
                <w:sz w:val="21"/>
                <w:szCs w:val="21"/>
              </w:rPr>
            </w:pPr>
            <w:r w:rsidRPr="00BE598E">
              <w:rPr>
                <w:rFonts w:ascii="Abadi" w:hAnsi="Abadi"/>
                <w:sz w:val="21"/>
                <w:szCs w:val="21"/>
              </w:rPr>
              <w:t>Recomendación General número 46/2022 que remite la Comisión Nacional de los Derechos Humanos, relativa a la derogación de todo tipo penal o delito que implique menoscabo de los derechos de reunión y asociación, del derecho a la libre manifestación y a la libertad de expresión; así como eliminación de todos aquellos tipos penales, como injurias a la autoridad, ultrajes a la autoridad, o cualesquier otro que pueda ser utilizado con fines de persecución política, garantizando asimismo, que nunca más se den normativas restrictivas o limitativas de las garantías individuales ni para el ejercicio de derechos.</w:t>
            </w:r>
          </w:p>
        </w:tc>
        <w:tc>
          <w:tcPr>
            <w:tcW w:w="1886" w:type="dxa"/>
          </w:tcPr>
          <w:p w14:paraId="33E0CF1E" w14:textId="1C3F9335" w:rsidR="006B2A7C" w:rsidRPr="006B2A7C" w:rsidRDefault="00BE598E" w:rsidP="00F94067">
            <w:pPr>
              <w:jc w:val="both"/>
              <w:rPr>
                <w:b/>
                <w:bCs/>
              </w:rPr>
            </w:pPr>
            <w:r w:rsidRPr="00BE598E">
              <w:rPr>
                <w:rFonts w:ascii="Abadi" w:hAnsi="Abadi"/>
                <w:b/>
                <w:bCs/>
                <w:sz w:val="21"/>
                <w:szCs w:val="21"/>
              </w:rPr>
              <w:t>Enterados y se turna a la Comisión de Justicia.</w:t>
            </w:r>
          </w:p>
        </w:tc>
      </w:tr>
      <w:tr w:rsidR="004E6C29" w14:paraId="6F6B2416" w14:textId="77777777" w:rsidTr="00343DB4">
        <w:tc>
          <w:tcPr>
            <w:tcW w:w="4380" w:type="dxa"/>
            <w:gridSpan w:val="2"/>
            <w:shd w:val="clear" w:color="auto" w:fill="DDD9C3" w:themeFill="background2" w:themeFillShade="E6"/>
          </w:tcPr>
          <w:p w14:paraId="102B7D1B" w14:textId="29EDB7C5" w:rsidR="004E6C29" w:rsidRPr="006206B9" w:rsidRDefault="004E6C29" w:rsidP="004E6C29">
            <w:pPr>
              <w:jc w:val="both"/>
              <w:rPr>
                <w:rFonts w:ascii="Abadi" w:hAnsi="Abadi"/>
                <w:b/>
                <w:bCs/>
                <w:sz w:val="21"/>
                <w:szCs w:val="21"/>
              </w:rPr>
            </w:pPr>
            <w:r>
              <w:rPr>
                <w:rFonts w:ascii="Abadi" w:hAnsi="Abadi"/>
                <w:b/>
                <w:bCs/>
                <w:sz w:val="21"/>
                <w:szCs w:val="21"/>
              </w:rPr>
              <w:t>II. Comunicados provenientes de los poderes del Estado y Organismos Autónomos.</w:t>
            </w:r>
          </w:p>
        </w:tc>
      </w:tr>
      <w:tr w:rsidR="004E6C29" w14:paraId="223D417D" w14:textId="77777777" w:rsidTr="00724EA0">
        <w:tc>
          <w:tcPr>
            <w:tcW w:w="2494" w:type="dxa"/>
          </w:tcPr>
          <w:p w14:paraId="66DC671F" w14:textId="77777777" w:rsidR="0029365B" w:rsidRDefault="00BE598E" w:rsidP="00584007">
            <w:pPr>
              <w:autoSpaceDE w:val="0"/>
              <w:autoSpaceDN w:val="0"/>
              <w:adjustRightInd w:val="0"/>
              <w:jc w:val="both"/>
              <w:rPr>
                <w:rFonts w:ascii="Abadi" w:hAnsi="Abadi"/>
                <w:sz w:val="21"/>
                <w:szCs w:val="21"/>
              </w:rPr>
            </w:pPr>
            <w:r w:rsidRPr="00BE598E">
              <w:rPr>
                <w:rFonts w:ascii="Abadi" w:hAnsi="Abadi"/>
                <w:sz w:val="21"/>
                <w:szCs w:val="21"/>
              </w:rPr>
              <w:t xml:space="preserve">La presidenta del Consejo para Prevenir, Atender y Erradicar la Discriminación en el Estado de Guanajuato remite respuesta a la consulta del artículo primero del decreto de la iniciativa por la que se reforman los artículos 14, 15, 16, 17, 18, 19, 20 y 22, y se adicionan los artículos 14 bis, 14 ter, 18 bis, 18 ter, 18 </w:t>
            </w:r>
            <w:proofErr w:type="spellStart"/>
            <w:r w:rsidRPr="00BE598E">
              <w:rPr>
                <w:rFonts w:ascii="Abadi" w:hAnsi="Abadi"/>
                <w:sz w:val="21"/>
                <w:szCs w:val="21"/>
              </w:rPr>
              <w:t>quáter</w:t>
            </w:r>
            <w:proofErr w:type="spellEnd"/>
            <w:r w:rsidRPr="00BE598E">
              <w:rPr>
                <w:rFonts w:ascii="Abadi" w:hAnsi="Abadi"/>
                <w:sz w:val="21"/>
                <w:szCs w:val="21"/>
              </w:rPr>
              <w:t xml:space="preserve">, 18 quinquies, 19 bis, 19 ter, 19 </w:t>
            </w:r>
            <w:proofErr w:type="spellStart"/>
            <w:r w:rsidRPr="00BE598E">
              <w:rPr>
                <w:rFonts w:ascii="Abadi" w:hAnsi="Abadi"/>
                <w:sz w:val="21"/>
                <w:szCs w:val="21"/>
              </w:rPr>
              <w:t>quáter</w:t>
            </w:r>
            <w:proofErr w:type="spellEnd"/>
            <w:r w:rsidRPr="00BE598E">
              <w:rPr>
                <w:rFonts w:ascii="Abadi" w:hAnsi="Abadi"/>
                <w:sz w:val="21"/>
                <w:szCs w:val="21"/>
              </w:rPr>
              <w:t xml:space="preserve">, 19 quinquies, 19 </w:t>
            </w:r>
            <w:proofErr w:type="spellStart"/>
            <w:r w:rsidRPr="00BE598E">
              <w:rPr>
                <w:rFonts w:ascii="Abadi" w:hAnsi="Abadi"/>
                <w:sz w:val="21"/>
                <w:szCs w:val="21"/>
              </w:rPr>
              <w:t>sexies</w:t>
            </w:r>
            <w:proofErr w:type="spellEnd"/>
            <w:r w:rsidRPr="00BE598E">
              <w:rPr>
                <w:rFonts w:ascii="Abadi" w:hAnsi="Abadi"/>
                <w:sz w:val="21"/>
                <w:szCs w:val="21"/>
              </w:rPr>
              <w:t xml:space="preserve"> y 19 </w:t>
            </w:r>
            <w:proofErr w:type="spellStart"/>
            <w:r w:rsidRPr="00BE598E">
              <w:rPr>
                <w:rFonts w:ascii="Abadi" w:hAnsi="Abadi"/>
                <w:sz w:val="21"/>
                <w:szCs w:val="21"/>
              </w:rPr>
              <w:t>septies</w:t>
            </w:r>
            <w:proofErr w:type="spellEnd"/>
            <w:r w:rsidRPr="00BE598E">
              <w:rPr>
                <w:rFonts w:ascii="Abadi" w:hAnsi="Abadi"/>
                <w:sz w:val="21"/>
                <w:szCs w:val="21"/>
              </w:rPr>
              <w:t xml:space="preserve"> de la Ley para Prevenir, Atender y Erradicar la Discriminación en el Estado de Guanajuato; y el artículo 4 fracción V de la Ley de Planeación para el Estado de Guanajuato. </w:t>
            </w:r>
          </w:p>
          <w:p w14:paraId="5EED4724" w14:textId="77777777" w:rsidR="0029365B" w:rsidRDefault="0029365B" w:rsidP="00584007">
            <w:pPr>
              <w:autoSpaceDE w:val="0"/>
              <w:autoSpaceDN w:val="0"/>
              <w:adjustRightInd w:val="0"/>
              <w:jc w:val="both"/>
              <w:rPr>
                <w:rFonts w:ascii="Abadi" w:hAnsi="Abadi"/>
                <w:sz w:val="21"/>
                <w:szCs w:val="21"/>
              </w:rPr>
            </w:pPr>
          </w:p>
          <w:p w14:paraId="7C54516E" w14:textId="306CF484" w:rsidR="004E6C29" w:rsidRPr="00BE598E" w:rsidRDefault="00BE598E" w:rsidP="00584007">
            <w:pPr>
              <w:autoSpaceDE w:val="0"/>
              <w:autoSpaceDN w:val="0"/>
              <w:adjustRightInd w:val="0"/>
              <w:jc w:val="both"/>
              <w:rPr>
                <w:rFonts w:ascii="Abadi" w:hAnsi="Abadi"/>
                <w:sz w:val="21"/>
                <w:szCs w:val="21"/>
              </w:rPr>
            </w:pPr>
            <w:r w:rsidRPr="00BE598E">
              <w:rPr>
                <w:rFonts w:ascii="Abadi" w:hAnsi="Abadi"/>
                <w:sz w:val="21"/>
                <w:szCs w:val="21"/>
              </w:rPr>
              <w:t xml:space="preserve">El procurador de los Derechos Humanos del Estado de Guanajuato remite respuesta a la consulta de cinco iniciativas: la primera, que reforma los artículos 17 inciso a numeral 5, 27-1 fracción XXIII y 96 fracción XIX y adiciona los artículos 21-1 y 82-1 a la Ley de los Derechos de Niñas, Niños y Adolescentes del Estado de Guanajuato; la segunda, que reforma el artículo 51 de la Ley para la Protección de los Derechos Humanos en el Estado de Guanajuato; la tercera, que reforma los artículos 35 y 37 de la Ley de los Derechos de Niñas, Niños y Adolescentes del Estado de Guanajuato; la cuarta, por la que se reforman los artículos 14, 15, 16, 17, 18, 19, 20 y 22, y se adicionan los artículos 14 bis, 14 ter, 18 bis, 18 ter, 18 </w:t>
            </w:r>
            <w:proofErr w:type="spellStart"/>
            <w:r w:rsidRPr="00BE598E">
              <w:rPr>
                <w:rFonts w:ascii="Abadi" w:hAnsi="Abadi"/>
                <w:sz w:val="21"/>
                <w:szCs w:val="21"/>
              </w:rPr>
              <w:t>quáter</w:t>
            </w:r>
            <w:proofErr w:type="spellEnd"/>
            <w:r w:rsidRPr="00BE598E">
              <w:rPr>
                <w:rFonts w:ascii="Abadi" w:hAnsi="Abadi"/>
                <w:sz w:val="21"/>
                <w:szCs w:val="21"/>
              </w:rPr>
              <w:t xml:space="preserve">, 18 quinquies, 19 bis, 19 ter, 19 </w:t>
            </w:r>
            <w:proofErr w:type="spellStart"/>
            <w:r w:rsidRPr="00BE598E">
              <w:rPr>
                <w:rFonts w:ascii="Abadi" w:hAnsi="Abadi"/>
                <w:sz w:val="21"/>
                <w:szCs w:val="21"/>
              </w:rPr>
              <w:t>quáter</w:t>
            </w:r>
            <w:proofErr w:type="spellEnd"/>
            <w:r w:rsidRPr="00BE598E">
              <w:rPr>
                <w:rFonts w:ascii="Abadi" w:hAnsi="Abadi"/>
                <w:sz w:val="21"/>
                <w:szCs w:val="21"/>
              </w:rPr>
              <w:t xml:space="preserve">, 19 quinquies, 19 </w:t>
            </w:r>
            <w:proofErr w:type="spellStart"/>
            <w:r w:rsidRPr="00BE598E">
              <w:rPr>
                <w:rFonts w:ascii="Abadi" w:hAnsi="Abadi"/>
                <w:sz w:val="21"/>
                <w:szCs w:val="21"/>
              </w:rPr>
              <w:t>sexies</w:t>
            </w:r>
            <w:proofErr w:type="spellEnd"/>
            <w:r w:rsidRPr="00BE598E">
              <w:rPr>
                <w:rFonts w:ascii="Abadi" w:hAnsi="Abadi"/>
                <w:sz w:val="21"/>
                <w:szCs w:val="21"/>
              </w:rPr>
              <w:t xml:space="preserve"> y 19 </w:t>
            </w:r>
            <w:proofErr w:type="spellStart"/>
            <w:r w:rsidRPr="00BE598E">
              <w:rPr>
                <w:rFonts w:ascii="Abadi" w:hAnsi="Abadi"/>
                <w:sz w:val="21"/>
                <w:szCs w:val="21"/>
              </w:rPr>
              <w:t>septies</w:t>
            </w:r>
            <w:proofErr w:type="spellEnd"/>
            <w:r w:rsidRPr="00BE598E">
              <w:rPr>
                <w:rFonts w:ascii="Abadi" w:hAnsi="Abadi"/>
                <w:sz w:val="21"/>
                <w:szCs w:val="21"/>
              </w:rPr>
              <w:t xml:space="preserve"> de la Ley para Prevenir, Atender y Erradicar la Discriminación en el Estado de Guanajuato; y el artículo 4 fracción V de la Ley de Planeación para el Estado de Guanajuato, en la parte correspondiente al primer ordenamiento; y la quinta, que reforma diversos artículos de la Constitución Política para el Estado de Guanajuato, de la Ley Orgánica del Poder Legislativo del Estado de Guanajuato, de la Ley Orgánica del Poder Judicial del Estado de Guanajuato, de la Ley para la Protección de los Derechos Humanos en el Estado de Guanajuato, de la Ley de Fiscalización Superior del Estado de Guanajuato, de la Ley de Transparencia y Acceso a la Información Pública para el Estado de Guanajuato, de la Ley de Instituciones y Procedimientos Electorales para el Estado de Guanajuato, de la Ley Orgánica de la Fiscalía General del Estado de Guanajuato y de la Ley Orgánica del Tribunal de Justicia Administrativa del Estado de Guanajuato, en la parte correspondiente al cuarto ordenamiento.</w:t>
            </w:r>
          </w:p>
        </w:tc>
        <w:tc>
          <w:tcPr>
            <w:tcW w:w="1886" w:type="dxa"/>
          </w:tcPr>
          <w:p w14:paraId="49C4E976" w14:textId="3723F7B7" w:rsidR="004E6C29" w:rsidRPr="00BE598E" w:rsidRDefault="00BE598E" w:rsidP="00584007">
            <w:pPr>
              <w:jc w:val="both"/>
              <w:rPr>
                <w:rFonts w:ascii="Abadi" w:hAnsi="Abadi"/>
                <w:b/>
                <w:bCs/>
                <w:sz w:val="21"/>
                <w:szCs w:val="21"/>
              </w:rPr>
            </w:pPr>
            <w:r w:rsidRPr="00BE598E">
              <w:rPr>
                <w:rFonts w:ascii="Abadi" w:hAnsi="Abadi"/>
                <w:b/>
                <w:bCs/>
                <w:sz w:val="21"/>
                <w:szCs w:val="21"/>
              </w:rPr>
              <w:t>Enterados y se informa que se turnaron a la Comisión de Derechos Humanos y Atención a Grupos Vulnerables.</w:t>
            </w:r>
          </w:p>
        </w:tc>
      </w:tr>
      <w:tr w:rsidR="004E6C29" w14:paraId="5BF63DAA" w14:textId="77777777" w:rsidTr="00724EA0">
        <w:tc>
          <w:tcPr>
            <w:tcW w:w="2494" w:type="dxa"/>
          </w:tcPr>
          <w:p w14:paraId="23062849" w14:textId="22DBEBE2" w:rsidR="002D1767" w:rsidRPr="00584007" w:rsidRDefault="00BE598E" w:rsidP="002D1767">
            <w:pPr>
              <w:autoSpaceDE w:val="0"/>
              <w:autoSpaceDN w:val="0"/>
              <w:adjustRightInd w:val="0"/>
              <w:jc w:val="both"/>
              <w:rPr>
                <w:rFonts w:ascii="Abadi" w:hAnsi="Abadi"/>
                <w:sz w:val="21"/>
                <w:szCs w:val="21"/>
              </w:rPr>
            </w:pPr>
            <w:r w:rsidRPr="00BE598E">
              <w:rPr>
                <w:rFonts w:ascii="Abadi" w:hAnsi="Abadi"/>
                <w:sz w:val="21"/>
                <w:szCs w:val="21"/>
              </w:rPr>
              <w:t>La magistrada presidenta del Tribunal Estatal Electoral de Guanajuato y la abogada general de la Universidad de Guanajuato remiten respuesta a la consulta de la iniciativa de reforma a los artículos 46, 69 y 111 de la Constitución Política para el Estado de Guanajuato; y adición del artículo 194 Bis a la Ley de Instituciones y Procedimientos Electorales para el Estado de Guanajuato, en la parte correspondiente al segundo de los ordenamientos.</w:t>
            </w:r>
          </w:p>
        </w:tc>
        <w:tc>
          <w:tcPr>
            <w:tcW w:w="1886" w:type="dxa"/>
          </w:tcPr>
          <w:p w14:paraId="3E44441F" w14:textId="168A2228" w:rsidR="004E6C29" w:rsidRPr="00BE598E" w:rsidRDefault="00BE598E" w:rsidP="002D1767">
            <w:pPr>
              <w:jc w:val="both"/>
              <w:rPr>
                <w:rFonts w:ascii="Abadi" w:hAnsi="Abadi"/>
                <w:b/>
                <w:bCs/>
                <w:sz w:val="21"/>
                <w:szCs w:val="21"/>
              </w:rPr>
            </w:pPr>
            <w:r w:rsidRPr="00BE598E">
              <w:rPr>
                <w:rFonts w:ascii="Abadi" w:hAnsi="Abadi"/>
                <w:b/>
                <w:bCs/>
                <w:sz w:val="21"/>
                <w:szCs w:val="21"/>
              </w:rPr>
              <w:t>Enterados y se informa que se turnaron a la Comisión de Asuntos Electorales.</w:t>
            </w:r>
          </w:p>
        </w:tc>
      </w:tr>
      <w:tr w:rsidR="004E6C29" w:rsidRPr="00595AA4" w14:paraId="215EB7B3" w14:textId="77777777" w:rsidTr="00724EA0">
        <w:tc>
          <w:tcPr>
            <w:tcW w:w="2494" w:type="dxa"/>
          </w:tcPr>
          <w:p w14:paraId="10A88BE3" w14:textId="51A9EBEC" w:rsidR="004E6C29" w:rsidRPr="00BE598E" w:rsidRDefault="00BE598E" w:rsidP="00234A76">
            <w:pPr>
              <w:jc w:val="both"/>
              <w:rPr>
                <w:rFonts w:ascii="Abadi" w:hAnsi="Abadi"/>
                <w:sz w:val="21"/>
                <w:szCs w:val="21"/>
              </w:rPr>
            </w:pPr>
            <w:r w:rsidRPr="00BE598E">
              <w:rPr>
                <w:rFonts w:ascii="Abadi" w:hAnsi="Abadi"/>
                <w:sz w:val="21"/>
                <w:szCs w:val="21"/>
              </w:rPr>
              <w:t>El secretario general de Acuerdos Adjunto del Tribunal de Justicia Administrativa del Estado de Guanajuato, el procurador de los Derechos Humanos del Estado de Guanajuato, la consejera presidenta del Instituto Electoral del Estado de Guanajuato, la comisionada presidenta del Instituto de Acceso a la Información Pública para el Estado de Guanajuato, el Auditor Superior del Estado de Guanajuato y la abogada general de la Universidad de Guanajuato remiten respuesta a la consulta de la iniciativa de Ley de Patrimonio Inmobiliario del Estado de Guanajuato.</w:t>
            </w:r>
          </w:p>
        </w:tc>
        <w:tc>
          <w:tcPr>
            <w:tcW w:w="1886" w:type="dxa"/>
          </w:tcPr>
          <w:p w14:paraId="2D0B30DF" w14:textId="1029334C" w:rsidR="004E6C29" w:rsidRPr="00BE598E" w:rsidRDefault="00BE598E" w:rsidP="004E6C29">
            <w:pPr>
              <w:jc w:val="both"/>
              <w:rPr>
                <w:rFonts w:ascii="Abadi" w:hAnsi="Abadi"/>
                <w:b/>
                <w:bCs/>
                <w:sz w:val="21"/>
                <w:szCs w:val="21"/>
              </w:rPr>
            </w:pPr>
            <w:r w:rsidRPr="00BE598E">
              <w:rPr>
                <w:rFonts w:ascii="Abadi" w:hAnsi="Abadi"/>
                <w:b/>
                <w:bCs/>
                <w:sz w:val="21"/>
                <w:szCs w:val="21"/>
              </w:rPr>
              <w:t>Enterados y se informa que se turnaron a la Comisión de Hacienda y Fiscalización.</w:t>
            </w:r>
          </w:p>
        </w:tc>
      </w:tr>
      <w:tr w:rsidR="004E6C29" w:rsidRPr="00595AA4" w14:paraId="1714B847" w14:textId="77777777" w:rsidTr="00724EA0">
        <w:tc>
          <w:tcPr>
            <w:tcW w:w="2494" w:type="dxa"/>
          </w:tcPr>
          <w:p w14:paraId="7E06AEE0" w14:textId="29FD50AF" w:rsidR="004E6C29" w:rsidRPr="00BE598E" w:rsidRDefault="00BE598E" w:rsidP="006A1CA5">
            <w:pPr>
              <w:autoSpaceDE w:val="0"/>
              <w:autoSpaceDN w:val="0"/>
              <w:adjustRightInd w:val="0"/>
              <w:jc w:val="both"/>
              <w:rPr>
                <w:rFonts w:ascii="Abadi" w:hAnsi="Abadi"/>
                <w:sz w:val="21"/>
                <w:szCs w:val="21"/>
              </w:rPr>
            </w:pPr>
            <w:r w:rsidRPr="00BE598E">
              <w:rPr>
                <w:rFonts w:ascii="Abadi" w:hAnsi="Abadi"/>
                <w:sz w:val="21"/>
                <w:szCs w:val="21"/>
              </w:rPr>
              <w:t>El magistrado presidente del Tribunal de Justicia Administrativa del Estado de Guanajuato remite respuesta a la consulta de la iniciativa que adiciona un Capítulo Octavo al TÍTULO SEGUNDO de la Ley de Hacienda para el Estado de Guanajuato.</w:t>
            </w:r>
          </w:p>
        </w:tc>
        <w:tc>
          <w:tcPr>
            <w:tcW w:w="1886" w:type="dxa"/>
          </w:tcPr>
          <w:p w14:paraId="616FBF8F" w14:textId="4293850D" w:rsidR="004E6C29" w:rsidRPr="00BE598E" w:rsidRDefault="00BE598E" w:rsidP="00BE598E">
            <w:pPr>
              <w:autoSpaceDE w:val="0"/>
              <w:autoSpaceDN w:val="0"/>
              <w:adjustRightInd w:val="0"/>
              <w:jc w:val="both"/>
              <w:rPr>
                <w:rFonts w:ascii="Abadi" w:hAnsi="Abadi"/>
                <w:b/>
                <w:bCs/>
                <w:sz w:val="21"/>
                <w:szCs w:val="21"/>
              </w:rPr>
            </w:pPr>
            <w:r w:rsidRPr="00BE598E">
              <w:rPr>
                <w:rFonts w:ascii="Abadi" w:hAnsi="Abadi"/>
                <w:b/>
                <w:bCs/>
                <w:sz w:val="21"/>
                <w:szCs w:val="21"/>
              </w:rPr>
              <w:t>Enterados y se informa que se turnó a las Comisiones Unidas de Hacienda y Fiscalización y de Gobernación y Puntos Constitucionales.</w:t>
            </w:r>
          </w:p>
        </w:tc>
      </w:tr>
      <w:tr w:rsidR="004E6C29" w:rsidRPr="008E2292" w14:paraId="06C3137E" w14:textId="77777777" w:rsidTr="00724EA0">
        <w:tc>
          <w:tcPr>
            <w:tcW w:w="2494" w:type="dxa"/>
          </w:tcPr>
          <w:p w14:paraId="2B9CE686" w14:textId="56CC4365" w:rsidR="004E6C29" w:rsidRPr="00BE598E" w:rsidRDefault="00BE598E" w:rsidP="00DD102A">
            <w:pPr>
              <w:autoSpaceDE w:val="0"/>
              <w:autoSpaceDN w:val="0"/>
              <w:adjustRightInd w:val="0"/>
              <w:jc w:val="both"/>
            </w:pPr>
            <w:r w:rsidRPr="00BE598E">
              <w:rPr>
                <w:rFonts w:ascii="Abadi" w:hAnsi="Abadi"/>
                <w:sz w:val="21"/>
                <w:szCs w:val="21"/>
              </w:rPr>
              <w:t xml:space="preserve">El Auditor Superior del Estado de Guanajuato remite dictamen de No Prosecución de la Acción Civil por insuficiencia jurídica, relativo a la auditoría a los recursos del Ramo 33 y obra pública del municipio de San Miguel de Allende, </w:t>
            </w:r>
            <w:proofErr w:type="spellStart"/>
            <w:r w:rsidRPr="00BE598E">
              <w:rPr>
                <w:rFonts w:ascii="Abadi" w:hAnsi="Abadi"/>
                <w:sz w:val="21"/>
                <w:szCs w:val="21"/>
              </w:rPr>
              <w:t>Gto</w:t>
            </w:r>
            <w:proofErr w:type="spellEnd"/>
            <w:r w:rsidRPr="00BE598E">
              <w:rPr>
                <w:rFonts w:ascii="Abadi" w:hAnsi="Abadi"/>
                <w:sz w:val="21"/>
                <w:szCs w:val="21"/>
              </w:rPr>
              <w:t>., correspondiente al ejercicio fiscal 2010.</w:t>
            </w:r>
          </w:p>
        </w:tc>
        <w:tc>
          <w:tcPr>
            <w:tcW w:w="1886" w:type="dxa"/>
          </w:tcPr>
          <w:p w14:paraId="3D44782C" w14:textId="51CCCE8F" w:rsidR="004E6C29" w:rsidRPr="00BE598E" w:rsidRDefault="00BE598E" w:rsidP="00DD102A">
            <w:pPr>
              <w:autoSpaceDE w:val="0"/>
              <w:autoSpaceDN w:val="0"/>
              <w:adjustRightInd w:val="0"/>
              <w:jc w:val="both"/>
            </w:pPr>
            <w:r w:rsidRPr="00BE598E">
              <w:rPr>
                <w:rFonts w:ascii="Abadi" w:hAnsi="Abadi"/>
                <w:b/>
                <w:bCs/>
                <w:sz w:val="21"/>
                <w:szCs w:val="21"/>
              </w:rPr>
              <w:t>Enterados y se integra la información a su expediente que obra en el archivo de este Congreso del Estado.</w:t>
            </w:r>
          </w:p>
        </w:tc>
      </w:tr>
      <w:tr w:rsidR="00B82D1B" w:rsidRPr="008E2292" w14:paraId="0F6EC5FD" w14:textId="77777777" w:rsidTr="00724EA0">
        <w:tc>
          <w:tcPr>
            <w:tcW w:w="2494" w:type="dxa"/>
          </w:tcPr>
          <w:p w14:paraId="1DE21578" w14:textId="2A2D3BF7" w:rsidR="00B82D1B" w:rsidRPr="00BE598E" w:rsidRDefault="00B82D1B" w:rsidP="00DD102A">
            <w:pPr>
              <w:autoSpaceDE w:val="0"/>
              <w:autoSpaceDN w:val="0"/>
              <w:adjustRightInd w:val="0"/>
              <w:jc w:val="both"/>
              <w:rPr>
                <w:rFonts w:ascii="Abadi" w:hAnsi="Abadi"/>
                <w:sz w:val="21"/>
                <w:szCs w:val="21"/>
              </w:rPr>
            </w:pPr>
            <w:r w:rsidRPr="00B82D1B">
              <w:rPr>
                <w:rFonts w:ascii="Abadi" w:hAnsi="Abadi"/>
                <w:sz w:val="21"/>
                <w:szCs w:val="21"/>
              </w:rPr>
              <w:t>La actuaria del Tribunal Estatal Electoral de Guanajuato remite solicitud de auxilio de notificación del recurso de revisión dentro del procedimiento especial sancionador SUP-RES</w:t>
            </w:r>
            <w:r w:rsidR="00A916F3">
              <w:rPr>
                <w:rFonts w:ascii="Abadi" w:hAnsi="Abadi"/>
                <w:sz w:val="21"/>
                <w:szCs w:val="21"/>
              </w:rPr>
              <w:t>-</w:t>
            </w:r>
            <w:r w:rsidRPr="00B82D1B">
              <w:rPr>
                <w:rFonts w:ascii="Abadi" w:hAnsi="Abadi"/>
                <w:sz w:val="21"/>
                <w:szCs w:val="21"/>
              </w:rPr>
              <w:t>256/2022.</w:t>
            </w:r>
          </w:p>
        </w:tc>
        <w:tc>
          <w:tcPr>
            <w:tcW w:w="1886" w:type="dxa"/>
          </w:tcPr>
          <w:p w14:paraId="055E5851" w14:textId="76D9714A" w:rsidR="00B82D1B" w:rsidRPr="00BE598E" w:rsidRDefault="00B82D1B" w:rsidP="00DD102A">
            <w:pPr>
              <w:autoSpaceDE w:val="0"/>
              <w:autoSpaceDN w:val="0"/>
              <w:adjustRightInd w:val="0"/>
              <w:jc w:val="both"/>
              <w:rPr>
                <w:rFonts w:ascii="Abadi" w:hAnsi="Abadi"/>
                <w:b/>
                <w:bCs/>
                <w:sz w:val="21"/>
                <w:szCs w:val="21"/>
              </w:rPr>
            </w:pPr>
            <w:r w:rsidRPr="00B82D1B">
              <w:rPr>
                <w:rFonts w:ascii="Abadi" w:hAnsi="Abadi"/>
                <w:b/>
                <w:bCs/>
                <w:sz w:val="21"/>
                <w:szCs w:val="21"/>
              </w:rPr>
              <w:t>Enterados.</w:t>
            </w:r>
          </w:p>
        </w:tc>
      </w:tr>
      <w:tr w:rsidR="00B82D1B" w:rsidRPr="008E2292" w14:paraId="709B0FA5" w14:textId="77777777" w:rsidTr="00724EA0">
        <w:tc>
          <w:tcPr>
            <w:tcW w:w="2494" w:type="dxa"/>
          </w:tcPr>
          <w:p w14:paraId="43EF6FD0" w14:textId="499F9656" w:rsidR="00B82D1B" w:rsidRPr="00BE598E" w:rsidRDefault="00B82D1B" w:rsidP="00DD102A">
            <w:pPr>
              <w:autoSpaceDE w:val="0"/>
              <w:autoSpaceDN w:val="0"/>
              <w:adjustRightInd w:val="0"/>
              <w:jc w:val="both"/>
              <w:rPr>
                <w:rFonts w:ascii="Abadi" w:hAnsi="Abadi"/>
                <w:sz w:val="21"/>
                <w:szCs w:val="21"/>
              </w:rPr>
            </w:pPr>
            <w:r w:rsidRPr="00B82D1B">
              <w:rPr>
                <w:rFonts w:ascii="Abadi" w:hAnsi="Abadi"/>
                <w:sz w:val="21"/>
                <w:szCs w:val="21"/>
              </w:rPr>
              <w:t>La abogada general de la Universidad de Guanajuato solicita se expidan constancias de participación a profesoras y profesores que remitieron aportaciones a iniciativas turnadas a la Comisión de Salud Pública.</w:t>
            </w:r>
          </w:p>
        </w:tc>
        <w:tc>
          <w:tcPr>
            <w:tcW w:w="1886" w:type="dxa"/>
          </w:tcPr>
          <w:p w14:paraId="53A15DDF" w14:textId="3E2F6C4E" w:rsidR="00B82D1B" w:rsidRPr="00BE598E" w:rsidRDefault="00B82D1B" w:rsidP="00DD102A">
            <w:pPr>
              <w:autoSpaceDE w:val="0"/>
              <w:autoSpaceDN w:val="0"/>
              <w:adjustRightInd w:val="0"/>
              <w:jc w:val="both"/>
              <w:rPr>
                <w:rFonts w:ascii="Abadi" w:hAnsi="Abadi"/>
                <w:b/>
                <w:bCs/>
                <w:sz w:val="21"/>
                <w:szCs w:val="21"/>
              </w:rPr>
            </w:pPr>
            <w:r w:rsidRPr="00B82D1B">
              <w:rPr>
                <w:rFonts w:ascii="Abadi" w:hAnsi="Abadi"/>
                <w:b/>
                <w:bCs/>
                <w:sz w:val="21"/>
                <w:szCs w:val="21"/>
              </w:rPr>
              <w:t>Enterados y se turna a la Comisión de Salud Pública.</w:t>
            </w:r>
          </w:p>
        </w:tc>
      </w:tr>
      <w:tr w:rsidR="00B82D1B" w:rsidRPr="008E2292" w14:paraId="21FAAE11" w14:textId="77777777" w:rsidTr="00724EA0">
        <w:tc>
          <w:tcPr>
            <w:tcW w:w="2494" w:type="dxa"/>
          </w:tcPr>
          <w:p w14:paraId="31525EA2" w14:textId="6BC3262F" w:rsidR="00B82D1B" w:rsidRPr="00BE598E" w:rsidRDefault="00B82D1B" w:rsidP="00DD102A">
            <w:pPr>
              <w:autoSpaceDE w:val="0"/>
              <w:autoSpaceDN w:val="0"/>
              <w:adjustRightInd w:val="0"/>
              <w:jc w:val="both"/>
              <w:rPr>
                <w:rFonts w:ascii="Abadi" w:hAnsi="Abadi"/>
                <w:sz w:val="21"/>
                <w:szCs w:val="21"/>
              </w:rPr>
            </w:pPr>
            <w:r w:rsidRPr="00B82D1B">
              <w:rPr>
                <w:rFonts w:ascii="Abadi" w:hAnsi="Abadi"/>
                <w:sz w:val="21"/>
                <w:szCs w:val="21"/>
              </w:rPr>
              <w:t>La coordinadora general Jurídica del Gobierno del Estado remite respuesta consolidada con la Secretaría de Educación y el Instituto para las Mujeres Guanajuatenses a la consulta de dos iniciativas: la primera, de reforma a diversos artículos de la Ley de Acceso de las Mujeres a una Vida Libre de Violencia para el Estado de Guanajuato; y la segunda, de reforma a los artículos 42, fracción X; 128 fracción VI, 135 y 160 de la Ley de Educación para el Estado de Guanajuato, y 21 y 22 fracción II de la Ley para la Igualdad entre Mujeres y Hombres del Estado de Guanajuato.</w:t>
            </w:r>
          </w:p>
        </w:tc>
        <w:tc>
          <w:tcPr>
            <w:tcW w:w="1886" w:type="dxa"/>
          </w:tcPr>
          <w:p w14:paraId="40052F77" w14:textId="58EDB42F" w:rsidR="00B82D1B" w:rsidRPr="00B82D1B" w:rsidRDefault="00B82D1B" w:rsidP="00DD102A">
            <w:pPr>
              <w:autoSpaceDE w:val="0"/>
              <w:autoSpaceDN w:val="0"/>
              <w:adjustRightInd w:val="0"/>
              <w:jc w:val="both"/>
              <w:rPr>
                <w:rFonts w:ascii="Abadi" w:hAnsi="Abadi"/>
                <w:b/>
                <w:bCs/>
                <w:sz w:val="21"/>
                <w:szCs w:val="21"/>
              </w:rPr>
            </w:pPr>
            <w:r w:rsidRPr="00B82D1B">
              <w:rPr>
                <w:rFonts w:ascii="Abadi" w:hAnsi="Abadi"/>
                <w:b/>
                <w:bCs/>
                <w:sz w:val="21"/>
                <w:szCs w:val="21"/>
              </w:rPr>
              <w:t>Enterados y se informa que se turnó a la Comisión para la Igualdad de Género.</w:t>
            </w:r>
          </w:p>
        </w:tc>
      </w:tr>
      <w:tr w:rsidR="00B82D1B" w:rsidRPr="008E2292" w14:paraId="01DBBAA3" w14:textId="77777777" w:rsidTr="00724EA0">
        <w:tc>
          <w:tcPr>
            <w:tcW w:w="2494" w:type="dxa"/>
          </w:tcPr>
          <w:p w14:paraId="71BA28E2" w14:textId="149E37A6" w:rsidR="00B82D1B" w:rsidRPr="00BE598E" w:rsidRDefault="00B82D1B" w:rsidP="00DD102A">
            <w:pPr>
              <w:autoSpaceDE w:val="0"/>
              <w:autoSpaceDN w:val="0"/>
              <w:adjustRightInd w:val="0"/>
              <w:jc w:val="both"/>
              <w:rPr>
                <w:rFonts w:ascii="Abadi" w:hAnsi="Abadi"/>
                <w:sz w:val="21"/>
                <w:szCs w:val="21"/>
              </w:rPr>
            </w:pPr>
            <w:r w:rsidRPr="00B82D1B">
              <w:rPr>
                <w:rFonts w:ascii="Abadi" w:hAnsi="Abadi"/>
                <w:sz w:val="21"/>
                <w:szCs w:val="21"/>
              </w:rPr>
              <w:t>La secretaria ejecutiva del Instituto Electoral del Estado de Guanajuato remite copia certificada de la resolución del recurso de revocación 4/2022-REV-CG, aprobada en la sesión extraordinaria del Consejo General de dicho Instituto.</w:t>
            </w:r>
          </w:p>
        </w:tc>
        <w:tc>
          <w:tcPr>
            <w:tcW w:w="1886" w:type="dxa"/>
          </w:tcPr>
          <w:p w14:paraId="0DBF603D" w14:textId="6015852D" w:rsidR="00B82D1B" w:rsidRPr="00B82D1B" w:rsidRDefault="00B82D1B" w:rsidP="00DD102A">
            <w:pPr>
              <w:autoSpaceDE w:val="0"/>
              <w:autoSpaceDN w:val="0"/>
              <w:adjustRightInd w:val="0"/>
              <w:jc w:val="both"/>
              <w:rPr>
                <w:rFonts w:ascii="Abadi" w:hAnsi="Abadi"/>
                <w:b/>
                <w:bCs/>
                <w:sz w:val="21"/>
                <w:szCs w:val="21"/>
              </w:rPr>
            </w:pPr>
            <w:r w:rsidRPr="00B82D1B">
              <w:rPr>
                <w:rFonts w:ascii="Abadi" w:hAnsi="Abadi"/>
                <w:b/>
                <w:bCs/>
                <w:sz w:val="21"/>
                <w:szCs w:val="21"/>
              </w:rPr>
              <w:t>Enterados y se turna a la Comisión de Gobernación y Puntos Constitucionales</w:t>
            </w:r>
          </w:p>
        </w:tc>
      </w:tr>
      <w:tr w:rsidR="004E6C29" w14:paraId="54336945" w14:textId="77777777" w:rsidTr="00343DB4">
        <w:tc>
          <w:tcPr>
            <w:tcW w:w="4380" w:type="dxa"/>
            <w:gridSpan w:val="2"/>
            <w:shd w:val="clear" w:color="auto" w:fill="DDD9C3" w:themeFill="background2" w:themeFillShade="E6"/>
          </w:tcPr>
          <w:p w14:paraId="6D89A2B2" w14:textId="350AD952" w:rsidR="004E6C29" w:rsidRPr="005C6814" w:rsidRDefault="004E6C29" w:rsidP="004E6C29">
            <w:pPr>
              <w:jc w:val="both"/>
              <w:rPr>
                <w:rFonts w:ascii="Abadi" w:hAnsi="Abadi"/>
                <w:b/>
                <w:bCs/>
                <w:sz w:val="21"/>
                <w:szCs w:val="21"/>
              </w:rPr>
            </w:pPr>
            <w:r>
              <w:rPr>
                <w:rFonts w:ascii="Abadi" w:hAnsi="Abadi"/>
                <w:b/>
                <w:bCs/>
                <w:sz w:val="21"/>
                <w:szCs w:val="21"/>
              </w:rPr>
              <w:t>III. Comunicados provenientes de los ayuntamientos del Estado.</w:t>
            </w:r>
          </w:p>
        </w:tc>
      </w:tr>
      <w:tr w:rsidR="004E6C29" w:rsidRPr="006E1C84" w14:paraId="36C68DD8" w14:textId="77777777" w:rsidTr="00724EA0">
        <w:tc>
          <w:tcPr>
            <w:tcW w:w="2494" w:type="dxa"/>
          </w:tcPr>
          <w:p w14:paraId="494AEB93" w14:textId="77777777" w:rsidR="00A916F3" w:rsidRDefault="00B82D1B" w:rsidP="00D04C25">
            <w:pPr>
              <w:autoSpaceDE w:val="0"/>
              <w:autoSpaceDN w:val="0"/>
              <w:adjustRightInd w:val="0"/>
              <w:jc w:val="both"/>
              <w:rPr>
                <w:rFonts w:ascii="Abadi" w:hAnsi="Abadi"/>
                <w:sz w:val="21"/>
                <w:szCs w:val="21"/>
              </w:rPr>
            </w:pPr>
            <w:r w:rsidRPr="00B82D1B">
              <w:rPr>
                <w:rFonts w:ascii="Abadi" w:hAnsi="Abadi"/>
                <w:sz w:val="21"/>
                <w:szCs w:val="21"/>
              </w:rPr>
              <w:t xml:space="preserve">El secretario del ayuntamiento de Celaya, </w:t>
            </w:r>
            <w:proofErr w:type="spellStart"/>
            <w:r w:rsidRPr="00B82D1B">
              <w:rPr>
                <w:rFonts w:ascii="Abadi" w:hAnsi="Abadi"/>
                <w:sz w:val="21"/>
                <w:szCs w:val="21"/>
              </w:rPr>
              <w:t>Gto</w:t>
            </w:r>
            <w:proofErr w:type="spellEnd"/>
            <w:r w:rsidRPr="00B82D1B">
              <w:rPr>
                <w:rFonts w:ascii="Abadi" w:hAnsi="Abadi"/>
                <w:sz w:val="21"/>
                <w:szCs w:val="21"/>
              </w:rPr>
              <w:t xml:space="preserve">., remite copia certificada del acta de ayuntamiento y cuadernillo de la primera modificación al presupuesto de ingresos y egresos del ejercicio fiscal 2022. </w:t>
            </w:r>
          </w:p>
          <w:p w14:paraId="65C22104" w14:textId="63798E09" w:rsidR="00A916F3" w:rsidRDefault="00B82D1B" w:rsidP="00D04C25">
            <w:pPr>
              <w:autoSpaceDE w:val="0"/>
              <w:autoSpaceDN w:val="0"/>
              <w:adjustRightInd w:val="0"/>
              <w:jc w:val="both"/>
              <w:rPr>
                <w:rFonts w:ascii="Abadi" w:hAnsi="Abadi"/>
                <w:sz w:val="21"/>
                <w:szCs w:val="21"/>
              </w:rPr>
            </w:pPr>
            <w:r w:rsidRPr="00B82D1B">
              <w:rPr>
                <w:rFonts w:ascii="Abadi" w:hAnsi="Abadi"/>
                <w:sz w:val="21"/>
                <w:szCs w:val="21"/>
              </w:rPr>
              <w:t xml:space="preserve">El secretario del ayuntamiento de Coroneo, </w:t>
            </w:r>
            <w:proofErr w:type="spellStart"/>
            <w:r w:rsidRPr="00B82D1B">
              <w:rPr>
                <w:rFonts w:ascii="Abadi" w:hAnsi="Abadi"/>
                <w:sz w:val="21"/>
                <w:szCs w:val="21"/>
              </w:rPr>
              <w:t>Gto</w:t>
            </w:r>
            <w:proofErr w:type="spellEnd"/>
            <w:r w:rsidRPr="00B82D1B">
              <w:rPr>
                <w:rFonts w:ascii="Abadi" w:hAnsi="Abadi"/>
                <w:sz w:val="21"/>
                <w:szCs w:val="21"/>
              </w:rPr>
              <w:t xml:space="preserve">., remite copia certificada del acuerdo dictado con motivo de la remisión del informe de resultados, dictamen y acuerdo aprobados por esta Legislatura, relativos a la auditoría practicada a la infraestructura pública municipal, correspondiente al periodo comprendido del 1 de enero al 31 de diciembre del ejercicio fiscal 2020. </w:t>
            </w:r>
          </w:p>
          <w:p w14:paraId="56706590" w14:textId="77777777" w:rsidR="00A916F3" w:rsidRDefault="00B82D1B" w:rsidP="00D04C25">
            <w:pPr>
              <w:autoSpaceDE w:val="0"/>
              <w:autoSpaceDN w:val="0"/>
              <w:adjustRightInd w:val="0"/>
              <w:jc w:val="both"/>
              <w:rPr>
                <w:rFonts w:ascii="Abadi" w:hAnsi="Abadi"/>
                <w:sz w:val="21"/>
                <w:szCs w:val="21"/>
              </w:rPr>
            </w:pPr>
            <w:r w:rsidRPr="00B82D1B">
              <w:rPr>
                <w:rFonts w:ascii="Abadi" w:hAnsi="Abadi"/>
                <w:sz w:val="21"/>
                <w:szCs w:val="21"/>
              </w:rPr>
              <w:t xml:space="preserve">El secretario del ayuntamiento de San Francisco del Rincón, </w:t>
            </w:r>
            <w:proofErr w:type="spellStart"/>
            <w:r w:rsidRPr="00B82D1B">
              <w:rPr>
                <w:rFonts w:ascii="Abadi" w:hAnsi="Abadi"/>
                <w:sz w:val="21"/>
                <w:szCs w:val="21"/>
              </w:rPr>
              <w:t>Gto</w:t>
            </w:r>
            <w:proofErr w:type="spellEnd"/>
            <w:r w:rsidRPr="00B82D1B">
              <w:rPr>
                <w:rFonts w:ascii="Abadi" w:hAnsi="Abadi"/>
                <w:sz w:val="21"/>
                <w:szCs w:val="21"/>
              </w:rPr>
              <w:t>., notifica el acuerdo recaído al informe de resultados, dictamen y acuerdo aprobados por esta Legislatura, relativos a la auditoría practicada a la infraestructura pública municipal, respecto de las</w:t>
            </w:r>
            <w:r>
              <w:rPr>
                <w:rFonts w:ascii="Abadi" w:hAnsi="Abadi"/>
                <w:sz w:val="21"/>
                <w:szCs w:val="21"/>
              </w:rPr>
              <w:t xml:space="preserve"> </w:t>
            </w:r>
            <w:r w:rsidRPr="00B82D1B">
              <w:rPr>
                <w:rFonts w:ascii="Abadi" w:hAnsi="Abadi"/>
                <w:sz w:val="21"/>
                <w:szCs w:val="21"/>
              </w:rPr>
              <w:t xml:space="preserve">operaciones realizadas por dicha administración municipal, correspondientes al periodo comprendido del 1 de enero al 31 de diciembre del ejercicio fiscal 2020. </w:t>
            </w:r>
          </w:p>
          <w:p w14:paraId="535A5767" w14:textId="5A3C4D5A" w:rsidR="004E6C29" w:rsidRPr="00B82D1B" w:rsidRDefault="00B82D1B" w:rsidP="00D04C25">
            <w:pPr>
              <w:autoSpaceDE w:val="0"/>
              <w:autoSpaceDN w:val="0"/>
              <w:adjustRightInd w:val="0"/>
              <w:jc w:val="both"/>
              <w:rPr>
                <w:rFonts w:ascii="Abadi" w:hAnsi="Abadi"/>
                <w:sz w:val="21"/>
                <w:szCs w:val="21"/>
              </w:rPr>
            </w:pPr>
            <w:r w:rsidRPr="00B82D1B">
              <w:rPr>
                <w:rFonts w:ascii="Abadi" w:hAnsi="Abadi"/>
                <w:sz w:val="21"/>
                <w:szCs w:val="21"/>
              </w:rPr>
              <w:t xml:space="preserve">El secretario del ayuntamiento de Yuriria, </w:t>
            </w:r>
            <w:proofErr w:type="spellStart"/>
            <w:r w:rsidRPr="00B82D1B">
              <w:rPr>
                <w:rFonts w:ascii="Abadi" w:hAnsi="Abadi"/>
                <w:sz w:val="21"/>
                <w:szCs w:val="21"/>
              </w:rPr>
              <w:t>Gto</w:t>
            </w:r>
            <w:proofErr w:type="spellEnd"/>
            <w:r w:rsidRPr="00B82D1B">
              <w:rPr>
                <w:rFonts w:ascii="Abadi" w:hAnsi="Abadi"/>
                <w:sz w:val="21"/>
                <w:szCs w:val="21"/>
              </w:rPr>
              <w:t>., remite la segunda modificación al presupuesto de ingresos y egresos de la administración municipal y la primera modificación al presupuesto general de ingresos y egresos del Sistema Municipal para el Desarrollo Integral de la Familia, correspondientes al ejercicio fiscal 2022.</w:t>
            </w:r>
          </w:p>
        </w:tc>
        <w:tc>
          <w:tcPr>
            <w:tcW w:w="1886" w:type="dxa"/>
          </w:tcPr>
          <w:p w14:paraId="4BD7F45E" w14:textId="30B445C6" w:rsidR="004E6C29" w:rsidRPr="00690840" w:rsidRDefault="00B82D1B" w:rsidP="00B82D1B">
            <w:pPr>
              <w:autoSpaceDE w:val="0"/>
              <w:autoSpaceDN w:val="0"/>
              <w:adjustRightInd w:val="0"/>
              <w:jc w:val="both"/>
              <w:rPr>
                <w:rFonts w:ascii="Abadi" w:hAnsi="Abadi" w:cs="Calibri"/>
                <w:sz w:val="21"/>
                <w:szCs w:val="21"/>
                <w:lang w:val="es-MX" w:eastAsia="es-MX"/>
              </w:rPr>
            </w:pPr>
            <w:r w:rsidRPr="00B82D1B">
              <w:rPr>
                <w:rFonts w:ascii="Abadi" w:hAnsi="Abadi"/>
                <w:b/>
                <w:bCs/>
                <w:sz w:val="21"/>
                <w:szCs w:val="21"/>
              </w:rPr>
              <w:t>Enterados y se remiten a la Auditoría Superior del Estado de Guanajuato.</w:t>
            </w:r>
          </w:p>
        </w:tc>
      </w:tr>
      <w:tr w:rsidR="004E6C29" w:rsidRPr="00796E08" w14:paraId="0F55449E" w14:textId="77777777" w:rsidTr="00724EA0">
        <w:tc>
          <w:tcPr>
            <w:tcW w:w="2494" w:type="dxa"/>
          </w:tcPr>
          <w:p w14:paraId="4A69BE2B" w14:textId="13CBD461" w:rsidR="004E6C29" w:rsidRPr="00B82D1B" w:rsidRDefault="00B82D1B" w:rsidP="00D04C25">
            <w:pPr>
              <w:autoSpaceDE w:val="0"/>
              <w:autoSpaceDN w:val="0"/>
              <w:adjustRightInd w:val="0"/>
              <w:jc w:val="both"/>
              <w:rPr>
                <w:rFonts w:ascii="Abadi" w:hAnsi="Abadi"/>
                <w:sz w:val="21"/>
                <w:szCs w:val="21"/>
              </w:rPr>
            </w:pPr>
            <w:r w:rsidRPr="00B82D1B">
              <w:rPr>
                <w:rFonts w:ascii="Abadi" w:hAnsi="Abadi"/>
                <w:sz w:val="21"/>
                <w:szCs w:val="21"/>
              </w:rPr>
              <w:t>Los secretarios de los ayuntamientos de Coroneo, Irapuato Silao de la Victoria y Tarimoro; así como la presidenta y la secretaria de la Comisión de Desarrollo Social, Rural, Salud Pública y Asistencia Social del ayuntamiento de Victoria remiten respuesta al acuerdo aprobado por esta Legislatura en el que se exhorta a los 46 ayuntamientos, para que generen las estrategias sanitarias necesarias para reducir la cadena de contagios del COVID-19.</w:t>
            </w:r>
          </w:p>
        </w:tc>
        <w:tc>
          <w:tcPr>
            <w:tcW w:w="1886" w:type="dxa"/>
          </w:tcPr>
          <w:p w14:paraId="55B156A1" w14:textId="6D521739" w:rsidR="004E6C29" w:rsidRPr="00B82D1B" w:rsidRDefault="00B82D1B" w:rsidP="00D04C25">
            <w:pPr>
              <w:jc w:val="both"/>
              <w:rPr>
                <w:rFonts w:ascii="Abadi" w:hAnsi="Abadi"/>
                <w:b/>
                <w:bCs/>
                <w:sz w:val="21"/>
                <w:szCs w:val="21"/>
              </w:rPr>
            </w:pPr>
            <w:r w:rsidRPr="00B82D1B">
              <w:rPr>
                <w:rFonts w:ascii="Abadi" w:hAnsi="Abadi"/>
                <w:b/>
                <w:bCs/>
                <w:sz w:val="21"/>
                <w:szCs w:val="21"/>
              </w:rPr>
              <w:t>Enterados y se informa que se turnaron a la Comisión de Salud Pública.</w:t>
            </w:r>
          </w:p>
        </w:tc>
      </w:tr>
      <w:tr w:rsidR="004E6C29" w:rsidRPr="00796E08" w14:paraId="174B9566" w14:textId="77777777" w:rsidTr="00724EA0">
        <w:tc>
          <w:tcPr>
            <w:tcW w:w="2494" w:type="dxa"/>
          </w:tcPr>
          <w:p w14:paraId="70423FEE" w14:textId="77777777" w:rsidR="000F1D9B" w:rsidRDefault="00B82D1B" w:rsidP="00D04C25">
            <w:pPr>
              <w:jc w:val="both"/>
              <w:rPr>
                <w:rFonts w:ascii="Abadi" w:hAnsi="Abadi"/>
                <w:sz w:val="21"/>
                <w:szCs w:val="21"/>
              </w:rPr>
            </w:pPr>
            <w:r w:rsidRPr="00DC6BA4">
              <w:rPr>
                <w:rFonts w:ascii="Abadi" w:hAnsi="Abadi"/>
                <w:sz w:val="21"/>
                <w:szCs w:val="21"/>
              </w:rPr>
              <w:t xml:space="preserve">Los secretarios de los ayuntamientos de Coroneo e Irapuato remiten respuesta a la consulta de la iniciativa que reforma la fracción V del artículo 49 y la fracción I del artículo 53, y adiciona el artículo 12 bis, una fracción VII al artículo 13, una fracción VI al artículo 42, así como las fracciones XII y XIII al artículo 46 de la Ley del Trabajo de los Servidores Públicos al Servicio del Estado y de los Municipios. </w:t>
            </w:r>
          </w:p>
          <w:p w14:paraId="3AC8CC07" w14:textId="72BA4DA9" w:rsidR="004E6C29" w:rsidRPr="00DC6BA4" w:rsidRDefault="00B82D1B" w:rsidP="00D04C25">
            <w:pPr>
              <w:jc w:val="both"/>
              <w:rPr>
                <w:rFonts w:ascii="Abadi" w:hAnsi="Abadi"/>
                <w:sz w:val="21"/>
                <w:szCs w:val="21"/>
              </w:rPr>
            </w:pPr>
            <w:r w:rsidRPr="00DC6BA4">
              <w:rPr>
                <w:rFonts w:ascii="Abadi" w:hAnsi="Abadi"/>
                <w:sz w:val="21"/>
                <w:szCs w:val="21"/>
              </w:rPr>
              <w:t xml:space="preserve">El secretario del ayuntamiento de </w:t>
            </w:r>
            <w:proofErr w:type="spellStart"/>
            <w:r w:rsidRPr="00DC6BA4">
              <w:rPr>
                <w:rFonts w:ascii="Abadi" w:hAnsi="Abadi"/>
                <w:sz w:val="21"/>
                <w:szCs w:val="21"/>
              </w:rPr>
              <w:t>Cortazar</w:t>
            </w:r>
            <w:proofErr w:type="spellEnd"/>
            <w:r w:rsidRPr="00DC6BA4">
              <w:rPr>
                <w:rFonts w:ascii="Abadi" w:hAnsi="Abadi"/>
                <w:sz w:val="21"/>
                <w:szCs w:val="21"/>
              </w:rPr>
              <w:t xml:space="preserve">, </w:t>
            </w:r>
            <w:proofErr w:type="spellStart"/>
            <w:r w:rsidRPr="00DC6BA4">
              <w:rPr>
                <w:rFonts w:ascii="Abadi" w:hAnsi="Abadi"/>
                <w:sz w:val="21"/>
                <w:szCs w:val="21"/>
              </w:rPr>
              <w:t>Gto</w:t>
            </w:r>
            <w:proofErr w:type="spellEnd"/>
            <w:r w:rsidRPr="00DC6BA4">
              <w:rPr>
                <w:rFonts w:ascii="Abadi" w:hAnsi="Abadi"/>
                <w:sz w:val="21"/>
                <w:szCs w:val="21"/>
              </w:rPr>
              <w:t>., remite respuesta a la consulta de tres iniciativas: la primera, de Ley de Asistencia a Víctimas de Coaching Coercitivo, Sectas y Líderes Grupales o Unipersonales que Ejerzan Persuasión y Abusos en el Estado de Guanajuato, y de reforma al artículo 213 del Código Penal del Estado de Guanajuato, en lo que corresponde al primero de los</w:t>
            </w:r>
            <w:r w:rsidR="00DC6BA4">
              <w:rPr>
                <w:rFonts w:ascii="Abadi" w:hAnsi="Abadi"/>
                <w:sz w:val="21"/>
                <w:szCs w:val="21"/>
              </w:rPr>
              <w:t xml:space="preserve"> </w:t>
            </w:r>
            <w:r w:rsidR="00DC6BA4" w:rsidRPr="00DC6BA4">
              <w:rPr>
                <w:rFonts w:ascii="Abadi" w:hAnsi="Abadi"/>
                <w:sz w:val="21"/>
                <w:szCs w:val="21"/>
              </w:rPr>
              <w:t>ordenamientos; la segunda, que reforma el artículo 24 bis de la Ley de Planeación para el Estado de Guanajuato y el artículo 38 de la Ley para la Igualdad entre Hombres y Mujeres del Estado de Guanajuato, en lo que corresponde al primero de los ordenamientos; y la tercera, que reforma y adiciona diversas disposiciones de la Constitución Política para el Estado de Guanajuato y de la Ley Orgánica Municipal para el Estado de Guanajuato, en lo que corresponde al primero de los ordenamientos</w:t>
            </w:r>
          </w:p>
        </w:tc>
        <w:tc>
          <w:tcPr>
            <w:tcW w:w="1886" w:type="dxa"/>
          </w:tcPr>
          <w:p w14:paraId="4447F33F" w14:textId="4AFF22E2" w:rsidR="004E6C29" w:rsidRPr="00DC6BA4" w:rsidRDefault="00DC6BA4" w:rsidP="00D04C25">
            <w:pPr>
              <w:jc w:val="both"/>
              <w:rPr>
                <w:rFonts w:ascii="Abadi" w:hAnsi="Abadi"/>
                <w:b/>
                <w:bCs/>
                <w:sz w:val="21"/>
                <w:szCs w:val="21"/>
              </w:rPr>
            </w:pPr>
            <w:r w:rsidRPr="00DC6BA4">
              <w:rPr>
                <w:rFonts w:ascii="Abadi" w:hAnsi="Abadi"/>
                <w:b/>
                <w:bCs/>
                <w:sz w:val="21"/>
                <w:szCs w:val="21"/>
              </w:rPr>
              <w:t>Enterados y se informa que se turnaron a la Comisión de Gobernación y Puntos Constitucionales.</w:t>
            </w:r>
          </w:p>
        </w:tc>
      </w:tr>
      <w:tr w:rsidR="004E6C29" w:rsidRPr="00313E40" w14:paraId="7CA35DF7" w14:textId="77777777" w:rsidTr="00724EA0">
        <w:tc>
          <w:tcPr>
            <w:tcW w:w="2494" w:type="dxa"/>
          </w:tcPr>
          <w:p w14:paraId="11AB12F8" w14:textId="35C469DA" w:rsidR="00AD1F76" w:rsidRPr="00DC6BA4" w:rsidRDefault="00DC6BA4" w:rsidP="002A50B9">
            <w:pPr>
              <w:pStyle w:val="TableParagraph"/>
              <w:kinsoku w:val="0"/>
              <w:overflowPunct w:val="0"/>
              <w:spacing w:line="276" w:lineRule="auto"/>
              <w:ind w:left="59" w:right="49"/>
              <w:jc w:val="both"/>
              <w:rPr>
                <w:rFonts w:ascii="Abadi" w:eastAsia="Times New Roman" w:hAnsi="Abadi" w:cs="Times New Roman"/>
                <w:sz w:val="21"/>
                <w:szCs w:val="21"/>
                <w:lang w:val="es-ES" w:eastAsia="es-ES"/>
              </w:rPr>
            </w:pPr>
            <w:r w:rsidRPr="00DC6BA4">
              <w:rPr>
                <w:rFonts w:ascii="Abadi" w:eastAsia="Times New Roman" w:hAnsi="Abadi" w:cs="Times New Roman"/>
                <w:sz w:val="21"/>
                <w:szCs w:val="21"/>
                <w:lang w:val="es-ES" w:eastAsia="es-ES"/>
              </w:rPr>
              <w:t xml:space="preserve">El secretario del ayuntamiento de Coroneo, </w:t>
            </w:r>
            <w:proofErr w:type="spellStart"/>
            <w:r w:rsidRPr="00DC6BA4">
              <w:rPr>
                <w:rFonts w:ascii="Abadi" w:eastAsia="Times New Roman" w:hAnsi="Abadi" w:cs="Times New Roman"/>
                <w:sz w:val="21"/>
                <w:szCs w:val="21"/>
                <w:lang w:val="es-ES" w:eastAsia="es-ES"/>
              </w:rPr>
              <w:t>Gto</w:t>
            </w:r>
            <w:proofErr w:type="spellEnd"/>
            <w:r w:rsidRPr="00DC6BA4">
              <w:rPr>
                <w:rFonts w:ascii="Abadi" w:eastAsia="Times New Roman" w:hAnsi="Abadi" w:cs="Times New Roman"/>
                <w:sz w:val="21"/>
                <w:szCs w:val="21"/>
                <w:lang w:val="es-ES" w:eastAsia="es-ES"/>
              </w:rPr>
              <w:t>., remite respuesta a la consulta de la iniciativa que adiciona un artículo 168-a al Código Penal del Estado de Guanajuato, y deroga el artículo 257 de la Ley de Movilidad del Estado de Guanajuato y sus Municipios, en lo que corresponde al primero de los ordenamientos.</w:t>
            </w:r>
          </w:p>
        </w:tc>
        <w:tc>
          <w:tcPr>
            <w:tcW w:w="1886" w:type="dxa"/>
          </w:tcPr>
          <w:p w14:paraId="6B03676B" w14:textId="12191A76" w:rsidR="004E6C29" w:rsidRPr="00DC6BA4" w:rsidRDefault="00DC6BA4" w:rsidP="002A50B9">
            <w:pPr>
              <w:jc w:val="both"/>
              <w:rPr>
                <w:rFonts w:ascii="Abadi" w:hAnsi="Abadi"/>
                <w:b/>
                <w:bCs/>
                <w:sz w:val="21"/>
                <w:szCs w:val="21"/>
              </w:rPr>
            </w:pPr>
            <w:r w:rsidRPr="00DC6BA4">
              <w:rPr>
                <w:rFonts w:ascii="Abadi" w:hAnsi="Abadi"/>
                <w:b/>
                <w:bCs/>
                <w:sz w:val="21"/>
                <w:szCs w:val="21"/>
              </w:rPr>
              <w:t>Enterados y se informa que se turnó a la Comisión de Justicia.</w:t>
            </w:r>
          </w:p>
        </w:tc>
      </w:tr>
      <w:tr w:rsidR="004E6C29" w:rsidRPr="008429AF" w14:paraId="34C0554A" w14:textId="77777777" w:rsidTr="00724EA0">
        <w:tc>
          <w:tcPr>
            <w:tcW w:w="2494" w:type="dxa"/>
          </w:tcPr>
          <w:p w14:paraId="2AE98788" w14:textId="747C4082" w:rsidR="004E6C29" w:rsidRPr="00DC6BA4" w:rsidRDefault="00DC6BA4" w:rsidP="00FA75AF">
            <w:pPr>
              <w:jc w:val="both"/>
              <w:rPr>
                <w:rFonts w:ascii="Abadi" w:hAnsi="Abadi"/>
                <w:sz w:val="21"/>
                <w:szCs w:val="21"/>
              </w:rPr>
            </w:pPr>
            <w:r w:rsidRPr="00DC6BA4">
              <w:rPr>
                <w:rFonts w:ascii="Abadi" w:hAnsi="Abadi"/>
                <w:sz w:val="21"/>
                <w:szCs w:val="21"/>
              </w:rPr>
              <w:t xml:space="preserve">El secretario del ayuntamiento de </w:t>
            </w:r>
            <w:proofErr w:type="spellStart"/>
            <w:r w:rsidRPr="00DC6BA4">
              <w:rPr>
                <w:rFonts w:ascii="Abadi" w:hAnsi="Abadi"/>
                <w:sz w:val="21"/>
                <w:szCs w:val="21"/>
              </w:rPr>
              <w:t>Cortazar</w:t>
            </w:r>
            <w:proofErr w:type="spellEnd"/>
            <w:r w:rsidRPr="00DC6BA4">
              <w:rPr>
                <w:rFonts w:ascii="Abadi" w:hAnsi="Abadi"/>
                <w:sz w:val="21"/>
                <w:szCs w:val="21"/>
              </w:rPr>
              <w:t xml:space="preserve">, </w:t>
            </w:r>
            <w:proofErr w:type="spellStart"/>
            <w:r w:rsidRPr="00DC6BA4">
              <w:rPr>
                <w:rFonts w:ascii="Abadi" w:hAnsi="Abadi"/>
                <w:sz w:val="21"/>
                <w:szCs w:val="21"/>
              </w:rPr>
              <w:t>Gto</w:t>
            </w:r>
            <w:proofErr w:type="spellEnd"/>
            <w:r w:rsidRPr="00DC6BA4">
              <w:rPr>
                <w:rFonts w:ascii="Abadi" w:hAnsi="Abadi"/>
                <w:sz w:val="21"/>
                <w:szCs w:val="21"/>
              </w:rPr>
              <w:t>., remite respuesta a la consulta de dos iniciativas: la primera, que reforma y adiciona diversas disposiciones de la Constitución Política para el Estado de Guanajuato y de la Ley Orgánica Municipal para el Estado de Guanajuato, en la parte correspondiente al segundo de los ordenamientos; y la segunda, que reforma diversas leyes estatales, en materia de inclusión laboral de las personas transgénero, travestis y transexuales en el sector público, en la parte correspondiente a la reforma a la Ley Orgánica Municipal.</w:t>
            </w:r>
          </w:p>
        </w:tc>
        <w:tc>
          <w:tcPr>
            <w:tcW w:w="1886" w:type="dxa"/>
          </w:tcPr>
          <w:p w14:paraId="5C0130F7" w14:textId="7DE0134A" w:rsidR="004E6C29" w:rsidRPr="00DC6BA4" w:rsidRDefault="00DC6BA4" w:rsidP="00FA75AF">
            <w:pPr>
              <w:jc w:val="both"/>
              <w:rPr>
                <w:rFonts w:ascii="Abadi" w:hAnsi="Abadi"/>
                <w:sz w:val="21"/>
                <w:szCs w:val="21"/>
              </w:rPr>
            </w:pPr>
            <w:r w:rsidRPr="00DC6BA4">
              <w:rPr>
                <w:rFonts w:ascii="Abadi" w:hAnsi="Abadi"/>
                <w:b/>
                <w:bCs/>
                <w:sz w:val="21"/>
                <w:szCs w:val="21"/>
              </w:rPr>
              <w:t>Enterados y se informa que se turnaron a la Comisión de Asuntos Municipales.</w:t>
            </w:r>
          </w:p>
        </w:tc>
      </w:tr>
      <w:tr w:rsidR="004E6C29" w:rsidRPr="008429AF" w14:paraId="77E2BFC0" w14:textId="77777777" w:rsidTr="00724EA0">
        <w:tc>
          <w:tcPr>
            <w:tcW w:w="2494" w:type="dxa"/>
          </w:tcPr>
          <w:p w14:paraId="3824E24E" w14:textId="77777777" w:rsidR="004E6C29" w:rsidRDefault="00DC6BA4" w:rsidP="00DC6BA4">
            <w:pPr>
              <w:jc w:val="both"/>
              <w:rPr>
                <w:rFonts w:ascii="Abadi" w:hAnsi="Abadi"/>
                <w:sz w:val="21"/>
                <w:szCs w:val="21"/>
              </w:rPr>
            </w:pPr>
            <w:r w:rsidRPr="00DC6BA4">
              <w:rPr>
                <w:rFonts w:ascii="Abadi" w:hAnsi="Abadi"/>
                <w:sz w:val="21"/>
                <w:szCs w:val="21"/>
              </w:rPr>
              <w:t>La secretaria del ayuntamiento de San Diego de la Unión; los integrantes de la Comisión de Cultura, Relaciones Internacionales, Educación, Recreación y Deporte del ayuntamiento de Victoria; los secretarios de los ayuntamientos de Apaseo el Alto y Tarimoro; así como el director general de Apoyo a la Función Edilicia de León remiten respuesta a la consulta de la propuesta del punto de acuerdo en el que se exhorta a los 46 ayuntamientos que conforman el estado de Guanajuato para que coadyuven en las tareas para garantizar el libre acceso a los espacios públicos con fines recreativos mediante la promoción de nuevos proyectos, el mantenimiento de los ya existentes, y un mejor manejo de los recursos para evitar el cobro de cuotas de mantenimiento que restrinjan el acceso a estos espacios públicos.</w:t>
            </w:r>
          </w:p>
          <w:p w14:paraId="2227D471" w14:textId="77777777" w:rsidR="00FA4BEC" w:rsidRDefault="00FA4BEC" w:rsidP="00DC6BA4">
            <w:pPr>
              <w:jc w:val="both"/>
              <w:rPr>
                <w:rFonts w:ascii="Abadi" w:hAnsi="Abadi"/>
                <w:sz w:val="21"/>
                <w:szCs w:val="21"/>
              </w:rPr>
            </w:pPr>
          </w:p>
          <w:p w14:paraId="58863037" w14:textId="6D0DB86F" w:rsidR="00DC6BA4" w:rsidRPr="00DC6BA4" w:rsidRDefault="00DC6BA4" w:rsidP="00DC6BA4">
            <w:pPr>
              <w:jc w:val="both"/>
              <w:rPr>
                <w:rFonts w:ascii="Abadi" w:hAnsi="Abadi"/>
                <w:sz w:val="21"/>
                <w:szCs w:val="21"/>
              </w:rPr>
            </w:pPr>
            <w:r w:rsidRPr="00DC6BA4">
              <w:rPr>
                <w:rFonts w:ascii="Abadi" w:hAnsi="Abadi"/>
                <w:sz w:val="21"/>
                <w:szCs w:val="21"/>
              </w:rPr>
              <w:t xml:space="preserve">El secretario del ayuntamiento de Coroneo, </w:t>
            </w:r>
            <w:proofErr w:type="spellStart"/>
            <w:r w:rsidRPr="00DC6BA4">
              <w:rPr>
                <w:rFonts w:ascii="Abadi" w:hAnsi="Abadi"/>
                <w:sz w:val="21"/>
                <w:szCs w:val="21"/>
              </w:rPr>
              <w:t>Gto</w:t>
            </w:r>
            <w:proofErr w:type="spellEnd"/>
            <w:r w:rsidRPr="00DC6BA4">
              <w:rPr>
                <w:rFonts w:ascii="Abadi" w:hAnsi="Abadi"/>
                <w:sz w:val="21"/>
                <w:szCs w:val="21"/>
              </w:rPr>
              <w:t>., remite respuesta a la consulta de tres iniciativas: la primera, que reforma y adiciona diversas disposiciones de la Constitución Política para el Estado de Guanajuato y de la Ley Orgánica Municipal para el Estado de Guanajuato, en la parte correspondiente al segundo de los ordenamientos; la segunda, que reforma el artículo 252 y adiciona los artículos 252-1 y 252-2 de la Ley Orgánica Municipal para el Estado de Guanajuato; y la tercera, que reforma diversas leyes estatales, en materia de inclusión laboral de las personas transgénero, travestis y transexuales en el sector público, en la parte correspondiente a la reforma a la Ley Orgánica Municipal.</w:t>
            </w:r>
          </w:p>
        </w:tc>
        <w:tc>
          <w:tcPr>
            <w:tcW w:w="1886" w:type="dxa"/>
          </w:tcPr>
          <w:p w14:paraId="2EF4941C" w14:textId="5C311134" w:rsidR="004E6C29" w:rsidRPr="00DC6BA4" w:rsidRDefault="00DC6BA4" w:rsidP="00DC6BA4">
            <w:pPr>
              <w:jc w:val="both"/>
              <w:rPr>
                <w:rFonts w:ascii="Abadi" w:hAnsi="Abadi"/>
                <w:b/>
                <w:bCs/>
                <w:sz w:val="21"/>
                <w:szCs w:val="21"/>
              </w:rPr>
            </w:pPr>
            <w:r w:rsidRPr="00DC6BA4">
              <w:rPr>
                <w:rFonts w:ascii="Abadi" w:hAnsi="Abadi"/>
                <w:b/>
                <w:bCs/>
                <w:sz w:val="21"/>
                <w:szCs w:val="21"/>
              </w:rPr>
              <w:t>Enterados y se informa que se turnaron a la Comisión de Asuntos Municipales.</w:t>
            </w:r>
          </w:p>
        </w:tc>
      </w:tr>
      <w:tr w:rsidR="004E6C29" w:rsidRPr="008429AF" w14:paraId="7CBA875A" w14:textId="77777777" w:rsidTr="00724EA0">
        <w:tc>
          <w:tcPr>
            <w:tcW w:w="2494" w:type="dxa"/>
          </w:tcPr>
          <w:p w14:paraId="53FE9330" w14:textId="0F7FF359" w:rsidR="0049650A" w:rsidRPr="00DC6BA4" w:rsidRDefault="00DC6BA4" w:rsidP="0049650A">
            <w:pPr>
              <w:autoSpaceDE w:val="0"/>
              <w:autoSpaceDN w:val="0"/>
              <w:adjustRightInd w:val="0"/>
              <w:jc w:val="both"/>
              <w:rPr>
                <w:rFonts w:ascii="Abadi" w:hAnsi="Abadi"/>
                <w:sz w:val="21"/>
                <w:szCs w:val="21"/>
              </w:rPr>
            </w:pPr>
            <w:r w:rsidRPr="004B4110">
              <w:rPr>
                <w:rFonts w:ascii="Abadi" w:hAnsi="Abadi"/>
                <w:sz w:val="21"/>
                <w:szCs w:val="21"/>
              </w:rPr>
              <w:t>Los secretarios de los ayuntamientos de Celaya, Coroneo y Tarimoro comunican el seguimiento al acuerdo aprobado por esta Legislatura en el que se exhorta a que expidan la paleta vegetal.</w:t>
            </w:r>
          </w:p>
        </w:tc>
        <w:tc>
          <w:tcPr>
            <w:tcW w:w="1886" w:type="dxa"/>
          </w:tcPr>
          <w:p w14:paraId="68616DB4" w14:textId="286E4A71" w:rsidR="004E6C29" w:rsidRPr="004B4110" w:rsidRDefault="00DC6BA4" w:rsidP="00AB5FC6">
            <w:pPr>
              <w:autoSpaceDE w:val="0"/>
              <w:autoSpaceDN w:val="0"/>
              <w:adjustRightInd w:val="0"/>
              <w:jc w:val="both"/>
              <w:rPr>
                <w:rFonts w:ascii="Abadi" w:hAnsi="Abadi"/>
                <w:b/>
                <w:bCs/>
                <w:sz w:val="21"/>
                <w:szCs w:val="21"/>
              </w:rPr>
            </w:pPr>
            <w:r w:rsidRPr="004B4110">
              <w:rPr>
                <w:rFonts w:ascii="Abadi" w:hAnsi="Abadi"/>
                <w:b/>
                <w:bCs/>
                <w:sz w:val="21"/>
                <w:szCs w:val="21"/>
              </w:rPr>
              <w:t>Enterados y se informa que se turnaron a la Comisión de Desarrollo Urbano y Obra Pública.</w:t>
            </w:r>
          </w:p>
        </w:tc>
      </w:tr>
      <w:tr w:rsidR="004E6C29" w:rsidRPr="008429AF" w14:paraId="25EA4B6F" w14:textId="77777777" w:rsidTr="00724EA0">
        <w:tc>
          <w:tcPr>
            <w:tcW w:w="2494" w:type="dxa"/>
          </w:tcPr>
          <w:p w14:paraId="5D0736CF" w14:textId="34899626" w:rsidR="004E6C29" w:rsidRPr="00DC6BA4" w:rsidRDefault="00DC6BA4" w:rsidP="00D030E4">
            <w:pPr>
              <w:autoSpaceDE w:val="0"/>
              <w:autoSpaceDN w:val="0"/>
              <w:adjustRightInd w:val="0"/>
              <w:jc w:val="both"/>
              <w:rPr>
                <w:rFonts w:ascii="Abadi" w:hAnsi="Abadi"/>
                <w:sz w:val="21"/>
                <w:szCs w:val="21"/>
              </w:rPr>
            </w:pPr>
            <w:r w:rsidRPr="004B4110">
              <w:rPr>
                <w:rFonts w:ascii="Abadi" w:hAnsi="Abadi"/>
                <w:sz w:val="21"/>
                <w:szCs w:val="21"/>
              </w:rPr>
              <w:t>Los secretarios de los ayuntamientos de Coroneo y León remiten respuesta al acuerdo aprobado por esta Legislatura, en el que se exhorta a los 46 ayuntamientos para que elaboren, aprueben y publiquen su Programa Municipal de Seguridad Pública y de Prevención Social de la Violencia y la Delincuencia, los remitan al Sistema Estatal de Información Estadística y Geográfica, y se integren las comisiones municipales de Prevención Social de la Violencia y la Delincuencia, así como los Consejos de Consulta y Participación Ciudadana, establecidos en la Ley para la Prevención Social de la Violencia y la Delincuencia del Estado de Guanajuato y sus Municipios</w:t>
            </w:r>
          </w:p>
        </w:tc>
        <w:tc>
          <w:tcPr>
            <w:tcW w:w="1886" w:type="dxa"/>
          </w:tcPr>
          <w:p w14:paraId="78CE85A7" w14:textId="394926EE" w:rsidR="004E6C29" w:rsidRPr="004B4110" w:rsidRDefault="00DC6BA4" w:rsidP="00D030E4">
            <w:pPr>
              <w:autoSpaceDE w:val="0"/>
              <w:autoSpaceDN w:val="0"/>
              <w:adjustRightInd w:val="0"/>
              <w:jc w:val="both"/>
              <w:rPr>
                <w:rFonts w:ascii="Abadi" w:hAnsi="Abadi"/>
                <w:b/>
                <w:bCs/>
                <w:sz w:val="21"/>
                <w:szCs w:val="21"/>
              </w:rPr>
            </w:pPr>
            <w:r w:rsidRPr="004B4110">
              <w:rPr>
                <w:rFonts w:ascii="Abadi" w:hAnsi="Abadi"/>
                <w:b/>
                <w:bCs/>
                <w:sz w:val="21"/>
                <w:szCs w:val="21"/>
              </w:rPr>
              <w:t>Enterados.</w:t>
            </w:r>
          </w:p>
        </w:tc>
      </w:tr>
      <w:tr w:rsidR="004E6C29" w:rsidRPr="008429AF" w14:paraId="4230A968" w14:textId="77777777" w:rsidTr="00724EA0">
        <w:tc>
          <w:tcPr>
            <w:tcW w:w="2494" w:type="dxa"/>
          </w:tcPr>
          <w:p w14:paraId="5090E34F" w14:textId="568695C6" w:rsidR="004E6C29" w:rsidRPr="004B4110" w:rsidRDefault="00DC6BA4" w:rsidP="00A55BE9">
            <w:pPr>
              <w:autoSpaceDE w:val="0"/>
              <w:autoSpaceDN w:val="0"/>
              <w:adjustRightInd w:val="0"/>
              <w:jc w:val="both"/>
              <w:rPr>
                <w:rFonts w:ascii="Abadi" w:hAnsi="Abadi"/>
                <w:sz w:val="21"/>
                <w:szCs w:val="21"/>
              </w:rPr>
            </w:pPr>
            <w:r w:rsidRPr="004B4110">
              <w:rPr>
                <w:rFonts w:ascii="Abadi" w:hAnsi="Abadi"/>
                <w:sz w:val="21"/>
                <w:szCs w:val="21"/>
              </w:rPr>
              <w:t xml:space="preserve">El secretario del ayuntamiento de Coroneo, </w:t>
            </w:r>
            <w:proofErr w:type="spellStart"/>
            <w:r w:rsidRPr="004B4110">
              <w:rPr>
                <w:rFonts w:ascii="Abadi" w:hAnsi="Abadi"/>
                <w:sz w:val="21"/>
                <w:szCs w:val="21"/>
              </w:rPr>
              <w:t>Gto</w:t>
            </w:r>
            <w:proofErr w:type="spellEnd"/>
            <w:r w:rsidRPr="004B4110">
              <w:rPr>
                <w:rFonts w:ascii="Abadi" w:hAnsi="Abadi"/>
                <w:sz w:val="21"/>
                <w:szCs w:val="21"/>
              </w:rPr>
              <w:t>., remite respuesta a la consulta de dos</w:t>
            </w:r>
            <w:r w:rsidR="00F818D6">
              <w:rPr>
                <w:rFonts w:ascii="Abadi" w:hAnsi="Abadi"/>
                <w:sz w:val="21"/>
                <w:szCs w:val="21"/>
              </w:rPr>
              <w:t xml:space="preserve"> </w:t>
            </w:r>
            <w:r w:rsidRPr="004B4110">
              <w:rPr>
                <w:rFonts w:ascii="Abadi" w:hAnsi="Abadi"/>
                <w:sz w:val="21"/>
                <w:szCs w:val="21"/>
              </w:rPr>
              <w:t>iniciativas: la primera, que adiciona la fracción VIII, recorriéndose en su orden la subsecuente, al artículo 64, de la Ley de Movilidad del Estado de Guanajuato y sus Municipios; y la segunda, que adiciona diversas disposiciones a la Ley de Protección Civil para el Estado de Guanajuato, a la Ley de Salud del Estado de Guanajuato, a la Ley para la Protección y Preservación del Ambiente del Estado de Guanajuato, y al Código Territorial para el Estado y los Municipios de Guanajuato, en lo que corresponde al primero de los ordenamientos</w:t>
            </w:r>
            <w:r w:rsidR="004B4110" w:rsidRPr="004B4110">
              <w:rPr>
                <w:rFonts w:ascii="Abadi" w:hAnsi="Abadi"/>
                <w:sz w:val="21"/>
                <w:szCs w:val="21"/>
              </w:rPr>
              <w:t>,</w:t>
            </w:r>
          </w:p>
          <w:p w14:paraId="37446042" w14:textId="77777777" w:rsidR="004B4110" w:rsidRPr="004B4110" w:rsidRDefault="004B4110" w:rsidP="00A55BE9">
            <w:pPr>
              <w:autoSpaceDE w:val="0"/>
              <w:autoSpaceDN w:val="0"/>
              <w:adjustRightInd w:val="0"/>
              <w:jc w:val="both"/>
              <w:rPr>
                <w:rFonts w:ascii="Abadi" w:hAnsi="Abadi"/>
                <w:sz w:val="21"/>
                <w:szCs w:val="21"/>
              </w:rPr>
            </w:pPr>
          </w:p>
          <w:p w14:paraId="5003E401" w14:textId="77777777" w:rsidR="004B4110" w:rsidRPr="004B4110" w:rsidRDefault="004B4110" w:rsidP="00A55BE9">
            <w:pPr>
              <w:autoSpaceDE w:val="0"/>
              <w:autoSpaceDN w:val="0"/>
              <w:adjustRightInd w:val="0"/>
              <w:jc w:val="both"/>
              <w:rPr>
                <w:rFonts w:ascii="Abadi" w:hAnsi="Abadi"/>
                <w:sz w:val="21"/>
                <w:szCs w:val="21"/>
              </w:rPr>
            </w:pPr>
          </w:p>
          <w:p w14:paraId="2151AB1E" w14:textId="77777777" w:rsidR="004B4110" w:rsidRPr="004B4110" w:rsidRDefault="004B4110" w:rsidP="00A55BE9">
            <w:pPr>
              <w:autoSpaceDE w:val="0"/>
              <w:autoSpaceDN w:val="0"/>
              <w:adjustRightInd w:val="0"/>
              <w:jc w:val="both"/>
              <w:rPr>
                <w:rFonts w:ascii="Abadi" w:hAnsi="Abadi"/>
                <w:sz w:val="21"/>
                <w:szCs w:val="21"/>
              </w:rPr>
            </w:pPr>
            <w:r w:rsidRPr="004B4110">
              <w:rPr>
                <w:rFonts w:ascii="Abadi" w:hAnsi="Abadi"/>
                <w:sz w:val="21"/>
                <w:szCs w:val="21"/>
              </w:rPr>
              <w:t xml:space="preserve">El secretario del ayuntamiento de </w:t>
            </w:r>
            <w:proofErr w:type="spellStart"/>
            <w:r w:rsidRPr="004B4110">
              <w:rPr>
                <w:rFonts w:ascii="Abadi" w:hAnsi="Abadi"/>
                <w:sz w:val="21"/>
                <w:szCs w:val="21"/>
              </w:rPr>
              <w:t>Cortazar</w:t>
            </w:r>
            <w:proofErr w:type="spellEnd"/>
            <w:r w:rsidRPr="004B4110">
              <w:rPr>
                <w:rFonts w:ascii="Abadi" w:hAnsi="Abadi"/>
                <w:sz w:val="21"/>
                <w:szCs w:val="21"/>
              </w:rPr>
              <w:t xml:space="preserve">, </w:t>
            </w:r>
            <w:proofErr w:type="spellStart"/>
            <w:r w:rsidRPr="004B4110">
              <w:rPr>
                <w:rFonts w:ascii="Abadi" w:hAnsi="Abadi"/>
                <w:sz w:val="21"/>
                <w:szCs w:val="21"/>
              </w:rPr>
              <w:t>Gto</w:t>
            </w:r>
            <w:proofErr w:type="spellEnd"/>
            <w:r w:rsidRPr="004B4110">
              <w:rPr>
                <w:rFonts w:ascii="Abadi" w:hAnsi="Abadi"/>
                <w:sz w:val="21"/>
                <w:szCs w:val="21"/>
              </w:rPr>
              <w:t xml:space="preserve">., remite respuesta a la consulta de la iniciativa por la que se adiciona un segundo párrafo, que comprende de la fracción I a la VIII, al artículo 18 de la Ley del Sistema de Seguridad Pública del Estado de Guanajuato. </w:t>
            </w:r>
          </w:p>
          <w:p w14:paraId="06EB2423" w14:textId="77777777" w:rsidR="004B4110" w:rsidRPr="004B4110" w:rsidRDefault="004B4110" w:rsidP="00A55BE9">
            <w:pPr>
              <w:autoSpaceDE w:val="0"/>
              <w:autoSpaceDN w:val="0"/>
              <w:adjustRightInd w:val="0"/>
              <w:jc w:val="both"/>
              <w:rPr>
                <w:rFonts w:ascii="Abadi" w:hAnsi="Abadi"/>
                <w:sz w:val="21"/>
                <w:szCs w:val="21"/>
              </w:rPr>
            </w:pPr>
          </w:p>
          <w:p w14:paraId="7F818E6B" w14:textId="77777777" w:rsidR="004B4110" w:rsidRPr="004B4110" w:rsidRDefault="004B4110" w:rsidP="00A55BE9">
            <w:pPr>
              <w:autoSpaceDE w:val="0"/>
              <w:autoSpaceDN w:val="0"/>
              <w:adjustRightInd w:val="0"/>
              <w:jc w:val="both"/>
              <w:rPr>
                <w:rFonts w:ascii="Abadi" w:hAnsi="Abadi"/>
                <w:sz w:val="21"/>
                <w:szCs w:val="21"/>
              </w:rPr>
            </w:pPr>
          </w:p>
          <w:p w14:paraId="28ED59D0" w14:textId="05D60B70" w:rsidR="004B4110" w:rsidRPr="00DC6BA4" w:rsidRDefault="004B4110" w:rsidP="00A55BE9">
            <w:pPr>
              <w:autoSpaceDE w:val="0"/>
              <w:autoSpaceDN w:val="0"/>
              <w:adjustRightInd w:val="0"/>
              <w:jc w:val="both"/>
              <w:rPr>
                <w:rFonts w:ascii="Abadi" w:hAnsi="Abadi"/>
                <w:sz w:val="21"/>
                <w:szCs w:val="21"/>
              </w:rPr>
            </w:pPr>
            <w:r w:rsidRPr="004B4110">
              <w:rPr>
                <w:rFonts w:ascii="Abadi" w:hAnsi="Abadi"/>
                <w:sz w:val="21"/>
                <w:szCs w:val="21"/>
              </w:rPr>
              <w:t xml:space="preserve">El secretario del ayuntamiento de Coroneo, </w:t>
            </w:r>
            <w:proofErr w:type="spellStart"/>
            <w:r w:rsidRPr="004B4110">
              <w:rPr>
                <w:rFonts w:ascii="Abadi" w:hAnsi="Abadi"/>
                <w:sz w:val="21"/>
                <w:szCs w:val="21"/>
              </w:rPr>
              <w:t>Gto</w:t>
            </w:r>
            <w:proofErr w:type="spellEnd"/>
            <w:r w:rsidRPr="004B4110">
              <w:rPr>
                <w:rFonts w:ascii="Abadi" w:hAnsi="Abadi"/>
                <w:sz w:val="21"/>
                <w:szCs w:val="21"/>
              </w:rPr>
              <w:t>., remite respuesta a la consulta de la iniciativa que reforma el artículo 153 y adiciona el artículo 152 bis a la Ley de Movilidad del Estado de Guanajuato y sus Municipios.</w:t>
            </w:r>
          </w:p>
        </w:tc>
        <w:tc>
          <w:tcPr>
            <w:tcW w:w="1886" w:type="dxa"/>
          </w:tcPr>
          <w:p w14:paraId="349B3AEF" w14:textId="1BB3598B" w:rsidR="004E6C29" w:rsidRPr="004B4110" w:rsidRDefault="00DC6BA4" w:rsidP="00A55BE9">
            <w:pPr>
              <w:autoSpaceDE w:val="0"/>
              <w:autoSpaceDN w:val="0"/>
              <w:adjustRightInd w:val="0"/>
              <w:jc w:val="both"/>
              <w:rPr>
                <w:rFonts w:ascii="Abadi" w:hAnsi="Abadi"/>
                <w:b/>
                <w:bCs/>
                <w:sz w:val="21"/>
                <w:szCs w:val="21"/>
              </w:rPr>
            </w:pPr>
            <w:r w:rsidRPr="004B4110">
              <w:rPr>
                <w:rFonts w:ascii="Abadi" w:hAnsi="Abadi"/>
                <w:b/>
                <w:bCs/>
                <w:sz w:val="21"/>
                <w:szCs w:val="21"/>
              </w:rPr>
              <w:t>Enterados y se informa que se turnaron a la Comisión de Seguridad Pública y Comunicaciones.</w:t>
            </w:r>
          </w:p>
        </w:tc>
      </w:tr>
      <w:tr w:rsidR="004E6C29" w:rsidRPr="008429AF" w14:paraId="50F39B2E" w14:textId="77777777" w:rsidTr="00724EA0">
        <w:tc>
          <w:tcPr>
            <w:tcW w:w="2494" w:type="dxa"/>
          </w:tcPr>
          <w:p w14:paraId="5FD6ACC4" w14:textId="3D4CBA67" w:rsidR="00607C7D" w:rsidRPr="004B4110" w:rsidRDefault="004B4110" w:rsidP="00607C7D">
            <w:pPr>
              <w:autoSpaceDE w:val="0"/>
              <w:autoSpaceDN w:val="0"/>
              <w:adjustRightInd w:val="0"/>
              <w:jc w:val="both"/>
              <w:rPr>
                <w:rFonts w:ascii="Abadi" w:hAnsi="Abadi"/>
                <w:sz w:val="21"/>
                <w:szCs w:val="21"/>
              </w:rPr>
            </w:pPr>
            <w:r w:rsidRPr="004B4110">
              <w:rPr>
                <w:rFonts w:ascii="Abadi" w:hAnsi="Abadi"/>
                <w:sz w:val="21"/>
                <w:szCs w:val="21"/>
              </w:rPr>
              <w:t xml:space="preserve">El director general de Apoyo a la Función Edilicia de León, </w:t>
            </w:r>
            <w:proofErr w:type="spellStart"/>
            <w:r w:rsidRPr="004B4110">
              <w:rPr>
                <w:rFonts w:ascii="Abadi" w:hAnsi="Abadi"/>
                <w:sz w:val="21"/>
                <w:szCs w:val="21"/>
              </w:rPr>
              <w:t>Gto</w:t>
            </w:r>
            <w:proofErr w:type="spellEnd"/>
            <w:r w:rsidRPr="004B4110">
              <w:rPr>
                <w:rFonts w:ascii="Abadi" w:hAnsi="Abadi"/>
                <w:sz w:val="21"/>
                <w:szCs w:val="21"/>
              </w:rPr>
              <w:t>., remite respuesta a la consulta de la iniciativa que adiciona un Capítulo Octavo al TÍTULO SEGUNDO de la Ley de Hacienda para el Estado de Guanajuato.</w:t>
            </w:r>
          </w:p>
        </w:tc>
        <w:tc>
          <w:tcPr>
            <w:tcW w:w="1886" w:type="dxa"/>
          </w:tcPr>
          <w:p w14:paraId="49AEC620" w14:textId="3CD20214" w:rsidR="004E6C29" w:rsidRPr="004B4110" w:rsidRDefault="004B4110" w:rsidP="00607C7D">
            <w:pPr>
              <w:autoSpaceDE w:val="0"/>
              <w:autoSpaceDN w:val="0"/>
              <w:adjustRightInd w:val="0"/>
              <w:jc w:val="both"/>
              <w:rPr>
                <w:rFonts w:ascii="Abadi" w:hAnsi="Abadi"/>
                <w:b/>
                <w:bCs/>
                <w:sz w:val="21"/>
                <w:szCs w:val="21"/>
              </w:rPr>
            </w:pPr>
            <w:r w:rsidRPr="004B4110">
              <w:rPr>
                <w:rFonts w:ascii="Abadi" w:hAnsi="Abadi"/>
                <w:b/>
                <w:bCs/>
                <w:sz w:val="21"/>
                <w:szCs w:val="21"/>
              </w:rPr>
              <w:t>Enterados y se informa que se turnó a las Comisiones Unidas de Hacienda y Fiscalización y de Gobernación y Puntos Constitucionales.</w:t>
            </w:r>
          </w:p>
        </w:tc>
      </w:tr>
      <w:tr w:rsidR="004E6C29" w:rsidRPr="008429AF" w14:paraId="57A1882F" w14:textId="77777777" w:rsidTr="00724EA0">
        <w:tc>
          <w:tcPr>
            <w:tcW w:w="2494" w:type="dxa"/>
          </w:tcPr>
          <w:p w14:paraId="0022DBD5" w14:textId="361DC897" w:rsidR="004E6C29" w:rsidRPr="004B4110" w:rsidRDefault="004B4110" w:rsidP="00CE0387">
            <w:pPr>
              <w:autoSpaceDE w:val="0"/>
              <w:autoSpaceDN w:val="0"/>
              <w:adjustRightInd w:val="0"/>
              <w:jc w:val="both"/>
              <w:rPr>
                <w:rFonts w:ascii="Abadi" w:hAnsi="Abadi"/>
                <w:sz w:val="21"/>
                <w:szCs w:val="21"/>
              </w:rPr>
            </w:pPr>
            <w:r w:rsidRPr="004B4110">
              <w:rPr>
                <w:rFonts w:ascii="Abadi" w:hAnsi="Abadi"/>
                <w:sz w:val="21"/>
                <w:szCs w:val="21"/>
              </w:rPr>
              <w:t xml:space="preserve">El presidente municipal y el secretario del ayuntamiento de Tarimoro, </w:t>
            </w:r>
            <w:proofErr w:type="spellStart"/>
            <w:r w:rsidRPr="004B4110">
              <w:rPr>
                <w:rFonts w:ascii="Abadi" w:hAnsi="Abadi"/>
                <w:sz w:val="21"/>
                <w:szCs w:val="21"/>
              </w:rPr>
              <w:t>Gto</w:t>
            </w:r>
            <w:proofErr w:type="spellEnd"/>
            <w:r w:rsidRPr="004B4110">
              <w:rPr>
                <w:rFonts w:ascii="Abadi" w:hAnsi="Abadi"/>
                <w:sz w:val="21"/>
                <w:szCs w:val="21"/>
              </w:rPr>
              <w:t>., remiten información complementaria a dos solicitudes de autorización para la contratación de financiamientos.</w:t>
            </w:r>
          </w:p>
        </w:tc>
        <w:tc>
          <w:tcPr>
            <w:tcW w:w="1886" w:type="dxa"/>
          </w:tcPr>
          <w:p w14:paraId="54583978" w14:textId="156AACC2" w:rsidR="004E6C29" w:rsidRPr="004B4110" w:rsidRDefault="004B4110" w:rsidP="00CE0387">
            <w:pPr>
              <w:autoSpaceDE w:val="0"/>
              <w:autoSpaceDN w:val="0"/>
              <w:adjustRightInd w:val="0"/>
              <w:jc w:val="both"/>
              <w:rPr>
                <w:rFonts w:ascii="Abadi" w:hAnsi="Abadi"/>
                <w:b/>
                <w:bCs/>
                <w:sz w:val="21"/>
                <w:szCs w:val="21"/>
              </w:rPr>
            </w:pPr>
            <w:r w:rsidRPr="004B4110">
              <w:rPr>
                <w:rFonts w:ascii="Abadi" w:hAnsi="Abadi"/>
                <w:b/>
                <w:bCs/>
                <w:sz w:val="21"/>
                <w:szCs w:val="21"/>
              </w:rPr>
              <w:t>Enterados y se informa que se turnó a la Comisión de Hacienda y Fiscalización.</w:t>
            </w:r>
          </w:p>
        </w:tc>
      </w:tr>
      <w:tr w:rsidR="004B4110" w:rsidRPr="008429AF" w14:paraId="34779646" w14:textId="77777777" w:rsidTr="00724EA0">
        <w:tc>
          <w:tcPr>
            <w:tcW w:w="2494" w:type="dxa"/>
          </w:tcPr>
          <w:p w14:paraId="7EC1F725" w14:textId="0FB0EA43" w:rsidR="004B4110" w:rsidRPr="004B4110" w:rsidRDefault="004B4110" w:rsidP="00CE0387">
            <w:pPr>
              <w:autoSpaceDE w:val="0"/>
              <w:autoSpaceDN w:val="0"/>
              <w:adjustRightInd w:val="0"/>
              <w:jc w:val="both"/>
              <w:rPr>
                <w:rFonts w:ascii="Abadi" w:hAnsi="Abadi"/>
                <w:sz w:val="21"/>
                <w:szCs w:val="21"/>
              </w:rPr>
            </w:pPr>
            <w:r w:rsidRPr="004B4110">
              <w:rPr>
                <w:rFonts w:ascii="Abadi" w:hAnsi="Abadi"/>
                <w:sz w:val="21"/>
                <w:szCs w:val="21"/>
              </w:rPr>
              <w:t xml:space="preserve">El presidente municipal de Ocampo, </w:t>
            </w:r>
            <w:proofErr w:type="spellStart"/>
            <w:r w:rsidRPr="004B4110">
              <w:rPr>
                <w:rFonts w:ascii="Abadi" w:hAnsi="Abadi"/>
                <w:sz w:val="21"/>
                <w:szCs w:val="21"/>
              </w:rPr>
              <w:t>Gto</w:t>
            </w:r>
            <w:proofErr w:type="spellEnd"/>
            <w:r w:rsidRPr="004B4110">
              <w:rPr>
                <w:rFonts w:ascii="Abadi" w:hAnsi="Abadi"/>
                <w:sz w:val="21"/>
                <w:szCs w:val="21"/>
              </w:rPr>
              <w:t>., comunica el acuerdo tomado por el ayuntamiento a fin de solicitar al Congreso del Estado la revocación de mandato del regidor Antonio Martínez Rodríguez al actualizarse el supuesto contenido en el artículo 92 fracción II de la Ley Orgánica Municipal para el Estado de Guanajuato.</w:t>
            </w:r>
          </w:p>
        </w:tc>
        <w:tc>
          <w:tcPr>
            <w:tcW w:w="1886" w:type="dxa"/>
          </w:tcPr>
          <w:p w14:paraId="723348AA" w14:textId="2A586D07" w:rsidR="004B4110" w:rsidRPr="004B4110" w:rsidRDefault="004B4110" w:rsidP="00CE0387">
            <w:pPr>
              <w:autoSpaceDE w:val="0"/>
              <w:autoSpaceDN w:val="0"/>
              <w:adjustRightInd w:val="0"/>
              <w:jc w:val="both"/>
              <w:rPr>
                <w:rFonts w:ascii="Abadi" w:hAnsi="Abadi"/>
                <w:b/>
                <w:bCs/>
                <w:sz w:val="21"/>
                <w:szCs w:val="21"/>
              </w:rPr>
            </w:pPr>
            <w:r w:rsidRPr="004B4110">
              <w:rPr>
                <w:rFonts w:ascii="Abadi" w:hAnsi="Abadi"/>
                <w:b/>
                <w:bCs/>
                <w:sz w:val="21"/>
                <w:szCs w:val="21"/>
              </w:rPr>
              <w:t>Enterados y de conformidad con el artículo 238 de la Ley Orgánica del Poder Legislativo, se requiere al denunciante para que acuda a la Secretaría General del Congreso del Estado a ratificar la denuncia, apercibido que de no hacerlo el día de la notificación del presente requerimiento o dentro de los tres días hábiles siguientes, se acordará su archivo definitivo. Una vez ratificada, túrnese a la Comisión de Gobernación y Puntos Constitucionales, para su estudio y dictamen.</w:t>
            </w:r>
          </w:p>
        </w:tc>
      </w:tr>
      <w:tr w:rsidR="004E6C29" w:rsidRPr="008429AF" w14:paraId="73B93253" w14:textId="77777777" w:rsidTr="00343DB4">
        <w:tc>
          <w:tcPr>
            <w:tcW w:w="4380" w:type="dxa"/>
            <w:gridSpan w:val="2"/>
            <w:shd w:val="clear" w:color="auto" w:fill="DDD9C3" w:themeFill="background2" w:themeFillShade="E6"/>
          </w:tcPr>
          <w:p w14:paraId="5D21C616" w14:textId="5CC4561B" w:rsidR="004E6C29" w:rsidRPr="00CE0387" w:rsidRDefault="004E6C29" w:rsidP="00CE0387">
            <w:pPr>
              <w:jc w:val="both"/>
              <w:rPr>
                <w:rFonts w:ascii="Abadi" w:hAnsi="Abadi" w:cs="Calibri"/>
                <w:b/>
                <w:bCs/>
                <w:sz w:val="21"/>
                <w:szCs w:val="21"/>
                <w:lang w:val="es-MX" w:eastAsia="es-MX"/>
              </w:rPr>
            </w:pPr>
            <w:r w:rsidRPr="00CE0387">
              <w:rPr>
                <w:rFonts w:ascii="Abadi" w:hAnsi="Abadi" w:cs="Calibri"/>
                <w:b/>
                <w:bCs/>
                <w:sz w:val="21"/>
                <w:szCs w:val="21"/>
                <w:lang w:val="es-MX" w:eastAsia="es-MX"/>
              </w:rPr>
              <w:t xml:space="preserve">IV. Correspondencia provenientes de </w:t>
            </w:r>
            <w:r w:rsidR="004B4110">
              <w:rPr>
                <w:rFonts w:ascii="Abadi" w:hAnsi="Abadi" w:cs="Calibri"/>
                <w:b/>
                <w:bCs/>
                <w:sz w:val="21"/>
                <w:szCs w:val="21"/>
                <w:lang w:val="es-MX" w:eastAsia="es-MX"/>
              </w:rPr>
              <w:t xml:space="preserve">los poderes de otros estados. </w:t>
            </w:r>
          </w:p>
        </w:tc>
      </w:tr>
      <w:tr w:rsidR="004E6C29" w:rsidRPr="008429AF" w14:paraId="17EA6C53" w14:textId="77777777" w:rsidTr="00724EA0">
        <w:tc>
          <w:tcPr>
            <w:tcW w:w="2494" w:type="dxa"/>
          </w:tcPr>
          <w:p w14:paraId="007A47AB" w14:textId="4869DE45" w:rsidR="00C55851" w:rsidRDefault="004B4110" w:rsidP="00CE0387">
            <w:pPr>
              <w:autoSpaceDE w:val="0"/>
              <w:autoSpaceDN w:val="0"/>
              <w:adjustRightInd w:val="0"/>
              <w:jc w:val="both"/>
              <w:rPr>
                <w:rFonts w:ascii="Abadi" w:hAnsi="Abadi"/>
                <w:sz w:val="21"/>
                <w:szCs w:val="21"/>
              </w:rPr>
            </w:pPr>
            <w:r w:rsidRPr="00343DB4">
              <w:rPr>
                <w:rFonts w:ascii="Abadi" w:hAnsi="Abadi"/>
                <w:sz w:val="21"/>
                <w:szCs w:val="21"/>
              </w:rPr>
              <w:t>La Sexagésima Legislatura del Congreso del Estado de Colima comunica la elección de la presidenta y vicepresidente de la Mesa Directiva que fungirá durante el mes de mayo del segundo periodo ordinario de sesiones, correspondiente al primer año de ejercicio constitucional.</w:t>
            </w:r>
          </w:p>
          <w:p w14:paraId="2080E9A4" w14:textId="77777777" w:rsidR="00C55851" w:rsidRDefault="00C55851" w:rsidP="00CE0387">
            <w:pPr>
              <w:autoSpaceDE w:val="0"/>
              <w:autoSpaceDN w:val="0"/>
              <w:adjustRightInd w:val="0"/>
              <w:jc w:val="both"/>
              <w:rPr>
                <w:rFonts w:ascii="Abadi" w:hAnsi="Abadi"/>
                <w:sz w:val="21"/>
                <w:szCs w:val="21"/>
              </w:rPr>
            </w:pPr>
          </w:p>
          <w:p w14:paraId="5A5500D2" w14:textId="77777777" w:rsidR="00C55851" w:rsidRDefault="004B4110" w:rsidP="00CE0387">
            <w:pPr>
              <w:autoSpaceDE w:val="0"/>
              <w:autoSpaceDN w:val="0"/>
              <w:adjustRightInd w:val="0"/>
              <w:jc w:val="both"/>
              <w:rPr>
                <w:rFonts w:ascii="Abadi" w:hAnsi="Abadi"/>
                <w:sz w:val="21"/>
                <w:szCs w:val="21"/>
              </w:rPr>
            </w:pPr>
            <w:r w:rsidRPr="00343DB4">
              <w:rPr>
                <w:rFonts w:ascii="Abadi" w:hAnsi="Abadi"/>
                <w:sz w:val="21"/>
                <w:szCs w:val="21"/>
              </w:rPr>
              <w:t>La Sexagésima Quinta Legislatura del Congreso del Estado de Oaxaca comunica la integración de la Diputación Permanente, para el primer receso del primer año de ejercicio constitucional.</w:t>
            </w:r>
          </w:p>
          <w:p w14:paraId="4002A065" w14:textId="77777777" w:rsidR="00C55851" w:rsidRDefault="00C55851" w:rsidP="00CE0387">
            <w:pPr>
              <w:autoSpaceDE w:val="0"/>
              <w:autoSpaceDN w:val="0"/>
              <w:adjustRightInd w:val="0"/>
              <w:jc w:val="both"/>
              <w:rPr>
                <w:rFonts w:ascii="Abadi" w:hAnsi="Abadi"/>
                <w:sz w:val="21"/>
                <w:szCs w:val="21"/>
              </w:rPr>
            </w:pPr>
          </w:p>
          <w:p w14:paraId="2DC615CA" w14:textId="77777777" w:rsidR="00C55851" w:rsidRDefault="004B4110" w:rsidP="00CE0387">
            <w:pPr>
              <w:autoSpaceDE w:val="0"/>
              <w:autoSpaceDN w:val="0"/>
              <w:adjustRightInd w:val="0"/>
              <w:jc w:val="both"/>
              <w:rPr>
                <w:rFonts w:ascii="Abadi" w:hAnsi="Abadi"/>
                <w:sz w:val="21"/>
                <w:szCs w:val="21"/>
              </w:rPr>
            </w:pPr>
            <w:r w:rsidRPr="00343DB4">
              <w:rPr>
                <w:rFonts w:ascii="Abadi" w:hAnsi="Abadi"/>
                <w:sz w:val="21"/>
                <w:szCs w:val="21"/>
              </w:rPr>
              <w:t>La Sexagésima Quinta Legislatura del Congreso del Estado de Hidalgo comunica la elección e integración de la Mesa Directiva que fungirá durante el mes de mayo correspondiente al segundo periodo de sesiones ordinarias del primer año de ejercicio constitucional.</w:t>
            </w:r>
          </w:p>
          <w:p w14:paraId="375E9387" w14:textId="77777777" w:rsidR="00C55851" w:rsidRDefault="00C55851" w:rsidP="00CE0387">
            <w:pPr>
              <w:autoSpaceDE w:val="0"/>
              <w:autoSpaceDN w:val="0"/>
              <w:adjustRightInd w:val="0"/>
              <w:jc w:val="both"/>
              <w:rPr>
                <w:rFonts w:ascii="Abadi" w:hAnsi="Abadi"/>
                <w:sz w:val="21"/>
                <w:szCs w:val="21"/>
              </w:rPr>
            </w:pPr>
          </w:p>
          <w:p w14:paraId="7F0F952E" w14:textId="77777777" w:rsidR="00C55851" w:rsidRDefault="004B4110" w:rsidP="00CE0387">
            <w:pPr>
              <w:autoSpaceDE w:val="0"/>
              <w:autoSpaceDN w:val="0"/>
              <w:adjustRightInd w:val="0"/>
              <w:jc w:val="both"/>
              <w:rPr>
                <w:rFonts w:ascii="Abadi" w:hAnsi="Abadi"/>
                <w:sz w:val="21"/>
                <w:szCs w:val="21"/>
              </w:rPr>
            </w:pPr>
            <w:r w:rsidRPr="00343DB4">
              <w:rPr>
                <w:rFonts w:ascii="Abadi" w:hAnsi="Abadi"/>
                <w:sz w:val="21"/>
                <w:szCs w:val="21"/>
              </w:rPr>
              <w:t>La Sexagésima Cuarta Legislatura del Congreso del Estado de Zacatecas comunica la elección del Presidente de la Mesa Directiva que presidirá los trabajos del segundo periodo ordinario de sesiones, correspondiente al primer año de ejercicio constitucional.</w:t>
            </w:r>
          </w:p>
          <w:p w14:paraId="533CC23D" w14:textId="77777777" w:rsidR="00C55851" w:rsidRDefault="00C55851" w:rsidP="00CE0387">
            <w:pPr>
              <w:autoSpaceDE w:val="0"/>
              <w:autoSpaceDN w:val="0"/>
              <w:adjustRightInd w:val="0"/>
              <w:jc w:val="both"/>
              <w:rPr>
                <w:rFonts w:ascii="Abadi" w:hAnsi="Abadi"/>
                <w:sz w:val="21"/>
                <w:szCs w:val="21"/>
              </w:rPr>
            </w:pPr>
          </w:p>
          <w:p w14:paraId="432E6928" w14:textId="13DAFD86" w:rsidR="004E6C29" w:rsidRPr="00886BA8" w:rsidRDefault="004B4110" w:rsidP="00CE0387">
            <w:pPr>
              <w:autoSpaceDE w:val="0"/>
              <w:autoSpaceDN w:val="0"/>
              <w:adjustRightInd w:val="0"/>
              <w:jc w:val="both"/>
              <w:rPr>
                <w:rFonts w:ascii="Abadi" w:hAnsi="Abadi"/>
                <w:sz w:val="21"/>
                <w:szCs w:val="21"/>
              </w:rPr>
            </w:pPr>
            <w:r w:rsidRPr="00343DB4">
              <w:rPr>
                <w:rFonts w:ascii="Abadi" w:hAnsi="Abadi"/>
                <w:sz w:val="21"/>
                <w:szCs w:val="21"/>
              </w:rPr>
              <w:t>La Sexagésima Primera Legislatura del Congreso del Estado de Puebla comunica el exhorto a las secretarías de Medio Ambiente y Recursos Naturales del Gobierno Federal y de Medio Ambiente, Desarrollo Sustentable y Ordenamiento Territorial del Gobierno Estatal; a la Comisión Nacional Forestal; al Sistema Estatal de Prevención, Combate y Control de Incendios Forestales; y a los 214 ayuntamientos y 3 consejos municipales del Estado de Puebla, a que implementen acciones de prevención, combate y control de incendios forestales y al uso del fuego en terrenos forestales, así como a celebrar convenios de colaboración y coordinación que tengan como objeto la prevención, combate y control de estos incendios.</w:t>
            </w:r>
          </w:p>
        </w:tc>
        <w:tc>
          <w:tcPr>
            <w:tcW w:w="1886" w:type="dxa"/>
          </w:tcPr>
          <w:p w14:paraId="668503AA" w14:textId="1FCEBE90" w:rsidR="004E6C29" w:rsidRPr="00CE0387" w:rsidRDefault="004B4110" w:rsidP="00CE0387">
            <w:pPr>
              <w:autoSpaceDE w:val="0"/>
              <w:autoSpaceDN w:val="0"/>
              <w:adjustRightInd w:val="0"/>
              <w:jc w:val="both"/>
              <w:rPr>
                <w:rFonts w:ascii="Abadi" w:hAnsi="Abadi" w:cs="Calibri"/>
                <w:b/>
                <w:bCs/>
                <w:sz w:val="21"/>
                <w:szCs w:val="21"/>
                <w:lang w:val="es-MX" w:eastAsia="es-MX"/>
              </w:rPr>
            </w:pPr>
            <w:r w:rsidRPr="00343DB4">
              <w:rPr>
                <w:rFonts w:ascii="Abadi" w:hAnsi="Abadi"/>
                <w:b/>
                <w:bCs/>
                <w:sz w:val="21"/>
                <w:szCs w:val="21"/>
              </w:rPr>
              <w:t>Enterados.</w:t>
            </w:r>
          </w:p>
        </w:tc>
      </w:tr>
      <w:tr w:rsidR="004B4110" w:rsidRPr="008429AF" w14:paraId="3681859F" w14:textId="77777777" w:rsidTr="00724EA0">
        <w:tc>
          <w:tcPr>
            <w:tcW w:w="2494" w:type="dxa"/>
          </w:tcPr>
          <w:p w14:paraId="3FCCA4EE" w14:textId="3835108E" w:rsidR="004B4110" w:rsidRPr="00343DB4" w:rsidRDefault="004B4110" w:rsidP="00CE0387">
            <w:pPr>
              <w:autoSpaceDE w:val="0"/>
              <w:autoSpaceDN w:val="0"/>
              <w:adjustRightInd w:val="0"/>
              <w:jc w:val="both"/>
              <w:rPr>
                <w:rFonts w:ascii="Abadi" w:hAnsi="Abadi"/>
                <w:sz w:val="21"/>
                <w:szCs w:val="21"/>
              </w:rPr>
            </w:pPr>
            <w:r w:rsidRPr="00343DB4">
              <w:rPr>
                <w:rFonts w:ascii="Abadi" w:hAnsi="Abadi"/>
                <w:sz w:val="21"/>
                <w:szCs w:val="21"/>
              </w:rPr>
              <w:t xml:space="preserve">La presidenta del Consejo para Prevenir y Eliminar la Discriminación de la Ciudad de México remite respuesta a la solicitud de información sobre el artículo primero del decreto de la iniciativa por la que se reforman los artículos 14, 15, 16, 17, 18, 19, 20 y 22, y se adicionan los artículos 14 bis, 14 ter, 18 bis, 18 ter, 18 </w:t>
            </w:r>
            <w:proofErr w:type="spellStart"/>
            <w:r w:rsidRPr="00343DB4">
              <w:rPr>
                <w:rFonts w:ascii="Abadi" w:hAnsi="Abadi"/>
                <w:sz w:val="21"/>
                <w:szCs w:val="21"/>
              </w:rPr>
              <w:t>quáter</w:t>
            </w:r>
            <w:proofErr w:type="spellEnd"/>
            <w:r w:rsidRPr="00343DB4">
              <w:rPr>
                <w:rFonts w:ascii="Abadi" w:hAnsi="Abadi"/>
                <w:sz w:val="21"/>
                <w:szCs w:val="21"/>
              </w:rPr>
              <w:t xml:space="preserve">, 18 quinquies, 19 bis, 19 ter, 19 </w:t>
            </w:r>
            <w:proofErr w:type="spellStart"/>
            <w:r w:rsidRPr="00343DB4">
              <w:rPr>
                <w:rFonts w:ascii="Abadi" w:hAnsi="Abadi"/>
                <w:sz w:val="21"/>
                <w:szCs w:val="21"/>
              </w:rPr>
              <w:t>quáter</w:t>
            </w:r>
            <w:proofErr w:type="spellEnd"/>
            <w:r w:rsidRPr="00343DB4">
              <w:rPr>
                <w:rFonts w:ascii="Abadi" w:hAnsi="Abadi"/>
                <w:sz w:val="21"/>
                <w:szCs w:val="21"/>
              </w:rPr>
              <w:t xml:space="preserve">, 19 quinquies, 19 </w:t>
            </w:r>
            <w:proofErr w:type="spellStart"/>
            <w:r w:rsidRPr="00343DB4">
              <w:rPr>
                <w:rFonts w:ascii="Abadi" w:hAnsi="Abadi"/>
                <w:sz w:val="21"/>
                <w:szCs w:val="21"/>
              </w:rPr>
              <w:t>sexies</w:t>
            </w:r>
            <w:proofErr w:type="spellEnd"/>
            <w:r w:rsidRPr="00343DB4">
              <w:rPr>
                <w:rFonts w:ascii="Abadi" w:hAnsi="Abadi"/>
                <w:sz w:val="21"/>
                <w:szCs w:val="21"/>
              </w:rPr>
              <w:t xml:space="preserve"> y 19 </w:t>
            </w:r>
            <w:proofErr w:type="spellStart"/>
            <w:r w:rsidRPr="00343DB4">
              <w:rPr>
                <w:rFonts w:ascii="Abadi" w:hAnsi="Abadi"/>
                <w:sz w:val="21"/>
                <w:szCs w:val="21"/>
              </w:rPr>
              <w:t>septies</w:t>
            </w:r>
            <w:proofErr w:type="spellEnd"/>
            <w:r w:rsidRPr="00343DB4">
              <w:rPr>
                <w:rFonts w:ascii="Abadi" w:hAnsi="Abadi"/>
                <w:sz w:val="21"/>
                <w:szCs w:val="21"/>
              </w:rPr>
              <w:t xml:space="preserve"> de la Ley para Prevenir, Atender y Erradicar la Discriminación en el Estado de Guanajuato; y el artículo 4 fracción V de la Ley de Planeación para el Estado de Guanajuato</w:t>
            </w:r>
          </w:p>
        </w:tc>
        <w:tc>
          <w:tcPr>
            <w:tcW w:w="1886" w:type="dxa"/>
          </w:tcPr>
          <w:p w14:paraId="28E00DE3" w14:textId="7F01C7BD" w:rsidR="004B4110" w:rsidRPr="004B4110" w:rsidRDefault="004B4110" w:rsidP="00CE0387">
            <w:pPr>
              <w:autoSpaceDE w:val="0"/>
              <w:autoSpaceDN w:val="0"/>
              <w:adjustRightInd w:val="0"/>
              <w:jc w:val="both"/>
              <w:rPr>
                <w:rFonts w:ascii="Abadi" w:hAnsi="Abadi"/>
                <w:b/>
                <w:bCs/>
                <w:sz w:val="21"/>
                <w:szCs w:val="21"/>
              </w:rPr>
            </w:pPr>
            <w:r w:rsidRPr="004B4110">
              <w:rPr>
                <w:rFonts w:ascii="Abadi" w:hAnsi="Abadi"/>
                <w:b/>
                <w:bCs/>
                <w:sz w:val="21"/>
                <w:szCs w:val="21"/>
              </w:rPr>
              <w:t>Enterados y se informa que se turnó a la Comisión de Derechos Humanos y Atención a Grupos Vulnerables.</w:t>
            </w:r>
          </w:p>
        </w:tc>
      </w:tr>
      <w:tr w:rsidR="00343DB4" w:rsidRPr="008429AF" w14:paraId="7CF20F1B" w14:textId="77777777" w:rsidTr="00343DB4">
        <w:tc>
          <w:tcPr>
            <w:tcW w:w="4380" w:type="dxa"/>
            <w:gridSpan w:val="2"/>
            <w:shd w:val="clear" w:color="auto" w:fill="DDD9C3" w:themeFill="background2" w:themeFillShade="E6"/>
          </w:tcPr>
          <w:p w14:paraId="7DBAA8FE" w14:textId="50392EA1" w:rsidR="00343DB4" w:rsidRPr="00CE0387" w:rsidRDefault="00343DB4" w:rsidP="00CE0387">
            <w:pPr>
              <w:autoSpaceDE w:val="0"/>
              <w:autoSpaceDN w:val="0"/>
              <w:adjustRightInd w:val="0"/>
              <w:jc w:val="both"/>
              <w:rPr>
                <w:rFonts w:ascii="Abadi" w:hAnsi="Abadi" w:cs="Calibri"/>
                <w:b/>
                <w:bCs/>
                <w:sz w:val="21"/>
                <w:szCs w:val="21"/>
                <w:lang w:val="es-MX" w:eastAsia="es-MX"/>
              </w:rPr>
            </w:pPr>
            <w:r w:rsidRPr="00343DB4">
              <w:rPr>
                <w:rFonts w:ascii="Abadi" w:hAnsi="Abadi"/>
                <w:b/>
                <w:bCs/>
                <w:sz w:val="21"/>
                <w:szCs w:val="21"/>
              </w:rPr>
              <w:t>V. Correspondencia proveniente de particulares</w:t>
            </w:r>
          </w:p>
        </w:tc>
      </w:tr>
      <w:tr w:rsidR="00343DB4" w:rsidRPr="008429AF" w14:paraId="77608F3A" w14:textId="77777777" w:rsidTr="00724EA0">
        <w:tc>
          <w:tcPr>
            <w:tcW w:w="2494" w:type="dxa"/>
          </w:tcPr>
          <w:p w14:paraId="5442100B" w14:textId="4A06B998" w:rsidR="00343DB4" w:rsidRPr="00343DB4" w:rsidRDefault="00343DB4" w:rsidP="00CE0387">
            <w:pPr>
              <w:autoSpaceDE w:val="0"/>
              <w:autoSpaceDN w:val="0"/>
              <w:adjustRightInd w:val="0"/>
              <w:jc w:val="both"/>
              <w:rPr>
                <w:rFonts w:ascii="Abadi" w:hAnsi="Abadi"/>
                <w:sz w:val="21"/>
                <w:szCs w:val="21"/>
              </w:rPr>
            </w:pPr>
            <w:r w:rsidRPr="00343DB4">
              <w:rPr>
                <w:rFonts w:ascii="Abadi" w:hAnsi="Abadi"/>
                <w:sz w:val="21"/>
                <w:szCs w:val="21"/>
              </w:rPr>
              <w:t>El ciudadano Pedro González Urrutia, de Guanajuato capital, presenta inconformidad contra participante del concurso de oposición abierto para la designación de magistrado civil.</w:t>
            </w:r>
          </w:p>
        </w:tc>
        <w:tc>
          <w:tcPr>
            <w:tcW w:w="1886" w:type="dxa"/>
          </w:tcPr>
          <w:p w14:paraId="056E668B" w14:textId="61BD48EB" w:rsidR="00343DB4" w:rsidRPr="00343DB4" w:rsidRDefault="00343DB4" w:rsidP="00CE0387">
            <w:pPr>
              <w:autoSpaceDE w:val="0"/>
              <w:autoSpaceDN w:val="0"/>
              <w:adjustRightInd w:val="0"/>
              <w:jc w:val="both"/>
              <w:rPr>
                <w:rFonts w:ascii="Abadi" w:hAnsi="Abadi"/>
                <w:b/>
                <w:bCs/>
                <w:sz w:val="21"/>
                <w:szCs w:val="21"/>
              </w:rPr>
            </w:pPr>
            <w:r w:rsidRPr="00343DB4">
              <w:rPr>
                <w:rFonts w:ascii="Abadi" w:hAnsi="Abadi"/>
                <w:b/>
                <w:bCs/>
                <w:sz w:val="21"/>
                <w:szCs w:val="21"/>
              </w:rPr>
              <w:t>Enterados.</w:t>
            </w:r>
          </w:p>
        </w:tc>
      </w:tr>
      <w:tr w:rsidR="004B4110" w:rsidRPr="008429AF" w14:paraId="0C2BB810" w14:textId="77777777" w:rsidTr="00724EA0">
        <w:tc>
          <w:tcPr>
            <w:tcW w:w="2494" w:type="dxa"/>
          </w:tcPr>
          <w:p w14:paraId="0C7223F8" w14:textId="35F426C8" w:rsidR="004B4110" w:rsidRPr="00343DB4" w:rsidRDefault="00343DB4" w:rsidP="00CE0387">
            <w:pPr>
              <w:autoSpaceDE w:val="0"/>
              <w:autoSpaceDN w:val="0"/>
              <w:adjustRightInd w:val="0"/>
              <w:jc w:val="both"/>
              <w:rPr>
                <w:rFonts w:ascii="Abadi" w:hAnsi="Abadi"/>
                <w:sz w:val="21"/>
                <w:szCs w:val="21"/>
              </w:rPr>
            </w:pPr>
            <w:r w:rsidRPr="00343DB4">
              <w:rPr>
                <w:rFonts w:ascii="Abadi" w:hAnsi="Abadi"/>
                <w:sz w:val="21"/>
                <w:szCs w:val="21"/>
              </w:rPr>
              <w:t>La coordinadora académica de la licenciatura en Derecho de la Universidad De La Salle Bajío remite respuesta a la consulta de la iniciativa que reforma los artículos 180, 181, 182 y 184; adiciona los artículos 180-a, 180-b y 184-a; y deroga los artículos 185, 185- a y 186 del Código Penal del Estado de Guanajuato.</w:t>
            </w:r>
          </w:p>
        </w:tc>
        <w:tc>
          <w:tcPr>
            <w:tcW w:w="1886" w:type="dxa"/>
          </w:tcPr>
          <w:p w14:paraId="11DAA655" w14:textId="4B5524E5" w:rsidR="004B4110" w:rsidRPr="00343DB4" w:rsidRDefault="00343DB4" w:rsidP="00CE0387">
            <w:pPr>
              <w:autoSpaceDE w:val="0"/>
              <w:autoSpaceDN w:val="0"/>
              <w:adjustRightInd w:val="0"/>
              <w:jc w:val="both"/>
              <w:rPr>
                <w:rFonts w:ascii="Abadi" w:hAnsi="Abadi"/>
                <w:b/>
                <w:bCs/>
                <w:sz w:val="21"/>
                <w:szCs w:val="21"/>
              </w:rPr>
            </w:pPr>
            <w:r w:rsidRPr="00343DB4">
              <w:rPr>
                <w:rFonts w:ascii="Abadi" w:hAnsi="Abadi"/>
                <w:b/>
                <w:bCs/>
                <w:sz w:val="21"/>
                <w:szCs w:val="21"/>
              </w:rPr>
              <w:t>Enterados y se informa que se turnó a la Comisión de Justicia.</w:t>
            </w:r>
          </w:p>
        </w:tc>
      </w:tr>
    </w:tbl>
    <w:p w14:paraId="206DE34C" w14:textId="63A4A2ED" w:rsidR="00970655" w:rsidRDefault="00970655" w:rsidP="00970655">
      <w:pPr>
        <w:pStyle w:val="NormalWeb"/>
        <w:ind w:firstLine="708"/>
        <w:jc w:val="both"/>
        <w:rPr>
          <w:rFonts w:ascii="Abadi" w:hAnsi="Abadi"/>
          <w:sz w:val="21"/>
          <w:szCs w:val="21"/>
        </w:rPr>
      </w:pPr>
      <w:r>
        <w:rPr>
          <w:rFonts w:ascii="Abadi" w:hAnsi="Abadi"/>
          <w:b/>
          <w:bCs/>
          <w:sz w:val="21"/>
          <w:szCs w:val="21"/>
        </w:rPr>
        <w:t xml:space="preserve">- </w:t>
      </w:r>
      <w:r w:rsidRPr="002D0E13">
        <w:rPr>
          <w:rFonts w:ascii="Abadi" w:hAnsi="Abadi"/>
          <w:b/>
          <w:bCs/>
          <w:sz w:val="21"/>
          <w:szCs w:val="21"/>
        </w:rPr>
        <w:t xml:space="preserve">La </w:t>
      </w:r>
      <w:proofErr w:type="gramStart"/>
      <w:r w:rsidRPr="002D0E13">
        <w:rPr>
          <w:rFonts w:ascii="Abadi" w:hAnsi="Abadi"/>
          <w:b/>
          <w:bCs/>
          <w:sz w:val="21"/>
          <w:szCs w:val="21"/>
        </w:rPr>
        <w:t>Presidencia.-</w:t>
      </w:r>
      <w:proofErr w:type="gramEnd"/>
      <w:r>
        <w:rPr>
          <w:rFonts w:ascii="Abadi" w:hAnsi="Abadi"/>
          <w:sz w:val="21"/>
          <w:szCs w:val="21"/>
        </w:rPr>
        <w:t xml:space="preserve"> E</w:t>
      </w:r>
      <w:r w:rsidRPr="0021199F">
        <w:rPr>
          <w:rFonts w:ascii="Abadi" w:hAnsi="Abadi"/>
          <w:sz w:val="21"/>
          <w:szCs w:val="21"/>
        </w:rPr>
        <w:t>n el siguiente punto del orden del día relativo a las comunicaciones y correspondencia recibidas se propone la dispensa de su lectura</w:t>
      </w:r>
      <w:r>
        <w:rPr>
          <w:rFonts w:ascii="Abadi" w:hAnsi="Abadi"/>
          <w:sz w:val="21"/>
          <w:szCs w:val="21"/>
        </w:rPr>
        <w:t>, en r</w:t>
      </w:r>
      <w:r w:rsidRPr="0021199F">
        <w:rPr>
          <w:rFonts w:ascii="Abadi" w:hAnsi="Abadi"/>
          <w:sz w:val="21"/>
          <w:szCs w:val="21"/>
        </w:rPr>
        <w:t>azón encontrarse en la Gaceta Parlamentaria</w:t>
      </w:r>
      <w:r>
        <w:rPr>
          <w:rFonts w:ascii="Abadi" w:hAnsi="Abadi"/>
          <w:sz w:val="21"/>
          <w:szCs w:val="21"/>
        </w:rPr>
        <w:t xml:space="preserve">. </w:t>
      </w:r>
    </w:p>
    <w:p w14:paraId="32B5AF48" w14:textId="1CE64F26" w:rsidR="00970655" w:rsidRDefault="00970655" w:rsidP="00970655">
      <w:pPr>
        <w:pStyle w:val="NormalWeb"/>
        <w:ind w:firstLine="708"/>
        <w:jc w:val="both"/>
        <w:rPr>
          <w:rFonts w:ascii="Abadi" w:hAnsi="Abadi"/>
          <w:sz w:val="21"/>
          <w:szCs w:val="21"/>
        </w:rPr>
      </w:pPr>
      <w:r>
        <w:rPr>
          <w:rFonts w:ascii="Abadi" w:hAnsi="Abadi"/>
          <w:sz w:val="21"/>
          <w:szCs w:val="21"/>
        </w:rPr>
        <w:t>- S</w:t>
      </w:r>
      <w:r w:rsidRPr="0021199F">
        <w:rPr>
          <w:rFonts w:ascii="Abadi" w:hAnsi="Abadi"/>
          <w:sz w:val="21"/>
          <w:szCs w:val="21"/>
        </w:rPr>
        <w:t>i alguna diputada o algún diputado desea hacer uso de la palabra con respecto a es</w:t>
      </w:r>
      <w:r>
        <w:rPr>
          <w:rFonts w:ascii="Abadi" w:hAnsi="Abadi"/>
          <w:sz w:val="21"/>
          <w:szCs w:val="21"/>
        </w:rPr>
        <w:t>t</w:t>
      </w:r>
      <w:r w:rsidRPr="0021199F">
        <w:rPr>
          <w:rFonts w:ascii="Abadi" w:hAnsi="Abadi"/>
          <w:sz w:val="21"/>
          <w:szCs w:val="21"/>
        </w:rPr>
        <w:t>a propuesta</w:t>
      </w:r>
      <w:r>
        <w:rPr>
          <w:rFonts w:ascii="Abadi" w:hAnsi="Abadi"/>
          <w:sz w:val="21"/>
          <w:szCs w:val="21"/>
        </w:rPr>
        <w:t xml:space="preserve"> sírvanse indicarlo a esta Presidencia.</w:t>
      </w:r>
    </w:p>
    <w:p w14:paraId="7F121A5F" w14:textId="5A9FD884" w:rsidR="00970655" w:rsidRDefault="00C63EE8" w:rsidP="00C63EE8">
      <w:pPr>
        <w:pStyle w:val="NormalWeb"/>
        <w:ind w:firstLine="708"/>
        <w:jc w:val="both"/>
        <w:rPr>
          <w:rFonts w:ascii="Abadi" w:hAnsi="Abadi"/>
          <w:sz w:val="21"/>
          <w:szCs w:val="21"/>
        </w:rPr>
      </w:pPr>
      <w:r>
        <w:rPr>
          <w:rFonts w:ascii="Abadi" w:hAnsi="Abadi"/>
          <w:sz w:val="21"/>
          <w:szCs w:val="21"/>
        </w:rPr>
        <w:t xml:space="preserve">- </w:t>
      </w:r>
      <w:r w:rsidR="00970655">
        <w:rPr>
          <w:rFonts w:ascii="Abadi" w:hAnsi="Abadi"/>
          <w:sz w:val="21"/>
          <w:szCs w:val="21"/>
        </w:rPr>
        <w:t>S</w:t>
      </w:r>
      <w:r w:rsidR="00970655" w:rsidRPr="0021199F">
        <w:rPr>
          <w:rFonts w:ascii="Abadi" w:hAnsi="Abadi"/>
          <w:sz w:val="21"/>
          <w:szCs w:val="21"/>
        </w:rPr>
        <w:t xml:space="preserve">e solicita </w:t>
      </w:r>
      <w:r w:rsidR="002646DE">
        <w:rPr>
          <w:rFonts w:ascii="Abadi" w:hAnsi="Abadi"/>
          <w:sz w:val="21"/>
          <w:szCs w:val="21"/>
        </w:rPr>
        <w:t xml:space="preserve">a </w:t>
      </w:r>
      <w:r w:rsidR="00970655" w:rsidRPr="0021199F">
        <w:rPr>
          <w:rFonts w:ascii="Abadi" w:hAnsi="Abadi"/>
          <w:sz w:val="21"/>
          <w:szCs w:val="21"/>
        </w:rPr>
        <w:t xml:space="preserve">la </w:t>
      </w:r>
      <w:r w:rsidR="00970655">
        <w:rPr>
          <w:rFonts w:ascii="Abadi" w:hAnsi="Abadi"/>
          <w:sz w:val="21"/>
          <w:szCs w:val="21"/>
        </w:rPr>
        <w:t>S</w:t>
      </w:r>
      <w:r w:rsidR="00970655" w:rsidRPr="0021199F">
        <w:rPr>
          <w:rFonts w:ascii="Abadi" w:hAnsi="Abadi"/>
          <w:sz w:val="21"/>
          <w:szCs w:val="21"/>
        </w:rPr>
        <w:t>ecretar</w:t>
      </w:r>
      <w:r w:rsidR="00970655">
        <w:rPr>
          <w:rFonts w:ascii="Abadi" w:hAnsi="Abadi"/>
          <w:sz w:val="21"/>
          <w:szCs w:val="21"/>
        </w:rPr>
        <w:t>i</w:t>
      </w:r>
      <w:r w:rsidR="00970655" w:rsidRPr="0021199F">
        <w:rPr>
          <w:rFonts w:ascii="Abadi" w:hAnsi="Abadi"/>
          <w:sz w:val="21"/>
          <w:szCs w:val="21"/>
        </w:rPr>
        <w:t>a que</w:t>
      </w:r>
      <w:r w:rsidR="00970655">
        <w:rPr>
          <w:rFonts w:ascii="Abadi" w:hAnsi="Abadi"/>
          <w:sz w:val="21"/>
          <w:szCs w:val="21"/>
        </w:rPr>
        <w:t xml:space="preserve"> en votación económica </w:t>
      </w:r>
      <w:r w:rsidR="00970655" w:rsidRPr="0021199F">
        <w:rPr>
          <w:rFonts w:ascii="Abadi" w:hAnsi="Abadi"/>
          <w:sz w:val="21"/>
          <w:szCs w:val="21"/>
        </w:rPr>
        <w:t>a través del sistema electrónico, pregunt</w:t>
      </w:r>
      <w:r w:rsidR="00970655">
        <w:rPr>
          <w:rFonts w:ascii="Abadi" w:hAnsi="Abadi"/>
          <w:sz w:val="21"/>
          <w:szCs w:val="21"/>
        </w:rPr>
        <w:t>e a</w:t>
      </w:r>
      <w:r w:rsidR="00970655" w:rsidRPr="0021199F">
        <w:rPr>
          <w:rFonts w:ascii="Abadi" w:hAnsi="Abadi"/>
          <w:sz w:val="21"/>
          <w:szCs w:val="21"/>
        </w:rPr>
        <w:t xml:space="preserve"> la diputada </w:t>
      </w:r>
      <w:r w:rsidR="00970655">
        <w:rPr>
          <w:rFonts w:ascii="Abadi" w:hAnsi="Abadi"/>
          <w:sz w:val="21"/>
          <w:szCs w:val="21"/>
        </w:rPr>
        <w:t xml:space="preserve">y a los diputados si es de aprobarse la </w:t>
      </w:r>
      <w:r w:rsidR="00970655" w:rsidRPr="0021199F">
        <w:rPr>
          <w:rFonts w:ascii="Abadi" w:hAnsi="Abadi"/>
          <w:sz w:val="21"/>
          <w:szCs w:val="21"/>
        </w:rPr>
        <w:t xml:space="preserve">propuesta. </w:t>
      </w:r>
    </w:p>
    <w:p w14:paraId="748A97B5" w14:textId="77777777" w:rsidR="00970655" w:rsidRPr="002D0E13" w:rsidRDefault="00970655" w:rsidP="00C63EE8">
      <w:pPr>
        <w:pStyle w:val="NormalWeb"/>
        <w:jc w:val="center"/>
        <w:rPr>
          <w:rFonts w:ascii="Abadi" w:hAnsi="Abadi"/>
          <w:b/>
          <w:bCs/>
          <w:sz w:val="21"/>
          <w:szCs w:val="21"/>
        </w:rPr>
      </w:pPr>
      <w:r w:rsidRPr="002D0E13">
        <w:rPr>
          <w:rFonts w:ascii="Abadi" w:hAnsi="Abadi"/>
          <w:b/>
          <w:bCs/>
          <w:sz w:val="21"/>
          <w:szCs w:val="21"/>
        </w:rPr>
        <w:t>(Se abre el sistema electrónico)</w:t>
      </w:r>
    </w:p>
    <w:p w14:paraId="03EAFBDC" w14:textId="45D78844" w:rsidR="00970655" w:rsidRDefault="00C63EE8" w:rsidP="00C63EE8">
      <w:pPr>
        <w:pStyle w:val="NormalWeb"/>
        <w:ind w:firstLine="708"/>
        <w:jc w:val="both"/>
        <w:rPr>
          <w:rFonts w:ascii="Abadi" w:hAnsi="Abadi"/>
          <w:sz w:val="21"/>
          <w:szCs w:val="21"/>
        </w:rPr>
      </w:pPr>
      <w:r>
        <w:rPr>
          <w:rFonts w:ascii="Abadi" w:hAnsi="Abadi"/>
          <w:b/>
          <w:bCs/>
          <w:sz w:val="21"/>
          <w:szCs w:val="21"/>
        </w:rPr>
        <w:t xml:space="preserve">- </w:t>
      </w:r>
      <w:r w:rsidR="00970655" w:rsidRPr="002D0E13">
        <w:rPr>
          <w:rFonts w:ascii="Abadi" w:hAnsi="Abadi"/>
          <w:b/>
          <w:bCs/>
          <w:sz w:val="21"/>
          <w:szCs w:val="21"/>
        </w:rPr>
        <w:t>La Secretaria. -</w:t>
      </w:r>
      <w:r w:rsidR="00970655">
        <w:rPr>
          <w:rFonts w:ascii="Abadi" w:hAnsi="Abadi"/>
          <w:sz w:val="21"/>
          <w:szCs w:val="21"/>
        </w:rPr>
        <w:t xml:space="preserve"> E</w:t>
      </w:r>
      <w:r w:rsidR="00970655" w:rsidRPr="0021199F">
        <w:rPr>
          <w:rFonts w:ascii="Abadi" w:hAnsi="Abadi"/>
          <w:sz w:val="21"/>
          <w:szCs w:val="21"/>
        </w:rPr>
        <w:t>n votación económica</w:t>
      </w:r>
      <w:r w:rsidR="00970655">
        <w:rPr>
          <w:rFonts w:ascii="Abadi" w:hAnsi="Abadi"/>
          <w:sz w:val="21"/>
          <w:szCs w:val="21"/>
        </w:rPr>
        <w:t>, s</w:t>
      </w:r>
      <w:r w:rsidR="00970655" w:rsidRPr="0021199F">
        <w:rPr>
          <w:rFonts w:ascii="Abadi" w:hAnsi="Abadi"/>
          <w:sz w:val="21"/>
          <w:szCs w:val="21"/>
        </w:rPr>
        <w:t xml:space="preserve">e consulta a las diputadas </w:t>
      </w:r>
      <w:r w:rsidR="00970655">
        <w:rPr>
          <w:rFonts w:ascii="Abadi" w:hAnsi="Abadi"/>
          <w:sz w:val="21"/>
          <w:szCs w:val="21"/>
        </w:rPr>
        <w:t xml:space="preserve">y a los diputados, si se aprueba la propuesta </w:t>
      </w:r>
      <w:r w:rsidR="00970655" w:rsidRPr="0021199F">
        <w:rPr>
          <w:rFonts w:ascii="Abadi" w:hAnsi="Abadi"/>
          <w:sz w:val="21"/>
          <w:szCs w:val="21"/>
        </w:rPr>
        <w:t>a través del sistema electrónico</w:t>
      </w:r>
      <w:r w:rsidR="00970655">
        <w:rPr>
          <w:rFonts w:ascii="Abadi" w:hAnsi="Abadi"/>
          <w:sz w:val="21"/>
          <w:szCs w:val="21"/>
        </w:rPr>
        <w:t xml:space="preserve">. </w:t>
      </w:r>
    </w:p>
    <w:p w14:paraId="68CCD932" w14:textId="77777777" w:rsidR="00970655" w:rsidRDefault="00970655" w:rsidP="00970655">
      <w:pPr>
        <w:pStyle w:val="NormalWeb"/>
        <w:jc w:val="both"/>
        <w:rPr>
          <w:rFonts w:ascii="Abadi" w:hAnsi="Abadi"/>
          <w:sz w:val="21"/>
          <w:szCs w:val="21"/>
        </w:rPr>
      </w:pPr>
      <w:r>
        <w:rPr>
          <w:rFonts w:ascii="Abadi" w:hAnsi="Abadi"/>
          <w:sz w:val="21"/>
          <w:szCs w:val="21"/>
        </w:rPr>
        <w:t>¿F</w:t>
      </w:r>
      <w:r w:rsidRPr="0021199F">
        <w:rPr>
          <w:rFonts w:ascii="Abadi" w:hAnsi="Abadi"/>
          <w:sz w:val="21"/>
          <w:szCs w:val="21"/>
        </w:rPr>
        <w:t>alta alguna diputada o algún diputado de emitir su vot</w:t>
      </w:r>
      <w:r>
        <w:rPr>
          <w:rFonts w:ascii="Abadi" w:hAnsi="Abadi"/>
          <w:sz w:val="21"/>
          <w:szCs w:val="21"/>
        </w:rPr>
        <w:t>o?</w:t>
      </w:r>
    </w:p>
    <w:p w14:paraId="679CB6B5" w14:textId="0854AF7C" w:rsidR="00970655" w:rsidRPr="0056569C" w:rsidRDefault="00C63EE8" w:rsidP="00C63EE8">
      <w:pPr>
        <w:pStyle w:val="NormalWeb"/>
        <w:jc w:val="center"/>
        <w:rPr>
          <w:rFonts w:ascii="Abadi" w:hAnsi="Abadi"/>
          <w:b/>
          <w:bCs/>
          <w:sz w:val="21"/>
          <w:szCs w:val="21"/>
        </w:rPr>
      </w:pPr>
      <w:r>
        <w:rPr>
          <w:noProof/>
        </w:rPr>
        <w:drawing>
          <wp:anchor distT="0" distB="0" distL="114300" distR="114300" simplePos="0" relativeHeight="251658244" behindDoc="0" locked="0" layoutInCell="1" allowOverlap="1" wp14:anchorId="2F3ECE3E" wp14:editId="52560DE0">
            <wp:simplePos x="0" y="0"/>
            <wp:positionH relativeFrom="column">
              <wp:posOffset>153670</wp:posOffset>
            </wp:positionH>
            <wp:positionV relativeFrom="page">
              <wp:posOffset>3180080</wp:posOffset>
            </wp:positionV>
            <wp:extent cx="2124710" cy="1110615"/>
            <wp:effectExtent l="152400" t="152400" r="370840" b="356235"/>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b="5723"/>
                    <a:stretch/>
                  </pic:blipFill>
                  <pic:spPr bwMode="auto">
                    <a:xfrm>
                      <a:off x="0" y="0"/>
                      <a:ext cx="2124710" cy="11106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0655" w:rsidRPr="0056569C">
        <w:rPr>
          <w:rFonts w:ascii="Abadi" w:hAnsi="Abadi"/>
          <w:b/>
          <w:bCs/>
          <w:sz w:val="21"/>
          <w:szCs w:val="21"/>
        </w:rPr>
        <w:t>(Se cierra el sistema electrónico)</w:t>
      </w:r>
    </w:p>
    <w:p w14:paraId="021A2C5A" w14:textId="77777777" w:rsidR="00970655" w:rsidRPr="0021199F" w:rsidRDefault="00970655" w:rsidP="00C63EE8">
      <w:pPr>
        <w:pStyle w:val="NormalWeb"/>
        <w:ind w:firstLine="708"/>
        <w:jc w:val="both"/>
        <w:rPr>
          <w:rFonts w:ascii="Abadi" w:hAnsi="Abadi"/>
          <w:sz w:val="21"/>
          <w:szCs w:val="21"/>
        </w:rPr>
      </w:pPr>
      <w:r>
        <w:rPr>
          <w:rFonts w:ascii="Abadi" w:hAnsi="Abadi"/>
          <w:b/>
          <w:bCs/>
          <w:sz w:val="21"/>
          <w:szCs w:val="21"/>
        </w:rPr>
        <w:t xml:space="preserve">- </w:t>
      </w:r>
      <w:r w:rsidRPr="0056569C">
        <w:rPr>
          <w:rFonts w:ascii="Abadi" w:hAnsi="Abadi"/>
          <w:b/>
          <w:bCs/>
          <w:sz w:val="21"/>
          <w:szCs w:val="21"/>
        </w:rPr>
        <w:t>La Secretaria. -</w:t>
      </w:r>
      <w:r>
        <w:rPr>
          <w:rFonts w:ascii="Abadi" w:hAnsi="Abadi"/>
          <w:sz w:val="21"/>
          <w:szCs w:val="21"/>
        </w:rPr>
        <w:t xml:space="preserve"> </w:t>
      </w:r>
      <w:r w:rsidRPr="0021199F">
        <w:rPr>
          <w:rFonts w:ascii="Abadi" w:hAnsi="Abadi"/>
          <w:sz w:val="21"/>
          <w:szCs w:val="21"/>
        </w:rPr>
        <w:t xml:space="preserve">Se registraron </w:t>
      </w:r>
      <w:r>
        <w:rPr>
          <w:rFonts w:ascii="Abadi" w:hAnsi="Abadi"/>
          <w:sz w:val="21"/>
          <w:szCs w:val="21"/>
        </w:rPr>
        <w:t>31votos a</w:t>
      </w:r>
      <w:r w:rsidRPr="0021199F">
        <w:rPr>
          <w:rFonts w:ascii="Abadi" w:hAnsi="Abadi"/>
          <w:sz w:val="21"/>
          <w:szCs w:val="21"/>
        </w:rPr>
        <w:t xml:space="preserve"> favor. </w:t>
      </w:r>
    </w:p>
    <w:p w14:paraId="41243011" w14:textId="77777777" w:rsidR="00970655" w:rsidRDefault="00970655" w:rsidP="00C63EE8">
      <w:pPr>
        <w:pStyle w:val="NormalWeb"/>
        <w:ind w:firstLine="708"/>
        <w:jc w:val="both"/>
        <w:rPr>
          <w:rFonts w:ascii="Abadi" w:hAnsi="Abadi"/>
          <w:sz w:val="21"/>
          <w:szCs w:val="21"/>
        </w:rPr>
      </w:pPr>
      <w:r>
        <w:rPr>
          <w:rFonts w:ascii="Abadi" w:hAnsi="Abadi"/>
          <w:b/>
          <w:bCs/>
          <w:sz w:val="21"/>
          <w:szCs w:val="21"/>
        </w:rPr>
        <w:t xml:space="preserve">- </w:t>
      </w:r>
      <w:r w:rsidRPr="00CE6370">
        <w:rPr>
          <w:rFonts w:ascii="Abadi" w:hAnsi="Abadi"/>
          <w:b/>
          <w:bCs/>
          <w:sz w:val="21"/>
          <w:szCs w:val="21"/>
        </w:rPr>
        <w:t>La presidencia. -</w:t>
      </w:r>
      <w:r>
        <w:rPr>
          <w:rFonts w:ascii="Abadi" w:hAnsi="Abadi"/>
          <w:sz w:val="21"/>
          <w:szCs w:val="21"/>
        </w:rPr>
        <w:t xml:space="preserve"> </w:t>
      </w:r>
      <w:r w:rsidRPr="0021199F">
        <w:rPr>
          <w:rFonts w:ascii="Abadi" w:hAnsi="Abadi"/>
          <w:sz w:val="21"/>
          <w:szCs w:val="21"/>
        </w:rPr>
        <w:t xml:space="preserve">La propuesta ha sido aprobada por unanimidad de votos. </w:t>
      </w:r>
    </w:p>
    <w:p w14:paraId="2454DEF0" w14:textId="77777777" w:rsidR="00970655" w:rsidRDefault="00970655" w:rsidP="00C63EE8">
      <w:pPr>
        <w:pStyle w:val="NormalWeb"/>
        <w:ind w:firstLine="708"/>
        <w:jc w:val="both"/>
        <w:rPr>
          <w:rFonts w:ascii="Abadi" w:hAnsi="Abadi"/>
          <w:sz w:val="21"/>
          <w:szCs w:val="21"/>
        </w:rPr>
      </w:pPr>
      <w:r>
        <w:rPr>
          <w:rFonts w:ascii="Abadi" w:hAnsi="Abadi"/>
          <w:b/>
          <w:bCs/>
          <w:sz w:val="21"/>
          <w:szCs w:val="21"/>
        </w:rPr>
        <w:t xml:space="preserve">- </w:t>
      </w:r>
      <w:r w:rsidRPr="006B78DD">
        <w:rPr>
          <w:rFonts w:ascii="Abadi" w:hAnsi="Abadi"/>
          <w:b/>
          <w:bCs/>
          <w:sz w:val="21"/>
          <w:szCs w:val="21"/>
        </w:rPr>
        <w:t xml:space="preserve">La </w:t>
      </w:r>
      <w:proofErr w:type="gramStart"/>
      <w:r w:rsidRPr="006B78DD">
        <w:rPr>
          <w:rFonts w:ascii="Abadi" w:hAnsi="Abadi"/>
          <w:b/>
          <w:bCs/>
          <w:sz w:val="21"/>
          <w:szCs w:val="21"/>
        </w:rPr>
        <w:t>Secretaria.-</w:t>
      </w:r>
      <w:proofErr w:type="gramEnd"/>
      <w:r>
        <w:rPr>
          <w:rFonts w:ascii="Abadi" w:hAnsi="Abadi"/>
          <w:sz w:val="21"/>
          <w:szCs w:val="21"/>
        </w:rPr>
        <w:t xml:space="preserve"> Se registraron 31 votos a favor</w:t>
      </w:r>
    </w:p>
    <w:p w14:paraId="66F950BC" w14:textId="77777777" w:rsidR="00970655" w:rsidRDefault="00970655" w:rsidP="00C63EE8">
      <w:pPr>
        <w:pStyle w:val="NormalWeb"/>
        <w:ind w:firstLine="708"/>
        <w:jc w:val="both"/>
        <w:rPr>
          <w:rFonts w:ascii="Abadi" w:hAnsi="Abadi"/>
          <w:sz w:val="21"/>
          <w:szCs w:val="21"/>
        </w:rPr>
      </w:pPr>
      <w:r w:rsidRPr="009203E5">
        <w:rPr>
          <w:rFonts w:ascii="Abadi" w:hAnsi="Abadi"/>
          <w:b/>
          <w:bCs/>
          <w:sz w:val="21"/>
          <w:szCs w:val="21"/>
        </w:rPr>
        <w:t xml:space="preserve">- La presidencia. </w:t>
      </w:r>
      <w:r>
        <w:rPr>
          <w:rFonts w:ascii="Abadi" w:hAnsi="Abadi"/>
          <w:sz w:val="21"/>
          <w:szCs w:val="21"/>
        </w:rPr>
        <w:t>-</w:t>
      </w:r>
      <w:r w:rsidRPr="007806E0">
        <w:rPr>
          <w:rFonts w:ascii="Abadi" w:hAnsi="Abadi"/>
          <w:sz w:val="21"/>
          <w:szCs w:val="21"/>
        </w:rPr>
        <w:t xml:space="preserve"> La propuesta ha sido aprobada por unanimidad</w:t>
      </w:r>
      <w:r>
        <w:rPr>
          <w:rFonts w:ascii="Abadi" w:hAnsi="Abadi"/>
          <w:sz w:val="21"/>
          <w:szCs w:val="21"/>
        </w:rPr>
        <w:t xml:space="preserve"> de votos. </w:t>
      </w:r>
    </w:p>
    <w:p w14:paraId="5AC05674" w14:textId="18073002" w:rsidR="00107545" w:rsidRPr="00970655" w:rsidRDefault="00970655" w:rsidP="00C63EE8">
      <w:pPr>
        <w:pStyle w:val="NormalWeb"/>
        <w:ind w:firstLine="426"/>
        <w:jc w:val="both"/>
        <w:rPr>
          <w:rFonts w:ascii="Abadi" w:hAnsi="Abadi"/>
          <w:sz w:val="21"/>
          <w:szCs w:val="21"/>
        </w:rPr>
      </w:pPr>
      <w:r>
        <w:rPr>
          <w:rFonts w:ascii="Abadi" w:hAnsi="Abadi"/>
          <w:sz w:val="21"/>
          <w:szCs w:val="21"/>
        </w:rPr>
        <w:t xml:space="preserve">- En consecuencia </w:t>
      </w:r>
      <w:r w:rsidR="002646DE">
        <w:rPr>
          <w:rFonts w:ascii="Abadi" w:hAnsi="Abadi"/>
          <w:sz w:val="21"/>
          <w:szCs w:val="21"/>
        </w:rPr>
        <w:t>ejecútense</w:t>
      </w:r>
      <w:r>
        <w:rPr>
          <w:rFonts w:ascii="Abadi" w:hAnsi="Abadi"/>
          <w:sz w:val="21"/>
          <w:szCs w:val="21"/>
        </w:rPr>
        <w:t xml:space="preserve"> los acuerdos dictados por esta presidencia de las comunicaciones y correspondencias recibidas.</w:t>
      </w:r>
    </w:p>
    <w:p w14:paraId="0DBA9AD4" w14:textId="0704A963" w:rsidR="00021259" w:rsidRPr="00021259" w:rsidRDefault="00021259" w:rsidP="00343CA9">
      <w:pPr>
        <w:pStyle w:val="Prrafodelista"/>
        <w:numPr>
          <w:ilvl w:val="0"/>
          <w:numId w:val="12"/>
        </w:numPr>
        <w:autoSpaceDE w:val="0"/>
        <w:autoSpaceDN w:val="0"/>
        <w:adjustRightInd w:val="0"/>
        <w:ind w:left="426" w:hanging="426"/>
        <w:jc w:val="both"/>
        <w:rPr>
          <w:rFonts w:ascii="Abadi" w:hAnsi="Abadi" w:cs="ArialMT"/>
          <w:b/>
          <w:bCs/>
          <w:sz w:val="20"/>
          <w:szCs w:val="21"/>
        </w:rPr>
      </w:pPr>
      <w:r w:rsidRPr="00021259">
        <w:rPr>
          <w:rFonts w:ascii="Abadi" w:hAnsi="Abadi" w:cs="ArialMT"/>
          <w:b/>
          <w:bCs/>
          <w:sz w:val="20"/>
          <w:szCs w:val="21"/>
        </w:rPr>
        <w:t>PRESENTACIÓN DE LA PROPUESTA DE TERNA PARA DESIGNAR A LA PERSONA TITULAR DEL ÓRGANO INTERNO DE CONTROL DEL INSTITUTO DE ACCESO A LA INFORMACIÓN PÚBLICA PARA EL ESTADO DE GUANAJUATO, FORMULADA POR EL PLENO DE DICHO INSTITUTO.</w:t>
      </w:r>
      <w:r w:rsidR="00C32904">
        <w:rPr>
          <w:rFonts w:ascii="Abadi" w:hAnsi="Abadi" w:cs="ArialMT"/>
          <w:b/>
          <w:bCs/>
          <w:sz w:val="20"/>
          <w:szCs w:val="21"/>
        </w:rPr>
        <w:t xml:space="preserve"> </w:t>
      </w:r>
      <w:r w:rsidR="00C32904">
        <w:rPr>
          <w:rStyle w:val="Refdenotaalpie"/>
          <w:rFonts w:ascii="Abadi" w:hAnsi="Abadi" w:cs="ArialMT"/>
          <w:b/>
          <w:bCs/>
          <w:sz w:val="20"/>
          <w:szCs w:val="21"/>
        </w:rPr>
        <w:footnoteReference w:id="4"/>
      </w:r>
    </w:p>
    <w:p w14:paraId="4AD2767B" w14:textId="77EC5C5C" w:rsidR="00021259" w:rsidRDefault="00021259" w:rsidP="00021259">
      <w:pPr>
        <w:autoSpaceDE w:val="0"/>
        <w:autoSpaceDN w:val="0"/>
        <w:adjustRightInd w:val="0"/>
        <w:ind w:left="426" w:hanging="426"/>
        <w:jc w:val="both"/>
        <w:rPr>
          <w:rFonts w:ascii="Abadi" w:hAnsi="Abadi" w:cs="ArialMT"/>
          <w:sz w:val="20"/>
          <w:szCs w:val="21"/>
        </w:rPr>
      </w:pPr>
    </w:p>
    <w:p w14:paraId="209E18F3" w14:textId="7AFE4761" w:rsidR="00A7016E" w:rsidRPr="00870D3D" w:rsidRDefault="00A7016E" w:rsidP="002C7017">
      <w:pPr>
        <w:kinsoku w:val="0"/>
        <w:overflowPunct w:val="0"/>
        <w:autoSpaceDE w:val="0"/>
        <w:autoSpaceDN w:val="0"/>
        <w:adjustRightInd w:val="0"/>
        <w:jc w:val="both"/>
        <w:rPr>
          <w:rFonts w:ascii="Abadi" w:hAnsi="Abadi" w:cs="Calibri"/>
          <w:b/>
          <w:bCs/>
          <w:color w:val="171620"/>
          <w:sz w:val="21"/>
          <w:szCs w:val="21"/>
        </w:rPr>
      </w:pPr>
      <w:r w:rsidRPr="00870D3D">
        <w:rPr>
          <w:rFonts w:ascii="Abadi" w:hAnsi="Abadi" w:cs="Calibri"/>
          <w:b/>
          <w:bCs/>
          <w:color w:val="171620"/>
          <w:sz w:val="21"/>
          <w:szCs w:val="21"/>
        </w:rPr>
        <w:t>Diputada</w:t>
      </w:r>
      <w:r w:rsidRPr="00870D3D">
        <w:rPr>
          <w:rFonts w:ascii="Abadi" w:hAnsi="Abadi" w:cs="Calibri"/>
          <w:b/>
          <w:bCs/>
          <w:color w:val="171620"/>
          <w:spacing w:val="31"/>
          <w:sz w:val="21"/>
          <w:szCs w:val="21"/>
        </w:rPr>
        <w:t xml:space="preserve"> </w:t>
      </w:r>
      <w:proofErr w:type="spellStart"/>
      <w:r w:rsidRPr="00870D3D">
        <w:rPr>
          <w:rFonts w:ascii="Abadi" w:hAnsi="Abadi" w:cs="Calibri"/>
          <w:b/>
          <w:bCs/>
          <w:color w:val="171620"/>
          <w:sz w:val="21"/>
          <w:szCs w:val="21"/>
        </w:rPr>
        <w:t>lrma</w:t>
      </w:r>
      <w:proofErr w:type="spellEnd"/>
      <w:r w:rsidRPr="00870D3D">
        <w:rPr>
          <w:rFonts w:ascii="Abadi" w:hAnsi="Abadi" w:cs="Calibri"/>
          <w:b/>
          <w:bCs/>
          <w:color w:val="171620"/>
          <w:spacing w:val="26"/>
          <w:sz w:val="21"/>
          <w:szCs w:val="21"/>
        </w:rPr>
        <w:t xml:space="preserve"> </w:t>
      </w:r>
      <w:r w:rsidRPr="00870D3D">
        <w:rPr>
          <w:rFonts w:ascii="Abadi" w:hAnsi="Abadi" w:cs="Calibri"/>
          <w:b/>
          <w:bCs/>
          <w:color w:val="171620"/>
          <w:sz w:val="21"/>
          <w:szCs w:val="21"/>
        </w:rPr>
        <w:t>Leticia</w:t>
      </w:r>
      <w:r w:rsidRPr="00870D3D">
        <w:rPr>
          <w:rFonts w:ascii="Abadi" w:hAnsi="Abadi" w:cs="Calibri"/>
          <w:b/>
          <w:bCs/>
          <w:color w:val="171620"/>
          <w:spacing w:val="15"/>
          <w:sz w:val="21"/>
          <w:szCs w:val="21"/>
        </w:rPr>
        <w:t xml:space="preserve"> </w:t>
      </w:r>
      <w:r w:rsidRPr="00870D3D">
        <w:rPr>
          <w:rFonts w:ascii="Abadi" w:hAnsi="Abadi" w:cs="Calibri"/>
          <w:b/>
          <w:bCs/>
          <w:color w:val="171620"/>
          <w:sz w:val="21"/>
          <w:szCs w:val="21"/>
        </w:rPr>
        <w:t>González</w:t>
      </w:r>
      <w:r w:rsidRPr="00870D3D">
        <w:rPr>
          <w:rFonts w:ascii="Abadi" w:hAnsi="Abadi" w:cs="Calibri"/>
          <w:b/>
          <w:bCs/>
          <w:color w:val="171620"/>
          <w:spacing w:val="14"/>
          <w:sz w:val="21"/>
          <w:szCs w:val="21"/>
        </w:rPr>
        <w:t xml:space="preserve"> </w:t>
      </w:r>
      <w:r w:rsidRPr="00870D3D">
        <w:rPr>
          <w:rFonts w:ascii="Abadi" w:hAnsi="Abadi" w:cs="Calibri"/>
          <w:b/>
          <w:bCs/>
          <w:color w:val="171620"/>
          <w:sz w:val="21"/>
          <w:szCs w:val="21"/>
        </w:rPr>
        <w:t>Sánchez</w:t>
      </w:r>
    </w:p>
    <w:p w14:paraId="7FBFF0B7" w14:textId="77777777" w:rsidR="0025647C" w:rsidRPr="00870D3D" w:rsidRDefault="003A5E63" w:rsidP="002C7017">
      <w:pPr>
        <w:kinsoku w:val="0"/>
        <w:overflowPunct w:val="0"/>
        <w:autoSpaceDE w:val="0"/>
        <w:autoSpaceDN w:val="0"/>
        <w:adjustRightInd w:val="0"/>
        <w:jc w:val="both"/>
        <w:rPr>
          <w:rFonts w:ascii="Abadi" w:hAnsi="Abadi" w:cs="Calibri"/>
          <w:color w:val="171620"/>
          <w:sz w:val="21"/>
          <w:szCs w:val="21"/>
        </w:rPr>
      </w:pPr>
      <w:r w:rsidRPr="00870D3D">
        <w:rPr>
          <w:rFonts w:ascii="Abadi" w:hAnsi="Abadi" w:cs="Calibri"/>
          <w:color w:val="171620"/>
          <w:sz w:val="21"/>
          <w:szCs w:val="21"/>
        </w:rPr>
        <w:t>Presidenta del H. Congreso del Estado de Guan</w:t>
      </w:r>
      <w:r w:rsidR="0025647C" w:rsidRPr="00870D3D">
        <w:rPr>
          <w:rFonts w:ascii="Abadi" w:hAnsi="Abadi" w:cs="Calibri"/>
          <w:color w:val="171620"/>
          <w:sz w:val="21"/>
          <w:szCs w:val="21"/>
        </w:rPr>
        <w:t>a</w:t>
      </w:r>
      <w:r w:rsidRPr="00870D3D">
        <w:rPr>
          <w:rFonts w:ascii="Abadi" w:hAnsi="Abadi" w:cs="Calibri"/>
          <w:color w:val="171620"/>
          <w:sz w:val="21"/>
          <w:szCs w:val="21"/>
        </w:rPr>
        <w:t>j</w:t>
      </w:r>
      <w:r w:rsidR="0025647C" w:rsidRPr="00870D3D">
        <w:rPr>
          <w:rFonts w:ascii="Abadi" w:hAnsi="Abadi" w:cs="Calibri"/>
          <w:color w:val="171620"/>
          <w:sz w:val="21"/>
          <w:szCs w:val="21"/>
        </w:rPr>
        <w:t>uato</w:t>
      </w:r>
    </w:p>
    <w:p w14:paraId="098B454B" w14:textId="77777777" w:rsidR="0025647C" w:rsidRPr="00870D3D" w:rsidRDefault="0025647C" w:rsidP="002C7017">
      <w:pPr>
        <w:kinsoku w:val="0"/>
        <w:overflowPunct w:val="0"/>
        <w:autoSpaceDE w:val="0"/>
        <w:autoSpaceDN w:val="0"/>
        <w:adjustRightInd w:val="0"/>
        <w:jc w:val="both"/>
        <w:rPr>
          <w:rFonts w:ascii="Abadi" w:hAnsi="Abadi" w:cs="Calibri"/>
          <w:color w:val="171620"/>
          <w:sz w:val="21"/>
          <w:szCs w:val="21"/>
        </w:rPr>
      </w:pPr>
    </w:p>
    <w:p w14:paraId="0805495B" w14:textId="2873F148" w:rsidR="003A5E63" w:rsidRPr="00870D3D" w:rsidRDefault="0025647C" w:rsidP="002C7017">
      <w:pPr>
        <w:kinsoku w:val="0"/>
        <w:overflowPunct w:val="0"/>
        <w:autoSpaceDE w:val="0"/>
        <w:autoSpaceDN w:val="0"/>
        <w:adjustRightInd w:val="0"/>
        <w:jc w:val="both"/>
        <w:rPr>
          <w:rFonts w:ascii="Abadi" w:hAnsi="Abadi" w:cs="Calibri"/>
          <w:color w:val="171620"/>
          <w:sz w:val="21"/>
          <w:szCs w:val="21"/>
        </w:rPr>
      </w:pPr>
      <w:r w:rsidRPr="00870D3D">
        <w:rPr>
          <w:rFonts w:ascii="Abadi" w:hAnsi="Abadi" w:cs="Calibri"/>
          <w:color w:val="171620"/>
          <w:sz w:val="21"/>
          <w:szCs w:val="21"/>
        </w:rPr>
        <w:t xml:space="preserve">Estimada Diputada presidenta  </w:t>
      </w:r>
    </w:p>
    <w:p w14:paraId="05F7EEA7" w14:textId="77777777" w:rsidR="003A5E63" w:rsidRPr="00870D3D" w:rsidRDefault="003A5E63" w:rsidP="003A5E63">
      <w:pPr>
        <w:kinsoku w:val="0"/>
        <w:overflowPunct w:val="0"/>
        <w:autoSpaceDE w:val="0"/>
        <w:autoSpaceDN w:val="0"/>
        <w:adjustRightInd w:val="0"/>
        <w:spacing w:line="304" w:lineRule="exact"/>
        <w:jc w:val="both"/>
        <w:rPr>
          <w:rFonts w:ascii="Abadi" w:hAnsi="Abadi" w:cs="Calibri"/>
          <w:color w:val="171620"/>
          <w:sz w:val="21"/>
          <w:szCs w:val="21"/>
        </w:rPr>
      </w:pPr>
    </w:p>
    <w:p w14:paraId="6C2FD7D9" w14:textId="77777777" w:rsidR="00A7016E" w:rsidRPr="00DE5E0E" w:rsidRDefault="00A7016E" w:rsidP="00A7016E">
      <w:pPr>
        <w:kinsoku w:val="0"/>
        <w:overflowPunct w:val="0"/>
        <w:autoSpaceDE w:val="0"/>
        <w:autoSpaceDN w:val="0"/>
        <w:adjustRightInd w:val="0"/>
        <w:spacing w:before="39" w:line="218" w:lineRule="auto"/>
        <w:ind w:right="144"/>
        <w:jc w:val="both"/>
        <w:rPr>
          <w:rFonts w:ascii="Abadi" w:hAnsi="Abadi" w:cs="Calibri"/>
          <w:color w:val="1D1C21"/>
          <w:sz w:val="21"/>
          <w:szCs w:val="21"/>
        </w:rPr>
      </w:pPr>
      <w:r w:rsidRPr="00DE5E0E">
        <w:rPr>
          <w:rFonts w:ascii="Abadi" w:hAnsi="Abadi" w:cs="Calibri"/>
          <w:color w:val="1D1C21"/>
          <w:sz w:val="21"/>
          <w:szCs w:val="21"/>
        </w:rPr>
        <w:t>Por</w:t>
      </w:r>
      <w:r w:rsidRPr="00DE5E0E">
        <w:rPr>
          <w:rFonts w:ascii="Abadi" w:hAnsi="Abadi" w:cs="Calibri"/>
          <w:color w:val="1D1C21"/>
          <w:spacing w:val="32"/>
          <w:sz w:val="21"/>
          <w:szCs w:val="21"/>
        </w:rPr>
        <w:t xml:space="preserve"> </w:t>
      </w:r>
      <w:r w:rsidRPr="00DE5E0E">
        <w:rPr>
          <w:rFonts w:ascii="Abadi" w:hAnsi="Abadi" w:cs="Calibri"/>
          <w:color w:val="1D1C21"/>
          <w:sz w:val="21"/>
          <w:szCs w:val="21"/>
        </w:rPr>
        <w:t>este</w:t>
      </w:r>
      <w:r w:rsidRPr="00DE5E0E">
        <w:rPr>
          <w:rFonts w:ascii="Abadi" w:hAnsi="Abadi" w:cs="Calibri"/>
          <w:color w:val="1D1C21"/>
          <w:spacing w:val="27"/>
          <w:sz w:val="21"/>
          <w:szCs w:val="21"/>
        </w:rPr>
        <w:t xml:space="preserve"> </w:t>
      </w:r>
      <w:r w:rsidRPr="00DE5E0E">
        <w:rPr>
          <w:rFonts w:ascii="Abadi" w:hAnsi="Abadi" w:cs="Calibri"/>
          <w:color w:val="1D1C21"/>
          <w:sz w:val="21"/>
          <w:szCs w:val="21"/>
        </w:rPr>
        <w:t>conducto,</w:t>
      </w:r>
      <w:r w:rsidRPr="00DE5E0E">
        <w:rPr>
          <w:rFonts w:ascii="Abadi" w:hAnsi="Abadi" w:cs="Calibri"/>
          <w:color w:val="1D1C21"/>
          <w:spacing w:val="46"/>
          <w:sz w:val="21"/>
          <w:szCs w:val="21"/>
        </w:rPr>
        <w:t xml:space="preserve"> </w:t>
      </w:r>
      <w:r w:rsidRPr="00DE5E0E">
        <w:rPr>
          <w:rFonts w:ascii="Abadi" w:hAnsi="Abadi" w:cs="Calibri"/>
          <w:color w:val="1D1C21"/>
          <w:sz w:val="21"/>
          <w:szCs w:val="21"/>
        </w:rPr>
        <w:t>se</w:t>
      </w:r>
      <w:r w:rsidRPr="00DE5E0E">
        <w:rPr>
          <w:rFonts w:ascii="Abadi" w:hAnsi="Abadi" w:cs="Calibri"/>
          <w:color w:val="1D1C21"/>
          <w:spacing w:val="27"/>
          <w:sz w:val="21"/>
          <w:szCs w:val="21"/>
        </w:rPr>
        <w:t xml:space="preserve"> </w:t>
      </w:r>
      <w:r w:rsidRPr="00DE5E0E">
        <w:rPr>
          <w:rFonts w:ascii="Abadi" w:hAnsi="Abadi" w:cs="Calibri"/>
          <w:color w:val="1D1C21"/>
          <w:sz w:val="21"/>
          <w:szCs w:val="21"/>
        </w:rPr>
        <w:t>remite</w:t>
      </w:r>
      <w:r w:rsidRPr="00DE5E0E">
        <w:rPr>
          <w:rFonts w:ascii="Abadi" w:hAnsi="Abadi" w:cs="Calibri"/>
          <w:color w:val="1D1C21"/>
          <w:spacing w:val="29"/>
          <w:sz w:val="21"/>
          <w:szCs w:val="21"/>
        </w:rPr>
        <w:t xml:space="preserve"> </w:t>
      </w:r>
      <w:r w:rsidRPr="00DE5E0E">
        <w:rPr>
          <w:rFonts w:ascii="Abadi" w:hAnsi="Abadi" w:cs="Calibri"/>
          <w:color w:val="1D1C21"/>
          <w:sz w:val="21"/>
          <w:szCs w:val="21"/>
        </w:rPr>
        <w:t>la</w:t>
      </w:r>
      <w:r w:rsidRPr="00DE5E0E">
        <w:rPr>
          <w:rFonts w:ascii="Abadi" w:hAnsi="Abadi" w:cs="Calibri"/>
          <w:color w:val="1D1C21"/>
          <w:spacing w:val="28"/>
          <w:sz w:val="21"/>
          <w:szCs w:val="21"/>
        </w:rPr>
        <w:t xml:space="preserve"> </w:t>
      </w:r>
      <w:r w:rsidRPr="00DE5E0E">
        <w:rPr>
          <w:rFonts w:ascii="Abadi" w:hAnsi="Abadi" w:cs="Calibri"/>
          <w:color w:val="1D1C21"/>
          <w:sz w:val="21"/>
          <w:szCs w:val="21"/>
        </w:rPr>
        <w:t>terna</w:t>
      </w:r>
      <w:r w:rsidRPr="00DE5E0E">
        <w:rPr>
          <w:rFonts w:ascii="Abadi" w:hAnsi="Abadi" w:cs="Calibri"/>
          <w:color w:val="1D1C21"/>
          <w:spacing w:val="31"/>
          <w:sz w:val="21"/>
          <w:szCs w:val="21"/>
        </w:rPr>
        <w:t xml:space="preserve"> </w:t>
      </w:r>
      <w:r w:rsidRPr="00DE5E0E">
        <w:rPr>
          <w:rFonts w:ascii="Abadi" w:hAnsi="Abadi" w:cs="Calibri"/>
          <w:color w:val="1D1C21"/>
          <w:sz w:val="21"/>
          <w:szCs w:val="21"/>
        </w:rPr>
        <w:t>que</w:t>
      </w:r>
      <w:r w:rsidRPr="00DE5E0E">
        <w:rPr>
          <w:rFonts w:ascii="Abadi" w:hAnsi="Abadi" w:cs="Calibri"/>
          <w:color w:val="1D1C21"/>
          <w:spacing w:val="28"/>
          <w:sz w:val="21"/>
          <w:szCs w:val="21"/>
        </w:rPr>
        <w:t xml:space="preserve"> </w:t>
      </w:r>
      <w:r w:rsidRPr="00DE5E0E">
        <w:rPr>
          <w:rFonts w:ascii="Abadi" w:hAnsi="Abadi" w:cs="Calibri"/>
          <w:color w:val="1D1C21"/>
          <w:sz w:val="21"/>
          <w:szCs w:val="21"/>
        </w:rPr>
        <w:t>contiene</w:t>
      </w:r>
      <w:r w:rsidRPr="00DE5E0E">
        <w:rPr>
          <w:rFonts w:ascii="Abadi" w:hAnsi="Abadi" w:cs="Calibri"/>
          <w:color w:val="1D1C21"/>
          <w:spacing w:val="29"/>
          <w:sz w:val="21"/>
          <w:szCs w:val="21"/>
        </w:rPr>
        <w:t xml:space="preserve"> </w:t>
      </w:r>
      <w:r w:rsidRPr="00DE5E0E">
        <w:rPr>
          <w:rFonts w:ascii="Abadi" w:hAnsi="Abadi" w:cs="Calibri"/>
          <w:color w:val="1D1C21"/>
          <w:sz w:val="21"/>
          <w:szCs w:val="21"/>
        </w:rPr>
        <w:t>los</w:t>
      </w:r>
      <w:r w:rsidRPr="00DE5E0E">
        <w:rPr>
          <w:rFonts w:ascii="Abadi" w:hAnsi="Abadi" w:cs="Calibri"/>
          <w:color w:val="1D1C21"/>
          <w:spacing w:val="28"/>
          <w:sz w:val="21"/>
          <w:szCs w:val="21"/>
        </w:rPr>
        <w:t xml:space="preserve"> </w:t>
      </w:r>
      <w:r w:rsidRPr="00DE5E0E">
        <w:rPr>
          <w:rFonts w:ascii="Abadi" w:hAnsi="Abadi" w:cs="Calibri"/>
          <w:color w:val="1D1C21"/>
          <w:sz w:val="21"/>
          <w:szCs w:val="21"/>
        </w:rPr>
        <w:t>nombres</w:t>
      </w:r>
      <w:r w:rsidRPr="00DE5E0E">
        <w:rPr>
          <w:rFonts w:ascii="Abadi" w:hAnsi="Abadi" w:cs="Calibri"/>
          <w:color w:val="1D1C21"/>
          <w:spacing w:val="28"/>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29"/>
          <w:sz w:val="21"/>
          <w:szCs w:val="21"/>
        </w:rPr>
        <w:t xml:space="preserve"> </w:t>
      </w:r>
      <w:r w:rsidRPr="00DE5E0E">
        <w:rPr>
          <w:rFonts w:ascii="Abadi" w:hAnsi="Abadi" w:cs="Calibri"/>
          <w:color w:val="1D1C21"/>
          <w:sz w:val="21"/>
          <w:szCs w:val="21"/>
        </w:rPr>
        <w:t>las</w:t>
      </w:r>
      <w:r w:rsidRPr="00DE5E0E">
        <w:rPr>
          <w:rFonts w:ascii="Abadi" w:hAnsi="Abadi" w:cs="Calibri"/>
          <w:color w:val="1D1C21"/>
          <w:spacing w:val="31"/>
          <w:sz w:val="21"/>
          <w:szCs w:val="21"/>
        </w:rPr>
        <w:t xml:space="preserve"> </w:t>
      </w:r>
      <w:r w:rsidRPr="00DE5E0E">
        <w:rPr>
          <w:rFonts w:ascii="Abadi" w:hAnsi="Abadi" w:cs="Calibri"/>
          <w:color w:val="1D1C21"/>
          <w:sz w:val="21"/>
          <w:szCs w:val="21"/>
        </w:rPr>
        <w:t>personas</w:t>
      </w:r>
      <w:r w:rsidRPr="00DE5E0E">
        <w:rPr>
          <w:rFonts w:ascii="Abadi" w:hAnsi="Abadi" w:cs="Calibri"/>
          <w:color w:val="1D1C21"/>
          <w:spacing w:val="28"/>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27"/>
          <w:sz w:val="21"/>
          <w:szCs w:val="21"/>
        </w:rPr>
        <w:t xml:space="preserve"> </w:t>
      </w:r>
      <w:r w:rsidRPr="00DE5E0E">
        <w:rPr>
          <w:rFonts w:ascii="Abadi" w:hAnsi="Abadi" w:cs="Calibri"/>
          <w:color w:val="1D1C21"/>
          <w:sz w:val="21"/>
          <w:szCs w:val="21"/>
        </w:rPr>
        <w:t>entre</w:t>
      </w:r>
      <w:r w:rsidRPr="00DE5E0E">
        <w:rPr>
          <w:rFonts w:ascii="Abadi" w:hAnsi="Abadi" w:cs="Calibri"/>
          <w:color w:val="1D1C21"/>
          <w:spacing w:val="29"/>
          <w:sz w:val="21"/>
          <w:szCs w:val="21"/>
        </w:rPr>
        <w:t xml:space="preserve"> </w:t>
      </w:r>
      <w:r w:rsidRPr="00DE5E0E">
        <w:rPr>
          <w:rFonts w:ascii="Abadi" w:hAnsi="Abadi" w:cs="Calibri"/>
          <w:color w:val="1D1C21"/>
          <w:sz w:val="21"/>
          <w:szCs w:val="21"/>
        </w:rPr>
        <w:t>las</w:t>
      </w:r>
      <w:r w:rsidRPr="00DE5E0E">
        <w:rPr>
          <w:rFonts w:ascii="Abadi" w:hAnsi="Abadi" w:cs="Calibri"/>
          <w:color w:val="1D1C21"/>
          <w:spacing w:val="-3"/>
          <w:sz w:val="21"/>
          <w:szCs w:val="21"/>
        </w:rPr>
        <w:t xml:space="preserve"> </w:t>
      </w:r>
      <w:r w:rsidRPr="00DE5E0E">
        <w:rPr>
          <w:rFonts w:ascii="Abadi" w:hAnsi="Abadi" w:cs="Calibri"/>
          <w:color w:val="1D1C21"/>
          <w:sz w:val="21"/>
          <w:szCs w:val="21"/>
        </w:rPr>
        <w:t>cuales,</w:t>
      </w:r>
      <w:r w:rsidRPr="00DE5E0E">
        <w:rPr>
          <w:rFonts w:ascii="Abadi" w:hAnsi="Abadi" w:cs="Calibri"/>
          <w:color w:val="1D1C21"/>
          <w:spacing w:val="19"/>
          <w:sz w:val="21"/>
          <w:szCs w:val="21"/>
        </w:rPr>
        <w:t xml:space="preserve"> </w:t>
      </w:r>
      <w:r w:rsidRPr="00DE5E0E">
        <w:rPr>
          <w:rFonts w:ascii="Abadi" w:hAnsi="Abadi" w:cs="Calibri"/>
          <w:color w:val="1D1C21"/>
          <w:sz w:val="21"/>
          <w:szCs w:val="21"/>
        </w:rPr>
        <w:t>el</w:t>
      </w:r>
      <w:r w:rsidRPr="00DE5E0E">
        <w:rPr>
          <w:rFonts w:ascii="Abadi" w:hAnsi="Abadi" w:cs="Calibri"/>
          <w:color w:val="1D1C21"/>
          <w:spacing w:val="53"/>
          <w:sz w:val="21"/>
          <w:szCs w:val="21"/>
        </w:rPr>
        <w:t xml:space="preserve"> </w:t>
      </w:r>
      <w:r w:rsidRPr="00DE5E0E">
        <w:rPr>
          <w:rFonts w:ascii="Abadi" w:hAnsi="Abadi" w:cs="Calibri"/>
          <w:color w:val="1D1C21"/>
          <w:sz w:val="21"/>
          <w:szCs w:val="21"/>
        </w:rPr>
        <w:t>Congreso</w:t>
      </w:r>
      <w:r w:rsidRPr="00DE5E0E">
        <w:rPr>
          <w:rFonts w:ascii="Abadi" w:hAnsi="Abadi" w:cs="Calibri"/>
          <w:color w:val="1D1C21"/>
          <w:spacing w:val="2"/>
          <w:sz w:val="21"/>
          <w:szCs w:val="21"/>
        </w:rPr>
        <w:t xml:space="preserve"> </w:t>
      </w:r>
      <w:r w:rsidRPr="00DE5E0E">
        <w:rPr>
          <w:rFonts w:ascii="Abadi" w:hAnsi="Abadi" w:cs="Calibri"/>
          <w:color w:val="1D1C21"/>
          <w:sz w:val="21"/>
          <w:szCs w:val="21"/>
        </w:rPr>
        <w:t>del</w:t>
      </w:r>
      <w:r w:rsidRPr="00DE5E0E">
        <w:rPr>
          <w:rFonts w:ascii="Abadi" w:hAnsi="Abadi" w:cs="Calibri"/>
          <w:color w:val="1D1C21"/>
          <w:spacing w:val="12"/>
          <w:sz w:val="21"/>
          <w:szCs w:val="21"/>
        </w:rPr>
        <w:t xml:space="preserve"> </w:t>
      </w:r>
      <w:r w:rsidRPr="00DE5E0E">
        <w:rPr>
          <w:rFonts w:ascii="Abadi" w:hAnsi="Abadi" w:cs="Calibri"/>
          <w:color w:val="1D1C21"/>
          <w:sz w:val="21"/>
          <w:szCs w:val="21"/>
        </w:rPr>
        <w:t>Estado</w:t>
      </w:r>
      <w:r w:rsidRPr="00DE5E0E">
        <w:rPr>
          <w:rFonts w:ascii="Abadi" w:hAnsi="Abadi" w:cs="Calibri"/>
          <w:color w:val="1D1C21"/>
          <w:spacing w:val="52"/>
          <w:sz w:val="21"/>
          <w:szCs w:val="21"/>
        </w:rPr>
        <w:t xml:space="preserve"> </w:t>
      </w:r>
      <w:r w:rsidRPr="00DE5E0E">
        <w:rPr>
          <w:rFonts w:ascii="Abadi" w:hAnsi="Abadi" w:cs="Calibri"/>
          <w:color w:val="1D1C21"/>
          <w:sz w:val="21"/>
          <w:szCs w:val="21"/>
        </w:rPr>
        <w:t>podrá</w:t>
      </w:r>
      <w:r w:rsidRPr="00DE5E0E">
        <w:rPr>
          <w:rFonts w:ascii="Abadi" w:hAnsi="Abadi" w:cs="Calibri"/>
          <w:color w:val="1D1C21"/>
          <w:spacing w:val="8"/>
          <w:sz w:val="21"/>
          <w:szCs w:val="21"/>
        </w:rPr>
        <w:t xml:space="preserve"> </w:t>
      </w:r>
      <w:r w:rsidRPr="00DE5E0E">
        <w:rPr>
          <w:rFonts w:ascii="Abadi" w:hAnsi="Abadi" w:cs="Calibri"/>
          <w:color w:val="1D1C21"/>
          <w:sz w:val="21"/>
          <w:szCs w:val="21"/>
        </w:rPr>
        <w:t>designar</w:t>
      </w:r>
      <w:r w:rsidRPr="00DE5E0E">
        <w:rPr>
          <w:rFonts w:ascii="Abadi" w:hAnsi="Abadi" w:cs="Calibri"/>
          <w:color w:val="1D1C21"/>
          <w:spacing w:val="4"/>
          <w:sz w:val="21"/>
          <w:szCs w:val="21"/>
        </w:rPr>
        <w:t xml:space="preserve"> </w:t>
      </w:r>
      <w:r w:rsidRPr="00DE5E0E">
        <w:rPr>
          <w:rFonts w:ascii="Abadi" w:hAnsi="Abadi" w:cs="Calibri"/>
          <w:color w:val="1D1C21"/>
          <w:sz w:val="21"/>
          <w:szCs w:val="21"/>
        </w:rPr>
        <w:t>a</w:t>
      </w:r>
      <w:r w:rsidRPr="00DE5E0E">
        <w:rPr>
          <w:rFonts w:ascii="Abadi" w:hAnsi="Abadi" w:cs="Calibri"/>
          <w:color w:val="1D1C21"/>
          <w:spacing w:val="1"/>
          <w:sz w:val="21"/>
          <w:szCs w:val="21"/>
        </w:rPr>
        <w:t xml:space="preserve"> </w:t>
      </w:r>
      <w:r w:rsidRPr="00DE5E0E">
        <w:rPr>
          <w:rFonts w:ascii="Abadi" w:hAnsi="Abadi" w:cs="Calibri"/>
          <w:color w:val="1D1C21"/>
          <w:sz w:val="21"/>
          <w:szCs w:val="21"/>
        </w:rPr>
        <w:t>la persona</w:t>
      </w:r>
      <w:r w:rsidRPr="00DE5E0E">
        <w:rPr>
          <w:rFonts w:ascii="Abadi" w:hAnsi="Abadi" w:cs="Calibri"/>
          <w:color w:val="1D1C21"/>
          <w:spacing w:val="52"/>
          <w:sz w:val="21"/>
          <w:szCs w:val="21"/>
        </w:rPr>
        <w:t xml:space="preserve"> </w:t>
      </w:r>
      <w:r w:rsidRPr="00DE5E0E">
        <w:rPr>
          <w:rFonts w:ascii="Abadi" w:hAnsi="Abadi" w:cs="Calibri"/>
          <w:color w:val="1D1C21"/>
          <w:sz w:val="21"/>
          <w:szCs w:val="21"/>
        </w:rPr>
        <w:t>titular</w:t>
      </w:r>
      <w:r w:rsidRPr="00DE5E0E">
        <w:rPr>
          <w:rFonts w:ascii="Abadi" w:hAnsi="Abadi" w:cs="Calibri"/>
          <w:color w:val="1D1C21"/>
          <w:spacing w:val="2"/>
          <w:sz w:val="21"/>
          <w:szCs w:val="21"/>
        </w:rPr>
        <w:t xml:space="preserve"> </w:t>
      </w:r>
      <w:r w:rsidRPr="00DE5E0E">
        <w:rPr>
          <w:rFonts w:ascii="Abadi" w:hAnsi="Abadi" w:cs="Calibri"/>
          <w:color w:val="1D1C21"/>
          <w:sz w:val="21"/>
          <w:szCs w:val="21"/>
        </w:rPr>
        <w:t>del</w:t>
      </w:r>
      <w:r w:rsidRPr="00DE5E0E">
        <w:rPr>
          <w:rFonts w:ascii="Abadi" w:hAnsi="Abadi" w:cs="Calibri"/>
          <w:color w:val="1D1C21"/>
          <w:spacing w:val="2"/>
          <w:sz w:val="21"/>
          <w:szCs w:val="21"/>
        </w:rPr>
        <w:t xml:space="preserve"> </w:t>
      </w:r>
      <w:r w:rsidRPr="00DE5E0E">
        <w:rPr>
          <w:rFonts w:ascii="Abadi" w:hAnsi="Abadi" w:cs="Calibri"/>
          <w:color w:val="1D1C21"/>
          <w:sz w:val="21"/>
          <w:szCs w:val="21"/>
        </w:rPr>
        <w:t>Órgano</w:t>
      </w:r>
      <w:r w:rsidRPr="00DE5E0E">
        <w:rPr>
          <w:rFonts w:ascii="Abadi" w:hAnsi="Abadi" w:cs="Calibri"/>
          <w:color w:val="1D1C21"/>
          <w:spacing w:val="52"/>
          <w:sz w:val="21"/>
          <w:szCs w:val="21"/>
        </w:rPr>
        <w:t xml:space="preserve"> </w:t>
      </w:r>
      <w:r w:rsidRPr="00DE5E0E">
        <w:rPr>
          <w:rFonts w:ascii="Abadi" w:hAnsi="Abadi" w:cs="Calibri"/>
          <w:color w:val="1D1C21"/>
          <w:sz w:val="21"/>
          <w:szCs w:val="21"/>
        </w:rPr>
        <w:t>Interno</w:t>
      </w:r>
      <w:r w:rsidRPr="00DE5E0E">
        <w:rPr>
          <w:rFonts w:ascii="Abadi" w:hAnsi="Abadi" w:cs="Calibri"/>
          <w:color w:val="1D1C21"/>
          <w:spacing w:val="2"/>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6"/>
          <w:sz w:val="21"/>
          <w:szCs w:val="21"/>
        </w:rPr>
        <w:t xml:space="preserve"> </w:t>
      </w:r>
      <w:r w:rsidRPr="00DE5E0E">
        <w:rPr>
          <w:rFonts w:ascii="Abadi" w:hAnsi="Abadi" w:cs="Calibri"/>
          <w:color w:val="1D1C21"/>
          <w:sz w:val="21"/>
          <w:szCs w:val="21"/>
        </w:rPr>
        <w:t>Control</w:t>
      </w:r>
      <w:r w:rsidRPr="00DE5E0E">
        <w:rPr>
          <w:rFonts w:ascii="Abadi" w:hAnsi="Abadi" w:cs="Calibri"/>
          <w:color w:val="1D1C21"/>
          <w:spacing w:val="25"/>
          <w:sz w:val="21"/>
          <w:szCs w:val="21"/>
        </w:rPr>
        <w:t xml:space="preserve"> </w:t>
      </w:r>
      <w:r w:rsidRPr="00DE5E0E">
        <w:rPr>
          <w:rFonts w:ascii="Abadi" w:hAnsi="Abadi" w:cs="Calibri"/>
          <w:color w:val="1D1C21"/>
          <w:sz w:val="21"/>
          <w:szCs w:val="21"/>
        </w:rPr>
        <w:t>del</w:t>
      </w:r>
      <w:r w:rsidRPr="00DE5E0E">
        <w:rPr>
          <w:rFonts w:ascii="Abadi" w:hAnsi="Abadi" w:cs="Calibri"/>
          <w:color w:val="1D1C21"/>
          <w:spacing w:val="16"/>
          <w:sz w:val="21"/>
          <w:szCs w:val="21"/>
        </w:rPr>
        <w:t xml:space="preserve"> </w:t>
      </w:r>
      <w:r w:rsidRPr="00DE5E0E">
        <w:rPr>
          <w:rFonts w:ascii="Abadi" w:hAnsi="Abadi" w:cs="Calibri"/>
          <w:color w:val="1D1C21"/>
          <w:sz w:val="21"/>
          <w:szCs w:val="21"/>
        </w:rPr>
        <w:t>Instituto</w:t>
      </w:r>
      <w:r w:rsidRPr="00DE5E0E">
        <w:rPr>
          <w:rFonts w:ascii="Abadi" w:hAnsi="Abadi" w:cs="Calibri"/>
          <w:color w:val="1D1C21"/>
          <w:spacing w:val="12"/>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12"/>
          <w:sz w:val="21"/>
          <w:szCs w:val="21"/>
        </w:rPr>
        <w:t xml:space="preserve"> </w:t>
      </w:r>
      <w:r w:rsidRPr="00DE5E0E">
        <w:rPr>
          <w:rFonts w:ascii="Abadi" w:hAnsi="Abadi" w:cs="Calibri"/>
          <w:color w:val="1D1C21"/>
          <w:sz w:val="21"/>
          <w:szCs w:val="21"/>
        </w:rPr>
        <w:t>Acceso</w:t>
      </w:r>
      <w:r w:rsidRPr="00DE5E0E">
        <w:rPr>
          <w:rFonts w:ascii="Abadi" w:hAnsi="Abadi" w:cs="Calibri"/>
          <w:color w:val="1D1C21"/>
          <w:spacing w:val="10"/>
          <w:sz w:val="21"/>
          <w:szCs w:val="21"/>
        </w:rPr>
        <w:t xml:space="preserve"> </w:t>
      </w:r>
      <w:r w:rsidRPr="00DE5E0E">
        <w:rPr>
          <w:rFonts w:ascii="Abadi" w:hAnsi="Abadi" w:cs="Calibri"/>
          <w:color w:val="1D1C21"/>
          <w:sz w:val="21"/>
          <w:szCs w:val="21"/>
        </w:rPr>
        <w:t>a</w:t>
      </w:r>
      <w:r w:rsidRPr="00DE5E0E">
        <w:rPr>
          <w:rFonts w:ascii="Abadi" w:hAnsi="Abadi" w:cs="Calibri"/>
          <w:color w:val="1D1C21"/>
          <w:spacing w:val="13"/>
          <w:sz w:val="21"/>
          <w:szCs w:val="21"/>
        </w:rPr>
        <w:t xml:space="preserve"> </w:t>
      </w:r>
      <w:r w:rsidRPr="00DE5E0E">
        <w:rPr>
          <w:rFonts w:ascii="Abadi" w:hAnsi="Abadi" w:cs="Calibri"/>
          <w:color w:val="1D1C21"/>
          <w:sz w:val="21"/>
          <w:szCs w:val="21"/>
        </w:rPr>
        <w:t>la</w:t>
      </w:r>
      <w:r w:rsidRPr="00DE5E0E">
        <w:rPr>
          <w:rFonts w:ascii="Abadi" w:hAnsi="Abadi" w:cs="Calibri"/>
          <w:color w:val="1D1C21"/>
          <w:spacing w:val="15"/>
          <w:sz w:val="21"/>
          <w:szCs w:val="21"/>
        </w:rPr>
        <w:t xml:space="preserve"> </w:t>
      </w:r>
      <w:r w:rsidRPr="00DE5E0E">
        <w:rPr>
          <w:rFonts w:ascii="Abadi" w:hAnsi="Abadi" w:cs="Calibri"/>
          <w:color w:val="1D1C21"/>
          <w:sz w:val="21"/>
          <w:szCs w:val="21"/>
        </w:rPr>
        <w:t>Información</w:t>
      </w:r>
      <w:r w:rsidRPr="00DE5E0E">
        <w:rPr>
          <w:rFonts w:ascii="Abadi" w:hAnsi="Abadi" w:cs="Calibri"/>
          <w:color w:val="1D1C21"/>
          <w:spacing w:val="25"/>
          <w:sz w:val="21"/>
          <w:szCs w:val="21"/>
        </w:rPr>
        <w:t xml:space="preserve"> </w:t>
      </w:r>
      <w:r w:rsidRPr="00DE5E0E">
        <w:rPr>
          <w:rFonts w:ascii="Abadi" w:hAnsi="Abadi" w:cs="Calibri"/>
          <w:color w:val="1D1C21"/>
          <w:sz w:val="21"/>
          <w:szCs w:val="21"/>
        </w:rPr>
        <w:t>Pública</w:t>
      </w:r>
      <w:r w:rsidRPr="00DE5E0E">
        <w:rPr>
          <w:rFonts w:ascii="Abadi" w:hAnsi="Abadi" w:cs="Calibri"/>
          <w:color w:val="1D1C21"/>
          <w:spacing w:val="17"/>
          <w:sz w:val="21"/>
          <w:szCs w:val="21"/>
        </w:rPr>
        <w:t xml:space="preserve"> </w:t>
      </w:r>
      <w:r w:rsidRPr="00DE5E0E">
        <w:rPr>
          <w:rFonts w:ascii="Abadi" w:hAnsi="Abadi" w:cs="Calibri"/>
          <w:color w:val="1D1C21"/>
          <w:sz w:val="21"/>
          <w:szCs w:val="21"/>
        </w:rPr>
        <w:t>para</w:t>
      </w:r>
      <w:r w:rsidRPr="00DE5E0E">
        <w:rPr>
          <w:rFonts w:ascii="Abadi" w:hAnsi="Abadi" w:cs="Calibri"/>
          <w:color w:val="1D1C21"/>
          <w:spacing w:val="15"/>
          <w:sz w:val="21"/>
          <w:szCs w:val="21"/>
        </w:rPr>
        <w:t xml:space="preserve"> </w:t>
      </w:r>
      <w:r w:rsidRPr="00DE5E0E">
        <w:rPr>
          <w:rFonts w:ascii="Abadi" w:hAnsi="Abadi" w:cs="Calibri"/>
          <w:color w:val="1D1C21"/>
          <w:sz w:val="21"/>
          <w:szCs w:val="21"/>
        </w:rPr>
        <w:t>el</w:t>
      </w:r>
      <w:r w:rsidRPr="00DE5E0E">
        <w:rPr>
          <w:rFonts w:ascii="Abadi" w:hAnsi="Abadi" w:cs="Calibri"/>
          <w:color w:val="1D1C21"/>
          <w:spacing w:val="29"/>
          <w:sz w:val="21"/>
          <w:szCs w:val="21"/>
        </w:rPr>
        <w:t xml:space="preserve"> </w:t>
      </w:r>
      <w:r w:rsidRPr="00DE5E0E">
        <w:rPr>
          <w:rFonts w:ascii="Abadi" w:hAnsi="Abadi" w:cs="Calibri"/>
          <w:color w:val="1D1C21"/>
          <w:sz w:val="21"/>
          <w:szCs w:val="21"/>
        </w:rPr>
        <w:t>Estado</w:t>
      </w:r>
      <w:r w:rsidRPr="00DE5E0E">
        <w:rPr>
          <w:rFonts w:ascii="Abadi" w:hAnsi="Abadi" w:cs="Calibri"/>
          <w:color w:val="1D1C21"/>
          <w:spacing w:val="19"/>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20"/>
          <w:sz w:val="21"/>
          <w:szCs w:val="21"/>
        </w:rPr>
        <w:t xml:space="preserve"> </w:t>
      </w:r>
      <w:r w:rsidRPr="00DE5E0E">
        <w:rPr>
          <w:rFonts w:ascii="Abadi" w:hAnsi="Abadi" w:cs="Calibri"/>
          <w:color w:val="1D1C21"/>
          <w:sz w:val="21"/>
          <w:szCs w:val="21"/>
        </w:rPr>
        <w:t>Guanajuato,</w:t>
      </w:r>
      <w:r w:rsidRPr="00DE5E0E">
        <w:rPr>
          <w:rFonts w:ascii="Abadi" w:hAnsi="Abadi" w:cs="Calibri"/>
          <w:color w:val="1D1C21"/>
          <w:spacing w:val="30"/>
          <w:sz w:val="21"/>
          <w:szCs w:val="21"/>
        </w:rPr>
        <w:t xml:space="preserve"> </w:t>
      </w:r>
      <w:r w:rsidRPr="00DE5E0E">
        <w:rPr>
          <w:rFonts w:ascii="Abadi" w:hAnsi="Abadi" w:cs="Calibri"/>
          <w:color w:val="1D1C21"/>
          <w:sz w:val="21"/>
          <w:szCs w:val="21"/>
        </w:rPr>
        <w:t>por</w:t>
      </w:r>
      <w:r w:rsidRPr="00DE5E0E">
        <w:rPr>
          <w:rFonts w:ascii="Abadi" w:hAnsi="Abadi" w:cs="Calibri"/>
          <w:color w:val="1D1C21"/>
          <w:spacing w:val="12"/>
          <w:sz w:val="21"/>
          <w:szCs w:val="21"/>
        </w:rPr>
        <w:t xml:space="preserve"> </w:t>
      </w:r>
      <w:r w:rsidRPr="00DE5E0E">
        <w:rPr>
          <w:rFonts w:ascii="Abadi" w:hAnsi="Abadi" w:cs="Calibri"/>
          <w:color w:val="1D1C21"/>
          <w:sz w:val="21"/>
          <w:szCs w:val="21"/>
        </w:rPr>
        <w:t>un</w:t>
      </w:r>
      <w:r w:rsidRPr="00DE5E0E">
        <w:rPr>
          <w:rFonts w:ascii="Abadi" w:hAnsi="Abadi" w:cs="Calibri"/>
          <w:color w:val="1D1C21"/>
          <w:spacing w:val="1"/>
          <w:sz w:val="21"/>
          <w:szCs w:val="21"/>
        </w:rPr>
        <w:t xml:space="preserve"> </w:t>
      </w:r>
      <w:r w:rsidRPr="00DE5E0E">
        <w:rPr>
          <w:rFonts w:ascii="Abadi" w:hAnsi="Abadi" w:cs="Calibri"/>
          <w:color w:val="1D1C21"/>
          <w:sz w:val="21"/>
          <w:szCs w:val="21"/>
        </w:rPr>
        <w:t>periodo</w:t>
      </w:r>
      <w:r w:rsidRPr="00DE5E0E">
        <w:rPr>
          <w:rFonts w:ascii="Abadi" w:hAnsi="Abadi" w:cs="Calibri"/>
          <w:color w:val="1D1C21"/>
          <w:spacing w:val="7"/>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7"/>
          <w:sz w:val="21"/>
          <w:szCs w:val="21"/>
        </w:rPr>
        <w:t xml:space="preserve"> </w:t>
      </w:r>
      <w:r w:rsidRPr="00DE5E0E">
        <w:rPr>
          <w:rFonts w:ascii="Abadi" w:hAnsi="Abadi" w:cs="Calibri"/>
          <w:color w:val="1D1C21"/>
          <w:sz w:val="21"/>
          <w:szCs w:val="21"/>
        </w:rPr>
        <w:t>cinco</w:t>
      </w:r>
      <w:r w:rsidRPr="00DE5E0E">
        <w:rPr>
          <w:rFonts w:ascii="Abadi" w:hAnsi="Abadi" w:cs="Calibri"/>
          <w:color w:val="1D1C21"/>
          <w:spacing w:val="9"/>
          <w:sz w:val="21"/>
          <w:szCs w:val="21"/>
        </w:rPr>
        <w:t xml:space="preserve"> </w:t>
      </w:r>
      <w:r w:rsidRPr="00DE5E0E">
        <w:rPr>
          <w:rFonts w:ascii="Abadi" w:hAnsi="Abadi" w:cs="Calibri"/>
          <w:color w:val="1D1C21"/>
          <w:sz w:val="21"/>
          <w:szCs w:val="21"/>
        </w:rPr>
        <w:t>años,</w:t>
      </w:r>
      <w:r w:rsidRPr="00DE5E0E">
        <w:rPr>
          <w:rFonts w:ascii="Abadi" w:hAnsi="Abadi" w:cs="Calibri"/>
          <w:color w:val="1D1C21"/>
          <w:spacing w:val="21"/>
          <w:sz w:val="21"/>
          <w:szCs w:val="21"/>
        </w:rPr>
        <w:t xml:space="preserve"> </w:t>
      </w:r>
      <w:r w:rsidRPr="00DE5E0E">
        <w:rPr>
          <w:rFonts w:ascii="Abadi" w:hAnsi="Abadi" w:cs="Calibri"/>
          <w:color w:val="1D1C21"/>
          <w:sz w:val="21"/>
          <w:szCs w:val="21"/>
        </w:rPr>
        <w:t>sin</w:t>
      </w:r>
      <w:r w:rsidRPr="00DE5E0E">
        <w:rPr>
          <w:rFonts w:ascii="Abadi" w:hAnsi="Abadi" w:cs="Calibri"/>
          <w:color w:val="1D1C21"/>
          <w:spacing w:val="6"/>
          <w:sz w:val="21"/>
          <w:szCs w:val="21"/>
        </w:rPr>
        <w:t xml:space="preserve"> </w:t>
      </w:r>
      <w:r w:rsidRPr="00DE5E0E">
        <w:rPr>
          <w:rFonts w:ascii="Abadi" w:hAnsi="Abadi" w:cs="Calibri"/>
          <w:color w:val="1D1C21"/>
          <w:sz w:val="21"/>
          <w:szCs w:val="21"/>
        </w:rPr>
        <w:t>posibilidad</w:t>
      </w:r>
      <w:r w:rsidRPr="00DE5E0E">
        <w:rPr>
          <w:rFonts w:ascii="Abadi" w:hAnsi="Abadi" w:cs="Calibri"/>
          <w:color w:val="1D1C21"/>
          <w:spacing w:val="8"/>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7"/>
          <w:sz w:val="21"/>
          <w:szCs w:val="21"/>
        </w:rPr>
        <w:t xml:space="preserve"> </w:t>
      </w:r>
      <w:r w:rsidRPr="00DE5E0E">
        <w:rPr>
          <w:rFonts w:ascii="Abadi" w:hAnsi="Abadi" w:cs="Calibri"/>
          <w:color w:val="1D1C21"/>
          <w:sz w:val="21"/>
          <w:szCs w:val="21"/>
        </w:rPr>
        <w:t>reelección;</w:t>
      </w:r>
      <w:r w:rsidRPr="00DE5E0E">
        <w:rPr>
          <w:rFonts w:ascii="Abadi" w:hAnsi="Abadi" w:cs="Calibri"/>
          <w:color w:val="1D1C21"/>
          <w:spacing w:val="20"/>
          <w:sz w:val="21"/>
          <w:szCs w:val="21"/>
        </w:rPr>
        <w:t xml:space="preserve"> </w:t>
      </w:r>
      <w:r w:rsidRPr="00DE5E0E">
        <w:rPr>
          <w:rFonts w:ascii="Abadi" w:hAnsi="Abadi" w:cs="Calibri"/>
          <w:color w:val="1D1C21"/>
          <w:sz w:val="21"/>
          <w:szCs w:val="21"/>
        </w:rPr>
        <w:t>lo</w:t>
      </w:r>
      <w:r w:rsidRPr="00DE5E0E">
        <w:rPr>
          <w:rFonts w:ascii="Abadi" w:hAnsi="Abadi" w:cs="Calibri"/>
          <w:color w:val="1D1C21"/>
          <w:spacing w:val="48"/>
          <w:sz w:val="21"/>
          <w:szCs w:val="21"/>
        </w:rPr>
        <w:t xml:space="preserve"> </w:t>
      </w:r>
      <w:r w:rsidRPr="00DE5E0E">
        <w:rPr>
          <w:rFonts w:ascii="Abadi" w:hAnsi="Abadi" w:cs="Calibri"/>
          <w:color w:val="1D1C21"/>
          <w:sz w:val="21"/>
          <w:szCs w:val="21"/>
        </w:rPr>
        <w:t>anterior</w:t>
      </w:r>
      <w:r w:rsidRPr="00DE5E0E">
        <w:rPr>
          <w:rFonts w:ascii="Abadi" w:hAnsi="Abadi" w:cs="Calibri"/>
          <w:color w:val="1D1C21"/>
          <w:spacing w:val="51"/>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49"/>
          <w:sz w:val="21"/>
          <w:szCs w:val="21"/>
        </w:rPr>
        <w:t xml:space="preserve"> </w:t>
      </w:r>
      <w:r w:rsidRPr="00DE5E0E">
        <w:rPr>
          <w:rFonts w:ascii="Abadi" w:hAnsi="Abadi" w:cs="Calibri"/>
          <w:color w:val="1D1C21"/>
          <w:sz w:val="21"/>
          <w:szCs w:val="21"/>
        </w:rPr>
        <w:t>conformidad</w:t>
      </w:r>
      <w:r w:rsidRPr="00DE5E0E">
        <w:rPr>
          <w:rFonts w:ascii="Abadi" w:hAnsi="Abadi" w:cs="Calibri"/>
          <w:color w:val="1D1C21"/>
          <w:spacing w:val="7"/>
          <w:sz w:val="21"/>
          <w:szCs w:val="21"/>
        </w:rPr>
        <w:t xml:space="preserve"> </w:t>
      </w:r>
      <w:r w:rsidRPr="00DE5E0E">
        <w:rPr>
          <w:rFonts w:ascii="Abadi" w:hAnsi="Abadi" w:cs="Calibri"/>
          <w:color w:val="1D1C21"/>
          <w:sz w:val="21"/>
          <w:szCs w:val="21"/>
        </w:rPr>
        <w:t>con</w:t>
      </w:r>
      <w:r w:rsidRPr="00DE5E0E">
        <w:rPr>
          <w:rFonts w:ascii="Abadi" w:hAnsi="Abadi" w:cs="Calibri"/>
          <w:color w:val="1D1C21"/>
          <w:spacing w:val="5"/>
          <w:sz w:val="21"/>
          <w:szCs w:val="21"/>
        </w:rPr>
        <w:t xml:space="preserve"> </w:t>
      </w:r>
      <w:r w:rsidRPr="00DE5E0E">
        <w:rPr>
          <w:rFonts w:ascii="Abadi" w:hAnsi="Abadi" w:cs="Calibri"/>
          <w:color w:val="1D1C21"/>
          <w:sz w:val="21"/>
          <w:szCs w:val="21"/>
        </w:rPr>
        <w:t>lo</w:t>
      </w:r>
      <w:r w:rsidRPr="00DE5E0E">
        <w:rPr>
          <w:rFonts w:ascii="Abadi" w:hAnsi="Abadi" w:cs="Calibri"/>
          <w:color w:val="1D1C21"/>
          <w:spacing w:val="2"/>
          <w:sz w:val="21"/>
          <w:szCs w:val="21"/>
        </w:rPr>
        <w:t xml:space="preserve"> </w:t>
      </w:r>
      <w:r w:rsidRPr="00DE5E0E">
        <w:rPr>
          <w:rFonts w:ascii="Abadi" w:hAnsi="Abadi" w:cs="Calibri"/>
          <w:color w:val="1D1C21"/>
          <w:sz w:val="21"/>
          <w:szCs w:val="21"/>
        </w:rPr>
        <w:t>estipulado</w:t>
      </w:r>
      <w:r w:rsidRPr="00DE5E0E">
        <w:rPr>
          <w:rFonts w:ascii="Abadi" w:hAnsi="Abadi" w:cs="Calibri"/>
          <w:color w:val="1D1C21"/>
          <w:spacing w:val="8"/>
          <w:sz w:val="21"/>
          <w:szCs w:val="21"/>
        </w:rPr>
        <w:t xml:space="preserve"> </w:t>
      </w:r>
      <w:r w:rsidRPr="00DE5E0E">
        <w:rPr>
          <w:rFonts w:ascii="Abadi" w:hAnsi="Abadi" w:cs="Calibri"/>
          <w:color w:val="1D1C21"/>
          <w:sz w:val="21"/>
          <w:szCs w:val="21"/>
        </w:rPr>
        <w:t>en</w:t>
      </w:r>
      <w:r w:rsidRPr="00DE5E0E">
        <w:rPr>
          <w:rFonts w:ascii="Abadi" w:hAnsi="Abadi" w:cs="Calibri"/>
          <w:color w:val="1D1C21"/>
          <w:spacing w:val="11"/>
          <w:sz w:val="21"/>
          <w:szCs w:val="21"/>
        </w:rPr>
        <w:t xml:space="preserve"> </w:t>
      </w:r>
      <w:r w:rsidRPr="00DE5E0E">
        <w:rPr>
          <w:rFonts w:ascii="Abadi" w:hAnsi="Abadi" w:cs="Calibri"/>
          <w:color w:val="1D1C21"/>
          <w:sz w:val="21"/>
          <w:szCs w:val="21"/>
        </w:rPr>
        <w:t>el</w:t>
      </w:r>
      <w:r w:rsidRPr="00DE5E0E">
        <w:rPr>
          <w:rFonts w:ascii="Abadi" w:hAnsi="Abadi" w:cs="Calibri"/>
          <w:color w:val="1D1C21"/>
          <w:spacing w:val="6"/>
          <w:sz w:val="21"/>
          <w:szCs w:val="21"/>
        </w:rPr>
        <w:t xml:space="preserve"> </w:t>
      </w:r>
      <w:r w:rsidRPr="00DE5E0E">
        <w:rPr>
          <w:rFonts w:ascii="Abadi" w:hAnsi="Abadi" w:cs="Calibri"/>
          <w:color w:val="1D1C21"/>
          <w:sz w:val="21"/>
          <w:szCs w:val="21"/>
        </w:rPr>
        <w:t>artículo</w:t>
      </w:r>
      <w:r w:rsidRPr="00DE5E0E">
        <w:rPr>
          <w:rFonts w:ascii="Abadi" w:hAnsi="Abadi" w:cs="Calibri"/>
          <w:color w:val="1D1C21"/>
          <w:spacing w:val="14"/>
          <w:sz w:val="21"/>
          <w:szCs w:val="21"/>
        </w:rPr>
        <w:t xml:space="preserve"> </w:t>
      </w:r>
      <w:r w:rsidRPr="00DE5E0E">
        <w:rPr>
          <w:rFonts w:ascii="Abadi" w:hAnsi="Abadi" w:cs="Calibri"/>
          <w:color w:val="1D1C21"/>
          <w:sz w:val="21"/>
          <w:szCs w:val="21"/>
        </w:rPr>
        <w:t>159-Bis</w:t>
      </w:r>
      <w:r w:rsidRPr="00DE5E0E">
        <w:rPr>
          <w:rFonts w:ascii="Abadi" w:hAnsi="Abadi" w:cs="Calibri"/>
          <w:color w:val="1D1C21"/>
          <w:spacing w:val="3"/>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10"/>
          <w:sz w:val="21"/>
          <w:szCs w:val="21"/>
        </w:rPr>
        <w:t xml:space="preserve"> </w:t>
      </w:r>
      <w:r w:rsidRPr="00DE5E0E">
        <w:rPr>
          <w:rFonts w:ascii="Abadi" w:hAnsi="Abadi" w:cs="Calibri"/>
          <w:color w:val="1D1C21"/>
          <w:sz w:val="21"/>
          <w:szCs w:val="21"/>
        </w:rPr>
        <w:t>la</w:t>
      </w:r>
      <w:r w:rsidRPr="00DE5E0E">
        <w:rPr>
          <w:rFonts w:ascii="Abadi" w:hAnsi="Abadi" w:cs="Calibri"/>
          <w:color w:val="1D1C21"/>
          <w:spacing w:val="22"/>
          <w:sz w:val="21"/>
          <w:szCs w:val="21"/>
        </w:rPr>
        <w:t xml:space="preserve"> </w:t>
      </w:r>
      <w:r w:rsidRPr="00DE5E0E">
        <w:rPr>
          <w:rFonts w:ascii="Abadi" w:hAnsi="Abadi" w:cs="Verdana"/>
          <w:i/>
          <w:iCs/>
          <w:color w:val="1D1C21"/>
          <w:sz w:val="21"/>
          <w:szCs w:val="21"/>
        </w:rPr>
        <w:t>Ley</w:t>
      </w:r>
      <w:r w:rsidRPr="00DE5E0E">
        <w:rPr>
          <w:rFonts w:ascii="Abadi" w:hAnsi="Abadi" w:cs="Verdana"/>
          <w:i/>
          <w:iCs/>
          <w:color w:val="1D1C21"/>
          <w:spacing w:val="-13"/>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13"/>
          <w:sz w:val="21"/>
          <w:szCs w:val="21"/>
        </w:rPr>
        <w:t xml:space="preserve"> </w:t>
      </w:r>
      <w:r w:rsidRPr="00DE5E0E">
        <w:rPr>
          <w:rFonts w:ascii="Abadi" w:hAnsi="Abadi" w:cs="Verdana"/>
          <w:i/>
          <w:iCs/>
          <w:color w:val="1D1C21"/>
          <w:sz w:val="21"/>
          <w:szCs w:val="21"/>
        </w:rPr>
        <w:t>Transparencia</w:t>
      </w:r>
      <w:r w:rsidRPr="00DE5E0E">
        <w:rPr>
          <w:rFonts w:ascii="Abadi" w:hAnsi="Abadi" w:cs="Verdana"/>
          <w:i/>
          <w:iCs/>
          <w:color w:val="1D1C21"/>
          <w:spacing w:val="-20"/>
          <w:sz w:val="21"/>
          <w:szCs w:val="21"/>
        </w:rPr>
        <w:t xml:space="preserve"> </w:t>
      </w:r>
      <w:r w:rsidRPr="00DE5E0E">
        <w:rPr>
          <w:rFonts w:ascii="Abadi" w:hAnsi="Abadi" w:cs="Verdana"/>
          <w:i/>
          <w:iCs/>
          <w:color w:val="1D1C21"/>
          <w:sz w:val="21"/>
          <w:szCs w:val="21"/>
        </w:rPr>
        <w:t>y</w:t>
      </w:r>
      <w:r w:rsidRPr="00DE5E0E">
        <w:rPr>
          <w:rFonts w:ascii="Abadi" w:hAnsi="Abadi" w:cs="Verdana"/>
          <w:i/>
          <w:iCs/>
          <w:color w:val="1D1C21"/>
          <w:spacing w:val="-23"/>
          <w:sz w:val="21"/>
          <w:szCs w:val="21"/>
        </w:rPr>
        <w:t xml:space="preserve"> </w:t>
      </w:r>
      <w:r w:rsidRPr="00DE5E0E">
        <w:rPr>
          <w:rFonts w:ascii="Abadi" w:hAnsi="Abadi" w:cs="Verdana"/>
          <w:i/>
          <w:iCs/>
          <w:color w:val="1D1C21"/>
          <w:sz w:val="21"/>
          <w:szCs w:val="21"/>
        </w:rPr>
        <w:t>Acceso</w:t>
      </w:r>
      <w:r w:rsidRPr="00DE5E0E">
        <w:rPr>
          <w:rFonts w:ascii="Abadi" w:hAnsi="Abadi" w:cs="Verdana"/>
          <w:i/>
          <w:iCs/>
          <w:color w:val="1D1C21"/>
          <w:spacing w:val="-7"/>
          <w:sz w:val="21"/>
          <w:szCs w:val="21"/>
        </w:rPr>
        <w:t xml:space="preserve"> </w:t>
      </w:r>
      <w:r w:rsidRPr="00DE5E0E">
        <w:rPr>
          <w:rFonts w:ascii="Abadi" w:hAnsi="Abadi" w:cs="Verdana"/>
          <w:i/>
          <w:iCs/>
          <w:color w:val="1D1C21"/>
          <w:sz w:val="21"/>
          <w:szCs w:val="21"/>
        </w:rPr>
        <w:t>a la</w:t>
      </w:r>
      <w:r w:rsidRPr="00DE5E0E">
        <w:rPr>
          <w:rFonts w:ascii="Abadi" w:hAnsi="Abadi" w:cs="Verdana"/>
          <w:i/>
          <w:iCs/>
          <w:color w:val="1D1C21"/>
          <w:spacing w:val="-15"/>
          <w:sz w:val="21"/>
          <w:szCs w:val="21"/>
        </w:rPr>
        <w:t xml:space="preserve"> </w:t>
      </w:r>
      <w:r w:rsidRPr="00DE5E0E">
        <w:rPr>
          <w:rFonts w:ascii="Abadi" w:hAnsi="Abadi" w:cs="Verdana"/>
          <w:i/>
          <w:iCs/>
          <w:color w:val="1D1C21"/>
          <w:sz w:val="21"/>
          <w:szCs w:val="21"/>
        </w:rPr>
        <w:t>Información</w:t>
      </w:r>
      <w:r w:rsidRPr="00DE5E0E">
        <w:rPr>
          <w:rFonts w:ascii="Abadi" w:hAnsi="Abadi" w:cs="Verdana"/>
          <w:i/>
          <w:iCs/>
          <w:color w:val="1D1C21"/>
          <w:spacing w:val="-13"/>
          <w:sz w:val="21"/>
          <w:szCs w:val="21"/>
        </w:rPr>
        <w:t xml:space="preserve"> </w:t>
      </w:r>
      <w:r w:rsidRPr="00DE5E0E">
        <w:rPr>
          <w:rFonts w:ascii="Abadi" w:hAnsi="Abadi" w:cs="Verdana"/>
          <w:i/>
          <w:iCs/>
          <w:color w:val="1D1C21"/>
          <w:sz w:val="21"/>
          <w:szCs w:val="21"/>
        </w:rPr>
        <w:t>Pública para</w:t>
      </w:r>
      <w:r w:rsidRPr="00DE5E0E">
        <w:rPr>
          <w:rFonts w:ascii="Abadi" w:hAnsi="Abadi" w:cs="Verdana"/>
          <w:i/>
          <w:iCs/>
          <w:color w:val="1D1C21"/>
          <w:spacing w:val="20"/>
          <w:sz w:val="21"/>
          <w:szCs w:val="21"/>
        </w:rPr>
        <w:t xml:space="preserve"> </w:t>
      </w:r>
      <w:r w:rsidRPr="00DE5E0E">
        <w:rPr>
          <w:rFonts w:ascii="Abadi" w:hAnsi="Abadi" w:cs="Calibri"/>
          <w:color w:val="1D1C21"/>
          <w:sz w:val="21"/>
          <w:szCs w:val="21"/>
        </w:rPr>
        <w:t>el</w:t>
      </w:r>
      <w:r w:rsidRPr="00DE5E0E">
        <w:rPr>
          <w:rFonts w:ascii="Abadi" w:hAnsi="Abadi" w:cs="Calibri"/>
          <w:color w:val="1D1C21"/>
          <w:spacing w:val="22"/>
          <w:sz w:val="21"/>
          <w:szCs w:val="21"/>
        </w:rPr>
        <w:t xml:space="preserve"> </w:t>
      </w:r>
      <w:r w:rsidRPr="00DE5E0E">
        <w:rPr>
          <w:rFonts w:ascii="Abadi" w:hAnsi="Abadi" w:cs="Verdana"/>
          <w:i/>
          <w:iCs/>
          <w:color w:val="1D1C21"/>
          <w:sz w:val="21"/>
          <w:szCs w:val="21"/>
        </w:rPr>
        <w:t>Estado</w:t>
      </w:r>
      <w:r w:rsidRPr="00DE5E0E">
        <w:rPr>
          <w:rFonts w:ascii="Abadi" w:hAnsi="Abadi" w:cs="Verdana"/>
          <w:i/>
          <w:iCs/>
          <w:color w:val="1D1C21"/>
          <w:spacing w:val="7"/>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25"/>
          <w:sz w:val="21"/>
          <w:szCs w:val="21"/>
        </w:rPr>
        <w:t xml:space="preserve"> </w:t>
      </w:r>
      <w:r w:rsidRPr="00DE5E0E">
        <w:rPr>
          <w:rFonts w:ascii="Abadi" w:hAnsi="Abadi" w:cs="Verdana"/>
          <w:i/>
          <w:iCs/>
          <w:color w:val="1D1C21"/>
          <w:sz w:val="21"/>
          <w:szCs w:val="21"/>
        </w:rPr>
        <w:t>Guanajuato.</w:t>
      </w:r>
      <w:r w:rsidRPr="00DE5E0E">
        <w:rPr>
          <w:rFonts w:ascii="Abadi" w:hAnsi="Abadi" w:cs="Verdana"/>
          <w:i/>
          <w:iCs/>
          <w:color w:val="1D1C21"/>
          <w:spacing w:val="36"/>
          <w:sz w:val="21"/>
          <w:szCs w:val="21"/>
        </w:rPr>
        <w:t xml:space="preserve"> </w:t>
      </w:r>
      <w:r w:rsidRPr="00DE5E0E">
        <w:rPr>
          <w:rFonts w:ascii="Abadi" w:hAnsi="Abadi" w:cs="Calibri"/>
          <w:color w:val="1D1C21"/>
          <w:sz w:val="21"/>
          <w:szCs w:val="21"/>
        </w:rPr>
        <w:t>Esta</w:t>
      </w:r>
      <w:r w:rsidRPr="00DE5E0E">
        <w:rPr>
          <w:rFonts w:ascii="Abadi" w:hAnsi="Abadi" w:cs="Calibri"/>
          <w:color w:val="1D1C21"/>
          <w:spacing w:val="28"/>
          <w:sz w:val="21"/>
          <w:szCs w:val="21"/>
        </w:rPr>
        <w:t xml:space="preserve"> </w:t>
      </w:r>
      <w:r w:rsidRPr="00DE5E0E">
        <w:rPr>
          <w:rFonts w:ascii="Abadi" w:hAnsi="Abadi" w:cs="Calibri"/>
          <w:color w:val="1D1C21"/>
          <w:sz w:val="21"/>
          <w:szCs w:val="21"/>
        </w:rPr>
        <w:t>terna</w:t>
      </w:r>
      <w:r w:rsidRPr="00DE5E0E">
        <w:rPr>
          <w:rFonts w:ascii="Abadi" w:hAnsi="Abadi" w:cs="Calibri"/>
          <w:color w:val="1D1C21"/>
          <w:spacing w:val="28"/>
          <w:sz w:val="21"/>
          <w:szCs w:val="21"/>
        </w:rPr>
        <w:t xml:space="preserve"> </w:t>
      </w:r>
      <w:r w:rsidRPr="00DE5E0E">
        <w:rPr>
          <w:rFonts w:ascii="Abadi" w:hAnsi="Abadi" w:cs="Calibri"/>
          <w:color w:val="1D1C21"/>
          <w:sz w:val="21"/>
          <w:szCs w:val="21"/>
        </w:rPr>
        <w:t>fue</w:t>
      </w:r>
      <w:r w:rsidRPr="00DE5E0E">
        <w:rPr>
          <w:rFonts w:ascii="Abadi" w:hAnsi="Abadi" w:cs="Calibri"/>
          <w:color w:val="1D1C21"/>
          <w:spacing w:val="23"/>
          <w:sz w:val="21"/>
          <w:szCs w:val="21"/>
        </w:rPr>
        <w:t xml:space="preserve"> </w:t>
      </w:r>
      <w:r w:rsidRPr="00DE5E0E">
        <w:rPr>
          <w:rFonts w:ascii="Abadi" w:hAnsi="Abadi" w:cs="Calibri"/>
          <w:color w:val="1D1C21"/>
          <w:sz w:val="21"/>
          <w:szCs w:val="21"/>
        </w:rPr>
        <w:t>aprobada</w:t>
      </w:r>
      <w:r w:rsidRPr="00DE5E0E">
        <w:rPr>
          <w:rFonts w:ascii="Abadi" w:hAnsi="Abadi" w:cs="Calibri"/>
          <w:color w:val="1D1C21"/>
          <w:spacing w:val="23"/>
          <w:sz w:val="21"/>
          <w:szCs w:val="21"/>
        </w:rPr>
        <w:t xml:space="preserve"> </w:t>
      </w:r>
      <w:r w:rsidRPr="00DE5E0E">
        <w:rPr>
          <w:rFonts w:ascii="Abadi" w:hAnsi="Abadi" w:cs="Calibri"/>
          <w:color w:val="1D1C21"/>
          <w:sz w:val="21"/>
          <w:szCs w:val="21"/>
        </w:rPr>
        <w:t>por</w:t>
      </w:r>
      <w:r w:rsidRPr="00DE5E0E">
        <w:rPr>
          <w:rFonts w:ascii="Abadi" w:hAnsi="Abadi" w:cs="Calibri"/>
          <w:color w:val="1D1C21"/>
          <w:spacing w:val="27"/>
          <w:sz w:val="21"/>
          <w:szCs w:val="21"/>
        </w:rPr>
        <w:t xml:space="preserve"> </w:t>
      </w:r>
      <w:r w:rsidRPr="00DE5E0E">
        <w:rPr>
          <w:rFonts w:ascii="Abadi" w:hAnsi="Abadi" w:cs="Calibri"/>
          <w:color w:val="1D1C21"/>
          <w:sz w:val="21"/>
          <w:szCs w:val="21"/>
        </w:rPr>
        <w:t>el</w:t>
      </w:r>
      <w:r w:rsidRPr="00DE5E0E">
        <w:rPr>
          <w:rFonts w:ascii="Abadi" w:hAnsi="Abadi" w:cs="Calibri"/>
          <w:color w:val="1D1C21"/>
          <w:spacing w:val="22"/>
          <w:sz w:val="21"/>
          <w:szCs w:val="21"/>
        </w:rPr>
        <w:t xml:space="preserve"> </w:t>
      </w:r>
      <w:r w:rsidRPr="00DE5E0E">
        <w:rPr>
          <w:rFonts w:ascii="Abadi" w:hAnsi="Abadi" w:cs="Calibri"/>
          <w:color w:val="1D1C21"/>
          <w:sz w:val="21"/>
          <w:szCs w:val="21"/>
        </w:rPr>
        <w:t>Pleno</w:t>
      </w:r>
      <w:r w:rsidRPr="00DE5E0E">
        <w:rPr>
          <w:rFonts w:ascii="Abadi" w:hAnsi="Abadi" w:cs="Calibri"/>
          <w:color w:val="1D1C21"/>
          <w:spacing w:val="27"/>
          <w:sz w:val="21"/>
          <w:szCs w:val="21"/>
        </w:rPr>
        <w:t xml:space="preserve"> </w:t>
      </w:r>
      <w:r w:rsidRPr="00DE5E0E">
        <w:rPr>
          <w:rFonts w:ascii="Abadi" w:hAnsi="Abadi" w:cs="Calibri"/>
          <w:color w:val="1D1C21"/>
          <w:sz w:val="21"/>
          <w:szCs w:val="21"/>
        </w:rPr>
        <w:t>del</w:t>
      </w:r>
      <w:r w:rsidRPr="00DE5E0E">
        <w:rPr>
          <w:rFonts w:ascii="Abadi" w:hAnsi="Abadi" w:cs="Calibri"/>
          <w:color w:val="1D1C21"/>
          <w:spacing w:val="26"/>
          <w:sz w:val="21"/>
          <w:szCs w:val="21"/>
        </w:rPr>
        <w:t xml:space="preserve"> </w:t>
      </w:r>
      <w:r w:rsidRPr="00DE5E0E">
        <w:rPr>
          <w:rFonts w:ascii="Abadi" w:hAnsi="Abadi" w:cs="Calibri"/>
          <w:color w:val="1D1C21"/>
          <w:sz w:val="21"/>
          <w:szCs w:val="21"/>
        </w:rPr>
        <w:t>Instituto</w:t>
      </w:r>
      <w:r w:rsidRPr="00DE5E0E">
        <w:rPr>
          <w:rFonts w:ascii="Abadi" w:hAnsi="Abadi" w:cs="Calibri"/>
          <w:color w:val="1D1C21"/>
          <w:spacing w:val="20"/>
          <w:sz w:val="21"/>
          <w:szCs w:val="21"/>
        </w:rPr>
        <w:t xml:space="preserve"> </w:t>
      </w:r>
      <w:r w:rsidRPr="00DE5E0E">
        <w:rPr>
          <w:rFonts w:ascii="Abadi" w:hAnsi="Abadi" w:cs="Calibri"/>
          <w:color w:val="1D1C21"/>
          <w:sz w:val="21"/>
          <w:szCs w:val="21"/>
        </w:rPr>
        <w:t>mediante</w:t>
      </w:r>
      <w:r w:rsidRPr="00DE5E0E">
        <w:rPr>
          <w:rFonts w:ascii="Abadi" w:hAnsi="Abadi" w:cs="Calibri"/>
          <w:color w:val="1D1C21"/>
          <w:spacing w:val="19"/>
          <w:sz w:val="21"/>
          <w:szCs w:val="21"/>
        </w:rPr>
        <w:t xml:space="preserve"> </w:t>
      </w:r>
      <w:r w:rsidRPr="00DE5E0E">
        <w:rPr>
          <w:rFonts w:ascii="Abadi" w:hAnsi="Abadi" w:cs="Calibri"/>
          <w:color w:val="1D1C21"/>
          <w:sz w:val="21"/>
          <w:szCs w:val="21"/>
        </w:rPr>
        <w:t>la</w:t>
      </w:r>
      <w:r w:rsidRPr="00DE5E0E">
        <w:rPr>
          <w:rFonts w:ascii="Abadi" w:hAnsi="Abadi" w:cs="Calibri"/>
          <w:color w:val="1D1C21"/>
          <w:spacing w:val="2"/>
          <w:sz w:val="21"/>
          <w:szCs w:val="21"/>
        </w:rPr>
        <w:t xml:space="preserve"> </w:t>
      </w:r>
      <w:r w:rsidRPr="00DE5E0E">
        <w:rPr>
          <w:rFonts w:ascii="Abadi" w:hAnsi="Abadi" w:cs="Calibri"/>
          <w:color w:val="1D1C21"/>
          <w:sz w:val="21"/>
          <w:szCs w:val="21"/>
        </w:rPr>
        <w:t>17/a</w:t>
      </w:r>
      <w:r w:rsidRPr="00DE5E0E">
        <w:rPr>
          <w:rFonts w:ascii="Abadi" w:hAnsi="Abadi" w:cs="Calibri"/>
          <w:color w:val="1D1C21"/>
          <w:spacing w:val="13"/>
          <w:sz w:val="21"/>
          <w:szCs w:val="21"/>
        </w:rPr>
        <w:t xml:space="preserve"> </w:t>
      </w:r>
      <w:r w:rsidRPr="00DE5E0E">
        <w:rPr>
          <w:rFonts w:ascii="Abadi" w:hAnsi="Abadi" w:cs="Calibri"/>
          <w:color w:val="1D1C21"/>
          <w:sz w:val="21"/>
          <w:szCs w:val="21"/>
        </w:rPr>
        <w:t>Sesión</w:t>
      </w:r>
      <w:r w:rsidRPr="00DE5E0E">
        <w:rPr>
          <w:rFonts w:ascii="Abadi" w:hAnsi="Abadi" w:cs="Calibri"/>
          <w:color w:val="1D1C21"/>
          <w:spacing w:val="1"/>
          <w:sz w:val="21"/>
          <w:szCs w:val="21"/>
        </w:rPr>
        <w:t xml:space="preserve"> </w:t>
      </w:r>
      <w:r w:rsidRPr="00DE5E0E">
        <w:rPr>
          <w:rFonts w:ascii="Abadi" w:hAnsi="Abadi" w:cs="Calibri"/>
          <w:color w:val="1D1C21"/>
          <w:sz w:val="21"/>
          <w:szCs w:val="21"/>
        </w:rPr>
        <w:t>Administrativa</w:t>
      </w:r>
      <w:r w:rsidRPr="00DE5E0E">
        <w:rPr>
          <w:rFonts w:ascii="Abadi" w:hAnsi="Abadi" w:cs="Calibri"/>
          <w:color w:val="1D1C21"/>
          <w:spacing w:val="-5"/>
          <w:sz w:val="21"/>
          <w:szCs w:val="21"/>
        </w:rPr>
        <w:t xml:space="preserve"> </w:t>
      </w:r>
      <w:r w:rsidRPr="00DE5E0E">
        <w:rPr>
          <w:rFonts w:ascii="Abadi" w:hAnsi="Abadi" w:cs="Calibri"/>
          <w:color w:val="1D1C21"/>
          <w:sz w:val="21"/>
          <w:szCs w:val="21"/>
        </w:rPr>
        <w:t>del</w:t>
      </w:r>
      <w:r w:rsidRPr="00DE5E0E">
        <w:rPr>
          <w:rFonts w:ascii="Abadi" w:hAnsi="Abadi" w:cs="Calibri"/>
          <w:color w:val="1D1C21"/>
          <w:spacing w:val="17"/>
          <w:sz w:val="21"/>
          <w:szCs w:val="21"/>
        </w:rPr>
        <w:t xml:space="preserve"> </w:t>
      </w:r>
      <w:r w:rsidRPr="00DE5E0E">
        <w:rPr>
          <w:rFonts w:ascii="Abadi" w:hAnsi="Abadi" w:cs="Calibri"/>
          <w:color w:val="1D1C21"/>
          <w:sz w:val="21"/>
          <w:szCs w:val="21"/>
        </w:rPr>
        <w:t>19/o</w:t>
      </w:r>
      <w:r w:rsidRPr="00DE5E0E">
        <w:rPr>
          <w:rFonts w:ascii="Abadi" w:hAnsi="Abadi" w:cs="Calibri"/>
          <w:color w:val="1D1C21"/>
          <w:spacing w:val="1"/>
          <w:sz w:val="21"/>
          <w:szCs w:val="21"/>
        </w:rPr>
        <w:t xml:space="preserve"> </w:t>
      </w:r>
      <w:r w:rsidRPr="00DE5E0E">
        <w:rPr>
          <w:rFonts w:ascii="Abadi" w:hAnsi="Abadi" w:cs="Calibri"/>
          <w:color w:val="1D1C21"/>
          <w:sz w:val="21"/>
          <w:szCs w:val="21"/>
        </w:rPr>
        <w:t>año</w:t>
      </w:r>
      <w:r w:rsidRPr="00DE5E0E">
        <w:rPr>
          <w:rFonts w:ascii="Abadi" w:hAnsi="Abadi" w:cs="Calibri"/>
          <w:color w:val="1D1C21"/>
          <w:spacing w:val="4"/>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10"/>
          <w:sz w:val="21"/>
          <w:szCs w:val="21"/>
        </w:rPr>
        <w:t xml:space="preserve"> </w:t>
      </w:r>
      <w:r w:rsidRPr="00DE5E0E">
        <w:rPr>
          <w:rFonts w:ascii="Abadi" w:hAnsi="Abadi" w:cs="Calibri"/>
          <w:color w:val="1D1C21"/>
          <w:sz w:val="21"/>
          <w:szCs w:val="21"/>
        </w:rPr>
        <w:t>ejercicio,</w:t>
      </w:r>
      <w:r w:rsidRPr="00DE5E0E">
        <w:rPr>
          <w:rFonts w:ascii="Abadi" w:hAnsi="Abadi" w:cs="Calibri"/>
          <w:color w:val="1D1C21"/>
          <w:spacing w:val="16"/>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1"/>
          <w:sz w:val="21"/>
          <w:szCs w:val="21"/>
        </w:rPr>
        <w:t xml:space="preserve"> </w:t>
      </w:r>
      <w:r w:rsidRPr="00DE5E0E">
        <w:rPr>
          <w:rFonts w:ascii="Abadi" w:hAnsi="Abadi" w:cs="Calibri"/>
          <w:color w:val="1D1C21"/>
          <w:sz w:val="21"/>
          <w:szCs w:val="21"/>
        </w:rPr>
        <w:t>fecha</w:t>
      </w:r>
      <w:r w:rsidRPr="00DE5E0E">
        <w:rPr>
          <w:rFonts w:ascii="Abadi" w:hAnsi="Abadi" w:cs="Calibri"/>
          <w:color w:val="1D1C21"/>
          <w:spacing w:val="2"/>
          <w:sz w:val="21"/>
          <w:szCs w:val="21"/>
        </w:rPr>
        <w:t xml:space="preserve"> </w:t>
      </w:r>
      <w:r w:rsidRPr="00DE5E0E">
        <w:rPr>
          <w:rFonts w:ascii="Abadi" w:hAnsi="Abadi" w:cs="Calibri"/>
          <w:color w:val="1D1C21"/>
          <w:sz w:val="21"/>
          <w:szCs w:val="21"/>
        </w:rPr>
        <w:t>11 de</w:t>
      </w:r>
      <w:r w:rsidRPr="00DE5E0E">
        <w:rPr>
          <w:rFonts w:ascii="Abadi" w:hAnsi="Abadi" w:cs="Calibri"/>
          <w:color w:val="1D1C21"/>
          <w:spacing w:val="7"/>
          <w:sz w:val="21"/>
          <w:szCs w:val="21"/>
        </w:rPr>
        <w:t xml:space="preserve"> </w:t>
      </w:r>
      <w:r w:rsidRPr="00DE5E0E">
        <w:rPr>
          <w:rFonts w:ascii="Abadi" w:hAnsi="Abadi" w:cs="Calibri"/>
          <w:color w:val="1D1C21"/>
          <w:sz w:val="21"/>
          <w:szCs w:val="21"/>
        </w:rPr>
        <w:t>mayo</w:t>
      </w:r>
      <w:r w:rsidRPr="00DE5E0E">
        <w:rPr>
          <w:rFonts w:ascii="Abadi" w:hAnsi="Abadi" w:cs="Calibri"/>
          <w:color w:val="1D1C21"/>
          <w:spacing w:val="7"/>
          <w:sz w:val="21"/>
          <w:szCs w:val="21"/>
        </w:rPr>
        <w:t xml:space="preserve"> </w:t>
      </w:r>
      <w:r w:rsidRPr="00DE5E0E">
        <w:rPr>
          <w:rFonts w:ascii="Abadi" w:hAnsi="Abadi" w:cs="Calibri"/>
          <w:color w:val="1D1C21"/>
          <w:sz w:val="21"/>
          <w:szCs w:val="21"/>
        </w:rPr>
        <w:t>de</w:t>
      </w:r>
      <w:r w:rsidRPr="00DE5E0E">
        <w:rPr>
          <w:rFonts w:ascii="Abadi" w:hAnsi="Abadi" w:cs="Calibri"/>
          <w:color w:val="1D1C21"/>
          <w:spacing w:val="6"/>
          <w:sz w:val="21"/>
          <w:szCs w:val="21"/>
        </w:rPr>
        <w:t xml:space="preserve"> </w:t>
      </w:r>
      <w:r w:rsidRPr="00DE5E0E">
        <w:rPr>
          <w:rFonts w:ascii="Abadi" w:hAnsi="Abadi" w:cs="Calibri"/>
          <w:color w:val="1D1C21"/>
          <w:sz w:val="21"/>
          <w:szCs w:val="21"/>
        </w:rPr>
        <w:t>2022.</w:t>
      </w:r>
    </w:p>
    <w:p w14:paraId="02789B2B" w14:textId="77777777" w:rsidR="00A7016E" w:rsidRPr="00DE5E0E" w:rsidRDefault="00A7016E" w:rsidP="00A7016E">
      <w:pPr>
        <w:kinsoku w:val="0"/>
        <w:overflowPunct w:val="0"/>
        <w:autoSpaceDE w:val="0"/>
        <w:autoSpaceDN w:val="0"/>
        <w:adjustRightInd w:val="0"/>
        <w:spacing w:before="39" w:line="218" w:lineRule="auto"/>
        <w:ind w:right="144"/>
        <w:jc w:val="both"/>
        <w:rPr>
          <w:rFonts w:ascii="Abadi" w:hAnsi="Abadi" w:cs="Calibri"/>
          <w:color w:val="1D1C21"/>
          <w:sz w:val="21"/>
          <w:szCs w:val="21"/>
        </w:rPr>
      </w:pPr>
    </w:p>
    <w:p w14:paraId="67E5737F" w14:textId="3EC90A5C" w:rsidR="00A7016E" w:rsidRDefault="00A7016E" w:rsidP="00A7016E">
      <w:pPr>
        <w:kinsoku w:val="0"/>
        <w:overflowPunct w:val="0"/>
        <w:autoSpaceDE w:val="0"/>
        <w:autoSpaceDN w:val="0"/>
        <w:adjustRightInd w:val="0"/>
        <w:spacing w:before="39" w:line="218" w:lineRule="auto"/>
        <w:ind w:right="144"/>
        <w:jc w:val="both"/>
        <w:rPr>
          <w:rFonts w:ascii="Abadi" w:hAnsi="Abadi" w:cs="Calibri"/>
          <w:color w:val="1C1B20"/>
          <w:sz w:val="21"/>
          <w:szCs w:val="21"/>
        </w:rPr>
      </w:pPr>
      <w:r w:rsidRPr="00865313">
        <w:rPr>
          <w:rFonts w:ascii="Abadi" w:hAnsi="Abadi" w:cs="Calibri"/>
          <w:color w:val="1C1B20"/>
          <w:sz w:val="21"/>
          <w:szCs w:val="21"/>
        </w:rPr>
        <w:t>Las</w:t>
      </w:r>
      <w:r w:rsidRPr="00865313">
        <w:rPr>
          <w:rFonts w:ascii="Abadi" w:hAnsi="Abadi" w:cs="Calibri"/>
          <w:color w:val="1C1B20"/>
          <w:spacing w:val="6"/>
          <w:sz w:val="21"/>
          <w:szCs w:val="21"/>
        </w:rPr>
        <w:t xml:space="preserve"> </w:t>
      </w:r>
      <w:r w:rsidRPr="00865313">
        <w:rPr>
          <w:rFonts w:ascii="Abadi" w:hAnsi="Abadi" w:cs="Calibri"/>
          <w:color w:val="1C1B20"/>
          <w:sz w:val="21"/>
          <w:szCs w:val="21"/>
        </w:rPr>
        <w:t>personas</w:t>
      </w:r>
      <w:r w:rsidRPr="00865313">
        <w:rPr>
          <w:rFonts w:ascii="Abadi" w:hAnsi="Abadi" w:cs="Calibri"/>
          <w:color w:val="1C1B20"/>
          <w:spacing w:val="10"/>
          <w:sz w:val="21"/>
          <w:szCs w:val="21"/>
        </w:rPr>
        <w:t xml:space="preserve"> </w:t>
      </w:r>
      <w:r w:rsidRPr="00865313">
        <w:rPr>
          <w:rFonts w:ascii="Abadi" w:hAnsi="Abadi" w:cs="Calibri"/>
          <w:color w:val="1C1B20"/>
          <w:sz w:val="21"/>
          <w:szCs w:val="21"/>
        </w:rPr>
        <w:t>que</w:t>
      </w:r>
      <w:r w:rsidRPr="00865313">
        <w:rPr>
          <w:rFonts w:ascii="Abadi" w:hAnsi="Abadi" w:cs="Calibri"/>
          <w:color w:val="1C1B20"/>
          <w:spacing w:val="-2"/>
          <w:sz w:val="21"/>
          <w:szCs w:val="21"/>
        </w:rPr>
        <w:t xml:space="preserve"> </w:t>
      </w:r>
      <w:r w:rsidRPr="00865313">
        <w:rPr>
          <w:rFonts w:ascii="Abadi" w:hAnsi="Abadi" w:cs="Calibri"/>
          <w:color w:val="1C1B20"/>
          <w:sz w:val="21"/>
          <w:szCs w:val="21"/>
        </w:rPr>
        <w:t>integran</w:t>
      </w:r>
      <w:r w:rsidRPr="00865313">
        <w:rPr>
          <w:rFonts w:ascii="Abadi" w:hAnsi="Abadi" w:cs="Calibri"/>
          <w:color w:val="1C1B20"/>
          <w:spacing w:val="-4"/>
          <w:sz w:val="21"/>
          <w:szCs w:val="21"/>
        </w:rPr>
        <w:t xml:space="preserve"> </w:t>
      </w:r>
      <w:r w:rsidRPr="00865313">
        <w:rPr>
          <w:rFonts w:ascii="Abadi" w:hAnsi="Abadi" w:cs="Calibri"/>
          <w:color w:val="1C1B20"/>
          <w:sz w:val="21"/>
          <w:szCs w:val="21"/>
        </w:rPr>
        <w:t>la</w:t>
      </w:r>
      <w:r w:rsidRPr="00865313">
        <w:rPr>
          <w:rFonts w:ascii="Abadi" w:hAnsi="Abadi" w:cs="Calibri"/>
          <w:color w:val="1C1B20"/>
          <w:spacing w:val="4"/>
          <w:sz w:val="21"/>
          <w:szCs w:val="21"/>
        </w:rPr>
        <w:t xml:space="preserve"> </w:t>
      </w:r>
      <w:r w:rsidRPr="00865313">
        <w:rPr>
          <w:rFonts w:ascii="Abadi" w:hAnsi="Abadi" w:cs="Calibri"/>
          <w:color w:val="1C1B20"/>
          <w:sz w:val="21"/>
          <w:szCs w:val="21"/>
        </w:rPr>
        <w:t>terna</w:t>
      </w:r>
      <w:r w:rsidRPr="00865313">
        <w:rPr>
          <w:rFonts w:ascii="Abadi" w:hAnsi="Abadi" w:cs="Calibri"/>
          <w:color w:val="1C1B20"/>
          <w:spacing w:val="-1"/>
          <w:sz w:val="21"/>
          <w:szCs w:val="21"/>
        </w:rPr>
        <w:t xml:space="preserve"> </w:t>
      </w:r>
      <w:r w:rsidRPr="00865313">
        <w:rPr>
          <w:rFonts w:ascii="Abadi" w:hAnsi="Abadi" w:cs="Calibri"/>
          <w:color w:val="1C1B20"/>
          <w:sz w:val="21"/>
          <w:szCs w:val="21"/>
        </w:rPr>
        <w:t>son:</w:t>
      </w:r>
    </w:p>
    <w:p w14:paraId="419F3899" w14:textId="77777777" w:rsidR="00632F0D" w:rsidRPr="00865313" w:rsidRDefault="00632F0D" w:rsidP="00A7016E">
      <w:pPr>
        <w:kinsoku w:val="0"/>
        <w:overflowPunct w:val="0"/>
        <w:autoSpaceDE w:val="0"/>
        <w:autoSpaceDN w:val="0"/>
        <w:adjustRightInd w:val="0"/>
        <w:spacing w:before="39" w:line="218" w:lineRule="auto"/>
        <w:ind w:right="144"/>
        <w:jc w:val="both"/>
        <w:rPr>
          <w:rFonts w:ascii="Abadi" w:hAnsi="Abadi" w:cs="Calibri"/>
          <w:color w:val="1D1C21"/>
          <w:sz w:val="21"/>
          <w:szCs w:val="21"/>
        </w:rPr>
      </w:pPr>
    </w:p>
    <w:p w14:paraId="688CB5CA" w14:textId="77777777" w:rsidR="00A7016E" w:rsidRDefault="00A7016E" w:rsidP="00A7016E">
      <w:pPr>
        <w:pStyle w:val="Prrafodelista"/>
        <w:numPr>
          <w:ilvl w:val="0"/>
          <w:numId w:val="53"/>
        </w:numPr>
        <w:tabs>
          <w:tab w:val="left" w:pos="852"/>
        </w:tabs>
        <w:kinsoku w:val="0"/>
        <w:overflowPunct w:val="0"/>
        <w:autoSpaceDE w:val="0"/>
        <w:autoSpaceDN w:val="0"/>
        <w:adjustRightInd w:val="0"/>
        <w:spacing w:before="59" w:line="286" w:lineRule="exact"/>
        <w:contextualSpacing/>
        <w:jc w:val="both"/>
        <w:rPr>
          <w:rFonts w:ascii="Abadi" w:hAnsi="Abadi" w:cs="Calibri"/>
          <w:b/>
          <w:bCs/>
          <w:color w:val="151320"/>
          <w:w w:val="105"/>
          <w:sz w:val="21"/>
          <w:szCs w:val="21"/>
        </w:rPr>
      </w:pPr>
      <w:r w:rsidRPr="00280300">
        <w:rPr>
          <w:rFonts w:ascii="Abadi" w:hAnsi="Abadi" w:cs="Calibri"/>
          <w:b/>
          <w:bCs/>
          <w:color w:val="151320"/>
          <w:w w:val="105"/>
          <w:sz w:val="21"/>
          <w:szCs w:val="21"/>
        </w:rPr>
        <w:t>Hilda</w:t>
      </w:r>
      <w:r w:rsidRPr="00280300">
        <w:rPr>
          <w:rFonts w:ascii="Abadi" w:hAnsi="Abadi" w:cs="Calibri"/>
          <w:b/>
          <w:bCs/>
          <w:color w:val="151320"/>
          <w:spacing w:val="18"/>
          <w:w w:val="105"/>
          <w:sz w:val="21"/>
          <w:szCs w:val="21"/>
        </w:rPr>
        <w:t xml:space="preserve"> </w:t>
      </w:r>
      <w:r w:rsidRPr="00280300">
        <w:rPr>
          <w:rFonts w:ascii="Abadi" w:hAnsi="Abadi" w:cs="Calibri"/>
          <w:b/>
          <w:bCs/>
          <w:color w:val="151320"/>
          <w:w w:val="105"/>
          <w:sz w:val="21"/>
          <w:szCs w:val="21"/>
        </w:rPr>
        <w:t>Ruth</w:t>
      </w:r>
      <w:r w:rsidRPr="00280300">
        <w:rPr>
          <w:rFonts w:ascii="Abadi" w:hAnsi="Abadi" w:cs="Calibri"/>
          <w:b/>
          <w:bCs/>
          <w:color w:val="151320"/>
          <w:spacing w:val="26"/>
          <w:w w:val="105"/>
          <w:sz w:val="21"/>
          <w:szCs w:val="21"/>
        </w:rPr>
        <w:t xml:space="preserve"> </w:t>
      </w:r>
      <w:r w:rsidRPr="00280300">
        <w:rPr>
          <w:rFonts w:ascii="Abadi" w:hAnsi="Abadi" w:cs="Calibri"/>
          <w:b/>
          <w:bCs/>
          <w:color w:val="151320"/>
          <w:w w:val="105"/>
          <w:sz w:val="21"/>
          <w:szCs w:val="21"/>
        </w:rPr>
        <w:t>Barba</w:t>
      </w:r>
      <w:r w:rsidRPr="00280300">
        <w:rPr>
          <w:rFonts w:ascii="Abadi" w:hAnsi="Abadi" w:cs="Calibri"/>
          <w:b/>
          <w:bCs/>
          <w:color w:val="151320"/>
          <w:spacing w:val="9"/>
          <w:w w:val="105"/>
          <w:sz w:val="21"/>
          <w:szCs w:val="21"/>
        </w:rPr>
        <w:t xml:space="preserve"> </w:t>
      </w:r>
      <w:r w:rsidRPr="00280300">
        <w:rPr>
          <w:rFonts w:ascii="Abadi" w:hAnsi="Abadi" w:cs="Calibri"/>
          <w:b/>
          <w:bCs/>
          <w:color w:val="151320"/>
          <w:w w:val="105"/>
          <w:sz w:val="21"/>
          <w:szCs w:val="21"/>
        </w:rPr>
        <w:t>Orozco;</w:t>
      </w:r>
    </w:p>
    <w:p w14:paraId="7926F161" w14:textId="77777777" w:rsidR="00A7016E" w:rsidRPr="00280300" w:rsidRDefault="00A7016E" w:rsidP="00A7016E">
      <w:pPr>
        <w:pStyle w:val="Prrafodelista"/>
        <w:numPr>
          <w:ilvl w:val="0"/>
          <w:numId w:val="53"/>
        </w:numPr>
        <w:tabs>
          <w:tab w:val="left" w:pos="852"/>
        </w:tabs>
        <w:kinsoku w:val="0"/>
        <w:overflowPunct w:val="0"/>
        <w:autoSpaceDE w:val="0"/>
        <w:autoSpaceDN w:val="0"/>
        <w:adjustRightInd w:val="0"/>
        <w:spacing w:before="59" w:line="286" w:lineRule="exact"/>
        <w:contextualSpacing/>
        <w:jc w:val="both"/>
        <w:rPr>
          <w:rFonts w:ascii="Abadi" w:hAnsi="Abadi" w:cs="Calibri"/>
          <w:b/>
          <w:bCs/>
          <w:color w:val="151320"/>
          <w:w w:val="105"/>
          <w:sz w:val="21"/>
          <w:szCs w:val="21"/>
        </w:rPr>
      </w:pPr>
      <w:r w:rsidRPr="00280300">
        <w:rPr>
          <w:rFonts w:ascii="Abadi" w:hAnsi="Abadi" w:cs="Calibri"/>
          <w:b/>
          <w:bCs/>
          <w:color w:val="14131D"/>
          <w:sz w:val="21"/>
          <w:szCs w:val="21"/>
        </w:rPr>
        <w:t>Ma.</w:t>
      </w:r>
      <w:r w:rsidRPr="00280300">
        <w:rPr>
          <w:rFonts w:ascii="Abadi" w:hAnsi="Abadi" w:cs="Calibri"/>
          <w:b/>
          <w:bCs/>
          <w:color w:val="14131D"/>
          <w:spacing w:val="17"/>
          <w:sz w:val="21"/>
          <w:szCs w:val="21"/>
        </w:rPr>
        <w:t xml:space="preserve"> </w:t>
      </w:r>
      <w:r w:rsidRPr="00280300">
        <w:rPr>
          <w:rFonts w:ascii="Abadi" w:hAnsi="Abadi" w:cs="Calibri"/>
          <w:b/>
          <w:bCs/>
          <w:color w:val="14131D"/>
          <w:sz w:val="21"/>
          <w:szCs w:val="21"/>
        </w:rPr>
        <w:t>de</w:t>
      </w:r>
      <w:r w:rsidRPr="00280300">
        <w:rPr>
          <w:rFonts w:ascii="Abadi" w:hAnsi="Abadi" w:cs="Calibri"/>
          <w:b/>
          <w:bCs/>
          <w:color w:val="14131D"/>
          <w:spacing w:val="23"/>
          <w:sz w:val="21"/>
          <w:szCs w:val="21"/>
        </w:rPr>
        <w:t xml:space="preserve"> </w:t>
      </w:r>
      <w:r w:rsidRPr="00280300">
        <w:rPr>
          <w:rFonts w:ascii="Abadi" w:hAnsi="Abadi" w:cs="Calibri"/>
          <w:b/>
          <w:bCs/>
          <w:color w:val="14131D"/>
          <w:sz w:val="21"/>
          <w:szCs w:val="21"/>
        </w:rPr>
        <w:t>Lourdes</w:t>
      </w:r>
      <w:r w:rsidRPr="00280300">
        <w:rPr>
          <w:rFonts w:ascii="Abadi" w:hAnsi="Abadi" w:cs="Calibri"/>
          <w:b/>
          <w:bCs/>
          <w:color w:val="14131D"/>
          <w:spacing w:val="20"/>
          <w:sz w:val="21"/>
          <w:szCs w:val="21"/>
        </w:rPr>
        <w:t xml:space="preserve"> </w:t>
      </w:r>
      <w:r w:rsidRPr="00280300">
        <w:rPr>
          <w:rFonts w:ascii="Abadi" w:hAnsi="Abadi" w:cs="Calibri"/>
          <w:b/>
          <w:bCs/>
          <w:color w:val="14131D"/>
          <w:sz w:val="21"/>
          <w:szCs w:val="21"/>
        </w:rPr>
        <w:t>López</w:t>
      </w:r>
      <w:r w:rsidRPr="00280300">
        <w:rPr>
          <w:rFonts w:ascii="Abadi" w:hAnsi="Abadi" w:cs="Calibri"/>
          <w:b/>
          <w:bCs/>
          <w:color w:val="14131D"/>
          <w:spacing w:val="17"/>
          <w:sz w:val="21"/>
          <w:szCs w:val="21"/>
        </w:rPr>
        <w:t xml:space="preserve"> </w:t>
      </w:r>
      <w:r w:rsidRPr="00280300">
        <w:rPr>
          <w:rFonts w:ascii="Abadi" w:hAnsi="Abadi" w:cs="Calibri"/>
          <w:b/>
          <w:bCs/>
          <w:color w:val="14131D"/>
          <w:sz w:val="21"/>
          <w:szCs w:val="21"/>
        </w:rPr>
        <w:t>Ramírez;</w:t>
      </w:r>
      <w:r w:rsidRPr="00280300">
        <w:rPr>
          <w:rFonts w:ascii="Abadi" w:hAnsi="Abadi" w:cs="Calibri"/>
          <w:b/>
          <w:bCs/>
          <w:color w:val="14131D"/>
          <w:spacing w:val="19"/>
          <w:sz w:val="21"/>
          <w:szCs w:val="21"/>
        </w:rPr>
        <w:t xml:space="preserve"> </w:t>
      </w:r>
      <w:r w:rsidRPr="00280300">
        <w:rPr>
          <w:rFonts w:ascii="Abadi" w:hAnsi="Abadi" w:cs="Calibri"/>
          <w:b/>
          <w:bCs/>
          <w:color w:val="14131D"/>
          <w:sz w:val="21"/>
          <w:szCs w:val="21"/>
        </w:rPr>
        <w:t>y</w:t>
      </w:r>
    </w:p>
    <w:p w14:paraId="6606FEC3" w14:textId="77777777" w:rsidR="00A7016E" w:rsidRPr="00280300" w:rsidRDefault="00A7016E" w:rsidP="00A7016E">
      <w:pPr>
        <w:pStyle w:val="Prrafodelista"/>
        <w:numPr>
          <w:ilvl w:val="0"/>
          <w:numId w:val="53"/>
        </w:numPr>
        <w:tabs>
          <w:tab w:val="left" w:pos="852"/>
        </w:tabs>
        <w:kinsoku w:val="0"/>
        <w:overflowPunct w:val="0"/>
        <w:autoSpaceDE w:val="0"/>
        <w:autoSpaceDN w:val="0"/>
        <w:adjustRightInd w:val="0"/>
        <w:spacing w:before="59" w:line="286" w:lineRule="exact"/>
        <w:contextualSpacing/>
        <w:jc w:val="both"/>
        <w:rPr>
          <w:rFonts w:ascii="Abadi" w:hAnsi="Abadi" w:cs="Calibri"/>
          <w:b/>
          <w:bCs/>
          <w:color w:val="151320"/>
          <w:w w:val="105"/>
          <w:sz w:val="21"/>
          <w:szCs w:val="21"/>
        </w:rPr>
      </w:pPr>
      <w:r w:rsidRPr="00280300">
        <w:rPr>
          <w:rFonts w:ascii="Abadi" w:hAnsi="Abadi" w:cs="Calibri"/>
          <w:b/>
          <w:bCs/>
          <w:color w:val="12181F"/>
          <w:sz w:val="21"/>
          <w:szCs w:val="21"/>
        </w:rPr>
        <w:t>Alejandro</w:t>
      </w:r>
      <w:r w:rsidRPr="00280300">
        <w:rPr>
          <w:rFonts w:ascii="Abadi" w:hAnsi="Abadi" w:cs="Calibri"/>
          <w:b/>
          <w:bCs/>
          <w:color w:val="12181F"/>
          <w:spacing w:val="5"/>
          <w:sz w:val="21"/>
          <w:szCs w:val="21"/>
        </w:rPr>
        <w:t xml:space="preserve"> </w:t>
      </w:r>
      <w:r w:rsidRPr="00280300">
        <w:rPr>
          <w:rFonts w:ascii="Abadi" w:hAnsi="Abadi" w:cs="Calibri"/>
          <w:b/>
          <w:bCs/>
          <w:color w:val="12181F"/>
          <w:sz w:val="21"/>
          <w:szCs w:val="21"/>
        </w:rPr>
        <w:t>Vázquez</w:t>
      </w:r>
      <w:r w:rsidRPr="00280300">
        <w:rPr>
          <w:rFonts w:ascii="Abadi" w:hAnsi="Abadi" w:cs="Calibri"/>
          <w:b/>
          <w:bCs/>
          <w:color w:val="12181F"/>
          <w:spacing w:val="22"/>
          <w:sz w:val="21"/>
          <w:szCs w:val="21"/>
        </w:rPr>
        <w:t xml:space="preserve"> </w:t>
      </w:r>
      <w:r w:rsidRPr="00280300">
        <w:rPr>
          <w:rFonts w:ascii="Abadi" w:hAnsi="Abadi" w:cs="Calibri"/>
          <w:b/>
          <w:bCs/>
          <w:color w:val="12181F"/>
          <w:sz w:val="21"/>
          <w:szCs w:val="21"/>
        </w:rPr>
        <w:t>López.</w:t>
      </w:r>
    </w:p>
    <w:p w14:paraId="356867AA" w14:textId="77777777" w:rsidR="00A7016E" w:rsidRDefault="00A7016E" w:rsidP="00A7016E">
      <w:pPr>
        <w:tabs>
          <w:tab w:val="left" w:pos="838"/>
        </w:tabs>
        <w:kinsoku w:val="0"/>
        <w:overflowPunct w:val="0"/>
        <w:autoSpaceDE w:val="0"/>
        <w:autoSpaceDN w:val="0"/>
        <w:adjustRightInd w:val="0"/>
        <w:spacing w:line="291" w:lineRule="exact"/>
        <w:jc w:val="both"/>
        <w:rPr>
          <w:rFonts w:ascii="Abadi" w:hAnsi="Abadi" w:cs="Calibri"/>
          <w:b/>
          <w:bCs/>
          <w:color w:val="12181F"/>
          <w:sz w:val="21"/>
          <w:szCs w:val="21"/>
        </w:rPr>
      </w:pPr>
    </w:p>
    <w:p w14:paraId="015DC306" w14:textId="77777777" w:rsidR="00A7016E" w:rsidRPr="00865313" w:rsidRDefault="00A7016E" w:rsidP="00A7016E">
      <w:pPr>
        <w:tabs>
          <w:tab w:val="left" w:pos="838"/>
        </w:tabs>
        <w:kinsoku w:val="0"/>
        <w:overflowPunct w:val="0"/>
        <w:autoSpaceDE w:val="0"/>
        <w:autoSpaceDN w:val="0"/>
        <w:adjustRightInd w:val="0"/>
        <w:spacing w:line="291" w:lineRule="exact"/>
        <w:jc w:val="both"/>
        <w:rPr>
          <w:rFonts w:ascii="Abadi" w:hAnsi="Abadi" w:cs="Calibri"/>
          <w:b/>
          <w:bCs/>
          <w:color w:val="12181F"/>
          <w:sz w:val="21"/>
          <w:szCs w:val="21"/>
        </w:rPr>
      </w:pPr>
      <w:r w:rsidRPr="00865313">
        <w:rPr>
          <w:rFonts w:ascii="Abadi" w:hAnsi="Abadi" w:cs="Calibri"/>
          <w:color w:val="1D1C22"/>
          <w:sz w:val="21"/>
          <w:szCs w:val="21"/>
        </w:rPr>
        <w:t>De</w:t>
      </w:r>
      <w:r w:rsidRPr="00865313">
        <w:rPr>
          <w:rFonts w:ascii="Abadi" w:hAnsi="Abadi" w:cs="Calibri"/>
          <w:color w:val="1D1C22"/>
          <w:spacing w:val="5"/>
          <w:sz w:val="21"/>
          <w:szCs w:val="21"/>
        </w:rPr>
        <w:t xml:space="preserve"> </w:t>
      </w:r>
      <w:r w:rsidRPr="00865313">
        <w:rPr>
          <w:rFonts w:ascii="Abadi" w:hAnsi="Abadi" w:cs="Calibri"/>
          <w:color w:val="1D1C22"/>
          <w:sz w:val="21"/>
          <w:szCs w:val="21"/>
        </w:rPr>
        <w:t>las</w:t>
      </w:r>
      <w:r w:rsidRPr="00865313">
        <w:rPr>
          <w:rFonts w:ascii="Abadi" w:hAnsi="Abadi" w:cs="Calibri"/>
          <w:color w:val="1D1C22"/>
          <w:spacing w:val="5"/>
          <w:sz w:val="21"/>
          <w:szCs w:val="21"/>
        </w:rPr>
        <w:t xml:space="preserve"> </w:t>
      </w:r>
      <w:r w:rsidRPr="00865313">
        <w:rPr>
          <w:rFonts w:ascii="Abadi" w:hAnsi="Abadi" w:cs="Calibri"/>
          <w:color w:val="1D1C22"/>
          <w:sz w:val="21"/>
          <w:szCs w:val="21"/>
        </w:rPr>
        <w:t>cuales</w:t>
      </w:r>
      <w:r w:rsidRPr="00865313">
        <w:rPr>
          <w:rFonts w:ascii="Abadi" w:hAnsi="Abadi" w:cs="Calibri"/>
          <w:color w:val="1D1C22"/>
          <w:spacing w:val="7"/>
          <w:sz w:val="21"/>
          <w:szCs w:val="21"/>
        </w:rPr>
        <w:t xml:space="preserve"> </w:t>
      </w:r>
      <w:r w:rsidRPr="00865313">
        <w:rPr>
          <w:rFonts w:ascii="Abadi" w:hAnsi="Abadi" w:cs="Calibri"/>
          <w:color w:val="1D1C22"/>
          <w:sz w:val="21"/>
          <w:szCs w:val="21"/>
        </w:rPr>
        <w:t>se</w:t>
      </w:r>
      <w:r w:rsidRPr="00865313">
        <w:rPr>
          <w:rFonts w:ascii="Abadi" w:hAnsi="Abadi" w:cs="Calibri"/>
          <w:color w:val="1D1C22"/>
          <w:spacing w:val="4"/>
          <w:sz w:val="21"/>
          <w:szCs w:val="21"/>
        </w:rPr>
        <w:t xml:space="preserve"> </w:t>
      </w:r>
      <w:r w:rsidRPr="00865313">
        <w:rPr>
          <w:rFonts w:ascii="Abadi" w:hAnsi="Abadi" w:cs="Calibri"/>
          <w:color w:val="1D1C22"/>
          <w:sz w:val="21"/>
          <w:szCs w:val="21"/>
        </w:rPr>
        <w:t>remite,</w:t>
      </w:r>
      <w:r w:rsidRPr="00865313">
        <w:rPr>
          <w:rFonts w:ascii="Abadi" w:hAnsi="Abadi" w:cs="Calibri"/>
          <w:color w:val="1D1C22"/>
          <w:spacing w:val="24"/>
          <w:sz w:val="21"/>
          <w:szCs w:val="21"/>
        </w:rPr>
        <w:t xml:space="preserve"> </w:t>
      </w:r>
      <w:r w:rsidRPr="00865313">
        <w:rPr>
          <w:rFonts w:ascii="Abadi" w:hAnsi="Abadi" w:cs="Calibri"/>
          <w:color w:val="1D1C22"/>
          <w:sz w:val="21"/>
          <w:szCs w:val="21"/>
        </w:rPr>
        <w:t>de</w:t>
      </w:r>
      <w:r w:rsidRPr="00865313">
        <w:rPr>
          <w:rFonts w:ascii="Abadi" w:hAnsi="Abadi" w:cs="Calibri"/>
          <w:color w:val="1D1C22"/>
          <w:spacing w:val="4"/>
          <w:sz w:val="21"/>
          <w:szCs w:val="21"/>
        </w:rPr>
        <w:t xml:space="preserve"> </w:t>
      </w:r>
      <w:r w:rsidRPr="00865313">
        <w:rPr>
          <w:rFonts w:ascii="Abadi" w:hAnsi="Abadi" w:cs="Calibri"/>
          <w:color w:val="1D1C22"/>
          <w:sz w:val="21"/>
          <w:szCs w:val="21"/>
        </w:rPr>
        <w:t>cada</w:t>
      </w:r>
      <w:r w:rsidRPr="00865313">
        <w:rPr>
          <w:rFonts w:ascii="Abadi" w:hAnsi="Abadi" w:cs="Calibri"/>
          <w:color w:val="1D1C22"/>
          <w:spacing w:val="4"/>
          <w:sz w:val="21"/>
          <w:szCs w:val="21"/>
        </w:rPr>
        <w:t xml:space="preserve"> </w:t>
      </w:r>
      <w:r w:rsidRPr="00865313">
        <w:rPr>
          <w:rFonts w:ascii="Abadi" w:hAnsi="Abadi" w:cs="Calibri"/>
          <w:color w:val="1D1C22"/>
          <w:sz w:val="21"/>
          <w:szCs w:val="21"/>
        </w:rPr>
        <w:t>una,</w:t>
      </w:r>
      <w:r w:rsidRPr="00865313">
        <w:rPr>
          <w:rFonts w:ascii="Abadi" w:hAnsi="Abadi" w:cs="Calibri"/>
          <w:color w:val="1D1C22"/>
          <w:spacing w:val="27"/>
          <w:sz w:val="21"/>
          <w:szCs w:val="21"/>
        </w:rPr>
        <w:t xml:space="preserve"> </w:t>
      </w:r>
      <w:r w:rsidRPr="00865313">
        <w:rPr>
          <w:rFonts w:ascii="Abadi" w:hAnsi="Abadi" w:cs="Calibri"/>
          <w:color w:val="1D1C22"/>
          <w:sz w:val="21"/>
          <w:szCs w:val="21"/>
        </w:rPr>
        <w:t>su</w:t>
      </w:r>
      <w:r w:rsidRPr="00865313">
        <w:rPr>
          <w:rFonts w:ascii="Abadi" w:hAnsi="Abadi" w:cs="Calibri"/>
          <w:color w:val="1D1C22"/>
          <w:spacing w:val="8"/>
          <w:sz w:val="21"/>
          <w:szCs w:val="21"/>
        </w:rPr>
        <w:t xml:space="preserve"> </w:t>
      </w:r>
      <w:r w:rsidRPr="00865313">
        <w:rPr>
          <w:rFonts w:ascii="Abadi" w:hAnsi="Abadi" w:cs="Calibri"/>
          <w:color w:val="1D1C22"/>
          <w:sz w:val="21"/>
          <w:szCs w:val="21"/>
        </w:rPr>
        <w:t>expediente</w:t>
      </w:r>
      <w:r w:rsidRPr="00865313">
        <w:rPr>
          <w:rFonts w:ascii="Abadi" w:hAnsi="Abadi" w:cs="Calibri"/>
          <w:color w:val="1D1C22"/>
          <w:spacing w:val="3"/>
          <w:sz w:val="21"/>
          <w:szCs w:val="21"/>
        </w:rPr>
        <w:t xml:space="preserve"> </w:t>
      </w:r>
      <w:r w:rsidRPr="00865313">
        <w:rPr>
          <w:rFonts w:ascii="Abadi" w:hAnsi="Abadi" w:cs="Calibri"/>
          <w:color w:val="1D1C22"/>
          <w:sz w:val="21"/>
          <w:szCs w:val="21"/>
        </w:rPr>
        <w:t>conformado</w:t>
      </w:r>
      <w:r w:rsidRPr="00865313">
        <w:rPr>
          <w:rFonts w:ascii="Abadi" w:hAnsi="Abadi" w:cs="Calibri"/>
          <w:color w:val="1D1C22"/>
          <w:spacing w:val="5"/>
          <w:sz w:val="21"/>
          <w:szCs w:val="21"/>
        </w:rPr>
        <w:t xml:space="preserve"> </w:t>
      </w:r>
      <w:r w:rsidRPr="00865313">
        <w:rPr>
          <w:rFonts w:ascii="Abadi" w:hAnsi="Abadi" w:cs="Calibri"/>
          <w:color w:val="1D1C22"/>
          <w:sz w:val="21"/>
          <w:szCs w:val="21"/>
        </w:rPr>
        <w:t>por:</w:t>
      </w:r>
    </w:p>
    <w:p w14:paraId="050F5DA1" w14:textId="77777777" w:rsidR="00A7016E" w:rsidRPr="00865313" w:rsidRDefault="00A7016E" w:rsidP="00A7016E">
      <w:pPr>
        <w:numPr>
          <w:ilvl w:val="0"/>
          <w:numId w:val="51"/>
        </w:numPr>
        <w:tabs>
          <w:tab w:val="left" w:pos="483"/>
        </w:tabs>
        <w:kinsoku w:val="0"/>
        <w:overflowPunct w:val="0"/>
        <w:autoSpaceDE w:val="0"/>
        <w:autoSpaceDN w:val="0"/>
        <w:adjustRightInd w:val="0"/>
        <w:spacing w:before="261" w:line="218" w:lineRule="auto"/>
        <w:ind w:right="144" w:hanging="350"/>
        <w:jc w:val="both"/>
        <w:rPr>
          <w:rFonts w:ascii="Abadi" w:hAnsi="Abadi" w:cs="Calibri"/>
          <w:color w:val="1C1B22"/>
          <w:sz w:val="21"/>
          <w:szCs w:val="21"/>
        </w:rPr>
      </w:pPr>
      <w:r w:rsidRPr="00865313">
        <w:rPr>
          <w:rFonts w:ascii="Abadi" w:hAnsi="Abadi" w:cs="Calibri"/>
          <w:color w:val="1C1B22"/>
          <w:sz w:val="21"/>
          <w:szCs w:val="21"/>
        </w:rPr>
        <w:t>Copia</w:t>
      </w:r>
      <w:r w:rsidRPr="00865313">
        <w:rPr>
          <w:rFonts w:ascii="Abadi" w:hAnsi="Abadi" w:cs="Calibri"/>
          <w:color w:val="1C1B22"/>
          <w:spacing w:val="32"/>
          <w:sz w:val="21"/>
          <w:szCs w:val="21"/>
        </w:rPr>
        <w:t xml:space="preserve"> </w:t>
      </w:r>
      <w:r w:rsidRPr="00865313">
        <w:rPr>
          <w:rFonts w:ascii="Abadi" w:hAnsi="Abadi" w:cs="Calibri"/>
          <w:color w:val="1C1B22"/>
          <w:sz w:val="21"/>
          <w:szCs w:val="21"/>
        </w:rPr>
        <w:t>certificada</w:t>
      </w:r>
      <w:r w:rsidRPr="00865313">
        <w:rPr>
          <w:rFonts w:ascii="Abadi" w:hAnsi="Abadi" w:cs="Calibri"/>
          <w:color w:val="1C1B22"/>
          <w:spacing w:val="24"/>
          <w:sz w:val="21"/>
          <w:szCs w:val="21"/>
        </w:rPr>
        <w:t xml:space="preserve"> </w:t>
      </w:r>
      <w:r w:rsidRPr="00865313">
        <w:rPr>
          <w:rFonts w:ascii="Abadi" w:hAnsi="Abadi" w:cs="Calibri"/>
          <w:color w:val="1C1B22"/>
          <w:sz w:val="21"/>
          <w:szCs w:val="21"/>
        </w:rPr>
        <w:t>de</w:t>
      </w:r>
      <w:r w:rsidRPr="00865313">
        <w:rPr>
          <w:rFonts w:ascii="Abadi" w:hAnsi="Abadi" w:cs="Calibri"/>
          <w:color w:val="1C1B22"/>
          <w:spacing w:val="25"/>
          <w:sz w:val="21"/>
          <w:szCs w:val="21"/>
        </w:rPr>
        <w:t xml:space="preserve"> </w:t>
      </w:r>
      <w:r w:rsidRPr="00865313">
        <w:rPr>
          <w:rFonts w:ascii="Abadi" w:hAnsi="Abadi" w:cs="Calibri"/>
          <w:color w:val="1C1B22"/>
          <w:sz w:val="21"/>
          <w:szCs w:val="21"/>
        </w:rPr>
        <w:t>su</w:t>
      </w:r>
      <w:r w:rsidRPr="00865313">
        <w:rPr>
          <w:rFonts w:ascii="Abadi" w:hAnsi="Abadi" w:cs="Calibri"/>
          <w:color w:val="1C1B22"/>
          <w:spacing w:val="25"/>
          <w:sz w:val="21"/>
          <w:szCs w:val="21"/>
        </w:rPr>
        <w:t xml:space="preserve"> </w:t>
      </w:r>
      <w:r w:rsidRPr="00865313">
        <w:rPr>
          <w:rFonts w:ascii="Abadi" w:hAnsi="Abadi" w:cs="Calibri"/>
          <w:b/>
          <w:bCs/>
          <w:color w:val="1C1B22"/>
          <w:sz w:val="21"/>
          <w:szCs w:val="21"/>
        </w:rPr>
        <w:t>acta</w:t>
      </w:r>
      <w:r w:rsidRPr="00865313">
        <w:rPr>
          <w:rFonts w:ascii="Abadi" w:hAnsi="Abadi" w:cs="Calibri"/>
          <w:b/>
          <w:bCs/>
          <w:color w:val="1C1B22"/>
          <w:spacing w:val="35"/>
          <w:sz w:val="21"/>
          <w:szCs w:val="21"/>
        </w:rPr>
        <w:t xml:space="preserve"> </w:t>
      </w:r>
      <w:r w:rsidRPr="00865313">
        <w:rPr>
          <w:rFonts w:ascii="Abadi" w:hAnsi="Abadi" w:cs="Calibri"/>
          <w:b/>
          <w:bCs/>
          <w:color w:val="1C1B22"/>
          <w:sz w:val="21"/>
          <w:szCs w:val="21"/>
        </w:rPr>
        <w:t>de</w:t>
      </w:r>
      <w:r w:rsidRPr="00865313">
        <w:rPr>
          <w:rFonts w:ascii="Abadi" w:hAnsi="Abadi" w:cs="Calibri"/>
          <w:b/>
          <w:bCs/>
          <w:color w:val="1C1B22"/>
          <w:spacing w:val="27"/>
          <w:sz w:val="21"/>
          <w:szCs w:val="21"/>
        </w:rPr>
        <w:t xml:space="preserve"> </w:t>
      </w:r>
      <w:r w:rsidRPr="00865313">
        <w:rPr>
          <w:rFonts w:ascii="Abadi" w:hAnsi="Abadi" w:cs="Calibri"/>
          <w:b/>
          <w:bCs/>
          <w:color w:val="1C1B22"/>
          <w:sz w:val="21"/>
          <w:szCs w:val="21"/>
        </w:rPr>
        <w:t>nacimiento.</w:t>
      </w:r>
      <w:r w:rsidRPr="00865313">
        <w:rPr>
          <w:rFonts w:ascii="Abadi" w:hAnsi="Abadi" w:cs="Calibri"/>
          <w:b/>
          <w:bCs/>
          <w:color w:val="1C1B22"/>
          <w:spacing w:val="4"/>
          <w:sz w:val="21"/>
          <w:szCs w:val="21"/>
        </w:rPr>
        <w:t xml:space="preserve"> </w:t>
      </w:r>
      <w:r w:rsidRPr="00865313">
        <w:rPr>
          <w:rFonts w:ascii="Abadi" w:hAnsi="Abadi" w:cs="Calibri"/>
          <w:color w:val="1C1B22"/>
          <w:sz w:val="21"/>
          <w:szCs w:val="21"/>
        </w:rPr>
        <w:t>Para</w:t>
      </w:r>
      <w:r w:rsidRPr="00865313">
        <w:rPr>
          <w:rFonts w:ascii="Abadi" w:hAnsi="Abadi" w:cs="Calibri"/>
          <w:color w:val="1C1B22"/>
          <w:spacing w:val="30"/>
          <w:sz w:val="21"/>
          <w:szCs w:val="21"/>
        </w:rPr>
        <w:t xml:space="preserve"> </w:t>
      </w:r>
      <w:r w:rsidRPr="00865313">
        <w:rPr>
          <w:rFonts w:ascii="Abadi" w:hAnsi="Abadi" w:cs="Calibri"/>
          <w:color w:val="1C1B22"/>
          <w:sz w:val="21"/>
          <w:szCs w:val="21"/>
        </w:rPr>
        <w:t>acreditar</w:t>
      </w:r>
      <w:r w:rsidRPr="00865313">
        <w:rPr>
          <w:rFonts w:ascii="Abadi" w:hAnsi="Abadi" w:cs="Calibri"/>
          <w:color w:val="1C1B22"/>
          <w:spacing w:val="20"/>
          <w:sz w:val="21"/>
          <w:szCs w:val="21"/>
        </w:rPr>
        <w:t xml:space="preserve"> </w:t>
      </w:r>
      <w:r w:rsidRPr="00865313">
        <w:rPr>
          <w:rFonts w:ascii="Abadi" w:hAnsi="Abadi" w:cs="Calibri"/>
          <w:color w:val="1C1B22"/>
          <w:sz w:val="21"/>
          <w:szCs w:val="21"/>
        </w:rPr>
        <w:t>los</w:t>
      </w:r>
      <w:r w:rsidRPr="00865313">
        <w:rPr>
          <w:rFonts w:ascii="Abadi" w:hAnsi="Abadi" w:cs="Calibri"/>
          <w:color w:val="1C1B22"/>
          <w:spacing w:val="24"/>
          <w:sz w:val="21"/>
          <w:szCs w:val="21"/>
        </w:rPr>
        <w:t xml:space="preserve"> </w:t>
      </w:r>
      <w:r w:rsidRPr="00865313">
        <w:rPr>
          <w:rFonts w:ascii="Abadi" w:hAnsi="Abadi" w:cs="Calibri"/>
          <w:color w:val="1C1B22"/>
          <w:sz w:val="21"/>
          <w:szCs w:val="21"/>
        </w:rPr>
        <w:t>requisitos</w:t>
      </w:r>
      <w:r w:rsidRPr="00865313">
        <w:rPr>
          <w:rFonts w:ascii="Abadi" w:hAnsi="Abadi" w:cs="Calibri"/>
          <w:color w:val="1C1B22"/>
          <w:spacing w:val="21"/>
          <w:sz w:val="21"/>
          <w:szCs w:val="21"/>
        </w:rPr>
        <w:t xml:space="preserve"> </w:t>
      </w:r>
      <w:r w:rsidRPr="00865313">
        <w:rPr>
          <w:rFonts w:ascii="Abadi" w:hAnsi="Abadi" w:cs="Calibri"/>
          <w:color w:val="1C1B22"/>
          <w:sz w:val="21"/>
          <w:szCs w:val="21"/>
        </w:rPr>
        <w:t>a</w:t>
      </w:r>
      <w:r w:rsidRPr="00865313">
        <w:rPr>
          <w:rFonts w:ascii="Abadi" w:hAnsi="Abadi" w:cs="Calibri"/>
          <w:color w:val="1C1B22"/>
          <w:spacing w:val="26"/>
          <w:sz w:val="21"/>
          <w:szCs w:val="21"/>
        </w:rPr>
        <w:t xml:space="preserve"> </w:t>
      </w:r>
      <w:r w:rsidRPr="00865313">
        <w:rPr>
          <w:rFonts w:ascii="Abadi" w:hAnsi="Abadi" w:cs="Calibri"/>
          <w:color w:val="1C1B22"/>
          <w:sz w:val="21"/>
          <w:szCs w:val="21"/>
        </w:rPr>
        <w:t>que</w:t>
      </w:r>
      <w:r w:rsidRPr="00865313">
        <w:rPr>
          <w:rFonts w:ascii="Abadi" w:hAnsi="Abadi" w:cs="Calibri"/>
          <w:color w:val="1C1B22"/>
          <w:spacing w:val="20"/>
          <w:sz w:val="21"/>
          <w:szCs w:val="21"/>
        </w:rPr>
        <w:t xml:space="preserve"> </w:t>
      </w:r>
      <w:r w:rsidRPr="00865313">
        <w:rPr>
          <w:rFonts w:ascii="Abadi" w:hAnsi="Abadi" w:cs="Calibri"/>
          <w:color w:val="1C1B22"/>
          <w:sz w:val="21"/>
          <w:szCs w:val="21"/>
        </w:rPr>
        <w:t>se</w:t>
      </w:r>
      <w:r w:rsidRPr="00865313">
        <w:rPr>
          <w:rFonts w:ascii="Abadi" w:hAnsi="Abadi" w:cs="Calibri"/>
          <w:color w:val="1C1B22"/>
          <w:spacing w:val="18"/>
          <w:sz w:val="21"/>
          <w:szCs w:val="21"/>
        </w:rPr>
        <w:t xml:space="preserve"> </w:t>
      </w:r>
      <w:r w:rsidRPr="00865313">
        <w:rPr>
          <w:rFonts w:ascii="Abadi" w:hAnsi="Abadi" w:cs="Calibri"/>
          <w:color w:val="1C1B22"/>
          <w:sz w:val="21"/>
          <w:szCs w:val="21"/>
        </w:rPr>
        <w:t>refieren</w:t>
      </w:r>
      <w:r w:rsidRPr="00865313">
        <w:rPr>
          <w:rFonts w:ascii="Abadi" w:hAnsi="Abadi" w:cs="Calibri"/>
          <w:color w:val="1C1B22"/>
          <w:spacing w:val="-4"/>
          <w:sz w:val="21"/>
          <w:szCs w:val="21"/>
        </w:rPr>
        <w:t xml:space="preserve"> </w:t>
      </w:r>
      <w:r w:rsidRPr="00865313">
        <w:rPr>
          <w:rFonts w:ascii="Abadi" w:hAnsi="Abadi" w:cs="Calibri"/>
          <w:color w:val="1C1B22"/>
          <w:sz w:val="21"/>
          <w:szCs w:val="21"/>
        </w:rPr>
        <w:t>las</w:t>
      </w:r>
      <w:r w:rsidRPr="00865313">
        <w:rPr>
          <w:rFonts w:ascii="Abadi" w:hAnsi="Abadi" w:cs="Calibri"/>
          <w:color w:val="1C1B22"/>
          <w:spacing w:val="13"/>
          <w:sz w:val="21"/>
          <w:szCs w:val="21"/>
        </w:rPr>
        <w:t xml:space="preserve"> </w:t>
      </w:r>
      <w:r w:rsidRPr="00865313">
        <w:rPr>
          <w:rFonts w:ascii="Abadi" w:hAnsi="Abadi" w:cs="Calibri"/>
          <w:color w:val="1C1B22"/>
          <w:sz w:val="21"/>
          <w:szCs w:val="21"/>
        </w:rPr>
        <w:t>fracciones</w:t>
      </w:r>
      <w:r w:rsidRPr="00865313">
        <w:rPr>
          <w:rFonts w:ascii="Abadi" w:hAnsi="Abadi" w:cs="Calibri"/>
          <w:color w:val="1C1B22"/>
          <w:spacing w:val="26"/>
          <w:sz w:val="21"/>
          <w:szCs w:val="21"/>
        </w:rPr>
        <w:t xml:space="preserve"> </w:t>
      </w:r>
      <w:r w:rsidRPr="00865313">
        <w:rPr>
          <w:rFonts w:ascii="Abadi" w:hAnsi="Abadi" w:cs="Calibri"/>
          <w:color w:val="1C1B22"/>
          <w:sz w:val="21"/>
          <w:szCs w:val="21"/>
        </w:rPr>
        <w:t>I</w:t>
      </w:r>
      <w:r w:rsidRPr="00865313">
        <w:rPr>
          <w:rFonts w:ascii="Abadi" w:hAnsi="Abadi" w:cs="Calibri"/>
          <w:color w:val="1C1B22"/>
          <w:spacing w:val="18"/>
          <w:sz w:val="21"/>
          <w:szCs w:val="21"/>
        </w:rPr>
        <w:t xml:space="preserve"> </w:t>
      </w:r>
      <w:r w:rsidRPr="00865313">
        <w:rPr>
          <w:rFonts w:ascii="Abadi" w:hAnsi="Abadi" w:cs="Calibri"/>
          <w:color w:val="1C1B22"/>
          <w:sz w:val="21"/>
          <w:szCs w:val="21"/>
        </w:rPr>
        <w:t>y</w:t>
      </w:r>
      <w:r w:rsidRPr="00865313">
        <w:rPr>
          <w:rFonts w:ascii="Abadi" w:hAnsi="Abadi" w:cs="Calibri"/>
          <w:color w:val="1C1B22"/>
          <w:spacing w:val="26"/>
          <w:sz w:val="21"/>
          <w:szCs w:val="21"/>
        </w:rPr>
        <w:t xml:space="preserve"> </w:t>
      </w:r>
      <w:r w:rsidRPr="00865313">
        <w:rPr>
          <w:rFonts w:ascii="Abadi" w:hAnsi="Abadi" w:cs="Calibri"/>
          <w:color w:val="1C1B22"/>
          <w:w w:val="85"/>
          <w:sz w:val="21"/>
          <w:szCs w:val="21"/>
        </w:rPr>
        <w:t>111</w:t>
      </w:r>
      <w:r w:rsidRPr="00865313">
        <w:rPr>
          <w:rFonts w:ascii="Abadi" w:hAnsi="Abadi" w:cs="Calibri"/>
          <w:color w:val="1C1B22"/>
          <w:spacing w:val="22"/>
          <w:w w:val="85"/>
          <w:sz w:val="21"/>
          <w:szCs w:val="21"/>
        </w:rPr>
        <w:t xml:space="preserve"> </w:t>
      </w:r>
      <w:r w:rsidRPr="00865313">
        <w:rPr>
          <w:rFonts w:ascii="Abadi" w:hAnsi="Abadi" w:cs="Calibri"/>
          <w:color w:val="1C1B22"/>
          <w:sz w:val="21"/>
          <w:szCs w:val="21"/>
        </w:rPr>
        <w:t>del</w:t>
      </w:r>
      <w:r w:rsidRPr="00865313">
        <w:rPr>
          <w:rFonts w:ascii="Abadi" w:hAnsi="Abadi" w:cs="Calibri"/>
          <w:color w:val="1C1B22"/>
          <w:spacing w:val="17"/>
          <w:sz w:val="21"/>
          <w:szCs w:val="21"/>
        </w:rPr>
        <w:t xml:space="preserve"> </w:t>
      </w:r>
      <w:r w:rsidRPr="00865313">
        <w:rPr>
          <w:rFonts w:ascii="Abadi" w:hAnsi="Abadi" w:cs="Calibri"/>
          <w:color w:val="1C1B22"/>
          <w:sz w:val="21"/>
          <w:szCs w:val="21"/>
        </w:rPr>
        <w:t>artículo</w:t>
      </w:r>
      <w:r w:rsidRPr="00865313">
        <w:rPr>
          <w:rFonts w:ascii="Abadi" w:hAnsi="Abadi" w:cs="Calibri"/>
          <w:color w:val="1C1B22"/>
          <w:spacing w:val="13"/>
          <w:sz w:val="21"/>
          <w:szCs w:val="21"/>
        </w:rPr>
        <w:t xml:space="preserve"> </w:t>
      </w:r>
      <w:r w:rsidRPr="00865313">
        <w:rPr>
          <w:rFonts w:ascii="Abadi" w:hAnsi="Abadi" w:cs="Calibri"/>
          <w:color w:val="1C1B22"/>
          <w:sz w:val="21"/>
          <w:szCs w:val="21"/>
        </w:rPr>
        <w:t>159</w:t>
      </w:r>
      <w:r w:rsidRPr="00865313">
        <w:rPr>
          <w:rFonts w:ascii="Abadi" w:hAnsi="Abadi" w:cs="Calibri"/>
          <w:color w:val="1C1B22"/>
          <w:spacing w:val="12"/>
          <w:sz w:val="21"/>
          <w:szCs w:val="21"/>
        </w:rPr>
        <w:t xml:space="preserve"> </w:t>
      </w:r>
      <w:r w:rsidRPr="00865313">
        <w:rPr>
          <w:rFonts w:ascii="Abadi" w:hAnsi="Abadi" w:cs="Calibri"/>
          <w:color w:val="1C1B22"/>
          <w:sz w:val="21"/>
          <w:szCs w:val="21"/>
        </w:rPr>
        <w:t>de</w:t>
      </w:r>
      <w:r w:rsidRPr="00865313">
        <w:rPr>
          <w:rFonts w:ascii="Abadi" w:hAnsi="Abadi" w:cs="Calibri"/>
          <w:color w:val="1C1B22"/>
          <w:spacing w:val="20"/>
          <w:sz w:val="21"/>
          <w:szCs w:val="21"/>
        </w:rPr>
        <w:t xml:space="preserve"> </w:t>
      </w:r>
      <w:r w:rsidRPr="00865313">
        <w:rPr>
          <w:rFonts w:ascii="Abadi" w:hAnsi="Abadi" w:cs="Calibri"/>
          <w:color w:val="1C1B22"/>
          <w:sz w:val="21"/>
          <w:szCs w:val="21"/>
        </w:rPr>
        <w:t>la</w:t>
      </w:r>
      <w:r w:rsidRPr="00865313">
        <w:rPr>
          <w:rFonts w:ascii="Abadi" w:hAnsi="Abadi" w:cs="Calibri"/>
          <w:color w:val="1C1B22"/>
          <w:spacing w:val="22"/>
          <w:sz w:val="21"/>
          <w:szCs w:val="21"/>
        </w:rPr>
        <w:t xml:space="preserve"> </w:t>
      </w:r>
      <w:r w:rsidRPr="00865313">
        <w:rPr>
          <w:rFonts w:ascii="Abadi" w:hAnsi="Abadi" w:cs="Calibri"/>
          <w:color w:val="1C1B22"/>
          <w:sz w:val="21"/>
          <w:szCs w:val="21"/>
        </w:rPr>
        <w:t>Ley</w:t>
      </w:r>
      <w:r w:rsidRPr="00865313">
        <w:rPr>
          <w:rFonts w:ascii="Abadi" w:hAnsi="Abadi" w:cs="Calibri"/>
          <w:color w:val="1C1B22"/>
          <w:spacing w:val="15"/>
          <w:sz w:val="21"/>
          <w:szCs w:val="21"/>
        </w:rPr>
        <w:t xml:space="preserve"> </w:t>
      </w:r>
      <w:r w:rsidRPr="00865313">
        <w:rPr>
          <w:rFonts w:ascii="Abadi" w:hAnsi="Abadi" w:cs="Calibri"/>
          <w:color w:val="1C1B22"/>
          <w:sz w:val="21"/>
          <w:szCs w:val="21"/>
        </w:rPr>
        <w:t>de</w:t>
      </w:r>
      <w:r w:rsidRPr="00865313">
        <w:rPr>
          <w:rFonts w:ascii="Abadi" w:hAnsi="Abadi" w:cs="Calibri"/>
          <w:color w:val="1C1B22"/>
          <w:spacing w:val="4"/>
          <w:sz w:val="21"/>
          <w:szCs w:val="21"/>
        </w:rPr>
        <w:t xml:space="preserve"> </w:t>
      </w:r>
      <w:r w:rsidRPr="00865313">
        <w:rPr>
          <w:rFonts w:ascii="Abadi" w:hAnsi="Abadi" w:cs="Calibri"/>
          <w:color w:val="1C1B22"/>
          <w:sz w:val="21"/>
          <w:szCs w:val="21"/>
        </w:rPr>
        <w:t>Transparencia</w:t>
      </w:r>
      <w:r w:rsidRPr="00865313">
        <w:rPr>
          <w:rFonts w:ascii="Abadi" w:hAnsi="Abadi" w:cs="Calibri"/>
          <w:color w:val="1C1B22"/>
          <w:spacing w:val="5"/>
          <w:sz w:val="21"/>
          <w:szCs w:val="21"/>
        </w:rPr>
        <w:t xml:space="preserve"> </w:t>
      </w:r>
      <w:r w:rsidRPr="00865313">
        <w:rPr>
          <w:rFonts w:ascii="Abadi" w:hAnsi="Abadi" w:cs="Calibri"/>
          <w:color w:val="1C1B22"/>
          <w:sz w:val="21"/>
          <w:szCs w:val="21"/>
        </w:rPr>
        <w:t>y</w:t>
      </w:r>
      <w:r w:rsidRPr="00865313">
        <w:rPr>
          <w:rFonts w:ascii="Abadi" w:hAnsi="Abadi" w:cs="Calibri"/>
          <w:color w:val="1C1B22"/>
          <w:spacing w:val="18"/>
          <w:sz w:val="21"/>
          <w:szCs w:val="21"/>
        </w:rPr>
        <w:t xml:space="preserve"> </w:t>
      </w:r>
      <w:r w:rsidRPr="00865313">
        <w:rPr>
          <w:rFonts w:ascii="Abadi" w:hAnsi="Abadi" w:cs="Calibri"/>
          <w:color w:val="1C1B22"/>
          <w:sz w:val="21"/>
          <w:szCs w:val="21"/>
        </w:rPr>
        <w:t>Acceso</w:t>
      </w:r>
      <w:r w:rsidRPr="00865313">
        <w:rPr>
          <w:rFonts w:ascii="Abadi" w:hAnsi="Abadi" w:cs="Calibri"/>
          <w:color w:val="1C1B22"/>
          <w:spacing w:val="10"/>
          <w:sz w:val="21"/>
          <w:szCs w:val="21"/>
        </w:rPr>
        <w:t xml:space="preserve"> </w:t>
      </w:r>
      <w:r w:rsidRPr="00865313">
        <w:rPr>
          <w:rFonts w:ascii="Abadi" w:hAnsi="Abadi" w:cs="Calibri"/>
          <w:color w:val="1C1B22"/>
          <w:sz w:val="21"/>
          <w:szCs w:val="21"/>
        </w:rPr>
        <w:t>a</w:t>
      </w:r>
      <w:r w:rsidRPr="00865313">
        <w:rPr>
          <w:rFonts w:ascii="Abadi" w:hAnsi="Abadi" w:cs="Calibri"/>
          <w:color w:val="1C1B22"/>
          <w:spacing w:val="17"/>
          <w:sz w:val="21"/>
          <w:szCs w:val="21"/>
        </w:rPr>
        <w:t xml:space="preserve"> </w:t>
      </w:r>
      <w:r w:rsidRPr="00865313">
        <w:rPr>
          <w:rFonts w:ascii="Abadi" w:hAnsi="Abadi" w:cs="Calibri"/>
          <w:color w:val="1C1B22"/>
          <w:sz w:val="21"/>
          <w:szCs w:val="21"/>
        </w:rPr>
        <w:t>la</w:t>
      </w:r>
      <w:r w:rsidRPr="00865313">
        <w:rPr>
          <w:rFonts w:ascii="Abadi" w:hAnsi="Abadi" w:cs="Calibri"/>
          <w:color w:val="1C1B22"/>
          <w:spacing w:val="15"/>
          <w:sz w:val="21"/>
          <w:szCs w:val="21"/>
        </w:rPr>
        <w:t xml:space="preserve"> </w:t>
      </w:r>
      <w:r w:rsidRPr="00865313">
        <w:rPr>
          <w:rFonts w:ascii="Abadi" w:hAnsi="Abadi" w:cs="Calibri"/>
          <w:color w:val="1C1B22"/>
          <w:sz w:val="21"/>
          <w:szCs w:val="21"/>
        </w:rPr>
        <w:t>Información</w:t>
      </w:r>
      <w:r w:rsidRPr="00865313">
        <w:rPr>
          <w:rFonts w:ascii="Abadi" w:hAnsi="Abadi" w:cs="Calibri"/>
          <w:color w:val="1C1B22"/>
          <w:spacing w:val="-2"/>
          <w:sz w:val="21"/>
          <w:szCs w:val="21"/>
        </w:rPr>
        <w:t xml:space="preserve"> </w:t>
      </w:r>
      <w:r w:rsidRPr="00865313">
        <w:rPr>
          <w:rFonts w:ascii="Abadi" w:hAnsi="Abadi" w:cs="Calibri"/>
          <w:color w:val="1C1B22"/>
          <w:sz w:val="21"/>
          <w:szCs w:val="21"/>
        </w:rPr>
        <w:t>Pública</w:t>
      </w:r>
      <w:r w:rsidRPr="00865313">
        <w:rPr>
          <w:rFonts w:ascii="Abadi" w:hAnsi="Abadi" w:cs="Calibri"/>
          <w:color w:val="1C1B22"/>
          <w:spacing w:val="6"/>
          <w:sz w:val="21"/>
          <w:szCs w:val="21"/>
        </w:rPr>
        <w:t xml:space="preserve"> </w:t>
      </w:r>
      <w:r w:rsidRPr="00865313">
        <w:rPr>
          <w:rFonts w:ascii="Abadi" w:hAnsi="Abadi" w:cs="Calibri"/>
          <w:color w:val="1C1B22"/>
          <w:sz w:val="21"/>
          <w:szCs w:val="21"/>
        </w:rPr>
        <w:t>para</w:t>
      </w:r>
      <w:r w:rsidRPr="00865313">
        <w:rPr>
          <w:rFonts w:ascii="Abadi" w:hAnsi="Abadi" w:cs="Calibri"/>
          <w:color w:val="1C1B22"/>
          <w:spacing w:val="5"/>
          <w:sz w:val="21"/>
          <w:szCs w:val="21"/>
        </w:rPr>
        <w:t xml:space="preserve"> </w:t>
      </w:r>
      <w:r w:rsidRPr="00865313">
        <w:rPr>
          <w:rFonts w:ascii="Abadi" w:hAnsi="Abadi" w:cs="Calibri"/>
          <w:color w:val="1C1B22"/>
          <w:sz w:val="21"/>
          <w:szCs w:val="21"/>
        </w:rPr>
        <w:t>el</w:t>
      </w:r>
      <w:r w:rsidRPr="00865313">
        <w:rPr>
          <w:rFonts w:ascii="Abadi" w:hAnsi="Abadi" w:cs="Calibri"/>
          <w:color w:val="1C1B22"/>
          <w:spacing w:val="12"/>
          <w:sz w:val="21"/>
          <w:szCs w:val="21"/>
        </w:rPr>
        <w:t xml:space="preserve"> </w:t>
      </w:r>
      <w:r w:rsidRPr="00865313">
        <w:rPr>
          <w:rFonts w:ascii="Abadi" w:hAnsi="Abadi" w:cs="Calibri"/>
          <w:color w:val="1C1B22"/>
          <w:sz w:val="21"/>
          <w:szCs w:val="21"/>
        </w:rPr>
        <w:t>Estado</w:t>
      </w:r>
      <w:r w:rsidRPr="00865313">
        <w:rPr>
          <w:rFonts w:ascii="Abadi" w:hAnsi="Abadi" w:cs="Calibri"/>
          <w:color w:val="1C1B22"/>
          <w:spacing w:val="8"/>
          <w:sz w:val="21"/>
          <w:szCs w:val="21"/>
        </w:rPr>
        <w:t xml:space="preserve"> </w:t>
      </w:r>
      <w:r w:rsidRPr="00865313">
        <w:rPr>
          <w:rFonts w:ascii="Abadi" w:hAnsi="Abadi" w:cs="Calibri"/>
          <w:color w:val="1C1B22"/>
          <w:sz w:val="21"/>
          <w:szCs w:val="21"/>
        </w:rPr>
        <w:t>de</w:t>
      </w:r>
      <w:r w:rsidRPr="00865313">
        <w:rPr>
          <w:rFonts w:ascii="Abadi" w:hAnsi="Abadi" w:cs="Calibri"/>
          <w:color w:val="1C1B22"/>
          <w:spacing w:val="14"/>
          <w:sz w:val="21"/>
          <w:szCs w:val="21"/>
        </w:rPr>
        <w:t xml:space="preserve"> </w:t>
      </w:r>
      <w:r w:rsidRPr="00865313">
        <w:rPr>
          <w:rFonts w:ascii="Abadi" w:hAnsi="Abadi" w:cs="Calibri"/>
          <w:color w:val="1C1B22"/>
          <w:sz w:val="21"/>
          <w:szCs w:val="21"/>
        </w:rPr>
        <w:t>Guanajuato;</w:t>
      </w:r>
    </w:p>
    <w:p w14:paraId="39878F8E" w14:textId="77777777" w:rsidR="00A7016E" w:rsidRPr="00865313" w:rsidRDefault="00A7016E" w:rsidP="00A7016E">
      <w:pPr>
        <w:numPr>
          <w:ilvl w:val="0"/>
          <w:numId w:val="51"/>
        </w:numPr>
        <w:tabs>
          <w:tab w:val="left" w:pos="483"/>
        </w:tabs>
        <w:kinsoku w:val="0"/>
        <w:overflowPunct w:val="0"/>
        <w:autoSpaceDE w:val="0"/>
        <w:autoSpaceDN w:val="0"/>
        <w:adjustRightInd w:val="0"/>
        <w:spacing w:before="267" w:line="218" w:lineRule="auto"/>
        <w:ind w:left="479" w:right="145" w:hanging="364"/>
        <w:jc w:val="both"/>
        <w:rPr>
          <w:rFonts w:ascii="Abadi" w:hAnsi="Abadi" w:cs="Calibri"/>
          <w:color w:val="1C1B21"/>
          <w:sz w:val="21"/>
          <w:szCs w:val="21"/>
        </w:rPr>
      </w:pPr>
      <w:r w:rsidRPr="00865313">
        <w:rPr>
          <w:rFonts w:ascii="Abadi" w:hAnsi="Abadi" w:cs="Calibri"/>
          <w:color w:val="1C1B21"/>
          <w:sz w:val="21"/>
          <w:szCs w:val="21"/>
        </w:rPr>
        <w:t>Original</w:t>
      </w:r>
      <w:r w:rsidRPr="00865313">
        <w:rPr>
          <w:rFonts w:ascii="Abadi" w:hAnsi="Abadi" w:cs="Calibri"/>
          <w:color w:val="1C1B21"/>
          <w:spacing w:val="14"/>
          <w:sz w:val="21"/>
          <w:szCs w:val="21"/>
        </w:rPr>
        <w:t xml:space="preserve"> </w:t>
      </w:r>
      <w:r w:rsidRPr="00865313">
        <w:rPr>
          <w:rFonts w:ascii="Abadi" w:hAnsi="Abadi" w:cs="Calibri"/>
          <w:color w:val="1C1B21"/>
          <w:sz w:val="21"/>
          <w:szCs w:val="21"/>
        </w:rPr>
        <w:t>de</w:t>
      </w:r>
      <w:r w:rsidRPr="00865313">
        <w:rPr>
          <w:rFonts w:ascii="Abadi" w:hAnsi="Abadi" w:cs="Calibri"/>
          <w:color w:val="1C1B21"/>
          <w:spacing w:val="11"/>
          <w:sz w:val="21"/>
          <w:szCs w:val="21"/>
        </w:rPr>
        <w:t xml:space="preserve"> </w:t>
      </w:r>
      <w:r w:rsidRPr="00865313">
        <w:rPr>
          <w:rFonts w:ascii="Abadi" w:hAnsi="Abadi" w:cs="Calibri"/>
          <w:b/>
          <w:bCs/>
          <w:color w:val="1C1B21"/>
          <w:sz w:val="21"/>
          <w:szCs w:val="21"/>
        </w:rPr>
        <w:t>Constancia</w:t>
      </w:r>
      <w:r w:rsidRPr="00865313">
        <w:rPr>
          <w:rFonts w:ascii="Abadi" w:hAnsi="Abadi" w:cs="Calibri"/>
          <w:b/>
          <w:bCs/>
          <w:color w:val="1C1B21"/>
          <w:spacing w:val="13"/>
          <w:sz w:val="21"/>
          <w:szCs w:val="21"/>
        </w:rPr>
        <w:t xml:space="preserve"> </w:t>
      </w:r>
      <w:r w:rsidRPr="00865313">
        <w:rPr>
          <w:rFonts w:ascii="Abadi" w:hAnsi="Abadi" w:cs="Calibri"/>
          <w:b/>
          <w:bCs/>
          <w:color w:val="1C1B21"/>
          <w:sz w:val="21"/>
          <w:szCs w:val="21"/>
        </w:rPr>
        <w:t>de</w:t>
      </w:r>
      <w:r w:rsidRPr="00865313">
        <w:rPr>
          <w:rFonts w:ascii="Abadi" w:hAnsi="Abadi" w:cs="Calibri"/>
          <w:b/>
          <w:bCs/>
          <w:color w:val="1C1B21"/>
          <w:spacing w:val="17"/>
          <w:sz w:val="21"/>
          <w:szCs w:val="21"/>
        </w:rPr>
        <w:t xml:space="preserve"> </w:t>
      </w:r>
      <w:r w:rsidRPr="00865313">
        <w:rPr>
          <w:rFonts w:ascii="Abadi" w:hAnsi="Abadi" w:cs="Calibri"/>
          <w:b/>
          <w:bCs/>
          <w:color w:val="1C1B21"/>
          <w:sz w:val="21"/>
          <w:szCs w:val="21"/>
        </w:rPr>
        <w:t>residencia</w:t>
      </w:r>
      <w:r w:rsidRPr="00865313">
        <w:rPr>
          <w:rFonts w:ascii="Abadi" w:hAnsi="Abadi" w:cs="Calibri"/>
          <w:b/>
          <w:bCs/>
          <w:color w:val="1C1B21"/>
          <w:spacing w:val="9"/>
          <w:sz w:val="21"/>
          <w:szCs w:val="21"/>
        </w:rPr>
        <w:t xml:space="preserve"> </w:t>
      </w:r>
      <w:r w:rsidRPr="00865313">
        <w:rPr>
          <w:rFonts w:ascii="Abadi" w:hAnsi="Abadi" w:cs="Calibri"/>
          <w:color w:val="1C1B21"/>
          <w:sz w:val="21"/>
          <w:szCs w:val="21"/>
        </w:rPr>
        <w:t>expedida</w:t>
      </w:r>
      <w:r w:rsidRPr="00865313">
        <w:rPr>
          <w:rFonts w:ascii="Abadi" w:hAnsi="Abadi" w:cs="Calibri"/>
          <w:color w:val="1C1B21"/>
          <w:spacing w:val="6"/>
          <w:sz w:val="21"/>
          <w:szCs w:val="21"/>
        </w:rPr>
        <w:t xml:space="preserve"> </w:t>
      </w:r>
      <w:r w:rsidRPr="00865313">
        <w:rPr>
          <w:rFonts w:ascii="Abadi" w:hAnsi="Abadi" w:cs="Calibri"/>
          <w:color w:val="1C1B21"/>
          <w:sz w:val="21"/>
          <w:szCs w:val="21"/>
        </w:rPr>
        <w:t>por</w:t>
      </w:r>
      <w:r w:rsidRPr="00865313">
        <w:rPr>
          <w:rFonts w:ascii="Abadi" w:hAnsi="Abadi" w:cs="Calibri"/>
          <w:color w:val="1C1B21"/>
          <w:spacing w:val="10"/>
          <w:sz w:val="21"/>
          <w:szCs w:val="21"/>
        </w:rPr>
        <w:t xml:space="preserve"> </w:t>
      </w:r>
      <w:r w:rsidRPr="00865313">
        <w:rPr>
          <w:rFonts w:ascii="Abadi" w:hAnsi="Abadi" w:cs="Calibri"/>
          <w:color w:val="1C1B21"/>
          <w:sz w:val="21"/>
          <w:szCs w:val="21"/>
        </w:rPr>
        <w:t>alguno</w:t>
      </w:r>
      <w:r w:rsidRPr="00865313">
        <w:rPr>
          <w:rFonts w:ascii="Abadi" w:hAnsi="Abadi" w:cs="Calibri"/>
          <w:color w:val="1C1B21"/>
          <w:spacing w:val="13"/>
          <w:sz w:val="21"/>
          <w:szCs w:val="21"/>
        </w:rPr>
        <w:t xml:space="preserve"> </w:t>
      </w:r>
      <w:r w:rsidRPr="00865313">
        <w:rPr>
          <w:rFonts w:ascii="Abadi" w:hAnsi="Abadi" w:cs="Calibri"/>
          <w:color w:val="1C1B21"/>
          <w:sz w:val="21"/>
          <w:szCs w:val="21"/>
        </w:rPr>
        <w:t>de</w:t>
      </w:r>
      <w:r w:rsidRPr="00865313">
        <w:rPr>
          <w:rFonts w:ascii="Abadi" w:hAnsi="Abadi" w:cs="Calibri"/>
          <w:color w:val="1C1B21"/>
          <w:spacing w:val="5"/>
          <w:sz w:val="21"/>
          <w:szCs w:val="21"/>
        </w:rPr>
        <w:t xml:space="preserve"> </w:t>
      </w:r>
      <w:r w:rsidRPr="00865313">
        <w:rPr>
          <w:rFonts w:ascii="Abadi" w:hAnsi="Abadi" w:cs="Calibri"/>
          <w:color w:val="1C1B21"/>
          <w:sz w:val="21"/>
          <w:szCs w:val="21"/>
        </w:rPr>
        <w:t>los</w:t>
      </w:r>
      <w:r w:rsidRPr="00865313">
        <w:rPr>
          <w:rFonts w:ascii="Abadi" w:hAnsi="Abadi" w:cs="Calibri"/>
          <w:color w:val="1C1B21"/>
          <w:spacing w:val="9"/>
          <w:sz w:val="21"/>
          <w:szCs w:val="21"/>
        </w:rPr>
        <w:t xml:space="preserve"> </w:t>
      </w:r>
      <w:r w:rsidRPr="00865313">
        <w:rPr>
          <w:rFonts w:ascii="Abadi" w:hAnsi="Abadi" w:cs="Calibri"/>
          <w:color w:val="1C1B21"/>
          <w:sz w:val="21"/>
          <w:szCs w:val="21"/>
        </w:rPr>
        <w:t>municipios</w:t>
      </w:r>
      <w:r w:rsidRPr="00865313">
        <w:rPr>
          <w:rFonts w:ascii="Abadi" w:hAnsi="Abadi" w:cs="Calibri"/>
          <w:color w:val="1C1B21"/>
          <w:spacing w:val="10"/>
          <w:sz w:val="21"/>
          <w:szCs w:val="21"/>
        </w:rPr>
        <w:t xml:space="preserve"> </w:t>
      </w:r>
      <w:r w:rsidRPr="00865313">
        <w:rPr>
          <w:rFonts w:ascii="Abadi" w:hAnsi="Abadi" w:cs="Calibri"/>
          <w:color w:val="1C1B21"/>
          <w:sz w:val="21"/>
          <w:szCs w:val="21"/>
        </w:rPr>
        <w:t>del</w:t>
      </w:r>
      <w:r w:rsidRPr="00865313">
        <w:rPr>
          <w:rFonts w:ascii="Abadi" w:hAnsi="Abadi" w:cs="Calibri"/>
          <w:color w:val="1C1B21"/>
          <w:spacing w:val="18"/>
          <w:sz w:val="21"/>
          <w:szCs w:val="21"/>
        </w:rPr>
        <w:t xml:space="preserve"> </w:t>
      </w:r>
      <w:r w:rsidRPr="00865313">
        <w:rPr>
          <w:rFonts w:ascii="Abadi" w:hAnsi="Abadi" w:cs="Calibri"/>
          <w:color w:val="1C1B21"/>
          <w:sz w:val="21"/>
          <w:szCs w:val="21"/>
        </w:rPr>
        <w:t>Estado</w:t>
      </w:r>
      <w:r w:rsidRPr="00865313">
        <w:rPr>
          <w:rFonts w:ascii="Abadi" w:hAnsi="Abadi" w:cs="Calibri"/>
          <w:color w:val="1C1B21"/>
          <w:spacing w:val="8"/>
          <w:sz w:val="21"/>
          <w:szCs w:val="21"/>
        </w:rPr>
        <w:t xml:space="preserve"> </w:t>
      </w:r>
      <w:r w:rsidRPr="00865313">
        <w:rPr>
          <w:rFonts w:ascii="Abadi" w:hAnsi="Abadi" w:cs="Calibri"/>
          <w:color w:val="1C1B21"/>
          <w:sz w:val="21"/>
          <w:szCs w:val="21"/>
        </w:rPr>
        <w:t>de</w:t>
      </w:r>
      <w:r w:rsidRPr="00865313">
        <w:rPr>
          <w:rFonts w:ascii="Abadi" w:hAnsi="Abadi" w:cs="Calibri"/>
          <w:color w:val="1C1B21"/>
          <w:spacing w:val="-1"/>
          <w:sz w:val="21"/>
          <w:szCs w:val="21"/>
        </w:rPr>
        <w:t xml:space="preserve"> </w:t>
      </w:r>
      <w:r w:rsidRPr="00865313">
        <w:rPr>
          <w:rFonts w:ascii="Abadi" w:hAnsi="Abadi" w:cs="Calibri"/>
          <w:color w:val="1C1B21"/>
          <w:sz w:val="21"/>
          <w:szCs w:val="21"/>
        </w:rPr>
        <w:t>Guanajuato,</w:t>
      </w:r>
      <w:r w:rsidRPr="00865313">
        <w:rPr>
          <w:rFonts w:ascii="Abadi" w:hAnsi="Abadi" w:cs="Calibri"/>
          <w:color w:val="1C1B21"/>
          <w:spacing w:val="30"/>
          <w:sz w:val="21"/>
          <w:szCs w:val="21"/>
        </w:rPr>
        <w:t xml:space="preserve"> </w:t>
      </w:r>
      <w:r w:rsidRPr="00865313">
        <w:rPr>
          <w:rFonts w:ascii="Abadi" w:hAnsi="Abadi" w:cs="Calibri"/>
          <w:color w:val="1C1B21"/>
          <w:sz w:val="21"/>
          <w:szCs w:val="21"/>
        </w:rPr>
        <w:t>donde</w:t>
      </w:r>
      <w:r w:rsidRPr="00865313">
        <w:rPr>
          <w:rFonts w:ascii="Abadi" w:hAnsi="Abadi" w:cs="Calibri"/>
          <w:color w:val="1C1B21"/>
          <w:spacing w:val="18"/>
          <w:sz w:val="21"/>
          <w:szCs w:val="21"/>
        </w:rPr>
        <w:t xml:space="preserve"> </w:t>
      </w:r>
      <w:r w:rsidRPr="00865313">
        <w:rPr>
          <w:rFonts w:ascii="Abadi" w:hAnsi="Abadi" w:cs="Calibri"/>
          <w:color w:val="1C1B21"/>
          <w:sz w:val="21"/>
          <w:szCs w:val="21"/>
        </w:rPr>
        <w:t>conste</w:t>
      </w:r>
      <w:r w:rsidRPr="00865313">
        <w:rPr>
          <w:rFonts w:ascii="Abadi" w:hAnsi="Abadi" w:cs="Calibri"/>
          <w:color w:val="1C1B21"/>
          <w:spacing w:val="18"/>
          <w:sz w:val="21"/>
          <w:szCs w:val="21"/>
        </w:rPr>
        <w:t xml:space="preserve"> </w:t>
      </w:r>
      <w:r w:rsidRPr="00865313">
        <w:rPr>
          <w:rFonts w:ascii="Abadi" w:hAnsi="Abadi" w:cs="Calibri"/>
          <w:color w:val="1C1B21"/>
          <w:sz w:val="21"/>
          <w:szCs w:val="21"/>
        </w:rPr>
        <w:t>residencia</w:t>
      </w:r>
      <w:r w:rsidRPr="00865313">
        <w:rPr>
          <w:rFonts w:ascii="Abadi" w:hAnsi="Abadi" w:cs="Calibri"/>
          <w:color w:val="1C1B21"/>
          <w:spacing w:val="23"/>
          <w:sz w:val="21"/>
          <w:szCs w:val="21"/>
        </w:rPr>
        <w:t xml:space="preserve"> </w:t>
      </w:r>
      <w:r w:rsidRPr="00865313">
        <w:rPr>
          <w:rFonts w:ascii="Abadi" w:hAnsi="Abadi" w:cs="Calibri"/>
          <w:color w:val="1C1B21"/>
          <w:sz w:val="21"/>
          <w:szCs w:val="21"/>
        </w:rPr>
        <w:t>mínima</w:t>
      </w:r>
      <w:r w:rsidRPr="00865313">
        <w:rPr>
          <w:rFonts w:ascii="Abadi" w:hAnsi="Abadi" w:cs="Calibri"/>
          <w:color w:val="1C1B21"/>
          <w:spacing w:val="24"/>
          <w:sz w:val="21"/>
          <w:szCs w:val="21"/>
        </w:rPr>
        <w:t xml:space="preserve"> </w:t>
      </w:r>
      <w:r w:rsidRPr="00865313">
        <w:rPr>
          <w:rFonts w:ascii="Abadi" w:hAnsi="Abadi" w:cs="Calibri"/>
          <w:color w:val="1C1B21"/>
          <w:sz w:val="21"/>
          <w:szCs w:val="21"/>
        </w:rPr>
        <w:t>de</w:t>
      </w:r>
      <w:r w:rsidRPr="00865313">
        <w:rPr>
          <w:rFonts w:ascii="Abadi" w:hAnsi="Abadi" w:cs="Calibri"/>
          <w:color w:val="1C1B21"/>
          <w:spacing w:val="25"/>
          <w:sz w:val="21"/>
          <w:szCs w:val="21"/>
        </w:rPr>
        <w:t xml:space="preserve"> </w:t>
      </w:r>
      <w:r w:rsidRPr="00865313">
        <w:rPr>
          <w:rFonts w:ascii="Abadi" w:hAnsi="Abadi" w:cs="Calibri"/>
          <w:color w:val="1C1B21"/>
          <w:sz w:val="21"/>
          <w:szCs w:val="21"/>
        </w:rPr>
        <w:t>3</w:t>
      </w:r>
      <w:r w:rsidRPr="00865313">
        <w:rPr>
          <w:rFonts w:ascii="Abadi" w:hAnsi="Abadi" w:cs="Calibri"/>
          <w:color w:val="1C1B21"/>
          <w:spacing w:val="28"/>
          <w:sz w:val="21"/>
          <w:szCs w:val="21"/>
        </w:rPr>
        <w:t xml:space="preserve"> </w:t>
      </w:r>
      <w:r w:rsidRPr="00865313">
        <w:rPr>
          <w:rFonts w:ascii="Abadi" w:hAnsi="Abadi" w:cs="Calibri"/>
          <w:color w:val="1C1B21"/>
          <w:sz w:val="21"/>
          <w:szCs w:val="21"/>
        </w:rPr>
        <w:t>tres</w:t>
      </w:r>
      <w:r w:rsidRPr="00865313">
        <w:rPr>
          <w:rFonts w:ascii="Abadi" w:hAnsi="Abadi" w:cs="Calibri"/>
          <w:color w:val="1C1B21"/>
          <w:spacing w:val="15"/>
          <w:sz w:val="21"/>
          <w:szCs w:val="21"/>
        </w:rPr>
        <w:t xml:space="preserve"> </w:t>
      </w:r>
      <w:r w:rsidRPr="00865313">
        <w:rPr>
          <w:rFonts w:ascii="Abadi" w:hAnsi="Abadi" w:cs="Calibri"/>
          <w:color w:val="1C1B21"/>
          <w:sz w:val="21"/>
          <w:szCs w:val="21"/>
        </w:rPr>
        <w:t>años.</w:t>
      </w:r>
      <w:r w:rsidRPr="00865313">
        <w:rPr>
          <w:rFonts w:ascii="Abadi" w:hAnsi="Abadi" w:cs="Calibri"/>
          <w:color w:val="1C1B21"/>
          <w:spacing w:val="35"/>
          <w:sz w:val="21"/>
          <w:szCs w:val="21"/>
        </w:rPr>
        <w:t xml:space="preserve"> </w:t>
      </w:r>
      <w:r w:rsidRPr="00865313">
        <w:rPr>
          <w:rFonts w:ascii="Abadi" w:hAnsi="Abadi" w:cs="Calibri"/>
          <w:color w:val="1C1B21"/>
          <w:sz w:val="21"/>
          <w:szCs w:val="21"/>
        </w:rPr>
        <w:t>Para</w:t>
      </w:r>
      <w:r w:rsidRPr="00865313">
        <w:rPr>
          <w:rFonts w:ascii="Abadi" w:hAnsi="Abadi" w:cs="Calibri"/>
          <w:color w:val="1C1B21"/>
          <w:spacing w:val="25"/>
          <w:sz w:val="21"/>
          <w:szCs w:val="21"/>
        </w:rPr>
        <w:t xml:space="preserve"> </w:t>
      </w:r>
      <w:r w:rsidRPr="00865313">
        <w:rPr>
          <w:rFonts w:ascii="Abadi" w:hAnsi="Abadi" w:cs="Calibri"/>
          <w:color w:val="1C1B21"/>
          <w:sz w:val="21"/>
          <w:szCs w:val="21"/>
        </w:rPr>
        <w:t>acreditar</w:t>
      </w:r>
      <w:r w:rsidRPr="00865313">
        <w:rPr>
          <w:rFonts w:ascii="Abadi" w:hAnsi="Abadi" w:cs="Calibri"/>
          <w:color w:val="1C1B21"/>
          <w:spacing w:val="22"/>
          <w:sz w:val="21"/>
          <w:szCs w:val="21"/>
        </w:rPr>
        <w:t xml:space="preserve"> </w:t>
      </w:r>
      <w:r w:rsidRPr="00865313">
        <w:rPr>
          <w:rFonts w:ascii="Abadi" w:hAnsi="Abadi" w:cs="Calibri"/>
          <w:color w:val="1C1B21"/>
          <w:sz w:val="21"/>
          <w:szCs w:val="21"/>
        </w:rPr>
        <w:t>el</w:t>
      </w:r>
      <w:r w:rsidRPr="00865313">
        <w:rPr>
          <w:rFonts w:ascii="Abadi" w:hAnsi="Abadi" w:cs="Calibri"/>
          <w:color w:val="1C1B21"/>
          <w:spacing w:val="18"/>
          <w:sz w:val="21"/>
          <w:szCs w:val="21"/>
        </w:rPr>
        <w:t xml:space="preserve"> </w:t>
      </w:r>
      <w:r w:rsidRPr="00865313">
        <w:rPr>
          <w:rFonts w:ascii="Abadi" w:hAnsi="Abadi" w:cs="Calibri"/>
          <w:color w:val="1C1B21"/>
          <w:sz w:val="21"/>
          <w:szCs w:val="21"/>
        </w:rPr>
        <w:t>requisito</w:t>
      </w:r>
      <w:r w:rsidRPr="00865313">
        <w:rPr>
          <w:rFonts w:ascii="Abadi" w:hAnsi="Abadi" w:cs="Calibri"/>
          <w:color w:val="1C1B21"/>
          <w:spacing w:val="13"/>
          <w:sz w:val="21"/>
          <w:szCs w:val="21"/>
        </w:rPr>
        <w:t xml:space="preserve"> </w:t>
      </w:r>
      <w:r w:rsidRPr="00865313">
        <w:rPr>
          <w:rFonts w:ascii="Abadi" w:hAnsi="Abadi" w:cs="Calibri"/>
          <w:color w:val="1C1B21"/>
          <w:sz w:val="21"/>
          <w:szCs w:val="21"/>
        </w:rPr>
        <w:t>a</w:t>
      </w:r>
      <w:r w:rsidRPr="00865313">
        <w:rPr>
          <w:rFonts w:ascii="Abadi" w:hAnsi="Abadi" w:cs="Calibri"/>
          <w:color w:val="1C1B21"/>
          <w:spacing w:val="-1"/>
          <w:sz w:val="21"/>
          <w:szCs w:val="21"/>
        </w:rPr>
        <w:t xml:space="preserve"> </w:t>
      </w:r>
      <w:r w:rsidRPr="00865313">
        <w:rPr>
          <w:rFonts w:ascii="Abadi" w:hAnsi="Abadi" w:cs="Calibri"/>
          <w:color w:val="1C1B21"/>
          <w:sz w:val="21"/>
          <w:szCs w:val="21"/>
        </w:rPr>
        <w:t>que</w:t>
      </w:r>
      <w:r w:rsidRPr="00865313">
        <w:rPr>
          <w:rFonts w:ascii="Abadi" w:hAnsi="Abadi" w:cs="Calibri"/>
          <w:color w:val="1C1B21"/>
          <w:spacing w:val="5"/>
          <w:sz w:val="21"/>
          <w:szCs w:val="21"/>
        </w:rPr>
        <w:t xml:space="preserve"> </w:t>
      </w:r>
      <w:r w:rsidRPr="00865313">
        <w:rPr>
          <w:rFonts w:ascii="Abadi" w:hAnsi="Abadi" w:cs="Calibri"/>
          <w:color w:val="1C1B21"/>
          <w:sz w:val="21"/>
          <w:szCs w:val="21"/>
        </w:rPr>
        <w:t>se</w:t>
      </w:r>
      <w:r w:rsidRPr="00865313">
        <w:rPr>
          <w:rFonts w:ascii="Abadi" w:hAnsi="Abadi" w:cs="Calibri"/>
          <w:color w:val="1C1B21"/>
          <w:spacing w:val="8"/>
          <w:sz w:val="21"/>
          <w:szCs w:val="21"/>
        </w:rPr>
        <w:t xml:space="preserve"> </w:t>
      </w:r>
      <w:r w:rsidRPr="00865313">
        <w:rPr>
          <w:rFonts w:ascii="Abadi" w:hAnsi="Abadi" w:cs="Calibri"/>
          <w:color w:val="1C1B21"/>
          <w:sz w:val="21"/>
          <w:szCs w:val="21"/>
        </w:rPr>
        <w:t>refiere</w:t>
      </w:r>
      <w:r w:rsidRPr="00865313">
        <w:rPr>
          <w:rFonts w:ascii="Abadi" w:hAnsi="Abadi" w:cs="Calibri"/>
          <w:color w:val="1C1B21"/>
          <w:spacing w:val="1"/>
          <w:sz w:val="21"/>
          <w:szCs w:val="21"/>
        </w:rPr>
        <w:t xml:space="preserve"> </w:t>
      </w:r>
      <w:r w:rsidRPr="00865313">
        <w:rPr>
          <w:rFonts w:ascii="Abadi" w:hAnsi="Abadi" w:cs="Calibri"/>
          <w:color w:val="1C1B21"/>
          <w:sz w:val="21"/>
          <w:szCs w:val="21"/>
        </w:rPr>
        <w:t>la</w:t>
      </w:r>
      <w:r w:rsidRPr="00865313">
        <w:rPr>
          <w:rFonts w:ascii="Abadi" w:hAnsi="Abadi" w:cs="Calibri"/>
          <w:color w:val="1C1B21"/>
          <w:spacing w:val="9"/>
          <w:sz w:val="21"/>
          <w:szCs w:val="21"/>
        </w:rPr>
        <w:t xml:space="preserve"> </w:t>
      </w:r>
      <w:r w:rsidRPr="00865313">
        <w:rPr>
          <w:rFonts w:ascii="Abadi" w:hAnsi="Abadi" w:cs="Calibri"/>
          <w:color w:val="1C1B21"/>
          <w:sz w:val="21"/>
          <w:szCs w:val="21"/>
        </w:rPr>
        <w:t>fracción</w:t>
      </w:r>
      <w:r w:rsidRPr="00865313">
        <w:rPr>
          <w:rFonts w:ascii="Abadi" w:hAnsi="Abadi" w:cs="Calibri"/>
          <w:color w:val="1C1B21"/>
          <w:spacing w:val="7"/>
          <w:sz w:val="21"/>
          <w:szCs w:val="21"/>
        </w:rPr>
        <w:t xml:space="preserve"> </w:t>
      </w:r>
      <w:r w:rsidRPr="00865313">
        <w:rPr>
          <w:rFonts w:ascii="Abadi" w:hAnsi="Abadi" w:cs="Calibri"/>
          <w:color w:val="1C1B21"/>
          <w:sz w:val="21"/>
          <w:szCs w:val="21"/>
        </w:rPr>
        <w:t>I</w:t>
      </w:r>
      <w:r w:rsidRPr="00865313">
        <w:rPr>
          <w:rFonts w:ascii="Abadi" w:hAnsi="Abadi" w:cs="Calibri"/>
          <w:color w:val="1C1B21"/>
          <w:spacing w:val="5"/>
          <w:sz w:val="21"/>
          <w:szCs w:val="21"/>
        </w:rPr>
        <w:t xml:space="preserve"> </w:t>
      </w:r>
      <w:r w:rsidRPr="00865313">
        <w:rPr>
          <w:rFonts w:ascii="Abadi" w:hAnsi="Abadi" w:cs="Calibri"/>
          <w:color w:val="1C1B21"/>
          <w:sz w:val="21"/>
          <w:szCs w:val="21"/>
        </w:rPr>
        <w:t>del</w:t>
      </w:r>
      <w:r w:rsidRPr="00865313">
        <w:rPr>
          <w:rFonts w:ascii="Abadi" w:hAnsi="Abadi" w:cs="Calibri"/>
          <w:color w:val="1C1B21"/>
          <w:spacing w:val="3"/>
          <w:sz w:val="21"/>
          <w:szCs w:val="21"/>
        </w:rPr>
        <w:t xml:space="preserve"> </w:t>
      </w:r>
      <w:r w:rsidRPr="00865313">
        <w:rPr>
          <w:rFonts w:ascii="Abadi" w:hAnsi="Abadi" w:cs="Calibri"/>
          <w:color w:val="1C1B21"/>
          <w:sz w:val="21"/>
          <w:szCs w:val="21"/>
        </w:rPr>
        <w:t>artículo</w:t>
      </w:r>
      <w:r w:rsidRPr="00865313">
        <w:rPr>
          <w:rFonts w:ascii="Abadi" w:hAnsi="Abadi" w:cs="Calibri"/>
          <w:color w:val="1C1B21"/>
          <w:spacing w:val="4"/>
          <w:sz w:val="21"/>
          <w:szCs w:val="21"/>
        </w:rPr>
        <w:t xml:space="preserve"> </w:t>
      </w:r>
      <w:r w:rsidRPr="00865313">
        <w:rPr>
          <w:rFonts w:ascii="Abadi" w:hAnsi="Abadi" w:cs="Calibri"/>
          <w:color w:val="1C1B21"/>
          <w:sz w:val="21"/>
          <w:szCs w:val="21"/>
        </w:rPr>
        <w:t>159</w:t>
      </w:r>
      <w:r w:rsidRPr="00865313">
        <w:rPr>
          <w:rFonts w:ascii="Abadi" w:hAnsi="Abadi" w:cs="Calibri"/>
          <w:color w:val="1C1B21"/>
          <w:spacing w:val="7"/>
          <w:sz w:val="21"/>
          <w:szCs w:val="21"/>
        </w:rPr>
        <w:t xml:space="preserve"> </w:t>
      </w:r>
      <w:r w:rsidRPr="00865313">
        <w:rPr>
          <w:rFonts w:ascii="Abadi" w:hAnsi="Abadi" w:cs="Calibri"/>
          <w:color w:val="1C1B21"/>
          <w:sz w:val="21"/>
          <w:szCs w:val="21"/>
        </w:rPr>
        <w:t>Bis</w:t>
      </w:r>
      <w:r w:rsidRPr="00865313">
        <w:rPr>
          <w:rFonts w:ascii="Abadi" w:hAnsi="Abadi" w:cs="Calibri"/>
          <w:color w:val="1C1B21"/>
          <w:spacing w:val="9"/>
          <w:sz w:val="21"/>
          <w:szCs w:val="21"/>
        </w:rPr>
        <w:t xml:space="preserve"> </w:t>
      </w:r>
      <w:r w:rsidRPr="00865313">
        <w:rPr>
          <w:rFonts w:ascii="Abadi" w:hAnsi="Abadi" w:cs="Calibri"/>
          <w:color w:val="1C1B21"/>
          <w:sz w:val="21"/>
          <w:szCs w:val="21"/>
        </w:rPr>
        <w:t>de</w:t>
      </w:r>
      <w:r w:rsidRPr="00865313">
        <w:rPr>
          <w:rFonts w:ascii="Abadi" w:hAnsi="Abadi" w:cs="Calibri"/>
          <w:color w:val="1C1B21"/>
          <w:spacing w:val="1"/>
          <w:sz w:val="21"/>
          <w:szCs w:val="21"/>
        </w:rPr>
        <w:t xml:space="preserve"> </w:t>
      </w:r>
      <w:r w:rsidRPr="00865313">
        <w:rPr>
          <w:rFonts w:ascii="Abadi" w:hAnsi="Abadi" w:cs="Calibri"/>
          <w:color w:val="1C1B21"/>
          <w:sz w:val="21"/>
          <w:szCs w:val="21"/>
        </w:rPr>
        <w:t>la</w:t>
      </w:r>
      <w:r w:rsidRPr="00865313">
        <w:rPr>
          <w:rFonts w:ascii="Abadi" w:hAnsi="Abadi" w:cs="Calibri"/>
          <w:color w:val="1C1B21"/>
          <w:spacing w:val="18"/>
          <w:sz w:val="21"/>
          <w:szCs w:val="21"/>
        </w:rPr>
        <w:t xml:space="preserve"> </w:t>
      </w:r>
      <w:r w:rsidRPr="00865313">
        <w:rPr>
          <w:rFonts w:ascii="Abadi" w:hAnsi="Abadi" w:cs="Calibri"/>
          <w:color w:val="1C1B21"/>
          <w:sz w:val="21"/>
          <w:szCs w:val="21"/>
        </w:rPr>
        <w:t>Ley</w:t>
      </w:r>
      <w:r w:rsidRPr="00865313">
        <w:rPr>
          <w:rFonts w:ascii="Abadi" w:hAnsi="Abadi" w:cs="Calibri"/>
          <w:color w:val="1C1B21"/>
          <w:spacing w:val="2"/>
          <w:sz w:val="21"/>
          <w:szCs w:val="21"/>
        </w:rPr>
        <w:t xml:space="preserve"> </w:t>
      </w:r>
      <w:r w:rsidRPr="00865313">
        <w:rPr>
          <w:rFonts w:ascii="Abadi" w:hAnsi="Abadi" w:cs="Calibri"/>
          <w:color w:val="1C1B21"/>
          <w:sz w:val="21"/>
          <w:szCs w:val="21"/>
        </w:rPr>
        <w:t>citada;</w:t>
      </w:r>
    </w:p>
    <w:p w14:paraId="209B040D" w14:textId="77777777" w:rsidR="00A7016E" w:rsidRPr="00865313" w:rsidRDefault="00A7016E" w:rsidP="00A7016E">
      <w:pPr>
        <w:numPr>
          <w:ilvl w:val="0"/>
          <w:numId w:val="51"/>
        </w:numPr>
        <w:tabs>
          <w:tab w:val="left" w:pos="470"/>
        </w:tabs>
        <w:kinsoku w:val="0"/>
        <w:overflowPunct w:val="0"/>
        <w:autoSpaceDE w:val="0"/>
        <w:autoSpaceDN w:val="0"/>
        <w:adjustRightInd w:val="0"/>
        <w:spacing w:before="268" w:line="218" w:lineRule="auto"/>
        <w:ind w:left="476" w:right="147" w:hanging="359"/>
        <w:jc w:val="both"/>
        <w:rPr>
          <w:rFonts w:ascii="Abadi" w:hAnsi="Abadi" w:cs="Calibri"/>
          <w:color w:val="1C1B21"/>
          <w:sz w:val="21"/>
          <w:szCs w:val="21"/>
        </w:rPr>
      </w:pPr>
      <w:r w:rsidRPr="00865313">
        <w:rPr>
          <w:rFonts w:ascii="Abadi" w:hAnsi="Abadi" w:cs="Calibri"/>
          <w:color w:val="1C1B21"/>
          <w:sz w:val="21"/>
          <w:szCs w:val="21"/>
        </w:rPr>
        <w:t>Copia</w:t>
      </w:r>
      <w:r w:rsidRPr="00865313">
        <w:rPr>
          <w:rFonts w:ascii="Abadi" w:hAnsi="Abadi" w:cs="Calibri"/>
          <w:color w:val="1C1B21"/>
          <w:spacing w:val="24"/>
          <w:sz w:val="21"/>
          <w:szCs w:val="21"/>
        </w:rPr>
        <w:t xml:space="preserve"> </w:t>
      </w:r>
      <w:r w:rsidRPr="00865313">
        <w:rPr>
          <w:rFonts w:ascii="Abadi" w:hAnsi="Abadi" w:cs="Calibri"/>
          <w:color w:val="1C1B21"/>
          <w:sz w:val="21"/>
          <w:szCs w:val="21"/>
        </w:rPr>
        <w:t>certificada</w:t>
      </w:r>
      <w:r w:rsidRPr="00865313">
        <w:rPr>
          <w:rFonts w:ascii="Abadi" w:hAnsi="Abadi" w:cs="Calibri"/>
          <w:color w:val="1C1B21"/>
          <w:spacing w:val="19"/>
          <w:sz w:val="21"/>
          <w:szCs w:val="21"/>
        </w:rPr>
        <w:t xml:space="preserve"> </w:t>
      </w:r>
      <w:r w:rsidRPr="00865313">
        <w:rPr>
          <w:rFonts w:ascii="Abadi" w:hAnsi="Abadi" w:cs="Calibri"/>
          <w:color w:val="1C1B21"/>
          <w:sz w:val="21"/>
          <w:szCs w:val="21"/>
        </w:rPr>
        <w:t>de</w:t>
      </w:r>
      <w:r w:rsidRPr="00865313">
        <w:rPr>
          <w:rFonts w:ascii="Abadi" w:hAnsi="Abadi" w:cs="Calibri"/>
          <w:color w:val="1C1B21"/>
          <w:spacing w:val="21"/>
          <w:sz w:val="21"/>
          <w:szCs w:val="21"/>
        </w:rPr>
        <w:t xml:space="preserve"> </w:t>
      </w:r>
      <w:r w:rsidRPr="00865313">
        <w:rPr>
          <w:rFonts w:ascii="Abadi" w:hAnsi="Abadi" w:cs="Calibri"/>
          <w:b/>
          <w:bCs/>
          <w:color w:val="1C1B21"/>
          <w:sz w:val="21"/>
          <w:szCs w:val="21"/>
        </w:rPr>
        <w:t>título</w:t>
      </w:r>
      <w:r w:rsidRPr="00865313">
        <w:rPr>
          <w:rFonts w:ascii="Abadi" w:hAnsi="Abadi" w:cs="Calibri"/>
          <w:b/>
          <w:bCs/>
          <w:color w:val="1C1B21"/>
          <w:spacing w:val="37"/>
          <w:sz w:val="21"/>
          <w:szCs w:val="21"/>
        </w:rPr>
        <w:t xml:space="preserve"> </w:t>
      </w:r>
      <w:r w:rsidRPr="00865313">
        <w:rPr>
          <w:rFonts w:ascii="Abadi" w:hAnsi="Abadi" w:cs="Calibri"/>
          <w:b/>
          <w:bCs/>
          <w:color w:val="1C1B21"/>
          <w:sz w:val="21"/>
          <w:szCs w:val="21"/>
        </w:rPr>
        <w:t>profesional</w:t>
      </w:r>
      <w:r w:rsidRPr="00865313">
        <w:rPr>
          <w:rFonts w:ascii="Abadi" w:hAnsi="Abadi" w:cs="Calibri"/>
          <w:b/>
          <w:bCs/>
          <w:color w:val="1C1B21"/>
          <w:spacing w:val="29"/>
          <w:sz w:val="21"/>
          <w:szCs w:val="21"/>
        </w:rPr>
        <w:t xml:space="preserve"> </w:t>
      </w:r>
      <w:r w:rsidRPr="00865313">
        <w:rPr>
          <w:rFonts w:ascii="Abadi" w:hAnsi="Abadi" w:cs="Calibri"/>
          <w:color w:val="1C1B21"/>
          <w:sz w:val="21"/>
          <w:szCs w:val="21"/>
        </w:rPr>
        <w:t>en</w:t>
      </w:r>
      <w:r w:rsidRPr="00865313">
        <w:rPr>
          <w:rFonts w:ascii="Abadi" w:hAnsi="Abadi" w:cs="Calibri"/>
          <w:color w:val="1C1B21"/>
          <w:spacing w:val="23"/>
          <w:sz w:val="21"/>
          <w:szCs w:val="21"/>
        </w:rPr>
        <w:t xml:space="preserve"> </w:t>
      </w:r>
      <w:r w:rsidRPr="00865313">
        <w:rPr>
          <w:rFonts w:ascii="Abadi" w:hAnsi="Abadi" w:cs="Calibri"/>
          <w:color w:val="1C1B21"/>
          <w:sz w:val="21"/>
          <w:szCs w:val="21"/>
        </w:rPr>
        <w:t>las</w:t>
      </w:r>
      <w:r w:rsidRPr="00865313">
        <w:rPr>
          <w:rFonts w:ascii="Abadi" w:hAnsi="Abadi" w:cs="Calibri"/>
          <w:color w:val="1C1B21"/>
          <w:spacing w:val="21"/>
          <w:sz w:val="21"/>
          <w:szCs w:val="21"/>
        </w:rPr>
        <w:t xml:space="preserve"> </w:t>
      </w:r>
      <w:r w:rsidRPr="00865313">
        <w:rPr>
          <w:rFonts w:ascii="Abadi" w:hAnsi="Abadi" w:cs="Calibri"/>
          <w:color w:val="1C1B21"/>
          <w:sz w:val="21"/>
          <w:szCs w:val="21"/>
        </w:rPr>
        <w:t>áreas</w:t>
      </w:r>
      <w:r w:rsidRPr="00865313">
        <w:rPr>
          <w:rFonts w:ascii="Abadi" w:hAnsi="Abadi" w:cs="Calibri"/>
          <w:color w:val="1C1B21"/>
          <w:spacing w:val="20"/>
          <w:sz w:val="21"/>
          <w:szCs w:val="21"/>
        </w:rPr>
        <w:t xml:space="preserve"> </w:t>
      </w:r>
      <w:r w:rsidRPr="00865313">
        <w:rPr>
          <w:rFonts w:ascii="Abadi" w:hAnsi="Abadi" w:cs="Calibri"/>
          <w:color w:val="1C1B21"/>
          <w:sz w:val="21"/>
          <w:szCs w:val="21"/>
        </w:rPr>
        <w:t>contables,</w:t>
      </w:r>
      <w:r w:rsidRPr="00865313">
        <w:rPr>
          <w:rFonts w:ascii="Abadi" w:hAnsi="Abadi" w:cs="Calibri"/>
          <w:color w:val="1C1B21"/>
          <w:spacing w:val="33"/>
          <w:sz w:val="21"/>
          <w:szCs w:val="21"/>
        </w:rPr>
        <w:t xml:space="preserve"> </w:t>
      </w:r>
      <w:r w:rsidRPr="00865313">
        <w:rPr>
          <w:rFonts w:ascii="Abadi" w:hAnsi="Abadi" w:cs="Calibri"/>
          <w:color w:val="1C1B21"/>
          <w:sz w:val="21"/>
          <w:szCs w:val="21"/>
        </w:rPr>
        <w:t>económico-administrativas,</w:t>
      </w:r>
      <w:r w:rsidRPr="00865313">
        <w:rPr>
          <w:rFonts w:ascii="Abadi" w:hAnsi="Abadi" w:cs="Calibri"/>
          <w:color w:val="1C1B21"/>
          <w:spacing w:val="-2"/>
          <w:sz w:val="21"/>
          <w:szCs w:val="21"/>
        </w:rPr>
        <w:t xml:space="preserve"> </w:t>
      </w:r>
      <w:r w:rsidRPr="00865313">
        <w:rPr>
          <w:rFonts w:ascii="Abadi" w:hAnsi="Abadi" w:cs="Calibri"/>
          <w:color w:val="1C1B21"/>
          <w:sz w:val="21"/>
          <w:szCs w:val="21"/>
        </w:rPr>
        <w:t>jurídicas</w:t>
      </w:r>
      <w:r w:rsidRPr="00865313">
        <w:rPr>
          <w:rFonts w:ascii="Abadi" w:hAnsi="Abadi" w:cs="Calibri"/>
          <w:color w:val="1C1B21"/>
          <w:spacing w:val="10"/>
          <w:sz w:val="21"/>
          <w:szCs w:val="21"/>
        </w:rPr>
        <w:t xml:space="preserve"> </w:t>
      </w:r>
      <w:r w:rsidRPr="00865313">
        <w:rPr>
          <w:rFonts w:ascii="Abadi" w:hAnsi="Abadi" w:cs="Calibri"/>
          <w:color w:val="1C1B21"/>
          <w:sz w:val="21"/>
          <w:szCs w:val="21"/>
        </w:rPr>
        <w:t>o</w:t>
      </w:r>
      <w:r w:rsidRPr="00865313">
        <w:rPr>
          <w:rFonts w:ascii="Abadi" w:hAnsi="Abadi" w:cs="Calibri"/>
          <w:color w:val="1C1B21"/>
          <w:spacing w:val="17"/>
          <w:sz w:val="21"/>
          <w:szCs w:val="21"/>
        </w:rPr>
        <w:t xml:space="preserve"> </w:t>
      </w:r>
      <w:r w:rsidRPr="00865313">
        <w:rPr>
          <w:rFonts w:ascii="Abadi" w:hAnsi="Abadi" w:cs="Calibri"/>
          <w:color w:val="1C1B21"/>
          <w:sz w:val="21"/>
          <w:szCs w:val="21"/>
        </w:rPr>
        <w:t>financieras.</w:t>
      </w:r>
      <w:r w:rsidRPr="00865313">
        <w:rPr>
          <w:rFonts w:ascii="Abadi" w:hAnsi="Abadi" w:cs="Calibri"/>
          <w:color w:val="1C1B21"/>
          <w:spacing w:val="25"/>
          <w:sz w:val="21"/>
          <w:szCs w:val="21"/>
        </w:rPr>
        <w:t xml:space="preserve"> </w:t>
      </w:r>
      <w:r w:rsidRPr="00865313">
        <w:rPr>
          <w:rFonts w:ascii="Abadi" w:hAnsi="Abadi" w:cs="Calibri"/>
          <w:color w:val="1C1B21"/>
          <w:sz w:val="21"/>
          <w:szCs w:val="21"/>
        </w:rPr>
        <w:t>Para</w:t>
      </w:r>
      <w:r w:rsidRPr="00865313">
        <w:rPr>
          <w:rFonts w:ascii="Abadi" w:hAnsi="Abadi" w:cs="Calibri"/>
          <w:color w:val="1C1B21"/>
          <w:spacing w:val="7"/>
          <w:sz w:val="21"/>
          <w:szCs w:val="21"/>
        </w:rPr>
        <w:t xml:space="preserve"> </w:t>
      </w:r>
      <w:r w:rsidRPr="00865313">
        <w:rPr>
          <w:rFonts w:ascii="Abadi" w:hAnsi="Abadi" w:cs="Calibri"/>
          <w:color w:val="1C1B21"/>
          <w:sz w:val="21"/>
          <w:szCs w:val="21"/>
        </w:rPr>
        <w:t>acreditar</w:t>
      </w:r>
      <w:r w:rsidRPr="00865313">
        <w:rPr>
          <w:rFonts w:ascii="Abadi" w:hAnsi="Abadi" w:cs="Calibri"/>
          <w:color w:val="1C1B21"/>
          <w:spacing w:val="8"/>
          <w:sz w:val="21"/>
          <w:szCs w:val="21"/>
        </w:rPr>
        <w:t xml:space="preserve"> </w:t>
      </w:r>
      <w:r w:rsidRPr="00865313">
        <w:rPr>
          <w:rFonts w:ascii="Abadi" w:hAnsi="Abadi" w:cs="Calibri"/>
          <w:color w:val="1C1B21"/>
          <w:sz w:val="21"/>
          <w:szCs w:val="21"/>
        </w:rPr>
        <w:t>el</w:t>
      </w:r>
      <w:r w:rsidRPr="00865313">
        <w:rPr>
          <w:rFonts w:ascii="Abadi" w:hAnsi="Abadi" w:cs="Calibri"/>
          <w:color w:val="1C1B21"/>
          <w:spacing w:val="11"/>
          <w:sz w:val="21"/>
          <w:szCs w:val="21"/>
        </w:rPr>
        <w:t xml:space="preserve"> </w:t>
      </w:r>
      <w:r w:rsidRPr="00865313">
        <w:rPr>
          <w:rFonts w:ascii="Abadi" w:hAnsi="Abadi" w:cs="Calibri"/>
          <w:color w:val="1C1B21"/>
          <w:sz w:val="21"/>
          <w:szCs w:val="21"/>
        </w:rPr>
        <w:t>requisito</w:t>
      </w:r>
      <w:r w:rsidRPr="00865313">
        <w:rPr>
          <w:rFonts w:ascii="Abadi" w:hAnsi="Abadi" w:cs="Calibri"/>
          <w:color w:val="1C1B21"/>
          <w:spacing w:val="10"/>
          <w:sz w:val="21"/>
          <w:szCs w:val="21"/>
        </w:rPr>
        <w:t xml:space="preserve"> </w:t>
      </w:r>
      <w:r w:rsidRPr="00865313">
        <w:rPr>
          <w:rFonts w:ascii="Abadi" w:hAnsi="Abadi" w:cs="Calibri"/>
          <w:color w:val="1C1B21"/>
          <w:sz w:val="21"/>
          <w:szCs w:val="21"/>
        </w:rPr>
        <w:t>a</w:t>
      </w:r>
      <w:r w:rsidRPr="00865313">
        <w:rPr>
          <w:rFonts w:ascii="Abadi" w:hAnsi="Abadi" w:cs="Calibri"/>
          <w:color w:val="1C1B21"/>
          <w:spacing w:val="17"/>
          <w:sz w:val="21"/>
          <w:szCs w:val="21"/>
        </w:rPr>
        <w:t xml:space="preserve"> </w:t>
      </w:r>
      <w:r w:rsidRPr="00865313">
        <w:rPr>
          <w:rFonts w:ascii="Abadi" w:hAnsi="Abadi" w:cs="Calibri"/>
          <w:color w:val="1C1B21"/>
          <w:sz w:val="21"/>
          <w:szCs w:val="21"/>
        </w:rPr>
        <w:t>que</w:t>
      </w:r>
      <w:r w:rsidRPr="00865313">
        <w:rPr>
          <w:rFonts w:ascii="Abadi" w:hAnsi="Abadi" w:cs="Calibri"/>
          <w:color w:val="1C1B21"/>
          <w:spacing w:val="6"/>
          <w:sz w:val="21"/>
          <w:szCs w:val="21"/>
        </w:rPr>
        <w:t xml:space="preserve"> </w:t>
      </w:r>
      <w:r w:rsidRPr="00865313">
        <w:rPr>
          <w:rFonts w:ascii="Abadi" w:hAnsi="Abadi" w:cs="Calibri"/>
          <w:color w:val="1C1B21"/>
          <w:sz w:val="21"/>
          <w:szCs w:val="21"/>
        </w:rPr>
        <w:t>se</w:t>
      </w:r>
      <w:r w:rsidRPr="00865313">
        <w:rPr>
          <w:rFonts w:ascii="Abadi" w:hAnsi="Abadi" w:cs="Calibri"/>
          <w:color w:val="1C1B21"/>
          <w:spacing w:val="4"/>
          <w:sz w:val="21"/>
          <w:szCs w:val="21"/>
        </w:rPr>
        <w:t xml:space="preserve"> </w:t>
      </w:r>
      <w:r w:rsidRPr="00865313">
        <w:rPr>
          <w:rFonts w:ascii="Abadi" w:hAnsi="Abadi" w:cs="Calibri"/>
          <w:color w:val="1C1B21"/>
          <w:sz w:val="21"/>
          <w:szCs w:val="21"/>
        </w:rPr>
        <w:t>refiere</w:t>
      </w:r>
      <w:r w:rsidRPr="00865313">
        <w:rPr>
          <w:rFonts w:ascii="Abadi" w:hAnsi="Abadi" w:cs="Calibri"/>
          <w:color w:val="1C1B21"/>
          <w:spacing w:val="10"/>
          <w:sz w:val="21"/>
          <w:szCs w:val="21"/>
        </w:rPr>
        <w:t xml:space="preserve"> </w:t>
      </w:r>
      <w:r w:rsidRPr="00865313">
        <w:rPr>
          <w:rFonts w:ascii="Abadi" w:hAnsi="Abadi" w:cs="Calibri"/>
          <w:color w:val="1C1B21"/>
          <w:sz w:val="21"/>
          <w:szCs w:val="21"/>
        </w:rPr>
        <w:t>la</w:t>
      </w:r>
      <w:r w:rsidRPr="00865313">
        <w:rPr>
          <w:rFonts w:ascii="Abadi" w:hAnsi="Abadi" w:cs="Calibri"/>
          <w:color w:val="1C1B21"/>
          <w:spacing w:val="14"/>
          <w:sz w:val="21"/>
          <w:szCs w:val="21"/>
        </w:rPr>
        <w:t xml:space="preserve"> </w:t>
      </w:r>
      <w:r w:rsidRPr="00865313">
        <w:rPr>
          <w:rFonts w:ascii="Abadi" w:hAnsi="Abadi" w:cs="Calibri"/>
          <w:color w:val="1C1B21"/>
          <w:sz w:val="21"/>
          <w:szCs w:val="21"/>
        </w:rPr>
        <w:t>fracción</w:t>
      </w:r>
      <w:r w:rsidRPr="00865313">
        <w:rPr>
          <w:rFonts w:ascii="Abadi" w:hAnsi="Abadi" w:cs="Calibri"/>
          <w:color w:val="1C1B21"/>
          <w:spacing w:val="11"/>
          <w:sz w:val="21"/>
          <w:szCs w:val="21"/>
        </w:rPr>
        <w:t xml:space="preserve"> </w:t>
      </w:r>
      <w:r w:rsidRPr="00865313">
        <w:rPr>
          <w:rFonts w:ascii="Abadi" w:hAnsi="Abadi" w:cs="Calibri"/>
          <w:color w:val="1C1B21"/>
          <w:sz w:val="21"/>
          <w:szCs w:val="21"/>
        </w:rPr>
        <w:t>IV</w:t>
      </w:r>
      <w:r w:rsidRPr="00865313">
        <w:rPr>
          <w:rFonts w:ascii="Abadi" w:hAnsi="Abadi" w:cs="Calibri"/>
          <w:color w:val="1C1B21"/>
          <w:spacing w:val="10"/>
          <w:sz w:val="21"/>
          <w:szCs w:val="21"/>
        </w:rPr>
        <w:t xml:space="preserve"> </w:t>
      </w:r>
      <w:r w:rsidRPr="00865313">
        <w:rPr>
          <w:rFonts w:ascii="Abadi" w:hAnsi="Abadi" w:cs="Calibri"/>
          <w:color w:val="1C1B21"/>
          <w:sz w:val="21"/>
          <w:szCs w:val="21"/>
        </w:rPr>
        <w:t>del</w:t>
      </w:r>
      <w:r w:rsidRPr="00865313">
        <w:rPr>
          <w:rFonts w:ascii="Abadi" w:hAnsi="Abadi" w:cs="Calibri"/>
          <w:color w:val="1C1B21"/>
          <w:spacing w:val="7"/>
          <w:sz w:val="21"/>
          <w:szCs w:val="21"/>
        </w:rPr>
        <w:t xml:space="preserve"> </w:t>
      </w:r>
      <w:r w:rsidRPr="00865313">
        <w:rPr>
          <w:rFonts w:ascii="Abadi" w:hAnsi="Abadi" w:cs="Calibri"/>
          <w:color w:val="1C1B21"/>
          <w:sz w:val="21"/>
          <w:szCs w:val="21"/>
        </w:rPr>
        <w:t>artículo</w:t>
      </w:r>
      <w:r w:rsidRPr="00865313">
        <w:rPr>
          <w:rFonts w:ascii="Abadi" w:hAnsi="Abadi" w:cs="Calibri"/>
          <w:color w:val="1C1B21"/>
          <w:spacing w:val="-2"/>
          <w:sz w:val="21"/>
          <w:szCs w:val="21"/>
        </w:rPr>
        <w:t xml:space="preserve"> </w:t>
      </w:r>
      <w:r w:rsidRPr="00865313">
        <w:rPr>
          <w:rFonts w:ascii="Abadi" w:hAnsi="Abadi" w:cs="Calibri"/>
          <w:color w:val="1C1B21"/>
          <w:sz w:val="21"/>
          <w:szCs w:val="21"/>
        </w:rPr>
        <w:t>159</w:t>
      </w:r>
      <w:r w:rsidRPr="00865313">
        <w:rPr>
          <w:rFonts w:ascii="Abadi" w:hAnsi="Abadi" w:cs="Calibri"/>
          <w:color w:val="1C1B21"/>
          <w:spacing w:val="7"/>
          <w:sz w:val="21"/>
          <w:szCs w:val="21"/>
        </w:rPr>
        <w:t xml:space="preserve"> </w:t>
      </w:r>
      <w:r w:rsidRPr="00865313">
        <w:rPr>
          <w:rFonts w:ascii="Abadi" w:hAnsi="Abadi" w:cs="Calibri"/>
          <w:color w:val="1C1B21"/>
          <w:sz w:val="21"/>
          <w:szCs w:val="21"/>
        </w:rPr>
        <w:t>Bis</w:t>
      </w:r>
      <w:r w:rsidRPr="00865313">
        <w:rPr>
          <w:rFonts w:ascii="Abadi" w:hAnsi="Abadi" w:cs="Calibri"/>
          <w:color w:val="1C1B21"/>
          <w:spacing w:val="9"/>
          <w:sz w:val="21"/>
          <w:szCs w:val="21"/>
        </w:rPr>
        <w:t xml:space="preserve"> </w:t>
      </w:r>
      <w:r w:rsidRPr="00865313">
        <w:rPr>
          <w:rFonts w:ascii="Abadi" w:hAnsi="Abadi" w:cs="Calibri"/>
          <w:color w:val="1C1B21"/>
          <w:sz w:val="21"/>
          <w:szCs w:val="21"/>
        </w:rPr>
        <w:t>de</w:t>
      </w:r>
      <w:r w:rsidRPr="00865313">
        <w:rPr>
          <w:rFonts w:ascii="Abadi" w:hAnsi="Abadi" w:cs="Calibri"/>
          <w:color w:val="1C1B21"/>
          <w:spacing w:val="5"/>
          <w:sz w:val="21"/>
          <w:szCs w:val="21"/>
        </w:rPr>
        <w:t xml:space="preserve"> </w:t>
      </w:r>
      <w:r w:rsidRPr="00865313">
        <w:rPr>
          <w:rFonts w:ascii="Abadi" w:hAnsi="Abadi" w:cs="Calibri"/>
          <w:color w:val="1C1B21"/>
          <w:sz w:val="21"/>
          <w:szCs w:val="21"/>
        </w:rPr>
        <w:t>la</w:t>
      </w:r>
      <w:r w:rsidRPr="00865313">
        <w:rPr>
          <w:rFonts w:ascii="Abadi" w:hAnsi="Abadi" w:cs="Calibri"/>
          <w:color w:val="1C1B21"/>
          <w:spacing w:val="22"/>
          <w:sz w:val="21"/>
          <w:szCs w:val="21"/>
        </w:rPr>
        <w:t xml:space="preserve"> </w:t>
      </w:r>
      <w:r w:rsidRPr="00865313">
        <w:rPr>
          <w:rFonts w:ascii="Abadi" w:hAnsi="Abadi" w:cs="Calibri"/>
          <w:color w:val="1C1B21"/>
          <w:sz w:val="21"/>
          <w:szCs w:val="21"/>
        </w:rPr>
        <w:t>Ley</w:t>
      </w:r>
      <w:r w:rsidRPr="00865313">
        <w:rPr>
          <w:rFonts w:ascii="Abadi" w:hAnsi="Abadi" w:cs="Calibri"/>
          <w:color w:val="1C1B21"/>
          <w:spacing w:val="7"/>
          <w:sz w:val="21"/>
          <w:szCs w:val="21"/>
        </w:rPr>
        <w:t xml:space="preserve"> </w:t>
      </w:r>
      <w:r w:rsidRPr="00865313">
        <w:rPr>
          <w:rFonts w:ascii="Abadi" w:hAnsi="Abadi" w:cs="Calibri"/>
          <w:color w:val="1C1B21"/>
          <w:sz w:val="21"/>
          <w:szCs w:val="21"/>
        </w:rPr>
        <w:t>citada;</w:t>
      </w:r>
    </w:p>
    <w:p w14:paraId="75F7298E" w14:textId="77777777" w:rsidR="00A7016E" w:rsidRPr="00865313" w:rsidRDefault="00A7016E" w:rsidP="00A7016E">
      <w:pPr>
        <w:numPr>
          <w:ilvl w:val="0"/>
          <w:numId w:val="51"/>
        </w:numPr>
        <w:tabs>
          <w:tab w:val="left" w:pos="470"/>
        </w:tabs>
        <w:kinsoku w:val="0"/>
        <w:overflowPunct w:val="0"/>
        <w:autoSpaceDE w:val="0"/>
        <w:autoSpaceDN w:val="0"/>
        <w:adjustRightInd w:val="0"/>
        <w:spacing w:before="268" w:line="218" w:lineRule="auto"/>
        <w:ind w:left="476" w:right="147" w:hanging="359"/>
        <w:jc w:val="both"/>
        <w:rPr>
          <w:rFonts w:ascii="Abadi" w:hAnsi="Abadi" w:cs="Calibri"/>
          <w:color w:val="1C1B21"/>
          <w:sz w:val="21"/>
          <w:szCs w:val="21"/>
        </w:rPr>
      </w:pPr>
      <w:r w:rsidRPr="00865313">
        <w:rPr>
          <w:rFonts w:ascii="Abadi" w:hAnsi="Abadi" w:cs="Verdana"/>
          <w:color w:val="1D1C22"/>
          <w:sz w:val="21"/>
          <w:szCs w:val="21"/>
        </w:rPr>
        <w:t>Original</w:t>
      </w:r>
      <w:r w:rsidRPr="00865313">
        <w:rPr>
          <w:rFonts w:ascii="Abadi" w:hAnsi="Abadi" w:cs="Verdana"/>
          <w:color w:val="1D1C22"/>
          <w:spacing w:val="11"/>
          <w:sz w:val="21"/>
          <w:szCs w:val="21"/>
        </w:rPr>
        <w:t xml:space="preserve"> </w:t>
      </w:r>
      <w:r w:rsidRPr="00865313">
        <w:rPr>
          <w:rFonts w:ascii="Abadi" w:hAnsi="Abadi" w:cs="Verdana"/>
          <w:color w:val="1D1C22"/>
          <w:sz w:val="21"/>
          <w:szCs w:val="21"/>
        </w:rPr>
        <w:t>de</w:t>
      </w:r>
      <w:r w:rsidRPr="00865313">
        <w:rPr>
          <w:rFonts w:ascii="Abadi" w:hAnsi="Abadi" w:cs="Verdana"/>
          <w:color w:val="1D1C22"/>
          <w:spacing w:val="12"/>
          <w:sz w:val="21"/>
          <w:szCs w:val="21"/>
        </w:rPr>
        <w:t xml:space="preserve"> </w:t>
      </w:r>
      <w:r w:rsidRPr="00865313">
        <w:rPr>
          <w:rFonts w:ascii="Abadi" w:hAnsi="Abadi" w:cs="Calibri"/>
          <w:b/>
          <w:bCs/>
          <w:color w:val="1D1C22"/>
          <w:sz w:val="21"/>
          <w:szCs w:val="21"/>
        </w:rPr>
        <w:t>Currículum</w:t>
      </w:r>
      <w:r w:rsidRPr="00865313">
        <w:rPr>
          <w:rFonts w:ascii="Abadi" w:hAnsi="Abadi" w:cs="Calibri"/>
          <w:b/>
          <w:bCs/>
          <w:color w:val="1D1C22"/>
          <w:spacing w:val="44"/>
          <w:sz w:val="21"/>
          <w:szCs w:val="21"/>
        </w:rPr>
        <w:t xml:space="preserve"> </w:t>
      </w:r>
      <w:r w:rsidRPr="00865313">
        <w:rPr>
          <w:rFonts w:ascii="Abadi" w:hAnsi="Abadi" w:cs="Calibri"/>
          <w:b/>
          <w:bCs/>
          <w:color w:val="1D1C22"/>
          <w:sz w:val="21"/>
          <w:szCs w:val="21"/>
        </w:rPr>
        <w:t>Vitae</w:t>
      </w:r>
      <w:r w:rsidRPr="00865313">
        <w:rPr>
          <w:rFonts w:ascii="Abadi" w:hAnsi="Abadi" w:cs="Calibri"/>
          <w:b/>
          <w:bCs/>
          <w:color w:val="1D1C22"/>
          <w:spacing w:val="44"/>
          <w:sz w:val="21"/>
          <w:szCs w:val="21"/>
        </w:rPr>
        <w:t xml:space="preserve"> </w:t>
      </w:r>
      <w:r w:rsidRPr="00865313">
        <w:rPr>
          <w:rFonts w:ascii="Abadi" w:hAnsi="Abadi" w:cs="Verdana"/>
          <w:color w:val="1D1C22"/>
          <w:sz w:val="21"/>
          <w:szCs w:val="21"/>
        </w:rPr>
        <w:t>con</w:t>
      </w:r>
      <w:r w:rsidRPr="00865313">
        <w:rPr>
          <w:rFonts w:ascii="Abadi" w:hAnsi="Abadi" w:cs="Verdana"/>
          <w:color w:val="1D1C22"/>
          <w:spacing w:val="8"/>
          <w:sz w:val="21"/>
          <w:szCs w:val="21"/>
        </w:rPr>
        <w:t xml:space="preserve"> </w:t>
      </w:r>
      <w:r w:rsidRPr="00865313">
        <w:rPr>
          <w:rFonts w:ascii="Abadi" w:hAnsi="Abadi" w:cs="Verdana"/>
          <w:color w:val="1D1C22"/>
          <w:sz w:val="21"/>
          <w:szCs w:val="21"/>
        </w:rPr>
        <w:t>firma</w:t>
      </w:r>
      <w:r w:rsidRPr="00865313">
        <w:rPr>
          <w:rFonts w:ascii="Abadi" w:hAnsi="Abadi" w:cs="Verdana"/>
          <w:color w:val="1D1C22"/>
          <w:spacing w:val="12"/>
          <w:sz w:val="21"/>
          <w:szCs w:val="21"/>
        </w:rPr>
        <w:t xml:space="preserve"> </w:t>
      </w:r>
      <w:r w:rsidRPr="00865313">
        <w:rPr>
          <w:rFonts w:ascii="Abadi" w:hAnsi="Abadi" w:cs="Verdana"/>
          <w:color w:val="1D1C22"/>
          <w:sz w:val="21"/>
          <w:szCs w:val="21"/>
        </w:rPr>
        <w:t>autógrafa,</w:t>
      </w:r>
      <w:r w:rsidRPr="00865313">
        <w:rPr>
          <w:rFonts w:ascii="Abadi" w:hAnsi="Abadi" w:cs="Verdana"/>
          <w:color w:val="1D1C22"/>
          <w:spacing w:val="21"/>
          <w:sz w:val="21"/>
          <w:szCs w:val="21"/>
        </w:rPr>
        <w:t xml:space="preserve"> </w:t>
      </w:r>
      <w:r w:rsidRPr="00865313">
        <w:rPr>
          <w:rFonts w:ascii="Abadi" w:hAnsi="Abadi" w:cs="Verdana"/>
          <w:color w:val="1D1C22"/>
          <w:sz w:val="21"/>
          <w:szCs w:val="21"/>
        </w:rPr>
        <w:t>anexando</w:t>
      </w:r>
      <w:r w:rsidRPr="00865313">
        <w:rPr>
          <w:rFonts w:ascii="Abadi" w:hAnsi="Abadi" w:cs="Verdana"/>
          <w:color w:val="1D1C22"/>
          <w:spacing w:val="9"/>
          <w:sz w:val="21"/>
          <w:szCs w:val="21"/>
        </w:rPr>
        <w:t xml:space="preserve"> </w:t>
      </w:r>
      <w:r w:rsidRPr="00865313">
        <w:rPr>
          <w:rFonts w:ascii="Abadi" w:hAnsi="Abadi" w:cs="Verdana"/>
          <w:color w:val="1D1C22"/>
          <w:sz w:val="21"/>
          <w:szCs w:val="21"/>
        </w:rPr>
        <w:t>copia</w:t>
      </w:r>
      <w:r w:rsidRPr="00865313">
        <w:rPr>
          <w:rFonts w:ascii="Abadi" w:hAnsi="Abadi" w:cs="Verdana"/>
          <w:color w:val="1D1C22"/>
          <w:spacing w:val="8"/>
          <w:sz w:val="21"/>
          <w:szCs w:val="21"/>
        </w:rPr>
        <w:t xml:space="preserve"> </w:t>
      </w:r>
      <w:r w:rsidRPr="00865313">
        <w:rPr>
          <w:rFonts w:ascii="Abadi" w:hAnsi="Abadi" w:cs="Verdana"/>
          <w:color w:val="1D1C22"/>
          <w:sz w:val="21"/>
          <w:szCs w:val="21"/>
        </w:rPr>
        <w:t>simple</w:t>
      </w:r>
      <w:r w:rsidRPr="00865313">
        <w:rPr>
          <w:rFonts w:ascii="Abadi" w:hAnsi="Abadi" w:cs="Verdana"/>
          <w:color w:val="1D1C22"/>
          <w:spacing w:val="12"/>
          <w:sz w:val="21"/>
          <w:szCs w:val="21"/>
        </w:rPr>
        <w:t xml:space="preserve"> </w:t>
      </w:r>
      <w:r w:rsidRPr="00865313">
        <w:rPr>
          <w:rFonts w:ascii="Abadi" w:hAnsi="Abadi" w:cs="Verdana"/>
          <w:color w:val="1D1C22"/>
          <w:sz w:val="21"/>
          <w:szCs w:val="21"/>
        </w:rPr>
        <w:t>de</w:t>
      </w:r>
      <w:r w:rsidRPr="00865313">
        <w:rPr>
          <w:rFonts w:ascii="Abadi" w:hAnsi="Abadi" w:cs="Verdana"/>
          <w:color w:val="1D1C22"/>
          <w:spacing w:val="6"/>
          <w:sz w:val="21"/>
          <w:szCs w:val="21"/>
        </w:rPr>
        <w:t xml:space="preserve"> </w:t>
      </w:r>
      <w:r w:rsidRPr="00865313">
        <w:rPr>
          <w:rFonts w:ascii="Abadi" w:hAnsi="Abadi" w:cs="Verdana"/>
          <w:color w:val="1D1C22"/>
          <w:sz w:val="21"/>
          <w:szCs w:val="21"/>
        </w:rPr>
        <w:t>las</w:t>
      </w:r>
      <w:r w:rsidRPr="00865313">
        <w:rPr>
          <w:rFonts w:ascii="Abadi" w:hAnsi="Abadi" w:cs="Verdana"/>
          <w:color w:val="1D1C22"/>
          <w:spacing w:val="-8"/>
          <w:sz w:val="21"/>
          <w:szCs w:val="21"/>
        </w:rPr>
        <w:t xml:space="preserve"> </w:t>
      </w:r>
      <w:r w:rsidRPr="00865313">
        <w:rPr>
          <w:rFonts w:ascii="Abadi" w:hAnsi="Abadi" w:cs="Verdana"/>
          <w:color w:val="1D1C22"/>
          <w:sz w:val="21"/>
          <w:szCs w:val="21"/>
        </w:rPr>
        <w:t>constancias</w:t>
      </w:r>
      <w:r w:rsidRPr="00865313">
        <w:rPr>
          <w:rFonts w:ascii="Abadi" w:hAnsi="Abadi" w:cs="Verdana"/>
          <w:color w:val="1D1C22"/>
          <w:spacing w:val="61"/>
          <w:sz w:val="21"/>
          <w:szCs w:val="21"/>
        </w:rPr>
        <w:t xml:space="preserve"> </w:t>
      </w:r>
      <w:r w:rsidRPr="00865313">
        <w:rPr>
          <w:rFonts w:ascii="Abadi" w:hAnsi="Abadi" w:cs="Verdana"/>
          <w:color w:val="1D1C22"/>
          <w:sz w:val="21"/>
          <w:szCs w:val="21"/>
        </w:rPr>
        <w:t>y</w:t>
      </w:r>
      <w:r w:rsidRPr="00865313">
        <w:rPr>
          <w:rFonts w:ascii="Abadi" w:hAnsi="Abadi" w:cs="Verdana"/>
          <w:color w:val="1D1C22"/>
          <w:spacing w:val="54"/>
          <w:sz w:val="21"/>
          <w:szCs w:val="21"/>
        </w:rPr>
        <w:t xml:space="preserve"> </w:t>
      </w:r>
      <w:r w:rsidRPr="00865313">
        <w:rPr>
          <w:rFonts w:ascii="Abadi" w:hAnsi="Abadi" w:cs="Verdana"/>
          <w:color w:val="1D1C22"/>
          <w:sz w:val="21"/>
          <w:szCs w:val="21"/>
        </w:rPr>
        <w:t>demás</w:t>
      </w:r>
      <w:r w:rsidRPr="00865313">
        <w:rPr>
          <w:rFonts w:ascii="Abadi" w:hAnsi="Abadi" w:cs="Verdana"/>
          <w:color w:val="1D1C22"/>
          <w:spacing w:val="52"/>
          <w:sz w:val="21"/>
          <w:szCs w:val="21"/>
        </w:rPr>
        <w:t xml:space="preserve"> </w:t>
      </w:r>
      <w:r w:rsidRPr="00865313">
        <w:rPr>
          <w:rFonts w:ascii="Abadi" w:hAnsi="Abadi" w:cs="Verdana"/>
          <w:color w:val="1D1C22"/>
          <w:sz w:val="21"/>
          <w:szCs w:val="21"/>
        </w:rPr>
        <w:t>documentación</w:t>
      </w:r>
      <w:r w:rsidRPr="00865313">
        <w:rPr>
          <w:rFonts w:ascii="Abadi" w:hAnsi="Abadi" w:cs="Verdana"/>
          <w:color w:val="1D1C22"/>
          <w:spacing w:val="51"/>
          <w:sz w:val="21"/>
          <w:szCs w:val="21"/>
        </w:rPr>
        <w:t xml:space="preserve"> </w:t>
      </w:r>
      <w:r w:rsidRPr="00865313">
        <w:rPr>
          <w:rFonts w:ascii="Abadi" w:hAnsi="Abadi" w:cs="Verdana"/>
          <w:color w:val="1D1C22"/>
          <w:sz w:val="21"/>
          <w:szCs w:val="21"/>
        </w:rPr>
        <w:t>soporte,</w:t>
      </w:r>
      <w:r w:rsidRPr="00865313">
        <w:rPr>
          <w:rFonts w:ascii="Abadi" w:hAnsi="Abadi" w:cs="Verdana"/>
          <w:color w:val="1D1C22"/>
          <w:spacing w:val="65"/>
          <w:sz w:val="21"/>
          <w:szCs w:val="21"/>
        </w:rPr>
        <w:t xml:space="preserve"> </w:t>
      </w:r>
      <w:r w:rsidRPr="00865313">
        <w:rPr>
          <w:rFonts w:ascii="Abadi" w:hAnsi="Abadi" w:cs="Verdana"/>
          <w:color w:val="1D1C22"/>
          <w:sz w:val="21"/>
          <w:szCs w:val="21"/>
        </w:rPr>
        <w:t>mediante</w:t>
      </w:r>
      <w:r w:rsidRPr="00865313">
        <w:rPr>
          <w:rFonts w:ascii="Abadi" w:hAnsi="Abadi" w:cs="Verdana"/>
          <w:color w:val="1D1C22"/>
          <w:spacing w:val="53"/>
          <w:sz w:val="21"/>
          <w:szCs w:val="21"/>
        </w:rPr>
        <w:t xml:space="preserve"> </w:t>
      </w:r>
      <w:r w:rsidRPr="00865313">
        <w:rPr>
          <w:rFonts w:ascii="Abadi" w:hAnsi="Abadi" w:cs="Verdana"/>
          <w:color w:val="1D1C22"/>
          <w:sz w:val="21"/>
          <w:szCs w:val="21"/>
        </w:rPr>
        <w:t>la</w:t>
      </w:r>
      <w:r w:rsidRPr="00865313">
        <w:rPr>
          <w:rFonts w:ascii="Abadi" w:hAnsi="Abadi" w:cs="Verdana"/>
          <w:color w:val="1D1C22"/>
          <w:spacing w:val="48"/>
          <w:sz w:val="21"/>
          <w:szCs w:val="21"/>
        </w:rPr>
        <w:t xml:space="preserve"> </w:t>
      </w:r>
      <w:r w:rsidRPr="00865313">
        <w:rPr>
          <w:rFonts w:ascii="Abadi" w:hAnsi="Abadi" w:cs="Verdana"/>
          <w:color w:val="1D1C22"/>
          <w:sz w:val="21"/>
          <w:szCs w:val="21"/>
        </w:rPr>
        <w:t>cual</w:t>
      </w:r>
      <w:r w:rsidRPr="00865313">
        <w:rPr>
          <w:rFonts w:ascii="Abadi" w:hAnsi="Abadi" w:cs="Verdana"/>
          <w:color w:val="1D1C22"/>
          <w:spacing w:val="51"/>
          <w:sz w:val="21"/>
          <w:szCs w:val="21"/>
        </w:rPr>
        <w:t xml:space="preserve"> </w:t>
      </w:r>
      <w:r w:rsidRPr="00865313">
        <w:rPr>
          <w:rFonts w:ascii="Abadi" w:hAnsi="Abadi" w:cs="Verdana"/>
          <w:color w:val="1D1C22"/>
          <w:sz w:val="21"/>
          <w:szCs w:val="21"/>
        </w:rPr>
        <w:t>se</w:t>
      </w:r>
      <w:r w:rsidRPr="00865313">
        <w:rPr>
          <w:rFonts w:ascii="Abadi" w:hAnsi="Abadi" w:cs="Verdana"/>
          <w:color w:val="1D1C22"/>
          <w:spacing w:val="52"/>
          <w:sz w:val="21"/>
          <w:szCs w:val="21"/>
        </w:rPr>
        <w:t xml:space="preserve"> </w:t>
      </w:r>
      <w:r w:rsidRPr="00865313">
        <w:rPr>
          <w:rFonts w:ascii="Abadi" w:hAnsi="Abadi" w:cs="Verdana"/>
          <w:color w:val="1D1C22"/>
          <w:sz w:val="21"/>
          <w:szCs w:val="21"/>
        </w:rPr>
        <w:t>acredite</w:t>
      </w:r>
      <w:r w:rsidRPr="00865313">
        <w:rPr>
          <w:rFonts w:ascii="Abadi" w:hAnsi="Abadi" w:cs="Verdana"/>
          <w:color w:val="1D1C22"/>
          <w:spacing w:val="54"/>
          <w:sz w:val="21"/>
          <w:szCs w:val="21"/>
        </w:rPr>
        <w:t xml:space="preserve"> </w:t>
      </w:r>
      <w:r w:rsidRPr="00865313">
        <w:rPr>
          <w:rFonts w:ascii="Abadi" w:hAnsi="Abadi" w:cs="Verdana"/>
          <w:color w:val="1D1C22"/>
          <w:sz w:val="21"/>
          <w:szCs w:val="21"/>
        </w:rPr>
        <w:t>tener</w:t>
      </w:r>
      <w:r w:rsidRPr="00865313">
        <w:rPr>
          <w:rFonts w:ascii="Abadi" w:hAnsi="Abadi" w:cs="Verdana"/>
          <w:color w:val="1D1C22"/>
          <w:spacing w:val="51"/>
          <w:sz w:val="21"/>
          <w:szCs w:val="21"/>
        </w:rPr>
        <w:t xml:space="preserve"> </w:t>
      </w:r>
      <w:r w:rsidRPr="00865313">
        <w:rPr>
          <w:rFonts w:ascii="Abadi" w:hAnsi="Abadi" w:cs="Verdana"/>
          <w:color w:val="1D1C22"/>
          <w:sz w:val="21"/>
          <w:szCs w:val="21"/>
        </w:rPr>
        <w:t>una</w:t>
      </w:r>
      <w:r w:rsidRPr="00865313">
        <w:rPr>
          <w:rFonts w:ascii="Abadi" w:hAnsi="Abadi" w:cs="Calibri"/>
          <w:color w:val="1C1B21"/>
          <w:sz w:val="21"/>
          <w:szCs w:val="21"/>
        </w:rPr>
        <w:t xml:space="preserve"> </w:t>
      </w:r>
      <w:r w:rsidRPr="00865313">
        <w:rPr>
          <w:rFonts w:ascii="Abadi" w:hAnsi="Abadi" w:cs="Verdana"/>
          <w:color w:val="1D1C22"/>
          <w:sz w:val="21"/>
          <w:szCs w:val="21"/>
        </w:rPr>
        <w:t>antigüedad</w:t>
      </w:r>
      <w:r w:rsidRPr="00865313">
        <w:rPr>
          <w:rFonts w:ascii="Abadi" w:hAnsi="Abadi" w:cs="Verdana"/>
          <w:color w:val="1D1C22"/>
          <w:spacing w:val="4"/>
          <w:sz w:val="21"/>
          <w:szCs w:val="21"/>
        </w:rPr>
        <w:t xml:space="preserve"> </w:t>
      </w:r>
      <w:r w:rsidRPr="00865313">
        <w:rPr>
          <w:rFonts w:ascii="Abadi" w:hAnsi="Abadi" w:cs="Verdana"/>
          <w:color w:val="1D1C22"/>
          <w:sz w:val="21"/>
          <w:szCs w:val="21"/>
        </w:rPr>
        <w:t>mínima</w:t>
      </w:r>
      <w:r w:rsidRPr="00865313">
        <w:rPr>
          <w:rFonts w:ascii="Abadi" w:hAnsi="Abadi" w:cs="Verdana"/>
          <w:color w:val="1D1C22"/>
          <w:spacing w:val="-2"/>
          <w:sz w:val="21"/>
          <w:szCs w:val="21"/>
        </w:rPr>
        <w:t xml:space="preserve"> </w:t>
      </w:r>
      <w:r w:rsidRPr="00865313">
        <w:rPr>
          <w:rFonts w:ascii="Abadi" w:hAnsi="Abadi" w:cs="Verdana"/>
          <w:color w:val="1D1C22"/>
          <w:sz w:val="21"/>
          <w:szCs w:val="21"/>
        </w:rPr>
        <w:t>de</w:t>
      </w:r>
      <w:r w:rsidRPr="00865313">
        <w:rPr>
          <w:rFonts w:ascii="Abadi" w:hAnsi="Abadi" w:cs="Verdana"/>
          <w:color w:val="1D1C22"/>
          <w:spacing w:val="-1"/>
          <w:sz w:val="21"/>
          <w:szCs w:val="21"/>
        </w:rPr>
        <w:t xml:space="preserve"> </w:t>
      </w:r>
      <w:r w:rsidRPr="00865313">
        <w:rPr>
          <w:rFonts w:ascii="Abadi" w:hAnsi="Abadi" w:cs="Verdana"/>
          <w:color w:val="1D1C22"/>
          <w:sz w:val="21"/>
          <w:szCs w:val="21"/>
        </w:rPr>
        <w:t>cinco</w:t>
      </w:r>
      <w:r w:rsidRPr="00865313">
        <w:rPr>
          <w:rFonts w:ascii="Abadi" w:hAnsi="Abadi" w:cs="Verdana"/>
          <w:color w:val="1D1C22"/>
          <w:spacing w:val="3"/>
          <w:sz w:val="21"/>
          <w:szCs w:val="21"/>
        </w:rPr>
        <w:t xml:space="preserve"> </w:t>
      </w:r>
      <w:r w:rsidRPr="00865313">
        <w:rPr>
          <w:rFonts w:ascii="Abadi" w:hAnsi="Abadi" w:cs="Verdana"/>
          <w:color w:val="1D1C22"/>
          <w:sz w:val="21"/>
          <w:szCs w:val="21"/>
        </w:rPr>
        <w:t>años</w:t>
      </w:r>
      <w:r w:rsidRPr="00865313">
        <w:rPr>
          <w:rFonts w:ascii="Abadi" w:hAnsi="Abadi" w:cs="Verdana"/>
          <w:color w:val="1D1C22"/>
          <w:spacing w:val="5"/>
          <w:sz w:val="21"/>
          <w:szCs w:val="21"/>
        </w:rPr>
        <w:t xml:space="preserve"> </w:t>
      </w:r>
      <w:r w:rsidRPr="00865313">
        <w:rPr>
          <w:rFonts w:ascii="Abadi" w:hAnsi="Abadi" w:cs="Verdana"/>
          <w:color w:val="1D1C22"/>
          <w:sz w:val="21"/>
          <w:szCs w:val="21"/>
        </w:rPr>
        <w:t>de</w:t>
      </w:r>
      <w:r w:rsidRPr="00865313">
        <w:rPr>
          <w:rFonts w:ascii="Abadi" w:hAnsi="Abadi" w:cs="Verdana"/>
          <w:color w:val="1D1C22"/>
          <w:spacing w:val="3"/>
          <w:sz w:val="21"/>
          <w:szCs w:val="21"/>
        </w:rPr>
        <w:t xml:space="preserve"> </w:t>
      </w:r>
      <w:r w:rsidRPr="00865313">
        <w:rPr>
          <w:rFonts w:ascii="Abadi" w:hAnsi="Abadi" w:cs="Verdana"/>
          <w:color w:val="1D1C22"/>
          <w:sz w:val="21"/>
          <w:szCs w:val="21"/>
        </w:rPr>
        <w:t>ejercicio</w:t>
      </w:r>
      <w:r w:rsidRPr="00865313">
        <w:rPr>
          <w:rFonts w:ascii="Abadi" w:hAnsi="Abadi" w:cs="Verdana"/>
          <w:color w:val="1D1C22"/>
          <w:spacing w:val="3"/>
          <w:sz w:val="21"/>
          <w:szCs w:val="21"/>
        </w:rPr>
        <w:t xml:space="preserve"> </w:t>
      </w:r>
      <w:r w:rsidRPr="00865313">
        <w:rPr>
          <w:rFonts w:ascii="Abadi" w:hAnsi="Abadi" w:cs="Verdana"/>
          <w:color w:val="1D1C22"/>
          <w:sz w:val="21"/>
          <w:szCs w:val="21"/>
        </w:rPr>
        <w:t>profesional</w:t>
      </w:r>
      <w:r w:rsidRPr="00865313">
        <w:rPr>
          <w:rFonts w:ascii="Abadi" w:hAnsi="Abadi" w:cs="Verdana"/>
          <w:color w:val="1D1C22"/>
          <w:spacing w:val="-4"/>
          <w:sz w:val="21"/>
          <w:szCs w:val="21"/>
        </w:rPr>
        <w:t xml:space="preserve"> </w:t>
      </w:r>
      <w:r w:rsidRPr="00865313">
        <w:rPr>
          <w:rFonts w:ascii="Abadi" w:hAnsi="Abadi" w:cs="Verdana"/>
          <w:color w:val="1D1C22"/>
          <w:sz w:val="21"/>
          <w:szCs w:val="21"/>
        </w:rPr>
        <w:t>en</w:t>
      </w:r>
      <w:r w:rsidRPr="00865313">
        <w:rPr>
          <w:rFonts w:ascii="Abadi" w:hAnsi="Abadi" w:cs="Verdana"/>
          <w:color w:val="1D1C22"/>
          <w:spacing w:val="1"/>
          <w:sz w:val="21"/>
          <w:szCs w:val="21"/>
        </w:rPr>
        <w:t xml:space="preserve"> </w:t>
      </w:r>
      <w:r w:rsidRPr="00865313">
        <w:rPr>
          <w:rFonts w:ascii="Abadi" w:hAnsi="Abadi" w:cs="Verdana"/>
          <w:color w:val="1D1C22"/>
          <w:sz w:val="21"/>
          <w:szCs w:val="21"/>
        </w:rPr>
        <w:t>la</w:t>
      </w:r>
      <w:r w:rsidRPr="00865313">
        <w:rPr>
          <w:rFonts w:ascii="Abadi" w:hAnsi="Abadi" w:cs="Verdana"/>
          <w:color w:val="1D1C22"/>
          <w:spacing w:val="6"/>
          <w:sz w:val="21"/>
          <w:szCs w:val="21"/>
        </w:rPr>
        <w:t xml:space="preserve"> </w:t>
      </w:r>
      <w:r w:rsidRPr="00865313">
        <w:rPr>
          <w:rFonts w:ascii="Abadi" w:hAnsi="Abadi" w:cs="Verdana"/>
          <w:color w:val="1D1C22"/>
          <w:sz w:val="21"/>
          <w:szCs w:val="21"/>
        </w:rPr>
        <w:t>profesión</w:t>
      </w:r>
      <w:r w:rsidRPr="00865313">
        <w:rPr>
          <w:rFonts w:ascii="Abadi" w:hAnsi="Abadi" w:cs="Verdana"/>
          <w:color w:val="1D1C22"/>
          <w:spacing w:val="4"/>
          <w:sz w:val="21"/>
          <w:szCs w:val="21"/>
        </w:rPr>
        <w:t xml:space="preserve"> </w:t>
      </w:r>
      <w:r w:rsidRPr="00865313">
        <w:rPr>
          <w:rFonts w:ascii="Abadi" w:hAnsi="Abadi" w:cs="Verdana"/>
          <w:color w:val="1D1C22"/>
          <w:sz w:val="21"/>
          <w:szCs w:val="21"/>
        </w:rPr>
        <w:t>de</w:t>
      </w:r>
      <w:r w:rsidRPr="00865313">
        <w:rPr>
          <w:rFonts w:ascii="Abadi" w:hAnsi="Abadi" w:cs="Verdana"/>
          <w:color w:val="1D1C22"/>
          <w:spacing w:val="2"/>
          <w:sz w:val="21"/>
          <w:szCs w:val="21"/>
        </w:rPr>
        <w:t xml:space="preserve"> </w:t>
      </w:r>
      <w:r w:rsidRPr="00865313">
        <w:rPr>
          <w:rFonts w:ascii="Abadi" w:hAnsi="Abadi" w:cs="Verdana"/>
          <w:color w:val="1D1C22"/>
          <w:sz w:val="21"/>
          <w:szCs w:val="21"/>
        </w:rPr>
        <w:t>que se trate,</w:t>
      </w:r>
      <w:r w:rsidRPr="00865313">
        <w:rPr>
          <w:rFonts w:ascii="Abadi" w:hAnsi="Abadi" w:cs="Verdana"/>
          <w:color w:val="1D1C22"/>
          <w:spacing w:val="-14"/>
          <w:sz w:val="21"/>
          <w:szCs w:val="21"/>
        </w:rPr>
        <w:t xml:space="preserve"> </w:t>
      </w:r>
      <w:r w:rsidRPr="00865313">
        <w:rPr>
          <w:rFonts w:ascii="Abadi" w:hAnsi="Abadi" w:cs="Verdana"/>
          <w:color w:val="1D1C22"/>
          <w:sz w:val="21"/>
          <w:szCs w:val="21"/>
        </w:rPr>
        <w:t>así</w:t>
      </w:r>
      <w:r w:rsidRPr="00865313">
        <w:rPr>
          <w:rFonts w:ascii="Abadi" w:hAnsi="Abadi" w:cs="Verdana"/>
          <w:color w:val="1D1C22"/>
          <w:spacing w:val="9"/>
          <w:sz w:val="21"/>
          <w:szCs w:val="21"/>
        </w:rPr>
        <w:t xml:space="preserve"> </w:t>
      </w:r>
      <w:r w:rsidRPr="00865313">
        <w:rPr>
          <w:rFonts w:ascii="Abadi" w:hAnsi="Abadi" w:cs="Verdana"/>
          <w:color w:val="1D1C22"/>
          <w:sz w:val="21"/>
          <w:szCs w:val="21"/>
        </w:rPr>
        <w:t>como,</w:t>
      </w:r>
      <w:r w:rsidRPr="00865313">
        <w:rPr>
          <w:rFonts w:ascii="Abadi" w:hAnsi="Abadi" w:cs="Verdana"/>
          <w:color w:val="1D1C22"/>
          <w:spacing w:val="26"/>
          <w:sz w:val="21"/>
          <w:szCs w:val="21"/>
        </w:rPr>
        <w:t xml:space="preserve"> </w:t>
      </w:r>
      <w:r w:rsidRPr="00865313">
        <w:rPr>
          <w:rFonts w:ascii="Abadi" w:hAnsi="Abadi" w:cs="Verdana"/>
          <w:color w:val="1D1C22"/>
          <w:sz w:val="21"/>
          <w:szCs w:val="21"/>
        </w:rPr>
        <w:t>dos</w:t>
      </w:r>
      <w:r w:rsidRPr="00865313">
        <w:rPr>
          <w:rFonts w:ascii="Abadi" w:hAnsi="Abadi" w:cs="Verdana"/>
          <w:color w:val="1D1C22"/>
          <w:spacing w:val="7"/>
          <w:sz w:val="21"/>
          <w:szCs w:val="21"/>
        </w:rPr>
        <w:t xml:space="preserve"> </w:t>
      </w:r>
      <w:r w:rsidRPr="00865313">
        <w:rPr>
          <w:rFonts w:ascii="Abadi" w:hAnsi="Abadi" w:cs="Verdana"/>
          <w:color w:val="1D1C22"/>
          <w:sz w:val="21"/>
          <w:szCs w:val="21"/>
        </w:rPr>
        <w:t>años</w:t>
      </w:r>
      <w:r w:rsidRPr="00865313">
        <w:rPr>
          <w:rFonts w:ascii="Abadi" w:hAnsi="Abadi" w:cs="Verdana"/>
          <w:color w:val="1D1C22"/>
          <w:spacing w:val="9"/>
          <w:sz w:val="21"/>
          <w:szCs w:val="21"/>
        </w:rPr>
        <w:t xml:space="preserve"> </w:t>
      </w:r>
      <w:r w:rsidRPr="00865313">
        <w:rPr>
          <w:rFonts w:ascii="Abadi" w:hAnsi="Abadi" w:cs="Verdana"/>
          <w:color w:val="1D1C22"/>
          <w:sz w:val="21"/>
          <w:szCs w:val="21"/>
        </w:rPr>
        <w:t>de</w:t>
      </w:r>
      <w:r w:rsidRPr="00865313">
        <w:rPr>
          <w:rFonts w:ascii="Abadi" w:hAnsi="Abadi" w:cs="Verdana"/>
          <w:color w:val="1D1C22"/>
          <w:spacing w:val="-2"/>
          <w:sz w:val="21"/>
          <w:szCs w:val="21"/>
        </w:rPr>
        <w:t xml:space="preserve"> </w:t>
      </w:r>
      <w:r w:rsidRPr="00865313">
        <w:rPr>
          <w:rFonts w:ascii="Abadi" w:hAnsi="Abadi" w:cs="Verdana"/>
          <w:color w:val="1D1C22"/>
          <w:sz w:val="21"/>
          <w:szCs w:val="21"/>
        </w:rPr>
        <w:t>experiencia</w:t>
      </w:r>
      <w:r w:rsidRPr="00865313">
        <w:rPr>
          <w:rFonts w:ascii="Abadi" w:hAnsi="Abadi" w:cs="Verdana"/>
          <w:color w:val="1D1C22"/>
          <w:spacing w:val="4"/>
          <w:sz w:val="21"/>
          <w:szCs w:val="21"/>
        </w:rPr>
        <w:t xml:space="preserve"> </w:t>
      </w:r>
      <w:r w:rsidRPr="00865313">
        <w:rPr>
          <w:rFonts w:ascii="Abadi" w:hAnsi="Abadi" w:cs="Verdana"/>
          <w:color w:val="1D1C22"/>
          <w:sz w:val="21"/>
          <w:szCs w:val="21"/>
        </w:rPr>
        <w:t>en</w:t>
      </w:r>
      <w:r w:rsidRPr="00865313">
        <w:rPr>
          <w:rFonts w:ascii="Abadi" w:hAnsi="Abadi" w:cs="Verdana"/>
          <w:color w:val="1D1C22"/>
          <w:spacing w:val="5"/>
          <w:sz w:val="21"/>
          <w:szCs w:val="21"/>
        </w:rPr>
        <w:t xml:space="preserve"> </w:t>
      </w:r>
      <w:r w:rsidRPr="00865313">
        <w:rPr>
          <w:rFonts w:ascii="Abadi" w:hAnsi="Abadi" w:cs="Verdana"/>
          <w:color w:val="1D1C22"/>
          <w:sz w:val="21"/>
          <w:szCs w:val="21"/>
        </w:rPr>
        <w:t>materia</w:t>
      </w:r>
      <w:r w:rsidRPr="00865313">
        <w:rPr>
          <w:rFonts w:ascii="Abadi" w:hAnsi="Abadi" w:cs="Verdana"/>
          <w:color w:val="1D1C22"/>
          <w:spacing w:val="2"/>
          <w:sz w:val="21"/>
          <w:szCs w:val="21"/>
        </w:rPr>
        <w:t xml:space="preserve"> </w:t>
      </w:r>
      <w:r w:rsidRPr="00865313">
        <w:rPr>
          <w:rFonts w:ascii="Abadi" w:hAnsi="Abadi" w:cs="Verdana"/>
          <w:color w:val="1D1C22"/>
          <w:sz w:val="21"/>
          <w:szCs w:val="21"/>
        </w:rPr>
        <w:t>de</w:t>
      </w:r>
      <w:r w:rsidRPr="00865313">
        <w:rPr>
          <w:rFonts w:ascii="Abadi" w:hAnsi="Abadi" w:cs="Verdana"/>
          <w:color w:val="1D1C22"/>
          <w:spacing w:val="4"/>
          <w:sz w:val="21"/>
          <w:szCs w:val="21"/>
        </w:rPr>
        <w:t xml:space="preserve"> </w:t>
      </w:r>
      <w:r w:rsidRPr="00865313">
        <w:rPr>
          <w:rFonts w:ascii="Abadi" w:hAnsi="Abadi" w:cs="Verdana"/>
          <w:color w:val="1D1C22"/>
          <w:sz w:val="21"/>
          <w:szCs w:val="21"/>
        </w:rPr>
        <w:t>fiscalización</w:t>
      </w:r>
      <w:r w:rsidRPr="00865313">
        <w:rPr>
          <w:rFonts w:ascii="Abadi" w:hAnsi="Abadi" w:cs="Verdana"/>
          <w:color w:val="1D1C22"/>
          <w:spacing w:val="6"/>
          <w:sz w:val="21"/>
          <w:szCs w:val="21"/>
        </w:rPr>
        <w:t xml:space="preserve"> </w:t>
      </w:r>
      <w:r w:rsidRPr="00865313">
        <w:rPr>
          <w:rFonts w:ascii="Abadi" w:hAnsi="Abadi" w:cs="Verdana"/>
          <w:color w:val="1D1C22"/>
          <w:sz w:val="21"/>
          <w:szCs w:val="21"/>
        </w:rPr>
        <w:t>y</w:t>
      </w:r>
      <w:r w:rsidRPr="00865313">
        <w:rPr>
          <w:rFonts w:ascii="Abadi" w:hAnsi="Abadi" w:cs="Verdana"/>
          <w:color w:val="1D1C22"/>
          <w:spacing w:val="6"/>
          <w:sz w:val="21"/>
          <w:szCs w:val="21"/>
        </w:rPr>
        <w:t xml:space="preserve"> </w:t>
      </w:r>
      <w:r w:rsidRPr="00865313">
        <w:rPr>
          <w:rFonts w:ascii="Abadi" w:hAnsi="Abadi" w:cs="Verdana"/>
          <w:color w:val="1D1C22"/>
          <w:sz w:val="21"/>
          <w:szCs w:val="21"/>
        </w:rPr>
        <w:t>rendición</w:t>
      </w:r>
      <w:r w:rsidRPr="00865313">
        <w:rPr>
          <w:rFonts w:ascii="Abadi" w:hAnsi="Abadi" w:cs="Verdana"/>
          <w:color w:val="1D1C22"/>
          <w:spacing w:val="4"/>
          <w:sz w:val="21"/>
          <w:szCs w:val="21"/>
        </w:rPr>
        <w:t xml:space="preserve"> </w:t>
      </w:r>
      <w:r w:rsidRPr="00865313">
        <w:rPr>
          <w:rFonts w:ascii="Abadi" w:hAnsi="Abadi" w:cs="Verdana"/>
          <w:color w:val="1D1C22"/>
          <w:sz w:val="21"/>
          <w:szCs w:val="21"/>
        </w:rPr>
        <w:t>de</w:t>
      </w:r>
      <w:r w:rsidRPr="00865313">
        <w:rPr>
          <w:rFonts w:ascii="Abadi" w:hAnsi="Abadi" w:cs="Verdana"/>
          <w:color w:val="1D1C22"/>
          <w:spacing w:val="4"/>
          <w:sz w:val="21"/>
          <w:szCs w:val="21"/>
        </w:rPr>
        <w:t xml:space="preserve"> </w:t>
      </w:r>
      <w:r w:rsidRPr="00865313">
        <w:rPr>
          <w:rFonts w:ascii="Abadi" w:hAnsi="Abadi" w:cs="Verdana"/>
          <w:color w:val="1D1C22"/>
          <w:sz w:val="21"/>
          <w:szCs w:val="21"/>
        </w:rPr>
        <w:t>cuentas.</w:t>
      </w:r>
      <w:r w:rsidRPr="00865313">
        <w:rPr>
          <w:rFonts w:ascii="Abadi" w:hAnsi="Abadi" w:cs="Verdana"/>
          <w:color w:val="1D1C22"/>
          <w:spacing w:val="25"/>
          <w:sz w:val="21"/>
          <w:szCs w:val="21"/>
        </w:rPr>
        <w:t xml:space="preserve"> </w:t>
      </w:r>
      <w:r w:rsidRPr="00865313">
        <w:rPr>
          <w:rFonts w:ascii="Abadi" w:hAnsi="Abadi" w:cs="Verdana"/>
          <w:color w:val="1D1C22"/>
          <w:sz w:val="21"/>
          <w:szCs w:val="21"/>
        </w:rPr>
        <w:t>La</w:t>
      </w:r>
      <w:r w:rsidRPr="00865313">
        <w:rPr>
          <w:rFonts w:ascii="Abadi" w:hAnsi="Abadi" w:cs="Verdana"/>
          <w:color w:val="1D1C22"/>
          <w:spacing w:val="-11"/>
          <w:sz w:val="21"/>
          <w:szCs w:val="21"/>
        </w:rPr>
        <w:t xml:space="preserve"> </w:t>
      </w:r>
      <w:r w:rsidRPr="00865313">
        <w:rPr>
          <w:rFonts w:ascii="Abadi" w:hAnsi="Abadi" w:cs="Verdana"/>
          <w:color w:val="1D1C22"/>
          <w:sz w:val="21"/>
          <w:szCs w:val="21"/>
        </w:rPr>
        <w:t>documentación</w:t>
      </w:r>
      <w:r w:rsidRPr="00865313">
        <w:rPr>
          <w:rFonts w:ascii="Abadi" w:hAnsi="Abadi" w:cs="Verdana"/>
          <w:color w:val="1D1C22"/>
          <w:spacing w:val="29"/>
          <w:sz w:val="21"/>
          <w:szCs w:val="21"/>
        </w:rPr>
        <w:t xml:space="preserve"> </w:t>
      </w:r>
      <w:r w:rsidRPr="00865313">
        <w:rPr>
          <w:rFonts w:ascii="Abadi" w:hAnsi="Abadi" w:cs="Verdana"/>
          <w:color w:val="1D1C22"/>
          <w:sz w:val="21"/>
          <w:szCs w:val="21"/>
        </w:rPr>
        <w:t>que</w:t>
      </w:r>
      <w:r w:rsidRPr="00865313">
        <w:rPr>
          <w:rFonts w:ascii="Abadi" w:hAnsi="Abadi" w:cs="Verdana"/>
          <w:color w:val="1D1C22"/>
          <w:spacing w:val="24"/>
          <w:sz w:val="21"/>
          <w:szCs w:val="21"/>
        </w:rPr>
        <w:t xml:space="preserve"> </w:t>
      </w:r>
      <w:r w:rsidRPr="00865313">
        <w:rPr>
          <w:rFonts w:ascii="Abadi" w:hAnsi="Abadi" w:cs="Verdana"/>
          <w:color w:val="1D1C22"/>
          <w:sz w:val="21"/>
          <w:szCs w:val="21"/>
        </w:rPr>
        <w:t>se</w:t>
      </w:r>
      <w:r w:rsidRPr="00865313">
        <w:rPr>
          <w:rFonts w:ascii="Abadi" w:hAnsi="Abadi" w:cs="Verdana"/>
          <w:color w:val="1D1C22"/>
          <w:spacing w:val="23"/>
          <w:sz w:val="21"/>
          <w:szCs w:val="21"/>
        </w:rPr>
        <w:t xml:space="preserve"> </w:t>
      </w:r>
      <w:r w:rsidRPr="00865313">
        <w:rPr>
          <w:rFonts w:ascii="Abadi" w:hAnsi="Abadi" w:cs="Verdana"/>
          <w:color w:val="1D1C22"/>
          <w:sz w:val="21"/>
          <w:szCs w:val="21"/>
        </w:rPr>
        <w:t>anexe</w:t>
      </w:r>
      <w:r w:rsidRPr="00865313">
        <w:rPr>
          <w:rFonts w:ascii="Abadi" w:hAnsi="Abadi" w:cs="Verdana"/>
          <w:color w:val="1D1C22"/>
          <w:spacing w:val="31"/>
          <w:sz w:val="21"/>
          <w:szCs w:val="21"/>
        </w:rPr>
        <w:t xml:space="preserve"> </w:t>
      </w:r>
      <w:r w:rsidRPr="00865313">
        <w:rPr>
          <w:rFonts w:ascii="Abadi" w:hAnsi="Abadi" w:cs="Verdana"/>
          <w:color w:val="1D1C22"/>
          <w:sz w:val="21"/>
          <w:szCs w:val="21"/>
        </w:rPr>
        <w:t>deberá</w:t>
      </w:r>
      <w:r w:rsidRPr="00865313">
        <w:rPr>
          <w:rFonts w:ascii="Abadi" w:hAnsi="Abadi" w:cs="Verdana"/>
          <w:color w:val="1D1C22"/>
          <w:spacing w:val="36"/>
          <w:sz w:val="21"/>
          <w:szCs w:val="21"/>
        </w:rPr>
        <w:t xml:space="preserve"> </w:t>
      </w:r>
      <w:r w:rsidRPr="00865313">
        <w:rPr>
          <w:rFonts w:ascii="Abadi" w:hAnsi="Abadi" w:cs="Verdana"/>
          <w:color w:val="1D1C22"/>
          <w:sz w:val="21"/>
          <w:szCs w:val="21"/>
        </w:rPr>
        <w:t>estar</w:t>
      </w:r>
      <w:r w:rsidRPr="00865313">
        <w:rPr>
          <w:rFonts w:ascii="Abadi" w:hAnsi="Abadi" w:cs="Verdana"/>
          <w:color w:val="1D1C22"/>
          <w:spacing w:val="32"/>
          <w:sz w:val="21"/>
          <w:szCs w:val="21"/>
        </w:rPr>
        <w:t xml:space="preserve"> </w:t>
      </w:r>
      <w:r w:rsidRPr="00865313">
        <w:rPr>
          <w:rFonts w:ascii="Abadi" w:hAnsi="Abadi" w:cs="Verdana"/>
          <w:color w:val="1D1C22"/>
          <w:sz w:val="21"/>
          <w:szCs w:val="21"/>
        </w:rPr>
        <w:t>rubricada</w:t>
      </w:r>
      <w:r w:rsidRPr="00865313">
        <w:rPr>
          <w:rFonts w:ascii="Abadi" w:hAnsi="Abadi" w:cs="Verdana"/>
          <w:color w:val="1D1C22"/>
          <w:spacing w:val="30"/>
          <w:sz w:val="21"/>
          <w:szCs w:val="21"/>
        </w:rPr>
        <w:t xml:space="preserve"> </w:t>
      </w:r>
      <w:r w:rsidRPr="00865313">
        <w:rPr>
          <w:rFonts w:ascii="Abadi" w:hAnsi="Abadi" w:cs="Verdana"/>
          <w:color w:val="1D1C22"/>
          <w:sz w:val="21"/>
          <w:szCs w:val="21"/>
        </w:rPr>
        <w:t>en</w:t>
      </w:r>
      <w:r w:rsidRPr="00865313">
        <w:rPr>
          <w:rFonts w:ascii="Abadi" w:hAnsi="Abadi" w:cs="Verdana"/>
          <w:color w:val="1D1C22"/>
          <w:spacing w:val="26"/>
          <w:sz w:val="21"/>
          <w:szCs w:val="21"/>
        </w:rPr>
        <w:t xml:space="preserve"> </w:t>
      </w:r>
      <w:r w:rsidRPr="00865313">
        <w:rPr>
          <w:rFonts w:ascii="Abadi" w:hAnsi="Abadi" w:cs="Verdana"/>
          <w:color w:val="1D1C22"/>
          <w:sz w:val="21"/>
          <w:szCs w:val="21"/>
        </w:rPr>
        <w:t>cada</w:t>
      </w:r>
      <w:r w:rsidRPr="00865313">
        <w:rPr>
          <w:rFonts w:ascii="Abadi" w:hAnsi="Abadi" w:cs="Verdana"/>
          <w:color w:val="1D1C22"/>
          <w:spacing w:val="32"/>
          <w:sz w:val="21"/>
          <w:szCs w:val="21"/>
        </w:rPr>
        <w:t xml:space="preserve"> </w:t>
      </w:r>
      <w:r w:rsidRPr="00865313">
        <w:rPr>
          <w:rFonts w:ascii="Abadi" w:hAnsi="Abadi" w:cs="Verdana"/>
          <w:color w:val="1D1C22"/>
          <w:sz w:val="21"/>
          <w:szCs w:val="21"/>
        </w:rPr>
        <w:t>página.</w:t>
      </w:r>
      <w:r w:rsidRPr="00865313">
        <w:rPr>
          <w:rFonts w:ascii="Abadi" w:hAnsi="Abadi" w:cs="Verdana"/>
          <w:color w:val="1D1C22"/>
          <w:spacing w:val="50"/>
          <w:sz w:val="21"/>
          <w:szCs w:val="21"/>
        </w:rPr>
        <w:t xml:space="preserve"> </w:t>
      </w:r>
      <w:r w:rsidRPr="00865313">
        <w:rPr>
          <w:rFonts w:ascii="Abadi" w:hAnsi="Abadi" w:cs="Verdana"/>
          <w:color w:val="1D1C22"/>
          <w:sz w:val="21"/>
          <w:szCs w:val="21"/>
        </w:rPr>
        <w:t>Para</w:t>
      </w:r>
      <w:r w:rsidRPr="00865313">
        <w:rPr>
          <w:rFonts w:ascii="Abadi" w:hAnsi="Abadi" w:cs="Verdana"/>
          <w:color w:val="1D1C22"/>
          <w:spacing w:val="33"/>
          <w:sz w:val="21"/>
          <w:szCs w:val="21"/>
        </w:rPr>
        <w:t xml:space="preserve"> </w:t>
      </w:r>
      <w:r w:rsidRPr="00865313">
        <w:rPr>
          <w:rFonts w:ascii="Abadi" w:hAnsi="Abadi" w:cs="Verdana"/>
          <w:color w:val="1D1C22"/>
          <w:sz w:val="21"/>
          <w:szCs w:val="21"/>
        </w:rPr>
        <w:t>acreditar</w:t>
      </w:r>
      <w:r w:rsidRPr="00865313">
        <w:rPr>
          <w:rFonts w:ascii="Abadi" w:hAnsi="Abadi" w:cs="Verdana"/>
          <w:color w:val="1D1C22"/>
          <w:spacing w:val="35"/>
          <w:sz w:val="21"/>
          <w:szCs w:val="21"/>
        </w:rPr>
        <w:t xml:space="preserve"> </w:t>
      </w:r>
      <w:r w:rsidRPr="00865313">
        <w:rPr>
          <w:rFonts w:ascii="Abadi" w:hAnsi="Abadi" w:cs="Verdana"/>
          <w:color w:val="1D1C22"/>
          <w:sz w:val="21"/>
          <w:szCs w:val="21"/>
        </w:rPr>
        <w:t>los</w:t>
      </w:r>
      <w:r w:rsidRPr="00865313">
        <w:rPr>
          <w:rFonts w:ascii="Abadi" w:hAnsi="Abadi" w:cs="Verdana"/>
          <w:color w:val="1D1C22"/>
          <w:spacing w:val="-6"/>
          <w:sz w:val="21"/>
          <w:szCs w:val="21"/>
        </w:rPr>
        <w:t xml:space="preserve"> </w:t>
      </w:r>
      <w:r w:rsidRPr="00865313">
        <w:rPr>
          <w:rFonts w:ascii="Abadi" w:hAnsi="Abadi" w:cs="Verdana"/>
          <w:color w:val="1D1C22"/>
          <w:sz w:val="21"/>
          <w:szCs w:val="21"/>
        </w:rPr>
        <w:t>requisitos</w:t>
      </w:r>
      <w:r w:rsidRPr="00865313">
        <w:rPr>
          <w:rFonts w:ascii="Abadi" w:hAnsi="Abadi" w:cs="Verdana"/>
          <w:color w:val="1D1C22"/>
          <w:spacing w:val="-7"/>
          <w:sz w:val="21"/>
          <w:szCs w:val="21"/>
        </w:rPr>
        <w:t xml:space="preserve"> </w:t>
      </w:r>
      <w:r w:rsidRPr="00865313">
        <w:rPr>
          <w:rFonts w:ascii="Abadi" w:hAnsi="Abadi" w:cs="Verdana"/>
          <w:color w:val="1D1C22"/>
          <w:sz w:val="21"/>
          <w:szCs w:val="21"/>
        </w:rPr>
        <w:t>a</w:t>
      </w:r>
      <w:r w:rsidRPr="00865313">
        <w:rPr>
          <w:rFonts w:ascii="Abadi" w:hAnsi="Abadi" w:cs="Verdana"/>
          <w:color w:val="1D1C22"/>
          <w:spacing w:val="-4"/>
          <w:sz w:val="21"/>
          <w:szCs w:val="21"/>
        </w:rPr>
        <w:t xml:space="preserve"> </w:t>
      </w:r>
      <w:r w:rsidRPr="00865313">
        <w:rPr>
          <w:rFonts w:ascii="Abadi" w:hAnsi="Abadi" w:cs="Verdana"/>
          <w:color w:val="1D1C22"/>
          <w:sz w:val="21"/>
          <w:szCs w:val="21"/>
        </w:rPr>
        <w:t>que</w:t>
      </w:r>
      <w:r w:rsidRPr="00865313">
        <w:rPr>
          <w:rFonts w:ascii="Abadi" w:hAnsi="Abadi" w:cs="Verdana"/>
          <w:color w:val="1D1C22"/>
          <w:spacing w:val="-9"/>
          <w:sz w:val="21"/>
          <w:szCs w:val="21"/>
        </w:rPr>
        <w:t xml:space="preserve"> </w:t>
      </w:r>
      <w:r w:rsidRPr="00865313">
        <w:rPr>
          <w:rFonts w:ascii="Abadi" w:hAnsi="Abadi" w:cs="Verdana"/>
          <w:color w:val="1D1C22"/>
          <w:sz w:val="21"/>
          <w:szCs w:val="21"/>
        </w:rPr>
        <w:t>se</w:t>
      </w:r>
      <w:r w:rsidRPr="00865313">
        <w:rPr>
          <w:rFonts w:ascii="Abadi" w:hAnsi="Abadi" w:cs="Verdana"/>
          <w:color w:val="1D1C22"/>
          <w:spacing w:val="-7"/>
          <w:sz w:val="21"/>
          <w:szCs w:val="21"/>
        </w:rPr>
        <w:t xml:space="preserve"> </w:t>
      </w:r>
      <w:r w:rsidRPr="00865313">
        <w:rPr>
          <w:rFonts w:ascii="Abadi" w:hAnsi="Abadi" w:cs="Verdana"/>
          <w:color w:val="1D1C22"/>
          <w:sz w:val="21"/>
          <w:szCs w:val="21"/>
        </w:rPr>
        <w:t>refieren</w:t>
      </w:r>
      <w:r w:rsidRPr="00865313">
        <w:rPr>
          <w:rFonts w:ascii="Abadi" w:hAnsi="Abadi" w:cs="Verdana"/>
          <w:color w:val="1D1C22"/>
          <w:spacing w:val="-1"/>
          <w:sz w:val="21"/>
          <w:szCs w:val="21"/>
        </w:rPr>
        <w:t xml:space="preserve"> </w:t>
      </w:r>
      <w:r w:rsidRPr="00865313">
        <w:rPr>
          <w:rFonts w:ascii="Abadi" w:hAnsi="Abadi" w:cs="Verdana"/>
          <w:color w:val="1D1C22"/>
          <w:sz w:val="21"/>
          <w:szCs w:val="21"/>
        </w:rPr>
        <w:t>las</w:t>
      </w:r>
      <w:r w:rsidRPr="00865313">
        <w:rPr>
          <w:rFonts w:ascii="Abadi" w:hAnsi="Abadi" w:cs="Verdana"/>
          <w:color w:val="1D1C22"/>
          <w:spacing w:val="-12"/>
          <w:sz w:val="21"/>
          <w:szCs w:val="21"/>
        </w:rPr>
        <w:t xml:space="preserve"> </w:t>
      </w:r>
      <w:r w:rsidRPr="00865313">
        <w:rPr>
          <w:rFonts w:ascii="Abadi" w:hAnsi="Abadi" w:cs="Verdana"/>
          <w:color w:val="1D1C22"/>
          <w:sz w:val="21"/>
          <w:szCs w:val="21"/>
        </w:rPr>
        <w:t>fracciones</w:t>
      </w:r>
      <w:r w:rsidRPr="00865313">
        <w:rPr>
          <w:rFonts w:ascii="Abadi" w:hAnsi="Abadi" w:cs="Verdana"/>
          <w:color w:val="1D1C22"/>
          <w:spacing w:val="-13"/>
          <w:sz w:val="21"/>
          <w:szCs w:val="21"/>
        </w:rPr>
        <w:t xml:space="preserve"> </w:t>
      </w:r>
      <w:r w:rsidRPr="00865313">
        <w:rPr>
          <w:rFonts w:ascii="Abadi" w:hAnsi="Abadi" w:cs="Verdana"/>
          <w:color w:val="1D1C22"/>
          <w:sz w:val="21"/>
          <w:szCs w:val="21"/>
        </w:rPr>
        <w:t>II</w:t>
      </w:r>
      <w:r w:rsidRPr="00865313">
        <w:rPr>
          <w:rFonts w:ascii="Abadi" w:hAnsi="Abadi" w:cs="Verdana"/>
          <w:color w:val="1D1C22"/>
          <w:spacing w:val="-8"/>
          <w:sz w:val="21"/>
          <w:szCs w:val="21"/>
        </w:rPr>
        <w:t xml:space="preserve"> </w:t>
      </w:r>
      <w:r w:rsidRPr="00865313">
        <w:rPr>
          <w:rFonts w:ascii="Abadi" w:hAnsi="Abadi" w:cs="Verdana"/>
          <w:color w:val="1D1C22"/>
          <w:sz w:val="21"/>
          <w:szCs w:val="21"/>
        </w:rPr>
        <w:t>y</w:t>
      </w:r>
      <w:r w:rsidRPr="00865313">
        <w:rPr>
          <w:rFonts w:ascii="Abadi" w:hAnsi="Abadi" w:cs="Verdana"/>
          <w:color w:val="1D1C22"/>
          <w:spacing w:val="-12"/>
          <w:sz w:val="21"/>
          <w:szCs w:val="21"/>
        </w:rPr>
        <w:t xml:space="preserve"> </w:t>
      </w:r>
      <w:r w:rsidRPr="00865313">
        <w:rPr>
          <w:rFonts w:ascii="Abadi" w:hAnsi="Abadi" w:cs="Verdana"/>
          <w:color w:val="1D1C22"/>
          <w:sz w:val="21"/>
          <w:szCs w:val="21"/>
        </w:rPr>
        <w:t>IV</w:t>
      </w:r>
      <w:r w:rsidRPr="00865313">
        <w:rPr>
          <w:rFonts w:ascii="Abadi" w:hAnsi="Abadi" w:cs="Verdana"/>
          <w:color w:val="1D1C22"/>
          <w:spacing w:val="-6"/>
          <w:sz w:val="21"/>
          <w:szCs w:val="21"/>
        </w:rPr>
        <w:t xml:space="preserve"> </w:t>
      </w:r>
      <w:r w:rsidRPr="00865313">
        <w:rPr>
          <w:rFonts w:ascii="Abadi" w:hAnsi="Abadi" w:cs="Verdana"/>
          <w:color w:val="1D1C22"/>
          <w:sz w:val="21"/>
          <w:szCs w:val="21"/>
        </w:rPr>
        <w:t>del artículo</w:t>
      </w:r>
      <w:r w:rsidRPr="00865313">
        <w:rPr>
          <w:rFonts w:ascii="Abadi" w:hAnsi="Abadi" w:cs="Verdana"/>
          <w:color w:val="1D1C22"/>
          <w:spacing w:val="-20"/>
          <w:sz w:val="21"/>
          <w:szCs w:val="21"/>
        </w:rPr>
        <w:t xml:space="preserve"> </w:t>
      </w:r>
      <w:r w:rsidRPr="00865313">
        <w:rPr>
          <w:rFonts w:ascii="Abadi" w:hAnsi="Abadi" w:cs="Verdana"/>
          <w:color w:val="1D1C22"/>
          <w:sz w:val="21"/>
          <w:szCs w:val="21"/>
        </w:rPr>
        <w:t>159</w:t>
      </w:r>
      <w:r w:rsidRPr="00865313">
        <w:rPr>
          <w:rFonts w:ascii="Abadi" w:hAnsi="Abadi" w:cs="Verdana"/>
          <w:color w:val="1D1C22"/>
          <w:spacing w:val="-10"/>
          <w:sz w:val="21"/>
          <w:szCs w:val="21"/>
        </w:rPr>
        <w:t xml:space="preserve"> </w:t>
      </w:r>
      <w:r w:rsidRPr="00865313">
        <w:rPr>
          <w:rFonts w:ascii="Abadi" w:hAnsi="Abadi" w:cs="Verdana"/>
          <w:color w:val="1D1C22"/>
          <w:sz w:val="21"/>
          <w:szCs w:val="21"/>
        </w:rPr>
        <w:t>Bis</w:t>
      </w:r>
      <w:r w:rsidRPr="00865313">
        <w:rPr>
          <w:rFonts w:ascii="Abadi" w:hAnsi="Abadi" w:cs="Verdana"/>
          <w:color w:val="1D1C22"/>
          <w:spacing w:val="-10"/>
          <w:sz w:val="21"/>
          <w:szCs w:val="21"/>
        </w:rPr>
        <w:t xml:space="preserve"> </w:t>
      </w:r>
      <w:r w:rsidRPr="00865313">
        <w:rPr>
          <w:rFonts w:ascii="Abadi" w:hAnsi="Abadi" w:cs="Verdana"/>
          <w:color w:val="1D1C22"/>
          <w:sz w:val="21"/>
          <w:szCs w:val="21"/>
        </w:rPr>
        <w:t>de</w:t>
      </w:r>
      <w:r w:rsidRPr="00865313">
        <w:rPr>
          <w:rFonts w:ascii="Abadi" w:hAnsi="Abadi" w:cs="Verdana"/>
          <w:color w:val="1D1C22"/>
          <w:spacing w:val="-10"/>
          <w:sz w:val="21"/>
          <w:szCs w:val="21"/>
        </w:rPr>
        <w:t xml:space="preserve"> </w:t>
      </w:r>
      <w:r w:rsidRPr="00865313">
        <w:rPr>
          <w:rFonts w:ascii="Abadi" w:hAnsi="Abadi" w:cs="Verdana"/>
          <w:color w:val="1D1C22"/>
          <w:sz w:val="21"/>
          <w:szCs w:val="21"/>
        </w:rPr>
        <w:t>la</w:t>
      </w:r>
      <w:r w:rsidRPr="00865313">
        <w:rPr>
          <w:rFonts w:ascii="Abadi" w:hAnsi="Abadi" w:cs="Verdana"/>
          <w:color w:val="1D1C22"/>
          <w:spacing w:val="2"/>
          <w:sz w:val="21"/>
          <w:szCs w:val="21"/>
        </w:rPr>
        <w:t xml:space="preserve"> </w:t>
      </w:r>
      <w:r w:rsidRPr="00865313">
        <w:rPr>
          <w:rFonts w:ascii="Abadi" w:hAnsi="Abadi" w:cs="Verdana"/>
          <w:color w:val="1D1C22"/>
          <w:sz w:val="21"/>
          <w:szCs w:val="21"/>
        </w:rPr>
        <w:t>Ley</w:t>
      </w:r>
      <w:r w:rsidRPr="00865313">
        <w:rPr>
          <w:rFonts w:ascii="Abadi" w:hAnsi="Abadi" w:cs="Verdana"/>
          <w:color w:val="1D1C22"/>
          <w:spacing w:val="-9"/>
          <w:sz w:val="21"/>
          <w:szCs w:val="21"/>
        </w:rPr>
        <w:t xml:space="preserve"> </w:t>
      </w:r>
      <w:r w:rsidRPr="00865313">
        <w:rPr>
          <w:rFonts w:ascii="Abadi" w:hAnsi="Abadi" w:cs="Verdana"/>
          <w:color w:val="1D1C22"/>
          <w:sz w:val="21"/>
          <w:szCs w:val="21"/>
        </w:rPr>
        <w:t>citada.</w:t>
      </w:r>
      <w:r w:rsidRPr="00865313">
        <w:rPr>
          <w:rFonts w:ascii="Abadi" w:hAnsi="Abadi" w:cs="Calibri"/>
          <w:color w:val="1C1B21"/>
          <w:sz w:val="21"/>
          <w:szCs w:val="21"/>
        </w:rPr>
        <w:t xml:space="preserve"> </w:t>
      </w:r>
    </w:p>
    <w:p w14:paraId="26022DB0" w14:textId="77777777" w:rsidR="00A7016E" w:rsidRPr="00865313" w:rsidRDefault="00A7016E" w:rsidP="00A7016E">
      <w:pPr>
        <w:numPr>
          <w:ilvl w:val="0"/>
          <w:numId w:val="51"/>
        </w:numPr>
        <w:tabs>
          <w:tab w:val="left" w:pos="470"/>
        </w:tabs>
        <w:kinsoku w:val="0"/>
        <w:overflowPunct w:val="0"/>
        <w:autoSpaceDE w:val="0"/>
        <w:autoSpaceDN w:val="0"/>
        <w:adjustRightInd w:val="0"/>
        <w:spacing w:before="268" w:line="218" w:lineRule="auto"/>
        <w:ind w:left="476" w:right="147" w:hanging="359"/>
        <w:jc w:val="both"/>
        <w:rPr>
          <w:rFonts w:ascii="Abadi" w:hAnsi="Abadi" w:cs="Calibri"/>
          <w:color w:val="1C1B21"/>
          <w:sz w:val="21"/>
          <w:szCs w:val="21"/>
        </w:rPr>
      </w:pPr>
      <w:r w:rsidRPr="00865313">
        <w:rPr>
          <w:rFonts w:ascii="Abadi" w:hAnsi="Abadi" w:cs="Verdana"/>
          <w:color w:val="1B1820"/>
          <w:sz w:val="21"/>
          <w:szCs w:val="21"/>
        </w:rPr>
        <w:t>Original</w:t>
      </w:r>
      <w:r w:rsidRPr="00865313">
        <w:rPr>
          <w:rFonts w:ascii="Abadi" w:hAnsi="Abadi" w:cs="Verdana"/>
          <w:color w:val="1B1820"/>
          <w:spacing w:val="47"/>
          <w:sz w:val="21"/>
          <w:szCs w:val="21"/>
        </w:rPr>
        <w:t xml:space="preserve"> </w:t>
      </w:r>
      <w:r w:rsidRPr="00865313">
        <w:rPr>
          <w:rFonts w:ascii="Abadi" w:hAnsi="Abadi" w:cs="Verdana"/>
          <w:color w:val="1B1820"/>
          <w:sz w:val="21"/>
          <w:szCs w:val="21"/>
        </w:rPr>
        <w:t>de</w:t>
      </w:r>
      <w:r w:rsidRPr="00865313">
        <w:rPr>
          <w:rFonts w:ascii="Abadi" w:hAnsi="Abadi" w:cs="Verdana"/>
          <w:color w:val="1B1820"/>
          <w:spacing w:val="41"/>
          <w:sz w:val="21"/>
          <w:szCs w:val="21"/>
        </w:rPr>
        <w:t xml:space="preserve"> </w:t>
      </w:r>
      <w:r w:rsidRPr="00865313">
        <w:rPr>
          <w:rFonts w:ascii="Abadi" w:hAnsi="Abadi" w:cs="Calibri"/>
          <w:b/>
          <w:bCs/>
          <w:color w:val="1B1820"/>
          <w:sz w:val="21"/>
          <w:szCs w:val="21"/>
        </w:rPr>
        <w:t>constancia</w:t>
      </w:r>
      <w:r w:rsidRPr="00865313">
        <w:rPr>
          <w:rFonts w:ascii="Abadi" w:hAnsi="Abadi" w:cs="Calibri"/>
          <w:b/>
          <w:bCs/>
          <w:color w:val="1B1820"/>
          <w:spacing w:val="14"/>
          <w:sz w:val="21"/>
          <w:szCs w:val="21"/>
        </w:rPr>
        <w:t xml:space="preserve"> </w:t>
      </w:r>
      <w:r w:rsidRPr="00865313">
        <w:rPr>
          <w:rFonts w:ascii="Abadi" w:hAnsi="Abadi" w:cs="Calibri"/>
          <w:b/>
          <w:bCs/>
          <w:color w:val="1B1820"/>
          <w:sz w:val="21"/>
          <w:szCs w:val="21"/>
        </w:rPr>
        <w:t>de</w:t>
      </w:r>
      <w:r w:rsidRPr="00865313">
        <w:rPr>
          <w:rFonts w:ascii="Abadi" w:hAnsi="Abadi" w:cs="Calibri"/>
          <w:b/>
          <w:bCs/>
          <w:color w:val="1B1820"/>
          <w:spacing w:val="11"/>
          <w:sz w:val="21"/>
          <w:szCs w:val="21"/>
        </w:rPr>
        <w:t xml:space="preserve"> </w:t>
      </w:r>
      <w:r w:rsidRPr="00865313">
        <w:rPr>
          <w:rFonts w:ascii="Abadi" w:hAnsi="Abadi" w:cs="Calibri"/>
          <w:b/>
          <w:bCs/>
          <w:color w:val="1B1820"/>
          <w:sz w:val="21"/>
          <w:szCs w:val="21"/>
        </w:rPr>
        <w:t>antecedentes</w:t>
      </w:r>
      <w:r w:rsidRPr="00865313">
        <w:rPr>
          <w:rFonts w:ascii="Abadi" w:hAnsi="Abadi" w:cs="Calibri"/>
          <w:b/>
          <w:bCs/>
          <w:color w:val="1B1820"/>
          <w:spacing w:val="8"/>
          <w:sz w:val="21"/>
          <w:szCs w:val="21"/>
        </w:rPr>
        <w:t xml:space="preserve"> </w:t>
      </w:r>
      <w:r w:rsidRPr="00865313">
        <w:rPr>
          <w:rFonts w:ascii="Abadi" w:hAnsi="Abadi" w:cs="Calibri"/>
          <w:b/>
          <w:bCs/>
          <w:color w:val="1B1820"/>
          <w:sz w:val="21"/>
          <w:szCs w:val="21"/>
        </w:rPr>
        <w:t>penales</w:t>
      </w:r>
      <w:r w:rsidRPr="00865313">
        <w:rPr>
          <w:rFonts w:ascii="Abadi" w:hAnsi="Abadi" w:cs="Calibri"/>
          <w:b/>
          <w:bCs/>
          <w:color w:val="1B1820"/>
          <w:spacing w:val="1"/>
          <w:sz w:val="21"/>
          <w:szCs w:val="21"/>
        </w:rPr>
        <w:t xml:space="preserve"> </w:t>
      </w:r>
      <w:r w:rsidRPr="00865313">
        <w:rPr>
          <w:rFonts w:ascii="Abadi" w:hAnsi="Abadi" w:cs="Verdana"/>
          <w:color w:val="1B1820"/>
          <w:sz w:val="21"/>
          <w:szCs w:val="21"/>
        </w:rPr>
        <w:t>expedida</w:t>
      </w:r>
      <w:r w:rsidRPr="00865313">
        <w:rPr>
          <w:rFonts w:ascii="Abadi" w:hAnsi="Abadi" w:cs="Verdana"/>
          <w:color w:val="1B1820"/>
          <w:spacing w:val="44"/>
          <w:sz w:val="21"/>
          <w:szCs w:val="21"/>
        </w:rPr>
        <w:t xml:space="preserve"> </w:t>
      </w:r>
      <w:r w:rsidRPr="00865313">
        <w:rPr>
          <w:rFonts w:ascii="Abadi" w:hAnsi="Abadi" w:cs="Verdana"/>
          <w:color w:val="1B1820"/>
          <w:sz w:val="21"/>
          <w:szCs w:val="21"/>
        </w:rPr>
        <w:t>por</w:t>
      </w:r>
      <w:r w:rsidRPr="00865313">
        <w:rPr>
          <w:rFonts w:ascii="Abadi" w:hAnsi="Abadi" w:cs="Verdana"/>
          <w:color w:val="1B1820"/>
          <w:spacing w:val="47"/>
          <w:sz w:val="21"/>
          <w:szCs w:val="21"/>
        </w:rPr>
        <w:t xml:space="preserve"> </w:t>
      </w:r>
      <w:r w:rsidRPr="00865313">
        <w:rPr>
          <w:rFonts w:ascii="Abadi" w:hAnsi="Abadi" w:cs="Verdana"/>
          <w:color w:val="1B1820"/>
          <w:sz w:val="21"/>
          <w:szCs w:val="21"/>
        </w:rPr>
        <w:t>la</w:t>
      </w:r>
      <w:r w:rsidRPr="00865313">
        <w:rPr>
          <w:rFonts w:ascii="Abadi" w:hAnsi="Abadi" w:cs="Verdana"/>
          <w:color w:val="1B1820"/>
          <w:spacing w:val="60"/>
          <w:sz w:val="21"/>
          <w:szCs w:val="21"/>
        </w:rPr>
        <w:t xml:space="preserve"> </w:t>
      </w:r>
      <w:r w:rsidRPr="00865313">
        <w:rPr>
          <w:rFonts w:ascii="Abadi" w:hAnsi="Abadi" w:cs="Verdana"/>
          <w:color w:val="1B1820"/>
          <w:sz w:val="21"/>
          <w:szCs w:val="21"/>
        </w:rPr>
        <w:t>Fiscalía</w:t>
      </w:r>
      <w:r w:rsidRPr="00865313">
        <w:rPr>
          <w:rFonts w:ascii="Abadi" w:hAnsi="Abadi" w:cs="Verdana"/>
          <w:color w:val="1B1820"/>
          <w:spacing w:val="55"/>
          <w:sz w:val="21"/>
          <w:szCs w:val="21"/>
        </w:rPr>
        <w:t xml:space="preserve"> </w:t>
      </w:r>
      <w:r w:rsidRPr="00865313">
        <w:rPr>
          <w:rFonts w:ascii="Abadi" w:hAnsi="Abadi" w:cs="Verdana"/>
          <w:color w:val="1B1820"/>
          <w:sz w:val="21"/>
          <w:szCs w:val="21"/>
        </w:rPr>
        <w:t>General</w:t>
      </w:r>
      <w:r w:rsidRPr="00865313">
        <w:rPr>
          <w:rFonts w:ascii="Abadi" w:hAnsi="Abadi" w:cs="Verdana"/>
          <w:color w:val="1B1820"/>
          <w:spacing w:val="42"/>
          <w:sz w:val="21"/>
          <w:szCs w:val="21"/>
        </w:rPr>
        <w:t xml:space="preserve"> </w:t>
      </w:r>
      <w:r w:rsidRPr="00865313">
        <w:rPr>
          <w:rFonts w:ascii="Abadi" w:hAnsi="Abadi" w:cs="Verdana"/>
          <w:color w:val="1B1820"/>
          <w:sz w:val="21"/>
          <w:szCs w:val="21"/>
        </w:rPr>
        <w:t>del</w:t>
      </w:r>
      <w:r w:rsidRPr="00865313">
        <w:rPr>
          <w:rFonts w:ascii="Abadi" w:hAnsi="Abadi" w:cs="Verdana"/>
          <w:color w:val="1B1820"/>
          <w:spacing w:val="-1"/>
          <w:sz w:val="21"/>
          <w:szCs w:val="21"/>
        </w:rPr>
        <w:t xml:space="preserve"> </w:t>
      </w:r>
      <w:r w:rsidRPr="00865313">
        <w:rPr>
          <w:rFonts w:ascii="Abadi" w:hAnsi="Abadi" w:cs="Verdana"/>
          <w:color w:val="1B1820"/>
          <w:sz w:val="21"/>
          <w:szCs w:val="21"/>
        </w:rPr>
        <w:t>Estado</w:t>
      </w:r>
      <w:r w:rsidRPr="00865313">
        <w:rPr>
          <w:rFonts w:ascii="Abadi" w:hAnsi="Abadi" w:cs="Verdana"/>
          <w:color w:val="1B1820"/>
          <w:spacing w:val="-9"/>
          <w:sz w:val="21"/>
          <w:szCs w:val="21"/>
        </w:rPr>
        <w:t xml:space="preserve"> </w:t>
      </w:r>
      <w:r w:rsidRPr="00865313">
        <w:rPr>
          <w:rFonts w:ascii="Abadi" w:hAnsi="Abadi" w:cs="Verdana"/>
          <w:color w:val="1B1820"/>
          <w:sz w:val="21"/>
          <w:szCs w:val="21"/>
        </w:rPr>
        <w:t>de</w:t>
      </w:r>
      <w:r w:rsidRPr="00865313">
        <w:rPr>
          <w:rFonts w:ascii="Abadi" w:hAnsi="Abadi" w:cs="Verdana"/>
          <w:color w:val="1B1820"/>
          <w:spacing w:val="2"/>
          <w:sz w:val="21"/>
          <w:szCs w:val="21"/>
        </w:rPr>
        <w:t xml:space="preserve"> </w:t>
      </w:r>
      <w:r w:rsidRPr="00865313">
        <w:rPr>
          <w:rFonts w:ascii="Abadi" w:hAnsi="Abadi" w:cs="Verdana"/>
          <w:color w:val="1B1820"/>
          <w:sz w:val="21"/>
          <w:szCs w:val="21"/>
        </w:rPr>
        <w:t>Guanajuato.</w:t>
      </w:r>
      <w:r w:rsidRPr="00865313">
        <w:rPr>
          <w:rFonts w:ascii="Abadi" w:hAnsi="Abadi" w:cs="Verdana"/>
          <w:color w:val="1B1820"/>
          <w:spacing w:val="7"/>
          <w:sz w:val="21"/>
          <w:szCs w:val="21"/>
        </w:rPr>
        <w:t xml:space="preserve"> </w:t>
      </w:r>
      <w:r w:rsidRPr="00865313">
        <w:rPr>
          <w:rFonts w:ascii="Abadi" w:hAnsi="Abadi" w:cs="Verdana"/>
          <w:color w:val="1B1820"/>
          <w:sz w:val="21"/>
          <w:szCs w:val="21"/>
        </w:rPr>
        <w:t>Para</w:t>
      </w:r>
      <w:r w:rsidRPr="00865313">
        <w:rPr>
          <w:rFonts w:ascii="Abadi" w:hAnsi="Abadi" w:cs="Verdana"/>
          <w:color w:val="1B1820"/>
          <w:spacing w:val="-4"/>
          <w:sz w:val="21"/>
          <w:szCs w:val="21"/>
        </w:rPr>
        <w:t xml:space="preserve"> </w:t>
      </w:r>
      <w:r w:rsidRPr="00865313">
        <w:rPr>
          <w:rFonts w:ascii="Abadi" w:hAnsi="Abadi" w:cs="Verdana"/>
          <w:color w:val="1B1820"/>
          <w:sz w:val="21"/>
          <w:szCs w:val="21"/>
        </w:rPr>
        <w:t>acreditar</w:t>
      </w:r>
      <w:r w:rsidRPr="00865313">
        <w:rPr>
          <w:rFonts w:ascii="Abadi" w:hAnsi="Abadi" w:cs="Verdana"/>
          <w:color w:val="1B1820"/>
          <w:spacing w:val="2"/>
          <w:sz w:val="21"/>
          <w:szCs w:val="21"/>
        </w:rPr>
        <w:t xml:space="preserve"> </w:t>
      </w:r>
      <w:r w:rsidRPr="00865313">
        <w:rPr>
          <w:rFonts w:ascii="Abadi" w:hAnsi="Abadi" w:cs="Verdana"/>
          <w:color w:val="1B1820"/>
          <w:sz w:val="21"/>
          <w:szCs w:val="21"/>
        </w:rPr>
        <w:t>el</w:t>
      </w:r>
      <w:r w:rsidRPr="00865313">
        <w:rPr>
          <w:rFonts w:ascii="Abadi" w:hAnsi="Abadi" w:cs="Verdana"/>
          <w:color w:val="1B1820"/>
          <w:spacing w:val="-6"/>
          <w:sz w:val="21"/>
          <w:szCs w:val="21"/>
        </w:rPr>
        <w:t xml:space="preserve"> </w:t>
      </w:r>
      <w:r w:rsidRPr="00865313">
        <w:rPr>
          <w:rFonts w:ascii="Abadi" w:hAnsi="Abadi" w:cs="Verdana"/>
          <w:color w:val="1B1820"/>
          <w:sz w:val="21"/>
          <w:szCs w:val="21"/>
        </w:rPr>
        <w:t>requisito</w:t>
      </w:r>
      <w:r w:rsidRPr="00865313">
        <w:rPr>
          <w:rFonts w:ascii="Abadi" w:hAnsi="Abadi" w:cs="Verdana"/>
          <w:color w:val="1B1820"/>
          <w:spacing w:val="-8"/>
          <w:sz w:val="21"/>
          <w:szCs w:val="21"/>
        </w:rPr>
        <w:t xml:space="preserve"> </w:t>
      </w:r>
      <w:r w:rsidRPr="00865313">
        <w:rPr>
          <w:rFonts w:ascii="Abadi" w:hAnsi="Abadi" w:cs="Verdana"/>
          <w:color w:val="1B1820"/>
          <w:sz w:val="21"/>
          <w:szCs w:val="21"/>
        </w:rPr>
        <w:t>a</w:t>
      </w:r>
      <w:r w:rsidRPr="00865313">
        <w:rPr>
          <w:rFonts w:ascii="Abadi" w:hAnsi="Abadi" w:cs="Verdana"/>
          <w:color w:val="1B1820"/>
          <w:spacing w:val="-1"/>
          <w:sz w:val="21"/>
          <w:szCs w:val="21"/>
        </w:rPr>
        <w:t xml:space="preserve"> </w:t>
      </w:r>
      <w:r w:rsidRPr="00865313">
        <w:rPr>
          <w:rFonts w:ascii="Abadi" w:hAnsi="Abadi" w:cs="Verdana"/>
          <w:color w:val="1B1820"/>
          <w:sz w:val="21"/>
          <w:szCs w:val="21"/>
        </w:rPr>
        <w:t>que</w:t>
      </w:r>
      <w:r w:rsidRPr="00865313">
        <w:rPr>
          <w:rFonts w:ascii="Abadi" w:hAnsi="Abadi" w:cs="Verdana"/>
          <w:color w:val="1B1820"/>
          <w:spacing w:val="-5"/>
          <w:sz w:val="21"/>
          <w:szCs w:val="21"/>
        </w:rPr>
        <w:t xml:space="preserve"> </w:t>
      </w:r>
      <w:r w:rsidRPr="00865313">
        <w:rPr>
          <w:rFonts w:ascii="Abadi" w:hAnsi="Abadi" w:cs="Verdana"/>
          <w:color w:val="1B1820"/>
          <w:sz w:val="21"/>
          <w:szCs w:val="21"/>
        </w:rPr>
        <w:t>se</w:t>
      </w:r>
      <w:r w:rsidRPr="00865313">
        <w:rPr>
          <w:rFonts w:ascii="Abadi" w:hAnsi="Abadi" w:cs="Verdana"/>
          <w:color w:val="1B1820"/>
          <w:spacing w:val="-3"/>
          <w:sz w:val="21"/>
          <w:szCs w:val="21"/>
        </w:rPr>
        <w:t xml:space="preserve"> </w:t>
      </w:r>
      <w:r w:rsidRPr="00865313">
        <w:rPr>
          <w:rFonts w:ascii="Abadi" w:hAnsi="Abadi" w:cs="Verdana"/>
          <w:color w:val="1B1820"/>
          <w:sz w:val="21"/>
          <w:szCs w:val="21"/>
        </w:rPr>
        <w:t>refiere</w:t>
      </w:r>
      <w:r w:rsidRPr="00865313">
        <w:rPr>
          <w:rFonts w:ascii="Abadi" w:hAnsi="Abadi" w:cs="Verdana"/>
          <w:color w:val="1B1820"/>
          <w:spacing w:val="-5"/>
          <w:sz w:val="21"/>
          <w:szCs w:val="21"/>
        </w:rPr>
        <w:t xml:space="preserve"> </w:t>
      </w:r>
      <w:r w:rsidRPr="00865313">
        <w:rPr>
          <w:rFonts w:ascii="Abadi" w:hAnsi="Abadi" w:cs="Verdana"/>
          <w:color w:val="1B1820"/>
          <w:sz w:val="21"/>
          <w:szCs w:val="21"/>
        </w:rPr>
        <w:t>la</w:t>
      </w:r>
      <w:r w:rsidRPr="00865313">
        <w:rPr>
          <w:rFonts w:ascii="Abadi" w:hAnsi="Abadi" w:cs="Verdana"/>
          <w:color w:val="1B1820"/>
          <w:spacing w:val="1"/>
          <w:sz w:val="21"/>
          <w:szCs w:val="21"/>
        </w:rPr>
        <w:t xml:space="preserve"> </w:t>
      </w:r>
      <w:r w:rsidRPr="00865313">
        <w:rPr>
          <w:rFonts w:ascii="Abadi" w:hAnsi="Abadi" w:cs="Verdana"/>
          <w:color w:val="1B1820"/>
          <w:sz w:val="21"/>
          <w:szCs w:val="21"/>
        </w:rPr>
        <w:t>fracción</w:t>
      </w:r>
      <w:r w:rsidRPr="00865313">
        <w:rPr>
          <w:rFonts w:ascii="Abadi" w:hAnsi="Abadi" w:cs="Verdana"/>
          <w:color w:val="1B1820"/>
          <w:spacing w:val="-7"/>
          <w:sz w:val="21"/>
          <w:szCs w:val="21"/>
        </w:rPr>
        <w:t xml:space="preserve"> </w:t>
      </w:r>
      <w:r w:rsidRPr="00865313">
        <w:rPr>
          <w:rFonts w:ascii="Abadi" w:hAnsi="Abadi" w:cs="Verdana"/>
          <w:color w:val="1B1820"/>
          <w:sz w:val="21"/>
          <w:szCs w:val="21"/>
        </w:rPr>
        <w:t>V</w:t>
      </w:r>
      <w:r w:rsidRPr="00865313">
        <w:rPr>
          <w:rFonts w:ascii="Abadi" w:hAnsi="Abadi" w:cs="Verdana"/>
          <w:color w:val="1B1820"/>
          <w:spacing w:val="3"/>
          <w:sz w:val="21"/>
          <w:szCs w:val="21"/>
        </w:rPr>
        <w:t xml:space="preserve"> </w:t>
      </w:r>
      <w:r w:rsidRPr="00865313">
        <w:rPr>
          <w:rFonts w:ascii="Abadi" w:hAnsi="Abadi" w:cs="Verdana"/>
          <w:color w:val="1B1820"/>
          <w:sz w:val="21"/>
          <w:szCs w:val="21"/>
        </w:rPr>
        <w:t>del</w:t>
      </w:r>
      <w:r w:rsidRPr="00865313">
        <w:rPr>
          <w:rFonts w:ascii="Abadi" w:hAnsi="Abadi" w:cs="Verdana"/>
          <w:color w:val="1B1820"/>
          <w:spacing w:val="-3"/>
          <w:sz w:val="21"/>
          <w:szCs w:val="21"/>
        </w:rPr>
        <w:t xml:space="preserve"> </w:t>
      </w:r>
      <w:r w:rsidRPr="00865313">
        <w:rPr>
          <w:rFonts w:ascii="Abadi" w:hAnsi="Abadi" w:cs="Verdana"/>
          <w:color w:val="1B1820"/>
          <w:sz w:val="21"/>
          <w:szCs w:val="21"/>
        </w:rPr>
        <w:t>artículo</w:t>
      </w:r>
      <w:r w:rsidRPr="00865313">
        <w:rPr>
          <w:rFonts w:ascii="Abadi" w:hAnsi="Abadi" w:cs="Verdana"/>
          <w:color w:val="1B1820"/>
          <w:spacing w:val="-4"/>
          <w:sz w:val="21"/>
          <w:szCs w:val="21"/>
        </w:rPr>
        <w:t xml:space="preserve"> </w:t>
      </w:r>
      <w:r w:rsidRPr="00865313">
        <w:rPr>
          <w:rFonts w:ascii="Abadi" w:hAnsi="Abadi" w:cs="Verdana"/>
          <w:color w:val="1B1820"/>
          <w:sz w:val="21"/>
          <w:szCs w:val="21"/>
        </w:rPr>
        <w:t>159</w:t>
      </w:r>
      <w:r w:rsidRPr="00865313">
        <w:rPr>
          <w:rFonts w:ascii="Abadi" w:hAnsi="Abadi" w:cs="Verdana"/>
          <w:color w:val="1B1820"/>
          <w:spacing w:val="-4"/>
          <w:sz w:val="21"/>
          <w:szCs w:val="21"/>
        </w:rPr>
        <w:t xml:space="preserve"> </w:t>
      </w:r>
      <w:r w:rsidRPr="00865313">
        <w:rPr>
          <w:rFonts w:ascii="Abadi" w:hAnsi="Abadi" w:cs="Verdana"/>
          <w:color w:val="1B1820"/>
          <w:sz w:val="21"/>
          <w:szCs w:val="21"/>
        </w:rPr>
        <w:t>Bis</w:t>
      </w:r>
      <w:r w:rsidRPr="00865313">
        <w:rPr>
          <w:rFonts w:ascii="Abadi" w:hAnsi="Abadi" w:cs="Verdana"/>
          <w:color w:val="1B1820"/>
          <w:spacing w:val="-5"/>
          <w:sz w:val="21"/>
          <w:szCs w:val="21"/>
        </w:rPr>
        <w:t xml:space="preserve"> </w:t>
      </w:r>
      <w:r w:rsidRPr="00865313">
        <w:rPr>
          <w:rFonts w:ascii="Abadi" w:hAnsi="Abadi" w:cs="Verdana"/>
          <w:color w:val="1B1820"/>
          <w:sz w:val="21"/>
          <w:szCs w:val="21"/>
        </w:rPr>
        <w:t>de</w:t>
      </w:r>
      <w:r w:rsidRPr="00865313">
        <w:rPr>
          <w:rFonts w:ascii="Abadi" w:hAnsi="Abadi" w:cs="Verdana"/>
          <w:color w:val="1B1820"/>
          <w:spacing w:val="-15"/>
          <w:sz w:val="21"/>
          <w:szCs w:val="21"/>
        </w:rPr>
        <w:t xml:space="preserve"> </w:t>
      </w:r>
      <w:r w:rsidRPr="00865313">
        <w:rPr>
          <w:rFonts w:ascii="Abadi" w:hAnsi="Abadi" w:cs="Verdana"/>
          <w:color w:val="1B1820"/>
          <w:sz w:val="21"/>
          <w:szCs w:val="21"/>
        </w:rPr>
        <w:t>la</w:t>
      </w:r>
      <w:r w:rsidRPr="00865313">
        <w:rPr>
          <w:rFonts w:ascii="Abadi" w:hAnsi="Abadi" w:cs="Verdana"/>
          <w:color w:val="1B1820"/>
          <w:spacing w:val="2"/>
          <w:sz w:val="21"/>
          <w:szCs w:val="21"/>
        </w:rPr>
        <w:t xml:space="preserve"> </w:t>
      </w:r>
      <w:r w:rsidRPr="00865313">
        <w:rPr>
          <w:rFonts w:ascii="Abadi" w:hAnsi="Abadi" w:cs="Verdana"/>
          <w:color w:val="1B1820"/>
          <w:sz w:val="21"/>
          <w:szCs w:val="21"/>
        </w:rPr>
        <w:t>Ley</w:t>
      </w:r>
      <w:r w:rsidRPr="00865313">
        <w:rPr>
          <w:rFonts w:ascii="Abadi" w:hAnsi="Abadi" w:cs="Verdana"/>
          <w:color w:val="1B1820"/>
          <w:spacing w:val="-9"/>
          <w:sz w:val="21"/>
          <w:szCs w:val="21"/>
        </w:rPr>
        <w:t xml:space="preserve"> </w:t>
      </w:r>
      <w:r w:rsidRPr="00865313">
        <w:rPr>
          <w:rFonts w:ascii="Abadi" w:hAnsi="Abadi" w:cs="Verdana"/>
          <w:color w:val="1B1820"/>
          <w:sz w:val="21"/>
          <w:szCs w:val="21"/>
        </w:rPr>
        <w:t>citada.</w:t>
      </w:r>
    </w:p>
    <w:p w14:paraId="3C9F9194" w14:textId="77777777" w:rsidR="00A7016E" w:rsidRPr="00865313" w:rsidRDefault="00A7016E" w:rsidP="00A7016E">
      <w:pPr>
        <w:numPr>
          <w:ilvl w:val="0"/>
          <w:numId w:val="51"/>
        </w:numPr>
        <w:tabs>
          <w:tab w:val="left" w:pos="470"/>
        </w:tabs>
        <w:kinsoku w:val="0"/>
        <w:overflowPunct w:val="0"/>
        <w:autoSpaceDE w:val="0"/>
        <w:autoSpaceDN w:val="0"/>
        <w:adjustRightInd w:val="0"/>
        <w:spacing w:before="268" w:line="218" w:lineRule="auto"/>
        <w:ind w:left="476" w:right="147" w:hanging="359"/>
        <w:jc w:val="both"/>
        <w:rPr>
          <w:rFonts w:ascii="Abadi" w:hAnsi="Abadi" w:cs="Calibri"/>
          <w:color w:val="1C1B21"/>
          <w:sz w:val="21"/>
          <w:szCs w:val="21"/>
        </w:rPr>
      </w:pPr>
      <w:r w:rsidRPr="00865313">
        <w:rPr>
          <w:rFonts w:ascii="Abadi" w:hAnsi="Abadi" w:cs="Verdana"/>
          <w:color w:val="1A1820"/>
          <w:sz w:val="21"/>
          <w:szCs w:val="21"/>
        </w:rPr>
        <w:t>Original</w:t>
      </w:r>
      <w:r w:rsidRPr="00865313">
        <w:rPr>
          <w:rFonts w:ascii="Abadi" w:hAnsi="Abadi" w:cs="Verdana"/>
          <w:color w:val="1A1820"/>
          <w:spacing w:val="37"/>
          <w:sz w:val="21"/>
          <w:szCs w:val="21"/>
        </w:rPr>
        <w:t xml:space="preserve"> </w:t>
      </w:r>
      <w:r w:rsidRPr="00865313">
        <w:rPr>
          <w:rFonts w:ascii="Abadi" w:hAnsi="Abadi" w:cs="Verdana"/>
          <w:color w:val="1A1820"/>
          <w:sz w:val="21"/>
          <w:szCs w:val="21"/>
        </w:rPr>
        <w:t>de</w:t>
      </w:r>
      <w:r w:rsidRPr="00865313">
        <w:rPr>
          <w:rFonts w:ascii="Abadi" w:hAnsi="Abadi" w:cs="Verdana"/>
          <w:color w:val="1A1820"/>
          <w:spacing w:val="36"/>
          <w:sz w:val="21"/>
          <w:szCs w:val="21"/>
        </w:rPr>
        <w:t xml:space="preserve"> </w:t>
      </w:r>
      <w:r w:rsidRPr="00865313">
        <w:rPr>
          <w:rFonts w:ascii="Abadi" w:hAnsi="Abadi" w:cs="Calibri"/>
          <w:b/>
          <w:bCs/>
          <w:color w:val="1A1820"/>
          <w:sz w:val="21"/>
          <w:szCs w:val="21"/>
        </w:rPr>
        <w:t>escrito</w:t>
      </w:r>
      <w:r w:rsidRPr="00865313">
        <w:rPr>
          <w:rFonts w:ascii="Abadi" w:hAnsi="Abadi" w:cs="Calibri"/>
          <w:b/>
          <w:bCs/>
          <w:color w:val="1A1820"/>
          <w:spacing w:val="49"/>
          <w:sz w:val="21"/>
          <w:szCs w:val="21"/>
        </w:rPr>
        <w:t xml:space="preserve"> </w:t>
      </w:r>
      <w:r w:rsidRPr="00865313">
        <w:rPr>
          <w:rFonts w:ascii="Abadi" w:hAnsi="Abadi" w:cs="Calibri"/>
          <w:b/>
          <w:bCs/>
          <w:color w:val="1A1820"/>
          <w:sz w:val="21"/>
          <w:szCs w:val="21"/>
        </w:rPr>
        <w:t>firmado</w:t>
      </w:r>
      <w:r w:rsidRPr="00865313">
        <w:rPr>
          <w:rFonts w:ascii="Abadi" w:hAnsi="Abadi" w:cs="Calibri"/>
          <w:b/>
          <w:bCs/>
          <w:color w:val="1A1820"/>
          <w:spacing w:val="52"/>
          <w:sz w:val="21"/>
          <w:szCs w:val="21"/>
        </w:rPr>
        <w:t xml:space="preserve"> </w:t>
      </w:r>
      <w:r w:rsidRPr="00865313">
        <w:rPr>
          <w:rFonts w:ascii="Abadi" w:hAnsi="Abadi" w:cs="Calibri"/>
          <w:b/>
          <w:bCs/>
          <w:color w:val="1A1820"/>
          <w:sz w:val="21"/>
          <w:szCs w:val="21"/>
        </w:rPr>
        <w:t>en</w:t>
      </w:r>
      <w:r w:rsidRPr="00865313">
        <w:rPr>
          <w:rFonts w:ascii="Abadi" w:hAnsi="Abadi" w:cs="Calibri"/>
          <w:b/>
          <w:bCs/>
          <w:color w:val="1A1820"/>
          <w:spacing w:val="48"/>
          <w:sz w:val="21"/>
          <w:szCs w:val="21"/>
        </w:rPr>
        <w:t xml:space="preserve"> </w:t>
      </w:r>
      <w:r w:rsidRPr="00865313">
        <w:rPr>
          <w:rFonts w:ascii="Abadi" w:hAnsi="Abadi" w:cs="Calibri"/>
          <w:b/>
          <w:bCs/>
          <w:color w:val="1A1820"/>
          <w:sz w:val="21"/>
          <w:szCs w:val="21"/>
        </w:rPr>
        <w:t>el</w:t>
      </w:r>
      <w:r w:rsidRPr="00865313">
        <w:rPr>
          <w:rFonts w:ascii="Abadi" w:hAnsi="Abadi" w:cs="Calibri"/>
          <w:b/>
          <w:bCs/>
          <w:color w:val="1A1820"/>
          <w:spacing w:val="5"/>
          <w:sz w:val="21"/>
          <w:szCs w:val="21"/>
        </w:rPr>
        <w:t xml:space="preserve"> </w:t>
      </w:r>
      <w:r w:rsidRPr="00865313">
        <w:rPr>
          <w:rFonts w:ascii="Abadi" w:hAnsi="Abadi" w:cs="Calibri"/>
          <w:b/>
          <w:bCs/>
          <w:color w:val="1A1820"/>
          <w:sz w:val="21"/>
          <w:szCs w:val="21"/>
        </w:rPr>
        <w:t>que</w:t>
      </w:r>
      <w:r w:rsidRPr="00865313">
        <w:rPr>
          <w:rFonts w:ascii="Abadi" w:hAnsi="Abadi" w:cs="Calibri"/>
          <w:b/>
          <w:bCs/>
          <w:color w:val="1A1820"/>
          <w:spacing w:val="52"/>
          <w:sz w:val="21"/>
          <w:szCs w:val="21"/>
        </w:rPr>
        <w:t xml:space="preserve"> </w:t>
      </w:r>
      <w:r w:rsidRPr="00865313">
        <w:rPr>
          <w:rFonts w:ascii="Abadi" w:hAnsi="Abadi" w:cs="Calibri"/>
          <w:b/>
          <w:bCs/>
          <w:color w:val="1A1820"/>
          <w:sz w:val="21"/>
          <w:szCs w:val="21"/>
        </w:rPr>
        <w:t>se</w:t>
      </w:r>
      <w:r w:rsidRPr="00865313">
        <w:rPr>
          <w:rFonts w:ascii="Abadi" w:hAnsi="Abadi" w:cs="Calibri"/>
          <w:b/>
          <w:bCs/>
          <w:color w:val="1A1820"/>
          <w:spacing w:val="54"/>
          <w:sz w:val="21"/>
          <w:szCs w:val="21"/>
        </w:rPr>
        <w:t xml:space="preserve"> </w:t>
      </w:r>
      <w:r w:rsidRPr="00865313">
        <w:rPr>
          <w:rFonts w:ascii="Abadi" w:hAnsi="Abadi" w:cs="Calibri"/>
          <w:b/>
          <w:bCs/>
          <w:color w:val="1A1820"/>
          <w:sz w:val="21"/>
          <w:szCs w:val="21"/>
        </w:rPr>
        <w:t>manifieste</w:t>
      </w:r>
      <w:r w:rsidRPr="00865313">
        <w:rPr>
          <w:rFonts w:ascii="Abadi" w:hAnsi="Abadi" w:cs="Calibri"/>
          <w:b/>
          <w:bCs/>
          <w:color w:val="1A1820"/>
          <w:spacing w:val="52"/>
          <w:sz w:val="21"/>
          <w:szCs w:val="21"/>
        </w:rPr>
        <w:t xml:space="preserve"> </w:t>
      </w:r>
      <w:r w:rsidRPr="00865313">
        <w:rPr>
          <w:rFonts w:ascii="Abadi" w:hAnsi="Abadi" w:cs="Calibri"/>
          <w:b/>
          <w:bCs/>
          <w:color w:val="1A1820"/>
          <w:sz w:val="21"/>
          <w:szCs w:val="21"/>
        </w:rPr>
        <w:t>no</w:t>
      </w:r>
      <w:r w:rsidRPr="00865313">
        <w:rPr>
          <w:rFonts w:ascii="Abadi" w:hAnsi="Abadi" w:cs="Calibri"/>
          <w:b/>
          <w:bCs/>
          <w:color w:val="1A1820"/>
          <w:spacing w:val="51"/>
          <w:sz w:val="21"/>
          <w:szCs w:val="21"/>
        </w:rPr>
        <w:t xml:space="preserve"> </w:t>
      </w:r>
      <w:r w:rsidRPr="00865313">
        <w:rPr>
          <w:rFonts w:ascii="Abadi" w:hAnsi="Abadi" w:cs="Calibri"/>
          <w:b/>
          <w:bCs/>
          <w:color w:val="1A1820"/>
          <w:sz w:val="21"/>
          <w:szCs w:val="21"/>
        </w:rPr>
        <w:t>ser</w:t>
      </w:r>
      <w:r w:rsidRPr="00865313">
        <w:rPr>
          <w:rFonts w:ascii="Abadi" w:hAnsi="Abadi" w:cs="Calibri"/>
          <w:b/>
          <w:bCs/>
          <w:color w:val="1A1820"/>
          <w:spacing w:val="51"/>
          <w:sz w:val="21"/>
          <w:szCs w:val="21"/>
        </w:rPr>
        <w:t xml:space="preserve"> </w:t>
      </w:r>
      <w:r w:rsidRPr="00865313">
        <w:rPr>
          <w:rFonts w:ascii="Abadi" w:hAnsi="Abadi" w:cs="Calibri"/>
          <w:b/>
          <w:bCs/>
          <w:color w:val="1A1820"/>
          <w:sz w:val="21"/>
          <w:szCs w:val="21"/>
        </w:rPr>
        <w:t>o haber sido</w:t>
      </w:r>
      <w:r w:rsidRPr="00865313">
        <w:rPr>
          <w:rFonts w:ascii="Abadi" w:hAnsi="Abadi" w:cs="Calibri"/>
          <w:b/>
          <w:bCs/>
          <w:color w:val="1A1820"/>
          <w:spacing w:val="52"/>
          <w:sz w:val="21"/>
          <w:szCs w:val="21"/>
        </w:rPr>
        <w:t xml:space="preserve"> </w:t>
      </w:r>
      <w:r w:rsidRPr="00865313">
        <w:rPr>
          <w:rFonts w:ascii="Abadi" w:hAnsi="Abadi" w:cs="Calibri"/>
          <w:b/>
          <w:bCs/>
          <w:color w:val="1A1820"/>
          <w:sz w:val="21"/>
          <w:szCs w:val="21"/>
        </w:rPr>
        <w:t>dirigente</w:t>
      </w:r>
      <w:r w:rsidRPr="00865313">
        <w:rPr>
          <w:rFonts w:ascii="Abadi" w:hAnsi="Abadi" w:cs="Calibri"/>
          <w:b/>
          <w:bCs/>
          <w:color w:val="1A1820"/>
          <w:spacing w:val="49"/>
          <w:sz w:val="21"/>
          <w:szCs w:val="21"/>
        </w:rPr>
        <w:t xml:space="preserve"> </w:t>
      </w:r>
      <w:r w:rsidRPr="00865313">
        <w:rPr>
          <w:rFonts w:ascii="Abadi" w:hAnsi="Abadi" w:cs="Calibri"/>
          <w:b/>
          <w:bCs/>
          <w:color w:val="1A1820"/>
          <w:sz w:val="21"/>
          <w:szCs w:val="21"/>
        </w:rPr>
        <w:t>de</w:t>
      </w:r>
      <w:r w:rsidRPr="00865313">
        <w:rPr>
          <w:rFonts w:ascii="Abadi" w:hAnsi="Abadi" w:cs="Calibri"/>
          <w:b/>
          <w:bCs/>
          <w:color w:val="1A1820"/>
          <w:spacing w:val="-6"/>
          <w:sz w:val="21"/>
          <w:szCs w:val="21"/>
        </w:rPr>
        <w:t xml:space="preserve"> </w:t>
      </w:r>
      <w:r w:rsidRPr="00865313">
        <w:rPr>
          <w:rFonts w:ascii="Abadi" w:hAnsi="Abadi" w:cs="Calibri"/>
          <w:b/>
          <w:bCs/>
          <w:color w:val="1A1820"/>
          <w:sz w:val="21"/>
          <w:szCs w:val="21"/>
        </w:rPr>
        <w:t>partido</w:t>
      </w:r>
      <w:r w:rsidRPr="00865313">
        <w:rPr>
          <w:rFonts w:ascii="Abadi" w:hAnsi="Abadi" w:cs="Calibri"/>
          <w:b/>
          <w:bCs/>
          <w:color w:val="1A1820"/>
          <w:spacing w:val="21"/>
          <w:sz w:val="21"/>
          <w:szCs w:val="21"/>
        </w:rPr>
        <w:t xml:space="preserve"> </w:t>
      </w:r>
      <w:r w:rsidRPr="00865313">
        <w:rPr>
          <w:rFonts w:ascii="Abadi" w:hAnsi="Abadi" w:cs="Calibri"/>
          <w:b/>
          <w:bCs/>
          <w:color w:val="1A1820"/>
          <w:sz w:val="21"/>
          <w:szCs w:val="21"/>
        </w:rPr>
        <w:t>o</w:t>
      </w:r>
      <w:r w:rsidRPr="00865313">
        <w:rPr>
          <w:rFonts w:ascii="Abadi" w:hAnsi="Abadi" w:cs="Calibri"/>
          <w:b/>
          <w:bCs/>
          <w:color w:val="1A1820"/>
          <w:spacing w:val="22"/>
          <w:sz w:val="21"/>
          <w:szCs w:val="21"/>
        </w:rPr>
        <w:t xml:space="preserve"> </w:t>
      </w:r>
      <w:r w:rsidRPr="00865313">
        <w:rPr>
          <w:rFonts w:ascii="Abadi" w:hAnsi="Abadi" w:cs="Calibri"/>
          <w:b/>
          <w:bCs/>
          <w:color w:val="1A1820"/>
          <w:sz w:val="21"/>
          <w:szCs w:val="21"/>
        </w:rPr>
        <w:t>asociación</w:t>
      </w:r>
      <w:r w:rsidRPr="00865313">
        <w:rPr>
          <w:rFonts w:ascii="Abadi" w:hAnsi="Abadi" w:cs="Calibri"/>
          <w:b/>
          <w:bCs/>
          <w:color w:val="1A1820"/>
          <w:spacing w:val="24"/>
          <w:sz w:val="21"/>
          <w:szCs w:val="21"/>
        </w:rPr>
        <w:t xml:space="preserve"> </w:t>
      </w:r>
      <w:r w:rsidRPr="00865313">
        <w:rPr>
          <w:rFonts w:ascii="Abadi" w:hAnsi="Abadi" w:cs="Calibri"/>
          <w:b/>
          <w:bCs/>
          <w:color w:val="1A1820"/>
          <w:sz w:val="21"/>
          <w:szCs w:val="21"/>
        </w:rPr>
        <w:t>política</w:t>
      </w:r>
      <w:r w:rsidRPr="00865313">
        <w:rPr>
          <w:rFonts w:ascii="Abadi" w:hAnsi="Abadi" w:cs="Calibri"/>
          <w:b/>
          <w:bCs/>
          <w:color w:val="1A1820"/>
          <w:spacing w:val="20"/>
          <w:sz w:val="21"/>
          <w:szCs w:val="21"/>
        </w:rPr>
        <w:t xml:space="preserve"> </w:t>
      </w:r>
      <w:r w:rsidRPr="00865313">
        <w:rPr>
          <w:rFonts w:ascii="Abadi" w:hAnsi="Abadi" w:cs="Verdana"/>
          <w:color w:val="1A1820"/>
          <w:sz w:val="21"/>
          <w:szCs w:val="21"/>
        </w:rPr>
        <w:t>a</w:t>
      </w:r>
      <w:r w:rsidRPr="00865313">
        <w:rPr>
          <w:rFonts w:ascii="Abadi" w:hAnsi="Abadi" w:cs="Verdana"/>
          <w:color w:val="1A1820"/>
          <w:spacing w:val="-11"/>
          <w:sz w:val="21"/>
          <w:szCs w:val="21"/>
        </w:rPr>
        <w:t xml:space="preserve"> </w:t>
      </w:r>
      <w:r w:rsidRPr="00865313">
        <w:rPr>
          <w:rFonts w:ascii="Abadi" w:hAnsi="Abadi" w:cs="Verdana"/>
          <w:color w:val="1A1820"/>
          <w:sz w:val="21"/>
          <w:szCs w:val="21"/>
        </w:rPr>
        <w:t>nivel</w:t>
      </w:r>
      <w:r w:rsidRPr="00865313">
        <w:rPr>
          <w:rFonts w:ascii="Abadi" w:hAnsi="Abadi" w:cs="Verdana"/>
          <w:color w:val="1A1820"/>
          <w:spacing w:val="5"/>
          <w:sz w:val="21"/>
          <w:szCs w:val="21"/>
        </w:rPr>
        <w:t xml:space="preserve"> </w:t>
      </w:r>
      <w:r w:rsidRPr="00865313">
        <w:rPr>
          <w:rFonts w:ascii="Abadi" w:hAnsi="Abadi" w:cs="Verdana"/>
          <w:color w:val="1A1820"/>
          <w:sz w:val="21"/>
          <w:szCs w:val="21"/>
        </w:rPr>
        <w:t>nacional,</w:t>
      </w:r>
      <w:r w:rsidRPr="00865313">
        <w:rPr>
          <w:rFonts w:ascii="Abadi" w:hAnsi="Abadi" w:cs="Verdana"/>
          <w:color w:val="1A1820"/>
          <w:spacing w:val="19"/>
          <w:sz w:val="21"/>
          <w:szCs w:val="21"/>
        </w:rPr>
        <w:t xml:space="preserve"> </w:t>
      </w:r>
      <w:r w:rsidRPr="00865313">
        <w:rPr>
          <w:rFonts w:ascii="Abadi" w:hAnsi="Abadi" w:cs="Verdana"/>
          <w:color w:val="1A1820"/>
          <w:sz w:val="21"/>
          <w:szCs w:val="21"/>
        </w:rPr>
        <w:t>estatal</w:t>
      </w:r>
      <w:r w:rsidRPr="00865313">
        <w:rPr>
          <w:rFonts w:ascii="Abadi" w:hAnsi="Abadi" w:cs="Verdana"/>
          <w:color w:val="1A1820"/>
          <w:spacing w:val="-4"/>
          <w:sz w:val="21"/>
          <w:szCs w:val="21"/>
        </w:rPr>
        <w:t xml:space="preserve"> </w:t>
      </w:r>
      <w:r w:rsidRPr="00865313">
        <w:rPr>
          <w:rFonts w:ascii="Abadi" w:hAnsi="Abadi" w:cs="Verdana"/>
          <w:color w:val="1A1820"/>
          <w:sz w:val="21"/>
          <w:szCs w:val="21"/>
        </w:rPr>
        <w:t>o</w:t>
      </w:r>
      <w:r w:rsidRPr="00865313">
        <w:rPr>
          <w:rFonts w:ascii="Abadi" w:hAnsi="Abadi" w:cs="Verdana"/>
          <w:color w:val="1A1820"/>
          <w:spacing w:val="-1"/>
          <w:sz w:val="21"/>
          <w:szCs w:val="21"/>
        </w:rPr>
        <w:t xml:space="preserve"> </w:t>
      </w:r>
      <w:r w:rsidRPr="00865313">
        <w:rPr>
          <w:rFonts w:ascii="Abadi" w:hAnsi="Abadi" w:cs="Verdana"/>
          <w:color w:val="1A1820"/>
          <w:sz w:val="21"/>
          <w:szCs w:val="21"/>
        </w:rPr>
        <w:t>municipal</w:t>
      </w:r>
      <w:r w:rsidRPr="00865313">
        <w:rPr>
          <w:rFonts w:ascii="Abadi" w:hAnsi="Abadi" w:cs="Verdana"/>
          <w:color w:val="1A1820"/>
          <w:spacing w:val="-1"/>
          <w:sz w:val="21"/>
          <w:szCs w:val="21"/>
        </w:rPr>
        <w:t xml:space="preserve"> </w:t>
      </w:r>
      <w:r w:rsidRPr="00865313">
        <w:rPr>
          <w:rFonts w:ascii="Abadi" w:hAnsi="Abadi" w:cs="Verdana"/>
          <w:color w:val="1A1820"/>
          <w:sz w:val="21"/>
          <w:szCs w:val="21"/>
        </w:rPr>
        <w:t>o</w:t>
      </w:r>
      <w:r w:rsidRPr="00865313">
        <w:rPr>
          <w:rFonts w:ascii="Abadi" w:hAnsi="Abadi" w:cs="Verdana"/>
          <w:color w:val="1A1820"/>
          <w:spacing w:val="-2"/>
          <w:sz w:val="21"/>
          <w:szCs w:val="21"/>
        </w:rPr>
        <w:t xml:space="preserve"> </w:t>
      </w:r>
      <w:r w:rsidRPr="00865313">
        <w:rPr>
          <w:rFonts w:ascii="Abadi" w:hAnsi="Abadi" w:cs="Verdana"/>
          <w:color w:val="1A1820"/>
          <w:sz w:val="21"/>
          <w:szCs w:val="21"/>
        </w:rPr>
        <w:t>candidato</w:t>
      </w:r>
      <w:r w:rsidRPr="00865313">
        <w:rPr>
          <w:rFonts w:ascii="Abadi" w:hAnsi="Abadi" w:cs="Verdana"/>
          <w:color w:val="1A1820"/>
          <w:spacing w:val="4"/>
          <w:sz w:val="21"/>
          <w:szCs w:val="21"/>
        </w:rPr>
        <w:t xml:space="preserve"> </w:t>
      </w:r>
      <w:r w:rsidRPr="00865313">
        <w:rPr>
          <w:rFonts w:ascii="Abadi" w:hAnsi="Abadi" w:cs="Verdana"/>
          <w:color w:val="1A1820"/>
          <w:sz w:val="21"/>
          <w:szCs w:val="21"/>
        </w:rPr>
        <w:t>a</w:t>
      </w:r>
      <w:r w:rsidRPr="00865313">
        <w:rPr>
          <w:rFonts w:ascii="Abadi" w:hAnsi="Abadi" w:cs="Verdana"/>
          <w:color w:val="1A1820"/>
          <w:spacing w:val="-8"/>
          <w:sz w:val="21"/>
          <w:szCs w:val="21"/>
        </w:rPr>
        <w:t xml:space="preserve"> </w:t>
      </w:r>
      <w:r w:rsidRPr="00865313">
        <w:rPr>
          <w:rFonts w:ascii="Abadi" w:hAnsi="Abadi" w:cs="Verdana"/>
          <w:color w:val="1A1820"/>
          <w:sz w:val="21"/>
          <w:szCs w:val="21"/>
        </w:rPr>
        <w:t>puesto</w:t>
      </w:r>
      <w:r w:rsidRPr="00865313">
        <w:rPr>
          <w:rFonts w:ascii="Abadi" w:hAnsi="Abadi" w:cs="Verdana"/>
          <w:color w:val="1A1820"/>
          <w:spacing w:val="-5"/>
          <w:sz w:val="21"/>
          <w:szCs w:val="21"/>
        </w:rPr>
        <w:t xml:space="preserve"> </w:t>
      </w:r>
      <w:r w:rsidRPr="00865313">
        <w:rPr>
          <w:rFonts w:ascii="Abadi" w:hAnsi="Abadi" w:cs="Verdana"/>
          <w:color w:val="1A1820"/>
          <w:sz w:val="21"/>
          <w:szCs w:val="21"/>
        </w:rPr>
        <w:t>de</w:t>
      </w:r>
      <w:r w:rsidRPr="00865313">
        <w:rPr>
          <w:rFonts w:ascii="Abadi" w:hAnsi="Abadi" w:cs="Verdana"/>
          <w:color w:val="1A1820"/>
          <w:spacing w:val="-6"/>
          <w:sz w:val="21"/>
          <w:szCs w:val="21"/>
        </w:rPr>
        <w:t xml:space="preserve"> </w:t>
      </w:r>
      <w:r w:rsidRPr="00865313">
        <w:rPr>
          <w:rFonts w:ascii="Abadi" w:hAnsi="Abadi" w:cs="Verdana"/>
          <w:color w:val="1A1820"/>
          <w:sz w:val="21"/>
          <w:szCs w:val="21"/>
        </w:rPr>
        <w:t>elección</w:t>
      </w:r>
      <w:r w:rsidRPr="00865313">
        <w:rPr>
          <w:rFonts w:ascii="Abadi" w:hAnsi="Abadi" w:cs="Verdana"/>
          <w:color w:val="1A1820"/>
          <w:spacing w:val="22"/>
          <w:sz w:val="21"/>
          <w:szCs w:val="21"/>
        </w:rPr>
        <w:t xml:space="preserve"> </w:t>
      </w:r>
      <w:r w:rsidRPr="00865313">
        <w:rPr>
          <w:rFonts w:ascii="Abadi" w:hAnsi="Abadi" w:cs="Verdana"/>
          <w:color w:val="1A1820"/>
          <w:sz w:val="21"/>
          <w:szCs w:val="21"/>
        </w:rPr>
        <w:t>popular,</w:t>
      </w:r>
      <w:r w:rsidRPr="00865313">
        <w:rPr>
          <w:rFonts w:ascii="Abadi" w:hAnsi="Abadi" w:cs="Verdana"/>
          <w:color w:val="1A1820"/>
          <w:spacing w:val="32"/>
          <w:sz w:val="21"/>
          <w:szCs w:val="21"/>
        </w:rPr>
        <w:t xml:space="preserve"> </w:t>
      </w:r>
      <w:r w:rsidRPr="00865313">
        <w:rPr>
          <w:rFonts w:ascii="Abadi" w:hAnsi="Abadi" w:cs="Verdana"/>
          <w:color w:val="1A1820"/>
          <w:sz w:val="21"/>
          <w:szCs w:val="21"/>
        </w:rPr>
        <w:t>ni</w:t>
      </w:r>
      <w:r w:rsidRPr="00865313">
        <w:rPr>
          <w:rFonts w:ascii="Abadi" w:hAnsi="Abadi" w:cs="Verdana"/>
          <w:color w:val="1A1820"/>
          <w:spacing w:val="29"/>
          <w:sz w:val="21"/>
          <w:szCs w:val="21"/>
        </w:rPr>
        <w:t xml:space="preserve"> </w:t>
      </w:r>
      <w:r w:rsidRPr="00865313">
        <w:rPr>
          <w:rFonts w:ascii="Abadi" w:hAnsi="Abadi" w:cs="Verdana"/>
          <w:color w:val="1A1820"/>
          <w:sz w:val="21"/>
          <w:szCs w:val="21"/>
        </w:rPr>
        <w:t>ministro</w:t>
      </w:r>
      <w:r w:rsidRPr="00865313">
        <w:rPr>
          <w:rFonts w:ascii="Abadi" w:hAnsi="Abadi" w:cs="Verdana"/>
          <w:color w:val="1A1820"/>
          <w:spacing w:val="28"/>
          <w:sz w:val="21"/>
          <w:szCs w:val="21"/>
        </w:rPr>
        <w:t xml:space="preserve"> </w:t>
      </w:r>
      <w:r w:rsidRPr="00865313">
        <w:rPr>
          <w:rFonts w:ascii="Abadi" w:hAnsi="Abadi" w:cs="Verdana"/>
          <w:color w:val="1A1820"/>
          <w:sz w:val="21"/>
          <w:szCs w:val="21"/>
        </w:rPr>
        <w:t>de</w:t>
      </w:r>
      <w:r w:rsidRPr="00865313">
        <w:rPr>
          <w:rFonts w:ascii="Abadi" w:hAnsi="Abadi" w:cs="Verdana"/>
          <w:color w:val="1A1820"/>
          <w:spacing w:val="24"/>
          <w:sz w:val="21"/>
          <w:szCs w:val="21"/>
        </w:rPr>
        <w:t xml:space="preserve"> </w:t>
      </w:r>
      <w:r w:rsidRPr="00865313">
        <w:rPr>
          <w:rFonts w:ascii="Abadi" w:hAnsi="Abadi" w:cs="Verdana"/>
          <w:color w:val="1A1820"/>
          <w:sz w:val="21"/>
          <w:szCs w:val="21"/>
        </w:rPr>
        <w:t>ningún</w:t>
      </w:r>
      <w:r w:rsidRPr="00865313">
        <w:rPr>
          <w:rFonts w:ascii="Abadi" w:hAnsi="Abadi" w:cs="Verdana"/>
          <w:color w:val="1A1820"/>
          <w:spacing w:val="37"/>
          <w:sz w:val="21"/>
          <w:szCs w:val="21"/>
        </w:rPr>
        <w:t xml:space="preserve"> </w:t>
      </w:r>
      <w:r w:rsidRPr="00865313">
        <w:rPr>
          <w:rFonts w:ascii="Abadi" w:hAnsi="Abadi" w:cs="Verdana"/>
          <w:color w:val="1A1820"/>
          <w:sz w:val="21"/>
          <w:szCs w:val="21"/>
        </w:rPr>
        <w:t>culto</w:t>
      </w:r>
      <w:r w:rsidRPr="00865313">
        <w:rPr>
          <w:rFonts w:ascii="Abadi" w:hAnsi="Abadi" w:cs="Verdana"/>
          <w:color w:val="1A1820"/>
          <w:spacing w:val="32"/>
          <w:sz w:val="21"/>
          <w:szCs w:val="21"/>
        </w:rPr>
        <w:t xml:space="preserve"> </w:t>
      </w:r>
      <w:r w:rsidRPr="00865313">
        <w:rPr>
          <w:rFonts w:ascii="Abadi" w:hAnsi="Abadi" w:cs="Verdana"/>
          <w:color w:val="1A1820"/>
          <w:sz w:val="21"/>
          <w:szCs w:val="21"/>
        </w:rPr>
        <w:t>religioso,</w:t>
      </w:r>
      <w:r w:rsidRPr="00865313">
        <w:rPr>
          <w:rFonts w:ascii="Abadi" w:hAnsi="Abadi" w:cs="Verdana"/>
          <w:color w:val="1A1820"/>
          <w:spacing w:val="40"/>
          <w:sz w:val="21"/>
          <w:szCs w:val="21"/>
        </w:rPr>
        <w:t xml:space="preserve"> </w:t>
      </w:r>
      <w:r w:rsidRPr="00865313">
        <w:rPr>
          <w:rFonts w:ascii="Abadi" w:hAnsi="Abadi" w:cs="Verdana"/>
          <w:color w:val="1A1820"/>
          <w:sz w:val="21"/>
          <w:szCs w:val="21"/>
        </w:rPr>
        <w:t>en</w:t>
      </w:r>
      <w:r w:rsidRPr="00865313">
        <w:rPr>
          <w:rFonts w:ascii="Abadi" w:hAnsi="Abadi" w:cs="Verdana"/>
          <w:color w:val="1A1820"/>
          <w:spacing w:val="17"/>
          <w:sz w:val="21"/>
          <w:szCs w:val="21"/>
        </w:rPr>
        <w:t xml:space="preserve"> </w:t>
      </w:r>
      <w:r w:rsidRPr="00865313">
        <w:rPr>
          <w:rFonts w:ascii="Abadi" w:hAnsi="Abadi" w:cs="Verdana"/>
          <w:color w:val="1A1820"/>
          <w:sz w:val="21"/>
          <w:szCs w:val="21"/>
        </w:rPr>
        <w:t>los</w:t>
      </w:r>
      <w:r w:rsidRPr="00865313">
        <w:rPr>
          <w:rFonts w:ascii="Abadi" w:hAnsi="Abadi" w:cs="Verdana"/>
          <w:color w:val="1A1820"/>
          <w:spacing w:val="22"/>
          <w:sz w:val="21"/>
          <w:szCs w:val="21"/>
        </w:rPr>
        <w:t xml:space="preserve"> </w:t>
      </w:r>
      <w:r w:rsidRPr="00865313">
        <w:rPr>
          <w:rFonts w:ascii="Abadi" w:hAnsi="Abadi" w:cs="Verdana"/>
          <w:color w:val="1A1820"/>
          <w:sz w:val="21"/>
          <w:szCs w:val="21"/>
        </w:rPr>
        <w:t>tres</w:t>
      </w:r>
      <w:r w:rsidRPr="00865313">
        <w:rPr>
          <w:rFonts w:ascii="Abadi" w:hAnsi="Abadi" w:cs="Verdana"/>
          <w:color w:val="1A1820"/>
          <w:spacing w:val="22"/>
          <w:sz w:val="21"/>
          <w:szCs w:val="21"/>
        </w:rPr>
        <w:t xml:space="preserve"> </w:t>
      </w:r>
      <w:r w:rsidRPr="00865313">
        <w:rPr>
          <w:rFonts w:ascii="Abadi" w:hAnsi="Abadi" w:cs="Verdana"/>
          <w:color w:val="1A1820"/>
          <w:sz w:val="21"/>
          <w:szCs w:val="21"/>
        </w:rPr>
        <w:t>años</w:t>
      </w:r>
      <w:r w:rsidRPr="00865313">
        <w:rPr>
          <w:rFonts w:ascii="Abadi" w:hAnsi="Abadi" w:cs="Verdana"/>
          <w:color w:val="1A1820"/>
          <w:spacing w:val="17"/>
          <w:sz w:val="21"/>
          <w:szCs w:val="21"/>
        </w:rPr>
        <w:t xml:space="preserve"> </w:t>
      </w:r>
      <w:r w:rsidRPr="00865313">
        <w:rPr>
          <w:rFonts w:ascii="Abadi" w:hAnsi="Abadi" w:cs="Verdana"/>
          <w:color w:val="1A1820"/>
          <w:sz w:val="21"/>
          <w:szCs w:val="21"/>
        </w:rPr>
        <w:t>anteriores.</w:t>
      </w:r>
      <w:r w:rsidRPr="00865313">
        <w:rPr>
          <w:rFonts w:ascii="Abadi" w:hAnsi="Abadi" w:cs="Verdana"/>
          <w:color w:val="1A1820"/>
          <w:spacing w:val="34"/>
          <w:sz w:val="21"/>
          <w:szCs w:val="21"/>
        </w:rPr>
        <w:t xml:space="preserve"> </w:t>
      </w:r>
      <w:r w:rsidRPr="00865313">
        <w:rPr>
          <w:rFonts w:ascii="Abadi" w:hAnsi="Abadi" w:cs="Verdana"/>
          <w:color w:val="1A1820"/>
          <w:sz w:val="21"/>
          <w:szCs w:val="21"/>
        </w:rPr>
        <w:t>Para</w:t>
      </w:r>
      <w:r w:rsidRPr="00865313">
        <w:rPr>
          <w:rFonts w:ascii="Abadi" w:hAnsi="Abadi" w:cs="Calibri"/>
          <w:color w:val="1C1B21"/>
          <w:sz w:val="21"/>
          <w:szCs w:val="21"/>
        </w:rPr>
        <w:t xml:space="preserve"> </w:t>
      </w:r>
      <w:r w:rsidRPr="00865313">
        <w:rPr>
          <w:rFonts w:ascii="Abadi" w:hAnsi="Abadi" w:cs="Verdana"/>
          <w:color w:val="1A1820"/>
          <w:sz w:val="21"/>
          <w:szCs w:val="21"/>
        </w:rPr>
        <w:t>acreditar</w:t>
      </w:r>
      <w:r w:rsidRPr="00865313">
        <w:rPr>
          <w:rFonts w:ascii="Abadi" w:hAnsi="Abadi" w:cs="Verdana"/>
          <w:color w:val="1A1820"/>
          <w:spacing w:val="-4"/>
          <w:sz w:val="21"/>
          <w:szCs w:val="21"/>
        </w:rPr>
        <w:t xml:space="preserve"> </w:t>
      </w:r>
      <w:r w:rsidRPr="00865313">
        <w:rPr>
          <w:rFonts w:ascii="Abadi" w:hAnsi="Abadi" w:cs="Verdana"/>
          <w:color w:val="1A1820"/>
          <w:sz w:val="21"/>
          <w:szCs w:val="21"/>
        </w:rPr>
        <w:t>el requisito</w:t>
      </w:r>
      <w:r w:rsidRPr="00865313">
        <w:rPr>
          <w:rFonts w:ascii="Abadi" w:hAnsi="Abadi" w:cs="Verdana"/>
          <w:color w:val="1A1820"/>
          <w:spacing w:val="-6"/>
          <w:sz w:val="21"/>
          <w:szCs w:val="21"/>
        </w:rPr>
        <w:t xml:space="preserve"> </w:t>
      </w:r>
      <w:r w:rsidRPr="00865313">
        <w:rPr>
          <w:rFonts w:ascii="Abadi" w:hAnsi="Abadi" w:cs="Verdana"/>
          <w:color w:val="1A1820"/>
          <w:sz w:val="21"/>
          <w:szCs w:val="21"/>
        </w:rPr>
        <w:t>a</w:t>
      </w:r>
      <w:r w:rsidRPr="00865313">
        <w:rPr>
          <w:rFonts w:ascii="Abadi" w:hAnsi="Abadi" w:cs="Verdana"/>
          <w:color w:val="1A1820"/>
          <w:spacing w:val="-10"/>
          <w:sz w:val="21"/>
          <w:szCs w:val="21"/>
        </w:rPr>
        <w:t xml:space="preserve"> </w:t>
      </w:r>
      <w:r w:rsidRPr="00865313">
        <w:rPr>
          <w:rFonts w:ascii="Abadi" w:hAnsi="Abadi" w:cs="Verdana"/>
          <w:color w:val="1A1820"/>
          <w:sz w:val="21"/>
          <w:szCs w:val="21"/>
        </w:rPr>
        <w:t>que</w:t>
      </w:r>
      <w:r w:rsidRPr="00865313">
        <w:rPr>
          <w:rFonts w:ascii="Abadi" w:hAnsi="Abadi" w:cs="Verdana"/>
          <w:color w:val="1A1820"/>
          <w:spacing w:val="-9"/>
          <w:sz w:val="21"/>
          <w:szCs w:val="21"/>
        </w:rPr>
        <w:t xml:space="preserve"> </w:t>
      </w:r>
      <w:r w:rsidRPr="00865313">
        <w:rPr>
          <w:rFonts w:ascii="Abadi" w:hAnsi="Abadi" w:cs="Verdana"/>
          <w:color w:val="1A1820"/>
          <w:sz w:val="21"/>
          <w:szCs w:val="21"/>
        </w:rPr>
        <w:t>se</w:t>
      </w:r>
      <w:r w:rsidRPr="00865313">
        <w:rPr>
          <w:rFonts w:ascii="Abadi" w:hAnsi="Abadi" w:cs="Verdana"/>
          <w:color w:val="1A1820"/>
          <w:spacing w:val="-8"/>
          <w:sz w:val="21"/>
          <w:szCs w:val="21"/>
        </w:rPr>
        <w:t xml:space="preserve"> </w:t>
      </w:r>
      <w:r w:rsidRPr="00865313">
        <w:rPr>
          <w:rFonts w:ascii="Abadi" w:hAnsi="Abadi" w:cs="Verdana"/>
          <w:color w:val="1A1820"/>
          <w:sz w:val="21"/>
          <w:szCs w:val="21"/>
        </w:rPr>
        <w:t>refiere</w:t>
      </w:r>
      <w:r w:rsidRPr="00865313">
        <w:rPr>
          <w:rFonts w:ascii="Abadi" w:hAnsi="Abadi" w:cs="Verdana"/>
          <w:color w:val="1A1820"/>
          <w:spacing w:val="-10"/>
          <w:sz w:val="21"/>
          <w:szCs w:val="21"/>
        </w:rPr>
        <w:t xml:space="preserve"> </w:t>
      </w:r>
      <w:r w:rsidRPr="00865313">
        <w:rPr>
          <w:rFonts w:ascii="Abadi" w:hAnsi="Abadi" w:cs="Verdana"/>
          <w:color w:val="1A1820"/>
          <w:sz w:val="21"/>
          <w:szCs w:val="21"/>
        </w:rPr>
        <w:t>la</w:t>
      </w:r>
      <w:r w:rsidRPr="00865313">
        <w:rPr>
          <w:rFonts w:ascii="Abadi" w:hAnsi="Abadi" w:cs="Verdana"/>
          <w:color w:val="1A1820"/>
          <w:spacing w:val="-3"/>
          <w:sz w:val="21"/>
          <w:szCs w:val="21"/>
        </w:rPr>
        <w:t xml:space="preserve"> </w:t>
      </w:r>
      <w:r w:rsidRPr="00865313">
        <w:rPr>
          <w:rFonts w:ascii="Abadi" w:hAnsi="Abadi" w:cs="Verdana"/>
          <w:color w:val="1A1820"/>
          <w:sz w:val="21"/>
          <w:szCs w:val="21"/>
        </w:rPr>
        <w:t>fracción</w:t>
      </w:r>
      <w:r w:rsidRPr="00865313">
        <w:rPr>
          <w:rFonts w:ascii="Abadi" w:hAnsi="Abadi" w:cs="Verdana"/>
          <w:color w:val="1A1820"/>
          <w:spacing w:val="-6"/>
          <w:sz w:val="21"/>
          <w:szCs w:val="21"/>
        </w:rPr>
        <w:t xml:space="preserve"> </w:t>
      </w:r>
      <w:r w:rsidRPr="00865313">
        <w:rPr>
          <w:rFonts w:ascii="Abadi" w:hAnsi="Abadi" w:cs="Verdana"/>
          <w:color w:val="1A1820"/>
          <w:sz w:val="21"/>
          <w:szCs w:val="21"/>
        </w:rPr>
        <w:t>VI</w:t>
      </w:r>
      <w:r w:rsidRPr="00865313">
        <w:rPr>
          <w:rFonts w:ascii="Abadi" w:hAnsi="Abadi" w:cs="Verdana"/>
          <w:color w:val="1A1820"/>
          <w:spacing w:val="-10"/>
          <w:sz w:val="21"/>
          <w:szCs w:val="21"/>
        </w:rPr>
        <w:t xml:space="preserve"> </w:t>
      </w:r>
      <w:r w:rsidRPr="00865313">
        <w:rPr>
          <w:rFonts w:ascii="Abadi" w:hAnsi="Abadi" w:cs="Verdana"/>
          <w:color w:val="1A1820"/>
          <w:sz w:val="21"/>
          <w:szCs w:val="21"/>
        </w:rPr>
        <w:t>del</w:t>
      </w:r>
      <w:r w:rsidRPr="00865313">
        <w:rPr>
          <w:rFonts w:ascii="Abadi" w:hAnsi="Abadi" w:cs="Verdana"/>
          <w:color w:val="1A1820"/>
          <w:spacing w:val="-2"/>
          <w:sz w:val="21"/>
          <w:szCs w:val="21"/>
        </w:rPr>
        <w:t xml:space="preserve"> </w:t>
      </w:r>
      <w:r w:rsidRPr="00865313">
        <w:rPr>
          <w:rFonts w:ascii="Abadi" w:hAnsi="Abadi" w:cs="Verdana"/>
          <w:color w:val="1A1820"/>
          <w:sz w:val="21"/>
          <w:szCs w:val="21"/>
        </w:rPr>
        <w:t>artículo</w:t>
      </w:r>
      <w:r w:rsidRPr="00865313">
        <w:rPr>
          <w:rFonts w:ascii="Abadi" w:hAnsi="Abadi" w:cs="Verdana"/>
          <w:color w:val="1A1820"/>
          <w:spacing w:val="-26"/>
          <w:sz w:val="21"/>
          <w:szCs w:val="21"/>
        </w:rPr>
        <w:t xml:space="preserve"> </w:t>
      </w:r>
      <w:r w:rsidRPr="00865313">
        <w:rPr>
          <w:rFonts w:ascii="Abadi" w:hAnsi="Abadi" w:cs="Verdana"/>
          <w:color w:val="1A1820"/>
          <w:sz w:val="21"/>
          <w:szCs w:val="21"/>
        </w:rPr>
        <w:t>159</w:t>
      </w:r>
      <w:r w:rsidRPr="00865313">
        <w:rPr>
          <w:rFonts w:ascii="Abadi" w:hAnsi="Abadi" w:cs="Verdana"/>
          <w:color w:val="1A1820"/>
          <w:spacing w:val="-4"/>
          <w:sz w:val="21"/>
          <w:szCs w:val="21"/>
        </w:rPr>
        <w:t xml:space="preserve"> </w:t>
      </w:r>
      <w:r w:rsidRPr="00865313">
        <w:rPr>
          <w:rFonts w:ascii="Abadi" w:hAnsi="Abadi" w:cs="Verdana"/>
          <w:color w:val="1A1820"/>
          <w:sz w:val="21"/>
          <w:szCs w:val="21"/>
        </w:rPr>
        <w:t>Bis</w:t>
      </w:r>
      <w:r w:rsidRPr="00865313">
        <w:rPr>
          <w:rFonts w:ascii="Abadi" w:hAnsi="Abadi" w:cs="Verdana"/>
          <w:color w:val="1A1820"/>
          <w:spacing w:val="-10"/>
          <w:sz w:val="21"/>
          <w:szCs w:val="21"/>
        </w:rPr>
        <w:t xml:space="preserve"> </w:t>
      </w:r>
      <w:r w:rsidRPr="00865313">
        <w:rPr>
          <w:rFonts w:ascii="Abadi" w:hAnsi="Abadi" w:cs="Verdana"/>
          <w:color w:val="1A1820"/>
          <w:sz w:val="21"/>
          <w:szCs w:val="21"/>
        </w:rPr>
        <w:t>de</w:t>
      </w:r>
      <w:r w:rsidRPr="00865313">
        <w:rPr>
          <w:rFonts w:ascii="Abadi" w:hAnsi="Abadi" w:cs="Verdana"/>
          <w:color w:val="1A1820"/>
          <w:spacing w:val="-10"/>
          <w:sz w:val="21"/>
          <w:szCs w:val="21"/>
        </w:rPr>
        <w:t xml:space="preserve"> </w:t>
      </w:r>
      <w:r w:rsidRPr="00865313">
        <w:rPr>
          <w:rFonts w:ascii="Abadi" w:hAnsi="Abadi" w:cs="Verdana"/>
          <w:color w:val="1A1820"/>
          <w:sz w:val="21"/>
          <w:szCs w:val="21"/>
        </w:rPr>
        <w:t>la</w:t>
      </w:r>
      <w:r w:rsidRPr="00865313">
        <w:rPr>
          <w:rFonts w:ascii="Abadi" w:hAnsi="Abadi" w:cs="Verdana"/>
          <w:color w:val="1A1820"/>
          <w:spacing w:val="2"/>
          <w:sz w:val="21"/>
          <w:szCs w:val="21"/>
        </w:rPr>
        <w:t xml:space="preserve"> </w:t>
      </w:r>
      <w:r w:rsidRPr="00865313">
        <w:rPr>
          <w:rFonts w:ascii="Abadi" w:hAnsi="Abadi" w:cs="Verdana"/>
          <w:color w:val="1A1820"/>
          <w:sz w:val="21"/>
          <w:szCs w:val="21"/>
        </w:rPr>
        <w:t>Ley</w:t>
      </w:r>
      <w:r w:rsidRPr="00865313">
        <w:rPr>
          <w:rFonts w:ascii="Abadi" w:hAnsi="Abadi" w:cs="Verdana"/>
          <w:color w:val="1A1820"/>
          <w:spacing w:val="-6"/>
          <w:sz w:val="21"/>
          <w:szCs w:val="21"/>
        </w:rPr>
        <w:t xml:space="preserve"> </w:t>
      </w:r>
      <w:r w:rsidRPr="00865313">
        <w:rPr>
          <w:rFonts w:ascii="Abadi" w:hAnsi="Abadi" w:cs="Verdana"/>
          <w:color w:val="1A1820"/>
          <w:sz w:val="21"/>
          <w:szCs w:val="21"/>
        </w:rPr>
        <w:t>citada.</w:t>
      </w:r>
    </w:p>
    <w:p w14:paraId="50A0B009" w14:textId="49E9364D" w:rsidR="00A7016E" w:rsidRPr="00865313" w:rsidRDefault="00A7016E" w:rsidP="00A7016E">
      <w:pPr>
        <w:numPr>
          <w:ilvl w:val="0"/>
          <w:numId w:val="51"/>
        </w:numPr>
        <w:tabs>
          <w:tab w:val="left" w:pos="470"/>
        </w:tabs>
        <w:kinsoku w:val="0"/>
        <w:overflowPunct w:val="0"/>
        <w:autoSpaceDE w:val="0"/>
        <w:autoSpaceDN w:val="0"/>
        <w:adjustRightInd w:val="0"/>
        <w:spacing w:before="268" w:line="218" w:lineRule="auto"/>
        <w:ind w:left="476" w:right="147" w:hanging="359"/>
        <w:jc w:val="both"/>
        <w:rPr>
          <w:rFonts w:ascii="Abadi" w:hAnsi="Abadi" w:cs="Calibri"/>
          <w:color w:val="1C1B21"/>
          <w:sz w:val="21"/>
          <w:szCs w:val="21"/>
        </w:rPr>
      </w:pPr>
      <w:r w:rsidRPr="00865313">
        <w:rPr>
          <w:rFonts w:ascii="Abadi" w:hAnsi="Abadi" w:cs="Verdana"/>
          <w:color w:val="1B1A20"/>
          <w:sz w:val="21"/>
          <w:szCs w:val="21"/>
        </w:rPr>
        <w:t>Asimismo</w:t>
      </w:r>
      <w:r w:rsidRPr="00865313">
        <w:rPr>
          <w:rFonts w:ascii="Abadi" w:hAnsi="Abadi" w:cs="Verdana"/>
          <w:color w:val="1B1A20"/>
          <w:spacing w:val="7"/>
          <w:sz w:val="21"/>
          <w:szCs w:val="21"/>
        </w:rPr>
        <w:t xml:space="preserve"> </w:t>
      </w:r>
      <w:r w:rsidRPr="00865313">
        <w:rPr>
          <w:rFonts w:ascii="Abadi" w:hAnsi="Abadi" w:cs="Verdana"/>
          <w:color w:val="1B1A20"/>
          <w:sz w:val="21"/>
          <w:szCs w:val="21"/>
        </w:rPr>
        <w:t>se</w:t>
      </w:r>
      <w:r w:rsidRPr="00865313">
        <w:rPr>
          <w:rFonts w:ascii="Abadi" w:hAnsi="Abadi" w:cs="Verdana"/>
          <w:color w:val="1B1A20"/>
          <w:spacing w:val="15"/>
          <w:sz w:val="21"/>
          <w:szCs w:val="21"/>
        </w:rPr>
        <w:t xml:space="preserve"> </w:t>
      </w:r>
      <w:r w:rsidRPr="00865313">
        <w:rPr>
          <w:rFonts w:ascii="Abadi" w:hAnsi="Abadi" w:cs="Verdana"/>
          <w:color w:val="1B1A20"/>
          <w:sz w:val="21"/>
          <w:szCs w:val="21"/>
        </w:rPr>
        <w:t>adjuntan</w:t>
      </w:r>
      <w:r w:rsidRPr="00865313">
        <w:rPr>
          <w:rFonts w:ascii="Abadi" w:hAnsi="Abadi" w:cs="Verdana"/>
          <w:color w:val="1B1A20"/>
          <w:spacing w:val="18"/>
          <w:sz w:val="21"/>
          <w:szCs w:val="21"/>
        </w:rPr>
        <w:t xml:space="preserve"> </w:t>
      </w:r>
      <w:r w:rsidRPr="00865313">
        <w:rPr>
          <w:rFonts w:ascii="Abadi" w:hAnsi="Abadi" w:cs="Verdana"/>
          <w:color w:val="1B1A20"/>
          <w:sz w:val="21"/>
          <w:szCs w:val="21"/>
        </w:rPr>
        <w:t>los</w:t>
      </w:r>
      <w:r w:rsidRPr="00865313">
        <w:rPr>
          <w:rFonts w:ascii="Abadi" w:hAnsi="Abadi" w:cs="Verdana"/>
          <w:color w:val="1B1A20"/>
          <w:spacing w:val="16"/>
          <w:sz w:val="21"/>
          <w:szCs w:val="21"/>
        </w:rPr>
        <w:t xml:space="preserve"> </w:t>
      </w:r>
      <w:r w:rsidRPr="00865313">
        <w:rPr>
          <w:rFonts w:ascii="Abadi" w:hAnsi="Abadi" w:cs="Verdana"/>
          <w:color w:val="1B1A20"/>
          <w:sz w:val="21"/>
          <w:szCs w:val="21"/>
        </w:rPr>
        <w:t>requisitos</w:t>
      </w:r>
      <w:r w:rsidRPr="00865313">
        <w:rPr>
          <w:rFonts w:ascii="Abadi" w:hAnsi="Abadi" w:cs="Verdana"/>
          <w:color w:val="1B1A20"/>
          <w:spacing w:val="24"/>
          <w:sz w:val="21"/>
          <w:szCs w:val="21"/>
        </w:rPr>
        <w:t xml:space="preserve"> </w:t>
      </w:r>
      <w:r w:rsidRPr="00865313">
        <w:rPr>
          <w:rFonts w:ascii="Abadi" w:hAnsi="Abadi" w:cs="Verdana"/>
          <w:color w:val="1B1A20"/>
          <w:sz w:val="21"/>
          <w:szCs w:val="21"/>
        </w:rPr>
        <w:t>formales</w:t>
      </w:r>
      <w:r w:rsidRPr="00865313">
        <w:rPr>
          <w:rFonts w:ascii="Abadi" w:hAnsi="Abadi" w:cs="Verdana"/>
          <w:color w:val="1B1A20"/>
          <w:spacing w:val="14"/>
          <w:sz w:val="21"/>
          <w:szCs w:val="21"/>
        </w:rPr>
        <w:t xml:space="preserve"> </w:t>
      </w:r>
      <w:r w:rsidRPr="00865313">
        <w:rPr>
          <w:rFonts w:ascii="Abadi" w:hAnsi="Abadi" w:cs="Verdana"/>
          <w:color w:val="1B1A20"/>
          <w:sz w:val="21"/>
          <w:szCs w:val="21"/>
        </w:rPr>
        <w:t>de</w:t>
      </w:r>
      <w:r w:rsidRPr="00865313">
        <w:rPr>
          <w:rFonts w:ascii="Abadi" w:hAnsi="Abadi" w:cs="Verdana"/>
          <w:color w:val="1B1A20"/>
          <w:spacing w:val="9"/>
          <w:sz w:val="21"/>
          <w:szCs w:val="21"/>
        </w:rPr>
        <w:t xml:space="preserve"> </w:t>
      </w:r>
      <w:r w:rsidRPr="00865313">
        <w:rPr>
          <w:rFonts w:ascii="Abadi" w:hAnsi="Abadi" w:cs="Verdana"/>
          <w:color w:val="1B1A20"/>
          <w:sz w:val="21"/>
          <w:szCs w:val="21"/>
        </w:rPr>
        <w:t>participación</w:t>
      </w:r>
      <w:r w:rsidRPr="00865313">
        <w:rPr>
          <w:rFonts w:ascii="Abadi" w:hAnsi="Abadi" w:cs="Verdana"/>
          <w:color w:val="1B1A20"/>
          <w:spacing w:val="9"/>
          <w:sz w:val="21"/>
          <w:szCs w:val="21"/>
        </w:rPr>
        <w:t xml:space="preserve"> </w:t>
      </w:r>
      <w:r w:rsidRPr="00865313">
        <w:rPr>
          <w:rFonts w:ascii="Abadi" w:hAnsi="Abadi" w:cs="Verdana"/>
          <w:color w:val="1B1A20"/>
          <w:sz w:val="21"/>
          <w:szCs w:val="21"/>
        </w:rPr>
        <w:t>en</w:t>
      </w:r>
      <w:r w:rsidRPr="00865313">
        <w:rPr>
          <w:rFonts w:ascii="Abadi" w:hAnsi="Abadi" w:cs="Verdana"/>
          <w:color w:val="1B1A20"/>
          <w:spacing w:val="10"/>
          <w:sz w:val="21"/>
          <w:szCs w:val="21"/>
        </w:rPr>
        <w:t xml:space="preserve"> </w:t>
      </w:r>
      <w:r w:rsidRPr="00865313">
        <w:rPr>
          <w:rFonts w:ascii="Abadi" w:hAnsi="Abadi" w:cs="Verdana"/>
          <w:color w:val="1B1A20"/>
          <w:sz w:val="21"/>
          <w:szCs w:val="21"/>
        </w:rPr>
        <w:t>el</w:t>
      </w:r>
      <w:r w:rsidRPr="00865313">
        <w:rPr>
          <w:rFonts w:ascii="Abadi" w:hAnsi="Abadi" w:cs="Verdana"/>
          <w:color w:val="1B1A20"/>
          <w:spacing w:val="17"/>
          <w:sz w:val="21"/>
          <w:szCs w:val="21"/>
        </w:rPr>
        <w:t xml:space="preserve"> </w:t>
      </w:r>
      <w:r w:rsidRPr="00865313">
        <w:rPr>
          <w:rFonts w:ascii="Abadi" w:hAnsi="Abadi" w:cs="Verdana"/>
          <w:color w:val="1B1A20"/>
          <w:sz w:val="21"/>
          <w:szCs w:val="21"/>
        </w:rPr>
        <w:t>proceso,</w:t>
      </w:r>
      <w:r w:rsidRPr="00865313">
        <w:rPr>
          <w:rFonts w:ascii="Abadi" w:hAnsi="Abadi" w:cs="Verdana"/>
          <w:color w:val="1B1A20"/>
          <w:spacing w:val="30"/>
          <w:sz w:val="21"/>
          <w:szCs w:val="21"/>
        </w:rPr>
        <w:t xml:space="preserve"> </w:t>
      </w:r>
      <w:r w:rsidRPr="00865313">
        <w:rPr>
          <w:rFonts w:ascii="Abadi" w:hAnsi="Abadi" w:cs="Verdana"/>
          <w:color w:val="1B1A20"/>
          <w:sz w:val="21"/>
          <w:szCs w:val="21"/>
        </w:rPr>
        <w:t>consistentes</w:t>
      </w:r>
      <w:r w:rsidRPr="00865313">
        <w:rPr>
          <w:rFonts w:ascii="Abadi" w:hAnsi="Abadi" w:cs="Verdana"/>
          <w:color w:val="1B1A20"/>
          <w:spacing w:val="-8"/>
          <w:sz w:val="21"/>
          <w:szCs w:val="21"/>
        </w:rPr>
        <w:t xml:space="preserve"> </w:t>
      </w:r>
      <w:r w:rsidRPr="00865313">
        <w:rPr>
          <w:rFonts w:ascii="Abadi" w:hAnsi="Abadi" w:cs="Verdana"/>
          <w:color w:val="1B1A20"/>
          <w:sz w:val="21"/>
          <w:szCs w:val="21"/>
        </w:rPr>
        <w:t>en:</w:t>
      </w:r>
      <w:r w:rsidRPr="00865313">
        <w:rPr>
          <w:rFonts w:ascii="Abadi" w:hAnsi="Abadi" w:cs="Verdana"/>
          <w:color w:val="1B1A20"/>
          <w:spacing w:val="29"/>
          <w:sz w:val="21"/>
          <w:szCs w:val="21"/>
        </w:rPr>
        <w:t xml:space="preserve"> </w:t>
      </w:r>
      <w:r w:rsidRPr="00865313">
        <w:rPr>
          <w:rFonts w:ascii="Abadi" w:hAnsi="Abadi" w:cs="Verdana"/>
          <w:color w:val="1B1A20"/>
          <w:sz w:val="21"/>
          <w:szCs w:val="21"/>
        </w:rPr>
        <w:t>a)</w:t>
      </w:r>
      <w:r w:rsidRPr="00865313">
        <w:rPr>
          <w:rFonts w:ascii="Abadi" w:hAnsi="Abadi" w:cs="Verdana"/>
          <w:color w:val="1B1A20"/>
          <w:spacing w:val="17"/>
          <w:sz w:val="21"/>
          <w:szCs w:val="21"/>
        </w:rPr>
        <w:t xml:space="preserve"> </w:t>
      </w:r>
      <w:r w:rsidRPr="00865313">
        <w:rPr>
          <w:rFonts w:ascii="Abadi" w:hAnsi="Abadi" w:cs="Verdana"/>
          <w:color w:val="1B1A20"/>
          <w:sz w:val="21"/>
          <w:szCs w:val="21"/>
        </w:rPr>
        <w:t>en</w:t>
      </w:r>
      <w:r w:rsidRPr="00865313">
        <w:rPr>
          <w:rFonts w:ascii="Abadi" w:hAnsi="Abadi" w:cs="Verdana"/>
          <w:color w:val="1B1A20"/>
          <w:spacing w:val="21"/>
          <w:sz w:val="21"/>
          <w:szCs w:val="21"/>
        </w:rPr>
        <w:t xml:space="preserve"> </w:t>
      </w:r>
      <w:r w:rsidRPr="00865313">
        <w:rPr>
          <w:rFonts w:ascii="Abadi" w:hAnsi="Abadi" w:cs="Calibri"/>
          <w:b/>
          <w:bCs/>
          <w:color w:val="1B1A20"/>
          <w:sz w:val="21"/>
          <w:szCs w:val="21"/>
        </w:rPr>
        <w:t>Solicitud</w:t>
      </w:r>
      <w:r w:rsidRPr="00865313">
        <w:rPr>
          <w:rFonts w:ascii="Abadi" w:hAnsi="Abadi" w:cs="Calibri"/>
          <w:b/>
          <w:bCs/>
          <w:color w:val="1B1A20"/>
          <w:spacing w:val="34"/>
          <w:sz w:val="21"/>
          <w:szCs w:val="21"/>
        </w:rPr>
        <w:t xml:space="preserve"> </w:t>
      </w:r>
      <w:r w:rsidRPr="00865313">
        <w:rPr>
          <w:rFonts w:ascii="Abadi" w:hAnsi="Abadi" w:cs="Calibri"/>
          <w:b/>
          <w:bCs/>
          <w:color w:val="1B1A20"/>
          <w:sz w:val="21"/>
          <w:szCs w:val="21"/>
        </w:rPr>
        <w:t>de</w:t>
      </w:r>
      <w:r w:rsidRPr="00865313">
        <w:rPr>
          <w:rFonts w:ascii="Abadi" w:hAnsi="Abadi" w:cs="Calibri"/>
          <w:b/>
          <w:bCs/>
          <w:color w:val="1B1A20"/>
          <w:spacing w:val="30"/>
          <w:sz w:val="21"/>
          <w:szCs w:val="21"/>
        </w:rPr>
        <w:t xml:space="preserve"> </w:t>
      </w:r>
      <w:r w:rsidRPr="00865313">
        <w:rPr>
          <w:rFonts w:ascii="Abadi" w:hAnsi="Abadi" w:cs="Calibri"/>
          <w:b/>
          <w:bCs/>
          <w:color w:val="1B1A20"/>
          <w:sz w:val="21"/>
          <w:szCs w:val="21"/>
        </w:rPr>
        <w:t>registro</w:t>
      </w:r>
      <w:r w:rsidRPr="00865313">
        <w:rPr>
          <w:rFonts w:ascii="Abadi" w:hAnsi="Abadi" w:cs="Calibri"/>
          <w:b/>
          <w:bCs/>
          <w:color w:val="1B1A20"/>
          <w:spacing w:val="28"/>
          <w:sz w:val="21"/>
          <w:szCs w:val="21"/>
        </w:rPr>
        <w:t xml:space="preserve"> </w:t>
      </w:r>
      <w:r w:rsidRPr="00865313">
        <w:rPr>
          <w:rFonts w:ascii="Abadi" w:hAnsi="Abadi" w:cs="Verdana"/>
          <w:color w:val="1B1A20"/>
          <w:sz w:val="21"/>
          <w:szCs w:val="21"/>
        </w:rPr>
        <w:t>con</w:t>
      </w:r>
      <w:r w:rsidRPr="00865313">
        <w:rPr>
          <w:rFonts w:ascii="Abadi" w:hAnsi="Abadi" w:cs="Verdana"/>
          <w:color w:val="1B1A20"/>
          <w:spacing w:val="16"/>
          <w:sz w:val="21"/>
          <w:szCs w:val="21"/>
        </w:rPr>
        <w:t xml:space="preserve"> </w:t>
      </w:r>
      <w:r w:rsidRPr="00865313">
        <w:rPr>
          <w:rFonts w:ascii="Abadi" w:hAnsi="Abadi" w:cs="Verdana"/>
          <w:color w:val="1B1A20"/>
          <w:sz w:val="21"/>
          <w:szCs w:val="21"/>
        </w:rPr>
        <w:t>firma</w:t>
      </w:r>
      <w:r w:rsidRPr="00865313">
        <w:rPr>
          <w:rFonts w:ascii="Abadi" w:hAnsi="Abadi" w:cs="Verdana"/>
          <w:color w:val="1B1A20"/>
          <w:spacing w:val="15"/>
          <w:sz w:val="21"/>
          <w:szCs w:val="21"/>
        </w:rPr>
        <w:t xml:space="preserve"> </w:t>
      </w:r>
      <w:r w:rsidRPr="00865313">
        <w:rPr>
          <w:rFonts w:ascii="Abadi" w:hAnsi="Abadi" w:cs="Verdana"/>
          <w:color w:val="1B1A20"/>
          <w:sz w:val="21"/>
          <w:szCs w:val="21"/>
        </w:rPr>
        <w:t>autógrafa,</w:t>
      </w:r>
      <w:r w:rsidRPr="00865313">
        <w:rPr>
          <w:rFonts w:ascii="Abadi" w:hAnsi="Abadi" w:cs="Verdana"/>
          <w:color w:val="1B1A20"/>
          <w:spacing w:val="32"/>
          <w:sz w:val="21"/>
          <w:szCs w:val="21"/>
        </w:rPr>
        <w:t xml:space="preserve"> </w:t>
      </w:r>
      <w:r w:rsidRPr="00865313">
        <w:rPr>
          <w:rFonts w:ascii="Abadi" w:hAnsi="Abadi" w:cs="Verdana"/>
          <w:color w:val="1B1A20"/>
          <w:sz w:val="21"/>
          <w:szCs w:val="21"/>
        </w:rPr>
        <w:t>en</w:t>
      </w:r>
      <w:r w:rsidRPr="00865313">
        <w:rPr>
          <w:rFonts w:ascii="Abadi" w:hAnsi="Abadi" w:cs="Verdana"/>
          <w:color w:val="1B1A20"/>
          <w:spacing w:val="17"/>
          <w:sz w:val="21"/>
          <w:szCs w:val="21"/>
        </w:rPr>
        <w:t xml:space="preserve"> </w:t>
      </w:r>
      <w:r w:rsidRPr="00865313">
        <w:rPr>
          <w:rFonts w:ascii="Abadi" w:hAnsi="Abadi" w:cs="Verdana"/>
          <w:color w:val="1B1A20"/>
          <w:sz w:val="21"/>
          <w:szCs w:val="21"/>
        </w:rPr>
        <w:t>la</w:t>
      </w:r>
      <w:r w:rsidRPr="00865313">
        <w:rPr>
          <w:rFonts w:ascii="Abadi" w:hAnsi="Abadi" w:cs="Verdana"/>
          <w:color w:val="1B1A20"/>
          <w:spacing w:val="18"/>
          <w:sz w:val="21"/>
          <w:szCs w:val="21"/>
        </w:rPr>
        <w:t xml:space="preserve"> </w:t>
      </w:r>
      <w:r w:rsidRPr="00865313">
        <w:rPr>
          <w:rFonts w:ascii="Abadi" w:hAnsi="Abadi" w:cs="Verdana"/>
          <w:color w:val="1B1A20"/>
          <w:sz w:val="21"/>
          <w:szCs w:val="21"/>
        </w:rPr>
        <w:t>que</w:t>
      </w:r>
      <w:r w:rsidRPr="00865313">
        <w:rPr>
          <w:rFonts w:ascii="Abadi" w:hAnsi="Abadi" w:cs="Verdana"/>
          <w:color w:val="1B1A20"/>
          <w:spacing w:val="15"/>
          <w:sz w:val="21"/>
          <w:szCs w:val="21"/>
        </w:rPr>
        <w:t xml:space="preserve"> </w:t>
      </w:r>
      <w:r w:rsidRPr="00865313">
        <w:rPr>
          <w:rFonts w:ascii="Abadi" w:hAnsi="Abadi" w:cs="Verdana"/>
          <w:color w:val="1B1A20"/>
          <w:sz w:val="21"/>
          <w:szCs w:val="21"/>
        </w:rPr>
        <w:t>se</w:t>
      </w:r>
      <w:r w:rsidRPr="00865313">
        <w:rPr>
          <w:rFonts w:ascii="Abadi" w:hAnsi="Abadi" w:cs="Verdana"/>
          <w:color w:val="1B1A20"/>
          <w:spacing w:val="15"/>
          <w:sz w:val="21"/>
          <w:szCs w:val="21"/>
        </w:rPr>
        <w:t xml:space="preserve"> </w:t>
      </w:r>
      <w:r w:rsidRPr="00865313">
        <w:rPr>
          <w:rFonts w:ascii="Abadi" w:hAnsi="Abadi" w:cs="Verdana"/>
          <w:color w:val="1B1A20"/>
          <w:sz w:val="21"/>
          <w:szCs w:val="21"/>
        </w:rPr>
        <w:t>manifieste</w:t>
      </w:r>
      <w:r w:rsidRPr="00865313">
        <w:rPr>
          <w:rFonts w:ascii="Abadi" w:hAnsi="Abadi" w:cs="Verdana"/>
          <w:color w:val="1B1A20"/>
          <w:spacing w:val="12"/>
          <w:sz w:val="21"/>
          <w:szCs w:val="21"/>
        </w:rPr>
        <w:t xml:space="preserve"> </w:t>
      </w:r>
      <w:r w:rsidRPr="00865313">
        <w:rPr>
          <w:rFonts w:ascii="Abadi" w:hAnsi="Abadi" w:cs="Verdana"/>
          <w:color w:val="1B1A20"/>
          <w:sz w:val="21"/>
          <w:szCs w:val="21"/>
        </w:rPr>
        <w:t>el</w:t>
      </w:r>
      <w:r w:rsidRPr="00865313">
        <w:rPr>
          <w:rFonts w:ascii="Abadi" w:hAnsi="Abadi" w:cs="Verdana"/>
          <w:color w:val="1B1A20"/>
          <w:spacing w:val="19"/>
          <w:sz w:val="21"/>
          <w:szCs w:val="21"/>
        </w:rPr>
        <w:t xml:space="preserve"> </w:t>
      </w:r>
      <w:r w:rsidRPr="00865313">
        <w:rPr>
          <w:rFonts w:ascii="Abadi" w:hAnsi="Abadi" w:cs="Verdana"/>
          <w:color w:val="1B1A20"/>
          <w:sz w:val="21"/>
          <w:szCs w:val="21"/>
        </w:rPr>
        <w:t>interés</w:t>
      </w:r>
      <w:r w:rsidRPr="00865313">
        <w:rPr>
          <w:rFonts w:ascii="Abadi" w:hAnsi="Abadi" w:cs="Verdana"/>
          <w:color w:val="1B1A20"/>
          <w:spacing w:val="20"/>
          <w:sz w:val="21"/>
          <w:szCs w:val="21"/>
        </w:rPr>
        <w:t xml:space="preserve"> </w:t>
      </w:r>
      <w:r w:rsidRPr="00865313">
        <w:rPr>
          <w:rFonts w:ascii="Abadi" w:hAnsi="Abadi" w:cs="Verdana"/>
          <w:color w:val="1B1A20"/>
          <w:sz w:val="21"/>
          <w:szCs w:val="21"/>
        </w:rPr>
        <w:t>en</w:t>
      </w:r>
      <w:r w:rsidRPr="00865313">
        <w:rPr>
          <w:rFonts w:ascii="Abadi" w:hAnsi="Abadi" w:cs="Verdana"/>
          <w:color w:val="1B1A20"/>
          <w:spacing w:val="-6"/>
          <w:sz w:val="21"/>
          <w:szCs w:val="21"/>
        </w:rPr>
        <w:t xml:space="preserve"> </w:t>
      </w:r>
      <w:r w:rsidRPr="00865313">
        <w:rPr>
          <w:rFonts w:ascii="Abadi" w:hAnsi="Abadi" w:cs="Verdana"/>
          <w:color w:val="1B1A20"/>
          <w:sz w:val="21"/>
          <w:szCs w:val="21"/>
        </w:rPr>
        <w:t>participar</w:t>
      </w:r>
      <w:r w:rsidRPr="00865313">
        <w:rPr>
          <w:rFonts w:ascii="Abadi" w:hAnsi="Abadi" w:cs="Verdana"/>
          <w:color w:val="1B1A20"/>
          <w:spacing w:val="20"/>
          <w:sz w:val="21"/>
          <w:szCs w:val="21"/>
        </w:rPr>
        <w:t xml:space="preserve"> </w:t>
      </w:r>
      <w:r w:rsidRPr="00865313">
        <w:rPr>
          <w:rFonts w:ascii="Abadi" w:hAnsi="Abadi" w:cs="Verdana"/>
          <w:color w:val="1B1A20"/>
          <w:sz w:val="21"/>
          <w:szCs w:val="21"/>
        </w:rPr>
        <w:t>en</w:t>
      </w:r>
      <w:r w:rsidRPr="00865313">
        <w:rPr>
          <w:rFonts w:ascii="Abadi" w:hAnsi="Abadi" w:cs="Verdana"/>
          <w:color w:val="1B1A20"/>
          <w:spacing w:val="6"/>
          <w:sz w:val="21"/>
          <w:szCs w:val="21"/>
        </w:rPr>
        <w:t xml:space="preserve"> </w:t>
      </w:r>
      <w:r w:rsidRPr="00865313">
        <w:rPr>
          <w:rFonts w:ascii="Abadi" w:hAnsi="Abadi" w:cs="Verdana"/>
          <w:color w:val="1B1A20"/>
          <w:sz w:val="21"/>
          <w:szCs w:val="21"/>
        </w:rPr>
        <w:t>el</w:t>
      </w:r>
      <w:r w:rsidRPr="00865313">
        <w:rPr>
          <w:rFonts w:ascii="Abadi" w:hAnsi="Abadi" w:cs="Verdana"/>
          <w:color w:val="1B1A20"/>
          <w:spacing w:val="12"/>
          <w:sz w:val="21"/>
          <w:szCs w:val="21"/>
        </w:rPr>
        <w:t xml:space="preserve"> </w:t>
      </w:r>
      <w:r w:rsidRPr="00865313">
        <w:rPr>
          <w:rFonts w:ascii="Abadi" w:hAnsi="Abadi" w:cs="Verdana"/>
          <w:color w:val="1B1A20"/>
          <w:sz w:val="21"/>
          <w:szCs w:val="21"/>
        </w:rPr>
        <w:t>proceso</w:t>
      </w:r>
      <w:r w:rsidRPr="00865313">
        <w:rPr>
          <w:rFonts w:ascii="Abadi" w:hAnsi="Abadi" w:cs="Verdana"/>
          <w:color w:val="1B1A20"/>
          <w:spacing w:val="10"/>
          <w:sz w:val="21"/>
          <w:szCs w:val="21"/>
        </w:rPr>
        <w:t xml:space="preserve"> </w:t>
      </w:r>
      <w:r w:rsidRPr="00865313">
        <w:rPr>
          <w:rFonts w:ascii="Abadi" w:hAnsi="Abadi" w:cs="Verdana"/>
          <w:color w:val="1B1A20"/>
          <w:sz w:val="21"/>
          <w:szCs w:val="21"/>
        </w:rPr>
        <w:t>de</w:t>
      </w:r>
      <w:r w:rsidRPr="00865313">
        <w:rPr>
          <w:rFonts w:ascii="Abadi" w:hAnsi="Abadi" w:cs="Verdana"/>
          <w:color w:val="1B1A20"/>
          <w:spacing w:val="14"/>
          <w:sz w:val="21"/>
          <w:szCs w:val="21"/>
        </w:rPr>
        <w:t xml:space="preserve"> </w:t>
      </w:r>
      <w:r w:rsidRPr="00865313">
        <w:rPr>
          <w:rFonts w:ascii="Abadi" w:hAnsi="Abadi" w:cs="Verdana"/>
          <w:color w:val="1B1A20"/>
          <w:sz w:val="21"/>
          <w:szCs w:val="21"/>
        </w:rPr>
        <w:t>selección</w:t>
      </w:r>
      <w:r w:rsidRPr="00865313">
        <w:rPr>
          <w:rFonts w:ascii="Abadi" w:hAnsi="Abadi" w:cs="Verdana"/>
          <w:color w:val="1B1A20"/>
          <w:spacing w:val="19"/>
          <w:sz w:val="21"/>
          <w:szCs w:val="21"/>
        </w:rPr>
        <w:t xml:space="preserve"> </w:t>
      </w:r>
      <w:r w:rsidRPr="00865313">
        <w:rPr>
          <w:rFonts w:ascii="Abadi" w:hAnsi="Abadi" w:cs="Verdana"/>
          <w:color w:val="1B1A20"/>
          <w:sz w:val="21"/>
          <w:szCs w:val="21"/>
        </w:rPr>
        <w:t>de</w:t>
      </w:r>
      <w:r w:rsidRPr="00865313">
        <w:rPr>
          <w:rFonts w:ascii="Abadi" w:hAnsi="Abadi" w:cs="Verdana"/>
          <w:color w:val="1B1A20"/>
          <w:spacing w:val="9"/>
          <w:sz w:val="21"/>
          <w:szCs w:val="21"/>
        </w:rPr>
        <w:t xml:space="preserve"> </w:t>
      </w:r>
      <w:r w:rsidRPr="00865313">
        <w:rPr>
          <w:rFonts w:ascii="Abadi" w:hAnsi="Abadi" w:cs="Verdana"/>
          <w:color w:val="1B1A20"/>
          <w:sz w:val="21"/>
          <w:szCs w:val="21"/>
        </w:rPr>
        <w:t>la</w:t>
      </w:r>
      <w:r w:rsidRPr="00865313">
        <w:rPr>
          <w:rFonts w:ascii="Abadi" w:hAnsi="Abadi" w:cs="Verdana"/>
          <w:color w:val="1B1A20"/>
          <w:spacing w:val="11"/>
          <w:sz w:val="21"/>
          <w:szCs w:val="21"/>
        </w:rPr>
        <w:t xml:space="preserve"> </w:t>
      </w:r>
      <w:r w:rsidRPr="00865313">
        <w:rPr>
          <w:rFonts w:ascii="Abadi" w:hAnsi="Abadi" w:cs="Verdana"/>
          <w:color w:val="1B1A20"/>
          <w:sz w:val="21"/>
          <w:szCs w:val="21"/>
        </w:rPr>
        <w:t>terna</w:t>
      </w:r>
      <w:r w:rsidRPr="00865313">
        <w:rPr>
          <w:rFonts w:ascii="Abadi" w:hAnsi="Abadi" w:cs="Verdana"/>
          <w:color w:val="1B1A20"/>
          <w:spacing w:val="6"/>
          <w:sz w:val="21"/>
          <w:szCs w:val="21"/>
        </w:rPr>
        <w:t xml:space="preserve"> </w:t>
      </w:r>
      <w:r w:rsidRPr="00865313">
        <w:rPr>
          <w:rFonts w:ascii="Abadi" w:hAnsi="Abadi" w:cs="Verdana"/>
          <w:color w:val="1B1A20"/>
          <w:sz w:val="21"/>
          <w:szCs w:val="21"/>
        </w:rPr>
        <w:t>para</w:t>
      </w:r>
      <w:r w:rsidRPr="00865313">
        <w:rPr>
          <w:rFonts w:ascii="Abadi" w:hAnsi="Abadi" w:cs="Verdana"/>
          <w:color w:val="1B1A20"/>
          <w:spacing w:val="11"/>
          <w:sz w:val="21"/>
          <w:szCs w:val="21"/>
        </w:rPr>
        <w:t xml:space="preserve"> </w:t>
      </w:r>
      <w:r w:rsidRPr="00865313">
        <w:rPr>
          <w:rFonts w:ascii="Abadi" w:hAnsi="Abadi" w:cs="Verdana"/>
          <w:color w:val="1B1A20"/>
          <w:sz w:val="21"/>
          <w:szCs w:val="21"/>
        </w:rPr>
        <w:t>la</w:t>
      </w:r>
      <w:r w:rsidRPr="00865313">
        <w:rPr>
          <w:rFonts w:ascii="Abadi" w:hAnsi="Abadi" w:cs="Verdana"/>
          <w:color w:val="1B1A20"/>
          <w:spacing w:val="3"/>
          <w:sz w:val="21"/>
          <w:szCs w:val="21"/>
        </w:rPr>
        <w:t xml:space="preserve"> </w:t>
      </w:r>
      <w:r w:rsidRPr="00865313">
        <w:rPr>
          <w:rFonts w:ascii="Abadi" w:hAnsi="Abadi" w:cs="Verdana"/>
          <w:color w:val="1B1A20"/>
          <w:sz w:val="21"/>
          <w:szCs w:val="21"/>
        </w:rPr>
        <w:t>designación</w:t>
      </w:r>
      <w:r w:rsidRPr="00865313">
        <w:rPr>
          <w:rFonts w:ascii="Abadi" w:hAnsi="Abadi" w:cs="Verdana"/>
          <w:color w:val="1B1A20"/>
          <w:spacing w:val="4"/>
          <w:sz w:val="21"/>
          <w:szCs w:val="21"/>
        </w:rPr>
        <w:t xml:space="preserve"> </w:t>
      </w:r>
      <w:r w:rsidRPr="00865313">
        <w:rPr>
          <w:rFonts w:ascii="Abadi" w:hAnsi="Abadi" w:cs="Verdana"/>
          <w:color w:val="1B1A20"/>
          <w:sz w:val="21"/>
          <w:szCs w:val="21"/>
        </w:rPr>
        <w:t>de</w:t>
      </w:r>
      <w:r w:rsidRPr="00865313">
        <w:rPr>
          <w:rFonts w:ascii="Abadi" w:hAnsi="Abadi" w:cs="Verdana"/>
          <w:color w:val="1B1A20"/>
          <w:spacing w:val="10"/>
          <w:sz w:val="21"/>
          <w:szCs w:val="21"/>
        </w:rPr>
        <w:t xml:space="preserve"> </w:t>
      </w:r>
      <w:r w:rsidRPr="00865313">
        <w:rPr>
          <w:rFonts w:ascii="Abadi" w:hAnsi="Abadi" w:cs="Verdana"/>
          <w:color w:val="1B1A20"/>
          <w:sz w:val="21"/>
          <w:szCs w:val="21"/>
        </w:rPr>
        <w:t>la</w:t>
      </w:r>
      <w:r w:rsidRPr="00865313">
        <w:rPr>
          <w:rFonts w:ascii="Abadi" w:hAnsi="Abadi" w:cs="Verdana"/>
          <w:color w:val="1B1A20"/>
          <w:spacing w:val="11"/>
          <w:sz w:val="21"/>
          <w:szCs w:val="21"/>
        </w:rPr>
        <w:t xml:space="preserve"> </w:t>
      </w:r>
      <w:r w:rsidRPr="00865313">
        <w:rPr>
          <w:rFonts w:ascii="Abadi" w:hAnsi="Abadi" w:cs="Verdana"/>
          <w:color w:val="1B1A20"/>
          <w:sz w:val="21"/>
          <w:szCs w:val="21"/>
        </w:rPr>
        <w:t>persona</w:t>
      </w:r>
      <w:r w:rsidRPr="00865313">
        <w:rPr>
          <w:rFonts w:ascii="Abadi" w:hAnsi="Abadi" w:cs="Verdana"/>
          <w:color w:val="1B1A20"/>
          <w:spacing w:val="7"/>
          <w:sz w:val="21"/>
          <w:szCs w:val="21"/>
        </w:rPr>
        <w:t xml:space="preserve"> </w:t>
      </w:r>
      <w:r w:rsidRPr="00865313">
        <w:rPr>
          <w:rFonts w:ascii="Abadi" w:hAnsi="Abadi" w:cs="Verdana"/>
          <w:color w:val="1B1A20"/>
          <w:sz w:val="21"/>
          <w:szCs w:val="21"/>
        </w:rPr>
        <w:t>titular</w:t>
      </w:r>
      <w:r w:rsidRPr="00865313">
        <w:rPr>
          <w:rFonts w:ascii="Abadi" w:hAnsi="Abadi" w:cs="Verdana"/>
          <w:color w:val="1B1A20"/>
          <w:spacing w:val="-7"/>
          <w:sz w:val="21"/>
          <w:szCs w:val="21"/>
        </w:rPr>
        <w:t xml:space="preserve"> </w:t>
      </w:r>
      <w:r w:rsidRPr="00865313">
        <w:rPr>
          <w:rFonts w:ascii="Abadi" w:hAnsi="Abadi" w:cs="Verdana"/>
          <w:color w:val="1B1A20"/>
          <w:sz w:val="21"/>
          <w:szCs w:val="21"/>
        </w:rPr>
        <w:t>del</w:t>
      </w:r>
      <w:r w:rsidRPr="00865313">
        <w:rPr>
          <w:rFonts w:ascii="Abadi" w:hAnsi="Abadi" w:cs="Verdana"/>
          <w:color w:val="1B1A20"/>
          <w:spacing w:val="35"/>
          <w:sz w:val="21"/>
          <w:szCs w:val="21"/>
        </w:rPr>
        <w:t xml:space="preserve"> </w:t>
      </w:r>
      <w:r w:rsidR="006807BE" w:rsidRPr="00865313">
        <w:rPr>
          <w:rFonts w:ascii="Abadi" w:hAnsi="Abadi" w:cs="Verdana"/>
          <w:color w:val="1B1A20"/>
          <w:sz w:val="21"/>
          <w:szCs w:val="21"/>
        </w:rPr>
        <w:t>Órgano</w:t>
      </w:r>
      <w:r w:rsidRPr="00865313">
        <w:rPr>
          <w:rFonts w:ascii="Abadi" w:hAnsi="Abadi" w:cs="Verdana"/>
          <w:color w:val="1B1A20"/>
          <w:spacing w:val="33"/>
          <w:sz w:val="21"/>
          <w:szCs w:val="21"/>
        </w:rPr>
        <w:t xml:space="preserve"> </w:t>
      </w:r>
      <w:r w:rsidRPr="00865313">
        <w:rPr>
          <w:rFonts w:ascii="Abadi" w:hAnsi="Abadi" w:cs="Verdana"/>
          <w:color w:val="1B1A20"/>
          <w:sz w:val="21"/>
          <w:szCs w:val="21"/>
        </w:rPr>
        <w:t>Interno</w:t>
      </w:r>
      <w:r w:rsidRPr="00865313">
        <w:rPr>
          <w:rFonts w:ascii="Abadi" w:hAnsi="Abadi" w:cs="Verdana"/>
          <w:color w:val="1B1A20"/>
          <w:spacing w:val="24"/>
          <w:sz w:val="21"/>
          <w:szCs w:val="21"/>
        </w:rPr>
        <w:t xml:space="preserve"> </w:t>
      </w:r>
      <w:r w:rsidRPr="00865313">
        <w:rPr>
          <w:rFonts w:ascii="Abadi" w:hAnsi="Abadi" w:cs="Verdana"/>
          <w:color w:val="1B1A20"/>
          <w:sz w:val="21"/>
          <w:szCs w:val="21"/>
        </w:rPr>
        <w:t>de</w:t>
      </w:r>
      <w:r w:rsidRPr="00865313">
        <w:rPr>
          <w:rFonts w:ascii="Abadi" w:hAnsi="Abadi" w:cs="Verdana"/>
          <w:color w:val="1B1A20"/>
          <w:spacing w:val="20"/>
          <w:sz w:val="21"/>
          <w:szCs w:val="21"/>
        </w:rPr>
        <w:t xml:space="preserve"> </w:t>
      </w:r>
      <w:r w:rsidRPr="00865313">
        <w:rPr>
          <w:rFonts w:ascii="Abadi" w:hAnsi="Abadi" w:cs="Verdana"/>
          <w:color w:val="1B1A20"/>
          <w:sz w:val="21"/>
          <w:szCs w:val="21"/>
        </w:rPr>
        <w:t>Control</w:t>
      </w:r>
      <w:r w:rsidRPr="00865313">
        <w:rPr>
          <w:rFonts w:ascii="Abadi" w:hAnsi="Abadi" w:cs="Verdana"/>
          <w:color w:val="1B1A20"/>
          <w:spacing w:val="27"/>
          <w:sz w:val="21"/>
          <w:szCs w:val="21"/>
        </w:rPr>
        <w:t xml:space="preserve"> </w:t>
      </w:r>
      <w:r w:rsidRPr="00865313">
        <w:rPr>
          <w:rFonts w:ascii="Abadi" w:hAnsi="Abadi" w:cs="Verdana"/>
          <w:color w:val="1B1A20"/>
          <w:sz w:val="21"/>
          <w:szCs w:val="21"/>
        </w:rPr>
        <w:t>del</w:t>
      </w:r>
      <w:r w:rsidRPr="00865313">
        <w:rPr>
          <w:rFonts w:ascii="Abadi" w:hAnsi="Abadi" w:cs="Verdana"/>
          <w:color w:val="1B1A20"/>
          <w:spacing w:val="20"/>
          <w:sz w:val="21"/>
          <w:szCs w:val="21"/>
        </w:rPr>
        <w:t xml:space="preserve"> </w:t>
      </w:r>
      <w:r w:rsidRPr="00865313">
        <w:rPr>
          <w:rFonts w:ascii="Abadi" w:hAnsi="Abadi" w:cs="Verdana"/>
          <w:color w:val="1B1A20"/>
          <w:sz w:val="21"/>
          <w:szCs w:val="21"/>
        </w:rPr>
        <w:t>Instituto</w:t>
      </w:r>
      <w:r w:rsidRPr="00865313">
        <w:rPr>
          <w:rFonts w:ascii="Abadi" w:hAnsi="Abadi" w:cs="Verdana"/>
          <w:color w:val="1B1A20"/>
          <w:spacing w:val="19"/>
          <w:sz w:val="21"/>
          <w:szCs w:val="21"/>
        </w:rPr>
        <w:t xml:space="preserve"> </w:t>
      </w:r>
      <w:r w:rsidRPr="00865313">
        <w:rPr>
          <w:rFonts w:ascii="Abadi" w:hAnsi="Abadi" w:cs="Verdana"/>
          <w:color w:val="1B1A20"/>
          <w:sz w:val="21"/>
          <w:szCs w:val="21"/>
        </w:rPr>
        <w:t>de</w:t>
      </w:r>
      <w:r w:rsidRPr="00865313">
        <w:rPr>
          <w:rFonts w:ascii="Abadi" w:hAnsi="Abadi" w:cs="Verdana"/>
          <w:color w:val="1B1A20"/>
          <w:spacing w:val="19"/>
          <w:sz w:val="21"/>
          <w:szCs w:val="21"/>
        </w:rPr>
        <w:t xml:space="preserve"> </w:t>
      </w:r>
      <w:r w:rsidRPr="00865313">
        <w:rPr>
          <w:rFonts w:ascii="Abadi" w:hAnsi="Abadi" w:cs="Verdana"/>
          <w:color w:val="1B1A20"/>
          <w:sz w:val="21"/>
          <w:szCs w:val="21"/>
        </w:rPr>
        <w:t>Acceso</w:t>
      </w:r>
      <w:r w:rsidRPr="00865313">
        <w:rPr>
          <w:rFonts w:ascii="Abadi" w:hAnsi="Abadi" w:cs="Verdana"/>
          <w:color w:val="1B1A20"/>
          <w:spacing w:val="22"/>
          <w:sz w:val="21"/>
          <w:szCs w:val="21"/>
        </w:rPr>
        <w:t xml:space="preserve"> </w:t>
      </w:r>
      <w:r w:rsidRPr="00865313">
        <w:rPr>
          <w:rFonts w:ascii="Abadi" w:hAnsi="Abadi" w:cs="Verdana"/>
          <w:color w:val="1B1A20"/>
          <w:sz w:val="21"/>
          <w:szCs w:val="21"/>
        </w:rPr>
        <w:t>a</w:t>
      </w:r>
      <w:r w:rsidRPr="00865313">
        <w:rPr>
          <w:rFonts w:ascii="Abadi" w:hAnsi="Abadi" w:cs="Verdana"/>
          <w:color w:val="1B1A20"/>
          <w:spacing w:val="25"/>
          <w:sz w:val="21"/>
          <w:szCs w:val="21"/>
        </w:rPr>
        <w:t xml:space="preserve"> </w:t>
      </w:r>
      <w:r w:rsidRPr="00865313">
        <w:rPr>
          <w:rFonts w:ascii="Abadi" w:hAnsi="Abadi" w:cs="Verdana"/>
          <w:color w:val="1B1A20"/>
          <w:sz w:val="21"/>
          <w:szCs w:val="21"/>
        </w:rPr>
        <w:t>la</w:t>
      </w:r>
      <w:r w:rsidRPr="00865313">
        <w:rPr>
          <w:rFonts w:ascii="Abadi" w:hAnsi="Abadi" w:cs="Verdana"/>
          <w:color w:val="1B1A20"/>
          <w:spacing w:val="24"/>
          <w:sz w:val="21"/>
          <w:szCs w:val="21"/>
        </w:rPr>
        <w:t xml:space="preserve"> </w:t>
      </w:r>
      <w:r w:rsidRPr="00865313">
        <w:rPr>
          <w:rFonts w:ascii="Abadi" w:hAnsi="Abadi" w:cs="Verdana"/>
          <w:color w:val="1B1A20"/>
          <w:sz w:val="21"/>
          <w:szCs w:val="21"/>
        </w:rPr>
        <w:t>Información</w:t>
      </w:r>
      <w:r w:rsidRPr="00865313">
        <w:rPr>
          <w:rFonts w:ascii="Abadi" w:hAnsi="Abadi" w:cs="Verdana"/>
          <w:color w:val="1B1A20"/>
          <w:spacing w:val="35"/>
          <w:sz w:val="21"/>
          <w:szCs w:val="21"/>
        </w:rPr>
        <w:t xml:space="preserve"> </w:t>
      </w:r>
      <w:r w:rsidRPr="00865313">
        <w:rPr>
          <w:rFonts w:ascii="Abadi" w:hAnsi="Abadi" w:cs="Verdana"/>
          <w:color w:val="1B1A20"/>
          <w:sz w:val="21"/>
          <w:szCs w:val="21"/>
        </w:rPr>
        <w:t>Pública</w:t>
      </w:r>
      <w:r w:rsidRPr="00865313">
        <w:rPr>
          <w:rFonts w:ascii="Abadi" w:hAnsi="Abadi" w:cs="Verdana"/>
          <w:color w:val="1B1A20"/>
          <w:spacing w:val="25"/>
          <w:sz w:val="21"/>
          <w:szCs w:val="21"/>
        </w:rPr>
        <w:t xml:space="preserve"> </w:t>
      </w:r>
      <w:r w:rsidRPr="00865313">
        <w:rPr>
          <w:rFonts w:ascii="Abadi" w:hAnsi="Abadi" w:cs="Verdana"/>
          <w:color w:val="1B1A20"/>
          <w:sz w:val="21"/>
          <w:szCs w:val="21"/>
        </w:rPr>
        <w:t>para</w:t>
      </w:r>
      <w:r w:rsidRPr="00865313">
        <w:rPr>
          <w:rFonts w:ascii="Abadi" w:hAnsi="Abadi" w:cs="Verdana"/>
          <w:color w:val="1B1A20"/>
          <w:spacing w:val="24"/>
          <w:sz w:val="21"/>
          <w:szCs w:val="21"/>
        </w:rPr>
        <w:t xml:space="preserve"> </w:t>
      </w:r>
      <w:r w:rsidRPr="00865313">
        <w:rPr>
          <w:rFonts w:ascii="Abadi" w:hAnsi="Abadi" w:cs="Verdana"/>
          <w:color w:val="1B1A20"/>
          <w:sz w:val="21"/>
          <w:szCs w:val="21"/>
        </w:rPr>
        <w:t>el</w:t>
      </w:r>
      <w:r w:rsidRPr="00865313">
        <w:rPr>
          <w:rFonts w:ascii="Abadi" w:hAnsi="Abadi" w:cs="Verdana"/>
          <w:color w:val="1B1A20"/>
          <w:spacing w:val="-4"/>
          <w:sz w:val="21"/>
          <w:szCs w:val="21"/>
        </w:rPr>
        <w:t xml:space="preserve"> </w:t>
      </w:r>
      <w:r w:rsidRPr="00865313">
        <w:rPr>
          <w:rFonts w:ascii="Abadi" w:hAnsi="Abadi" w:cs="Verdana"/>
          <w:color w:val="1B1A20"/>
          <w:sz w:val="21"/>
          <w:szCs w:val="21"/>
        </w:rPr>
        <w:t>Estado</w:t>
      </w:r>
      <w:r w:rsidRPr="00865313">
        <w:rPr>
          <w:rFonts w:ascii="Abadi" w:hAnsi="Abadi" w:cs="Verdana"/>
          <w:color w:val="1B1A20"/>
          <w:spacing w:val="4"/>
          <w:sz w:val="21"/>
          <w:szCs w:val="21"/>
        </w:rPr>
        <w:t xml:space="preserve"> </w:t>
      </w:r>
      <w:r w:rsidRPr="00865313">
        <w:rPr>
          <w:rFonts w:ascii="Abadi" w:hAnsi="Abadi" w:cs="Verdana"/>
          <w:color w:val="1B1A20"/>
          <w:sz w:val="21"/>
          <w:szCs w:val="21"/>
        </w:rPr>
        <w:t>de</w:t>
      </w:r>
      <w:r w:rsidRPr="00865313">
        <w:rPr>
          <w:rFonts w:ascii="Abadi" w:hAnsi="Abadi" w:cs="Verdana"/>
          <w:color w:val="1B1A20"/>
          <w:spacing w:val="10"/>
          <w:sz w:val="21"/>
          <w:szCs w:val="21"/>
        </w:rPr>
        <w:t xml:space="preserve"> </w:t>
      </w:r>
      <w:r w:rsidRPr="00865313">
        <w:rPr>
          <w:rFonts w:ascii="Abadi" w:hAnsi="Abadi" w:cs="Verdana"/>
          <w:color w:val="1B1A20"/>
          <w:sz w:val="21"/>
          <w:szCs w:val="21"/>
        </w:rPr>
        <w:t>Guanajuato;</w:t>
      </w:r>
      <w:r w:rsidRPr="00865313">
        <w:rPr>
          <w:rFonts w:ascii="Abadi" w:hAnsi="Abadi" w:cs="Verdana"/>
          <w:color w:val="1B1A20"/>
          <w:spacing w:val="15"/>
          <w:sz w:val="21"/>
          <w:szCs w:val="21"/>
        </w:rPr>
        <w:t xml:space="preserve"> </w:t>
      </w:r>
      <w:r w:rsidRPr="00865313">
        <w:rPr>
          <w:rFonts w:ascii="Abadi" w:hAnsi="Abadi" w:cs="Verdana"/>
          <w:color w:val="1B1A20"/>
          <w:sz w:val="21"/>
          <w:szCs w:val="21"/>
        </w:rPr>
        <w:t>b)</w:t>
      </w:r>
      <w:r w:rsidRPr="00865313">
        <w:rPr>
          <w:rFonts w:ascii="Abadi" w:hAnsi="Abadi" w:cs="Verdana"/>
          <w:color w:val="1B1A20"/>
          <w:spacing w:val="-5"/>
          <w:sz w:val="21"/>
          <w:szCs w:val="21"/>
        </w:rPr>
        <w:t xml:space="preserve"> </w:t>
      </w:r>
      <w:r w:rsidRPr="00865313">
        <w:rPr>
          <w:rFonts w:ascii="Abadi" w:hAnsi="Abadi" w:cs="Calibri"/>
          <w:b/>
          <w:bCs/>
          <w:color w:val="1B1A20"/>
          <w:sz w:val="21"/>
          <w:szCs w:val="21"/>
        </w:rPr>
        <w:t>Original</w:t>
      </w:r>
      <w:r w:rsidRPr="00865313">
        <w:rPr>
          <w:rFonts w:ascii="Abadi" w:hAnsi="Abadi" w:cs="Calibri"/>
          <w:b/>
          <w:bCs/>
          <w:color w:val="1B1A20"/>
          <w:spacing w:val="16"/>
          <w:sz w:val="21"/>
          <w:szCs w:val="21"/>
        </w:rPr>
        <w:t xml:space="preserve"> </w:t>
      </w:r>
      <w:r w:rsidRPr="00865313">
        <w:rPr>
          <w:rFonts w:ascii="Abadi" w:hAnsi="Abadi" w:cs="Calibri"/>
          <w:b/>
          <w:bCs/>
          <w:color w:val="1B1A20"/>
          <w:sz w:val="21"/>
          <w:szCs w:val="21"/>
        </w:rPr>
        <w:t>de</w:t>
      </w:r>
      <w:r w:rsidRPr="00865313">
        <w:rPr>
          <w:rFonts w:ascii="Abadi" w:hAnsi="Abadi" w:cs="Calibri"/>
          <w:b/>
          <w:bCs/>
          <w:color w:val="1B1A20"/>
          <w:spacing w:val="17"/>
          <w:sz w:val="21"/>
          <w:szCs w:val="21"/>
        </w:rPr>
        <w:t xml:space="preserve"> </w:t>
      </w:r>
      <w:r w:rsidRPr="00865313">
        <w:rPr>
          <w:rFonts w:ascii="Abadi" w:hAnsi="Abadi" w:cs="Calibri"/>
          <w:b/>
          <w:bCs/>
          <w:color w:val="1B1A20"/>
          <w:sz w:val="21"/>
          <w:szCs w:val="21"/>
        </w:rPr>
        <w:t>Constancia</w:t>
      </w:r>
      <w:r w:rsidRPr="00865313">
        <w:rPr>
          <w:rFonts w:ascii="Abadi" w:hAnsi="Abadi" w:cs="Calibri"/>
          <w:b/>
          <w:bCs/>
          <w:color w:val="1B1A20"/>
          <w:spacing w:val="19"/>
          <w:sz w:val="21"/>
          <w:szCs w:val="21"/>
        </w:rPr>
        <w:t xml:space="preserve"> </w:t>
      </w:r>
      <w:r w:rsidRPr="00865313">
        <w:rPr>
          <w:rFonts w:ascii="Abadi" w:hAnsi="Abadi" w:cs="Calibri"/>
          <w:b/>
          <w:bCs/>
          <w:color w:val="1B1A20"/>
          <w:sz w:val="21"/>
          <w:szCs w:val="21"/>
        </w:rPr>
        <w:t>de</w:t>
      </w:r>
      <w:r w:rsidRPr="00865313">
        <w:rPr>
          <w:rFonts w:ascii="Abadi" w:hAnsi="Abadi" w:cs="Calibri"/>
          <w:b/>
          <w:bCs/>
          <w:color w:val="1B1A20"/>
          <w:spacing w:val="16"/>
          <w:sz w:val="21"/>
          <w:szCs w:val="21"/>
        </w:rPr>
        <w:t xml:space="preserve"> </w:t>
      </w:r>
      <w:r w:rsidRPr="00865313">
        <w:rPr>
          <w:rFonts w:ascii="Abadi" w:hAnsi="Abadi" w:cs="Calibri"/>
          <w:b/>
          <w:bCs/>
          <w:color w:val="1B1A20"/>
          <w:sz w:val="21"/>
          <w:szCs w:val="21"/>
        </w:rPr>
        <w:t>antecedentes</w:t>
      </w:r>
      <w:r w:rsidRPr="00865313">
        <w:rPr>
          <w:rFonts w:ascii="Abadi" w:hAnsi="Abadi" w:cs="Calibri"/>
          <w:b/>
          <w:bCs/>
          <w:color w:val="1B1A20"/>
          <w:spacing w:val="13"/>
          <w:sz w:val="21"/>
          <w:szCs w:val="21"/>
        </w:rPr>
        <w:t xml:space="preserve"> </w:t>
      </w:r>
      <w:r w:rsidRPr="00865313">
        <w:rPr>
          <w:rFonts w:ascii="Abadi" w:hAnsi="Abadi" w:cs="Calibri"/>
          <w:b/>
          <w:bCs/>
          <w:color w:val="1B1A20"/>
          <w:sz w:val="21"/>
          <w:szCs w:val="21"/>
        </w:rPr>
        <w:t>disciplinarios</w:t>
      </w:r>
      <w:r w:rsidRPr="00865313">
        <w:rPr>
          <w:rFonts w:ascii="Abadi" w:hAnsi="Abadi" w:cs="Calibri"/>
          <w:b/>
          <w:bCs/>
          <w:color w:val="1B1A20"/>
          <w:spacing w:val="22"/>
          <w:sz w:val="21"/>
          <w:szCs w:val="21"/>
        </w:rPr>
        <w:t xml:space="preserve"> </w:t>
      </w:r>
      <w:r w:rsidRPr="00865313">
        <w:rPr>
          <w:rFonts w:ascii="Abadi" w:hAnsi="Abadi" w:cs="Verdana"/>
          <w:color w:val="1B1A20"/>
          <w:sz w:val="21"/>
          <w:szCs w:val="21"/>
        </w:rPr>
        <w:t>expedida</w:t>
      </w:r>
      <w:r w:rsidRPr="00865313">
        <w:rPr>
          <w:rFonts w:ascii="Abadi" w:hAnsi="Abadi" w:cs="Verdana"/>
          <w:color w:val="1B1A20"/>
          <w:spacing w:val="-5"/>
          <w:sz w:val="21"/>
          <w:szCs w:val="21"/>
        </w:rPr>
        <w:t xml:space="preserve"> </w:t>
      </w:r>
      <w:r w:rsidRPr="00865313">
        <w:rPr>
          <w:rFonts w:ascii="Abadi" w:hAnsi="Abadi" w:cs="Verdana"/>
          <w:color w:val="1B1A20"/>
          <w:sz w:val="21"/>
          <w:szCs w:val="21"/>
        </w:rPr>
        <w:t>por</w:t>
      </w:r>
      <w:r w:rsidRPr="00865313">
        <w:rPr>
          <w:rFonts w:ascii="Abadi" w:hAnsi="Abadi" w:cs="Verdana"/>
          <w:color w:val="1B1A20"/>
          <w:spacing w:val="37"/>
          <w:sz w:val="21"/>
          <w:szCs w:val="21"/>
        </w:rPr>
        <w:t xml:space="preserve"> </w:t>
      </w:r>
      <w:r w:rsidRPr="00865313">
        <w:rPr>
          <w:rFonts w:ascii="Abadi" w:hAnsi="Abadi" w:cs="Verdana"/>
          <w:color w:val="1B1A20"/>
          <w:sz w:val="21"/>
          <w:szCs w:val="21"/>
        </w:rPr>
        <w:t>la</w:t>
      </w:r>
      <w:r w:rsidRPr="00865313">
        <w:rPr>
          <w:rFonts w:ascii="Abadi" w:hAnsi="Abadi" w:cs="Verdana"/>
          <w:color w:val="1B1A20"/>
          <w:spacing w:val="49"/>
          <w:sz w:val="21"/>
          <w:szCs w:val="21"/>
        </w:rPr>
        <w:t xml:space="preserve"> </w:t>
      </w:r>
      <w:r w:rsidRPr="00865313">
        <w:rPr>
          <w:rFonts w:ascii="Abadi" w:hAnsi="Abadi" w:cs="Verdana"/>
          <w:color w:val="1B1A20"/>
          <w:sz w:val="21"/>
          <w:szCs w:val="21"/>
        </w:rPr>
        <w:t>Secretaría</w:t>
      </w:r>
      <w:r w:rsidRPr="00865313">
        <w:rPr>
          <w:rFonts w:ascii="Abadi" w:hAnsi="Abadi" w:cs="Verdana"/>
          <w:color w:val="1B1A20"/>
          <w:spacing w:val="40"/>
          <w:sz w:val="21"/>
          <w:szCs w:val="21"/>
        </w:rPr>
        <w:t xml:space="preserve"> </w:t>
      </w:r>
      <w:r w:rsidRPr="00865313">
        <w:rPr>
          <w:rFonts w:ascii="Abadi" w:hAnsi="Abadi" w:cs="Verdana"/>
          <w:color w:val="1B1A20"/>
          <w:sz w:val="21"/>
          <w:szCs w:val="21"/>
        </w:rPr>
        <w:t>de</w:t>
      </w:r>
      <w:r w:rsidRPr="00865313">
        <w:rPr>
          <w:rFonts w:ascii="Abadi" w:hAnsi="Abadi" w:cs="Verdana"/>
          <w:color w:val="1B1A20"/>
          <w:spacing w:val="28"/>
          <w:sz w:val="21"/>
          <w:szCs w:val="21"/>
        </w:rPr>
        <w:t xml:space="preserve"> </w:t>
      </w:r>
      <w:r w:rsidRPr="00865313">
        <w:rPr>
          <w:rFonts w:ascii="Abadi" w:hAnsi="Abadi" w:cs="Verdana"/>
          <w:color w:val="1B1A20"/>
          <w:sz w:val="21"/>
          <w:szCs w:val="21"/>
        </w:rPr>
        <w:t>la</w:t>
      </w:r>
      <w:r w:rsidRPr="00865313">
        <w:rPr>
          <w:rFonts w:ascii="Abadi" w:hAnsi="Abadi" w:cs="Verdana"/>
          <w:color w:val="1B1A20"/>
          <w:spacing w:val="30"/>
          <w:sz w:val="21"/>
          <w:szCs w:val="21"/>
        </w:rPr>
        <w:t xml:space="preserve"> </w:t>
      </w:r>
      <w:r w:rsidRPr="00865313">
        <w:rPr>
          <w:rFonts w:ascii="Abadi" w:hAnsi="Abadi" w:cs="Verdana"/>
          <w:color w:val="1B1A20"/>
          <w:sz w:val="21"/>
          <w:szCs w:val="21"/>
        </w:rPr>
        <w:t>Transparencia</w:t>
      </w:r>
      <w:r w:rsidRPr="00865313">
        <w:rPr>
          <w:rFonts w:ascii="Abadi" w:hAnsi="Abadi" w:cs="Verdana"/>
          <w:color w:val="1B1A20"/>
          <w:spacing w:val="29"/>
          <w:sz w:val="21"/>
          <w:szCs w:val="21"/>
        </w:rPr>
        <w:t xml:space="preserve"> </w:t>
      </w:r>
      <w:r w:rsidRPr="00865313">
        <w:rPr>
          <w:rFonts w:ascii="Abadi" w:hAnsi="Abadi" w:cs="Verdana"/>
          <w:color w:val="1B1A20"/>
          <w:sz w:val="21"/>
          <w:szCs w:val="21"/>
        </w:rPr>
        <w:t>y</w:t>
      </w:r>
      <w:r w:rsidRPr="00865313">
        <w:rPr>
          <w:rFonts w:ascii="Abadi" w:hAnsi="Abadi" w:cs="Verdana"/>
          <w:color w:val="1B1A20"/>
          <w:spacing w:val="54"/>
          <w:sz w:val="21"/>
          <w:szCs w:val="21"/>
        </w:rPr>
        <w:t xml:space="preserve"> </w:t>
      </w:r>
      <w:r w:rsidRPr="00865313">
        <w:rPr>
          <w:rFonts w:ascii="Abadi" w:hAnsi="Abadi" w:cs="Verdana"/>
          <w:color w:val="1B1A20"/>
          <w:sz w:val="21"/>
          <w:szCs w:val="21"/>
        </w:rPr>
        <w:t>Rendición</w:t>
      </w:r>
      <w:r w:rsidRPr="00865313">
        <w:rPr>
          <w:rFonts w:ascii="Abadi" w:hAnsi="Abadi" w:cs="Verdana"/>
          <w:color w:val="1B1A20"/>
          <w:spacing w:val="39"/>
          <w:sz w:val="21"/>
          <w:szCs w:val="21"/>
        </w:rPr>
        <w:t xml:space="preserve"> </w:t>
      </w:r>
      <w:r w:rsidRPr="00865313">
        <w:rPr>
          <w:rFonts w:ascii="Abadi" w:hAnsi="Abadi" w:cs="Verdana"/>
          <w:color w:val="1B1A20"/>
          <w:sz w:val="21"/>
          <w:szCs w:val="21"/>
        </w:rPr>
        <w:t>de</w:t>
      </w:r>
      <w:r w:rsidRPr="00865313">
        <w:rPr>
          <w:rFonts w:ascii="Abadi" w:hAnsi="Abadi" w:cs="Verdana"/>
          <w:color w:val="1B1A20"/>
          <w:spacing w:val="42"/>
          <w:sz w:val="21"/>
          <w:szCs w:val="21"/>
        </w:rPr>
        <w:t xml:space="preserve"> </w:t>
      </w:r>
      <w:r w:rsidRPr="00865313">
        <w:rPr>
          <w:rFonts w:ascii="Abadi" w:hAnsi="Abadi" w:cs="Verdana"/>
          <w:color w:val="1B1A20"/>
          <w:sz w:val="21"/>
          <w:szCs w:val="21"/>
        </w:rPr>
        <w:t>Cuentas;</w:t>
      </w:r>
      <w:r w:rsidRPr="00865313">
        <w:rPr>
          <w:rFonts w:ascii="Abadi" w:hAnsi="Abadi" w:cs="Verdana"/>
          <w:color w:val="1B1A20"/>
          <w:spacing w:val="51"/>
          <w:sz w:val="21"/>
          <w:szCs w:val="21"/>
        </w:rPr>
        <w:t xml:space="preserve"> </w:t>
      </w:r>
      <w:r w:rsidRPr="00865313">
        <w:rPr>
          <w:rFonts w:ascii="Abadi" w:hAnsi="Abadi" w:cs="Verdana"/>
          <w:color w:val="1B1A20"/>
          <w:sz w:val="21"/>
          <w:szCs w:val="21"/>
        </w:rPr>
        <w:t>y</w:t>
      </w:r>
      <w:r w:rsidRPr="00865313">
        <w:rPr>
          <w:rFonts w:ascii="Abadi" w:hAnsi="Abadi" w:cs="Verdana"/>
          <w:color w:val="1B1A20"/>
          <w:spacing w:val="36"/>
          <w:sz w:val="21"/>
          <w:szCs w:val="21"/>
        </w:rPr>
        <w:t xml:space="preserve"> </w:t>
      </w:r>
      <w:r w:rsidRPr="00865313">
        <w:rPr>
          <w:rFonts w:ascii="Abadi" w:hAnsi="Abadi" w:cs="Verdana"/>
          <w:color w:val="1B1A20"/>
          <w:sz w:val="21"/>
          <w:szCs w:val="21"/>
        </w:rPr>
        <w:t>c)</w:t>
      </w:r>
      <w:r w:rsidRPr="00865313">
        <w:rPr>
          <w:rFonts w:ascii="Abadi" w:hAnsi="Abadi" w:cs="Verdana"/>
          <w:color w:val="1B1A20"/>
          <w:spacing w:val="35"/>
          <w:sz w:val="21"/>
          <w:szCs w:val="21"/>
        </w:rPr>
        <w:t xml:space="preserve"> </w:t>
      </w:r>
      <w:r w:rsidRPr="00865313">
        <w:rPr>
          <w:rFonts w:ascii="Abadi" w:hAnsi="Abadi" w:cs="Verdana"/>
          <w:color w:val="1B1A20"/>
          <w:sz w:val="21"/>
          <w:szCs w:val="21"/>
        </w:rPr>
        <w:t>Original</w:t>
      </w:r>
      <w:r w:rsidRPr="00865313">
        <w:rPr>
          <w:rFonts w:ascii="Abadi" w:hAnsi="Abadi" w:cs="Verdana"/>
          <w:color w:val="1B1A20"/>
          <w:spacing w:val="44"/>
          <w:sz w:val="21"/>
          <w:szCs w:val="21"/>
        </w:rPr>
        <w:t xml:space="preserve"> </w:t>
      </w:r>
      <w:r w:rsidRPr="00865313">
        <w:rPr>
          <w:rFonts w:ascii="Abadi" w:hAnsi="Abadi" w:cs="Verdana"/>
          <w:color w:val="1B1A20"/>
          <w:sz w:val="21"/>
          <w:szCs w:val="21"/>
        </w:rPr>
        <w:t>de</w:t>
      </w:r>
      <w:r w:rsidRPr="00865313">
        <w:rPr>
          <w:rFonts w:ascii="Abadi" w:hAnsi="Abadi" w:cs="Verdana"/>
          <w:color w:val="1B1A20"/>
          <w:spacing w:val="31"/>
          <w:sz w:val="21"/>
          <w:szCs w:val="21"/>
        </w:rPr>
        <w:t xml:space="preserve"> </w:t>
      </w:r>
      <w:r w:rsidRPr="00865313">
        <w:rPr>
          <w:rFonts w:ascii="Abadi" w:hAnsi="Abadi" w:cs="Verdana"/>
          <w:color w:val="1B1A20"/>
          <w:sz w:val="21"/>
          <w:szCs w:val="21"/>
        </w:rPr>
        <w:t>escrito</w:t>
      </w:r>
      <w:r w:rsidRPr="00865313">
        <w:rPr>
          <w:rFonts w:ascii="Abadi" w:hAnsi="Abadi" w:cs="Verdana"/>
          <w:color w:val="1B1A20"/>
          <w:spacing w:val="-5"/>
          <w:sz w:val="21"/>
          <w:szCs w:val="21"/>
        </w:rPr>
        <w:t xml:space="preserve"> </w:t>
      </w:r>
      <w:r w:rsidRPr="00865313">
        <w:rPr>
          <w:rFonts w:ascii="Abadi" w:hAnsi="Abadi" w:cs="Verdana"/>
          <w:color w:val="1B1A20"/>
          <w:sz w:val="21"/>
          <w:szCs w:val="21"/>
        </w:rPr>
        <w:t>firmado</w:t>
      </w:r>
      <w:r w:rsidRPr="00865313">
        <w:rPr>
          <w:rFonts w:ascii="Abadi" w:hAnsi="Abadi" w:cs="Verdana"/>
          <w:color w:val="1B1A20"/>
          <w:spacing w:val="31"/>
          <w:sz w:val="21"/>
          <w:szCs w:val="21"/>
        </w:rPr>
        <w:t xml:space="preserve"> </w:t>
      </w:r>
      <w:r w:rsidRPr="00865313">
        <w:rPr>
          <w:rFonts w:ascii="Abadi" w:hAnsi="Abadi" w:cs="Verdana"/>
          <w:color w:val="1B1A20"/>
          <w:sz w:val="21"/>
          <w:szCs w:val="21"/>
        </w:rPr>
        <w:t>en</w:t>
      </w:r>
      <w:r w:rsidRPr="00865313">
        <w:rPr>
          <w:rFonts w:ascii="Abadi" w:hAnsi="Abadi" w:cs="Verdana"/>
          <w:color w:val="1B1A20"/>
          <w:spacing w:val="30"/>
          <w:sz w:val="21"/>
          <w:szCs w:val="21"/>
        </w:rPr>
        <w:t xml:space="preserve"> </w:t>
      </w:r>
      <w:r w:rsidRPr="00865313">
        <w:rPr>
          <w:rFonts w:ascii="Abadi" w:hAnsi="Abadi" w:cs="Verdana"/>
          <w:color w:val="1B1A20"/>
          <w:sz w:val="21"/>
          <w:szCs w:val="21"/>
        </w:rPr>
        <w:t>el</w:t>
      </w:r>
      <w:r w:rsidRPr="00865313">
        <w:rPr>
          <w:rFonts w:ascii="Abadi" w:hAnsi="Abadi" w:cs="Verdana"/>
          <w:color w:val="1B1A20"/>
          <w:spacing w:val="33"/>
          <w:sz w:val="21"/>
          <w:szCs w:val="21"/>
        </w:rPr>
        <w:t xml:space="preserve"> </w:t>
      </w:r>
      <w:r w:rsidRPr="00865313">
        <w:rPr>
          <w:rFonts w:ascii="Abadi" w:hAnsi="Abadi" w:cs="Verdana"/>
          <w:color w:val="1B1A20"/>
          <w:sz w:val="21"/>
          <w:szCs w:val="21"/>
        </w:rPr>
        <w:t>que</w:t>
      </w:r>
      <w:r w:rsidRPr="00865313">
        <w:rPr>
          <w:rFonts w:ascii="Abadi" w:hAnsi="Abadi" w:cs="Verdana"/>
          <w:color w:val="1B1A20"/>
          <w:spacing w:val="34"/>
          <w:sz w:val="21"/>
          <w:szCs w:val="21"/>
        </w:rPr>
        <w:t xml:space="preserve"> </w:t>
      </w:r>
      <w:r w:rsidRPr="00865313">
        <w:rPr>
          <w:rFonts w:ascii="Abadi" w:hAnsi="Abadi" w:cs="Calibri"/>
          <w:b/>
          <w:bCs/>
          <w:color w:val="1B1A20"/>
          <w:sz w:val="21"/>
          <w:szCs w:val="21"/>
        </w:rPr>
        <w:t>autoriza</w:t>
      </w:r>
      <w:r w:rsidRPr="00865313">
        <w:rPr>
          <w:rFonts w:ascii="Abadi" w:hAnsi="Abadi" w:cs="Calibri"/>
          <w:b/>
          <w:bCs/>
          <w:color w:val="1B1A20"/>
          <w:spacing w:val="49"/>
          <w:sz w:val="21"/>
          <w:szCs w:val="21"/>
        </w:rPr>
        <w:t xml:space="preserve"> </w:t>
      </w:r>
      <w:r w:rsidRPr="00865313">
        <w:rPr>
          <w:rFonts w:ascii="Abadi" w:hAnsi="Abadi" w:cs="Calibri"/>
          <w:b/>
          <w:bCs/>
          <w:color w:val="1B1A20"/>
          <w:sz w:val="21"/>
          <w:szCs w:val="21"/>
        </w:rPr>
        <w:t>a</w:t>
      </w:r>
      <w:r w:rsidRPr="00865313">
        <w:rPr>
          <w:rFonts w:ascii="Abadi" w:hAnsi="Abadi" w:cs="Calibri"/>
          <w:b/>
          <w:bCs/>
          <w:color w:val="1B1A20"/>
          <w:spacing w:val="51"/>
          <w:sz w:val="21"/>
          <w:szCs w:val="21"/>
        </w:rPr>
        <w:t xml:space="preserve"> </w:t>
      </w:r>
      <w:r w:rsidRPr="00865313">
        <w:rPr>
          <w:rFonts w:ascii="Abadi" w:hAnsi="Abadi" w:cs="Calibri"/>
          <w:b/>
          <w:bCs/>
          <w:color w:val="1B1A20"/>
          <w:sz w:val="21"/>
          <w:szCs w:val="21"/>
        </w:rPr>
        <w:t>que</w:t>
      </w:r>
      <w:r w:rsidRPr="00865313">
        <w:rPr>
          <w:rFonts w:ascii="Abadi" w:hAnsi="Abadi" w:cs="Calibri"/>
          <w:b/>
          <w:bCs/>
          <w:color w:val="1B1A20"/>
          <w:spacing w:val="47"/>
          <w:sz w:val="21"/>
          <w:szCs w:val="21"/>
        </w:rPr>
        <w:t xml:space="preserve"> </w:t>
      </w:r>
      <w:r w:rsidRPr="00865313">
        <w:rPr>
          <w:rFonts w:ascii="Abadi" w:hAnsi="Abadi" w:cs="Calibri"/>
          <w:b/>
          <w:bCs/>
          <w:color w:val="1B1A20"/>
          <w:sz w:val="21"/>
          <w:szCs w:val="21"/>
        </w:rPr>
        <w:t>se</w:t>
      </w:r>
      <w:r w:rsidRPr="00865313">
        <w:rPr>
          <w:rFonts w:ascii="Abadi" w:hAnsi="Abadi" w:cs="Calibri"/>
          <w:b/>
          <w:bCs/>
          <w:color w:val="1B1A20"/>
          <w:spacing w:val="53"/>
          <w:sz w:val="21"/>
          <w:szCs w:val="21"/>
        </w:rPr>
        <w:t xml:space="preserve"> </w:t>
      </w:r>
      <w:r w:rsidRPr="00865313">
        <w:rPr>
          <w:rFonts w:ascii="Abadi" w:hAnsi="Abadi" w:cs="Calibri"/>
          <w:b/>
          <w:bCs/>
          <w:color w:val="1B1A20"/>
          <w:sz w:val="21"/>
          <w:szCs w:val="21"/>
        </w:rPr>
        <w:t>difunda,</w:t>
      </w:r>
      <w:r w:rsidRPr="00865313">
        <w:rPr>
          <w:rFonts w:ascii="Abadi" w:hAnsi="Abadi" w:cs="Calibri"/>
          <w:b/>
          <w:bCs/>
          <w:color w:val="1B1A20"/>
          <w:spacing w:val="53"/>
          <w:sz w:val="21"/>
          <w:szCs w:val="21"/>
        </w:rPr>
        <w:t xml:space="preserve"> </w:t>
      </w:r>
      <w:r w:rsidRPr="00865313">
        <w:rPr>
          <w:rFonts w:ascii="Abadi" w:hAnsi="Abadi" w:cs="Calibri"/>
          <w:b/>
          <w:bCs/>
          <w:color w:val="1B1A20"/>
          <w:sz w:val="21"/>
          <w:szCs w:val="21"/>
        </w:rPr>
        <w:t>en</w:t>
      </w:r>
      <w:r w:rsidRPr="00865313">
        <w:rPr>
          <w:rFonts w:ascii="Abadi" w:hAnsi="Abadi" w:cs="Calibri"/>
          <w:b/>
          <w:bCs/>
          <w:color w:val="1B1A20"/>
          <w:spacing w:val="46"/>
          <w:sz w:val="21"/>
          <w:szCs w:val="21"/>
        </w:rPr>
        <w:t xml:space="preserve"> </w:t>
      </w:r>
      <w:r w:rsidRPr="00865313">
        <w:rPr>
          <w:rFonts w:ascii="Abadi" w:hAnsi="Abadi" w:cs="Calibri"/>
          <w:b/>
          <w:bCs/>
          <w:color w:val="1B1A20"/>
          <w:sz w:val="21"/>
          <w:szCs w:val="21"/>
        </w:rPr>
        <w:t>versión</w:t>
      </w:r>
      <w:r w:rsidRPr="00865313">
        <w:rPr>
          <w:rFonts w:ascii="Abadi" w:hAnsi="Abadi" w:cs="Calibri"/>
          <w:b/>
          <w:bCs/>
          <w:color w:val="1B1A20"/>
          <w:spacing w:val="45"/>
          <w:sz w:val="21"/>
          <w:szCs w:val="21"/>
        </w:rPr>
        <w:t xml:space="preserve"> </w:t>
      </w:r>
      <w:r w:rsidRPr="00865313">
        <w:rPr>
          <w:rFonts w:ascii="Abadi" w:hAnsi="Abadi" w:cs="Calibri"/>
          <w:b/>
          <w:bCs/>
          <w:color w:val="1B1A20"/>
          <w:sz w:val="21"/>
          <w:szCs w:val="21"/>
        </w:rPr>
        <w:t>pública,</w:t>
      </w:r>
      <w:r w:rsidRPr="00865313">
        <w:rPr>
          <w:rFonts w:ascii="Abadi" w:hAnsi="Abadi" w:cs="Calibri"/>
          <w:b/>
          <w:bCs/>
          <w:color w:val="1B1A20"/>
          <w:spacing w:val="6"/>
          <w:sz w:val="21"/>
          <w:szCs w:val="21"/>
        </w:rPr>
        <w:t xml:space="preserve"> </w:t>
      </w:r>
      <w:r w:rsidRPr="00865313">
        <w:rPr>
          <w:rFonts w:ascii="Abadi" w:hAnsi="Abadi" w:cs="Verdana"/>
          <w:color w:val="1B1A20"/>
          <w:sz w:val="21"/>
          <w:szCs w:val="21"/>
        </w:rPr>
        <w:t>los</w:t>
      </w:r>
      <w:r w:rsidRPr="00865313">
        <w:rPr>
          <w:rFonts w:ascii="Abadi" w:hAnsi="Abadi" w:cs="Verdana"/>
          <w:color w:val="1B1A20"/>
          <w:spacing w:val="32"/>
          <w:sz w:val="21"/>
          <w:szCs w:val="21"/>
        </w:rPr>
        <w:t xml:space="preserve"> </w:t>
      </w:r>
      <w:r w:rsidRPr="00865313">
        <w:rPr>
          <w:rFonts w:ascii="Abadi" w:hAnsi="Abadi" w:cs="Verdana"/>
          <w:color w:val="1B1A20"/>
          <w:sz w:val="21"/>
          <w:szCs w:val="21"/>
        </w:rPr>
        <w:t>documentes</w:t>
      </w:r>
      <w:r w:rsidRPr="00865313">
        <w:rPr>
          <w:rFonts w:ascii="Abadi" w:hAnsi="Abadi" w:cs="Verdana"/>
          <w:color w:val="1B1A20"/>
          <w:spacing w:val="34"/>
          <w:sz w:val="21"/>
          <w:szCs w:val="21"/>
        </w:rPr>
        <w:t xml:space="preserve"> </w:t>
      </w:r>
      <w:r w:rsidRPr="00865313">
        <w:rPr>
          <w:rFonts w:ascii="Abadi" w:hAnsi="Abadi" w:cs="Verdana"/>
          <w:color w:val="1B1A20"/>
          <w:sz w:val="21"/>
          <w:szCs w:val="21"/>
        </w:rPr>
        <w:t>que</w:t>
      </w:r>
      <w:r w:rsidRPr="00865313">
        <w:rPr>
          <w:rFonts w:ascii="Abadi" w:hAnsi="Abadi" w:cs="Verdana"/>
          <w:color w:val="1B1A20"/>
          <w:spacing w:val="-3"/>
          <w:sz w:val="21"/>
          <w:szCs w:val="21"/>
        </w:rPr>
        <w:t xml:space="preserve"> </w:t>
      </w:r>
      <w:r w:rsidRPr="00865313">
        <w:rPr>
          <w:rFonts w:ascii="Abadi" w:hAnsi="Abadi" w:cs="Verdana"/>
          <w:color w:val="1B1A20"/>
          <w:sz w:val="21"/>
          <w:szCs w:val="21"/>
        </w:rPr>
        <w:t>integren</w:t>
      </w:r>
      <w:r w:rsidRPr="00865313">
        <w:rPr>
          <w:rFonts w:ascii="Abadi" w:hAnsi="Abadi" w:cs="Verdana"/>
          <w:color w:val="1B1A20"/>
          <w:spacing w:val="-9"/>
          <w:sz w:val="21"/>
          <w:szCs w:val="21"/>
        </w:rPr>
        <w:t xml:space="preserve"> </w:t>
      </w:r>
      <w:r w:rsidRPr="00865313">
        <w:rPr>
          <w:rFonts w:ascii="Abadi" w:hAnsi="Abadi" w:cs="Verdana"/>
          <w:color w:val="1B1A20"/>
          <w:sz w:val="21"/>
          <w:szCs w:val="21"/>
        </w:rPr>
        <w:t>el</w:t>
      </w:r>
      <w:r w:rsidRPr="00865313">
        <w:rPr>
          <w:rFonts w:ascii="Abadi" w:hAnsi="Abadi" w:cs="Verdana"/>
          <w:color w:val="1B1A20"/>
          <w:spacing w:val="-14"/>
          <w:sz w:val="21"/>
          <w:szCs w:val="21"/>
        </w:rPr>
        <w:t xml:space="preserve"> </w:t>
      </w:r>
      <w:r w:rsidRPr="00865313">
        <w:rPr>
          <w:rFonts w:ascii="Abadi" w:hAnsi="Abadi" w:cs="Verdana"/>
          <w:color w:val="1B1A20"/>
          <w:sz w:val="21"/>
          <w:szCs w:val="21"/>
        </w:rPr>
        <w:t>expediente</w:t>
      </w:r>
      <w:r w:rsidRPr="00865313">
        <w:rPr>
          <w:rFonts w:ascii="Abadi" w:hAnsi="Abadi" w:cs="Verdana"/>
          <w:color w:val="1B1A20"/>
          <w:spacing w:val="-13"/>
          <w:sz w:val="21"/>
          <w:szCs w:val="21"/>
        </w:rPr>
        <w:t xml:space="preserve"> </w:t>
      </w:r>
      <w:r w:rsidRPr="00865313">
        <w:rPr>
          <w:rFonts w:ascii="Abadi" w:hAnsi="Abadi" w:cs="Verdana"/>
          <w:color w:val="1B1A20"/>
          <w:sz w:val="21"/>
          <w:szCs w:val="21"/>
        </w:rPr>
        <w:t>respectivo.</w:t>
      </w:r>
    </w:p>
    <w:p w14:paraId="49F5A7AB" w14:textId="77777777" w:rsidR="000D2925" w:rsidRDefault="000D2925" w:rsidP="00A7016E">
      <w:pPr>
        <w:kinsoku w:val="0"/>
        <w:overflowPunct w:val="0"/>
        <w:autoSpaceDE w:val="0"/>
        <w:autoSpaceDN w:val="0"/>
        <w:adjustRightInd w:val="0"/>
        <w:spacing w:before="1" w:line="264" w:lineRule="auto"/>
        <w:ind w:right="243"/>
        <w:jc w:val="both"/>
        <w:rPr>
          <w:rFonts w:ascii="Abadi" w:hAnsi="Abadi" w:cs="Verdana"/>
          <w:sz w:val="21"/>
          <w:szCs w:val="21"/>
        </w:rPr>
      </w:pPr>
    </w:p>
    <w:p w14:paraId="49368E3E" w14:textId="7C079540" w:rsidR="00A7016E" w:rsidRDefault="00A7016E" w:rsidP="00A7016E">
      <w:pPr>
        <w:kinsoku w:val="0"/>
        <w:overflowPunct w:val="0"/>
        <w:autoSpaceDE w:val="0"/>
        <w:autoSpaceDN w:val="0"/>
        <w:adjustRightInd w:val="0"/>
        <w:spacing w:before="1" w:line="264" w:lineRule="auto"/>
        <w:ind w:right="243"/>
        <w:jc w:val="both"/>
        <w:rPr>
          <w:rFonts w:ascii="Abadi" w:hAnsi="Abadi" w:cs="Verdana"/>
          <w:color w:val="1D1D21"/>
          <w:sz w:val="21"/>
          <w:szCs w:val="21"/>
        </w:rPr>
      </w:pPr>
      <w:r w:rsidRPr="00865313">
        <w:rPr>
          <w:rFonts w:ascii="Abadi" w:hAnsi="Abadi" w:cs="Verdana"/>
          <w:color w:val="1D1D21"/>
          <w:sz w:val="21"/>
          <w:szCs w:val="21"/>
        </w:rPr>
        <w:t>Como</w:t>
      </w:r>
      <w:r w:rsidRPr="00865313">
        <w:rPr>
          <w:rFonts w:ascii="Abadi" w:hAnsi="Abadi" w:cs="Verdana"/>
          <w:color w:val="1D1D21"/>
          <w:spacing w:val="31"/>
          <w:sz w:val="21"/>
          <w:szCs w:val="21"/>
        </w:rPr>
        <w:t xml:space="preserve"> </w:t>
      </w:r>
      <w:r w:rsidRPr="00865313">
        <w:rPr>
          <w:rFonts w:ascii="Abadi" w:hAnsi="Abadi" w:cs="Verdana"/>
          <w:color w:val="1D1D21"/>
          <w:sz w:val="21"/>
          <w:szCs w:val="21"/>
        </w:rPr>
        <w:t>parte</w:t>
      </w:r>
      <w:r w:rsidRPr="00865313">
        <w:rPr>
          <w:rFonts w:ascii="Abadi" w:hAnsi="Abadi" w:cs="Verdana"/>
          <w:color w:val="1D1D21"/>
          <w:spacing w:val="35"/>
          <w:sz w:val="21"/>
          <w:szCs w:val="21"/>
        </w:rPr>
        <w:t xml:space="preserve"> </w:t>
      </w:r>
      <w:r w:rsidRPr="00865313">
        <w:rPr>
          <w:rFonts w:ascii="Abadi" w:hAnsi="Abadi" w:cs="Verdana"/>
          <w:color w:val="1D1D21"/>
          <w:sz w:val="21"/>
          <w:szCs w:val="21"/>
        </w:rPr>
        <w:t>del</w:t>
      </w:r>
      <w:r w:rsidRPr="00865313">
        <w:rPr>
          <w:rFonts w:ascii="Abadi" w:hAnsi="Abadi" w:cs="Verdana"/>
          <w:color w:val="1D1D21"/>
          <w:spacing w:val="31"/>
          <w:sz w:val="21"/>
          <w:szCs w:val="21"/>
        </w:rPr>
        <w:t xml:space="preserve"> </w:t>
      </w:r>
      <w:r w:rsidRPr="00865313">
        <w:rPr>
          <w:rFonts w:ascii="Abadi" w:hAnsi="Abadi" w:cs="Verdana"/>
          <w:color w:val="1D1D21"/>
          <w:sz w:val="21"/>
          <w:szCs w:val="21"/>
        </w:rPr>
        <w:t>proceso</w:t>
      </w:r>
      <w:r w:rsidRPr="00865313">
        <w:rPr>
          <w:rFonts w:ascii="Abadi" w:hAnsi="Abadi" w:cs="Verdana"/>
          <w:color w:val="1D1D21"/>
          <w:spacing w:val="29"/>
          <w:sz w:val="21"/>
          <w:szCs w:val="21"/>
        </w:rPr>
        <w:t xml:space="preserve"> </w:t>
      </w:r>
      <w:r w:rsidRPr="00865313">
        <w:rPr>
          <w:rFonts w:ascii="Abadi" w:hAnsi="Abadi" w:cs="Verdana"/>
          <w:color w:val="1D1D21"/>
          <w:sz w:val="21"/>
          <w:szCs w:val="21"/>
        </w:rPr>
        <w:t>de</w:t>
      </w:r>
      <w:r w:rsidRPr="00865313">
        <w:rPr>
          <w:rFonts w:ascii="Abadi" w:hAnsi="Abadi" w:cs="Verdana"/>
          <w:color w:val="1D1D21"/>
          <w:spacing w:val="33"/>
          <w:sz w:val="21"/>
          <w:szCs w:val="21"/>
        </w:rPr>
        <w:t xml:space="preserve"> </w:t>
      </w:r>
      <w:r w:rsidRPr="00865313">
        <w:rPr>
          <w:rFonts w:ascii="Abadi" w:hAnsi="Abadi" w:cs="Verdana"/>
          <w:color w:val="1D1D21"/>
          <w:sz w:val="21"/>
          <w:szCs w:val="21"/>
        </w:rPr>
        <w:t>previa</w:t>
      </w:r>
      <w:r w:rsidRPr="00865313">
        <w:rPr>
          <w:rFonts w:ascii="Abadi" w:hAnsi="Abadi" w:cs="Verdana"/>
          <w:color w:val="1D1D21"/>
          <w:spacing w:val="43"/>
          <w:sz w:val="21"/>
          <w:szCs w:val="21"/>
        </w:rPr>
        <w:t xml:space="preserve"> </w:t>
      </w:r>
      <w:r w:rsidRPr="00865313">
        <w:rPr>
          <w:rFonts w:ascii="Abadi" w:hAnsi="Abadi" w:cs="Verdana"/>
          <w:color w:val="1D1D21"/>
          <w:sz w:val="21"/>
          <w:szCs w:val="21"/>
        </w:rPr>
        <w:t>mención,</w:t>
      </w:r>
      <w:r w:rsidRPr="00865313">
        <w:rPr>
          <w:rFonts w:ascii="Abadi" w:hAnsi="Abadi" w:cs="Verdana"/>
          <w:color w:val="1D1D21"/>
          <w:spacing w:val="55"/>
          <w:sz w:val="21"/>
          <w:szCs w:val="21"/>
        </w:rPr>
        <w:t xml:space="preserve"> </w:t>
      </w:r>
      <w:r w:rsidRPr="00865313">
        <w:rPr>
          <w:rFonts w:ascii="Abadi" w:hAnsi="Abadi" w:cs="Verdana"/>
          <w:color w:val="1D1D21"/>
          <w:sz w:val="21"/>
          <w:szCs w:val="21"/>
        </w:rPr>
        <w:t>se</w:t>
      </w:r>
      <w:r w:rsidRPr="00865313">
        <w:rPr>
          <w:rFonts w:ascii="Abadi" w:hAnsi="Abadi" w:cs="Verdana"/>
          <w:color w:val="1D1D21"/>
          <w:spacing w:val="28"/>
          <w:sz w:val="21"/>
          <w:szCs w:val="21"/>
        </w:rPr>
        <w:t xml:space="preserve"> </w:t>
      </w:r>
      <w:r w:rsidRPr="00865313">
        <w:rPr>
          <w:rFonts w:ascii="Abadi" w:hAnsi="Abadi" w:cs="Verdana"/>
          <w:color w:val="1D1D21"/>
          <w:sz w:val="21"/>
          <w:szCs w:val="21"/>
        </w:rPr>
        <w:t>adjuntan</w:t>
      </w:r>
      <w:r w:rsidRPr="00865313">
        <w:rPr>
          <w:rFonts w:ascii="Abadi" w:hAnsi="Abadi" w:cs="Verdana"/>
          <w:color w:val="1D1D21"/>
          <w:spacing w:val="36"/>
          <w:sz w:val="21"/>
          <w:szCs w:val="21"/>
        </w:rPr>
        <w:t xml:space="preserve"> </w:t>
      </w:r>
      <w:r w:rsidRPr="00865313">
        <w:rPr>
          <w:rFonts w:ascii="Abadi" w:hAnsi="Abadi" w:cs="Verdana"/>
          <w:color w:val="1D1D21"/>
          <w:sz w:val="21"/>
          <w:szCs w:val="21"/>
        </w:rPr>
        <w:t>los</w:t>
      </w:r>
      <w:r w:rsidRPr="00865313">
        <w:rPr>
          <w:rFonts w:ascii="Abadi" w:hAnsi="Abadi" w:cs="Verdana"/>
          <w:color w:val="1D1D21"/>
          <w:spacing w:val="33"/>
          <w:sz w:val="21"/>
          <w:szCs w:val="21"/>
        </w:rPr>
        <w:t xml:space="preserve"> </w:t>
      </w:r>
      <w:r w:rsidRPr="00865313">
        <w:rPr>
          <w:rFonts w:ascii="Abadi" w:hAnsi="Abadi" w:cs="Verdana"/>
          <w:color w:val="1D1D21"/>
          <w:sz w:val="21"/>
          <w:szCs w:val="21"/>
        </w:rPr>
        <w:t>testigos</w:t>
      </w:r>
      <w:r w:rsidRPr="00865313">
        <w:rPr>
          <w:rFonts w:ascii="Abadi" w:hAnsi="Abadi" w:cs="Verdana"/>
          <w:color w:val="1D1D21"/>
          <w:spacing w:val="33"/>
          <w:sz w:val="21"/>
          <w:szCs w:val="21"/>
        </w:rPr>
        <w:t xml:space="preserve"> </w:t>
      </w:r>
      <w:r w:rsidRPr="00865313">
        <w:rPr>
          <w:rFonts w:ascii="Abadi" w:hAnsi="Abadi" w:cs="Verdana"/>
          <w:color w:val="1D1D21"/>
          <w:sz w:val="21"/>
          <w:szCs w:val="21"/>
        </w:rPr>
        <w:t>de</w:t>
      </w:r>
      <w:r w:rsidRPr="00865313">
        <w:rPr>
          <w:rFonts w:ascii="Abadi" w:hAnsi="Abadi" w:cs="Verdana"/>
          <w:color w:val="1D1D21"/>
          <w:spacing w:val="38"/>
          <w:sz w:val="21"/>
          <w:szCs w:val="21"/>
        </w:rPr>
        <w:t xml:space="preserve"> </w:t>
      </w:r>
      <w:r w:rsidRPr="00865313">
        <w:rPr>
          <w:rFonts w:ascii="Abadi" w:hAnsi="Abadi" w:cs="Verdana"/>
          <w:color w:val="1D1D21"/>
          <w:sz w:val="21"/>
          <w:szCs w:val="21"/>
        </w:rPr>
        <w:t>publicación</w:t>
      </w:r>
      <w:r w:rsidRPr="00865313">
        <w:rPr>
          <w:rFonts w:ascii="Abadi" w:hAnsi="Abadi" w:cs="Verdana"/>
          <w:color w:val="1D1D21"/>
          <w:spacing w:val="39"/>
          <w:sz w:val="21"/>
          <w:szCs w:val="21"/>
        </w:rPr>
        <w:t xml:space="preserve"> </w:t>
      </w:r>
      <w:r w:rsidRPr="00865313">
        <w:rPr>
          <w:rFonts w:ascii="Abadi" w:hAnsi="Abadi" w:cs="Verdana"/>
          <w:color w:val="1D1D21"/>
          <w:sz w:val="21"/>
          <w:szCs w:val="21"/>
        </w:rPr>
        <w:t>de</w:t>
      </w:r>
      <w:r w:rsidRPr="00865313">
        <w:rPr>
          <w:rFonts w:ascii="Abadi" w:hAnsi="Abadi" w:cs="Verdana"/>
          <w:color w:val="1D1D21"/>
          <w:spacing w:val="33"/>
          <w:sz w:val="21"/>
          <w:szCs w:val="21"/>
        </w:rPr>
        <w:t xml:space="preserve"> </w:t>
      </w:r>
      <w:r w:rsidRPr="00865313">
        <w:rPr>
          <w:rFonts w:ascii="Abadi" w:hAnsi="Abadi" w:cs="Verdana"/>
          <w:color w:val="1D1D21"/>
          <w:sz w:val="21"/>
          <w:szCs w:val="21"/>
        </w:rPr>
        <w:t>la</w:t>
      </w:r>
      <w:r w:rsidRPr="00865313">
        <w:rPr>
          <w:rFonts w:ascii="Abadi" w:hAnsi="Abadi" w:cs="Verdana"/>
          <w:color w:val="1D1D21"/>
          <w:spacing w:val="-5"/>
          <w:sz w:val="21"/>
          <w:szCs w:val="21"/>
        </w:rPr>
        <w:t xml:space="preserve"> </w:t>
      </w:r>
      <w:r w:rsidRPr="00865313">
        <w:rPr>
          <w:rFonts w:ascii="Abadi" w:hAnsi="Abadi" w:cs="Verdana"/>
          <w:color w:val="1D1D21"/>
          <w:sz w:val="21"/>
          <w:szCs w:val="21"/>
        </w:rPr>
        <w:t>respectiva</w:t>
      </w:r>
      <w:r w:rsidRPr="00865313">
        <w:rPr>
          <w:rFonts w:ascii="Abadi" w:hAnsi="Abadi" w:cs="Verdana"/>
          <w:color w:val="1D1D21"/>
          <w:spacing w:val="5"/>
          <w:sz w:val="21"/>
          <w:szCs w:val="21"/>
        </w:rPr>
        <w:t xml:space="preserve"> </w:t>
      </w:r>
      <w:r w:rsidRPr="00865313">
        <w:rPr>
          <w:rFonts w:ascii="Abadi" w:hAnsi="Abadi" w:cs="Verdana"/>
          <w:color w:val="1D1D21"/>
          <w:sz w:val="21"/>
          <w:szCs w:val="21"/>
        </w:rPr>
        <w:t>convocatoria</w:t>
      </w:r>
      <w:r w:rsidRPr="00865313">
        <w:rPr>
          <w:rFonts w:ascii="Abadi" w:hAnsi="Abadi" w:cs="Verdana"/>
          <w:color w:val="1D1D21"/>
          <w:spacing w:val="-2"/>
          <w:sz w:val="21"/>
          <w:szCs w:val="21"/>
        </w:rPr>
        <w:t xml:space="preserve"> </w:t>
      </w:r>
      <w:r w:rsidRPr="00865313">
        <w:rPr>
          <w:rFonts w:ascii="Abadi" w:hAnsi="Abadi" w:cs="Verdana"/>
          <w:color w:val="1D1D21"/>
          <w:sz w:val="21"/>
          <w:szCs w:val="21"/>
        </w:rPr>
        <w:t>en:</w:t>
      </w:r>
    </w:p>
    <w:p w14:paraId="0E6806E5" w14:textId="77777777" w:rsidR="000D2925" w:rsidRPr="00865313" w:rsidRDefault="000D2925" w:rsidP="00A7016E">
      <w:pPr>
        <w:kinsoku w:val="0"/>
        <w:overflowPunct w:val="0"/>
        <w:autoSpaceDE w:val="0"/>
        <w:autoSpaceDN w:val="0"/>
        <w:adjustRightInd w:val="0"/>
        <w:spacing w:before="1" w:line="264" w:lineRule="auto"/>
        <w:ind w:right="243"/>
        <w:jc w:val="both"/>
        <w:rPr>
          <w:rFonts w:ascii="Abadi" w:hAnsi="Abadi" w:cs="Verdana"/>
          <w:color w:val="1D1D21"/>
          <w:sz w:val="21"/>
          <w:szCs w:val="21"/>
        </w:rPr>
      </w:pPr>
    </w:p>
    <w:p w14:paraId="52C0D34C" w14:textId="7546DA9E" w:rsidR="006807BE" w:rsidRPr="00DE5E0E" w:rsidRDefault="00A7016E" w:rsidP="000521BE">
      <w:pPr>
        <w:pStyle w:val="Prrafodelista"/>
        <w:numPr>
          <w:ilvl w:val="0"/>
          <w:numId w:val="52"/>
        </w:numPr>
        <w:tabs>
          <w:tab w:val="left" w:pos="537"/>
        </w:tabs>
        <w:kinsoku w:val="0"/>
        <w:overflowPunct w:val="0"/>
        <w:autoSpaceDE w:val="0"/>
        <w:autoSpaceDN w:val="0"/>
        <w:adjustRightInd w:val="0"/>
        <w:spacing w:line="261" w:lineRule="auto"/>
        <w:ind w:right="159"/>
        <w:contextualSpacing/>
        <w:jc w:val="both"/>
        <w:rPr>
          <w:rFonts w:ascii="Abadi" w:hAnsi="Abadi" w:cs="Verdana"/>
          <w:color w:val="1E1E23"/>
          <w:sz w:val="21"/>
          <w:szCs w:val="21"/>
        </w:rPr>
      </w:pPr>
      <w:r w:rsidRPr="00DE5E0E">
        <w:rPr>
          <w:rFonts w:ascii="Abadi" w:hAnsi="Abadi" w:cs="Verdana"/>
          <w:color w:val="1E1E23"/>
          <w:sz w:val="21"/>
          <w:szCs w:val="21"/>
        </w:rPr>
        <w:t>Periódico</w:t>
      </w:r>
      <w:r w:rsidRPr="00DE5E0E">
        <w:rPr>
          <w:rFonts w:ascii="Abadi" w:hAnsi="Abadi" w:cs="Verdana"/>
          <w:color w:val="1E1E23"/>
          <w:spacing w:val="22"/>
          <w:sz w:val="21"/>
          <w:szCs w:val="21"/>
        </w:rPr>
        <w:t xml:space="preserve"> </w:t>
      </w:r>
      <w:r w:rsidRPr="00DE5E0E">
        <w:rPr>
          <w:rFonts w:ascii="Abadi" w:hAnsi="Abadi" w:cs="Verdana"/>
          <w:color w:val="1E1E23"/>
          <w:sz w:val="21"/>
          <w:szCs w:val="21"/>
        </w:rPr>
        <w:t>Oficial</w:t>
      </w:r>
      <w:r w:rsidRPr="00DE5E0E">
        <w:rPr>
          <w:rFonts w:ascii="Abadi" w:hAnsi="Abadi" w:cs="Verdana"/>
          <w:color w:val="1E1E23"/>
          <w:spacing w:val="23"/>
          <w:sz w:val="21"/>
          <w:szCs w:val="21"/>
        </w:rPr>
        <w:t xml:space="preserve"> </w:t>
      </w:r>
      <w:r w:rsidRPr="00DE5E0E">
        <w:rPr>
          <w:rFonts w:ascii="Abadi" w:hAnsi="Abadi" w:cs="Verdana"/>
          <w:color w:val="1E1E23"/>
          <w:sz w:val="21"/>
          <w:szCs w:val="21"/>
        </w:rPr>
        <w:t>del</w:t>
      </w:r>
      <w:r w:rsidRPr="00DE5E0E">
        <w:rPr>
          <w:rFonts w:ascii="Abadi" w:hAnsi="Abadi" w:cs="Verdana"/>
          <w:color w:val="1E1E23"/>
          <w:spacing w:val="26"/>
          <w:sz w:val="21"/>
          <w:szCs w:val="21"/>
        </w:rPr>
        <w:t xml:space="preserve"> </w:t>
      </w:r>
      <w:r w:rsidRPr="00DE5E0E">
        <w:rPr>
          <w:rFonts w:ascii="Abadi" w:hAnsi="Abadi" w:cs="Verdana"/>
          <w:color w:val="1E1E23"/>
          <w:sz w:val="21"/>
          <w:szCs w:val="21"/>
        </w:rPr>
        <w:t>Gobierno</w:t>
      </w:r>
      <w:r w:rsidR="006807BE" w:rsidRPr="00DE5E0E">
        <w:rPr>
          <w:rFonts w:ascii="Abadi" w:hAnsi="Abadi" w:cs="Verdana"/>
          <w:color w:val="1E1E23"/>
          <w:spacing w:val="19"/>
          <w:sz w:val="21"/>
          <w:szCs w:val="21"/>
        </w:rPr>
        <w:t xml:space="preserve"> </w:t>
      </w:r>
      <w:r w:rsidRPr="00DE5E0E">
        <w:rPr>
          <w:rFonts w:ascii="Abadi" w:hAnsi="Abadi" w:cs="Verdana"/>
          <w:color w:val="1E1E23"/>
          <w:sz w:val="21"/>
          <w:szCs w:val="21"/>
        </w:rPr>
        <w:t>del</w:t>
      </w:r>
      <w:r w:rsidRPr="00DE5E0E">
        <w:rPr>
          <w:rFonts w:ascii="Abadi" w:hAnsi="Abadi" w:cs="Verdana"/>
          <w:color w:val="1E1E23"/>
          <w:spacing w:val="42"/>
          <w:sz w:val="21"/>
          <w:szCs w:val="21"/>
        </w:rPr>
        <w:t xml:space="preserve"> </w:t>
      </w:r>
      <w:r w:rsidRPr="00DE5E0E">
        <w:rPr>
          <w:rFonts w:ascii="Abadi" w:hAnsi="Abadi" w:cs="Verdana"/>
          <w:color w:val="1E1E23"/>
          <w:sz w:val="21"/>
          <w:szCs w:val="21"/>
        </w:rPr>
        <w:t>Estado</w:t>
      </w:r>
      <w:r w:rsidRPr="00DE5E0E">
        <w:rPr>
          <w:rFonts w:ascii="Abadi" w:hAnsi="Abadi" w:cs="Verdana"/>
          <w:color w:val="1E1E23"/>
          <w:spacing w:val="24"/>
          <w:sz w:val="21"/>
          <w:szCs w:val="21"/>
        </w:rPr>
        <w:t xml:space="preserve"> </w:t>
      </w:r>
      <w:r w:rsidRPr="00DE5E0E">
        <w:rPr>
          <w:rFonts w:ascii="Abadi" w:hAnsi="Abadi" w:cs="Verdana"/>
          <w:color w:val="1E1E23"/>
          <w:sz w:val="21"/>
          <w:szCs w:val="21"/>
        </w:rPr>
        <w:t>de</w:t>
      </w:r>
      <w:r w:rsidRPr="00DE5E0E">
        <w:rPr>
          <w:rFonts w:ascii="Abadi" w:hAnsi="Abadi" w:cs="Verdana"/>
          <w:color w:val="1E1E23"/>
          <w:spacing w:val="24"/>
          <w:sz w:val="21"/>
          <w:szCs w:val="21"/>
        </w:rPr>
        <w:t xml:space="preserve"> </w:t>
      </w:r>
      <w:r w:rsidRPr="00DE5E0E">
        <w:rPr>
          <w:rFonts w:ascii="Abadi" w:hAnsi="Abadi" w:cs="Verdana"/>
          <w:color w:val="1E1E23"/>
          <w:sz w:val="21"/>
          <w:szCs w:val="21"/>
        </w:rPr>
        <w:t>Guanajuato</w:t>
      </w:r>
      <w:r w:rsidRPr="00DE5E0E">
        <w:rPr>
          <w:rFonts w:ascii="Abadi" w:hAnsi="Abadi" w:cs="Verdana"/>
          <w:color w:val="1E1E23"/>
          <w:spacing w:val="19"/>
          <w:sz w:val="21"/>
          <w:szCs w:val="21"/>
        </w:rPr>
        <w:t xml:space="preserve"> </w:t>
      </w:r>
      <w:r w:rsidRPr="00DE5E0E">
        <w:rPr>
          <w:rFonts w:ascii="Abadi" w:hAnsi="Abadi" w:cs="Verdana"/>
          <w:color w:val="1E1E23"/>
          <w:sz w:val="21"/>
          <w:szCs w:val="21"/>
        </w:rPr>
        <w:t>de</w:t>
      </w:r>
      <w:r w:rsidRPr="00DE5E0E">
        <w:rPr>
          <w:rFonts w:ascii="Abadi" w:hAnsi="Abadi" w:cs="Verdana"/>
          <w:color w:val="1E1E23"/>
          <w:spacing w:val="18"/>
          <w:sz w:val="21"/>
          <w:szCs w:val="21"/>
        </w:rPr>
        <w:t xml:space="preserve"> </w:t>
      </w:r>
      <w:r w:rsidRPr="00DE5E0E">
        <w:rPr>
          <w:rFonts w:ascii="Abadi" w:hAnsi="Abadi" w:cs="Verdana"/>
          <w:color w:val="1E1E23"/>
          <w:sz w:val="21"/>
          <w:szCs w:val="21"/>
        </w:rPr>
        <w:t>fecha</w:t>
      </w:r>
      <w:r w:rsidRPr="00DE5E0E">
        <w:rPr>
          <w:rFonts w:ascii="Abadi" w:hAnsi="Abadi" w:cs="Verdana"/>
          <w:color w:val="1E1E23"/>
          <w:spacing w:val="35"/>
          <w:sz w:val="21"/>
          <w:szCs w:val="21"/>
        </w:rPr>
        <w:t xml:space="preserve"> </w:t>
      </w:r>
      <w:r w:rsidRPr="00DE5E0E">
        <w:rPr>
          <w:rFonts w:ascii="Abadi" w:hAnsi="Abadi" w:cs="Verdana"/>
          <w:color w:val="1E1E23"/>
          <w:sz w:val="21"/>
          <w:szCs w:val="21"/>
        </w:rPr>
        <w:t>6</w:t>
      </w:r>
      <w:r w:rsidRPr="00DE5E0E">
        <w:rPr>
          <w:rFonts w:ascii="Abadi" w:hAnsi="Abadi" w:cs="Verdana"/>
          <w:color w:val="1E1E23"/>
          <w:spacing w:val="20"/>
          <w:sz w:val="21"/>
          <w:szCs w:val="21"/>
        </w:rPr>
        <w:t xml:space="preserve"> </w:t>
      </w:r>
      <w:r w:rsidRPr="00DE5E0E">
        <w:rPr>
          <w:rFonts w:ascii="Abadi" w:hAnsi="Abadi" w:cs="Verdana"/>
          <w:color w:val="1E1E23"/>
          <w:sz w:val="21"/>
          <w:szCs w:val="21"/>
        </w:rPr>
        <w:t>de</w:t>
      </w:r>
      <w:r w:rsidRPr="00DE5E0E">
        <w:rPr>
          <w:rFonts w:ascii="Abadi" w:hAnsi="Abadi" w:cs="Verdana"/>
          <w:color w:val="1E1E23"/>
          <w:spacing w:val="23"/>
          <w:sz w:val="21"/>
          <w:szCs w:val="21"/>
        </w:rPr>
        <w:t xml:space="preserve"> </w:t>
      </w:r>
      <w:r w:rsidRPr="00DE5E0E">
        <w:rPr>
          <w:rFonts w:ascii="Abadi" w:hAnsi="Abadi" w:cs="Verdana"/>
          <w:color w:val="1E1E23"/>
          <w:sz w:val="21"/>
          <w:szCs w:val="21"/>
        </w:rPr>
        <w:t>abril</w:t>
      </w:r>
      <w:r w:rsidRPr="00DE5E0E">
        <w:rPr>
          <w:rFonts w:ascii="Abadi" w:hAnsi="Abadi" w:cs="Verdana"/>
          <w:color w:val="1E1E23"/>
          <w:spacing w:val="23"/>
          <w:sz w:val="21"/>
          <w:szCs w:val="21"/>
        </w:rPr>
        <w:t xml:space="preserve"> </w:t>
      </w:r>
      <w:r w:rsidRPr="00DE5E0E">
        <w:rPr>
          <w:rFonts w:ascii="Abadi" w:hAnsi="Abadi" w:cs="Verdana"/>
          <w:color w:val="1E1E23"/>
          <w:sz w:val="21"/>
          <w:szCs w:val="21"/>
        </w:rPr>
        <w:t>de</w:t>
      </w:r>
      <w:r w:rsidRPr="00DE5E0E">
        <w:rPr>
          <w:rFonts w:ascii="Abadi" w:hAnsi="Abadi" w:cs="Verdana"/>
          <w:color w:val="1E1E23"/>
          <w:spacing w:val="24"/>
          <w:sz w:val="21"/>
          <w:szCs w:val="21"/>
        </w:rPr>
        <w:t xml:space="preserve"> </w:t>
      </w:r>
      <w:r w:rsidRPr="00DE5E0E">
        <w:rPr>
          <w:rFonts w:ascii="Abadi" w:hAnsi="Abadi" w:cs="Verdana"/>
          <w:color w:val="1E1E23"/>
          <w:sz w:val="21"/>
          <w:szCs w:val="21"/>
        </w:rPr>
        <w:t>2022,</w:t>
      </w:r>
      <w:r w:rsidRPr="00DE5E0E">
        <w:rPr>
          <w:rFonts w:ascii="Abadi" w:hAnsi="Abadi" w:cs="Verdana"/>
          <w:color w:val="1E1E23"/>
          <w:spacing w:val="-6"/>
          <w:sz w:val="21"/>
          <w:szCs w:val="21"/>
        </w:rPr>
        <w:t xml:space="preserve"> </w:t>
      </w:r>
      <w:r w:rsidRPr="00DE5E0E">
        <w:rPr>
          <w:rFonts w:ascii="Abadi" w:hAnsi="Abadi" w:cs="Verdana"/>
          <w:color w:val="1D1C22"/>
          <w:sz w:val="21"/>
          <w:szCs w:val="21"/>
        </w:rPr>
        <w:t>Segunda</w:t>
      </w:r>
      <w:r w:rsidRPr="00DE5E0E">
        <w:rPr>
          <w:rFonts w:ascii="Abadi" w:hAnsi="Abadi" w:cs="Verdana"/>
          <w:color w:val="1D1C22"/>
          <w:spacing w:val="2"/>
          <w:sz w:val="21"/>
          <w:szCs w:val="21"/>
        </w:rPr>
        <w:t xml:space="preserve"> </w:t>
      </w:r>
      <w:r w:rsidRPr="00DE5E0E">
        <w:rPr>
          <w:rFonts w:ascii="Abadi" w:hAnsi="Abadi" w:cs="Verdana"/>
          <w:color w:val="1D1C22"/>
          <w:sz w:val="21"/>
          <w:szCs w:val="21"/>
        </w:rPr>
        <w:t>Parte;</w:t>
      </w:r>
    </w:p>
    <w:p w14:paraId="62C10B35" w14:textId="41DBE465" w:rsidR="00A7016E" w:rsidRPr="00DE5E0E" w:rsidRDefault="00A7016E" w:rsidP="00A7016E">
      <w:pPr>
        <w:pStyle w:val="Prrafodelista"/>
        <w:numPr>
          <w:ilvl w:val="0"/>
          <w:numId w:val="52"/>
        </w:numPr>
        <w:tabs>
          <w:tab w:val="left" w:pos="537"/>
        </w:tabs>
        <w:kinsoku w:val="0"/>
        <w:overflowPunct w:val="0"/>
        <w:autoSpaceDE w:val="0"/>
        <w:autoSpaceDN w:val="0"/>
        <w:adjustRightInd w:val="0"/>
        <w:spacing w:line="261" w:lineRule="auto"/>
        <w:ind w:right="159"/>
        <w:contextualSpacing/>
        <w:jc w:val="both"/>
        <w:rPr>
          <w:rFonts w:ascii="Abadi" w:hAnsi="Abadi" w:cs="Verdana"/>
          <w:color w:val="1E1E23"/>
          <w:sz w:val="21"/>
          <w:szCs w:val="21"/>
        </w:rPr>
      </w:pPr>
      <w:r w:rsidRPr="00DE5E0E">
        <w:rPr>
          <w:rFonts w:ascii="Abadi" w:hAnsi="Abadi" w:cs="Verdana"/>
          <w:color w:val="1D1D21"/>
          <w:sz w:val="21"/>
          <w:szCs w:val="21"/>
        </w:rPr>
        <w:t>Periódico</w:t>
      </w:r>
      <w:r w:rsidRPr="00DE5E0E">
        <w:rPr>
          <w:rFonts w:ascii="Abadi" w:hAnsi="Abadi" w:cs="Verdana"/>
          <w:color w:val="1D1D21"/>
          <w:spacing w:val="-12"/>
          <w:sz w:val="21"/>
          <w:szCs w:val="21"/>
        </w:rPr>
        <w:t xml:space="preserve"> </w:t>
      </w:r>
      <w:r w:rsidRPr="00DE5E0E">
        <w:rPr>
          <w:rFonts w:ascii="Abadi" w:hAnsi="Abadi" w:cs="Verdana"/>
          <w:color w:val="1D1D21"/>
          <w:sz w:val="21"/>
          <w:szCs w:val="21"/>
        </w:rPr>
        <w:t>a.m.</w:t>
      </w:r>
      <w:r w:rsidRPr="00DE5E0E">
        <w:rPr>
          <w:rFonts w:ascii="Abadi" w:hAnsi="Abadi" w:cs="Verdana"/>
          <w:color w:val="1D1D21"/>
          <w:spacing w:val="-8"/>
          <w:sz w:val="21"/>
          <w:szCs w:val="21"/>
        </w:rPr>
        <w:t xml:space="preserve"> </w:t>
      </w:r>
      <w:r w:rsidRPr="00DE5E0E">
        <w:rPr>
          <w:rFonts w:ascii="Abadi" w:hAnsi="Abadi" w:cs="Verdana"/>
          <w:color w:val="1D1D21"/>
          <w:sz w:val="21"/>
          <w:szCs w:val="21"/>
        </w:rPr>
        <w:t>de</w:t>
      </w:r>
      <w:r w:rsidRPr="00DE5E0E">
        <w:rPr>
          <w:rFonts w:ascii="Abadi" w:hAnsi="Abadi" w:cs="Verdana"/>
          <w:color w:val="1D1D21"/>
          <w:spacing w:val="-22"/>
          <w:sz w:val="21"/>
          <w:szCs w:val="21"/>
        </w:rPr>
        <w:t xml:space="preserve"> </w:t>
      </w:r>
      <w:r w:rsidRPr="00DE5E0E">
        <w:rPr>
          <w:rFonts w:ascii="Abadi" w:hAnsi="Abadi" w:cs="Verdana"/>
          <w:color w:val="1D1D21"/>
          <w:sz w:val="21"/>
          <w:szCs w:val="21"/>
        </w:rPr>
        <w:t>fecha</w:t>
      </w:r>
      <w:r w:rsidRPr="00DE5E0E">
        <w:rPr>
          <w:rFonts w:ascii="Abadi" w:hAnsi="Abadi" w:cs="Verdana"/>
          <w:color w:val="1D1D21"/>
          <w:spacing w:val="-21"/>
          <w:sz w:val="21"/>
          <w:szCs w:val="21"/>
        </w:rPr>
        <w:t xml:space="preserve"> </w:t>
      </w:r>
      <w:r w:rsidRPr="00DE5E0E">
        <w:rPr>
          <w:rFonts w:ascii="Abadi" w:hAnsi="Abadi" w:cs="Verdana"/>
          <w:color w:val="1D1D21"/>
          <w:sz w:val="21"/>
          <w:szCs w:val="21"/>
        </w:rPr>
        <w:t>7</w:t>
      </w:r>
      <w:r w:rsidRPr="00DE5E0E">
        <w:rPr>
          <w:rFonts w:ascii="Abadi" w:hAnsi="Abadi" w:cs="Verdana"/>
          <w:color w:val="1D1D21"/>
          <w:spacing w:val="-10"/>
          <w:sz w:val="21"/>
          <w:szCs w:val="21"/>
        </w:rPr>
        <w:t xml:space="preserve"> </w:t>
      </w:r>
      <w:r w:rsidRPr="00DE5E0E">
        <w:rPr>
          <w:rFonts w:ascii="Abadi" w:hAnsi="Abadi" w:cs="Verdana"/>
          <w:color w:val="1D1D21"/>
          <w:sz w:val="21"/>
          <w:szCs w:val="21"/>
        </w:rPr>
        <w:t>de</w:t>
      </w:r>
      <w:r w:rsidRPr="00DE5E0E">
        <w:rPr>
          <w:rFonts w:ascii="Abadi" w:hAnsi="Abadi" w:cs="Verdana"/>
          <w:color w:val="1D1D21"/>
          <w:spacing w:val="-10"/>
          <w:sz w:val="21"/>
          <w:szCs w:val="21"/>
        </w:rPr>
        <w:t xml:space="preserve"> </w:t>
      </w:r>
      <w:r w:rsidRPr="00DE5E0E">
        <w:rPr>
          <w:rFonts w:ascii="Abadi" w:hAnsi="Abadi" w:cs="Verdana"/>
          <w:color w:val="1D1D21"/>
          <w:sz w:val="21"/>
          <w:szCs w:val="21"/>
        </w:rPr>
        <w:t>abril</w:t>
      </w:r>
      <w:r w:rsidRPr="00DE5E0E">
        <w:rPr>
          <w:rFonts w:ascii="Abadi" w:hAnsi="Abadi" w:cs="Verdana"/>
          <w:color w:val="1D1D21"/>
          <w:spacing w:val="-11"/>
          <w:sz w:val="21"/>
          <w:szCs w:val="21"/>
        </w:rPr>
        <w:t xml:space="preserve"> </w:t>
      </w:r>
      <w:r w:rsidRPr="00DE5E0E">
        <w:rPr>
          <w:rFonts w:ascii="Abadi" w:hAnsi="Abadi" w:cs="Verdana"/>
          <w:color w:val="1D1D21"/>
          <w:sz w:val="21"/>
          <w:szCs w:val="21"/>
        </w:rPr>
        <w:t>de</w:t>
      </w:r>
      <w:r w:rsidRPr="00DE5E0E">
        <w:rPr>
          <w:rFonts w:ascii="Abadi" w:hAnsi="Abadi" w:cs="Verdana"/>
          <w:color w:val="1D1D21"/>
          <w:spacing w:val="-10"/>
          <w:sz w:val="21"/>
          <w:szCs w:val="21"/>
        </w:rPr>
        <w:t xml:space="preserve"> </w:t>
      </w:r>
      <w:r w:rsidRPr="00DE5E0E">
        <w:rPr>
          <w:rFonts w:ascii="Abadi" w:hAnsi="Abadi" w:cs="Verdana"/>
          <w:color w:val="1D1D21"/>
          <w:sz w:val="21"/>
          <w:szCs w:val="21"/>
        </w:rPr>
        <w:t>2022</w:t>
      </w:r>
      <w:r w:rsidRPr="00DE5E0E">
        <w:rPr>
          <w:rFonts w:ascii="Abadi" w:hAnsi="Abadi" w:cs="Verdana"/>
          <w:color w:val="1D1D21"/>
          <w:spacing w:val="-10"/>
          <w:sz w:val="21"/>
          <w:szCs w:val="21"/>
        </w:rPr>
        <w:t xml:space="preserve"> </w:t>
      </w:r>
      <w:r w:rsidRPr="00DE5E0E">
        <w:rPr>
          <w:rFonts w:ascii="Abadi" w:hAnsi="Abadi" w:cs="Verdana"/>
          <w:color w:val="1D1D21"/>
          <w:sz w:val="21"/>
          <w:szCs w:val="21"/>
        </w:rPr>
        <w:t>(p.</w:t>
      </w:r>
      <w:r w:rsidRPr="00DE5E0E">
        <w:rPr>
          <w:rFonts w:ascii="Abadi" w:hAnsi="Abadi" w:cs="Verdana"/>
          <w:color w:val="1D1D21"/>
          <w:spacing w:val="-6"/>
          <w:sz w:val="21"/>
          <w:szCs w:val="21"/>
        </w:rPr>
        <w:t xml:space="preserve"> </w:t>
      </w:r>
      <w:r w:rsidRPr="00DE5E0E">
        <w:rPr>
          <w:rFonts w:ascii="Abadi" w:hAnsi="Abadi" w:cs="Verdana"/>
          <w:color w:val="1D1D21"/>
          <w:sz w:val="21"/>
          <w:szCs w:val="21"/>
        </w:rPr>
        <w:t>a3);</w:t>
      </w:r>
    </w:p>
    <w:p w14:paraId="22D7D20A" w14:textId="2BD5CCEF" w:rsidR="00A7016E" w:rsidRPr="00DE5E0E" w:rsidRDefault="00A7016E" w:rsidP="00A7016E">
      <w:pPr>
        <w:pStyle w:val="Prrafodelista"/>
        <w:numPr>
          <w:ilvl w:val="0"/>
          <w:numId w:val="52"/>
        </w:numPr>
        <w:tabs>
          <w:tab w:val="left" w:pos="537"/>
        </w:tabs>
        <w:kinsoku w:val="0"/>
        <w:overflowPunct w:val="0"/>
        <w:autoSpaceDE w:val="0"/>
        <w:autoSpaceDN w:val="0"/>
        <w:adjustRightInd w:val="0"/>
        <w:spacing w:line="261" w:lineRule="auto"/>
        <w:ind w:right="159"/>
        <w:contextualSpacing/>
        <w:jc w:val="both"/>
        <w:rPr>
          <w:rFonts w:ascii="Abadi" w:hAnsi="Abadi" w:cs="Verdana"/>
          <w:color w:val="1E1E23"/>
          <w:sz w:val="21"/>
          <w:szCs w:val="21"/>
        </w:rPr>
      </w:pPr>
      <w:r w:rsidRPr="00DE5E0E">
        <w:rPr>
          <w:rFonts w:ascii="Abadi" w:hAnsi="Abadi" w:cs="Verdana"/>
          <w:color w:val="1C1B23"/>
          <w:sz w:val="21"/>
          <w:szCs w:val="21"/>
        </w:rPr>
        <w:t>Periódico</w:t>
      </w:r>
      <w:r w:rsidRPr="00DE5E0E">
        <w:rPr>
          <w:rFonts w:ascii="Abadi" w:hAnsi="Abadi" w:cs="Verdana"/>
          <w:color w:val="1C1B23"/>
          <w:spacing w:val="-12"/>
          <w:sz w:val="21"/>
          <w:szCs w:val="21"/>
        </w:rPr>
        <w:t xml:space="preserve"> </w:t>
      </w:r>
      <w:r w:rsidRPr="00DE5E0E">
        <w:rPr>
          <w:rFonts w:ascii="Abadi" w:hAnsi="Abadi" w:cs="Verdana"/>
          <w:color w:val="1C1B23"/>
          <w:sz w:val="21"/>
          <w:szCs w:val="21"/>
        </w:rPr>
        <w:t>a.m.</w:t>
      </w:r>
      <w:r w:rsidRPr="00DE5E0E">
        <w:rPr>
          <w:rFonts w:ascii="Abadi" w:hAnsi="Abadi" w:cs="Verdana"/>
          <w:color w:val="1C1B23"/>
          <w:spacing w:val="5"/>
          <w:sz w:val="21"/>
          <w:szCs w:val="21"/>
        </w:rPr>
        <w:t xml:space="preserve"> </w:t>
      </w:r>
      <w:r w:rsidRPr="00DE5E0E">
        <w:rPr>
          <w:rFonts w:ascii="Abadi" w:hAnsi="Abadi" w:cs="Verdana"/>
          <w:color w:val="1C1B23"/>
          <w:sz w:val="21"/>
          <w:szCs w:val="21"/>
        </w:rPr>
        <w:t>Express</w:t>
      </w:r>
      <w:r w:rsidRPr="00DE5E0E">
        <w:rPr>
          <w:rFonts w:ascii="Abadi" w:hAnsi="Abadi" w:cs="Verdana"/>
          <w:color w:val="1C1B23"/>
          <w:spacing w:val="-10"/>
          <w:sz w:val="21"/>
          <w:szCs w:val="21"/>
        </w:rPr>
        <w:t xml:space="preserve"> </w:t>
      </w:r>
      <w:r w:rsidRPr="00DE5E0E">
        <w:rPr>
          <w:rFonts w:ascii="Abadi" w:hAnsi="Abadi" w:cs="Verdana"/>
          <w:color w:val="1C1B23"/>
          <w:sz w:val="21"/>
          <w:szCs w:val="21"/>
        </w:rPr>
        <w:t>de</w:t>
      </w:r>
      <w:r w:rsidRPr="00DE5E0E">
        <w:rPr>
          <w:rFonts w:ascii="Abadi" w:hAnsi="Abadi" w:cs="Verdana"/>
          <w:color w:val="1C1B23"/>
          <w:spacing w:val="-11"/>
          <w:sz w:val="21"/>
          <w:szCs w:val="21"/>
        </w:rPr>
        <w:t xml:space="preserve"> </w:t>
      </w:r>
      <w:r w:rsidRPr="00DE5E0E">
        <w:rPr>
          <w:rFonts w:ascii="Abadi" w:hAnsi="Abadi" w:cs="Verdana"/>
          <w:color w:val="1C1B23"/>
          <w:sz w:val="21"/>
          <w:szCs w:val="21"/>
        </w:rPr>
        <w:t>fecha</w:t>
      </w:r>
      <w:r w:rsidRPr="00DE5E0E">
        <w:rPr>
          <w:rFonts w:ascii="Abadi" w:hAnsi="Abadi" w:cs="Verdana"/>
          <w:color w:val="1C1B23"/>
          <w:spacing w:val="-9"/>
          <w:sz w:val="21"/>
          <w:szCs w:val="21"/>
        </w:rPr>
        <w:t xml:space="preserve"> </w:t>
      </w:r>
      <w:r w:rsidRPr="00DE5E0E">
        <w:rPr>
          <w:rFonts w:ascii="Abadi" w:hAnsi="Abadi" w:cs="Verdana"/>
          <w:color w:val="1C1B23"/>
          <w:sz w:val="21"/>
          <w:szCs w:val="21"/>
        </w:rPr>
        <w:t>7</w:t>
      </w:r>
      <w:r w:rsidRPr="00DE5E0E">
        <w:rPr>
          <w:rFonts w:ascii="Abadi" w:hAnsi="Abadi" w:cs="Verdana"/>
          <w:color w:val="1C1B23"/>
          <w:spacing w:val="-10"/>
          <w:sz w:val="21"/>
          <w:szCs w:val="21"/>
        </w:rPr>
        <w:t xml:space="preserve"> </w:t>
      </w:r>
      <w:r w:rsidRPr="00DE5E0E">
        <w:rPr>
          <w:rFonts w:ascii="Abadi" w:hAnsi="Abadi" w:cs="Verdana"/>
          <w:color w:val="1C1B23"/>
          <w:sz w:val="21"/>
          <w:szCs w:val="21"/>
        </w:rPr>
        <w:t>de</w:t>
      </w:r>
      <w:r w:rsidRPr="00DE5E0E">
        <w:rPr>
          <w:rFonts w:ascii="Abadi" w:hAnsi="Abadi" w:cs="Verdana"/>
          <w:color w:val="1C1B23"/>
          <w:spacing w:val="-4"/>
          <w:sz w:val="21"/>
          <w:szCs w:val="21"/>
        </w:rPr>
        <w:t xml:space="preserve"> </w:t>
      </w:r>
      <w:r w:rsidRPr="00DE5E0E">
        <w:rPr>
          <w:rFonts w:ascii="Abadi" w:hAnsi="Abadi" w:cs="Verdana"/>
          <w:color w:val="1C1B23"/>
          <w:sz w:val="21"/>
          <w:szCs w:val="21"/>
        </w:rPr>
        <w:t>abril de</w:t>
      </w:r>
      <w:r w:rsidRPr="00DE5E0E">
        <w:rPr>
          <w:rFonts w:ascii="Abadi" w:hAnsi="Abadi" w:cs="Verdana"/>
          <w:color w:val="1C1B23"/>
          <w:spacing w:val="-10"/>
          <w:sz w:val="21"/>
          <w:szCs w:val="21"/>
        </w:rPr>
        <w:t xml:space="preserve"> </w:t>
      </w:r>
      <w:r w:rsidRPr="00DE5E0E">
        <w:rPr>
          <w:rFonts w:ascii="Abadi" w:hAnsi="Abadi" w:cs="Verdana"/>
          <w:color w:val="1C1B23"/>
          <w:sz w:val="21"/>
          <w:szCs w:val="21"/>
        </w:rPr>
        <w:t>2022</w:t>
      </w:r>
      <w:r w:rsidRPr="00DE5E0E">
        <w:rPr>
          <w:rFonts w:ascii="Abadi" w:hAnsi="Abadi" w:cs="Verdana"/>
          <w:color w:val="1C1B23"/>
          <w:spacing w:val="-5"/>
          <w:sz w:val="21"/>
          <w:szCs w:val="21"/>
        </w:rPr>
        <w:t xml:space="preserve"> </w:t>
      </w:r>
      <w:r w:rsidRPr="00DE5E0E">
        <w:rPr>
          <w:rFonts w:ascii="Abadi" w:hAnsi="Abadi" w:cs="Verdana"/>
          <w:color w:val="1C1B23"/>
          <w:sz w:val="21"/>
          <w:szCs w:val="21"/>
        </w:rPr>
        <w:t>(p.</w:t>
      </w:r>
      <w:r w:rsidRPr="00DE5E0E">
        <w:rPr>
          <w:rFonts w:ascii="Abadi" w:hAnsi="Abadi" w:cs="Verdana"/>
          <w:color w:val="1C1B23"/>
          <w:spacing w:val="-4"/>
          <w:sz w:val="21"/>
          <w:szCs w:val="21"/>
        </w:rPr>
        <w:t xml:space="preserve"> </w:t>
      </w:r>
      <w:r w:rsidRPr="00DE5E0E">
        <w:rPr>
          <w:rFonts w:ascii="Abadi" w:hAnsi="Abadi" w:cs="Verdana"/>
          <w:color w:val="1C1B23"/>
          <w:sz w:val="21"/>
          <w:szCs w:val="21"/>
        </w:rPr>
        <w:t>25)</w:t>
      </w:r>
    </w:p>
    <w:p w14:paraId="4CA17EAE" w14:textId="4423C949" w:rsidR="00A7016E" w:rsidRPr="00DE5E0E" w:rsidRDefault="00A7016E" w:rsidP="00A7016E">
      <w:pPr>
        <w:pStyle w:val="Prrafodelista"/>
        <w:numPr>
          <w:ilvl w:val="0"/>
          <w:numId w:val="52"/>
        </w:numPr>
        <w:tabs>
          <w:tab w:val="left" w:pos="537"/>
        </w:tabs>
        <w:kinsoku w:val="0"/>
        <w:overflowPunct w:val="0"/>
        <w:autoSpaceDE w:val="0"/>
        <w:autoSpaceDN w:val="0"/>
        <w:adjustRightInd w:val="0"/>
        <w:spacing w:line="261" w:lineRule="auto"/>
        <w:ind w:right="159"/>
        <w:contextualSpacing/>
        <w:jc w:val="both"/>
        <w:rPr>
          <w:rFonts w:ascii="Abadi" w:hAnsi="Abadi" w:cs="Verdana"/>
          <w:color w:val="1E1E23"/>
          <w:sz w:val="21"/>
          <w:szCs w:val="21"/>
        </w:rPr>
      </w:pPr>
      <w:r w:rsidRPr="00DE5E0E">
        <w:rPr>
          <w:rFonts w:ascii="Abadi" w:hAnsi="Abadi" w:cs="Verdana"/>
          <w:color w:val="1D1D22"/>
          <w:sz w:val="21"/>
          <w:szCs w:val="21"/>
        </w:rPr>
        <w:t>Periódico</w:t>
      </w:r>
      <w:r w:rsidRPr="00DE5E0E">
        <w:rPr>
          <w:rFonts w:ascii="Abadi" w:hAnsi="Abadi" w:cs="Verdana"/>
          <w:color w:val="1D1D22"/>
          <w:spacing w:val="-2"/>
          <w:sz w:val="21"/>
          <w:szCs w:val="21"/>
        </w:rPr>
        <w:t xml:space="preserve"> </w:t>
      </w:r>
      <w:r w:rsidRPr="00DE5E0E">
        <w:rPr>
          <w:rFonts w:ascii="Abadi" w:hAnsi="Abadi" w:cs="Verdana"/>
          <w:color w:val="1D1D22"/>
          <w:sz w:val="21"/>
          <w:szCs w:val="21"/>
        </w:rPr>
        <w:t>Correo</w:t>
      </w:r>
      <w:r w:rsidRPr="00DE5E0E">
        <w:rPr>
          <w:rFonts w:ascii="Abadi" w:hAnsi="Abadi" w:cs="Verdana"/>
          <w:color w:val="1D1D22"/>
          <w:spacing w:val="-4"/>
          <w:sz w:val="21"/>
          <w:szCs w:val="21"/>
        </w:rPr>
        <w:t xml:space="preserve"> </w:t>
      </w:r>
      <w:r w:rsidRPr="00DE5E0E">
        <w:rPr>
          <w:rFonts w:ascii="Abadi" w:hAnsi="Abadi" w:cs="Verdana"/>
          <w:color w:val="1D1D22"/>
          <w:sz w:val="21"/>
          <w:szCs w:val="21"/>
        </w:rPr>
        <w:t>de</w:t>
      </w:r>
      <w:r w:rsidRPr="00DE5E0E">
        <w:rPr>
          <w:rFonts w:ascii="Abadi" w:hAnsi="Abadi" w:cs="Verdana"/>
          <w:color w:val="1D1D22"/>
          <w:spacing w:val="-5"/>
          <w:sz w:val="21"/>
          <w:szCs w:val="21"/>
        </w:rPr>
        <w:t xml:space="preserve"> </w:t>
      </w:r>
      <w:r w:rsidRPr="00DE5E0E">
        <w:rPr>
          <w:rFonts w:ascii="Abadi" w:hAnsi="Abadi" w:cs="Verdana"/>
          <w:color w:val="1D1D22"/>
          <w:sz w:val="21"/>
          <w:szCs w:val="21"/>
        </w:rPr>
        <w:t>fecha</w:t>
      </w:r>
      <w:r w:rsidRPr="00DE5E0E">
        <w:rPr>
          <w:rFonts w:ascii="Abadi" w:hAnsi="Abadi" w:cs="Verdana"/>
          <w:color w:val="1D1D22"/>
          <w:spacing w:val="-8"/>
          <w:sz w:val="21"/>
          <w:szCs w:val="21"/>
        </w:rPr>
        <w:t xml:space="preserve"> </w:t>
      </w:r>
      <w:r w:rsidRPr="00DE5E0E">
        <w:rPr>
          <w:rFonts w:ascii="Abadi" w:hAnsi="Abadi" w:cs="Verdana"/>
          <w:color w:val="1D1D22"/>
          <w:sz w:val="21"/>
          <w:szCs w:val="21"/>
        </w:rPr>
        <w:t>7</w:t>
      </w:r>
      <w:r w:rsidRPr="00DE5E0E">
        <w:rPr>
          <w:rFonts w:ascii="Abadi" w:hAnsi="Abadi" w:cs="Verdana"/>
          <w:color w:val="1D1D22"/>
          <w:spacing w:val="-10"/>
          <w:sz w:val="21"/>
          <w:szCs w:val="21"/>
        </w:rPr>
        <w:t xml:space="preserve"> </w:t>
      </w:r>
      <w:r w:rsidRPr="00DE5E0E">
        <w:rPr>
          <w:rFonts w:ascii="Abadi" w:hAnsi="Abadi" w:cs="Verdana"/>
          <w:color w:val="1D1D22"/>
          <w:sz w:val="21"/>
          <w:szCs w:val="21"/>
        </w:rPr>
        <w:t>de</w:t>
      </w:r>
      <w:r w:rsidRPr="00DE5E0E">
        <w:rPr>
          <w:rFonts w:ascii="Abadi" w:hAnsi="Abadi" w:cs="Verdana"/>
          <w:color w:val="1D1D22"/>
          <w:spacing w:val="-4"/>
          <w:sz w:val="21"/>
          <w:szCs w:val="21"/>
        </w:rPr>
        <w:t xml:space="preserve"> </w:t>
      </w:r>
      <w:r w:rsidRPr="00DE5E0E">
        <w:rPr>
          <w:rFonts w:ascii="Abadi" w:hAnsi="Abadi" w:cs="Verdana"/>
          <w:color w:val="1D1D22"/>
          <w:sz w:val="21"/>
          <w:szCs w:val="21"/>
        </w:rPr>
        <w:t>abril</w:t>
      </w:r>
      <w:r w:rsidRPr="00DE5E0E">
        <w:rPr>
          <w:rFonts w:ascii="Abadi" w:hAnsi="Abadi" w:cs="Verdana"/>
          <w:color w:val="1D1D22"/>
          <w:spacing w:val="1"/>
          <w:sz w:val="21"/>
          <w:szCs w:val="21"/>
        </w:rPr>
        <w:t xml:space="preserve"> </w:t>
      </w:r>
      <w:r w:rsidRPr="00DE5E0E">
        <w:rPr>
          <w:rFonts w:ascii="Abadi" w:hAnsi="Abadi" w:cs="Verdana"/>
          <w:color w:val="1D1D22"/>
          <w:sz w:val="21"/>
          <w:szCs w:val="21"/>
        </w:rPr>
        <w:t>de</w:t>
      </w:r>
      <w:r w:rsidRPr="00DE5E0E">
        <w:rPr>
          <w:rFonts w:ascii="Abadi" w:hAnsi="Abadi" w:cs="Verdana"/>
          <w:color w:val="1D1D22"/>
          <w:spacing w:val="-4"/>
          <w:sz w:val="21"/>
          <w:szCs w:val="21"/>
        </w:rPr>
        <w:t xml:space="preserve"> </w:t>
      </w:r>
      <w:r w:rsidRPr="00DE5E0E">
        <w:rPr>
          <w:rFonts w:ascii="Abadi" w:hAnsi="Abadi" w:cs="Verdana"/>
          <w:color w:val="1D1D22"/>
          <w:sz w:val="21"/>
          <w:szCs w:val="21"/>
        </w:rPr>
        <w:t>2022</w:t>
      </w:r>
      <w:r w:rsidRPr="00DE5E0E">
        <w:rPr>
          <w:rFonts w:ascii="Abadi" w:hAnsi="Abadi" w:cs="Verdana"/>
          <w:color w:val="1D1D22"/>
          <w:spacing w:val="1"/>
          <w:sz w:val="21"/>
          <w:szCs w:val="21"/>
        </w:rPr>
        <w:t xml:space="preserve"> </w:t>
      </w:r>
      <w:r w:rsidRPr="00DE5E0E">
        <w:rPr>
          <w:rFonts w:ascii="Abadi" w:hAnsi="Abadi" w:cs="Verdana"/>
          <w:color w:val="1D1D22"/>
          <w:sz w:val="21"/>
          <w:szCs w:val="21"/>
        </w:rPr>
        <w:t>(p.</w:t>
      </w:r>
      <w:r w:rsidRPr="00DE5E0E">
        <w:rPr>
          <w:rFonts w:ascii="Abadi" w:hAnsi="Abadi" w:cs="Verdana"/>
          <w:color w:val="1D1D22"/>
          <w:spacing w:val="-9"/>
          <w:sz w:val="21"/>
          <w:szCs w:val="21"/>
        </w:rPr>
        <w:t xml:space="preserve"> </w:t>
      </w:r>
      <w:r w:rsidRPr="00DE5E0E">
        <w:rPr>
          <w:rFonts w:ascii="Abadi" w:hAnsi="Abadi" w:cs="Verdana"/>
          <w:color w:val="1D1D22"/>
          <w:sz w:val="21"/>
          <w:szCs w:val="21"/>
        </w:rPr>
        <w:t>4);</w:t>
      </w:r>
      <w:r w:rsidRPr="00DE5E0E">
        <w:rPr>
          <w:rFonts w:ascii="Abadi" w:hAnsi="Abadi" w:cs="Verdana"/>
          <w:color w:val="1D1D22"/>
          <w:spacing w:val="4"/>
          <w:sz w:val="21"/>
          <w:szCs w:val="21"/>
        </w:rPr>
        <w:t xml:space="preserve"> </w:t>
      </w:r>
      <w:r w:rsidRPr="00DE5E0E">
        <w:rPr>
          <w:rFonts w:ascii="Abadi" w:hAnsi="Abadi" w:cs="Verdana"/>
          <w:color w:val="1D1D22"/>
          <w:sz w:val="21"/>
          <w:szCs w:val="21"/>
        </w:rPr>
        <w:t>y</w:t>
      </w:r>
    </w:p>
    <w:p w14:paraId="6A85CA20" w14:textId="2BEDD4E8" w:rsidR="00A7016E" w:rsidRPr="00DE5E0E" w:rsidRDefault="00A7016E" w:rsidP="00A7016E">
      <w:pPr>
        <w:pStyle w:val="Prrafodelista"/>
        <w:numPr>
          <w:ilvl w:val="0"/>
          <w:numId w:val="52"/>
        </w:numPr>
        <w:tabs>
          <w:tab w:val="left" w:pos="537"/>
        </w:tabs>
        <w:kinsoku w:val="0"/>
        <w:overflowPunct w:val="0"/>
        <w:autoSpaceDE w:val="0"/>
        <w:autoSpaceDN w:val="0"/>
        <w:adjustRightInd w:val="0"/>
        <w:spacing w:line="261" w:lineRule="auto"/>
        <w:ind w:right="159"/>
        <w:contextualSpacing/>
        <w:jc w:val="both"/>
        <w:rPr>
          <w:rFonts w:ascii="Abadi" w:hAnsi="Abadi" w:cs="Verdana"/>
          <w:color w:val="1E1E23"/>
          <w:sz w:val="21"/>
          <w:szCs w:val="21"/>
        </w:rPr>
      </w:pPr>
      <w:r w:rsidRPr="00DE5E0E">
        <w:rPr>
          <w:rFonts w:ascii="Abadi" w:hAnsi="Abadi" w:cs="Verdana"/>
          <w:color w:val="1D1C23"/>
          <w:sz w:val="21"/>
          <w:szCs w:val="21"/>
        </w:rPr>
        <w:t>Captura</w:t>
      </w:r>
      <w:r w:rsidRPr="00DE5E0E">
        <w:rPr>
          <w:rFonts w:ascii="Abadi" w:hAnsi="Abadi" w:cs="Verdana"/>
          <w:color w:val="1D1C23"/>
          <w:spacing w:val="16"/>
          <w:sz w:val="21"/>
          <w:szCs w:val="21"/>
        </w:rPr>
        <w:t xml:space="preserve"> </w:t>
      </w:r>
      <w:r w:rsidRPr="00DE5E0E">
        <w:rPr>
          <w:rFonts w:ascii="Abadi" w:hAnsi="Abadi" w:cs="Verdana"/>
          <w:color w:val="1D1C23"/>
          <w:sz w:val="21"/>
          <w:szCs w:val="21"/>
        </w:rPr>
        <w:t>de</w:t>
      </w:r>
      <w:r w:rsidRPr="00DE5E0E">
        <w:rPr>
          <w:rFonts w:ascii="Abadi" w:hAnsi="Abadi" w:cs="Verdana"/>
          <w:color w:val="1D1C23"/>
          <w:spacing w:val="19"/>
          <w:sz w:val="21"/>
          <w:szCs w:val="21"/>
        </w:rPr>
        <w:t xml:space="preserve"> </w:t>
      </w:r>
      <w:r w:rsidRPr="00DE5E0E">
        <w:rPr>
          <w:rFonts w:ascii="Abadi" w:hAnsi="Abadi" w:cs="Verdana"/>
          <w:color w:val="1D1C23"/>
          <w:sz w:val="21"/>
          <w:szCs w:val="21"/>
        </w:rPr>
        <w:t>pantalla</w:t>
      </w:r>
      <w:r w:rsidRPr="00DE5E0E">
        <w:rPr>
          <w:rFonts w:ascii="Abadi" w:hAnsi="Abadi" w:cs="Verdana"/>
          <w:color w:val="1D1C23"/>
          <w:spacing w:val="23"/>
          <w:sz w:val="21"/>
          <w:szCs w:val="21"/>
        </w:rPr>
        <w:t xml:space="preserve"> </w:t>
      </w:r>
      <w:r w:rsidRPr="00DE5E0E">
        <w:rPr>
          <w:rFonts w:ascii="Abadi" w:hAnsi="Abadi" w:cs="Verdana"/>
          <w:color w:val="1D1C23"/>
          <w:sz w:val="21"/>
          <w:szCs w:val="21"/>
        </w:rPr>
        <w:t>de</w:t>
      </w:r>
      <w:r w:rsidRPr="00DE5E0E">
        <w:rPr>
          <w:rFonts w:ascii="Abadi" w:hAnsi="Abadi" w:cs="Verdana"/>
          <w:color w:val="1D1C23"/>
          <w:spacing w:val="9"/>
          <w:sz w:val="21"/>
          <w:szCs w:val="21"/>
        </w:rPr>
        <w:t xml:space="preserve"> </w:t>
      </w:r>
      <w:r w:rsidRPr="00DE5E0E">
        <w:rPr>
          <w:rFonts w:ascii="Abadi" w:hAnsi="Abadi" w:cs="Verdana"/>
          <w:color w:val="1D1C23"/>
          <w:sz w:val="21"/>
          <w:szCs w:val="21"/>
        </w:rPr>
        <w:t>la</w:t>
      </w:r>
      <w:r w:rsidRPr="00DE5E0E">
        <w:rPr>
          <w:rFonts w:ascii="Abadi" w:hAnsi="Abadi" w:cs="Verdana"/>
          <w:color w:val="1D1C23"/>
          <w:spacing w:val="35"/>
          <w:sz w:val="21"/>
          <w:szCs w:val="21"/>
        </w:rPr>
        <w:t xml:space="preserve"> </w:t>
      </w:r>
      <w:r w:rsidRPr="00DE5E0E">
        <w:rPr>
          <w:rFonts w:ascii="Abadi" w:hAnsi="Abadi" w:cs="Verdana"/>
          <w:color w:val="1D1C23"/>
          <w:sz w:val="21"/>
          <w:szCs w:val="21"/>
        </w:rPr>
        <w:t>Página</w:t>
      </w:r>
      <w:r w:rsidRPr="00DE5E0E">
        <w:rPr>
          <w:rFonts w:ascii="Abadi" w:hAnsi="Abadi" w:cs="Verdana"/>
          <w:color w:val="1D1C23"/>
          <w:spacing w:val="23"/>
          <w:sz w:val="21"/>
          <w:szCs w:val="21"/>
        </w:rPr>
        <w:t xml:space="preserve"> </w:t>
      </w:r>
      <w:r w:rsidRPr="00DE5E0E">
        <w:rPr>
          <w:rFonts w:ascii="Abadi" w:hAnsi="Abadi" w:cs="Verdana"/>
          <w:color w:val="1D1C23"/>
          <w:sz w:val="21"/>
          <w:szCs w:val="21"/>
        </w:rPr>
        <w:t>oficial</w:t>
      </w:r>
      <w:r w:rsidRPr="00DE5E0E">
        <w:rPr>
          <w:rFonts w:ascii="Abadi" w:hAnsi="Abadi" w:cs="Verdana"/>
          <w:color w:val="1D1C23"/>
          <w:spacing w:val="13"/>
          <w:sz w:val="21"/>
          <w:szCs w:val="21"/>
        </w:rPr>
        <w:t xml:space="preserve"> </w:t>
      </w:r>
      <w:r w:rsidRPr="00DE5E0E">
        <w:rPr>
          <w:rFonts w:ascii="Abadi" w:hAnsi="Abadi" w:cs="Verdana"/>
          <w:color w:val="1D1C23"/>
          <w:sz w:val="21"/>
          <w:szCs w:val="21"/>
        </w:rPr>
        <w:t>del</w:t>
      </w:r>
      <w:r w:rsidRPr="00DE5E0E">
        <w:rPr>
          <w:rFonts w:ascii="Abadi" w:hAnsi="Abadi" w:cs="Verdana"/>
          <w:color w:val="1D1C23"/>
          <w:spacing w:val="11"/>
          <w:sz w:val="21"/>
          <w:szCs w:val="21"/>
        </w:rPr>
        <w:t xml:space="preserve"> </w:t>
      </w:r>
      <w:r w:rsidRPr="00DE5E0E">
        <w:rPr>
          <w:rFonts w:ascii="Abadi" w:hAnsi="Abadi" w:cs="Verdana"/>
          <w:color w:val="1D1C23"/>
          <w:sz w:val="21"/>
          <w:szCs w:val="21"/>
        </w:rPr>
        <w:t>Instituto</w:t>
      </w:r>
      <w:r w:rsidRPr="00DE5E0E">
        <w:rPr>
          <w:rFonts w:ascii="Abadi" w:hAnsi="Abadi" w:cs="Verdana"/>
          <w:color w:val="1D1C23"/>
          <w:spacing w:val="10"/>
          <w:sz w:val="21"/>
          <w:szCs w:val="21"/>
        </w:rPr>
        <w:t xml:space="preserve"> </w:t>
      </w:r>
      <w:r w:rsidRPr="00DE5E0E">
        <w:rPr>
          <w:rFonts w:ascii="Abadi" w:hAnsi="Abadi" w:cs="Verdana"/>
          <w:color w:val="1D1C23"/>
          <w:sz w:val="21"/>
          <w:szCs w:val="21"/>
        </w:rPr>
        <w:t>de</w:t>
      </w:r>
      <w:r w:rsidRPr="00DE5E0E">
        <w:rPr>
          <w:rFonts w:ascii="Abadi" w:hAnsi="Abadi" w:cs="Verdana"/>
          <w:color w:val="1D1C23"/>
          <w:spacing w:val="22"/>
          <w:sz w:val="21"/>
          <w:szCs w:val="21"/>
        </w:rPr>
        <w:t xml:space="preserve"> </w:t>
      </w:r>
      <w:r w:rsidRPr="00DE5E0E">
        <w:rPr>
          <w:rFonts w:ascii="Abadi" w:hAnsi="Abadi" w:cs="Verdana"/>
          <w:color w:val="1D1C23"/>
          <w:sz w:val="21"/>
          <w:szCs w:val="21"/>
        </w:rPr>
        <w:t>Acceso</w:t>
      </w:r>
      <w:r w:rsidRPr="00DE5E0E">
        <w:rPr>
          <w:rFonts w:ascii="Abadi" w:hAnsi="Abadi" w:cs="Verdana"/>
          <w:color w:val="1D1C23"/>
          <w:spacing w:val="19"/>
          <w:sz w:val="21"/>
          <w:szCs w:val="21"/>
        </w:rPr>
        <w:t xml:space="preserve"> </w:t>
      </w:r>
      <w:r w:rsidRPr="00DE5E0E">
        <w:rPr>
          <w:rFonts w:ascii="Abadi" w:hAnsi="Abadi" w:cs="Verdana"/>
          <w:color w:val="1D1C23"/>
          <w:sz w:val="21"/>
          <w:szCs w:val="21"/>
        </w:rPr>
        <w:t>a</w:t>
      </w:r>
      <w:r w:rsidRPr="00DE5E0E">
        <w:rPr>
          <w:rFonts w:ascii="Abadi" w:hAnsi="Abadi" w:cs="Verdana"/>
          <w:color w:val="1D1C23"/>
          <w:spacing w:val="11"/>
          <w:sz w:val="21"/>
          <w:szCs w:val="21"/>
        </w:rPr>
        <w:t xml:space="preserve"> </w:t>
      </w:r>
      <w:r w:rsidRPr="00DE5E0E">
        <w:rPr>
          <w:rFonts w:ascii="Abadi" w:hAnsi="Abadi" w:cs="Verdana"/>
          <w:color w:val="1D1C23"/>
          <w:sz w:val="21"/>
          <w:szCs w:val="21"/>
        </w:rPr>
        <w:t>la</w:t>
      </w:r>
      <w:r w:rsidRPr="00DE5E0E">
        <w:rPr>
          <w:rFonts w:ascii="Abadi" w:hAnsi="Abadi" w:cs="Verdana"/>
          <w:color w:val="1D1C23"/>
          <w:spacing w:val="26"/>
          <w:sz w:val="21"/>
          <w:szCs w:val="21"/>
        </w:rPr>
        <w:t xml:space="preserve"> </w:t>
      </w:r>
      <w:r w:rsidRPr="00DE5E0E">
        <w:rPr>
          <w:rFonts w:ascii="Abadi" w:hAnsi="Abadi" w:cs="Verdana"/>
          <w:color w:val="1D1C23"/>
          <w:sz w:val="21"/>
          <w:szCs w:val="21"/>
        </w:rPr>
        <w:t>Información</w:t>
      </w:r>
      <w:r w:rsidRPr="00DE5E0E">
        <w:rPr>
          <w:rFonts w:ascii="Abadi" w:hAnsi="Abadi" w:cs="Verdana"/>
          <w:color w:val="1D1C23"/>
          <w:spacing w:val="27"/>
          <w:sz w:val="21"/>
          <w:szCs w:val="21"/>
        </w:rPr>
        <w:t xml:space="preserve"> </w:t>
      </w:r>
      <w:r w:rsidRPr="00DE5E0E">
        <w:rPr>
          <w:rFonts w:ascii="Abadi" w:hAnsi="Abadi" w:cs="Verdana"/>
          <w:color w:val="1D1C23"/>
          <w:sz w:val="21"/>
          <w:szCs w:val="21"/>
        </w:rPr>
        <w:t>Pública</w:t>
      </w:r>
      <w:r w:rsidRPr="00DE5E0E">
        <w:rPr>
          <w:rFonts w:ascii="Abadi" w:hAnsi="Abadi" w:cs="Verdana"/>
          <w:color w:val="1D1C23"/>
          <w:spacing w:val="-1"/>
          <w:sz w:val="21"/>
          <w:szCs w:val="21"/>
        </w:rPr>
        <w:t xml:space="preserve"> </w:t>
      </w:r>
      <w:r w:rsidRPr="00DE5E0E">
        <w:rPr>
          <w:rFonts w:ascii="Abadi" w:hAnsi="Abadi" w:cs="Verdana"/>
          <w:color w:val="1D1C23"/>
          <w:sz w:val="21"/>
          <w:szCs w:val="21"/>
        </w:rPr>
        <w:t>para</w:t>
      </w:r>
      <w:r w:rsidRPr="00DE5E0E">
        <w:rPr>
          <w:rFonts w:ascii="Abadi" w:hAnsi="Abadi" w:cs="Verdana"/>
          <w:color w:val="1D1C23"/>
          <w:spacing w:val="-10"/>
          <w:sz w:val="21"/>
          <w:szCs w:val="21"/>
        </w:rPr>
        <w:t xml:space="preserve"> </w:t>
      </w:r>
      <w:r w:rsidRPr="00DE5E0E">
        <w:rPr>
          <w:rFonts w:ascii="Abadi" w:hAnsi="Abadi" w:cs="Verdana"/>
          <w:color w:val="1D1C23"/>
          <w:sz w:val="21"/>
          <w:szCs w:val="21"/>
        </w:rPr>
        <w:t>el</w:t>
      </w:r>
      <w:r w:rsidRPr="00DE5E0E">
        <w:rPr>
          <w:rFonts w:ascii="Abadi" w:hAnsi="Abadi" w:cs="Verdana"/>
          <w:color w:val="1D1C23"/>
          <w:spacing w:val="-2"/>
          <w:sz w:val="21"/>
          <w:szCs w:val="21"/>
        </w:rPr>
        <w:t xml:space="preserve"> </w:t>
      </w:r>
      <w:r w:rsidRPr="00DE5E0E">
        <w:rPr>
          <w:rFonts w:ascii="Abadi" w:hAnsi="Abadi" w:cs="Verdana"/>
          <w:color w:val="1D1C23"/>
          <w:sz w:val="21"/>
          <w:szCs w:val="21"/>
        </w:rPr>
        <w:t>Estado</w:t>
      </w:r>
      <w:r w:rsidRPr="00DE5E0E">
        <w:rPr>
          <w:rFonts w:ascii="Abadi" w:hAnsi="Abadi" w:cs="Verdana"/>
          <w:color w:val="1D1C23"/>
          <w:spacing w:val="-10"/>
          <w:sz w:val="21"/>
          <w:szCs w:val="21"/>
        </w:rPr>
        <w:t xml:space="preserve"> </w:t>
      </w:r>
      <w:r w:rsidRPr="00DE5E0E">
        <w:rPr>
          <w:rFonts w:ascii="Abadi" w:hAnsi="Abadi" w:cs="Verdana"/>
          <w:color w:val="1D1C23"/>
          <w:sz w:val="21"/>
          <w:szCs w:val="21"/>
        </w:rPr>
        <w:t>de</w:t>
      </w:r>
      <w:r w:rsidRPr="00DE5E0E">
        <w:rPr>
          <w:rFonts w:ascii="Abadi" w:hAnsi="Abadi" w:cs="Verdana"/>
          <w:color w:val="1D1C23"/>
          <w:spacing w:val="-4"/>
          <w:sz w:val="21"/>
          <w:szCs w:val="21"/>
        </w:rPr>
        <w:t xml:space="preserve"> </w:t>
      </w:r>
      <w:r w:rsidRPr="00DE5E0E">
        <w:rPr>
          <w:rFonts w:ascii="Abadi" w:hAnsi="Abadi" w:cs="Verdana"/>
          <w:color w:val="1D1C23"/>
          <w:sz w:val="21"/>
          <w:szCs w:val="21"/>
        </w:rPr>
        <w:t>Guanajuato;</w:t>
      </w:r>
    </w:p>
    <w:p w14:paraId="29A82390" w14:textId="77777777" w:rsidR="00A7016E" w:rsidRPr="00DE5E0E" w:rsidRDefault="00A7016E" w:rsidP="00A7016E">
      <w:pPr>
        <w:kinsoku w:val="0"/>
        <w:overflowPunct w:val="0"/>
        <w:autoSpaceDE w:val="0"/>
        <w:autoSpaceDN w:val="0"/>
        <w:adjustRightInd w:val="0"/>
        <w:ind w:right="243"/>
        <w:jc w:val="both"/>
        <w:rPr>
          <w:rFonts w:ascii="Abadi" w:hAnsi="Abadi" w:cs="Verdana"/>
          <w:sz w:val="21"/>
          <w:szCs w:val="21"/>
        </w:rPr>
      </w:pPr>
    </w:p>
    <w:p w14:paraId="32692168" w14:textId="77777777" w:rsidR="00A7016E" w:rsidRPr="00DE5E0E" w:rsidRDefault="00A7016E" w:rsidP="00A7016E">
      <w:pPr>
        <w:kinsoku w:val="0"/>
        <w:overflowPunct w:val="0"/>
        <w:autoSpaceDE w:val="0"/>
        <w:autoSpaceDN w:val="0"/>
        <w:adjustRightInd w:val="0"/>
        <w:ind w:right="243"/>
        <w:jc w:val="both"/>
        <w:rPr>
          <w:rFonts w:ascii="Abadi" w:hAnsi="Abadi" w:cs="Verdana"/>
          <w:color w:val="1D1C21"/>
          <w:sz w:val="21"/>
          <w:szCs w:val="21"/>
        </w:rPr>
      </w:pPr>
      <w:r w:rsidRPr="00DE5E0E">
        <w:rPr>
          <w:rFonts w:ascii="Abadi" w:hAnsi="Abadi" w:cs="Verdana"/>
          <w:color w:val="1D1C21"/>
          <w:sz w:val="21"/>
          <w:szCs w:val="21"/>
        </w:rPr>
        <w:t>De</w:t>
      </w:r>
      <w:r w:rsidRPr="00DE5E0E">
        <w:rPr>
          <w:rFonts w:ascii="Abadi" w:hAnsi="Abadi" w:cs="Verdana"/>
          <w:color w:val="1D1C21"/>
          <w:spacing w:val="18"/>
          <w:sz w:val="21"/>
          <w:szCs w:val="21"/>
        </w:rPr>
        <w:t xml:space="preserve"> </w:t>
      </w:r>
      <w:r w:rsidRPr="00DE5E0E">
        <w:rPr>
          <w:rFonts w:ascii="Abadi" w:hAnsi="Abadi" w:cs="Verdana"/>
          <w:color w:val="1D1C21"/>
          <w:sz w:val="21"/>
          <w:szCs w:val="21"/>
        </w:rPr>
        <w:t>igual</w:t>
      </w:r>
      <w:r w:rsidRPr="00DE5E0E">
        <w:rPr>
          <w:rFonts w:ascii="Abadi" w:hAnsi="Abadi" w:cs="Verdana"/>
          <w:color w:val="1D1C21"/>
          <w:spacing w:val="23"/>
          <w:sz w:val="21"/>
          <w:szCs w:val="21"/>
        </w:rPr>
        <w:t xml:space="preserve"> </w:t>
      </w:r>
      <w:r w:rsidRPr="00DE5E0E">
        <w:rPr>
          <w:rFonts w:ascii="Abadi" w:hAnsi="Abadi" w:cs="Verdana"/>
          <w:color w:val="1D1C21"/>
          <w:sz w:val="21"/>
          <w:szCs w:val="21"/>
        </w:rPr>
        <w:t>manera,</w:t>
      </w:r>
      <w:r w:rsidRPr="00DE5E0E">
        <w:rPr>
          <w:rFonts w:ascii="Abadi" w:hAnsi="Abadi" w:cs="Verdana"/>
          <w:color w:val="1D1C21"/>
          <w:spacing w:val="41"/>
          <w:sz w:val="21"/>
          <w:szCs w:val="21"/>
        </w:rPr>
        <w:t xml:space="preserve"> </w:t>
      </w:r>
      <w:r w:rsidRPr="00DE5E0E">
        <w:rPr>
          <w:rFonts w:ascii="Abadi" w:hAnsi="Abadi" w:cs="Verdana"/>
          <w:color w:val="1D1C21"/>
          <w:sz w:val="21"/>
          <w:szCs w:val="21"/>
        </w:rPr>
        <w:t>se</w:t>
      </w:r>
      <w:r w:rsidRPr="00DE5E0E">
        <w:rPr>
          <w:rFonts w:ascii="Abadi" w:hAnsi="Abadi" w:cs="Verdana"/>
          <w:color w:val="1D1C21"/>
          <w:spacing w:val="18"/>
          <w:sz w:val="21"/>
          <w:szCs w:val="21"/>
        </w:rPr>
        <w:t xml:space="preserve"> </w:t>
      </w:r>
      <w:r w:rsidRPr="00DE5E0E">
        <w:rPr>
          <w:rFonts w:ascii="Abadi" w:hAnsi="Abadi" w:cs="Verdana"/>
          <w:color w:val="1D1C21"/>
          <w:sz w:val="21"/>
          <w:szCs w:val="21"/>
        </w:rPr>
        <w:t>acompaña</w:t>
      </w:r>
      <w:r w:rsidRPr="00DE5E0E">
        <w:rPr>
          <w:rFonts w:ascii="Abadi" w:hAnsi="Abadi" w:cs="Verdana"/>
          <w:color w:val="1D1C21"/>
          <w:spacing w:val="21"/>
          <w:sz w:val="21"/>
          <w:szCs w:val="21"/>
        </w:rPr>
        <w:t xml:space="preserve"> </w:t>
      </w:r>
      <w:r w:rsidRPr="00DE5E0E">
        <w:rPr>
          <w:rFonts w:ascii="Abadi" w:hAnsi="Abadi" w:cs="Verdana"/>
          <w:color w:val="1D1C21"/>
          <w:sz w:val="21"/>
          <w:szCs w:val="21"/>
        </w:rPr>
        <w:t>Copia</w:t>
      </w:r>
      <w:r w:rsidRPr="00DE5E0E">
        <w:rPr>
          <w:rFonts w:ascii="Abadi" w:hAnsi="Abadi" w:cs="Verdana"/>
          <w:color w:val="1D1C21"/>
          <w:spacing w:val="24"/>
          <w:sz w:val="21"/>
          <w:szCs w:val="21"/>
        </w:rPr>
        <w:t xml:space="preserve"> </w:t>
      </w:r>
      <w:r w:rsidRPr="00DE5E0E">
        <w:rPr>
          <w:rFonts w:ascii="Abadi" w:hAnsi="Abadi" w:cs="Verdana"/>
          <w:color w:val="1D1C21"/>
          <w:sz w:val="21"/>
          <w:szCs w:val="21"/>
        </w:rPr>
        <w:t>certificada</w:t>
      </w:r>
      <w:r w:rsidRPr="00DE5E0E">
        <w:rPr>
          <w:rFonts w:ascii="Abadi" w:hAnsi="Abadi" w:cs="Verdana"/>
          <w:color w:val="1D1C21"/>
          <w:spacing w:val="22"/>
          <w:sz w:val="21"/>
          <w:szCs w:val="21"/>
        </w:rPr>
        <w:t xml:space="preserve"> </w:t>
      </w:r>
      <w:r w:rsidRPr="00DE5E0E">
        <w:rPr>
          <w:rFonts w:ascii="Abadi" w:hAnsi="Abadi" w:cs="Verdana"/>
          <w:color w:val="1D1C21"/>
          <w:sz w:val="21"/>
          <w:szCs w:val="21"/>
        </w:rPr>
        <w:t>del</w:t>
      </w:r>
      <w:r w:rsidRPr="00DE5E0E">
        <w:rPr>
          <w:rFonts w:ascii="Abadi" w:hAnsi="Abadi" w:cs="Verdana"/>
          <w:color w:val="1D1C21"/>
          <w:spacing w:val="17"/>
          <w:sz w:val="21"/>
          <w:szCs w:val="21"/>
        </w:rPr>
        <w:t xml:space="preserve"> </w:t>
      </w:r>
      <w:r w:rsidRPr="00DE5E0E">
        <w:rPr>
          <w:rFonts w:ascii="Abadi" w:hAnsi="Abadi" w:cs="Verdana"/>
          <w:color w:val="1D1C21"/>
          <w:sz w:val="21"/>
          <w:szCs w:val="21"/>
        </w:rPr>
        <w:t>Acta</w:t>
      </w:r>
      <w:r w:rsidRPr="00DE5E0E">
        <w:rPr>
          <w:rFonts w:ascii="Abadi" w:hAnsi="Abadi" w:cs="Verdana"/>
          <w:color w:val="1D1C21"/>
          <w:spacing w:val="24"/>
          <w:sz w:val="21"/>
          <w:szCs w:val="21"/>
        </w:rPr>
        <w:t xml:space="preserve"> </w:t>
      </w:r>
      <w:r w:rsidRPr="00DE5E0E">
        <w:rPr>
          <w:rFonts w:ascii="Abadi" w:hAnsi="Abadi" w:cs="Verdana"/>
          <w:color w:val="1D1C21"/>
          <w:sz w:val="21"/>
          <w:szCs w:val="21"/>
        </w:rPr>
        <w:t>correspondiente</w:t>
      </w:r>
      <w:r w:rsidRPr="00DE5E0E">
        <w:rPr>
          <w:rFonts w:ascii="Abadi" w:hAnsi="Abadi" w:cs="Verdana"/>
          <w:color w:val="1D1C21"/>
          <w:spacing w:val="22"/>
          <w:sz w:val="21"/>
          <w:szCs w:val="21"/>
        </w:rPr>
        <w:t xml:space="preserve"> </w:t>
      </w:r>
      <w:r w:rsidRPr="00DE5E0E">
        <w:rPr>
          <w:rFonts w:ascii="Abadi" w:hAnsi="Abadi" w:cs="Verdana"/>
          <w:color w:val="1D1C21"/>
          <w:sz w:val="21"/>
          <w:szCs w:val="21"/>
        </w:rPr>
        <w:t>a</w:t>
      </w:r>
      <w:r w:rsidRPr="00DE5E0E">
        <w:rPr>
          <w:rFonts w:ascii="Abadi" w:hAnsi="Abadi" w:cs="Verdana"/>
          <w:color w:val="1D1C21"/>
          <w:spacing w:val="21"/>
          <w:sz w:val="21"/>
          <w:szCs w:val="21"/>
        </w:rPr>
        <w:t xml:space="preserve"> </w:t>
      </w:r>
      <w:r w:rsidRPr="00DE5E0E">
        <w:rPr>
          <w:rFonts w:ascii="Abadi" w:hAnsi="Abadi" w:cs="Verdana"/>
          <w:color w:val="1D1C21"/>
          <w:sz w:val="21"/>
          <w:szCs w:val="21"/>
        </w:rPr>
        <w:t>la</w:t>
      </w:r>
      <w:r w:rsidRPr="00DE5E0E">
        <w:rPr>
          <w:rFonts w:ascii="Abadi" w:hAnsi="Abadi" w:cs="Verdana"/>
          <w:color w:val="1D1C21"/>
          <w:spacing w:val="-1"/>
          <w:sz w:val="21"/>
          <w:szCs w:val="21"/>
        </w:rPr>
        <w:t xml:space="preserve"> </w:t>
      </w:r>
      <w:r w:rsidRPr="00DE5E0E">
        <w:rPr>
          <w:rFonts w:ascii="Abadi" w:hAnsi="Abadi" w:cs="Verdana"/>
          <w:color w:val="1D1C21"/>
          <w:sz w:val="21"/>
          <w:szCs w:val="21"/>
        </w:rPr>
        <w:t>17/a</w:t>
      </w:r>
      <w:r w:rsidRPr="00DE5E0E">
        <w:rPr>
          <w:rFonts w:ascii="Abadi" w:hAnsi="Abadi" w:cs="Verdana"/>
          <w:color w:val="1D1C21"/>
          <w:spacing w:val="27"/>
          <w:sz w:val="21"/>
          <w:szCs w:val="21"/>
        </w:rPr>
        <w:t xml:space="preserve"> </w:t>
      </w:r>
      <w:r w:rsidRPr="00DE5E0E">
        <w:rPr>
          <w:rFonts w:ascii="Abadi" w:hAnsi="Abadi" w:cs="Verdana"/>
          <w:color w:val="1D1C21"/>
          <w:sz w:val="21"/>
          <w:szCs w:val="21"/>
        </w:rPr>
        <w:t>Sesión Administrativa</w:t>
      </w:r>
      <w:r w:rsidRPr="00DE5E0E">
        <w:rPr>
          <w:rFonts w:ascii="Abadi" w:hAnsi="Abadi" w:cs="Verdana"/>
          <w:color w:val="1D1C21"/>
          <w:spacing w:val="-17"/>
          <w:sz w:val="21"/>
          <w:szCs w:val="21"/>
        </w:rPr>
        <w:t xml:space="preserve"> </w:t>
      </w:r>
      <w:r w:rsidRPr="00DE5E0E">
        <w:rPr>
          <w:rFonts w:ascii="Abadi" w:hAnsi="Abadi" w:cs="Verdana"/>
          <w:color w:val="1D1C21"/>
          <w:sz w:val="21"/>
          <w:szCs w:val="21"/>
        </w:rPr>
        <w:t>del</w:t>
      </w:r>
      <w:r w:rsidRPr="00DE5E0E">
        <w:rPr>
          <w:rFonts w:ascii="Abadi" w:hAnsi="Abadi" w:cs="Verdana"/>
          <w:color w:val="1D1C21"/>
          <w:spacing w:val="-29"/>
          <w:sz w:val="21"/>
          <w:szCs w:val="21"/>
        </w:rPr>
        <w:t xml:space="preserve"> </w:t>
      </w:r>
      <w:r w:rsidRPr="00DE5E0E">
        <w:rPr>
          <w:rFonts w:ascii="Abadi" w:hAnsi="Abadi" w:cs="Verdana"/>
          <w:color w:val="1D1C21"/>
          <w:sz w:val="21"/>
          <w:szCs w:val="21"/>
        </w:rPr>
        <w:t>19/o</w:t>
      </w:r>
      <w:r w:rsidRPr="00DE5E0E">
        <w:rPr>
          <w:rFonts w:ascii="Abadi" w:hAnsi="Abadi" w:cs="Verdana"/>
          <w:color w:val="1D1C21"/>
          <w:spacing w:val="-7"/>
          <w:sz w:val="21"/>
          <w:szCs w:val="21"/>
        </w:rPr>
        <w:t xml:space="preserve"> </w:t>
      </w:r>
      <w:r w:rsidRPr="00DE5E0E">
        <w:rPr>
          <w:rFonts w:ascii="Abadi" w:hAnsi="Abadi" w:cs="Verdana"/>
          <w:color w:val="1D1C21"/>
          <w:sz w:val="21"/>
          <w:szCs w:val="21"/>
        </w:rPr>
        <w:t>año</w:t>
      </w:r>
      <w:r w:rsidRPr="00DE5E0E">
        <w:rPr>
          <w:rFonts w:ascii="Abadi" w:hAnsi="Abadi" w:cs="Verdana"/>
          <w:color w:val="1D1C21"/>
          <w:spacing w:val="-14"/>
          <w:sz w:val="21"/>
          <w:szCs w:val="21"/>
        </w:rPr>
        <w:t xml:space="preserve"> </w:t>
      </w:r>
      <w:r w:rsidRPr="00DE5E0E">
        <w:rPr>
          <w:rFonts w:ascii="Abadi" w:hAnsi="Abadi" w:cs="Verdana"/>
          <w:color w:val="1D1C21"/>
          <w:sz w:val="21"/>
          <w:szCs w:val="21"/>
        </w:rPr>
        <w:t>de</w:t>
      </w:r>
      <w:r w:rsidRPr="00DE5E0E">
        <w:rPr>
          <w:rFonts w:ascii="Abadi" w:hAnsi="Abadi" w:cs="Verdana"/>
          <w:color w:val="1D1C21"/>
          <w:spacing w:val="-12"/>
          <w:sz w:val="21"/>
          <w:szCs w:val="21"/>
        </w:rPr>
        <w:t xml:space="preserve"> </w:t>
      </w:r>
      <w:r w:rsidRPr="00DE5E0E">
        <w:rPr>
          <w:rFonts w:ascii="Abadi" w:hAnsi="Abadi" w:cs="Verdana"/>
          <w:color w:val="1D1C21"/>
          <w:sz w:val="21"/>
          <w:szCs w:val="21"/>
        </w:rPr>
        <w:t>ejercicio,</w:t>
      </w:r>
      <w:r w:rsidRPr="00DE5E0E">
        <w:rPr>
          <w:rFonts w:ascii="Abadi" w:hAnsi="Abadi" w:cs="Verdana"/>
          <w:color w:val="1D1C21"/>
          <w:spacing w:val="7"/>
          <w:sz w:val="21"/>
          <w:szCs w:val="21"/>
        </w:rPr>
        <w:t xml:space="preserve"> </w:t>
      </w:r>
      <w:r w:rsidRPr="00DE5E0E">
        <w:rPr>
          <w:rFonts w:ascii="Abadi" w:hAnsi="Abadi" w:cs="Verdana"/>
          <w:color w:val="1D1C21"/>
          <w:sz w:val="21"/>
          <w:szCs w:val="21"/>
        </w:rPr>
        <w:t>de</w:t>
      </w:r>
      <w:r w:rsidRPr="00DE5E0E">
        <w:rPr>
          <w:rFonts w:ascii="Abadi" w:hAnsi="Abadi" w:cs="Verdana"/>
          <w:color w:val="1D1C21"/>
          <w:spacing w:val="-6"/>
          <w:sz w:val="21"/>
          <w:szCs w:val="21"/>
        </w:rPr>
        <w:t xml:space="preserve"> </w:t>
      </w:r>
      <w:r w:rsidRPr="00DE5E0E">
        <w:rPr>
          <w:rFonts w:ascii="Abadi" w:hAnsi="Abadi" w:cs="Verdana"/>
          <w:color w:val="1D1C21"/>
          <w:sz w:val="21"/>
          <w:szCs w:val="21"/>
        </w:rPr>
        <w:t>fecha</w:t>
      </w:r>
      <w:r w:rsidRPr="00DE5E0E">
        <w:rPr>
          <w:rFonts w:ascii="Abadi" w:hAnsi="Abadi" w:cs="Verdana"/>
          <w:color w:val="1D1C21"/>
          <w:spacing w:val="2"/>
          <w:sz w:val="21"/>
          <w:szCs w:val="21"/>
        </w:rPr>
        <w:t xml:space="preserve"> </w:t>
      </w:r>
      <w:r w:rsidRPr="00DE5E0E">
        <w:rPr>
          <w:rFonts w:ascii="Abadi" w:hAnsi="Abadi" w:cs="Verdana"/>
          <w:color w:val="1D1C21"/>
          <w:sz w:val="21"/>
          <w:szCs w:val="21"/>
        </w:rPr>
        <w:t>11</w:t>
      </w:r>
      <w:r w:rsidRPr="00DE5E0E">
        <w:rPr>
          <w:rFonts w:ascii="Abadi" w:hAnsi="Abadi" w:cs="Verdana"/>
          <w:color w:val="1D1C21"/>
          <w:spacing w:val="-9"/>
          <w:sz w:val="21"/>
          <w:szCs w:val="21"/>
        </w:rPr>
        <w:t xml:space="preserve"> </w:t>
      </w:r>
      <w:r w:rsidRPr="00DE5E0E">
        <w:rPr>
          <w:rFonts w:ascii="Abadi" w:hAnsi="Abadi" w:cs="Verdana"/>
          <w:color w:val="1D1C21"/>
          <w:sz w:val="21"/>
          <w:szCs w:val="21"/>
        </w:rPr>
        <w:t>de</w:t>
      </w:r>
      <w:r w:rsidRPr="00DE5E0E">
        <w:rPr>
          <w:rFonts w:ascii="Abadi" w:hAnsi="Abadi" w:cs="Verdana"/>
          <w:color w:val="1D1C21"/>
          <w:spacing w:val="-13"/>
          <w:sz w:val="21"/>
          <w:szCs w:val="21"/>
        </w:rPr>
        <w:t xml:space="preserve"> </w:t>
      </w:r>
      <w:r w:rsidRPr="00DE5E0E">
        <w:rPr>
          <w:rFonts w:ascii="Abadi" w:hAnsi="Abadi" w:cs="Verdana"/>
          <w:color w:val="1D1C21"/>
          <w:sz w:val="21"/>
          <w:szCs w:val="21"/>
        </w:rPr>
        <w:t>mayo</w:t>
      </w:r>
      <w:r w:rsidRPr="00DE5E0E">
        <w:rPr>
          <w:rFonts w:ascii="Abadi" w:hAnsi="Abadi" w:cs="Verdana"/>
          <w:color w:val="1D1C21"/>
          <w:spacing w:val="-14"/>
          <w:sz w:val="21"/>
          <w:szCs w:val="21"/>
        </w:rPr>
        <w:t xml:space="preserve"> </w:t>
      </w:r>
      <w:r w:rsidRPr="00DE5E0E">
        <w:rPr>
          <w:rFonts w:ascii="Abadi" w:hAnsi="Abadi" w:cs="Verdana"/>
          <w:color w:val="1D1C21"/>
          <w:sz w:val="21"/>
          <w:szCs w:val="21"/>
        </w:rPr>
        <w:t>de</w:t>
      </w:r>
      <w:r w:rsidRPr="00DE5E0E">
        <w:rPr>
          <w:rFonts w:ascii="Abadi" w:hAnsi="Abadi" w:cs="Verdana"/>
          <w:color w:val="1D1C21"/>
          <w:spacing w:val="-10"/>
          <w:sz w:val="21"/>
          <w:szCs w:val="21"/>
        </w:rPr>
        <w:t xml:space="preserve"> </w:t>
      </w:r>
      <w:r w:rsidRPr="00DE5E0E">
        <w:rPr>
          <w:rFonts w:ascii="Abadi" w:hAnsi="Abadi" w:cs="Verdana"/>
          <w:color w:val="1D1C21"/>
          <w:sz w:val="21"/>
          <w:szCs w:val="21"/>
        </w:rPr>
        <w:t>2022.</w:t>
      </w:r>
    </w:p>
    <w:p w14:paraId="0633614F" w14:textId="77777777" w:rsidR="00A7016E" w:rsidRPr="00DE5E0E" w:rsidRDefault="00A7016E" w:rsidP="00A7016E">
      <w:pPr>
        <w:kinsoku w:val="0"/>
        <w:overflowPunct w:val="0"/>
        <w:autoSpaceDE w:val="0"/>
        <w:autoSpaceDN w:val="0"/>
        <w:adjustRightInd w:val="0"/>
        <w:spacing w:before="9"/>
        <w:jc w:val="both"/>
        <w:rPr>
          <w:rFonts w:ascii="Abadi" w:hAnsi="Abadi" w:cs="Verdana"/>
          <w:color w:val="1C1B23"/>
          <w:sz w:val="21"/>
          <w:szCs w:val="21"/>
        </w:rPr>
      </w:pPr>
    </w:p>
    <w:p w14:paraId="7C28D4F5" w14:textId="77777777" w:rsidR="00A7016E" w:rsidRPr="00DE5E0E" w:rsidRDefault="00A7016E" w:rsidP="00A7016E">
      <w:pPr>
        <w:kinsoku w:val="0"/>
        <w:overflowPunct w:val="0"/>
        <w:autoSpaceDE w:val="0"/>
        <w:autoSpaceDN w:val="0"/>
        <w:adjustRightInd w:val="0"/>
        <w:spacing w:before="9"/>
        <w:jc w:val="both"/>
        <w:rPr>
          <w:rFonts w:ascii="Abadi" w:hAnsi="Abadi" w:cs="Verdana"/>
          <w:color w:val="1C1B23"/>
          <w:sz w:val="21"/>
          <w:szCs w:val="21"/>
        </w:rPr>
      </w:pPr>
      <w:r w:rsidRPr="00DE5E0E">
        <w:rPr>
          <w:rFonts w:ascii="Abadi" w:hAnsi="Abadi" w:cs="Verdana"/>
          <w:color w:val="1C1B23"/>
          <w:sz w:val="21"/>
          <w:szCs w:val="21"/>
        </w:rPr>
        <w:t>Finalmente,</w:t>
      </w:r>
      <w:r w:rsidRPr="00DE5E0E">
        <w:rPr>
          <w:rFonts w:ascii="Abadi" w:hAnsi="Abadi" w:cs="Verdana"/>
          <w:color w:val="1C1B23"/>
          <w:spacing w:val="37"/>
          <w:sz w:val="21"/>
          <w:szCs w:val="21"/>
        </w:rPr>
        <w:t xml:space="preserve"> </w:t>
      </w:r>
      <w:r w:rsidRPr="00DE5E0E">
        <w:rPr>
          <w:rFonts w:ascii="Abadi" w:hAnsi="Abadi" w:cs="Verdana"/>
          <w:color w:val="1C1B23"/>
          <w:sz w:val="21"/>
          <w:szCs w:val="21"/>
        </w:rPr>
        <w:t>se</w:t>
      </w:r>
      <w:r w:rsidRPr="00DE5E0E">
        <w:rPr>
          <w:rFonts w:ascii="Abadi" w:hAnsi="Abadi" w:cs="Verdana"/>
          <w:color w:val="1C1B23"/>
          <w:spacing w:val="19"/>
          <w:sz w:val="21"/>
          <w:szCs w:val="21"/>
        </w:rPr>
        <w:t xml:space="preserve"> </w:t>
      </w:r>
      <w:r w:rsidRPr="00DE5E0E">
        <w:rPr>
          <w:rFonts w:ascii="Abadi" w:hAnsi="Abadi" w:cs="Verdana"/>
          <w:color w:val="1C1B23"/>
          <w:sz w:val="21"/>
          <w:szCs w:val="21"/>
        </w:rPr>
        <w:t>menciona</w:t>
      </w:r>
      <w:r w:rsidRPr="00DE5E0E">
        <w:rPr>
          <w:rFonts w:ascii="Abadi" w:hAnsi="Abadi" w:cs="Verdana"/>
          <w:color w:val="1C1B23"/>
          <w:spacing w:val="28"/>
          <w:sz w:val="21"/>
          <w:szCs w:val="21"/>
        </w:rPr>
        <w:t xml:space="preserve"> </w:t>
      </w:r>
      <w:r w:rsidRPr="00DE5E0E">
        <w:rPr>
          <w:rFonts w:ascii="Abadi" w:hAnsi="Abadi" w:cs="Verdana"/>
          <w:color w:val="1C1B23"/>
          <w:sz w:val="21"/>
          <w:szCs w:val="21"/>
        </w:rPr>
        <w:t>que</w:t>
      </w:r>
      <w:r w:rsidRPr="00DE5E0E">
        <w:rPr>
          <w:rFonts w:ascii="Abadi" w:hAnsi="Abadi" w:cs="Verdana"/>
          <w:color w:val="1C1B23"/>
          <w:spacing w:val="27"/>
          <w:sz w:val="21"/>
          <w:szCs w:val="21"/>
        </w:rPr>
        <w:t xml:space="preserve"> </w:t>
      </w:r>
      <w:r w:rsidRPr="00DE5E0E">
        <w:rPr>
          <w:rFonts w:ascii="Abadi" w:hAnsi="Abadi" w:cs="Verdana"/>
          <w:color w:val="1C1B23"/>
          <w:sz w:val="21"/>
          <w:szCs w:val="21"/>
        </w:rPr>
        <w:t>el</w:t>
      </w:r>
      <w:r w:rsidRPr="00DE5E0E">
        <w:rPr>
          <w:rFonts w:ascii="Abadi" w:hAnsi="Abadi" w:cs="Verdana"/>
          <w:color w:val="1C1B23"/>
          <w:spacing w:val="27"/>
          <w:sz w:val="21"/>
          <w:szCs w:val="21"/>
        </w:rPr>
        <w:t xml:space="preserve"> </w:t>
      </w:r>
      <w:r w:rsidRPr="00DE5E0E">
        <w:rPr>
          <w:rFonts w:ascii="Abadi" w:hAnsi="Abadi" w:cs="Verdana"/>
          <w:color w:val="1C1B23"/>
          <w:sz w:val="21"/>
          <w:szCs w:val="21"/>
        </w:rPr>
        <w:t>periodo</w:t>
      </w:r>
      <w:r w:rsidRPr="00DE5E0E">
        <w:rPr>
          <w:rFonts w:ascii="Abadi" w:hAnsi="Abadi" w:cs="Verdana"/>
          <w:color w:val="1C1B23"/>
          <w:spacing w:val="19"/>
          <w:sz w:val="21"/>
          <w:szCs w:val="21"/>
        </w:rPr>
        <w:t xml:space="preserve"> </w:t>
      </w:r>
      <w:r w:rsidRPr="00DE5E0E">
        <w:rPr>
          <w:rFonts w:ascii="Abadi" w:hAnsi="Abadi" w:cs="Verdana"/>
          <w:color w:val="1C1B23"/>
          <w:sz w:val="21"/>
          <w:szCs w:val="21"/>
        </w:rPr>
        <w:t>de</w:t>
      </w:r>
      <w:r w:rsidRPr="00DE5E0E">
        <w:rPr>
          <w:rFonts w:ascii="Abadi" w:hAnsi="Abadi" w:cs="Verdana"/>
          <w:color w:val="1C1B23"/>
          <w:spacing w:val="20"/>
          <w:sz w:val="21"/>
          <w:szCs w:val="21"/>
        </w:rPr>
        <w:t xml:space="preserve"> </w:t>
      </w:r>
      <w:r w:rsidRPr="00DE5E0E">
        <w:rPr>
          <w:rFonts w:ascii="Abadi" w:hAnsi="Abadi" w:cs="Verdana"/>
          <w:color w:val="1C1B23"/>
          <w:sz w:val="21"/>
          <w:szCs w:val="21"/>
        </w:rPr>
        <w:t>la</w:t>
      </w:r>
      <w:r w:rsidRPr="00DE5E0E">
        <w:rPr>
          <w:rFonts w:ascii="Abadi" w:hAnsi="Abadi" w:cs="Verdana"/>
          <w:color w:val="1C1B23"/>
          <w:spacing w:val="24"/>
          <w:sz w:val="21"/>
          <w:szCs w:val="21"/>
        </w:rPr>
        <w:t xml:space="preserve"> </w:t>
      </w:r>
      <w:r w:rsidRPr="00DE5E0E">
        <w:rPr>
          <w:rFonts w:ascii="Abadi" w:hAnsi="Abadi" w:cs="Verdana"/>
          <w:color w:val="1C1B23"/>
          <w:sz w:val="21"/>
          <w:szCs w:val="21"/>
        </w:rPr>
        <w:t>actual</w:t>
      </w:r>
      <w:r w:rsidRPr="00DE5E0E">
        <w:rPr>
          <w:rFonts w:ascii="Abadi" w:hAnsi="Abadi" w:cs="Verdana"/>
          <w:color w:val="1C1B23"/>
          <w:spacing w:val="13"/>
          <w:sz w:val="21"/>
          <w:szCs w:val="21"/>
        </w:rPr>
        <w:t xml:space="preserve"> </w:t>
      </w:r>
      <w:r w:rsidRPr="00DE5E0E">
        <w:rPr>
          <w:rFonts w:ascii="Abadi" w:hAnsi="Abadi" w:cs="Verdana"/>
          <w:color w:val="1C1B23"/>
          <w:sz w:val="21"/>
          <w:szCs w:val="21"/>
        </w:rPr>
        <w:t>Titular</w:t>
      </w:r>
      <w:r w:rsidRPr="00DE5E0E">
        <w:rPr>
          <w:rFonts w:ascii="Abadi" w:hAnsi="Abadi" w:cs="Verdana"/>
          <w:color w:val="1C1B23"/>
          <w:spacing w:val="20"/>
          <w:sz w:val="21"/>
          <w:szCs w:val="21"/>
        </w:rPr>
        <w:t xml:space="preserve"> </w:t>
      </w:r>
      <w:r w:rsidRPr="00DE5E0E">
        <w:rPr>
          <w:rFonts w:ascii="Abadi" w:hAnsi="Abadi" w:cs="Verdana"/>
          <w:color w:val="1C1B23"/>
          <w:sz w:val="21"/>
          <w:szCs w:val="21"/>
        </w:rPr>
        <w:t>del</w:t>
      </w:r>
      <w:r w:rsidRPr="00DE5E0E">
        <w:rPr>
          <w:rFonts w:ascii="Abadi" w:hAnsi="Abadi" w:cs="Verdana"/>
          <w:color w:val="1C1B23"/>
          <w:spacing w:val="17"/>
          <w:sz w:val="21"/>
          <w:szCs w:val="21"/>
        </w:rPr>
        <w:t xml:space="preserve"> </w:t>
      </w:r>
      <w:r w:rsidRPr="00DE5E0E">
        <w:rPr>
          <w:rFonts w:ascii="Abadi" w:hAnsi="Abadi" w:cs="Verdana"/>
          <w:color w:val="1C1B23"/>
          <w:sz w:val="21"/>
          <w:szCs w:val="21"/>
        </w:rPr>
        <w:t>Órgano</w:t>
      </w:r>
      <w:r w:rsidRPr="00DE5E0E">
        <w:rPr>
          <w:rFonts w:ascii="Abadi" w:hAnsi="Abadi" w:cs="Verdana"/>
          <w:color w:val="1C1B23"/>
          <w:spacing w:val="33"/>
          <w:sz w:val="21"/>
          <w:szCs w:val="21"/>
        </w:rPr>
        <w:t xml:space="preserve"> </w:t>
      </w:r>
      <w:r w:rsidRPr="00DE5E0E">
        <w:rPr>
          <w:rFonts w:ascii="Abadi" w:hAnsi="Abadi" w:cs="Verdana"/>
          <w:color w:val="1C1B23"/>
          <w:sz w:val="21"/>
          <w:szCs w:val="21"/>
        </w:rPr>
        <w:t>Interno</w:t>
      </w:r>
      <w:r w:rsidRPr="00DE5E0E">
        <w:rPr>
          <w:rFonts w:ascii="Abadi" w:hAnsi="Abadi" w:cs="Verdana"/>
          <w:color w:val="1C1B23"/>
          <w:spacing w:val="14"/>
          <w:sz w:val="21"/>
          <w:szCs w:val="21"/>
        </w:rPr>
        <w:t xml:space="preserve"> </w:t>
      </w:r>
      <w:r w:rsidRPr="00DE5E0E">
        <w:rPr>
          <w:rFonts w:ascii="Abadi" w:hAnsi="Abadi" w:cs="Verdana"/>
          <w:color w:val="1C1B23"/>
          <w:sz w:val="21"/>
          <w:szCs w:val="21"/>
        </w:rPr>
        <w:t>de</w:t>
      </w:r>
      <w:r w:rsidRPr="00DE5E0E">
        <w:rPr>
          <w:rFonts w:ascii="Abadi" w:hAnsi="Abadi" w:cs="Verdana"/>
          <w:color w:val="1C1B23"/>
          <w:spacing w:val="21"/>
          <w:sz w:val="21"/>
          <w:szCs w:val="21"/>
        </w:rPr>
        <w:t xml:space="preserve"> </w:t>
      </w:r>
      <w:r w:rsidRPr="00DE5E0E">
        <w:rPr>
          <w:rFonts w:ascii="Abadi" w:hAnsi="Abadi" w:cs="Verdana"/>
          <w:color w:val="1C1B23"/>
          <w:sz w:val="21"/>
          <w:szCs w:val="21"/>
        </w:rPr>
        <w:t>Control concluye</w:t>
      </w:r>
      <w:r w:rsidRPr="00DE5E0E">
        <w:rPr>
          <w:rFonts w:ascii="Abadi" w:hAnsi="Abadi" w:cs="Verdana"/>
          <w:color w:val="1C1B23"/>
          <w:spacing w:val="3"/>
          <w:sz w:val="21"/>
          <w:szCs w:val="21"/>
        </w:rPr>
        <w:t xml:space="preserve"> </w:t>
      </w:r>
      <w:r w:rsidRPr="00DE5E0E">
        <w:rPr>
          <w:rFonts w:ascii="Abadi" w:hAnsi="Abadi" w:cs="Verdana"/>
          <w:color w:val="1C1B23"/>
          <w:sz w:val="21"/>
          <w:szCs w:val="21"/>
        </w:rPr>
        <w:t>el</w:t>
      </w:r>
      <w:r w:rsidRPr="00DE5E0E">
        <w:rPr>
          <w:rFonts w:ascii="Abadi" w:hAnsi="Abadi" w:cs="Verdana"/>
          <w:color w:val="1C1B23"/>
          <w:spacing w:val="-7"/>
          <w:sz w:val="21"/>
          <w:szCs w:val="21"/>
        </w:rPr>
        <w:t xml:space="preserve"> </w:t>
      </w:r>
      <w:r w:rsidRPr="00DE5E0E">
        <w:rPr>
          <w:rFonts w:ascii="Abadi" w:hAnsi="Abadi" w:cs="Verdana"/>
          <w:color w:val="1C1B23"/>
          <w:sz w:val="21"/>
          <w:szCs w:val="21"/>
        </w:rPr>
        <w:t>día</w:t>
      </w:r>
      <w:r w:rsidRPr="00DE5E0E">
        <w:rPr>
          <w:rFonts w:ascii="Abadi" w:hAnsi="Abadi" w:cs="Verdana"/>
          <w:color w:val="1C1B23"/>
          <w:spacing w:val="-12"/>
          <w:sz w:val="21"/>
          <w:szCs w:val="21"/>
        </w:rPr>
        <w:t xml:space="preserve"> </w:t>
      </w:r>
      <w:r w:rsidRPr="00DE5E0E">
        <w:rPr>
          <w:rFonts w:ascii="Abadi" w:hAnsi="Abadi" w:cs="Verdana"/>
          <w:color w:val="1C1B23"/>
          <w:sz w:val="21"/>
          <w:szCs w:val="21"/>
        </w:rPr>
        <w:t>21</w:t>
      </w:r>
      <w:r w:rsidRPr="00DE5E0E">
        <w:rPr>
          <w:rFonts w:ascii="Abadi" w:hAnsi="Abadi" w:cs="Verdana"/>
          <w:color w:val="1C1B23"/>
          <w:spacing w:val="36"/>
          <w:sz w:val="21"/>
          <w:szCs w:val="21"/>
        </w:rPr>
        <w:t xml:space="preserve"> </w:t>
      </w:r>
      <w:r w:rsidRPr="00DE5E0E">
        <w:rPr>
          <w:rFonts w:ascii="Abadi" w:hAnsi="Abadi" w:cs="Verdana"/>
          <w:color w:val="1C1B23"/>
          <w:sz w:val="21"/>
          <w:szCs w:val="21"/>
        </w:rPr>
        <w:t>de</w:t>
      </w:r>
      <w:r w:rsidRPr="00DE5E0E">
        <w:rPr>
          <w:rFonts w:ascii="Abadi" w:hAnsi="Abadi" w:cs="Verdana"/>
          <w:color w:val="1C1B23"/>
          <w:spacing w:val="-17"/>
          <w:sz w:val="21"/>
          <w:szCs w:val="21"/>
        </w:rPr>
        <w:t xml:space="preserve"> </w:t>
      </w:r>
      <w:r w:rsidRPr="00DE5E0E">
        <w:rPr>
          <w:rFonts w:ascii="Abadi" w:hAnsi="Abadi" w:cs="Verdana"/>
          <w:color w:val="1C1B23"/>
          <w:sz w:val="21"/>
          <w:szCs w:val="21"/>
        </w:rPr>
        <w:t>junio</w:t>
      </w:r>
      <w:r w:rsidRPr="00DE5E0E">
        <w:rPr>
          <w:rFonts w:ascii="Abadi" w:hAnsi="Abadi" w:cs="Verdana"/>
          <w:color w:val="1C1B23"/>
          <w:spacing w:val="-10"/>
          <w:sz w:val="21"/>
          <w:szCs w:val="21"/>
        </w:rPr>
        <w:t xml:space="preserve"> </w:t>
      </w:r>
      <w:r w:rsidRPr="00DE5E0E">
        <w:rPr>
          <w:rFonts w:ascii="Abadi" w:hAnsi="Abadi" w:cs="Verdana"/>
          <w:color w:val="1C1B23"/>
          <w:sz w:val="21"/>
          <w:szCs w:val="21"/>
        </w:rPr>
        <w:t>de</w:t>
      </w:r>
      <w:r w:rsidRPr="00DE5E0E">
        <w:rPr>
          <w:rFonts w:ascii="Abadi" w:hAnsi="Abadi" w:cs="Verdana"/>
          <w:color w:val="1C1B23"/>
          <w:spacing w:val="-11"/>
          <w:sz w:val="21"/>
          <w:szCs w:val="21"/>
        </w:rPr>
        <w:t xml:space="preserve"> </w:t>
      </w:r>
      <w:r w:rsidRPr="00DE5E0E">
        <w:rPr>
          <w:rFonts w:ascii="Abadi" w:hAnsi="Abadi" w:cs="Verdana"/>
          <w:color w:val="1C1B23"/>
          <w:sz w:val="21"/>
          <w:szCs w:val="21"/>
        </w:rPr>
        <w:t>2022.</w:t>
      </w:r>
    </w:p>
    <w:p w14:paraId="457EC339" w14:textId="77777777" w:rsidR="00A7016E" w:rsidRPr="00DE5E0E" w:rsidRDefault="00A7016E" w:rsidP="00A7016E">
      <w:pPr>
        <w:kinsoku w:val="0"/>
        <w:overflowPunct w:val="0"/>
        <w:autoSpaceDE w:val="0"/>
        <w:autoSpaceDN w:val="0"/>
        <w:adjustRightInd w:val="0"/>
        <w:spacing w:before="1" w:line="266" w:lineRule="auto"/>
        <w:ind w:right="17"/>
        <w:jc w:val="both"/>
        <w:rPr>
          <w:rFonts w:ascii="Abadi" w:hAnsi="Abadi" w:cs="Verdana"/>
          <w:sz w:val="21"/>
          <w:szCs w:val="21"/>
        </w:rPr>
      </w:pPr>
    </w:p>
    <w:p w14:paraId="2B14443D" w14:textId="77777777" w:rsidR="00A7016E" w:rsidRPr="00DE5E0E" w:rsidRDefault="00A7016E" w:rsidP="00A7016E">
      <w:pPr>
        <w:kinsoku w:val="0"/>
        <w:overflowPunct w:val="0"/>
        <w:autoSpaceDE w:val="0"/>
        <w:autoSpaceDN w:val="0"/>
        <w:adjustRightInd w:val="0"/>
        <w:spacing w:before="1" w:line="266" w:lineRule="auto"/>
        <w:ind w:right="17"/>
        <w:jc w:val="both"/>
        <w:rPr>
          <w:rFonts w:ascii="Abadi" w:hAnsi="Abadi" w:cs="Verdana"/>
          <w:color w:val="1D1C24"/>
          <w:sz w:val="21"/>
          <w:szCs w:val="21"/>
        </w:rPr>
      </w:pPr>
      <w:r w:rsidRPr="00DE5E0E">
        <w:rPr>
          <w:rFonts w:ascii="Abadi" w:hAnsi="Abadi" w:cs="Verdana"/>
          <w:color w:val="1D1C24"/>
          <w:sz w:val="21"/>
          <w:szCs w:val="21"/>
        </w:rPr>
        <w:t>Sin</w:t>
      </w:r>
      <w:r w:rsidRPr="00DE5E0E">
        <w:rPr>
          <w:rFonts w:ascii="Abadi" w:hAnsi="Abadi" w:cs="Verdana"/>
          <w:color w:val="1D1C24"/>
          <w:spacing w:val="-3"/>
          <w:sz w:val="21"/>
          <w:szCs w:val="21"/>
        </w:rPr>
        <w:t xml:space="preserve"> </w:t>
      </w:r>
      <w:r w:rsidRPr="00DE5E0E">
        <w:rPr>
          <w:rFonts w:ascii="Abadi" w:hAnsi="Abadi" w:cs="Verdana"/>
          <w:color w:val="1D1C24"/>
          <w:sz w:val="21"/>
          <w:szCs w:val="21"/>
        </w:rPr>
        <w:t>otro</w:t>
      </w:r>
      <w:r w:rsidRPr="00DE5E0E">
        <w:rPr>
          <w:rFonts w:ascii="Abadi" w:hAnsi="Abadi" w:cs="Verdana"/>
          <w:color w:val="1D1C24"/>
          <w:spacing w:val="10"/>
          <w:sz w:val="21"/>
          <w:szCs w:val="21"/>
        </w:rPr>
        <w:t xml:space="preserve"> </w:t>
      </w:r>
      <w:r w:rsidRPr="00DE5E0E">
        <w:rPr>
          <w:rFonts w:ascii="Abadi" w:hAnsi="Abadi" w:cs="Verdana"/>
          <w:color w:val="1D1C24"/>
          <w:sz w:val="21"/>
          <w:szCs w:val="21"/>
        </w:rPr>
        <w:t>particular</w:t>
      </w:r>
      <w:r w:rsidRPr="00DE5E0E">
        <w:rPr>
          <w:rFonts w:ascii="Abadi" w:hAnsi="Abadi" w:cs="Verdana"/>
          <w:color w:val="1D1C24"/>
          <w:spacing w:val="7"/>
          <w:sz w:val="21"/>
          <w:szCs w:val="21"/>
        </w:rPr>
        <w:t xml:space="preserve"> </w:t>
      </w:r>
      <w:r w:rsidRPr="00DE5E0E">
        <w:rPr>
          <w:rFonts w:ascii="Abadi" w:hAnsi="Abadi" w:cs="Verdana"/>
          <w:color w:val="1D1C24"/>
          <w:sz w:val="21"/>
          <w:szCs w:val="21"/>
        </w:rPr>
        <w:t>y</w:t>
      </w:r>
      <w:r w:rsidRPr="00DE5E0E">
        <w:rPr>
          <w:rFonts w:ascii="Abadi" w:hAnsi="Abadi" w:cs="Verdana"/>
          <w:color w:val="1D1C24"/>
          <w:spacing w:val="-6"/>
          <w:sz w:val="21"/>
          <w:szCs w:val="21"/>
        </w:rPr>
        <w:t xml:space="preserve"> </w:t>
      </w:r>
      <w:r w:rsidRPr="00DE5E0E">
        <w:rPr>
          <w:rFonts w:ascii="Abadi" w:hAnsi="Abadi" w:cs="Verdana"/>
          <w:color w:val="1D1C24"/>
          <w:sz w:val="21"/>
          <w:szCs w:val="21"/>
        </w:rPr>
        <w:t>agradeciendo</w:t>
      </w:r>
      <w:r w:rsidRPr="00DE5E0E">
        <w:rPr>
          <w:rFonts w:ascii="Abadi" w:hAnsi="Abadi" w:cs="Verdana"/>
          <w:color w:val="1D1C24"/>
          <w:spacing w:val="-5"/>
          <w:sz w:val="21"/>
          <w:szCs w:val="21"/>
        </w:rPr>
        <w:t xml:space="preserve"> </w:t>
      </w:r>
      <w:r w:rsidRPr="00DE5E0E">
        <w:rPr>
          <w:rFonts w:ascii="Abadi" w:hAnsi="Abadi" w:cs="Verdana"/>
          <w:color w:val="1D1C24"/>
          <w:sz w:val="21"/>
          <w:szCs w:val="21"/>
        </w:rPr>
        <w:t>de</w:t>
      </w:r>
      <w:r w:rsidRPr="00DE5E0E">
        <w:rPr>
          <w:rFonts w:ascii="Abadi" w:hAnsi="Abadi" w:cs="Verdana"/>
          <w:color w:val="1D1C24"/>
          <w:spacing w:val="3"/>
          <w:sz w:val="21"/>
          <w:szCs w:val="21"/>
        </w:rPr>
        <w:t xml:space="preserve"> </w:t>
      </w:r>
      <w:r w:rsidRPr="00DE5E0E">
        <w:rPr>
          <w:rFonts w:ascii="Abadi" w:hAnsi="Abadi" w:cs="Verdana"/>
          <w:color w:val="1D1C24"/>
          <w:sz w:val="21"/>
          <w:szCs w:val="21"/>
        </w:rPr>
        <w:t>antemano</w:t>
      </w:r>
      <w:r w:rsidRPr="00DE5E0E">
        <w:rPr>
          <w:rFonts w:ascii="Abadi" w:hAnsi="Abadi" w:cs="Verdana"/>
          <w:color w:val="1D1C24"/>
          <w:spacing w:val="-6"/>
          <w:sz w:val="21"/>
          <w:szCs w:val="21"/>
        </w:rPr>
        <w:t xml:space="preserve"> </w:t>
      </w:r>
      <w:r w:rsidRPr="00DE5E0E">
        <w:rPr>
          <w:rFonts w:ascii="Abadi" w:hAnsi="Abadi" w:cs="Verdana"/>
          <w:color w:val="1D1C24"/>
          <w:sz w:val="21"/>
          <w:szCs w:val="21"/>
        </w:rPr>
        <w:t>la</w:t>
      </w:r>
      <w:r w:rsidRPr="00DE5E0E">
        <w:rPr>
          <w:rFonts w:ascii="Abadi" w:hAnsi="Abadi" w:cs="Verdana"/>
          <w:color w:val="1D1C24"/>
          <w:spacing w:val="-5"/>
          <w:sz w:val="21"/>
          <w:szCs w:val="21"/>
        </w:rPr>
        <w:t xml:space="preserve"> </w:t>
      </w:r>
      <w:r w:rsidRPr="00DE5E0E">
        <w:rPr>
          <w:rFonts w:ascii="Abadi" w:hAnsi="Abadi" w:cs="Verdana"/>
          <w:color w:val="1D1C24"/>
          <w:sz w:val="21"/>
          <w:szCs w:val="21"/>
        </w:rPr>
        <w:t>atención</w:t>
      </w:r>
      <w:r w:rsidRPr="00DE5E0E">
        <w:rPr>
          <w:rFonts w:ascii="Abadi" w:hAnsi="Abadi" w:cs="Verdana"/>
          <w:color w:val="1D1C24"/>
          <w:spacing w:val="4"/>
          <w:sz w:val="21"/>
          <w:szCs w:val="21"/>
        </w:rPr>
        <w:t xml:space="preserve"> </w:t>
      </w:r>
      <w:r w:rsidRPr="00DE5E0E">
        <w:rPr>
          <w:rFonts w:ascii="Abadi" w:hAnsi="Abadi" w:cs="Verdana"/>
          <w:color w:val="1D1C24"/>
          <w:sz w:val="21"/>
          <w:szCs w:val="21"/>
        </w:rPr>
        <w:t>que</w:t>
      </w:r>
      <w:r w:rsidRPr="00DE5E0E">
        <w:rPr>
          <w:rFonts w:ascii="Abadi" w:hAnsi="Abadi" w:cs="Verdana"/>
          <w:color w:val="1D1C24"/>
          <w:spacing w:val="-5"/>
          <w:sz w:val="21"/>
          <w:szCs w:val="21"/>
        </w:rPr>
        <w:t xml:space="preserve"> </w:t>
      </w:r>
      <w:r w:rsidRPr="00DE5E0E">
        <w:rPr>
          <w:rFonts w:ascii="Abadi" w:hAnsi="Abadi" w:cs="Verdana"/>
          <w:color w:val="1D1C24"/>
          <w:sz w:val="21"/>
          <w:szCs w:val="21"/>
        </w:rPr>
        <w:t>se</w:t>
      </w:r>
      <w:r w:rsidRPr="00DE5E0E">
        <w:rPr>
          <w:rFonts w:ascii="Abadi" w:hAnsi="Abadi" w:cs="Verdana"/>
          <w:color w:val="1D1C24"/>
          <w:spacing w:val="-5"/>
          <w:sz w:val="21"/>
          <w:szCs w:val="21"/>
        </w:rPr>
        <w:t xml:space="preserve"> </w:t>
      </w:r>
      <w:r w:rsidRPr="00DE5E0E">
        <w:rPr>
          <w:rFonts w:ascii="Abadi" w:hAnsi="Abadi" w:cs="Verdana"/>
          <w:color w:val="1D1C24"/>
          <w:sz w:val="21"/>
          <w:szCs w:val="21"/>
        </w:rPr>
        <w:t>sirva</w:t>
      </w:r>
      <w:r w:rsidRPr="00DE5E0E">
        <w:rPr>
          <w:rFonts w:ascii="Abadi" w:hAnsi="Abadi" w:cs="Verdana"/>
          <w:color w:val="1D1C24"/>
          <w:spacing w:val="4"/>
          <w:sz w:val="21"/>
          <w:szCs w:val="21"/>
        </w:rPr>
        <w:t xml:space="preserve"> </w:t>
      </w:r>
      <w:r w:rsidRPr="00DE5E0E">
        <w:rPr>
          <w:rFonts w:ascii="Abadi" w:hAnsi="Abadi" w:cs="Verdana"/>
          <w:color w:val="1D1C24"/>
          <w:sz w:val="21"/>
          <w:szCs w:val="21"/>
        </w:rPr>
        <w:t>prestar</w:t>
      </w:r>
      <w:r w:rsidRPr="00DE5E0E">
        <w:rPr>
          <w:rFonts w:ascii="Abadi" w:hAnsi="Abadi" w:cs="Verdana"/>
          <w:color w:val="1D1C24"/>
          <w:spacing w:val="-3"/>
          <w:sz w:val="21"/>
          <w:szCs w:val="21"/>
        </w:rPr>
        <w:t xml:space="preserve"> </w:t>
      </w:r>
      <w:r w:rsidRPr="00DE5E0E">
        <w:rPr>
          <w:rFonts w:ascii="Abadi" w:hAnsi="Abadi" w:cs="Verdana"/>
          <w:color w:val="1D1C24"/>
          <w:sz w:val="21"/>
          <w:szCs w:val="21"/>
        </w:rPr>
        <w:t>al</w:t>
      </w:r>
      <w:r w:rsidRPr="00DE5E0E">
        <w:rPr>
          <w:rFonts w:ascii="Abadi" w:hAnsi="Abadi" w:cs="Verdana"/>
          <w:color w:val="1D1C24"/>
          <w:spacing w:val="3"/>
          <w:sz w:val="21"/>
          <w:szCs w:val="21"/>
        </w:rPr>
        <w:t xml:space="preserve"> </w:t>
      </w:r>
      <w:r w:rsidRPr="00DE5E0E">
        <w:rPr>
          <w:rFonts w:ascii="Abadi" w:hAnsi="Abadi" w:cs="Verdana"/>
          <w:color w:val="1D1C24"/>
          <w:sz w:val="21"/>
          <w:szCs w:val="21"/>
        </w:rPr>
        <w:t>presente,</w:t>
      </w:r>
      <w:r w:rsidRPr="00DE5E0E">
        <w:rPr>
          <w:rFonts w:ascii="Abadi" w:hAnsi="Abadi" w:cs="Verdana"/>
          <w:color w:val="1D1C24"/>
          <w:spacing w:val="14"/>
          <w:sz w:val="21"/>
          <w:szCs w:val="21"/>
        </w:rPr>
        <w:t xml:space="preserve"> </w:t>
      </w:r>
      <w:r w:rsidRPr="00DE5E0E">
        <w:rPr>
          <w:rFonts w:ascii="Abadi" w:hAnsi="Abadi" w:cs="Verdana"/>
          <w:color w:val="1D1C24"/>
          <w:sz w:val="21"/>
          <w:szCs w:val="21"/>
        </w:rPr>
        <w:t>le</w:t>
      </w:r>
      <w:r w:rsidRPr="00DE5E0E">
        <w:rPr>
          <w:rFonts w:ascii="Abadi" w:hAnsi="Abadi" w:cs="Verdana"/>
          <w:color w:val="1D1C24"/>
          <w:spacing w:val="-3"/>
          <w:sz w:val="21"/>
          <w:szCs w:val="21"/>
        </w:rPr>
        <w:t xml:space="preserve"> </w:t>
      </w:r>
      <w:r w:rsidRPr="00DE5E0E">
        <w:rPr>
          <w:rFonts w:ascii="Abadi" w:hAnsi="Abadi" w:cs="Verdana"/>
          <w:color w:val="1D1C24"/>
          <w:sz w:val="21"/>
          <w:szCs w:val="21"/>
        </w:rPr>
        <w:t>reitero</w:t>
      </w:r>
      <w:r w:rsidRPr="00DE5E0E">
        <w:rPr>
          <w:rFonts w:ascii="Abadi" w:hAnsi="Abadi" w:cs="Verdana"/>
          <w:color w:val="1D1C24"/>
          <w:spacing w:val="5"/>
          <w:sz w:val="21"/>
          <w:szCs w:val="21"/>
        </w:rPr>
        <w:t xml:space="preserve"> </w:t>
      </w:r>
      <w:r w:rsidRPr="00DE5E0E">
        <w:rPr>
          <w:rFonts w:ascii="Abadi" w:hAnsi="Abadi" w:cs="Verdana"/>
          <w:color w:val="1D1C24"/>
          <w:sz w:val="21"/>
          <w:szCs w:val="21"/>
        </w:rPr>
        <w:t>las</w:t>
      </w:r>
      <w:r w:rsidRPr="00DE5E0E">
        <w:rPr>
          <w:rFonts w:ascii="Abadi" w:hAnsi="Abadi" w:cs="Verdana"/>
          <w:color w:val="1D1C24"/>
          <w:spacing w:val="-11"/>
          <w:sz w:val="21"/>
          <w:szCs w:val="21"/>
        </w:rPr>
        <w:t xml:space="preserve"> </w:t>
      </w:r>
      <w:r w:rsidRPr="00DE5E0E">
        <w:rPr>
          <w:rFonts w:ascii="Abadi" w:hAnsi="Abadi" w:cs="Verdana"/>
          <w:color w:val="1D1C24"/>
          <w:sz w:val="21"/>
          <w:szCs w:val="21"/>
        </w:rPr>
        <w:t>seguridades</w:t>
      </w:r>
      <w:r w:rsidRPr="00DE5E0E">
        <w:rPr>
          <w:rFonts w:ascii="Abadi" w:hAnsi="Abadi" w:cs="Verdana"/>
          <w:color w:val="1D1C24"/>
          <w:spacing w:val="-13"/>
          <w:sz w:val="21"/>
          <w:szCs w:val="21"/>
        </w:rPr>
        <w:t xml:space="preserve"> </w:t>
      </w:r>
      <w:r w:rsidRPr="00DE5E0E">
        <w:rPr>
          <w:rFonts w:ascii="Abadi" w:hAnsi="Abadi" w:cs="Verdana"/>
          <w:color w:val="1D1C24"/>
          <w:sz w:val="21"/>
          <w:szCs w:val="21"/>
        </w:rPr>
        <w:t>de</w:t>
      </w:r>
      <w:r w:rsidRPr="00DE5E0E">
        <w:rPr>
          <w:rFonts w:ascii="Abadi" w:hAnsi="Abadi" w:cs="Verdana"/>
          <w:color w:val="1D1C24"/>
          <w:spacing w:val="-10"/>
          <w:sz w:val="21"/>
          <w:szCs w:val="21"/>
        </w:rPr>
        <w:t xml:space="preserve"> </w:t>
      </w:r>
      <w:r w:rsidRPr="00DE5E0E">
        <w:rPr>
          <w:rFonts w:ascii="Abadi" w:hAnsi="Abadi" w:cs="Verdana"/>
          <w:color w:val="1D1C24"/>
          <w:sz w:val="21"/>
          <w:szCs w:val="21"/>
        </w:rPr>
        <w:t>mi</w:t>
      </w:r>
      <w:r w:rsidRPr="00DE5E0E">
        <w:rPr>
          <w:rFonts w:ascii="Abadi" w:hAnsi="Abadi" w:cs="Verdana"/>
          <w:color w:val="1D1C24"/>
          <w:spacing w:val="-10"/>
          <w:sz w:val="21"/>
          <w:szCs w:val="21"/>
        </w:rPr>
        <w:t xml:space="preserve"> </w:t>
      </w:r>
      <w:r w:rsidRPr="00DE5E0E">
        <w:rPr>
          <w:rFonts w:ascii="Abadi" w:hAnsi="Abadi" w:cs="Verdana"/>
          <w:color w:val="1D1C24"/>
          <w:sz w:val="21"/>
          <w:szCs w:val="21"/>
        </w:rPr>
        <w:t>consideración</w:t>
      </w:r>
      <w:r w:rsidRPr="00DE5E0E">
        <w:rPr>
          <w:rFonts w:ascii="Abadi" w:hAnsi="Abadi" w:cs="Verdana"/>
          <w:color w:val="1D1C24"/>
          <w:spacing w:val="-10"/>
          <w:sz w:val="21"/>
          <w:szCs w:val="21"/>
        </w:rPr>
        <w:t xml:space="preserve"> </w:t>
      </w:r>
      <w:r w:rsidRPr="00DE5E0E">
        <w:rPr>
          <w:rFonts w:ascii="Abadi" w:hAnsi="Abadi" w:cs="Verdana"/>
          <w:color w:val="1D1C24"/>
          <w:sz w:val="21"/>
          <w:szCs w:val="21"/>
        </w:rPr>
        <w:t>distinguida.</w:t>
      </w:r>
    </w:p>
    <w:p w14:paraId="438AAC88" w14:textId="77777777" w:rsidR="00A7016E" w:rsidRPr="00DE5E0E" w:rsidRDefault="00A7016E" w:rsidP="00A7016E">
      <w:pPr>
        <w:kinsoku w:val="0"/>
        <w:overflowPunct w:val="0"/>
        <w:autoSpaceDE w:val="0"/>
        <w:autoSpaceDN w:val="0"/>
        <w:adjustRightInd w:val="0"/>
        <w:spacing w:before="48" w:line="242" w:lineRule="exact"/>
        <w:jc w:val="both"/>
        <w:rPr>
          <w:rFonts w:ascii="Abadi" w:hAnsi="Abadi" w:cs="Verdana"/>
          <w:color w:val="1F1F24"/>
          <w:sz w:val="21"/>
          <w:szCs w:val="21"/>
        </w:rPr>
      </w:pPr>
    </w:p>
    <w:p w14:paraId="3A09A51D" w14:textId="77777777" w:rsidR="00A7016E" w:rsidRPr="00DE5E0E" w:rsidRDefault="00A7016E" w:rsidP="00A7016E">
      <w:pPr>
        <w:kinsoku w:val="0"/>
        <w:overflowPunct w:val="0"/>
        <w:autoSpaceDE w:val="0"/>
        <w:autoSpaceDN w:val="0"/>
        <w:adjustRightInd w:val="0"/>
        <w:spacing w:before="48" w:line="242" w:lineRule="exact"/>
        <w:jc w:val="both"/>
        <w:rPr>
          <w:rFonts w:ascii="Abadi" w:hAnsi="Abadi" w:cs="Verdana"/>
          <w:color w:val="1F1F24"/>
          <w:sz w:val="21"/>
          <w:szCs w:val="21"/>
        </w:rPr>
      </w:pPr>
      <w:r w:rsidRPr="00DE5E0E">
        <w:rPr>
          <w:rFonts w:ascii="Abadi" w:hAnsi="Abadi" w:cs="Verdana"/>
          <w:color w:val="1F1F24"/>
          <w:sz w:val="21"/>
          <w:szCs w:val="21"/>
        </w:rPr>
        <w:t>Atentamente,</w:t>
      </w:r>
    </w:p>
    <w:p w14:paraId="1F101CDC" w14:textId="77777777" w:rsidR="00A7016E" w:rsidRPr="00DE5E0E" w:rsidRDefault="00A7016E" w:rsidP="00A7016E">
      <w:pPr>
        <w:kinsoku w:val="0"/>
        <w:overflowPunct w:val="0"/>
        <w:autoSpaceDE w:val="0"/>
        <w:autoSpaceDN w:val="0"/>
        <w:adjustRightInd w:val="0"/>
        <w:spacing w:line="292" w:lineRule="exact"/>
        <w:jc w:val="both"/>
        <w:rPr>
          <w:rFonts w:ascii="Abadi" w:hAnsi="Abadi" w:cs="Calibri"/>
          <w:b/>
          <w:bCs/>
          <w:color w:val="151320"/>
          <w:sz w:val="21"/>
          <w:szCs w:val="21"/>
        </w:rPr>
      </w:pPr>
      <w:r w:rsidRPr="00DE5E0E">
        <w:rPr>
          <w:rFonts w:ascii="Abadi" w:hAnsi="Abadi" w:cs="Calibri"/>
          <w:b/>
          <w:bCs/>
          <w:color w:val="151320"/>
          <w:sz w:val="21"/>
          <w:szCs w:val="21"/>
        </w:rPr>
        <w:t>León,</w:t>
      </w:r>
      <w:r w:rsidRPr="00DE5E0E">
        <w:rPr>
          <w:rFonts w:ascii="Abadi" w:hAnsi="Abadi" w:cs="Calibri"/>
          <w:b/>
          <w:bCs/>
          <w:color w:val="151320"/>
          <w:spacing w:val="17"/>
          <w:sz w:val="21"/>
          <w:szCs w:val="21"/>
        </w:rPr>
        <w:t xml:space="preserve"> </w:t>
      </w:r>
      <w:proofErr w:type="spellStart"/>
      <w:r w:rsidRPr="00DE5E0E">
        <w:rPr>
          <w:rFonts w:ascii="Abadi" w:hAnsi="Abadi" w:cs="Calibri"/>
          <w:b/>
          <w:bCs/>
          <w:color w:val="151320"/>
          <w:sz w:val="21"/>
          <w:szCs w:val="21"/>
        </w:rPr>
        <w:t>Gto</w:t>
      </w:r>
      <w:proofErr w:type="spellEnd"/>
      <w:r w:rsidRPr="00DE5E0E">
        <w:rPr>
          <w:rFonts w:ascii="Abadi" w:hAnsi="Abadi" w:cs="Calibri"/>
          <w:b/>
          <w:bCs/>
          <w:color w:val="151320"/>
          <w:sz w:val="21"/>
          <w:szCs w:val="21"/>
        </w:rPr>
        <w:t>.,</w:t>
      </w:r>
      <w:r w:rsidRPr="00DE5E0E">
        <w:rPr>
          <w:rFonts w:ascii="Abadi" w:hAnsi="Abadi" w:cs="Calibri"/>
          <w:b/>
          <w:bCs/>
          <w:color w:val="151320"/>
          <w:spacing w:val="17"/>
          <w:sz w:val="21"/>
          <w:szCs w:val="21"/>
        </w:rPr>
        <w:t xml:space="preserve"> </w:t>
      </w:r>
      <w:r w:rsidRPr="00DE5E0E">
        <w:rPr>
          <w:rFonts w:ascii="Abadi" w:hAnsi="Abadi" w:cs="Calibri"/>
          <w:b/>
          <w:bCs/>
          <w:color w:val="151320"/>
          <w:sz w:val="21"/>
          <w:szCs w:val="21"/>
        </w:rPr>
        <w:t>mayo</w:t>
      </w:r>
      <w:r w:rsidRPr="00DE5E0E">
        <w:rPr>
          <w:rFonts w:ascii="Abadi" w:hAnsi="Abadi" w:cs="Calibri"/>
          <w:b/>
          <w:bCs/>
          <w:color w:val="151320"/>
          <w:spacing w:val="-12"/>
          <w:sz w:val="21"/>
          <w:szCs w:val="21"/>
        </w:rPr>
        <w:t xml:space="preserve"> </w:t>
      </w:r>
      <w:r w:rsidRPr="00DE5E0E">
        <w:rPr>
          <w:rFonts w:ascii="Abadi" w:hAnsi="Abadi" w:cs="Calibri"/>
          <w:b/>
          <w:bCs/>
          <w:color w:val="151320"/>
          <w:sz w:val="21"/>
          <w:szCs w:val="21"/>
        </w:rPr>
        <w:t>11,</w:t>
      </w:r>
      <w:r w:rsidRPr="00DE5E0E">
        <w:rPr>
          <w:rFonts w:ascii="Abadi" w:hAnsi="Abadi" w:cs="Calibri"/>
          <w:b/>
          <w:bCs/>
          <w:color w:val="151320"/>
          <w:spacing w:val="6"/>
          <w:sz w:val="21"/>
          <w:szCs w:val="21"/>
        </w:rPr>
        <w:t xml:space="preserve"> </w:t>
      </w:r>
      <w:r w:rsidRPr="00DE5E0E">
        <w:rPr>
          <w:rFonts w:ascii="Abadi" w:hAnsi="Abadi" w:cs="Calibri"/>
          <w:b/>
          <w:bCs/>
          <w:color w:val="151320"/>
          <w:sz w:val="21"/>
          <w:szCs w:val="21"/>
        </w:rPr>
        <w:t>2022</w:t>
      </w:r>
    </w:p>
    <w:p w14:paraId="482FD6CC" w14:textId="77777777" w:rsidR="00A7016E" w:rsidRPr="00DE5E0E" w:rsidRDefault="00A7016E" w:rsidP="00A7016E">
      <w:pPr>
        <w:kinsoku w:val="0"/>
        <w:overflowPunct w:val="0"/>
        <w:autoSpaceDE w:val="0"/>
        <w:autoSpaceDN w:val="0"/>
        <w:adjustRightInd w:val="0"/>
        <w:spacing w:line="243" w:lineRule="exact"/>
        <w:jc w:val="both"/>
        <w:rPr>
          <w:rFonts w:ascii="Abadi" w:hAnsi="Abadi" w:cs="Verdana"/>
          <w:color w:val="1B1B21"/>
          <w:sz w:val="21"/>
          <w:szCs w:val="21"/>
        </w:rPr>
      </w:pPr>
      <w:r w:rsidRPr="00DE5E0E">
        <w:rPr>
          <w:rFonts w:ascii="Abadi" w:hAnsi="Abadi" w:cs="Verdana"/>
          <w:color w:val="1B1B21"/>
          <w:sz w:val="21"/>
          <w:szCs w:val="21"/>
        </w:rPr>
        <w:t>La</w:t>
      </w:r>
      <w:r w:rsidRPr="00DE5E0E">
        <w:rPr>
          <w:rFonts w:ascii="Abadi" w:hAnsi="Abadi" w:cs="Verdana"/>
          <w:color w:val="1B1B21"/>
          <w:spacing w:val="-1"/>
          <w:sz w:val="21"/>
          <w:szCs w:val="21"/>
        </w:rPr>
        <w:t xml:space="preserve"> </w:t>
      </w:r>
      <w:r w:rsidRPr="00DE5E0E">
        <w:rPr>
          <w:rFonts w:ascii="Abadi" w:hAnsi="Abadi" w:cs="Verdana"/>
          <w:color w:val="1B1B21"/>
          <w:sz w:val="21"/>
          <w:szCs w:val="21"/>
        </w:rPr>
        <w:t>Comisionada</w:t>
      </w:r>
      <w:r w:rsidRPr="00DE5E0E">
        <w:rPr>
          <w:rFonts w:ascii="Abadi" w:hAnsi="Abadi" w:cs="Verdana"/>
          <w:color w:val="1B1B21"/>
          <w:spacing w:val="-10"/>
          <w:sz w:val="21"/>
          <w:szCs w:val="21"/>
        </w:rPr>
        <w:t xml:space="preserve"> </w:t>
      </w:r>
      <w:r w:rsidRPr="00DE5E0E">
        <w:rPr>
          <w:rFonts w:ascii="Abadi" w:hAnsi="Abadi" w:cs="Verdana"/>
          <w:color w:val="1B1B21"/>
          <w:sz w:val="21"/>
          <w:szCs w:val="21"/>
        </w:rPr>
        <w:t>presidenta</w:t>
      </w:r>
    </w:p>
    <w:p w14:paraId="6E5036C2" w14:textId="77777777" w:rsidR="00A7016E" w:rsidRPr="00DE5E0E" w:rsidRDefault="00A7016E" w:rsidP="00A7016E">
      <w:pPr>
        <w:kinsoku w:val="0"/>
        <w:overflowPunct w:val="0"/>
        <w:autoSpaceDE w:val="0"/>
        <w:autoSpaceDN w:val="0"/>
        <w:adjustRightInd w:val="0"/>
        <w:spacing w:before="7"/>
        <w:jc w:val="both"/>
        <w:rPr>
          <w:rFonts w:ascii="Abadi" w:hAnsi="Abadi" w:cs="Arial"/>
          <w:b/>
          <w:bCs/>
          <w:color w:val="15121F"/>
          <w:sz w:val="25"/>
          <w:szCs w:val="25"/>
        </w:rPr>
      </w:pPr>
    </w:p>
    <w:p w14:paraId="1651AAD6" w14:textId="0BD8EDC0" w:rsidR="00A7016E" w:rsidRDefault="00A7016E" w:rsidP="00A7016E">
      <w:pPr>
        <w:kinsoku w:val="0"/>
        <w:overflowPunct w:val="0"/>
        <w:autoSpaceDE w:val="0"/>
        <w:autoSpaceDN w:val="0"/>
        <w:adjustRightInd w:val="0"/>
        <w:spacing w:before="7"/>
        <w:jc w:val="both"/>
        <w:rPr>
          <w:rFonts w:ascii="Abadi" w:hAnsi="Abadi" w:cs="Arial"/>
          <w:b/>
          <w:bCs/>
          <w:color w:val="15121F"/>
          <w:sz w:val="22"/>
          <w:szCs w:val="22"/>
        </w:rPr>
      </w:pPr>
      <w:r w:rsidRPr="00865313">
        <w:rPr>
          <w:rFonts w:ascii="Abadi" w:hAnsi="Abadi" w:cs="Arial"/>
          <w:b/>
          <w:bCs/>
          <w:color w:val="15121F"/>
          <w:sz w:val="22"/>
          <w:szCs w:val="22"/>
        </w:rPr>
        <w:t>Lic.</w:t>
      </w:r>
      <w:r w:rsidRPr="00865313">
        <w:rPr>
          <w:rFonts w:ascii="Abadi" w:hAnsi="Abadi" w:cs="Arial"/>
          <w:b/>
          <w:bCs/>
          <w:color w:val="15121F"/>
          <w:spacing w:val="15"/>
          <w:sz w:val="22"/>
          <w:szCs w:val="22"/>
        </w:rPr>
        <w:t xml:space="preserve"> </w:t>
      </w:r>
      <w:r w:rsidRPr="00865313">
        <w:rPr>
          <w:rFonts w:ascii="Abadi" w:hAnsi="Abadi" w:cs="Arial"/>
          <w:b/>
          <w:bCs/>
          <w:color w:val="15121F"/>
          <w:sz w:val="22"/>
          <w:szCs w:val="22"/>
        </w:rPr>
        <w:t>Mariela</w:t>
      </w:r>
      <w:r w:rsidRPr="00865313">
        <w:rPr>
          <w:rFonts w:ascii="Abadi" w:hAnsi="Abadi" w:cs="Arial"/>
          <w:b/>
          <w:bCs/>
          <w:color w:val="15121F"/>
          <w:spacing w:val="6"/>
          <w:sz w:val="22"/>
          <w:szCs w:val="22"/>
        </w:rPr>
        <w:t xml:space="preserve"> </w:t>
      </w:r>
      <w:r w:rsidRPr="00865313">
        <w:rPr>
          <w:rFonts w:ascii="Abadi" w:hAnsi="Abadi" w:cs="Arial"/>
          <w:b/>
          <w:bCs/>
          <w:color w:val="15121F"/>
          <w:sz w:val="22"/>
          <w:szCs w:val="22"/>
        </w:rPr>
        <w:t>del</w:t>
      </w:r>
      <w:r w:rsidRPr="00865313">
        <w:rPr>
          <w:rFonts w:ascii="Abadi" w:hAnsi="Abadi" w:cs="Arial"/>
          <w:b/>
          <w:bCs/>
          <w:color w:val="15121F"/>
          <w:spacing w:val="10"/>
          <w:sz w:val="22"/>
          <w:szCs w:val="22"/>
        </w:rPr>
        <w:t xml:space="preserve"> </w:t>
      </w:r>
      <w:r w:rsidRPr="00865313">
        <w:rPr>
          <w:rFonts w:ascii="Abadi" w:hAnsi="Abadi" w:cs="Arial"/>
          <w:b/>
          <w:bCs/>
          <w:color w:val="15121F"/>
          <w:sz w:val="22"/>
          <w:szCs w:val="22"/>
        </w:rPr>
        <w:t>Carmen</w:t>
      </w:r>
      <w:r w:rsidRPr="00865313">
        <w:rPr>
          <w:rFonts w:ascii="Abadi" w:hAnsi="Abadi" w:cs="Arial"/>
          <w:b/>
          <w:bCs/>
          <w:color w:val="15121F"/>
          <w:spacing w:val="26"/>
          <w:sz w:val="22"/>
          <w:szCs w:val="22"/>
        </w:rPr>
        <w:t xml:space="preserve"> </w:t>
      </w:r>
      <w:r w:rsidRPr="00865313">
        <w:rPr>
          <w:rFonts w:ascii="Abadi" w:hAnsi="Abadi" w:cs="Arial"/>
          <w:b/>
          <w:bCs/>
          <w:color w:val="15121F"/>
          <w:sz w:val="22"/>
          <w:szCs w:val="22"/>
        </w:rPr>
        <w:t>Huerta</w:t>
      </w:r>
      <w:r w:rsidRPr="00865313">
        <w:rPr>
          <w:rFonts w:ascii="Abadi" w:hAnsi="Abadi" w:cs="Arial"/>
          <w:b/>
          <w:bCs/>
          <w:color w:val="15121F"/>
          <w:spacing w:val="2"/>
          <w:sz w:val="22"/>
          <w:szCs w:val="22"/>
        </w:rPr>
        <w:t xml:space="preserve"> </w:t>
      </w:r>
      <w:r w:rsidRPr="00865313">
        <w:rPr>
          <w:rFonts w:ascii="Abadi" w:hAnsi="Abadi" w:cs="Arial"/>
          <w:b/>
          <w:bCs/>
          <w:color w:val="15121F"/>
          <w:sz w:val="22"/>
          <w:szCs w:val="22"/>
        </w:rPr>
        <w:t>Guerrero</w:t>
      </w:r>
    </w:p>
    <w:p w14:paraId="1C258C75" w14:textId="678A36B3" w:rsidR="00107545" w:rsidRDefault="00107545" w:rsidP="00A7016E">
      <w:pPr>
        <w:kinsoku w:val="0"/>
        <w:overflowPunct w:val="0"/>
        <w:autoSpaceDE w:val="0"/>
        <w:autoSpaceDN w:val="0"/>
        <w:adjustRightInd w:val="0"/>
        <w:spacing w:before="7"/>
        <w:jc w:val="both"/>
        <w:rPr>
          <w:rFonts w:ascii="Abadi" w:hAnsi="Abadi" w:cs="Arial"/>
          <w:b/>
          <w:bCs/>
          <w:color w:val="15121F"/>
          <w:sz w:val="22"/>
          <w:szCs w:val="22"/>
        </w:rPr>
      </w:pPr>
    </w:p>
    <w:p w14:paraId="7C23CB24" w14:textId="2FBFA1A7" w:rsidR="00D87EE5" w:rsidRDefault="00D87EE5" w:rsidP="006139E1">
      <w:pPr>
        <w:pStyle w:val="NormalWeb"/>
        <w:ind w:firstLine="426"/>
        <w:jc w:val="both"/>
        <w:rPr>
          <w:rFonts w:ascii="Abadi" w:hAnsi="Abadi"/>
          <w:sz w:val="21"/>
          <w:szCs w:val="21"/>
        </w:rPr>
      </w:pPr>
      <w:r>
        <w:rPr>
          <w:rFonts w:ascii="Abadi" w:hAnsi="Abadi"/>
          <w:b/>
          <w:bCs/>
          <w:sz w:val="21"/>
          <w:szCs w:val="21"/>
        </w:rPr>
        <w:t xml:space="preserve">- </w:t>
      </w:r>
      <w:r w:rsidRPr="006B78DD">
        <w:rPr>
          <w:rFonts w:ascii="Abadi" w:hAnsi="Abadi"/>
          <w:b/>
          <w:bCs/>
          <w:sz w:val="21"/>
          <w:szCs w:val="21"/>
        </w:rPr>
        <w:t xml:space="preserve">La </w:t>
      </w:r>
      <w:proofErr w:type="gramStart"/>
      <w:r w:rsidRPr="006B78DD">
        <w:rPr>
          <w:rFonts w:ascii="Abadi" w:hAnsi="Abadi"/>
          <w:b/>
          <w:bCs/>
          <w:sz w:val="21"/>
          <w:szCs w:val="21"/>
        </w:rPr>
        <w:t>Presidencia.-</w:t>
      </w:r>
      <w:proofErr w:type="gramEnd"/>
      <w:r>
        <w:rPr>
          <w:rFonts w:ascii="Abadi" w:hAnsi="Abadi"/>
          <w:sz w:val="21"/>
          <w:szCs w:val="21"/>
        </w:rPr>
        <w:t xml:space="preserve"> Esta Presidencia da cuenta de la </w:t>
      </w:r>
      <w:r w:rsidRPr="00FB6998">
        <w:rPr>
          <w:rFonts w:ascii="Abadi" w:hAnsi="Abadi"/>
          <w:sz w:val="21"/>
          <w:szCs w:val="21"/>
        </w:rPr>
        <w:t>propuesta de terna para designar a la persona titular del Órgano Interno de Control del Instituto de Acceso a la Información Pública para el Estado de Guanajuato, formulada por el Pleno de dicho Instituto.</w:t>
      </w:r>
    </w:p>
    <w:p w14:paraId="04352988" w14:textId="77777777" w:rsidR="00D87EE5" w:rsidRPr="00606BE4" w:rsidRDefault="00D87EE5" w:rsidP="00D87EE5">
      <w:pPr>
        <w:pStyle w:val="NormalWeb"/>
        <w:ind w:left="426" w:right="474"/>
        <w:jc w:val="both"/>
        <w:rPr>
          <w:rFonts w:ascii="Abadi" w:hAnsi="Abadi"/>
          <w:b/>
          <w:bCs/>
          <w:i/>
          <w:iCs/>
          <w:sz w:val="21"/>
          <w:szCs w:val="21"/>
          <w:u w:val="single"/>
        </w:rPr>
      </w:pPr>
      <w:r w:rsidRPr="00606BE4">
        <w:rPr>
          <w:rFonts w:ascii="Abadi" w:hAnsi="Abadi"/>
          <w:b/>
          <w:bCs/>
          <w:i/>
          <w:iCs/>
          <w:sz w:val="21"/>
          <w:szCs w:val="21"/>
          <w:u w:val="single"/>
        </w:rPr>
        <w:t>Se turna a la Comisión de Gobernación y Puntos Constitucionales con fundamento en el artículo 111 fracción II, de nuestra Ley Orgánica para su estudio y dictamen.</w:t>
      </w:r>
    </w:p>
    <w:p w14:paraId="6B5BE39B" w14:textId="77777777" w:rsidR="006139E1" w:rsidRDefault="006139E1" w:rsidP="006139E1">
      <w:pPr>
        <w:pStyle w:val="NormalWeb"/>
        <w:ind w:firstLine="426"/>
        <w:jc w:val="both"/>
        <w:rPr>
          <w:rFonts w:ascii="Abadi" w:hAnsi="Abadi"/>
          <w:sz w:val="21"/>
          <w:szCs w:val="21"/>
        </w:rPr>
      </w:pPr>
      <w:r>
        <w:rPr>
          <w:rFonts w:ascii="Abadi" w:hAnsi="Abadi"/>
          <w:sz w:val="21"/>
          <w:szCs w:val="21"/>
        </w:rPr>
        <w:t>- Damos la bienvenida a quien se integra a este Pleno al diputado Cuauhtémoc Becerra González, diputado muy buenos días, bienvenido.</w:t>
      </w:r>
    </w:p>
    <w:p w14:paraId="3F3793FD" w14:textId="09C24B04" w:rsidR="006139E1" w:rsidRDefault="006139E1" w:rsidP="006139E1">
      <w:pPr>
        <w:pStyle w:val="NormalWeb"/>
        <w:ind w:firstLine="426"/>
        <w:jc w:val="both"/>
        <w:rPr>
          <w:rFonts w:ascii="Abadi" w:hAnsi="Abadi"/>
          <w:sz w:val="21"/>
          <w:szCs w:val="21"/>
        </w:rPr>
      </w:pPr>
      <w:r>
        <w:rPr>
          <w:rFonts w:ascii="Abadi" w:hAnsi="Abadi"/>
          <w:sz w:val="21"/>
          <w:szCs w:val="21"/>
        </w:rPr>
        <w:t xml:space="preserve">- </w:t>
      </w:r>
      <w:r w:rsidRPr="00222A32">
        <w:rPr>
          <w:rFonts w:ascii="Abadi" w:hAnsi="Abadi"/>
          <w:sz w:val="21"/>
          <w:szCs w:val="21"/>
        </w:rPr>
        <w:t xml:space="preserve">Y también </w:t>
      </w:r>
      <w:r>
        <w:rPr>
          <w:rFonts w:ascii="Abadi" w:hAnsi="Abadi"/>
          <w:sz w:val="21"/>
          <w:szCs w:val="21"/>
        </w:rPr>
        <w:t xml:space="preserve">esta Presidencia da la más cordial bienvenida a los alumnos de Sexto Semestre de la Carrera de Administración Pública de la Universidad de Guanajuato; Campus León invitados por la diputada Laura Cristina Márquez Alcalá, bienvenidos jóvenes, también son invitados del diputado Aldo, bienvenidos, </w:t>
      </w:r>
      <w:r w:rsidR="00A76B4D">
        <w:rPr>
          <w:rFonts w:ascii="Abadi" w:hAnsi="Abadi"/>
          <w:sz w:val="21"/>
          <w:szCs w:val="21"/>
        </w:rPr>
        <w:t>¡</w:t>
      </w:r>
      <w:r>
        <w:rPr>
          <w:rFonts w:ascii="Abadi" w:hAnsi="Abadi"/>
          <w:sz w:val="21"/>
          <w:szCs w:val="21"/>
        </w:rPr>
        <w:t>bueno</w:t>
      </w:r>
      <w:r w:rsidR="00A76B4D">
        <w:rPr>
          <w:rFonts w:ascii="Abadi" w:hAnsi="Abadi"/>
          <w:sz w:val="21"/>
          <w:szCs w:val="21"/>
        </w:rPr>
        <w:t>!</w:t>
      </w:r>
      <w:r>
        <w:rPr>
          <w:rFonts w:ascii="Abadi" w:hAnsi="Abadi"/>
          <w:sz w:val="21"/>
          <w:szCs w:val="21"/>
        </w:rPr>
        <w:t xml:space="preserve"> y también míos.</w:t>
      </w:r>
    </w:p>
    <w:p w14:paraId="5E09C98A" w14:textId="77777777" w:rsidR="00C82ABE" w:rsidRPr="001A391F" w:rsidRDefault="00C82ABE" w:rsidP="00021259">
      <w:pPr>
        <w:autoSpaceDE w:val="0"/>
        <w:autoSpaceDN w:val="0"/>
        <w:adjustRightInd w:val="0"/>
        <w:ind w:left="426" w:hanging="426"/>
        <w:jc w:val="both"/>
        <w:rPr>
          <w:rFonts w:ascii="Abadi" w:hAnsi="Abadi" w:cs="ArialMT"/>
          <w:sz w:val="20"/>
          <w:szCs w:val="21"/>
        </w:rPr>
      </w:pPr>
    </w:p>
    <w:p w14:paraId="43AD5E4F" w14:textId="4602066B" w:rsidR="00021259" w:rsidRDefault="00021259" w:rsidP="00343CA9">
      <w:pPr>
        <w:pStyle w:val="Prrafodelista"/>
        <w:numPr>
          <w:ilvl w:val="0"/>
          <w:numId w:val="13"/>
        </w:numPr>
        <w:autoSpaceDE w:val="0"/>
        <w:autoSpaceDN w:val="0"/>
        <w:adjustRightInd w:val="0"/>
        <w:ind w:left="426" w:hanging="426"/>
        <w:jc w:val="both"/>
        <w:rPr>
          <w:rFonts w:ascii="Abadi" w:hAnsi="Abadi" w:cs="ArialMT"/>
          <w:b/>
          <w:bCs/>
          <w:sz w:val="20"/>
          <w:szCs w:val="21"/>
        </w:rPr>
      </w:pPr>
      <w:r w:rsidRPr="00021259">
        <w:rPr>
          <w:rFonts w:ascii="Abadi" w:hAnsi="Abadi" w:cs="ArialMT"/>
          <w:b/>
          <w:bCs/>
          <w:sz w:val="20"/>
          <w:szCs w:val="21"/>
        </w:rPr>
        <w:t>PRESENTACIÓN DE LA INICIATIVA SUSCRITA POR DIPUTADAS Y DIPUTADOS INTEGRANTES DEL GRUPO PARLAMENTARIO DEL PARTIDO ACCIÓN NACIONAL A EFECTO DE ADICIONARLOS PÁRRAFOS CUARTO Y QUINTO AL ARTÍCULO 14, RECORRIÉNDOSE EN SU ORDEN LOS SUBSECUENTES, DE LA LEY DE INSTITUCIONES Y PROCEDIMIENTOS ELECTORALES PARA EL ESTADO DE GUANAJUATO.</w:t>
      </w:r>
    </w:p>
    <w:p w14:paraId="56BD0E9C" w14:textId="77777777" w:rsidR="00A76B4D" w:rsidRDefault="00A76B4D" w:rsidP="00A76B4D">
      <w:pPr>
        <w:pStyle w:val="Prrafodelista"/>
        <w:autoSpaceDE w:val="0"/>
        <w:autoSpaceDN w:val="0"/>
        <w:adjustRightInd w:val="0"/>
        <w:ind w:left="426"/>
        <w:jc w:val="both"/>
        <w:rPr>
          <w:rFonts w:ascii="Abadi" w:hAnsi="Abadi" w:cs="ArialMT"/>
          <w:b/>
          <w:bCs/>
          <w:sz w:val="20"/>
          <w:szCs w:val="21"/>
        </w:rPr>
      </w:pPr>
    </w:p>
    <w:p w14:paraId="714FD9F0" w14:textId="77777777" w:rsidR="00E441D9" w:rsidRPr="00E441D9" w:rsidRDefault="00E441D9" w:rsidP="004C0BD0">
      <w:pPr>
        <w:ind w:left="23"/>
        <w:jc w:val="both"/>
        <w:rPr>
          <w:rFonts w:ascii="Abadi" w:hAnsi="Abadi"/>
          <w:b/>
          <w:bCs/>
          <w:sz w:val="21"/>
          <w:szCs w:val="21"/>
        </w:rPr>
      </w:pPr>
      <w:r w:rsidRPr="00E441D9">
        <w:rPr>
          <w:rFonts w:ascii="Abadi" w:hAnsi="Abadi"/>
          <w:b/>
          <w:bCs/>
          <w:sz w:val="21"/>
          <w:szCs w:val="21"/>
        </w:rPr>
        <w:t>Diputada Irma Leticia González Sánchez</w:t>
      </w:r>
    </w:p>
    <w:p w14:paraId="1F68C499" w14:textId="77777777" w:rsidR="00E441D9" w:rsidRPr="00E441D9" w:rsidRDefault="00E441D9" w:rsidP="004C0BD0">
      <w:pPr>
        <w:ind w:left="23"/>
        <w:jc w:val="both"/>
        <w:rPr>
          <w:rFonts w:ascii="Abadi" w:hAnsi="Abadi"/>
          <w:b/>
          <w:bCs/>
          <w:sz w:val="21"/>
          <w:szCs w:val="21"/>
        </w:rPr>
      </w:pPr>
      <w:r w:rsidRPr="00E441D9">
        <w:rPr>
          <w:rFonts w:ascii="Abadi" w:hAnsi="Abadi"/>
          <w:b/>
          <w:bCs/>
          <w:sz w:val="21"/>
          <w:szCs w:val="21"/>
        </w:rPr>
        <w:t>Presidenta del Congreso del Estado</w:t>
      </w:r>
    </w:p>
    <w:p w14:paraId="114AF787" w14:textId="77777777" w:rsidR="00E441D9" w:rsidRPr="00E441D9" w:rsidRDefault="00E441D9" w:rsidP="004C0BD0">
      <w:pPr>
        <w:ind w:left="23"/>
        <w:jc w:val="both"/>
        <w:rPr>
          <w:rFonts w:ascii="Abadi" w:hAnsi="Abadi"/>
          <w:b/>
          <w:bCs/>
          <w:sz w:val="21"/>
          <w:szCs w:val="21"/>
        </w:rPr>
      </w:pPr>
      <w:r w:rsidRPr="00E441D9">
        <w:rPr>
          <w:rFonts w:ascii="Abadi" w:hAnsi="Abadi"/>
          <w:b/>
          <w:bCs/>
          <w:sz w:val="21"/>
          <w:szCs w:val="21"/>
        </w:rPr>
        <w:t>Libre y Soberano de Guanajuato</w:t>
      </w:r>
    </w:p>
    <w:p w14:paraId="0406B6A3" w14:textId="5F346753" w:rsidR="00E441D9" w:rsidRDefault="00E441D9" w:rsidP="004C0BD0">
      <w:pPr>
        <w:jc w:val="both"/>
        <w:rPr>
          <w:rFonts w:ascii="Abadi" w:hAnsi="Abadi"/>
          <w:b/>
          <w:bCs/>
          <w:sz w:val="21"/>
          <w:szCs w:val="21"/>
        </w:rPr>
      </w:pPr>
      <w:r w:rsidRPr="00E441D9">
        <w:rPr>
          <w:rFonts w:ascii="Abadi" w:hAnsi="Abadi"/>
          <w:b/>
          <w:bCs/>
          <w:sz w:val="21"/>
          <w:szCs w:val="21"/>
        </w:rPr>
        <w:t>Sexagésima Quinta Legislatura</w:t>
      </w:r>
    </w:p>
    <w:p w14:paraId="786CB9DC" w14:textId="77777777" w:rsidR="004C0BD0" w:rsidRDefault="004C0BD0" w:rsidP="004C0BD0">
      <w:pPr>
        <w:jc w:val="both"/>
        <w:rPr>
          <w:rFonts w:ascii="Abadi" w:hAnsi="Abadi"/>
          <w:b/>
          <w:bCs/>
          <w:sz w:val="21"/>
          <w:szCs w:val="21"/>
        </w:rPr>
      </w:pPr>
    </w:p>
    <w:p w14:paraId="0012390E" w14:textId="122217B4" w:rsidR="00E441D9" w:rsidRPr="004C0BD0" w:rsidRDefault="00E441D9" w:rsidP="004C0BD0">
      <w:pPr>
        <w:jc w:val="both"/>
        <w:rPr>
          <w:rFonts w:ascii="Abadi" w:hAnsi="Abadi"/>
          <w:b/>
          <w:bCs/>
          <w:sz w:val="21"/>
          <w:szCs w:val="21"/>
        </w:rPr>
      </w:pPr>
      <w:r w:rsidRPr="004C0BD0">
        <w:rPr>
          <w:rFonts w:ascii="Abadi" w:hAnsi="Abadi"/>
          <w:b/>
          <w:bCs/>
          <w:sz w:val="21"/>
          <w:szCs w:val="21"/>
        </w:rPr>
        <w:t>P r e s e n t e</w:t>
      </w:r>
      <w:r w:rsidR="004C0BD0">
        <w:rPr>
          <w:rFonts w:ascii="Abadi" w:hAnsi="Abadi"/>
          <w:b/>
          <w:bCs/>
          <w:sz w:val="21"/>
          <w:szCs w:val="21"/>
        </w:rPr>
        <w:t>.</w:t>
      </w:r>
    </w:p>
    <w:p w14:paraId="24311146" w14:textId="77777777" w:rsidR="004C0BD0" w:rsidRPr="004C0BD0" w:rsidRDefault="004C0BD0" w:rsidP="004C0BD0">
      <w:pPr>
        <w:jc w:val="both"/>
        <w:rPr>
          <w:rFonts w:ascii="Abadi" w:hAnsi="Abadi"/>
          <w:sz w:val="21"/>
          <w:szCs w:val="21"/>
        </w:rPr>
      </w:pPr>
    </w:p>
    <w:p w14:paraId="5F943A2A" w14:textId="77777777" w:rsidR="00E441D9" w:rsidRPr="00E441D9" w:rsidRDefault="00E441D9" w:rsidP="004C0BD0">
      <w:pPr>
        <w:ind w:left="23" w:right="38"/>
        <w:jc w:val="both"/>
        <w:rPr>
          <w:rFonts w:ascii="Abadi" w:hAnsi="Abadi"/>
          <w:sz w:val="21"/>
          <w:szCs w:val="21"/>
        </w:rPr>
      </w:pPr>
      <w:r w:rsidRPr="004C0BD0">
        <w:rPr>
          <w:rFonts w:ascii="Abadi" w:hAnsi="Abadi"/>
          <w:sz w:val="21"/>
          <w:szCs w:val="21"/>
        </w:rPr>
        <w:t>Quienes integramos el Grupo Parlamentario del Partido Acción Nacional, ante la Sexagésima Quinta, Legislatura del Congreso del Estado Libre y Soberano de Guanajuato, con fundamento en lo dispuesto por los artículos 56 fracción ll, de la Constitución Política para el Estado de Guanajuato; y 167 fracción ll, 168 y 209 de la Ley Orgánica del Poder Legislativo del Estado de Guanajuato, nos permitimos someter a</w:t>
      </w:r>
      <w:r w:rsidRPr="00E441D9">
        <w:rPr>
          <w:rFonts w:ascii="Abadi" w:hAnsi="Abadi"/>
          <w:sz w:val="21"/>
          <w:szCs w:val="21"/>
        </w:rPr>
        <w:t xml:space="preserve"> la consideración de esta Honorable Asamblea, la presente Iniciativa con proyecto de Decreto </w:t>
      </w:r>
      <w:r w:rsidRPr="004C0BD0">
        <w:rPr>
          <w:rFonts w:ascii="Abadi" w:hAnsi="Abadi"/>
          <w:b/>
          <w:bCs/>
          <w:sz w:val="21"/>
          <w:szCs w:val="21"/>
        </w:rPr>
        <w:t>por el que se adicionan un párrafo cuarto y quinto al artículo 14, recorriéndose los párrafos subsecuentes en su orden establecido, de la Ley de Instituciones y Procedimientos Electorales para el Estado de Guanajuato,</w:t>
      </w:r>
      <w:r w:rsidRPr="00E441D9">
        <w:rPr>
          <w:rFonts w:ascii="Abadi" w:hAnsi="Abadi"/>
          <w:sz w:val="21"/>
          <w:szCs w:val="21"/>
        </w:rPr>
        <w:t xml:space="preserve"> con base en la siguiente:</w:t>
      </w:r>
    </w:p>
    <w:p w14:paraId="548846AE" w14:textId="77777777" w:rsidR="00E441D9" w:rsidRPr="00E441D9" w:rsidRDefault="00E441D9" w:rsidP="00E441D9">
      <w:pPr>
        <w:ind w:left="23" w:right="38"/>
        <w:jc w:val="both"/>
        <w:rPr>
          <w:rFonts w:ascii="Abadi" w:hAnsi="Abadi"/>
          <w:sz w:val="21"/>
          <w:szCs w:val="21"/>
        </w:rPr>
      </w:pPr>
    </w:p>
    <w:p w14:paraId="0B0C70DC" w14:textId="77777777" w:rsidR="00E441D9" w:rsidRPr="00E441D9" w:rsidRDefault="00E441D9" w:rsidP="004C0BD0">
      <w:pPr>
        <w:ind w:left="23" w:right="38"/>
        <w:jc w:val="center"/>
        <w:rPr>
          <w:rFonts w:ascii="Abadi" w:hAnsi="Abadi"/>
          <w:b/>
          <w:bCs/>
          <w:sz w:val="21"/>
          <w:szCs w:val="21"/>
        </w:rPr>
      </w:pPr>
      <w:r w:rsidRPr="00E441D9">
        <w:rPr>
          <w:rFonts w:ascii="Abadi" w:hAnsi="Abadi"/>
          <w:b/>
          <w:bCs/>
          <w:sz w:val="21"/>
          <w:szCs w:val="21"/>
        </w:rPr>
        <w:t>EXPOSICIÓN DE MOTIVOS</w:t>
      </w:r>
    </w:p>
    <w:p w14:paraId="77524DC2" w14:textId="77777777" w:rsidR="00E441D9" w:rsidRPr="00E441D9" w:rsidRDefault="00E441D9" w:rsidP="00E441D9">
      <w:pPr>
        <w:ind w:left="23" w:right="38"/>
        <w:jc w:val="both"/>
        <w:rPr>
          <w:rFonts w:ascii="Abadi" w:hAnsi="Abadi"/>
          <w:sz w:val="21"/>
          <w:szCs w:val="21"/>
        </w:rPr>
      </w:pPr>
    </w:p>
    <w:p w14:paraId="2B7E0144" w14:textId="77777777" w:rsidR="00E441D9" w:rsidRPr="00E441D9" w:rsidRDefault="00E441D9" w:rsidP="00E441D9">
      <w:pPr>
        <w:ind w:left="23" w:right="38"/>
        <w:jc w:val="both"/>
        <w:rPr>
          <w:rFonts w:ascii="Abadi" w:hAnsi="Abadi"/>
          <w:sz w:val="21"/>
          <w:szCs w:val="21"/>
        </w:rPr>
      </w:pPr>
      <w:r w:rsidRPr="00E441D9">
        <w:rPr>
          <w:rFonts w:ascii="Abadi" w:hAnsi="Abadi"/>
          <w:sz w:val="21"/>
          <w:szCs w:val="21"/>
        </w:rPr>
        <w:t xml:space="preserve">El artículo 41 párrafo segundo Base I de la Constitución Política de los Estados unidos Mexicanos, en relación con el artículo 3 párrafo 1 de la Ley General de Partidos Políticos, dispone que los partidos políticos son entidades de interés público, donde la ley determina las normas y requisitos para su registro legal, las formas específicas de su intervención dentro del Proceso Electoral, los derechos, </w:t>
      </w:r>
      <w:r w:rsidRPr="00E441D9">
        <w:rPr>
          <w:rFonts w:ascii="Abadi" w:hAnsi="Abadi"/>
          <w:noProof/>
          <w:sz w:val="21"/>
          <w:szCs w:val="21"/>
        </w:rPr>
        <w:drawing>
          <wp:inline distT="0" distB="0" distL="0" distR="0" wp14:anchorId="150893A0" wp14:editId="0514107C">
            <wp:extent cx="3048" cy="3049"/>
            <wp:effectExtent l="0" t="0" r="0" b="0"/>
            <wp:docPr id="4380" name="Picture 4380"/>
            <wp:cNvGraphicFramePr/>
            <a:graphic xmlns:a="http://schemas.openxmlformats.org/drawingml/2006/main">
              <a:graphicData uri="http://schemas.openxmlformats.org/drawingml/2006/picture">
                <pic:pic xmlns:pic="http://schemas.openxmlformats.org/drawingml/2006/picture">
                  <pic:nvPicPr>
                    <pic:cNvPr id="4380" name="Picture 4380"/>
                    <pic:cNvPicPr/>
                  </pic:nvPicPr>
                  <pic:blipFill>
                    <a:blip r:embed="rId22"/>
                    <a:stretch>
                      <a:fillRect/>
                    </a:stretch>
                  </pic:blipFill>
                  <pic:spPr>
                    <a:xfrm>
                      <a:off x="0" y="0"/>
                      <a:ext cx="3048" cy="3049"/>
                    </a:xfrm>
                    <a:prstGeom prst="rect">
                      <a:avLst/>
                    </a:prstGeom>
                  </pic:spPr>
                </pic:pic>
              </a:graphicData>
            </a:graphic>
          </wp:inline>
        </w:drawing>
      </w:r>
      <w:r w:rsidRPr="00E441D9">
        <w:rPr>
          <w:rFonts w:ascii="Abadi" w:hAnsi="Abadi"/>
          <w:sz w:val="21"/>
          <w:szCs w:val="21"/>
        </w:rPr>
        <w:t>obligaciones y prerrogativas que les corresponden, toda vez que tienen como fin promover la participación de las y los ciudadanos en la vida democrática, contribuir a la integración de los órganos de representación política y, como organizaciones hacer posible el acceso al ejercicio del poder público acorde a sus principios e ideologías que postulan, respetando el sufragio universal, libre, secreto y directo.</w:t>
      </w:r>
    </w:p>
    <w:p w14:paraId="1C0355DD" w14:textId="77777777" w:rsidR="00E441D9" w:rsidRPr="00E441D9" w:rsidRDefault="00E441D9" w:rsidP="00E441D9">
      <w:pPr>
        <w:ind w:left="23" w:right="38"/>
        <w:jc w:val="both"/>
        <w:rPr>
          <w:rFonts w:ascii="Abadi" w:hAnsi="Abadi"/>
          <w:sz w:val="21"/>
          <w:szCs w:val="21"/>
        </w:rPr>
      </w:pPr>
    </w:p>
    <w:p w14:paraId="4701AFB0" w14:textId="77777777" w:rsidR="00E441D9" w:rsidRPr="005D1897" w:rsidRDefault="00E441D9" w:rsidP="00E441D9">
      <w:pPr>
        <w:spacing w:after="439"/>
        <w:ind w:left="23" w:right="38"/>
        <w:jc w:val="both"/>
        <w:rPr>
          <w:rFonts w:ascii="Abadi" w:hAnsi="Abadi"/>
          <w:sz w:val="21"/>
          <w:szCs w:val="21"/>
        </w:rPr>
      </w:pPr>
      <w:r w:rsidRPr="00E441D9">
        <w:rPr>
          <w:rFonts w:ascii="Abadi" w:hAnsi="Abadi"/>
          <w:sz w:val="21"/>
          <w:szCs w:val="21"/>
        </w:rPr>
        <w:t>Por su parte, los artículos 23 párrafo 1 inciso e) de la Ley General de Partidos Políticos y 232 párrafo 1 de la Ley General de Instituciones y Procedimientos Electorales en correlación con la fracción VIII del artículo 31 de la Ley de Instituciones y Procedimientos Electorales para el Estado de Guanajuato, otorgan el derecho, a los partidos políticos, de solicitar el registro de aspirantes a</w:t>
      </w:r>
      <w:r w:rsidRPr="005D1897">
        <w:rPr>
          <w:rFonts w:ascii="Abadi" w:hAnsi="Abadi"/>
          <w:sz w:val="21"/>
          <w:szCs w:val="21"/>
        </w:rPr>
        <w:t xml:space="preserve"> alguna candidatura ante la autoridad electoral, excepto cuando sean las y los propios ciudadanos que soliciten su registro de manera independiente; en ambos supuestos deberán cumplir con los requisitos, condiciones y términos que la ley en la materia determine.</w:t>
      </w:r>
    </w:p>
    <w:p w14:paraId="6D9F38A7" w14:textId="666E5EEE" w:rsidR="004C0BD0" w:rsidRDefault="00E441D9" w:rsidP="001273CD">
      <w:pPr>
        <w:ind w:left="15" w:hanging="10"/>
        <w:jc w:val="both"/>
        <w:rPr>
          <w:rFonts w:ascii="Abadi" w:hAnsi="Abadi"/>
          <w:i/>
          <w:iCs/>
          <w:sz w:val="21"/>
          <w:szCs w:val="21"/>
        </w:rPr>
      </w:pPr>
      <w:r w:rsidRPr="005D1897">
        <w:rPr>
          <w:rFonts w:ascii="Abadi" w:hAnsi="Abadi"/>
          <w:sz w:val="21"/>
          <w:szCs w:val="21"/>
        </w:rPr>
        <w:t xml:space="preserve">Aunado a lo anterior, el párrafo tercero del artículo 12 de la Ley de Instituciones y Procedimientos Electorales para el Estado de Guanajuato, establece que, </w:t>
      </w:r>
      <w:r w:rsidRPr="007F5271">
        <w:rPr>
          <w:rFonts w:ascii="Abadi" w:hAnsi="Abadi"/>
          <w:i/>
          <w:iCs/>
          <w:sz w:val="21"/>
          <w:szCs w:val="21"/>
        </w:rPr>
        <w:t>"no podrá ser registrado como candidato a elección consecutiva por partido distinto a aquel o cualquiera de aquellos que, en vía de coalición, lo postuló en el proceso electora</w:t>
      </w:r>
      <w:r>
        <w:rPr>
          <w:rFonts w:ascii="Abadi" w:hAnsi="Abadi"/>
          <w:i/>
          <w:iCs/>
          <w:sz w:val="21"/>
          <w:szCs w:val="21"/>
        </w:rPr>
        <w:t>l</w:t>
      </w:r>
      <w:r w:rsidRPr="007F5271">
        <w:rPr>
          <w:rFonts w:ascii="Abadi" w:hAnsi="Abadi"/>
          <w:i/>
          <w:iCs/>
          <w:sz w:val="21"/>
          <w:szCs w:val="21"/>
        </w:rPr>
        <w:t xml:space="preserve"> en que resultó electo, salvo que haya renunciado o perdido su militancia antes de la mitad de su mandato".</w:t>
      </w:r>
    </w:p>
    <w:p w14:paraId="333CD10A" w14:textId="77777777" w:rsidR="001273CD" w:rsidRPr="001273CD" w:rsidRDefault="001273CD" w:rsidP="001273CD">
      <w:pPr>
        <w:ind w:left="15" w:hanging="10"/>
        <w:jc w:val="both"/>
        <w:rPr>
          <w:rFonts w:ascii="Abadi" w:hAnsi="Abadi"/>
          <w:i/>
          <w:iCs/>
          <w:sz w:val="21"/>
          <w:szCs w:val="21"/>
        </w:rPr>
      </w:pPr>
    </w:p>
    <w:p w14:paraId="005E3919" w14:textId="40F40CE3" w:rsidR="00E441D9" w:rsidRPr="005D1897" w:rsidRDefault="00E441D9" w:rsidP="00E441D9">
      <w:pPr>
        <w:spacing w:after="439"/>
        <w:ind w:left="23" w:right="38"/>
        <w:jc w:val="both"/>
        <w:rPr>
          <w:rFonts w:ascii="Abadi" w:hAnsi="Abadi"/>
          <w:sz w:val="21"/>
          <w:szCs w:val="21"/>
        </w:rPr>
      </w:pPr>
      <w:r w:rsidRPr="005D1897">
        <w:rPr>
          <w:rFonts w:ascii="Abadi" w:hAnsi="Abadi"/>
          <w:sz w:val="21"/>
          <w:szCs w:val="21"/>
        </w:rPr>
        <w:t>Por otro lado, la Constitución de los Estados Unidos Mexicanos no establece los requisitos que deben satisfacer los aspirantes a candidatos para el cargo de diputado local en las Entidades Federativas o en la Ciudad de México, razón por la cual constituye un aspecto que está dentro del ámbito de la libertad de configuración del legislador local y, en ese sentido, las Constituciones y leyes de las entidades federativas pueden contemplar diversos requisitos.</w:t>
      </w:r>
    </w:p>
    <w:p w14:paraId="39C136C5" w14:textId="77777777" w:rsidR="00E441D9" w:rsidRPr="005D1897" w:rsidRDefault="00E441D9" w:rsidP="00E441D9">
      <w:pPr>
        <w:spacing w:after="418"/>
        <w:ind w:left="23" w:right="38"/>
        <w:jc w:val="both"/>
        <w:rPr>
          <w:rFonts w:ascii="Abadi" w:hAnsi="Abadi"/>
          <w:sz w:val="21"/>
          <w:szCs w:val="21"/>
        </w:rPr>
      </w:pPr>
      <w:r w:rsidRPr="005D1897">
        <w:rPr>
          <w:rFonts w:ascii="Abadi" w:hAnsi="Abadi"/>
          <w:sz w:val="21"/>
          <w:szCs w:val="21"/>
        </w:rPr>
        <w:t>Ahora bien, en términos del artículo 116 fracción ll de su párrafo segundo de la Constitución Política de los Estados Unidos Mexicanos, se establece que las Constituciones de las Entidades Federativas deberán establecer la elección consecutiva de los diputados a las legislaturas de los Estados, hasta por cuatro periodos consecutivos.</w:t>
      </w:r>
    </w:p>
    <w:p w14:paraId="445EF05F" w14:textId="12B106D2" w:rsidR="00E441D9" w:rsidRDefault="00E441D9" w:rsidP="004C0BD0">
      <w:pPr>
        <w:ind w:left="23" w:right="38"/>
        <w:jc w:val="both"/>
        <w:rPr>
          <w:rFonts w:ascii="Abadi" w:hAnsi="Abadi"/>
          <w:sz w:val="21"/>
          <w:szCs w:val="21"/>
        </w:rPr>
      </w:pPr>
      <w:r w:rsidRPr="005D1897">
        <w:rPr>
          <w:rFonts w:ascii="Abadi" w:hAnsi="Abadi"/>
          <w:sz w:val="21"/>
          <w:szCs w:val="21"/>
        </w:rPr>
        <w:t>Así mismo, la postulación sólo podrá ser realizada por el mismo partido o por cualquiera de los partidos integrantes de la coalición que los hubieren postulado, salvo que hayan renunciado o perdido su militancia antes de la mitad de su mandato. Por tanto, el derecho político-electoral del ciudadano a ser votado es un derecho fundamental de base constitucional y configuración legal, en cuanto a que se deben prever en la ley las circunstancias, condiciones, requisitos o términos para su ejercicio.</w:t>
      </w:r>
    </w:p>
    <w:p w14:paraId="2C5F4F47" w14:textId="77777777" w:rsidR="004C0BD0" w:rsidRPr="005D1897" w:rsidRDefault="004C0BD0" w:rsidP="004C0BD0">
      <w:pPr>
        <w:ind w:left="23" w:right="38"/>
        <w:jc w:val="both"/>
        <w:rPr>
          <w:rFonts w:ascii="Abadi" w:hAnsi="Abadi"/>
          <w:sz w:val="21"/>
          <w:szCs w:val="21"/>
        </w:rPr>
      </w:pPr>
    </w:p>
    <w:p w14:paraId="09383558" w14:textId="7829FEAE" w:rsidR="00E441D9" w:rsidRDefault="00E441D9" w:rsidP="004C0BD0">
      <w:pPr>
        <w:ind w:left="23" w:right="38"/>
        <w:jc w:val="both"/>
        <w:rPr>
          <w:rFonts w:ascii="Abadi" w:hAnsi="Abadi"/>
          <w:sz w:val="21"/>
          <w:szCs w:val="21"/>
        </w:rPr>
      </w:pPr>
      <w:r w:rsidRPr="005D1897">
        <w:rPr>
          <w:rFonts w:ascii="Abadi" w:hAnsi="Abadi"/>
          <w:sz w:val="21"/>
          <w:szCs w:val="21"/>
        </w:rPr>
        <w:t>Por su parte, el artículo 42 de la Constitución Política para el Estado de Guanajuato, instituye que la forma en que se integra el Congreso del Estado es por veintidós diputados electos según el principio de representación mayoritaria relativa, mediante el sistema de distritos electorales uninominales, y catorce diputados electos según el principio de representación proporcional, mediante el sistema de listas a que se refiere la fracción I del Artículo 44 de la Constitución Local.</w:t>
      </w:r>
    </w:p>
    <w:p w14:paraId="7E1C48ED" w14:textId="77777777" w:rsidR="004C0BD0" w:rsidRPr="005D1897" w:rsidRDefault="004C0BD0" w:rsidP="004C0BD0">
      <w:pPr>
        <w:ind w:left="23" w:right="38"/>
        <w:jc w:val="both"/>
        <w:rPr>
          <w:rFonts w:ascii="Abadi" w:hAnsi="Abadi"/>
          <w:sz w:val="21"/>
          <w:szCs w:val="21"/>
        </w:rPr>
      </w:pPr>
    </w:p>
    <w:p w14:paraId="4C6339B9" w14:textId="7F9D1D63" w:rsidR="00E441D9" w:rsidRDefault="00E441D9" w:rsidP="004C0BD0">
      <w:pPr>
        <w:ind w:left="23" w:right="38"/>
        <w:jc w:val="both"/>
        <w:rPr>
          <w:rFonts w:ascii="Abadi" w:hAnsi="Abadi"/>
          <w:i/>
          <w:iCs/>
          <w:sz w:val="21"/>
          <w:szCs w:val="21"/>
        </w:rPr>
      </w:pPr>
      <w:r w:rsidRPr="005D1897">
        <w:rPr>
          <w:rFonts w:ascii="Abadi" w:hAnsi="Abadi"/>
          <w:sz w:val="21"/>
          <w:szCs w:val="21"/>
        </w:rPr>
        <w:t xml:space="preserve">También, el primer párrafo del artículo 14 de la Ley de Instituciones y Procedimientos Electorales para el Estado de Guanajuato, dispone que </w:t>
      </w:r>
      <w:r w:rsidRPr="007F5271">
        <w:rPr>
          <w:rFonts w:ascii="Abadi" w:hAnsi="Abadi"/>
          <w:i/>
          <w:iCs/>
          <w:sz w:val="21"/>
          <w:szCs w:val="21"/>
        </w:rPr>
        <w:t>"El Poder Legislativo se deposita en el Congreso del Estado, el cual se integra con veintidós diputados electos según el principio de mayoría relativa, mediante el sistema de distritos electorales uninominales, y catorce electos según el principio de representación proporcional, mediante el sistema de listas votadas en una circunscripción plurinominal cuya demarcación territorial es el Estado."</w:t>
      </w:r>
    </w:p>
    <w:p w14:paraId="497D60AA" w14:textId="77777777" w:rsidR="004C0BD0" w:rsidRPr="007F5271" w:rsidRDefault="004C0BD0" w:rsidP="004C0BD0">
      <w:pPr>
        <w:ind w:left="23" w:right="38"/>
        <w:jc w:val="both"/>
        <w:rPr>
          <w:rFonts w:ascii="Abadi" w:hAnsi="Abadi"/>
          <w:i/>
          <w:iCs/>
          <w:sz w:val="21"/>
          <w:szCs w:val="21"/>
        </w:rPr>
      </w:pPr>
    </w:p>
    <w:p w14:paraId="15AA565C" w14:textId="69F243C7" w:rsidR="00E441D9" w:rsidRDefault="00E441D9" w:rsidP="004C0BD0">
      <w:pPr>
        <w:ind w:left="23" w:right="38"/>
        <w:jc w:val="both"/>
        <w:rPr>
          <w:rFonts w:ascii="Abadi" w:hAnsi="Abadi"/>
          <w:sz w:val="21"/>
          <w:szCs w:val="21"/>
        </w:rPr>
      </w:pPr>
      <w:r w:rsidRPr="005D1897">
        <w:rPr>
          <w:rFonts w:ascii="Abadi" w:hAnsi="Abadi"/>
          <w:sz w:val="21"/>
          <w:szCs w:val="21"/>
        </w:rPr>
        <w:t>Asimismo, la elección consecutiva como modalidad del derecho a ser votado, puede ser objeto de restricción, porque su ejercicio no implica una postulación automática, ni una garantía de permanencia en el cargo, sino que tal posibilidad está sujeta al cumplimiento de un conjunto de requisitos, principios y otros derechos de rango constitucional y legal pero principalmente partidista.</w:t>
      </w:r>
    </w:p>
    <w:p w14:paraId="0E1F2A53" w14:textId="77777777" w:rsidR="004C0BD0" w:rsidRPr="005D1897" w:rsidRDefault="004C0BD0" w:rsidP="004C0BD0">
      <w:pPr>
        <w:ind w:left="23" w:right="38"/>
        <w:jc w:val="both"/>
        <w:rPr>
          <w:rFonts w:ascii="Abadi" w:hAnsi="Abadi"/>
          <w:sz w:val="21"/>
          <w:szCs w:val="21"/>
        </w:rPr>
      </w:pPr>
    </w:p>
    <w:p w14:paraId="42BFCD55" w14:textId="5CA75D62" w:rsidR="00E441D9" w:rsidRDefault="00E441D9" w:rsidP="004C0BD0">
      <w:pPr>
        <w:ind w:left="23" w:right="38"/>
        <w:jc w:val="both"/>
        <w:rPr>
          <w:rFonts w:ascii="Abadi" w:hAnsi="Abadi"/>
          <w:sz w:val="21"/>
          <w:szCs w:val="21"/>
        </w:rPr>
      </w:pPr>
      <w:r w:rsidRPr="005D1897">
        <w:rPr>
          <w:rFonts w:ascii="Abadi" w:hAnsi="Abadi"/>
          <w:sz w:val="21"/>
          <w:szCs w:val="21"/>
        </w:rPr>
        <w:t xml:space="preserve">En suma, el derecho de elección a un cargo de diputación local debe otorgarse de manera más amplia, respetando el principio </w:t>
      </w:r>
      <w:proofErr w:type="spellStart"/>
      <w:r w:rsidRPr="00BE52F3">
        <w:rPr>
          <w:rFonts w:ascii="Abadi" w:hAnsi="Abadi"/>
          <w:i/>
          <w:iCs/>
          <w:sz w:val="21"/>
          <w:szCs w:val="21"/>
        </w:rPr>
        <w:t>pro-persona</w:t>
      </w:r>
      <w:proofErr w:type="spellEnd"/>
      <w:r w:rsidRPr="005D1897">
        <w:rPr>
          <w:rFonts w:ascii="Abadi" w:hAnsi="Abadi"/>
          <w:sz w:val="21"/>
          <w:szCs w:val="21"/>
        </w:rPr>
        <w:t>, con la finalidad de adaptar las normas, para alcanzar los resultados que se pretenden con la elección consecutiva; donde el objetivo principal es lograr la profesionalización del cargo derivado del aprovechamiento de la experiencia obtenida al estar desempeñando dicho cargo.</w:t>
      </w:r>
    </w:p>
    <w:p w14:paraId="1BB67163" w14:textId="77777777" w:rsidR="004C0BD0" w:rsidRPr="005D1897" w:rsidRDefault="004C0BD0" w:rsidP="004C0BD0">
      <w:pPr>
        <w:ind w:left="23" w:right="38"/>
        <w:jc w:val="both"/>
        <w:rPr>
          <w:rFonts w:ascii="Abadi" w:hAnsi="Abadi"/>
          <w:sz w:val="21"/>
          <w:szCs w:val="21"/>
        </w:rPr>
      </w:pPr>
    </w:p>
    <w:p w14:paraId="5334FB69" w14:textId="5F7117FB" w:rsidR="00E441D9" w:rsidRDefault="00E441D9" w:rsidP="004C0BD0">
      <w:pPr>
        <w:ind w:left="23" w:right="38"/>
        <w:jc w:val="both"/>
        <w:rPr>
          <w:rFonts w:ascii="Abadi" w:hAnsi="Abadi"/>
          <w:sz w:val="21"/>
          <w:szCs w:val="21"/>
        </w:rPr>
      </w:pPr>
      <w:r w:rsidRPr="005D1897">
        <w:rPr>
          <w:rFonts w:ascii="Abadi" w:hAnsi="Abadi"/>
          <w:sz w:val="21"/>
          <w:szCs w:val="21"/>
        </w:rPr>
        <w:t>Así mismo, el artículo 26 apartado B primer párrafo de la Constitución Política de los Estados Unidos Mexicanos, dispone que el Estado contará con un Sistema Nacional de Información Estadística y Geográfica cuyos datos serán considerados oficiales para la Federación, las entidades federativas, los municipios y las demarcaciones territoriales de la Ciudad de México, cuyos datos contenidos en ese Sistema serán de uso obligatorio en los términos que establezca la ley.</w:t>
      </w:r>
    </w:p>
    <w:p w14:paraId="10B1D313" w14:textId="77777777" w:rsidR="004C0BD0" w:rsidRPr="005D1897" w:rsidRDefault="004C0BD0" w:rsidP="004C0BD0">
      <w:pPr>
        <w:ind w:left="23" w:right="38"/>
        <w:jc w:val="both"/>
        <w:rPr>
          <w:rFonts w:ascii="Abadi" w:hAnsi="Abadi"/>
          <w:sz w:val="21"/>
          <w:szCs w:val="21"/>
        </w:rPr>
      </w:pPr>
    </w:p>
    <w:p w14:paraId="329DDA90" w14:textId="77777777" w:rsidR="00E441D9" w:rsidRDefault="00E441D9" w:rsidP="003C552F">
      <w:pPr>
        <w:ind w:left="23" w:right="38"/>
        <w:jc w:val="both"/>
        <w:rPr>
          <w:rFonts w:ascii="Abadi" w:hAnsi="Abadi"/>
          <w:sz w:val="21"/>
          <w:szCs w:val="21"/>
        </w:rPr>
      </w:pPr>
      <w:r w:rsidRPr="005D1897">
        <w:rPr>
          <w:rFonts w:ascii="Abadi" w:hAnsi="Abadi"/>
          <w:sz w:val="21"/>
          <w:szCs w:val="21"/>
        </w:rPr>
        <w:t>Del mismo modo, el artículo 41 Base V Apartado A párrafo primero de la Constitución Política de los Estados Unidos Mexicanos en relación con los artículos</w:t>
      </w:r>
      <w:r>
        <w:rPr>
          <w:rFonts w:ascii="Abadi" w:hAnsi="Abadi"/>
          <w:sz w:val="21"/>
          <w:szCs w:val="21"/>
        </w:rPr>
        <w:t xml:space="preserve"> </w:t>
      </w:r>
      <w:r w:rsidRPr="005D1897">
        <w:rPr>
          <w:rFonts w:ascii="Abadi" w:hAnsi="Abadi"/>
          <w:sz w:val="21"/>
          <w:szCs w:val="21"/>
        </w:rPr>
        <w:t>29, 30 segundo párrafo y 31 párrafo primero de la Ley General de Instituciones y Procedimientos Electorales, disponen que el Instituto Nacional Electoral, es un organismo público autónomo dotado de personalidad jurídica y patrimonio propio, en cuya integración participan el Poder Legislativo de la Unión, los Partidos Políticos Nacionales, las y los ciudadanos, en los términos que ordene la ley.</w:t>
      </w:r>
    </w:p>
    <w:p w14:paraId="6CD6A3F8" w14:textId="77777777" w:rsidR="00E441D9" w:rsidRPr="005D1897" w:rsidRDefault="00E441D9" w:rsidP="003C552F">
      <w:pPr>
        <w:ind w:left="23" w:right="38"/>
        <w:jc w:val="both"/>
        <w:rPr>
          <w:rFonts w:ascii="Abadi" w:hAnsi="Abadi"/>
          <w:sz w:val="21"/>
          <w:szCs w:val="21"/>
        </w:rPr>
      </w:pPr>
    </w:p>
    <w:p w14:paraId="015D6340" w14:textId="54D22584" w:rsidR="00E441D9" w:rsidRDefault="00E441D9" w:rsidP="003C552F">
      <w:pPr>
        <w:ind w:left="23" w:right="38"/>
        <w:jc w:val="both"/>
        <w:rPr>
          <w:rFonts w:ascii="Abadi" w:hAnsi="Abadi"/>
          <w:sz w:val="21"/>
          <w:szCs w:val="21"/>
        </w:rPr>
      </w:pPr>
      <w:r w:rsidRPr="005D1897">
        <w:rPr>
          <w:rFonts w:ascii="Abadi" w:hAnsi="Abadi"/>
          <w:sz w:val="21"/>
          <w:szCs w:val="21"/>
        </w:rPr>
        <w:t xml:space="preserve">Así mismo, el artículo 41 Base V Apartado B inciso a) numeral 2 de la Constitución Política de los Estados Unidos Mexicanos en relación con el diverso 32, párrafo primero inciso a), fracción ll de la Ley General de Instituciones y Procedimientos Electorales señalan que, para los procesos electorales federales y locales, corresponde al Instituto Nacional Electoral definir la geografía electoral que incluirá el diseño y determinación de los distritos electorales y su división en secciones electorales, así como la delimitación de las circunscripciones plurinominales y el </w:t>
      </w:r>
      <w:r w:rsidRPr="005D1897">
        <w:rPr>
          <w:rFonts w:ascii="Abadi" w:hAnsi="Abadi"/>
          <w:noProof/>
          <w:sz w:val="21"/>
          <w:szCs w:val="21"/>
        </w:rPr>
        <w:drawing>
          <wp:inline distT="0" distB="0" distL="0" distR="0" wp14:anchorId="6DC910BA" wp14:editId="5593ABCD">
            <wp:extent cx="3048" cy="6098"/>
            <wp:effectExtent l="0" t="0" r="0" b="0"/>
            <wp:docPr id="12790" name="Picture 12790"/>
            <wp:cNvGraphicFramePr/>
            <a:graphic xmlns:a="http://schemas.openxmlformats.org/drawingml/2006/main">
              <a:graphicData uri="http://schemas.openxmlformats.org/drawingml/2006/picture">
                <pic:pic xmlns:pic="http://schemas.openxmlformats.org/drawingml/2006/picture">
                  <pic:nvPicPr>
                    <pic:cNvPr id="12790" name="Picture 12790"/>
                    <pic:cNvPicPr/>
                  </pic:nvPicPr>
                  <pic:blipFill>
                    <a:blip r:embed="rId23"/>
                    <a:stretch>
                      <a:fillRect/>
                    </a:stretch>
                  </pic:blipFill>
                  <pic:spPr>
                    <a:xfrm>
                      <a:off x="0" y="0"/>
                      <a:ext cx="3048" cy="6098"/>
                    </a:xfrm>
                    <a:prstGeom prst="rect">
                      <a:avLst/>
                    </a:prstGeom>
                  </pic:spPr>
                </pic:pic>
              </a:graphicData>
            </a:graphic>
          </wp:inline>
        </w:drawing>
      </w:r>
      <w:r w:rsidRPr="005D1897">
        <w:rPr>
          <w:rFonts w:ascii="Abadi" w:hAnsi="Abadi"/>
          <w:sz w:val="21"/>
          <w:szCs w:val="21"/>
        </w:rPr>
        <w:t>establecimiento de cabeceras.</w:t>
      </w:r>
    </w:p>
    <w:p w14:paraId="1CF6277A" w14:textId="77777777" w:rsidR="003C552F" w:rsidRPr="005D1897" w:rsidRDefault="003C552F" w:rsidP="003C552F">
      <w:pPr>
        <w:ind w:left="23" w:right="38"/>
        <w:jc w:val="both"/>
        <w:rPr>
          <w:rFonts w:ascii="Abadi" w:hAnsi="Abadi"/>
          <w:sz w:val="21"/>
          <w:szCs w:val="21"/>
        </w:rPr>
      </w:pPr>
    </w:p>
    <w:p w14:paraId="76B52EFE" w14:textId="2A5523BA" w:rsidR="00E441D9" w:rsidRDefault="00E441D9" w:rsidP="003C552F">
      <w:pPr>
        <w:ind w:left="23" w:right="38"/>
        <w:jc w:val="both"/>
        <w:rPr>
          <w:rFonts w:ascii="Abadi" w:hAnsi="Abadi"/>
          <w:sz w:val="21"/>
          <w:szCs w:val="21"/>
        </w:rPr>
      </w:pPr>
      <w:r w:rsidRPr="005D1897">
        <w:rPr>
          <w:rFonts w:ascii="Abadi" w:hAnsi="Abadi"/>
          <w:sz w:val="21"/>
          <w:szCs w:val="21"/>
        </w:rPr>
        <w:t>Ahora bien, de acuerdo con lo previsto en el artículo 53 párrafo primero de la Constitución Política de los Estados Unidos Mexicanos, la demarcación territorial de los 300 distritos electorales uninominales será la que resulte de dividir la población total del país entre los distritos señalados. Está distribución de distritos electorales uninominales entre las entidades federativas se hará tomando en cuenta el último censo general de población, sin que en ningún caso la representación de un Estado pueda ser menor de dos diputadas o diputados de mayoría.</w:t>
      </w:r>
    </w:p>
    <w:p w14:paraId="1F485716" w14:textId="77777777" w:rsidR="003C552F" w:rsidRPr="005D1897" w:rsidRDefault="003C552F" w:rsidP="003C552F">
      <w:pPr>
        <w:ind w:left="23" w:right="38"/>
        <w:jc w:val="both"/>
        <w:rPr>
          <w:rFonts w:ascii="Abadi" w:hAnsi="Abadi"/>
          <w:sz w:val="21"/>
          <w:szCs w:val="21"/>
        </w:rPr>
      </w:pPr>
    </w:p>
    <w:p w14:paraId="1FD8AE94" w14:textId="3541A988" w:rsidR="00E441D9" w:rsidRDefault="00E441D9" w:rsidP="003C552F">
      <w:pPr>
        <w:ind w:left="23" w:right="38"/>
        <w:jc w:val="both"/>
        <w:rPr>
          <w:rFonts w:ascii="Abadi" w:hAnsi="Abadi"/>
          <w:sz w:val="21"/>
          <w:szCs w:val="21"/>
        </w:rPr>
      </w:pPr>
      <w:r w:rsidRPr="005D1897">
        <w:rPr>
          <w:rFonts w:ascii="Abadi" w:hAnsi="Abadi"/>
          <w:sz w:val="21"/>
          <w:szCs w:val="21"/>
        </w:rPr>
        <w:t>También, el artículo 116 fracción ll párrafo tercero de la Constitución Política de los Estados Unidos Mexicanos, determina que las legislaturas de las entidades federativas se integrarán con las y los diputados electos, según los principios de mayoría relativa y representación proporcional, en los términos que señalen sus leyes.</w:t>
      </w:r>
    </w:p>
    <w:p w14:paraId="33118546" w14:textId="77777777" w:rsidR="003C552F" w:rsidRPr="005D1897" w:rsidRDefault="003C552F" w:rsidP="003C552F">
      <w:pPr>
        <w:ind w:left="23" w:right="38"/>
        <w:jc w:val="both"/>
        <w:rPr>
          <w:rFonts w:ascii="Abadi" w:hAnsi="Abadi"/>
          <w:sz w:val="21"/>
          <w:szCs w:val="21"/>
        </w:rPr>
      </w:pPr>
    </w:p>
    <w:p w14:paraId="56AE1CC9" w14:textId="4232911E" w:rsidR="00E441D9" w:rsidRDefault="00E441D9" w:rsidP="003C552F">
      <w:pPr>
        <w:ind w:left="23" w:right="38"/>
        <w:jc w:val="both"/>
        <w:rPr>
          <w:rFonts w:ascii="Abadi" w:hAnsi="Abadi"/>
          <w:sz w:val="21"/>
          <w:szCs w:val="21"/>
        </w:rPr>
      </w:pPr>
      <w:r w:rsidRPr="005D1897">
        <w:rPr>
          <w:rFonts w:ascii="Abadi" w:hAnsi="Abadi"/>
          <w:sz w:val="21"/>
          <w:szCs w:val="21"/>
        </w:rPr>
        <w:t>A su vez, la Constitución Política de los Estados Unidos Mexicanos, la Ley General de Instituciones y Procedimientos Electorales y los acuerdos en la materia, revisten al Instituto Nacional Electoral de atribuciones para la organización de los procesos electorales federales y locales, entre las cuales destaca la definición de la geografía electoral del país, así como la responsabilidad para elaborar y mantener actualizada</w:t>
      </w:r>
      <w:r>
        <w:rPr>
          <w:rFonts w:ascii="Abadi" w:hAnsi="Abadi"/>
          <w:sz w:val="21"/>
          <w:szCs w:val="21"/>
        </w:rPr>
        <w:t xml:space="preserve"> </w:t>
      </w:r>
      <w:r w:rsidRPr="005D1897">
        <w:rPr>
          <w:rFonts w:ascii="Abadi" w:hAnsi="Abadi"/>
          <w:sz w:val="21"/>
          <w:szCs w:val="21"/>
        </w:rPr>
        <w:t>la cartografía electoral a través del diseño y determinación de los distritos electorales y la división del territorio nacional en secciones electorales.</w:t>
      </w:r>
      <w:r w:rsidRPr="005D1897">
        <w:rPr>
          <w:rFonts w:ascii="Abadi" w:hAnsi="Abadi"/>
          <w:noProof/>
          <w:sz w:val="21"/>
          <w:szCs w:val="21"/>
        </w:rPr>
        <w:drawing>
          <wp:inline distT="0" distB="0" distL="0" distR="0" wp14:anchorId="1D32B79C" wp14:editId="3DBA90DF">
            <wp:extent cx="3048" cy="3049"/>
            <wp:effectExtent l="0" t="0" r="0" b="0"/>
            <wp:docPr id="14810" name="Picture 14810"/>
            <wp:cNvGraphicFramePr/>
            <a:graphic xmlns:a="http://schemas.openxmlformats.org/drawingml/2006/main">
              <a:graphicData uri="http://schemas.openxmlformats.org/drawingml/2006/picture">
                <pic:pic xmlns:pic="http://schemas.openxmlformats.org/drawingml/2006/picture">
                  <pic:nvPicPr>
                    <pic:cNvPr id="14810" name="Picture 14810"/>
                    <pic:cNvPicPr/>
                  </pic:nvPicPr>
                  <pic:blipFill>
                    <a:blip r:embed="rId24"/>
                    <a:stretch>
                      <a:fillRect/>
                    </a:stretch>
                  </pic:blipFill>
                  <pic:spPr>
                    <a:xfrm>
                      <a:off x="0" y="0"/>
                      <a:ext cx="3048" cy="3049"/>
                    </a:xfrm>
                    <a:prstGeom prst="rect">
                      <a:avLst/>
                    </a:prstGeom>
                  </pic:spPr>
                </pic:pic>
              </a:graphicData>
            </a:graphic>
          </wp:inline>
        </w:drawing>
      </w:r>
    </w:p>
    <w:p w14:paraId="28F5F8B4" w14:textId="77777777" w:rsidR="003C552F" w:rsidRPr="005D1897" w:rsidRDefault="003C552F" w:rsidP="003C552F">
      <w:pPr>
        <w:ind w:left="23" w:right="38"/>
        <w:jc w:val="both"/>
        <w:rPr>
          <w:rFonts w:ascii="Abadi" w:hAnsi="Abadi"/>
          <w:sz w:val="21"/>
          <w:szCs w:val="21"/>
        </w:rPr>
      </w:pPr>
    </w:p>
    <w:p w14:paraId="70932D9F" w14:textId="0D5D20F2" w:rsidR="00E441D9" w:rsidRDefault="00E441D9" w:rsidP="003C552F">
      <w:pPr>
        <w:ind w:left="23" w:right="38"/>
        <w:jc w:val="both"/>
        <w:rPr>
          <w:rFonts w:ascii="Abadi" w:hAnsi="Abadi"/>
          <w:sz w:val="21"/>
          <w:szCs w:val="21"/>
        </w:rPr>
      </w:pPr>
      <w:r w:rsidRPr="005D1897">
        <w:rPr>
          <w:rFonts w:ascii="Abadi" w:hAnsi="Abadi"/>
          <w:sz w:val="21"/>
          <w:szCs w:val="21"/>
        </w:rPr>
        <w:t>Es oportuno resaltar que el marco geográfico electoral constituye un elemento dinámico de actualización constante, como consecuencia de la integración de nuevos asentamientos humanos, la creación de nuevos municipios, la modificación de límites territoriales y el incremento o decremento de las y los ciudadanos en las secciones electorales.</w:t>
      </w:r>
    </w:p>
    <w:p w14:paraId="48C59E48" w14:textId="77777777" w:rsidR="00E441D9" w:rsidRPr="005D1897" w:rsidRDefault="00E441D9" w:rsidP="003C552F">
      <w:pPr>
        <w:ind w:left="23" w:right="38"/>
        <w:jc w:val="both"/>
        <w:rPr>
          <w:rFonts w:ascii="Abadi" w:hAnsi="Abadi"/>
          <w:sz w:val="21"/>
          <w:szCs w:val="21"/>
        </w:rPr>
      </w:pPr>
    </w:p>
    <w:p w14:paraId="594A2E76" w14:textId="60561D1A" w:rsidR="00E441D9" w:rsidRDefault="00E441D9" w:rsidP="003C552F">
      <w:pPr>
        <w:ind w:left="23" w:right="38"/>
        <w:jc w:val="both"/>
        <w:rPr>
          <w:rFonts w:ascii="Abadi" w:hAnsi="Abadi"/>
          <w:sz w:val="21"/>
          <w:szCs w:val="21"/>
        </w:rPr>
      </w:pPr>
      <w:r w:rsidRPr="005D1897">
        <w:rPr>
          <w:rFonts w:ascii="Abadi" w:hAnsi="Abadi"/>
          <w:sz w:val="21"/>
          <w:szCs w:val="21"/>
        </w:rPr>
        <w:t>En este sentido, es necesario contar con un marco geográfico electoral actualizado que permita garantizar la correcta asignación de cada ciudadana y ciudadano a la sección electoral que corresponda a su domicilio, previendo en todo momento el crecimiento natural de la población, ya que es obligación de esta autoridad electoral asegurar que el voto de las y los ciudadanos cuente con el mismo valor, siendo que la única manera de lograrlo es mantener una debida distribución de la población a través de la geografía electoral.</w:t>
      </w:r>
    </w:p>
    <w:p w14:paraId="62A74C54" w14:textId="77777777" w:rsidR="00E441D9" w:rsidRPr="005D1897" w:rsidRDefault="00E441D9" w:rsidP="00E441D9">
      <w:pPr>
        <w:ind w:left="23" w:right="38"/>
        <w:jc w:val="both"/>
        <w:rPr>
          <w:rFonts w:ascii="Abadi" w:hAnsi="Abadi"/>
          <w:sz w:val="21"/>
          <w:szCs w:val="21"/>
        </w:rPr>
      </w:pPr>
    </w:p>
    <w:p w14:paraId="0DE54EE5" w14:textId="77777777" w:rsidR="00E441D9" w:rsidRDefault="00E441D9" w:rsidP="00E441D9">
      <w:pPr>
        <w:ind w:left="23" w:right="38"/>
        <w:jc w:val="both"/>
        <w:rPr>
          <w:rFonts w:ascii="Abadi" w:hAnsi="Abadi"/>
          <w:sz w:val="21"/>
          <w:szCs w:val="21"/>
        </w:rPr>
      </w:pPr>
      <w:r w:rsidRPr="005D1897">
        <w:rPr>
          <w:rFonts w:ascii="Abadi" w:hAnsi="Abadi"/>
          <w:sz w:val="21"/>
          <w:szCs w:val="21"/>
        </w:rPr>
        <w:t xml:space="preserve">En la </w:t>
      </w:r>
      <w:proofErr w:type="spellStart"/>
      <w:r w:rsidRPr="005D1897">
        <w:rPr>
          <w:rFonts w:ascii="Abadi" w:hAnsi="Abadi"/>
          <w:sz w:val="21"/>
          <w:szCs w:val="21"/>
        </w:rPr>
        <w:t>re-distritación</w:t>
      </w:r>
      <w:proofErr w:type="spellEnd"/>
      <w:r w:rsidRPr="005D1897">
        <w:rPr>
          <w:rFonts w:ascii="Abadi" w:hAnsi="Abadi"/>
          <w:sz w:val="21"/>
          <w:szCs w:val="21"/>
        </w:rPr>
        <w:t xml:space="preserve"> que se realizó entre 2015 y 2016, se tuvieron dos cambios importantes: el Instituto Nacional Electoral se convirtió en la autoridad responsable de renovar la cartografía electoral local en cada una de las treinta y dos entidades federativas, así como la federal, y además se incluyó el concepto de reelección consecutiva, la cual sería vigente a partir de las elecciones de 2018.</w:t>
      </w:r>
    </w:p>
    <w:p w14:paraId="31105B7E" w14:textId="77777777" w:rsidR="00E441D9" w:rsidRPr="005D1897" w:rsidRDefault="00E441D9" w:rsidP="00E441D9">
      <w:pPr>
        <w:ind w:left="23" w:right="38"/>
        <w:jc w:val="both"/>
        <w:rPr>
          <w:rFonts w:ascii="Abadi" w:hAnsi="Abadi"/>
          <w:sz w:val="21"/>
          <w:szCs w:val="21"/>
        </w:rPr>
      </w:pPr>
    </w:p>
    <w:p w14:paraId="5B92C25E" w14:textId="77777777" w:rsidR="00E441D9" w:rsidRDefault="00E441D9" w:rsidP="00E441D9">
      <w:pPr>
        <w:ind w:left="23" w:right="38"/>
        <w:jc w:val="both"/>
        <w:rPr>
          <w:rFonts w:ascii="Abadi" w:hAnsi="Abadi"/>
          <w:sz w:val="21"/>
          <w:szCs w:val="21"/>
        </w:rPr>
      </w:pPr>
      <w:r w:rsidRPr="005D1897">
        <w:rPr>
          <w:rFonts w:ascii="Abadi" w:hAnsi="Abadi"/>
          <w:sz w:val="21"/>
          <w:szCs w:val="21"/>
        </w:rPr>
        <w:t>Ante la posibilidad de acceder a la elección consecutiva, tanto para Partidos Políticos como para las y los diputados locales del Estado, existe cierta incertidumbre respecto a que puedan alterarse de manera significativa los límites, espacio geográfico o en sí la propia conformación de su distrito que los llevó al cargo, antes de las próximas elecciones a celebrarse en el 2024.</w:t>
      </w:r>
    </w:p>
    <w:p w14:paraId="283788EF" w14:textId="77777777" w:rsidR="00E441D9" w:rsidRPr="005D1897" w:rsidRDefault="00E441D9" w:rsidP="00E441D9">
      <w:pPr>
        <w:ind w:left="23" w:right="38"/>
        <w:jc w:val="both"/>
        <w:rPr>
          <w:rFonts w:ascii="Abadi" w:hAnsi="Abadi"/>
          <w:sz w:val="21"/>
          <w:szCs w:val="21"/>
        </w:rPr>
      </w:pPr>
    </w:p>
    <w:p w14:paraId="758D0B2B" w14:textId="262E97FA" w:rsidR="00E441D9" w:rsidRDefault="00E441D9" w:rsidP="00E441D9">
      <w:pPr>
        <w:ind w:left="23" w:right="38"/>
        <w:jc w:val="both"/>
        <w:rPr>
          <w:rFonts w:ascii="Abadi" w:hAnsi="Abadi"/>
          <w:sz w:val="21"/>
          <w:szCs w:val="21"/>
        </w:rPr>
      </w:pPr>
      <w:r w:rsidRPr="005D1897">
        <w:rPr>
          <w:rFonts w:ascii="Abadi" w:hAnsi="Abadi"/>
          <w:sz w:val="21"/>
          <w:szCs w:val="21"/>
        </w:rPr>
        <w:t xml:space="preserve">Principalmente que el último censo data de 2020, donde seguramente será el punto de partida para analizar respecto de la pertinencia de una nueva </w:t>
      </w:r>
      <w:proofErr w:type="spellStart"/>
      <w:r w:rsidRPr="005D1897">
        <w:rPr>
          <w:rFonts w:ascii="Abadi" w:hAnsi="Abadi"/>
          <w:sz w:val="21"/>
          <w:szCs w:val="21"/>
        </w:rPr>
        <w:t>re-distritación</w:t>
      </w:r>
      <w:proofErr w:type="spellEnd"/>
      <w:r w:rsidRPr="005D1897">
        <w:rPr>
          <w:rFonts w:ascii="Abadi" w:hAnsi="Abadi"/>
          <w:sz w:val="21"/>
          <w:szCs w:val="21"/>
        </w:rPr>
        <w:t>, en donde las y los diputados electos en 2021 podrían aspirar a la elección consecutiva en las próximas elecciones de 2024.</w:t>
      </w:r>
    </w:p>
    <w:p w14:paraId="64891F38" w14:textId="77777777" w:rsidR="00E441D9" w:rsidRPr="005D1897" w:rsidRDefault="00E441D9" w:rsidP="00E441D9">
      <w:pPr>
        <w:ind w:left="23" w:right="38"/>
        <w:jc w:val="both"/>
        <w:rPr>
          <w:rFonts w:ascii="Abadi" w:hAnsi="Abadi"/>
          <w:sz w:val="21"/>
          <w:szCs w:val="21"/>
        </w:rPr>
      </w:pPr>
    </w:p>
    <w:p w14:paraId="3EF2625D" w14:textId="47282335" w:rsidR="00E441D9" w:rsidRDefault="00E441D9" w:rsidP="00E441D9">
      <w:pPr>
        <w:ind w:left="23" w:right="38"/>
        <w:jc w:val="both"/>
        <w:rPr>
          <w:rFonts w:ascii="Abadi" w:hAnsi="Abadi"/>
          <w:sz w:val="21"/>
          <w:szCs w:val="21"/>
        </w:rPr>
      </w:pPr>
      <w:r w:rsidRPr="005D1897">
        <w:rPr>
          <w:rFonts w:ascii="Abadi" w:hAnsi="Abadi"/>
          <w:sz w:val="21"/>
          <w:szCs w:val="21"/>
        </w:rPr>
        <w:t xml:space="preserve">Aunado a lo anterior, existe la posibilidad que el Instituto Nacional Electoral no lleve a cabo una nueva demarcación para las próximas elecciones; esto acarrearía una gran desventaja para las elecciones de 2024, ya que dejaría una seria afectación en cuanto a la conformación de los distritos, esto debido a un incremento sustancial de la población, por el hecho de que se mantendría la </w:t>
      </w:r>
      <w:proofErr w:type="spellStart"/>
      <w:r w:rsidRPr="005D1897">
        <w:rPr>
          <w:rFonts w:ascii="Abadi" w:hAnsi="Abadi"/>
          <w:sz w:val="21"/>
          <w:szCs w:val="21"/>
        </w:rPr>
        <w:t>distritación</w:t>
      </w:r>
      <w:proofErr w:type="spellEnd"/>
      <w:r w:rsidRPr="005D1897">
        <w:rPr>
          <w:rFonts w:ascii="Abadi" w:hAnsi="Abadi"/>
          <w:sz w:val="21"/>
          <w:szCs w:val="21"/>
        </w:rPr>
        <w:t xml:space="preserve"> actual con información del Censo de 2010, es decir, se tendría un desface de entre doce a catorce años, lo que en consecuencia existiría una variación poblacional importante al mantener la misma distribución.</w:t>
      </w:r>
    </w:p>
    <w:p w14:paraId="69DB8949" w14:textId="77777777" w:rsidR="00E441D9" w:rsidRPr="005D1897" w:rsidRDefault="00E441D9" w:rsidP="00E441D9">
      <w:pPr>
        <w:ind w:left="23" w:right="38"/>
        <w:jc w:val="both"/>
        <w:rPr>
          <w:rFonts w:ascii="Abadi" w:hAnsi="Abadi"/>
          <w:sz w:val="21"/>
          <w:szCs w:val="21"/>
        </w:rPr>
      </w:pPr>
    </w:p>
    <w:p w14:paraId="73B4596E" w14:textId="77777777" w:rsidR="00E441D9" w:rsidRPr="005D1897" w:rsidRDefault="00E441D9" w:rsidP="00E441D9">
      <w:pPr>
        <w:spacing w:after="406"/>
        <w:ind w:left="23" w:right="38"/>
        <w:jc w:val="both"/>
        <w:rPr>
          <w:rFonts w:ascii="Abadi" w:hAnsi="Abadi"/>
          <w:sz w:val="21"/>
          <w:szCs w:val="21"/>
        </w:rPr>
      </w:pPr>
      <w:r w:rsidRPr="005D1897">
        <w:rPr>
          <w:rFonts w:ascii="Abadi" w:hAnsi="Abadi"/>
          <w:sz w:val="21"/>
          <w:szCs w:val="21"/>
        </w:rPr>
        <w:t>Debemos tener en cuenta que debido a los cambios constantes como resultado de la dinámica poblacional, la migración y otro factor como la pandemia COVID-19, el número de ciudadanos en cada distrito seguramente tiene algunas variaciones, lo que altera el equilibrio y hace necesaria una revisión periódica de su dimensión o magnitud, por lo que lo conveniente en estos momentos sería que el Instituto Nacional Electoral, realizará un análisis respectivo tomando como base el último Censo de Población y Vivienda realizado en el año 2020.</w:t>
      </w:r>
    </w:p>
    <w:p w14:paraId="68D7D462" w14:textId="77777777" w:rsidR="00E441D9" w:rsidRPr="005D1897" w:rsidRDefault="00E441D9" w:rsidP="00E441D9">
      <w:pPr>
        <w:spacing w:after="327"/>
        <w:ind w:left="23" w:right="38"/>
        <w:jc w:val="both"/>
        <w:rPr>
          <w:rFonts w:ascii="Abadi" w:hAnsi="Abadi"/>
          <w:sz w:val="21"/>
          <w:szCs w:val="21"/>
        </w:rPr>
      </w:pPr>
      <w:r w:rsidRPr="005D1897">
        <w:rPr>
          <w:rFonts w:ascii="Abadi" w:hAnsi="Abadi"/>
          <w:sz w:val="21"/>
          <w:szCs w:val="21"/>
        </w:rPr>
        <w:t xml:space="preserve">Por lo anterior, existe una alta posibilidad que los partidos políticos, las y los diputados locales al Congreso del Estado pretendan o tengan la intención de postularse de nueva cuenta, accediendo así a una elección consecutiva, sin embargo, también existe una incertidumbre respecto a que las demarcaciones distritales o integración de los distritos se modifiquen, aunque a la fecha el Instituto Nacional Electoral no ha definido al respecto, ya que se tiene conocimiento que está realizando algunas consultas relacionadas con el tema, por lo que resulta necesario y pertinente adecuar la norma con la finalidad de prever el escenario posible, en caso de una reasignación de distritos o </w:t>
      </w:r>
      <w:proofErr w:type="spellStart"/>
      <w:r w:rsidRPr="005D1897">
        <w:rPr>
          <w:rFonts w:ascii="Abadi" w:hAnsi="Abadi"/>
          <w:sz w:val="21"/>
          <w:szCs w:val="21"/>
        </w:rPr>
        <w:t>redistritación</w:t>
      </w:r>
      <w:proofErr w:type="spellEnd"/>
      <w:r w:rsidRPr="005D1897">
        <w:rPr>
          <w:rFonts w:ascii="Abadi" w:hAnsi="Abadi"/>
          <w:sz w:val="21"/>
          <w:szCs w:val="21"/>
        </w:rPr>
        <w:t xml:space="preserve"> propiamente dicho, que permita acceder y dar certeza a los aspirantes a una elección consecutiva.</w:t>
      </w:r>
    </w:p>
    <w:p w14:paraId="3AFBA485" w14:textId="77777777" w:rsidR="00E441D9" w:rsidRDefault="00E441D9" w:rsidP="00E441D9">
      <w:pPr>
        <w:ind w:left="23" w:right="38"/>
        <w:jc w:val="both"/>
        <w:rPr>
          <w:rFonts w:ascii="Abadi" w:hAnsi="Abadi"/>
          <w:sz w:val="21"/>
          <w:szCs w:val="21"/>
        </w:rPr>
      </w:pPr>
      <w:r w:rsidRPr="005D1897">
        <w:rPr>
          <w:rFonts w:ascii="Abadi" w:hAnsi="Abadi"/>
          <w:sz w:val="21"/>
          <w:szCs w:val="21"/>
        </w:rPr>
        <w:t>Por último, es importante señalar que, esta iniciativa es acorde a la Agenda</w:t>
      </w:r>
      <w:r>
        <w:rPr>
          <w:rFonts w:ascii="Abadi" w:hAnsi="Abadi"/>
          <w:sz w:val="21"/>
          <w:szCs w:val="21"/>
        </w:rPr>
        <w:t xml:space="preserve"> </w:t>
      </w:r>
      <w:r w:rsidRPr="005D1897">
        <w:rPr>
          <w:rFonts w:ascii="Abadi" w:hAnsi="Abadi"/>
          <w:sz w:val="21"/>
          <w:szCs w:val="21"/>
        </w:rPr>
        <w:t>«Acciones Legislativas 2021-2024» presentada por el Grupo Parlamentario del Partido Acción Nacional, direccionada al eje 3, denominado «Paz, Democracia e Instituciones Fuertes», al garantizar la certeza a los principios básicos de una representación democrática de los guanajuatenses, al establecer reglas claras al momento de solicitar el registro a una elección consecutiva.</w:t>
      </w:r>
    </w:p>
    <w:p w14:paraId="62E351E3" w14:textId="77777777" w:rsidR="00E441D9" w:rsidRPr="005D1897" w:rsidRDefault="00E441D9" w:rsidP="00E441D9">
      <w:pPr>
        <w:ind w:left="23" w:right="38"/>
        <w:jc w:val="both"/>
        <w:rPr>
          <w:rFonts w:ascii="Abadi" w:hAnsi="Abadi"/>
          <w:sz w:val="21"/>
          <w:szCs w:val="21"/>
        </w:rPr>
      </w:pPr>
    </w:p>
    <w:p w14:paraId="45C96DEC" w14:textId="77777777" w:rsidR="00E441D9" w:rsidRPr="005D1897" w:rsidRDefault="00E441D9" w:rsidP="00E441D9">
      <w:pPr>
        <w:spacing w:after="193"/>
        <w:ind w:left="23" w:right="38"/>
        <w:jc w:val="both"/>
        <w:rPr>
          <w:rFonts w:ascii="Abadi" w:hAnsi="Abadi"/>
          <w:sz w:val="21"/>
          <w:szCs w:val="21"/>
        </w:rPr>
      </w:pPr>
      <w:r w:rsidRPr="005D1897">
        <w:rPr>
          <w:rFonts w:ascii="Abadi" w:hAnsi="Abadi"/>
          <w:sz w:val="21"/>
          <w:szCs w:val="21"/>
        </w:rPr>
        <w:t>De igual forma, esta iniciativa está orientada con el objetivo 16 de la Agenda 2030 para el Desarrollo Sostenible, que adoptara la Asamblea General de la Organización de las Naciones Unidas, en términos generales, deben promoverse sociedades pacíficas e inclusivas para el desarrollo sostenible, creando instituciones eficaces, responsables e inclusivas a todos los niveles, garantizando la integración del Congreso del Estado, de legisladores con experiencia y profesionalizados en el quehacer legislativo, en beneficio de los ciudadanos guanajuatenses y de sus habitantes en general.</w:t>
      </w:r>
    </w:p>
    <w:p w14:paraId="5B8AC542" w14:textId="77777777" w:rsidR="00E441D9" w:rsidRPr="005D1897" w:rsidRDefault="00E441D9" w:rsidP="00E441D9">
      <w:pPr>
        <w:spacing w:after="482"/>
        <w:ind w:left="23" w:right="38"/>
        <w:jc w:val="both"/>
        <w:rPr>
          <w:rFonts w:ascii="Abadi" w:hAnsi="Abadi"/>
          <w:sz w:val="21"/>
          <w:szCs w:val="21"/>
        </w:rPr>
      </w:pPr>
      <w:r w:rsidRPr="005D1897">
        <w:rPr>
          <w:rFonts w:ascii="Abadi" w:hAnsi="Abadi"/>
          <w:sz w:val="21"/>
          <w:szCs w:val="21"/>
        </w:rPr>
        <w:t>Finalmente, de conformidad con lo establecido en el artículo 209 de la Ley Orgánica del Poder Legislativo del Estado de Guanajuato, la iniciativa presenta los siguientes impactos:</w:t>
      </w:r>
    </w:p>
    <w:p w14:paraId="75BE5C99" w14:textId="77777777" w:rsidR="00E441D9" w:rsidRPr="00E441D9" w:rsidRDefault="00E441D9" w:rsidP="00343CA9">
      <w:pPr>
        <w:pStyle w:val="Prrafodelista"/>
        <w:numPr>
          <w:ilvl w:val="0"/>
          <w:numId w:val="33"/>
        </w:numPr>
        <w:ind w:right="38"/>
        <w:contextualSpacing/>
        <w:jc w:val="both"/>
        <w:rPr>
          <w:rFonts w:ascii="Abadi" w:hAnsi="Abadi"/>
          <w:sz w:val="21"/>
          <w:szCs w:val="21"/>
        </w:rPr>
      </w:pPr>
      <w:r w:rsidRPr="00E441D9">
        <w:rPr>
          <w:rFonts w:ascii="Abadi" w:hAnsi="Abadi"/>
          <w:b/>
          <w:bCs/>
          <w:sz w:val="21"/>
          <w:szCs w:val="21"/>
        </w:rPr>
        <w:t>Impacto Jurídico:</w:t>
      </w:r>
      <w:r w:rsidRPr="00E441D9">
        <w:rPr>
          <w:rFonts w:ascii="Abadi" w:hAnsi="Abadi"/>
          <w:sz w:val="21"/>
          <w:szCs w:val="21"/>
        </w:rPr>
        <w:t xml:space="preserve">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el artículo 37 de la Constitución Política local establece que el Poder Legislativo se deposita en una Asamblea denominada Congreso del Estado Libre y Soberano de Guanajuato; es por lo que se presenta la iniciativa de establecer de manera expresa reglas respecto a la elección consecutiva de los aspirantes a candidaturas de diputaciones por Mayoría Relativa, incorporando un párrafo cuarto y quinto al artículo 14 de la Ley de Instituciones y Procedimientos Electorales para el Estado de Guanajuato.</w:t>
      </w:r>
    </w:p>
    <w:p w14:paraId="22F361CE" w14:textId="77777777" w:rsidR="00E441D9" w:rsidRPr="00E441D9" w:rsidRDefault="00E441D9" w:rsidP="003C552F">
      <w:pPr>
        <w:pStyle w:val="Prrafodelista"/>
        <w:ind w:left="720" w:right="38"/>
        <w:jc w:val="both"/>
        <w:rPr>
          <w:rFonts w:ascii="Abadi" w:hAnsi="Abadi"/>
          <w:sz w:val="21"/>
          <w:szCs w:val="21"/>
        </w:rPr>
      </w:pPr>
    </w:p>
    <w:p w14:paraId="6DFBD800" w14:textId="77777777" w:rsidR="00E441D9" w:rsidRPr="00E441D9" w:rsidRDefault="00E441D9" w:rsidP="00343CA9">
      <w:pPr>
        <w:pStyle w:val="Prrafodelista"/>
        <w:numPr>
          <w:ilvl w:val="0"/>
          <w:numId w:val="33"/>
        </w:numPr>
        <w:ind w:right="38"/>
        <w:contextualSpacing/>
        <w:jc w:val="both"/>
        <w:rPr>
          <w:rFonts w:ascii="Abadi" w:hAnsi="Abadi"/>
          <w:sz w:val="21"/>
          <w:szCs w:val="21"/>
        </w:rPr>
      </w:pPr>
      <w:r w:rsidRPr="00E441D9">
        <w:rPr>
          <w:rFonts w:ascii="Abadi" w:hAnsi="Abadi"/>
          <w:b/>
          <w:bCs/>
          <w:sz w:val="21"/>
          <w:szCs w:val="21"/>
        </w:rPr>
        <w:t>Impacto Administrativo:</w:t>
      </w:r>
      <w:r w:rsidRPr="00E441D9">
        <w:rPr>
          <w:rFonts w:ascii="Abadi" w:hAnsi="Abadi"/>
          <w:sz w:val="21"/>
          <w:szCs w:val="21"/>
        </w:rPr>
        <w:t xml:space="preserve"> La iniciativa que se plantea en razón de los alcances y naturaleza de la presente iniciativa que se propone, no se genera impacto de tipo administrativo alguno.</w:t>
      </w:r>
    </w:p>
    <w:p w14:paraId="719A72BB" w14:textId="77777777" w:rsidR="00E441D9" w:rsidRPr="00E441D9" w:rsidRDefault="00E441D9" w:rsidP="003C552F">
      <w:pPr>
        <w:pStyle w:val="Prrafodelista"/>
        <w:jc w:val="both"/>
        <w:rPr>
          <w:rFonts w:ascii="Abadi" w:hAnsi="Abadi"/>
          <w:sz w:val="21"/>
          <w:szCs w:val="21"/>
        </w:rPr>
      </w:pPr>
    </w:p>
    <w:p w14:paraId="4D305E27" w14:textId="79608F61" w:rsidR="00E441D9" w:rsidRDefault="00E441D9" w:rsidP="00343CA9">
      <w:pPr>
        <w:pStyle w:val="Prrafodelista"/>
        <w:numPr>
          <w:ilvl w:val="0"/>
          <w:numId w:val="33"/>
        </w:numPr>
        <w:ind w:right="38"/>
        <w:contextualSpacing/>
        <w:jc w:val="both"/>
        <w:rPr>
          <w:rFonts w:ascii="Abadi" w:hAnsi="Abadi"/>
          <w:sz w:val="21"/>
          <w:szCs w:val="21"/>
        </w:rPr>
      </w:pPr>
      <w:r w:rsidRPr="00E441D9">
        <w:rPr>
          <w:rFonts w:ascii="Abadi" w:hAnsi="Abadi"/>
          <w:b/>
          <w:bCs/>
          <w:sz w:val="21"/>
          <w:szCs w:val="21"/>
        </w:rPr>
        <w:t>Impacto Presupuestario:</w:t>
      </w:r>
      <w:r w:rsidRPr="00E441D9">
        <w:rPr>
          <w:rFonts w:ascii="Abadi" w:hAnsi="Abadi"/>
          <w:sz w:val="21"/>
          <w:szCs w:val="21"/>
        </w:rPr>
        <w:t xml:space="preserve"> Considerando que la iniciativa que aquí presentamos no implica la creación de nuevas plazas ni un gasto nuevo para contemplarse dentro del presupuesto estatal.</w:t>
      </w:r>
    </w:p>
    <w:p w14:paraId="0869685D" w14:textId="77777777" w:rsidR="00BE52F3" w:rsidRPr="00BE52F3" w:rsidRDefault="00BE52F3" w:rsidP="00BE52F3">
      <w:pPr>
        <w:ind w:right="38"/>
        <w:contextualSpacing/>
        <w:jc w:val="both"/>
        <w:rPr>
          <w:rFonts w:ascii="Abadi" w:hAnsi="Abadi"/>
          <w:sz w:val="21"/>
          <w:szCs w:val="21"/>
        </w:rPr>
      </w:pPr>
    </w:p>
    <w:p w14:paraId="5398DF80" w14:textId="34B4D628" w:rsidR="00E441D9" w:rsidRDefault="00E441D9" w:rsidP="00343CA9">
      <w:pPr>
        <w:numPr>
          <w:ilvl w:val="0"/>
          <w:numId w:val="33"/>
        </w:numPr>
        <w:ind w:right="38"/>
        <w:jc w:val="both"/>
        <w:rPr>
          <w:rFonts w:ascii="Abadi" w:hAnsi="Abadi"/>
          <w:sz w:val="21"/>
          <w:szCs w:val="21"/>
        </w:rPr>
      </w:pPr>
      <w:r w:rsidRPr="00E441D9">
        <w:rPr>
          <w:rFonts w:ascii="Abadi" w:hAnsi="Abadi"/>
          <w:b/>
          <w:bCs/>
          <w:sz w:val="21"/>
          <w:szCs w:val="21"/>
        </w:rPr>
        <w:t>Impacto Social:</w:t>
      </w:r>
      <w:r w:rsidRPr="00E441D9">
        <w:rPr>
          <w:rFonts w:ascii="Abadi" w:hAnsi="Abadi"/>
          <w:sz w:val="21"/>
          <w:szCs w:val="21"/>
        </w:rPr>
        <w:t xml:space="preserve"> Se traduce en garantizar la representación de los intereses de los ciudadanos guanajuatenses al garantizar su derecho humano de votar y ser votado, en favor de una profesionalización de las y los</w:t>
      </w:r>
      <w:r w:rsidRPr="005D1897">
        <w:rPr>
          <w:rFonts w:ascii="Abadi" w:hAnsi="Abadi"/>
          <w:sz w:val="21"/>
          <w:szCs w:val="21"/>
        </w:rPr>
        <w:t xml:space="preserve"> diputados, como representantes de los guanajuatenses.</w:t>
      </w:r>
    </w:p>
    <w:p w14:paraId="18888870" w14:textId="77777777" w:rsidR="003C552F" w:rsidRPr="005D1897" w:rsidRDefault="003C552F" w:rsidP="003C552F">
      <w:pPr>
        <w:ind w:left="720" w:right="38"/>
        <w:jc w:val="both"/>
        <w:rPr>
          <w:rFonts w:ascii="Abadi" w:hAnsi="Abadi"/>
          <w:sz w:val="21"/>
          <w:szCs w:val="21"/>
        </w:rPr>
      </w:pPr>
    </w:p>
    <w:p w14:paraId="2AC30978" w14:textId="77777777" w:rsidR="00E441D9" w:rsidRPr="005D1897" w:rsidRDefault="00E441D9" w:rsidP="003C552F">
      <w:pPr>
        <w:ind w:left="23" w:right="38"/>
        <w:jc w:val="both"/>
        <w:rPr>
          <w:rFonts w:ascii="Abadi" w:hAnsi="Abadi"/>
          <w:sz w:val="21"/>
          <w:szCs w:val="21"/>
        </w:rPr>
      </w:pPr>
      <w:r w:rsidRPr="005D1897">
        <w:rPr>
          <w:rFonts w:ascii="Abadi" w:hAnsi="Abadi"/>
          <w:sz w:val="21"/>
          <w:szCs w:val="21"/>
        </w:rPr>
        <w:t>Por lo anteriormente expuesto, las y los Diputados integrantes del Grupo Parlamentario del Partido Acción Nacional, nos permitimos someter a la consideración de esta Asamblea, el siguiente proyecto de:</w:t>
      </w:r>
      <w:r w:rsidRPr="005D1897">
        <w:rPr>
          <w:rFonts w:ascii="Abadi" w:hAnsi="Abadi"/>
          <w:noProof/>
          <w:sz w:val="21"/>
          <w:szCs w:val="21"/>
        </w:rPr>
        <w:drawing>
          <wp:inline distT="0" distB="0" distL="0" distR="0" wp14:anchorId="5AD4EC01" wp14:editId="356ED049">
            <wp:extent cx="3048" cy="3049"/>
            <wp:effectExtent l="0" t="0" r="0" b="0"/>
            <wp:docPr id="22849" name="Picture 22849"/>
            <wp:cNvGraphicFramePr/>
            <a:graphic xmlns:a="http://schemas.openxmlformats.org/drawingml/2006/main">
              <a:graphicData uri="http://schemas.openxmlformats.org/drawingml/2006/picture">
                <pic:pic xmlns:pic="http://schemas.openxmlformats.org/drawingml/2006/picture">
                  <pic:nvPicPr>
                    <pic:cNvPr id="22849" name="Picture 22849"/>
                    <pic:cNvPicPr/>
                  </pic:nvPicPr>
                  <pic:blipFill>
                    <a:blip r:embed="rId25"/>
                    <a:stretch>
                      <a:fillRect/>
                    </a:stretch>
                  </pic:blipFill>
                  <pic:spPr>
                    <a:xfrm>
                      <a:off x="0" y="0"/>
                      <a:ext cx="3048" cy="3049"/>
                    </a:xfrm>
                    <a:prstGeom prst="rect">
                      <a:avLst/>
                    </a:prstGeom>
                  </pic:spPr>
                </pic:pic>
              </a:graphicData>
            </a:graphic>
          </wp:inline>
        </w:drawing>
      </w:r>
    </w:p>
    <w:p w14:paraId="174EFD83" w14:textId="77777777" w:rsidR="00E441D9" w:rsidRDefault="00E441D9" w:rsidP="003C552F">
      <w:pPr>
        <w:ind w:left="23" w:right="38"/>
        <w:jc w:val="both"/>
        <w:rPr>
          <w:rFonts w:ascii="Abadi" w:hAnsi="Abadi"/>
          <w:sz w:val="21"/>
          <w:szCs w:val="21"/>
        </w:rPr>
      </w:pPr>
    </w:p>
    <w:p w14:paraId="488287CA" w14:textId="77777777" w:rsidR="005A54A4" w:rsidRDefault="005A54A4" w:rsidP="00886BA8">
      <w:pPr>
        <w:ind w:left="23" w:right="38"/>
        <w:jc w:val="center"/>
        <w:rPr>
          <w:rFonts w:ascii="Abadi" w:hAnsi="Abadi"/>
          <w:b/>
          <w:bCs/>
          <w:sz w:val="21"/>
          <w:szCs w:val="21"/>
        </w:rPr>
      </w:pPr>
    </w:p>
    <w:p w14:paraId="4C6057EA" w14:textId="4CDCAA6A" w:rsidR="00E441D9" w:rsidRPr="0045303C" w:rsidRDefault="00E441D9" w:rsidP="00886BA8">
      <w:pPr>
        <w:ind w:left="23" w:right="38"/>
        <w:jc w:val="center"/>
        <w:rPr>
          <w:rFonts w:ascii="Abadi" w:hAnsi="Abadi"/>
          <w:b/>
          <w:bCs/>
          <w:sz w:val="21"/>
          <w:szCs w:val="21"/>
        </w:rPr>
      </w:pPr>
      <w:r w:rsidRPr="0045303C">
        <w:rPr>
          <w:rFonts w:ascii="Abadi" w:hAnsi="Abadi"/>
          <w:b/>
          <w:bCs/>
          <w:sz w:val="21"/>
          <w:szCs w:val="21"/>
        </w:rPr>
        <w:t>D</w:t>
      </w:r>
      <w:r>
        <w:rPr>
          <w:rFonts w:ascii="Abadi" w:hAnsi="Abadi"/>
          <w:b/>
          <w:bCs/>
          <w:sz w:val="21"/>
          <w:szCs w:val="21"/>
        </w:rPr>
        <w:t xml:space="preserve"> </w:t>
      </w:r>
      <w:r w:rsidRPr="0045303C">
        <w:rPr>
          <w:rFonts w:ascii="Abadi" w:hAnsi="Abadi"/>
          <w:b/>
          <w:bCs/>
          <w:sz w:val="21"/>
          <w:szCs w:val="21"/>
        </w:rPr>
        <w:t>E</w:t>
      </w:r>
      <w:r>
        <w:rPr>
          <w:rFonts w:ascii="Abadi" w:hAnsi="Abadi"/>
          <w:b/>
          <w:bCs/>
          <w:sz w:val="21"/>
          <w:szCs w:val="21"/>
        </w:rPr>
        <w:t xml:space="preserve"> </w:t>
      </w:r>
      <w:r w:rsidRPr="0045303C">
        <w:rPr>
          <w:rFonts w:ascii="Abadi" w:hAnsi="Abadi"/>
          <w:b/>
          <w:bCs/>
          <w:sz w:val="21"/>
          <w:szCs w:val="21"/>
        </w:rPr>
        <w:t>C</w:t>
      </w:r>
      <w:r>
        <w:rPr>
          <w:rFonts w:ascii="Abadi" w:hAnsi="Abadi"/>
          <w:b/>
          <w:bCs/>
          <w:sz w:val="21"/>
          <w:szCs w:val="21"/>
        </w:rPr>
        <w:t xml:space="preserve"> </w:t>
      </w:r>
      <w:r w:rsidRPr="0045303C">
        <w:rPr>
          <w:rFonts w:ascii="Abadi" w:hAnsi="Abadi"/>
          <w:b/>
          <w:bCs/>
          <w:sz w:val="21"/>
          <w:szCs w:val="21"/>
        </w:rPr>
        <w:t>R</w:t>
      </w:r>
      <w:r>
        <w:rPr>
          <w:rFonts w:ascii="Abadi" w:hAnsi="Abadi"/>
          <w:b/>
          <w:bCs/>
          <w:sz w:val="21"/>
          <w:szCs w:val="21"/>
        </w:rPr>
        <w:t xml:space="preserve"> </w:t>
      </w:r>
      <w:r w:rsidRPr="0045303C">
        <w:rPr>
          <w:rFonts w:ascii="Abadi" w:hAnsi="Abadi"/>
          <w:b/>
          <w:bCs/>
          <w:sz w:val="21"/>
          <w:szCs w:val="21"/>
        </w:rPr>
        <w:t>E</w:t>
      </w:r>
      <w:r>
        <w:rPr>
          <w:rFonts w:ascii="Abadi" w:hAnsi="Abadi"/>
          <w:b/>
          <w:bCs/>
          <w:sz w:val="21"/>
          <w:szCs w:val="21"/>
        </w:rPr>
        <w:t xml:space="preserve"> </w:t>
      </w:r>
      <w:r w:rsidRPr="0045303C">
        <w:rPr>
          <w:rFonts w:ascii="Abadi" w:hAnsi="Abadi"/>
          <w:b/>
          <w:bCs/>
          <w:sz w:val="21"/>
          <w:szCs w:val="21"/>
        </w:rPr>
        <w:t>T</w:t>
      </w:r>
      <w:r>
        <w:rPr>
          <w:rFonts w:ascii="Abadi" w:hAnsi="Abadi"/>
          <w:b/>
          <w:bCs/>
          <w:sz w:val="21"/>
          <w:szCs w:val="21"/>
        </w:rPr>
        <w:t xml:space="preserve"> </w:t>
      </w:r>
      <w:r w:rsidRPr="0045303C">
        <w:rPr>
          <w:rFonts w:ascii="Abadi" w:hAnsi="Abadi"/>
          <w:b/>
          <w:bCs/>
          <w:sz w:val="21"/>
          <w:szCs w:val="21"/>
        </w:rPr>
        <w:t>O</w:t>
      </w:r>
    </w:p>
    <w:p w14:paraId="2719973B" w14:textId="77777777" w:rsidR="00E441D9" w:rsidRPr="005D1897" w:rsidRDefault="00E441D9" w:rsidP="00E441D9">
      <w:pPr>
        <w:ind w:left="23" w:right="38"/>
        <w:jc w:val="both"/>
        <w:rPr>
          <w:rFonts w:ascii="Abadi" w:hAnsi="Abadi"/>
          <w:sz w:val="21"/>
          <w:szCs w:val="21"/>
        </w:rPr>
      </w:pPr>
    </w:p>
    <w:p w14:paraId="1BCB8981" w14:textId="1373F28F" w:rsidR="00E441D9" w:rsidRDefault="00E441D9" w:rsidP="003C552F">
      <w:pPr>
        <w:ind w:right="38"/>
        <w:jc w:val="both"/>
        <w:rPr>
          <w:rFonts w:ascii="Abadi" w:hAnsi="Abadi"/>
          <w:sz w:val="21"/>
          <w:szCs w:val="21"/>
        </w:rPr>
      </w:pPr>
      <w:r w:rsidRPr="0045303C">
        <w:rPr>
          <w:rFonts w:ascii="Abadi" w:hAnsi="Abadi"/>
          <w:b/>
          <w:bCs/>
          <w:sz w:val="21"/>
          <w:szCs w:val="21"/>
        </w:rPr>
        <w:t>Artículo único.</w:t>
      </w:r>
      <w:r w:rsidRPr="005D1897">
        <w:rPr>
          <w:rFonts w:ascii="Abadi" w:hAnsi="Abadi"/>
          <w:sz w:val="21"/>
          <w:szCs w:val="21"/>
        </w:rPr>
        <w:t xml:space="preserve"> Se adicionan un párrafo cuarto y quinto al artículo 14, recorriéndose los párrafos subsecuentes en su orden establecido, de la Ley de Instituciones y Procedimientos Electorales para el Estado de Guanajuato.</w:t>
      </w:r>
    </w:p>
    <w:p w14:paraId="622D1F94" w14:textId="77777777" w:rsidR="003C552F" w:rsidRPr="005D1897" w:rsidRDefault="003C552F" w:rsidP="003C552F">
      <w:pPr>
        <w:ind w:right="38"/>
        <w:jc w:val="both"/>
        <w:rPr>
          <w:rFonts w:ascii="Abadi" w:hAnsi="Abadi"/>
          <w:sz w:val="21"/>
          <w:szCs w:val="21"/>
        </w:rPr>
      </w:pPr>
    </w:p>
    <w:p w14:paraId="05420FE2" w14:textId="77777777" w:rsidR="00E441D9" w:rsidRPr="005D1897" w:rsidRDefault="00E441D9" w:rsidP="003C552F">
      <w:pPr>
        <w:ind w:left="29" w:right="38"/>
        <w:jc w:val="both"/>
        <w:rPr>
          <w:rFonts w:ascii="Abadi" w:hAnsi="Abadi"/>
          <w:sz w:val="21"/>
          <w:szCs w:val="21"/>
        </w:rPr>
      </w:pPr>
      <w:r w:rsidRPr="0045303C">
        <w:rPr>
          <w:rFonts w:ascii="Abadi" w:hAnsi="Abadi"/>
          <w:b/>
          <w:bCs/>
          <w:sz w:val="21"/>
          <w:szCs w:val="21"/>
        </w:rPr>
        <w:t>Artículo 14.</w:t>
      </w:r>
      <w:r w:rsidRPr="005D1897">
        <w:rPr>
          <w:rFonts w:ascii="Abadi" w:hAnsi="Abadi"/>
          <w:sz w:val="21"/>
          <w:szCs w:val="21"/>
        </w:rPr>
        <w:t xml:space="preserve"> El Poder Legislativo...</w:t>
      </w:r>
    </w:p>
    <w:p w14:paraId="33F2430C" w14:textId="77777777" w:rsidR="003C552F" w:rsidRDefault="003C552F" w:rsidP="003C552F">
      <w:pPr>
        <w:ind w:left="29" w:right="38"/>
        <w:jc w:val="both"/>
        <w:rPr>
          <w:rFonts w:ascii="Abadi" w:hAnsi="Abadi"/>
          <w:sz w:val="21"/>
          <w:szCs w:val="21"/>
        </w:rPr>
      </w:pPr>
    </w:p>
    <w:p w14:paraId="52681177" w14:textId="09594AD1" w:rsidR="00E441D9" w:rsidRDefault="00E441D9" w:rsidP="003C552F">
      <w:pPr>
        <w:ind w:left="29" w:right="38"/>
        <w:jc w:val="both"/>
        <w:rPr>
          <w:rFonts w:ascii="Abadi" w:hAnsi="Abadi"/>
          <w:sz w:val="21"/>
          <w:szCs w:val="21"/>
        </w:rPr>
      </w:pPr>
      <w:r w:rsidRPr="005D1897">
        <w:rPr>
          <w:rFonts w:ascii="Abadi" w:hAnsi="Abadi"/>
          <w:sz w:val="21"/>
          <w:szCs w:val="21"/>
        </w:rPr>
        <w:t>Los diputados podrán.</w:t>
      </w:r>
    </w:p>
    <w:p w14:paraId="4A1567A9" w14:textId="77777777" w:rsidR="00886BA8" w:rsidRPr="005D1897" w:rsidRDefault="00886BA8" w:rsidP="003C552F">
      <w:pPr>
        <w:ind w:left="29" w:right="38"/>
        <w:jc w:val="both"/>
        <w:rPr>
          <w:rFonts w:ascii="Abadi" w:hAnsi="Abadi"/>
          <w:sz w:val="21"/>
          <w:szCs w:val="21"/>
        </w:rPr>
      </w:pPr>
    </w:p>
    <w:p w14:paraId="7D72DD31" w14:textId="77777777" w:rsidR="00E441D9" w:rsidRDefault="00E441D9" w:rsidP="003C552F">
      <w:pPr>
        <w:ind w:right="38"/>
        <w:jc w:val="both"/>
        <w:rPr>
          <w:rFonts w:ascii="Abadi" w:hAnsi="Abadi"/>
          <w:sz w:val="21"/>
          <w:szCs w:val="21"/>
        </w:rPr>
      </w:pPr>
      <w:r w:rsidRPr="005D1897">
        <w:rPr>
          <w:rFonts w:ascii="Abadi" w:hAnsi="Abadi"/>
          <w:sz w:val="21"/>
          <w:szCs w:val="21"/>
        </w:rPr>
        <w:t>Serán sujetos de elección consecutiva...</w:t>
      </w:r>
    </w:p>
    <w:p w14:paraId="3A9C8E46" w14:textId="77777777" w:rsidR="00E441D9" w:rsidRPr="005D1897" w:rsidRDefault="00E441D9" w:rsidP="003C552F">
      <w:pPr>
        <w:ind w:left="29" w:right="38"/>
        <w:jc w:val="both"/>
        <w:rPr>
          <w:rFonts w:ascii="Abadi" w:hAnsi="Abadi"/>
          <w:sz w:val="21"/>
          <w:szCs w:val="21"/>
        </w:rPr>
      </w:pPr>
    </w:p>
    <w:p w14:paraId="230AD572" w14:textId="32369F21" w:rsidR="00E441D9" w:rsidRDefault="00E441D9" w:rsidP="003C552F">
      <w:pPr>
        <w:jc w:val="both"/>
        <w:rPr>
          <w:rFonts w:ascii="Abadi" w:hAnsi="Abadi"/>
          <w:b/>
          <w:bCs/>
          <w:sz w:val="21"/>
          <w:szCs w:val="21"/>
        </w:rPr>
      </w:pPr>
      <w:r w:rsidRPr="0045303C">
        <w:rPr>
          <w:rFonts w:ascii="Abadi" w:hAnsi="Abadi"/>
          <w:b/>
          <w:bCs/>
          <w:sz w:val="21"/>
          <w:szCs w:val="21"/>
        </w:rPr>
        <w:t>En caso de una nueva conformación en los distritos electorales, los diputados sujetos a elección consecutiva podrán postularse independientemente del número de distrito o de la composición que les corresponda, siempre y cuando comprenda alguno de los municipios que integran o formaban parte del distrito por el cual fueron electos.</w:t>
      </w:r>
    </w:p>
    <w:p w14:paraId="74837B91" w14:textId="77777777" w:rsidR="00886BA8" w:rsidRDefault="00886BA8" w:rsidP="003C552F">
      <w:pPr>
        <w:jc w:val="both"/>
        <w:rPr>
          <w:rFonts w:ascii="Abadi" w:hAnsi="Abadi"/>
          <w:b/>
          <w:bCs/>
          <w:sz w:val="21"/>
          <w:szCs w:val="21"/>
        </w:rPr>
      </w:pPr>
    </w:p>
    <w:p w14:paraId="71AB2ADC" w14:textId="7002E36C" w:rsidR="00E441D9" w:rsidRDefault="00E441D9" w:rsidP="003C552F">
      <w:pPr>
        <w:ind w:left="29" w:firstLine="4"/>
        <w:jc w:val="both"/>
        <w:rPr>
          <w:rFonts w:ascii="Abadi" w:hAnsi="Abadi"/>
          <w:b/>
          <w:bCs/>
          <w:sz w:val="21"/>
          <w:szCs w:val="21"/>
        </w:rPr>
      </w:pPr>
      <w:r w:rsidRPr="0045303C">
        <w:rPr>
          <w:rFonts w:ascii="Abadi" w:hAnsi="Abadi"/>
          <w:b/>
          <w:bCs/>
          <w:sz w:val="21"/>
          <w:szCs w:val="21"/>
        </w:rPr>
        <w:t>El supuesto previsto en el párrafo anterior no aplica a los diputados electos por el principio de representación proporcional.</w:t>
      </w:r>
    </w:p>
    <w:p w14:paraId="39DB8BB0" w14:textId="77777777" w:rsidR="003C552F" w:rsidRPr="0045303C" w:rsidRDefault="003C552F" w:rsidP="003C552F">
      <w:pPr>
        <w:ind w:left="29" w:firstLine="4"/>
        <w:jc w:val="both"/>
        <w:rPr>
          <w:rFonts w:ascii="Abadi" w:hAnsi="Abadi"/>
          <w:b/>
          <w:bCs/>
          <w:sz w:val="21"/>
          <w:szCs w:val="21"/>
        </w:rPr>
      </w:pPr>
    </w:p>
    <w:p w14:paraId="4E983FD1" w14:textId="77777777" w:rsidR="00E441D9" w:rsidRPr="005D1897" w:rsidRDefault="00E441D9" w:rsidP="003C552F">
      <w:pPr>
        <w:ind w:right="38"/>
        <w:jc w:val="both"/>
        <w:rPr>
          <w:rFonts w:ascii="Abadi" w:hAnsi="Abadi"/>
          <w:sz w:val="21"/>
          <w:szCs w:val="21"/>
        </w:rPr>
      </w:pPr>
      <w:r w:rsidRPr="005D1897">
        <w:rPr>
          <w:rFonts w:ascii="Abadi" w:hAnsi="Abadi"/>
          <w:sz w:val="21"/>
          <w:szCs w:val="21"/>
        </w:rPr>
        <w:t>Quien hubiese sido electo diputado propietario de manera consecutiva...</w:t>
      </w:r>
    </w:p>
    <w:p w14:paraId="41D5258B" w14:textId="77777777" w:rsidR="00E441D9" w:rsidRDefault="00E441D9" w:rsidP="003C552F">
      <w:pPr>
        <w:ind w:right="38"/>
        <w:jc w:val="both"/>
        <w:rPr>
          <w:rFonts w:ascii="Abadi" w:hAnsi="Abadi"/>
          <w:sz w:val="21"/>
          <w:szCs w:val="21"/>
        </w:rPr>
      </w:pPr>
    </w:p>
    <w:p w14:paraId="290E1F90" w14:textId="77777777" w:rsidR="00E441D9" w:rsidRDefault="00E441D9" w:rsidP="003C552F">
      <w:pPr>
        <w:ind w:left="29" w:right="38"/>
        <w:jc w:val="both"/>
        <w:rPr>
          <w:rFonts w:ascii="Abadi" w:hAnsi="Abadi"/>
          <w:sz w:val="21"/>
          <w:szCs w:val="21"/>
        </w:rPr>
      </w:pPr>
      <w:r w:rsidRPr="005D1897">
        <w:rPr>
          <w:rFonts w:ascii="Abadi" w:hAnsi="Abadi"/>
          <w:sz w:val="21"/>
          <w:szCs w:val="21"/>
        </w:rPr>
        <w:t>La posición de diputado suplente...</w:t>
      </w:r>
    </w:p>
    <w:p w14:paraId="1DDD9787" w14:textId="77777777" w:rsidR="00E441D9" w:rsidRDefault="00E441D9" w:rsidP="003C552F">
      <w:pPr>
        <w:ind w:left="754" w:right="38"/>
        <w:jc w:val="both"/>
        <w:rPr>
          <w:rFonts w:ascii="Abadi" w:hAnsi="Abadi"/>
          <w:sz w:val="21"/>
          <w:szCs w:val="21"/>
        </w:rPr>
      </w:pPr>
    </w:p>
    <w:p w14:paraId="028EFF97" w14:textId="77777777" w:rsidR="003C552F" w:rsidRDefault="003C552F" w:rsidP="003C552F">
      <w:pPr>
        <w:ind w:left="29" w:right="38"/>
        <w:jc w:val="center"/>
        <w:rPr>
          <w:rFonts w:ascii="Abadi" w:hAnsi="Abadi"/>
          <w:b/>
          <w:bCs/>
          <w:sz w:val="21"/>
          <w:szCs w:val="21"/>
        </w:rPr>
      </w:pPr>
    </w:p>
    <w:p w14:paraId="590AE311" w14:textId="368AB6AE" w:rsidR="00E441D9" w:rsidRPr="0045303C" w:rsidRDefault="00E441D9" w:rsidP="003C552F">
      <w:pPr>
        <w:ind w:left="29" w:right="38"/>
        <w:jc w:val="center"/>
        <w:rPr>
          <w:rFonts w:ascii="Abadi" w:hAnsi="Abadi"/>
          <w:b/>
          <w:bCs/>
          <w:sz w:val="21"/>
          <w:szCs w:val="21"/>
        </w:rPr>
      </w:pPr>
      <w:r w:rsidRPr="0045303C">
        <w:rPr>
          <w:rFonts w:ascii="Abadi" w:hAnsi="Abadi"/>
          <w:b/>
          <w:bCs/>
          <w:sz w:val="21"/>
          <w:szCs w:val="21"/>
        </w:rPr>
        <w:t>T R A N S I T O R I O</w:t>
      </w:r>
    </w:p>
    <w:p w14:paraId="11B5F8E4" w14:textId="77777777" w:rsidR="00E441D9" w:rsidRPr="005D1897" w:rsidRDefault="00E441D9" w:rsidP="00E441D9">
      <w:pPr>
        <w:ind w:left="754" w:right="38"/>
        <w:jc w:val="both"/>
        <w:rPr>
          <w:rFonts w:ascii="Abadi" w:hAnsi="Abadi"/>
          <w:sz w:val="21"/>
          <w:szCs w:val="21"/>
        </w:rPr>
      </w:pPr>
    </w:p>
    <w:p w14:paraId="0D1A0405" w14:textId="77777777" w:rsidR="00E441D9" w:rsidRDefault="00E441D9" w:rsidP="003C552F">
      <w:pPr>
        <w:ind w:left="23" w:right="38"/>
        <w:jc w:val="both"/>
        <w:rPr>
          <w:rFonts w:ascii="Abadi" w:hAnsi="Abadi"/>
          <w:sz w:val="21"/>
          <w:szCs w:val="21"/>
        </w:rPr>
      </w:pPr>
      <w:r w:rsidRPr="0045303C">
        <w:rPr>
          <w:rFonts w:ascii="Abadi" w:hAnsi="Abadi"/>
          <w:b/>
          <w:bCs/>
          <w:sz w:val="21"/>
          <w:szCs w:val="21"/>
        </w:rPr>
        <w:t>Artículo Único.</w:t>
      </w:r>
      <w:r w:rsidRPr="005D1897">
        <w:rPr>
          <w:rFonts w:ascii="Abadi" w:hAnsi="Abadi"/>
          <w:sz w:val="21"/>
          <w:szCs w:val="21"/>
        </w:rPr>
        <w:t xml:space="preserve"> El presente decreto entrará en vigor al día siguiente a su publicación en el Periódico Oficial de Gobierno del Estado.</w:t>
      </w:r>
      <w:r w:rsidRPr="005D1897">
        <w:rPr>
          <w:rFonts w:ascii="Abadi" w:hAnsi="Abadi"/>
          <w:noProof/>
          <w:sz w:val="21"/>
          <w:szCs w:val="21"/>
        </w:rPr>
        <w:drawing>
          <wp:inline distT="0" distB="0" distL="0" distR="0" wp14:anchorId="671F7F08" wp14:editId="3E5937FD">
            <wp:extent cx="3048" cy="9147"/>
            <wp:effectExtent l="0" t="0" r="0" b="0"/>
            <wp:docPr id="49541" name="Picture 49541"/>
            <wp:cNvGraphicFramePr/>
            <a:graphic xmlns:a="http://schemas.openxmlformats.org/drawingml/2006/main">
              <a:graphicData uri="http://schemas.openxmlformats.org/drawingml/2006/picture">
                <pic:pic xmlns:pic="http://schemas.openxmlformats.org/drawingml/2006/picture">
                  <pic:nvPicPr>
                    <pic:cNvPr id="49541" name="Picture 49541"/>
                    <pic:cNvPicPr/>
                  </pic:nvPicPr>
                  <pic:blipFill>
                    <a:blip r:embed="rId26"/>
                    <a:stretch>
                      <a:fillRect/>
                    </a:stretch>
                  </pic:blipFill>
                  <pic:spPr>
                    <a:xfrm>
                      <a:off x="0" y="0"/>
                      <a:ext cx="3048" cy="9147"/>
                    </a:xfrm>
                    <a:prstGeom prst="rect">
                      <a:avLst/>
                    </a:prstGeom>
                  </pic:spPr>
                </pic:pic>
              </a:graphicData>
            </a:graphic>
          </wp:inline>
        </w:drawing>
      </w:r>
    </w:p>
    <w:p w14:paraId="3A18E858" w14:textId="77777777" w:rsidR="00E441D9" w:rsidRPr="005D1897" w:rsidRDefault="00E441D9" w:rsidP="003C552F">
      <w:pPr>
        <w:ind w:left="23" w:right="38"/>
        <w:jc w:val="both"/>
        <w:rPr>
          <w:rFonts w:ascii="Abadi" w:hAnsi="Abadi"/>
          <w:sz w:val="21"/>
          <w:szCs w:val="21"/>
        </w:rPr>
      </w:pPr>
    </w:p>
    <w:p w14:paraId="6896381B" w14:textId="77777777" w:rsidR="00E441D9" w:rsidRPr="005D1897" w:rsidRDefault="00E441D9" w:rsidP="003C552F">
      <w:pPr>
        <w:ind w:left="23" w:right="38"/>
        <w:jc w:val="both"/>
        <w:rPr>
          <w:rFonts w:ascii="Abadi" w:hAnsi="Abadi"/>
          <w:sz w:val="21"/>
          <w:szCs w:val="21"/>
        </w:rPr>
      </w:pPr>
      <w:r w:rsidRPr="005D1897">
        <w:rPr>
          <w:rFonts w:ascii="Abadi" w:hAnsi="Abadi"/>
          <w:sz w:val="21"/>
          <w:szCs w:val="21"/>
        </w:rPr>
        <w:t>En razón de lo expuesto y fundado, solicitamos a Usted dar a la presente iniciativa, el trámite señalado en la Ley Orgánica del Poder Legislativo del Estado de</w:t>
      </w:r>
      <w:r>
        <w:rPr>
          <w:rFonts w:ascii="Abadi" w:hAnsi="Abadi"/>
          <w:sz w:val="21"/>
          <w:szCs w:val="21"/>
        </w:rPr>
        <w:t xml:space="preserve"> </w:t>
      </w:r>
      <w:r w:rsidRPr="005D1897">
        <w:rPr>
          <w:rFonts w:ascii="Abadi" w:hAnsi="Abadi"/>
          <w:sz w:val="21"/>
          <w:szCs w:val="21"/>
        </w:rPr>
        <w:t>Guanajuato.</w:t>
      </w:r>
    </w:p>
    <w:p w14:paraId="6D0333D0" w14:textId="77777777" w:rsidR="00DF4FC1" w:rsidRDefault="00DF4FC1" w:rsidP="00DF4FC1">
      <w:pPr>
        <w:ind w:left="23" w:right="38"/>
        <w:jc w:val="center"/>
        <w:rPr>
          <w:rFonts w:ascii="Abadi" w:hAnsi="Abadi"/>
          <w:b/>
          <w:bCs/>
          <w:sz w:val="21"/>
          <w:szCs w:val="21"/>
        </w:rPr>
      </w:pPr>
    </w:p>
    <w:p w14:paraId="4259BAE7" w14:textId="70D91E17" w:rsidR="00E441D9" w:rsidRDefault="00E441D9" w:rsidP="00DF4FC1">
      <w:pPr>
        <w:ind w:left="23" w:right="38"/>
        <w:jc w:val="center"/>
        <w:rPr>
          <w:rFonts w:ascii="Abadi" w:hAnsi="Abadi"/>
          <w:b/>
          <w:bCs/>
          <w:sz w:val="21"/>
          <w:szCs w:val="21"/>
        </w:rPr>
      </w:pPr>
      <w:r w:rsidRPr="005D1897">
        <w:rPr>
          <w:rFonts w:ascii="Abadi" w:hAnsi="Abadi"/>
          <w:b/>
          <w:bCs/>
          <w:sz w:val="21"/>
          <w:szCs w:val="21"/>
        </w:rPr>
        <w:t>A T E N T A M E N T E</w:t>
      </w:r>
    </w:p>
    <w:p w14:paraId="54644CDE" w14:textId="77777777" w:rsidR="005A54A4" w:rsidRDefault="005A54A4" w:rsidP="00DF4FC1">
      <w:pPr>
        <w:ind w:left="23" w:right="38"/>
        <w:jc w:val="center"/>
        <w:rPr>
          <w:rFonts w:ascii="Abadi" w:hAnsi="Abadi"/>
          <w:b/>
          <w:bCs/>
          <w:sz w:val="21"/>
          <w:szCs w:val="21"/>
        </w:rPr>
      </w:pPr>
    </w:p>
    <w:p w14:paraId="06F05B57" w14:textId="77777777" w:rsidR="00DF4FC1" w:rsidRPr="005D1897" w:rsidRDefault="00DF4FC1" w:rsidP="00DF4FC1">
      <w:pPr>
        <w:ind w:left="23" w:right="38"/>
        <w:jc w:val="center"/>
        <w:rPr>
          <w:rFonts w:ascii="Abadi" w:hAnsi="Abadi"/>
          <w:b/>
          <w:bCs/>
          <w:sz w:val="21"/>
          <w:szCs w:val="21"/>
        </w:rPr>
      </w:pPr>
    </w:p>
    <w:p w14:paraId="796280A3" w14:textId="4DECCA35" w:rsidR="003C552F" w:rsidRDefault="00E441D9" w:rsidP="00DF4FC1">
      <w:pPr>
        <w:ind w:left="23" w:right="38"/>
        <w:jc w:val="center"/>
        <w:rPr>
          <w:rFonts w:ascii="Abadi" w:hAnsi="Abadi"/>
          <w:b/>
          <w:bCs/>
          <w:sz w:val="21"/>
          <w:szCs w:val="21"/>
        </w:rPr>
      </w:pPr>
      <w:r w:rsidRPr="005D1897">
        <w:rPr>
          <w:rFonts w:ascii="Abadi" w:hAnsi="Abadi"/>
          <w:b/>
          <w:bCs/>
          <w:sz w:val="21"/>
          <w:szCs w:val="21"/>
        </w:rPr>
        <w:t>Guanajuato</w:t>
      </w:r>
      <w:r w:rsidR="003C552F">
        <w:rPr>
          <w:rFonts w:ascii="Abadi" w:hAnsi="Abadi"/>
          <w:b/>
          <w:bCs/>
          <w:sz w:val="21"/>
          <w:szCs w:val="21"/>
        </w:rPr>
        <w:t xml:space="preserve">, </w:t>
      </w:r>
      <w:proofErr w:type="spellStart"/>
      <w:r w:rsidR="003C552F">
        <w:rPr>
          <w:rFonts w:ascii="Abadi" w:hAnsi="Abadi"/>
          <w:b/>
          <w:bCs/>
          <w:sz w:val="21"/>
          <w:szCs w:val="21"/>
        </w:rPr>
        <w:t>Gto</w:t>
      </w:r>
      <w:proofErr w:type="spellEnd"/>
      <w:r w:rsidR="003C552F">
        <w:rPr>
          <w:rFonts w:ascii="Abadi" w:hAnsi="Abadi"/>
          <w:b/>
          <w:bCs/>
          <w:sz w:val="21"/>
          <w:szCs w:val="21"/>
        </w:rPr>
        <w:t>., a 17 de mayo de 2022</w:t>
      </w:r>
    </w:p>
    <w:p w14:paraId="1016368A" w14:textId="77777777" w:rsidR="00DF4FC1" w:rsidRDefault="00DF4FC1" w:rsidP="00DF4FC1">
      <w:pPr>
        <w:ind w:left="23" w:right="38"/>
        <w:jc w:val="center"/>
        <w:rPr>
          <w:rFonts w:ascii="Abadi" w:hAnsi="Abadi"/>
          <w:b/>
          <w:bCs/>
          <w:sz w:val="21"/>
          <w:szCs w:val="21"/>
        </w:rPr>
      </w:pPr>
    </w:p>
    <w:p w14:paraId="6BAD4265" w14:textId="77777777" w:rsidR="005A54A4" w:rsidRDefault="005A54A4" w:rsidP="005A54A4">
      <w:pPr>
        <w:ind w:left="23" w:right="38"/>
        <w:jc w:val="center"/>
        <w:rPr>
          <w:rFonts w:ascii="Abadi" w:hAnsi="Abadi"/>
          <w:b/>
          <w:bCs/>
          <w:sz w:val="21"/>
          <w:szCs w:val="21"/>
        </w:rPr>
      </w:pPr>
    </w:p>
    <w:p w14:paraId="25D6D221" w14:textId="726D3E7D" w:rsidR="00E441D9" w:rsidRDefault="00E441D9" w:rsidP="005A54A4">
      <w:pPr>
        <w:ind w:left="23" w:right="38"/>
        <w:jc w:val="center"/>
        <w:rPr>
          <w:rFonts w:ascii="Abadi" w:hAnsi="Abadi"/>
          <w:b/>
          <w:bCs/>
          <w:sz w:val="21"/>
          <w:szCs w:val="21"/>
        </w:rPr>
      </w:pPr>
      <w:r w:rsidRPr="005D1897">
        <w:rPr>
          <w:rFonts w:ascii="Abadi" w:hAnsi="Abadi"/>
          <w:b/>
          <w:bCs/>
          <w:sz w:val="21"/>
          <w:szCs w:val="21"/>
        </w:rPr>
        <w:t xml:space="preserve">Diputados integrantes </w:t>
      </w:r>
      <w:r w:rsidR="005A54A4" w:rsidRPr="005D1897">
        <w:rPr>
          <w:rFonts w:ascii="Abadi" w:hAnsi="Abadi"/>
          <w:b/>
          <w:bCs/>
          <w:sz w:val="21"/>
          <w:szCs w:val="21"/>
        </w:rPr>
        <w:t xml:space="preserve">del </w:t>
      </w:r>
      <w:r w:rsidR="005A54A4">
        <w:rPr>
          <w:rFonts w:ascii="Abadi" w:hAnsi="Abadi"/>
          <w:b/>
          <w:bCs/>
          <w:sz w:val="21"/>
          <w:szCs w:val="21"/>
        </w:rPr>
        <w:t>Grupo</w:t>
      </w:r>
      <w:r w:rsidRPr="005D1897">
        <w:rPr>
          <w:rFonts w:ascii="Abadi" w:hAnsi="Abadi"/>
          <w:b/>
          <w:bCs/>
          <w:sz w:val="21"/>
          <w:szCs w:val="21"/>
        </w:rPr>
        <w:t xml:space="preserve"> Parlamentario del Partido Acción Nacional</w:t>
      </w:r>
    </w:p>
    <w:p w14:paraId="64032AAF" w14:textId="68895D5A" w:rsidR="002C3D07" w:rsidRDefault="002C3D07" w:rsidP="005A54A4">
      <w:pPr>
        <w:ind w:left="23" w:right="38"/>
        <w:jc w:val="center"/>
        <w:rPr>
          <w:rFonts w:ascii="Abadi" w:hAnsi="Abadi"/>
          <w:b/>
          <w:bCs/>
          <w:sz w:val="21"/>
          <w:szCs w:val="21"/>
        </w:rPr>
      </w:pPr>
    </w:p>
    <w:p w14:paraId="1047CB8D" w14:textId="491A3715" w:rsidR="00EB7753" w:rsidRDefault="00EB7753" w:rsidP="008E5767">
      <w:pPr>
        <w:pStyle w:val="NormalWeb"/>
        <w:ind w:left="23" w:firstLine="708"/>
        <w:jc w:val="both"/>
        <w:rPr>
          <w:rFonts w:ascii="Abadi" w:hAnsi="Abadi"/>
          <w:sz w:val="21"/>
          <w:szCs w:val="21"/>
        </w:rPr>
      </w:pPr>
      <w:r>
        <w:rPr>
          <w:rFonts w:ascii="Abadi" w:hAnsi="Abadi"/>
          <w:b/>
          <w:bCs/>
          <w:sz w:val="21"/>
          <w:szCs w:val="21"/>
        </w:rPr>
        <w:t xml:space="preserve">- </w:t>
      </w:r>
      <w:r w:rsidRPr="00773E3D">
        <w:rPr>
          <w:rFonts w:ascii="Abadi" w:hAnsi="Abadi"/>
          <w:b/>
          <w:bCs/>
          <w:sz w:val="21"/>
          <w:szCs w:val="21"/>
        </w:rPr>
        <w:t>La Presidencia.</w:t>
      </w:r>
      <w:r>
        <w:rPr>
          <w:rFonts w:ascii="Abadi" w:hAnsi="Abadi"/>
          <w:sz w:val="21"/>
          <w:szCs w:val="21"/>
        </w:rPr>
        <w:t xml:space="preserve"> A continuación se pide al diputado Bricio Balderas Álvarez, dar lectura a la exposición de motivos de la </w:t>
      </w:r>
      <w:r w:rsidRPr="002503D2">
        <w:rPr>
          <w:rFonts w:ascii="Abadi" w:hAnsi="Abadi"/>
          <w:color w:val="auto"/>
          <w:sz w:val="21"/>
          <w:szCs w:val="21"/>
        </w:rPr>
        <w:t>iniciativa suscrita por diputadas y diputados integrantes del Grupo Parlamentario del Partido Acción Nacional a efecto de adicionar los párrafos cuarto y quinto al artículo 14, recorriéndose en su orden los subsecuentes, de la Ley de Instituciones y Procedimientos Electorales para el Estado de Guanajuato.</w:t>
      </w:r>
    </w:p>
    <w:p w14:paraId="2D58A2FC" w14:textId="77777777" w:rsidR="00EB7753" w:rsidRDefault="00EB7753" w:rsidP="00EB7753">
      <w:pPr>
        <w:pStyle w:val="NormalWeb"/>
        <w:jc w:val="both"/>
        <w:rPr>
          <w:rFonts w:ascii="Abadi" w:hAnsi="Abadi"/>
          <w:sz w:val="21"/>
          <w:szCs w:val="21"/>
        </w:rPr>
      </w:pPr>
      <w:r>
        <w:rPr>
          <w:rFonts w:ascii="Abadi" w:hAnsi="Abadi"/>
          <w:sz w:val="21"/>
          <w:szCs w:val="21"/>
        </w:rPr>
        <w:t>Adelante diputado, buen día.</w:t>
      </w:r>
    </w:p>
    <w:p w14:paraId="1C43EE4E" w14:textId="77777777" w:rsidR="008E5767" w:rsidRDefault="008E5767" w:rsidP="008E5767">
      <w:pPr>
        <w:pStyle w:val="NormalWeb"/>
        <w:jc w:val="center"/>
        <w:rPr>
          <w:rFonts w:ascii="Abadi" w:hAnsi="Abadi"/>
          <w:b/>
          <w:bCs/>
          <w:sz w:val="21"/>
          <w:szCs w:val="21"/>
        </w:rPr>
      </w:pPr>
    </w:p>
    <w:p w14:paraId="1C4D78F7" w14:textId="61D3FAA8" w:rsidR="002C3D07" w:rsidRDefault="002C3D07" w:rsidP="008E5767">
      <w:pPr>
        <w:pStyle w:val="NormalWeb"/>
        <w:jc w:val="center"/>
        <w:rPr>
          <w:rFonts w:ascii="Abadi" w:hAnsi="Abadi"/>
          <w:b/>
          <w:bCs/>
          <w:sz w:val="21"/>
          <w:szCs w:val="21"/>
        </w:rPr>
      </w:pPr>
      <w:r w:rsidRPr="00E41C39">
        <w:rPr>
          <w:rFonts w:ascii="Abadi" w:hAnsi="Abadi"/>
          <w:b/>
          <w:bCs/>
          <w:sz w:val="21"/>
          <w:szCs w:val="21"/>
        </w:rPr>
        <w:t>(Posicionamiento)</w:t>
      </w:r>
    </w:p>
    <w:p w14:paraId="63265B0B" w14:textId="536FEEB8" w:rsidR="002C3D07" w:rsidRDefault="008E5767" w:rsidP="002C3D07">
      <w:pPr>
        <w:pStyle w:val="NormalWeb"/>
        <w:jc w:val="both"/>
        <w:rPr>
          <w:rFonts w:ascii="Abadi" w:hAnsi="Abadi"/>
          <w:b/>
          <w:bCs/>
          <w:sz w:val="21"/>
          <w:szCs w:val="21"/>
        </w:rPr>
      </w:pPr>
      <w:r>
        <w:rPr>
          <w:noProof/>
        </w:rPr>
        <w:drawing>
          <wp:inline distT="0" distB="0" distL="0" distR="0" wp14:anchorId="0825FC16" wp14:editId="34449968">
            <wp:extent cx="2142133" cy="1177865"/>
            <wp:effectExtent l="19050" t="133350" r="0" b="8801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768" t="6288" r="3760" b="7629"/>
                    <a:stretch/>
                  </pic:blipFill>
                  <pic:spPr bwMode="auto">
                    <a:xfrm>
                      <a:off x="0" y="0"/>
                      <a:ext cx="2162135" cy="1188863"/>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28633937" w14:textId="77777777" w:rsidR="002C3D07" w:rsidRPr="00372FE7" w:rsidRDefault="002C3D07" w:rsidP="008E5767">
      <w:pPr>
        <w:pStyle w:val="NormalWeb"/>
        <w:jc w:val="center"/>
        <w:rPr>
          <w:rFonts w:ascii="Abadi" w:hAnsi="Abadi"/>
          <w:b/>
          <w:bCs/>
          <w:sz w:val="21"/>
          <w:szCs w:val="21"/>
        </w:rPr>
      </w:pPr>
      <w:r w:rsidRPr="00372FE7">
        <w:rPr>
          <w:rFonts w:ascii="Abadi" w:hAnsi="Abadi"/>
          <w:b/>
          <w:bCs/>
          <w:sz w:val="21"/>
          <w:szCs w:val="21"/>
        </w:rPr>
        <w:t>- Diputado Bricio Balderas Álvarez -</w:t>
      </w:r>
    </w:p>
    <w:p w14:paraId="0CDE3846" w14:textId="77777777" w:rsidR="002C3D07" w:rsidRPr="00372FE7" w:rsidRDefault="002C3D07" w:rsidP="002C3D07">
      <w:pPr>
        <w:pStyle w:val="NormalWeb"/>
        <w:jc w:val="both"/>
        <w:rPr>
          <w:rFonts w:ascii="Abadi" w:hAnsi="Abadi"/>
          <w:sz w:val="21"/>
          <w:szCs w:val="21"/>
        </w:rPr>
      </w:pPr>
      <w:r w:rsidRPr="00372FE7">
        <w:rPr>
          <w:rFonts w:ascii="Abadi" w:hAnsi="Abadi"/>
          <w:sz w:val="21"/>
          <w:szCs w:val="21"/>
        </w:rPr>
        <w:t>- Buen día muchísimas gracias, muy buenos días, con el permiso de la Mesa Directiva de la Presidenta en funciones compañeros compañeras diputadas representantes de los medios de comunicación a la ciudadanía que nos sigue de manera presencial y a través de los diversos medios digitales quienes integramos el Grupo Parlamentario del Partido Acción Nacional ante la Sexagésima Quinta Legislatura, de este Congreso Libre y Soberano de Guanajuato, nos permitimos someter a la consideración de esta Honorable Asamblea la presente iniciativa con proyecto de decreto por el que se adiciona un párrafo cuarto y quinto al artículo 14 recorriéndose en su orden los párrafos subsecuentes de la Ley de Instituciones y Procedimientos Electorales para el Estado de Guanajuato con base a la siguiente:</w:t>
      </w:r>
    </w:p>
    <w:p w14:paraId="4421804A" w14:textId="69329072" w:rsidR="002C3D07" w:rsidRPr="00372FE7" w:rsidRDefault="001774FD" w:rsidP="002C3D07">
      <w:pPr>
        <w:pStyle w:val="NormalWeb"/>
        <w:jc w:val="both"/>
        <w:rPr>
          <w:rFonts w:ascii="Abadi" w:hAnsi="Abadi"/>
          <w:sz w:val="21"/>
          <w:szCs w:val="21"/>
        </w:rPr>
      </w:pPr>
      <w:r>
        <w:rPr>
          <w:rFonts w:ascii="Abadi" w:hAnsi="Abadi"/>
          <w:sz w:val="21"/>
          <w:szCs w:val="21"/>
        </w:rPr>
        <w:t xml:space="preserve">- </w:t>
      </w:r>
      <w:r w:rsidR="002C3D07" w:rsidRPr="00372FE7">
        <w:rPr>
          <w:rFonts w:ascii="Abadi" w:hAnsi="Abadi"/>
          <w:sz w:val="21"/>
          <w:szCs w:val="21"/>
        </w:rPr>
        <w:t>Exposición de motivos:</w:t>
      </w:r>
    </w:p>
    <w:p w14:paraId="54437853" w14:textId="77777777" w:rsidR="002C3D07" w:rsidRPr="00372FE7" w:rsidRDefault="002C3D07" w:rsidP="002C3D07">
      <w:pPr>
        <w:pStyle w:val="NormalWeb"/>
        <w:jc w:val="both"/>
        <w:rPr>
          <w:rFonts w:ascii="Abadi" w:hAnsi="Abadi"/>
          <w:sz w:val="21"/>
          <w:szCs w:val="21"/>
        </w:rPr>
      </w:pPr>
      <w:r w:rsidRPr="00372FE7">
        <w:rPr>
          <w:rFonts w:ascii="Abadi" w:hAnsi="Abadi"/>
          <w:sz w:val="21"/>
          <w:szCs w:val="21"/>
        </w:rPr>
        <w:t xml:space="preserve">- El derecho de legisladoras y legisladores a ser votados mediante elección consecutiva y es una realidad establecida en nuestros textos constitucionales, esto representó sin duda un hecho histórico. </w:t>
      </w:r>
    </w:p>
    <w:p w14:paraId="3B6BFDCA" w14:textId="77777777" w:rsidR="002C3D07" w:rsidRPr="00372FE7" w:rsidRDefault="002C3D07" w:rsidP="002C3D07">
      <w:pPr>
        <w:pStyle w:val="NormalWeb"/>
        <w:jc w:val="both"/>
        <w:rPr>
          <w:rFonts w:ascii="Abadi" w:hAnsi="Abadi"/>
          <w:sz w:val="21"/>
          <w:szCs w:val="21"/>
        </w:rPr>
      </w:pPr>
      <w:r w:rsidRPr="00372FE7">
        <w:rPr>
          <w:rFonts w:ascii="Abadi" w:hAnsi="Abadi"/>
          <w:sz w:val="21"/>
          <w:szCs w:val="21"/>
        </w:rPr>
        <w:t xml:space="preserve">- Primero porque la ciudadanía tiene el poder para reiterar la confianza a sus representantes políticos según sus resultados. </w:t>
      </w:r>
    </w:p>
    <w:p w14:paraId="38F40EF7" w14:textId="77777777" w:rsidR="002C3D07" w:rsidRPr="00372FE7" w:rsidRDefault="002C3D07" w:rsidP="002C3D07">
      <w:pPr>
        <w:pStyle w:val="NormalWeb"/>
        <w:jc w:val="both"/>
        <w:rPr>
          <w:rFonts w:ascii="Abadi" w:hAnsi="Abadi"/>
          <w:sz w:val="21"/>
          <w:szCs w:val="21"/>
        </w:rPr>
      </w:pPr>
      <w:r w:rsidRPr="00372FE7">
        <w:rPr>
          <w:rFonts w:ascii="Abadi" w:hAnsi="Abadi"/>
          <w:sz w:val="21"/>
          <w:szCs w:val="21"/>
        </w:rPr>
        <w:t xml:space="preserve">- Segundo porque es el camino adecuado para tener congresos eficaces y eficientes, donde podamos legislar con mayor pericia sin improvisaciones significa tener legisladores con experiencia parlamentaria a la altura de los retos que tenemos aquí en nuestro Estado de Guanajuato, nuestra Carta Magna establece que las constituciones de las entidades federativas deberán establecer la acción consecutiva de los diputados a las legislaturas de los Estados qué tal suerte que la elección consecutiva como modalidad del derecho a ser votado puede ser objeto de limitación porque su ejercicio no implica una postulación automática ni una garantía de permanencia en el cargo sino que tal posibilidad está sujeta al cumplimiento de un conjunto de requisitos principios y derechos de rango constitucional y legal pero principalmente partidista, sin embargo el derecho de elección a un cargo de Diputación Local debe de otorgarse de manera más amplia respetando el principio pro persona con la finalidad de adaptar las normas para alcanzar los resultados que se pretenden con la elección consecutiva donde el objetivo principal es lograr la profesionalización del cargo derivado del aprovechamiento de la experiencia obtenida al estar desempeñando dicha encomienda esta posibilidad de acceder a la elección consecutiva tanto para partidos políticos y como para las y los diputados locales del Estado, existe cierta incertidumbre respecto a que puedan alterarse de manera significativa los límites espacio geográfico o en si la propia conformación de su distrito que los llevó al cargo. </w:t>
      </w:r>
    </w:p>
    <w:p w14:paraId="05EEF8BE" w14:textId="77777777" w:rsidR="002C3D07" w:rsidRPr="00372FE7" w:rsidRDefault="002C3D07" w:rsidP="002C3D07">
      <w:pPr>
        <w:pStyle w:val="NormalWeb"/>
        <w:jc w:val="both"/>
        <w:rPr>
          <w:rFonts w:ascii="Abadi" w:hAnsi="Abadi"/>
          <w:sz w:val="21"/>
          <w:szCs w:val="21"/>
        </w:rPr>
      </w:pPr>
      <w:r w:rsidRPr="00372FE7">
        <w:rPr>
          <w:rFonts w:ascii="Abadi" w:hAnsi="Abadi"/>
          <w:sz w:val="21"/>
          <w:szCs w:val="21"/>
        </w:rPr>
        <w:t xml:space="preserve">- Debemos tener en cuenta que debido a los cambios constantes como resultado de la dinámica poblacional la migración y otro factor como la pandemia COVID-19 el número de ciudadanos en cada distrito seguramente tiene y tendrá algunas variaciones lo que altera el equilibrio y hace necesaria una revisión periódica de su dimensión o en magnitud por lo que convenientemente en estos momentos el Instituto nacional e nacional electoral realiza un análisis respectivo tomando como base el último censo de población y vivienda realizado en el año 2020 a través de diversas fechas ha realizado algunas actividades relacionadas con la discriminación y que en términos generales ha señalado cosas primer escenario que en lo que corresponde al Estado de Guanajuato se mantienen los 15 distritos federales y los 22 distritos locales quedando pendiente la generación y publicación de un segundo escenario. </w:t>
      </w:r>
    </w:p>
    <w:p w14:paraId="3BC950CA" w14:textId="77777777" w:rsidR="002C3D07" w:rsidRPr="00372FE7" w:rsidRDefault="002C3D07" w:rsidP="002C3D07">
      <w:pPr>
        <w:pStyle w:val="NormalWeb"/>
        <w:jc w:val="both"/>
        <w:rPr>
          <w:rFonts w:ascii="Abadi" w:hAnsi="Abadi"/>
          <w:sz w:val="21"/>
          <w:szCs w:val="21"/>
        </w:rPr>
      </w:pPr>
      <w:r w:rsidRPr="00372FE7">
        <w:rPr>
          <w:rFonts w:ascii="Abadi" w:hAnsi="Abadi"/>
          <w:sz w:val="21"/>
          <w:szCs w:val="21"/>
        </w:rPr>
        <w:t xml:space="preserve">- Por lo anterior existe una alta posibilidad que los partidos políticos las y los Diputados Locales al Congreso del Estado pretenda no tengan la intención de postularse de nueva cuenta accediendo hacia una elección consecutiva sin embargo también existe una incertidumbre respecto a que las demarcaciones distritales o integración de los distritos se modifiquen por ello se propone adicionar que en caso de una nueva conformación en los distritos electorales los diputados sujetos a elección consecutiva diputadas diputados sujetos a elección consecutiva podrán postularse independientemente del número de distrito o de la composición que les corresponda siempre y cuando comprenda alguno de los municipios que integran o formaban parte del distrito por el cual fueron electos el supuesto previsto en el párrafo anterior no aplica a los diputados electos por el principio de representación proporcional esta propuesta resulta pertinente ya que no está sujeta a los tiempos en los que se lleve a cabo la distribución en el resultado de esta es decir que a producto de ella se modifique la demarcación territorial de los distritos electorales en los que originalmente fueron electos las diputadas o diputados de mayoría relativa lo que lograríamos no es cosa menor es una adecuada representación ciudadana es hacer realidad o que lograríamos no es cosa, es una adecuada representación ciudadana el principio democrático de un hombre un voto que busca la equidad en términos de cada voto ciudadano que tenga el mismo valor sin importar en donde se encuentre por lo anteriormente expuesto las y los diputados integrantes del Grupo Parlamentario de Acción Nacional, nos permitimos someter a la consideración de esta Asamblea el Proyecto de decreto en mención el voto de la ciudadanía representa un compromiso y la elección consecutiva una oportunidad para profesionalizarse en el cargo hagamos efectiva esa representación. </w:t>
      </w:r>
    </w:p>
    <w:p w14:paraId="6D02AD9E" w14:textId="57D98CC9" w:rsidR="00D30B38" w:rsidRDefault="007E2738" w:rsidP="00D30B38">
      <w:pPr>
        <w:pStyle w:val="NormalWeb"/>
        <w:jc w:val="both"/>
        <w:rPr>
          <w:rFonts w:ascii="Abadi" w:hAnsi="Abadi"/>
          <w:sz w:val="21"/>
          <w:szCs w:val="21"/>
        </w:rPr>
      </w:pPr>
      <w:r>
        <w:rPr>
          <w:rFonts w:ascii="Abadi" w:hAnsi="Abadi"/>
          <w:sz w:val="21"/>
          <w:szCs w:val="21"/>
        </w:rPr>
        <w:t xml:space="preserve">- </w:t>
      </w:r>
      <w:r w:rsidR="00D30B38" w:rsidRPr="00372FE7">
        <w:rPr>
          <w:rFonts w:ascii="Abadi" w:hAnsi="Abadi"/>
          <w:sz w:val="21"/>
          <w:szCs w:val="21"/>
        </w:rPr>
        <w:t>En cuá</w:t>
      </w:r>
      <w:r w:rsidR="00D30B38">
        <w:rPr>
          <w:rFonts w:ascii="Abadi" w:hAnsi="Abadi"/>
          <w:sz w:val="21"/>
          <w:szCs w:val="21"/>
        </w:rPr>
        <w:t>nto, m</w:t>
      </w:r>
      <w:r w:rsidR="00D30B38" w:rsidRPr="0021199F">
        <w:rPr>
          <w:rFonts w:ascii="Abadi" w:hAnsi="Abadi"/>
          <w:sz w:val="21"/>
          <w:szCs w:val="21"/>
        </w:rPr>
        <w:t>uchísimas gracias.</w:t>
      </w:r>
    </w:p>
    <w:p w14:paraId="1ACB84A8" w14:textId="7C64829B" w:rsidR="00D30B38" w:rsidRDefault="00D30B38" w:rsidP="001774FD">
      <w:pPr>
        <w:pStyle w:val="NormalWeb"/>
        <w:ind w:firstLine="708"/>
        <w:jc w:val="both"/>
        <w:rPr>
          <w:rFonts w:ascii="Abadi" w:hAnsi="Abadi"/>
          <w:sz w:val="21"/>
          <w:szCs w:val="21"/>
        </w:rPr>
      </w:pPr>
      <w:r w:rsidRPr="00265B19">
        <w:rPr>
          <w:rFonts w:ascii="Abadi" w:hAnsi="Abadi"/>
          <w:b/>
          <w:bCs/>
          <w:sz w:val="21"/>
          <w:szCs w:val="21"/>
        </w:rPr>
        <w:t xml:space="preserve">- La </w:t>
      </w:r>
      <w:proofErr w:type="gramStart"/>
      <w:r w:rsidRPr="00265B19">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 xml:space="preserve">Muchas gracias, diputado. </w:t>
      </w:r>
    </w:p>
    <w:p w14:paraId="0CACD70F" w14:textId="6A969530" w:rsidR="00D30B38" w:rsidRPr="00E51DCB" w:rsidRDefault="00D30B38" w:rsidP="00D30B38">
      <w:pPr>
        <w:pStyle w:val="NormalWeb"/>
        <w:ind w:left="284" w:right="354"/>
        <w:jc w:val="both"/>
        <w:rPr>
          <w:rFonts w:ascii="Abadi" w:hAnsi="Abadi"/>
          <w:b/>
          <w:bCs/>
          <w:i/>
          <w:iCs/>
          <w:sz w:val="21"/>
          <w:szCs w:val="21"/>
          <w:u w:val="single"/>
        </w:rPr>
      </w:pPr>
      <w:r w:rsidRPr="00E51DCB">
        <w:rPr>
          <w:rFonts w:ascii="Abadi" w:hAnsi="Abadi"/>
          <w:b/>
          <w:bCs/>
          <w:i/>
          <w:iCs/>
          <w:sz w:val="21"/>
          <w:szCs w:val="21"/>
          <w:u w:val="single"/>
        </w:rPr>
        <w:t xml:space="preserve">Se turna </w:t>
      </w:r>
      <w:r w:rsidR="001774FD">
        <w:rPr>
          <w:rFonts w:ascii="Abadi" w:hAnsi="Abadi"/>
          <w:b/>
          <w:bCs/>
          <w:i/>
          <w:iCs/>
          <w:sz w:val="21"/>
          <w:szCs w:val="21"/>
          <w:u w:val="single"/>
        </w:rPr>
        <w:t xml:space="preserve">a </w:t>
      </w:r>
      <w:r w:rsidRPr="00E51DCB">
        <w:rPr>
          <w:rFonts w:ascii="Abadi" w:hAnsi="Abadi"/>
          <w:b/>
          <w:bCs/>
          <w:i/>
          <w:iCs/>
          <w:sz w:val="21"/>
          <w:szCs w:val="21"/>
          <w:u w:val="single"/>
        </w:rPr>
        <w:t xml:space="preserve">la Comisión de Asuntos Electorales con fundamento en el artículo 103 fracción I, de nuestra Ley Orgánica para su estudio y dictamen. </w:t>
      </w:r>
    </w:p>
    <w:p w14:paraId="644F830D" w14:textId="27EF0480" w:rsidR="00DF4FC1" w:rsidRDefault="00DF4FC1" w:rsidP="00DF4FC1">
      <w:pPr>
        <w:ind w:left="23" w:right="38"/>
        <w:jc w:val="center"/>
        <w:rPr>
          <w:rFonts w:ascii="Abadi" w:hAnsi="Abadi"/>
          <w:b/>
          <w:bCs/>
          <w:sz w:val="21"/>
          <w:szCs w:val="21"/>
        </w:rPr>
      </w:pPr>
    </w:p>
    <w:p w14:paraId="178C7A18" w14:textId="77777777" w:rsidR="00A536C0" w:rsidRPr="005D1897" w:rsidRDefault="00A536C0" w:rsidP="00DF4FC1">
      <w:pPr>
        <w:ind w:left="23" w:right="38"/>
        <w:jc w:val="center"/>
        <w:rPr>
          <w:rFonts w:ascii="Abadi" w:hAnsi="Abadi"/>
          <w:b/>
          <w:bCs/>
          <w:sz w:val="21"/>
          <w:szCs w:val="21"/>
        </w:rPr>
      </w:pPr>
    </w:p>
    <w:p w14:paraId="623C8C9A" w14:textId="4D480A9C" w:rsidR="00021259" w:rsidRDefault="00021259" w:rsidP="00343CA9">
      <w:pPr>
        <w:pStyle w:val="Prrafodelista"/>
        <w:numPr>
          <w:ilvl w:val="0"/>
          <w:numId w:val="14"/>
        </w:numPr>
        <w:autoSpaceDE w:val="0"/>
        <w:autoSpaceDN w:val="0"/>
        <w:adjustRightInd w:val="0"/>
        <w:ind w:left="426"/>
        <w:jc w:val="both"/>
        <w:rPr>
          <w:rFonts w:ascii="Abadi" w:hAnsi="Abadi" w:cs="ArialMT"/>
          <w:b/>
          <w:bCs/>
          <w:sz w:val="20"/>
          <w:szCs w:val="21"/>
        </w:rPr>
      </w:pPr>
      <w:r w:rsidRPr="00021259">
        <w:rPr>
          <w:rFonts w:ascii="Abadi" w:hAnsi="Abadi" w:cs="ArialMT"/>
          <w:b/>
          <w:bCs/>
          <w:sz w:val="20"/>
          <w:szCs w:val="21"/>
        </w:rPr>
        <w:t>PRESENTACIÓN DE LA INICIATIVA POR LA QUE SE REFORMAN, ADICIONAN Y DEROGAN DIVERSAS DISPOSICIONES DE LA LEY DE ACCESO DE LAS MUJERES A UNA VIDA LIBRE DE VIOLENCIA PARA EL ESTADO DE GUANAJUATO, FORMULADA POR LA DIPUTADA MARTHA EDITH MORENO VALENCIA Y EL DIPUTADO DAVID MARTÍNEZ MENDIZÁBAL INTEGRANTES DEL GRUPO PARLAMENTARIO DEL PARTIDO MORENA.</w:t>
      </w:r>
    </w:p>
    <w:p w14:paraId="5FCBE041" w14:textId="28029FC4" w:rsidR="00420FAD" w:rsidRDefault="00420FAD" w:rsidP="00420FAD">
      <w:pPr>
        <w:autoSpaceDE w:val="0"/>
        <w:autoSpaceDN w:val="0"/>
        <w:adjustRightInd w:val="0"/>
        <w:jc w:val="both"/>
        <w:rPr>
          <w:rFonts w:ascii="Abadi" w:hAnsi="Abadi" w:cs="ArialMT"/>
          <w:b/>
          <w:bCs/>
          <w:sz w:val="20"/>
          <w:szCs w:val="21"/>
        </w:rPr>
      </w:pPr>
    </w:p>
    <w:p w14:paraId="366FD923" w14:textId="77777777" w:rsidR="00420FAD" w:rsidRPr="00D43FCC" w:rsidRDefault="00420FAD" w:rsidP="00420FAD">
      <w:pPr>
        <w:jc w:val="both"/>
        <w:rPr>
          <w:rFonts w:ascii="Abadi" w:hAnsi="Abadi"/>
          <w:b/>
          <w:bCs/>
          <w:sz w:val="21"/>
          <w:szCs w:val="21"/>
        </w:rPr>
      </w:pPr>
      <w:r w:rsidRPr="00D43FCC">
        <w:rPr>
          <w:rFonts w:ascii="Abadi" w:hAnsi="Abadi"/>
          <w:b/>
          <w:bCs/>
          <w:sz w:val="21"/>
          <w:szCs w:val="21"/>
        </w:rPr>
        <w:t>Diputada Irma Leticia González Sánchez</w:t>
      </w:r>
    </w:p>
    <w:p w14:paraId="7BE9E6A8" w14:textId="77777777" w:rsidR="00420FAD" w:rsidRDefault="00420FAD" w:rsidP="00420FAD">
      <w:pPr>
        <w:jc w:val="both"/>
        <w:rPr>
          <w:rFonts w:ascii="Abadi" w:hAnsi="Abadi"/>
          <w:sz w:val="21"/>
          <w:szCs w:val="21"/>
        </w:rPr>
      </w:pPr>
      <w:r w:rsidRPr="00F23DB4">
        <w:rPr>
          <w:rFonts w:ascii="Abadi" w:hAnsi="Abadi"/>
          <w:sz w:val="21"/>
          <w:szCs w:val="21"/>
        </w:rPr>
        <w:t xml:space="preserve">Presidenta de la Mesa Directiva </w:t>
      </w:r>
    </w:p>
    <w:p w14:paraId="5742BE28" w14:textId="77777777" w:rsidR="00420FAD" w:rsidRDefault="00420FAD" w:rsidP="00420FAD">
      <w:pPr>
        <w:jc w:val="both"/>
        <w:rPr>
          <w:rFonts w:ascii="Abadi" w:hAnsi="Abadi"/>
          <w:sz w:val="21"/>
          <w:szCs w:val="21"/>
        </w:rPr>
      </w:pPr>
      <w:r w:rsidRPr="00F23DB4">
        <w:rPr>
          <w:rFonts w:ascii="Abadi" w:hAnsi="Abadi"/>
          <w:sz w:val="21"/>
          <w:szCs w:val="21"/>
        </w:rPr>
        <w:t xml:space="preserve">LXV Legislatura del Estado de Guanajuato </w:t>
      </w:r>
    </w:p>
    <w:p w14:paraId="3685D993" w14:textId="77777777" w:rsidR="00420FAD" w:rsidRDefault="00420FAD" w:rsidP="00420FAD">
      <w:pPr>
        <w:jc w:val="both"/>
        <w:rPr>
          <w:rFonts w:ascii="Abadi" w:hAnsi="Abadi"/>
          <w:sz w:val="21"/>
          <w:szCs w:val="21"/>
        </w:rPr>
      </w:pPr>
      <w:r w:rsidRPr="00F23DB4">
        <w:rPr>
          <w:rFonts w:ascii="Abadi" w:hAnsi="Abadi"/>
          <w:sz w:val="21"/>
          <w:szCs w:val="21"/>
        </w:rPr>
        <w:t xml:space="preserve">PRESENTE </w:t>
      </w:r>
    </w:p>
    <w:p w14:paraId="47F8BC76" w14:textId="77777777" w:rsidR="00420FAD" w:rsidRDefault="00420FAD" w:rsidP="00420FAD">
      <w:pPr>
        <w:jc w:val="both"/>
        <w:rPr>
          <w:rFonts w:ascii="Abadi" w:hAnsi="Abadi"/>
          <w:sz w:val="21"/>
          <w:szCs w:val="21"/>
        </w:rPr>
      </w:pPr>
    </w:p>
    <w:p w14:paraId="2C62CF76" w14:textId="77777777" w:rsidR="00420FAD" w:rsidRDefault="00420FAD" w:rsidP="00420FAD">
      <w:pPr>
        <w:jc w:val="both"/>
        <w:rPr>
          <w:rFonts w:ascii="Abadi" w:hAnsi="Abadi"/>
          <w:sz w:val="21"/>
          <w:szCs w:val="21"/>
        </w:rPr>
      </w:pPr>
      <w:r w:rsidRPr="00F23DB4">
        <w:rPr>
          <w:rFonts w:ascii="Abadi" w:hAnsi="Abadi"/>
          <w:sz w:val="21"/>
          <w:szCs w:val="21"/>
        </w:rPr>
        <w:t xml:space="preserve">Quienes suscriben, </w:t>
      </w:r>
      <w:r w:rsidRPr="00D43FCC">
        <w:rPr>
          <w:rFonts w:ascii="Abadi" w:hAnsi="Abadi"/>
          <w:b/>
          <w:bCs/>
          <w:sz w:val="21"/>
          <w:szCs w:val="21"/>
        </w:rPr>
        <w:t>Diputada Martha Edith Moreno Valencia y Diputado David Martínez Mendizábal,</w:t>
      </w:r>
      <w:r w:rsidRPr="00F23DB4">
        <w:rPr>
          <w:rFonts w:ascii="Abadi" w:hAnsi="Abadi"/>
          <w:sz w:val="21"/>
          <w:szCs w:val="21"/>
        </w:rPr>
        <w:t xml:space="preserve"> integrantes del </w:t>
      </w:r>
      <w:r w:rsidRPr="00D43FCC">
        <w:rPr>
          <w:rFonts w:ascii="Abadi" w:hAnsi="Abadi"/>
          <w:b/>
          <w:bCs/>
          <w:sz w:val="21"/>
          <w:szCs w:val="21"/>
        </w:rPr>
        <w:t>Grupo Parlamentario de Morena</w:t>
      </w:r>
      <w:r w:rsidRPr="00F23DB4">
        <w:rPr>
          <w:rFonts w:ascii="Abadi" w:hAnsi="Abadi"/>
          <w:sz w:val="21"/>
          <w:szCs w:val="21"/>
        </w:rPr>
        <w:t xml:space="preserve"> en la Sexagésima Quinta Legislatura del Congreso del Estado de Guanajuato, con fundamento en lo dispuesto en los artículos 56, fracción II de la Constitución Política para el Estado de Guanajuato; y en el artículo 167, fracción II de la Ley Orgánica del Poder Legislativo del Estado de Guanajuato, nos permitimos someter a la consideración de esta Asamblea para su aprobación, la presente iniciativa con proyecto de decreto mediante el cual se reforma la Ley de Acceso a las Mujeres a una Vida Libre de Violencia, de conformidad con la siguiente: </w:t>
      </w:r>
    </w:p>
    <w:p w14:paraId="5DC10FD2" w14:textId="77777777" w:rsidR="00DF4FC1" w:rsidRDefault="00DF4FC1" w:rsidP="00420FAD">
      <w:pPr>
        <w:jc w:val="center"/>
        <w:rPr>
          <w:rFonts w:ascii="Abadi" w:hAnsi="Abadi"/>
          <w:b/>
          <w:bCs/>
          <w:sz w:val="21"/>
          <w:szCs w:val="21"/>
        </w:rPr>
      </w:pPr>
    </w:p>
    <w:p w14:paraId="65BDBE7A" w14:textId="3B94FD2A" w:rsidR="00420FAD" w:rsidRDefault="00420FAD" w:rsidP="00420FAD">
      <w:pPr>
        <w:jc w:val="center"/>
        <w:rPr>
          <w:rFonts w:ascii="Abadi" w:hAnsi="Abadi"/>
          <w:b/>
          <w:bCs/>
          <w:sz w:val="21"/>
          <w:szCs w:val="21"/>
        </w:rPr>
      </w:pPr>
      <w:r w:rsidRPr="00D43FCC">
        <w:rPr>
          <w:rFonts w:ascii="Abadi" w:hAnsi="Abadi"/>
          <w:b/>
          <w:bCs/>
          <w:sz w:val="21"/>
          <w:szCs w:val="21"/>
        </w:rPr>
        <w:t>EXPOSICIÓN DE MOTIVOS</w:t>
      </w:r>
    </w:p>
    <w:p w14:paraId="3F5BB0A8" w14:textId="77777777" w:rsidR="00DF4FC1" w:rsidRDefault="00DF4FC1" w:rsidP="00420FAD">
      <w:pPr>
        <w:jc w:val="center"/>
        <w:rPr>
          <w:rFonts w:ascii="Abadi" w:hAnsi="Abadi"/>
          <w:b/>
          <w:bCs/>
          <w:sz w:val="21"/>
          <w:szCs w:val="21"/>
        </w:rPr>
      </w:pPr>
    </w:p>
    <w:p w14:paraId="5099DCF1" w14:textId="596364C2" w:rsidR="00420FAD" w:rsidRDefault="00420FAD" w:rsidP="00420FAD">
      <w:pPr>
        <w:jc w:val="both"/>
        <w:rPr>
          <w:rFonts w:ascii="Abadi" w:hAnsi="Abadi"/>
          <w:sz w:val="21"/>
          <w:szCs w:val="21"/>
        </w:rPr>
      </w:pPr>
      <w:r w:rsidRPr="00F23DB4">
        <w:rPr>
          <w:rFonts w:ascii="Abadi" w:hAnsi="Abadi"/>
          <w:sz w:val="21"/>
          <w:szCs w:val="21"/>
        </w:rPr>
        <w:t xml:space="preserve">La violencia que sufren las mujeres en todos los ámbitos de la sociedad es un continuo atropello a sus derechos humanos, situación que no ha sido suficientemente visibilizada ni atendida por las autoridades. </w:t>
      </w:r>
    </w:p>
    <w:p w14:paraId="551D5AEA" w14:textId="77777777" w:rsidR="00DF4FC1" w:rsidRDefault="00DF4FC1" w:rsidP="00420FAD">
      <w:pPr>
        <w:jc w:val="both"/>
        <w:rPr>
          <w:rFonts w:ascii="Abadi" w:hAnsi="Abadi"/>
          <w:sz w:val="21"/>
          <w:szCs w:val="21"/>
        </w:rPr>
      </w:pPr>
    </w:p>
    <w:p w14:paraId="39BDE5A3" w14:textId="4077638D" w:rsidR="00420FAD" w:rsidRDefault="00420FAD" w:rsidP="00420FAD">
      <w:pPr>
        <w:jc w:val="both"/>
        <w:rPr>
          <w:rFonts w:ascii="Abadi" w:hAnsi="Abadi"/>
          <w:sz w:val="21"/>
          <w:szCs w:val="21"/>
        </w:rPr>
      </w:pPr>
      <w:r w:rsidRPr="00F23DB4">
        <w:rPr>
          <w:rFonts w:ascii="Abadi" w:hAnsi="Abadi"/>
          <w:sz w:val="21"/>
          <w:szCs w:val="21"/>
        </w:rPr>
        <w:t>El estado de Guanajuato ha sido constantemente señalado por sus persistentes cifras de violencia en contra de niñas y mujeres, que día a día se enfrentan a un contexto de inseguridad, discriminación y de violencia estructural. Con datos del Secretariado Ejecutivo del</w:t>
      </w:r>
      <w:r w:rsidR="003841CD">
        <w:rPr>
          <w:rFonts w:ascii="Abadi" w:hAnsi="Abadi"/>
          <w:sz w:val="21"/>
          <w:szCs w:val="21"/>
        </w:rPr>
        <w:t xml:space="preserve"> </w:t>
      </w:r>
      <w:r w:rsidR="002B70CD">
        <w:rPr>
          <w:rFonts w:ascii="Abadi" w:hAnsi="Abadi"/>
          <w:sz w:val="21"/>
          <w:szCs w:val="21"/>
        </w:rPr>
        <w:t>Sistema Nacional de Seguridad Pública</w:t>
      </w:r>
      <w:r w:rsidR="003F1AB5">
        <w:rPr>
          <w:rStyle w:val="Refdenotaalpie"/>
          <w:rFonts w:ascii="Abadi" w:hAnsi="Abadi"/>
          <w:sz w:val="21"/>
          <w:szCs w:val="21"/>
        </w:rPr>
        <w:footnoteReference w:id="5"/>
      </w:r>
      <w:r w:rsidR="005356E2">
        <w:rPr>
          <w:rFonts w:ascii="Abadi" w:hAnsi="Abadi"/>
          <w:sz w:val="21"/>
          <w:szCs w:val="21"/>
        </w:rPr>
        <w:t xml:space="preserve"> en el periodo </w:t>
      </w:r>
      <w:r w:rsidR="00BA2E4D">
        <w:rPr>
          <w:rFonts w:ascii="Abadi" w:hAnsi="Abadi"/>
          <w:sz w:val="21"/>
          <w:szCs w:val="21"/>
        </w:rPr>
        <w:t>de enero a marzo de 2022 hubo un total de 1,152 presuntas v</w:t>
      </w:r>
      <w:r w:rsidR="00B220C7">
        <w:rPr>
          <w:rFonts w:ascii="Abadi" w:hAnsi="Abadi"/>
          <w:sz w:val="21"/>
          <w:szCs w:val="21"/>
        </w:rPr>
        <w:t>í</w:t>
      </w:r>
      <w:r w:rsidR="00BA2E4D">
        <w:rPr>
          <w:rFonts w:ascii="Abadi" w:hAnsi="Abadi"/>
          <w:sz w:val="21"/>
          <w:szCs w:val="21"/>
        </w:rPr>
        <w:t>ct</w:t>
      </w:r>
      <w:r w:rsidR="00B220C7">
        <w:rPr>
          <w:rFonts w:ascii="Abadi" w:hAnsi="Abadi"/>
          <w:sz w:val="21"/>
          <w:szCs w:val="21"/>
        </w:rPr>
        <w:t>imas mujeres de lesiones dolosas en la entidad</w:t>
      </w:r>
      <w:r w:rsidR="00AA3404">
        <w:rPr>
          <w:rFonts w:ascii="Abadi" w:hAnsi="Abadi"/>
          <w:sz w:val="21"/>
          <w:szCs w:val="21"/>
        </w:rPr>
        <w:t xml:space="preserve">, situación que a nivel nacional nos coloca como una de las entidades </w:t>
      </w:r>
      <w:r w:rsidR="00D3210A">
        <w:rPr>
          <w:rFonts w:ascii="Abadi" w:hAnsi="Abadi"/>
          <w:sz w:val="21"/>
          <w:szCs w:val="21"/>
        </w:rPr>
        <w:t>con más mujeres víctimas de lesiones dolosas</w:t>
      </w:r>
      <w:r w:rsidR="009C1174">
        <w:rPr>
          <w:rFonts w:ascii="Abadi" w:hAnsi="Abadi"/>
          <w:sz w:val="21"/>
          <w:szCs w:val="21"/>
        </w:rPr>
        <w:t xml:space="preserve">, sólo por debajo del Estado de México </w:t>
      </w:r>
    </w:p>
    <w:p w14:paraId="63CB96FC" w14:textId="77777777" w:rsidR="00DF4FC1" w:rsidRDefault="00DF4FC1" w:rsidP="00420FAD">
      <w:pPr>
        <w:jc w:val="both"/>
        <w:rPr>
          <w:rFonts w:ascii="Abadi" w:hAnsi="Abadi"/>
          <w:sz w:val="21"/>
          <w:szCs w:val="21"/>
        </w:rPr>
      </w:pPr>
    </w:p>
    <w:p w14:paraId="451F811F" w14:textId="146C3EC1" w:rsidR="00420FAD" w:rsidRDefault="00420FAD" w:rsidP="00420FAD">
      <w:pPr>
        <w:jc w:val="both"/>
        <w:rPr>
          <w:rFonts w:ascii="Abadi" w:hAnsi="Abadi"/>
          <w:sz w:val="21"/>
          <w:szCs w:val="21"/>
        </w:rPr>
      </w:pPr>
      <w:r w:rsidRPr="00F23DB4">
        <w:rPr>
          <w:rFonts w:ascii="Abadi" w:hAnsi="Abadi"/>
          <w:sz w:val="21"/>
          <w:szCs w:val="21"/>
        </w:rPr>
        <w:t xml:space="preserve">Las demandas y necesidades de las mujeres víctimas de violencia no se ven cubiertas o respaldadas de forma adecuada por las instituciones y la actual legislación, por lo que es urgente actualizar y perfeccionar aquellos instrumentos destinados a garantizar el derecho de las mujeres a una vida libre de violencia. </w:t>
      </w:r>
    </w:p>
    <w:p w14:paraId="17B03999" w14:textId="77777777" w:rsidR="00DF4FC1" w:rsidRDefault="00DF4FC1" w:rsidP="00420FAD">
      <w:pPr>
        <w:jc w:val="both"/>
        <w:rPr>
          <w:rFonts w:ascii="Abadi" w:hAnsi="Abadi"/>
          <w:sz w:val="21"/>
          <w:szCs w:val="21"/>
        </w:rPr>
      </w:pPr>
    </w:p>
    <w:p w14:paraId="64A9531C" w14:textId="5E9E60FF" w:rsidR="00420FAD" w:rsidRDefault="00420FAD" w:rsidP="00420FAD">
      <w:pPr>
        <w:jc w:val="both"/>
        <w:rPr>
          <w:rFonts w:ascii="Abadi" w:hAnsi="Abadi"/>
          <w:sz w:val="21"/>
          <w:szCs w:val="21"/>
        </w:rPr>
      </w:pPr>
      <w:r w:rsidRPr="00F23DB4">
        <w:rPr>
          <w:rFonts w:ascii="Abadi" w:hAnsi="Abadi"/>
          <w:sz w:val="21"/>
          <w:szCs w:val="21"/>
        </w:rPr>
        <w:t xml:space="preserve">Una de las medidas que contribuyen a la prevención y atención de la violencia son las órdenes de protección. En este sentido, en marzo de 2021, el Poder Legislativo Federal aprobó una reforma impulsada por Morena a la Ley General de Acceso de las Mujeres a una Vida Libre de Violencia, modificando, entre otros, su artículo 27 referente a la conceptualización de las órdenes de protección. </w:t>
      </w:r>
    </w:p>
    <w:p w14:paraId="7CFBFC3C" w14:textId="77777777" w:rsidR="00DF4FC1" w:rsidRDefault="00DF4FC1" w:rsidP="00420FAD">
      <w:pPr>
        <w:jc w:val="both"/>
        <w:rPr>
          <w:rFonts w:ascii="Abadi" w:hAnsi="Abadi"/>
          <w:sz w:val="21"/>
          <w:szCs w:val="21"/>
        </w:rPr>
      </w:pPr>
    </w:p>
    <w:p w14:paraId="4EE632A3" w14:textId="6A0895B0" w:rsidR="00420FAD" w:rsidRDefault="00420FAD" w:rsidP="00420FAD">
      <w:pPr>
        <w:jc w:val="both"/>
        <w:rPr>
          <w:rFonts w:ascii="Abadi" w:hAnsi="Abadi"/>
          <w:sz w:val="21"/>
          <w:szCs w:val="21"/>
        </w:rPr>
      </w:pPr>
      <w:r w:rsidRPr="00F23DB4">
        <w:rPr>
          <w:rFonts w:ascii="Abadi" w:hAnsi="Abadi"/>
          <w:sz w:val="21"/>
          <w:szCs w:val="21"/>
        </w:rPr>
        <w:t xml:space="preserve">Esta iniciativa, presentada por la senadora Martha Lucía </w:t>
      </w:r>
      <w:proofErr w:type="spellStart"/>
      <w:r w:rsidRPr="00F23DB4">
        <w:rPr>
          <w:rFonts w:ascii="Abadi" w:hAnsi="Abadi"/>
          <w:sz w:val="21"/>
          <w:szCs w:val="21"/>
        </w:rPr>
        <w:t>Mícher</w:t>
      </w:r>
      <w:proofErr w:type="spellEnd"/>
      <w:r w:rsidRPr="00F23DB4">
        <w:rPr>
          <w:rFonts w:ascii="Abadi" w:hAnsi="Abadi"/>
          <w:sz w:val="21"/>
          <w:szCs w:val="21"/>
        </w:rPr>
        <w:t xml:space="preserve"> Camarena y que fue aprobada por unanimidad en el Congreso de la Unión, surge de una consulta amplia donde se escucharon las voces de jueces, juezas, defensoras de las mujeres y ministerios públicos y sobre todo de víctimas de violencia quienes manifestaron la urgencia de reformar el estatus de las órdenes de protección. </w:t>
      </w:r>
    </w:p>
    <w:p w14:paraId="66635F92" w14:textId="77777777" w:rsidR="00DF4FC1" w:rsidRDefault="00DF4FC1" w:rsidP="00420FAD">
      <w:pPr>
        <w:jc w:val="both"/>
        <w:rPr>
          <w:rFonts w:ascii="Abadi" w:hAnsi="Abadi"/>
          <w:sz w:val="21"/>
          <w:szCs w:val="21"/>
        </w:rPr>
      </w:pPr>
    </w:p>
    <w:p w14:paraId="70316C68" w14:textId="648FEC9F" w:rsidR="00420FAD" w:rsidRDefault="00420FAD" w:rsidP="00420FAD">
      <w:pPr>
        <w:jc w:val="both"/>
        <w:rPr>
          <w:rFonts w:ascii="Abadi" w:hAnsi="Abadi"/>
          <w:sz w:val="21"/>
          <w:szCs w:val="21"/>
        </w:rPr>
      </w:pPr>
      <w:r w:rsidRPr="00F23DB4">
        <w:rPr>
          <w:rFonts w:ascii="Abadi" w:hAnsi="Abadi"/>
          <w:sz w:val="21"/>
          <w:szCs w:val="21"/>
        </w:rPr>
        <w:t>La nueva conceptualización de las órdenes de protección no sólo precisa a las autoridades competentes para otorgarlas, sino que permite que estas órdenes de protección se otorguen de oficio o a petición de parte, precisando que debe evitarse que la persona agresora tenga contacto directo o indirecto con la víctima</w:t>
      </w:r>
      <w:r w:rsidR="00A95F52">
        <w:rPr>
          <w:rStyle w:val="Refdenotaalpie"/>
          <w:rFonts w:ascii="Abadi" w:hAnsi="Abadi"/>
          <w:sz w:val="21"/>
          <w:szCs w:val="21"/>
        </w:rPr>
        <w:footnoteReference w:id="6"/>
      </w:r>
      <w:r w:rsidR="00954872">
        <w:rPr>
          <w:rFonts w:ascii="Abadi" w:hAnsi="Abadi"/>
          <w:sz w:val="21"/>
          <w:szCs w:val="21"/>
        </w:rPr>
        <w:t>.</w:t>
      </w:r>
      <w:r w:rsidRPr="00F23DB4">
        <w:rPr>
          <w:rFonts w:ascii="Abadi" w:hAnsi="Abadi"/>
          <w:sz w:val="21"/>
          <w:szCs w:val="21"/>
        </w:rPr>
        <w:t xml:space="preserve"> </w:t>
      </w:r>
    </w:p>
    <w:p w14:paraId="42EF371F" w14:textId="77777777" w:rsidR="00DF4FC1" w:rsidRDefault="00DF4FC1" w:rsidP="00420FAD">
      <w:pPr>
        <w:jc w:val="both"/>
        <w:rPr>
          <w:rFonts w:ascii="Abadi" w:hAnsi="Abadi"/>
          <w:sz w:val="21"/>
          <w:szCs w:val="21"/>
        </w:rPr>
      </w:pPr>
    </w:p>
    <w:p w14:paraId="3318BFC7" w14:textId="229BB6CE" w:rsidR="00420FAD" w:rsidRDefault="00420FAD" w:rsidP="00420FAD">
      <w:pPr>
        <w:jc w:val="both"/>
        <w:rPr>
          <w:rFonts w:ascii="Abadi" w:hAnsi="Abadi"/>
          <w:sz w:val="21"/>
          <w:szCs w:val="21"/>
        </w:rPr>
      </w:pPr>
      <w:r w:rsidRPr="00F23DB4">
        <w:rPr>
          <w:rFonts w:ascii="Abadi" w:hAnsi="Abadi"/>
          <w:sz w:val="21"/>
          <w:szCs w:val="21"/>
        </w:rPr>
        <w:t>Este mecanismo legal permite atender y proteger en un primer momento a las mujeres y niñas víctimas para evitar que vuelvan a ser violentadas por sus agresores. De acuerdo con el Banco Nacional de Datos e Información sobre casos de Violencia contra las Mujeres</w:t>
      </w:r>
      <w:r w:rsidR="00A95F52">
        <w:rPr>
          <w:rStyle w:val="Refdenotaalpie"/>
          <w:rFonts w:ascii="Abadi" w:hAnsi="Abadi"/>
          <w:sz w:val="21"/>
          <w:szCs w:val="21"/>
        </w:rPr>
        <w:footnoteReference w:id="7"/>
      </w:r>
      <w:r w:rsidRPr="00F23DB4">
        <w:rPr>
          <w:rFonts w:ascii="Abadi" w:hAnsi="Abadi"/>
          <w:sz w:val="21"/>
          <w:szCs w:val="21"/>
        </w:rPr>
        <w:t xml:space="preserve"> en Guanajuato se han registrado 2,690 órdenes de protección emitidas. Esto refleja, por una parte, los altos niveles de mujeres que sufren violencia y, por otra, que es un instrumento recurrente, pero que no brinda la cobertura suficiente, por lo cual debe ser fortalecido para dar respuesta a la situación de vulnerabilidad que viven las niñas, adolescentes y mujeres. </w:t>
      </w:r>
    </w:p>
    <w:p w14:paraId="3D8D53C7" w14:textId="77777777" w:rsidR="00DF4FC1" w:rsidRDefault="00DF4FC1" w:rsidP="00420FAD">
      <w:pPr>
        <w:jc w:val="both"/>
        <w:rPr>
          <w:rFonts w:ascii="Abadi" w:hAnsi="Abadi"/>
          <w:sz w:val="21"/>
          <w:szCs w:val="21"/>
        </w:rPr>
      </w:pPr>
    </w:p>
    <w:p w14:paraId="578201A5" w14:textId="35DFEB16" w:rsidR="00420FAD" w:rsidRDefault="00420FAD" w:rsidP="00420FAD">
      <w:pPr>
        <w:jc w:val="both"/>
        <w:rPr>
          <w:rFonts w:ascii="Abadi" w:hAnsi="Abadi"/>
          <w:sz w:val="21"/>
          <w:szCs w:val="21"/>
        </w:rPr>
      </w:pPr>
      <w:r w:rsidRPr="00F23DB4">
        <w:rPr>
          <w:rFonts w:ascii="Abadi" w:hAnsi="Abadi"/>
          <w:sz w:val="21"/>
          <w:szCs w:val="21"/>
        </w:rPr>
        <w:t xml:space="preserve">Cabe señalar que, actualmente, la entidad no prevé instituciones como primeros respondientes frente a casos de violencia contra las mujeres, y que además solicita la ratificación de la víctima cuando las órdenes de protección son solicitadas por una tercera persona, traduciéndose como una restricción al acceso de éstas, careciendo a su vez de diversas regulaciones. </w:t>
      </w:r>
      <w:r w:rsidR="00A95F52">
        <w:rPr>
          <w:rStyle w:val="Refdenotaalpie"/>
          <w:rFonts w:ascii="Abadi" w:hAnsi="Abadi"/>
          <w:sz w:val="21"/>
          <w:szCs w:val="21"/>
        </w:rPr>
        <w:footnoteReference w:id="8"/>
      </w:r>
      <w:r w:rsidR="00983ED8">
        <w:rPr>
          <w:rFonts w:ascii="Abadi" w:hAnsi="Abadi"/>
          <w:sz w:val="21"/>
          <w:szCs w:val="21"/>
        </w:rPr>
        <w:t xml:space="preserve"> </w:t>
      </w:r>
      <w:r w:rsidRPr="00F23DB4">
        <w:rPr>
          <w:rFonts w:ascii="Abadi" w:hAnsi="Abadi"/>
          <w:sz w:val="21"/>
          <w:szCs w:val="21"/>
        </w:rPr>
        <w:t xml:space="preserve">Ante estas deficiencias la Comisión Nacional de Derechos Humanos ha recomendado de manera urgente a algunos congresos locales, entre ellos el de Guanajuato, a que: </w:t>
      </w:r>
    </w:p>
    <w:p w14:paraId="67DE7F6F" w14:textId="77777777" w:rsidR="00DF4FC1" w:rsidRDefault="00DF4FC1" w:rsidP="00420FAD">
      <w:pPr>
        <w:jc w:val="both"/>
        <w:rPr>
          <w:rFonts w:ascii="Abadi" w:hAnsi="Abadi"/>
          <w:sz w:val="21"/>
          <w:szCs w:val="21"/>
        </w:rPr>
      </w:pPr>
    </w:p>
    <w:p w14:paraId="3185F44E" w14:textId="48D98CC2" w:rsidR="00420FAD" w:rsidRDefault="00420FAD" w:rsidP="00420FAD">
      <w:pPr>
        <w:ind w:left="567"/>
        <w:jc w:val="both"/>
        <w:rPr>
          <w:rFonts w:ascii="Abadi" w:hAnsi="Abadi"/>
          <w:sz w:val="21"/>
          <w:szCs w:val="21"/>
        </w:rPr>
      </w:pPr>
      <w:r w:rsidRPr="009C1174">
        <w:rPr>
          <w:rFonts w:ascii="Abadi" w:hAnsi="Abadi"/>
          <w:sz w:val="20"/>
          <w:szCs w:val="20"/>
        </w:rPr>
        <w:t xml:space="preserve">Actualicen y armonicen a la mayor brevedad su LAMVLV, así como sus reglamentos y los protocolos para la emisión de órdenes de protección, toda vez que la reforma que retoma todos los elementos necesarios para una mejor emisión e implementación de las órdenes de protección fue publicada en el DOF en marzo de 2021. </w:t>
      </w:r>
      <w:r w:rsidR="00A95F52">
        <w:rPr>
          <w:rStyle w:val="Refdenotaalpie"/>
          <w:rFonts w:ascii="Abadi" w:hAnsi="Abadi"/>
          <w:sz w:val="21"/>
          <w:szCs w:val="21"/>
        </w:rPr>
        <w:footnoteReference w:id="9"/>
      </w:r>
    </w:p>
    <w:p w14:paraId="69D94694" w14:textId="77777777" w:rsidR="00DF4FC1" w:rsidRDefault="00DF4FC1" w:rsidP="00420FAD">
      <w:pPr>
        <w:ind w:left="567"/>
        <w:jc w:val="both"/>
        <w:rPr>
          <w:rFonts w:ascii="Abadi" w:hAnsi="Abadi"/>
          <w:sz w:val="21"/>
          <w:szCs w:val="21"/>
        </w:rPr>
      </w:pPr>
    </w:p>
    <w:p w14:paraId="7AFA143F" w14:textId="6D8B8F29" w:rsidR="00420FAD" w:rsidRDefault="00420FAD" w:rsidP="00420FAD">
      <w:pPr>
        <w:jc w:val="both"/>
        <w:rPr>
          <w:rFonts w:ascii="Abadi" w:hAnsi="Abadi"/>
          <w:sz w:val="21"/>
          <w:szCs w:val="21"/>
        </w:rPr>
      </w:pPr>
      <w:r w:rsidRPr="00F23DB4">
        <w:rPr>
          <w:rFonts w:ascii="Abadi" w:hAnsi="Abadi"/>
          <w:sz w:val="21"/>
          <w:szCs w:val="21"/>
        </w:rPr>
        <w:t>La importancia de las órdenes de protección, que son personalísimas e intransferibles, radica en que son una respuesta legal y oportuna que se adecua en función del interés superior de la víctima, para actuar de manera inmediata ante situaciones de violencia</w:t>
      </w:r>
      <w:r w:rsidR="00DF4FC1">
        <w:rPr>
          <w:rFonts w:ascii="Abadi" w:hAnsi="Abadi"/>
          <w:sz w:val="21"/>
          <w:szCs w:val="21"/>
        </w:rPr>
        <w:t>.</w:t>
      </w:r>
    </w:p>
    <w:p w14:paraId="1E000A50" w14:textId="77777777" w:rsidR="00DF4FC1" w:rsidRPr="00F23DB4" w:rsidRDefault="00DF4FC1" w:rsidP="00420FAD">
      <w:pPr>
        <w:jc w:val="both"/>
        <w:rPr>
          <w:rFonts w:ascii="Abadi" w:hAnsi="Abadi"/>
          <w:sz w:val="21"/>
          <w:szCs w:val="21"/>
        </w:rPr>
      </w:pPr>
    </w:p>
    <w:p w14:paraId="66E7B2C4" w14:textId="7D4AE726" w:rsidR="00420FAD" w:rsidRDefault="00420FAD" w:rsidP="00420FAD">
      <w:pPr>
        <w:jc w:val="both"/>
        <w:rPr>
          <w:rFonts w:ascii="Abadi" w:hAnsi="Abadi"/>
          <w:sz w:val="21"/>
          <w:szCs w:val="21"/>
        </w:rPr>
      </w:pPr>
      <w:r w:rsidRPr="00F23DB4">
        <w:rPr>
          <w:rFonts w:ascii="Abadi" w:hAnsi="Abadi"/>
          <w:sz w:val="21"/>
          <w:szCs w:val="21"/>
        </w:rPr>
        <w:t>De acuerdo con los resultados de la Encuesta Nacional sobre la Dinámica de las Relaciones en los Hogares</w:t>
      </w:r>
      <w:r w:rsidR="00BC7F30">
        <w:rPr>
          <w:rStyle w:val="Refdenotaalpie"/>
          <w:rFonts w:ascii="Abadi" w:hAnsi="Abadi"/>
          <w:sz w:val="21"/>
          <w:szCs w:val="21"/>
        </w:rPr>
        <w:footnoteReference w:id="10"/>
      </w:r>
      <w:r w:rsidRPr="00F23DB4">
        <w:rPr>
          <w:rFonts w:ascii="Abadi" w:hAnsi="Abadi"/>
          <w:sz w:val="21"/>
          <w:szCs w:val="21"/>
        </w:rPr>
        <w:t xml:space="preserve"> (ENDIREH) a nivel nacional por cada 100 mujeres que experimentaron algún incidente de violencia por parte de su pareja actual o última solo 12 han presentado alguna denuncia y/o solicitaron apoyo, de estas 6 únicamente solicitaron apoyo a alguna institución, evidenciando así el poco acceso que tienen las mujeres a la justicia y por ende, a la adopción de medidas urgentes como las órdenes de protección. Como parte de una de las recomendaciones que realizó el Comité para la Eliminación de la Discriminación contra la Mujer, es la que el estado parte “Vele por que la información sobre los recursos legales esté a disposición de las mujeres víctimas de la violencia de género y cualquier forma de discriminación”.</w:t>
      </w:r>
      <w:r w:rsidR="00BC7F30">
        <w:rPr>
          <w:rStyle w:val="Refdenotaalpie"/>
          <w:rFonts w:ascii="Abadi" w:hAnsi="Abadi"/>
          <w:sz w:val="21"/>
          <w:szCs w:val="21"/>
        </w:rPr>
        <w:footnoteReference w:id="11"/>
      </w:r>
      <w:r w:rsidRPr="00F23DB4">
        <w:rPr>
          <w:rFonts w:ascii="Abadi" w:hAnsi="Abadi"/>
          <w:sz w:val="21"/>
          <w:szCs w:val="21"/>
        </w:rPr>
        <w:t xml:space="preserve"> </w:t>
      </w:r>
    </w:p>
    <w:p w14:paraId="2ABFB17E" w14:textId="77777777" w:rsidR="00DF4FC1" w:rsidRDefault="00DF4FC1" w:rsidP="00420FAD">
      <w:pPr>
        <w:jc w:val="both"/>
        <w:rPr>
          <w:rFonts w:ascii="Abadi" w:hAnsi="Abadi"/>
          <w:sz w:val="21"/>
          <w:szCs w:val="21"/>
        </w:rPr>
      </w:pPr>
    </w:p>
    <w:p w14:paraId="61C1E909" w14:textId="0834C5C3" w:rsidR="00420FAD" w:rsidRDefault="00420FAD" w:rsidP="00420FAD">
      <w:pPr>
        <w:jc w:val="both"/>
        <w:rPr>
          <w:rFonts w:ascii="Abadi" w:hAnsi="Abadi"/>
          <w:sz w:val="21"/>
          <w:szCs w:val="21"/>
        </w:rPr>
      </w:pPr>
      <w:r w:rsidRPr="00F23DB4">
        <w:rPr>
          <w:rFonts w:ascii="Abadi" w:hAnsi="Abadi"/>
          <w:sz w:val="21"/>
          <w:szCs w:val="21"/>
        </w:rPr>
        <w:t>Muchas mujeres víctimas y/o en riesgo no denuncian o solicitan apoyo por diversas razones, entre las que se encuentran el miedo a las consecuencias, el estar amenazadas, temor a ser revictimizadas, y también por la desconfianza a las instituciones y desconocimiento del proceso. Todo esto dificulta que puedan acceder a mecanismos de atención y al otorgamiento de órdenes de protección que permitan salvaguardar su integridad. La reforma señala que “las autoridades deberán proporcionar a las mujeres que lo soliciten toda la información suficiente, clara y precisa en torno a estas medidas protección y las autoridades deberán realizar una valoración del riesgo médica y psicológica en caso de ser necesario”</w:t>
      </w:r>
      <w:r w:rsidR="00BC7F30">
        <w:rPr>
          <w:rStyle w:val="Refdenotaalpie"/>
          <w:rFonts w:ascii="Abadi" w:hAnsi="Abadi"/>
          <w:sz w:val="21"/>
          <w:szCs w:val="21"/>
        </w:rPr>
        <w:footnoteReference w:id="12"/>
      </w:r>
      <w:r w:rsidRPr="00F23DB4">
        <w:rPr>
          <w:rFonts w:ascii="Abadi" w:hAnsi="Abadi"/>
          <w:sz w:val="21"/>
          <w:szCs w:val="21"/>
        </w:rPr>
        <w:t xml:space="preserve">. </w:t>
      </w:r>
    </w:p>
    <w:p w14:paraId="0B55D864" w14:textId="77777777" w:rsidR="00BC7F30" w:rsidRDefault="00BC7F30" w:rsidP="00420FAD">
      <w:pPr>
        <w:jc w:val="both"/>
        <w:rPr>
          <w:rFonts w:ascii="Abadi" w:hAnsi="Abadi"/>
          <w:sz w:val="21"/>
          <w:szCs w:val="21"/>
        </w:rPr>
      </w:pPr>
    </w:p>
    <w:p w14:paraId="6715E452" w14:textId="2FF5FF74" w:rsidR="00420FAD" w:rsidRDefault="00420FAD" w:rsidP="00420FAD">
      <w:pPr>
        <w:jc w:val="both"/>
        <w:rPr>
          <w:rFonts w:ascii="Abadi" w:hAnsi="Abadi"/>
          <w:sz w:val="21"/>
          <w:szCs w:val="21"/>
        </w:rPr>
      </w:pPr>
      <w:r w:rsidRPr="00F23DB4">
        <w:rPr>
          <w:rFonts w:ascii="Abadi" w:hAnsi="Abadi"/>
          <w:sz w:val="21"/>
          <w:szCs w:val="21"/>
        </w:rPr>
        <w:t xml:space="preserve">Al homologar la legislación, las órdenes de protección pueden ser otorgadas por instancias como el Ministerio Público o por los órganos judiciales, según la naturaleza de estas, o bien, pueden ser solicitadas por cualquier persona y tras una valoración de los hechos, son las autoridades competentes quienes deciden su emisión, dictadas bajo determinados principios. </w:t>
      </w:r>
    </w:p>
    <w:p w14:paraId="4F6BA56B" w14:textId="77777777" w:rsidR="00DF4FC1" w:rsidRDefault="00DF4FC1" w:rsidP="00420FAD">
      <w:pPr>
        <w:jc w:val="both"/>
        <w:rPr>
          <w:rFonts w:ascii="Abadi" w:hAnsi="Abadi"/>
          <w:sz w:val="21"/>
          <w:szCs w:val="21"/>
        </w:rPr>
      </w:pPr>
    </w:p>
    <w:p w14:paraId="4DE506C3" w14:textId="15A44AE2" w:rsidR="00420FAD" w:rsidRDefault="00420FAD" w:rsidP="00420FAD">
      <w:pPr>
        <w:jc w:val="both"/>
        <w:rPr>
          <w:rFonts w:ascii="Abadi" w:hAnsi="Abadi"/>
          <w:sz w:val="21"/>
          <w:szCs w:val="21"/>
        </w:rPr>
      </w:pPr>
      <w:r w:rsidRPr="00F23DB4">
        <w:rPr>
          <w:rFonts w:ascii="Abadi" w:hAnsi="Abadi"/>
          <w:sz w:val="21"/>
          <w:szCs w:val="21"/>
        </w:rPr>
        <w:t xml:space="preserve">La CNDH ha declarado una serie de observaciones y recomendaciones para el correcto cumplimiento de las órdenes de protección: “se requiere personal sensible y capacitado en la materia, así como recursos materiales, e igualmente se requiere de la participación de otras autoridades para apoyar a la consecución de este fin” </w:t>
      </w:r>
      <w:r w:rsidR="00BC7F30">
        <w:rPr>
          <w:rStyle w:val="Refdenotaalpie"/>
          <w:rFonts w:ascii="Abadi" w:hAnsi="Abadi"/>
          <w:sz w:val="21"/>
          <w:szCs w:val="21"/>
        </w:rPr>
        <w:footnoteReference w:id="13"/>
      </w:r>
      <w:r w:rsidRPr="00F23DB4">
        <w:rPr>
          <w:rFonts w:ascii="Abadi" w:hAnsi="Abadi"/>
          <w:sz w:val="21"/>
          <w:szCs w:val="21"/>
        </w:rPr>
        <w:t xml:space="preserve">. </w:t>
      </w:r>
    </w:p>
    <w:p w14:paraId="2E53D59C" w14:textId="77777777" w:rsidR="00DF4FC1" w:rsidRDefault="00DF4FC1" w:rsidP="00420FAD">
      <w:pPr>
        <w:jc w:val="both"/>
        <w:rPr>
          <w:rFonts w:ascii="Abadi" w:hAnsi="Abadi"/>
          <w:sz w:val="21"/>
          <w:szCs w:val="21"/>
        </w:rPr>
      </w:pPr>
    </w:p>
    <w:p w14:paraId="66415309" w14:textId="6EC8C2BA" w:rsidR="00420FAD" w:rsidRDefault="00420FAD" w:rsidP="00420FAD">
      <w:pPr>
        <w:jc w:val="both"/>
        <w:rPr>
          <w:rFonts w:ascii="Abadi" w:hAnsi="Abadi"/>
          <w:sz w:val="21"/>
          <w:szCs w:val="21"/>
        </w:rPr>
      </w:pPr>
      <w:r w:rsidRPr="00F23DB4">
        <w:rPr>
          <w:rFonts w:ascii="Abadi" w:hAnsi="Abadi"/>
          <w:sz w:val="21"/>
          <w:szCs w:val="21"/>
        </w:rPr>
        <w:t>Todas las autoridades públicas tenemos la obligación constitucional de promover, respetar, proteger y garantizar los derechos humanos, además de adoptar las medidas para erradicar la discriminación, la desigualdad de género y toda forma de violencia contra las mujeres</w:t>
      </w:r>
      <w:r w:rsidR="00BC7F30">
        <w:rPr>
          <w:rStyle w:val="Refdenotaalpie"/>
          <w:rFonts w:ascii="Abadi" w:hAnsi="Abadi"/>
          <w:sz w:val="21"/>
          <w:szCs w:val="21"/>
        </w:rPr>
        <w:footnoteReference w:id="14"/>
      </w:r>
      <w:r w:rsidRPr="00F23DB4">
        <w:rPr>
          <w:rFonts w:ascii="Abadi" w:hAnsi="Abadi"/>
          <w:sz w:val="21"/>
          <w:szCs w:val="21"/>
        </w:rPr>
        <w:t xml:space="preserve">. Por esto, la y el iniciante consideramos pertinente armonizar y actualizar el marco normativo vigente de la Ley de Acceso a las Mujeres a una Vida Libre de Violencia en el estado de Guanajuato, reforzando y ampliando las órdenes de protección, su aplicación y la adopción de los diversos principios rectores que considera la Ley General, con la finalidad de brindar una protección integral y temprana a las víctimas tanto directas como indirectas, conforme a sus necesidades particulares. </w:t>
      </w:r>
    </w:p>
    <w:p w14:paraId="034FAC6D" w14:textId="77777777" w:rsidR="00DF4FC1" w:rsidRDefault="00DF4FC1" w:rsidP="00420FAD">
      <w:pPr>
        <w:jc w:val="both"/>
        <w:rPr>
          <w:rFonts w:ascii="Abadi" w:hAnsi="Abadi"/>
          <w:sz w:val="21"/>
          <w:szCs w:val="21"/>
        </w:rPr>
      </w:pPr>
    </w:p>
    <w:p w14:paraId="731B6532" w14:textId="22968560" w:rsidR="00420FAD" w:rsidRDefault="00420FAD" w:rsidP="00420FAD">
      <w:pPr>
        <w:jc w:val="both"/>
        <w:rPr>
          <w:rFonts w:ascii="Abadi" w:hAnsi="Abadi"/>
          <w:sz w:val="21"/>
          <w:szCs w:val="21"/>
        </w:rPr>
      </w:pPr>
      <w:r w:rsidRPr="00F23DB4">
        <w:rPr>
          <w:rFonts w:ascii="Abadi" w:hAnsi="Abadi"/>
          <w:sz w:val="21"/>
          <w:szCs w:val="21"/>
        </w:rPr>
        <w:t xml:space="preserve">De aprobarse, esta iniciativa fortalecerá el mecanismo de las órdenes de protección, expidiéndose de manera inmediata o a más tardar dentro de las 4 horas siguientes al conocimiento de los hechos que las generan, en vez de tardar las 8 horas que dicta la legislación actual, agilizando el proceso y actuando con prontitud para salvaguardar la integridad y vida de las víctimas. </w:t>
      </w:r>
    </w:p>
    <w:p w14:paraId="03877B10" w14:textId="77777777" w:rsidR="00DF4FC1" w:rsidRDefault="00DF4FC1" w:rsidP="00420FAD">
      <w:pPr>
        <w:jc w:val="both"/>
        <w:rPr>
          <w:rFonts w:ascii="Abadi" w:hAnsi="Abadi"/>
          <w:sz w:val="21"/>
          <w:szCs w:val="21"/>
        </w:rPr>
      </w:pPr>
    </w:p>
    <w:p w14:paraId="7D0622B3" w14:textId="3995F232" w:rsidR="00420FAD" w:rsidRDefault="00420FAD" w:rsidP="00420FAD">
      <w:pPr>
        <w:jc w:val="both"/>
        <w:rPr>
          <w:rFonts w:ascii="Abadi" w:hAnsi="Abadi"/>
          <w:sz w:val="21"/>
          <w:szCs w:val="21"/>
        </w:rPr>
      </w:pPr>
      <w:r w:rsidRPr="00F23DB4">
        <w:rPr>
          <w:rFonts w:ascii="Abadi" w:hAnsi="Abadi"/>
          <w:sz w:val="21"/>
          <w:szCs w:val="21"/>
        </w:rPr>
        <w:t xml:space="preserve">Adicionalmente, se extenderá la temporalidad de este recurso legal, pasando de setenta y dos horas a una duración de hasta 60 días, prorrogables por 30 días más o por el tiempo que dure la investigación, o prolongarse hasta que cese la situación de riesgo para la víctima, brindando una mayor protección para la víctima. </w:t>
      </w:r>
    </w:p>
    <w:p w14:paraId="48793557" w14:textId="77777777" w:rsidR="00DF4FC1" w:rsidRDefault="00DF4FC1" w:rsidP="00420FAD">
      <w:pPr>
        <w:jc w:val="both"/>
        <w:rPr>
          <w:rFonts w:ascii="Abadi" w:hAnsi="Abadi"/>
          <w:sz w:val="21"/>
          <w:szCs w:val="21"/>
        </w:rPr>
      </w:pPr>
    </w:p>
    <w:p w14:paraId="6F6E30D3" w14:textId="7F88CE5B" w:rsidR="00420FAD" w:rsidRDefault="00420FAD" w:rsidP="00420FAD">
      <w:pPr>
        <w:jc w:val="both"/>
        <w:rPr>
          <w:rFonts w:ascii="Abadi" w:hAnsi="Abadi"/>
          <w:sz w:val="21"/>
          <w:szCs w:val="21"/>
        </w:rPr>
      </w:pPr>
      <w:r w:rsidRPr="00F23DB4">
        <w:rPr>
          <w:rFonts w:ascii="Abadi" w:hAnsi="Abadi"/>
          <w:sz w:val="21"/>
          <w:szCs w:val="21"/>
        </w:rPr>
        <w:t>De conformidad con el artículo 209 de la Ley Orgánica del Poder Legislativo del Estado de Guanajuato, precisamos los siguientes impactos:</w:t>
      </w:r>
    </w:p>
    <w:p w14:paraId="3E616614" w14:textId="77777777" w:rsidR="00DF4FC1" w:rsidRDefault="00DF4FC1" w:rsidP="00420FAD">
      <w:pPr>
        <w:jc w:val="both"/>
        <w:rPr>
          <w:rFonts w:ascii="Abadi" w:hAnsi="Abadi"/>
          <w:sz w:val="21"/>
          <w:szCs w:val="21"/>
        </w:rPr>
      </w:pPr>
    </w:p>
    <w:p w14:paraId="7153FBF8" w14:textId="77777777" w:rsidR="00420FAD" w:rsidRPr="00DF4FC1" w:rsidRDefault="00420FAD" w:rsidP="00854555">
      <w:pPr>
        <w:pStyle w:val="Prrafodelista"/>
        <w:numPr>
          <w:ilvl w:val="0"/>
          <w:numId w:val="35"/>
        </w:numPr>
        <w:contextualSpacing/>
        <w:jc w:val="both"/>
        <w:rPr>
          <w:rFonts w:ascii="Abadi" w:hAnsi="Abadi"/>
          <w:sz w:val="21"/>
          <w:szCs w:val="21"/>
        </w:rPr>
      </w:pPr>
      <w:r w:rsidRPr="00DF4FC1">
        <w:rPr>
          <w:rFonts w:ascii="Abadi" w:hAnsi="Abadi"/>
          <w:b/>
          <w:bCs/>
          <w:sz w:val="21"/>
          <w:szCs w:val="21"/>
        </w:rPr>
        <w:t>Impacto jurídico:</w:t>
      </w:r>
      <w:r w:rsidRPr="00DF4FC1">
        <w:rPr>
          <w:rFonts w:ascii="Abadi" w:hAnsi="Abadi"/>
          <w:sz w:val="21"/>
          <w:szCs w:val="21"/>
        </w:rPr>
        <w:t xml:space="preserve"> Se reforma el artículo 42 y se adiciona un segundo párrafo; se deroga el artículo 43; se reforma el artículo 44; se adicionan los artículos 44 Bis, 44 Ter, 44 </w:t>
      </w:r>
      <w:proofErr w:type="spellStart"/>
      <w:r w:rsidRPr="00DF4FC1">
        <w:rPr>
          <w:rFonts w:ascii="Abadi" w:hAnsi="Abadi"/>
          <w:sz w:val="21"/>
          <w:szCs w:val="21"/>
        </w:rPr>
        <w:t>Quáter</w:t>
      </w:r>
      <w:proofErr w:type="spellEnd"/>
      <w:r w:rsidRPr="00DF4FC1">
        <w:rPr>
          <w:rFonts w:ascii="Abadi" w:hAnsi="Abadi"/>
          <w:sz w:val="21"/>
          <w:szCs w:val="21"/>
        </w:rPr>
        <w:t xml:space="preserve">, 44 Quinquies, 44 </w:t>
      </w:r>
      <w:proofErr w:type="spellStart"/>
      <w:r w:rsidRPr="00DF4FC1">
        <w:rPr>
          <w:rFonts w:ascii="Abadi" w:hAnsi="Abadi"/>
          <w:sz w:val="21"/>
          <w:szCs w:val="21"/>
        </w:rPr>
        <w:t>Sexies</w:t>
      </w:r>
      <w:proofErr w:type="spellEnd"/>
      <w:r w:rsidRPr="00DF4FC1">
        <w:rPr>
          <w:rFonts w:ascii="Abadi" w:hAnsi="Abadi"/>
          <w:sz w:val="21"/>
          <w:szCs w:val="21"/>
        </w:rPr>
        <w:t xml:space="preserve">, 44 </w:t>
      </w:r>
      <w:proofErr w:type="spellStart"/>
      <w:r w:rsidRPr="00DF4FC1">
        <w:rPr>
          <w:rFonts w:ascii="Abadi" w:hAnsi="Abadi"/>
          <w:sz w:val="21"/>
          <w:szCs w:val="21"/>
        </w:rPr>
        <w:t>Septies</w:t>
      </w:r>
      <w:proofErr w:type="spellEnd"/>
      <w:r w:rsidRPr="00DF4FC1">
        <w:rPr>
          <w:rFonts w:ascii="Abadi" w:hAnsi="Abadi"/>
          <w:sz w:val="21"/>
          <w:szCs w:val="21"/>
        </w:rPr>
        <w:t xml:space="preserve">, 44 </w:t>
      </w:r>
      <w:proofErr w:type="spellStart"/>
      <w:r w:rsidRPr="00DF4FC1">
        <w:rPr>
          <w:rFonts w:ascii="Abadi" w:hAnsi="Abadi"/>
          <w:sz w:val="21"/>
          <w:szCs w:val="21"/>
        </w:rPr>
        <w:t>Octies</w:t>
      </w:r>
      <w:proofErr w:type="spellEnd"/>
      <w:r w:rsidRPr="00DF4FC1">
        <w:rPr>
          <w:rFonts w:ascii="Abadi" w:hAnsi="Abadi"/>
          <w:sz w:val="21"/>
          <w:szCs w:val="21"/>
        </w:rPr>
        <w:t xml:space="preserve">; se reforman los artículo 45, 46, 47, 48, 49; se adicionan los artículos 49 Bis, 49 Ter, 49 </w:t>
      </w:r>
      <w:proofErr w:type="spellStart"/>
      <w:r w:rsidRPr="00DF4FC1">
        <w:rPr>
          <w:rFonts w:ascii="Abadi" w:hAnsi="Abadi"/>
          <w:sz w:val="21"/>
          <w:szCs w:val="21"/>
        </w:rPr>
        <w:t>Quáter</w:t>
      </w:r>
      <w:proofErr w:type="spellEnd"/>
      <w:r w:rsidRPr="00DF4FC1">
        <w:rPr>
          <w:rFonts w:ascii="Abadi" w:hAnsi="Abadi"/>
          <w:sz w:val="21"/>
          <w:szCs w:val="21"/>
        </w:rPr>
        <w:t xml:space="preserve">, 49 Quinquies y 49 </w:t>
      </w:r>
      <w:proofErr w:type="spellStart"/>
      <w:r w:rsidRPr="00DF4FC1">
        <w:rPr>
          <w:rFonts w:ascii="Abadi" w:hAnsi="Abadi"/>
          <w:sz w:val="21"/>
          <w:szCs w:val="21"/>
        </w:rPr>
        <w:t>Sexies</w:t>
      </w:r>
      <w:proofErr w:type="spellEnd"/>
      <w:r w:rsidRPr="00DF4FC1">
        <w:rPr>
          <w:rFonts w:ascii="Abadi" w:hAnsi="Abadi"/>
          <w:sz w:val="21"/>
          <w:szCs w:val="21"/>
        </w:rPr>
        <w:t xml:space="preserve">; se reforman los artículos 50 y 51; todo lo anterior de la Ley de Acceso a las Mujeres a una Vida Libre de Violencia para el estado de Guanajuato. </w:t>
      </w:r>
    </w:p>
    <w:p w14:paraId="3DF659E5" w14:textId="77777777" w:rsidR="00420FAD" w:rsidRPr="00DF4FC1" w:rsidRDefault="00420FAD" w:rsidP="00854555">
      <w:pPr>
        <w:pStyle w:val="Prrafodelista"/>
        <w:ind w:left="720"/>
        <w:jc w:val="both"/>
        <w:rPr>
          <w:rFonts w:ascii="Abadi" w:hAnsi="Abadi"/>
          <w:sz w:val="21"/>
          <w:szCs w:val="21"/>
        </w:rPr>
      </w:pPr>
    </w:p>
    <w:p w14:paraId="2EE38953" w14:textId="77777777" w:rsidR="00420FAD" w:rsidRPr="00DF4FC1" w:rsidRDefault="00420FAD" w:rsidP="00343CA9">
      <w:pPr>
        <w:pStyle w:val="Prrafodelista"/>
        <w:numPr>
          <w:ilvl w:val="0"/>
          <w:numId w:val="35"/>
        </w:numPr>
        <w:spacing w:after="160" w:line="259" w:lineRule="auto"/>
        <w:contextualSpacing/>
        <w:jc w:val="both"/>
        <w:rPr>
          <w:rFonts w:ascii="Abadi" w:hAnsi="Abadi"/>
          <w:sz w:val="21"/>
          <w:szCs w:val="21"/>
        </w:rPr>
      </w:pPr>
      <w:r w:rsidRPr="00DF4FC1">
        <w:rPr>
          <w:rFonts w:ascii="Abadi" w:hAnsi="Abadi"/>
          <w:b/>
          <w:bCs/>
          <w:sz w:val="21"/>
          <w:szCs w:val="21"/>
        </w:rPr>
        <w:t>Impacto administrativo:</w:t>
      </w:r>
      <w:r w:rsidRPr="00DF4FC1">
        <w:rPr>
          <w:rFonts w:ascii="Abadi" w:hAnsi="Abadi"/>
          <w:sz w:val="21"/>
          <w:szCs w:val="21"/>
        </w:rPr>
        <w:t xml:space="preserve"> Implicará que las instituciones encargadas de otorgar las órdenes de protección mejoren y complementen las condiciones y mecanismos para proteger y garantizar los derechos de las mujeres, adolescentes y niñas víctimas de una situación de violencia o de algún hecho que ponga en riesgo su integridad, libertad o su vida.</w:t>
      </w:r>
    </w:p>
    <w:p w14:paraId="6A17F48A" w14:textId="77777777" w:rsidR="00420FAD" w:rsidRPr="00DF4FC1" w:rsidRDefault="00420FAD" w:rsidP="00420FAD">
      <w:pPr>
        <w:pStyle w:val="Prrafodelista"/>
        <w:rPr>
          <w:rFonts w:ascii="Abadi" w:hAnsi="Abadi"/>
          <w:sz w:val="21"/>
          <w:szCs w:val="21"/>
        </w:rPr>
      </w:pPr>
    </w:p>
    <w:p w14:paraId="340D4599" w14:textId="77777777" w:rsidR="00420FAD" w:rsidRPr="00DF4FC1" w:rsidRDefault="00420FAD" w:rsidP="00343CA9">
      <w:pPr>
        <w:pStyle w:val="Prrafodelista"/>
        <w:numPr>
          <w:ilvl w:val="0"/>
          <w:numId w:val="35"/>
        </w:numPr>
        <w:spacing w:after="160" w:line="259" w:lineRule="auto"/>
        <w:contextualSpacing/>
        <w:jc w:val="both"/>
        <w:rPr>
          <w:rFonts w:ascii="Abadi" w:hAnsi="Abadi"/>
          <w:sz w:val="21"/>
          <w:szCs w:val="21"/>
        </w:rPr>
      </w:pPr>
      <w:r w:rsidRPr="00DF4FC1">
        <w:rPr>
          <w:rFonts w:ascii="Abadi" w:hAnsi="Abadi"/>
          <w:b/>
          <w:bCs/>
          <w:sz w:val="21"/>
          <w:szCs w:val="21"/>
        </w:rPr>
        <w:t>Impacto presupuestario:</w:t>
      </w:r>
      <w:r w:rsidRPr="00DF4FC1">
        <w:rPr>
          <w:rFonts w:ascii="Abadi" w:hAnsi="Abadi"/>
          <w:sz w:val="21"/>
          <w:szCs w:val="21"/>
        </w:rPr>
        <w:t xml:space="preserve"> No existe impacto presupuestario con esta iniciativa, ya se cuenta con una estructura institucional para realizar estas funciones </w:t>
      </w:r>
    </w:p>
    <w:p w14:paraId="7C33D4E5" w14:textId="77777777" w:rsidR="00420FAD" w:rsidRPr="00DF4FC1" w:rsidRDefault="00420FAD" w:rsidP="00420FAD">
      <w:pPr>
        <w:pStyle w:val="Prrafodelista"/>
        <w:rPr>
          <w:rFonts w:ascii="Abadi" w:hAnsi="Abadi"/>
          <w:sz w:val="21"/>
          <w:szCs w:val="21"/>
        </w:rPr>
      </w:pPr>
    </w:p>
    <w:p w14:paraId="6B7B5EFB" w14:textId="77777777" w:rsidR="00420FAD" w:rsidRPr="000D2C85" w:rsidRDefault="00420FAD" w:rsidP="00343CA9">
      <w:pPr>
        <w:pStyle w:val="Prrafodelista"/>
        <w:numPr>
          <w:ilvl w:val="0"/>
          <w:numId w:val="35"/>
        </w:numPr>
        <w:spacing w:line="259" w:lineRule="auto"/>
        <w:contextualSpacing/>
        <w:jc w:val="both"/>
        <w:rPr>
          <w:rFonts w:ascii="Abadi" w:hAnsi="Abadi"/>
          <w:sz w:val="21"/>
          <w:szCs w:val="21"/>
        </w:rPr>
      </w:pPr>
      <w:r w:rsidRPr="00DF4FC1">
        <w:rPr>
          <w:rFonts w:ascii="Abadi" w:hAnsi="Abadi"/>
          <w:b/>
          <w:bCs/>
          <w:sz w:val="21"/>
          <w:szCs w:val="21"/>
        </w:rPr>
        <w:t>Impacto social:</w:t>
      </w:r>
      <w:r w:rsidRPr="00DF4FC1">
        <w:rPr>
          <w:rFonts w:ascii="Abadi" w:hAnsi="Abadi"/>
          <w:sz w:val="21"/>
          <w:szCs w:val="21"/>
        </w:rPr>
        <w:t xml:space="preserve"> Se fortalece la legislación local en materia de protección y garantía de los derechos humanos de las mujeres, en armonía con la Ley General en la materia, con lo cual se contribuye a construir un marco legal a la altura de los retos que</w:t>
      </w:r>
      <w:r w:rsidRPr="000D2C85">
        <w:rPr>
          <w:rFonts w:ascii="Abadi" w:hAnsi="Abadi"/>
          <w:sz w:val="21"/>
          <w:szCs w:val="21"/>
        </w:rPr>
        <w:t xml:space="preserve"> impone la violencia contra las mujeres y, así, generar los mecanismos institucionales adecuados para su combate Por lo anteriormente expuesto, someto a la consideración de este H. Congreso del Estado de Guanajuato el siguiente: </w:t>
      </w:r>
    </w:p>
    <w:p w14:paraId="36FC3DD5" w14:textId="77777777" w:rsidR="00ED1177" w:rsidRDefault="00ED1177" w:rsidP="00420FAD">
      <w:pPr>
        <w:jc w:val="center"/>
        <w:rPr>
          <w:rFonts w:ascii="Abadi" w:hAnsi="Abadi"/>
          <w:b/>
          <w:bCs/>
          <w:sz w:val="21"/>
          <w:szCs w:val="21"/>
        </w:rPr>
      </w:pPr>
    </w:p>
    <w:p w14:paraId="76F7C4E2" w14:textId="47A2434A" w:rsidR="00420FAD" w:rsidRDefault="00420FAD" w:rsidP="00420FAD">
      <w:pPr>
        <w:jc w:val="center"/>
        <w:rPr>
          <w:rFonts w:ascii="Abadi" w:hAnsi="Abadi"/>
          <w:b/>
          <w:bCs/>
          <w:sz w:val="21"/>
          <w:szCs w:val="21"/>
        </w:rPr>
      </w:pPr>
      <w:r w:rsidRPr="000D2C85">
        <w:rPr>
          <w:rFonts w:ascii="Abadi" w:hAnsi="Abadi"/>
          <w:b/>
          <w:bCs/>
          <w:sz w:val="21"/>
          <w:szCs w:val="21"/>
        </w:rPr>
        <w:t>DECRETO</w:t>
      </w:r>
    </w:p>
    <w:p w14:paraId="75548C96" w14:textId="77777777" w:rsidR="00ED1177" w:rsidRPr="000D2C85" w:rsidRDefault="00ED1177" w:rsidP="00420FAD">
      <w:pPr>
        <w:jc w:val="center"/>
        <w:rPr>
          <w:rFonts w:ascii="Abadi" w:hAnsi="Abadi"/>
          <w:b/>
          <w:bCs/>
          <w:sz w:val="21"/>
          <w:szCs w:val="21"/>
        </w:rPr>
      </w:pPr>
    </w:p>
    <w:p w14:paraId="0694D890" w14:textId="77777777" w:rsidR="00ED1177" w:rsidRDefault="00420FAD" w:rsidP="00420FAD">
      <w:pPr>
        <w:jc w:val="both"/>
        <w:rPr>
          <w:rFonts w:ascii="Abadi" w:hAnsi="Abadi"/>
          <w:sz w:val="21"/>
          <w:szCs w:val="21"/>
        </w:rPr>
      </w:pPr>
      <w:r w:rsidRPr="000D2C85">
        <w:rPr>
          <w:rFonts w:ascii="Abadi" w:hAnsi="Abadi"/>
          <w:b/>
          <w:bCs/>
          <w:sz w:val="21"/>
          <w:szCs w:val="21"/>
        </w:rPr>
        <w:t>ARTÍCULO ÚNICO:</w:t>
      </w:r>
      <w:r w:rsidRPr="00F23DB4">
        <w:rPr>
          <w:rFonts w:ascii="Abadi" w:hAnsi="Abadi"/>
          <w:sz w:val="21"/>
          <w:szCs w:val="21"/>
        </w:rPr>
        <w:t xml:space="preserve"> Se reforma el artículo 42 y se adiciona un segundo párrafo; se deroga el artículo 43; se reforma el artículo 44; se adicionan los artículos 44 Bis, 44 Ter, 44 </w:t>
      </w:r>
      <w:proofErr w:type="spellStart"/>
      <w:r w:rsidRPr="00F23DB4">
        <w:rPr>
          <w:rFonts w:ascii="Abadi" w:hAnsi="Abadi"/>
          <w:sz w:val="21"/>
          <w:szCs w:val="21"/>
        </w:rPr>
        <w:t>Quáter</w:t>
      </w:r>
      <w:proofErr w:type="spellEnd"/>
      <w:r w:rsidRPr="00F23DB4">
        <w:rPr>
          <w:rFonts w:ascii="Abadi" w:hAnsi="Abadi"/>
          <w:sz w:val="21"/>
          <w:szCs w:val="21"/>
        </w:rPr>
        <w:t xml:space="preserve">, 44 Quinquies, 44 </w:t>
      </w:r>
      <w:proofErr w:type="spellStart"/>
      <w:r w:rsidRPr="00F23DB4">
        <w:rPr>
          <w:rFonts w:ascii="Abadi" w:hAnsi="Abadi"/>
          <w:sz w:val="21"/>
          <w:szCs w:val="21"/>
        </w:rPr>
        <w:t>Sexies</w:t>
      </w:r>
      <w:proofErr w:type="spellEnd"/>
      <w:r w:rsidRPr="00F23DB4">
        <w:rPr>
          <w:rFonts w:ascii="Abadi" w:hAnsi="Abadi"/>
          <w:sz w:val="21"/>
          <w:szCs w:val="21"/>
        </w:rPr>
        <w:t xml:space="preserve">, 44 </w:t>
      </w:r>
      <w:proofErr w:type="spellStart"/>
      <w:r w:rsidRPr="00F23DB4">
        <w:rPr>
          <w:rFonts w:ascii="Abadi" w:hAnsi="Abadi"/>
          <w:sz w:val="21"/>
          <w:szCs w:val="21"/>
        </w:rPr>
        <w:t>Septies</w:t>
      </w:r>
      <w:proofErr w:type="spellEnd"/>
      <w:r w:rsidRPr="00F23DB4">
        <w:rPr>
          <w:rFonts w:ascii="Abadi" w:hAnsi="Abadi"/>
          <w:sz w:val="21"/>
          <w:szCs w:val="21"/>
        </w:rPr>
        <w:t xml:space="preserve">, 44 </w:t>
      </w:r>
      <w:proofErr w:type="spellStart"/>
      <w:r w:rsidRPr="00F23DB4">
        <w:rPr>
          <w:rFonts w:ascii="Abadi" w:hAnsi="Abadi"/>
          <w:sz w:val="21"/>
          <w:szCs w:val="21"/>
        </w:rPr>
        <w:t>Octies</w:t>
      </w:r>
      <w:proofErr w:type="spellEnd"/>
      <w:r w:rsidRPr="00F23DB4">
        <w:rPr>
          <w:rFonts w:ascii="Abadi" w:hAnsi="Abadi"/>
          <w:sz w:val="21"/>
          <w:szCs w:val="21"/>
        </w:rPr>
        <w:t xml:space="preserve">; se reforman los artículo 45, 46, 47, 48, 49; se adicionan los artículos 49 Bis, 49 Ter, 49 </w:t>
      </w:r>
      <w:proofErr w:type="spellStart"/>
      <w:r w:rsidRPr="00F23DB4">
        <w:rPr>
          <w:rFonts w:ascii="Abadi" w:hAnsi="Abadi"/>
          <w:sz w:val="21"/>
          <w:szCs w:val="21"/>
        </w:rPr>
        <w:t>Quáter</w:t>
      </w:r>
      <w:proofErr w:type="spellEnd"/>
      <w:r w:rsidRPr="00F23DB4">
        <w:rPr>
          <w:rFonts w:ascii="Abadi" w:hAnsi="Abadi"/>
          <w:sz w:val="21"/>
          <w:szCs w:val="21"/>
        </w:rPr>
        <w:t xml:space="preserve">, 49 Quinquies y 49 </w:t>
      </w:r>
      <w:proofErr w:type="spellStart"/>
      <w:r w:rsidRPr="00F23DB4">
        <w:rPr>
          <w:rFonts w:ascii="Abadi" w:hAnsi="Abadi"/>
          <w:sz w:val="21"/>
          <w:szCs w:val="21"/>
        </w:rPr>
        <w:t>Sexies</w:t>
      </w:r>
      <w:proofErr w:type="spellEnd"/>
      <w:r w:rsidRPr="00F23DB4">
        <w:rPr>
          <w:rFonts w:ascii="Abadi" w:hAnsi="Abadi"/>
          <w:sz w:val="21"/>
          <w:szCs w:val="21"/>
        </w:rPr>
        <w:t>; se reforman los artículos 50 y 51; todo lo anterior de la Ley de Acceso a las Mujeres a una Vida Libre de Violencia para el estado de Guanajuato, para quedar como sigue:</w:t>
      </w:r>
    </w:p>
    <w:p w14:paraId="1A48FC21" w14:textId="05DCE6F4" w:rsidR="00420FAD" w:rsidRDefault="00420FAD" w:rsidP="00420FAD">
      <w:pPr>
        <w:jc w:val="both"/>
        <w:rPr>
          <w:rFonts w:ascii="Abadi" w:hAnsi="Abadi"/>
          <w:sz w:val="21"/>
          <w:szCs w:val="21"/>
        </w:rPr>
      </w:pPr>
      <w:r w:rsidRPr="00F23DB4">
        <w:rPr>
          <w:rFonts w:ascii="Abadi" w:hAnsi="Abadi"/>
          <w:sz w:val="21"/>
          <w:szCs w:val="21"/>
        </w:rPr>
        <w:t xml:space="preserve"> </w:t>
      </w:r>
    </w:p>
    <w:p w14:paraId="7CFD325C" w14:textId="1744CF73" w:rsidR="00420FAD" w:rsidRDefault="00420FAD" w:rsidP="00420FAD">
      <w:pPr>
        <w:jc w:val="both"/>
        <w:rPr>
          <w:rFonts w:ascii="Abadi" w:hAnsi="Abadi"/>
          <w:sz w:val="21"/>
          <w:szCs w:val="21"/>
        </w:rPr>
      </w:pPr>
      <w:r w:rsidRPr="000D2C85">
        <w:rPr>
          <w:rFonts w:ascii="Abadi" w:hAnsi="Abadi"/>
          <w:b/>
          <w:bCs/>
          <w:sz w:val="21"/>
          <w:szCs w:val="21"/>
        </w:rPr>
        <w:t>Artículo 42</w:t>
      </w:r>
      <w:r w:rsidRPr="00F23DB4">
        <w:rPr>
          <w:rFonts w:ascii="Abadi" w:hAnsi="Abadi"/>
          <w:sz w:val="21"/>
          <w:szCs w:val="21"/>
        </w:rPr>
        <w:t xml:space="preserve">.Las órdenes de protección son actos de urgente aplicación en función del interés superior de la víctima, </w:t>
      </w:r>
      <w:r w:rsidRPr="000D2C85">
        <w:rPr>
          <w:rFonts w:ascii="Abadi" w:hAnsi="Abadi"/>
          <w:b/>
          <w:bCs/>
          <w:sz w:val="21"/>
          <w:szCs w:val="21"/>
        </w:rPr>
        <w:t>son fundamentalmente precautorias y cautelares, deberán otorgarse de oficio o a petición de parte, por las autoridades administrativas, el Ministerio Público o por los órganos jurisdiccionales competentes, en el momento en que tengan conocimiento del hecho de violencia presuntamente constitutivo de un delito o infracción, que ponga en riesgo la integridad, la libertad o la vida de las mujeres, niñas o adolescentes, evitando en todo momento que la persona agresora, directamente o a través de algún tercero, tenga contacto de cualquier tipo o medio con la víctima</w:t>
      </w:r>
      <w:r w:rsidRPr="00F23DB4">
        <w:rPr>
          <w:rFonts w:ascii="Abadi" w:hAnsi="Abadi"/>
          <w:sz w:val="21"/>
          <w:szCs w:val="21"/>
        </w:rPr>
        <w:t xml:space="preserve">. </w:t>
      </w:r>
    </w:p>
    <w:p w14:paraId="45D73F07" w14:textId="77777777" w:rsidR="00ED1177" w:rsidRDefault="00ED1177" w:rsidP="00420FAD">
      <w:pPr>
        <w:jc w:val="both"/>
        <w:rPr>
          <w:rFonts w:ascii="Abadi" w:hAnsi="Abadi"/>
          <w:sz w:val="21"/>
          <w:szCs w:val="21"/>
        </w:rPr>
      </w:pPr>
    </w:p>
    <w:p w14:paraId="1881F25A" w14:textId="6D99B79F" w:rsidR="00420FAD" w:rsidRDefault="00420FAD" w:rsidP="00420FAD">
      <w:pPr>
        <w:jc w:val="both"/>
        <w:rPr>
          <w:rFonts w:ascii="Abadi" w:hAnsi="Abadi"/>
          <w:b/>
          <w:bCs/>
          <w:sz w:val="21"/>
          <w:szCs w:val="21"/>
        </w:rPr>
      </w:pPr>
      <w:r w:rsidRPr="000D2C85">
        <w:rPr>
          <w:rFonts w:ascii="Abadi" w:hAnsi="Abadi"/>
          <w:b/>
          <w:bCs/>
          <w:sz w:val="21"/>
          <w:szCs w:val="21"/>
        </w:rPr>
        <w:t>En materia de violencia política contra las mujeres en razón de género, el Tribunal Estatal Electoral de Guanajuato y el Instituto Electoral del Estado de Guanajuato, podrán solicitar a las autoridades competentes el otorgamiento de las medidas a que se refiere el presente Capítulo.</w:t>
      </w:r>
    </w:p>
    <w:p w14:paraId="3D2644ED" w14:textId="77777777" w:rsidR="00ED1177" w:rsidRPr="000D2C85" w:rsidRDefault="00ED1177" w:rsidP="00420FAD">
      <w:pPr>
        <w:jc w:val="both"/>
        <w:rPr>
          <w:rFonts w:ascii="Abadi" w:hAnsi="Abadi"/>
          <w:b/>
          <w:bCs/>
          <w:sz w:val="21"/>
          <w:szCs w:val="21"/>
        </w:rPr>
      </w:pPr>
    </w:p>
    <w:p w14:paraId="4C3B3525" w14:textId="3F892672" w:rsidR="00420FAD" w:rsidRDefault="00420FAD" w:rsidP="00420FAD">
      <w:pPr>
        <w:jc w:val="both"/>
        <w:rPr>
          <w:rFonts w:ascii="Abadi" w:hAnsi="Abadi"/>
          <w:b/>
          <w:bCs/>
          <w:sz w:val="21"/>
          <w:szCs w:val="21"/>
        </w:rPr>
      </w:pPr>
      <w:r w:rsidRPr="00D92E97">
        <w:rPr>
          <w:rFonts w:ascii="Abadi" w:hAnsi="Abadi"/>
          <w:b/>
          <w:bCs/>
          <w:sz w:val="21"/>
          <w:szCs w:val="21"/>
        </w:rPr>
        <w:t xml:space="preserve">Artículo 43. </w:t>
      </w:r>
      <w:r w:rsidRPr="00D92E97">
        <w:rPr>
          <w:rFonts w:ascii="Abadi" w:hAnsi="Abadi"/>
          <w:b/>
          <w:bCs/>
          <w:i/>
          <w:iCs/>
          <w:sz w:val="21"/>
          <w:szCs w:val="21"/>
        </w:rPr>
        <w:t>Se deroga.</w:t>
      </w:r>
      <w:r w:rsidRPr="00D92E97">
        <w:rPr>
          <w:rFonts w:ascii="Abadi" w:hAnsi="Abadi"/>
          <w:b/>
          <w:bCs/>
          <w:sz w:val="21"/>
          <w:szCs w:val="21"/>
        </w:rPr>
        <w:t xml:space="preserve"> </w:t>
      </w:r>
    </w:p>
    <w:p w14:paraId="1672AD1A" w14:textId="002EFCD0" w:rsidR="00420FAD" w:rsidRDefault="00420FAD" w:rsidP="00420FAD">
      <w:pPr>
        <w:jc w:val="both"/>
        <w:rPr>
          <w:rFonts w:ascii="Abadi" w:hAnsi="Abadi"/>
          <w:b/>
          <w:bCs/>
          <w:sz w:val="21"/>
          <w:szCs w:val="21"/>
        </w:rPr>
      </w:pPr>
      <w:r w:rsidRPr="007D6338">
        <w:rPr>
          <w:rFonts w:ascii="Abadi" w:hAnsi="Abadi"/>
          <w:b/>
          <w:bCs/>
          <w:sz w:val="21"/>
          <w:szCs w:val="21"/>
        </w:rPr>
        <w:t xml:space="preserve">Artículo 44. Las órdenes de protección que consagra la presente ley son personalísimas e intransferibles y podrán ser: </w:t>
      </w:r>
    </w:p>
    <w:p w14:paraId="25A55A55" w14:textId="77777777" w:rsidR="00ED1177" w:rsidRPr="007D6338" w:rsidRDefault="00ED1177" w:rsidP="00420FAD">
      <w:pPr>
        <w:jc w:val="both"/>
        <w:rPr>
          <w:rFonts w:ascii="Abadi" w:hAnsi="Abadi"/>
          <w:b/>
          <w:bCs/>
          <w:sz w:val="21"/>
          <w:szCs w:val="21"/>
        </w:rPr>
      </w:pPr>
    </w:p>
    <w:p w14:paraId="48677E0F" w14:textId="77777777" w:rsidR="00420FAD" w:rsidRPr="007D6338" w:rsidRDefault="00420FAD" w:rsidP="00343CA9">
      <w:pPr>
        <w:pStyle w:val="Prrafodelista"/>
        <w:numPr>
          <w:ilvl w:val="0"/>
          <w:numId w:val="36"/>
        </w:numPr>
        <w:spacing w:after="160" w:line="259" w:lineRule="auto"/>
        <w:contextualSpacing/>
        <w:jc w:val="both"/>
        <w:rPr>
          <w:rFonts w:ascii="Abadi" w:hAnsi="Abadi"/>
          <w:b/>
          <w:bCs/>
          <w:sz w:val="21"/>
          <w:szCs w:val="21"/>
        </w:rPr>
      </w:pPr>
      <w:r w:rsidRPr="007D6338">
        <w:rPr>
          <w:rFonts w:ascii="Abadi" w:hAnsi="Abadi"/>
          <w:b/>
          <w:bCs/>
          <w:sz w:val="21"/>
          <w:szCs w:val="21"/>
        </w:rPr>
        <w:t xml:space="preserve">Administrativas: que son emitidas por el Ministerio Público y las autoridades administrativas, y </w:t>
      </w:r>
    </w:p>
    <w:p w14:paraId="455BE775" w14:textId="77777777" w:rsidR="00420FAD" w:rsidRPr="007D6338" w:rsidRDefault="00420FAD" w:rsidP="00420FAD">
      <w:pPr>
        <w:pStyle w:val="Prrafodelista"/>
        <w:ind w:left="1080"/>
        <w:jc w:val="both"/>
        <w:rPr>
          <w:rFonts w:ascii="Abadi" w:hAnsi="Abadi"/>
          <w:b/>
          <w:bCs/>
          <w:sz w:val="21"/>
          <w:szCs w:val="21"/>
        </w:rPr>
      </w:pPr>
    </w:p>
    <w:p w14:paraId="71CB3D75" w14:textId="77777777" w:rsidR="00420FAD" w:rsidRPr="007D6338" w:rsidRDefault="00420FAD" w:rsidP="00343CA9">
      <w:pPr>
        <w:pStyle w:val="Prrafodelista"/>
        <w:numPr>
          <w:ilvl w:val="0"/>
          <w:numId w:val="36"/>
        </w:numPr>
        <w:spacing w:after="160" w:line="259" w:lineRule="auto"/>
        <w:contextualSpacing/>
        <w:jc w:val="both"/>
        <w:rPr>
          <w:rFonts w:ascii="Abadi" w:hAnsi="Abadi"/>
          <w:b/>
          <w:bCs/>
          <w:sz w:val="21"/>
          <w:szCs w:val="21"/>
        </w:rPr>
      </w:pPr>
      <w:r w:rsidRPr="007D6338">
        <w:rPr>
          <w:rFonts w:ascii="Abadi" w:hAnsi="Abadi"/>
          <w:b/>
          <w:bCs/>
          <w:sz w:val="21"/>
          <w:szCs w:val="21"/>
        </w:rPr>
        <w:t xml:space="preserve">De naturaleza jurisdiccional: que son las emitidas por los órganos encargados de la administración de justicia. </w:t>
      </w:r>
    </w:p>
    <w:p w14:paraId="1D01960F" w14:textId="77777777" w:rsidR="00420FAD" w:rsidRPr="007D6338" w:rsidRDefault="00420FAD" w:rsidP="00420FAD">
      <w:pPr>
        <w:pStyle w:val="Prrafodelista"/>
        <w:rPr>
          <w:rFonts w:ascii="Abadi" w:hAnsi="Abadi"/>
          <w:b/>
          <w:bCs/>
          <w:sz w:val="21"/>
          <w:szCs w:val="21"/>
        </w:rPr>
      </w:pPr>
    </w:p>
    <w:p w14:paraId="60E68E4C" w14:textId="77777777" w:rsidR="00420FAD" w:rsidRPr="007D6338" w:rsidRDefault="00420FAD" w:rsidP="00420FAD">
      <w:pPr>
        <w:pStyle w:val="Prrafodelista"/>
        <w:ind w:left="0"/>
        <w:jc w:val="both"/>
        <w:rPr>
          <w:rFonts w:ascii="Abadi" w:hAnsi="Abadi"/>
          <w:b/>
          <w:bCs/>
          <w:sz w:val="21"/>
          <w:szCs w:val="21"/>
        </w:rPr>
      </w:pPr>
      <w:r w:rsidRPr="007D6338">
        <w:rPr>
          <w:rFonts w:ascii="Abadi" w:hAnsi="Abadi"/>
          <w:b/>
          <w:bCs/>
          <w:sz w:val="21"/>
          <w:szCs w:val="21"/>
        </w:rPr>
        <w:t xml:space="preserve">Las órdenes de protección tendrán una duración de hasta 60 días, prorrogables por 30 días más o por el tiempo que dure la investigación o prolongarse hasta que cese la situación de riesgo para la víctima. </w:t>
      </w:r>
    </w:p>
    <w:p w14:paraId="07EDD314" w14:textId="77777777" w:rsidR="00420FAD" w:rsidRPr="007D6338" w:rsidRDefault="00420FAD" w:rsidP="00420FAD">
      <w:pPr>
        <w:pStyle w:val="Prrafodelista"/>
        <w:ind w:left="0"/>
        <w:jc w:val="both"/>
        <w:rPr>
          <w:rFonts w:ascii="Abadi" w:hAnsi="Abadi"/>
          <w:b/>
          <w:bCs/>
          <w:sz w:val="21"/>
          <w:szCs w:val="21"/>
        </w:rPr>
      </w:pPr>
    </w:p>
    <w:p w14:paraId="49C75518" w14:textId="77777777" w:rsidR="00420FAD" w:rsidRPr="007D6338" w:rsidRDefault="00420FAD" w:rsidP="00420FAD">
      <w:pPr>
        <w:pStyle w:val="Prrafodelista"/>
        <w:ind w:left="0"/>
        <w:jc w:val="both"/>
        <w:rPr>
          <w:rFonts w:ascii="Abadi" w:hAnsi="Abadi"/>
          <w:b/>
          <w:bCs/>
          <w:sz w:val="21"/>
          <w:szCs w:val="21"/>
        </w:rPr>
      </w:pPr>
      <w:r w:rsidRPr="007D6338">
        <w:rPr>
          <w:rFonts w:ascii="Abadi" w:hAnsi="Abadi"/>
          <w:b/>
          <w:bCs/>
          <w:sz w:val="21"/>
          <w:szCs w:val="21"/>
        </w:rPr>
        <w:t xml:space="preserve">Deberán expedirse de manera inmediata o a más tardar dentro de las 4 horas siguientes al conocimiento de los hechos que las generan. </w:t>
      </w:r>
    </w:p>
    <w:p w14:paraId="7F1867B6" w14:textId="77777777" w:rsidR="00420FAD" w:rsidRPr="007D6338" w:rsidRDefault="00420FAD" w:rsidP="00420FAD">
      <w:pPr>
        <w:pStyle w:val="Prrafodelista"/>
        <w:ind w:left="0"/>
        <w:jc w:val="both"/>
        <w:rPr>
          <w:rFonts w:ascii="Abadi" w:hAnsi="Abadi"/>
          <w:b/>
          <w:bCs/>
          <w:sz w:val="21"/>
          <w:szCs w:val="21"/>
        </w:rPr>
      </w:pPr>
    </w:p>
    <w:p w14:paraId="664FA3D5" w14:textId="77777777" w:rsidR="00420FAD" w:rsidRPr="007D6338" w:rsidRDefault="00420FAD" w:rsidP="00420FAD">
      <w:pPr>
        <w:pStyle w:val="Prrafodelista"/>
        <w:ind w:left="0"/>
        <w:jc w:val="both"/>
        <w:rPr>
          <w:rFonts w:ascii="Abadi" w:hAnsi="Abadi"/>
          <w:b/>
          <w:bCs/>
          <w:sz w:val="21"/>
          <w:szCs w:val="21"/>
        </w:rPr>
      </w:pPr>
      <w:r w:rsidRPr="007D6338">
        <w:rPr>
          <w:rFonts w:ascii="Abadi" w:hAnsi="Abadi"/>
          <w:b/>
          <w:bCs/>
          <w:sz w:val="21"/>
          <w:szCs w:val="21"/>
        </w:rPr>
        <w:t xml:space="preserve">Artículo 44 Bis. Quien en ejercicio de funciones públicas tenga conocimiento de la probable existencia de un hecho que la ley señale como delito en contra de una mujer, una adolescente o una niña, está obligado a denunciarlo inmediatamente al Ministerio Público, proporcionándole todos los datos que tuviere, poniendo a su disposición a la persona imputada, si hubieren sido detenida en flagrancia. </w:t>
      </w:r>
    </w:p>
    <w:p w14:paraId="184CFFD1" w14:textId="77777777" w:rsidR="00420FAD" w:rsidRPr="007D6338" w:rsidRDefault="00420FAD" w:rsidP="00420FAD">
      <w:pPr>
        <w:pStyle w:val="Prrafodelista"/>
        <w:ind w:left="0"/>
        <w:jc w:val="both"/>
        <w:rPr>
          <w:rFonts w:ascii="Abadi" w:hAnsi="Abadi"/>
          <w:b/>
          <w:bCs/>
          <w:sz w:val="21"/>
          <w:szCs w:val="21"/>
        </w:rPr>
      </w:pPr>
    </w:p>
    <w:p w14:paraId="5CFEBBCE" w14:textId="53872D25" w:rsidR="00420FAD" w:rsidRDefault="00420FAD" w:rsidP="00420FAD">
      <w:pPr>
        <w:pStyle w:val="Prrafodelista"/>
        <w:ind w:left="0"/>
        <w:jc w:val="both"/>
        <w:rPr>
          <w:rFonts w:ascii="Abadi" w:hAnsi="Abadi"/>
          <w:b/>
          <w:bCs/>
          <w:sz w:val="21"/>
          <w:szCs w:val="21"/>
        </w:rPr>
      </w:pPr>
      <w:r w:rsidRPr="007D6338">
        <w:rPr>
          <w:rFonts w:ascii="Abadi" w:hAnsi="Abadi"/>
          <w:b/>
          <w:bCs/>
          <w:sz w:val="21"/>
          <w:szCs w:val="21"/>
        </w:rPr>
        <w:t>Quien tenga el deber jurídico de denunciar y no lo haga, será acreedor a las sanciones correspondientes.</w:t>
      </w:r>
    </w:p>
    <w:p w14:paraId="03DBCA7F" w14:textId="77777777" w:rsidR="00ED1177" w:rsidRPr="007D6338" w:rsidRDefault="00ED1177" w:rsidP="00420FAD">
      <w:pPr>
        <w:pStyle w:val="Prrafodelista"/>
        <w:ind w:left="0"/>
        <w:jc w:val="both"/>
        <w:rPr>
          <w:rFonts w:ascii="Abadi" w:hAnsi="Abadi"/>
          <w:b/>
          <w:bCs/>
          <w:sz w:val="21"/>
          <w:szCs w:val="21"/>
        </w:rPr>
      </w:pPr>
    </w:p>
    <w:p w14:paraId="3377C798" w14:textId="21F42CC0" w:rsidR="00420FAD" w:rsidRDefault="00420FAD" w:rsidP="00420FAD">
      <w:pPr>
        <w:jc w:val="both"/>
        <w:rPr>
          <w:rFonts w:ascii="Abadi" w:hAnsi="Abadi"/>
          <w:b/>
          <w:bCs/>
          <w:sz w:val="21"/>
          <w:szCs w:val="21"/>
        </w:rPr>
      </w:pPr>
      <w:r w:rsidRPr="007D6338">
        <w:rPr>
          <w:rFonts w:ascii="Abadi" w:hAnsi="Abadi"/>
          <w:b/>
          <w:bCs/>
          <w:sz w:val="21"/>
          <w:szCs w:val="21"/>
        </w:rPr>
        <w:t xml:space="preserve">Artículo 44 Ter. Las órdenes de protección se deberán dictar e implementar con base en los siguientes principios: </w:t>
      </w:r>
    </w:p>
    <w:p w14:paraId="2F658796" w14:textId="77777777" w:rsidR="00ED1177" w:rsidRPr="007D6338" w:rsidRDefault="00ED1177" w:rsidP="00420FAD">
      <w:pPr>
        <w:jc w:val="both"/>
        <w:rPr>
          <w:rFonts w:ascii="Abadi" w:hAnsi="Abadi"/>
          <w:b/>
          <w:bCs/>
          <w:sz w:val="21"/>
          <w:szCs w:val="21"/>
        </w:rPr>
      </w:pPr>
    </w:p>
    <w:p w14:paraId="1530F26E" w14:textId="650F440E" w:rsidR="00420FAD" w:rsidRDefault="00420FAD" w:rsidP="00420FAD">
      <w:pPr>
        <w:jc w:val="both"/>
        <w:rPr>
          <w:rFonts w:ascii="Abadi" w:hAnsi="Abadi"/>
          <w:b/>
          <w:bCs/>
          <w:sz w:val="21"/>
          <w:szCs w:val="21"/>
        </w:rPr>
      </w:pPr>
      <w:r w:rsidRPr="007D6338">
        <w:rPr>
          <w:rFonts w:ascii="Abadi" w:hAnsi="Abadi"/>
          <w:b/>
          <w:bCs/>
          <w:sz w:val="21"/>
          <w:szCs w:val="21"/>
        </w:rPr>
        <w:t>I. Principio de protección: Considera primordial la vida, la integridad física, la libertad y la seguridad de las personas;</w:t>
      </w:r>
    </w:p>
    <w:p w14:paraId="15B2C0A1" w14:textId="77777777" w:rsidR="00ED1177" w:rsidRPr="007D6338" w:rsidRDefault="00ED1177" w:rsidP="00420FAD">
      <w:pPr>
        <w:jc w:val="both"/>
        <w:rPr>
          <w:rFonts w:ascii="Abadi" w:hAnsi="Abadi"/>
          <w:b/>
          <w:bCs/>
          <w:sz w:val="21"/>
          <w:szCs w:val="21"/>
        </w:rPr>
      </w:pPr>
    </w:p>
    <w:p w14:paraId="11D12222" w14:textId="172C864F" w:rsidR="00420FAD" w:rsidRDefault="00420FAD" w:rsidP="00420FAD">
      <w:pPr>
        <w:jc w:val="both"/>
        <w:rPr>
          <w:rFonts w:ascii="Abadi" w:hAnsi="Abadi"/>
          <w:b/>
          <w:bCs/>
          <w:sz w:val="21"/>
          <w:szCs w:val="21"/>
        </w:rPr>
      </w:pPr>
      <w:r w:rsidRPr="007D6338">
        <w:rPr>
          <w:rFonts w:ascii="Abadi" w:hAnsi="Abadi"/>
          <w:b/>
          <w:bCs/>
          <w:sz w:val="21"/>
          <w:szCs w:val="21"/>
        </w:rPr>
        <w:t xml:space="preserve">II. Principio de necesidad y proporcionalidad: Las órdenes de protección deben responder a la situación de violencia en que se encuentre la persona destinataria, y deben garantizar su seguridad o reducir los riesgos existentes; </w:t>
      </w:r>
    </w:p>
    <w:p w14:paraId="22294F68" w14:textId="77777777" w:rsidR="00ED1177" w:rsidRPr="007D6338" w:rsidRDefault="00ED1177" w:rsidP="00420FAD">
      <w:pPr>
        <w:jc w:val="both"/>
        <w:rPr>
          <w:rFonts w:ascii="Abadi" w:hAnsi="Abadi"/>
          <w:b/>
          <w:bCs/>
          <w:sz w:val="21"/>
          <w:szCs w:val="21"/>
        </w:rPr>
      </w:pPr>
    </w:p>
    <w:p w14:paraId="1F17205C" w14:textId="06C15C82" w:rsidR="00420FAD" w:rsidRDefault="00420FAD" w:rsidP="00420FAD">
      <w:pPr>
        <w:jc w:val="both"/>
        <w:rPr>
          <w:rFonts w:ascii="Abadi" w:hAnsi="Abadi"/>
          <w:b/>
          <w:bCs/>
          <w:sz w:val="21"/>
          <w:szCs w:val="21"/>
        </w:rPr>
      </w:pPr>
      <w:r w:rsidRPr="007D6338">
        <w:rPr>
          <w:rFonts w:ascii="Abadi" w:hAnsi="Abadi"/>
          <w:b/>
          <w:bCs/>
          <w:sz w:val="21"/>
          <w:szCs w:val="21"/>
        </w:rPr>
        <w:t xml:space="preserve">III. Principio de confidencialidad: Toda la información y actividad administrativa o jurisdiccional relacionada con el ámbito de protección de las personas, debe ser reservada para los fines de la investigación o del proceso respectivo; </w:t>
      </w:r>
    </w:p>
    <w:p w14:paraId="4306ABC9" w14:textId="77777777" w:rsidR="00ED1177" w:rsidRPr="007D6338" w:rsidRDefault="00ED1177" w:rsidP="00420FAD">
      <w:pPr>
        <w:jc w:val="both"/>
        <w:rPr>
          <w:rFonts w:ascii="Abadi" w:hAnsi="Abadi"/>
          <w:b/>
          <w:bCs/>
          <w:sz w:val="21"/>
          <w:szCs w:val="21"/>
        </w:rPr>
      </w:pPr>
    </w:p>
    <w:p w14:paraId="55413121" w14:textId="503C4CEF" w:rsidR="00420FAD" w:rsidRDefault="00420FAD" w:rsidP="00420FAD">
      <w:pPr>
        <w:jc w:val="both"/>
        <w:rPr>
          <w:rFonts w:ascii="Abadi" w:hAnsi="Abadi"/>
          <w:b/>
          <w:bCs/>
          <w:sz w:val="21"/>
          <w:szCs w:val="21"/>
        </w:rPr>
      </w:pPr>
      <w:r w:rsidRPr="007D6338">
        <w:rPr>
          <w:rFonts w:ascii="Abadi" w:hAnsi="Abadi"/>
          <w:b/>
          <w:bCs/>
          <w:sz w:val="21"/>
          <w:szCs w:val="21"/>
        </w:rPr>
        <w:t xml:space="preserve">IV. Principio de oportunidad y eficacia: Las órdenes deben ser oportunas, específicas, adecuadas y eficientes para la protección de la víctima, y deben ser otorgadas e implementadas de manera inmediata y durante el tiempo que garanticen su objetivo; </w:t>
      </w:r>
    </w:p>
    <w:p w14:paraId="34604817" w14:textId="77777777" w:rsidR="00ED1177" w:rsidRPr="007D6338" w:rsidRDefault="00ED1177" w:rsidP="00420FAD">
      <w:pPr>
        <w:jc w:val="both"/>
        <w:rPr>
          <w:rFonts w:ascii="Abadi" w:hAnsi="Abadi"/>
          <w:b/>
          <w:bCs/>
          <w:sz w:val="21"/>
          <w:szCs w:val="21"/>
        </w:rPr>
      </w:pPr>
    </w:p>
    <w:p w14:paraId="4106924F" w14:textId="4B8D107D" w:rsidR="00420FAD" w:rsidRDefault="00420FAD" w:rsidP="00420FAD">
      <w:pPr>
        <w:jc w:val="both"/>
        <w:rPr>
          <w:rFonts w:ascii="Abadi" w:hAnsi="Abadi"/>
          <w:b/>
          <w:bCs/>
          <w:sz w:val="21"/>
          <w:szCs w:val="21"/>
        </w:rPr>
      </w:pPr>
      <w:r w:rsidRPr="007D6338">
        <w:rPr>
          <w:rFonts w:ascii="Abadi" w:hAnsi="Abadi"/>
          <w:b/>
          <w:bCs/>
          <w:sz w:val="21"/>
          <w:szCs w:val="21"/>
        </w:rPr>
        <w:t xml:space="preserve">V. Principio de accesibilidad: Se deberá articular un procedimiento sencillo para que facilite a las víctimas obtener la protección inmediata que requiere su situación; </w:t>
      </w:r>
    </w:p>
    <w:p w14:paraId="7DBE68B1" w14:textId="77777777" w:rsidR="00ED1177" w:rsidRPr="007D6338" w:rsidRDefault="00ED1177" w:rsidP="00420FAD">
      <w:pPr>
        <w:jc w:val="both"/>
        <w:rPr>
          <w:rFonts w:ascii="Abadi" w:hAnsi="Abadi"/>
          <w:b/>
          <w:bCs/>
          <w:sz w:val="21"/>
          <w:szCs w:val="21"/>
        </w:rPr>
      </w:pPr>
    </w:p>
    <w:p w14:paraId="3427B9F1" w14:textId="6EA124AF" w:rsidR="00420FAD" w:rsidRDefault="00420FAD" w:rsidP="00420FAD">
      <w:pPr>
        <w:jc w:val="both"/>
        <w:rPr>
          <w:rFonts w:ascii="Abadi" w:hAnsi="Abadi"/>
          <w:b/>
          <w:bCs/>
          <w:sz w:val="21"/>
          <w:szCs w:val="21"/>
        </w:rPr>
      </w:pPr>
      <w:r w:rsidRPr="007D6338">
        <w:rPr>
          <w:rFonts w:ascii="Abadi" w:hAnsi="Abadi"/>
          <w:b/>
          <w:bCs/>
          <w:sz w:val="21"/>
          <w:szCs w:val="21"/>
        </w:rPr>
        <w:t xml:space="preserve">VI. Principio de integralidad: El otorgamiento de la medida a favor de la víctima deberá generarse en un solo acto y de forma automática, y </w:t>
      </w:r>
    </w:p>
    <w:p w14:paraId="37092FCE" w14:textId="77777777" w:rsidR="00ED1177" w:rsidRPr="007D6338" w:rsidRDefault="00ED1177" w:rsidP="00420FAD">
      <w:pPr>
        <w:jc w:val="both"/>
        <w:rPr>
          <w:rFonts w:ascii="Abadi" w:hAnsi="Abadi"/>
          <w:b/>
          <w:bCs/>
          <w:sz w:val="21"/>
          <w:szCs w:val="21"/>
        </w:rPr>
      </w:pPr>
    </w:p>
    <w:p w14:paraId="016BF004" w14:textId="77777777" w:rsidR="008615FF" w:rsidRDefault="00420FAD" w:rsidP="00420FAD">
      <w:pPr>
        <w:jc w:val="both"/>
        <w:rPr>
          <w:rFonts w:ascii="Abadi" w:hAnsi="Abadi"/>
          <w:b/>
          <w:bCs/>
          <w:sz w:val="21"/>
          <w:szCs w:val="21"/>
        </w:rPr>
      </w:pPr>
      <w:r w:rsidRPr="007D6338">
        <w:rPr>
          <w:rFonts w:ascii="Abadi" w:hAnsi="Abadi"/>
          <w:b/>
          <w:bCs/>
          <w:sz w:val="21"/>
          <w:szCs w:val="21"/>
        </w:rPr>
        <w:t>VII. Principio pro persona: Para interpretar lo referente al otorgamiento de las órdenes de protección, en caso de duda, con relación a la situación de violencia, se estará a lo más favorable para la víctima, tratándose de niñas siempre se garantizará que se cumpla en todas las decisiones que se tomen respecto de las órdenes de protección. De igual forma, cuando las determinaciones que se tomen respecto de una mujer víctima de violencia pudieran impactar en los derechos de las hijas o hijos menores de 18 años de edad.</w:t>
      </w:r>
    </w:p>
    <w:p w14:paraId="731512D6" w14:textId="10720664" w:rsidR="00420FAD" w:rsidRPr="007D6338" w:rsidRDefault="00420FAD" w:rsidP="00420FAD">
      <w:pPr>
        <w:jc w:val="both"/>
        <w:rPr>
          <w:rFonts w:ascii="Abadi" w:hAnsi="Abadi"/>
          <w:b/>
          <w:bCs/>
          <w:sz w:val="21"/>
          <w:szCs w:val="21"/>
        </w:rPr>
      </w:pPr>
      <w:r w:rsidRPr="007D6338">
        <w:rPr>
          <w:rFonts w:ascii="Abadi" w:hAnsi="Abadi"/>
          <w:b/>
          <w:bCs/>
          <w:sz w:val="21"/>
          <w:szCs w:val="21"/>
        </w:rPr>
        <w:t xml:space="preserve"> </w:t>
      </w:r>
    </w:p>
    <w:p w14:paraId="45CF4D0C" w14:textId="2B0B8429" w:rsidR="008615FF" w:rsidRDefault="00420FAD" w:rsidP="00420FAD">
      <w:pPr>
        <w:jc w:val="both"/>
        <w:rPr>
          <w:rFonts w:ascii="Abadi" w:hAnsi="Abadi"/>
          <w:b/>
          <w:bCs/>
          <w:sz w:val="21"/>
          <w:szCs w:val="21"/>
        </w:rPr>
      </w:pPr>
      <w:r w:rsidRPr="007D6338">
        <w:rPr>
          <w:rFonts w:ascii="Abadi" w:hAnsi="Abadi"/>
          <w:b/>
          <w:bCs/>
          <w:sz w:val="21"/>
          <w:szCs w:val="21"/>
        </w:rPr>
        <w:t xml:space="preserve">Artículo 44 </w:t>
      </w:r>
      <w:proofErr w:type="spellStart"/>
      <w:r w:rsidRPr="007D6338">
        <w:rPr>
          <w:rFonts w:ascii="Abadi" w:hAnsi="Abadi"/>
          <w:b/>
          <w:bCs/>
          <w:sz w:val="21"/>
          <w:szCs w:val="21"/>
        </w:rPr>
        <w:t>Quáter</w:t>
      </w:r>
      <w:proofErr w:type="spellEnd"/>
      <w:r w:rsidRPr="007D6338">
        <w:rPr>
          <w:rFonts w:ascii="Abadi" w:hAnsi="Abadi"/>
          <w:b/>
          <w:bCs/>
          <w:sz w:val="21"/>
          <w:szCs w:val="21"/>
        </w:rPr>
        <w:t xml:space="preserve">. Cuando una mujer, adolescente o una niña víctima de violencia soliciten una orden de protección a la autoridad administrativa, ministerial y/o judicial, se le deberá brindar toda la información disponible sobre el procedimiento relacionado con la propia orden. </w:t>
      </w:r>
    </w:p>
    <w:p w14:paraId="73D9EF22" w14:textId="77777777" w:rsidR="008272AA" w:rsidRDefault="008272AA" w:rsidP="00420FAD">
      <w:pPr>
        <w:jc w:val="both"/>
        <w:rPr>
          <w:rFonts w:ascii="Abadi" w:hAnsi="Abadi"/>
          <w:b/>
          <w:bCs/>
          <w:sz w:val="21"/>
          <w:szCs w:val="21"/>
        </w:rPr>
      </w:pPr>
    </w:p>
    <w:p w14:paraId="37404E9E" w14:textId="0334AB29" w:rsidR="00BE4EC6" w:rsidRDefault="00420FAD" w:rsidP="00420FAD">
      <w:pPr>
        <w:jc w:val="both"/>
        <w:rPr>
          <w:rFonts w:ascii="Abadi" w:hAnsi="Abadi"/>
          <w:b/>
          <w:bCs/>
          <w:sz w:val="21"/>
          <w:szCs w:val="21"/>
        </w:rPr>
      </w:pPr>
      <w:r w:rsidRPr="007D6338">
        <w:rPr>
          <w:rFonts w:ascii="Abadi" w:hAnsi="Abadi"/>
          <w:b/>
          <w:bCs/>
          <w:sz w:val="21"/>
          <w:szCs w:val="21"/>
        </w:rPr>
        <w:t xml:space="preserve">La autoridad deberá informar con un lenguaje claro, sencillo y empático para la víctima de violencia sobre su derecho a solicitar las órdenes de protección, y evitará cualquier información tendiente a inhibir o desincentivar la solicitud. </w:t>
      </w:r>
    </w:p>
    <w:p w14:paraId="1696FF77" w14:textId="77777777" w:rsidR="00A536C0" w:rsidRDefault="00A536C0" w:rsidP="00420FAD">
      <w:pPr>
        <w:jc w:val="both"/>
        <w:rPr>
          <w:rFonts w:ascii="Abadi" w:hAnsi="Abadi"/>
          <w:b/>
          <w:bCs/>
          <w:sz w:val="21"/>
          <w:szCs w:val="21"/>
        </w:rPr>
      </w:pPr>
    </w:p>
    <w:p w14:paraId="6FCBC697" w14:textId="39D33B38" w:rsidR="00BE4EC6" w:rsidRDefault="00420FAD" w:rsidP="00420FAD">
      <w:pPr>
        <w:jc w:val="both"/>
        <w:rPr>
          <w:rFonts w:ascii="Abadi" w:hAnsi="Abadi"/>
          <w:b/>
          <w:bCs/>
          <w:sz w:val="21"/>
          <w:szCs w:val="21"/>
        </w:rPr>
      </w:pPr>
      <w:r w:rsidRPr="007D6338">
        <w:rPr>
          <w:rFonts w:ascii="Abadi" w:hAnsi="Abadi"/>
          <w:b/>
          <w:bCs/>
          <w:sz w:val="21"/>
          <w:szCs w:val="21"/>
        </w:rPr>
        <w:t xml:space="preserve">La autoridad deberá de realizar la medición y valoración del riesgo, la valoración médica en caso de requerirse, así como la valoración psicológica. </w:t>
      </w:r>
    </w:p>
    <w:p w14:paraId="7793ACA8" w14:textId="77777777" w:rsidR="00A536C0" w:rsidRDefault="00A536C0" w:rsidP="00420FAD">
      <w:pPr>
        <w:jc w:val="both"/>
        <w:rPr>
          <w:rFonts w:ascii="Abadi" w:hAnsi="Abadi"/>
          <w:b/>
          <w:bCs/>
          <w:sz w:val="21"/>
          <w:szCs w:val="21"/>
        </w:rPr>
      </w:pPr>
    </w:p>
    <w:p w14:paraId="0A80961B" w14:textId="3914D8BE" w:rsidR="00420FAD" w:rsidRDefault="00420FAD" w:rsidP="00420FAD">
      <w:pPr>
        <w:jc w:val="both"/>
        <w:rPr>
          <w:rFonts w:ascii="Abadi" w:hAnsi="Abadi"/>
          <w:b/>
          <w:bCs/>
          <w:sz w:val="21"/>
          <w:szCs w:val="21"/>
        </w:rPr>
      </w:pPr>
      <w:r w:rsidRPr="007D6338">
        <w:rPr>
          <w:rFonts w:ascii="Abadi" w:hAnsi="Abadi"/>
          <w:b/>
          <w:bCs/>
          <w:sz w:val="21"/>
          <w:szCs w:val="21"/>
        </w:rPr>
        <w:t xml:space="preserve">Las autoridades competentes que reciban denuncias anónimas de mujeres, adolescentes y niñas víctimas de violencia, decretarán las órdenes de protección correspondientes. </w:t>
      </w:r>
    </w:p>
    <w:p w14:paraId="020B2EC1" w14:textId="77777777" w:rsidR="00420FAD" w:rsidRDefault="00420FAD" w:rsidP="00420FAD">
      <w:pPr>
        <w:jc w:val="both"/>
        <w:rPr>
          <w:rFonts w:ascii="Abadi" w:hAnsi="Abadi"/>
          <w:b/>
          <w:bCs/>
          <w:sz w:val="21"/>
          <w:szCs w:val="21"/>
        </w:rPr>
      </w:pPr>
    </w:p>
    <w:p w14:paraId="020D4449" w14:textId="40A8BBC4" w:rsidR="00420FAD" w:rsidRDefault="00420FAD" w:rsidP="00420FAD">
      <w:pPr>
        <w:jc w:val="both"/>
        <w:rPr>
          <w:rFonts w:ascii="Abadi" w:hAnsi="Abadi"/>
          <w:b/>
          <w:bCs/>
          <w:sz w:val="21"/>
          <w:szCs w:val="21"/>
        </w:rPr>
      </w:pPr>
      <w:r w:rsidRPr="007D6338">
        <w:rPr>
          <w:rFonts w:ascii="Abadi" w:hAnsi="Abadi"/>
          <w:b/>
          <w:bCs/>
          <w:sz w:val="21"/>
          <w:szCs w:val="21"/>
        </w:rPr>
        <w:t xml:space="preserve">Artículo 44 Quinquies. Para la emisión de las órdenes de protección las autoridades administrativas, el Ministerio Público o el órgano jurisdiccional competente tomará en consideración: </w:t>
      </w:r>
    </w:p>
    <w:p w14:paraId="2438135D" w14:textId="77777777" w:rsidR="00ED1177" w:rsidRDefault="00ED1177" w:rsidP="00420FAD">
      <w:pPr>
        <w:jc w:val="both"/>
        <w:rPr>
          <w:rFonts w:ascii="Abadi" w:hAnsi="Abadi"/>
          <w:b/>
          <w:bCs/>
          <w:sz w:val="21"/>
          <w:szCs w:val="21"/>
        </w:rPr>
      </w:pPr>
    </w:p>
    <w:p w14:paraId="52015167" w14:textId="615923DA" w:rsidR="00420FAD" w:rsidRDefault="00420FAD" w:rsidP="00420FAD">
      <w:pPr>
        <w:jc w:val="both"/>
        <w:rPr>
          <w:rFonts w:ascii="Abadi" w:hAnsi="Abadi"/>
          <w:b/>
          <w:bCs/>
          <w:sz w:val="21"/>
          <w:szCs w:val="21"/>
        </w:rPr>
      </w:pPr>
      <w:r w:rsidRPr="007D6338">
        <w:rPr>
          <w:rFonts w:ascii="Abadi" w:hAnsi="Abadi"/>
          <w:b/>
          <w:bCs/>
          <w:sz w:val="21"/>
          <w:szCs w:val="21"/>
        </w:rPr>
        <w:t>I. Los hechos relatados por la mujer, la adolescente o la niña, en situación de violencia, considerando su desarrollo evolutivo y cognoscitivo o por quien lo haga del conocimiento a la autoridad;</w:t>
      </w:r>
    </w:p>
    <w:p w14:paraId="33C13AD6" w14:textId="77777777" w:rsidR="00ED1177" w:rsidRPr="007D6338" w:rsidRDefault="00ED1177" w:rsidP="00420FAD">
      <w:pPr>
        <w:jc w:val="both"/>
        <w:rPr>
          <w:rFonts w:ascii="Abadi" w:hAnsi="Abadi"/>
          <w:b/>
          <w:bCs/>
          <w:sz w:val="21"/>
          <w:szCs w:val="21"/>
        </w:rPr>
      </w:pPr>
    </w:p>
    <w:p w14:paraId="179CC5B1" w14:textId="164BA35D" w:rsidR="00420FAD" w:rsidRDefault="00420FAD" w:rsidP="00420FAD">
      <w:pPr>
        <w:jc w:val="both"/>
        <w:rPr>
          <w:rFonts w:ascii="Abadi" w:hAnsi="Abadi"/>
          <w:b/>
          <w:bCs/>
          <w:sz w:val="21"/>
          <w:szCs w:val="21"/>
        </w:rPr>
      </w:pPr>
      <w:r w:rsidRPr="007D6338">
        <w:rPr>
          <w:rFonts w:ascii="Abadi" w:hAnsi="Abadi"/>
          <w:b/>
          <w:bCs/>
          <w:sz w:val="21"/>
          <w:szCs w:val="21"/>
        </w:rPr>
        <w:t xml:space="preserve">II. Las peticiones explícitas de la mujer, la adolescente o la niña, en situación de violencia, considerando su desarrollo evolutivo y cognoscitivo o de quien informe sobre el hecho; </w:t>
      </w:r>
    </w:p>
    <w:p w14:paraId="6EC6F2AF" w14:textId="77777777" w:rsidR="00ED1177" w:rsidRPr="007D6338" w:rsidRDefault="00ED1177" w:rsidP="00420FAD">
      <w:pPr>
        <w:jc w:val="both"/>
        <w:rPr>
          <w:rFonts w:ascii="Abadi" w:hAnsi="Abadi"/>
          <w:b/>
          <w:bCs/>
          <w:sz w:val="21"/>
          <w:szCs w:val="21"/>
        </w:rPr>
      </w:pPr>
    </w:p>
    <w:p w14:paraId="7458CB00" w14:textId="379275E9" w:rsidR="00420FAD" w:rsidRDefault="00420FAD" w:rsidP="00420FAD">
      <w:pPr>
        <w:jc w:val="both"/>
        <w:rPr>
          <w:rFonts w:ascii="Abadi" w:hAnsi="Abadi"/>
          <w:b/>
          <w:bCs/>
          <w:sz w:val="21"/>
          <w:szCs w:val="21"/>
        </w:rPr>
      </w:pPr>
      <w:r w:rsidRPr="007D6338">
        <w:rPr>
          <w:rFonts w:ascii="Abadi" w:hAnsi="Abadi"/>
          <w:b/>
          <w:bCs/>
          <w:sz w:val="21"/>
          <w:szCs w:val="21"/>
        </w:rPr>
        <w:t>III. Las medidas que ella considere oportunas, una vez informada de cuáles pueden ser esas medidas. Tratándose de niñas y adolescentes, las medidas siempre serán determinadas conforme al principio del interés superior de la niñez;</w:t>
      </w:r>
    </w:p>
    <w:p w14:paraId="08C2403E" w14:textId="77777777" w:rsidR="00ED1177" w:rsidRPr="007D6338" w:rsidRDefault="00ED1177" w:rsidP="00420FAD">
      <w:pPr>
        <w:jc w:val="both"/>
        <w:rPr>
          <w:rFonts w:ascii="Abadi" w:hAnsi="Abadi"/>
          <w:b/>
          <w:bCs/>
          <w:sz w:val="21"/>
          <w:szCs w:val="21"/>
        </w:rPr>
      </w:pPr>
    </w:p>
    <w:p w14:paraId="4EACC698" w14:textId="77777777" w:rsidR="00BE4EC6" w:rsidRDefault="00420FAD" w:rsidP="00420FAD">
      <w:pPr>
        <w:jc w:val="both"/>
        <w:rPr>
          <w:rFonts w:ascii="Abadi" w:hAnsi="Abadi"/>
          <w:b/>
          <w:bCs/>
          <w:sz w:val="21"/>
          <w:szCs w:val="21"/>
        </w:rPr>
      </w:pPr>
      <w:r w:rsidRPr="007D6338">
        <w:rPr>
          <w:rFonts w:ascii="Abadi" w:hAnsi="Abadi"/>
          <w:b/>
          <w:bCs/>
          <w:sz w:val="21"/>
          <w:szCs w:val="21"/>
        </w:rPr>
        <w:t xml:space="preserve">IV. Las necesidades que se deriven de su situación particular analizando su identidad de género, orientación sexual, raza, origen étnico, edad, nacionalidad, discapacidad, religión, así como cualquier otra condición relevante; </w:t>
      </w:r>
    </w:p>
    <w:p w14:paraId="5100A9FF" w14:textId="77777777" w:rsidR="00BE4EC6" w:rsidRDefault="00BE4EC6" w:rsidP="00420FAD">
      <w:pPr>
        <w:jc w:val="both"/>
        <w:rPr>
          <w:rFonts w:ascii="Abadi" w:hAnsi="Abadi"/>
          <w:b/>
          <w:bCs/>
          <w:sz w:val="21"/>
          <w:szCs w:val="21"/>
        </w:rPr>
      </w:pPr>
    </w:p>
    <w:p w14:paraId="3FFF07DA" w14:textId="775396A6" w:rsidR="00BE4EC6" w:rsidRDefault="00420FAD" w:rsidP="00420FAD">
      <w:pPr>
        <w:jc w:val="both"/>
        <w:rPr>
          <w:rFonts w:ascii="Abadi" w:hAnsi="Abadi"/>
          <w:b/>
          <w:bCs/>
          <w:sz w:val="21"/>
          <w:szCs w:val="21"/>
        </w:rPr>
      </w:pPr>
      <w:r w:rsidRPr="007D6338">
        <w:rPr>
          <w:rFonts w:ascii="Abadi" w:hAnsi="Abadi"/>
          <w:b/>
          <w:bCs/>
          <w:sz w:val="21"/>
          <w:szCs w:val="21"/>
        </w:rPr>
        <w:t xml:space="preserve">V. La persistencia del riesgo aún después de su salida de un refugio temporal, y </w:t>
      </w:r>
    </w:p>
    <w:p w14:paraId="5CC7549D" w14:textId="77777777" w:rsidR="00A536C0" w:rsidRDefault="00A536C0" w:rsidP="00420FAD">
      <w:pPr>
        <w:jc w:val="both"/>
        <w:rPr>
          <w:rFonts w:ascii="Abadi" w:hAnsi="Abadi"/>
          <w:b/>
          <w:bCs/>
          <w:sz w:val="21"/>
          <w:szCs w:val="21"/>
        </w:rPr>
      </w:pPr>
    </w:p>
    <w:p w14:paraId="0D70A595" w14:textId="21868091" w:rsidR="00420FAD" w:rsidRDefault="00420FAD" w:rsidP="00420FAD">
      <w:pPr>
        <w:jc w:val="both"/>
        <w:rPr>
          <w:rFonts w:ascii="Abadi" w:hAnsi="Abadi"/>
          <w:b/>
          <w:bCs/>
          <w:sz w:val="21"/>
          <w:szCs w:val="21"/>
        </w:rPr>
      </w:pPr>
      <w:r w:rsidRPr="007D6338">
        <w:rPr>
          <w:rFonts w:ascii="Abadi" w:hAnsi="Abadi"/>
          <w:b/>
          <w:bCs/>
          <w:sz w:val="21"/>
          <w:szCs w:val="21"/>
        </w:rPr>
        <w:t xml:space="preserve">VI. La manifestación de actos o hechos previos de cualquier tipo de violencia que hubiese sufrido la víctima. </w:t>
      </w:r>
    </w:p>
    <w:p w14:paraId="2E321831" w14:textId="77777777" w:rsidR="00ED1177" w:rsidRPr="007D6338" w:rsidRDefault="00ED1177" w:rsidP="00420FAD">
      <w:pPr>
        <w:jc w:val="both"/>
        <w:rPr>
          <w:rFonts w:ascii="Abadi" w:hAnsi="Abadi"/>
          <w:b/>
          <w:bCs/>
          <w:sz w:val="21"/>
          <w:szCs w:val="21"/>
        </w:rPr>
      </w:pPr>
    </w:p>
    <w:p w14:paraId="358CEBDE" w14:textId="67F80920" w:rsidR="00420FAD" w:rsidRDefault="00420FAD" w:rsidP="00420FAD">
      <w:pPr>
        <w:jc w:val="both"/>
        <w:rPr>
          <w:rFonts w:ascii="Abadi" w:hAnsi="Abadi"/>
          <w:b/>
          <w:bCs/>
          <w:sz w:val="21"/>
          <w:szCs w:val="21"/>
        </w:rPr>
      </w:pPr>
      <w:r w:rsidRPr="007D6338">
        <w:rPr>
          <w:rFonts w:ascii="Abadi" w:hAnsi="Abadi"/>
          <w:b/>
          <w:bCs/>
          <w:sz w:val="21"/>
          <w:szCs w:val="21"/>
        </w:rPr>
        <w:t xml:space="preserve">Artículo 44 </w:t>
      </w:r>
      <w:proofErr w:type="spellStart"/>
      <w:r w:rsidRPr="007D6338">
        <w:rPr>
          <w:rFonts w:ascii="Abadi" w:hAnsi="Abadi"/>
          <w:b/>
          <w:bCs/>
          <w:sz w:val="21"/>
          <w:szCs w:val="21"/>
        </w:rPr>
        <w:t>Sexies</w:t>
      </w:r>
      <w:proofErr w:type="spellEnd"/>
      <w:r w:rsidRPr="007D6338">
        <w:rPr>
          <w:rFonts w:ascii="Abadi" w:hAnsi="Abadi"/>
          <w:b/>
          <w:bCs/>
          <w:sz w:val="21"/>
          <w:szCs w:val="21"/>
        </w:rPr>
        <w:t xml:space="preserve">. Las autoridades administrativas, el Ministerio Público o el órgano jurisdiccional competente, deberá ordenar la protección necesaria, considerando: </w:t>
      </w:r>
    </w:p>
    <w:p w14:paraId="31830943" w14:textId="77777777" w:rsidR="00ED1177" w:rsidRPr="007D6338" w:rsidRDefault="00ED1177" w:rsidP="00420FAD">
      <w:pPr>
        <w:jc w:val="both"/>
        <w:rPr>
          <w:rFonts w:ascii="Abadi" w:hAnsi="Abadi"/>
          <w:b/>
          <w:bCs/>
          <w:sz w:val="21"/>
          <w:szCs w:val="21"/>
        </w:rPr>
      </w:pPr>
    </w:p>
    <w:p w14:paraId="7A4179F6" w14:textId="0B0713C1" w:rsidR="00420FAD" w:rsidRDefault="00420FAD" w:rsidP="00420FAD">
      <w:pPr>
        <w:jc w:val="both"/>
        <w:rPr>
          <w:rFonts w:ascii="Abadi" w:hAnsi="Abadi"/>
          <w:b/>
          <w:bCs/>
          <w:sz w:val="21"/>
          <w:szCs w:val="21"/>
        </w:rPr>
      </w:pPr>
      <w:r w:rsidRPr="007D6338">
        <w:rPr>
          <w:rFonts w:ascii="Abadi" w:hAnsi="Abadi"/>
          <w:b/>
          <w:bCs/>
          <w:sz w:val="21"/>
          <w:szCs w:val="21"/>
        </w:rPr>
        <w:t>I. Los principios establecidos en esta ley;</w:t>
      </w:r>
    </w:p>
    <w:p w14:paraId="298D805F" w14:textId="77777777" w:rsidR="00ED1177" w:rsidRPr="007D6338" w:rsidRDefault="00ED1177" w:rsidP="00420FAD">
      <w:pPr>
        <w:jc w:val="both"/>
        <w:rPr>
          <w:rFonts w:ascii="Abadi" w:hAnsi="Abadi"/>
          <w:b/>
          <w:bCs/>
          <w:sz w:val="21"/>
          <w:szCs w:val="21"/>
        </w:rPr>
      </w:pPr>
    </w:p>
    <w:p w14:paraId="3CF0DC29" w14:textId="47CA7454" w:rsidR="00420FAD" w:rsidRDefault="00420FAD" w:rsidP="00420FAD">
      <w:pPr>
        <w:jc w:val="both"/>
        <w:rPr>
          <w:rFonts w:ascii="Abadi" w:hAnsi="Abadi"/>
          <w:b/>
          <w:bCs/>
          <w:sz w:val="21"/>
          <w:szCs w:val="21"/>
        </w:rPr>
      </w:pPr>
      <w:r w:rsidRPr="007D6338">
        <w:rPr>
          <w:rFonts w:ascii="Abadi" w:hAnsi="Abadi"/>
          <w:b/>
          <w:bCs/>
          <w:sz w:val="21"/>
          <w:szCs w:val="21"/>
        </w:rPr>
        <w:t>II. Que sea adecuada, oportuna y proporcional;</w:t>
      </w:r>
    </w:p>
    <w:p w14:paraId="3CDD9D0C" w14:textId="77777777" w:rsidR="00BE4EC6" w:rsidRPr="007D6338" w:rsidRDefault="00BE4EC6" w:rsidP="00420FAD">
      <w:pPr>
        <w:jc w:val="both"/>
        <w:rPr>
          <w:rFonts w:ascii="Abadi" w:hAnsi="Abadi"/>
          <w:b/>
          <w:bCs/>
          <w:sz w:val="21"/>
          <w:szCs w:val="21"/>
        </w:rPr>
      </w:pPr>
    </w:p>
    <w:p w14:paraId="7F3AEC3B" w14:textId="153BDCB7" w:rsidR="00420FAD" w:rsidRDefault="00420FAD" w:rsidP="00420FAD">
      <w:pPr>
        <w:jc w:val="both"/>
        <w:rPr>
          <w:rFonts w:ascii="Abadi" w:hAnsi="Abadi"/>
          <w:b/>
          <w:bCs/>
          <w:sz w:val="21"/>
          <w:szCs w:val="21"/>
        </w:rPr>
      </w:pPr>
      <w:r w:rsidRPr="007D6338">
        <w:rPr>
          <w:rFonts w:ascii="Abadi" w:hAnsi="Abadi"/>
          <w:b/>
          <w:bCs/>
          <w:sz w:val="21"/>
          <w:szCs w:val="21"/>
        </w:rPr>
        <w:t xml:space="preserve">III. Que los sistemas normativos propios basados en usos y costumbres no impidan la garantía de los derechos de las mujeres reconocidos en la Constitución Política de los Estados Unidos Mexicanos, así como en los tratados internacionales ratificados por el Estado Mexicano; </w:t>
      </w:r>
    </w:p>
    <w:p w14:paraId="348F0297" w14:textId="77777777" w:rsidR="00ED1177" w:rsidRPr="007D6338" w:rsidRDefault="00ED1177" w:rsidP="00420FAD">
      <w:pPr>
        <w:jc w:val="both"/>
        <w:rPr>
          <w:rFonts w:ascii="Abadi" w:hAnsi="Abadi"/>
          <w:b/>
          <w:bCs/>
          <w:sz w:val="21"/>
          <w:szCs w:val="21"/>
        </w:rPr>
      </w:pPr>
    </w:p>
    <w:p w14:paraId="12857D63" w14:textId="7AD745CD" w:rsidR="00420FAD" w:rsidRDefault="00420FAD" w:rsidP="00420FAD">
      <w:pPr>
        <w:jc w:val="both"/>
        <w:rPr>
          <w:rFonts w:ascii="Abadi" w:hAnsi="Abadi"/>
          <w:b/>
          <w:bCs/>
          <w:sz w:val="21"/>
          <w:szCs w:val="21"/>
        </w:rPr>
      </w:pPr>
      <w:r w:rsidRPr="007D6338">
        <w:rPr>
          <w:rFonts w:ascii="Abadi" w:hAnsi="Abadi"/>
          <w:b/>
          <w:bCs/>
          <w:sz w:val="21"/>
          <w:szCs w:val="21"/>
        </w:rPr>
        <w:t xml:space="preserve">IV. La discriminación y vulnerabilidad que viven las mujeres, las adolescentes y las niñas por razón de identidad de género, orientación sexual, raza, origen étnico, edad, nacionalidad, discapacidad, religión o cualquiera otra, que las coloque en una situación de mayor riesgo, y </w:t>
      </w:r>
    </w:p>
    <w:p w14:paraId="2F9DBB4A" w14:textId="77777777" w:rsidR="00ED1177" w:rsidRPr="007D6338" w:rsidRDefault="00ED1177" w:rsidP="00420FAD">
      <w:pPr>
        <w:jc w:val="both"/>
        <w:rPr>
          <w:rFonts w:ascii="Abadi" w:hAnsi="Abadi"/>
          <w:b/>
          <w:bCs/>
          <w:sz w:val="21"/>
          <w:szCs w:val="21"/>
        </w:rPr>
      </w:pPr>
    </w:p>
    <w:p w14:paraId="496742BB" w14:textId="77777777" w:rsidR="00BE4EC6" w:rsidRDefault="00420FAD" w:rsidP="00420FAD">
      <w:pPr>
        <w:jc w:val="both"/>
        <w:rPr>
          <w:rFonts w:ascii="Abadi" w:hAnsi="Abadi"/>
          <w:b/>
          <w:bCs/>
          <w:sz w:val="21"/>
          <w:szCs w:val="21"/>
        </w:rPr>
      </w:pPr>
      <w:r w:rsidRPr="007D6338">
        <w:rPr>
          <w:rFonts w:ascii="Abadi" w:hAnsi="Abadi"/>
          <w:b/>
          <w:bCs/>
          <w:sz w:val="21"/>
          <w:szCs w:val="21"/>
        </w:rPr>
        <w:t xml:space="preserve">V. Las necesidades expresadas por la mujer, la adolescente o niña solicitante. </w:t>
      </w:r>
    </w:p>
    <w:p w14:paraId="6D0FD9B1" w14:textId="77777777" w:rsidR="00BE4EC6" w:rsidRDefault="00BE4EC6" w:rsidP="00420FAD">
      <w:pPr>
        <w:jc w:val="both"/>
        <w:rPr>
          <w:rFonts w:ascii="Abadi" w:hAnsi="Abadi"/>
          <w:b/>
          <w:bCs/>
          <w:sz w:val="21"/>
          <w:szCs w:val="21"/>
        </w:rPr>
      </w:pPr>
    </w:p>
    <w:p w14:paraId="2627EC73" w14:textId="1A19DBBE" w:rsidR="00420FAD" w:rsidRPr="007D6338" w:rsidRDefault="00420FAD" w:rsidP="00420FAD">
      <w:pPr>
        <w:jc w:val="both"/>
        <w:rPr>
          <w:rFonts w:ascii="Abadi" w:hAnsi="Abadi"/>
          <w:b/>
          <w:bCs/>
          <w:sz w:val="21"/>
          <w:szCs w:val="21"/>
        </w:rPr>
      </w:pPr>
      <w:r w:rsidRPr="007D6338">
        <w:rPr>
          <w:rFonts w:ascii="Abadi" w:hAnsi="Abadi"/>
          <w:b/>
          <w:bCs/>
          <w:sz w:val="21"/>
          <w:szCs w:val="21"/>
        </w:rPr>
        <w:t xml:space="preserve">Las autoridades administrativas, el Ministerio Público y los órganos jurisdiccionales determinarán las órdenes de protección para denunciantes anónimas de violencia, privilegiando la integridad y la seguridad de las víctimas. </w:t>
      </w:r>
    </w:p>
    <w:p w14:paraId="6B28413E" w14:textId="77777777" w:rsidR="00BE4EC6" w:rsidRDefault="00BE4EC6" w:rsidP="00420FAD">
      <w:pPr>
        <w:jc w:val="both"/>
        <w:rPr>
          <w:rFonts w:ascii="Abadi" w:hAnsi="Abadi"/>
          <w:b/>
          <w:bCs/>
          <w:sz w:val="21"/>
          <w:szCs w:val="21"/>
        </w:rPr>
      </w:pPr>
    </w:p>
    <w:p w14:paraId="64A6B511" w14:textId="6FCB73D9" w:rsidR="00420FAD" w:rsidRDefault="00420FAD" w:rsidP="00420FAD">
      <w:pPr>
        <w:jc w:val="both"/>
        <w:rPr>
          <w:rFonts w:ascii="Abadi" w:hAnsi="Abadi"/>
          <w:b/>
          <w:bCs/>
          <w:sz w:val="21"/>
          <w:szCs w:val="21"/>
        </w:rPr>
      </w:pPr>
      <w:r w:rsidRPr="007D6338">
        <w:rPr>
          <w:rFonts w:ascii="Abadi" w:hAnsi="Abadi"/>
          <w:b/>
          <w:bCs/>
          <w:sz w:val="21"/>
          <w:szCs w:val="21"/>
        </w:rPr>
        <w:t xml:space="preserve">Artículo 44 </w:t>
      </w:r>
      <w:proofErr w:type="spellStart"/>
      <w:r w:rsidRPr="007D6338">
        <w:rPr>
          <w:rFonts w:ascii="Abadi" w:hAnsi="Abadi"/>
          <w:b/>
          <w:bCs/>
          <w:sz w:val="21"/>
          <w:szCs w:val="21"/>
        </w:rPr>
        <w:t>Septies</w:t>
      </w:r>
      <w:proofErr w:type="spellEnd"/>
      <w:r w:rsidRPr="007D6338">
        <w:rPr>
          <w:rFonts w:ascii="Abadi" w:hAnsi="Abadi"/>
          <w:b/>
          <w:bCs/>
          <w:sz w:val="21"/>
          <w:szCs w:val="21"/>
        </w:rPr>
        <w:t xml:space="preserve">. Las autoridades administrativas, el Ministerio Público o el órgano jurisdiccional que emita las órdenes de protección, realizarán las gestiones necesarias para garantizar su cumplimiento, monitoreo y ejecución. Para lo anterior se allegará de los recursos materiales y humanos necesarios, asimismo podrá solicitar la colaboración de las autoridades competentes. </w:t>
      </w:r>
    </w:p>
    <w:p w14:paraId="08EFF8B4" w14:textId="77777777" w:rsidR="00ED1177" w:rsidRPr="007D6338" w:rsidRDefault="00ED1177" w:rsidP="00420FAD">
      <w:pPr>
        <w:jc w:val="both"/>
        <w:rPr>
          <w:rFonts w:ascii="Abadi" w:hAnsi="Abadi"/>
          <w:b/>
          <w:bCs/>
          <w:sz w:val="21"/>
          <w:szCs w:val="21"/>
        </w:rPr>
      </w:pPr>
    </w:p>
    <w:p w14:paraId="6A7D3D57" w14:textId="7924C11E" w:rsidR="00420FAD" w:rsidRDefault="00420FAD" w:rsidP="00420FAD">
      <w:pPr>
        <w:jc w:val="both"/>
        <w:rPr>
          <w:rFonts w:ascii="Abadi" w:hAnsi="Abadi"/>
          <w:b/>
          <w:bCs/>
          <w:sz w:val="21"/>
          <w:szCs w:val="21"/>
        </w:rPr>
      </w:pPr>
      <w:r w:rsidRPr="007D6338">
        <w:rPr>
          <w:rFonts w:ascii="Abadi" w:hAnsi="Abadi"/>
          <w:b/>
          <w:bCs/>
          <w:sz w:val="21"/>
          <w:szCs w:val="21"/>
        </w:rPr>
        <w:t xml:space="preserve">Artículo 44 </w:t>
      </w:r>
      <w:proofErr w:type="spellStart"/>
      <w:r w:rsidRPr="007D6338">
        <w:rPr>
          <w:rFonts w:ascii="Abadi" w:hAnsi="Abadi"/>
          <w:b/>
          <w:bCs/>
          <w:sz w:val="21"/>
          <w:szCs w:val="21"/>
        </w:rPr>
        <w:t>Octies</w:t>
      </w:r>
      <w:proofErr w:type="spellEnd"/>
      <w:r w:rsidRPr="007D6338">
        <w:rPr>
          <w:rFonts w:ascii="Abadi" w:hAnsi="Abadi"/>
          <w:b/>
          <w:bCs/>
          <w:sz w:val="21"/>
          <w:szCs w:val="21"/>
        </w:rPr>
        <w:t xml:space="preserve">. Las órdenes de protección podrán solicitarse en cualquier municipio distinto a donde ocurrieron los hechos, sin que la competencia por razón del territorio pueda ser usada como excusa para no recibir la solicitud. </w:t>
      </w:r>
    </w:p>
    <w:p w14:paraId="121190CA" w14:textId="77777777" w:rsidR="00ED1177" w:rsidRDefault="00ED1177" w:rsidP="00420FAD">
      <w:pPr>
        <w:jc w:val="both"/>
        <w:rPr>
          <w:rFonts w:ascii="Abadi" w:hAnsi="Abadi"/>
          <w:b/>
          <w:bCs/>
          <w:sz w:val="21"/>
          <w:szCs w:val="21"/>
        </w:rPr>
      </w:pPr>
    </w:p>
    <w:p w14:paraId="61A72F96" w14:textId="46EC56A5" w:rsidR="00420FAD" w:rsidRDefault="00420FAD" w:rsidP="00420FAD">
      <w:pPr>
        <w:jc w:val="both"/>
        <w:rPr>
          <w:rFonts w:ascii="Abadi" w:hAnsi="Abadi"/>
          <w:b/>
          <w:bCs/>
          <w:sz w:val="21"/>
          <w:szCs w:val="21"/>
        </w:rPr>
      </w:pPr>
      <w:r w:rsidRPr="007D6338">
        <w:rPr>
          <w:rFonts w:ascii="Abadi" w:hAnsi="Abadi"/>
          <w:b/>
          <w:bCs/>
          <w:sz w:val="21"/>
          <w:szCs w:val="21"/>
        </w:rPr>
        <w:t xml:space="preserve">Durante los primeros seis días posteriores a la implementación de las órdenes, la autoridad que la emitió mantendrá contacto directo con la mujer víctima de violencia cada 24 horas. A partir del séptimo día, se establecerá un plan de seguimiento personalizado, de acuerdo con las circunstancias, la valoración del riesgo y el avance en la carpeta de investigación. </w:t>
      </w:r>
    </w:p>
    <w:p w14:paraId="73C4D9CB" w14:textId="77777777" w:rsidR="00ED1177" w:rsidRDefault="00ED1177" w:rsidP="00420FAD">
      <w:pPr>
        <w:jc w:val="both"/>
        <w:rPr>
          <w:rFonts w:ascii="Abadi" w:hAnsi="Abadi"/>
          <w:b/>
          <w:bCs/>
          <w:sz w:val="21"/>
          <w:szCs w:val="21"/>
        </w:rPr>
      </w:pPr>
    </w:p>
    <w:p w14:paraId="65D9666E" w14:textId="77777777" w:rsidR="00420FAD" w:rsidRPr="007D6338" w:rsidRDefault="00420FAD" w:rsidP="00420FAD">
      <w:pPr>
        <w:jc w:val="both"/>
        <w:rPr>
          <w:rFonts w:ascii="Abadi" w:hAnsi="Abadi"/>
          <w:b/>
          <w:bCs/>
          <w:sz w:val="21"/>
          <w:szCs w:val="21"/>
        </w:rPr>
      </w:pPr>
      <w:r w:rsidRPr="007D6338">
        <w:rPr>
          <w:rFonts w:ascii="Abadi" w:hAnsi="Abadi"/>
          <w:b/>
          <w:bCs/>
          <w:sz w:val="21"/>
          <w:szCs w:val="21"/>
        </w:rPr>
        <w:t>Artículo 45. Las órdenes de protección administrativas, además de las previstas en otros ordenamientos, podrán consistir en una o varias de las siguientes:</w:t>
      </w:r>
    </w:p>
    <w:p w14:paraId="603B7B1A" w14:textId="77777777" w:rsidR="00420FAD" w:rsidRPr="00F23DB4" w:rsidRDefault="00420FAD" w:rsidP="00420FAD">
      <w:pPr>
        <w:jc w:val="both"/>
        <w:rPr>
          <w:rFonts w:ascii="Abadi" w:hAnsi="Abadi"/>
          <w:sz w:val="21"/>
          <w:szCs w:val="21"/>
        </w:rPr>
      </w:pPr>
    </w:p>
    <w:p w14:paraId="64EE78EC" w14:textId="77777777" w:rsidR="00420FAD" w:rsidRPr="007D6338"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7D6338">
        <w:rPr>
          <w:rFonts w:ascii="Abadi" w:hAnsi="Abadi"/>
          <w:b/>
          <w:bCs/>
          <w:sz w:val="21"/>
          <w:szCs w:val="21"/>
        </w:rPr>
        <w:t xml:space="preserve">El traslado de las víctimas a donde se requiera, cuantas veces sea necesario en las diferentes diligencias para garantizar su seguridad y protección; </w:t>
      </w:r>
    </w:p>
    <w:p w14:paraId="2BA1E5D4" w14:textId="77777777" w:rsidR="00420FAD" w:rsidRPr="007D6338" w:rsidRDefault="00420FAD" w:rsidP="00420FAD">
      <w:pPr>
        <w:pStyle w:val="Prrafodelista"/>
        <w:ind w:left="709"/>
        <w:jc w:val="both"/>
        <w:rPr>
          <w:rFonts w:ascii="Abadi" w:hAnsi="Abadi"/>
          <w:b/>
          <w:bCs/>
          <w:sz w:val="21"/>
          <w:szCs w:val="21"/>
        </w:rPr>
      </w:pPr>
    </w:p>
    <w:p w14:paraId="18B934A2" w14:textId="77777777" w:rsidR="00BE4EC6"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7D6338">
        <w:rPr>
          <w:rFonts w:ascii="Abadi" w:hAnsi="Abadi"/>
          <w:b/>
          <w:bCs/>
          <w:sz w:val="21"/>
          <w:szCs w:val="21"/>
        </w:rPr>
        <w:t xml:space="preserve">Custodia personal y/o domiciliaria a las víctimas, que estará a cargo de los cuerpos policiacos adscritos a la Fiscalía General del Estado de Guanajuato. En caso de que no exista disponibilidad podrá apoyarse en las instituciones de seguridad pública de los tres órdenes de gobierno. </w:t>
      </w:r>
    </w:p>
    <w:p w14:paraId="1424EC58" w14:textId="77777777" w:rsidR="00BE4EC6" w:rsidRPr="00BE4EC6" w:rsidRDefault="00BE4EC6" w:rsidP="00BE4EC6">
      <w:pPr>
        <w:pStyle w:val="Prrafodelista"/>
        <w:rPr>
          <w:rFonts w:ascii="Abadi" w:hAnsi="Abadi"/>
          <w:b/>
          <w:bCs/>
          <w:sz w:val="21"/>
          <w:szCs w:val="21"/>
        </w:rPr>
      </w:pPr>
    </w:p>
    <w:p w14:paraId="7CFAC5A9" w14:textId="025BD9A5" w:rsidR="00420FAD" w:rsidRPr="007D6338" w:rsidRDefault="00420FAD" w:rsidP="00BE4EC6">
      <w:pPr>
        <w:pStyle w:val="Prrafodelista"/>
        <w:spacing w:after="160" w:line="259" w:lineRule="auto"/>
        <w:ind w:left="709"/>
        <w:contextualSpacing/>
        <w:jc w:val="both"/>
        <w:rPr>
          <w:rFonts w:ascii="Abadi" w:hAnsi="Abadi"/>
          <w:b/>
          <w:bCs/>
          <w:sz w:val="21"/>
          <w:szCs w:val="21"/>
        </w:rPr>
      </w:pPr>
      <w:r w:rsidRPr="007D6338">
        <w:rPr>
          <w:rFonts w:ascii="Abadi" w:hAnsi="Abadi"/>
          <w:b/>
          <w:bCs/>
          <w:sz w:val="21"/>
          <w:szCs w:val="21"/>
        </w:rPr>
        <w:t>Esta medida se aplicará bajo la más estricta responsabilidad del Ministerio Público;</w:t>
      </w:r>
    </w:p>
    <w:p w14:paraId="3B7DE7D2" w14:textId="77777777" w:rsidR="00420FAD" w:rsidRPr="007D6338" w:rsidRDefault="00420FAD" w:rsidP="00420FAD">
      <w:pPr>
        <w:pStyle w:val="Prrafodelista"/>
        <w:ind w:left="709"/>
        <w:rPr>
          <w:rFonts w:ascii="Abadi" w:hAnsi="Abadi"/>
          <w:b/>
          <w:bCs/>
          <w:sz w:val="21"/>
          <w:szCs w:val="21"/>
        </w:rPr>
      </w:pPr>
    </w:p>
    <w:p w14:paraId="68332DD7" w14:textId="77777777" w:rsidR="00420FAD" w:rsidRPr="007D6338"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7D6338">
        <w:rPr>
          <w:rFonts w:ascii="Abadi" w:hAnsi="Abadi"/>
          <w:b/>
          <w:bCs/>
          <w:sz w:val="21"/>
          <w:szCs w:val="21"/>
        </w:rPr>
        <w:t xml:space="preserve">Proporcionar a las mujeres, adolescentes o niñas, en situación de violencia y en su caso a sus hijas e hijos o personas que dependan de la víctima, alojamiento temporal en espacios seguros tales como casas de emergencia, refugios y albergues que garanticen su seguridad y dignidad, en términos de las disposiciones aplicables de esta ley; </w:t>
      </w:r>
    </w:p>
    <w:p w14:paraId="0E72870C" w14:textId="77777777" w:rsidR="00420FAD" w:rsidRPr="007D6338" w:rsidRDefault="00420FAD" w:rsidP="00420FAD">
      <w:pPr>
        <w:pStyle w:val="Prrafodelista"/>
        <w:ind w:left="709"/>
        <w:rPr>
          <w:rFonts w:ascii="Abadi" w:hAnsi="Abadi"/>
          <w:b/>
          <w:bCs/>
          <w:sz w:val="21"/>
          <w:szCs w:val="21"/>
        </w:rPr>
      </w:pPr>
    </w:p>
    <w:p w14:paraId="5AB38716" w14:textId="77777777" w:rsidR="00420FAD" w:rsidRPr="007D6338"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7D6338">
        <w:rPr>
          <w:rFonts w:ascii="Abadi" w:hAnsi="Abadi"/>
          <w:b/>
          <w:bCs/>
          <w:sz w:val="21"/>
          <w:szCs w:val="21"/>
        </w:rPr>
        <w:t>Proporcionar los recursos económicos para garantizar su seguridad personal, transporte, alimentos, comunicación, mudanza y los trámites oficiales que requiera entre otros;</w:t>
      </w:r>
    </w:p>
    <w:p w14:paraId="34524BE2" w14:textId="77777777" w:rsidR="00420FAD" w:rsidRPr="007D6338" w:rsidRDefault="00420FAD" w:rsidP="00420FAD">
      <w:pPr>
        <w:pStyle w:val="Prrafodelista"/>
        <w:ind w:left="709"/>
        <w:rPr>
          <w:rFonts w:ascii="Abadi" w:hAnsi="Abadi"/>
          <w:b/>
          <w:bCs/>
          <w:sz w:val="21"/>
          <w:szCs w:val="21"/>
        </w:rPr>
      </w:pPr>
    </w:p>
    <w:p w14:paraId="2C3AD597" w14:textId="77777777" w:rsidR="00BE4EC6"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7D6338">
        <w:rPr>
          <w:rFonts w:ascii="Abadi" w:hAnsi="Abadi"/>
          <w:b/>
          <w:bCs/>
          <w:sz w:val="21"/>
          <w:szCs w:val="21"/>
        </w:rPr>
        <w:t xml:space="preserve">Canalizar y trasladar sin demora alguna a las mujeres, las adolescentes o las niñas, en situación de violencia sexual a las instituciones que integran el sistema nacional de salud para que provean gratuitamente y de manera inmediata los servicios de: </w:t>
      </w:r>
    </w:p>
    <w:p w14:paraId="6820DBB1" w14:textId="77777777" w:rsidR="00BE4EC6" w:rsidRPr="00BE4EC6" w:rsidRDefault="00BE4EC6" w:rsidP="00BE4EC6">
      <w:pPr>
        <w:pStyle w:val="Prrafodelista"/>
        <w:rPr>
          <w:rFonts w:ascii="Abadi" w:hAnsi="Abadi"/>
          <w:b/>
          <w:bCs/>
          <w:sz w:val="21"/>
          <w:szCs w:val="21"/>
        </w:rPr>
      </w:pPr>
    </w:p>
    <w:p w14:paraId="6EA5B8E1" w14:textId="5614BC06" w:rsidR="00BE4EC6" w:rsidRPr="00BE4EC6" w:rsidRDefault="00420FAD" w:rsidP="00343CA9">
      <w:pPr>
        <w:pStyle w:val="Prrafodelista"/>
        <w:numPr>
          <w:ilvl w:val="0"/>
          <w:numId w:val="37"/>
        </w:numPr>
        <w:spacing w:after="160" w:line="259" w:lineRule="auto"/>
        <w:contextualSpacing/>
        <w:jc w:val="both"/>
        <w:rPr>
          <w:rFonts w:ascii="Abadi" w:hAnsi="Abadi"/>
          <w:b/>
          <w:bCs/>
          <w:sz w:val="21"/>
          <w:szCs w:val="21"/>
        </w:rPr>
      </w:pPr>
      <w:r w:rsidRPr="007D6338">
        <w:rPr>
          <w:rFonts w:ascii="Abadi" w:hAnsi="Abadi"/>
          <w:b/>
          <w:bCs/>
          <w:sz w:val="21"/>
          <w:szCs w:val="21"/>
        </w:rPr>
        <w:t xml:space="preserve">Aplicación de antirretrovirales de profilaxis </w:t>
      </w:r>
      <w:proofErr w:type="spellStart"/>
      <w:r w:rsidRPr="007D6338">
        <w:rPr>
          <w:rFonts w:ascii="Abadi" w:hAnsi="Abadi"/>
          <w:b/>
          <w:bCs/>
          <w:sz w:val="21"/>
          <w:szCs w:val="21"/>
        </w:rPr>
        <w:t>post-exposición</w:t>
      </w:r>
      <w:proofErr w:type="spellEnd"/>
      <w:r w:rsidRPr="007D6338">
        <w:rPr>
          <w:rFonts w:ascii="Abadi" w:hAnsi="Abadi"/>
          <w:b/>
          <w:bCs/>
          <w:sz w:val="21"/>
          <w:szCs w:val="21"/>
        </w:rPr>
        <w:t xml:space="preserve">; </w:t>
      </w:r>
    </w:p>
    <w:p w14:paraId="412D7BB6" w14:textId="5531D39E" w:rsidR="00BE4EC6" w:rsidRPr="00BE4EC6" w:rsidRDefault="00420FAD" w:rsidP="00343CA9">
      <w:pPr>
        <w:pStyle w:val="Prrafodelista"/>
        <w:numPr>
          <w:ilvl w:val="0"/>
          <w:numId w:val="37"/>
        </w:numPr>
        <w:spacing w:after="160" w:line="259" w:lineRule="auto"/>
        <w:contextualSpacing/>
        <w:jc w:val="both"/>
        <w:rPr>
          <w:rFonts w:ascii="Abadi" w:hAnsi="Abadi"/>
          <w:b/>
          <w:bCs/>
          <w:sz w:val="21"/>
          <w:szCs w:val="21"/>
        </w:rPr>
      </w:pPr>
      <w:r w:rsidRPr="00BE4EC6">
        <w:rPr>
          <w:rFonts w:ascii="Abadi" w:hAnsi="Abadi"/>
          <w:b/>
          <w:bCs/>
          <w:sz w:val="21"/>
          <w:szCs w:val="21"/>
        </w:rPr>
        <w:t xml:space="preserve">Anticoncepción de emergencia, y </w:t>
      </w:r>
    </w:p>
    <w:p w14:paraId="5435DE5D" w14:textId="7775C0DE" w:rsidR="00420FAD" w:rsidRPr="00BE4EC6" w:rsidRDefault="00420FAD" w:rsidP="00343CA9">
      <w:pPr>
        <w:pStyle w:val="Prrafodelista"/>
        <w:numPr>
          <w:ilvl w:val="0"/>
          <w:numId w:val="37"/>
        </w:numPr>
        <w:spacing w:after="160" w:line="259" w:lineRule="auto"/>
        <w:contextualSpacing/>
        <w:jc w:val="both"/>
        <w:rPr>
          <w:rFonts w:ascii="Abadi" w:hAnsi="Abadi"/>
          <w:b/>
          <w:bCs/>
          <w:sz w:val="21"/>
          <w:szCs w:val="21"/>
        </w:rPr>
      </w:pPr>
      <w:r w:rsidRPr="00BE4EC6">
        <w:rPr>
          <w:rFonts w:ascii="Abadi" w:hAnsi="Abadi"/>
          <w:b/>
          <w:bCs/>
          <w:sz w:val="21"/>
          <w:szCs w:val="21"/>
        </w:rPr>
        <w:t xml:space="preserve">Interrupción legal y voluntaria del embarazo en el caso de violación; </w:t>
      </w:r>
    </w:p>
    <w:p w14:paraId="31A077A5" w14:textId="77777777" w:rsidR="00420FAD" w:rsidRPr="007D6338" w:rsidRDefault="00420FAD" w:rsidP="00420FAD">
      <w:pPr>
        <w:pStyle w:val="Prrafodelista"/>
        <w:ind w:left="709"/>
        <w:rPr>
          <w:rFonts w:ascii="Abadi" w:hAnsi="Abadi"/>
          <w:b/>
          <w:bCs/>
          <w:sz w:val="21"/>
          <w:szCs w:val="21"/>
        </w:rPr>
      </w:pPr>
    </w:p>
    <w:p w14:paraId="741AB0F5" w14:textId="77777777" w:rsidR="00420FAD" w:rsidRPr="007D6338"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7D6338">
        <w:rPr>
          <w:rFonts w:ascii="Abadi" w:hAnsi="Abadi"/>
          <w:b/>
          <w:bCs/>
          <w:sz w:val="21"/>
          <w:szCs w:val="21"/>
        </w:rPr>
        <w:t>Proveer los recursos y herramientas necesarias para garantizar la seguridad y acondicionamiento de vivienda;</w:t>
      </w:r>
    </w:p>
    <w:p w14:paraId="3F0393CD" w14:textId="77777777" w:rsidR="00420FAD" w:rsidRPr="007D6338" w:rsidRDefault="00420FAD" w:rsidP="00420FAD">
      <w:pPr>
        <w:pStyle w:val="Prrafodelista"/>
        <w:ind w:left="709"/>
        <w:rPr>
          <w:rFonts w:ascii="Abadi" w:hAnsi="Abadi"/>
          <w:b/>
          <w:bCs/>
          <w:sz w:val="21"/>
          <w:szCs w:val="21"/>
        </w:rPr>
      </w:pPr>
    </w:p>
    <w:p w14:paraId="0749EF6D" w14:textId="77777777" w:rsidR="00420FAD" w:rsidRPr="007D6338" w:rsidRDefault="00420FAD" w:rsidP="00420FAD">
      <w:pPr>
        <w:pStyle w:val="Prrafodelista"/>
        <w:ind w:left="709"/>
        <w:jc w:val="both"/>
        <w:rPr>
          <w:rFonts w:ascii="Abadi" w:hAnsi="Abadi"/>
          <w:b/>
          <w:bCs/>
          <w:sz w:val="21"/>
          <w:szCs w:val="21"/>
        </w:rPr>
      </w:pPr>
    </w:p>
    <w:p w14:paraId="3A72D4CE" w14:textId="77777777" w:rsidR="00420FAD" w:rsidRPr="007D6338"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7D6338">
        <w:rPr>
          <w:rFonts w:ascii="Abadi" w:hAnsi="Abadi"/>
          <w:b/>
          <w:bCs/>
          <w:sz w:val="21"/>
          <w:szCs w:val="21"/>
        </w:rPr>
        <w:t xml:space="preserve">Los demás gastos indispensables, dentro o fuera del país, para la mujer y en su caso sus hijas e hijos mientras se encuentre imposibilitada de obtenerlos por sus propios medios; </w:t>
      </w:r>
    </w:p>
    <w:p w14:paraId="625AC31E" w14:textId="77777777" w:rsidR="00420FAD" w:rsidRPr="007D6338" w:rsidRDefault="00420FAD" w:rsidP="00420FAD">
      <w:pPr>
        <w:pStyle w:val="Prrafodelista"/>
        <w:ind w:left="709"/>
        <w:jc w:val="both"/>
        <w:rPr>
          <w:rFonts w:ascii="Abadi" w:hAnsi="Abadi"/>
          <w:b/>
          <w:bCs/>
          <w:sz w:val="21"/>
          <w:szCs w:val="21"/>
        </w:rPr>
      </w:pPr>
    </w:p>
    <w:p w14:paraId="4EFC3F66" w14:textId="77777777" w:rsidR="00420FAD" w:rsidRPr="007D6338"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7D6338">
        <w:rPr>
          <w:rFonts w:ascii="Abadi" w:hAnsi="Abadi"/>
          <w:b/>
          <w:bCs/>
          <w:sz w:val="21"/>
          <w:szCs w:val="21"/>
        </w:rPr>
        <w:t>Facilitar a la mujer, la adolescente o la niña, y en su caso a sus hijas e hijos en situación de violencia, la reubicación de domicilio, residencia o del centro educativo. Tratándose de niñas y adolescentes víctimas de violencia, la autoridad en todo momento ponderará su interés superior, siendo la remisión a instituciones públicas de acogida la última opción y por el menor tiempo posible;</w:t>
      </w:r>
    </w:p>
    <w:p w14:paraId="3E18FC4E" w14:textId="77777777" w:rsidR="00420FAD" w:rsidRPr="007D6338" w:rsidRDefault="00420FAD" w:rsidP="00420FAD">
      <w:pPr>
        <w:pStyle w:val="Prrafodelista"/>
        <w:ind w:left="709"/>
        <w:rPr>
          <w:rFonts w:ascii="Abadi" w:hAnsi="Abadi"/>
          <w:b/>
          <w:bCs/>
          <w:sz w:val="21"/>
          <w:szCs w:val="21"/>
        </w:rPr>
      </w:pPr>
    </w:p>
    <w:p w14:paraId="5F94046A" w14:textId="77777777" w:rsidR="00420FAD" w:rsidRPr="007D6338"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7D6338">
        <w:rPr>
          <w:rFonts w:ascii="Abadi" w:hAnsi="Abadi"/>
          <w:b/>
          <w:bCs/>
          <w:sz w:val="21"/>
          <w:szCs w:val="21"/>
        </w:rPr>
        <w:t xml:space="preserve">Prohibición inmediata a la persona agresora de acercarse al domicilio y al de familiares y amistades, al lugar de trabajo, de estudios, o cualquier otro que frecuente la víctima directa o víctimas indirectas; </w:t>
      </w:r>
    </w:p>
    <w:p w14:paraId="4C7A4CAB" w14:textId="77777777" w:rsidR="00420FAD" w:rsidRPr="007D6338" w:rsidRDefault="00420FAD" w:rsidP="00420FAD">
      <w:pPr>
        <w:pStyle w:val="Prrafodelista"/>
        <w:ind w:left="709"/>
        <w:rPr>
          <w:rFonts w:ascii="Abadi" w:hAnsi="Abadi"/>
          <w:b/>
          <w:bCs/>
          <w:sz w:val="21"/>
          <w:szCs w:val="21"/>
        </w:rPr>
      </w:pPr>
    </w:p>
    <w:p w14:paraId="0ADC271F" w14:textId="77777777" w:rsidR="00420FAD"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7D6338">
        <w:rPr>
          <w:rFonts w:ascii="Abadi" w:hAnsi="Abadi"/>
          <w:b/>
          <w:bCs/>
          <w:sz w:val="21"/>
          <w:szCs w:val="21"/>
        </w:rPr>
        <w:t xml:space="preserve">Reingreso de la mujer y en su caso a sus hijas e hijos en situación de violencia al domicilio, una vez que se salvaguarde su seguridad, en caso de que así lo desee. </w:t>
      </w:r>
    </w:p>
    <w:p w14:paraId="3AD5926D" w14:textId="77777777" w:rsidR="00420FAD" w:rsidRPr="004A2ABE" w:rsidRDefault="00420FAD" w:rsidP="00420FAD">
      <w:pPr>
        <w:pStyle w:val="Prrafodelista"/>
        <w:rPr>
          <w:rFonts w:ascii="Abadi" w:hAnsi="Abadi"/>
          <w:b/>
          <w:bCs/>
          <w:sz w:val="21"/>
          <w:szCs w:val="21"/>
        </w:rPr>
      </w:pPr>
    </w:p>
    <w:p w14:paraId="2E5F21FC" w14:textId="77777777" w:rsidR="00420FAD" w:rsidRDefault="00420FAD" w:rsidP="00420FAD">
      <w:pPr>
        <w:pStyle w:val="Prrafodelista"/>
        <w:ind w:left="709"/>
        <w:jc w:val="both"/>
        <w:rPr>
          <w:rFonts w:ascii="Abadi" w:hAnsi="Abadi"/>
          <w:b/>
          <w:bCs/>
          <w:sz w:val="21"/>
          <w:szCs w:val="21"/>
        </w:rPr>
      </w:pPr>
      <w:r w:rsidRPr="007D6338">
        <w:rPr>
          <w:rFonts w:ascii="Abadi" w:hAnsi="Abadi"/>
          <w:b/>
          <w:bCs/>
          <w:sz w:val="21"/>
          <w:szCs w:val="21"/>
        </w:rPr>
        <w:t xml:space="preserve">Para el cumplimiento de esta orden se garantizará el acompañamiento, del Ministerio Público y del personal de la policía ministerial, a la mujer en situación de violencia para acceder al domicilio, lugar de trabajo u otro, con el propósito de recuperar sus pertenencias personales y las de sus hijas e hijos, en cualquier caso, podrá ser acompañada de una persona de su confianza. </w:t>
      </w:r>
    </w:p>
    <w:p w14:paraId="12A797D7" w14:textId="77777777" w:rsidR="00420FAD" w:rsidRDefault="00420FAD" w:rsidP="00420FAD">
      <w:pPr>
        <w:pStyle w:val="Prrafodelista"/>
        <w:ind w:left="709"/>
        <w:jc w:val="both"/>
        <w:rPr>
          <w:rFonts w:ascii="Abadi" w:hAnsi="Abadi"/>
          <w:b/>
          <w:bCs/>
          <w:sz w:val="21"/>
          <w:szCs w:val="21"/>
        </w:rPr>
      </w:pPr>
    </w:p>
    <w:p w14:paraId="4278DE09" w14:textId="77777777" w:rsidR="00420FAD" w:rsidRDefault="00420FAD" w:rsidP="00420FAD">
      <w:pPr>
        <w:pStyle w:val="Prrafodelista"/>
        <w:ind w:left="709"/>
        <w:jc w:val="both"/>
        <w:rPr>
          <w:rFonts w:ascii="Abadi" w:hAnsi="Abadi"/>
          <w:b/>
          <w:bCs/>
          <w:sz w:val="21"/>
          <w:szCs w:val="21"/>
        </w:rPr>
      </w:pPr>
      <w:r w:rsidRPr="007D6338">
        <w:rPr>
          <w:rFonts w:ascii="Abadi" w:hAnsi="Abadi"/>
          <w:b/>
          <w:bCs/>
          <w:sz w:val="21"/>
          <w:szCs w:val="21"/>
        </w:rPr>
        <w:t xml:space="preserve">En caso de que no haya personal ministerial disponible, el acompañamiento será a cargo de personal de cualquier institución de seguridad pública que garantice la seguridad de la mujer; </w:t>
      </w:r>
    </w:p>
    <w:p w14:paraId="31EACB53" w14:textId="77777777" w:rsidR="00420FAD" w:rsidRDefault="00420FAD" w:rsidP="00420FAD">
      <w:pPr>
        <w:pStyle w:val="Prrafodelista"/>
        <w:ind w:left="709"/>
        <w:jc w:val="both"/>
        <w:rPr>
          <w:rFonts w:ascii="Abadi" w:hAnsi="Abadi"/>
          <w:b/>
          <w:bCs/>
          <w:sz w:val="21"/>
          <w:szCs w:val="21"/>
        </w:rPr>
      </w:pPr>
    </w:p>
    <w:p w14:paraId="1786F0A4" w14:textId="77777777" w:rsidR="00420FAD"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7D6338">
        <w:rPr>
          <w:rFonts w:ascii="Abadi" w:hAnsi="Abadi"/>
          <w:b/>
          <w:bCs/>
          <w:sz w:val="21"/>
          <w:szCs w:val="21"/>
        </w:rPr>
        <w:t xml:space="preserve">Protección policíaca permanente a la mujer, o la niña, así como a su familia; </w:t>
      </w:r>
    </w:p>
    <w:p w14:paraId="2ECA93FA" w14:textId="77777777" w:rsidR="00420FAD" w:rsidRDefault="00420FAD" w:rsidP="00420FAD">
      <w:pPr>
        <w:pStyle w:val="Prrafodelista"/>
        <w:ind w:left="709"/>
        <w:jc w:val="both"/>
        <w:rPr>
          <w:rFonts w:ascii="Abadi" w:hAnsi="Abadi"/>
          <w:b/>
          <w:bCs/>
          <w:sz w:val="21"/>
          <w:szCs w:val="21"/>
        </w:rPr>
      </w:pPr>
    </w:p>
    <w:p w14:paraId="2C9BB3D7" w14:textId="77777777" w:rsidR="00420FAD" w:rsidRPr="004A2ABE"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4A2ABE">
        <w:rPr>
          <w:rFonts w:ascii="Abadi" w:hAnsi="Abadi"/>
          <w:b/>
          <w:bCs/>
          <w:sz w:val="21"/>
          <w:szCs w:val="21"/>
        </w:rPr>
        <w:t>Protección por seguridad privada, en los casos que sea necesario;</w:t>
      </w:r>
    </w:p>
    <w:p w14:paraId="6C4F06A9" w14:textId="77777777" w:rsidR="00420FAD" w:rsidRDefault="00420FAD" w:rsidP="00420FAD">
      <w:pPr>
        <w:pStyle w:val="Prrafodelista"/>
        <w:ind w:left="709"/>
        <w:jc w:val="both"/>
        <w:rPr>
          <w:rFonts w:ascii="Abadi" w:hAnsi="Abadi"/>
          <w:sz w:val="21"/>
          <w:szCs w:val="21"/>
        </w:rPr>
      </w:pPr>
    </w:p>
    <w:p w14:paraId="2EBF6D25" w14:textId="77777777" w:rsidR="00420FAD" w:rsidRPr="000401C9"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0401C9">
        <w:rPr>
          <w:rFonts w:ascii="Abadi" w:hAnsi="Abadi"/>
          <w:b/>
          <w:bCs/>
          <w:sz w:val="21"/>
          <w:szCs w:val="21"/>
        </w:rPr>
        <w:t xml:space="preserve">Utilización de herramientas tecnológicas que permitan brindar seguridad a las mujeres, o niñas, en situación de violencia; así como a las víctimas indirectas y testigos. Entre las que pueden encontrarse proporcionar un teléfono móvil con contacto directo para brindar auxilio policial, entre otros; </w:t>
      </w:r>
    </w:p>
    <w:p w14:paraId="00CADFB7" w14:textId="77777777" w:rsidR="00420FAD" w:rsidRPr="000401C9" w:rsidRDefault="00420FAD" w:rsidP="00420FAD">
      <w:pPr>
        <w:pStyle w:val="Prrafodelista"/>
        <w:ind w:left="709"/>
        <w:rPr>
          <w:rFonts w:ascii="Abadi" w:hAnsi="Abadi"/>
          <w:b/>
          <w:bCs/>
          <w:sz w:val="21"/>
          <w:szCs w:val="21"/>
        </w:rPr>
      </w:pPr>
    </w:p>
    <w:p w14:paraId="01F51699" w14:textId="77777777" w:rsidR="00420FAD" w:rsidRPr="000401C9"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0401C9">
        <w:rPr>
          <w:rFonts w:ascii="Abadi" w:hAnsi="Abadi"/>
          <w:b/>
          <w:bCs/>
          <w:sz w:val="21"/>
          <w:szCs w:val="21"/>
        </w:rPr>
        <w:t xml:space="preserve">Solicitud a la autoridad judicial competente, la suspensión temporal a la persona agresora del régimen de visitas y convivencia con sus descendientes; </w:t>
      </w:r>
    </w:p>
    <w:p w14:paraId="32709804" w14:textId="77777777" w:rsidR="00420FAD" w:rsidRPr="000401C9" w:rsidRDefault="00420FAD" w:rsidP="00420FAD">
      <w:pPr>
        <w:pStyle w:val="Prrafodelista"/>
        <w:ind w:left="709"/>
        <w:rPr>
          <w:rFonts w:ascii="Abadi" w:hAnsi="Abadi"/>
          <w:b/>
          <w:bCs/>
          <w:sz w:val="21"/>
          <w:szCs w:val="21"/>
        </w:rPr>
      </w:pPr>
    </w:p>
    <w:p w14:paraId="2484ABC7" w14:textId="77777777" w:rsidR="00420FAD" w:rsidRPr="000401C9"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0401C9">
        <w:rPr>
          <w:rFonts w:ascii="Abadi" w:hAnsi="Abadi"/>
          <w:b/>
          <w:bCs/>
          <w:sz w:val="21"/>
          <w:szCs w:val="21"/>
        </w:rPr>
        <w:t xml:space="preserve">Ordenar la entrega inmediata de objetos de uso personal y documentos de identidad a la mujer, adolescente o niña en situación de violencia, y en su caso, a sus hijas e hijos; </w:t>
      </w:r>
    </w:p>
    <w:p w14:paraId="10BEC614" w14:textId="77777777" w:rsidR="00420FAD" w:rsidRPr="000401C9" w:rsidRDefault="00420FAD" w:rsidP="00420FAD">
      <w:pPr>
        <w:pStyle w:val="Prrafodelista"/>
        <w:ind w:left="709"/>
        <w:rPr>
          <w:rFonts w:ascii="Abadi" w:hAnsi="Abadi"/>
          <w:b/>
          <w:bCs/>
          <w:sz w:val="21"/>
          <w:szCs w:val="21"/>
        </w:rPr>
      </w:pPr>
    </w:p>
    <w:p w14:paraId="01C1A1C2" w14:textId="77777777" w:rsidR="00420FAD" w:rsidRPr="000401C9"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0401C9">
        <w:rPr>
          <w:rFonts w:ascii="Abadi" w:hAnsi="Abadi"/>
          <w:b/>
          <w:bCs/>
          <w:sz w:val="21"/>
          <w:szCs w:val="21"/>
        </w:rPr>
        <w:t xml:space="preserve">La prohibición a la persona agresora de comunicarse por cualquier medio o por interpósita persona, con la mujer en situación de violencia y, en su caso, de sus hijas e hijos u otras víctimas indirectas; </w:t>
      </w:r>
    </w:p>
    <w:p w14:paraId="7C6738F2" w14:textId="77777777" w:rsidR="00420FAD" w:rsidRPr="000401C9" w:rsidRDefault="00420FAD" w:rsidP="00420FAD">
      <w:pPr>
        <w:pStyle w:val="Prrafodelista"/>
        <w:ind w:left="709"/>
        <w:rPr>
          <w:rFonts w:ascii="Abadi" w:hAnsi="Abadi"/>
          <w:b/>
          <w:bCs/>
          <w:sz w:val="21"/>
          <w:szCs w:val="21"/>
        </w:rPr>
      </w:pPr>
    </w:p>
    <w:p w14:paraId="1F009D95" w14:textId="77777777" w:rsidR="00420FAD" w:rsidRPr="000401C9"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0401C9">
        <w:rPr>
          <w:rFonts w:ascii="Abadi" w:hAnsi="Abadi"/>
          <w:b/>
          <w:bCs/>
          <w:sz w:val="21"/>
          <w:szCs w:val="21"/>
        </w:rPr>
        <w:t xml:space="preserve">Prohibición a la persona agresora de intimidar o molestar por si, por cualquier medio o interpósita persona, a la mujer en situación de violencia y en su caso sus hijas e hijos u otras víctimas indirectas o testigos de los hechos o cualquier otra persona con quien la mujer tenga una relación familiar, afectiva, de confianza o de hecho; </w:t>
      </w:r>
    </w:p>
    <w:p w14:paraId="75AA2116" w14:textId="77777777" w:rsidR="00420FAD" w:rsidRPr="000401C9" w:rsidRDefault="00420FAD" w:rsidP="00420FAD">
      <w:pPr>
        <w:pStyle w:val="Prrafodelista"/>
        <w:ind w:left="709"/>
        <w:rPr>
          <w:rFonts w:ascii="Abadi" w:hAnsi="Abadi"/>
          <w:b/>
          <w:bCs/>
          <w:sz w:val="21"/>
          <w:szCs w:val="21"/>
        </w:rPr>
      </w:pPr>
    </w:p>
    <w:p w14:paraId="1AC43F88" w14:textId="77777777" w:rsidR="00420FAD" w:rsidRPr="000401C9"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0401C9">
        <w:rPr>
          <w:rFonts w:ascii="Abadi" w:hAnsi="Abadi"/>
          <w:b/>
          <w:bCs/>
          <w:sz w:val="21"/>
          <w:szCs w:val="21"/>
        </w:rPr>
        <w:t xml:space="preserve">Resguardar las armas de fuego u objetos utilizados para amenazar o agredir a la mujer, o niña, en situación de violencia; </w:t>
      </w:r>
    </w:p>
    <w:p w14:paraId="75C605AA" w14:textId="77777777" w:rsidR="00420FAD" w:rsidRPr="000401C9" w:rsidRDefault="00420FAD" w:rsidP="00420FAD">
      <w:pPr>
        <w:pStyle w:val="Prrafodelista"/>
        <w:ind w:left="709"/>
        <w:rPr>
          <w:rFonts w:ascii="Abadi" w:hAnsi="Abadi"/>
          <w:b/>
          <w:bCs/>
          <w:sz w:val="21"/>
          <w:szCs w:val="21"/>
        </w:rPr>
      </w:pPr>
    </w:p>
    <w:p w14:paraId="48D452FA" w14:textId="77777777" w:rsidR="00420FAD" w:rsidRPr="000401C9"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0401C9">
        <w:rPr>
          <w:rFonts w:ascii="Abadi" w:hAnsi="Abadi"/>
          <w:b/>
          <w:bCs/>
          <w:sz w:val="21"/>
          <w:szCs w:val="21"/>
        </w:rPr>
        <w:t xml:space="preserve">Solicitar a la autoridad jurisdiccional competente, para garantizar las obligaciones alimentarias, la elaboración de un inventario de los bienes de la persona agresora y su embargo precautorio, el cual deberá inscribirse con carácter temporal en el Registro Público de la Propiedad, y </w:t>
      </w:r>
    </w:p>
    <w:p w14:paraId="1480235B" w14:textId="77777777" w:rsidR="00420FAD" w:rsidRPr="000401C9" w:rsidRDefault="00420FAD" w:rsidP="00420FAD">
      <w:pPr>
        <w:pStyle w:val="Prrafodelista"/>
        <w:ind w:left="709"/>
        <w:rPr>
          <w:rFonts w:ascii="Abadi" w:hAnsi="Abadi"/>
          <w:b/>
          <w:bCs/>
          <w:sz w:val="21"/>
          <w:szCs w:val="21"/>
        </w:rPr>
      </w:pPr>
    </w:p>
    <w:p w14:paraId="12D90811" w14:textId="77777777" w:rsidR="00420FAD" w:rsidRPr="000401C9" w:rsidRDefault="00420FAD" w:rsidP="00343CA9">
      <w:pPr>
        <w:pStyle w:val="Prrafodelista"/>
        <w:numPr>
          <w:ilvl w:val="0"/>
          <w:numId w:val="34"/>
        </w:numPr>
        <w:spacing w:after="160" w:line="259" w:lineRule="auto"/>
        <w:ind w:left="709"/>
        <w:contextualSpacing/>
        <w:jc w:val="both"/>
        <w:rPr>
          <w:rFonts w:ascii="Abadi" w:hAnsi="Abadi"/>
          <w:b/>
          <w:bCs/>
          <w:sz w:val="21"/>
          <w:szCs w:val="21"/>
        </w:rPr>
      </w:pPr>
      <w:r w:rsidRPr="000401C9">
        <w:rPr>
          <w:rFonts w:ascii="Abadi" w:hAnsi="Abadi"/>
          <w:b/>
          <w:bCs/>
          <w:sz w:val="21"/>
          <w:szCs w:val="21"/>
        </w:rPr>
        <w:t xml:space="preserve">Además de los anteriores, todas las que sean necesarias para salvaguardar la integridad, la seguridad y la vida de la mujer, adolescente o la niña en situación de violencia. </w:t>
      </w:r>
    </w:p>
    <w:p w14:paraId="2B173BE2" w14:textId="77777777" w:rsidR="00420FAD" w:rsidRPr="000401C9" w:rsidRDefault="00420FAD" w:rsidP="00420FAD">
      <w:pPr>
        <w:pStyle w:val="Prrafodelista"/>
        <w:rPr>
          <w:rFonts w:ascii="Abadi" w:hAnsi="Abadi"/>
          <w:b/>
          <w:bCs/>
          <w:sz w:val="21"/>
          <w:szCs w:val="21"/>
        </w:rPr>
      </w:pPr>
    </w:p>
    <w:p w14:paraId="3561206C" w14:textId="77777777" w:rsidR="00420FAD" w:rsidRPr="000401C9" w:rsidRDefault="00420FAD" w:rsidP="00420FAD">
      <w:pPr>
        <w:jc w:val="both"/>
        <w:rPr>
          <w:rFonts w:ascii="Abadi" w:hAnsi="Abadi"/>
          <w:b/>
          <w:bCs/>
          <w:sz w:val="21"/>
          <w:szCs w:val="21"/>
        </w:rPr>
      </w:pPr>
      <w:r w:rsidRPr="000401C9">
        <w:rPr>
          <w:rFonts w:ascii="Abadi" w:hAnsi="Abadi"/>
          <w:b/>
          <w:bCs/>
          <w:sz w:val="21"/>
          <w:szCs w:val="21"/>
        </w:rPr>
        <w:t xml:space="preserve">Las órdenes de protección señaladas en este artículo podrán ser ampliadas o modificadas por la autoridad administrativa, el Ministerio Público o el órgano jurisdiccional competente, siempre procurando la mayor protección de la víctima. </w:t>
      </w:r>
    </w:p>
    <w:p w14:paraId="6A25A879" w14:textId="77777777" w:rsidR="00420FAD" w:rsidRPr="000401C9" w:rsidRDefault="00420FAD" w:rsidP="00420FAD">
      <w:pPr>
        <w:pStyle w:val="Prrafodelista"/>
        <w:rPr>
          <w:rFonts w:ascii="Abadi" w:hAnsi="Abadi"/>
          <w:b/>
          <w:bCs/>
          <w:sz w:val="21"/>
          <w:szCs w:val="21"/>
        </w:rPr>
      </w:pPr>
    </w:p>
    <w:p w14:paraId="41BD109C" w14:textId="714DD5E5" w:rsidR="00420FAD" w:rsidRDefault="00420FAD" w:rsidP="00420FAD">
      <w:pPr>
        <w:jc w:val="both"/>
        <w:rPr>
          <w:rFonts w:ascii="Abadi" w:hAnsi="Abadi"/>
          <w:b/>
          <w:bCs/>
          <w:sz w:val="21"/>
          <w:szCs w:val="21"/>
        </w:rPr>
      </w:pPr>
      <w:r w:rsidRPr="000401C9">
        <w:rPr>
          <w:rFonts w:ascii="Abadi" w:hAnsi="Abadi"/>
          <w:b/>
          <w:bCs/>
          <w:sz w:val="21"/>
          <w:szCs w:val="21"/>
        </w:rPr>
        <w:t>Artículo 46. Las órdenes de naturaleza jurisdiccional, además de las previstas en otros ordenamientos, podrán consistir en una o varias de las siguientes acciones:</w:t>
      </w:r>
    </w:p>
    <w:p w14:paraId="521398D8" w14:textId="77777777" w:rsidR="00ED1177" w:rsidRPr="000401C9" w:rsidRDefault="00ED1177" w:rsidP="00420FAD">
      <w:pPr>
        <w:jc w:val="both"/>
        <w:rPr>
          <w:rFonts w:ascii="Abadi" w:hAnsi="Abadi"/>
          <w:b/>
          <w:bCs/>
          <w:sz w:val="21"/>
          <w:szCs w:val="21"/>
        </w:rPr>
      </w:pPr>
    </w:p>
    <w:p w14:paraId="0D3304AB" w14:textId="747E1A5C" w:rsidR="00420FAD" w:rsidRDefault="00420FAD" w:rsidP="00420FAD">
      <w:pPr>
        <w:jc w:val="both"/>
        <w:rPr>
          <w:rFonts w:ascii="Abadi" w:hAnsi="Abadi"/>
          <w:b/>
          <w:bCs/>
          <w:sz w:val="21"/>
          <w:szCs w:val="21"/>
        </w:rPr>
      </w:pPr>
      <w:r w:rsidRPr="000401C9">
        <w:rPr>
          <w:rFonts w:ascii="Abadi" w:hAnsi="Abadi"/>
          <w:b/>
          <w:bCs/>
          <w:sz w:val="21"/>
          <w:szCs w:val="21"/>
        </w:rPr>
        <w:t xml:space="preserve">I. La reserva del domicilio, lugar de trabajo, profesión o cualquier otro dato que permita que a la persona agresora o su familia puedan ubicar a la víctima; </w:t>
      </w:r>
    </w:p>
    <w:p w14:paraId="24C636C1" w14:textId="77777777" w:rsidR="00BE4EC6" w:rsidRPr="000401C9" w:rsidRDefault="00BE4EC6" w:rsidP="00420FAD">
      <w:pPr>
        <w:jc w:val="both"/>
        <w:rPr>
          <w:rFonts w:ascii="Abadi" w:hAnsi="Abadi"/>
          <w:b/>
          <w:bCs/>
          <w:sz w:val="21"/>
          <w:szCs w:val="21"/>
        </w:rPr>
      </w:pPr>
    </w:p>
    <w:p w14:paraId="7946DF59" w14:textId="0095E234" w:rsidR="00420FAD" w:rsidRDefault="00420FAD" w:rsidP="00420FAD">
      <w:pPr>
        <w:jc w:val="both"/>
        <w:rPr>
          <w:rFonts w:ascii="Abadi" w:hAnsi="Abadi"/>
          <w:b/>
          <w:bCs/>
          <w:sz w:val="21"/>
          <w:szCs w:val="21"/>
        </w:rPr>
      </w:pPr>
      <w:r w:rsidRPr="000401C9">
        <w:rPr>
          <w:rFonts w:ascii="Abadi" w:hAnsi="Abadi"/>
          <w:b/>
          <w:bCs/>
          <w:sz w:val="21"/>
          <w:szCs w:val="21"/>
        </w:rPr>
        <w:t xml:space="preserve">II. El uso de medios o dispositivos electrónicos para impedir el contacto directo de la persona agresora con la víctima; </w:t>
      </w:r>
    </w:p>
    <w:p w14:paraId="11139E37" w14:textId="77777777" w:rsidR="00ED1177" w:rsidRPr="000401C9" w:rsidRDefault="00ED1177" w:rsidP="00420FAD">
      <w:pPr>
        <w:jc w:val="both"/>
        <w:rPr>
          <w:rFonts w:ascii="Abadi" w:hAnsi="Abadi"/>
          <w:b/>
          <w:bCs/>
          <w:sz w:val="21"/>
          <w:szCs w:val="21"/>
        </w:rPr>
      </w:pPr>
    </w:p>
    <w:p w14:paraId="2EF34142" w14:textId="77777777" w:rsidR="00420FAD" w:rsidRPr="000401C9" w:rsidRDefault="00420FAD" w:rsidP="00420FAD">
      <w:pPr>
        <w:jc w:val="both"/>
        <w:rPr>
          <w:rFonts w:ascii="Abadi" w:hAnsi="Abadi"/>
          <w:b/>
          <w:bCs/>
          <w:sz w:val="21"/>
          <w:szCs w:val="21"/>
        </w:rPr>
      </w:pPr>
      <w:r w:rsidRPr="000401C9">
        <w:rPr>
          <w:rFonts w:ascii="Abadi" w:hAnsi="Abadi"/>
          <w:b/>
          <w:bCs/>
          <w:sz w:val="21"/>
          <w:szCs w:val="21"/>
        </w:rPr>
        <w:t>III. Entrega inmediata de objetos de uso personal y documentos de identidad de la víctima y en su caso, de sus hijas e hijos;</w:t>
      </w:r>
    </w:p>
    <w:p w14:paraId="534AE3A7" w14:textId="77777777" w:rsidR="00ED1177" w:rsidRDefault="00ED1177" w:rsidP="00420FAD">
      <w:pPr>
        <w:jc w:val="both"/>
        <w:rPr>
          <w:rFonts w:ascii="Abadi" w:hAnsi="Abadi"/>
          <w:b/>
          <w:bCs/>
          <w:sz w:val="21"/>
          <w:szCs w:val="21"/>
        </w:rPr>
      </w:pPr>
    </w:p>
    <w:p w14:paraId="490255C3" w14:textId="77777777" w:rsidR="00BE4EC6" w:rsidRDefault="00420FAD" w:rsidP="00420FAD">
      <w:pPr>
        <w:jc w:val="both"/>
        <w:rPr>
          <w:rFonts w:ascii="Abadi" w:hAnsi="Abadi"/>
          <w:b/>
          <w:bCs/>
          <w:sz w:val="21"/>
          <w:szCs w:val="21"/>
        </w:rPr>
      </w:pPr>
      <w:r w:rsidRPr="000401C9">
        <w:rPr>
          <w:rFonts w:ascii="Abadi" w:hAnsi="Abadi"/>
          <w:b/>
          <w:bCs/>
          <w:sz w:val="21"/>
          <w:szCs w:val="21"/>
        </w:rPr>
        <w:t xml:space="preserve">IV. Medidas para evitar que se capten y/o se transmitan por cualquier medio o tecnologías de la información y la comunicación, imágenes de la mujer en situación de violencia que permitan su identificación o la de sus familiares. Tratándose de niñas y adolescentes hay una prohibición absoluta de transmitir datos e imágenes que permitan su identificación; </w:t>
      </w:r>
    </w:p>
    <w:p w14:paraId="2DAB97A7" w14:textId="77777777" w:rsidR="00BE4EC6" w:rsidRDefault="00BE4EC6" w:rsidP="00420FAD">
      <w:pPr>
        <w:jc w:val="both"/>
        <w:rPr>
          <w:rFonts w:ascii="Abadi" w:hAnsi="Abadi"/>
          <w:b/>
          <w:bCs/>
          <w:sz w:val="21"/>
          <w:szCs w:val="21"/>
        </w:rPr>
      </w:pPr>
    </w:p>
    <w:p w14:paraId="451B586B" w14:textId="79A0ECDB" w:rsidR="00420FAD" w:rsidRDefault="00420FAD" w:rsidP="00420FAD">
      <w:pPr>
        <w:jc w:val="both"/>
        <w:rPr>
          <w:rFonts w:ascii="Abadi" w:hAnsi="Abadi"/>
          <w:b/>
          <w:bCs/>
          <w:sz w:val="21"/>
          <w:szCs w:val="21"/>
        </w:rPr>
      </w:pPr>
      <w:r w:rsidRPr="000401C9">
        <w:rPr>
          <w:rFonts w:ascii="Abadi" w:hAnsi="Abadi"/>
          <w:b/>
          <w:bCs/>
          <w:sz w:val="21"/>
          <w:szCs w:val="21"/>
        </w:rPr>
        <w:t>V. Prohibir el acceso a la persona agresora al domicilio, permanente o temporal de la mujer, la adolescente o la niña, en situación de violencia, así como acercarse al lugar de trabajo, estudio o cualquier lugar que frecuente;</w:t>
      </w:r>
    </w:p>
    <w:p w14:paraId="0DE42D49" w14:textId="77777777" w:rsidR="00ED1177" w:rsidRPr="000401C9" w:rsidRDefault="00ED1177" w:rsidP="00420FAD">
      <w:pPr>
        <w:jc w:val="both"/>
        <w:rPr>
          <w:rFonts w:ascii="Abadi" w:hAnsi="Abadi"/>
          <w:b/>
          <w:bCs/>
          <w:sz w:val="21"/>
          <w:szCs w:val="21"/>
        </w:rPr>
      </w:pPr>
    </w:p>
    <w:p w14:paraId="451BD9BC" w14:textId="229D1260" w:rsidR="00420FAD" w:rsidRDefault="00420FAD" w:rsidP="00420FAD">
      <w:pPr>
        <w:jc w:val="both"/>
        <w:rPr>
          <w:rFonts w:ascii="Abadi" w:hAnsi="Abadi"/>
          <w:b/>
          <w:bCs/>
          <w:sz w:val="21"/>
          <w:szCs w:val="21"/>
        </w:rPr>
      </w:pPr>
      <w:r w:rsidRPr="000401C9">
        <w:rPr>
          <w:rFonts w:ascii="Abadi" w:hAnsi="Abadi"/>
          <w:b/>
          <w:bCs/>
          <w:sz w:val="21"/>
          <w:szCs w:val="21"/>
        </w:rPr>
        <w:t xml:space="preserve">VI. Embargo preventivo de bienes de la persona agresora, a efecto de garantizar las obligaciones alimentarias; </w:t>
      </w:r>
    </w:p>
    <w:p w14:paraId="7ED6BADF" w14:textId="77777777" w:rsidR="00ED1177" w:rsidRPr="000401C9" w:rsidRDefault="00ED1177" w:rsidP="00420FAD">
      <w:pPr>
        <w:jc w:val="both"/>
        <w:rPr>
          <w:rFonts w:ascii="Abadi" w:hAnsi="Abadi"/>
          <w:b/>
          <w:bCs/>
          <w:sz w:val="21"/>
          <w:szCs w:val="21"/>
        </w:rPr>
      </w:pPr>
    </w:p>
    <w:p w14:paraId="587CEB78" w14:textId="1DD40106" w:rsidR="00420FAD" w:rsidRDefault="00420FAD" w:rsidP="00420FAD">
      <w:pPr>
        <w:jc w:val="both"/>
        <w:rPr>
          <w:rFonts w:ascii="Abadi" w:hAnsi="Abadi"/>
          <w:b/>
          <w:bCs/>
          <w:sz w:val="21"/>
          <w:szCs w:val="21"/>
        </w:rPr>
      </w:pPr>
      <w:r w:rsidRPr="000401C9">
        <w:rPr>
          <w:rFonts w:ascii="Abadi" w:hAnsi="Abadi"/>
          <w:b/>
          <w:bCs/>
          <w:sz w:val="21"/>
          <w:szCs w:val="21"/>
        </w:rPr>
        <w:t xml:space="preserve">VII. La desocupación por la persona agresora, del domicilio conyugal o de pareja, independientemente de la acreditación de propiedad o posesión del inmueble, aún en los casos de arrendamiento del mismo, y en su caso el reingreso de la mujer en situación de violencia una vez que se resguarde su seguridad; </w:t>
      </w:r>
    </w:p>
    <w:p w14:paraId="6938178C" w14:textId="77777777" w:rsidR="00ED1177" w:rsidRPr="000401C9" w:rsidRDefault="00ED1177" w:rsidP="00420FAD">
      <w:pPr>
        <w:jc w:val="both"/>
        <w:rPr>
          <w:rFonts w:ascii="Abadi" w:hAnsi="Abadi"/>
          <w:b/>
          <w:bCs/>
          <w:sz w:val="21"/>
          <w:szCs w:val="21"/>
        </w:rPr>
      </w:pPr>
    </w:p>
    <w:p w14:paraId="4B624331" w14:textId="27EC43EE" w:rsidR="00420FAD" w:rsidRDefault="00420FAD" w:rsidP="00420FAD">
      <w:pPr>
        <w:jc w:val="both"/>
        <w:rPr>
          <w:rFonts w:ascii="Abadi" w:hAnsi="Abadi"/>
          <w:b/>
          <w:bCs/>
          <w:sz w:val="21"/>
          <w:szCs w:val="21"/>
        </w:rPr>
      </w:pPr>
      <w:r w:rsidRPr="000401C9">
        <w:rPr>
          <w:rFonts w:ascii="Abadi" w:hAnsi="Abadi"/>
          <w:b/>
          <w:bCs/>
          <w:sz w:val="21"/>
          <w:szCs w:val="21"/>
        </w:rPr>
        <w:t>VIII. Obligación alimentaria provisional e inmediata;</w:t>
      </w:r>
    </w:p>
    <w:p w14:paraId="48FE4B6B" w14:textId="7EF3F4F7" w:rsidR="00BE4EC6" w:rsidRDefault="00420FAD" w:rsidP="00420FAD">
      <w:pPr>
        <w:jc w:val="both"/>
        <w:rPr>
          <w:rFonts w:ascii="Abadi" w:hAnsi="Abadi"/>
          <w:b/>
          <w:bCs/>
          <w:sz w:val="21"/>
          <w:szCs w:val="21"/>
        </w:rPr>
      </w:pPr>
      <w:r w:rsidRPr="000401C9">
        <w:rPr>
          <w:rFonts w:ascii="Abadi" w:hAnsi="Abadi"/>
          <w:b/>
          <w:bCs/>
          <w:sz w:val="21"/>
          <w:szCs w:val="21"/>
        </w:rPr>
        <w:t xml:space="preserve">IX. La notificación al superior jerárquico inmediato, cuando la persona agresora sea servidora pública y en el ejercicio de su cargo, comisión o servicio, se le involucre en un hecho de violencia contra las mujeres. </w:t>
      </w:r>
    </w:p>
    <w:p w14:paraId="7009993F" w14:textId="77777777" w:rsidR="00A536C0" w:rsidRDefault="00A536C0" w:rsidP="00420FAD">
      <w:pPr>
        <w:jc w:val="both"/>
        <w:rPr>
          <w:rFonts w:ascii="Abadi" w:hAnsi="Abadi"/>
          <w:b/>
          <w:bCs/>
          <w:sz w:val="21"/>
          <w:szCs w:val="21"/>
        </w:rPr>
      </w:pPr>
    </w:p>
    <w:p w14:paraId="13B89E86" w14:textId="2AE5B284" w:rsidR="00420FAD" w:rsidRDefault="00420FAD" w:rsidP="00420FAD">
      <w:pPr>
        <w:jc w:val="both"/>
        <w:rPr>
          <w:rFonts w:ascii="Abadi" w:hAnsi="Abadi"/>
          <w:b/>
          <w:bCs/>
          <w:sz w:val="21"/>
          <w:szCs w:val="21"/>
        </w:rPr>
      </w:pPr>
      <w:r w:rsidRPr="000401C9">
        <w:rPr>
          <w:rFonts w:ascii="Abadi" w:hAnsi="Abadi"/>
          <w:b/>
          <w:bCs/>
          <w:sz w:val="21"/>
          <w:szCs w:val="21"/>
        </w:rPr>
        <w:t xml:space="preserve">Esta orden será emitida en todos los casos donde la persona agresora pertenezca a los cuerpos policiacos, militares o de seguridad, ya sea corporaciones públicas o privadas; </w:t>
      </w:r>
    </w:p>
    <w:p w14:paraId="2D2A1854" w14:textId="77777777" w:rsidR="00ED1177" w:rsidRPr="000401C9" w:rsidRDefault="00ED1177" w:rsidP="00420FAD">
      <w:pPr>
        <w:jc w:val="both"/>
        <w:rPr>
          <w:rFonts w:ascii="Abadi" w:hAnsi="Abadi"/>
          <w:b/>
          <w:bCs/>
          <w:sz w:val="21"/>
          <w:szCs w:val="21"/>
        </w:rPr>
      </w:pPr>
    </w:p>
    <w:p w14:paraId="2CA6277D" w14:textId="42F41D91" w:rsidR="00420FAD" w:rsidRDefault="00420FAD" w:rsidP="00420FAD">
      <w:pPr>
        <w:jc w:val="both"/>
        <w:rPr>
          <w:rFonts w:ascii="Abadi" w:hAnsi="Abadi"/>
          <w:b/>
          <w:bCs/>
          <w:sz w:val="21"/>
          <w:szCs w:val="21"/>
        </w:rPr>
      </w:pPr>
      <w:r w:rsidRPr="000401C9">
        <w:rPr>
          <w:rFonts w:ascii="Abadi" w:hAnsi="Abadi"/>
          <w:b/>
          <w:bCs/>
          <w:sz w:val="21"/>
          <w:szCs w:val="21"/>
        </w:rPr>
        <w:t xml:space="preserve">X. La obligación de la persona agresora de presentarse periódicamente ante el órgano jurisdiccional que emitió la orden; </w:t>
      </w:r>
    </w:p>
    <w:p w14:paraId="2A1F0F5B" w14:textId="77777777" w:rsidR="00ED1177" w:rsidRPr="000401C9" w:rsidRDefault="00ED1177" w:rsidP="00420FAD">
      <w:pPr>
        <w:jc w:val="both"/>
        <w:rPr>
          <w:rFonts w:ascii="Abadi" w:hAnsi="Abadi"/>
          <w:b/>
          <w:bCs/>
          <w:sz w:val="21"/>
          <w:szCs w:val="21"/>
        </w:rPr>
      </w:pPr>
    </w:p>
    <w:p w14:paraId="7D45B1B6" w14:textId="049CDB12" w:rsidR="00420FAD" w:rsidRDefault="00420FAD" w:rsidP="00420FAD">
      <w:pPr>
        <w:jc w:val="both"/>
        <w:rPr>
          <w:rFonts w:ascii="Abadi" w:hAnsi="Abadi"/>
          <w:b/>
          <w:bCs/>
          <w:sz w:val="21"/>
          <w:szCs w:val="21"/>
        </w:rPr>
      </w:pPr>
      <w:r w:rsidRPr="000401C9">
        <w:rPr>
          <w:rFonts w:ascii="Abadi" w:hAnsi="Abadi"/>
          <w:b/>
          <w:bCs/>
          <w:sz w:val="21"/>
          <w:szCs w:val="21"/>
        </w:rPr>
        <w:t>XI. La colocación de localizadores electrónicos, previo consentimiento de la persona agresora;</w:t>
      </w:r>
    </w:p>
    <w:p w14:paraId="108D002F" w14:textId="77777777" w:rsidR="00ED1177" w:rsidRPr="000401C9" w:rsidRDefault="00ED1177" w:rsidP="00420FAD">
      <w:pPr>
        <w:jc w:val="both"/>
        <w:rPr>
          <w:rFonts w:ascii="Abadi" w:hAnsi="Abadi"/>
          <w:b/>
          <w:bCs/>
          <w:sz w:val="21"/>
          <w:szCs w:val="21"/>
        </w:rPr>
      </w:pPr>
    </w:p>
    <w:p w14:paraId="75BF8202" w14:textId="0C4CB8DC" w:rsidR="00420FAD" w:rsidRDefault="00420FAD" w:rsidP="00420FAD">
      <w:pPr>
        <w:jc w:val="both"/>
        <w:rPr>
          <w:rFonts w:ascii="Abadi" w:hAnsi="Abadi"/>
          <w:b/>
          <w:bCs/>
          <w:sz w:val="21"/>
          <w:szCs w:val="21"/>
        </w:rPr>
      </w:pPr>
      <w:r w:rsidRPr="000401C9">
        <w:rPr>
          <w:rFonts w:ascii="Abadi" w:hAnsi="Abadi"/>
          <w:b/>
          <w:bCs/>
          <w:sz w:val="21"/>
          <w:szCs w:val="21"/>
        </w:rPr>
        <w:t xml:space="preserve">XII. La prohibición a la persona agresora de salir sin autorización judicial del país o del ámbito territorial que fije el juez o la jueza, y </w:t>
      </w:r>
    </w:p>
    <w:p w14:paraId="765C82B8" w14:textId="77777777" w:rsidR="00ED1177" w:rsidRPr="000401C9" w:rsidRDefault="00ED1177" w:rsidP="00420FAD">
      <w:pPr>
        <w:jc w:val="both"/>
        <w:rPr>
          <w:rFonts w:ascii="Abadi" w:hAnsi="Abadi"/>
          <w:b/>
          <w:bCs/>
          <w:sz w:val="21"/>
          <w:szCs w:val="21"/>
        </w:rPr>
      </w:pPr>
    </w:p>
    <w:p w14:paraId="4EEB8056" w14:textId="0E88787C" w:rsidR="00420FAD" w:rsidRDefault="00420FAD" w:rsidP="00420FAD">
      <w:pPr>
        <w:jc w:val="both"/>
        <w:rPr>
          <w:rFonts w:ascii="Abadi" w:hAnsi="Abadi"/>
          <w:b/>
          <w:bCs/>
          <w:sz w:val="21"/>
          <w:szCs w:val="21"/>
        </w:rPr>
      </w:pPr>
      <w:r w:rsidRPr="000401C9">
        <w:rPr>
          <w:rFonts w:ascii="Abadi" w:hAnsi="Abadi"/>
          <w:b/>
          <w:bCs/>
          <w:sz w:val="21"/>
          <w:szCs w:val="21"/>
        </w:rPr>
        <w:t>XIII. Las demás que se requieran para brindar una protección a la víctima</w:t>
      </w:r>
      <w:r w:rsidR="00ED1177">
        <w:rPr>
          <w:rFonts w:ascii="Abadi" w:hAnsi="Abadi"/>
          <w:b/>
          <w:bCs/>
          <w:sz w:val="21"/>
          <w:szCs w:val="21"/>
        </w:rPr>
        <w:t>.</w:t>
      </w:r>
      <w:r w:rsidRPr="000401C9">
        <w:rPr>
          <w:rFonts w:ascii="Abadi" w:hAnsi="Abadi"/>
          <w:b/>
          <w:bCs/>
          <w:sz w:val="21"/>
          <w:szCs w:val="21"/>
        </w:rPr>
        <w:t xml:space="preserve"> </w:t>
      </w:r>
    </w:p>
    <w:p w14:paraId="5D18768A" w14:textId="77777777" w:rsidR="00ED1177" w:rsidRPr="000401C9" w:rsidRDefault="00ED1177" w:rsidP="00420FAD">
      <w:pPr>
        <w:jc w:val="both"/>
        <w:rPr>
          <w:rFonts w:ascii="Abadi" w:hAnsi="Abadi"/>
          <w:b/>
          <w:bCs/>
          <w:sz w:val="21"/>
          <w:szCs w:val="21"/>
        </w:rPr>
      </w:pPr>
    </w:p>
    <w:p w14:paraId="3BA73597" w14:textId="560FD2E4" w:rsidR="00420FAD" w:rsidRDefault="00420FAD" w:rsidP="00420FAD">
      <w:pPr>
        <w:jc w:val="both"/>
        <w:rPr>
          <w:rFonts w:ascii="Abadi" w:hAnsi="Abadi"/>
          <w:b/>
          <w:bCs/>
          <w:sz w:val="21"/>
          <w:szCs w:val="21"/>
        </w:rPr>
      </w:pPr>
      <w:r w:rsidRPr="000401C9">
        <w:rPr>
          <w:rFonts w:ascii="Abadi" w:hAnsi="Abadi"/>
          <w:b/>
          <w:bCs/>
          <w:sz w:val="21"/>
          <w:szCs w:val="21"/>
        </w:rPr>
        <w:t xml:space="preserve">Artículo 47. Las autoridades competentes deberán de establecer los lineamientos básicos para la implementación de las órdenes de protección en coordinación con las instancias responsables de atenderlas e implementarlas. </w:t>
      </w:r>
    </w:p>
    <w:p w14:paraId="381A4D05" w14:textId="77777777" w:rsidR="00ED1177" w:rsidRPr="000401C9" w:rsidRDefault="00ED1177" w:rsidP="00420FAD">
      <w:pPr>
        <w:jc w:val="both"/>
        <w:rPr>
          <w:rFonts w:ascii="Abadi" w:hAnsi="Abadi"/>
          <w:b/>
          <w:bCs/>
          <w:sz w:val="21"/>
          <w:szCs w:val="21"/>
        </w:rPr>
      </w:pPr>
    </w:p>
    <w:p w14:paraId="18BFAD3C" w14:textId="2482D330" w:rsidR="00420FAD" w:rsidRDefault="00420FAD" w:rsidP="00420FAD">
      <w:pPr>
        <w:jc w:val="both"/>
        <w:rPr>
          <w:rFonts w:ascii="Abadi" w:hAnsi="Abadi"/>
          <w:b/>
          <w:bCs/>
          <w:sz w:val="21"/>
          <w:szCs w:val="21"/>
        </w:rPr>
      </w:pPr>
      <w:r w:rsidRPr="000401C9">
        <w:rPr>
          <w:rFonts w:ascii="Abadi" w:hAnsi="Abadi"/>
          <w:b/>
          <w:bCs/>
          <w:sz w:val="21"/>
          <w:szCs w:val="21"/>
        </w:rPr>
        <w:t xml:space="preserve">En los casos donde presuntamente exista conexidad con delitos de competencia federal, las órdenes de protección deberán ser otorgadas por la Fiscalía General del Estado de Guanajuato y en caso de que lo amerite por una jueza o juez local. </w:t>
      </w:r>
    </w:p>
    <w:p w14:paraId="49EC9D5F" w14:textId="77777777" w:rsidR="00ED1177" w:rsidRPr="000401C9" w:rsidRDefault="00ED1177" w:rsidP="00420FAD">
      <w:pPr>
        <w:jc w:val="both"/>
        <w:rPr>
          <w:rFonts w:ascii="Abadi" w:hAnsi="Abadi"/>
          <w:b/>
          <w:bCs/>
          <w:sz w:val="21"/>
          <w:szCs w:val="21"/>
        </w:rPr>
      </w:pPr>
    </w:p>
    <w:p w14:paraId="0C65A64D" w14:textId="155E238D" w:rsidR="00420FAD" w:rsidRDefault="00420FAD" w:rsidP="00420FAD">
      <w:pPr>
        <w:jc w:val="both"/>
        <w:rPr>
          <w:rFonts w:ascii="Abadi" w:hAnsi="Abadi"/>
          <w:b/>
          <w:bCs/>
          <w:sz w:val="21"/>
          <w:szCs w:val="21"/>
        </w:rPr>
      </w:pPr>
      <w:r w:rsidRPr="000401C9">
        <w:rPr>
          <w:rFonts w:ascii="Abadi" w:hAnsi="Abadi"/>
          <w:b/>
          <w:bCs/>
          <w:sz w:val="21"/>
          <w:szCs w:val="21"/>
        </w:rPr>
        <w:t xml:space="preserve">Artículo 48. La tramitación y otorgamiento de una orden de protección podrá contener una o varias medidas, atendiendo al principio de integralidad. No se necesita una orden para cada medida, una sola orden de protección podrá concentrar el número de medidas necesarias para garantizar la seguridad y bienestar de la mujer en situación de violencia y en su caso de las víctimas indirectas. </w:t>
      </w:r>
    </w:p>
    <w:p w14:paraId="57868A20" w14:textId="77777777" w:rsidR="00ED1177" w:rsidRPr="000401C9" w:rsidRDefault="00ED1177" w:rsidP="00420FAD">
      <w:pPr>
        <w:jc w:val="both"/>
        <w:rPr>
          <w:rFonts w:ascii="Abadi" w:hAnsi="Abadi"/>
          <w:b/>
          <w:bCs/>
          <w:sz w:val="21"/>
          <w:szCs w:val="21"/>
        </w:rPr>
      </w:pPr>
    </w:p>
    <w:p w14:paraId="32A980BC" w14:textId="5F6DC66A" w:rsidR="00420FAD" w:rsidRDefault="00420FAD" w:rsidP="00420FAD">
      <w:pPr>
        <w:jc w:val="both"/>
        <w:rPr>
          <w:rFonts w:ascii="Abadi" w:hAnsi="Abadi"/>
          <w:b/>
          <w:bCs/>
          <w:sz w:val="21"/>
          <w:szCs w:val="21"/>
        </w:rPr>
      </w:pPr>
      <w:r w:rsidRPr="000401C9">
        <w:rPr>
          <w:rFonts w:ascii="Abadi" w:hAnsi="Abadi"/>
          <w:b/>
          <w:bCs/>
          <w:sz w:val="21"/>
          <w:szCs w:val="21"/>
        </w:rPr>
        <w:t>Artículo 49. Las órdenes de protección deberán ser evaluadas para modificarse o adecuarse, en caso de que al momento de evaluar la efectividad de la orden se detecten irregularidades o incumplimiento, se sustanciará la comunicación correspondiente a los órganos internos de control de las dependencias involucradas.</w:t>
      </w:r>
    </w:p>
    <w:p w14:paraId="1161B3B7" w14:textId="77777777" w:rsidR="00ED1177" w:rsidRPr="000401C9" w:rsidRDefault="00ED1177" w:rsidP="00420FAD">
      <w:pPr>
        <w:jc w:val="both"/>
        <w:rPr>
          <w:rFonts w:ascii="Abadi" w:hAnsi="Abadi"/>
          <w:b/>
          <w:bCs/>
          <w:sz w:val="21"/>
          <w:szCs w:val="21"/>
        </w:rPr>
      </w:pPr>
    </w:p>
    <w:p w14:paraId="2BBC7EF2" w14:textId="77777777" w:rsidR="00420FAD" w:rsidRPr="000401C9" w:rsidRDefault="00420FAD" w:rsidP="00420FAD">
      <w:pPr>
        <w:jc w:val="both"/>
        <w:rPr>
          <w:rFonts w:ascii="Abadi" w:hAnsi="Abadi"/>
          <w:b/>
          <w:bCs/>
          <w:sz w:val="21"/>
          <w:szCs w:val="21"/>
        </w:rPr>
      </w:pPr>
      <w:r w:rsidRPr="000401C9">
        <w:rPr>
          <w:rFonts w:ascii="Abadi" w:hAnsi="Abadi"/>
          <w:b/>
          <w:bCs/>
          <w:sz w:val="21"/>
          <w:szCs w:val="21"/>
        </w:rPr>
        <w:t xml:space="preserve"> Previo a la suspensión de las órdenes de protección decretadas, las autoridades administrativas, ministeriales y órganos jurisdiccionales deberán asegurarse bajo su más estricta responsabilidad que la situación de riesgo o peligro de la víctima ha cesado, realizando una nueva evaluación de riesgo y analizando los informes de implementación por parte de las autoridades responsables de su cumplimiento.</w:t>
      </w:r>
    </w:p>
    <w:p w14:paraId="795ECACC" w14:textId="77777777" w:rsidR="00420FAD" w:rsidRPr="00F23DB4" w:rsidRDefault="00420FAD" w:rsidP="00420FAD">
      <w:pPr>
        <w:jc w:val="both"/>
        <w:rPr>
          <w:rFonts w:ascii="Abadi" w:hAnsi="Abadi"/>
          <w:sz w:val="21"/>
          <w:szCs w:val="21"/>
        </w:rPr>
      </w:pPr>
    </w:p>
    <w:p w14:paraId="4496FFDA" w14:textId="6C3839D6" w:rsidR="00420FAD" w:rsidRDefault="00420FAD" w:rsidP="00420FAD">
      <w:pPr>
        <w:jc w:val="both"/>
        <w:rPr>
          <w:rFonts w:ascii="Abadi" w:hAnsi="Abadi"/>
          <w:b/>
          <w:bCs/>
          <w:sz w:val="21"/>
          <w:szCs w:val="21"/>
        </w:rPr>
      </w:pPr>
      <w:r w:rsidRPr="000401C9">
        <w:rPr>
          <w:rFonts w:ascii="Abadi" w:hAnsi="Abadi"/>
          <w:b/>
          <w:bCs/>
          <w:sz w:val="21"/>
          <w:szCs w:val="21"/>
        </w:rPr>
        <w:t xml:space="preserve">Artículo 49 Bis. En los casos donde la persona agresora pertenezca a los cuerpos policiacos, militares o de seguridad, ya sea de corporaciones públicas o privadas, la autoridad deberá retirar el arma de cargo o de cualquier otra que tenga registrada. </w:t>
      </w:r>
    </w:p>
    <w:p w14:paraId="440FB616" w14:textId="77777777" w:rsidR="00ED1177" w:rsidRPr="000401C9" w:rsidRDefault="00ED1177" w:rsidP="00420FAD">
      <w:pPr>
        <w:jc w:val="both"/>
        <w:rPr>
          <w:rFonts w:ascii="Abadi" w:hAnsi="Abadi"/>
          <w:b/>
          <w:bCs/>
          <w:sz w:val="21"/>
          <w:szCs w:val="21"/>
        </w:rPr>
      </w:pPr>
    </w:p>
    <w:p w14:paraId="6FE21EE4" w14:textId="29C940D6" w:rsidR="00420FAD" w:rsidRDefault="00420FAD" w:rsidP="00420FAD">
      <w:pPr>
        <w:jc w:val="both"/>
        <w:rPr>
          <w:rFonts w:ascii="Abadi" w:hAnsi="Abadi"/>
          <w:b/>
          <w:bCs/>
          <w:sz w:val="21"/>
          <w:szCs w:val="21"/>
        </w:rPr>
      </w:pPr>
      <w:r w:rsidRPr="000401C9">
        <w:rPr>
          <w:rFonts w:ascii="Abadi" w:hAnsi="Abadi"/>
          <w:b/>
          <w:bCs/>
          <w:sz w:val="21"/>
          <w:szCs w:val="21"/>
        </w:rPr>
        <w:t>Artículo 49 Ter. Al momento de dictarse sentencia las autoridades judiciales competentes determinarán las órdenes de protección y medidas similares que deban dictarse de manera temporal o durante el tiempo que dure la sentencia.</w:t>
      </w:r>
    </w:p>
    <w:p w14:paraId="28C9193A" w14:textId="77777777" w:rsidR="00ED1177" w:rsidRPr="000401C9" w:rsidRDefault="00ED1177" w:rsidP="00420FAD">
      <w:pPr>
        <w:jc w:val="both"/>
        <w:rPr>
          <w:rFonts w:ascii="Abadi" w:hAnsi="Abadi"/>
          <w:b/>
          <w:bCs/>
          <w:sz w:val="21"/>
          <w:szCs w:val="21"/>
        </w:rPr>
      </w:pPr>
    </w:p>
    <w:p w14:paraId="50C802B8" w14:textId="5EA01D10" w:rsidR="00420FAD" w:rsidRDefault="00420FAD" w:rsidP="00420FAD">
      <w:pPr>
        <w:jc w:val="both"/>
        <w:rPr>
          <w:rFonts w:ascii="Abadi" w:hAnsi="Abadi"/>
          <w:b/>
          <w:bCs/>
          <w:sz w:val="21"/>
          <w:szCs w:val="21"/>
        </w:rPr>
      </w:pPr>
      <w:r w:rsidRPr="000401C9">
        <w:rPr>
          <w:rFonts w:ascii="Abadi" w:hAnsi="Abadi"/>
          <w:b/>
          <w:bCs/>
          <w:sz w:val="21"/>
          <w:szCs w:val="21"/>
        </w:rPr>
        <w:t xml:space="preserve">Las órdenes de protección podrán ser dictadas de oficio o a solicitud de la mujer en situación de violencia, de su representante legal o del Ministerio Público, tratándose de niñas y adolescentes víctimas de un delito, la autoridad judicial se encuentra obligada a hacer la determinación del interés superior de la niñez, a fin de dictar órdenes de protección, aun cuando no exista una solicitud. </w:t>
      </w:r>
    </w:p>
    <w:p w14:paraId="44BC6EA6" w14:textId="77777777" w:rsidR="00ED1177" w:rsidRPr="000401C9" w:rsidRDefault="00ED1177" w:rsidP="00420FAD">
      <w:pPr>
        <w:jc w:val="both"/>
        <w:rPr>
          <w:rFonts w:ascii="Abadi" w:hAnsi="Abadi"/>
          <w:b/>
          <w:bCs/>
          <w:sz w:val="21"/>
          <w:szCs w:val="21"/>
        </w:rPr>
      </w:pPr>
    </w:p>
    <w:p w14:paraId="241D2A48" w14:textId="77777777" w:rsidR="00420FAD" w:rsidRPr="000401C9" w:rsidRDefault="00420FAD" w:rsidP="00420FAD">
      <w:pPr>
        <w:jc w:val="both"/>
        <w:rPr>
          <w:rFonts w:ascii="Abadi" w:hAnsi="Abadi"/>
          <w:b/>
          <w:bCs/>
          <w:sz w:val="21"/>
          <w:szCs w:val="21"/>
        </w:rPr>
      </w:pPr>
      <w:r w:rsidRPr="000401C9">
        <w:rPr>
          <w:rFonts w:ascii="Abadi" w:hAnsi="Abadi"/>
          <w:b/>
          <w:bCs/>
          <w:sz w:val="21"/>
          <w:szCs w:val="21"/>
        </w:rPr>
        <w:t xml:space="preserve">Artículo 49 </w:t>
      </w:r>
      <w:proofErr w:type="spellStart"/>
      <w:r w:rsidRPr="000401C9">
        <w:rPr>
          <w:rFonts w:ascii="Abadi" w:hAnsi="Abadi"/>
          <w:b/>
          <w:bCs/>
          <w:sz w:val="21"/>
          <w:szCs w:val="21"/>
        </w:rPr>
        <w:t>Quáter</w:t>
      </w:r>
      <w:proofErr w:type="spellEnd"/>
      <w:r w:rsidRPr="000401C9">
        <w:rPr>
          <w:rFonts w:ascii="Abadi" w:hAnsi="Abadi"/>
          <w:b/>
          <w:bCs/>
          <w:sz w:val="21"/>
          <w:szCs w:val="21"/>
        </w:rPr>
        <w:t xml:space="preserve">. Por ninguna circunstancia las autoridades administrativas, el Ministerio Público o el órgano jurisdiccional notificará de sus actuaciones a la persona agresora a través de la víctima. Cualquier notificación es responsabilidad exclusiva de la autoridad. </w:t>
      </w:r>
    </w:p>
    <w:p w14:paraId="0DEBD30B" w14:textId="3F87DCCF" w:rsidR="00420FAD" w:rsidRDefault="00420FAD" w:rsidP="00420FAD">
      <w:pPr>
        <w:jc w:val="both"/>
        <w:rPr>
          <w:rFonts w:ascii="Abadi" w:hAnsi="Abadi"/>
          <w:b/>
          <w:bCs/>
          <w:sz w:val="21"/>
          <w:szCs w:val="21"/>
        </w:rPr>
      </w:pPr>
      <w:r w:rsidRPr="000401C9">
        <w:rPr>
          <w:rFonts w:ascii="Abadi" w:hAnsi="Abadi"/>
          <w:b/>
          <w:bCs/>
          <w:sz w:val="21"/>
          <w:szCs w:val="21"/>
        </w:rPr>
        <w:t>Las autoridades que intervengan en el cumplimiento de una orden también serán las responsables de informar a la autoridad ordenadora sobre su implementación de forma periódica.</w:t>
      </w:r>
    </w:p>
    <w:p w14:paraId="3A4BB8F0" w14:textId="77777777" w:rsidR="00ED1177" w:rsidRPr="000401C9" w:rsidRDefault="00ED1177" w:rsidP="00420FAD">
      <w:pPr>
        <w:jc w:val="both"/>
        <w:rPr>
          <w:rFonts w:ascii="Abadi" w:hAnsi="Abadi"/>
          <w:b/>
          <w:bCs/>
          <w:sz w:val="21"/>
          <w:szCs w:val="21"/>
        </w:rPr>
      </w:pPr>
    </w:p>
    <w:p w14:paraId="2B0BFA08" w14:textId="0602B1DF" w:rsidR="00420FAD" w:rsidRDefault="00420FAD" w:rsidP="00420FAD">
      <w:pPr>
        <w:jc w:val="both"/>
        <w:rPr>
          <w:rFonts w:ascii="Abadi" w:hAnsi="Abadi"/>
          <w:b/>
          <w:bCs/>
          <w:sz w:val="21"/>
          <w:szCs w:val="21"/>
        </w:rPr>
      </w:pPr>
      <w:r w:rsidRPr="000401C9">
        <w:rPr>
          <w:rFonts w:ascii="Abadi" w:hAnsi="Abadi"/>
          <w:b/>
          <w:bCs/>
          <w:sz w:val="21"/>
          <w:szCs w:val="21"/>
        </w:rPr>
        <w:t xml:space="preserve">Artículo 49 Quinquies. A ninguna mujer, adolescente o niña y sus hijas e hijos en situación de violencia, que solicite orden de protección se le podrá requerir que acredite su situación migratoria, ni cualquier otro elemento que impida su derecho al acceso a la justicia y la protección. </w:t>
      </w:r>
    </w:p>
    <w:p w14:paraId="306E73F5" w14:textId="77777777" w:rsidR="00ED1177" w:rsidRPr="000401C9" w:rsidRDefault="00ED1177" w:rsidP="00420FAD">
      <w:pPr>
        <w:jc w:val="both"/>
        <w:rPr>
          <w:rFonts w:ascii="Abadi" w:hAnsi="Abadi"/>
          <w:b/>
          <w:bCs/>
          <w:sz w:val="21"/>
          <w:szCs w:val="21"/>
        </w:rPr>
      </w:pPr>
    </w:p>
    <w:p w14:paraId="0583BEC1" w14:textId="18633D79" w:rsidR="00420FAD" w:rsidRDefault="00420FAD" w:rsidP="00420FAD">
      <w:pPr>
        <w:jc w:val="both"/>
        <w:rPr>
          <w:rFonts w:ascii="Abadi" w:hAnsi="Abadi"/>
          <w:b/>
          <w:bCs/>
          <w:sz w:val="21"/>
          <w:szCs w:val="21"/>
        </w:rPr>
      </w:pPr>
      <w:r w:rsidRPr="000401C9">
        <w:rPr>
          <w:rFonts w:ascii="Abadi" w:hAnsi="Abadi"/>
          <w:b/>
          <w:bCs/>
          <w:sz w:val="21"/>
          <w:szCs w:val="21"/>
        </w:rPr>
        <w:t xml:space="preserve">Artículo 49 </w:t>
      </w:r>
      <w:proofErr w:type="spellStart"/>
      <w:r w:rsidRPr="000401C9">
        <w:rPr>
          <w:rFonts w:ascii="Abadi" w:hAnsi="Abadi"/>
          <w:b/>
          <w:bCs/>
          <w:sz w:val="21"/>
          <w:szCs w:val="21"/>
        </w:rPr>
        <w:t>Sexies</w:t>
      </w:r>
      <w:proofErr w:type="spellEnd"/>
      <w:r w:rsidRPr="000401C9">
        <w:rPr>
          <w:rFonts w:ascii="Abadi" w:hAnsi="Abadi"/>
          <w:b/>
          <w:bCs/>
          <w:sz w:val="21"/>
          <w:szCs w:val="21"/>
        </w:rPr>
        <w:t xml:space="preserve">. Las órdenes de protección deberán ser enviadas al Banco Nacional de Datos e Información sobre Casos de Violencia contra las Mujeres, para su registro correspondiente. </w:t>
      </w:r>
    </w:p>
    <w:p w14:paraId="3239F8AA" w14:textId="77777777" w:rsidR="00ED1177" w:rsidRPr="000401C9" w:rsidRDefault="00ED1177" w:rsidP="00420FAD">
      <w:pPr>
        <w:jc w:val="both"/>
        <w:rPr>
          <w:rFonts w:ascii="Abadi" w:hAnsi="Abadi"/>
          <w:b/>
          <w:bCs/>
          <w:sz w:val="21"/>
          <w:szCs w:val="21"/>
        </w:rPr>
      </w:pPr>
    </w:p>
    <w:p w14:paraId="2A39AE48" w14:textId="750563F4" w:rsidR="00420FAD" w:rsidRDefault="00420FAD" w:rsidP="00420FAD">
      <w:pPr>
        <w:jc w:val="both"/>
        <w:rPr>
          <w:rFonts w:ascii="Abadi" w:hAnsi="Abadi"/>
          <w:b/>
          <w:bCs/>
          <w:sz w:val="21"/>
          <w:szCs w:val="21"/>
        </w:rPr>
      </w:pPr>
      <w:r w:rsidRPr="000401C9">
        <w:rPr>
          <w:rFonts w:ascii="Abadi" w:hAnsi="Abadi"/>
          <w:b/>
          <w:bCs/>
          <w:sz w:val="21"/>
          <w:szCs w:val="21"/>
        </w:rPr>
        <w:t xml:space="preserve">Artículo 50. La Procuraduría de Protección de Niñas, Niños y Adolescentes del Estado de Guanajuato, deberán solicitar las órdenes de protección a las autoridades correspondientes de manera oficiosa de conformidad con las disposiciones normativas aplicables. </w:t>
      </w:r>
    </w:p>
    <w:p w14:paraId="6AD86B71" w14:textId="77777777" w:rsidR="00ED1177" w:rsidRPr="000401C9" w:rsidRDefault="00ED1177" w:rsidP="00420FAD">
      <w:pPr>
        <w:jc w:val="both"/>
        <w:rPr>
          <w:rFonts w:ascii="Abadi" w:hAnsi="Abadi"/>
          <w:b/>
          <w:bCs/>
          <w:sz w:val="21"/>
          <w:szCs w:val="21"/>
        </w:rPr>
      </w:pPr>
    </w:p>
    <w:p w14:paraId="01DFD488" w14:textId="0B9ECC29" w:rsidR="00420FAD" w:rsidRDefault="00420FAD" w:rsidP="00420FAD">
      <w:pPr>
        <w:jc w:val="both"/>
        <w:rPr>
          <w:rFonts w:ascii="Abadi" w:hAnsi="Abadi"/>
          <w:b/>
          <w:bCs/>
          <w:sz w:val="21"/>
          <w:szCs w:val="21"/>
        </w:rPr>
      </w:pPr>
      <w:r w:rsidRPr="000401C9">
        <w:rPr>
          <w:rFonts w:ascii="Abadi" w:hAnsi="Abadi"/>
          <w:b/>
          <w:bCs/>
          <w:sz w:val="21"/>
          <w:szCs w:val="21"/>
        </w:rPr>
        <w:t xml:space="preserve">Artículo 51. En caso de que la persona agresora incumpla la orden de protección, se emitirán las medidas de apremio conforme a la legislación aplicable. </w:t>
      </w:r>
    </w:p>
    <w:p w14:paraId="660AE8FB" w14:textId="77777777" w:rsidR="00ED1177" w:rsidRPr="000401C9" w:rsidRDefault="00ED1177" w:rsidP="00420FAD">
      <w:pPr>
        <w:jc w:val="both"/>
        <w:rPr>
          <w:rFonts w:ascii="Abadi" w:hAnsi="Abadi"/>
          <w:b/>
          <w:bCs/>
          <w:sz w:val="21"/>
          <w:szCs w:val="21"/>
        </w:rPr>
      </w:pPr>
    </w:p>
    <w:p w14:paraId="02E906C1" w14:textId="77777777" w:rsidR="00420FAD" w:rsidRDefault="00420FAD" w:rsidP="00420FAD">
      <w:pPr>
        <w:jc w:val="both"/>
        <w:rPr>
          <w:rFonts w:ascii="Abadi" w:hAnsi="Abadi"/>
          <w:b/>
          <w:bCs/>
          <w:sz w:val="21"/>
          <w:szCs w:val="21"/>
        </w:rPr>
      </w:pPr>
      <w:r w:rsidRPr="000401C9">
        <w:rPr>
          <w:rFonts w:ascii="Abadi" w:hAnsi="Abadi"/>
          <w:b/>
          <w:bCs/>
          <w:sz w:val="21"/>
          <w:szCs w:val="21"/>
        </w:rPr>
        <w:t>Asimismo, se reforzarán las acciones que se contemplaron en un primer momento con la finalidad de salvaguardar la vida y seguridad de las mujeres, adolescentes y niñas.</w:t>
      </w:r>
    </w:p>
    <w:p w14:paraId="40B4C713" w14:textId="77777777" w:rsidR="00420FAD" w:rsidRDefault="00420FAD" w:rsidP="00420FAD">
      <w:pPr>
        <w:jc w:val="both"/>
        <w:rPr>
          <w:rFonts w:ascii="Abadi" w:hAnsi="Abadi"/>
          <w:b/>
          <w:bCs/>
          <w:sz w:val="21"/>
          <w:szCs w:val="21"/>
        </w:rPr>
      </w:pPr>
    </w:p>
    <w:p w14:paraId="7245EDC6" w14:textId="53089FDD" w:rsidR="00420FAD" w:rsidRDefault="00420FAD" w:rsidP="00ED1177">
      <w:pPr>
        <w:jc w:val="center"/>
        <w:rPr>
          <w:rFonts w:ascii="Abadi" w:hAnsi="Abadi"/>
          <w:b/>
          <w:bCs/>
          <w:sz w:val="21"/>
          <w:szCs w:val="21"/>
        </w:rPr>
      </w:pPr>
      <w:r w:rsidRPr="000401C9">
        <w:rPr>
          <w:rFonts w:ascii="Abadi" w:hAnsi="Abadi"/>
          <w:b/>
          <w:bCs/>
          <w:sz w:val="21"/>
          <w:szCs w:val="21"/>
        </w:rPr>
        <w:t>TRANSITORIOS</w:t>
      </w:r>
    </w:p>
    <w:p w14:paraId="3EEAAF15" w14:textId="77777777" w:rsidR="00ED1177" w:rsidRPr="00ED1177" w:rsidRDefault="00ED1177" w:rsidP="00420FAD">
      <w:pPr>
        <w:jc w:val="both"/>
        <w:rPr>
          <w:rFonts w:ascii="Abadi" w:hAnsi="Abadi"/>
          <w:b/>
          <w:bCs/>
          <w:sz w:val="21"/>
          <w:szCs w:val="21"/>
        </w:rPr>
      </w:pPr>
    </w:p>
    <w:p w14:paraId="7FBFC13B" w14:textId="4C4B9AA2" w:rsidR="00420FAD" w:rsidRPr="00A536C0" w:rsidRDefault="00420FAD" w:rsidP="00420FAD">
      <w:pPr>
        <w:jc w:val="both"/>
        <w:rPr>
          <w:rFonts w:ascii="Abadi" w:hAnsi="Abadi"/>
          <w:sz w:val="21"/>
          <w:szCs w:val="21"/>
        </w:rPr>
      </w:pPr>
      <w:r w:rsidRPr="00A536C0">
        <w:rPr>
          <w:rFonts w:ascii="Abadi" w:hAnsi="Abadi"/>
          <w:b/>
          <w:bCs/>
          <w:sz w:val="21"/>
          <w:szCs w:val="21"/>
        </w:rPr>
        <w:t xml:space="preserve">PRIMERO. </w:t>
      </w:r>
      <w:r w:rsidRPr="00A536C0">
        <w:rPr>
          <w:rFonts w:ascii="Abadi" w:hAnsi="Abadi"/>
          <w:sz w:val="21"/>
          <w:szCs w:val="21"/>
        </w:rPr>
        <w:t xml:space="preserve">El presente Decreto entrará en vigor al día siguiente al de su publicación en el Periódico Oficial del Gobierno del Estado de Guanajuato. </w:t>
      </w:r>
    </w:p>
    <w:p w14:paraId="0B78292C" w14:textId="77777777" w:rsidR="00ED1177" w:rsidRPr="00A536C0" w:rsidRDefault="00ED1177" w:rsidP="00420FAD">
      <w:pPr>
        <w:jc w:val="both"/>
        <w:rPr>
          <w:rFonts w:ascii="Abadi" w:hAnsi="Abadi"/>
          <w:sz w:val="21"/>
          <w:szCs w:val="21"/>
        </w:rPr>
      </w:pPr>
    </w:p>
    <w:p w14:paraId="7A6501D2" w14:textId="77777777" w:rsidR="00420FAD" w:rsidRPr="00A536C0" w:rsidRDefault="00420FAD" w:rsidP="00420FAD">
      <w:pPr>
        <w:jc w:val="both"/>
        <w:rPr>
          <w:rFonts w:ascii="Abadi" w:hAnsi="Abadi"/>
          <w:sz w:val="21"/>
          <w:szCs w:val="21"/>
        </w:rPr>
      </w:pPr>
      <w:r w:rsidRPr="00A536C0">
        <w:rPr>
          <w:rFonts w:ascii="Abadi" w:hAnsi="Abadi"/>
          <w:b/>
          <w:bCs/>
          <w:sz w:val="21"/>
          <w:szCs w:val="21"/>
        </w:rPr>
        <w:t xml:space="preserve">SEGUNDO. </w:t>
      </w:r>
      <w:r w:rsidRPr="00A536C0">
        <w:rPr>
          <w:rFonts w:ascii="Abadi" w:hAnsi="Abadi"/>
          <w:sz w:val="21"/>
          <w:szCs w:val="21"/>
        </w:rPr>
        <w:t>El Poder Judicial y la Fiscalía General del Estado de Guanajuato desarrollarán, en un plazo no mayor a 90 días naturales a partir de la publicación del presente Decreto en el Periódico Oficial del Gobierno del Estado de Guanajuato, un plan de capacitación a todo el personal ministerial y judicial sobre el contenido de la presente reforma.</w:t>
      </w:r>
    </w:p>
    <w:p w14:paraId="7CBDA48E" w14:textId="77777777" w:rsidR="00420FAD" w:rsidRPr="00ED1177" w:rsidRDefault="00420FAD" w:rsidP="00420FAD">
      <w:pPr>
        <w:jc w:val="both"/>
        <w:rPr>
          <w:rFonts w:ascii="Abadi" w:hAnsi="Abadi"/>
          <w:sz w:val="21"/>
          <w:szCs w:val="21"/>
        </w:rPr>
      </w:pPr>
      <w:r w:rsidRPr="00ED1177">
        <w:rPr>
          <w:rFonts w:ascii="Abadi" w:hAnsi="Abadi"/>
          <w:sz w:val="21"/>
          <w:szCs w:val="21"/>
        </w:rPr>
        <w:t xml:space="preserve">Guanajuato, </w:t>
      </w:r>
      <w:proofErr w:type="spellStart"/>
      <w:r w:rsidRPr="00ED1177">
        <w:rPr>
          <w:rFonts w:ascii="Abadi" w:hAnsi="Abadi"/>
          <w:sz w:val="21"/>
          <w:szCs w:val="21"/>
        </w:rPr>
        <w:t>Gto</w:t>
      </w:r>
      <w:proofErr w:type="spellEnd"/>
      <w:r w:rsidRPr="00ED1177">
        <w:rPr>
          <w:rFonts w:ascii="Abadi" w:hAnsi="Abadi"/>
          <w:sz w:val="21"/>
          <w:szCs w:val="21"/>
        </w:rPr>
        <w:t>. a 17 de mayo de 2022</w:t>
      </w:r>
    </w:p>
    <w:p w14:paraId="1AF9844B" w14:textId="77777777" w:rsidR="00D54CD0" w:rsidRDefault="00D54CD0" w:rsidP="00420FAD">
      <w:pPr>
        <w:jc w:val="both"/>
      </w:pPr>
    </w:p>
    <w:p w14:paraId="593467F5" w14:textId="77777777" w:rsidR="00420FAD" w:rsidRPr="00ED1177" w:rsidRDefault="00420FAD" w:rsidP="00D54CD0">
      <w:pPr>
        <w:jc w:val="center"/>
        <w:rPr>
          <w:rFonts w:ascii="Abadi" w:hAnsi="Abadi"/>
          <w:b/>
          <w:bCs/>
          <w:sz w:val="21"/>
          <w:szCs w:val="21"/>
        </w:rPr>
      </w:pPr>
      <w:r w:rsidRPr="00ED1177">
        <w:rPr>
          <w:rFonts w:ascii="Abadi" w:hAnsi="Abadi"/>
          <w:b/>
          <w:bCs/>
          <w:sz w:val="21"/>
          <w:szCs w:val="21"/>
        </w:rPr>
        <w:t>Diputada Martha Edith Moreno Valencia</w:t>
      </w:r>
    </w:p>
    <w:p w14:paraId="4A850AC1" w14:textId="77777777" w:rsidR="00420FAD" w:rsidRPr="00ED1177" w:rsidRDefault="00420FAD" w:rsidP="00D54CD0">
      <w:pPr>
        <w:jc w:val="center"/>
        <w:rPr>
          <w:rFonts w:ascii="Abadi" w:hAnsi="Abadi"/>
          <w:b/>
          <w:bCs/>
          <w:sz w:val="21"/>
          <w:szCs w:val="21"/>
        </w:rPr>
      </w:pPr>
      <w:r w:rsidRPr="00ED1177">
        <w:rPr>
          <w:rFonts w:ascii="Abadi" w:hAnsi="Abadi"/>
          <w:b/>
          <w:bCs/>
          <w:sz w:val="21"/>
          <w:szCs w:val="21"/>
        </w:rPr>
        <w:t>Grupo Parlamentario de Morena</w:t>
      </w:r>
    </w:p>
    <w:p w14:paraId="640D79E4" w14:textId="77777777" w:rsidR="00D54CD0" w:rsidRDefault="00D54CD0" w:rsidP="00D54CD0">
      <w:pPr>
        <w:jc w:val="center"/>
        <w:rPr>
          <w:rFonts w:ascii="Abadi" w:hAnsi="Abadi"/>
          <w:b/>
          <w:bCs/>
          <w:sz w:val="21"/>
          <w:szCs w:val="21"/>
        </w:rPr>
      </w:pPr>
    </w:p>
    <w:p w14:paraId="3F42D534" w14:textId="77777777" w:rsidR="00D54CD0" w:rsidRDefault="00D54CD0" w:rsidP="00D54CD0">
      <w:pPr>
        <w:jc w:val="center"/>
        <w:rPr>
          <w:rFonts w:ascii="Abadi" w:hAnsi="Abadi"/>
          <w:b/>
          <w:bCs/>
          <w:sz w:val="21"/>
          <w:szCs w:val="21"/>
        </w:rPr>
      </w:pPr>
    </w:p>
    <w:p w14:paraId="6CFA6567" w14:textId="740A03DB" w:rsidR="00420FAD" w:rsidRPr="00ED1177" w:rsidRDefault="00420FAD" w:rsidP="00D54CD0">
      <w:pPr>
        <w:jc w:val="center"/>
        <w:rPr>
          <w:rFonts w:ascii="Abadi" w:hAnsi="Abadi"/>
          <w:b/>
          <w:bCs/>
          <w:sz w:val="21"/>
          <w:szCs w:val="21"/>
        </w:rPr>
      </w:pPr>
      <w:r w:rsidRPr="00ED1177">
        <w:rPr>
          <w:rFonts w:ascii="Abadi" w:hAnsi="Abadi"/>
          <w:b/>
          <w:bCs/>
          <w:sz w:val="21"/>
          <w:szCs w:val="21"/>
        </w:rPr>
        <w:t>Diputado David Martínez Mendizábal</w:t>
      </w:r>
    </w:p>
    <w:p w14:paraId="5D1111B5" w14:textId="00BFCC4E" w:rsidR="00420FAD" w:rsidRDefault="00420FAD" w:rsidP="00D54CD0">
      <w:pPr>
        <w:jc w:val="center"/>
        <w:rPr>
          <w:rFonts w:ascii="Abadi" w:hAnsi="Abadi"/>
          <w:b/>
          <w:bCs/>
          <w:sz w:val="21"/>
          <w:szCs w:val="21"/>
        </w:rPr>
      </w:pPr>
      <w:r w:rsidRPr="00ED1177">
        <w:rPr>
          <w:rFonts w:ascii="Abadi" w:hAnsi="Abadi"/>
          <w:b/>
          <w:bCs/>
          <w:sz w:val="21"/>
          <w:szCs w:val="21"/>
        </w:rPr>
        <w:t>Grupo Parlamentario de Morena</w:t>
      </w:r>
    </w:p>
    <w:p w14:paraId="66C3BE5B" w14:textId="1A30CCB1" w:rsidR="00532716" w:rsidRPr="001C4B0E" w:rsidRDefault="00532716" w:rsidP="00532716">
      <w:pPr>
        <w:pStyle w:val="NormalWeb"/>
        <w:ind w:firstLine="708"/>
        <w:jc w:val="both"/>
        <w:rPr>
          <w:rFonts w:ascii="Abadi" w:hAnsi="Abadi"/>
          <w:color w:val="auto"/>
          <w:sz w:val="21"/>
          <w:szCs w:val="21"/>
        </w:rPr>
      </w:pPr>
      <w:r>
        <w:rPr>
          <w:rFonts w:ascii="Abadi" w:hAnsi="Abadi"/>
          <w:b/>
          <w:bCs/>
          <w:sz w:val="21"/>
          <w:szCs w:val="21"/>
        </w:rPr>
        <w:t xml:space="preserve">- </w:t>
      </w:r>
      <w:r w:rsidRPr="00E51DCB">
        <w:rPr>
          <w:rFonts w:ascii="Abadi" w:hAnsi="Abadi"/>
          <w:b/>
          <w:bCs/>
          <w:sz w:val="21"/>
          <w:szCs w:val="21"/>
        </w:rPr>
        <w:t xml:space="preserve">La </w:t>
      </w:r>
      <w:proofErr w:type="gramStart"/>
      <w:r w:rsidRPr="00E51DCB">
        <w:rPr>
          <w:rFonts w:ascii="Abadi" w:hAnsi="Abadi"/>
          <w:b/>
          <w:bCs/>
          <w:sz w:val="21"/>
          <w:szCs w:val="21"/>
        </w:rPr>
        <w:t>Presidenta.-</w:t>
      </w:r>
      <w:proofErr w:type="gramEnd"/>
      <w:r>
        <w:rPr>
          <w:rFonts w:ascii="Abadi" w:hAnsi="Abadi"/>
          <w:sz w:val="21"/>
          <w:szCs w:val="21"/>
        </w:rPr>
        <w:t xml:space="preserve"> S</w:t>
      </w:r>
      <w:r w:rsidRPr="0021199F">
        <w:rPr>
          <w:rFonts w:ascii="Abadi" w:hAnsi="Abadi"/>
          <w:sz w:val="21"/>
          <w:szCs w:val="21"/>
        </w:rPr>
        <w:t>e pide a la diputada Mart</w:t>
      </w:r>
      <w:r>
        <w:rPr>
          <w:rFonts w:ascii="Abadi" w:hAnsi="Abadi"/>
          <w:sz w:val="21"/>
          <w:szCs w:val="21"/>
        </w:rPr>
        <w:t>h</w:t>
      </w:r>
      <w:r w:rsidRPr="0021199F">
        <w:rPr>
          <w:rFonts w:ascii="Abadi" w:hAnsi="Abadi"/>
          <w:sz w:val="21"/>
          <w:szCs w:val="21"/>
        </w:rPr>
        <w:t xml:space="preserve">a </w:t>
      </w:r>
      <w:r>
        <w:rPr>
          <w:rFonts w:ascii="Abadi" w:hAnsi="Abadi"/>
          <w:sz w:val="21"/>
          <w:szCs w:val="21"/>
        </w:rPr>
        <w:t xml:space="preserve">Edith </w:t>
      </w:r>
      <w:r w:rsidRPr="0021199F">
        <w:rPr>
          <w:rFonts w:ascii="Abadi" w:hAnsi="Abadi"/>
          <w:sz w:val="21"/>
          <w:szCs w:val="21"/>
        </w:rPr>
        <w:t>Moreno Valencia</w:t>
      </w:r>
      <w:r>
        <w:rPr>
          <w:rFonts w:ascii="Abadi" w:hAnsi="Abadi"/>
          <w:sz w:val="21"/>
          <w:szCs w:val="21"/>
        </w:rPr>
        <w:t>,</w:t>
      </w:r>
      <w:r w:rsidRPr="0021199F">
        <w:rPr>
          <w:rFonts w:ascii="Abadi" w:hAnsi="Abadi"/>
          <w:sz w:val="21"/>
          <w:szCs w:val="21"/>
        </w:rPr>
        <w:t xml:space="preserve"> </w:t>
      </w:r>
      <w:r>
        <w:rPr>
          <w:rFonts w:ascii="Abadi" w:hAnsi="Abadi"/>
          <w:sz w:val="21"/>
          <w:szCs w:val="21"/>
        </w:rPr>
        <w:t>a dar</w:t>
      </w:r>
      <w:r w:rsidRPr="0021199F">
        <w:rPr>
          <w:rFonts w:ascii="Abadi" w:hAnsi="Abadi"/>
          <w:sz w:val="21"/>
          <w:szCs w:val="21"/>
        </w:rPr>
        <w:t xml:space="preserve"> lectura a la exposición de motivos de la </w:t>
      </w:r>
      <w:r w:rsidRPr="001C4B0E">
        <w:rPr>
          <w:rFonts w:ascii="Abadi" w:hAnsi="Abadi"/>
          <w:color w:val="auto"/>
          <w:sz w:val="21"/>
          <w:szCs w:val="21"/>
        </w:rPr>
        <w:t> iniciativa por la que se reforman, adicionan y derogan diversas disposiciones de la Ley de Acceso de las Mujeres a una Vida Libre de Violencia para el Estado de Guanajuato, formulada por la diputada Martha Edith Moreno Valencia y el diputado David Martínez Mendizábal integrantes del Grupo Parlamentario del Partido MORENA.</w:t>
      </w:r>
    </w:p>
    <w:p w14:paraId="7E6A9BC5" w14:textId="7262DAE1" w:rsidR="00532716" w:rsidRDefault="003865F3" w:rsidP="00532716">
      <w:pPr>
        <w:pStyle w:val="NormalWeb"/>
        <w:jc w:val="both"/>
        <w:rPr>
          <w:rFonts w:ascii="Abadi" w:hAnsi="Abadi"/>
          <w:sz w:val="21"/>
          <w:szCs w:val="21"/>
        </w:rPr>
      </w:pPr>
      <w:r>
        <w:rPr>
          <w:rFonts w:ascii="Abadi" w:hAnsi="Abadi"/>
          <w:sz w:val="21"/>
          <w:szCs w:val="21"/>
        </w:rPr>
        <w:t xml:space="preserve">- </w:t>
      </w:r>
      <w:r w:rsidR="00532716">
        <w:rPr>
          <w:rFonts w:ascii="Abadi" w:hAnsi="Abadi"/>
          <w:sz w:val="21"/>
          <w:szCs w:val="21"/>
        </w:rPr>
        <w:t>Adelante</w:t>
      </w:r>
    </w:p>
    <w:p w14:paraId="0CF869DA" w14:textId="77777777" w:rsidR="000C24E3" w:rsidRDefault="000C24E3" w:rsidP="006F7E94">
      <w:pPr>
        <w:pStyle w:val="NormalWeb"/>
        <w:jc w:val="center"/>
        <w:rPr>
          <w:rFonts w:ascii="Abadi" w:hAnsi="Abadi"/>
          <w:b/>
          <w:bCs/>
          <w:sz w:val="21"/>
          <w:szCs w:val="21"/>
        </w:rPr>
      </w:pPr>
    </w:p>
    <w:p w14:paraId="5AE6D84A" w14:textId="310179DB" w:rsidR="00532716" w:rsidRPr="00334885" w:rsidRDefault="00532716" w:rsidP="006F7E94">
      <w:pPr>
        <w:pStyle w:val="NormalWeb"/>
        <w:jc w:val="center"/>
        <w:rPr>
          <w:rFonts w:ascii="Abadi" w:hAnsi="Abadi"/>
          <w:b/>
          <w:bCs/>
          <w:sz w:val="21"/>
          <w:szCs w:val="21"/>
        </w:rPr>
      </w:pPr>
      <w:r w:rsidRPr="00334885">
        <w:rPr>
          <w:rFonts w:ascii="Abadi" w:hAnsi="Abadi"/>
          <w:b/>
          <w:bCs/>
          <w:sz w:val="21"/>
          <w:szCs w:val="21"/>
        </w:rPr>
        <w:t>(Posicionamiento)</w:t>
      </w:r>
    </w:p>
    <w:p w14:paraId="6504754F" w14:textId="77777777" w:rsidR="00532716" w:rsidRPr="00334885" w:rsidRDefault="00532716" w:rsidP="00532716">
      <w:pPr>
        <w:pStyle w:val="NormalWeb"/>
        <w:jc w:val="both"/>
        <w:rPr>
          <w:rFonts w:ascii="Abadi" w:hAnsi="Abadi"/>
          <w:b/>
          <w:bCs/>
          <w:sz w:val="21"/>
          <w:szCs w:val="21"/>
        </w:rPr>
      </w:pPr>
      <w:r>
        <w:rPr>
          <w:noProof/>
        </w:rPr>
        <w:drawing>
          <wp:anchor distT="0" distB="0" distL="114300" distR="114300" simplePos="0" relativeHeight="251658240" behindDoc="1" locked="0" layoutInCell="1" allowOverlap="1" wp14:anchorId="43B7B943" wp14:editId="279D9439">
            <wp:simplePos x="0" y="0"/>
            <wp:positionH relativeFrom="column">
              <wp:posOffset>275410</wp:posOffset>
            </wp:positionH>
            <wp:positionV relativeFrom="paragraph">
              <wp:posOffset>288626</wp:posOffset>
            </wp:positionV>
            <wp:extent cx="1877235" cy="981255"/>
            <wp:effectExtent l="0" t="133350" r="0" b="771525"/>
            <wp:wrapTight wrapText="bothSides">
              <wp:wrapPolygon edited="0">
                <wp:start x="12934" y="-2936"/>
                <wp:lineTo x="0" y="-2097"/>
                <wp:lineTo x="438" y="38167"/>
                <wp:lineTo x="2192" y="38167"/>
                <wp:lineTo x="2411" y="37328"/>
                <wp:lineTo x="19949" y="31456"/>
                <wp:lineTo x="20168" y="4614"/>
                <wp:lineTo x="19510" y="-1678"/>
                <wp:lineTo x="19510" y="-2936"/>
                <wp:lineTo x="12934" y="-2936"/>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b="7067"/>
                    <a:stretch/>
                  </pic:blipFill>
                  <pic:spPr bwMode="auto">
                    <a:xfrm>
                      <a:off x="0" y="0"/>
                      <a:ext cx="1877235" cy="98125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24A3B42B" w14:textId="77777777" w:rsidR="00532716" w:rsidRDefault="00532716" w:rsidP="00532716">
      <w:pPr>
        <w:pStyle w:val="NormalWeb"/>
        <w:jc w:val="both"/>
        <w:rPr>
          <w:rFonts w:ascii="Abadi" w:hAnsi="Abadi"/>
          <w:b/>
          <w:bCs/>
          <w:sz w:val="21"/>
          <w:szCs w:val="21"/>
        </w:rPr>
      </w:pPr>
    </w:p>
    <w:p w14:paraId="372E3BE4" w14:textId="77777777" w:rsidR="00532716" w:rsidRDefault="00532716" w:rsidP="00532716">
      <w:pPr>
        <w:pStyle w:val="NormalWeb"/>
        <w:jc w:val="both"/>
        <w:rPr>
          <w:rFonts w:ascii="Abadi" w:hAnsi="Abadi"/>
          <w:b/>
          <w:bCs/>
          <w:sz w:val="21"/>
          <w:szCs w:val="21"/>
        </w:rPr>
      </w:pPr>
    </w:p>
    <w:p w14:paraId="6CD419A4" w14:textId="77777777" w:rsidR="00532716" w:rsidRDefault="00532716" w:rsidP="00532716">
      <w:pPr>
        <w:pStyle w:val="NormalWeb"/>
        <w:jc w:val="both"/>
        <w:rPr>
          <w:rFonts w:ascii="Abadi" w:hAnsi="Abadi"/>
          <w:b/>
          <w:bCs/>
          <w:sz w:val="21"/>
          <w:szCs w:val="21"/>
        </w:rPr>
      </w:pPr>
    </w:p>
    <w:p w14:paraId="37728283" w14:textId="77777777" w:rsidR="00532716" w:rsidRDefault="00532716" w:rsidP="00532716">
      <w:pPr>
        <w:pStyle w:val="NormalWeb"/>
        <w:jc w:val="both"/>
        <w:rPr>
          <w:rFonts w:ascii="Abadi" w:hAnsi="Abadi"/>
          <w:b/>
          <w:bCs/>
          <w:sz w:val="21"/>
          <w:szCs w:val="21"/>
        </w:rPr>
      </w:pPr>
    </w:p>
    <w:p w14:paraId="59CEA5F7" w14:textId="77777777" w:rsidR="00532716" w:rsidRDefault="00532716" w:rsidP="00532716">
      <w:pPr>
        <w:pStyle w:val="NormalWeb"/>
        <w:jc w:val="both"/>
        <w:rPr>
          <w:rFonts w:ascii="Abadi" w:hAnsi="Abadi"/>
          <w:b/>
          <w:bCs/>
          <w:sz w:val="21"/>
          <w:szCs w:val="21"/>
        </w:rPr>
      </w:pPr>
    </w:p>
    <w:p w14:paraId="7780A549" w14:textId="77777777" w:rsidR="00532716" w:rsidRDefault="00532716" w:rsidP="00532716">
      <w:pPr>
        <w:pStyle w:val="NormalWeb"/>
        <w:jc w:val="both"/>
        <w:rPr>
          <w:rFonts w:ascii="Abadi" w:hAnsi="Abadi"/>
          <w:b/>
          <w:bCs/>
          <w:sz w:val="21"/>
          <w:szCs w:val="21"/>
        </w:rPr>
      </w:pPr>
    </w:p>
    <w:p w14:paraId="77153D26" w14:textId="3533C6E3" w:rsidR="00532716" w:rsidRPr="00747B6E" w:rsidRDefault="00532716" w:rsidP="00532716">
      <w:pPr>
        <w:pStyle w:val="NormalWeb"/>
        <w:jc w:val="both"/>
        <w:rPr>
          <w:rFonts w:ascii="Abadi" w:hAnsi="Abadi"/>
          <w:b/>
          <w:bCs/>
          <w:sz w:val="21"/>
          <w:szCs w:val="21"/>
        </w:rPr>
      </w:pPr>
      <w:r>
        <w:rPr>
          <w:rFonts w:ascii="Abadi" w:hAnsi="Abadi"/>
          <w:b/>
          <w:bCs/>
          <w:sz w:val="21"/>
          <w:szCs w:val="21"/>
        </w:rPr>
        <w:t>-</w:t>
      </w:r>
      <w:r w:rsidRPr="00747B6E">
        <w:rPr>
          <w:rFonts w:ascii="Abadi" w:hAnsi="Abadi"/>
          <w:b/>
          <w:bCs/>
          <w:sz w:val="21"/>
          <w:szCs w:val="21"/>
        </w:rPr>
        <w:t>Diputada Martha Edith Moreno Valencia</w:t>
      </w:r>
      <w:r>
        <w:rPr>
          <w:rFonts w:ascii="Abadi" w:hAnsi="Abadi"/>
          <w:b/>
          <w:bCs/>
          <w:sz w:val="21"/>
          <w:szCs w:val="21"/>
        </w:rPr>
        <w:t>-</w:t>
      </w:r>
      <w:r w:rsidRPr="00747B6E">
        <w:rPr>
          <w:rFonts w:ascii="Abadi" w:hAnsi="Abadi"/>
          <w:b/>
          <w:bCs/>
          <w:sz w:val="21"/>
          <w:szCs w:val="21"/>
        </w:rPr>
        <w:t xml:space="preserve"> </w:t>
      </w:r>
    </w:p>
    <w:p w14:paraId="04D7D8C3" w14:textId="77777777" w:rsidR="00532716" w:rsidRPr="00747B6E" w:rsidRDefault="00532716" w:rsidP="00532716">
      <w:pPr>
        <w:pStyle w:val="NormalWeb"/>
        <w:jc w:val="both"/>
        <w:rPr>
          <w:rFonts w:ascii="Abadi" w:hAnsi="Abadi"/>
          <w:sz w:val="21"/>
          <w:szCs w:val="21"/>
        </w:rPr>
      </w:pPr>
      <w:r w:rsidRPr="00747B6E">
        <w:rPr>
          <w:rFonts w:ascii="Abadi" w:hAnsi="Abadi"/>
          <w:sz w:val="21"/>
          <w:szCs w:val="21"/>
        </w:rPr>
        <w:t>- Con su permiso diputada Presidenta, muy buenos días compañeras diputadas compañeros diputados medios de comunicación quienes nos acompañan hoy en este recinto y a quienes nos ven a través de las plataformas digitales.</w:t>
      </w:r>
    </w:p>
    <w:p w14:paraId="67A3715A" w14:textId="77777777" w:rsidR="00532716" w:rsidRPr="00747B6E" w:rsidRDefault="00532716" w:rsidP="00532716">
      <w:pPr>
        <w:pStyle w:val="NormalWeb"/>
        <w:jc w:val="both"/>
        <w:rPr>
          <w:rFonts w:ascii="Abadi" w:hAnsi="Abadi"/>
          <w:sz w:val="21"/>
          <w:szCs w:val="21"/>
        </w:rPr>
      </w:pPr>
      <w:r w:rsidRPr="00747B6E">
        <w:rPr>
          <w:rFonts w:ascii="Abadi" w:hAnsi="Abadi"/>
          <w:sz w:val="21"/>
          <w:szCs w:val="21"/>
        </w:rPr>
        <w:t xml:space="preserve">- Quienes suscriben diputada Martha Edith Moreno Valencia y diputado David Martínez Mendizabal integrantes del Grupo Parlamentario de Morena en esta sección quinta legislatura del Congreso del Estado de Guanajuato nos permitimos someter a la consideración de esta Asamblea para su aprobación la siguiente iniciativa con proyecto de decreto mediante el cual se reforman la Ley de Acceso a las Mujeres a una Vida Libre de Violencia de conformidad con los siguiente la violencia que sufrimos las mujeres en todos los aspectos de esta sociedad es un continuo atropello a nuestros derechos humano situación que no ha sido suficientemente visibilizada ni atendida por las autoridades. </w:t>
      </w:r>
    </w:p>
    <w:p w14:paraId="04407299" w14:textId="77777777" w:rsidR="00532716" w:rsidRPr="00747B6E" w:rsidRDefault="00532716" w:rsidP="00532716">
      <w:pPr>
        <w:pStyle w:val="NormalWeb"/>
        <w:jc w:val="both"/>
        <w:rPr>
          <w:rFonts w:ascii="Abadi" w:hAnsi="Abadi"/>
          <w:sz w:val="21"/>
          <w:szCs w:val="21"/>
        </w:rPr>
      </w:pPr>
      <w:r w:rsidRPr="00747B6E">
        <w:rPr>
          <w:rFonts w:ascii="Abadi" w:hAnsi="Abadi"/>
          <w:sz w:val="21"/>
          <w:szCs w:val="21"/>
        </w:rPr>
        <w:t xml:space="preserve">- El Estado de Guanajuato ha sido uno de los Estados cuyo constantemente ha sido señalado por las persistentes cifras de violencia en contra de niñas y de mujeres que día a día se enfrentan a un contexto de inseguridad discriminación y de violencia estructural con datos del Secretariado Ejecutivo del Sistema Nacional de Seguridad Pública en el periodo de Enero a Marzo del 2022 hubo un total de 1152 presuntas víctimas mujeres de lesiones dolosas en la entidad, situación que a nivel nacional nos coloca como una de las entidades con más mujeres víctimas de lesiones dolosas solo por debajo del Estado de las demandas y necesidades de las mujeres víctimas de violencia no serán cubiertas ni respaldadas de forma adecuada por las instituciones y la actual legislación por lo que es urgente actualizar y perfeccionar aquellos instrumentos destinados a garantizar el derecho de las mujeres a una vida libre de violencia. </w:t>
      </w:r>
    </w:p>
    <w:p w14:paraId="37791673" w14:textId="77777777" w:rsidR="00532716" w:rsidRPr="00747B6E" w:rsidRDefault="00532716" w:rsidP="00532716">
      <w:pPr>
        <w:pStyle w:val="NormalWeb"/>
        <w:jc w:val="both"/>
        <w:rPr>
          <w:rFonts w:ascii="Abadi" w:hAnsi="Abadi"/>
          <w:sz w:val="21"/>
          <w:szCs w:val="21"/>
        </w:rPr>
      </w:pPr>
      <w:r w:rsidRPr="00747B6E">
        <w:rPr>
          <w:rFonts w:ascii="Abadi" w:hAnsi="Abadi"/>
          <w:sz w:val="21"/>
          <w:szCs w:val="21"/>
        </w:rPr>
        <w:t>- Una de las medidas que contribuyen a la prevención y atención de la violencia son las órdenes de protección En este sentido en marzo del 2021 el Poder Legislativo Federal aprobó una reforma impulsada por Morena a la Ley General de Acceso a las Mujeres a una Vida Libre de Violencia modificando entre otro artículo 27 referente a la conceptualización de las órdenes de protección.</w:t>
      </w:r>
    </w:p>
    <w:p w14:paraId="3B5EFC77" w14:textId="77777777" w:rsidR="00532716" w:rsidRPr="00747B6E" w:rsidRDefault="00532716" w:rsidP="00532716">
      <w:pPr>
        <w:pStyle w:val="NormalWeb"/>
        <w:jc w:val="both"/>
        <w:rPr>
          <w:rFonts w:ascii="Abadi" w:hAnsi="Abadi"/>
          <w:sz w:val="21"/>
          <w:szCs w:val="21"/>
        </w:rPr>
      </w:pPr>
      <w:r w:rsidRPr="00747B6E">
        <w:rPr>
          <w:rFonts w:ascii="Abadi" w:hAnsi="Abadi"/>
          <w:sz w:val="21"/>
          <w:szCs w:val="21"/>
        </w:rPr>
        <w:t xml:space="preserve">- Esta iniciativa fue presentada por la Cenadora Martha Lucía </w:t>
      </w:r>
      <w:proofErr w:type="spellStart"/>
      <w:r w:rsidRPr="00747B6E">
        <w:rPr>
          <w:rFonts w:ascii="Abadi" w:hAnsi="Abadi"/>
          <w:sz w:val="21"/>
          <w:szCs w:val="21"/>
        </w:rPr>
        <w:t>Micher</w:t>
      </w:r>
      <w:proofErr w:type="spellEnd"/>
      <w:r w:rsidRPr="00747B6E">
        <w:rPr>
          <w:rFonts w:ascii="Abadi" w:hAnsi="Abadi"/>
          <w:sz w:val="21"/>
          <w:szCs w:val="21"/>
        </w:rPr>
        <w:t xml:space="preserve"> Camarena y fue aprobada por unanimidad en el Congreso de la Unión surge de una consulta amplia donde se escucharon las voces de jueces de juezas defensoras de las mujeres de ministerios públicos pero sobre todo de las víctimas de violencia quienes han manifestado la urgencia para reformar el estatus de las órdenes de protección la nueva conceptualización de las órdenes de protección no sólo precisa las autoridades competentes para otorgarlas sino que permite que estas órdenes de protección se otorguen de oficio o a  petición de parte precisando que debe evitarse que la persona agresora tenga contacto directo o indirecto con la victima este mecanismo legal permite atender pero también proteger en un primer momento a las mujeres y a las niñas que son víctimas para evitar que vuelvan a ser violentados por sus agresores. </w:t>
      </w:r>
    </w:p>
    <w:p w14:paraId="46082E08" w14:textId="77777777" w:rsidR="00532716" w:rsidRPr="00747B6E" w:rsidRDefault="00532716" w:rsidP="00532716">
      <w:pPr>
        <w:pStyle w:val="NormalWeb"/>
        <w:jc w:val="both"/>
        <w:rPr>
          <w:rFonts w:ascii="Abadi" w:hAnsi="Abadi"/>
          <w:sz w:val="21"/>
          <w:szCs w:val="21"/>
        </w:rPr>
      </w:pPr>
      <w:r w:rsidRPr="00747B6E">
        <w:rPr>
          <w:rFonts w:ascii="Abadi" w:hAnsi="Abadi"/>
          <w:sz w:val="21"/>
          <w:szCs w:val="21"/>
        </w:rPr>
        <w:t>- De acuerdo con el Banco Nacional de Datos e información sobre casos de violencia contra las mujeres en Guanajuato se han registrado 2690 órdenes de protección emitidas esto refleja en una primera parte pues los altos niveles de mujeres que sufren violencia y por otra que es un instrumento recurren pero no brinda la cobertura suficiente por lo cual deben ser fortalecido para dar respuesta a la situación de vulnerabilidad que viven las niñas las adolescentes y las mujeres.</w:t>
      </w:r>
    </w:p>
    <w:p w14:paraId="42DAC9B7" w14:textId="57D3D5C0" w:rsidR="00532716" w:rsidRPr="00747B6E" w:rsidRDefault="007C70DA" w:rsidP="00532716">
      <w:pPr>
        <w:pStyle w:val="NormalWeb"/>
        <w:jc w:val="both"/>
        <w:rPr>
          <w:rFonts w:ascii="Abadi" w:hAnsi="Abadi"/>
          <w:sz w:val="21"/>
          <w:szCs w:val="21"/>
        </w:rPr>
      </w:pPr>
      <w:r>
        <w:rPr>
          <w:rFonts w:ascii="Abadi" w:hAnsi="Abadi"/>
          <w:sz w:val="21"/>
          <w:szCs w:val="21"/>
        </w:rPr>
        <w:t xml:space="preserve">- </w:t>
      </w:r>
      <w:r w:rsidR="00532716" w:rsidRPr="00747B6E">
        <w:rPr>
          <w:rFonts w:ascii="Abadi" w:hAnsi="Abadi"/>
          <w:sz w:val="21"/>
          <w:szCs w:val="21"/>
        </w:rPr>
        <w:t xml:space="preserve">Cabe señalar que actualmente la entidad no prevé instituciones como primeros respondientes frente a casos de violencia contra las mujeres y además solicita la ratificación de la víctima cuando las órdenes de protección son solicitadas por una tercera persona esto se traduce como una restricción al acceso de estos careciendo a su vez de diversas regulación ante estas deficiencias la Comisión Nacional de los derechos humanos ha recomendado de manera urgente a algunos Congresos Locales entre ellos al Congreso de Guanajuato que actualice y armonicen la a mayor brevedad un Ley de Acceso a las Mujeres a una Vida Libre de Violencia así como sus reglamentos y los protocolos para la emisión de órdenes de protección toda vez que la reforma que retoma todos los elementos necesarios para una mejor emisión e implementación de las órdenes del de protección fue publicada en el Diario Oficial en marzo 2021, la importancia pues de las órdenes de protección que son personalísimas e intransferibles radica en que son una respuesta legal y oportuna que es adecuada en función del interés superior de la víctima para actuar de manera inmediata ante situaciones de violencia. </w:t>
      </w:r>
    </w:p>
    <w:p w14:paraId="5E793F08" w14:textId="77777777" w:rsidR="00532716" w:rsidRPr="00747B6E" w:rsidRDefault="00532716" w:rsidP="00532716">
      <w:pPr>
        <w:pStyle w:val="NormalWeb"/>
        <w:jc w:val="both"/>
        <w:rPr>
          <w:rFonts w:ascii="Abadi" w:hAnsi="Abadi"/>
          <w:sz w:val="21"/>
          <w:szCs w:val="21"/>
        </w:rPr>
      </w:pPr>
      <w:r w:rsidRPr="00747B6E">
        <w:rPr>
          <w:rFonts w:ascii="Abadi" w:hAnsi="Abadi"/>
          <w:sz w:val="21"/>
          <w:szCs w:val="21"/>
        </w:rPr>
        <w:t xml:space="preserve">- De acuerdo con los resultados de la Encuesta Nacional de la dinámica sobre las relaciones en el hogar a nivel nacional por cada 100 mujeres que experimentaron algún incidente de violencia por parte de su pareja actual o la última pareja sólo12 de cada 100 solo 12  han presentado alguna denuncia, de estas únicamente 6 solicitaron apoyo a alguna institución evidenciando así pues el poco acceso que se tiene de las mujeres a la justicia y por ende a la adopción de medidas urgentes como las órdenes de protección como parte de una de las recomendaciones que realizó el comité para la eliminación de una discriminación contra la mujer es que el Estado vele porque la información sobre los recursos legales que usted siempre a disposición de las mujeres víctimas de violencia de género o de cualquier discriminación. </w:t>
      </w:r>
    </w:p>
    <w:p w14:paraId="6C73EFAB" w14:textId="77777777" w:rsidR="00532716" w:rsidRPr="00747B6E" w:rsidRDefault="00532716" w:rsidP="00532716">
      <w:pPr>
        <w:pStyle w:val="NormalWeb"/>
        <w:jc w:val="both"/>
        <w:rPr>
          <w:rFonts w:ascii="Abadi" w:hAnsi="Abadi"/>
          <w:sz w:val="21"/>
          <w:szCs w:val="21"/>
        </w:rPr>
      </w:pPr>
      <w:r>
        <w:rPr>
          <w:rFonts w:ascii="Abadi" w:hAnsi="Abadi"/>
          <w:sz w:val="21"/>
          <w:szCs w:val="21"/>
        </w:rPr>
        <w:t xml:space="preserve">- </w:t>
      </w:r>
      <w:r w:rsidRPr="00747B6E">
        <w:rPr>
          <w:rFonts w:ascii="Abadi" w:hAnsi="Abadi"/>
          <w:sz w:val="21"/>
          <w:szCs w:val="21"/>
        </w:rPr>
        <w:t>Muchas mujeres víctimas o en riesgo no denuncian o solicitan apoyo por diversas razones entre las que se encuentra el miedo a ser el miedo a las consecuencias estar amenazada el temor a ser victimizadas y también por la desconfianza que tenemos el desconocimiento del proceso pues también abona es todo esto dificulta que puedan acceder a mecanismos de atención y al otorgamiento de órdenes de protección que permitan salvaguardar su integridad la reforma señala que las autoridades deberán proporcionar a las mujeres que lo soliciten toda la información suficiente pero también que sea clara y de manera precisa en torno a las medidas de protección y a las autoridades deberán realizar una valoración de riesgo médica y psicológica en caso de ser necesario.</w:t>
      </w:r>
    </w:p>
    <w:p w14:paraId="36BE6430" w14:textId="77777777" w:rsidR="00532716" w:rsidRPr="00747B6E" w:rsidRDefault="00532716" w:rsidP="00532716">
      <w:pPr>
        <w:pStyle w:val="NormalWeb"/>
        <w:jc w:val="both"/>
        <w:rPr>
          <w:rFonts w:ascii="Abadi" w:hAnsi="Abadi"/>
          <w:sz w:val="21"/>
          <w:szCs w:val="21"/>
        </w:rPr>
      </w:pPr>
      <w:r>
        <w:rPr>
          <w:rFonts w:ascii="Abadi" w:hAnsi="Abadi"/>
          <w:sz w:val="21"/>
          <w:szCs w:val="21"/>
        </w:rPr>
        <w:t xml:space="preserve">- </w:t>
      </w:r>
      <w:r w:rsidRPr="00747B6E">
        <w:rPr>
          <w:rFonts w:ascii="Abadi" w:hAnsi="Abadi"/>
          <w:sz w:val="21"/>
          <w:szCs w:val="21"/>
        </w:rPr>
        <w:t>Al homologar la legislación las órdenes de protección pueden ser otorgadas por instancias como el Ministerio público o por los órganos judiciales según la naturaleza de ésta o bien pueden ser solicitadas por cualquier persona y tras una valoración de los hechos son las autoridades que deciden su emisión dictadas bajo determinados principios todas las autoridades públicas tenemos  la obligación constitucional de promover de respetar de proteger pero sobre todo de garantizar los derechos humanos además de adoptar las medidas para erradicar la discriminación la desigualdad de género y toda forma de violencia contra las mujeres por esto la  y el iniciante consideramos pertinente armonizar y actualizar el marco normativo vigente de la Ley de Acceso a las Mujeres a una Vida Libre de Violencia en el Estado de Guanajuato, reforzando y ampliando las órdenes de protección su aplicación y la adopción de los diversos principios rectores que considera la Ley General con la finalidad de brindar  una protección integral y temprana a las víctimas tanto  directas como indirectas conforme a sus necesidades particulares.</w:t>
      </w:r>
    </w:p>
    <w:p w14:paraId="41166306" w14:textId="77777777" w:rsidR="00532716" w:rsidRPr="00747B6E" w:rsidRDefault="00532716" w:rsidP="00532716">
      <w:pPr>
        <w:pStyle w:val="NormalWeb"/>
        <w:jc w:val="both"/>
        <w:rPr>
          <w:rFonts w:ascii="Abadi" w:hAnsi="Abadi"/>
          <w:sz w:val="21"/>
          <w:szCs w:val="21"/>
        </w:rPr>
      </w:pPr>
      <w:r>
        <w:rPr>
          <w:rFonts w:ascii="Abadi" w:hAnsi="Abadi"/>
          <w:sz w:val="21"/>
          <w:szCs w:val="21"/>
        </w:rPr>
        <w:t xml:space="preserve">- </w:t>
      </w:r>
      <w:r w:rsidRPr="00747B6E">
        <w:rPr>
          <w:rFonts w:ascii="Abadi" w:hAnsi="Abadi"/>
          <w:sz w:val="21"/>
          <w:szCs w:val="21"/>
        </w:rPr>
        <w:t xml:space="preserve">De aprobarse esta iniciativa fortalecerá el mecanismo de las órdenes de protección expidiéndose de manera inmediata o a más tardar dentro de las 4:00 horas siguientes, al conocimiento de los hechos que las generan en lugar de tardar las ocho horas que dicta la legislación actual así se agiliza el proceso y se actúa con prontitud para salvaguardar la integridad y la vida de las víctimas, adicionalmente se extenderán la temporalidad de este recurso legal pasando de 72 horas a una duración de hasta 60 días que estos pueden ser prorrogables por 30 días más por el tiempo que dure la investigación prolongarse hasta que estes de la situación de violencia de la víctima brindando una mayor protección a la misma, por mujeres de Acceso a una Vida Libre de Violencia. </w:t>
      </w:r>
    </w:p>
    <w:p w14:paraId="12E1B200" w14:textId="77777777" w:rsidR="00532716" w:rsidRPr="00747B6E" w:rsidRDefault="00532716" w:rsidP="00532716">
      <w:pPr>
        <w:pStyle w:val="NormalWeb"/>
        <w:jc w:val="both"/>
        <w:rPr>
          <w:rFonts w:ascii="Abadi" w:hAnsi="Abadi"/>
          <w:sz w:val="21"/>
          <w:szCs w:val="21"/>
        </w:rPr>
      </w:pPr>
      <w:r>
        <w:rPr>
          <w:rFonts w:ascii="Abadi" w:hAnsi="Abadi"/>
          <w:sz w:val="21"/>
          <w:szCs w:val="21"/>
        </w:rPr>
        <w:t xml:space="preserve">- </w:t>
      </w:r>
      <w:r w:rsidRPr="00747B6E">
        <w:rPr>
          <w:rFonts w:ascii="Abadi" w:hAnsi="Abadi"/>
          <w:sz w:val="21"/>
          <w:szCs w:val="21"/>
        </w:rPr>
        <w:t xml:space="preserve">Es cuánto. </w:t>
      </w:r>
    </w:p>
    <w:p w14:paraId="77767526" w14:textId="3471B60B" w:rsidR="00532716" w:rsidRDefault="00532716" w:rsidP="003A4C11">
      <w:pPr>
        <w:pStyle w:val="NormalWeb"/>
        <w:ind w:firstLine="284"/>
        <w:jc w:val="both"/>
        <w:rPr>
          <w:rFonts w:ascii="Abadi" w:hAnsi="Abadi"/>
          <w:sz w:val="21"/>
          <w:szCs w:val="21"/>
        </w:rPr>
      </w:pPr>
      <w:r w:rsidRPr="00F471D2">
        <w:rPr>
          <w:rFonts w:ascii="Abadi" w:hAnsi="Abadi"/>
          <w:b/>
          <w:bCs/>
          <w:sz w:val="21"/>
          <w:szCs w:val="21"/>
        </w:rPr>
        <w:t xml:space="preserve">- La </w:t>
      </w:r>
      <w:proofErr w:type="gramStart"/>
      <w:r w:rsidRPr="00F471D2">
        <w:rPr>
          <w:rFonts w:ascii="Abadi" w:hAnsi="Abadi"/>
          <w:b/>
          <w:bCs/>
          <w:sz w:val="21"/>
          <w:szCs w:val="21"/>
        </w:rPr>
        <w:t>presidencia.-</w:t>
      </w:r>
      <w:proofErr w:type="gramEnd"/>
      <w:r>
        <w:rPr>
          <w:rFonts w:ascii="Abadi" w:hAnsi="Abadi"/>
          <w:b/>
          <w:bCs/>
          <w:sz w:val="21"/>
          <w:szCs w:val="21"/>
        </w:rPr>
        <w:t xml:space="preserve"> </w:t>
      </w:r>
      <w:r w:rsidRPr="0021199F">
        <w:rPr>
          <w:rFonts w:ascii="Abadi" w:hAnsi="Abadi"/>
          <w:sz w:val="21"/>
          <w:szCs w:val="21"/>
        </w:rPr>
        <w:t>Muchas gracias, diputada.</w:t>
      </w:r>
    </w:p>
    <w:p w14:paraId="16793A21" w14:textId="77777777" w:rsidR="00532716" w:rsidRPr="009C4626" w:rsidRDefault="00532716" w:rsidP="004F6C52">
      <w:pPr>
        <w:pStyle w:val="NormalWeb"/>
        <w:spacing w:before="240" w:beforeAutospacing="0"/>
        <w:ind w:left="284" w:right="212"/>
        <w:jc w:val="both"/>
        <w:rPr>
          <w:rFonts w:ascii="Abadi" w:hAnsi="Abadi"/>
          <w:b/>
          <w:bCs/>
          <w:i/>
          <w:iCs/>
          <w:sz w:val="21"/>
          <w:szCs w:val="21"/>
          <w:u w:val="single"/>
        </w:rPr>
      </w:pPr>
      <w:r w:rsidRPr="009C4626">
        <w:rPr>
          <w:rFonts w:ascii="Abadi" w:hAnsi="Abadi"/>
          <w:b/>
          <w:bCs/>
          <w:i/>
          <w:iCs/>
          <w:sz w:val="21"/>
          <w:szCs w:val="21"/>
          <w:u w:val="single"/>
        </w:rPr>
        <w:t>Se turnan la Comisión para la Igualdad de Género con fundamento en el artículo 116 fracción III, de nuestra Ley Orgánica para su estudio y dictamen.</w:t>
      </w:r>
    </w:p>
    <w:p w14:paraId="1956C723" w14:textId="77777777" w:rsidR="00021259" w:rsidRPr="00021259" w:rsidRDefault="00021259" w:rsidP="00343CA9">
      <w:pPr>
        <w:pStyle w:val="Prrafodelista"/>
        <w:numPr>
          <w:ilvl w:val="0"/>
          <w:numId w:val="14"/>
        </w:numPr>
        <w:autoSpaceDE w:val="0"/>
        <w:autoSpaceDN w:val="0"/>
        <w:adjustRightInd w:val="0"/>
        <w:ind w:left="426"/>
        <w:jc w:val="both"/>
        <w:rPr>
          <w:rFonts w:ascii="Abadi" w:hAnsi="Abadi" w:cs="ArialMT"/>
          <w:b/>
          <w:bCs/>
          <w:sz w:val="20"/>
          <w:szCs w:val="21"/>
        </w:rPr>
      </w:pPr>
      <w:r w:rsidRPr="00021259">
        <w:rPr>
          <w:rFonts w:ascii="Abadi" w:hAnsi="Abadi" w:cs="ArialMT"/>
          <w:b/>
          <w:bCs/>
          <w:sz w:val="20"/>
          <w:szCs w:val="21"/>
        </w:rPr>
        <w:t>PRESENTACIÓN DE LA INICIATIVA DE LEY PARA LA DETECCIÓN Y TRATAMIENTO OPORTUNO E INTEGRAL DEL CÁNCER EN LA INFANCIA Y LA ADOLESCENCIA PARA EL ESTADO DE GUANAJUATO, SUSCRITA POR LA DIPUTADA DESSIRE ANGEL ROCHA DE LA REPRESENTACIÓN PARLAMENTARIA DEL PARTIDO MOVIMIENTO CIUDADANO.</w:t>
      </w:r>
    </w:p>
    <w:p w14:paraId="31224955" w14:textId="66487D1F" w:rsidR="00021259" w:rsidRDefault="00021259" w:rsidP="00021259">
      <w:pPr>
        <w:autoSpaceDE w:val="0"/>
        <w:autoSpaceDN w:val="0"/>
        <w:adjustRightInd w:val="0"/>
        <w:jc w:val="both"/>
        <w:rPr>
          <w:rFonts w:ascii="Abadi" w:hAnsi="Abadi" w:cs="ArialMT"/>
          <w:sz w:val="20"/>
          <w:szCs w:val="21"/>
        </w:rPr>
      </w:pPr>
    </w:p>
    <w:p w14:paraId="2F9EF053"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Diputada</w:t>
      </w:r>
    </w:p>
    <w:p w14:paraId="6968A2EC"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Irma Leticia González Sánchez</w:t>
      </w:r>
      <w:r w:rsidRPr="00D63144">
        <w:rPr>
          <w:rFonts w:ascii="Abadi" w:hAnsi="Abadi" w:cs="ArialMT"/>
          <w:sz w:val="21"/>
          <w:szCs w:val="21"/>
        </w:rPr>
        <w:t xml:space="preserve"> </w:t>
      </w:r>
    </w:p>
    <w:p w14:paraId="075AE601"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Presidenta de la Mesa Directiva </w:t>
      </w:r>
    </w:p>
    <w:p w14:paraId="7F766AED" w14:textId="6E3F242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LXV Legislatura</w:t>
      </w:r>
    </w:p>
    <w:p w14:paraId="7CF110F0" w14:textId="74BC04A2" w:rsidR="00E84B5F"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Segundo Periodo Ordinario del Primer Año de Ejercicio</w:t>
      </w:r>
    </w:p>
    <w:p w14:paraId="6C0AAB8B" w14:textId="77777777" w:rsidR="007C70DA" w:rsidRPr="00D63144" w:rsidRDefault="007C70DA" w:rsidP="00E84B5F">
      <w:pPr>
        <w:autoSpaceDE w:val="0"/>
        <w:autoSpaceDN w:val="0"/>
        <w:adjustRightInd w:val="0"/>
        <w:jc w:val="both"/>
        <w:rPr>
          <w:rFonts w:ascii="Abadi" w:hAnsi="Abadi" w:cs="ArialMT"/>
          <w:sz w:val="21"/>
          <w:szCs w:val="21"/>
        </w:rPr>
      </w:pPr>
    </w:p>
    <w:p w14:paraId="4723B75B"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Dessire Ángel Rocha</w:t>
      </w:r>
      <w:r w:rsidRPr="00D63144">
        <w:rPr>
          <w:rFonts w:ascii="Abadi" w:hAnsi="Abadi" w:cs="ArialMT"/>
          <w:sz w:val="21"/>
          <w:szCs w:val="21"/>
        </w:rPr>
        <w:t xml:space="preserve"> , diputada de la Representación Parlamentaria de Movimiento Ciudadano de la LXV Legislatura del Congreso del Estado Libre y Soberano de Guanajuato, con fundamento en lo dispuesto por los artículos 56 fracción II de la Constitución Política para el Estado de Guanajuato, y el 167 fracción II, de la Ley Orgánica del Poder Legislativo del Estado de Guanajuato, me permito poner a la consideración de esta Soberanía la presente </w:t>
      </w:r>
      <w:r w:rsidRPr="00D63144">
        <w:rPr>
          <w:rFonts w:ascii="Abadi" w:hAnsi="Abadi" w:cs="ArialMT"/>
          <w:b/>
          <w:bCs/>
          <w:sz w:val="21"/>
          <w:szCs w:val="21"/>
        </w:rPr>
        <w:t>INICIATIVA</w:t>
      </w:r>
      <w:r w:rsidRPr="00D63144">
        <w:rPr>
          <w:rFonts w:ascii="Abadi" w:hAnsi="Abadi" w:cs="ArialMT"/>
          <w:sz w:val="21"/>
          <w:szCs w:val="21"/>
        </w:rPr>
        <w:t xml:space="preserve"> con proyecto de Decreto que </w:t>
      </w:r>
      <w:r w:rsidRPr="00D63144">
        <w:rPr>
          <w:rFonts w:ascii="Abadi" w:hAnsi="Abadi" w:cs="ArialMT"/>
          <w:b/>
          <w:bCs/>
          <w:sz w:val="21"/>
          <w:szCs w:val="21"/>
        </w:rPr>
        <w:t>crea la Ley para la Detección y Tratamiento Oportuno e Integral del Cáncer en la infancia y la adolescencia para el Estado de Guanajuato</w:t>
      </w:r>
    </w:p>
    <w:p w14:paraId="403DF4C0" w14:textId="77777777" w:rsidR="00E84B5F" w:rsidRPr="00D63144" w:rsidRDefault="00E84B5F" w:rsidP="00E84B5F">
      <w:pPr>
        <w:autoSpaceDE w:val="0"/>
        <w:autoSpaceDN w:val="0"/>
        <w:adjustRightInd w:val="0"/>
        <w:jc w:val="both"/>
        <w:rPr>
          <w:rFonts w:ascii="Abadi" w:hAnsi="Abadi" w:cs="ArialMT"/>
          <w:sz w:val="21"/>
          <w:szCs w:val="21"/>
        </w:rPr>
      </w:pPr>
    </w:p>
    <w:p w14:paraId="23E349A9"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Dando cumplimiento al último párrafo del artículo 168 de la Ley que nos rige, lo hago en los siguientes términos:</w:t>
      </w:r>
    </w:p>
    <w:p w14:paraId="618D9F0D" w14:textId="77777777" w:rsidR="00E84B5F" w:rsidRPr="00D63144" w:rsidRDefault="00E84B5F" w:rsidP="00E84B5F">
      <w:pPr>
        <w:autoSpaceDE w:val="0"/>
        <w:autoSpaceDN w:val="0"/>
        <w:adjustRightInd w:val="0"/>
        <w:jc w:val="both"/>
        <w:rPr>
          <w:rFonts w:ascii="Abadi" w:hAnsi="Abadi" w:cs="ArialMT"/>
          <w:sz w:val="21"/>
          <w:szCs w:val="21"/>
        </w:rPr>
      </w:pPr>
    </w:p>
    <w:p w14:paraId="111B9A94" w14:textId="77777777" w:rsidR="00E84B5F" w:rsidRPr="00D63144" w:rsidRDefault="00E84B5F" w:rsidP="00C7005B">
      <w:pPr>
        <w:autoSpaceDE w:val="0"/>
        <w:autoSpaceDN w:val="0"/>
        <w:adjustRightInd w:val="0"/>
        <w:jc w:val="center"/>
        <w:rPr>
          <w:rFonts w:ascii="Abadi" w:hAnsi="Abadi" w:cs="ArialMT"/>
          <w:b/>
          <w:bCs/>
          <w:sz w:val="21"/>
          <w:szCs w:val="21"/>
        </w:rPr>
      </w:pPr>
      <w:r w:rsidRPr="00D63144">
        <w:rPr>
          <w:rFonts w:ascii="Abadi" w:hAnsi="Abadi" w:cs="ArialMT"/>
          <w:b/>
          <w:bCs/>
          <w:sz w:val="21"/>
          <w:szCs w:val="21"/>
        </w:rPr>
        <w:t>Exposición de Motivos</w:t>
      </w:r>
    </w:p>
    <w:p w14:paraId="6B05E5F9" w14:textId="77777777" w:rsidR="00E84B5F" w:rsidRPr="00D63144" w:rsidRDefault="00E84B5F" w:rsidP="00E84B5F">
      <w:pPr>
        <w:autoSpaceDE w:val="0"/>
        <w:autoSpaceDN w:val="0"/>
        <w:adjustRightInd w:val="0"/>
        <w:jc w:val="both"/>
        <w:rPr>
          <w:rFonts w:ascii="Abadi" w:hAnsi="Abadi" w:cs="ArialMT"/>
          <w:sz w:val="21"/>
          <w:szCs w:val="21"/>
        </w:rPr>
      </w:pPr>
    </w:p>
    <w:p w14:paraId="5C5462DD" w14:textId="03A88E73"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La Constitución de la Organización Mundial de la Salud (OMS) define a la salud como un estado de completo bienestar físico, mental y social, y no solamente la ausencia de afecciones o enfermedades; adicionalmente, también considera que el goce del grado máximo de salud que se pueda lograr es uno de los derechos fundamentales de todo ser humano sin distinción de raza, religión, ideología política o condición económica o social</w:t>
      </w:r>
      <w:r w:rsidR="004E3B17" w:rsidRPr="00D63144">
        <w:rPr>
          <w:rStyle w:val="Refdenotaalpie"/>
          <w:rFonts w:ascii="Abadi" w:hAnsi="Abadi" w:cs="ArialMT"/>
          <w:sz w:val="21"/>
          <w:szCs w:val="21"/>
        </w:rPr>
        <w:footnoteReference w:id="15"/>
      </w:r>
      <w:r w:rsidRPr="00D63144">
        <w:rPr>
          <w:rFonts w:ascii="Abadi" w:hAnsi="Abadi" w:cs="ArialMT"/>
          <w:sz w:val="21"/>
          <w:szCs w:val="21"/>
        </w:rPr>
        <w:t>. De tal forma, que la salud debe ser considerada como un derecho humano fundamental. Por otra parte, la Comisión Nacional de los Derechos Humanos (CNDH) refiere que toda persona tiene derecho a la protección de la salud, en el que tienen derecho a hacer uso de los servicios de salud para obtener prestaciones oportunas, profesionales, idóneas y responsables, en que el gobierno otorgará estos servicios a través de la Federación, Estados y Municipios, de acuerdo con lo estipulado en</w:t>
      </w:r>
    </w:p>
    <w:p w14:paraId="2C619739" w14:textId="12267C79"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la ley</w:t>
      </w:r>
      <w:r w:rsidR="005C4B9B" w:rsidRPr="00D63144">
        <w:rPr>
          <w:rStyle w:val="Refdenotaalpie"/>
          <w:rFonts w:ascii="Abadi" w:hAnsi="Abadi" w:cs="ArialMT"/>
          <w:sz w:val="21"/>
          <w:szCs w:val="21"/>
        </w:rPr>
        <w:footnoteReference w:id="16"/>
      </w:r>
      <w:r w:rsidRPr="00D63144">
        <w:rPr>
          <w:rFonts w:ascii="Abadi" w:hAnsi="Abadi" w:cs="ArialMT"/>
          <w:sz w:val="21"/>
          <w:szCs w:val="21"/>
        </w:rPr>
        <w:t>.</w:t>
      </w:r>
    </w:p>
    <w:p w14:paraId="6981EE2B" w14:textId="77777777" w:rsidR="005466DE" w:rsidRPr="00D63144" w:rsidRDefault="005466DE" w:rsidP="00E84B5F">
      <w:pPr>
        <w:autoSpaceDE w:val="0"/>
        <w:autoSpaceDN w:val="0"/>
        <w:adjustRightInd w:val="0"/>
        <w:jc w:val="both"/>
        <w:rPr>
          <w:rFonts w:ascii="Abadi" w:hAnsi="Abadi" w:cs="ArialMT"/>
          <w:sz w:val="21"/>
          <w:szCs w:val="21"/>
        </w:rPr>
      </w:pPr>
    </w:p>
    <w:p w14:paraId="36F31E81" w14:textId="2454BB0C"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La presente iniciativa de ley tiene como finalidad proteger los derechos de salud de la infancia y adolescencia, fortaleciendo al sector salud para el cumplimiento efectivo de respuesta del sistema de salud a la enfermedad del cáncer, y así, lograr que la atención médica oportuna reduzca el sufrimiento en los tratamientos oncológicos y alcanzar una tasa de supervivencia de la menos 60% para el año 2030, tal como lo estable la Iniciativa Global para el Cáncer Infantil (GICC) de la OMS</w:t>
      </w:r>
      <w:r w:rsidR="005B2A94" w:rsidRPr="00D63144">
        <w:rPr>
          <w:rStyle w:val="Refdenotaalpie"/>
          <w:rFonts w:ascii="Abadi" w:hAnsi="Abadi" w:cs="ArialMT"/>
          <w:sz w:val="21"/>
          <w:szCs w:val="21"/>
        </w:rPr>
        <w:footnoteReference w:id="17"/>
      </w:r>
      <w:r w:rsidRPr="00D63144">
        <w:rPr>
          <w:rFonts w:ascii="Abadi" w:hAnsi="Abadi" w:cs="ArialMT"/>
          <w:sz w:val="21"/>
          <w:szCs w:val="21"/>
        </w:rPr>
        <w:t>.</w:t>
      </w:r>
    </w:p>
    <w:p w14:paraId="27E60891" w14:textId="77777777" w:rsidR="00E84B5F" w:rsidRPr="00D63144" w:rsidRDefault="00E84B5F" w:rsidP="00E84B5F">
      <w:pPr>
        <w:autoSpaceDE w:val="0"/>
        <w:autoSpaceDN w:val="0"/>
        <w:adjustRightInd w:val="0"/>
        <w:jc w:val="both"/>
        <w:rPr>
          <w:rFonts w:ascii="Abadi" w:hAnsi="Abadi" w:cs="ArialMT"/>
          <w:sz w:val="21"/>
          <w:szCs w:val="21"/>
        </w:rPr>
      </w:pPr>
    </w:p>
    <w:p w14:paraId="3EE36403"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El diagnóstico temprano del cáncer infantil y adolescente puede conducir a mayores probabilidades de supervivencia, es por ello que este proyecto de ley, está encaminado a lograr esas expectativas, atendiendo los tratados internacionales de los cuales México es parte, como el Pacto de Derechos Económicos, Sociales y Culturales y la Convención Americana sobre Derechos Humanos, en ambos instrumentos convencionales existe el interés jurídico sobre el sano desarrollo de salud de las infancias y adolescencias, sus tratamientos médicos, medicamentos y prevención de enfermedades, así como crear una atención integral, a través de instrumentos legales tendentes para tal efecto.</w:t>
      </w:r>
    </w:p>
    <w:p w14:paraId="3480AFEA" w14:textId="77777777" w:rsidR="00E84B5F" w:rsidRPr="00D63144" w:rsidRDefault="00E84B5F" w:rsidP="00E84B5F">
      <w:pPr>
        <w:autoSpaceDE w:val="0"/>
        <w:autoSpaceDN w:val="0"/>
        <w:adjustRightInd w:val="0"/>
        <w:jc w:val="both"/>
        <w:rPr>
          <w:rFonts w:ascii="Abadi" w:hAnsi="Abadi" w:cs="ArialMT"/>
          <w:sz w:val="21"/>
          <w:szCs w:val="21"/>
        </w:rPr>
      </w:pPr>
    </w:p>
    <w:p w14:paraId="47E98244"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La Organización de las Naciones Unidas (ONU) decretó el 15 de febrero como el Día internacional de lucha contra el Cáncer Infantil, fecha en la que se promueve una campaña colaborativa con los países miembros -entre ellos, México- que tiene como finalidad crear conciencia sobre el cáncer infantil y expresar apoyo a las personas infantes y adolescentes con cáncer, a las personas sobrevivientes y sus</w:t>
      </w:r>
    </w:p>
    <w:p w14:paraId="643757DF" w14:textId="33245F7A" w:rsidR="00E84B5F"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familiares.</w:t>
      </w:r>
    </w:p>
    <w:p w14:paraId="156F9774" w14:textId="77777777" w:rsidR="00760003" w:rsidRPr="00D63144" w:rsidRDefault="00760003" w:rsidP="00E84B5F">
      <w:pPr>
        <w:autoSpaceDE w:val="0"/>
        <w:autoSpaceDN w:val="0"/>
        <w:adjustRightInd w:val="0"/>
        <w:jc w:val="both"/>
        <w:rPr>
          <w:rFonts w:ascii="Abadi" w:hAnsi="Abadi" w:cs="ArialMT"/>
          <w:sz w:val="21"/>
          <w:szCs w:val="21"/>
        </w:rPr>
      </w:pPr>
    </w:p>
    <w:p w14:paraId="507FB4CD" w14:textId="40DD2193"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Este evento anual fue creado por la Organización Internacional de Cáncer Infantil, CCI (antes conocida como Confederación Internacional de Organizaciones de Padres de Niños con Cáncer, ICCCPO), que es una red conformada por 177 organizaciones nacionales de padres de niños con cáncer, cuya presencia está en 90 países en los 5 continentes, que cuenta con la participación de la Organización Panamericana de la Salud, la Iniciativa Global para el Cáncer Infantil GICC de la OMS, el Centro Internacional de</w:t>
      </w:r>
      <w:r w:rsidR="007C70DA">
        <w:rPr>
          <w:rFonts w:ascii="Abadi" w:hAnsi="Abadi" w:cs="ArialMT"/>
          <w:sz w:val="21"/>
          <w:szCs w:val="21"/>
        </w:rPr>
        <w:t xml:space="preserve"> </w:t>
      </w:r>
      <w:r w:rsidRPr="00D63144">
        <w:rPr>
          <w:rFonts w:ascii="Abadi" w:hAnsi="Abadi" w:cs="ArialMT"/>
          <w:sz w:val="21"/>
          <w:szCs w:val="21"/>
        </w:rPr>
        <w:t xml:space="preserve">Investigaciones sobre el Cáncer de la ONU, la Organización Internacional de Cáncer Infantil CCI, la Sociedad Internacional de Oncología Pediátrica y, en nuestro país, el Instituto Nacional de Cancerología de México. El lema de este año 2022 es </w:t>
      </w:r>
      <w:r w:rsidRPr="00D63144">
        <w:rPr>
          <w:rFonts w:ascii="Abadi" w:hAnsi="Abadi" w:cs="ArialMT"/>
          <w:i/>
          <w:iCs/>
          <w:sz w:val="21"/>
          <w:szCs w:val="21"/>
        </w:rPr>
        <w:t>“Lograr la curación del cáncer infantil es posible”.</w:t>
      </w:r>
    </w:p>
    <w:p w14:paraId="4E47FEA1" w14:textId="77777777" w:rsidR="00E84B5F" w:rsidRPr="00D63144" w:rsidRDefault="00E84B5F" w:rsidP="00E84B5F">
      <w:pPr>
        <w:autoSpaceDE w:val="0"/>
        <w:autoSpaceDN w:val="0"/>
        <w:adjustRightInd w:val="0"/>
        <w:jc w:val="both"/>
        <w:rPr>
          <w:rFonts w:ascii="Abadi" w:hAnsi="Abadi" w:cs="ArialMT"/>
          <w:sz w:val="21"/>
          <w:szCs w:val="21"/>
        </w:rPr>
      </w:pPr>
    </w:p>
    <w:p w14:paraId="3B003E61"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La prevención, atención y tratamiento del cáncer infantil y adolescente es tan prioritario para las sociedades contemporáneas, que existen iniciativas globales como la Iniciativa Mundial sobre el Cáncer Infantil, Iniciativa global </w:t>
      </w:r>
      <w:proofErr w:type="spellStart"/>
      <w:r w:rsidRPr="00D63144">
        <w:rPr>
          <w:rFonts w:ascii="Abadi" w:hAnsi="Abadi" w:cs="ArialMT"/>
          <w:sz w:val="21"/>
          <w:szCs w:val="21"/>
        </w:rPr>
        <w:t>CureAll</w:t>
      </w:r>
      <w:proofErr w:type="spellEnd"/>
      <w:r w:rsidRPr="00D63144">
        <w:rPr>
          <w:rFonts w:ascii="Abadi" w:hAnsi="Abadi" w:cs="ArialMT"/>
          <w:sz w:val="21"/>
          <w:szCs w:val="21"/>
        </w:rPr>
        <w:t xml:space="preserve"> y los Planes Nacionales de Cáncer Infantil en la Región de las Américas, creadas con el fin de fortalecer los sistemas de salud y mejorar las prácticas médicas, generando así una sinergia entre los gobiernos –a través de estrategias de políticas públicas- y las instancias legislativas.</w:t>
      </w:r>
    </w:p>
    <w:p w14:paraId="1365EB8E" w14:textId="77777777" w:rsidR="00E84B5F" w:rsidRPr="00D63144" w:rsidRDefault="00E84B5F" w:rsidP="00E84B5F">
      <w:pPr>
        <w:autoSpaceDE w:val="0"/>
        <w:autoSpaceDN w:val="0"/>
        <w:adjustRightInd w:val="0"/>
        <w:jc w:val="both"/>
        <w:rPr>
          <w:rFonts w:ascii="Abadi" w:hAnsi="Abadi" w:cs="ArialMT"/>
          <w:sz w:val="21"/>
          <w:szCs w:val="21"/>
        </w:rPr>
      </w:pPr>
    </w:p>
    <w:p w14:paraId="480A51AB"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Según datos de la OMS, cada año, al menos 400 mil personas infantes y adolescentes alrededor del mundo son diagnosticados con cáncer, por tal motivo resulta urgente visibilizar esta problemática de salud. Por otro lado, la ONU afirma que el 55% de las personas infantes que fueron diagnosticadas con cáncer sobrevive, aunque este padecimiento representa la segunda causa de muerte en ese sector poblacional. Frente a esta realidad, organismos internacionales han considerado un imperativo conjugar y articular esfuerzos para cerrar las brechas de desigualdad que impiden que haya prevención, atención y tratamiento oportunos para todas las personas infantes y adolescentes. En este contexto la labor legislativa constituye un elemento esencial para construir políticas públicas efectivas.</w:t>
      </w:r>
    </w:p>
    <w:p w14:paraId="4EEBF7F8" w14:textId="77777777" w:rsidR="00E84B5F" w:rsidRPr="00D63144" w:rsidRDefault="00E84B5F" w:rsidP="00E84B5F">
      <w:pPr>
        <w:autoSpaceDE w:val="0"/>
        <w:autoSpaceDN w:val="0"/>
        <w:adjustRightInd w:val="0"/>
        <w:jc w:val="both"/>
        <w:rPr>
          <w:rFonts w:ascii="Abadi" w:hAnsi="Abadi" w:cs="ArialMT"/>
          <w:sz w:val="21"/>
          <w:szCs w:val="21"/>
        </w:rPr>
      </w:pPr>
    </w:p>
    <w:p w14:paraId="4D94BFAE" w14:textId="1A8D39D8"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En México, el derecho a la salud está consagrado en el artículo 4° constitucional que establece: “toda persona tiene derecho a la protección de la salud”; para el ejercicio de este derecho es esencial garantizar el acceso oportuno, aceptable y asequible a servicios de salud. Adicionalmente, la Ley General de Salud (LGS) reglamenta la protección al derecho humano a la salud, estableciendo las bases y modalidades para el acceso a los servicios de salud. En el caso de nuestra entidad federativa, el derecho a la salud está garantizado en la Ley de Salud del Estado de Guanajuato, que establece las bases y modalidades para el acceso a los servicios de salud proporcionados por el Estado con la concurrencia de los municipios, en materia de salubridad local.</w:t>
      </w:r>
    </w:p>
    <w:p w14:paraId="36F0DEB3" w14:textId="77777777" w:rsidR="00EC51CE" w:rsidRPr="00D63144" w:rsidRDefault="00EC51CE" w:rsidP="00E84B5F">
      <w:pPr>
        <w:autoSpaceDE w:val="0"/>
        <w:autoSpaceDN w:val="0"/>
        <w:adjustRightInd w:val="0"/>
        <w:jc w:val="both"/>
        <w:rPr>
          <w:rFonts w:ascii="Abadi" w:hAnsi="Abadi" w:cs="ArialMT"/>
          <w:sz w:val="21"/>
          <w:szCs w:val="21"/>
        </w:rPr>
      </w:pPr>
    </w:p>
    <w:p w14:paraId="5E8A6734"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En lo referente a los derechos humanos de las personas infantes y adolescentes, el artículo 4° constitucional es muy claro al señalar que todas las decisiones y actuaciones del Estado velarán y cumplirán con el principio del interés superior de la niñez. Además, que las personas infantes tienen derecho a la satisfacción de sus necesidades de alimentación, salud, educación y sano esparcimiento para su desarrollo integral.</w:t>
      </w:r>
    </w:p>
    <w:p w14:paraId="7EA60C6E" w14:textId="77777777" w:rsidR="00E84B5F" w:rsidRPr="00D63144" w:rsidRDefault="00E84B5F" w:rsidP="00E84B5F">
      <w:pPr>
        <w:autoSpaceDE w:val="0"/>
        <w:autoSpaceDN w:val="0"/>
        <w:adjustRightInd w:val="0"/>
        <w:jc w:val="both"/>
        <w:rPr>
          <w:rFonts w:ascii="Abadi" w:hAnsi="Abadi" w:cs="ArialMT"/>
          <w:sz w:val="21"/>
          <w:szCs w:val="21"/>
        </w:rPr>
      </w:pPr>
    </w:p>
    <w:p w14:paraId="4337D04C"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La Ley General de los Derechos de Niñas, Niños y Adolescentes, reconoce como titulares de derechos a las personas infantes menores de 12 años de edad; y como personas adolescentes a las quienes tiene entre los 12 y los 18 años. Esta ley, en su artículo 13, les reconoce enunciativamente sus derechos, entre los que se encuentran: (1) A la vida, (2) vivir en familia, (3) a la participación, (4) a no ser discriminado, (5) a una vida libre de violencia y a la integridad personal, (6) a la protección de la salud y a la seguridad social, (7) a la inclusión de niñas, niños y adolescentes con discapacidad, y (8) derecho a la educación.</w:t>
      </w:r>
    </w:p>
    <w:p w14:paraId="4F3EC2A8" w14:textId="77777777" w:rsidR="00E84B5F" w:rsidRPr="00D63144" w:rsidRDefault="00E84B5F" w:rsidP="00E84B5F">
      <w:pPr>
        <w:autoSpaceDE w:val="0"/>
        <w:autoSpaceDN w:val="0"/>
        <w:adjustRightInd w:val="0"/>
        <w:jc w:val="both"/>
        <w:rPr>
          <w:rFonts w:ascii="Abadi" w:hAnsi="Abadi" w:cs="ArialMT"/>
          <w:sz w:val="21"/>
          <w:szCs w:val="21"/>
        </w:rPr>
      </w:pPr>
    </w:p>
    <w:p w14:paraId="35BE9913"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La salud de las personas infantes y adolescentes es pues, un derecho humano por excelencia, pues les permite disfrutar en plenitud otros derechos humanos.</w:t>
      </w:r>
    </w:p>
    <w:p w14:paraId="6C0332E9" w14:textId="77777777" w:rsidR="00E84B5F" w:rsidRPr="00D63144" w:rsidRDefault="00E84B5F" w:rsidP="00E84B5F">
      <w:pPr>
        <w:autoSpaceDE w:val="0"/>
        <w:autoSpaceDN w:val="0"/>
        <w:adjustRightInd w:val="0"/>
        <w:jc w:val="both"/>
        <w:rPr>
          <w:rFonts w:ascii="Abadi" w:hAnsi="Abadi" w:cs="ArialMT"/>
          <w:sz w:val="21"/>
          <w:szCs w:val="21"/>
        </w:rPr>
      </w:pPr>
    </w:p>
    <w:p w14:paraId="51C4F9A6"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Por otro lado, la Ley para la Protección de los Derechos de Niñas, Niños y Adolescentes, promueve la adopción de un Programa Nacional para la atención de los derechos de la infancia y la adolescencia. El programa estipula en el capítulo octavo, el derecho a la salud, en el que la federación, las entidades federativas y los municipios –en el ámbito de sus competencias- deberán generar programas de salud, rehabilitación y tratamientos de las necesidades de las personas infantes; por tal motivo, en este ordenamiento se establece puntualmente lo siguiente:</w:t>
      </w:r>
    </w:p>
    <w:p w14:paraId="0CAA2974" w14:textId="77777777" w:rsidR="00E84B5F" w:rsidRPr="00D63144" w:rsidRDefault="00E84B5F" w:rsidP="00E84B5F">
      <w:pPr>
        <w:autoSpaceDE w:val="0"/>
        <w:autoSpaceDN w:val="0"/>
        <w:adjustRightInd w:val="0"/>
        <w:jc w:val="both"/>
        <w:rPr>
          <w:rFonts w:ascii="Abadi" w:hAnsi="Abadi" w:cs="ArialMT"/>
          <w:sz w:val="21"/>
          <w:szCs w:val="21"/>
        </w:rPr>
      </w:pPr>
    </w:p>
    <w:p w14:paraId="7704F9F0" w14:textId="77777777" w:rsidR="00E84B5F" w:rsidRPr="00D63144" w:rsidRDefault="00E84B5F" w:rsidP="00EC51CE">
      <w:pPr>
        <w:autoSpaceDE w:val="0"/>
        <w:autoSpaceDN w:val="0"/>
        <w:adjustRightInd w:val="0"/>
        <w:ind w:left="708"/>
        <w:jc w:val="both"/>
        <w:rPr>
          <w:rFonts w:ascii="Abadi" w:hAnsi="Abadi" w:cs="ArialMT"/>
          <w:sz w:val="21"/>
          <w:szCs w:val="21"/>
        </w:rPr>
      </w:pPr>
      <w:r w:rsidRPr="00D63144">
        <w:rPr>
          <w:rFonts w:ascii="Abadi" w:hAnsi="Abadi" w:cs="ArialMT"/>
          <w:b/>
          <w:bCs/>
          <w:sz w:val="21"/>
          <w:szCs w:val="21"/>
        </w:rPr>
        <w:t>Artículo 21</w:t>
      </w:r>
      <w:r w:rsidRPr="00D63144">
        <w:rPr>
          <w:rFonts w:ascii="Abadi" w:hAnsi="Abadi" w:cs="ArialMT"/>
          <w:sz w:val="21"/>
          <w:szCs w:val="21"/>
        </w:rPr>
        <w:t>. Niñas, niños y adolescentes tienen el derecho a ser protegidos contra actos u omisiones que puedan afectar su salud física o mental, su normal desarrollo o su derecho a la educación en los términos establecidos en el artículo 3o. constitucional.</w:t>
      </w:r>
    </w:p>
    <w:p w14:paraId="14F5723D" w14:textId="77777777" w:rsidR="00E84B5F" w:rsidRPr="00D63144" w:rsidRDefault="00E84B5F" w:rsidP="00E84B5F">
      <w:pPr>
        <w:autoSpaceDE w:val="0"/>
        <w:autoSpaceDN w:val="0"/>
        <w:adjustRightInd w:val="0"/>
        <w:jc w:val="both"/>
        <w:rPr>
          <w:rFonts w:ascii="Abadi" w:hAnsi="Abadi" w:cs="ArialMT"/>
          <w:sz w:val="21"/>
          <w:szCs w:val="21"/>
        </w:rPr>
      </w:pPr>
    </w:p>
    <w:p w14:paraId="272C3FFD" w14:textId="7E5DD8D8" w:rsidR="00E84B5F" w:rsidRDefault="00E84B5F" w:rsidP="00EC51CE">
      <w:pPr>
        <w:autoSpaceDE w:val="0"/>
        <w:autoSpaceDN w:val="0"/>
        <w:adjustRightInd w:val="0"/>
        <w:ind w:left="708"/>
        <w:jc w:val="both"/>
        <w:rPr>
          <w:rFonts w:ascii="Abadi" w:hAnsi="Abadi" w:cs="ArialMT"/>
          <w:sz w:val="21"/>
          <w:szCs w:val="21"/>
        </w:rPr>
      </w:pPr>
      <w:r w:rsidRPr="00D63144">
        <w:rPr>
          <w:rFonts w:ascii="Abadi" w:hAnsi="Abadi" w:cs="ArialMT"/>
          <w:b/>
          <w:bCs/>
          <w:sz w:val="21"/>
          <w:szCs w:val="21"/>
        </w:rPr>
        <w:t>Artículo 28</w:t>
      </w:r>
      <w:r w:rsidRPr="00D63144">
        <w:rPr>
          <w:rFonts w:ascii="Abadi" w:hAnsi="Abadi" w:cs="ArialMT"/>
          <w:sz w:val="21"/>
          <w:szCs w:val="21"/>
        </w:rPr>
        <w:t>. Niñas, niños y adolescentes tienen derecho a la salud. Las autoridades federales, del Distrito Federal, estatales y municipales en el ámbito de sus respectivas competencias, se mantendrán coordinados a fin de:</w:t>
      </w:r>
    </w:p>
    <w:p w14:paraId="7154CB81" w14:textId="77777777" w:rsidR="007C70DA" w:rsidRPr="00D63144" w:rsidRDefault="007C70DA" w:rsidP="00EC51CE">
      <w:pPr>
        <w:autoSpaceDE w:val="0"/>
        <w:autoSpaceDN w:val="0"/>
        <w:adjustRightInd w:val="0"/>
        <w:ind w:left="708"/>
        <w:jc w:val="both"/>
        <w:rPr>
          <w:rFonts w:ascii="Abadi" w:hAnsi="Abadi" w:cs="ArialMT"/>
          <w:sz w:val="21"/>
          <w:szCs w:val="21"/>
        </w:rPr>
      </w:pPr>
    </w:p>
    <w:p w14:paraId="679F9EBB" w14:textId="0E1BC4BE" w:rsidR="00E84B5F" w:rsidRPr="00D63144" w:rsidRDefault="00E84B5F" w:rsidP="00343CA9">
      <w:pPr>
        <w:pStyle w:val="Prrafodelista"/>
        <w:numPr>
          <w:ilvl w:val="1"/>
          <w:numId w:val="38"/>
        </w:numPr>
        <w:autoSpaceDE w:val="0"/>
        <w:autoSpaceDN w:val="0"/>
        <w:adjustRightInd w:val="0"/>
        <w:jc w:val="both"/>
        <w:rPr>
          <w:rFonts w:ascii="Abadi" w:hAnsi="Abadi" w:cs="ArialMT"/>
          <w:sz w:val="21"/>
          <w:szCs w:val="21"/>
        </w:rPr>
      </w:pPr>
      <w:r w:rsidRPr="00D63144">
        <w:rPr>
          <w:rFonts w:ascii="Abadi" w:hAnsi="Abadi" w:cs="ArialMT"/>
          <w:sz w:val="21"/>
          <w:szCs w:val="21"/>
        </w:rPr>
        <w:t>Reducir la mortalidad infantil.</w:t>
      </w:r>
    </w:p>
    <w:p w14:paraId="71995342" w14:textId="669B60C3" w:rsidR="00E84B5F" w:rsidRPr="00D63144" w:rsidRDefault="00E84B5F" w:rsidP="00343CA9">
      <w:pPr>
        <w:pStyle w:val="Prrafodelista"/>
        <w:numPr>
          <w:ilvl w:val="1"/>
          <w:numId w:val="38"/>
        </w:numPr>
        <w:autoSpaceDE w:val="0"/>
        <w:autoSpaceDN w:val="0"/>
        <w:adjustRightInd w:val="0"/>
        <w:jc w:val="both"/>
        <w:rPr>
          <w:rFonts w:ascii="Abadi" w:hAnsi="Abadi" w:cs="ArialMT"/>
          <w:sz w:val="21"/>
          <w:szCs w:val="21"/>
        </w:rPr>
      </w:pPr>
      <w:r w:rsidRPr="00D63144">
        <w:rPr>
          <w:rFonts w:ascii="Abadi" w:hAnsi="Abadi" w:cs="ArialMT"/>
          <w:sz w:val="21"/>
          <w:szCs w:val="21"/>
        </w:rPr>
        <w:t>Asegurarles asistencia médica y sanitaria para la prevención, tratamiento y la rehabilitación de su salud.</w:t>
      </w:r>
    </w:p>
    <w:p w14:paraId="221BF753" w14:textId="64A38861" w:rsidR="00E84B5F" w:rsidRPr="00D63144" w:rsidRDefault="00E84B5F" w:rsidP="00343CA9">
      <w:pPr>
        <w:pStyle w:val="Prrafodelista"/>
        <w:numPr>
          <w:ilvl w:val="1"/>
          <w:numId w:val="38"/>
        </w:numPr>
        <w:autoSpaceDE w:val="0"/>
        <w:autoSpaceDN w:val="0"/>
        <w:adjustRightInd w:val="0"/>
        <w:jc w:val="both"/>
        <w:rPr>
          <w:rFonts w:ascii="Abadi" w:hAnsi="Abadi" w:cs="ArialMT"/>
          <w:sz w:val="21"/>
          <w:szCs w:val="21"/>
        </w:rPr>
      </w:pPr>
      <w:r w:rsidRPr="00D63144">
        <w:rPr>
          <w:rFonts w:ascii="Abadi" w:hAnsi="Abadi" w:cs="ArialMT"/>
          <w:sz w:val="21"/>
          <w:szCs w:val="21"/>
        </w:rPr>
        <w:t>Promover la lactancia materna.</w:t>
      </w:r>
    </w:p>
    <w:p w14:paraId="25EBF7CE" w14:textId="5D7E23D0" w:rsidR="00E84B5F" w:rsidRPr="00D63144" w:rsidRDefault="00E84B5F" w:rsidP="00343CA9">
      <w:pPr>
        <w:pStyle w:val="Prrafodelista"/>
        <w:numPr>
          <w:ilvl w:val="1"/>
          <w:numId w:val="38"/>
        </w:numPr>
        <w:autoSpaceDE w:val="0"/>
        <w:autoSpaceDN w:val="0"/>
        <w:adjustRightInd w:val="0"/>
        <w:jc w:val="both"/>
        <w:rPr>
          <w:rFonts w:ascii="Abadi" w:hAnsi="Abadi" w:cs="ArialMT"/>
          <w:sz w:val="21"/>
          <w:szCs w:val="21"/>
        </w:rPr>
      </w:pPr>
      <w:r w:rsidRPr="00D63144">
        <w:rPr>
          <w:rFonts w:ascii="Abadi" w:hAnsi="Abadi" w:cs="ArialMT"/>
          <w:sz w:val="21"/>
          <w:szCs w:val="21"/>
        </w:rPr>
        <w:t>Combatir la desnutrición mediante la promoción de una alimentación adecuada</w:t>
      </w:r>
    </w:p>
    <w:p w14:paraId="688E6CB4" w14:textId="6A3F264D" w:rsidR="00E84B5F" w:rsidRPr="00D63144" w:rsidRDefault="00E84B5F" w:rsidP="00343CA9">
      <w:pPr>
        <w:pStyle w:val="Prrafodelista"/>
        <w:numPr>
          <w:ilvl w:val="1"/>
          <w:numId w:val="38"/>
        </w:numPr>
        <w:autoSpaceDE w:val="0"/>
        <w:autoSpaceDN w:val="0"/>
        <w:adjustRightInd w:val="0"/>
        <w:jc w:val="both"/>
        <w:rPr>
          <w:rFonts w:ascii="Abadi" w:hAnsi="Abadi" w:cs="ArialMT"/>
          <w:sz w:val="21"/>
          <w:szCs w:val="21"/>
        </w:rPr>
      </w:pPr>
      <w:r w:rsidRPr="00D63144">
        <w:rPr>
          <w:rFonts w:ascii="Abadi" w:hAnsi="Abadi" w:cs="ArialMT"/>
          <w:sz w:val="21"/>
          <w:szCs w:val="21"/>
        </w:rPr>
        <w:t>Fomentar los programas de vacunación.</w:t>
      </w:r>
    </w:p>
    <w:p w14:paraId="3AED318C" w14:textId="0376D26E" w:rsidR="00E84B5F" w:rsidRPr="00D63144" w:rsidRDefault="00E84B5F" w:rsidP="00343CA9">
      <w:pPr>
        <w:pStyle w:val="Prrafodelista"/>
        <w:numPr>
          <w:ilvl w:val="1"/>
          <w:numId w:val="38"/>
        </w:numPr>
        <w:autoSpaceDE w:val="0"/>
        <w:autoSpaceDN w:val="0"/>
        <w:adjustRightInd w:val="0"/>
        <w:jc w:val="both"/>
        <w:rPr>
          <w:rFonts w:ascii="Abadi" w:hAnsi="Abadi" w:cs="ArialMT"/>
          <w:sz w:val="21"/>
          <w:szCs w:val="21"/>
        </w:rPr>
      </w:pPr>
      <w:r w:rsidRPr="00D63144">
        <w:rPr>
          <w:rFonts w:ascii="Abadi" w:hAnsi="Abadi" w:cs="ArialMT"/>
          <w:sz w:val="21"/>
          <w:szCs w:val="21"/>
        </w:rPr>
        <w:t xml:space="preserve">Ofrecer atención pre y post natal a las madres de conformidad con lo establecido en esta ley. </w:t>
      </w:r>
    </w:p>
    <w:p w14:paraId="3892A0E0" w14:textId="5BFDED94" w:rsidR="00E84B5F" w:rsidRPr="00D63144" w:rsidRDefault="00E84B5F" w:rsidP="00343CA9">
      <w:pPr>
        <w:pStyle w:val="Prrafodelista"/>
        <w:numPr>
          <w:ilvl w:val="1"/>
          <w:numId w:val="38"/>
        </w:numPr>
        <w:autoSpaceDE w:val="0"/>
        <w:autoSpaceDN w:val="0"/>
        <w:adjustRightInd w:val="0"/>
        <w:jc w:val="both"/>
        <w:rPr>
          <w:rFonts w:ascii="Abadi" w:hAnsi="Abadi" w:cs="ArialMT"/>
          <w:sz w:val="21"/>
          <w:szCs w:val="21"/>
        </w:rPr>
      </w:pPr>
      <w:r w:rsidRPr="00D63144">
        <w:rPr>
          <w:rFonts w:ascii="Abadi" w:hAnsi="Abadi" w:cs="ArialMT"/>
          <w:sz w:val="21"/>
          <w:szCs w:val="21"/>
        </w:rPr>
        <w:t>Atender de manera especial las enfermedades endémicas, epidémicas, de transmisión sexual y del VIH/SDA impulsando programas de prevención e información sobre ellas.</w:t>
      </w:r>
    </w:p>
    <w:p w14:paraId="6C32831F" w14:textId="4E0F09D2" w:rsidR="00E84B5F" w:rsidRPr="00D63144" w:rsidRDefault="00E84B5F" w:rsidP="00343CA9">
      <w:pPr>
        <w:pStyle w:val="Prrafodelista"/>
        <w:numPr>
          <w:ilvl w:val="1"/>
          <w:numId w:val="38"/>
        </w:numPr>
        <w:autoSpaceDE w:val="0"/>
        <w:autoSpaceDN w:val="0"/>
        <w:adjustRightInd w:val="0"/>
        <w:jc w:val="both"/>
        <w:rPr>
          <w:rFonts w:ascii="Abadi" w:hAnsi="Abadi" w:cs="ArialMT"/>
          <w:sz w:val="21"/>
          <w:szCs w:val="21"/>
        </w:rPr>
      </w:pPr>
      <w:r w:rsidRPr="00D63144">
        <w:rPr>
          <w:rFonts w:ascii="Abadi" w:hAnsi="Abadi" w:cs="ArialMT"/>
          <w:sz w:val="21"/>
          <w:szCs w:val="21"/>
        </w:rPr>
        <w:t xml:space="preserve">Establecer las medidas tendientes a prevenir embarazos tempranos </w:t>
      </w:r>
    </w:p>
    <w:p w14:paraId="68DD1C9E" w14:textId="48BDBC9E" w:rsidR="00E84B5F" w:rsidRPr="00D63144" w:rsidRDefault="00E84B5F" w:rsidP="00343CA9">
      <w:pPr>
        <w:pStyle w:val="Prrafodelista"/>
        <w:numPr>
          <w:ilvl w:val="1"/>
          <w:numId w:val="38"/>
        </w:numPr>
        <w:autoSpaceDE w:val="0"/>
        <w:autoSpaceDN w:val="0"/>
        <w:adjustRightInd w:val="0"/>
        <w:jc w:val="both"/>
        <w:rPr>
          <w:rFonts w:ascii="Abadi" w:hAnsi="Abadi" w:cs="ArialMT"/>
          <w:sz w:val="21"/>
          <w:szCs w:val="21"/>
        </w:rPr>
      </w:pPr>
      <w:r w:rsidRPr="00D63144">
        <w:rPr>
          <w:rFonts w:ascii="Abadi" w:hAnsi="Abadi" w:cs="ArialMT"/>
          <w:sz w:val="21"/>
          <w:szCs w:val="21"/>
        </w:rPr>
        <w:t>Disponer lo necesario para que las niñas, niños y adolescentes con discapacidad, reciban la atención apropiada a su condición, que los rehabilite, les mejore su calidad de vida, les reincorpore a la sociedad y los equipare a las demás personas en el ejercicio de sus derechos.</w:t>
      </w:r>
    </w:p>
    <w:p w14:paraId="059FCA05" w14:textId="5D3086CB" w:rsidR="00E84B5F" w:rsidRPr="00D63144" w:rsidRDefault="00E84B5F" w:rsidP="00343CA9">
      <w:pPr>
        <w:pStyle w:val="Prrafodelista"/>
        <w:numPr>
          <w:ilvl w:val="1"/>
          <w:numId w:val="38"/>
        </w:numPr>
        <w:autoSpaceDE w:val="0"/>
        <w:autoSpaceDN w:val="0"/>
        <w:adjustRightInd w:val="0"/>
        <w:jc w:val="both"/>
        <w:rPr>
          <w:rFonts w:ascii="Abadi" w:hAnsi="Abadi" w:cs="ArialMT"/>
          <w:sz w:val="21"/>
          <w:szCs w:val="21"/>
        </w:rPr>
      </w:pPr>
      <w:r w:rsidRPr="00D63144">
        <w:rPr>
          <w:rFonts w:ascii="Abadi" w:hAnsi="Abadi" w:cs="ArialMT"/>
          <w:sz w:val="21"/>
          <w:szCs w:val="21"/>
        </w:rPr>
        <w:t xml:space="preserve">Establecer las medidas tendientes a que en los servicios de salud se detecten y se atiendan de manera especial los casos de infantes y adolescentes </w:t>
      </w:r>
      <w:r w:rsidR="00EC51CE" w:rsidRPr="00D63144">
        <w:rPr>
          <w:rFonts w:ascii="Abadi" w:hAnsi="Abadi" w:cs="ArialMT"/>
          <w:sz w:val="21"/>
          <w:szCs w:val="21"/>
        </w:rPr>
        <w:t>víctimas</w:t>
      </w:r>
      <w:r w:rsidRPr="00D63144">
        <w:rPr>
          <w:rFonts w:ascii="Abadi" w:hAnsi="Abadi" w:cs="ArialMT"/>
          <w:sz w:val="21"/>
          <w:szCs w:val="21"/>
        </w:rPr>
        <w:t xml:space="preserve"> o sujetos de violencia familiar.  </w:t>
      </w:r>
    </w:p>
    <w:p w14:paraId="06AD0F89" w14:textId="29AFF875"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En Guanajuato, la Ley de los Derechos de Niñas, Niños y Adolescentes del Estado de Guanajuato, en su artículo 21 le otorga a la Secretaría de Salud la atribución de atender de manera especial a las niñas, niños y adolescentes que tengan enfermedades respiratorias, renales, gastrointestinales, epidémicas, cáncer, y demás enfermedades que por su naturaleza pongan en riesgo su vida o salud. En la Ley de Salud del Estado de Guanajuato, en materia de salubridad general, le corresponde al Estado de Guanajuato la orientación, prevención y detección temprana del cáncer en la infancia y la adolescencia.</w:t>
      </w:r>
    </w:p>
    <w:p w14:paraId="5EDB6AC2" w14:textId="77777777" w:rsidR="00EC51CE" w:rsidRPr="00D63144" w:rsidRDefault="00EC51CE" w:rsidP="00E84B5F">
      <w:pPr>
        <w:autoSpaceDE w:val="0"/>
        <w:autoSpaceDN w:val="0"/>
        <w:adjustRightInd w:val="0"/>
        <w:jc w:val="both"/>
        <w:rPr>
          <w:rFonts w:ascii="Abadi" w:hAnsi="Abadi" w:cs="ArialMT"/>
          <w:sz w:val="21"/>
          <w:szCs w:val="21"/>
        </w:rPr>
      </w:pPr>
    </w:p>
    <w:p w14:paraId="3839A16F" w14:textId="77777777" w:rsidR="00E84B5F" w:rsidRPr="00D63144" w:rsidRDefault="00E84B5F" w:rsidP="00EC51CE">
      <w:pPr>
        <w:autoSpaceDE w:val="0"/>
        <w:autoSpaceDN w:val="0"/>
        <w:adjustRightInd w:val="0"/>
        <w:jc w:val="center"/>
        <w:rPr>
          <w:rFonts w:ascii="Abadi" w:hAnsi="Abadi" w:cs="ArialMT"/>
          <w:b/>
          <w:bCs/>
          <w:sz w:val="21"/>
          <w:szCs w:val="21"/>
        </w:rPr>
      </w:pPr>
      <w:r w:rsidRPr="00D63144">
        <w:rPr>
          <w:rFonts w:ascii="Abadi" w:hAnsi="Abadi" w:cs="ArialMT"/>
          <w:b/>
          <w:bCs/>
          <w:sz w:val="21"/>
          <w:szCs w:val="21"/>
        </w:rPr>
        <w:t>Propuesta</w:t>
      </w:r>
    </w:p>
    <w:p w14:paraId="15F2EEAD" w14:textId="77777777" w:rsidR="00E84B5F" w:rsidRPr="00D63144" w:rsidRDefault="00E84B5F" w:rsidP="00E84B5F">
      <w:pPr>
        <w:autoSpaceDE w:val="0"/>
        <w:autoSpaceDN w:val="0"/>
        <w:adjustRightInd w:val="0"/>
        <w:jc w:val="both"/>
        <w:rPr>
          <w:rFonts w:ascii="Abadi" w:hAnsi="Abadi" w:cs="ArialMT"/>
          <w:sz w:val="21"/>
          <w:szCs w:val="21"/>
        </w:rPr>
      </w:pPr>
    </w:p>
    <w:p w14:paraId="23BB240A"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Tal como ha quedado enunciado, la presente iniciativa con </w:t>
      </w:r>
      <w:r w:rsidRPr="00D63144">
        <w:rPr>
          <w:rFonts w:ascii="Abadi" w:hAnsi="Abadi" w:cs="ArialMT"/>
          <w:b/>
          <w:bCs/>
          <w:sz w:val="21"/>
          <w:szCs w:val="21"/>
        </w:rPr>
        <w:t>proyecto de decreto que crea la Ley para la Detección y Tratamiento Oportuno e Integral del Cáncer en la infancia y la adolescencia para el Estado de Guanajuato</w:t>
      </w:r>
      <w:r w:rsidRPr="00D63144">
        <w:rPr>
          <w:rFonts w:ascii="Abadi" w:hAnsi="Abadi" w:cs="ArialMT"/>
          <w:sz w:val="21"/>
          <w:szCs w:val="21"/>
        </w:rPr>
        <w:t xml:space="preserve">, está debidamente justificada en los marcos convencionales, en el marco federal y estatal, ya que el cáncer en la infancia y la adolescencia en nuestro país es un problema de salud pública al ser la principal causa de muerte por enfermedad entre los 5 y los 14 años de edad, cobrando la vida de más de 3000 personas infantes y adolescentes cada año. </w:t>
      </w:r>
    </w:p>
    <w:p w14:paraId="5D624828" w14:textId="77777777" w:rsidR="00E84B5F" w:rsidRPr="00D63144" w:rsidRDefault="00E84B5F" w:rsidP="00E84B5F">
      <w:pPr>
        <w:autoSpaceDE w:val="0"/>
        <w:autoSpaceDN w:val="0"/>
        <w:adjustRightInd w:val="0"/>
        <w:jc w:val="both"/>
        <w:rPr>
          <w:rFonts w:ascii="Abadi" w:hAnsi="Abadi" w:cs="ArialMT"/>
          <w:sz w:val="21"/>
          <w:szCs w:val="21"/>
        </w:rPr>
      </w:pPr>
    </w:p>
    <w:p w14:paraId="0AE6E1FD" w14:textId="3713A21F"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Al respecto la Asociación Mexicana de Ayuda a Niños con Cáncer (AMANC)</w:t>
      </w:r>
      <w:r w:rsidR="00570502" w:rsidRPr="00D63144">
        <w:rPr>
          <w:rStyle w:val="Refdenotaalpie"/>
          <w:rFonts w:ascii="Abadi" w:hAnsi="Abadi" w:cs="ArialMT"/>
          <w:sz w:val="21"/>
          <w:szCs w:val="21"/>
        </w:rPr>
        <w:footnoteReference w:id="18"/>
      </w:r>
      <w:r w:rsidRPr="00D63144">
        <w:rPr>
          <w:rFonts w:ascii="Abadi" w:hAnsi="Abadi" w:cs="ArialMT"/>
          <w:sz w:val="21"/>
          <w:szCs w:val="21"/>
        </w:rPr>
        <w:t>, considera que cada 90</w:t>
      </w:r>
      <w:r w:rsidR="00EC51CE" w:rsidRPr="00D63144">
        <w:rPr>
          <w:rFonts w:ascii="Abadi" w:hAnsi="Abadi" w:cs="ArialMT"/>
          <w:sz w:val="21"/>
          <w:szCs w:val="21"/>
        </w:rPr>
        <w:t xml:space="preserve"> </w:t>
      </w:r>
      <w:r w:rsidRPr="00D63144">
        <w:rPr>
          <w:rFonts w:ascii="Abadi" w:hAnsi="Abadi" w:cs="ArialMT"/>
          <w:sz w:val="21"/>
          <w:szCs w:val="21"/>
        </w:rPr>
        <w:t>minutos se registra un caso de cáncer infantil, y se tiene considerado que son más de 5,000 nuevos casos de cáncer infantil al año y de 18,000 a 23,000 casos que se encuentran en tratamiento activo y en</w:t>
      </w:r>
      <w:r w:rsidR="00EC51CE" w:rsidRPr="00D63144">
        <w:rPr>
          <w:rFonts w:ascii="Abadi" w:hAnsi="Abadi" w:cs="ArialMT"/>
          <w:sz w:val="21"/>
          <w:szCs w:val="21"/>
        </w:rPr>
        <w:t xml:space="preserve"> </w:t>
      </w:r>
      <w:r w:rsidRPr="00D63144">
        <w:rPr>
          <w:rFonts w:ascii="Abadi" w:hAnsi="Abadi" w:cs="ArialMT"/>
          <w:sz w:val="21"/>
          <w:szCs w:val="21"/>
        </w:rPr>
        <w:t>vigilancia médica.</w:t>
      </w:r>
    </w:p>
    <w:p w14:paraId="02FE5C74" w14:textId="77777777" w:rsidR="00EC51CE" w:rsidRPr="00D63144" w:rsidRDefault="00EC51CE" w:rsidP="00E84B5F">
      <w:pPr>
        <w:autoSpaceDE w:val="0"/>
        <w:autoSpaceDN w:val="0"/>
        <w:adjustRightInd w:val="0"/>
        <w:jc w:val="both"/>
        <w:rPr>
          <w:rFonts w:ascii="Abadi" w:hAnsi="Abadi" w:cs="ArialMT"/>
          <w:sz w:val="21"/>
          <w:szCs w:val="21"/>
        </w:rPr>
      </w:pPr>
    </w:p>
    <w:p w14:paraId="567867B9"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Bajo esta coyuntura es prioridad que las instituciones de salud atiendan a los niños y adolescentes que padecen cáncer en las primeras etapas suministrando medicamentos y tratamientos adecuados, cirugías y radioterapia, que auxilien durante el proceso de la enfermedad con el objetivo de mitigar las afectaciones que provoca el cáncer y salvar en mayor medida la vida de los niños y adolescentes.</w:t>
      </w:r>
    </w:p>
    <w:p w14:paraId="6430029D" w14:textId="77777777" w:rsidR="00E84B5F" w:rsidRPr="00D63144" w:rsidRDefault="00E84B5F" w:rsidP="00E84B5F">
      <w:pPr>
        <w:autoSpaceDE w:val="0"/>
        <w:autoSpaceDN w:val="0"/>
        <w:adjustRightInd w:val="0"/>
        <w:jc w:val="both"/>
        <w:rPr>
          <w:rFonts w:ascii="Abadi" w:hAnsi="Abadi" w:cs="ArialMT"/>
          <w:sz w:val="21"/>
          <w:szCs w:val="21"/>
        </w:rPr>
      </w:pPr>
    </w:p>
    <w:p w14:paraId="20E13C25"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Finalmente, esta iniciativa de Ley, propone ser congruente y estar en armonización legislativa con la Ley General para la Detección Oportuna del Cáncer en la Infancia y la Adolescencia, aprobada por las Cámaras del Congreso de la Unión y publicada el 07 de enero de 2021 en el Diario Oficial de la Federación, que es una ley que tiene por objeto establecer, dentro de las dependencias de la Administración Pública del Sistema Nacional de Salud, las medidas necesarias para la atención integral y universal de niñas, niños y adolescentes menores de 18 años con sospecha o diagnóstico de cáncer, que contiene dentro de sus estrategias y acciones:</w:t>
      </w:r>
    </w:p>
    <w:p w14:paraId="7BCD1B9F" w14:textId="77777777" w:rsidR="00E84B5F" w:rsidRPr="00D63144" w:rsidRDefault="00E84B5F" w:rsidP="00E84B5F">
      <w:pPr>
        <w:autoSpaceDE w:val="0"/>
        <w:autoSpaceDN w:val="0"/>
        <w:adjustRightInd w:val="0"/>
        <w:jc w:val="both"/>
        <w:rPr>
          <w:rFonts w:ascii="Abadi" w:hAnsi="Abadi" w:cs="ArialMT"/>
          <w:sz w:val="21"/>
          <w:szCs w:val="21"/>
        </w:rPr>
      </w:pPr>
    </w:p>
    <w:p w14:paraId="06A9AE35" w14:textId="732D886F" w:rsidR="00E84B5F" w:rsidRPr="00D63144" w:rsidRDefault="00E84B5F" w:rsidP="00EC51CE">
      <w:pPr>
        <w:autoSpaceDE w:val="0"/>
        <w:autoSpaceDN w:val="0"/>
        <w:adjustRightInd w:val="0"/>
        <w:ind w:left="708"/>
        <w:jc w:val="both"/>
        <w:rPr>
          <w:rFonts w:ascii="Abadi" w:hAnsi="Abadi" w:cs="ArialMT"/>
          <w:sz w:val="21"/>
          <w:szCs w:val="21"/>
        </w:rPr>
      </w:pPr>
      <w:r w:rsidRPr="00D63144">
        <w:rPr>
          <w:rFonts w:ascii="Abadi" w:hAnsi="Abadi" w:cs="ArialMT"/>
          <w:b/>
          <w:bCs/>
          <w:sz w:val="21"/>
          <w:szCs w:val="21"/>
        </w:rPr>
        <w:t>Estrategias:</w:t>
      </w:r>
      <w:r w:rsidRPr="00D63144">
        <w:rPr>
          <w:rFonts w:ascii="Abadi" w:hAnsi="Abadi" w:cs="ArialMT"/>
          <w:sz w:val="21"/>
          <w:szCs w:val="21"/>
        </w:rPr>
        <w:t xml:space="preserve"> Diagnóstico temprano, acceso efectivo, tratamiento oportuno, integral y de calidad, capacitación continua al personal de salud, disminuir el abandono al tratamiento, contar con un registro fidedigno y completo de los casos e implementar campañas de comunicación masiva para crear conciencia social sobre el cáncer en la infancia y la adolescencia.</w:t>
      </w:r>
    </w:p>
    <w:p w14:paraId="34D7F04E" w14:textId="77777777" w:rsidR="00EC51CE" w:rsidRPr="00D63144" w:rsidRDefault="00EC51CE" w:rsidP="00EC51CE">
      <w:pPr>
        <w:autoSpaceDE w:val="0"/>
        <w:autoSpaceDN w:val="0"/>
        <w:adjustRightInd w:val="0"/>
        <w:ind w:left="708"/>
        <w:jc w:val="both"/>
        <w:rPr>
          <w:rFonts w:ascii="Abadi" w:hAnsi="Abadi" w:cs="ArialMT"/>
          <w:sz w:val="21"/>
          <w:szCs w:val="21"/>
        </w:rPr>
      </w:pPr>
    </w:p>
    <w:p w14:paraId="368CDC14" w14:textId="77777777" w:rsidR="00E84B5F" w:rsidRPr="00D63144" w:rsidRDefault="00E84B5F" w:rsidP="00EC51CE">
      <w:pPr>
        <w:autoSpaceDE w:val="0"/>
        <w:autoSpaceDN w:val="0"/>
        <w:adjustRightInd w:val="0"/>
        <w:ind w:left="708"/>
        <w:jc w:val="both"/>
        <w:rPr>
          <w:rFonts w:ascii="Abadi" w:hAnsi="Abadi" w:cs="ArialMT"/>
          <w:sz w:val="21"/>
          <w:szCs w:val="21"/>
        </w:rPr>
      </w:pPr>
      <w:r w:rsidRPr="00D63144">
        <w:rPr>
          <w:rFonts w:ascii="Abadi" w:hAnsi="Abadi" w:cs="ArialMT"/>
          <w:b/>
          <w:bCs/>
          <w:sz w:val="21"/>
          <w:szCs w:val="21"/>
        </w:rPr>
        <w:t>Acciones:</w:t>
      </w:r>
      <w:r w:rsidRPr="00D63144">
        <w:rPr>
          <w:rFonts w:ascii="Abadi" w:hAnsi="Abadi" w:cs="ArialMT"/>
          <w:sz w:val="21"/>
          <w:szCs w:val="21"/>
        </w:rPr>
        <w:t xml:space="preserve"> Impulsar la participación de los sectores social y privado, así como de la sociedad en general, para fortalecer los servicios de salud en materia de detección oportuna, promover la creación de Redes de Apoyo a nivel federal y estatal, para facilitar el acceso a información y servicios de atención médica y Llevar a cabo programas o campañas temporales o permanentes, para la detección oportuna del cáncer en la infancia y la adolescencia.</w:t>
      </w:r>
    </w:p>
    <w:p w14:paraId="54E3C747" w14:textId="77777777" w:rsidR="00E84B5F" w:rsidRPr="00D63144" w:rsidRDefault="00E84B5F" w:rsidP="00E84B5F">
      <w:pPr>
        <w:autoSpaceDE w:val="0"/>
        <w:autoSpaceDN w:val="0"/>
        <w:adjustRightInd w:val="0"/>
        <w:jc w:val="both"/>
        <w:rPr>
          <w:rFonts w:ascii="Abadi" w:hAnsi="Abadi" w:cs="ArialMT"/>
          <w:sz w:val="21"/>
          <w:szCs w:val="21"/>
        </w:rPr>
      </w:pPr>
    </w:p>
    <w:p w14:paraId="4160CABB"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Este mismo ordenamiento general, señala puntualmente en su artículo 9, que las entidades federativas y el Instituto de Salud para el Bienestar, en coordinación con la Secretaría de Salud federal se asegurarán de implementar en su territorio las medidas necesarias para el funcionamiento de la coordinación estatal del Centro Nacional para la Salud de la Infancia y la Adolescencia y el Consejo El Consejo Nacional para la Prevención y el Tratamiento del Cáncer en la Infancia y la Adolescencia, la Red de Apoyo contra el Cáncer en la Infancia y Adolescencia, y el Registro Nacional de Cáncer en la Infancia y Adolescencia.</w:t>
      </w:r>
    </w:p>
    <w:p w14:paraId="394E3CE7" w14:textId="77777777" w:rsidR="00E84B5F" w:rsidRPr="00D63144" w:rsidRDefault="00E84B5F" w:rsidP="00E84B5F">
      <w:pPr>
        <w:autoSpaceDE w:val="0"/>
        <w:autoSpaceDN w:val="0"/>
        <w:adjustRightInd w:val="0"/>
        <w:jc w:val="both"/>
        <w:rPr>
          <w:rFonts w:ascii="Abadi" w:hAnsi="Abadi" w:cs="ArialMT"/>
          <w:sz w:val="21"/>
          <w:szCs w:val="21"/>
        </w:rPr>
      </w:pPr>
    </w:p>
    <w:p w14:paraId="09834303"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En el caso de Guanajuato, no existe tal coordinación entre el Gobierno del Estado y el Gobierno Federal; cada uno de estos gobiernos realizan esfuerzos aislados en el ámbito de sus competencias, cuando en términos de aplicación de la ley, deberían de establecer medidas concretas que permitan prevenir, diagnosticar, atender y tratar el cáncer en las infancias y las adolescencias guanajuatenses.</w:t>
      </w:r>
    </w:p>
    <w:p w14:paraId="0BAE7C72" w14:textId="77777777" w:rsidR="00E84B5F" w:rsidRPr="00D63144" w:rsidRDefault="00E84B5F" w:rsidP="00E84B5F">
      <w:pPr>
        <w:autoSpaceDE w:val="0"/>
        <w:autoSpaceDN w:val="0"/>
        <w:adjustRightInd w:val="0"/>
        <w:jc w:val="both"/>
        <w:rPr>
          <w:rFonts w:ascii="Abadi" w:hAnsi="Abadi" w:cs="ArialMT"/>
          <w:sz w:val="21"/>
          <w:szCs w:val="21"/>
        </w:rPr>
      </w:pPr>
    </w:p>
    <w:p w14:paraId="3FE8D74A"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Lo anterior se asevera luego que, mediante solicitud de acceso a la información con número de folio 111100500092722 realizada el 20 de abril de 2022, se preguntara a Gobierno del Estado de Guanajuato si existía algún convenio de coordinación entre el Gobierno del Estado de Guanajuato y el Instituto de Salud para el Bienestar para prevenir y tratar el cáncer en la infancia y la adolescencia en Guanajuato; la respuesta fue contundente: no.</w:t>
      </w:r>
    </w:p>
    <w:p w14:paraId="6297FC5C" w14:textId="77777777" w:rsidR="00E84B5F" w:rsidRPr="00D63144" w:rsidRDefault="00E84B5F" w:rsidP="00E84B5F">
      <w:pPr>
        <w:autoSpaceDE w:val="0"/>
        <w:autoSpaceDN w:val="0"/>
        <w:adjustRightInd w:val="0"/>
        <w:jc w:val="both"/>
        <w:rPr>
          <w:rFonts w:ascii="Abadi" w:hAnsi="Abadi" w:cs="ArialMT"/>
          <w:sz w:val="21"/>
          <w:szCs w:val="21"/>
        </w:rPr>
      </w:pPr>
    </w:p>
    <w:p w14:paraId="7BB94463"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La presente iniciativa pretende que la coordinación entre estos órdenes de gobierno sea efectiva y eficaz, pues la materia amerita que relación entre ambos sea un tema que materialice el interés superior de la niñez sin importar procedencias partidarias ni posiciones ideológicas.</w:t>
      </w:r>
    </w:p>
    <w:p w14:paraId="68C9AE38" w14:textId="77777777" w:rsidR="00EC51CE" w:rsidRPr="00D63144" w:rsidRDefault="00EC51CE" w:rsidP="00EC51CE">
      <w:pPr>
        <w:autoSpaceDE w:val="0"/>
        <w:autoSpaceDN w:val="0"/>
        <w:adjustRightInd w:val="0"/>
        <w:jc w:val="center"/>
        <w:rPr>
          <w:rFonts w:ascii="Abadi" w:hAnsi="Abadi" w:cs="ArialMT"/>
          <w:b/>
          <w:bCs/>
          <w:sz w:val="21"/>
          <w:szCs w:val="21"/>
        </w:rPr>
      </w:pPr>
    </w:p>
    <w:p w14:paraId="0D818A8C" w14:textId="4B5DCE8C" w:rsidR="00E84B5F" w:rsidRPr="00D63144" w:rsidRDefault="00E84B5F" w:rsidP="00EC51CE">
      <w:pPr>
        <w:autoSpaceDE w:val="0"/>
        <w:autoSpaceDN w:val="0"/>
        <w:adjustRightInd w:val="0"/>
        <w:jc w:val="center"/>
        <w:rPr>
          <w:rFonts w:ascii="Abadi" w:hAnsi="Abadi" w:cs="ArialMT"/>
          <w:b/>
          <w:bCs/>
          <w:sz w:val="21"/>
          <w:szCs w:val="21"/>
        </w:rPr>
      </w:pPr>
      <w:r w:rsidRPr="00D63144">
        <w:rPr>
          <w:rFonts w:ascii="Abadi" w:hAnsi="Abadi" w:cs="ArialMT"/>
          <w:b/>
          <w:bCs/>
          <w:sz w:val="21"/>
          <w:szCs w:val="21"/>
        </w:rPr>
        <w:t>Impactos</w:t>
      </w:r>
    </w:p>
    <w:p w14:paraId="3DACC4A6"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De acuerdo con el artículo 209 de la Ley Orgánica del Poder Legislativo del Estado de Guanajuato, manifiesto que la presente iniciativa con proyecto de decreto contiene los siguientes impactos:</w:t>
      </w:r>
    </w:p>
    <w:p w14:paraId="2800D917" w14:textId="77777777" w:rsidR="00E84B5F" w:rsidRPr="00D63144" w:rsidRDefault="00E84B5F" w:rsidP="00E84B5F">
      <w:pPr>
        <w:autoSpaceDE w:val="0"/>
        <w:autoSpaceDN w:val="0"/>
        <w:adjustRightInd w:val="0"/>
        <w:jc w:val="both"/>
        <w:rPr>
          <w:rFonts w:ascii="Abadi" w:hAnsi="Abadi" w:cs="ArialMT"/>
          <w:sz w:val="21"/>
          <w:szCs w:val="21"/>
        </w:rPr>
      </w:pPr>
    </w:p>
    <w:p w14:paraId="3F6C1C4E" w14:textId="5D100993" w:rsidR="00EC51CE" w:rsidRDefault="00E84B5F" w:rsidP="00343CA9">
      <w:pPr>
        <w:pStyle w:val="Prrafodelista"/>
        <w:numPr>
          <w:ilvl w:val="0"/>
          <w:numId w:val="39"/>
        </w:numPr>
        <w:autoSpaceDE w:val="0"/>
        <w:autoSpaceDN w:val="0"/>
        <w:adjustRightInd w:val="0"/>
        <w:jc w:val="both"/>
        <w:rPr>
          <w:rFonts w:ascii="Abadi" w:hAnsi="Abadi" w:cs="ArialMT"/>
          <w:sz w:val="21"/>
          <w:szCs w:val="21"/>
        </w:rPr>
      </w:pPr>
      <w:r w:rsidRPr="00D63144">
        <w:rPr>
          <w:rFonts w:ascii="Abadi" w:hAnsi="Abadi" w:cs="ArialMT"/>
          <w:b/>
          <w:bCs/>
          <w:sz w:val="21"/>
          <w:szCs w:val="21"/>
        </w:rPr>
        <w:t>Impacto jurídico</w:t>
      </w:r>
      <w:r w:rsidRPr="00D63144">
        <w:rPr>
          <w:rFonts w:ascii="Abadi" w:hAnsi="Abadi" w:cs="ArialMT"/>
          <w:sz w:val="21"/>
          <w:szCs w:val="21"/>
        </w:rPr>
        <w:t>: se crea Ley para la Detección y Tratamiento Oportuno e Integral del Cáncer en la infancia y la adolescencia para el Estado de Guanajuato.</w:t>
      </w:r>
    </w:p>
    <w:p w14:paraId="4B4C3407" w14:textId="77777777" w:rsidR="007C70DA" w:rsidRPr="00D63144" w:rsidRDefault="007C70DA" w:rsidP="007C70DA">
      <w:pPr>
        <w:pStyle w:val="Prrafodelista"/>
        <w:autoSpaceDE w:val="0"/>
        <w:autoSpaceDN w:val="0"/>
        <w:adjustRightInd w:val="0"/>
        <w:ind w:left="720"/>
        <w:jc w:val="both"/>
        <w:rPr>
          <w:rFonts w:ascii="Abadi" w:hAnsi="Abadi" w:cs="ArialMT"/>
          <w:sz w:val="21"/>
          <w:szCs w:val="21"/>
        </w:rPr>
      </w:pPr>
    </w:p>
    <w:p w14:paraId="04D4BF76" w14:textId="77777777" w:rsidR="00EC51CE" w:rsidRPr="00D63144" w:rsidRDefault="00E84B5F" w:rsidP="00343CA9">
      <w:pPr>
        <w:pStyle w:val="Prrafodelista"/>
        <w:numPr>
          <w:ilvl w:val="0"/>
          <w:numId w:val="39"/>
        </w:numPr>
        <w:autoSpaceDE w:val="0"/>
        <w:autoSpaceDN w:val="0"/>
        <w:adjustRightInd w:val="0"/>
        <w:jc w:val="both"/>
        <w:rPr>
          <w:rFonts w:ascii="Abadi" w:hAnsi="Abadi" w:cs="ArialMT"/>
          <w:sz w:val="21"/>
          <w:szCs w:val="21"/>
        </w:rPr>
      </w:pPr>
      <w:r w:rsidRPr="00D63144">
        <w:rPr>
          <w:rFonts w:ascii="Abadi" w:hAnsi="Abadi" w:cs="ArialMT"/>
          <w:b/>
          <w:bCs/>
          <w:sz w:val="21"/>
          <w:szCs w:val="21"/>
        </w:rPr>
        <w:t>Impacto administrativo:</w:t>
      </w:r>
      <w:r w:rsidRPr="00D63144">
        <w:rPr>
          <w:rFonts w:ascii="Abadi" w:hAnsi="Abadi" w:cs="ArialMT"/>
          <w:sz w:val="21"/>
          <w:szCs w:val="21"/>
        </w:rPr>
        <w:t xml:space="preserve"> la presente iniciativa no propone la creación de nuevas estructuras</w:t>
      </w:r>
      <w:r w:rsidR="00EC51CE" w:rsidRPr="00D63144">
        <w:rPr>
          <w:rFonts w:ascii="Abadi" w:hAnsi="Abadi" w:cs="ArialMT"/>
          <w:sz w:val="21"/>
          <w:szCs w:val="21"/>
        </w:rPr>
        <w:t xml:space="preserve"> </w:t>
      </w:r>
      <w:r w:rsidRPr="00D63144">
        <w:rPr>
          <w:rFonts w:ascii="Abadi" w:hAnsi="Abadi" w:cs="ArialMT"/>
          <w:sz w:val="21"/>
          <w:szCs w:val="21"/>
        </w:rPr>
        <w:t>administrativas pero sí, la coordinación eficiente con el ámbito federal.</w:t>
      </w:r>
    </w:p>
    <w:p w14:paraId="219D0327" w14:textId="77777777" w:rsidR="00EC51CE" w:rsidRPr="00D63144" w:rsidRDefault="00E84B5F" w:rsidP="00343CA9">
      <w:pPr>
        <w:pStyle w:val="Prrafodelista"/>
        <w:numPr>
          <w:ilvl w:val="0"/>
          <w:numId w:val="39"/>
        </w:numPr>
        <w:autoSpaceDE w:val="0"/>
        <w:autoSpaceDN w:val="0"/>
        <w:adjustRightInd w:val="0"/>
        <w:jc w:val="both"/>
        <w:rPr>
          <w:rFonts w:ascii="Abadi" w:hAnsi="Abadi" w:cs="ArialMT"/>
          <w:sz w:val="21"/>
          <w:szCs w:val="21"/>
        </w:rPr>
      </w:pPr>
      <w:r w:rsidRPr="00D63144">
        <w:rPr>
          <w:rFonts w:ascii="Abadi" w:hAnsi="Abadi" w:cs="ArialMT"/>
          <w:b/>
          <w:bCs/>
          <w:sz w:val="21"/>
          <w:szCs w:val="21"/>
        </w:rPr>
        <w:t>Impacto presupuestario:</w:t>
      </w:r>
      <w:r w:rsidRPr="00D63144">
        <w:rPr>
          <w:rFonts w:ascii="Abadi" w:hAnsi="Abadi" w:cs="ArialMT"/>
          <w:sz w:val="21"/>
          <w:szCs w:val="21"/>
        </w:rPr>
        <w:t xml:space="preserve"> la presente iniciativa carece de impacto presupuestario toda vez que la Secretaría de Salud ya ejerce presupuesto en ese rubro.</w:t>
      </w:r>
    </w:p>
    <w:p w14:paraId="70DA6E74" w14:textId="76C93FAF" w:rsidR="00E84B5F" w:rsidRPr="00D63144" w:rsidRDefault="00E84B5F" w:rsidP="00343CA9">
      <w:pPr>
        <w:pStyle w:val="Prrafodelista"/>
        <w:numPr>
          <w:ilvl w:val="0"/>
          <w:numId w:val="39"/>
        </w:numPr>
        <w:autoSpaceDE w:val="0"/>
        <w:autoSpaceDN w:val="0"/>
        <w:adjustRightInd w:val="0"/>
        <w:jc w:val="both"/>
        <w:rPr>
          <w:rFonts w:ascii="Abadi" w:hAnsi="Abadi" w:cs="ArialMT"/>
          <w:sz w:val="21"/>
          <w:szCs w:val="21"/>
        </w:rPr>
      </w:pPr>
      <w:r w:rsidRPr="00D63144">
        <w:rPr>
          <w:rFonts w:ascii="Abadi" w:hAnsi="Abadi" w:cs="ArialMT"/>
          <w:b/>
          <w:bCs/>
          <w:sz w:val="21"/>
          <w:szCs w:val="21"/>
        </w:rPr>
        <w:t>Impacto social:</w:t>
      </w:r>
      <w:r w:rsidRPr="00D63144">
        <w:rPr>
          <w:rFonts w:ascii="Abadi" w:hAnsi="Abadi" w:cs="ArialMT"/>
          <w:sz w:val="21"/>
          <w:szCs w:val="21"/>
        </w:rPr>
        <w:t xml:space="preserve"> la presente iniciativa contribuye a una mayor cobertura de la salud pública en nuestro estado otorgando un bienestar social mediante la atención medica oportuna de los grupos etarios descritos en la presente iniciativa.</w:t>
      </w:r>
    </w:p>
    <w:p w14:paraId="06CC520E" w14:textId="77777777" w:rsidR="00E84B5F" w:rsidRPr="00D63144" w:rsidRDefault="00E84B5F" w:rsidP="00E84B5F">
      <w:pPr>
        <w:autoSpaceDE w:val="0"/>
        <w:autoSpaceDN w:val="0"/>
        <w:adjustRightInd w:val="0"/>
        <w:jc w:val="both"/>
        <w:rPr>
          <w:rFonts w:ascii="Abadi" w:hAnsi="Abadi" w:cs="ArialMT"/>
          <w:sz w:val="21"/>
          <w:szCs w:val="21"/>
        </w:rPr>
      </w:pPr>
    </w:p>
    <w:p w14:paraId="67748494" w14:textId="77777777" w:rsidR="00E84B5F" w:rsidRPr="00D63144" w:rsidRDefault="00E84B5F" w:rsidP="00EC51CE">
      <w:pPr>
        <w:autoSpaceDE w:val="0"/>
        <w:autoSpaceDN w:val="0"/>
        <w:adjustRightInd w:val="0"/>
        <w:jc w:val="center"/>
        <w:rPr>
          <w:rFonts w:ascii="Abadi" w:hAnsi="Abadi" w:cs="ArialMT"/>
          <w:b/>
          <w:bCs/>
          <w:sz w:val="21"/>
          <w:szCs w:val="21"/>
        </w:rPr>
      </w:pPr>
      <w:r w:rsidRPr="00D63144">
        <w:rPr>
          <w:rFonts w:ascii="Abadi" w:hAnsi="Abadi" w:cs="ArialMT"/>
          <w:b/>
          <w:bCs/>
          <w:sz w:val="21"/>
          <w:szCs w:val="21"/>
        </w:rPr>
        <w:t>Alineación con los objetivos de la Agenda 2030 para el Desarrollo Sostenible</w:t>
      </w:r>
    </w:p>
    <w:p w14:paraId="7C0F0305" w14:textId="77777777" w:rsidR="00E84B5F" w:rsidRPr="00D63144" w:rsidRDefault="00E84B5F" w:rsidP="00E84B5F">
      <w:pPr>
        <w:autoSpaceDE w:val="0"/>
        <w:autoSpaceDN w:val="0"/>
        <w:adjustRightInd w:val="0"/>
        <w:jc w:val="both"/>
        <w:rPr>
          <w:rFonts w:ascii="Abadi" w:hAnsi="Abadi" w:cs="ArialMT"/>
          <w:sz w:val="21"/>
          <w:szCs w:val="21"/>
        </w:rPr>
      </w:pPr>
    </w:p>
    <w:p w14:paraId="66F3CE2D"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Garantizar una vida sana y promover el bienestar en todas las edades es esencial para el desarrollo sostenible.</w:t>
      </w:r>
    </w:p>
    <w:p w14:paraId="32397BD3" w14:textId="77777777" w:rsidR="00E84B5F" w:rsidRPr="00D63144" w:rsidRDefault="00E84B5F" w:rsidP="00E84B5F">
      <w:pPr>
        <w:autoSpaceDE w:val="0"/>
        <w:autoSpaceDN w:val="0"/>
        <w:adjustRightInd w:val="0"/>
        <w:jc w:val="both"/>
        <w:rPr>
          <w:rFonts w:ascii="Abadi" w:hAnsi="Abadi" w:cs="ArialMT"/>
          <w:sz w:val="21"/>
          <w:szCs w:val="21"/>
        </w:rPr>
      </w:pPr>
    </w:p>
    <w:p w14:paraId="62502192" w14:textId="77777777" w:rsidR="00E84B5F" w:rsidRPr="00D63144" w:rsidRDefault="00E84B5F" w:rsidP="00E84B5F">
      <w:pPr>
        <w:autoSpaceDE w:val="0"/>
        <w:autoSpaceDN w:val="0"/>
        <w:adjustRightInd w:val="0"/>
        <w:jc w:val="both"/>
        <w:rPr>
          <w:rFonts w:ascii="Abadi" w:hAnsi="Abadi" w:cs="ArialMT"/>
          <w:b/>
          <w:bCs/>
          <w:sz w:val="21"/>
          <w:szCs w:val="21"/>
        </w:rPr>
      </w:pPr>
      <w:r w:rsidRPr="00D63144">
        <w:rPr>
          <w:rFonts w:ascii="Abadi" w:hAnsi="Abadi" w:cs="ArialMT"/>
          <w:b/>
          <w:bCs/>
          <w:sz w:val="21"/>
          <w:szCs w:val="21"/>
        </w:rPr>
        <w:t>Objetivo 3: Salud y bienestar.</w:t>
      </w:r>
    </w:p>
    <w:p w14:paraId="3724C8AA" w14:textId="77777777" w:rsidR="00E84B5F" w:rsidRPr="00D63144" w:rsidRDefault="00E84B5F" w:rsidP="00E84B5F">
      <w:pPr>
        <w:autoSpaceDE w:val="0"/>
        <w:autoSpaceDN w:val="0"/>
        <w:adjustRightInd w:val="0"/>
        <w:jc w:val="both"/>
        <w:rPr>
          <w:rFonts w:ascii="Abadi" w:hAnsi="Abadi" w:cs="ArialMT"/>
          <w:sz w:val="21"/>
          <w:szCs w:val="21"/>
        </w:rPr>
      </w:pPr>
    </w:p>
    <w:p w14:paraId="1932E772"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Específicamente en las siguientes metas:</w:t>
      </w:r>
    </w:p>
    <w:p w14:paraId="50E5B10B" w14:textId="77777777" w:rsidR="00E84B5F" w:rsidRPr="00D63144" w:rsidRDefault="00E84B5F" w:rsidP="00E84B5F">
      <w:pPr>
        <w:autoSpaceDE w:val="0"/>
        <w:autoSpaceDN w:val="0"/>
        <w:adjustRightInd w:val="0"/>
        <w:jc w:val="both"/>
        <w:rPr>
          <w:rFonts w:ascii="Abadi" w:hAnsi="Abadi" w:cs="ArialMT"/>
          <w:sz w:val="21"/>
          <w:szCs w:val="21"/>
        </w:rPr>
      </w:pPr>
    </w:p>
    <w:p w14:paraId="16C5C86B" w14:textId="77777777" w:rsidR="00E84B5F" w:rsidRPr="00D63144" w:rsidRDefault="00E84B5F" w:rsidP="00EC51CE">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3.c</w:t>
      </w:r>
      <w:r w:rsidRPr="00D63144">
        <w:rPr>
          <w:rFonts w:ascii="Abadi" w:hAnsi="Abadi" w:cs="ArialMT"/>
          <w:sz w:val="21"/>
          <w:szCs w:val="21"/>
        </w:rPr>
        <w:tab/>
        <w:t>Aumentar sustancialmente la financiación de la salud y la contratación, el desarrollo, la capacitación y la retención del personal sanitario en los países en desarrollo, especialmente en los países menos adelantados y los pequeños Estados insulares en desarrollo.</w:t>
      </w:r>
    </w:p>
    <w:p w14:paraId="3CA6670B" w14:textId="77777777" w:rsidR="00E84B5F" w:rsidRPr="00D63144" w:rsidRDefault="00E84B5F" w:rsidP="00EC51CE">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3.d</w:t>
      </w:r>
      <w:r w:rsidRPr="00D63144">
        <w:rPr>
          <w:rFonts w:ascii="Abadi" w:hAnsi="Abadi" w:cs="ArialMT"/>
          <w:sz w:val="21"/>
          <w:szCs w:val="21"/>
        </w:rPr>
        <w:tab/>
        <w:t>Reforzar la capacidad de todos los países, en particular los países en desarrollo, en materia de alerta temprana, reducción de riesgos y gestión de los riesgos para la salud nacional y mundial.</w:t>
      </w:r>
    </w:p>
    <w:p w14:paraId="56CBF759" w14:textId="77777777" w:rsidR="00E84B5F" w:rsidRPr="00D63144" w:rsidRDefault="00E84B5F" w:rsidP="00E84B5F">
      <w:pPr>
        <w:autoSpaceDE w:val="0"/>
        <w:autoSpaceDN w:val="0"/>
        <w:adjustRightInd w:val="0"/>
        <w:jc w:val="both"/>
        <w:rPr>
          <w:rFonts w:ascii="Abadi" w:hAnsi="Abadi" w:cs="ArialMT"/>
          <w:sz w:val="21"/>
          <w:szCs w:val="21"/>
        </w:rPr>
      </w:pPr>
    </w:p>
    <w:p w14:paraId="2867089B" w14:textId="77777777" w:rsidR="00EC51CE" w:rsidRPr="00D63144" w:rsidRDefault="00EC51CE" w:rsidP="00EC51CE">
      <w:pPr>
        <w:autoSpaceDE w:val="0"/>
        <w:autoSpaceDN w:val="0"/>
        <w:adjustRightInd w:val="0"/>
        <w:jc w:val="center"/>
        <w:rPr>
          <w:rFonts w:ascii="Abadi" w:hAnsi="Abadi" w:cs="ArialMT"/>
          <w:b/>
          <w:bCs/>
          <w:sz w:val="21"/>
          <w:szCs w:val="21"/>
        </w:rPr>
      </w:pPr>
    </w:p>
    <w:p w14:paraId="69DCEFD0" w14:textId="54F72583" w:rsidR="00E84B5F" w:rsidRPr="00D63144" w:rsidRDefault="00E84B5F" w:rsidP="00EC51CE">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Decreto</w:t>
      </w:r>
    </w:p>
    <w:p w14:paraId="5BE900A3" w14:textId="77777777" w:rsidR="00E84B5F" w:rsidRPr="00D63144" w:rsidRDefault="00E84B5F" w:rsidP="00E84B5F">
      <w:pPr>
        <w:autoSpaceDE w:val="0"/>
        <w:autoSpaceDN w:val="0"/>
        <w:adjustRightInd w:val="0"/>
        <w:jc w:val="both"/>
        <w:rPr>
          <w:rFonts w:ascii="Abadi" w:hAnsi="Abadi" w:cs="ArialMT"/>
          <w:sz w:val="21"/>
          <w:szCs w:val="21"/>
        </w:rPr>
      </w:pPr>
    </w:p>
    <w:p w14:paraId="14CA53A5"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 xml:space="preserve">Artículo </w:t>
      </w:r>
      <w:proofErr w:type="gramStart"/>
      <w:r w:rsidRPr="00D63144">
        <w:rPr>
          <w:rFonts w:ascii="Abadi" w:hAnsi="Abadi" w:cs="ArialMT"/>
          <w:b/>
          <w:bCs/>
          <w:sz w:val="21"/>
          <w:szCs w:val="21"/>
        </w:rPr>
        <w:t>Único</w:t>
      </w:r>
      <w:r w:rsidRPr="00D63144">
        <w:rPr>
          <w:rFonts w:ascii="Abadi" w:hAnsi="Abadi" w:cs="ArialMT"/>
          <w:sz w:val="21"/>
          <w:szCs w:val="21"/>
        </w:rPr>
        <w:t>.-</w:t>
      </w:r>
      <w:proofErr w:type="gramEnd"/>
      <w:r w:rsidRPr="00D63144">
        <w:rPr>
          <w:rFonts w:ascii="Abadi" w:hAnsi="Abadi" w:cs="ArialMT"/>
          <w:sz w:val="21"/>
          <w:szCs w:val="21"/>
        </w:rPr>
        <w:t xml:space="preserve"> Se crea la Ley para la Detección y Tratamiento Oportuno e Integral del Cáncer en la infancia y la adolescencia para el Estado de Guanajuato, para quedar en los siguientes términos:</w:t>
      </w:r>
    </w:p>
    <w:p w14:paraId="30F7A008"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26C32A80" w14:textId="13C1D902" w:rsidR="00E84B5F" w:rsidRPr="00D63144" w:rsidRDefault="00E84B5F" w:rsidP="00EC51CE">
      <w:pPr>
        <w:autoSpaceDE w:val="0"/>
        <w:autoSpaceDN w:val="0"/>
        <w:adjustRightInd w:val="0"/>
        <w:jc w:val="center"/>
        <w:rPr>
          <w:rFonts w:ascii="Abadi" w:hAnsi="Abadi" w:cs="ArialMT"/>
          <w:b/>
          <w:bCs/>
          <w:sz w:val="21"/>
          <w:szCs w:val="21"/>
        </w:rPr>
      </w:pPr>
      <w:r w:rsidRPr="00D63144">
        <w:rPr>
          <w:rFonts w:ascii="Abadi" w:hAnsi="Abadi" w:cs="ArialMT"/>
          <w:b/>
          <w:bCs/>
          <w:sz w:val="21"/>
          <w:szCs w:val="21"/>
        </w:rPr>
        <w:t>Ley para la Detección y Tratamiento Oportuno e Integral del Cáncer en la infancia y la adolescencia para el Estado de Guanajuato</w:t>
      </w:r>
    </w:p>
    <w:p w14:paraId="0EAEEC22" w14:textId="77777777" w:rsidR="00EC51CE" w:rsidRPr="00D63144" w:rsidRDefault="00EC51CE" w:rsidP="00EC51CE">
      <w:pPr>
        <w:autoSpaceDE w:val="0"/>
        <w:autoSpaceDN w:val="0"/>
        <w:adjustRightInd w:val="0"/>
        <w:jc w:val="center"/>
        <w:rPr>
          <w:rFonts w:ascii="Abadi" w:hAnsi="Abadi" w:cs="ArialMT"/>
          <w:b/>
          <w:bCs/>
          <w:sz w:val="21"/>
          <w:szCs w:val="21"/>
        </w:rPr>
      </w:pPr>
    </w:p>
    <w:p w14:paraId="5677E93E" w14:textId="77777777" w:rsidR="00EC51CE" w:rsidRPr="00D63144" w:rsidRDefault="00E84B5F" w:rsidP="00EC51CE">
      <w:pPr>
        <w:autoSpaceDE w:val="0"/>
        <w:autoSpaceDN w:val="0"/>
        <w:adjustRightInd w:val="0"/>
        <w:jc w:val="center"/>
        <w:rPr>
          <w:rFonts w:ascii="Abadi" w:hAnsi="Abadi" w:cs="ArialMT"/>
          <w:b/>
          <w:bCs/>
          <w:sz w:val="21"/>
          <w:szCs w:val="21"/>
        </w:rPr>
      </w:pPr>
      <w:r w:rsidRPr="00D63144">
        <w:rPr>
          <w:rFonts w:ascii="Abadi" w:hAnsi="Abadi" w:cs="ArialMT"/>
          <w:b/>
          <w:bCs/>
          <w:sz w:val="21"/>
          <w:szCs w:val="21"/>
        </w:rPr>
        <w:t xml:space="preserve">Título Primero </w:t>
      </w:r>
    </w:p>
    <w:p w14:paraId="284230F1" w14:textId="67A595FD" w:rsidR="00E84B5F" w:rsidRPr="00D63144" w:rsidRDefault="00E84B5F" w:rsidP="00EC51CE">
      <w:pPr>
        <w:autoSpaceDE w:val="0"/>
        <w:autoSpaceDN w:val="0"/>
        <w:adjustRightInd w:val="0"/>
        <w:jc w:val="center"/>
        <w:rPr>
          <w:rFonts w:ascii="Abadi" w:hAnsi="Abadi" w:cs="ArialMT"/>
          <w:b/>
          <w:bCs/>
          <w:sz w:val="21"/>
          <w:szCs w:val="21"/>
        </w:rPr>
      </w:pPr>
      <w:r w:rsidRPr="00D63144">
        <w:rPr>
          <w:rFonts w:ascii="Abadi" w:hAnsi="Abadi" w:cs="ArialMT"/>
          <w:b/>
          <w:bCs/>
          <w:sz w:val="21"/>
          <w:szCs w:val="21"/>
        </w:rPr>
        <w:t>Disposiciones Generales</w:t>
      </w:r>
    </w:p>
    <w:p w14:paraId="0E5C491F" w14:textId="77777777" w:rsidR="00E84B5F" w:rsidRPr="00D63144" w:rsidRDefault="00E84B5F" w:rsidP="00E84B5F">
      <w:pPr>
        <w:autoSpaceDE w:val="0"/>
        <w:autoSpaceDN w:val="0"/>
        <w:adjustRightInd w:val="0"/>
        <w:jc w:val="both"/>
        <w:rPr>
          <w:rFonts w:ascii="Abadi" w:hAnsi="Abadi" w:cs="ArialMT"/>
          <w:sz w:val="21"/>
          <w:szCs w:val="21"/>
        </w:rPr>
      </w:pPr>
    </w:p>
    <w:p w14:paraId="0199B911" w14:textId="77777777" w:rsidR="00EC51CE" w:rsidRPr="00D63144" w:rsidRDefault="00E84B5F" w:rsidP="00EC51CE">
      <w:pPr>
        <w:autoSpaceDE w:val="0"/>
        <w:autoSpaceDN w:val="0"/>
        <w:adjustRightInd w:val="0"/>
        <w:jc w:val="center"/>
        <w:rPr>
          <w:rFonts w:ascii="Abadi" w:hAnsi="Abadi" w:cs="ArialMT"/>
          <w:b/>
          <w:bCs/>
          <w:sz w:val="21"/>
          <w:szCs w:val="21"/>
        </w:rPr>
      </w:pPr>
      <w:r w:rsidRPr="00D63144">
        <w:rPr>
          <w:rFonts w:ascii="Abadi" w:hAnsi="Abadi" w:cs="ArialMT"/>
          <w:b/>
          <w:bCs/>
          <w:sz w:val="21"/>
          <w:szCs w:val="21"/>
        </w:rPr>
        <w:t xml:space="preserve">Capítulo I </w:t>
      </w:r>
    </w:p>
    <w:p w14:paraId="056DED40" w14:textId="513BE3A9" w:rsidR="00E84B5F" w:rsidRPr="00D63144" w:rsidRDefault="00E84B5F" w:rsidP="00EC51CE">
      <w:pPr>
        <w:autoSpaceDE w:val="0"/>
        <w:autoSpaceDN w:val="0"/>
        <w:adjustRightInd w:val="0"/>
        <w:jc w:val="center"/>
        <w:rPr>
          <w:rFonts w:ascii="Abadi" w:hAnsi="Abadi" w:cs="ArialMT"/>
          <w:b/>
          <w:bCs/>
          <w:sz w:val="21"/>
          <w:szCs w:val="21"/>
        </w:rPr>
      </w:pPr>
      <w:r w:rsidRPr="00D63144">
        <w:rPr>
          <w:rFonts w:ascii="Abadi" w:hAnsi="Abadi" w:cs="ArialMT"/>
          <w:b/>
          <w:bCs/>
          <w:sz w:val="21"/>
          <w:szCs w:val="21"/>
        </w:rPr>
        <w:t>Disposiciones Generales</w:t>
      </w:r>
    </w:p>
    <w:p w14:paraId="6533728F" w14:textId="77777777" w:rsidR="00E84B5F" w:rsidRPr="00D63144" w:rsidRDefault="00E84B5F" w:rsidP="00E84B5F">
      <w:pPr>
        <w:autoSpaceDE w:val="0"/>
        <w:autoSpaceDN w:val="0"/>
        <w:adjustRightInd w:val="0"/>
        <w:jc w:val="both"/>
        <w:rPr>
          <w:rFonts w:ascii="Abadi" w:hAnsi="Abadi" w:cs="ArialMT"/>
          <w:sz w:val="21"/>
          <w:szCs w:val="21"/>
        </w:rPr>
      </w:pPr>
    </w:p>
    <w:p w14:paraId="7AF1C996" w14:textId="77777777" w:rsidR="00EC51CE" w:rsidRPr="00D63144" w:rsidRDefault="00E84B5F" w:rsidP="00EC51CE">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Del objeto </w:t>
      </w:r>
    </w:p>
    <w:p w14:paraId="01BECEA4" w14:textId="015D7F85"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1.</w:t>
      </w:r>
      <w:r w:rsidRPr="00D63144">
        <w:rPr>
          <w:rFonts w:ascii="Abadi" w:hAnsi="Abadi" w:cs="ArialMT"/>
          <w:sz w:val="21"/>
          <w:szCs w:val="21"/>
        </w:rPr>
        <w:t xml:space="preserve"> La presente Ley es de orden público, interés social y observancia general en el Estado de Guanajuato, tiene por objeto establecer lineamientos para la oportuna prevención, diagnóstico, registro, atención integral, tratamiento, rehabilitación, control y seguimiento así como la vigilancia epidemiológica del cáncer en la infancia y la adolescencia, para contribuir en la disminución de la mortalidad, con estándares de calidad, seguridad y control que garanticen el derecho a la salud consagrado en el artículo 4o de la Constitución Política de los Estados Unidos Mexicanos y en las disposiciones Generales en materia de salud y detección oportuna del cáncer.</w:t>
      </w:r>
    </w:p>
    <w:p w14:paraId="100A1244" w14:textId="77777777" w:rsidR="00E84B5F" w:rsidRPr="00D63144" w:rsidRDefault="00E84B5F" w:rsidP="00E84B5F">
      <w:pPr>
        <w:autoSpaceDE w:val="0"/>
        <w:autoSpaceDN w:val="0"/>
        <w:adjustRightInd w:val="0"/>
        <w:jc w:val="both"/>
        <w:rPr>
          <w:rFonts w:ascii="Abadi" w:hAnsi="Abadi" w:cs="ArialMT"/>
          <w:sz w:val="21"/>
          <w:szCs w:val="21"/>
        </w:rPr>
      </w:pPr>
    </w:p>
    <w:p w14:paraId="3D6F4D3E" w14:textId="77777777" w:rsidR="00EC51CE" w:rsidRPr="00D63144" w:rsidRDefault="00E84B5F" w:rsidP="00EC51CE">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        Obligatoriedad </w:t>
      </w:r>
    </w:p>
    <w:p w14:paraId="6D6B8661" w14:textId="01AF4ED1"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2</w:t>
      </w:r>
      <w:r w:rsidRPr="00D63144">
        <w:rPr>
          <w:rFonts w:ascii="Abadi" w:hAnsi="Abadi" w:cs="ArialMT"/>
          <w:sz w:val="21"/>
          <w:szCs w:val="21"/>
        </w:rPr>
        <w:t>. Las disposiciones de la presente Ley son de observancia general obligatoria para todo el personal de salud, profesional y auxiliar de las instituciones de salud pública, prestadores de servicios de asistencia social del Estado de Guanajuato así como para personas físicas o morales que coadyuven en la prestación de servicios en los términos y modalidades establecidas en la presente Ley.</w:t>
      </w:r>
    </w:p>
    <w:p w14:paraId="510F399D" w14:textId="77777777" w:rsidR="00E84B5F" w:rsidRPr="00D63144" w:rsidRDefault="00E84B5F" w:rsidP="00E84B5F">
      <w:pPr>
        <w:autoSpaceDE w:val="0"/>
        <w:autoSpaceDN w:val="0"/>
        <w:adjustRightInd w:val="0"/>
        <w:jc w:val="both"/>
        <w:rPr>
          <w:rFonts w:ascii="Abadi" w:hAnsi="Abadi" w:cs="ArialMT"/>
          <w:sz w:val="21"/>
          <w:szCs w:val="21"/>
        </w:rPr>
      </w:pPr>
    </w:p>
    <w:p w14:paraId="502217F9" w14:textId="77777777" w:rsidR="00E84B5F" w:rsidRPr="00D63144" w:rsidRDefault="00E84B5F" w:rsidP="00EC51CE">
      <w:pPr>
        <w:autoSpaceDE w:val="0"/>
        <w:autoSpaceDN w:val="0"/>
        <w:adjustRightInd w:val="0"/>
        <w:jc w:val="right"/>
        <w:rPr>
          <w:rFonts w:ascii="Abadi" w:hAnsi="Abadi" w:cs="ArialMT"/>
          <w:b/>
          <w:bCs/>
          <w:i/>
          <w:iCs/>
          <w:sz w:val="21"/>
          <w:szCs w:val="21"/>
        </w:rPr>
      </w:pPr>
      <w:r w:rsidRPr="00D63144">
        <w:rPr>
          <w:rFonts w:ascii="Abadi" w:hAnsi="Abadi" w:cs="ArialMT"/>
          <w:sz w:val="21"/>
          <w:szCs w:val="21"/>
        </w:rPr>
        <w:t xml:space="preserve">       </w:t>
      </w:r>
      <w:r w:rsidRPr="00D63144">
        <w:rPr>
          <w:rFonts w:ascii="Abadi" w:hAnsi="Abadi" w:cs="ArialMT"/>
          <w:b/>
          <w:bCs/>
          <w:i/>
          <w:iCs/>
          <w:sz w:val="21"/>
          <w:szCs w:val="21"/>
        </w:rPr>
        <w:t>Glosario</w:t>
      </w:r>
    </w:p>
    <w:p w14:paraId="46FE806D"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3.</w:t>
      </w:r>
      <w:r w:rsidRPr="00D63144">
        <w:rPr>
          <w:rFonts w:ascii="Abadi" w:hAnsi="Abadi" w:cs="ArialMT"/>
          <w:sz w:val="21"/>
          <w:szCs w:val="21"/>
        </w:rPr>
        <w:t xml:space="preserve"> Para los efectos de esta ley se entenderá por:</w:t>
      </w:r>
    </w:p>
    <w:p w14:paraId="2C91AEB0" w14:textId="77777777" w:rsidR="00E84B5F" w:rsidRPr="00D63144" w:rsidRDefault="00E84B5F" w:rsidP="00E84B5F">
      <w:pPr>
        <w:autoSpaceDE w:val="0"/>
        <w:autoSpaceDN w:val="0"/>
        <w:adjustRightInd w:val="0"/>
        <w:jc w:val="both"/>
        <w:rPr>
          <w:rFonts w:ascii="Abadi" w:hAnsi="Abadi" w:cs="ArialMT"/>
          <w:sz w:val="21"/>
          <w:szCs w:val="21"/>
        </w:rPr>
      </w:pPr>
    </w:p>
    <w:p w14:paraId="6BE76EA6" w14:textId="7C34D987" w:rsidR="00E84B5F" w:rsidRPr="00D63144" w:rsidRDefault="00E84B5F" w:rsidP="00343CA9">
      <w:pPr>
        <w:pStyle w:val="Prrafodelista"/>
        <w:numPr>
          <w:ilvl w:val="0"/>
          <w:numId w:val="40"/>
        </w:numPr>
        <w:autoSpaceDE w:val="0"/>
        <w:autoSpaceDN w:val="0"/>
        <w:adjustRightInd w:val="0"/>
        <w:jc w:val="both"/>
        <w:rPr>
          <w:rFonts w:ascii="Abadi" w:hAnsi="Abadi" w:cs="ArialMT"/>
          <w:sz w:val="21"/>
          <w:szCs w:val="21"/>
        </w:rPr>
      </w:pPr>
      <w:r w:rsidRPr="00D63144">
        <w:rPr>
          <w:rFonts w:ascii="Abadi" w:hAnsi="Abadi" w:cs="ArialMT"/>
          <w:b/>
          <w:bCs/>
          <w:sz w:val="21"/>
          <w:szCs w:val="21"/>
        </w:rPr>
        <w:t>Agentes de Ayuda</w:t>
      </w:r>
      <w:r w:rsidRPr="00D63144">
        <w:rPr>
          <w:rFonts w:ascii="Abadi" w:hAnsi="Abadi" w:cs="ArialMT"/>
          <w:sz w:val="21"/>
          <w:szCs w:val="21"/>
        </w:rPr>
        <w:t>. Asociaciones</w:t>
      </w:r>
      <w:r w:rsidR="00EC51CE" w:rsidRPr="00D63144">
        <w:rPr>
          <w:rFonts w:ascii="Abadi" w:hAnsi="Abadi" w:cs="ArialMT"/>
          <w:sz w:val="21"/>
          <w:szCs w:val="21"/>
        </w:rPr>
        <w:t xml:space="preserve"> </w:t>
      </w:r>
      <w:r w:rsidRPr="00D63144">
        <w:rPr>
          <w:rFonts w:ascii="Abadi" w:hAnsi="Abadi" w:cs="ArialMT"/>
          <w:sz w:val="21"/>
          <w:szCs w:val="21"/>
        </w:rPr>
        <w:t>Civiles, Organismos No Gubernamentales, personas Físicas y Jurídicas, estatales, nacionales o internacionales, que de manera voluntaria ejercen de forma honorífica y altruista, acciones que contribuyen económica, académica, material o humanamente en la satisfacción de los requerimientos y necesidades de los niños, niñas y adolescentes con diagnóstico de cáncer;</w:t>
      </w:r>
    </w:p>
    <w:p w14:paraId="288CD8E8" w14:textId="77777777" w:rsidR="00E84B5F" w:rsidRPr="00D63144" w:rsidRDefault="00E84B5F" w:rsidP="00E84B5F">
      <w:pPr>
        <w:autoSpaceDE w:val="0"/>
        <w:autoSpaceDN w:val="0"/>
        <w:adjustRightInd w:val="0"/>
        <w:jc w:val="both"/>
        <w:rPr>
          <w:rFonts w:ascii="Abadi" w:hAnsi="Abadi" w:cs="ArialMT"/>
          <w:sz w:val="21"/>
          <w:szCs w:val="21"/>
        </w:rPr>
      </w:pPr>
    </w:p>
    <w:p w14:paraId="3E6A06D6" w14:textId="77777777" w:rsidR="00E84B5F" w:rsidRPr="00D63144" w:rsidRDefault="00E84B5F" w:rsidP="00EC51CE">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II.</w:t>
      </w:r>
      <w:r w:rsidRPr="00D63144">
        <w:rPr>
          <w:rFonts w:ascii="Abadi" w:hAnsi="Abadi" w:cs="ArialMT"/>
          <w:sz w:val="21"/>
          <w:szCs w:val="21"/>
        </w:rPr>
        <w:tab/>
      </w:r>
      <w:r w:rsidRPr="00D63144">
        <w:rPr>
          <w:rFonts w:ascii="Abadi" w:hAnsi="Abadi" w:cs="ArialMT"/>
          <w:b/>
          <w:bCs/>
          <w:sz w:val="21"/>
          <w:szCs w:val="21"/>
        </w:rPr>
        <w:t>Centro</w:t>
      </w:r>
      <w:r w:rsidRPr="00D63144">
        <w:rPr>
          <w:rFonts w:ascii="Abadi" w:hAnsi="Abadi" w:cs="ArialMT"/>
          <w:sz w:val="21"/>
          <w:szCs w:val="21"/>
        </w:rPr>
        <w:t xml:space="preserve">. Centro </w:t>
      </w:r>
      <w:proofErr w:type="spellStart"/>
      <w:r w:rsidRPr="00D63144">
        <w:rPr>
          <w:rFonts w:ascii="Abadi" w:hAnsi="Abadi" w:cs="ArialMT"/>
          <w:sz w:val="21"/>
          <w:szCs w:val="21"/>
        </w:rPr>
        <w:t>lntegral</w:t>
      </w:r>
      <w:proofErr w:type="spellEnd"/>
      <w:r w:rsidRPr="00D63144">
        <w:rPr>
          <w:rFonts w:ascii="Abadi" w:hAnsi="Abadi" w:cs="ArialMT"/>
          <w:sz w:val="21"/>
          <w:szCs w:val="21"/>
        </w:rPr>
        <w:t xml:space="preserve"> de Atención al Cáncer </w:t>
      </w:r>
      <w:proofErr w:type="spellStart"/>
      <w:r w:rsidRPr="00D63144">
        <w:rPr>
          <w:rFonts w:ascii="Abadi" w:hAnsi="Abadi" w:cs="ArialMT"/>
          <w:sz w:val="21"/>
          <w:szCs w:val="21"/>
        </w:rPr>
        <w:t>lnfantil</w:t>
      </w:r>
      <w:proofErr w:type="spellEnd"/>
      <w:r w:rsidRPr="00D63144">
        <w:rPr>
          <w:rFonts w:ascii="Abadi" w:hAnsi="Abadi" w:cs="ArialMT"/>
          <w:sz w:val="21"/>
          <w:szCs w:val="21"/>
        </w:rPr>
        <w:t xml:space="preserve"> del Estado en el Hospital Celaya y/o en el Hospital General León.</w:t>
      </w:r>
    </w:p>
    <w:p w14:paraId="04950F52" w14:textId="77777777" w:rsidR="00E84B5F" w:rsidRPr="00D63144" w:rsidRDefault="00E84B5F" w:rsidP="00E84B5F">
      <w:pPr>
        <w:autoSpaceDE w:val="0"/>
        <w:autoSpaceDN w:val="0"/>
        <w:adjustRightInd w:val="0"/>
        <w:jc w:val="both"/>
        <w:rPr>
          <w:rFonts w:ascii="Abadi" w:hAnsi="Abadi" w:cs="ArialMT"/>
          <w:sz w:val="21"/>
          <w:szCs w:val="21"/>
        </w:rPr>
      </w:pPr>
    </w:p>
    <w:p w14:paraId="370B37BB" w14:textId="696B5C19" w:rsidR="00E84B5F" w:rsidRPr="00D63144" w:rsidRDefault="00E84B5F" w:rsidP="00EC51CE">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III.</w:t>
      </w:r>
      <w:r w:rsidRPr="00D63144">
        <w:rPr>
          <w:rFonts w:ascii="Abadi" w:hAnsi="Abadi" w:cs="ArialMT"/>
          <w:sz w:val="21"/>
          <w:szCs w:val="21"/>
        </w:rPr>
        <w:tab/>
      </w:r>
      <w:r w:rsidRPr="00D63144">
        <w:rPr>
          <w:rFonts w:ascii="Abadi" w:hAnsi="Abadi" w:cs="ArialMT"/>
          <w:b/>
          <w:bCs/>
          <w:sz w:val="21"/>
          <w:szCs w:val="21"/>
        </w:rPr>
        <w:t>Detección y Tratamiento Oportuno</w:t>
      </w:r>
      <w:r w:rsidRPr="00D63144">
        <w:rPr>
          <w:rFonts w:ascii="Abadi" w:hAnsi="Abadi" w:cs="ArialMT"/>
          <w:sz w:val="21"/>
          <w:szCs w:val="21"/>
        </w:rPr>
        <w:t>. Las acciones realizadas en el menor tiempo posible por el personal de salud al que hace referencia este ordenamiento, en las</w:t>
      </w:r>
      <w:r w:rsidR="00EC51CE" w:rsidRPr="00D63144">
        <w:rPr>
          <w:rFonts w:ascii="Abadi" w:hAnsi="Abadi" w:cs="ArialMT"/>
          <w:sz w:val="21"/>
          <w:szCs w:val="21"/>
        </w:rPr>
        <w:t xml:space="preserve"> </w:t>
      </w:r>
      <w:r w:rsidRPr="00D63144">
        <w:rPr>
          <w:rFonts w:ascii="Abadi" w:hAnsi="Abadi" w:cs="ArialMT"/>
          <w:sz w:val="21"/>
          <w:szCs w:val="21"/>
        </w:rPr>
        <w:t>circunstancias apremiantes para producir el efecto deseado y buscado por la ley, tomando en cuenta la disponibilidad y capacidad de recursos técnicos y humanos;</w:t>
      </w:r>
    </w:p>
    <w:p w14:paraId="4465E2DD" w14:textId="77777777" w:rsidR="00E84B5F" w:rsidRPr="00D63144" w:rsidRDefault="00E84B5F" w:rsidP="00E84B5F">
      <w:pPr>
        <w:autoSpaceDE w:val="0"/>
        <w:autoSpaceDN w:val="0"/>
        <w:adjustRightInd w:val="0"/>
        <w:jc w:val="both"/>
        <w:rPr>
          <w:rFonts w:ascii="Abadi" w:hAnsi="Abadi" w:cs="ArialMT"/>
          <w:sz w:val="21"/>
          <w:szCs w:val="21"/>
        </w:rPr>
      </w:pPr>
    </w:p>
    <w:p w14:paraId="13BD21A3" w14:textId="77777777" w:rsidR="00E84B5F" w:rsidRPr="00D63144" w:rsidRDefault="00E84B5F" w:rsidP="00EC51CE">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IV.</w:t>
      </w:r>
      <w:r w:rsidRPr="00D63144">
        <w:rPr>
          <w:rFonts w:ascii="Abadi" w:hAnsi="Abadi" w:cs="ArialMT"/>
          <w:sz w:val="21"/>
          <w:szCs w:val="21"/>
        </w:rPr>
        <w:tab/>
      </w:r>
      <w:r w:rsidRPr="00D63144">
        <w:rPr>
          <w:rFonts w:ascii="Abadi" w:hAnsi="Abadi" w:cs="ArialMT"/>
          <w:b/>
          <w:bCs/>
          <w:sz w:val="21"/>
          <w:szCs w:val="21"/>
        </w:rPr>
        <w:t>Estrella Dorada</w:t>
      </w:r>
      <w:r w:rsidRPr="00D63144">
        <w:rPr>
          <w:rFonts w:ascii="Abadi" w:hAnsi="Abadi" w:cs="ArialMT"/>
          <w:sz w:val="21"/>
          <w:szCs w:val="21"/>
        </w:rPr>
        <w:t>. Reconocimiento anual que se otorga a las personas físicas y jurídicas que de manera sobresaliente contribuyen a fortalecer acciones de prevención, atención, tratamiento, acompañamiento, de intercambio de conocimientos, investigación, o la obtención de insumos, materiales y recursos, con la finalidad de mejorar la calidad de vida de los menores con cáncer y sus familias;</w:t>
      </w:r>
    </w:p>
    <w:p w14:paraId="59C02C86" w14:textId="77777777" w:rsidR="00E84B5F" w:rsidRPr="00D63144" w:rsidRDefault="00E84B5F" w:rsidP="00E84B5F">
      <w:pPr>
        <w:autoSpaceDE w:val="0"/>
        <w:autoSpaceDN w:val="0"/>
        <w:adjustRightInd w:val="0"/>
        <w:jc w:val="both"/>
        <w:rPr>
          <w:rFonts w:ascii="Abadi" w:hAnsi="Abadi" w:cs="ArialMT"/>
          <w:sz w:val="21"/>
          <w:szCs w:val="21"/>
        </w:rPr>
      </w:pPr>
    </w:p>
    <w:p w14:paraId="3C79075E" w14:textId="77777777" w:rsidR="00E84B5F" w:rsidRPr="00D63144" w:rsidRDefault="00E84B5F" w:rsidP="00EC51CE">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V.</w:t>
      </w:r>
      <w:r w:rsidRPr="00D63144">
        <w:rPr>
          <w:rFonts w:ascii="Abadi" w:hAnsi="Abadi" w:cs="ArialMT"/>
          <w:sz w:val="21"/>
          <w:szCs w:val="21"/>
        </w:rPr>
        <w:tab/>
      </w:r>
      <w:r w:rsidRPr="00D63144">
        <w:rPr>
          <w:rFonts w:ascii="Abadi" w:hAnsi="Abadi" w:cs="ArialMT"/>
          <w:b/>
          <w:bCs/>
          <w:sz w:val="21"/>
          <w:szCs w:val="21"/>
        </w:rPr>
        <w:t>Frente de Colaboración</w:t>
      </w:r>
      <w:r w:rsidRPr="00D63144">
        <w:rPr>
          <w:rFonts w:ascii="Abadi" w:hAnsi="Abadi" w:cs="ArialMT"/>
          <w:sz w:val="21"/>
          <w:szCs w:val="21"/>
        </w:rPr>
        <w:t>. El frente de colaboración contra el cáncer infantil y la adolescencia del Estado de Guanajuato;</w:t>
      </w:r>
    </w:p>
    <w:p w14:paraId="0A1C7034" w14:textId="77777777" w:rsidR="00E84B5F" w:rsidRPr="00D63144" w:rsidRDefault="00E84B5F" w:rsidP="00E84B5F">
      <w:pPr>
        <w:autoSpaceDE w:val="0"/>
        <w:autoSpaceDN w:val="0"/>
        <w:adjustRightInd w:val="0"/>
        <w:jc w:val="both"/>
        <w:rPr>
          <w:rFonts w:ascii="Abadi" w:hAnsi="Abadi" w:cs="ArialMT"/>
          <w:sz w:val="21"/>
          <w:szCs w:val="21"/>
        </w:rPr>
      </w:pPr>
    </w:p>
    <w:p w14:paraId="00092036" w14:textId="77777777" w:rsidR="00E84B5F" w:rsidRPr="00D63144" w:rsidRDefault="00E84B5F" w:rsidP="00EC51CE">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VI.</w:t>
      </w:r>
      <w:r w:rsidRPr="00D63144">
        <w:rPr>
          <w:rFonts w:ascii="Abadi" w:hAnsi="Abadi" w:cs="ArialMT"/>
          <w:sz w:val="21"/>
          <w:szCs w:val="21"/>
        </w:rPr>
        <w:tab/>
      </w:r>
      <w:r w:rsidRPr="00D63144">
        <w:rPr>
          <w:rFonts w:ascii="Abadi" w:hAnsi="Abadi" w:cs="ArialMT"/>
          <w:b/>
          <w:bCs/>
          <w:sz w:val="21"/>
          <w:szCs w:val="21"/>
        </w:rPr>
        <w:t>Programa</w:t>
      </w:r>
      <w:r w:rsidRPr="00D63144">
        <w:rPr>
          <w:rFonts w:ascii="Abadi" w:hAnsi="Abadi" w:cs="ArialMT"/>
          <w:sz w:val="21"/>
          <w:szCs w:val="21"/>
        </w:rPr>
        <w:t>. Programa Estatal de Cobertura Universal para la infancia y adolescencia con cáncer;</w:t>
      </w:r>
    </w:p>
    <w:p w14:paraId="79255642" w14:textId="77777777" w:rsidR="00E84B5F" w:rsidRPr="00D63144" w:rsidRDefault="00E84B5F" w:rsidP="00E84B5F">
      <w:pPr>
        <w:autoSpaceDE w:val="0"/>
        <w:autoSpaceDN w:val="0"/>
        <w:adjustRightInd w:val="0"/>
        <w:jc w:val="both"/>
        <w:rPr>
          <w:rFonts w:ascii="Abadi" w:hAnsi="Abadi" w:cs="ArialMT"/>
          <w:sz w:val="21"/>
          <w:szCs w:val="21"/>
        </w:rPr>
      </w:pPr>
    </w:p>
    <w:p w14:paraId="286B2D59"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VII.</w:t>
      </w:r>
      <w:r w:rsidRPr="00D63144">
        <w:rPr>
          <w:rFonts w:ascii="Abadi" w:hAnsi="Abadi" w:cs="ArialMT"/>
          <w:sz w:val="21"/>
          <w:szCs w:val="21"/>
        </w:rPr>
        <w:tab/>
      </w:r>
      <w:r w:rsidRPr="00D63144">
        <w:rPr>
          <w:rFonts w:ascii="Abadi" w:hAnsi="Abadi" w:cs="ArialMT"/>
          <w:b/>
          <w:bCs/>
          <w:sz w:val="21"/>
          <w:szCs w:val="21"/>
        </w:rPr>
        <w:t>Red Estatal</w:t>
      </w:r>
      <w:r w:rsidRPr="00D63144">
        <w:rPr>
          <w:rFonts w:ascii="Abadi" w:hAnsi="Abadi" w:cs="ArialMT"/>
          <w:sz w:val="21"/>
          <w:szCs w:val="21"/>
        </w:rPr>
        <w:t>. Red Estatal de Apoyo;</w:t>
      </w:r>
    </w:p>
    <w:p w14:paraId="32B76AE7" w14:textId="77777777" w:rsidR="00E84B5F" w:rsidRPr="00D63144" w:rsidRDefault="00E84B5F" w:rsidP="00E84B5F">
      <w:pPr>
        <w:autoSpaceDE w:val="0"/>
        <w:autoSpaceDN w:val="0"/>
        <w:adjustRightInd w:val="0"/>
        <w:jc w:val="both"/>
        <w:rPr>
          <w:rFonts w:ascii="Abadi" w:hAnsi="Abadi" w:cs="ArialMT"/>
          <w:sz w:val="21"/>
          <w:szCs w:val="21"/>
        </w:rPr>
      </w:pPr>
    </w:p>
    <w:p w14:paraId="418CE2E7" w14:textId="77777777" w:rsidR="00E84B5F" w:rsidRPr="00D63144" w:rsidRDefault="00E84B5F" w:rsidP="00EC51CE">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VIII.</w:t>
      </w:r>
      <w:r w:rsidRPr="00D63144">
        <w:rPr>
          <w:rFonts w:ascii="Abadi" w:hAnsi="Abadi" w:cs="ArialMT"/>
          <w:sz w:val="21"/>
          <w:szCs w:val="21"/>
        </w:rPr>
        <w:tab/>
      </w:r>
      <w:r w:rsidRPr="00D63144">
        <w:rPr>
          <w:rFonts w:ascii="Abadi" w:hAnsi="Abadi" w:cs="ArialMT"/>
          <w:b/>
          <w:bCs/>
          <w:sz w:val="21"/>
          <w:szCs w:val="21"/>
        </w:rPr>
        <w:t>Registro.</w:t>
      </w:r>
      <w:r w:rsidRPr="00D63144">
        <w:rPr>
          <w:rFonts w:ascii="Abadi" w:hAnsi="Abadi" w:cs="ArialMT"/>
          <w:sz w:val="21"/>
          <w:szCs w:val="21"/>
        </w:rPr>
        <w:t xml:space="preserve"> El Registro Nominal del Cáncer en la Infancia y en la Adolescencia del Estado de Guanajuato;</w:t>
      </w:r>
    </w:p>
    <w:p w14:paraId="54E9A098" w14:textId="77777777" w:rsidR="00E84B5F" w:rsidRPr="00D63144" w:rsidRDefault="00E84B5F" w:rsidP="00E84B5F">
      <w:pPr>
        <w:autoSpaceDE w:val="0"/>
        <w:autoSpaceDN w:val="0"/>
        <w:adjustRightInd w:val="0"/>
        <w:jc w:val="both"/>
        <w:rPr>
          <w:rFonts w:ascii="Abadi" w:hAnsi="Abadi" w:cs="ArialMT"/>
          <w:sz w:val="21"/>
          <w:szCs w:val="21"/>
        </w:rPr>
      </w:pPr>
    </w:p>
    <w:p w14:paraId="21C2B78B" w14:textId="77777777" w:rsidR="00E84B5F" w:rsidRPr="00D63144" w:rsidRDefault="00E84B5F" w:rsidP="00EC51CE">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IX.</w:t>
      </w:r>
      <w:r w:rsidRPr="00D63144">
        <w:rPr>
          <w:rFonts w:ascii="Abadi" w:hAnsi="Abadi" w:cs="ArialMT"/>
          <w:sz w:val="21"/>
          <w:szCs w:val="21"/>
        </w:rPr>
        <w:tab/>
      </w:r>
      <w:r w:rsidRPr="00D63144">
        <w:rPr>
          <w:rFonts w:ascii="Abadi" w:hAnsi="Abadi" w:cs="ArialMT"/>
          <w:b/>
          <w:bCs/>
          <w:sz w:val="21"/>
          <w:szCs w:val="21"/>
        </w:rPr>
        <w:t>Secretaría de Desarrollo Social y Humano.</w:t>
      </w:r>
      <w:r w:rsidRPr="00D63144">
        <w:rPr>
          <w:rFonts w:ascii="Abadi" w:hAnsi="Abadi" w:cs="ArialMT"/>
          <w:sz w:val="21"/>
          <w:szCs w:val="21"/>
        </w:rPr>
        <w:t xml:space="preserve"> Secretaría de Desarrollo Social y Humano del Estado de Guanajuato;</w:t>
      </w:r>
    </w:p>
    <w:p w14:paraId="46081E8C" w14:textId="77777777" w:rsidR="00E84B5F" w:rsidRPr="00D63144" w:rsidRDefault="00E84B5F" w:rsidP="00E84B5F">
      <w:pPr>
        <w:autoSpaceDE w:val="0"/>
        <w:autoSpaceDN w:val="0"/>
        <w:adjustRightInd w:val="0"/>
        <w:jc w:val="both"/>
        <w:rPr>
          <w:rFonts w:ascii="Abadi" w:hAnsi="Abadi" w:cs="ArialMT"/>
          <w:sz w:val="21"/>
          <w:szCs w:val="21"/>
        </w:rPr>
      </w:pPr>
    </w:p>
    <w:p w14:paraId="4088AC8A" w14:textId="77777777" w:rsidR="00E84B5F" w:rsidRPr="00D63144" w:rsidRDefault="00E84B5F" w:rsidP="00EC51CE">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X.</w:t>
      </w:r>
      <w:r w:rsidRPr="00D63144">
        <w:rPr>
          <w:rFonts w:ascii="Abadi" w:hAnsi="Abadi" w:cs="ArialMT"/>
          <w:sz w:val="21"/>
          <w:szCs w:val="21"/>
        </w:rPr>
        <w:tab/>
      </w:r>
      <w:r w:rsidRPr="00D63144">
        <w:rPr>
          <w:rFonts w:ascii="Abadi" w:hAnsi="Abadi" w:cs="ArialMT"/>
          <w:b/>
          <w:bCs/>
          <w:sz w:val="21"/>
          <w:szCs w:val="21"/>
        </w:rPr>
        <w:t>Secretaria de Salud</w:t>
      </w:r>
      <w:r w:rsidRPr="00D63144">
        <w:rPr>
          <w:rFonts w:ascii="Abadi" w:hAnsi="Abadi" w:cs="ArialMT"/>
          <w:sz w:val="21"/>
          <w:szCs w:val="21"/>
        </w:rPr>
        <w:t>. La Secretaría de Salud del Estado de Guanajuato;</w:t>
      </w:r>
    </w:p>
    <w:p w14:paraId="564FEF24" w14:textId="77777777" w:rsidR="00E84B5F" w:rsidRPr="00D63144" w:rsidRDefault="00E84B5F" w:rsidP="00E84B5F">
      <w:pPr>
        <w:autoSpaceDE w:val="0"/>
        <w:autoSpaceDN w:val="0"/>
        <w:adjustRightInd w:val="0"/>
        <w:jc w:val="both"/>
        <w:rPr>
          <w:rFonts w:ascii="Abadi" w:hAnsi="Abadi" w:cs="ArialMT"/>
          <w:sz w:val="21"/>
          <w:szCs w:val="21"/>
        </w:rPr>
      </w:pPr>
    </w:p>
    <w:p w14:paraId="53961D15" w14:textId="77777777" w:rsidR="00E84B5F" w:rsidRPr="00D63144" w:rsidRDefault="00E84B5F" w:rsidP="00EC51CE">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XI.</w:t>
      </w:r>
      <w:r w:rsidRPr="00D63144">
        <w:rPr>
          <w:rFonts w:ascii="Abadi" w:hAnsi="Abadi" w:cs="ArialMT"/>
          <w:sz w:val="21"/>
          <w:szCs w:val="21"/>
        </w:rPr>
        <w:tab/>
      </w:r>
      <w:r w:rsidRPr="00D63144">
        <w:rPr>
          <w:rFonts w:ascii="Abadi" w:hAnsi="Abadi" w:cs="ArialMT"/>
          <w:b/>
          <w:bCs/>
          <w:sz w:val="21"/>
          <w:szCs w:val="21"/>
        </w:rPr>
        <w:t>Secretaría de Educación.</w:t>
      </w:r>
      <w:r w:rsidRPr="00D63144">
        <w:rPr>
          <w:rFonts w:ascii="Abadi" w:hAnsi="Abadi" w:cs="ArialMT"/>
          <w:sz w:val="21"/>
          <w:szCs w:val="21"/>
        </w:rPr>
        <w:t xml:space="preserve"> Secretaría de Educación del Estado de Guanajuato;</w:t>
      </w:r>
    </w:p>
    <w:p w14:paraId="40E682C6" w14:textId="77777777" w:rsidR="00E84B5F" w:rsidRPr="00D63144" w:rsidRDefault="00E84B5F" w:rsidP="00E84B5F">
      <w:pPr>
        <w:autoSpaceDE w:val="0"/>
        <w:autoSpaceDN w:val="0"/>
        <w:adjustRightInd w:val="0"/>
        <w:jc w:val="both"/>
        <w:rPr>
          <w:rFonts w:ascii="Abadi" w:hAnsi="Abadi" w:cs="ArialMT"/>
          <w:sz w:val="21"/>
          <w:szCs w:val="21"/>
        </w:rPr>
      </w:pPr>
    </w:p>
    <w:p w14:paraId="6633BF18" w14:textId="77777777" w:rsidR="00E84B5F" w:rsidRPr="00D63144" w:rsidRDefault="00E84B5F" w:rsidP="00595357">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XII.</w:t>
      </w:r>
      <w:r w:rsidRPr="00D63144">
        <w:rPr>
          <w:rFonts w:ascii="Abadi" w:hAnsi="Abadi" w:cs="ArialMT"/>
          <w:sz w:val="21"/>
          <w:szCs w:val="21"/>
        </w:rPr>
        <w:tab/>
      </w:r>
      <w:r w:rsidRPr="00D63144">
        <w:rPr>
          <w:rFonts w:ascii="Abadi" w:hAnsi="Abadi" w:cs="ArialMT"/>
          <w:b/>
          <w:bCs/>
          <w:sz w:val="21"/>
          <w:szCs w:val="21"/>
        </w:rPr>
        <w:t>DIF Estatal.</w:t>
      </w:r>
      <w:r w:rsidRPr="00D63144">
        <w:rPr>
          <w:rFonts w:ascii="Abadi" w:hAnsi="Abadi" w:cs="ArialMT"/>
          <w:sz w:val="21"/>
          <w:szCs w:val="21"/>
        </w:rPr>
        <w:t xml:space="preserve"> El Sistema para el Desarrollo Integral de la Familia del Estado de Guanajuato;</w:t>
      </w:r>
    </w:p>
    <w:p w14:paraId="6A36DB66" w14:textId="77777777" w:rsidR="00E84B5F" w:rsidRPr="00D63144" w:rsidRDefault="00E84B5F" w:rsidP="00E84B5F">
      <w:pPr>
        <w:autoSpaceDE w:val="0"/>
        <w:autoSpaceDN w:val="0"/>
        <w:adjustRightInd w:val="0"/>
        <w:jc w:val="both"/>
        <w:rPr>
          <w:rFonts w:ascii="Abadi" w:hAnsi="Abadi" w:cs="ArialMT"/>
          <w:sz w:val="21"/>
          <w:szCs w:val="21"/>
        </w:rPr>
      </w:pPr>
    </w:p>
    <w:p w14:paraId="558BD688" w14:textId="77777777" w:rsidR="00E84B5F" w:rsidRPr="00D63144" w:rsidRDefault="00E84B5F" w:rsidP="00595357">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XIII.</w:t>
      </w:r>
      <w:r w:rsidRPr="00D63144">
        <w:rPr>
          <w:rFonts w:ascii="Abadi" w:hAnsi="Abadi" w:cs="ArialMT"/>
          <w:sz w:val="21"/>
          <w:szCs w:val="21"/>
        </w:rPr>
        <w:tab/>
      </w:r>
      <w:r w:rsidRPr="00D63144">
        <w:rPr>
          <w:rFonts w:ascii="Abadi" w:hAnsi="Abadi" w:cs="ArialMT"/>
          <w:b/>
          <w:bCs/>
          <w:sz w:val="21"/>
          <w:szCs w:val="21"/>
        </w:rPr>
        <w:t>DIF Municipales.</w:t>
      </w:r>
      <w:r w:rsidRPr="00D63144">
        <w:rPr>
          <w:rFonts w:ascii="Abadi" w:hAnsi="Abadi" w:cs="ArialMT"/>
          <w:sz w:val="21"/>
          <w:szCs w:val="21"/>
        </w:rPr>
        <w:t xml:space="preserve"> Los Sistemas para el Desarrollo Integral de la Familia de los ayuntamientos del Estado de Guanajuato;</w:t>
      </w:r>
    </w:p>
    <w:p w14:paraId="70B2109F" w14:textId="77777777" w:rsidR="00E84B5F" w:rsidRPr="00D63144" w:rsidRDefault="00E84B5F" w:rsidP="00E84B5F">
      <w:pPr>
        <w:autoSpaceDE w:val="0"/>
        <w:autoSpaceDN w:val="0"/>
        <w:adjustRightInd w:val="0"/>
        <w:jc w:val="both"/>
        <w:rPr>
          <w:rFonts w:ascii="Abadi" w:hAnsi="Abadi" w:cs="ArialMT"/>
          <w:sz w:val="21"/>
          <w:szCs w:val="21"/>
        </w:rPr>
      </w:pPr>
    </w:p>
    <w:p w14:paraId="7A348F35" w14:textId="77777777" w:rsidR="00E84B5F" w:rsidRPr="00D63144" w:rsidRDefault="00E84B5F" w:rsidP="00595357">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XIV.</w:t>
      </w:r>
      <w:r w:rsidRPr="00D63144">
        <w:rPr>
          <w:rFonts w:ascii="Abadi" w:hAnsi="Abadi" w:cs="ArialMT"/>
          <w:sz w:val="21"/>
          <w:szCs w:val="21"/>
        </w:rPr>
        <w:tab/>
      </w:r>
      <w:r w:rsidRPr="00D63144">
        <w:rPr>
          <w:rFonts w:ascii="Abadi" w:hAnsi="Abadi" w:cs="ArialMT"/>
          <w:b/>
          <w:bCs/>
          <w:sz w:val="21"/>
          <w:szCs w:val="21"/>
        </w:rPr>
        <w:t>Personas menores.</w:t>
      </w:r>
      <w:r w:rsidRPr="00D63144">
        <w:rPr>
          <w:rFonts w:ascii="Abadi" w:hAnsi="Abadi" w:cs="ArialMT"/>
          <w:sz w:val="21"/>
          <w:szCs w:val="21"/>
        </w:rPr>
        <w:t xml:space="preserve"> Niñas, niños y adolescentes menores de 18 años; y</w:t>
      </w:r>
    </w:p>
    <w:p w14:paraId="4D66D060" w14:textId="77777777" w:rsidR="00E84B5F" w:rsidRPr="00D63144" w:rsidRDefault="00E84B5F" w:rsidP="00E84B5F">
      <w:pPr>
        <w:autoSpaceDE w:val="0"/>
        <w:autoSpaceDN w:val="0"/>
        <w:adjustRightInd w:val="0"/>
        <w:jc w:val="both"/>
        <w:rPr>
          <w:rFonts w:ascii="Abadi" w:hAnsi="Abadi" w:cs="ArialMT"/>
          <w:sz w:val="21"/>
          <w:szCs w:val="21"/>
        </w:rPr>
      </w:pPr>
    </w:p>
    <w:p w14:paraId="7C54D0E8" w14:textId="77777777" w:rsidR="00E84B5F" w:rsidRPr="00D63144" w:rsidRDefault="00E84B5F" w:rsidP="00595357">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XV.</w:t>
      </w:r>
      <w:r w:rsidRPr="00D63144">
        <w:rPr>
          <w:rFonts w:ascii="Abadi" w:hAnsi="Abadi" w:cs="ArialMT"/>
          <w:sz w:val="21"/>
          <w:szCs w:val="21"/>
        </w:rPr>
        <w:tab/>
      </w:r>
      <w:r w:rsidRPr="00D63144">
        <w:rPr>
          <w:rFonts w:ascii="Abadi" w:hAnsi="Abadi" w:cs="ArialMT"/>
          <w:b/>
          <w:bCs/>
          <w:sz w:val="21"/>
          <w:szCs w:val="21"/>
        </w:rPr>
        <w:t>Personas Usuarias del Programa.</w:t>
      </w:r>
      <w:r w:rsidRPr="00D63144">
        <w:rPr>
          <w:rFonts w:ascii="Abadi" w:hAnsi="Abadi" w:cs="ArialMT"/>
          <w:sz w:val="21"/>
          <w:szCs w:val="21"/>
        </w:rPr>
        <w:t xml:space="preserve"> Las personas menores y sus familiares en tratamiento activo acreditados en el registro.</w:t>
      </w:r>
    </w:p>
    <w:p w14:paraId="5CDF52E9"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7E7C8D95" w14:textId="2D66FB89" w:rsidR="00E84B5F" w:rsidRPr="00D63144" w:rsidRDefault="00595357"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Principios rectores</w:t>
      </w:r>
    </w:p>
    <w:p w14:paraId="0B507E46"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4</w:t>
      </w:r>
      <w:r w:rsidRPr="00D63144">
        <w:rPr>
          <w:rFonts w:ascii="Abadi" w:hAnsi="Abadi" w:cs="ArialMT"/>
          <w:sz w:val="21"/>
          <w:szCs w:val="21"/>
        </w:rPr>
        <w:t>. Son principios rectores de esta Ley:</w:t>
      </w:r>
    </w:p>
    <w:p w14:paraId="2A0901B2" w14:textId="77777777" w:rsidR="00E84B5F" w:rsidRPr="00D63144" w:rsidRDefault="00E84B5F" w:rsidP="00E84B5F">
      <w:pPr>
        <w:autoSpaceDE w:val="0"/>
        <w:autoSpaceDN w:val="0"/>
        <w:adjustRightInd w:val="0"/>
        <w:jc w:val="both"/>
        <w:rPr>
          <w:rFonts w:ascii="Abadi" w:hAnsi="Abadi" w:cs="ArialMT"/>
          <w:sz w:val="21"/>
          <w:szCs w:val="21"/>
        </w:rPr>
      </w:pPr>
    </w:p>
    <w:p w14:paraId="3692E155" w14:textId="7AC16AD2"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Derecho a la Vida;</w:t>
      </w:r>
    </w:p>
    <w:p w14:paraId="3BDB4149" w14:textId="77777777" w:rsidR="00E84B5F" w:rsidRPr="00D63144" w:rsidRDefault="00E84B5F" w:rsidP="00E84B5F">
      <w:pPr>
        <w:autoSpaceDE w:val="0"/>
        <w:autoSpaceDN w:val="0"/>
        <w:adjustRightInd w:val="0"/>
        <w:jc w:val="both"/>
        <w:rPr>
          <w:rFonts w:ascii="Abadi" w:hAnsi="Abadi" w:cs="ArialMT"/>
          <w:sz w:val="21"/>
          <w:szCs w:val="21"/>
        </w:rPr>
      </w:pPr>
    </w:p>
    <w:p w14:paraId="65646B54" w14:textId="7AF89A46"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El Derecho a la Salud;</w:t>
      </w:r>
    </w:p>
    <w:p w14:paraId="58765F3D" w14:textId="77777777" w:rsidR="00E84B5F" w:rsidRPr="00D63144" w:rsidRDefault="00E84B5F" w:rsidP="00E84B5F">
      <w:pPr>
        <w:autoSpaceDE w:val="0"/>
        <w:autoSpaceDN w:val="0"/>
        <w:adjustRightInd w:val="0"/>
        <w:jc w:val="both"/>
        <w:rPr>
          <w:rFonts w:ascii="Abadi" w:hAnsi="Abadi" w:cs="ArialMT"/>
          <w:sz w:val="21"/>
          <w:szCs w:val="21"/>
        </w:rPr>
      </w:pPr>
    </w:p>
    <w:p w14:paraId="50308C50" w14:textId="4AF322D1"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El interés superior del menor;</w:t>
      </w:r>
    </w:p>
    <w:p w14:paraId="7183BB24" w14:textId="77777777" w:rsidR="00E84B5F" w:rsidRPr="00D63144" w:rsidRDefault="00E84B5F" w:rsidP="00E84B5F">
      <w:pPr>
        <w:autoSpaceDE w:val="0"/>
        <w:autoSpaceDN w:val="0"/>
        <w:adjustRightInd w:val="0"/>
        <w:jc w:val="both"/>
        <w:rPr>
          <w:rFonts w:ascii="Abadi" w:hAnsi="Abadi" w:cs="ArialMT"/>
          <w:sz w:val="21"/>
          <w:szCs w:val="21"/>
        </w:rPr>
      </w:pPr>
    </w:p>
    <w:p w14:paraId="65AF4B5D" w14:textId="7F4E8CD7"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El Derecho a la supervivencia y de sano desarrollo;</w:t>
      </w:r>
    </w:p>
    <w:p w14:paraId="10EB0F39" w14:textId="77777777" w:rsidR="00E84B5F" w:rsidRPr="00D63144" w:rsidRDefault="00E84B5F" w:rsidP="00E84B5F">
      <w:pPr>
        <w:autoSpaceDE w:val="0"/>
        <w:autoSpaceDN w:val="0"/>
        <w:adjustRightInd w:val="0"/>
        <w:jc w:val="both"/>
        <w:rPr>
          <w:rFonts w:ascii="Abadi" w:hAnsi="Abadi" w:cs="ArialMT"/>
          <w:sz w:val="21"/>
          <w:szCs w:val="21"/>
        </w:rPr>
      </w:pPr>
    </w:p>
    <w:p w14:paraId="24B3A86B" w14:textId="1C588453"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La Oportunidad, la eficiencia y la eficacia;</w:t>
      </w:r>
    </w:p>
    <w:p w14:paraId="1B50D8E1" w14:textId="77777777" w:rsidR="00E84B5F" w:rsidRPr="00D63144" w:rsidRDefault="00E84B5F" w:rsidP="00E84B5F">
      <w:pPr>
        <w:autoSpaceDE w:val="0"/>
        <w:autoSpaceDN w:val="0"/>
        <w:adjustRightInd w:val="0"/>
        <w:jc w:val="both"/>
        <w:rPr>
          <w:rFonts w:ascii="Abadi" w:hAnsi="Abadi" w:cs="ArialMT"/>
          <w:sz w:val="21"/>
          <w:szCs w:val="21"/>
        </w:rPr>
      </w:pPr>
    </w:p>
    <w:p w14:paraId="079CF893" w14:textId="343BEA29"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Continuidad asistencial y de tratamiento;</w:t>
      </w:r>
    </w:p>
    <w:p w14:paraId="2BF8C1CC" w14:textId="77777777" w:rsidR="00E84B5F" w:rsidRPr="00D63144" w:rsidRDefault="00E84B5F" w:rsidP="00E84B5F">
      <w:pPr>
        <w:autoSpaceDE w:val="0"/>
        <w:autoSpaceDN w:val="0"/>
        <w:adjustRightInd w:val="0"/>
        <w:jc w:val="both"/>
        <w:rPr>
          <w:rFonts w:ascii="Abadi" w:hAnsi="Abadi" w:cs="ArialMT"/>
          <w:sz w:val="21"/>
          <w:szCs w:val="21"/>
        </w:rPr>
      </w:pPr>
    </w:p>
    <w:p w14:paraId="012F70E7" w14:textId="0EF037DE"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La no discriminación;</w:t>
      </w:r>
    </w:p>
    <w:p w14:paraId="140AED77" w14:textId="77777777" w:rsidR="00E84B5F" w:rsidRPr="00D63144" w:rsidRDefault="00E84B5F" w:rsidP="00E84B5F">
      <w:pPr>
        <w:autoSpaceDE w:val="0"/>
        <w:autoSpaceDN w:val="0"/>
        <w:adjustRightInd w:val="0"/>
        <w:jc w:val="both"/>
        <w:rPr>
          <w:rFonts w:ascii="Abadi" w:hAnsi="Abadi" w:cs="ArialMT"/>
          <w:sz w:val="21"/>
          <w:szCs w:val="21"/>
        </w:rPr>
      </w:pPr>
    </w:p>
    <w:p w14:paraId="0244B3C5" w14:textId="49B5FB1D"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La progresividad;</w:t>
      </w:r>
    </w:p>
    <w:p w14:paraId="4A2810CA" w14:textId="281E7CBA"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La interdependencia e indivisibilidad;</w:t>
      </w:r>
    </w:p>
    <w:p w14:paraId="7E18E238" w14:textId="77777777" w:rsidR="00E84B5F" w:rsidRPr="00D63144" w:rsidRDefault="00E84B5F" w:rsidP="00E84B5F">
      <w:pPr>
        <w:autoSpaceDE w:val="0"/>
        <w:autoSpaceDN w:val="0"/>
        <w:adjustRightInd w:val="0"/>
        <w:jc w:val="both"/>
        <w:rPr>
          <w:rFonts w:ascii="Abadi" w:hAnsi="Abadi" w:cs="ArialMT"/>
          <w:sz w:val="21"/>
          <w:szCs w:val="21"/>
        </w:rPr>
      </w:pPr>
    </w:p>
    <w:p w14:paraId="1BAB75C8" w14:textId="06CA2EA1"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El Derecho a la información y la Transparencia;</w:t>
      </w:r>
    </w:p>
    <w:p w14:paraId="1BD241D1" w14:textId="77777777" w:rsidR="00E84B5F" w:rsidRPr="00D63144" w:rsidRDefault="00E84B5F" w:rsidP="00E84B5F">
      <w:pPr>
        <w:autoSpaceDE w:val="0"/>
        <w:autoSpaceDN w:val="0"/>
        <w:adjustRightInd w:val="0"/>
        <w:jc w:val="both"/>
        <w:rPr>
          <w:rFonts w:ascii="Abadi" w:hAnsi="Abadi" w:cs="ArialMT"/>
          <w:sz w:val="21"/>
          <w:szCs w:val="21"/>
        </w:rPr>
      </w:pPr>
    </w:p>
    <w:p w14:paraId="6C339F54" w14:textId="07F2CA2F"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La Centralidad en las personas; y</w:t>
      </w:r>
    </w:p>
    <w:p w14:paraId="6DD7254D" w14:textId="77777777" w:rsidR="00E84B5F" w:rsidRPr="00D63144" w:rsidRDefault="00E84B5F" w:rsidP="00E84B5F">
      <w:pPr>
        <w:autoSpaceDE w:val="0"/>
        <w:autoSpaceDN w:val="0"/>
        <w:adjustRightInd w:val="0"/>
        <w:jc w:val="both"/>
        <w:rPr>
          <w:rFonts w:ascii="Abadi" w:hAnsi="Abadi" w:cs="ArialMT"/>
          <w:sz w:val="21"/>
          <w:szCs w:val="21"/>
        </w:rPr>
      </w:pPr>
    </w:p>
    <w:p w14:paraId="71BEE72B" w14:textId="3BCB109B" w:rsidR="00E84B5F" w:rsidRPr="00D63144" w:rsidRDefault="00E84B5F" w:rsidP="00343CA9">
      <w:pPr>
        <w:pStyle w:val="Prrafodelista"/>
        <w:numPr>
          <w:ilvl w:val="0"/>
          <w:numId w:val="41"/>
        </w:numPr>
        <w:autoSpaceDE w:val="0"/>
        <w:autoSpaceDN w:val="0"/>
        <w:adjustRightInd w:val="0"/>
        <w:jc w:val="both"/>
        <w:rPr>
          <w:rFonts w:ascii="Abadi" w:hAnsi="Abadi" w:cs="ArialMT"/>
          <w:sz w:val="21"/>
          <w:szCs w:val="21"/>
        </w:rPr>
      </w:pPr>
      <w:r w:rsidRPr="00D63144">
        <w:rPr>
          <w:rFonts w:ascii="Abadi" w:hAnsi="Abadi" w:cs="ArialMT"/>
          <w:sz w:val="21"/>
          <w:szCs w:val="21"/>
        </w:rPr>
        <w:t>La universalidad y gratuidad.</w:t>
      </w:r>
    </w:p>
    <w:p w14:paraId="2FD3217C" w14:textId="77777777" w:rsidR="00595357"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43B7418D" w14:textId="31A55C4F" w:rsidR="00E84B5F"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Autoridades responsables de la instrumentación</w:t>
      </w:r>
    </w:p>
    <w:p w14:paraId="685A8B79" w14:textId="77777777" w:rsidR="00E84B5F" w:rsidRPr="00D63144" w:rsidRDefault="00E84B5F" w:rsidP="00E84B5F">
      <w:pPr>
        <w:autoSpaceDE w:val="0"/>
        <w:autoSpaceDN w:val="0"/>
        <w:adjustRightInd w:val="0"/>
        <w:jc w:val="both"/>
        <w:rPr>
          <w:rFonts w:ascii="Abadi" w:hAnsi="Abadi" w:cs="ArialMT"/>
          <w:sz w:val="21"/>
          <w:szCs w:val="21"/>
        </w:rPr>
      </w:pPr>
    </w:p>
    <w:p w14:paraId="74A58535" w14:textId="215CED06" w:rsidR="00E84B5F"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5.</w:t>
      </w:r>
      <w:r w:rsidRPr="00D63144">
        <w:rPr>
          <w:rFonts w:ascii="Abadi" w:hAnsi="Abadi" w:cs="ArialMT"/>
          <w:sz w:val="21"/>
          <w:szCs w:val="21"/>
        </w:rPr>
        <w:t xml:space="preserve"> La Secretaría de Desarrollo Social y Humano y La Secretaría de Salud en el ámbito de sus respectivas competencias serán las autoridades encargadas de la instrumentación de la presente Ley, para lo cual impulsarán la participación de los sectores social y privado, así como de la sociedad en general, con el fin de fortalecer los servicios integrales en la materia.</w:t>
      </w:r>
    </w:p>
    <w:p w14:paraId="04FDC637" w14:textId="77777777" w:rsidR="009F433C" w:rsidRPr="00D63144" w:rsidRDefault="009F433C" w:rsidP="00E84B5F">
      <w:pPr>
        <w:autoSpaceDE w:val="0"/>
        <w:autoSpaceDN w:val="0"/>
        <w:adjustRightInd w:val="0"/>
        <w:jc w:val="both"/>
        <w:rPr>
          <w:rFonts w:ascii="Abadi" w:hAnsi="Abadi" w:cs="ArialMT"/>
          <w:sz w:val="21"/>
          <w:szCs w:val="21"/>
        </w:rPr>
      </w:pPr>
    </w:p>
    <w:p w14:paraId="0CF443CF"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Para tal efecto, las Secretarías mencionadas en el párrafo anterior, promoverán la creación de la Red de Apoyo, y del Frente de Colaboración, con la finalidad de facilitar el acceso a los pacientes y sus familiares a la información relativa a la cobertura de servicios de atención médica y asistencial.</w:t>
      </w:r>
    </w:p>
    <w:p w14:paraId="11DA11ED" w14:textId="77777777" w:rsidR="00E84B5F" w:rsidRPr="00D63144" w:rsidRDefault="00E84B5F" w:rsidP="00E84B5F">
      <w:pPr>
        <w:autoSpaceDE w:val="0"/>
        <w:autoSpaceDN w:val="0"/>
        <w:adjustRightInd w:val="0"/>
        <w:jc w:val="both"/>
        <w:rPr>
          <w:rFonts w:ascii="Abadi" w:hAnsi="Abadi" w:cs="ArialMT"/>
          <w:sz w:val="21"/>
          <w:szCs w:val="21"/>
        </w:rPr>
      </w:pPr>
    </w:p>
    <w:p w14:paraId="75EE6DA3" w14:textId="77777777" w:rsidR="00E84B5F"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        Sujetos de protección de la ley</w:t>
      </w:r>
    </w:p>
    <w:p w14:paraId="56F0FD6D"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76371822"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6.</w:t>
      </w:r>
      <w:r w:rsidRPr="00D63144">
        <w:rPr>
          <w:rFonts w:ascii="Abadi" w:hAnsi="Abadi" w:cs="ArialMT"/>
          <w:sz w:val="21"/>
          <w:szCs w:val="21"/>
        </w:rPr>
        <w:t xml:space="preserve"> Son sujetos de la protección de la presente ley las niñas, niños y adolescentes menores de 18 años que tengan residencia en el Estado de Guanajuato, que no cuenten con los servicios de seguridad social y que se encuentren dentro de alguna de las siguientes circunstancias:</w:t>
      </w:r>
    </w:p>
    <w:p w14:paraId="3AA5D2E1" w14:textId="77777777" w:rsidR="00E84B5F" w:rsidRPr="00D63144" w:rsidRDefault="00E84B5F" w:rsidP="00E84B5F">
      <w:pPr>
        <w:autoSpaceDE w:val="0"/>
        <w:autoSpaceDN w:val="0"/>
        <w:adjustRightInd w:val="0"/>
        <w:jc w:val="both"/>
        <w:rPr>
          <w:rFonts w:ascii="Abadi" w:hAnsi="Abadi" w:cs="ArialMT"/>
          <w:sz w:val="21"/>
          <w:szCs w:val="21"/>
        </w:rPr>
      </w:pPr>
    </w:p>
    <w:p w14:paraId="0697C567" w14:textId="03EE7886" w:rsidR="00E84B5F" w:rsidRPr="00D63144" w:rsidRDefault="00E84B5F" w:rsidP="00343CA9">
      <w:pPr>
        <w:pStyle w:val="Prrafodelista"/>
        <w:numPr>
          <w:ilvl w:val="0"/>
          <w:numId w:val="42"/>
        </w:numPr>
        <w:autoSpaceDE w:val="0"/>
        <w:autoSpaceDN w:val="0"/>
        <w:adjustRightInd w:val="0"/>
        <w:jc w:val="both"/>
        <w:rPr>
          <w:rFonts w:ascii="Abadi" w:hAnsi="Abadi" w:cs="ArialMT"/>
          <w:sz w:val="21"/>
          <w:szCs w:val="21"/>
        </w:rPr>
      </w:pPr>
      <w:r w:rsidRPr="00D63144">
        <w:rPr>
          <w:rFonts w:ascii="Abadi" w:hAnsi="Abadi" w:cs="ArialMT"/>
          <w:sz w:val="21"/>
          <w:szCs w:val="21"/>
        </w:rPr>
        <w:t>Cuando la persona menor presente sintomatología, historial clínico o cualquier otro dato que motive la sospecha del padecimiento de cáncer en cualquiera de sus etapas, así determinado por un médico general o con especialidad, por lo que se requiera la aplicación de exámenes y procedimientos diagnósticos para descartar o confirmar el padecimiento;</w:t>
      </w:r>
    </w:p>
    <w:p w14:paraId="562DC871" w14:textId="37D84CC1" w:rsidR="00E84B5F" w:rsidRPr="00D63144" w:rsidRDefault="00E84B5F" w:rsidP="00343CA9">
      <w:pPr>
        <w:pStyle w:val="Prrafodelista"/>
        <w:numPr>
          <w:ilvl w:val="0"/>
          <w:numId w:val="42"/>
        </w:numPr>
        <w:autoSpaceDE w:val="0"/>
        <w:autoSpaceDN w:val="0"/>
        <w:adjustRightInd w:val="0"/>
        <w:jc w:val="both"/>
        <w:rPr>
          <w:rFonts w:ascii="Abadi" w:hAnsi="Abadi" w:cs="ArialMT"/>
          <w:sz w:val="21"/>
          <w:szCs w:val="21"/>
        </w:rPr>
      </w:pPr>
      <w:r w:rsidRPr="00D63144">
        <w:rPr>
          <w:rFonts w:ascii="Abadi" w:hAnsi="Abadi" w:cs="ArialMT"/>
          <w:sz w:val="21"/>
          <w:szCs w:val="21"/>
        </w:rPr>
        <w:t>Cuando se confirme el diagnóstico de cáncer en cualquiera de sus etapas, tipos o modalidades y se requiera la atención, tratamiento, cirugía, terapia, seguimiento o vigilancia epidemiológica; y</w:t>
      </w:r>
    </w:p>
    <w:p w14:paraId="356F6979" w14:textId="77777777" w:rsidR="00E84B5F" w:rsidRPr="00D63144" w:rsidRDefault="00E84B5F" w:rsidP="00E84B5F">
      <w:pPr>
        <w:autoSpaceDE w:val="0"/>
        <w:autoSpaceDN w:val="0"/>
        <w:adjustRightInd w:val="0"/>
        <w:jc w:val="both"/>
        <w:rPr>
          <w:rFonts w:ascii="Abadi" w:hAnsi="Abadi" w:cs="ArialMT"/>
          <w:sz w:val="21"/>
          <w:szCs w:val="21"/>
        </w:rPr>
      </w:pPr>
    </w:p>
    <w:p w14:paraId="0E2E194E" w14:textId="6B5BE433" w:rsidR="00E84B5F" w:rsidRPr="00D63144" w:rsidRDefault="00E84B5F" w:rsidP="00343CA9">
      <w:pPr>
        <w:pStyle w:val="Prrafodelista"/>
        <w:numPr>
          <w:ilvl w:val="0"/>
          <w:numId w:val="42"/>
        </w:numPr>
        <w:autoSpaceDE w:val="0"/>
        <w:autoSpaceDN w:val="0"/>
        <w:adjustRightInd w:val="0"/>
        <w:jc w:val="both"/>
        <w:rPr>
          <w:rFonts w:ascii="Abadi" w:hAnsi="Abadi" w:cs="ArialMT"/>
          <w:sz w:val="21"/>
          <w:szCs w:val="21"/>
        </w:rPr>
      </w:pPr>
      <w:r w:rsidRPr="00D63144">
        <w:rPr>
          <w:rFonts w:ascii="Abadi" w:hAnsi="Abadi" w:cs="ArialMT"/>
          <w:sz w:val="21"/>
          <w:szCs w:val="21"/>
        </w:rPr>
        <w:t>Cuando la persona usuaria del programa esté recibiendo tratamiento, hasta que este se concluya, adquiera la mayoría de edad y se haya diagnosticado el padecimiento de cáncer e iniciado su tratamiento previo a los 18 años de edad.</w:t>
      </w:r>
    </w:p>
    <w:p w14:paraId="3F4E7AD4" w14:textId="77777777" w:rsidR="00595357" w:rsidRPr="00D63144" w:rsidRDefault="00595357" w:rsidP="00595357">
      <w:pPr>
        <w:autoSpaceDE w:val="0"/>
        <w:autoSpaceDN w:val="0"/>
        <w:adjustRightInd w:val="0"/>
        <w:jc w:val="both"/>
        <w:rPr>
          <w:rFonts w:ascii="Abadi" w:hAnsi="Abadi" w:cs="ArialMT"/>
          <w:sz w:val="21"/>
          <w:szCs w:val="21"/>
        </w:rPr>
      </w:pPr>
    </w:p>
    <w:p w14:paraId="4E8613DC" w14:textId="08B4B671" w:rsidR="00595357"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Capítulo Segundo</w:t>
      </w:r>
    </w:p>
    <w:p w14:paraId="198D90B7" w14:textId="3E474099" w:rsidR="00E84B5F"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 las Autoridades</w:t>
      </w:r>
    </w:p>
    <w:p w14:paraId="66F58BFA" w14:textId="77777777" w:rsidR="00E84B5F" w:rsidRPr="00D63144" w:rsidRDefault="00E84B5F" w:rsidP="00E84B5F">
      <w:pPr>
        <w:autoSpaceDE w:val="0"/>
        <w:autoSpaceDN w:val="0"/>
        <w:adjustRightInd w:val="0"/>
        <w:jc w:val="both"/>
        <w:rPr>
          <w:rFonts w:ascii="Abadi" w:hAnsi="Abadi" w:cs="ArialMT"/>
          <w:sz w:val="21"/>
          <w:szCs w:val="21"/>
        </w:rPr>
      </w:pPr>
    </w:p>
    <w:p w14:paraId="6617C25E" w14:textId="77777777" w:rsidR="00595357" w:rsidRPr="00D63144" w:rsidRDefault="00E84B5F" w:rsidP="00595357">
      <w:pPr>
        <w:autoSpaceDE w:val="0"/>
        <w:autoSpaceDN w:val="0"/>
        <w:adjustRightInd w:val="0"/>
        <w:jc w:val="right"/>
        <w:rPr>
          <w:rFonts w:ascii="Abadi" w:hAnsi="Abadi" w:cs="ArialMT"/>
          <w:sz w:val="21"/>
          <w:szCs w:val="21"/>
        </w:rPr>
      </w:pPr>
      <w:r w:rsidRPr="00D63144">
        <w:rPr>
          <w:rFonts w:ascii="Abadi" w:hAnsi="Abadi" w:cs="ArialMT"/>
          <w:b/>
          <w:bCs/>
          <w:i/>
          <w:iCs/>
          <w:sz w:val="21"/>
          <w:szCs w:val="21"/>
        </w:rPr>
        <w:t>Autoridades facultadas para la aplicación de la ley</w:t>
      </w:r>
      <w:r w:rsidRPr="00D63144">
        <w:rPr>
          <w:rFonts w:ascii="Abadi" w:hAnsi="Abadi" w:cs="ArialMT"/>
          <w:sz w:val="21"/>
          <w:szCs w:val="21"/>
        </w:rPr>
        <w:t xml:space="preserve"> </w:t>
      </w:r>
    </w:p>
    <w:p w14:paraId="7507EB4E" w14:textId="17C7C686"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7</w:t>
      </w:r>
      <w:r w:rsidRPr="00D63144">
        <w:rPr>
          <w:rFonts w:ascii="Abadi" w:hAnsi="Abadi" w:cs="ArialMT"/>
          <w:sz w:val="21"/>
          <w:szCs w:val="21"/>
        </w:rPr>
        <w:t>. Son autoridades facultadas para aplicar la presente Ley, en el ámbito de su competencia, las siguientes:</w:t>
      </w:r>
    </w:p>
    <w:p w14:paraId="4BDB0858" w14:textId="77777777" w:rsidR="00E84B5F" w:rsidRPr="00D63144" w:rsidRDefault="00E84B5F" w:rsidP="00E84B5F">
      <w:pPr>
        <w:autoSpaceDE w:val="0"/>
        <w:autoSpaceDN w:val="0"/>
        <w:adjustRightInd w:val="0"/>
        <w:jc w:val="both"/>
        <w:rPr>
          <w:rFonts w:ascii="Abadi" w:hAnsi="Abadi" w:cs="ArialMT"/>
          <w:sz w:val="21"/>
          <w:szCs w:val="21"/>
        </w:rPr>
      </w:pPr>
    </w:p>
    <w:p w14:paraId="2CDBFF4C"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w:t>
      </w:r>
      <w:r w:rsidRPr="00D63144">
        <w:rPr>
          <w:rFonts w:ascii="Abadi" w:hAnsi="Abadi" w:cs="ArialMT"/>
          <w:sz w:val="21"/>
          <w:szCs w:val="21"/>
        </w:rPr>
        <w:tab/>
        <w:t>La persona titular del Poder Ejecutivo del Estado de Guanajuato</w:t>
      </w:r>
    </w:p>
    <w:p w14:paraId="0EDDCC99" w14:textId="77777777" w:rsidR="00E84B5F" w:rsidRPr="00D63144" w:rsidRDefault="00E84B5F" w:rsidP="00E84B5F">
      <w:pPr>
        <w:autoSpaceDE w:val="0"/>
        <w:autoSpaceDN w:val="0"/>
        <w:adjustRightInd w:val="0"/>
        <w:jc w:val="both"/>
        <w:rPr>
          <w:rFonts w:ascii="Abadi" w:hAnsi="Abadi" w:cs="ArialMT"/>
          <w:sz w:val="21"/>
          <w:szCs w:val="21"/>
        </w:rPr>
      </w:pPr>
    </w:p>
    <w:p w14:paraId="6DFEAFB8"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II.</w:t>
      </w:r>
      <w:r w:rsidRPr="00D63144">
        <w:rPr>
          <w:rFonts w:ascii="Abadi" w:hAnsi="Abadi" w:cs="ArialMT"/>
          <w:sz w:val="21"/>
          <w:szCs w:val="21"/>
        </w:rPr>
        <w:tab/>
        <w:t>La Secretaría de Desarrollo Social y Humano</w:t>
      </w:r>
    </w:p>
    <w:p w14:paraId="5EA81124" w14:textId="77777777" w:rsidR="00E84B5F" w:rsidRPr="00D63144" w:rsidRDefault="00E84B5F" w:rsidP="00E84B5F">
      <w:pPr>
        <w:autoSpaceDE w:val="0"/>
        <w:autoSpaceDN w:val="0"/>
        <w:adjustRightInd w:val="0"/>
        <w:jc w:val="both"/>
        <w:rPr>
          <w:rFonts w:ascii="Abadi" w:hAnsi="Abadi" w:cs="ArialMT"/>
          <w:sz w:val="21"/>
          <w:szCs w:val="21"/>
        </w:rPr>
      </w:pPr>
    </w:p>
    <w:p w14:paraId="70A6701C"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III.</w:t>
      </w:r>
      <w:r w:rsidRPr="00D63144">
        <w:rPr>
          <w:rFonts w:ascii="Abadi" w:hAnsi="Abadi" w:cs="ArialMT"/>
          <w:sz w:val="21"/>
          <w:szCs w:val="21"/>
        </w:rPr>
        <w:tab/>
        <w:t>La Secretaría de Educación</w:t>
      </w:r>
    </w:p>
    <w:p w14:paraId="3C27E0CD" w14:textId="77777777" w:rsidR="00E84B5F" w:rsidRPr="00D63144" w:rsidRDefault="00E84B5F" w:rsidP="00E84B5F">
      <w:pPr>
        <w:autoSpaceDE w:val="0"/>
        <w:autoSpaceDN w:val="0"/>
        <w:adjustRightInd w:val="0"/>
        <w:jc w:val="both"/>
        <w:rPr>
          <w:rFonts w:ascii="Abadi" w:hAnsi="Abadi" w:cs="ArialMT"/>
          <w:sz w:val="21"/>
          <w:szCs w:val="21"/>
        </w:rPr>
      </w:pPr>
    </w:p>
    <w:p w14:paraId="60E7F169"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IV.</w:t>
      </w:r>
      <w:r w:rsidRPr="00D63144">
        <w:rPr>
          <w:rFonts w:ascii="Abadi" w:hAnsi="Abadi" w:cs="ArialMT"/>
          <w:sz w:val="21"/>
          <w:szCs w:val="21"/>
        </w:rPr>
        <w:tab/>
        <w:t>La Secretaría de Salud</w:t>
      </w:r>
    </w:p>
    <w:p w14:paraId="3D253A49" w14:textId="77777777" w:rsidR="00E84B5F" w:rsidRPr="00D63144" w:rsidRDefault="00E84B5F" w:rsidP="00E84B5F">
      <w:pPr>
        <w:autoSpaceDE w:val="0"/>
        <w:autoSpaceDN w:val="0"/>
        <w:adjustRightInd w:val="0"/>
        <w:jc w:val="both"/>
        <w:rPr>
          <w:rFonts w:ascii="Abadi" w:hAnsi="Abadi" w:cs="ArialMT"/>
          <w:sz w:val="21"/>
          <w:szCs w:val="21"/>
        </w:rPr>
      </w:pPr>
    </w:p>
    <w:p w14:paraId="5839E6FF"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V.</w:t>
      </w:r>
      <w:r w:rsidRPr="00D63144">
        <w:rPr>
          <w:rFonts w:ascii="Abadi" w:hAnsi="Abadi" w:cs="ArialMT"/>
          <w:sz w:val="21"/>
          <w:szCs w:val="21"/>
        </w:rPr>
        <w:tab/>
        <w:t>DIF Estatal</w:t>
      </w:r>
    </w:p>
    <w:p w14:paraId="405FB4BB" w14:textId="77777777" w:rsidR="00E84B5F" w:rsidRPr="00D63144" w:rsidRDefault="00E84B5F" w:rsidP="00E84B5F">
      <w:pPr>
        <w:autoSpaceDE w:val="0"/>
        <w:autoSpaceDN w:val="0"/>
        <w:adjustRightInd w:val="0"/>
        <w:jc w:val="both"/>
        <w:rPr>
          <w:rFonts w:ascii="Abadi" w:hAnsi="Abadi" w:cs="ArialMT"/>
          <w:sz w:val="21"/>
          <w:szCs w:val="21"/>
        </w:rPr>
      </w:pPr>
    </w:p>
    <w:p w14:paraId="32A53995"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VI.</w:t>
      </w:r>
      <w:r w:rsidRPr="00D63144">
        <w:rPr>
          <w:rFonts w:ascii="Abadi" w:hAnsi="Abadi" w:cs="ArialMT"/>
          <w:sz w:val="21"/>
          <w:szCs w:val="21"/>
        </w:rPr>
        <w:tab/>
        <w:t>DIF municipales</w:t>
      </w:r>
    </w:p>
    <w:p w14:paraId="079EE632"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75F1B034"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VII.</w:t>
      </w:r>
      <w:r w:rsidRPr="00D63144">
        <w:rPr>
          <w:rFonts w:ascii="Abadi" w:hAnsi="Abadi" w:cs="ArialMT"/>
          <w:sz w:val="21"/>
          <w:szCs w:val="21"/>
        </w:rPr>
        <w:tab/>
        <w:t>Los hospitales…</w:t>
      </w:r>
    </w:p>
    <w:p w14:paraId="5401A2E4" w14:textId="77777777" w:rsidR="00E84B5F" w:rsidRPr="00D63144" w:rsidRDefault="00E84B5F" w:rsidP="00E84B5F">
      <w:pPr>
        <w:autoSpaceDE w:val="0"/>
        <w:autoSpaceDN w:val="0"/>
        <w:adjustRightInd w:val="0"/>
        <w:jc w:val="both"/>
        <w:rPr>
          <w:rFonts w:ascii="Abadi" w:hAnsi="Abadi" w:cs="ArialMT"/>
          <w:sz w:val="21"/>
          <w:szCs w:val="21"/>
        </w:rPr>
      </w:pPr>
    </w:p>
    <w:p w14:paraId="5DD2E329"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VIII.</w:t>
      </w:r>
      <w:r w:rsidRPr="00D63144">
        <w:rPr>
          <w:rFonts w:ascii="Abadi" w:hAnsi="Abadi" w:cs="ArialMT"/>
          <w:sz w:val="21"/>
          <w:szCs w:val="21"/>
        </w:rPr>
        <w:tab/>
        <w:t>El Instituto de Salud Pública del Estado de Guanajuato</w:t>
      </w:r>
    </w:p>
    <w:p w14:paraId="7E619008" w14:textId="77777777" w:rsidR="00E84B5F" w:rsidRPr="00D63144" w:rsidRDefault="00E84B5F" w:rsidP="00E84B5F">
      <w:pPr>
        <w:autoSpaceDE w:val="0"/>
        <w:autoSpaceDN w:val="0"/>
        <w:adjustRightInd w:val="0"/>
        <w:jc w:val="both"/>
        <w:rPr>
          <w:rFonts w:ascii="Abadi" w:hAnsi="Abadi" w:cs="ArialMT"/>
          <w:sz w:val="21"/>
          <w:szCs w:val="21"/>
        </w:rPr>
      </w:pPr>
    </w:p>
    <w:p w14:paraId="7FDF7192"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IX.</w:t>
      </w:r>
      <w:r w:rsidRPr="00D63144">
        <w:rPr>
          <w:rFonts w:ascii="Abadi" w:hAnsi="Abadi" w:cs="ArialMT"/>
          <w:sz w:val="21"/>
          <w:szCs w:val="21"/>
        </w:rPr>
        <w:tab/>
        <w:t>Las demás que establezca la presente Ley, la Ley General de Salud, la Ley General para la detección oportuna del cáncer en la infancia y en la adolescencia, y disposiciones legales y normativas aplicables.</w:t>
      </w:r>
    </w:p>
    <w:p w14:paraId="669B8675" w14:textId="77777777" w:rsidR="00595357"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3A14F92E" w14:textId="38887920" w:rsidR="00E84B5F"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Atribuciones de la persona Titular del Poder Ejecutivo</w:t>
      </w:r>
    </w:p>
    <w:p w14:paraId="51A83F63"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8.</w:t>
      </w:r>
      <w:r w:rsidRPr="00D63144">
        <w:rPr>
          <w:rFonts w:ascii="Abadi" w:hAnsi="Abadi" w:cs="ArialMT"/>
          <w:sz w:val="21"/>
          <w:szCs w:val="21"/>
        </w:rPr>
        <w:t xml:space="preserve"> Son atribuciones de la persona Titular de Poder Ejecutivo:</w:t>
      </w:r>
    </w:p>
    <w:p w14:paraId="3E94A576" w14:textId="77777777" w:rsidR="00E84B5F" w:rsidRPr="00D63144" w:rsidRDefault="00E84B5F" w:rsidP="00E84B5F">
      <w:pPr>
        <w:autoSpaceDE w:val="0"/>
        <w:autoSpaceDN w:val="0"/>
        <w:adjustRightInd w:val="0"/>
        <w:jc w:val="both"/>
        <w:rPr>
          <w:rFonts w:ascii="Abadi" w:hAnsi="Abadi" w:cs="ArialMT"/>
          <w:sz w:val="21"/>
          <w:szCs w:val="21"/>
        </w:rPr>
      </w:pPr>
    </w:p>
    <w:p w14:paraId="679C7A4E" w14:textId="5B6191EF" w:rsidR="00E84B5F" w:rsidRPr="00D63144" w:rsidRDefault="00E84B5F" w:rsidP="00343CA9">
      <w:pPr>
        <w:pStyle w:val="Prrafodelista"/>
        <w:numPr>
          <w:ilvl w:val="0"/>
          <w:numId w:val="43"/>
        </w:numPr>
        <w:autoSpaceDE w:val="0"/>
        <w:autoSpaceDN w:val="0"/>
        <w:adjustRightInd w:val="0"/>
        <w:jc w:val="both"/>
        <w:rPr>
          <w:rFonts w:ascii="Abadi" w:hAnsi="Abadi" w:cs="ArialMT"/>
          <w:sz w:val="21"/>
          <w:szCs w:val="21"/>
        </w:rPr>
      </w:pPr>
      <w:r w:rsidRPr="00D63144">
        <w:rPr>
          <w:rFonts w:ascii="Abadi" w:hAnsi="Abadi" w:cs="ArialMT"/>
          <w:sz w:val="21"/>
          <w:szCs w:val="21"/>
        </w:rPr>
        <w:t>Establecer las directrices que garanticen el programa para los usuarios que establece esta ley;</w:t>
      </w:r>
    </w:p>
    <w:p w14:paraId="790CE563" w14:textId="77777777" w:rsidR="00E84B5F" w:rsidRPr="00D63144" w:rsidRDefault="00E84B5F" w:rsidP="00E84B5F">
      <w:pPr>
        <w:autoSpaceDE w:val="0"/>
        <w:autoSpaceDN w:val="0"/>
        <w:adjustRightInd w:val="0"/>
        <w:jc w:val="both"/>
        <w:rPr>
          <w:rFonts w:ascii="Abadi" w:hAnsi="Abadi" w:cs="ArialMT"/>
          <w:sz w:val="21"/>
          <w:szCs w:val="21"/>
        </w:rPr>
      </w:pPr>
    </w:p>
    <w:p w14:paraId="7EC90C1C" w14:textId="14A9B85C" w:rsidR="00E84B5F" w:rsidRPr="00D63144" w:rsidRDefault="00E84B5F" w:rsidP="00343CA9">
      <w:pPr>
        <w:pStyle w:val="Prrafodelista"/>
        <w:numPr>
          <w:ilvl w:val="0"/>
          <w:numId w:val="43"/>
        </w:numPr>
        <w:autoSpaceDE w:val="0"/>
        <w:autoSpaceDN w:val="0"/>
        <w:adjustRightInd w:val="0"/>
        <w:jc w:val="both"/>
        <w:rPr>
          <w:rFonts w:ascii="Abadi" w:hAnsi="Abadi" w:cs="ArialMT"/>
          <w:sz w:val="21"/>
          <w:szCs w:val="21"/>
        </w:rPr>
      </w:pPr>
      <w:r w:rsidRPr="00D63144">
        <w:rPr>
          <w:rFonts w:ascii="Abadi" w:hAnsi="Abadi" w:cs="ArialMT"/>
          <w:sz w:val="21"/>
          <w:szCs w:val="21"/>
        </w:rPr>
        <w:t>Celebrar convenios para dar cumplimiento a los objetos de las Leyes Generales y Estatales en materia de salud y asistencia social; y}</w:t>
      </w:r>
    </w:p>
    <w:p w14:paraId="01E285D6" w14:textId="77777777" w:rsidR="00E84B5F" w:rsidRPr="00D63144" w:rsidRDefault="00E84B5F" w:rsidP="00E84B5F">
      <w:pPr>
        <w:autoSpaceDE w:val="0"/>
        <w:autoSpaceDN w:val="0"/>
        <w:adjustRightInd w:val="0"/>
        <w:jc w:val="both"/>
        <w:rPr>
          <w:rFonts w:ascii="Abadi" w:hAnsi="Abadi" w:cs="ArialMT"/>
          <w:sz w:val="21"/>
          <w:szCs w:val="21"/>
        </w:rPr>
      </w:pPr>
    </w:p>
    <w:p w14:paraId="2E64F0E9" w14:textId="207AD88A" w:rsidR="00595357" w:rsidRPr="00D63144" w:rsidRDefault="00E84B5F" w:rsidP="00343CA9">
      <w:pPr>
        <w:pStyle w:val="Prrafodelista"/>
        <w:numPr>
          <w:ilvl w:val="0"/>
          <w:numId w:val="43"/>
        </w:numPr>
        <w:autoSpaceDE w:val="0"/>
        <w:autoSpaceDN w:val="0"/>
        <w:adjustRightInd w:val="0"/>
        <w:jc w:val="both"/>
        <w:rPr>
          <w:rFonts w:ascii="Abadi" w:hAnsi="Abadi" w:cs="ArialMT"/>
          <w:sz w:val="21"/>
          <w:szCs w:val="21"/>
        </w:rPr>
      </w:pPr>
      <w:r w:rsidRPr="00D63144">
        <w:rPr>
          <w:rFonts w:ascii="Abadi" w:hAnsi="Abadi" w:cs="ArialMT"/>
          <w:sz w:val="21"/>
          <w:szCs w:val="21"/>
        </w:rPr>
        <w:t>Las demás que establezca esta Ley, su reglamento y las disposiciones legales aplicables.</w:t>
      </w:r>
    </w:p>
    <w:p w14:paraId="121AEE97" w14:textId="77777777" w:rsidR="00E84B5F" w:rsidRPr="00D63144" w:rsidRDefault="00E84B5F" w:rsidP="00E84B5F">
      <w:pPr>
        <w:autoSpaceDE w:val="0"/>
        <w:autoSpaceDN w:val="0"/>
        <w:adjustRightInd w:val="0"/>
        <w:jc w:val="both"/>
        <w:rPr>
          <w:rFonts w:ascii="Abadi" w:hAnsi="Abadi" w:cs="ArialMT"/>
          <w:sz w:val="21"/>
          <w:szCs w:val="21"/>
        </w:rPr>
      </w:pPr>
    </w:p>
    <w:p w14:paraId="2E3FCD41" w14:textId="77777777" w:rsidR="00E84B5F"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sz w:val="21"/>
          <w:szCs w:val="21"/>
        </w:rPr>
        <w:t xml:space="preserve">         </w:t>
      </w:r>
      <w:r w:rsidRPr="00D63144">
        <w:rPr>
          <w:rFonts w:ascii="Abadi" w:hAnsi="Abadi" w:cs="ArialMT"/>
          <w:b/>
          <w:bCs/>
          <w:i/>
          <w:iCs/>
          <w:sz w:val="21"/>
          <w:szCs w:val="21"/>
        </w:rPr>
        <w:t>Atribuciones de la Secretaría de Salud</w:t>
      </w:r>
    </w:p>
    <w:p w14:paraId="60B20B81"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9</w:t>
      </w:r>
      <w:r w:rsidRPr="00D63144">
        <w:rPr>
          <w:rFonts w:ascii="Abadi" w:hAnsi="Abadi" w:cs="ArialMT"/>
          <w:sz w:val="21"/>
          <w:szCs w:val="21"/>
        </w:rPr>
        <w:t>. Son atribuciones de la Secretaría de Salud, las siguientes:</w:t>
      </w:r>
    </w:p>
    <w:p w14:paraId="29704C5A" w14:textId="77777777" w:rsidR="00E84B5F" w:rsidRPr="00D63144" w:rsidRDefault="00E84B5F" w:rsidP="00E84B5F">
      <w:pPr>
        <w:autoSpaceDE w:val="0"/>
        <w:autoSpaceDN w:val="0"/>
        <w:adjustRightInd w:val="0"/>
        <w:jc w:val="both"/>
        <w:rPr>
          <w:rFonts w:ascii="Abadi" w:hAnsi="Abadi" w:cs="ArialMT"/>
          <w:sz w:val="21"/>
          <w:szCs w:val="21"/>
        </w:rPr>
      </w:pPr>
    </w:p>
    <w:p w14:paraId="542DCF2B" w14:textId="0007A7E9" w:rsidR="00E84B5F" w:rsidRPr="00D63144" w:rsidRDefault="00E84B5F" w:rsidP="00343CA9">
      <w:pPr>
        <w:pStyle w:val="Prrafodelista"/>
        <w:numPr>
          <w:ilvl w:val="0"/>
          <w:numId w:val="44"/>
        </w:numPr>
        <w:autoSpaceDE w:val="0"/>
        <w:autoSpaceDN w:val="0"/>
        <w:adjustRightInd w:val="0"/>
        <w:jc w:val="both"/>
        <w:rPr>
          <w:rFonts w:ascii="Abadi" w:hAnsi="Abadi" w:cs="ArialMT"/>
          <w:sz w:val="21"/>
          <w:szCs w:val="21"/>
        </w:rPr>
      </w:pPr>
      <w:r w:rsidRPr="00D63144">
        <w:rPr>
          <w:rFonts w:ascii="Abadi" w:hAnsi="Abadi" w:cs="ArialMT"/>
          <w:sz w:val="21"/>
          <w:szCs w:val="21"/>
        </w:rPr>
        <w:t>Establecer las bases, mecanismos, modalidades y acciones necesarias para el acceso a los servicios médicos para la infancia y la adolescencia con cáncer proporcionados por el Estado;</w:t>
      </w:r>
    </w:p>
    <w:p w14:paraId="7C71807B" w14:textId="77777777" w:rsidR="00E84B5F" w:rsidRPr="00D63144" w:rsidRDefault="00E84B5F" w:rsidP="00E84B5F">
      <w:pPr>
        <w:autoSpaceDE w:val="0"/>
        <w:autoSpaceDN w:val="0"/>
        <w:adjustRightInd w:val="0"/>
        <w:jc w:val="both"/>
        <w:rPr>
          <w:rFonts w:ascii="Abadi" w:hAnsi="Abadi" w:cs="ArialMT"/>
          <w:sz w:val="21"/>
          <w:szCs w:val="21"/>
        </w:rPr>
      </w:pPr>
    </w:p>
    <w:p w14:paraId="295AE30D" w14:textId="3B3F1698" w:rsidR="00E84B5F" w:rsidRPr="00D63144" w:rsidRDefault="00E84B5F" w:rsidP="00343CA9">
      <w:pPr>
        <w:pStyle w:val="Prrafodelista"/>
        <w:numPr>
          <w:ilvl w:val="0"/>
          <w:numId w:val="44"/>
        </w:numPr>
        <w:autoSpaceDE w:val="0"/>
        <w:autoSpaceDN w:val="0"/>
        <w:adjustRightInd w:val="0"/>
        <w:jc w:val="both"/>
        <w:rPr>
          <w:rFonts w:ascii="Abadi" w:hAnsi="Abadi" w:cs="ArialMT"/>
          <w:sz w:val="21"/>
          <w:szCs w:val="21"/>
        </w:rPr>
      </w:pPr>
      <w:r w:rsidRPr="00D63144">
        <w:rPr>
          <w:rFonts w:ascii="Abadi" w:hAnsi="Abadi" w:cs="ArialMT"/>
          <w:sz w:val="21"/>
          <w:szCs w:val="21"/>
        </w:rPr>
        <w:t xml:space="preserve">Celebrar convenios para la consecución de los fines y el objeto de la presente ley, en los términos de la Ley General de Salud, La Ley General para la Detección oportuna del cáncer en la </w:t>
      </w:r>
      <w:proofErr w:type="spellStart"/>
      <w:r w:rsidRPr="00D63144">
        <w:rPr>
          <w:rFonts w:ascii="Abadi" w:hAnsi="Abadi" w:cs="ArialMT"/>
          <w:sz w:val="21"/>
          <w:szCs w:val="21"/>
        </w:rPr>
        <w:t>lnfancia</w:t>
      </w:r>
      <w:proofErr w:type="spellEnd"/>
      <w:r w:rsidRPr="00D63144">
        <w:rPr>
          <w:rFonts w:ascii="Abadi" w:hAnsi="Abadi" w:cs="ArialMT"/>
          <w:sz w:val="21"/>
          <w:szCs w:val="21"/>
        </w:rPr>
        <w:t xml:space="preserve"> y en la Adolescencia, así como en las disposiciones legales y normativas aplicables;</w:t>
      </w:r>
    </w:p>
    <w:p w14:paraId="1EC520A6" w14:textId="77777777" w:rsidR="00E84B5F" w:rsidRPr="00D63144" w:rsidRDefault="00E84B5F" w:rsidP="00E84B5F">
      <w:pPr>
        <w:autoSpaceDE w:val="0"/>
        <w:autoSpaceDN w:val="0"/>
        <w:adjustRightInd w:val="0"/>
        <w:jc w:val="both"/>
        <w:rPr>
          <w:rFonts w:ascii="Abadi" w:hAnsi="Abadi" w:cs="ArialMT"/>
          <w:sz w:val="21"/>
          <w:szCs w:val="21"/>
        </w:rPr>
      </w:pPr>
    </w:p>
    <w:p w14:paraId="0B823941" w14:textId="102B9F66" w:rsidR="00E84B5F" w:rsidRPr="00D63144" w:rsidRDefault="00E84B5F" w:rsidP="00343CA9">
      <w:pPr>
        <w:pStyle w:val="Prrafodelista"/>
        <w:numPr>
          <w:ilvl w:val="0"/>
          <w:numId w:val="44"/>
        </w:numPr>
        <w:autoSpaceDE w:val="0"/>
        <w:autoSpaceDN w:val="0"/>
        <w:adjustRightInd w:val="0"/>
        <w:jc w:val="both"/>
        <w:rPr>
          <w:rFonts w:ascii="Abadi" w:hAnsi="Abadi" w:cs="ArialMT"/>
          <w:sz w:val="21"/>
          <w:szCs w:val="21"/>
        </w:rPr>
      </w:pPr>
      <w:r w:rsidRPr="00D63144">
        <w:rPr>
          <w:rFonts w:ascii="Abadi" w:hAnsi="Abadi" w:cs="ArialMT"/>
          <w:sz w:val="21"/>
          <w:szCs w:val="21"/>
        </w:rPr>
        <w:t>Coordinar la forma en que los Municipios coadyuvarán en la aplicación de la presente ley; y</w:t>
      </w:r>
    </w:p>
    <w:p w14:paraId="1DDB27E4" w14:textId="77777777" w:rsidR="00E84B5F" w:rsidRPr="00D63144" w:rsidRDefault="00E84B5F" w:rsidP="00E84B5F">
      <w:pPr>
        <w:autoSpaceDE w:val="0"/>
        <w:autoSpaceDN w:val="0"/>
        <w:adjustRightInd w:val="0"/>
        <w:jc w:val="both"/>
        <w:rPr>
          <w:rFonts w:ascii="Abadi" w:hAnsi="Abadi" w:cs="ArialMT"/>
          <w:sz w:val="21"/>
          <w:szCs w:val="21"/>
        </w:rPr>
      </w:pPr>
    </w:p>
    <w:p w14:paraId="7B960EEC" w14:textId="1CC3D2A6" w:rsidR="00E84B5F" w:rsidRPr="00D63144" w:rsidRDefault="00E84B5F" w:rsidP="00343CA9">
      <w:pPr>
        <w:pStyle w:val="Prrafodelista"/>
        <w:numPr>
          <w:ilvl w:val="0"/>
          <w:numId w:val="44"/>
        </w:numPr>
        <w:autoSpaceDE w:val="0"/>
        <w:autoSpaceDN w:val="0"/>
        <w:adjustRightInd w:val="0"/>
        <w:jc w:val="both"/>
        <w:rPr>
          <w:rFonts w:ascii="Abadi" w:hAnsi="Abadi" w:cs="ArialMT"/>
          <w:sz w:val="21"/>
          <w:szCs w:val="21"/>
        </w:rPr>
      </w:pPr>
      <w:r w:rsidRPr="00D63144">
        <w:rPr>
          <w:rFonts w:ascii="Abadi" w:hAnsi="Abadi" w:cs="ArialMT"/>
          <w:sz w:val="21"/>
          <w:szCs w:val="21"/>
        </w:rPr>
        <w:t>Las demás que establezca esta Ley, su reglamento y las disposiciones legales aplicables.</w:t>
      </w:r>
    </w:p>
    <w:p w14:paraId="46C75D4F"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695376FD" w14:textId="77777777" w:rsidR="00E84B5F"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Atribuciones de la Secretaría de Desarrollo Social y Humano</w:t>
      </w:r>
    </w:p>
    <w:p w14:paraId="4208B934"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10.</w:t>
      </w:r>
      <w:r w:rsidRPr="00D63144">
        <w:rPr>
          <w:rFonts w:ascii="Abadi" w:hAnsi="Abadi" w:cs="ArialMT"/>
          <w:sz w:val="21"/>
          <w:szCs w:val="21"/>
        </w:rPr>
        <w:t xml:space="preserve"> Son atribuciones de la Secretaría de Desarrollo Social y Humano, las siguientes:</w:t>
      </w:r>
    </w:p>
    <w:p w14:paraId="63B5CBF1" w14:textId="77777777" w:rsidR="00E84B5F" w:rsidRPr="00D63144" w:rsidRDefault="00E84B5F" w:rsidP="00E84B5F">
      <w:pPr>
        <w:autoSpaceDE w:val="0"/>
        <w:autoSpaceDN w:val="0"/>
        <w:adjustRightInd w:val="0"/>
        <w:jc w:val="both"/>
        <w:rPr>
          <w:rFonts w:ascii="Abadi" w:hAnsi="Abadi" w:cs="ArialMT"/>
          <w:sz w:val="21"/>
          <w:szCs w:val="21"/>
        </w:rPr>
      </w:pPr>
    </w:p>
    <w:p w14:paraId="505DC467" w14:textId="4334309E" w:rsidR="00E84B5F" w:rsidRPr="00D63144" w:rsidRDefault="00E84B5F" w:rsidP="00343CA9">
      <w:pPr>
        <w:pStyle w:val="Prrafodelista"/>
        <w:numPr>
          <w:ilvl w:val="0"/>
          <w:numId w:val="45"/>
        </w:numPr>
        <w:autoSpaceDE w:val="0"/>
        <w:autoSpaceDN w:val="0"/>
        <w:adjustRightInd w:val="0"/>
        <w:jc w:val="both"/>
        <w:rPr>
          <w:rFonts w:ascii="Abadi" w:hAnsi="Abadi" w:cs="ArialMT"/>
          <w:sz w:val="21"/>
          <w:szCs w:val="21"/>
        </w:rPr>
      </w:pPr>
      <w:r w:rsidRPr="00D63144">
        <w:rPr>
          <w:rFonts w:ascii="Abadi" w:hAnsi="Abadi" w:cs="ArialMT"/>
          <w:sz w:val="21"/>
          <w:szCs w:val="21"/>
        </w:rPr>
        <w:t>Elaborar y aplicar el Programa para la infancia y adolescencia con cáncer, para la aprobación del Sistema;</w:t>
      </w:r>
    </w:p>
    <w:p w14:paraId="384473D1" w14:textId="77777777" w:rsidR="00E84B5F" w:rsidRPr="00D63144" w:rsidRDefault="00E84B5F" w:rsidP="00E84B5F">
      <w:pPr>
        <w:autoSpaceDE w:val="0"/>
        <w:autoSpaceDN w:val="0"/>
        <w:adjustRightInd w:val="0"/>
        <w:jc w:val="both"/>
        <w:rPr>
          <w:rFonts w:ascii="Abadi" w:hAnsi="Abadi" w:cs="ArialMT"/>
          <w:sz w:val="21"/>
          <w:szCs w:val="21"/>
        </w:rPr>
      </w:pPr>
    </w:p>
    <w:p w14:paraId="351BEEF2" w14:textId="72E56E8A" w:rsidR="00E84B5F" w:rsidRPr="00D63144" w:rsidRDefault="00E84B5F" w:rsidP="00343CA9">
      <w:pPr>
        <w:pStyle w:val="Prrafodelista"/>
        <w:numPr>
          <w:ilvl w:val="0"/>
          <w:numId w:val="45"/>
        </w:numPr>
        <w:autoSpaceDE w:val="0"/>
        <w:autoSpaceDN w:val="0"/>
        <w:adjustRightInd w:val="0"/>
        <w:jc w:val="both"/>
        <w:rPr>
          <w:rFonts w:ascii="Abadi" w:hAnsi="Abadi" w:cs="ArialMT"/>
          <w:sz w:val="21"/>
          <w:szCs w:val="21"/>
        </w:rPr>
      </w:pPr>
      <w:r w:rsidRPr="00D63144">
        <w:rPr>
          <w:rFonts w:ascii="Abadi" w:hAnsi="Abadi" w:cs="ArialMT"/>
          <w:sz w:val="21"/>
          <w:szCs w:val="21"/>
        </w:rPr>
        <w:t>Establecer las bases, mecanismos, modalidades y acciones necesarias para la prestación de los servicios integrales a que se refiere la legislación general y estatal normativa y reglamentaria aplicable;</w:t>
      </w:r>
    </w:p>
    <w:p w14:paraId="0BAA8179" w14:textId="77777777" w:rsidR="00E84B5F" w:rsidRPr="00D63144" w:rsidRDefault="00E84B5F" w:rsidP="00E84B5F">
      <w:pPr>
        <w:autoSpaceDE w:val="0"/>
        <w:autoSpaceDN w:val="0"/>
        <w:adjustRightInd w:val="0"/>
        <w:jc w:val="both"/>
        <w:rPr>
          <w:rFonts w:ascii="Abadi" w:hAnsi="Abadi" w:cs="ArialMT"/>
          <w:sz w:val="21"/>
          <w:szCs w:val="21"/>
        </w:rPr>
      </w:pPr>
    </w:p>
    <w:p w14:paraId="2735C458" w14:textId="7398BE06" w:rsidR="00E84B5F" w:rsidRPr="00D63144" w:rsidRDefault="00E84B5F" w:rsidP="00343CA9">
      <w:pPr>
        <w:pStyle w:val="Prrafodelista"/>
        <w:numPr>
          <w:ilvl w:val="0"/>
          <w:numId w:val="45"/>
        </w:numPr>
        <w:autoSpaceDE w:val="0"/>
        <w:autoSpaceDN w:val="0"/>
        <w:adjustRightInd w:val="0"/>
        <w:jc w:val="both"/>
        <w:rPr>
          <w:rFonts w:ascii="Abadi" w:hAnsi="Abadi" w:cs="ArialMT"/>
          <w:sz w:val="21"/>
          <w:szCs w:val="21"/>
        </w:rPr>
      </w:pPr>
      <w:r w:rsidRPr="00D63144">
        <w:rPr>
          <w:rFonts w:ascii="Abadi" w:hAnsi="Abadi" w:cs="ArialMT"/>
          <w:sz w:val="21"/>
          <w:szCs w:val="21"/>
        </w:rPr>
        <w:t>Celebrar convenios de colaboración para el cumplimiento del objeto de la presente ley;</w:t>
      </w:r>
    </w:p>
    <w:p w14:paraId="54BA1F16" w14:textId="77777777" w:rsidR="00E84B5F" w:rsidRPr="00D63144" w:rsidRDefault="00E84B5F" w:rsidP="00E84B5F">
      <w:pPr>
        <w:autoSpaceDE w:val="0"/>
        <w:autoSpaceDN w:val="0"/>
        <w:adjustRightInd w:val="0"/>
        <w:jc w:val="both"/>
        <w:rPr>
          <w:rFonts w:ascii="Abadi" w:hAnsi="Abadi" w:cs="ArialMT"/>
          <w:sz w:val="21"/>
          <w:szCs w:val="21"/>
        </w:rPr>
      </w:pPr>
    </w:p>
    <w:p w14:paraId="034774E6" w14:textId="2CD0D320" w:rsidR="00E84B5F" w:rsidRPr="00D63144" w:rsidRDefault="00E84B5F" w:rsidP="00343CA9">
      <w:pPr>
        <w:pStyle w:val="Prrafodelista"/>
        <w:numPr>
          <w:ilvl w:val="0"/>
          <w:numId w:val="45"/>
        </w:numPr>
        <w:autoSpaceDE w:val="0"/>
        <w:autoSpaceDN w:val="0"/>
        <w:adjustRightInd w:val="0"/>
        <w:jc w:val="both"/>
        <w:rPr>
          <w:rFonts w:ascii="Abadi" w:hAnsi="Abadi" w:cs="ArialMT"/>
          <w:sz w:val="21"/>
          <w:szCs w:val="21"/>
        </w:rPr>
      </w:pPr>
      <w:r w:rsidRPr="00D63144">
        <w:rPr>
          <w:rFonts w:ascii="Abadi" w:hAnsi="Abadi" w:cs="ArialMT"/>
          <w:sz w:val="21"/>
          <w:szCs w:val="21"/>
        </w:rPr>
        <w:t>Coordinar y promover las acciones de los organismos en el Estado que presten los servicios asistenciales;</w:t>
      </w:r>
    </w:p>
    <w:p w14:paraId="675C503A" w14:textId="77777777" w:rsidR="00E84B5F" w:rsidRPr="00D63144" w:rsidRDefault="00E84B5F" w:rsidP="00E84B5F">
      <w:pPr>
        <w:autoSpaceDE w:val="0"/>
        <w:autoSpaceDN w:val="0"/>
        <w:adjustRightInd w:val="0"/>
        <w:jc w:val="both"/>
        <w:rPr>
          <w:rFonts w:ascii="Abadi" w:hAnsi="Abadi" w:cs="ArialMT"/>
          <w:sz w:val="21"/>
          <w:szCs w:val="21"/>
        </w:rPr>
      </w:pPr>
    </w:p>
    <w:p w14:paraId="5B7EB583" w14:textId="68B1D38B" w:rsidR="00E84B5F" w:rsidRPr="00D63144" w:rsidRDefault="00E84B5F" w:rsidP="00343CA9">
      <w:pPr>
        <w:pStyle w:val="Prrafodelista"/>
        <w:numPr>
          <w:ilvl w:val="0"/>
          <w:numId w:val="45"/>
        </w:numPr>
        <w:autoSpaceDE w:val="0"/>
        <w:autoSpaceDN w:val="0"/>
        <w:adjustRightInd w:val="0"/>
        <w:jc w:val="both"/>
        <w:rPr>
          <w:rFonts w:ascii="Abadi" w:hAnsi="Abadi" w:cs="ArialMT"/>
          <w:sz w:val="21"/>
          <w:szCs w:val="21"/>
        </w:rPr>
      </w:pPr>
      <w:r w:rsidRPr="00D63144">
        <w:rPr>
          <w:rFonts w:ascii="Abadi" w:hAnsi="Abadi" w:cs="ArialMT"/>
          <w:sz w:val="21"/>
          <w:szCs w:val="21"/>
        </w:rPr>
        <w:t>Promover la concurrencia y colaboración de los gobiernos federal, estatal y municipal, así como la participación del sector privado, en la prestación de los servicios de asistencia social;</w:t>
      </w:r>
    </w:p>
    <w:p w14:paraId="27063769" w14:textId="77777777" w:rsidR="00E84B5F" w:rsidRPr="00D63144" w:rsidRDefault="00E84B5F" w:rsidP="00E84B5F">
      <w:pPr>
        <w:autoSpaceDE w:val="0"/>
        <w:autoSpaceDN w:val="0"/>
        <w:adjustRightInd w:val="0"/>
        <w:jc w:val="both"/>
        <w:rPr>
          <w:rFonts w:ascii="Abadi" w:hAnsi="Abadi" w:cs="ArialMT"/>
          <w:sz w:val="21"/>
          <w:szCs w:val="21"/>
        </w:rPr>
      </w:pPr>
    </w:p>
    <w:p w14:paraId="3488824C" w14:textId="37AC63C6" w:rsidR="00E84B5F" w:rsidRPr="00D63144" w:rsidRDefault="00E84B5F" w:rsidP="00343CA9">
      <w:pPr>
        <w:pStyle w:val="Prrafodelista"/>
        <w:numPr>
          <w:ilvl w:val="0"/>
          <w:numId w:val="45"/>
        </w:numPr>
        <w:autoSpaceDE w:val="0"/>
        <w:autoSpaceDN w:val="0"/>
        <w:adjustRightInd w:val="0"/>
        <w:jc w:val="both"/>
        <w:rPr>
          <w:rFonts w:ascii="Abadi" w:hAnsi="Abadi" w:cs="ArialMT"/>
          <w:sz w:val="21"/>
          <w:szCs w:val="21"/>
        </w:rPr>
      </w:pPr>
      <w:r w:rsidRPr="00D63144">
        <w:rPr>
          <w:rFonts w:ascii="Abadi" w:hAnsi="Abadi" w:cs="ArialMT"/>
          <w:sz w:val="21"/>
          <w:szCs w:val="21"/>
        </w:rPr>
        <w:t>Regular el funcionamiento de las instituciones públicas y privadas que presten servicios asistenciales;</w:t>
      </w:r>
    </w:p>
    <w:p w14:paraId="73FB7E90" w14:textId="77777777" w:rsidR="00E84B5F" w:rsidRPr="00D63144" w:rsidRDefault="00E84B5F" w:rsidP="00E84B5F">
      <w:pPr>
        <w:autoSpaceDE w:val="0"/>
        <w:autoSpaceDN w:val="0"/>
        <w:adjustRightInd w:val="0"/>
        <w:jc w:val="both"/>
        <w:rPr>
          <w:rFonts w:ascii="Abadi" w:hAnsi="Abadi" w:cs="ArialMT"/>
          <w:sz w:val="21"/>
          <w:szCs w:val="21"/>
        </w:rPr>
      </w:pPr>
    </w:p>
    <w:p w14:paraId="12335C2B" w14:textId="2C27A6AF" w:rsidR="00E84B5F" w:rsidRPr="00D63144" w:rsidRDefault="00E84B5F" w:rsidP="00343CA9">
      <w:pPr>
        <w:pStyle w:val="Prrafodelista"/>
        <w:numPr>
          <w:ilvl w:val="0"/>
          <w:numId w:val="45"/>
        </w:numPr>
        <w:autoSpaceDE w:val="0"/>
        <w:autoSpaceDN w:val="0"/>
        <w:adjustRightInd w:val="0"/>
        <w:jc w:val="both"/>
        <w:rPr>
          <w:rFonts w:ascii="Abadi" w:hAnsi="Abadi" w:cs="ArialMT"/>
          <w:sz w:val="21"/>
          <w:szCs w:val="21"/>
        </w:rPr>
      </w:pPr>
      <w:r w:rsidRPr="00D63144">
        <w:rPr>
          <w:rFonts w:ascii="Abadi" w:hAnsi="Abadi" w:cs="ArialMT"/>
          <w:sz w:val="21"/>
          <w:szCs w:val="21"/>
        </w:rPr>
        <w:t>Implementar acciones para disminuir el abandono al tratamiento;</w:t>
      </w:r>
    </w:p>
    <w:p w14:paraId="576388DB" w14:textId="77777777" w:rsidR="00E84B5F" w:rsidRPr="00D63144" w:rsidRDefault="00E84B5F" w:rsidP="00E84B5F">
      <w:pPr>
        <w:autoSpaceDE w:val="0"/>
        <w:autoSpaceDN w:val="0"/>
        <w:adjustRightInd w:val="0"/>
        <w:jc w:val="both"/>
        <w:rPr>
          <w:rFonts w:ascii="Abadi" w:hAnsi="Abadi" w:cs="ArialMT"/>
          <w:sz w:val="21"/>
          <w:szCs w:val="21"/>
        </w:rPr>
      </w:pPr>
    </w:p>
    <w:p w14:paraId="20860BFB" w14:textId="033E29C3" w:rsidR="00E84B5F" w:rsidRPr="00D63144" w:rsidRDefault="00E84B5F" w:rsidP="00343CA9">
      <w:pPr>
        <w:pStyle w:val="Prrafodelista"/>
        <w:numPr>
          <w:ilvl w:val="0"/>
          <w:numId w:val="45"/>
        </w:numPr>
        <w:autoSpaceDE w:val="0"/>
        <w:autoSpaceDN w:val="0"/>
        <w:adjustRightInd w:val="0"/>
        <w:jc w:val="both"/>
        <w:rPr>
          <w:rFonts w:ascii="Abadi" w:hAnsi="Abadi" w:cs="ArialMT"/>
          <w:sz w:val="21"/>
          <w:szCs w:val="21"/>
        </w:rPr>
      </w:pPr>
      <w:r w:rsidRPr="00D63144">
        <w:rPr>
          <w:rFonts w:ascii="Abadi" w:hAnsi="Abadi" w:cs="ArialMT"/>
          <w:sz w:val="21"/>
          <w:szCs w:val="21"/>
        </w:rPr>
        <w:t>Establecer los lineamientos para apoyar a los usuarios del programa señalado en este ordenamiento; y</w:t>
      </w:r>
    </w:p>
    <w:p w14:paraId="51866E87" w14:textId="77777777" w:rsidR="00E84B5F" w:rsidRPr="00D63144" w:rsidRDefault="00E84B5F" w:rsidP="00E84B5F">
      <w:pPr>
        <w:autoSpaceDE w:val="0"/>
        <w:autoSpaceDN w:val="0"/>
        <w:adjustRightInd w:val="0"/>
        <w:jc w:val="both"/>
        <w:rPr>
          <w:rFonts w:ascii="Abadi" w:hAnsi="Abadi" w:cs="ArialMT"/>
          <w:sz w:val="21"/>
          <w:szCs w:val="21"/>
        </w:rPr>
      </w:pPr>
    </w:p>
    <w:p w14:paraId="2D4B22C9" w14:textId="73FCAE87" w:rsidR="00E84B5F" w:rsidRPr="00D63144" w:rsidRDefault="00E84B5F" w:rsidP="00343CA9">
      <w:pPr>
        <w:pStyle w:val="Prrafodelista"/>
        <w:numPr>
          <w:ilvl w:val="0"/>
          <w:numId w:val="45"/>
        </w:numPr>
        <w:autoSpaceDE w:val="0"/>
        <w:autoSpaceDN w:val="0"/>
        <w:adjustRightInd w:val="0"/>
        <w:jc w:val="both"/>
        <w:rPr>
          <w:rFonts w:ascii="Abadi" w:hAnsi="Abadi" w:cs="ArialMT"/>
          <w:sz w:val="21"/>
          <w:szCs w:val="21"/>
        </w:rPr>
      </w:pPr>
      <w:r w:rsidRPr="00D63144">
        <w:rPr>
          <w:rFonts w:ascii="Abadi" w:hAnsi="Abadi" w:cs="ArialMT"/>
          <w:sz w:val="21"/>
          <w:szCs w:val="21"/>
        </w:rPr>
        <w:t>Las demás que establezca esta Ley, su reglamento y las disposiciones legales aplicables.</w:t>
      </w:r>
    </w:p>
    <w:p w14:paraId="36824885" w14:textId="77777777" w:rsidR="00E84B5F" w:rsidRPr="00D63144" w:rsidRDefault="00E84B5F" w:rsidP="00E84B5F">
      <w:pPr>
        <w:autoSpaceDE w:val="0"/>
        <w:autoSpaceDN w:val="0"/>
        <w:adjustRightInd w:val="0"/>
        <w:jc w:val="both"/>
        <w:rPr>
          <w:rFonts w:ascii="Abadi" w:hAnsi="Abadi" w:cs="ArialMT"/>
          <w:sz w:val="21"/>
          <w:szCs w:val="21"/>
        </w:rPr>
      </w:pPr>
    </w:p>
    <w:p w14:paraId="3F24E571" w14:textId="77777777" w:rsidR="00E84B5F"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Atribuciones de la Secretaría de Educación</w:t>
      </w:r>
    </w:p>
    <w:p w14:paraId="0582F2B3"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11.</w:t>
      </w:r>
      <w:r w:rsidRPr="00D63144">
        <w:rPr>
          <w:rFonts w:ascii="Abadi" w:hAnsi="Abadi" w:cs="ArialMT"/>
          <w:sz w:val="21"/>
          <w:szCs w:val="21"/>
        </w:rPr>
        <w:t xml:space="preserve"> Son atribuciones de la Secretaría de Educación, las siguientes:</w:t>
      </w:r>
    </w:p>
    <w:p w14:paraId="0BA57DEB" w14:textId="77777777" w:rsidR="00E84B5F" w:rsidRPr="00D63144" w:rsidRDefault="00E84B5F" w:rsidP="00E84B5F">
      <w:pPr>
        <w:autoSpaceDE w:val="0"/>
        <w:autoSpaceDN w:val="0"/>
        <w:adjustRightInd w:val="0"/>
        <w:jc w:val="both"/>
        <w:rPr>
          <w:rFonts w:ascii="Abadi" w:hAnsi="Abadi" w:cs="ArialMT"/>
          <w:sz w:val="21"/>
          <w:szCs w:val="21"/>
        </w:rPr>
      </w:pPr>
    </w:p>
    <w:p w14:paraId="66DC5F62" w14:textId="1AC97C9C" w:rsidR="00E84B5F" w:rsidRPr="00D63144" w:rsidRDefault="00E84B5F" w:rsidP="00343CA9">
      <w:pPr>
        <w:pStyle w:val="Prrafodelista"/>
        <w:numPr>
          <w:ilvl w:val="0"/>
          <w:numId w:val="46"/>
        </w:numPr>
        <w:autoSpaceDE w:val="0"/>
        <w:autoSpaceDN w:val="0"/>
        <w:adjustRightInd w:val="0"/>
        <w:jc w:val="both"/>
        <w:rPr>
          <w:rFonts w:ascii="Abadi" w:hAnsi="Abadi" w:cs="ArialMT"/>
          <w:sz w:val="21"/>
          <w:szCs w:val="21"/>
        </w:rPr>
      </w:pPr>
      <w:r w:rsidRPr="00D63144">
        <w:rPr>
          <w:rFonts w:ascii="Abadi" w:hAnsi="Abadi" w:cs="ArialMT"/>
          <w:sz w:val="21"/>
          <w:szCs w:val="21"/>
        </w:rPr>
        <w:t>Contribuir en las acciones de prevención y detección oportuna del cáncer infantil y en la adolescencia en los centros educativos;</w:t>
      </w:r>
    </w:p>
    <w:p w14:paraId="2F442997"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64FC4A6A" w14:textId="5D9F0AC8" w:rsidR="00E84B5F" w:rsidRPr="00D63144" w:rsidRDefault="00E84B5F" w:rsidP="00343CA9">
      <w:pPr>
        <w:pStyle w:val="Prrafodelista"/>
        <w:numPr>
          <w:ilvl w:val="0"/>
          <w:numId w:val="46"/>
        </w:numPr>
        <w:autoSpaceDE w:val="0"/>
        <w:autoSpaceDN w:val="0"/>
        <w:adjustRightInd w:val="0"/>
        <w:jc w:val="both"/>
        <w:rPr>
          <w:rFonts w:ascii="Abadi" w:hAnsi="Abadi" w:cs="ArialMT"/>
          <w:sz w:val="21"/>
          <w:szCs w:val="21"/>
        </w:rPr>
      </w:pPr>
      <w:r w:rsidRPr="00D63144">
        <w:rPr>
          <w:rFonts w:ascii="Abadi" w:hAnsi="Abadi" w:cs="ArialMT"/>
          <w:sz w:val="21"/>
          <w:szCs w:val="21"/>
        </w:rPr>
        <w:t>Celebrar convenios de coordinación y participación, a fin de que los Centros cuenten con personal educativo del sistema de educación básica que brindan atención escolar conforme al horario que acuerden padres o tutores; con el propósito de otorgar especial apoyo académico a los usuarios del programa, para que las ausencias escolares por motivo del tratamiento y consecuencias de la enfermedad no afecten de manera significativa su rendimiento académico;</w:t>
      </w:r>
    </w:p>
    <w:p w14:paraId="3DBFA611" w14:textId="77777777" w:rsidR="00E84B5F" w:rsidRPr="00D63144" w:rsidRDefault="00E84B5F" w:rsidP="00E84B5F">
      <w:pPr>
        <w:autoSpaceDE w:val="0"/>
        <w:autoSpaceDN w:val="0"/>
        <w:adjustRightInd w:val="0"/>
        <w:jc w:val="both"/>
        <w:rPr>
          <w:rFonts w:ascii="Abadi" w:hAnsi="Abadi" w:cs="ArialMT"/>
          <w:sz w:val="21"/>
          <w:szCs w:val="21"/>
        </w:rPr>
      </w:pPr>
    </w:p>
    <w:p w14:paraId="7C52A0AE" w14:textId="753462FA" w:rsidR="00E84B5F" w:rsidRPr="00D63144" w:rsidRDefault="00E84B5F" w:rsidP="00343CA9">
      <w:pPr>
        <w:pStyle w:val="Prrafodelista"/>
        <w:numPr>
          <w:ilvl w:val="0"/>
          <w:numId w:val="46"/>
        </w:numPr>
        <w:autoSpaceDE w:val="0"/>
        <w:autoSpaceDN w:val="0"/>
        <w:adjustRightInd w:val="0"/>
        <w:jc w:val="both"/>
        <w:rPr>
          <w:rFonts w:ascii="Abadi" w:hAnsi="Abadi" w:cs="ArialMT"/>
          <w:sz w:val="21"/>
          <w:szCs w:val="21"/>
        </w:rPr>
      </w:pPr>
      <w:r w:rsidRPr="00D63144">
        <w:rPr>
          <w:rFonts w:ascii="Abadi" w:hAnsi="Abadi" w:cs="ArialMT"/>
          <w:sz w:val="21"/>
          <w:szCs w:val="21"/>
        </w:rPr>
        <w:t>Otorgar facilidades a las niñas, niños y adolescentes que padezcan cáncer para no afectar su desempeño académico y evitar la deserción escolar;</w:t>
      </w:r>
    </w:p>
    <w:p w14:paraId="08EB307F" w14:textId="77777777" w:rsidR="00E84B5F" w:rsidRPr="00D63144" w:rsidRDefault="00E84B5F" w:rsidP="00E84B5F">
      <w:pPr>
        <w:autoSpaceDE w:val="0"/>
        <w:autoSpaceDN w:val="0"/>
        <w:adjustRightInd w:val="0"/>
        <w:jc w:val="both"/>
        <w:rPr>
          <w:rFonts w:ascii="Abadi" w:hAnsi="Abadi" w:cs="ArialMT"/>
          <w:sz w:val="21"/>
          <w:szCs w:val="21"/>
        </w:rPr>
      </w:pPr>
    </w:p>
    <w:p w14:paraId="41B02039" w14:textId="7B54126B" w:rsidR="00E84B5F" w:rsidRPr="00D63144" w:rsidRDefault="00E84B5F" w:rsidP="00343CA9">
      <w:pPr>
        <w:pStyle w:val="Prrafodelista"/>
        <w:numPr>
          <w:ilvl w:val="0"/>
          <w:numId w:val="46"/>
        </w:numPr>
        <w:autoSpaceDE w:val="0"/>
        <w:autoSpaceDN w:val="0"/>
        <w:adjustRightInd w:val="0"/>
        <w:jc w:val="both"/>
        <w:rPr>
          <w:rFonts w:ascii="Abadi" w:hAnsi="Abadi" w:cs="ArialMT"/>
          <w:sz w:val="21"/>
          <w:szCs w:val="21"/>
        </w:rPr>
      </w:pPr>
      <w:r w:rsidRPr="00D63144">
        <w:rPr>
          <w:rFonts w:ascii="Abadi" w:hAnsi="Abadi" w:cs="ArialMT"/>
          <w:sz w:val="21"/>
          <w:szCs w:val="21"/>
        </w:rPr>
        <w:t>Sensibilizar al personal docente y alumnos en la no discriminación y apego al respeto de los derechos de las niñas, niños y adolescentes con cáncer;</w:t>
      </w:r>
    </w:p>
    <w:p w14:paraId="1CD10B5E" w14:textId="77777777" w:rsidR="00E84B5F" w:rsidRPr="00D63144" w:rsidRDefault="00E84B5F" w:rsidP="00E84B5F">
      <w:pPr>
        <w:autoSpaceDE w:val="0"/>
        <w:autoSpaceDN w:val="0"/>
        <w:adjustRightInd w:val="0"/>
        <w:jc w:val="both"/>
        <w:rPr>
          <w:rFonts w:ascii="Abadi" w:hAnsi="Abadi" w:cs="ArialMT"/>
          <w:sz w:val="21"/>
          <w:szCs w:val="21"/>
        </w:rPr>
      </w:pPr>
    </w:p>
    <w:p w14:paraId="1AADD4C4" w14:textId="078EBC5B" w:rsidR="00E84B5F" w:rsidRPr="00D63144" w:rsidRDefault="00E84B5F" w:rsidP="00343CA9">
      <w:pPr>
        <w:pStyle w:val="Prrafodelista"/>
        <w:numPr>
          <w:ilvl w:val="0"/>
          <w:numId w:val="46"/>
        </w:numPr>
        <w:autoSpaceDE w:val="0"/>
        <w:autoSpaceDN w:val="0"/>
        <w:adjustRightInd w:val="0"/>
        <w:jc w:val="both"/>
        <w:rPr>
          <w:rFonts w:ascii="Abadi" w:hAnsi="Abadi" w:cs="ArialMT"/>
          <w:sz w:val="21"/>
          <w:szCs w:val="21"/>
        </w:rPr>
      </w:pPr>
      <w:r w:rsidRPr="00D63144">
        <w:rPr>
          <w:rFonts w:ascii="Abadi" w:hAnsi="Abadi" w:cs="ArialMT"/>
          <w:sz w:val="21"/>
          <w:szCs w:val="21"/>
        </w:rPr>
        <w:t>Las demás que establezca esta Ley, su reglamento y las disposiciones legales aplicables.</w:t>
      </w:r>
    </w:p>
    <w:p w14:paraId="19C81ED9" w14:textId="77777777" w:rsidR="00E84B5F" w:rsidRPr="00D63144" w:rsidRDefault="00E84B5F" w:rsidP="00E84B5F">
      <w:pPr>
        <w:autoSpaceDE w:val="0"/>
        <w:autoSpaceDN w:val="0"/>
        <w:adjustRightInd w:val="0"/>
        <w:jc w:val="both"/>
        <w:rPr>
          <w:rFonts w:ascii="Abadi" w:hAnsi="Abadi" w:cs="ArialMT"/>
          <w:sz w:val="21"/>
          <w:szCs w:val="21"/>
        </w:rPr>
      </w:pPr>
    </w:p>
    <w:p w14:paraId="37FC8258" w14:textId="77777777" w:rsidR="00595357"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Atribuciones del DIF estatal y de los municipios </w:t>
      </w:r>
    </w:p>
    <w:p w14:paraId="2D5434CA" w14:textId="07FE0B19"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12</w:t>
      </w:r>
      <w:r w:rsidRPr="00D63144">
        <w:rPr>
          <w:rFonts w:ascii="Abadi" w:hAnsi="Abadi" w:cs="ArialMT"/>
          <w:sz w:val="21"/>
          <w:szCs w:val="21"/>
        </w:rPr>
        <w:t>. El DIF Guanajuato así como los Municipios del Estado de Guanajuato a través de los DIF municipales, en coordinación con las Secretarías se asegurarán de implementar en su territorio las medidas necesarias para la debida aplicación de la presente ley y su reglamento, así como promover la participación de las organizaciones de la sociedad civil y ciudadanía en general.</w:t>
      </w:r>
    </w:p>
    <w:p w14:paraId="2D2DF0A9" w14:textId="77777777" w:rsidR="00595357" w:rsidRPr="00D63144" w:rsidRDefault="00595357" w:rsidP="00E84B5F">
      <w:pPr>
        <w:autoSpaceDE w:val="0"/>
        <w:autoSpaceDN w:val="0"/>
        <w:adjustRightInd w:val="0"/>
        <w:jc w:val="both"/>
        <w:rPr>
          <w:rFonts w:ascii="Abadi" w:hAnsi="Abadi" w:cs="ArialMT"/>
          <w:sz w:val="21"/>
          <w:szCs w:val="21"/>
        </w:rPr>
      </w:pPr>
    </w:p>
    <w:p w14:paraId="1279E794" w14:textId="6D212FA6" w:rsidR="00E84B5F"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Atribuciones del Instituto de Salud Pública del Estado de Guanajuato</w:t>
      </w:r>
    </w:p>
    <w:p w14:paraId="69B5C319"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13.</w:t>
      </w:r>
      <w:r w:rsidRPr="00D63144">
        <w:rPr>
          <w:rFonts w:ascii="Abadi" w:hAnsi="Abadi" w:cs="ArialMT"/>
          <w:sz w:val="21"/>
          <w:szCs w:val="21"/>
        </w:rPr>
        <w:t xml:space="preserve"> Son atribuciones del Instituto de Salud Pública del Estado de Guanajuato:</w:t>
      </w:r>
    </w:p>
    <w:p w14:paraId="180F38E5"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w:t>
      </w:r>
      <w:r w:rsidRPr="00D63144">
        <w:rPr>
          <w:rFonts w:ascii="Abadi" w:hAnsi="Abadi" w:cs="ArialMT"/>
          <w:sz w:val="21"/>
          <w:szCs w:val="21"/>
        </w:rPr>
        <w:tab/>
        <w:t>Realizar las acciones tendientes a garantizar el derecho a la protección de la salud de las niñas, niños y adolescentes en los términos de la presente ley;</w:t>
      </w:r>
    </w:p>
    <w:p w14:paraId="1B067027" w14:textId="77777777" w:rsidR="00E84B5F" w:rsidRPr="00D63144" w:rsidRDefault="00E84B5F" w:rsidP="00E84B5F">
      <w:pPr>
        <w:autoSpaceDE w:val="0"/>
        <w:autoSpaceDN w:val="0"/>
        <w:adjustRightInd w:val="0"/>
        <w:jc w:val="both"/>
        <w:rPr>
          <w:rFonts w:ascii="Abadi" w:hAnsi="Abadi" w:cs="ArialMT"/>
          <w:sz w:val="21"/>
          <w:szCs w:val="21"/>
        </w:rPr>
      </w:pPr>
    </w:p>
    <w:p w14:paraId="61093C2B"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II.</w:t>
      </w:r>
      <w:r w:rsidRPr="00D63144">
        <w:rPr>
          <w:rFonts w:ascii="Abadi" w:hAnsi="Abadi" w:cs="ArialMT"/>
          <w:sz w:val="21"/>
          <w:szCs w:val="21"/>
        </w:rPr>
        <w:tab/>
        <w:t xml:space="preserve">Celebrar convenios para la consecución de los fines y el objeto de la presente ley, en los términos de la Ley General de Salud, La Ley General para la Detección oportuna del cáncer en la </w:t>
      </w:r>
      <w:proofErr w:type="spellStart"/>
      <w:r w:rsidRPr="00D63144">
        <w:rPr>
          <w:rFonts w:ascii="Abadi" w:hAnsi="Abadi" w:cs="ArialMT"/>
          <w:sz w:val="21"/>
          <w:szCs w:val="21"/>
        </w:rPr>
        <w:t>lnfancia</w:t>
      </w:r>
      <w:proofErr w:type="spellEnd"/>
      <w:r w:rsidRPr="00D63144">
        <w:rPr>
          <w:rFonts w:ascii="Abadi" w:hAnsi="Abadi" w:cs="ArialMT"/>
          <w:sz w:val="21"/>
          <w:szCs w:val="21"/>
        </w:rPr>
        <w:t xml:space="preserve"> y en la Adolescencia, así como en las disposiciones legales y normativas aplicables; y</w:t>
      </w:r>
    </w:p>
    <w:p w14:paraId="3A5619B5" w14:textId="77777777" w:rsidR="00E84B5F" w:rsidRPr="00D63144" w:rsidRDefault="00E84B5F" w:rsidP="00E84B5F">
      <w:pPr>
        <w:autoSpaceDE w:val="0"/>
        <w:autoSpaceDN w:val="0"/>
        <w:adjustRightInd w:val="0"/>
        <w:jc w:val="both"/>
        <w:rPr>
          <w:rFonts w:ascii="Abadi" w:hAnsi="Abadi" w:cs="ArialMT"/>
          <w:sz w:val="21"/>
          <w:szCs w:val="21"/>
        </w:rPr>
      </w:pPr>
    </w:p>
    <w:p w14:paraId="142517AA"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III.</w:t>
      </w:r>
      <w:r w:rsidRPr="00D63144">
        <w:rPr>
          <w:rFonts w:ascii="Abadi" w:hAnsi="Abadi" w:cs="ArialMT"/>
          <w:sz w:val="21"/>
          <w:szCs w:val="21"/>
        </w:rPr>
        <w:tab/>
        <w:t>Las demás que establezca esta Ley, su reglamento y las disposiciones legales aplicables.</w:t>
      </w:r>
    </w:p>
    <w:p w14:paraId="6E097F3D" w14:textId="77777777" w:rsidR="00E84B5F" w:rsidRPr="00D63144" w:rsidRDefault="00E84B5F" w:rsidP="00E84B5F">
      <w:pPr>
        <w:autoSpaceDE w:val="0"/>
        <w:autoSpaceDN w:val="0"/>
        <w:adjustRightInd w:val="0"/>
        <w:jc w:val="both"/>
        <w:rPr>
          <w:rFonts w:ascii="Abadi" w:hAnsi="Abadi" w:cs="ArialMT"/>
          <w:sz w:val="21"/>
          <w:szCs w:val="21"/>
        </w:rPr>
      </w:pPr>
    </w:p>
    <w:p w14:paraId="7D6346FC" w14:textId="77777777" w:rsidR="00E84B5F"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Atribuciones de los Centros</w:t>
      </w:r>
    </w:p>
    <w:p w14:paraId="64A72D40"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14.</w:t>
      </w:r>
      <w:r w:rsidRPr="00D63144">
        <w:rPr>
          <w:rFonts w:ascii="Abadi" w:hAnsi="Abadi" w:cs="ArialMT"/>
          <w:sz w:val="21"/>
          <w:szCs w:val="21"/>
        </w:rPr>
        <w:t xml:space="preserve"> Son atribuciones del Centro:</w:t>
      </w:r>
    </w:p>
    <w:p w14:paraId="7C7FEC41"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52976B0E" w14:textId="5B690F53" w:rsidR="00E84B5F" w:rsidRPr="00D63144" w:rsidRDefault="00E84B5F" w:rsidP="00343CA9">
      <w:pPr>
        <w:pStyle w:val="Prrafodelista"/>
        <w:numPr>
          <w:ilvl w:val="0"/>
          <w:numId w:val="47"/>
        </w:numPr>
        <w:autoSpaceDE w:val="0"/>
        <w:autoSpaceDN w:val="0"/>
        <w:adjustRightInd w:val="0"/>
        <w:jc w:val="both"/>
        <w:rPr>
          <w:rFonts w:ascii="Abadi" w:hAnsi="Abadi" w:cs="ArialMT"/>
          <w:sz w:val="21"/>
          <w:szCs w:val="21"/>
        </w:rPr>
      </w:pPr>
      <w:r w:rsidRPr="00D63144">
        <w:rPr>
          <w:rFonts w:ascii="Abadi" w:hAnsi="Abadi" w:cs="ArialMT"/>
          <w:sz w:val="21"/>
          <w:szCs w:val="21"/>
        </w:rPr>
        <w:t>Coordinar las acciones y adecuaciones necesarias para el establecimiento y operación del Centro en los términos de la presente Ley y su Reglamento;</w:t>
      </w:r>
    </w:p>
    <w:p w14:paraId="15F2D23A" w14:textId="4B330CB3" w:rsidR="00E84B5F" w:rsidRPr="00D63144" w:rsidRDefault="00E84B5F" w:rsidP="00343CA9">
      <w:pPr>
        <w:pStyle w:val="Prrafodelista"/>
        <w:numPr>
          <w:ilvl w:val="0"/>
          <w:numId w:val="47"/>
        </w:numPr>
        <w:autoSpaceDE w:val="0"/>
        <w:autoSpaceDN w:val="0"/>
        <w:adjustRightInd w:val="0"/>
        <w:jc w:val="both"/>
        <w:rPr>
          <w:rFonts w:ascii="Abadi" w:hAnsi="Abadi" w:cs="ArialMT"/>
          <w:sz w:val="21"/>
          <w:szCs w:val="21"/>
        </w:rPr>
      </w:pPr>
      <w:r w:rsidRPr="00D63144">
        <w:rPr>
          <w:rFonts w:ascii="Abadi" w:hAnsi="Abadi" w:cs="ArialMT"/>
          <w:sz w:val="21"/>
          <w:szCs w:val="21"/>
        </w:rPr>
        <w:t>Coordinarse con las Secretarías de Salud y la Secretaría de Desarrollo Social y Humano para brindar la atención integral en los términos del programa, la presente Ley y su Reglamento;</w:t>
      </w:r>
    </w:p>
    <w:p w14:paraId="1F77C241" w14:textId="610D30F8" w:rsidR="00E84B5F" w:rsidRPr="00D63144" w:rsidRDefault="00E84B5F" w:rsidP="00343CA9">
      <w:pPr>
        <w:pStyle w:val="Prrafodelista"/>
        <w:numPr>
          <w:ilvl w:val="0"/>
          <w:numId w:val="47"/>
        </w:numPr>
        <w:autoSpaceDE w:val="0"/>
        <w:autoSpaceDN w:val="0"/>
        <w:adjustRightInd w:val="0"/>
        <w:jc w:val="both"/>
        <w:rPr>
          <w:rFonts w:ascii="Abadi" w:hAnsi="Abadi" w:cs="ArialMT"/>
          <w:sz w:val="21"/>
          <w:szCs w:val="21"/>
        </w:rPr>
      </w:pPr>
      <w:r w:rsidRPr="00D63144">
        <w:rPr>
          <w:rFonts w:ascii="Abadi" w:hAnsi="Abadi" w:cs="ArialMT"/>
          <w:sz w:val="21"/>
          <w:szCs w:val="21"/>
        </w:rPr>
        <w:t xml:space="preserve">Celebrar convenios para la consecución de los fines y el objeto de la presente ley, en los términos de la Ley General de Salud, La Ley General para la Detección oportuna del cáncer en la </w:t>
      </w:r>
      <w:proofErr w:type="spellStart"/>
      <w:r w:rsidRPr="00D63144">
        <w:rPr>
          <w:rFonts w:ascii="Abadi" w:hAnsi="Abadi" w:cs="ArialMT"/>
          <w:sz w:val="21"/>
          <w:szCs w:val="21"/>
        </w:rPr>
        <w:t>lnfancia</w:t>
      </w:r>
      <w:proofErr w:type="spellEnd"/>
      <w:r w:rsidRPr="00D63144">
        <w:rPr>
          <w:rFonts w:ascii="Abadi" w:hAnsi="Abadi" w:cs="ArialMT"/>
          <w:sz w:val="21"/>
          <w:szCs w:val="21"/>
        </w:rPr>
        <w:t xml:space="preserve"> y en la Adolescencia, así como en las disposiciones legales y normativas aplicables; y</w:t>
      </w:r>
    </w:p>
    <w:p w14:paraId="50640085" w14:textId="6DE5668D" w:rsidR="00E84B5F" w:rsidRPr="00D63144" w:rsidRDefault="00E84B5F" w:rsidP="00343CA9">
      <w:pPr>
        <w:pStyle w:val="Prrafodelista"/>
        <w:numPr>
          <w:ilvl w:val="0"/>
          <w:numId w:val="47"/>
        </w:numPr>
        <w:autoSpaceDE w:val="0"/>
        <w:autoSpaceDN w:val="0"/>
        <w:adjustRightInd w:val="0"/>
        <w:jc w:val="both"/>
        <w:rPr>
          <w:rFonts w:ascii="Abadi" w:hAnsi="Abadi" w:cs="ArialMT"/>
          <w:sz w:val="21"/>
          <w:szCs w:val="21"/>
        </w:rPr>
      </w:pPr>
      <w:r w:rsidRPr="00D63144">
        <w:rPr>
          <w:rFonts w:ascii="Abadi" w:hAnsi="Abadi" w:cs="ArialMT"/>
          <w:sz w:val="21"/>
          <w:szCs w:val="21"/>
        </w:rPr>
        <w:t>Las demás que establezca esta Ley, su reglamento y las disposiciones legales aplicables.</w:t>
      </w:r>
    </w:p>
    <w:p w14:paraId="2774BE0B" w14:textId="77777777" w:rsidR="00E84B5F" w:rsidRPr="00D63144" w:rsidRDefault="00E84B5F" w:rsidP="00E84B5F">
      <w:pPr>
        <w:autoSpaceDE w:val="0"/>
        <w:autoSpaceDN w:val="0"/>
        <w:adjustRightInd w:val="0"/>
        <w:jc w:val="both"/>
        <w:rPr>
          <w:rFonts w:ascii="Abadi" w:hAnsi="Abadi" w:cs="ArialMT"/>
          <w:sz w:val="21"/>
          <w:szCs w:val="21"/>
        </w:rPr>
      </w:pPr>
    </w:p>
    <w:p w14:paraId="44AB69AA" w14:textId="77777777" w:rsidR="00E84B5F"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Capítulo Tercero</w:t>
      </w:r>
    </w:p>
    <w:p w14:paraId="7F016509" w14:textId="77777777" w:rsidR="00E84B5F"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 los derechos de las niñas, niños y adolescentes con cáncer.</w:t>
      </w:r>
    </w:p>
    <w:p w14:paraId="738E1901" w14:textId="77777777" w:rsidR="00E84B5F" w:rsidRPr="00D63144" w:rsidRDefault="00E84B5F" w:rsidP="00E84B5F">
      <w:pPr>
        <w:autoSpaceDE w:val="0"/>
        <w:autoSpaceDN w:val="0"/>
        <w:adjustRightInd w:val="0"/>
        <w:jc w:val="both"/>
        <w:rPr>
          <w:rFonts w:ascii="Abadi" w:hAnsi="Abadi" w:cs="ArialMT"/>
          <w:sz w:val="21"/>
          <w:szCs w:val="21"/>
        </w:rPr>
      </w:pPr>
    </w:p>
    <w:p w14:paraId="2D623C9E" w14:textId="77777777" w:rsidR="00E84B5F"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Derechos de la niñez y adolescencia</w:t>
      </w:r>
    </w:p>
    <w:p w14:paraId="2CBC399D"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15.</w:t>
      </w:r>
      <w:r w:rsidRPr="00D63144">
        <w:rPr>
          <w:rFonts w:ascii="Abadi" w:hAnsi="Abadi" w:cs="ArialMT"/>
          <w:sz w:val="21"/>
          <w:szCs w:val="21"/>
        </w:rPr>
        <w:t xml:space="preserve"> Son Derechos de niñas, niños y adolescentes con cáncer los siguientes:</w:t>
      </w:r>
    </w:p>
    <w:p w14:paraId="4BFB0910" w14:textId="77777777" w:rsidR="00E84B5F" w:rsidRPr="00D63144" w:rsidRDefault="00E84B5F" w:rsidP="00E84B5F">
      <w:pPr>
        <w:autoSpaceDE w:val="0"/>
        <w:autoSpaceDN w:val="0"/>
        <w:adjustRightInd w:val="0"/>
        <w:jc w:val="both"/>
        <w:rPr>
          <w:rFonts w:ascii="Abadi" w:hAnsi="Abadi" w:cs="ArialMT"/>
          <w:sz w:val="21"/>
          <w:szCs w:val="21"/>
        </w:rPr>
      </w:pPr>
    </w:p>
    <w:p w14:paraId="78977A29" w14:textId="54678643" w:rsidR="00E84B5F" w:rsidRPr="00D63144" w:rsidRDefault="00E84B5F" w:rsidP="00343CA9">
      <w:pPr>
        <w:pStyle w:val="Prrafodelista"/>
        <w:numPr>
          <w:ilvl w:val="0"/>
          <w:numId w:val="48"/>
        </w:numPr>
        <w:autoSpaceDE w:val="0"/>
        <w:autoSpaceDN w:val="0"/>
        <w:adjustRightInd w:val="0"/>
        <w:jc w:val="both"/>
        <w:rPr>
          <w:rFonts w:ascii="Abadi" w:hAnsi="Abadi" w:cs="ArialMT"/>
          <w:sz w:val="21"/>
          <w:szCs w:val="21"/>
        </w:rPr>
      </w:pPr>
      <w:r w:rsidRPr="00D63144">
        <w:rPr>
          <w:rFonts w:ascii="Abadi" w:hAnsi="Abadi" w:cs="ArialMT"/>
          <w:sz w:val="21"/>
          <w:szCs w:val="21"/>
        </w:rPr>
        <w:t>Que le sean practicados los exámenes diagnósticos necesarios;</w:t>
      </w:r>
    </w:p>
    <w:p w14:paraId="66365E72" w14:textId="77777777" w:rsidR="00E84B5F" w:rsidRPr="00D63144" w:rsidRDefault="00E84B5F" w:rsidP="00E84B5F">
      <w:pPr>
        <w:autoSpaceDE w:val="0"/>
        <w:autoSpaceDN w:val="0"/>
        <w:adjustRightInd w:val="0"/>
        <w:jc w:val="both"/>
        <w:rPr>
          <w:rFonts w:ascii="Abadi" w:hAnsi="Abadi" w:cs="ArialMT"/>
          <w:sz w:val="21"/>
          <w:szCs w:val="21"/>
        </w:rPr>
      </w:pPr>
    </w:p>
    <w:p w14:paraId="4ED21674" w14:textId="585BF1B7" w:rsidR="00E84B5F" w:rsidRPr="00D63144" w:rsidRDefault="00E84B5F" w:rsidP="00343CA9">
      <w:pPr>
        <w:pStyle w:val="Prrafodelista"/>
        <w:numPr>
          <w:ilvl w:val="0"/>
          <w:numId w:val="48"/>
        </w:numPr>
        <w:autoSpaceDE w:val="0"/>
        <w:autoSpaceDN w:val="0"/>
        <w:adjustRightInd w:val="0"/>
        <w:jc w:val="both"/>
        <w:rPr>
          <w:rFonts w:ascii="Abadi" w:hAnsi="Abadi" w:cs="ArialMT"/>
          <w:sz w:val="21"/>
          <w:szCs w:val="21"/>
        </w:rPr>
      </w:pPr>
      <w:r w:rsidRPr="00D63144">
        <w:rPr>
          <w:rFonts w:ascii="Abadi" w:hAnsi="Abadi" w:cs="ArialMT"/>
          <w:sz w:val="21"/>
          <w:szCs w:val="21"/>
        </w:rPr>
        <w:t>Recibir atención médica integral y multidisciplinaria, en cualquiera de sus tipos o modalidades, en términos de la Ley General de Salud y la Ley General de los Derechos de Niñas, Niños y Adolescentes;</w:t>
      </w:r>
    </w:p>
    <w:p w14:paraId="6CB42E37" w14:textId="77777777" w:rsidR="00E84B5F" w:rsidRPr="00D63144" w:rsidRDefault="00E84B5F" w:rsidP="00E84B5F">
      <w:pPr>
        <w:autoSpaceDE w:val="0"/>
        <w:autoSpaceDN w:val="0"/>
        <w:adjustRightInd w:val="0"/>
        <w:jc w:val="both"/>
        <w:rPr>
          <w:rFonts w:ascii="Abadi" w:hAnsi="Abadi" w:cs="ArialMT"/>
          <w:sz w:val="21"/>
          <w:szCs w:val="21"/>
        </w:rPr>
      </w:pPr>
    </w:p>
    <w:p w14:paraId="575DD829" w14:textId="795B3572" w:rsidR="00E84B5F" w:rsidRPr="00D63144" w:rsidRDefault="00E84B5F" w:rsidP="00343CA9">
      <w:pPr>
        <w:pStyle w:val="Prrafodelista"/>
        <w:numPr>
          <w:ilvl w:val="0"/>
          <w:numId w:val="48"/>
        </w:numPr>
        <w:autoSpaceDE w:val="0"/>
        <w:autoSpaceDN w:val="0"/>
        <w:adjustRightInd w:val="0"/>
        <w:jc w:val="both"/>
        <w:rPr>
          <w:rFonts w:ascii="Abadi" w:hAnsi="Abadi" w:cs="ArialMT"/>
          <w:sz w:val="21"/>
          <w:szCs w:val="21"/>
        </w:rPr>
      </w:pPr>
      <w:r w:rsidRPr="00D63144">
        <w:rPr>
          <w:rFonts w:ascii="Abadi" w:hAnsi="Abadi" w:cs="ArialMT"/>
          <w:sz w:val="21"/>
          <w:szCs w:val="21"/>
        </w:rPr>
        <w:t>Recibir las prestaciones de los servicios de salud correspondientes de conformidad a su condición de aseguramiento;</w:t>
      </w:r>
    </w:p>
    <w:p w14:paraId="463A7130" w14:textId="77777777" w:rsidR="00E84B5F" w:rsidRPr="00D63144" w:rsidRDefault="00E84B5F" w:rsidP="00E84B5F">
      <w:pPr>
        <w:autoSpaceDE w:val="0"/>
        <w:autoSpaceDN w:val="0"/>
        <w:adjustRightInd w:val="0"/>
        <w:jc w:val="both"/>
        <w:rPr>
          <w:rFonts w:ascii="Abadi" w:hAnsi="Abadi" w:cs="ArialMT"/>
          <w:sz w:val="21"/>
          <w:szCs w:val="21"/>
        </w:rPr>
      </w:pPr>
    </w:p>
    <w:p w14:paraId="4B15258A" w14:textId="2963B366" w:rsidR="00E84B5F" w:rsidRPr="00D63144" w:rsidRDefault="00E84B5F" w:rsidP="00343CA9">
      <w:pPr>
        <w:pStyle w:val="Prrafodelista"/>
        <w:numPr>
          <w:ilvl w:val="0"/>
          <w:numId w:val="48"/>
        </w:numPr>
        <w:autoSpaceDE w:val="0"/>
        <w:autoSpaceDN w:val="0"/>
        <w:adjustRightInd w:val="0"/>
        <w:jc w:val="both"/>
        <w:rPr>
          <w:rFonts w:ascii="Abadi" w:hAnsi="Abadi" w:cs="ArialMT"/>
          <w:sz w:val="21"/>
          <w:szCs w:val="21"/>
        </w:rPr>
      </w:pPr>
      <w:r w:rsidRPr="00D63144">
        <w:rPr>
          <w:rFonts w:ascii="Abadi" w:hAnsi="Abadi" w:cs="ArialMT"/>
          <w:sz w:val="21"/>
          <w:szCs w:val="21"/>
        </w:rPr>
        <w:t>Recibir información suficiente, clara, oportuna y veraz, adecuada a su edad, así como la orientación que sea necesaria respecto de su salud y sobre los riesgos y alternativas de los procedimientos, diagnósticos terapéuticos y quirúrgicos que se le indiquen o apliquen;</w:t>
      </w:r>
    </w:p>
    <w:p w14:paraId="054DF694" w14:textId="77777777" w:rsidR="00E84B5F" w:rsidRPr="00D63144" w:rsidRDefault="00E84B5F" w:rsidP="00E84B5F">
      <w:pPr>
        <w:autoSpaceDE w:val="0"/>
        <w:autoSpaceDN w:val="0"/>
        <w:adjustRightInd w:val="0"/>
        <w:jc w:val="both"/>
        <w:rPr>
          <w:rFonts w:ascii="Abadi" w:hAnsi="Abadi" w:cs="ArialMT"/>
          <w:sz w:val="21"/>
          <w:szCs w:val="21"/>
        </w:rPr>
      </w:pPr>
    </w:p>
    <w:p w14:paraId="1AF93E45" w14:textId="18202E00" w:rsidR="00E84B5F" w:rsidRPr="00D63144" w:rsidRDefault="00E84B5F" w:rsidP="00343CA9">
      <w:pPr>
        <w:pStyle w:val="Prrafodelista"/>
        <w:numPr>
          <w:ilvl w:val="0"/>
          <w:numId w:val="48"/>
        </w:numPr>
        <w:autoSpaceDE w:val="0"/>
        <w:autoSpaceDN w:val="0"/>
        <w:adjustRightInd w:val="0"/>
        <w:jc w:val="both"/>
        <w:rPr>
          <w:rFonts w:ascii="Abadi" w:hAnsi="Abadi" w:cs="ArialMT"/>
          <w:sz w:val="21"/>
          <w:szCs w:val="21"/>
        </w:rPr>
      </w:pPr>
      <w:r w:rsidRPr="00D63144">
        <w:rPr>
          <w:rFonts w:ascii="Abadi" w:hAnsi="Abadi" w:cs="ArialMT"/>
          <w:sz w:val="21"/>
          <w:szCs w:val="21"/>
        </w:rPr>
        <w:t>Recibir facilidades en materia educativa para no afectar su desempeño académico y evitar la deserción escolar; y</w:t>
      </w:r>
    </w:p>
    <w:p w14:paraId="66D6A0E0" w14:textId="77777777" w:rsidR="00E84B5F" w:rsidRPr="00D63144" w:rsidRDefault="00E84B5F" w:rsidP="00E84B5F">
      <w:pPr>
        <w:autoSpaceDE w:val="0"/>
        <w:autoSpaceDN w:val="0"/>
        <w:adjustRightInd w:val="0"/>
        <w:jc w:val="both"/>
        <w:rPr>
          <w:rFonts w:ascii="Abadi" w:hAnsi="Abadi" w:cs="ArialMT"/>
          <w:sz w:val="21"/>
          <w:szCs w:val="21"/>
        </w:rPr>
      </w:pPr>
    </w:p>
    <w:p w14:paraId="52E699F9" w14:textId="77777777" w:rsidR="00E84B5F" w:rsidRPr="00D63144" w:rsidRDefault="00E84B5F" w:rsidP="00595357">
      <w:pPr>
        <w:autoSpaceDE w:val="0"/>
        <w:autoSpaceDN w:val="0"/>
        <w:adjustRightInd w:val="0"/>
        <w:jc w:val="center"/>
        <w:rPr>
          <w:rFonts w:ascii="Abadi" w:hAnsi="Abadi" w:cs="ArialMT"/>
          <w:b/>
          <w:bCs/>
          <w:i/>
          <w:iCs/>
          <w:sz w:val="21"/>
          <w:szCs w:val="21"/>
        </w:rPr>
      </w:pPr>
      <w:r w:rsidRPr="00D63144">
        <w:rPr>
          <w:rFonts w:ascii="Abadi" w:hAnsi="Abadi" w:cs="ArialMT"/>
          <w:b/>
          <w:bCs/>
          <w:i/>
          <w:iCs/>
          <w:sz w:val="21"/>
          <w:szCs w:val="21"/>
        </w:rPr>
        <w:t>Título Segundo</w:t>
      </w:r>
    </w:p>
    <w:p w14:paraId="73ADD52C" w14:textId="4CF67E34" w:rsidR="00E84B5F" w:rsidRPr="00D63144" w:rsidRDefault="00E84B5F" w:rsidP="00595357">
      <w:pPr>
        <w:autoSpaceDE w:val="0"/>
        <w:autoSpaceDN w:val="0"/>
        <w:adjustRightInd w:val="0"/>
        <w:jc w:val="center"/>
        <w:rPr>
          <w:rFonts w:ascii="Abadi" w:hAnsi="Abadi" w:cs="ArialMT"/>
          <w:b/>
          <w:bCs/>
          <w:i/>
          <w:iCs/>
          <w:sz w:val="21"/>
          <w:szCs w:val="21"/>
        </w:rPr>
      </w:pPr>
    </w:p>
    <w:p w14:paraId="6ED7F284" w14:textId="77777777" w:rsidR="00E84B5F" w:rsidRPr="00D63144" w:rsidRDefault="00E84B5F" w:rsidP="00595357">
      <w:pPr>
        <w:autoSpaceDE w:val="0"/>
        <w:autoSpaceDN w:val="0"/>
        <w:adjustRightInd w:val="0"/>
        <w:jc w:val="center"/>
        <w:rPr>
          <w:rFonts w:ascii="Abadi" w:hAnsi="Abadi" w:cs="ArialMT"/>
          <w:b/>
          <w:bCs/>
          <w:i/>
          <w:iCs/>
          <w:sz w:val="21"/>
          <w:szCs w:val="21"/>
        </w:rPr>
      </w:pPr>
      <w:r w:rsidRPr="00D63144">
        <w:rPr>
          <w:rFonts w:ascii="Abadi" w:hAnsi="Abadi" w:cs="ArialMT"/>
          <w:b/>
          <w:bCs/>
          <w:i/>
          <w:iCs/>
          <w:sz w:val="21"/>
          <w:szCs w:val="21"/>
        </w:rPr>
        <w:t>De la Coordinación</w:t>
      </w:r>
    </w:p>
    <w:p w14:paraId="6D7FA3C4" w14:textId="77777777" w:rsidR="00E84B5F" w:rsidRPr="00D63144" w:rsidRDefault="00E84B5F" w:rsidP="00595357">
      <w:pPr>
        <w:autoSpaceDE w:val="0"/>
        <w:autoSpaceDN w:val="0"/>
        <w:adjustRightInd w:val="0"/>
        <w:jc w:val="center"/>
        <w:rPr>
          <w:rFonts w:ascii="Abadi" w:hAnsi="Abadi" w:cs="ArialMT"/>
          <w:b/>
          <w:bCs/>
          <w:i/>
          <w:iCs/>
          <w:sz w:val="21"/>
          <w:szCs w:val="21"/>
        </w:rPr>
      </w:pPr>
    </w:p>
    <w:p w14:paraId="54BA931C" w14:textId="77777777" w:rsidR="00E84B5F" w:rsidRPr="00D63144" w:rsidRDefault="00E84B5F" w:rsidP="00595357">
      <w:pPr>
        <w:autoSpaceDE w:val="0"/>
        <w:autoSpaceDN w:val="0"/>
        <w:adjustRightInd w:val="0"/>
        <w:jc w:val="center"/>
        <w:rPr>
          <w:rFonts w:ascii="Abadi" w:hAnsi="Abadi" w:cs="ArialMT"/>
          <w:b/>
          <w:bCs/>
          <w:i/>
          <w:iCs/>
          <w:sz w:val="21"/>
          <w:szCs w:val="21"/>
        </w:rPr>
      </w:pPr>
      <w:r w:rsidRPr="00D63144">
        <w:rPr>
          <w:rFonts w:ascii="Abadi" w:hAnsi="Abadi" w:cs="ArialMT"/>
          <w:b/>
          <w:bCs/>
          <w:i/>
          <w:iCs/>
          <w:sz w:val="21"/>
          <w:szCs w:val="21"/>
        </w:rPr>
        <w:t>Capítulo Primero</w:t>
      </w:r>
    </w:p>
    <w:p w14:paraId="14AA6B39" w14:textId="77777777" w:rsidR="00E84B5F" w:rsidRPr="00D63144" w:rsidRDefault="00E84B5F" w:rsidP="00595357">
      <w:pPr>
        <w:autoSpaceDE w:val="0"/>
        <w:autoSpaceDN w:val="0"/>
        <w:adjustRightInd w:val="0"/>
        <w:jc w:val="center"/>
        <w:rPr>
          <w:rFonts w:ascii="Abadi" w:hAnsi="Abadi" w:cs="ArialMT"/>
          <w:b/>
          <w:bCs/>
          <w:i/>
          <w:iCs/>
          <w:sz w:val="21"/>
          <w:szCs w:val="21"/>
        </w:rPr>
      </w:pPr>
      <w:r w:rsidRPr="00D63144">
        <w:rPr>
          <w:rFonts w:ascii="Abadi" w:hAnsi="Abadi" w:cs="ArialMT"/>
          <w:b/>
          <w:bCs/>
          <w:i/>
          <w:iCs/>
          <w:sz w:val="21"/>
          <w:szCs w:val="21"/>
        </w:rPr>
        <w:t>De la Coordinación y colaboración</w:t>
      </w:r>
    </w:p>
    <w:p w14:paraId="68E01936" w14:textId="77777777" w:rsidR="00E84B5F" w:rsidRPr="00D63144" w:rsidRDefault="00E84B5F" w:rsidP="00E84B5F">
      <w:pPr>
        <w:autoSpaceDE w:val="0"/>
        <w:autoSpaceDN w:val="0"/>
        <w:adjustRightInd w:val="0"/>
        <w:jc w:val="both"/>
        <w:rPr>
          <w:rFonts w:ascii="Abadi" w:hAnsi="Abadi" w:cs="ArialMT"/>
          <w:sz w:val="21"/>
          <w:szCs w:val="21"/>
        </w:rPr>
      </w:pPr>
    </w:p>
    <w:p w14:paraId="1E07D850" w14:textId="77777777" w:rsidR="00595357"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 la coordinación </w:t>
      </w:r>
    </w:p>
    <w:p w14:paraId="78340C99" w14:textId="221BC2AB"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16.</w:t>
      </w:r>
      <w:r w:rsidRPr="00D63144">
        <w:rPr>
          <w:rFonts w:ascii="Abadi" w:hAnsi="Abadi" w:cs="ArialMT"/>
          <w:sz w:val="21"/>
          <w:szCs w:val="21"/>
        </w:rPr>
        <w:t xml:space="preserve"> La coordinación y colaboración entre el Estado de Guanajuato, las entidades federativas y la Federación en materia de cáncer en la infancia y la adolescencia se efectuará en el ámbito de sus respectivas competencias, en apego a lo dispuesto en las Leyes Generales, Estatales y disposiciones reglamentarias y normativas aplicables.</w:t>
      </w:r>
    </w:p>
    <w:p w14:paraId="7CEB36F1" w14:textId="77777777" w:rsidR="00595357"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Responsable de la coordinación </w:t>
      </w:r>
    </w:p>
    <w:p w14:paraId="0C4AEAC6" w14:textId="08E60F72"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17</w:t>
      </w:r>
      <w:r w:rsidRPr="00D63144">
        <w:rPr>
          <w:rFonts w:ascii="Abadi" w:hAnsi="Abadi" w:cs="ArialMT"/>
          <w:sz w:val="21"/>
          <w:szCs w:val="21"/>
        </w:rPr>
        <w:t>. La Secretaría de Desarrollo Social y Humano encabezará la coordinación entre las autoridades Estatales y Municipales y los Agentes de Ayuda en el ámbito de su competencia, lo anterior con la finalidad de garantizar la cobertura universal, gratuita e integral a las personas usuarias establecida en la presente Ley y su reglamento.</w:t>
      </w:r>
    </w:p>
    <w:p w14:paraId="311D7497" w14:textId="77777777" w:rsidR="00E84B5F" w:rsidRPr="00D63144" w:rsidRDefault="00E84B5F" w:rsidP="00E84B5F">
      <w:pPr>
        <w:autoSpaceDE w:val="0"/>
        <w:autoSpaceDN w:val="0"/>
        <w:adjustRightInd w:val="0"/>
        <w:jc w:val="both"/>
        <w:rPr>
          <w:rFonts w:ascii="Abadi" w:hAnsi="Abadi" w:cs="ArialMT"/>
          <w:sz w:val="21"/>
          <w:szCs w:val="21"/>
        </w:rPr>
      </w:pPr>
    </w:p>
    <w:p w14:paraId="0D759861" w14:textId="36C115E1" w:rsidR="00595357"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Capítulo Segundo</w:t>
      </w:r>
    </w:p>
    <w:p w14:paraId="520E8358" w14:textId="70BFE9B4" w:rsidR="00E84B5F"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 la Red Estatal</w:t>
      </w:r>
    </w:p>
    <w:p w14:paraId="11D1B38B" w14:textId="77777777" w:rsidR="00E84B5F" w:rsidRPr="00D63144" w:rsidRDefault="00E84B5F" w:rsidP="00E84B5F">
      <w:pPr>
        <w:autoSpaceDE w:val="0"/>
        <w:autoSpaceDN w:val="0"/>
        <w:adjustRightInd w:val="0"/>
        <w:jc w:val="both"/>
        <w:rPr>
          <w:rFonts w:ascii="Abadi" w:hAnsi="Abadi" w:cs="ArialMT"/>
          <w:b/>
          <w:bCs/>
          <w:sz w:val="21"/>
          <w:szCs w:val="21"/>
        </w:rPr>
      </w:pPr>
    </w:p>
    <w:p w14:paraId="16A04C9E" w14:textId="77777777" w:rsidR="00595357"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 la Red Estatal </w:t>
      </w:r>
    </w:p>
    <w:p w14:paraId="34E1968A" w14:textId="28711E33"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18.</w:t>
      </w:r>
      <w:r w:rsidRPr="00D63144">
        <w:rPr>
          <w:rFonts w:ascii="Abadi" w:hAnsi="Abadi" w:cs="ArialMT"/>
          <w:sz w:val="21"/>
          <w:szCs w:val="21"/>
        </w:rPr>
        <w:t xml:space="preserve"> La Red Estatal, se constituye por las autoridades establecidas en el artículo 7 de la presente ley y el titular del Frente.</w:t>
      </w:r>
    </w:p>
    <w:p w14:paraId="4D590B11" w14:textId="77777777" w:rsidR="00E84B5F" w:rsidRPr="00D63144" w:rsidRDefault="00E84B5F" w:rsidP="00E84B5F">
      <w:pPr>
        <w:autoSpaceDE w:val="0"/>
        <w:autoSpaceDN w:val="0"/>
        <w:adjustRightInd w:val="0"/>
        <w:jc w:val="both"/>
        <w:rPr>
          <w:rFonts w:ascii="Abadi" w:hAnsi="Abadi" w:cs="ArialMT"/>
          <w:sz w:val="21"/>
          <w:szCs w:val="21"/>
        </w:rPr>
      </w:pPr>
    </w:p>
    <w:p w14:paraId="2ECDA157" w14:textId="77777777" w:rsidR="00595357"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Mecanismos de coordinación </w:t>
      </w:r>
    </w:p>
    <w:p w14:paraId="6C0A6A55" w14:textId="1EA804D2"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19.</w:t>
      </w:r>
      <w:r w:rsidRPr="00D63144">
        <w:rPr>
          <w:rFonts w:ascii="Abadi" w:hAnsi="Abadi" w:cs="ArialMT"/>
          <w:sz w:val="21"/>
          <w:szCs w:val="21"/>
        </w:rPr>
        <w:t xml:space="preserve"> La Red Estatal definirá los mecanismos de coordinación y colaboración para el fortalecimiento de la atención integral del cáncer infantil en el Estado de Guanajuato, en los términos que establece el reglamento de la presente ley.</w:t>
      </w:r>
    </w:p>
    <w:p w14:paraId="669E32F1" w14:textId="77777777" w:rsidR="00E84B5F" w:rsidRPr="00D63144" w:rsidRDefault="00E84B5F" w:rsidP="00E84B5F">
      <w:pPr>
        <w:autoSpaceDE w:val="0"/>
        <w:autoSpaceDN w:val="0"/>
        <w:adjustRightInd w:val="0"/>
        <w:jc w:val="both"/>
        <w:rPr>
          <w:rFonts w:ascii="Abadi" w:hAnsi="Abadi" w:cs="ArialMT"/>
          <w:sz w:val="21"/>
          <w:szCs w:val="21"/>
        </w:rPr>
      </w:pPr>
    </w:p>
    <w:p w14:paraId="1CC3D0C0" w14:textId="77777777" w:rsidR="00595357"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Rectoría en la coordinación </w:t>
      </w:r>
    </w:p>
    <w:p w14:paraId="5E152F53" w14:textId="7F7092FC"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20.</w:t>
      </w:r>
      <w:r w:rsidRPr="00D63144">
        <w:rPr>
          <w:rFonts w:ascii="Abadi" w:hAnsi="Abadi" w:cs="ArialMT"/>
          <w:sz w:val="21"/>
          <w:szCs w:val="21"/>
        </w:rPr>
        <w:t xml:space="preserve"> La Red Estatal será coordinada por la Secretaría de Desarrollo Social y Humano.</w:t>
      </w:r>
    </w:p>
    <w:p w14:paraId="6DC572F1" w14:textId="77777777" w:rsidR="00E84B5F" w:rsidRPr="00D63144" w:rsidRDefault="00E84B5F" w:rsidP="00E84B5F">
      <w:pPr>
        <w:autoSpaceDE w:val="0"/>
        <w:autoSpaceDN w:val="0"/>
        <w:adjustRightInd w:val="0"/>
        <w:jc w:val="both"/>
        <w:rPr>
          <w:rFonts w:ascii="Abadi" w:hAnsi="Abadi" w:cs="ArialMT"/>
          <w:sz w:val="21"/>
          <w:szCs w:val="21"/>
        </w:rPr>
      </w:pPr>
    </w:p>
    <w:p w14:paraId="7BD258DA" w14:textId="77777777" w:rsidR="00595357"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Objetivos de la Red Estatal </w:t>
      </w:r>
    </w:p>
    <w:p w14:paraId="4AD7880D" w14:textId="2D6E4ED0"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21.</w:t>
      </w:r>
      <w:r w:rsidRPr="00D63144">
        <w:rPr>
          <w:rFonts w:ascii="Abadi" w:hAnsi="Abadi" w:cs="ArialMT"/>
          <w:sz w:val="21"/>
          <w:szCs w:val="21"/>
        </w:rPr>
        <w:t xml:space="preserve"> La Red Estatal tiene como objetivo mejorar la salud y calidad de vida de los niños, niñas y adolescentes con cáncer en el Estado de Guanajuato, brindando oportunidades a través de la coordinación de acciones en el ámbito de atribuciones de cada una de las autoridades responsables y los agentes de apoyo.</w:t>
      </w:r>
    </w:p>
    <w:p w14:paraId="498B4858"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66EC16E8" w14:textId="77777777" w:rsidR="00595357"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 xml:space="preserve">Capítulo Tercero </w:t>
      </w:r>
    </w:p>
    <w:p w14:paraId="7F6327D7" w14:textId="4BE3381A" w:rsidR="00E84B5F"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Del Frente</w:t>
      </w:r>
    </w:p>
    <w:p w14:paraId="19FC5513" w14:textId="77777777" w:rsidR="00E84B5F" w:rsidRPr="00D63144" w:rsidRDefault="00E84B5F" w:rsidP="00E84B5F">
      <w:pPr>
        <w:autoSpaceDE w:val="0"/>
        <w:autoSpaceDN w:val="0"/>
        <w:adjustRightInd w:val="0"/>
        <w:jc w:val="both"/>
        <w:rPr>
          <w:rFonts w:ascii="Abadi" w:hAnsi="Abadi" w:cs="ArialMT"/>
          <w:sz w:val="21"/>
          <w:szCs w:val="21"/>
        </w:rPr>
      </w:pPr>
    </w:p>
    <w:p w14:paraId="00587806" w14:textId="77777777" w:rsidR="00E84B5F"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Del Frente</w:t>
      </w:r>
    </w:p>
    <w:p w14:paraId="5D01218B" w14:textId="77777777" w:rsidR="00E84B5F" w:rsidRPr="00D63144" w:rsidRDefault="00E84B5F" w:rsidP="00E84B5F">
      <w:pPr>
        <w:autoSpaceDE w:val="0"/>
        <w:autoSpaceDN w:val="0"/>
        <w:adjustRightInd w:val="0"/>
        <w:jc w:val="both"/>
        <w:rPr>
          <w:rFonts w:ascii="Abadi" w:hAnsi="Abadi" w:cs="ArialMT"/>
          <w:sz w:val="21"/>
          <w:szCs w:val="21"/>
        </w:rPr>
      </w:pPr>
    </w:p>
    <w:p w14:paraId="0F70C783"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22.</w:t>
      </w:r>
      <w:r w:rsidRPr="00D63144">
        <w:rPr>
          <w:rFonts w:ascii="Abadi" w:hAnsi="Abadi" w:cs="ArialMT"/>
          <w:sz w:val="21"/>
          <w:szCs w:val="21"/>
        </w:rPr>
        <w:t xml:space="preserve"> El Frente se constituye como un mecanismo de colaboración, que concentra a los agentes de apoyo que coadyuvan en la lucha contra el cáncer en la infancia y adolescencia en Guanajuato, en los términos que establece la presente ley y su reglamento.</w:t>
      </w:r>
    </w:p>
    <w:p w14:paraId="74A2B1AC" w14:textId="77777777" w:rsidR="00E84B5F" w:rsidRPr="00D63144" w:rsidRDefault="00E84B5F" w:rsidP="00E84B5F">
      <w:pPr>
        <w:autoSpaceDE w:val="0"/>
        <w:autoSpaceDN w:val="0"/>
        <w:adjustRightInd w:val="0"/>
        <w:jc w:val="both"/>
        <w:rPr>
          <w:rFonts w:ascii="Abadi" w:hAnsi="Abadi" w:cs="ArialMT"/>
          <w:sz w:val="21"/>
          <w:szCs w:val="21"/>
        </w:rPr>
      </w:pPr>
    </w:p>
    <w:p w14:paraId="2086FF75"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Se conformará por Asociaciones Civiles, Organismos No Gubernamentales, personas Físicas y Jurídicas, estatales, nacionales o internacionales, que de manera voluntaria ejercen de forma honorífica y altruista, acciones que contribuyen económica, académica, material o humanamente en la satisfacción de los requerimientos y necesidades de los niños, niñas y adolescentes con diagnóstico de cáncer de conformidad a la convocatoria que emita la Secretaría de Desarrollo Social y Humano de manera anual para su registro y acreditación;</w:t>
      </w:r>
    </w:p>
    <w:p w14:paraId="7602FB99" w14:textId="77777777" w:rsidR="00E84B5F" w:rsidRPr="00D63144" w:rsidRDefault="00E84B5F" w:rsidP="00E84B5F">
      <w:pPr>
        <w:autoSpaceDE w:val="0"/>
        <w:autoSpaceDN w:val="0"/>
        <w:adjustRightInd w:val="0"/>
        <w:jc w:val="both"/>
        <w:rPr>
          <w:rFonts w:ascii="Abadi" w:hAnsi="Abadi" w:cs="ArialMT"/>
          <w:sz w:val="21"/>
          <w:szCs w:val="21"/>
        </w:rPr>
      </w:pPr>
    </w:p>
    <w:p w14:paraId="6B7B2373" w14:textId="77777777" w:rsidR="00E84B5F"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Título Tercero</w:t>
      </w:r>
    </w:p>
    <w:p w14:paraId="6E0BF12E" w14:textId="77777777" w:rsidR="00E84B5F"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 la Atención Integral de Menores con Cáncer</w:t>
      </w:r>
    </w:p>
    <w:p w14:paraId="5B305C08" w14:textId="77777777" w:rsidR="00E84B5F" w:rsidRPr="00D63144" w:rsidRDefault="00E84B5F" w:rsidP="00595357">
      <w:pPr>
        <w:autoSpaceDE w:val="0"/>
        <w:autoSpaceDN w:val="0"/>
        <w:adjustRightInd w:val="0"/>
        <w:jc w:val="center"/>
        <w:rPr>
          <w:rFonts w:ascii="Abadi" w:hAnsi="Abadi" w:cs="ArialMT"/>
          <w:b/>
          <w:bCs/>
          <w:sz w:val="21"/>
          <w:szCs w:val="21"/>
        </w:rPr>
      </w:pPr>
    </w:p>
    <w:p w14:paraId="69479584" w14:textId="4EBD7445" w:rsidR="00E84B5F"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Capítulo Primero</w:t>
      </w:r>
    </w:p>
    <w:p w14:paraId="7A3FD765" w14:textId="77777777" w:rsidR="00E84B5F" w:rsidRPr="00D63144" w:rsidRDefault="00E84B5F" w:rsidP="00595357">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 la Atención integral</w:t>
      </w:r>
    </w:p>
    <w:p w14:paraId="7E3733DA" w14:textId="77777777" w:rsidR="00E84B5F" w:rsidRPr="00D63144" w:rsidRDefault="00E84B5F" w:rsidP="00E84B5F">
      <w:pPr>
        <w:autoSpaceDE w:val="0"/>
        <w:autoSpaceDN w:val="0"/>
        <w:adjustRightInd w:val="0"/>
        <w:jc w:val="both"/>
        <w:rPr>
          <w:rFonts w:ascii="Abadi" w:hAnsi="Abadi" w:cs="ArialMT"/>
          <w:sz w:val="21"/>
          <w:szCs w:val="21"/>
        </w:rPr>
      </w:pPr>
    </w:p>
    <w:p w14:paraId="228A49A9" w14:textId="77777777" w:rsidR="00595357"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 la Atención Integral </w:t>
      </w:r>
    </w:p>
    <w:p w14:paraId="26CD1D45" w14:textId="55225E58"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23.</w:t>
      </w:r>
      <w:r w:rsidRPr="00D63144">
        <w:rPr>
          <w:rFonts w:ascii="Abadi" w:hAnsi="Abadi" w:cs="ArialMT"/>
          <w:sz w:val="21"/>
          <w:szCs w:val="21"/>
        </w:rPr>
        <w:t xml:space="preserve"> Las disposiciones contenidas en el presente Título son aplicables a las personas menores que no cuenten con seguridad social.</w:t>
      </w:r>
    </w:p>
    <w:p w14:paraId="25E8A946" w14:textId="77777777" w:rsidR="00E84B5F" w:rsidRPr="00D63144" w:rsidRDefault="00E84B5F" w:rsidP="00E84B5F">
      <w:pPr>
        <w:autoSpaceDE w:val="0"/>
        <w:autoSpaceDN w:val="0"/>
        <w:adjustRightInd w:val="0"/>
        <w:jc w:val="both"/>
        <w:rPr>
          <w:rFonts w:ascii="Abadi" w:hAnsi="Abadi" w:cs="ArialMT"/>
          <w:sz w:val="21"/>
          <w:szCs w:val="21"/>
        </w:rPr>
      </w:pPr>
    </w:p>
    <w:p w14:paraId="206FBB2D" w14:textId="77777777" w:rsidR="00595357"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        Intervención </w:t>
      </w:r>
    </w:p>
    <w:p w14:paraId="69B2A7A9" w14:textId="211E3F51"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24.</w:t>
      </w:r>
      <w:r w:rsidRPr="00D63144">
        <w:rPr>
          <w:rFonts w:ascii="Abadi" w:hAnsi="Abadi" w:cs="ArialMT"/>
          <w:sz w:val="21"/>
          <w:szCs w:val="21"/>
        </w:rPr>
        <w:t xml:space="preserve"> La atención integral es la base de la intervención que complementa las actuaciones de salud con la atención a las múltiples repercusiones que conlleva el diagnóstico y que inciden directamente sobre el proceso de la enfermedad y la calidad de vida de las personas usuarias y sus familias.</w:t>
      </w:r>
    </w:p>
    <w:p w14:paraId="05D6F84F" w14:textId="77777777" w:rsidR="00E84B5F" w:rsidRPr="00D63144" w:rsidRDefault="00E84B5F" w:rsidP="00E84B5F">
      <w:pPr>
        <w:autoSpaceDE w:val="0"/>
        <w:autoSpaceDN w:val="0"/>
        <w:adjustRightInd w:val="0"/>
        <w:jc w:val="both"/>
        <w:rPr>
          <w:rFonts w:ascii="Abadi" w:hAnsi="Abadi" w:cs="ArialMT"/>
          <w:sz w:val="21"/>
          <w:szCs w:val="21"/>
        </w:rPr>
      </w:pPr>
    </w:p>
    <w:p w14:paraId="2300901F" w14:textId="77777777" w:rsidR="00E84B5F" w:rsidRPr="00D63144" w:rsidRDefault="00E84B5F" w:rsidP="00595357">
      <w:pPr>
        <w:autoSpaceDE w:val="0"/>
        <w:autoSpaceDN w:val="0"/>
        <w:adjustRightInd w:val="0"/>
        <w:jc w:val="right"/>
        <w:rPr>
          <w:rFonts w:ascii="Abadi" w:hAnsi="Abadi" w:cs="ArialMT"/>
          <w:b/>
          <w:bCs/>
          <w:i/>
          <w:iCs/>
          <w:sz w:val="21"/>
          <w:szCs w:val="21"/>
        </w:rPr>
      </w:pPr>
      <w:r w:rsidRPr="00D63144">
        <w:rPr>
          <w:rFonts w:ascii="Abadi" w:hAnsi="Abadi" w:cs="ArialMT"/>
          <w:sz w:val="21"/>
          <w:szCs w:val="21"/>
        </w:rPr>
        <w:t xml:space="preserve">        </w:t>
      </w:r>
      <w:r w:rsidRPr="00D63144">
        <w:rPr>
          <w:rFonts w:ascii="Abadi" w:hAnsi="Abadi" w:cs="ArialMT"/>
          <w:b/>
          <w:bCs/>
          <w:i/>
          <w:iCs/>
          <w:sz w:val="21"/>
          <w:szCs w:val="21"/>
        </w:rPr>
        <w:t>Objetivo de la atención integral</w:t>
      </w:r>
    </w:p>
    <w:p w14:paraId="67A5A92F"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25.</w:t>
      </w:r>
      <w:r w:rsidRPr="00D63144">
        <w:rPr>
          <w:rFonts w:ascii="Abadi" w:hAnsi="Abadi" w:cs="ArialMT"/>
          <w:sz w:val="21"/>
          <w:szCs w:val="21"/>
        </w:rPr>
        <w:t xml:space="preserve"> La atención integral de las personas usuarias tiene como objetivo:</w:t>
      </w:r>
    </w:p>
    <w:p w14:paraId="59586B8E" w14:textId="77777777" w:rsidR="00E84B5F" w:rsidRPr="00D63144" w:rsidRDefault="00E84B5F" w:rsidP="00E84B5F">
      <w:pPr>
        <w:autoSpaceDE w:val="0"/>
        <w:autoSpaceDN w:val="0"/>
        <w:adjustRightInd w:val="0"/>
        <w:jc w:val="both"/>
        <w:rPr>
          <w:rFonts w:ascii="Abadi" w:hAnsi="Abadi" w:cs="ArialMT"/>
          <w:sz w:val="21"/>
          <w:szCs w:val="21"/>
        </w:rPr>
      </w:pPr>
    </w:p>
    <w:p w14:paraId="30230D9D" w14:textId="3070BF43" w:rsidR="00E84B5F" w:rsidRPr="00D63144" w:rsidRDefault="00E84B5F" w:rsidP="00343CA9">
      <w:pPr>
        <w:pStyle w:val="Prrafodelista"/>
        <w:numPr>
          <w:ilvl w:val="0"/>
          <w:numId w:val="49"/>
        </w:numPr>
        <w:autoSpaceDE w:val="0"/>
        <w:autoSpaceDN w:val="0"/>
        <w:adjustRightInd w:val="0"/>
        <w:jc w:val="both"/>
        <w:rPr>
          <w:rFonts w:ascii="Abadi" w:hAnsi="Abadi" w:cs="ArialMT"/>
          <w:sz w:val="21"/>
          <w:szCs w:val="21"/>
        </w:rPr>
      </w:pPr>
      <w:r w:rsidRPr="00D63144">
        <w:rPr>
          <w:rFonts w:ascii="Abadi" w:hAnsi="Abadi" w:cs="ArialMT"/>
          <w:sz w:val="21"/>
          <w:szCs w:val="21"/>
        </w:rPr>
        <w:t>Contribuir al aumento de las expectativas de vida de las niñas, niños y adolescentes con cáncer;</w:t>
      </w:r>
    </w:p>
    <w:p w14:paraId="4BCE1082"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3B5C2837" w14:textId="70E2667A" w:rsidR="00E84B5F" w:rsidRPr="00D63144" w:rsidRDefault="00E84B5F" w:rsidP="00343CA9">
      <w:pPr>
        <w:pStyle w:val="Prrafodelista"/>
        <w:numPr>
          <w:ilvl w:val="0"/>
          <w:numId w:val="40"/>
        </w:numPr>
        <w:autoSpaceDE w:val="0"/>
        <w:autoSpaceDN w:val="0"/>
        <w:adjustRightInd w:val="0"/>
        <w:jc w:val="both"/>
        <w:rPr>
          <w:rFonts w:ascii="Abadi" w:hAnsi="Abadi" w:cs="ArialMT"/>
          <w:sz w:val="21"/>
          <w:szCs w:val="21"/>
        </w:rPr>
      </w:pPr>
      <w:r w:rsidRPr="00D63144">
        <w:rPr>
          <w:rFonts w:ascii="Abadi" w:hAnsi="Abadi" w:cs="ArialMT"/>
          <w:sz w:val="21"/>
          <w:szCs w:val="21"/>
        </w:rPr>
        <w:t>Potenciar y mejorar la Atención Médica;</w:t>
      </w:r>
    </w:p>
    <w:p w14:paraId="597F896A" w14:textId="77777777" w:rsidR="00E84B5F" w:rsidRPr="00D63144" w:rsidRDefault="00E84B5F" w:rsidP="00E84B5F">
      <w:pPr>
        <w:autoSpaceDE w:val="0"/>
        <w:autoSpaceDN w:val="0"/>
        <w:adjustRightInd w:val="0"/>
        <w:jc w:val="both"/>
        <w:rPr>
          <w:rFonts w:ascii="Abadi" w:hAnsi="Abadi" w:cs="ArialMT"/>
          <w:sz w:val="21"/>
          <w:szCs w:val="21"/>
        </w:rPr>
      </w:pPr>
    </w:p>
    <w:p w14:paraId="0CC793A2" w14:textId="77777777" w:rsidR="00E84B5F" w:rsidRPr="00D63144" w:rsidRDefault="00E84B5F" w:rsidP="00595357">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III.</w:t>
      </w:r>
      <w:r w:rsidRPr="00D63144">
        <w:rPr>
          <w:rFonts w:ascii="Abadi" w:hAnsi="Abadi" w:cs="ArialMT"/>
          <w:sz w:val="21"/>
          <w:szCs w:val="21"/>
        </w:rPr>
        <w:tab/>
        <w:t>Crear y fomentar grupos de apoyo psicológico;</w:t>
      </w:r>
    </w:p>
    <w:p w14:paraId="5F776572" w14:textId="77777777" w:rsidR="00E84B5F" w:rsidRPr="00D63144" w:rsidRDefault="00E84B5F" w:rsidP="00E84B5F">
      <w:pPr>
        <w:autoSpaceDE w:val="0"/>
        <w:autoSpaceDN w:val="0"/>
        <w:adjustRightInd w:val="0"/>
        <w:jc w:val="both"/>
        <w:rPr>
          <w:rFonts w:ascii="Abadi" w:hAnsi="Abadi" w:cs="ArialMT"/>
          <w:sz w:val="21"/>
          <w:szCs w:val="21"/>
        </w:rPr>
      </w:pPr>
    </w:p>
    <w:p w14:paraId="027BBE14"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IV.</w:t>
      </w:r>
      <w:r w:rsidRPr="00D63144">
        <w:rPr>
          <w:rFonts w:ascii="Abadi" w:hAnsi="Abadi" w:cs="ArialMT"/>
          <w:sz w:val="21"/>
          <w:szCs w:val="21"/>
        </w:rPr>
        <w:tab/>
        <w:t>Generar planes nutricionales;</w:t>
      </w:r>
    </w:p>
    <w:p w14:paraId="552CFD65" w14:textId="77777777" w:rsidR="00E84B5F" w:rsidRPr="00D63144" w:rsidRDefault="00E84B5F" w:rsidP="00595357">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V.</w:t>
      </w:r>
      <w:r w:rsidRPr="00D63144">
        <w:rPr>
          <w:rFonts w:ascii="Abadi" w:hAnsi="Abadi" w:cs="ArialMT"/>
          <w:sz w:val="21"/>
          <w:szCs w:val="21"/>
        </w:rPr>
        <w:tab/>
        <w:t>Fomentar y mejorar el desarrollo educativo;</w:t>
      </w:r>
    </w:p>
    <w:p w14:paraId="3A01EC93" w14:textId="77777777" w:rsidR="00E84B5F" w:rsidRPr="00D63144" w:rsidRDefault="00E84B5F" w:rsidP="00E84B5F">
      <w:pPr>
        <w:autoSpaceDE w:val="0"/>
        <w:autoSpaceDN w:val="0"/>
        <w:adjustRightInd w:val="0"/>
        <w:jc w:val="both"/>
        <w:rPr>
          <w:rFonts w:ascii="Abadi" w:hAnsi="Abadi" w:cs="ArialMT"/>
          <w:sz w:val="21"/>
          <w:szCs w:val="21"/>
        </w:rPr>
      </w:pPr>
    </w:p>
    <w:p w14:paraId="76DD97EB" w14:textId="77777777" w:rsidR="00E84B5F" w:rsidRPr="00D63144" w:rsidRDefault="00E84B5F" w:rsidP="00343CA9">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VI.</w:t>
      </w:r>
      <w:r w:rsidRPr="00D63144">
        <w:rPr>
          <w:rFonts w:ascii="Abadi" w:hAnsi="Abadi" w:cs="ArialMT"/>
          <w:sz w:val="21"/>
          <w:szCs w:val="21"/>
        </w:rPr>
        <w:tab/>
        <w:t>Incluir e integrar a las familias en los Planes y Programas Gubernamentales aplicables;</w:t>
      </w:r>
    </w:p>
    <w:p w14:paraId="2E1A0E61" w14:textId="77777777" w:rsidR="00E84B5F" w:rsidRPr="00D63144" w:rsidRDefault="00E84B5F" w:rsidP="00E84B5F">
      <w:pPr>
        <w:autoSpaceDE w:val="0"/>
        <w:autoSpaceDN w:val="0"/>
        <w:adjustRightInd w:val="0"/>
        <w:jc w:val="both"/>
        <w:rPr>
          <w:rFonts w:ascii="Abadi" w:hAnsi="Abadi" w:cs="ArialMT"/>
          <w:sz w:val="21"/>
          <w:szCs w:val="21"/>
        </w:rPr>
      </w:pPr>
    </w:p>
    <w:p w14:paraId="38A66A64" w14:textId="77777777" w:rsidR="00E84B5F" w:rsidRPr="00D63144" w:rsidRDefault="00E84B5F" w:rsidP="00343CA9">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VII.</w:t>
      </w:r>
      <w:r w:rsidRPr="00D63144">
        <w:rPr>
          <w:rFonts w:ascii="Abadi" w:hAnsi="Abadi" w:cs="ArialMT"/>
          <w:sz w:val="21"/>
          <w:szCs w:val="21"/>
        </w:rPr>
        <w:tab/>
        <w:t>Promover y coordinar la participación de las Instituciones encargadas de la atención de los niñas, niños, adolescentes y sus familias; y</w:t>
      </w:r>
    </w:p>
    <w:p w14:paraId="634C5F49" w14:textId="77777777" w:rsidR="00E84B5F" w:rsidRPr="00D63144" w:rsidRDefault="00E84B5F" w:rsidP="00E84B5F">
      <w:pPr>
        <w:autoSpaceDE w:val="0"/>
        <w:autoSpaceDN w:val="0"/>
        <w:adjustRightInd w:val="0"/>
        <w:jc w:val="both"/>
        <w:rPr>
          <w:rFonts w:ascii="Abadi" w:hAnsi="Abadi" w:cs="ArialMT"/>
          <w:sz w:val="21"/>
          <w:szCs w:val="21"/>
        </w:rPr>
      </w:pPr>
    </w:p>
    <w:p w14:paraId="03F04F03" w14:textId="77777777" w:rsidR="00E84B5F" w:rsidRPr="00D63144" w:rsidRDefault="00E84B5F" w:rsidP="00343CA9">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VIII.</w:t>
      </w:r>
      <w:r w:rsidRPr="00D63144">
        <w:rPr>
          <w:rFonts w:ascii="Abadi" w:hAnsi="Abadi" w:cs="ArialMT"/>
          <w:sz w:val="21"/>
          <w:szCs w:val="21"/>
        </w:rPr>
        <w:tab/>
        <w:t>Coadyuvar para mejorar el traslado de los niños y sus familias para su tratamiento.</w:t>
      </w:r>
    </w:p>
    <w:p w14:paraId="3513D140" w14:textId="77777777" w:rsidR="00E84B5F" w:rsidRPr="00D63144" w:rsidRDefault="00E84B5F" w:rsidP="00E84B5F">
      <w:pPr>
        <w:autoSpaceDE w:val="0"/>
        <w:autoSpaceDN w:val="0"/>
        <w:adjustRightInd w:val="0"/>
        <w:jc w:val="both"/>
        <w:rPr>
          <w:rFonts w:ascii="Abadi" w:hAnsi="Abadi" w:cs="ArialMT"/>
          <w:sz w:val="21"/>
          <w:szCs w:val="21"/>
        </w:rPr>
      </w:pPr>
    </w:p>
    <w:p w14:paraId="544F4FB4" w14:textId="77777777" w:rsidR="00E84B5F"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Ejes de la atención integral</w:t>
      </w:r>
    </w:p>
    <w:p w14:paraId="01B182DD"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26.</w:t>
      </w:r>
      <w:r w:rsidRPr="00D63144">
        <w:rPr>
          <w:rFonts w:ascii="Abadi" w:hAnsi="Abadi" w:cs="ArialMT"/>
          <w:sz w:val="21"/>
          <w:szCs w:val="21"/>
        </w:rPr>
        <w:t xml:space="preserve"> La atención integral debe contemplar al menos los siguientes ejes:</w:t>
      </w:r>
    </w:p>
    <w:p w14:paraId="11F5FCEE" w14:textId="77777777" w:rsidR="00E84B5F" w:rsidRPr="00D63144" w:rsidRDefault="00E84B5F" w:rsidP="00E84B5F">
      <w:pPr>
        <w:autoSpaceDE w:val="0"/>
        <w:autoSpaceDN w:val="0"/>
        <w:adjustRightInd w:val="0"/>
        <w:jc w:val="both"/>
        <w:rPr>
          <w:rFonts w:ascii="Abadi" w:hAnsi="Abadi" w:cs="ArialMT"/>
          <w:sz w:val="21"/>
          <w:szCs w:val="21"/>
        </w:rPr>
      </w:pPr>
    </w:p>
    <w:p w14:paraId="24F4E31F"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w:t>
      </w:r>
      <w:r w:rsidRPr="00D63144">
        <w:rPr>
          <w:rFonts w:ascii="Abadi" w:hAnsi="Abadi" w:cs="ArialMT"/>
          <w:sz w:val="21"/>
          <w:szCs w:val="21"/>
        </w:rPr>
        <w:tab/>
        <w:t>Prevención;</w:t>
      </w:r>
    </w:p>
    <w:p w14:paraId="61B9F0A1" w14:textId="77777777" w:rsidR="00E84B5F" w:rsidRPr="00D63144" w:rsidRDefault="00E84B5F" w:rsidP="00E84B5F">
      <w:pPr>
        <w:autoSpaceDE w:val="0"/>
        <w:autoSpaceDN w:val="0"/>
        <w:adjustRightInd w:val="0"/>
        <w:jc w:val="both"/>
        <w:rPr>
          <w:rFonts w:ascii="Abadi" w:hAnsi="Abadi" w:cs="ArialMT"/>
          <w:sz w:val="21"/>
          <w:szCs w:val="21"/>
        </w:rPr>
      </w:pPr>
    </w:p>
    <w:p w14:paraId="35513E8F"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II.</w:t>
      </w:r>
      <w:r w:rsidRPr="00D63144">
        <w:rPr>
          <w:rFonts w:ascii="Abadi" w:hAnsi="Abadi" w:cs="ArialMT"/>
          <w:sz w:val="21"/>
          <w:szCs w:val="21"/>
        </w:rPr>
        <w:tab/>
        <w:t>Diagnóstico;</w:t>
      </w:r>
    </w:p>
    <w:p w14:paraId="08D9C746" w14:textId="77777777" w:rsidR="00E84B5F" w:rsidRPr="00D63144" w:rsidRDefault="00E84B5F" w:rsidP="00E84B5F">
      <w:pPr>
        <w:autoSpaceDE w:val="0"/>
        <w:autoSpaceDN w:val="0"/>
        <w:adjustRightInd w:val="0"/>
        <w:jc w:val="both"/>
        <w:rPr>
          <w:rFonts w:ascii="Abadi" w:hAnsi="Abadi" w:cs="ArialMT"/>
          <w:sz w:val="21"/>
          <w:szCs w:val="21"/>
        </w:rPr>
      </w:pPr>
    </w:p>
    <w:p w14:paraId="25BE7B4F"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III.</w:t>
      </w:r>
      <w:r w:rsidRPr="00D63144">
        <w:rPr>
          <w:rFonts w:ascii="Abadi" w:hAnsi="Abadi" w:cs="ArialMT"/>
          <w:sz w:val="21"/>
          <w:szCs w:val="21"/>
        </w:rPr>
        <w:tab/>
        <w:t>Tratamiento;</w:t>
      </w:r>
    </w:p>
    <w:p w14:paraId="178D45FE" w14:textId="77777777" w:rsidR="00E84B5F" w:rsidRPr="00D63144" w:rsidRDefault="00E84B5F" w:rsidP="00E84B5F">
      <w:pPr>
        <w:autoSpaceDE w:val="0"/>
        <w:autoSpaceDN w:val="0"/>
        <w:adjustRightInd w:val="0"/>
        <w:jc w:val="both"/>
        <w:rPr>
          <w:rFonts w:ascii="Abadi" w:hAnsi="Abadi" w:cs="ArialMT"/>
          <w:sz w:val="21"/>
          <w:szCs w:val="21"/>
        </w:rPr>
      </w:pPr>
    </w:p>
    <w:p w14:paraId="21C2CEE8"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IV.</w:t>
      </w:r>
      <w:r w:rsidRPr="00D63144">
        <w:rPr>
          <w:rFonts w:ascii="Abadi" w:hAnsi="Abadi" w:cs="ArialMT"/>
          <w:sz w:val="21"/>
          <w:szCs w:val="21"/>
        </w:rPr>
        <w:tab/>
        <w:t>Oportunidades; y</w:t>
      </w:r>
    </w:p>
    <w:p w14:paraId="49886582" w14:textId="77777777" w:rsidR="00E84B5F" w:rsidRPr="00D63144" w:rsidRDefault="00E84B5F" w:rsidP="00E84B5F">
      <w:pPr>
        <w:autoSpaceDE w:val="0"/>
        <w:autoSpaceDN w:val="0"/>
        <w:adjustRightInd w:val="0"/>
        <w:jc w:val="both"/>
        <w:rPr>
          <w:rFonts w:ascii="Abadi" w:hAnsi="Abadi" w:cs="ArialMT"/>
          <w:sz w:val="21"/>
          <w:szCs w:val="21"/>
        </w:rPr>
      </w:pPr>
    </w:p>
    <w:p w14:paraId="10AB1428" w14:textId="77777777" w:rsidR="00E84B5F" w:rsidRPr="00D63144" w:rsidRDefault="00E84B5F" w:rsidP="00343CA9">
      <w:pPr>
        <w:autoSpaceDE w:val="0"/>
        <w:autoSpaceDN w:val="0"/>
        <w:adjustRightInd w:val="0"/>
        <w:ind w:left="705" w:hanging="705"/>
        <w:jc w:val="both"/>
        <w:rPr>
          <w:rFonts w:ascii="Abadi" w:hAnsi="Abadi" w:cs="ArialMT"/>
          <w:sz w:val="21"/>
          <w:szCs w:val="21"/>
        </w:rPr>
      </w:pPr>
      <w:r w:rsidRPr="00D63144">
        <w:rPr>
          <w:rFonts w:ascii="Abadi" w:hAnsi="Abadi" w:cs="ArialMT"/>
          <w:sz w:val="21"/>
          <w:szCs w:val="21"/>
        </w:rPr>
        <w:t>V.</w:t>
      </w:r>
      <w:r w:rsidRPr="00D63144">
        <w:rPr>
          <w:rFonts w:ascii="Abadi" w:hAnsi="Abadi" w:cs="ArialMT"/>
          <w:sz w:val="21"/>
          <w:szCs w:val="21"/>
        </w:rPr>
        <w:tab/>
        <w:t>Las demás que establezca la ley en la materia.</w:t>
      </w:r>
    </w:p>
    <w:p w14:paraId="0E30F38A" w14:textId="77777777" w:rsidR="00E84B5F" w:rsidRPr="00D63144" w:rsidRDefault="00E84B5F" w:rsidP="00E84B5F">
      <w:pPr>
        <w:autoSpaceDE w:val="0"/>
        <w:autoSpaceDN w:val="0"/>
        <w:adjustRightInd w:val="0"/>
        <w:jc w:val="both"/>
        <w:rPr>
          <w:rFonts w:ascii="Abadi" w:hAnsi="Abadi" w:cs="ArialMT"/>
          <w:sz w:val="21"/>
          <w:szCs w:val="21"/>
        </w:rPr>
      </w:pPr>
    </w:p>
    <w:p w14:paraId="06FBA0AC" w14:textId="77777777" w:rsidR="00E84B5F" w:rsidRPr="00D63144" w:rsidRDefault="00E84B5F" w:rsidP="00E84B5F">
      <w:pPr>
        <w:autoSpaceDE w:val="0"/>
        <w:autoSpaceDN w:val="0"/>
        <w:adjustRightInd w:val="0"/>
        <w:jc w:val="both"/>
        <w:rPr>
          <w:rFonts w:ascii="Abadi" w:hAnsi="Abadi" w:cs="ArialMT"/>
          <w:sz w:val="21"/>
          <w:szCs w:val="21"/>
        </w:rPr>
      </w:pPr>
    </w:p>
    <w:p w14:paraId="7E4F880C"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Capítulo Segundo</w:t>
      </w:r>
    </w:p>
    <w:p w14:paraId="4C2342F3"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 la Prevención, Detección, Diagnóstico y Referencia Temprana</w:t>
      </w:r>
    </w:p>
    <w:p w14:paraId="7FCC313A" w14:textId="77777777" w:rsidR="00E84B5F" w:rsidRPr="00D63144" w:rsidRDefault="00E84B5F" w:rsidP="00E84B5F">
      <w:pPr>
        <w:autoSpaceDE w:val="0"/>
        <w:autoSpaceDN w:val="0"/>
        <w:adjustRightInd w:val="0"/>
        <w:jc w:val="both"/>
        <w:rPr>
          <w:rFonts w:ascii="Abadi" w:hAnsi="Abadi" w:cs="ArialMT"/>
          <w:sz w:val="21"/>
          <w:szCs w:val="21"/>
        </w:rPr>
      </w:pPr>
    </w:p>
    <w:p w14:paraId="65405D1F"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 la Prevención </w:t>
      </w:r>
    </w:p>
    <w:p w14:paraId="57896CD0" w14:textId="69CC7F66"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27.</w:t>
      </w:r>
      <w:r w:rsidRPr="00D63144">
        <w:rPr>
          <w:rFonts w:ascii="Abadi" w:hAnsi="Abadi" w:cs="ArialMT"/>
          <w:sz w:val="21"/>
          <w:szCs w:val="21"/>
        </w:rPr>
        <w:t xml:space="preserve"> En materia de Prevención, las autoridades de la presente ley, en el ámbito de sus respectivas competencias, promoverán hábitos y estilos de vida saludables que incidan positivamente en el bienestar físico, mental y social de la población.</w:t>
      </w:r>
    </w:p>
    <w:p w14:paraId="4E205362" w14:textId="77777777" w:rsidR="00E84B5F" w:rsidRPr="00D63144" w:rsidRDefault="00E84B5F" w:rsidP="00E84B5F">
      <w:pPr>
        <w:autoSpaceDE w:val="0"/>
        <w:autoSpaceDN w:val="0"/>
        <w:adjustRightInd w:val="0"/>
        <w:jc w:val="both"/>
        <w:rPr>
          <w:rFonts w:ascii="Abadi" w:hAnsi="Abadi" w:cs="ArialMT"/>
          <w:sz w:val="21"/>
          <w:szCs w:val="21"/>
        </w:rPr>
      </w:pPr>
    </w:p>
    <w:p w14:paraId="492BBF0D" w14:textId="77777777" w:rsidR="00E84B5F"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De la Detección</w:t>
      </w:r>
    </w:p>
    <w:p w14:paraId="2E4D3781"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63572B46"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28.</w:t>
      </w:r>
      <w:r w:rsidRPr="00D63144">
        <w:rPr>
          <w:rFonts w:ascii="Abadi" w:hAnsi="Abadi" w:cs="ArialMT"/>
          <w:sz w:val="21"/>
          <w:szCs w:val="21"/>
        </w:rPr>
        <w:t xml:space="preserve"> Los prestadores de servicios de salud deberán atender las guías y protocolos de atención establecidos para lograr identificar oportunamente signos y síntomas de cáncer en la infancia y la adolescencia.</w:t>
      </w:r>
    </w:p>
    <w:p w14:paraId="22240D59" w14:textId="77777777" w:rsidR="00E84B5F" w:rsidRPr="00D63144" w:rsidRDefault="00E84B5F" w:rsidP="00E84B5F">
      <w:pPr>
        <w:autoSpaceDE w:val="0"/>
        <w:autoSpaceDN w:val="0"/>
        <w:adjustRightInd w:val="0"/>
        <w:jc w:val="both"/>
        <w:rPr>
          <w:rFonts w:ascii="Abadi" w:hAnsi="Abadi" w:cs="ArialMT"/>
          <w:sz w:val="21"/>
          <w:szCs w:val="21"/>
        </w:rPr>
      </w:pPr>
    </w:p>
    <w:p w14:paraId="5C20DEE8"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Las autoridades de la presente ley deberán establecer y fomentar programas de formación, capacitación y educación continua, con el objetivo de que los profesionales en el área de salud de primer contacto cuenten con las herramientas necesarias para la detección oportuna.</w:t>
      </w:r>
    </w:p>
    <w:p w14:paraId="7414405F" w14:textId="77777777" w:rsidR="00E84B5F" w:rsidRPr="00D63144" w:rsidRDefault="00E84B5F" w:rsidP="00E84B5F">
      <w:pPr>
        <w:autoSpaceDE w:val="0"/>
        <w:autoSpaceDN w:val="0"/>
        <w:adjustRightInd w:val="0"/>
        <w:jc w:val="both"/>
        <w:rPr>
          <w:rFonts w:ascii="Abadi" w:hAnsi="Abadi" w:cs="ArialMT"/>
          <w:sz w:val="21"/>
          <w:szCs w:val="21"/>
        </w:rPr>
      </w:pPr>
    </w:p>
    <w:p w14:paraId="7104B8C7"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 la capacitación especializada </w:t>
      </w:r>
    </w:p>
    <w:p w14:paraId="47F67166" w14:textId="71414BC5"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29.</w:t>
      </w:r>
      <w:r w:rsidRPr="00D63144">
        <w:rPr>
          <w:rFonts w:ascii="Abadi" w:hAnsi="Abadi" w:cs="ArialMT"/>
          <w:sz w:val="21"/>
          <w:szCs w:val="21"/>
        </w:rPr>
        <w:t xml:space="preserve"> La Secretaría de Salud, impulsará con las instituciones educativas, públicas y privadas, que imparten la licenciatura de medicina, enfermería y carreras afines, la inclusión en sus planes de estudios de la capacitación especializada sobre la sintomatología principal, sintomatología de sospecha y factores de riesgo, de los tipos más prevalentes de cáncer en la infancia y la adolescencia.</w:t>
      </w:r>
    </w:p>
    <w:p w14:paraId="54693DAE" w14:textId="77777777" w:rsidR="00E84B5F" w:rsidRPr="00D63144" w:rsidRDefault="00E84B5F" w:rsidP="00E84B5F">
      <w:pPr>
        <w:autoSpaceDE w:val="0"/>
        <w:autoSpaceDN w:val="0"/>
        <w:adjustRightInd w:val="0"/>
        <w:jc w:val="both"/>
        <w:rPr>
          <w:rFonts w:ascii="Abadi" w:hAnsi="Abadi" w:cs="ArialMT"/>
          <w:sz w:val="21"/>
          <w:szCs w:val="21"/>
        </w:rPr>
      </w:pPr>
    </w:p>
    <w:p w14:paraId="53D42DFD"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Del Diagnóstico </w:t>
      </w:r>
    </w:p>
    <w:p w14:paraId="64701E11" w14:textId="5D31A001"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30.</w:t>
      </w:r>
      <w:r w:rsidRPr="00D63144">
        <w:rPr>
          <w:rFonts w:ascii="Abadi" w:hAnsi="Abadi" w:cs="ArialMT"/>
          <w:sz w:val="21"/>
          <w:szCs w:val="21"/>
        </w:rPr>
        <w:t xml:space="preserve"> En caso de sospecha fundada de cáncer, el personal del centro de salud, deberá referir al paciente a la unidad de segundo nivel de atención más cercana para realizar el diagnóstico oportuno, dentro de un plazo no mayor a cinco días hábiles, sin perjuicio de ordenar todos los exámenes paraclínicos y procedimientos especializados que se consideren indispensables para tener un diagnóstico.</w:t>
      </w:r>
    </w:p>
    <w:p w14:paraId="3C3E548F" w14:textId="77777777" w:rsidR="00E84B5F" w:rsidRPr="00D63144" w:rsidRDefault="00E84B5F" w:rsidP="00E84B5F">
      <w:pPr>
        <w:autoSpaceDE w:val="0"/>
        <w:autoSpaceDN w:val="0"/>
        <w:adjustRightInd w:val="0"/>
        <w:jc w:val="both"/>
        <w:rPr>
          <w:rFonts w:ascii="Abadi" w:hAnsi="Abadi" w:cs="ArialMT"/>
          <w:sz w:val="21"/>
          <w:szCs w:val="21"/>
        </w:rPr>
      </w:pPr>
    </w:p>
    <w:p w14:paraId="3E3EB862"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En caso de que el primer contacto se realice en una unidad de segundo nivel de atención, o bien derivado de la referencia anterior no pueda ser obtenido un diagnóstico deberá ser referido al Centro para la atención correspondiente.</w:t>
      </w:r>
    </w:p>
    <w:p w14:paraId="0734578E" w14:textId="77777777" w:rsidR="00E84B5F" w:rsidRPr="00D63144" w:rsidRDefault="00E84B5F" w:rsidP="00E84B5F">
      <w:pPr>
        <w:autoSpaceDE w:val="0"/>
        <w:autoSpaceDN w:val="0"/>
        <w:adjustRightInd w:val="0"/>
        <w:jc w:val="both"/>
        <w:rPr>
          <w:rFonts w:ascii="Abadi" w:hAnsi="Abadi" w:cs="ArialMT"/>
          <w:sz w:val="21"/>
          <w:szCs w:val="21"/>
        </w:rPr>
      </w:pPr>
    </w:p>
    <w:p w14:paraId="7E0F8ECA"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31.</w:t>
      </w:r>
      <w:r w:rsidRPr="00D63144">
        <w:rPr>
          <w:rFonts w:ascii="Abadi" w:hAnsi="Abadi" w:cs="ArialMT"/>
          <w:sz w:val="21"/>
          <w:szCs w:val="21"/>
        </w:rPr>
        <w:t xml:space="preserve"> Los diagnósticos en los que se presuma la existencia de cáncer deberán basarse en las guías especializadas y protocolos establecidos.</w:t>
      </w:r>
    </w:p>
    <w:p w14:paraId="35E5E208" w14:textId="77777777" w:rsidR="00E84B5F" w:rsidRPr="00D63144" w:rsidRDefault="00E84B5F" w:rsidP="00E84B5F">
      <w:pPr>
        <w:autoSpaceDE w:val="0"/>
        <w:autoSpaceDN w:val="0"/>
        <w:adjustRightInd w:val="0"/>
        <w:jc w:val="both"/>
        <w:rPr>
          <w:rFonts w:ascii="Abadi" w:hAnsi="Abadi" w:cs="ArialMT"/>
          <w:sz w:val="21"/>
          <w:szCs w:val="21"/>
        </w:rPr>
      </w:pPr>
    </w:p>
    <w:p w14:paraId="10905596"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 la Referencia Temprana </w:t>
      </w:r>
    </w:p>
    <w:p w14:paraId="4F1D101E" w14:textId="0DF524C5"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32</w:t>
      </w:r>
      <w:r w:rsidRPr="00D63144">
        <w:rPr>
          <w:rFonts w:ascii="Abadi" w:hAnsi="Abadi" w:cs="ArialMT"/>
          <w:sz w:val="21"/>
          <w:szCs w:val="21"/>
        </w:rPr>
        <w:t>. Una vez que se cuente con un diagnóstico confirmatorio de cáncer, en cualquiera de sus tipos o modalidades, el establecimiento de salud deberá referenciar al menor al Centro a efecto de iniciar de forma oportuna con su atención y tratamiento.</w:t>
      </w:r>
    </w:p>
    <w:p w14:paraId="2900261E" w14:textId="77777777" w:rsidR="00E84B5F" w:rsidRPr="00D63144" w:rsidRDefault="00E84B5F" w:rsidP="00E84B5F">
      <w:pPr>
        <w:autoSpaceDE w:val="0"/>
        <w:autoSpaceDN w:val="0"/>
        <w:adjustRightInd w:val="0"/>
        <w:jc w:val="both"/>
        <w:rPr>
          <w:rFonts w:ascii="Abadi" w:hAnsi="Abadi" w:cs="ArialMT"/>
          <w:sz w:val="21"/>
          <w:szCs w:val="21"/>
        </w:rPr>
      </w:pPr>
    </w:p>
    <w:p w14:paraId="05C310DD"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276A9819"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Capítulo Tercero</w:t>
      </w:r>
    </w:p>
    <w:p w14:paraId="3F59B832"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 la Atención y Tratamiento</w:t>
      </w:r>
    </w:p>
    <w:p w14:paraId="6FFC2A15" w14:textId="77777777" w:rsidR="00E84B5F" w:rsidRPr="00D63144" w:rsidRDefault="00E84B5F" w:rsidP="00343CA9">
      <w:pPr>
        <w:autoSpaceDE w:val="0"/>
        <w:autoSpaceDN w:val="0"/>
        <w:adjustRightInd w:val="0"/>
        <w:jc w:val="center"/>
        <w:rPr>
          <w:rFonts w:ascii="Abadi" w:hAnsi="Abadi" w:cs="ArialMT"/>
          <w:b/>
          <w:bCs/>
          <w:sz w:val="21"/>
          <w:szCs w:val="21"/>
        </w:rPr>
      </w:pPr>
    </w:p>
    <w:p w14:paraId="37E75241" w14:textId="77777777" w:rsidR="00E84B5F"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De la Atención</w:t>
      </w:r>
    </w:p>
    <w:p w14:paraId="404B4D5F" w14:textId="77777777" w:rsidR="00E84B5F" w:rsidRPr="00D63144" w:rsidRDefault="00E84B5F" w:rsidP="00E84B5F">
      <w:pPr>
        <w:autoSpaceDE w:val="0"/>
        <w:autoSpaceDN w:val="0"/>
        <w:adjustRightInd w:val="0"/>
        <w:jc w:val="both"/>
        <w:rPr>
          <w:rFonts w:ascii="Abadi" w:hAnsi="Abadi" w:cs="ArialMT"/>
          <w:b/>
          <w:bCs/>
          <w:sz w:val="21"/>
          <w:szCs w:val="21"/>
        </w:rPr>
      </w:pPr>
    </w:p>
    <w:p w14:paraId="23E41379"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33.</w:t>
      </w:r>
      <w:r w:rsidRPr="00D63144">
        <w:rPr>
          <w:rFonts w:ascii="Abadi" w:hAnsi="Abadi" w:cs="ArialMT"/>
          <w:sz w:val="21"/>
          <w:szCs w:val="21"/>
        </w:rPr>
        <w:t xml:space="preserve"> La atención que se otorgue por las autoridades establecidas en la presente ley, se constituye como un Eje prioritario en la prestación de servicios de salud en el Estado, misma que debe brindarse de forma, gratuita, informada, multidisciplinaria, continúa, integral, y coordinadamente en cada una de las etapas de la enfermedad que curse la persona usuaria, y en apego a los estándares de seguridad y calidad que para tal efecto dispongan las Normas Oficiales Mexicanas, las guías y protocolos establecidos para tal efecto y las disposiciones legales aplicables.</w:t>
      </w:r>
    </w:p>
    <w:p w14:paraId="7FCBDA40" w14:textId="77777777" w:rsidR="00E84B5F" w:rsidRPr="00D63144" w:rsidRDefault="00E84B5F" w:rsidP="00E84B5F">
      <w:pPr>
        <w:autoSpaceDE w:val="0"/>
        <w:autoSpaceDN w:val="0"/>
        <w:adjustRightInd w:val="0"/>
        <w:jc w:val="both"/>
        <w:rPr>
          <w:rFonts w:ascii="Abadi" w:hAnsi="Abadi" w:cs="ArialMT"/>
          <w:sz w:val="21"/>
          <w:szCs w:val="21"/>
        </w:rPr>
      </w:pPr>
    </w:p>
    <w:p w14:paraId="2D92510C"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 la referencia a atención </w:t>
      </w:r>
    </w:p>
    <w:p w14:paraId="4A80CC86" w14:textId="0C3021EE"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34.</w:t>
      </w:r>
      <w:r w:rsidRPr="00D63144">
        <w:rPr>
          <w:rFonts w:ascii="Abadi" w:hAnsi="Abadi" w:cs="ArialMT"/>
          <w:sz w:val="21"/>
          <w:szCs w:val="21"/>
        </w:rPr>
        <w:t xml:space="preserve"> Los pacientes que sean referidos, deberán iniciar su proceso de incorporación al programa de acuerdo a los lineamientos que establezca la Secretaría de Desarrollo Social y Humano para tal efecto.</w:t>
      </w:r>
    </w:p>
    <w:p w14:paraId="4A331383" w14:textId="77777777" w:rsidR="00E84B5F" w:rsidRPr="00D63144" w:rsidRDefault="00E84B5F" w:rsidP="00E84B5F">
      <w:pPr>
        <w:autoSpaceDE w:val="0"/>
        <w:autoSpaceDN w:val="0"/>
        <w:adjustRightInd w:val="0"/>
        <w:jc w:val="both"/>
        <w:rPr>
          <w:rFonts w:ascii="Abadi" w:hAnsi="Abadi" w:cs="ArialMT"/>
          <w:sz w:val="21"/>
          <w:szCs w:val="21"/>
        </w:rPr>
      </w:pPr>
    </w:p>
    <w:p w14:paraId="57A289BE" w14:textId="118B278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Del tratamiento</w:t>
      </w:r>
    </w:p>
    <w:p w14:paraId="24805279" w14:textId="613C0BEE"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35.</w:t>
      </w:r>
      <w:r w:rsidRPr="00D63144">
        <w:rPr>
          <w:rFonts w:ascii="Abadi" w:hAnsi="Abadi" w:cs="ArialMT"/>
          <w:sz w:val="21"/>
          <w:szCs w:val="21"/>
        </w:rPr>
        <w:t xml:space="preserve"> Los médicos tratantes deberán informar a la familia en qué consiste cada uno de los tratamientos, sus implicaciones y efectos secundarios, y en su caso, de ser procedente pueda considerar las posibles opciones de tratamiento a seguir de acuerdo a los requerimientos del paciente, a fin de que dicha información coadyuve en la toma decisiones.</w:t>
      </w:r>
    </w:p>
    <w:p w14:paraId="69E8A32D" w14:textId="77777777" w:rsidR="00E84B5F" w:rsidRPr="00D63144" w:rsidRDefault="00E84B5F" w:rsidP="00E84B5F">
      <w:pPr>
        <w:autoSpaceDE w:val="0"/>
        <w:autoSpaceDN w:val="0"/>
        <w:adjustRightInd w:val="0"/>
        <w:jc w:val="both"/>
        <w:rPr>
          <w:rFonts w:ascii="Abadi" w:hAnsi="Abadi" w:cs="ArialMT"/>
          <w:sz w:val="21"/>
          <w:szCs w:val="21"/>
        </w:rPr>
      </w:pPr>
    </w:p>
    <w:p w14:paraId="7307E58A"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Tratamiento multidisciplinario </w:t>
      </w:r>
    </w:p>
    <w:p w14:paraId="1CC8F088" w14:textId="22780FEE"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36.</w:t>
      </w:r>
      <w:r w:rsidRPr="00D63144">
        <w:rPr>
          <w:rFonts w:ascii="Abadi" w:hAnsi="Abadi" w:cs="ArialMT"/>
          <w:sz w:val="21"/>
          <w:szCs w:val="21"/>
        </w:rPr>
        <w:t xml:space="preserve"> El tratamiento multidisciplinario prescrito por el médico tratante dependerá del estado del avance y del tipo de cáncer, por lo que el Centro deberá contar con los insumos, materiales, y medicamentos necesarios para su administración al paciente.</w:t>
      </w:r>
    </w:p>
    <w:p w14:paraId="63C05C8F" w14:textId="77777777" w:rsidR="00E84B5F" w:rsidRPr="00D63144" w:rsidRDefault="00E84B5F" w:rsidP="00E84B5F">
      <w:pPr>
        <w:autoSpaceDE w:val="0"/>
        <w:autoSpaceDN w:val="0"/>
        <w:adjustRightInd w:val="0"/>
        <w:jc w:val="both"/>
        <w:rPr>
          <w:rFonts w:ascii="Abadi" w:hAnsi="Abadi" w:cs="ArialMT"/>
          <w:sz w:val="21"/>
          <w:szCs w:val="21"/>
        </w:rPr>
      </w:pPr>
    </w:p>
    <w:p w14:paraId="65ABBAE8"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En casos de causa de fuerza mayor, entendida esta como la imposibilidad material de adquisición de medicamentos o insumos por situaciones ajenas a las autoridades de la presente ley, se realizarán las gestiones necesarias a efecto de buscar la colaboración de los agentes de ayuda para contar con los insumos y medicamentos necesarios.</w:t>
      </w:r>
    </w:p>
    <w:p w14:paraId="082E31C6" w14:textId="77777777" w:rsidR="00E84B5F" w:rsidRPr="00D63144" w:rsidRDefault="00E84B5F" w:rsidP="00E84B5F">
      <w:pPr>
        <w:autoSpaceDE w:val="0"/>
        <w:autoSpaceDN w:val="0"/>
        <w:adjustRightInd w:val="0"/>
        <w:jc w:val="both"/>
        <w:rPr>
          <w:rFonts w:ascii="Abadi" w:hAnsi="Abadi" w:cs="ArialMT"/>
          <w:sz w:val="21"/>
          <w:szCs w:val="21"/>
        </w:rPr>
      </w:pPr>
    </w:p>
    <w:p w14:paraId="6F382416"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Capítulo Cuarto</w:t>
      </w:r>
    </w:p>
    <w:p w14:paraId="57CD51CF"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Oportunidades de las personas usuarias del programa</w:t>
      </w:r>
    </w:p>
    <w:p w14:paraId="7AC848BD" w14:textId="77777777" w:rsidR="00E84B5F" w:rsidRPr="00D63144" w:rsidRDefault="00E84B5F" w:rsidP="00343CA9">
      <w:pPr>
        <w:autoSpaceDE w:val="0"/>
        <w:autoSpaceDN w:val="0"/>
        <w:adjustRightInd w:val="0"/>
        <w:jc w:val="center"/>
        <w:rPr>
          <w:rFonts w:ascii="Abadi" w:hAnsi="Abadi" w:cs="ArialMT"/>
          <w:b/>
          <w:bCs/>
          <w:sz w:val="21"/>
          <w:szCs w:val="21"/>
        </w:rPr>
      </w:pPr>
    </w:p>
    <w:p w14:paraId="709B72FE" w14:textId="77777777" w:rsidR="00E84B5F"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Apoyos asistenciales</w:t>
      </w:r>
    </w:p>
    <w:p w14:paraId="16976FB0"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4AA47EB1"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37.</w:t>
      </w:r>
      <w:r w:rsidRPr="00D63144">
        <w:rPr>
          <w:rFonts w:ascii="Abadi" w:hAnsi="Abadi" w:cs="ArialMT"/>
          <w:sz w:val="21"/>
          <w:szCs w:val="21"/>
        </w:rPr>
        <w:t xml:space="preserve"> Las personas usuarias del programa contarán con apoyos asistenciales que serán coordinados y otorgados en las formas y modalidades que determine la Secretaría de Desarrollo Social y Humano.</w:t>
      </w:r>
    </w:p>
    <w:p w14:paraId="239D1848" w14:textId="77777777" w:rsidR="00E84B5F" w:rsidRPr="00D63144" w:rsidRDefault="00E84B5F" w:rsidP="00E84B5F">
      <w:pPr>
        <w:autoSpaceDE w:val="0"/>
        <w:autoSpaceDN w:val="0"/>
        <w:adjustRightInd w:val="0"/>
        <w:jc w:val="both"/>
        <w:rPr>
          <w:rFonts w:ascii="Abadi" w:hAnsi="Abadi" w:cs="ArialMT"/>
          <w:sz w:val="21"/>
          <w:szCs w:val="21"/>
        </w:rPr>
      </w:pPr>
    </w:p>
    <w:p w14:paraId="74EC8951"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Facilidades educativas a personas usuarias </w:t>
      </w:r>
    </w:p>
    <w:p w14:paraId="5CB93CAC" w14:textId="10FDD54C"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38.</w:t>
      </w:r>
      <w:r w:rsidRPr="00D63144">
        <w:rPr>
          <w:rFonts w:ascii="Abadi" w:hAnsi="Abadi" w:cs="ArialMT"/>
          <w:sz w:val="21"/>
          <w:szCs w:val="21"/>
        </w:rPr>
        <w:t xml:space="preserve"> La Secretaría de Educación determinará las facilidades y lineamientos en materia educativa a efecto de garantizar el derecho a la educación de los usuarios.</w:t>
      </w:r>
    </w:p>
    <w:p w14:paraId="49598D5E" w14:textId="77777777" w:rsidR="00E84B5F" w:rsidRPr="00D63144" w:rsidRDefault="00E84B5F" w:rsidP="00E84B5F">
      <w:pPr>
        <w:autoSpaceDE w:val="0"/>
        <w:autoSpaceDN w:val="0"/>
        <w:adjustRightInd w:val="0"/>
        <w:jc w:val="both"/>
        <w:rPr>
          <w:rFonts w:ascii="Abadi" w:hAnsi="Abadi" w:cs="ArialMT"/>
          <w:sz w:val="21"/>
          <w:szCs w:val="21"/>
        </w:rPr>
      </w:pPr>
    </w:p>
    <w:p w14:paraId="0B9124CC"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Título Cuarto</w:t>
      </w:r>
    </w:p>
    <w:p w14:paraId="5A3D4AD3"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Del Registro Estatal de Cáncer en la infancia y la adolescencia</w:t>
      </w:r>
    </w:p>
    <w:p w14:paraId="7C6C5AA3" w14:textId="77777777" w:rsidR="00E84B5F" w:rsidRPr="00D63144" w:rsidRDefault="00E84B5F" w:rsidP="00343CA9">
      <w:pPr>
        <w:autoSpaceDE w:val="0"/>
        <w:autoSpaceDN w:val="0"/>
        <w:adjustRightInd w:val="0"/>
        <w:jc w:val="center"/>
        <w:rPr>
          <w:rFonts w:ascii="Abadi" w:hAnsi="Abadi" w:cs="ArialMT"/>
          <w:b/>
          <w:bCs/>
          <w:sz w:val="21"/>
          <w:szCs w:val="21"/>
        </w:rPr>
      </w:pPr>
    </w:p>
    <w:p w14:paraId="63DE252F"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Capítulo Primero Disposiciones Generales</w:t>
      </w:r>
    </w:p>
    <w:p w14:paraId="5C457395" w14:textId="77777777" w:rsidR="00E84B5F" w:rsidRPr="00D63144" w:rsidRDefault="00E84B5F" w:rsidP="00E84B5F">
      <w:pPr>
        <w:autoSpaceDE w:val="0"/>
        <w:autoSpaceDN w:val="0"/>
        <w:adjustRightInd w:val="0"/>
        <w:jc w:val="both"/>
        <w:rPr>
          <w:rFonts w:ascii="Abadi" w:hAnsi="Abadi" w:cs="ArialMT"/>
          <w:b/>
          <w:bCs/>
          <w:sz w:val="21"/>
          <w:szCs w:val="21"/>
        </w:rPr>
      </w:pPr>
    </w:p>
    <w:p w14:paraId="51D43700"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Del Registro Estatal </w:t>
      </w:r>
    </w:p>
    <w:p w14:paraId="6F701077" w14:textId="315CD7EC"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39.</w:t>
      </w:r>
      <w:r w:rsidRPr="00D63144">
        <w:rPr>
          <w:rFonts w:ascii="Abadi" w:hAnsi="Abadi" w:cs="ArialMT"/>
          <w:sz w:val="21"/>
          <w:szCs w:val="21"/>
        </w:rPr>
        <w:t xml:space="preserve"> El Registro es el mecanismo que permite tener control y registro de las personas usuarias que se benefician del programa.</w:t>
      </w:r>
    </w:p>
    <w:p w14:paraId="3934904E" w14:textId="77777777" w:rsidR="00E84B5F" w:rsidRPr="00D63144" w:rsidRDefault="00E84B5F" w:rsidP="00E84B5F">
      <w:pPr>
        <w:autoSpaceDE w:val="0"/>
        <w:autoSpaceDN w:val="0"/>
        <w:adjustRightInd w:val="0"/>
        <w:jc w:val="both"/>
        <w:rPr>
          <w:rFonts w:ascii="Abadi" w:hAnsi="Abadi" w:cs="ArialMT"/>
          <w:sz w:val="21"/>
          <w:szCs w:val="21"/>
        </w:rPr>
      </w:pPr>
    </w:p>
    <w:p w14:paraId="3090C98B"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La Secretaría de Desarrollo Social y Humano, en coordinación con la Secretaría de Salud y el DIF Guanajuato, establecerán los lineamientos para implementar el formato de inscripción en el Registro, de conformidad con la Ley sobre el Sistema Estatal de Asistencia Social, la Ley de Salud, ambas del Estado de Guanajuato y las demás normas aplicables.</w:t>
      </w:r>
    </w:p>
    <w:p w14:paraId="3D909EBB" w14:textId="77777777" w:rsidR="00E84B5F" w:rsidRPr="00D63144" w:rsidRDefault="00E84B5F" w:rsidP="00E84B5F">
      <w:pPr>
        <w:autoSpaceDE w:val="0"/>
        <w:autoSpaceDN w:val="0"/>
        <w:adjustRightInd w:val="0"/>
        <w:jc w:val="both"/>
        <w:rPr>
          <w:rFonts w:ascii="Abadi" w:hAnsi="Abadi" w:cs="ArialMT"/>
          <w:sz w:val="21"/>
          <w:szCs w:val="21"/>
        </w:rPr>
      </w:pPr>
    </w:p>
    <w:p w14:paraId="70263F7A" w14:textId="0F0DD03F"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Los datos personales de los beneficiarios que se integren en la base de datos del </w:t>
      </w:r>
      <w:r w:rsidR="009F433C">
        <w:rPr>
          <w:rFonts w:ascii="Abadi" w:hAnsi="Abadi" w:cs="ArialMT"/>
          <w:sz w:val="21"/>
          <w:szCs w:val="21"/>
        </w:rPr>
        <w:t>r</w:t>
      </w:r>
      <w:r w:rsidRPr="00D63144">
        <w:rPr>
          <w:rFonts w:ascii="Abadi" w:hAnsi="Abadi" w:cs="ArialMT"/>
          <w:sz w:val="21"/>
          <w:szCs w:val="21"/>
        </w:rPr>
        <w:t>egistro, serán preservados en los términos de la ley aplicable en la materia, protegiendo aquéllos de carácter confidencial y haciendo públicos los que constituyan información fundamental.</w:t>
      </w:r>
    </w:p>
    <w:p w14:paraId="065E1978" w14:textId="77777777" w:rsidR="00E84B5F" w:rsidRPr="00D63144" w:rsidRDefault="00E84B5F" w:rsidP="00E84B5F">
      <w:pPr>
        <w:autoSpaceDE w:val="0"/>
        <w:autoSpaceDN w:val="0"/>
        <w:adjustRightInd w:val="0"/>
        <w:jc w:val="both"/>
        <w:rPr>
          <w:rFonts w:ascii="Abadi" w:hAnsi="Abadi" w:cs="ArialMT"/>
          <w:sz w:val="21"/>
          <w:szCs w:val="21"/>
        </w:rPr>
      </w:pPr>
    </w:p>
    <w:p w14:paraId="6303C4AB"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La información del Registro no puede ser usada para fines comerciales, electorales, ni para otra de índole distinta a la consulta ciudadana y a los fines establecidos de políticas públicas.</w:t>
      </w:r>
    </w:p>
    <w:p w14:paraId="229CB72E" w14:textId="77777777" w:rsidR="00E84B5F" w:rsidRPr="00D63144" w:rsidRDefault="00E84B5F" w:rsidP="00E84B5F">
      <w:pPr>
        <w:autoSpaceDE w:val="0"/>
        <w:autoSpaceDN w:val="0"/>
        <w:adjustRightInd w:val="0"/>
        <w:jc w:val="both"/>
        <w:rPr>
          <w:rFonts w:ascii="Abadi" w:hAnsi="Abadi" w:cs="ArialMT"/>
          <w:sz w:val="21"/>
          <w:szCs w:val="21"/>
        </w:rPr>
      </w:pPr>
    </w:p>
    <w:p w14:paraId="4BF4B187"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 los lineamientos del registro </w:t>
      </w:r>
    </w:p>
    <w:p w14:paraId="712C1821" w14:textId="554ED2AA"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40.</w:t>
      </w:r>
      <w:r w:rsidRPr="00D63144">
        <w:rPr>
          <w:rFonts w:ascii="Abadi" w:hAnsi="Abadi" w:cs="ArialMT"/>
          <w:sz w:val="21"/>
          <w:szCs w:val="21"/>
        </w:rPr>
        <w:t xml:space="preserve"> La Secretaría de Desarrollo Social y Humano determinará las medidas y lineamientos a que se sujetará el sistema electrónico a fin de garantizar la operación, procesamiento, interpretación y seguridad de la información contenida en los expedientes electrónicos, que garantice la confidencialidad, integridad, resiliencia, seguridad en el acceso y transmisión de la información.</w:t>
      </w:r>
    </w:p>
    <w:p w14:paraId="43A6A193"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 xml:space="preserve"> </w:t>
      </w:r>
    </w:p>
    <w:p w14:paraId="6A915A58"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Se preferirán los sistemas de soporte que admitan la interoperabilidad con otros registros o sistemas de información que se vinculen al cáncer infantil y adolescente, y que resulten útiles a las finalidades del Registro.</w:t>
      </w:r>
    </w:p>
    <w:p w14:paraId="6543C8EB" w14:textId="77777777" w:rsidR="00E84B5F" w:rsidRPr="00D63144" w:rsidRDefault="00E84B5F" w:rsidP="00E84B5F">
      <w:pPr>
        <w:autoSpaceDE w:val="0"/>
        <w:autoSpaceDN w:val="0"/>
        <w:adjustRightInd w:val="0"/>
        <w:jc w:val="both"/>
        <w:rPr>
          <w:rFonts w:ascii="Abadi" w:hAnsi="Abadi" w:cs="ArialMT"/>
          <w:sz w:val="21"/>
          <w:szCs w:val="21"/>
        </w:rPr>
      </w:pPr>
    </w:p>
    <w:p w14:paraId="49314FC3" w14:textId="77777777" w:rsidR="00343CA9"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 xml:space="preserve">Título Quinto </w:t>
      </w:r>
    </w:p>
    <w:p w14:paraId="747FCF3C" w14:textId="6B7A2D86"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Capítulo Único</w:t>
      </w:r>
    </w:p>
    <w:p w14:paraId="663E3844"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 la información estadística</w:t>
      </w:r>
    </w:p>
    <w:p w14:paraId="7C017220" w14:textId="77777777" w:rsidR="00E84B5F" w:rsidRPr="00D63144" w:rsidRDefault="00E84B5F" w:rsidP="00E84B5F">
      <w:pPr>
        <w:autoSpaceDE w:val="0"/>
        <w:autoSpaceDN w:val="0"/>
        <w:adjustRightInd w:val="0"/>
        <w:jc w:val="both"/>
        <w:rPr>
          <w:rFonts w:ascii="Abadi" w:hAnsi="Abadi" w:cs="ArialMT"/>
          <w:sz w:val="21"/>
          <w:szCs w:val="21"/>
        </w:rPr>
      </w:pPr>
    </w:p>
    <w:p w14:paraId="388F45EB"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 la información estadística </w:t>
      </w:r>
    </w:p>
    <w:p w14:paraId="5E842544" w14:textId="054B65DB"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41</w:t>
      </w:r>
      <w:r w:rsidRPr="00D63144">
        <w:rPr>
          <w:rFonts w:ascii="Abadi" w:hAnsi="Abadi" w:cs="ArialMT"/>
          <w:sz w:val="21"/>
          <w:szCs w:val="21"/>
        </w:rPr>
        <w:t>. Las entidades públicas y privadas que brinden atención médica de niñas, niños y adolescentes con cáncer deberán proporcionar los datos nominales e información estadística de manera periódica a la Secretaría de Salud.</w:t>
      </w:r>
    </w:p>
    <w:p w14:paraId="0E96946C" w14:textId="77777777" w:rsidR="00E84B5F" w:rsidRPr="00D63144" w:rsidRDefault="00E84B5F" w:rsidP="00E84B5F">
      <w:pPr>
        <w:autoSpaceDE w:val="0"/>
        <w:autoSpaceDN w:val="0"/>
        <w:adjustRightInd w:val="0"/>
        <w:jc w:val="both"/>
        <w:rPr>
          <w:rFonts w:ascii="Abadi" w:hAnsi="Abadi" w:cs="ArialMT"/>
          <w:sz w:val="21"/>
          <w:szCs w:val="21"/>
        </w:rPr>
      </w:pPr>
    </w:p>
    <w:p w14:paraId="06D24526"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Uso de la información estadística </w:t>
      </w:r>
    </w:p>
    <w:p w14:paraId="41C8AA3B" w14:textId="03CDBCD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42.</w:t>
      </w:r>
      <w:r w:rsidRPr="00D63144">
        <w:rPr>
          <w:rFonts w:ascii="Abadi" w:hAnsi="Abadi" w:cs="ArialMT"/>
          <w:sz w:val="21"/>
          <w:szCs w:val="21"/>
        </w:rPr>
        <w:t xml:space="preserve"> La información estadística coadyuvará en la toma de decisiones, proyecciones y evaluaciones de las políticas públicas en materia de detección, diagnóstico y tratamiento del cáncer infantil, así como orientar la canalización de recursos para disminuir los índices de morbilidad y mortalidad en menores con cáncer, aumentar la supervivencia e identificar los casos de deserción en el tratamiento.</w:t>
      </w:r>
    </w:p>
    <w:p w14:paraId="4A377FB6" w14:textId="77777777" w:rsidR="00E84B5F" w:rsidRPr="00D63144" w:rsidRDefault="00E84B5F" w:rsidP="00E84B5F">
      <w:pPr>
        <w:autoSpaceDE w:val="0"/>
        <w:autoSpaceDN w:val="0"/>
        <w:adjustRightInd w:val="0"/>
        <w:jc w:val="both"/>
        <w:rPr>
          <w:rFonts w:ascii="Abadi" w:hAnsi="Abadi" w:cs="ArialMT"/>
          <w:sz w:val="21"/>
          <w:szCs w:val="21"/>
        </w:rPr>
      </w:pPr>
    </w:p>
    <w:p w14:paraId="4E2B40A2"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Título Sexto</w:t>
      </w:r>
    </w:p>
    <w:p w14:paraId="6C5B66AF"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 la Ayuda y Colaboración</w:t>
      </w:r>
    </w:p>
    <w:p w14:paraId="097F2DA1" w14:textId="77777777" w:rsidR="00E84B5F" w:rsidRPr="00D63144" w:rsidRDefault="00E84B5F" w:rsidP="00343CA9">
      <w:pPr>
        <w:autoSpaceDE w:val="0"/>
        <w:autoSpaceDN w:val="0"/>
        <w:adjustRightInd w:val="0"/>
        <w:jc w:val="center"/>
        <w:rPr>
          <w:rFonts w:ascii="Abadi" w:hAnsi="Abadi" w:cs="ArialMT"/>
          <w:b/>
          <w:bCs/>
          <w:sz w:val="21"/>
          <w:szCs w:val="21"/>
        </w:rPr>
      </w:pPr>
    </w:p>
    <w:p w14:paraId="0A8D5D90" w14:textId="77777777" w:rsidR="00343CA9"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 xml:space="preserve">Capítulo Primero </w:t>
      </w:r>
    </w:p>
    <w:p w14:paraId="6F063C3F" w14:textId="7DA3A8BD"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Disposiciones Generales</w:t>
      </w:r>
    </w:p>
    <w:p w14:paraId="5D423705" w14:textId="77777777" w:rsidR="00E84B5F" w:rsidRPr="00D63144" w:rsidRDefault="00E84B5F" w:rsidP="00343CA9">
      <w:pPr>
        <w:autoSpaceDE w:val="0"/>
        <w:autoSpaceDN w:val="0"/>
        <w:adjustRightInd w:val="0"/>
        <w:jc w:val="center"/>
        <w:rPr>
          <w:rFonts w:ascii="Abadi" w:hAnsi="Abadi" w:cs="ArialMT"/>
          <w:b/>
          <w:bCs/>
          <w:sz w:val="21"/>
          <w:szCs w:val="21"/>
        </w:rPr>
      </w:pPr>
    </w:p>
    <w:p w14:paraId="18B2D155"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 los mecanismos de intervención </w:t>
      </w:r>
    </w:p>
    <w:p w14:paraId="504597A7" w14:textId="6C4B1D60"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43.</w:t>
      </w:r>
      <w:r w:rsidRPr="00D63144">
        <w:rPr>
          <w:rFonts w:ascii="Abadi" w:hAnsi="Abadi" w:cs="ArialMT"/>
          <w:sz w:val="21"/>
          <w:szCs w:val="21"/>
        </w:rPr>
        <w:t xml:space="preserve"> Los mecanismos de intervención y colaboración de los agentes de ayuda deberán definirse por la Secretaría de Desarrollo Social y Humano, quien establecerá las políticas de la intervención, colaboración y aportaciones para el beneficio de los objetivos del</w:t>
      </w:r>
    </w:p>
    <w:p w14:paraId="18D7BD88"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programa, de la presente ley y su reglamento.</w:t>
      </w:r>
    </w:p>
    <w:p w14:paraId="278ED869" w14:textId="77777777" w:rsidR="00E84B5F" w:rsidRPr="00D63144" w:rsidRDefault="00E84B5F" w:rsidP="00E84B5F">
      <w:pPr>
        <w:autoSpaceDE w:val="0"/>
        <w:autoSpaceDN w:val="0"/>
        <w:adjustRightInd w:val="0"/>
        <w:jc w:val="both"/>
        <w:rPr>
          <w:rFonts w:ascii="Abadi" w:hAnsi="Abadi" w:cs="ArialMT"/>
          <w:sz w:val="21"/>
          <w:szCs w:val="21"/>
        </w:rPr>
      </w:pPr>
    </w:p>
    <w:p w14:paraId="2E10EAFE" w14:textId="77777777" w:rsidR="00E84B5F" w:rsidRPr="00D63144" w:rsidRDefault="00E84B5F" w:rsidP="00E84B5F">
      <w:pPr>
        <w:autoSpaceDE w:val="0"/>
        <w:autoSpaceDN w:val="0"/>
        <w:adjustRightInd w:val="0"/>
        <w:jc w:val="both"/>
        <w:rPr>
          <w:rFonts w:ascii="Abadi" w:hAnsi="Abadi" w:cs="ArialMT"/>
          <w:sz w:val="21"/>
          <w:szCs w:val="21"/>
        </w:rPr>
      </w:pPr>
    </w:p>
    <w:p w14:paraId="5A13EA9D"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Capítulo Segundo</w:t>
      </w:r>
    </w:p>
    <w:p w14:paraId="491C68CB"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Del Reconocimiento Estrella Dorada</w:t>
      </w:r>
    </w:p>
    <w:p w14:paraId="61ED12D4" w14:textId="77777777" w:rsidR="00E84B5F" w:rsidRPr="00D63144" w:rsidRDefault="00E84B5F" w:rsidP="00E84B5F">
      <w:pPr>
        <w:autoSpaceDE w:val="0"/>
        <w:autoSpaceDN w:val="0"/>
        <w:adjustRightInd w:val="0"/>
        <w:jc w:val="both"/>
        <w:rPr>
          <w:rFonts w:ascii="Abadi" w:hAnsi="Abadi" w:cs="ArialMT"/>
          <w:b/>
          <w:bCs/>
          <w:sz w:val="21"/>
          <w:szCs w:val="21"/>
        </w:rPr>
      </w:pPr>
    </w:p>
    <w:p w14:paraId="6E5404D7"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Reconocimiento Estrella Dorada </w:t>
      </w:r>
    </w:p>
    <w:p w14:paraId="13EB9DBA" w14:textId="4FDFD9FD" w:rsidR="00E84B5F"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 xml:space="preserve">Artículo 44. </w:t>
      </w:r>
      <w:r w:rsidRPr="00D63144">
        <w:rPr>
          <w:rFonts w:ascii="Abadi" w:hAnsi="Abadi" w:cs="ArialMT"/>
          <w:sz w:val="21"/>
          <w:szCs w:val="21"/>
        </w:rPr>
        <w:t>Con el objeto de promover la participación y contribución de los sectores de la sociedad, así como de las instituciones, profesionistas y ciudadanos en general, La</w:t>
      </w:r>
      <w:r w:rsidR="009F433C">
        <w:rPr>
          <w:rFonts w:ascii="Abadi" w:hAnsi="Abadi" w:cs="ArialMT"/>
          <w:sz w:val="21"/>
          <w:szCs w:val="21"/>
        </w:rPr>
        <w:t xml:space="preserve"> </w:t>
      </w:r>
      <w:r w:rsidRPr="00D63144">
        <w:rPr>
          <w:rFonts w:ascii="Abadi" w:hAnsi="Abadi" w:cs="ArialMT"/>
          <w:sz w:val="21"/>
          <w:szCs w:val="21"/>
        </w:rPr>
        <w:t>Secretaría de Desarrollo Social y Humano reconocerá de manera anual con el reconocimiento de la Estrella Dorada a los agentes de ayuda que se hayan distinguido de manera relevante por sus actos, obras, proyectos o por una trayectoria ejemplar a favor del estado, del país o de la humanidad en el tema del cáncer infantil. Esta entrega refleja lo destacado en el año previo a la entrega del reconocimiento público.</w:t>
      </w:r>
    </w:p>
    <w:p w14:paraId="59BA935A" w14:textId="77777777" w:rsidR="009F433C" w:rsidRPr="00D63144" w:rsidRDefault="009F433C" w:rsidP="00E84B5F">
      <w:pPr>
        <w:autoSpaceDE w:val="0"/>
        <w:autoSpaceDN w:val="0"/>
        <w:adjustRightInd w:val="0"/>
        <w:jc w:val="both"/>
        <w:rPr>
          <w:rFonts w:ascii="Abadi" w:hAnsi="Abadi" w:cs="ArialMT"/>
          <w:sz w:val="21"/>
          <w:szCs w:val="21"/>
        </w:rPr>
      </w:pPr>
    </w:p>
    <w:p w14:paraId="510EA423" w14:textId="77777777" w:rsidR="00E84B5F" w:rsidRPr="00D63144" w:rsidRDefault="00E84B5F" w:rsidP="00E84B5F">
      <w:pPr>
        <w:autoSpaceDE w:val="0"/>
        <w:autoSpaceDN w:val="0"/>
        <w:adjustRightInd w:val="0"/>
        <w:jc w:val="both"/>
        <w:rPr>
          <w:rFonts w:ascii="Abadi" w:hAnsi="Abadi" w:cs="ArialMT"/>
          <w:i/>
          <w:iCs/>
          <w:sz w:val="21"/>
          <w:szCs w:val="21"/>
        </w:rPr>
      </w:pPr>
      <w:r w:rsidRPr="00D63144">
        <w:rPr>
          <w:rFonts w:ascii="Abadi" w:hAnsi="Abadi" w:cs="ArialMT"/>
          <w:sz w:val="21"/>
          <w:szCs w:val="21"/>
        </w:rPr>
        <w:t xml:space="preserve">La Secretaría de Desarrollo Social y Humano, procurará llevar a cabo un evento protocolario para la entrega del reconocimiento en el marco de la conmemoración del día 15 de febrero </w:t>
      </w:r>
      <w:r w:rsidRPr="00D63144">
        <w:rPr>
          <w:rFonts w:ascii="Abadi" w:hAnsi="Abadi" w:cs="ArialMT"/>
          <w:i/>
          <w:iCs/>
          <w:sz w:val="21"/>
          <w:szCs w:val="21"/>
        </w:rPr>
        <w:t>"Día Internacional de Cáncer Infantil".</w:t>
      </w:r>
    </w:p>
    <w:p w14:paraId="39BBBC11" w14:textId="77777777" w:rsidR="00E84B5F" w:rsidRPr="00D63144" w:rsidRDefault="00E84B5F" w:rsidP="00E84B5F">
      <w:pPr>
        <w:autoSpaceDE w:val="0"/>
        <w:autoSpaceDN w:val="0"/>
        <w:adjustRightInd w:val="0"/>
        <w:jc w:val="both"/>
        <w:rPr>
          <w:rFonts w:ascii="Abadi" w:hAnsi="Abadi" w:cs="ArialMT"/>
          <w:sz w:val="21"/>
          <w:szCs w:val="21"/>
        </w:rPr>
      </w:pPr>
    </w:p>
    <w:p w14:paraId="1747AF21" w14:textId="6DEC984C"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Incentivos </w:t>
      </w:r>
    </w:p>
    <w:p w14:paraId="722A9A7C" w14:textId="7B556D1B"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45.</w:t>
      </w:r>
      <w:r w:rsidRPr="00D63144">
        <w:rPr>
          <w:rFonts w:ascii="Abadi" w:hAnsi="Abadi" w:cs="ArialMT"/>
          <w:sz w:val="21"/>
          <w:szCs w:val="21"/>
        </w:rPr>
        <w:t xml:space="preserve"> El acreedor del reconocimiento podrá recibir incentivos de acuerdo a la disponibilidad presupuestal y a lo que establezca el reglamento de la presente ley.</w:t>
      </w:r>
    </w:p>
    <w:p w14:paraId="67757DBB" w14:textId="77777777" w:rsidR="00E84B5F" w:rsidRPr="00D63144" w:rsidRDefault="00E84B5F" w:rsidP="00E84B5F">
      <w:pPr>
        <w:autoSpaceDE w:val="0"/>
        <w:autoSpaceDN w:val="0"/>
        <w:adjustRightInd w:val="0"/>
        <w:jc w:val="both"/>
        <w:rPr>
          <w:rFonts w:ascii="Abadi" w:hAnsi="Abadi" w:cs="ArialMT"/>
          <w:sz w:val="21"/>
          <w:szCs w:val="21"/>
        </w:rPr>
      </w:pPr>
    </w:p>
    <w:p w14:paraId="75569DE2"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sz w:val="21"/>
          <w:szCs w:val="21"/>
        </w:rPr>
        <w:t xml:space="preserve">        </w:t>
      </w:r>
      <w:r w:rsidRPr="00D63144">
        <w:rPr>
          <w:rFonts w:ascii="Abadi" w:hAnsi="Abadi" w:cs="ArialMT"/>
          <w:b/>
          <w:bCs/>
          <w:i/>
          <w:iCs/>
          <w:sz w:val="21"/>
          <w:szCs w:val="21"/>
        </w:rPr>
        <w:t xml:space="preserve">Convocatoria </w:t>
      </w:r>
    </w:p>
    <w:p w14:paraId="21656459" w14:textId="4F150B12"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46.</w:t>
      </w:r>
      <w:r w:rsidRPr="00D63144">
        <w:rPr>
          <w:rFonts w:ascii="Abadi" w:hAnsi="Abadi" w:cs="ArialMT"/>
          <w:sz w:val="21"/>
          <w:szCs w:val="21"/>
        </w:rPr>
        <w:t xml:space="preserve"> Para el otorgamiento del reconocimiento referido en este capítulo, la Secretaría de Desarrollo Social y Humano, determinará las bases o lineamientos a través de la convocatoria correspondiente aprobada por dicha Secretaría.</w:t>
      </w:r>
    </w:p>
    <w:p w14:paraId="49C77602" w14:textId="77777777" w:rsidR="00E84B5F" w:rsidRPr="00D63144" w:rsidRDefault="00E84B5F" w:rsidP="00E84B5F">
      <w:pPr>
        <w:autoSpaceDE w:val="0"/>
        <w:autoSpaceDN w:val="0"/>
        <w:adjustRightInd w:val="0"/>
        <w:jc w:val="both"/>
        <w:rPr>
          <w:rFonts w:ascii="Abadi" w:hAnsi="Abadi" w:cs="ArialMT"/>
          <w:sz w:val="21"/>
          <w:szCs w:val="21"/>
        </w:rPr>
      </w:pPr>
    </w:p>
    <w:p w14:paraId="0407161A"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Título Séptimo</w:t>
      </w:r>
    </w:p>
    <w:p w14:paraId="1EE7A216"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De la investigación del cáncer en la infancia y la adolescencia</w:t>
      </w:r>
    </w:p>
    <w:p w14:paraId="3741FA23" w14:textId="77777777" w:rsidR="00E84B5F" w:rsidRPr="00D63144" w:rsidRDefault="00E84B5F" w:rsidP="00343CA9">
      <w:pPr>
        <w:autoSpaceDE w:val="0"/>
        <w:autoSpaceDN w:val="0"/>
        <w:adjustRightInd w:val="0"/>
        <w:jc w:val="center"/>
        <w:rPr>
          <w:rFonts w:ascii="Abadi" w:hAnsi="Abadi" w:cs="ArialMT"/>
          <w:b/>
          <w:bCs/>
          <w:sz w:val="21"/>
          <w:szCs w:val="21"/>
        </w:rPr>
      </w:pPr>
    </w:p>
    <w:p w14:paraId="23FDC41B" w14:textId="77777777" w:rsidR="00343CA9"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 xml:space="preserve">Capítulo Único </w:t>
      </w:r>
    </w:p>
    <w:p w14:paraId="7925E9E0" w14:textId="16F3D9F8"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Investigación</w:t>
      </w:r>
    </w:p>
    <w:p w14:paraId="3E8A3C6C" w14:textId="77777777" w:rsidR="00E84B5F" w:rsidRPr="00D63144" w:rsidRDefault="00E84B5F" w:rsidP="00E84B5F">
      <w:pPr>
        <w:autoSpaceDE w:val="0"/>
        <w:autoSpaceDN w:val="0"/>
        <w:adjustRightInd w:val="0"/>
        <w:jc w:val="both"/>
        <w:rPr>
          <w:rFonts w:ascii="Abadi" w:hAnsi="Abadi" w:cs="ArialMT"/>
          <w:sz w:val="21"/>
          <w:szCs w:val="21"/>
        </w:rPr>
      </w:pPr>
    </w:p>
    <w:p w14:paraId="462655EC" w14:textId="77777777" w:rsidR="00343CA9" w:rsidRPr="00D63144" w:rsidRDefault="00E84B5F" w:rsidP="00343CA9">
      <w:pPr>
        <w:autoSpaceDE w:val="0"/>
        <w:autoSpaceDN w:val="0"/>
        <w:adjustRightInd w:val="0"/>
        <w:jc w:val="right"/>
        <w:rPr>
          <w:rFonts w:ascii="Abadi" w:hAnsi="Abadi" w:cs="ArialMT"/>
          <w:b/>
          <w:bCs/>
          <w:i/>
          <w:iCs/>
          <w:sz w:val="21"/>
          <w:szCs w:val="21"/>
        </w:rPr>
      </w:pPr>
      <w:r w:rsidRPr="00D63144">
        <w:rPr>
          <w:rFonts w:ascii="Abadi" w:hAnsi="Abadi" w:cs="ArialMT"/>
          <w:b/>
          <w:bCs/>
          <w:i/>
          <w:iCs/>
          <w:sz w:val="21"/>
          <w:szCs w:val="21"/>
        </w:rPr>
        <w:t xml:space="preserve">De la Investigación </w:t>
      </w:r>
    </w:p>
    <w:p w14:paraId="583CD36C" w14:textId="5958FE73"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Artículo 47.</w:t>
      </w:r>
      <w:r w:rsidRPr="00D63144">
        <w:rPr>
          <w:rFonts w:ascii="Abadi" w:hAnsi="Abadi" w:cs="ArialMT"/>
          <w:sz w:val="21"/>
          <w:szCs w:val="21"/>
        </w:rPr>
        <w:t xml:space="preserve"> La Secretaría de Salud, fomentará la investigación científica biomédica, clínica y de salud pública en cáncer en la infancia y la adolescencia. Para ello potenciará la vinculación para la cooperación técnica y financiera, a nivel nacional e internacional, tanto pública como privada, generará instancias de diálogo y coordinación con la comunidad científica, las universidades e instituciones públicas o privadas que realizan investigación en cáncer en la infancia y la adolescencia.</w:t>
      </w:r>
    </w:p>
    <w:p w14:paraId="3087CE6C" w14:textId="77777777" w:rsidR="00E84B5F" w:rsidRPr="00D63144" w:rsidRDefault="00E84B5F" w:rsidP="00E84B5F">
      <w:pPr>
        <w:autoSpaceDE w:val="0"/>
        <w:autoSpaceDN w:val="0"/>
        <w:adjustRightInd w:val="0"/>
        <w:jc w:val="both"/>
        <w:rPr>
          <w:rFonts w:ascii="Abadi" w:hAnsi="Abadi" w:cs="ArialMT"/>
          <w:sz w:val="21"/>
          <w:szCs w:val="21"/>
        </w:rPr>
      </w:pPr>
    </w:p>
    <w:p w14:paraId="6506C632"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Se fomentarán especialmente aquellas investigaciones que provean evidencia local, y que sirvan de insumo para la toma de decisiones y la planificación en salud en el ámbito del cáncer en la infancia y la adolescencia.</w:t>
      </w:r>
    </w:p>
    <w:p w14:paraId="4FEE5882" w14:textId="77777777" w:rsidR="00E84B5F" w:rsidRPr="00D63144" w:rsidRDefault="00E84B5F" w:rsidP="00E84B5F">
      <w:pPr>
        <w:autoSpaceDE w:val="0"/>
        <w:autoSpaceDN w:val="0"/>
        <w:adjustRightInd w:val="0"/>
        <w:jc w:val="both"/>
        <w:rPr>
          <w:rFonts w:ascii="Abadi" w:hAnsi="Abadi" w:cs="ArialMT"/>
          <w:sz w:val="21"/>
          <w:szCs w:val="21"/>
        </w:rPr>
      </w:pPr>
    </w:p>
    <w:p w14:paraId="05C66618" w14:textId="77777777" w:rsidR="00E84B5F" w:rsidRPr="00D63144" w:rsidRDefault="00E84B5F" w:rsidP="00343CA9">
      <w:pPr>
        <w:autoSpaceDE w:val="0"/>
        <w:autoSpaceDN w:val="0"/>
        <w:adjustRightInd w:val="0"/>
        <w:jc w:val="center"/>
        <w:rPr>
          <w:rFonts w:ascii="Abadi" w:hAnsi="Abadi" w:cs="ArialMT"/>
          <w:b/>
          <w:bCs/>
          <w:sz w:val="21"/>
          <w:szCs w:val="21"/>
        </w:rPr>
      </w:pPr>
      <w:r w:rsidRPr="00D63144">
        <w:rPr>
          <w:rFonts w:ascii="Abadi" w:hAnsi="Abadi" w:cs="ArialMT"/>
          <w:b/>
          <w:bCs/>
          <w:sz w:val="21"/>
          <w:szCs w:val="21"/>
        </w:rPr>
        <w:t>Transitorios</w:t>
      </w:r>
    </w:p>
    <w:p w14:paraId="27476BA8" w14:textId="77777777" w:rsidR="00E84B5F" w:rsidRPr="00D63144" w:rsidRDefault="00E84B5F" w:rsidP="00E84B5F">
      <w:pPr>
        <w:autoSpaceDE w:val="0"/>
        <w:autoSpaceDN w:val="0"/>
        <w:adjustRightInd w:val="0"/>
        <w:jc w:val="both"/>
        <w:rPr>
          <w:rFonts w:ascii="Abadi" w:hAnsi="Abadi" w:cs="ArialMT"/>
          <w:sz w:val="21"/>
          <w:szCs w:val="21"/>
        </w:rPr>
      </w:pPr>
    </w:p>
    <w:p w14:paraId="79F9C3B3"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Primero.</w:t>
      </w:r>
      <w:r w:rsidRPr="00D63144">
        <w:rPr>
          <w:rFonts w:ascii="Abadi" w:hAnsi="Abadi" w:cs="ArialMT"/>
          <w:sz w:val="21"/>
          <w:szCs w:val="21"/>
        </w:rPr>
        <w:t xml:space="preserve"> El presente Decreto entrará en vigor a partir del día siguiente de su publicación en el Periódico Oficial del Gobierno del Estado de Guanajuato</w:t>
      </w:r>
    </w:p>
    <w:p w14:paraId="7DD5A8A7" w14:textId="77777777" w:rsidR="00E84B5F" w:rsidRPr="00D63144" w:rsidRDefault="00E84B5F" w:rsidP="00E84B5F">
      <w:pPr>
        <w:autoSpaceDE w:val="0"/>
        <w:autoSpaceDN w:val="0"/>
        <w:adjustRightInd w:val="0"/>
        <w:jc w:val="both"/>
        <w:rPr>
          <w:rFonts w:ascii="Abadi" w:hAnsi="Abadi" w:cs="ArialMT"/>
          <w:sz w:val="21"/>
          <w:szCs w:val="21"/>
        </w:rPr>
      </w:pPr>
    </w:p>
    <w:p w14:paraId="08B40DFA"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Segundo.</w:t>
      </w:r>
      <w:r w:rsidRPr="00D63144">
        <w:rPr>
          <w:rFonts w:ascii="Abadi" w:hAnsi="Abadi" w:cs="ArialMT"/>
          <w:sz w:val="21"/>
          <w:szCs w:val="21"/>
        </w:rPr>
        <w:t xml:space="preserve"> La Secretaría de Desarrollo Social y Humano en un plazo de 120 ciento veinte días posteriores a la entrada en vigor del presente decreto, deberá iniciar las acciones encaminadas al establecimiento del Registro que se establece en el presente decreto.</w:t>
      </w:r>
    </w:p>
    <w:p w14:paraId="7E88D44F" w14:textId="77777777" w:rsidR="00E84B5F" w:rsidRPr="00D63144" w:rsidRDefault="00E84B5F" w:rsidP="00E84B5F">
      <w:pPr>
        <w:autoSpaceDE w:val="0"/>
        <w:autoSpaceDN w:val="0"/>
        <w:adjustRightInd w:val="0"/>
        <w:jc w:val="both"/>
        <w:rPr>
          <w:rFonts w:ascii="Abadi" w:hAnsi="Abadi" w:cs="ArialMT"/>
          <w:sz w:val="21"/>
          <w:szCs w:val="21"/>
        </w:rPr>
      </w:pPr>
    </w:p>
    <w:p w14:paraId="6245C625"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b/>
          <w:bCs/>
          <w:sz w:val="21"/>
          <w:szCs w:val="21"/>
        </w:rPr>
        <w:t>Tercero.</w:t>
      </w:r>
      <w:r w:rsidRPr="00D63144">
        <w:rPr>
          <w:rFonts w:ascii="Abadi" w:hAnsi="Abadi" w:cs="ArialMT"/>
          <w:sz w:val="21"/>
          <w:szCs w:val="21"/>
        </w:rPr>
        <w:t xml:space="preserve"> El Poder Ejecutivo contará con un plazo de 120 ciento veinte días a partir de la entrada en vigor del presente decreto, para realizar las adecuaciones reglamentarias y presupuestarias, así como emitir el reglamento de la presente ley.</w:t>
      </w:r>
    </w:p>
    <w:p w14:paraId="29CF6591" w14:textId="77777777" w:rsidR="00E84B5F" w:rsidRPr="00D63144" w:rsidRDefault="00E84B5F" w:rsidP="00E84B5F">
      <w:pPr>
        <w:autoSpaceDE w:val="0"/>
        <w:autoSpaceDN w:val="0"/>
        <w:adjustRightInd w:val="0"/>
        <w:jc w:val="both"/>
        <w:rPr>
          <w:rFonts w:ascii="Abadi" w:hAnsi="Abadi" w:cs="ArialMT"/>
          <w:sz w:val="21"/>
          <w:szCs w:val="21"/>
        </w:rPr>
      </w:pPr>
    </w:p>
    <w:p w14:paraId="14782347" w14:textId="77777777" w:rsidR="00E84B5F" w:rsidRPr="00D63144" w:rsidRDefault="00E84B5F" w:rsidP="00E84B5F">
      <w:pPr>
        <w:autoSpaceDE w:val="0"/>
        <w:autoSpaceDN w:val="0"/>
        <w:adjustRightInd w:val="0"/>
        <w:jc w:val="both"/>
        <w:rPr>
          <w:rFonts w:ascii="Abadi" w:hAnsi="Abadi" w:cs="ArialMT"/>
          <w:sz w:val="21"/>
          <w:szCs w:val="21"/>
        </w:rPr>
      </w:pPr>
      <w:r w:rsidRPr="00D63144">
        <w:rPr>
          <w:rFonts w:ascii="Abadi" w:hAnsi="Abadi" w:cs="ArialMT"/>
          <w:sz w:val="21"/>
          <w:szCs w:val="21"/>
        </w:rPr>
        <w:t>Congreso del Estado de Guanajuato, 19 de mayo de 2022.</w:t>
      </w:r>
    </w:p>
    <w:p w14:paraId="5FEE05BA" w14:textId="77777777" w:rsidR="00E84B5F" w:rsidRPr="00D63144" w:rsidRDefault="00E84B5F" w:rsidP="00E84B5F">
      <w:pPr>
        <w:autoSpaceDE w:val="0"/>
        <w:autoSpaceDN w:val="0"/>
        <w:adjustRightInd w:val="0"/>
        <w:jc w:val="both"/>
        <w:rPr>
          <w:rFonts w:ascii="Abadi" w:hAnsi="Abadi" w:cs="ArialMT"/>
          <w:sz w:val="21"/>
          <w:szCs w:val="21"/>
        </w:rPr>
      </w:pPr>
    </w:p>
    <w:p w14:paraId="022C8C1A" w14:textId="7A983078" w:rsidR="00B6606C" w:rsidRPr="00D63144" w:rsidRDefault="00C35B83" w:rsidP="00C35B83">
      <w:pPr>
        <w:pStyle w:val="NormalWeb"/>
        <w:ind w:firstLine="708"/>
        <w:jc w:val="both"/>
        <w:rPr>
          <w:rFonts w:ascii="Abadi" w:hAnsi="Abadi"/>
          <w:color w:val="auto"/>
          <w:sz w:val="21"/>
          <w:szCs w:val="21"/>
        </w:rPr>
      </w:pPr>
      <w:r w:rsidRPr="00D63144">
        <w:rPr>
          <w:rFonts w:ascii="Abadi" w:hAnsi="Abadi"/>
          <w:b/>
          <w:bCs/>
          <w:sz w:val="21"/>
          <w:szCs w:val="21"/>
        </w:rPr>
        <w:t xml:space="preserve">- </w:t>
      </w:r>
      <w:r w:rsidR="00B6606C" w:rsidRPr="00D63144">
        <w:rPr>
          <w:rFonts w:ascii="Abadi" w:hAnsi="Abadi"/>
          <w:b/>
          <w:bCs/>
          <w:sz w:val="21"/>
          <w:szCs w:val="21"/>
        </w:rPr>
        <w:t xml:space="preserve">La </w:t>
      </w:r>
      <w:proofErr w:type="gramStart"/>
      <w:r w:rsidR="00B6606C" w:rsidRPr="00D63144">
        <w:rPr>
          <w:rFonts w:ascii="Abadi" w:hAnsi="Abadi"/>
          <w:b/>
          <w:bCs/>
          <w:sz w:val="21"/>
          <w:szCs w:val="21"/>
        </w:rPr>
        <w:t>Presidencia.-</w:t>
      </w:r>
      <w:proofErr w:type="gramEnd"/>
      <w:r w:rsidR="00B6606C" w:rsidRPr="00D63144">
        <w:rPr>
          <w:rFonts w:ascii="Abadi" w:hAnsi="Abadi"/>
          <w:sz w:val="21"/>
          <w:szCs w:val="21"/>
        </w:rPr>
        <w:t xml:space="preserve"> Se pide a la diputada Dessire </w:t>
      </w:r>
      <w:proofErr w:type="spellStart"/>
      <w:r w:rsidR="00B6606C" w:rsidRPr="00D63144">
        <w:rPr>
          <w:rFonts w:ascii="Abadi" w:hAnsi="Abadi"/>
          <w:sz w:val="21"/>
          <w:szCs w:val="21"/>
        </w:rPr>
        <w:t>Angel</w:t>
      </w:r>
      <w:proofErr w:type="spellEnd"/>
      <w:r w:rsidR="00B6606C" w:rsidRPr="00D63144">
        <w:rPr>
          <w:rFonts w:ascii="Abadi" w:hAnsi="Abadi"/>
          <w:sz w:val="21"/>
          <w:szCs w:val="21"/>
        </w:rPr>
        <w:t xml:space="preserve"> Rocha, dar lectura a la exposición de motivos de su iniciativa </w:t>
      </w:r>
      <w:r w:rsidR="00B6606C" w:rsidRPr="00D63144">
        <w:rPr>
          <w:rFonts w:ascii="Abadi" w:hAnsi="Abadi"/>
          <w:color w:val="auto"/>
          <w:sz w:val="21"/>
          <w:szCs w:val="21"/>
        </w:rPr>
        <w:t xml:space="preserve">de </w:t>
      </w:r>
      <w:r w:rsidR="00B6606C" w:rsidRPr="00D63144">
        <w:rPr>
          <w:rFonts w:ascii="Abadi" w:hAnsi="Abadi"/>
          <w:sz w:val="21"/>
          <w:szCs w:val="21"/>
        </w:rPr>
        <w:t xml:space="preserve">la </w:t>
      </w:r>
      <w:r w:rsidR="00B6606C" w:rsidRPr="00D63144">
        <w:rPr>
          <w:rFonts w:ascii="Abadi" w:hAnsi="Abadi"/>
          <w:color w:val="auto"/>
          <w:sz w:val="21"/>
          <w:szCs w:val="21"/>
        </w:rPr>
        <w:t xml:space="preserve">Ley para la Detección y Tratamiento Oportuno e Integral del Cáncer en la infancia y la adolescencia para el Estado de Guanajuato, </w:t>
      </w:r>
    </w:p>
    <w:p w14:paraId="02076F28" w14:textId="4012D5DC" w:rsidR="00B6606C" w:rsidRPr="00D63144" w:rsidRDefault="00C7476C" w:rsidP="00C7476C">
      <w:pPr>
        <w:pStyle w:val="NormalWeb"/>
        <w:ind w:firstLine="708"/>
        <w:jc w:val="both"/>
        <w:rPr>
          <w:rFonts w:ascii="Abadi" w:hAnsi="Abadi"/>
          <w:sz w:val="21"/>
          <w:szCs w:val="21"/>
        </w:rPr>
      </w:pPr>
      <w:r w:rsidRPr="00D63144">
        <w:rPr>
          <w:rFonts w:ascii="Abadi" w:hAnsi="Abadi"/>
          <w:sz w:val="21"/>
          <w:szCs w:val="21"/>
        </w:rPr>
        <w:t xml:space="preserve">- </w:t>
      </w:r>
      <w:r w:rsidR="00B6606C" w:rsidRPr="00D63144">
        <w:rPr>
          <w:rFonts w:ascii="Abadi" w:hAnsi="Abadi"/>
          <w:sz w:val="21"/>
          <w:szCs w:val="21"/>
        </w:rPr>
        <w:t>Adelante, diputada.</w:t>
      </w:r>
    </w:p>
    <w:p w14:paraId="1BE7D397" w14:textId="0B854C1D" w:rsidR="00B6606C" w:rsidRDefault="00B6606C" w:rsidP="00C35B83">
      <w:pPr>
        <w:pStyle w:val="NormalWeb"/>
        <w:jc w:val="center"/>
        <w:rPr>
          <w:rFonts w:ascii="Abadi" w:hAnsi="Abadi"/>
          <w:b/>
          <w:bCs/>
          <w:sz w:val="21"/>
          <w:szCs w:val="21"/>
        </w:rPr>
      </w:pPr>
      <w:r w:rsidRPr="00706370">
        <w:rPr>
          <w:rFonts w:ascii="Abadi" w:hAnsi="Abadi"/>
          <w:b/>
          <w:bCs/>
          <w:sz w:val="21"/>
          <w:szCs w:val="21"/>
        </w:rPr>
        <w:t>(Posicionamiento)</w:t>
      </w:r>
    </w:p>
    <w:p w14:paraId="27AD0EF7" w14:textId="13C5BA4C" w:rsidR="00B6606C" w:rsidRDefault="00C35B83" w:rsidP="00B6606C">
      <w:pPr>
        <w:pStyle w:val="NormalWeb"/>
        <w:jc w:val="both"/>
        <w:rPr>
          <w:rFonts w:ascii="Abadi" w:hAnsi="Abadi"/>
          <w:b/>
          <w:bCs/>
          <w:sz w:val="21"/>
          <w:szCs w:val="21"/>
        </w:rPr>
      </w:pPr>
      <w:r>
        <w:rPr>
          <w:noProof/>
        </w:rPr>
        <w:drawing>
          <wp:anchor distT="0" distB="0" distL="114300" distR="114300" simplePos="0" relativeHeight="251658241" behindDoc="1" locked="0" layoutInCell="1" allowOverlap="1" wp14:anchorId="66B65757" wp14:editId="3EF04B1A">
            <wp:simplePos x="0" y="0"/>
            <wp:positionH relativeFrom="column">
              <wp:posOffset>325839</wp:posOffset>
            </wp:positionH>
            <wp:positionV relativeFrom="paragraph">
              <wp:posOffset>274500</wp:posOffset>
            </wp:positionV>
            <wp:extent cx="1883793" cy="964274"/>
            <wp:effectExtent l="57150" t="95250" r="59690" b="712470"/>
            <wp:wrapTight wrapText="bothSides">
              <wp:wrapPolygon edited="0">
                <wp:start x="-437" y="-2134"/>
                <wp:lineTo x="-655" y="-1708"/>
                <wp:lineTo x="-655" y="25613"/>
                <wp:lineTo x="-437" y="37138"/>
                <wp:lineTo x="21848" y="37138"/>
                <wp:lineTo x="22066" y="32443"/>
                <wp:lineTo x="22066" y="5123"/>
                <wp:lineTo x="21848" y="-1281"/>
                <wp:lineTo x="21848" y="-2134"/>
                <wp:lineTo x="-437" y="-2134"/>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769" t="1093" r="461" b="9018"/>
                    <a:stretch/>
                  </pic:blipFill>
                  <pic:spPr bwMode="auto">
                    <a:xfrm>
                      <a:off x="0" y="0"/>
                      <a:ext cx="1883793" cy="964274"/>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extLst>
                      <a:ext uri="{53640926-AAD7-44D8-BBD7-CCE9431645EC}">
                        <a14:shadowObscured xmlns:a14="http://schemas.microsoft.com/office/drawing/2010/main"/>
                      </a:ext>
                    </a:extLst>
                  </pic:spPr>
                </pic:pic>
              </a:graphicData>
            </a:graphic>
          </wp:anchor>
        </w:drawing>
      </w:r>
    </w:p>
    <w:p w14:paraId="3BAF02F7" w14:textId="77777777" w:rsidR="00B6606C" w:rsidRDefault="00B6606C" w:rsidP="00B6606C">
      <w:pPr>
        <w:pStyle w:val="NormalWeb"/>
        <w:numPr>
          <w:ilvl w:val="0"/>
          <w:numId w:val="77"/>
        </w:numPr>
        <w:jc w:val="both"/>
        <w:rPr>
          <w:rFonts w:ascii="Abadi" w:hAnsi="Abadi"/>
          <w:b/>
          <w:bCs/>
          <w:sz w:val="21"/>
          <w:szCs w:val="21"/>
        </w:rPr>
      </w:pPr>
      <w:r w:rsidRPr="00C41D81">
        <w:rPr>
          <w:rFonts w:ascii="Abadi" w:hAnsi="Abadi"/>
          <w:b/>
          <w:bCs/>
          <w:sz w:val="21"/>
          <w:szCs w:val="21"/>
        </w:rPr>
        <w:t xml:space="preserve">Diputada Dessire </w:t>
      </w:r>
      <w:proofErr w:type="spellStart"/>
      <w:r w:rsidRPr="00C41D81">
        <w:rPr>
          <w:rFonts w:ascii="Abadi" w:hAnsi="Abadi"/>
          <w:b/>
          <w:bCs/>
          <w:sz w:val="21"/>
          <w:szCs w:val="21"/>
        </w:rPr>
        <w:t>Angel</w:t>
      </w:r>
      <w:proofErr w:type="spellEnd"/>
      <w:r w:rsidRPr="00C41D81">
        <w:rPr>
          <w:rFonts w:ascii="Abadi" w:hAnsi="Abadi"/>
          <w:b/>
          <w:bCs/>
          <w:sz w:val="21"/>
          <w:szCs w:val="21"/>
        </w:rPr>
        <w:t xml:space="preserve"> Rocha</w:t>
      </w:r>
      <w:r>
        <w:rPr>
          <w:rFonts w:ascii="Abadi" w:hAnsi="Abadi"/>
          <w:b/>
          <w:bCs/>
          <w:sz w:val="21"/>
          <w:szCs w:val="21"/>
        </w:rPr>
        <w:t xml:space="preserve"> -</w:t>
      </w:r>
    </w:p>
    <w:p w14:paraId="4411A163" w14:textId="77777777" w:rsidR="00B6606C" w:rsidRPr="00A0281B" w:rsidRDefault="00B6606C" w:rsidP="008D5236">
      <w:pPr>
        <w:pStyle w:val="NormalWeb"/>
        <w:jc w:val="both"/>
        <w:rPr>
          <w:rFonts w:ascii="Abadi" w:hAnsi="Abadi"/>
          <w:sz w:val="21"/>
          <w:szCs w:val="21"/>
        </w:rPr>
      </w:pPr>
      <w:r>
        <w:rPr>
          <w:rFonts w:ascii="Abadi" w:hAnsi="Abadi"/>
          <w:sz w:val="21"/>
          <w:szCs w:val="21"/>
        </w:rPr>
        <w:t xml:space="preserve">- </w:t>
      </w:r>
      <w:r w:rsidRPr="00A0281B">
        <w:rPr>
          <w:rFonts w:ascii="Abadi" w:hAnsi="Abadi"/>
          <w:sz w:val="21"/>
          <w:szCs w:val="21"/>
        </w:rPr>
        <w:t xml:space="preserve">Muchas gracias Presidenta con su permiso, de la Mesa Directiva, compañeras, compañeros, feliz cumpleaños compañeros, compañeros de los medios, perdón, muy buen punto, ando acá distraída, muchas gracias, “hoy andamos distraídos es correcto”, no sé porque, mira aquellos platicando”, muy bien gracias, el cáncer es la primera causa de muerte por enfermedad en pacientes de 5 a 14 años de edad según datos de la Asociación Mexicana de ayuda a niños con cáncer y a </w:t>
      </w:r>
      <w:proofErr w:type="spellStart"/>
      <w:r w:rsidRPr="00A0281B">
        <w:rPr>
          <w:rFonts w:ascii="Abadi" w:hAnsi="Abadi"/>
          <w:sz w:val="21"/>
          <w:szCs w:val="21"/>
        </w:rPr>
        <w:t>Manc</w:t>
      </w:r>
      <w:proofErr w:type="spellEnd"/>
      <w:r w:rsidRPr="00A0281B">
        <w:rPr>
          <w:rFonts w:ascii="Abadi" w:hAnsi="Abadi"/>
          <w:sz w:val="21"/>
          <w:szCs w:val="21"/>
        </w:rPr>
        <w:t xml:space="preserve">, en México más de 5000 nuevos casos de cáncer infantil son diagnosticados anualmente con mayor frecuencia entre el primer y cuarto año de vida y estadísticamente afecta más a niños y niñas, existen en el país de 18,000 a 23,000 casos en tratamiento activo y en vigilancia los principales tratamientos son la quimioterapia la radioterapia y la cirugía, en la mayoría de los casos se requiere de todas las formas de tratamiento para lograr una curación exitosa y es claro que una enfermedad tan compleja requiere de un equipo multidisciplinario para su atención eficaz si tienen datos de que un tratamiento promedio esos son los que existe sin necesidad de hospitalizaciones ni recaídas puede costar hasta MXN$ 150,000 al año en promedio no cualquiera lo puede pagar por estas razones hoy queremos proponer en Guanajuato cobertura universal gratuita para niñas y adolescentes que padezcan cáncer, no podemos ignorar lo que recientemente ocurre en el país frente a la escases temporal, esperemos que solo sea temporal y no un signo de gestión federal,   de tratamientos y medicamentos en el sector público pero también en el privado hay como efecto colateral y en medio de esa coyuntura nacional es prioridad que las instituciones de salud, atiendan a los niños y adolescentes que padezcan cáncer en las primeras etapas, suministrando, medicamentos  y tratamientos adecuado, que auxilien durante el proceso de la enfermedad con el objetivo de mitigar las afectaciones que provoca el cáncer y salvar en mayor medida la vida  de niñas, niños y adolescentes. </w:t>
      </w:r>
    </w:p>
    <w:p w14:paraId="73691CC4" w14:textId="77777777" w:rsidR="00B6606C" w:rsidRPr="00A0281B" w:rsidRDefault="00B6606C" w:rsidP="00B6606C">
      <w:pPr>
        <w:pStyle w:val="NormalWeb"/>
        <w:jc w:val="both"/>
        <w:rPr>
          <w:rFonts w:ascii="Abadi" w:hAnsi="Abadi"/>
          <w:sz w:val="21"/>
          <w:szCs w:val="21"/>
        </w:rPr>
      </w:pPr>
      <w:r>
        <w:rPr>
          <w:rFonts w:ascii="Abadi" w:hAnsi="Abadi"/>
          <w:sz w:val="21"/>
          <w:szCs w:val="21"/>
        </w:rPr>
        <w:t xml:space="preserve">- </w:t>
      </w:r>
      <w:r w:rsidRPr="00A0281B">
        <w:rPr>
          <w:rFonts w:ascii="Abadi" w:hAnsi="Abadi"/>
          <w:sz w:val="21"/>
          <w:szCs w:val="21"/>
        </w:rPr>
        <w:t>Sí es posible también proponernos también salvar la precaria economía familiar que sustentas las familias que se ven en la necesidad de volcarse más allá de lo común al cuidado de sus pequeñas y pequeños, gracias a los datos de la propia Secretaría de Educación de Salud del Estado de Guanajuato y el Instituto de Salud Pública del Estado de Guanajuato, mediante una solicitud que realizamos el pasado 20 de abril, sabemos que nuestro Estado de cuenta con una red de referencia inmediata en el área de Oncología pediátrica en cada uno de los hospitales del Estado para ser atendidos en el Hospital General de Celaya o de León, no parece que tengamos problemas en el Sistema Estatal de Salud con este tipo de atención sin embargo nariz roja sigue solicitando apoyo a la ciudadanía en general para apoyar a los familiares de los niños  con cáncer.</w:t>
      </w:r>
    </w:p>
    <w:p w14:paraId="22818830" w14:textId="77777777" w:rsidR="00B6606C" w:rsidRPr="00A0281B" w:rsidRDefault="00B6606C" w:rsidP="00B6606C">
      <w:pPr>
        <w:pStyle w:val="NormalWeb"/>
        <w:jc w:val="both"/>
        <w:rPr>
          <w:rFonts w:ascii="Abadi" w:hAnsi="Abadi"/>
          <w:sz w:val="21"/>
          <w:szCs w:val="21"/>
        </w:rPr>
      </w:pPr>
      <w:r>
        <w:rPr>
          <w:rFonts w:ascii="Abadi" w:hAnsi="Abadi"/>
          <w:sz w:val="21"/>
          <w:szCs w:val="21"/>
        </w:rPr>
        <w:t xml:space="preserve">- </w:t>
      </w:r>
      <w:r w:rsidRPr="00A0281B">
        <w:rPr>
          <w:rFonts w:ascii="Abadi" w:hAnsi="Abadi"/>
          <w:sz w:val="21"/>
          <w:szCs w:val="21"/>
        </w:rPr>
        <w:t xml:space="preserve">Lo que deseo es que esto no siga sucediendo y que realmente nos alegra que también se esté atendiendo en el Estado sin embargo lo que la información revela también es que la coordinación estatal de cáncer en la infancia y adolescencia se sella no tienen el nivel federal una coordinación efectiva pues el Consejo Nacional para la Prevención y el Tratamiento del Cáncer en la Infancia y la adolescencia lleva 2 años sin sesionar, según se informa. </w:t>
      </w:r>
    </w:p>
    <w:p w14:paraId="5E524C03" w14:textId="77777777" w:rsidR="00B6606C" w:rsidRPr="00A0281B" w:rsidRDefault="00B6606C" w:rsidP="00B6606C">
      <w:pPr>
        <w:pStyle w:val="NormalWeb"/>
        <w:jc w:val="both"/>
        <w:rPr>
          <w:rFonts w:ascii="Abadi" w:hAnsi="Abadi"/>
          <w:sz w:val="21"/>
          <w:szCs w:val="21"/>
        </w:rPr>
      </w:pPr>
      <w:r>
        <w:rPr>
          <w:rFonts w:ascii="Abadi" w:hAnsi="Abadi"/>
          <w:sz w:val="21"/>
          <w:szCs w:val="21"/>
        </w:rPr>
        <w:t xml:space="preserve">- </w:t>
      </w:r>
      <w:r w:rsidRPr="00A0281B">
        <w:rPr>
          <w:rFonts w:ascii="Abadi" w:hAnsi="Abadi"/>
          <w:sz w:val="21"/>
          <w:szCs w:val="21"/>
        </w:rPr>
        <w:t>El Registro Nacional de cáncer en la infancia y la adolescencia tiene 17 años sin sufrir una actualización el registro estatal y se realiza sin coordinación y no existe un convenio celebrado entre las instancias federales y estatales en la materia, recordemos que el nivel de relación institucional con el INSABI (Instituto de salud para el Bienestar) por razones conocidas y explicadas, por autoridades correspondientes ese nivel de coordinación y no de adhesión sin juzgar sobre esa  decisión lo que resulta claro es que debe haber coordinación efectiva.</w:t>
      </w:r>
    </w:p>
    <w:p w14:paraId="163B003C" w14:textId="77777777" w:rsidR="00B6606C" w:rsidRPr="00A0281B" w:rsidRDefault="00B6606C" w:rsidP="00B6606C">
      <w:pPr>
        <w:pStyle w:val="NormalWeb"/>
        <w:jc w:val="both"/>
        <w:rPr>
          <w:rFonts w:ascii="Abadi" w:hAnsi="Abadi"/>
          <w:sz w:val="21"/>
          <w:szCs w:val="21"/>
        </w:rPr>
      </w:pPr>
      <w:r>
        <w:rPr>
          <w:rFonts w:ascii="Abadi" w:hAnsi="Abadi"/>
          <w:sz w:val="21"/>
          <w:szCs w:val="21"/>
        </w:rPr>
        <w:t xml:space="preserve">- </w:t>
      </w:r>
      <w:r w:rsidRPr="00A0281B">
        <w:rPr>
          <w:rFonts w:ascii="Abadi" w:hAnsi="Abadi"/>
          <w:sz w:val="21"/>
          <w:szCs w:val="21"/>
        </w:rPr>
        <w:t xml:space="preserve">Por eso la presente, iniciativa pretende precisar formalizar esa coordinación entre los órdenes de Gobierno para que sea efectiva y eficaz pues la materia amerita que la relación entre ambos sea un tema que materialice el interés superior de la niñez, sin importar procedencias, partidarias, ni posiciones ideológicas,  las y los niños guanajuatenses no merecen ni deben padecer nuestras diferencias,  además esta iniciativa de Ley propone ser congruente y estar en armonización </w:t>
      </w:r>
      <w:r>
        <w:rPr>
          <w:rFonts w:ascii="Abadi" w:hAnsi="Abadi"/>
          <w:sz w:val="21"/>
          <w:szCs w:val="21"/>
        </w:rPr>
        <w:t>- - -</w:t>
      </w:r>
      <w:r w:rsidRPr="00A0281B">
        <w:rPr>
          <w:rFonts w:ascii="Abadi" w:hAnsi="Abadi"/>
          <w:sz w:val="21"/>
          <w:szCs w:val="21"/>
        </w:rPr>
        <w:t xml:space="preserve">Legislativa con la Ley General para la detección oportuna y el cáncer de la Infancia y la Adolescencia, aprobadas por la cámaras del  Congreso de la Unión  el año pasado, publicada el 7 de enero del 2021,  en el  Diario Oficial de la Federación. </w:t>
      </w:r>
    </w:p>
    <w:p w14:paraId="7084BBE9" w14:textId="77777777" w:rsidR="00B6606C" w:rsidRPr="00A0281B" w:rsidRDefault="00B6606C" w:rsidP="00B6606C">
      <w:pPr>
        <w:pStyle w:val="NormalWeb"/>
        <w:jc w:val="both"/>
        <w:rPr>
          <w:rFonts w:ascii="Abadi" w:hAnsi="Abadi"/>
          <w:sz w:val="21"/>
          <w:szCs w:val="21"/>
        </w:rPr>
      </w:pPr>
      <w:r>
        <w:rPr>
          <w:rFonts w:ascii="Abadi" w:hAnsi="Abadi"/>
          <w:sz w:val="21"/>
          <w:szCs w:val="21"/>
        </w:rPr>
        <w:t xml:space="preserve">- </w:t>
      </w:r>
      <w:r w:rsidRPr="00A0281B">
        <w:rPr>
          <w:rFonts w:ascii="Abadi" w:hAnsi="Abadi"/>
          <w:sz w:val="21"/>
          <w:szCs w:val="21"/>
        </w:rPr>
        <w:t xml:space="preserve">Que tiene por objeto establecer dentro de las dependencias, públicas del sistema nacional de salud, las medidas necesarias para la atención integral y universal de niñas niños y adolescentes, menores de 18 años con sospecha o diagnóstico de cáncer no todo en los poderes de los Estados debe de ser materia de controversia política proteger los derechos de la salud de la infancia y adolescencia fortaleciendo al sector salud para el cumplimiento efectivo de respuesta del sistema de salud a la enfermedad del cáncer y así lograr que la atención médica oportuna reduzca el sufrimiento en los tratamientos oncológicos y alcanzar por lo menos una taza de supervivencia del 60% para el año 2030 establece la iniciativa global para el cáncer infantil de la OMS debería de ser un campo por disputa, por ello para que se establezca expresamente la corresponsabilidad gubernamental esta iniciativa que consta de 7 títulos que organizan 15 capítulos y 47 artículos es de orden público de interés social y de observancia general en Guanajuato y tiene por objeto establecer lineamientos para la oportuna prevención diagnóstico registro,  atención integral, tratamiento, rehabilitación control y seguimiento así como la vigilancia epidemiológica del cáncer en la infancia y la adolescencia, para contribuir en la disminución de la mortalidad con estándares de calidad seguridad  y control que garanticen el derecho a la salud, consagrado en el artículo cuarto de la Constitución Política de los Estados Unidos Mexicanos, y en las disposiciones generales en materia de salud y detección oportuna del se entiende por detección y tratamiento oportuno todas las acciones realizadas en el menor tiempo posible por el personal de salud al que hace referencia este ordenamiento en las circunstancias apremiantes para producir en efecto deseado y buscado por la Ley tomando en cuenta la disponibilidad de recursos técnicos y humanos, como responsables de su instrumentación se señalan  a las secretarías de Desarrollo Social y Humano y a la Secretaría  de Salud, es así porque es necesario impulsar la participación de los sectores privado y social así como de la sociedad en general con el fin de fortalecer, los servicios integrales que brinda el Estado por lo que en corresponsabilidad debe promover la creación de la red de apoyo y del frente de colaboración con la finalidad de facilitar el acceso a los pacientes y sus familiares a la información relativa a la cobertura de servicios de atención médica y asistencial. </w:t>
      </w:r>
    </w:p>
    <w:p w14:paraId="2F29C9BD" w14:textId="77777777" w:rsidR="00B6606C" w:rsidRDefault="00B6606C" w:rsidP="00B6606C">
      <w:pPr>
        <w:pStyle w:val="NormalWeb"/>
        <w:jc w:val="both"/>
        <w:rPr>
          <w:rFonts w:ascii="Abadi" w:hAnsi="Abadi"/>
          <w:sz w:val="21"/>
          <w:szCs w:val="21"/>
        </w:rPr>
      </w:pPr>
      <w:r>
        <w:rPr>
          <w:rFonts w:ascii="Abadi" w:hAnsi="Abadi"/>
          <w:sz w:val="21"/>
          <w:szCs w:val="21"/>
        </w:rPr>
        <w:t xml:space="preserve">- </w:t>
      </w:r>
      <w:r w:rsidRPr="00A0281B">
        <w:rPr>
          <w:rFonts w:ascii="Abadi" w:hAnsi="Abadi"/>
          <w:sz w:val="21"/>
          <w:szCs w:val="21"/>
        </w:rPr>
        <w:t>La ley protegerá niñas niños y adolescentes menores de 18 años que tengan residencia en el Estado de Guanajuato, que no cuenten con los servicios de seguridad social, la salud requiere de atención integral de calidad de forma preventiva y curativa, prioricemos la salud de todas las personas en Guanajuato.</w:t>
      </w:r>
    </w:p>
    <w:p w14:paraId="712D274E" w14:textId="51CEE684" w:rsidR="00B6606C" w:rsidRDefault="00B6606C" w:rsidP="00C35B83">
      <w:pPr>
        <w:pStyle w:val="NormalWeb"/>
        <w:ind w:firstLine="284"/>
        <w:jc w:val="both"/>
        <w:rPr>
          <w:rFonts w:ascii="Abadi" w:hAnsi="Abadi"/>
          <w:sz w:val="21"/>
          <w:szCs w:val="21"/>
        </w:rPr>
      </w:pPr>
      <w:r w:rsidRPr="00923D0C">
        <w:rPr>
          <w:rFonts w:ascii="Abadi" w:hAnsi="Abadi"/>
          <w:b/>
          <w:bCs/>
          <w:sz w:val="21"/>
          <w:szCs w:val="21"/>
        </w:rPr>
        <w:t xml:space="preserve">- La </w:t>
      </w:r>
      <w:proofErr w:type="gramStart"/>
      <w:r w:rsidR="00C35B83">
        <w:rPr>
          <w:rFonts w:ascii="Abadi" w:hAnsi="Abadi"/>
          <w:b/>
          <w:bCs/>
          <w:sz w:val="21"/>
          <w:szCs w:val="21"/>
        </w:rPr>
        <w:t>P</w:t>
      </w:r>
      <w:r w:rsidRPr="00923D0C">
        <w:rPr>
          <w:rFonts w:ascii="Abadi" w:hAnsi="Abadi"/>
          <w:b/>
          <w:bCs/>
          <w:sz w:val="21"/>
          <w:szCs w:val="21"/>
        </w:rPr>
        <w:t>residencia.-</w:t>
      </w:r>
      <w:proofErr w:type="gramEnd"/>
      <w:r>
        <w:rPr>
          <w:rFonts w:ascii="Abadi" w:hAnsi="Abadi"/>
          <w:sz w:val="21"/>
          <w:szCs w:val="21"/>
        </w:rPr>
        <w:t xml:space="preserve"> M</w:t>
      </w:r>
      <w:r w:rsidRPr="0021199F">
        <w:rPr>
          <w:rFonts w:ascii="Abadi" w:hAnsi="Abadi"/>
          <w:sz w:val="21"/>
          <w:szCs w:val="21"/>
        </w:rPr>
        <w:t xml:space="preserve">uchas gracias, diputada. </w:t>
      </w:r>
    </w:p>
    <w:p w14:paraId="6C49DEC2" w14:textId="77777777" w:rsidR="00B6606C" w:rsidRPr="00100BE4" w:rsidRDefault="00B6606C" w:rsidP="00C35B83">
      <w:pPr>
        <w:pStyle w:val="NormalWeb"/>
        <w:ind w:left="284" w:right="354"/>
        <w:jc w:val="both"/>
        <w:rPr>
          <w:rFonts w:ascii="Abadi" w:hAnsi="Abadi"/>
          <w:b/>
          <w:bCs/>
          <w:i/>
          <w:iCs/>
          <w:sz w:val="21"/>
          <w:szCs w:val="21"/>
          <w:u w:val="single"/>
        </w:rPr>
      </w:pPr>
      <w:r w:rsidRPr="00100BE4">
        <w:rPr>
          <w:rFonts w:ascii="Abadi" w:hAnsi="Abadi"/>
          <w:b/>
          <w:bCs/>
          <w:i/>
          <w:iCs/>
          <w:sz w:val="21"/>
          <w:szCs w:val="21"/>
          <w:u w:val="single"/>
        </w:rPr>
        <w:t xml:space="preserve">Se turna a la Comisión de Salud Pública con fundamento en el artículo 118 fracción I, de la Ley Orgánica para su estudio y dictamen. </w:t>
      </w:r>
    </w:p>
    <w:p w14:paraId="68F3A964" w14:textId="277CDBF7" w:rsidR="00B6606C" w:rsidRDefault="00833F43" w:rsidP="000854A2">
      <w:pPr>
        <w:pStyle w:val="NormalWeb"/>
        <w:ind w:firstLine="426"/>
        <w:jc w:val="both"/>
        <w:rPr>
          <w:rFonts w:ascii="Abadi" w:hAnsi="Abadi"/>
          <w:sz w:val="21"/>
          <w:szCs w:val="21"/>
        </w:rPr>
      </w:pPr>
      <w:r>
        <w:rPr>
          <w:rFonts w:ascii="Abadi" w:hAnsi="Abadi"/>
          <w:sz w:val="21"/>
          <w:szCs w:val="21"/>
        </w:rPr>
        <w:t>-</w:t>
      </w:r>
      <w:r>
        <w:rPr>
          <w:rFonts w:ascii="Abadi" w:hAnsi="Abadi"/>
          <w:sz w:val="21"/>
          <w:szCs w:val="21"/>
        </w:rPr>
        <w:tab/>
      </w:r>
      <w:r w:rsidR="00B6606C">
        <w:rPr>
          <w:rFonts w:ascii="Abadi" w:hAnsi="Abadi"/>
          <w:sz w:val="21"/>
          <w:szCs w:val="21"/>
        </w:rPr>
        <w:t>Y</w:t>
      </w:r>
      <w:r w:rsidR="00B6606C" w:rsidRPr="0021199F">
        <w:rPr>
          <w:rFonts w:ascii="Abadi" w:hAnsi="Abadi"/>
          <w:sz w:val="21"/>
          <w:szCs w:val="21"/>
        </w:rPr>
        <w:t xml:space="preserve"> esta </w:t>
      </w:r>
      <w:r w:rsidR="00B6606C">
        <w:rPr>
          <w:rFonts w:ascii="Abadi" w:hAnsi="Abadi"/>
          <w:sz w:val="21"/>
          <w:szCs w:val="21"/>
        </w:rPr>
        <w:t>P</w:t>
      </w:r>
      <w:r w:rsidR="00B6606C" w:rsidRPr="0021199F">
        <w:rPr>
          <w:rFonts w:ascii="Abadi" w:hAnsi="Abadi"/>
          <w:sz w:val="21"/>
          <w:szCs w:val="21"/>
        </w:rPr>
        <w:t>residencia d</w:t>
      </w:r>
      <w:r w:rsidR="00863801">
        <w:rPr>
          <w:rFonts w:ascii="Abadi" w:hAnsi="Abadi"/>
          <w:sz w:val="21"/>
          <w:szCs w:val="21"/>
        </w:rPr>
        <w:t xml:space="preserve">a </w:t>
      </w:r>
      <w:r w:rsidR="00B6606C" w:rsidRPr="0021199F">
        <w:rPr>
          <w:rFonts w:ascii="Abadi" w:hAnsi="Abadi"/>
          <w:sz w:val="21"/>
          <w:szCs w:val="21"/>
        </w:rPr>
        <w:t xml:space="preserve">la más cordial bienvenida que se integra aquí al Pleno a la diputada </w:t>
      </w:r>
      <w:r w:rsidR="00B6606C" w:rsidRPr="00833F43">
        <w:rPr>
          <w:rFonts w:ascii="Abadi" w:hAnsi="Abadi"/>
          <w:b/>
          <w:bCs/>
          <w:sz w:val="21"/>
          <w:szCs w:val="21"/>
        </w:rPr>
        <w:t>Martha Lourdes Ortega Roque</w:t>
      </w:r>
      <w:r w:rsidR="00B6606C">
        <w:rPr>
          <w:rFonts w:ascii="Abadi" w:hAnsi="Abadi"/>
          <w:sz w:val="21"/>
          <w:szCs w:val="21"/>
        </w:rPr>
        <w:t xml:space="preserve">, diputada muy </w:t>
      </w:r>
      <w:r w:rsidR="00B6606C" w:rsidRPr="0021199F">
        <w:rPr>
          <w:rFonts w:ascii="Abadi" w:hAnsi="Abadi"/>
          <w:sz w:val="21"/>
          <w:szCs w:val="21"/>
        </w:rPr>
        <w:t>buenos días</w:t>
      </w:r>
      <w:r w:rsidR="00B6606C">
        <w:rPr>
          <w:rFonts w:ascii="Abadi" w:hAnsi="Abadi"/>
          <w:sz w:val="21"/>
          <w:szCs w:val="21"/>
        </w:rPr>
        <w:t xml:space="preserve"> b</w:t>
      </w:r>
      <w:r w:rsidR="00B6606C" w:rsidRPr="0021199F">
        <w:rPr>
          <w:rFonts w:ascii="Abadi" w:hAnsi="Abadi"/>
          <w:sz w:val="21"/>
          <w:szCs w:val="21"/>
        </w:rPr>
        <w:t>ienvenida.</w:t>
      </w:r>
    </w:p>
    <w:p w14:paraId="2F0F3B0D" w14:textId="77777777" w:rsidR="008F035F" w:rsidRPr="00396F30" w:rsidRDefault="008F035F" w:rsidP="00021259">
      <w:pPr>
        <w:autoSpaceDE w:val="0"/>
        <w:autoSpaceDN w:val="0"/>
        <w:adjustRightInd w:val="0"/>
        <w:jc w:val="both"/>
        <w:rPr>
          <w:rFonts w:ascii="Abadi" w:hAnsi="Abadi" w:cs="ArialMT"/>
          <w:b/>
          <w:bCs/>
          <w:sz w:val="20"/>
          <w:szCs w:val="21"/>
        </w:rPr>
      </w:pPr>
    </w:p>
    <w:p w14:paraId="0B63FD86" w14:textId="77777777" w:rsidR="00021259" w:rsidRPr="00021259" w:rsidRDefault="00021259" w:rsidP="00343CA9">
      <w:pPr>
        <w:pStyle w:val="Prrafodelista"/>
        <w:numPr>
          <w:ilvl w:val="0"/>
          <w:numId w:val="15"/>
        </w:numPr>
        <w:autoSpaceDE w:val="0"/>
        <w:autoSpaceDN w:val="0"/>
        <w:adjustRightInd w:val="0"/>
        <w:ind w:left="426"/>
        <w:jc w:val="both"/>
        <w:rPr>
          <w:rFonts w:ascii="Abadi" w:hAnsi="Abadi" w:cs="ArialMT"/>
          <w:b/>
          <w:bCs/>
          <w:sz w:val="20"/>
          <w:szCs w:val="21"/>
        </w:rPr>
      </w:pPr>
      <w:r w:rsidRPr="00021259">
        <w:rPr>
          <w:rFonts w:ascii="Abadi" w:hAnsi="Abadi" w:cs="ArialMT"/>
          <w:b/>
          <w:bCs/>
          <w:sz w:val="20"/>
          <w:szCs w:val="21"/>
        </w:rPr>
        <w:t>PRESENTACIÓN DE LOS INFORMES DE RESULTADOS FORMULADOS POR LA AUDITORÍA SUPERIOR DEL ESTADO DE GUANAJUATO RELATIVOS A LA REVISIÓN PRACTICADA A LA CUENTA PÚBLICA MUNICIPAL DE YURIRIA; ASÍ COMO A LA AUDITORÍA PRACTICADA A LA INFRAESTRUCTURA PÚBLICA MUNICIPAL, RESPECTO A LAS OPERACIONES REALIZADAS POR LA ADMINISTRACIÓN MUNICIPAL DE IRAPUATO, CORRESPONDIENTES AL EJERCICIO FISCAL DEL AÑO 2020.</w:t>
      </w:r>
    </w:p>
    <w:p w14:paraId="3B45DF42" w14:textId="69D326C6" w:rsidR="00514440" w:rsidRDefault="00514440" w:rsidP="00514440">
      <w:pPr>
        <w:autoSpaceDE w:val="0"/>
        <w:autoSpaceDN w:val="0"/>
        <w:adjustRightInd w:val="0"/>
        <w:ind w:left="66"/>
        <w:jc w:val="both"/>
        <w:rPr>
          <w:rFonts w:ascii="Abadi" w:hAnsi="Abadi" w:cs="ArialMT"/>
          <w:b/>
          <w:bCs/>
          <w:sz w:val="20"/>
          <w:szCs w:val="21"/>
        </w:rPr>
      </w:pPr>
    </w:p>
    <w:p w14:paraId="7350BC2B"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Número de Oficio: ASEG/306/2022 Asunto: Se remite informe de resultados</w:t>
      </w:r>
    </w:p>
    <w:p w14:paraId="7B4FBAD3"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 xml:space="preserve">Guanajuato, </w:t>
      </w:r>
      <w:proofErr w:type="spellStart"/>
      <w:r w:rsidRPr="001B12EC">
        <w:rPr>
          <w:rFonts w:ascii="Abadi" w:hAnsi="Abadi" w:cs="ArialMT"/>
          <w:b/>
          <w:bCs/>
          <w:sz w:val="20"/>
          <w:szCs w:val="21"/>
          <w:lang w:val="es-MX"/>
        </w:rPr>
        <w:t>Gto</w:t>
      </w:r>
      <w:proofErr w:type="spellEnd"/>
      <w:r w:rsidRPr="001B12EC">
        <w:rPr>
          <w:rFonts w:ascii="Abadi" w:hAnsi="Abadi" w:cs="ArialMT"/>
          <w:b/>
          <w:bCs/>
          <w:sz w:val="20"/>
          <w:szCs w:val="21"/>
          <w:lang w:val="es-MX"/>
        </w:rPr>
        <w:t>., 13 de mayo de 2022</w:t>
      </w:r>
    </w:p>
    <w:p w14:paraId="3CBF1E93"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p>
    <w:p w14:paraId="0B04B2DD" w14:textId="77777777" w:rsidR="001B12EC" w:rsidRPr="001B12EC" w:rsidRDefault="001B12EC" w:rsidP="001B12EC">
      <w:pPr>
        <w:autoSpaceDE w:val="0"/>
        <w:autoSpaceDN w:val="0"/>
        <w:adjustRightInd w:val="0"/>
        <w:ind w:left="66"/>
        <w:jc w:val="both"/>
        <w:rPr>
          <w:rFonts w:ascii="Abadi" w:hAnsi="Abadi" w:cs="ArialMT"/>
          <w:b/>
          <w:bCs/>
          <w:i/>
          <w:iCs/>
          <w:sz w:val="20"/>
          <w:szCs w:val="21"/>
          <w:lang w:val="es-MX"/>
        </w:rPr>
      </w:pPr>
      <w:r w:rsidRPr="001B12EC">
        <w:rPr>
          <w:rFonts w:ascii="Abadi" w:hAnsi="Abadi" w:cs="ArialMT"/>
          <w:b/>
          <w:bCs/>
          <w:i/>
          <w:iCs/>
          <w:sz w:val="20"/>
          <w:szCs w:val="21"/>
          <w:lang w:val="es-MX"/>
        </w:rPr>
        <w:t>“2022 Año del Festival Internacional Cervantino, 50 años de diálogo cultural”</w:t>
      </w:r>
    </w:p>
    <w:p w14:paraId="4E4E8A5F" w14:textId="77777777" w:rsidR="001B12EC" w:rsidRPr="001B12EC" w:rsidRDefault="001B12EC" w:rsidP="001B12EC">
      <w:pPr>
        <w:autoSpaceDE w:val="0"/>
        <w:autoSpaceDN w:val="0"/>
        <w:adjustRightInd w:val="0"/>
        <w:ind w:left="66"/>
        <w:jc w:val="both"/>
        <w:rPr>
          <w:rFonts w:ascii="Abadi" w:hAnsi="Abadi" w:cs="ArialMT"/>
          <w:b/>
          <w:bCs/>
          <w:i/>
          <w:iCs/>
          <w:sz w:val="20"/>
          <w:szCs w:val="21"/>
          <w:lang w:val="es-MX"/>
        </w:rPr>
      </w:pPr>
      <w:r w:rsidRPr="001B12EC">
        <w:rPr>
          <w:rFonts w:ascii="Abadi" w:hAnsi="Abadi" w:cs="ArialMT"/>
          <w:b/>
          <w:bCs/>
          <w:i/>
          <w:iCs/>
          <w:sz w:val="20"/>
          <w:szCs w:val="21"/>
          <w:lang w:val="es-MX"/>
        </w:rPr>
        <w:t xml:space="preserve">“Bicentenario de la </w:t>
      </w:r>
      <w:proofErr w:type="spellStart"/>
      <w:r w:rsidRPr="001B12EC">
        <w:rPr>
          <w:rFonts w:ascii="Abadi" w:hAnsi="Abadi" w:cs="ArialMT"/>
          <w:b/>
          <w:bCs/>
          <w:i/>
          <w:iCs/>
          <w:sz w:val="20"/>
          <w:szCs w:val="21"/>
          <w:lang w:val="es-MX"/>
        </w:rPr>
        <w:t>Ins</w:t>
      </w:r>
      <w:proofErr w:type="spellEnd"/>
      <w:r w:rsidRPr="001B12EC">
        <w:rPr>
          <w:rFonts w:ascii="Abadi" w:hAnsi="Abadi" w:cs="ArialMT"/>
          <w:b/>
          <w:bCs/>
          <w:i/>
          <w:iCs/>
          <w:sz w:val="20"/>
          <w:szCs w:val="21"/>
          <w:lang w:val="es-MX"/>
        </w:rPr>
        <w:t xml:space="preserve"> </w:t>
      </w:r>
      <w:proofErr w:type="spellStart"/>
      <w:r w:rsidRPr="001B12EC">
        <w:rPr>
          <w:rFonts w:ascii="Abadi" w:hAnsi="Abadi" w:cs="ArialMT"/>
          <w:b/>
          <w:bCs/>
          <w:i/>
          <w:iCs/>
          <w:sz w:val="20"/>
          <w:szCs w:val="21"/>
          <w:lang w:val="es-MX"/>
        </w:rPr>
        <w:t>alación</w:t>
      </w:r>
      <w:proofErr w:type="spellEnd"/>
      <w:r w:rsidRPr="001B12EC">
        <w:rPr>
          <w:rFonts w:ascii="Abadi" w:hAnsi="Abadi" w:cs="ArialMT"/>
          <w:b/>
          <w:bCs/>
          <w:i/>
          <w:iCs/>
          <w:sz w:val="20"/>
          <w:szCs w:val="21"/>
          <w:lang w:val="es-MX"/>
        </w:rPr>
        <w:t xml:space="preserve"> de la Excelentísima Diputación Provincial de Guanajuato, 1822-1824”</w:t>
      </w:r>
    </w:p>
    <w:p w14:paraId="361F404B" w14:textId="77777777" w:rsidR="001B12EC" w:rsidRPr="001B12EC" w:rsidRDefault="001B12EC" w:rsidP="001B12EC">
      <w:pPr>
        <w:autoSpaceDE w:val="0"/>
        <w:autoSpaceDN w:val="0"/>
        <w:adjustRightInd w:val="0"/>
        <w:ind w:left="66"/>
        <w:jc w:val="both"/>
        <w:rPr>
          <w:rFonts w:ascii="Abadi" w:hAnsi="Abadi" w:cs="ArialMT"/>
          <w:b/>
          <w:bCs/>
          <w:i/>
          <w:iCs/>
          <w:sz w:val="20"/>
          <w:szCs w:val="21"/>
          <w:lang w:val="es-MX"/>
        </w:rPr>
      </w:pPr>
    </w:p>
    <w:p w14:paraId="67F258A8"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LIC. IRMA LETICIA GONZÁLEZ SÁNCHEZ</w:t>
      </w:r>
    </w:p>
    <w:p w14:paraId="147785DB" w14:textId="77777777" w:rsid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 xml:space="preserve">DIPUTADA PRESIDENTA DEL H. CONGRESO DEL ESTADO </w:t>
      </w:r>
    </w:p>
    <w:p w14:paraId="574015F2" w14:textId="25FC582A" w:rsid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P R E S E N T E.</w:t>
      </w:r>
    </w:p>
    <w:p w14:paraId="5CCF1A19" w14:textId="10291EEE" w:rsidR="001B12EC" w:rsidRDefault="001B12EC" w:rsidP="001B12EC">
      <w:pPr>
        <w:autoSpaceDE w:val="0"/>
        <w:autoSpaceDN w:val="0"/>
        <w:adjustRightInd w:val="0"/>
        <w:ind w:left="66"/>
        <w:jc w:val="both"/>
        <w:rPr>
          <w:rFonts w:ascii="Abadi" w:hAnsi="Abadi" w:cs="ArialMT"/>
          <w:b/>
          <w:bCs/>
          <w:sz w:val="20"/>
          <w:szCs w:val="21"/>
          <w:lang w:val="es-MX"/>
        </w:rPr>
      </w:pPr>
    </w:p>
    <w:p w14:paraId="14944EE1"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p>
    <w:p w14:paraId="5096DADA"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sz w:val="20"/>
          <w:szCs w:val="21"/>
          <w:lang w:val="es-MX"/>
        </w:rPr>
        <w:t xml:space="preserve">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w:t>
      </w:r>
      <w:r w:rsidRPr="001B12EC">
        <w:rPr>
          <w:rFonts w:ascii="Abadi" w:hAnsi="Abadi" w:cs="ArialMT"/>
          <w:b/>
          <w:bCs/>
          <w:sz w:val="20"/>
          <w:szCs w:val="21"/>
          <w:lang w:val="es-MX"/>
        </w:rPr>
        <w:t xml:space="preserve">el Informe de Resultados relativo a la Revisión de Cuenta Pública, practicada al municipio de Yuriria, </w:t>
      </w:r>
      <w:proofErr w:type="spellStart"/>
      <w:r w:rsidRPr="001B12EC">
        <w:rPr>
          <w:rFonts w:ascii="Abadi" w:hAnsi="Abadi" w:cs="ArialMT"/>
          <w:b/>
          <w:bCs/>
          <w:sz w:val="20"/>
          <w:szCs w:val="21"/>
          <w:lang w:val="es-MX"/>
        </w:rPr>
        <w:t>Gto</w:t>
      </w:r>
      <w:proofErr w:type="spellEnd"/>
      <w:r w:rsidRPr="001B12EC">
        <w:rPr>
          <w:rFonts w:ascii="Abadi" w:hAnsi="Abadi" w:cs="ArialMT"/>
          <w:b/>
          <w:bCs/>
          <w:sz w:val="20"/>
          <w:szCs w:val="21"/>
          <w:lang w:val="es-MX"/>
        </w:rPr>
        <w:t>., correspondiente al periodo comprendido de enero a diciembre del ejercicio fiscal 2020.</w:t>
      </w:r>
    </w:p>
    <w:p w14:paraId="4656B34A"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p>
    <w:p w14:paraId="0728EC69" w14:textId="77777777" w:rsidR="001B12EC" w:rsidRPr="001B12EC" w:rsidRDefault="001B12EC" w:rsidP="001B12EC">
      <w:pPr>
        <w:autoSpaceDE w:val="0"/>
        <w:autoSpaceDN w:val="0"/>
        <w:adjustRightInd w:val="0"/>
        <w:ind w:left="66"/>
        <w:jc w:val="both"/>
        <w:rPr>
          <w:rFonts w:ascii="Abadi" w:hAnsi="Abadi" w:cs="ArialMT"/>
          <w:sz w:val="20"/>
          <w:szCs w:val="21"/>
          <w:lang w:val="es-MX"/>
        </w:rPr>
      </w:pPr>
      <w:r w:rsidRPr="001B12EC">
        <w:rPr>
          <w:rFonts w:ascii="Abadi" w:hAnsi="Abadi" w:cs="ArialMT"/>
          <w:sz w:val="20"/>
          <w:szCs w:val="21"/>
          <w:lang w:val="es-MX"/>
        </w:rPr>
        <w:t xml:space="preserve">Al respecto, el informe de resultados fue notificado el día </w:t>
      </w:r>
      <w:r w:rsidRPr="001B12EC">
        <w:rPr>
          <w:rFonts w:ascii="Abadi" w:hAnsi="Abadi" w:cs="ArialMT"/>
          <w:b/>
          <w:bCs/>
          <w:sz w:val="20"/>
          <w:szCs w:val="21"/>
          <w:lang w:val="es-MX"/>
        </w:rPr>
        <w:t>19 de abril de 2022</w:t>
      </w:r>
      <w:r w:rsidRPr="001B12EC">
        <w:rPr>
          <w:rFonts w:ascii="Abadi" w:hAnsi="Abadi" w:cs="ArialMT"/>
          <w:sz w:val="20"/>
          <w:szCs w:val="21"/>
          <w:lang w:val="es-MX"/>
        </w:rPr>
        <w:t>, a lo que posteriormente se promovió recurso de reconsideración en su contra. De lo anterior, se envían las constancias necesarias para su debida acreditación.</w:t>
      </w:r>
    </w:p>
    <w:p w14:paraId="48023968" w14:textId="77777777" w:rsidR="001B12EC" w:rsidRPr="001B12EC" w:rsidRDefault="001B12EC" w:rsidP="001B12EC">
      <w:pPr>
        <w:autoSpaceDE w:val="0"/>
        <w:autoSpaceDN w:val="0"/>
        <w:adjustRightInd w:val="0"/>
        <w:ind w:left="66"/>
        <w:jc w:val="both"/>
        <w:rPr>
          <w:rFonts w:ascii="Abadi" w:hAnsi="Abadi" w:cs="ArialMT"/>
          <w:sz w:val="20"/>
          <w:szCs w:val="21"/>
          <w:lang w:val="es-MX"/>
        </w:rPr>
      </w:pPr>
    </w:p>
    <w:p w14:paraId="18612CA4" w14:textId="77777777" w:rsidR="001B12EC" w:rsidRPr="001B12EC" w:rsidRDefault="001B12EC" w:rsidP="001B12EC">
      <w:pPr>
        <w:autoSpaceDE w:val="0"/>
        <w:autoSpaceDN w:val="0"/>
        <w:adjustRightInd w:val="0"/>
        <w:ind w:left="66"/>
        <w:jc w:val="both"/>
        <w:rPr>
          <w:rFonts w:ascii="Abadi" w:hAnsi="Abadi" w:cs="ArialMT"/>
          <w:sz w:val="20"/>
          <w:szCs w:val="21"/>
          <w:lang w:val="es-MX"/>
        </w:rPr>
      </w:pPr>
      <w:r w:rsidRPr="001B12EC">
        <w:rPr>
          <w:rFonts w:ascii="Abadi" w:hAnsi="Abadi" w:cs="ArialMT"/>
          <w:sz w:val="20"/>
          <w:szCs w:val="21"/>
          <w:lang w:val="es-MX"/>
        </w:rPr>
        <w:t>Sin otro particular por el momento, me despido reiterando la seguridad de mi más alta y distinguida consideración.</w:t>
      </w:r>
    </w:p>
    <w:p w14:paraId="62FA4B98" w14:textId="77777777" w:rsidR="001B12EC" w:rsidRPr="001B12EC" w:rsidRDefault="001B12EC" w:rsidP="001B12EC">
      <w:pPr>
        <w:autoSpaceDE w:val="0"/>
        <w:autoSpaceDN w:val="0"/>
        <w:adjustRightInd w:val="0"/>
        <w:ind w:left="66"/>
        <w:jc w:val="both"/>
        <w:rPr>
          <w:rFonts w:ascii="Abadi" w:hAnsi="Abadi" w:cs="ArialMT"/>
          <w:sz w:val="20"/>
          <w:szCs w:val="21"/>
          <w:lang w:val="es-MX"/>
        </w:rPr>
      </w:pPr>
    </w:p>
    <w:p w14:paraId="3E9879F8" w14:textId="77777777" w:rsid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 xml:space="preserve">A T E N T A M E N T E. </w:t>
      </w:r>
    </w:p>
    <w:p w14:paraId="3732F304" w14:textId="7A8BF15D" w:rsidR="001B12EC" w:rsidRP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EL AUDITOR SUPERIOR</w:t>
      </w:r>
    </w:p>
    <w:p w14:paraId="38A1B067"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LIC. y M.F. JAVIER PÉREZ SALAZAR</w:t>
      </w:r>
    </w:p>
    <w:p w14:paraId="2DF931FE"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p>
    <w:p w14:paraId="4BFF9731" w14:textId="77777777" w:rsidR="001B12EC" w:rsidRPr="001B12EC" w:rsidRDefault="001B12EC" w:rsidP="001B12EC">
      <w:pPr>
        <w:autoSpaceDE w:val="0"/>
        <w:autoSpaceDN w:val="0"/>
        <w:adjustRightInd w:val="0"/>
        <w:ind w:left="66" w:right="1204"/>
        <w:jc w:val="both"/>
        <w:rPr>
          <w:rFonts w:ascii="Abadi" w:hAnsi="Abadi" w:cs="ArialMT"/>
          <w:sz w:val="14"/>
          <w:szCs w:val="15"/>
          <w:lang w:val="es-MX"/>
        </w:rPr>
      </w:pPr>
      <w:r w:rsidRPr="001B12EC">
        <w:rPr>
          <w:rFonts w:ascii="Abadi" w:hAnsi="Abadi" w:cs="ArialMT"/>
          <w:sz w:val="14"/>
          <w:szCs w:val="15"/>
          <w:lang w:val="es-MX"/>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7026D8EA" w14:textId="77777777" w:rsidR="001B12EC" w:rsidRDefault="001B12EC" w:rsidP="001B12EC">
      <w:pPr>
        <w:autoSpaceDE w:val="0"/>
        <w:autoSpaceDN w:val="0"/>
        <w:adjustRightInd w:val="0"/>
        <w:ind w:left="66"/>
        <w:jc w:val="both"/>
        <w:rPr>
          <w:rFonts w:ascii="Abadi" w:hAnsi="Abadi" w:cs="ArialMT"/>
          <w:sz w:val="20"/>
          <w:szCs w:val="21"/>
          <w:lang w:val="es-MX"/>
        </w:rPr>
      </w:pPr>
    </w:p>
    <w:p w14:paraId="7A428638" w14:textId="22DC4DDB" w:rsidR="001B12EC" w:rsidRPr="001B12EC" w:rsidRDefault="001B12EC" w:rsidP="001B12EC">
      <w:pPr>
        <w:autoSpaceDE w:val="0"/>
        <w:autoSpaceDN w:val="0"/>
        <w:adjustRightInd w:val="0"/>
        <w:ind w:left="66"/>
        <w:jc w:val="both"/>
        <w:rPr>
          <w:rFonts w:ascii="Abadi" w:hAnsi="Abadi" w:cs="ArialMT"/>
          <w:sz w:val="16"/>
          <w:szCs w:val="17"/>
          <w:lang w:val="es-MX"/>
        </w:rPr>
      </w:pPr>
      <w:r w:rsidRPr="001B12EC">
        <w:rPr>
          <w:rFonts w:ascii="Abadi" w:hAnsi="Abadi" w:cs="ArialMT"/>
          <w:sz w:val="16"/>
          <w:szCs w:val="17"/>
          <w:lang w:val="es-MX"/>
        </w:rPr>
        <w:t>Con copia para:</w:t>
      </w:r>
    </w:p>
    <w:p w14:paraId="652400C9" w14:textId="77777777" w:rsidR="001B12EC" w:rsidRPr="001B12EC" w:rsidRDefault="001B12EC" w:rsidP="001B12EC">
      <w:pPr>
        <w:numPr>
          <w:ilvl w:val="0"/>
          <w:numId w:val="50"/>
        </w:numPr>
        <w:autoSpaceDE w:val="0"/>
        <w:autoSpaceDN w:val="0"/>
        <w:adjustRightInd w:val="0"/>
        <w:jc w:val="both"/>
        <w:rPr>
          <w:rFonts w:ascii="Abadi" w:hAnsi="Abadi" w:cs="ArialMT"/>
          <w:sz w:val="16"/>
          <w:szCs w:val="17"/>
          <w:lang w:val="es-MX"/>
        </w:rPr>
      </w:pPr>
      <w:r w:rsidRPr="001B12EC">
        <w:rPr>
          <w:rFonts w:ascii="Abadi" w:hAnsi="Abadi" w:cs="ArialMT"/>
          <w:sz w:val="16"/>
          <w:szCs w:val="17"/>
          <w:lang w:val="es-MX"/>
        </w:rPr>
        <w:t>Archivo.</w:t>
      </w:r>
    </w:p>
    <w:p w14:paraId="313F1555" w14:textId="77777777" w:rsidR="001B12EC" w:rsidRPr="001B12EC" w:rsidRDefault="001B12EC" w:rsidP="001B12EC">
      <w:pPr>
        <w:numPr>
          <w:ilvl w:val="0"/>
          <w:numId w:val="50"/>
        </w:numPr>
        <w:autoSpaceDE w:val="0"/>
        <w:autoSpaceDN w:val="0"/>
        <w:adjustRightInd w:val="0"/>
        <w:jc w:val="both"/>
        <w:rPr>
          <w:rFonts w:ascii="Abadi" w:hAnsi="Abadi" w:cs="ArialMT"/>
          <w:sz w:val="16"/>
          <w:szCs w:val="17"/>
          <w:lang w:val="es-MX"/>
        </w:rPr>
      </w:pPr>
      <w:r w:rsidRPr="001B12EC">
        <w:rPr>
          <w:rFonts w:ascii="Abadi" w:hAnsi="Abadi" w:cs="ArialMT"/>
          <w:sz w:val="16"/>
          <w:szCs w:val="17"/>
          <w:lang w:val="es-MX"/>
        </w:rPr>
        <w:t>Expediente</w:t>
      </w:r>
    </w:p>
    <w:p w14:paraId="5C223073" w14:textId="77777777" w:rsidR="001B12EC" w:rsidRPr="001B12EC" w:rsidRDefault="001B12EC" w:rsidP="001B12EC">
      <w:pPr>
        <w:autoSpaceDE w:val="0"/>
        <w:autoSpaceDN w:val="0"/>
        <w:adjustRightInd w:val="0"/>
        <w:ind w:left="66"/>
        <w:jc w:val="both"/>
        <w:rPr>
          <w:rFonts w:ascii="Abadi" w:hAnsi="Abadi" w:cs="ArialMT"/>
          <w:sz w:val="16"/>
          <w:szCs w:val="17"/>
          <w:lang w:val="es-MX"/>
        </w:rPr>
      </w:pPr>
      <w:r w:rsidRPr="001B12EC">
        <w:rPr>
          <w:rFonts w:ascii="Abadi" w:hAnsi="Abadi" w:cs="ArialMT"/>
          <w:sz w:val="16"/>
          <w:szCs w:val="17"/>
          <w:lang w:val="es-MX"/>
        </w:rPr>
        <w:t>L’OPR/L´SVR/L’CJGP</w:t>
      </w:r>
    </w:p>
    <w:p w14:paraId="645B13B5" w14:textId="77777777" w:rsidR="001B12EC" w:rsidRPr="001B12EC" w:rsidRDefault="001B12EC" w:rsidP="001B12EC">
      <w:pPr>
        <w:autoSpaceDE w:val="0"/>
        <w:autoSpaceDN w:val="0"/>
        <w:adjustRightInd w:val="0"/>
        <w:jc w:val="both"/>
        <w:rPr>
          <w:rFonts w:ascii="Abadi" w:hAnsi="Abadi" w:cs="ArialMT"/>
          <w:sz w:val="20"/>
          <w:szCs w:val="21"/>
          <w:lang w:val="es-MX"/>
        </w:rPr>
      </w:pPr>
    </w:p>
    <w:p w14:paraId="049D074A" w14:textId="77777777" w:rsidR="001B12EC" w:rsidRPr="001B12EC" w:rsidRDefault="001B12EC" w:rsidP="001B12EC">
      <w:pPr>
        <w:autoSpaceDE w:val="0"/>
        <w:autoSpaceDN w:val="0"/>
        <w:adjustRightInd w:val="0"/>
        <w:ind w:left="66"/>
        <w:jc w:val="both"/>
        <w:rPr>
          <w:rFonts w:ascii="Abadi" w:hAnsi="Abadi" w:cs="ArialMT"/>
          <w:sz w:val="20"/>
          <w:szCs w:val="21"/>
          <w:lang w:val="es-MX"/>
        </w:rPr>
      </w:pPr>
    </w:p>
    <w:p w14:paraId="6BBBC85A"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Número de Oficio: ASEG/304/2022 Asunto: Se remite informe de resultados</w:t>
      </w:r>
    </w:p>
    <w:p w14:paraId="1E022114"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 xml:space="preserve">Guanajuato, </w:t>
      </w:r>
      <w:proofErr w:type="spellStart"/>
      <w:r w:rsidRPr="001B12EC">
        <w:rPr>
          <w:rFonts w:ascii="Abadi" w:hAnsi="Abadi" w:cs="ArialMT"/>
          <w:b/>
          <w:bCs/>
          <w:sz w:val="20"/>
          <w:szCs w:val="21"/>
          <w:lang w:val="es-MX"/>
        </w:rPr>
        <w:t>Gto</w:t>
      </w:r>
      <w:proofErr w:type="spellEnd"/>
      <w:r w:rsidRPr="001B12EC">
        <w:rPr>
          <w:rFonts w:ascii="Abadi" w:hAnsi="Abadi" w:cs="ArialMT"/>
          <w:b/>
          <w:bCs/>
          <w:sz w:val="20"/>
          <w:szCs w:val="21"/>
          <w:lang w:val="es-MX"/>
        </w:rPr>
        <w:t>., 12 de mayo de 2022</w:t>
      </w:r>
    </w:p>
    <w:p w14:paraId="52BBC3D2" w14:textId="77777777" w:rsidR="001B12EC" w:rsidRPr="001B12EC" w:rsidRDefault="001B12EC" w:rsidP="001B12EC">
      <w:pPr>
        <w:autoSpaceDE w:val="0"/>
        <w:autoSpaceDN w:val="0"/>
        <w:adjustRightInd w:val="0"/>
        <w:ind w:left="66"/>
        <w:jc w:val="both"/>
        <w:rPr>
          <w:rFonts w:ascii="Abadi" w:hAnsi="Abadi" w:cs="ArialMT"/>
          <w:sz w:val="20"/>
          <w:szCs w:val="21"/>
          <w:lang w:val="es-MX"/>
        </w:rPr>
      </w:pPr>
    </w:p>
    <w:p w14:paraId="08543B0A" w14:textId="77777777" w:rsidR="001B12EC" w:rsidRPr="001B12EC" w:rsidRDefault="001B12EC" w:rsidP="001B12EC">
      <w:pPr>
        <w:autoSpaceDE w:val="0"/>
        <w:autoSpaceDN w:val="0"/>
        <w:adjustRightInd w:val="0"/>
        <w:ind w:left="66"/>
        <w:jc w:val="both"/>
        <w:rPr>
          <w:rFonts w:ascii="Abadi" w:hAnsi="Abadi" w:cs="ArialMT"/>
          <w:b/>
          <w:bCs/>
          <w:i/>
          <w:iCs/>
          <w:sz w:val="20"/>
          <w:szCs w:val="21"/>
          <w:lang w:val="es-MX"/>
        </w:rPr>
      </w:pPr>
      <w:r w:rsidRPr="001B12EC">
        <w:rPr>
          <w:rFonts w:ascii="Abadi" w:hAnsi="Abadi" w:cs="ArialMT"/>
          <w:b/>
          <w:bCs/>
          <w:i/>
          <w:iCs/>
          <w:sz w:val="20"/>
          <w:szCs w:val="21"/>
          <w:lang w:val="es-MX"/>
        </w:rPr>
        <w:t>“2022 Año del Festival Internacional Cervantino, 50 años de diálogo cultural”</w:t>
      </w:r>
    </w:p>
    <w:p w14:paraId="2269A9C1" w14:textId="77777777" w:rsidR="001B12EC" w:rsidRPr="001B12EC" w:rsidRDefault="001B12EC" w:rsidP="001B12EC">
      <w:pPr>
        <w:autoSpaceDE w:val="0"/>
        <w:autoSpaceDN w:val="0"/>
        <w:adjustRightInd w:val="0"/>
        <w:ind w:left="66"/>
        <w:jc w:val="both"/>
        <w:rPr>
          <w:rFonts w:ascii="Abadi" w:hAnsi="Abadi" w:cs="ArialMT"/>
          <w:b/>
          <w:bCs/>
          <w:i/>
          <w:iCs/>
          <w:sz w:val="20"/>
          <w:szCs w:val="21"/>
          <w:lang w:val="es-MX"/>
        </w:rPr>
      </w:pPr>
      <w:r w:rsidRPr="001B12EC">
        <w:rPr>
          <w:rFonts w:ascii="Abadi" w:hAnsi="Abadi" w:cs="ArialMT"/>
          <w:b/>
          <w:bCs/>
          <w:i/>
          <w:iCs/>
          <w:sz w:val="20"/>
          <w:szCs w:val="21"/>
          <w:lang w:val="es-MX"/>
        </w:rPr>
        <w:t xml:space="preserve">“Bicentenario de la </w:t>
      </w:r>
      <w:proofErr w:type="spellStart"/>
      <w:r w:rsidRPr="001B12EC">
        <w:rPr>
          <w:rFonts w:ascii="Abadi" w:hAnsi="Abadi" w:cs="ArialMT"/>
          <w:b/>
          <w:bCs/>
          <w:i/>
          <w:iCs/>
          <w:sz w:val="20"/>
          <w:szCs w:val="21"/>
          <w:lang w:val="es-MX"/>
        </w:rPr>
        <w:t>Ins</w:t>
      </w:r>
      <w:proofErr w:type="spellEnd"/>
      <w:r w:rsidRPr="001B12EC">
        <w:rPr>
          <w:rFonts w:ascii="Abadi" w:hAnsi="Abadi" w:cs="ArialMT"/>
          <w:b/>
          <w:bCs/>
          <w:i/>
          <w:iCs/>
          <w:sz w:val="20"/>
          <w:szCs w:val="21"/>
          <w:lang w:val="es-MX"/>
        </w:rPr>
        <w:t xml:space="preserve"> </w:t>
      </w:r>
      <w:proofErr w:type="spellStart"/>
      <w:r w:rsidRPr="001B12EC">
        <w:rPr>
          <w:rFonts w:ascii="Abadi" w:hAnsi="Abadi" w:cs="ArialMT"/>
          <w:b/>
          <w:bCs/>
          <w:i/>
          <w:iCs/>
          <w:sz w:val="20"/>
          <w:szCs w:val="21"/>
          <w:lang w:val="es-MX"/>
        </w:rPr>
        <w:t>alación</w:t>
      </w:r>
      <w:proofErr w:type="spellEnd"/>
      <w:r w:rsidRPr="001B12EC">
        <w:rPr>
          <w:rFonts w:ascii="Abadi" w:hAnsi="Abadi" w:cs="ArialMT"/>
          <w:b/>
          <w:bCs/>
          <w:i/>
          <w:iCs/>
          <w:sz w:val="20"/>
          <w:szCs w:val="21"/>
          <w:lang w:val="es-MX"/>
        </w:rPr>
        <w:t xml:space="preserve"> de la Excelentísima Diputación Provincial de Guanajuato, 1822-1824”</w:t>
      </w:r>
    </w:p>
    <w:p w14:paraId="0FF815C7" w14:textId="77777777" w:rsidR="001B12EC" w:rsidRDefault="001B12EC" w:rsidP="001B12EC">
      <w:pPr>
        <w:autoSpaceDE w:val="0"/>
        <w:autoSpaceDN w:val="0"/>
        <w:adjustRightInd w:val="0"/>
        <w:ind w:left="66"/>
        <w:jc w:val="both"/>
        <w:rPr>
          <w:rFonts w:ascii="Abadi" w:hAnsi="Abadi" w:cs="ArialMT"/>
          <w:b/>
          <w:bCs/>
          <w:sz w:val="20"/>
          <w:szCs w:val="21"/>
          <w:lang w:val="es-MX"/>
        </w:rPr>
      </w:pPr>
    </w:p>
    <w:p w14:paraId="4AA210A7" w14:textId="611C2659" w:rsidR="001B12EC" w:rsidRP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LIC. IRMA LETICIA GONZÁLEZ SÁNCHEZ</w:t>
      </w:r>
    </w:p>
    <w:p w14:paraId="25A9E4FB" w14:textId="77777777" w:rsid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 xml:space="preserve">DIPUTADA PRESIDENTA DEL H. CONGRESO DEL ESTADO </w:t>
      </w:r>
    </w:p>
    <w:p w14:paraId="4665B1B5" w14:textId="4856E745" w:rsid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P R E S E N T E.</w:t>
      </w:r>
    </w:p>
    <w:p w14:paraId="48F32233" w14:textId="3273DA17" w:rsidR="001B12EC" w:rsidRDefault="001B12EC" w:rsidP="001B12EC">
      <w:pPr>
        <w:autoSpaceDE w:val="0"/>
        <w:autoSpaceDN w:val="0"/>
        <w:adjustRightInd w:val="0"/>
        <w:ind w:left="66"/>
        <w:jc w:val="both"/>
        <w:rPr>
          <w:rFonts w:ascii="Abadi" w:hAnsi="Abadi" w:cs="ArialMT"/>
          <w:b/>
          <w:bCs/>
          <w:sz w:val="20"/>
          <w:szCs w:val="21"/>
          <w:lang w:val="es-MX"/>
        </w:rPr>
      </w:pPr>
    </w:p>
    <w:p w14:paraId="21827CD9"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p>
    <w:p w14:paraId="465F3AD4" w14:textId="77777777" w:rsidR="001B12EC" w:rsidRPr="003A504F" w:rsidRDefault="001B12EC" w:rsidP="001B12EC">
      <w:pPr>
        <w:autoSpaceDE w:val="0"/>
        <w:autoSpaceDN w:val="0"/>
        <w:adjustRightInd w:val="0"/>
        <w:ind w:left="66"/>
        <w:jc w:val="both"/>
        <w:rPr>
          <w:rFonts w:ascii="Abadi" w:hAnsi="Abadi" w:cs="ArialMT"/>
          <w:b/>
          <w:bCs/>
          <w:sz w:val="21"/>
          <w:szCs w:val="21"/>
          <w:lang w:val="es-MX"/>
        </w:rPr>
      </w:pPr>
      <w:r w:rsidRPr="003A504F">
        <w:rPr>
          <w:rFonts w:ascii="Abadi" w:hAnsi="Abadi" w:cs="ArialMT"/>
          <w:sz w:val="21"/>
          <w:szCs w:val="21"/>
          <w:lang w:val="es-MX"/>
        </w:rPr>
        <w:t xml:space="preserve">En cumplimiento a lo dispuesto en los artículos 63, último párrafo, fracción XXVIII, y 66, fracción VIII, de la Constitución Política para 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w:t>
      </w:r>
      <w:r w:rsidRPr="003A504F">
        <w:rPr>
          <w:rFonts w:ascii="Abadi" w:hAnsi="Abadi" w:cs="ArialMT"/>
          <w:b/>
          <w:bCs/>
          <w:sz w:val="21"/>
          <w:szCs w:val="21"/>
          <w:lang w:val="es-MX"/>
        </w:rPr>
        <w:t xml:space="preserve">el Informe de Resultados relativo a la Auditoría a la Infraestructura Pública Municipal, practicada al municipio de Irapuato, </w:t>
      </w:r>
      <w:proofErr w:type="spellStart"/>
      <w:r w:rsidRPr="003A504F">
        <w:rPr>
          <w:rFonts w:ascii="Abadi" w:hAnsi="Abadi" w:cs="ArialMT"/>
          <w:b/>
          <w:bCs/>
          <w:sz w:val="21"/>
          <w:szCs w:val="21"/>
          <w:lang w:val="es-MX"/>
        </w:rPr>
        <w:t>Gto</w:t>
      </w:r>
      <w:proofErr w:type="spellEnd"/>
      <w:r w:rsidRPr="003A504F">
        <w:rPr>
          <w:rFonts w:ascii="Abadi" w:hAnsi="Abadi" w:cs="ArialMT"/>
          <w:b/>
          <w:bCs/>
          <w:sz w:val="21"/>
          <w:szCs w:val="21"/>
          <w:lang w:val="es-MX"/>
        </w:rPr>
        <w:t>., correspondiente al periodo comprendido de enero a diciembre del ejercicio fiscal 2020.</w:t>
      </w:r>
    </w:p>
    <w:p w14:paraId="4E60BB32" w14:textId="77777777" w:rsidR="001B12EC" w:rsidRPr="003A504F" w:rsidRDefault="001B12EC" w:rsidP="001B12EC">
      <w:pPr>
        <w:autoSpaceDE w:val="0"/>
        <w:autoSpaceDN w:val="0"/>
        <w:adjustRightInd w:val="0"/>
        <w:ind w:left="66"/>
        <w:jc w:val="both"/>
        <w:rPr>
          <w:rFonts w:ascii="Abadi" w:hAnsi="Abadi" w:cs="ArialMT"/>
          <w:b/>
          <w:bCs/>
          <w:sz w:val="21"/>
          <w:szCs w:val="21"/>
          <w:lang w:val="es-MX"/>
        </w:rPr>
      </w:pPr>
    </w:p>
    <w:p w14:paraId="6FFA4162" w14:textId="77777777" w:rsidR="001B12EC" w:rsidRPr="003A504F" w:rsidRDefault="001B12EC" w:rsidP="001B12EC">
      <w:pPr>
        <w:autoSpaceDE w:val="0"/>
        <w:autoSpaceDN w:val="0"/>
        <w:adjustRightInd w:val="0"/>
        <w:ind w:left="66"/>
        <w:jc w:val="both"/>
        <w:rPr>
          <w:rFonts w:ascii="Abadi" w:hAnsi="Abadi" w:cs="ArialMT"/>
          <w:sz w:val="21"/>
          <w:szCs w:val="21"/>
          <w:lang w:val="es-MX"/>
        </w:rPr>
      </w:pPr>
      <w:r w:rsidRPr="003A504F">
        <w:rPr>
          <w:rFonts w:ascii="Abadi" w:hAnsi="Abadi" w:cs="ArialMT"/>
          <w:sz w:val="21"/>
          <w:szCs w:val="21"/>
          <w:lang w:val="es-MX"/>
        </w:rPr>
        <w:t xml:space="preserve">Al respecto, el informe de resultados fue notificado el día </w:t>
      </w:r>
      <w:r w:rsidRPr="003A504F">
        <w:rPr>
          <w:rFonts w:ascii="Abadi" w:hAnsi="Abadi" w:cs="ArialMT"/>
          <w:b/>
          <w:bCs/>
          <w:sz w:val="21"/>
          <w:szCs w:val="21"/>
          <w:lang w:val="es-MX"/>
        </w:rPr>
        <w:t>22 de abril de 2022</w:t>
      </w:r>
      <w:r w:rsidRPr="003A504F">
        <w:rPr>
          <w:rFonts w:ascii="Abadi" w:hAnsi="Abadi" w:cs="ArialMT"/>
          <w:sz w:val="21"/>
          <w:szCs w:val="21"/>
          <w:lang w:val="es-MX"/>
        </w:rPr>
        <w:t>, a lo que posteriormente se promovió recurso de reconsideración en su contra. De lo anterior, se envían las constancias necesarias para su debida acreditación.</w:t>
      </w:r>
    </w:p>
    <w:p w14:paraId="6EAB2CBB" w14:textId="77777777" w:rsidR="001B12EC" w:rsidRPr="003A504F" w:rsidRDefault="001B12EC" w:rsidP="001B12EC">
      <w:pPr>
        <w:autoSpaceDE w:val="0"/>
        <w:autoSpaceDN w:val="0"/>
        <w:adjustRightInd w:val="0"/>
        <w:ind w:left="66"/>
        <w:jc w:val="both"/>
        <w:rPr>
          <w:rFonts w:ascii="Abadi" w:hAnsi="Abadi" w:cs="ArialMT"/>
          <w:sz w:val="21"/>
          <w:szCs w:val="21"/>
          <w:lang w:val="es-MX"/>
        </w:rPr>
      </w:pPr>
    </w:p>
    <w:p w14:paraId="37E003EF" w14:textId="77777777" w:rsidR="001B12EC" w:rsidRPr="003A504F" w:rsidRDefault="001B12EC" w:rsidP="001B12EC">
      <w:pPr>
        <w:autoSpaceDE w:val="0"/>
        <w:autoSpaceDN w:val="0"/>
        <w:adjustRightInd w:val="0"/>
        <w:ind w:left="66"/>
        <w:jc w:val="both"/>
        <w:rPr>
          <w:rFonts w:ascii="Abadi" w:hAnsi="Abadi" w:cs="ArialMT"/>
          <w:sz w:val="21"/>
          <w:szCs w:val="21"/>
          <w:lang w:val="es-MX"/>
        </w:rPr>
      </w:pPr>
      <w:r w:rsidRPr="003A504F">
        <w:rPr>
          <w:rFonts w:ascii="Abadi" w:hAnsi="Abadi" w:cs="ArialMT"/>
          <w:sz w:val="21"/>
          <w:szCs w:val="21"/>
          <w:lang w:val="es-MX"/>
        </w:rPr>
        <w:t>Sin otro particular por el momento, me despido reiterando la seguridad de mi más alta y distinguida consideración.</w:t>
      </w:r>
    </w:p>
    <w:p w14:paraId="2803C75C" w14:textId="77777777" w:rsidR="001B12EC" w:rsidRPr="003A504F" w:rsidRDefault="001B12EC" w:rsidP="001B12EC">
      <w:pPr>
        <w:autoSpaceDE w:val="0"/>
        <w:autoSpaceDN w:val="0"/>
        <w:adjustRightInd w:val="0"/>
        <w:ind w:left="66"/>
        <w:jc w:val="both"/>
        <w:rPr>
          <w:rFonts w:ascii="Abadi" w:hAnsi="Abadi" w:cs="ArialMT"/>
          <w:sz w:val="21"/>
          <w:szCs w:val="21"/>
          <w:lang w:val="es-MX"/>
        </w:rPr>
      </w:pPr>
    </w:p>
    <w:p w14:paraId="7C44635E" w14:textId="77777777" w:rsidR="00F94C9F" w:rsidRPr="003A504F" w:rsidRDefault="00F94C9F" w:rsidP="001B12EC">
      <w:pPr>
        <w:autoSpaceDE w:val="0"/>
        <w:autoSpaceDN w:val="0"/>
        <w:adjustRightInd w:val="0"/>
        <w:ind w:left="66"/>
        <w:jc w:val="both"/>
        <w:rPr>
          <w:rFonts w:ascii="Abadi" w:hAnsi="Abadi" w:cs="ArialMT"/>
          <w:b/>
          <w:bCs/>
          <w:sz w:val="21"/>
          <w:szCs w:val="21"/>
          <w:lang w:val="es-MX"/>
        </w:rPr>
      </w:pPr>
    </w:p>
    <w:p w14:paraId="3814D82B" w14:textId="650B4434" w:rsid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 xml:space="preserve">A T E N T A M E N T E. </w:t>
      </w:r>
    </w:p>
    <w:p w14:paraId="3403DE9A" w14:textId="78A39EED" w:rsidR="001B12EC" w:rsidRP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EL AUDITOR SUPERIOR</w:t>
      </w:r>
    </w:p>
    <w:p w14:paraId="137F8D0B"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r w:rsidRPr="001B12EC">
        <w:rPr>
          <w:rFonts w:ascii="Abadi" w:hAnsi="Abadi" w:cs="ArialMT"/>
          <w:b/>
          <w:bCs/>
          <w:sz w:val="20"/>
          <w:szCs w:val="21"/>
          <w:lang w:val="es-MX"/>
        </w:rPr>
        <w:t>LIC. y M.F. JAVIER PÉREZ SALAZAR</w:t>
      </w:r>
    </w:p>
    <w:p w14:paraId="1F52A355" w14:textId="77777777" w:rsidR="001B12EC" w:rsidRPr="001B12EC" w:rsidRDefault="001B12EC" w:rsidP="001B12EC">
      <w:pPr>
        <w:autoSpaceDE w:val="0"/>
        <w:autoSpaceDN w:val="0"/>
        <w:adjustRightInd w:val="0"/>
        <w:ind w:left="66"/>
        <w:jc w:val="both"/>
        <w:rPr>
          <w:rFonts w:ascii="Abadi" w:hAnsi="Abadi" w:cs="ArialMT"/>
          <w:b/>
          <w:bCs/>
          <w:sz w:val="20"/>
          <w:szCs w:val="21"/>
          <w:lang w:val="es-MX"/>
        </w:rPr>
      </w:pPr>
    </w:p>
    <w:p w14:paraId="4050C088" w14:textId="77777777" w:rsidR="001B12EC" w:rsidRPr="001B12EC" w:rsidRDefault="001B12EC" w:rsidP="001B12EC">
      <w:pPr>
        <w:autoSpaceDE w:val="0"/>
        <w:autoSpaceDN w:val="0"/>
        <w:adjustRightInd w:val="0"/>
        <w:ind w:left="66" w:right="1204"/>
        <w:jc w:val="both"/>
        <w:rPr>
          <w:rFonts w:ascii="Abadi" w:hAnsi="Abadi" w:cs="ArialMT"/>
          <w:sz w:val="14"/>
          <w:szCs w:val="15"/>
          <w:lang w:val="es-MX"/>
        </w:rPr>
      </w:pPr>
      <w:r w:rsidRPr="001B12EC">
        <w:rPr>
          <w:rFonts w:ascii="Abadi" w:hAnsi="Abadi" w:cs="ArialMT"/>
          <w:sz w:val="14"/>
          <w:szCs w:val="15"/>
          <w:lang w:val="es-MX"/>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0398703D" w14:textId="77777777" w:rsidR="001B12EC" w:rsidRDefault="001B12EC" w:rsidP="001B12EC">
      <w:pPr>
        <w:autoSpaceDE w:val="0"/>
        <w:autoSpaceDN w:val="0"/>
        <w:adjustRightInd w:val="0"/>
        <w:ind w:left="66"/>
        <w:jc w:val="both"/>
        <w:rPr>
          <w:rFonts w:ascii="Abadi" w:hAnsi="Abadi" w:cs="ArialMT"/>
          <w:sz w:val="20"/>
          <w:szCs w:val="21"/>
          <w:lang w:val="es-MX"/>
        </w:rPr>
      </w:pPr>
    </w:p>
    <w:p w14:paraId="41061D96" w14:textId="3147915D" w:rsidR="001B12EC" w:rsidRPr="001B12EC" w:rsidRDefault="001B12EC" w:rsidP="001B12EC">
      <w:pPr>
        <w:autoSpaceDE w:val="0"/>
        <w:autoSpaceDN w:val="0"/>
        <w:adjustRightInd w:val="0"/>
        <w:ind w:left="66"/>
        <w:jc w:val="both"/>
        <w:rPr>
          <w:rFonts w:ascii="Abadi" w:hAnsi="Abadi" w:cs="ArialMT"/>
          <w:sz w:val="16"/>
          <w:szCs w:val="17"/>
          <w:lang w:val="es-MX"/>
        </w:rPr>
      </w:pPr>
      <w:r w:rsidRPr="001B12EC">
        <w:rPr>
          <w:rFonts w:ascii="Abadi" w:hAnsi="Abadi" w:cs="ArialMT"/>
          <w:sz w:val="16"/>
          <w:szCs w:val="17"/>
          <w:lang w:val="es-MX"/>
        </w:rPr>
        <w:t>Con copia para:</w:t>
      </w:r>
    </w:p>
    <w:p w14:paraId="22A9DC96" w14:textId="77777777" w:rsidR="001B12EC" w:rsidRPr="001B12EC" w:rsidRDefault="001B12EC" w:rsidP="001B12EC">
      <w:pPr>
        <w:numPr>
          <w:ilvl w:val="0"/>
          <w:numId w:val="50"/>
        </w:numPr>
        <w:autoSpaceDE w:val="0"/>
        <w:autoSpaceDN w:val="0"/>
        <w:adjustRightInd w:val="0"/>
        <w:jc w:val="both"/>
        <w:rPr>
          <w:rFonts w:ascii="Abadi" w:hAnsi="Abadi" w:cs="ArialMT"/>
          <w:sz w:val="16"/>
          <w:szCs w:val="17"/>
          <w:lang w:val="es-MX"/>
        </w:rPr>
      </w:pPr>
      <w:r w:rsidRPr="001B12EC">
        <w:rPr>
          <w:rFonts w:ascii="Abadi" w:hAnsi="Abadi" w:cs="ArialMT"/>
          <w:sz w:val="16"/>
          <w:szCs w:val="17"/>
          <w:lang w:val="es-MX"/>
        </w:rPr>
        <w:t>Archivo.</w:t>
      </w:r>
    </w:p>
    <w:p w14:paraId="698018D7" w14:textId="77777777" w:rsidR="001B12EC" w:rsidRPr="001B12EC" w:rsidRDefault="001B12EC" w:rsidP="001B12EC">
      <w:pPr>
        <w:numPr>
          <w:ilvl w:val="0"/>
          <w:numId w:val="50"/>
        </w:numPr>
        <w:autoSpaceDE w:val="0"/>
        <w:autoSpaceDN w:val="0"/>
        <w:adjustRightInd w:val="0"/>
        <w:jc w:val="both"/>
        <w:rPr>
          <w:rFonts w:ascii="Abadi" w:hAnsi="Abadi" w:cs="ArialMT"/>
          <w:sz w:val="16"/>
          <w:szCs w:val="17"/>
          <w:lang w:val="es-MX"/>
        </w:rPr>
      </w:pPr>
      <w:r w:rsidRPr="001B12EC">
        <w:rPr>
          <w:rFonts w:ascii="Abadi" w:hAnsi="Abadi" w:cs="ArialMT"/>
          <w:sz w:val="16"/>
          <w:szCs w:val="17"/>
          <w:lang w:val="es-MX"/>
        </w:rPr>
        <w:t>Expediente</w:t>
      </w:r>
    </w:p>
    <w:p w14:paraId="7245F2B4" w14:textId="2AF32E31" w:rsidR="001B12EC" w:rsidRDefault="001B12EC" w:rsidP="001B12EC">
      <w:pPr>
        <w:autoSpaceDE w:val="0"/>
        <w:autoSpaceDN w:val="0"/>
        <w:adjustRightInd w:val="0"/>
        <w:ind w:left="66"/>
        <w:jc w:val="both"/>
        <w:rPr>
          <w:rFonts w:ascii="Abadi" w:hAnsi="Abadi" w:cs="ArialMT"/>
          <w:sz w:val="16"/>
          <w:szCs w:val="17"/>
          <w:lang w:val="es-MX"/>
        </w:rPr>
      </w:pPr>
      <w:r w:rsidRPr="001B12EC">
        <w:rPr>
          <w:rFonts w:ascii="Abadi" w:hAnsi="Abadi" w:cs="ArialMT"/>
          <w:sz w:val="16"/>
          <w:szCs w:val="17"/>
          <w:lang w:val="es-MX"/>
        </w:rPr>
        <w:t>L’OPR/L´SVR/L’CJGP</w:t>
      </w:r>
    </w:p>
    <w:p w14:paraId="31828FBE" w14:textId="57E534E0" w:rsidR="006F5B9D" w:rsidRPr="003A504F" w:rsidRDefault="006F5B9D" w:rsidP="006F5B9D">
      <w:pPr>
        <w:pStyle w:val="NormalWeb"/>
        <w:ind w:firstLine="567"/>
        <w:jc w:val="both"/>
        <w:rPr>
          <w:rFonts w:ascii="Abadi" w:hAnsi="Abadi" w:cs="ArialMT"/>
          <w:color w:val="auto"/>
          <w:sz w:val="21"/>
          <w:szCs w:val="21"/>
          <w:lang w:val="es-MX"/>
        </w:rPr>
      </w:pPr>
      <w:r w:rsidRPr="003A504F">
        <w:rPr>
          <w:rFonts w:ascii="Abadi" w:hAnsi="Abadi" w:cs="ArialMT"/>
          <w:b/>
          <w:bCs/>
          <w:color w:val="auto"/>
          <w:sz w:val="21"/>
          <w:szCs w:val="21"/>
          <w:lang w:val="es-MX"/>
        </w:rPr>
        <w:t xml:space="preserve">- La </w:t>
      </w:r>
      <w:proofErr w:type="gramStart"/>
      <w:r w:rsidRPr="003A504F">
        <w:rPr>
          <w:rFonts w:ascii="Abadi" w:hAnsi="Abadi" w:cs="ArialMT"/>
          <w:b/>
          <w:bCs/>
          <w:color w:val="auto"/>
          <w:sz w:val="21"/>
          <w:szCs w:val="21"/>
          <w:lang w:val="es-MX"/>
        </w:rPr>
        <w:t>Presidencia.-</w:t>
      </w:r>
      <w:proofErr w:type="gramEnd"/>
      <w:r w:rsidRPr="003A504F">
        <w:rPr>
          <w:rFonts w:ascii="Abadi" w:hAnsi="Abadi" w:cs="ArialMT"/>
          <w:color w:val="auto"/>
          <w:sz w:val="21"/>
          <w:szCs w:val="21"/>
          <w:lang w:val="es-MX"/>
        </w:rPr>
        <w:t xml:space="preserve"> A continuación se da cuenta con los informes de resultados formulados por la Auditoría Superior del Estado de Guanajuato relativos a la revisión practicada a la cuenta pública municipal de Yuriria; así como a la auditoría practicada a la infraestructura pública municipal, respecto a las operaciones realizadas por la administración municipal de Irapuato, correspondientes al ejercicio fiscal del año 2020. </w:t>
      </w:r>
    </w:p>
    <w:p w14:paraId="0CC2FFDF" w14:textId="7A8FD6BA" w:rsidR="006F5B9D" w:rsidRDefault="006F5B9D" w:rsidP="006F5B9D">
      <w:pPr>
        <w:pStyle w:val="NormalWeb"/>
        <w:ind w:left="142" w:right="354"/>
        <w:jc w:val="both"/>
        <w:rPr>
          <w:rFonts w:ascii="Abadi" w:hAnsi="Abadi"/>
          <w:b/>
          <w:bCs/>
          <w:i/>
          <w:iCs/>
          <w:sz w:val="21"/>
          <w:szCs w:val="21"/>
          <w:u w:val="single"/>
        </w:rPr>
      </w:pPr>
      <w:r w:rsidRPr="003A504F">
        <w:rPr>
          <w:rFonts w:ascii="Abadi" w:hAnsi="Abadi"/>
          <w:b/>
          <w:bCs/>
          <w:i/>
          <w:iCs/>
          <w:sz w:val="21"/>
          <w:szCs w:val="21"/>
          <w:u w:val="single"/>
        </w:rPr>
        <w:t xml:space="preserve">Con fundamento en el artículo 112 fracción II, </w:t>
      </w:r>
      <w:r w:rsidR="00675B11">
        <w:rPr>
          <w:rFonts w:ascii="Abadi" w:hAnsi="Abadi"/>
          <w:b/>
          <w:bCs/>
          <w:i/>
          <w:iCs/>
          <w:sz w:val="21"/>
          <w:szCs w:val="21"/>
          <w:u w:val="single"/>
        </w:rPr>
        <w:t>d</w:t>
      </w:r>
      <w:r w:rsidRPr="003A504F">
        <w:rPr>
          <w:rFonts w:ascii="Abadi" w:hAnsi="Abadi"/>
          <w:b/>
          <w:bCs/>
          <w:i/>
          <w:iCs/>
          <w:sz w:val="21"/>
          <w:szCs w:val="21"/>
          <w:u w:val="single"/>
        </w:rPr>
        <w:t>e nuestra Ley Orgánica, se turna</w:t>
      </w:r>
      <w:r w:rsidR="00A3055A">
        <w:rPr>
          <w:rFonts w:ascii="Abadi" w:hAnsi="Abadi"/>
          <w:b/>
          <w:bCs/>
          <w:i/>
          <w:iCs/>
          <w:sz w:val="21"/>
          <w:szCs w:val="21"/>
          <w:u w:val="single"/>
        </w:rPr>
        <w:t>n</w:t>
      </w:r>
      <w:r w:rsidRPr="003A504F">
        <w:rPr>
          <w:rFonts w:ascii="Abadi" w:hAnsi="Abadi"/>
          <w:b/>
          <w:bCs/>
          <w:i/>
          <w:iCs/>
          <w:sz w:val="21"/>
          <w:szCs w:val="21"/>
          <w:u w:val="single"/>
        </w:rPr>
        <w:t xml:space="preserve"> a la Comisión de Hacienda y Fiscalización para su estudio y</w:t>
      </w:r>
      <w:r w:rsidRPr="00842CA8">
        <w:rPr>
          <w:rFonts w:ascii="Abadi" w:hAnsi="Abadi"/>
          <w:b/>
          <w:bCs/>
          <w:i/>
          <w:iCs/>
          <w:sz w:val="21"/>
          <w:szCs w:val="21"/>
          <w:u w:val="single"/>
        </w:rPr>
        <w:t xml:space="preserve"> dictamen.</w:t>
      </w:r>
    </w:p>
    <w:p w14:paraId="5D547667" w14:textId="77777777" w:rsidR="00021259" w:rsidRPr="00021259" w:rsidRDefault="00021259" w:rsidP="00343CA9">
      <w:pPr>
        <w:pStyle w:val="Prrafodelista"/>
        <w:numPr>
          <w:ilvl w:val="0"/>
          <w:numId w:val="15"/>
        </w:numPr>
        <w:autoSpaceDE w:val="0"/>
        <w:autoSpaceDN w:val="0"/>
        <w:adjustRightInd w:val="0"/>
        <w:ind w:left="426"/>
        <w:jc w:val="both"/>
        <w:rPr>
          <w:rFonts w:ascii="Abadi" w:hAnsi="Abadi" w:cs="ArialMT"/>
          <w:b/>
          <w:bCs/>
          <w:sz w:val="20"/>
          <w:szCs w:val="21"/>
        </w:rPr>
      </w:pPr>
      <w:r w:rsidRPr="00021259">
        <w:rPr>
          <w:rFonts w:ascii="Abadi" w:hAnsi="Abadi" w:cs="ArialMT"/>
          <w:b/>
          <w:bCs/>
          <w:sz w:val="20"/>
          <w:szCs w:val="21"/>
        </w:rPr>
        <w:t>PRESENTACIÓN DE LA PROPUESTA DE PUNTO DE ACUERDO SUSCRITA POR DIPUTADAS Y DIPUTADOS INTEGRANTES DEL GRUPO PARLAMENTARIO DEL PARTIDO ACCIÓN NACIONAL A FIN DE EXHORTAR A LA SECRETARÍA DE GOBERNACIÓN PARA QUE ATIENDA CON LAS MEDIDAS DE PREVENCIÓN Y URGENTES LAS SOLICITUDES DE LAS Y LOS ACTIVISTAS AMBIENTALISTAS DE MÉXICO.</w:t>
      </w:r>
    </w:p>
    <w:p w14:paraId="0C4F447C" w14:textId="11423866" w:rsidR="00021259" w:rsidRDefault="00021259" w:rsidP="00021259">
      <w:pPr>
        <w:autoSpaceDE w:val="0"/>
        <w:autoSpaceDN w:val="0"/>
        <w:adjustRightInd w:val="0"/>
        <w:jc w:val="both"/>
        <w:rPr>
          <w:rFonts w:ascii="Abadi" w:hAnsi="Abadi" w:cs="ArialMT"/>
          <w:b/>
          <w:bCs/>
          <w:sz w:val="20"/>
          <w:szCs w:val="21"/>
        </w:rPr>
      </w:pPr>
    </w:p>
    <w:p w14:paraId="52F6B90F" w14:textId="77777777" w:rsidR="007169B5" w:rsidRDefault="007169B5" w:rsidP="007169B5">
      <w:pPr>
        <w:autoSpaceDE w:val="0"/>
        <w:autoSpaceDN w:val="0"/>
        <w:adjustRightInd w:val="0"/>
        <w:jc w:val="both"/>
        <w:rPr>
          <w:rFonts w:ascii="Abadi" w:hAnsi="Abadi" w:cs="ArialMT"/>
          <w:b/>
          <w:bCs/>
          <w:sz w:val="20"/>
          <w:szCs w:val="21"/>
          <w:lang w:val="es-MX"/>
        </w:rPr>
      </w:pPr>
    </w:p>
    <w:p w14:paraId="7E73C01A" w14:textId="77777777" w:rsidR="007169B5" w:rsidRDefault="007169B5" w:rsidP="007169B5">
      <w:pPr>
        <w:autoSpaceDE w:val="0"/>
        <w:autoSpaceDN w:val="0"/>
        <w:adjustRightInd w:val="0"/>
        <w:jc w:val="both"/>
        <w:rPr>
          <w:rFonts w:ascii="Abadi" w:hAnsi="Abadi" w:cs="ArialMT"/>
          <w:b/>
          <w:bCs/>
          <w:sz w:val="20"/>
          <w:szCs w:val="21"/>
          <w:lang w:val="es-MX"/>
        </w:rPr>
      </w:pPr>
      <w:r w:rsidRPr="007169B5">
        <w:rPr>
          <w:rFonts w:ascii="Abadi" w:hAnsi="Abadi" w:cs="ArialMT"/>
          <w:b/>
          <w:bCs/>
          <w:sz w:val="20"/>
          <w:szCs w:val="21"/>
          <w:lang w:val="es-MX"/>
        </w:rPr>
        <w:t xml:space="preserve">DIPUTADA IRMA LETICIA GONZÁLEZ SÁNCHEZ </w:t>
      </w:r>
    </w:p>
    <w:p w14:paraId="7180D0AF" w14:textId="77777777" w:rsidR="007169B5" w:rsidRDefault="007169B5" w:rsidP="007169B5">
      <w:pPr>
        <w:autoSpaceDE w:val="0"/>
        <w:autoSpaceDN w:val="0"/>
        <w:adjustRightInd w:val="0"/>
        <w:jc w:val="both"/>
        <w:rPr>
          <w:rFonts w:ascii="Abadi" w:hAnsi="Abadi" w:cs="ArialMT"/>
          <w:b/>
          <w:bCs/>
          <w:sz w:val="20"/>
          <w:szCs w:val="21"/>
          <w:lang w:val="es-MX"/>
        </w:rPr>
      </w:pPr>
      <w:r w:rsidRPr="007169B5">
        <w:rPr>
          <w:rFonts w:ascii="Abadi" w:hAnsi="Abadi" w:cs="ArialMT"/>
          <w:b/>
          <w:bCs/>
          <w:sz w:val="20"/>
          <w:szCs w:val="21"/>
          <w:lang w:val="es-MX"/>
        </w:rPr>
        <w:t xml:space="preserve">PRESIDENTA DEL CONGRESO DEL ESTADO </w:t>
      </w:r>
    </w:p>
    <w:p w14:paraId="32180E87" w14:textId="77777777" w:rsidR="007169B5" w:rsidRPr="00A3055A" w:rsidRDefault="007169B5" w:rsidP="007169B5">
      <w:pPr>
        <w:autoSpaceDE w:val="0"/>
        <w:autoSpaceDN w:val="0"/>
        <w:adjustRightInd w:val="0"/>
        <w:jc w:val="both"/>
        <w:rPr>
          <w:rFonts w:ascii="Abadi" w:hAnsi="Abadi" w:cs="ArialMT"/>
          <w:b/>
          <w:bCs/>
          <w:sz w:val="21"/>
          <w:szCs w:val="21"/>
          <w:lang w:val="es-MX"/>
        </w:rPr>
      </w:pPr>
      <w:r w:rsidRPr="00A3055A">
        <w:rPr>
          <w:rFonts w:ascii="Abadi" w:hAnsi="Abadi" w:cs="ArialMT"/>
          <w:b/>
          <w:bCs/>
          <w:sz w:val="21"/>
          <w:szCs w:val="21"/>
          <w:lang w:val="es-MX"/>
        </w:rPr>
        <w:t>LIBRE Y SOBERANO DE GUANAJUATO</w:t>
      </w:r>
    </w:p>
    <w:p w14:paraId="363C5830" w14:textId="77777777" w:rsidR="007169B5" w:rsidRPr="00A3055A" w:rsidRDefault="007169B5" w:rsidP="007169B5">
      <w:pPr>
        <w:autoSpaceDE w:val="0"/>
        <w:autoSpaceDN w:val="0"/>
        <w:adjustRightInd w:val="0"/>
        <w:jc w:val="both"/>
        <w:rPr>
          <w:rFonts w:ascii="Abadi" w:hAnsi="Abadi" w:cs="ArialMT"/>
          <w:b/>
          <w:bCs/>
          <w:sz w:val="21"/>
          <w:szCs w:val="21"/>
          <w:lang w:val="es-MX"/>
        </w:rPr>
      </w:pPr>
      <w:r w:rsidRPr="00A3055A">
        <w:rPr>
          <w:rFonts w:ascii="Abadi" w:hAnsi="Abadi" w:cs="ArialMT"/>
          <w:b/>
          <w:bCs/>
          <w:sz w:val="21"/>
          <w:szCs w:val="21"/>
          <w:lang w:val="es-MX"/>
        </w:rPr>
        <w:t>SEXAGÉSIMA QUINTA LEGISLATURA</w:t>
      </w:r>
    </w:p>
    <w:p w14:paraId="38DE9714" w14:textId="440FF976" w:rsidR="007169B5" w:rsidRPr="00A3055A" w:rsidRDefault="007169B5" w:rsidP="007169B5">
      <w:pPr>
        <w:autoSpaceDE w:val="0"/>
        <w:autoSpaceDN w:val="0"/>
        <w:adjustRightInd w:val="0"/>
        <w:jc w:val="both"/>
        <w:rPr>
          <w:rFonts w:ascii="Abadi" w:hAnsi="Abadi" w:cs="ArialMT"/>
          <w:b/>
          <w:bCs/>
          <w:sz w:val="21"/>
          <w:szCs w:val="21"/>
          <w:lang w:val="es-MX"/>
        </w:rPr>
      </w:pPr>
      <w:r w:rsidRPr="00A3055A">
        <w:rPr>
          <w:rFonts w:ascii="Abadi" w:hAnsi="Abadi" w:cs="ArialMT"/>
          <w:b/>
          <w:bCs/>
          <w:sz w:val="21"/>
          <w:szCs w:val="21"/>
          <w:lang w:val="es-MX"/>
        </w:rPr>
        <w:t xml:space="preserve">PRESENTE </w:t>
      </w:r>
    </w:p>
    <w:p w14:paraId="17537FEC" w14:textId="7C3562B6"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 xml:space="preserve">Quienes integramos el </w:t>
      </w:r>
      <w:r w:rsidRPr="00A3055A">
        <w:rPr>
          <w:rFonts w:ascii="Abadi" w:hAnsi="Abadi" w:cs="ArialMT"/>
          <w:b/>
          <w:bCs/>
          <w:sz w:val="21"/>
          <w:szCs w:val="21"/>
          <w:lang w:val="es-MX"/>
        </w:rPr>
        <w:t xml:space="preserve">Grupo Parlamentario del Partido Acción Nacional </w:t>
      </w:r>
      <w:r w:rsidRPr="00A3055A">
        <w:rPr>
          <w:rFonts w:ascii="Abadi" w:hAnsi="Abadi" w:cs="ArialMT"/>
          <w:sz w:val="21"/>
          <w:szCs w:val="21"/>
          <w:lang w:val="es-MX"/>
        </w:rPr>
        <w:t xml:space="preserve">ante la Sexagésima Quinta Legislatura del Congreso del Estado Libre y Soberano de Guanajuato, con fundamento en lo dispuesto por los artículos 57 primer párrafo de la Constitución Política para el Estado de Guanajuato y 204 fracción </w:t>
      </w:r>
      <w:r w:rsidR="00705B65">
        <w:rPr>
          <w:rFonts w:ascii="Abadi" w:hAnsi="Abadi" w:cs="ArialMT"/>
          <w:sz w:val="21"/>
          <w:szCs w:val="21"/>
          <w:lang w:val="es-MX"/>
        </w:rPr>
        <w:t>III</w:t>
      </w:r>
      <w:r w:rsidRPr="00A3055A">
        <w:rPr>
          <w:rFonts w:ascii="Abadi" w:hAnsi="Abadi" w:cs="ArialMT"/>
          <w:sz w:val="21"/>
          <w:szCs w:val="21"/>
          <w:lang w:val="es-MX"/>
        </w:rPr>
        <w:t xml:space="preserve"> de la Ley Orgánica del Poder Legislativo del Estado de Guanajuato, nos permitimos presentar y someter a la consideración de esta Honorable Asamblea, la presente propuesta de </w:t>
      </w:r>
      <w:r w:rsidRPr="00A3055A">
        <w:rPr>
          <w:rFonts w:ascii="Abadi" w:hAnsi="Abadi" w:cs="ArialMT"/>
          <w:b/>
          <w:bCs/>
          <w:sz w:val="21"/>
          <w:szCs w:val="21"/>
          <w:lang w:val="es-MX"/>
        </w:rPr>
        <w:t xml:space="preserve">punto de acuerdo, mediante el cual, el Congreso del Estado Libre y Soberano de Guanajuato exhorta a la Secretaría de Gobernación a efecto de que atienda con las medidas de prevención </w:t>
      </w:r>
      <w:r w:rsidRPr="00A3055A">
        <w:rPr>
          <w:rFonts w:ascii="Abadi" w:hAnsi="Abadi" w:cs="ArialMT"/>
          <w:sz w:val="21"/>
          <w:szCs w:val="21"/>
          <w:lang w:val="es-MX"/>
        </w:rPr>
        <w:t xml:space="preserve">y </w:t>
      </w:r>
      <w:r w:rsidRPr="00A3055A">
        <w:rPr>
          <w:rFonts w:ascii="Abadi" w:hAnsi="Abadi" w:cs="ArialMT"/>
          <w:b/>
          <w:bCs/>
          <w:sz w:val="21"/>
          <w:szCs w:val="21"/>
          <w:lang w:val="es-MX"/>
        </w:rPr>
        <w:t xml:space="preserve">urgentes las solicitudes de las </w:t>
      </w:r>
      <w:r w:rsidRPr="00A3055A">
        <w:rPr>
          <w:rFonts w:ascii="Abadi" w:hAnsi="Abadi" w:cs="ArialMT"/>
          <w:sz w:val="21"/>
          <w:szCs w:val="21"/>
          <w:lang w:val="es-MX"/>
        </w:rPr>
        <w:t xml:space="preserve">y </w:t>
      </w:r>
      <w:r w:rsidRPr="00A3055A">
        <w:rPr>
          <w:rFonts w:ascii="Abadi" w:hAnsi="Abadi" w:cs="ArialMT"/>
          <w:b/>
          <w:bCs/>
          <w:sz w:val="21"/>
          <w:szCs w:val="21"/>
          <w:lang w:val="es-MX"/>
        </w:rPr>
        <w:t xml:space="preserve">los activistas ambientalistas en nuestro país, </w:t>
      </w:r>
      <w:r w:rsidRPr="00A3055A">
        <w:rPr>
          <w:rFonts w:ascii="Abadi" w:hAnsi="Abadi" w:cs="ArialMT"/>
          <w:sz w:val="21"/>
          <w:szCs w:val="21"/>
          <w:lang w:val="es-MX"/>
        </w:rPr>
        <w:t>lo anterior de conformidad a las siguientes:</w:t>
      </w:r>
    </w:p>
    <w:p w14:paraId="795F43CB" w14:textId="77777777" w:rsidR="007169B5" w:rsidRPr="00A3055A" w:rsidRDefault="007169B5" w:rsidP="007169B5">
      <w:pPr>
        <w:autoSpaceDE w:val="0"/>
        <w:autoSpaceDN w:val="0"/>
        <w:adjustRightInd w:val="0"/>
        <w:jc w:val="both"/>
        <w:rPr>
          <w:rFonts w:ascii="Abadi" w:hAnsi="Abadi" w:cs="ArialMT"/>
          <w:sz w:val="21"/>
          <w:szCs w:val="21"/>
          <w:lang w:val="es-MX"/>
        </w:rPr>
      </w:pPr>
    </w:p>
    <w:p w14:paraId="56B8B263" w14:textId="4B27DBDD" w:rsidR="007169B5" w:rsidRPr="00A3055A" w:rsidRDefault="007169B5" w:rsidP="007169B5">
      <w:pPr>
        <w:autoSpaceDE w:val="0"/>
        <w:autoSpaceDN w:val="0"/>
        <w:adjustRightInd w:val="0"/>
        <w:jc w:val="center"/>
        <w:rPr>
          <w:rFonts w:ascii="Abadi" w:hAnsi="Abadi" w:cs="ArialMT"/>
          <w:b/>
          <w:bCs/>
          <w:sz w:val="21"/>
          <w:szCs w:val="21"/>
          <w:lang w:val="es-MX"/>
        </w:rPr>
      </w:pPr>
      <w:r w:rsidRPr="00A3055A">
        <w:rPr>
          <w:rFonts w:ascii="Abadi" w:hAnsi="Abadi" w:cs="ArialMT"/>
          <w:b/>
          <w:bCs/>
          <w:sz w:val="21"/>
          <w:szCs w:val="21"/>
          <w:lang w:val="es-MX"/>
        </w:rPr>
        <w:t>CONSIDERACIONES</w:t>
      </w:r>
    </w:p>
    <w:p w14:paraId="06A072AF" w14:textId="77777777" w:rsidR="007169B5" w:rsidRPr="00A3055A" w:rsidRDefault="007169B5" w:rsidP="007169B5">
      <w:pPr>
        <w:autoSpaceDE w:val="0"/>
        <w:autoSpaceDN w:val="0"/>
        <w:adjustRightInd w:val="0"/>
        <w:jc w:val="both"/>
        <w:rPr>
          <w:rFonts w:ascii="Abadi" w:hAnsi="Abadi" w:cs="ArialMT"/>
          <w:b/>
          <w:bCs/>
          <w:sz w:val="21"/>
          <w:szCs w:val="21"/>
          <w:lang w:val="es-MX"/>
        </w:rPr>
      </w:pPr>
    </w:p>
    <w:p w14:paraId="545C5A92" w14:textId="52F71222" w:rsidR="007169B5"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Actualmente México es el segundo país más peligroso del mundo para activistas y ambientalistas, pues desde 2018 que inició el gobierno de la 4T, más de 45 ambientalistas han sido asesinados y asesinadas. Sin embargo, de acuerdo a la ONG, Centro Mexicano de Derecho Ambiental, al menos 58 ambientalistas han muerto, incluso resaltando que 2021 ha sido el año más violento para la profesión</w:t>
      </w:r>
      <w:r w:rsidRPr="00A3055A">
        <w:rPr>
          <w:rStyle w:val="Refdenotaalpie"/>
          <w:rFonts w:ascii="Abadi" w:hAnsi="Abadi" w:cs="ArialMT"/>
          <w:sz w:val="21"/>
          <w:szCs w:val="21"/>
          <w:lang w:val="es-MX"/>
        </w:rPr>
        <w:footnoteReference w:id="19"/>
      </w:r>
      <w:r w:rsidRPr="00A3055A">
        <w:rPr>
          <w:rFonts w:ascii="Abadi" w:hAnsi="Abadi" w:cs="ArialMT"/>
          <w:sz w:val="21"/>
          <w:szCs w:val="21"/>
          <w:lang w:val="es-MX"/>
        </w:rPr>
        <w:t>.</w:t>
      </w:r>
    </w:p>
    <w:p w14:paraId="6B7F919E" w14:textId="77777777" w:rsidR="005B4261" w:rsidRPr="00A3055A" w:rsidRDefault="005B4261" w:rsidP="007169B5">
      <w:pPr>
        <w:autoSpaceDE w:val="0"/>
        <w:autoSpaceDN w:val="0"/>
        <w:adjustRightInd w:val="0"/>
        <w:jc w:val="both"/>
        <w:rPr>
          <w:rFonts w:ascii="Abadi" w:hAnsi="Abadi" w:cs="ArialMT"/>
          <w:sz w:val="21"/>
          <w:szCs w:val="21"/>
          <w:lang w:val="es-MX"/>
        </w:rPr>
      </w:pPr>
    </w:p>
    <w:p w14:paraId="760B7950" w14:textId="77777777"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Defender el derecho a un medio ambiente sano y nuestras zonas naturales en México, Es peligroso y el principal problema es la falta de atención que se presta a esta problemática, pues el Gobierno Federal se ha distinguido por perseguir a toda persona que opine distinto a él, ya sean feministas, defensores de derechos humanos, políticos, periodistas, o en este caso, ambientalistas.</w:t>
      </w:r>
    </w:p>
    <w:p w14:paraId="3139EFF1" w14:textId="77777777" w:rsidR="007169B5" w:rsidRPr="00A3055A" w:rsidRDefault="007169B5" w:rsidP="007169B5">
      <w:pPr>
        <w:autoSpaceDE w:val="0"/>
        <w:autoSpaceDN w:val="0"/>
        <w:adjustRightInd w:val="0"/>
        <w:jc w:val="both"/>
        <w:rPr>
          <w:rFonts w:ascii="Abadi" w:hAnsi="Abadi" w:cs="ArialMT"/>
          <w:sz w:val="21"/>
          <w:szCs w:val="21"/>
          <w:lang w:val="es-MX"/>
        </w:rPr>
      </w:pPr>
    </w:p>
    <w:p w14:paraId="16B6D063" w14:textId="5A6A36D5"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Demostrar que el Gobierno Federal está en contra del medio ambiente y todas y todos aquellos que buscan protegerlo se puede demostrar con 2 vertientes, con lo que dicen y con lo que hacen.</w:t>
      </w:r>
    </w:p>
    <w:p w14:paraId="37C664B8" w14:textId="77777777" w:rsidR="00A3055A" w:rsidRPr="00A3055A" w:rsidRDefault="00A3055A" w:rsidP="007169B5">
      <w:pPr>
        <w:autoSpaceDE w:val="0"/>
        <w:autoSpaceDN w:val="0"/>
        <w:adjustRightInd w:val="0"/>
        <w:jc w:val="both"/>
        <w:rPr>
          <w:rFonts w:ascii="Abadi" w:hAnsi="Abadi" w:cs="ArialMT"/>
          <w:sz w:val="21"/>
          <w:szCs w:val="21"/>
          <w:lang w:val="es-MX"/>
        </w:rPr>
      </w:pPr>
    </w:p>
    <w:p w14:paraId="7E6525A7" w14:textId="02660659"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La primera con "lo que dicen". No se trata de suposiciones, ni de "otros datos", sino con sus propias palabras en redes sociales oficiales de su gobierno, en sus mañaneras o en entrevistas públicas.</w:t>
      </w:r>
    </w:p>
    <w:p w14:paraId="1F0E3078" w14:textId="77777777" w:rsidR="007169B5" w:rsidRPr="00A3055A" w:rsidRDefault="007169B5" w:rsidP="007169B5">
      <w:pPr>
        <w:autoSpaceDE w:val="0"/>
        <w:autoSpaceDN w:val="0"/>
        <w:adjustRightInd w:val="0"/>
        <w:jc w:val="both"/>
        <w:rPr>
          <w:rFonts w:ascii="Abadi" w:hAnsi="Abadi" w:cs="ArialMT"/>
          <w:sz w:val="21"/>
          <w:szCs w:val="21"/>
          <w:lang w:val="es-MX"/>
        </w:rPr>
      </w:pPr>
    </w:p>
    <w:p w14:paraId="1E225FDA" w14:textId="1D0BCEE0"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Por dar un ejemplo, en la mañanera del miércoles 23 de marzo de este año, llamó "</w:t>
      </w:r>
      <w:proofErr w:type="spellStart"/>
      <w:r w:rsidRPr="00A3055A">
        <w:rPr>
          <w:rFonts w:ascii="Abadi" w:hAnsi="Abadi" w:cs="ArialMT"/>
          <w:sz w:val="21"/>
          <w:szCs w:val="21"/>
          <w:lang w:val="es-MX"/>
        </w:rPr>
        <w:t>pseudoambientalistas</w:t>
      </w:r>
      <w:proofErr w:type="spellEnd"/>
      <w:r w:rsidRPr="00A3055A">
        <w:rPr>
          <w:rFonts w:ascii="Abadi" w:hAnsi="Abadi" w:cs="ArialMT"/>
          <w:sz w:val="21"/>
          <w:szCs w:val="21"/>
          <w:lang w:val="es-MX"/>
        </w:rPr>
        <w:t>" a las y los defensores del medio ambiente, a quiénes se sumaron diversas personas, entre ellas, artistas y famosos que se pronunciaron en contra del Tren Maya; por su parte, Andrés Manuel López Obrador se dedicó a minimizar y a criticar el trabajo tan noble que realizan las y los defensores ambientales</w:t>
      </w:r>
      <w:r w:rsidR="0017430E" w:rsidRPr="00A3055A">
        <w:rPr>
          <w:rStyle w:val="Refdenotaalpie"/>
          <w:rFonts w:ascii="Abadi" w:hAnsi="Abadi" w:cs="ArialMT"/>
          <w:sz w:val="21"/>
          <w:szCs w:val="21"/>
          <w:lang w:val="es-MX"/>
        </w:rPr>
        <w:footnoteReference w:id="20"/>
      </w:r>
      <w:r w:rsidRPr="00A3055A">
        <w:rPr>
          <w:rFonts w:ascii="Abadi" w:hAnsi="Abadi" w:cs="ArialMT"/>
          <w:sz w:val="21"/>
          <w:szCs w:val="21"/>
          <w:lang w:val="es-MX"/>
        </w:rPr>
        <w:t>.</w:t>
      </w:r>
    </w:p>
    <w:p w14:paraId="27C3F3BB" w14:textId="77777777" w:rsidR="007169B5" w:rsidRPr="00A3055A" w:rsidRDefault="007169B5" w:rsidP="007169B5">
      <w:pPr>
        <w:autoSpaceDE w:val="0"/>
        <w:autoSpaceDN w:val="0"/>
        <w:adjustRightInd w:val="0"/>
        <w:jc w:val="both"/>
        <w:rPr>
          <w:rFonts w:ascii="Abadi" w:hAnsi="Abadi" w:cs="ArialMT"/>
          <w:sz w:val="21"/>
          <w:szCs w:val="21"/>
          <w:lang w:val="es-MX"/>
        </w:rPr>
      </w:pPr>
    </w:p>
    <w:p w14:paraId="37DA6892" w14:textId="3FEAB7E9"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 xml:space="preserve">Incluso, un par de días después, desde la cuenta de la Secretaría de Medio Ambiente y Recursos Naturales (SEMARNAT), una dependencia gubernamental que "en teoría" debería constituir una política de Estado de protección ambiental y fomentar que la ciudadanía participe en la misma... lejos de ello... opta por demeritar, agredir y perseguir al llamar nuevamente </w:t>
      </w:r>
      <w:proofErr w:type="spellStart"/>
      <w:r w:rsidRPr="00A3055A">
        <w:rPr>
          <w:rFonts w:ascii="Abadi" w:hAnsi="Abadi" w:cs="ArialMT"/>
          <w:sz w:val="21"/>
          <w:szCs w:val="21"/>
          <w:lang w:val="es-MX"/>
        </w:rPr>
        <w:t>pseudoambientalistas</w:t>
      </w:r>
      <w:proofErr w:type="spellEnd"/>
      <w:r w:rsidRPr="00A3055A">
        <w:rPr>
          <w:rFonts w:ascii="Abadi" w:hAnsi="Abadi" w:cs="ArialMT"/>
          <w:sz w:val="21"/>
          <w:szCs w:val="21"/>
          <w:lang w:val="es-MX"/>
        </w:rPr>
        <w:t xml:space="preserve"> y cuestionando la supuesta ausencia de los mismos hace años con administraciones anteriores</w:t>
      </w:r>
      <w:r w:rsidR="005F55FD" w:rsidRPr="00A3055A">
        <w:rPr>
          <w:rStyle w:val="Refdenotaalpie"/>
          <w:rFonts w:ascii="Abadi" w:hAnsi="Abadi" w:cs="ArialMT"/>
          <w:sz w:val="21"/>
          <w:szCs w:val="21"/>
          <w:lang w:val="es-MX"/>
        </w:rPr>
        <w:footnoteReference w:id="21"/>
      </w:r>
      <w:r w:rsidRPr="00A3055A">
        <w:rPr>
          <w:rFonts w:ascii="Abadi" w:hAnsi="Abadi" w:cs="ArialMT"/>
          <w:sz w:val="21"/>
          <w:szCs w:val="21"/>
          <w:lang w:val="es-MX"/>
        </w:rPr>
        <w:t>.</w:t>
      </w:r>
    </w:p>
    <w:p w14:paraId="2EAEBF1F" w14:textId="77777777" w:rsidR="007169B5" w:rsidRPr="00A3055A" w:rsidRDefault="007169B5" w:rsidP="007169B5">
      <w:pPr>
        <w:autoSpaceDE w:val="0"/>
        <w:autoSpaceDN w:val="0"/>
        <w:adjustRightInd w:val="0"/>
        <w:jc w:val="both"/>
        <w:rPr>
          <w:rFonts w:ascii="Abadi" w:hAnsi="Abadi" w:cs="ArialMT"/>
          <w:sz w:val="21"/>
          <w:szCs w:val="21"/>
          <w:lang w:val="es-MX"/>
        </w:rPr>
      </w:pPr>
    </w:p>
    <w:p w14:paraId="50EA84D3" w14:textId="0DBA4EFF"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 xml:space="preserve">En la segunda vertiente, vemos los hechos, uno de los principales proyectos del Gobierno Federal es el Tren Maya, ha sido polémico desde el inicio, a tal grado que la famosa organización internacional Green </w:t>
      </w:r>
      <w:proofErr w:type="spellStart"/>
      <w:r w:rsidRPr="00A3055A">
        <w:rPr>
          <w:rFonts w:ascii="Abadi" w:hAnsi="Abadi" w:cs="ArialMT"/>
          <w:sz w:val="21"/>
          <w:szCs w:val="21"/>
          <w:lang w:val="es-MX"/>
        </w:rPr>
        <w:t>Peace</w:t>
      </w:r>
      <w:proofErr w:type="spellEnd"/>
      <w:r w:rsidRPr="00A3055A">
        <w:rPr>
          <w:rFonts w:ascii="Abadi" w:hAnsi="Abadi" w:cs="ArialMT"/>
          <w:sz w:val="21"/>
          <w:szCs w:val="21"/>
          <w:lang w:val="es-MX"/>
        </w:rPr>
        <w:t xml:space="preserve"> se sumó en abril de este año a las 44 mil 440 firmas para exigir los estudios ambientales del Tren Maya. Se ha solicitado que se detengan las obras en el tramo que va de Tulum a Cancún para determinar la afectación a la flora y fauna por el ferrocarril</w:t>
      </w:r>
      <w:r w:rsidR="008F40ED" w:rsidRPr="00A3055A">
        <w:rPr>
          <w:rStyle w:val="Refdenotaalpie"/>
          <w:rFonts w:ascii="Abadi" w:hAnsi="Abadi" w:cs="ArialMT"/>
          <w:sz w:val="21"/>
          <w:szCs w:val="21"/>
          <w:lang w:val="es-MX"/>
        </w:rPr>
        <w:footnoteReference w:id="22"/>
      </w:r>
      <w:r w:rsidRPr="00A3055A">
        <w:rPr>
          <w:rFonts w:ascii="Abadi" w:hAnsi="Abadi" w:cs="ArialMT"/>
          <w:sz w:val="21"/>
          <w:szCs w:val="21"/>
          <w:lang w:val="es-MX"/>
        </w:rPr>
        <w:t>.</w:t>
      </w:r>
    </w:p>
    <w:p w14:paraId="62024FBF" w14:textId="77777777" w:rsidR="008F40ED" w:rsidRPr="00A3055A" w:rsidRDefault="008F40ED" w:rsidP="007169B5">
      <w:pPr>
        <w:autoSpaceDE w:val="0"/>
        <w:autoSpaceDN w:val="0"/>
        <w:adjustRightInd w:val="0"/>
        <w:jc w:val="both"/>
        <w:rPr>
          <w:rFonts w:ascii="Abadi" w:hAnsi="Abadi" w:cs="ArialMT"/>
          <w:sz w:val="21"/>
          <w:szCs w:val="21"/>
          <w:lang w:val="es-MX"/>
        </w:rPr>
      </w:pPr>
    </w:p>
    <w:p w14:paraId="4FF6800C" w14:textId="00E6CF39"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Sumado a lo anterior, el presidente prometió acabar con la violencia, pero ahora se proyecta para tener el peor registro de crímenes en la historia reciente de México gracias a su falta de atención a la peligrosa situación que viven las y los activistas ambientalistas, ya que el Mecanismo de Protección para Personas Defensoras de Derechos Humanos y Periodistas a cargo de la Secretaría de Gobierno, actúa demasiado tarde.</w:t>
      </w:r>
    </w:p>
    <w:p w14:paraId="31A871B5" w14:textId="77777777" w:rsidR="007169B5" w:rsidRPr="00A3055A" w:rsidRDefault="007169B5" w:rsidP="007169B5">
      <w:pPr>
        <w:autoSpaceDE w:val="0"/>
        <w:autoSpaceDN w:val="0"/>
        <w:adjustRightInd w:val="0"/>
        <w:jc w:val="both"/>
        <w:rPr>
          <w:rFonts w:ascii="Abadi" w:hAnsi="Abadi" w:cs="ArialMT"/>
          <w:sz w:val="21"/>
          <w:szCs w:val="21"/>
          <w:lang w:val="es-MX"/>
        </w:rPr>
      </w:pPr>
    </w:p>
    <w:p w14:paraId="3E9B2DB1" w14:textId="261F08D8"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Como parte de las acciones para proteger a las y los activistas en peligro, se encuentra desde anotarles en un registro de amenazas, geo localizadores o incluso guardaespaldas y auxilio para salir del país.</w:t>
      </w:r>
    </w:p>
    <w:p w14:paraId="0FA30E84" w14:textId="77777777" w:rsidR="007169B5" w:rsidRPr="00A3055A" w:rsidRDefault="007169B5" w:rsidP="007169B5">
      <w:pPr>
        <w:autoSpaceDE w:val="0"/>
        <w:autoSpaceDN w:val="0"/>
        <w:adjustRightInd w:val="0"/>
        <w:jc w:val="both"/>
        <w:rPr>
          <w:rFonts w:ascii="Abadi" w:hAnsi="Abadi" w:cs="ArialMT"/>
          <w:sz w:val="21"/>
          <w:szCs w:val="21"/>
          <w:lang w:val="es-MX"/>
        </w:rPr>
      </w:pPr>
    </w:p>
    <w:p w14:paraId="6234B744" w14:textId="0BF24375"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El problema reside en que catalogan los casos como "ordinarios" y no le toman importancia al peligro que viven las y los ambientalistas. De los 45 ambientalistas asesinados y asesinadas desde diciembre de 2018 ¡Solo se ha dictado sentencia en 2 casos! Esto quiere decir que hay una impunidad del ¡96%!</w:t>
      </w:r>
    </w:p>
    <w:p w14:paraId="68129334" w14:textId="77777777" w:rsidR="007169B5" w:rsidRPr="00A3055A" w:rsidRDefault="007169B5" w:rsidP="007169B5">
      <w:pPr>
        <w:autoSpaceDE w:val="0"/>
        <w:autoSpaceDN w:val="0"/>
        <w:adjustRightInd w:val="0"/>
        <w:jc w:val="both"/>
        <w:rPr>
          <w:rFonts w:ascii="Abadi" w:hAnsi="Abadi" w:cs="ArialMT"/>
          <w:sz w:val="21"/>
          <w:szCs w:val="21"/>
          <w:lang w:val="es-MX"/>
        </w:rPr>
      </w:pPr>
    </w:p>
    <w:p w14:paraId="1B678EFC" w14:textId="2BA61878"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Desde nuestro Programa de Acciones legislativas, este punto de acuerdo atiende a dos de nuestros ejes que como Grupo Parlamentario del PAN, impulsamos; el eje de Medio Ambiente, Energías Limpias y Sustentabilidad, compartimos el sentir con la ciudadanía, las organizaciones y activistas ambientalistas con respecto al Tren Maya y la falta de estudios que justifiquen su ejecución, así como la importancia del papel de las y los ambientalistas en la vida democrática de nuestro país.</w:t>
      </w:r>
    </w:p>
    <w:p w14:paraId="1E05809F" w14:textId="77777777" w:rsidR="007169B5" w:rsidRPr="00A3055A" w:rsidRDefault="007169B5" w:rsidP="007169B5">
      <w:pPr>
        <w:autoSpaceDE w:val="0"/>
        <w:autoSpaceDN w:val="0"/>
        <w:adjustRightInd w:val="0"/>
        <w:jc w:val="both"/>
        <w:rPr>
          <w:rFonts w:ascii="Abadi" w:hAnsi="Abadi" w:cs="ArialMT"/>
          <w:sz w:val="21"/>
          <w:szCs w:val="21"/>
          <w:lang w:val="es-MX"/>
        </w:rPr>
      </w:pPr>
    </w:p>
    <w:p w14:paraId="6EE526DF" w14:textId="5424231C"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A su vez, buscamos atender nuestro eje de Paz, Democracia e Instituciones Fuertes porque cada orden de gobierno debe proteger a los grupos en situación de riesgo, pues hay una presunción de vulnerabilidad que no se debe ignorar, sino al contrario, las instituciones deben responder, accionar y prevenir cualquier tipo de afectación a la dignidad y vida de las personas; en este caso, es evidente que la Secretaría de Gobierno, no está haciendo correcto uso del Mecanismo de Protección para Personas Defensoras de Derechos Humanos y Periodistas, hoy en día, las y los activistas no cuentan con el respaldo del Gobierno Federal, por ello, con este Punto de Acuerdo buscamos fortalecer la aplicación del mecanismo para que la ley se aplique y no sea letra muerta.</w:t>
      </w:r>
    </w:p>
    <w:p w14:paraId="0963D0BA" w14:textId="77777777" w:rsidR="007169B5" w:rsidRPr="00A3055A" w:rsidRDefault="007169B5" w:rsidP="007169B5">
      <w:pPr>
        <w:autoSpaceDE w:val="0"/>
        <w:autoSpaceDN w:val="0"/>
        <w:adjustRightInd w:val="0"/>
        <w:jc w:val="both"/>
        <w:rPr>
          <w:rFonts w:ascii="Abadi" w:hAnsi="Abadi" w:cs="ArialMT"/>
          <w:sz w:val="21"/>
          <w:szCs w:val="21"/>
          <w:lang w:val="es-MX"/>
        </w:rPr>
      </w:pPr>
    </w:p>
    <w:p w14:paraId="6811243B" w14:textId="554B2418"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Me gustaría concluir dirigiéndome a las y los activistas ambientalistas de Guanajuato y de nuestro país; no están solos, en la medida de nuestras atribuciones como legisladores seguiremos impulsando su protección, visibilizando la realidad que hoy viven, no dejaremos que invisibilicen ni minimicen uno de los más grandes problemas que se tienen como país.</w:t>
      </w:r>
    </w:p>
    <w:p w14:paraId="3EB49339" w14:textId="77777777" w:rsidR="007169B5" w:rsidRPr="00A3055A" w:rsidRDefault="007169B5" w:rsidP="007169B5">
      <w:pPr>
        <w:autoSpaceDE w:val="0"/>
        <w:autoSpaceDN w:val="0"/>
        <w:adjustRightInd w:val="0"/>
        <w:jc w:val="both"/>
        <w:rPr>
          <w:rFonts w:ascii="Abadi" w:hAnsi="Abadi" w:cs="ArialMT"/>
          <w:sz w:val="21"/>
          <w:szCs w:val="21"/>
          <w:lang w:val="es-MX"/>
        </w:rPr>
      </w:pPr>
    </w:p>
    <w:p w14:paraId="74A7E8F0" w14:textId="3080B7C4"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Defender el medio ambiente debe realizarse desde el gobierno y desde la ciudadanía, pero en ningún momento debería costarle la vida a nadie, el exigir un derecho humano básico. Desde esta tribuna reconozco a nombre del Grupo Parlamentario del PAN su loable labor y nos solidarizamos con la realidad que hoy vivimos en nuestro país, las autoridades debemos actuar, la Secretaría de Gobierno debe actuar.</w:t>
      </w:r>
    </w:p>
    <w:p w14:paraId="5516ADAC" w14:textId="77777777" w:rsidR="007169B5" w:rsidRPr="00A3055A" w:rsidRDefault="007169B5" w:rsidP="007169B5">
      <w:pPr>
        <w:autoSpaceDE w:val="0"/>
        <w:autoSpaceDN w:val="0"/>
        <w:adjustRightInd w:val="0"/>
        <w:jc w:val="both"/>
        <w:rPr>
          <w:rFonts w:ascii="Abadi" w:hAnsi="Abadi" w:cs="ArialMT"/>
          <w:sz w:val="21"/>
          <w:szCs w:val="21"/>
          <w:lang w:val="es-MX"/>
        </w:rPr>
      </w:pPr>
    </w:p>
    <w:p w14:paraId="68A0228A" w14:textId="77777777" w:rsidR="007169B5" w:rsidRPr="00A3055A" w:rsidRDefault="007169B5" w:rsidP="007169B5">
      <w:pPr>
        <w:autoSpaceDE w:val="0"/>
        <w:autoSpaceDN w:val="0"/>
        <w:adjustRightInd w:val="0"/>
        <w:jc w:val="both"/>
        <w:rPr>
          <w:rFonts w:ascii="Abadi" w:hAnsi="Abadi" w:cs="ArialMT"/>
          <w:sz w:val="21"/>
          <w:szCs w:val="21"/>
          <w:lang w:val="es-MX"/>
        </w:rPr>
      </w:pPr>
      <w:r w:rsidRPr="00A3055A">
        <w:rPr>
          <w:rFonts w:ascii="Abadi" w:hAnsi="Abadi" w:cs="ArialMT"/>
          <w:sz w:val="21"/>
          <w:szCs w:val="21"/>
          <w:lang w:val="es-MX"/>
        </w:rPr>
        <w:t>Por lo anterior, ponemos a consideración de esta Honorable Asamblea el siguiente:</w:t>
      </w:r>
    </w:p>
    <w:p w14:paraId="322FA63A" w14:textId="77777777" w:rsidR="007169B5" w:rsidRPr="00A3055A" w:rsidRDefault="007169B5" w:rsidP="007169B5">
      <w:pPr>
        <w:autoSpaceDE w:val="0"/>
        <w:autoSpaceDN w:val="0"/>
        <w:adjustRightInd w:val="0"/>
        <w:jc w:val="both"/>
        <w:rPr>
          <w:rFonts w:ascii="Abadi" w:hAnsi="Abadi" w:cs="ArialMT"/>
          <w:b/>
          <w:bCs/>
          <w:sz w:val="21"/>
          <w:szCs w:val="21"/>
          <w:lang w:val="es-MX"/>
        </w:rPr>
      </w:pPr>
    </w:p>
    <w:p w14:paraId="6908CE44" w14:textId="77777777" w:rsidR="007169B5" w:rsidRPr="00A3055A" w:rsidRDefault="007169B5" w:rsidP="007169B5">
      <w:pPr>
        <w:autoSpaceDE w:val="0"/>
        <w:autoSpaceDN w:val="0"/>
        <w:adjustRightInd w:val="0"/>
        <w:jc w:val="both"/>
        <w:rPr>
          <w:rFonts w:ascii="Abadi" w:hAnsi="Abadi" w:cs="ArialMT"/>
          <w:b/>
          <w:bCs/>
          <w:sz w:val="21"/>
          <w:szCs w:val="21"/>
          <w:lang w:val="es-MX"/>
        </w:rPr>
      </w:pPr>
    </w:p>
    <w:p w14:paraId="11DE06AF" w14:textId="77777777" w:rsidR="007169B5" w:rsidRPr="00A3055A" w:rsidRDefault="007169B5" w:rsidP="007169B5">
      <w:pPr>
        <w:autoSpaceDE w:val="0"/>
        <w:autoSpaceDN w:val="0"/>
        <w:adjustRightInd w:val="0"/>
        <w:jc w:val="center"/>
        <w:rPr>
          <w:rFonts w:ascii="Abadi" w:hAnsi="Abadi" w:cs="ArialMT"/>
          <w:b/>
          <w:bCs/>
          <w:sz w:val="21"/>
          <w:szCs w:val="21"/>
          <w:lang w:val="es-MX"/>
        </w:rPr>
      </w:pPr>
      <w:r w:rsidRPr="00A3055A">
        <w:rPr>
          <w:rFonts w:ascii="Abadi" w:hAnsi="Abadi" w:cs="ArialMT"/>
          <w:b/>
          <w:bCs/>
          <w:sz w:val="21"/>
          <w:szCs w:val="21"/>
          <w:lang w:val="es-MX"/>
        </w:rPr>
        <w:t>PUNTO DE ACUERDO</w:t>
      </w:r>
    </w:p>
    <w:p w14:paraId="0DB32458" w14:textId="77777777" w:rsidR="007169B5" w:rsidRPr="00A3055A" w:rsidRDefault="007169B5" w:rsidP="007169B5">
      <w:pPr>
        <w:autoSpaceDE w:val="0"/>
        <w:autoSpaceDN w:val="0"/>
        <w:adjustRightInd w:val="0"/>
        <w:jc w:val="both"/>
        <w:rPr>
          <w:rFonts w:ascii="Abadi" w:hAnsi="Abadi" w:cs="ArialMT"/>
          <w:b/>
          <w:bCs/>
          <w:sz w:val="21"/>
          <w:szCs w:val="21"/>
          <w:lang w:val="es-MX"/>
        </w:rPr>
      </w:pPr>
    </w:p>
    <w:p w14:paraId="2C86035C" w14:textId="77777777" w:rsidR="007169B5" w:rsidRPr="00A3055A" w:rsidRDefault="007169B5" w:rsidP="007169B5">
      <w:pPr>
        <w:autoSpaceDE w:val="0"/>
        <w:autoSpaceDN w:val="0"/>
        <w:adjustRightInd w:val="0"/>
        <w:jc w:val="both"/>
        <w:rPr>
          <w:rFonts w:ascii="Abadi" w:hAnsi="Abadi" w:cs="ArialMT"/>
          <w:b/>
          <w:bCs/>
          <w:sz w:val="21"/>
          <w:szCs w:val="21"/>
          <w:lang w:val="es-MX"/>
        </w:rPr>
      </w:pPr>
      <w:r w:rsidRPr="00A3055A">
        <w:rPr>
          <w:rFonts w:ascii="Abadi" w:hAnsi="Abadi" w:cs="ArialMT"/>
          <w:b/>
          <w:bCs/>
          <w:sz w:val="21"/>
          <w:szCs w:val="21"/>
          <w:lang w:val="es-MX"/>
        </w:rPr>
        <w:t>ÚNICO. El Congreso del Estado Libre y Soberano de Guanajuato exhorta a la Secretaría de Gobernación a efecto de que atienda con las medidas de prevención y urgentes las solicitudes de las y los activistas ambientalistas de México.</w:t>
      </w:r>
    </w:p>
    <w:p w14:paraId="2C3BAD86" w14:textId="77777777" w:rsidR="007169B5" w:rsidRPr="00A3055A" w:rsidRDefault="007169B5" w:rsidP="007169B5">
      <w:pPr>
        <w:autoSpaceDE w:val="0"/>
        <w:autoSpaceDN w:val="0"/>
        <w:adjustRightInd w:val="0"/>
        <w:jc w:val="both"/>
        <w:rPr>
          <w:rFonts w:ascii="Abadi" w:hAnsi="Abadi" w:cs="ArialMT"/>
          <w:b/>
          <w:bCs/>
          <w:sz w:val="21"/>
          <w:szCs w:val="21"/>
          <w:lang w:val="es-MX"/>
        </w:rPr>
      </w:pPr>
    </w:p>
    <w:p w14:paraId="087CC400" w14:textId="77777777" w:rsidR="007169B5" w:rsidRPr="00A3055A" w:rsidRDefault="007169B5" w:rsidP="007169B5">
      <w:pPr>
        <w:autoSpaceDE w:val="0"/>
        <w:autoSpaceDN w:val="0"/>
        <w:adjustRightInd w:val="0"/>
        <w:jc w:val="center"/>
        <w:rPr>
          <w:rFonts w:ascii="Abadi" w:hAnsi="Abadi" w:cs="ArialMT"/>
          <w:b/>
          <w:bCs/>
          <w:sz w:val="21"/>
          <w:szCs w:val="21"/>
          <w:lang w:val="es-MX"/>
        </w:rPr>
      </w:pPr>
      <w:r w:rsidRPr="00A3055A">
        <w:rPr>
          <w:rFonts w:ascii="Abadi" w:hAnsi="Abadi" w:cs="ArialMT"/>
          <w:b/>
          <w:bCs/>
          <w:sz w:val="21"/>
          <w:szCs w:val="21"/>
          <w:lang w:val="es-MX"/>
        </w:rPr>
        <w:t xml:space="preserve">Guanajuato, </w:t>
      </w:r>
      <w:proofErr w:type="spellStart"/>
      <w:r w:rsidRPr="00A3055A">
        <w:rPr>
          <w:rFonts w:ascii="Abadi" w:hAnsi="Abadi" w:cs="ArialMT"/>
          <w:b/>
          <w:bCs/>
          <w:sz w:val="21"/>
          <w:szCs w:val="21"/>
          <w:lang w:val="es-MX"/>
        </w:rPr>
        <w:t>Gto</w:t>
      </w:r>
      <w:proofErr w:type="spellEnd"/>
      <w:r w:rsidRPr="00A3055A">
        <w:rPr>
          <w:rFonts w:ascii="Abadi" w:hAnsi="Abadi" w:cs="ArialMT"/>
          <w:b/>
          <w:bCs/>
          <w:sz w:val="21"/>
          <w:szCs w:val="21"/>
          <w:lang w:val="es-MX"/>
        </w:rPr>
        <w:t>., 19 de mayo de 2022.</w:t>
      </w:r>
    </w:p>
    <w:p w14:paraId="5567DFCE" w14:textId="77777777" w:rsidR="007169B5" w:rsidRPr="00A3055A" w:rsidRDefault="007169B5" w:rsidP="007169B5">
      <w:pPr>
        <w:autoSpaceDE w:val="0"/>
        <w:autoSpaceDN w:val="0"/>
        <w:adjustRightInd w:val="0"/>
        <w:jc w:val="center"/>
        <w:rPr>
          <w:rFonts w:ascii="Abadi" w:hAnsi="Abadi" w:cs="ArialMT"/>
          <w:b/>
          <w:bCs/>
          <w:sz w:val="21"/>
          <w:szCs w:val="21"/>
          <w:lang w:val="es-MX"/>
        </w:rPr>
      </w:pPr>
    </w:p>
    <w:p w14:paraId="3577F111" w14:textId="621186A9" w:rsidR="007169B5" w:rsidRPr="00A3055A" w:rsidRDefault="007169B5" w:rsidP="007169B5">
      <w:pPr>
        <w:autoSpaceDE w:val="0"/>
        <w:autoSpaceDN w:val="0"/>
        <w:adjustRightInd w:val="0"/>
        <w:jc w:val="center"/>
        <w:rPr>
          <w:rFonts w:ascii="Abadi" w:hAnsi="Abadi" w:cs="ArialMT"/>
          <w:b/>
          <w:bCs/>
          <w:sz w:val="21"/>
          <w:szCs w:val="21"/>
          <w:lang w:val="es-MX"/>
        </w:rPr>
      </w:pPr>
      <w:r w:rsidRPr="00A3055A">
        <w:rPr>
          <w:rFonts w:ascii="Abadi" w:hAnsi="Abadi" w:cs="ArialMT"/>
          <w:b/>
          <w:bCs/>
          <w:sz w:val="21"/>
          <w:szCs w:val="21"/>
          <w:lang w:val="es-MX"/>
        </w:rPr>
        <w:t>Diputadas y Diputados integrantes del</w:t>
      </w:r>
    </w:p>
    <w:p w14:paraId="5567F470" w14:textId="31FBFDC9" w:rsidR="007169B5" w:rsidRPr="00A3055A" w:rsidRDefault="007169B5" w:rsidP="007169B5">
      <w:pPr>
        <w:autoSpaceDE w:val="0"/>
        <w:autoSpaceDN w:val="0"/>
        <w:adjustRightInd w:val="0"/>
        <w:jc w:val="center"/>
        <w:rPr>
          <w:rFonts w:ascii="Abadi" w:hAnsi="Abadi" w:cs="ArialMT"/>
          <w:b/>
          <w:bCs/>
          <w:sz w:val="21"/>
          <w:szCs w:val="21"/>
          <w:lang w:val="es-MX"/>
        </w:rPr>
      </w:pPr>
      <w:r w:rsidRPr="00A3055A">
        <w:rPr>
          <w:rFonts w:ascii="Abadi" w:hAnsi="Abadi" w:cs="ArialMT"/>
          <w:b/>
          <w:bCs/>
          <w:sz w:val="21"/>
          <w:szCs w:val="21"/>
          <w:lang w:val="es-MX"/>
        </w:rPr>
        <w:t>Grupo Parlamentario del Partido Acción Nacional</w:t>
      </w:r>
    </w:p>
    <w:p w14:paraId="2B43D845" w14:textId="58AEFD14" w:rsidR="00925E69" w:rsidRPr="00A3055A" w:rsidRDefault="00925E69" w:rsidP="007169B5">
      <w:pPr>
        <w:autoSpaceDE w:val="0"/>
        <w:autoSpaceDN w:val="0"/>
        <w:adjustRightInd w:val="0"/>
        <w:jc w:val="center"/>
        <w:rPr>
          <w:rFonts w:ascii="Abadi" w:hAnsi="Abadi" w:cs="ArialMT"/>
          <w:b/>
          <w:bCs/>
          <w:sz w:val="21"/>
          <w:szCs w:val="21"/>
          <w:lang w:val="es-MX"/>
        </w:rPr>
      </w:pPr>
    </w:p>
    <w:p w14:paraId="4C2FD4FC" w14:textId="77777777" w:rsidR="003C4A58" w:rsidRPr="00A3055A" w:rsidRDefault="003C4A58" w:rsidP="007169B5">
      <w:pPr>
        <w:autoSpaceDE w:val="0"/>
        <w:autoSpaceDN w:val="0"/>
        <w:adjustRightInd w:val="0"/>
        <w:jc w:val="center"/>
        <w:rPr>
          <w:rFonts w:ascii="Abadi" w:hAnsi="Abadi" w:cs="ArialMT"/>
          <w:b/>
          <w:bCs/>
          <w:sz w:val="21"/>
          <w:szCs w:val="21"/>
          <w:lang w:val="es-MX"/>
        </w:rPr>
      </w:pPr>
    </w:p>
    <w:p w14:paraId="09206AF2" w14:textId="77777777" w:rsidR="00925E69" w:rsidRPr="00A3055A" w:rsidRDefault="00925E69" w:rsidP="00925E69">
      <w:pPr>
        <w:contextualSpacing/>
        <w:jc w:val="center"/>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Luis Ernesto Ayala Torres.</w:t>
      </w:r>
    </w:p>
    <w:p w14:paraId="3BB38814" w14:textId="1B9D5656" w:rsidR="00925E69" w:rsidRPr="00A3055A" w:rsidRDefault="00925E69" w:rsidP="00925E69">
      <w:pPr>
        <w:contextualSpacing/>
        <w:jc w:val="center"/>
        <w:rPr>
          <w:rFonts w:ascii="Abadi" w:hAnsi="Abadi" w:cs="ArialMT"/>
          <w:b/>
          <w:bCs/>
          <w:sz w:val="21"/>
          <w:szCs w:val="21"/>
          <w:lang w:val="es-MX"/>
        </w:rPr>
      </w:pPr>
      <w:r w:rsidRPr="00A3055A">
        <w:rPr>
          <w:rFonts w:ascii="Abadi" w:hAnsi="Abadi" w:cs="ArialMT"/>
          <w:b/>
          <w:bCs/>
          <w:sz w:val="21"/>
          <w:szCs w:val="21"/>
          <w:lang w:val="es-MX"/>
        </w:rPr>
        <w:t>Coordinador</w:t>
      </w:r>
    </w:p>
    <w:p w14:paraId="717829A6"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Rolando Fortino Alcántar Rojas </w:t>
      </w:r>
    </w:p>
    <w:p w14:paraId="29E2C2F6"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Bricio Balderas Álvarez </w:t>
      </w:r>
    </w:p>
    <w:p w14:paraId="7B5E225E"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Susana Bermúdez Cano </w:t>
      </w:r>
    </w:p>
    <w:p w14:paraId="65596988"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José Alfonso Borja Pimentel </w:t>
      </w:r>
    </w:p>
    <w:p w14:paraId="32326A23"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Angélica Casilla Martínez </w:t>
      </w:r>
    </w:p>
    <w:p w14:paraId="531E917D"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Martha Guadalupe Hernández Camarena </w:t>
      </w:r>
    </w:p>
    <w:p w14:paraId="56C03AE8"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María de la Luz Hernández Martínez </w:t>
      </w:r>
    </w:p>
    <w:p w14:paraId="27A0AF99"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César Larrondo Díaz </w:t>
      </w:r>
    </w:p>
    <w:p w14:paraId="5A7D47D6"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Martín López Camacho </w:t>
      </w:r>
    </w:p>
    <w:p w14:paraId="1339D2FB"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Briseida Anabel Magdaleno González </w:t>
      </w:r>
    </w:p>
    <w:p w14:paraId="2C5FB2CA"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Laura Cristina Márquez Alcalá </w:t>
      </w:r>
    </w:p>
    <w:p w14:paraId="6E5AAD6C"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Dp</w:t>
      </w:r>
      <w:proofErr w:type="spellEnd"/>
      <w:r w:rsidRPr="00A3055A">
        <w:rPr>
          <w:rFonts w:ascii="Abadi" w:hAnsi="Abadi" w:cs="ArialMT"/>
          <w:b/>
          <w:bCs/>
          <w:sz w:val="21"/>
          <w:szCs w:val="21"/>
          <w:lang w:val="es-MX"/>
        </w:rPr>
        <w:t xml:space="preserve">. Aldo Iván Márquez Becerra </w:t>
      </w:r>
    </w:p>
    <w:p w14:paraId="27BBF15C"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Noemí Márquez </w:t>
      </w:r>
      <w:proofErr w:type="spellStart"/>
      <w:r w:rsidRPr="00A3055A">
        <w:rPr>
          <w:rFonts w:ascii="Abadi" w:hAnsi="Abadi" w:cs="ArialMT"/>
          <w:b/>
          <w:bCs/>
          <w:sz w:val="21"/>
          <w:szCs w:val="21"/>
          <w:lang w:val="es-MX"/>
        </w:rPr>
        <w:t>Márquez</w:t>
      </w:r>
      <w:proofErr w:type="spellEnd"/>
      <w:r w:rsidRPr="00A3055A">
        <w:rPr>
          <w:rFonts w:ascii="Abadi" w:hAnsi="Abadi" w:cs="ArialMT"/>
          <w:b/>
          <w:bCs/>
          <w:sz w:val="21"/>
          <w:szCs w:val="21"/>
          <w:lang w:val="es-MX"/>
        </w:rPr>
        <w:t xml:space="preserve"> </w:t>
      </w:r>
    </w:p>
    <w:p w14:paraId="70272A44"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Janet Melanie Murillo Chávez </w:t>
      </w:r>
    </w:p>
    <w:p w14:paraId="298D565C"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Jorge Ortiz Ortega </w:t>
      </w:r>
    </w:p>
    <w:p w14:paraId="2E36D161"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Armando Daniel Hernández </w:t>
      </w:r>
    </w:p>
    <w:p w14:paraId="080B346F"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Lilia </w:t>
      </w:r>
      <w:proofErr w:type="gramStart"/>
      <w:r w:rsidRPr="00A3055A">
        <w:rPr>
          <w:rFonts w:ascii="Abadi" w:hAnsi="Abadi" w:cs="ArialMT"/>
          <w:b/>
          <w:bCs/>
          <w:sz w:val="21"/>
          <w:szCs w:val="21"/>
          <w:lang w:val="es-MX"/>
        </w:rPr>
        <w:t>Margarita  Rionda</w:t>
      </w:r>
      <w:proofErr w:type="gramEnd"/>
      <w:r w:rsidRPr="00A3055A">
        <w:rPr>
          <w:rFonts w:ascii="Abadi" w:hAnsi="Abadi" w:cs="ArialMT"/>
          <w:b/>
          <w:bCs/>
          <w:sz w:val="21"/>
          <w:szCs w:val="21"/>
          <w:lang w:val="es-MX"/>
        </w:rPr>
        <w:t xml:space="preserve"> Salas </w:t>
      </w:r>
    </w:p>
    <w:p w14:paraId="30E730A9" w14:textId="77777777" w:rsidR="00925E69" w:rsidRPr="00A3055A" w:rsidRDefault="00925E69" w:rsidP="00925E69">
      <w:pPr>
        <w:contextualSpacing/>
        <w:rPr>
          <w:rFonts w:ascii="Abadi" w:hAnsi="Abadi" w:cs="ArialMT"/>
          <w:b/>
          <w:bCs/>
          <w:sz w:val="21"/>
          <w:szCs w:val="21"/>
          <w:lang w:val="es-MX"/>
        </w:rPr>
      </w:pPr>
      <w:proofErr w:type="spellStart"/>
      <w:r w:rsidRPr="00A3055A">
        <w:rPr>
          <w:rFonts w:ascii="Abadi" w:hAnsi="Abadi" w:cs="ArialMT"/>
          <w:b/>
          <w:bCs/>
          <w:sz w:val="21"/>
          <w:szCs w:val="21"/>
          <w:lang w:val="es-MX"/>
        </w:rPr>
        <w:t>Dip</w:t>
      </w:r>
      <w:proofErr w:type="spellEnd"/>
      <w:r w:rsidRPr="00A3055A">
        <w:rPr>
          <w:rFonts w:ascii="Abadi" w:hAnsi="Abadi" w:cs="ArialMT"/>
          <w:b/>
          <w:bCs/>
          <w:sz w:val="21"/>
          <w:szCs w:val="21"/>
          <w:lang w:val="es-MX"/>
        </w:rPr>
        <w:t xml:space="preserve">. Miguel </w:t>
      </w:r>
      <w:proofErr w:type="gramStart"/>
      <w:r w:rsidRPr="00A3055A">
        <w:rPr>
          <w:rFonts w:ascii="Abadi" w:hAnsi="Abadi" w:cs="ArialMT"/>
          <w:b/>
          <w:bCs/>
          <w:sz w:val="21"/>
          <w:szCs w:val="21"/>
          <w:lang w:val="es-MX"/>
        </w:rPr>
        <w:t>Ángel  Salim</w:t>
      </w:r>
      <w:proofErr w:type="gramEnd"/>
      <w:r w:rsidRPr="00A3055A">
        <w:rPr>
          <w:rFonts w:ascii="Abadi" w:hAnsi="Abadi" w:cs="ArialMT"/>
          <w:b/>
          <w:bCs/>
          <w:sz w:val="21"/>
          <w:szCs w:val="21"/>
          <w:lang w:val="es-MX"/>
        </w:rPr>
        <w:t xml:space="preserve"> </w:t>
      </w:r>
      <w:proofErr w:type="spellStart"/>
      <w:r w:rsidRPr="00A3055A">
        <w:rPr>
          <w:rFonts w:ascii="Abadi" w:hAnsi="Abadi" w:cs="ArialMT"/>
          <w:b/>
          <w:bCs/>
          <w:sz w:val="21"/>
          <w:szCs w:val="21"/>
          <w:lang w:val="es-MX"/>
        </w:rPr>
        <w:t>Alle</w:t>
      </w:r>
      <w:proofErr w:type="spellEnd"/>
      <w:r w:rsidRPr="00A3055A">
        <w:rPr>
          <w:rFonts w:ascii="Abadi" w:hAnsi="Abadi" w:cs="ArialMT"/>
          <w:b/>
          <w:bCs/>
          <w:sz w:val="21"/>
          <w:szCs w:val="21"/>
          <w:lang w:val="es-MX"/>
        </w:rPr>
        <w:t xml:space="preserve"> </w:t>
      </w:r>
    </w:p>
    <w:p w14:paraId="30428EEC" w14:textId="12B7434B" w:rsidR="00925E69" w:rsidRPr="00925E69" w:rsidRDefault="00925E69" w:rsidP="00925E69">
      <w:pPr>
        <w:contextualSpacing/>
        <w:rPr>
          <w:rFonts w:ascii="Abadi" w:hAnsi="Abadi" w:cs="ArialMT"/>
          <w:b/>
          <w:bCs/>
          <w:sz w:val="20"/>
          <w:szCs w:val="21"/>
          <w:lang w:val="es-MX"/>
        </w:rPr>
      </w:pPr>
      <w:proofErr w:type="spellStart"/>
      <w:r w:rsidRPr="00925E69">
        <w:rPr>
          <w:rFonts w:ascii="Abadi" w:hAnsi="Abadi" w:cs="ArialMT"/>
          <w:b/>
          <w:bCs/>
          <w:sz w:val="20"/>
          <w:szCs w:val="21"/>
          <w:lang w:val="es-MX"/>
        </w:rPr>
        <w:t>Dip</w:t>
      </w:r>
      <w:proofErr w:type="spellEnd"/>
      <w:r w:rsidRPr="00925E69">
        <w:rPr>
          <w:rFonts w:ascii="Abadi" w:hAnsi="Abadi" w:cs="ArialMT"/>
          <w:b/>
          <w:bCs/>
          <w:sz w:val="20"/>
          <w:szCs w:val="21"/>
          <w:lang w:val="es-MX"/>
        </w:rPr>
        <w:t xml:space="preserve">. </w:t>
      </w:r>
      <w:proofErr w:type="gramStart"/>
      <w:r w:rsidRPr="00925E69">
        <w:rPr>
          <w:rFonts w:ascii="Abadi" w:hAnsi="Abadi" w:cs="ArialMT"/>
          <w:b/>
          <w:bCs/>
          <w:sz w:val="20"/>
          <w:szCs w:val="21"/>
          <w:lang w:val="es-MX"/>
        </w:rPr>
        <w:t>Cristina  Soto</w:t>
      </w:r>
      <w:proofErr w:type="gramEnd"/>
      <w:r w:rsidRPr="00925E69">
        <w:rPr>
          <w:rFonts w:ascii="Abadi" w:hAnsi="Abadi" w:cs="ArialMT"/>
          <w:b/>
          <w:bCs/>
          <w:sz w:val="20"/>
          <w:szCs w:val="21"/>
          <w:lang w:val="es-MX"/>
        </w:rPr>
        <w:t xml:space="preserve"> Escamilla                                 </w:t>
      </w:r>
    </w:p>
    <w:p w14:paraId="0471D12D" w14:textId="1BF2166E" w:rsidR="00925E69" w:rsidRDefault="00925E69" w:rsidP="00925E69">
      <w:pPr>
        <w:contextualSpacing/>
        <w:rPr>
          <w:b/>
          <w:bCs/>
        </w:rPr>
      </w:pPr>
      <w:proofErr w:type="spellStart"/>
      <w:r w:rsidRPr="00925E69">
        <w:rPr>
          <w:rFonts w:ascii="Abadi" w:hAnsi="Abadi" w:cs="ArialMT"/>
          <w:b/>
          <w:bCs/>
          <w:sz w:val="20"/>
          <w:szCs w:val="21"/>
          <w:lang w:val="es-MX"/>
        </w:rPr>
        <w:t>Dip</w:t>
      </w:r>
      <w:proofErr w:type="spellEnd"/>
      <w:r w:rsidRPr="00925E69">
        <w:rPr>
          <w:rFonts w:ascii="Abadi" w:hAnsi="Abadi" w:cs="ArialMT"/>
          <w:b/>
          <w:bCs/>
          <w:sz w:val="20"/>
          <w:szCs w:val="21"/>
          <w:lang w:val="es-MX"/>
        </w:rPr>
        <w:t>. Víctor Manuel Zanella Huerta</w:t>
      </w:r>
      <w:r>
        <w:rPr>
          <w:b/>
          <w:bCs/>
        </w:rPr>
        <w:t xml:space="preserve"> </w:t>
      </w:r>
    </w:p>
    <w:p w14:paraId="315345B7" w14:textId="62A64975" w:rsidR="005B1C76" w:rsidRDefault="005B1C76" w:rsidP="00925E69">
      <w:pPr>
        <w:contextualSpacing/>
        <w:rPr>
          <w:b/>
          <w:bCs/>
        </w:rPr>
      </w:pPr>
    </w:p>
    <w:p w14:paraId="00B4CE67" w14:textId="2F8C21EA" w:rsidR="005B1C76" w:rsidRDefault="00D52619" w:rsidP="00D52619">
      <w:pPr>
        <w:pStyle w:val="NormalWeb"/>
        <w:ind w:firstLine="708"/>
        <w:jc w:val="both"/>
        <w:rPr>
          <w:rFonts w:ascii="Abadi" w:hAnsi="Abadi"/>
          <w:sz w:val="21"/>
          <w:szCs w:val="21"/>
        </w:rPr>
      </w:pPr>
      <w:r>
        <w:rPr>
          <w:rFonts w:ascii="Abadi" w:hAnsi="Abadi"/>
          <w:b/>
          <w:bCs/>
          <w:sz w:val="21"/>
          <w:szCs w:val="21"/>
        </w:rPr>
        <w:t xml:space="preserve">- </w:t>
      </w:r>
      <w:r w:rsidR="005B1C76" w:rsidRPr="00F7482F">
        <w:rPr>
          <w:rFonts w:ascii="Abadi" w:hAnsi="Abadi"/>
          <w:b/>
          <w:bCs/>
          <w:sz w:val="21"/>
          <w:szCs w:val="21"/>
        </w:rPr>
        <w:t xml:space="preserve">La </w:t>
      </w:r>
      <w:proofErr w:type="gramStart"/>
      <w:r w:rsidR="005B1C76" w:rsidRPr="00F7482F">
        <w:rPr>
          <w:rFonts w:ascii="Abadi" w:hAnsi="Abadi"/>
          <w:b/>
          <w:bCs/>
          <w:sz w:val="21"/>
          <w:szCs w:val="21"/>
        </w:rPr>
        <w:t>Presidencia.-</w:t>
      </w:r>
      <w:proofErr w:type="gramEnd"/>
      <w:r w:rsidR="005B1C76">
        <w:rPr>
          <w:rFonts w:ascii="Abadi" w:hAnsi="Abadi"/>
          <w:sz w:val="21"/>
          <w:szCs w:val="21"/>
        </w:rPr>
        <w:t xml:space="preserve"> S</w:t>
      </w:r>
      <w:r w:rsidR="005B1C76" w:rsidRPr="0021199F">
        <w:rPr>
          <w:rFonts w:ascii="Abadi" w:hAnsi="Abadi"/>
          <w:sz w:val="21"/>
          <w:szCs w:val="21"/>
        </w:rPr>
        <w:t>e pide al diputado César Larrondo Día</w:t>
      </w:r>
      <w:r w:rsidR="005B1C76">
        <w:rPr>
          <w:rFonts w:ascii="Abadi" w:hAnsi="Abadi"/>
          <w:sz w:val="21"/>
          <w:szCs w:val="21"/>
        </w:rPr>
        <w:t>z,</w:t>
      </w:r>
      <w:r w:rsidR="005B1C76" w:rsidRPr="0021199F">
        <w:rPr>
          <w:rFonts w:ascii="Abadi" w:hAnsi="Abadi"/>
          <w:sz w:val="21"/>
          <w:szCs w:val="21"/>
        </w:rPr>
        <w:t xml:space="preserve"> </w:t>
      </w:r>
      <w:r w:rsidR="005B1C76">
        <w:rPr>
          <w:rFonts w:ascii="Abadi" w:hAnsi="Abadi"/>
          <w:sz w:val="21"/>
          <w:szCs w:val="21"/>
        </w:rPr>
        <w:t>dar</w:t>
      </w:r>
      <w:r w:rsidR="005B1C76" w:rsidRPr="0021199F">
        <w:rPr>
          <w:rFonts w:ascii="Abadi" w:hAnsi="Abadi"/>
          <w:sz w:val="21"/>
          <w:szCs w:val="21"/>
        </w:rPr>
        <w:t xml:space="preserve"> lectura en la propuesta de </w:t>
      </w:r>
      <w:r w:rsidR="005B1C76">
        <w:rPr>
          <w:rFonts w:ascii="Abadi" w:hAnsi="Abadi"/>
          <w:sz w:val="21"/>
          <w:szCs w:val="21"/>
        </w:rPr>
        <w:t>P</w:t>
      </w:r>
      <w:r w:rsidR="005B1C76" w:rsidRPr="009A066A">
        <w:rPr>
          <w:rFonts w:ascii="Abadi" w:hAnsi="Abadi"/>
          <w:color w:val="auto"/>
          <w:sz w:val="21"/>
          <w:szCs w:val="21"/>
        </w:rPr>
        <w:t xml:space="preserve">unto de </w:t>
      </w:r>
      <w:r w:rsidR="005B1C76">
        <w:rPr>
          <w:rFonts w:ascii="Abadi" w:hAnsi="Abadi"/>
          <w:sz w:val="21"/>
          <w:szCs w:val="21"/>
        </w:rPr>
        <w:t>A</w:t>
      </w:r>
      <w:r w:rsidR="005B1C76" w:rsidRPr="009A066A">
        <w:rPr>
          <w:rFonts w:ascii="Abadi" w:hAnsi="Abadi"/>
          <w:color w:val="auto"/>
          <w:sz w:val="21"/>
          <w:szCs w:val="21"/>
        </w:rPr>
        <w:t>cuerdo suscrita por diputadas y diputados integrantes del Grupo Parlamentario del Partido Acción Nacional a fin de exhortar a la Secretaría de Gobernación para que atienda con las medidas de prevención y urgentes las solicitudes de las y los activistas ambientalistas de México</w:t>
      </w:r>
      <w:r w:rsidR="005B1C76">
        <w:rPr>
          <w:rFonts w:ascii="Abadi" w:hAnsi="Abadi"/>
          <w:sz w:val="21"/>
          <w:szCs w:val="21"/>
        </w:rPr>
        <w:t>.</w:t>
      </w:r>
    </w:p>
    <w:p w14:paraId="335EE3C4" w14:textId="7FBD4C4F" w:rsidR="005B1C76" w:rsidRDefault="00461C3D" w:rsidP="00461C3D">
      <w:pPr>
        <w:pStyle w:val="NormalWeb"/>
        <w:ind w:firstLine="708"/>
        <w:jc w:val="both"/>
        <w:rPr>
          <w:rFonts w:ascii="Abadi" w:hAnsi="Abadi"/>
          <w:sz w:val="21"/>
          <w:szCs w:val="21"/>
        </w:rPr>
      </w:pPr>
      <w:r>
        <w:rPr>
          <w:rFonts w:ascii="Abadi" w:hAnsi="Abadi"/>
          <w:sz w:val="21"/>
          <w:szCs w:val="21"/>
        </w:rPr>
        <w:t xml:space="preserve">- </w:t>
      </w:r>
      <w:r w:rsidR="005B1C76" w:rsidRPr="0021199F">
        <w:rPr>
          <w:rFonts w:ascii="Abadi" w:hAnsi="Abadi"/>
          <w:sz w:val="21"/>
          <w:szCs w:val="21"/>
        </w:rPr>
        <w:t>Adelante</w:t>
      </w:r>
      <w:r w:rsidR="005B1C76">
        <w:rPr>
          <w:rFonts w:ascii="Abadi" w:hAnsi="Abadi"/>
          <w:sz w:val="21"/>
          <w:szCs w:val="21"/>
        </w:rPr>
        <w:t xml:space="preserve"> </w:t>
      </w:r>
      <w:r w:rsidR="005B1C76" w:rsidRPr="0021199F">
        <w:rPr>
          <w:rFonts w:ascii="Abadi" w:hAnsi="Abadi"/>
          <w:sz w:val="21"/>
          <w:szCs w:val="21"/>
        </w:rPr>
        <w:t>Diputado.</w:t>
      </w:r>
    </w:p>
    <w:p w14:paraId="5A549F55" w14:textId="77777777" w:rsidR="005B1C76" w:rsidRPr="00E05B76" w:rsidRDefault="005B1C76" w:rsidP="00D52619">
      <w:pPr>
        <w:pStyle w:val="NormalWeb"/>
        <w:jc w:val="center"/>
        <w:rPr>
          <w:rFonts w:ascii="Abadi" w:hAnsi="Abadi"/>
          <w:b/>
          <w:bCs/>
          <w:sz w:val="21"/>
          <w:szCs w:val="21"/>
        </w:rPr>
      </w:pPr>
      <w:r w:rsidRPr="00E05B76">
        <w:rPr>
          <w:rFonts w:ascii="Abadi" w:hAnsi="Abadi"/>
          <w:b/>
          <w:bCs/>
          <w:sz w:val="21"/>
          <w:szCs w:val="21"/>
        </w:rPr>
        <w:t>(Posicionamiento)</w:t>
      </w:r>
    </w:p>
    <w:p w14:paraId="7B717001" w14:textId="5AF0DAC4" w:rsidR="005B1C76" w:rsidRPr="00E05B76" w:rsidRDefault="00D52619" w:rsidP="005B1C76">
      <w:pPr>
        <w:pStyle w:val="NormalWeb"/>
        <w:jc w:val="both"/>
        <w:rPr>
          <w:rFonts w:ascii="Abadi" w:hAnsi="Abadi"/>
          <w:b/>
          <w:bCs/>
          <w:sz w:val="21"/>
          <w:szCs w:val="21"/>
        </w:rPr>
      </w:pPr>
      <w:r>
        <w:rPr>
          <w:noProof/>
        </w:rPr>
        <w:drawing>
          <wp:anchor distT="0" distB="0" distL="114300" distR="114300" simplePos="0" relativeHeight="251658242" behindDoc="1" locked="0" layoutInCell="1" allowOverlap="1" wp14:anchorId="3B24FC5A" wp14:editId="3105D2B7">
            <wp:simplePos x="0" y="0"/>
            <wp:positionH relativeFrom="column">
              <wp:posOffset>322244</wp:posOffset>
            </wp:positionH>
            <wp:positionV relativeFrom="paragraph">
              <wp:posOffset>443230</wp:posOffset>
            </wp:positionV>
            <wp:extent cx="2051290" cy="1062575"/>
            <wp:effectExtent l="19050" t="114300" r="0" b="823595"/>
            <wp:wrapTight wrapText="bothSides">
              <wp:wrapPolygon edited="0">
                <wp:start x="201" y="-2324"/>
                <wp:lineTo x="-201" y="3873"/>
                <wp:lineTo x="401" y="37958"/>
                <wp:lineTo x="1806" y="37958"/>
                <wp:lineTo x="2006" y="37184"/>
                <wp:lineTo x="12238" y="35634"/>
                <wp:lineTo x="14445" y="35634"/>
                <wp:lineTo x="20263" y="30986"/>
                <wp:lineTo x="20062" y="-2324"/>
                <wp:lineTo x="201" y="-2324"/>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b="7904"/>
                    <a:stretch/>
                  </pic:blipFill>
                  <pic:spPr bwMode="auto">
                    <a:xfrm>
                      <a:off x="0" y="0"/>
                      <a:ext cx="2051290" cy="106257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49E2E314" w14:textId="5A85D2B2" w:rsidR="005B1C76" w:rsidRDefault="005B1C76" w:rsidP="005B1C76">
      <w:pPr>
        <w:pStyle w:val="NormalWeb"/>
        <w:jc w:val="both"/>
        <w:rPr>
          <w:rFonts w:ascii="Abadi" w:hAnsi="Abadi"/>
          <w:b/>
          <w:bCs/>
          <w:sz w:val="21"/>
          <w:szCs w:val="21"/>
        </w:rPr>
      </w:pPr>
    </w:p>
    <w:p w14:paraId="1FC52A2F" w14:textId="33E00A01" w:rsidR="00D52619" w:rsidRDefault="00D52619" w:rsidP="005B1C76">
      <w:pPr>
        <w:pStyle w:val="NormalWeb"/>
        <w:jc w:val="both"/>
        <w:rPr>
          <w:rFonts w:ascii="Abadi" w:hAnsi="Abadi"/>
          <w:b/>
          <w:bCs/>
          <w:sz w:val="21"/>
          <w:szCs w:val="21"/>
        </w:rPr>
      </w:pPr>
    </w:p>
    <w:p w14:paraId="2C7BE535" w14:textId="77777777" w:rsidR="005B1C76" w:rsidRDefault="005B1C76" w:rsidP="00D52619">
      <w:pPr>
        <w:pStyle w:val="NormalWeb"/>
        <w:jc w:val="center"/>
        <w:rPr>
          <w:rFonts w:ascii="Abadi" w:hAnsi="Abadi"/>
          <w:b/>
          <w:bCs/>
          <w:sz w:val="21"/>
          <w:szCs w:val="21"/>
        </w:rPr>
      </w:pPr>
      <w:r w:rsidRPr="00E05B76">
        <w:rPr>
          <w:rFonts w:ascii="Abadi" w:hAnsi="Abadi"/>
          <w:b/>
          <w:bCs/>
          <w:sz w:val="21"/>
          <w:szCs w:val="21"/>
        </w:rPr>
        <w:t>- Diputado César Larrondo Díaz</w:t>
      </w:r>
      <w:r>
        <w:rPr>
          <w:rFonts w:ascii="Abadi" w:hAnsi="Abadi"/>
          <w:b/>
          <w:bCs/>
          <w:sz w:val="21"/>
          <w:szCs w:val="21"/>
        </w:rPr>
        <w:t xml:space="preserve"> -</w:t>
      </w:r>
    </w:p>
    <w:p w14:paraId="2814DA14" w14:textId="77777777" w:rsidR="005B1C76" w:rsidRPr="000F1D30" w:rsidRDefault="005B1C76" w:rsidP="005B1C76">
      <w:pPr>
        <w:pStyle w:val="NormalWeb"/>
        <w:jc w:val="both"/>
        <w:rPr>
          <w:rFonts w:ascii="Abadi" w:hAnsi="Abadi"/>
          <w:sz w:val="21"/>
          <w:szCs w:val="21"/>
        </w:rPr>
      </w:pPr>
      <w:r>
        <w:rPr>
          <w:rFonts w:ascii="Abadi" w:hAnsi="Abadi"/>
          <w:sz w:val="21"/>
          <w:szCs w:val="21"/>
        </w:rPr>
        <w:t xml:space="preserve">- </w:t>
      </w:r>
      <w:r w:rsidRPr="000F1D30">
        <w:rPr>
          <w:rFonts w:ascii="Abadi" w:hAnsi="Abadi"/>
          <w:sz w:val="21"/>
          <w:szCs w:val="21"/>
        </w:rPr>
        <w:t>Muchas gracias Presidenta, muy buenos días con el permiso de la Mesa que nos preside, buenos días y saludo a Yulma que no la había saludado, bueno y también a Irma, verdad, muchas gracias, además pues que qué mejor que hoy 19 de mayo haya caído en jueves y en sesión, y pues orgulloso de ser Tauro, ah y luego traemos ahí el del Medio Ambiente con la corrida de toros, soy Tauro diputada, diputado, entonces ni modo me van a tener que torear un rato en esa iniciativa por ser tauro.</w:t>
      </w:r>
    </w:p>
    <w:p w14:paraId="42FEF11B" w14:textId="77777777" w:rsidR="005B1C76" w:rsidRPr="000F1D30" w:rsidRDefault="005B1C76" w:rsidP="005B1C76">
      <w:pPr>
        <w:pStyle w:val="NormalWeb"/>
        <w:jc w:val="both"/>
        <w:rPr>
          <w:rFonts w:ascii="Abadi" w:hAnsi="Abadi"/>
          <w:sz w:val="21"/>
          <w:szCs w:val="21"/>
        </w:rPr>
      </w:pPr>
      <w:r w:rsidRPr="000F1D30">
        <w:rPr>
          <w:rFonts w:ascii="Abadi" w:hAnsi="Abadi"/>
          <w:sz w:val="21"/>
          <w:szCs w:val="21"/>
        </w:rPr>
        <w:t xml:space="preserve">- Si seguimos con eso eh total al cabo aquí si no corre tiempo así de que a las 10 minutos verdad órale pues. </w:t>
      </w:r>
    </w:p>
    <w:p w14:paraId="4974695B" w14:textId="77777777" w:rsidR="005B1C76" w:rsidRPr="000F1D30" w:rsidRDefault="005B1C76" w:rsidP="005B1C76">
      <w:pPr>
        <w:pStyle w:val="NormalWeb"/>
        <w:jc w:val="both"/>
        <w:rPr>
          <w:rFonts w:ascii="Abadi" w:hAnsi="Abadi"/>
          <w:sz w:val="21"/>
          <w:szCs w:val="21"/>
        </w:rPr>
      </w:pPr>
      <w:r w:rsidRPr="000F1D30">
        <w:rPr>
          <w:rFonts w:ascii="Abadi" w:hAnsi="Abadi"/>
          <w:sz w:val="21"/>
          <w:szCs w:val="21"/>
        </w:rPr>
        <w:t xml:space="preserve">- Muy buenos días a todas y a todos que con el gusto de saludarles a los medios de comunicación a los ciudadanos que se encuentran hoy en este recinto a los que nos ven a través de las plataformas digitales y nos siguen que ojalá ya cada día sean más. </w:t>
      </w:r>
    </w:p>
    <w:p w14:paraId="11FAAC04" w14:textId="77777777" w:rsidR="005B1C76" w:rsidRPr="000F1D30" w:rsidRDefault="005B1C76" w:rsidP="005B1C76">
      <w:pPr>
        <w:pStyle w:val="NormalWeb"/>
        <w:jc w:val="both"/>
        <w:rPr>
          <w:rFonts w:ascii="Abadi" w:hAnsi="Abadi"/>
          <w:sz w:val="21"/>
          <w:szCs w:val="21"/>
        </w:rPr>
      </w:pPr>
      <w:r w:rsidRPr="000F1D30">
        <w:rPr>
          <w:rFonts w:ascii="Abadi" w:hAnsi="Abadi"/>
          <w:sz w:val="21"/>
          <w:szCs w:val="21"/>
        </w:rPr>
        <w:t>- Quienes integramos el Grupo Parlamentario de Acción Nacional ante la Sexagésima Quina Legislatura, del Congreso del Estado Libre y Soberano de Guanajuato con fundamento en lo dispuesto por el artículo 57 primer párrafo de la Constitución Política para el Estado de Guanajuato y 204 fracción tercera de la Ley Orgánica del Poder Legislativo del Estado de Guanajuato nos permitimos presentar a someter a la consideración de esta Honorable Asamblea la presente propuesta de punto de acuerdo mediante el cual el Congreso del Estado Libre y Soberano de Guanajuato exhorta a la Secretaría de Gobernación a efecto de que atienda con las medidas de prevención y urgentes las solicitudes de las y los activistas ambientalistas en nuestro país lo anterior de conformidad a las siguientes consideraciones actualmente México es el segundo país más peligroso del mundo para activistas y ambientalistas la fecha desde el 2018 a la fecha más de 45 ambientalista han sido asesinados y asesinadas sin embargo de acuerdo a la ONG centro mexicano de derecho ambiental al menos 58 ambientalistas han muerto incluso resaltando que el XXI ha sido el año más violento para la profesión defender el derecho del medio ambiente sano el derecho en un medio ambiente sano es nuestras razones en estas, zonas naturales en México ahora es peligroso el principal problema es la falta de atención que se presenta a esta problemática pues el Gobierno Federal se ha distinguido por perseguir políticamente a toda persona que opine  distinto a él ya sean feministas defensores, de Derechos Humanos políticos periodistas, o en este caso ambientalistas, demostrar que el Gobierno Federal está en contra del medio ambiente y todas y todos aquellos que buscan protegerlos que puede demostrar con  dos  vertientes con lo que dicen y con lo que  hacen, la primera en lo que dicen no se trata de suposiciones ni de otros datos sino con sus propias palabras en las redes sociales oficiales de su Gobierno o en sus mañaneras o en entrevistas públicas por dar un ejemplo en la mañana del miércoles 23 de marzo de este año llamo seudo ambientalistas,  a las y a los defensores del medio ambiente a quienes se sumaron diversas personas entre ellas artista y famosos que se pronunciaron en contra en la construcción del tren maya</w:t>
      </w:r>
    </w:p>
    <w:p w14:paraId="58A5D4C4" w14:textId="77777777" w:rsidR="005B1C76" w:rsidRPr="000F1D30" w:rsidRDefault="005B1C76" w:rsidP="005B1C76">
      <w:pPr>
        <w:pStyle w:val="NormalWeb"/>
        <w:jc w:val="both"/>
        <w:rPr>
          <w:rFonts w:ascii="Abadi" w:hAnsi="Abadi"/>
          <w:sz w:val="21"/>
          <w:szCs w:val="21"/>
        </w:rPr>
      </w:pPr>
      <w:r w:rsidRPr="000F1D30">
        <w:rPr>
          <w:rFonts w:ascii="Abadi" w:hAnsi="Abadi"/>
          <w:sz w:val="21"/>
          <w:szCs w:val="21"/>
        </w:rPr>
        <w:t xml:space="preserve">-  Por su parte el presidente de la República se dedicó a criticar el trabajo tan noble que realizan las y los defensores ambientalistas incluso un par de días después desde la cuenta de la Secretaría del Medio Ambiente y Recursos Naturales SEMARNAT en sus siglas, una dependencia gubernamental que en teoría debería de construir una política de Estado de protección ambiental y fomentar que la ciudadanía Participe en la misma lejos de ello opta por demeritar agredir y perseguir al llamar nuevamente seudo ambientalistas y cuestionado la supuesta ausencia de los mismos hace años con administraciones anteriores en la segunda vertiente vemos los hechos uno de los principales proyectos del Gobierno Federal es el tren maya ha sido polémico desde el inicio a tal grado que la famosa organización Greenpeace se sumó en abril de este año a las 44,440 firmas para exigir los estudios ambientales del tren maya con la actual se han solicitado que se detengan las obras en el tramo que va de </w:t>
      </w:r>
      <w:r>
        <w:rPr>
          <w:rFonts w:ascii="Abadi" w:hAnsi="Abadi"/>
          <w:sz w:val="21"/>
          <w:szCs w:val="21"/>
        </w:rPr>
        <w:t>T</w:t>
      </w:r>
      <w:r w:rsidRPr="000F1D30">
        <w:rPr>
          <w:rFonts w:ascii="Abadi" w:hAnsi="Abadi"/>
          <w:sz w:val="21"/>
          <w:szCs w:val="21"/>
        </w:rPr>
        <w:t>ulum a Cancún para el terminar la afectación a la flora y fauna por el ferrocarril sumado a lo anterior el presidente prometió acabar con la violencia pero se ve lejos ya que se proyecta para tener el peor registro de crímenes en la historia reciente de México gracias a su falta de atención a la peligrosa situación que viven las y los activistas ambientalistas ya que el mecanismo de protección para personas defensoras de Derechos Humanos y periodistas a cargo de la Secretaría de Gobierno actúan demasiado tarde como parte de las acciones para proteger a las y a los activistas en peligro se encuentra desde anotarles en un registro de amenazas geo localizadores e incluso guardaespaldas y auxilio para salir del país el problema reside en que catalogan los casos como ordinarios y no le toman la importancia al peligro que viven las y los ambiental de los 45 ambientalistas asesinados y asesinadas desde diciembre del 2018,  sólo se ha dictado esencia en 2 casos qué quiere decir que hay un impunidad al día de hoy del 96 % y hay una impunidad al día de hoy del 96 y esperemos que sigan a su curso y pueda bajar este porcentaje desde nuestro programa de acciones legislativas este punto de acuerdo atiende a 2 que nuestros ejes que como Grupo Parlamentario de Acción Nacional impulsamos el  eje medio ambiente energía limpia y sustentable y sustentabilidad compartimos el sentir con la ciudadanía los organizaciones y activistas ambientalistas con respecto al tren maya y la falta de estudios que justifiquen su discusión así como la importancia del papel de las y los ambientalistas en la vida democrática de nuestro país.</w:t>
      </w:r>
    </w:p>
    <w:p w14:paraId="6CE04FB2" w14:textId="77777777" w:rsidR="005B1C76" w:rsidRPr="000F1D30" w:rsidRDefault="005B1C76" w:rsidP="005B1C76">
      <w:pPr>
        <w:pStyle w:val="NormalWeb"/>
        <w:jc w:val="both"/>
        <w:rPr>
          <w:rFonts w:ascii="Abadi" w:hAnsi="Abadi"/>
          <w:sz w:val="21"/>
          <w:szCs w:val="21"/>
        </w:rPr>
      </w:pPr>
      <w:r w:rsidRPr="000F1D30">
        <w:rPr>
          <w:rFonts w:ascii="Abadi" w:hAnsi="Abadi"/>
          <w:sz w:val="21"/>
          <w:szCs w:val="21"/>
        </w:rPr>
        <w:t>- Asu vez buscamos atender nuestro eje de paz democracia instituciones fuertes porque cada orden de Gobierno debe proteger a las y a los grupos en situación de riesgo pues hay una percepción de vulnerabilidad que no se deja, que no se debe ignorar sino al contrario las instituciones deben responder accionar y prevenir cualquier tipo de afectación a la dignidad y vida de las personas en este caso es evidente que la Secretaría de Gobierno no está siendo correcto el uso del mecanismo de protección para personas defensoras de Derechos Humanos y periodistas hoy en día las y los activistas no cuentan con el respaldo del Gobierno Federal tal vez no todos por ello con este punto de acuerdo buscamos fortalecer la aplicación del mecanismo para que la ley se aplique y no sea letra muerta me gustaría concluir dirigiéndome a las y a los activistas ambientalistas de Guanajuato y de nuestro país.</w:t>
      </w:r>
    </w:p>
    <w:p w14:paraId="745E6077" w14:textId="77777777" w:rsidR="005B1C76" w:rsidRPr="000F1D30" w:rsidRDefault="005B1C76" w:rsidP="005B1C76">
      <w:pPr>
        <w:pStyle w:val="NormalWeb"/>
        <w:jc w:val="both"/>
        <w:rPr>
          <w:rFonts w:ascii="Abadi" w:hAnsi="Abadi"/>
          <w:sz w:val="21"/>
          <w:szCs w:val="21"/>
        </w:rPr>
      </w:pPr>
      <w:r w:rsidRPr="000F1D30">
        <w:rPr>
          <w:rFonts w:ascii="Abadi" w:hAnsi="Abadi"/>
          <w:sz w:val="21"/>
          <w:szCs w:val="21"/>
        </w:rPr>
        <w:t xml:space="preserve">- No están solos que no se oiga están solos en la medida de nuestras atribuciones como legisladores seguiremos impulsando su protección visibilizando la realidad que hoy viven no dejaremos que visibilicen ni minimicen uno de los más grandes problemas que se tiene como país defender el medio ambiente debe realizarse desde el Gobierno y desde la ciudadanía pero en ningún momento debería costarle la vida a nadie el exigir un derecho humano básico, desde esta tribuna reconozco  a nombre del Grupo Parlamentario del Partido Acción Nacional su loable labor y nos solidarizamos con la realidad que hoy vivimos en nuestro país las autoridades debemos actuar la Secretaría de Gobierno debe actuar Por lo anterior ponemos a consideración de esta honorable asamblea el siguiente punto de acuerdo. </w:t>
      </w:r>
    </w:p>
    <w:p w14:paraId="63A7985C" w14:textId="77777777" w:rsidR="005B1C76" w:rsidRPr="000F1D30" w:rsidRDefault="005B1C76" w:rsidP="005B1C76">
      <w:pPr>
        <w:pStyle w:val="NormalWeb"/>
        <w:jc w:val="both"/>
        <w:rPr>
          <w:rFonts w:ascii="Abadi" w:hAnsi="Abadi"/>
          <w:sz w:val="21"/>
          <w:szCs w:val="21"/>
        </w:rPr>
      </w:pPr>
      <w:r w:rsidRPr="000F1D30">
        <w:rPr>
          <w:rFonts w:ascii="Abadi" w:hAnsi="Abadi"/>
          <w:sz w:val="21"/>
          <w:szCs w:val="21"/>
        </w:rPr>
        <w:t xml:space="preserve">- Único, el Congreso del Estado libre y soberano de Guanajuato exhorta a la Secretaría de Gobernación a efecto de que atienda con las medidas de prevención urgente las solicitudes de las y los activistas ambientalistas este hermoso país que es México. </w:t>
      </w:r>
    </w:p>
    <w:p w14:paraId="2F8CE740" w14:textId="3D6B9DCF" w:rsidR="005B1C76" w:rsidRDefault="005B1C76" w:rsidP="005B1C76">
      <w:pPr>
        <w:pStyle w:val="NormalWeb"/>
        <w:jc w:val="both"/>
        <w:rPr>
          <w:rFonts w:ascii="Abadi" w:hAnsi="Abadi"/>
          <w:sz w:val="21"/>
          <w:szCs w:val="21"/>
        </w:rPr>
      </w:pPr>
      <w:r w:rsidRPr="000F1D30">
        <w:rPr>
          <w:rFonts w:ascii="Abadi" w:hAnsi="Abadi"/>
          <w:sz w:val="21"/>
          <w:szCs w:val="21"/>
        </w:rPr>
        <w:t>- Es cuanto señores y señoras diputadas, muchas gracias</w:t>
      </w:r>
      <w:r>
        <w:rPr>
          <w:rFonts w:ascii="Abadi" w:hAnsi="Abadi"/>
          <w:sz w:val="21"/>
          <w:szCs w:val="21"/>
        </w:rPr>
        <w:t>.</w:t>
      </w:r>
    </w:p>
    <w:p w14:paraId="4B905652" w14:textId="50F9FE65" w:rsidR="005B1C76" w:rsidRDefault="00D52619" w:rsidP="00D52619">
      <w:pPr>
        <w:pStyle w:val="NormalWeb"/>
        <w:ind w:firstLine="426"/>
        <w:jc w:val="both"/>
        <w:rPr>
          <w:rFonts w:ascii="Abadi" w:hAnsi="Abadi"/>
          <w:sz w:val="21"/>
          <w:szCs w:val="21"/>
        </w:rPr>
      </w:pPr>
      <w:r>
        <w:rPr>
          <w:rFonts w:ascii="Abadi" w:hAnsi="Abadi"/>
          <w:b/>
          <w:bCs/>
          <w:sz w:val="21"/>
          <w:szCs w:val="21"/>
        </w:rPr>
        <w:t xml:space="preserve">- </w:t>
      </w:r>
      <w:r w:rsidR="005B1C76" w:rsidRPr="00216AC8">
        <w:rPr>
          <w:rFonts w:ascii="Abadi" w:hAnsi="Abadi"/>
          <w:b/>
          <w:bCs/>
          <w:sz w:val="21"/>
          <w:szCs w:val="21"/>
        </w:rPr>
        <w:t xml:space="preserve">La </w:t>
      </w:r>
      <w:r w:rsidR="00A61194">
        <w:rPr>
          <w:rFonts w:ascii="Abadi" w:hAnsi="Abadi"/>
          <w:b/>
          <w:bCs/>
          <w:sz w:val="21"/>
          <w:szCs w:val="21"/>
        </w:rPr>
        <w:t>P</w:t>
      </w:r>
      <w:r w:rsidR="005B1C76" w:rsidRPr="00216AC8">
        <w:rPr>
          <w:rFonts w:ascii="Abadi" w:hAnsi="Abadi"/>
          <w:b/>
          <w:bCs/>
          <w:sz w:val="21"/>
          <w:szCs w:val="21"/>
        </w:rPr>
        <w:t>residencia. -</w:t>
      </w:r>
      <w:r w:rsidR="005B1C76">
        <w:rPr>
          <w:rFonts w:ascii="Abadi" w:hAnsi="Abadi"/>
          <w:sz w:val="21"/>
          <w:szCs w:val="21"/>
        </w:rPr>
        <w:t xml:space="preserve"> M</w:t>
      </w:r>
      <w:r w:rsidR="005B1C76" w:rsidRPr="0021199F">
        <w:rPr>
          <w:rFonts w:ascii="Abadi" w:hAnsi="Abadi"/>
          <w:sz w:val="21"/>
          <w:szCs w:val="21"/>
        </w:rPr>
        <w:t>uchas gracias, diputado</w:t>
      </w:r>
    </w:p>
    <w:p w14:paraId="7B4C59FB" w14:textId="4EB55DEE" w:rsidR="005B1C76" w:rsidRDefault="005B1C76" w:rsidP="00D52619">
      <w:pPr>
        <w:pStyle w:val="NormalWeb"/>
        <w:ind w:left="284" w:right="212"/>
        <w:jc w:val="both"/>
        <w:rPr>
          <w:rFonts w:ascii="Abadi" w:hAnsi="Abadi"/>
          <w:b/>
          <w:bCs/>
          <w:i/>
          <w:iCs/>
          <w:sz w:val="21"/>
          <w:szCs w:val="21"/>
          <w:u w:val="single"/>
        </w:rPr>
      </w:pPr>
      <w:r w:rsidRPr="000F1D30">
        <w:rPr>
          <w:rFonts w:ascii="Abadi" w:hAnsi="Abadi"/>
          <w:b/>
          <w:bCs/>
          <w:i/>
          <w:iCs/>
          <w:sz w:val="21"/>
          <w:szCs w:val="21"/>
          <w:u w:val="single"/>
        </w:rPr>
        <w:t>Con fundamento en el artículo 111 fracción XIX, de la Ley Orgánica, se turna la Comisión de Gobernación y Puntos Constitucionales para su estudio dictamen.</w:t>
      </w:r>
    </w:p>
    <w:p w14:paraId="65BDEFD6" w14:textId="4FD79EE2" w:rsidR="00D7400C" w:rsidRDefault="00D7400C" w:rsidP="00D7400C">
      <w:pPr>
        <w:pStyle w:val="NormalWeb"/>
        <w:ind w:firstLine="284"/>
        <w:jc w:val="both"/>
        <w:rPr>
          <w:rFonts w:ascii="Abadi" w:hAnsi="Abadi"/>
          <w:sz w:val="21"/>
          <w:szCs w:val="21"/>
        </w:rPr>
      </w:pPr>
      <w:r>
        <w:rPr>
          <w:rFonts w:ascii="Abadi" w:hAnsi="Abadi"/>
          <w:b/>
          <w:bCs/>
          <w:sz w:val="21"/>
          <w:szCs w:val="21"/>
        </w:rPr>
        <w:t xml:space="preserve">- </w:t>
      </w:r>
      <w:r w:rsidRPr="000F1D30">
        <w:rPr>
          <w:rFonts w:ascii="Abadi" w:hAnsi="Abadi"/>
          <w:b/>
          <w:bCs/>
          <w:sz w:val="21"/>
          <w:szCs w:val="21"/>
        </w:rPr>
        <w:t xml:space="preserve">La </w:t>
      </w:r>
      <w:proofErr w:type="gramStart"/>
      <w:r w:rsidRPr="000F1D30">
        <w:rPr>
          <w:rFonts w:ascii="Abadi" w:hAnsi="Abadi"/>
          <w:b/>
          <w:bCs/>
          <w:sz w:val="21"/>
          <w:szCs w:val="21"/>
        </w:rPr>
        <w:t>Presidencia.-</w:t>
      </w:r>
      <w:proofErr w:type="gramEnd"/>
      <w:r>
        <w:rPr>
          <w:rFonts w:ascii="Abadi" w:hAnsi="Abadi"/>
          <w:sz w:val="21"/>
          <w:szCs w:val="21"/>
        </w:rPr>
        <w:t xml:space="preserve"> C</w:t>
      </w:r>
      <w:r w:rsidRPr="0021199F">
        <w:rPr>
          <w:rFonts w:ascii="Abadi" w:hAnsi="Abadi"/>
          <w:sz w:val="21"/>
          <w:szCs w:val="21"/>
        </w:rPr>
        <w:t xml:space="preserve">orresponde tomar votaciones </w:t>
      </w:r>
      <w:r w:rsidR="00A60347">
        <w:rPr>
          <w:rFonts w:ascii="Abadi" w:hAnsi="Abadi"/>
          <w:sz w:val="21"/>
          <w:szCs w:val="21"/>
        </w:rPr>
        <w:t xml:space="preserve">en </w:t>
      </w:r>
      <w:r w:rsidRPr="0021199F">
        <w:rPr>
          <w:rFonts w:ascii="Abadi" w:hAnsi="Abadi"/>
          <w:sz w:val="21"/>
          <w:szCs w:val="21"/>
        </w:rPr>
        <w:t xml:space="preserve">los siguientes puntos del orden del día, por lo que esta </w:t>
      </w:r>
      <w:r>
        <w:rPr>
          <w:rFonts w:ascii="Abadi" w:hAnsi="Abadi"/>
          <w:sz w:val="21"/>
          <w:szCs w:val="21"/>
        </w:rPr>
        <w:t>M</w:t>
      </w:r>
      <w:r w:rsidRPr="0021199F">
        <w:rPr>
          <w:rFonts w:ascii="Abadi" w:hAnsi="Abadi"/>
          <w:sz w:val="21"/>
          <w:szCs w:val="21"/>
        </w:rPr>
        <w:t xml:space="preserve">esa </w:t>
      </w:r>
      <w:r>
        <w:rPr>
          <w:rFonts w:ascii="Abadi" w:hAnsi="Abadi"/>
          <w:sz w:val="21"/>
          <w:szCs w:val="21"/>
        </w:rPr>
        <w:t>D</w:t>
      </w:r>
      <w:r w:rsidRPr="0021199F">
        <w:rPr>
          <w:rFonts w:ascii="Abadi" w:hAnsi="Abadi"/>
          <w:sz w:val="21"/>
          <w:szCs w:val="21"/>
        </w:rPr>
        <w:t xml:space="preserve">irectiva, </w:t>
      </w:r>
      <w:r>
        <w:rPr>
          <w:rFonts w:ascii="Abadi" w:hAnsi="Abadi"/>
          <w:sz w:val="21"/>
          <w:szCs w:val="21"/>
        </w:rPr>
        <w:t>procede</w:t>
      </w:r>
      <w:r w:rsidRPr="0021199F">
        <w:rPr>
          <w:rFonts w:ascii="Abadi" w:hAnsi="Abadi"/>
          <w:sz w:val="21"/>
          <w:szCs w:val="21"/>
        </w:rPr>
        <w:t xml:space="preserve"> </w:t>
      </w:r>
      <w:r>
        <w:rPr>
          <w:rFonts w:ascii="Abadi" w:hAnsi="Abadi"/>
          <w:sz w:val="21"/>
          <w:szCs w:val="21"/>
        </w:rPr>
        <w:t>a</w:t>
      </w:r>
      <w:r w:rsidRPr="0021199F">
        <w:rPr>
          <w:rFonts w:ascii="Abadi" w:hAnsi="Abadi"/>
          <w:sz w:val="21"/>
          <w:szCs w:val="21"/>
        </w:rPr>
        <w:t xml:space="preserve"> cerciorarse de la presencia de las diputadas y los diputados asistentes en la presente sesión.</w:t>
      </w:r>
    </w:p>
    <w:p w14:paraId="42A6C746" w14:textId="055DC80F" w:rsidR="00D7400C" w:rsidRDefault="00D7400C" w:rsidP="00D7400C">
      <w:pPr>
        <w:pStyle w:val="NormalWeb"/>
        <w:ind w:firstLine="284"/>
        <w:jc w:val="both"/>
        <w:rPr>
          <w:rFonts w:ascii="Abadi" w:hAnsi="Abadi"/>
          <w:sz w:val="21"/>
          <w:szCs w:val="21"/>
        </w:rPr>
      </w:pPr>
      <w:r w:rsidRPr="0021199F">
        <w:rPr>
          <w:rFonts w:ascii="Abadi" w:hAnsi="Abadi"/>
          <w:sz w:val="21"/>
          <w:szCs w:val="21"/>
        </w:rPr>
        <w:t xml:space="preserve"> </w:t>
      </w:r>
      <w:r>
        <w:rPr>
          <w:rFonts w:ascii="Abadi" w:hAnsi="Abadi"/>
          <w:sz w:val="21"/>
          <w:szCs w:val="21"/>
        </w:rPr>
        <w:t xml:space="preserve">- </w:t>
      </w:r>
      <w:r w:rsidRPr="0021199F">
        <w:rPr>
          <w:rFonts w:ascii="Abadi" w:hAnsi="Abadi"/>
          <w:sz w:val="21"/>
          <w:szCs w:val="21"/>
        </w:rPr>
        <w:t>Así mismo, se pide a la</w:t>
      </w:r>
      <w:r>
        <w:rPr>
          <w:rFonts w:ascii="Abadi" w:hAnsi="Abadi"/>
          <w:sz w:val="21"/>
          <w:szCs w:val="21"/>
        </w:rPr>
        <w:t xml:space="preserve">s </w:t>
      </w:r>
      <w:r w:rsidRPr="0021199F">
        <w:rPr>
          <w:rFonts w:ascii="Abadi" w:hAnsi="Abadi"/>
          <w:sz w:val="21"/>
          <w:szCs w:val="21"/>
        </w:rPr>
        <w:t>diputada</w:t>
      </w:r>
      <w:r>
        <w:rPr>
          <w:rFonts w:ascii="Abadi" w:hAnsi="Abadi"/>
          <w:sz w:val="21"/>
          <w:szCs w:val="21"/>
        </w:rPr>
        <w:t xml:space="preserve">s </w:t>
      </w:r>
      <w:r w:rsidRPr="0021199F">
        <w:rPr>
          <w:rFonts w:ascii="Abadi" w:hAnsi="Abadi"/>
          <w:sz w:val="21"/>
          <w:szCs w:val="21"/>
        </w:rPr>
        <w:t>y</w:t>
      </w:r>
      <w:r>
        <w:rPr>
          <w:rFonts w:ascii="Abadi" w:hAnsi="Abadi"/>
          <w:sz w:val="21"/>
          <w:szCs w:val="21"/>
        </w:rPr>
        <w:t xml:space="preserve"> </w:t>
      </w:r>
      <w:r w:rsidRPr="0021199F">
        <w:rPr>
          <w:rFonts w:ascii="Abadi" w:hAnsi="Abadi"/>
          <w:sz w:val="21"/>
          <w:szCs w:val="21"/>
        </w:rPr>
        <w:t>a los diputados, abstenerse de abandonar es</w:t>
      </w:r>
      <w:r w:rsidR="00AC5E3A">
        <w:rPr>
          <w:rFonts w:ascii="Abadi" w:hAnsi="Abadi"/>
          <w:sz w:val="21"/>
          <w:szCs w:val="21"/>
        </w:rPr>
        <w:t>t</w:t>
      </w:r>
      <w:r w:rsidRPr="0021199F">
        <w:rPr>
          <w:rFonts w:ascii="Abadi" w:hAnsi="Abadi"/>
          <w:sz w:val="21"/>
          <w:szCs w:val="21"/>
        </w:rPr>
        <w:t>e salón</w:t>
      </w:r>
      <w:r>
        <w:rPr>
          <w:rFonts w:ascii="Abadi" w:hAnsi="Abadi"/>
          <w:sz w:val="21"/>
          <w:szCs w:val="21"/>
        </w:rPr>
        <w:t>, d</w:t>
      </w:r>
      <w:r w:rsidRPr="0021199F">
        <w:rPr>
          <w:rFonts w:ascii="Abadi" w:hAnsi="Abadi"/>
          <w:sz w:val="21"/>
          <w:szCs w:val="21"/>
        </w:rPr>
        <w:t>urante las votaciones</w:t>
      </w:r>
      <w:r>
        <w:rPr>
          <w:rFonts w:ascii="Abadi" w:hAnsi="Abadi"/>
          <w:sz w:val="21"/>
          <w:szCs w:val="21"/>
        </w:rPr>
        <w:t xml:space="preserve">. </w:t>
      </w:r>
    </w:p>
    <w:p w14:paraId="354D9BD0" w14:textId="77777777" w:rsidR="00F83DFF" w:rsidRPr="00396F30" w:rsidRDefault="00F83DFF" w:rsidP="00021259">
      <w:pPr>
        <w:autoSpaceDE w:val="0"/>
        <w:autoSpaceDN w:val="0"/>
        <w:adjustRightInd w:val="0"/>
        <w:jc w:val="both"/>
        <w:rPr>
          <w:rFonts w:ascii="Abadi" w:hAnsi="Abadi" w:cs="ArialMT"/>
          <w:b/>
          <w:bCs/>
          <w:sz w:val="20"/>
          <w:szCs w:val="21"/>
        </w:rPr>
      </w:pPr>
    </w:p>
    <w:p w14:paraId="03796B0F" w14:textId="10F02710" w:rsidR="00021259" w:rsidRPr="0061420E" w:rsidRDefault="00021259" w:rsidP="00343CA9">
      <w:pPr>
        <w:pStyle w:val="Prrafodelista"/>
        <w:numPr>
          <w:ilvl w:val="0"/>
          <w:numId w:val="16"/>
        </w:numPr>
        <w:autoSpaceDE w:val="0"/>
        <w:autoSpaceDN w:val="0"/>
        <w:adjustRightInd w:val="0"/>
        <w:ind w:left="426"/>
        <w:jc w:val="both"/>
        <w:rPr>
          <w:rFonts w:ascii="Abadi" w:hAnsi="Abadi" w:cs="ArialMT"/>
          <w:b/>
          <w:bCs/>
          <w:sz w:val="21"/>
          <w:szCs w:val="21"/>
        </w:rPr>
      </w:pPr>
      <w:r w:rsidRPr="0061420E">
        <w:rPr>
          <w:rFonts w:ascii="Abadi" w:hAnsi="Abadi" w:cs="ArialMT"/>
          <w:b/>
          <w:bCs/>
          <w:sz w:val="21"/>
          <w:szCs w:val="21"/>
        </w:rPr>
        <w:t>PRESENTACIÓN DE LA PROPUESTA DE PUNTO DE ACUERDO FORMULADA POR DIPUTADAS Y DIPUTADOS INTEGRANTES DEL GRUPO PARLAMENTARIO DEL PARTIDO MORENA A EFECTO DE EXHORTAR AL FISCAL GENERAL DE GUANAJUATO CARLOS ZAMARRIPA PARA QUE LA FISCALÍA A SU CARGO OBRE BAJO EL PRINCIPIO DE MÁXIMA PUBLICIDAD CON RESPECTO AL DERECHO A LA INFORMACIÓN SOBRE TODOS LOS CONTEXTOS DE HALLAZGO, INCLUYENDO EN PARTICULAR LAS FOSAS CLANDESTINAS DE LOS QUE TIENE CONOCIMIENTO Y HOMOLOGUE CONSECUENTEMENTE LOS DATOS DEL</w:t>
      </w:r>
      <w:r w:rsidR="00300604" w:rsidRPr="0061420E">
        <w:rPr>
          <w:rFonts w:ascii="Abadi" w:hAnsi="Abadi" w:cs="ArialMT"/>
          <w:b/>
          <w:bCs/>
          <w:sz w:val="21"/>
          <w:szCs w:val="21"/>
        </w:rPr>
        <w:t xml:space="preserve"> </w:t>
      </w:r>
      <w:r w:rsidRPr="0061420E">
        <w:rPr>
          <w:rFonts w:ascii="Abadi" w:hAnsi="Abadi" w:cs="Arial-ItalicMT"/>
          <w:b/>
          <w:bCs/>
          <w:i/>
          <w:iCs/>
          <w:sz w:val="21"/>
          <w:szCs w:val="21"/>
        </w:rPr>
        <w:t xml:space="preserve">MAPA </w:t>
      </w:r>
      <w:r w:rsidRPr="0061420E">
        <w:rPr>
          <w:rFonts w:ascii="Abadi" w:hAnsi="Abadi" w:cs="ArialMT"/>
          <w:b/>
          <w:bCs/>
          <w:sz w:val="21"/>
          <w:szCs w:val="21"/>
        </w:rPr>
        <w:t>QUE APARECEN EN SU PÁGINA OFICIAL.</w:t>
      </w:r>
    </w:p>
    <w:p w14:paraId="640CBEF7" w14:textId="51465B02" w:rsidR="00021259" w:rsidRPr="0061420E" w:rsidRDefault="00021259" w:rsidP="00021259">
      <w:pPr>
        <w:autoSpaceDE w:val="0"/>
        <w:autoSpaceDN w:val="0"/>
        <w:adjustRightInd w:val="0"/>
        <w:jc w:val="both"/>
        <w:rPr>
          <w:rFonts w:ascii="Abadi" w:hAnsi="Abadi" w:cs="Arial-BoldMT"/>
          <w:b/>
          <w:bCs/>
          <w:sz w:val="21"/>
          <w:szCs w:val="21"/>
        </w:rPr>
      </w:pPr>
    </w:p>
    <w:p w14:paraId="61BC8411" w14:textId="77777777" w:rsidR="00895ABE" w:rsidRDefault="00895ABE" w:rsidP="004734F6">
      <w:pPr>
        <w:autoSpaceDE w:val="0"/>
        <w:autoSpaceDN w:val="0"/>
        <w:adjustRightInd w:val="0"/>
        <w:jc w:val="both"/>
        <w:rPr>
          <w:rFonts w:ascii="Abadi" w:hAnsi="Abadi" w:cs="Arial-BoldMT"/>
          <w:b/>
          <w:bCs/>
          <w:sz w:val="21"/>
          <w:szCs w:val="21"/>
        </w:rPr>
      </w:pPr>
    </w:p>
    <w:p w14:paraId="4FF4E397" w14:textId="6C32538F" w:rsidR="004734F6" w:rsidRPr="0061420E" w:rsidRDefault="004734F6" w:rsidP="004734F6">
      <w:pPr>
        <w:autoSpaceDE w:val="0"/>
        <w:autoSpaceDN w:val="0"/>
        <w:adjustRightInd w:val="0"/>
        <w:jc w:val="both"/>
        <w:rPr>
          <w:rFonts w:ascii="Abadi" w:hAnsi="Abadi" w:cs="Arial-BoldMT"/>
          <w:b/>
          <w:bCs/>
          <w:sz w:val="21"/>
          <w:szCs w:val="21"/>
        </w:rPr>
      </w:pPr>
      <w:proofErr w:type="spellStart"/>
      <w:r w:rsidRPr="0061420E">
        <w:rPr>
          <w:rFonts w:ascii="Abadi" w:hAnsi="Abadi" w:cs="Arial-BoldMT"/>
          <w:b/>
          <w:bCs/>
          <w:sz w:val="21"/>
          <w:szCs w:val="21"/>
        </w:rPr>
        <w:t>Dip</w:t>
      </w:r>
      <w:proofErr w:type="spellEnd"/>
      <w:r w:rsidRPr="0061420E">
        <w:rPr>
          <w:rFonts w:ascii="Abadi" w:hAnsi="Abadi" w:cs="Arial-BoldMT"/>
          <w:b/>
          <w:bCs/>
          <w:sz w:val="21"/>
          <w:szCs w:val="21"/>
        </w:rPr>
        <w:t xml:space="preserve">. Irma Leticia González Sánchez </w:t>
      </w:r>
    </w:p>
    <w:p w14:paraId="00CBED94" w14:textId="77777777" w:rsidR="004734F6" w:rsidRPr="0061420E" w:rsidRDefault="004734F6" w:rsidP="004734F6">
      <w:pPr>
        <w:autoSpaceDE w:val="0"/>
        <w:autoSpaceDN w:val="0"/>
        <w:adjustRightInd w:val="0"/>
        <w:jc w:val="both"/>
        <w:rPr>
          <w:rFonts w:ascii="Abadi" w:hAnsi="Abadi" w:cs="Arial-BoldMT"/>
          <w:b/>
          <w:bCs/>
          <w:sz w:val="21"/>
          <w:szCs w:val="21"/>
        </w:rPr>
      </w:pPr>
      <w:r w:rsidRPr="0061420E">
        <w:rPr>
          <w:rFonts w:ascii="Abadi" w:hAnsi="Abadi" w:cs="Arial-BoldMT"/>
          <w:b/>
          <w:bCs/>
          <w:sz w:val="21"/>
          <w:szCs w:val="21"/>
        </w:rPr>
        <w:t>Presidenta de la Mesa Directiva de la</w:t>
      </w:r>
    </w:p>
    <w:p w14:paraId="2A65F273" w14:textId="77777777" w:rsidR="004734F6" w:rsidRPr="0061420E" w:rsidRDefault="004734F6" w:rsidP="004734F6">
      <w:pPr>
        <w:autoSpaceDE w:val="0"/>
        <w:autoSpaceDN w:val="0"/>
        <w:adjustRightInd w:val="0"/>
        <w:jc w:val="both"/>
        <w:rPr>
          <w:rFonts w:ascii="Abadi" w:hAnsi="Abadi" w:cs="Arial-BoldMT"/>
          <w:b/>
          <w:bCs/>
          <w:sz w:val="21"/>
          <w:szCs w:val="21"/>
        </w:rPr>
      </w:pPr>
      <w:r w:rsidRPr="0061420E">
        <w:rPr>
          <w:rFonts w:ascii="Abadi" w:hAnsi="Abadi" w:cs="Arial-BoldMT"/>
          <w:b/>
          <w:bCs/>
          <w:sz w:val="21"/>
          <w:szCs w:val="21"/>
        </w:rPr>
        <w:t xml:space="preserve">LXV Legislatura del Estado de Guanajuato. </w:t>
      </w:r>
    </w:p>
    <w:p w14:paraId="2412FBA6" w14:textId="77777777" w:rsidR="004734F6" w:rsidRPr="0061420E" w:rsidRDefault="004734F6" w:rsidP="004734F6">
      <w:pPr>
        <w:autoSpaceDE w:val="0"/>
        <w:autoSpaceDN w:val="0"/>
        <w:adjustRightInd w:val="0"/>
        <w:jc w:val="both"/>
        <w:rPr>
          <w:rFonts w:ascii="Abadi" w:hAnsi="Abadi" w:cs="Arial-BoldMT"/>
          <w:b/>
          <w:bCs/>
          <w:sz w:val="21"/>
          <w:szCs w:val="21"/>
        </w:rPr>
      </w:pPr>
      <w:r w:rsidRPr="0061420E">
        <w:rPr>
          <w:rFonts w:ascii="Abadi" w:hAnsi="Abadi" w:cs="Arial-BoldMT"/>
          <w:b/>
          <w:bCs/>
          <w:sz w:val="21"/>
          <w:szCs w:val="21"/>
        </w:rPr>
        <w:t>P R E S E N T E:</w:t>
      </w:r>
    </w:p>
    <w:p w14:paraId="074CD46E" w14:textId="77777777" w:rsidR="004734F6" w:rsidRPr="0061420E" w:rsidRDefault="004734F6" w:rsidP="004734F6">
      <w:pPr>
        <w:autoSpaceDE w:val="0"/>
        <w:autoSpaceDN w:val="0"/>
        <w:adjustRightInd w:val="0"/>
        <w:jc w:val="both"/>
        <w:rPr>
          <w:rFonts w:ascii="Abadi" w:hAnsi="Abadi" w:cs="Arial-BoldMT"/>
          <w:sz w:val="21"/>
          <w:szCs w:val="21"/>
        </w:rPr>
      </w:pPr>
    </w:p>
    <w:p w14:paraId="297E35E0" w14:textId="77777777" w:rsidR="004734F6" w:rsidRPr="0061420E" w:rsidRDefault="004734F6" w:rsidP="004734F6">
      <w:pPr>
        <w:autoSpaceDE w:val="0"/>
        <w:autoSpaceDN w:val="0"/>
        <w:adjustRightInd w:val="0"/>
        <w:jc w:val="both"/>
        <w:rPr>
          <w:rFonts w:ascii="Abadi" w:hAnsi="Abadi" w:cs="Arial-BoldMT"/>
          <w:sz w:val="21"/>
          <w:szCs w:val="21"/>
        </w:rPr>
      </w:pPr>
    </w:p>
    <w:p w14:paraId="69E58D27" w14:textId="77777777"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 xml:space="preserve">Diputado </w:t>
      </w:r>
      <w:r w:rsidRPr="0061420E">
        <w:rPr>
          <w:rFonts w:ascii="Abadi" w:hAnsi="Abadi" w:cs="Arial-BoldMT"/>
          <w:b/>
          <w:bCs/>
          <w:sz w:val="21"/>
          <w:szCs w:val="21"/>
        </w:rPr>
        <w:t>David Martínez Mendizábal</w:t>
      </w:r>
      <w:r w:rsidRPr="0061420E">
        <w:rPr>
          <w:rFonts w:ascii="Abadi" w:hAnsi="Abadi" w:cs="Arial-BoldMT"/>
          <w:sz w:val="21"/>
          <w:szCs w:val="21"/>
        </w:rPr>
        <w:t xml:space="preserve">, integrante del Grupo Parlamentario de Morena en la LXV Legislatura del Congreso del Estado de Guanajuato, con fundamento en lo dispuesto por el primer párrafo del artículo 57 de la Constitución Política para el Estado de Guanajuato, así como por lo establecido en el artículo 204 fracción III de la Ley Orgánica del Poder Legislativo del Estado de Guanajuato, someto a consideración de esta Asamblea la siguiente propuesta de </w:t>
      </w:r>
      <w:r w:rsidRPr="0061420E">
        <w:rPr>
          <w:rFonts w:ascii="Abadi" w:hAnsi="Abadi" w:cs="Arial-BoldMT"/>
          <w:b/>
          <w:bCs/>
          <w:sz w:val="21"/>
          <w:szCs w:val="21"/>
        </w:rPr>
        <w:t>PUNTO DE ACUERDO</w:t>
      </w:r>
      <w:r w:rsidRPr="0061420E">
        <w:rPr>
          <w:rFonts w:ascii="Abadi" w:hAnsi="Abadi" w:cs="Arial-BoldMT"/>
          <w:sz w:val="21"/>
          <w:szCs w:val="21"/>
        </w:rPr>
        <w:t>, en atención a las siguientes:</w:t>
      </w:r>
    </w:p>
    <w:p w14:paraId="26651142" w14:textId="77777777" w:rsidR="004734F6" w:rsidRPr="0061420E" w:rsidRDefault="004734F6" w:rsidP="004734F6">
      <w:pPr>
        <w:autoSpaceDE w:val="0"/>
        <w:autoSpaceDN w:val="0"/>
        <w:adjustRightInd w:val="0"/>
        <w:jc w:val="both"/>
        <w:rPr>
          <w:rFonts w:ascii="Abadi" w:hAnsi="Abadi" w:cs="Arial-BoldMT"/>
          <w:sz w:val="21"/>
          <w:szCs w:val="21"/>
        </w:rPr>
      </w:pPr>
    </w:p>
    <w:p w14:paraId="0E53EB58" w14:textId="77777777" w:rsidR="004734F6" w:rsidRPr="0061420E" w:rsidRDefault="004734F6" w:rsidP="001F77BE">
      <w:pPr>
        <w:autoSpaceDE w:val="0"/>
        <w:autoSpaceDN w:val="0"/>
        <w:adjustRightInd w:val="0"/>
        <w:jc w:val="center"/>
        <w:rPr>
          <w:rFonts w:ascii="Abadi" w:hAnsi="Abadi" w:cs="Arial-BoldMT"/>
          <w:b/>
          <w:bCs/>
          <w:sz w:val="21"/>
          <w:szCs w:val="21"/>
        </w:rPr>
      </w:pPr>
      <w:r w:rsidRPr="0061420E">
        <w:rPr>
          <w:rFonts w:ascii="Abadi" w:hAnsi="Abadi" w:cs="Arial-BoldMT"/>
          <w:b/>
          <w:bCs/>
          <w:sz w:val="21"/>
          <w:szCs w:val="21"/>
        </w:rPr>
        <w:t>CONSIDERACIONES</w:t>
      </w:r>
    </w:p>
    <w:p w14:paraId="447844B1" w14:textId="77777777" w:rsidR="004734F6" w:rsidRPr="0061420E" w:rsidRDefault="004734F6" w:rsidP="004734F6">
      <w:pPr>
        <w:autoSpaceDE w:val="0"/>
        <w:autoSpaceDN w:val="0"/>
        <w:adjustRightInd w:val="0"/>
        <w:jc w:val="both"/>
        <w:rPr>
          <w:rFonts w:ascii="Abadi" w:hAnsi="Abadi" w:cs="Arial-BoldMT"/>
          <w:sz w:val="21"/>
          <w:szCs w:val="21"/>
        </w:rPr>
      </w:pPr>
    </w:p>
    <w:p w14:paraId="54F01D35" w14:textId="2AFEB686"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El 13 de mayo el grupo de buscadoras Madres Guerreras de León informó que se encontraron restos de personas en una fosa clandestina por el rumbo de Hacienda Arriba en León, Guanajuato. Las indagaciones iniciaron desde fines del mes de abril. Siguen apareciendo nuevos hallazgos de los viejos y graves problemas de seguridad en nuestra entidad, que habían sido negados, hasta que la presión social llevó a reconocer su penosa existencia.</w:t>
      </w:r>
    </w:p>
    <w:p w14:paraId="08ACEF9A" w14:textId="77777777" w:rsidR="00C91349" w:rsidRPr="0061420E" w:rsidRDefault="00C91349" w:rsidP="004734F6">
      <w:pPr>
        <w:autoSpaceDE w:val="0"/>
        <w:autoSpaceDN w:val="0"/>
        <w:adjustRightInd w:val="0"/>
        <w:jc w:val="both"/>
        <w:rPr>
          <w:rFonts w:ascii="Abadi" w:hAnsi="Abadi" w:cs="Arial-BoldMT"/>
          <w:sz w:val="21"/>
          <w:szCs w:val="21"/>
        </w:rPr>
      </w:pPr>
    </w:p>
    <w:p w14:paraId="1A9D4B1B" w14:textId="4F0AD503"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Las instituciones creadas para brindar justicia y acompañar a las víctimas deben reacomodarse para suplir las omisiones en la información -principalmente la Fiscalía Estatal de Guanajuato- y requieren fortalecerse en su organización y en el respaldo financiero, lo hemos dicho muchas veces, para cumplir a cabalidad sus objetivos. De eso trata este Punto de Acuerdo.</w:t>
      </w:r>
    </w:p>
    <w:p w14:paraId="6D9AAFE0" w14:textId="77777777" w:rsidR="00C91349" w:rsidRPr="0061420E" w:rsidRDefault="00C91349" w:rsidP="004734F6">
      <w:pPr>
        <w:autoSpaceDE w:val="0"/>
        <w:autoSpaceDN w:val="0"/>
        <w:adjustRightInd w:val="0"/>
        <w:jc w:val="both"/>
        <w:rPr>
          <w:rFonts w:ascii="Abadi" w:hAnsi="Abadi" w:cs="Arial-BoldMT"/>
          <w:sz w:val="21"/>
          <w:szCs w:val="21"/>
        </w:rPr>
      </w:pPr>
    </w:p>
    <w:p w14:paraId="1F56FDE9" w14:textId="625A11C5"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En la reciente mesa de trabajo con este Congreso y a pregunta expresa por parte del Grupo   Parlamentario de Morena el Fiscal Zamarripa respondió que nunca había negado la existencia de fosas clandestinas en la entidad. Se le respondió que si hasta antes del 2020 lo que existían eran “hoyos con cuerpos” y el Fiscal lo aceptó. Es como si antes de haber acuñado el término feminicidio en la Ciudad de México a fines de la primera década de este siglo, no hubiese habido asesinatos de mujeres en razón de género o no se reconociera la desigualdad de las personas con discapacidad porque antes se les llamaba “inválidas”. El viejo dilema del problema y cómo se le nombra</w:t>
      </w:r>
      <w:r w:rsidR="001F77BE" w:rsidRPr="0061420E">
        <w:rPr>
          <w:rStyle w:val="Refdenotaalpie"/>
          <w:rFonts w:ascii="Abadi" w:hAnsi="Abadi" w:cs="Arial-BoldMT"/>
          <w:sz w:val="21"/>
          <w:szCs w:val="21"/>
        </w:rPr>
        <w:footnoteReference w:id="23"/>
      </w:r>
      <w:r w:rsidRPr="0061420E">
        <w:rPr>
          <w:rFonts w:ascii="Abadi" w:hAnsi="Abadi" w:cs="Arial-BoldMT"/>
          <w:sz w:val="21"/>
          <w:szCs w:val="21"/>
        </w:rPr>
        <w:t>.</w:t>
      </w:r>
    </w:p>
    <w:p w14:paraId="346893E6" w14:textId="77777777" w:rsidR="00C91349" w:rsidRPr="0061420E" w:rsidRDefault="00C91349" w:rsidP="004734F6">
      <w:pPr>
        <w:autoSpaceDE w:val="0"/>
        <w:autoSpaceDN w:val="0"/>
        <w:adjustRightInd w:val="0"/>
        <w:jc w:val="both"/>
        <w:rPr>
          <w:rFonts w:ascii="Abadi" w:hAnsi="Abadi" w:cs="Arial-BoldMT"/>
          <w:sz w:val="21"/>
          <w:szCs w:val="21"/>
        </w:rPr>
      </w:pPr>
    </w:p>
    <w:p w14:paraId="6757A8D6" w14:textId="15C9619E"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Es conveniente acudir a la historia para contextualizar esta respuesta del Fiscal Zamarripa, ahora que en este Congreso se tiene un formato más adecuado para discutirla y proponer un punto de acuerdo sobre la materia. La narrativa histórica oficial no reconoce su tardía postura en el reconocimiento y en las acciones sobre la desaparición de personas en Guanajuato, por eso es importante desmontar esta versión.</w:t>
      </w:r>
    </w:p>
    <w:p w14:paraId="69B29974" w14:textId="77777777" w:rsidR="00C91349" w:rsidRPr="0061420E" w:rsidRDefault="00C91349" w:rsidP="004734F6">
      <w:pPr>
        <w:autoSpaceDE w:val="0"/>
        <w:autoSpaceDN w:val="0"/>
        <w:adjustRightInd w:val="0"/>
        <w:jc w:val="both"/>
        <w:rPr>
          <w:rFonts w:ascii="Abadi" w:hAnsi="Abadi" w:cs="Arial-BoldMT"/>
          <w:sz w:val="21"/>
          <w:szCs w:val="21"/>
        </w:rPr>
      </w:pPr>
    </w:p>
    <w:p w14:paraId="28F507BD" w14:textId="03B5D3AE" w:rsidR="004734F6" w:rsidRPr="0061420E" w:rsidRDefault="004734F6" w:rsidP="004734F6">
      <w:pPr>
        <w:autoSpaceDE w:val="0"/>
        <w:autoSpaceDN w:val="0"/>
        <w:adjustRightInd w:val="0"/>
        <w:jc w:val="both"/>
        <w:rPr>
          <w:rFonts w:ascii="Abadi" w:hAnsi="Abadi" w:cs="Arial-BoldMT"/>
          <w:i/>
          <w:iCs/>
          <w:sz w:val="21"/>
          <w:szCs w:val="21"/>
        </w:rPr>
      </w:pPr>
      <w:r w:rsidRPr="0061420E">
        <w:rPr>
          <w:rFonts w:ascii="Abadi" w:hAnsi="Abadi" w:cs="Arial-BoldMT"/>
          <w:sz w:val="21"/>
          <w:szCs w:val="21"/>
        </w:rPr>
        <w:t xml:space="preserve">Lo dice mejor el planteamiento atribuido a Milán Kundera: </w:t>
      </w:r>
      <w:r w:rsidRPr="0061420E">
        <w:rPr>
          <w:rFonts w:ascii="Abadi" w:hAnsi="Abadi" w:cs="Arial-BoldMT"/>
          <w:i/>
          <w:iCs/>
          <w:sz w:val="21"/>
          <w:szCs w:val="21"/>
        </w:rPr>
        <w:t>Para liquidar a los pueblos se empieza por privarlos de la memoria. Destruyen tus libros, tu cultura, tu historia. Alguien escribe otros libros, les da otra cultura, inventa otra historia; después, la gente comienza a olvidar lentamente lo que son y lo que fueron.</w:t>
      </w:r>
    </w:p>
    <w:p w14:paraId="71867A32" w14:textId="77777777" w:rsidR="00C91349" w:rsidRPr="0061420E" w:rsidRDefault="00C91349" w:rsidP="004734F6">
      <w:pPr>
        <w:autoSpaceDE w:val="0"/>
        <w:autoSpaceDN w:val="0"/>
        <w:adjustRightInd w:val="0"/>
        <w:jc w:val="both"/>
        <w:rPr>
          <w:rFonts w:ascii="Abadi" w:hAnsi="Abadi" w:cs="Arial-BoldMT"/>
          <w:i/>
          <w:iCs/>
          <w:sz w:val="21"/>
          <w:szCs w:val="21"/>
        </w:rPr>
      </w:pPr>
    </w:p>
    <w:p w14:paraId="5B36AA03" w14:textId="77777777"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El término de fosa clandestina, junto con o como sinónimo de sitio de inhumación clandestina, ya existía en el protocolo homologado de identificación (2015) y el protocolo de investigación en delitos de desaparición de 2019, así como en definiciones, cuando menos indicativas, emitidas públicamente por la Secretaría de Gobernación (2019) y la Comisión Nacional de Derechos Humanos (2016).</w:t>
      </w:r>
    </w:p>
    <w:p w14:paraId="5B251273" w14:textId="77777777"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 xml:space="preserve"> </w:t>
      </w:r>
    </w:p>
    <w:p w14:paraId="3841AC0E" w14:textId="127458E3"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Además, ya era de uso común en muchos estados, por parte de las autoridades también, y claro por parte de decenas de colectivos de familiares en el país.</w:t>
      </w:r>
    </w:p>
    <w:p w14:paraId="1482C107" w14:textId="77777777" w:rsidR="00C91349" w:rsidRPr="0061420E" w:rsidRDefault="00C91349" w:rsidP="004734F6">
      <w:pPr>
        <w:autoSpaceDE w:val="0"/>
        <w:autoSpaceDN w:val="0"/>
        <w:adjustRightInd w:val="0"/>
        <w:jc w:val="both"/>
        <w:rPr>
          <w:rFonts w:ascii="Abadi" w:hAnsi="Abadi" w:cs="Arial-BoldMT"/>
          <w:sz w:val="21"/>
          <w:szCs w:val="21"/>
        </w:rPr>
      </w:pPr>
    </w:p>
    <w:p w14:paraId="4A726C9A" w14:textId="7F306A70"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Cuando se habla de "negación" oficial en Guanajuato, es porque antes del octubre de 2020, cuando salió otro protocolo, el Homologado de Búsqueda, contenía la definición de fosa clandestina; tanto la Unidad de Transparencia de FGE, como las y los funcionarios y el poder ejecutivo, no admitían su existencia en el territorio de Guanajuato, o bien utilizaban eufemismos que, en los hechos, negaban su presencia.</w:t>
      </w:r>
    </w:p>
    <w:p w14:paraId="7F704E2F" w14:textId="77777777" w:rsidR="00C91349" w:rsidRPr="0061420E" w:rsidRDefault="00C91349" w:rsidP="004734F6">
      <w:pPr>
        <w:autoSpaceDE w:val="0"/>
        <w:autoSpaceDN w:val="0"/>
        <w:adjustRightInd w:val="0"/>
        <w:jc w:val="both"/>
        <w:rPr>
          <w:rFonts w:ascii="Abadi" w:hAnsi="Abadi" w:cs="Arial-BoldMT"/>
          <w:sz w:val="21"/>
          <w:szCs w:val="21"/>
        </w:rPr>
      </w:pPr>
    </w:p>
    <w:p w14:paraId="22BD2FC8" w14:textId="7733E4BC"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La Comisión Estatal de Búsqueda es la responsable legal de mantener el registro de fosas clandestinas y comunes; sin embargo, antes de junio de 2020 y de la ley estatal, esto era tarea de la Fiscalía; además, es una tarea compartida porque el registro contiene el listado y datos de fosas, o debería contenerlo, fosas que, por ley, la Fiscalía procesa y registra. Así que la FGE debió de contar con la información completa, misma que es ocultada hasta esa fecha en sus respuestas de transparencia.</w:t>
      </w:r>
    </w:p>
    <w:p w14:paraId="1CDAED2C" w14:textId="77777777" w:rsidR="00C91349" w:rsidRPr="0061420E" w:rsidRDefault="00C91349" w:rsidP="004734F6">
      <w:pPr>
        <w:autoSpaceDE w:val="0"/>
        <w:autoSpaceDN w:val="0"/>
        <w:adjustRightInd w:val="0"/>
        <w:jc w:val="both"/>
        <w:rPr>
          <w:rFonts w:ascii="Abadi" w:hAnsi="Abadi" w:cs="Arial-BoldMT"/>
          <w:sz w:val="21"/>
          <w:szCs w:val="21"/>
        </w:rPr>
      </w:pPr>
    </w:p>
    <w:p w14:paraId="4EDECB58" w14:textId="6D708DE8"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Los informes de la Secretaría de Gobernación hasta octubre de 2020 no documentaron presencia de fosas clandestinas en Guanajuato, pues se basaban entre otras cosas en la información enviada por las fiscalías estatales, y entonces quiere decir que la de nuestro estado seguía enviando información de "cero fosas".</w:t>
      </w:r>
    </w:p>
    <w:p w14:paraId="1200E882" w14:textId="77777777" w:rsidR="00C91349" w:rsidRPr="0061420E" w:rsidRDefault="00C91349" w:rsidP="004734F6">
      <w:pPr>
        <w:autoSpaceDE w:val="0"/>
        <w:autoSpaceDN w:val="0"/>
        <w:adjustRightInd w:val="0"/>
        <w:jc w:val="both"/>
        <w:rPr>
          <w:rFonts w:ascii="Abadi" w:hAnsi="Abadi" w:cs="Arial-BoldMT"/>
          <w:sz w:val="21"/>
          <w:szCs w:val="21"/>
        </w:rPr>
      </w:pPr>
    </w:p>
    <w:p w14:paraId="542BD7F1" w14:textId="77777777"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 xml:space="preserve">Las palabras literales del fiscal sobre fosas indican que la institución ha tenido un patrón de </w:t>
      </w:r>
      <w:proofErr w:type="spellStart"/>
      <w:r w:rsidRPr="0061420E">
        <w:rPr>
          <w:rFonts w:ascii="Abadi" w:hAnsi="Abadi" w:cs="Arial-BoldMT"/>
          <w:sz w:val="21"/>
          <w:szCs w:val="21"/>
        </w:rPr>
        <w:t>invisibilización</w:t>
      </w:r>
      <w:proofErr w:type="spellEnd"/>
      <w:r w:rsidRPr="0061420E">
        <w:rPr>
          <w:rFonts w:ascii="Abadi" w:hAnsi="Abadi" w:cs="Arial-BoldMT"/>
          <w:sz w:val="21"/>
          <w:szCs w:val="21"/>
        </w:rPr>
        <w:t>, no-prioridad y desinterés, que se traduce una negación de facto del fenómeno; como antes de 2019-2020 lo había tenido, con el problema y las altas cifras de personas desaparecidas.</w:t>
      </w:r>
    </w:p>
    <w:p w14:paraId="310824C0" w14:textId="77777777"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 xml:space="preserve"> </w:t>
      </w:r>
    </w:p>
    <w:p w14:paraId="20769851" w14:textId="063DC024"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Para fortalecer este señalamiento, leeré algunos párrafos del Informe sobre la situación de fosas clandestinas en el estado de Guanajuato</w:t>
      </w:r>
      <w:r w:rsidR="00C91349" w:rsidRPr="0061420E">
        <w:rPr>
          <w:rStyle w:val="Refdenotaalpie"/>
          <w:rFonts w:ascii="Abadi" w:hAnsi="Abadi" w:cs="Arial-BoldMT"/>
          <w:sz w:val="21"/>
          <w:szCs w:val="21"/>
        </w:rPr>
        <w:footnoteReference w:id="24"/>
      </w:r>
    </w:p>
    <w:p w14:paraId="00BE289B" w14:textId="77777777" w:rsidR="004734F6" w:rsidRPr="0061420E" w:rsidRDefault="004734F6" w:rsidP="004734F6">
      <w:pPr>
        <w:autoSpaceDE w:val="0"/>
        <w:autoSpaceDN w:val="0"/>
        <w:adjustRightInd w:val="0"/>
        <w:jc w:val="both"/>
        <w:rPr>
          <w:rFonts w:ascii="Abadi" w:hAnsi="Abadi" w:cs="Arial-BoldMT"/>
          <w:sz w:val="21"/>
          <w:szCs w:val="21"/>
        </w:rPr>
      </w:pPr>
    </w:p>
    <w:p w14:paraId="1A28793C" w14:textId="37A38661" w:rsidR="004734F6" w:rsidRPr="0061420E" w:rsidRDefault="004734F6" w:rsidP="00D572B0">
      <w:pPr>
        <w:autoSpaceDE w:val="0"/>
        <w:autoSpaceDN w:val="0"/>
        <w:adjustRightInd w:val="0"/>
        <w:ind w:left="705" w:hanging="705"/>
        <w:jc w:val="both"/>
        <w:rPr>
          <w:rFonts w:ascii="Abadi" w:hAnsi="Abadi" w:cs="Arial-BoldMT"/>
          <w:sz w:val="21"/>
          <w:szCs w:val="21"/>
        </w:rPr>
      </w:pPr>
      <w:r w:rsidRPr="0061420E">
        <w:rPr>
          <w:rFonts w:ascii="Abadi" w:hAnsi="Abadi" w:cs="Arial-BoldMT"/>
          <w:sz w:val="21"/>
          <w:szCs w:val="21"/>
        </w:rPr>
        <w:t>•</w:t>
      </w:r>
      <w:r w:rsidRPr="0061420E">
        <w:rPr>
          <w:rFonts w:ascii="Abadi" w:hAnsi="Abadi" w:cs="Arial-BoldMT"/>
          <w:sz w:val="21"/>
          <w:szCs w:val="21"/>
        </w:rPr>
        <w:tab/>
        <w:t>“El Informe Especial de la Comisión Nacional de los Derechos Humanos (CNDH) sobre Desaparición de Personas y Fosas Clandestinas en México de 2016 destacó, con base en fuentes hemerográficas, el hallazgo entre 2007 y septiembre de 2016 de 18 fosas clandestinas con 22 cuerpos en la entidad”.</w:t>
      </w:r>
    </w:p>
    <w:p w14:paraId="17670192" w14:textId="77777777" w:rsidR="00002DE5" w:rsidRPr="0061420E" w:rsidRDefault="00002DE5" w:rsidP="004734F6">
      <w:pPr>
        <w:autoSpaceDE w:val="0"/>
        <w:autoSpaceDN w:val="0"/>
        <w:adjustRightInd w:val="0"/>
        <w:jc w:val="both"/>
        <w:rPr>
          <w:rFonts w:ascii="Abadi" w:hAnsi="Abadi" w:cs="Arial-BoldMT"/>
          <w:sz w:val="21"/>
          <w:szCs w:val="21"/>
        </w:rPr>
      </w:pPr>
    </w:p>
    <w:p w14:paraId="1DBFABBF" w14:textId="77777777" w:rsidR="004734F6" w:rsidRPr="0061420E" w:rsidRDefault="004734F6" w:rsidP="00D572B0">
      <w:pPr>
        <w:autoSpaceDE w:val="0"/>
        <w:autoSpaceDN w:val="0"/>
        <w:adjustRightInd w:val="0"/>
        <w:ind w:left="705" w:hanging="705"/>
        <w:jc w:val="both"/>
        <w:rPr>
          <w:rFonts w:ascii="Abadi" w:hAnsi="Abadi" w:cs="Arial-BoldMT"/>
          <w:sz w:val="21"/>
          <w:szCs w:val="21"/>
        </w:rPr>
      </w:pPr>
      <w:r w:rsidRPr="0061420E">
        <w:rPr>
          <w:rFonts w:ascii="Abadi" w:hAnsi="Abadi" w:cs="Arial-BoldMT"/>
          <w:sz w:val="21"/>
          <w:szCs w:val="21"/>
        </w:rPr>
        <w:t>•</w:t>
      </w:r>
      <w:r w:rsidRPr="0061420E">
        <w:rPr>
          <w:rFonts w:ascii="Abadi" w:hAnsi="Abadi" w:cs="Arial-BoldMT"/>
          <w:sz w:val="21"/>
          <w:szCs w:val="21"/>
        </w:rPr>
        <w:tab/>
        <w:t>“Por otro lado,  el 13 de  mayo de  2019, el subsecretario de  Derechos Humanos, Población y Migración, Alejandro Encinas Rodríguez, y la Comisión Nacional de Búsqueda de Personas Desaparecidas (CNB) presentaron un Informe sobre Fosas Clandestinas y el Registro Nacional de Personas Desaparecidas o No Localizadas (RNPDNO), en el cual se documentó únicamente la localización por parte de la Federación de tan solo una fosa clandestina en Guanajuato en los primeros cinco meses del gobierno en turno…en cambio, el mismo Informe actualizado al 6 de enero de 2020 no documentó la existencia de fosas clandestinas en el estado. Asimismo, en julio 13 de 2020, en la última presentación del RNPDNO y de datos de fosas clandestinas con las que cuenta la Comisión Nacional de Búsqueda (CNB), el estado de Guanajuato fue señalado entre las seis entidades que no habían entregado datos actualizados sobre personas desaparecidas y tampoco aparece entre las entidades con hallazgos de fosas clandestinas”.</w:t>
      </w:r>
    </w:p>
    <w:p w14:paraId="5D2C7F29" w14:textId="77777777"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 xml:space="preserve"> </w:t>
      </w:r>
    </w:p>
    <w:p w14:paraId="0F173601" w14:textId="77777777" w:rsidR="004734F6" w:rsidRPr="0061420E" w:rsidRDefault="004734F6" w:rsidP="00D572B0">
      <w:pPr>
        <w:autoSpaceDE w:val="0"/>
        <w:autoSpaceDN w:val="0"/>
        <w:adjustRightInd w:val="0"/>
        <w:ind w:left="705"/>
        <w:jc w:val="both"/>
        <w:rPr>
          <w:rFonts w:ascii="Abadi" w:hAnsi="Abadi" w:cs="Arial-BoldMT"/>
          <w:sz w:val="21"/>
          <w:szCs w:val="21"/>
        </w:rPr>
      </w:pPr>
      <w:r w:rsidRPr="0061420E">
        <w:rPr>
          <w:rFonts w:ascii="Abadi" w:hAnsi="Abadi" w:cs="Arial-BoldMT"/>
          <w:sz w:val="21"/>
          <w:szCs w:val="21"/>
        </w:rPr>
        <w:t xml:space="preserve">“En contraste con lo difundido en 2019 por autoridades federales y con lo que han estado reportando los medios de comunicación locales, nacionales e internacionales, los datos oficiales de la Fiscalía General del Estado (FGE) no indican la presencia de fosas clandestinas en Guanajuato ni de registros adecuados según lo prevé la </w:t>
      </w:r>
      <w:r w:rsidRPr="0061420E">
        <w:rPr>
          <w:rFonts w:ascii="Abadi" w:hAnsi="Abadi" w:cs="Arial-BoldMT"/>
          <w:i/>
          <w:iCs/>
          <w:sz w:val="21"/>
          <w:szCs w:val="21"/>
        </w:rPr>
        <w:t>Ley General en Materia de Desaparición Forzada, Desaparición Cometida por Particulares y del Sistema Nacional de Búsqueda de Personas”</w:t>
      </w:r>
      <w:r w:rsidRPr="0061420E">
        <w:rPr>
          <w:rFonts w:ascii="Abadi" w:hAnsi="Abadi" w:cs="Arial-BoldMT"/>
          <w:sz w:val="21"/>
          <w:szCs w:val="21"/>
        </w:rPr>
        <w:t>.</w:t>
      </w:r>
    </w:p>
    <w:p w14:paraId="087F87F4" w14:textId="77777777" w:rsidR="004734F6" w:rsidRPr="0061420E" w:rsidRDefault="004734F6" w:rsidP="004734F6">
      <w:pPr>
        <w:autoSpaceDE w:val="0"/>
        <w:autoSpaceDN w:val="0"/>
        <w:adjustRightInd w:val="0"/>
        <w:jc w:val="both"/>
        <w:rPr>
          <w:rFonts w:ascii="Abadi" w:hAnsi="Abadi" w:cs="Arial-BoldMT"/>
          <w:sz w:val="21"/>
          <w:szCs w:val="21"/>
        </w:rPr>
      </w:pPr>
    </w:p>
    <w:p w14:paraId="1F8F48F9" w14:textId="60979E9F" w:rsidR="004734F6" w:rsidRPr="0061420E" w:rsidRDefault="004734F6" w:rsidP="00D572B0">
      <w:pPr>
        <w:autoSpaceDE w:val="0"/>
        <w:autoSpaceDN w:val="0"/>
        <w:adjustRightInd w:val="0"/>
        <w:ind w:left="705" w:hanging="705"/>
        <w:jc w:val="both"/>
        <w:rPr>
          <w:rFonts w:ascii="Abadi" w:hAnsi="Abadi" w:cs="Arial-BoldMT"/>
          <w:sz w:val="21"/>
          <w:szCs w:val="21"/>
        </w:rPr>
      </w:pPr>
      <w:r w:rsidRPr="0061420E">
        <w:rPr>
          <w:rFonts w:ascii="Abadi" w:hAnsi="Abadi" w:cs="Arial-BoldMT"/>
          <w:sz w:val="21"/>
          <w:szCs w:val="21"/>
        </w:rPr>
        <w:t>•</w:t>
      </w:r>
      <w:r w:rsidRPr="0061420E">
        <w:rPr>
          <w:rFonts w:ascii="Abadi" w:hAnsi="Abadi" w:cs="Arial-BoldMT"/>
          <w:sz w:val="21"/>
          <w:szCs w:val="21"/>
        </w:rPr>
        <w:tab/>
        <w:t>“Respecto de la petición contestada por la FGE el 21 de octubre de 2019, solicitud 02686819 en la que se preguntaba por el número de fosas clandestinas y de cuerpos exhumados, la Unidad reiteró que no se contaba con casos o registros bajo dichos parámetros en el estado, es decir que no había registro de  fosas clandestinas,  aunque  reiteró la  presencia  entre 2015 y septiembre de 2019 de 20 cuerpos de personas enterrados en la entidad, sin dar a conocer su ubicación, misma que no está asentada en una base de datos, sino solamente en las carpetas de investigación de cada caso”</w:t>
      </w:r>
      <w:r w:rsidR="00002DE5" w:rsidRPr="0061420E">
        <w:rPr>
          <w:rStyle w:val="Refdenotaalpie"/>
          <w:rFonts w:ascii="Abadi" w:hAnsi="Abadi" w:cs="Arial-BoldMT"/>
          <w:sz w:val="21"/>
          <w:szCs w:val="21"/>
        </w:rPr>
        <w:footnoteReference w:id="25"/>
      </w:r>
      <w:r w:rsidRPr="0061420E">
        <w:rPr>
          <w:rFonts w:ascii="Abadi" w:hAnsi="Abadi" w:cs="Arial-BoldMT"/>
          <w:sz w:val="21"/>
          <w:szCs w:val="21"/>
        </w:rPr>
        <w:t>.</w:t>
      </w:r>
    </w:p>
    <w:p w14:paraId="33AD2E6D" w14:textId="77777777" w:rsidR="00C74A9D" w:rsidRPr="0061420E" w:rsidRDefault="00C74A9D" w:rsidP="00D572B0">
      <w:pPr>
        <w:autoSpaceDE w:val="0"/>
        <w:autoSpaceDN w:val="0"/>
        <w:adjustRightInd w:val="0"/>
        <w:ind w:left="705" w:hanging="705"/>
        <w:jc w:val="both"/>
        <w:rPr>
          <w:rFonts w:ascii="Abadi" w:hAnsi="Abadi" w:cs="Arial-BoldMT"/>
          <w:sz w:val="21"/>
          <w:szCs w:val="21"/>
        </w:rPr>
      </w:pPr>
    </w:p>
    <w:p w14:paraId="3596E665" w14:textId="7CB3B52B" w:rsidR="004734F6" w:rsidRPr="0061420E" w:rsidRDefault="004734F6" w:rsidP="00D572B0">
      <w:pPr>
        <w:autoSpaceDE w:val="0"/>
        <w:autoSpaceDN w:val="0"/>
        <w:adjustRightInd w:val="0"/>
        <w:ind w:left="705" w:hanging="705"/>
        <w:jc w:val="both"/>
        <w:rPr>
          <w:rFonts w:ascii="Abadi" w:hAnsi="Abadi" w:cs="Arial-BoldMT"/>
          <w:sz w:val="21"/>
          <w:szCs w:val="21"/>
        </w:rPr>
      </w:pPr>
      <w:r w:rsidRPr="0061420E">
        <w:rPr>
          <w:rFonts w:ascii="Abadi" w:hAnsi="Abadi" w:cs="Arial-BoldMT"/>
          <w:sz w:val="21"/>
          <w:szCs w:val="21"/>
        </w:rPr>
        <w:t>•</w:t>
      </w:r>
      <w:r w:rsidRPr="0061420E">
        <w:rPr>
          <w:rFonts w:ascii="Abadi" w:hAnsi="Abadi" w:cs="Arial-BoldMT"/>
          <w:sz w:val="21"/>
          <w:szCs w:val="21"/>
        </w:rPr>
        <w:tab/>
        <w:t>“Ante congresistas locales y medios, en noviembre de 2019, la fiscal especializada en desapariciones, Yolanda Ramírez, sostenía que sólo había</w:t>
      </w:r>
      <w:r w:rsidR="00D572B0" w:rsidRPr="0061420E">
        <w:rPr>
          <w:rFonts w:ascii="Abadi" w:hAnsi="Abadi" w:cs="Arial-BoldMT"/>
          <w:sz w:val="21"/>
          <w:szCs w:val="21"/>
        </w:rPr>
        <w:t xml:space="preserve"> </w:t>
      </w:r>
      <w:r w:rsidRPr="0061420E">
        <w:rPr>
          <w:rFonts w:ascii="Abadi" w:hAnsi="Abadi" w:cs="Arial-BoldMT"/>
          <w:sz w:val="21"/>
          <w:szCs w:val="21"/>
        </w:rPr>
        <w:t>11 denuncias por desaparición de personas en el estado, y esta información es confirmada dentro de la respuesta a solicitud de información pública que se acaba de citar. En ese momento, según datos recabados de peticiones ciudadanas, la cifra real era de por lo menos 1,443 personas desaparecidas</w:t>
      </w:r>
      <w:r w:rsidR="00D572B0" w:rsidRPr="0061420E">
        <w:rPr>
          <w:rStyle w:val="Refdenotaalpie"/>
          <w:rFonts w:ascii="Abadi" w:hAnsi="Abadi" w:cs="Arial-BoldMT"/>
          <w:sz w:val="21"/>
          <w:szCs w:val="21"/>
        </w:rPr>
        <w:footnoteReference w:id="26"/>
      </w:r>
      <w:r w:rsidRPr="0061420E">
        <w:rPr>
          <w:rFonts w:ascii="Abadi" w:hAnsi="Abadi" w:cs="Arial-BoldMT"/>
          <w:sz w:val="21"/>
          <w:szCs w:val="21"/>
        </w:rPr>
        <w:t>”.</w:t>
      </w:r>
    </w:p>
    <w:p w14:paraId="7911868E" w14:textId="77777777"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 xml:space="preserve"> </w:t>
      </w:r>
    </w:p>
    <w:p w14:paraId="3063FBEF" w14:textId="77777777" w:rsidR="004734F6" w:rsidRPr="0061420E" w:rsidRDefault="004734F6" w:rsidP="00D572B0">
      <w:pPr>
        <w:autoSpaceDE w:val="0"/>
        <w:autoSpaceDN w:val="0"/>
        <w:adjustRightInd w:val="0"/>
        <w:ind w:left="705" w:hanging="705"/>
        <w:jc w:val="both"/>
        <w:rPr>
          <w:rFonts w:ascii="Abadi" w:hAnsi="Abadi" w:cs="Arial-BoldMT"/>
          <w:sz w:val="21"/>
          <w:szCs w:val="21"/>
        </w:rPr>
      </w:pPr>
      <w:r w:rsidRPr="0061420E">
        <w:rPr>
          <w:rFonts w:ascii="Abadi" w:hAnsi="Abadi" w:cs="Arial-BoldMT"/>
          <w:sz w:val="21"/>
          <w:szCs w:val="21"/>
        </w:rPr>
        <w:t>•</w:t>
      </w:r>
      <w:r w:rsidRPr="0061420E">
        <w:rPr>
          <w:rFonts w:ascii="Abadi" w:hAnsi="Abadi" w:cs="Arial-BoldMT"/>
          <w:sz w:val="21"/>
          <w:szCs w:val="21"/>
        </w:rPr>
        <w:tab/>
        <w:t>“Además, los testimonios de familias y grupos de buscadores en el estado (con uno o más casos de desaparición) se estaban multiplicando y para finales de año ya tenían mayor visibilización. Los datos de la FGE obtenidos por transparencia, señalaban que había por lo menos 1,040 casos de personas desaparecidas y que en el rango máximo podría llegar hasta 2,100 personas, al corte del 31/12/2019 (folio 00052820 del 20/01/2020). El problema es que casi todos se clasificaban como “indagatorias por no localización de personas”, o sea no se investigaban por los delitos tipificados en la Ley General en Materia de Desaparición”.</w:t>
      </w:r>
    </w:p>
    <w:p w14:paraId="06C4CD87" w14:textId="5836788C" w:rsidR="004734F6" w:rsidRPr="0061420E" w:rsidRDefault="004734F6" w:rsidP="00754BA7">
      <w:pPr>
        <w:autoSpaceDE w:val="0"/>
        <w:autoSpaceDN w:val="0"/>
        <w:adjustRightInd w:val="0"/>
        <w:ind w:left="705" w:hanging="705"/>
        <w:jc w:val="both"/>
        <w:rPr>
          <w:rFonts w:ascii="Abadi" w:hAnsi="Abadi" w:cs="Arial-BoldMT"/>
          <w:sz w:val="21"/>
          <w:szCs w:val="21"/>
        </w:rPr>
      </w:pPr>
      <w:r w:rsidRPr="0061420E">
        <w:rPr>
          <w:rFonts w:ascii="Abadi" w:hAnsi="Abadi" w:cs="Arial-BoldMT"/>
          <w:sz w:val="21"/>
          <w:szCs w:val="21"/>
        </w:rPr>
        <w:t>•</w:t>
      </w:r>
      <w:r w:rsidRPr="0061420E">
        <w:rPr>
          <w:rFonts w:ascii="Abadi" w:hAnsi="Abadi" w:cs="Arial-BoldMT"/>
          <w:sz w:val="21"/>
          <w:szCs w:val="21"/>
        </w:rPr>
        <w:tab/>
        <w:t>“El 20 de enero de 2020, ante la solicitud 00052820, que pedía información sobre el número y la ubicación de las fosas clandestinas o entierros clandestinos (superficiales o profundos) de cualquier tipo, así como de los restos humanos o cuerpos de personas encontrados desde que se tuviera registro, la Unidad de Transparencia contestó que no se contaba con registros de fosas en el Estado Respuesta similar se obtuvo el 13 de febrero de 2020, en respuesta a las solicitudes con folios 00345020 y 00349020”,</w:t>
      </w:r>
    </w:p>
    <w:p w14:paraId="3CBB7949" w14:textId="77777777" w:rsidR="00754BA7" w:rsidRPr="0061420E" w:rsidRDefault="00754BA7" w:rsidP="00754BA7">
      <w:pPr>
        <w:autoSpaceDE w:val="0"/>
        <w:autoSpaceDN w:val="0"/>
        <w:adjustRightInd w:val="0"/>
        <w:ind w:left="705" w:hanging="705"/>
        <w:jc w:val="both"/>
        <w:rPr>
          <w:rFonts w:ascii="Abadi" w:hAnsi="Abadi" w:cs="Arial-BoldMT"/>
          <w:sz w:val="21"/>
          <w:szCs w:val="21"/>
        </w:rPr>
      </w:pPr>
    </w:p>
    <w:p w14:paraId="470D7561" w14:textId="5AFF8A0C"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Actualmente en la página de la Fiscalía de Guanajuato se publica un "mapa"</w:t>
      </w:r>
      <w:r w:rsidR="00754BA7" w:rsidRPr="0061420E">
        <w:rPr>
          <w:rStyle w:val="Refdenotaalpie"/>
          <w:rFonts w:ascii="Abadi" w:hAnsi="Abadi" w:cs="Arial-BoldMT"/>
          <w:sz w:val="21"/>
          <w:szCs w:val="21"/>
        </w:rPr>
        <w:footnoteReference w:id="27"/>
      </w:r>
      <w:r w:rsidRPr="0061420E">
        <w:rPr>
          <w:rFonts w:ascii="Abadi" w:hAnsi="Abadi" w:cs="Arial-BoldMT"/>
          <w:sz w:val="21"/>
          <w:szCs w:val="21"/>
        </w:rPr>
        <w:t xml:space="preserve"> que según FGE vale como "registro", en sustitución del registro de fosas o como listado de hallazgos que procesó la fiscalía, siendo que estos últimos son muchos más y no están en el mapa; este mapa además no tiene información suficiente sobre periodos de procesamiento y descubrimiento y fechas.</w:t>
      </w:r>
    </w:p>
    <w:p w14:paraId="6A5CF310" w14:textId="77777777"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Dada la inconsistencia histórica en los reportes, porque no se ajustan a definiciones propias y a la tendencia sistemática a la elusión de la información proporcionada por la FEG, relacionada con personas desaparecidas, fosas clandestinas y contextos de hallazgo -como es el caso de la zona cerril de Juventino Rosas pues técnicamente un pozo puede no ser una fosa clandestina-, se propone a esta Soberanía el siguiente punto de:</w:t>
      </w:r>
    </w:p>
    <w:p w14:paraId="3C5F4C99" w14:textId="77777777" w:rsidR="00013A20" w:rsidRPr="0061420E" w:rsidRDefault="00013A20" w:rsidP="004734F6">
      <w:pPr>
        <w:autoSpaceDE w:val="0"/>
        <w:autoSpaceDN w:val="0"/>
        <w:adjustRightInd w:val="0"/>
        <w:jc w:val="both"/>
        <w:rPr>
          <w:rFonts w:ascii="Abadi" w:hAnsi="Abadi" w:cs="Arial-BoldMT"/>
          <w:sz w:val="21"/>
          <w:szCs w:val="21"/>
        </w:rPr>
      </w:pPr>
    </w:p>
    <w:p w14:paraId="0AE58B13" w14:textId="3B86C5CE" w:rsidR="004734F6" w:rsidRPr="0061420E" w:rsidRDefault="004734F6" w:rsidP="00013A20">
      <w:pPr>
        <w:autoSpaceDE w:val="0"/>
        <w:autoSpaceDN w:val="0"/>
        <w:adjustRightInd w:val="0"/>
        <w:jc w:val="center"/>
        <w:rPr>
          <w:rFonts w:ascii="Abadi" w:hAnsi="Abadi" w:cs="Arial-BoldMT"/>
          <w:b/>
          <w:bCs/>
          <w:sz w:val="21"/>
          <w:szCs w:val="21"/>
        </w:rPr>
      </w:pPr>
      <w:r w:rsidRPr="0061420E">
        <w:rPr>
          <w:rFonts w:ascii="Abadi" w:hAnsi="Abadi" w:cs="Arial-BoldMT"/>
          <w:b/>
          <w:bCs/>
          <w:sz w:val="21"/>
          <w:szCs w:val="21"/>
        </w:rPr>
        <w:t>ACUERDO:</w:t>
      </w:r>
    </w:p>
    <w:p w14:paraId="23151EB6" w14:textId="77777777" w:rsidR="004734F6" w:rsidRPr="0061420E" w:rsidRDefault="004734F6" w:rsidP="004734F6">
      <w:pPr>
        <w:autoSpaceDE w:val="0"/>
        <w:autoSpaceDN w:val="0"/>
        <w:adjustRightInd w:val="0"/>
        <w:jc w:val="both"/>
        <w:rPr>
          <w:rFonts w:ascii="Abadi" w:hAnsi="Abadi" w:cs="Arial-BoldMT"/>
          <w:sz w:val="21"/>
          <w:szCs w:val="21"/>
        </w:rPr>
      </w:pPr>
    </w:p>
    <w:p w14:paraId="7C47F88A" w14:textId="77777777" w:rsidR="004734F6"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b/>
          <w:bCs/>
          <w:sz w:val="21"/>
          <w:szCs w:val="21"/>
        </w:rPr>
        <w:t>ÚNICO</w:t>
      </w:r>
      <w:r w:rsidRPr="0061420E">
        <w:rPr>
          <w:rFonts w:ascii="Abadi" w:hAnsi="Abadi" w:cs="Arial-BoldMT"/>
          <w:sz w:val="21"/>
          <w:szCs w:val="21"/>
        </w:rPr>
        <w:t>. - Esta LXV Legislatura del Estado de Guanajuato acuerda girar un respetuoso EXHORTO al Fiscal General de Guanajuato Carlos Zamarripa para que la Fiscalía a su cargo obre bajo el principio de máxima publicidad con respecto al derecho a la información sobre todos los contextos de hallazgo, incluyendo en particular las fosas clandestinas de los que tiene conocimiento y homologue consecuentemente los datos del “mapa” que aparecen en su página oficial.</w:t>
      </w:r>
    </w:p>
    <w:p w14:paraId="7016D0D3" w14:textId="77777777" w:rsidR="004734F6" w:rsidRPr="0061420E" w:rsidRDefault="004734F6" w:rsidP="004734F6">
      <w:pPr>
        <w:autoSpaceDE w:val="0"/>
        <w:autoSpaceDN w:val="0"/>
        <w:adjustRightInd w:val="0"/>
        <w:jc w:val="both"/>
        <w:rPr>
          <w:rFonts w:ascii="Abadi" w:hAnsi="Abadi" w:cs="Arial-BoldMT"/>
          <w:sz w:val="21"/>
          <w:szCs w:val="21"/>
        </w:rPr>
      </w:pPr>
    </w:p>
    <w:p w14:paraId="1ED28D0A" w14:textId="77777777" w:rsidR="004734F6" w:rsidRPr="0061420E" w:rsidRDefault="004734F6" w:rsidP="00013A20">
      <w:pPr>
        <w:autoSpaceDE w:val="0"/>
        <w:autoSpaceDN w:val="0"/>
        <w:adjustRightInd w:val="0"/>
        <w:jc w:val="center"/>
        <w:rPr>
          <w:rFonts w:ascii="Abadi" w:hAnsi="Abadi" w:cs="Arial-BoldMT"/>
          <w:b/>
          <w:bCs/>
          <w:sz w:val="21"/>
          <w:szCs w:val="21"/>
        </w:rPr>
      </w:pPr>
      <w:r w:rsidRPr="0061420E">
        <w:rPr>
          <w:rFonts w:ascii="Abadi" w:hAnsi="Abadi" w:cs="Arial-BoldMT"/>
          <w:b/>
          <w:bCs/>
          <w:sz w:val="21"/>
          <w:szCs w:val="21"/>
        </w:rPr>
        <w:t>Diputado David Martínez Mendizábal.</w:t>
      </w:r>
    </w:p>
    <w:p w14:paraId="0E79716F" w14:textId="77777777" w:rsidR="004734F6" w:rsidRPr="0061420E" w:rsidRDefault="004734F6" w:rsidP="00013A20">
      <w:pPr>
        <w:autoSpaceDE w:val="0"/>
        <w:autoSpaceDN w:val="0"/>
        <w:adjustRightInd w:val="0"/>
        <w:jc w:val="center"/>
        <w:rPr>
          <w:rFonts w:ascii="Abadi" w:hAnsi="Abadi" w:cs="Arial-BoldMT"/>
          <w:b/>
          <w:bCs/>
          <w:sz w:val="21"/>
          <w:szCs w:val="21"/>
        </w:rPr>
      </w:pPr>
    </w:p>
    <w:p w14:paraId="640156A9" w14:textId="77777777" w:rsidR="004734F6" w:rsidRPr="0061420E" w:rsidRDefault="004734F6" w:rsidP="00013A20">
      <w:pPr>
        <w:autoSpaceDE w:val="0"/>
        <w:autoSpaceDN w:val="0"/>
        <w:adjustRightInd w:val="0"/>
        <w:jc w:val="center"/>
        <w:rPr>
          <w:rFonts w:ascii="Abadi" w:hAnsi="Abadi" w:cs="Arial-BoldMT"/>
          <w:b/>
          <w:bCs/>
          <w:sz w:val="21"/>
          <w:szCs w:val="21"/>
        </w:rPr>
      </w:pPr>
      <w:r w:rsidRPr="0061420E">
        <w:rPr>
          <w:rFonts w:ascii="Abadi" w:hAnsi="Abadi" w:cs="Arial-BoldMT"/>
          <w:b/>
          <w:bCs/>
          <w:sz w:val="21"/>
          <w:szCs w:val="21"/>
        </w:rPr>
        <w:t>Grupo Parlamentario de Morena.</w:t>
      </w:r>
    </w:p>
    <w:p w14:paraId="5040768B" w14:textId="77777777" w:rsidR="004734F6" w:rsidRPr="0061420E" w:rsidRDefault="004734F6" w:rsidP="004734F6">
      <w:pPr>
        <w:autoSpaceDE w:val="0"/>
        <w:autoSpaceDN w:val="0"/>
        <w:adjustRightInd w:val="0"/>
        <w:jc w:val="both"/>
        <w:rPr>
          <w:rFonts w:ascii="Abadi" w:hAnsi="Abadi" w:cs="Arial-BoldMT"/>
          <w:sz w:val="21"/>
          <w:szCs w:val="21"/>
        </w:rPr>
      </w:pPr>
    </w:p>
    <w:p w14:paraId="48F9D4CC" w14:textId="30367359" w:rsidR="008F40ED" w:rsidRPr="0061420E" w:rsidRDefault="004734F6" w:rsidP="004734F6">
      <w:pPr>
        <w:autoSpaceDE w:val="0"/>
        <w:autoSpaceDN w:val="0"/>
        <w:adjustRightInd w:val="0"/>
        <w:jc w:val="both"/>
        <w:rPr>
          <w:rFonts w:ascii="Abadi" w:hAnsi="Abadi" w:cs="Arial-BoldMT"/>
          <w:sz w:val="21"/>
          <w:szCs w:val="21"/>
        </w:rPr>
      </w:pPr>
      <w:r w:rsidRPr="0061420E">
        <w:rPr>
          <w:rFonts w:ascii="Abadi" w:hAnsi="Abadi" w:cs="Arial-BoldMT"/>
          <w:sz w:val="21"/>
          <w:szCs w:val="21"/>
        </w:rPr>
        <w:t xml:space="preserve">Guanajuato, </w:t>
      </w:r>
      <w:proofErr w:type="spellStart"/>
      <w:r w:rsidRPr="0061420E">
        <w:rPr>
          <w:rFonts w:ascii="Abadi" w:hAnsi="Abadi" w:cs="Arial-BoldMT"/>
          <w:sz w:val="21"/>
          <w:szCs w:val="21"/>
        </w:rPr>
        <w:t>Gto</w:t>
      </w:r>
      <w:proofErr w:type="spellEnd"/>
      <w:r w:rsidRPr="0061420E">
        <w:rPr>
          <w:rFonts w:ascii="Abadi" w:hAnsi="Abadi" w:cs="Arial-BoldMT"/>
          <w:sz w:val="21"/>
          <w:szCs w:val="21"/>
        </w:rPr>
        <w:t>; 16 de mayo de 2022.</w:t>
      </w:r>
    </w:p>
    <w:p w14:paraId="1C3F2121" w14:textId="0F532BF4" w:rsidR="00C33AA7" w:rsidRPr="005D00FE" w:rsidRDefault="00C33AA7" w:rsidP="00C33AA7">
      <w:pPr>
        <w:pStyle w:val="NormalWeb"/>
        <w:ind w:firstLine="708"/>
        <w:jc w:val="both"/>
        <w:rPr>
          <w:rFonts w:ascii="Abadi" w:hAnsi="Abadi"/>
          <w:b/>
          <w:bCs/>
          <w:sz w:val="21"/>
          <w:szCs w:val="21"/>
        </w:rPr>
      </w:pPr>
      <w:r w:rsidRPr="0061420E">
        <w:rPr>
          <w:rFonts w:ascii="Abadi" w:hAnsi="Abadi"/>
          <w:b/>
          <w:bCs/>
          <w:sz w:val="21"/>
          <w:szCs w:val="21"/>
        </w:rPr>
        <w:t xml:space="preserve">- La </w:t>
      </w:r>
      <w:proofErr w:type="gramStart"/>
      <w:r w:rsidRPr="0061420E">
        <w:rPr>
          <w:rFonts w:ascii="Abadi" w:hAnsi="Abadi"/>
          <w:b/>
          <w:bCs/>
          <w:sz w:val="21"/>
          <w:szCs w:val="21"/>
        </w:rPr>
        <w:t>Presidencia.-</w:t>
      </w:r>
      <w:proofErr w:type="gramEnd"/>
      <w:r w:rsidRPr="0061420E">
        <w:rPr>
          <w:rFonts w:ascii="Abadi" w:hAnsi="Abadi"/>
          <w:sz w:val="21"/>
          <w:szCs w:val="21"/>
        </w:rPr>
        <w:t xml:space="preserve"> Se solicita el diputado Martín López Camacho, dar </w:t>
      </w:r>
      <w:r w:rsidRPr="0021199F">
        <w:rPr>
          <w:rFonts w:ascii="Abadi" w:hAnsi="Abadi"/>
          <w:sz w:val="21"/>
          <w:szCs w:val="21"/>
        </w:rPr>
        <w:t xml:space="preserve">lectura la propuesta de punto de acuerdo de obvia resolución formulada por diputadas y diputados integrantes del </w:t>
      </w:r>
      <w:r>
        <w:rPr>
          <w:rFonts w:ascii="Abadi" w:hAnsi="Abadi"/>
          <w:sz w:val="21"/>
          <w:szCs w:val="21"/>
        </w:rPr>
        <w:t>G</w:t>
      </w:r>
      <w:r w:rsidRPr="0021199F">
        <w:rPr>
          <w:rFonts w:ascii="Abadi" w:hAnsi="Abadi"/>
          <w:sz w:val="21"/>
          <w:szCs w:val="21"/>
        </w:rPr>
        <w:t xml:space="preserve">rupo </w:t>
      </w:r>
      <w:r>
        <w:rPr>
          <w:rFonts w:ascii="Abadi" w:hAnsi="Abadi"/>
          <w:sz w:val="21"/>
          <w:szCs w:val="21"/>
        </w:rPr>
        <w:t>P</w:t>
      </w:r>
      <w:r w:rsidRPr="0021199F">
        <w:rPr>
          <w:rFonts w:ascii="Abadi" w:hAnsi="Abadi"/>
          <w:sz w:val="21"/>
          <w:szCs w:val="21"/>
        </w:rPr>
        <w:t>arlamentario del Partido Acción Nacional</w:t>
      </w:r>
      <w:r>
        <w:rPr>
          <w:rFonts w:ascii="Abadi" w:hAnsi="Abadi"/>
          <w:sz w:val="21"/>
          <w:szCs w:val="21"/>
        </w:rPr>
        <w:t xml:space="preserve">, a efecto de </w:t>
      </w:r>
      <w:r w:rsidRPr="0021199F">
        <w:rPr>
          <w:rFonts w:ascii="Abadi" w:hAnsi="Abadi"/>
          <w:sz w:val="21"/>
          <w:szCs w:val="21"/>
        </w:rPr>
        <w:t xml:space="preserve">exhorta al </w:t>
      </w:r>
      <w:r>
        <w:rPr>
          <w:rFonts w:ascii="Abadi" w:hAnsi="Abadi"/>
          <w:sz w:val="21"/>
          <w:szCs w:val="21"/>
        </w:rPr>
        <w:t>P</w:t>
      </w:r>
      <w:r w:rsidRPr="0021199F">
        <w:rPr>
          <w:rFonts w:ascii="Abadi" w:hAnsi="Abadi"/>
          <w:sz w:val="21"/>
          <w:szCs w:val="21"/>
        </w:rPr>
        <w:t xml:space="preserve">residente de la República para que diseñe urgentemente una estrategia de seguridad pública integral y de alcance nacional. Así mismo, para que </w:t>
      </w:r>
      <w:r>
        <w:rPr>
          <w:rFonts w:ascii="Abadi" w:hAnsi="Abadi"/>
          <w:sz w:val="21"/>
          <w:szCs w:val="21"/>
        </w:rPr>
        <w:t xml:space="preserve">en </w:t>
      </w:r>
      <w:r w:rsidRPr="0021199F">
        <w:rPr>
          <w:rFonts w:ascii="Abadi" w:hAnsi="Abadi"/>
          <w:sz w:val="21"/>
          <w:szCs w:val="21"/>
        </w:rPr>
        <w:t>su carácter de jefe supremo de las Fuerzas Armadas prote</w:t>
      </w:r>
      <w:r>
        <w:rPr>
          <w:rFonts w:ascii="Abadi" w:hAnsi="Abadi"/>
          <w:sz w:val="21"/>
          <w:szCs w:val="21"/>
        </w:rPr>
        <w:t xml:space="preserve">ja </w:t>
      </w:r>
      <w:r w:rsidRPr="0021199F">
        <w:rPr>
          <w:rFonts w:ascii="Abadi" w:hAnsi="Abadi"/>
          <w:sz w:val="21"/>
          <w:szCs w:val="21"/>
        </w:rPr>
        <w:t>la vida de sus elementos, así como de los integrantes</w:t>
      </w:r>
      <w:r>
        <w:rPr>
          <w:rFonts w:ascii="Abadi" w:hAnsi="Abadi"/>
          <w:sz w:val="21"/>
          <w:szCs w:val="21"/>
        </w:rPr>
        <w:t xml:space="preserve">, </w:t>
      </w:r>
      <w:r w:rsidRPr="005D00FE">
        <w:rPr>
          <w:rFonts w:ascii="Abadi" w:hAnsi="Abadi"/>
          <w:b/>
          <w:bCs/>
          <w:sz w:val="21"/>
          <w:szCs w:val="21"/>
        </w:rPr>
        <w:t xml:space="preserve">(la diputada Presidenta, </w:t>
      </w:r>
      <w:r>
        <w:rPr>
          <w:rFonts w:ascii="Abadi" w:hAnsi="Abadi"/>
          <w:b/>
          <w:bCs/>
          <w:sz w:val="21"/>
          <w:szCs w:val="21"/>
        </w:rPr>
        <w:t>s</w:t>
      </w:r>
      <w:r w:rsidRPr="005D00FE">
        <w:rPr>
          <w:rFonts w:ascii="Abadi" w:hAnsi="Abadi"/>
          <w:b/>
          <w:bCs/>
          <w:sz w:val="21"/>
          <w:szCs w:val="21"/>
        </w:rPr>
        <w:t>e disculpa ya que fue cambiado el guión y retoma el punto en listado en el orden del día)</w:t>
      </w:r>
    </w:p>
    <w:p w14:paraId="3CE6BA24" w14:textId="42135388" w:rsidR="00C33AA7" w:rsidRDefault="00C33AA7" w:rsidP="00C33AA7">
      <w:pPr>
        <w:pStyle w:val="NormalWeb"/>
        <w:ind w:firstLine="708"/>
        <w:jc w:val="both"/>
        <w:rPr>
          <w:rFonts w:ascii="Abadi" w:hAnsi="Abadi"/>
          <w:sz w:val="21"/>
          <w:szCs w:val="21"/>
        </w:rPr>
      </w:pPr>
      <w:r>
        <w:rPr>
          <w:rFonts w:ascii="Abadi" w:hAnsi="Abadi"/>
          <w:b/>
          <w:bCs/>
          <w:sz w:val="21"/>
          <w:szCs w:val="21"/>
        </w:rPr>
        <w:t xml:space="preserve">- </w:t>
      </w:r>
      <w:r w:rsidRPr="005D00FE">
        <w:rPr>
          <w:rFonts w:ascii="Abadi" w:hAnsi="Abadi"/>
          <w:b/>
          <w:bCs/>
          <w:sz w:val="21"/>
          <w:szCs w:val="21"/>
        </w:rPr>
        <w:t xml:space="preserve">La </w:t>
      </w:r>
      <w:proofErr w:type="gramStart"/>
      <w:r w:rsidRPr="005D00FE">
        <w:rPr>
          <w:rFonts w:ascii="Abadi" w:hAnsi="Abadi"/>
          <w:b/>
          <w:bCs/>
          <w:sz w:val="21"/>
          <w:szCs w:val="21"/>
        </w:rPr>
        <w:t>Presidencia.-</w:t>
      </w:r>
      <w:proofErr w:type="gramEnd"/>
      <w:r w:rsidRPr="005D00FE">
        <w:rPr>
          <w:rFonts w:ascii="Abadi" w:hAnsi="Abadi"/>
          <w:b/>
          <w:bCs/>
          <w:sz w:val="21"/>
          <w:szCs w:val="21"/>
        </w:rPr>
        <w:t xml:space="preserve"> </w:t>
      </w:r>
      <w:r>
        <w:rPr>
          <w:rFonts w:ascii="Abadi" w:hAnsi="Abadi"/>
          <w:sz w:val="21"/>
          <w:szCs w:val="21"/>
        </w:rPr>
        <w:t>R</w:t>
      </w:r>
      <w:r w:rsidRPr="0021199F">
        <w:rPr>
          <w:rFonts w:ascii="Abadi" w:hAnsi="Abadi"/>
          <w:sz w:val="21"/>
          <w:szCs w:val="21"/>
        </w:rPr>
        <w:t>etomamos</w:t>
      </w:r>
      <w:r>
        <w:rPr>
          <w:rFonts w:ascii="Abadi" w:hAnsi="Abadi"/>
          <w:sz w:val="21"/>
          <w:szCs w:val="21"/>
        </w:rPr>
        <w:t>.</w:t>
      </w:r>
    </w:p>
    <w:p w14:paraId="7A7FD808" w14:textId="5E6200DF" w:rsidR="00C33AA7" w:rsidRPr="00FC0EB9" w:rsidRDefault="00C33AA7" w:rsidP="00C33AA7">
      <w:pPr>
        <w:pStyle w:val="NormalWeb"/>
        <w:ind w:firstLine="708"/>
        <w:jc w:val="both"/>
        <w:rPr>
          <w:rFonts w:ascii="Abadi" w:hAnsi="Abadi"/>
          <w:sz w:val="21"/>
          <w:szCs w:val="21"/>
        </w:rPr>
      </w:pPr>
      <w:r>
        <w:rPr>
          <w:rFonts w:ascii="Abadi" w:hAnsi="Abadi"/>
          <w:b/>
          <w:bCs/>
          <w:sz w:val="21"/>
          <w:szCs w:val="21"/>
        </w:rPr>
        <w:t xml:space="preserve">- </w:t>
      </w:r>
      <w:r w:rsidRPr="00150493">
        <w:rPr>
          <w:rFonts w:ascii="Abadi" w:hAnsi="Abadi"/>
          <w:b/>
          <w:bCs/>
          <w:sz w:val="21"/>
          <w:szCs w:val="21"/>
        </w:rPr>
        <w:t>La Presidencia.-</w:t>
      </w:r>
      <w:r>
        <w:rPr>
          <w:rFonts w:ascii="Abadi" w:hAnsi="Abadi"/>
          <w:sz w:val="21"/>
          <w:szCs w:val="21"/>
        </w:rPr>
        <w:t xml:space="preserve"> S</w:t>
      </w:r>
      <w:r w:rsidRPr="0021199F">
        <w:rPr>
          <w:rFonts w:ascii="Abadi" w:hAnsi="Abadi"/>
          <w:sz w:val="21"/>
          <w:szCs w:val="21"/>
        </w:rPr>
        <w:t>e pide</w:t>
      </w:r>
      <w:r>
        <w:rPr>
          <w:rFonts w:ascii="Abadi" w:hAnsi="Abadi"/>
          <w:sz w:val="21"/>
          <w:szCs w:val="21"/>
        </w:rPr>
        <w:t xml:space="preserve"> al</w:t>
      </w:r>
      <w:r w:rsidRPr="0021199F">
        <w:rPr>
          <w:rFonts w:ascii="Abadi" w:hAnsi="Abadi"/>
          <w:sz w:val="21"/>
          <w:szCs w:val="21"/>
        </w:rPr>
        <w:t xml:space="preserve"> diputado David Martínez Mendizábal da lectura la propuesta de punto </w:t>
      </w:r>
      <w:r w:rsidRPr="00FC0EB9">
        <w:rPr>
          <w:rFonts w:ascii="Abadi" w:hAnsi="Abadi"/>
          <w:sz w:val="21"/>
          <w:szCs w:val="21"/>
        </w:rPr>
        <w:t xml:space="preserve"> de acuerdo formulada por diputadas y diputados integrantes del Grupo Parlamentario del Partido MORENA a efecto de exhortar al Fiscal General de Guanajuato Carlos Zamarripa para que la Fiscalía a su cargo obre bajo el principio de máxima publicidad con respecto al derecho a la información sobre todos los contextos de hallazgo, incluyendo en particular las fosas clandestinas de los que tiene conocimiento y homologue consecuentemente los datos del mapa que aparecen en su página oficial.</w:t>
      </w:r>
    </w:p>
    <w:p w14:paraId="158FACC3" w14:textId="237A3DF3" w:rsidR="00C33AA7" w:rsidRDefault="00C33AA7" w:rsidP="00C33AA7">
      <w:pPr>
        <w:pStyle w:val="NormalWeb"/>
        <w:ind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Adelante, diputado.</w:t>
      </w:r>
    </w:p>
    <w:p w14:paraId="43E36013" w14:textId="01770636" w:rsidR="00C33AA7" w:rsidRDefault="00C33AA7" w:rsidP="00C33AA7">
      <w:pPr>
        <w:pStyle w:val="NormalWeb"/>
        <w:jc w:val="center"/>
        <w:rPr>
          <w:rFonts w:ascii="Abadi" w:hAnsi="Abadi"/>
          <w:b/>
          <w:bCs/>
          <w:sz w:val="21"/>
          <w:szCs w:val="21"/>
        </w:rPr>
      </w:pPr>
      <w:r w:rsidRPr="00A12C93">
        <w:rPr>
          <w:rFonts w:ascii="Abadi" w:hAnsi="Abadi"/>
          <w:b/>
          <w:bCs/>
          <w:sz w:val="21"/>
          <w:szCs w:val="21"/>
        </w:rPr>
        <w:t>(Posicionamiento)</w:t>
      </w:r>
    </w:p>
    <w:p w14:paraId="4E35E769" w14:textId="5D620B31" w:rsidR="00705B65" w:rsidRPr="00A12C93" w:rsidRDefault="00705B65" w:rsidP="00C33AA7">
      <w:pPr>
        <w:pStyle w:val="NormalWeb"/>
        <w:jc w:val="center"/>
        <w:rPr>
          <w:rFonts w:ascii="Abadi" w:hAnsi="Abadi"/>
          <w:b/>
          <w:bCs/>
          <w:sz w:val="21"/>
          <w:szCs w:val="21"/>
        </w:rPr>
      </w:pPr>
      <w:r>
        <w:rPr>
          <w:noProof/>
        </w:rPr>
        <w:drawing>
          <wp:inline distT="0" distB="0" distL="0" distR="0" wp14:anchorId="15543CEE" wp14:editId="5BB2400A">
            <wp:extent cx="2352830" cy="1229623"/>
            <wp:effectExtent l="19050" t="133350" r="0" b="923290"/>
            <wp:docPr id="27" name="Imagen 27"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Un hombre en traje parado enfrente de una pantalla&#10;&#10;Descripción generada automáticamente con confianza media"/>
                    <pic:cNvPicPr/>
                  </pic:nvPicPr>
                  <pic:blipFill rotWithShape="1">
                    <a:blip r:embed="rId31"/>
                    <a:srcRect b="7084"/>
                    <a:stretch/>
                  </pic:blipFill>
                  <pic:spPr bwMode="auto">
                    <a:xfrm>
                      <a:off x="0" y="0"/>
                      <a:ext cx="2370748" cy="1238987"/>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7D78853C" w14:textId="22B88ABC" w:rsidR="00C33AA7" w:rsidRPr="00A12C93" w:rsidRDefault="00C33AA7" w:rsidP="00C33AA7">
      <w:pPr>
        <w:pStyle w:val="NormalWeb"/>
        <w:jc w:val="both"/>
        <w:rPr>
          <w:rFonts w:ascii="Abadi" w:hAnsi="Abadi"/>
          <w:b/>
          <w:bCs/>
          <w:sz w:val="21"/>
          <w:szCs w:val="21"/>
        </w:rPr>
      </w:pPr>
      <w:r w:rsidRPr="00A12C93">
        <w:rPr>
          <w:rFonts w:ascii="Abadi" w:hAnsi="Abadi"/>
          <w:b/>
          <w:bCs/>
          <w:sz w:val="21"/>
          <w:szCs w:val="21"/>
        </w:rPr>
        <w:t>- Diputado David Martínez Mendizábal</w:t>
      </w:r>
      <w:r>
        <w:rPr>
          <w:rFonts w:ascii="Abadi" w:hAnsi="Abadi"/>
          <w:b/>
          <w:bCs/>
          <w:sz w:val="21"/>
          <w:szCs w:val="21"/>
        </w:rPr>
        <w:t xml:space="preserve"> - </w:t>
      </w:r>
    </w:p>
    <w:p w14:paraId="139C444A" w14:textId="015F750B"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Gracias Presidenta, un error cualquiera lo tiene, vengo hablar  del derecho a la información continua y desacierto que ha tenido la fiscalización  con respecto a lo que publica en su página oficial y de su comunicación con las víctimas de eso vengo hablar, el 13 de mayo el Grupo de buscadoras madres guerreras de León, informó que se encontraron restos de personas en una fosa clandestina, por el rumbo de Hacienda Arriba en León</w:t>
      </w:r>
      <w:r>
        <w:rPr>
          <w:rFonts w:ascii="Abadi" w:hAnsi="Abadi"/>
          <w:sz w:val="21"/>
          <w:szCs w:val="21"/>
        </w:rPr>
        <w:t xml:space="preserve">, </w:t>
      </w:r>
      <w:proofErr w:type="spellStart"/>
      <w:r w:rsidRPr="00D13C98">
        <w:rPr>
          <w:rFonts w:ascii="Abadi" w:hAnsi="Abadi"/>
          <w:sz w:val="21"/>
          <w:szCs w:val="21"/>
        </w:rPr>
        <w:t>Gto</w:t>
      </w:r>
      <w:proofErr w:type="spellEnd"/>
      <w:r w:rsidRPr="00D13C98">
        <w:rPr>
          <w:rFonts w:ascii="Abadi" w:hAnsi="Abadi"/>
          <w:sz w:val="21"/>
          <w:szCs w:val="21"/>
        </w:rPr>
        <w:t>., las indagaciones iniciaron desde fines de abril, siguen apareciendo, siguen apareciendo nuevos hallazgos de los viejos y graves problemas, de seguridad en nuestra entidad que habían sido legados, hasta que la llego a reconocer su penosa existencia.</w:t>
      </w:r>
    </w:p>
    <w:p w14:paraId="6CF4772A" w14:textId="6AFE6D2F"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 xml:space="preserve">Las instituciones creadas para brindar justicia incertidumbre y acompañar a las víctimas deben reacomodarse a suplir las omisiones de la información, principalmente la fiscalía estatal de Guanajuato, y requieren, en su organización y respaldo financiero lo hemos dicho muchas veces para cumplir a cabalidad sus objetivos, de eso se trata el puto de acuerdo. </w:t>
      </w:r>
    </w:p>
    <w:p w14:paraId="798C6D81" w14:textId="16270A94"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En la reciente, mesa de trabajo de este congreso y a pregunta expresa de un servidor por parte del Grupo Parlamentario de Morena, el fiscal Zamarripa denegó que nunca había negado la existencia de fosas clandestinas en la entidad, se le respondió o respondí, que si hasta el 2020, lo que existían hoyos con cuerpos, y el fiscal lo acepto,  es como si antes de haber acuñado en tema de feminicidio en la ciudad de México  a fines de la primer década de este siglo, no hubiese habido asesinatos de mujeres en razón de género o  no se reconociera la desigualdad de las personas con discapacidad, acumularse porque antes se les llamaba inválidos y no discapacitados, el viejo dilema del problema y como se nombra,  quedo claro en la comparecencia del fiscal, por eso es conveniente, acudir a la historia para contextualizar, esta respuesta del fiscal ahora que hay en esta sesión un poco más de tiempo para explicar,  son más de tiempo para explicar el problema fundamentarlo mejor porque la narrativa histórica oficial no reconoce su tardía, postura en el reconocimiento y en las acciones sobre la desaparición de personas en Guanajuato por eso es importante desmontar esta versión.</w:t>
      </w:r>
    </w:p>
    <w:p w14:paraId="1B51F9C2" w14:textId="515BD141"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 xml:space="preserve">Lo dice mejor </w:t>
      </w:r>
      <w:proofErr w:type="spellStart"/>
      <w:r w:rsidRPr="00D13C98">
        <w:rPr>
          <w:rFonts w:ascii="Abadi" w:hAnsi="Abadi"/>
          <w:sz w:val="21"/>
          <w:szCs w:val="21"/>
        </w:rPr>
        <w:t>Milan</w:t>
      </w:r>
      <w:proofErr w:type="spellEnd"/>
      <w:r w:rsidRPr="00D13C98">
        <w:rPr>
          <w:rFonts w:ascii="Abadi" w:hAnsi="Abadi"/>
          <w:sz w:val="21"/>
          <w:szCs w:val="21"/>
        </w:rPr>
        <w:t xml:space="preserve"> </w:t>
      </w:r>
      <w:proofErr w:type="spellStart"/>
      <w:r w:rsidRPr="00D13C98">
        <w:rPr>
          <w:rFonts w:ascii="Abadi" w:hAnsi="Abadi"/>
          <w:sz w:val="21"/>
          <w:szCs w:val="21"/>
        </w:rPr>
        <w:t>kundera</w:t>
      </w:r>
      <w:proofErr w:type="spellEnd"/>
      <w:r w:rsidRPr="00D13C98">
        <w:rPr>
          <w:rFonts w:ascii="Abadi" w:hAnsi="Abadi"/>
          <w:sz w:val="21"/>
          <w:szCs w:val="21"/>
        </w:rPr>
        <w:t xml:space="preserve"> para liquidar a los pueblos empieza por privarlos de la memoria destruyen sus libros su cultura, y su historia alguien escribe otros libros será le da otra cultura inventa otra historia después la gente comienza a olvidar lentamente lo que son y lo que fueron importante por eso es importante remontar la historia oficial sobre el reconocimiento el término de las fosas clandestinas. </w:t>
      </w:r>
    </w:p>
    <w:p w14:paraId="32E73FC0" w14:textId="684ECEB9"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El termino de fosa clandestina junto con o como sinónimo de sitio de inhumación clandestina ya existía en el protocolo homologado de identificación en el 2015 y el protocolo de investigación en delitos de desaparición del 2019 así como en definiciones cuando menos indicativas emitidas públicamente por la Secretaría de Gobernación en 2019 y la Comisión Nacional de Derechos Humanos en 2016.</w:t>
      </w:r>
    </w:p>
    <w:p w14:paraId="6C856C09" w14:textId="456E3934"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 xml:space="preserve">Es decir, este asunto de que no se conoció el término o no estaba establecido en el lenguaje oficial es falso, además ya era de uso común en muchos Estados por parte de las autoridades y también y claro por parte de decenas de colectivos de familiares en el país. </w:t>
      </w:r>
    </w:p>
    <w:p w14:paraId="558E7374" w14:textId="6B9D783E"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Cuando se habla de negación oficial en Guanajuato es porque antes de octubre de 2020, cuando salió el otro protocolo el homologado de búsqueda contenía la definición de fosa clandestina,  tanto la Unidad de Transparencia de la Fiscalía como las y los funcionarios y Poder Ejecutivo, no admitan su  existencia en el territorio de Guanajuato o bien utilizan eufemismos que en los hechos negaban su presencia, la comisión estatal de búsqueda es la responsable legal de mantener el registro de fosas clandestinas y comunes sin embargo antes de junio de 2020 y de la Ley Estatal esto era  tarea de la Fiscalía, además es una tarea, compartida porque el registro contiene listado y datos de fosas o debería de contenerlo fosa que por la ley la Fiscalía procesa y registra, así que la Fiscalía debió de contar con la información completa misma que es ocultada hasta la fecha del 2020, en respuestas de transparencia y tengo varias solicitudes de información en transparencia donde se niega la información.</w:t>
      </w:r>
    </w:p>
    <w:p w14:paraId="54F00F6B" w14:textId="077EE215"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 xml:space="preserve">Los informes de la Secretaría de Gobernación hasta octubre de 2020 no documentaron presencia de fosas clandestinas en Guanajuato, pero ustedes recordarán que el conteo de fosas clandestinas es partir del partido que reporta cada entidad.  </w:t>
      </w:r>
    </w:p>
    <w:p w14:paraId="188C5364" w14:textId="77F23F6F"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 xml:space="preserve">Pues se basaban en otras cosas en la información enviada por las fiscalías estatales y entonces quiere decir que la de nuestro Estado seguía enviando información de cero fosas. </w:t>
      </w:r>
    </w:p>
    <w:p w14:paraId="5A67DCCC" w14:textId="607F4B09"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 xml:space="preserve">Las palabras literales del fiscal sobre fosas indican que la institución ha tenido un patrón de </w:t>
      </w:r>
      <w:proofErr w:type="spellStart"/>
      <w:r w:rsidRPr="00D13C98">
        <w:rPr>
          <w:rFonts w:ascii="Abadi" w:hAnsi="Abadi"/>
          <w:sz w:val="21"/>
          <w:szCs w:val="21"/>
        </w:rPr>
        <w:t>invisibilización</w:t>
      </w:r>
      <w:proofErr w:type="spellEnd"/>
      <w:r w:rsidRPr="00D13C98">
        <w:rPr>
          <w:rFonts w:ascii="Abadi" w:hAnsi="Abadi"/>
          <w:sz w:val="21"/>
          <w:szCs w:val="21"/>
        </w:rPr>
        <w:t xml:space="preserve"> que es lo más importante del exhorto que vengo a presentar, del punto de acuerdo, desmontar reconocer y mejorar el patrón de visibilización de las fosas clandestinas, en Guanajuato.</w:t>
      </w:r>
    </w:p>
    <w:p w14:paraId="5D8E6429" w14:textId="3E6A0A5A"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 xml:space="preserve">Para fortalecer este señalamiento no voy a leer todas sino simplemente las van a encontrar en el documento que ahora presento informo del conjunto de los comunicados que a la vez de transparencia, obtuvimos en donde se responde que  no hay nada al respecto del informe  especial de la Comisión de Derechos Humanos sobre la desaparición de personas y fosas clandestinas en México en 16 destacó con base en fuentes holográficas,  en el hallazgo de septiembre de 2018, de 18 fosas clandestinas con 22 cuerpos en la entidad por otro lado el 13 de mayo del 19, el subsecretario de derechos humanos población y migración federal y la comisión nacional de búsqueda de personas desaparecidas, presentaron un informe sobre fosas clandestinas y el registro nacional de personas desaparecidas o no localizadas del cual se documentó únicamente la localización por parte de la federación, de tan solo una fosa clandestina en Guanajuato en los primeros 5 meses del Gobierno en turno del Gobierno actual de Guanajuato. </w:t>
      </w:r>
    </w:p>
    <w:p w14:paraId="3AA561DF" w14:textId="77777777" w:rsidR="00C33AA7" w:rsidRPr="00D13C98" w:rsidRDefault="00C33AA7" w:rsidP="00C33AA7">
      <w:pPr>
        <w:pStyle w:val="NormalWeb"/>
        <w:jc w:val="both"/>
        <w:rPr>
          <w:rFonts w:ascii="Abadi" w:hAnsi="Abadi"/>
          <w:sz w:val="21"/>
          <w:szCs w:val="21"/>
        </w:rPr>
      </w:pPr>
      <w:r w:rsidRPr="00D13C98">
        <w:rPr>
          <w:rFonts w:ascii="Abadi" w:hAnsi="Abadi"/>
          <w:sz w:val="21"/>
          <w:szCs w:val="21"/>
        </w:rPr>
        <w:t>- En cambio el mismo informe actualizado el 6 de enero no documentó la existencia de fosas clandestinas en Guanajuato,  es decir desapareció lo que ya se había aceptado,  así mismo en julio del 13 del 2020, en la última presentación del registro y de datos de fosas clandestinas, con las que cuentea con la nacional de búsqueda, del Estado de Guanajuato, fue señalado entre las 6 entidades que no han entregado los datos actualizados personas desaparecidas y tampoco aparecen entre entidades con hallazgos de fosas clandestinas me voy a saltar párrafos pero este lo  encuentran en el informe académico que se llama informe sobre la situación de fosas clandestinas en el Estado de Guanajuato entre enero de 2009 a julio del 2020 está en la red y lo publica, la ONG Data Cívica,</w:t>
      </w:r>
    </w:p>
    <w:p w14:paraId="75A86DD8" w14:textId="77777777"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Respecto a la petición contestada por la Fiscalía el 21/10/2019 solicitud 02686819 en la que se preguntaba por el número de fosas clandestinas y cuerpos exhúmanos, la unidad reiteró que no se contaba con casos o registros bajo dichos parámetros del Estado es decir que no había registro de fosas clandestinas aunque reiteró la presencia entre los 15 y 2019 de 20 cuerpos de personas encerradas en densidad sin disfrutar a conocer su ubicación misma que no está sentada en una base de datos y no solamente en las carpetas de investigación de cada caso ante congresistas locales y medios en noviembre de 2019 la fiscal especializada sostenía que sólo había 11 denuncias por desaparición de personas en el Estado dentro de la respuesta a la información que se acaba de citar en</w:t>
      </w:r>
      <w:r>
        <w:rPr>
          <w:rFonts w:ascii="Abadi" w:hAnsi="Abadi"/>
          <w:sz w:val="21"/>
          <w:szCs w:val="21"/>
        </w:rPr>
        <w:t xml:space="preserve"> ese</w:t>
      </w:r>
      <w:r w:rsidRPr="00D13C98">
        <w:rPr>
          <w:rFonts w:ascii="Abadi" w:hAnsi="Abadi"/>
          <w:sz w:val="21"/>
          <w:szCs w:val="21"/>
        </w:rPr>
        <w:t xml:space="preserve"> este momento según los datos recabados de peticiones ciudadanas, por lo menos cifra real vea, por lo menos 1443 personas desaparecidas solamente 11 denuncias.</w:t>
      </w:r>
    </w:p>
    <w:p w14:paraId="598ADC65" w14:textId="77777777"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Me salto dos párrafos para ser más ligeras la lectura pero es en el mismo  tono, se pide información se solicitar el número de fosas desaparecidas, dice que no existe, actualmente en la página de la Fiscalía que se publica un mapa ustedes le pican y ahí aparece el mapa, según la Fiscalía vale como registro en sustitución  de fosas o  como listado de hallazgos que proceso la Fiscalía siendo que estos últimos son muchos más y no están en este mapa y una inadecuación entre lo que presenta como lista y lo que está en el mapa además este mapa no tiene información suficiente sobre periodos de procesamiento y descubrimiento de fechas dada la inconsistencia histórica en los reportes porque no se ajustan a definiciones propias y a la tendencia sistemática y alusión de información e ilusión de información proporcionada por la Fiscalía relacionada con personas desaparecidas fosas clandestinas y contextos de hallazgos pongo contextos de hallazgos encontraron varios cuerpos  en un pozo en Juventino Rosas, y eso técnicamente es una fosa clandestina por eso con textos de hallazgos y fosas clandestinas para que no nos digan que el pozo no es una fosa clandestina, como es el caso del carril el caso de zona carril de Juventino Rosas pues técnicamente un pozo no puede ser una fosa, clandestina por eso se propone a esta soberanía el punto de acuerdo tal como se lee:</w:t>
      </w:r>
    </w:p>
    <w:p w14:paraId="3F36024E" w14:textId="77777777" w:rsidR="00C33AA7" w:rsidRPr="00D13C98" w:rsidRDefault="00C33AA7" w:rsidP="00C33AA7">
      <w:pPr>
        <w:pStyle w:val="NormalWeb"/>
        <w:jc w:val="both"/>
        <w:rPr>
          <w:rFonts w:ascii="Abadi" w:hAnsi="Abadi"/>
          <w:sz w:val="21"/>
          <w:szCs w:val="21"/>
        </w:rPr>
      </w:pPr>
      <w:r>
        <w:rPr>
          <w:rFonts w:ascii="Abadi" w:hAnsi="Abadi"/>
          <w:sz w:val="21"/>
          <w:szCs w:val="21"/>
        </w:rPr>
        <w:t xml:space="preserve">- </w:t>
      </w:r>
      <w:r w:rsidRPr="00D13C98">
        <w:rPr>
          <w:rFonts w:ascii="Abadi" w:hAnsi="Abadi"/>
          <w:sz w:val="21"/>
          <w:szCs w:val="21"/>
        </w:rPr>
        <w:t>Estas Sexagésima Quinta Legislatura del Estado de Guanajuato acuerda girar un respetuoso al Fiscal General de Guanajuato Carlos Zamarripa, para que la fiscalía a su cargo obre bajo el principio de máxima publicidad con respecto al derecho de la información sobre todos los contextos de hallazgo incluyendo en particular las fosas clandestinas de los que tiene conocimiento y homologue consecuentemente los datos del mapa que aparecen en página oficial, muchas gracias</w:t>
      </w:r>
      <w:r>
        <w:rPr>
          <w:rFonts w:ascii="Abadi" w:hAnsi="Abadi"/>
          <w:sz w:val="21"/>
          <w:szCs w:val="21"/>
        </w:rPr>
        <w:t>.</w:t>
      </w:r>
    </w:p>
    <w:p w14:paraId="16034E98" w14:textId="77777777" w:rsidR="00C33AA7" w:rsidRPr="00AD0DAD" w:rsidRDefault="00C33AA7" w:rsidP="00C33AA7">
      <w:pPr>
        <w:pStyle w:val="NormalWeb"/>
        <w:jc w:val="both"/>
        <w:rPr>
          <w:rFonts w:ascii="Abadi" w:hAnsi="Abadi"/>
          <w:sz w:val="21"/>
          <w:szCs w:val="21"/>
        </w:rPr>
      </w:pPr>
      <w:r w:rsidRPr="00AD0DAD">
        <w:rPr>
          <w:rFonts w:ascii="Abadi" w:hAnsi="Abadi"/>
          <w:sz w:val="21"/>
          <w:szCs w:val="21"/>
        </w:rPr>
        <w:t>-  Muchas gracias.</w:t>
      </w:r>
    </w:p>
    <w:p w14:paraId="17EAD20C" w14:textId="23393767" w:rsidR="00C33AA7" w:rsidRPr="00AD0DAD" w:rsidRDefault="00C33AA7" w:rsidP="00C33AA7">
      <w:pPr>
        <w:pStyle w:val="NormalWeb"/>
        <w:ind w:firstLine="426"/>
        <w:jc w:val="both"/>
        <w:rPr>
          <w:rFonts w:ascii="Abadi" w:hAnsi="Abadi"/>
          <w:sz w:val="21"/>
          <w:szCs w:val="21"/>
        </w:rPr>
      </w:pPr>
      <w:r w:rsidRPr="00AD0DAD">
        <w:rPr>
          <w:rFonts w:ascii="Abadi" w:hAnsi="Abadi"/>
          <w:b/>
          <w:bCs/>
          <w:sz w:val="21"/>
          <w:szCs w:val="21"/>
        </w:rPr>
        <w:t xml:space="preserve">- La </w:t>
      </w:r>
      <w:proofErr w:type="gramStart"/>
      <w:r w:rsidRPr="00AD0DAD">
        <w:rPr>
          <w:rFonts w:ascii="Abadi" w:hAnsi="Abadi"/>
          <w:b/>
          <w:bCs/>
          <w:sz w:val="21"/>
          <w:szCs w:val="21"/>
        </w:rPr>
        <w:t>Presidencia.-</w:t>
      </w:r>
      <w:proofErr w:type="gramEnd"/>
      <w:r w:rsidRPr="00AD0DAD">
        <w:rPr>
          <w:rFonts w:ascii="Abadi" w:hAnsi="Abadi"/>
          <w:sz w:val="21"/>
          <w:szCs w:val="21"/>
        </w:rPr>
        <w:t xml:space="preserve"> Muchas gracias, diputado.</w:t>
      </w:r>
    </w:p>
    <w:p w14:paraId="7C91FE97" w14:textId="645D1370" w:rsidR="00C034CB" w:rsidRPr="00AD0DAD" w:rsidRDefault="00C33AA7" w:rsidP="003E5108">
      <w:pPr>
        <w:pStyle w:val="NormalWeb"/>
        <w:ind w:left="567" w:right="212"/>
        <w:jc w:val="both"/>
        <w:rPr>
          <w:rFonts w:ascii="Abadi" w:hAnsi="Abadi"/>
          <w:b/>
          <w:bCs/>
          <w:i/>
          <w:iCs/>
          <w:sz w:val="21"/>
          <w:szCs w:val="21"/>
          <w:u w:val="single"/>
        </w:rPr>
      </w:pPr>
      <w:r w:rsidRPr="00AD0DAD">
        <w:rPr>
          <w:rFonts w:ascii="Abadi" w:hAnsi="Abadi"/>
          <w:b/>
          <w:bCs/>
          <w:i/>
          <w:iCs/>
          <w:sz w:val="21"/>
          <w:szCs w:val="21"/>
          <w:u w:val="single"/>
        </w:rPr>
        <w:t xml:space="preserve">Con fundamento en el artículo 111 fracción XIX de nuestra Ley Orgánica se turna a la Comisión de Gobernación y Puntos Constitucionales para su estudio y dictamen. </w:t>
      </w:r>
    </w:p>
    <w:p w14:paraId="53E98171" w14:textId="77777777" w:rsidR="008F40ED" w:rsidRPr="00AD0DAD" w:rsidRDefault="008F40ED" w:rsidP="00021259">
      <w:pPr>
        <w:autoSpaceDE w:val="0"/>
        <w:autoSpaceDN w:val="0"/>
        <w:adjustRightInd w:val="0"/>
        <w:jc w:val="both"/>
        <w:rPr>
          <w:rFonts w:ascii="Abadi" w:hAnsi="Abadi" w:cs="Arial-BoldMT"/>
          <w:b/>
          <w:bCs/>
          <w:sz w:val="21"/>
          <w:szCs w:val="21"/>
        </w:rPr>
      </w:pPr>
    </w:p>
    <w:p w14:paraId="5807037D" w14:textId="77777777" w:rsidR="00021259" w:rsidRPr="00AD0DAD" w:rsidRDefault="00021259" w:rsidP="00343CA9">
      <w:pPr>
        <w:pStyle w:val="Prrafodelista"/>
        <w:numPr>
          <w:ilvl w:val="0"/>
          <w:numId w:val="16"/>
        </w:numPr>
        <w:autoSpaceDE w:val="0"/>
        <w:autoSpaceDN w:val="0"/>
        <w:adjustRightInd w:val="0"/>
        <w:ind w:left="426"/>
        <w:jc w:val="both"/>
        <w:rPr>
          <w:rFonts w:ascii="Abadi" w:hAnsi="Abadi" w:cs="ArialMT"/>
          <w:b/>
          <w:bCs/>
          <w:sz w:val="21"/>
          <w:szCs w:val="21"/>
        </w:rPr>
      </w:pPr>
      <w:r w:rsidRPr="00AD0DAD">
        <w:rPr>
          <w:rFonts w:ascii="Abadi" w:hAnsi="Abadi" w:cs="ArialMT"/>
          <w:b/>
          <w:bCs/>
          <w:sz w:val="21"/>
          <w:szCs w:val="21"/>
        </w:rPr>
        <w:t>PRESENTACIÓN DE LA PROPUESTA DE PUNTO DE ACUERDO DE OBVIA RESOLUCIÓN FORMULADA POR DIPUTADAS Y DIPUTADOS INTEGRANTES DEL GRUPO PARLAMENTARIO DEL PARTIDO ACCIÓN NACIONAL POR EL QUE SE EXHORTA AL PRESIDENTE DE LA REPÚBLICA PARA QUE DISEÑE URGENTEMENTE UNA ESTRATEGIA DE SEGURIDAD PÚBLICA INTEGRAL Y DE ALCANCE NACIONAL. ASIMISMO, PARA QUE, EN SU CARÁCTER DE JEFE SUPREMO DE LAS FUERZAS ARMADAS, PROTEJA LA VIDA DE SUS ELEMENTOS, ASÍ COMO DE LOS INTEGRANTES DE LA GUARDIA NACIONAL Y, EN SU CASO, APROBACIÓN DE LA MISMA.</w:t>
      </w:r>
    </w:p>
    <w:p w14:paraId="201DB29F" w14:textId="06D859E3" w:rsidR="00021259" w:rsidRPr="00AD0DAD" w:rsidRDefault="00021259" w:rsidP="00021259">
      <w:pPr>
        <w:autoSpaceDE w:val="0"/>
        <w:autoSpaceDN w:val="0"/>
        <w:adjustRightInd w:val="0"/>
        <w:jc w:val="both"/>
        <w:rPr>
          <w:rFonts w:ascii="Abadi" w:hAnsi="Abadi" w:cs="Arial-BoldMT"/>
          <w:b/>
          <w:bCs/>
          <w:sz w:val="21"/>
          <w:szCs w:val="21"/>
        </w:rPr>
      </w:pPr>
    </w:p>
    <w:p w14:paraId="34FD164F" w14:textId="2E2E206E" w:rsidR="00E0164C" w:rsidRPr="00AD0DAD" w:rsidRDefault="00E0164C" w:rsidP="00021259">
      <w:pPr>
        <w:autoSpaceDE w:val="0"/>
        <w:autoSpaceDN w:val="0"/>
        <w:adjustRightInd w:val="0"/>
        <w:jc w:val="both"/>
        <w:rPr>
          <w:rFonts w:ascii="Abadi" w:hAnsi="Abadi" w:cs="Arial-BoldMT"/>
          <w:sz w:val="21"/>
          <w:szCs w:val="21"/>
        </w:rPr>
      </w:pPr>
    </w:p>
    <w:p w14:paraId="0EF99C39" w14:textId="77777777" w:rsidR="00B86E53" w:rsidRPr="00AD0DAD" w:rsidRDefault="00B86E53" w:rsidP="00B86E53">
      <w:pPr>
        <w:autoSpaceDE w:val="0"/>
        <w:autoSpaceDN w:val="0"/>
        <w:adjustRightInd w:val="0"/>
        <w:jc w:val="both"/>
        <w:rPr>
          <w:rFonts w:ascii="Abadi" w:hAnsi="Abadi" w:cs="Arial-BoldMT"/>
          <w:b/>
          <w:bCs/>
          <w:sz w:val="21"/>
          <w:szCs w:val="21"/>
          <w:lang w:val="es-MX"/>
        </w:rPr>
      </w:pPr>
      <w:r w:rsidRPr="00AD0DAD">
        <w:rPr>
          <w:rFonts w:ascii="Abadi" w:hAnsi="Abadi" w:cs="Arial-BoldMT"/>
          <w:b/>
          <w:bCs/>
          <w:sz w:val="21"/>
          <w:szCs w:val="21"/>
          <w:lang w:val="es-MX"/>
        </w:rPr>
        <w:t xml:space="preserve">DIPUTADA IRMA LETICIA GONZÁLEZ SÁNCHEZ </w:t>
      </w:r>
    </w:p>
    <w:p w14:paraId="05A2D035" w14:textId="77777777" w:rsidR="00B86E53" w:rsidRPr="00AD0DAD" w:rsidRDefault="00B86E53" w:rsidP="00B86E53">
      <w:pPr>
        <w:autoSpaceDE w:val="0"/>
        <w:autoSpaceDN w:val="0"/>
        <w:adjustRightInd w:val="0"/>
        <w:jc w:val="both"/>
        <w:rPr>
          <w:rFonts w:ascii="Abadi" w:hAnsi="Abadi" w:cs="Arial-BoldMT"/>
          <w:b/>
          <w:bCs/>
          <w:sz w:val="21"/>
          <w:szCs w:val="21"/>
          <w:lang w:val="es-MX"/>
        </w:rPr>
      </w:pPr>
      <w:r w:rsidRPr="00AD0DAD">
        <w:rPr>
          <w:rFonts w:ascii="Abadi" w:hAnsi="Abadi" w:cs="Arial-BoldMT"/>
          <w:b/>
          <w:bCs/>
          <w:sz w:val="21"/>
          <w:szCs w:val="21"/>
          <w:lang w:val="es-MX"/>
        </w:rPr>
        <w:t xml:space="preserve">PRESIDENTA DEL CONGRESO DEL ESTADO LIBRE Y SOBERANO DE GUANAJUATO </w:t>
      </w:r>
    </w:p>
    <w:p w14:paraId="09143647" w14:textId="18EAE012" w:rsidR="00B86E53" w:rsidRPr="00AD0DAD" w:rsidRDefault="00B86E53" w:rsidP="00B86E53">
      <w:pPr>
        <w:autoSpaceDE w:val="0"/>
        <w:autoSpaceDN w:val="0"/>
        <w:adjustRightInd w:val="0"/>
        <w:jc w:val="both"/>
        <w:rPr>
          <w:rFonts w:ascii="Abadi" w:hAnsi="Abadi" w:cs="Arial-BoldMT"/>
          <w:b/>
          <w:bCs/>
          <w:sz w:val="21"/>
          <w:szCs w:val="21"/>
          <w:lang w:val="es-MX"/>
        </w:rPr>
      </w:pPr>
      <w:r w:rsidRPr="00AD0DAD">
        <w:rPr>
          <w:rFonts w:ascii="Abadi" w:hAnsi="Abadi" w:cs="Arial-BoldMT"/>
          <w:b/>
          <w:bCs/>
          <w:sz w:val="21"/>
          <w:szCs w:val="21"/>
          <w:lang w:val="es-MX"/>
        </w:rPr>
        <w:t>SEXAGÉSIMA QUINTA LEGISLATURA</w:t>
      </w:r>
    </w:p>
    <w:p w14:paraId="6773023B" w14:textId="77777777" w:rsidR="00B86E53" w:rsidRPr="00AD0DAD" w:rsidRDefault="00B86E53" w:rsidP="00B86E53">
      <w:pPr>
        <w:autoSpaceDE w:val="0"/>
        <w:autoSpaceDN w:val="0"/>
        <w:adjustRightInd w:val="0"/>
        <w:jc w:val="both"/>
        <w:rPr>
          <w:rFonts w:ascii="Abadi" w:hAnsi="Abadi" w:cs="Arial-BoldMT"/>
          <w:b/>
          <w:bCs/>
          <w:sz w:val="21"/>
          <w:szCs w:val="21"/>
          <w:lang w:val="es-MX"/>
        </w:rPr>
      </w:pPr>
      <w:r w:rsidRPr="00AD0DAD">
        <w:rPr>
          <w:rFonts w:ascii="Abadi" w:hAnsi="Abadi" w:cs="Arial-BoldMT"/>
          <w:b/>
          <w:bCs/>
          <w:sz w:val="21"/>
          <w:szCs w:val="21"/>
          <w:lang w:val="es-MX"/>
        </w:rPr>
        <w:t xml:space="preserve">PRESENTE </w:t>
      </w:r>
    </w:p>
    <w:p w14:paraId="4229735D"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4B3BA022"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497B2107" w14:textId="77777777" w:rsidR="00B86E53" w:rsidRPr="00AD0DAD" w:rsidRDefault="00B86E53" w:rsidP="00B86E53">
      <w:pPr>
        <w:autoSpaceDE w:val="0"/>
        <w:autoSpaceDN w:val="0"/>
        <w:adjustRightInd w:val="0"/>
        <w:jc w:val="both"/>
        <w:rPr>
          <w:rFonts w:ascii="Abadi" w:hAnsi="Abadi" w:cs="Arial-BoldMT"/>
          <w:b/>
          <w:bCs/>
          <w:sz w:val="21"/>
          <w:szCs w:val="21"/>
          <w:lang w:val="es-MX"/>
        </w:rPr>
      </w:pPr>
      <w:r w:rsidRPr="00AD0DAD">
        <w:rPr>
          <w:rFonts w:ascii="Abadi" w:hAnsi="Abadi" w:cs="Arial-BoldMT"/>
          <w:sz w:val="21"/>
          <w:szCs w:val="21"/>
          <w:lang w:val="es-MX"/>
        </w:rPr>
        <w:t xml:space="preserve">Quienes integramos el </w:t>
      </w:r>
      <w:r w:rsidRPr="00AD0DAD">
        <w:rPr>
          <w:rFonts w:ascii="Abadi" w:hAnsi="Abadi" w:cs="Arial-BoldMT"/>
          <w:b/>
          <w:bCs/>
          <w:sz w:val="21"/>
          <w:szCs w:val="21"/>
          <w:lang w:val="es-MX"/>
        </w:rPr>
        <w:t xml:space="preserve">Grupo Parlamentario del Partido Acción Nacional </w:t>
      </w:r>
      <w:r w:rsidRPr="00AD0DAD">
        <w:rPr>
          <w:rFonts w:ascii="Abadi" w:hAnsi="Abadi" w:cs="Arial-BoldMT"/>
          <w:sz w:val="21"/>
          <w:szCs w:val="21"/>
          <w:lang w:val="es-MX"/>
        </w:rPr>
        <w:t xml:space="preserve">ante la Sexagésima Quinta Legislatura del  Congreso del Estado Libre y Soberano de Guanajuato, con fundamento en lo dispuesto por los artículos 57 primer párrafo de la Constitución Política para el Estado de Guanajuato y 204 fracción 111, 177 de la Ley  Orgánica del Poder Legislativo del Estado de Guanajuato, nos permitimos presentar y someter a la consideración de esta Honorable Asamblea, la presente propuesta de </w:t>
      </w:r>
      <w:r w:rsidRPr="00AD0DAD">
        <w:rPr>
          <w:rFonts w:ascii="Abadi" w:hAnsi="Abadi" w:cs="Arial-BoldMT"/>
          <w:b/>
          <w:bCs/>
          <w:sz w:val="21"/>
          <w:szCs w:val="21"/>
          <w:lang w:val="es-MX"/>
        </w:rPr>
        <w:t xml:space="preserve">punto de acuerdo, de obvia  resolución, mediante el cual,  el Congreso del Estado Libre </w:t>
      </w:r>
      <w:r w:rsidRPr="00AD0DAD">
        <w:rPr>
          <w:rFonts w:ascii="Abadi" w:hAnsi="Abadi" w:cs="Arial-BoldMT"/>
          <w:sz w:val="21"/>
          <w:szCs w:val="21"/>
          <w:lang w:val="es-MX"/>
        </w:rPr>
        <w:t xml:space="preserve">y </w:t>
      </w:r>
      <w:r w:rsidRPr="00AD0DAD">
        <w:rPr>
          <w:rFonts w:ascii="Abadi" w:hAnsi="Abadi" w:cs="Arial-BoldMT"/>
          <w:b/>
          <w:bCs/>
          <w:sz w:val="21"/>
          <w:szCs w:val="21"/>
          <w:lang w:val="es-MX"/>
        </w:rPr>
        <w:t xml:space="preserve">Soberano de Guanajuato, exhorta al Presidente de la República para que diseñe urgentemente una estrategia de seguridad pública integral </w:t>
      </w:r>
      <w:r w:rsidRPr="00AD0DAD">
        <w:rPr>
          <w:rFonts w:ascii="Abadi" w:hAnsi="Abadi" w:cs="Arial-BoldMT"/>
          <w:sz w:val="21"/>
          <w:szCs w:val="21"/>
          <w:lang w:val="es-MX"/>
        </w:rPr>
        <w:t xml:space="preserve">y </w:t>
      </w:r>
      <w:r w:rsidRPr="00AD0DAD">
        <w:rPr>
          <w:rFonts w:ascii="Abadi" w:hAnsi="Abadi" w:cs="Arial-BoldMT"/>
          <w:b/>
          <w:bCs/>
          <w:sz w:val="21"/>
          <w:szCs w:val="21"/>
          <w:lang w:val="es-MX"/>
        </w:rPr>
        <w:t>de alcance nacional. Asimismo, para que, en su carácter de Jefe Supremo de las Fuerzas Armadas, proteja la vida de sus elementos, así como de los integrantes de la Guardia Nacional.</w:t>
      </w:r>
    </w:p>
    <w:p w14:paraId="13AED9DE" w14:textId="77777777" w:rsidR="00B86E53" w:rsidRPr="00AD0DAD" w:rsidRDefault="00B86E53" w:rsidP="00B86E53">
      <w:pPr>
        <w:autoSpaceDE w:val="0"/>
        <w:autoSpaceDN w:val="0"/>
        <w:adjustRightInd w:val="0"/>
        <w:jc w:val="both"/>
        <w:rPr>
          <w:rFonts w:ascii="Abadi" w:hAnsi="Abadi" w:cs="Arial-BoldMT"/>
          <w:b/>
          <w:bCs/>
          <w:sz w:val="21"/>
          <w:szCs w:val="21"/>
          <w:lang w:val="es-MX"/>
        </w:rPr>
      </w:pPr>
    </w:p>
    <w:p w14:paraId="35E8E8B3" w14:textId="77777777"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Ello en atención al contenido de los artículos 89 constitucional fracciones VI y VII; 11 de la Ley Orgánica del Ejército y Fuerzas Armadas; y, 5 y 6 de la Ley de la Guardia Nacional: Lo anterior de conformidad a las siguientes:</w:t>
      </w:r>
    </w:p>
    <w:p w14:paraId="4333E6B4" w14:textId="77777777" w:rsidR="00B86E53" w:rsidRPr="00AD0DAD" w:rsidRDefault="00B86E53" w:rsidP="00B86E53">
      <w:pPr>
        <w:autoSpaceDE w:val="0"/>
        <w:autoSpaceDN w:val="0"/>
        <w:adjustRightInd w:val="0"/>
        <w:jc w:val="both"/>
        <w:rPr>
          <w:rFonts w:ascii="Abadi" w:hAnsi="Abadi" w:cs="Arial-BoldMT"/>
          <w:b/>
          <w:bCs/>
          <w:sz w:val="21"/>
          <w:szCs w:val="21"/>
          <w:lang w:val="es-MX"/>
        </w:rPr>
      </w:pPr>
    </w:p>
    <w:p w14:paraId="392672C3" w14:textId="77777777" w:rsidR="00B86E53" w:rsidRPr="00AD0DAD" w:rsidRDefault="00B86E53" w:rsidP="00B86E53">
      <w:pPr>
        <w:autoSpaceDE w:val="0"/>
        <w:autoSpaceDN w:val="0"/>
        <w:adjustRightInd w:val="0"/>
        <w:jc w:val="both"/>
        <w:rPr>
          <w:rFonts w:ascii="Abadi" w:hAnsi="Abadi" w:cs="Arial-BoldMT"/>
          <w:b/>
          <w:bCs/>
          <w:sz w:val="21"/>
          <w:szCs w:val="21"/>
          <w:lang w:val="es-MX"/>
        </w:rPr>
      </w:pPr>
    </w:p>
    <w:p w14:paraId="130D87D9" w14:textId="26A51C8B" w:rsidR="00B86E53" w:rsidRPr="00AD0DAD" w:rsidRDefault="00B86E53" w:rsidP="00FA38D1">
      <w:pPr>
        <w:autoSpaceDE w:val="0"/>
        <w:autoSpaceDN w:val="0"/>
        <w:adjustRightInd w:val="0"/>
        <w:jc w:val="center"/>
        <w:rPr>
          <w:rFonts w:ascii="Abadi" w:hAnsi="Abadi" w:cs="Arial-BoldMT"/>
          <w:b/>
          <w:bCs/>
          <w:sz w:val="21"/>
          <w:szCs w:val="21"/>
          <w:lang w:val="es-MX"/>
        </w:rPr>
      </w:pPr>
      <w:r w:rsidRPr="00AD0DAD">
        <w:rPr>
          <w:rFonts w:ascii="Abadi" w:hAnsi="Abadi" w:cs="Arial-BoldMT"/>
          <w:b/>
          <w:bCs/>
          <w:sz w:val="21"/>
          <w:szCs w:val="21"/>
          <w:lang w:val="es-MX"/>
        </w:rPr>
        <w:t>CONSIDERACIO</w:t>
      </w:r>
      <w:r w:rsidR="00C748F2" w:rsidRPr="00AD0DAD">
        <w:rPr>
          <w:rFonts w:ascii="Abadi" w:hAnsi="Abadi" w:cs="Arial-BoldMT"/>
          <w:b/>
          <w:bCs/>
          <w:sz w:val="21"/>
          <w:szCs w:val="21"/>
          <w:lang w:val="es-MX"/>
        </w:rPr>
        <w:t>N</w:t>
      </w:r>
      <w:r w:rsidRPr="00AD0DAD">
        <w:rPr>
          <w:rFonts w:ascii="Abadi" w:hAnsi="Abadi" w:cs="Arial-BoldMT"/>
          <w:b/>
          <w:bCs/>
          <w:sz w:val="21"/>
          <w:szCs w:val="21"/>
          <w:lang w:val="es-MX"/>
        </w:rPr>
        <w:t>ES</w:t>
      </w:r>
    </w:p>
    <w:p w14:paraId="09213D9E"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15AD4937" w14:textId="3266544E"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Hace apenas unos días la organización no gubernamental con base en Suiza, Iniciativa Global Contra el Crimen Organizado Transnacional, señaló que México se encontraba en el cuarto lugar internacional de países rehenes de grupos del crimen</w:t>
      </w:r>
      <w:r w:rsidR="0088317A">
        <w:rPr>
          <w:rFonts w:ascii="Abadi" w:hAnsi="Abadi" w:cs="Arial-BoldMT"/>
          <w:sz w:val="21"/>
          <w:szCs w:val="21"/>
          <w:lang w:val="es-MX"/>
        </w:rPr>
        <w:t xml:space="preserve"> </w:t>
      </w:r>
      <w:r w:rsidRPr="00AD0DAD">
        <w:rPr>
          <w:rFonts w:ascii="Abadi" w:hAnsi="Abadi" w:cs="Arial-BoldMT"/>
          <w:sz w:val="21"/>
          <w:szCs w:val="21"/>
          <w:lang w:val="es-MX"/>
        </w:rPr>
        <w:t>organizado.</w:t>
      </w:r>
    </w:p>
    <w:p w14:paraId="33DE74BC"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78311B26" w14:textId="77777777"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De acuerdo con este informe los grupos mexicanos del crimen organizado son de los más sofisticados del mundo, señalando, además, cosa que no es nueva, qué hoy partes importantes del territorio del país son controlados por la delincuencia. De acuerdo con dicha organización, México es líder en rubros como trata y tráfico de personas, armas, comercio de heroína, cocaína, cannabis y drogas sintéticas, así como delitos contra la flora, fauna y los recursos no renovables.</w:t>
      </w:r>
    </w:p>
    <w:p w14:paraId="0EEB6C41"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78A4BF5E" w14:textId="769960EF"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Mención especial merece en el informe, el peligro que corren los periodistas al ejercer la libertad de expresión en el país, por cierto, desde que se publicó en la prensa nacional el informe en comento, hace unos cuantos días, han sido asesinados otros tres periodistas, uno en Sinaloa y dos mujeres en el estado de Veracruz. Ambos estados, por cierto, gobernados, es un decir, por MORENA.</w:t>
      </w:r>
    </w:p>
    <w:p w14:paraId="634E7D78"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55305C67" w14:textId="77777777"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Al leer esta información resuena en la mente una frase qué apunta para convertirse en el involuntario testamento político del hoy presidente de la República: ¡abrazos, no balazos!</w:t>
      </w:r>
    </w:p>
    <w:p w14:paraId="3B55C644"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64A3F94A" w14:textId="77777777"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Frente a la incesante reiteración de esta loa a la impunidad por parte del Gobierno Federal, es legítimo preguntar: ¿es este cuarto lugar internacional entre los países con mayor debilidad frente al crimen organizado, a lo que se refiere MORENA cuando habla de su nebulosa Cuarta Transformación?</w:t>
      </w:r>
    </w:p>
    <w:p w14:paraId="019F7CE1"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5E8673EA" w14:textId="77777777"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Si ese es el caso, analicemos con un poco más de detalle los "logros" de MORENA a nivel nacional en materia de seguridad.</w:t>
      </w:r>
    </w:p>
    <w:p w14:paraId="6719D057"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645A9A55" w14:textId="539CC709"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 xml:space="preserve">En lo que va del sexenio de acuerdo con la información que se desprende del Secretariado Ejecutivo del Sistema Nacional de Seguridad Pública, </w:t>
      </w:r>
      <w:proofErr w:type="gramStart"/>
      <w:r w:rsidRPr="00AD0DAD">
        <w:rPr>
          <w:rFonts w:ascii="Abadi" w:hAnsi="Abadi" w:cs="Arial-BoldMT"/>
          <w:sz w:val="21"/>
          <w:szCs w:val="21"/>
          <w:lang w:val="es-MX"/>
        </w:rPr>
        <w:t>han</w:t>
      </w:r>
      <w:proofErr w:type="gramEnd"/>
      <w:r w:rsidRPr="00AD0DAD">
        <w:rPr>
          <w:rFonts w:ascii="Abadi" w:hAnsi="Abadi" w:cs="Arial-BoldMT"/>
          <w:sz w:val="21"/>
          <w:szCs w:val="21"/>
          <w:lang w:val="es-MX"/>
        </w:rPr>
        <w:t xml:space="preserve"> habido 112 mil 805 homicidios dolosos, 60 mil 717 homicidios culposos, 3 mil 885 secuestros, 29 mil 829 casos de extorsión</w:t>
      </w:r>
      <w:r w:rsidR="00C748F2" w:rsidRPr="00AD0DAD">
        <w:rPr>
          <w:rStyle w:val="Refdenotaalpie"/>
          <w:rFonts w:ascii="Abadi" w:hAnsi="Abadi" w:cs="Arial-BoldMT"/>
          <w:sz w:val="21"/>
          <w:szCs w:val="21"/>
          <w:lang w:val="es-MX"/>
        </w:rPr>
        <w:footnoteReference w:id="28"/>
      </w:r>
      <w:r w:rsidRPr="00AD0DAD">
        <w:rPr>
          <w:rFonts w:ascii="Abadi" w:hAnsi="Abadi" w:cs="Arial-BoldMT"/>
          <w:b/>
          <w:bCs/>
          <w:sz w:val="21"/>
          <w:szCs w:val="21"/>
          <w:lang w:val="es-MX"/>
        </w:rPr>
        <w:t xml:space="preserve">, </w:t>
      </w:r>
      <w:r w:rsidRPr="00AD0DAD">
        <w:rPr>
          <w:rFonts w:ascii="Abadi" w:hAnsi="Abadi" w:cs="Arial-BoldMT"/>
          <w:sz w:val="21"/>
          <w:szCs w:val="21"/>
          <w:lang w:val="es-MX"/>
        </w:rPr>
        <w:t>han sido asesinados 151 periodistas</w:t>
      </w:r>
      <w:r w:rsidR="00D93F75" w:rsidRPr="00AD0DAD">
        <w:rPr>
          <w:rStyle w:val="Refdenotaalpie"/>
          <w:rFonts w:ascii="Abadi" w:hAnsi="Abadi" w:cs="Arial-BoldMT"/>
          <w:sz w:val="21"/>
          <w:szCs w:val="21"/>
          <w:lang w:val="es-MX"/>
        </w:rPr>
        <w:footnoteReference w:id="29"/>
      </w:r>
      <w:r w:rsidRPr="00AD0DAD">
        <w:rPr>
          <w:rFonts w:ascii="Abadi" w:hAnsi="Abadi" w:cs="Arial-BoldMT"/>
          <w:b/>
          <w:bCs/>
          <w:sz w:val="21"/>
          <w:szCs w:val="21"/>
          <w:lang w:val="es-MX"/>
        </w:rPr>
        <w:t xml:space="preserve"> </w:t>
      </w:r>
      <w:r w:rsidRPr="00AD0DAD">
        <w:rPr>
          <w:rFonts w:ascii="Abadi" w:hAnsi="Abadi" w:cs="Arial-BoldMT"/>
          <w:sz w:val="21"/>
          <w:szCs w:val="21"/>
          <w:lang w:val="es-MX"/>
        </w:rPr>
        <w:t>,94 defensores de derechos humanos y 778 agresiones al personal militar, con un saldo de 71 elementos del Ejército y Fuerza Aérea mexicanos fallecidos</w:t>
      </w:r>
      <w:r w:rsidR="00A35BC9" w:rsidRPr="00AD0DAD">
        <w:rPr>
          <w:rStyle w:val="Refdenotaalpie"/>
          <w:rFonts w:ascii="Abadi" w:hAnsi="Abadi" w:cs="Arial-BoldMT"/>
          <w:sz w:val="21"/>
          <w:szCs w:val="21"/>
          <w:lang w:val="es-MX"/>
        </w:rPr>
        <w:footnoteReference w:id="30"/>
      </w:r>
      <w:r w:rsidRPr="00AD0DAD">
        <w:rPr>
          <w:rFonts w:ascii="Abadi" w:hAnsi="Abadi" w:cs="Arial-BoldMT"/>
          <w:sz w:val="21"/>
          <w:szCs w:val="21"/>
          <w:lang w:val="es-MX"/>
        </w:rPr>
        <w:t>. Pero no solo ha habido un aumento cuantitativo en la comisión de delitos, también son ya varios los estudios que apuntan a un incremento cualitativo, por así decirlo, en la perpetración de las conductas ilícitas. En este sentido, resulta particularmente ilustrativo el informe enero abril del presente año de la organización Causa en común</w:t>
      </w:r>
    </w:p>
    <w:p w14:paraId="02DF8AF8"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54E308A3" w14:textId="686A4E1D" w:rsidR="00B86E53"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De acuerdo con esta organización de enero a abril del presente año, en México se perpetraron en nuestro país las siguientes atrocidades</w:t>
      </w:r>
      <w:r w:rsidR="00740711" w:rsidRPr="00AD0DAD">
        <w:rPr>
          <w:rStyle w:val="Refdenotaalpie"/>
          <w:rFonts w:ascii="Abadi" w:hAnsi="Abadi" w:cs="Arial-BoldMT"/>
          <w:sz w:val="21"/>
          <w:szCs w:val="21"/>
          <w:lang w:val="es-MX"/>
        </w:rPr>
        <w:footnoteReference w:id="31"/>
      </w:r>
      <w:r w:rsidRPr="00AD0DAD">
        <w:rPr>
          <w:rFonts w:ascii="Abadi" w:hAnsi="Abadi" w:cs="Arial-BoldMT"/>
          <w:b/>
          <w:bCs/>
          <w:sz w:val="21"/>
          <w:szCs w:val="21"/>
          <w:lang w:val="es-MX"/>
        </w:rPr>
        <w:t xml:space="preserve">: </w:t>
      </w:r>
      <w:r w:rsidRPr="00AD0DAD">
        <w:rPr>
          <w:rFonts w:ascii="Abadi" w:hAnsi="Abadi" w:cs="Arial-BoldMT"/>
          <w:sz w:val="21"/>
          <w:szCs w:val="21"/>
          <w:lang w:val="es-MX"/>
        </w:rPr>
        <w:t>Al menos 150 masacres; 534 casos de tortura; 297 casos de mutilación, descuartizamiento y destrucción de cadáveres; 246 asesinatos de mujeres con crueldad extrema; y al menos, 117 asesinatos de niñas, niños y adolescentes.</w:t>
      </w:r>
    </w:p>
    <w:p w14:paraId="5143A6F2" w14:textId="77777777" w:rsidR="00AA7BDF" w:rsidRPr="00AD0DAD" w:rsidRDefault="00AA7BDF" w:rsidP="00B86E53">
      <w:pPr>
        <w:autoSpaceDE w:val="0"/>
        <w:autoSpaceDN w:val="0"/>
        <w:adjustRightInd w:val="0"/>
        <w:jc w:val="both"/>
        <w:rPr>
          <w:rFonts w:ascii="Abadi" w:hAnsi="Abadi" w:cs="Arial-BoldMT"/>
          <w:sz w:val="21"/>
          <w:szCs w:val="21"/>
          <w:lang w:val="es-MX"/>
        </w:rPr>
      </w:pPr>
    </w:p>
    <w:p w14:paraId="24CF2611" w14:textId="6D0B8B57"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Es en este contexto en el que el presidente de la República formula, desde su programa matutino de cultivo de odio y división, una frase que ha sembrado: sorpresa, enojo, preocupación, indignación y tristeza. Una frase frente a la cual el mutismo no es opción, una frase que marcará no sólo a quien la ha pronunciado, sino a todos aquellos que, por disciplina mal entendida, por oportunismo, o por infamia, se conviertan en cómplices de este histórico desatino.</w:t>
      </w:r>
    </w:p>
    <w:p w14:paraId="6EED75EC" w14:textId="77777777" w:rsidR="000C08EF" w:rsidRPr="00AD0DAD" w:rsidRDefault="000C08EF" w:rsidP="00B86E53">
      <w:pPr>
        <w:autoSpaceDE w:val="0"/>
        <w:autoSpaceDN w:val="0"/>
        <w:adjustRightInd w:val="0"/>
        <w:jc w:val="both"/>
        <w:rPr>
          <w:rFonts w:ascii="Abadi" w:hAnsi="Abadi" w:cs="Arial-BoldMT"/>
          <w:sz w:val="21"/>
          <w:szCs w:val="21"/>
          <w:lang w:val="es-MX"/>
        </w:rPr>
      </w:pPr>
    </w:p>
    <w:p w14:paraId="39F42448" w14:textId="77777777" w:rsidR="00B86E53" w:rsidRPr="00AD0DAD" w:rsidRDefault="00B86E53" w:rsidP="00B86E53">
      <w:pPr>
        <w:autoSpaceDE w:val="0"/>
        <w:autoSpaceDN w:val="0"/>
        <w:adjustRightInd w:val="0"/>
        <w:jc w:val="both"/>
        <w:rPr>
          <w:rFonts w:ascii="Abadi" w:hAnsi="Abadi" w:cs="Arial-BoldMT"/>
          <w:i/>
          <w:iCs/>
          <w:sz w:val="21"/>
          <w:szCs w:val="21"/>
          <w:lang w:val="es-MX"/>
        </w:rPr>
      </w:pPr>
      <w:r w:rsidRPr="00AD0DAD">
        <w:rPr>
          <w:rFonts w:ascii="Abadi" w:hAnsi="Abadi" w:cs="Arial-BoldMT"/>
          <w:i/>
          <w:iCs/>
          <w:sz w:val="21"/>
          <w:szCs w:val="21"/>
          <w:lang w:val="es-MX"/>
        </w:rPr>
        <w:t xml:space="preserve">"Cuidamos </w:t>
      </w:r>
      <w:r w:rsidRPr="00AD0DAD">
        <w:rPr>
          <w:rFonts w:ascii="Abadi" w:hAnsi="Abadi" w:cs="Arial-BoldMT"/>
          <w:sz w:val="21"/>
          <w:szCs w:val="21"/>
          <w:lang w:val="es-MX"/>
        </w:rPr>
        <w:t xml:space="preserve">a </w:t>
      </w:r>
      <w:r w:rsidRPr="00AD0DAD">
        <w:rPr>
          <w:rFonts w:ascii="Abadi" w:hAnsi="Abadi" w:cs="Arial-BoldMT"/>
          <w:i/>
          <w:iCs/>
          <w:sz w:val="21"/>
          <w:szCs w:val="21"/>
          <w:lang w:val="es-MX"/>
        </w:rPr>
        <w:t xml:space="preserve">los elementos de las Fuerzas Armadas, de la Defensa, de la Guardia Nacional, pero también cuidamos </w:t>
      </w:r>
      <w:r w:rsidRPr="00AD0DAD">
        <w:rPr>
          <w:rFonts w:ascii="Abadi" w:hAnsi="Abadi" w:cs="Arial-BoldMT"/>
          <w:sz w:val="21"/>
          <w:szCs w:val="21"/>
          <w:lang w:val="es-MX"/>
        </w:rPr>
        <w:t xml:space="preserve">a </w:t>
      </w:r>
      <w:r w:rsidRPr="00AD0DAD">
        <w:rPr>
          <w:rFonts w:ascii="Abadi" w:hAnsi="Abadi" w:cs="Arial-BoldMT"/>
          <w:i/>
          <w:iCs/>
          <w:sz w:val="21"/>
          <w:szCs w:val="21"/>
          <w:lang w:val="es-MX"/>
        </w:rPr>
        <w:t>los integrantes de las bandas, son seres humanos"</w:t>
      </w:r>
    </w:p>
    <w:p w14:paraId="6620AA48" w14:textId="77777777" w:rsidR="00B86E53" w:rsidRPr="00AD0DAD" w:rsidRDefault="00B86E53" w:rsidP="00B86E53">
      <w:pPr>
        <w:autoSpaceDE w:val="0"/>
        <w:autoSpaceDN w:val="0"/>
        <w:adjustRightInd w:val="0"/>
        <w:jc w:val="both"/>
        <w:rPr>
          <w:rFonts w:ascii="Abadi" w:hAnsi="Abadi" w:cs="Arial-BoldMT"/>
          <w:i/>
          <w:iCs/>
          <w:sz w:val="21"/>
          <w:szCs w:val="21"/>
          <w:lang w:val="es-MX"/>
        </w:rPr>
      </w:pPr>
    </w:p>
    <w:p w14:paraId="0E317AFB" w14:textId="77777777" w:rsidR="00B86E53" w:rsidRPr="00AD0DAD" w:rsidRDefault="00B86E53" w:rsidP="00B86E53">
      <w:pPr>
        <w:autoSpaceDE w:val="0"/>
        <w:autoSpaceDN w:val="0"/>
        <w:adjustRightInd w:val="0"/>
        <w:jc w:val="both"/>
        <w:rPr>
          <w:rFonts w:ascii="Abadi" w:hAnsi="Abadi" w:cs="Arial-BoldMT"/>
          <w:i/>
          <w:iCs/>
          <w:sz w:val="21"/>
          <w:szCs w:val="21"/>
          <w:lang w:val="es-MX"/>
        </w:rPr>
      </w:pPr>
    </w:p>
    <w:p w14:paraId="1B47951A" w14:textId="77777777"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 xml:space="preserve">La frase agravia a los miembros de las Fuerzas Armadas, de la Guardia Nacional y, </w:t>
      </w:r>
      <w:r w:rsidRPr="00AD0DAD">
        <w:rPr>
          <w:rFonts w:ascii="Abadi" w:hAnsi="Abadi" w:cs="Arial-BoldMT"/>
          <w:i/>
          <w:iCs/>
          <w:sz w:val="21"/>
          <w:szCs w:val="21"/>
          <w:lang w:val="es-MX"/>
        </w:rPr>
        <w:t xml:space="preserve">lato sensu, </w:t>
      </w:r>
      <w:r w:rsidRPr="00AD0DAD">
        <w:rPr>
          <w:rFonts w:ascii="Abadi" w:hAnsi="Abadi" w:cs="Arial-BoldMT"/>
          <w:sz w:val="21"/>
          <w:szCs w:val="21"/>
          <w:lang w:val="es-MX"/>
        </w:rPr>
        <w:t>a todo cuerpo de seguridad, ya municipal o estatal, pues el dicho presidencial, fácilmente puede ser entendido, entre los integrantes de los grupos del crimen organizado, como una suerte de beneplácito a su actividad, envuelto en un errático concepto de respeto a los derechos humanos.</w:t>
      </w:r>
    </w:p>
    <w:p w14:paraId="242FB67A"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7DFDBC32" w14:textId="5F9B99B2"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El presidente no entiende, o no quiere entender, que las víctimas también son o fueron, según el caso, seres humanos. Seres humanos a los que nadie protegió de otros seres humanos, cuyas conductas tuvieron un resultado material que en muchos casos fue la muerte, en otros la privación ilegal de la libertad, en otros la esclavitud en su modalidad de trata de personas, o la pérdida de bienes materiales legalmente obtenidos. Y hay que preguntarle al presidente, una y mil veces, señor presidente y a esos seres humanos convertidos en víctima por su incapacidad de articular una política pública de seguridad a la que se comprometió cuando protestó como presidente de la República, a esos seres humanos, qué les dice usted; qué les dice la licenciada en periodismo que usted improvisó como secretaria de</w:t>
      </w:r>
      <w:r w:rsidR="00BB5076" w:rsidRPr="00AD0DAD">
        <w:rPr>
          <w:rFonts w:ascii="Abadi" w:hAnsi="Abadi" w:cs="Arial-BoldMT"/>
          <w:sz w:val="21"/>
          <w:szCs w:val="21"/>
          <w:lang w:val="es-MX"/>
        </w:rPr>
        <w:t xml:space="preserve"> </w:t>
      </w:r>
      <w:r w:rsidRPr="00AD0DAD">
        <w:rPr>
          <w:rFonts w:ascii="Abadi" w:hAnsi="Abadi" w:cs="Arial-BoldMT"/>
          <w:sz w:val="21"/>
          <w:szCs w:val="21"/>
          <w:lang w:val="es-MX"/>
        </w:rPr>
        <w:t>seguridad.</w:t>
      </w:r>
    </w:p>
    <w:p w14:paraId="0A29D3E3"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01B2598D" w14:textId="77777777"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A ese niño que inútilmente esperará ver entrar a su padre por la puerta de su casa, a ese padre que verá crecer a sus hijos carentes del insustituible amor materno, a esa muchacha cuyo cuerpo y espíritu ha sido irremediable y permanentemente ultrajado, a ese pequeño empresario cuyo único delito fue aspirar a una vida mejor y pagar sus impuestos. A todos ellos que les dice señor presidente, mientras usted cuida y abraza a quienes les destruyeron la vida.</w:t>
      </w:r>
    </w:p>
    <w:p w14:paraId="61FA3CF8"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5801E6B6" w14:textId="77777777"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Esperamos su respuesta señor presidente.</w:t>
      </w:r>
    </w:p>
    <w:p w14:paraId="07B3014B" w14:textId="77777777" w:rsidR="00B86E53" w:rsidRPr="00AD0DAD" w:rsidRDefault="00B86E53" w:rsidP="00B86E53">
      <w:pPr>
        <w:autoSpaceDE w:val="0"/>
        <w:autoSpaceDN w:val="0"/>
        <w:adjustRightInd w:val="0"/>
        <w:jc w:val="both"/>
        <w:rPr>
          <w:rFonts w:ascii="Abadi" w:hAnsi="Abadi" w:cs="Arial-BoldMT"/>
          <w:sz w:val="21"/>
          <w:szCs w:val="21"/>
          <w:lang w:val="es-MX"/>
        </w:rPr>
      </w:pPr>
    </w:p>
    <w:p w14:paraId="794540E8" w14:textId="6FD8E603" w:rsidR="00B86E53" w:rsidRPr="00AD0DAD" w:rsidRDefault="00B86E53" w:rsidP="00B86E53">
      <w:pPr>
        <w:autoSpaceDE w:val="0"/>
        <w:autoSpaceDN w:val="0"/>
        <w:adjustRightInd w:val="0"/>
        <w:jc w:val="both"/>
        <w:rPr>
          <w:rFonts w:ascii="Abadi" w:hAnsi="Abadi" w:cs="Arial-BoldMT"/>
          <w:sz w:val="21"/>
          <w:szCs w:val="21"/>
          <w:lang w:val="es-MX"/>
        </w:rPr>
      </w:pPr>
      <w:r w:rsidRPr="00AD0DAD">
        <w:rPr>
          <w:rFonts w:ascii="Abadi" w:hAnsi="Abadi" w:cs="Arial-BoldMT"/>
          <w:sz w:val="21"/>
          <w:szCs w:val="21"/>
          <w:lang w:val="es-MX"/>
        </w:rPr>
        <w:t>Por lo anterior, ponemos a consideración de</w:t>
      </w:r>
      <w:r w:rsidR="00BB5076" w:rsidRPr="00AD0DAD">
        <w:rPr>
          <w:rFonts w:ascii="Abadi" w:hAnsi="Abadi" w:cs="Arial-BoldMT"/>
          <w:sz w:val="21"/>
          <w:szCs w:val="21"/>
          <w:lang w:val="es-MX"/>
        </w:rPr>
        <w:t xml:space="preserve"> </w:t>
      </w:r>
      <w:r w:rsidRPr="00AD0DAD">
        <w:rPr>
          <w:rFonts w:ascii="Abadi" w:hAnsi="Abadi" w:cs="Arial-BoldMT"/>
          <w:sz w:val="21"/>
          <w:szCs w:val="21"/>
          <w:lang w:val="es-MX"/>
        </w:rPr>
        <w:t>esta Honorable Asamblea el siguiente:</w:t>
      </w:r>
    </w:p>
    <w:p w14:paraId="70D7F9FE" w14:textId="77777777" w:rsidR="00B86E53" w:rsidRPr="00AD0DAD" w:rsidRDefault="00B86E53" w:rsidP="00B86E53">
      <w:pPr>
        <w:autoSpaceDE w:val="0"/>
        <w:autoSpaceDN w:val="0"/>
        <w:adjustRightInd w:val="0"/>
        <w:jc w:val="both"/>
        <w:rPr>
          <w:rFonts w:ascii="Abadi" w:hAnsi="Abadi" w:cs="Arial-BoldMT"/>
          <w:b/>
          <w:bCs/>
          <w:sz w:val="21"/>
          <w:szCs w:val="21"/>
          <w:lang w:val="es-MX"/>
        </w:rPr>
      </w:pPr>
    </w:p>
    <w:p w14:paraId="289E6CE7" w14:textId="77777777" w:rsidR="00B86E53" w:rsidRPr="00AD0DAD" w:rsidRDefault="00B86E53" w:rsidP="00B86E53">
      <w:pPr>
        <w:autoSpaceDE w:val="0"/>
        <w:autoSpaceDN w:val="0"/>
        <w:adjustRightInd w:val="0"/>
        <w:jc w:val="both"/>
        <w:rPr>
          <w:rFonts w:ascii="Abadi" w:hAnsi="Abadi" w:cs="Arial-BoldMT"/>
          <w:b/>
          <w:bCs/>
          <w:sz w:val="21"/>
          <w:szCs w:val="21"/>
          <w:lang w:val="es-MX"/>
        </w:rPr>
      </w:pPr>
    </w:p>
    <w:p w14:paraId="60C4957C" w14:textId="77777777" w:rsidR="00B86E53" w:rsidRPr="00AD0DAD" w:rsidRDefault="00B86E53" w:rsidP="00BB5076">
      <w:pPr>
        <w:autoSpaceDE w:val="0"/>
        <w:autoSpaceDN w:val="0"/>
        <w:adjustRightInd w:val="0"/>
        <w:jc w:val="center"/>
        <w:rPr>
          <w:rFonts w:ascii="Abadi" w:hAnsi="Abadi" w:cs="Arial-BoldMT"/>
          <w:b/>
          <w:bCs/>
          <w:sz w:val="21"/>
          <w:szCs w:val="21"/>
          <w:lang w:val="es-MX"/>
        </w:rPr>
      </w:pPr>
      <w:r w:rsidRPr="00AD0DAD">
        <w:rPr>
          <w:rFonts w:ascii="Abadi" w:hAnsi="Abadi" w:cs="Arial-BoldMT"/>
          <w:b/>
          <w:bCs/>
          <w:sz w:val="21"/>
          <w:szCs w:val="21"/>
          <w:lang w:val="es-MX"/>
        </w:rPr>
        <w:t>PUNTO DE ACUERDO</w:t>
      </w:r>
    </w:p>
    <w:p w14:paraId="70A79F65" w14:textId="77777777" w:rsidR="00B86E53" w:rsidRPr="00AD0DAD" w:rsidRDefault="00B86E53" w:rsidP="00B86E53">
      <w:pPr>
        <w:autoSpaceDE w:val="0"/>
        <w:autoSpaceDN w:val="0"/>
        <w:adjustRightInd w:val="0"/>
        <w:jc w:val="both"/>
        <w:rPr>
          <w:rFonts w:ascii="Abadi" w:hAnsi="Abadi" w:cs="Arial-BoldMT"/>
          <w:b/>
          <w:bCs/>
          <w:sz w:val="21"/>
          <w:szCs w:val="21"/>
          <w:lang w:val="es-MX"/>
        </w:rPr>
      </w:pPr>
    </w:p>
    <w:p w14:paraId="699ACE5D" w14:textId="77777777" w:rsidR="00B86E53" w:rsidRPr="00AD0DAD" w:rsidRDefault="00B86E53" w:rsidP="00B86E53">
      <w:pPr>
        <w:autoSpaceDE w:val="0"/>
        <w:autoSpaceDN w:val="0"/>
        <w:adjustRightInd w:val="0"/>
        <w:jc w:val="both"/>
        <w:rPr>
          <w:rFonts w:ascii="Abadi" w:hAnsi="Abadi" w:cs="Arial-BoldMT"/>
          <w:b/>
          <w:bCs/>
          <w:sz w:val="21"/>
          <w:szCs w:val="21"/>
          <w:lang w:val="es-MX"/>
        </w:rPr>
      </w:pPr>
      <w:r w:rsidRPr="00AD0DAD">
        <w:rPr>
          <w:rFonts w:ascii="Abadi" w:hAnsi="Abadi" w:cs="Arial-BoldMT"/>
          <w:b/>
          <w:bCs/>
          <w:sz w:val="21"/>
          <w:szCs w:val="21"/>
          <w:lang w:val="es-MX"/>
        </w:rPr>
        <w:t>ÚNICO. La Sexagésima Quinta Legislatura del Congreso del Estado Libre y Soberano de Guanajuato efectúa un respetuoso punto de acuerdo, de obvia resolución, mediante el cual, exhorta al Presidente de la República para que diseñe urgentemente una estrategia de seguridad pública integral y de alcance nacional. Asimismo, para que, en su carácter de Jefe Supremo de las Fuerzas Armadas, proteja la vida de sus elementos, así como de los integrantes de la Guardia Nacional.</w:t>
      </w:r>
    </w:p>
    <w:p w14:paraId="72EBBC8B" w14:textId="77777777" w:rsidR="00B86E53" w:rsidRPr="00AD0DAD" w:rsidRDefault="00B86E53" w:rsidP="00B86E53">
      <w:pPr>
        <w:autoSpaceDE w:val="0"/>
        <w:autoSpaceDN w:val="0"/>
        <w:adjustRightInd w:val="0"/>
        <w:jc w:val="both"/>
        <w:rPr>
          <w:rFonts w:ascii="Abadi" w:hAnsi="Abadi" w:cs="Arial-BoldMT"/>
          <w:b/>
          <w:bCs/>
          <w:sz w:val="21"/>
          <w:szCs w:val="21"/>
          <w:lang w:val="es-MX"/>
        </w:rPr>
      </w:pPr>
    </w:p>
    <w:p w14:paraId="58AD1CE0" w14:textId="6EFD0530" w:rsidR="00B86E53" w:rsidRPr="00AD0DAD" w:rsidRDefault="00B86E53" w:rsidP="00BB5076">
      <w:pPr>
        <w:autoSpaceDE w:val="0"/>
        <w:autoSpaceDN w:val="0"/>
        <w:adjustRightInd w:val="0"/>
        <w:jc w:val="center"/>
        <w:rPr>
          <w:rFonts w:ascii="Abadi" w:hAnsi="Abadi" w:cs="Arial-BoldMT"/>
          <w:b/>
          <w:bCs/>
          <w:sz w:val="21"/>
          <w:szCs w:val="21"/>
          <w:lang w:val="es-MX"/>
        </w:rPr>
      </w:pPr>
      <w:r w:rsidRPr="00AD0DAD">
        <w:rPr>
          <w:rFonts w:ascii="Abadi" w:hAnsi="Abadi" w:cs="Arial-BoldMT"/>
          <w:b/>
          <w:bCs/>
          <w:sz w:val="21"/>
          <w:szCs w:val="21"/>
          <w:lang w:val="es-MX"/>
        </w:rPr>
        <w:t xml:space="preserve">Guanajuato, </w:t>
      </w:r>
      <w:proofErr w:type="spellStart"/>
      <w:r w:rsidRPr="00AD0DAD">
        <w:rPr>
          <w:rFonts w:ascii="Abadi" w:hAnsi="Abadi" w:cs="Arial-BoldMT"/>
          <w:b/>
          <w:bCs/>
          <w:sz w:val="21"/>
          <w:szCs w:val="21"/>
          <w:lang w:val="es-MX"/>
        </w:rPr>
        <w:t>Gto</w:t>
      </w:r>
      <w:proofErr w:type="spellEnd"/>
      <w:r w:rsidRPr="00AD0DAD">
        <w:rPr>
          <w:rFonts w:ascii="Abadi" w:hAnsi="Abadi" w:cs="Arial-BoldMT"/>
          <w:b/>
          <w:bCs/>
          <w:sz w:val="21"/>
          <w:szCs w:val="21"/>
          <w:lang w:val="es-MX"/>
        </w:rPr>
        <w:t>., 17 de mayo de 2022</w:t>
      </w:r>
    </w:p>
    <w:p w14:paraId="7BBCE544" w14:textId="77777777" w:rsidR="00BB5076" w:rsidRPr="00AD0DAD" w:rsidRDefault="00BB5076" w:rsidP="00BB5076">
      <w:pPr>
        <w:autoSpaceDE w:val="0"/>
        <w:autoSpaceDN w:val="0"/>
        <w:adjustRightInd w:val="0"/>
        <w:jc w:val="center"/>
        <w:rPr>
          <w:rFonts w:ascii="Abadi" w:hAnsi="Abadi" w:cs="Arial-BoldMT"/>
          <w:b/>
          <w:bCs/>
          <w:sz w:val="21"/>
          <w:szCs w:val="21"/>
          <w:lang w:val="es-MX"/>
        </w:rPr>
      </w:pPr>
    </w:p>
    <w:p w14:paraId="0439AB4C" w14:textId="77777777" w:rsidR="00B86E53" w:rsidRPr="00AD0DAD" w:rsidRDefault="00B86E53" w:rsidP="00BB5076">
      <w:pPr>
        <w:autoSpaceDE w:val="0"/>
        <w:autoSpaceDN w:val="0"/>
        <w:adjustRightInd w:val="0"/>
        <w:jc w:val="center"/>
        <w:rPr>
          <w:rFonts w:ascii="Abadi" w:hAnsi="Abadi" w:cs="Arial-BoldMT"/>
          <w:b/>
          <w:bCs/>
          <w:sz w:val="21"/>
          <w:szCs w:val="21"/>
          <w:lang w:val="es-MX"/>
        </w:rPr>
      </w:pPr>
      <w:r w:rsidRPr="00AD0DAD">
        <w:rPr>
          <w:rFonts w:ascii="Abadi" w:hAnsi="Abadi" w:cs="Arial-BoldMT"/>
          <w:b/>
          <w:bCs/>
          <w:sz w:val="21"/>
          <w:szCs w:val="21"/>
          <w:lang w:val="es-MX"/>
        </w:rPr>
        <w:t>Diputadas y Diputados integrantes del</w:t>
      </w:r>
    </w:p>
    <w:p w14:paraId="336D47FE" w14:textId="77777777" w:rsidR="00B86E53" w:rsidRPr="00AD0DAD" w:rsidRDefault="00B86E53" w:rsidP="00BB5076">
      <w:pPr>
        <w:autoSpaceDE w:val="0"/>
        <w:autoSpaceDN w:val="0"/>
        <w:adjustRightInd w:val="0"/>
        <w:jc w:val="center"/>
        <w:rPr>
          <w:rFonts w:ascii="Abadi" w:hAnsi="Abadi" w:cs="Arial-BoldMT"/>
          <w:b/>
          <w:bCs/>
          <w:sz w:val="21"/>
          <w:szCs w:val="21"/>
          <w:lang w:val="es-MX"/>
        </w:rPr>
      </w:pPr>
      <w:r w:rsidRPr="00AD0DAD">
        <w:rPr>
          <w:rFonts w:ascii="Abadi" w:hAnsi="Abadi" w:cs="Arial-BoldMT"/>
          <w:b/>
          <w:bCs/>
          <w:sz w:val="21"/>
          <w:szCs w:val="21"/>
          <w:lang w:val="es-MX"/>
        </w:rPr>
        <w:t>Grupo Parlamentario del Partido Acción Nacional</w:t>
      </w:r>
    </w:p>
    <w:p w14:paraId="026FBCC2" w14:textId="77777777" w:rsidR="00B86E53" w:rsidRPr="00AD0DAD" w:rsidRDefault="00B86E53" w:rsidP="00BB5076">
      <w:pPr>
        <w:autoSpaceDE w:val="0"/>
        <w:autoSpaceDN w:val="0"/>
        <w:adjustRightInd w:val="0"/>
        <w:jc w:val="center"/>
        <w:rPr>
          <w:rFonts w:ascii="Abadi" w:hAnsi="Abadi" w:cs="Arial-BoldMT"/>
          <w:b/>
          <w:bCs/>
          <w:sz w:val="21"/>
          <w:szCs w:val="21"/>
          <w:lang w:val="es-MX"/>
        </w:rPr>
      </w:pPr>
    </w:p>
    <w:p w14:paraId="13A91E05" w14:textId="77777777" w:rsidR="00B86E53" w:rsidRPr="00AD0DAD" w:rsidRDefault="00B86E53" w:rsidP="00BB5076">
      <w:pPr>
        <w:autoSpaceDE w:val="0"/>
        <w:autoSpaceDN w:val="0"/>
        <w:adjustRightInd w:val="0"/>
        <w:jc w:val="center"/>
        <w:rPr>
          <w:rFonts w:ascii="Abadi" w:hAnsi="Abadi" w:cs="Arial-BoldMT"/>
          <w:b/>
          <w:bCs/>
          <w:sz w:val="21"/>
          <w:szCs w:val="21"/>
          <w:lang w:val="es-MX"/>
        </w:rPr>
      </w:pPr>
    </w:p>
    <w:p w14:paraId="59F15A7E" w14:textId="77777777" w:rsidR="00B86E53" w:rsidRPr="00AD0DAD" w:rsidRDefault="00B86E53" w:rsidP="00BB5076">
      <w:pPr>
        <w:autoSpaceDE w:val="0"/>
        <w:autoSpaceDN w:val="0"/>
        <w:adjustRightInd w:val="0"/>
        <w:jc w:val="center"/>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Luis Ernesto Ayala torres</w:t>
      </w:r>
    </w:p>
    <w:p w14:paraId="1B2978DB" w14:textId="28E80729" w:rsidR="00B86E53" w:rsidRPr="00AD0DAD" w:rsidRDefault="00B86E53" w:rsidP="00BB5076">
      <w:pPr>
        <w:autoSpaceDE w:val="0"/>
        <w:autoSpaceDN w:val="0"/>
        <w:adjustRightInd w:val="0"/>
        <w:jc w:val="center"/>
        <w:rPr>
          <w:rFonts w:ascii="Abadi" w:hAnsi="Abadi" w:cs="Arial-BoldMT"/>
          <w:b/>
          <w:bCs/>
          <w:sz w:val="21"/>
          <w:szCs w:val="21"/>
          <w:lang w:val="es-MX"/>
        </w:rPr>
      </w:pPr>
      <w:r w:rsidRPr="00AD0DAD">
        <w:rPr>
          <w:rFonts w:ascii="Abadi" w:hAnsi="Abadi" w:cs="Arial-BoldMT"/>
          <w:b/>
          <w:bCs/>
          <w:sz w:val="21"/>
          <w:szCs w:val="21"/>
          <w:lang w:val="es-MX"/>
        </w:rPr>
        <w:t>Coordinador</w:t>
      </w:r>
    </w:p>
    <w:p w14:paraId="68676EAF" w14:textId="630E11A7" w:rsidR="00CB0E9A" w:rsidRPr="00AD0DAD" w:rsidRDefault="00CB0E9A" w:rsidP="00BB5076">
      <w:pPr>
        <w:autoSpaceDE w:val="0"/>
        <w:autoSpaceDN w:val="0"/>
        <w:adjustRightInd w:val="0"/>
        <w:jc w:val="center"/>
        <w:rPr>
          <w:rFonts w:ascii="Abadi" w:hAnsi="Abadi" w:cs="Arial-BoldMT"/>
          <w:b/>
          <w:bCs/>
          <w:sz w:val="21"/>
          <w:szCs w:val="21"/>
          <w:lang w:val="es-MX"/>
        </w:rPr>
      </w:pPr>
    </w:p>
    <w:p w14:paraId="4FF02EFA"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Rolando Fortino Alcántar Rojas </w:t>
      </w:r>
    </w:p>
    <w:p w14:paraId="4C470396"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Bricio Balderas Álvarez </w:t>
      </w:r>
    </w:p>
    <w:p w14:paraId="5B61785E"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Susana Bermúdez Cano </w:t>
      </w:r>
    </w:p>
    <w:p w14:paraId="4553970C"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José Alfonso Borja Pimentel </w:t>
      </w:r>
    </w:p>
    <w:p w14:paraId="32D68C97"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Angélica Casilla Martínez </w:t>
      </w:r>
    </w:p>
    <w:p w14:paraId="6BDC3F8A"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Martha Guadalupe Hernández Camarena </w:t>
      </w:r>
    </w:p>
    <w:p w14:paraId="7B7E844B"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María de la Luz Hernández Martínez </w:t>
      </w:r>
    </w:p>
    <w:p w14:paraId="3FA6387E"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César Larrondo Díaz </w:t>
      </w:r>
    </w:p>
    <w:p w14:paraId="66D20E5E"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Martín López Camacho </w:t>
      </w:r>
    </w:p>
    <w:p w14:paraId="237E08C3"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Briseida Anabel Magdaleno González </w:t>
      </w:r>
    </w:p>
    <w:p w14:paraId="3522E7CC"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Laura Cristina Márquez Alcalá </w:t>
      </w:r>
    </w:p>
    <w:p w14:paraId="1723577A"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Dp</w:t>
      </w:r>
      <w:proofErr w:type="spellEnd"/>
      <w:r w:rsidRPr="00AD0DAD">
        <w:rPr>
          <w:rFonts w:ascii="Abadi" w:hAnsi="Abadi" w:cs="Arial-BoldMT"/>
          <w:b/>
          <w:bCs/>
          <w:sz w:val="21"/>
          <w:szCs w:val="21"/>
          <w:lang w:val="es-MX"/>
        </w:rPr>
        <w:t xml:space="preserve">. Aldo Iván Márquez Becerra </w:t>
      </w:r>
    </w:p>
    <w:p w14:paraId="41DF990B"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Noemí Márquez </w:t>
      </w:r>
      <w:proofErr w:type="spellStart"/>
      <w:r w:rsidRPr="00AD0DAD">
        <w:rPr>
          <w:rFonts w:ascii="Abadi" w:hAnsi="Abadi" w:cs="Arial-BoldMT"/>
          <w:b/>
          <w:bCs/>
          <w:sz w:val="21"/>
          <w:szCs w:val="21"/>
          <w:lang w:val="es-MX"/>
        </w:rPr>
        <w:t>Márquez</w:t>
      </w:r>
      <w:proofErr w:type="spellEnd"/>
      <w:r w:rsidRPr="00AD0DAD">
        <w:rPr>
          <w:rFonts w:ascii="Abadi" w:hAnsi="Abadi" w:cs="Arial-BoldMT"/>
          <w:b/>
          <w:bCs/>
          <w:sz w:val="21"/>
          <w:szCs w:val="21"/>
          <w:lang w:val="es-MX"/>
        </w:rPr>
        <w:t xml:space="preserve"> </w:t>
      </w:r>
    </w:p>
    <w:p w14:paraId="39FF1DE7"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Janet Melanie Murillo Chávez </w:t>
      </w:r>
    </w:p>
    <w:p w14:paraId="0B2AF7C5"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Jorge Ortiz Ortega </w:t>
      </w:r>
    </w:p>
    <w:p w14:paraId="0A6FF3AC"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Armando Daniel Hernández </w:t>
      </w:r>
    </w:p>
    <w:p w14:paraId="03E3BC52"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Lilia </w:t>
      </w:r>
      <w:proofErr w:type="gramStart"/>
      <w:r w:rsidRPr="00AD0DAD">
        <w:rPr>
          <w:rFonts w:ascii="Abadi" w:hAnsi="Abadi" w:cs="Arial-BoldMT"/>
          <w:b/>
          <w:bCs/>
          <w:sz w:val="21"/>
          <w:szCs w:val="21"/>
          <w:lang w:val="es-MX"/>
        </w:rPr>
        <w:t>Margarita  Rionda</w:t>
      </w:r>
      <w:proofErr w:type="gramEnd"/>
      <w:r w:rsidRPr="00AD0DAD">
        <w:rPr>
          <w:rFonts w:ascii="Abadi" w:hAnsi="Abadi" w:cs="Arial-BoldMT"/>
          <w:b/>
          <w:bCs/>
          <w:sz w:val="21"/>
          <w:szCs w:val="21"/>
          <w:lang w:val="es-MX"/>
        </w:rPr>
        <w:t xml:space="preserve"> Salas </w:t>
      </w:r>
    </w:p>
    <w:p w14:paraId="52BC370E"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Miguel </w:t>
      </w:r>
      <w:proofErr w:type="gramStart"/>
      <w:r w:rsidRPr="00AD0DAD">
        <w:rPr>
          <w:rFonts w:ascii="Abadi" w:hAnsi="Abadi" w:cs="Arial-BoldMT"/>
          <w:b/>
          <w:bCs/>
          <w:sz w:val="21"/>
          <w:szCs w:val="21"/>
          <w:lang w:val="es-MX"/>
        </w:rPr>
        <w:t>Ángel  Salim</w:t>
      </w:r>
      <w:proofErr w:type="gramEnd"/>
      <w:r w:rsidRPr="00AD0DAD">
        <w:rPr>
          <w:rFonts w:ascii="Abadi" w:hAnsi="Abadi" w:cs="Arial-BoldMT"/>
          <w:b/>
          <w:bCs/>
          <w:sz w:val="21"/>
          <w:szCs w:val="21"/>
          <w:lang w:val="es-MX"/>
        </w:rPr>
        <w:t xml:space="preserve"> </w:t>
      </w:r>
      <w:proofErr w:type="spellStart"/>
      <w:r w:rsidRPr="00AD0DAD">
        <w:rPr>
          <w:rFonts w:ascii="Abadi" w:hAnsi="Abadi" w:cs="Arial-BoldMT"/>
          <w:b/>
          <w:bCs/>
          <w:sz w:val="21"/>
          <w:szCs w:val="21"/>
          <w:lang w:val="es-MX"/>
        </w:rPr>
        <w:t>Alle</w:t>
      </w:r>
      <w:proofErr w:type="spellEnd"/>
      <w:r w:rsidRPr="00AD0DAD">
        <w:rPr>
          <w:rFonts w:ascii="Abadi" w:hAnsi="Abadi" w:cs="Arial-BoldMT"/>
          <w:b/>
          <w:bCs/>
          <w:sz w:val="21"/>
          <w:szCs w:val="21"/>
          <w:lang w:val="es-MX"/>
        </w:rPr>
        <w:t xml:space="preserve"> </w:t>
      </w:r>
    </w:p>
    <w:p w14:paraId="199906CE"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Cristina    Soto Escamilla                                 </w:t>
      </w:r>
    </w:p>
    <w:p w14:paraId="1EA6C3D6" w14:textId="77777777" w:rsidR="00CB0E9A" w:rsidRPr="00AD0DAD" w:rsidRDefault="00CB0E9A" w:rsidP="00CB0E9A">
      <w:pPr>
        <w:contextualSpacing/>
        <w:rPr>
          <w:rFonts w:ascii="Abadi" w:hAnsi="Abadi" w:cs="Arial-BoldMT"/>
          <w:b/>
          <w:bCs/>
          <w:sz w:val="21"/>
          <w:szCs w:val="21"/>
          <w:lang w:val="es-MX"/>
        </w:rPr>
      </w:pPr>
      <w:proofErr w:type="spellStart"/>
      <w:r w:rsidRPr="00AD0DAD">
        <w:rPr>
          <w:rFonts w:ascii="Abadi" w:hAnsi="Abadi" w:cs="Arial-BoldMT"/>
          <w:b/>
          <w:bCs/>
          <w:sz w:val="21"/>
          <w:szCs w:val="21"/>
          <w:lang w:val="es-MX"/>
        </w:rPr>
        <w:t>Dip</w:t>
      </w:r>
      <w:proofErr w:type="spellEnd"/>
      <w:r w:rsidRPr="00AD0DAD">
        <w:rPr>
          <w:rFonts w:ascii="Abadi" w:hAnsi="Abadi" w:cs="Arial-BoldMT"/>
          <w:b/>
          <w:bCs/>
          <w:sz w:val="21"/>
          <w:szCs w:val="21"/>
          <w:lang w:val="es-MX"/>
        </w:rPr>
        <w:t xml:space="preserve">. Víctor Manuel Zanella Huerta </w:t>
      </w:r>
    </w:p>
    <w:p w14:paraId="2DC82AF5" w14:textId="77777777" w:rsidR="00CB0E9A" w:rsidRPr="00AD0DAD" w:rsidRDefault="00CB0E9A" w:rsidP="00BB5076">
      <w:pPr>
        <w:autoSpaceDE w:val="0"/>
        <w:autoSpaceDN w:val="0"/>
        <w:adjustRightInd w:val="0"/>
        <w:jc w:val="center"/>
        <w:rPr>
          <w:rFonts w:ascii="Abadi" w:hAnsi="Abadi" w:cs="Arial-BoldMT"/>
          <w:b/>
          <w:bCs/>
          <w:sz w:val="21"/>
          <w:szCs w:val="21"/>
          <w:lang w:val="es-MX"/>
        </w:rPr>
      </w:pPr>
    </w:p>
    <w:p w14:paraId="5FF35CA2" w14:textId="49C094DC" w:rsidR="00B22469" w:rsidRPr="00AD0DAD" w:rsidRDefault="0034032E" w:rsidP="0034032E">
      <w:pPr>
        <w:pStyle w:val="NormalWeb"/>
        <w:ind w:firstLine="708"/>
        <w:jc w:val="both"/>
        <w:rPr>
          <w:rFonts w:ascii="Abadi" w:hAnsi="Abadi"/>
          <w:sz w:val="21"/>
          <w:szCs w:val="21"/>
        </w:rPr>
      </w:pPr>
      <w:r w:rsidRPr="00AD0DAD">
        <w:rPr>
          <w:rFonts w:ascii="Abadi" w:hAnsi="Abadi"/>
          <w:b/>
          <w:bCs/>
          <w:sz w:val="21"/>
          <w:szCs w:val="21"/>
        </w:rPr>
        <w:t xml:space="preserve">- </w:t>
      </w:r>
      <w:r w:rsidR="00B22469" w:rsidRPr="00AD0DAD">
        <w:rPr>
          <w:rFonts w:ascii="Abadi" w:hAnsi="Abadi"/>
          <w:b/>
          <w:bCs/>
          <w:sz w:val="21"/>
          <w:szCs w:val="21"/>
        </w:rPr>
        <w:t xml:space="preserve">La </w:t>
      </w:r>
      <w:proofErr w:type="gramStart"/>
      <w:r w:rsidR="00B22469" w:rsidRPr="00AD0DAD">
        <w:rPr>
          <w:rFonts w:ascii="Abadi" w:hAnsi="Abadi"/>
          <w:b/>
          <w:bCs/>
          <w:sz w:val="21"/>
          <w:szCs w:val="21"/>
        </w:rPr>
        <w:t>Presidencia.-</w:t>
      </w:r>
      <w:proofErr w:type="gramEnd"/>
      <w:r w:rsidR="00B22469" w:rsidRPr="00AD0DAD">
        <w:rPr>
          <w:rFonts w:ascii="Abadi" w:hAnsi="Abadi"/>
          <w:sz w:val="21"/>
          <w:szCs w:val="21"/>
        </w:rPr>
        <w:t xml:space="preserve"> Se solicita al diputado, ¡ahora sí! Martín López Camacho para dar lectura a la propuesta de punto de acuerdo de obvia resolución formulada por diputadas y diputados integrantes del Grupo Parlamentario del Partido Acción Nacional por el que se exhorta al Presidente de la República para que diseñe urgentemente una estrategia de seguridad pública integral y de alcance nacional. Asimismo, para que, en su carácter de Jefe Supremo de las Fuerzas Armadas, proteja la vida de sus elementos, así como de los integrantes de la Guardia Nacional y, en su caso, aprobación de la misma.</w:t>
      </w:r>
    </w:p>
    <w:p w14:paraId="163592FD" w14:textId="475C4099" w:rsidR="00B22469" w:rsidRPr="00AD0DAD" w:rsidRDefault="0034032E" w:rsidP="0034032E">
      <w:pPr>
        <w:pStyle w:val="NormalWeb"/>
        <w:ind w:firstLine="708"/>
        <w:jc w:val="both"/>
        <w:rPr>
          <w:rFonts w:ascii="Abadi" w:hAnsi="Abadi"/>
          <w:sz w:val="21"/>
          <w:szCs w:val="21"/>
        </w:rPr>
      </w:pPr>
      <w:r w:rsidRPr="00AD0DAD">
        <w:rPr>
          <w:rFonts w:ascii="Abadi" w:hAnsi="Abadi"/>
          <w:sz w:val="21"/>
          <w:szCs w:val="21"/>
        </w:rPr>
        <w:t xml:space="preserve">- </w:t>
      </w:r>
      <w:r w:rsidR="00B22469" w:rsidRPr="00AD0DAD">
        <w:rPr>
          <w:rFonts w:ascii="Abadi" w:hAnsi="Abadi"/>
          <w:sz w:val="21"/>
          <w:szCs w:val="21"/>
        </w:rPr>
        <w:t xml:space="preserve">Adelante, diputado. </w:t>
      </w:r>
    </w:p>
    <w:p w14:paraId="4B850D7F" w14:textId="77777777" w:rsidR="003F538E" w:rsidRDefault="003F538E" w:rsidP="00B22469">
      <w:pPr>
        <w:pStyle w:val="NormalWeb"/>
        <w:jc w:val="both"/>
        <w:rPr>
          <w:rFonts w:ascii="Abadi" w:hAnsi="Abadi"/>
          <w:b/>
          <w:bCs/>
          <w:sz w:val="21"/>
          <w:szCs w:val="21"/>
        </w:rPr>
      </w:pPr>
    </w:p>
    <w:p w14:paraId="6AE86FA9" w14:textId="62CEB58A" w:rsidR="00B22469" w:rsidRDefault="0088317A" w:rsidP="0088317A">
      <w:pPr>
        <w:pStyle w:val="NormalWeb"/>
        <w:numPr>
          <w:ilvl w:val="0"/>
          <w:numId w:val="77"/>
        </w:numPr>
        <w:jc w:val="both"/>
        <w:rPr>
          <w:rFonts w:ascii="Abadi" w:hAnsi="Abadi"/>
          <w:b/>
          <w:bCs/>
          <w:sz w:val="21"/>
          <w:szCs w:val="21"/>
        </w:rPr>
      </w:pPr>
      <w:r>
        <w:rPr>
          <w:noProof/>
        </w:rPr>
        <w:drawing>
          <wp:anchor distT="0" distB="0" distL="114300" distR="114300" simplePos="0" relativeHeight="251658253" behindDoc="1" locked="0" layoutInCell="1" allowOverlap="1" wp14:anchorId="121EB592" wp14:editId="218732F1">
            <wp:simplePos x="0" y="0"/>
            <wp:positionH relativeFrom="column">
              <wp:posOffset>140970</wp:posOffset>
            </wp:positionH>
            <wp:positionV relativeFrom="paragraph">
              <wp:posOffset>485140</wp:posOffset>
            </wp:positionV>
            <wp:extent cx="2276475" cy="1166829"/>
            <wp:effectExtent l="19050" t="133350" r="0" b="871855"/>
            <wp:wrapTight wrapText="bothSides">
              <wp:wrapPolygon edited="0">
                <wp:start x="362" y="-2469"/>
                <wp:lineTo x="-181" y="-1764"/>
                <wp:lineTo x="362" y="37391"/>
                <wp:lineTo x="3073" y="37391"/>
                <wp:lineTo x="3254" y="36686"/>
                <wp:lineTo x="19883" y="32100"/>
                <wp:lineTo x="20064" y="26456"/>
                <wp:lineTo x="19702" y="20812"/>
                <wp:lineTo x="19521" y="20812"/>
                <wp:lineTo x="20244" y="19048"/>
                <wp:lineTo x="20244" y="-1411"/>
                <wp:lineTo x="19883" y="-1764"/>
                <wp:lineTo x="12291" y="-2469"/>
                <wp:lineTo x="362" y="-2469"/>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b="7639"/>
                    <a:stretch/>
                  </pic:blipFill>
                  <pic:spPr bwMode="auto">
                    <a:xfrm>
                      <a:off x="0" y="0"/>
                      <a:ext cx="2276475" cy="1166829"/>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r w:rsidR="00B22469" w:rsidRPr="00E47913">
        <w:rPr>
          <w:rFonts w:ascii="Abadi" w:hAnsi="Abadi"/>
          <w:b/>
          <w:bCs/>
          <w:sz w:val="21"/>
          <w:szCs w:val="21"/>
        </w:rPr>
        <w:t xml:space="preserve">Diputado Martín López Camacho </w:t>
      </w:r>
      <w:r w:rsidR="00324778">
        <w:rPr>
          <w:rFonts w:ascii="Abadi" w:hAnsi="Abadi"/>
          <w:b/>
          <w:bCs/>
          <w:sz w:val="21"/>
          <w:szCs w:val="21"/>
        </w:rPr>
        <w:t>-</w:t>
      </w:r>
    </w:p>
    <w:p w14:paraId="02DFE17E" w14:textId="07C9C672" w:rsidR="00324778" w:rsidRDefault="00324778" w:rsidP="00B22469">
      <w:pPr>
        <w:pStyle w:val="NormalWeb"/>
        <w:jc w:val="both"/>
        <w:rPr>
          <w:rFonts w:ascii="Abadi" w:hAnsi="Abadi"/>
          <w:b/>
          <w:bCs/>
          <w:sz w:val="21"/>
          <w:szCs w:val="21"/>
        </w:rPr>
      </w:pPr>
    </w:p>
    <w:p w14:paraId="1E750315" w14:textId="77777777" w:rsidR="002362A9" w:rsidRPr="0088797E" w:rsidRDefault="002362A9" w:rsidP="002362A9">
      <w:pPr>
        <w:pStyle w:val="NormalWeb"/>
        <w:jc w:val="both"/>
        <w:rPr>
          <w:rFonts w:ascii="Abadi" w:hAnsi="Abadi"/>
          <w:sz w:val="21"/>
          <w:szCs w:val="21"/>
        </w:rPr>
      </w:pPr>
      <w:r>
        <w:rPr>
          <w:rFonts w:ascii="Abadi" w:hAnsi="Abadi"/>
          <w:sz w:val="21"/>
          <w:szCs w:val="21"/>
        </w:rPr>
        <w:t xml:space="preserve">- </w:t>
      </w:r>
      <w:r w:rsidRPr="0088797E">
        <w:rPr>
          <w:rFonts w:ascii="Abadi" w:hAnsi="Abadi"/>
          <w:sz w:val="21"/>
          <w:szCs w:val="21"/>
        </w:rPr>
        <w:t xml:space="preserve">Muy buen día compañeras compañeros </w:t>
      </w:r>
      <w:r>
        <w:rPr>
          <w:rFonts w:ascii="Abadi" w:hAnsi="Abadi"/>
          <w:sz w:val="21"/>
          <w:szCs w:val="21"/>
        </w:rPr>
        <w:t xml:space="preserve">diputados </w:t>
      </w:r>
      <w:r w:rsidRPr="0088797E">
        <w:rPr>
          <w:rFonts w:ascii="Abadi" w:hAnsi="Abadi"/>
          <w:sz w:val="21"/>
          <w:szCs w:val="21"/>
        </w:rPr>
        <w:t>antes de dar lectura</w:t>
      </w:r>
      <w:r>
        <w:rPr>
          <w:rFonts w:ascii="Abadi" w:hAnsi="Abadi"/>
          <w:sz w:val="21"/>
          <w:szCs w:val="21"/>
        </w:rPr>
        <w:t xml:space="preserve"> este posicionamiento, </w:t>
      </w:r>
      <w:r w:rsidRPr="0088797E">
        <w:rPr>
          <w:rFonts w:ascii="Abadi" w:hAnsi="Abadi"/>
          <w:sz w:val="21"/>
          <w:szCs w:val="21"/>
        </w:rPr>
        <w:t xml:space="preserve">quisiera pedirle a la Presidenta si me permitiera quitar </w:t>
      </w:r>
      <w:r>
        <w:rPr>
          <w:rFonts w:ascii="Abadi" w:hAnsi="Abadi"/>
          <w:sz w:val="21"/>
          <w:szCs w:val="21"/>
        </w:rPr>
        <w:t xml:space="preserve">el trámite de </w:t>
      </w:r>
      <w:r w:rsidRPr="0088797E">
        <w:rPr>
          <w:rFonts w:ascii="Abadi" w:hAnsi="Abadi"/>
          <w:sz w:val="21"/>
          <w:szCs w:val="21"/>
        </w:rPr>
        <w:t>la obvia resolución</w:t>
      </w:r>
      <w:r>
        <w:rPr>
          <w:rFonts w:ascii="Abadi" w:hAnsi="Abadi"/>
          <w:sz w:val="21"/>
          <w:szCs w:val="21"/>
        </w:rPr>
        <w:t xml:space="preserve"> y le agradezco también, </w:t>
      </w:r>
      <w:r w:rsidRPr="0088797E">
        <w:rPr>
          <w:rFonts w:ascii="Abadi" w:hAnsi="Abadi"/>
          <w:sz w:val="21"/>
          <w:szCs w:val="21"/>
        </w:rPr>
        <w:t>(</w:t>
      </w:r>
      <w:r>
        <w:rPr>
          <w:rFonts w:ascii="Abadi" w:hAnsi="Abadi"/>
          <w:sz w:val="21"/>
          <w:szCs w:val="21"/>
        </w:rPr>
        <w:t>V</w:t>
      </w:r>
      <w:r w:rsidRPr="0088797E">
        <w:rPr>
          <w:rFonts w:ascii="Abadi" w:hAnsi="Abadi"/>
          <w:sz w:val="21"/>
          <w:szCs w:val="21"/>
        </w:rPr>
        <w:t xml:space="preserve">oz) diputa Alma, </w:t>
      </w:r>
      <w:r>
        <w:rPr>
          <w:rFonts w:ascii="Abadi" w:hAnsi="Abadi"/>
          <w:sz w:val="21"/>
          <w:szCs w:val="21"/>
        </w:rPr>
        <w:t>¿</w:t>
      </w:r>
      <w:r w:rsidRPr="0088797E">
        <w:rPr>
          <w:rFonts w:ascii="Abadi" w:hAnsi="Abadi"/>
          <w:sz w:val="21"/>
          <w:szCs w:val="21"/>
        </w:rPr>
        <w:t>presidenta? (</w:t>
      </w:r>
      <w:r>
        <w:rPr>
          <w:rFonts w:ascii="Abadi" w:hAnsi="Abadi"/>
          <w:sz w:val="21"/>
          <w:szCs w:val="21"/>
        </w:rPr>
        <w:t>V</w:t>
      </w:r>
      <w:r w:rsidRPr="0088797E">
        <w:rPr>
          <w:rFonts w:ascii="Abadi" w:hAnsi="Abadi"/>
          <w:sz w:val="21"/>
          <w:szCs w:val="21"/>
        </w:rPr>
        <w:t xml:space="preserve">oz) diputada </w:t>
      </w:r>
      <w:r>
        <w:rPr>
          <w:rFonts w:ascii="Abadi" w:hAnsi="Abadi"/>
          <w:sz w:val="21"/>
          <w:szCs w:val="21"/>
        </w:rPr>
        <w:t>Presidente ¿</w:t>
      </w:r>
      <w:r w:rsidRPr="0088797E">
        <w:rPr>
          <w:rFonts w:ascii="Abadi" w:hAnsi="Abadi"/>
          <w:sz w:val="21"/>
          <w:szCs w:val="21"/>
        </w:rPr>
        <w:t xml:space="preserve">para qué </w:t>
      </w:r>
      <w:r>
        <w:rPr>
          <w:rFonts w:ascii="Abadi" w:hAnsi="Abadi"/>
          <w:sz w:val="21"/>
          <w:szCs w:val="21"/>
        </w:rPr>
        <w:t xml:space="preserve">efecto? </w:t>
      </w:r>
      <w:r w:rsidRPr="0088797E">
        <w:rPr>
          <w:rFonts w:ascii="Abadi" w:hAnsi="Abadi"/>
          <w:sz w:val="21"/>
          <w:szCs w:val="21"/>
        </w:rPr>
        <w:t xml:space="preserve">para solicitar con fundamento en la fracción </w:t>
      </w:r>
      <w:r>
        <w:rPr>
          <w:rFonts w:ascii="Abadi" w:hAnsi="Abadi"/>
          <w:sz w:val="21"/>
          <w:szCs w:val="21"/>
        </w:rPr>
        <w:t xml:space="preserve">I </w:t>
      </w:r>
      <w:r w:rsidRPr="0088797E">
        <w:rPr>
          <w:rFonts w:ascii="Abadi" w:hAnsi="Abadi"/>
          <w:sz w:val="21"/>
          <w:szCs w:val="21"/>
        </w:rPr>
        <w:t>del artículo 177 que este punto de acuerdo sea declarado de obvia resolución, (</w:t>
      </w:r>
      <w:r>
        <w:rPr>
          <w:rFonts w:ascii="Abadi" w:hAnsi="Abadi"/>
          <w:sz w:val="21"/>
          <w:szCs w:val="21"/>
        </w:rPr>
        <w:t>V</w:t>
      </w:r>
      <w:r w:rsidRPr="0088797E">
        <w:rPr>
          <w:rFonts w:ascii="Abadi" w:hAnsi="Abadi"/>
          <w:sz w:val="21"/>
          <w:szCs w:val="21"/>
        </w:rPr>
        <w:t xml:space="preserve">oz) diputada Presidenta, muy bien diputada, adelante diputado. </w:t>
      </w:r>
    </w:p>
    <w:p w14:paraId="0A040576" w14:textId="71339D86" w:rsidR="002362A9" w:rsidRPr="0088797E" w:rsidRDefault="002362A9" w:rsidP="002362A9">
      <w:pPr>
        <w:pStyle w:val="NormalWeb"/>
        <w:jc w:val="both"/>
        <w:rPr>
          <w:rFonts w:ascii="Abadi" w:hAnsi="Abadi"/>
          <w:sz w:val="21"/>
          <w:szCs w:val="21"/>
        </w:rPr>
      </w:pPr>
      <w:r>
        <w:rPr>
          <w:rFonts w:ascii="Abadi" w:hAnsi="Abadi"/>
          <w:sz w:val="21"/>
          <w:szCs w:val="21"/>
        </w:rPr>
        <w:t xml:space="preserve">- </w:t>
      </w:r>
      <w:r w:rsidRPr="0088797E">
        <w:rPr>
          <w:rFonts w:ascii="Abadi" w:hAnsi="Abadi"/>
          <w:sz w:val="21"/>
          <w:szCs w:val="21"/>
        </w:rPr>
        <w:t xml:space="preserve">Muchas gracias, saludo de nuevo compañeras diputadas y diputados, medios de comunicación, personal institucional personas que nos siguen a través de distintas plataformas agradezco la atención de todos ustedes quienes integramos del Grupo Parlamentario del Partido Acción Nacional ante las Sexagésima Quinta Legislatura de este Congreso Libre y Soberano de Guanajuato nos permitimos presentar y someter a la consideración de esta Honorable Asamblea la presente propuesta de punto de acuerdo de obvia (se disculpa el diputado, ya que había pedido se reitre la obvia resolución), mediante el </w:t>
      </w:r>
      <w:r w:rsidR="00924C5F">
        <w:rPr>
          <w:rFonts w:ascii="Abadi" w:hAnsi="Abadi"/>
          <w:sz w:val="21"/>
          <w:szCs w:val="21"/>
        </w:rPr>
        <w:t xml:space="preserve"> </w:t>
      </w:r>
      <w:r w:rsidRPr="0088797E">
        <w:rPr>
          <w:rFonts w:ascii="Abadi" w:hAnsi="Abadi"/>
          <w:sz w:val="21"/>
          <w:szCs w:val="21"/>
        </w:rPr>
        <w:t>cual el</w:t>
      </w:r>
      <w:r w:rsidR="00924C5F">
        <w:rPr>
          <w:rFonts w:ascii="Abadi" w:hAnsi="Abadi"/>
          <w:sz w:val="21"/>
          <w:szCs w:val="21"/>
        </w:rPr>
        <w:t xml:space="preserve"> </w:t>
      </w:r>
      <w:r w:rsidRPr="0088797E">
        <w:rPr>
          <w:rFonts w:ascii="Abadi" w:hAnsi="Abadi"/>
          <w:sz w:val="21"/>
          <w:szCs w:val="21"/>
        </w:rPr>
        <w:t xml:space="preserve">Congreso del Estado Libre y Soberano de Guanajuato exhorta al Presidente de la República para que diseñe urgentemente una estrategia de Seguridad Pública integral y de alcance nacional </w:t>
      </w:r>
    </w:p>
    <w:p w14:paraId="5752489F" w14:textId="77777777" w:rsidR="002362A9" w:rsidRPr="0088797E" w:rsidRDefault="002362A9" w:rsidP="002362A9">
      <w:pPr>
        <w:pStyle w:val="NormalWeb"/>
        <w:jc w:val="both"/>
        <w:rPr>
          <w:rFonts w:ascii="Abadi" w:hAnsi="Abadi"/>
          <w:sz w:val="21"/>
          <w:szCs w:val="21"/>
        </w:rPr>
      </w:pPr>
      <w:r>
        <w:rPr>
          <w:rFonts w:ascii="Abadi" w:hAnsi="Abadi"/>
          <w:sz w:val="21"/>
          <w:szCs w:val="21"/>
        </w:rPr>
        <w:t xml:space="preserve">- </w:t>
      </w:r>
      <w:r w:rsidRPr="0088797E">
        <w:rPr>
          <w:rFonts w:ascii="Abadi" w:hAnsi="Abadi"/>
          <w:sz w:val="21"/>
          <w:szCs w:val="21"/>
        </w:rPr>
        <w:t xml:space="preserve">Asimismo para que en su carácter de jefe Supremo de las Fuerzas Armadas proteja la vida de sus elementos así como de los integrantes de la Guardia Nacional ello en atención al contenido de los artículos 89 constitucional fracciones </w:t>
      </w:r>
      <w:r>
        <w:rPr>
          <w:rFonts w:ascii="Abadi" w:hAnsi="Abadi"/>
          <w:sz w:val="21"/>
          <w:szCs w:val="21"/>
        </w:rPr>
        <w:t xml:space="preserve">V y VII y XI, </w:t>
      </w:r>
      <w:r w:rsidRPr="0088797E">
        <w:rPr>
          <w:rFonts w:ascii="Abadi" w:hAnsi="Abadi"/>
          <w:sz w:val="21"/>
          <w:szCs w:val="21"/>
        </w:rPr>
        <w:t xml:space="preserve">la Ley Orgánica del Ejército y Fuerzas Armadas </w:t>
      </w:r>
      <w:r>
        <w:rPr>
          <w:rFonts w:ascii="Abadi" w:hAnsi="Abadi"/>
          <w:sz w:val="21"/>
          <w:szCs w:val="21"/>
        </w:rPr>
        <w:t xml:space="preserve">y </w:t>
      </w:r>
      <w:r w:rsidRPr="0088797E">
        <w:rPr>
          <w:rFonts w:ascii="Abadi" w:hAnsi="Abadi"/>
          <w:sz w:val="21"/>
          <w:szCs w:val="21"/>
        </w:rPr>
        <w:t xml:space="preserve">5 y 6 de la </w:t>
      </w:r>
      <w:r>
        <w:rPr>
          <w:rFonts w:ascii="Abadi" w:hAnsi="Abadi"/>
          <w:sz w:val="21"/>
          <w:szCs w:val="21"/>
        </w:rPr>
        <w:t>L</w:t>
      </w:r>
      <w:r w:rsidRPr="0088797E">
        <w:rPr>
          <w:rFonts w:ascii="Abadi" w:hAnsi="Abadi"/>
          <w:sz w:val="21"/>
          <w:szCs w:val="21"/>
        </w:rPr>
        <w:t xml:space="preserve">ey de Guardia Nacional lo anterior de conformidad a las siguientes consideraciones hace apenas unos días la organización no gubernamental con base en Suiza iniciativa global contra el crimen organizado transnacional señaló que México se encontraba en el cuarto lugar internacional de países rehenes de grupos del crimen organizado de acuerdo con este informe los grupos mexicanos del crimen organizado son de los más sofisticados del mundo señalando además cosa que no es nueva que hoy partes importantes del territorio del país son controlados por la delincuencia de acuerdo con dicha organización México es líder en rubros como trata y tráfico de personas armas comercio de </w:t>
      </w:r>
      <w:r>
        <w:rPr>
          <w:rFonts w:ascii="Abadi" w:hAnsi="Abadi"/>
          <w:sz w:val="21"/>
          <w:szCs w:val="21"/>
        </w:rPr>
        <w:t xml:space="preserve">heroína, </w:t>
      </w:r>
      <w:r w:rsidRPr="0088797E">
        <w:rPr>
          <w:rFonts w:ascii="Abadi" w:hAnsi="Abadi"/>
          <w:sz w:val="21"/>
          <w:szCs w:val="21"/>
        </w:rPr>
        <w:t>cocaína cannabis y droga</w:t>
      </w:r>
      <w:r>
        <w:rPr>
          <w:rFonts w:ascii="Abadi" w:hAnsi="Abadi"/>
          <w:sz w:val="21"/>
          <w:szCs w:val="21"/>
        </w:rPr>
        <w:t>s</w:t>
      </w:r>
      <w:r w:rsidRPr="0088797E">
        <w:rPr>
          <w:rFonts w:ascii="Abadi" w:hAnsi="Abadi"/>
          <w:sz w:val="21"/>
          <w:szCs w:val="21"/>
        </w:rPr>
        <w:t xml:space="preserve"> sintéticas así como delitos contra la flora fauna y los recursos no renovables mención especial merecen el informe el peligro que corren los periodistas al ejercer la libertad de expresión en el país por cierto desde que se publicó en la prensa nacional el informe en comento hace apenas unos cuantos días han sido asesinados otros 3 periodistas una  en Sinaloa y </w:t>
      </w:r>
      <w:r>
        <w:rPr>
          <w:rFonts w:ascii="Abadi" w:hAnsi="Abadi"/>
          <w:sz w:val="21"/>
          <w:szCs w:val="21"/>
        </w:rPr>
        <w:t>dos</w:t>
      </w:r>
      <w:r w:rsidRPr="0088797E">
        <w:rPr>
          <w:rFonts w:ascii="Abadi" w:hAnsi="Abadi"/>
          <w:sz w:val="21"/>
          <w:szCs w:val="21"/>
        </w:rPr>
        <w:t xml:space="preserve"> mujeres en el </w:t>
      </w:r>
      <w:r>
        <w:rPr>
          <w:rFonts w:ascii="Abadi" w:hAnsi="Abadi"/>
          <w:sz w:val="21"/>
          <w:szCs w:val="21"/>
        </w:rPr>
        <w:t>E</w:t>
      </w:r>
      <w:r w:rsidRPr="0088797E">
        <w:rPr>
          <w:rFonts w:ascii="Abadi" w:hAnsi="Abadi"/>
          <w:sz w:val="21"/>
          <w:szCs w:val="21"/>
        </w:rPr>
        <w:t xml:space="preserve">stado de Veracruz, ambos Estados por cierto gobernados es un decir por Morena, al leer esta información resuena en la mente una frase que apunta para convertirse en el involuntario, testamento político del hoy Presidente  de la República, abrazos no balazos,  frente a la incesante reiteración de esta ola a la impunidad por parte del Gobierno Federal es legítimo preguntar </w:t>
      </w:r>
      <w:r>
        <w:rPr>
          <w:rFonts w:ascii="Abadi" w:hAnsi="Abadi"/>
          <w:sz w:val="21"/>
          <w:szCs w:val="21"/>
        </w:rPr>
        <w:t>¿</w:t>
      </w:r>
      <w:r w:rsidRPr="0088797E">
        <w:rPr>
          <w:rFonts w:ascii="Abadi" w:hAnsi="Abadi"/>
          <w:sz w:val="21"/>
          <w:szCs w:val="21"/>
        </w:rPr>
        <w:t>es este cuarto lugar internacional entre los países con mayor debilidad frente al crimen organizado a lo que se refiere Morena cuando habla de su nebulosa, cuarta transformación</w:t>
      </w:r>
      <w:r>
        <w:rPr>
          <w:rFonts w:ascii="Abadi" w:hAnsi="Abadi"/>
          <w:sz w:val="21"/>
          <w:szCs w:val="21"/>
        </w:rPr>
        <w:t>?</w:t>
      </w:r>
    </w:p>
    <w:p w14:paraId="0AB8E3EA" w14:textId="77777777" w:rsidR="002362A9" w:rsidRPr="0088797E" w:rsidRDefault="002362A9" w:rsidP="002362A9">
      <w:pPr>
        <w:pStyle w:val="NormalWeb"/>
        <w:jc w:val="both"/>
        <w:rPr>
          <w:rFonts w:ascii="Abadi" w:hAnsi="Abadi"/>
          <w:sz w:val="21"/>
          <w:szCs w:val="21"/>
        </w:rPr>
      </w:pPr>
      <w:r>
        <w:rPr>
          <w:rFonts w:ascii="Abadi" w:hAnsi="Abadi"/>
          <w:sz w:val="21"/>
          <w:szCs w:val="21"/>
        </w:rPr>
        <w:t xml:space="preserve">- </w:t>
      </w:r>
      <w:r w:rsidRPr="0088797E">
        <w:rPr>
          <w:rFonts w:ascii="Abadi" w:hAnsi="Abadi"/>
          <w:sz w:val="21"/>
          <w:szCs w:val="21"/>
        </w:rPr>
        <w:t xml:space="preserve">Si ese es el caso analicemos con un poco más a detalle los logros de morena a nivel nacional en materia de Seguridad Pública en lo que va de este sexenio de acuerdo con la información que se desprende del Secretariado Ejecutivo del Sistema Nacional de Seguridad Pública han habido 112,805 </w:t>
      </w:r>
      <w:r>
        <w:rPr>
          <w:rFonts w:ascii="Abadi" w:hAnsi="Abadi"/>
          <w:sz w:val="21"/>
          <w:szCs w:val="21"/>
        </w:rPr>
        <w:t xml:space="preserve">mil </w:t>
      </w:r>
      <w:r w:rsidRPr="0088797E">
        <w:rPr>
          <w:rFonts w:ascii="Abadi" w:hAnsi="Abadi"/>
          <w:sz w:val="21"/>
          <w:szCs w:val="21"/>
        </w:rPr>
        <w:t>homicidios dolosos 60,717</w:t>
      </w:r>
      <w:r>
        <w:rPr>
          <w:rFonts w:ascii="Abadi" w:hAnsi="Abadi"/>
          <w:sz w:val="21"/>
          <w:szCs w:val="21"/>
        </w:rPr>
        <w:t xml:space="preserve"> </w:t>
      </w:r>
      <w:r w:rsidRPr="0088797E">
        <w:rPr>
          <w:rFonts w:ascii="Abadi" w:hAnsi="Abadi"/>
          <w:sz w:val="21"/>
          <w:szCs w:val="21"/>
        </w:rPr>
        <w:t xml:space="preserve">homicidios culposos 3885 secuestros 29,829 </w:t>
      </w:r>
      <w:r>
        <w:rPr>
          <w:rFonts w:ascii="Abadi" w:hAnsi="Abadi"/>
          <w:sz w:val="21"/>
          <w:szCs w:val="21"/>
        </w:rPr>
        <w:t xml:space="preserve">mil, </w:t>
      </w:r>
      <w:r w:rsidRPr="0088797E">
        <w:rPr>
          <w:rFonts w:ascii="Abadi" w:hAnsi="Abadi"/>
          <w:sz w:val="21"/>
          <w:szCs w:val="21"/>
        </w:rPr>
        <w:t>casos de extorsión han sido asesinados 151 periodistas 94 defensores de Derechos Humanos 778 agresiones al personal militar con un lamentable saldo de 71 elementos del Ejército y Fuerza Aérea mexicanos fallecidos. pero no sólo ha habido un aumento cuantitativo en la comisión de delito también son ya varios los estudios que apuntan a un incremento cualitativo por así decirlo en la perpetuación de las conductas ilícitas</w:t>
      </w:r>
      <w:r>
        <w:rPr>
          <w:rFonts w:ascii="Abadi" w:hAnsi="Abadi"/>
          <w:sz w:val="21"/>
          <w:szCs w:val="21"/>
        </w:rPr>
        <w:t>, e</w:t>
      </w:r>
      <w:r w:rsidRPr="0088797E">
        <w:rPr>
          <w:rFonts w:ascii="Abadi" w:hAnsi="Abadi"/>
          <w:sz w:val="21"/>
          <w:szCs w:val="21"/>
        </w:rPr>
        <w:t xml:space="preserve">n este sentido resulta particularmente ilustrativo el informe enero a abril del presente año de la organización causa en común de acuerdo con esta organización de enero a abril del presente año en México se perpetraron en nuestro país las siguientes atrocidades al menos 150 masacres 534 casos de tortura 297 casos de mutilación descuartizamiento y destrucción de cadáver 246 asesinatos de mujeres con crueldad extrema y al menos 117 asesinatos de niñas niños y adolescentes es en este contexto en el que el Presidente de la República formula desde su programa matutino de cultivo de odio y división una frase que ha sembrado sorpresa enojo preocupación indignación y tristeza. una frase frente a la cual el mutismo no es opción una frase que marcará no sólo a quien la ha pronunciado sino a todos aquellos que por disciplina mal entendida por oportunismo por infamia se convierten en cómplices de este histórico </w:t>
      </w:r>
      <w:r>
        <w:rPr>
          <w:rFonts w:ascii="Abadi" w:hAnsi="Abadi"/>
          <w:sz w:val="21"/>
          <w:szCs w:val="21"/>
        </w:rPr>
        <w:t>desatino</w:t>
      </w:r>
      <w:r w:rsidRPr="0088797E">
        <w:rPr>
          <w:rFonts w:ascii="Abadi" w:hAnsi="Abadi"/>
          <w:sz w:val="21"/>
          <w:szCs w:val="21"/>
        </w:rPr>
        <w:t xml:space="preserve"> cuidamos a los elementos de las Fuerzas Armadas </w:t>
      </w:r>
      <w:r>
        <w:rPr>
          <w:rFonts w:ascii="Abadi" w:hAnsi="Abadi"/>
          <w:sz w:val="21"/>
          <w:szCs w:val="21"/>
        </w:rPr>
        <w:t xml:space="preserve">de la defensa de la guardia nacional, y también cuidamos a los integrantes </w:t>
      </w:r>
      <w:r w:rsidRPr="0088797E">
        <w:rPr>
          <w:rFonts w:ascii="Abadi" w:hAnsi="Abadi"/>
          <w:sz w:val="21"/>
          <w:szCs w:val="21"/>
        </w:rPr>
        <w:t xml:space="preserve">prensa de la Guardia Nacional pero también cuidamos a los integrantes de las bandas son seres humanos. </w:t>
      </w:r>
    </w:p>
    <w:p w14:paraId="720C4DEA" w14:textId="77777777" w:rsidR="002362A9" w:rsidRDefault="002362A9" w:rsidP="002362A9">
      <w:pPr>
        <w:pStyle w:val="NormalWeb"/>
        <w:jc w:val="both"/>
        <w:rPr>
          <w:rFonts w:ascii="Abadi" w:hAnsi="Abadi"/>
          <w:sz w:val="21"/>
          <w:szCs w:val="21"/>
        </w:rPr>
      </w:pPr>
      <w:r>
        <w:rPr>
          <w:rFonts w:ascii="Abadi" w:hAnsi="Abadi"/>
          <w:sz w:val="21"/>
          <w:szCs w:val="21"/>
        </w:rPr>
        <w:t xml:space="preserve">- </w:t>
      </w:r>
      <w:r w:rsidRPr="0088797E">
        <w:rPr>
          <w:rFonts w:ascii="Abadi" w:hAnsi="Abadi"/>
          <w:sz w:val="21"/>
          <w:szCs w:val="21"/>
        </w:rPr>
        <w:t xml:space="preserve">La </w:t>
      </w:r>
      <w:proofErr w:type="spellStart"/>
      <w:r>
        <w:rPr>
          <w:rFonts w:ascii="Abadi" w:hAnsi="Abadi"/>
          <w:sz w:val="21"/>
          <w:szCs w:val="21"/>
        </w:rPr>
        <w:t>fracia</w:t>
      </w:r>
      <w:proofErr w:type="spellEnd"/>
      <w:r w:rsidRPr="0088797E">
        <w:rPr>
          <w:rFonts w:ascii="Abadi" w:hAnsi="Abadi"/>
          <w:sz w:val="21"/>
          <w:szCs w:val="21"/>
        </w:rPr>
        <w:t xml:space="preserve"> agravia a los miembros de las Fuerzas Armadas de la Guardia Nacional y las usen a todo cuerpo de seguridad ya municipal o ya estatal pues el dicho presidencial fácilmente puede ser entendido entre los integrantes de los grupos del crimen organizado como una suerte de beneplácito a su actividad envuelto en un errático concepto de respeto a los derechos humanos</w:t>
      </w:r>
      <w:r>
        <w:rPr>
          <w:rFonts w:ascii="Abadi" w:hAnsi="Abadi"/>
          <w:sz w:val="21"/>
          <w:szCs w:val="21"/>
        </w:rPr>
        <w:t xml:space="preserve">. </w:t>
      </w:r>
    </w:p>
    <w:p w14:paraId="5D15F5E7" w14:textId="77777777" w:rsidR="002362A9" w:rsidRDefault="002362A9" w:rsidP="002362A9">
      <w:pPr>
        <w:pStyle w:val="NormalWeb"/>
        <w:jc w:val="both"/>
        <w:rPr>
          <w:rFonts w:ascii="Abadi" w:hAnsi="Abadi"/>
          <w:sz w:val="21"/>
          <w:szCs w:val="21"/>
        </w:rPr>
      </w:pPr>
      <w:r>
        <w:rPr>
          <w:rFonts w:ascii="Abadi" w:hAnsi="Abadi"/>
          <w:sz w:val="21"/>
          <w:szCs w:val="21"/>
        </w:rPr>
        <w:t>- E</w:t>
      </w:r>
      <w:r w:rsidRPr="0088797E">
        <w:rPr>
          <w:rFonts w:ascii="Abadi" w:hAnsi="Abadi"/>
          <w:sz w:val="21"/>
          <w:szCs w:val="21"/>
        </w:rPr>
        <w:t>l presidente no entiende o no quiere entender que las víctimas también son o fueron según el caso seres humanos</w:t>
      </w:r>
      <w:r>
        <w:rPr>
          <w:rFonts w:ascii="Abadi" w:hAnsi="Abadi"/>
          <w:sz w:val="21"/>
          <w:szCs w:val="21"/>
        </w:rPr>
        <w:t>,</w:t>
      </w:r>
      <w:r w:rsidRPr="0088797E">
        <w:rPr>
          <w:rFonts w:ascii="Abadi" w:hAnsi="Abadi"/>
          <w:sz w:val="21"/>
          <w:szCs w:val="21"/>
        </w:rPr>
        <w:t xml:space="preserve"> seres humanos a los que no se protegió de otros seres humanos a los que si quiere </w:t>
      </w:r>
      <w:r>
        <w:rPr>
          <w:rFonts w:ascii="Abadi" w:hAnsi="Abadi"/>
          <w:sz w:val="21"/>
          <w:szCs w:val="21"/>
        </w:rPr>
        <w:t xml:space="preserve">proteger, </w:t>
      </w:r>
      <w:r w:rsidRPr="0088797E">
        <w:rPr>
          <w:rFonts w:ascii="Abadi" w:hAnsi="Abadi"/>
          <w:sz w:val="21"/>
          <w:szCs w:val="21"/>
        </w:rPr>
        <w:t>cuyas conductas tuvieron un resultado material que en muchos casos fue la muerte en otros la privación ilegal de la libertad en otros la esclavitud en su modalidad de trata de personas o la pérdida de bienes materiales legalmente obtenidos</w:t>
      </w:r>
      <w:r>
        <w:rPr>
          <w:rFonts w:ascii="Abadi" w:hAnsi="Abadi"/>
          <w:sz w:val="21"/>
          <w:szCs w:val="21"/>
        </w:rPr>
        <w:t xml:space="preserve">- </w:t>
      </w:r>
    </w:p>
    <w:p w14:paraId="2E878E56" w14:textId="6C4E9BA0" w:rsidR="002362A9" w:rsidRPr="0088797E" w:rsidRDefault="001B2700" w:rsidP="002362A9">
      <w:pPr>
        <w:pStyle w:val="NormalWeb"/>
        <w:jc w:val="both"/>
        <w:rPr>
          <w:rFonts w:ascii="Abadi" w:hAnsi="Abadi"/>
          <w:sz w:val="21"/>
          <w:szCs w:val="21"/>
        </w:rPr>
      </w:pPr>
      <w:r>
        <w:rPr>
          <w:rFonts w:ascii="Abadi" w:hAnsi="Abadi"/>
          <w:sz w:val="21"/>
          <w:szCs w:val="21"/>
        </w:rPr>
        <w:t xml:space="preserve">- </w:t>
      </w:r>
      <w:r w:rsidR="002362A9">
        <w:rPr>
          <w:rFonts w:ascii="Abadi" w:hAnsi="Abadi"/>
          <w:sz w:val="21"/>
          <w:szCs w:val="21"/>
        </w:rPr>
        <w:t>Y</w:t>
      </w:r>
      <w:r w:rsidR="002362A9" w:rsidRPr="0088797E">
        <w:rPr>
          <w:rFonts w:ascii="Abadi" w:hAnsi="Abadi"/>
          <w:sz w:val="21"/>
          <w:szCs w:val="21"/>
        </w:rPr>
        <w:t xml:space="preserve"> hay que preguntarle al </w:t>
      </w:r>
      <w:r w:rsidR="002362A9">
        <w:rPr>
          <w:rFonts w:ascii="Abadi" w:hAnsi="Abadi"/>
          <w:sz w:val="21"/>
          <w:szCs w:val="21"/>
        </w:rPr>
        <w:t>P</w:t>
      </w:r>
      <w:r w:rsidR="002362A9" w:rsidRPr="0088797E">
        <w:rPr>
          <w:rFonts w:ascii="Abadi" w:hAnsi="Abadi"/>
          <w:sz w:val="21"/>
          <w:szCs w:val="21"/>
        </w:rPr>
        <w:t xml:space="preserve">residente una y </w:t>
      </w:r>
      <w:r w:rsidR="002362A9">
        <w:rPr>
          <w:rFonts w:ascii="Abadi" w:hAnsi="Abadi"/>
          <w:sz w:val="21"/>
          <w:szCs w:val="21"/>
        </w:rPr>
        <w:t>mil veces</w:t>
      </w:r>
      <w:r w:rsidR="002362A9" w:rsidRPr="0088797E">
        <w:rPr>
          <w:rFonts w:ascii="Abadi" w:hAnsi="Abadi"/>
          <w:sz w:val="21"/>
          <w:szCs w:val="21"/>
        </w:rPr>
        <w:t xml:space="preserve"> </w:t>
      </w:r>
      <w:r w:rsidR="002362A9">
        <w:rPr>
          <w:rFonts w:ascii="Abadi" w:hAnsi="Abadi"/>
          <w:sz w:val="21"/>
          <w:szCs w:val="21"/>
        </w:rPr>
        <w:t>S</w:t>
      </w:r>
      <w:r w:rsidR="002362A9" w:rsidRPr="0088797E">
        <w:rPr>
          <w:rFonts w:ascii="Abadi" w:hAnsi="Abadi"/>
          <w:sz w:val="21"/>
          <w:szCs w:val="21"/>
        </w:rPr>
        <w:t xml:space="preserve">eñor </w:t>
      </w:r>
      <w:r w:rsidR="002362A9">
        <w:rPr>
          <w:rFonts w:ascii="Abadi" w:hAnsi="Abadi"/>
          <w:sz w:val="21"/>
          <w:szCs w:val="21"/>
        </w:rPr>
        <w:t>P</w:t>
      </w:r>
      <w:r w:rsidR="002362A9" w:rsidRPr="0088797E">
        <w:rPr>
          <w:rFonts w:ascii="Abadi" w:hAnsi="Abadi"/>
          <w:sz w:val="21"/>
          <w:szCs w:val="21"/>
        </w:rPr>
        <w:t xml:space="preserve">residente y a esos seres humanos convertidos en víctimas por su incapacidad de articular una política pública de seguridad a la que se comprometió cuando protestó como </w:t>
      </w:r>
      <w:r w:rsidR="002362A9">
        <w:rPr>
          <w:rFonts w:ascii="Abadi" w:hAnsi="Abadi"/>
          <w:sz w:val="21"/>
          <w:szCs w:val="21"/>
        </w:rPr>
        <w:t>P</w:t>
      </w:r>
      <w:r w:rsidR="002362A9" w:rsidRPr="0088797E">
        <w:rPr>
          <w:rFonts w:ascii="Abadi" w:hAnsi="Abadi"/>
          <w:sz w:val="21"/>
          <w:szCs w:val="21"/>
        </w:rPr>
        <w:t xml:space="preserve">residente de la República a esos seres humanos </w:t>
      </w:r>
      <w:r w:rsidR="002362A9">
        <w:rPr>
          <w:rFonts w:ascii="Abadi" w:hAnsi="Abadi"/>
          <w:sz w:val="21"/>
          <w:szCs w:val="21"/>
        </w:rPr>
        <w:t>¿</w:t>
      </w:r>
      <w:r w:rsidR="00EB1E0B" w:rsidRPr="0088797E">
        <w:rPr>
          <w:rFonts w:ascii="Abadi" w:hAnsi="Abadi"/>
          <w:sz w:val="21"/>
          <w:szCs w:val="21"/>
        </w:rPr>
        <w:t>qué</w:t>
      </w:r>
      <w:r w:rsidR="002362A9" w:rsidRPr="0088797E">
        <w:rPr>
          <w:rFonts w:ascii="Abadi" w:hAnsi="Abadi"/>
          <w:sz w:val="21"/>
          <w:szCs w:val="21"/>
        </w:rPr>
        <w:t xml:space="preserve"> les dice usted</w:t>
      </w:r>
      <w:r w:rsidR="002362A9">
        <w:rPr>
          <w:rFonts w:ascii="Abadi" w:hAnsi="Abadi"/>
          <w:sz w:val="21"/>
          <w:szCs w:val="21"/>
        </w:rPr>
        <w:t>?</w:t>
      </w:r>
      <w:r w:rsidR="002362A9" w:rsidRPr="0088797E">
        <w:rPr>
          <w:rFonts w:ascii="Abadi" w:hAnsi="Abadi"/>
          <w:sz w:val="21"/>
          <w:szCs w:val="21"/>
        </w:rPr>
        <w:t xml:space="preserve"> </w:t>
      </w:r>
      <w:r w:rsidR="002362A9">
        <w:rPr>
          <w:rFonts w:ascii="Abadi" w:hAnsi="Abadi"/>
          <w:sz w:val="21"/>
          <w:szCs w:val="21"/>
        </w:rPr>
        <w:t>¿</w:t>
      </w:r>
      <w:r w:rsidR="002362A9" w:rsidRPr="0088797E">
        <w:rPr>
          <w:rFonts w:ascii="Abadi" w:hAnsi="Abadi"/>
          <w:sz w:val="21"/>
          <w:szCs w:val="21"/>
        </w:rPr>
        <w:t>qué les dice la licenciada en periodismo</w:t>
      </w:r>
      <w:r w:rsidR="002362A9">
        <w:rPr>
          <w:rFonts w:ascii="Abadi" w:hAnsi="Abadi"/>
          <w:sz w:val="21"/>
          <w:szCs w:val="21"/>
        </w:rPr>
        <w:t>?</w:t>
      </w:r>
      <w:r w:rsidR="002362A9" w:rsidRPr="0088797E">
        <w:rPr>
          <w:rFonts w:ascii="Abadi" w:hAnsi="Abadi"/>
          <w:sz w:val="21"/>
          <w:szCs w:val="21"/>
        </w:rPr>
        <w:t xml:space="preserve"> que usted improviso como secretaria de seguridad a ese niño que inútilmente, esperara ver entrar a su padre a la puerta de su casa a ese padre que verá crecer a sus hijos carentes del insustituible amor materno</w:t>
      </w:r>
      <w:r w:rsidR="002362A9">
        <w:rPr>
          <w:rFonts w:ascii="Abadi" w:hAnsi="Abadi"/>
          <w:sz w:val="21"/>
          <w:szCs w:val="21"/>
        </w:rPr>
        <w:t>,</w:t>
      </w:r>
      <w:r w:rsidR="002362A9" w:rsidRPr="0088797E">
        <w:rPr>
          <w:rFonts w:ascii="Abadi" w:hAnsi="Abadi"/>
          <w:sz w:val="21"/>
          <w:szCs w:val="21"/>
        </w:rPr>
        <w:t xml:space="preserve"> a esa mujer cuyo cuerpo y espíritu ha sido irremediablemente y permanentemente ultrajado a ese pequeño empresario cuyo único delito fue aspirar a una vida mejor y pagar sus impuestos a todos ellos </w:t>
      </w:r>
      <w:r w:rsidR="002362A9">
        <w:rPr>
          <w:rFonts w:ascii="Abadi" w:hAnsi="Abadi"/>
          <w:sz w:val="21"/>
          <w:szCs w:val="21"/>
        </w:rPr>
        <w:t>¿</w:t>
      </w:r>
      <w:r w:rsidR="002362A9" w:rsidRPr="0088797E">
        <w:rPr>
          <w:rFonts w:ascii="Abadi" w:hAnsi="Abadi"/>
          <w:sz w:val="21"/>
          <w:szCs w:val="21"/>
        </w:rPr>
        <w:t xml:space="preserve">qué les dice </w:t>
      </w:r>
      <w:r w:rsidR="002362A9">
        <w:rPr>
          <w:rFonts w:ascii="Abadi" w:hAnsi="Abadi"/>
          <w:sz w:val="21"/>
          <w:szCs w:val="21"/>
        </w:rPr>
        <w:t>S</w:t>
      </w:r>
      <w:r w:rsidR="002362A9" w:rsidRPr="0088797E">
        <w:rPr>
          <w:rFonts w:ascii="Abadi" w:hAnsi="Abadi"/>
          <w:sz w:val="21"/>
          <w:szCs w:val="21"/>
        </w:rPr>
        <w:t>eñor Presidente</w:t>
      </w:r>
      <w:r w:rsidR="002362A9">
        <w:rPr>
          <w:rFonts w:ascii="Abadi" w:hAnsi="Abadi"/>
          <w:sz w:val="21"/>
          <w:szCs w:val="21"/>
        </w:rPr>
        <w:t>?</w:t>
      </w:r>
      <w:r w:rsidR="002362A9" w:rsidRPr="0088797E">
        <w:rPr>
          <w:rFonts w:ascii="Abadi" w:hAnsi="Abadi"/>
          <w:sz w:val="21"/>
          <w:szCs w:val="21"/>
        </w:rPr>
        <w:t xml:space="preserve"> mientras usted cuida y abraza a quienes les han destruido la vida, esperamos su respuesta </w:t>
      </w:r>
      <w:r w:rsidR="002362A9">
        <w:rPr>
          <w:rFonts w:ascii="Abadi" w:hAnsi="Abadi"/>
          <w:sz w:val="21"/>
          <w:szCs w:val="21"/>
        </w:rPr>
        <w:t>S</w:t>
      </w:r>
      <w:r w:rsidR="002362A9" w:rsidRPr="0088797E">
        <w:rPr>
          <w:rFonts w:ascii="Abadi" w:hAnsi="Abadi"/>
          <w:sz w:val="21"/>
          <w:szCs w:val="21"/>
        </w:rPr>
        <w:t>eñor President</w:t>
      </w:r>
      <w:r w:rsidR="002362A9">
        <w:rPr>
          <w:rFonts w:ascii="Abadi" w:hAnsi="Abadi"/>
          <w:sz w:val="21"/>
          <w:szCs w:val="21"/>
        </w:rPr>
        <w:t>e.</w:t>
      </w:r>
    </w:p>
    <w:p w14:paraId="216C56E8" w14:textId="77777777" w:rsidR="002362A9" w:rsidRPr="0088797E" w:rsidRDefault="002362A9" w:rsidP="002362A9">
      <w:pPr>
        <w:pStyle w:val="NormalWeb"/>
        <w:jc w:val="both"/>
        <w:rPr>
          <w:rFonts w:ascii="Abadi" w:hAnsi="Abadi"/>
          <w:sz w:val="21"/>
          <w:szCs w:val="21"/>
        </w:rPr>
      </w:pPr>
      <w:r>
        <w:rPr>
          <w:rFonts w:ascii="Abadi" w:hAnsi="Abadi"/>
          <w:sz w:val="21"/>
          <w:szCs w:val="21"/>
        </w:rPr>
        <w:t xml:space="preserve">- </w:t>
      </w:r>
      <w:r w:rsidRPr="0088797E">
        <w:rPr>
          <w:rFonts w:ascii="Abadi" w:hAnsi="Abadi"/>
          <w:sz w:val="21"/>
          <w:szCs w:val="21"/>
        </w:rPr>
        <w:t>Por lo anterior ponemos a consideración de esta Honorable Asamblea el siguiente Punto de Acuerdo</w:t>
      </w:r>
    </w:p>
    <w:p w14:paraId="544EB7B4" w14:textId="77777777" w:rsidR="002362A9" w:rsidRPr="0088797E" w:rsidRDefault="002362A9" w:rsidP="002362A9">
      <w:pPr>
        <w:pStyle w:val="NormalWeb"/>
        <w:jc w:val="both"/>
        <w:rPr>
          <w:rFonts w:ascii="Abadi" w:hAnsi="Abadi"/>
          <w:sz w:val="21"/>
          <w:szCs w:val="21"/>
        </w:rPr>
      </w:pPr>
      <w:r>
        <w:rPr>
          <w:rFonts w:ascii="Abadi" w:hAnsi="Abadi"/>
          <w:sz w:val="21"/>
          <w:szCs w:val="21"/>
        </w:rPr>
        <w:t xml:space="preserve">- </w:t>
      </w:r>
      <w:r w:rsidRPr="0088797E">
        <w:rPr>
          <w:rFonts w:ascii="Abadi" w:hAnsi="Abadi"/>
          <w:sz w:val="21"/>
          <w:szCs w:val="21"/>
        </w:rPr>
        <w:t xml:space="preserve">Único, la Sexagésima Quinta Legislatura del Congreso del Estado Libre y Soberano de Guanajuato efectúa un respetuoso punto de acuerdo mediante el cual exhorta al Presidente de la República para que diseñó urgentemente una estrategia de Seguridad Pública </w:t>
      </w:r>
      <w:r>
        <w:rPr>
          <w:rFonts w:ascii="Abadi" w:hAnsi="Abadi"/>
          <w:sz w:val="21"/>
          <w:szCs w:val="21"/>
        </w:rPr>
        <w:t>I</w:t>
      </w:r>
      <w:r w:rsidRPr="0088797E">
        <w:rPr>
          <w:rFonts w:ascii="Abadi" w:hAnsi="Abadi"/>
          <w:sz w:val="21"/>
          <w:szCs w:val="21"/>
        </w:rPr>
        <w:t xml:space="preserve">ntegral y de </w:t>
      </w:r>
      <w:r>
        <w:rPr>
          <w:rFonts w:ascii="Abadi" w:hAnsi="Abadi"/>
          <w:sz w:val="21"/>
          <w:szCs w:val="21"/>
        </w:rPr>
        <w:t>A</w:t>
      </w:r>
      <w:r w:rsidRPr="0088797E">
        <w:rPr>
          <w:rFonts w:ascii="Abadi" w:hAnsi="Abadi"/>
          <w:sz w:val="21"/>
          <w:szCs w:val="21"/>
        </w:rPr>
        <w:t xml:space="preserve">lcance </w:t>
      </w:r>
      <w:r>
        <w:rPr>
          <w:rFonts w:ascii="Abadi" w:hAnsi="Abadi"/>
          <w:sz w:val="21"/>
          <w:szCs w:val="21"/>
        </w:rPr>
        <w:t>N</w:t>
      </w:r>
      <w:r w:rsidRPr="0088797E">
        <w:rPr>
          <w:rFonts w:ascii="Abadi" w:hAnsi="Abadi"/>
          <w:sz w:val="21"/>
          <w:szCs w:val="21"/>
        </w:rPr>
        <w:t>acional así mismo para que en su carácter de jefe Supremo de las Fuerzas Armadas proteja la vida de sus elementos así como de los integrantes de la guardia nacional.</w:t>
      </w:r>
    </w:p>
    <w:p w14:paraId="6AEA61C9" w14:textId="77777777" w:rsidR="002362A9" w:rsidRDefault="002362A9" w:rsidP="002362A9">
      <w:pPr>
        <w:pStyle w:val="NormalWeb"/>
        <w:jc w:val="both"/>
        <w:rPr>
          <w:rFonts w:ascii="Abadi" w:hAnsi="Abadi"/>
          <w:sz w:val="21"/>
          <w:szCs w:val="21"/>
        </w:rPr>
      </w:pPr>
      <w:r>
        <w:rPr>
          <w:rFonts w:ascii="Abadi" w:hAnsi="Abadi"/>
          <w:sz w:val="21"/>
          <w:szCs w:val="21"/>
        </w:rPr>
        <w:t xml:space="preserve">- </w:t>
      </w:r>
      <w:r w:rsidRPr="0088797E">
        <w:rPr>
          <w:rFonts w:ascii="Abadi" w:hAnsi="Abadi"/>
          <w:sz w:val="21"/>
          <w:szCs w:val="21"/>
        </w:rPr>
        <w:t>Muchas gracias.</w:t>
      </w:r>
    </w:p>
    <w:p w14:paraId="7842576D" w14:textId="14360B38" w:rsidR="00E0164C" w:rsidRDefault="004307D8" w:rsidP="001328A5">
      <w:pPr>
        <w:pStyle w:val="NormalWeb"/>
        <w:ind w:firstLine="426"/>
        <w:jc w:val="both"/>
        <w:rPr>
          <w:rFonts w:ascii="Abadi" w:hAnsi="Abadi"/>
          <w:sz w:val="21"/>
          <w:szCs w:val="21"/>
        </w:rPr>
      </w:pPr>
      <w:r>
        <w:rPr>
          <w:rFonts w:ascii="Abadi" w:hAnsi="Abadi"/>
          <w:b/>
          <w:bCs/>
          <w:sz w:val="21"/>
          <w:szCs w:val="21"/>
        </w:rPr>
        <w:t xml:space="preserve">- </w:t>
      </w:r>
      <w:r w:rsidR="002362A9" w:rsidRPr="009C54FE">
        <w:rPr>
          <w:rFonts w:ascii="Abadi" w:hAnsi="Abadi"/>
          <w:b/>
          <w:bCs/>
          <w:sz w:val="21"/>
          <w:szCs w:val="21"/>
        </w:rPr>
        <w:t xml:space="preserve">La </w:t>
      </w:r>
      <w:proofErr w:type="gramStart"/>
      <w:r w:rsidR="002362A9" w:rsidRPr="009C54FE">
        <w:rPr>
          <w:rFonts w:ascii="Abadi" w:hAnsi="Abadi"/>
          <w:b/>
          <w:bCs/>
          <w:sz w:val="21"/>
          <w:szCs w:val="21"/>
        </w:rPr>
        <w:t>Presidencia.-</w:t>
      </w:r>
      <w:proofErr w:type="gramEnd"/>
      <w:r w:rsidR="002362A9">
        <w:rPr>
          <w:rFonts w:ascii="Abadi" w:hAnsi="Abadi"/>
          <w:sz w:val="21"/>
          <w:szCs w:val="21"/>
        </w:rPr>
        <w:t xml:space="preserve"> </w:t>
      </w:r>
      <w:r w:rsidR="002362A9" w:rsidRPr="0021199F">
        <w:rPr>
          <w:rFonts w:ascii="Abadi" w:hAnsi="Abadi"/>
          <w:sz w:val="21"/>
          <w:szCs w:val="21"/>
        </w:rPr>
        <w:t xml:space="preserve"> Gracias, diputado</w:t>
      </w:r>
      <w:r w:rsidR="002362A9">
        <w:rPr>
          <w:rFonts w:ascii="Abadi" w:hAnsi="Abadi"/>
          <w:sz w:val="21"/>
          <w:szCs w:val="21"/>
        </w:rPr>
        <w:t>.</w:t>
      </w:r>
    </w:p>
    <w:p w14:paraId="10AFDB38" w14:textId="77777777" w:rsidR="001328A5" w:rsidRDefault="001328A5" w:rsidP="00252A2C">
      <w:pPr>
        <w:pStyle w:val="NormalWeb"/>
        <w:ind w:firstLine="426"/>
        <w:jc w:val="both"/>
        <w:rPr>
          <w:rFonts w:ascii="Abadi" w:hAnsi="Abadi"/>
          <w:sz w:val="21"/>
          <w:szCs w:val="21"/>
        </w:rPr>
      </w:pPr>
      <w:r>
        <w:rPr>
          <w:rFonts w:ascii="Abadi" w:hAnsi="Abadi"/>
          <w:b/>
          <w:bCs/>
          <w:sz w:val="21"/>
          <w:szCs w:val="21"/>
        </w:rPr>
        <w:t xml:space="preserve">- </w:t>
      </w:r>
      <w:r w:rsidRPr="0047694A">
        <w:rPr>
          <w:rFonts w:ascii="Abadi" w:hAnsi="Abadi"/>
          <w:b/>
          <w:bCs/>
          <w:sz w:val="21"/>
          <w:szCs w:val="21"/>
        </w:rPr>
        <w:t xml:space="preserve">La </w:t>
      </w:r>
      <w:proofErr w:type="gramStart"/>
      <w:r w:rsidRPr="0047694A">
        <w:rPr>
          <w:rFonts w:ascii="Abadi" w:hAnsi="Abadi"/>
          <w:b/>
          <w:bCs/>
          <w:sz w:val="21"/>
          <w:szCs w:val="21"/>
        </w:rPr>
        <w:t>Presidencia.-</w:t>
      </w:r>
      <w:proofErr w:type="gramEnd"/>
      <w:r>
        <w:rPr>
          <w:rFonts w:ascii="Abadi" w:hAnsi="Abadi"/>
          <w:sz w:val="21"/>
          <w:szCs w:val="21"/>
        </w:rPr>
        <w:t xml:space="preserve"> Y</w:t>
      </w:r>
      <w:r w:rsidRPr="0021199F">
        <w:rPr>
          <w:rFonts w:ascii="Abadi" w:hAnsi="Abadi"/>
          <w:sz w:val="21"/>
          <w:szCs w:val="21"/>
        </w:rPr>
        <w:t xml:space="preserve"> en los términos solicitados por la diputada Alma </w:t>
      </w:r>
      <w:r>
        <w:rPr>
          <w:rFonts w:ascii="Abadi" w:hAnsi="Abadi"/>
          <w:sz w:val="21"/>
          <w:szCs w:val="21"/>
        </w:rPr>
        <w:t xml:space="preserve">Edwviges </w:t>
      </w:r>
      <w:r w:rsidRPr="0021199F">
        <w:rPr>
          <w:rFonts w:ascii="Abadi" w:hAnsi="Abadi"/>
          <w:sz w:val="21"/>
          <w:szCs w:val="21"/>
        </w:rPr>
        <w:t>Alcaraz Hernández</w:t>
      </w:r>
      <w:r>
        <w:rPr>
          <w:rFonts w:ascii="Abadi" w:hAnsi="Abadi"/>
          <w:sz w:val="21"/>
          <w:szCs w:val="21"/>
        </w:rPr>
        <w:t>,</w:t>
      </w:r>
      <w:r w:rsidRPr="0021199F">
        <w:rPr>
          <w:rFonts w:ascii="Abadi" w:hAnsi="Abadi"/>
          <w:sz w:val="21"/>
          <w:szCs w:val="21"/>
        </w:rPr>
        <w:t xml:space="preserve"> se somete a la Asamblea </w:t>
      </w:r>
      <w:r>
        <w:rPr>
          <w:rFonts w:ascii="Abadi" w:hAnsi="Abadi"/>
          <w:sz w:val="21"/>
          <w:szCs w:val="21"/>
        </w:rPr>
        <w:t>s</w:t>
      </w:r>
      <w:r w:rsidRPr="0021199F">
        <w:rPr>
          <w:rFonts w:ascii="Abadi" w:hAnsi="Abadi"/>
          <w:sz w:val="21"/>
          <w:szCs w:val="21"/>
        </w:rPr>
        <w:t xml:space="preserve">e declare </w:t>
      </w:r>
      <w:r>
        <w:rPr>
          <w:rFonts w:ascii="Abadi" w:hAnsi="Abadi"/>
          <w:sz w:val="21"/>
          <w:szCs w:val="21"/>
        </w:rPr>
        <w:t>de obvia r</w:t>
      </w:r>
      <w:r w:rsidRPr="0021199F">
        <w:rPr>
          <w:rFonts w:ascii="Abadi" w:hAnsi="Abadi"/>
          <w:sz w:val="21"/>
          <w:szCs w:val="21"/>
        </w:rPr>
        <w:t>esolución la propuesta de</w:t>
      </w:r>
      <w:r>
        <w:rPr>
          <w:rFonts w:ascii="Abadi" w:hAnsi="Abadi"/>
          <w:sz w:val="21"/>
          <w:szCs w:val="21"/>
        </w:rPr>
        <w:t>l</w:t>
      </w:r>
      <w:r w:rsidRPr="0021199F">
        <w:rPr>
          <w:rFonts w:ascii="Abadi" w:hAnsi="Abadi"/>
          <w:sz w:val="21"/>
          <w:szCs w:val="21"/>
        </w:rPr>
        <w:t xml:space="preserve"> punto de acuerdo con fundamento</w:t>
      </w:r>
      <w:r>
        <w:rPr>
          <w:rFonts w:ascii="Abadi" w:hAnsi="Abadi"/>
          <w:sz w:val="21"/>
          <w:szCs w:val="21"/>
        </w:rPr>
        <w:t xml:space="preserve"> en</w:t>
      </w:r>
      <w:r w:rsidRPr="0021199F">
        <w:rPr>
          <w:rFonts w:ascii="Abadi" w:hAnsi="Abadi"/>
          <w:sz w:val="21"/>
          <w:szCs w:val="21"/>
        </w:rPr>
        <w:t xml:space="preserve"> lo dispuesto por el artículo ciento setenta y siete de la Ley Orgánica del Poder Legislativo del Estado, se informa </w:t>
      </w:r>
      <w:r>
        <w:rPr>
          <w:rFonts w:ascii="Abadi" w:hAnsi="Abadi"/>
          <w:sz w:val="21"/>
          <w:szCs w:val="21"/>
        </w:rPr>
        <w:t xml:space="preserve">a </w:t>
      </w:r>
      <w:r w:rsidRPr="0021199F">
        <w:rPr>
          <w:rFonts w:ascii="Abadi" w:hAnsi="Abadi"/>
          <w:sz w:val="21"/>
          <w:szCs w:val="21"/>
        </w:rPr>
        <w:t xml:space="preserve">la Asamblea </w:t>
      </w:r>
      <w:r>
        <w:rPr>
          <w:rFonts w:ascii="Abadi" w:hAnsi="Abadi"/>
          <w:sz w:val="21"/>
          <w:szCs w:val="21"/>
        </w:rPr>
        <w:t>q</w:t>
      </w:r>
      <w:r w:rsidRPr="0021199F">
        <w:rPr>
          <w:rFonts w:ascii="Abadi" w:hAnsi="Abadi"/>
          <w:sz w:val="21"/>
          <w:szCs w:val="21"/>
        </w:rPr>
        <w:t xml:space="preserve">ué </w:t>
      </w:r>
      <w:r>
        <w:rPr>
          <w:rFonts w:ascii="Abadi" w:hAnsi="Abadi"/>
          <w:sz w:val="21"/>
          <w:szCs w:val="21"/>
        </w:rPr>
        <w:t xml:space="preserve">a </w:t>
      </w:r>
      <w:r w:rsidRPr="0021199F">
        <w:rPr>
          <w:rFonts w:ascii="Abadi" w:hAnsi="Abadi"/>
          <w:sz w:val="21"/>
          <w:szCs w:val="21"/>
        </w:rPr>
        <w:t>efecto de que la propuesta de punto de acuerdo se declare de o</w:t>
      </w:r>
      <w:r>
        <w:rPr>
          <w:rFonts w:ascii="Abadi" w:hAnsi="Abadi"/>
          <w:sz w:val="21"/>
          <w:szCs w:val="21"/>
        </w:rPr>
        <w:t xml:space="preserve">bvia </w:t>
      </w:r>
      <w:r w:rsidRPr="0021199F">
        <w:rPr>
          <w:rFonts w:ascii="Abadi" w:hAnsi="Abadi"/>
          <w:sz w:val="21"/>
          <w:szCs w:val="21"/>
        </w:rPr>
        <w:t xml:space="preserve">resolución debe ser aprobada por las dos terceras partes de los integrantes del </w:t>
      </w:r>
      <w:r>
        <w:rPr>
          <w:rFonts w:ascii="Abadi" w:hAnsi="Abadi"/>
          <w:sz w:val="21"/>
          <w:szCs w:val="21"/>
        </w:rPr>
        <w:t>P</w:t>
      </w:r>
      <w:r w:rsidRPr="0021199F">
        <w:rPr>
          <w:rFonts w:ascii="Abadi" w:hAnsi="Abadi"/>
          <w:sz w:val="21"/>
          <w:szCs w:val="21"/>
        </w:rPr>
        <w:t>leno</w:t>
      </w:r>
      <w:r>
        <w:rPr>
          <w:rFonts w:ascii="Abadi" w:hAnsi="Abadi"/>
          <w:sz w:val="21"/>
          <w:szCs w:val="21"/>
        </w:rPr>
        <w:t>.</w:t>
      </w:r>
    </w:p>
    <w:p w14:paraId="45799FED" w14:textId="316DD975" w:rsidR="001328A5" w:rsidRDefault="001328A5" w:rsidP="00252A2C">
      <w:pPr>
        <w:pStyle w:val="NormalWeb"/>
        <w:ind w:firstLine="426"/>
        <w:jc w:val="both"/>
        <w:rPr>
          <w:rFonts w:ascii="Abadi" w:hAnsi="Abadi"/>
          <w:sz w:val="21"/>
          <w:szCs w:val="21"/>
        </w:rPr>
      </w:pPr>
      <w:r>
        <w:rPr>
          <w:rFonts w:ascii="Abadi" w:hAnsi="Abadi"/>
          <w:sz w:val="21"/>
          <w:szCs w:val="21"/>
        </w:rPr>
        <w:t xml:space="preserve">- </w:t>
      </w:r>
      <w:r w:rsidRPr="0021199F">
        <w:rPr>
          <w:rFonts w:ascii="Abadi" w:hAnsi="Abadi"/>
          <w:sz w:val="21"/>
          <w:szCs w:val="21"/>
        </w:rPr>
        <w:t>Si alguna diputada o algún diputado de hacer uso de la palabra en relación a l</w:t>
      </w:r>
      <w:r>
        <w:rPr>
          <w:rFonts w:ascii="Abadi" w:hAnsi="Abadi"/>
          <w:sz w:val="21"/>
          <w:szCs w:val="21"/>
        </w:rPr>
        <w:t>a obvia resolución</w:t>
      </w:r>
      <w:r w:rsidRPr="0021199F">
        <w:rPr>
          <w:rFonts w:ascii="Abadi" w:hAnsi="Abadi"/>
          <w:sz w:val="21"/>
          <w:szCs w:val="21"/>
        </w:rPr>
        <w:t xml:space="preserve">, </w:t>
      </w:r>
      <w:r>
        <w:rPr>
          <w:rFonts w:ascii="Abadi" w:hAnsi="Abadi"/>
          <w:sz w:val="21"/>
          <w:szCs w:val="21"/>
        </w:rPr>
        <w:t xml:space="preserve">sírvase manifestarlo </w:t>
      </w:r>
      <w:r w:rsidRPr="0021199F">
        <w:rPr>
          <w:rFonts w:ascii="Abadi" w:hAnsi="Abadi"/>
          <w:sz w:val="21"/>
          <w:szCs w:val="21"/>
        </w:rPr>
        <w:t>indicando el sentido de su participación. ¿</w:t>
      </w:r>
      <w:r>
        <w:rPr>
          <w:rFonts w:ascii="Abadi" w:hAnsi="Abadi"/>
          <w:sz w:val="21"/>
          <w:szCs w:val="21"/>
        </w:rPr>
        <w:t>d</w:t>
      </w:r>
      <w:r w:rsidRPr="0021199F">
        <w:rPr>
          <w:rFonts w:ascii="Abadi" w:hAnsi="Abadi"/>
          <w:sz w:val="21"/>
          <w:szCs w:val="21"/>
        </w:rPr>
        <w:t xml:space="preserve">iputado David, para qué efecto? </w:t>
      </w:r>
      <w:r>
        <w:rPr>
          <w:rFonts w:ascii="Abadi" w:hAnsi="Abadi"/>
          <w:sz w:val="21"/>
          <w:szCs w:val="21"/>
        </w:rPr>
        <w:t>a</w:t>
      </w:r>
      <w:r w:rsidRPr="0021199F">
        <w:rPr>
          <w:rFonts w:ascii="Abadi" w:hAnsi="Abadi"/>
          <w:sz w:val="21"/>
          <w:szCs w:val="21"/>
        </w:rPr>
        <w:t xml:space="preserve"> favor de la propuesta de la compañera Alma sobre la obvia resolución.</w:t>
      </w:r>
      <w:r w:rsidRPr="0047694A">
        <w:rPr>
          <w:rFonts w:ascii="Abadi" w:hAnsi="Abadi"/>
          <w:sz w:val="21"/>
          <w:szCs w:val="21"/>
        </w:rPr>
        <w:t xml:space="preserve"> </w:t>
      </w:r>
    </w:p>
    <w:p w14:paraId="76F13587" w14:textId="371B8650" w:rsidR="002D2057" w:rsidRPr="008432D3" w:rsidRDefault="00252A2C" w:rsidP="008432D3">
      <w:pPr>
        <w:pStyle w:val="NormalWeb"/>
        <w:ind w:firstLine="426"/>
        <w:jc w:val="both"/>
        <w:rPr>
          <w:rFonts w:ascii="Abadi" w:hAnsi="Abadi"/>
          <w:b/>
          <w:bCs/>
          <w:sz w:val="21"/>
          <w:szCs w:val="21"/>
        </w:rPr>
      </w:pPr>
      <w:r>
        <w:rPr>
          <w:rFonts w:ascii="Abadi" w:hAnsi="Abadi"/>
          <w:sz w:val="21"/>
          <w:szCs w:val="21"/>
        </w:rPr>
        <w:t xml:space="preserve">- </w:t>
      </w:r>
      <w:r w:rsidR="001328A5">
        <w:rPr>
          <w:rFonts w:ascii="Abadi" w:hAnsi="Abadi"/>
          <w:sz w:val="21"/>
          <w:szCs w:val="21"/>
        </w:rPr>
        <w:t>A</w:t>
      </w:r>
      <w:r w:rsidR="001328A5" w:rsidRPr="0021199F">
        <w:rPr>
          <w:rFonts w:ascii="Abadi" w:hAnsi="Abadi"/>
          <w:sz w:val="21"/>
          <w:szCs w:val="21"/>
        </w:rPr>
        <w:t>delante, diputado, tiene la palabra por diez minuto</w:t>
      </w:r>
      <w:r w:rsidR="001328A5">
        <w:rPr>
          <w:rFonts w:ascii="Abadi" w:hAnsi="Abadi"/>
          <w:sz w:val="21"/>
          <w:szCs w:val="21"/>
        </w:rPr>
        <w:t>s.</w:t>
      </w:r>
    </w:p>
    <w:p w14:paraId="5C369832" w14:textId="77777777" w:rsidR="001328A5" w:rsidRDefault="001328A5" w:rsidP="001328A5">
      <w:pPr>
        <w:pStyle w:val="NormalWeb"/>
        <w:jc w:val="both"/>
        <w:rPr>
          <w:rFonts w:ascii="Abadi" w:hAnsi="Abadi"/>
          <w:b/>
          <w:bCs/>
          <w:sz w:val="21"/>
          <w:szCs w:val="21"/>
        </w:rPr>
      </w:pPr>
      <w:r>
        <w:rPr>
          <w:rFonts w:ascii="Abadi" w:hAnsi="Abadi"/>
          <w:b/>
          <w:bCs/>
          <w:sz w:val="21"/>
          <w:szCs w:val="21"/>
        </w:rPr>
        <w:t>(</w:t>
      </w:r>
      <w:r w:rsidRPr="00D87179">
        <w:rPr>
          <w:rFonts w:ascii="Abadi" w:hAnsi="Abadi"/>
          <w:b/>
          <w:bCs/>
          <w:sz w:val="21"/>
          <w:szCs w:val="21"/>
        </w:rPr>
        <w:t>Sube a tribuna el diputado David Martínez, para hablar a favor de la obvia)</w:t>
      </w:r>
    </w:p>
    <w:p w14:paraId="35799207" w14:textId="77777777" w:rsidR="001328A5" w:rsidRDefault="001328A5" w:rsidP="001328A5">
      <w:pPr>
        <w:pStyle w:val="NormalWeb"/>
        <w:jc w:val="both"/>
        <w:rPr>
          <w:rFonts w:ascii="Abadi" w:hAnsi="Abadi"/>
          <w:b/>
          <w:bCs/>
          <w:sz w:val="21"/>
          <w:szCs w:val="21"/>
        </w:rPr>
      </w:pPr>
      <w:r>
        <w:rPr>
          <w:noProof/>
        </w:rPr>
        <w:drawing>
          <wp:anchor distT="0" distB="0" distL="114300" distR="114300" simplePos="0" relativeHeight="251658245" behindDoc="1" locked="0" layoutInCell="1" allowOverlap="1" wp14:anchorId="5A4B454E" wp14:editId="305A6C30">
            <wp:simplePos x="0" y="0"/>
            <wp:positionH relativeFrom="column">
              <wp:align>right</wp:align>
            </wp:positionH>
            <wp:positionV relativeFrom="paragraph">
              <wp:posOffset>233045</wp:posOffset>
            </wp:positionV>
            <wp:extent cx="2130425" cy="1104900"/>
            <wp:effectExtent l="0" t="114300" r="0" b="857250"/>
            <wp:wrapTight wrapText="bothSides">
              <wp:wrapPolygon edited="0">
                <wp:start x="193" y="-2234"/>
                <wp:lineTo x="193" y="34262"/>
                <wp:lineTo x="386" y="37986"/>
                <wp:lineTo x="1545" y="37986"/>
                <wp:lineTo x="1738" y="37241"/>
                <wp:lineTo x="19701" y="34262"/>
                <wp:lineTo x="20087" y="28303"/>
                <wp:lineTo x="20087" y="-2234"/>
                <wp:lineTo x="193" y="-2234"/>
              </wp:wrapPolygon>
            </wp:wrapTight>
            <wp:docPr id="29" name="Imagen 29"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 hombre con un traje de color negro con letras blancas&#10;&#10;Descripción generada automáticamente con confianza media"/>
                    <pic:cNvPicPr/>
                  </pic:nvPicPr>
                  <pic:blipFill rotWithShape="1">
                    <a:blip r:embed="rId33" cstate="print">
                      <a:extLst>
                        <a:ext uri="{28A0092B-C50C-407E-A947-70E740481C1C}">
                          <a14:useLocalDpi xmlns:a14="http://schemas.microsoft.com/office/drawing/2010/main" val="0"/>
                        </a:ext>
                      </a:extLst>
                    </a:blip>
                    <a:srcRect b="7732"/>
                    <a:stretch/>
                  </pic:blipFill>
                  <pic:spPr bwMode="auto">
                    <a:xfrm>
                      <a:off x="0" y="0"/>
                      <a:ext cx="2130425" cy="110490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E3E48C" w14:textId="77777777" w:rsidR="001328A5" w:rsidRDefault="001328A5" w:rsidP="001328A5">
      <w:pPr>
        <w:pStyle w:val="NormalWeb"/>
        <w:jc w:val="both"/>
        <w:rPr>
          <w:rFonts w:ascii="Abadi" w:hAnsi="Abadi"/>
          <w:sz w:val="21"/>
          <w:szCs w:val="21"/>
        </w:rPr>
      </w:pPr>
      <w:r w:rsidRPr="00576C64">
        <w:rPr>
          <w:rFonts w:ascii="Abadi" w:hAnsi="Abadi"/>
          <w:sz w:val="21"/>
          <w:szCs w:val="21"/>
        </w:rPr>
        <w:t>- Es urgente que se tome decisión, por eso voy a hablar de la obvia resolución porque si es urgente delimitar responsabilidades, reflexionar</w:t>
      </w:r>
      <w:r w:rsidRPr="0021199F">
        <w:rPr>
          <w:rFonts w:ascii="Abadi" w:hAnsi="Abadi"/>
          <w:sz w:val="21"/>
          <w:szCs w:val="21"/>
        </w:rPr>
        <w:t xml:space="preserve"> sobre los argumentos que sean presentado y especificar la responsabilidad de los gobiernos estatales en esta materia</w:t>
      </w:r>
      <w:r>
        <w:rPr>
          <w:rFonts w:ascii="Abadi" w:hAnsi="Abadi"/>
          <w:sz w:val="21"/>
          <w:szCs w:val="21"/>
        </w:rPr>
        <w:t xml:space="preserve">, debo otra vez </w:t>
      </w:r>
      <w:r w:rsidRPr="0021199F">
        <w:rPr>
          <w:rFonts w:ascii="Abadi" w:hAnsi="Abadi"/>
          <w:sz w:val="21"/>
          <w:szCs w:val="21"/>
        </w:rPr>
        <w:t xml:space="preserve">recordar aquí que las cuentas que entregue el gobierno federal son la suma de los gobiernos estatales. </w:t>
      </w:r>
    </w:p>
    <w:p w14:paraId="28C385B5" w14:textId="77777777" w:rsidR="001328A5" w:rsidRDefault="001328A5" w:rsidP="001328A5">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Por ejemplo, la muerte de periodista y quizás el diputado que me antecedió en la palabra se equivocó porque todo eso es aplicable Guanajuato. Y lamento que el día de hoy en la mañana hay un </w:t>
      </w:r>
      <w:proofErr w:type="spellStart"/>
      <w:r>
        <w:rPr>
          <w:rFonts w:ascii="Abadi" w:hAnsi="Abadi"/>
          <w:sz w:val="21"/>
          <w:szCs w:val="21"/>
        </w:rPr>
        <w:t>rafagueado</w:t>
      </w:r>
      <w:proofErr w:type="spellEnd"/>
      <w:r>
        <w:rPr>
          <w:rFonts w:ascii="Abadi" w:hAnsi="Abadi"/>
          <w:sz w:val="21"/>
          <w:szCs w:val="21"/>
        </w:rPr>
        <w:t xml:space="preserve"> el vehículo del Secretario de </w:t>
      </w:r>
      <w:r w:rsidRPr="0021199F">
        <w:rPr>
          <w:rFonts w:ascii="Abadi" w:hAnsi="Abadi"/>
          <w:sz w:val="21"/>
          <w:szCs w:val="21"/>
        </w:rPr>
        <w:t>Seguridad de las jefes</w:t>
      </w:r>
      <w:r>
        <w:rPr>
          <w:rFonts w:ascii="Abadi" w:hAnsi="Abadi"/>
          <w:sz w:val="21"/>
          <w:szCs w:val="21"/>
        </w:rPr>
        <w:t xml:space="preserve"> de escolta en Irapuato, ¿</w:t>
      </w:r>
      <w:r w:rsidRPr="0021199F">
        <w:rPr>
          <w:rFonts w:ascii="Abadi" w:hAnsi="Abadi"/>
          <w:sz w:val="21"/>
          <w:szCs w:val="21"/>
        </w:rPr>
        <w:t>también es responsabilidad del Gobierno federal</w:t>
      </w:r>
      <w:r>
        <w:rPr>
          <w:rFonts w:ascii="Abadi" w:hAnsi="Abadi"/>
          <w:sz w:val="21"/>
          <w:szCs w:val="21"/>
        </w:rPr>
        <w:t>? ¡</w:t>
      </w:r>
      <w:r w:rsidRPr="0021199F">
        <w:rPr>
          <w:rFonts w:ascii="Abadi" w:hAnsi="Abadi"/>
          <w:sz w:val="21"/>
          <w:szCs w:val="21"/>
        </w:rPr>
        <w:t>Sí</w:t>
      </w:r>
      <w:r>
        <w:rPr>
          <w:rFonts w:ascii="Abadi" w:hAnsi="Abadi"/>
          <w:sz w:val="21"/>
          <w:szCs w:val="21"/>
        </w:rPr>
        <w:t>!</w:t>
      </w:r>
      <w:r w:rsidRPr="0021199F">
        <w:rPr>
          <w:rFonts w:ascii="Abadi" w:hAnsi="Abadi"/>
          <w:sz w:val="21"/>
          <w:szCs w:val="21"/>
        </w:rPr>
        <w:t xml:space="preserve"> perfecto. </w:t>
      </w:r>
    </w:p>
    <w:p w14:paraId="6FED4917" w14:textId="77777777" w:rsidR="001328A5" w:rsidRDefault="001328A5" w:rsidP="001328A5">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Hay una visión contrapuesta de lo que significa la responsabilidad del Gobierno </w:t>
      </w:r>
      <w:r>
        <w:rPr>
          <w:rFonts w:ascii="Abadi" w:hAnsi="Abadi"/>
          <w:sz w:val="21"/>
          <w:szCs w:val="21"/>
        </w:rPr>
        <w:t>E</w:t>
      </w:r>
      <w:r w:rsidRPr="0021199F">
        <w:rPr>
          <w:rFonts w:ascii="Abadi" w:hAnsi="Abadi"/>
          <w:sz w:val="21"/>
          <w:szCs w:val="21"/>
        </w:rPr>
        <w:t>statal, el asunto de la seguridad</w:t>
      </w:r>
      <w:r>
        <w:rPr>
          <w:rFonts w:ascii="Abadi" w:hAnsi="Abadi"/>
          <w:sz w:val="21"/>
          <w:szCs w:val="21"/>
        </w:rPr>
        <w:t xml:space="preserve">. Hago el uso de la voz </w:t>
      </w:r>
      <w:r w:rsidRPr="0021199F">
        <w:rPr>
          <w:rFonts w:ascii="Abadi" w:hAnsi="Abadi"/>
          <w:sz w:val="21"/>
          <w:szCs w:val="21"/>
        </w:rPr>
        <w:t xml:space="preserve">para hablar en contra el exhorto propuesto por el </w:t>
      </w:r>
      <w:r>
        <w:rPr>
          <w:rFonts w:ascii="Abadi" w:hAnsi="Abadi"/>
          <w:sz w:val="21"/>
          <w:szCs w:val="21"/>
        </w:rPr>
        <w:t>G</w:t>
      </w:r>
      <w:r w:rsidRPr="0021199F">
        <w:rPr>
          <w:rFonts w:ascii="Abadi" w:hAnsi="Abadi"/>
          <w:sz w:val="21"/>
          <w:szCs w:val="21"/>
        </w:rPr>
        <w:t xml:space="preserve">rupo </w:t>
      </w:r>
      <w:r>
        <w:rPr>
          <w:rFonts w:ascii="Abadi" w:hAnsi="Abadi"/>
          <w:sz w:val="21"/>
          <w:szCs w:val="21"/>
        </w:rPr>
        <w:t>P</w:t>
      </w:r>
      <w:r w:rsidRPr="0021199F">
        <w:rPr>
          <w:rFonts w:ascii="Abadi" w:hAnsi="Abadi"/>
          <w:sz w:val="21"/>
          <w:szCs w:val="21"/>
        </w:rPr>
        <w:t xml:space="preserve">arlamentario del PAN y de fundamentar la </w:t>
      </w:r>
      <w:r>
        <w:rPr>
          <w:rFonts w:ascii="Abadi" w:hAnsi="Abadi"/>
          <w:sz w:val="21"/>
          <w:szCs w:val="21"/>
        </w:rPr>
        <w:t>obvia resolución, p</w:t>
      </w:r>
      <w:r w:rsidRPr="0021199F">
        <w:rPr>
          <w:rFonts w:ascii="Abadi" w:hAnsi="Abadi"/>
          <w:sz w:val="21"/>
          <w:szCs w:val="21"/>
        </w:rPr>
        <w:t>or un lado, nos parec</w:t>
      </w:r>
      <w:r>
        <w:rPr>
          <w:rFonts w:ascii="Abadi" w:hAnsi="Abadi"/>
          <w:sz w:val="21"/>
          <w:szCs w:val="21"/>
        </w:rPr>
        <w:t xml:space="preserve">e </w:t>
      </w:r>
      <w:r w:rsidRPr="0021199F">
        <w:rPr>
          <w:rFonts w:ascii="Abadi" w:hAnsi="Abadi"/>
          <w:sz w:val="21"/>
          <w:szCs w:val="21"/>
        </w:rPr>
        <w:t>i</w:t>
      </w:r>
      <w:r>
        <w:rPr>
          <w:rFonts w:ascii="Abadi" w:hAnsi="Abadi"/>
          <w:sz w:val="21"/>
          <w:szCs w:val="21"/>
        </w:rPr>
        <w:t xml:space="preserve">mportante que el </w:t>
      </w:r>
      <w:r w:rsidRPr="0021199F">
        <w:rPr>
          <w:rFonts w:ascii="Abadi" w:hAnsi="Abadi"/>
          <w:sz w:val="21"/>
          <w:szCs w:val="21"/>
        </w:rPr>
        <w:t xml:space="preserve">Partido Acción Nacional por fin decida tocar el tema de la seguridad y la violencia desde la tribuna, pero, por otro lado, </w:t>
      </w:r>
      <w:r>
        <w:rPr>
          <w:rFonts w:ascii="Abadi" w:hAnsi="Abadi"/>
          <w:sz w:val="21"/>
          <w:szCs w:val="21"/>
        </w:rPr>
        <w:t xml:space="preserve">nos preocupa que lo hagan </w:t>
      </w:r>
      <w:r w:rsidRPr="0021199F">
        <w:rPr>
          <w:rFonts w:ascii="Abadi" w:hAnsi="Abadi"/>
          <w:sz w:val="21"/>
          <w:szCs w:val="21"/>
        </w:rPr>
        <w:t xml:space="preserve">a través de un exhorto, </w:t>
      </w:r>
      <w:r>
        <w:rPr>
          <w:rFonts w:ascii="Abadi" w:hAnsi="Abadi"/>
          <w:sz w:val="21"/>
          <w:szCs w:val="21"/>
        </w:rPr>
        <w:t xml:space="preserve">tan deficiente como es este, (Voz) diputada Presidenta, ¿diputado David, </w:t>
      </w:r>
      <w:r w:rsidRPr="0021199F">
        <w:rPr>
          <w:rFonts w:ascii="Abadi" w:hAnsi="Abadi"/>
          <w:sz w:val="21"/>
          <w:szCs w:val="21"/>
        </w:rPr>
        <w:t>me permite tantito</w:t>
      </w:r>
      <w:r>
        <w:rPr>
          <w:rFonts w:ascii="Abadi" w:hAnsi="Abadi"/>
          <w:sz w:val="21"/>
          <w:szCs w:val="21"/>
        </w:rPr>
        <w:t>?</w:t>
      </w:r>
      <w:r w:rsidRPr="0021199F">
        <w:rPr>
          <w:rFonts w:ascii="Abadi" w:hAnsi="Abadi"/>
          <w:sz w:val="21"/>
          <w:szCs w:val="21"/>
        </w:rPr>
        <w:t xml:space="preserve">, ¿por favor? ¿Diputado, </w:t>
      </w:r>
      <w:r>
        <w:rPr>
          <w:rFonts w:ascii="Abadi" w:hAnsi="Abadi"/>
          <w:sz w:val="21"/>
          <w:szCs w:val="21"/>
        </w:rPr>
        <w:t>Aldo,</w:t>
      </w:r>
      <w:r w:rsidRPr="0021199F">
        <w:rPr>
          <w:rFonts w:ascii="Abadi" w:hAnsi="Abadi"/>
          <w:sz w:val="21"/>
          <w:szCs w:val="21"/>
        </w:rPr>
        <w:t xml:space="preserve"> para qué Efecto?</w:t>
      </w:r>
      <w:r>
        <w:rPr>
          <w:rFonts w:ascii="Abadi" w:hAnsi="Abadi"/>
          <w:sz w:val="21"/>
          <w:szCs w:val="21"/>
        </w:rPr>
        <w:t xml:space="preserve"> (Voz) diputado Aldo, p</w:t>
      </w:r>
      <w:r w:rsidRPr="0021199F">
        <w:rPr>
          <w:rFonts w:ascii="Abadi" w:hAnsi="Abadi"/>
          <w:sz w:val="21"/>
          <w:szCs w:val="21"/>
        </w:rPr>
        <w:t>ara moción de orden</w:t>
      </w:r>
      <w:r>
        <w:rPr>
          <w:rFonts w:ascii="Abadi" w:hAnsi="Abadi"/>
          <w:sz w:val="21"/>
          <w:szCs w:val="21"/>
        </w:rPr>
        <w:t xml:space="preserve">, </w:t>
      </w:r>
      <w:r w:rsidRPr="0021199F">
        <w:rPr>
          <w:rFonts w:ascii="Abadi" w:hAnsi="Abadi"/>
          <w:sz w:val="21"/>
          <w:szCs w:val="21"/>
        </w:rPr>
        <w:t>presidenta al diputado</w:t>
      </w:r>
      <w:r>
        <w:rPr>
          <w:rFonts w:ascii="Abadi" w:hAnsi="Abadi"/>
          <w:sz w:val="21"/>
          <w:szCs w:val="21"/>
        </w:rPr>
        <w:t>, s</w:t>
      </w:r>
      <w:r w:rsidRPr="0021199F">
        <w:rPr>
          <w:rFonts w:ascii="Abadi" w:hAnsi="Abadi"/>
          <w:sz w:val="21"/>
          <w:szCs w:val="21"/>
        </w:rPr>
        <w:t xml:space="preserve">olicitó el uso de la voz para el trámite de la </w:t>
      </w:r>
      <w:r>
        <w:rPr>
          <w:rFonts w:ascii="Abadi" w:hAnsi="Abadi"/>
          <w:sz w:val="21"/>
          <w:szCs w:val="21"/>
        </w:rPr>
        <w:t xml:space="preserve">obvia </w:t>
      </w:r>
      <w:r w:rsidRPr="0021199F">
        <w:rPr>
          <w:rFonts w:ascii="Abadi" w:hAnsi="Abadi"/>
          <w:sz w:val="21"/>
          <w:szCs w:val="21"/>
        </w:rPr>
        <w:t>resolución</w:t>
      </w:r>
      <w:r>
        <w:rPr>
          <w:rFonts w:ascii="Abadi" w:hAnsi="Abadi"/>
          <w:sz w:val="21"/>
          <w:szCs w:val="21"/>
        </w:rPr>
        <w:t xml:space="preserve"> y</w:t>
      </w:r>
      <w:r w:rsidRPr="0021199F">
        <w:rPr>
          <w:rFonts w:ascii="Abadi" w:hAnsi="Abadi"/>
          <w:sz w:val="21"/>
          <w:szCs w:val="21"/>
        </w:rPr>
        <w:t xml:space="preserve"> está haciendo exposición de motivos del punto</w:t>
      </w:r>
      <w:r>
        <w:rPr>
          <w:rFonts w:ascii="Abadi" w:hAnsi="Abadi"/>
          <w:sz w:val="21"/>
          <w:szCs w:val="21"/>
        </w:rPr>
        <w:t>, e</w:t>
      </w:r>
      <w:r w:rsidRPr="0021199F">
        <w:rPr>
          <w:rFonts w:ascii="Abadi" w:hAnsi="Abadi"/>
          <w:sz w:val="21"/>
          <w:szCs w:val="21"/>
        </w:rPr>
        <w:t>so no fue lo que se está discutiendo</w:t>
      </w:r>
      <w:r>
        <w:rPr>
          <w:rFonts w:ascii="Abadi" w:hAnsi="Abadi"/>
          <w:sz w:val="21"/>
          <w:szCs w:val="21"/>
        </w:rPr>
        <w:t>.</w:t>
      </w:r>
    </w:p>
    <w:p w14:paraId="7D19FD79" w14:textId="2DF6BE8C" w:rsidR="001328A5" w:rsidRDefault="001328A5" w:rsidP="001328A5">
      <w:pPr>
        <w:pStyle w:val="NormalWeb"/>
        <w:jc w:val="both"/>
        <w:rPr>
          <w:rFonts w:ascii="Abadi" w:hAnsi="Abadi"/>
          <w:sz w:val="21"/>
          <w:szCs w:val="21"/>
        </w:rPr>
      </w:pPr>
      <w:r>
        <w:rPr>
          <w:rFonts w:ascii="Abadi" w:hAnsi="Abadi"/>
          <w:sz w:val="21"/>
          <w:szCs w:val="21"/>
        </w:rPr>
        <w:t xml:space="preserve">- (Voz) diputado David, estoy fundamentando porque </w:t>
      </w:r>
      <w:r w:rsidRPr="0021199F">
        <w:rPr>
          <w:rFonts w:ascii="Abadi" w:hAnsi="Abadi"/>
          <w:sz w:val="21"/>
          <w:szCs w:val="21"/>
        </w:rPr>
        <w:t>se debe votar la o</w:t>
      </w:r>
      <w:r>
        <w:rPr>
          <w:rFonts w:ascii="Abadi" w:hAnsi="Abadi"/>
          <w:sz w:val="21"/>
          <w:szCs w:val="21"/>
        </w:rPr>
        <w:t xml:space="preserve">bvia resolución </w:t>
      </w:r>
      <w:r w:rsidRPr="0021199F">
        <w:rPr>
          <w:rFonts w:ascii="Abadi" w:hAnsi="Abadi"/>
          <w:sz w:val="21"/>
          <w:szCs w:val="21"/>
        </w:rPr>
        <w:t>por la gravedad del problema.</w:t>
      </w:r>
      <w:r>
        <w:rPr>
          <w:rFonts w:ascii="Abadi" w:hAnsi="Abadi"/>
          <w:sz w:val="21"/>
          <w:szCs w:val="21"/>
        </w:rPr>
        <w:t xml:space="preserve"> (Voz) diputado, nada más se ciñe a lo que usted solicito y puede s</w:t>
      </w:r>
      <w:r w:rsidR="009E6CF2">
        <w:rPr>
          <w:rFonts w:ascii="Abadi" w:hAnsi="Abadi"/>
          <w:sz w:val="21"/>
          <w:szCs w:val="21"/>
        </w:rPr>
        <w:t>eguir</w:t>
      </w:r>
      <w:r>
        <w:rPr>
          <w:rFonts w:ascii="Abadi" w:hAnsi="Abadi"/>
          <w:sz w:val="21"/>
          <w:szCs w:val="21"/>
        </w:rPr>
        <w:t xml:space="preserve"> adelante.</w:t>
      </w:r>
    </w:p>
    <w:p w14:paraId="691E108D" w14:textId="77777777" w:rsidR="001328A5" w:rsidRDefault="001328A5" w:rsidP="001328A5">
      <w:pPr>
        <w:pStyle w:val="NormalWeb"/>
        <w:jc w:val="both"/>
        <w:rPr>
          <w:rFonts w:ascii="Abadi" w:hAnsi="Abadi"/>
          <w:sz w:val="21"/>
          <w:szCs w:val="21"/>
        </w:rPr>
      </w:pPr>
      <w:r>
        <w:rPr>
          <w:rFonts w:ascii="Abadi" w:hAnsi="Abadi"/>
          <w:sz w:val="21"/>
          <w:szCs w:val="21"/>
        </w:rPr>
        <w:t xml:space="preserve">- (Voz) diputado David, muy bien, las </w:t>
      </w:r>
      <w:r w:rsidRPr="0021199F">
        <w:rPr>
          <w:rFonts w:ascii="Abadi" w:hAnsi="Abadi"/>
          <w:sz w:val="21"/>
          <w:szCs w:val="21"/>
        </w:rPr>
        <w:t xml:space="preserve">afirmaciones que se hace en el sur son excesivas. Por eso es importante votar ahora sí, estamos a favor de lo que se ha presentado </w:t>
      </w:r>
      <w:r>
        <w:rPr>
          <w:rFonts w:ascii="Abadi" w:hAnsi="Abadi"/>
          <w:sz w:val="21"/>
          <w:szCs w:val="21"/>
        </w:rPr>
        <w:t>o</w:t>
      </w:r>
      <w:r w:rsidRPr="0021199F">
        <w:rPr>
          <w:rFonts w:ascii="Abadi" w:hAnsi="Abadi"/>
          <w:sz w:val="21"/>
          <w:szCs w:val="21"/>
        </w:rPr>
        <w:t xml:space="preserve">h, </w:t>
      </w:r>
      <w:r>
        <w:rPr>
          <w:rFonts w:ascii="Abadi" w:hAnsi="Abadi"/>
          <w:sz w:val="21"/>
          <w:szCs w:val="21"/>
        </w:rPr>
        <w:t>¡</w:t>
      </w:r>
      <w:r w:rsidRPr="0021199F">
        <w:rPr>
          <w:rFonts w:ascii="Abadi" w:hAnsi="Abadi"/>
          <w:sz w:val="21"/>
          <w:szCs w:val="21"/>
        </w:rPr>
        <w:t>no</w:t>
      </w:r>
      <w:r>
        <w:rPr>
          <w:rFonts w:ascii="Abadi" w:hAnsi="Abadi"/>
          <w:sz w:val="21"/>
          <w:szCs w:val="21"/>
        </w:rPr>
        <w:t>!</w:t>
      </w:r>
      <w:r w:rsidRPr="0021199F">
        <w:rPr>
          <w:rFonts w:ascii="Abadi" w:hAnsi="Abadi"/>
          <w:sz w:val="21"/>
          <w:szCs w:val="21"/>
        </w:rPr>
        <w:t xml:space="preserve"> </w:t>
      </w:r>
      <w:r>
        <w:rPr>
          <w:rFonts w:ascii="Abadi" w:hAnsi="Abadi"/>
          <w:sz w:val="21"/>
          <w:szCs w:val="21"/>
        </w:rPr>
        <w:t>(Voz) diputada Presidenta, ¿</w:t>
      </w:r>
      <w:r w:rsidRPr="0021199F">
        <w:rPr>
          <w:rFonts w:ascii="Abadi" w:hAnsi="Abadi"/>
          <w:sz w:val="21"/>
          <w:szCs w:val="21"/>
        </w:rPr>
        <w:t xml:space="preserve">me permito tantito </w:t>
      </w:r>
      <w:r>
        <w:rPr>
          <w:rFonts w:ascii="Abadi" w:hAnsi="Abadi"/>
          <w:sz w:val="21"/>
          <w:szCs w:val="21"/>
        </w:rPr>
        <w:t>d</w:t>
      </w:r>
      <w:r w:rsidRPr="0021199F">
        <w:rPr>
          <w:rFonts w:ascii="Abadi" w:hAnsi="Abadi"/>
          <w:sz w:val="21"/>
          <w:szCs w:val="21"/>
        </w:rPr>
        <w:t>iputado</w:t>
      </w:r>
      <w:r>
        <w:rPr>
          <w:rFonts w:ascii="Abadi" w:hAnsi="Abadi"/>
          <w:sz w:val="21"/>
          <w:szCs w:val="21"/>
        </w:rPr>
        <w:t>, David?</w:t>
      </w:r>
      <w:r w:rsidRPr="0021199F">
        <w:rPr>
          <w:rFonts w:ascii="Abadi" w:hAnsi="Abadi"/>
          <w:sz w:val="21"/>
          <w:szCs w:val="21"/>
        </w:rPr>
        <w:t xml:space="preserve"> </w:t>
      </w:r>
      <w:r>
        <w:rPr>
          <w:rFonts w:ascii="Abadi" w:hAnsi="Abadi"/>
          <w:sz w:val="21"/>
          <w:szCs w:val="21"/>
        </w:rPr>
        <w:t xml:space="preserve">¿diputada, Susana, para que efecto? (Voz) diputada Susana, si moción de orden porque </w:t>
      </w:r>
      <w:r w:rsidRPr="0021199F">
        <w:rPr>
          <w:rFonts w:ascii="Abadi" w:hAnsi="Abadi"/>
          <w:sz w:val="21"/>
          <w:szCs w:val="21"/>
        </w:rPr>
        <w:t xml:space="preserve">efectivamente ya está haciendo uso del hablar, inclusive de </w:t>
      </w:r>
      <w:proofErr w:type="spellStart"/>
      <w:r w:rsidRPr="0021199F">
        <w:rPr>
          <w:rFonts w:ascii="Abadi" w:hAnsi="Abadi"/>
          <w:sz w:val="21"/>
          <w:szCs w:val="21"/>
        </w:rPr>
        <w:t>de</w:t>
      </w:r>
      <w:r>
        <w:rPr>
          <w:rFonts w:ascii="Abadi" w:hAnsi="Abadi"/>
          <w:sz w:val="21"/>
          <w:szCs w:val="21"/>
        </w:rPr>
        <w:t>s</w:t>
      </w:r>
      <w:r w:rsidRPr="0021199F">
        <w:rPr>
          <w:rFonts w:ascii="Abadi" w:hAnsi="Abadi"/>
          <w:sz w:val="21"/>
          <w:szCs w:val="21"/>
        </w:rPr>
        <w:t>gregar</w:t>
      </w:r>
      <w:proofErr w:type="spellEnd"/>
      <w:r w:rsidRPr="0021199F">
        <w:rPr>
          <w:rFonts w:ascii="Abadi" w:hAnsi="Abadi"/>
          <w:sz w:val="21"/>
          <w:szCs w:val="21"/>
        </w:rPr>
        <w:t xml:space="preserve"> el acuerdo porque se presentó cuando debiera de hablar el trámite de la </w:t>
      </w:r>
      <w:r>
        <w:rPr>
          <w:rFonts w:ascii="Abadi" w:hAnsi="Abadi"/>
          <w:sz w:val="21"/>
          <w:szCs w:val="21"/>
        </w:rPr>
        <w:t xml:space="preserve">obvia, (Voz) diputada Presidenta, </w:t>
      </w:r>
      <w:r w:rsidRPr="0021199F">
        <w:rPr>
          <w:rFonts w:ascii="Abadi" w:hAnsi="Abadi"/>
          <w:sz w:val="21"/>
          <w:szCs w:val="21"/>
        </w:rPr>
        <w:t>ya se l</w:t>
      </w:r>
      <w:r>
        <w:rPr>
          <w:rFonts w:ascii="Abadi" w:hAnsi="Abadi"/>
          <w:sz w:val="21"/>
          <w:szCs w:val="21"/>
        </w:rPr>
        <w:t>e</w:t>
      </w:r>
      <w:r w:rsidRPr="0021199F">
        <w:rPr>
          <w:rFonts w:ascii="Abadi" w:hAnsi="Abadi"/>
          <w:sz w:val="21"/>
          <w:szCs w:val="21"/>
        </w:rPr>
        <w:t xml:space="preserve"> pidi</w:t>
      </w:r>
      <w:r>
        <w:rPr>
          <w:rFonts w:ascii="Abadi" w:hAnsi="Abadi"/>
          <w:sz w:val="21"/>
          <w:szCs w:val="21"/>
        </w:rPr>
        <w:t>ó</w:t>
      </w:r>
      <w:r w:rsidRPr="0021199F">
        <w:rPr>
          <w:rFonts w:ascii="Abadi" w:hAnsi="Abadi"/>
          <w:sz w:val="21"/>
          <w:szCs w:val="21"/>
        </w:rPr>
        <w:t xml:space="preserve"> al diputado que hable</w:t>
      </w:r>
      <w:r>
        <w:rPr>
          <w:rFonts w:ascii="Abadi" w:hAnsi="Abadi"/>
          <w:sz w:val="21"/>
          <w:szCs w:val="21"/>
        </w:rPr>
        <w:t xml:space="preserve"> (Voz) diputado</w:t>
      </w:r>
      <w:r w:rsidRPr="0021199F">
        <w:rPr>
          <w:rFonts w:ascii="Abadi" w:hAnsi="Abadi"/>
          <w:sz w:val="21"/>
          <w:szCs w:val="21"/>
        </w:rPr>
        <w:t xml:space="preserve"> por eso le pido moción de orden</w:t>
      </w:r>
      <w:r>
        <w:rPr>
          <w:rFonts w:ascii="Abadi" w:hAnsi="Abadi"/>
          <w:sz w:val="21"/>
          <w:szCs w:val="21"/>
        </w:rPr>
        <w:t>, ara que si lo haga (Voz) diputado David, v</w:t>
      </w:r>
      <w:r w:rsidRPr="0021199F">
        <w:rPr>
          <w:rFonts w:ascii="Abadi" w:hAnsi="Abadi"/>
          <w:sz w:val="21"/>
          <w:szCs w:val="21"/>
        </w:rPr>
        <w:t>oy a repetir</w:t>
      </w:r>
      <w:r>
        <w:rPr>
          <w:rFonts w:ascii="Abadi" w:hAnsi="Abadi"/>
          <w:sz w:val="21"/>
          <w:szCs w:val="21"/>
        </w:rPr>
        <w:t xml:space="preserve">, y espero que quede claro esta ocasión, porque quizás no escuchan. Estoy fundamentando porque es importante discutir la obvia resolución dada la gravedad del problema, y </w:t>
      </w:r>
      <w:r w:rsidRPr="0021199F">
        <w:rPr>
          <w:rFonts w:ascii="Abadi" w:hAnsi="Abadi"/>
          <w:sz w:val="21"/>
          <w:szCs w:val="21"/>
        </w:rPr>
        <w:t xml:space="preserve">la delimitación de atribuciones y responsabilidades en lo que el diputado acaba de presentar, </w:t>
      </w:r>
      <w:r>
        <w:rPr>
          <w:rFonts w:ascii="Abadi" w:hAnsi="Abadi"/>
          <w:sz w:val="21"/>
          <w:szCs w:val="21"/>
        </w:rPr>
        <w:t>¿</w:t>
      </w:r>
      <w:r w:rsidRPr="0021199F">
        <w:rPr>
          <w:rFonts w:ascii="Abadi" w:hAnsi="Abadi"/>
          <w:sz w:val="21"/>
          <w:szCs w:val="21"/>
        </w:rPr>
        <w:t xml:space="preserve">no quedó claro? </w:t>
      </w:r>
      <w:r>
        <w:rPr>
          <w:rFonts w:ascii="Abadi" w:hAnsi="Abadi"/>
          <w:sz w:val="21"/>
          <w:szCs w:val="21"/>
        </w:rPr>
        <w:t>¡b</w:t>
      </w:r>
      <w:r w:rsidRPr="0021199F">
        <w:rPr>
          <w:rFonts w:ascii="Abadi" w:hAnsi="Abadi"/>
          <w:sz w:val="21"/>
          <w:szCs w:val="21"/>
        </w:rPr>
        <w:t>ien</w:t>
      </w:r>
      <w:r>
        <w:rPr>
          <w:rFonts w:ascii="Abadi" w:hAnsi="Abadi"/>
          <w:sz w:val="21"/>
          <w:szCs w:val="21"/>
        </w:rPr>
        <w:t xml:space="preserve">!, </w:t>
      </w:r>
      <w:r w:rsidRPr="0021199F">
        <w:rPr>
          <w:rFonts w:ascii="Abadi" w:hAnsi="Abadi"/>
          <w:sz w:val="21"/>
          <w:szCs w:val="21"/>
        </w:rPr>
        <w:t>mire</w:t>
      </w:r>
      <w:r>
        <w:rPr>
          <w:rFonts w:ascii="Abadi" w:hAnsi="Abadi"/>
          <w:sz w:val="21"/>
          <w:szCs w:val="21"/>
        </w:rPr>
        <w:t>n</w:t>
      </w:r>
      <w:r w:rsidRPr="0021199F">
        <w:rPr>
          <w:rFonts w:ascii="Abadi" w:hAnsi="Abadi"/>
          <w:sz w:val="21"/>
          <w:szCs w:val="21"/>
        </w:rPr>
        <w:t xml:space="preserve"> lo que aprendí la lógica en la preparatoria que lo que gratuitamente s</w:t>
      </w:r>
      <w:r>
        <w:rPr>
          <w:rFonts w:ascii="Abadi" w:hAnsi="Abadi"/>
          <w:sz w:val="21"/>
          <w:szCs w:val="21"/>
        </w:rPr>
        <w:t xml:space="preserve">e afirma </w:t>
      </w:r>
      <w:r w:rsidRPr="0021199F">
        <w:rPr>
          <w:rFonts w:ascii="Abadi" w:hAnsi="Abadi"/>
          <w:sz w:val="21"/>
          <w:szCs w:val="21"/>
        </w:rPr>
        <w:t xml:space="preserve">gratuitamente se niega. </w:t>
      </w:r>
    </w:p>
    <w:p w14:paraId="416DEC54" w14:textId="77777777" w:rsidR="001328A5" w:rsidRDefault="001328A5" w:rsidP="001328A5">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Cuando aparecen calificativos como los hemos escuchado es en demérito de los argumentos. Los calificativos aparecen cuando no hay argumentos sólidos en su planteamiento. Lo que acabamos de escuchar son dichos y entonces pues vale la pena lo que el maestro Álvarez decía en la preparatoria</w:t>
      </w:r>
      <w:r>
        <w:rPr>
          <w:rFonts w:ascii="Abadi" w:hAnsi="Abadi"/>
          <w:sz w:val="21"/>
          <w:szCs w:val="21"/>
        </w:rPr>
        <w:t>, lo que gratuitamente se afirma, gratuitamente se niega, n</w:t>
      </w:r>
      <w:r w:rsidRPr="0021199F">
        <w:rPr>
          <w:rFonts w:ascii="Abadi" w:hAnsi="Abadi"/>
          <w:sz w:val="21"/>
          <w:szCs w:val="21"/>
        </w:rPr>
        <w:t>o solamente porque está lleno de falacias</w:t>
      </w:r>
      <w:r>
        <w:rPr>
          <w:rFonts w:ascii="Abadi" w:hAnsi="Abadi"/>
          <w:sz w:val="21"/>
          <w:szCs w:val="21"/>
        </w:rPr>
        <w:t xml:space="preserve"> e </w:t>
      </w:r>
      <w:r w:rsidRPr="0021199F">
        <w:rPr>
          <w:rFonts w:ascii="Abadi" w:hAnsi="Abadi"/>
          <w:sz w:val="21"/>
          <w:szCs w:val="21"/>
        </w:rPr>
        <w:t xml:space="preserve">imprecisiones, ni porque proviene de quienes no tienen calidad moral para hablar de violencia </w:t>
      </w:r>
      <w:r>
        <w:rPr>
          <w:rFonts w:ascii="Abadi" w:hAnsi="Abadi"/>
          <w:sz w:val="21"/>
          <w:szCs w:val="21"/>
        </w:rPr>
        <w:t>e in</w:t>
      </w:r>
      <w:r w:rsidRPr="0021199F">
        <w:rPr>
          <w:rFonts w:ascii="Abadi" w:hAnsi="Abadi"/>
          <w:sz w:val="21"/>
          <w:szCs w:val="21"/>
        </w:rPr>
        <w:t>seguridad, sino porque con este pa</w:t>
      </w:r>
      <w:r>
        <w:rPr>
          <w:rFonts w:ascii="Abadi" w:hAnsi="Abadi"/>
          <w:sz w:val="21"/>
          <w:szCs w:val="21"/>
        </w:rPr>
        <w:t>nfleto</w:t>
      </w:r>
      <w:r w:rsidRPr="0021199F">
        <w:rPr>
          <w:rFonts w:ascii="Abadi" w:hAnsi="Abadi"/>
          <w:sz w:val="21"/>
          <w:szCs w:val="21"/>
        </w:rPr>
        <w:t xml:space="preserve"> se vuelve a exhibir la perspectiva anti derechos del </w:t>
      </w:r>
      <w:r>
        <w:rPr>
          <w:rFonts w:ascii="Abadi" w:hAnsi="Abadi"/>
          <w:sz w:val="21"/>
          <w:szCs w:val="21"/>
        </w:rPr>
        <w:t>PAN,</w:t>
      </w:r>
      <w:r w:rsidRPr="0021199F">
        <w:rPr>
          <w:rFonts w:ascii="Abadi" w:hAnsi="Abadi"/>
          <w:sz w:val="21"/>
          <w:szCs w:val="21"/>
        </w:rPr>
        <w:t xml:space="preserve"> que tanto daño le ha hecho a este país. </w:t>
      </w:r>
    </w:p>
    <w:p w14:paraId="31103D11" w14:textId="77777777" w:rsidR="001328A5" w:rsidRDefault="001328A5" w:rsidP="001328A5">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Y</w:t>
      </w:r>
      <w:r>
        <w:rPr>
          <w:rFonts w:ascii="Abadi" w:hAnsi="Abadi"/>
          <w:sz w:val="21"/>
          <w:szCs w:val="21"/>
        </w:rPr>
        <w:t xml:space="preserve"> </w:t>
      </w:r>
      <w:r w:rsidRPr="0021199F">
        <w:rPr>
          <w:rFonts w:ascii="Abadi" w:hAnsi="Abadi"/>
          <w:sz w:val="21"/>
          <w:szCs w:val="21"/>
        </w:rPr>
        <w:t>este Estado</w:t>
      </w:r>
      <w:r>
        <w:rPr>
          <w:rFonts w:ascii="Abadi" w:hAnsi="Abadi"/>
          <w:sz w:val="21"/>
          <w:szCs w:val="21"/>
        </w:rPr>
        <w:t>,</w:t>
      </w:r>
      <w:r w:rsidRPr="0021199F">
        <w:rPr>
          <w:rFonts w:ascii="Abadi" w:hAnsi="Abadi"/>
          <w:sz w:val="21"/>
          <w:szCs w:val="21"/>
        </w:rPr>
        <w:t xml:space="preserve"> en el sentido</w:t>
      </w:r>
      <w:r>
        <w:rPr>
          <w:rFonts w:ascii="Abadi" w:hAnsi="Abadi"/>
          <w:sz w:val="21"/>
          <w:szCs w:val="21"/>
        </w:rPr>
        <w:t>, l</w:t>
      </w:r>
      <w:r w:rsidRPr="0021199F">
        <w:rPr>
          <w:rFonts w:ascii="Abadi" w:hAnsi="Abadi"/>
          <w:sz w:val="21"/>
          <w:szCs w:val="21"/>
        </w:rPr>
        <w:t>o primero que queremos precisar es cómo llegamos a la actual situación de violencia que el paganismo quiere utilizar políticamente. Por favor, la gráfica, por favor</w:t>
      </w:r>
      <w:r>
        <w:rPr>
          <w:rFonts w:ascii="Abadi" w:hAnsi="Abadi"/>
          <w:sz w:val="21"/>
          <w:szCs w:val="21"/>
        </w:rPr>
        <w:t xml:space="preserve"> la gráfica y hay otras ¡eh! </w:t>
      </w:r>
      <w:r w:rsidRPr="0021199F">
        <w:rPr>
          <w:rFonts w:ascii="Abadi" w:hAnsi="Abadi"/>
          <w:sz w:val="21"/>
          <w:szCs w:val="21"/>
        </w:rPr>
        <w:t xml:space="preserve">por ejemplo, aquí en el Estado, desde que llegó en la hora fiscal y antes procurador, </w:t>
      </w:r>
      <w:r>
        <w:rPr>
          <w:rFonts w:ascii="Abadi" w:hAnsi="Abadi"/>
          <w:sz w:val="21"/>
          <w:szCs w:val="21"/>
        </w:rPr>
        <w:t>o</w:t>
      </w:r>
      <w:r w:rsidRPr="0021199F">
        <w:rPr>
          <w:rFonts w:ascii="Abadi" w:hAnsi="Abadi"/>
          <w:sz w:val="21"/>
          <w:szCs w:val="21"/>
        </w:rPr>
        <w:t xml:space="preserve"> se</w:t>
      </w:r>
      <w:r>
        <w:rPr>
          <w:rFonts w:ascii="Abadi" w:hAnsi="Abadi"/>
          <w:sz w:val="21"/>
          <w:szCs w:val="21"/>
        </w:rPr>
        <w:t xml:space="preserve"> han </w:t>
      </w:r>
      <w:r w:rsidRPr="0021199F">
        <w:rPr>
          <w:rFonts w:ascii="Abadi" w:hAnsi="Abadi"/>
          <w:sz w:val="21"/>
          <w:szCs w:val="21"/>
        </w:rPr>
        <w:t xml:space="preserve">elevado los homicidios mil quinientos por ciento. </w:t>
      </w:r>
    </w:p>
    <w:p w14:paraId="570373E4" w14:textId="77777777" w:rsidR="001328A5" w:rsidRDefault="001328A5" w:rsidP="001328A5">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Es</w:t>
      </w:r>
      <w:r>
        <w:rPr>
          <w:rFonts w:ascii="Abadi" w:hAnsi="Abadi"/>
          <w:sz w:val="21"/>
          <w:szCs w:val="21"/>
        </w:rPr>
        <w:t>a</w:t>
      </w:r>
      <w:r w:rsidRPr="0021199F">
        <w:rPr>
          <w:rFonts w:ascii="Abadi" w:hAnsi="Abadi"/>
          <w:sz w:val="21"/>
          <w:szCs w:val="21"/>
        </w:rPr>
        <w:t xml:space="preserve"> la preocupación fundamental que debería tener este </w:t>
      </w:r>
      <w:r>
        <w:rPr>
          <w:rFonts w:ascii="Abadi" w:hAnsi="Abadi"/>
          <w:sz w:val="21"/>
          <w:szCs w:val="21"/>
        </w:rPr>
        <w:t>C</w:t>
      </w:r>
      <w:r w:rsidRPr="0021199F">
        <w:rPr>
          <w:rFonts w:ascii="Abadi" w:hAnsi="Abadi"/>
          <w:sz w:val="21"/>
          <w:szCs w:val="21"/>
        </w:rPr>
        <w:t xml:space="preserve">ongreso </w:t>
      </w:r>
      <w:r>
        <w:rPr>
          <w:rFonts w:ascii="Abadi" w:hAnsi="Abadi"/>
          <w:sz w:val="21"/>
          <w:szCs w:val="21"/>
        </w:rPr>
        <w:t>L</w:t>
      </w:r>
      <w:r w:rsidRPr="0021199F">
        <w:rPr>
          <w:rFonts w:ascii="Abadi" w:hAnsi="Abadi"/>
          <w:sz w:val="21"/>
          <w:szCs w:val="21"/>
        </w:rPr>
        <w:t xml:space="preserve">ocal. Por eso queremos recordarles que la mayor proporción de homicidios en los últimos años los ha puesto </w:t>
      </w:r>
      <w:r>
        <w:rPr>
          <w:rFonts w:ascii="Abadi" w:hAnsi="Abadi"/>
          <w:sz w:val="21"/>
          <w:szCs w:val="21"/>
        </w:rPr>
        <w:t xml:space="preserve">Guanajuato, </w:t>
      </w:r>
      <w:r w:rsidRPr="0021199F">
        <w:rPr>
          <w:rFonts w:ascii="Abadi" w:hAnsi="Abadi"/>
          <w:sz w:val="21"/>
          <w:szCs w:val="21"/>
        </w:rPr>
        <w:t xml:space="preserve">más de diez por ciento de </w:t>
      </w:r>
      <w:r>
        <w:rPr>
          <w:rFonts w:ascii="Abadi" w:hAnsi="Abadi"/>
          <w:sz w:val="21"/>
          <w:szCs w:val="21"/>
        </w:rPr>
        <w:t xml:space="preserve">homicidios dolosos en el </w:t>
      </w:r>
      <w:r w:rsidRPr="0021199F">
        <w:rPr>
          <w:rFonts w:ascii="Abadi" w:hAnsi="Abadi"/>
          <w:sz w:val="21"/>
          <w:szCs w:val="21"/>
        </w:rPr>
        <w:t xml:space="preserve">país han sucedido aquí. Es por eso que le repetimos. Guanajuato es quien resalta, se resalta por la incapacidad de sus gobiernos para solucionar la crisis de violencia. Y eso no se puede negar ni con campañas mediáticas </w:t>
      </w:r>
      <w:r>
        <w:rPr>
          <w:rFonts w:ascii="Abadi" w:hAnsi="Abadi"/>
          <w:sz w:val="21"/>
          <w:szCs w:val="21"/>
        </w:rPr>
        <w:t xml:space="preserve">ni huyendo de su </w:t>
      </w:r>
      <w:r w:rsidRPr="0021199F">
        <w:rPr>
          <w:rFonts w:ascii="Abadi" w:hAnsi="Abadi"/>
          <w:sz w:val="21"/>
          <w:szCs w:val="21"/>
        </w:rPr>
        <w:t>responsabilidad para echar la culpa de todo a la federación. Ya será tiempo quien vaya exhibiendo ya es tiempo de que se vayan</w:t>
      </w:r>
      <w:r>
        <w:rPr>
          <w:rFonts w:ascii="Abadi" w:hAnsi="Abadi"/>
          <w:sz w:val="21"/>
          <w:szCs w:val="21"/>
        </w:rPr>
        <w:t xml:space="preserve"> e</w:t>
      </w:r>
      <w:r w:rsidRPr="0021199F">
        <w:rPr>
          <w:rFonts w:ascii="Abadi" w:hAnsi="Abadi"/>
          <w:sz w:val="21"/>
          <w:szCs w:val="21"/>
        </w:rPr>
        <w:t>xhibie</w:t>
      </w:r>
      <w:r>
        <w:rPr>
          <w:rFonts w:ascii="Abadi" w:hAnsi="Abadi"/>
          <w:sz w:val="21"/>
          <w:szCs w:val="21"/>
        </w:rPr>
        <w:t>ndo</w:t>
      </w:r>
      <w:r w:rsidRPr="0021199F">
        <w:rPr>
          <w:rFonts w:ascii="Abadi" w:hAnsi="Abadi"/>
          <w:sz w:val="21"/>
          <w:szCs w:val="21"/>
        </w:rPr>
        <w:t xml:space="preserve"> sus mentiras en su panfleto, supuestamente se burlen de las agresiones a las fuerzas armadas, pero no dice nada acerca de qué </w:t>
      </w:r>
      <w:r>
        <w:rPr>
          <w:rFonts w:ascii="Abadi" w:hAnsi="Abadi"/>
          <w:sz w:val="21"/>
          <w:szCs w:val="21"/>
        </w:rPr>
        <w:t xml:space="preserve">Guanajuato es </w:t>
      </w:r>
      <w:r w:rsidRPr="0021199F">
        <w:rPr>
          <w:rFonts w:ascii="Abadi" w:hAnsi="Abadi"/>
          <w:sz w:val="21"/>
          <w:szCs w:val="21"/>
        </w:rPr>
        <w:t xml:space="preserve">la entidad en donde más policías son asesinados. </w:t>
      </w:r>
    </w:p>
    <w:p w14:paraId="3A81CCF1" w14:textId="77777777" w:rsidR="001328A5" w:rsidRDefault="001328A5" w:rsidP="001328A5">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Ahora bien, respecto a su discurso anti derechos, se escandaliza de que el </w:t>
      </w:r>
      <w:r>
        <w:rPr>
          <w:rFonts w:ascii="Abadi" w:hAnsi="Abadi"/>
          <w:sz w:val="21"/>
          <w:szCs w:val="21"/>
        </w:rPr>
        <w:t xml:space="preserve">Presidente señale que se debe </w:t>
      </w:r>
      <w:r w:rsidRPr="0021199F">
        <w:rPr>
          <w:rFonts w:ascii="Abadi" w:hAnsi="Abadi"/>
          <w:sz w:val="21"/>
          <w:szCs w:val="21"/>
        </w:rPr>
        <w:t>cuidar a todos</w:t>
      </w:r>
      <w:r>
        <w:rPr>
          <w:rFonts w:ascii="Abadi" w:hAnsi="Abadi"/>
          <w:sz w:val="21"/>
          <w:szCs w:val="21"/>
        </w:rPr>
        <w:t xml:space="preserve"> y </w:t>
      </w:r>
      <w:r w:rsidRPr="0021199F">
        <w:rPr>
          <w:rFonts w:ascii="Abadi" w:hAnsi="Abadi"/>
          <w:sz w:val="21"/>
          <w:szCs w:val="21"/>
        </w:rPr>
        <w:t>todos los ciudadanos</w:t>
      </w:r>
      <w:r>
        <w:rPr>
          <w:rFonts w:ascii="Abadi" w:hAnsi="Abadi"/>
          <w:sz w:val="21"/>
          <w:szCs w:val="21"/>
        </w:rPr>
        <w:t>, ¿</w:t>
      </w:r>
      <w:r w:rsidRPr="0021199F">
        <w:rPr>
          <w:rFonts w:ascii="Abadi" w:hAnsi="Abadi"/>
          <w:sz w:val="21"/>
          <w:szCs w:val="21"/>
        </w:rPr>
        <w:t>saben cuándo no se cuidaba a todos y a todas</w:t>
      </w:r>
      <w:r>
        <w:rPr>
          <w:rFonts w:ascii="Abadi" w:hAnsi="Abadi"/>
          <w:sz w:val="21"/>
          <w:szCs w:val="21"/>
        </w:rPr>
        <w:t xml:space="preserve">? </w:t>
      </w:r>
      <w:r w:rsidRPr="0021199F">
        <w:rPr>
          <w:rFonts w:ascii="Abadi" w:hAnsi="Abadi"/>
          <w:sz w:val="21"/>
          <w:szCs w:val="21"/>
        </w:rPr>
        <w:t>en el gobierno de Calderón</w:t>
      </w:r>
      <w:r>
        <w:rPr>
          <w:rFonts w:ascii="Abadi" w:hAnsi="Abadi"/>
          <w:sz w:val="21"/>
          <w:szCs w:val="21"/>
        </w:rPr>
        <w:t>, véanlo</w:t>
      </w:r>
      <w:r w:rsidRPr="0021199F">
        <w:rPr>
          <w:rFonts w:ascii="Abadi" w:hAnsi="Abadi"/>
          <w:sz w:val="21"/>
          <w:szCs w:val="21"/>
        </w:rPr>
        <w:t xml:space="preserve"> por favor, ese que desató la crisis de derechos humanos que </w:t>
      </w:r>
      <w:r>
        <w:rPr>
          <w:rFonts w:ascii="Abadi" w:hAnsi="Abadi"/>
          <w:sz w:val="21"/>
          <w:szCs w:val="21"/>
        </w:rPr>
        <w:t xml:space="preserve">hasta hoy seguimos </w:t>
      </w:r>
      <w:r w:rsidRPr="0021199F">
        <w:rPr>
          <w:rFonts w:ascii="Abadi" w:hAnsi="Abadi"/>
          <w:sz w:val="21"/>
          <w:szCs w:val="21"/>
        </w:rPr>
        <w:t>combatiendo es que no le gusta hablar de historia. Este lo no les gusta hablar de historia o como dije antes acomod</w:t>
      </w:r>
      <w:r>
        <w:rPr>
          <w:rFonts w:ascii="Abadi" w:hAnsi="Abadi"/>
          <w:sz w:val="21"/>
          <w:szCs w:val="21"/>
        </w:rPr>
        <w:t>an</w:t>
      </w:r>
      <w:r w:rsidRPr="0021199F">
        <w:rPr>
          <w:rFonts w:ascii="Abadi" w:hAnsi="Abadi"/>
          <w:sz w:val="21"/>
          <w:szCs w:val="21"/>
        </w:rPr>
        <w:t xml:space="preserve"> la historia</w:t>
      </w:r>
      <w:r>
        <w:rPr>
          <w:rFonts w:ascii="Abadi" w:hAnsi="Abadi"/>
          <w:sz w:val="21"/>
          <w:szCs w:val="21"/>
        </w:rPr>
        <w:t xml:space="preserve"> a</w:t>
      </w:r>
      <w:r w:rsidRPr="0021199F">
        <w:rPr>
          <w:rFonts w:ascii="Abadi" w:hAnsi="Abadi"/>
          <w:sz w:val="21"/>
          <w:szCs w:val="21"/>
        </w:rPr>
        <w:t xml:space="preserve"> sus intereses no, no</w:t>
      </w:r>
      <w:r>
        <w:rPr>
          <w:rFonts w:ascii="Abadi" w:hAnsi="Abadi"/>
          <w:sz w:val="21"/>
          <w:szCs w:val="21"/>
        </w:rPr>
        <w:t>, ret</w:t>
      </w:r>
      <w:r w:rsidRPr="0021199F">
        <w:rPr>
          <w:rFonts w:ascii="Abadi" w:hAnsi="Abadi"/>
          <w:sz w:val="21"/>
          <w:szCs w:val="21"/>
        </w:rPr>
        <w:t xml:space="preserve">omemos los procesos sociales de mediano y largo plazo solamente así se explica y no están defendiendo lo que es indefendible, que es que </w:t>
      </w:r>
      <w:r>
        <w:rPr>
          <w:rFonts w:ascii="Abadi" w:hAnsi="Abadi"/>
          <w:sz w:val="21"/>
          <w:szCs w:val="21"/>
        </w:rPr>
        <w:t xml:space="preserve">Guanajuato </w:t>
      </w:r>
      <w:r w:rsidRPr="0021199F">
        <w:rPr>
          <w:rFonts w:ascii="Abadi" w:hAnsi="Abadi"/>
          <w:sz w:val="21"/>
          <w:szCs w:val="21"/>
        </w:rPr>
        <w:t>está desde hace muchos años en los primeros lugares de inseguridad</w:t>
      </w:r>
      <w:r>
        <w:rPr>
          <w:rFonts w:ascii="Abadi" w:hAnsi="Abadi"/>
          <w:sz w:val="21"/>
          <w:szCs w:val="21"/>
        </w:rPr>
        <w:t>, de</w:t>
      </w:r>
      <w:r w:rsidRPr="0021199F">
        <w:rPr>
          <w:rFonts w:ascii="Abadi" w:hAnsi="Abadi"/>
          <w:sz w:val="21"/>
          <w:szCs w:val="21"/>
        </w:rPr>
        <w:t xml:space="preserve"> </w:t>
      </w:r>
      <w:r>
        <w:rPr>
          <w:rFonts w:ascii="Abadi" w:hAnsi="Abadi"/>
          <w:sz w:val="21"/>
          <w:szCs w:val="21"/>
        </w:rPr>
        <w:t>h</w:t>
      </w:r>
      <w:r w:rsidRPr="0021199F">
        <w:rPr>
          <w:rFonts w:ascii="Abadi" w:hAnsi="Abadi"/>
          <w:sz w:val="21"/>
          <w:szCs w:val="21"/>
        </w:rPr>
        <w:t>omicidios</w:t>
      </w:r>
      <w:r>
        <w:rPr>
          <w:rFonts w:ascii="Abadi" w:hAnsi="Abadi"/>
          <w:sz w:val="21"/>
          <w:szCs w:val="21"/>
        </w:rPr>
        <w:t xml:space="preserve"> y de violencia. </w:t>
      </w:r>
    </w:p>
    <w:p w14:paraId="20A00E99" w14:textId="77777777" w:rsidR="001328A5" w:rsidRDefault="001328A5" w:rsidP="001328A5">
      <w:pPr>
        <w:pStyle w:val="NormalWeb"/>
        <w:jc w:val="both"/>
        <w:rPr>
          <w:rFonts w:ascii="Abadi" w:hAnsi="Abadi"/>
          <w:sz w:val="21"/>
          <w:szCs w:val="21"/>
        </w:rPr>
      </w:pPr>
      <w:r>
        <w:rPr>
          <w:rFonts w:ascii="Abadi" w:hAnsi="Abadi"/>
          <w:sz w:val="21"/>
          <w:szCs w:val="21"/>
        </w:rPr>
        <w:t>- A</w:t>
      </w:r>
      <w:r w:rsidRPr="0021199F">
        <w:rPr>
          <w:rFonts w:ascii="Abadi" w:hAnsi="Abadi"/>
          <w:sz w:val="21"/>
          <w:szCs w:val="21"/>
        </w:rPr>
        <w:t xml:space="preserve">hora bien, este discurso que acabo de </w:t>
      </w:r>
      <w:r>
        <w:rPr>
          <w:rFonts w:ascii="Abadi" w:hAnsi="Abadi"/>
          <w:sz w:val="21"/>
          <w:szCs w:val="21"/>
        </w:rPr>
        <w:t>enfrentar es</w:t>
      </w:r>
      <w:r w:rsidRPr="0021199F">
        <w:rPr>
          <w:rFonts w:ascii="Abadi" w:hAnsi="Abadi"/>
          <w:sz w:val="21"/>
          <w:szCs w:val="21"/>
        </w:rPr>
        <w:t xml:space="preserve"> </w:t>
      </w:r>
      <w:proofErr w:type="spellStart"/>
      <w:r w:rsidRPr="0021199F">
        <w:rPr>
          <w:rFonts w:ascii="Abadi" w:hAnsi="Abadi"/>
          <w:sz w:val="21"/>
          <w:szCs w:val="21"/>
        </w:rPr>
        <w:t>anti-derechos</w:t>
      </w:r>
      <w:proofErr w:type="spellEnd"/>
      <w:r>
        <w:rPr>
          <w:rFonts w:ascii="Abadi" w:hAnsi="Abadi"/>
          <w:sz w:val="21"/>
          <w:szCs w:val="21"/>
        </w:rPr>
        <w:t xml:space="preserve">, miren </w:t>
      </w:r>
      <w:r w:rsidRPr="0021199F">
        <w:rPr>
          <w:rFonts w:ascii="Abadi" w:hAnsi="Abadi"/>
          <w:sz w:val="21"/>
          <w:szCs w:val="21"/>
        </w:rPr>
        <w:t>le</w:t>
      </w:r>
      <w:r>
        <w:rPr>
          <w:rFonts w:ascii="Abadi" w:hAnsi="Abadi"/>
          <w:sz w:val="21"/>
          <w:szCs w:val="21"/>
        </w:rPr>
        <w:t>s</w:t>
      </w:r>
      <w:r w:rsidRPr="0021199F">
        <w:rPr>
          <w:rFonts w:ascii="Abadi" w:hAnsi="Abadi"/>
          <w:sz w:val="21"/>
          <w:szCs w:val="21"/>
        </w:rPr>
        <w:t xml:space="preserve"> recomiendo leer un artículo de quien fue asesor de Vázquez</w:t>
      </w:r>
      <w:r>
        <w:rPr>
          <w:rFonts w:ascii="Abadi" w:hAnsi="Abadi"/>
          <w:sz w:val="21"/>
          <w:szCs w:val="21"/>
        </w:rPr>
        <w:t xml:space="preserve"> Mota, Jope</w:t>
      </w:r>
      <w:r w:rsidRPr="0021199F">
        <w:rPr>
          <w:rFonts w:ascii="Abadi" w:hAnsi="Abadi"/>
          <w:sz w:val="21"/>
          <w:szCs w:val="21"/>
        </w:rPr>
        <w:t xml:space="preserve"> ahí narra cómo sí, ha habido una estrategia de seguridad policiaca,</w:t>
      </w:r>
      <w:r>
        <w:rPr>
          <w:rFonts w:ascii="Abadi" w:hAnsi="Abadi"/>
          <w:sz w:val="21"/>
          <w:szCs w:val="21"/>
        </w:rPr>
        <w:t xml:space="preserve"> y da cifras, </w:t>
      </w:r>
      <w:r w:rsidRPr="0021199F">
        <w:rPr>
          <w:rFonts w:ascii="Abadi" w:hAnsi="Abadi"/>
          <w:sz w:val="21"/>
          <w:szCs w:val="21"/>
        </w:rPr>
        <w:t xml:space="preserve">y da cifras sobre las personas, </w:t>
      </w:r>
      <w:r>
        <w:rPr>
          <w:rFonts w:ascii="Abadi" w:hAnsi="Abadi"/>
          <w:sz w:val="21"/>
          <w:szCs w:val="21"/>
        </w:rPr>
        <w:t xml:space="preserve">que </w:t>
      </w:r>
      <w:r w:rsidRPr="0021199F">
        <w:rPr>
          <w:rFonts w:ascii="Abadi" w:hAnsi="Abadi"/>
          <w:sz w:val="21"/>
          <w:szCs w:val="21"/>
        </w:rPr>
        <w:t>están abocadas al asunto de la seguridad da cifras sobre los</w:t>
      </w:r>
      <w:r>
        <w:rPr>
          <w:rFonts w:ascii="Abadi" w:hAnsi="Abadi"/>
          <w:sz w:val="21"/>
          <w:szCs w:val="21"/>
        </w:rPr>
        <w:t>,</w:t>
      </w:r>
      <w:r w:rsidRPr="0021199F">
        <w:rPr>
          <w:rFonts w:ascii="Abadi" w:hAnsi="Abadi"/>
          <w:sz w:val="21"/>
          <w:szCs w:val="21"/>
        </w:rPr>
        <w:t xml:space="preserve"> la baja de homicidios dolosos</w:t>
      </w:r>
      <w:r>
        <w:rPr>
          <w:rFonts w:ascii="Abadi" w:hAnsi="Abadi"/>
          <w:sz w:val="21"/>
          <w:szCs w:val="21"/>
        </w:rPr>
        <w:t xml:space="preserve">, y da otras cifras </w:t>
      </w:r>
      <w:r w:rsidRPr="0021199F">
        <w:rPr>
          <w:rFonts w:ascii="Abadi" w:hAnsi="Abadi"/>
          <w:sz w:val="21"/>
          <w:szCs w:val="21"/>
        </w:rPr>
        <w:t>que creo que sería conveniente de revisar antes de pasar a tribuna toda la persona</w:t>
      </w:r>
      <w:r>
        <w:rPr>
          <w:rFonts w:ascii="Abadi" w:hAnsi="Abadi"/>
          <w:sz w:val="21"/>
          <w:szCs w:val="21"/>
        </w:rPr>
        <w:t>, t</w:t>
      </w:r>
      <w:r w:rsidRPr="0021199F">
        <w:rPr>
          <w:rFonts w:ascii="Abadi" w:hAnsi="Abadi"/>
          <w:sz w:val="21"/>
          <w:szCs w:val="21"/>
        </w:rPr>
        <w:t xml:space="preserve">odos los derechos </w:t>
      </w:r>
      <w:r>
        <w:rPr>
          <w:rFonts w:ascii="Abadi" w:hAnsi="Abadi"/>
          <w:sz w:val="21"/>
          <w:szCs w:val="21"/>
        </w:rPr>
        <w:t>¿</w:t>
      </w:r>
      <w:r w:rsidRPr="0021199F">
        <w:rPr>
          <w:rFonts w:ascii="Abadi" w:hAnsi="Abadi"/>
          <w:sz w:val="21"/>
          <w:szCs w:val="21"/>
        </w:rPr>
        <w:t>les molesta</w:t>
      </w:r>
      <w:r>
        <w:rPr>
          <w:rFonts w:ascii="Abadi" w:hAnsi="Abadi"/>
          <w:sz w:val="21"/>
          <w:szCs w:val="21"/>
        </w:rPr>
        <w:t>?</w:t>
      </w:r>
      <w:r w:rsidRPr="0021199F">
        <w:rPr>
          <w:rFonts w:ascii="Abadi" w:hAnsi="Abadi"/>
          <w:sz w:val="21"/>
          <w:szCs w:val="21"/>
        </w:rPr>
        <w:t xml:space="preserve"> o van a decir como el </w:t>
      </w:r>
      <w:r>
        <w:rPr>
          <w:rFonts w:ascii="Abadi" w:hAnsi="Abadi"/>
          <w:sz w:val="21"/>
          <w:szCs w:val="21"/>
        </w:rPr>
        <w:t xml:space="preserve">ex </w:t>
      </w:r>
      <w:r w:rsidRPr="0021199F">
        <w:rPr>
          <w:rFonts w:ascii="Abadi" w:hAnsi="Abadi"/>
          <w:sz w:val="21"/>
          <w:szCs w:val="21"/>
        </w:rPr>
        <w:t>gobernador del Estado de México</w:t>
      </w:r>
      <w:r>
        <w:rPr>
          <w:rFonts w:ascii="Abadi" w:hAnsi="Abadi"/>
          <w:sz w:val="21"/>
          <w:szCs w:val="21"/>
        </w:rPr>
        <w:t xml:space="preserve">. </w:t>
      </w:r>
    </w:p>
    <w:p w14:paraId="375CBD47" w14:textId="5FF71426" w:rsidR="001328A5" w:rsidRDefault="001328A5" w:rsidP="001328A5">
      <w:pPr>
        <w:pStyle w:val="NormalWeb"/>
        <w:jc w:val="both"/>
        <w:rPr>
          <w:rFonts w:ascii="Abadi" w:hAnsi="Abadi"/>
          <w:sz w:val="21"/>
          <w:szCs w:val="21"/>
        </w:rPr>
      </w:pPr>
      <w:r>
        <w:rPr>
          <w:rFonts w:ascii="Abadi" w:hAnsi="Abadi"/>
          <w:sz w:val="21"/>
          <w:szCs w:val="21"/>
        </w:rPr>
        <w:t xml:space="preserve">- Los derechos humanos son para los </w:t>
      </w:r>
      <w:r w:rsidRPr="0021199F">
        <w:rPr>
          <w:rFonts w:ascii="Abadi" w:hAnsi="Abadi"/>
          <w:sz w:val="21"/>
          <w:szCs w:val="21"/>
        </w:rPr>
        <w:t xml:space="preserve">humanos, no para las ratas. </w:t>
      </w:r>
      <w:r>
        <w:rPr>
          <w:rFonts w:ascii="Abadi" w:hAnsi="Abadi"/>
          <w:sz w:val="21"/>
          <w:szCs w:val="21"/>
        </w:rPr>
        <w:t>¿e</w:t>
      </w:r>
      <w:r w:rsidRPr="0021199F">
        <w:rPr>
          <w:rFonts w:ascii="Abadi" w:hAnsi="Abadi"/>
          <w:sz w:val="21"/>
          <w:szCs w:val="21"/>
        </w:rPr>
        <w:t>so es lo que quiere</w:t>
      </w:r>
      <w:r>
        <w:rPr>
          <w:rFonts w:ascii="Abadi" w:hAnsi="Abadi"/>
          <w:sz w:val="21"/>
          <w:szCs w:val="21"/>
        </w:rPr>
        <w:t xml:space="preserve">? Dividir en todo a los derechos humanos, los que </w:t>
      </w:r>
      <w:proofErr w:type="spellStart"/>
      <w:r>
        <w:rPr>
          <w:rFonts w:ascii="Abadi" w:hAnsi="Abadi"/>
          <w:sz w:val="21"/>
          <w:szCs w:val="21"/>
        </w:rPr>
        <w:t>atienen</w:t>
      </w:r>
      <w:proofErr w:type="spellEnd"/>
      <w:r>
        <w:rPr>
          <w:rFonts w:ascii="Abadi" w:hAnsi="Abadi"/>
          <w:sz w:val="21"/>
          <w:szCs w:val="21"/>
        </w:rPr>
        <w:t xml:space="preserve"> derechos y los que no tienen derechos, ¿pregunto? (Voz) diputada presidenta, ¿diputado David, me permite tantito por favor? (Voz) diputado David,</w:t>
      </w:r>
      <w:r w:rsidRPr="00C93CC6">
        <w:rPr>
          <w:rFonts w:ascii="Abadi" w:hAnsi="Abadi"/>
          <w:sz w:val="21"/>
          <w:szCs w:val="21"/>
        </w:rPr>
        <w:t xml:space="preserve"> </w:t>
      </w:r>
      <w:r>
        <w:rPr>
          <w:rFonts w:ascii="Abadi" w:hAnsi="Abadi"/>
          <w:sz w:val="21"/>
          <w:szCs w:val="21"/>
        </w:rPr>
        <w:t>¡sí! ¿diputada Susana, para que efecto? (Voz) diputada Susana, ¡sí!</w:t>
      </w:r>
      <w:r w:rsidRPr="0021199F">
        <w:rPr>
          <w:rFonts w:ascii="Abadi" w:hAnsi="Abadi"/>
          <w:sz w:val="21"/>
          <w:szCs w:val="21"/>
        </w:rPr>
        <w:t xml:space="preserve"> sigo con la moción de orden, </w:t>
      </w:r>
      <w:r>
        <w:rPr>
          <w:rFonts w:ascii="Abadi" w:hAnsi="Abadi"/>
          <w:sz w:val="21"/>
          <w:szCs w:val="21"/>
        </w:rPr>
        <w:t>l</w:t>
      </w:r>
      <w:r w:rsidRPr="0021199F">
        <w:rPr>
          <w:rFonts w:ascii="Abadi" w:hAnsi="Abadi"/>
          <w:sz w:val="21"/>
          <w:szCs w:val="21"/>
        </w:rPr>
        <w:t xml:space="preserve">a </w:t>
      </w:r>
      <w:r>
        <w:rPr>
          <w:rFonts w:ascii="Abadi" w:hAnsi="Abadi"/>
          <w:sz w:val="21"/>
          <w:szCs w:val="21"/>
        </w:rPr>
        <w:t xml:space="preserve">moción de orden la </w:t>
      </w:r>
      <w:r w:rsidRPr="0021199F">
        <w:rPr>
          <w:rFonts w:ascii="Abadi" w:hAnsi="Abadi"/>
          <w:sz w:val="21"/>
          <w:szCs w:val="21"/>
        </w:rPr>
        <w:t xml:space="preserve">verdad es que </w:t>
      </w:r>
      <w:r>
        <w:rPr>
          <w:rFonts w:ascii="Abadi" w:hAnsi="Abadi"/>
          <w:sz w:val="21"/>
          <w:szCs w:val="21"/>
        </w:rPr>
        <w:t xml:space="preserve">el lanza </w:t>
      </w:r>
      <w:r w:rsidRPr="0021199F">
        <w:rPr>
          <w:rFonts w:ascii="Abadi" w:hAnsi="Abadi"/>
          <w:sz w:val="21"/>
          <w:szCs w:val="21"/>
        </w:rPr>
        <w:t>preguntas que nada tienen que ver con</w:t>
      </w:r>
      <w:r>
        <w:rPr>
          <w:rFonts w:ascii="Abadi" w:hAnsi="Abadi"/>
          <w:sz w:val="21"/>
          <w:szCs w:val="21"/>
        </w:rPr>
        <w:t xml:space="preserve"> si se da el </w:t>
      </w:r>
      <w:r w:rsidRPr="0021199F">
        <w:rPr>
          <w:rFonts w:ascii="Abadi" w:hAnsi="Abadi"/>
          <w:sz w:val="21"/>
          <w:szCs w:val="21"/>
        </w:rPr>
        <w:t>trámite</w:t>
      </w:r>
      <w:r>
        <w:rPr>
          <w:rFonts w:ascii="Abadi" w:hAnsi="Abadi"/>
          <w:sz w:val="21"/>
          <w:szCs w:val="21"/>
        </w:rPr>
        <w:t xml:space="preserve"> o no se da</w:t>
      </w:r>
      <w:r w:rsidRPr="0021199F">
        <w:rPr>
          <w:rFonts w:ascii="Abadi" w:hAnsi="Abadi"/>
          <w:sz w:val="21"/>
          <w:szCs w:val="21"/>
        </w:rPr>
        <w:t xml:space="preserve"> el trámite</w:t>
      </w:r>
      <w:r>
        <w:rPr>
          <w:rFonts w:ascii="Abadi" w:hAnsi="Abadi"/>
          <w:sz w:val="21"/>
          <w:szCs w:val="21"/>
        </w:rPr>
        <w:t>, n</w:t>
      </w:r>
      <w:r w:rsidRPr="0021199F">
        <w:rPr>
          <w:rFonts w:ascii="Abadi" w:hAnsi="Abadi"/>
          <w:sz w:val="21"/>
          <w:szCs w:val="21"/>
        </w:rPr>
        <w:t xml:space="preserve">o sé, </w:t>
      </w:r>
      <w:r>
        <w:rPr>
          <w:rFonts w:ascii="Abadi" w:hAnsi="Abadi"/>
          <w:sz w:val="21"/>
          <w:szCs w:val="21"/>
        </w:rPr>
        <w:t>d</w:t>
      </w:r>
      <w:r w:rsidRPr="0021199F">
        <w:rPr>
          <w:rFonts w:ascii="Abadi" w:hAnsi="Abadi"/>
          <w:sz w:val="21"/>
          <w:szCs w:val="21"/>
        </w:rPr>
        <w:t>el</w:t>
      </w:r>
      <w:r>
        <w:rPr>
          <w:rFonts w:ascii="Abadi" w:hAnsi="Abadi"/>
          <w:sz w:val="21"/>
          <w:szCs w:val="21"/>
        </w:rPr>
        <w:t xml:space="preserve"> el</w:t>
      </w:r>
      <w:r w:rsidRPr="0021199F">
        <w:rPr>
          <w:rFonts w:ascii="Abadi" w:hAnsi="Abadi"/>
          <w:sz w:val="21"/>
          <w:szCs w:val="21"/>
        </w:rPr>
        <w:t xml:space="preserve"> trámite de </w:t>
      </w:r>
      <w:r>
        <w:rPr>
          <w:rFonts w:ascii="Abadi" w:hAnsi="Abadi"/>
          <w:sz w:val="21"/>
          <w:szCs w:val="21"/>
        </w:rPr>
        <w:t>obvia, e</w:t>
      </w:r>
      <w:r w:rsidRPr="0021199F">
        <w:rPr>
          <w:rFonts w:ascii="Abadi" w:hAnsi="Abadi"/>
          <w:sz w:val="21"/>
          <w:szCs w:val="21"/>
        </w:rPr>
        <w:t>ntonces sí me gustaría que se respetara esa moción de orden que se le hace.</w:t>
      </w:r>
      <w:r>
        <w:rPr>
          <w:rFonts w:ascii="Abadi" w:hAnsi="Abadi"/>
          <w:sz w:val="21"/>
          <w:szCs w:val="21"/>
        </w:rPr>
        <w:t xml:space="preserve"> (Voz) diputada Presidenta, ¡sí!, nada más que se sume a su o</w:t>
      </w:r>
      <w:r w:rsidR="0039350F">
        <w:rPr>
          <w:rFonts w:ascii="Abadi" w:hAnsi="Abadi"/>
          <w:sz w:val="21"/>
          <w:szCs w:val="21"/>
        </w:rPr>
        <w:t>bv</w:t>
      </w:r>
      <w:r>
        <w:rPr>
          <w:rFonts w:ascii="Abadi" w:hAnsi="Abadi"/>
          <w:sz w:val="21"/>
          <w:szCs w:val="21"/>
        </w:rPr>
        <w:t xml:space="preserve">ia, diputado y siga adelante,  </w:t>
      </w:r>
    </w:p>
    <w:p w14:paraId="7BD62162" w14:textId="77777777" w:rsidR="001328A5" w:rsidRDefault="001328A5" w:rsidP="001328A5">
      <w:pPr>
        <w:pStyle w:val="NormalWeb"/>
        <w:jc w:val="both"/>
        <w:rPr>
          <w:rFonts w:ascii="Abadi" w:hAnsi="Abadi"/>
          <w:sz w:val="21"/>
          <w:szCs w:val="21"/>
        </w:rPr>
      </w:pPr>
      <w:r>
        <w:rPr>
          <w:rFonts w:ascii="Abadi" w:hAnsi="Abadi"/>
          <w:sz w:val="21"/>
          <w:szCs w:val="21"/>
        </w:rPr>
        <w:t xml:space="preserve">- (Voz) diputado David, </w:t>
      </w:r>
      <w:r w:rsidRPr="0021199F">
        <w:rPr>
          <w:rFonts w:ascii="Abadi" w:hAnsi="Abadi"/>
          <w:sz w:val="21"/>
          <w:szCs w:val="21"/>
        </w:rPr>
        <w:t xml:space="preserve">Aguántame cuatro minutos y ocho segundos y voy a terminar, </w:t>
      </w:r>
      <w:r>
        <w:rPr>
          <w:rFonts w:ascii="Abadi" w:hAnsi="Abadi"/>
          <w:sz w:val="21"/>
          <w:szCs w:val="21"/>
        </w:rPr>
        <w:t>¡</w:t>
      </w:r>
      <w:r w:rsidRPr="0021199F">
        <w:rPr>
          <w:rFonts w:ascii="Abadi" w:hAnsi="Abadi"/>
          <w:sz w:val="21"/>
          <w:szCs w:val="21"/>
        </w:rPr>
        <w:t>eh?</w:t>
      </w:r>
      <w:r>
        <w:rPr>
          <w:rFonts w:ascii="Abadi" w:hAnsi="Abadi"/>
          <w:sz w:val="21"/>
          <w:szCs w:val="21"/>
        </w:rPr>
        <w:t>! ¡sí!</w:t>
      </w:r>
      <w:r w:rsidRPr="0021199F">
        <w:rPr>
          <w:rFonts w:ascii="Abadi" w:hAnsi="Abadi"/>
          <w:sz w:val="21"/>
          <w:szCs w:val="21"/>
        </w:rPr>
        <w:t xml:space="preserve"> no, no</w:t>
      </w:r>
      <w:r>
        <w:rPr>
          <w:rFonts w:ascii="Abadi" w:hAnsi="Abadi"/>
          <w:sz w:val="21"/>
          <w:szCs w:val="21"/>
        </w:rPr>
        <w:t>,</w:t>
      </w:r>
      <w:r w:rsidRPr="0021199F">
        <w:rPr>
          <w:rFonts w:ascii="Abadi" w:hAnsi="Abadi"/>
          <w:sz w:val="21"/>
          <w:szCs w:val="21"/>
        </w:rPr>
        <w:t xml:space="preserve"> se preocupen debo </w:t>
      </w:r>
      <w:r>
        <w:rPr>
          <w:rFonts w:ascii="Abadi" w:hAnsi="Abadi"/>
          <w:sz w:val="21"/>
          <w:szCs w:val="21"/>
        </w:rPr>
        <w:t>terminar</w:t>
      </w:r>
      <w:r w:rsidRPr="0021199F">
        <w:rPr>
          <w:rFonts w:ascii="Abadi" w:hAnsi="Abadi"/>
          <w:sz w:val="21"/>
          <w:szCs w:val="21"/>
        </w:rPr>
        <w:t xml:space="preserve"> en cuatro minutos y quizás antes. Porque creo que lo que he dicho se sostiene con suficiencia. Ese discurso </w:t>
      </w:r>
      <w:r>
        <w:rPr>
          <w:rFonts w:ascii="Abadi" w:hAnsi="Abadi"/>
          <w:sz w:val="21"/>
          <w:szCs w:val="21"/>
        </w:rPr>
        <w:t xml:space="preserve">es </w:t>
      </w:r>
      <w:r w:rsidRPr="0021199F">
        <w:rPr>
          <w:rFonts w:ascii="Abadi" w:hAnsi="Abadi"/>
          <w:sz w:val="21"/>
          <w:szCs w:val="21"/>
        </w:rPr>
        <w:t xml:space="preserve">anti derechos, el que ustedes plantean y no </w:t>
      </w:r>
      <w:r>
        <w:rPr>
          <w:rFonts w:ascii="Abadi" w:hAnsi="Abadi"/>
          <w:sz w:val="21"/>
          <w:szCs w:val="21"/>
        </w:rPr>
        <w:t>han</w:t>
      </w:r>
      <w:r w:rsidRPr="0021199F">
        <w:rPr>
          <w:rFonts w:ascii="Abadi" w:hAnsi="Abadi"/>
          <w:sz w:val="21"/>
          <w:szCs w:val="21"/>
        </w:rPr>
        <w:t xml:space="preserve"> comprendido el origen de la inseguridad</w:t>
      </w:r>
      <w:r>
        <w:rPr>
          <w:rFonts w:ascii="Abadi" w:hAnsi="Abadi"/>
          <w:sz w:val="21"/>
          <w:szCs w:val="21"/>
        </w:rPr>
        <w:t>, u</w:t>
      </w:r>
      <w:r w:rsidRPr="0021199F">
        <w:rPr>
          <w:rFonts w:ascii="Abadi" w:hAnsi="Abadi"/>
          <w:sz w:val="21"/>
          <w:szCs w:val="21"/>
        </w:rPr>
        <w:t>stedes no relaciona la desigualdad social con la</w:t>
      </w:r>
      <w:r>
        <w:rPr>
          <w:rFonts w:ascii="Abadi" w:hAnsi="Abadi"/>
          <w:sz w:val="21"/>
          <w:szCs w:val="21"/>
        </w:rPr>
        <w:t>,</w:t>
      </w:r>
      <w:r w:rsidRPr="0021199F">
        <w:rPr>
          <w:rFonts w:ascii="Abadi" w:hAnsi="Abadi"/>
          <w:sz w:val="21"/>
          <w:szCs w:val="21"/>
        </w:rPr>
        <w:t xml:space="preserve"> con la violencia, </w:t>
      </w:r>
      <w:r>
        <w:rPr>
          <w:rFonts w:ascii="Abadi" w:hAnsi="Abadi"/>
          <w:sz w:val="21"/>
          <w:szCs w:val="21"/>
        </w:rPr>
        <w:t>¡</w:t>
      </w:r>
      <w:r w:rsidRPr="0021199F">
        <w:rPr>
          <w:rFonts w:ascii="Abadi" w:hAnsi="Abadi"/>
          <w:sz w:val="21"/>
          <w:szCs w:val="21"/>
        </w:rPr>
        <w:t>no</w:t>
      </w:r>
      <w:r>
        <w:rPr>
          <w:rFonts w:ascii="Abadi" w:hAnsi="Abadi"/>
          <w:sz w:val="21"/>
          <w:szCs w:val="21"/>
        </w:rPr>
        <w:t>! u</w:t>
      </w:r>
      <w:r w:rsidRPr="0021199F">
        <w:rPr>
          <w:rFonts w:ascii="Abadi" w:hAnsi="Abadi"/>
          <w:sz w:val="21"/>
          <w:szCs w:val="21"/>
        </w:rPr>
        <w:t xml:space="preserve">stedes quieren macana, policías como lo que ocurrió en </w:t>
      </w:r>
      <w:r>
        <w:rPr>
          <w:rFonts w:ascii="Abadi" w:hAnsi="Abadi"/>
          <w:sz w:val="21"/>
          <w:szCs w:val="21"/>
        </w:rPr>
        <w:t xml:space="preserve">Irapuato, eso es lo que quieren, </w:t>
      </w:r>
      <w:r w:rsidRPr="0021199F">
        <w:rPr>
          <w:rFonts w:ascii="Abadi" w:hAnsi="Abadi"/>
          <w:sz w:val="21"/>
          <w:szCs w:val="21"/>
        </w:rPr>
        <w:t xml:space="preserve"> no ir a las raíces, como ha dicho nuestro </w:t>
      </w:r>
      <w:r>
        <w:rPr>
          <w:rFonts w:ascii="Abadi" w:hAnsi="Abadi"/>
          <w:sz w:val="21"/>
          <w:szCs w:val="21"/>
        </w:rPr>
        <w:t>P</w:t>
      </w:r>
      <w:r w:rsidRPr="0021199F">
        <w:rPr>
          <w:rFonts w:ascii="Abadi" w:hAnsi="Abadi"/>
          <w:sz w:val="21"/>
          <w:szCs w:val="21"/>
        </w:rPr>
        <w:t>residente Andrés Manuel López Obrador, que es un honor estar con obrador, que la desigualdad social es uno de los componentes fundamentales y la desintegración social de la de la inseguridad que estamos viendo en Guanajuato</w:t>
      </w:r>
      <w:r>
        <w:rPr>
          <w:rFonts w:ascii="Abadi" w:hAnsi="Abadi"/>
          <w:sz w:val="21"/>
          <w:szCs w:val="21"/>
        </w:rPr>
        <w:t>,</w:t>
      </w:r>
      <w:r w:rsidRPr="0021199F">
        <w:rPr>
          <w:rFonts w:ascii="Abadi" w:hAnsi="Abadi"/>
          <w:sz w:val="21"/>
          <w:szCs w:val="21"/>
        </w:rPr>
        <w:t xml:space="preserve"> no se entiende abrazos y no balazos. </w:t>
      </w:r>
    </w:p>
    <w:p w14:paraId="60CBAF93" w14:textId="77777777" w:rsidR="001328A5" w:rsidRDefault="001328A5" w:rsidP="001328A5">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También hay balazos</w:t>
      </w:r>
      <w:r>
        <w:rPr>
          <w:rFonts w:ascii="Abadi" w:hAnsi="Abadi"/>
          <w:sz w:val="21"/>
          <w:szCs w:val="21"/>
        </w:rPr>
        <w:t xml:space="preserve">, no se </w:t>
      </w:r>
      <w:r w:rsidRPr="0021199F">
        <w:rPr>
          <w:rFonts w:ascii="Abadi" w:hAnsi="Abadi"/>
          <w:sz w:val="21"/>
          <w:szCs w:val="21"/>
        </w:rPr>
        <w:t>quedaron de brazos cruzados cuando es necesario utilizar también la fuerza policíaca</w:t>
      </w:r>
      <w:r>
        <w:rPr>
          <w:rFonts w:ascii="Abadi" w:hAnsi="Abadi"/>
          <w:sz w:val="21"/>
          <w:szCs w:val="21"/>
        </w:rPr>
        <w:t xml:space="preserve">, lean </w:t>
      </w:r>
      <w:r w:rsidRPr="0021199F">
        <w:rPr>
          <w:rFonts w:ascii="Abadi" w:hAnsi="Abadi"/>
          <w:sz w:val="21"/>
          <w:szCs w:val="21"/>
        </w:rPr>
        <w:t xml:space="preserve">el artículo, </w:t>
      </w:r>
      <w:r>
        <w:rPr>
          <w:rFonts w:ascii="Abadi" w:hAnsi="Abadi"/>
          <w:sz w:val="21"/>
          <w:szCs w:val="21"/>
        </w:rPr>
        <w:t>de Job, r</w:t>
      </w:r>
      <w:r w:rsidRPr="0021199F">
        <w:rPr>
          <w:rFonts w:ascii="Abadi" w:hAnsi="Abadi"/>
          <w:sz w:val="21"/>
          <w:szCs w:val="21"/>
        </w:rPr>
        <w:t>evisen, revisen las cifras oficiales</w:t>
      </w:r>
      <w:r>
        <w:rPr>
          <w:rFonts w:ascii="Abadi" w:hAnsi="Abadi"/>
          <w:sz w:val="21"/>
          <w:szCs w:val="21"/>
        </w:rPr>
        <w:t>, e</w:t>
      </w:r>
      <w:r w:rsidRPr="0021199F">
        <w:rPr>
          <w:rFonts w:ascii="Abadi" w:hAnsi="Abadi"/>
          <w:sz w:val="21"/>
          <w:szCs w:val="21"/>
        </w:rPr>
        <w:t xml:space="preserve">ntonces aquí hay una perspectiva de derechos que no </w:t>
      </w:r>
      <w:r>
        <w:rPr>
          <w:rFonts w:ascii="Abadi" w:hAnsi="Abadi"/>
          <w:sz w:val="21"/>
          <w:szCs w:val="21"/>
        </w:rPr>
        <w:t xml:space="preserve">compartidos con el PAN y hay un origen de la inseguridad que tampoco compartimos con el PAN, porque se trata de </w:t>
      </w:r>
      <w:r w:rsidRPr="0021199F">
        <w:rPr>
          <w:rFonts w:ascii="Abadi" w:hAnsi="Abadi"/>
          <w:sz w:val="21"/>
          <w:szCs w:val="21"/>
        </w:rPr>
        <w:t xml:space="preserve">atender las causas de la desigualdad, que es uno de los componentes fundamentales para la inseguridad. Dicen que el concepto de respeto a los derechos humanos del presidente </w:t>
      </w:r>
      <w:r>
        <w:rPr>
          <w:rFonts w:ascii="Abadi" w:hAnsi="Abadi"/>
          <w:sz w:val="21"/>
          <w:szCs w:val="21"/>
        </w:rPr>
        <w:t xml:space="preserve">es errático y se equivocan, </w:t>
      </w:r>
      <w:r w:rsidRPr="0021199F">
        <w:rPr>
          <w:rFonts w:ascii="Abadi" w:hAnsi="Abadi"/>
          <w:sz w:val="21"/>
          <w:szCs w:val="21"/>
        </w:rPr>
        <w:t xml:space="preserve">porque uno de los principios de </w:t>
      </w:r>
      <w:r>
        <w:rPr>
          <w:rFonts w:ascii="Abadi" w:hAnsi="Abadi"/>
          <w:sz w:val="21"/>
          <w:szCs w:val="21"/>
        </w:rPr>
        <w:t xml:space="preserve">los derechos humanos es precisamente, </w:t>
      </w:r>
      <w:r w:rsidRPr="0021199F">
        <w:rPr>
          <w:rFonts w:ascii="Abadi" w:hAnsi="Abadi"/>
          <w:sz w:val="21"/>
          <w:szCs w:val="21"/>
        </w:rPr>
        <w:t xml:space="preserve">universalidad, </w:t>
      </w:r>
      <w:r>
        <w:rPr>
          <w:rFonts w:ascii="Abadi" w:hAnsi="Abadi"/>
          <w:sz w:val="21"/>
          <w:szCs w:val="21"/>
        </w:rPr>
        <w:t>salvo que q</w:t>
      </w:r>
      <w:r w:rsidRPr="0021199F">
        <w:rPr>
          <w:rFonts w:ascii="Abadi" w:hAnsi="Abadi"/>
          <w:sz w:val="21"/>
          <w:szCs w:val="21"/>
        </w:rPr>
        <w:t xml:space="preserve">uieran dividir en seres humanos con derechos y seres humanos sin derechos. </w:t>
      </w:r>
    </w:p>
    <w:p w14:paraId="011B87BA" w14:textId="77777777" w:rsidR="001328A5" w:rsidRDefault="001328A5" w:rsidP="001328A5">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Ése es el fondo del asunto de lo que expresó y lo vimos directamente en la mañane</w:t>
      </w:r>
      <w:r>
        <w:rPr>
          <w:rFonts w:ascii="Abadi" w:hAnsi="Abadi"/>
          <w:sz w:val="21"/>
          <w:szCs w:val="21"/>
        </w:rPr>
        <w:t>ra,</w:t>
      </w:r>
      <w:r w:rsidRPr="0021199F">
        <w:rPr>
          <w:rFonts w:ascii="Abadi" w:hAnsi="Abadi"/>
          <w:sz w:val="21"/>
          <w:szCs w:val="21"/>
        </w:rPr>
        <w:t xml:space="preserve"> López Obrador</w:t>
      </w:r>
      <w:r>
        <w:rPr>
          <w:rFonts w:ascii="Abadi" w:hAnsi="Abadi"/>
          <w:sz w:val="21"/>
          <w:szCs w:val="21"/>
        </w:rPr>
        <w:t>, todo</w:t>
      </w:r>
      <w:r w:rsidRPr="0021199F">
        <w:rPr>
          <w:rFonts w:ascii="Abadi" w:hAnsi="Abadi"/>
          <w:sz w:val="21"/>
          <w:szCs w:val="21"/>
        </w:rPr>
        <w:t xml:space="preserve"> mundo tiene derechos y dijo inclusive los delincuentes lo van a negar. </w:t>
      </w:r>
      <w:r>
        <w:rPr>
          <w:rFonts w:ascii="Abadi" w:hAnsi="Abadi"/>
          <w:sz w:val="21"/>
          <w:szCs w:val="21"/>
        </w:rPr>
        <w:t>¡d</w:t>
      </w:r>
      <w:r w:rsidRPr="0021199F">
        <w:rPr>
          <w:rFonts w:ascii="Abadi" w:hAnsi="Abadi"/>
          <w:sz w:val="21"/>
          <w:szCs w:val="21"/>
        </w:rPr>
        <w:t>ígalo</w:t>
      </w:r>
      <w:r>
        <w:rPr>
          <w:rFonts w:ascii="Abadi" w:hAnsi="Abadi"/>
          <w:sz w:val="21"/>
          <w:szCs w:val="21"/>
        </w:rPr>
        <w:t>!</w:t>
      </w:r>
      <w:r w:rsidRPr="0021199F">
        <w:rPr>
          <w:rFonts w:ascii="Abadi" w:hAnsi="Abadi"/>
          <w:sz w:val="21"/>
          <w:szCs w:val="21"/>
        </w:rPr>
        <w:t xml:space="preserve"> </w:t>
      </w:r>
      <w:r>
        <w:rPr>
          <w:rFonts w:ascii="Abadi" w:hAnsi="Abadi"/>
          <w:sz w:val="21"/>
          <w:szCs w:val="21"/>
        </w:rPr>
        <w:t>¡díganlo! ¿</w:t>
      </w:r>
      <w:r w:rsidRPr="0021199F">
        <w:rPr>
          <w:rFonts w:ascii="Abadi" w:hAnsi="Abadi"/>
          <w:sz w:val="21"/>
          <w:szCs w:val="21"/>
        </w:rPr>
        <w:t>lo van a negar</w:t>
      </w:r>
      <w:r>
        <w:rPr>
          <w:rFonts w:ascii="Abadi" w:hAnsi="Abadi"/>
          <w:sz w:val="21"/>
          <w:szCs w:val="21"/>
        </w:rPr>
        <w:t>?</w:t>
      </w:r>
      <w:r w:rsidRPr="0021199F">
        <w:rPr>
          <w:rFonts w:ascii="Abadi" w:hAnsi="Abadi"/>
          <w:sz w:val="21"/>
          <w:szCs w:val="21"/>
        </w:rPr>
        <w:t xml:space="preserve"> </w:t>
      </w:r>
      <w:r>
        <w:rPr>
          <w:rFonts w:ascii="Abadi" w:hAnsi="Abadi"/>
          <w:sz w:val="21"/>
          <w:szCs w:val="21"/>
        </w:rPr>
        <w:t xml:space="preserve">díganlo así, </w:t>
      </w:r>
      <w:r w:rsidRPr="0021199F">
        <w:rPr>
          <w:rFonts w:ascii="Abadi" w:hAnsi="Abadi"/>
          <w:sz w:val="21"/>
          <w:szCs w:val="21"/>
        </w:rPr>
        <w:t xml:space="preserve">Y entonces ya la ciudadanía estará de acuerdo en </w:t>
      </w:r>
      <w:r>
        <w:rPr>
          <w:rFonts w:ascii="Abadi" w:hAnsi="Abadi"/>
          <w:sz w:val="21"/>
          <w:szCs w:val="21"/>
        </w:rPr>
        <w:t xml:space="preserve">quien tiene la razón y en que versión está porque si su versión es que </w:t>
      </w:r>
      <w:r w:rsidRPr="0021199F">
        <w:rPr>
          <w:rFonts w:ascii="Abadi" w:hAnsi="Abadi"/>
          <w:sz w:val="21"/>
          <w:szCs w:val="21"/>
        </w:rPr>
        <w:t>hay humanos sin derechos</w:t>
      </w:r>
      <w:r>
        <w:rPr>
          <w:rFonts w:ascii="Abadi" w:hAnsi="Abadi"/>
          <w:sz w:val="21"/>
          <w:szCs w:val="21"/>
        </w:rPr>
        <w:t xml:space="preserve"> y </w:t>
      </w:r>
      <w:r w:rsidRPr="0021199F">
        <w:rPr>
          <w:rFonts w:ascii="Abadi" w:hAnsi="Abadi"/>
          <w:sz w:val="21"/>
          <w:szCs w:val="21"/>
        </w:rPr>
        <w:t xml:space="preserve">humanos con derechos, ya sé porque estamos en </w:t>
      </w:r>
      <w:r>
        <w:rPr>
          <w:rFonts w:ascii="Abadi" w:hAnsi="Abadi"/>
          <w:sz w:val="21"/>
          <w:szCs w:val="21"/>
        </w:rPr>
        <w:t>Guanajuato, como estamos mi querido Estado.</w:t>
      </w:r>
    </w:p>
    <w:p w14:paraId="18329E93" w14:textId="42C12F52" w:rsidR="001328A5" w:rsidRDefault="001328A5" w:rsidP="001328A5">
      <w:pPr>
        <w:pStyle w:val="NormalWeb"/>
        <w:jc w:val="both"/>
        <w:rPr>
          <w:rFonts w:ascii="Abadi" w:hAnsi="Abadi"/>
          <w:sz w:val="21"/>
          <w:szCs w:val="21"/>
        </w:rPr>
      </w:pPr>
      <w:r>
        <w:rPr>
          <w:rFonts w:ascii="Abadi" w:hAnsi="Abadi"/>
          <w:sz w:val="21"/>
          <w:szCs w:val="21"/>
        </w:rPr>
        <w:t>- A</w:t>
      </w:r>
      <w:r w:rsidRPr="0021199F">
        <w:rPr>
          <w:rFonts w:ascii="Abadi" w:hAnsi="Abadi"/>
          <w:sz w:val="21"/>
          <w:szCs w:val="21"/>
        </w:rPr>
        <w:t xml:space="preserve">quí </w:t>
      </w:r>
      <w:r>
        <w:rPr>
          <w:rFonts w:ascii="Abadi" w:hAnsi="Abadi"/>
          <w:sz w:val="21"/>
          <w:szCs w:val="21"/>
        </w:rPr>
        <w:t>e</w:t>
      </w:r>
      <w:r w:rsidRPr="0021199F">
        <w:rPr>
          <w:rFonts w:ascii="Abadi" w:hAnsi="Abadi"/>
          <w:sz w:val="21"/>
          <w:szCs w:val="21"/>
        </w:rPr>
        <w:t>s necesario hacerle una última precisión</w:t>
      </w:r>
      <w:r>
        <w:rPr>
          <w:rFonts w:ascii="Abadi" w:hAnsi="Abadi"/>
          <w:sz w:val="21"/>
          <w:szCs w:val="21"/>
        </w:rPr>
        <w:t>, la Secretaria de seguridad y protección ciudadana, Rosa Isela, d</w:t>
      </w:r>
      <w:r w:rsidRPr="0021199F">
        <w:rPr>
          <w:rFonts w:ascii="Abadi" w:hAnsi="Abadi"/>
          <w:sz w:val="21"/>
          <w:szCs w:val="21"/>
        </w:rPr>
        <w:t xml:space="preserve">uro para la línea. </w:t>
      </w:r>
      <w:r>
        <w:rPr>
          <w:rFonts w:ascii="Abadi" w:hAnsi="Abadi"/>
          <w:sz w:val="21"/>
          <w:szCs w:val="21"/>
        </w:rPr>
        <w:t xml:space="preserve"> (Voz) diputada Presidenta, diputad David, me permite tantito por favor, (Voz) diputado Davis, un minuto cuarenta y ocho, (Voz) diputada Presidenta, ¿diputado Salim, p</w:t>
      </w:r>
      <w:r w:rsidRPr="0021199F">
        <w:rPr>
          <w:rFonts w:ascii="Abadi" w:hAnsi="Abadi"/>
          <w:sz w:val="21"/>
          <w:szCs w:val="21"/>
        </w:rPr>
        <w:t>ara qué efecto</w:t>
      </w:r>
      <w:r>
        <w:rPr>
          <w:rFonts w:ascii="Abadi" w:hAnsi="Abadi"/>
          <w:sz w:val="21"/>
          <w:szCs w:val="21"/>
        </w:rPr>
        <w:t>? (Voz) diputado Salim, p</w:t>
      </w:r>
      <w:r w:rsidRPr="0021199F">
        <w:rPr>
          <w:rFonts w:ascii="Abadi" w:hAnsi="Abadi"/>
          <w:sz w:val="21"/>
          <w:szCs w:val="21"/>
        </w:rPr>
        <w:t xml:space="preserve">ara hacer otra vez una moción de orden y decirle al compañero diputado que le sigue faltando el respeto a la </w:t>
      </w:r>
      <w:r>
        <w:rPr>
          <w:rFonts w:ascii="Abadi" w:hAnsi="Abadi"/>
          <w:sz w:val="21"/>
          <w:szCs w:val="21"/>
        </w:rPr>
        <w:t>P</w:t>
      </w:r>
      <w:r w:rsidRPr="0021199F">
        <w:rPr>
          <w:rFonts w:ascii="Abadi" w:hAnsi="Abadi"/>
          <w:sz w:val="21"/>
          <w:szCs w:val="21"/>
        </w:rPr>
        <w:t xml:space="preserve">residenta de la </w:t>
      </w:r>
      <w:r>
        <w:rPr>
          <w:rFonts w:ascii="Abadi" w:hAnsi="Abadi"/>
          <w:sz w:val="21"/>
          <w:szCs w:val="21"/>
        </w:rPr>
        <w:t>M</w:t>
      </w:r>
      <w:r w:rsidRPr="0021199F">
        <w:rPr>
          <w:rFonts w:ascii="Abadi" w:hAnsi="Abadi"/>
          <w:sz w:val="21"/>
          <w:szCs w:val="21"/>
        </w:rPr>
        <w:t xml:space="preserve">esa </w:t>
      </w:r>
      <w:r>
        <w:rPr>
          <w:rFonts w:ascii="Abadi" w:hAnsi="Abadi"/>
          <w:sz w:val="21"/>
          <w:szCs w:val="21"/>
        </w:rPr>
        <w:t>D</w:t>
      </w:r>
      <w:r w:rsidRPr="0021199F">
        <w:rPr>
          <w:rFonts w:ascii="Abadi" w:hAnsi="Abadi"/>
          <w:sz w:val="21"/>
          <w:szCs w:val="21"/>
        </w:rPr>
        <w:t>irectiva por no hacerle caso</w:t>
      </w:r>
      <w:r w:rsidR="008D02B5">
        <w:rPr>
          <w:rFonts w:ascii="Abadi" w:hAnsi="Abadi"/>
          <w:sz w:val="21"/>
          <w:szCs w:val="21"/>
        </w:rPr>
        <w:t xml:space="preserve"> </w:t>
      </w:r>
      <w:r w:rsidRPr="0021199F">
        <w:rPr>
          <w:rFonts w:ascii="Abadi" w:hAnsi="Abadi"/>
          <w:sz w:val="21"/>
          <w:szCs w:val="21"/>
        </w:rPr>
        <w:t>y que no le falt</w:t>
      </w:r>
      <w:r w:rsidR="008D02B5">
        <w:rPr>
          <w:rFonts w:ascii="Abadi" w:hAnsi="Abadi"/>
          <w:sz w:val="21"/>
          <w:szCs w:val="21"/>
        </w:rPr>
        <w:t>e</w:t>
      </w:r>
      <w:r w:rsidRPr="0021199F">
        <w:rPr>
          <w:rFonts w:ascii="Abadi" w:hAnsi="Abadi"/>
          <w:sz w:val="21"/>
          <w:szCs w:val="21"/>
        </w:rPr>
        <w:t xml:space="preserve"> </w:t>
      </w:r>
      <w:r w:rsidR="008D02B5">
        <w:rPr>
          <w:rFonts w:ascii="Abadi" w:hAnsi="Abadi"/>
          <w:sz w:val="21"/>
          <w:szCs w:val="21"/>
        </w:rPr>
        <w:t>a</w:t>
      </w:r>
      <w:r w:rsidRPr="0021199F">
        <w:rPr>
          <w:rFonts w:ascii="Abadi" w:hAnsi="Abadi"/>
          <w:sz w:val="21"/>
          <w:szCs w:val="21"/>
        </w:rPr>
        <w:t xml:space="preserve">l respeto a la </w:t>
      </w:r>
      <w:r>
        <w:rPr>
          <w:rFonts w:ascii="Abadi" w:hAnsi="Abadi"/>
          <w:sz w:val="21"/>
          <w:szCs w:val="21"/>
        </w:rPr>
        <w:t>P</w:t>
      </w:r>
      <w:r w:rsidRPr="0021199F">
        <w:rPr>
          <w:rFonts w:ascii="Abadi" w:hAnsi="Abadi"/>
          <w:sz w:val="21"/>
          <w:szCs w:val="21"/>
        </w:rPr>
        <w:t xml:space="preserve">residenta ni a toda la </w:t>
      </w:r>
      <w:r>
        <w:rPr>
          <w:rFonts w:ascii="Abadi" w:hAnsi="Abadi"/>
          <w:sz w:val="21"/>
          <w:szCs w:val="21"/>
        </w:rPr>
        <w:t>M</w:t>
      </w:r>
      <w:r w:rsidRPr="0021199F">
        <w:rPr>
          <w:rFonts w:ascii="Abadi" w:hAnsi="Abadi"/>
          <w:sz w:val="21"/>
          <w:szCs w:val="21"/>
        </w:rPr>
        <w:t xml:space="preserve">esa </w:t>
      </w:r>
      <w:r>
        <w:rPr>
          <w:rFonts w:ascii="Abadi" w:hAnsi="Abadi"/>
          <w:sz w:val="21"/>
          <w:szCs w:val="21"/>
        </w:rPr>
        <w:t>D</w:t>
      </w:r>
      <w:r w:rsidRPr="0021199F">
        <w:rPr>
          <w:rFonts w:ascii="Abadi" w:hAnsi="Abadi"/>
          <w:sz w:val="21"/>
          <w:szCs w:val="21"/>
        </w:rPr>
        <w:t xml:space="preserve">irectiva, porque no le está haciendo </w:t>
      </w:r>
      <w:r>
        <w:rPr>
          <w:rFonts w:ascii="Abadi" w:hAnsi="Abadi"/>
          <w:sz w:val="21"/>
          <w:szCs w:val="21"/>
        </w:rPr>
        <w:t>caso, (Voz) diputada Presidenta, g</w:t>
      </w:r>
      <w:r w:rsidRPr="0021199F">
        <w:rPr>
          <w:rFonts w:ascii="Abadi" w:hAnsi="Abadi"/>
          <w:sz w:val="21"/>
          <w:szCs w:val="21"/>
        </w:rPr>
        <w:t xml:space="preserve">racias, </w:t>
      </w:r>
      <w:r>
        <w:rPr>
          <w:rFonts w:ascii="Abadi" w:hAnsi="Abadi"/>
          <w:sz w:val="21"/>
          <w:szCs w:val="21"/>
        </w:rPr>
        <w:t>diputado, ¿diputado David, puede continuar</w:t>
      </w:r>
      <w:r w:rsidRPr="0021199F">
        <w:rPr>
          <w:rFonts w:ascii="Abadi" w:hAnsi="Abadi"/>
          <w:sz w:val="21"/>
          <w:szCs w:val="21"/>
        </w:rPr>
        <w:t xml:space="preserve"> por favor? </w:t>
      </w:r>
      <w:r>
        <w:rPr>
          <w:rFonts w:ascii="Abadi" w:hAnsi="Abadi"/>
          <w:sz w:val="21"/>
          <w:szCs w:val="21"/>
        </w:rPr>
        <w:t>(Voz) diputado Davi</w:t>
      </w:r>
      <w:r w:rsidR="00924C5F">
        <w:rPr>
          <w:rFonts w:ascii="Abadi" w:hAnsi="Abadi"/>
          <w:sz w:val="21"/>
          <w:szCs w:val="21"/>
        </w:rPr>
        <w:t>d</w:t>
      </w:r>
      <w:r>
        <w:rPr>
          <w:rFonts w:ascii="Abadi" w:hAnsi="Abadi"/>
          <w:sz w:val="21"/>
          <w:szCs w:val="21"/>
        </w:rPr>
        <w:t xml:space="preserve">, haber van cinco veces que </w:t>
      </w:r>
      <w:r w:rsidRPr="0021199F">
        <w:rPr>
          <w:rFonts w:ascii="Abadi" w:hAnsi="Abadi"/>
          <w:sz w:val="21"/>
          <w:szCs w:val="21"/>
        </w:rPr>
        <w:t xml:space="preserve">dice la </w:t>
      </w:r>
      <w:r>
        <w:rPr>
          <w:rFonts w:ascii="Abadi" w:hAnsi="Abadi"/>
          <w:sz w:val="21"/>
          <w:szCs w:val="21"/>
        </w:rPr>
        <w:t>P</w:t>
      </w:r>
      <w:r w:rsidRPr="0021199F">
        <w:rPr>
          <w:rFonts w:ascii="Abadi" w:hAnsi="Abadi"/>
          <w:sz w:val="21"/>
          <w:szCs w:val="21"/>
        </w:rPr>
        <w:t xml:space="preserve">residenta, quien merece todo mi respeto, que puedo continuar. No he escuchado ninguna reconsideración al respecto. Entonces no digan a la </w:t>
      </w:r>
      <w:r>
        <w:rPr>
          <w:rFonts w:ascii="Abadi" w:hAnsi="Abadi"/>
          <w:sz w:val="21"/>
          <w:szCs w:val="21"/>
        </w:rPr>
        <w:t>P</w:t>
      </w:r>
      <w:r w:rsidRPr="0021199F">
        <w:rPr>
          <w:rFonts w:ascii="Abadi" w:hAnsi="Abadi"/>
          <w:sz w:val="21"/>
          <w:szCs w:val="21"/>
        </w:rPr>
        <w:t>residenta, no p</w:t>
      </w:r>
      <w:r w:rsidR="008D02B5">
        <w:rPr>
          <w:rFonts w:ascii="Abadi" w:hAnsi="Abadi"/>
          <w:sz w:val="21"/>
          <w:szCs w:val="21"/>
        </w:rPr>
        <w:t>on</w:t>
      </w:r>
      <w:r w:rsidRPr="0021199F">
        <w:rPr>
          <w:rFonts w:ascii="Abadi" w:hAnsi="Abadi"/>
          <w:sz w:val="21"/>
          <w:szCs w:val="21"/>
        </w:rPr>
        <w:t>gan en su boca palabras que no ha dicho, me ha dicho continuo y voy a continuar</w:t>
      </w:r>
      <w:r>
        <w:rPr>
          <w:rFonts w:ascii="Abadi" w:hAnsi="Abadi"/>
          <w:sz w:val="21"/>
          <w:szCs w:val="21"/>
        </w:rPr>
        <w:t>,</w:t>
      </w:r>
      <w:r w:rsidRPr="0021199F">
        <w:rPr>
          <w:rFonts w:ascii="Abadi" w:hAnsi="Abadi"/>
          <w:sz w:val="21"/>
          <w:szCs w:val="21"/>
        </w:rPr>
        <w:t xml:space="preserve"> un minuto</w:t>
      </w:r>
      <w:r>
        <w:rPr>
          <w:rFonts w:ascii="Abadi" w:hAnsi="Abadi"/>
          <w:sz w:val="21"/>
          <w:szCs w:val="21"/>
        </w:rPr>
        <w:t xml:space="preserve"> t</w:t>
      </w:r>
      <w:r w:rsidRPr="0021199F">
        <w:rPr>
          <w:rFonts w:ascii="Abadi" w:hAnsi="Abadi"/>
          <w:sz w:val="21"/>
          <w:szCs w:val="21"/>
        </w:rPr>
        <w:t xml:space="preserve">reinta y dos, </w:t>
      </w:r>
      <w:r>
        <w:rPr>
          <w:rFonts w:ascii="Abadi" w:hAnsi="Abadi"/>
          <w:sz w:val="21"/>
          <w:szCs w:val="21"/>
        </w:rPr>
        <w:t>¡</w:t>
      </w:r>
      <w:r w:rsidR="008D02B5">
        <w:rPr>
          <w:rFonts w:ascii="Abadi" w:hAnsi="Abadi"/>
          <w:sz w:val="21"/>
          <w:szCs w:val="21"/>
        </w:rPr>
        <w:t>a</w:t>
      </w:r>
      <w:r>
        <w:rPr>
          <w:rFonts w:ascii="Abadi" w:hAnsi="Abadi"/>
          <w:sz w:val="21"/>
          <w:szCs w:val="21"/>
        </w:rPr>
        <w:t xml:space="preserve">guántenme! </w:t>
      </w:r>
      <w:r w:rsidRPr="0021199F">
        <w:rPr>
          <w:rFonts w:ascii="Abadi" w:hAnsi="Abadi"/>
          <w:sz w:val="21"/>
          <w:szCs w:val="21"/>
        </w:rPr>
        <w:t>si no aguantan verdade</w:t>
      </w:r>
      <w:r w:rsidR="008D02B5">
        <w:rPr>
          <w:rFonts w:ascii="Abadi" w:hAnsi="Abadi"/>
          <w:sz w:val="21"/>
          <w:szCs w:val="21"/>
        </w:rPr>
        <w:t>s</w:t>
      </w:r>
      <w:r w:rsidRPr="0021199F">
        <w:rPr>
          <w:rFonts w:ascii="Abadi" w:hAnsi="Abadi"/>
          <w:sz w:val="21"/>
          <w:szCs w:val="21"/>
        </w:rPr>
        <w:t xml:space="preserve"> </w:t>
      </w:r>
      <w:r>
        <w:rPr>
          <w:rFonts w:ascii="Abadi" w:hAnsi="Abadi"/>
          <w:sz w:val="21"/>
          <w:szCs w:val="21"/>
        </w:rPr>
        <w:t>¡los siento!, ¡b</w:t>
      </w:r>
      <w:r w:rsidRPr="0021199F">
        <w:rPr>
          <w:rFonts w:ascii="Abadi" w:hAnsi="Abadi"/>
          <w:sz w:val="21"/>
          <w:szCs w:val="21"/>
        </w:rPr>
        <w:t>ien</w:t>
      </w:r>
      <w:r>
        <w:rPr>
          <w:rFonts w:ascii="Abadi" w:hAnsi="Abadi"/>
          <w:sz w:val="21"/>
          <w:szCs w:val="21"/>
        </w:rPr>
        <w:t>!</w:t>
      </w:r>
      <w:r w:rsidRPr="0021199F">
        <w:rPr>
          <w:rFonts w:ascii="Abadi" w:hAnsi="Abadi"/>
          <w:sz w:val="21"/>
          <w:szCs w:val="21"/>
        </w:rPr>
        <w:t xml:space="preserve"> no hay ninguna falta de respecto, compañero. </w:t>
      </w:r>
    </w:p>
    <w:p w14:paraId="68FA2320" w14:textId="35A74EE5" w:rsidR="001328A5" w:rsidRDefault="00126DFE" w:rsidP="001328A5">
      <w:pPr>
        <w:pStyle w:val="NormalWeb"/>
        <w:jc w:val="both"/>
        <w:rPr>
          <w:rFonts w:ascii="Abadi" w:hAnsi="Abadi"/>
          <w:sz w:val="21"/>
          <w:szCs w:val="21"/>
        </w:rPr>
      </w:pPr>
      <w:r>
        <w:rPr>
          <w:rFonts w:ascii="Abadi" w:hAnsi="Abadi"/>
          <w:sz w:val="21"/>
          <w:szCs w:val="21"/>
        </w:rPr>
        <w:t xml:space="preserve">- </w:t>
      </w:r>
      <w:r w:rsidR="001328A5">
        <w:rPr>
          <w:rFonts w:ascii="Abadi" w:hAnsi="Abadi"/>
          <w:sz w:val="21"/>
          <w:szCs w:val="21"/>
        </w:rPr>
        <w:t>Una ú</w:t>
      </w:r>
      <w:r w:rsidR="001328A5" w:rsidRPr="0021199F">
        <w:rPr>
          <w:rFonts w:ascii="Abadi" w:hAnsi="Abadi"/>
          <w:sz w:val="21"/>
          <w:szCs w:val="21"/>
        </w:rPr>
        <w:t>ltima presión de aceptar la secretaria Rosa Isela</w:t>
      </w:r>
      <w:r w:rsidR="001328A5">
        <w:rPr>
          <w:rFonts w:ascii="Abadi" w:hAnsi="Abadi"/>
          <w:sz w:val="21"/>
          <w:szCs w:val="21"/>
        </w:rPr>
        <w:t xml:space="preserve">, no es ninguna improvisada, o que ¿se necesita estudiar derecho? </w:t>
      </w:r>
      <w:r w:rsidR="001328A5" w:rsidRPr="0021199F">
        <w:rPr>
          <w:rFonts w:ascii="Abadi" w:hAnsi="Abadi"/>
          <w:sz w:val="21"/>
          <w:szCs w:val="21"/>
        </w:rPr>
        <w:t xml:space="preserve">para saber de cuestiones policíacas. </w:t>
      </w:r>
      <w:r w:rsidR="001328A5">
        <w:rPr>
          <w:rFonts w:ascii="Abadi" w:hAnsi="Abadi"/>
          <w:sz w:val="21"/>
          <w:szCs w:val="21"/>
        </w:rPr>
        <w:t>¡</w:t>
      </w:r>
      <w:r w:rsidR="001328A5" w:rsidRPr="0021199F">
        <w:rPr>
          <w:rFonts w:ascii="Abadi" w:hAnsi="Abadi"/>
          <w:sz w:val="21"/>
          <w:szCs w:val="21"/>
        </w:rPr>
        <w:t>Sí</w:t>
      </w:r>
      <w:r w:rsidR="001328A5">
        <w:rPr>
          <w:rFonts w:ascii="Abadi" w:hAnsi="Abadi"/>
          <w:sz w:val="21"/>
          <w:szCs w:val="21"/>
        </w:rPr>
        <w:t>!</w:t>
      </w:r>
      <w:r w:rsidR="001328A5" w:rsidRPr="0021199F">
        <w:rPr>
          <w:rFonts w:ascii="Abadi" w:hAnsi="Abadi"/>
          <w:sz w:val="21"/>
          <w:szCs w:val="21"/>
        </w:rPr>
        <w:t xml:space="preserve">, </w:t>
      </w:r>
      <w:r w:rsidR="001328A5">
        <w:rPr>
          <w:rFonts w:ascii="Abadi" w:hAnsi="Abadi"/>
          <w:sz w:val="21"/>
          <w:szCs w:val="21"/>
        </w:rPr>
        <w:t>¿</w:t>
      </w:r>
      <w:r w:rsidR="001328A5" w:rsidRPr="0021199F">
        <w:rPr>
          <w:rFonts w:ascii="Abadi" w:hAnsi="Abadi"/>
          <w:sz w:val="21"/>
          <w:szCs w:val="21"/>
        </w:rPr>
        <w:t xml:space="preserve">se </w:t>
      </w:r>
      <w:r w:rsidR="001328A5">
        <w:rPr>
          <w:rFonts w:ascii="Abadi" w:hAnsi="Abadi"/>
          <w:sz w:val="21"/>
          <w:szCs w:val="21"/>
        </w:rPr>
        <w:t xml:space="preserve">necesita estudiara derecho? ¡Sí! ¿eso asegura buenas tácticas, de seguridad?, </w:t>
      </w:r>
      <w:r w:rsidR="001328A5" w:rsidRPr="0021199F">
        <w:rPr>
          <w:rFonts w:ascii="Abadi" w:hAnsi="Abadi"/>
          <w:sz w:val="21"/>
          <w:szCs w:val="21"/>
        </w:rPr>
        <w:t>jóvenes</w:t>
      </w:r>
      <w:r w:rsidR="001328A5">
        <w:rPr>
          <w:rFonts w:ascii="Abadi" w:hAnsi="Abadi"/>
          <w:sz w:val="21"/>
          <w:szCs w:val="21"/>
        </w:rPr>
        <w:t xml:space="preserve">, a ver el primero de la violencia es </w:t>
      </w:r>
      <w:r w:rsidR="001328A5" w:rsidRPr="0021199F">
        <w:rPr>
          <w:rFonts w:ascii="Abadi" w:hAnsi="Abadi"/>
          <w:sz w:val="21"/>
          <w:szCs w:val="21"/>
        </w:rPr>
        <w:t>interdisciplinar</w:t>
      </w:r>
      <w:r w:rsidR="001328A5">
        <w:rPr>
          <w:rFonts w:ascii="Abadi" w:hAnsi="Abadi"/>
          <w:sz w:val="21"/>
          <w:szCs w:val="21"/>
        </w:rPr>
        <w:t>, cualquiera vea el informe de su go</w:t>
      </w:r>
      <w:r w:rsidR="001328A5" w:rsidRPr="0021199F">
        <w:rPr>
          <w:rFonts w:ascii="Abadi" w:hAnsi="Abadi"/>
          <w:sz w:val="21"/>
          <w:szCs w:val="21"/>
        </w:rPr>
        <w:t xml:space="preserve">bernador </w:t>
      </w:r>
      <w:r w:rsidR="001328A5">
        <w:rPr>
          <w:rFonts w:ascii="Abadi" w:hAnsi="Abadi"/>
          <w:sz w:val="21"/>
          <w:szCs w:val="21"/>
        </w:rPr>
        <w:t xml:space="preserve">haya, </w:t>
      </w:r>
      <w:r w:rsidR="001328A5" w:rsidRPr="0021199F">
        <w:rPr>
          <w:rFonts w:ascii="Abadi" w:hAnsi="Abadi"/>
          <w:sz w:val="21"/>
          <w:szCs w:val="21"/>
        </w:rPr>
        <w:t>hay ingenieros, hay abogados, hay antropólogos, antropóloga</w:t>
      </w:r>
      <w:r w:rsidR="001328A5">
        <w:rPr>
          <w:rFonts w:ascii="Abadi" w:hAnsi="Abadi"/>
          <w:sz w:val="21"/>
          <w:szCs w:val="21"/>
        </w:rPr>
        <w:t xml:space="preserve">. </w:t>
      </w:r>
    </w:p>
    <w:p w14:paraId="5F227108" w14:textId="2ED0F60E" w:rsidR="001328A5" w:rsidRDefault="00126DFE" w:rsidP="001328A5">
      <w:pPr>
        <w:pStyle w:val="NormalWeb"/>
        <w:jc w:val="both"/>
        <w:rPr>
          <w:rFonts w:ascii="Abadi" w:hAnsi="Abadi"/>
          <w:sz w:val="21"/>
          <w:szCs w:val="21"/>
        </w:rPr>
      </w:pPr>
      <w:r>
        <w:rPr>
          <w:rFonts w:ascii="Abadi" w:hAnsi="Abadi"/>
          <w:sz w:val="21"/>
          <w:szCs w:val="21"/>
        </w:rPr>
        <w:t xml:space="preserve">- </w:t>
      </w:r>
      <w:r w:rsidR="001328A5" w:rsidRPr="0021199F">
        <w:rPr>
          <w:rFonts w:ascii="Abadi" w:hAnsi="Abadi"/>
          <w:sz w:val="21"/>
          <w:szCs w:val="21"/>
        </w:rPr>
        <w:t xml:space="preserve">El problema de la inseguridad es interdisciplinar y tiene muchísima experiencia. Rosa Isela, en el cargo. </w:t>
      </w:r>
    </w:p>
    <w:p w14:paraId="47571F5D" w14:textId="1C1B1B2D" w:rsidR="001328A5" w:rsidRDefault="001A77D2" w:rsidP="00126DFE">
      <w:pPr>
        <w:pStyle w:val="NormalWeb"/>
        <w:jc w:val="both"/>
        <w:rPr>
          <w:rFonts w:ascii="Abadi" w:hAnsi="Abadi"/>
          <w:sz w:val="21"/>
          <w:szCs w:val="21"/>
        </w:rPr>
      </w:pPr>
      <w:r>
        <w:rPr>
          <w:rFonts w:ascii="Abadi" w:hAnsi="Abadi"/>
          <w:sz w:val="21"/>
          <w:szCs w:val="21"/>
        </w:rPr>
        <w:t xml:space="preserve">- </w:t>
      </w:r>
      <w:r w:rsidR="001328A5" w:rsidRPr="0021199F">
        <w:rPr>
          <w:rFonts w:ascii="Abadi" w:hAnsi="Abadi"/>
          <w:sz w:val="21"/>
          <w:szCs w:val="21"/>
        </w:rPr>
        <w:t>Finalmente, ojalá que la misma con la misma firmeza que usan para exhibirse como el partido anti derecho que son, hubieron asumidos investidura de diputados y diputadas para pedirle cuentas al</w:t>
      </w:r>
      <w:r w:rsidR="001328A5">
        <w:rPr>
          <w:rFonts w:ascii="Abadi" w:hAnsi="Abadi"/>
          <w:sz w:val="21"/>
          <w:szCs w:val="21"/>
        </w:rPr>
        <w:t xml:space="preserve"> F</w:t>
      </w:r>
      <w:r w:rsidR="001328A5" w:rsidRPr="0021199F">
        <w:rPr>
          <w:rFonts w:ascii="Abadi" w:hAnsi="Abadi"/>
          <w:sz w:val="21"/>
          <w:szCs w:val="21"/>
        </w:rPr>
        <w:t xml:space="preserve">iscal </w:t>
      </w:r>
      <w:r w:rsidR="001328A5">
        <w:rPr>
          <w:rFonts w:ascii="Abadi" w:hAnsi="Abadi"/>
          <w:sz w:val="21"/>
          <w:szCs w:val="21"/>
        </w:rPr>
        <w:t>G</w:t>
      </w:r>
      <w:r w:rsidR="001328A5" w:rsidRPr="0021199F">
        <w:rPr>
          <w:rFonts w:ascii="Abadi" w:hAnsi="Abadi"/>
          <w:sz w:val="21"/>
          <w:szCs w:val="21"/>
        </w:rPr>
        <w:t xml:space="preserve">eneral del Estado en su comparecencia. </w:t>
      </w:r>
    </w:p>
    <w:p w14:paraId="745B1C5B" w14:textId="51A26434" w:rsidR="001328A5" w:rsidRDefault="001A77D2" w:rsidP="00126DFE">
      <w:pPr>
        <w:pStyle w:val="NormalWeb"/>
        <w:jc w:val="both"/>
        <w:rPr>
          <w:rFonts w:ascii="Abadi" w:hAnsi="Abadi"/>
          <w:sz w:val="21"/>
          <w:szCs w:val="21"/>
        </w:rPr>
      </w:pPr>
      <w:r>
        <w:rPr>
          <w:rFonts w:ascii="Abadi" w:hAnsi="Abadi"/>
          <w:sz w:val="21"/>
          <w:szCs w:val="21"/>
        </w:rPr>
        <w:t xml:space="preserve">- </w:t>
      </w:r>
      <w:r w:rsidR="001328A5" w:rsidRPr="0021199F">
        <w:rPr>
          <w:rFonts w:ascii="Abadi" w:hAnsi="Abadi"/>
          <w:sz w:val="21"/>
          <w:szCs w:val="21"/>
        </w:rPr>
        <w:t xml:space="preserve">Pronto tendrá otra oportunidad para ver si son capaces de pedirle cuentas al </w:t>
      </w:r>
      <w:r w:rsidR="001328A5">
        <w:rPr>
          <w:rFonts w:ascii="Abadi" w:hAnsi="Abadi"/>
          <w:sz w:val="21"/>
          <w:szCs w:val="21"/>
        </w:rPr>
        <w:t>S</w:t>
      </w:r>
      <w:r w:rsidR="001328A5" w:rsidRPr="0021199F">
        <w:rPr>
          <w:rFonts w:ascii="Abadi" w:hAnsi="Abadi"/>
          <w:sz w:val="21"/>
          <w:szCs w:val="21"/>
        </w:rPr>
        <w:t xml:space="preserve">ecretario de Seguridad Pública </w:t>
      </w:r>
      <w:r w:rsidR="001328A5">
        <w:rPr>
          <w:rFonts w:ascii="Abadi" w:hAnsi="Abadi"/>
          <w:sz w:val="21"/>
          <w:szCs w:val="21"/>
        </w:rPr>
        <w:t>E</w:t>
      </w:r>
      <w:r w:rsidR="001328A5" w:rsidRPr="0021199F">
        <w:rPr>
          <w:rFonts w:ascii="Abadi" w:hAnsi="Abadi"/>
          <w:sz w:val="21"/>
          <w:szCs w:val="21"/>
        </w:rPr>
        <w:t xml:space="preserve">statal en la </w:t>
      </w:r>
      <w:r w:rsidR="001328A5">
        <w:rPr>
          <w:rFonts w:ascii="Abadi" w:hAnsi="Abadi"/>
          <w:sz w:val="21"/>
          <w:szCs w:val="21"/>
        </w:rPr>
        <w:t>G</w:t>
      </w:r>
      <w:r w:rsidR="001328A5" w:rsidRPr="0021199F">
        <w:rPr>
          <w:rFonts w:ascii="Abadi" w:hAnsi="Abadi"/>
          <w:sz w:val="21"/>
          <w:szCs w:val="21"/>
        </w:rPr>
        <w:t xml:space="preserve">losa. Por eso me parece importante sostener la propuesta de la compañera </w:t>
      </w:r>
      <w:r w:rsidR="001328A5">
        <w:rPr>
          <w:rFonts w:ascii="Abadi" w:hAnsi="Abadi"/>
          <w:sz w:val="21"/>
          <w:szCs w:val="21"/>
        </w:rPr>
        <w:t>A</w:t>
      </w:r>
      <w:r w:rsidR="001328A5" w:rsidRPr="0021199F">
        <w:rPr>
          <w:rFonts w:ascii="Abadi" w:hAnsi="Abadi"/>
          <w:sz w:val="21"/>
          <w:szCs w:val="21"/>
        </w:rPr>
        <w:t xml:space="preserve">lma de que se discuta aquí ahora y se definan aquí y ahora. Qué tipo de derechos están ustedes diciendo que </w:t>
      </w:r>
      <w:r w:rsidR="001328A5">
        <w:rPr>
          <w:rFonts w:ascii="Abadi" w:hAnsi="Abadi"/>
          <w:sz w:val="21"/>
          <w:szCs w:val="21"/>
        </w:rPr>
        <w:t xml:space="preserve">se </w:t>
      </w:r>
      <w:r w:rsidR="001328A5" w:rsidRPr="0021199F">
        <w:rPr>
          <w:rFonts w:ascii="Abadi" w:hAnsi="Abadi"/>
          <w:sz w:val="21"/>
          <w:szCs w:val="21"/>
        </w:rPr>
        <w:t xml:space="preserve">tienen que defender. </w:t>
      </w:r>
    </w:p>
    <w:p w14:paraId="665BCCA3" w14:textId="430C2C44" w:rsidR="001328A5" w:rsidRDefault="001A77D2" w:rsidP="001A77D2">
      <w:pPr>
        <w:pStyle w:val="NormalWeb"/>
        <w:ind w:firstLine="708"/>
        <w:jc w:val="both"/>
        <w:rPr>
          <w:rFonts w:ascii="Abadi" w:hAnsi="Abadi"/>
          <w:sz w:val="21"/>
          <w:szCs w:val="21"/>
        </w:rPr>
      </w:pPr>
      <w:r>
        <w:rPr>
          <w:rFonts w:ascii="Abadi" w:hAnsi="Abadi"/>
          <w:sz w:val="21"/>
          <w:szCs w:val="21"/>
        </w:rPr>
        <w:t xml:space="preserve">- </w:t>
      </w:r>
      <w:r w:rsidR="001328A5" w:rsidRPr="0021199F">
        <w:rPr>
          <w:rFonts w:ascii="Abadi" w:hAnsi="Abadi"/>
          <w:sz w:val="21"/>
          <w:szCs w:val="21"/>
        </w:rPr>
        <w:t>Gracias</w:t>
      </w:r>
      <w:r w:rsidR="001328A5">
        <w:rPr>
          <w:rFonts w:ascii="Abadi" w:hAnsi="Abadi"/>
          <w:sz w:val="21"/>
          <w:szCs w:val="21"/>
        </w:rPr>
        <w:t>.</w:t>
      </w:r>
    </w:p>
    <w:p w14:paraId="785930BE" w14:textId="4670A795" w:rsidR="001328A5" w:rsidRDefault="001A77D2" w:rsidP="001A77D2">
      <w:pPr>
        <w:pStyle w:val="NormalWeb"/>
        <w:ind w:firstLine="708"/>
        <w:jc w:val="both"/>
        <w:rPr>
          <w:rFonts w:ascii="Abadi" w:hAnsi="Abadi"/>
          <w:sz w:val="21"/>
          <w:szCs w:val="21"/>
        </w:rPr>
      </w:pPr>
      <w:r>
        <w:rPr>
          <w:rFonts w:ascii="Abadi" w:hAnsi="Abadi"/>
          <w:b/>
          <w:bCs/>
          <w:sz w:val="21"/>
          <w:szCs w:val="21"/>
        </w:rPr>
        <w:t xml:space="preserve">- </w:t>
      </w:r>
      <w:r w:rsidR="001328A5" w:rsidRPr="00E66E28">
        <w:rPr>
          <w:rFonts w:ascii="Abadi" w:hAnsi="Abadi"/>
          <w:b/>
          <w:bCs/>
          <w:sz w:val="21"/>
          <w:szCs w:val="21"/>
        </w:rPr>
        <w:t xml:space="preserve">La </w:t>
      </w:r>
      <w:proofErr w:type="gramStart"/>
      <w:r w:rsidR="001328A5" w:rsidRPr="00E66E28">
        <w:rPr>
          <w:rFonts w:ascii="Abadi" w:hAnsi="Abadi"/>
          <w:b/>
          <w:bCs/>
          <w:sz w:val="21"/>
          <w:szCs w:val="21"/>
        </w:rPr>
        <w:t>Presi</w:t>
      </w:r>
      <w:r w:rsidR="001328A5">
        <w:rPr>
          <w:rFonts w:ascii="Abadi" w:hAnsi="Abadi"/>
          <w:b/>
          <w:bCs/>
          <w:sz w:val="21"/>
          <w:szCs w:val="21"/>
        </w:rPr>
        <w:t>d</w:t>
      </w:r>
      <w:r w:rsidR="001328A5" w:rsidRPr="00E66E28">
        <w:rPr>
          <w:rFonts w:ascii="Abadi" w:hAnsi="Abadi"/>
          <w:b/>
          <w:bCs/>
          <w:sz w:val="21"/>
          <w:szCs w:val="21"/>
        </w:rPr>
        <w:t>encia.-</w:t>
      </w:r>
      <w:proofErr w:type="gramEnd"/>
      <w:r w:rsidR="001328A5">
        <w:rPr>
          <w:rFonts w:ascii="Abadi" w:hAnsi="Abadi"/>
          <w:sz w:val="21"/>
          <w:szCs w:val="21"/>
        </w:rPr>
        <w:t xml:space="preserve"> Muchas gracias diputado.</w:t>
      </w:r>
    </w:p>
    <w:p w14:paraId="703C9B0A" w14:textId="569E2EED" w:rsidR="00994A68" w:rsidRDefault="001A77D2" w:rsidP="001A77D2">
      <w:pPr>
        <w:pStyle w:val="NormalWeb"/>
        <w:ind w:firstLine="708"/>
        <w:jc w:val="both"/>
        <w:rPr>
          <w:rFonts w:ascii="Abadi" w:hAnsi="Abadi"/>
          <w:sz w:val="21"/>
          <w:szCs w:val="21"/>
        </w:rPr>
      </w:pPr>
      <w:r>
        <w:rPr>
          <w:rFonts w:ascii="Abadi" w:hAnsi="Abadi"/>
          <w:b/>
          <w:bCs/>
          <w:sz w:val="21"/>
          <w:szCs w:val="21"/>
        </w:rPr>
        <w:t xml:space="preserve">- </w:t>
      </w:r>
      <w:r w:rsidR="00994A68" w:rsidRPr="00B209B3">
        <w:rPr>
          <w:rFonts w:ascii="Abadi" w:hAnsi="Abadi"/>
          <w:b/>
          <w:bCs/>
          <w:sz w:val="21"/>
          <w:szCs w:val="21"/>
        </w:rPr>
        <w:t xml:space="preserve">La </w:t>
      </w:r>
      <w:proofErr w:type="gramStart"/>
      <w:r w:rsidR="00994A68" w:rsidRPr="00B209B3">
        <w:rPr>
          <w:rFonts w:ascii="Abadi" w:hAnsi="Abadi"/>
          <w:b/>
          <w:bCs/>
          <w:sz w:val="21"/>
          <w:szCs w:val="21"/>
        </w:rPr>
        <w:t>Presidencia.</w:t>
      </w:r>
      <w:r w:rsidR="00994A68">
        <w:rPr>
          <w:rFonts w:ascii="Abadi" w:hAnsi="Abadi"/>
          <w:b/>
          <w:bCs/>
          <w:sz w:val="21"/>
          <w:szCs w:val="21"/>
        </w:rPr>
        <w:t>-</w:t>
      </w:r>
      <w:proofErr w:type="gramEnd"/>
      <w:r w:rsidR="00994A68">
        <w:rPr>
          <w:rFonts w:ascii="Abadi" w:hAnsi="Abadi"/>
          <w:b/>
          <w:bCs/>
          <w:sz w:val="21"/>
          <w:szCs w:val="21"/>
        </w:rPr>
        <w:t xml:space="preserve"> </w:t>
      </w:r>
      <w:r w:rsidR="00994A68">
        <w:rPr>
          <w:rFonts w:ascii="Abadi" w:hAnsi="Abadi"/>
          <w:sz w:val="21"/>
          <w:szCs w:val="21"/>
        </w:rPr>
        <w:t xml:space="preserve">Diputado </w:t>
      </w:r>
      <w:r w:rsidR="00994A68" w:rsidRPr="0021199F">
        <w:rPr>
          <w:rFonts w:ascii="Abadi" w:hAnsi="Abadi"/>
          <w:sz w:val="21"/>
          <w:szCs w:val="21"/>
        </w:rPr>
        <w:t xml:space="preserve">Martín López Camacho. ¿Para qué efecto? </w:t>
      </w:r>
      <w:r w:rsidR="00994A68">
        <w:rPr>
          <w:rFonts w:ascii="Abadi" w:hAnsi="Abadi"/>
          <w:sz w:val="21"/>
          <w:szCs w:val="21"/>
        </w:rPr>
        <w:t>(Voz) diputado Martín, g</w:t>
      </w:r>
      <w:r w:rsidR="00994A68" w:rsidRPr="0021199F">
        <w:rPr>
          <w:rFonts w:ascii="Abadi" w:hAnsi="Abadi"/>
          <w:sz w:val="21"/>
          <w:szCs w:val="21"/>
        </w:rPr>
        <w:t xml:space="preserve">racias, </w:t>
      </w:r>
      <w:r w:rsidR="00994A68">
        <w:rPr>
          <w:rFonts w:ascii="Abadi" w:hAnsi="Abadi"/>
          <w:sz w:val="21"/>
          <w:szCs w:val="21"/>
        </w:rPr>
        <w:t>P</w:t>
      </w:r>
      <w:r w:rsidR="00994A68" w:rsidRPr="0021199F">
        <w:rPr>
          <w:rFonts w:ascii="Abadi" w:hAnsi="Abadi"/>
          <w:sz w:val="21"/>
          <w:szCs w:val="21"/>
        </w:rPr>
        <w:t>residenta, para rectificación de hechos</w:t>
      </w:r>
      <w:r w:rsidR="00994A68">
        <w:rPr>
          <w:rFonts w:ascii="Abadi" w:hAnsi="Abadi"/>
          <w:sz w:val="21"/>
          <w:szCs w:val="21"/>
        </w:rPr>
        <w:t xml:space="preserve">, en cuanto a las cifras, </w:t>
      </w:r>
      <w:r w:rsidR="00994A68" w:rsidRPr="0021199F">
        <w:rPr>
          <w:rFonts w:ascii="Abadi" w:hAnsi="Abadi"/>
          <w:sz w:val="21"/>
          <w:szCs w:val="21"/>
        </w:rPr>
        <w:t xml:space="preserve">en cuanto </w:t>
      </w:r>
      <w:r w:rsidR="00994A68">
        <w:rPr>
          <w:rFonts w:ascii="Abadi" w:hAnsi="Abadi"/>
          <w:sz w:val="21"/>
          <w:szCs w:val="21"/>
        </w:rPr>
        <w:t xml:space="preserve">a </w:t>
      </w:r>
      <w:r w:rsidR="00994A68" w:rsidRPr="0021199F">
        <w:rPr>
          <w:rFonts w:ascii="Abadi" w:hAnsi="Abadi"/>
          <w:sz w:val="21"/>
          <w:szCs w:val="21"/>
        </w:rPr>
        <w:t>que no estamos a favor de los derechos humanos y de adjetivos este</w:t>
      </w:r>
      <w:r w:rsidR="00994A68">
        <w:rPr>
          <w:rFonts w:ascii="Abadi" w:hAnsi="Abadi"/>
          <w:sz w:val="21"/>
          <w:szCs w:val="21"/>
        </w:rPr>
        <w:t>,</w:t>
      </w:r>
      <w:r w:rsidR="00994A68" w:rsidRPr="0021199F">
        <w:rPr>
          <w:rFonts w:ascii="Abadi" w:hAnsi="Abadi"/>
          <w:sz w:val="21"/>
          <w:szCs w:val="21"/>
        </w:rPr>
        <w:t xml:space="preserve"> puestos en la persona</w:t>
      </w:r>
      <w:r w:rsidR="00994A68">
        <w:rPr>
          <w:rFonts w:ascii="Abadi" w:hAnsi="Abadi"/>
          <w:sz w:val="21"/>
          <w:szCs w:val="21"/>
        </w:rPr>
        <w:t xml:space="preserve"> del Presidente </w:t>
      </w:r>
      <w:r w:rsidR="00994A68" w:rsidRPr="0021199F">
        <w:rPr>
          <w:rFonts w:ascii="Abadi" w:hAnsi="Abadi"/>
          <w:sz w:val="21"/>
          <w:szCs w:val="21"/>
        </w:rPr>
        <w:t>de la República.</w:t>
      </w:r>
    </w:p>
    <w:p w14:paraId="6014D1FB" w14:textId="7ED7404E" w:rsidR="00994A68" w:rsidRDefault="00994A68" w:rsidP="001A77D2">
      <w:pPr>
        <w:pStyle w:val="NormalWeb"/>
        <w:ind w:firstLine="708"/>
        <w:jc w:val="both"/>
        <w:rPr>
          <w:rFonts w:ascii="Abadi" w:hAnsi="Abadi"/>
          <w:sz w:val="21"/>
          <w:szCs w:val="21"/>
        </w:rPr>
      </w:pPr>
      <w:r>
        <w:rPr>
          <w:rFonts w:ascii="Abadi" w:hAnsi="Abadi"/>
          <w:sz w:val="21"/>
          <w:szCs w:val="21"/>
        </w:rPr>
        <w:t>-</w:t>
      </w:r>
      <w:r w:rsidRPr="0021199F">
        <w:rPr>
          <w:rFonts w:ascii="Abadi" w:hAnsi="Abadi"/>
          <w:sz w:val="21"/>
          <w:szCs w:val="21"/>
        </w:rPr>
        <w:t xml:space="preserve"> Adelante, diputado</w:t>
      </w:r>
      <w:r>
        <w:rPr>
          <w:rFonts w:ascii="Abadi" w:hAnsi="Abadi"/>
          <w:sz w:val="21"/>
          <w:szCs w:val="21"/>
        </w:rPr>
        <w:t>, tiene el uso de la voz hasta por cinco minutos.</w:t>
      </w:r>
    </w:p>
    <w:p w14:paraId="34424508" w14:textId="77777777" w:rsidR="006C491F" w:rsidRDefault="006C491F" w:rsidP="006C491F">
      <w:pPr>
        <w:pStyle w:val="NormalWeb"/>
        <w:jc w:val="both"/>
        <w:rPr>
          <w:rFonts w:ascii="Abadi" w:hAnsi="Abadi"/>
          <w:b/>
          <w:bCs/>
          <w:sz w:val="21"/>
          <w:szCs w:val="21"/>
        </w:rPr>
      </w:pPr>
      <w:r w:rsidRPr="001A4FF5">
        <w:rPr>
          <w:rFonts w:ascii="Abadi" w:hAnsi="Abadi"/>
          <w:b/>
          <w:bCs/>
          <w:sz w:val="21"/>
          <w:szCs w:val="21"/>
        </w:rPr>
        <w:t>(</w:t>
      </w:r>
      <w:r>
        <w:rPr>
          <w:rFonts w:ascii="Abadi" w:hAnsi="Abadi"/>
          <w:b/>
          <w:bCs/>
          <w:sz w:val="21"/>
          <w:szCs w:val="21"/>
        </w:rPr>
        <w:t xml:space="preserve">Sube a tribuna el </w:t>
      </w:r>
      <w:r w:rsidRPr="001A4FF5">
        <w:rPr>
          <w:rFonts w:ascii="Abadi" w:hAnsi="Abadi"/>
          <w:b/>
          <w:bCs/>
          <w:sz w:val="21"/>
          <w:szCs w:val="21"/>
        </w:rPr>
        <w:t xml:space="preserve">Diputado Martín López Camacho, para rectificación de hechos </w:t>
      </w:r>
      <w:r>
        <w:rPr>
          <w:rFonts w:ascii="Abadi" w:hAnsi="Abadi"/>
          <w:b/>
          <w:bCs/>
          <w:sz w:val="21"/>
          <w:szCs w:val="21"/>
        </w:rPr>
        <w:t>del diputado quien le antecedió en el uso de la voz)</w:t>
      </w:r>
    </w:p>
    <w:p w14:paraId="0EC363AE" w14:textId="3647E21B" w:rsidR="0025236C" w:rsidRDefault="0025236C" w:rsidP="007751B5">
      <w:pPr>
        <w:pStyle w:val="NormalWeb"/>
        <w:jc w:val="both"/>
        <w:rPr>
          <w:rFonts w:ascii="Abadi" w:hAnsi="Abadi"/>
          <w:sz w:val="21"/>
          <w:szCs w:val="21"/>
        </w:rPr>
      </w:pPr>
      <w:r>
        <w:rPr>
          <w:noProof/>
        </w:rPr>
        <w:drawing>
          <wp:anchor distT="0" distB="0" distL="114300" distR="114300" simplePos="0" relativeHeight="251658246" behindDoc="1" locked="0" layoutInCell="1" allowOverlap="1" wp14:anchorId="28AE8805" wp14:editId="3D40CF4D">
            <wp:simplePos x="0" y="0"/>
            <wp:positionH relativeFrom="column">
              <wp:posOffset>215025</wp:posOffset>
            </wp:positionH>
            <wp:positionV relativeFrom="paragraph">
              <wp:posOffset>232110</wp:posOffset>
            </wp:positionV>
            <wp:extent cx="1848894" cy="974785"/>
            <wp:effectExtent l="0" t="133350" r="0" b="758825"/>
            <wp:wrapTight wrapText="bothSides">
              <wp:wrapPolygon edited="0">
                <wp:start x="11798" y="-2955"/>
                <wp:lineTo x="0" y="-2111"/>
                <wp:lineTo x="445" y="37993"/>
                <wp:lineTo x="3116" y="37993"/>
                <wp:lineTo x="3339" y="37149"/>
                <wp:lineTo x="20034" y="31661"/>
                <wp:lineTo x="20257" y="4644"/>
                <wp:lineTo x="19812" y="-1689"/>
                <wp:lineTo x="19812" y="-2955"/>
                <wp:lineTo x="11798" y="-2955"/>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b="6263"/>
                    <a:stretch/>
                  </pic:blipFill>
                  <pic:spPr bwMode="auto">
                    <a:xfrm>
                      <a:off x="0" y="0"/>
                      <a:ext cx="1848894" cy="97478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70BE9C79" w14:textId="4B4A9659" w:rsidR="0025236C" w:rsidRDefault="0025236C" w:rsidP="007751B5">
      <w:pPr>
        <w:pStyle w:val="NormalWeb"/>
        <w:jc w:val="both"/>
        <w:rPr>
          <w:rFonts w:ascii="Abadi" w:hAnsi="Abadi"/>
          <w:sz w:val="21"/>
          <w:szCs w:val="21"/>
        </w:rPr>
      </w:pPr>
    </w:p>
    <w:p w14:paraId="37094F3B" w14:textId="77777777" w:rsidR="0025236C" w:rsidRDefault="0025236C" w:rsidP="007751B5">
      <w:pPr>
        <w:pStyle w:val="NormalWeb"/>
        <w:jc w:val="both"/>
        <w:rPr>
          <w:rFonts w:ascii="Abadi" w:hAnsi="Abadi"/>
          <w:sz w:val="21"/>
          <w:szCs w:val="21"/>
        </w:rPr>
      </w:pPr>
    </w:p>
    <w:p w14:paraId="2CF5703D" w14:textId="7EB9F2D5" w:rsidR="0025236C" w:rsidRDefault="0025236C" w:rsidP="007751B5">
      <w:pPr>
        <w:pStyle w:val="NormalWeb"/>
        <w:jc w:val="both"/>
        <w:rPr>
          <w:rFonts w:ascii="Abadi" w:hAnsi="Abadi"/>
          <w:sz w:val="21"/>
          <w:szCs w:val="21"/>
        </w:rPr>
      </w:pPr>
    </w:p>
    <w:p w14:paraId="3EA5CB17" w14:textId="5722E8A0" w:rsidR="0025236C" w:rsidRDefault="0025236C" w:rsidP="007751B5">
      <w:pPr>
        <w:pStyle w:val="NormalWeb"/>
        <w:jc w:val="both"/>
        <w:rPr>
          <w:rFonts w:ascii="Abadi" w:hAnsi="Abadi"/>
          <w:sz w:val="21"/>
          <w:szCs w:val="21"/>
        </w:rPr>
      </w:pPr>
    </w:p>
    <w:p w14:paraId="6511EB95" w14:textId="77777777" w:rsidR="0025236C" w:rsidRDefault="0025236C" w:rsidP="001A77D2">
      <w:pPr>
        <w:pStyle w:val="NormalWeb"/>
        <w:ind w:firstLine="708"/>
        <w:jc w:val="both"/>
        <w:rPr>
          <w:rFonts w:ascii="Abadi" w:hAnsi="Abadi"/>
          <w:sz w:val="21"/>
          <w:szCs w:val="21"/>
        </w:rPr>
      </w:pPr>
    </w:p>
    <w:p w14:paraId="19C8740F" w14:textId="11F48EA7" w:rsidR="00994A68" w:rsidRDefault="0025236C" w:rsidP="0025236C">
      <w:pPr>
        <w:pStyle w:val="NormalWeb"/>
        <w:jc w:val="both"/>
        <w:rPr>
          <w:rFonts w:ascii="Abadi" w:hAnsi="Abadi"/>
          <w:sz w:val="21"/>
          <w:szCs w:val="21"/>
        </w:rPr>
      </w:pPr>
      <w:r>
        <w:rPr>
          <w:rFonts w:ascii="Abadi" w:hAnsi="Abadi"/>
          <w:sz w:val="21"/>
          <w:szCs w:val="21"/>
        </w:rPr>
        <w:t xml:space="preserve">- </w:t>
      </w:r>
      <w:r w:rsidR="00994A68" w:rsidRPr="0021199F">
        <w:rPr>
          <w:rFonts w:ascii="Abadi" w:hAnsi="Abadi"/>
          <w:sz w:val="21"/>
          <w:szCs w:val="21"/>
        </w:rPr>
        <w:t xml:space="preserve">De verdad que con todo el respeto al diputado David, que me </w:t>
      </w:r>
      <w:r w:rsidR="00994A68">
        <w:rPr>
          <w:rFonts w:ascii="Abadi" w:hAnsi="Abadi"/>
          <w:sz w:val="21"/>
          <w:szCs w:val="21"/>
        </w:rPr>
        <w:t xml:space="preserve">antecede en el uso de la voz, pero pues quien </w:t>
      </w:r>
      <w:r w:rsidR="00994A68" w:rsidRPr="0021199F">
        <w:rPr>
          <w:rFonts w:ascii="Abadi" w:hAnsi="Abadi"/>
          <w:sz w:val="21"/>
          <w:szCs w:val="21"/>
        </w:rPr>
        <w:t xml:space="preserve">habló de defender a las personas que cometen delitos y privan de la vida, pues fue el </w:t>
      </w:r>
      <w:r w:rsidR="00994A68">
        <w:rPr>
          <w:rFonts w:ascii="Abadi" w:hAnsi="Abadi"/>
          <w:sz w:val="21"/>
          <w:szCs w:val="21"/>
        </w:rPr>
        <w:t>P</w:t>
      </w:r>
      <w:r w:rsidR="00994A68" w:rsidRPr="0021199F">
        <w:rPr>
          <w:rFonts w:ascii="Abadi" w:hAnsi="Abadi"/>
          <w:sz w:val="21"/>
          <w:szCs w:val="21"/>
        </w:rPr>
        <w:t>residente de la República</w:t>
      </w:r>
      <w:r w:rsidR="00994A68">
        <w:rPr>
          <w:rFonts w:ascii="Abadi" w:hAnsi="Abadi"/>
          <w:sz w:val="21"/>
          <w:szCs w:val="21"/>
        </w:rPr>
        <w:t>, n</w:t>
      </w:r>
      <w:r w:rsidR="00994A68" w:rsidRPr="0021199F">
        <w:rPr>
          <w:rFonts w:ascii="Abadi" w:hAnsi="Abadi"/>
          <w:sz w:val="21"/>
          <w:szCs w:val="21"/>
        </w:rPr>
        <w:t>o lo dijo</w:t>
      </w:r>
      <w:r w:rsidR="00994A68">
        <w:rPr>
          <w:rFonts w:ascii="Abadi" w:hAnsi="Abadi"/>
          <w:sz w:val="21"/>
          <w:szCs w:val="21"/>
        </w:rPr>
        <w:t xml:space="preserve"> </w:t>
      </w:r>
      <w:r w:rsidR="00994A68" w:rsidRPr="0021199F">
        <w:rPr>
          <w:rFonts w:ascii="Abadi" w:hAnsi="Abadi"/>
          <w:sz w:val="21"/>
          <w:szCs w:val="21"/>
        </w:rPr>
        <w:t>Acción Nacional</w:t>
      </w:r>
      <w:r w:rsidR="00994A68">
        <w:rPr>
          <w:rFonts w:ascii="Abadi" w:hAnsi="Abadi"/>
          <w:sz w:val="21"/>
          <w:szCs w:val="21"/>
        </w:rPr>
        <w:t>, s</w:t>
      </w:r>
      <w:r w:rsidR="00994A68" w:rsidRPr="0021199F">
        <w:rPr>
          <w:rFonts w:ascii="Abadi" w:hAnsi="Abadi"/>
          <w:sz w:val="21"/>
          <w:szCs w:val="21"/>
        </w:rPr>
        <w:t>i el</w:t>
      </w:r>
      <w:r w:rsidR="00994A68">
        <w:rPr>
          <w:rFonts w:ascii="Abadi" w:hAnsi="Abadi"/>
          <w:sz w:val="21"/>
          <w:szCs w:val="21"/>
        </w:rPr>
        <w:t xml:space="preserve"> P</w:t>
      </w:r>
      <w:r w:rsidR="00994A68" w:rsidRPr="0021199F">
        <w:rPr>
          <w:rFonts w:ascii="Abadi" w:hAnsi="Abadi"/>
          <w:sz w:val="21"/>
          <w:szCs w:val="21"/>
        </w:rPr>
        <w:t xml:space="preserve">residente no quiere tocar con un pétalo de justicia los que cometen delitos, pues es cuestión del </w:t>
      </w:r>
      <w:r w:rsidR="00994A68">
        <w:rPr>
          <w:rFonts w:ascii="Abadi" w:hAnsi="Abadi"/>
          <w:sz w:val="21"/>
          <w:szCs w:val="21"/>
        </w:rPr>
        <w:t>P</w:t>
      </w:r>
      <w:r w:rsidR="00994A68" w:rsidRPr="0021199F">
        <w:rPr>
          <w:rFonts w:ascii="Abadi" w:hAnsi="Abadi"/>
          <w:sz w:val="21"/>
          <w:szCs w:val="21"/>
        </w:rPr>
        <w:t>residente de la República, s</w:t>
      </w:r>
      <w:r w:rsidR="00994A68">
        <w:rPr>
          <w:rFonts w:ascii="Abadi" w:hAnsi="Abadi"/>
          <w:sz w:val="21"/>
          <w:szCs w:val="21"/>
        </w:rPr>
        <w:t xml:space="preserve">i en </w:t>
      </w:r>
      <w:r w:rsidR="00994A68" w:rsidRPr="0021199F">
        <w:rPr>
          <w:rFonts w:ascii="Abadi" w:hAnsi="Abadi"/>
          <w:sz w:val="21"/>
          <w:szCs w:val="21"/>
        </w:rPr>
        <w:t xml:space="preserve">su discurso mantiene una protección más. Ah, </w:t>
      </w:r>
      <w:r w:rsidR="00994A68">
        <w:rPr>
          <w:rFonts w:ascii="Abadi" w:hAnsi="Abadi"/>
          <w:sz w:val="21"/>
          <w:szCs w:val="21"/>
        </w:rPr>
        <w:t xml:space="preserve">asesinos, a extorsionadores, </w:t>
      </w:r>
      <w:r w:rsidR="00994A68" w:rsidRPr="0021199F">
        <w:rPr>
          <w:rFonts w:ascii="Abadi" w:hAnsi="Abadi"/>
          <w:sz w:val="21"/>
          <w:szCs w:val="21"/>
        </w:rPr>
        <w:t>secuestradores, delincuencia organizada y no habla de las víctimas</w:t>
      </w:r>
      <w:r w:rsidR="00994A68">
        <w:rPr>
          <w:rFonts w:ascii="Abadi" w:hAnsi="Abadi"/>
          <w:sz w:val="21"/>
          <w:szCs w:val="21"/>
        </w:rPr>
        <w:t>, q</w:t>
      </w:r>
      <w:r w:rsidR="00994A68" w:rsidRPr="0021199F">
        <w:rPr>
          <w:rFonts w:ascii="Abadi" w:hAnsi="Abadi"/>
          <w:sz w:val="21"/>
          <w:szCs w:val="21"/>
        </w:rPr>
        <w:t>ué se puede decir</w:t>
      </w:r>
      <w:r w:rsidR="00994A68">
        <w:rPr>
          <w:rFonts w:ascii="Abadi" w:hAnsi="Abadi"/>
          <w:sz w:val="21"/>
          <w:szCs w:val="21"/>
        </w:rPr>
        <w:t>,</w:t>
      </w:r>
      <w:r w:rsidR="00994A68" w:rsidRPr="0021199F">
        <w:rPr>
          <w:rFonts w:ascii="Abadi" w:hAnsi="Abadi"/>
          <w:sz w:val="21"/>
          <w:szCs w:val="21"/>
        </w:rPr>
        <w:t xml:space="preserve"> si el </w:t>
      </w:r>
      <w:r w:rsidR="00994A68">
        <w:rPr>
          <w:rFonts w:ascii="Abadi" w:hAnsi="Abadi"/>
          <w:sz w:val="21"/>
          <w:szCs w:val="21"/>
        </w:rPr>
        <w:t>P</w:t>
      </w:r>
      <w:r w:rsidR="00994A68" w:rsidRPr="0021199F">
        <w:rPr>
          <w:rFonts w:ascii="Abadi" w:hAnsi="Abadi"/>
          <w:sz w:val="21"/>
          <w:szCs w:val="21"/>
        </w:rPr>
        <w:t>residente, con ese discurso a</w:t>
      </w:r>
      <w:r w:rsidR="00994A68">
        <w:rPr>
          <w:rFonts w:ascii="Abadi" w:hAnsi="Abadi"/>
          <w:sz w:val="21"/>
          <w:szCs w:val="21"/>
        </w:rPr>
        <w:t>valo ver</w:t>
      </w:r>
      <w:r w:rsidR="00994A68" w:rsidRPr="0021199F">
        <w:rPr>
          <w:rFonts w:ascii="Abadi" w:hAnsi="Abadi"/>
          <w:sz w:val="21"/>
          <w:szCs w:val="21"/>
        </w:rPr>
        <w:t xml:space="preserve"> en un estado aquí, cerca de Guanajuato, patrullas de militares huyendo de la delincuencia organizada</w:t>
      </w:r>
      <w:r w:rsidR="00994A68">
        <w:rPr>
          <w:rFonts w:ascii="Abadi" w:hAnsi="Abadi"/>
          <w:sz w:val="21"/>
          <w:szCs w:val="21"/>
        </w:rPr>
        <w:t>, h</w:t>
      </w:r>
      <w:r w:rsidR="00994A68" w:rsidRPr="0021199F">
        <w:rPr>
          <w:rFonts w:ascii="Abadi" w:hAnsi="Abadi"/>
          <w:sz w:val="21"/>
          <w:szCs w:val="21"/>
        </w:rPr>
        <w:t xml:space="preserve">abrá que ver </w:t>
      </w:r>
      <w:r w:rsidR="00994A68">
        <w:rPr>
          <w:rFonts w:ascii="Abadi" w:hAnsi="Abadi"/>
          <w:sz w:val="21"/>
          <w:szCs w:val="21"/>
        </w:rPr>
        <w:t xml:space="preserve">¡no! </w:t>
      </w:r>
      <w:r w:rsidR="00994A68" w:rsidRPr="0021199F">
        <w:rPr>
          <w:rFonts w:ascii="Abadi" w:hAnsi="Abadi"/>
          <w:sz w:val="21"/>
          <w:szCs w:val="21"/>
        </w:rPr>
        <w:t>cuál es el compromiso</w:t>
      </w:r>
      <w:r w:rsidR="00994A68">
        <w:rPr>
          <w:rFonts w:ascii="Abadi" w:hAnsi="Abadi"/>
          <w:sz w:val="21"/>
          <w:szCs w:val="21"/>
        </w:rPr>
        <w:t xml:space="preserve">, y </w:t>
      </w:r>
      <w:r w:rsidR="00994A68" w:rsidRPr="0021199F">
        <w:rPr>
          <w:rFonts w:ascii="Abadi" w:hAnsi="Abadi"/>
          <w:sz w:val="21"/>
          <w:szCs w:val="21"/>
        </w:rPr>
        <w:t>respecto a las cifras, pues podemos citar muchas fuentes, no</w:t>
      </w:r>
      <w:r w:rsidR="00994A68">
        <w:rPr>
          <w:rFonts w:ascii="Abadi" w:hAnsi="Abadi"/>
          <w:sz w:val="21"/>
          <w:szCs w:val="21"/>
        </w:rPr>
        <w:t>, p</w:t>
      </w:r>
      <w:r w:rsidR="00994A68" w:rsidRPr="0021199F">
        <w:rPr>
          <w:rFonts w:ascii="Abadi" w:hAnsi="Abadi"/>
          <w:sz w:val="21"/>
          <w:szCs w:val="21"/>
        </w:rPr>
        <w:t>ero pues la</w:t>
      </w:r>
      <w:r w:rsidR="00994A68">
        <w:rPr>
          <w:rFonts w:ascii="Abadi" w:hAnsi="Abadi"/>
          <w:sz w:val="21"/>
          <w:szCs w:val="21"/>
        </w:rPr>
        <w:t>s</w:t>
      </w:r>
      <w:r w:rsidR="00994A68" w:rsidRPr="0021199F">
        <w:rPr>
          <w:rFonts w:ascii="Abadi" w:hAnsi="Abadi"/>
          <w:sz w:val="21"/>
          <w:szCs w:val="21"/>
        </w:rPr>
        <w:t xml:space="preserve"> cifras oficiales son las del </w:t>
      </w:r>
      <w:r w:rsidR="00994A68">
        <w:rPr>
          <w:rFonts w:ascii="Abadi" w:hAnsi="Abadi"/>
          <w:sz w:val="21"/>
          <w:szCs w:val="21"/>
        </w:rPr>
        <w:t xml:space="preserve">Secretario Ejecutivo Nacional, </w:t>
      </w:r>
      <w:r w:rsidR="00994A68" w:rsidRPr="0021199F">
        <w:rPr>
          <w:rFonts w:ascii="Abadi" w:hAnsi="Abadi"/>
          <w:sz w:val="21"/>
          <w:szCs w:val="21"/>
        </w:rPr>
        <w:t xml:space="preserve"> </w:t>
      </w:r>
      <w:r w:rsidR="00994A68">
        <w:rPr>
          <w:rFonts w:ascii="Abadi" w:hAnsi="Abadi"/>
          <w:sz w:val="21"/>
          <w:szCs w:val="21"/>
        </w:rPr>
        <w:t xml:space="preserve">no hay otras </w:t>
      </w:r>
      <w:r w:rsidR="00994A68" w:rsidRPr="0021199F">
        <w:rPr>
          <w:rFonts w:ascii="Abadi" w:hAnsi="Abadi"/>
          <w:sz w:val="21"/>
          <w:szCs w:val="21"/>
        </w:rPr>
        <w:t xml:space="preserve">incluso en una en un ejercicio y en una presión que hizo el propio </w:t>
      </w:r>
      <w:r w:rsidR="00994A68">
        <w:rPr>
          <w:rFonts w:ascii="Abadi" w:hAnsi="Abadi"/>
          <w:sz w:val="21"/>
          <w:szCs w:val="21"/>
        </w:rPr>
        <w:t>P</w:t>
      </w:r>
      <w:r w:rsidR="00994A68" w:rsidRPr="0021199F">
        <w:rPr>
          <w:rFonts w:ascii="Abadi" w:hAnsi="Abadi"/>
          <w:sz w:val="21"/>
          <w:szCs w:val="21"/>
        </w:rPr>
        <w:t xml:space="preserve">residente de la República </w:t>
      </w:r>
      <w:r w:rsidR="00994A68">
        <w:rPr>
          <w:rFonts w:ascii="Abadi" w:hAnsi="Abadi"/>
          <w:sz w:val="21"/>
          <w:szCs w:val="21"/>
        </w:rPr>
        <w:t>desde</w:t>
      </w:r>
      <w:r w:rsidR="00994A68" w:rsidRPr="0021199F">
        <w:rPr>
          <w:rFonts w:ascii="Abadi" w:hAnsi="Abadi"/>
          <w:sz w:val="21"/>
          <w:szCs w:val="21"/>
        </w:rPr>
        <w:t xml:space="preserve"> </w:t>
      </w:r>
      <w:r w:rsidR="00994A68">
        <w:rPr>
          <w:rFonts w:ascii="Abadi" w:hAnsi="Abadi"/>
          <w:sz w:val="21"/>
          <w:szCs w:val="21"/>
        </w:rPr>
        <w:t xml:space="preserve">el </w:t>
      </w:r>
      <w:r w:rsidR="00994A68" w:rsidRPr="0021199F">
        <w:rPr>
          <w:rFonts w:ascii="Abadi" w:hAnsi="Abadi"/>
          <w:sz w:val="21"/>
          <w:szCs w:val="21"/>
        </w:rPr>
        <w:t xml:space="preserve">inició su mandato que fuese a través de distintas mesas y ejercicios en que los estados se coordinarán para que los resultados que se traducen en </w:t>
      </w:r>
      <w:r w:rsidR="00994A68">
        <w:rPr>
          <w:rFonts w:ascii="Abadi" w:hAnsi="Abadi"/>
          <w:sz w:val="21"/>
          <w:szCs w:val="21"/>
        </w:rPr>
        <w:t>cifras, fuese esta la fuente.</w:t>
      </w:r>
    </w:p>
    <w:p w14:paraId="3A19302D" w14:textId="170F5CD3" w:rsidR="00994A68" w:rsidRDefault="001A77D2" w:rsidP="001A77D2">
      <w:pPr>
        <w:pStyle w:val="NormalWeb"/>
        <w:ind w:firstLine="708"/>
        <w:jc w:val="both"/>
        <w:rPr>
          <w:rFonts w:ascii="Abadi" w:hAnsi="Abadi"/>
          <w:sz w:val="21"/>
          <w:szCs w:val="21"/>
        </w:rPr>
      </w:pPr>
      <w:r>
        <w:rPr>
          <w:rFonts w:ascii="Abadi" w:hAnsi="Abadi"/>
          <w:sz w:val="21"/>
          <w:szCs w:val="21"/>
        </w:rPr>
        <w:t xml:space="preserve">- </w:t>
      </w:r>
      <w:r w:rsidR="00994A68" w:rsidRPr="0021199F">
        <w:rPr>
          <w:rFonts w:ascii="Abadi" w:hAnsi="Abadi"/>
          <w:sz w:val="21"/>
          <w:szCs w:val="21"/>
        </w:rPr>
        <w:t xml:space="preserve">Entonces se desconoce completamente esto </w:t>
      </w:r>
      <w:r w:rsidR="00994A68">
        <w:rPr>
          <w:rFonts w:ascii="Abadi" w:hAnsi="Abadi"/>
          <w:sz w:val="21"/>
          <w:szCs w:val="21"/>
        </w:rPr>
        <w:t>y</w:t>
      </w:r>
      <w:r w:rsidR="00994A68" w:rsidRPr="0021199F">
        <w:rPr>
          <w:rFonts w:ascii="Abadi" w:hAnsi="Abadi"/>
          <w:sz w:val="21"/>
          <w:szCs w:val="21"/>
        </w:rPr>
        <w:t xml:space="preserve"> por supuesto, por supuesto que estamos a favor de los derechos humanos, pero también de un derecho de acceso a la justicia donde una persona que enfrenta una acción penal, por supuesto la debida y adecuada defensa, deben respetarse le como derechos humanos</w:t>
      </w:r>
      <w:r w:rsidR="00994A68">
        <w:rPr>
          <w:rFonts w:ascii="Abadi" w:hAnsi="Abadi"/>
          <w:sz w:val="21"/>
          <w:szCs w:val="21"/>
        </w:rPr>
        <w:t>, pero</w:t>
      </w:r>
      <w:r w:rsidR="00994A68" w:rsidRPr="0021199F">
        <w:rPr>
          <w:rFonts w:ascii="Abadi" w:hAnsi="Abadi"/>
          <w:sz w:val="21"/>
          <w:szCs w:val="21"/>
        </w:rPr>
        <w:t xml:space="preserve"> para Acción Nacional no está antes el delincuente que la víctima</w:t>
      </w:r>
      <w:r w:rsidR="00994A68">
        <w:rPr>
          <w:rFonts w:ascii="Abadi" w:hAnsi="Abadi"/>
          <w:sz w:val="21"/>
          <w:szCs w:val="21"/>
        </w:rPr>
        <w:t>.</w:t>
      </w:r>
    </w:p>
    <w:p w14:paraId="735A082F" w14:textId="34591F4D" w:rsidR="00994A68" w:rsidRDefault="001A77D2" w:rsidP="001A77D2">
      <w:pPr>
        <w:pStyle w:val="NormalWeb"/>
        <w:ind w:firstLine="708"/>
        <w:jc w:val="both"/>
        <w:rPr>
          <w:rFonts w:ascii="Abadi" w:hAnsi="Abadi"/>
          <w:sz w:val="21"/>
          <w:szCs w:val="21"/>
        </w:rPr>
      </w:pPr>
      <w:r>
        <w:rPr>
          <w:rFonts w:ascii="Abadi" w:hAnsi="Abadi"/>
          <w:sz w:val="21"/>
          <w:szCs w:val="21"/>
        </w:rPr>
        <w:t xml:space="preserve">- </w:t>
      </w:r>
      <w:r w:rsidR="00994A68" w:rsidRPr="0021199F">
        <w:rPr>
          <w:rFonts w:ascii="Abadi" w:hAnsi="Abadi"/>
          <w:sz w:val="21"/>
          <w:szCs w:val="21"/>
        </w:rPr>
        <w:t>Muchas gracias</w:t>
      </w:r>
      <w:r w:rsidR="00994A68">
        <w:rPr>
          <w:rFonts w:ascii="Abadi" w:hAnsi="Abadi"/>
          <w:sz w:val="21"/>
          <w:szCs w:val="21"/>
        </w:rPr>
        <w:t xml:space="preserve">. </w:t>
      </w:r>
    </w:p>
    <w:p w14:paraId="5FF8EB1C" w14:textId="60D22EEE" w:rsidR="00994A68" w:rsidRDefault="00994A68" w:rsidP="00E74B50">
      <w:pPr>
        <w:pStyle w:val="NormalWeb"/>
        <w:ind w:firstLine="708"/>
        <w:jc w:val="both"/>
        <w:rPr>
          <w:rFonts w:ascii="Abadi" w:hAnsi="Abadi"/>
          <w:sz w:val="21"/>
          <w:szCs w:val="21"/>
        </w:rPr>
      </w:pPr>
      <w:r>
        <w:rPr>
          <w:rFonts w:ascii="Abadi" w:hAnsi="Abadi"/>
          <w:b/>
          <w:bCs/>
          <w:sz w:val="21"/>
          <w:szCs w:val="21"/>
        </w:rPr>
        <w:t>-</w:t>
      </w:r>
      <w:r w:rsidR="00E74B50">
        <w:rPr>
          <w:rFonts w:ascii="Abadi" w:hAnsi="Abadi"/>
          <w:b/>
          <w:bCs/>
          <w:sz w:val="21"/>
          <w:szCs w:val="21"/>
        </w:rPr>
        <w:t xml:space="preserve"> </w:t>
      </w:r>
      <w:r w:rsidRPr="000D3C22">
        <w:rPr>
          <w:rFonts w:ascii="Abadi" w:hAnsi="Abadi"/>
          <w:b/>
          <w:bCs/>
          <w:sz w:val="21"/>
          <w:szCs w:val="21"/>
        </w:rPr>
        <w:t xml:space="preserve">La </w:t>
      </w:r>
      <w:proofErr w:type="gramStart"/>
      <w:r w:rsidRPr="000D3C22">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 xml:space="preserve">Muchas </w:t>
      </w:r>
      <w:r>
        <w:rPr>
          <w:rFonts w:ascii="Abadi" w:hAnsi="Abadi"/>
          <w:sz w:val="21"/>
          <w:szCs w:val="21"/>
        </w:rPr>
        <w:t>gracias, diputado</w:t>
      </w:r>
      <w:r w:rsidRPr="0021199F">
        <w:rPr>
          <w:rFonts w:ascii="Abadi" w:hAnsi="Abadi"/>
          <w:sz w:val="21"/>
          <w:szCs w:val="21"/>
        </w:rPr>
        <w:t xml:space="preserve">. </w:t>
      </w:r>
    </w:p>
    <w:p w14:paraId="6B606AB5" w14:textId="2B5378BF" w:rsidR="00994A68" w:rsidRDefault="001A77D2" w:rsidP="001A77D2">
      <w:pPr>
        <w:pStyle w:val="NormalWeb"/>
        <w:ind w:firstLine="708"/>
        <w:jc w:val="both"/>
        <w:rPr>
          <w:rFonts w:ascii="Abadi" w:hAnsi="Abadi"/>
          <w:sz w:val="21"/>
          <w:szCs w:val="21"/>
        </w:rPr>
      </w:pPr>
      <w:r>
        <w:rPr>
          <w:rFonts w:ascii="Abadi" w:hAnsi="Abadi"/>
          <w:sz w:val="21"/>
          <w:szCs w:val="21"/>
        </w:rPr>
        <w:t xml:space="preserve">- </w:t>
      </w:r>
      <w:r w:rsidR="00994A68" w:rsidRPr="0021199F">
        <w:rPr>
          <w:rFonts w:ascii="Abadi" w:hAnsi="Abadi"/>
          <w:sz w:val="21"/>
          <w:szCs w:val="21"/>
        </w:rPr>
        <w:t>Diputado, diputado David</w:t>
      </w:r>
      <w:r w:rsidR="00994A68">
        <w:rPr>
          <w:rFonts w:ascii="Abadi" w:hAnsi="Abadi"/>
          <w:sz w:val="21"/>
          <w:szCs w:val="21"/>
        </w:rPr>
        <w:t xml:space="preserve"> Martínez, ¿para qué hechos? (Voz) diputado David, para rectificación de hechos, «que en la visión </w:t>
      </w:r>
      <w:r w:rsidR="00994A68" w:rsidRPr="0021199F">
        <w:rPr>
          <w:rFonts w:ascii="Abadi" w:hAnsi="Abadi"/>
          <w:sz w:val="21"/>
          <w:szCs w:val="21"/>
        </w:rPr>
        <w:t xml:space="preserve">del </w:t>
      </w:r>
      <w:r w:rsidR="00994A68">
        <w:rPr>
          <w:rFonts w:ascii="Abadi" w:hAnsi="Abadi"/>
          <w:sz w:val="21"/>
          <w:szCs w:val="21"/>
        </w:rPr>
        <w:t>Presidente</w:t>
      </w:r>
      <w:r w:rsidR="00994A68" w:rsidRPr="0021199F">
        <w:rPr>
          <w:rFonts w:ascii="Abadi" w:hAnsi="Abadi"/>
          <w:sz w:val="21"/>
          <w:szCs w:val="21"/>
        </w:rPr>
        <w:t xml:space="preserve"> están primero los delincuentes que las ví</w:t>
      </w:r>
      <w:r w:rsidR="00994A68">
        <w:rPr>
          <w:rFonts w:ascii="Abadi" w:hAnsi="Abadi"/>
          <w:sz w:val="21"/>
          <w:szCs w:val="21"/>
        </w:rPr>
        <w:t>ctimas» (Voz) diputada Presidenta, permítame tantito, nada más por favor, diputado Armando ¿para qué efecto? (Voz) diputado Armando Rangel, ¿para qué efecto?</w:t>
      </w:r>
      <w:r w:rsidR="00994A68" w:rsidRPr="0021199F">
        <w:rPr>
          <w:rFonts w:ascii="Abadi" w:hAnsi="Abadi"/>
          <w:sz w:val="21"/>
          <w:szCs w:val="21"/>
        </w:rPr>
        <w:t xml:space="preserve"> </w:t>
      </w:r>
      <w:r w:rsidR="00994A68">
        <w:rPr>
          <w:rFonts w:ascii="Abadi" w:hAnsi="Abadi"/>
          <w:sz w:val="21"/>
          <w:szCs w:val="21"/>
        </w:rPr>
        <w:t xml:space="preserve"> (Voz) diputado Armando, c</w:t>
      </w:r>
      <w:r w:rsidR="00994A68" w:rsidRPr="0021199F">
        <w:rPr>
          <w:rFonts w:ascii="Abadi" w:hAnsi="Abadi"/>
          <w:sz w:val="21"/>
          <w:szCs w:val="21"/>
        </w:rPr>
        <w:t>reo que ambos oradores están alejándose del motivo del debate Diputada</w:t>
      </w:r>
      <w:r w:rsidR="00994A68">
        <w:rPr>
          <w:rFonts w:ascii="Abadi" w:hAnsi="Abadi"/>
          <w:sz w:val="21"/>
          <w:szCs w:val="21"/>
        </w:rPr>
        <w:t xml:space="preserve"> Presidente</w:t>
      </w:r>
      <w:r w:rsidR="00994A68" w:rsidRPr="0021199F">
        <w:rPr>
          <w:rFonts w:ascii="Abadi" w:hAnsi="Abadi"/>
          <w:sz w:val="21"/>
          <w:szCs w:val="21"/>
        </w:rPr>
        <w:t xml:space="preserve">, porque </w:t>
      </w:r>
      <w:r w:rsidR="00994A68">
        <w:rPr>
          <w:rFonts w:ascii="Abadi" w:hAnsi="Abadi"/>
          <w:sz w:val="21"/>
          <w:szCs w:val="21"/>
        </w:rPr>
        <w:t xml:space="preserve">están estando al </w:t>
      </w:r>
      <w:r w:rsidR="00994A68" w:rsidRPr="0021199F">
        <w:rPr>
          <w:rFonts w:ascii="Abadi" w:hAnsi="Abadi"/>
          <w:sz w:val="21"/>
          <w:szCs w:val="21"/>
        </w:rPr>
        <w:t>fondo del asunto y creo que también de manera inadecuada</w:t>
      </w:r>
      <w:r w:rsidR="00994A68">
        <w:rPr>
          <w:rFonts w:ascii="Abadi" w:hAnsi="Abadi"/>
          <w:sz w:val="21"/>
          <w:szCs w:val="21"/>
        </w:rPr>
        <w:t>, a</w:t>
      </w:r>
      <w:r w:rsidR="00994A68" w:rsidRPr="0021199F">
        <w:rPr>
          <w:rFonts w:ascii="Abadi" w:hAnsi="Abadi"/>
          <w:sz w:val="21"/>
          <w:szCs w:val="21"/>
        </w:rPr>
        <w:t xml:space="preserve">mbos están no discutiendo si es conveniente o no </w:t>
      </w:r>
      <w:r w:rsidR="00994A68">
        <w:rPr>
          <w:rFonts w:ascii="Abadi" w:hAnsi="Abadi"/>
          <w:sz w:val="21"/>
          <w:szCs w:val="21"/>
        </w:rPr>
        <w:t>proceder</w:t>
      </w:r>
      <w:r w:rsidR="00994A68" w:rsidRPr="0021199F">
        <w:rPr>
          <w:rFonts w:ascii="Abadi" w:hAnsi="Abadi"/>
          <w:sz w:val="21"/>
          <w:szCs w:val="21"/>
        </w:rPr>
        <w:t xml:space="preserve"> con la obvia. Creo que lo que correspondería </w:t>
      </w:r>
      <w:r w:rsidR="00994A68">
        <w:rPr>
          <w:rFonts w:ascii="Abadi" w:hAnsi="Abadi"/>
          <w:sz w:val="21"/>
          <w:szCs w:val="21"/>
        </w:rPr>
        <w:t xml:space="preserve">es </w:t>
      </w:r>
      <w:r w:rsidR="00994A68" w:rsidRPr="0021199F">
        <w:rPr>
          <w:rFonts w:ascii="Abadi" w:hAnsi="Abadi"/>
          <w:sz w:val="21"/>
          <w:szCs w:val="21"/>
        </w:rPr>
        <w:t xml:space="preserve">o ceñirse eso o, en su defecto, proceder a votación </w:t>
      </w:r>
      <w:r w:rsidR="00994A68">
        <w:rPr>
          <w:rFonts w:ascii="Abadi" w:hAnsi="Abadi"/>
          <w:sz w:val="21"/>
          <w:szCs w:val="21"/>
        </w:rPr>
        <w:t>si el Pleno</w:t>
      </w:r>
      <w:r w:rsidR="00994A68" w:rsidRPr="0021199F">
        <w:rPr>
          <w:rFonts w:ascii="Abadi" w:hAnsi="Abadi"/>
          <w:sz w:val="21"/>
          <w:szCs w:val="21"/>
        </w:rPr>
        <w:t xml:space="preserve"> acepta o no la obvia, pero creo y lo digo, ambos están incurriendo en esa en esa actitud. </w:t>
      </w:r>
    </w:p>
    <w:p w14:paraId="6CEAA447" w14:textId="57B11572" w:rsidR="00994A68" w:rsidRDefault="001A77D2" w:rsidP="001A77D2">
      <w:pPr>
        <w:pStyle w:val="NormalWeb"/>
        <w:ind w:firstLine="708"/>
        <w:jc w:val="both"/>
        <w:rPr>
          <w:rFonts w:ascii="Abadi" w:hAnsi="Abadi"/>
          <w:sz w:val="21"/>
          <w:szCs w:val="21"/>
        </w:rPr>
      </w:pPr>
      <w:r>
        <w:rPr>
          <w:rFonts w:ascii="Abadi" w:hAnsi="Abadi"/>
          <w:sz w:val="21"/>
          <w:szCs w:val="21"/>
        </w:rPr>
        <w:t xml:space="preserve">- </w:t>
      </w:r>
      <w:r w:rsidR="00994A68">
        <w:rPr>
          <w:rFonts w:ascii="Abadi" w:hAnsi="Abadi"/>
          <w:sz w:val="21"/>
          <w:szCs w:val="21"/>
        </w:rPr>
        <w:t>(Voz) diputada Presidenta, g</w:t>
      </w:r>
      <w:r w:rsidR="00994A68" w:rsidRPr="0021199F">
        <w:rPr>
          <w:rFonts w:ascii="Abadi" w:hAnsi="Abadi"/>
          <w:sz w:val="21"/>
          <w:szCs w:val="21"/>
        </w:rPr>
        <w:t>racias</w:t>
      </w:r>
      <w:r w:rsidR="00994A68">
        <w:rPr>
          <w:rFonts w:ascii="Abadi" w:hAnsi="Abadi"/>
          <w:sz w:val="21"/>
          <w:szCs w:val="21"/>
        </w:rPr>
        <w:t>, d</w:t>
      </w:r>
      <w:r w:rsidR="00994A68" w:rsidRPr="0021199F">
        <w:rPr>
          <w:rFonts w:ascii="Abadi" w:hAnsi="Abadi"/>
          <w:sz w:val="21"/>
          <w:szCs w:val="21"/>
        </w:rPr>
        <w:t xml:space="preserve">iputado, </w:t>
      </w:r>
      <w:r w:rsidR="00994A68">
        <w:rPr>
          <w:rFonts w:ascii="Abadi" w:hAnsi="Abadi"/>
          <w:sz w:val="21"/>
          <w:szCs w:val="21"/>
        </w:rPr>
        <w:t>¿d</w:t>
      </w:r>
      <w:r w:rsidR="00994A68" w:rsidRPr="0021199F">
        <w:rPr>
          <w:rFonts w:ascii="Abadi" w:hAnsi="Abadi"/>
          <w:sz w:val="21"/>
          <w:szCs w:val="21"/>
        </w:rPr>
        <w:t>iputado David</w:t>
      </w:r>
      <w:r w:rsidR="00994A68">
        <w:rPr>
          <w:rFonts w:ascii="Abadi" w:hAnsi="Abadi"/>
          <w:sz w:val="21"/>
          <w:szCs w:val="21"/>
        </w:rPr>
        <w:t>, para que efecto? (Voz) diputado David, para r</w:t>
      </w:r>
      <w:r w:rsidR="00994A68" w:rsidRPr="0021199F">
        <w:rPr>
          <w:rFonts w:ascii="Abadi" w:hAnsi="Abadi"/>
          <w:sz w:val="21"/>
          <w:szCs w:val="21"/>
        </w:rPr>
        <w:t>ectificació</w:t>
      </w:r>
      <w:r w:rsidR="00994A68">
        <w:rPr>
          <w:rFonts w:ascii="Abadi" w:hAnsi="Abadi"/>
          <w:sz w:val="21"/>
          <w:szCs w:val="21"/>
        </w:rPr>
        <w:t xml:space="preserve">n de </w:t>
      </w:r>
      <w:r w:rsidR="00994A68" w:rsidRPr="0021199F">
        <w:rPr>
          <w:rFonts w:ascii="Abadi" w:hAnsi="Abadi"/>
          <w:sz w:val="21"/>
          <w:szCs w:val="21"/>
        </w:rPr>
        <w:t>hecho</w:t>
      </w:r>
      <w:r w:rsidR="00994A68">
        <w:rPr>
          <w:rFonts w:ascii="Abadi" w:hAnsi="Abadi"/>
          <w:sz w:val="21"/>
          <w:szCs w:val="21"/>
        </w:rPr>
        <w:t>s</w:t>
      </w:r>
      <w:r w:rsidR="00994A68" w:rsidRPr="0021199F">
        <w:rPr>
          <w:rFonts w:ascii="Abadi" w:hAnsi="Abadi"/>
          <w:sz w:val="21"/>
          <w:szCs w:val="21"/>
        </w:rPr>
        <w:t>, ya</w:t>
      </w:r>
      <w:r w:rsidR="00994A68">
        <w:rPr>
          <w:rFonts w:ascii="Abadi" w:hAnsi="Abadi"/>
          <w:sz w:val="21"/>
          <w:szCs w:val="21"/>
        </w:rPr>
        <w:t xml:space="preserve">, ya lo había comentado. </w:t>
      </w:r>
    </w:p>
    <w:p w14:paraId="00AD21D2" w14:textId="13C9F8D4" w:rsidR="00994A68" w:rsidRDefault="001A77D2" w:rsidP="001A77D2">
      <w:pPr>
        <w:pStyle w:val="NormalWeb"/>
        <w:ind w:firstLine="708"/>
        <w:jc w:val="both"/>
        <w:rPr>
          <w:rFonts w:ascii="Abadi" w:hAnsi="Abadi"/>
          <w:sz w:val="21"/>
          <w:szCs w:val="21"/>
        </w:rPr>
      </w:pPr>
      <w:r>
        <w:rPr>
          <w:rFonts w:ascii="Abadi" w:hAnsi="Abadi"/>
          <w:sz w:val="21"/>
          <w:szCs w:val="21"/>
        </w:rPr>
        <w:t xml:space="preserve">- </w:t>
      </w:r>
      <w:r w:rsidR="00994A68">
        <w:rPr>
          <w:rFonts w:ascii="Abadi" w:hAnsi="Abadi"/>
          <w:sz w:val="21"/>
          <w:szCs w:val="21"/>
        </w:rPr>
        <w:t xml:space="preserve">Adelante diputado, </w:t>
      </w:r>
      <w:r w:rsidR="00994A68" w:rsidRPr="0021199F">
        <w:rPr>
          <w:rFonts w:ascii="Abadi" w:hAnsi="Abadi"/>
          <w:sz w:val="21"/>
          <w:szCs w:val="21"/>
        </w:rPr>
        <w:t>tie</w:t>
      </w:r>
      <w:r w:rsidR="00994A68">
        <w:rPr>
          <w:rFonts w:ascii="Abadi" w:hAnsi="Abadi"/>
          <w:sz w:val="21"/>
          <w:szCs w:val="21"/>
        </w:rPr>
        <w:t xml:space="preserve">ne </w:t>
      </w:r>
      <w:r w:rsidR="00994A68" w:rsidRPr="0021199F">
        <w:rPr>
          <w:rFonts w:ascii="Abadi" w:hAnsi="Abadi"/>
          <w:sz w:val="21"/>
          <w:szCs w:val="21"/>
        </w:rPr>
        <w:t>la voz hasta por cinco minutos</w:t>
      </w:r>
      <w:r w:rsidR="00994A68">
        <w:rPr>
          <w:rFonts w:ascii="Abadi" w:hAnsi="Abadi"/>
          <w:sz w:val="21"/>
          <w:szCs w:val="21"/>
        </w:rPr>
        <w:t>.</w:t>
      </w:r>
      <w:r w:rsidR="00994A68" w:rsidRPr="0021199F">
        <w:rPr>
          <w:rFonts w:ascii="Abadi" w:hAnsi="Abadi"/>
          <w:sz w:val="21"/>
          <w:szCs w:val="21"/>
        </w:rPr>
        <w:t xml:space="preserve"> </w:t>
      </w:r>
    </w:p>
    <w:p w14:paraId="0CF729AB" w14:textId="65B21694" w:rsidR="00994A68" w:rsidRDefault="00994A68" w:rsidP="00994A68">
      <w:pPr>
        <w:pStyle w:val="NormalWeb"/>
        <w:jc w:val="both"/>
        <w:rPr>
          <w:rFonts w:ascii="Abadi" w:hAnsi="Abadi"/>
          <w:b/>
          <w:bCs/>
          <w:sz w:val="21"/>
          <w:szCs w:val="21"/>
        </w:rPr>
      </w:pPr>
      <w:r w:rsidRPr="001B1211">
        <w:rPr>
          <w:rFonts w:ascii="Abadi" w:hAnsi="Abadi"/>
          <w:b/>
          <w:bCs/>
          <w:sz w:val="21"/>
          <w:szCs w:val="21"/>
        </w:rPr>
        <w:t>(Sube a tribuna el diputado Davi</w:t>
      </w:r>
      <w:r>
        <w:rPr>
          <w:rFonts w:ascii="Abadi" w:hAnsi="Abadi"/>
          <w:b/>
          <w:bCs/>
          <w:sz w:val="21"/>
          <w:szCs w:val="21"/>
        </w:rPr>
        <w:t xml:space="preserve">d Martínez, </w:t>
      </w:r>
      <w:r w:rsidRPr="001B1211">
        <w:rPr>
          <w:rFonts w:ascii="Abadi" w:hAnsi="Abadi"/>
          <w:b/>
          <w:bCs/>
          <w:sz w:val="21"/>
          <w:szCs w:val="21"/>
        </w:rPr>
        <w:t>para rectificación de hechos referente, ah que en la visión del Presidente están primero los delincuentes que las víctimas»)</w:t>
      </w:r>
    </w:p>
    <w:p w14:paraId="7C191C3B" w14:textId="35A9F04D" w:rsidR="00997ACA" w:rsidRDefault="00997ACA" w:rsidP="00994A68">
      <w:pPr>
        <w:pStyle w:val="NormalWeb"/>
        <w:jc w:val="both"/>
        <w:rPr>
          <w:rFonts w:ascii="Abadi" w:hAnsi="Abadi"/>
          <w:b/>
          <w:bCs/>
          <w:sz w:val="21"/>
          <w:szCs w:val="21"/>
        </w:rPr>
      </w:pPr>
      <w:r>
        <w:rPr>
          <w:noProof/>
        </w:rPr>
        <w:drawing>
          <wp:anchor distT="0" distB="0" distL="114300" distR="114300" simplePos="0" relativeHeight="251658247" behindDoc="1" locked="0" layoutInCell="1" allowOverlap="1" wp14:anchorId="5CA150AD" wp14:editId="14462FCC">
            <wp:simplePos x="0" y="0"/>
            <wp:positionH relativeFrom="column">
              <wp:posOffset>259188</wp:posOffset>
            </wp:positionH>
            <wp:positionV relativeFrom="paragraph">
              <wp:posOffset>300547</wp:posOffset>
            </wp:positionV>
            <wp:extent cx="1947545" cy="1038860"/>
            <wp:effectExtent l="0" t="114300" r="0" b="789940"/>
            <wp:wrapTight wrapText="bothSides">
              <wp:wrapPolygon edited="0">
                <wp:start x="211" y="-2377"/>
                <wp:lineTo x="0" y="23765"/>
                <wp:lineTo x="423" y="37628"/>
                <wp:lineTo x="4014" y="37628"/>
                <wp:lineTo x="9930" y="36440"/>
                <wp:lineTo x="19860" y="31687"/>
                <wp:lineTo x="20072" y="-2377"/>
                <wp:lineTo x="211" y="-2377"/>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b="5946"/>
                    <a:stretch/>
                  </pic:blipFill>
                  <pic:spPr bwMode="auto">
                    <a:xfrm>
                      <a:off x="0" y="0"/>
                      <a:ext cx="1947545" cy="103886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99BCEC" w14:textId="11A302AA" w:rsidR="00997ACA" w:rsidRDefault="00997ACA" w:rsidP="00994A68">
      <w:pPr>
        <w:pStyle w:val="NormalWeb"/>
        <w:jc w:val="both"/>
        <w:rPr>
          <w:rFonts w:ascii="Abadi" w:hAnsi="Abadi"/>
          <w:b/>
          <w:bCs/>
          <w:sz w:val="21"/>
          <w:szCs w:val="21"/>
        </w:rPr>
      </w:pPr>
    </w:p>
    <w:p w14:paraId="7D4F12BB" w14:textId="1DCE348F" w:rsidR="00997ACA" w:rsidRDefault="00997ACA" w:rsidP="00994A68">
      <w:pPr>
        <w:pStyle w:val="NormalWeb"/>
        <w:jc w:val="both"/>
        <w:rPr>
          <w:rFonts w:ascii="Abadi" w:hAnsi="Abadi"/>
          <w:b/>
          <w:bCs/>
          <w:sz w:val="21"/>
          <w:szCs w:val="21"/>
        </w:rPr>
      </w:pPr>
    </w:p>
    <w:p w14:paraId="01063754" w14:textId="2E119733" w:rsidR="00994A68" w:rsidRDefault="00994A68" w:rsidP="00997ACA">
      <w:pPr>
        <w:pStyle w:val="NormalWeb"/>
        <w:jc w:val="both"/>
        <w:rPr>
          <w:rFonts w:ascii="Abadi" w:hAnsi="Abadi"/>
          <w:b/>
          <w:bCs/>
          <w:sz w:val="21"/>
          <w:szCs w:val="21"/>
        </w:rPr>
      </w:pPr>
      <w:r>
        <w:rPr>
          <w:rFonts w:ascii="Abadi" w:hAnsi="Abadi"/>
          <w:b/>
          <w:bCs/>
          <w:sz w:val="21"/>
          <w:szCs w:val="21"/>
        </w:rPr>
        <w:t xml:space="preserve">- Diputado David Martínez Mendizabal </w:t>
      </w:r>
      <w:r w:rsidR="000B2360">
        <w:rPr>
          <w:rFonts w:ascii="Abadi" w:hAnsi="Abadi"/>
          <w:b/>
          <w:bCs/>
          <w:sz w:val="21"/>
          <w:szCs w:val="21"/>
        </w:rPr>
        <w:t>-</w:t>
      </w:r>
    </w:p>
    <w:p w14:paraId="668544F4" w14:textId="77777777" w:rsidR="00994A68" w:rsidRDefault="00994A68" w:rsidP="000B2360">
      <w:pPr>
        <w:pStyle w:val="NormalWeb"/>
        <w:ind w:firstLine="708"/>
        <w:jc w:val="both"/>
        <w:rPr>
          <w:rFonts w:ascii="Abadi" w:hAnsi="Abadi"/>
          <w:sz w:val="21"/>
          <w:szCs w:val="21"/>
        </w:rPr>
      </w:pPr>
      <w:r>
        <w:rPr>
          <w:rFonts w:ascii="Abadi" w:hAnsi="Abadi"/>
          <w:sz w:val="21"/>
          <w:szCs w:val="21"/>
        </w:rPr>
        <w:t xml:space="preserve">- Cinco, dos minutos nada más, en cuanto a los enfrentamientos </w:t>
      </w:r>
      <w:r w:rsidRPr="0021199F">
        <w:rPr>
          <w:rFonts w:ascii="Abadi" w:hAnsi="Abadi"/>
          <w:sz w:val="21"/>
          <w:szCs w:val="21"/>
        </w:rPr>
        <w:t xml:space="preserve">de las Fuerzas Armadas </w:t>
      </w:r>
      <w:r>
        <w:rPr>
          <w:rFonts w:ascii="Abadi" w:hAnsi="Abadi"/>
          <w:sz w:val="21"/>
          <w:szCs w:val="21"/>
        </w:rPr>
        <w:t xml:space="preserve">cito, </w:t>
      </w:r>
      <w:r w:rsidRPr="0021199F">
        <w:rPr>
          <w:rFonts w:ascii="Abadi" w:hAnsi="Abadi"/>
          <w:sz w:val="21"/>
          <w:szCs w:val="21"/>
        </w:rPr>
        <w:t>lo señalado en una nota del primero de diciembre del dos mil dieciocho, abril dos mil veintidós</w:t>
      </w:r>
      <w:r>
        <w:rPr>
          <w:rFonts w:ascii="Abadi" w:hAnsi="Abadi"/>
          <w:sz w:val="21"/>
          <w:szCs w:val="21"/>
        </w:rPr>
        <w:t xml:space="preserve">, </w:t>
      </w:r>
      <w:r w:rsidRPr="0021199F">
        <w:rPr>
          <w:rFonts w:ascii="Abadi" w:hAnsi="Abadi"/>
          <w:sz w:val="21"/>
          <w:szCs w:val="21"/>
        </w:rPr>
        <w:t xml:space="preserve"> fallecieron seiscientos ochenta y nueve civiles</w:t>
      </w:r>
      <w:r>
        <w:rPr>
          <w:rFonts w:ascii="Abadi" w:hAnsi="Abadi"/>
          <w:sz w:val="21"/>
          <w:szCs w:val="21"/>
        </w:rPr>
        <w:t>, como</w:t>
      </w:r>
      <w:r w:rsidRPr="0021199F">
        <w:rPr>
          <w:rFonts w:ascii="Abadi" w:hAnsi="Abadi"/>
          <w:sz w:val="21"/>
          <w:szCs w:val="21"/>
        </w:rPr>
        <w:t xml:space="preserve"> resultado, </w:t>
      </w:r>
      <w:r>
        <w:rPr>
          <w:rFonts w:ascii="Abadi" w:hAnsi="Abadi"/>
          <w:sz w:val="21"/>
          <w:szCs w:val="21"/>
        </w:rPr>
        <w:t>en</w:t>
      </w:r>
      <w:r w:rsidRPr="0021199F">
        <w:rPr>
          <w:rFonts w:ascii="Abadi" w:hAnsi="Abadi"/>
          <w:sz w:val="21"/>
          <w:szCs w:val="21"/>
        </w:rPr>
        <w:t xml:space="preserve"> enfrentamiento con las fuerzas de seguridad, tanto presuntos agresores como víctimas, y quedaron herido</w:t>
      </w:r>
      <w:r>
        <w:rPr>
          <w:rFonts w:ascii="Abadi" w:hAnsi="Abadi"/>
          <w:sz w:val="21"/>
          <w:szCs w:val="21"/>
        </w:rPr>
        <w:t>s</w:t>
      </w:r>
      <w:r w:rsidRPr="0021199F">
        <w:rPr>
          <w:rFonts w:ascii="Abadi" w:hAnsi="Abadi"/>
          <w:sz w:val="21"/>
          <w:szCs w:val="21"/>
        </w:rPr>
        <w:t xml:space="preserve"> </w:t>
      </w:r>
      <w:r>
        <w:rPr>
          <w:rFonts w:ascii="Abadi" w:hAnsi="Abadi"/>
          <w:sz w:val="21"/>
          <w:szCs w:val="21"/>
        </w:rPr>
        <w:t>166</w:t>
      </w:r>
      <w:r w:rsidRPr="0021199F">
        <w:rPr>
          <w:rFonts w:ascii="Abadi" w:hAnsi="Abadi"/>
          <w:sz w:val="21"/>
          <w:szCs w:val="21"/>
        </w:rPr>
        <w:t xml:space="preserve">, indicó la </w:t>
      </w:r>
      <w:r>
        <w:rPr>
          <w:rFonts w:ascii="Abadi" w:hAnsi="Abadi"/>
          <w:sz w:val="21"/>
          <w:szCs w:val="21"/>
        </w:rPr>
        <w:t xml:space="preserve">Secretaría de Defensa, esto da un </w:t>
      </w:r>
      <w:r w:rsidRPr="0021199F">
        <w:rPr>
          <w:rFonts w:ascii="Abadi" w:hAnsi="Abadi"/>
          <w:sz w:val="21"/>
          <w:szCs w:val="21"/>
        </w:rPr>
        <w:t xml:space="preserve">índice de letalidad de cuatro punto quince personas muertas por cada una que resultó herida. </w:t>
      </w:r>
    </w:p>
    <w:p w14:paraId="21B32603" w14:textId="19A7DA9B" w:rsidR="00994A68" w:rsidRDefault="00612C06" w:rsidP="00612C06">
      <w:pPr>
        <w:pStyle w:val="NormalWeb"/>
        <w:ind w:firstLine="708"/>
        <w:jc w:val="both"/>
        <w:rPr>
          <w:rFonts w:ascii="Abadi" w:hAnsi="Abadi"/>
          <w:sz w:val="21"/>
          <w:szCs w:val="21"/>
        </w:rPr>
      </w:pPr>
      <w:r>
        <w:rPr>
          <w:rFonts w:ascii="Abadi" w:hAnsi="Abadi"/>
          <w:sz w:val="21"/>
          <w:szCs w:val="21"/>
        </w:rPr>
        <w:t xml:space="preserve">- </w:t>
      </w:r>
      <w:r w:rsidR="00994A68" w:rsidRPr="0021199F">
        <w:rPr>
          <w:rFonts w:ascii="Abadi" w:hAnsi="Abadi"/>
          <w:sz w:val="21"/>
          <w:szCs w:val="21"/>
        </w:rPr>
        <w:t xml:space="preserve">En el </w:t>
      </w:r>
      <w:r w:rsidR="00994A68">
        <w:rPr>
          <w:rFonts w:ascii="Abadi" w:hAnsi="Abadi"/>
          <w:sz w:val="21"/>
          <w:szCs w:val="21"/>
        </w:rPr>
        <w:t xml:space="preserve">Sexenio de </w:t>
      </w:r>
      <w:r w:rsidR="00994A68" w:rsidRPr="0021199F">
        <w:rPr>
          <w:rFonts w:ascii="Abadi" w:hAnsi="Abadi"/>
          <w:sz w:val="21"/>
          <w:szCs w:val="21"/>
        </w:rPr>
        <w:t>Peña Nieto</w:t>
      </w:r>
      <w:r w:rsidR="00994A68">
        <w:rPr>
          <w:rFonts w:ascii="Abadi" w:hAnsi="Abadi"/>
          <w:sz w:val="21"/>
          <w:szCs w:val="21"/>
        </w:rPr>
        <w:t>,</w:t>
      </w:r>
      <w:r w:rsidR="00994A68" w:rsidRPr="0021199F">
        <w:rPr>
          <w:rFonts w:ascii="Abadi" w:hAnsi="Abadi"/>
          <w:sz w:val="21"/>
          <w:szCs w:val="21"/>
        </w:rPr>
        <w:t xml:space="preserve"> se registr</w:t>
      </w:r>
      <w:r w:rsidR="00994A68">
        <w:rPr>
          <w:rFonts w:ascii="Abadi" w:hAnsi="Abadi"/>
          <w:sz w:val="21"/>
          <w:szCs w:val="21"/>
        </w:rPr>
        <w:t xml:space="preserve">aron 1,304 </w:t>
      </w:r>
      <w:r w:rsidR="00994A68" w:rsidRPr="0021199F">
        <w:rPr>
          <w:rFonts w:ascii="Abadi" w:hAnsi="Abadi"/>
          <w:sz w:val="21"/>
          <w:szCs w:val="21"/>
        </w:rPr>
        <w:t xml:space="preserve">fallecidos y </w:t>
      </w:r>
      <w:r w:rsidR="00994A68">
        <w:rPr>
          <w:rFonts w:ascii="Abadi" w:hAnsi="Abadi"/>
          <w:sz w:val="21"/>
          <w:szCs w:val="21"/>
        </w:rPr>
        <w:t xml:space="preserve">335 heridos lo que arroja, </w:t>
      </w:r>
      <w:r w:rsidR="00994A68" w:rsidRPr="0021199F">
        <w:rPr>
          <w:rFonts w:ascii="Abadi" w:hAnsi="Abadi"/>
          <w:sz w:val="21"/>
          <w:szCs w:val="21"/>
        </w:rPr>
        <w:t>un índice de tres, ochenta y nueve</w:t>
      </w:r>
      <w:r w:rsidR="00994A68">
        <w:rPr>
          <w:rFonts w:ascii="Abadi" w:hAnsi="Abadi"/>
          <w:sz w:val="21"/>
          <w:szCs w:val="21"/>
        </w:rPr>
        <w:t>, ¡f</w:t>
      </w:r>
      <w:r w:rsidR="00994A68" w:rsidRPr="0021199F">
        <w:rPr>
          <w:rFonts w:ascii="Abadi" w:hAnsi="Abadi"/>
          <w:sz w:val="21"/>
          <w:szCs w:val="21"/>
        </w:rPr>
        <w:t>also</w:t>
      </w:r>
      <w:r w:rsidR="00994A68">
        <w:rPr>
          <w:rFonts w:ascii="Abadi" w:hAnsi="Abadi"/>
          <w:sz w:val="21"/>
          <w:szCs w:val="21"/>
        </w:rPr>
        <w:t>! ¡</w:t>
      </w:r>
      <w:r w:rsidR="00994A68" w:rsidRPr="0021199F">
        <w:rPr>
          <w:rFonts w:ascii="Abadi" w:hAnsi="Abadi"/>
          <w:sz w:val="21"/>
          <w:szCs w:val="21"/>
        </w:rPr>
        <w:t>falso</w:t>
      </w:r>
      <w:r w:rsidR="00994A68">
        <w:rPr>
          <w:rFonts w:ascii="Abadi" w:hAnsi="Abadi"/>
          <w:sz w:val="21"/>
          <w:szCs w:val="21"/>
        </w:rPr>
        <w:t>!</w:t>
      </w:r>
      <w:r w:rsidR="00994A68" w:rsidRPr="0021199F">
        <w:rPr>
          <w:rFonts w:ascii="Abadi" w:hAnsi="Abadi"/>
          <w:sz w:val="21"/>
          <w:szCs w:val="21"/>
        </w:rPr>
        <w:t xml:space="preserve"> </w:t>
      </w:r>
      <w:r w:rsidR="00994A68">
        <w:rPr>
          <w:rFonts w:ascii="Abadi" w:hAnsi="Abadi"/>
          <w:sz w:val="21"/>
          <w:szCs w:val="21"/>
        </w:rPr>
        <w:t>q</w:t>
      </w:r>
      <w:r w:rsidR="00994A68" w:rsidRPr="0021199F">
        <w:rPr>
          <w:rFonts w:ascii="Abadi" w:hAnsi="Abadi"/>
          <w:sz w:val="21"/>
          <w:szCs w:val="21"/>
        </w:rPr>
        <w:t xml:space="preserve">ue no se </w:t>
      </w:r>
      <w:r w:rsidR="00994A68">
        <w:rPr>
          <w:rFonts w:ascii="Abadi" w:hAnsi="Abadi"/>
          <w:sz w:val="21"/>
          <w:szCs w:val="21"/>
        </w:rPr>
        <w:t xml:space="preserve">esté </w:t>
      </w:r>
      <w:r w:rsidR="00994A68" w:rsidRPr="0021199F">
        <w:rPr>
          <w:rFonts w:ascii="Abadi" w:hAnsi="Abadi"/>
          <w:sz w:val="21"/>
          <w:szCs w:val="21"/>
        </w:rPr>
        <w:t xml:space="preserve">atacando a la delincuencia </w:t>
      </w:r>
      <w:r w:rsidR="00994A68">
        <w:rPr>
          <w:rFonts w:ascii="Abadi" w:hAnsi="Abadi"/>
          <w:sz w:val="21"/>
          <w:szCs w:val="21"/>
        </w:rPr>
        <w:t>c</w:t>
      </w:r>
      <w:r w:rsidR="00994A68" w:rsidRPr="0021199F">
        <w:rPr>
          <w:rFonts w:ascii="Abadi" w:hAnsi="Abadi"/>
          <w:sz w:val="21"/>
          <w:szCs w:val="21"/>
        </w:rPr>
        <w:t>uando hay fragancia, aquí están los datos tienen otros datos que seguro tendrán, vengan y presént</w:t>
      </w:r>
      <w:r w:rsidR="00994A68">
        <w:rPr>
          <w:rFonts w:ascii="Abadi" w:hAnsi="Abadi"/>
          <w:sz w:val="21"/>
          <w:szCs w:val="21"/>
        </w:rPr>
        <w:t xml:space="preserve">enlos </w:t>
      </w:r>
      <w:r w:rsidR="00994A68" w:rsidRPr="0021199F">
        <w:rPr>
          <w:rFonts w:ascii="Abadi" w:hAnsi="Abadi"/>
          <w:sz w:val="21"/>
          <w:szCs w:val="21"/>
        </w:rPr>
        <w:t>en tribuna porque no vengan a decir mentiras.</w:t>
      </w:r>
    </w:p>
    <w:p w14:paraId="70C614DB" w14:textId="41DFD037" w:rsidR="00994A68" w:rsidRDefault="000B2360" w:rsidP="000B2360">
      <w:pPr>
        <w:pStyle w:val="NormalWeb"/>
        <w:ind w:firstLine="708"/>
        <w:jc w:val="both"/>
        <w:rPr>
          <w:rFonts w:ascii="Abadi" w:hAnsi="Abadi"/>
          <w:sz w:val="21"/>
          <w:szCs w:val="21"/>
        </w:rPr>
      </w:pPr>
      <w:r>
        <w:rPr>
          <w:rFonts w:ascii="Abadi" w:hAnsi="Abadi"/>
          <w:b/>
          <w:bCs/>
          <w:sz w:val="21"/>
          <w:szCs w:val="21"/>
        </w:rPr>
        <w:t xml:space="preserve">- </w:t>
      </w:r>
      <w:r w:rsidR="00994A68" w:rsidRPr="009232A8">
        <w:rPr>
          <w:rFonts w:ascii="Abadi" w:hAnsi="Abadi"/>
          <w:b/>
          <w:bCs/>
          <w:sz w:val="21"/>
          <w:szCs w:val="21"/>
        </w:rPr>
        <w:t xml:space="preserve">La </w:t>
      </w:r>
      <w:proofErr w:type="gramStart"/>
      <w:r w:rsidR="00994A68" w:rsidRPr="009232A8">
        <w:rPr>
          <w:rFonts w:ascii="Abadi" w:hAnsi="Abadi"/>
          <w:b/>
          <w:bCs/>
          <w:sz w:val="21"/>
          <w:szCs w:val="21"/>
        </w:rPr>
        <w:t>Presidencia.-</w:t>
      </w:r>
      <w:proofErr w:type="gramEnd"/>
      <w:r w:rsidR="00994A68">
        <w:rPr>
          <w:rFonts w:ascii="Abadi" w:hAnsi="Abadi"/>
          <w:sz w:val="21"/>
          <w:szCs w:val="21"/>
        </w:rPr>
        <w:t xml:space="preserve"> </w:t>
      </w:r>
      <w:r w:rsidR="00994A68" w:rsidRPr="0021199F">
        <w:rPr>
          <w:rFonts w:ascii="Abadi" w:hAnsi="Abadi"/>
          <w:sz w:val="21"/>
          <w:szCs w:val="21"/>
        </w:rPr>
        <w:t xml:space="preserve"> Gracias diputado</w:t>
      </w:r>
      <w:r w:rsidR="00994A68">
        <w:rPr>
          <w:rFonts w:ascii="Abadi" w:hAnsi="Abadi"/>
          <w:sz w:val="21"/>
          <w:szCs w:val="21"/>
        </w:rPr>
        <w:t xml:space="preserve">. </w:t>
      </w:r>
    </w:p>
    <w:p w14:paraId="7C8BE6AB" w14:textId="417DB368" w:rsidR="00994A68" w:rsidRDefault="00994A68" w:rsidP="00994A68">
      <w:pPr>
        <w:pStyle w:val="NormalWeb"/>
        <w:jc w:val="both"/>
        <w:rPr>
          <w:rFonts w:ascii="Abadi" w:hAnsi="Abadi"/>
          <w:sz w:val="21"/>
          <w:szCs w:val="21"/>
        </w:rPr>
      </w:pPr>
      <w:r>
        <w:rPr>
          <w:rFonts w:ascii="Abadi" w:hAnsi="Abadi"/>
          <w:sz w:val="21"/>
          <w:szCs w:val="21"/>
        </w:rPr>
        <w:t>¿Diputado Armando Rangel? (Voz) diputado Armando, ¡no! ¡no! Diputada</w:t>
      </w:r>
      <w:r w:rsidR="00D102CB">
        <w:rPr>
          <w:rFonts w:ascii="Abadi" w:hAnsi="Abadi"/>
          <w:sz w:val="21"/>
          <w:szCs w:val="21"/>
        </w:rPr>
        <w:t xml:space="preserve">, </w:t>
      </w:r>
      <w:r w:rsidR="00550624">
        <w:rPr>
          <w:rFonts w:ascii="Abadi" w:hAnsi="Abadi"/>
          <w:sz w:val="21"/>
          <w:szCs w:val="21"/>
        </w:rPr>
        <w:t>(</w:t>
      </w:r>
      <w:r>
        <w:rPr>
          <w:rFonts w:ascii="Abadi" w:hAnsi="Abadi"/>
          <w:sz w:val="21"/>
          <w:szCs w:val="21"/>
        </w:rPr>
        <w:t xml:space="preserve">Voz) diputada Presidenta, bueno. </w:t>
      </w:r>
    </w:p>
    <w:p w14:paraId="1E1D31C6" w14:textId="7220198E" w:rsidR="00994A68" w:rsidRDefault="000B2360" w:rsidP="000B2360">
      <w:pPr>
        <w:pStyle w:val="NormalWeb"/>
        <w:ind w:firstLine="708"/>
        <w:jc w:val="both"/>
        <w:rPr>
          <w:rFonts w:ascii="Abadi" w:hAnsi="Abadi"/>
          <w:sz w:val="21"/>
          <w:szCs w:val="21"/>
        </w:rPr>
      </w:pPr>
      <w:r>
        <w:rPr>
          <w:rFonts w:ascii="Abadi" w:hAnsi="Abadi"/>
          <w:b/>
          <w:bCs/>
          <w:sz w:val="21"/>
          <w:szCs w:val="21"/>
        </w:rPr>
        <w:t xml:space="preserve">- </w:t>
      </w:r>
      <w:r w:rsidR="00994A68" w:rsidRPr="00525261">
        <w:rPr>
          <w:rFonts w:ascii="Abadi" w:hAnsi="Abadi"/>
          <w:b/>
          <w:bCs/>
          <w:sz w:val="21"/>
          <w:szCs w:val="21"/>
        </w:rPr>
        <w:t xml:space="preserve">La </w:t>
      </w:r>
      <w:proofErr w:type="gramStart"/>
      <w:r w:rsidR="00994A68" w:rsidRPr="00525261">
        <w:rPr>
          <w:rFonts w:ascii="Abadi" w:hAnsi="Abadi"/>
          <w:b/>
          <w:bCs/>
          <w:sz w:val="21"/>
          <w:szCs w:val="21"/>
        </w:rPr>
        <w:t>Presidencia.-</w:t>
      </w:r>
      <w:proofErr w:type="gramEnd"/>
      <w:r w:rsidR="00994A68" w:rsidRPr="00525261">
        <w:rPr>
          <w:rFonts w:ascii="Abadi" w:hAnsi="Abadi"/>
          <w:b/>
          <w:bCs/>
          <w:sz w:val="21"/>
          <w:szCs w:val="21"/>
        </w:rPr>
        <w:t xml:space="preserve"> </w:t>
      </w:r>
      <w:r w:rsidR="00994A68">
        <w:rPr>
          <w:rFonts w:ascii="Abadi" w:hAnsi="Abadi"/>
          <w:sz w:val="21"/>
          <w:szCs w:val="21"/>
        </w:rPr>
        <w:t>Agotadas las participaciones, se ruega a la S</w:t>
      </w:r>
      <w:r w:rsidR="00994A68" w:rsidRPr="0021199F">
        <w:rPr>
          <w:rFonts w:ascii="Abadi" w:hAnsi="Abadi"/>
          <w:sz w:val="21"/>
          <w:szCs w:val="21"/>
        </w:rPr>
        <w:t>ecretar</w:t>
      </w:r>
      <w:r w:rsidR="00994A68">
        <w:rPr>
          <w:rFonts w:ascii="Abadi" w:hAnsi="Abadi"/>
          <w:sz w:val="21"/>
          <w:szCs w:val="21"/>
        </w:rPr>
        <w:t>i</w:t>
      </w:r>
      <w:r w:rsidR="00994A68" w:rsidRPr="0021199F">
        <w:rPr>
          <w:rFonts w:ascii="Abadi" w:hAnsi="Abadi"/>
          <w:sz w:val="21"/>
          <w:szCs w:val="21"/>
        </w:rPr>
        <w:t xml:space="preserve">a que </w:t>
      </w:r>
      <w:r w:rsidR="00994A68">
        <w:rPr>
          <w:rFonts w:ascii="Abadi" w:hAnsi="Abadi"/>
          <w:sz w:val="21"/>
          <w:szCs w:val="21"/>
        </w:rPr>
        <w:t xml:space="preserve">en votación, económica </w:t>
      </w:r>
      <w:r w:rsidR="00994A68" w:rsidRPr="0021199F">
        <w:rPr>
          <w:rFonts w:ascii="Abadi" w:hAnsi="Abadi"/>
          <w:sz w:val="21"/>
          <w:szCs w:val="21"/>
        </w:rPr>
        <w:t xml:space="preserve"> a través del sistema electrónico Pregunt</w:t>
      </w:r>
      <w:r w:rsidR="00994A68">
        <w:rPr>
          <w:rFonts w:ascii="Abadi" w:hAnsi="Abadi"/>
          <w:sz w:val="21"/>
          <w:szCs w:val="21"/>
        </w:rPr>
        <w:t>e</w:t>
      </w:r>
      <w:r w:rsidR="00994A68" w:rsidRPr="0021199F">
        <w:rPr>
          <w:rFonts w:ascii="Abadi" w:hAnsi="Abadi"/>
          <w:sz w:val="21"/>
          <w:szCs w:val="21"/>
        </w:rPr>
        <w:t xml:space="preserve"> </w:t>
      </w:r>
      <w:r w:rsidR="00994A68">
        <w:rPr>
          <w:rFonts w:ascii="Abadi" w:hAnsi="Abadi"/>
          <w:sz w:val="21"/>
          <w:szCs w:val="21"/>
        </w:rPr>
        <w:t>a la Asamblea si es de a</w:t>
      </w:r>
      <w:r w:rsidR="00994A68" w:rsidRPr="0021199F">
        <w:rPr>
          <w:rFonts w:ascii="Abadi" w:hAnsi="Abadi"/>
          <w:sz w:val="21"/>
          <w:szCs w:val="21"/>
        </w:rPr>
        <w:t>probase la obvia resolución, sometida su consideración</w:t>
      </w:r>
      <w:r w:rsidR="00994A68">
        <w:rPr>
          <w:rFonts w:ascii="Abadi" w:hAnsi="Abadi"/>
          <w:sz w:val="21"/>
          <w:szCs w:val="21"/>
        </w:rPr>
        <w:t>; y</w:t>
      </w:r>
    </w:p>
    <w:p w14:paraId="610B31F3" w14:textId="6340D3F0" w:rsidR="00994A68" w:rsidRPr="009152DD" w:rsidRDefault="00994A68" w:rsidP="005A3373">
      <w:pPr>
        <w:pStyle w:val="NormalWeb"/>
        <w:jc w:val="center"/>
        <w:rPr>
          <w:rFonts w:ascii="Abadi" w:hAnsi="Abadi"/>
          <w:b/>
          <w:bCs/>
          <w:sz w:val="21"/>
          <w:szCs w:val="21"/>
        </w:rPr>
      </w:pPr>
      <w:r w:rsidRPr="009152DD">
        <w:rPr>
          <w:rFonts w:ascii="Abadi" w:hAnsi="Abadi"/>
          <w:b/>
          <w:bCs/>
          <w:sz w:val="21"/>
          <w:szCs w:val="21"/>
        </w:rPr>
        <w:t>(Se abre el sistema electrónico)</w:t>
      </w:r>
    </w:p>
    <w:p w14:paraId="058819E3" w14:textId="07A62C86" w:rsidR="00994A68" w:rsidRDefault="005A3373" w:rsidP="005A3373">
      <w:pPr>
        <w:pStyle w:val="NormalWeb"/>
        <w:ind w:firstLine="708"/>
        <w:jc w:val="both"/>
        <w:rPr>
          <w:rFonts w:ascii="Abadi" w:hAnsi="Abadi"/>
          <w:sz w:val="21"/>
          <w:szCs w:val="21"/>
        </w:rPr>
      </w:pPr>
      <w:r>
        <w:rPr>
          <w:rFonts w:ascii="Abadi" w:hAnsi="Abadi"/>
          <w:b/>
          <w:bCs/>
          <w:sz w:val="21"/>
          <w:szCs w:val="21"/>
        </w:rPr>
        <w:t xml:space="preserve">- </w:t>
      </w:r>
      <w:r w:rsidR="00994A68" w:rsidRPr="009152DD">
        <w:rPr>
          <w:rFonts w:ascii="Abadi" w:hAnsi="Abadi"/>
          <w:b/>
          <w:bCs/>
          <w:sz w:val="21"/>
          <w:szCs w:val="21"/>
        </w:rPr>
        <w:t xml:space="preserve">La </w:t>
      </w:r>
      <w:proofErr w:type="gramStart"/>
      <w:r w:rsidR="00994A68" w:rsidRPr="009152DD">
        <w:rPr>
          <w:rFonts w:ascii="Abadi" w:hAnsi="Abadi"/>
          <w:b/>
          <w:bCs/>
          <w:sz w:val="21"/>
          <w:szCs w:val="21"/>
        </w:rPr>
        <w:t>Secretaría.-</w:t>
      </w:r>
      <w:proofErr w:type="gramEnd"/>
      <w:r w:rsidR="00994A68">
        <w:rPr>
          <w:rFonts w:ascii="Abadi" w:hAnsi="Abadi"/>
          <w:sz w:val="21"/>
          <w:szCs w:val="21"/>
        </w:rPr>
        <w:t xml:space="preserve"> P</w:t>
      </w:r>
      <w:r w:rsidR="00994A68" w:rsidRPr="0021199F">
        <w:rPr>
          <w:rFonts w:ascii="Abadi" w:hAnsi="Abadi"/>
          <w:sz w:val="21"/>
          <w:szCs w:val="21"/>
        </w:rPr>
        <w:t xml:space="preserve">or instrucciones de la Presidencia en votación económica se pregunta a las diputadas de los diputados si se aprueba la </w:t>
      </w:r>
      <w:r w:rsidR="00994A68">
        <w:rPr>
          <w:rFonts w:ascii="Abadi" w:hAnsi="Abadi"/>
          <w:sz w:val="21"/>
          <w:szCs w:val="21"/>
        </w:rPr>
        <w:t>obvia</w:t>
      </w:r>
      <w:r w:rsidR="00994A68" w:rsidRPr="0021199F">
        <w:rPr>
          <w:rFonts w:ascii="Abadi" w:hAnsi="Abadi"/>
          <w:sz w:val="21"/>
          <w:szCs w:val="21"/>
        </w:rPr>
        <w:t xml:space="preserve"> solución mediante el sistema electrónico</w:t>
      </w:r>
      <w:r w:rsidR="00994A68">
        <w:rPr>
          <w:rFonts w:ascii="Abadi" w:hAnsi="Abadi"/>
          <w:sz w:val="21"/>
          <w:szCs w:val="21"/>
        </w:rPr>
        <w:t>. ¿</w:t>
      </w:r>
      <w:r w:rsidR="00994A68" w:rsidRPr="0021199F">
        <w:rPr>
          <w:rFonts w:ascii="Abadi" w:hAnsi="Abadi"/>
          <w:sz w:val="21"/>
          <w:szCs w:val="21"/>
        </w:rPr>
        <w:t>Diputada Des</w:t>
      </w:r>
      <w:r w:rsidR="00994A68">
        <w:rPr>
          <w:rFonts w:ascii="Abadi" w:hAnsi="Abadi"/>
          <w:sz w:val="21"/>
          <w:szCs w:val="21"/>
        </w:rPr>
        <w:t>s</w:t>
      </w:r>
      <w:r w:rsidR="00994A68" w:rsidRPr="0021199F">
        <w:rPr>
          <w:rFonts w:ascii="Abadi" w:hAnsi="Abadi"/>
          <w:sz w:val="21"/>
          <w:szCs w:val="21"/>
        </w:rPr>
        <w:t xml:space="preserve">ire </w:t>
      </w:r>
      <w:proofErr w:type="spellStart"/>
      <w:r w:rsidR="00994A68">
        <w:rPr>
          <w:rFonts w:ascii="Abadi" w:hAnsi="Abadi"/>
          <w:sz w:val="21"/>
          <w:szCs w:val="21"/>
        </w:rPr>
        <w:t>A</w:t>
      </w:r>
      <w:r w:rsidR="00994A68" w:rsidRPr="0021199F">
        <w:rPr>
          <w:rFonts w:ascii="Abadi" w:hAnsi="Abadi"/>
          <w:sz w:val="21"/>
          <w:szCs w:val="21"/>
        </w:rPr>
        <w:t>ngel</w:t>
      </w:r>
      <w:proofErr w:type="spellEnd"/>
      <w:r w:rsidR="00994A68" w:rsidRPr="0021199F">
        <w:rPr>
          <w:rFonts w:ascii="Abadi" w:hAnsi="Abadi"/>
          <w:sz w:val="21"/>
          <w:szCs w:val="21"/>
        </w:rPr>
        <w:t xml:space="preserve"> Rocha</w:t>
      </w:r>
      <w:r w:rsidR="00994A68">
        <w:rPr>
          <w:rFonts w:ascii="Abadi" w:hAnsi="Abadi"/>
          <w:sz w:val="21"/>
          <w:szCs w:val="21"/>
        </w:rPr>
        <w:t>?</w:t>
      </w:r>
    </w:p>
    <w:p w14:paraId="5155CE70" w14:textId="77777777" w:rsidR="00994A68" w:rsidRDefault="00994A68" w:rsidP="00994A68">
      <w:pPr>
        <w:pStyle w:val="NormalWeb"/>
        <w:jc w:val="both"/>
        <w:rPr>
          <w:rFonts w:ascii="Abadi" w:hAnsi="Abadi"/>
          <w:sz w:val="21"/>
          <w:szCs w:val="21"/>
        </w:rPr>
      </w:pPr>
      <w:r>
        <w:rPr>
          <w:rFonts w:ascii="Abadi" w:hAnsi="Abadi"/>
          <w:sz w:val="21"/>
          <w:szCs w:val="21"/>
        </w:rPr>
        <w:t>¿</w:t>
      </w:r>
      <w:r w:rsidRPr="0021199F">
        <w:rPr>
          <w:rFonts w:ascii="Abadi" w:hAnsi="Abadi"/>
          <w:sz w:val="21"/>
          <w:szCs w:val="21"/>
        </w:rPr>
        <w:t>Falta alguna diputada o algún diputado emitir su voto</w:t>
      </w:r>
      <w:r>
        <w:rPr>
          <w:rFonts w:ascii="Abadi" w:hAnsi="Abadi"/>
          <w:sz w:val="21"/>
          <w:szCs w:val="21"/>
        </w:rPr>
        <w:t>?</w:t>
      </w:r>
    </w:p>
    <w:p w14:paraId="63DD88A2" w14:textId="7419AC0B" w:rsidR="00994A68" w:rsidRDefault="00867B86" w:rsidP="005A3373">
      <w:pPr>
        <w:pStyle w:val="NormalWeb"/>
        <w:jc w:val="center"/>
        <w:rPr>
          <w:rFonts w:ascii="Abadi" w:hAnsi="Abadi"/>
          <w:b/>
          <w:bCs/>
          <w:sz w:val="21"/>
          <w:szCs w:val="21"/>
        </w:rPr>
      </w:pPr>
      <w:r>
        <w:rPr>
          <w:noProof/>
        </w:rPr>
        <w:drawing>
          <wp:anchor distT="0" distB="0" distL="114300" distR="114300" simplePos="0" relativeHeight="251658248" behindDoc="1" locked="0" layoutInCell="1" allowOverlap="1" wp14:anchorId="5EC0E458" wp14:editId="17EA2952">
            <wp:simplePos x="0" y="0"/>
            <wp:positionH relativeFrom="column">
              <wp:align>left</wp:align>
            </wp:positionH>
            <wp:positionV relativeFrom="paragraph">
              <wp:posOffset>542841</wp:posOffset>
            </wp:positionV>
            <wp:extent cx="2173856" cy="1156138"/>
            <wp:effectExtent l="152400" t="152400" r="360045" b="368300"/>
            <wp:wrapTight wrapText="bothSides">
              <wp:wrapPolygon edited="0">
                <wp:start x="757" y="-2848"/>
                <wp:lineTo x="-1514" y="-2136"/>
                <wp:lineTo x="-1514" y="23143"/>
                <wp:lineTo x="-189" y="26347"/>
                <wp:lineTo x="1893" y="28127"/>
                <wp:lineTo x="21581" y="28127"/>
                <wp:lineTo x="23663" y="26347"/>
                <wp:lineTo x="24989" y="21007"/>
                <wp:lineTo x="24989" y="3560"/>
                <wp:lineTo x="22717" y="-1780"/>
                <wp:lineTo x="22528" y="-2848"/>
                <wp:lineTo x="757" y="-2848"/>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b="5444"/>
                    <a:stretch/>
                  </pic:blipFill>
                  <pic:spPr bwMode="auto">
                    <a:xfrm>
                      <a:off x="0" y="0"/>
                      <a:ext cx="2173856" cy="115613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994A68" w:rsidRPr="00AE58A4">
        <w:rPr>
          <w:rFonts w:ascii="Abadi" w:hAnsi="Abadi"/>
          <w:b/>
          <w:bCs/>
          <w:sz w:val="21"/>
          <w:szCs w:val="21"/>
        </w:rPr>
        <w:t>(Se cierra el sistema electronico)</w:t>
      </w:r>
    </w:p>
    <w:p w14:paraId="44CFA8E9" w14:textId="45826116" w:rsidR="00994A68" w:rsidRDefault="005A3373" w:rsidP="005A3373">
      <w:pPr>
        <w:pStyle w:val="NormalWeb"/>
        <w:ind w:firstLine="708"/>
        <w:jc w:val="both"/>
        <w:rPr>
          <w:rFonts w:ascii="Abadi" w:hAnsi="Abadi"/>
          <w:sz w:val="21"/>
          <w:szCs w:val="21"/>
        </w:rPr>
      </w:pPr>
      <w:r>
        <w:rPr>
          <w:rFonts w:ascii="Abadi" w:hAnsi="Abadi"/>
          <w:b/>
          <w:bCs/>
          <w:sz w:val="21"/>
          <w:szCs w:val="21"/>
        </w:rPr>
        <w:t xml:space="preserve">- </w:t>
      </w:r>
      <w:r w:rsidR="00994A68" w:rsidRPr="00AA321F">
        <w:rPr>
          <w:rFonts w:ascii="Abadi" w:hAnsi="Abadi"/>
          <w:b/>
          <w:bCs/>
          <w:sz w:val="21"/>
          <w:szCs w:val="21"/>
        </w:rPr>
        <w:t xml:space="preserve">La </w:t>
      </w:r>
      <w:proofErr w:type="gramStart"/>
      <w:r w:rsidR="00994A68" w:rsidRPr="00AA321F">
        <w:rPr>
          <w:rFonts w:ascii="Abadi" w:hAnsi="Abadi"/>
          <w:b/>
          <w:bCs/>
          <w:sz w:val="21"/>
          <w:szCs w:val="21"/>
        </w:rPr>
        <w:t>Secretaria.-</w:t>
      </w:r>
      <w:proofErr w:type="gramEnd"/>
      <w:r w:rsidR="00994A68">
        <w:rPr>
          <w:rFonts w:ascii="Abadi" w:hAnsi="Abadi"/>
          <w:sz w:val="21"/>
          <w:szCs w:val="21"/>
        </w:rPr>
        <w:t xml:space="preserve"> 24 votos en</w:t>
      </w:r>
      <w:r w:rsidR="00994A68" w:rsidRPr="0021199F">
        <w:rPr>
          <w:rFonts w:ascii="Abadi" w:hAnsi="Abadi"/>
          <w:sz w:val="21"/>
          <w:szCs w:val="21"/>
        </w:rPr>
        <w:t xml:space="preserve"> contra y</w:t>
      </w:r>
      <w:r w:rsidR="00994A68">
        <w:rPr>
          <w:rFonts w:ascii="Abadi" w:hAnsi="Abadi"/>
          <w:sz w:val="21"/>
          <w:szCs w:val="21"/>
        </w:rPr>
        <w:t xml:space="preserve"> 11 </w:t>
      </w:r>
      <w:r w:rsidR="00994A68" w:rsidRPr="0021199F">
        <w:rPr>
          <w:rFonts w:ascii="Abadi" w:hAnsi="Abadi"/>
          <w:sz w:val="21"/>
          <w:szCs w:val="21"/>
        </w:rPr>
        <w:t>votos a favor</w:t>
      </w:r>
      <w:r w:rsidR="00994A68">
        <w:rPr>
          <w:rFonts w:ascii="Abadi" w:hAnsi="Abadi"/>
          <w:sz w:val="21"/>
          <w:szCs w:val="21"/>
        </w:rPr>
        <w:t>.</w:t>
      </w:r>
    </w:p>
    <w:p w14:paraId="6D8FC85C" w14:textId="5B9CAC55" w:rsidR="00994A68" w:rsidRDefault="005A3373" w:rsidP="005A3373">
      <w:pPr>
        <w:pStyle w:val="NormalWeb"/>
        <w:ind w:firstLine="708"/>
        <w:jc w:val="both"/>
        <w:rPr>
          <w:rFonts w:ascii="Abadi" w:hAnsi="Abadi"/>
          <w:sz w:val="21"/>
          <w:szCs w:val="21"/>
        </w:rPr>
      </w:pPr>
      <w:r>
        <w:rPr>
          <w:rFonts w:ascii="Abadi" w:hAnsi="Abadi"/>
          <w:b/>
          <w:bCs/>
          <w:sz w:val="21"/>
          <w:szCs w:val="21"/>
        </w:rPr>
        <w:t xml:space="preserve">-  </w:t>
      </w:r>
      <w:r w:rsidR="00994A68" w:rsidRPr="00CD3D46">
        <w:rPr>
          <w:rFonts w:ascii="Abadi" w:hAnsi="Abadi"/>
          <w:b/>
          <w:bCs/>
          <w:sz w:val="21"/>
          <w:szCs w:val="21"/>
        </w:rPr>
        <w:t xml:space="preserve">La </w:t>
      </w:r>
      <w:proofErr w:type="gramStart"/>
      <w:r w:rsidR="00994A68" w:rsidRPr="00CD3D46">
        <w:rPr>
          <w:rFonts w:ascii="Abadi" w:hAnsi="Abadi"/>
          <w:b/>
          <w:bCs/>
          <w:sz w:val="21"/>
          <w:szCs w:val="21"/>
        </w:rPr>
        <w:t>Presidencia.-</w:t>
      </w:r>
      <w:proofErr w:type="gramEnd"/>
      <w:r w:rsidR="00994A68">
        <w:rPr>
          <w:rFonts w:ascii="Abadi" w:hAnsi="Abadi"/>
          <w:sz w:val="21"/>
          <w:szCs w:val="21"/>
        </w:rPr>
        <w:t xml:space="preserve"> </w:t>
      </w:r>
      <w:r w:rsidR="00994A68" w:rsidRPr="0021199F">
        <w:rPr>
          <w:rFonts w:ascii="Abadi" w:hAnsi="Abadi"/>
          <w:sz w:val="21"/>
          <w:szCs w:val="21"/>
        </w:rPr>
        <w:t>En vi</w:t>
      </w:r>
      <w:r w:rsidR="00994A68">
        <w:rPr>
          <w:rFonts w:ascii="Abadi" w:hAnsi="Abadi"/>
          <w:sz w:val="21"/>
          <w:szCs w:val="21"/>
        </w:rPr>
        <w:t xml:space="preserve">rtud de que no se ha aprobado la obvia resolución. </w:t>
      </w:r>
    </w:p>
    <w:p w14:paraId="73C165D7" w14:textId="400669D5" w:rsidR="001328A5" w:rsidRPr="001328A5" w:rsidRDefault="00994A68" w:rsidP="00867B86">
      <w:pPr>
        <w:pStyle w:val="NormalWeb"/>
        <w:ind w:left="567" w:right="212"/>
        <w:jc w:val="both"/>
        <w:rPr>
          <w:rFonts w:ascii="Abadi" w:hAnsi="Abadi"/>
          <w:sz w:val="21"/>
          <w:szCs w:val="21"/>
        </w:rPr>
      </w:pPr>
      <w:r w:rsidRPr="00C54E5A">
        <w:rPr>
          <w:rFonts w:ascii="Abadi" w:hAnsi="Abadi"/>
          <w:b/>
          <w:bCs/>
          <w:i/>
          <w:iCs/>
          <w:sz w:val="21"/>
          <w:szCs w:val="21"/>
          <w:u w:val="single"/>
        </w:rPr>
        <w:t>Se turna a la Comisión de Seguridad Pública y Comunicaciones, con fundamento, en el artículo 119 fracción IV para su estudio y dictamen.</w:t>
      </w:r>
    </w:p>
    <w:p w14:paraId="2E5A39EE" w14:textId="04E47F0F" w:rsidR="00021259" w:rsidRPr="00550624" w:rsidRDefault="00021259" w:rsidP="00343CA9">
      <w:pPr>
        <w:pStyle w:val="Prrafodelista"/>
        <w:numPr>
          <w:ilvl w:val="0"/>
          <w:numId w:val="17"/>
        </w:numPr>
        <w:autoSpaceDE w:val="0"/>
        <w:autoSpaceDN w:val="0"/>
        <w:adjustRightInd w:val="0"/>
        <w:ind w:left="426"/>
        <w:jc w:val="both"/>
        <w:rPr>
          <w:rFonts w:ascii="Abadi" w:hAnsi="Abadi" w:cs="ArialMT"/>
          <w:b/>
          <w:bCs/>
          <w:sz w:val="21"/>
          <w:szCs w:val="21"/>
        </w:rPr>
      </w:pPr>
      <w:r w:rsidRPr="00550624">
        <w:rPr>
          <w:rFonts w:ascii="Abadi" w:hAnsi="Abadi" w:cs="ArialMT"/>
          <w:b/>
          <w:bCs/>
          <w:sz w:val="21"/>
          <w:szCs w:val="21"/>
        </w:rPr>
        <w:t xml:space="preserve">PRESENTACIÓN DE LA PROPUESTA DE PUNTO DE ACUERDO DE OBVIA RESOLUCIÓN SUSCRITA POR DIPUTADAS Y DIPUTADOS INTEGRANTES DEL GRUPO PARLAMENTARIO DEL PARTIDO ACCIÓN NACIONAL A EFECTO DE EXHORTAR A LOS 46 AYUNTAMIENTOS PARA QUE, EN CASO DE NO HABERLO EFECTUADO, REALICEN LOS NOMBRAMIENTOS DE LOS DELEGADOS Y SUBDELEGADOS Y SE INFORME A ESTA SOBERANÍA SOBRE </w:t>
      </w:r>
      <w:r w:rsidR="00BA7677" w:rsidRPr="00550624">
        <w:rPr>
          <w:rFonts w:ascii="Abadi" w:hAnsi="Abadi" w:cs="ArialMT"/>
          <w:b/>
          <w:bCs/>
          <w:sz w:val="21"/>
          <w:szCs w:val="21"/>
        </w:rPr>
        <w:t>LOS RESULTADOS</w:t>
      </w:r>
      <w:r w:rsidRPr="00550624">
        <w:rPr>
          <w:rFonts w:ascii="Abadi" w:hAnsi="Abadi" w:cs="ArialMT"/>
          <w:b/>
          <w:bCs/>
          <w:sz w:val="21"/>
          <w:szCs w:val="21"/>
        </w:rPr>
        <w:t xml:space="preserve"> Y, EN SU CASO, APROBACIÓN DE LA MISMA.</w:t>
      </w:r>
    </w:p>
    <w:p w14:paraId="6E23F1BB" w14:textId="77777777" w:rsidR="003A4707" w:rsidRPr="00550624" w:rsidRDefault="003A4707" w:rsidP="00021259">
      <w:pPr>
        <w:autoSpaceDE w:val="0"/>
        <w:autoSpaceDN w:val="0"/>
        <w:adjustRightInd w:val="0"/>
        <w:jc w:val="both"/>
        <w:rPr>
          <w:rFonts w:ascii="Abadi" w:hAnsi="Abadi" w:cs="ArialMT"/>
          <w:b/>
          <w:bCs/>
          <w:sz w:val="21"/>
          <w:szCs w:val="21"/>
        </w:rPr>
      </w:pPr>
    </w:p>
    <w:p w14:paraId="7C827A70" w14:textId="77777777" w:rsidR="00CB1339" w:rsidRPr="00550624" w:rsidRDefault="00BA7677" w:rsidP="00BA7677">
      <w:pPr>
        <w:autoSpaceDE w:val="0"/>
        <w:autoSpaceDN w:val="0"/>
        <w:adjustRightInd w:val="0"/>
        <w:jc w:val="both"/>
        <w:rPr>
          <w:rFonts w:ascii="Abadi" w:hAnsi="Abadi" w:cs="Arial-BoldMT"/>
          <w:b/>
          <w:bCs/>
          <w:sz w:val="21"/>
          <w:szCs w:val="21"/>
          <w:lang w:val="es-MX"/>
        </w:rPr>
      </w:pPr>
      <w:r w:rsidRPr="00550624">
        <w:rPr>
          <w:rFonts w:ascii="Abadi" w:hAnsi="Abadi" w:cs="Arial-BoldMT"/>
          <w:b/>
          <w:bCs/>
          <w:sz w:val="21"/>
          <w:szCs w:val="21"/>
          <w:lang w:val="es-MX"/>
        </w:rPr>
        <w:t xml:space="preserve">DIPUTADA IRMA LETICIA GONZÁLEZ SÁNCHEZ </w:t>
      </w:r>
    </w:p>
    <w:p w14:paraId="6E094159" w14:textId="77777777" w:rsidR="003F371E" w:rsidRPr="00550624" w:rsidRDefault="00BA7677" w:rsidP="00BA7677">
      <w:pPr>
        <w:autoSpaceDE w:val="0"/>
        <w:autoSpaceDN w:val="0"/>
        <w:adjustRightInd w:val="0"/>
        <w:jc w:val="both"/>
        <w:rPr>
          <w:rFonts w:ascii="Abadi" w:hAnsi="Abadi" w:cs="Arial-BoldMT"/>
          <w:b/>
          <w:bCs/>
          <w:sz w:val="21"/>
          <w:szCs w:val="21"/>
          <w:lang w:val="es-MX"/>
        </w:rPr>
      </w:pPr>
      <w:r w:rsidRPr="00550624">
        <w:rPr>
          <w:rFonts w:ascii="Abadi" w:hAnsi="Abadi" w:cs="Arial-BoldMT"/>
          <w:b/>
          <w:bCs/>
          <w:sz w:val="21"/>
          <w:szCs w:val="21"/>
          <w:lang w:val="es-MX"/>
        </w:rPr>
        <w:t xml:space="preserve">PRESIDENTA DEL CONGRESO DEL ESTADO </w:t>
      </w:r>
    </w:p>
    <w:p w14:paraId="3701C743" w14:textId="12B2BCFF" w:rsidR="00BA7677" w:rsidRPr="00550624" w:rsidRDefault="00BA7677" w:rsidP="00BA7677">
      <w:pPr>
        <w:autoSpaceDE w:val="0"/>
        <w:autoSpaceDN w:val="0"/>
        <w:adjustRightInd w:val="0"/>
        <w:jc w:val="both"/>
        <w:rPr>
          <w:rFonts w:ascii="Abadi" w:hAnsi="Abadi" w:cs="Arial-BoldMT"/>
          <w:b/>
          <w:bCs/>
          <w:sz w:val="21"/>
          <w:szCs w:val="21"/>
          <w:lang w:val="es-MX"/>
        </w:rPr>
      </w:pPr>
      <w:r w:rsidRPr="00550624">
        <w:rPr>
          <w:rFonts w:ascii="Abadi" w:hAnsi="Abadi" w:cs="Arial-BoldMT"/>
          <w:b/>
          <w:bCs/>
          <w:sz w:val="21"/>
          <w:szCs w:val="21"/>
          <w:lang w:val="es-MX"/>
        </w:rPr>
        <w:t>LIBRE Y SOBERANO DE GUANAJUATO SEXAGÉSIMA QUINTA LEGISLATURA</w:t>
      </w:r>
    </w:p>
    <w:p w14:paraId="5A4635D9" w14:textId="77777777" w:rsidR="00BA7677" w:rsidRPr="00550624" w:rsidRDefault="00BA7677" w:rsidP="00BA7677">
      <w:pPr>
        <w:autoSpaceDE w:val="0"/>
        <w:autoSpaceDN w:val="0"/>
        <w:adjustRightInd w:val="0"/>
        <w:jc w:val="both"/>
        <w:rPr>
          <w:rFonts w:ascii="Abadi" w:hAnsi="Abadi" w:cs="Arial-BoldMT"/>
          <w:b/>
          <w:bCs/>
          <w:sz w:val="21"/>
          <w:szCs w:val="21"/>
          <w:lang w:val="es-MX"/>
        </w:rPr>
      </w:pPr>
    </w:p>
    <w:p w14:paraId="528C9DDF" w14:textId="77777777" w:rsidR="00BA7677" w:rsidRPr="00550624" w:rsidRDefault="00BA7677" w:rsidP="00BA7677">
      <w:pPr>
        <w:autoSpaceDE w:val="0"/>
        <w:autoSpaceDN w:val="0"/>
        <w:adjustRightInd w:val="0"/>
        <w:jc w:val="both"/>
        <w:rPr>
          <w:rFonts w:ascii="Abadi" w:hAnsi="Abadi" w:cs="Arial-BoldMT"/>
          <w:b/>
          <w:bCs/>
          <w:sz w:val="21"/>
          <w:szCs w:val="21"/>
          <w:lang w:val="es-MX"/>
        </w:rPr>
      </w:pPr>
      <w:r w:rsidRPr="00550624">
        <w:rPr>
          <w:rFonts w:ascii="Abadi" w:hAnsi="Abadi" w:cs="Arial-BoldMT"/>
          <w:b/>
          <w:bCs/>
          <w:sz w:val="21"/>
          <w:szCs w:val="21"/>
          <w:lang w:val="es-MX"/>
        </w:rPr>
        <w:t xml:space="preserve">P R E S E N T E </w:t>
      </w:r>
    </w:p>
    <w:p w14:paraId="77915E42" w14:textId="77777777" w:rsidR="00BA7677" w:rsidRPr="00550624" w:rsidRDefault="00BA7677" w:rsidP="00BA7677">
      <w:pPr>
        <w:autoSpaceDE w:val="0"/>
        <w:autoSpaceDN w:val="0"/>
        <w:adjustRightInd w:val="0"/>
        <w:jc w:val="both"/>
        <w:rPr>
          <w:rFonts w:ascii="Abadi" w:hAnsi="Abadi" w:cs="Arial-BoldMT"/>
          <w:sz w:val="21"/>
          <w:szCs w:val="21"/>
          <w:lang w:val="es-MX"/>
        </w:rPr>
      </w:pPr>
    </w:p>
    <w:p w14:paraId="1ED9F98C" w14:textId="346A6D72" w:rsidR="00BA7677" w:rsidRPr="00550624" w:rsidRDefault="00BA7677" w:rsidP="00BA7677">
      <w:pPr>
        <w:autoSpaceDE w:val="0"/>
        <w:autoSpaceDN w:val="0"/>
        <w:adjustRightInd w:val="0"/>
        <w:jc w:val="both"/>
        <w:rPr>
          <w:rFonts w:ascii="Abadi" w:hAnsi="Abadi" w:cs="Arial-BoldMT"/>
          <w:b/>
          <w:bCs/>
          <w:sz w:val="21"/>
          <w:szCs w:val="21"/>
          <w:lang w:val="es-MX"/>
        </w:rPr>
      </w:pPr>
      <w:r w:rsidRPr="00550624">
        <w:rPr>
          <w:rFonts w:ascii="Abadi" w:hAnsi="Abadi" w:cs="Arial-BoldMT"/>
          <w:sz w:val="21"/>
          <w:szCs w:val="21"/>
          <w:lang w:val="es-MX"/>
        </w:rPr>
        <w:t xml:space="preserve">El proponente Diputado Jorge Ortiz Ortega y quienes con el suscriben, Diputadas y diputados del Grupo Parlamentario del Partido Acción Nacional ante la Sexagésima Quinta Legislatura del Congreso del Estado Libre y Soberano de Guanajuato, con fundamento en lo dispuesto por los artículos 57 primer párrafo de la Constitución Política para el Estado de Guanajuato, artículo 77 y 204, párrafos primero, segundo y tercero, fracción </w:t>
      </w:r>
      <w:r w:rsidR="008D02B5">
        <w:rPr>
          <w:rFonts w:ascii="Abadi" w:hAnsi="Abadi" w:cs="Arial-BoldMT"/>
          <w:sz w:val="21"/>
          <w:szCs w:val="21"/>
          <w:lang w:val="es-MX"/>
        </w:rPr>
        <w:t>III</w:t>
      </w:r>
      <w:r w:rsidRPr="00550624">
        <w:rPr>
          <w:rFonts w:ascii="Abadi" w:hAnsi="Abadi" w:cs="Arial-BoldMT"/>
          <w:sz w:val="21"/>
          <w:szCs w:val="21"/>
          <w:lang w:val="es-MX"/>
        </w:rPr>
        <w:t xml:space="preserve"> de la Ley Orgánica del Poder  Legislativo del Estado de Guanajuato, </w:t>
      </w:r>
      <w:r w:rsidRPr="00550624">
        <w:rPr>
          <w:rFonts w:ascii="Abadi" w:hAnsi="Abadi" w:cs="Arial-BoldMT"/>
          <w:b/>
          <w:bCs/>
          <w:sz w:val="21"/>
          <w:szCs w:val="21"/>
          <w:lang w:val="es-MX"/>
        </w:rPr>
        <w:t xml:space="preserve">nos permitimos presentar </w:t>
      </w:r>
      <w:r w:rsidRPr="00550624">
        <w:rPr>
          <w:rFonts w:ascii="Abadi" w:hAnsi="Abadi" w:cs="Arial-BoldMT"/>
          <w:sz w:val="21"/>
          <w:szCs w:val="21"/>
          <w:lang w:val="es-MX"/>
        </w:rPr>
        <w:t xml:space="preserve">y </w:t>
      </w:r>
      <w:r w:rsidRPr="00550624">
        <w:rPr>
          <w:rFonts w:ascii="Abadi" w:hAnsi="Abadi" w:cs="Arial-BoldMT"/>
          <w:b/>
          <w:bCs/>
          <w:sz w:val="21"/>
          <w:szCs w:val="21"/>
          <w:lang w:val="es-MX"/>
        </w:rPr>
        <w:t>someter a la consideración de esta Honorable Asamblea, la presente propuesta de PUNTO DE ACUERDO URGENTE Y DE OBVIA RESOLUCIÓN, sustentado en las siguientes:</w:t>
      </w:r>
    </w:p>
    <w:p w14:paraId="2B47352B" w14:textId="77777777" w:rsidR="00BA7677" w:rsidRPr="00550624" w:rsidRDefault="00BA7677" w:rsidP="00BA7677">
      <w:pPr>
        <w:autoSpaceDE w:val="0"/>
        <w:autoSpaceDN w:val="0"/>
        <w:adjustRightInd w:val="0"/>
        <w:jc w:val="both"/>
        <w:rPr>
          <w:rFonts w:ascii="Abadi" w:hAnsi="Abadi" w:cs="Arial-BoldMT"/>
          <w:b/>
          <w:bCs/>
          <w:sz w:val="21"/>
          <w:szCs w:val="21"/>
          <w:lang w:val="es-MX"/>
        </w:rPr>
      </w:pPr>
    </w:p>
    <w:p w14:paraId="65CF8D22" w14:textId="77777777" w:rsidR="00BA7677" w:rsidRPr="00550624" w:rsidRDefault="00BA7677" w:rsidP="00CB1339">
      <w:pPr>
        <w:autoSpaceDE w:val="0"/>
        <w:autoSpaceDN w:val="0"/>
        <w:adjustRightInd w:val="0"/>
        <w:jc w:val="center"/>
        <w:rPr>
          <w:rFonts w:ascii="Abadi" w:hAnsi="Abadi" w:cs="Arial-BoldMT"/>
          <w:sz w:val="21"/>
          <w:szCs w:val="21"/>
          <w:lang w:val="es-MX"/>
        </w:rPr>
      </w:pPr>
      <w:r w:rsidRPr="00550624">
        <w:rPr>
          <w:rFonts w:ascii="Abadi" w:hAnsi="Abadi" w:cs="Arial-BoldMT"/>
          <w:sz w:val="21"/>
          <w:szCs w:val="21"/>
          <w:lang w:val="es-MX"/>
        </w:rPr>
        <w:t>C O N S I D E R A C I O N E S:</w:t>
      </w:r>
    </w:p>
    <w:p w14:paraId="66663B60" w14:textId="77777777" w:rsidR="00BA7677" w:rsidRPr="00550624" w:rsidRDefault="00BA7677" w:rsidP="00BA7677">
      <w:pPr>
        <w:autoSpaceDE w:val="0"/>
        <w:autoSpaceDN w:val="0"/>
        <w:adjustRightInd w:val="0"/>
        <w:jc w:val="both"/>
        <w:rPr>
          <w:rFonts w:ascii="Abadi" w:hAnsi="Abadi" w:cs="Arial-BoldMT"/>
          <w:sz w:val="21"/>
          <w:szCs w:val="21"/>
          <w:lang w:val="es-MX"/>
        </w:rPr>
      </w:pPr>
    </w:p>
    <w:p w14:paraId="7B00AC89" w14:textId="143CDF2F" w:rsidR="00BA7677" w:rsidRPr="00550624" w:rsidRDefault="00BA7677" w:rsidP="00BA7677">
      <w:pPr>
        <w:autoSpaceDE w:val="0"/>
        <w:autoSpaceDN w:val="0"/>
        <w:adjustRightInd w:val="0"/>
        <w:jc w:val="both"/>
        <w:rPr>
          <w:rFonts w:ascii="Abadi" w:hAnsi="Abadi" w:cs="Arial-BoldMT"/>
          <w:sz w:val="21"/>
          <w:szCs w:val="21"/>
          <w:lang w:val="es-MX"/>
        </w:rPr>
      </w:pPr>
      <w:r w:rsidRPr="00550624">
        <w:rPr>
          <w:rFonts w:ascii="Abadi" w:hAnsi="Abadi" w:cs="Arial-BoldMT"/>
          <w:sz w:val="21"/>
          <w:szCs w:val="21"/>
          <w:lang w:val="es-MX"/>
        </w:rPr>
        <w:t xml:space="preserve">La vida pública municipal tiene diversos actores conocidos por la mayoría de los habitantes y en ese sentido las comunidades ubican muy bien a la figura de un delegado y </w:t>
      </w:r>
      <w:proofErr w:type="spellStart"/>
      <w:r w:rsidRPr="00550624">
        <w:rPr>
          <w:rFonts w:ascii="Abadi" w:hAnsi="Abadi" w:cs="Arial-BoldMT"/>
          <w:sz w:val="21"/>
          <w:szCs w:val="21"/>
          <w:lang w:val="es-MX"/>
        </w:rPr>
        <w:t>subdelagado</w:t>
      </w:r>
      <w:proofErr w:type="spellEnd"/>
      <w:r w:rsidRPr="00550624">
        <w:rPr>
          <w:rFonts w:ascii="Abadi" w:hAnsi="Abadi" w:cs="Arial-BoldMT"/>
          <w:sz w:val="21"/>
          <w:szCs w:val="21"/>
          <w:lang w:val="es-MX"/>
        </w:rPr>
        <w:t xml:space="preserve">, y es de reconocer que </w:t>
      </w:r>
      <w:r w:rsidR="0002051A" w:rsidRPr="00550624">
        <w:rPr>
          <w:rFonts w:ascii="Abadi" w:hAnsi="Abadi" w:cs="Arial-BoldMT"/>
          <w:sz w:val="21"/>
          <w:szCs w:val="21"/>
          <w:lang w:val="es-MX"/>
        </w:rPr>
        <w:t>también</w:t>
      </w:r>
      <w:r w:rsidRPr="00550624">
        <w:rPr>
          <w:rFonts w:ascii="Abadi" w:hAnsi="Abadi" w:cs="Arial-BoldMT"/>
          <w:sz w:val="21"/>
          <w:szCs w:val="21"/>
          <w:lang w:val="es-MX"/>
        </w:rPr>
        <w:t xml:space="preserve"> existen las mujeres en dichas representaciones, hombres y mujeres dispuestos a participar de manera activa y permanente para el desarrollo de su comunidad.</w:t>
      </w:r>
    </w:p>
    <w:p w14:paraId="0C517B54" w14:textId="77777777" w:rsidR="005B7B35" w:rsidRPr="00550624" w:rsidRDefault="005B7B35" w:rsidP="00BA7677">
      <w:pPr>
        <w:autoSpaceDE w:val="0"/>
        <w:autoSpaceDN w:val="0"/>
        <w:adjustRightInd w:val="0"/>
        <w:jc w:val="both"/>
        <w:rPr>
          <w:rFonts w:ascii="Abadi" w:hAnsi="Abadi" w:cs="Arial-BoldMT"/>
          <w:sz w:val="21"/>
          <w:szCs w:val="21"/>
          <w:lang w:val="es-MX"/>
        </w:rPr>
      </w:pPr>
    </w:p>
    <w:p w14:paraId="55B1076E" w14:textId="7EE6B5A9" w:rsidR="00BA7677" w:rsidRPr="000D20B3" w:rsidRDefault="00BA7677" w:rsidP="00BA7677">
      <w:pPr>
        <w:autoSpaceDE w:val="0"/>
        <w:autoSpaceDN w:val="0"/>
        <w:adjustRightInd w:val="0"/>
        <w:jc w:val="both"/>
        <w:rPr>
          <w:rFonts w:ascii="Abadi" w:hAnsi="Abadi" w:cs="Arial-BoldMT"/>
          <w:sz w:val="21"/>
          <w:szCs w:val="21"/>
          <w:lang w:val="es-MX"/>
        </w:rPr>
      </w:pPr>
      <w:r w:rsidRPr="00550624">
        <w:rPr>
          <w:rFonts w:ascii="Abadi" w:hAnsi="Abadi" w:cs="Arial-BoldMT"/>
          <w:sz w:val="21"/>
          <w:szCs w:val="21"/>
          <w:lang w:val="es-MX"/>
        </w:rPr>
        <w:t xml:space="preserve">Si bien la figura de un delegado o delegada, subdelegado y subdelegada, es también el primer escalón para que las cosas puedan suceder, ya que dentro de su actuar se encuentra el de ser auxiliares </w:t>
      </w:r>
      <w:r w:rsidRPr="000D20B3">
        <w:rPr>
          <w:rFonts w:ascii="Abadi" w:hAnsi="Abadi" w:cs="Arial-BoldMT"/>
          <w:sz w:val="21"/>
          <w:szCs w:val="21"/>
          <w:lang w:val="es-MX"/>
        </w:rPr>
        <w:t>de la administración pública municipal; además de ser una pieza fundamental para mantener el orden, la paz social, y la gestión en las mejoras de la comunidad, por ello, es de suma importancia contar con dichas figuras porque son la voz de los habitantes, son ellos y ellas las día con día están en contacto con la ciudadanía y el puente de comunicación con los</w:t>
      </w:r>
      <w:r w:rsidR="005B7B35" w:rsidRPr="000D20B3">
        <w:rPr>
          <w:rFonts w:ascii="Abadi" w:hAnsi="Abadi" w:cs="Arial-BoldMT"/>
          <w:sz w:val="21"/>
          <w:szCs w:val="21"/>
          <w:lang w:val="es-MX"/>
        </w:rPr>
        <w:t xml:space="preserve"> </w:t>
      </w:r>
      <w:r w:rsidRPr="000D20B3">
        <w:rPr>
          <w:rFonts w:ascii="Abadi" w:hAnsi="Abadi" w:cs="Arial-BoldMT"/>
          <w:sz w:val="21"/>
          <w:szCs w:val="21"/>
          <w:lang w:val="es-MX"/>
        </w:rPr>
        <w:t>ayuntamientos.</w:t>
      </w:r>
    </w:p>
    <w:p w14:paraId="73D41664" w14:textId="77777777" w:rsidR="005B7B35" w:rsidRPr="000D20B3" w:rsidRDefault="005B7B35" w:rsidP="00BA7677">
      <w:pPr>
        <w:autoSpaceDE w:val="0"/>
        <w:autoSpaceDN w:val="0"/>
        <w:adjustRightInd w:val="0"/>
        <w:jc w:val="both"/>
        <w:rPr>
          <w:rFonts w:ascii="Abadi" w:hAnsi="Abadi" w:cs="Arial-BoldMT"/>
          <w:sz w:val="21"/>
          <w:szCs w:val="21"/>
          <w:lang w:val="es-MX"/>
        </w:rPr>
      </w:pPr>
    </w:p>
    <w:p w14:paraId="0376E048" w14:textId="77777777" w:rsidR="00BA7677" w:rsidRPr="000D20B3" w:rsidRDefault="00BA7677" w:rsidP="00BA7677">
      <w:pPr>
        <w:autoSpaceDE w:val="0"/>
        <w:autoSpaceDN w:val="0"/>
        <w:adjustRightInd w:val="0"/>
        <w:jc w:val="both"/>
        <w:rPr>
          <w:rFonts w:ascii="Abadi" w:hAnsi="Abadi" w:cs="Arial-BoldMT"/>
          <w:b/>
          <w:bCs/>
          <w:sz w:val="21"/>
          <w:szCs w:val="21"/>
          <w:lang w:val="es-MX"/>
        </w:rPr>
      </w:pPr>
      <w:r w:rsidRPr="000D20B3">
        <w:rPr>
          <w:rFonts w:ascii="Abadi" w:hAnsi="Abadi" w:cs="Arial-BoldMT"/>
          <w:sz w:val="21"/>
          <w:szCs w:val="21"/>
          <w:lang w:val="es-MX"/>
        </w:rPr>
        <w:t xml:space="preserve">La Ley Orgánica del Estado de Guanajuato, señala en el artículo 141 "que los delegados y subdelegados municipales, serán nombrados o ratificados por el ayuntamiento a propuesta del Presidente Municipal </w:t>
      </w:r>
      <w:r w:rsidRPr="000D20B3">
        <w:rPr>
          <w:rFonts w:ascii="Abadi" w:hAnsi="Abadi" w:cs="Arial-BoldMT"/>
          <w:b/>
          <w:bCs/>
          <w:sz w:val="21"/>
          <w:szCs w:val="21"/>
          <w:lang w:val="es-MX"/>
        </w:rPr>
        <w:t>dentro de los seis meses siguientes a la instalación del Ayuntamiento".</w:t>
      </w:r>
    </w:p>
    <w:p w14:paraId="0286CB0E" w14:textId="77777777" w:rsidR="00BA7677" w:rsidRPr="000D20B3" w:rsidRDefault="00BA7677" w:rsidP="00BA7677">
      <w:pPr>
        <w:autoSpaceDE w:val="0"/>
        <w:autoSpaceDN w:val="0"/>
        <w:adjustRightInd w:val="0"/>
        <w:jc w:val="both"/>
        <w:rPr>
          <w:rFonts w:ascii="Abadi" w:hAnsi="Abadi" w:cs="Arial-BoldMT"/>
          <w:b/>
          <w:bCs/>
          <w:sz w:val="21"/>
          <w:szCs w:val="21"/>
          <w:lang w:val="es-MX"/>
        </w:rPr>
      </w:pPr>
    </w:p>
    <w:p w14:paraId="0828819A" w14:textId="77777777" w:rsidR="00BA7677" w:rsidRPr="000D20B3" w:rsidRDefault="00BA7677" w:rsidP="00BA7677">
      <w:pPr>
        <w:autoSpaceDE w:val="0"/>
        <w:autoSpaceDN w:val="0"/>
        <w:adjustRightInd w:val="0"/>
        <w:jc w:val="both"/>
        <w:rPr>
          <w:rFonts w:ascii="Abadi" w:hAnsi="Abadi" w:cs="Arial-BoldMT"/>
          <w:sz w:val="21"/>
          <w:szCs w:val="21"/>
          <w:lang w:val="es-MX"/>
        </w:rPr>
      </w:pPr>
      <w:r w:rsidRPr="000D20B3">
        <w:rPr>
          <w:rFonts w:ascii="Abadi" w:hAnsi="Abadi" w:cs="Arial-BoldMT"/>
          <w:sz w:val="21"/>
          <w:szCs w:val="21"/>
          <w:lang w:val="es-MX"/>
        </w:rPr>
        <w:t>Tiempo ya transcurrido en estas administraciones municipales, para el nombramiento y ratificación de los delegados y subdelegados municipales, se requerirá la mayoría absoluta del ayuntamiento, además de tener la opción de una consulta pública previa a los habitantes de la delegación.</w:t>
      </w:r>
    </w:p>
    <w:p w14:paraId="15009631" w14:textId="77777777" w:rsidR="00BA7677" w:rsidRPr="000D20B3" w:rsidRDefault="00BA7677" w:rsidP="00BA7677">
      <w:pPr>
        <w:autoSpaceDE w:val="0"/>
        <w:autoSpaceDN w:val="0"/>
        <w:adjustRightInd w:val="0"/>
        <w:jc w:val="both"/>
        <w:rPr>
          <w:rFonts w:ascii="Abadi" w:hAnsi="Abadi" w:cs="Arial-BoldMT"/>
          <w:sz w:val="21"/>
          <w:szCs w:val="21"/>
          <w:lang w:val="es-MX"/>
        </w:rPr>
      </w:pPr>
    </w:p>
    <w:p w14:paraId="528E8479" w14:textId="77777777" w:rsidR="00BA7677" w:rsidRPr="000D20B3" w:rsidRDefault="00BA7677" w:rsidP="00BA7677">
      <w:pPr>
        <w:autoSpaceDE w:val="0"/>
        <w:autoSpaceDN w:val="0"/>
        <w:adjustRightInd w:val="0"/>
        <w:jc w:val="both"/>
        <w:rPr>
          <w:rFonts w:ascii="Abadi" w:hAnsi="Abadi" w:cs="Arial-BoldMT"/>
          <w:sz w:val="21"/>
          <w:szCs w:val="21"/>
          <w:lang w:val="es-MX"/>
        </w:rPr>
      </w:pPr>
      <w:r w:rsidRPr="000D20B3">
        <w:rPr>
          <w:rFonts w:ascii="Abadi" w:hAnsi="Abadi" w:cs="Arial-BoldMT"/>
          <w:sz w:val="21"/>
          <w:szCs w:val="21"/>
          <w:lang w:val="es-MX"/>
        </w:rPr>
        <w:t>Por lo anterior, es de suma importancia y prioridad que estas figuras se encuentren activas en los municipios del estado de guanajuato, porque son voceros y oídos para los ayuntamientos, tarea nada fácil que debemos reconocerles, ciudadanos que levantan la mano para que su comunidad mejore. Además de estar dispuestos a participar en las reuniones para seguimiento implemente la administración municipal, en la prestación de los servicios.</w:t>
      </w:r>
    </w:p>
    <w:p w14:paraId="407CE6C4" w14:textId="77777777" w:rsidR="00BA7677" w:rsidRPr="000D20B3" w:rsidRDefault="00BA7677" w:rsidP="00BA7677">
      <w:pPr>
        <w:autoSpaceDE w:val="0"/>
        <w:autoSpaceDN w:val="0"/>
        <w:adjustRightInd w:val="0"/>
        <w:jc w:val="both"/>
        <w:rPr>
          <w:rFonts w:ascii="Abadi" w:hAnsi="Abadi" w:cs="Arial-BoldMT"/>
          <w:sz w:val="21"/>
          <w:szCs w:val="21"/>
          <w:lang w:val="es-MX"/>
        </w:rPr>
      </w:pPr>
    </w:p>
    <w:p w14:paraId="32070828" w14:textId="43D398E4" w:rsidR="00BA7677" w:rsidRPr="000D20B3" w:rsidRDefault="00BA7677" w:rsidP="00BA7677">
      <w:pPr>
        <w:autoSpaceDE w:val="0"/>
        <w:autoSpaceDN w:val="0"/>
        <w:adjustRightInd w:val="0"/>
        <w:jc w:val="both"/>
        <w:rPr>
          <w:rFonts w:ascii="Abadi" w:hAnsi="Abadi" w:cs="Arial-BoldMT"/>
          <w:sz w:val="21"/>
          <w:szCs w:val="21"/>
          <w:lang w:val="es-MX"/>
        </w:rPr>
      </w:pPr>
      <w:r w:rsidRPr="000D20B3">
        <w:rPr>
          <w:rFonts w:ascii="Abadi" w:hAnsi="Abadi" w:cs="Arial-BoldMT"/>
          <w:sz w:val="21"/>
          <w:szCs w:val="21"/>
          <w:lang w:val="es-MX"/>
        </w:rPr>
        <w:t>Por lo anteriormente expuesto, fundado y motivado, solicitamos a esta Honorable</w:t>
      </w:r>
      <w:r w:rsidR="00974BD7" w:rsidRPr="000D20B3">
        <w:rPr>
          <w:rFonts w:ascii="Abadi" w:hAnsi="Abadi" w:cs="Arial-BoldMT"/>
          <w:sz w:val="21"/>
          <w:szCs w:val="21"/>
          <w:lang w:val="es-MX"/>
        </w:rPr>
        <w:t xml:space="preserve"> </w:t>
      </w:r>
      <w:r w:rsidRPr="000D20B3">
        <w:rPr>
          <w:rFonts w:ascii="Abadi" w:hAnsi="Abadi" w:cs="Arial-BoldMT"/>
          <w:sz w:val="21"/>
          <w:szCs w:val="21"/>
          <w:lang w:val="es-MX"/>
        </w:rPr>
        <w:t>Asamblea la aprobación del siguiente:</w:t>
      </w:r>
    </w:p>
    <w:p w14:paraId="52D0BF18" w14:textId="77777777" w:rsidR="00BA7677" w:rsidRPr="000D20B3" w:rsidRDefault="00BA7677" w:rsidP="00BA7677">
      <w:pPr>
        <w:autoSpaceDE w:val="0"/>
        <w:autoSpaceDN w:val="0"/>
        <w:adjustRightInd w:val="0"/>
        <w:jc w:val="both"/>
        <w:rPr>
          <w:rFonts w:ascii="Abadi" w:hAnsi="Abadi" w:cs="Arial-BoldMT"/>
          <w:sz w:val="21"/>
          <w:szCs w:val="21"/>
          <w:lang w:val="es-MX"/>
        </w:rPr>
      </w:pPr>
    </w:p>
    <w:p w14:paraId="2D3FF062" w14:textId="77777777" w:rsidR="00BA7677" w:rsidRPr="000D20B3" w:rsidRDefault="00BA7677" w:rsidP="00BA7677">
      <w:pPr>
        <w:autoSpaceDE w:val="0"/>
        <w:autoSpaceDN w:val="0"/>
        <w:adjustRightInd w:val="0"/>
        <w:jc w:val="both"/>
        <w:rPr>
          <w:rFonts w:ascii="Abadi" w:hAnsi="Abadi" w:cs="Arial-BoldMT"/>
          <w:b/>
          <w:bCs/>
          <w:sz w:val="21"/>
          <w:szCs w:val="21"/>
          <w:lang w:val="es-MX"/>
        </w:rPr>
      </w:pPr>
    </w:p>
    <w:p w14:paraId="08F5B253" w14:textId="77777777" w:rsidR="00BA7677" w:rsidRPr="000D20B3" w:rsidRDefault="00BA7677" w:rsidP="00974BD7">
      <w:pPr>
        <w:autoSpaceDE w:val="0"/>
        <w:autoSpaceDN w:val="0"/>
        <w:adjustRightInd w:val="0"/>
        <w:jc w:val="center"/>
        <w:rPr>
          <w:rFonts w:ascii="Abadi" w:hAnsi="Abadi" w:cs="Arial-BoldMT"/>
          <w:b/>
          <w:bCs/>
          <w:sz w:val="21"/>
          <w:szCs w:val="21"/>
          <w:lang w:val="es-MX"/>
        </w:rPr>
      </w:pPr>
      <w:r w:rsidRPr="000D20B3">
        <w:rPr>
          <w:rFonts w:ascii="Abadi" w:hAnsi="Abadi" w:cs="Arial-BoldMT"/>
          <w:b/>
          <w:bCs/>
          <w:sz w:val="21"/>
          <w:szCs w:val="21"/>
          <w:lang w:val="es-MX"/>
        </w:rPr>
        <w:t>P U N T O D E A C U E R D O:</w:t>
      </w:r>
    </w:p>
    <w:p w14:paraId="54C6E202" w14:textId="77777777" w:rsidR="00BA7677" w:rsidRPr="000D20B3" w:rsidRDefault="00BA7677" w:rsidP="00BA7677">
      <w:pPr>
        <w:autoSpaceDE w:val="0"/>
        <w:autoSpaceDN w:val="0"/>
        <w:adjustRightInd w:val="0"/>
        <w:jc w:val="both"/>
        <w:rPr>
          <w:rFonts w:ascii="Abadi" w:hAnsi="Abadi" w:cs="Arial-BoldMT"/>
          <w:b/>
          <w:bCs/>
          <w:sz w:val="21"/>
          <w:szCs w:val="21"/>
          <w:lang w:val="es-MX"/>
        </w:rPr>
      </w:pPr>
    </w:p>
    <w:p w14:paraId="6CD947FB" w14:textId="77777777" w:rsidR="00BA7677" w:rsidRPr="000D20B3" w:rsidRDefault="00BA7677" w:rsidP="00BA7677">
      <w:pPr>
        <w:autoSpaceDE w:val="0"/>
        <w:autoSpaceDN w:val="0"/>
        <w:adjustRightInd w:val="0"/>
        <w:jc w:val="both"/>
        <w:rPr>
          <w:rFonts w:ascii="Abadi" w:hAnsi="Abadi" w:cs="Arial-BoldMT"/>
          <w:b/>
          <w:bCs/>
          <w:sz w:val="21"/>
          <w:szCs w:val="21"/>
          <w:lang w:val="es-MX"/>
        </w:rPr>
      </w:pPr>
      <w:r w:rsidRPr="000D20B3">
        <w:rPr>
          <w:rFonts w:ascii="Abadi" w:hAnsi="Abadi" w:cs="Arial-BoldMT"/>
          <w:b/>
          <w:bCs/>
          <w:sz w:val="21"/>
          <w:szCs w:val="21"/>
          <w:lang w:val="es-MX"/>
        </w:rPr>
        <w:t xml:space="preserve">PRIMERO. </w:t>
      </w:r>
      <w:r w:rsidRPr="000D20B3">
        <w:rPr>
          <w:rFonts w:ascii="Abadi" w:hAnsi="Abadi" w:cs="Arial-BoldMT"/>
          <w:sz w:val="21"/>
          <w:szCs w:val="21"/>
          <w:lang w:val="es-MX"/>
        </w:rPr>
        <w:t xml:space="preserve">La Sexagésima Quinta Legislatura del Congreso Libre y Soberano de Guanajuato, efectúa un respetuoso </w:t>
      </w:r>
      <w:r w:rsidRPr="000D20B3">
        <w:rPr>
          <w:rFonts w:ascii="Abadi" w:hAnsi="Abadi" w:cs="Arial-BoldMT"/>
          <w:b/>
          <w:bCs/>
          <w:sz w:val="21"/>
          <w:szCs w:val="21"/>
          <w:lang w:val="es-MX"/>
        </w:rPr>
        <w:t>punto de acuerdo, mediante el cual el Congreso del Estado Libre y Soberano de Guanajuato, exhorta a los 46 Ayuntamientos para que en caso de no haberlo efectuado, realicen los nombramientos de los delegados y subdelegados, y se informe a esta soberanía sobre los resultados.</w:t>
      </w:r>
    </w:p>
    <w:p w14:paraId="66AB5F8B" w14:textId="77777777" w:rsidR="00BA7677" w:rsidRPr="000D20B3" w:rsidRDefault="00BA7677" w:rsidP="00BA7677">
      <w:pPr>
        <w:autoSpaceDE w:val="0"/>
        <w:autoSpaceDN w:val="0"/>
        <w:adjustRightInd w:val="0"/>
        <w:jc w:val="both"/>
        <w:rPr>
          <w:rFonts w:ascii="Abadi" w:hAnsi="Abadi" w:cs="Arial-BoldMT"/>
          <w:b/>
          <w:bCs/>
          <w:sz w:val="21"/>
          <w:szCs w:val="21"/>
          <w:lang w:val="es-MX"/>
        </w:rPr>
      </w:pPr>
    </w:p>
    <w:p w14:paraId="577D3EF9" w14:textId="77777777" w:rsidR="00BA7677" w:rsidRPr="000D20B3" w:rsidRDefault="00BA7677" w:rsidP="00BA7677">
      <w:pPr>
        <w:autoSpaceDE w:val="0"/>
        <w:autoSpaceDN w:val="0"/>
        <w:adjustRightInd w:val="0"/>
        <w:jc w:val="both"/>
        <w:rPr>
          <w:rFonts w:ascii="Abadi" w:hAnsi="Abadi" w:cs="Arial-BoldMT"/>
          <w:b/>
          <w:bCs/>
          <w:sz w:val="21"/>
          <w:szCs w:val="21"/>
          <w:lang w:val="es-MX"/>
        </w:rPr>
      </w:pPr>
    </w:p>
    <w:p w14:paraId="7AE5AA60" w14:textId="77777777" w:rsidR="00BA7677" w:rsidRPr="000D20B3" w:rsidRDefault="00BA7677" w:rsidP="001B526D">
      <w:pPr>
        <w:autoSpaceDE w:val="0"/>
        <w:autoSpaceDN w:val="0"/>
        <w:adjustRightInd w:val="0"/>
        <w:jc w:val="center"/>
        <w:rPr>
          <w:rFonts w:ascii="Abadi" w:hAnsi="Abadi" w:cs="Arial-BoldMT"/>
          <w:b/>
          <w:bCs/>
          <w:sz w:val="21"/>
          <w:szCs w:val="21"/>
          <w:lang w:val="es-MX"/>
        </w:rPr>
      </w:pPr>
      <w:r w:rsidRPr="000D20B3">
        <w:rPr>
          <w:rFonts w:ascii="Abadi" w:hAnsi="Abadi" w:cs="Arial-BoldMT"/>
          <w:b/>
          <w:bCs/>
          <w:sz w:val="21"/>
          <w:szCs w:val="21"/>
          <w:lang w:val="es-MX"/>
        </w:rPr>
        <w:t xml:space="preserve">Guanajuato, </w:t>
      </w:r>
      <w:proofErr w:type="spellStart"/>
      <w:r w:rsidRPr="000D20B3">
        <w:rPr>
          <w:rFonts w:ascii="Abadi" w:hAnsi="Abadi" w:cs="Arial-BoldMT"/>
          <w:b/>
          <w:bCs/>
          <w:sz w:val="21"/>
          <w:szCs w:val="21"/>
          <w:lang w:val="es-MX"/>
        </w:rPr>
        <w:t>Gto</w:t>
      </w:r>
      <w:proofErr w:type="spellEnd"/>
      <w:r w:rsidRPr="000D20B3">
        <w:rPr>
          <w:rFonts w:ascii="Abadi" w:hAnsi="Abadi" w:cs="Arial-BoldMT"/>
          <w:b/>
          <w:bCs/>
          <w:sz w:val="21"/>
          <w:szCs w:val="21"/>
          <w:lang w:val="es-MX"/>
        </w:rPr>
        <w:t>., a 19 de mayo de 2022</w:t>
      </w:r>
    </w:p>
    <w:p w14:paraId="57C60F7F" w14:textId="77777777" w:rsidR="00BA7677" w:rsidRPr="000D20B3" w:rsidRDefault="00BA7677" w:rsidP="001B526D">
      <w:pPr>
        <w:autoSpaceDE w:val="0"/>
        <w:autoSpaceDN w:val="0"/>
        <w:adjustRightInd w:val="0"/>
        <w:jc w:val="center"/>
        <w:rPr>
          <w:rFonts w:ascii="Abadi" w:hAnsi="Abadi" w:cs="Arial-BoldMT"/>
          <w:b/>
          <w:bCs/>
          <w:sz w:val="21"/>
          <w:szCs w:val="21"/>
          <w:lang w:val="es-MX"/>
        </w:rPr>
      </w:pPr>
      <w:r w:rsidRPr="000D20B3">
        <w:rPr>
          <w:rFonts w:ascii="Abadi" w:hAnsi="Abadi" w:cs="Arial-BoldMT"/>
          <w:b/>
          <w:bCs/>
          <w:sz w:val="21"/>
          <w:szCs w:val="21"/>
          <w:lang w:val="es-MX"/>
        </w:rPr>
        <w:t>Grupo Parlamentario del Partido Acción Nacional</w:t>
      </w:r>
    </w:p>
    <w:p w14:paraId="644D6742" w14:textId="30C3448C" w:rsidR="00BA7677" w:rsidRPr="000D20B3" w:rsidRDefault="00BA7677" w:rsidP="001B526D">
      <w:pPr>
        <w:autoSpaceDE w:val="0"/>
        <w:autoSpaceDN w:val="0"/>
        <w:adjustRightInd w:val="0"/>
        <w:jc w:val="center"/>
        <w:rPr>
          <w:rFonts w:ascii="Abadi" w:hAnsi="Abadi" w:cs="Arial-BoldMT"/>
          <w:sz w:val="21"/>
          <w:szCs w:val="21"/>
          <w:lang w:val="es-MX"/>
        </w:rPr>
      </w:pPr>
    </w:p>
    <w:p w14:paraId="08532C03" w14:textId="6EDFB415" w:rsidR="001B526D" w:rsidRPr="000D20B3" w:rsidRDefault="001B526D" w:rsidP="001B526D">
      <w:pPr>
        <w:contextualSpacing/>
        <w:jc w:val="center"/>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Luis Ernesto Ayala Torres.</w:t>
      </w:r>
    </w:p>
    <w:p w14:paraId="79CC372B" w14:textId="110FD565" w:rsidR="001B526D" w:rsidRDefault="001B526D" w:rsidP="001B526D">
      <w:pPr>
        <w:contextualSpacing/>
        <w:jc w:val="center"/>
        <w:rPr>
          <w:rFonts w:ascii="Abadi" w:hAnsi="Abadi" w:cs="Arial-BoldMT"/>
          <w:b/>
          <w:bCs/>
          <w:sz w:val="21"/>
          <w:szCs w:val="21"/>
          <w:lang w:val="es-MX"/>
        </w:rPr>
      </w:pPr>
      <w:r w:rsidRPr="000D20B3">
        <w:rPr>
          <w:rFonts w:ascii="Abadi" w:hAnsi="Abadi" w:cs="Arial-BoldMT"/>
          <w:b/>
          <w:bCs/>
          <w:sz w:val="21"/>
          <w:szCs w:val="21"/>
          <w:lang w:val="es-MX"/>
        </w:rPr>
        <w:t>Coordinador</w:t>
      </w:r>
    </w:p>
    <w:p w14:paraId="277A32D3" w14:textId="77777777" w:rsidR="008E7615" w:rsidRPr="000D20B3" w:rsidRDefault="008E7615" w:rsidP="001B526D">
      <w:pPr>
        <w:contextualSpacing/>
        <w:jc w:val="center"/>
        <w:rPr>
          <w:rFonts w:ascii="Abadi" w:hAnsi="Abadi" w:cs="Arial-BoldMT"/>
          <w:b/>
          <w:bCs/>
          <w:sz w:val="21"/>
          <w:szCs w:val="21"/>
          <w:lang w:val="es-MX"/>
        </w:rPr>
      </w:pPr>
    </w:p>
    <w:p w14:paraId="09A24ABE" w14:textId="77777777" w:rsidR="001B526D" w:rsidRPr="000D20B3" w:rsidRDefault="001B526D" w:rsidP="001B526D">
      <w:pPr>
        <w:contextualSpacing/>
        <w:rPr>
          <w:rFonts w:ascii="Abadi" w:hAnsi="Abadi" w:cs="Arial-BoldMT"/>
          <w:b/>
          <w:bCs/>
          <w:sz w:val="21"/>
          <w:szCs w:val="21"/>
          <w:lang w:val="es-MX"/>
        </w:rPr>
      </w:pPr>
    </w:p>
    <w:p w14:paraId="2A6D62C9"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Rolando Fortino Alcántar Rojas </w:t>
      </w:r>
    </w:p>
    <w:p w14:paraId="41737DBB"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Bricio Balderas Álvarez </w:t>
      </w:r>
    </w:p>
    <w:p w14:paraId="06AB3811"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Susana Bermúdez Cano </w:t>
      </w:r>
    </w:p>
    <w:p w14:paraId="7192A270"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José Alfonso Borja Pimentel </w:t>
      </w:r>
    </w:p>
    <w:p w14:paraId="216EA0B8"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Angélica Casilla Martínez </w:t>
      </w:r>
    </w:p>
    <w:p w14:paraId="2C187A67"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Martha Guadalupe Hernández Camarena </w:t>
      </w:r>
    </w:p>
    <w:p w14:paraId="421C86CD" w14:textId="2FB18BB4"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María de la Luz Hernández Martínez </w:t>
      </w:r>
    </w:p>
    <w:p w14:paraId="5B6C47F4"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César Larrondo Díaz </w:t>
      </w:r>
    </w:p>
    <w:p w14:paraId="6411418B"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Martín López Camacho </w:t>
      </w:r>
    </w:p>
    <w:p w14:paraId="050C4C8A"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Briseida Anabel Magdaleno González </w:t>
      </w:r>
    </w:p>
    <w:p w14:paraId="43E0F1D8"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Laura Cristina Márquez Alcalá </w:t>
      </w:r>
    </w:p>
    <w:p w14:paraId="27AACFA6"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Dp</w:t>
      </w:r>
      <w:proofErr w:type="spellEnd"/>
      <w:r w:rsidRPr="000D20B3">
        <w:rPr>
          <w:rFonts w:ascii="Abadi" w:hAnsi="Abadi" w:cs="Arial-BoldMT"/>
          <w:b/>
          <w:bCs/>
          <w:sz w:val="21"/>
          <w:szCs w:val="21"/>
          <w:lang w:val="es-MX"/>
        </w:rPr>
        <w:t xml:space="preserve">. Aldo Iván Márquez Becerra </w:t>
      </w:r>
    </w:p>
    <w:p w14:paraId="5EECE786"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Noemí Márquez </w:t>
      </w:r>
      <w:proofErr w:type="spellStart"/>
      <w:r w:rsidRPr="000D20B3">
        <w:rPr>
          <w:rFonts w:ascii="Abadi" w:hAnsi="Abadi" w:cs="Arial-BoldMT"/>
          <w:b/>
          <w:bCs/>
          <w:sz w:val="21"/>
          <w:szCs w:val="21"/>
          <w:lang w:val="es-MX"/>
        </w:rPr>
        <w:t>Márquez</w:t>
      </w:r>
      <w:proofErr w:type="spellEnd"/>
      <w:r w:rsidRPr="000D20B3">
        <w:rPr>
          <w:rFonts w:ascii="Abadi" w:hAnsi="Abadi" w:cs="Arial-BoldMT"/>
          <w:b/>
          <w:bCs/>
          <w:sz w:val="21"/>
          <w:szCs w:val="21"/>
          <w:lang w:val="es-MX"/>
        </w:rPr>
        <w:t xml:space="preserve"> </w:t>
      </w:r>
    </w:p>
    <w:p w14:paraId="417ADFD0"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Janet Melanie Murillo Chávez </w:t>
      </w:r>
    </w:p>
    <w:p w14:paraId="21E90A21"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Jorge Ortiz Ortega </w:t>
      </w:r>
    </w:p>
    <w:p w14:paraId="0436461F"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Armando Daniel Hernández </w:t>
      </w:r>
    </w:p>
    <w:p w14:paraId="312CB43B"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Lilia </w:t>
      </w:r>
      <w:proofErr w:type="gramStart"/>
      <w:r w:rsidRPr="000D20B3">
        <w:rPr>
          <w:rFonts w:ascii="Abadi" w:hAnsi="Abadi" w:cs="Arial-BoldMT"/>
          <w:b/>
          <w:bCs/>
          <w:sz w:val="21"/>
          <w:szCs w:val="21"/>
          <w:lang w:val="es-MX"/>
        </w:rPr>
        <w:t>Margarita  Rionda</w:t>
      </w:r>
      <w:proofErr w:type="gramEnd"/>
      <w:r w:rsidRPr="000D20B3">
        <w:rPr>
          <w:rFonts w:ascii="Abadi" w:hAnsi="Abadi" w:cs="Arial-BoldMT"/>
          <w:b/>
          <w:bCs/>
          <w:sz w:val="21"/>
          <w:szCs w:val="21"/>
          <w:lang w:val="es-MX"/>
        </w:rPr>
        <w:t xml:space="preserve"> Salas </w:t>
      </w:r>
    </w:p>
    <w:p w14:paraId="1B0B1247"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Miguel </w:t>
      </w:r>
      <w:proofErr w:type="gramStart"/>
      <w:r w:rsidRPr="000D20B3">
        <w:rPr>
          <w:rFonts w:ascii="Abadi" w:hAnsi="Abadi" w:cs="Arial-BoldMT"/>
          <w:b/>
          <w:bCs/>
          <w:sz w:val="21"/>
          <w:szCs w:val="21"/>
          <w:lang w:val="es-MX"/>
        </w:rPr>
        <w:t>Ángel  Salim</w:t>
      </w:r>
      <w:proofErr w:type="gramEnd"/>
      <w:r w:rsidRPr="000D20B3">
        <w:rPr>
          <w:rFonts w:ascii="Abadi" w:hAnsi="Abadi" w:cs="Arial-BoldMT"/>
          <w:b/>
          <w:bCs/>
          <w:sz w:val="21"/>
          <w:szCs w:val="21"/>
          <w:lang w:val="es-MX"/>
        </w:rPr>
        <w:t xml:space="preserve"> </w:t>
      </w:r>
      <w:proofErr w:type="spellStart"/>
      <w:r w:rsidRPr="000D20B3">
        <w:rPr>
          <w:rFonts w:ascii="Abadi" w:hAnsi="Abadi" w:cs="Arial-BoldMT"/>
          <w:b/>
          <w:bCs/>
          <w:sz w:val="21"/>
          <w:szCs w:val="21"/>
          <w:lang w:val="es-MX"/>
        </w:rPr>
        <w:t>Alle</w:t>
      </w:r>
      <w:proofErr w:type="spellEnd"/>
      <w:r w:rsidRPr="000D20B3">
        <w:rPr>
          <w:rFonts w:ascii="Abadi" w:hAnsi="Abadi" w:cs="Arial-BoldMT"/>
          <w:b/>
          <w:bCs/>
          <w:sz w:val="21"/>
          <w:szCs w:val="21"/>
          <w:lang w:val="es-MX"/>
        </w:rPr>
        <w:t xml:space="preserve"> </w:t>
      </w:r>
    </w:p>
    <w:p w14:paraId="12C8F547" w14:textId="01CB1154"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w:t>
      </w:r>
      <w:proofErr w:type="gramStart"/>
      <w:r w:rsidRPr="000D20B3">
        <w:rPr>
          <w:rFonts w:ascii="Abadi" w:hAnsi="Abadi" w:cs="Arial-BoldMT"/>
          <w:b/>
          <w:bCs/>
          <w:sz w:val="21"/>
          <w:szCs w:val="21"/>
          <w:lang w:val="es-MX"/>
        </w:rPr>
        <w:t>Cristina  Soto</w:t>
      </w:r>
      <w:proofErr w:type="gramEnd"/>
      <w:r w:rsidRPr="000D20B3">
        <w:rPr>
          <w:rFonts w:ascii="Abadi" w:hAnsi="Abadi" w:cs="Arial-BoldMT"/>
          <w:b/>
          <w:bCs/>
          <w:sz w:val="21"/>
          <w:szCs w:val="21"/>
          <w:lang w:val="es-MX"/>
        </w:rPr>
        <w:t xml:space="preserve"> Escamilla                                 </w:t>
      </w:r>
    </w:p>
    <w:p w14:paraId="42766335" w14:textId="77777777" w:rsidR="001B526D" w:rsidRPr="000D20B3" w:rsidRDefault="001B526D" w:rsidP="001B526D">
      <w:pPr>
        <w:contextualSpacing/>
        <w:rPr>
          <w:rFonts w:ascii="Abadi" w:hAnsi="Abadi" w:cs="Arial-BoldMT"/>
          <w:b/>
          <w:bCs/>
          <w:sz w:val="21"/>
          <w:szCs w:val="21"/>
          <w:lang w:val="es-MX"/>
        </w:rPr>
      </w:pPr>
      <w:proofErr w:type="spellStart"/>
      <w:r w:rsidRPr="000D20B3">
        <w:rPr>
          <w:rFonts w:ascii="Abadi" w:hAnsi="Abadi" w:cs="Arial-BoldMT"/>
          <w:b/>
          <w:bCs/>
          <w:sz w:val="21"/>
          <w:szCs w:val="21"/>
          <w:lang w:val="es-MX"/>
        </w:rPr>
        <w:t>Dip</w:t>
      </w:r>
      <w:proofErr w:type="spellEnd"/>
      <w:r w:rsidRPr="000D20B3">
        <w:rPr>
          <w:rFonts w:ascii="Abadi" w:hAnsi="Abadi" w:cs="Arial-BoldMT"/>
          <w:b/>
          <w:bCs/>
          <w:sz w:val="21"/>
          <w:szCs w:val="21"/>
          <w:lang w:val="es-MX"/>
        </w:rPr>
        <w:t xml:space="preserve">. Víctor Manuel Zanella Huerta </w:t>
      </w:r>
    </w:p>
    <w:p w14:paraId="5EF54367" w14:textId="30CD1543" w:rsidR="006670AD" w:rsidRPr="000D20B3" w:rsidRDefault="006670AD" w:rsidP="006670AD">
      <w:pPr>
        <w:pStyle w:val="NormalWeb"/>
        <w:ind w:right="333" w:firstLine="708"/>
        <w:jc w:val="both"/>
        <w:rPr>
          <w:rFonts w:ascii="Abadi" w:hAnsi="Abadi"/>
          <w:sz w:val="21"/>
          <w:szCs w:val="21"/>
        </w:rPr>
      </w:pPr>
      <w:r w:rsidRPr="000D20B3">
        <w:rPr>
          <w:rFonts w:ascii="Abadi" w:hAnsi="Abadi"/>
          <w:b/>
          <w:bCs/>
          <w:sz w:val="21"/>
          <w:szCs w:val="21"/>
        </w:rPr>
        <w:t xml:space="preserve">- La </w:t>
      </w:r>
      <w:proofErr w:type="gramStart"/>
      <w:r w:rsidRPr="000D20B3">
        <w:rPr>
          <w:rFonts w:ascii="Abadi" w:hAnsi="Abadi"/>
          <w:b/>
          <w:bCs/>
          <w:sz w:val="21"/>
          <w:szCs w:val="21"/>
        </w:rPr>
        <w:t>Presidencia.-</w:t>
      </w:r>
      <w:proofErr w:type="gramEnd"/>
      <w:r w:rsidRPr="000D20B3">
        <w:rPr>
          <w:rFonts w:ascii="Abadi" w:hAnsi="Abadi"/>
          <w:sz w:val="21"/>
          <w:szCs w:val="21"/>
        </w:rPr>
        <w:t xml:space="preserve"> Se pide al diputado Jorge Ortiz </w:t>
      </w:r>
      <w:r w:rsidR="00A27C09">
        <w:rPr>
          <w:rFonts w:ascii="Abadi" w:hAnsi="Abadi"/>
          <w:sz w:val="21"/>
          <w:szCs w:val="21"/>
        </w:rPr>
        <w:t>O</w:t>
      </w:r>
      <w:r w:rsidRPr="000D20B3">
        <w:rPr>
          <w:rFonts w:ascii="Abadi" w:hAnsi="Abadi"/>
          <w:sz w:val="21"/>
          <w:szCs w:val="21"/>
        </w:rPr>
        <w:t xml:space="preserve">rtega, dar lectura a la  propuesta de punto de acuerdo de obvia resolución suscrita por diputadas y diputados integrantes del Grupo Parlamentario del Partido Acción Nacional a efecto de exhortar a los 46 ayuntamientos para que, en caso de no haberlo efectuado, realicen los nombramientos de los delegados y subdelegados y se informe a esta soberanía sobre los resultados. </w:t>
      </w:r>
    </w:p>
    <w:p w14:paraId="03E02F8D" w14:textId="5CFF9030" w:rsidR="00F70BF8" w:rsidRPr="000D20B3" w:rsidRDefault="00F70BF8" w:rsidP="00F70BF8">
      <w:pPr>
        <w:pStyle w:val="NormalWeb"/>
        <w:ind w:right="333"/>
        <w:jc w:val="center"/>
        <w:rPr>
          <w:rFonts w:ascii="Abadi" w:hAnsi="Abadi"/>
          <w:b/>
          <w:bCs/>
          <w:sz w:val="21"/>
          <w:szCs w:val="21"/>
        </w:rPr>
      </w:pPr>
      <w:r w:rsidRPr="000D20B3">
        <w:rPr>
          <w:rFonts w:ascii="Abadi" w:hAnsi="Abadi"/>
          <w:b/>
          <w:bCs/>
          <w:sz w:val="21"/>
          <w:szCs w:val="21"/>
        </w:rPr>
        <w:t>(Posicionamiento)</w:t>
      </w:r>
    </w:p>
    <w:p w14:paraId="56800633" w14:textId="39D63274" w:rsidR="00F70BF8" w:rsidRDefault="00F70BF8" w:rsidP="00F70BF8">
      <w:pPr>
        <w:pStyle w:val="NormalWeb"/>
        <w:ind w:right="333"/>
        <w:jc w:val="center"/>
        <w:rPr>
          <w:rFonts w:ascii="Abadi" w:hAnsi="Abadi"/>
          <w:b/>
          <w:bCs/>
          <w:sz w:val="21"/>
          <w:szCs w:val="21"/>
        </w:rPr>
      </w:pPr>
      <w:r>
        <w:rPr>
          <w:noProof/>
        </w:rPr>
        <w:drawing>
          <wp:anchor distT="0" distB="0" distL="114300" distR="114300" simplePos="0" relativeHeight="251658249" behindDoc="1" locked="0" layoutInCell="1" allowOverlap="1" wp14:anchorId="5627ACAD" wp14:editId="7780A32A">
            <wp:simplePos x="0" y="0"/>
            <wp:positionH relativeFrom="column">
              <wp:posOffset>232913</wp:posOffset>
            </wp:positionH>
            <wp:positionV relativeFrom="paragraph">
              <wp:posOffset>117930</wp:posOffset>
            </wp:positionV>
            <wp:extent cx="1874149" cy="979458"/>
            <wp:effectExtent l="0" t="133350" r="0" b="773430"/>
            <wp:wrapTight wrapText="bothSides">
              <wp:wrapPolygon edited="0">
                <wp:start x="13834" y="-2942"/>
                <wp:lineTo x="0" y="-2101"/>
                <wp:lineTo x="439" y="38241"/>
                <wp:lineTo x="2196" y="38241"/>
                <wp:lineTo x="2415" y="37401"/>
                <wp:lineTo x="19982" y="31518"/>
                <wp:lineTo x="20202" y="4623"/>
                <wp:lineTo x="19763" y="-1681"/>
                <wp:lineTo x="19763" y="-2942"/>
                <wp:lineTo x="13834" y="-2942"/>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b="7084"/>
                    <a:stretch/>
                  </pic:blipFill>
                  <pic:spPr bwMode="auto">
                    <a:xfrm>
                      <a:off x="0" y="0"/>
                      <a:ext cx="1874149" cy="979458"/>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6794C867" w14:textId="5427D55E" w:rsidR="00F70BF8" w:rsidRDefault="00F70BF8" w:rsidP="00F70BF8">
      <w:pPr>
        <w:pStyle w:val="NormalWeb"/>
        <w:ind w:right="333"/>
        <w:jc w:val="center"/>
        <w:rPr>
          <w:rFonts w:ascii="Abadi" w:hAnsi="Abadi"/>
          <w:b/>
          <w:bCs/>
          <w:sz w:val="21"/>
          <w:szCs w:val="21"/>
        </w:rPr>
      </w:pPr>
    </w:p>
    <w:p w14:paraId="0BE8746D" w14:textId="31B9A405" w:rsidR="00F70BF8" w:rsidRDefault="00F70BF8" w:rsidP="00F70BF8">
      <w:pPr>
        <w:pStyle w:val="NormalWeb"/>
        <w:ind w:right="333"/>
        <w:jc w:val="center"/>
        <w:rPr>
          <w:rFonts w:ascii="Abadi" w:hAnsi="Abadi"/>
          <w:b/>
          <w:bCs/>
          <w:sz w:val="21"/>
          <w:szCs w:val="21"/>
        </w:rPr>
      </w:pPr>
    </w:p>
    <w:p w14:paraId="4815F831" w14:textId="77777777" w:rsidR="00F70BF8" w:rsidRDefault="00F70BF8" w:rsidP="00F70BF8">
      <w:pPr>
        <w:pStyle w:val="NormalWeb"/>
        <w:ind w:right="333"/>
        <w:jc w:val="center"/>
        <w:rPr>
          <w:rFonts w:ascii="Abadi" w:hAnsi="Abadi"/>
          <w:b/>
          <w:bCs/>
          <w:sz w:val="21"/>
          <w:szCs w:val="21"/>
        </w:rPr>
      </w:pPr>
    </w:p>
    <w:p w14:paraId="2FB61357" w14:textId="7710AC8C" w:rsidR="00C64B15" w:rsidRDefault="00C64B15" w:rsidP="00904EBD">
      <w:pPr>
        <w:pStyle w:val="NormalWeb"/>
        <w:ind w:right="333"/>
        <w:jc w:val="both"/>
        <w:rPr>
          <w:rFonts w:ascii="Abadi" w:hAnsi="Abadi"/>
          <w:b/>
          <w:bCs/>
          <w:sz w:val="21"/>
          <w:szCs w:val="21"/>
        </w:rPr>
      </w:pPr>
    </w:p>
    <w:p w14:paraId="55B85CB0" w14:textId="73F6BC13" w:rsidR="00C64B15" w:rsidRDefault="00C64B15" w:rsidP="00904EBD">
      <w:pPr>
        <w:pStyle w:val="NormalWeb"/>
        <w:ind w:right="333"/>
        <w:jc w:val="both"/>
        <w:rPr>
          <w:rFonts w:ascii="Abadi" w:hAnsi="Abadi"/>
          <w:b/>
          <w:bCs/>
          <w:sz w:val="21"/>
          <w:szCs w:val="21"/>
        </w:rPr>
      </w:pPr>
    </w:p>
    <w:p w14:paraId="414F686C" w14:textId="77777777" w:rsidR="00F70BF8" w:rsidRDefault="00F70BF8" w:rsidP="00F70BF8">
      <w:pPr>
        <w:pStyle w:val="NormalWeb"/>
        <w:numPr>
          <w:ilvl w:val="0"/>
          <w:numId w:val="77"/>
        </w:numPr>
        <w:ind w:left="426" w:right="333"/>
        <w:jc w:val="both"/>
        <w:rPr>
          <w:rFonts w:ascii="Abadi" w:hAnsi="Abadi"/>
          <w:b/>
          <w:bCs/>
          <w:sz w:val="21"/>
          <w:szCs w:val="21"/>
        </w:rPr>
      </w:pPr>
      <w:r>
        <w:rPr>
          <w:rFonts w:ascii="Abadi" w:hAnsi="Abadi"/>
          <w:b/>
          <w:bCs/>
          <w:sz w:val="21"/>
          <w:szCs w:val="21"/>
        </w:rPr>
        <w:t>Diputado Jorge Ortiz Ortega -</w:t>
      </w:r>
    </w:p>
    <w:p w14:paraId="3DAF52AA" w14:textId="77777777" w:rsidR="00F96C8C" w:rsidRPr="004515C0" w:rsidRDefault="00F96C8C" w:rsidP="00F96C8C">
      <w:pPr>
        <w:pStyle w:val="NormalWeb"/>
        <w:ind w:right="333" w:firstLine="426"/>
        <w:jc w:val="both"/>
        <w:rPr>
          <w:rFonts w:ascii="Abadi" w:hAnsi="Abadi"/>
          <w:sz w:val="21"/>
          <w:szCs w:val="21"/>
        </w:rPr>
      </w:pPr>
      <w:r>
        <w:rPr>
          <w:rFonts w:ascii="Abadi" w:hAnsi="Abadi"/>
          <w:b/>
          <w:bCs/>
          <w:sz w:val="21"/>
          <w:szCs w:val="21"/>
        </w:rPr>
        <w:t xml:space="preserve">- </w:t>
      </w:r>
      <w:r w:rsidRPr="008A7E3B">
        <w:rPr>
          <w:rFonts w:ascii="Abadi" w:hAnsi="Abadi"/>
          <w:b/>
          <w:bCs/>
          <w:sz w:val="21"/>
          <w:szCs w:val="21"/>
        </w:rPr>
        <w:t xml:space="preserve">La </w:t>
      </w:r>
      <w:proofErr w:type="gramStart"/>
      <w:r w:rsidRPr="008A7E3B">
        <w:rPr>
          <w:rFonts w:ascii="Abadi" w:hAnsi="Abadi"/>
          <w:b/>
          <w:bCs/>
          <w:sz w:val="21"/>
          <w:szCs w:val="21"/>
        </w:rPr>
        <w:t>Presidencia.-</w:t>
      </w:r>
      <w:proofErr w:type="gramEnd"/>
      <w:r>
        <w:rPr>
          <w:rFonts w:ascii="Abadi" w:hAnsi="Abadi"/>
          <w:sz w:val="21"/>
          <w:szCs w:val="21"/>
        </w:rPr>
        <w:t xml:space="preserve"> Esta bien diputado, Adelante.</w:t>
      </w:r>
    </w:p>
    <w:p w14:paraId="40467F92" w14:textId="564F75FD" w:rsidR="00904EBD" w:rsidRDefault="00F70BF8" w:rsidP="00EA46CA">
      <w:pPr>
        <w:pStyle w:val="NormalWeb"/>
        <w:ind w:right="333"/>
        <w:jc w:val="both"/>
        <w:rPr>
          <w:rFonts w:ascii="Abadi" w:hAnsi="Abadi"/>
          <w:sz w:val="21"/>
          <w:szCs w:val="21"/>
        </w:rPr>
      </w:pPr>
      <w:r>
        <w:rPr>
          <w:rFonts w:ascii="Abadi" w:hAnsi="Abadi"/>
          <w:sz w:val="21"/>
          <w:szCs w:val="21"/>
        </w:rPr>
        <w:t xml:space="preserve">- </w:t>
      </w:r>
      <w:r w:rsidRPr="004515C0">
        <w:rPr>
          <w:rFonts w:ascii="Abadi" w:hAnsi="Abadi"/>
          <w:sz w:val="21"/>
          <w:szCs w:val="21"/>
        </w:rPr>
        <w:t>Muchas gracias Presidenta, solicitando se retire la obvia resolución.</w:t>
      </w:r>
    </w:p>
    <w:p w14:paraId="0227A9C8" w14:textId="7C7795C9" w:rsidR="006670AD" w:rsidRDefault="00F70BF8" w:rsidP="00EA46CA">
      <w:pPr>
        <w:pStyle w:val="NormalWeb"/>
        <w:ind w:right="333"/>
        <w:jc w:val="both"/>
        <w:rPr>
          <w:rFonts w:ascii="Abadi" w:hAnsi="Abadi"/>
          <w:sz w:val="21"/>
          <w:szCs w:val="21"/>
        </w:rPr>
      </w:pPr>
      <w:r>
        <w:rPr>
          <w:rFonts w:ascii="Abadi" w:hAnsi="Abadi"/>
          <w:sz w:val="21"/>
          <w:szCs w:val="21"/>
        </w:rPr>
        <w:t xml:space="preserve">- </w:t>
      </w:r>
      <w:r w:rsidR="006670AD" w:rsidRPr="0021199F">
        <w:rPr>
          <w:rFonts w:ascii="Abadi" w:hAnsi="Abadi"/>
          <w:sz w:val="21"/>
          <w:szCs w:val="21"/>
        </w:rPr>
        <w:t xml:space="preserve">Gracias diputada </w:t>
      </w:r>
      <w:r w:rsidR="006670AD">
        <w:rPr>
          <w:rFonts w:ascii="Abadi" w:hAnsi="Abadi"/>
          <w:sz w:val="21"/>
          <w:szCs w:val="21"/>
        </w:rPr>
        <w:t>P</w:t>
      </w:r>
      <w:r w:rsidR="006670AD" w:rsidRPr="0021199F">
        <w:rPr>
          <w:rFonts w:ascii="Abadi" w:hAnsi="Abadi"/>
          <w:sz w:val="21"/>
          <w:szCs w:val="21"/>
        </w:rPr>
        <w:t>residenta</w:t>
      </w:r>
      <w:r w:rsidR="006670AD">
        <w:rPr>
          <w:rFonts w:ascii="Abadi" w:hAnsi="Abadi"/>
          <w:sz w:val="21"/>
          <w:szCs w:val="21"/>
        </w:rPr>
        <w:t xml:space="preserve">, compañeras de la Mesa Directiva, con el permiso también de mis compañeras diputadas, compañeros diputados, </w:t>
      </w:r>
      <w:r w:rsidR="006670AD" w:rsidRPr="0021199F">
        <w:rPr>
          <w:rFonts w:ascii="Abadi" w:hAnsi="Abadi"/>
          <w:sz w:val="21"/>
          <w:szCs w:val="21"/>
        </w:rPr>
        <w:t>medios de comunicación y las personas que nos están viendo de</w:t>
      </w:r>
      <w:r w:rsidR="006670AD">
        <w:rPr>
          <w:rFonts w:ascii="Abadi" w:hAnsi="Abadi"/>
          <w:sz w:val="21"/>
          <w:szCs w:val="21"/>
        </w:rPr>
        <w:t>sde</w:t>
      </w:r>
      <w:r w:rsidR="006670AD" w:rsidRPr="0021199F">
        <w:rPr>
          <w:rFonts w:ascii="Abadi" w:hAnsi="Abadi"/>
          <w:sz w:val="21"/>
          <w:szCs w:val="21"/>
        </w:rPr>
        <w:t xml:space="preserve"> sus hogares. </w:t>
      </w:r>
    </w:p>
    <w:p w14:paraId="46A8FC3A" w14:textId="77777777" w:rsidR="006670AD" w:rsidRDefault="006670AD" w:rsidP="00EA46CA">
      <w:pPr>
        <w:pStyle w:val="NormalWeb"/>
        <w:ind w:right="333"/>
        <w:jc w:val="both"/>
        <w:rPr>
          <w:rFonts w:ascii="Abadi" w:hAnsi="Abadi"/>
          <w:sz w:val="21"/>
          <w:szCs w:val="21"/>
        </w:rPr>
      </w:pPr>
      <w:r>
        <w:rPr>
          <w:rFonts w:ascii="Abadi" w:hAnsi="Abadi"/>
          <w:sz w:val="21"/>
          <w:szCs w:val="21"/>
        </w:rPr>
        <w:t xml:space="preserve">- </w:t>
      </w:r>
      <w:r w:rsidRPr="0021199F">
        <w:rPr>
          <w:rFonts w:ascii="Abadi" w:hAnsi="Abadi"/>
          <w:sz w:val="21"/>
          <w:szCs w:val="21"/>
        </w:rPr>
        <w:t>Sabemos que en la vida pública municipal es muy importante la figura de los delegados delegadas, sus delegadas, sus delegados municipales, tanto en las comunidades como en las colonias</w:t>
      </w:r>
      <w:r>
        <w:rPr>
          <w:rFonts w:ascii="Abadi" w:hAnsi="Abadi"/>
          <w:sz w:val="21"/>
          <w:szCs w:val="21"/>
        </w:rPr>
        <w:t>, en</w:t>
      </w:r>
      <w:r w:rsidRPr="0021199F">
        <w:rPr>
          <w:rFonts w:ascii="Abadi" w:hAnsi="Abadi"/>
          <w:sz w:val="21"/>
          <w:szCs w:val="21"/>
        </w:rPr>
        <w:t xml:space="preserve"> algunos municipios. </w:t>
      </w:r>
    </w:p>
    <w:p w14:paraId="5BE11B1B" w14:textId="6FFDE8D6" w:rsidR="006670AD" w:rsidRDefault="006670AD" w:rsidP="006670AD">
      <w:pPr>
        <w:pStyle w:val="NormalWeb"/>
        <w:ind w:right="333"/>
        <w:jc w:val="both"/>
        <w:rPr>
          <w:rFonts w:ascii="Abadi" w:hAnsi="Abadi"/>
          <w:sz w:val="21"/>
          <w:szCs w:val="21"/>
        </w:rPr>
      </w:pPr>
      <w:r>
        <w:rPr>
          <w:rFonts w:ascii="Abadi" w:hAnsi="Abadi"/>
          <w:sz w:val="21"/>
          <w:szCs w:val="21"/>
        </w:rPr>
        <w:t xml:space="preserve">- </w:t>
      </w:r>
      <w:r w:rsidRPr="0021199F">
        <w:rPr>
          <w:rFonts w:ascii="Abadi" w:hAnsi="Abadi"/>
          <w:sz w:val="21"/>
          <w:szCs w:val="21"/>
        </w:rPr>
        <w:t>Es así</w:t>
      </w:r>
      <w:r>
        <w:rPr>
          <w:rFonts w:ascii="Abadi" w:hAnsi="Abadi"/>
          <w:sz w:val="21"/>
          <w:szCs w:val="21"/>
        </w:rPr>
        <w:t>,</w:t>
      </w:r>
      <w:r w:rsidRPr="0021199F">
        <w:rPr>
          <w:rFonts w:ascii="Abadi" w:hAnsi="Abadi"/>
          <w:sz w:val="21"/>
          <w:szCs w:val="21"/>
        </w:rPr>
        <w:t xml:space="preserve"> que diversos trámites</w:t>
      </w:r>
      <w:r>
        <w:rPr>
          <w:rFonts w:ascii="Abadi" w:hAnsi="Abadi"/>
          <w:sz w:val="21"/>
          <w:szCs w:val="21"/>
        </w:rPr>
        <w:t xml:space="preserve">, la primer cara </w:t>
      </w:r>
      <w:r w:rsidRPr="0021199F">
        <w:rPr>
          <w:rFonts w:ascii="Abadi" w:hAnsi="Abadi"/>
          <w:sz w:val="21"/>
          <w:szCs w:val="21"/>
        </w:rPr>
        <w:t>con quien primero llegue a la ciudadanía es con los colegas, algún permiso de construcción, alguna licencia de funcionamiento, una constancia de residencia, una constancia de ingresos, la petición de obra de la comunidad, el foco de la plaza pública de la calle, cualquier trámite con quién primero llegan son con los delegad</w:t>
      </w:r>
      <w:r>
        <w:rPr>
          <w:rFonts w:ascii="Abadi" w:hAnsi="Abadi"/>
          <w:sz w:val="21"/>
          <w:szCs w:val="21"/>
        </w:rPr>
        <w:t>o</w:t>
      </w:r>
      <w:r w:rsidRPr="0021199F">
        <w:rPr>
          <w:rFonts w:ascii="Abadi" w:hAnsi="Abadi"/>
          <w:sz w:val="21"/>
          <w:szCs w:val="21"/>
        </w:rPr>
        <w:t xml:space="preserve">s. </w:t>
      </w:r>
    </w:p>
    <w:p w14:paraId="65D9CA13" w14:textId="77777777" w:rsidR="006670AD" w:rsidRPr="00A439E2" w:rsidRDefault="006670AD" w:rsidP="006670AD">
      <w:pPr>
        <w:pStyle w:val="NormalWeb"/>
        <w:ind w:right="333"/>
        <w:jc w:val="both"/>
        <w:rPr>
          <w:rFonts w:ascii="Abadi" w:hAnsi="Abadi"/>
          <w:sz w:val="21"/>
          <w:szCs w:val="21"/>
        </w:rPr>
      </w:pPr>
      <w:r>
        <w:rPr>
          <w:rFonts w:ascii="Abadi" w:hAnsi="Abadi"/>
          <w:sz w:val="21"/>
          <w:szCs w:val="21"/>
        </w:rPr>
        <w:t>- N</w:t>
      </w:r>
      <w:r w:rsidRPr="0021199F">
        <w:rPr>
          <w:rFonts w:ascii="Abadi" w:hAnsi="Abadi"/>
          <w:sz w:val="21"/>
          <w:szCs w:val="21"/>
        </w:rPr>
        <w:t xml:space="preserve">uestra Ley Orgánica Municipal para el Estado de Guanajuato, en su artículo </w:t>
      </w:r>
      <w:r>
        <w:rPr>
          <w:rFonts w:ascii="Abadi" w:hAnsi="Abadi"/>
          <w:sz w:val="21"/>
          <w:szCs w:val="21"/>
        </w:rPr>
        <w:t>151,</w:t>
      </w:r>
      <w:r w:rsidRPr="0021199F">
        <w:rPr>
          <w:rFonts w:ascii="Abadi" w:hAnsi="Abadi"/>
          <w:sz w:val="21"/>
          <w:szCs w:val="21"/>
        </w:rPr>
        <w:t xml:space="preserve"> obliga a los ayuntamientos que dentro del término de seis meses a </w:t>
      </w:r>
      <w:r w:rsidRPr="00A439E2">
        <w:rPr>
          <w:rFonts w:ascii="Abadi" w:hAnsi="Abadi"/>
          <w:sz w:val="21"/>
          <w:szCs w:val="21"/>
        </w:rPr>
        <w:t xml:space="preserve">nombrar estos delegados y sub delegadas. </w:t>
      </w:r>
    </w:p>
    <w:p w14:paraId="6F2A30FD" w14:textId="77777777" w:rsidR="006670AD" w:rsidRPr="00A439E2" w:rsidRDefault="006670AD" w:rsidP="006670AD">
      <w:pPr>
        <w:pStyle w:val="NormalWeb"/>
        <w:ind w:right="333"/>
        <w:jc w:val="both"/>
        <w:rPr>
          <w:rFonts w:ascii="Abadi" w:hAnsi="Abadi"/>
          <w:sz w:val="21"/>
          <w:szCs w:val="21"/>
        </w:rPr>
      </w:pPr>
      <w:r w:rsidRPr="00A439E2">
        <w:rPr>
          <w:rFonts w:ascii="Abadi" w:hAnsi="Abadi"/>
          <w:sz w:val="21"/>
          <w:szCs w:val="21"/>
        </w:rPr>
        <w:t xml:space="preserve">- Este término corre a partir del día diez de octubre y feneció el día diez de abril del presente año. Es por eso que en el Grupo Parlamentario de Acción Nacional tenemos como prioridad a los ciudadanos y sabemos que son autoridades los delegados auxiliares muy importantes que ayudan tanto el Presidente Municipal como a los ayuntamientos. </w:t>
      </w:r>
    </w:p>
    <w:p w14:paraId="40A63DF1" w14:textId="77777777" w:rsidR="006670AD" w:rsidRPr="00A439E2" w:rsidRDefault="006670AD" w:rsidP="006670AD">
      <w:pPr>
        <w:pStyle w:val="NormalWeb"/>
        <w:ind w:right="333"/>
        <w:jc w:val="both"/>
        <w:rPr>
          <w:rFonts w:ascii="Abadi" w:hAnsi="Abadi"/>
          <w:sz w:val="21"/>
          <w:szCs w:val="21"/>
        </w:rPr>
      </w:pPr>
      <w:r w:rsidRPr="00A439E2">
        <w:rPr>
          <w:rFonts w:ascii="Abadi" w:hAnsi="Abadi"/>
          <w:sz w:val="21"/>
          <w:szCs w:val="21"/>
        </w:rPr>
        <w:t xml:space="preserve">- Es por ello que ya transcurrido este término de las administraciones municipales actuales sin que se no haya nombrado por mayoría absoluta del Ayuntamiento. Es que pedimos que se exhorte a los cuarenta y seis ayuntamientos para que en el caso de los que no los hayan nombrado, pues lo hagan a la brevedad e informen a esta soberanía. </w:t>
      </w:r>
    </w:p>
    <w:p w14:paraId="44A30CE9" w14:textId="77777777" w:rsidR="006670AD" w:rsidRPr="00A439E2" w:rsidRDefault="006670AD" w:rsidP="006670AD">
      <w:pPr>
        <w:pStyle w:val="NormalWeb"/>
        <w:ind w:right="333"/>
        <w:jc w:val="both"/>
        <w:rPr>
          <w:rFonts w:ascii="Abadi" w:hAnsi="Abadi"/>
          <w:sz w:val="21"/>
          <w:szCs w:val="21"/>
        </w:rPr>
      </w:pPr>
      <w:r w:rsidRPr="00A439E2">
        <w:rPr>
          <w:rFonts w:ascii="Abadi" w:hAnsi="Abadi"/>
          <w:sz w:val="21"/>
          <w:szCs w:val="21"/>
        </w:rPr>
        <w:t xml:space="preserve">-Por lo tanto, pedimos el siguiente punto de acuerdo. </w:t>
      </w:r>
    </w:p>
    <w:p w14:paraId="3E330FA0" w14:textId="46F7BAEA" w:rsidR="006670AD" w:rsidRPr="00A439E2" w:rsidRDefault="00647027" w:rsidP="00647027">
      <w:pPr>
        <w:pStyle w:val="NormalWeb"/>
        <w:ind w:right="333"/>
        <w:jc w:val="both"/>
        <w:rPr>
          <w:rFonts w:ascii="Abadi" w:hAnsi="Abadi"/>
          <w:sz w:val="21"/>
          <w:szCs w:val="21"/>
        </w:rPr>
      </w:pPr>
      <w:r w:rsidRPr="00A439E2">
        <w:rPr>
          <w:rFonts w:ascii="Abadi" w:hAnsi="Abadi"/>
          <w:sz w:val="21"/>
          <w:szCs w:val="21"/>
        </w:rPr>
        <w:t xml:space="preserve">- </w:t>
      </w:r>
      <w:r w:rsidR="006670AD" w:rsidRPr="00A439E2">
        <w:rPr>
          <w:rFonts w:ascii="Abadi" w:hAnsi="Abadi"/>
          <w:sz w:val="21"/>
          <w:szCs w:val="21"/>
        </w:rPr>
        <w:t xml:space="preserve">Único. La Sexagésima Quinta legislatura del Congreso Libre y Soberano de Guanajuato, efectúa un respetuoso punto de acuerdo mediante el cual se exhorta a los 46 ayuntamientos para que, en caso de no haberlo efectuado, realicen los nombramientos de los delegados y subdelegados y se informe a esta soberanía sobre los resultados. </w:t>
      </w:r>
    </w:p>
    <w:p w14:paraId="47EB43D1" w14:textId="65073C49" w:rsidR="006670AD" w:rsidRPr="00A439E2" w:rsidRDefault="00647027" w:rsidP="00647027">
      <w:pPr>
        <w:pStyle w:val="NormalWeb"/>
        <w:ind w:right="333" w:firstLine="708"/>
        <w:jc w:val="both"/>
        <w:rPr>
          <w:rFonts w:ascii="Abadi" w:hAnsi="Abadi"/>
          <w:sz w:val="21"/>
          <w:szCs w:val="21"/>
        </w:rPr>
      </w:pPr>
      <w:r w:rsidRPr="00A439E2">
        <w:rPr>
          <w:rFonts w:ascii="Abadi" w:hAnsi="Abadi"/>
          <w:sz w:val="21"/>
          <w:szCs w:val="21"/>
        </w:rPr>
        <w:t xml:space="preserve">- </w:t>
      </w:r>
      <w:r w:rsidR="006670AD" w:rsidRPr="00A439E2">
        <w:rPr>
          <w:rFonts w:ascii="Abadi" w:hAnsi="Abadi"/>
          <w:sz w:val="21"/>
          <w:szCs w:val="21"/>
        </w:rPr>
        <w:t xml:space="preserve">Es cuánto, por su atención muchísimas gracias. </w:t>
      </w:r>
    </w:p>
    <w:p w14:paraId="279588D6" w14:textId="5136949D" w:rsidR="006670AD" w:rsidRPr="00A439E2" w:rsidRDefault="00647027" w:rsidP="00647027">
      <w:pPr>
        <w:pStyle w:val="NormalWeb"/>
        <w:ind w:right="333" w:firstLine="708"/>
        <w:jc w:val="both"/>
        <w:rPr>
          <w:rFonts w:ascii="Abadi" w:hAnsi="Abadi"/>
          <w:sz w:val="21"/>
          <w:szCs w:val="21"/>
        </w:rPr>
      </w:pPr>
      <w:r w:rsidRPr="00A439E2">
        <w:rPr>
          <w:rFonts w:ascii="Abadi" w:hAnsi="Abadi"/>
          <w:b/>
          <w:bCs/>
          <w:sz w:val="21"/>
          <w:szCs w:val="21"/>
        </w:rPr>
        <w:t xml:space="preserve">- </w:t>
      </w:r>
      <w:r w:rsidR="006670AD" w:rsidRPr="00A439E2">
        <w:rPr>
          <w:rFonts w:ascii="Abadi" w:hAnsi="Abadi"/>
          <w:b/>
          <w:bCs/>
          <w:sz w:val="21"/>
          <w:szCs w:val="21"/>
        </w:rPr>
        <w:t xml:space="preserve">La </w:t>
      </w:r>
      <w:proofErr w:type="gramStart"/>
      <w:r w:rsidR="006670AD" w:rsidRPr="00A439E2">
        <w:rPr>
          <w:rFonts w:ascii="Abadi" w:hAnsi="Abadi"/>
          <w:b/>
          <w:bCs/>
          <w:sz w:val="21"/>
          <w:szCs w:val="21"/>
        </w:rPr>
        <w:t>Presidencia.-</w:t>
      </w:r>
      <w:proofErr w:type="gramEnd"/>
      <w:r w:rsidR="006670AD" w:rsidRPr="00A439E2">
        <w:rPr>
          <w:rFonts w:ascii="Abadi" w:hAnsi="Abadi"/>
          <w:sz w:val="21"/>
          <w:szCs w:val="21"/>
        </w:rPr>
        <w:t xml:space="preserve"> Muchas gracias, diputado. </w:t>
      </w:r>
    </w:p>
    <w:p w14:paraId="2EAF4067" w14:textId="144181F9" w:rsidR="006670AD" w:rsidRPr="00A439E2" w:rsidRDefault="00647027" w:rsidP="00647027">
      <w:pPr>
        <w:pStyle w:val="NormalWeb"/>
        <w:ind w:right="333" w:firstLine="426"/>
        <w:jc w:val="both"/>
        <w:rPr>
          <w:rFonts w:ascii="Abadi" w:hAnsi="Abadi"/>
          <w:sz w:val="21"/>
          <w:szCs w:val="21"/>
        </w:rPr>
      </w:pPr>
      <w:r w:rsidRPr="00A439E2">
        <w:rPr>
          <w:rFonts w:ascii="Abadi" w:hAnsi="Abadi"/>
          <w:sz w:val="21"/>
          <w:szCs w:val="21"/>
        </w:rPr>
        <w:t xml:space="preserve">- </w:t>
      </w:r>
      <w:r w:rsidR="006670AD" w:rsidRPr="00A439E2">
        <w:rPr>
          <w:rFonts w:ascii="Abadi" w:hAnsi="Abadi"/>
          <w:sz w:val="21"/>
          <w:szCs w:val="21"/>
        </w:rPr>
        <w:t>Y en virtud de haber sido solicitado por los proponentes, él retiró de la obvia resolución.</w:t>
      </w:r>
    </w:p>
    <w:p w14:paraId="14466DE9" w14:textId="621B9486" w:rsidR="006670AD" w:rsidRPr="00A439E2" w:rsidRDefault="006670AD" w:rsidP="00647027">
      <w:pPr>
        <w:pStyle w:val="NormalWeb"/>
        <w:ind w:left="426" w:right="495"/>
        <w:jc w:val="both"/>
        <w:rPr>
          <w:rFonts w:ascii="Abadi" w:hAnsi="Abadi"/>
          <w:b/>
          <w:bCs/>
          <w:i/>
          <w:iCs/>
          <w:sz w:val="21"/>
          <w:szCs w:val="21"/>
          <w:u w:val="single"/>
        </w:rPr>
      </w:pPr>
      <w:r w:rsidRPr="00A439E2">
        <w:rPr>
          <w:rFonts w:ascii="Abadi" w:hAnsi="Abadi"/>
          <w:b/>
          <w:bCs/>
          <w:i/>
          <w:iCs/>
          <w:sz w:val="21"/>
          <w:szCs w:val="21"/>
          <w:u w:val="single"/>
        </w:rPr>
        <w:t xml:space="preserve">Se turna a la Comisión de Asuntos Municipales, con fundamento en el artículo 104 fracción </w:t>
      </w:r>
      <w:r w:rsidR="00472A95" w:rsidRPr="00A439E2">
        <w:rPr>
          <w:rFonts w:ascii="Abadi" w:hAnsi="Abadi"/>
          <w:b/>
          <w:bCs/>
          <w:i/>
          <w:iCs/>
          <w:sz w:val="21"/>
          <w:szCs w:val="21"/>
          <w:u w:val="single"/>
        </w:rPr>
        <w:t>II, de</w:t>
      </w:r>
      <w:r w:rsidRPr="00A439E2">
        <w:rPr>
          <w:rFonts w:ascii="Abadi" w:hAnsi="Abadi"/>
          <w:b/>
          <w:bCs/>
          <w:i/>
          <w:iCs/>
          <w:sz w:val="21"/>
          <w:szCs w:val="21"/>
          <w:u w:val="single"/>
        </w:rPr>
        <w:t xml:space="preserve"> nuestra Ley Orgánica para su estudio y dictamen. </w:t>
      </w:r>
    </w:p>
    <w:p w14:paraId="24433151" w14:textId="77777777" w:rsidR="00021259" w:rsidRPr="00A439E2" w:rsidRDefault="00021259" w:rsidP="00343CA9">
      <w:pPr>
        <w:pStyle w:val="Prrafodelista"/>
        <w:numPr>
          <w:ilvl w:val="0"/>
          <w:numId w:val="18"/>
        </w:numPr>
        <w:autoSpaceDE w:val="0"/>
        <w:autoSpaceDN w:val="0"/>
        <w:adjustRightInd w:val="0"/>
        <w:ind w:left="426"/>
        <w:jc w:val="both"/>
        <w:rPr>
          <w:rFonts w:ascii="Abadi" w:hAnsi="Abadi" w:cs="ArialMT"/>
          <w:b/>
          <w:bCs/>
          <w:sz w:val="21"/>
          <w:szCs w:val="21"/>
        </w:rPr>
      </w:pPr>
      <w:r w:rsidRPr="00A439E2">
        <w:rPr>
          <w:rFonts w:ascii="Abadi" w:hAnsi="Abadi" w:cs="ArialMT"/>
          <w:b/>
          <w:bCs/>
          <w:sz w:val="21"/>
          <w:szCs w:val="21"/>
        </w:rPr>
        <w:t>PRESENTACIÓN DE LA PROPUESTA DE PUNTO DE ACUERDO DE OBVIA RESOLUCIÓN SUSCRITA POR EL DIPUTADO PABLO ALONSO RIPOLL INTEGRANTE DEL GRUPO  PARLAMENTARIO DEL PARTIDO MORENA POR LA QUE SE ACUERDA LA CREACIÓN DE LA COMISIÓN LEGISLATIVA ESPECIAL QUE TENDRÁ POR OBJETO ELABORAR UN INFORME EN RELACIÓN AL SEGUIMIENTO Y CUMPLIMIENTO QUE HAN DADO LOS 46 AYUNTAMIENTOS DEL ESTADO DE GUANAJUATO, Y LAS AUTORIDADES ESTATALES QUE CORRESPONDE, A LA LEY DE JUSTICIA CÍVICA DEL ESTADO DE GUANAJUATO, ESPECÍFICAMENTE PARA CONOCER EL ESTADO QUE GUARDAN LAS OBLIGACIONES DE ADECUACIÓN O CREACIÓN DE LOS INSTRUMENTOS NORMATIVOS MUNICIPALES; LA ADECUACIÓN O IMPLEMENTACIÓN DE LOS ÓRGANOS QUE SE ENCARGARÁN DE LA JUSTICIA CÍVICA; LA REALIZACIÓN DE JORNADAS DE JUSTICIA ITINERANTE; Y LA IMPLEMENTACIÓN Y FUNCIONAMIENTO DEL REGISTRO DE INFRACTORES. COMISIÓN ESPECIAL QUE SE INTEGRARÁ POR 5 MIEMBROS A PROPUESTA DE LA JUNTA DE GOBIERNO Y COORDINACIÓN POLÍTICA. SE ESTABLECE UN PLAZO DE 3 MESES PARA REALIZAR EL INFORME QUE SE LE ENCOMIENDA Y, EN SU CASO, APROBACIÓN DE LA MISMA.</w:t>
      </w:r>
    </w:p>
    <w:p w14:paraId="40C7A34D" w14:textId="30E01313" w:rsidR="00021259" w:rsidRPr="00A439E2" w:rsidRDefault="00021259" w:rsidP="00021259">
      <w:pPr>
        <w:autoSpaceDE w:val="0"/>
        <w:autoSpaceDN w:val="0"/>
        <w:adjustRightInd w:val="0"/>
        <w:jc w:val="both"/>
        <w:rPr>
          <w:rFonts w:ascii="Abadi" w:hAnsi="Abadi" w:cs="ArialMT"/>
          <w:b/>
          <w:bCs/>
          <w:sz w:val="21"/>
          <w:szCs w:val="21"/>
        </w:rPr>
      </w:pPr>
    </w:p>
    <w:p w14:paraId="1F489699" w14:textId="00D6D7D6" w:rsidR="001E7A2D" w:rsidRPr="00A439E2" w:rsidRDefault="001E7A2D" w:rsidP="00021259">
      <w:pPr>
        <w:autoSpaceDE w:val="0"/>
        <w:autoSpaceDN w:val="0"/>
        <w:adjustRightInd w:val="0"/>
        <w:jc w:val="both"/>
        <w:rPr>
          <w:rFonts w:ascii="Abadi" w:hAnsi="Abadi" w:cs="ArialMT"/>
          <w:b/>
          <w:bCs/>
          <w:sz w:val="21"/>
          <w:szCs w:val="21"/>
        </w:rPr>
      </w:pPr>
    </w:p>
    <w:p w14:paraId="02BFACC6" w14:textId="77777777" w:rsidR="00D80D93" w:rsidRPr="00A439E2" w:rsidRDefault="00D80D93" w:rsidP="00D80D93">
      <w:pPr>
        <w:autoSpaceDE w:val="0"/>
        <w:autoSpaceDN w:val="0"/>
        <w:adjustRightInd w:val="0"/>
        <w:jc w:val="both"/>
        <w:rPr>
          <w:rFonts w:ascii="Abadi" w:hAnsi="Abadi" w:cs="ArialMT"/>
          <w:b/>
          <w:bCs/>
          <w:sz w:val="21"/>
          <w:szCs w:val="21"/>
        </w:rPr>
      </w:pPr>
      <w:r w:rsidRPr="00A439E2">
        <w:rPr>
          <w:rFonts w:ascii="Abadi" w:hAnsi="Abadi" w:cs="ArialMT"/>
          <w:b/>
          <w:bCs/>
          <w:sz w:val="21"/>
          <w:szCs w:val="21"/>
        </w:rPr>
        <w:t>Diputada Irma Leticia González Sánchez</w:t>
      </w:r>
    </w:p>
    <w:p w14:paraId="0E53E945" w14:textId="00639F3F"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Presidenta de la Mesa Directiva de la</w:t>
      </w:r>
      <w:r w:rsidR="00EE07FC" w:rsidRPr="00A439E2">
        <w:rPr>
          <w:rFonts w:ascii="Abadi" w:hAnsi="Abadi" w:cs="ArialMT"/>
          <w:sz w:val="21"/>
          <w:szCs w:val="21"/>
        </w:rPr>
        <w:t xml:space="preserve"> </w:t>
      </w:r>
    </w:p>
    <w:p w14:paraId="4428BE88"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LXV Legislatura del Estado de Guanajuato.</w:t>
      </w:r>
    </w:p>
    <w:p w14:paraId="6A22364E" w14:textId="77777777" w:rsidR="00D80D93" w:rsidRPr="00A439E2" w:rsidRDefault="00D80D93" w:rsidP="00D80D93">
      <w:pPr>
        <w:autoSpaceDE w:val="0"/>
        <w:autoSpaceDN w:val="0"/>
        <w:adjustRightInd w:val="0"/>
        <w:jc w:val="both"/>
        <w:rPr>
          <w:rFonts w:ascii="Abadi" w:hAnsi="Abadi" w:cs="ArialMT"/>
          <w:i/>
          <w:iCs/>
          <w:sz w:val="21"/>
          <w:szCs w:val="21"/>
        </w:rPr>
      </w:pPr>
      <w:r w:rsidRPr="00A439E2">
        <w:rPr>
          <w:rFonts w:ascii="Abadi" w:hAnsi="Abadi" w:cs="ArialMT"/>
          <w:i/>
          <w:iCs/>
          <w:sz w:val="21"/>
          <w:szCs w:val="21"/>
        </w:rPr>
        <w:t>P r e s e n t e</w:t>
      </w:r>
    </w:p>
    <w:p w14:paraId="3D8A3271" w14:textId="77777777" w:rsidR="00D80D93" w:rsidRPr="00A439E2" w:rsidRDefault="00D80D93" w:rsidP="00D80D93">
      <w:pPr>
        <w:autoSpaceDE w:val="0"/>
        <w:autoSpaceDN w:val="0"/>
        <w:adjustRightInd w:val="0"/>
        <w:jc w:val="both"/>
        <w:rPr>
          <w:rFonts w:ascii="Abadi" w:hAnsi="Abadi" w:cs="ArialMT"/>
          <w:sz w:val="21"/>
          <w:szCs w:val="21"/>
        </w:rPr>
      </w:pPr>
    </w:p>
    <w:p w14:paraId="79BDE64C" w14:textId="77777777" w:rsidR="00D80D93" w:rsidRPr="00A439E2" w:rsidRDefault="00D80D93" w:rsidP="001A1B08">
      <w:pPr>
        <w:autoSpaceDE w:val="0"/>
        <w:autoSpaceDN w:val="0"/>
        <w:adjustRightInd w:val="0"/>
        <w:ind w:firstLine="708"/>
        <w:jc w:val="both"/>
        <w:rPr>
          <w:rFonts w:ascii="Abadi" w:hAnsi="Abadi" w:cs="ArialMT"/>
          <w:sz w:val="21"/>
          <w:szCs w:val="21"/>
        </w:rPr>
      </w:pPr>
      <w:r w:rsidRPr="00A439E2">
        <w:rPr>
          <w:rFonts w:ascii="Abadi" w:hAnsi="Abadi" w:cs="ArialMT"/>
          <w:sz w:val="21"/>
          <w:szCs w:val="21"/>
        </w:rPr>
        <w:t xml:space="preserve">El que suscribe, </w:t>
      </w:r>
      <w:r w:rsidRPr="00A439E2">
        <w:rPr>
          <w:rFonts w:ascii="Abadi" w:hAnsi="Abadi" w:cs="ArialMT"/>
          <w:i/>
          <w:iCs/>
          <w:sz w:val="21"/>
          <w:szCs w:val="21"/>
        </w:rPr>
        <w:t>Diputado</w:t>
      </w:r>
      <w:r w:rsidRPr="00A439E2">
        <w:rPr>
          <w:rFonts w:ascii="Abadi" w:hAnsi="Abadi" w:cs="ArialMT"/>
          <w:sz w:val="21"/>
          <w:szCs w:val="21"/>
        </w:rPr>
        <w:t xml:space="preserve"> </w:t>
      </w:r>
      <w:r w:rsidRPr="00A439E2">
        <w:rPr>
          <w:rFonts w:ascii="Abadi" w:hAnsi="Abadi" w:cs="ArialMT"/>
          <w:b/>
          <w:bCs/>
          <w:sz w:val="21"/>
          <w:szCs w:val="21"/>
        </w:rPr>
        <w:t>PABLO ALONSO RIPOLL</w:t>
      </w:r>
      <w:r w:rsidRPr="00A439E2">
        <w:rPr>
          <w:rFonts w:ascii="Abadi" w:hAnsi="Abadi" w:cs="ArialMT"/>
          <w:sz w:val="21"/>
          <w:szCs w:val="21"/>
        </w:rPr>
        <w:t xml:space="preserve">, del Grupo Parlamentario de </w:t>
      </w:r>
      <w:r w:rsidRPr="00A439E2">
        <w:rPr>
          <w:rFonts w:ascii="Abadi" w:hAnsi="Abadi" w:cs="ArialMT"/>
          <w:b/>
          <w:bCs/>
          <w:i/>
          <w:iCs/>
          <w:sz w:val="21"/>
          <w:szCs w:val="21"/>
        </w:rPr>
        <w:t>morena</w:t>
      </w:r>
      <w:r w:rsidRPr="00A439E2">
        <w:rPr>
          <w:rFonts w:ascii="Abadi" w:hAnsi="Abadi" w:cs="ArialMT"/>
          <w:sz w:val="21"/>
          <w:szCs w:val="21"/>
        </w:rPr>
        <w:t xml:space="preserve">, de esta Sexagésima Quinta Legislatura del Congreso del Estado de Guanajuato, con fundamento en el primer párrafo del artículo 57, de la Constitución Política para el Estado de Guanajuato; y en los artículos 177 y 204 fracción III de la Ley Orgánica del Poder Legislativo del Estado de Guanajuato, me permito someter a la consideración de esta Asamblea para su aprobación, el siguiente </w:t>
      </w:r>
      <w:r w:rsidRPr="00A439E2">
        <w:rPr>
          <w:rFonts w:ascii="Abadi" w:hAnsi="Abadi" w:cs="ArialMT"/>
          <w:b/>
          <w:bCs/>
          <w:sz w:val="21"/>
          <w:szCs w:val="21"/>
        </w:rPr>
        <w:t>Punto de Acuerdo de obvia resolución,</w:t>
      </w:r>
      <w:r w:rsidRPr="00A439E2">
        <w:rPr>
          <w:rFonts w:ascii="Abadi" w:hAnsi="Abadi" w:cs="ArialMT"/>
          <w:sz w:val="21"/>
          <w:szCs w:val="21"/>
        </w:rPr>
        <w:t xml:space="preserve"> de conformidad con la siguiente:</w:t>
      </w:r>
    </w:p>
    <w:p w14:paraId="0538FC3B" w14:textId="77777777" w:rsidR="00D80D93" w:rsidRPr="00A439E2" w:rsidRDefault="00D80D93" w:rsidP="00D80D93">
      <w:pPr>
        <w:autoSpaceDE w:val="0"/>
        <w:autoSpaceDN w:val="0"/>
        <w:adjustRightInd w:val="0"/>
        <w:jc w:val="both"/>
        <w:rPr>
          <w:rFonts w:ascii="Abadi" w:hAnsi="Abadi" w:cs="ArialMT"/>
          <w:sz w:val="21"/>
          <w:szCs w:val="21"/>
        </w:rPr>
      </w:pPr>
    </w:p>
    <w:p w14:paraId="76311868" w14:textId="77777777" w:rsidR="00D80D93" w:rsidRPr="00A439E2" w:rsidRDefault="00D80D93" w:rsidP="001A1B08">
      <w:pPr>
        <w:autoSpaceDE w:val="0"/>
        <w:autoSpaceDN w:val="0"/>
        <w:adjustRightInd w:val="0"/>
        <w:jc w:val="center"/>
        <w:rPr>
          <w:rFonts w:ascii="Abadi" w:hAnsi="Abadi" w:cs="ArialMT"/>
          <w:b/>
          <w:bCs/>
          <w:sz w:val="21"/>
          <w:szCs w:val="21"/>
        </w:rPr>
      </w:pPr>
      <w:r w:rsidRPr="00A439E2">
        <w:rPr>
          <w:rFonts w:ascii="Abadi" w:hAnsi="Abadi" w:cs="ArialMT"/>
          <w:b/>
          <w:bCs/>
          <w:sz w:val="21"/>
          <w:szCs w:val="21"/>
        </w:rPr>
        <w:t>EXPOSICIÓN DE MOTIVOS:</w:t>
      </w:r>
    </w:p>
    <w:p w14:paraId="548237BB" w14:textId="77777777" w:rsidR="00D80D93" w:rsidRPr="00A439E2" w:rsidRDefault="00D80D93" w:rsidP="00D80D93">
      <w:pPr>
        <w:autoSpaceDE w:val="0"/>
        <w:autoSpaceDN w:val="0"/>
        <w:adjustRightInd w:val="0"/>
        <w:jc w:val="both"/>
        <w:rPr>
          <w:rFonts w:ascii="Abadi" w:hAnsi="Abadi" w:cs="ArialMT"/>
          <w:sz w:val="21"/>
          <w:szCs w:val="21"/>
        </w:rPr>
      </w:pPr>
    </w:p>
    <w:p w14:paraId="22A0D4C8"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El municipio es considerado la célula básica de gobierno, en que se brindan los servicios públicos esenciales para la sociedad, en el caso de nuestro país.</w:t>
      </w:r>
    </w:p>
    <w:p w14:paraId="0F0FB9F3" w14:textId="77777777" w:rsidR="00D80D93" w:rsidRPr="00A439E2" w:rsidRDefault="00D80D93" w:rsidP="00D80D93">
      <w:pPr>
        <w:autoSpaceDE w:val="0"/>
        <w:autoSpaceDN w:val="0"/>
        <w:adjustRightInd w:val="0"/>
        <w:jc w:val="both"/>
        <w:rPr>
          <w:rFonts w:ascii="Abadi" w:hAnsi="Abadi" w:cs="ArialMT"/>
          <w:sz w:val="21"/>
          <w:szCs w:val="21"/>
        </w:rPr>
      </w:pPr>
    </w:p>
    <w:p w14:paraId="695D6914"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La Seguridad Pública está concebida como una función del Estado, a cargo de la Federación, las entidades federativas y los Municipios.</w:t>
      </w:r>
    </w:p>
    <w:p w14:paraId="3F95213F" w14:textId="77777777" w:rsidR="00D80D93" w:rsidRPr="00A439E2" w:rsidRDefault="00D80D93" w:rsidP="00D80D93">
      <w:pPr>
        <w:autoSpaceDE w:val="0"/>
        <w:autoSpaceDN w:val="0"/>
        <w:adjustRightInd w:val="0"/>
        <w:jc w:val="both"/>
        <w:rPr>
          <w:rFonts w:ascii="Abadi" w:hAnsi="Abadi" w:cs="ArialMT"/>
          <w:sz w:val="21"/>
          <w:szCs w:val="21"/>
        </w:rPr>
      </w:pPr>
    </w:p>
    <w:p w14:paraId="572946D3"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Es en los Municipios en los que la función de Seguridad Pública, además de tener una finalidad preventiva de delitos, está destinada a aplicar las normas administrativas que tienen un enfoque de preservar la convivencia social.</w:t>
      </w:r>
    </w:p>
    <w:p w14:paraId="658EFDCB" w14:textId="77777777" w:rsidR="00D80D93" w:rsidRPr="00A439E2" w:rsidRDefault="00D80D93" w:rsidP="00D80D93">
      <w:pPr>
        <w:autoSpaceDE w:val="0"/>
        <w:autoSpaceDN w:val="0"/>
        <w:adjustRightInd w:val="0"/>
        <w:jc w:val="both"/>
        <w:rPr>
          <w:rFonts w:ascii="Abadi" w:hAnsi="Abadi" w:cs="ArialMT"/>
          <w:sz w:val="21"/>
          <w:szCs w:val="21"/>
        </w:rPr>
      </w:pPr>
    </w:p>
    <w:p w14:paraId="39AB393A"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 xml:space="preserve">Este Poder Legislativo hace poco más de un año creó y aprobó la </w:t>
      </w:r>
      <w:r w:rsidRPr="00A439E2">
        <w:rPr>
          <w:rFonts w:ascii="Abadi" w:hAnsi="Abadi" w:cs="ArialMT"/>
          <w:i/>
          <w:iCs/>
          <w:sz w:val="21"/>
          <w:szCs w:val="21"/>
        </w:rPr>
        <w:t>Ley de Justicia Cívica del Estado de Guanajuato,</w:t>
      </w:r>
      <w:r w:rsidRPr="00A439E2">
        <w:rPr>
          <w:rFonts w:ascii="Abadi" w:hAnsi="Abadi" w:cs="ArialMT"/>
          <w:sz w:val="21"/>
          <w:szCs w:val="21"/>
        </w:rPr>
        <w:t xml:space="preserve"> en el marco de lo que se conoce como justicia cotidiana, enfocada en resolver conflictos que se generan en la convivencia social, que no correspondan a la materia penal.</w:t>
      </w:r>
    </w:p>
    <w:p w14:paraId="78BF2FCC" w14:textId="77777777" w:rsidR="00D80D93" w:rsidRPr="00A439E2" w:rsidRDefault="00D80D93" w:rsidP="00D80D93">
      <w:pPr>
        <w:autoSpaceDE w:val="0"/>
        <w:autoSpaceDN w:val="0"/>
        <w:adjustRightInd w:val="0"/>
        <w:jc w:val="both"/>
        <w:rPr>
          <w:rFonts w:ascii="Abadi" w:hAnsi="Abadi" w:cs="ArialMT"/>
          <w:sz w:val="21"/>
          <w:szCs w:val="21"/>
        </w:rPr>
      </w:pPr>
    </w:p>
    <w:p w14:paraId="59999B1F"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 xml:space="preserve">Considerando el eje rector de esta </w:t>
      </w:r>
      <w:r w:rsidRPr="00A439E2">
        <w:rPr>
          <w:rFonts w:ascii="Abadi" w:hAnsi="Abadi" w:cs="ArialMT"/>
          <w:i/>
          <w:iCs/>
          <w:sz w:val="21"/>
          <w:szCs w:val="21"/>
        </w:rPr>
        <w:t>Ley de Justicia Cívica,</w:t>
      </w:r>
      <w:r w:rsidRPr="00A439E2">
        <w:rPr>
          <w:rFonts w:ascii="Abadi" w:hAnsi="Abadi" w:cs="ArialMT"/>
          <w:sz w:val="21"/>
          <w:szCs w:val="21"/>
        </w:rPr>
        <w:t xml:space="preserve"> en su contenido se establecieron infracciones por acción u omisión, contra la dignidad de las personas, la tranquilidad, la seguridad ciudadana y el entorno urbano, con la posibilidad de que los Ayuntamientos determinen otras.</w:t>
      </w:r>
    </w:p>
    <w:p w14:paraId="74E0D165" w14:textId="77777777" w:rsidR="00D80D93" w:rsidRPr="00A439E2" w:rsidRDefault="00D80D93" w:rsidP="00D80D93">
      <w:pPr>
        <w:autoSpaceDE w:val="0"/>
        <w:autoSpaceDN w:val="0"/>
        <w:adjustRightInd w:val="0"/>
        <w:jc w:val="both"/>
        <w:rPr>
          <w:rFonts w:ascii="Abadi" w:hAnsi="Abadi" w:cs="ArialMT"/>
          <w:sz w:val="21"/>
          <w:szCs w:val="21"/>
        </w:rPr>
      </w:pPr>
    </w:p>
    <w:p w14:paraId="6FCE076D" w14:textId="5861DF2C" w:rsidR="00D80D93"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 xml:space="preserve">Se establece en esta </w:t>
      </w:r>
      <w:r w:rsidRPr="00A439E2">
        <w:rPr>
          <w:rFonts w:ascii="Abadi" w:hAnsi="Abadi" w:cs="ArialMT"/>
          <w:i/>
          <w:iCs/>
          <w:sz w:val="21"/>
          <w:szCs w:val="21"/>
        </w:rPr>
        <w:t>Ley</w:t>
      </w:r>
      <w:r w:rsidRPr="00A439E2">
        <w:rPr>
          <w:rFonts w:ascii="Abadi" w:hAnsi="Abadi" w:cs="ArialMT"/>
          <w:sz w:val="21"/>
          <w:szCs w:val="21"/>
        </w:rPr>
        <w:t xml:space="preserve"> la organización y funcionamiento de la justicia cívica, mediante personal como jueces, secretarios, defensores de oficio, facilitadores, entre otros.</w:t>
      </w:r>
    </w:p>
    <w:p w14:paraId="3DBB7B45" w14:textId="77777777" w:rsidR="00B67C75" w:rsidRPr="00A439E2" w:rsidRDefault="00B67C75" w:rsidP="00D80D93">
      <w:pPr>
        <w:autoSpaceDE w:val="0"/>
        <w:autoSpaceDN w:val="0"/>
        <w:adjustRightInd w:val="0"/>
        <w:jc w:val="both"/>
        <w:rPr>
          <w:rFonts w:ascii="Abadi" w:hAnsi="Abadi" w:cs="ArialMT"/>
          <w:sz w:val="21"/>
          <w:szCs w:val="21"/>
        </w:rPr>
      </w:pPr>
    </w:p>
    <w:p w14:paraId="68271AD8"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Así mismo se implementa un registro de infractores a cargo de la Secretaría de Seguridad Pública del Estado.</w:t>
      </w:r>
    </w:p>
    <w:p w14:paraId="3F3DBFD0" w14:textId="77777777" w:rsidR="00D80D93" w:rsidRPr="00A439E2" w:rsidRDefault="00D80D93" w:rsidP="00D80D93">
      <w:pPr>
        <w:autoSpaceDE w:val="0"/>
        <w:autoSpaceDN w:val="0"/>
        <w:adjustRightInd w:val="0"/>
        <w:jc w:val="both"/>
        <w:rPr>
          <w:rFonts w:ascii="Abadi" w:hAnsi="Abadi" w:cs="ArialMT"/>
          <w:sz w:val="21"/>
          <w:szCs w:val="21"/>
        </w:rPr>
      </w:pPr>
    </w:p>
    <w:p w14:paraId="3EF46541"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 xml:space="preserve">La </w:t>
      </w:r>
      <w:r w:rsidRPr="00A439E2">
        <w:rPr>
          <w:rFonts w:ascii="Abadi" w:hAnsi="Abadi" w:cs="ArialMT"/>
          <w:i/>
          <w:iCs/>
          <w:sz w:val="21"/>
          <w:szCs w:val="21"/>
        </w:rPr>
        <w:t>Ley de Justicia Cívica</w:t>
      </w:r>
      <w:r w:rsidRPr="00A439E2">
        <w:rPr>
          <w:rFonts w:ascii="Abadi" w:hAnsi="Abadi" w:cs="ArialMT"/>
          <w:sz w:val="21"/>
          <w:szCs w:val="21"/>
        </w:rPr>
        <w:t xml:space="preserve"> es de aplicación obligatoria para los municipios del Estado de Guanajuato y algunas otras autoridades estatales.</w:t>
      </w:r>
    </w:p>
    <w:p w14:paraId="051A3157" w14:textId="7E369B52" w:rsidR="00D80D93" w:rsidRPr="00A439E2" w:rsidRDefault="00D80D93" w:rsidP="00D80D93">
      <w:pPr>
        <w:autoSpaceDE w:val="0"/>
        <w:autoSpaceDN w:val="0"/>
        <w:adjustRightInd w:val="0"/>
        <w:jc w:val="both"/>
        <w:rPr>
          <w:rFonts w:ascii="Abadi" w:hAnsi="Abadi" w:cs="ArialMT"/>
          <w:sz w:val="21"/>
          <w:szCs w:val="21"/>
        </w:rPr>
      </w:pPr>
    </w:p>
    <w:p w14:paraId="58E39518"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El avance conocido en la implementación de la Justicia Cívica de acuerdo a lo publicado en medios de comunicación, se limita prácticamente a algunos municipios del llamado corredor industrial, que corresponde a los de mayor tamaño, de nuestro Estado.</w:t>
      </w:r>
    </w:p>
    <w:p w14:paraId="2DDBA64B" w14:textId="77777777" w:rsidR="00D80D93" w:rsidRPr="00A439E2" w:rsidRDefault="00D80D93" w:rsidP="00D80D93">
      <w:pPr>
        <w:autoSpaceDE w:val="0"/>
        <w:autoSpaceDN w:val="0"/>
        <w:adjustRightInd w:val="0"/>
        <w:jc w:val="both"/>
        <w:rPr>
          <w:rFonts w:ascii="Abadi" w:hAnsi="Abadi" w:cs="ArialMT"/>
          <w:sz w:val="21"/>
          <w:szCs w:val="21"/>
        </w:rPr>
      </w:pPr>
    </w:p>
    <w:p w14:paraId="5E87464A" w14:textId="0FF18E0E"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 xml:space="preserve">Para cumplir con las obligaciones de implementación de la Justicia Cívica, la </w:t>
      </w:r>
      <w:r w:rsidRPr="00A439E2">
        <w:rPr>
          <w:rFonts w:ascii="Abadi" w:hAnsi="Abadi" w:cs="ArialMT"/>
          <w:i/>
          <w:iCs/>
          <w:sz w:val="21"/>
          <w:szCs w:val="21"/>
        </w:rPr>
        <w:t>Ley</w:t>
      </w:r>
      <w:r w:rsidRPr="00A439E2">
        <w:rPr>
          <w:rFonts w:ascii="Abadi" w:hAnsi="Abadi" w:cs="ArialMT"/>
          <w:sz w:val="21"/>
          <w:szCs w:val="21"/>
        </w:rPr>
        <w:t xml:space="preserve"> estableció plazos muy concretos.</w:t>
      </w:r>
    </w:p>
    <w:p w14:paraId="40E36CE7" w14:textId="77777777" w:rsidR="003D3593" w:rsidRPr="00A439E2" w:rsidRDefault="003D3593" w:rsidP="00D80D93">
      <w:pPr>
        <w:autoSpaceDE w:val="0"/>
        <w:autoSpaceDN w:val="0"/>
        <w:adjustRightInd w:val="0"/>
        <w:jc w:val="both"/>
        <w:rPr>
          <w:rFonts w:ascii="Abadi" w:hAnsi="Abadi" w:cs="ArialMT"/>
          <w:sz w:val="21"/>
          <w:szCs w:val="21"/>
        </w:rPr>
      </w:pPr>
    </w:p>
    <w:p w14:paraId="06A063D2"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 xml:space="preserve">De acuerdo al artículo segundo transitorio, 180 días para que los Ayuntamientos hicieran la adecuación de sus instrumentos normativos. Plazo que se cumplió el 20 de octubre del 2021, considerando que la </w:t>
      </w:r>
      <w:r w:rsidRPr="00A439E2">
        <w:rPr>
          <w:rFonts w:ascii="Abadi" w:hAnsi="Abadi" w:cs="ArialMT"/>
          <w:i/>
          <w:iCs/>
          <w:sz w:val="21"/>
          <w:szCs w:val="21"/>
        </w:rPr>
        <w:t>Ley de Justicia Cívica</w:t>
      </w:r>
      <w:r w:rsidRPr="00A439E2">
        <w:rPr>
          <w:rFonts w:ascii="Abadi" w:hAnsi="Abadi" w:cs="ArialMT"/>
          <w:sz w:val="21"/>
          <w:szCs w:val="21"/>
        </w:rPr>
        <w:t xml:space="preserve"> entró en vigor el 24 de abril del 2021.</w:t>
      </w:r>
    </w:p>
    <w:p w14:paraId="52222815" w14:textId="77777777" w:rsidR="00D80D93" w:rsidRPr="00A439E2" w:rsidRDefault="00D80D93" w:rsidP="00D80D93">
      <w:pPr>
        <w:autoSpaceDE w:val="0"/>
        <w:autoSpaceDN w:val="0"/>
        <w:adjustRightInd w:val="0"/>
        <w:jc w:val="both"/>
        <w:rPr>
          <w:rFonts w:ascii="Abadi" w:hAnsi="Abadi" w:cs="ArialMT"/>
          <w:sz w:val="21"/>
          <w:szCs w:val="21"/>
        </w:rPr>
      </w:pPr>
    </w:p>
    <w:p w14:paraId="0368A1B2"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 xml:space="preserve">Se estableció un plazo de 18 meses a partir de la entrada en vigor de la </w:t>
      </w:r>
      <w:r w:rsidRPr="00A439E2">
        <w:rPr>
          <w:rFonts w:ascii="Abadi" w:hAnsi="Abadi" w:cs="ArialMT"/>
          <w:i/>
          <w:iCs/>
          <w:sz w:val="21"/>
          <w:szCs w:val="21"/>
        </w:rPr>
        <w:t>Ley de Justicia Cívica,</w:t>
      </w:r>
      <w:r w:rsidRPr="00A439E2">
        <w:rPr>
          <w:rFonts w:ascii="Abadi" w:hAnsi="Abadi" w:cs="ArialMT"/>
          <w:sz w:val="21"/>
          <w:szCs w:val="21"/>
        </w:rPr>
        <w:t xml:space="preserve"> para que los municipios lleven a cabo la adecuación o implementación de los órganos que se encargarán de la Justicia Cívica. Este plazo se cumplirá en octubre de este año, en poco menos de 6 meses.</w:t>
      </w:r>
    </w:p>
    <w:p w14:paraId="600FEB00" w14:textId="77777777" w:rsidR="00D80D93" w:rsidRPr="00A439E2" w:rsidRDefault="00D80D93" w:rsidP="00D80D93">
      <w:pPr>
        <w:autoSpaceDE w:val="0"/>
        <w:autoSpaceDN w:val="0"/>
        <w:adjustRightInd w:val="0"/>
        <w:jc w:val="both"/>
        <w:rPr>
          <w:rFonts w:ascii="Abadi" w:hAnsi="Abadi" w:cs="ArialMT"/>
          <w:sz w:val="21"/>
          <w:szCs w:val="21"/>
        </w:rPr>
      </w:pPr>
    </w:p>
    <w:p w14:paraId="5DB747D3"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 xml:space="preserve">En relación a las Jornadas de Justicia Itinerante, la Ley estableció que debieron iniciar en el ejercicio fiscal siguiente a la entrada en vigor de la </w:t>
      </w:r>
      <w:r w:rsidRPr="00A439E2">
        <w:rPr>
          <w:rFonts w:ascii="Abadi" w:hAnsi="Abadi" w:cs="ArialMT"/>
          <w:i/>
          <w:iCs/>
          <w:sz w:val="21"/>
          <w:szCs w:val="21"/>
        </w:rPr>
        <w:t>Ley de Justicia Cívica,</w:t>
      </w:r>
      <w:r w:rsidRPr="00A439E2">
        <w:rPr>
          <w:rFonts w:ascii="Abadi" w:hAnsi="Abadi" w:cs="ArialMT"/>
          <w:sz w:val="21"/>
          <w:szCs w:val="21"/>
        </w:rPr>
        <w:t xml:space="preserve"> esto es, el primero de enero de este año 2022, sin que se conozca sobre su cumplimiento información alguna.</w:t>
      </w:r>
    </w:p>
    <w:p w14:paraId="5B4B47E9" w14:textId="77777777" w:rsidR="00D80D93" w:rsidRPr="00A439E2" w:rsidRDefault="00D80D93" w:rsidP="00D80D93">
      <w:pPr>
        <w:autoSpaceDE w:val="0"/>
        <w:autoSpaceDN w:val="0"/>
        <w:adjustRightInd w:val="0"/>
        <w:jc w:val="both"/>
        <w:rPr>
          <w:rFonts w:ascii="Abadi" w:hAnsi="Abadi" w:cs="ArialMT"/>
          <w:sz w:val="21"/>
          <w:szCs w:val="21"/>
        </w:rPr>
      </w:pPr>
    </w:p>
    <w:p w14:paraId="7212A2D0"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El 10 de octubre del 2021, a propuesta del Grupo Parlamentario del Partido Acción Nacional se exhortó a los 46 municipios del Estado de Guanajuato para que elaboraran en tiempo y forma las adecuaciones normativas y previeran los recursos presupuestales necesarios para la implementación de la Justicia Cívica, lo que quedó en un llamado o recordatorio, porque en sus leyes de egresos para este año 2022, algunos municipios no consideraron gasto alguno en este rubro.</w:t>
      </w:r>
    </w:p>
    <w:p w14:paraId="4FFCF85A" w14:textId="77777777" w:rsidR="00D80D93" w:rsidRPr="00A439E2" w:rsidRDefault="00D80D93" w:rsidP="00D80D93">
      <w:pPr>
        <w:autoSpaceDE w:val="0"/>
        <w:autoSpaceDN w:val="0"/>
        <w:adjustRightInd w:val="0"/>
        <w:jc w:val="both"/>
        <w:rPr>
          <w:rFonts w:ascii="Abadi" w:hAnsi="Abadi" w:cs="ArialMT"/>
          <w:sz w:val="21"/>
          <w:szCs w:val="21"/>
        </w:rPr>
      </w:pPr>
    </w:p>
    <w:p w14:paraId="36D07906" w14:textId="77777777"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 xml:space="preserve">Considerando que la inter relación de obligaciones y plazos impuestos tanto a los Ayuntamientos como a autoridades estatales son diversas, y que ya han expirado algunos periodos para cumplir con la </w:t>
      </w:r>
      <w:r w:rsidRPr="00A439E2">
        <w:rPr>
          <w:rFonts w:ascii="Abadi" w:hAnsi="Abadi" w:cs="ArialMT"/>
          <w:i/>
          <w:iCs/>
          <w:sz w:val="21"/>
          <w:szCs w:val="21"/>
        </w:rPr>
        <w:t>Ley de Justicia Cívica,</w:t>
      </w:r>
      <w:r w:rsidRPr="00A439E2">
        <w:rPr>
          <w:rFonts w:ascii="Abadi" w:hAnsi="Abadi" w:cs="ArialMT"/>
          <w:sz w:val="21"/>
          <w:szCs w:val="21"/>
        </w:rPr>
        <w:t xml:space="preserve"> sin que se tenga conocimiento de su cabal cumplimiento, se hace necesario que este Congreso lleve a cabo un puntual seguimiento al avance en la implementación de la Justicia Cívica en el Estado de Guanajuato.</w:t>
      </w:r>
    </w:p>
    <w:p w14:paraId="76BFBD55" w14:textId="77777777" w:rsidR="00D80D93" w:rsidRPr="00A439E2" w:rsidRDefault="00D80D93" w:rsidP="00D80D93">
      <w:pPr>
        <w:autoSpaceDE w:val="0"/>
        <w:autoSpaceDN w:val="0"/>
        <w:adjustRightInd w:val="0"/>
        <w:jc w:val="both"/>
        <w:rPr>
          <w:rFonts w:ascii="Abadi" w:hAnsi="Abadi" w:cs="ArialMT"/>
          <w:sz w:val="21"/>
          <w:szCs w:val="21"/>
        </w:rPr>
      </w:pPr>
    </w:p>
    <w:p w14:paraId="34CF6422" w14:textId="2A049FF3"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sz w:val="21"/>
          <w:szCs w:val="21"/>
        </w:rPr>
        <w:t>Por lo anteriormente expuesto me permito someter a consideración de este pleno, para su aprobación, el siguiente:</w:t>
      </w:r>
    </w:p>
    <w:p w14:paraId="0E78EE65" w14:textId="77777777" w:rsidR="002E108D" w:rsidRPr="00A439E2" w:rsidRDefault="002E108D" w:rsidP="00D80D93">
      <w:pPr>
        <w:autoSpaceDE w:val="0"/>
        <w:autoSpaceDN w:val="0"/>
        <w:adjustRightInd w:val="0"/>
        <w:jc w:val="both"/>
        <w:rPr>
          <w:rFonts w:ascii="Abadi" w:hAnsi="Abadi" w:cs="ArialMT"/>
          <w:sz w:val="21"/>
          <w:szCs w:val="21"/>
        </w:rPr>
      </w:pPr>
    </w:p>
    <w:p w14:paraId="134148BE" w14:textId="21934BE2" w:rsidR="00D80D93" w:rsidRPr="00A439E2" w:rsidRDefault="00D80D93" w:rsidP="002E108D">
      <w:pPr>
        <w:autoSpaceDE w:val="0"/>
        <w:autoSpaceDN w:val="0"/>
        <w:adjustRightInd w:val="0"/>
        <w:jc w:val="center"/>
        <w:rPr>
          <w:rFonts w:ascii="Abadi" w:hAnsi="Abadi" w:cs="ArialMT"/>
          <w:b/>
          <w:bCs/>
          <w:sz w:val="21"/>
          <w:szCs w:val="21"/>
        </w:rPr>
      </w:pPr>
      <w:r w:rsidRPr="00A439E2">
        <w:rPr>
          <w:rFonts w:ascii="Abadi" w:hAnsi="Abadi" w:cs="ArialMT"/>
          <w:b/>
          <w:bCs/>
          <w:sz w:val="21"/>
          <w:szCs w:val="21"/>
        </w:rPr>
        <w:t>PUNTO DE ACUERDO:</w:t>
      </w:r>
    </w:p>
    <w:p w14:paraId="4A905313" w14:textId="77777777" w:rsidR="00D80D93" w:rsidRPr="00A439E2" w:rsidRDefault="00D80D93" w:rsidP="00D80D93">
      <w:pPr>
        <w:autoSpaceDE w:val="0"/>
        <w:autoSpaceDN w:val="0"/>
        <w:adjustRightInd w:val="0"/>
        <w:jc w:val="both"/>
        <w:rPr>
          <w:rFonts w:ascii="Abadi" w:hAnsi="Abadi" w:cs="ArialMT"/>
          <w:sz w:val="21"/>
          <w:szCs w:val="21"/>
        </w:rPr>
      </w:pPr>
    </w:p>
    <w:p w14:paraId="6438CF2F" w14:textId="157E6976" w:rsidR="00D80D93" w:rsidRPr="00A439E2" w:rsidRDefault="00D80D93" w:rsidP="00D80D93">
      <w:pPr>
        <w:autoSpaceDE w:val="0"/>
        <w:autoSpaceDN w:val="0"/>
        <w:adjustRightInd w:val="0"/>
        <w:jc w:val="both"/>
        <w:rPr>
          <w:rFonts w:ascii="Abadi" w:hAnsi="Abadi" w:cs="ArialMT"/>
          <w:sz w:val="21"/>
          <w:szCs w:val="21"/>
        </w:rPr>
      </w:pPr>
      <w:r w:rsidRPr="00A439E2">
        <w:rPr>
          <w:rFonts w:ascii="Abadi" w:hAnsi="Abadi" w:cs="ArialMT"/>
          <w:b/>
          <w:bCs/>
          <w:sz w:val="21"/>
          <w:szCs w:val="21"/>
        </w:rPr>
        <w:t>Único.-</w:t>
      </w:r>
      <w:r w:rsidRPr="00A439E2">
        <w:rPr>
          <w:rFonts w:ascii="Abadi" w:hAnsi="Abadi" w:cs="ArialMT"/>
          <w:sz w:val="21"/>
          <w:szCs w:val="21"/>
        </w:rPr>
        <w:t xml:space="preserve"> Esta Sexagésima Quinta Legislatura del Congreso del Estado de Guanajuato, con fundamento en el artículo 86 de la </w:t>
      </w:r>
      <w:r w:rsidRPr="00A439E2">
        <w:rPr>
          <w:rFonts w:ascii="Abadi" w:hAnsi="Abadi" w:cs="ArialMT"/>
          <w:i/>
          <w:iCs/>
          <w:sz w:val="21"/>
          <w:szCs w:val="21"/>
        </w:rPr>
        <w:t>Ley Orgánica del Poder Legislativo del Estado de Guanajuato,</w:t>
      </w:r>
      <w:r w:rsidRPr="00A439E2">
        <w:rPr>
          <w:rFonts w:ascii="Abadi" w:hAnsi="Abadi" w:cs="ArialMT"/>
          <w:sz w:val="21"/>
          <w:szCs w:val="21"/>
        </w:rPr>
        <w:t xml:space="preserve"> acuerda la creación de la Comisión Legislativa Especial que tendrá por objeto elaborar un informe en relación al seguimiento y cumplimiento que han dado los 46 Ayuntamientos del Estado de Guanajuato, y las autoridades estatales que corresponde, a la </w:t>
      </w:r>
      <w:r w:rsidRPr="00A439E2">
        <w:rPr>
          <w:rFonts w:ascii="Abadi" w:hAnsi="Abadi" w:cs="ArialMT"/>
          <w:i/>
          <w:iCs/>
          <w:sz w:val="21"/>
          <w:szCs w:val="21"/>
        </w:rPr>
        <w:t>Ley de Justicia Cívica del Estado de Guanajuato,</w:t>
      </w:r>
      <w:r w:rsidRPr="00A439E2">
        <w:rPr>
          <w:rFonts w:ascii="Abadi" w:hAnsi="Abadi" w:cs="ArialMT"/>
          <w:sz w:val="21"/>
          <w:szCs w:val="21"/>
        </w:rPr>
        <w:t xml:space="preserve"> específicamente para conocer el estado que guardan las obligaciones de adecuación o creación de los instrumentos normativos municipales; la adecuación o implementación de los  órganos que se encargarán de la Justicia Cívica; la realización de Jornadas de Justicia Itinerante; y la</w:t>
      </w:r>
      <w:r w:rsidR="009D48CA" w:rsidRPr="00A439E2">
        <w:rPr>
          <w:rFonts w:ascii="Abadi" w:hAnsi="Abadi" w:cs="ArialMT"/>
          <w:sz w:val="21"/>
          <w:szCs w:val="21"/>
        </w:rPr>
        <w:t xml:space="preserve"> </w:t>
      </w:r>
      <w:r w:rsidRPr="00A439E2">
        <w:rPr>
          <w:rFonts w:ascii="Abadi" w:hAnsi="Abadi" w:cs="ArialMT"/>
          <w:sz w:val="21"/>
          <w:szCs w:val="21"/>
        </w:rPr>
        <w:t>implementación y funcionamiento del Registro de infractores. Comisión Especial que se integrará por 5 miembros a propuesta de la Junta de Gobierno y Coordinación Política. Se establece un plazo de 3 meses para realizar el informe que se le encomienda.</w:t>
      </w:r>
    </w:p>
    <w:p w14:paraId="2DA09E46" w14:textId="77777777" w:rsidR="009D48CA" w:rsidRPr="00A439E2" w:rsidRDefault="009D48CA" w:rsidP="00D80D93">
      <w:pPr>
        <w:autoSpaceDE w:val="0"/>
        <w:autoSpaceDN w:val="0"/>
        <w:adjustRightInd w:val="0"/>
        <w:jc w:val="both"/>
        <w:rPr>
          <w:rFonts w:ascii="Abadi" w:hAnsi="Abadi" w:cs="ArialMT"/>
          <w:sz w:val="21"/>
          <w:szCs w:val="21"/>
        </w:rPr>
      </w:pPr>
    </w:p>
    <w:p w14:paraId="7C8905CF" w14:textId="5E69DAD8" w:rsidR="00D80D93" w:rsidRPr="00A439E2" w:rsidRDefault="00D80D93" w:rsidP="009D48CA">
      <w:pPr>
        <w:autoSpaceDE w:val="0"/>
        <w:autoSpaceDN w:val="0"/>
        <w:adjustRightInd w:val="0"/>
        <w:jc w:val="center"/>
        <w:rPr>
          <w:rFonts w:ascii="Abadi" w:hAnsi="Abadi" w:cs="ArialMT"/>
          <w:sz w:val="21"/>
          <w:szCs w:val="21"/>
        </w:rPr>
      </w:pPr>
      <w:r w:rsidRPr="00A439E2">
        <w:rPr>
          <w:rFonts w:ascii="Abadi" w:hAnsi="Abadi" w:cs="ArialMT"/>
          <w:sz w:val="21"/>
          <w:szCs w:val="21"/>
        </w:rPr>
        <w:t xml:space="preserve">En Guanajuato, </w:t>
      </w:r>
      <w:proofErr w:type="spellStart"/>
      <w:r w:rsidRPr="00A439E2">
        <w:rPr>
          <w:rFonts w:ascii="Abadi" w:hAnsi="Abadi" w:cs="ArialMT"/>
          <w:sz w:val="21"/>
          <w:szCs w:val="21"/>
        </w:rPr>
        <w:t>Gto</w:t>
      </w:r>
      <w:proofErr w:type="spellEnd"/>
      <w:r w:rsidRPr="00A439E2">
        <w:rPr>
          <w:rFonts w:ascii="Abadi" w:hAnsi="Abadi" w:cs="ArialMT"/>
          <w:sz w:val="21"/>
          <w:szCs w:val="21"/>
        </w:rPr>
        <w:t>., al día de su presentación.</w:t>
      </w:r>
    </w:p>
    <w:p w14:paraId="2F9D5B83" w14:textId="42CC7E5E" w:rsidR="009D48CA" w:rsidRPr="00A439E2" w:rsidRDefault="009D48CA" w:rsidP="009D48CA">
      <w:pPr>
        <w:autoSpaceDE w:val="0"/>
        <w:autoSpaceDN w:val="0"/>
        <w:adjustRightInd w:val="0"/>
        <w:jc w:val="center"/>
        <w:rPr>
          <w:rFonts w:ascii="Abadi" w:hAnsi="Abadi" w:cs="ArialMT"/>
          <w:sz w:val="21"/>
          <w:szCs w:val="21"/>
        </w:rPr>
      </w:pPr>
    </w:p>
    <w:p w14:paraId="3A18A474" w14:textId="77777777" w:rsidR="009D48CA" w:rsidRPr="00A439E2" w:rsidRDefault="009D48CA" w:rsidP="009D48CA">
      <w:pPr>
        <w:autoSpaceDE w:val="0"/>
        <w:autoSpaceDN w:val="0"/>
        <w:adjustRightInd w:val="0"/>
        <w:jc w:val="center"/>
        <w:rPr>
          <w:rFonts w:ascii="Abadi" w:hAnsi="Abadi" w:cs="ArialMT"/>
          <w:sz w:val="21"/>
          <w:szCs w:val="21"/>
        </w:rPr>
      </w:pPr>
    </w:p>
    <w:p w14:paraId="2FB0C685" w14:textId="77777777" w:rsidR="00D80D93" w:rsidRPr="00A439E2" w:rsidRDefault="00D80D93" w:rsidP="009D48CA">
      <w:pPr>
        <w:autoSpaceDE w:val="0"/>
        <w:autoSpaceDN w:val="0"/>
        <w:adjustRightInd w:val="0"/>
        <w:jc w:val="center"/>
        <w:rPr>
          <w:rFonts w:ascii="Abadi" w:hAnsi="Abadi" w:cs="ArialMT"/>
          <w:b/>
          <w:bCs/>
          <w:sz w:val="21"/>
          <w:szCs w:val="21"/>
        </w:rPr>
      </w:pPr>
      <w:r w:rsidRPr="00A439E2">
        <w:rPr>
          <w:rFonts w:ascii="Abadi" w:hAnsi="Abadi" w:cs="ArialMT"/>
          <w:b/>
          <w:bCs/>
          <w:sz w:val="21"/>
          <w:szCs w:val="21"/>
        </w:rPr>
        <w:t>Pablo Alonso Ripoll</w:t>
      </w:r>
    </w:p>
    <w:p w14:paraId="4D22E550" w14:textId="3197C87E" w:rsidR="001E7A2D" w:rsidRPr="00A439E2" w:rsidRDefault="00D80D93" w:rsidP="009D48CA">
      <w:pPr>
        <w:autoSpaceDE w:val="0"/>
        <w:autoSpaceDN w:val="0"/>
        <w:adjustRightInd w:val="0"/>
        <w:jc w:val="center"/>
        <w:rPr>
          <w:rFonts w:ascii="Abadi" w:hAnsi="Abadi" w:cs="ArialMT"/>
          <w:i/>
          <w:iCs/>
          <w:sz w:val="21"/>
          <w:szCs w:val="21"/>
        </w:rPr>
      </w:pPr>
      <w:r w:rsidRPr="00A439E2">
        <w:rPr>
          <w:rFonts w:ascii="Abadi" w:hAnsi="Abadi" w:cs="ArialMT"/>
          <w:i/>
          <w:iCs/>
          <w:sz w:val="21"/>
          <w:szCs w:val="21"/>
        </w:rPr>
        <w:t>Diputado</w:t>
      </w:r>
    </w:p>
    <w:p w14:paraId="60E096D0" w14:textId="7C76C943" w:rsidR="00BC7A6F" w:rsidRPr="00A439E2" w:rsidRDefault="00E115AF" w:rsidP="00E115AF">
      <w:pPr>
        <w:pStyle w:val="NormalWeb"/>
        <w:ind w:right="333" w:firstLine="708"/>
        <w:jc w:val="both"/>
        <w:rPr>
          <w:rFonts w:ascii="Abadi" w:hAnsi="Abadi"/>
          <w:sz w:val="21"/>
          <w:szCs w:val="21"/>
        </w:rPr>
      </w:pPr>
      <w:r w:rsidRPr="00A439E2">
        <w:rPr>
          <w:rFonts w:ascii="Abadi" w:hAnsi="Abadi"/>
          <w:b/>
          <w:bCs/>
          <w:sz w:val="21"/>
          <w:szCs w:val="21"/>
        </w:rPr>
        <w:t xml:space="preserve">- </w:t>
      </w:r>
      <w:r w:rsidR="00BC7A6F" w:rsidRPr="00A439E2">
        <w:rPr>
          <w:rFonts w:ascii="Abadi" w:hAnsi="Abadi"/>
          <w:b/>
          <w:bCs/>
          <w:sz w:val="21"/>
          <w:szCs w:val="21"/>
        </w:rPr>
        <w:t>La Presidencia.-</w:t>
      </w:r>
      <w:r w:rsidR="00BC7A6F" w:rsidRPr="00A439E2">
        <w:rPr>
          <w:rFonts w:ascii="Abadi" w:hAnsi="Abadi"/>
          <w:sz w:val="21"/>
          <w:szCs w:val="21"/>
        </w:rPr>
        <w:t xml:space="preserve"> Es momento de darle el uso de la voz al diputado Pablo Ripoll, para que de lectura a su propuesta de punto de acuerdo  de obvia resolución suscrita por el diputado Pablo Alonso Ripoll integrante del Grupo Parlamentario del Partido MORENA por la que se acuerda la creación de la Comisión Legislativa Especial que tendrá por objeto elaborar un informe en relación al seguimiento y cumplimiento que han dado los 46 Ayuntamientos del Estado de Guanajuato, y las autoridades estatales que corresponde, a la Ley de Justicia Cívica del Estado de Guanajuato, específicamente para conocer el estado que guardan las obligaciones de adecuación o creación de los instrumentos normativos municipales; la adecuación o implementación de los órganos que se encargarán de la Justicia Cívica; la realización de Jornadas de Justicia Itinerante; y la implementación y funcionamiento del Registro de infractores. Comisión Especial que se integrará por 5 miembros a propuesta de la Junta de Gobierno y Coordinación Política. Se establece un plazo de 3 meses para realizar el informe que se le encomienda.</w:t>
      </w:r>
    </w:p>
    <w:p w14:paraId="230691B7" w14:textId="4B7A92A9" w:rsidR="00BC7A6F" w:rsidRPr="00A439E2" w:rsidRDefault="008B059B" w:rsidP="008B059B">
      <w:pPr>
        <w:pStyle w:val="NormalWeb"/>
        <w:ind w:right="333" w:firstLine="708"/>
        <w:jc w:val="both"/>
        <w:rPr>
          <w:rFonts w:ascii="Abadi" w:hAnsi="Abadi"/>
          <w:sz w:val="21"/>
          <w:szCs w:val="21"/>
        </w:rPr>
      </w:pPr>
      <w:r w:rsidRPr="00A439E2">
        <w:rPr>
          <w:rFonts w:ascii="Abadi" w:hAnsi="Abadi"/>
          <w:sz w:val="21"/>
          <w:szCs w:val="21"/>
        </w:rPr>
        <w:t xml:space="preserve">- </w:t>
      </w:r>
      <w:r w:rsidR="00BC7A6F" w:rsidRPr="00A439E2">
        <w:rPr>
          <w:rFonts w:ascii="Abadi" w:hAnsi="Abadi"/>
          <w:sz w:val="21"/>
          <w:szCs w:val="21"/>
        </w:rPr>
        <w:t>Adelante, Diputado.</w:t>
      </w:r>
    </w:p>
    <w:p w14:paraId="7856C4DC" w14:textId="77777777" w:rsidR="00BC7A6F" w:rsidRPr="00A439E2" w:rsidRDefault="00BC7A6F" w:rsidP="00E115AF">
      <w:pPr>
        <w:pStyle w:val="NormalWeb"/>
        <w:ind w:right="333"/>
        <w:jc w:val="center"/>
        <w:rPr>
          <w:rFonts w:ascii="Abadi" w:hAnsi="Abadi"/>
          <w:b/>
          <w:bCs/>
          <w:sz w:val="21"/>
          <w:szCs w:val="21"/>
        </w:rPr>
      </w:pPr>
      <w:r w:rsidRPr="00A439E2">
        <w:rPr>
          <w:rFonts w:ascii="Abadi" w:hAnsi="Abadi"/>
          <w:b/>
          <w:bCs/>
          <w:sz w:val="21"/>
          <w:szCs w:val="21"/>
        </w:rPr>
        <w:t>(Posicionamiento)</w:t>
      </w:r>
    </w:p>
    <w:p w14:paraId="33CB1B57" w14:textId="2D9C044C" w:rsidR="00BC7A6F" w:rsidRPr="00A439E2" w:rsidRDefault="008B059B" w:rsidP="00BC7A6F">
      <w:pPr>
        <w:pStyle w:val="NormalWeb"/>
        <w:ind w:right="333"/>
        <w:jc w:val="both"/>
        <w:rPr>
          <w:rFonts w:ascii="Abadi" w:hAnsi="Abadi"/>
          <w:b/>
          <w:bCs/>
          <w:sz w:val="21"/>
          <w:szCs w:val="21"/>
        </w:rPr>
      </w:pPr>
      <w:r w:rsidRPr="00A439E2">
        <w:rPr>
          <w:noProof/>
          <w:sz w:val="21"/>
          <w:szCs w:val="21"/>
        </w:rPr>
        <w:drawing>
          <wp:anchor distT="0" distB="0" distL="114300" distR="114300" simplePos="0" relativeHeight="251658250" behindDoc="1" locked="0" layoutInCell="1" allowOverlap="1" wp14:anchorId="555DB08C" wp14:editId="035D2C0C">
            <wp:simplePos x="0" y="0"/>
            <wp:positionH relativeFrom="column">
              <wp:posOffset>0</wp:posOffset>
            </wp:positionH>
            <wp:positionV relativeFrom="paragraph">
              <wp:posOffset>136525</wp:posOffset>
            </wp:positionV>
            <wp:extent cx="2307265" cy="1227091"/>
            <wp:effectExtent l="0" t="133350" r="0" b="925830"/>
            <wp:wrapTight wrapText="bothSides">
              <wp:wrapPolygon edited="0">
                <wp:start x="357" y="-2348"/>
                <wp:lineTo x="0" y="-671"/>
                <wp:lineTo x="357" y="37565"/>
                <wp:lineTo x="1784" y="37565"/>
                <wp:lineTo x="1962" y="36894"/>
                <wp:lineTo x="8383" y="35888"/>
                <wp:lineTo x="10167" y="35888"/>
                <wp:lineTo x="19977" y="31193"/>
                <wp:lineTo x="20155" y="3689"/>
                <wp:lineTo x="19799" y="-1677"/>
                <wp:lineTo x="4637" y="-2348"/>
                <wp:lineTo x="357" y="-2348"/>
              </wp:wrapPolygon>
            </wp:wrapTight>
            <wp:docPr id="23" name="Imagen 23" descr="Imagen que contiene hombre, tabla, contador,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magen que contiene hombre, tabla, contador, computadora&#10;&#10;Descripción generada automáticamente"/>
                    <pic:cNvPicPr/>
                  </pic:nvPicPr>
                  <pic:blipFill rotWithShape="1">
                    <a:blip r:embed="rId38" cstate="print">
                      <a:extLst>
                        <a:ext uri="{28A0092B-C50C-407E-A947-70E740481C1C}">
                          <a14:useLocalDpi xmlns:a14="http://schemas.microsoft.com/office/drawing/2010/main" val="0"/>
                        </a:ext>
                      </a:extLst>
                    </a:blip>
                    <a:srcRect b="5444"/>
                    <a:stretch/>
                  </pic:blipFill>
                  <pic:spPr bwMode="auto">
                    <a:xfrm>
                      <a:off x="0" y="0"/>
                      <a:ext cx="2307265" cy="1227091"/>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4FC19AF5" w14:textId="47D1CA38" w:rsidR="00BC7A6F" w:rsidRPr="00A439E2" w:rsidRDefault="00BC7A6F" w:rsidP="00BC7A6F">
      <w:pPr>
        <w:pStyle w:val="NormalWeb"/>
        <w:ind w:right="333"/>
        <w:jc w:val="both"/>
        <w:rPr>
          <w:rFonts w:ascii="Abadi" w:hAnsi="Abadi"/>
          <w:b/>
          <w:bCs/>
          <w:sz w:val="21"/>
          <w:szCs w:val="21"/>
        </w:rPr>
      </w:pPr>
    </w:p>
    <w:p w14:paraId="516277C1" w14:textId="06FC002E" w:rsidR="00BC7A6F" w:rsidRPr="00A439E2" w:rsidRDefault="005A222D" w:rsidP="008B059B">
      <w:pPr>
        <w:pStyle w:val="NormalWeb"/>
        <w:ind w:right="333"/>
        <w:jc w:val="center"/>
        <w:rPr>
          <w:rFonts w:ascii="Abadi" w:hAnsi="Abadi"/>
          <w:b/>
          <w:bCs/>
          <w:sz w:val="21"/>
          <w:szCs w:val="21"/>
        </w:rPr>
      </w:pPr>
      <w:r w:rsidRPr="00A439E2">
        <w:rPr>
          <w:rFonts w:ascii="Abadi" w:hAnsi="Abadi"/>
          <w:b/>
          <w:bCs/>
          <w:sz w:val="21"/>
          <w:szCs w:val="21"/>
        </w:rPr>
        <w:t>-</w:t>
      </w:r>
      <w:r w:rsidR="00BC7A6F" w:rsidRPr="00A439E2">
        <w:rPr>
          <w:rFonts w:ascii="Abadi" w:hAnsi="Abadi"/>
          <w:b/>
          <w:bCs/>
          <w:sz w:val="21"/>
          <w:szCs w:val="21"/>
        </w:rPr>
        <w:t>Diputado Pablo Alonso Ripol</w:t>
      </w:r>
      <w:r w:rsidRPr="00A439E2">
        <w:rPr>
          <w:rFonts w:ascii="Abadi" w:hAnsi="Abadi"/>
          <w:b/>
          <w:bCs/>
          <w:sz w:val="21"/>
          <w:szCs w:val="21"/>
        </w:rPr>
        <w:t>l-</w:t>
      </w:r>
    </w:p>
    <w:p w14:paraId="0D3988A7" w14:textId="6CEB79DE" w:rsidR="00BC7A6F" w:rsidRPr="00A439E2" w:rsidRDefault="005A222D" w:rsidP="00BC7A6F">
      <w:pPr>
        <w:pStyle w:val="NormalWeb"/>
        <w:tabs>
          <w:tab w:val="center" w:pos="4252"/>
        </w:tabs>
        <w:ind w:right="333"/>
        <w:jc w:val="both"/>
        <w:rPr>
          <w:rFonts w:ascii="Abadi" w:hAnsi="Abadi"/>
          <w:sz w:val="21"/>
          <w:szCs w:val="21"/>
        </w:rPr>
      </w:pPr>
      <w:r w:rsidRPr="00A439E2">
        <w:rPr>
          <w:rFonts w:ascii="Abadi" w:hAnsi="Abadi"/>
          <w:sz w:val="21"/>
          <w:szCs w:val="21"/>
        </w:rPr>
        <w:tab/>
      </w:r>
      <w:r w:rsidRPr="00A439E2">
        <w:rPr>
          <w:rFonts w:ascii="Abadi" w:hAnsi="Abadi"/>
          <w:sz w:val="21"/>
          <w:szCs w:val="21"/>
        </w:rPr>
        <w:tab/>
      </w:r>
      <w:r w:rsidR="00BC7A6F" w:rsidRPr="00A439E2">
        <w:rPr>
          <w:rFonts w:ascii="Abadi" w:hAnsi="Abadi"/>
          <w:sz w:val="21"/>
          <w:szCs w:val="21"/>
        </w:rPr>
        <w:t>- El que suscribe el diputado Pablo Alonso Ripoll, del Grupo Parlamentario de Morena, de esta Sexagésima Quinta Legislatura, del Congreso del Estado de Guanajuato me permito someter a la consideración de esta Asamblea para su aprobación el siguiente punto de acuerdo de Obvia Resolución de conformidad con la siguiente:</w:t>
      </w:r>
    </w:p>
    <w:p w14:paraId="733C2BCF" w14:textId="77777777" w:rsidR="00BC7A6F" w:rsidRPr="00A439E2" w:rsidRDefault="00BC7A6F" w:rsidP="00BC7A6F">
      <w:pPr>
        <w:pStyle w:val="NormalWeb"/>
        <w:tabs>
          <w:tab w:val="center" w:pos="4252"/>
        </w:tabs>
        <w:ind w:right="333"/>
        <w:jc w:val="both"/>
        <w:rPr>
          <w:rFonts w:ascii="Abadi" w:hAnsi="Abadi"/>
          <w:sz w:val="21"/>
          <w:szCs w:val="21"/>
        </w:rPr>
      </w:pPr>
      <w:r w:rsidRPr="00A439E2">
        <w:rPr>
          <w:rFonts w:ascii="Abadi" w:hAnsi="Abadi"/>
          <w:sz w:val="21"/>
          <w:szCs w:val="21"/>
        </w:rPr>
        <w:t xml:space="preserve"> - Exposición de motivos </w:t>
      </w:r>
    </w:p>
    <w:p w14:paraId="6669866E" w14:textId="77777777" w:rsidR="00BC7A6F" w:rsidRPr="00A439E2" w:rsidRDefault="00BC7A6F" w:rsidP="00BC7A6F">
      <w:pPr>
        <w:pStyle w:val="NormalWeb"/>
        <w:tabs>
          <w:tab w:val="center" w:pos="4252"/>
        </w:tabs>
        <w:ind w:right="333"/>
        <w:jc w:val="both"/>
        <w:rPr>
          <w:rFonts w:ascii="Abadi" w:hAnsi="Abadi"/>
          <w:sz w:val="21"/>
          <w:szCs w:val="21"/>
        </w:rPr>
      </w:pPr>
      <w:r w:rsidRPr="00A439E2">
        <w:rPr>
          <w:rFonts w:ascii="Abadi" w:hAnsi="Abadi"/>
          <w:sz w:val="21"/>
          <w:szCs w:val="21"/>
        </w:rPr>
        <w:t xml:space="preserve">- El Municipio es considerado la célula básica del Gobierno en el que se brindan los servicios públicos esenciales para la sociedad en el caso de nuestro país, la Seguridad Pública está concebida como una función del Estado a cargo de la Federación entidades las entidades federativas y los municipios  en los municipios en la que la función de Seguridad Pública además de tener una finalidad preventiva de los delitos está destinada a aplicar las normas administrativas que tiene un enfoque de preservar la convivencia social. </w:t>
      </w:r>
    </w:p>
    <w:p w14:paraId="795708E4" w14:textId="77777777" w:rsidR="00BC7A6F" w:rsidRPr="00A439E2" w:rsidRDefault="00BC7A6F" w:rsidP="00BC7A6F">
      <w:pPr>
        <w:pStyle w:val="NormalWeb"/>
        <w:tabs>
          <w:tab w:val="center" w:pos="4252"/>
        </w:tabs>
        <w:ind w:right="333"/>
        <w:jc w:val="both"/>
        <w:rPr>
          <w:rFonts w:ascii="Abadi" w:hAnsi="Abadi"/>
          <w:sz w:val="21"/>
          <w:szCs w:val="21"/>
        </w:rPr>
      </w:pPr>
      <w:r w:rsidRPr="00A439E2">
        <w:rPr>
          <w:rFonts w:ascii="Abadi" w:hAnsi="Abadi"/>
          <w:sz w:val="21"/>
          <w:szCs w:val="21"/>
        </w:rPr>
        <w:t xml:space="preserve">- Este Poder Legislativo hace poco más de un año creó y aprobó la Ley de Justicia Cívica del Estado de Guanajuato en el marco de lo que se conoce como justicia, cotidiana enfocada en resolver conflictos que se generan en la convivencia social que no correspondan a la materia penal considerando el eje rector de la Ley de Justicia Cívica en su contenido se establece infracciones en acción por acción </w:t>
      </w:r>
      <w:proofErr w:type="spellStart"/>
      <w:r w:rsidRPr="00A439E2">
        <w:rPr>
          <w:rFonts w:ascii="Abadi" w:hAnsi="Abadi"/>
          <w:sz w:val="21"/>
          <w:szCs w:val="21"/>
        </w:rPr>
        <w:t>o</w:t>
      </w:r>
      <w:proofErr w:type="spellEnd"/>
      <w:r w:rsidRPr="00A439E2">
        <w:rPr>
          <w:rFonts w:ascii="Abadi" w:hAnsi="Abadi"/>
          <w:sz w:val="21"/>
          <w:szCs w:val="21"/>
        </w:rPr>
        <w:t xml:space="preserve"> omisión contra la dignidad de las personas la tranquilidad la seguridad ciudadana y en el entorno urbano con la posibilidad de que los ayuntamientos determinen otras. </w:t>
      </w:r>
    </w:p>
    <w:p w14:paraId="1AFD185A" w14:textId="77777777" w:rsidR="00BC7A6F" w:rsidRPr="00A439E2" w:rsidRDefault="00BC7A6F" w:rsidP="00BC7A6F">
      <w:pPr>
        <w:pStyle w:val="NormalWeb"/>
        <w:tabs>
          <w:tab w:val="center" w:pos="4252"/>
        </w:tabs>
        <w:ind w:right="333"/>
        <w:jc w:val="both"/>
        <w:rPr>
          <w:rFonts w:ascii="Abadi" w:hAnsi="Abadi"/>
          <w:sz w:val="21"/>
          <w:szCs w:val="21"/>
        </w:rPr>
      </w:pPr>
      <w:r w:rsidRPr="00A439E2">
        <w:rPr>
          <w:rFonts w:ascii="Abadi" w:hAnsi="Abadi"/>
          <w:sz w:val="21"/>
          <w:szCs w:val="21"/>
        </w:rPr>
        <w:t xml:space="preserve">- Se establece en esta Ley la organización y funcionamiento de la justicia cívica,  mediante personal como jueces, secretarios, defensores de oficio, facilitadores en otros, en no simplemente un registro de infractores a cargo de la Secretaría de Seguridad Pública del Estado,  de la Ley de Justicia cívica es la aplicación obligatoria para los municipios del Estado de Guanajuato y a algunas otras autoridades estatales el avance con conocido en la implementación de la justicia cívica de acuerdo publicado en medios de comunicación se limita prácticamente a algunos municipios de llamado corredor industrial que corresponden a la mayoría de tamaño del Estado para cumplir con las obligaciones de implementar de la justicia cívica de la orden establecida plazo muy corto de acuerdo al artículo segundo transitorio 180 días para que los ayuntamientos hicieran la adecuación de la sus instrumentos normativos plazo que se cumplió 20/10/2021 considerando que la ley de la justicia cívica entro en vigor el 24/04/2021 se estableció un plazo de 18 meses a partir de la entrada en vigor de la Ley de la Justicia Cívica, para que los municipios lleven a cabo la adecuación implementación de los órganos que se encargará de la justicia cívica, plazo que se cumplirá en octubre, de este año en poco menos de seis meses. </w:t>
      </w:r>
    </w:p>
    <w:p w14:paraId="7A9C028B" w14:textId="77777777" w:rsidR="00BC7A6F" w:rsidRPr="00A439E2" w:rsidRDefault="00BC7A6F" w:rsidP="00BC7A6F">
      <w:pPr>
        <w:pStyle w:val="NormalWeb"/>
        <w:tabs>
          <w:tab w:val="center" w:pos="4252"/>
        </w:tabs>
        <w:ind w:right="333"/>
        <w:jc w:val="both"/>
        <w:rPr>
          <w:rFonts w:ascii="Abadi" w:hAnsi="Abadi"/>
          <w:sz w:val="21"/>
          <w:szCs w:val="21"/>
        </w:rPr>
      </w:pPr>
      <w:r w:rsidRPr="00A439E2">
        <w:rPr>
          <w:rFonts w:ascii="Abadi" w:hAnsi="Abadi"/>
          <w:sz w:val="21"/>
          <w:szCs w:val="21"/>
        </w:rPr>
        <w:t xml:space="preserve">- En relación a las jornadas de Justicia itinerante, la ley estableció  que debieron iniciar en el ejercicio fiscal siguiente al entrada en vigor de la Ley de la Justicia Cívica esto es primero de enero de este año del 2022, sin que se conozca sobre su cumplimiento información alguna el 10 de octubre del 2021 propuesta del Grupo Parlamentario Partido Acción Nacional se exhortó a los 46 municipios del Estado de Guanajuato para que elaboren en tiempo y forma, las adecuaciones normativas  y previeran los recursos presupuestales necesarios para la implementación de la justicia cívica lo que quedó en un llamado a recordatorio porque sus leyes de egresos para este año 2022 algunos municipios no consideraron gasto alguno en este rubro considerando que interrelación de obligaciones y plazos impuestos tantos a los ayuntamientos como autoridades estatales son diversas que ya han expirado algunos periodos para cumplir con la Ley de la Justicia Cívica sin que se tenga conocimiento de su cabal cumplimiento, se hace necesario que este Congreso lleve a cabo, un puntual seguimiento al avance en la implementación de la justicia cívica en el Estado de Guanajuato. </w:t>
      </w:r>
    </w:p>
    <w:p w14:paraId="4E1A8422" w14:textId="77777777" w:rsidR="00BC7A6F" w:rsidRPr="00A439E2" w:rsidRDefault="00BC7A6F" w:rsidP="00BC7A6F">
      <w:pPr>
        <w:pStyle w:val="NormalWeb"/>
        <w:tabs>
          <w:tab w:val="center" w:pos="4252"/>
        </w:tabs>
        <w:ind w:right="333"/>
        <w:jc w:val="both"/>
        <w:rPr>
          <w:rFonts w:ascii="Abadi" w:hAnsi="Abadi"/>
          <w:sz w:val="21"/>
          <w:szCs w:val="21"/>
        </w:rPr>
      </w:pPr>
      <w:r w:rsidRPr="00A439E2">
        <w:rPr>
          <w:rFonts w:ascii="Abadi" w:hAnsi="Abadi"/>
          <w:sz w:val="21"/>
          <w:szCs w:val="21"/>
        </w:rPr>
        <w:t xml:space="preserve">- Por lo anterior expuesto me permito someter a consideración de este Pleno para su aprobación el siguiente punto de acuerdo, muchas gracias. </w:t>
      </w:r>
    </w:p>
    <w:p w14:paraId="6A4BED15" w14:textId="74710583" w:rsidR="00BC7A6F" w:rsidRPr="00A439E2" w:rsidRDefault="008B059B" w:rsidP="00BC7A6F">
      <w:pPr>
        <w:pStyle w:val="NormalWeb"/>
        <w:tabs>
          <w:tab w:val="center" w:pos="4252"/>
        </w:tabs>
        <w:ind w:right="333"/>
        <w:jc w:val="both"/>
        <w:rPr>
          <w:rFonts w:ascii="Abadi" w:hAnsi="Abadi"/>
          <w:sz w:val="21"/>
          <w:szCs w:val="21"/>
        </w:rPr>
      </w:pPr>
      <w:r w:rsidRPr="00A439E2">
        <w:rPr>
          <w:rFonts w:ascii="Abadi" w:hAnsi="Abadi"/>
          <w:b/>
          <w:bCs/>
          <w:sz w:val="21"/>
          <w:szCs w:val="21"/>
        </w:rPr>
        <w:tab/>
      </w:r>
      <w:r w:rsidR="00BC7A6F" w:rsidRPr="00A439E2">
        <w:rPr>
          <w:rFonts w:ascii="Abadi" w:hAnsi="Abadi"/>
          <w:b/>
          <w:bCs/>
          <w:sz w:val="21"/>
          <w:szCs w:val="21"/>
        </w:rPr>
        <w:t xml:space="preserve">- La </w:t>
      </w:r>
      <w:proofErr w:type="gramStart"/>
      <w:r w:rsidR="00BC7A6F" w:rsidRPr="00A439E2">
        <w:rPr>
          <w:rFonts w:ascii="Abadi" w:hAnsi="Abadi"/>
          <w:b/>
          <w:bCs/>
          <w:sz w:val="21"/>
          <w:szCs w:val="21"/>
        </w:rPr>
        <w:t>Presidencia.-</w:t>
      </w:r>
      <w:proofErr w:type="gramEnd"/>
      <w:r w:rsidR="00BC7A6F" w:rsidRPr="00A439E2">
        <w:rPr>
          <w:rFonts w:ascii="Abadi" w:hAnsi="Abadi"/>
          <w:sz w:val="21"/>
          <w:szCs w:val="21"/>
        </w:rPr>
        <w:t xml:space="preserve"> Gracias diputado.</w:t>
      </w:r>
    </w:p>
    <w:p w14:paraId="7DD32B92" w14:textId="758073CD" w:rsidR="00BC7A6F" w:rsidRPr="00A439E2" w:rsidRDefault="00BC7A6F" w:rsidP="008B059B">
      <w:pPr>
        <w:pStyle w:val="NormalWeb"/>
        <w:ind w:right="333" w:firstLine="708"/>
        <w:jc w:val="both"/>
        <w:rPr>
          <w:rFonts w:ascii="Abadi" w:hAnsi="Abadi"/>
          <w:sz w:val="21"/>
          <w:szCs w:val="21"/>
        </w:rPr>
      </w:pPr>
      <w:r w:rsidRPr="00A439E2">
        <w:rPr>
          <w:rFonts w:ascii="Abadi" w:hAnsi="Abadi"/>
          <w:sz w:val="21"/>
          <w:szCs w:val="21"/>
        </w:rPr>
        <w:t xml:space="preserve">- En los términos solicitados por el proponente, se declare de obvia resolución la propuesta de punto de acuerdo con fundamento en el artículo 177 de la Ley Orgánica del Poder Legislativo del Estado. </w:t>
      </w:r>
    </w:p>
    <w:p w14:paraId="293B844A" w14:textId="737DB4BB" w:rsidR="00BC7A6F" w:rsidRPr="00A439E2" w:rsidRDefault="00BC7A6F" w:rsidP="00F84826">
      <w:pPr>
        <w:pStyle w:val="NormalWeb"/>
        <w:ind w:right="333" w:firstLine="708"/>
        <w:jc w:val="both"/>
        <w:rPr>
          <w:rFonts w:ascii="Abadi" w:hAnsi="Abadi"/>
          <w:sz w:val="21"/>
          <w:szCs w:val="21"/>
        </w:rPr>
      </w:pPr>
      <w:r w:rsidRPr="00A439E2">
        <w:rPr>
          <w:rFonts w:ascii="Abadi" w:hAnsi="Abadi"/>
          <w:sz w:val="21"/>
          <w:szCs w:val="21"/>
        </w:rPr>
        <w:t>- Se informa a la Asamblea que a efecto de que la propuesta del punto de acuerdo se declare de obvia resolución debe ser aprobada por las dos terceras partes de los integrantes del Pleno.</w:t>
      </w:r>
    </w:p>
    <w:p w14:paraId="6B4ED549" w14:textId="738D5C67" w:rsidR="00BC7A6F" w:rsidRPr="00A439E2" w:rsidRDefault="005A05DA" w:rsidP="008B059B">
      <w:pPr>
        <w:pStyle w:val="NormalWeb"/>
        <w:ind w:right="333"/>
        <w:jc w:val="both"/>
        <w:rPr>
          <w:rFonts w:ascii="Abadi" w:hAnsi="Abadi"/>
          <w:sz w:val="21"/>
          <w:szCs w:val="21"/>
        </w:rPr>
      </w:pPr>
      <w:r w:rsidRPr="00A439E2">
        <w:rPr>
          <w:rFonts w:ascii="Abadi" w:hAnsi="Abadi"/>
          <w:sz w:val="21"/>
          <w:szCs w:val="21"/>
        </w:rPr>
        <w:tab/>
      </w:r>
      <w:r w:rsidR="00BC7A6F" w:rsidRPr="00A439E2">
        <w:rPr>
          <w:rFonts w:ascii="Abadi" w:hAnsi="Abadi"/>
          <w:sz w:val="21"/>
          <w:szCs w:val="21"/>
        </w:rPr>
        <w:t>- Si alguna diputada o algún diputado, desea hacer uso de la palabra en relación a la obvia resolución, sírvase manifestarlo indicando el sentido de su participación.</w:t>
      </w:r>
    </w:p>
    <w:p w14:paraId="4A593985" w14:textId="111ECEBC" w:rsidR="00BC7A6F" w:rsidRPr="00A439E2" w:rsidRDefault="008B059B" w:rsidP="008B059B">
      <w:pPr>
        <w:pStyle w:val="NormalWeb"/>
        <w:ind w:right="333"/>
        <w:jc w:val="both"/>
        <w:rPr>
          <w:rFonts w:ascii="Abadi" w:hAnsi="Abadi"/>
          <w:sz w:val="21"/>
          <w:szCs w:val="21"/>
        </w:rPr>
      </w:pPr>
      <w:r w:rsidRPr="00A439E2">
        <w:rPr>
          <w:rFonts w:ascii="Abadi" w:hAnsi="Abadi"/>
          <w:sz w:val="21"/>
          <w:szCs w:val="21"/>
        </w:rPr>
        <w:tab/>
      </w:r>
      <w:r w:rsidR="00BC7A6F" w:rsidRPr="00A439E2">
        <w:rPr>
          <w:rFonts w:ascii="Abadi" w:hAnsi="Abadi"/>
          <w:sz w:val="21"/>
          <w:szCs w:val="21"/>
        </w:rPr>
        <w:t>- En virtud de que ninguna diputada, ningún diputado desea hacer uso de la palabra, se ruega a la Secretar</w:t>
      </w:r>
      <w:r w:rsidR="00D00D2E" w:rsidRPr="00A439E2">
        <w:rPr>
          <w:rFonts w:ascii="Abadi" w:hAnsi="Abadi"/>
          <w:sz w:val="21"/>
          <w:szCs w:val="21"/>
        </w:rPr>
        <w:t>i</w:t>
      </w:r>
      <w:r w:rsidR="00BC7A6F" w:rsidRPr="00A439E2">
        <w:rPr>
          <w:rFonts w:ascii="Abadi" w:hAnsi="Abadi"/>
          <w:sz w:val="21"/>
          <w:szCs w:val="21"/>
        </w:rPr>
        <w:t>a que a través del sistema electrónico, pregunte a la Asamblea si es de aprobarse la obvia resolución o no.</w:t>
      </w:r>
    </w:p>
    <w:p w14:paraId="5C0081A6" w14:textId="77777777" w:rsidR="00BC7A6F" w:rsidRPr="00A439E2" w:rsidRDefault="00BC7A6F" w:rsidP="00C100D7">
      <w:pPr>
        <w:pStyle w:val="NormalWeb"/>
        <w:tabs>
          <w:tab w:val="center" w:pos="4252"/>
        </w:tabs>
        <w:ind w:right="333"/>
        <w:jc w:val="center"/>
        <w:rPr>
          <w:rFonts w:ascii="Abadi" w:hAnsi="Abadi"/>
          <w:b/>
          <w:bCs/>
          <w:sz w:val="21"/>
          <w:szCs w:val="21"/>
        </w:rPr>
      </w:pPr>
      <w:r w:rsidRPr="00A439E2">
        <w:rPr>
          <w:rFonts w:ascii="Abadi" w:hAnsi="Abadi"/>
          <w:b/>
          <w:bCs/>
          <w:sz w:val="21"/>
          <w:szCs w:val="21"/>
        </w:rPr>
        <w:t>(Se abre el sistema electrónico)</w:t>
      </w:r>
    </w:p>
    <w:p w14:paraId="1A7AB172" w14:textId="6E699D21" w:rsidR="00BC7A6F" w:rsidRPr="00A439E2" w:rsidRDefault="00C100D7" w:rsidP="00C100D7">
      <w:pPr>
        <w:pStyle w:val="NormalWeb"/>
        <w:ind w:right="333"/>
        <w:jc w:val="both"/>
        <w:rPr>
          <w:rFonts w:ascii="Abadi" w:hAnsi="Abadi"/>
          <w:sz w:val="21"/>
          <w:szCs w:val="21"/>
        </w:rPr>
      </w:pPr>
      <w:r w:rsidRPr="00A439E2">
        <w:rPr>
          <w:rFonts w:ascii="Abadi" w:hAnsi="Abadi"/>
          <w:b/>
          <w:bCs/>
          <w:sz w:val="21"/>
          <w:szCs w:val="21"/>
        </w:rPr>
        <w:tab/>
      </w:r>
      <w:r w:rsidR="00BC7A6F" w:rsidRPr="00A439E2">
        <w:rPr>
          <w:rFonts w:ascii="Abadi" w:hAnsi="Abadi"/>
          <w:b/>
          <w:bCs/>
          <w:sz w:val="21"/>
          <w:szCs w:val="21"/>
        </w:rPr>
        <w:t xml:space="preserve">- La </w:t>
      </w:r>
      <w:proofErr w:type="gramStart"/>
      <w:r w:rsidR="00BC7A6F" w:rsidRPr="00A439E2">
        <w:rPr>
          <w:rFonts w:ascii="Abadi" w:hAnsi="Abadi"/>
          <w:b/>
          <w:bCs/>
          <w:sz w:val="21"/>
          <w:szCs w:val="21"/>
        </w:rPr>
        <w:t>Secretaria.-</w:t>
      </w:r>
      <w:proofErr w:type="gramEnd"/>
      <w:r w:rsidR="00BC7A6F" w:rsidRPr="00A439E2">
        <w:rPr>
          <w:rFonts w:ascii="Abadi" w:hAnsi="Abadi"/>
          <w:sz w:val="21"/>
          <w:szCs w:val="21"/>
        </w:rPr>
        <w:t xml:space="preserve"> Por instrucciones de la Presidencia, se les pregunta a las diputadas y a los diputados, si se aprueba la obvia resolución, mediante el sistema electronico.</w:t>
      </w:r>
    </w:p>
    <w:p w14:paraId="6FF62AB8" w14:textId="77777777" w:rsidR="00BC7A6F" w:rsidRPr="00A439E2" w:rsidRDefault="00BC7A6F" w:rsidP="00BC7A6F">
      <w:pPr>
        <w:pStyle w:val="NormalWeb"/>
        <w:tabs>
          <w:tab w:val="center" w:pos="4252"/>
        </w:tabs>
        <w:ind w:right="333"/>
        <w:jc w:val="both"/>
        <w:rPr>
          <w:rFonts w:ascii="Abadi" w:hAnsi="Abadi"/>
          <w:sz w:val="21"/>
          <w:szCs w:val="21"/>
        </w:rPr>
      </w:pPr>
      <w:r w:rsidRPr="00A439E2">
        <w:rPr>
          <w:rFonts w:ascii="Abadi" w:hAnsi="Abadi"/>
          <w:sz w:val="21"/>
          <w:szCs w:val="21"/>
        </w:rPr>
        <w:t>¿Falta alguna diputada o algún diputado de emitir su voto?</w:t>
      </w:r>
    </w:p>
    <w:p w14:paraId="51D1B98C" w14:textId="77777777" w:rsidR="00BC7A6F" w:rsidRDefault="00BC7A6F" w:rsidP="00C100D7">
      <w:pPr>
        <w:pStyle w:val="NormalWeb"/>
        <w:tabs>
          <w:tab w:val="center" w:pos="4252"/>
        </w:tabs>
        <w:ind w:right="333"/>
        <w:jc w:val="center"/>
        <w:rPr>
          <w:rFonts w:ascii="Abadi" w:hAnsi="Abadi"/>
          <w:b/>
          <w:bCs/>
          <w:sz w:val="21"/>
          <w:szCs w:val="21"/>
        </w:rPr>
      </w:pPr>
      <w:r w:rsidRPr="006B6BE0">
        <w:rPr>
          <w:rFonts w:ascii="Abadi" w:hAnsi="Abadi"/>
          <w:b/>
          <w:bCs/>
          <w:sz w:val="21"/>
          <w:szCs w:val="21"/>
        </w:rPr>
        <w:t>(Se cierra el sistema electronico)</w:t>
      </w:r>
    </w:p>
    <w:p w14:paraId="4C34CA92" w14:textId="6BA73FE8" w:rsidR="00BC7A6F" w:rsidRDefault="008B059B" w:rsidP="00F21ADF">
      <w:pPr>
        <w:pStyle w:val="NormalWeb"/>
        <w:ind w:right="70" w:firstLine="708"/>
        <w:jc w:val="both"/>
        <w:rPr>
          <w:rFonts w:ascii="Abadi" w:hAnsi="Abadi"/>
          <w:sz w:val="21"/>
          <w:szCs w:val="21"/>
        </w:rPr>
      </w:pPr>
      <w:r>
        <w:rPr>
          <w:noProof/>
        </w:rPr>
        <w:drawing>
          <wp:anchor distT="0" distB="0" distL="114300" distR="114300" simplePos="0" relativeHeight="251658251" behindDoc="1" locked="0" layoutInCell="1" allowOverlap="1" wp14:anchorId="6A1E7881" wp14:editId="2E9478B4">
            <wp:simplePos x="0" y="0"/>
            <wp:positionH relativeFrom="column">
              <wp:posOffset>150495</wp:posOffset>
            </wp:positionH>
            <wp:positionV relativeFrom="paragraph">
              <wp:posOffset>156845</wp:posOffset>
            </wp:positionV>
            <wp:extent cx="2171700" cy="1078226"/>
            <wp:effectExtent l="152400" t="152400" r="361950" b="370205"/>
            <wp:wrapTight wrapText="bothSides">
              <wp:wrapPolygon edited="0">
                <wp:start x="758" y="-3055"/>
                <wp:lineTo x="-1516" y="-2291"/>
                <wp:lineTo x="-1516" y="23293"/>
                <wp:lineTo x="1895" y="28639"/>
                <wp:lineTo x="21600" y="28639"/>
                <wp:lineTo x="21789" y="27875"/>
                <wp:lineTo x="24821" y="22529"/>
                <wp:lineTo x="25011" y="3819"/>
                <wp:lineTo x="22737" y="-1909"/>
                <wp:lineTo x="22547" y="-3055"/>
                <wp:lineTo x="758" y="-3055"/>
              </wp:wrapPolygon>
            </wp:wrapTight>
            <wp:docPr id="32" name="Imagen 3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Tabla&#10;&#10;Descripción generada automáticamente"/>
                    <pic:cNvPicPr/>
                  </pic:nvPicPr>
                  <pic:blipFill rotWithShape="1">
                    <a:blip r:embed="rId39" cstate="print">
                      <a:extLst>
                        <a:ext uri="{28A0092B-C50C-407E-A947-70E740481C1C}">
                          <a14:useLocalDpi xmlns:a14="http://schemas.microsoft.com/office/drawing/2010/main" val="0"/>
                        </a:ext>
                      </a:extLst>
                    </a:blip>
                    <a:srcRect b="8049"/>
                    <a:stretch/>
                  </pic:blipFill>
                  <pic:spPr bwMode="auto">
                    <a:xfrm>
                      <a:off x="0" y="0"/>
                      <a:ext cx="2171700" cy="10782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BC7A6F">
        <w:rPr>
          <w:rFonts w:ascii="Abadi" w:hAnsi="Abadi"/>
          <w:b/>
          <w:bCs/>
          <w:sz w:val="21"/>
          <w:szCs w:val="21"/>
        </w:rPr>
        <w:t xml:space="preserve">- </w:t>
      </w:r>
      <w:r w:rsidR="00BC7A6F" w:rsidRPr="00C35CC9">
        <w:rPr>
          <w:rFonts w:ascii="Abadi" w:hAnsi="Abadi"/>
          <w:b/>
          <w:bCs/>
          <w:sz w:val="21"/>
          <w:szCs w:val="21"/>
        </w:rPr>
        <w:t xml:space="preserve">La </w:t>
      </w:r>
      <w:proofErr w:type="gramStart"/>
      <w:r w:rsidR="00BC7A6F" w:rsidRPr="00C35CC9">
        <w:rPr>
          <w:rFonts w:ascii="Abadi" w:hAnsi="Abadi"/>
          <w:b/>
          <w:bCs/>
          <w:sz w:val="21"/>
          <w:szCs w:val="21"/>
        </w:rPr>
        <w:t>Secretaria.-</w:t>
      </w:r>
      <w:proofErr w:type="gramEnd"/>
      <w:r w:rsidR="00BC7A6F" w:rsidRPr="00C35CC9">
        <w:rPr>
          <w:rFonts w:ascii="Abadi" w:hAnsi="Abadi"/>
          <w:b/>
          <w:bCs/>
          <w:sz w:val="21"/>
          <w:szCs w:val="21"/>
        </w:rPr>
        <w:t xml:space="preserve"> </w:t>
      </w:r>
      <w:r w:rsidR="00BC7A6F">
        <w:rPr>
          <w:rFonts w:ascii="Abadi" w:hAnsi="Abadi"/>
          <w:sz w:val="21"/>
          <w:szCs w:val="21"/>
        </w:rPr>
        <w:t xml:space="preserve">Se registraron 35 votos a favor </w:t>
      </w:r>
    </w:p>
    <w:p w14:paraId="204C10D1" w14:textId="29804F1F" w:rsidR="00BC7A6F" w:rsidRDefault="00D00D2E" w:rsidP="00F21ADF">
      <w:pPr>
        <w:pStyle w:val="NormalWeb"/>
        <w:ind w:right="70"/>
        <w:jc w:val="both"/>
        <w:rPr>
          <w:rFonts w:ascii="Abadi" w:hAnsi="Abadi"/>
          <w:sz w:val="21"/>
          <w:szCs w:val="21"/>
        </w:rPr>
      </w:pPr>
      <w:r>
        <w:rPr>
          <w:rFonts w:ascii="Abadi" w:hAnsi="Abadi"/>
          <w:b/>
          <w:bCs/>
          <w:sz w:val="21"/>
          <w:szCs w:val="21"/>
        </w:rPr>
        <w:tab/>
      </w:r>
      <w:r w:rsidR="00BC7A6F">
        <w:rPr>
          <w:rFonts w:ascii="Abadi" w:hAnsi="Abadi"/>
          <w:b/>
          <w:bCs/>
          <w:sz w:val="21"/>
          <w:szCs w:val="21"/>
        </w:rPr>
        <w:t xml:space="preserve">- </w:t>
      </w:r>
      <w:r w:rsidR="00BC7A6F" w:rsidRPr="00C35CC9">
        <w:rPr>
          <w:rFonts w:ascii="Abadi" w:hAnsi="Abadi"/>
          <w:b/>
          <w:bCs/>
          <w:sz w:val="21"/>
          <w:szCs w:val="21"/>
        </w:rPr>
        <w:t xml:space="preserve">La </w:t>
      </w:r>
      <w:proofErr w:type="gramStart"/>
      <w:r w:rsidR="00BC7A6F" w:rsidRPr="00C35CC9">
        <w:rPr>
          <w:rFonts w:ascii="Abadi" w:hAnsi="Abadi"/>
          <w:b/>
          <w:bCs/>
          <w:sz w:val="21"/>
          <w:szCs w:val="21"/>
        </w:rPr>
        <w:t>Presidencia.-</w:t>
      </w:r>
      <w:proofErr w:type="gramEnd"/>
      <w:r w:rsidR="00BC7A6F" w:rsidRPr="00C35CC9">
        <w:rPr>
          <w:rFonts w:ascii="Abadi" w:hAnsi="Abadi"/>
          <w:b/>
          <w:bCs/>
          <w:sz w:val="21"/>
          <w:szCs w:val="21"/>
        </w:rPr>
        <w:t xml:space="preserve"> </w:t>
      </w:r>
      <w:r w:rsidR="00BC7A6F">
        <w:rPr>
          <w:rFonts w:ascii="Abadi" w:hAnsi="Abadi"/>
          <w:sz w:val="21"/>
          <w:szCs w:val="21"/>
        </w:rPr>
        <w:t>La obvia resolución ha sido aprobada por unanimidad de votos.</w:t>
      </w:r>
    </w:p>
    <w:p w14:paraId="212DEA3C" w14:textId="0570418F" w:rsidR="00BC7A6F" w:rsidRDefault="00F84826" w:rsidP="00F21ADF">
      <w:pPr>
        <w:pStyle w:val="NormalWeb"/>
        <w:ind w:right="70"/>
        <w:jc w:val="both"/>
        <w:rPr>
          <w:rFonts w:ascii="Abadi" w:hAnsi="Abadi"/>
          <w:sz w:val="21"/>
          <w:szCs w:val="21"/>
        </w:rPr>
      </w:pPr>
      <w:r>
        <w:rPr>
          <w:rFonts w:ascii="Abadi" w:hAnsi="Abadi"/>
          <w:sz w:val="21"/>
          <w:szCs w:val="21"/>
        </w:rPr>
        <w:tab/>
      </w:r>
      <w:r w:rsidR="00BC7A6F">
        <w:rPr>
          <w:rFonts w:ascii="Abadi" w:hAnsi="Abadi"/>
          <w:sz w:val="21"/>
          <w:szCs w:val="21"/>
        </w:rPr>
        <w:t>- Doy cuenta del diputado Víctor Zanella Huerta, a este Pleno, bienvenido diputado, buenas tardes.</w:t>
      </w:r>
    </w:p>
    <w:p w14:paraId="797FBE22" w14:textId="681590FC" w:rsidR="00BC7A6F" w:rsidRDefault="00BC7A6F" w:rsidP="00F21ADF">
      <w:pPr>
        <w:pStyle w:val="NormalWeb"/>
        <w:ind w:right="70" w:firstLine="708"/>
        <w:jc w:val="both"/>
        <w:rPr>
          <w:rFonts w:ascii="Abadi" w:hAnsi="Abadi"/>
          <w:sz w:val="21"/>
          <w:szCs w:val="21"/>
        </w:rPr>
      </w:pPr>
      <w:r>
        <w:rPr>
          <w:rFonts w:ascii="Abadi" w:hAnsi="Abadi"/>
          <w:b/>
          <w:bCs/>
          <w:sz w:val="21"/>
          <w:szCs w:val="21"/>
        </w:rPr>
        <w:t xml:space="preserve">- </w:t>
      </w:r>
      <w:r w:rsidRPr="00C26B42">
        <w:rPr>
          <w:rFonts w:ascii="Abadi" w:hAnsi="Abadi"/>
          <w:b/>
          <w:bCs/>
          <w:sz w:val="21"/>
          <w:szCs w:val="21"/>
        </w:rPr>
        <w:t xml:space="preserve">La </w:t>
      </w:r>
      <w:proofErr w:type="gramStart"/>
      <w:r w:rsidRPr="00C26B42">
        <w:rPr>
          <w:rFonts w:ascii="Abadi" w:hAnsi="Abadi"/>
          <w:b/>
          <w:bCs/>
          <w:sz w:val="21"/>
          <w:szCs w:val="21"/>
        </w:rPr>
        <w:t>Presidencia.-</w:t>
      </w:r>
      <w:proofErr w:type="gramEnd"/>
      <w:r>
        <w:rPr>
          <w:rFonts w:ascii="Abadi" w:hAnsi="Abadi"/>
          <w:sz w:val="21"/>
          <w:szCs w:val="21"/>
        </w:rPr>
        <w:t xml:space="preserve">  En consecuencia, se somete a consideración el punto de acuerdo.</w:t>
      </w:r>
    </w:p>
    <w:p w14:paraId="34AE235A" w14:textId="4FCA4C45" w:rsidR="00BC7A6F" w:rsidRDefault="00BC7A6F" w:rsidP="006771B6">
      <w:pPr>
        <w:pStyle w:val="NormalWeb"/>
        <w:ind w:right="70" w:firstLine="708"/>
        <w:jc w:val="both"/>
        <w:rPr>
          <w:rFonts w:ascii="Abadi" w:hAnsi="Abadi"/>
          <w:sz w:val="21"/>
          <w:szCs w:val="21"/>
        </w:rPr>
      </w:pPr>
      <w:r>
        <w:rPr>
          <w:rFonts w:ascii="Abadi" w:hAnsi="Abadi"/>
          <w:sz w:val="21"/>
          <w:szCs w:val="21"/>
        </w:rPr>
        <w:t xml:space="preserve">- Si alguna diputada o algún diputado, desea hacer uso de la palabra, en pro o en contra sírvase manifestarlo indicando el sentido </w:t>
      </w:r>
      <w:r w:rsidR="008700DB">
        <w:rPr>
          <w:rFonts w:ascii="Abadi" w:hAnsi="Abadi"/>
          <w:sz w:val="21"/>
          <w:szCs w:val="21"/>
        </w:rPr>
        <w:t>d</w:t>
      </w:r>
      <w:r>
        <w:rPr>
          <w:rFonts w:ascii="Abadi" w:hAnsi="Abadi"/>
          <w:sz w:val="21"/>
          <w:szCs w:val="21"/>
        </w:rPr>
        <w:t xml:space="preserve">e su participación. ¿diputado Armando Rangel, para que efecto? (Voz) diputado Armando Rangel, para hablar en contra diputada, (Voz) diputada Presidenta, ¿diputada Ruth Noemí para que efecto? (Voz) diputada Ruth, para hablar en contra (Voz) diputada Presidenta, ¿diputado Cuauhtémoc? (Voz) diputado Cuauhtémoc ¡ah! Pues para hablar a favor, </w:t>
      </w:r>
      <w:r w:rsidR="008700DB">
        <w:rPr>
          <w:rFonts w:ascii="Abadi" w:hAnsi="Abadi"/>
          <w:sz w:val="21"/>
          <w:szCs w:val="21"/>
        </w:rPr>
        <w:t>¡</w:t>
      </w:r>
      <w:r>
        <w:rPr>
          <w:rFonts w:ascii="Abadi" w:hAnsi="Abadi"/>
          <w:sz w:val="21"/>
          <w:szCs w:val="21"/>
        </w:rPr>
        <w:t>mi Presidenta</w:t>
      </w:r>
      <w:r w:rsidR="008700DB">
        <w:rPr>
          <w:rFonts w:ascii="Abadi" w:hAnsi="Abadi"/>
          <w:sz w:val="21"/>
          <w:szCs w:val="21"/>
        </w:rPr>
        <w:t>!</w:t>
      </w:r>
      <w:r>
        <w:rPr>
          <w:rFonts w:ascii="Abadi" w:hAnsi="Abadi"/>
          <w:sz w:val="21"/>
          <w:szCs w:val="21"/>
        </w:rPr>
        <w:t xml:space="preserve"> ¡verdad! ¡claro! (Voz) diputada Presidenta, ¡muy bien! diputado tiene la palabra el diputado Armando Rangel, hasta por 10 minutos.</w:t>
      </w:r>
    </w:p>
    <w:p w14:paraId="178EF70F" w14:textId="1D9960AF" w:rsidR="00BC7A6F" w:rsidRDefault="00F84826" w:rsidP="006771B6">
      <w:pPr>
        <w:pStyle w:val="NormalWeb"/>
        <w:ind w:right="70" w:firstLine="708"/>
        <w:jc w:val="both"/>
        <w:rPr>
          <w:rFonts w:ascii="Abadi" w:hAnsi="Abadi"/>
          <w:sz w:val="21"/>
          <w:szCs w:val="21"/>
        </w:rPr>
      </w:pPr>
      <w:r>
        <w:rPr>
          <w:rFonts w:ascii="Abadi" w:hAnsi="Abadi"/>
          <w:sz w:val="21"/>
          <w:szCs w:val="21"/>
        </w:rPr>
        <w:t xml:space="preserve">- </w:t>
      </w:r>
      <w:r w:rsidR="00BC7A6F">
        <w:rPr>
          <w:rFonts w:ascii="Abadi" w:hAnsi="Abadi"/>
          <w:sz w:val="21"/>
          <w:szCs w:val="21"/>
        </w:rPr>
        <w:t xml:space="preserve">Adelante diputado. </w:t>
      </w:r>
    </w:p>
    <w:p w14:paraId="7DD73B3D" w14:textId="77777777" w:rsidR="00BC7A6F" w:rsidRDefault="00BC7A6F" w:rsidP="00BC7A6F">
      <w:pPr>
        <w:pStyle w:val="NormalWeb"/>
        <w:tabs>
          <w:tab w:val="center" w:pos="4252"/>
        </w:tabs>
        <w:ind w:right="333"/>
        <w:jc w:val="both"/>
        <w:rPr>
          <w:rFonts w:ascii="Abadi" w:hAnsi="Abadi"/>
          <w:b/>
          <w:bCs/>
          <w:sz w:val="21"/>
          <w:szCs w:val="21"/>
        </w:rPr>
      </w:pPr>
      <w:r w:rsidRPr="000116FA">
        <w:rPr>
          <w:rFonts w:ascii="Abadi" w:hAnsi="Abadi"/>
          <w:b/>
          <w:bCs/>
          <w:sz w:val="21"/>
          <w:szCs w:val="21"/>
        </w:rPr>
        <w:t>(Sube a tribuna el diputado Armando Rangel Hernández, para hablar en contra)</w:t>
      </w:r>
    </w:p>
    <w:p w14:paraId="45088A72" w14:textId="77777777" w:rsidR="00BC7A6F" w:rsidRDefault="00BC7A6F" w:rsidP="00BC7A6F">
      <w:pPr>
        <w:pStyle w:val="NormalWeb"/>
        <w:tabs>
          <w:tab w:val="center" w:pos="4252"/>
        </w:tabs>
        <w:ind w:right="333"/>
        <w:jc w:val="both"/>
        <w:rPr>
          <w:rFonts w:ascii="Abadi" w:hAnsi="Abadi"/>
          <w:b/>
          <w:bCs/>
          <w:sz w:val="21"/>
          <w:szCs w:val="21"/>
        </w:rPr>
      </w:pPr>
      <w:r>
        <w:rPr>
          <w:noProof/>
        </w:rPr>
        <w:drawing>
          <wp:inline distT="0" distB="0" distL="0" distR="0" wp14:anchorId="400D232A" wp14:editId="530AE4A3">
            <wp:extent cx="2027207" cy="1068795"/>
            <wp:effectExtent l="19050" t="114300" r="0" b="817245"/>
            <wp:docPr id="33" name="Imagen 33" descr="Imagen que contiene hombre, persona, frente, tr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magen que contiene hombre, persona, frente, traje&#10;&#10;Descripción generada automáticamente"/>
                    <pic:cNvPicPr/>
                  </pic:nvPicPr>
                  <pic:blipFill rotWithShape="1">
                    <a:blip r:embed="rId40"/>
                    <a:srcRect b="6263"/>
                    <a:stretch/>
                  </pic:blipFill>
                  <pic:spPr bwMode="auto">
                    <a:xfrm>
                      <a:off x="0" y="0"/>
                      <a:ext cx="2037935" cy="1074451"/>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2BA67C70" w14:textId="1EDCDCCB" w:rsidR="00BC7A6F" w:rsidRDefault="00BC7A6F" w:rsidP="00F21ADF">
      <w:pPr>
        <w:pStyle w:val="NormalWeb"/>
        <w:ind w:right="70"/>
        <w:jc w:val="both"/>
        <w:rPr>
          <w:rFonts w:ascii="Abadi" w:hAnsi="Abadi"/>
          <w:sz w:val="21"/>
          <w:szCs w:val="21"/>
        </w:rPr>
      </w:pPr>
      <w:r>
        <w:rPr>
          <w:rFonts w:ascii="Abadi" w:hAnsi="Abadi"/>
          <w:sz w:val="21"/>
          <w:szCs w:val="21"/>
        </w:rPr>
        <w:t>- Muchas gracias. Señora Presidenta y le saludo con todo afecto al igual que a toda la Mesa Directiva a mis compañeras y compañeros diputados a los medios de comunicación y a los ciudadanos que siguen es</w:t>
      </w:r>
      <w:r w:rsidR="008700DB">
        <w:rPr>
          <w:rFonts w:ascii="Abadi" w:hAnsi="Abadi"/>
          <w:sz w:val="21"/>
          <w:szCs w:val="21"/>
        </w:rPr>
        <w:t>t</w:t>
      </w:r>
      <w:r>
        <w:rPr>
          <w:rFonts w:ascii="Abadi" w:hAnsi="Abadi"/>
          <w:sz w:val="21"/>
          <w:szCs w:val="21"/>
        </w:rPr>
        <w:t xml:space="preserve">a transmisión. </w:t>
      </w:r>
    </w:p>
    <w:p w14:paraId="2D00AB75" w14:textId="337D50A8" w:rsidR="00BC7A6F" w:rsidRDefault="00BC7A6F" w:rsidP="00F21ADF">
      <w:pPr>
        <w:pStyle w:val="NormalWeb"/>
        <w:ind w:right="70"/>
        <w:jc w:val="both"/>
        <w:rPr>
          <w:rFonts w:ascii="Abadi" w:hAnsi="Abadi"/>
          <w:sz w:val="21"/>
          <w:szCs w:val="21"/>
        </w:rPr>
      </w:pPr>
      <w:r>
        <w:rPr>
          <w:rFonts w:ascii="Abadi" w:hAnsi="Abadi"/>
          <w:sz w:val="21"/>
          <w:szCs w:val="21"/>
        </w:rPr>
        <w:t>- Más que hablar del punto y de la conveniencia, no deformar una comisión en  los términos que se han planteado, lo que no voy a tocar es solicitar el voto en contra por el procedimiento que se está siguiendo y que hemos abogado y que ya les había comentado la sesión anterior si bien es cierto como es dije en el punto de acuerdo, en e</w:t>
      </w:r>
      <w:r w:rsidR="00307AA2">
        <w:rPr>
          <w:rFonts w:ascii="Abadi" w:hAnsi="Abadi"/>
          <w:sz w:val="21"/>
          <w:szCs w:val="21"/>
        </w:rPr>
        <w:t xml:space="preserve">l </w:t>
      </w:r>
      <w:r>
        <w:rPr>
          <w:rFonts w:ascii="Abadi" w:hAnsi="Abadi"/>
          <w:sz w:val="21"/>
          <w:szCs w:val="21"/>
        </w:rPr>
        <w:t xml:space="preserve">artículo 36 de nuestra Ley Orgánica faculta a este Pleno para  formar comisiones como  bien lo dice  el diputado el punto de acuerdo que usted </w:t>
      </w:r>
      <w:proofErr w:type="spellStart"/>
      <w:r>
        <w:rPr>
          <w:rFonts w:ascii="Abadi" w:hAnsi="Abadi"/>
          <w:sz w:val="21"/>
          <w:szCs w:val="21"/>
        </w:rPr>
        <w:t>a</w:t>
      </w:r>
      <w:proofErr w:type="spellEnd"/>
      <w:r>
        <w:rPr>
          <w:rFonts w:ascii="Abadi" w:hAnsi="Abadi"/>
          <w:sz w:val="21"/>
          <w:szCs w:val="21"/>
        </w:rPr>
        <w:t xml:space="preserve"> presentado, lo que también es cierto que el artículo 72 fracción V, señala como elemento facultado para hacer la propuesta de una nueva  Comisión a la Junta de Gobierno. </w:t>
      </w:r>
    </w:p>
    <w:p w14:paraId="0DBE6805" w14:textId="63C462C5" w:rsidR="00BC7A6F" w:rsidRDefault="00BC7A6F" w:rsidP="00BC7A6F">
      <w:pPr>
        <w:pStyle w:val="NormalWeb"/>
        <w:ind w:right="333"/>
        <w:jc w:val="both"/>
        <w:rPr>
          <w:rFonts w:ascii="Abadi" w:hAnsi="Abadi"/>
          <w:sz w:val="21"/>
          <w:szCs w:val="21"/>
        </w:rPr>
      </w:pPr>
      <w:r>
        <w:rPr>
          <w:rFonts w:ascii="Abadi" w:hAnsi="Abadi"/>
          <w:sz w:val="21"/>
          <w:szCs w:val="21"/>
        </w:rPr>
        <w:t xml:space="preserve">- En caso de aprobarse en este tema, mete en un conflicto a la presidencia </w:t>
      </w:r>
      <w:r w:rsidR="009E27D3">
        <w:rPr>
          <w:rFonts w:ascii="Abadi" w:hAnsi="Abadi"/>
          <w:sz w:val="21"/>
          <w:szCs w:val="21"/>
        </w:rPr>
        <w:t>está</w:t>
      </w:r>
      <w:r w:rsidR="00803707">
        <w:rPr>
          <w:rFonts w:ascii="Abadi" w:hAnsi="Abadi"/>
          <w:sz w:val="21"/>
          <w:szCs w:val="21"/>
        </w:rPr>
        <w:t xml:space="preserve"> </w:t>
      </w:r>
      <w:r w:rsidR="000F4035">
        <w:rPr>
          <w:rFonts w:ascii="Abadi" w:hAnsi="Abadi"/>
          <w:sz w:val="21"/>
          <w:szCs w:val="21"/>
        </w:rPr>
        <w:t>impedida a</w:t>
      </w:r>
      <w:r>
        <w:rPr>
          <w:rFonts w:ascii="Abadi" w:hAnsi="Abadi"/>
          <w:sz w:val="21"/>
          <w:szCs w:val="21"/>
        </w:rPr>
        <w:t xml:space="preserve"> hacer el turno a la Junta de Gobierno, esta no es una Comisión de dictamen no puede turnarlo a la Junta de Gobierno pero tampoco puede turnarlo a otra Comisión de dictamen, porque entonces esa Comisión de dictamen entonces no tendría facultad para yo vengo hacer dos invitaciones la primera de ellas, es a los compañeros y compañeras diputadas a fin de que votemos este tema más allá de la conveniencia o no de hacer esta Comisión y; </w:t>
      </w:r>
    </w:p>
    <w:p w14:paraId="5CA94A5A" w14:textId="77777777" w:rsidR="00BC7A6F" w:rsidRDefault="00BC7A6F" w:rsidP="00BC7A6F">
      <w:pPr>
        <w:pStyle w:val="NormalWeb"/>
        <w:ind w:right="333"/>
        <w:jc w:val="both"/>
        <w:rPr>
          <w:rFonts w:ascii="Abadi" w:hAnsi="Abadi"/>
          <w:sz w:val="21"/>
          <w:szCs w:val="21"/>
        </w:rPr>
      </w:pPr>
      <w:r>
        <w:rPr>
          <w:rFonts w:ascii="Abadi" w:hAnsi="Abadi"/>
          <w:sz w:val="21"/>
          <w:szCs w:val="21"/>
        </w:rPr>
        <w:t xml:space="preserve">- La segunda, invitar también al proponente para que le dé el cause, parlamentario correspondiente y a través de su coordinador pueda hacer la propuesta que es de este Pleno a la Junta de Gobierno y Coordinación Política. </w:t>
      </w:r>
    </w:p>
    <w:p w14:paraId="659643EC" w14:textId="51D65F4A" w:rsidR="00BC7A6F" w:rsidRDefault="00BC7A6F" w:rsidP="00BC7A6F">
      <w:pPr>
        <w:pStyle w:val="NormalWeb"/>
        <w:ind w:right="333"/>
        <w:jc w:val="both"/>
        <w:rPr>
          <w:rFonts w:ascii="Abadi" w:hAnsi="Abadi"/>
          <w:sz w:val="21"/>
          <w:szCs w:val="21"/>
        </w:rPr>
      </w:pPr>
      <w:r>
        <w:rPr>
          <w:rFonts w:ascii="Abadi" w:hAnsi="Abadi"/>
          <w:sz w:val="21"/>
          <w:szCs w:val="21"/>
        </w:rPr>
        <w:t xml:space="preserve"> -Es cuánto, diputada </w:t>
      </w:r>
      <w:r w:rsidR="009E27D3">
        <w:rPr>
          <w:rFonts w:ascii="Abadi" w:hAnsi="Abadi"/>
          <w:sz w:val="21"/>
          <w:szCs w:val="21"/>
        </w:rPr>
        <w:t>P</w:t>
      </w:r>
      <w:r>
        <w:rPr>
          <w:rFonts w:ascii="Abadi" w:hAnsi="Abadi"/>
          <w:sz w:val="21"/>
          <w:szCs w:val="21"/>
        </w:rPr>
        <w:t xml:space="preserve">residenta. </w:t>
      </w:r>
    </w:p>
    <w:p w14:paraId="50B89DC8" w14:textId="12534CE3" w:rsidR="00BC7A6F" w:rsidRDefault="00BC7A6F" w:rsidP="009E27D3">
      <w:pPr>
        <w:pStyle w:val="NormalWeb"/>
        <w:ind w:right="333" w:firstLine="708"/>
        <w:jc w:val="both"/>
        <w:rPr>
          <w:rFonts w:ascii="Abadi" w:hAnsi="Abadi"/>
          <w:sz w:val="21"/>
          <w:szCs w:val="21"/>
        </w:rPr>
      </w:pPr>
      <w:r>
        <w:rPr>
          <w:rFonts w:ascii="Abadi" w:hAnsi="Abadi"/>
          <w:b/>
          <w:bCs/>
          <w:sz w:val="21"/>
          <w:szCs w:val="21"/>
        </w:rPr>
        <w:t xml:space="preserve">- </w:t>
      </w:r>
      <w:r w:rsidRPr="003D3DF7">
        <w:rPr>
          <w:rFonts w:ascii="Abadi" w:hAnsi="Abadi"/>
          <w:b/>
          <w:bCs/>
          <w:sz w:val="21"/>
          <w:szCs w:val="21"/>
        </w:rPr>
        <w:t xml:space="preserve">La </w:t>
      </w:r>
      <w:proofErr w:type="gramStart"/>
      <w:r w:rsidRPr="003D3DF7">
        <w:rPr>
          <w:rFonts w:ascii="Abadi" w:hAnsi="Abadi"/>
          <w:b/>
          <w:bCs/>
          <w:sz w:val="21"/>
          <w:szCs w:val="21"/>
        </w:rPr>
        <w:t>Preside</w:t>
      </w:r>
      <w:r w:rsidR="009E27D3">
        <w:rPr>
          <w:rFonts w:ascii="Abadi" w:hAnsi="Abadi"/>
          <w:b/>
          <w:bCs/>
          <w:sz w:val="21"/>
          <w:szCs w:val="21"/>
        </w:rPr>
        <w:t>n</w:t>
      </w:r>
      <w:r w:rsidRPr="003D3DF7">
        <w:rPr>
          <w:rFonts w:ascii="Abadi" w:hAnsi="Abadi"/>
          <w:b/>
          <w:bCs/>
          <w:sz w:val="21"/>
          <w:szCs w:val="21"/>
        </w:rPr>
        <w:t>cia.-</w:t>
      </w:r>
      <w:proofErr w:type="gramEnd"/>
      <w:r>
        <w:rPr>
          <w:rFonts w:ascii="Abadi" w:hAnsi="Abadi"/>
          <w:sz w:val="21"/>
          <w:szCs w:val="21"/>
        </w:rPr>
        <w:t xml:space="preserve"> Muchas gracias, diputado, tiene el uso de la voz el diputado Cuauhtémoc Becerra, hasta por 10 minutos.</w:t>
      </w:r>
    </w:p>
    <w:p w14:paraId="5589F4D2" w14:textId="04D28851" w:rsidR="00BC7A6F" w:rsidRDefault="009E27D3" w:rsidP="009E27D3">
      <w:pPr>
        <w:pStyle w:val="NormalWeb"/>
        <w:ind w:right="333" w:firstLine="708"/>
        <w:jc w:val="both"/>
        <w:rPr>
          <w:rFonts w:ascii="Abadi" w:hAnsi="Abadi"/>
          <w:sz w:val="21"/>
          <w:szCs w:val="21"/>
        </w:rPr>
      </w:pPr>
      <w:r>
        <w:rPr>
          <w:rFonts w:ascii="Abadi" w:hAnsi="Abadi"/>
          <w:sz w:val="21"/>
          <w:szCs w:val="21"/>
        </w:rPr>
        <w:t xml:space="preserve">- </w:t>
      </w:r>
      <w:r w:rsidR="00BC7A6F">
        <w:rPr>
          <w:rFonts w:ascii="Abadi" w:hAnsi="Abadi"/>
          <w:sz w:val="21"/>
          <w:szCs w:val="21"/>
        </w:rPr>
        <w:t>Adelante diputado Cuauhtémoc.</w:t>
      </w:r>
    </w:p>
    <w:p w14:paraId="2881FD19" w14:textId="77777777" w:rsidR="00BC7A6F" w:rsidRDefault="00BC7A6F" w:rsidP="00F21ADF">
      <w:pPr>
        <w:pStyle w:val="NormalWeb"/>
        <w:ind w:right="70"/>
        <w:jc w:val="both"/>
        <w:rPr>
          <w:rFonts w:ascii="Abadi" w:hAnsi="Abadi"/>
          <w:sz w:val="21"/>
          <w:szCs w:val="21"/>
        </w:rPr>
      </w:pPr>
      <w:r>
        <w:rPr>
          <w:rFonts w:ascii="Abadi" w:hAnsi="Abadi"/>
          <w:sz w:val="21"/>
          <w:szCs w:val="21"/>
        </w:rPr>
        <w:t>(Voz) diputado Cuauhtémoc, ¿no seguía la compañera Ruth? (voz) diputada Presidenta, es uno (Voz) diputado ¡ah! voy.</w:t>
      </w:r>
    </w:p>
    <w:p w14:paraId="1DD775A3" w14:textId="77777777" w:rsidR="00BC7A6F" w:rsidRDefault="00BC7A6F" w:rsidP="00F21ADF">
      <w:pPr>
        <w:pStyle w:val="NormalWeb"/>
        <w:ind w:right="70"/>
        <w:jc w:val="both"/>
        <w:rPr>
          <w:rFonts w:ascii="Abadi" w:hAnsi="Abadi"/>
          <w:b/>
          <w:bCs/>
          <w:sz w:val="21"/>
          <w:szCs w:val="21"/>
        </w:rPr>
      </w:pPr>
      <w:r w:rsidRPr="00567FCE">
        <w:rPr>
          <w:rFonts w:ascii="Abadi" w:hAnsi="Abadi"/>
          <w:b/>
          <w:bCs/>
          <w:sz w:val="21"/>
          <w:szCs w:val="21"/>
        </w:rPr>
        <w:t>(Sube a tribuna el diputado, Cuauhtémoc Becerra, para hablar a favor del punto de acuerdo)</w:t>
      </w:r>
    </w:p>
    <w:p w14:paraId="6DC8A19D" w14:textId="70A8EE8A" w:rsidR="00BC7A6F" w:rsidRDefault="00803707" w:rsidP="00BC7A6F">
      <w:pPr>
        <w:pStyle w:val="NormalWeb"/>
        <w:ind w:right="333"/>
        <w:jc w:val="both"/>
        <w:rPr>
          <w:rFonts w:ascii="Abadi" w:hAnsi="Abadi"/>
          <w:b/>
          <w:bCs/>
          <w:sz w:val="21"/>
          <w:szCs w:val="21"/>
        </w:rPr>
      </w:pPr>
      <w:r>
        <w:rPr>
          <w:noProof/>
        </w:rPr>
        <w:t xml:space="preserve"> </w:t>
      </w:r>
      <w:r w:rsidR="00BC7A6F">
        <w:rPr>
          <w:noProof/>
        </w:rPr>
        <w:drawing>
          <wp:inline distT="0" distB="0" distL="0" distR="0" wp14:anchorId="63F22E02" wp14:editId="4CE462A3">
            <wp:extent cx="2097157" cy="1084512"/>
            <wp:effectExtent l="19050" t="114300" r="0" b="821055"/>
            <wp:docPr id="34" name="Imagen 3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Interfaz de usuario gráfica&#10;&#10;Descripción generada automáticamente"/>
                    <pic:cNvPicPr/>
                  </pic:nvPicPr>
                  <pic:blipFill rotWithShape="1">
                    <a:blip r:embed="rId41"/>
                    <a:srcRect b="8021"/>
                    <a:stretch/>
                  </pic:blipFill>
                  <pic:spPr bwMode="auto">
                    <a:xfrm>
                      <a:off x="0" y="0"/>
                      <a:ext cx="2097157" cy="1084512"/>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47043BBA" w14:textId="03032327" w:rsidR="00BC7A6F" w:rsidRDefault="00BC7A6F" w:rsidP="00C751AF">
      <w:pPr>
        <w:pStyle w:val="NormalWeb"/>
        <w:ind w:right="70"/>
        <w:jc w:val="both"/>
        <w:rPr>
          <w:rFonts w:ascii="Abadi" w:hAnsi="Abadi"/>
          <w:sz w:val="21"/>
          <w:szCs w:val="21"/>
        </w:rPr>
      </w:pPr>
      <w:r>
        <w:rPr>
          <w:rFonts w:ascii="Abadi" w:hAnsi="Abadi"/>
          <w:sz w:val="21"/>
          <w:szCs w:val="21"/>
        </w:rPr>
        <w:t>- C</w:t>
      </w:r>
      <w:r w:rsidRPr="0021199F">
        <w:rPr>
          <w:rFonts w:ascii="Abadi" w:hAnsi="Abadi"/>
          <w:sz w:val="21"/>
          <w:szCs w:val="21"/>
        </w:rPr>
        <w:t xml:space="preserve">on el permiso de la </w:t>
      </w:r>
      <w:r>
        <w:rPr>
          <w:rFonts w:ascii="Abadi" w:hAnsi="Abadi"/>
          <w:sz w:val="21"/>
          <w:szCs w:val="21"/>
        </w:rPr>
        <w:t>P</w:t>
      </w:r>
      <w:r w:rsidRPr="0021199F">
        <w:rPr>
          <w:rFonts w:ascii="Abadi" w:hAnsi="Abadi"/>
          <w:sz w:val="21"/>
          <w:szCs w:val="21"/>
        </w:rPr>
        <w:t xml:space="preserve">residenta y de la </w:t>
      </w:r>
      <w:r>
        <w:rPr>
          <w:rFonts w:ascii="Abadi" w:hAnsi="Abadi"/>
          <w:sz w:val="21"/>
          <w:szCs w:val="21"/>
        </w:rPr>
        <w:t>M</w:t>
      </w:r>
      <w:r w:rsidRPr="0021199F">
        <w:rPr>
          <w:rFonts w:ascii="Abadi" w:hAnsi="Abadi"/>
          <w:sz w:val="21"/>
          <w:szCs w:val="21"/>
        </w:rPr>
        <w:t xml:space="preserve">esa </w:t>
      </w:r>
      <w:r>
        <w:rPr>
          <w:rFonts w:ascii="Abadi" w:hAnsi="Abadi"/>
          <w:sz w:val="21"/>
          <w:szCs w:val="21"/>
        </w:rPr>
        <w:t>D</w:t>
      </w:r>
      <w:r w:rsidRPr="0021199F">
        <w:rPr>
          <w:rFonts w:ascii="Abadi" w:hAnsi="Abadi"/>
          <w:sz w:val="21"/>
          <w:szCs w:val="21"/>
        </w:rPr>
        <w:t>irectiva. Una vez más</w:t>
      </w:r>
      <w:r>
        <w:rPr>
          <w:rFonts w:ascii="Abadi" w:hAnsi="Abadi"/>
          <w:sz w:val="21"/>
          <w:szCs w:val="21"/>
        </w:rPr>
        <w:t xml:space="preserve">, </w:t>
      </w:r>
      <w:r w:rsidR="00143233">
        <w:rPr>
          <w:rFonts w:ascii="Abadi" w:hAnsi="Abadi"/>
          <w:sz w:val="21"/>
          <w:szCs w:val="21"/>
        </w:rPr>
        <w:t xml:space="preserve">muy </w:t>
      </w:r>
      <w:r w:rsidR="00143233" w:rsidRPr="0021199F">
        <w:rPr>
          <w:rFonts w:ascii="Abadi" w:hAnsi="Abadi"/>
          <w:sz w:val="21"/>
          <w:szCs w:val="21"/>
        </w:rPr>
        <w:t>buen</w:t>
      </w:r>
      <w:r w:rsidR="00143233">
        <w:rPr>
          <w:rFonts w:ascii="Abadi" w:hAnsi="Abadi"/>
          <w:sz w:val="21"/>
          <w:szCs w:val="21"/>
        </w:rPr>
        <w:t>a</w:t>
      </w:r>
      <w:r w:rsidR="00143233" w:rsidRPr="0021199F">
        <w:rPr>
          <w:rFonts w:ascii="Abadi" w:hAnsi="Abadi"/>
          <w:sz w:val="21"/>
          <w:szCs w:val="21"/>
        </w:rPr>
        <w:t>s tardes</w:t>
      </w:r>
      <w:r w:rsidRPr="0021199F">
        <w:rPr>
          <w:rFonts w:ascii="Abadi" w:hAnsi="Abadi"/>
          <w:sz w:val="21"/>
          <w:szCs w:val="21"/>
        </w:rPr>
        <w:t xml:space="preserve">, me parece. Buenas tardes a mis compañeros, diputados, a mis compañeros, diputados, los saludo con aprecio. </w:t>
      </w:r>
      <w:r>
        <w:rPr>
          <w:rFonts w:ascii="Abadi" w:hAnsi="Abadi"/>
          <w:sz w:val="21"/>
          <w:szCs w:val="21"/>
        </w:rPr>
        <w:t>A q</w:t>
      </w:r>
      <w:r w:rsidRPr="0021199F">
        <w:rPr>
          <w:rFonts w:ascii="Abadi" w:hAnsi="Abadi"/>
          <w:sz w:val="21"/>
          <w:szCs w:val="21"/>
        </w:rPr>
        <w:t>ui</w:t>
      </w:r>
      <w:r>
        <w:rPr>
          <w:rFonts w:ascii="Abadi" w:hAnsi="Abadi"/>
          <w:sz w:val="21"/>
          <w:szCs w:val="21"/>
        </w:rPr>
        <w:t xml:space="preserve">enes nos </w:t>
      </w:r>
      <w:r w:rsidRPr="0021199F">
        <w:rPr>
          <w:rFonts w:ascii="Abadi" w:hAnsi="Abadi"/>
          <w:sz w:val="21"/>
          <w:szCs w:val="21"/>
        </w:rPr>
        <w:t xml:space="preserve">acompañan aquí, en el </w:t>
      </w:r>
      <w:r>
        <w:rPr>
          <w:rFonts w:ascii="Abadi" w:hAnsi="Abadi"/>
          <w:sz w:val="21"/>
          <w:szCs w:val="21"/>
        </w:rPr>
        <w:t>P</w:t>
      </w:r>
      <w:r w:rsidRPr="0021199F">
        <w:rPr>
          <w:rFonts w:ascii="Abadi" w:hAnsi="Abadi"/>
          <w:sz w:val="21"/>
          <w:szCs w:val="21"/>
        </w:rPr>
        <w:t>leno, a los asesores, al personal de apoyo al público en general y a los medios de comunicación que tan amablemente hace un favor de cubrirnos, desde luego, a qu</w:t>
      </w:r>
      <w:r>
        <w:rPr>
          <w:rFonts w:ascii="Abadi" w:hAnsi="Abadi"/>
          <w:sz w:val="21"/>
          <w:szCs w:val="21"/>
        </w:rPr>
        <w:t xml:space="preserve">ienes </w:t>
      </w:r>
      <w:r w:rsidRPr="0021199F">
        <w:rPr>
          <w:rFonts w:ascii="Abadi" w:hAnsi="Abadi"/>
          <w:sz w:val="21"/>
          <w:szCs w:val="21"/>
        </w:rPr>
        <w:t xml:space="preserve">nos siguen a distancia desde sus hogares. </w:t>
      </w:r>
    </w:p>
    <w:p w14:paraId="087419BA" w14:textId="77777777" w:rsidR="00BC7A6F" w:rsidRDefault="00BC7A6F" w:rsidP="00C751AF">
      <w:pPr>
        <w:pStyle w:val="NormalWeb"/>
        <w:ind w:right="70"/>
        <w:jc w:val="both"/>
        <w:rPr>
          <w:rFonts w:ascii="Abadi" w:hAnsi="Abadi"/>
          <w:sz w:val="21"/>
          <w:szCs w:val="21"/>
        </w:rPr>
      </w:pPr>
      <w:r>
        <w:rPr>
          <w:rFonts w:ascii="Abadi" w:hAnsi="Abadi"/>
          <w:sz w:val="21"/>
          <w:szCs w:val="21"/>
        </w:rPr>
        <w:t>- ¡</w:t>
      </w:r>
      <w:r w:rsidRPr="0021199F">
        <w:rPr>
          <w:rFonts w:ascii="Abadi" w:hAnsi="Abadi"/>
          <w:sz w:val="21"/>
          <w:szCs w:val="21"/>
        </w:rPr>
        <w:t>Bien</w:t>
      </w:r>
      <w:r>
        <w:rPr>
          <w:rFonts w:ascii="Abadi" w:hAnsi="Abadi"/>
          <w:sz w:val="21"/>
          <w:szCs w:val="21"/>
        </w:rPr>
        <w:t>!</w:t>
      </w:r>
      <w:r w:rsidRPr="0021199F">
        <w:rPr>
          <w:rFonts w:ascii="Abadi" w:hAnsi="Abadi"/>
          <w:sz w:val="21"/>
          <w:szCs w:val="21"/>
        </w:rPr>
        <w:t xml:space="preserve"> yo estoy acá, yo no </w:t>
      </w:r>
      <w:r>
        <w:rPr>
          <w:rFonts w:ascii="Abadi" w:hAnsi="Abadi"/>
          <w:sz w:val="21"/>
          <w:szCs w:val="21"/>
        </w:rPr>
        <w:t>sabía eso que uno y uno</w:t>
      </w:r>
      <w:r w:rsidRPr="0021199F">
        <w:rPr>
          <w:rFonts w:ascii="Abadi" w:hAnsi="Abadi"/>
          <w:sz w:val="21"/>
          <w:szCs w:val="21"/>
        </w:rPr>
        <w:t xml:space="preserve"> dije primero los de favor y encima de contra para cerrar</w:t>
      </w:r>
      <w:r>
        <w:rPr>
          <w:rFonts w:ascii="Abadi" w:hAnsi="Abadi"/>
          <w:sz w:val="21"/>
          <w:szCs w:val="21"/>
        </w:rPr>
        <w:t>, pero pues bueno.</w:t>
      </w:r>
    </w:p>
    <w:p w14:paraId="690BAF29" w14:textId="77777777" w:rsidR="00BC7A6F" w:rsidRDefault="00BC7A6F" w:rsidP="00C751AF">
      <w:pPr>
        <w:pStyle w:val="NormalWeb"/>
        <w:ind w:right="70"/>
        <w:jc w:val="both"/>
        <w:rPr>
          <w:rFonts w:ascii="Abadi" w:hAnsi="Abadi"/>
          <w:sz w:val="21"/>
          <w:szCs w:val="21"/>
        </w:rPr>
      </w:pPr>
      <w:r>
        <w:rPr>
          <w:rFonts w:ascii="Abadi" w:hAnsi="Abadi"/>
          <w:sz w:val="21"/>
          <w:szCs w:val="21"/>
        </w:rPr>
        <w:t>- Y</w:t>
      </w:r>
      <w:r w:rsidRPr="0021199F">
        <w:rPr>
          <w:rFonts w:ascii="Abadi" w:hAnsi="Abadi"/>
          <w:sz w:val="21"/>
          <w:szCs w:val="21"/>
        </w:rPr>
        <w:t xml:space="preserve">o voy a hablar a favor del posicionamiento </w:t>
      </w:r>
      <w:r>
        <w:rPr>
          <w:rFonts w:ascii="Abadi" w:hAnsi="Abadi"/>
          <w:sz w:val="21"/>
          <w:szCs w:val="21"/>
        </w:rPr>
        <w:t>¡</w:t>
      </w:r>
      <w:r w:rsidRPr="0021199F">
        <w:rPr>
          <w:rFonts w:ascii="Abadi" w:hAnsi="Abadi"/>
          <w:sz w:val="21"/>
          <w:szCs w:val="21"/>
        </w:rPr>
        <w:t>bien</w:t>
      </w:r>
      <w:r>
        <w:rPr>
          <w:rFonts w:ascii="Abadi" w:hAnsi="Abadi"/>
          <w:sz w:val="21"/>
          <w:szCs w:val="21"/>
        </w:rPr>
        <w:t>!</w:t>
      </w:r>
      <w:r w:rsidRPr="0021199F">
        <w:rPr>
          <w:rFonts w:ascii="Abadi" w:hAnsi="Abadi"/>
          <w:sz w:val="21"/>
          <w:szCs w:val="21"/>
        </w:rPr>
        <w:t xml:space="preserve"> al crear leyes novedosas como fue la Ley de Justicia Cívica del Estado de Guanajuato, no concluye el trabajo legislativo en él solo acto de la aprobación. </w:t>
      </w:r>
    </w:p>
    <w:p w14:paraId="004BB9C0" w14:textId="77777777" w:rsidR="00BC7A6F" w:rsidRPr="001E68A7" w:rsidRDefault="00BC7A6F" w:rsidP="00C751AF">
      <w:pPr>
        <w:pStyle w:val="NormalWeb"/>
        <w:ind w:right="70"/>
        <w:jc w:val="both"/>
        <w:rPr>
          <w:rFonts w:ascii="Abadi" w:hAnsi="Abadi"/>
          <w:b/>
          <w:bCs/>
          <w:sz w:val="21"/>
          <w:szCs w:val="21"/>
        </w:rPr>
      </w:pPr>
      <w:r>
        <w:rPr>
          <w:rFonts w:ascii="Abadi" w:hAnsi="Abadi"/>
          <w:sz w:val="21"/>
          <w:szCs w:val="21"/>
        </w:rPr>
        <w:t xml:space="preserve">- </w:t>
      </w:r>
      <w:r w:rsidRPr="0021199F">
        <w:rPr>
          <w:rFonts w:ascii="Abadi" w:hAnsi="Abadi"/>
          <w:sz w:val="21"/>
          <w:szCs w:val="21"/>
        </w:rPr>
        <w:t xml:space="preserve">Tenemos, en este sentido, una obligación constante de revisión </w:t>
      </w:r>
      <w:r>
        <w:rPr>
          <w:rFonts w:ascii="Abadi" w:hAnsi="Abadi"/>
          <w:sz w:val="21"/>
          <w:szCs w:val="21"/>
        </w:rPr>
        <w:t xml:space="preserve">evaluando el </w:t>
      </w:r>
      <w:r w:rsidRPr="0021199F">
        <w:rPr>
          <w:rFonts w:ascii="Abadi" w:hAnsi="Abadi"/>
          <w:sz w:val="21"/>
          <w:szCs w:val="21"/>
        </w:rPr>
        <w:t xml:space="preserve">impacto que tienen las leyes, decretos o acuerdos aprobados por este </w:t>
      </w:r>
      <w:r>
        <w:rPr>
          <w:rFonts w:ascii="Abadi" w:hAnsi="Abadi"/>
          <w:sz w:val="21"/>
          <w:szCs w:val="21"/>
        </w:rPr>
        <w:t>C</w:t>
      </w:r>
      <w:r w:rsidRPr="0021199F">
        <w:rPr>
          <w:rFonts w:ascii="Abadi" w:hAnsi="Abadi"/>
          <w:sz w:val="21"/>
          <w:szCs w:val="21"/>
        </w:rPr>
        <w:t xml:space="preserve">ongreso. </w:t>
      </w:r>
    </w:p>
    <w:p w14:paraId="7421A5E8" w14:textId="77777777" w:rsidR="00BC7A6F" w:rsidRDefault="00BC7A6F" w:rsidP="00C751AF">
      <w:pPr>
        <w:pStyle w:val="NormalWeb"/>
        <w:ind w:right="70"/>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En este momento no conocemos el seguimiento específico que se ha dado al cumplimiento de las obligaciones impuestas en la Ley de Justicia cívica. Por otra parte, es praxis es prácticamente una regla esencial de todo órgano colegiado, tantos públicos como del ámbito privado, que es su Asamblea General. Su pleno, la máxima autoridad de decisión en el caso de este </w:t>
      </w:r>
      <w:r>
        <w:rPr>
          <w:rFonts w:ascii="Abadi" w:hAnsi="Abadi"/>
          <w:sz w:val="21"/>
          <w:szCs w:val="21"/>
        </w:rPr>
        <w:t>C</w:t>
      </w:r>
      <w:r w:rsidRPr="0021199F">
        <w:rPr>
          <w:rFonts w:ascii="Abadi" w:hAnsi="Abadi"/>
          <w:sz w:val="21"/>
          <w:szCs w:val="21"/>
        </w:rPr>
        <w:t xml:space="preserve">ongreso no es diferente al sesionar como </w:t>
      </w:r>
      <w:r>
        <w:rPr>
          <w:rFonts w:ascii="Abadi" w:hAnsi="Abadi"/>
          <w:sz w:val="21"/>
          <w:szCs w:val="21"/>
        </w:rPr>
        <w:t>P</w:t>
      </w:r>
      <w:r w:rsidRPr="0021199F">
        <w:rPr>
          <w:rFonts w:ascii="Abadi" w:hAnsi="Abadi"/>
          <w:sz w:val="21"/>
          <w:szCs w:val="21"/>
        </w:rPr>
        <w:t xml:space="preserve">leno, como en este momento lo estamos haciendo, se maximiza las posibilidades de nuestras decisiones, las que reflejan en todo caso la voluntad política que existe en los diferentes </w:t>
      </w:r>
      <w:r>
        <w:rPr>
          <w:rFonts w:ascii="Abadi" w:hAnsi="Abadi"/>
          <w:sz w:val="21"/>
          <w:szCs w:val="21"/>
        </w:rPr>
        <w:t>G</w:t>
      </w:r>
      <w:r w:rsidRPr="0021199F">
        <w:rPr>
          <w:rFonts w:ascii="Abadi" w:hAnsi="Abadi"/>
          <w:sz w:val="21"/>
          <w:szCs w:val="21"/>
        </w:rPr>
        <w:t xml:space="preserve">rupos </w:t>
      </w:r>
      <w:r>
        <w:rPr>
          <w:rFonts w:ascii="Abadi" w:hAnsi="Abadi"/>
          <w:sz w:val="21"/>
          <w:szCs w:val="21"/>
        </w:rPr>
        <w:t>P</w:t>
      </w:r>
      <w:r w:rsidRPr="0021199F">
        <w:rPr>
          <w:rFonts w:ascii="Abadi" w:hAnsi="Abadi"/>
          <w:sz w:val="21"/>
          <w:szCs w:val="21"/>
        </w:rPr>
        <w:t xml:space="preserve">arlamentarios aquí dignamente representados en este caso particular, del punto de acuesto en este caso particular, del punto de acuerdo propuesto por mi compañero por ahí. </w:t>
      </w:r>
      <w:r>
        <w:rPr>
          <w:rFonts w:ascii="Abadi" w:hAnsi="Abadi"/>
          <w:sz w:val="21"/>
          <w:szCs w:val="21"/>
        </w:rPr>
        <w:t>¡Que ya se paró!</w:t>
      </w:r>
      <w:r w:rsidRPr="0021199F">
        <w:rPr>
          <w:rFonts w:ascii="Abadi" w:hAnsi="Abadi"/>
          <w:sz w:val="21"/>
          <w:szCs w:val="21"/>
        </w:rPr>
        <w:t xml:space="preserve"> diputado Pablo Alonso Ripoll, es fundamental la posibilidad de crear una </w:t>
      </w:r>
      <w:r>
        <w:rPr>
          <w:rFonts w:ascii="Abadi" w:hAnsi="Abadi"/>
          <w:sz w:val="21"/>
          <w:szCs w:val="21"/>
        </w:rPr>
        <w:t>C</w:t>
      </w:r>
      <w:r w:rsidRPr="0021199F">
        <w:rPr>
          <w:rFonts w:ascii="Abadi" w:hAnsi="Abadi"/>
          <w:sz w:val="21"/>
          <w:szCs w:val="21"/>
        </w:rPr>
        <w:t xml:space="preserve">omisión </w:t>
      </w:r>
      <w:r>
        <w:rPr>
          <w:rFonts w:ascii="Abadi" w:hAnsi="Abadi"/>
          <w:sz w:val="21"/>
          <w:szCs w:val="21"/>
        </w:rPr>
        <w:t>E</w:t>
      </w:r>
      <w:r w:rsidRPr="0021199F">
        <w:rPr>
          <w:rFonts w:ascii="Abadi" w:hAnsi="Abadi"/>
          <w:sz w:val="21"/>
          <w:szCs w:val="21"/>
        </w:rPr>
        <w:t>special en el artículo ochenta y seis de la Ley Orgánica de este Poder Legislativo que claramente señal</w:t>
      </w:r>
      <w:r>
        <w:rPr>
          <w:rFonts w:ascii="Abadi" w:hAnsi="Abadi"/>
          <w:sz w:val="21"/>
          <w:szCs w:val="21"/>
        </w:rPr>
        <w:t>.</w:t>
      </w:r>
    </w:p>
    <w:p w14:paraId="49E6A719" w14:textId="77777777" w:rsidR="00BC7A6F" w:rsidRDefault="00BC7A6F" w:rsidP="00C751AF">
      <w:pPr>
        <w:pStyle w:val="NormalWeb"/>
        <w:ind w:right="70"/>
        <w:jc w:val="both"/>
        <w:rPr>
          <w:rFonts w:ascii="Abadi" w:hAnsi="Abadi"/>
          <w:sz w:val="21"/>
          <w:szCs w:val="21"/>
        </w:rPr>
      </w:pPr>
      <w:r>
        <w:rPr>
          <w:rFonts w:ascii="Abadi" w:hAnsi="Abadi"/>
          <w:sz w:val="21"/>
          <w:szCs w:val="21"/>
        </w:rPr>
        <w:t>- E</w:t>
      </w:r>
      <w:r w:rsidRPr="0021199F">
        <w:rPr>
          <w:rFonts w:ascii="Abadi" w:hAnsi="Abadi"/>
          <w:sz w:val="21"/>
          <w:szCs w:val="21"/>
        </w:rPr>
        <w:t xml:space="preserve">l </w:t>
      </w:r>
      <w:r>
        <w:rPr>
          <w:rFonts w:ascii="Abadi" w:hAnsi="Abadi"/>
          <w:sz w:val="21"/>
          <w:szCs w:val="21"/>
        </w:rPr>
        <w:t>P</w:t>
      </w:r>
      <w:r w:rsidRPr="0021199F">
        <w:rPr>
          <w:rFonts w:ascii="Abadi" w:hAnsi="Abadi"/>
          <w:sz w:val="21"/>
          <w:szCs w:val="21"/>
        </w:rPr>
        <w:t xml:space="preserve">leno podrá acordar la creación de </w:t>
      </w:r>
      <w:r>
        <w:rPr>
          <w:rFonts w:ascii="Abadi" w:hAnsi="Abadi"/>
          <w:sz w:val="21"/>
          <w:szCs w:val="21"/>
        </w:rPr>
        <w:t>C</w:t>
      </w:r>
      <w:r w:rsidRPr="0021199F">
        <w:rPr>
          <w:rFonts w:ascii="Abadi" w:hAnsi="Abadi"/>
          <w:sz w:val="21"/>
          <w:szCs w:val="21"/>
        </w:rPr>
        <w:t xml:space="preserve">omisiones </w:t>
      </w:r>
      <w:r>
        <w:rPr>
          <w:rFonts w:ascii="Abadi" w:hAnsi="Abadi"/>
          <w:sz w:val="21"/>
          <w:szCs w:val="21"/>
        </w:rPr>
        <w:t>L</w:t>
      </w:r>
      <w:r w:rsidRPr="0021199F">
        <w:rPr>
          <w:rFonts w:ascii="Abadi" w:hAnsi="Abadi"/>
          <w:sz w:val="21"/>
          <w:szCs w:val="21"/>
        </w:rPr>
        <w:t xml:space="preserve">egislativas </w:t>
      </w:r>
      <w:r>
        <w:rPr>
          <w:rFonts w:ascii="Abadi" w:hAnsi="Abadi"/>
          <w:sz w:val="21"/>
          <w:szCs w:val="21"/>
        </w:rPr>
        <w:t>E</w:t>
      </w:r>
      <w:r w:rsidRPr="0021199F">
        <w:rPr>
          <w:rFonts w:ascii="Abadi" w:hAnsi="Abadi"/>
          <w:sz w:val="21"/>
          <w:szCs w:val="21"/>
        </w:rPr>
        <w:t xml:space="preserve">speciales, las que tendrán una duración transitoria y conocerán específicamente de los asuntos que hayan motivado su conformación en los términos de las facultades que él mismo </w:t>
      </w:r>
      <w:r>
        <w:rPr>
          <w:rFonts w:ascii="Abadi" w:hAnsi="Abadi"/>
          <w:sz w:val="21"/>
          <w:szCs w:val="21"/>
        </w:rPr>
        <w:t>P</w:t>
      </w:r>
      <w:r w:rsidRPr="0021199F">
        <w:rPr>
          <w:rFonts w:ascii="Abadi" w:hAnsi="Abadi"/>
          <w:sz w:val="21"/>
          <w:szCs w:val="21"/>
        </w:rPr>
        <w:t xml:space="preserve">leno les </w:t>
      </w:r>
      <w:r>
        <w:rPr>
          <w:rFonts w:ascii="Abadi" w:hAnsi="Abadi"/>
          <w:sz w:val="21"/>
          <w:szCs w:val="21"/>
        </w:rPr>
        <w:t>otorgue</w:t>
      </w:r>
      <w:r w:rsidRPr="0021199F">
        <w:rPr>
          <w:rFonts w:ascii="Abadi" w:hAnsi="Abadi"/>
          <w:sz w:val="21"/>
          <w:szCs w:val="21"/>
        </w:rPr>
        <w:t xml:space="preserve">. </w:t>
      </w:r>
    </w:p>
    <w:p w14:paraId="30A54F03" w14:textId="77777777" w:rsidR="00BC7A6F" w:rsidRDefault="00BC7A6F" w:rsidP="00C751AF">
      <w:pPr>
        <w:pStyle w:val="NormalWeb"/>
        <w:ind w:right="70"/>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A lo anterior es coincidente el penúltimo párrafo del artículo </w:t>
      </w:r>
      <w:r>
        <w:rPr>
          <w:rFonts w:ascii="Abadi" w:hAnsi="Abadi"/>
          <w:sz w:val="21"/>
          <w:szCs w:val="21"/>
        </w:rPr>
        <w:t>100</w:t>
      </w:r>
      <w:r w:rsidRPr="0021199F">
        <w:rPr>
          <w:rFonts w:ascii="Abadi" w:hAnsi="Abadi"/>
          <w:sz w:val="21"/>
          <w:szCs w:val="21"/>
        </w:rPr>
        <w:t xml:space="preserve"> de la misma Ley Orgánica, que precisamente es el que regula las comisiones de carácter permanente. Y en este párrafo, que voy a citar las especiales y dice así el Pleno podrá acordar la </w:t>
      </w:r>
      <w:r>
        <w:rPr>
          <w:rFonts w:ascii="Abadi" w:hAnsi="Abadi"/>
          <w:sz w:val="21"/>
          <w:szCs w:val="21"/>
        </w:rPr>
        <w:t>C</w:t>
      </w:r>
      <w:r w:rsidRPr="0021199F">
        <w:rPr>
          <w:rFonts w:ascii="Abadi" w:hAnsi="Abadi"/>
          <w:sz w:val="21"/>
          <w:szCs w:val="21"/>
        </w:rPr>
        <w:t xml:space="preserve">onstitución de </w:t>
      </w:r>
      <w:r>
        <w:rPr>
          <w:rFonts w:ascii="Abadi" w:hAnsi="Abadi"/>
          <w:sz w:val="21"/>
          <w:szCs w:val="21"/>
        </w:rPr>
        <w:t>C</w:t>
      </w:r>
      <w:r w:rsidRPr="0021199F">
        <w:rPr>
          <w:rFonts w:ascii="Abadi" w:hAnsi="Abadi"/>
          <w:sz w:val="21"/>
          <w:szCs w:val="21"/>
        </w:rPr>
        <w:t xml:space="preserve">omisiones </w:t>
      </w:r>
      <w:r>
        <w:rPr>
          <w:rFonts w:ascii="Abadi" w:hAnsi="Abadi"/>
          <w:sz w:val="21"/>
          <w:szCs w:val="21"/>
        </w:rPr>
        <w:t>L</w:t>
      </w:r>
      <w:r w:rsidRPr="0021199F">
        <w:rPr>
          <w:rFonts w:ascii="Abadi" w:hAnsi="Abadi"/>
          <w:sz w:val="21"/>
          <w:szCs w:val="21"/>
        </w:rPr>
        <w:t xml:space="preserve">egislativas </w:t>
      </w:r>
      <w:r>
        <w:rPr>
          <w:rFonts w:ascii="Abadi" w:hAnsi="Abadi"/>
          <w:sz w:val="21"/>
          <w:szCs w:val="21"/>
        </w:rPr>
        <w:t>E</w:t>
      </w:r>
      <w:r w:rsidRPr="0021199F">
        <w:rPr>
          <w:rFonts w:ascii="Abadi" w:hAnsi="Abadi"/>
          <w:sz w:val="21"/>
          <w:szCs w:val="21"/>
        </w:rPr>
        <w:t xml:space="preserve">speciales cuando se estime necesarias para hacerse cargo de un asunto específico, el acuerdo que las establezca señalara su objeto, su integración con al menos cinco miembros, atendiendo a los criterios señalados en el artículo </w:t>
      </w:r>
      <w:r>
        <w:rPr>
          <w:rFonts w:ascii="Abadi" w:hAnsi="Abadi"/>
          <w:sz w:val="21"/>
          <w:szCs w:val="21"/>
        </w:rPr>
        <w:t>76</w:t>
      </w:r>
      <w:r w:rsidRPr="0021199F">
        <w:rPr>
          <w:rFonts w:ascii="Abadi" w:hAnsi="Abadi"/>
          <w:sz w:val="21"/>
          <w:szCs w:val="21"/>
        </w:rPr>
        <w:t xml:space="preserve"> de esta ley y, en su caso, el plazo para efectuar las tareas que les hayan encomendado, cumplido su efecto, se extinguirán. </w:t>
      </w:r>
    </w:p>
    <w:p w14:paraId="50D4F344" w14:textId="77777777" w:rsidR="00BC7A6F" w:rsidRDefault="00BC7A6F" w:rsidP="00C751AF">
      <w:pPr>
        <w:pStyle w:val="NormalWeb"/>
        <w:ind w:right="70"/>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En este sentido, el acuerdo propuesto cumple con los requisitos necesarios. Es entonces que, efectivamente, como </w:t>
      </w:r>
      <w:r>
        <w:rPr>
          <w:rFonts w:ascii="Abadi" w:hAnsi="Abadi"/>
          <w:sz w:val="21"/>
          <w:szCs w:val="21"/>
        </w:rPr>
        <w:t>P</w:t>
      </w:r>
      <w:r w:rsidRPr="0021199F">
        <w:rPr>
          <w:rFonts w:ascii="Abadi" w:hAnsi="Abadi"/>
          <w:sz w:val="21"/>
          <w:szCs w:val="21"/>
        </w:rPr>
        <w:t xml:space="preserve">leno podemos constituir, como se nos propone, una </w:t>
      </w:r>
      <w:r>
        <w:rPr>
          <w:rFonts w:ascii="Abadi" w:hAnsi="Abadi"/>
          <w:sz w:val="21"/>
          <w:szCs w:val="21"/>
        </w:rPr>
        <w:t>C</w:t>
      </w:r>
      <w:r w:rsidRPr="0021199F">
        <w:rPr>
          <w:rFonts w:ascii="Abadi" w:hAnsi="Abadi"/>
          <w:sz w:val="21"/>
          <w:szCs w:val="21"/>
        </w:rPr>
        <w:t xml:space="preserve">omisión </w:t>
      </w:r>
      <w:r>
        <w:rPr>
          <w:rFonts w:ascii="Abadi" w:hAnsi="Abadi"/>
          <w:sz w:val="21"/>
          <w:szCs w:val="21"/>
        </w:rPr>
        <w:t>E</w:t>
      </w:r>
      <w:r w:rsidRPr="0021199F">
        <w:rPr>
          <w:rFonts w:ascii="Abadi" w:hAnsi="Abadi"/>
          <w:sz w:val="21"/>
          <w:szCs w:val="21"/>
        </w:rPr>
        <w:t xml:space="preserve">special para conocer, mediante la elaboración de un informe, el seguimiento y cumplimiento que han dado los ayuntamientos de los municipios del Estado y las autoridades estatales a las obligaciones que con plazos específicos se le establecieron </w:t>
      </w:r>
      <w:r>
        <w:rPr>
          <w:rFonts w:ascii="Abadi" w:hAnsi="Abadi"/>
          <w:sz w:val="21"/>
          <w:szCs w:val="21"/>
        </w:rPr>
        <w:t>pa</w:t>
      </w:r>
      <w:r w:rsidRPr="0021199F">
        <w:rPr>
          <w:rFonts w:ascii="Abadi" w:hAnsi="Abadi"/>
          <w:sz w:val="21"/>
          <w:szCs w:val="21"/>
        </w:rPr>
        <w:t>ra la plena implementación del sistema de justicia cívica. El último plazo referido en los artículos transitorios de la Ley de Justicia Cívica ya solo tiene por transcurrir seis meses con la comisión propuesta en un plazo de tres meses.</w:t>
      </w:r>
    </w:p>
    <w:p w14:paraId="148554FE" w14:textId="77777777" w:rsidR="00BC7A6F" w:rsidRDefault="00BC7A6F" w:rsidP="00C751AF">
      <w:pPr>
        <w:pStyle w:val="NormalWeb"/>
        <w:ind w:right="70"/>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Este pleno tendría el informe correspondiente para conocer el verdadero avance en esta materia que sin lugar a duda está ligada con la seguridad pública. Porque al enfocarse la justicia cívica en los asuntos cotidianos se contribuye a la parte que le corresponde al restablecimiento de la paz social. Asumamos como plenos el rol que corresponde. Somos, en conjunto la autoridad máxima de este </w:t>
      </w:r>
      <w:r>
        <w:rPr>
          <w:rFonts w:ascii="Abadi" w:hAnsi="Abadi"/>
          <w:sz w:val="21"/>
          <w:szCs w:val="21"/>
        </w:rPr>
        <w:t>C</w:t>
      </w:r>
      <w:r w:rsidRPr="0021199F">
        <w:rPr>
          <w:rFonts w:ascii="Abadi" w:hAnsi="Abadi"/>
          <w:sz w:val="21"/>
          <w:szCs w:val="21"/>
        </w:rPr>
        <w:t xml:space="preserve">ongreso y al ser depositarios de la representación social de los guanajuatense, nuestra actividad directa en la revisión del cumplimiento de las leyes. </w:t>
      </w:r>
    </w:p>
    <w:p w14:paraId="5A1A4D38" w14:textId="77777777" w:rsidR="00BC7A6F" w:rsidRDefault="00BC7A6F" w:rsidP="00C751AF">
      <w:pPr>
        <w:pStyle w:val="NormalWeb"/>
        <w:ind w:right="70"/>
        <w:jc w:val="both"/>
        <w:rPr>
          <w:rFonts w:ascii="Abadi" w:hAnsi="Abadi"/>
          <w:sz w:val="21"/>
          <w:szCs w:val="21"/>
        </w:rPr>
      </w:pPr>
      <w:r>
        <w:rPr>
          <w:rFonts w:ascii="Abadi" w:hAnsi="Abadi"/>
          <w:sz w:val="21"/>
          <w:szCs w:val="21"/>
        </w:rPr>
        <w:t>- Nos otorga gran legitimidad, n</w:t>
      </w:r>
      <w:r w:rsidRPr="0021199F">
        <w:rPr>
          <w:rFonts w:ascii="Abadi" w:hAnsi="Abadi"/>
          <w:sz w:val="21"/>
          <w:szCs w:val="21"/>
        </w:rPr>
        <w:t>o dejemos para mañana ni en la responsabilidad de otro. Lo que hoy podemos decidir</w:t>
      </w:r>
      <w:r>
        <w:rPr>
          <w:rFonts w:ascii="Abadi" w:hAnsi="Abadi"/>
          <w:sz w:val="21"/>
          <w:szCs w:val="21"/>
        </w:rPr>
        <w:t xml:space="preserve">. </w:t>
      </w:r>
    </w:p>
    <w:p w14:paraId="3E1138FB" w14:textId="77777777" w:rsidR="00BC7A6F" w:rsidRDefault="00BC7A6F" w:rsidP="00C751AF">
      <w:pPr>
        <w:pStyle w:val="NormalWeb"/>
        <w:ind w:right="70"/>
        <w:jc w:val="both"/>
        <w:rPr>
          <w:rFonts w:ascii="Abadi" w:hAnsi="Abadi"/>
          <w:sz w:val="21"/>
          <w:szCs w:val="21"/>
        </w:rPr>
      </w:pPr>
      <w:r>
        <w:rPr>
          <w:rFonts w:ascii="Abadi" w:hAnsi="Abadi"/>
          <w:sz w:val="21"/>
          <w:szCs w:val="21"/>
        </w:rPr>
        <w:t>- E</w:t>
      </w:r>
      <w:r w:rsidRPr="0021199F">
        <w:rPr>
          <w:rFonts w:ascii="Abadi" w:hAnsi="Abadi"/>
          <w:sz w:val="21"/>
          <w:szCs w:val="21"/>
        </w:rPr>
        <w:t xml:space="preserve">s cuánto. </w:t>
      </w:r>
    </w:p>
    <w:p w14:paraId="35C3D4A5" w14:textId="77777777" w:rsidR="00BC7A6F" w:rsidRDefault="00BC7A6F" w:rsidP="00C751AF">
      <w:pPr>
        <w:pStyle w:val="NormalWeb"/>
        <w:ind w:right="70" w:firstLine="708"/>
        <w:jc w:val="both"/>
        <w:rPr>
          <w:rFonts w:ascii="Abadi" w:hAnsi="Abadi"/>
          <w:sz w:val="21"/>
          <w:szCs w:val="21"/>
        </w:rPr>
      </w:pPr>
      <w:r>
        <w:rPr>
          <w:rFonts w:ascii="Abadi" w:hAnsi="Abadi"/>
          <w:b/>
          <w:bCs/>
          <w:sz w:val="21"/>
          <w:szCs w:val="21"/>
        </w:rPr>
        <w:t xml:space="preserve">- </w:t>
      </w:r>
      <w:r w:rsidRPr="0031593A">
        <w:rPr>
          <w:rFonts w:ascii="Abadi" w:hAnsi="Abadi"/>
          <w:b/>
          <w:bCs/>
          <w:sz w:val="21"/>
          <w:szCs w:val="21"/>
        </w:rPr>
        <w:t xml:space="preserve">La </w:t>
      </w:r>
      <w:proofErr w:type="gramStart"/>
      <w:r w:rsidRPr="0031593A">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Muchas gracias, diputado</w:t>
      </w:r>
      <w:r>
        <w:rPr>
          <w:rFonts w:ascii="Abadi" w:hAnsi="Abadi"/>
          <w:sz w:val="21"/>
          <w:szCs w:val="21"/>
        </w:rPr>
        <w:t xml:space="preserve">. </w:t>
      </w:r>
    </w:p>
    <w:p w14:paraId="34C18127" w14:textId="37966901" w:rsidR="00BC7A6F" w:rsidRDefault="001969F5" w:rsidP="00C751AF">
      <w:pPr>
        <w:pStyle w:val="NormalWeb"/>
        <w:ind w:right="70" w:firstLine="708"/>
        <w:jc w:val="both"/>
        <w:rPr>
          <w:rFonts w:ascii="Abadi" w:hAnsi="Abadi"/>
          <w:sz w:val="21"/>
          <w:szCs w:val="21"/>
        </w:rPr>
      </w:pPr>
      <w:r>
        <w:rPr>
          <w:rFonts w:ascii="Abadi" w:hAnsi="Abadi"/>
          <w:sz w:val="21"/>
          <w:szCs w:val="21"/>
        </w:rPr>
        <w:t xml:space="preserve">- </w:t>
      </w:r>
      <w:r w:rsidR="00BC7A6F">
        <w:rPr>
          <w:rFonts w:ascii="Abadi" w:hAnsi="Abadi"/>
          <w:sz w:val="21"/>
          <w:szCs w:val="21"/>
        </w:rPr>
        <w:t>Y</w:t>
      </w:r>
      <w:r w:rsidR="00BC7A6F" w:rsidRPr="0021199F">
        <w:rPr>
          <w:rFonts w:ascii="Abadi" w:hAnsi="Abadi"/>
          <w:sz w:val="21"/>
          <w:szCs w:val="21"/>
        </w:rPr>
        <w:t xml:space="preserve"> es el turno de la diputada</w:t>
      </w:r>
      <w:r w:rsidR="00BC7A6F">
        <w:rPr>
          <w:rFonts w:ascii="Abadi" w:hAnsi="Abadi"/>
          <w:sz w:val="21"/>
          <w:szCs w:val="21"/>
        </w:rPr>
        <w:t>, Ruth Noemí Tiscareño Agoitia,</w:t>
      </w:r>
      <w:r w:rsidR="00BC7A6F" w:rsidRPr="0021199F">
        <w:rPr>
          <w:rFonts w:ascii="Abadi" w:hAnsi="Abadi"/>
          <w:sz w:val="21"/>
          <w:szCs w:val="21"/>
        </w:rPr>
        <w:t xml:space="preserve"> hasta por </w:t>
      </w:r>
      <w:r>
        <w:rPr>
          <w:rFonts w:ascii="Abadi" w:hAnsi="Abadi"/>
          <w:sz w:val="21"/>
          <w:szCs w:val="21"/>
        </w:rPr>
        <w:t>10</w:t>
      </w:r>
      <w:r w:rsidR="00BC7A6F" w:rsidRPr="0021199F">
        <w:rPr>
          <w:rFonts w:ascii="Abadi" w:hAnsi="Abadi"/>
          <w:sz w:val="21"/>
          <w:szCs w:val="21"/>
        </w:rPr>
        <w:t xml:space="preserve"> minutos </w:t>
      </w:r>
      <w:r w:rsidR="00BC7A6F">
        <w:rPr>
          <w:rFonts w:ascii="Abadi" w:hAnsi="Abadi"/>
          <w:sz w:val="21"/>
          <w:szCs w:val="21"/>
        </w:rPr>
        <w:t>d</w:t>
      </w:r>
      <w:r w:rsidR="00BC7A6F" w:rsidRPr="0021199F">
        <w:rPr>
          <w:rFonts w:ascii="Abadi" w:hAnsi="Abadi"/>
          <w:sz w:val="21"/>
          <w:szCs w:val="21"/>
        </w:rPr>
        <w:t>iputada</w:t>
      </w:r>
      <w:r w:rsidR="00BC7A6F">
        <w:rPr>
          <w:rFonts w:ascii="Abadi" w:hAnsi="Abadi"/>
          <w:sz w:val="21"/>
          <w:szCs w:val="21"/>
        </w:rPr>
        <w:t xml:space="preserve">. </w:t>
      </w:r>
    </w:p>
    <w:p w14:paraId="7E848C62" w14:textId="6D4890F9" w:rsidR="00BC7A6F" w:rsidRDefault="00BC7A6F" w:rsidP="00C751AF">
      <w:pPr>
        <w:pStyle w:val="NormalWeb"/>
        <w:ind w:right="70"/>
        <w:jc w:val="both"/>
        <w:rPr>
          <w:rFonts w:ascii="Abadi" w:hAnsi="Abadi"/>
          <w:b/>
          <w:bCs/>
          <w:sz w:val="21"/>
          <w:szCs w:val="21"/>
        </w:rPr>
      </w:pPr>
      <w:r w:rsidRPr="001830A4">
        <w:rPr>
          <w:rFonts w:ascii="Abadi" w:hAnsi="Abadi"/>
          <w:b/>
          <w:bCs/>
          <w:sz w:val="21"/>
          <w:szCs w:val="21"/>
        </w:rPr>
        <w:t>(Sube a tribuna, la diputada Ruth Noemí Tiscareño Agoitia, para hablar en</w:t>
      </w:r>
      <w:r>
        <w:rPr>
          <w:rFonts w:ascii="Abadi" w:hAnsi="Abadi"/>
          <w:b/>
          <w:bCs/>
          <w:sz w:val="21"/>
          <w:szCs w:val="21"/>
        </w:rPr>
        <w:t xml:space="preserve"> </w:t>
      </w:r>
      <w:r w:rsidRPr="001830A4">
        <w:rPr>
          <w:rFonts w:ascii="Abadi" w:hAnsi="Abadi"/>
          <w:b/>
          <w:bCs/>
          <w:sz w:val="21"/>
          <w:szCs w:val="21"/>
        </w:rPr>
        <w:t xml:space="preserve">contra del </w:t>
      </w:r>
      <w:r w:rsidR="00730149">
        <w:rPr>
          <w:rFonts w:ascii="Abadi" w:hAnsi="Abadi"/>
          <w:b/>
          <w:bCs/>
          <w:sz w:val="21"/>
          <w:szCs w:val="21"/>
        </w:rPr>
        <w:t>punto de acuerdo)</w:t>
      </w:r>
    </w:p>
    <w:p w14:paraId="3E0A75ED" w14:textId="77777777" w:rsidR="00BC7A6F" w:rsidRDefault="00BC7A6F" w:rsidP="00C751AF">
      <w:pPr>
        <w:pStyle w:val="NormalWeb"/>
        <w:ind w:right="70"/>
        <w:jc w:val="both"/>
        <w:rPr>
          <w:rFonts w:ascii="Abadi" w:hAnsi="Abadi"/>
          <w:b/>
          <w:bCs/>
          <w:sz w:val="21"/>
          <w:szCs w:val="21"/>
        </w:rPr>
      </w:pPr>
    </w:p>
    <w:p w14:paraId="325AD559" w14:textId="77777777" w:rsidR="00BC7A6F" w:rsidRPr="001830A4" w:rsidRDefault="00BC7A6F" w:rsidP="00C751AF">
      <w:pPr>
        <w:pStyle w:val="NormalWeb"/>
        <w:ind w:right="70"/>
        <w:jc w:val="both"/>
        <w:rPr>
          <w:rFonts w:ascii="Abadi" w:hAnsi="Abadi"/>
          <w:b/>
          <w:bCs/>
          <w:sz w:val="21"/>
          <w:szCs w:val="21"/>
        </w:rPr>
      </w:pPr>
      <w:r>
        <w:rPr>
          <w:noProof/>
        </w:rPr>
        <w:drawing>
          <wp:inline distT="0" distB="0" distL="0" distR="0" wp14:anchorId="7DEDC733" wp14:editId="25FFF62D">
            <wp:extent cx="2150039" cy="1115667"/>
            <wp:effectExtent l="19050" t="114300" r="0" b="847090"/>
            <wp:docPr id="35" name="Imagen 3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10;&#10;Descripción generada automáticamente"/>
                    <pic:cNvPicPr/>
                  </pic:nvPicPr>
                  <pic:blipFill rotWithShape="1">
                    <a:blip r:embed="rId42"/>
                    <a:srcRect b="7706"/>
                    <a:stretch/>
                  </pic:blipFill>
                  <pic:spPr bwMode="auto">
                    <a:xfrm>
                      <a:off x="0" y="0"/>
                      <a:ext cx="2170229" cy="1126144"/>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579FD54E" w14:textId="77777777" w:rsidR="00BC7A6F" w:rsidRDefault="00BC7A6F" w:rsidP="00C751AF">
      <w:pPr>
        <w:pStyle w:val="NormalWeb"/>
        <w:ind w:right="70"/>
        <w:jc w:val="both"/>
        <w:rPr>
          <w:rFonts w:ascii="Abadi" w:hAnsi="Abadi"/>
          <w:sz w:val="21"/>
          <w:szCs w:val="21"/>
        </w:rPr>
      </w:pPr>
      <w:r>
        <w:rPr>
          <w:rFonts w:ascii="Abadi" w:hAnsi="Abadi"/>
          <w:sz w:val="21"/>
          <w:szCs w:val="21"/>
        </w:rPr>
        <w:t>- C</w:t>
      </w:r>
      <w:r w:rsidRPr="0021199F">
        <w:rPr>
          <w:rFonts w:ascii="Abadi" w:hAnsi="Abadi"/>
          <w:sz w:val="21"/>
          <w:szCs w:val="21"/>
        </w:rPr>
        <w:t xml:space="preserve">on el permiso de la </w:t>
      </w:r>
      <w:r>
        <w:rPr>
          <w:rFonts w:ascii="Abadi" w:hAnsi="Abadi"/>
          <w:sz w:val="21"/>
          <w:szCs w:val="21"/>
        </w:rPr>
        <w:t>P</w:t>
      </w:r>
      <w:r w:rsidRPr="0021199F">
        <w:rPr>
          <w:rFonts w:ascii="Abadi" w:hAnsi="Abadi"/>
          <w:sz w:val="21"/>
          <w:szCs w:val="21"/>
        </w:rPr>
        <w:t xml:space="preserve">residenta, paso hablar en contra porque si tiene razón el diputado que me antecedió a leer el artículo </w:t>
      </w:r>
      <w:r>
        <w:rPr>
          <w:rFonts w:ascii="Abadi" w:hAnsi="Abadi"/>
          <w:sz w:val="21"/>
          <w:szCs w:val="21"/>
        </w:rPr>
        <w:t>80, s</w:t>
      </w:r>
      <w:r w:rsidRPr="0021199F">
        <w:rPr>
          <w:rFonts w:ascii="Abadi" w:hAnsi="Abadi"/>
          <w:sz w:val="21"/>
          <w:szCs w:val="21"/>
        </w:rPr>
        <w:t xml:space="preserve">in embargo, el objetivo del punto de acuerdo es crear una </w:t>
      </w:r>
      <w:r>
        <w:rPr>
          <w:rFonts w:ascii="Abadi" w:hAnsi="Abadi"/>
          <w:sz w:val="21"/>
          <w:szCs w:val="21"/>
        </w:rPr>
        <w:t>C</w:t>
      </w:r>
      <w:r w:rsidRPr="0021199F">
        <w:rPr>
          <w:rFonts w:ascii="Abadi" w:hAnsi="Abadi"/>
          <w:sz w:val="21"/>
          <w:szCs w:val="21"/>
        </w:rPr>
        <w:t xml:space="preserve">omisión </w:t>
      </w:r>
      <w:r>
        <w:rPr>
          <w:rFonts w:ascii="Abadi" w:hAnsi="Abadi"/>
          <w:sz w:val="21"/>
          <w:szCs w:val="21"/>
        </w:rPr>
        <w:t>E</w:t>
      </w:r>
      <w:r w:rsidRPr="0021199F">
        <w:rPr>
          <w:rFonts w:ascii="Abadi" w:hAnsi="Abadi"/>
          <w:sz w:val="21"/>
          <w:szCs w:val="21"/>
        </w:rPr>
        <w:t xml:space="preserve">special que dé seguimiento al cumplimiento de la Ley de Justicia Cívica del Estado de </w:t>
      </w:r>
      <w:r>
        <w:rPr>
          <w:rFonts w:ascii="Abadi" w:hAnsi="Abadi"/>
          <w:sz w:val="21"/>
          <w:szCs w:val="21"/>
        </w:rPr>
        <w:t xml:space="preserve">Guanajuato </w:t>
      </w:r>
      <w:r w:rsidRPr="0021199F">
        <w:rPr>
          <w:rFonts w:ascii="Abadi" w:hAnsi="Abadi"/>
          <w:sz w:val="21"/>
          <w:szCs w:val="21"/>
        </w:rPr>
        <w:t xml:space="preserve">y es la fracción </w:t>
      </w:r>
      <w:r>
        <w:rPr>
          <w:rFonts w:ascii="Abadi" w:hAnsi="Abadi"/>
          <w:sz w:val="21"/>
          <w:szCs w:val="21"/>
        </w:rPr>
        <w:t>V</w:t>
      </w:r>
      <w:r w:rsidRPr="0021199F">
        <w:rPr>
          <w:rFonts w:ascii="Abadi" w:hAnsi="Abadi"/>
          <w:sz w:val="21"/>
          <w:szCs w:val="21"/>
        </w:rPr>
        <w:t xml:space="preserve"> del artículo </w:t>
      </w:r>
      <w:r>
        <w:rPr>
          <w:rFonts w:ascii="Abadi" w:hAnsi="Abadi"/>
          <w:sz w:val="21"/>
          <w:szCs w:val="21"/>
        </w:rPr>
        <w:t>72</w:t>
      </w:r>
      <w:r w:rsidRPr="0021199F">
        <w:rPr>
          <w:rFonts w:ascii="Abadi" w:hAnsi="Abadi"/>
          <w:sz w:val="21"/>
          <w:szCs w:val="21"/>
        </w:rPr>
        <w:t xml:space="preserve"> de la Ley Orgánica. Señala que la Junta de Gobierno viene la atribución de proponer al </w:t>
      </w:r>
      <w:r>
        <w:rPr>
          <w:rFonts w:ascii="Abadi" w:hAnsi="Abadi"/>
          <w:sz w:val="21"/>
          <w:szCs w:val="21"/>
        </w:rPr>
        <w:t>P</w:t>
      </w:r>
      <w:r w:rsidRPr="0021199F">
        <w:rPr>
          <w:rFonts w:ascii="Abadi" w:hAnsi="Abadi"/>
          <w:sz w:val="21"/>
          <w:szCs w:val="21"/>
        </w:rPr>
        <w:t xml:space="preserve">leno la integración de </w:t>
      </w:r>
      <w:r>
        <w:rPr>
          <w:rFonts w:ascii="Abadi" w:hAnsi="Abadi"/>
          <w:sz w:val="21"/>
          <w:szCs w:val="21"/>
        </w:rPr>
        <w:t>C</w:t>
      </w:r>
      <w:r w:rsidRPr="0021199F">
        <w:rPr>
          <w:rFonts w:ascii="Abadi" w:hAnsi="Abadi"/>
          <w:sz w:val="21"/>
          <w:szCs w:val="21"/>
        </w:rPr>
        <w:t xml:space="preserve">omisiones </w:t>
      </w:r>
      <w:r>
        <w:rPr>
          <w:rFonts w:ascii="Abadi" w:hAnsi="Abadi"/>
          <w:sz w:val="21"/>
          <w:szCs w:val="21"/>
        </w:rPr>
        <w:t>Le</w:t>
      </w:r>
      <w:r w:rsidRPr="0021199F">
        <w:rPr>
          <w:rFonts w:ascii="Abadi" w:hAnsi="Abadi"/>
          <w:sz w:val="21"/>
          <w:szCs w:val="21"/>
        </w:rPr>
        <w:t>gislativas permanentes y especiales.</w:t>
      </w:r>
    </w:p>
    <w:p w14:paraId="29C6FC56" w14:textId="77777777" w:rsidR="00BC7A6F" w:rsidRDefault="00BC7A6F" w:rsidP="00C751AF">
      <w:pPr>
        <w:pStyle w:val="NormalWeb"/>
        <w:ind w:right="70"/>
        <w:jc w:val="both"/>
        <w:rPr>
          <w:rFonts w:ascii="Abadi" w:hAnsi="Abadi"/>
          <w:sz w:val="21"/>
          <w:szCs w:val="21"/>
        </w:rPr>
      </w:pPr>
      <w:r>
        <w:rPr>
          <w:rFonts w:ascii="Abadi" w:hAnsi="Abadi"/>
          <w:sz w:val="21"/>
          <w:szCs w:val="21"/>
        </w:rPr>
        <w:t>-</w:t>
      </w:r>
      <w:r w:rsidRPr="0021199F">
        <w:rPr>
          <w:rFonts w:ascii="Abadi" w:hAnsi="Abadi"/>
          <w:sz w:val="21"/>
          <w:szCs w:val="21"/>
        </w:rPr>
        <w:t xml:space="preserve"> O sea, s</w:t>
      </w:r>
      <w:r>
        <w:rPr>
          <w:rFonts w:ascii="Abadi" w:hAnsi="Abadi"/>
          <w:sz w:val="21"/>
          <w:szCs w:val="21"/>
        </w:rPr>
        <w:t>í</w:t>
      </w:r>
      <w:r w:rsidRPr="0021199F">
        <w:rPr>
          <w:rFonts w:ascii="Abadi" w:hAnsi="Abadi"/>
          <w:sz w:val="21"/>
          <w:szCs w:val="21"/>
        </w:rPr>
        <w:t xml:space="preserve"> la podemos votar aquí, como dice el artículo ochenta, pero es a propuesta de la Junta, lo que incluye que por medio de un punto de acuerdo, puede acordar la creación de una comisión legislativa especial. </w:t>
      </w:r>
    </w:p>
    <w:p w14:paraId="51CB3167" w14:textId="77777777" w:rsidR="00BC7A6F" w:rsidRDefault="00BC7A6F" w:rsidP="00C751AF">
      <w:pPr>
        <w:pStyle w:val="NormalWeb"/>
        <w:ind w:right="70"/>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Aunado a lo anterior, de acuerdo con el artículo doscientos diez de la Ley Orgánica del Poder Legislativo, en el caso de iniciativas ya aprobadas o publicadas, esta soberanía cuenta con la Unidad de Seguimiento y Análisis del Impacto Legislativo, que se encarga de implementar mecanismos de evaluación y seguimiento a las leyes vigentes y sus continuas reformas. </w:t>
      </w:r>
    </w:p>
    <w:p w14:paraId="7B33252A" w14:textId="77777777" w:rsidR="00BC7A6F" w:rsidRDefault="00BC7A6F" w:rsidP="00C751AF">
      <w:pPr>
        <w:pStyle w:val="NormalWeb"/>
        <w:ind w:right="70"/>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Es decir, en el caso concreto, se encarga de darle seguimiento y análisis a la Ley de Justicia Cívica del Estado de </w:t>
      </w:r>
      <w:r>
        <w:rPr>
          <w:rFonts w:ascii="Abadi" w:hAnsi="Abadi"/>
          <w:sz w:val="21"/>
          <w:szCs w:val="21"/>
        </w:rPr>
        <w:t>Guanajuato</w:t>
      </w:r>
      <w:r w:rsidRPr="0021199F">
        <w:rPr>
          <w:rFonts w:ascii="Abadi" w:hAnsi="Abadi"/>
          <w:sz w:val="21"/>
          <w:szCs w:val="21"/>
        </w:rPr>
        <w:t xml:space="preserve">. </w:t>
      </w:r>
    </w:p>
    <w:p w14:paraId="7425B9E9" w14:textId="77777777" w:rsidR="00BC7A6F" w:rsidRDefault="00BC7A6F" w:rsidP="00C751AF">
      <w:pPr>
        <w:pStyle w:val="NormalWeb"/>
        <w:ind w:right="70"/>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De esta manera se considera que, por un lado, existe imposibilidad jurídica de acordar la creación de una </w:t>
      </w:r>
      <w:r>
        <w:rPr>
          <w:rFonts w:ascii="Abadi" w:hAnsi="Abadi"/>
          <w:sz w:val="21"/>
          <w:szCs w:val="21"/>
        </w:rPr>
        <w:t>C</w:t>
      </w:r>
      <w:r w:rsidRPr="0021199F">
        <w:rPr>
          <w:rFonts w:ascii="Abadi" w:hAnsi="Abadi"/>
          <w:sz w:val="21"/>
          <w:szCs w:val="21"/>
        </w:rPr>
        <w:t xml:space="preserve">omisión </w:t>
      </w:r>
      <w:r>
        <w:rPr>
          <w:rFonts w:ascii="Abadi" w:hAnsi="Abadi"/>
          <w:sz w:val="21"/>
          <w:szCs w:val="21"/>
        </w:rPr>
        <w:t>E</w:t>
      </w:r>
      <w:r w:rsidRPr="0021199F">
        <w:rPr>
          <w:rFonts w:ascii="Abadi" w:hAnsi="Abadi"/>
          <w:sz w:val="21"/>
          <w:szCs w:val="21"/>
        </w:rPr>
        <w:t xml:space="preserve">special </w:t>
      </w:r>
      <w:r>
        <w:rPr>
          <w:rFonts w:ascii="Abadi" w:hAnsi="Abadi"/>
          <w:sz w:val="21"/>
          <w:szCs w:val="21"/>
        </w:rPr>
        <w:t>L</w:t>
      </w:r>
      <w:r w:rsidRPr="0021199F">
        <w:rPr>
          <w:rFonts w:ascii="Abadi" w:hAnsi="Abadi"/>
          <w:sz w:val="21"/>
          <w:szCs w:val="21"/>
        </w:rPr>
        <w:t xml:space="preserve">egislativa y, por el otro, que la Unidad de Seguimiento y Análisis de Impacto Legislativo se encuentra agotando el objeto del punto de acuerdo, lo que la deja sin materia y aún más, que la ley aún se encuentra en </w:t>
      </w:r>
      <w:proofErr w:type="spellStart"/>
      <w:r>
        <w:rPr>
          <w:rFonts w:ascii="Abadi" w:hAnsi="Abadi"/>
          <w:sz w:val="21"/>
          <w:szCs w:val="21"/>
        </w:rPr>
        <w:t>vacatio</w:t>
      </w:r>
      <w:proofErr w:type="spellEnd"/>
      <w:r>
        <w:rPr>
          <w:rFonts w:ascii="Abadi" w:hAnsi="Abadi"/>
          <w:sz w:val="21"/>
          <w:szCs w:val="21"/>
        </w:rPr>
        <w:t xml:space="preserve"> </w:t>
      </w:r>
      <w:proofErr w:type="spellStart"/>
      <w:r>
        <w:rPr>
          <w:rFonts w:ascii="Abadi" w:hAnsi="Abadi"/>
          <w:sz w:val="21"/>
          <w:szCs w:val="21"/>
        </w:rPr>
        <w:t>legis</w:t>
      </w:r>
      <w:proofErr w:type="spellEnd"/>
      <w:r>
        <w:rPr>
          <w:rFonts w:ascii="Abadi" w:hAnsi="Abadi"/>
          <w:sz w:val="21"/>
          <w:szCs w:val="21"/>
        </w:rPr>
        <w:t>.</w:t>
      </w:r>
    </w:p>
    <w:p w14:paraId="665A1102" w14:textId="19CD6BCE" w:rsidR="00BC7A6F" w:rsidRDefault="00BC7A6F" w:rsidP="00C751AF">
      <w:pPr>
        <w:pStyle w:val="NormalWeb"/>
        <w:ind w:right="70" w:firstLine="708"/>
        <w:jc w:val="both"/>
        <w:rPr>
          <w:rFonts w:ascii="Abadi" w:hAnsi="Abadi"/>
          <w:sz w:val="21"/>
          <w:szCs w:val="21"/>
        </w:rPr>
      </w:pPr>
      <w:r>
        <w:rPr>
          <w:rFonts w:ascii="Abadi" w:hAnsi="Abadi"/>
          <w:b/>
          <w:bCs/>
          <w:sz w:val="21"/>
          <w:szCs w:val="21"/>
        </w:rPr>
        <w:t xml:space="preserve">- </w:t>
      </w:r>
      <w:r w:rsidRPr="00D002A8">
        <w:rPr>
          <w:rFonts w:ascii="Abadi" w:hAnsi="Abadi"/>
          <w:b/>
          <w:bCs/>
          <w:sz w:val="21"/>
          <w:szCs w:val="21"/>
        </w:rPr>
        <w:t xml:space="preserve">La </w:t>
      </w:r>
      <w:proofErr w:type="gramStart"/>
      <w:r w:rsidRPr="00D002A8">
        <w:rPr>
          <w:rFonts w:ascii="Abadi" w:hAnsi="Abadi"/>
          <w:b/>
          <w:bCs/>
          <w:sz w:val="21"/>
          <w:szCs w:val="21"/>
        </w:rPr>
        <w:t>Presidencia.-</w:t>
      </w:r>
      <w:proofErr w:type="gramEnd"/>
      <w:r>
        <w:rPr>
          <w:rFonts w:ascii="Abadi" w:hAnsi="Abadi"/>
          <w:sz w:val="21"/>
          <w:szCs w:val="21"/>
        </w:rPr>
        <w:t xml:space="preserve"> Muchas gracias diputada.</w:t>
      </w:r>
    </w:p>
    <w:p w14:paraId="284B7330" w14:textId="773B4A54" w:rsidR="00BC7A6F" w:rsidRDefault="00417BBC" w:rsidP="00C751AF">
      <w:pPr>
        <w:pStyle w:val="NormalWeb"/>
        <w:ind w:right="70" w:firstLine="708"/>
        <w:jc w:val="both"/>
        <w:rPr>
          <w:rFonts w:ascii="Abadi" w:hAnsi="Abadi"/>
          <w:sz w:val="21"/>
          <w:szCs w:val="21"/>
        </w:rPr>
      </w:pPr>
      <w:r>
        <w:rPr>
          <w:rFonts w:ascii="Abadi" w:hAnsi="Abadi"/>
          <w:sz w:val="21"/>
          <w:szCs w:val="21"/>
        </w:rPr>
        <w:t>- N</w:t>
      </w:r>
      <w:r w:rsidR="00BC7A6F" w:rsidRPr="0021199F">
        <w:rPr>
          <w:rFonts w:ascii="Abadi" w:hAnsi="Abadi"/>
          <w:sz w:val="21"/>
          <w:szCs w:val="21"/>
        </w:rPr>
        <w:t xml:space="preserve">o habiendo más participaciones </w:t>
      </w:r>
      <w:r w:rsidR="00A70205">
        <w:rPr>
          <w:rFonts w:ascii="Abadi" w:hAnsi="Abadi"/>
          <w:sz w:val="21"/>
          <w:szCs w:val="21"/>
        </w:rPr>
        <w:t>se instruye a la</w:t>
      </w:r>
      <w:r w:rsidR="00BC7A6F" w:rsidRPr="0021199F">
        <w:rPr>
          <w:rFonts w:ascii="Abadi" w:hAnsi="Abadi"/>
          <w:sz w:val="21"/>
          <w:szCs w:val="21"/>
        </w:rPr>
        <w:t xml:space="preserve"> </w:t>
      </w:r>
      <w:r w:rsidR="008700DB">
        <w:rPr>
          <w:rFonts w:ascii="Abadi" w:hAnsi="Abadi"/>
          <w:sz w:val="21"/>
          <w:szCs w:val="21"/>
        </w:rPr>
        <w:t>S</w:t>
      </w:r>
      <w:r w:rsidR="00BC7A6F" w:rsidRPr="0021199F">
        <w:rPr>
          <w:rFonts w:ascii="Abadi" w:hAnsi="Abadi"/>
          <w:sz w:val="21"/>
          <w:szCs w:val="21"/>
        </w:rPr>
        <w:t>ecretar</w:t>
      </w:r>
      <w:r w:rsidR="008700DB">
        <w:rPr>
          <w:rFonts w:ascii="Abadi" w:hAnsi="Abadi"/>
          <w:sz w:val="21"/>
          <w:szCs w:val="21"/>
        </w:rPr>
        <w:t>i</w:t>
      </w:r>
      <w:r w:rsidR="00BC7A6F" w:rsidRPr="0021199F">
        <w:rPr>
          <w:rFonts w:ascii="Abadi" w:hAnsi="Abadi"/>
          <w:sz w:val="21"/>
          <w:szCs w:val="21"/>
        </w:rPr>
        <w:t>a para que en votación nominal a través del sistema electrónico, pregunte a la</w:t>
      </w:r>
      <w:r w:rsidR="00BC7A6F">
        <w:rPr>
          <w:rFonts w:ascii="Abadi" w:hAnsi="Abadi"/>
          <w:sz w:val="21"/>
          <w:szCs w:val="21"/>
        </w:rPr>
        <w:t xml:space="preserve"> Asamblea si es de aprobarse o no la </w:t>
      </w:r>
      <w:r w:rsidR="00BC7A6F" w:rsidRPr="0021199F">
        <w:rPr>
          <w:rFonts w:ascii="Abadi" w:hAnsi="Abadi"/>
          <w:sz w:val="21"/>
          <w:szCs w:val="21"/>
        </w:rPr>
        <w:t xml:space="preserve">aprobación </w:t>
      </w:r>
      <w:r w:rsidR="00BC7A6F">
        <w:rPr>
          <w:rFonts w:ascii="Abadi" w:hAnsi="Abadi"/>
          <w:sz w:val="21"/>
          <w:szCs w:val="21"/>
        </w:rPr>
        <w:t xml:space="preserve">del </w:t>
      </w:r>
      <w:r w:rsidR="00BC7A6F" w:rsidRPr="0021199F">
        <w:rPr>
          <w:rFonts w:ascii="Abadi" w:hAnsi="Abadi"/>
          <w:sz w:val="21"/>
          <w:szCs w:val="21"/>
        </w:rPr>
        <w:t>punto de acuerdo.</w:t>
      </w:r>
    </w:p>
    <w:p w14:paraId="718EBCC5" w14:textId="77777777" w:rsidR="00BC7A6F" w:rsidRPr="00593C31" w:rsidRDefault="00BC7A6F" w:rsidP="00C751AF">
      <w:pPr>
        <w:pStyle w:val="NormalWeb"/>
        <w:ind w:right="70"/>
        <w:jc w:val="center"/>
        <w:rPr>
          <w:rFonts w:ascii="Abadi" w:hAnsi="Abadi"/>
          <w:b/>
          <w:bCs/>
          <w:sz w:val="21"/>
          <w:szCs w:val="21"/>
        </w:rPr>
      </w:pPr>
      <w:r w:rsidRPr="00593C31">
        <w:rPr>
          <w:rFonts w:ascii="Abadi" w:hAnsi="Abadi"/>
          <w:b/>
          <w:bCs/>
          <w:sz w:val="21"/>
          <w:szCs w:val="21"/>
        </w:rPr>
        <w:t>(Se abre el sistema electrónico)</w:t>
      </w:r>
    </w:p>
    <w:p w14:paraId="0BECC496" w14:textId="77777777" w:rsidR="00BC7A6F" w:rsidRDefault="00BC7A6F" w:rsidP="00C751AF">
      <w:pPr>
        <w:pStyle w:val="NormalWeb"/>
        <w:ind w:right="70" w:firstLine="708"/>
        <w:jc w:val="both"/>
        <w:rPr>
          <w:rFonts w:ascii="Abadi" w:hAnsi="Abadi"/>
          <w:sz w:val="21"/>
          <w:szCs w:val="21"/>
        </w:rPr>
      </w:pPr>
      <w:r>
        <w:rPr>
          <w:rFonts w:ascii="Abadi" w:hAnsi="Abadi"/>
          <w:b/>
          <w:bCs/>
          <w:sz w:val="21"/>
          <w:szCs w:val="21"/>
        </w:rPr>
        <w:t xml:space="preserve">- </w:t>
      </w:r>
      <w:r w:rsidRPr="00593C31">
        <w:rPr>
          <w:rFonts w:ascii="Abadi" w:hAnsi="Abadi"/>
          <w:b/>
          <w:bCs/>
          <w:sz w:val="21"/>
          <w:szCs w:val="21"/>
        </w:rPr>
        <w:t xml:space="preserve">La </w:t>
      </w:r>
      <w:proofErr w:type="gramStart"/>
      <w:r w:rsidRPr="00593C31">
        <w:rPr>
          <w:rFonts w:ascii="Abadi" w:hAnsi="Abadi"/>
          <w:b/>
          <w:bCs/>
          <w:sz w:val="21"/>
          <w:szCs w:val="21"/>
        </w:rPr>
        <w:t>Secretaria.-</w:t>
      </w:r>
      <w:proofErr w:type="gramEnd"/>
      <w:r>
        <w:rPr>
          <w:rFonts w:ascii="Abadi" w:hAnsi="Abadi"/>
          <w:sz w:val="21"/>
          <w:szCs w:val="21"/>
        </w:rPr>
        <w:t xml:space="preserve"> En </w:t>
      </w:r>
      <w:r w:rsidRPr="0021199F">
        <w:rPr>
          <w:rFonts w:ascii="Abadi" w:hAnsi="Abadi"/>
          <w:sz w:val="21"/>
          <w:szCs w:val="21"/>
        </w:rPr>
        <w:t xml:space="preserve"> votación nominal por el sistema electrónico</w:t>
      </w:r>
      <w:r>
        <w:rPr>
          <w:rFonts w:ascii="Abadi" w:hAnsi="Abadi"/>
          <w:sz w:val="21"/>
          <w:szCs w:val="21"/>
        </w:rPr>
        <w:t xml:space="preserve">, se </w:t>
      </w:r>
      <w:r w:rsidRPr="0021199F">
        <w:rPr>
          <w:rFonts w:ascii="Abadi" w:hAnsi="Abadi"/>
          <w:sz w:val="21"/>
          <w:szCs w:val="21"/>
        </w:rPr>
        <w:t>pregunta a las diputada</w:t>
      </w:r>
      <w:r>
        <w:rPr>
          <w:rFonts w:ascii="Abadi" w:hAnsi="Abadi"/>
          <w:sz w:val="21"/>
          <w:szCs w:val="21"/>
        </w:rPr>
        <w:t xml:space="preserve">s y los </w:t>
      </w:r>
      <w:r w:rsidRPr="0021199F">
        <w:rPr>
          <w:rFonts w:ascii="Abadi" w:hAnsi="Abadi"/>
          <w:sz w:val="21"/>
          <w:szCs w:val="21"/>
        </w:rPr>
        <w:t xml:space="preserve">diputados, si se aprueba el punto de acuerdo puesto a su consideración. </w:t>
      </w:r>
    </w:p>
    <w:p w14:paraId="153E5B14" w14:textId="716F3746" w:rsidR="00BC7A6F" w:rsidRDefault="003F3316" w:rsidP="00C751AF">
      <w:pPr>
        <w:pStyle w:val="NormalWeb"/>
        <w:ind w:right="70"/>
        <w:jc w:val="both"/>
        <w:rPr>
          <w:rFonts w:ascii="Abadi" w:hAnsi="Abadi"/>
          <w:sz w:val="21"/>
          <w:szCs w:val="21"/>
        </w:rPr>
      </w:pPr>
      <w:r>
        <w:rPr>
          <w:rFonts w:ascii="Abadi" w:hAnsi="Abadi"/>
          <w:sz w:val="21"/>
          <w:szCs w:val="21"/>
        </w:rPr>
        <w:t xml:space="preserve">- </w:t>
      </w:r>
      <w:r w:rsidR="00BC7A6F">
        <w:rPr>
          <w:rFonts w:ascii="Abadi" w:hAnsi="Abadi"/>
          <w:sz w:val="21"/>
          <w:szCs w:val="21"/>
        </w:rPr>
        <w:t>(voz) diputada Presidenta, ¿diputada Yulma, para que efecto? (Voz) diputada Yulma, p</w:t>
      </w:r>
      <w:r w:rsidR="00BC7A6F" w:rsidRPr="0021199F">
        <w:rPr>
          <w:rFonts w:ascii="Abadi" w:hAnsi="Abadi"/>
          <w:sz w:val="21"/>
          <w:szCs w:val="21"/>
        </w:rPr>
        <w:t xml:space="preserve">ara </w:t>
      </w:r>
      <w:r w:rsidR="00BC7A6F">
        <w:rPr>
          <w:rFonts w:ascii="Abadi" w:hAnsi="Abadi"/>
          <w:sz w:val="21"/>
          <w:szCs w:val="21"/>
        </w:rPr>
        <w:t xml:space="preserve">razonar </w:t>
      </w:r>
      <w:r w:rsidR="00BC7A6F" w:rsidRPr="0021199F">
        <w:rPr>
          <w:rFonts w:ascii="Abadi" w:hAnsi="Abadi"/>
          <w:sz w:val="21"/>
          <w:szCs w:val="21"/>
        </w:rPr>
        <w:t>mi voto</w:t>
      </w:r>
      <w:r w:rsidR="00BC7A6F">
        <w:rPr>
          <w:rFonts w:ascii="Abadi" w:hAnsi="Abadi"/>
          <w:sz w:val="21"/>
          <w:szCs w:val="21"/>
        </w:rPr>
        <w:t xml:space="preserve"> (Voz) diputada Presidenta, adelante diputada.</w:t>
      </w:r>
    </w:p>
    <w:p w14:paraId="52A8636D" w14:textId="77777777" w:rsidR="00E01FBB" w:rsidRDefault="00E01FBB" w:rsidP="00C751AF">
      <w:pPr>
        <w:pStyle w:val="NormalWeb"/>
        <w:ind w:right="70"/>
        <w:jc w:val="both"/>
        <w:rPr>
          <w:rFonts w:ascii="Abadi" w:hAnsi="Abadi"/>
          <w:sz w:val="21"/>
          <w:szCs w:val="21"/>
        </w:rPr>
      </w:pPr>
    </w:p>
    <w:p w14:paraId="1438C4AB" w14:textId="77777777" w:rsidR="00BC7A6F" w:rsidRDefault="00BC7A6F" w:rsidP="00C751AF">
      <w:pPr>
        <w:pStyle w:val="NormalWeb"/>
        <w:ind w:right="70"/>
        <w:jc w:val="both"/>
        <w:rPr>
          <w:rFonts w:ascii="Abadi" w:hAnsi="Abadi"/>
          <w:b/>
          <w:bCs/>
          <w:sz w:val="21"/>
          <w:szCs w:val="21"/>
        </w:rPr>
      </w:pPr>
      <w:r w:rsidRPr="007F6E65">
        <w:rPr>
          <w:rFonts w:ascii="Abadi" w:hAnsi="Abadi"/>
          <w:b/>
          <w:bCs/>
          <w:sz w:val="21"/>
          <w:szCs w:val="21"/>
        </w:rPr>
        <w:t>(Hace uso de la voz la diputada Yulma, para razonar su voto)</w:t>
      </w:r>
    </w:p>
    <w:p w14:paraId="2CEA12CA" w14:textId="52B37E81" w:rsidR="00BC7A6F" w:rsidRDefault="00BC7A6F" w:rsidP="002702E7">
      <w:pPr>
        <w:pStyle w:val="NormalWeb"/>
        <w:ind w:right="70"/>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Gracias, presidenta, </w:t>
      </w:r>
      <w:r>
        <w:rPr>
          <w:rFonts w:ascii="Abadi" w:hAnsi="Abadi"/>
          <w:sz w:val="21"/>
          <w:szCs w:val="21"/>
        </w:rPr>
        <w:t>¡</w:t>
      </w:r>
      <w:r w:rsidRPr="0021199F">
        <w:rPr>
          <w:rFonts w:ascii="Abadi" w:hAnsi="Abadi"/>
          <w:sz w:val="21"/>
          <w:szCs w:val="21"/>
        </w:rPr>
        <w:t>eh</w:t>
      </w:r>
      <w:r>
        <w:rPr>
          <w:rFonts w:ascii="Abadi" w:hAnsi="Abadi"/>
          <w:sz w:val="21"/>
          <w:szCs w:val="21"/>
        </w:rPr>
        <w:t>!</w:t>
      </w:r>
      <w:r w:rsidRPr="0021199F">
        <w:rPr>
          <w:rFonts w:ascii="Abadi" w:hAnsi="Abadi"/>
          <w:sz w:val="21"/>
          <w:szCs w:val="21"/>
        </w:rPr>
        <w:t xml:space="preserve"> En los expositores que hablaron en contra de este punto de acuerdo, no se expresó de que no estuvieran de acuerdo con el contenido, sino la manera en </w:t>
      </w:r>
      <w:r w:rsidR="00C751AF" w:rsidRPr="0021199F">
        <w:rPr>
          <w:rFonts w:ascii="Abadi" w:hAnsi="Abadi"/>
          <w:sz w:val="21"/>
          <w:szCs w:val="21"/>
        </w:rPr>
        <w:t>cómo</w:t>
      </w:r>
      <w:r w:rsidRPr="0021199F">
        <w:rPr>
          <w:rFonts w:ascii="Abadi" w:hAnsi="Abadi"/>
          <w:sz w:val="21"/>
          <w:szCs w:val="21"/>
        </w:rPr>
        <w:t xml:space="preserve"> se planteó</w:t>
      </w:r>
      <w:r>
        <w:rPr>
          <w:rFonts w:ascii="Abadi" w:hAnsi="Abadi"/>
          <w:sz w:val="21"/>
          <w:szCs w:val="21"/>
        </w:rPr>
        <w:t>, e</w:t>
      </w:r>
      <w:r w:rsidRPr="0021199F">
        <w:rPr>
          <w:rFonts w:ascii="Abadi" w:hAnsi="Abadi"/>
          <w:sz w:val="21"/>
          <w:szCs w:val="21"/>
        </w:rPr>
        <w:t xml:space="preserve">s decir, no era </w:t>
      </w:r>
      <w:r>
        <w:rPr>
          <w:rFonts w:ascii="Abadi" w:hAnsi="Abadi"/>
          <w:sz w:val="21"/>
          <w:szCs w:val="21"/>
        </w:rPr>
        <w:t xml:space="preserve">el </w:t>
      </w:r>
      <w:r w:rsidRPr="0021199F">
        <w:rPr>
          <w:rFonts w:ascii="Abadi" w:hAnsi="Abadi"/>
          <w:sz w:val="21"/>
          <w:szCs w:val="21"/>
        </w:rPr>
        <w:t>conducto adecuado porque, sin embargo, el contenido realmente es loable y es muy importante</w:t>
      </w:r>
      <w:r>
        <w:rPr>
          <w:rFonts w:ascii="Abadi" w:hAnsi="Abadi"/>
          <w:sz w:val="21"/>
          <w:szCs w:val="21"/>
        </w:rPr>
        <w:t>, e</w:t>
      </w:r>
      <w:r w:rsidRPr="0021199F">
        <w:rPr>
          <w:rFonts w:ascii="Abadi" w:hAnsi="Abadi"/>
          <w:sz w:val="21"/>
          <w:szCs w:val="21"/>
        </w:rPr>
        <w:t>l tema de la justicia cotidiana</w:t>
      </w:r>
      <w:r>
        <w:rPr>
          <w:rFonts w:ascii="Abadi" w:hAnsi="Abadi"/>
          <w:sz w:val="21"/>
          <w:szCs w:val="21"/>
        </w:rPr>
        <w:t>.</w:t>
      </w:r>
    </w:p>
    <w:p w14:paraId="2ADFAC38" w14:textId="77777777" w:rsidR="00BC7A6F" w:rsidRDefault="00BC7A6F" w:rsidP="002702E7">
      <w:pPr>
        <w:pStyle w:val="NormalWeb"/>
        <w:ind w:right="70"/>
        <w:jc w:val="both"/>
        <w:rPr>
          <w:rFonts w:ascii="Abadi" w:hAnsi="Abadi"/>
          <w:sz w:val="21"/>
          <w:szCs w:val="21"/>
        </w:rPr>
      </w:pPr>
      <w:r>
        <w:rPr>
          <w:rFonts w:ascii="Abadi" w:hAnsi="Abadi"/>
          <w:sz w:val="21"/>
          <w:szCs w:val="21"/>
        </w:rPr>
        <w:t>- F</w:t>
      </w:r>
      <w:r w:rsidRPr="0021199F">
        <w:rPr>
          <w:rFonts w:ascii="Abadi" w:hAnsi="Abadi"/>
          <w:sz w:val="21"/>
          <w:szCs w:val="21"/>
        </w:rPr>
        <w:t xml:space="preserve">ue en el </w:t>
      </w:r>
      <w:r>
        <w:rPr>
          <w:rFonts w:ascii="Abadi" w:hAnsi="Abadi"/>
          <w:sz w:val="21"/>
          <w:szCs w:val="21"/>
        </w:rPr>
        <w:t>2014</w:t>
      </w:r>
      <w:r w:rsidRPr="0021199F">
        <w:rPr>
          <w:rFonts w:ascii="Abadi" w:hAnsi="Abadi"/>
          <w:sz w:val="21"/>
          <w:szCs w:val="21"/>
        </w:rPr>
        <w:t xml:space="preserve"> con el </w:t>
      </w:r>
      <w:r>
        <w:rPr>
          <w:rFonts w:ascii="Abadi" w:hAnsi="Abadi"/>
          <w:sz w:val="21"/>
          <w:szCs w:val="21"/>
        </w:rPr>
        <w:t>P</w:t>
      </w:r>
      <w:r w:rsidRPr="0021199F">
        <w:rPr>
          <w:rFonts w:ascii="Abadi" w:hAnsi="Abadi"/>
          <w:sz w:val="21"/>
          <w:szCs w:val="21"/>
        </w:rPr>
        <w:t>residente Enrique Peña Nieto, cuando presenta el Decálogo por la Justicia, Seguridad y el Estado de Derecho. Y entre uno de los elementos de este decálogo está precisamente la justicia cívica como un mecanismo para resolver los conflictos cotidianos producto de la convivencia. Incluso se desarrollaron los diálogos por la justicia cotidiana.</w:t>
      </w:r>
    </w:p>
    <w:p w14:paraId="61DEBC34" w14:textId="6727F0EA" w:rsidR="00BC7A6F" w:rsidRDefault="00BC7A6F" w:rsidP="005D170B">
      <w:pPr>
        <w:pStyle w:val="NormalWeb"/>
        <w:ind w:right="70"/>
        <w:jc w:val="both"/>
        <w:rPr>
          <w:rFonts w:ascii="Abadi" w:hAnsi="Abadi"/>
          <w:sz w:val="21"/>
          <w:szCs w:val="21"/>
        </w:rPr>
      </w:pPr>
      <w:r>
        <w:rPr>
          <w:rFonts w:ascii="Abadi" w:hAnsi="Abadi"/>
          <w:sz w:val="21"/>
          <w:szCs w:val="21"/>
        </w:rPr>
        <w:t>-</w:t>
      </w:r>
      <w:r w:rsidRPr="0021199F">
        <w:rPr>
          <w:rFonts w:ascii="Abadi" w:hAnsi="Abadi"/>
          <w:sz w:val="21"/>
          <w:szCs w:val="21"/>
        </w:rPr>
        <w:t xml:space="preserve"> Entonces a mí me parece que es un tema fundamental. Es importante </w:t>
      </w:r>
      <w:r>
        <w:rPr>
          <w:rFonts w:ascii="Abadi" w:hAnsi="Abadi"/>
          <w:sz w:val="21"/>
          <w:szCs w:val="21"/>
        </w:rPr>
        <w:t>lástima</w:t>
      </w:r>
      <w:r w:rsidRPr="0021199F">
        <w:rPr>
          <w:rFonts w:ascii="Abadi" w:hAnsi="Abadi"/>
          <w:sz w:val="21"/>
          <w:szCs w:val="21"/>
        </w:rPr>
        <w:t xml:space="preserve"> que no </w:t>
      </w:r>
      <w:r w:rsidR="000E3FBD" w:rsidRPr="0021199F">
        <w:rPr>
          <w:rFonts w:ascii="Abadi" w:hAnsi="Abadi"/>
          <w:sz w:val="21"/>
          <w:szCs w:val="21"/>
        </w:rPr>
        <w:t>vaya</w:t>
      </w:r>
      <w:r w:rsidRPr="0021199F">
        <w:rPr>
          <w:rFonts w:ascii="Abadi" w:hAnsi="Abadi"/>
          <w:sz w:val="21"/>
          <w:szCs w:val="21"/>
        </w:rPr>
        <w:t xml:space="preserve"> a encontrar el cobijo de todos por el simple hecho de no haberlo planteado de la mejor manera cuando hay posibilidad de hacerse a través de modificaciones al punto de acuerdo planteado entonces. </w:t>
      </w:r>
    </w:p>
    <w:p w14:paraId="38E70B41" w14:textId="77777777" w:rsidR="00BC7A6F" w:rsidRDefault="00BC7A6F" w:rsidP="005D170B">
      <w:pPr>
        <w:pStyle w:val="NormalWeb"/>
        <w:ind w:right="70"/>
        <w:jc w:val="both"/>
        <w:rPr>
          <w:rFonts w:ascii="Abadi" w:hAnsi="Abadi"/>
          <w:sz w:val="21"/>
          <w:szCs w:val="21"/>
        </w:rPr>
      </w:pPr>
      <w:r>
        <w:rPr>
          <w:rFonts w:ascii="Abadi" w:hAnsi="Abadi"/>
          <w:sz w:val="21"/>
          <w:szCs w:val="21"/>
        </w:rPr>
        <w:t xml:space="preserve">- </w:t>
      </w:r>
      <w:r w:rsidRPr="0021199F">
        <w:rPr>
          <w:rFonts w:ascii="Abadi" w:hAnsi="Abadi"/>
          <w:sz w:val="21"/>
          <w:szCs w:val="21"/>
        </w:rPr>
        <w:t>Por eso mi voto va a ser a favor del punto</w:t>
      </w:r>
      <w:r>
        <w:rPr>
          <w:rFonts w:ascii="Abadi" w:hAnsi="Abadi"/>
          <w:sz w:val="21"/>
          <w:szCs w:val="21"/>
        </w:rPr>
        <w:t xml:space="preserve"> de </w:t>
      </w:r>
      <w:r w:rsidRPr="0021199F">
        <w:rPr>
          <w:rFonts w:ascii="Abadi" w:hAnsi="Abadi"/>
          <w:sz w:val="21"/>
          <w:szCs w:val="21"/>
        </w:rPr>
        <w:t xml:space="preserve">acuerdo. </w:t>
      </w:r>
    </w:p>
    <w:p w14:paraId="12A799D4" w14:textId="77777777" w:rsidR="00BC7A6F" w:rsidRDefault="00BC7A6F" w:rsidP="005D170B">
      <w:pPr>
        <w:pStyle w:val="NormalWeb"/>
        <w:ind w:right="70" w:firstLine="708"/>
        <w:jc w:val="both"/>
        <w:rPr>
          <w:rFonts w:ascii="Abadi" w:hAnsi="Abadi"/>
          <w:sz w:val="21"/>
          <w:szCs w:val="21"/>
        </w:rPr>
      </w:pPr>
      <w:r>
        <w:rPr>
          <w:rFonts w:ascii="Abadi" w:hAnsi="Abadi"/>
          <w:b/>
          <w:bCs/>
          <w:sz w:val="21"/>
          <w:szCs w:val="21"/>
        </w:rPr>
        <w:t xml:space="preserve">- </w:t>
      </w:r>
      <w:r w:rsidRPr="00787E80">
        <w:rPr>
          <w:rFonts w:ascii="Abadi" w:hAnsi="Abadi"/>
          <w:b/>
          <w:bCs/>
          <w:sz w:val="21"/>
          <w:szCs w:val="21"/>
        </w:rPr>
        <w:t xml:space="preserve">La </w:t>
      </w:r>
      <w:proofErr w:type="gramStart"/>
      <w:r w:rsidRPr="00787E80">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Gracias</w:t>
      </w:r>
      <w:r>
        <w:rPr>
          <w:rFonts w:ascii="Abadi" w:hAnsi="Abadi"/>
          <w:sz w:val="21"/>
          <w:szCs w:val="21"/>
        </w:rPr>
        <w:t>, d</w:t>
      </w:r>
      <w:r w:rsidRPr="0021199F">
        <w:rPr>
          <w:rFonts w:ascii="Abadi" w:hAnsi="Abadi"/>
          <w:sz w:val="21"/>
          <w:szCs w:val="21"/>
        </w:rPr>
        <w:t>iputada</w:t>
      </w:r>
      <w:r>
        <w:rPr>
          <w:rFonts w:ascii="Abadi" w:hAnsi="Abadi"/>
          <w:sz w:val="21"/>
          <w:szCs w:val="21"/>
        </w:rPr>
        <w:t>.</w:t>
      </w:r>
      <w:r w:rsidRPr="0021199F">
        <w:rPr>
          <w:rFonts w:ascii="Abadi" w:hAnsi="Abadi"/>
          <w:sz w:val="21"/>
          <w:szCs w:val="21"/>
        </w:rPr>
        <w:t xml:space="preserve"> </w:t>
      </w:r>
    </w:p>
    <w:p w14:paraId="42C50BFE" w14:textId="2774ECA0" w:rsidR="00BC7A6F" w:rsidRDefault="00BC7A6F" w:rsidP="005D170B">
      <w:pPr>
        <w:pStyle w:val="NormalWeb"/>
        <w:ind w:right="70" w:firstLine="708"/>
        <w:jc w:val="both"/>
        <w:rPr>
          <w:rFonts w:ascii="Abadi" w:hAnsi="Abadi"/>
          <w:sz w:val="21"/>
          <w:szCs w:val="21"/>
        </w:rPr>
      </w:pPr>
      <w:r>
        <w:rPr>
          <w:rFonts w:ascii="Abadi" w:hAnsi="Abadi"/>
          <w:b/>
          <w:bCs/>
          <w:sz w:val="21"/>
          <w:szCs w:val="21"/>
        </w:rPr>
        <w:t xml:space="preserve">- </w:t>
      </w:r>
      <w:r w:rsidRPr="008422E9">
        <w:rPr>
          <w:rFonts w:ascii="Abadi" w:hAnsi="Abadi"/>
          <w:b/>
          <w:bCs/>
          <w:sz w:val="21"/>
          <w:szCs w:val="21"/>
        </w:rPr>
        <w:t xml:space="preserve">La </w:t>
      </w:r>
      <w:proofErr w:type="gramStart"/>
      <w:r w:rsidRPr="008422E9">
        <w:rPr>
          <w:rFonts w:ascii="Abadi" w:hAnsi="Abadi"/>
          <w:b/>
          <w:bCs/>
          <w:sz w:val="21"/>
          <w:szCs w:val="21"/>
        </w:rPr>
        <w:t>Secretar</w:t>
      </w:r>
      <w:r w:rsidR="000E3FBD">
        <w:rPr>
          <w:rFonts w:ascii="Abadi" w:hAnsi="Abadi"/>
          <w:b/>
          <w:bCs/>
          <w:sz w:val="21"/>
          <w:szCs w:val="21"/>
        </w:rPr>
        <w:t>i</w:t>
      </w:r>
      <w:r w:rsidRPr="008422E9">
        <w:rPr>
          <w:rFonts w:ascii="Abadi" w:hAnsi="Abadi"/>
          <w:b/>
          <w:bCs/>
          <w:sz w:val="21"/>
          <w:szCs w:val="21"/>
        </w:rPr>
        <w:t>a.</w:t>
      </w:r>
      <w:r>
        <w:rPr>
          <w:rFonts w:ascii="Abadi" w:hAnsi="Abadi"/>
          <w:sz w:val="21"/>
          <w:szCs w:val="21"/>
        </w:rPr>
        <w:t>-</w:t>
      </w:r>
      <w:proofErr w:type="gramEnd"/>
      <w:r>
        <w:rPr>
          <w:rFonts w:ascii="Abadi" w:hAnsi="Abadi"/>
          <w:sz w:val="21"/>
          <w:szCs w:val="21"/>
        </w:rPr>
        <w:t xml:space="preserve"> ¿Diputado Ernesto Millán? </w:t>
      </w:r>
      <w:r w:rsidRPr="0021199F">
        <w:rPr>
          <w:rFonts w:ascii="Abadi" w:hAnsi="Abadi"/>
          <w:sz w:val="21"/>
          <w:szCs w:val="21"/>
        </w:rPr>
        <w:t>Gracias</w:t>
      </w:r>
      <w:r>
        <w:rPr>
          <w:rFonts w:ascii="Abadi" w:hAnsi="Abadi"/>
          <w:sz w:val="21"/>
          <w:szCs w:val="21"/>
        </w:rPr>
        <w:t xml:space="preserve"> d</w:t>
      </w:r>
      <w:r w:rsidRPr="0021199F">
        <w:rPr>
          <w:rFonts w:ascii="Abadi" w:hAnsi="Abadi"/>
          <w:sz w:val="21"/>
          <w:szCs w:val="21"/>
        </w:rPr>
        <w:t>iputado</w:t>
      </w:r>
      <w:r>
        <w:rPr>
          <w:rFonts w:ascii="Abadi" w:hAnsi="Abadi"/>
          <w:sz w:val="21"/>
          <w:szCs w:val="21"/>
        </w:rPr>
        <w:t>, ¿diputada Melanie Murillo?</w:t>
      </w:r>
      <w:r w:rsidRPr="0021199F">
        <w:rPr>
          <w:rFonts w:ascii="Abadi" w:hAnsi="Abadi"/>
          <w:sz w:val="21"/>
          <w:szCs w:val="21"/>
        </w:rPr>
        <w:t xml:space="preserve"> Gracias. Diputada, </w:t>
      </w:r>
      <w:r>
        <w:rPr>
          <w:rFonts w:ascii="Abadi" w:hAnsi="Abadi"/>
          <w:sz w:val="21"/>
          <w:szCs w:val="21"/>
        </w:rPr>
        <w:t>¿D</w:t>
      </w:r>
      <w:r w:rsidRPr="0021199F">
        <w:rPr>
          <w:rFonts w:ascii="Abadi" w:hAnsi="Abadi"/>
          <w:sz w:val="21"/>
          <w:szCs w:val="21"/>
        </w:rPr>
        <w:t>iputado José Alfonso Borja</w:t>
      </w:r>
      <w:r>
        <w:rPr>
          <w:rFonts w:ascii="Abadi" w:hAnsi="Abadi"/>
          <w:sz w:val="21"/>
          <w:szCs w:val="21"/>
        </w:rPr>
        <w:t xml:space="preserve"> ¿</w:t>
      </w:r>
      <w:r w:rsidRPr="0021199F">
        <w:rPr>
          <w:rFonts w:ascii="Abadi" w:hAnsi="Abadi"/>
          <w:sz w:val="21"/>
          <w:szCs w:val="21"/>
        </w:rPr>
        <w:t>Diputada Martha Lourdes Ortega</w:t>
      </w:r>
      <w:r>
        <w:rPr>
          <w:rFonts w:ascii="Abadi" w:hAnsi="Abadi"/>
          <w:sz w:val="21"/>
          <w:szCs w:val="21"/>
        </w:rPr>
        <w:t>?</w:t>
      </w:r>
    </w:p>
    <w:p w14:paraId="1C69EF09" w14:textId="77777777" w:rsidR="00BC7A6F" w:rsidRDefault="00BC7A6F" w:rsidP="00BC7A6F">
      <w:pPr>
        <w:pStyle w:val="NormalWeb"/>
        <w:ind w:right="333"/>
        <w:jc w:val="both"/>
        <w:rPr>
          <w:rFonts w:ascii="Abadi" w:hAnsi="Abadi"/>
          <w:sz w:val="21"/>
          <w:szCs w:val="21"/>
        </w:rPr>
      </w:pPr>
      <w:r>
        <w:rPr>
          <w:rFonts w:ascii="Abadi" w:hAnsi="Abadi"/>
          <w:sz w:val="21"/>
          <w:szCs w:val="21"/>
        </w:rPr>
        <w:t>¿</w:t>
      </w:r>
      <w:r w:rsidRPr="0021199F">
        <w:rPr>
          <w:rFonts w:ascii="Abadi" w:hAnsi="Abadi"/>
          <w:sz w:val="21"/>
          <w:szCs w:val="21"/>
        </w:rPr>
        <w:t>Falta alguna diputad</w:t>
      </w:r>
      <w:r>
        <w:rPr>
          <w:rFonts w:ascii="Abadi" w:hAnsi="Abadi"/>
          <w:sz w:val="21"/>
          <w:szCs w:val="21"/>
        </w:rPr>
        <w:t>a</w:t>
      </w:r>
      <w:r w:rsidRPr="0021199F">
        <w:rPr>
          <w:rFonts w:ascii="Abadi" w:hAnsi="Abadi"/>
          <w:sz w:val="21"/>
          <w:szCs w:val="21"/>
        </w:rPr>
        <w:t xml:space="preserve">, algún diputado de emitir su voto? </w:t>
      </w:r>
    </w:p>
    <w:p w14:paraId="2703E4FE" w14:textId="77777777" w:rsidR="00BC7A6F" w:rsidRDefault="00BC7A6F" w:rsidP="00BE7982">
      <w:pPr>
        <w:pStyle w:val="NormalWeb"/>
        <w:ind w:right="333"/>
        <w:jc w:val="center"/>
        <w:rPr>
          <w:rFonts w:ascii="Abadi" w:hAnsi="Abadi"/>
          <w:b/>
          <w:bCs/>
          <w:sz w:val="21"/>
          <w:szCs w:val="21"/>
        </w:rPr>
      </w:pPr>
      <w:r w:rsidRPr="001F6518">
        <w:rPr>
          <w:rFonts w:ascii="Abadi" w:hAnsi="Abadi"/>
          <w:b/>
          <w:bCs/>
          <w:sz w:val="21"/>
          <w:szCs w:val="21"/>
        </w:rPr>
        <w:t>(Se cierra el sistema electrónico)</w:t>
      </w:r>
    </w:p>
    <w:p w14:paraId="5B74AB01" w14:textId="77777777" w:rsidR="00BC7A6F" w:rsidRDefault="00BC7A6F" w:rsidP="00BC7A6F">
      <w:pPr>
        <w:pStyle w:val="NormalWeb"/>
        <w:ind w:right="333"/>
        <w:jc w:val="both"/>
        <w:rPr>
          <w:rFonts w:ascii="Abadi" w:hAnsi="Abadi"/>
          <w:b/>
          <w:bCs/>
          <w:sz w:val="21"/>
          <w:szCs w:val="21"/>
        </w:rPr>
      </w:pPr>
    </w:p>
    <w:p w14:paraId="25D13130" w14:textId="77777777" w:rsidR="00BC7A6F" w:rsidRPr="001F6518" w:rsidRDefault="00BC7A6F" w:rsidP="00BC7A6F">
      <w:pPr>
        <w:pStyle w:val="NormalWeb"/>
        <w:ind w:right="333"/>
        <w:jc w:val="both"/>
        <w:rPr>
          <w:rFonts w:ascii="Abadi" w:hAnsi="Abadi"/>
          <w:b/>
          <w:bCs/>
          <w:sz w:val="21"/>
          <w:szCs w:val="21"/>
        </w:rPr>
      </w:pPr>
      <w:r>
        <w:rPr>
          <w:noProof/>
        </w:rPr>
        <w:drawing>
          <wp:anchor distT="0" distB="0" distL="114300" distR="114300" simplePos="0" relativeHeight="251658259" behindDoc="1" locked="0" layoutInCell="1" allowOverlap="1" wp14:anchorId="6793DF8E" wp14:editId="30DA11B1">
            <wp:simplePos x="0" y="0"/>
            <wp:positionH relativeFrom="column">
              <wp:posOffset>270510</wp:posOffset>
            </wp:positionH>
            <wp:positionV relativeFrom="paragraph">
              <wp:posOffset>152581</wp:posOffset>
            </wp:positionV>
            <wp:extent cx="2059577" cy="1108849"/>
            <wp:effectExtent l="152400" t="152400" r="360045" b="358140"/>
            <wp:wrapTight wrapText="bothSides">
              <wp:wrapPolygon edited="0">
                <wp:start x="799" y="-2969"/>
                <wp:lineTo x="-1599" y="-2227"/>
                <wp:lineTo x="-1599" y="23010"/>
                <wp:lineTo x="1998" y="27464"/>
                <wp:lineTo x="1998" y="28206"/>
                <wp:lineTo x="21580" y="28206"/>
                <wp:lineTo x="21780" y="27464"/>
                <wp:lineTo x="24977" y="21897"/>
                <wp:lineTo x="25177" y="3711"/>
                <wp:lineTo x="22779" y="-1856"/>
                <wp:lineTo x="22579" y="-2969"/>
                <wp:lineTo x="799" y="-2969"/>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b="4241"/>
                    <a:stretch/>
                  </pic:blipFill>
                  <pic:spPr bwMode="auto">
                    <a:xfrm>
                      <a:off x="0" y="0"/>
                      <a:ext cx="2059577" cy="11088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6558C086" w14:textId="77777777" w:rsidR="00BC7A6F" w:rsidRDefault="00BC7A6F" w:rsidP="00A86A0E">
      <w:pPr>
        <w:pStyle w:val="NormalWeb"/>
        <w:ind w:right="70" w:firstLine="708"/>
        <w:jc w:val="both"/>
        <w:rPr>
          <w:rFonts w:ascii="Abadi" w:hAnsi="Abadi"/>
          <w:sz w:val="21"/>
          <w:szCs w:val="21"/>
        </w:rPr>
      </w:pPr>
      <w:r>
        <w:rPr>
          <w:rFonts w:ascii="Abadi" w:hAnsi="Abadi"/>
          <w:b/>
          <w:bCs/>
          <w:sz w:val="21"/>
          <w:szCs w:val="21"/>
        </w:rPr>
        <w:t xml:space="preserve">- </w:t>
      </w:r>
      <w:r w:rsidRPr="001F6518">
        <w:rPr>
          <w:rFonts w:ascii="Abadi" w:hAnsi="Abadi"/>
          <w:b/>
          <w:bCs/>
          <w:sz w:val="21"/>
          <w:szCs w:val="21"/>
        </w:rPr>
        <w:t xml:space="preserve">La </w:t>
      </w:r>
      <w:proofErr w:type="gramStart"/>
      <w:r w:rsidRPr="001F6518">
        <w:rPr>
          <w:rFonts w:ascii="Abadi" w:hAnsi="Abadi"/>
          <w:b/>
          <w:bCs/>
          <w:sz w:val="21"/>
          <w:szCs w:val="21"/>
        </w:rPr>
        <w:t>Secretaria.-</w:t>
      </w:r>
      <w:proofErr w:type="gramEnd"/>
      <w:r>
        <w:rPr>
          <w:rFonts w:ascii="Abadi" w:hAnsi="Abadi"/>
          <w:sz w:val="21"/>
          <w:szCs w:val="21"/>
        </w:rPr>
        <w:t xml:space="preserve"> </w:t>
      </w:r>
      <w:r w:rsidRPr="0021199F">
        <w:rPr>
          <w:rFonts w:ascii="Abadi" w:hAnsi="Abadi"/>
          <w:sz w:val="21"/>
          <w:szCs w:val="21"/>
        </w:rPr>
        <w:t xml:space="preserve">Se registraron </w:t>
      </w:r>
      <w:r>
        <w:rPr>
          <w:rFonts w:ascii="Abadi" w:hAnsi="Abadi"/>
          <w:sz w:val="21"/>
          <w:szCs w:val="21"/>
        </w:rPr>
        <w:t xml:space="preserve">27 </w:t>
      </w:r>
      <w:r w:rsidRPr="0021199F">
        <w:rPr>
          <w:rFonts w:ascii="Abadi" w:hAnsi="Abadi"/>
          <w:sz w:val="21"/>
          <w:szCs w:val="21"/>
        </w:rPr>
        <w:t xml:space="preserve">votos en contra y </w:t>
      </w:r>
      <w:r>
        <w:rPr>
          <w:rFonts w:ascii="Abadi" w:hAnsi="Abadi"/>
          <w:sz w:val="21"/>
          <w:szCs w:val="21"/>
        </w:rPr>
        <w:t xml:space="preserve">9 </w:t>
      </w:r>
      <w:r w:rsidRPr="0021199F">
        <w:rPr>
          <w:rFonts w:ascii="Abadi" w:hAnsi="Abadi"/>
          <w:sz w:val="21"/>
          <w:szCs w:val="21"/>
        </w:rPr>
        <w:t xml:space="preserve"> votos a favor. </w:t>
      </w:r>
    </w:p>
    <w:p w14:paraId="18DEB677" w14:textId="77777777" w:rsidR="00BC7A6F" w:rsidRDefault="00BC7A6F" w:rsidP="00A86A0E">
      <w:pPr>
        <w:pStyle w:val="NormalWeb"/>
        <w:ind w:right="70" w:firstLine="708"/>
        <w:jc w:val="both"/>
        <w:rPr>
          <w:rFonts w:ascii="Abadi" w:hAnsi="Abadi"/>
          <w:sz w:val="21"/>
          <w:szCs w:val="21"/>
        </w:rPr>
      </w:pPr>
      <w:r>
        <w:rPr>
          <w:rFonts w:ascii="Abadi" w:hAnsi="Abadi"/>
          <w:b/>
          <w:bCs/>
          <w:sz w:val="21"/>
          <w:szCs w:val="21"/>
        </w:rPr>
        <w:t xml:space="preserve">- </w:t>
      </w:r>
      <w:r w:rsidRPr="001F6518">
        <w:rPr>
          <w:rFonts w:ascii="Abadi" w:hAnsi="Abadi"/>
          <w:b/>
          <w:bCs/>
          <w:sz w:val="21"/>
          <w:szCs w:val="21"/>
        </w:rPr>
        <w:t xml:space="preserve">La </w:t>
      </w:r>
      <w:proofErr w:type="gramStart"/>
      <w:r w:rsidRPr="001F6518">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El pu</w:t>
      </w:r>
      <w:r>
        <w:rPr>
          <w:rFonts w:ascii="Abadi" w:hAnsi="Abadi"/>
          <w:sz w:val="21"/>
          <w:szCs w:val="21"/>
        </w:rPr>
        <w:t>n</w:t>
      </w:r>
      <w:r w:rsidRPr="0021199F">
        <w:rPr>
          <w:rFonts w:ascii="Abadi" w:hAnsi="Abadi"/>
          <w:sz w:val="21"/>
          <w:szCs w:val="21"/>
        </w:rPr>
        <w:t>to de acuerdo no ha sido aprobado</w:t>
      </w:r>
      <w:r>
        <w:rPr>
          <w:rFonts w:ascii="Abadi" w:hAnsi="Abadi"/>
          <w:sz w:val="21"/>
          <w:szCs w:val="21"/>
        </w:rPr>
        <w:t>.</w:t>
      </w:r>
    </w:p>
    <w:p w14:paraId="330AA848" w14:textId="72B9D55C" w:rsidR="00BC7A6F" w:rsidRDefault="00A86A0E" w:rsidP="00A86A0E">
      <w:pPr>
        <w:pStyle w:val="NormalWeb"/>
        <w:ind w:right="70" w:firstLine="567"/>
        <w:jc w:val="both"/>
        <w:rPr>
          <w:rFonts w:ascii="Abadi" w:hAnsi="Abadi"/>
          <w:sz w:val="21"/>
          <w:szCs w:val="21"/>
        </w:rPr>
      </w:pPr>
      <w:r>
        <w:rPr>
          <w:rFonts w:ascii="Abadi" w:hAnsi="Abadi"/>
          <w:sz w:val="21"/>
          <w:szCs w:val="21"/>
        </w:rPr>
        <w:t xml:space="preserve">- </w:t>
      </w:r>
      <w:r w:rsidR="00BC7A6F">
        <w:rPr>
          <w:rFonts w:ascii="Abadi" w:hAnsi="Abadi"/>
          <w:sz w:val="21"/>
          <w:szCs w:val="21"/>
        </w:rPr>
        <w:t xml:space="preserve">Y en virtud de </w:t>
      </w:r>
      <w:r w:rsidR="00BC7A6F" w:rsidRPr="0021199F">
        <w:rPr>
          <w:rFonts w:ascii="Abadi" w:hAnsi="Abadi"/>
          <w:sz w:val="21"/>
          <w:szCs w:val="21"/>
        </w:rPr>
        <w:t>no haberse aprobado</w:t>
      </w:r>
      <w:r w:rsidR="00BC7A6F">
        <w:rPr>
          <w:rFonts w:ascii="Abadi" w:hAnsi="Abadi"/>
          <w:sz w:val="21"/>
          <w:szCs w:val="21"/>
        </w:rPr>
        <w:t>.</w:t>
      </w:r>
    </w:p>
    <w:p w14:paraId="3AE69CB6" w14:textId="77777777" w:rsidR="00BC7A6F" w:rsidRPr="00621A3C" w:rsidRDefault="00BC7A6F" w:rsidP="00A86A0E">
      <w:pPr>
        <w:pStyle w:val="NormalWeb"/>
        <w:ind w:left="426" w:right="493"/>
        <w:jc w:val="both"/>
        <w:rPr>
          <w:rFonts w:ascii="Abadi" w:hAnsi="Abadi"/>
          <w:b/>
          <w:bCs/>
          <w:i/>
          <w:iCs/>
          <w:sz w:val="21"/>
          <w:szCs w:val="21"/>
          <w:u w:val="single"/>
        </w:rPr>
      </w:pPr>
      <w:r w:rsidRPr="00621A3C">
        <w:rPr>
          <w:rFonts w:ascii="Abadi" w:hAnsi="Abadi"/>
          <w:b/>
          <w:bCs/>
          <w:i/>
          <w:iCs/>
          <w:sz w:val="21"/>
          <w:szCs w:val="21"/>
          <w:u w:val="single"/>
        </w:rPr>
        <w:t>Se procede a su archivo definitivo y subiéndose para tal efecto a la Secretaría General.</w:t>
      </w:r>
    </w:p>
    <w:p w14:paraId="30D1EF52" w14:textId="1E9C2219" w:rsidR="001E7A2D" w:rsidRDefault="001E7A2D" w:rsidP="00021259">
      <w:pPr>
        <w:autoSpaceDE w:val="0"/>
        <w:autoSpaceDN w:val="0"/>
        <w:adjustRightInd w:val="0"/>
        <w:jc w:val="both"/>
        <w:rPr>
          <w:rFonts w:ascii="Abadi" w:hAnsi="Abadi" w:cs="ArialMT"/>
          <w:b/>
          <w:bCs/>
          <w:sz w:val="20"/>
          <w:szCs w:val="21"/>
        </w:rPr>
      </w:pPr>
    </w:p>
    <w:p w14:paraId="45D0A7A0" w14:textId="0EB65718" w:rsidR="00021259" w:rsidRPr="00F446D4" w:rsidRDefault="00021259" w:rsidP="00343CA9">
      <w:pPr>
        <w:pStyle w:val="Prrafodelista"/>
        <w:numPr>
          <w:ilvl w:val="0"/>
          <w:numId w:val="19"/>
        </w:numPr>
        <w:autoSpaceDE w:val="0"/>
        <w:autoSpaceDN w:val="0"/>
        <w:adjustRightInd w:val="0"/>
        <w:ind w:left="426"/>
        <w:jc w:val="both"/>
        <w:rPr>
          <w:rFonts w:ascii="Abadi" w:hAnsi="Abadi" w:cs="ArialMT"/>
          <w:b/>
          <w:bCs/>
          <w:sz w:val="20"/>
          <w:szCs w:val="21"/>
        </w:rPr>
      </w:pPr>
      <w:r w:rsidRPr="00300604">
        <w:rPr>
          <w:rFonts w:ascii="Abadi" w:hAnsi="Abadi" w:cs="ArialMT"/>
          <w:b/>
          <w:bCs/>
          <w:sz w:val="20"/>
          <w:szCs w:val="21"/>
        </w:rPr>
        <w:t>PRESENTACIÓN DE LA PROPUESTA DE PUNTO DE ACUERDO DE OBVIA RESOLUCIÓN SUSCRITA POR LA DIPUTADA ALMA EDWVIGES ALCARAZ HERNÁNDEZ INTEGRANTE DEL GRUPO PARLAMENTARIO DEL PARTIDO MORENA A EFECTO DE EXHORTAR RESPETUOSAMENTE AL GOBERNADOR DEL ESTADO DE GUANAJUATO, EL C. DIEGO SINHUE RODRÍGUEZ VALLEJO, PARA QUE, CON FUNDAMENTO EN LO ESTABLECIDO EN LA FRACCIÓN IV DEL ARTÍCULO 95 DE LA CONSTITUCIÓN POLÍTICA EN EL ESTADO, INICIE EL PROCEDIMIENTO DE REMOCIÓN DEL FISCAL GENERAL DEL ESTADO, CARLOS ZAMARRIPA AGUIRRE Y, EN SU CASO, APROBACIÓN DE LA MISMA.</w:t>
      </w:r>
      <w:r w:rsidR="00AB15E5">
        <w:rPr>
          <w:rStyle w:val="Refdenotaalpie"/>
          <w:rFonts w:ascii="Abadi" w:hAnsi="Abadi" w:cs="ArialMT"/>
          <w:b/>
          <w:bCs/>
          <w:sz w:val="20"/>
          <w:szCs w:val="21"/>
        </w:rPr>
        <w:footnoteReference w:id="32"/>
      </w:r>
    </w:p>
    <w:p w14:paraId="70BB791E" w14:textId="266A3BD1" w:rsidR="00021259" w:rsidRDefault="00021259" w:rsidP="00021259">
      <w:pPr>
        <w:autoSpaceDE w:val="0"/>
        <w:autoSpaceDN w:val="0"/>
        <w:adjustRightInd w:val="0"/>
        <w:jc w:val="both"/>
        <w:rPr>
          <w:rFonts w:ascii="Abadi" w:hAnsi="Abadi" w:cs="Arial-BoldMT"/>
          <w:b/>
          <w:bCs/>
          <w:sz w:val="20"/>
          <w:szCs w:val="21"/>
        </w:rPr>
      </w:pPr>
    </w:p>
    <w:p w14:paraId="0A05349C" w14:textId="77777777" w:rsidR="00B34ED2" w:rsidRDefault="00B34ED2" w:rsidP="00B34ED2">
      <w:pPr>
        <w:autoSpaceDE w:val="0"/>
        <w:autoSpaceDN w:val="0"/>
        <w:adjustRightInd w:val="0"/>
        <w:jc w:val="both"/>
        <w:rPr>
          <w:rFonts w:ascii="Abadi" w:hAnsi="Abadi" w:cs="Arial-BoldMT"/>
          <w:b/>
          <w:bCs/>
          <w:sz w:val="20"/>
          <w:szCs w:val="21"/>
        </w:rPr>
      </w:pPr>
    </w:p>
    <w:p w14:paraId="21344A0D" w14:textId="25E2D4AA" w:rsidR="00B34ED2" w:rsidRPr="008F4E07" w:rsidRDefault="00B34ED2" w:rsidP="00B34ED2">
      <w:pPr>
        <w:autoSpaceDE w:val="0"/>
        <w:autoSpaceDN w:val="0"/>
        <w:adjustRightInd w:val="0"/>
        <w:jc w:val="both"/>
        <w:rPr>
          <w:rFonts w:ascii="Abadi" w:hAnsi="Abadi" w:cs="Arial-BoldMT"/>
          <w:b/>
          <w:bCs/>
          <w:sz w:val="21"/>
          <w:szCs w:val="21"/>
        </w:rPr>
      </w:pPr>
      <w:r w:rsidRPr="008F4E07">
        <w:rPr>
          <w:rFonts w:ascii="Abadi" w:hAnsi="Abadi" w:cs="Arial-BoldMT"/>
          <w:b/>
          <w:bCs/>
          <w:sz w:val="21"/>
          <w:szCs w:val="21"/>
        </w:rPr>
        <w:t>Irma Leticia González Sánchez</w:t>
      </w:r>
    </w:p>
    <w:p w14:paraId="6E0985F3" w14:textId="77777777"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Diputada Presidenta de la Mesa Directiva Congreso del Estado de Guanajuato.</w:t>
      </w:r>
    </w:p>
    <w:p w14:paraId="7E64A213" w14:textId="77777777"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LXV Legislatura.</w:t>
      </w:r>
    </w:p>
    <w:p w14:paraId="75AABB32" w14:textId="77777777" w:rsidR="00B34ED2" w:rsidRPr="008F4E07" w:rsidRDefault="00B34ED2" w:rsidP="00B34ED2">
      <w:pPr>
        <w:autoSpaceDE w:val="0"/>
        <w:autoSpaceDN w:val="0"/>
        <w:adjustRightInd w:val="0"/>
        <w:jc w:val="both"/>
        <w:rPr>
          <w:rFonts w:ascii="Abadi" w:hAnsi="Abadi" w:cs="Arial-BoldMT"/>
          <w:sz w:val="21"/>
          <w:szCs w:val="21"/>
        </w:rPr>
      </w:pPr>
    </w:p>
    <w:p w14:paraId="31DC5697" w14:textId="77777777" w:rsidR="00B34ED2" w:rsidRPr="008F4E07" w:rsidRDefault="00B34ED2" w:rsidP="00B34ED2">
      <w:pPr>
        <w:autoSpaceDE w:val="0"/>
        <w:autoSpaceDN w:val="0"/>
        <w:adjustRightInd w:val="0"/>
        <w:jc w:val="both"/>
        <w:rPr>
          <w:rFonts w:ascii="Abadi" w:hAnsi="Abadi" w:cs="Arial-BoldMT"/>
          <w:sz w:val="21"/>
          <w:szCs w:val="21"/>
        </w:rPr>
      </w:pPr>
    </w:p>
    <w:p w14:paraId="6CF2A835" w14:textId="77777777"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 xml:space="preserve">Quienes suscribimos, diputadas y diputados del </w:t>
      </w:r>
      <w:r w:rsidRPr="008F4E07">
        <w:rPr>
          <w:rFonts w:ascii="Abadi" w:hAnsi="Abadi" w:cs="Arial-BoldMT"/>
          <w:b/>
          <w:bCs/>
          <w:sz w:val="21"/>
          <w:szCs w:val="21"/>
        </w:rPr>
        <w:t>Grupo Parlamentario de Morena</w:t>
      </w:r>
      <w:r w:rsidRPr="008F4E07">
        <w:rPr>
          <w:rFonts w:ascii="Abadi" w:hAnsi="Abadi" w:cs="Arial-BoldMT"/>
          <w:sz w:val="21"/>
          <w:szCs w:val="21"/>
        </w:rPr>
        <w:t xml:space="preserve">, con fundamento en lo dispuesto por los artículos 57 primera parte de la Constitución Política para el Estado de Guanajuato, y 177 y 204 fracción III de la Ley Orgánica del Poder Legislativo del Estado de Guanajuato, ante ustedes, sometemos a consideración de la Asamblea la siguiente propuesta de </w:t>
      </w:r>
      <w:r w:rsidRPr="008F4E07">
        <w:rPr>
          <w:rFonts w:ascii="Abadi" w:hAnsi="Abadi" w:cs="Arial-BoldMT"/>
          <w:b/>
          <w:bCs/>
          <w:sz w:val="21"/>
          <w:szCs w:val="21"/>
        </w:rPr>
        <w:t>punto de acuerdo de Obvia Resolución,</w:t>
      </w:r>
      <w:r w:rsidRPr="008F4E07">
        <w:rPr>
          <w:rFonts w:ascii="Abadi" w:hAnsi="Abadi" w:cs="Arial-BoldMT"/>
          <w:sz w:val="21"/>
          <w:szCs w:val="21"/>
        </w:rPr>
        <w:t xml:space="preserve"> de conformidad con las siguientes:</w:t>
      </w:r>
    </w:p>
    <w:p w14:paraId="342BF2CA" w14:textId="77777777" w:rsidR="00B34ED2" w:rsidRPr="008F4E07" w:rsidRDefault="00B34ED2" w:rsidP="00B34ED2">
      <w:pPr>
        <w:autoSpaceDE w:val="0"/>
        <w:autoSpaceDN w:val="0"/>
        <w:adjustRightInd w:val="0"/>
        <w:jc w:val="both"/>
        <w:rPr>
          <w:rFonts w:ascii="Abadi" w:hAnsi="Abadi" w:cs="Arial-BoldMT"/>
          <w:sz w:val="21"/>
          <w:szCs w:val="21"/>
        </w:rPr>
      </w:pPr>
    </w:p>
    <w:p w14:paraId="150DFAD7" w14:textId="77777777" w:rsidR="00B34ED2" w:rsidRPr="008F4E07" w:rsidRDefault="00B34ED2" w:rsidP="00B34ED2">
      <w:pPr>
        <w:autoSpaceDE w:val="0"/>
        <w:autoSpaceDN w:val="0"/>
        <w:adjustRightInd w:val="0"/>
        <w:jc w:val="center"/>
        <w:rPr>
          <w:rFonts w:ascii="Abadi" w:hAnsi="Abadi" w:cs="Arial-BoldMT"/>
          <w:b/>
          <w:bCs/>
          <w:sz w:val="21"/>
          <w:szCs w:val="21"/>
        </w:rPr>
      </w:pPr>
      <w:r w:rsidRPr="008F4E07">
        <w:rPr>
          <w:rFonts w:ascii="Abadi" w:hAnsi="Abadi" w:cs="Arial-BoldMT"/>
          <w:b/>
          <w:bCs/>
          <w:sz w:val="21"/>
          <w:szCs w:val="21"/>
        </w:rPr>
        <w:t>C O N S I D E R A C I O N E S</w:t>
      </w:r>
    </w:p>
    <w:p w14:paraId="545CBA35" w14:textId="77777777" w:rsidR="00B34ED2" w:rsidRPr="008F4E07" w:rsidRDefault="00B34ED2" w:rsidP="00B34ED2">
      <w:pPr>
        <w:autoSpaceDE w:val="0"/>
        <w:autoSpaceDN w:val="0"/>
        <w:adjustRightInd w:val="0"/>
        <w:jc w:val="both"/>
        <w:rPr>
          <w:rFonts w:ascii="Abadi" w:hAnsi="Abadi" w:cs="Arial-BoldMT"/>
          <w:sz w:val="21"/>
          <w:szCs w:val="21"/>
        </w:rPr>
      </w:pPr>
    </w:p>
    <w:p w14:paraId="046074A0" w14:textId="77777777"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El pasado 27 de abril se recibió en este Congreso el tercer informe de actividades de la Fiscalía General del Estado. Con la supuesta finalidad de profundizar en dicho informe, el día 9 de mayo de 2022 se llevó a cabo una reunión de trabajo con el Fiscal General del Estado, Carlos Zamarripa Aguirre. En dicha reunión, las y los diputados de todos los grupos parlamentarios realizamos varios cuestionamientos, esperando ampliara la información remitida en el informe con respuestas claras y directas del Fiscal General; sin embargo, esto no fue así, pues prevaleció la evasión del encargado de la procuración de justicia en la entidad, más preocupado en intentar maquillar la realidad que en ofrecer información veraz.</w:t>
      </w:r>
    </w:p>
    <w:p w14:paraId="0366CAC9" w14:textId="77777777" w:rsidR="00B34ED2" w:rsidRPr="008F4E07" w:rsidRDefault="00B34ED2" w:rsidP="00B34ED2">
      <w:pPr>
        <w:autoSpaceDE w:val="0"/>
        <w:autoSpaceDN w:val="0"/>
        <w:adjustRightInd w:val="0"/>
        <w:jc w:val="both"/>
        <w:rPr>
          <w:rFonts w:ascii="Abadi" w:hAnsi="Abadi" w:cs="Arial-BoldMT"/>
          <w:sz w:val="21"/>
          <w:szCs w:val="21"/>
        </w:rPr>
      </w:pPr>
    </w:p>
    <w:p w14:paraId="197E3E63" w14:textId="4159D31F"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 xml:space="preserve">Pero la realidad es inocultable: en </w:t>
      </w:r>
      <w:r w:rsidRPr="008F4E07">
        <w:rPr>
          <w:rFonts w:ascii="Abadi" w:hAnsi="Abadi" w:cs="Arial-BoldMT"/>
          <w:b/>
          <w:bCs/>
          <w:sz w:val="21"/>
          <w:szCs w:val="21"/>
        </w:rPr>
        <w:t>Guanajuato sigue prevaleciendo la violencia, la inseguridad, la impunidad y la ineficacia en la procuración de justicia</w:t>
      </w:r>
      <w:r w:rsidRPr="008F4E07">
        <w:rPr>
          <w:rFonts w:ascii="Abadi" w:hAnsi="Abadi" w:cs="Arial-BoldMT"/>
          <w:sz w:val="21"/>
          <w:szCs w:val="21"/>
        </w:rPr>
        <w:t xml:space="preserve">; al mismo tiempo, seguimos careciendo de un fiscal verdaderamente autónomo, que esté alejado de los grupos de poder en la entidad para que investigue y persiga los delitos independientemente de la filiación de quien los cometa.  </w:t>
      </w:r>
    </w:p>
    <w:p w14:paraId="2E0534B7" w14:textId="77777777" w:rsidR="00706E7A" w:rsidRPr="008F4E07" w:rsidRDefault="00706E7A" w:rsidP="00B34ED2">
      <w:pPr>
        <w:autoSpaceDE w:val="0"/>
        <w:autoSpaceDN w:val="0"/>
        <w:adjustRightInd w:val="0"/>
        <w:jc w:val="both"/>
        <w:rPr>
          <w:rFonts w:ascii="Abadi" w:hAnsi="Abadi" w:cs="Arial-BoldMT"/>
          <w:sz w:val="21"/>
          <w:szCs w:val="21"/>
        </w:rPr>
      </w:pPr>
    </w:p>
    <w:p w14:paraId="1B2C2CBD" w14:textId="18C40BE7"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Y es que no podemos esperar autonomía de alguien cuyo origen está precisamente ligado a los intereses partidistas. Quien funge actualmente como fiscal general, antes de su nombramiento se había desempeñado durante 10 años como procurador de justicia, gracias a la confianza depositada en él por tres gobernadores, todos emanados de acción nacional.</w:t>
      </w:r>
    </w:p>
    <w:p w14:paraId="340951F8" w14:textId="77777777" w:rsidR="00706E7A" w:rsidRPr="008F4E07" w:rsidRDefault="00706E7A" w:rsidP="00B34ED2">
      <w:pPr>
        <w:autoSpaceDE w:val="0"/>
        <w:autoSpaceDN w:val="0"/>
        <w:adjustRightInd w:val="0"/>
        <w:jc w:val="both"/>
        <w:rPr>
          <w:rFonts w:ascii="Abadi" w:hAnsi="Abadi" w:cs="Arial-BoldMT"/>
          <w:sz w:val="21"/>
          <w:szCs w:val="21"/>
        </w:rPr>
      </w:pPr>
    </w:p>
    <w:p w14:paraId="08BD2129" w14:textId="649A61A5"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El fraude a la constitución que posibilitó el pase automático de procurador de justicia a fiscal general mediante un artículo transitorio avalado por este Congreso, significó el intento por mantener intacto el pacto de impunidad durante 9 años más, al mismo tiempo que simulaba la creación de una fiscalía autónoma.</w:t>
      </w:r>
    </w:p>
    <w:p w14:paraId="11A0ECE2" w14:textId="77777777" w:rsidR="00706E7A" w:rsidRPr="008F4E07" w:rsidRDefault="00706E7A" w:rsidP="00B34ED2">
      <w:pPr>
        <w:autoSpaceDE w:val="0"/>
        <w:autoSpaceDN w:val="0"/>
        <w:adjustRightInd w:val="0"/>
        <w:jc w:val="both"/>
        <w:rPr>
          <w:rFonts w:ascii="Abadi" w:hAnsi="Abadi" w:cs="Arial-BoldMT"/>
          <w:sz w:val="21"/>
          <w:szCs w:val="21"/>
        </w:rPr>
      </w:pPr>
    </w:p>
    <w:p w14:paraId="5AADD4D8" w14:textId="65AC49D4"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b/>
          <w:bCs/>
          <w:sz w:val="21"/>
          <w:szCs w:val="21"/>
        </w:rPr>
        <w:t>Esa falta de autonomía se acredita todos los días.</w:t>
      </w:r>
      <w:r w:rsidRPr="008F4E07">
        <w:rPr>
          <w:rFonts w:ascii="Abadi" w:hAnsi="Abadi" w:cs="Arial-BoldMT"/>
          <w:sz w:val="21"/>
          <w:szCs w:val="21"/>
        </w:rPr>
        <w:t xml:space="preserve"> Si se trata de opositores políticos, todo el peso de la ley. Lo contrario si se trata de delitos cometidos por aliados del régimen, en donde se hace valer el peso del </w:t>
      </w:r>
      <w:r w:rsidRPr="008F4E07">
        <w:rPr>
          <w:rFonts w:ascii="Abadi" w:hAnsi="Abadi" w:cs="Arial-BoldMT"/>
          <w:b/>
          <w:bCs/>
          <w:sz w:val="21"/>
          <w:szCs w:val="21"/>
        </w:rPr>
        <w:t>pacto de impunidad.</w:t>
      </w:r>
      <w:r w:rsidRPr="008F4E07">
        <w:rPr>
          <w:rFonts w:ascii="Abadi" w:hAnsi="Abadi" w:cs="Arial-BoldMT"/>
          <w:sz w:val="21"/>
          <w:szCs w:val="21"/>
        </w:rPr>
        <w:t xml:space="preserve"> Los ejemplos sobran.</w:t>
      </w:r>
    </w:p>
    <w:p w14:paraId="1D993EE8" w14:textId="77777777" w:rsidR="00706E7A" w:rsidRPr="008F4E07" w:rsidRDefault="00706E7A" w:rsidP="00B34ED2">
      <w:pPr>
        <w:autoSpaceDE w:val="0"/>
        <w:autoSpaceDN w:val="0"/>
        <w:adjustRightInd w:val="0"/>
        <w:jc w:val="both"/>
        <w:rPr>
          <w:rFonts w:ascii="Abadi" w:hAnsi="Abadi" w:cs="Arial-BoldMT"/>
          <w:sz w:val="21"/>
          <w:szCs w:val="21"/>
        </w:rPr>
      </w:pPr>
    </w:p>
    <w:p w14:paraId="59CB5016" w14:textId="1B0F0B8C"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Puede mencionarse cuando vimos cómo desde la Fiscalía General del Estado, fue protegido el agresor de Regina Irastorza, Jorge N., con la conveniente reclasificación del delito de violación por el delito de abuso sexual para que el agresor pudiera llevar el proceso penal en libertad. Para proteger al mismo agresor, -allegado al panismo- no se ha judicializado la carpeta de investigación por otra denuncia por el delito de violación cometido en contra de María José Velázquez Navarro.</w:t>
      </w:r>
    </w:p>
    <w:p w14:paraId="2B3AB55B" w14:textId="77777777" w:rsidR="00706E7A" w:rsidRPr="008F4E07" w:rsidRDefault="00706E7A" w:rsidP="00B34ED2">
      <w:pPr>
        <w:autoSpaceDE w:val="0"/>
        <w:autoSpaceDN w:val="0"/>
        <w:adjustRightInd w:val="0"/>
        <w:jc w:val="both"/>
        <w:rPr>
          <w:rFonts w:ascii="Abadi" w:hAnsi="Abadi" w:cs="Arial-BoldMT"/>
          <w:sz w:val="21"/>
          <w:szCs w:val="21"/>
        </w:rPr>
      </w:pPr>
    </w:p>
    <w:p w14:paraId="67CC523A" w14:textId="77777777"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Cabe señalar, que a pregunta expresa del grupo parlamentario de Morena sobre ambos casos, el fiscal general se negó a dar la más elemental información.</w:t>
      </w:r>
    </w:p>
    <w:p w14:paraId="247B6D0A" w14:textId="77777777"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 xml:space="preserve"> </w:t>
      </w:r>
    </w:p>
    <w:p w14:paraId="2E12D6AD" w14:textId="064C2014"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Pero hay muchos otros casos de protección desde la procuración de justicia. Los familiares de Leonardo Reyes, joven asesinado por elementos de las Fuerzas de Seguridad Pública del Estado, han denunciado la protección que la Fiscalía General les ha otorgado a los elementos involucrados con la finalidad de obstaculizar el acceso a la justicia.</w:t>
      </w:r>
    </w:p>
    <w:p w14:paraId="317765B3" w14:textId="77777777" w:rsidR="00706E7A" w:rsidRPr="008F4E07" w:rsidRDefault="00706E7A" w:rsidP="00B34ED2">
      <w:pPr>
        <w:autoSpaceDE w:val="0"/>
        <w:autoSpaceDN w:val="0"/>
        <w:adjustRightInd w:val="0"/>
        <w:jc w:val="both"/>
        <w:rPr>
          <w:rFonts w:ascii="Abadi" w:hAnsi="Abadi" w:cs="Arial-BoldMT"/>
          <w:sz w:val="21"/>
          <w:szCs w:val="21"/>
        </w:rPr>
      </w:pPr>
    </w:p>
    <w:p w14:paraId="23C26D9C" w14:textId="4C8553FA" w:rsidR="00B34ED2" w:rsidRPr="008F4E07" w:rsidRDefault="00B34ED2" w:rsidP="00B34ED2">
      <w:pPr>
        <w:autoSpaceDE w:val="0"/>
        <w:autoSpaceDN w:val="0"/>
        <w:adjustRightInd w:val="0"/>
        <w:jc w:val="both"/>
        <w:rPr>
          <w:rFonts w:ascii="Abadi" w:hAnsi="Abadi" w:cs="Arial-BoldMT"/>
          <w:b/>
          <w:bCs/>
          <w:sz w:val="21"/>
          <w:szCs w:val="21"/>
        </w:rPr>
      </w:pPr>
      <w:r w:rsidRPr="008F4E07">
        <w:rPr>
          <w:rFonts w:ascii="Abadi" w:hAnsi="Abadi" w:cs="Arial-BoldMT"/>
          <w:sz w:val="21"/>
          <w:szCs w:val="21"/>
        </w:rPr>
        <w:t xml:space="preserve">Ese pacto por la impunidad en Guanajuato, instrumentado por la Fiscalía General del Estado, se ve reflejado si se analizan los resultados de su Fiscalía Especializada en Combate a la Corrupción. De acuerdo con el análisis de la operación de las Fiscalías Anticorrupción en México del Instituto Mexicano para la Competitividad 2021, en el periodo que va de 1 de enero de 2019 y el 31 de mayo de 2020, en Guanajuato, </w:t>
      </w:r>
      <w:r w:rsidRPr="008F4E07">
        <w:rPr>
          <w:rFonts w:ascii="Abadi" w:hAnsi="Abadi" w:cs="Arial-BoldMT"/>
          <w:b/>
          <w:bCs/>
          <w:sz w:val="21"/>
          <w:szCs w:val="21"/>
        </w:rPr>
        <w:t>la fiscalía especializada no judicializó una sola investigación.</w:t>
      </w:r>
    </w:p>
    <w:p w14:paraId="31F37064" w14:textId="77777777" w:rsidR="00706E7A" w:rsidRPr="008F4E07" w:rsidRDefault="00706E7A" w:rsidP="00B34ED2">
      <w:pPr>
        <w:autoSpaceDE w:val="0"/>
        <w:autoSpaceDN w:val="0"/>
        <w:adjustRightInd w:val="0"/>
        <w:jc w:val="both"/>
        <w:rPr>
          <w:rFonts w:ascii="Abadi" w:hAnsi="Abadi" w:cs="Arial-BoldMT"/>
          <w:b/>
          <w:bCs/>
          <w:sz w:val="21"/>
          <w:szCs w:val="21"/>
        </w:rPr>
      </w:pPr>
    </w:p>
    <w:p w14:paraId="74F3CD70" w14:textId="12675FCC" w:rsidR="00B34ED2"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Esto se confirma también desde la información emitida por la Auditoría Superior del Estado de Guanajuato (ASEG), pues la Fiscalía Especializada en Combate a la Corrupción ha recibido 265 denuncias al cierre de 2021; sin embargo, la mayoría siguen en trámite (167), otras han sido archivadas (60), en otras la propia fiscalía se ha declarado incompetente (8), y tan sólo 9 han sido judicializadas</w:t>
      </w:r>
      <w:r w:rsidR="00905217" w:rsidRPr="008F4E07">
        <w:rPr>
          <w:rStyle w:val="Refdenotaalpie"/>
          <w:rFonts w:ascii="Abadi" w:hAnsi="Abadi" w:cs="Arial-BoldMT"/>
          <w:sz w:val="21"/>
          <w:szCs w:val="21"/>
        </w:rPr>
        <w:footnoteReference w:id="33"/>
      </w:r>
      <w:r w:rsidRPr="008F4E07">
        <w:rPr>
          <w:rFonts w:ascii="Abadi" w:hAnsi="Abadi" w:cs="Arial-BoldMT"/>
          <w:sz w:val="21"/>
          <w:szCs w:val="21"/>
        </w:rPr>
        <w:t>, esto es, apenas un 3.39%.</w:t>
      </w:r>
    </w:p>
    <w:p w14:paraId="18BE262C" w14:textId="77777777" w:rsidR="00706E7A" w:rsidRPr="008F4E07" w:rsidRDefault="00706E7A" w:rsidP="00B34ED2">
      <w:pPr>
        <w:autoSpaceDE w:val="0"/>
        <w:autoSpaceDN w:val="0"/>
        <w:adjustRightInd w:val="0"/>
        <w:jc w:val="both"/>
        <w:rPr>
          <w:rFonts w:ascii="Abadi" w:hAnsi="Abadi" w:cs="Arial-BoldMT"/>
          <w:sz w:val="21"/>
          <w:szCs w:val="21"/>
        </w:rPr>
      </w:pPr>
    </w:p>
    <w:p w14:paraId="548595D2" w14:textId="481D44BD" w:rsidR="00745FAB" w:rsidRPr="008F4E07" w:rsidRDefault="00B34ED2" w:rsidP="00B34ED2">
      <w:pPr>
        <w:autoSpaceDE w:val="0"/>
        <w:autoSpaceDN w:val="0"/>
        <w:adjustRightInd w:val="0"/>
        <w:jc w:val="both"/>
        <w:rPr>
          <w:rFonts w:ascii="Abadi" w:hAnsi="Abadi" w:cs="Arial-BoldMT"/>
          <w:sz w:val="21"/>
          <w:szCs w:val="21"/>
        </w:rPr>
      </w:pPr>
      <w:r w:rsidRPr="008F4E07">
        <w:rPr>
          <w:rFonts w:ascii="Abadi" w:hAnsi="Abadi" w:cs="Arial-BoldMT"/>
          <w:sz w:val="21"/>
          <w:szCs w:val="21"/>
        </w:rPr>
        <w:t>Respecto a aquella proporción presentada estrictamente durante el 2021, es decir, 9 denuncias, es necesario señalar que fueron presentadas en febrero del año pasado, sin que a la fecha se haya judicializado una sola, aun cuando existen montos millonarios relacionados con presuntos actos de corrupción.</w:t>
      </w:r>
    </w:p>
    <w:p w14:paraId="341277FB" w14:textId="1B933ED3" w:rsidR="00745FAB" w:rsidRPr="008F4E07" w:rsidRDefault="00745FAB" w:rsidP="00021259">
      <w:pPr>
        <w:autoSpaceDE w:val="0"/>
        <w:autoSpaceDN w:val="0"/>
        <w:adjustRightInd w:val="0"/>
        <w:jc w:val="both"/>
        <w:rPr>
          <w:rFonts w:ascii="Abadi" w:hAnsi="Abadi" w:cs="Arial-BoldMT"/>
          <w:b/>
          <w:bCs/>
          <w:sz w:val="21"/>
          <w:szCs w:val="21"/>
        </w:rPr>
      </w:pPr>
    </w:p>
    <w:p w14:paraId="745DFA3E" w14:textId="77777777" w:rsidR="00E120C6" w:rsidRPr="008F4E07" w:rsidRDefault="00E120C6" w:rsidP="00DA25E2">
      <w:pPr>
        <w:autoSpaceDE w:val="0"/>
        <w:autoSpaceDN w:val="0"/>
        <w:adjustRightInd w:val="0"/>
        <w:jc w:val="both"/>
        <w:rPr>
          <w:rFonts w:ascii="Abadi" w:hAnsi="Abadi" w:cs="Arial-BoldMT"/>
          <w:sz w:val="21"/>
          <w:szCs w:val="21"/>
          <w:lang w:val="es-MX"/>
        </w:rPr>
      </w:pPr>
      <w:r w:rsidRPr="008F4E07">
        <w:rPr>
          <w:rFonts w:ascii="Abadi" w:hAnsi="Abadi" w:cs="Arial-BoldMT"/>
          <w:b/>
          <w:bCs/>
          <w:noProof/>
          <w:sz w:val="21"/>
          <w:szCs w:val="21"/>
        </w:rPr>
        <w:drawing>
          <wp:inline distT="0" distB="0" distL="0" distR="0" wp14:anchorId="4C1A77D2" wp14:editId="304BBD53">
            <wp:extent cx="2385060" cy="1849120"/>
            <wp:effectExtent l="0" t="0" r="0" b="0"/>
            <wp:docPr id="1" name="Imagen 4">
              <a:extLst xmlns:a="http://schemas.openxmlformats.org/drawingml/2006/main">
                <a:ext uri="{FF2B5EF4-FFF2-40B4-BE49-F238E27FC236}">
                  <a16:creationId xmlns:a16="http://schemas.microsoft.com/office/drawing/2014/main" id="{72A33F5B-452E-B1D5-FB40-DBCD79088C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72A33F5B-452E-B1D5-FB40-DBCD79088CBC}"/>
                        </a:ext>
                      </a:extLst>
                    </pic:cNvPr>
                    <pic:cNvPicPr>
                      <a:picLocks noChangeAspect="1"/>
                    </pic:cNvPicPr>
                  </pic:nvPicPr>
                  <pic:blipFill rotWithShape="1">
                    <a:blip r:embed="rId44"/>
                    <a:srcRect l="25408" t="28027" r="28597" b="8571"/>
                    <a:stretch/>
                  </pic:blipFill>
                  <pic:spPr>
                    <a:xfrm>
                      <a:off x="0" y="0"/>
                      <a:ext cx="2385060" cy="1849120"/>
                    </a:xfrm>
                    <a:prstGeom prst="rect">
                      <a:avLst/>
                    </a:prstGeom>
                  </pic:spPr>
                </pic:pic>
              </a:graphicData>
            </a:graphic>
          </wp:inline>
        </w:drawing>
      </w:r>
    </w:p>
    <w:p w14:paraId="67BDF2F1" w14:textId="77777777" w:rsidR="00D9044B" w:rsidRPr="008F4E07" w:rsidRDefault="00D9044B" w:rsidP="00DA25E2">
      <w:pPr>
        <w:autoSpaceDE w:val="0"/>
        <w:autoSpaceDN w:val="0"/>
        <w:adjustRightInd w:val="0"/>
        <w:jc w:val="both"/>
        <w:rPr>
          <w:rFonts w:ascii="Abadi" w:hAnsi="Abadi" w:cs="Arial-BoldMT"/>
          <w:sz w:val="21"/>
          <w:szCs w:val="21"/>
          <w:lang w:val="es-MX"/>
        </w:rPr>
      </w:pPr>
    </w:p>
    <w:p w14:paraId="37045390" w14:textId="672DEBDA" w:rsidR="00DA25E2" w:rsidRPr="008F4E07" w:rsidRDefault="00DA25E2" w:rsidP="00DA25E2">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En todos estos casos, la Fiscalía lleva más de un año integrando los respectivos expedientes, aun cuando en teoría la ASEG realiza la denuncia con una investigación y una carpeta integrada que debería facilitar el trámite de procuración de justicia en la materia.</w:t>
      </w:r>
    </w:p>
    <w:p w14:paraId="7BEC63E0" w14:textId="77777777" w:rsidR="00706E7A" w:rsidRPr="008F4E07" w:rsidRDefault="00706E7A" w:rsidP="00DA25E2">
      <w:pPr>
        <w:autoSpaceDE w:val="0"/>
        <w:autoSpaceDN w:val="0"/>
        <w:adjustRightInd w:val="0"/>
        <w:jc w:val="both"/>
        <w:rPr>
          <w:rFonts w:ascii="Abadi" w:hAnsi="Abadi" w:cs="Arial-BoldMT"/>
          <w:sz w:val="21"/>
          <w:szCs w:val="21"/>
          <w:lang w:val="es-MX"/>
        </w:rPr>
      </w:pPr>
    </w:p>
    <w:p w14:paraId="3C067A1A" w14:textId="36C07E8A" w:rsidR="00DA25E2" w:rsidRPr="008F4E07" w:rsidRDefault="00DA25E2" w:rsidP="00DA25E2">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 xml:space="preserve">En suma, es necesario precisar que, de todas las denuncias presentadas por la ASEG por presuntos actos de corrupción, </w:t>
      </w:r>
      <w:r w:rsidRPr="008F4E07">
        <w:rPr>
          <w:rFonts w:ascii="Abadi" w:hAnsi="Abadi" w:cs="Arial-BoldMT"/>
          <w:b/>
          <w:bCs/>
          <w:sz w:val="21"/>
          <w:szCs w:val="21"/>
          <w:lang w:val="es-MX"/>
        </w:rPr>
        <w:t>no se ha obtenido una sola sentencia condenatoria,</w:t>
      </w:r>
      <w:r w:rsidRPr="008F4E07">
        <w:rPr>
          <w:rFonts w:ascii="Abadi" w:hAnsi="Abadi" w:cs="Arial-BoldMT"/>
          <w:sz w:val="21"/>
          <w:szCs w:val="21"/>
          <w:lang w:val="es-MX"/>
        </w:rPr>
        <w:t xml:space="preserve"> con lo cual se muestra que la Fiscalía General del Estado ha sido incapaz, o simplemente no está interesada en combatir la corrupción.</w:t>
      </w:r>
    </w:p>
    <w:p w14:paraId="2B1C563C" w14:textId="70B3C0D7" w:rsidR="00DA25E2" w:rsidRDefault="00DA25E2" w:rsidP="00DA25E2">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En cuanto a la violencia y la inseguridad, éstas han ido en aumento de la mano del actual fiscal. Desde que asumió el cargo como Procurador de Justicia hasta la fecha, la violencia y la delincuencia no han parado. Un año antes de su llegada, en 2008, el INEGI reportó 296 defunciones por homicidio en todo el año; para 2020 -último dato disponible- este número subió hasta 5,083, esto es, los homicidios incrementaron en más de mil seiscientos por ciento.</w:t>
      </w:r>
    </w:p>
    <w:p w14:paraId="3AF9F4A3" w14:textId="77777777" w:rsidR="008F4E07" w:rsidRPr="008F4E07" w:rsidRDefault="008F4E07" w:rsidP="00DA25E2">
      <w:pPr>
        <w:autoSpaceDE w:val="0"/>
        <w:autoSpaceDN w:val="0"/>
        <w:adjustRightInd w:val="0"/>
        <w:jc w:val="both"/>
        <w:rPr>
          <w:rFonts w:ascii="Abadi" w:hAnsi="Abadi" w:cs="Arial-BoldMT"/>
          <w:sz w:val="21"/>
          <w:szCs w:val="21"/>
          <w:lang w:val="es-MX"/>
        </w:rPr>
      </w:pPr>
    </w:p>
    <w:p w14:paraId="695A272F" w14:textId="6789E0D4" w:rsidR="00DA25E2" w:rsidRPr="008F4E07" w:rsidRDefault="00772EA9" w:rsidP="00DA25E2">
      <w:pPr>
        <w:autoSpaceDE w:val="0"/>
        <w:autoSpaceDN w:val="0"/>
        <w:adjustRightInd w:val="0"/>
        <w:jc w:val="both"/>
        <w:rPr>
          <w:rFonts w:ascii="Abadi" w:hAnsi="Abadi" w:cs="Arial-BoldMT"/>
          <w:sz w:val="21"/>
          <w:szCs w:val="21"/>
          <w:lang w:val="es-MX"/>
        </w:rPr>
      </w:pPr>
      <w:r w:rsidRPr="008F4E07">
        <w:rPr>
          <w:rFonts w:ascii="Abadi" w:hAnsi="Abadi" w:cs="Arial-BoldMT"/>
          <w:noProof/>
          <w:sz w:val="21"/>
          <w:szCs w:val="21"/>
        </w:rPr>
        <w:drawing>
          <wp:inline distT="0" distB="0" distL="0" distR="0" wp14:anchorId="2F830899" wp14:editId="5B289C63">
            <wp:extent cx="2385060" cy="1443990"/>
            <wp:effectExtent l="0" t="0" r="0" b="3810"/>
            <wp:docPr id="3" name="Imagen 6">
              <a:extLst xmlns:a="http://schemas.openxmlformats.org/drawingml/2006/main">
                <a:ext uri="{FF2B5EF4-FFF2-40B4-BE49-F238E27FC236}">
                  <a16:creationId xmlns:a16="http://schemas.microsoft.com/office/drawing/2014/main" id="{4A175FDB-4A9C-FE34-7073-936615C1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4A175FDB-4A9C-FE34-7073-936615C1F11F}"/>
                        </a:ext>
                      </a:extLst>
                    </pic:cNvPr>
                    <pic:cNvPicPr>
                      <a:picLocks noChangeAspect="1"/>
                    </pic:cNvPicPr>
                  </pic:nvPicPr>
                  <pic:blipFill rotWithShape="1">
                    <a:blip r:embed="rId45"/>
                    <a:srcRect l="21964" t="27347" r="23929" b="14422"/>
                    <a:stretch/>
                  </pic:blipFill>
                  <pic:spPr>
                    <a:xfrm>
                      <a:off x="0" y="0"/>
                      <a:ext cx="2385060" cy="1443990"/>
                    </a:xfrm>
                    <a:prstGeom prst="rect">
                      <a:avLst/>
                    </a:prstGeom>
                  </pic:spPr>
                </pic:pic>
              </a:graphicData>
            </a:graphic>
          </wp:inline>
        </w:drawing>
      </w:r>
    </w:p>
    <w:p w14:paraId="7016985B" w14:textId="77777777" w:rsidR="00772EA9" w:rsidRPr="008F4E07" w:rsidRDefault="00772EA9" w:rsidP="0075241D">
      <w:pPr>
        <w:autoSpaceDE w:val="0"/>
        <w:autoSpaceDN w:val="0"/>
        <w:adjustRightInd w:val="0"/>
        <w:jc w:val="both"/>
        <w:rPr>
          <w:rFonts w:ascii="Abadi" w:hAnsi="Abadi" w:cs="Arial-BoldMT"/>
          <w:sz w:val="21"/>
          <w:szCs w:val="21"/>
          <w:lang w:val="es-MX"/>
        </w:rPr>
      </w:pPr>
    </w:p>
    <w:p w14:paraId="4031CF74" w14:textId="5DF7376F" w:rsidR="0075241D" w:rsidRPr="008F4E07" w:rsidRDefault="0075241D" w:rsidP="0075241D">
      <w:pPr>
        <w:autoSpaceDE w:val="0"/>
        <w:autoSpaceDN w:val="0"/>
        <w:adjustRightInd w:val="0"/>
        <w:jc w:val="both"/>
        <w:rPr>
          <w:rFonts w:ascii="Abadi" w:hAnsi="Abadi" w:cs="Arial-BoldMT"/>
          <w:b/>
          <w:bCs/>
          <w:sz w:val="21"/>
          <w:szCs w:val="21"/>
          <w:lang w:val="es-MX"/>
        </w:rPr>
      </w:pPr>
      <w:r w:rsidRPr="008F4E07">
        <w:rPr>
          <w:rFonts w:ascii="Abadi" w:hAnsi="Abadi" w:cs="Arial-BoldMT"/>
          <w:sz w:val="21"/>
          <w:szCs w:val="21"/>
          <w:lang w:val="es-MX"/>
        </w:rPr>
        <w:t xml:space="preserve">Por su parte, de acuerdo con datos del Secretariado Ejecutivo del Sistema Nacional de Seguridad Pública, en 2021 Guanajuato fue la entidad con el mayor número de víctimas de homicidios dolosos en todo el país, con </w:t>
      </w:r>
      <w:r w:rsidRPr="008F4E07">
        <w:rPr>
          <w:rFonts w:ascii="Abadi" w:hAnsi="Abadi" w:cs="Arial-BoldMT"/>
          <w:b/>
          <w:bCs/>
          <w:sz w:val="21"/>
          <w:szCs w:val="21"/>
          <w:lang w:val="es-MX"/>
        </w:rPr>
        <w:t>3,516 víctimas.</w:t>
      </w:r>
    </w:p>
    <w:p w14:paraId="08F3F537" w14:textId="77777777" w:rsidR="00706E7A" w:rsidRPr="008F4E07" w:rsidRDefault="00706E7A" w:rsidP="0075241D">
      <w:pPr>
        <w:autoSpaceDE w:val="0"/>
        <w:autoSpaceDN w:val="0"/>
        <w:adjustRightInd w:val="0"/>
        <w:jc w:val="both"/>
        <w:rPr>
          <w:rFonts w:ascii="Abadi" w:hAnsi="Abadi" w:cs="Arial-BoldMT"/>
          <w:sz w:val="21"/>
          <w:szCs w:val="21"/>
          <w:lang w:val="es-MX"/>
        </w:rPr>
      </w:pPr>
    </w:p>
    <w:p w14:paraId="51F069BC" w14:textId="1212F049" w:rsidR="0075241D" w:rsidRPr="008F4E07" w:rsidRDefault="0075241D" w:rsidP="0075241D">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 xml:space="preserve">Dicha tendencia se sostiene durante el primer trimestre de este 2022, cuando Guanajuato ocupó también el </w:t>
      </w:r>
      <w:r w:rsidRPr="008F4E07">
        <w:rPr>
          <w:rFonts w:ascii="Abadi" w:hAnsi="Abadi" w:cs="Arial-BoldMT"/>
          <w:b/>
          <w:bCs/>
          <w:sz w:val="21"/>
          <w:szCs w:val="21"/>
          <w:lang w:val="es-MX"/>
        </w:rPr>
        <w:t>1er lugar en homicidios dolosos</w:t>
      </w:r>
      <w:r w:rsidRPr="008F4E07">
        <w:rPr>
          <w:rFonts w:ascii="Abadi" w:hAnsi="Abadi" w:cs="Arial-BoldMT"/>
          <w:sz w:val="21"/>
          <w:szCs w:val="21"/>
          <w:lang w:val="es-MX"/>
        </w:rPr>
        <w:t xml:space="preserve"> a nivel nacional con 766, de los cuales 61% se realizaron con arma de fuego.</w:t>
      </w:r>
    </w:p>
    <w:p w14:paraId="7B98E7EC" w14:textId="77777777" w:rsidR="00706E7A" w:rsidRPr="008F4E07" w:rsidRDefault="00706E7A" w:rsidP="0075241D">
      <w:pPr>
        <w:autoSpaceDE w:val="0"/>
        <w:autoSpaceDN w:val="0"/>
        <w:adjustRightInd w:val="0"/>
        <w:jc w:val="both"/>
        <w:rPr>
          <w:rFonts w:ascii="Abadi" w:hAnsi="Abadi" w:cs="Arial-BoldMT"/>
          <w:sz w:val="21"/>
          <w:szCs w:val="21"/>
          <w:lang w:val="es-MX"/>
        </w:rPr>
      </w:pPr>
    </w:p>
    <w:p w14:paraId="0F152DE9" w14:textId="1047EC89" w:rsidR="0075241D" w:rsidRPr="008F4E07" w:rsidRDefault="0075241D" w:rsidP="0075241D">
      <w:pPr>
        <w:autoSpaceDE w:val="0"/>
        <w:autoSpaceDN w:val="0"/>
        <w:adjustRightInd w:val="0"/>
        <w:jc w:val="both"/>
        <w:rPr>
          <w:rFonts w:ascii="Abadi" w:hAnsi="Abadi" w:cs="Arial-BoldMT"/>
          <w:b/>
          <w:bCs/>
          <w:sz w:val="21"/>
          <w:szCs w:val="21"/>
          <w:lang w:val="es-MX"/>
        </w:rPr>
      </w:pPr>
      <w:r w:rsidRPr="008F4E07">
        <w:rPr>
          <w:rFonts w:ascii="Abadi" w:hAnsi="Abadi" w:cs="Arial-BoldMT"/>
          <w:sz w:val="21"/>
          <w:szCs w:val="21"/>
          <w:lang w:val="es-MX"/>
        </w:rPr>
        <w:t xml:space="preserve">En este sentido, los homicidios dolosos en Guanajuato representan </w:t>
      </w:r>
      <w:r w:rsidRPr="008F4E07">
        <w:rPr>
          <w:rFonts w:ascii="Abadi" w:hAnsi="Abadi" w:cs="Arial-BoldMT"/>
          <w:b/>
          <w:bCs/>
          <w:sz w:val="21"/>
          <w:szCs w:val="21"/>
          <w:lang w:val="es-MX"/>
        </w:rPr>
        <w:t>10.42% de la incidencia de ese delito en todo el país.</w:t>
      </w:r>
    </w:p>
    <w:p w14:paraId="324A02DC" w14:textId="56E9D742" w:rsidR="0053447C" w:rsidRPr="008F4E07" w:rsidRDefault="0053447C" w:rsidP="0075241D">
      <w:pPr>
        <w:autoSpaceDE w:val="0"/>
        <w:autoSpaceDN w:val="0"/>
        <w:adjustRightInd w:val="0"/>
        <w:jc w:val="both"/>
        <w:rPr>
          <w:rFonts w:ascii="Abadi" w:hAnsi="Abadi" w:cs="Arial-BoldMT"/>
          <w:b/>
          <w:bCs/>
          <w:sz w:val="21"/>
          <w:szCs w:val="21"/>
          <w:lang w:val="es-MX"/>
        </w:rPr>
      </w:pPr>
    </w:p>
    <w:p w14:paraId="63F3E853" w14:textId="0A2E9A57" w:rsidR="0053447C" w:rsidRPr="008F4E07" w:rsidRDefault="0053447C" w:rsidP="0053447C">
      <w:pPr>
        <w:autoSpaceDE w:val="0"/>
        <w:autoSpaceDN w:val="0"/>
        <w:adjustRightInd w:val="0"/>
        <w:jc w:val="center"/>
        <w:rPr>
          <w:rFonts w:ascii="Abadi" w:hAnsi="Abadi" w:cs="Arial-BoldMT"/>
          <w:b/>
          <w:bCs/>
          <w:sz w:val="21"/>
          <w:szCs w:val="21"/>
          <w:lang w:val="es-MX"/>
        </w:rPr>
      </w:pPr>
      <w:r w:rsidRPr="008F4E07">
        <w:rPr>
          <w:rFonts w:ascii="Abadi" w:hAnsi="Abadi" w:cs="Arial-BoldMT"/>
          <w:b/>
          <w:bCs/>
          <w:sz w:val="21"/>
          <w:szCs w:val="21"/>
          <w:lang w:val="es-MX"/>
        </w:rPr>
        <w:t>Homicidios Dolosos</w:t>
      </w:r>
    </w:p>
    <w:p w14:paraId="48D4A7A4" w14:textId="091C47AB" w:rsidR="00DA25E2" w:rsidRPr="008F4E07" w:rsidRDefault="00DA25E2" w:rsidP="00DA25E2">
      <w:pPr>
        <w:autoSpaceDE w:val="0"/>
        <w:autoSpaceDN w:val="0"/>
        <w:adjustRightInd w:val="0"/>
        <w:jc w:val="both"/>
        <w:rPr>
          <w:rFonts w:ascii="Abadi" w:hAnsi="Abadi" w:cs="Arial-BoldMT"/>
          <w:sz w:val="21"/>
          <w:szCs w:val="21"/>
          <w:lang w:val="es-MX"/>
        </w:rPr>
      </w:pPr>
    </w:p>
    <w:p w14:paraId="1CF6153C" w14:textId="03367784" w:rsidR="0075241D" w:rsidRPr="008F4E07" w:rsidRDefault="005D2598" w:rsidP="00DA25E2">
      <w:pPr>
        <w:autoSpaceDE w:val="0"/>
        <w:autoSpaceDN w:val="0"/>
        <w:adjustRightInd w:val="0"/>
        <w:jc w:val="both"/>
        <w:rPr>
          <w:rFonts w:ascii="Abadi" w:hAnsi="Abadi" w:cs="Arial-BoldMT"/>
          <w:sz w:val="21"/>
          <w:szCs w:val="21"/>
          <w:lang w:val="es-MX"/>
        </w:rPr>
      </w:pPr>
      <w:r w:rsidRPr="008F4E07">
        <w:rPr>
          <w:rFonts w:ascii="Abadi" w:hAnsi="Abadi" w:cs="Arial-BoldMT"/>
          <w:noProof/>
          <w:sz w:val="21"/>
          <w:szCs w:val="21"/>
        </w:rPr>
        <w:drawing>
          <wp:inline distT="0" distB="0" distL="0" distR="0" wp14:anchorId="5B93B9E0" wp14:editId="6163F08C">
            <wp:extent cx="2385060" cy="974090"/>
            <wp:effectExtent l="0" t="0" r="0" b="0"/>
            <wp:docPr id="6" name="Imagen 8">
              <a:extLst xmlns:a="http://schemas.openxmlformats.org/drawingml/2006/main">
                <a:ext uri="{FF2B5EF4-FFF2-40B4-BE49-F238E27FC236}">
                  <a16:creationId xmlns:a16="http://schemas.microsoft.com/office/drawing/2014/main" id="{778E585E-D6BB-851B-497C-96C5524F50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778E585E-D6BB-851B-497C-96C5524F5020}"/>
                        </a:ext>
                      </a:extLst>
                    </pic:cNvPr>
                    <pic:cNvPicPr>
                      <a:picLocks noChangeAspect="1"/>
                    </pic:cNvPicPr>
                  </pic:nvPicPr>
                  <pic:blipFill rotWithShape="1">
                    <a:blip r:embed="rId46"/>
                    <a:srcRect l="19439" t="38096" r="23393" b="20407"/>
                    <a:stretch/>
                  </pic:blipFill>
                  <pic:spPr>
                    <a:xfrm>
                      <a:off x="0" y="0"/>
                      <a:ext cx="2385060" cy="974090"/>
                    </a:xfrm>
                    <a:prstGeom prst="rect">
                      <a:avLst/>
                    </a:prstGeom>
                  </pic:spPr>
                </pic:pic>
              </a:graphicData>
            </a:graphic>
          </wp:inline>
        </w:drawing>
      </w:r>
    </w:p>
    <w:p w14:paraId="054D907D" w14:textId="0BACC94E" w:rsidR="0075241D" w:rsidRPr="008F4E07" w:rsidRDefault="0075241D" w:rsidP="00DA25E2">
      <w:pPr>
        <w:autoSpaceDE w:val="0"/>
        <w:autoSpaceDN w:val="0"/>
        <w:adjustRightInd w:val="0"/>
        <w:jc w:val="both"/>
        <w:rPr>
          <w:rFonts w:ascii="Abadi" w:hAnsi="Abadi" w:cs="Arial-BoldMT"/>
          <w:sz w:val="21"/>
          <w:szCs w:val="21"/>
          <w:lang w:val="es-MX"/>
        </w:rPr>
      </w:pPr>
    </w:p>
    <w:p w14:paraId="5FE126FB" w14:textId="2241AF6E" w:rsidR="00FC4BDD" w:rsidRPr="008F4E07" w:rsidRDefault="00FC4BDD" w:rsidP="00FC4BDD">
      <w:pPr>
        <w:autoSpaceDE w:val="0"/>
        <w:autoSpaceDN w:val="0"/>
        <w:adjustRightInd w:val="0"/>
        <w:jc w:val="both"/>
        <w:rPr>
          <w:rFonts w:ascii="Abadi" w:hAnsi="Abadi" w:cs="Arial-BoldMT"/>
          <w:b/>
          <w:bCs/>
          <w:sz w:val="21"/>
          <w:szCs w:val="21"/>
          <w:lang w:val="es-MX"/>
        </w:rPr>
      </w:pPr>
      <w:r w:rsidRPr="008F4E07">
        <w:rPr>
          <w:rFonts w:ascii="Abadi" w:hAnsi="Abadi" w:cs="Arial-BoldMT"/>
          <w:sz w:val="21"/>
          <w:szCs w:val="21"/>
          <w:lang w:val="es-MX"/>
        </w:rPr>
        <w:t xml:space="preserve">La ola de violencia y de impunidad ha afectado en gran medida a las mujeres. Aunque el Fiscal omitió incomprensiblemente referirse al tema en su informe, de enero a diciembre de 2021 se reportaron 378 muertes violentas de mujeres (34 feminicidios y 344 homicidios dolosos). Esto, igualmente, forma parte de una tendencia en la que </w:t>
      </w:r>
      <w:r w:rsidRPr="008F4E07">
        <w:rPr>
          <w:rFonts w:ascii="Abadi" w:hAnsi="Abadi" w:cs="Arial-BoldMT"/>
          <w:b/>
          <w:bCs/>
          <w:sz w:val="21"/>
          <w:szCs w:val="21"/>
          <w:lang w:val="es-MX"/>
        </w:rPr>
        <w:t>Guanajuato es una entidad cada vez más violenta para las mujeres.</w:t>
      </w:r>
    </w:p>
    <w:p w14:paraId="4CF3D5B1" w14:textId="77777777" w:rsidR="00706E7A" w:rsidRPr="008F4E07" w:rsidRDefault="00706E7A" w:rsidP="00FC4BDD">
      <w:pPr>
        <w:autoSpaceDE w:val="0"/>
        <w:autoSpaceDN w:val="0"/>
        <w:adjustRightInd w:val="0"/>
        <w:jc w:val="both"/>
        <w:rPr>
          <w:rFonts w:ascii="Abadi" w:hAnsi="Abadi" w:cs="Arial-BoldMT"/>
          <w:b/>
          <w:bCs/>
          <w:sz w:val="21"/>
          <w:szCs w:val="21"/>
          <w:lang w:val="es-MX"/>
        </w:rPr>
      </w:pPr>
    </w:p>
    <w:p w14:paraId="03046563" w14:textId="6BA192DF" w:rsidR="004F7042" w:rsidRPr="008F4E07" w:rsidRDefault="00FC4BDD" w:rsidP="0005522E">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En 2015, las muertes violentas de mujeres ocurridas en Guanajuato representaban apenas el 6% del total nacional; sin embargo, para 2021, esta cifra ya había subido a 10%. Por esto, actualmente Guanajuato es el epicentro de la violencia contra la mujer: desde 2020, 1 de cada 10 muertes violentas de mujeres en nuestro país se comete en el estado de Guanajuato; durante los últimos 2 años más de una mujer por día es asesinada de forma violenta en Guanajuato.</w:t>
      </w:r>
    </w:p>
    <w:p w14:paraId="018FFD34" w14:textId="77777777" w:rsidR="004F7042" w:rsidRPr="008F4E07" w:rsidRDefault="004F7042" w:rsidP="004F7042">
      <w:pPr>
        <w:autoSpaceDE w:val="0"/>
        <w:autoSpaceDN w:val="0"/>
        <w:adjustRightInd w:val="0"/>
        <w:jc w:val="center"/>
        <w:rPr>
          <w:rFonts w:ascii="Abadi" w:hAnsi="Abadi" w:cs="Arial-BoldMT"/>
          <w:b/>
          <w:bCs/>
          <w:sz w:val="21"/>
          <w:szCs w:val="21"/>
          <w:lang w:val="es-MX"/>
        </w:rPr>
      </w:pPr>
    </w:p>
    <w:p w14:paraId="48C0BFAE" w14:textId="2319E791" w:rsidR="004F7042" w:rsidRPr="008F4E07" w:rsidRDefault="004F7042" w:rsidP="004F7042">
      <w:pPr>
        <w:autoSpaceDE w:val="0"/>
        <w:autoSpaceDN w:val="0"/>
        <w:adjustRightInd w:val="0"/>
        <w:jc w:val="center"/>
        <w:rPr>
          <w:rFonts w:ascii="Abadi" w:hAnsi="Abadi" w:cs="Arial-BoldMT"/>
          <w:b/>
          <w:bCs/>
          <w:sz w:val="21"/>
          <w:szCs w:val="21"/>
          <w:lang w:val="es-MX"/>
        </w:rPr>
      </w:pPr>
    </w:p>
    <w:p w14:paraId="33D571CE" w14:textId="1E7BB44B" w:rsidR="0005522E" w:rsidRPr="008F4E07" w:rsidRDefault="0005522E" w:rsidP="004F7042">
      <w:pPr>
        <w:autoSpaceDE w:val="0"/>
        <w:autoSpaceDN w:val="0"/>
        <w:adjustRightInd w:val="0"/>
        <w:jc w:val="center"/>
        <w:rPr>
          <w:rFonts w:ascii="Abadi" w:hAnsi="Abadi" w:cs="Arial-BoldMT"/>
          <w:b/>
          <w:bCs/>
          <w:sz w:val="21"/>
          <w:szCs w:val="21"/>
          <w:lang w:val="es-MX"/>
        </w:rPr>
      </w:pPr>
    </w:p>
    <w:p w14:paraId="0AC06D87" w14:textId="77777777" w:rsidR="0005522E" w:rsidRPr="008F4E07" w:rsidRDefault="0005522E" w:rsidP="004F7042">
      <w:pPr>
        <w:autoSpaceDE w:val="0"/>
        <w:autoSpaceDN w:val="0"/>
        <w:adjustRightInd w:val="0"/>
        <w:jc w:val="center"/>
        <w:rPr>
          <w:rFonts w:ascii="Abadi" w:hAnsi="Abadi" w:cs="Arial-BoldMT"/>
          <w:b/>
          <w:bCs/>
          <w:sz w:val="21"/>
          <w:szCs w:val="21"/>
          <w:lang w:val="es-MX"/>
        </w:rPr>
      </w:pPr>
    </w:p>
    <w:p w14:paraId="7EB36A28" w14:textId="2029A941" w:rsidR="0075241D" w:rsidRPr="008F4E07" w:rsidRDefault="004F7042" w:rsidP="004F7042">
      <w:pPr>
        <w:autoSpaceDE w:val="0"/>
        <w:autoSpaceDN w:val="0"/>
        <w:adjustRightInd w:val="0"/>
        <w:jc w:val="center"/>
        <w:rPr>
          <w:rFonts w:ascii="Abadi" w:hAnsi="Abadi" w:cs="Arial-BoldMT"/>
          <w:b/>
          <w:bCs/>
          <w:sz w:val="21"/>
          <w:szCs w:val="21"/>
          <w:lang w:val="es-MX"/>
        </w:rPr>
      </w:pPr>
      <w:r w:rsidRPr="008F4E07">
        <w:rPr>
          <w:rFonts w:ascii="Abadi" w:hAnsi="Abadi" w:cs="Arial-BoldMT"/>
          <w:b/>
          <w:bCs/>
          <w:sz w:val="21"/>
          <w:szCs w:val="21"/>
          <w:lang w:val="es-MX"/>
        </w:rPr>
        <w:t>Muertes violentas de mujeres</w:t>
      </w:r>
    </w:p>
    <w:p w14:paraId="794EE286" w14:textId="77777777" w:rsidR="004F7042" w:rsidRPr="008F4E07" w:rsidRDefault="004F7042" w:rsidP="004F7042">
      <w:pPr>
        <w:autoSpaceDE w:val="0"/>
        <w:autoSpaceDN w:val="0"/>
        <w:adjustRightInd w:val="0"/>
        <w:jc w:val="center"/>
        <w:rPr>
          <w:rFonts w:ascii="Abadi" w:hAnsi="Abadi" w:cs="Arial-BoldMT"/>
          <w:b/>
          <w:bCs/>
          <w:sz w:val="21"/>
          <w:szCs w:val="21"/>
          <w:lang w:val="es-MX"/>
        </w:rPr>
      </w:pPr>
    </w:p>
    <w:p w14:paraId="5752A01F" w14:textId="446882E8" w:rsidR="00FC4BDD" w:rsidRPr="008F4E07" w:rsidRDefault="00746763" w:rsidP="00DA25E2">
      <w:pPr>
        <w:autoSpaceDE w:val="0"/>
        <w:autoSpaceDN w:val="0"/>
        <w:adjustRightInd w:val="0"/>
        <w:jc w:val="both"/>
        <w:rPr>
          <w:rFonts w:ascii="Abadi" w:hAnsi="Abadi" w:cs="Arial-BoldMT"/>
          <w:sz w:val="21"/>
          <w:szCs w:val="21"/>
          <w:lang w:val="es-MX"/>
        </w:rPr>
      </w:pPr>
      <w:r w:rsidRPr="008F4E07">
        <w:rPr>
          <w:rFonts w:ascii="Abadi" w:hAnsi="Abadi" w:cs="Arial-BoldMT"/>
          <w:noProof/>
          <w:sz w:val="21"/>
          <w:szCs w:val="21"/>
        </w:rPr>
        <w:drawing>
          <wp:inline distT="0" distB="0" distL="0" distR="0" wp14:anchorId="7872DD70" wp14:editId="45B9FC68">
            <wp:extent cx="2385060" cy="1149350"/>
            <wp:effectExtent l="0" t="0" r="0" b="0"/>
            <wp:docPr id="8" name="Imagen 10">
              <a:extLst xmlns:a="http://schemas.openxmlformats.org/drawingml/2006/main">
                <a:ext uri="{FF2B5EF4-FFF2-40B4-BE49-F238E27FC236}">
                  <a16:creationId xmlns:a16="http://schemas.microsoft.com/office/drawing/2014/main" id="{3BA576EF-74C8-1408-146E-175716F3CB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3BA576EF-74C8-1408-146E-175716F3CB40}"/>
                        </a:ext>
                      </a:extLst>
                    </pic:cNvPr>
                    <pic:cNvPicPr>
                      <a:picLocks noChangeAspect="1"/>
                    </pic:cNvPicPr>
                  </pic:nvPicPr>
                  <pic:blipFill rotWithShape="1">
                    <a:blip r:embed="rId47"/>
                    <a:srcRect l="21887" t="28708" r="24618" b="25442"/>
                    <a:stretch/>
                  </pic:blipFill>
                  <pic:spPr>
                    <a:xfrm>
                      <a:off x="0" y="0"/>
                      <a:ext cx="2392462" cy="1152917"/>
                    </a:xfrm>
                    <a:prstGeom prst="rect">
                      <a:avLst/>
                    </a:prstGeom>
                  </pic:spPr>
                </pic:pic>
              </a:graphicData>
            </a:graphic>
          </wp:inline>
        </w:drawing>
      </w:r>
    </w:p>
    <w:p w14:paraId="442485BB" w14:textId="77777777" w:rsidR="00746763" w:rsidRPr="008F4E07" w:rsidRDefault="00746763" w:rsidP="004F761F">
      <w:pPr>
        <w:autoSpaceDE w:val="0"/>
        <w:autoSpaceDN w:val="0"/>
        <w:adjustRightInd w:val="0"/>
        <w:jc w:val="both"/>
        <w:rPr>
          <w:rFonts w:ascii="Abadi" w:hAnsi="Abadi" w:cs="Arial-BoldMT"/>
          <w:sz w:val="21"/>
          <w:szCs w:val="21"/>
          <w:lang w:val="es-MX"/>
        </w:rPr>
      </w:pPr>
    </w:p>
    <w:p w14:paraId="596EE448" w14:textId="640F906D" w:rsidR="004F761F" w:rsidRPr="008F4E07" w:rsidRDefault="004F761F" w:rsidP="004F761F">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De esta forma, pese a la tendencia nacional de reducción de la violencia fatal contra las mujeres, Guanajuato sigue ocupando el primer lugar como la entidad con más casos registrados de homicidios dolosos de mujeres. Lo anterior, llevó a la Comisión Nacional de Derechos Humanos a solicitar se decrete la alerta de violencia de género en la entidad.</w:t>
      </w:r>
    </w:p>
    <w:p w14:paraId="56E365D1" w14:textId="77777777" w:rsidR="00706E7A" w:rsidRPr="008F4E07" w:rsidRDefault="00706E7A" w:rsidP="004F761F">
      <w:pPr>
        <w:autoSpaceDE w:val="0"/>
        <w:autoSpaceDN w:val="0"/>
        <w:adjustRightInd w:val="0"/>
        <w:jc w:val="both"/>
        <w:rPr>
          <w:rFonts w:ascii="Abadi" w:hAnsi="Abadi" w:cs="Arial-BoldMT"/>
          <w:sz w:val="21"/>
          <w:szCs w:val="21"/>
          <w:lang w:val="es-MX"/>
        </w:rPr>
      </w:pPr>
    </w:p>
    <w:p w14:paraId="0E387CCB" w14:textId="77777777" w:rsidR="004F761F" w:rsidRPr="008F4E07" w:rsidRDefault="004F761F" w:rsidP="004F761F">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La misma estrategia para intentar ocultar los fenómenos de violencia que se viven en Guanajuato, fue utilizada durante años en el caso de la desaparición de personas. La narrativa oficial de la Fiscalía Estatal fue la de desconocer el fenómeno de desaparición de personas y las fosas clandestinas. Lamentablemente, en Guanajuato esa es otra realidad latente. Apenas el pasado 13 de mayo, el grupo de buscadoras Madres Guerreras de León informó que se encontraron restos de personas en una fosa clandestina por el rumbo de Hacienda Arriba en León, Guanajuato.</w:t>
      </w:r>
    </w:p>
    <w:p w14:paraId="28183B09" w14:textId="77777777" w:rsidR="004F761F" w:rsidRPr="008F4E07" w:rsidRDefault="004F761F" w:rsidP="004F761F">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 xml:space="preserve"> </w:t>
      </w:r>
    </w:p>
    <w:p w14:paraId="449D8017" w14:textId="28396860" w:rsidR="004F761F" w:rsidRPr="008F4E07" w:rsidRDefault="004F761F" w:rsidP="004F761F">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La desaparición y no localización de 2,686 personas en el Estado</w:t>
      </w:r>
      <w:r w:rsidR="00761E22" w:rsidRPr="008F4E07">
        <w:rPr>
          <w:rStyle w:val="Refdenotaalpie"/>
          <w:rFonts w:ascii="Abadi" w:hAnsi="Abadi" w:cs="Arial-BoldMT"/>
          <w:sz w:val="21"/>
          <w:szCs w:val="21"/>
          <w:lang w:val="es-MX"/>
        </w:rPr>
        <w:footnoteReference w:id="34"/>
      </w:r>
      <w:r w:rsidRPr="008F4E07">
        <w:rPr>
          <w:rFonts w:ascii="Abadi" w:hAnsi="Abadi" w:cs="Arial-BoldMT"/>
          <w:sz w:val="21"/>
          <w:szCs w:val="21"/>
          <w:lang w:val="es-MX"/>
        </w:rPr>
        <w:t>, los hallazgos de fosas clandestinas a lo largo de todo el Estado, junto con la crisis forense, ha pulverizado los efectos de la propaganda oficial, pero esto no ha sido suficiente para que el grupo en el poder en Guanajuato desde hace más de 30 años asuma con puntualidad su responsabilidad, y analice con seriedad la necesidad de un cambio de ruta en la política de seguridad y procuración de justicia de la entidad.</w:t>
      </w:r>
    </w:p>
    <w:p w14:paraId="010316BA" w14:textId="77777777" w:rsidR="00706E7A" w:rsidRPr="008F4E07" w:rsidRDefault="00706E7A" w:rsidP="004F761F">
      <w:pPr>
        <w:autoSpaceDE w:val="0"/>
        <w:autoSpaceDN w:val="0"/>
        <w:adjustRightInd w:val="0"/>
        <w:jc w:val="both"/>
        <w:rPr>
          <w:rFonts w:ascii="Abadi" w:hAnsi="Abadi" w:cs="Arial-BoldMT"/>
          <w:sz w:val="21"/>
          <w:szCs w:val="21"/>
          <w:lang w:val="es-MX"/>
        </w:rPr>
      </w:pPr>
    </w:p>
    <w:p w14:paraId="6947D88E" w14:textId="6E8B9C95" w:rsidR="004F761F" w:rsidRPr="008F4E07" w:rsidRDefault="004F761F" w:rsidP="004F761F">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Compañeras y compañeros diputados, la falta de autonomía del fiscal, acompañada con sus pésimos resultados en materia de procuración de justicia, constituyen causas graves que exigen de esta soberanía se analice y discuta la continuidad de Carlos Zamarripa Aguirre al frente de la Fiscalía.</w:t>
      </w:r>
    </w:p>
    <w:p w14:paraId="7D02F71D" w14:textId="77777777" w:rsidR="00706E7A" w:rsidRPr="008F4E07" w:rsidRDefault="00706E7A" w:rsidP="004F761F">
      <w:pPr>
        <w:autoSpaceDE w:val="0"/>
        <w:autoSpaceDN w:val="0"/>
        <w:adjustRightInd w:val="0"/>
        <w:jc w:val="both"/>
        <w:rPr>
          <w:rFonts w:ascii="Abadi" w:hAnsi="Abadi" w:cs="Arial-BoldMT"/>
          <w:sz w:val="21"/>
          <w:szCs w:val="21"/>
          <w:lang w:val="es-MX"/>
        </w:rPr>
      </w:pPr>
    </w:p>
    <w:p w14:paraId="044BB680" w14:textId="34064CE9" w:rsidR="004F761F" w:rsidRPr="008F4E07" w:rsidRDefault="004F761F" w:rsidP="004F761F">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En el Grupo Parlamentario de Morena consideramos que debe removerse al actual fiscal y, en su lugar, a través de un procedimiento que ahora sí respete la Constitución, se elija a un fiscal autónomo, eficiente y a la altura de los retos que nuestra entidad reclama.</w:t>
      </w:r>
    </w:p>
    <w:p w14:paraId="70C14A01" w14:textId="77777777" w:rsidR="00706E7A" w:rsidRPr="008F4E07" w:rsidRDefault="00706E7A" w:rsidP="004F761F">
      <w:pPr>
        <w:autoSpaceDE w:val="0"/>
        <w:autoSpaceDN w:val="0"/>
        <w:adjustRightInd w:val="0"/>
        <w:jc w:val="both"/>
        <w:rPr>
          <w:rFonts w:ascii="Abadi" w:hAnsi="Abadi" w:cs="Arial-BoldMT"/>
          <w:sz w:val="21"/>
          <w:szCs w:val="21"/>
          <w:lang w:val="es-MX"/>
        </w:rPr>
      </w:pPr>
    </w:p>
    <w:p w14:paraId="67A50A17" w14:textId="77777777" w:rsidR="004F761F" w:rsidRPr="008F4E07" w:rsidRDefault="004F761F" w:rsidP="004F761F">
      <w:pPr>
        <w:autoSpaceDE w:val="0"/>
        <w:autoSpaceDN w:val="0"/>
        <w:adjustRightInd w:val="0"/>
        <w:jc w:val="both"/>
        <w:rPr>
          <w:rFonts w:ascii="Abadi" w:hAnsi="Abadi" w:cs="Arial-BoldMT"/>
          <w:sz w:val="21"/>
          <w:szCs w:val="21"/>
          <w:lang w:val="es-MX"/>
        </w:rPr>
      </w:pPr>
      <w:r w:rsidRPr="008F4E07">
        <w:rPr>
          <w:rFonts w:ascii="Abadi" w:hAnsi="Abadi" w:cs="Arial-BoldMT"/>
          <w:sz w:val="21"/>
          <w:szCs w:val="21"/>
          <w:lang w:val="es-MX"/>
        </w:rPr>
        <w:t>Por todo lo anterior, en el grupo parlamentario de Morena, proponemos el siguiente punto de</w:t>
      </w:r>
    </w:p>
    <w:p w14:paraId="4180FA09" w14:textId="77777777" w:rsidR="004F761F" w:rsidRPr="008F4E07" w:rsidRDefault="004F761F" w:rsidP="004F761F">
      <w:pPr>
        <w:autoSpaceDE w:val="0"/>
        <w:autoSpaceDN w:val="0"/>
        <w:adjustRightInd w:val="0"/>
        <w:jc w:val="both"/>
        <w:rPr>
          <w:rFonts w:ascii="Abadi" w:hAnsi="Abadi" w:cs="Arial-BoldMT"/>
          <w:sz w:val="21"/>
          <w:szCs w:val="21"/>
          <w:lang w:val="es-MX"/>
        </w:rPr>
      </w:pPr>
    </w:p>
    <w:p w14:paraId="34ADD6DC" w14:textId="77777777" w:rsidR="004F761F" w:rsidRPr="008F4E07" w:rsidRDefault="004F761F" w:rsidP="004F761F">
      <w:pPr>
        <w:autoSpaceDE w:val="0"/>
        <w:autoSpaceDN w:val="0"/>
        <w:adjustRightInd w:val="0"/>
        <w:jc w:val="both"/>
        <w:rPr>
          <w:rFonts w:ascii="Abadi" w:hAnsi="Abadi" w:cs="Arial-BoldMT"/>
          <w:sz w:val="21"/>
          <w:szCs w:val="21"/>
          <w:lang w:val="es-MX"/>
        </w:rPr>
      </w:pPr>
    </w:p>
    <w:p w14:paraId="0C18729E" w14:textId="77777777" w:rsidR="004F761F" w:rsidRPr="008F4E07" w:rsidRDefault="004F761F" w:rsidP="00706E7A">
      <w:pPr>
        <w:autoSpaceDE w:val="0"/>
        <w:autoSpaceDN w:val="0"/>
        <w:adjustRightInd w:val="0"/>
        <w:jc w:val="center"/>
        <w:rPr>
          <w:rFonts w:ascii="Abadi" w:hAnsi="Abadi" w:cs="Arial-BoldMT"/>
          <w:b/>
          <w:bCs/>
          <w:sz w:val="21"/>
          <w:szCs w:val="21"/>
          <w:lang w:val="es-MX"/>
        </w:rPr>
      </w:pPr>
      <w:r w:rsidRPr="008F4E07">
        <w:rPr>
          <w:rFonts w:ascii="Abadi" w:hAnsi="Abadi" w:cs="Arial-BoldMT"/>
          <w:b/>
          <w:bCs/>
          <w:sz w:val="21"/>
          <w:szCs w:val="21"/>
          <w:lang w:val="es-MX"/>
        </w:rPr>
        <w:t>ACUERDO</w:t>
      </w:r>
    </w:p>
    <w:p w14:paraId="20F1CFD2" w14:textId="77777777" w:rsidR="004F761F" w:rsidRPr="008F4E07" w:rsidRDefault="004F761F" w:rsidP="004F761F">
      <w:pPr>
        <w:autoSpaceDE w:val="0"/>
        <w:autoSpaceDN w:val="0"/>
        <w:adjustRightInd w:val="0"/>
        <w:jc w:val="both"/>
        <w:rPr>
          <w:rFonts w:ascii="Abadi" w:hAnsi="Abadi" w:cs="Arial-BoldMT"/>
          <w:b/>
          <w:bCs/>
          <w:sz w:val="21"/>
          <w:szCs w:val="21"/>
          <w:lang w:val="es-MX"/>
        </w:rPr>
      </w:pPr>
    </w:p>
    <w:p w14:paraId="77BE7C82" w14:textId="77777777" w:rsidR="004F761F" w:rsidRPr="008F4E07" w:rsidRDefault="004F761F" w:rsidP="004F761F">
      <w:pPr>
        <w:autoSpaceDE w:val="0"/>
        <w:autoSpaceDN w:val="0"/>
        <w:adjustRightInd w:val="0"/>
        <w:jc w:val="both"/>
        <w:rPr>
          <w:rFonts w:ascii="Abadi" w:hAnsi="Abadi" w:cs="Arial-BoldMT"/>
          <w:b/>
          <w:bCs/>
          <w:sz w:val="21"/>
          <w:szCs w:val="21"/>
          <w:lang w:val="es-MX"/>
        </w:rPr>
      </w:pPr>
      <w:r w:rsidRPr="008F4E07">
        <w:rPr>
          <w:rFonts w:ascii="Abadi" w:hAnsi="Abadi" w:cs="Arial-BoldMT"/>
          <w:b/>
          <w:bCs/>
          <w:sz w:val="21"/>
          <w:szCs w:val="21"/>
          <w:lang w:val="es-MX"/>
        </w:rPr>
        <w:t xml:space="preserve">ÚNICO: La LXV Legislatura del Congreso del Estado de Guanajuato, acuerda exhortar respetuosamente al Gobernador del Estado de Guanajuato, el C. Diego </w:t>
      </w:r>
      <w:proofErr w:type="spellStart"/>
      <w:r w:rsidRPr="008F4E07">
        <w:rPr>
          <w:rFonts w:ascii="Abadi" w:hAnsi="Abadi" w:cs="Arial-BoldMT"/>
          <w:b/>
          <w:bCs/>
          <w:sz w:val="21"/>
          <w:szCs w:val="21"/>
          <w:lang w:val="es-MX"/>
        </w:rPr>
        <w:t>Sinhue</w:t>
      </w:r>
      <w:proofErr w:type="spellEnd"/>
      <w:r w:rsidRPr="008F4E07">
        <w:rPr>
          <w:rFonts w:ascii="Abadi" w:hAnsi="Abadi" w:cs="Arial-BoldMT"/>
          <w:b/>
          <w:bCs/>
          <w:sz w:val="21"/>
          <w:szCs w:val="21"/>
          <w:lang w:val="es-MX"/>
        </w:rPr>
        <w:t xml:space="preserve"> Rodríguez Vallejo, para que, con fundamento en lo establecido en la fracción IV del artículo 95 de la Constitución Política en el Estado, inicie el procedimiento de remoción del Fiscal General del Estado, Carlos Zamarripa Aguirre.</w:t>
      </w:r>
    </w:p>
    <w:p w14:paraId="4FD575CC" w14:textId="77777777" w:rsidR="004F761F" w:rsidRPr="008F4E07" w:rsidRDefault="004F761F" w:rsidP="00706E7A">
      <w:pPr>
        <w:autoSpaceDE w:val="0"/>
        <w:autoSpaceDN w:val="0"/>
        <w:adjustRightInd w:val="0"/>
        <w:jc w:val="center"/>
        <w:rPr>
          <w:rFonts w:ascii="Abadi" w:hAnsi="Abadi" w:cs="Arial-BoldMT"/>
          <w:b/>
          <w:bCs/>
          <w:sz w:val="21"/>
          <w:szCs w:val="21"/>
          <w:lang w:val="es-MX"/>
        </w:rPr>
      </w:pPr>
      <w:r w:rsidRPr="008F4E07">
        <w:rPr>
          <w:rFonts w:ascii="Abadi" w:hAnsi="Abadi" w:cs="Arial-BoldMT"/>
          <w:b/>
          <w:bCs/>
          <w:sz w:val="21"/>
          <w:szCs w:val="21"/>
          <w:lang w:val="es-MX"/>
        </w:rPr>
        <w:t>A t e n t a m e n t e.</w:t>
      </w:r>
    </w:p>
    <w:p w14:paraId="4B14F03F" w14:textId="77777777" w:rsidR="004F761F" w:rsidRPr="008F4E07" w:rsidRDefault="004F761F" w:rsidP="00706E7A">
      <w:pPr>
        <w:autoSpaceDE w:val="0"/>
        <w:autoSpaceDN w:val="0"/>
        <w:adjustRightInd w:val="0"/>
        <w:jc w:val="center"/>
        <w:rPr>
          <w:rFonts w:ascii="Abadi" w:hAnsi="Abadi" w:cs="Arial-BoldMT"/>
          <w:b/>
          <w:bCs/>
          <w:sz w:val="21"/>
          <w:szCs w:val="21"/>
          <w:lang w:val="es-MX"/>
        </w:rPr>
      </w:pPr>
      <w:r w:rsidRPr="008F4E07">
        <w:rPr>
          <w:rFonts w:ascii="Abadi" w:hAnsi="Abadi" w:cs="Arial-BoldMT"/>
          <w:b/>
          <w:bCs/>
          <w:sz w:val="21"/>
          <w:szCs w:val="21"/>
          <w:lang w:val="es-MX"/>
        </w:rPr>
        <w:t>Grupo Parlamentario de Morena.</w:t>
      </w:r>
    </w:p>
    <w:p w14:paraId="7D517241" w14:textId="77777777" w:rsidR="004F761F" w:rsidRPr="008F4E07" w:rsidRDefault="004F761F" w:rsidP="00706E7A">
      <w:pPr>
        <w:autoSpaceDE w:val="0"/>
        <w:autoSpaceDN w:val="0"/>
        <w:adjustRightInd w:val="0"/>
        <w:jc w:val="center"/>
        <w:rPr>
          <w:rFonts w:ascii="Abadi" w:hAnsi="Abadi" w:cs="Arial-BoldMT"/>
          <w:b/>
          <w:bCs/>
          <w:sz w:val="21"/>
          <w:szCs w:val="21"/>
          <w:lang w:val="es-MX"/>
        </w:rPr>
      </w:pPr>
    </w:p>
    <w:p w14:paraId="389931DB" w14:textId="77777777" w:rsidR="004F761F" w:rsidRPr="008F4E07" w:rsidRDefault="004F761F" w:rsidP="00706E7A">
      <w:pPr>
        <w:autoSpaceDE w:val="0"/>
        <w:autoSpaceDN w:val="0"/>
        <w:adjustRightInd w:val="0"/>
        <w:jc w:val="center"/>
        <w:rPr>
          <w:rFonts w:ascii="Abadi" w:hAnsi="Abadi" w:cs="Arial-BoldMT"/>
          <w:sz w:val="21"/>
          <w:szCs w:val="21"/>
          <w:lang w:val="es-MX"/>
        </w:rPr>
      </w:pPr>
    </w:p>
    <w:p w14:paraId="796238D2" w14:textId="08FD4608" w:rsidR="00FC4BDD" w:rsidRPr="008F4E07" w:rsidRDefault="004F761F" w:rsidP="00706E7A">
      <w:pPr>
        <w:autoSpaceDE w:val="0"/>
        <w:autoSpaceDN w:val="0"/>
        <w:adjustRightInd w:val="0"/>
        <w:jc w:val="center"/>
        <w:rPr>
          <w:rFonts w:ascii="Abadi" w:hAnsi="Abadi" w:cs="Arial-BoldMT"/>
          <w:sz w:val="21"/>
          <w:szCs w:val="21"/>
          <w:lang w:val="es-MX"/>
        </w:rPr>
      </w:pPr>
      <w:r w:rsidRPr="008F4E07">
        <w:rPr>
          <w:rFonts w:ascii="Abadi" w:hAnsi="Abadi" w:cs="Arial-BoldMT"/>
          <w:sz w:val="21"/>
          <w:szCs w:val="21"/>
          <w:lang w:val="es-MX"/>
        </w:rPr>
        <w:t>Guanajuato, Guanajuato, 17 de Mayo de 2022.</w:t>
      </w:r>
    </w:p>
    <w:p w14:paraId="777444A5" w14:textId="427A606F" w:rsidR="00652287" w:rsidRPr="008F4E07" w:rsidRDefault="00652287" w:rsidP="00706E7A">
      <w:pPr>
        <w:autoSpaceDE w:val="0"/>
        <w:autoSpaceDN w:val="0"/>
        <w:adjustRightInd w:val="0"/>
        <w:jc w:val="center"/>
        <w:rPr>
          <w:rFonts w:ascii="Abadi" w:hAnsi="Abadi" w:cs="Arial-BoldMT"/>
          <w:sz w:val="21"/>
          <w:szCs w:val="21"/>
          <w:lang w:val="es-MX"/>
        </w:rPr>
      </w:pPr>
    </w:p>
    <w:p w14:paraId="518B67C2" w14:textId="58BC7431" w:rsidR="00652287" w:rsidRPr="008F4E07" w:rsidRDefault="00652287" w:rsidP="00ED294D">
      <w:pPr>
        <w:pStyle w:val="NormalWeb"/>
        <w:ind w:right="333" w:firstLine="708"/>
        <w:jc w:val="both"/>
        <w:rPr>
          <w:rFonts w:ascii="Abadi" w:hAnsi="Abadi"/>
          <w:sz w:val="21"/>
          <w:szCs w:val="21"/>
        </w:rPr>
      </w:pPr>
      <w:r w:rsidRPr="008F4E07">
        <w:rPr>
          <w:rFonts w:ascii="Abadi" w:hAnsi="Abadi"/>
          <w:b/>
          <w:bCs/>
          <w:sz w:val="21"/>
          <w:szCs w:val="21"/>
        </w:rPr>
        <w:t xml:space="preserve">- La </w:t>
      </w:r>
      <w:proofErr w:type="gramStart"/>
      <w:r w:rsidRPr="008F4E07">
        <w:rPr>
          <w:rFonts w:ascii="Abadi" w:hAnsi="Abadi"/>
          <w:b/>
          <w:bCs/>
          <w:sz w:val="21"/>
          <w:szCs w:val="21"/>
        </w:rPr>
        <w:t>Presidencia.-</w:t>
      </w:r>
      <w:proofErr w:type="gramEnd"/>
      <w:r w:rsidRPr="008F4E07">
        <w:rPr>
          <w:rFonts w:ascii="Abadi" w:hAnsi="Abadi"/>
          <w:sz w:val="21"/>
          <w:szCs w:val="21"/>
        </w:rPr>
        <w:t xml:space="preserve"> Se pide a la diputada </w:t>
      </w:r>
      <w:r w:rsidR="009566FF">
        <w:rPr>
          <w:rFonts w:ascii="Abadi" w:hAnsi="Abadi"/>
          <w:sz w:val="21"/>
          <w:szCs w:val="21"/>
        </w:rPr>
        <w:t>Alma</w:t>
      </w:r>
      <w:r w:rsidRPr="008F4E07">
        <w:rPr>
          <w:rFonts w:ascii="Abadi" w:hAnsi="Abadi"/>
          <w:sz w:val="21"/>
          <w:szCs w:val="21"/>
        </w:rPr>
        <w:t xml:space="preserve"> Edwviges Alcaraz Hernández dar lectura </w:t>
      </w:r>
      <w:r w:rsidR="007946FB">
        <w:rPr>
          <w:rFonts w:ascii="Abadi" w:hAnsi="Abadi"/>
          <w:sz w:val="21"/>
          <w:szCs w:val="21"/>
        </w:rPr>
        <w:t xml:space="preserve">a </w:t>
      </w:r>
      <w:r w:rsidRPr="008F4E07">
        <w:rPr>
          <w:rFonts w:ascii="Abadi" w:hAnsi="Abadi"/>
          <w:sz w:val="21"/>
          <w:szCs w:val="21"/>
        </w:rPr>
        <w:t xml:space="preserve">su propuesta de punto de acuerdo de obvia resolución a efecto de exhortar respetuosamente al Gobernador del Estado de Guanajuato, ciudadano Diego </w:t>
      </w:r>
      <w:proofErr w:type="spellStart"/>
      <w:r w:rsidRPr="008F4E07">
        <w:rPr>
          <w:rFonts w:ascii="Abadi" w:hAnsi="Abadi"/>
          <w:sz w:val="21"/>
          <w:szCs w:val="21"/>
        </w:rPr>
        <w:t>Sinhue</w:t>
      </w:r>
      <w:proofErr w:type="spellEnd"/>
      <w:r w:rsidRPr="008F4E07">
        <w:rPr>
          <w:rFonts w:ascii="Abadi" w:hAnsi="Abadi"/>
          <w:sz w:val="21"/>
          <w:szCs w:val="21"/>
        </w:rPr>
        <w:t xml:space="preserve"> Rodríguez Vallejo, para que, con fundamento </w:t>
      </w:r>
      <w:r w:rsidR="007946FB">
        <w:rPr>
          <w:rFonts w:ascii="Abadi" w:hAnsi="Abadi"/>
          <w:sz w:val="21"/>
          <w:szCs w:val="21"/>
        </w:rPr>
        <w:t xml:space="preserve">en </w:t>
      </w:r>
      <w:r w:rsidRPr="008F4E07">
        <w:rPr>
          <w:rFonts w:ascii="Abadi" w:hAnsi="Abadi"/>
          <w:sz w:val="21"/>
          <w:szCs w:val="21"/>
        </w:rPr>
        <w:t xml:space="preserve">lo establecido en la fracción IV del artículo 95 de la Constitución Política en el Estado, inicie el procedimiento de remoción del Fiscal General del Estado, Carlos Zamarripa Aguirre. </w:t>
      </w:r>
    </w:p>
    <w:p w14:paraId="6C186D58" w14:textId="5D0D1271" w:rsidR="00652287" w:rsidRPr="008F4E07" w:rsidRDefault="00ED294D" w:rsidP="00ED294D">
      <w:pPr>
        <w:pStyle w:val="NormalWeb"/>
        <w:ind w:right="333" w:firstLine="708"/>
        <w:jc w:val="both"/>
        <w:rPr>
          <w:rFonts w:ascii="Abadi" w:hAnsi="Abadi"/>
          <w:sz w:val="21"/>
          <w:szCs w:val="21"/>
        </w:rPr>
      </w:pPr>
      <w:r w:rsidRPr="008F4E07">
        <w:rPr>
          <w:rFonts w:ascii="Abadi" w:hAnsi="Abadi"/>
          <w:sz w:val="21"/>
          <w:szCs w:val="21"/>
        </w:rPr>
        <w:t xml:space="preserve">- </w:t>
      </w:r>
      <w:r w:rsidR="00652287" w:rsidRPr="008F4E07">
        <w:rPr>
          <w:rFonts w:ascii="Abadi" w:hAnsi="Abadi"/>
          <w:sz w:val="21"/>
          <w:szCs w:val="21"/>
        </w:rPr>
        <w:t>Adelante diputada.</w:t>
      </w:r>
    </w:p>
    <w:p w14:paraId="044553CD" w14:textId="68097CF0" w:rsidR="00652287" w:rsidRDefault="00ED294D" w:rsidP="00652287">
      <w:pPr>
        <w:pStyle w:val="NormalWeb"/>
        <w:ind w:right="333"/>
        <w:jc w:val="both"/>
        <w:rPr>
          <w:rFonts w:ascii="Abadi" w:hAnsi="Abadi"/>
          <w:b/>
          <w:bCs/>
          <w:sz w:val="21"/>
          <w:szCs w:val="21"/>
        </w:rPr>
      </w:pPr>
      <w:r>
        <w:rPr>
          <w:noProof/>
        </w:rPr>
        <w:drawing>
          <wp:anchor distT="0" distB="0" distL="114300" distR="114300" simplePos="0" relativeHeight="251658252" behindDoc="1" locked="0" layoutInCell="1" allowOverlap="1" wp14:anchorId="6B0079F7" wp14:editId="20E7A8F6">
            <wp:simplePos x="0" y="0"/>
            <wp:positionH relativeFrom="column">
              <wp:align>right</wp:align>
            </wp:positionH>
            <wp:positionV relativeFrom="paragraph">
              <wp:posOffset>335185</wp:posOffset>
            </wp:positionV>
            <wp:extent cx="2097157" cy="1179087"/>
            <wp:effectExtent l="19050" t="133350" r="0" b="878840"/>
            <wp:wrapTight wrapText="bothSides">
              <wp:wrapPolygon edited="0">
                <wp:start x="196" y="-2444"/>
                <wp:lineTo x="-196" y="-698"/>
                <wp:lineTo x="392" y="37358"/>
                <wp:lineTo x="2747" y="37358"/>
                <wp:lineTo x="2944" y="36659"/>
                <wp:lineTo x="19821" y="31772"/>
                <wp:lineTo x="20409" y="-1397"/>
                <wp:lineTo x="19821" y="-1746"/>
                <wp:lineTo x="10597" y="-2444"/>
                <wp:lineTo x="196" y="-2444"/>
              </wp:wrapPolygon>
            </wp:wrapTight>
            <wp:docPr id="41" name="Imagen 4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10;&#10;Descripción generada automá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97157" cy="1179087"/>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14:paraId="61AAA8AC" w14:textId="77777777" w:rsidR="00652287" w:rsidRPr="00CC115B" w:rsidRDefault="00652287" w:rsidP="00652287">
      <w:pPr>
        <w:pStyle w:val="NormalWeb"/>
        <w:ind w:right="333"/>
        <w:jc w:val="both"/>
        <w:rPr>
          <w:rFonts w:ascii="Abadi" w:hAnsi="Abadi"/>
          <w:b/>
          <w:bCs/>
          <w:sz w:val="21"/>
          <w:szCs w:val="21"/>
        </w:rPr>
      </w:pPr>
    </w:p>
    <w:p w14:paraId="6B15AA6B" w14:textId="77777777" w:rsidR="00652287" w:rsidRPr="00A817AE" w:rsidRDefault="00652287" w:rsidP="00652287">
      <w:pPr>
        <w:pStyle w:val="NormalWeb"/>
        <w:ind w:right="333"/>
        <w:jc w:val="both"/>
        <w:rPr>
          <w:rFonts w:ascii="Abadi" w:hAnsi="Abadi"/>
          <w:b/>
          <w:bCs/>
          <w:sz w:val="21"/>
          <w:szCs w:val="21"/>
        </w:rPr>
      </w:pPr>
      <w:r w:rsidRPr="00A817AE">
        <w:rPr>
          <w:rFonts w:ascii="Abadi" w:hAnsi="Abadi"/>
          <w:b/>
          <w:bCs/>
          <w:sz w:val="21"/>
          <w:szCs w:val="21"/>
        </w:rPr>
        <w:t>- Diputada Alma Edwviges Alcaraz Hernández -</w:t>
      </w:r>
    </w:p>
    <w:p w14:paraId="2BBB9222"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Gracias Presidenta, compañeras y compañeros diputados, medios de comunicación quienes nos siguen a través de redes sociales, compañeras compañeros diputadas medios de comunicación y quienes nos siguen a través de las redes sociales muy buena tardes. </w:t>
      </w:r>
    </w:p>
    <w:p w14:paraId="55E1E2A4"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El pasado 27 de abril se recibió en este Congreso Local el tercer informe de actividades de la Fiscalía General del Estado de Guanajuato con la finalidad de profundizar en el informe el día 09/05/2022 se llevó a cabo esta reunión con el Fiscal General Carlos Zamarripa,  en dicha reunión las y los diputados de todos los Grupos Parlamentarios realizamos, los cuestionamientos esperando se empleará la información que se había remitido en el informe con respuestas pues claras y directas de parte del Fiscal General del Estado sin embargo pues esto no fue así pues prevaleció la evasión del encargado,  de la procuración de Justicia en la entidad más preocupado en intentar maquillar una realidad que la de ofrecer información veraz pero la realidad es inocultable en Guanajuato sigue prevaleciendo la violencia la inseguridad la impunidad la ineficacia en la procuración al mismo tiempo seguimos careciendo de un fiscal verdaderamente autónomo que esté alejado de los grupos de poder en la entidad para que investigue y persiga los delitos independientemente de la afiliación de quién los cometa y es que no podríamos esperar autonomía de alguien cuyo origen está precisamente ligado a los intereses partidistas quien funge actualmente como fiscal general antes de su nombramiento se había desempeñado durante 10 años como procurador de Justicia gracias a la confianza de 3 gobernadores panistas de esta entidad. </w:t>
      </w:r>
    </w:p>
    <w:p w14:paraId="55C08192"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El fraude a la Constitución que logró un pase automático del Procurador de Justicia Fiscal General mediante un artículo transitorio que avaló este Congreso la pasada legislatura significó el intento por mantener intacto el pacto de impunidad durante más de 9 años al mismo tiempo que se simulaba la creación de una Fiscalía autónoma esa falta de autonomía se acredita todos los días si se trata de opositores políticos todo el peso de la ley, lo contrario si se trata de delitos cometidos por aliados del régimen en donde se hace valer el peso del pacto de impunidad los ejemplos sobran vamos a ver puede mencionarse por ejemplo como ejemplo cuando vimos desde la Fiscalía General del Estado cómo fue protegido el agresor de Regina </w:t>
      </w:r>
      <w:proofErr w:type="spellStart"/>
      <w:r w:rsidRPr="00B831B5">
        <w:rPr>
          <w:rFonts w:ascii="Abadi" w:hAnsi="Abadi"/>
          <w:sz w:val="21"/>
          <w:szCs w:val="21"/>
        </w:rPr>
        <w:t>Irastosa</w:t>
      </w:r>
      <w:proofErr w:type="spellEnd"/>
      <w:r w:rsidRPr="00B831B5">
        <w:rPr>
          <w:rFonts w:ascii="Abadi" w:hAnsi="Abadi"/>
          <w:sz w:val="21"/>
          <w:szCs w:val="21"/>
        </w:rPr>
        <w:t xml:space="preserve">  y  Jorge en Diputado Federal por el PAN, con la conveniente reclasificación del delito de violación por el delito de abuso sexual lo pasaron de violación a abuso sexual para que el agresor pudiera llevar el proceso penal en libertad en su casa para proteger al mismo agresor repito Diputado Federal del Partido Acción Nacional no sé judicializado hay que recordar que tampoco no se ha judicializado la carpeta de investigación por otra denuncia por el delito de violación cometido en contra de María José Velázquez Navarro quien también levantó la mano con este tema de la violación de este sujeto. </w:t>
      </w:r>
    </w:p>
    <w:p w14:paraId="5537AFA1"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Cabe señalar que a pregunta expresa del Grupo Parlamentario de Morena sobre ambos casos el Fiscal General se alejó, se negó a dar la información más elemental no se tocó el tema no se profundizó en este tema pero hay muchos otros casos de protección desde la procuración de Justicia los familiares de Leonardo Reyes joven asesinado por elementos de las fuerzas de Seguridad Pública han denunciado la protección de la Fiscalía General que la Fiscalía General le ha otorgado a los elementos involucrados con la finalidad de obstaculizar el acceso a la justicia ese pacto por la impunidad en Guanajuato instrumentado por la Fiscalía General del Estado ser se ve reflejado cuando se analizan los resultados de su Fiscalía especializada en combate a la corrupción también de acuerdo con el análisis de la operación de las fiscalías anticorrupción el (IMCO)  instituto mexicano para la competitividad del en el 2021 en el periodo que va de enero del 2019 al 31/05/2020 en Guanajuato la Fiscalía especializada no judicializó una sola investigación esto se confirma también desde la información que emite la auditoría superior del Estado pues la Fiscalía especializada en combate a la corrupción recibió de la auditoría superior del Estado 265 denuncias al cierre del 2020 sin embargo la mayoría siguen en trámite 167 por cierto 60 casos archivados en otras la propia Fiscalía se ha declarado incompetente y solamente 9 se ha ido han sido judicializadas esto es apenas el 3% del paquete que le pasa a la auditoría superior del Estado a la Fiscalía Del Estado- </w:t>
      </w:r>
    </w:p>
    <w:p w14:paraId="54599B6A"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Respecto a aquella proporción presentada estrictamente durante el 2021 es decir en 9 denuncias es necesario señalar que fueron presentadas en febrero del año pasado que son denuncias pero a la fecha pues no se ha judicializado una sola aun cuando existen montos millonarios relacionados con presuntos actos de corrupción una de ellas 136 millones de pesos 12 de febrero de este año y bueno pues no hay nada no hay ningún resultado en todos estos casos la Fiscalía lleva más de un año integrando los expedientes y resulta inexplicable que lleve más de un año porque en teoría pues la auditoría superior del Estado realiza una denuncia con una investigación y esta investigación proviene de una auditoría entonces obviamente hay una carpeta ya integradas que debería facilitar el trámite para la procuración de Justicia en esta materia sin embargo pues hay llevan soñando el sueño de los justos. </w:t>
      </w:r>
    </w:p>
    <w:p w14:paraId="0CAC08E1"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En </w:t>
      </w:r>
      <w:proofErr w:type="gramStart"/>
      <w:r w:rsidRPr="00B831B5">
        <w:rPr>
          <w:rFonts w:ascii="Abadi" w:hAnsi="Abadi"/>
          <w:sz w:val="21"/>
          <w:szCs w:val="21"/>
        </w:rPr>
        <w:t>suma</w:t>
      </w:r>
      <w:proofErr w:type="gramEnd"/>
      <w:r w:rsidRPr="00B831B5">
        <w:rPr>
          <w:rFonts w:ascii="Abadi" w:hAnsi="Abadi"/>
          <w:sz w:val="21"/>
          <w:szCs w:val="21"/>
        </w:rPr>
        <w:t xml:space="preserve"> es necesario precisar que de todas las denuncias presentadas por la auditoría superior del Estado por presuntos actos de corrupción no se ha obtenido una sola e sentencia condenatoria una sola no se </w:t>
      </w:r>
      <w:proofErr w:type="spellStart"/>
      <w:r w:rsidRPr="00B831B5">
        <w:rPr>
          <w:rFonts w:ascii="Abadi" w:hAnsi="Abadi"/>
          <w:sz w:val="21"/>
          <w:szCs w:val="21"/>
        </w:rPr>
        <w:t>ah</w:t>
      </w:r>
      <w:proofErr w:type="spellEnd"/>
      <w:r w:rsidRPr="00B831B5">
        <w:rPr>
          <w:rFonts w:ascii="Abadi" w:hAnsi="Abadi"/>
          <w:sz w:val="21"/>
          <w:szCs w:val="21"/>
        </w:rPr>
        <w:t xml:space="preserve"> obtenido, con lo cual se muestra que la Fiscalía General del Estado está interesada muy poco interesada o no interesada en combatir la corrupción.</w:t>
      </w:r>
    </w:p>
    <w:p w14:paraId="3EDD4B46"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En cuanto a la violencia y la inseguridad éstas han ido en aumento constante de la mano del actual fiscal desde que asumió el cargo como procurador de Justicia hasta la fecha la violencia y la delincuencia la delincuencia no han parado un año antes de su llegada en el 2008 el INEGI reportó 296 defunciones por homicidio en todo el año 2008 para el 2020 es el ultimo el último dato disponible este número subió hasta 5083, 5083 homicidios se incrementaron más de 1600 por ciento. </w:t>
      </w:r>
    </w:p>
    <w:p w14:paraId="4A9D845C"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Por su parte de acuerdo con datos del Secretariado Ejecutivo del Sistema Nacional de Seguridad Pública en el 2021 Guanajuato fue la entidad con el mayor número de víctimas de homicidios dolosos en todo el país con 3516 víctimas. </w:t>
      </w:r>
    </w:p>
    <w:p w14:paraId="17EBA5A6"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Número uno dicha tendencia se sostiene durante el primer semestre de este 2022 cuando Guanajuato ocupó también el primer lugar, el primer lugar en homicidios dolosos a nivel nacional con 766 de los cuales 61% se realizaron con armas de fuego. </w:t>
      </w:r>
    </w:p>
    <w:p w14:paraId="463E9E2E"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En este sentido los homicidios dolosos en Guanajuato representan el 10% del incidencia de este delito en todo el país primer lugar, la ola de violencia y la ola de impunidad ha afectado en gran medida a las mujeres aunque el fiscal omitió incomprensiblemente referirse al tema en su informe de enero a diciembre del 2021 se reportaron 378 muertes violentas de mujeres 34 feminicidios y 344 homicidios dolosos está igualmente forma parte de una tendencia en la que Guanajuato es una entidad cada vez más violenta para las mujeres. </w:t>
      </w:r>
    </w:p>
    <w:p w14:paraId="6B47327C"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En 2015 las mujeres violentas de mujeres ocurridas en Guanajuato representaban apenas el 6% del total nacional para el 2021 esta cifra ya había subido al 10% por eso actualmente Guanajuato nosotros no consideramos el epicentro de la violencia contra la mujer desde el 2020 uno de cada una de cada 10 muertes violentas de mujeres suceden de ese país suceden en este Estado en Guanajuato durante los últimos 2 años más de una mujer por día es asesinada de forma violenta en Guanajuato y eso no lo decimos nosotros lo dicen las estadísticas de esta forma pese a la tendencia nacional de reducción de la violencia fatal contra las mujeres Guanajuato sigue ocupando el primer lugar como la entidad con más casos registrados de homicidios dolosos de mujeres lo anterior llevó a la Comisión Nacional de Derechos Humanos a solicitar que se decretara la alerta de violencia de género en la entidad y también que mi compañera Martha Edith, Diputada Local solicitará por parte del Grupo Parlamentario de Morena está alerta de género la misma estrategia para intentar ocultar los fenómenos de violencia que se viven en Guanajuato fue utilizada durante años en el caso de la desaparición de personas la narrativa oficial de la Fiscalía estatal fue la de desconocer completamente el fenómeno de la desaparición de personas y las fosas clandestinas lamentablemente en Guanajuato es otra realidad latente apenas el pasado 13 de mayo el Grupo de Buscadoras Madres Guerreras de León informó que se encontraron restos de personas en una fosa clandestina rumbo de Hacienda arriba en León Guanajuato la desaparición y no localización de 2686 personas en el estado los hallazgos de fosas clandestinas a lo largo de todo el estado junto con la crisis forense ha pulverizado los efectos de la propaganda oficial pero esto no ha sido suficiente para que el grupo en el poder en Guanajuato desde hace más de 30 años asuma con puntual responsabilidad se analice con seriedad este problema y genere un cambio en la ruta política de la inseguridad y procuración de Justicia. </w:t>
      </w:r>
    </w:p>
    <w:p w14:paraId="2568AED8"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Compañeras y compañeros diputadas diputados la falta de autonomía del fiscal acompañada por los pésimos resultados que ya hemos estado viendo aquí constituyen causas graves que exigen que esta soberanía se analiza y se discuta la continuidad de que Carlos Zamarripa, continúe al frente del Grupo Parlamentario de Morena consideramos que debe removerse el actual Fiscal General del Estado y en su lugar a través de un procedimiento que ahora sí respete la Constitución se elige a un fiscal autónomo eficiente y a la altura de los retos de nuestra entidad en estos momentos. </w:t>
      </w:r>
    </w:p>
    <w:p w14:paraId="3C08483F" w14:textId="77777777" w:rsidR="00652287" w:rsidRPr="00B831B5" w:rsidRDefault="00652287" w:rsidP="00652287">
      <w:pPr>
        <w:pStyle w:val="NormalWeb"/>
        <w:ind w:right="333"/>
        <w:jc w:val="both"/>
        <w:rPr>
          <w:rFonts w:ascii="Abadi" w:hAnsi="Abadi"/>
          <w:sz w:val="21"/>
          <w:szCs w:val="21"/>
        </w:rPr>
      </w:pPr>
      <w:r w:rsidRPr="00B831B5">
        <w:rPr>
          <w:rFonts w:ascii="Abadi" w:hAnsi="Abadi"/>
          <w:sz w:val="21"/>
          <w:szCs w:val="21"/>
        </w:rPr>
        <w:t xml:space="preserve">- Por lo anterior el Grupo Parlamentario de Morena, propone el siguiente Punto de Acuerdo esta Legislatura del Congreso del Estado de Guanajuato acuerda exhortar respetuosamente al Gobernador del Estado de Guanajuato al ciudadano Diego </w:t>
      </w:r>
      <w:proofErr w:type="spellStart"/>
      <w:r w:rsidRPr="00B831B5">
        <w:rPr>
          <w:rFonts w:ascii="Abadi" w:hAnsi="Abadi"/>
          <w:sz w:val="21"/>
          <w:szCs w:val="21"/>
        </w:rPr>
        <w:t>Sinhue</w:t>
      </w:r>
      <w:proofErr w:type="spellEnd"/>
      <w:r w:rsidRPr="00B831B5">
        <w:rPr>
          <w:rFonts w:ascii="Abadi" w:hAnsi="Abadi"/>
          <w:sz w:val="21"/>
          <w:szCs w:val="21"/>
        </w:rPr>
        <w:t xml:space="preserve"> Rodríguez Vallejo, para que con fundamento en lo establecido en la fracción cuarto del artículo 95 de la Constitución Política del Estado inicia el procedimiento de remoción del fiscal general del Estado Carlos Zamarripa Aguirre. </w:t>
      </w:r>
    </w:p>
    <w:p w14:paraId="24C86012" w14:textId="23ACE194" w:rsidR="00652287" w:rsidRDefault="001F56AC" w:rsidP="00652287">
      <w:pPr>
        <w:pStyle w:val="NormalWeb"/>
        <w:ind w:right="333"/>
        <w:jc w:val="both"/>
        <w:rPr>
          <w:rFonts w:ascii="Abadi" w:hAnsi="Abadi"/>
          <w:sz w:val="21"/>
          <w:szCs w:val="21"/>
        </w:rPr>
      </w:pPr>
      <w:r>
        <w:rPr>
          <w:rFonts w:ascii="Abadi" w:hAnsi="Abadi"/>
          <w:sz w:val="21"/>
          <w:szCs w:val="21"/>
        </w:rPr>
        <w:t xml:space="preserve">- </w:t>
      </w:r>
      <w:r w:rsidR="00652287" w:rsidRPr="00B831B5">
        <w:rPr>
          <w:rFonts w:ascii="Abadi" w:hAnsi="Abadi"/>
          <w:sz w:val="21"/>
          <w:szCs w:val="21"/>
        </w:rPr>
        <w:t>Es cuánto, diputada Presidenta</w:t>
      </w:r>
      <w:r w:rsidR="00652287">
        <w:rPr>
          <w:rFonts w:ascii="Abadi" w:hAnsi="Abadi"/>
          <w:sz w:val="21"/>
          <w:szCs w:val="21"/>
        </w:rPr>
        <w:t>.</w:t>
      </w:r>
    </w:p>
    <w:p w14:paraId="361A5B72" w14:textId="2A23A9A0" w:rsidR="00652287" w:rsidRDefault="001F56AC" w:rsidP="001F56AC">
      <w:pPr>
        <w:pStyle w:val="NormalWeb"/>
        <w:ind w:right="333" w:firstLine="708"/>
        <w:jc w:val="both"/>
        <w:rPr>
          <w:rFonts w:ascii="Abadi" w:hAnsi="Abadi"/>
          <w:sz w:val="21"/>
          <w:szCs w:val="21"/>
        </w:rPr>
      </w:pPr>
      <w:r>
        <w:rPr>
          <w:rFonts w:ascii="Abadi" w:hAnsi="Abadi"/>
          <w:b/>
          <w:bCs/>
          <w:sz w:val="21"/>
          <w:szCs w:val="21"/>
        </w:rPr>
        <w:t xml:space="preserve">- </w:t>
      </w:r>
      <w:r w:rsidR="00652287" w:rsidRPr="00A96D37">
        <w:rPr>
          <w:rFonts w:ascii="Abadi" w:hAnsi="Abadi"/>
          <w:b/>
          <w:bCs/>
          <w:sz w:val="21"/>
          <w:szCs w:val="21"/>
        </w:rPr>
        <w:t xml:space="preserve">La </w:t>
      </w:r>
      <w:proofErr w:type="gramStart"/>
      <w:r w:rsidR="00652287" w:rsidRPr="00A96D37">
        <w:rPr>
          <w:rFonts w:ascii="Abadi" w:hAnsi="Abadi"/>
          <w:b/>
          <w:bCs/>
          <w:sz w:val="21"/>
          <w:szCs w:val="21"/>
        </w:rPr>
        <w:t>Presidencia.-</w:t>
      </w:r>
      <w:proofErr w:type="gramEnd"/>
      <w:r w:rsidR="00652287">
        <w:rPr>
          <w:rFonts w:ascii="Abadi" w:hAnsi="Abadi"/>
          <w:sz w:val="21"/>
          <w:szCs w:val="21"/>
        </w:rPr>
        <w:t xml:space="preserve"> </w:t>
      </w:r>
      <w:r w:rsidR="00652287" w:rsidRPr="0021199F">
        <w:rPr>
          <w:rFonts w:ascii="Abadi" w:hAnsi="Abadi"/>
          <w:sz w:val="21"/>
          <w:szCs w:val="21"/>
        </w:rPr>
        <w:t>Muchas Gracia</w:t>
      </w:r>
      <w:r w:rsidR="00652287">
        <w:rPr>
          <w:rFonts w:ascii="Abadi" w:hAnsi="Abadi"/>
          <w:sz w:val="21"/>
          <w:szCs w:val="21"/>
        </w:rPr>
        <w:t>s.</w:t>
      </w:r>
    </w:p>
    <w:p w14:paraId="2C32F424" w14:textId="054B02A6" w:rsidR="00652287" w:rsidRDefault="001F56AC" w:rsidP="001F56AC">
      <w:pPr>
        <w:pStyle w:val="NormalWeb"/>
        <w:ind w:right="333" w:firstLine="708"/>
        <w:jc w:val="both"/>
        <w:rPr>
          <w:rFonts w:ascii="Abadi" w:hAnsi="Abadi"/>
          <w:sz w:val="21"/>
          <w:szCs w:val="21"/>
        </w:rPr>
      </w:pPr>
      <w:r>
        <w:rPr>
          <w:rFonts w:ascii="Abadi" w:hAnsi="Abadi"/>
          <w:sz w:val="21"/>
          <w:szCs w:val="21"/>
        </w:rPr>
        <w:t xml:space="preserve">- </w:t>
      </w:r>
      <w:r w:rsidR="00652287">
        <w:rPr>
          <w:rFonts w:ascii="Abadi" w:hAnsi="Abadi"/>
          <w:sz w:val="21"/>
          <w:szCs w:val="21"/>
        </w:rPr>
        <w:t xml:space="preserve">En </w:t>
      </w:r>
      <w:r w:rsidR="00652287" w:rsidRPr="0021199F">
        <w:rPr>
          <w:rFonts w:ascii="Abadi" w:hAnsi="Abadi"/>
          <w:sz w:val="21"/>
          <w:szCs w:val="21"/>
        </w:rPr>
        <w:t xml:space="preserve">los términos solicitados por la proponente, se somete a la Asamblea se declare </w:t>
      </w:r>
      <w:r w:rsidR="00652287">
        <w:rPr>
          <w:rFonts w:ascii="Abadi" w:hAnsi="Abadi"/>
          <w:sz w:val="21"/>
          <w:szCs w:val="21"/>
        </w:rPr>
        <w:t>de obvia resolución</w:t>
      </w:r>
      <w:r w:rsidR="00652287" w:rsidRPr="0021199F">
        <w:rPr>
          <w:rFonts w:ascii="Abadi" w:hAnsi="Abadi"/>
          <w:sz w:val="21"/>
          <w:szCs w:val="21"/>
        </w:rPr>
        <w:t xml:space="preserve"> la propuesta de punto de acuerdo con fundamento lo dispuesto por el artículo </w:t>
      </w:r>
      <w:r w:rsidR="00652287">
        <w:rPr>
          <w:rFonts w:ascii="Abadi" w:hAnsi="Abadi"/>
          <w:sz w:val="21"/>
          <w:szCs w:val="21"/>
        </w:rPr>
        <w:t>177</w:t>
      </w:r>
      <w:r w:rsidR="00652287" w:rsidRPr="0021199F">
        <w:rPr>
          <w:rFonts w:ascii="Abadi" w:hAnsi="Abadi"/>
          <w:sz w:val="21"/>
          <w:szCs w:val="21"/>
        </w:rPr>
        <w:t xml:space="preserve"> de la Ley Orgánica del </w:t>
      </w:r>
      <w:r>
        <w:rPr>
          <w:rFonts w:ascii="Abadi" w:hAnsi="Abadi"/>
          <w:sz w:val="21"/>
          <w:szCs w:val="21"/>
        </w:rPr>
        <w:t xml:space="preserve">- </w:t>
      </w:r>
      <w:r w:rsidR="00652287" w:rsidRPr="0021199F">
        <w:rPr>
          <w:rFonts w:ascii="Abadi" w:hAnsi="Abadi"/>
          <w:sz w:val="21"/>
          <w:szCs w:val="21"/>
        </w:rPr>
        <w:t>Poder Legislativo del Estado.</w:t>
      </w:r>
    </w:p>
    <w:p w14:paraId="39CCC6BF" w14:textId="147D06C0" w:rsidR="00652287" w:rsidRDefault="001F56AC" w:rsidP="001F56AC">
      <w:pPr>
        <w:pStyle w:val="NormalWeb"/>
        <w:ind w:right="333" w:firstLine="708"/>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Esta presidencia da la más cordial bienvenida al Grupo de habitantes de la Comunidad de San Isidro del Palmar,</w:t>
      </w:r>
      <w:r w:rsidR="00652287">
        <w:rPr>
          <w:rFonts w:ascii="Abadi" w:hAnsi="Abadi"/>
          <w:sz w:val="21"/>
          <w:szCs w:val="21"/>
        </w:rPr>
        <w:t xml:space="preserve"> de </w:t>
      </w:r>
      <w:r w:rsidR="00652287" w:rsidRPr="0021199F">
        <w:rPr>
          <w:rFonts w:ascii="Abadi" w:hAnsi="Abadi"/>
          <w:sz w:val="21"/>
          <w:szCs w:val="21"/>
        </w:rPr>
        <w:t>Celaya, Guanajuato, perteneciente a</w:t>
      </w:r>
      <w:r w:rsidR="00652287">
        <w:rPr>
          <w:rFonts w:ascii="Abadi" w:hAnsi="Abadi"/>
          <w:sz w:val="21"/>
          <w:szCs w:val="21"/>
        </w:rPr>
        <w:t xml:space="preserve">l distrito XV, </w:t>
      </w:r>
      <w:r w:rsidR="00652287" w:rsidRPr="0021199F">
        <w:rPr>
          <w:rFonts w:ascii="Abadi" w:hAnsi="Abadi"/>
          <w:sz w:val="21"/>
          <w:szCs w:val="21"/>
        </w:rPr>
        <w:t>invitados por la diputada María de la Luz Hernández Martínez</w:t>
      </w:r>
      <w:r w:rsidR="00652287">
        <w:rPr>
          <w:rFonts w:ascii="Abadi" w:hAnsi="Abadi"/>
          <w:sz w:val="21"/>
          <w:szCs w:val="21"/>
        </w:rPr>
        <w:t xml:space="preserve">, </w:t>
      </w:r>
      <w:r w:rsidR="00652287" w:rsidRPr="0021199F">
        <w:rPr>
          <w:rFonts w:ascii="Abadi" w:hAnsi="Abadi"/>
          <w:sz w:val="21"/>
          <w:szCs w:val="21"/>
        </w:rPr>
        <w:t>bienvenido</w:t>
      </w:r>
      <w:r w:rsidR="00652287">
        <w:rPr>
          <w:rFonts w:ascii="Abadi" w:hAnsi="Abadi"/>
          <w:sz w:val="21"/>
          <w:szCs w:val="21"/>
        </w:rPr>
        <w:t>s, m</w:t>
      </w:r>
      <w:r w:rsidR="00652287" w:rsidRPr="0021199F">
        <w:rPr>
          <w:rFonts w:ascii="Abadi" w:hAnsi="Abadi"/>
          <w:sz w:val="21"/>
          <w:szCs w:val="21"/>
        </w:rPr>
        <w:t xml:space="preserve">uchas gracias por estar aquí. </w:t>
      </w:r>
    </w:p>
    <w:p w14:paraId="7FF153AA" w14:textId="755A5BC0" w:rsidR="00652287" w:rsidRDefault="001F56AC" w:rsidP="001F56AC">
      <w:pPr>
        <w:pStyle w:val="NormalWeb"/>
        <w:ind w:right="333" w:firstLine="708"/>
        <w:jc w:val="both"/>
        <w:rPr>
          <w:rFonts w:ascii="Abadi" w:hAnsi="Abadi"/>
          <w:sz w:val="21"/>
          <w:szCs w:val="21"/>
        </w:rPr>
      </w:pPr>
      <w:r>
        <w:rPr>
          <w:rFonts w:ascii="Abadi" w:hAnsi="Abadi"/>
          <w:b/>
          <w:bCs/>
          <w:sz w:val="21"/>
          <w:szCs w:val="21"/>
        </w:rPr>
        <w:t xml:space="preserve">- </w:t>
      </w:r>
      <w:r w:rsidR="00652287" w:rsidRPr="00A96D37">
        <w:rPr>
          <w:rFonts w:ascii="Abadi" w:hAnsi="Abadi"/>
          <w:b/>
          <w:bCs/>
          <w:sz w:val="21"/>
          <w:szCs w:val="21"/>
        </w:rPr>
        <w:t xml:space="preserve">La </w:t>
      </w:r>
      <w:proofErr w:type="gramStart"/>
      <w:r w:rsidR="00652287" w:rsidRPr="00A96D37">
        <w:rPr>
          <w:rFonts w:ascii="Abadi" w:hAnsi="Abadi"/>
          <w:b/>
          <w:bCs/>
          <w:sz w:val="21"/>
          <w:szCs w:val="21"/>
        </w:rPr>
        <w:t>Presidencia.-</w:t>
      </w:r>
      <w:proofErr w:type="gramEnd"/>
      <w:r w:rsidR="00652287">
        <w:rPr>
          <w:rFonts w:ascii="Abadi" w:hAnsi="Abadi"/>
          <w:sz w:val="21"/>
          <w:szCs w:val="21"/>
        </w:rPr>
        <w:t xml:space="preserve"> Se</w:t>
      </w:r>
      <w:r w:rsidR="00652287" w:rsidRPr="0021199F">
        <w:rPr>
          <w:rFonts w:ascii="Abadi" w:hAnsi="Abadi"/>
          <w:sz w:val="21"/>
          <w:szCs w:val="21"/>
        </w:rPr>
        <w:t xml:space="preserve"> informa la Asamblea</w:t>
      </w:r>
      <w:r w:rsidR="00652287">
        <w:rPr>
          <w:rFonts w:ascii="Abadi" w:hAnsi="Abadi"/>
          <w:sz w:val="21"/>
          <w:szCs w:val="21"/>
        </w:rPr>
        <w:t xml:space="preserve">, que a efecto de que la </w:t>
      </w:r>
      <w:r w:rsidR="00652287" w:rsidRPr="0021199F">
        <w:rPr>
          <w:rFonts w:ascii="Abadi" w:hAnsi="Abadi"/>
          <w:sz w:val="21"/>
          <w:szCs w:val="21"/>
        </w:rPr>
        <w:t xml:space="preserve">propuesta de punto de acuerdo se declare </w:t>
      </w:r>
      <w:r w:rsidR="00652287">
        <w:rPr>
          <w:rFonts w:ascii="Abadi" w:hAnsi="Abadi"/>
          <w:sz w:val="21"/>
          <w:szCs w:val="21"/>
        </w:rPr>
        <w:t xml:space="preserve">de obvia </w:t>
      </w:r>
      <w:r w:rsidR="00652287" w:rsidRPr="0021199F">
        <w:rPr>
          <w:rFonts w:ascii="Abadi" w:hAnsi="Abadi"/>
          <w:sz w:val="21"/>
          <w:szCs w:val="21"/>
        </w:rPr>
        <w:t xml:space="preserve"> resolución debe ser aprobada por las dos terceras partes de los integrantes del Pleno</w:t>
      </w:r>
      <w:r w:rsidR="00652287">
        <w:rPr>
          <w:rFonts w:ascii="Abadi" w:hAnsi="Abadi"/>
          <w:sz w:val="21"/>
          <w:szCs w:val="21"/>
        </w:rPr>
        <w:t>.</w:t>
      </w:r>
    </w:p>
    <w:p w14:paraId="6823AF7E" w14:textId="696935A5" w:rsidR="00652287" w:rsidRDefault="001F56AC" w:rsidP="001F56AC">
      <w:pPr>
        <w:pStyle w:val="NormalWeb"/>
        <w:ind w:right="333" w:firstLine="708"/>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Si alguna diputada o algún diputado desea hacer uso de la palabra en relación a la o</w:t>
      </w:r>
      <w:r w:rsidR="00652287">
        <w:rPr>
          <w:rFonts w:ascii="Abadi" w:hAnsi="Abadi"/>
          <w:sz w:val="21"/>
          <w:szCs w:val="21"/>
        </w:rPr>
        <w:t>bvia</w:t>
      </w:r>
      <w:r w:rsidR="00652287" w:rsidRPr="0021199F">
        <w:rPr>
          <w:rFonts w:ascii="Abadi" w:hAnsi="Abadi"/>
          <w:sz w:val="21"/>
          <w:szCs w:val="21"/>
        </w:rPr>
        <w:t xml:space="preserve"> resolución sírvanse manifestarlo, indicando el sentido de su participación</w:t>
      </w:r>
      <w:r w:rsidR="00652287">
        <w:rPr>
          <w:rFonts w:ascii="Abadi" w:hAnsi="Abadi"/>
          <w:sz w:val="21"/>
          <w:szCs w:val="21"/>
        </w:rPr>
        <w:t>.</w:t>
      </w:r>
    </w:p>
    <w:p w14:paraId="3C107606" w14:textId="0B3B7655" w:rsidR="00652287" w:rsidRDefault="001F56AC" w:rsidP="001F56AC">
      <w:pPr>
        <w:pStyle w:val="NormalWeb"/>
        <w:ind w:right="333" w:firstLine="708"/>
        <w:jc w:val="both"/>
        <w:rPr>
          <w:rFonts w:ascii="Abadi" w:hAnsi="Abadi"/>
          <w:sz w:val="21"/>
          <w:szCs w:val="21"/>
        </w:rPr>
      </w:pPr>
      <w:r>
        <w:rPr>
          <w:rFonts w:ascii="Abadi" w:hAnsi="Abadi"/>
          <w:sz w:val="21"/>
          <w:szCs w:val="21"/>
        </w:rPr>
        <w:t xml:space="preserve">- </w:t>
      </w:r>
      <w:r w:rsidR="00652287">
        <w:rPr>
          <w:rFonts w:ascii="Abadi" w:hAnsi="Abadi"/>
          <w:sz w:val="21"/>
          <w:szCs w:val="21"/>
        </w:rPr>
        <w:t>E</w:t>
      </w:r>
      <w:r w:rsidR="00652287" w:rsidRPr="0021199F">
        <w:rPr>
          <w:rFonts w:ascii="Abadi" w:hAnsi="Abadi"/>
          <w:sz w:val="21"/>
          <w:szCs w:val="21"/>
        </w:rPr>
        <w:t>n virtud de que ninguna diputada o ningún diputado desea hacer uso de la palabra, se r</w:t>
      </w:r>
      <w:r w:rsidR="00652287">
        <w:rPr>
          <w:rFonts w:ascii="Abadi" w:hAnsi="Abadi"/>
          <w:sz w:val="21"/>
          <w:szCs w:val="21"/>
        </w:rPr>
        <w:t>u</w:t>
      </w:r>
      <w:r w:rsidR="00652287" w:rsidRPr="0021199F">
        <w:rPr>
          <w:rFonts w:ascii="Abadi" w:hAnsi="Abadi"/>
          <w:sz w:val="21"/>
          <w:szCs w:val="21"/>
        </w:rPr>
        <w:t xml:space="preserve">ega la </w:t>
      </w:r>
      <w:r w:rsidR="00652287">
        <w:rPr>
          <w:rFonts w:ascii="Abadi" w:hAnsi="Abadi"/>
          <w:sz w:val="21"/>
          <w:szCs w:val="21"/>
        </w:rPr>
        <w:t>S</w:t>
      </w:r>
      <w:r w:rsidR="00652287" w:rsidRPr="0021199F">
        <w:rPr>
          <w:rFonts w:ascii="Abadi" w:hAnsi="Abadi"/>
          <w:sz w:val="21"/>
          <w:szCs w:val="21"/>
        </w:rPr>
        <w:t>ecretar</w:t>
      </w:r>
      <w:r w:rsidR="00652287">
        <w:rPr>
          <w:rFonts w:ascii="Abadi" w:hAnsi="Abadi"/>
          <w:sz w:val="21"/>
          <w:szCs w:val="21"/>
        </w:rPr>
        <w:t>i</w:t>
      </w:r>
      <w:r w:rsidR="00652287" w:rsidRPr="0021199F">
        <w:rPr>
          <w:rFonts w:ascii="Abadi" w:hAnsi="Abadi"/>
          <w:sz w:val="21"/>
          <w:szCs w:val="21"/>
        </w:rPr>
        <w:t>a que en votación económica, a través del sistema electrónico, pregunt</w:t>
      </w:r>
      <w:r w:rsidR="00652287">
        <w:rPr>
          <w:rFonts w:ascii="Abadi" w:hAnsi="Abadi"/>
          <w:sz w:val="21"/>
          <w:szCs w:val="21"/>
        </w:rPr>
        <w:t>e a</w:t>
      </w:r>
      <w:r w:rsidR="00652287" w:rsidRPr="0021199F">
        <w:rPr>
          <w:rFonts w:ascii="Abadi" w:hAnsi="Abadi"/>
          <w:sz w:val="21"/>
          <w:szCs w:val="21"/>
        </w:rPr>
        <w:t xml:space="preserve"> la </w:t>
      </w:r>
      <w:r w:rsidR="00652287">
        <w:rPr>
          <w:rFonts w:ascii="Abadi" w:hAnsi="Abadi"/>
          <w:sz w:val="21"/>
          <w:szCs w:val="21"/>
        </w:rPr>
        <w:t>Asamblea, si es de ap</w:t>
      </w:r>
      <w:r w:rsidR="00652287" w:rsidRPr="0021199F">
        <w:rPr>
          <w:rFonts w:ascii="Abadi" w:hAnsi="Abadi"/>
          <w:sz w:val="21"/>
          <w:szCs w:val="21"/>
        </w:rPr>
        <w:t>robarse la obvia resolución sometido a consideración</w:t>
      </w:r>
      <w:r w:rsidR="00652287">
        <w:rPr>
          <w:rFonts w:ascii="Abadi" w:hAnsi="Abadi"/>
          <w:sz w:val="21"/>
          <w:szCs w:val="21"/>
        </w:rPr>
        <w:t>.</w:t>
      </w:r>
    </w:p>
    <w:p w14:paraId="5E8CAAAE" w14:textId="77777777" w:rsidR="00652287" w:rsidRPr="00CD3F15" w:rsidRDefault="00652287" w:rsidP="001F56AC">
      <w:pPr>
        <w:pStyle w:val="NormalWeb"/>
        <w:ind w:right="333"/>
        <w:jc w:val="center"/>
        <w:rPr>
          <w:rFonts w:ascii="Abadi" w:hAnsi="Abadi"/>
          <w:b/>
          <w:bCs/>
          <w:sz w:val="21"/>
          <w:szCs w:val="21"/>
        </w:rPr>
      </w:pPr>
      <w:r w:rsidRPr="00CD3F15">
        <w:rPr>
          <w:rFonts w:ascii="Abadi" w:hAnsi="Abadi"/>
          <w:b/>
          <w:bCs/>
          <w:sz w:val="21"/>
          <w:szCs w:val="21"/>
        </w:rPr>
        <w:t>(Se abre el sistema electrónico)</w:t>
      </w:r>
    </w:p>
    <w:p w14:paraId="557CC1A2" w14:textId="63459A65" w:rsidR="00652287" w:rsidRDefault="001F56AC" w:rsidP="001F56AC">
      <w:pPr>
        <w:pStyle w:val="NormalWeb"/>
        <w:ind w:right="333" w:firstLine="708"/>
        <w:jc w:val="both"/>
        <w:rPr>
          <w:rFonts w:ascii="Abadi" w:hAnsi="Abadi"/>
          <w:sz w:val="21"/>
          <w:szCs w:val="21"/>
        </w:rPr>
      </w:pPr>
      <w:r>
        <w:rPr>
          <w:rFonts w:ascii="Abadi" w:hAnsi="Abadi"/>
          <w:b/>
          <w:bCs/>
          <w:sz w:val="21"/>
          <w:szCs w:val="21"/>
        </w:rPr>
        <w:t xml:space="preserve">- </w:t>
      </w:r>
      <w:r w:rsidR="00652287" w:rsidRPr="00A96D37">
        <w:rPr>
          <w:rFonts w:ascii="Abadi" w:hAnsi="Abadi"/>
          <w:b/>
          <w:bCs/>
          <w:sz w:val="21"/>
          <w:szCs w:val="21"/>
        </w:rPr>
        <w:t xml:space="preserve">La </w:t>
      </w:r>
      <w:proofErr w:type="gramStart"/>
      <w:r w:rsidR="00652287" w:rsidRPr="00A96D37">
        <w:rPr>
          <w:rFonts w:ascii="Abadi" w:hAnsi="Abadi"/>
          <w:b/>
          <w:bCs/>
          <w:sz w:val="21"/>
          <w:szCs w:val="21"/>
        </w:rPr>
        <w:t>Secretaria.-</w:t>
      </w:r>
      <w:proofErr w:type="gramEnd"/>
      <w:r w:rsidR="00652287">
        <w:rPr>
          <w:rFonts w:ascii="Abadi" w:hAnsi="Abadi"/>
          <w:sz w:val="21"/>
          <w:szCs w:val="21"/>
        </w:rPr>
        <w:t xml:space="preserve"> </w:t>
      </w:r>
      <w:r w:rsidR="00652287" w:rsidRPr="0021199F">
        <w:rPr>
          <w:rFonts w:ascii="Abadi" w:hAnsi="Abadi"/>
          <w:sz w:val="21"/>
          <w:szCs w:val="21"/>
        </w:rPr>
        <w:t xml:space="preserve"> </w:t>
      </w:r>
      <w:r w:rsidR="00652287">
        <w:rPr>
          <w:rFonts w:ascii="Abadi" w:hAnsi="Abadi"/>
          <w:sz w:val="21"/>
          <w:szCs w:val="21"/>
        </w:rPr>
        <w:t>P</w:t>
      </w:r>
      <w:r w:rsidR="00652287" w:rsidRPr="0021199F">
        <w:rPr>
          <w:rFonts w:ascii="Abadi" w:hAnsi="Abadi"/>
          <w:sz w:val="21"/>
          <w:szCs w:val="21"/>
        </w:rPr>
        <w:t>or instrucciones de la Presidencia</w:t>
      </w:r>
      <w:r w:rsidR="00652287">
        <w:rPr>
          <w:rFonts w:ascii="Abadi" w:hAnsi="Abadi"/>
          <w:sz w:val="21"/>
          <w:szCs w:val="21"/>
        </w:rPr>
        <w:t>, e</w:t>
      </w:r>
      <w:r w:rsidR="00652287" w:rsidRPr="0021199F">
        <w:rPr>
          <w:rFonts w:ascii="Abadi" w:hAnsi="Abadi"/>
          <w:sz w:val="21"/>
          <w:szCs w:val="21"/>
        </w:rPr>
        <w:t xml:space="preserve">n votación económica, se pregunta a las diputadas y a los diputados y </w:t>
      </w:r>
      <w:r w:rsidR="00652287">
        <w:rPr>
          <w:rFonts w:ascii="Abadi" w:hAnsi="Abadi"/>
          <w:sz w:val="21"/>
          <w:szCs w:val="21"/>
        </w:rPr>
        <w:t xml:space="preserve">si se </w:t>
      </w:r>
      <w:r w:rsidR="00652287" w:rsidRPr="0021199F">
        <w:rPr>
          <w:rFonts w:ascii="Abadi" w:hAnsi="Abadi"/>
          <w:sz w:val="21"/>
          <w:szCs w:val="21"/>
        </w:rPr>
        <w:t>ap</w:t>
      </w:r>
      <w:r w:rsidR="00652287">
        <w:rPr>
          <w:rFonts w:ascii="Abadi" w:hAnsi="Abadi"/>
          <w:sz w:val="21"/>
          <w:szCs w:val="21"/>
        </w:rPr>
        <w:t>rueba</w:t>
      </w:r>
      <w:r w:rsidR="00652287" w:rsidRPr="0021199F">
        <w:rPr>
          <w:rFonts w:ascii="Abadi" w:hAnsi="Abadi"/>
          <w:sz w:val="21"/>
          <w:szCs w:val="21"/>
        </w:rPr>
        <w:t xml:space="preserve"> la obvia resolución mediante el sistema electrónico</w:t>
      </w:r>
      <w:r w:rsidR="00652287">
        <w:rPr>
          <w:rFonts w:ascii="Abadi" w:hAnsi="Abadi"/>
          <w:sz w:val="21"/>
          <w:szCs w:val="21"/>
        </w:rPr>
        <w:t>.</w:t>
      </w:r>
      <w:r w:rsidR="00652287" w:rsidRPr="0021199F">
        <w:rPr>
          <w:rFonts w:ascii="Abadi" w:hAnsi="Abadi"/>
          <w:sz w:val="21"/>
          <w:szCs w:val="21"/>
        </w:rPr>
        <w:t xml:space="preserve"> </w:t>
      </w:r>
    </w:p>
    <w:p w14:paraId="2E1D3753" w14:textId="77777777" w:rsidR="00652287" w:rsidRDefault="00652287" w:rsidP="00652287">
      <w:pPr>
        <w:pStyle w:val="NormalWeb"/>
        <w:ind w:right="333"/>
        <w:jc w:val="both"/>
        <w:rPr>
          <w:rFonts w:ascii="Abadi" w:hAnsi="Abadi"/>
          <w:sz w:val="21"/>
          <w:szCs w:val="21"/>
        </w:rPr>
      </w:pPr>
      <w:r>
        <w:rPr>
          <w:rFonts w:ascii="Abadi" w:hAnsi="Abadi"/>
          <w:sz w:val="21"/>
          <w:szCs w:val="21"/>
        </w:rPr>
        <w:t>¿F</w:t>
      </w:r>
      <w:r w:rsidRPr="0021199F">
        <w:rPr>
          <w:rFonts w:ascii="Abadi" w:hAnsi="Abadi"/>
          <w:sz w:val="21"/>
          <w:szCs w:val="21"/>
        </w:rPr>
        <w:t>alta algun</w:t>
      </w:r>
      <w:r>
        <w:rPr>
          <w:rFonts w:ascii="Abadi" w:hAnsi="Abadi"/>
          <w:sz w:val="21"/>
          <w:szCs w:val="21"/>
        </w:rPr>
        <w:t>a</w:t>
      </w:r>
      <w:r w:rsidRPr="0021199F">
        <w:rPr>
          <w:rFonts w:ascii="Abadi" w:hAnsi="Abadi"/>
          <w:sz w:val="21"/>
          <w:szCs w:val="21"/>
        </w:rPr>
        <w:t xml:space="preserve"> diputad</w:t>
      </w:r>
      <w:r>
        <w:rPr>
          <w:rFonts w:ascii="Abadi" w:hAnsi="Abadi"/>
          <w:sz w:val="21"/>
          <w:szCs w:val="21"/>
        </w:rPr>
        <w:t xml:space="preserve">a o algún </w:t>
      </w:r>
      <w:r w:rsidRPr="0021199F">
        <w:rPr>
          <w:rFonts w:ascii="Abadi" w:hAnsi="Abadi"/>
          <w:sz w:val="21"/>
          <w:szCs w:val="21"/>
        </w:rPr>
        <w:t xml:space="preserve">diputado de emitir su voto? </w:t>
      </w:r>
    </w:p>
    <w:p w14:paraId="31E02BF7" w14:textId="2759BC1E" w:rsidR="00652287" w:rsidRDefault="00652287" w:rsidP="001F56AC">
      <w:pPr>
        <w:pStyle w:val="NormalWeb"/>
        <w:ind w:right="333"/>
        <w:jc w:val="center"/>
        <w:rPr>
          <w:rFonts w:ascii="Abadi" w:hAnsi="Abadi"/>
          <w:b/>
          <w:bCs/>
          <w:sz w:val="21"/>
          <w:szCs w:val="21"/>
        </w:rPr>
      </w:pPr>
      <w:r w:rsidRPr="00661B36">
        <w:rPr>
          <w:rFonts w:ascii="Abadi" w:hAnsi="Abadi"/>
          <w:b/>
          <w:bCs/>
          <w:sz w:val="21"/>
          <w:szCs w:val="21"/>
        </w:rPr>
        <w:t>(Se cierra el sistema electrónico)</w:t>
      </w:r>
    </w:p>
    <w:p w14:paraId="7D3E60D6" w14:textId="77777777" w:rsidR="00652287" w:rsidRDefault="001F56AC" w:rsidP="001F56AC">
      <w:pPr>
        <w:pStyle w:val="NormalWeb"/>
        <w:ind w:right="333" w:firstLine="708"/>
        <w:jc w:val="both"/>
        <w:rPr>
          <w:rFonts w:ascii="Abadi" w:hAnsi="Abadi"/>
          <w:sz w:val="21"/>
          <w:szCs w:val="21"/>
        </w:rPr>
      </w:pPr>
      <w:r>
        <w:rPr>
          <w:rFonts w:ascii="Abadi" w:hAnsi="Abadi"/>
          <w:b/>
          <w:bCs/>
          <w:sz w:val="21"/>
          <w:szCs w:val="21"/>
        </w:rPr>
        <w:t xml:space="preserve">- </w:t>
      </w:r>
      <w:r w:rsidR="00652287" w:rsidRPr="007B2EFC">
        <w:rPr>
          <w:rFonts w:ascii="Abadi" w:hAnsi="Abadi"/>
          <w:b/>
          <w:bCs/>
          <w:sz w:val="21"/>
          <w:szCs w:val="21"/>
        </w:rPr>
        <w:t xml:space="preserve">La </w:t>
      </w:r>
      <w:proofErr w:type="gramStart"/>
      <w:r w:rsidR="00652287" w:rsidRPr="007B2EFC">
        <w:rPr>
          <w:rFonts w:ascii="Abadi" w:hAnsi="Abadi"/>
          <w:b/>
          <w:bCs/>
          <w:sz w:val="21"/>
          <w:szCs w:val="21"/>
        </w:rPr>
        <w:t>Secretaria.-</w:t>
      </w:r>
      <w:proofErr w:type="gramEnd"/>
      <w:r w:rsidR="00652287">
        <w:rPr>
          <w:rFonts w:ascii="Abadi" w:hAnsi="Abadi"/>
          <w:sz w:val="21"/>
          <w:szCs w:val="21"/>
        </w:rPr>
        <w:t xml:space="preserve"> </w:t>
      </w:r>
      <w:r w:rsidR="00652287" w:rsidRPr="0021199F">
        <w:rPr>
          <w:rFonts w:ascii="Abadi" w:hAnsi="Abadi"/>
          <w:sz w:val="21"/>
          <w:szCs w:val="21"/>
        </w:rPr>
        <w:t xml:space="preserve">Se registraron </w:t>
      </w:r>
      <w:r w:rsidR="00652287">
        <w:rPr>
          <w:rFonts w:ascii="Abadi" w:hAnsi="Abadi"/>
          <w:sz w:val="21"/>
          <w:szCs w:val="21"/>
        </w:rPr>
        <w:t>35</w:t>
      </w:r>
      <w:r w:rsidR="00652287" w:rsidRPr="0021199F">
        <w:rPr>
          <w:rFonts w:ascii="Abadi" w:hAnsi="Abadi"/>
          <w:sz w:val="21"/>
          <w:szCs w:val="21"/>
        </w:rPr>
        <w:t xml:space="preserve"> votos a favor. </w:t>
      </w:r>
    </w:p>
    <w:p w14:paraId="5D15E4A5" w14:textId="2F2E427F" w:rsidR="00652287" w:rsidRDefault="001F56AC" w:rsidP="001F56AC">
      <w:pPr>
        <w:pStyle w:val="NormalWeb"/>
        <w:ind w:right="333" w:firstLine="708"/>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 xml:space="preserve">La obvia resolución ha sido aprobada por unanimidad de votos. </w:t>
      </w:r>
    </w:p>
    <w:p w14:paraId="2BF16995" w14:textId="6317E930" w:rsidR="00652287" w:rsidRDefault="00267521" w:rsidP="00B37CED">
      <w:pPr>
        <w:pStyle w:val="NormalWeb"/>
        <w:ind w:right="70" w:firstLine="708"/>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En consecuencia, se somet</w:t>
      </w:r>
      <w:r w:rsidR="00652287">
        <w:rPr>
          <w:rFonts w:ascii="Abadi" w:hAnsi="Abadi"/>
          <w:sz w:val="21"/>
          <w:szCs w:val="21"/>
        </w:rPr>
        <w:t>e</w:t>
      </w:r>
      <w:r w:rsidR="00652287" w:rsidRPr="0021199F">
        <w:rPr>
          <w:rFonts w:ascii="Abadi" w:hAnsi="Abadi"/>
          <w:sz w:val="21"/>
          <w:szCs w:val="21"/>
        </w:rPr>
        <w:t xml:space="preserve"> </w:t>
      </w:r>
      <w:r w:rsidR="00652287">
        <w:rPr>
          <w:rFonts w:ascii="Abadi" w:hAnsi="Abadi"/>
          <w:sz w:val="21"/>
          <w:szCs w:val="21"/>
        </w:rPr>
        <w:t xml:space="preserve">a </w:t>
      </w:r>
      <w:r w:rsidR="00652287" w:rsidRPr="0021199F">
        <w:rPr>
          <w:rFonts w:ascii="Abadi" w:hAnsi="Abadi"/>
          <w:sz w:val="21"/>
          <w:szCs w:val="21"/>
        </w:rPr>
        <w:t xml:space="preserve">discusión del punto de acuerdo. </w:t>
      </w:r>
    </w:p>
    <w:p w14:paraId="676C3239" w14:textId="34CB5AA5" w:rsidR="00652287" w:rsidRDefault="00267521" w:rsidP="00B37CED">
      <w:pPr>
        <w:pStyle w:val="NormalWeb"/>
        <w:ind w:right="70" w:firstLine="708"/>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 xml:space="preserve">Si alguna diputada o algún diputado desea hacer uso de la palabra en pro o en contra, sírvase manifestarlo indicando </w:t>
      </w:r>
      <w:r w:rsidR="00652287">
        <w:rPr>
          <w:rFonts w:ascii="Abadi" w:hAnsi="Abadi"/>
          <w:sz w:val="21"/>
          <w:szCs w:val="21"/>
        </w:rPr>
        <w:t>el sentido de su participación</w:t>
      </w:r>
      <w:r w:rsidR="00652287" w:rsidRPr="0021199F">
        <w:rPr>
          <w:rFonts w:ascii="Abadi" w:hAnsi="Abadi"/>
          <w:sz w:val="21"/>
          <w:szCs w:val="21"/>
        </w:rPr>
        <w:t xml:space="preserve">. </w:t>
      </w:r>
      <w:r w:rsidR="00652287">
        <w:rPr>
          <w:rFonts w:ascii="Abadi" w:hAnsi="Abadi"/>
          <w:sz w:val="21"/>
          <w:szCs w:val="21"/>
        </w:rPr>
        <w:t>¿</w:t>
      </w:r>
      <w:r w:rsidR="00652287" w:rsidRPr="0021199F">
        <w:rPr>
          <w:rFonts w:ascii="Abadi" w:hAnsi="Abadi"/>
          <w:sz w:val="21"/>
          <w:szCs w:val="21"/>
        </w:rPr>
        <w:t xml:space="preserve">Diputada, </w:t>
      </w:r>
      <w:r w:rsidR="00652287">
        <w:rPr>
          <w:rFonts w:ascii="Abadi" w:hAnsi="Abadi"/>
          <w:sz w:val="21"/>
          <w:szCs w:val="21"/>
        </w:rPr>
        <w:t>Hades, p</w:t>
      </w:r>
      <w:r w:rsidR="00652287" w:rsidRPr="0021199F">
        <w:rPr>
          <w:rFonts w:ascii="Abadi" w:hAnsi="Abadi"/>
          <w:sz w:val="21"/>
          <w:szCs w:val="21"/>
        </w:rPr>
        <w:t>ara qué efecto? Para hablar a favor</w:t>
      </w:r>
      <w:r w:rsidR="00652287">
        <w:rPr>
          <w:rFonts w:ascii="Abadi" w:hAnsi="Abadi"/>
          <w:sz w:val="21"/>
          <w:szCs w:val="21"/>
        </w:rPr>
        <w:t>, d</w:t>
      </w:r>
      <w:r w:rsidR="00652287" w:rsidRPr="0021199F">
        <w:rPr>
          <w:rFonts w:ascii="Abadi" w:hAnsi="Abadi"/>
          <w:sz w:val="21"/>
          <w:szCs w:val="21"/>
        </w:rPr>
        <w:t>iputada</w:t>
      </w:r>
      <w:r w:rsidR="00652287">
        <w:rPr>
          <w:rFonts w:ascii="Abadi" w:hAnsi="Abadi"/>
          <w:sz w:val="21"/>
          <w:szCs w:val="21"/>
        </w:rPr>
        <w:t xml:space="preserve"> (Voz) diputada </w:t>
      </w:r>
      <w:r w:rsidR="00652287" w:rsidRPr="0021199F">
        <w:rPr>
          <w:rFonts w:ascii="Abadi" w:hAnsi="Abadi"/>
          <w:sz w:val="21"/>
          <w:szCs w:val="21"/>
        </w:rPr>
        <w:t>President</w:t>
      </w:r>
      <w:r w:rsidR="00652287">
        <w:rPr>
          <w:rFonts w:ascii="Abadi" w:hAnsi="Abadi"/>
          <w:sz w:val="21"/>
          <w:szCs w:val="21"/>
        </w:rPr>
        <w:t>a</w:t>
      </w:r>
      <w:r w:rsidR="00652287" w:rsidRPr="0021199F">
        <w:rPr>
          <w:rFonts w:ascii="Abadi" w:hAnsi="Abadi"/>
          <w:sz w:val="21"/>
          <w:szCs w:val="21"/>
        </w:rPr>
        <w:t xml:space="preserve">, adelante, diputada, </w:t>
      </w:r>
      <w:r w:rsidR="00652287">
        <w:rPr>
          <w:rFonts w:ascii="Abadi" w:hAnsi="Abadi"/>
          <w:sz w:val="21"/>
          <w:szCs w:val="21"/>
        </w:rPr>
        <w:t>t</w:t>
      </w:r>
      <w:r w:rsidR="00652287" w:rsidRPr="0021199F">
        <w:rPr>
          <w:rFonts w:ascii="Abadi" w:hAnsi="Abadi"/>
          <w:sz w:val="21"/>
          <w:szCs w:val="21"/>
        </w:rPr>
        <w:t xml:space="preserve">iene la voz hasta por </w:t>
      </w:r>
      <w:r w:rsidR="00652287">
        <w:rPr>
          <w:rFonts w:ascii="Abadi" w:hAnsi="Abadi"/>
          <w:sz w:val="21"/>
          <w:szCs w:val="21"/>
        </w:rPr>
        <w:t xml:space="preserve">10 </w:t>
      </w:r>
      <w:r w:rsidR="00652287" w:rsidRPr="0021199F">
        <w:rPr>
          <w:rFonts w:ascii="Abadi" w:hAnsi="Abadi"/>
          <w:sz w:val="21"/>
          <w:szCs w:val="21"/>
        </w:rPr>
        <w:t>minutos.</w:t>
      </w:r>
    </w:p>
    <w:p w14:paraId="3CCF9E48" w14:textId="480FABD3" w:rsidR="00652287" w:rsidRDefault="00652287" w:rsidP="00652287">
      <w:pPr>
        <w:pStyle w:val="NormalWeb"/>
        <w:ind w:right="333"/>
        <w:jc w:val="both"/>
        <w:rPr>
          <w:rFonts w:ascii="Abadi" w:hAnsi="Abadi"/>
          <w:b/>
          <w:bCs/>
          <w:sz w:val="21"/>
          <w:szCs w:val="21"/>
        </w:rPr>
      </w:pPr>
      <w:r w:rsidRPr="00715514">
        <w:rPr>
          <w:rFonts w:ascii="Abadi" w:hAnsi="Abadi"/>
          <w:b/>
          <w:bCs/>
          <w:sz w:val="21"/>
          <w:szCs w:val="21"/>
        </w:rPr>
        <w:t>(Sube la diputada Hade</w:t>
      </w:r>
      <w:r w:rsidR="00D20DE2">
        <w:rPr>
          <w:rFonts w:ascii="Abadi" w:hAnsi="Abadi"/>
          <w:b/>
          <w:bCs/>
          <w:sz w:val="21"/>
          <w:szCs w:val="21"/>
        </w:rPr>
        <w:t>s</w:t>
      </w:r>
      <w:r w:rsidRPr="00715514">
        <w:rPr>
          <w:rFonts w:ascii="Abadi" w:hAnsi="Abadi"/>
          <w:b/>
          <w:bCs/>
          <w:sz w:val="21"/>
          <w:szCs w:val="21"/>
        </w:rPr>
        <w:t xml:space="preserve"> Berenice Aguilar, a tribuna para hablar a favor</w:t>
      </w:r>
      <w:r>
        <w:rPr>
          <w:rFonts w:ascii="Abadi" w:hAnsi="Abadi"/>
          <w:b/>
          <w:bCs/>
          <w:sz w:val="21"/>
          <w:szCs w:val="21"/>
        </w:rPr>
        <w:t xml:space="preserve"> del punto de acuerdo</w:t>
      </w:r>
      <w:r w:rsidRPr="00715514">
        <w:rPr>
          <w:rFonts w:ascii="Abadi" w:hAnsi="Abadi"/>
          <w:b/>
          <w:bCs/>
          <w:sz w:val="21"/>
          <w:szCs w:val="21"/>
        </w:rPr>
        <w:t>)</w:t>
      </w:r>
    </w:p>
    <w:p w14:paraId="03F80760" w14:textId="0FBC6329" w:rsidR="00652287" w:rsidRDefault="004274F0" w:rsidP="00652287">
      <w:pPr>
        <w:pStyle w:val="NormalWeb"/>
        <w:ind w:right="333"/>
        <w:jc w:val="both"/>
        <w:rPr>
          <w:rFonts w:ascii="Abadi" w:hAnsi="Abadi"/>
          <w:b/>
          <w:bCs/>
          <w:sz w:val="21"/>
          <w:szCs w:val="21"/>
        </w:rPr>
      </w:pPr>
      <w:r>
        <w:rPr>
          <w:noProof/>
        </w:rPr>
        <w:drawing>
          <wp:inline distT="0" distB="0" distL="0" distR="0" wp14:anchorId="4934CA0D" wp14:editId="126B3245">
            <wp:extent cx="2385060" cy="1340689"/>
            <wp:effectExtent l="0" t="133350" r="0" b="983615"/>
            <wp:docPr id="43" name="Imagen 4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a:blip r:embed="rId49"/>
                    <a:stretch>
                      <a:fillRect/>
                    </a:stretch>
                  </pic:blipFill>
                  <pic:spPr>
                    <a:xfrm>
                      <a:off x="0" y="0"/>
                      <a:ext cx="2385060" cy="1340689"/>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14:paraId="6F962EEA" w14:textId="72493F1F" w:rsidR="00652287" w:rsidRDefault="00D20DE2" w:rsidP="00652287">
      <w:pPr>
        <w:pStyle w:val="NormalWeb"/>
        <w:ind w:right="333"/>
        <w:jc w:val="both"/>
        <w:rPr>
          <w:rFonts w:ascii="Abadi" w:hAnsi="Abadi"/>
          <w:sz w:val="21"/>
          <w:szCs w:val="21"/>
        </w:rPr>
      </w:pPr>
      <w:r>
        <w:rPr>
          <w:rFonts w:ascii="Abadi" w:hAnsi="Abadi"/>
          <w:sz w:val="21"/>
          <w:szCs w:val="21"/>
        </w:rPr>
        <w:t>¡</w:t>
      </w:r>
      <w:r w:rsidR="00652287" w:rsidRPr="0021199F">
        <w:rPr>
          <w:rFonts w:ascii="Abadi" w:hAnsi="Abadi"/>
          <w:sz w:val="21"/>
          <w:szCs w:val="21"/>
        </w:rPr>
        <w:t>Buenas tardes</w:t>
      </w:r>
      <w:r w:rsidR="00652287">
        <w:rPr>
          <w:rFonts w:ascii="Abadi" w:hAnsi="Abadi"/>
          <w:sz w:val="21"/>
          <w:szCs w:val="21"/>
        </w:rPr>
        <w:t>!</w:t>
      </w:r>
      <w:r w:rsidR="00652287" w:rsidRPr="0021199F">
        <w:rPr>
          <w:rFonts w:ascii="Abadi" w:hAnsi="Abadi"/>
          <w:sz w:val="21"/>
          <w:szCs w:val="21"/>
        </w:rPr>
        <w:t xml:space="preserve"> compañeros diputados</w:t>
      </w:r>
      <w:r w:rsidR="00652287">
        <w:rPr>
          <w:rFonts w:ascii="Abadi" w:hAnsi="Abadi"/>
          <w:sz w:val="21"/>
          <w:szCs w:val="21"/>
        </w:rPr>
        <w:t>, diputada P</w:t>
      </w:r>
      <w:r w:rsidR="00652287" w:rsidRPr="0021199F">
        <w:rPr>
          <w:rFonts w:ascii="Abadi" w:hAnsi="Abadi"/>
          <w:sz w:val="21"/>
          <w:szCs w:val="21"/>
        </w:rPr>
        <w:t xml:space="preserve">residenta </w:t>
      </w:r>
      <w:r w:rsidR="00652287">
        <w:rPr>
          <w:rFonts w:ascii="Abadi" w:hAnsi="Abadi"/>
          <w:sz w:val="21"/>
          <w:szCs w:val="21"/>
        </w:rPr>
        <w:t>l</w:t>
      </w:r>
      <w:r w:rsidR="00652287" w:rsidRPr="0021199F">
        <w:rPr>
          <w:rFonts w:ascii="Abadi" w:hAnsi="Abadi"/>
          <w:sz w:val="21"/>
          <w:szCs w:val="21"/>
        </w:rPr>
        <w:t xml:space="preserve">e saludó con cariño. </w:t>
      </w:r>
    </w:p>
    <w:p w14:paraId="6F92AE7B" w14:textId="1D5613EE" w:rsidR="00652287" w:rsidRDefault="00EC3486" w:rsidP="00652287">
      <w:pPr>
        <w:pStyle w:val="NormalWeb"/>
        <w:ind w:right="333"/>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Mi participación es para hablar a favor de un tema nuevo en el Congreso</w:t>
      </w:r>
      <w:r w:rsidR="00652287">
        <w:rPr>
          <w:rFonts w:ascii="Abadi" w:hAnsi="Abadi"/>
          <w:sz w:val="21"/>
          <w:szCs w:val="21"/>
        </w:rPr>
        <w:t>, n</w:t>
      </w:r>
      <w:r w:rsidR="00652287" w:rsidRPr="0021199F">
        <w:rPr>
          <w:rFonts w:ascii="Abadi" w:hAnsi="Abadi"/>
          <w:sz w:val="21"/>
          <w:szCs w:val="21"/>
        </w:rPr>
        <w:t>unca antes escuchado</w:t>
      </w:r>
      <w:r w:rsidR="00652287">
        <w:rPr>
          <w:rFonts w:ascii="Abadi" w:hAnsi="Abadi"/>
          <w:sz w:val="21"/>
          <w:szCs w:val="21"/>
        </w:rPr>
        <w:t>, sub</w:t>
      </w:r>
      <w:r w:rsidR="00652287" w:rsidRPr="0021199F">
        <w:rPr>
          <w:rFonts w:ascii="Abadi" w:hAnsi="Abadi"/>
          <w:sz w:val="21"/>
          <w:szCs w:val="21"/>
        </w:rPr>
        <w:t xml:space="preserve">o esta tribuna para hablar a favor del punto de acuerdo propuesto por mi </w:t>
      </w:r>
      <w:r w:rsidR="00652287">
        <w:rPr>
          <w:rFonts w:ascii="Abadi" w:hAnsi="Abadi"/>
          <w:sz w:val="21"/>
          <w:szCs w:val="21"/>
        </w:rPr>
        <w:t>G</w:t>
      </w:r>
      <w:r w:rsidR="00652287" w:rsidRPr="0021199F">
        <w:rPr>
          <w:rFonts w:ascii="Abadi" w:hAnsi="Abadi"/>
          <w:sz w:val="21"/>
          <w:szCs w:val="21"/>
        </w:rPr>
        <w:t xml:space="preserve">rupo </w:t>
      </w:r>
      <w:r w:rsidR="00652287">
        <w:rPr>
          <w:rFonts w:ascii="Abadi" w:hAnsi="Abadi"/>
          <w:sz w:val="21"/>
          <w:szCs w:val="21"/>
        </w:rPr>
        <w:t>P</w:t>
      </w:r>
      <w:r w:rsidR="00652287" w:rsidRPr="0021199F">
        <w:rPr>
          <w:rFonts w:ascii="Abadi" w:hAnsi="Abadi"/>
          <w:sz w:val="21"/>
          <w:szCs w:val="21"/>
        </w:rPr>
        <w:t xml:space="preserve">arlamentario a través de la diputada </w:t>
      </w:r>
      <w:r w:rsidR="00652287">
        <w:rPr>
          <w:rFonts w:ascii="Abadi" w:hAnsi="Abadi"/>
          <w:sz w:val="21"/>
          <w:szCs w:val="21"/>
        </w:rPr>
        <w:t>Alma Alcaraz, d</w:t>
      </w:r>
      <w:r w:rsidR="00652287" w:rsidRPr="0021199F">
        <w:rPr>
          <w:rFonts w:ascii="Abadi" w:hAnsi="Abadi"/>
          <w:sz w:val="21"/>
          <w:szCs w:val="21"/>
        </w:rPr>
        <w:t xml:space="preserve">urante los últimos tres años sólo hemos visto la continuidad de la misma política de seguridad pública y procuración de justicia fallidas en el Estado, que nos ha posicionado como el </w:t>
      </w:r>
      <w:r w:rsidR="00652287">
        <w:rPr>
          <w:rFonts w:ascii="Abadi" w:hAnsi="Abadi"/>
          <w:sz w:val="21"/>
          <w:szCs w:val="21"/>
        </w:rPr>
        <w:t>E</w:t>
      </w:r>
      <w:r w:rsidR="00652287" w:rsidRPr="0021199F">
        <w:rPr>
          <w:rFonts w:ascii="Abadi" w:hAnsi="Abadi"/>
          <w:sz w:val="21"/>
          <w:szCs w:val="21"/>
        </w:rPr>
        <w:t xml:space="preserve">stado más violento, como el Estado con más homicidios en todo el país. </w:t>
      </w:r>
    </w:p>
    <w:p w14:paraId="693C9F0A" w14:textId="6D65A340" w:rsidR="00652287" w:rsidRDefault="00EC3486" w:rsidP="00652287">
      <w:pPr>
        <w:pStyle w:val="NormalWeb"/>
        <w:ind w:right="333"/>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 xml:space="preserve">En el </w:t>
      </w:r>
      <w:r w:rsidR="00652287">
        <w:rPr>
          <w:rFonts w:ascii="Abadi" w:hAnsi="Abadi"/>
          <w:sz w:val="21"/>
          <w:szCs w:val="21"/>
        </w:rPr>
        <w:t>G</w:t>
      </w:r>
      <w:r w:rsidR="00652287" w:rsidRPr="0021199F">
        <w:rPr>
          <w:rFonts w:ascii="Abadi" w:hAnsi="Abadi"/>
          <w:sz w:val="21"/>
          <w:szCs w:val="21"/>
        </w:rPr>
        <w:t xml:space="preserve">rupo </w:t>
      </w:r>
      <w:r w:rsidR="00652287">
        <w:rPr>
          <w:rFonts w:ascii="Abadi" w:hAnsi="Abadi"/>
          <w:sz w:val="21"/>
          <w:szCs w:val="21"/>
        </w:rPr>
        <w:t>P</w:t>
      </w:r>
      <w:r w:rsidR="00652287" w:rsidRPr="0021199F">
        <w:rPr>
          <w:rFonts w:ascii="Abadi" w:hAnsi="Abadi"/>
          <w:sz w:val="21"/>
          <w:szCs w:val="21"/>
        </w:rPr>
        <w:t>arlamentario de Morena</w:t>
      </w:r>
      <w:r w:rsidR="00652287">
        <w:rPr>
          <w:rFonts w:ascii="Abadi" w:hAnsi="Abadi"/>
          <w:sz w:val="21"/>
          <w:szCs w:val="21"/>
        </w:rPr>
        <w:t>, t</w:t>
      </w:r>
      <w:r w:rsidR="00652287" w:rsidRPr="0021199F">
        <w:rPr>
          <w:rFonts w:ascii="Abadi" w:hAnsi="Abadi"/>
          <w:sz w:val="21"/>
          <w:szCs w:val="21"/>
        </w:rPr>
        <w:t>odos tenemos que el Fiscal General del Estado debe ser removido de su cargo. Su falta de autonomía, la violación a los principios, y</w:t>
      </w:r>
      <w:r w:rsidR="00652287">
        <w:rPr>
          <w:rFonts w:ascii="Abadi" w:hAnsi="Abadi"/>
          <w:sz w:val="21"/>
          <w:szCs w:val="21"/>
        </w:rPr>
        <w:t xml:space="preserve"> </w:t>
      </w:r>
      <w:r w:rsidR="00652287" w:rsidRPr="0021199F">
        <w:rPr>
          <w:rFonts w:ascii="Abadi" w:hAnsi="Abadi"/>
          <w:sz w:val="21"/>
          <w:szCs w:val="21"/>
        </w:rPr>
        <w:t xml:space="preserve">a los </w:t>
      </w:r>
      <w:r w:rsidR="00652287">
        <w:rPr>
          <w:rFonts w:ascii="Abadi" w:hAnsi="Abadi"/>
          <w:sz w:val="21"/>
          <w:szCs w:val="21"/>
        </w:rPr>
        <w:t>fines</w:t>
      </w:r>
      <w:r w:rsidR="00652287" w:rsidRPr="0021199F">
        <w:rPr>
          <w:rFonts w:ascii="Abadi" w:hAnsi="Abadi"/>
          <w:sz w:val="21"/>
          <w:szCs w:val="21"/>
        </w:rPr>
        <w:t xml:space="preserve"> de la institución y sus pésimos resultados en la procuración de Justicia y la </w:t>
      </w:r>
      <w:r w:rsidR="00652287">
        <w:rPr>
          <w:rFonts w:ascii="Abadi" w:hAnsi="Abadi"/>
          <w:sz w:val="21"/>
          <w:szCs w:val="21"/>
        </w:rPr>
        <w:t>S</w:t>
      </w:r>
      <w:r w:rsidR="00652287" w:rsidRPr="0021199F">
        <w:rPr>
          <w:rFonts w:ascii="Abadi" w:hAnsi="Abadi"/>
          <w:sz w:val="21"/>
          <w:szCs w:val="21"/>
        </w:rPr>
        <w:t xml:space="preserve">eguridad </w:t>
      </w:r>
      <w:r w:rsidR="00652287">
        <w:rPr>
          <w:rFonts w:ascii="Abadi" w:hAnsi="Abadi"/>
          <w:sz w:val="21"/>
          <w:szCs w:val="21"/>
        </w:rPr>
        <w:t>P</w:t>
      </w:r>
      <w:r w:rsidR="00652287" w:rsidRPr="0021199F">
        <w:rPr>
          <w:rFonts w:ascii="Abadi" w:hAnsi="Abadi"/>
          <w:sz w:val="21"/>
          <w:szCs w:val="21"/>
        </w:rPr>
        <w:t xml:space="preserve">ública en el Estado son causas suficientemente grave para que sea removido del cargo. </w:t>
      </w:r>
    </w:p>
    <w:p w14:paraId="55AE344C" w14:textId="56431C82" w:rsidR="00652287" w:rsidRDefault="00EC3486" w:rsidP="00652287">
      <w:pPr>
        <w:pStyle w:val="NormalWeb"/>
        <w:ind w:right="333"/>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 xml:space="preserve">El artículo </w:t>
      </w:r>
      <w:r w:rsidR="00652287">
        <w:rPr>
          <w:rFonts w:ascii="Abadi" w:hAnsi="Abadi"/>
          <w:sz w:val="21"/>
          <w:szCs w:val="21"/>
        </w:rPr>
        <w:t>18</w:t>
      </w:r>
      <w:r w:rsidR="00652287" w:rsidRPr="0021199F">
        <w:rPr>
          <w:rFonts w:ascii="Abadi" w:hAnsi="Abadi"/>
          <w:sz w:val="21"/>
          <w:szCs w:val="21"/>
        </w:rPr>
        <w:t xml:space="preserve"> de la Ley Orgánica de la Fiscalía General del Estado refiere que una de las causas graves para que el </w:t>
      </w:r>
      <w:r w:rsidR="00652287">
        <w:rPr>
          <w:rFonts w:ascii="Abadi" w:hAnsi="Abadi"/>
          <w:sz w:val="21"/>
          <w:szCs w:val="21"/>
        </w:rPr>
        <w:t>G</w:t>
      </w:r>
      <w:r w:rsidR="00652287" w:rsidRPr="0021199F">
        <w:rPr>
          <w:rFonts w:ascii="Abadi" w:hAnsi="Abadi"/>
          <w:sz w:val="21"/>
          <w:szCs w:val="21"/>
        </w:rPr>
        <w:t xml:space="preserve">obernador remueva el </w:t>
      </w:r>
      <w:r w:rsidR="00652287">
        <w:rPr>
          <w:rFonts w:ascii="Abadi" w:hAnsi="Abadi"/>
          <w:sz w:val="21"/>
          <w:szCs w:val="21"/>
        </w:rPr>
        <w:t>F</w:t>
      </w:r>
      <w:r w:rsidR="00652287" w:rsidRPr="0021199F">
        <w:rPr>
          <w:rFonts w:ascii="Abadi" w:hAnsi="Abadi"/>
          <w:sz w:val="21"/>
          <w:szCs w:val="21"/>
        </w:rPr>
        <w:t xml:space="preserve">iscal es que incumpla de manera reiterada con los </w:t>
      </w:r>
      <w:r>
        <w:rPr>
          <w:rFonts w:ascii="Abadi" w:hAnsi="Abadi"/>
          <w:sz w:val="21"/>
          <w:szCs w:val="21"/>
        </w:rPr>
        <w:t>fines</w:t>
      </w:r>
      <w:r w:rsidR="00652287" w:rsidRPr="0021199F">
        <w:rPr>
          <w:rFonts w:ascii="Abadi" w:hAnsi="Abadi"/>
          <w:sz w:val="21"/>
          <w:szCs w:val="21"/>
        </w:rPr>
        <w:t xml:space="preserve"> institucionales previstos en la ley. </w:t>
      </w:r>
    </w:p>
    <w:p w14:paraId="17193682" w14:textId="5D3F23AB" w:rsidR="00652287" w:rsidRDefault="00EC3486" w:rsidP="00652287">
      <w:pPr>
        <w:pStyle w:val="NormalWeb"/>
        <w:ind w:right="333"/>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 xml:space="preserve">Por su parte, el artículo </w:t>
      </w:r>
      <w:r w:rsidR="00652287">
        <w:rPr>
          <w:rFonts w:ascii="Abadi" w:hAnsi="Abadi"/>
          <w:sz w:val="21"/>
          <w:szCs w:val="21"/>
        </w:rPr>
        <w:t>4 d</w:t>
      </w:r>
      <w:r w:rsidR="00652287" w:rsidRPr="0021199F">
        <w:rPr>
          <w:rFonts w:ascii="Abadi" w:hAnsi="Abadi"/>
          <w:sz w:val="21"/>
          <w:szCs w:val="21"/>
        </w:rPr>
        <w:t xml:space="preserve">e la misma Ley Orgánica señalan que los principios de actuación de los servidores públicos de la Fiscalía </w:t>
      </w:r>
      <w:proofErr w:type="gramStart"/>
      <w:r w:rsidR="00652287" w:rsidRPr="0021199F">
        <w:rPr>
          <w:rFonts w:ascii="Abadi" w:hAnsi="Abadi"/>
          <w:sz w:val="21"/>
          <w:szCs w:val="21"/>
        </w:rPr>
        <w:t>son  respeto</w:t>
      </w:r>
      <w:proofErr w:type="gramEnd"/>
      <w:r w:rsidR="00652287" w:rsidRPr="0021199F">
        <w:rPr>
          <w:rFonts w:ascii="Abadi" w:hAnsi="Abadi"/>
          <w:sz w:val="21"/>
          <w:szCs w:val="21"/>
        </w:rPr>
        <w:t xml:space="preserve"> a los derechos humanos, la objetividad, la honradez, la independencia, legalidad, eficacia, autonomía, transparencia y perspectiva de género, entre </w:t>
      </w:r>
      <w:r w:rsidRPr="0021199F">
        <w:rPr>
          <w:rFonts w:ascii="Abadi" w:hAnsi="Abadi"/>
          <w:sz w:val="21"/>
          <w:szCs w:val="21"/>
        </w:rPr>
        <w:t>otras palabras</w:t>
      </w:r>
      <w:r w:rsidR="00652287" w:rsidRPr="0021199F">
        <w:rPr>
          <w:rFonts w:ascii="Abadi" w:hAnsi="Abadi"/>
          <w:sz w:val="21"/>
          <w:szCs w:val="21"/>
        </w:rPr>
        <w:t xml:space="preserve"> que no todos conocen. </w:t>
      </w:r>
    </w:p>
    <w:p w14:paraId="3D4CC61C" w14:textId="301BCB84" w:rsidR="00652287" w:rsidRDefault="00EC3486" w:rsidP="00652287">
      <w:pPr>
        <w:pStyle w:val="NormalWeb"/>
        <w:ind w:right="333"/>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 xml:space="preserve">Y el artículo </w:t>
      </w:r>
      <w:r w:rsidR="00652287">
        <w:rPr>
          <w:rFonts w:ascii="Abadi" w:hAnsi="Abadi"/>
          <w:sz w:val="21"/>
          <w:szCs w:val="21"/>
        </w:rPr>
        <w:t>49</w:t>
      </w:r>
      <w:r w:rsidR="00652287" w:rsidRPr="0021199F">
        <w:rPr>
          <w:rFonts w:ascii="Abadi" w:hAnsi="Abadi"/>
          <w:sz w:val="21"/>
          <w:szCs w:val="21"/>
        </w:rPr>
        <w:t xml:space="preserve"> de la misma Ley Orgánica señala que el Ministerio Público, es decir, la Fiscalía, tiene a su cargo la investigación y persecución de los delitos, así como el ejercicio de acción penal ante los tribunales. </w:t>
      </w:r>
    </w:p>
    <w:p w14:paraId="4558F271" w14:textId="1DE268F3" w:rsidR="00652287" w:rsidRDefault="00EC3486" w:rsidP="00652287">
      <w:pPr>
        <w:pStyle w:val="NormalWeb"/>
        <w:ind w:right="333"/>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En es</w:t>
      </w:r>
      <w:r w:rsidR="00652287">
        <w:rPr>
          <w:rFonts w:ascii="Abadi" w:hAnsi="Abadi"/>
          <w:sz w:val="21"/>
          <w:szCs w:val="21"/>
        </w:rPr>
        <w:t>t</w:t>
      </w:r>
      <w:r w:rsidR="00652287" w:rsidRPr="0021199F">
        <w:rPr>
          <w:rFonts w:ascii="Abadi" w:hAnsi="Abadi"/>
          <w:sz w:val="21"/>
          <w:szCs w:val="21"/>
        </w:rPr>
        <w:t xml:space="preserve">e sentido, para el </w:t>
      </w:r>
      <w:r w:rsidR="00652287">
        <w:rPr>
          <w:rFonts w:ascii="Abadi" w:hAnsi="Abadi"/>
          <w:sz w:val="21"/>
          <w:szCs w:val="21"/>
        </w:rPr>
        <w:t>G</w:t>
      </w:r>
      <w:r w:rsidR="00652287" w:rsidRPr="0021199F">
        <w:rPr>
          <w:rFonts w:ascii="Abadi" w:hAnsi="Abadi"/>
          <w:sz w:val="21"/>
          <w:szCs w:val="21"/>
        </w:rPr>
        <w:t xml:space="preserve">rupo </w:t>
      </w:r>
      <w:r w:rsidR="00652287">
        <w:rPr>
          <w:rFonts w:ascii="Abadi" w:hAnsi="Abadi"/>
          <w:sz w:val="21"/>
          <w:szCs w:val="21"/>
        </w:rPr>
        <w:t>P</w:t>
      </w:r>
      <w:r w:rsidR="00652287" w:rsidRPr="0021199F">
        <w:rPr>
          <w:rFonts w:ascii="Abadi" w:hAnsi="Abadi"/>
          <w:sz w:val="21"/>
          <w:szCs w:val="21"/>
        </w:rPr>
        <w:t>arlamentario de Morena es claro que el fiscal ha vulnerado los principios y fines antes mencionados en estos artículos de la exposición de motivos, del punto de acuerdo que se propone depende con claridad que el fiscal no ha actuado con imparcialidad ni con independencia tampoco.</w:t>
      </w:r>
    </w:p>
    <w:p w14:paraId="0059C3D4" w14:textId="3D8C0964" w:rsidR="00652287" w:rsidRDefault="00EC3486" w:rsidP="00652287">
      <w:pPr>
        <w:pStyle w:val="NormalWeb"/>
        <w:ind w:right="333"/>
        <w:jc w:val="both"/>
        <w:rPr>
          <w:rFonts w:ascii="Abadi" w:hAnsi="Abadi"/>
          <w:sz w:val="21"/>
          <w:szCs w:val="21"/>
        </w:rPr>
      </w:pPr>
      <w:r>
        <w:rPr>
          <w:rFonts w:ascii="Abadi" w:hAnsi="Abadi"/>
          <w:sz w:val="21"/>
          <w:szCs w:val="21"/>
        </w:rPr>
        <w:t>-</w:t>
      </w:r>
      <w:r w:rsidR="00652287" w:rsidRPr="0021199F">
        <w:rPr>
          <w:rFonts w:ascii="Abadi" w:hAnsi="Abadi"/>
          <w:sz w:val="21"/>
          <w:szCs w:val="21"/>
        </w:rPr>
        <w:t>Mucho menos con celeridad, eficiencia, eficacia y objetividad. Si no pregunten a todas las madres que han encontrado. Bueno, ni siquiera han encontrado en cosas clandestinas a sus hijos. Hemos expuesto la completa falta de autonomía del fiscal desde que fue nombrado mediante un pase automático que simuló la creación de una Fiscalía supuestamente autónoma, principio que también se ve transgredido al utilizar la Fiscalía para proteger a los aliados del pa</w:t>
      </w:r>
      <w:r w:rsidR="00652287">
        <w:rPr>
          <w:rFonts w:ascii="Abadi" w:hAnsi="Abadi"/>
          <w:sz w:val="21"/>
          <w:szCs w:val="21"/>
        </w:rPr>
        <w:t>nis</w:t>
      </w:r>
      <w:r w:rsidR="00652287" w:rsidRPr="0021199F">
        <w:rPr>
          <w:rFonts w:ascii="Abadi" w:hAnsi="Abadi"/>
          <w:sz w:val="21"/>
          <w:szCs w:val="21"/>
        </w:rPr>
        <w:t xml:space="preserve">mo. Y esto no es nuevo, todos lo sabemos, vulnerando con ellos los principios de imparcialidad, independencia y objetividad. Así mismo, también está acreditada la violación a los </w:t>
      </w:r>
      <w:r w:rsidR="00652287">
        <w:rPr>
          <w:rFonts w:ascii="Abadi" w:hAnsi="Abadi"/>
          <w:sz w:val="21"/>
          <w:szCs w:val="21"/>
        </w:rPr>
        <w:t>fines</w:t>
      </w:r>
      <w:r w:rsidR="00652287" w:rsidRPr="0021199F">
        <w:rPr>
          <w:rFonts w:ascii="Abadi" w:hAnsi="Abadi"/>
          <w:sz w:val="21"/>
          <w:szCs w:val="21"/>
        </w:rPr>
        <w:t xml:space="preserve"> de procuración de justicia, así como los principios de inmediatez y celeridad al dejar de ejercer las acciones penales durante más de un año en todas las denuncias presentadas por la Auditoría Superior del Estado. Lo mismo sucedió y también no es nuevo.</w:t>
      </w:r>
    </w:p>
    <w:p w14:paraId="0EBA4947" w14:textId="041300B5" w:rsidR="00652287" w:rsidRDefault="00EC3486" w:rsidP="00652287">
      <w:pPr>
        <w:pStyle w:val="NormalWeb"/>
        <w:ind w:right="333"/>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Aquí lo hemos mencionado jueves tras jueves dejó de judicializar la denuncia presentado contra Jorge,</w:t>
      </w:r>
      <w:r w:rsidR="00652287">
        <w:rPr>
          <w:rFonts w:ascii="Abadi" w:hAnsi="Abadi"/>
          <w:sz w:val="21"/>
          <w:szCs w:val="21"/>
        </w:rPr>
        <w:t xml:space="preserve"> “N”, en </w:t>
      </w:r>
      <w:r w:rsidR="00652287" w:rsidRPr="0021199F">
        <w:rPr>
          <w:rFonts w:ascii="Abadi" w:hAnsi="Abadi"/>
          <w:sz w:val="21"/>
          <w:szCs w:val="21"/>
        </w:rPr>
        <w:t>este caso,</w:t>
      </w:r>
      <w:r w:rsidR="00652287">
        <w:rPr>
          <w:rFonts w:ascii="Abadi" w:hAnsi="Abadi"/>
          <w:sz w:val="21"/>
          <w:szCs w:val="21"/>
        </w:rPr>
        <w:t xml:space="preserve"> ¡</w:t>
      </w:r>
      <w:r w:rsidR="00652287" w:rsidRPr="0021199F">
        <w:rPr>
          <w:rFonts w:ascii="Abadi" w:hAnsi="Abadi"/>
          <w:sz w:val="21"/>
          <w:szCs w:val="21"/>
        </w:rPr>
        <w:t xml:space="preserve">cuando sea su tiempo </w:t>
      </w:r>
      <w:r w:rsidR="00652287">
        <w:rPr>
          <w:rFonts w:ascii="Abadi" w:hAnsi="Abadi"/>
          <w:sz w:val="21"/>
          <w:szCs w:val="21"/>
        </w:rPr>
        <w:t>¡</w:t>
      </w:r>
      <w:proofErr w:type="gramStart"/>
      <w:r w:rsidR="00652287" w:rsidRPr="0021199F">
        <w:rPr>
          <w:rFonts w:ascii="Abadi" w:hAnsi="Abadi"/>
          <w:sz w:val="21"/>
          <w:szCs w:val="21"/>
        </w:rPr>
        <w:t>compañer</w:t>
      </w:r>
      <w:r w:rsidR="00652287">
        <w:rPr>
          <w:rFonts w:ascii="Abadi" w:hAnsi="Abadi"/>
          <w:sz w:val="21"/>
          <w:szCs w:val="21"/>
        </w:rPr>
        <w:t>o¡</w:t>
      </w:r>
      <w:r w:rsidR="00652287" w:rsidRPr="0021199F">
        <w:rPr>
          <w:rFonts w:ascii="Abadi" w:hAnsi="Abadi"/>
          <w:sz w:val="21"/>
          <w:szCs w:val="21"/>
        </w:rPr>
        <w:t xml:space="preserve"> </w:t>
      </w:r>
      <w:r w:rsidR="00652287">
        <w:rPr>
          <w:rFonts w:ascii="Abadi" w:hAnsi="Abadi"/>
          <w:sz w:val="21"/>
          <w:szCs w:val="21"/>
        </w:rPr>
        <w:t>¡</w:t>
      </w:r>
      <w:proofErr w:type="gramEnd"/>
      <w:r w:rsidR="00652287">
        <w:rPr>
          <w:rFonts w:ascii="Abadi" w:hAnsi="Abadi"/>
          <w:sz w:val="21"/>
          <w:szCs w:val="21"/>
        </w:rPr>
        <w:t>a</w:t>
      </w:r>
      <w:r w:rsidR="00652287" w:rsidRPr="0021199F">
        <w:rPr>
          <w:rFonts w:ascii="Abadi" w:hAnsi="Abadi"/>
          <w:sz w:val="21"/>
          <w:szCs w:val="21"/>
        </w:rPr>
        <w:t>quí se viene</w:t>
      </w:r>
      <w:r w:rsidR="00652287">
        <w:rPr>
          <w:rFonts w:ascii="Abadi" w:hAnsi="Abadi"/>
          <w:sz w:val="21"/>
          <w:szCs w:val="21"/>
        </w:rPr>
        <w:t>! ¡</w:t>
      </w:r>
      <w:r w:rsidR="00652287" w:rsidRPr="0021199F">
        <w:rPr>
          <w:rFonts w:ascii="Abadi" w:hAnsi="Abadi"/>
          <w:sz w:val="21"/>
          <w:szCs w:val="21"/>
        </w:rPr>
        <w:t>sí</w:t>
      </w:r>
      <w:r w:rsidR="00652287">
        <w:rPr>
          <w:rFonts w:ascii="Abadi" w:hAnsi="Abadi"/>
          <w:sz w:val="21"/>
          <w:szCs w:val="21"/>
        </w:rPr>
        <w:t>!</w:t>
      </w:r>
      <w:r w:rsidR="00652287" w:rsidRPr="0021199F">
        <w:rPr>
          <w:rFonts w:ascii="Abadi" w:hAnsi="Abadi"/>
          <w:sz w:val="21"/>
          <w:szCs w:val="21"/>
        </w:rPr>
        <w:t xml:space="preserve"> Gracias</w:t>
      </w:r>
      <w:r w:rsidR="00652287">
        <w:rPr>
          <w:rFonts w:ascii="Abadi" w:hAnsi="Abadi"/>
          <w:sz w:val="21"/>
          <w:szCs w:val="21"/>
        </w:rPr>
        <w:t xml:space="preserve">, ¡así es! </w:t>
      </w:r>
      <w:r w:rsidR="00652287" w:rsidRPr="0021199F">
        <w:rPr>
          <w:rFonts w:ascii="Abadi" w:hAnsi="Abadi"/>
          <w:sz w:val="21"/>
          <w:szCs w:val="21"/>
        </w:rPr>
        <w:t xml:space="preserve">al tratarse de una figura política cercana a los grupos de poder que a su vez cobijan al </w:t>
      </w:r>
      <w:r w:rsidR="00652287">
        <w:rPr>
          <w:rFonts w:ascii="Abadi" w:hAnsi="Abadi"/>
          <w:sz w:val="21"/>
          <w:szCs w:val="21"/>
        </w:rPr>
        <w:t>F</w:t>
      </w:r>
      <w:r w:rsidR="00652287" w:rsidRPr="0021199F">
        <w:rPr>
          <w:rFonts w:ascii="Abadi" w:hAnsi="Abadi"/>
          <w:sz w:val="21"/>
          <w:szCs w:val="21"/>
        </w:rPr>
        <w:t xml:space="preserve">iscal </w:t>
      </w:r>
      <w:r w:rsidR="00652287">
        <w:rPr>
          <w:rFonts w:ascii="Abadi" w:hAnsi="Abadi"/>
          <w:sz w:val="21"/>
          <w:szCs w:val="21"/>
        </w:rPr>
        <w:t>G</w:t>
      </w:r>
      <w:r w:rsidR="00652287" w:rsidRPr="0021199F">
        <w:rPr>
          <w:rFonts w:ascii="Abadi" w:hAnsi="Abadi"/>
          <w:sz w:val="21"/>
          <w:szCs w:val="21"/>
        </w:rPr>
        <w:t xml:space="preserve">eneral. La independencia y la imparcialidad, así como los principios de inmediatez y celeridad, están siendo vulnerados al mismo tiempo. Peor aún porque la protección a Jorge </w:t>
      </w:r>
      <w:r w:rsidR="00652287">
        <w:rPr>
          <w:rFonts w:ascii="Abadi" w:hAnsi="Abadi"/>
          <w:sz w:val="21"/>
          <w:szCs w:val="21"/>
        </w:rPr>
        <w:t xml:space="preserve">“N” </w:t>
      </w:r>
      <w:r w:rsidR="00652287" w:rsidRPr="0021199F">
        <w:rPr>
          <w:rFonts w:ascii="Abadi" w:hAnsi="Abadi"/>
          <w:sz w:val="21"/>
          <w:szCs w:val="21"/>
        </w:rPr>
        <w:t xml:space="preserve">también se actualiza en otra denuncia en su contra mediante la irregular reclasificación del delito de violación. Ahí está diputado. </w:t>
      </w:r>
      <w:r w:rsidR="00652287">
        <w:rPr>
          <w:rFonts w:ascii="Abadi" w:hAnsi="Abadi"/>
          <w:sz w:val="21"/>
          <w:szCs w:val="21"/>
        </w:rPr>
        <w:t>¡ahí está diputado!</w:t>
      </w:r>
    </w:p>
    <w:p w14:paraId="1B99D12F" w14:textId="1DF7F705" w:rsidR="00652287" w:rsidRDefault="00EC3486" w:rsidP="00652287">
      <w:pPr>
        <w:pStyle w:val="NormalWeb"/>
        <w:ind w:right="333"/>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 xml:space="preserve">La impunidad prevaleciente en la entidad, así como los altos niveles de violencia en seguridad, junto con todos los vicios anteriormente mencionados, conforman una compleja realidad estatal de procuración de justicia que debe ser superada. Desde esta soberanía. Debemos empezar a tomar decisiones para corregir el rumbo. Es momento de actuar para recuperar la paz en el Estado. </w:t>
      </w:r>
    </w:p>
    <w:p w14:paraId="76FAB63E" w14:textId="209C073F" w:rsidR="00652287" w:rsidRDefault="0038735E" w:rsidP="00652287">
      <w:pPr>
        <w:pStyle w:val="NormalWeb"/>
        <w:ind w:right="333"/>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Por eso e</w:t>
      </w:r>
      <w:r w:rsidR="00C84832">
        <w:rPr>
          <w:rFonts w:ascii="Abadi" w:hAnsi="Abadi"/>
          <w:sz w:val="21"/>
          <w:szCs w:val="21"/>
        </w:rPr>
        <w:t>n</w:t>
      </w:r>
      <w:r w:rsidR="00652287" w:rsidRPr="0021199F">
        <w:rPr>
          <w:rFonts w:ascii="Abadi" w:hAnsi="Abadi"/>
          <w:sz w:val="21"/>
          <w:szCs w:val="21"/>
        </w:rPr>
        <w:t xml:space="preserve"> </w:t>
      </w:r>
      <w:r w:rsidR="00652287">
        <w:rPr>
          <w:rFonts w:ascii="Abadi" w:hAnsi="Abadi"/>
          <w:sz w:val="21"/>
          <w:szCs w:val="21"/>
        </w:rPr>
        <w:t>M</w:t>
      </w:r>
      <w:r w:rsidR="00652287" w:rsidRPr="0021199F">
        <w:rPr>
          <w:rFonts w:ascii="Abadi" w:hAnsi="Abadi"/>
          <w:sz w:val="21"/>
          <w:szCs w:val="21"/>
        </w:rPr>
        <w:t xml:space="preserve">orena nunca vamos a solapar a un </w:t>
      </w:r>
      <w:r w:rsidR="00652287">
        <w:rPr>
          <w:rFonts w:ascii="Abadi" w:hAnsi="Abadi"/>
          <w:sz w:val="21"/>
          <w:szCs w:val="21"/>
        </w:rPr>
        <w:t>F</w:t>
      </w:r>
      <w:r w:rsidR="00652287" w:rsidRPr="0021199F">
        <w:rPr>
          <w:rFonts w:ascii="Abadi" w:hAnsi="Abadi"/>
          <w:sz w:val="21"/>
          <w:szCs w:val="21"/>
        </w:rPr>
        <w:t xml:space="preserve">iscal al que se le fue de las manos la situación de la violencia y que ha sido incapaz de hacer su trabajo. </w:t>
      </w:r>
      <w:r w:rsidR="00652287">
        <w:rPr>
          <w:rFonts w:ascii="Abadi" w:hAnsi="Abadi"/>
          <w:sz w:val="21"/>
          <w:szCs w:val="21"/>
        </w:rPr>
        <w:t>¿</w:t>
      </w:r>
      <w:r w:rsidR="00652287" w:rsidRPr="0021199F">
        <w:rPr>
          <w:rFonts w:ascii="Abadi" w:hAnsi="Abadi"/>
          <w:sz w:val="21"/>
          <w:szCs w:val="21"/>
        </w:rPr>
        <w:t xml:space="preserve">Cuál es su trabajo? </w:t>
      </w:r>
      <w:r w:rsidR="00652287">
        <w:rPr>
          <w:rFonts w:ascii="Abadi" w:hAnsi="Abadi"/>
          <w:sz w:val="21"/>
          <w:szCs w:val="21"/>
        </w:rPr>
        <w:t>¡</w:t>
      </w:r>
      <w:r w:rsidR="00652287" w:rsidRPr="0021199F">
        <w:rPr>
          <w:rFonts w:ascii="Abadi" w:hAnsi="Abadi"/>
          <w:sz w:val="21"/>
          <w:szCs w:val="21"/>
        </w:rPr>
        <w:t xml:space="preserve">Procurar justicia </w:t>
      </w:r>
      <w:r w:rsidR="00652287">
        <w:rPr>
          <w:rFonts w:ascii="Abadi" w:hAnsi="Abadi"/>
          <w:sz w:val="21"/>
          <w:szCs w:val="21"/>
        </w:rPr>
        <w:t>¿</w:t>
      </w:r>
      <w:r w:rsidR="00652287" w:rsidRPr="0021199F">
        <w:rPr>
          <w:rFonts w:ascii="Abadi" w:hAnsi="Abadi"/>
          <w:sz w:val="21"/>
          <w:szCs w:val="21"/>
        </w:rPr>
        <w:t xml:space="preserve">Dónde está? </w:t>
      </w:r>
      <w:r w:rsidR="00652287">
        <w:rPr>
          <w:rFonts w:ascii="Abadi" w:hAnsi="Abadi"/>
          <w:sz w:val="21"/>
          <w:szCs w:val="21"/>
        </w:rPr>
        <w:t>¡</w:t>
      </w:r>
      <w:r w:rsidR="00652287" w:rsidRPr="0021199F">
        <w:rPr>
          <w:rFonts w:ascii="Abadi" w:hAnsi="Abadi"/>
          <w:sz w:val="21"/>
          <w:szCs w:val="21"/>
        </w:rPr>
        <w:t>Sí</w:t>
      </w:r>
      <w:r w:rsidR="00652287">
        <w:rPr>
          <w:rFonts w:ascii="Abadi" w:hAnsi="Abadi"/>
          <w:sz w:val="21"/>
          <w:szCs w:val="21"/>
        </w:rPr>
        <w:t>!</w:t>
      </w:r>
      <w:r w:rsidR="00652287" w:rsidRPr="0021199F">
        <w:rPr>
          <w:rFonts w:ascii="Abadi" w:hAnsi="Abadi"/>
          <w:sz w:val="21"/>
          <w:szCs w:val="21"/>
        </w:rPr>
        <w:t xml:space="preserve">, no, no estuviéramos en el </w:t>
      </w:r>
      <w:r w:rsidR="00652287">
        <w:rPr>
          <w:rFonts w:ascii="Abadi" w:hAnsi="Abadi"/>
          <w:sz w:val="21"/>
          <w:szCs w:val="21"/>
        </w:rPr>
        <w:t>E</w:t>
      </w:r>
      <w:r w:rsidR="00652287" w:rsidRPr="0021199F">
        <w:rPr>
          <w:rFonts w:ascii="Abadi" w:hAnsi="Abadi"/>
          <w:sz w:val="21"/>
          <w:szCs w:val="21"/>
        </w:rPr>
        <w:t xml:space="preserve">stado de más homicidios. Vale la pena recordar cuando alguno de ustedes siendo </w:t>
      </w:r>
      <w:r w:rsidR="00652287">
        <w:rPr>
          <w:rFonts w:ascii="Abadi" w:hAnsi="Abadi"/>
          <w:sz w:val="21"/>
          <w:szCs w:val="21"/>
        </w:rPr>
        <w:t>D</w:t>
      </w:r>
      <w:r w:rsidR="00652287" w:rsidRPr="0021199F">
        <w:rPr>
          <w:rFonts w:ascii="Abadi" w:hAnsi="Abadi"/>
          <w:sz w:val="21"/>
          <w:szCs w:val="21"/>
        </w:rPr>
        <w:t xml:space="preserve">iputados </w:t>
      </w:r>
      <w:r w:rsidR="00652287">
        <w:rPr>
          <w:rFonts w:ascii="Abadi" w:hAnsi="Abadi"/>
          <w:sz w:val="21"/>
          <w:szCs w:val="21"/>
        </w:rPr>
        <w:t>F</w:t>
      </w:r>
      <w:r w:rsidR="00652287" w:rsidRPr="0021199F">
        <w:rPr>
          <w:rFonts w:ascii="Abadi" w:hAnsi="Abadi"/>
          <w:sz w:val="21"/>
          <w:szCs w:val="21"/>
        </w:rPr>
        <w:t>ederales no me van a dejar mentir. Se manifestaron en contra del intento</w:t>
      </w:r>
      <w:r w:rsidR="00652287">
        <w:rPr>
          <w:rFonts w:ascii="Abadi" w:hAnsi="Abadi"/>
          <w:sz w:val="21"/>
          <w:szCs w:val="21"/>
        </w:rPr>
        <w:t xml:space="preserve"> de otorgar el paso </w:t>
      </w:r>
      <w:r w:rsidR="00652287" w:rsidRPr="0021199F">
        <w:rPr>
          <w:rFonts w:ascii="Abadi" w:hAnsi="Abadi"/>
          <w:sz w:val="21"/>
          <w:szCs w:val="21"/>
        </w:rPr>
        <w:t xml:space="preserve">automático en el </w:t>
      </w:r>
      <w:r w:rsidR="00652287">
        <w:rPr>
          <w:rFonts w:ascii="Abadi" w:hAnsi="Abadi"/>
          <w:sz w:val="21"/>
          <w:szCs w:val="21"/>
        </w:rPr>
        <w:t>2017,</w:t>
      </w:r>
      <w:r w:rsidR="00652287" w:rsidRPr="0021199F">
        <w:rPr>
          <w:rFonts w:ascii="Abadi" w:hAnsi="Abadi"/>
          <w:sz w:val="21"/>
          <w:szCs w:val="21"/>
        </w:rPr>
        <w:t xml:space="preserve"> del </w:t>
      </w:r>
      <w:r w:rsidR="00652287">
        <w:rPr>
          <w:rFonts w:ascii="Abadi" w:hAnsi="Abadi"/>
          <w:sz w:val="21"/>
          <w:szCs w:val="21"/>
        </w:rPr>
        <w:t>P</w:t>
      </w:r>
      <w:r w:rsidR="00652287" w:rsidRPr="0021199F">
        <w:rPr>
          <w:rFonts w:ascii="Abadi" w:hAnsi="Abadi"/>
          <w:sz w:val="21"/>
          <w:szCs w:val="21"/>
        </w:rPr>
        <w:t xml:space="preserve">rocurador </w:t>
      </w:r>
      <w:r w:rsidR="00652287">
        <w:rPr>
          <w:rFonts w:ascii="Abadi" w:hAnsi="Abadi"/>
          <w:sz w:val="21"/>
          <w:szCs w:val="21"/>
        </w:rPr>
        <w:t>al F</w:t>
      </w:r>
      <w:r w:rsidR="00652287" w:rsidRPr="0021199F">
        <w:rPr>
          <w:rFonts w:ascii="Abadi" w:hAnsi="Abadi"/>
          <w:sz w:val="21"/>
          <w:szCs w:val="21"/>
        </w:rPr>
        <w:t>iscal.</w:t>
      </w:r>
    </w:p>
    <w:p w14:paraId="0B2E6775" w14:textId="6E6C7272" w:rsidR="00652287" w:rsidRDefault="0038735E" w:rsidP="00652287">
      <w:pPr>
        <w:pStyle w:val="NormalWeb"/>
        <w:ind w:right="333"/>
        <w:jc w:val="both"/>
        <w:rPr>
          <w:rFonts w:ascii="Abadi" w:hAnsi="Abadi"/>
          <w:sz w:val="21"/>
          <w:szCs w:val="21"/>
        </w:rPr>
      </w:pPr>
      <w:r>
        <w:rPr>
          <w:rFonts w:ascii="Abadi" w:hAnsi="Abadi"/>
          <w:sz w:val="21"/>
          <w:szCs w:val="21"/>
        </w:rPr>
        <w:t>-</w:t>
      </w:r>
      <w:r w:rsidR="00652287" w:rsidRPr="0021199F">
        <w:rPr>
          <w:rFonts w:ascii="Abadi" w:hAnsi="Abadi"/>
          <w:sz w:val="21"/>
          <w:szCs w:val="21"/>
        </w:rPr>
        <w:t xml:space="preserve"> En aquel entonces, eso significaba, según ustedes, la imposición de un fiscal carnal. Por el contrario, en Guanajuato han actuado de manera incongruente, no sólo por poner, imponer al </w:t>
      </w:r>
      <w:r w:rsidR="00652287">
        <w:rPr>
          <w:rFonts w:ascii="Abadi" w:hAnsi="Abadi"/>
          <w:sz w:val="21"/>
          <w:szCs w:val="21"/>
        </w:rPr>
        <w:t>F</w:t>
      </w:r>
      <w:r w:rsidR="00652287" w:rsidRPr="0021199F">
        <w:rPr>
          <w:rFonts w:ascii="Abadi" w:hAnsi="Abadi"/>
          <w:sz w:val="21"/>
          <w:szCs w:val="21"/>
        </w:rPr>
        <w:t xml:space="preserve">iscal carnal Zamarripa, si no, también </w:t>
      </w:r>
      <w:r w:rsidR="00652287">
        <w:rPr>
          <w:rFonts w:ascii="Abadi" w:hAnsi="Abadi"/>
          <w:sz w:val="21"/>
          <w:szCs w:val="21"/>
        </w:rPr>
        <w:t xml:space="preserve">lo </w:t>
      </w:r>
      <w:r w:rsidR="00652287" w:rsidRPr="0021199F">
        <w:rPr>
          <w:rFonts w:ascii="Abadi" w:hAnsi="Abadi"/>
          <w:sz w:val="21"/>
          <w:szCs w:val="21"/>
        </w:rPr>
        <w:t xml:space="preserve">han solapado y lo han </w:t>
      </w:r>
      <w:proofErr w:type="spellStart"/>
      <w:r w:rsidR="00C84832">
        <w:rPr>
          <w:rFonts w:ascii="Abadi" w:hAnsi="Abadi"/>
          <w:sz w:val="21"/>
          <w:szCs w:val="21"/>
        </w:rPr>
        <w:t>i</w:t>
      </w:r>
      <w:r w:rsidR="00652287" w:rsidRPr="0021199F">
        <w:rPr>
          <w:rFonts w:ascii="Abadi" w:hAnsi="Abadi"/>
          <w:sz w:val="21"/>
          <w:szCs w:val="21"/>
        </w:rPr>
        <w:t>ncubierto</w:t>
      </w:r>
      <w:proofErr w:type="spellEnd"/>
      <w:r w:rsidR="00652287" w:rsidRPr="0021199F">
        <w:rPr>
          <w:rFonts w:ascii="Abadi" w:hAnsi="Abadi"/>
          <w:sz w:val="21"/>
          <w:szCs w:val="21"/>
        </w:rPr>
        <w:t xml:space="preserve">. </w:t>
      </w:r>
      <w:r w:rsidR="00652287">
        <w:rPr>
          <w:rFonts w:ascii="Abadi" w:hAnsi="Abadi"/>
          <w:sz w:val="21"/>
          <w:szCs w:val="21"/>
        </w:rPr>
        <w:t>(Voz) diputada Presidenta, diputad Hades, me permite tantito (Voz) diputado Bricio, gracias diputada Presidenta, para ver si por medio de su persona, la diputada en tribuna me acepta una pregunta, (Voz) diputada Presidenta, ¿diputada Hades, le permite una pregunta al diputado Bricio?  (Voz) ¡no! diputada, no vamos a defender lo indefendible (Voz) diputada Presidenta,</w:t>
      </w:r>
      <w:r w:rsidR="00A56D6F">
        <w:rPr>
          <w:rFonts w:ascii="Abadi" w:hAnsi="Abadi"/>
          <w:sz w:val="21"/>
          <w:szCs w:val="21"/>
        </w:rPr>
        <w:t xml:space="preserve"> a</w:t>
      </w:r>
      <w:r w:rsidR="00652287">
        <w:rPr>
          <w:rFonts w:ascii="Abadi" w:hAnsi="Abadi"/>
          <w:sz w:val="21"/>
          <w:szCs w:val="21"/>
        </w:rPr>
        <w:t>delante diputada continue, por favor, no se permite el dialogo</w:t>
      </w:r>
      <w:r w:rsidR="00A56D6F">
        <w:rPr>
          <w:rFonts w:ascii="Abadi" w:hAnsi="Abadi"/>
          <w:sz w:val="21"/>
          <w:szCs w:val="21"/>
        </w:rPr>
        <w:t>.</w:t>
      </w:r>
    </w:p>
    <w:p w14:paraId="0E439B98" w14:textId="16798F75" w:rsidR="00652287" w:rsidRDefault="0038735E" w:rsidP="00652287">
      <w:pPr>
        <w:pStyle w:val="NormalWeb"/>
        <w:ind w:right="333"/>
        <w:jc w:val="both"/>
        <w:rPr>
          <w:rFonts w:ascii="Abadi" w:hAnsi="Abadi"/>
          <w:sz w:val="21"/>
          <w:szCs w:val="21"/>
        </w:rPr>
      </w:pPr>
      <w:r>
        <w:rPr>
          <w:rFonts w:ascii="Abadi" w:hAnsi="Abadi"/>
          <w:sz w:val="21"/>
          <w:szCs w:val="21"/>
        </w:rPr>
        <w:t xml:space="preserve">- </w:t>
      </w:r>
      <w:r w:rsidR="00652287">
        <w:rPr>
          <w:rFonts w:ascii="Abadi" w:hAnsi="Abadi"/>
          <w:sz w:val="21"/>
          <w:szCs w:val="21"/>
        </w:rPr>
        <w:t>(Voz) diputada Hades, (</w:t>
      </w:r>
      <w:proofErr w:type="gramStart"/>
      <w:r w:rsidR="00A56D6F">
        <w:rPr>
          <w:rFonts w:ascii="Abadi" w:hAnsi="Abadi"/>
          <w:sz w:val="21"/>
          <w:szCs w:val="21"/>
        </w:rPr>
        <w:t xml:space="preserve">da </w:t>
      </w:r>
      <w:r w:rsidR="00652287">
        <w:rPr>
          <w:rFonts w:ascii="Abadi" w:hAnsi="Abadi"/>
          <w:sz w:val="21"/>
          <w:szCs w:val="21"/>
        </w:rPr>
        <w:t xml:space="preserve"> continuación</w:t>
      </w:r>
      <w:proofErr w:type="gramEnd"/>
      <w:r w:rsidR="00652287">
        <w:rPr>
          <w:rFonts w:ascii="Abadi" w:hAnsi="Abadi"/>
          <w:sz w:val="21"/>
          <w:szCs w:val="21"/>
        </w:rPr>
        <w:t xml:space="preserve"> a su participación) </w:t>
      </w:r>
    </w:p>
    <w:p w14:paraId="52B4D083" w14:textId="49458308" w:rsidR="00652287" w:rsidRDefault="0038735E" w:rsidP="00652287">
      <w:pPr>
        <w:pStyle w:val="NormalWeb"/>
        <w:ind w:right="333"/>
        <w:jc w:val="both"/>
        <w:rPr>
          <w:rFonts w:ascii="Abadi" w:hAnsi="Abadi"/>
          <w:sz w:val="21"/>
          <w:szCs w:val="21"/>
        </w:rPr>
      </w:pPr>
      <w:r>
        <w:rPr>
          <w:rFonts w:ascii="Abadi" w:hAnsi="Abadi"/>
          <w:sz w:val="21"/>
          <w:szCs w:val="21"/>
        </w:rPr>
        <w:t xml:space="preserve">- </w:t>
      </w:r>
      <w:r w:rsidR="00652287">
        <w:rPr>
          <w:rFonts w:ascii="Abadi" w:hAnsi="Abadi"/>
          <w:sz w:val="21"/>
          <w:szCs w:val="21"/>
        </w:rPr>
        <w:t xml:space="preserve">Por lo anterior expuesto </w:t>
      </w:r>
      <w:r w:rsidR="00652287" w:rsidRPr="0021199F">
        <w:rPr>
          <w:rFonts w:ascii="Abadi" w:hAnsi="Abadi"/>
          <w:sz w:val="21"/>
          <w:szCs w:val="21"/>
        </w:rPr>
        <w:t xml:space="preserve">en el </w:t>
      </w:r>
      <w:r w:rsidR="00652287">
        <w:rPr>
          <w:rFonts w:ascii="Abadi" w:hAnsi="Abadi"/>
          <w:sz w:val="21"/>
          <w:szCs w:val="21"/>
        </w:rPr>
        <w:t>G</w:t>
      </w:r>
      <w:r w:rsidR="00652287" w:rsidRPr="0021199F">
        <w:rPr>
          <w:rFonts w:ascii="Abadi" w:hAnsi="Abadi"/>
          <w:sz w:val="21"/>
          <w:szCs w:val="21"/>
        </w:rPr>
        <w:t xml:space="preserve">rupo </w:t>
      </w:r>
      <w:r w:rsidR="00652287">
        <w:rPr>
          <w:rFonts w:ascii="Abadi" w:hAnsi="Abadi"/>
          <w:sz w:val="21"/>
          <w:szCs w:val="21"/>
        </w:rPr>
        <w:t>P</w:t>
      </w:r>
      <w:r w:rsidR="00652287" w:rsidRPr="0021199F">
        <w:rPr>
          <w:rFonts w:ascii="Abadi" w:hAnsi="Abadi"/>
          <w:sz w:val="21"/>
          <w:szCs w:val="21"/>
        </w:rPr>
        <w:t>arlamentario de Morena. Consideramos que se actualizan las violaciones graves establecidas en la ley y por ese motivo debe de iniciarse el procedimiento de remoción del fiscal carnal. Carlos Zamarripa Aguirre</w:t>
      </w:r>
      <w:r w:rsidR="00652287">
        <w:rPr>
          <w:rFonts w:ascii="Abadi" w:hAnsi="Abadi"/>
          <w:sz w:val="21"/>
          <w:szCs w:val="21"/>
        </w:rPr>
        <w:t>.</w:t>
      </w:r>
    </w:p>
    <w:p w14:paraId="7DB01790" w14:textId="5758E82F" w:rsidR="00652287" w:rsidRDefault="0038735E" w:rsidP="00652287">
      <w:pPr>
        <w:pStyle w:val="NormalWeb"/>
        <w:ind w:right="333"/>
        <w:jc w:val="both"/>
        <w:rPr>
          <w:rFonts w:ascii="Abadi" w:hAnsi="Abadi"/>
          <w:sz w:val="21"/>
          <w:szCs w:val="21"/>
        </w:rPr>
      </w:pPr>
      <w:r>
        <w:rPr>
          <w:rFonts w:ascii="Abadi" w:hAnsi="Abadi"/>
          <w:sz w:val="21"/>
          <w:szCs w:val="21"/>
        </w:rPr>
        <w:t>-</w:t>
      </w:r>
      <w:r w:rsidR="00652287">
        <w:rPr>
          <w:rFonts w:ascii="Abadi" w:hAnsi="Abadi"/>
          <w:sz w:val="21"/>
          <w:szCs w:val="21"/>
        </w:rPr>
        <w:t>E</w:t>
      </w:r>
      <w:r w:rsidR="00652287" w:rsidRPr="0021199F">
        <w:rPr>
          <w:rFonts w:ascii="Abadi" w:hAnsi="Abadi"/>
          <w:sz w:val="21"/>
          <w:szCs w:val="21"/>
        </w:rPr>
        <w:t xml:space="preserve">s todo diputada, </w:t>
      </w:r>
      <w:r w:rsidR="00652287">
        <w:rPr>
          <w:rFonts w:ascii="Abadi" w:hAnsi="Abadi"/>
          <w:sz w:val="21"/>
          <w:szCs w:val="21"/>
        </w:rPr>
        <w:t>P</w:t>
      </w:r>
      <w:r w:rsidR="00652287" w:rsidRPr="0021199F">
        <w:rPr>
          <w:rFonts w:ascii="Abadi" w:hAnsi="Abadi"/>
          <w:sz w:val="21"/>
          <w:szCs w:val="21"/>
        </w:rPr>
        <w:t xml:space="preserve">residenta. </w:t>
      </w:r>
    </w:p>
    <w:p w14:paraId="6784F7AE" w14:textId="56287A8F" w:rsidR="00652287" w:rsidRDefault="00306EB8" w:rsidP="00306EB8">
      <w:pPr>
        <w:pStyle w:val="NormalWeb"/>
        <w:ind w:right="333" w:firstLine="708"/>
        <w:jc w:val="both"/>
        <w:rPr>
          <w:rFonts w:ascii="Abadi" w:hAnsi="Abadi"/>
          <w:sz w:val="21"/>
          <w:szCs w:val="21"/>
        </w:rPr>
      </w:pPr>
      <w:r>
        <w:rPr>
          <w:rFonts w:ascii="Abadi" w:hAnsi="Abadi"/>
          <w:b/>
          <w:bCs/>
          <w:sz w:val="21"/>
          <w:szCs w:val="21"/>
        </w:rPr>
        <w:t xml:space="preserve">- </w:t>
      </w:r>
      <w:r w:rsidR="00652287" w:rsidRPr="005E61FA">
        <w:rPr>
          <w:rFonts w:ascii="Abadi" w:hAnsi="Abadi"/>
          <w:b/>
          <w:bCs/>
          <w:sz w:val="21"/>
          <w:szCs w:val="21"/>
        </w:rPr>
        <w:t xml:space="preserve">La </w:t>
      </w:r>
      <w:proofErr w:type="gramStart"/>
      <w:r w:rsidR="00652287" w:rsidRPr="005E61FA">
        <w:rPr>
          <w:rFonts w:ascii="Abadi" w:hAnsi="Abadi"/>
          <w:b/>
          <w:bCs/>
          <w:sz w:val="21"/>
          <w:szCs w:val="21"/>
        </w:rPr>
        <w:t>Presidencia.-</w:t>
      </w:r>
      <w:proofErr w:type="gramEnd"/>
      <w:r w:rsidR="00652287">
        <w:rPr>
          <w:rFonts w:ascii="Abadi" w:hAnsi="Abadi"/>
          <w:sz w:val="21"/>
          <w:szCs w:val="21"/>
        </w:rPr>
        <w:t xml:space="preserve"> </w:t>
      </w:r>
      <w:r w:rsidR="00652287" w:rsidRPr="0021199F">
        <w:rPr>
          <w:rFonts w:ascii="Abadi" w:hAnsi="Abadi"/>
          <w:sz w:val="21"/>
          <w:szCs w:val="21"/>
        </w:rPr>
        <w:t xml:space="preserve">Muchas gracias, diputada. </w:t>
      </w:r>
    </w:p>
    <w:p w14:paraId="731EBE87" w14:textId="4CD43383" w:rsidR="00652287" w:rsidRDefault="00306EB8" w:rsidP="00306EB8">
      <w:pPr>
        <w:pStyle w:val="NormalWeb"/>
        <w:ind w:right="333" w:firstLine="708"/>
        <w:jc w:val="both"/>
        <w:rPr>
          <w:rFonts w:ascii="Abadi" w:hAnsi="Abadi"/>
          <w:sz w:val="21"/>
          <w:szCs w:val="21"/>
        </w:rPr>
      </w:pPr>
      <w:r>
        <w:rPr>
          <w:rFonts w:ascii="Abadi" w:hAnsi="Abadi"/>
          <w:sz w:val="21"/>
          <w:szCs w:val="21"/>
        </w:rPr>
        <w:t xml:space="preserve">- Y </w:t>
      </w:r>
      <w:r w:rsidRPr="0021199F">
        <w:rPr>
          <w:rFonts w:ascii="Abadi" w:hAnsi="Abadi"/>
          <w:sz w:val="21"/>
          <w:szCs w:val="21"/>
        </w:rPr>
        <w:t>habiendo</w:t>
      </w:r>
      <w:r w:rsidR="00652287" w:rsidRPr="0021199F">
        <w:rPr>
          <w:rFonts w:ascii="Abadi" w:hAnsi="Abadi"/>
          <w:sz w:val="21"/>
          <w:szCs w:val="21"/>
        </w:rPr>
        <w:t xml:space="preserve"> más participaciones en consecuencia, se somet</w:t>
      </w:r>
      <w:r w:rsidR="00652287">
        <w:rPr>
          <w:rFonts w:ascii="Abadi" w:hAnsi="Abadi"/>
          <w:sz w:val="21"/>
          <w:szCs w:val="21"/>
        </w:rPr>
        <w:t>e discusión e</w:t>
      </w:r>
      <w:r w:rsidR="00652287" w:rsidRPr="0021199F">
        <w:rPr>
          <w:rFonts w:ascii="Abadi" w:hAnsi="Abadi"/>
          <w:sz w:val="21"/>
          <w:szCs w:val="21"/>
        </w:rPr>
        <w:t xml:space="preserve">l puto de acuerdo. </w:t>
      </w:r>
    </w:p>
    <w:p w14:paraId="7D802598" w14:textId="5149B6F3" w:rsidR="00652287" w:rsidRDefault="00306EB8" w:rsidP="00306EB8">
      <w:pPr>
        <w:pStyle w:val="NormalWeb"/>
        <w:ind w:right="333" w:firstLine="708"/>
        <w:jc w:val="both"/>
        <w:rPr>
          <w:rFonts w:ascii="Abadi" w:hAnsi="Abadi"/>
          <w:sz w:val="21"/>
          <w:szCs w:val="21"/>
        </w:rPr>
      </w:pPr>
      <w:r>
        <w:rPr>
          <w:rFonts w:ascii="Abadi" w:hAnsi="Abadi"/>
          <w:sz w:val="21"/>
          <w:szCs w:val="21"/>
        </w:rPr>
        <w:t xml:space="preserve">- </w:t>
      </w:r>
      <w:r w:rsidR="00652287">
        <w:rPr>
          <w:rFonts w:ascii="Abadi" w:hAnsi="Abadi"/>
          <w:sz w:val="21"/>
          <w:szCs w:val="21"/>
        </w:rPr>
        <w:t xml:space="preserve">No habiendo más participaciones, se </w:t>
      </w:r>
      <w:r w:rsidR="00652287" w:rsidRPr="0021199F">
        <w:rPr>
          <w:rFonts w:ascii="Abadi" w:hAnsi="Abadi"/>
          <w:sz w:val="21"/>
          <w:szCs w:val="21"/>
        </w:rPr>
        <w:t xml:space="preserve">Instruye a la </w:t>
      </w:r>
      <w:r w:rsidR="00652287">
        <w:rPr>
          <w:rFonts w:ascii="Abadi" w:hAnsi="Abadi"/>
          <w:sz w:val="21"/>
          <w:szCs w:val="21"/>
        </w:rPr>
        <w:t>S</w:t>
      </w:r>
      <w:r w:rsidR="00652287" w:rsidRPr="0021199F">
        <w:rPr>
          <w:rFonts w:ascii="Abadi" w:hAnsi="Abadi"/>
          <w:sz w:val="21"/>
          <w:szCs w:val="21"/>
        </w:rPr>
        <w:t>ecretaria para que en votación nominal a través del sistema electrónico, pregunt</w:t>
      </w:r>
      <w:r w:rsidR="00652287">
        <w:rPr>
          <w:rFonts w:ascii="Abadi" w:hAnsi="Abadi"/>
          <w:sz w:val="21"/>
          <w:szCs w:val="21"/>
        </w:rPr>
        <w:t>e a</w:t>
      </w:r>
      <w:r w:rsidR="00652287" w:rsidRPr="0021199F">
        <w:rPr>
          <w:rFonts w:ascii="Abadi" w:hAnsi="Abadi"/>
          <w:sz w:val="21"/>
          <w:szCs w:val="21"/>
        </w:rPr>
        <w:t xml:space="preserve"> la </w:t>
      </w:r>
      <w:r w:rsidR="00652287">
        <w:rPr>
          <w:rFonts w:ascii="Abadi" w:hAnsi="Abadi"/>
          <w:sz w:val="21"/>
          <w:szCs w:val="21"/>
        </w:rPr>
        <w:t>Asamblea, s</w:t>
      </w:r>
      <w:r w:rsidR="00652287" w:rsidRPr="0021199F">
        <w:rPr>
          <w:rFonts w:ascii="Abadi" w:hAnsi="Abadi"/>
          <w:sz w:val="21"/>
          <w:szCs w:val="21"/>
        </w:rPr>
        <w:t xml:space="preserve">í </w:t>
      </w:r>
      <w:r w:rsidR="00652287">
        <w:rPr>
          <w:rFonts w:ascii="Abadi" w:hAnsi="Abadi"/>
          <w:sz w:val="21"/>
          <w:szCs w:val="21"/>
        </w:rPr>
        <w:t xml:space="preserve">es </w:t>
      </w:r>
      <w:r w:rsidR="00652287" w:rsidRPr="0021199F">
        <w:rPr>
          <w:rFonts w:ascii="Abadi" w:hAnsi="Abadi"/>
          <w:sz w:val="21"/>
          <w:szCs w:val="21"/>
        </w:rPr>
        <w:t>de aproba</w:t>
      </w:r>
      <w:r w:rsidR="00652287">
        <w:rPr>
          <w:rFonts w:ascii="Abadi" w:hAnsi="Abadi"/>
          <w:sz w:val="21"/>
          <w:szCs w:val="21"/>
        </w:rPr>
        <w:t xml:space="preserve">rse o no </w:t>
      </w:r>
      <w:r w:rsidR="00652287" w:rsidRPr="0021199F">
        <w:rPr>
          <w:rFonts w:ascii="Abadi" w:hAnsi="Abadi"/>
          <w:sz w:val="21"/>
          <w:szCs w:val="21"/>
        </w:rPr>
        <w:t xml:space="preserve">el punto de acuerdo. </w:t>
      </w:r>
    </w:p>
    <w:p w14:paraId="382F2F6E" w14:textId="77777777" w:rsidR="00652287" w:rsidRPr="00D33C69" w:rsidRDefault="00652287" w:rsidP="00306EB8">
      <w:pPr>
        <w:pStyle w:val="NormalWeb"/>
        <w:ind w:right="333"/>
        <w:jc w:val="center"/>
        <w:rPr>
          <w:rFonts w:ascii="Abadi" w:hAnsi="Abadi"/>
          <w:b/>
          <w:bCs/>
          <w:sz w:val="21"/>
          <w:szCs w:val="21"/>
        </w:rPr>
      </w:pPr>
      <w:r w:rsidRPr="00D33C69">
        <w:rPr>
          <w:rFonts w:ascii="Abadi" w:hAnsi="Abadi"/>
          <w:b/>
          <w:bCs/>
          <w:sz w:val="21"/>
          <w:szCs w:val="21"/>
        </w:rPr>
        <w:t>(Se abre el sistema electrónico)</w:t>
      </w:r>
    </w:p>
    <w:p w14:paraId="053B6881" w14:textId="0F820B29" w:rsidR="00652287" w:rsidRDefault="00306EB8" w:rsidP="00306EB8">
      <w:pPr>
        <w:pStyle w:val="NormalWeb"/>
        <w:ind w:right="333" w:firstLine="708"/>
        <w:jc w:val="both"/>
        <w:rPr>
          <w:rFonts w:ascii="Abadi" w:hAnsi="Abadi"/>
          <w:sz w:val="21"/>
          <w:szCs w:val="21"/>
        </w:rPr>
      </w:pPr>
      <w:r>
        <w:rPr>
          <w:rFonts w:ascii="Abadi" w:hAnsi="Abadi"/>
          <w:b/>
          <w:bCs/>
          <w:sz w:val="21"/>
          <w:szCs w:val="21"/>
        </w:rPr>
        <w:t xml:space="preserve">- </w:t>
      </w:r>
      <w:r w:rsidR="00652287" w:rsidRPr="00D33C69">
        <w:rPr>
          <w:rFonts w:ascii="Abadi" w:hAnsi="Abadi"/>
          <w:b/>
          <w:bCs/>
          <w:sz w:val="21"/>
          <w:szCs w:val="21"/>
        </w:rPr>
        <w:t xml:space="preserve">La </w:t>
      </w:r>
      <w:proofErr w:type="gramStart"/>
      <w:r w:rsidR="00652287" w:rsidRPr="00D33C69">
        <w:rPr>
          <w:rFonts w:ascii="Abadi" w:hAnsi="Abadi"/>
          <w:b/>
          <w:bCs/>
          <w:sz w:val="21"/>
          <w:szCs w:val="21"/>
        </w:rPr>
        <w:t>Presidencia.-</w:t>
      </w:r>
      <w:proofErr w:type="gramEnd"/>
      <w:r w:rsidR="00652287">
        <w:rPr>
          <w:rFonts w:ascii="Abadi" w:hAnsi="Abadi"/>
          <w:sz w:val="21"/>
          <w:szCs w:val="21"/>
        </w:rPr>
        <w:t xml:space="preserve"> E</w:t>
      </w:r>
      <w:r w:rsidR="00652287" w:rsidRPr="0021199F">
        <w:rPr>
          <w:rFonts w:ascii="Abadi" w:hAnsi="Abadi"/>
          <w:sz w:val="21"/>
          <w:szCs w:val="21"/>
        </w:rPr>
        <w:t>n votación nominal por el sistema electrónico</w:t>
      </w:r>
      <w:r w:rsidR="00652287">
        <w:rPr>
          <w:rFonts w:ascii="Abadi" w:hAnsi="Abadi"/>
          <w:sz w:val="21"/>
          <w:szCs w:val="21"/>
        </w:rPr>
        <w:t>, s</w:t>
      </w:r>
      <w:r w:rsidR="00652287" w:rsidRPr="0021199F">
        <w:rPr>
          <w:rFonts w:ascii="Abadi" w:hAnsi="Abadi"/>
          <w:sz w:val="21"/>
          <w:szCs w:val="21"/>
        </w:rPr>
        <w:t xml:space="preserve">e pregunta a las diputadas </w:t>
      </w:r>
      <w:r w:rsidR="00652287">
        <w:rPr>
          <w:rFonts w:ascii="Abadi" w:hAnsi="Abadi"/>
          <w:sz w:val="21"/>
          <w:szCs w:val="21"/>
        </w:rPr>
        <w:t>y a los d</w:t>
      </w:r>
      <w:r w:rsidR="00652287" w:rsidRPr="0021199F">
        <w:rPr>
          <w:rFonts w:ascii="Abadi" w:hAnsi="Abadi"/>
          <w:sz w:val="21"/>
          <w:szCs w:val="21"/>
        </w:rPr>
        <w:t>iputados y se aprueba el punto de acuerdo</w:t>
      </w:r>
      <w:r w:rsidR="00652287">
        <w:rPr>
          <w:rFonts w:ascii="Abadi" w:hAnsi="Abadi"/>
          <w:sz w:val="21"/>
          <w:szCs w:val="21"/>
        </w:rPr>
        <w:t>, p</w:t>
      </w:r>
      <w:r w:rsidR="00652287" w:rsidRPr="0021199F">
        <w:rPr>
          <w:rFonts w:ascii="Abadi" w:hAnsi="Abadi"/>
          <w:sz w:val="21"/>
          <w:szCs w:val="21"/>
        </w:rPr>
        <w:t>uesto a su consideración</w:t>
      </w:r>
      <w:r w:rsidR="00652287">
        <w:rPr>
          <w:rFonts w:ascii="Abadi" w:hAnsi="Abadi"/>
          <w:sz w:val="21"/>
          <w:szCs w:val="21"/>
        </w:rPr>
        <w:t>.</w:t>
      </w:r>
    </w:p>
    <w:p w14:paraId="5324D2A9" w14:textId="77777777" w:rsidR="00652287" w:rsidRDefault="00652287" w:rsidP="00652287">
      <w:pPr>
        <w:pStyle w:val="NormalWeb"/>
        <w:ind w:right="333"/>
        <w:jc w:val="both"/>
        <w:rPr>
          <w:rFonts w:ascii="Abadi" w:hAnsi="Abadi"/>
          <w:sz w:val="21"/>
          <w:szCs w:val="21"/>
        </w:rPr>
      </w:pPr>
      <w:r>
        <w:rPr>
          <w:rFonts w:ascii="Abadi" w:hAnsi="Abadi"/>
          <w:sz w:val="21"/>
          <w:szCs w:val="21"/>
        </w:rPr>
        <w:t>¿D</w:t>
      </w:r>
      <w:r w:rsidRPr="0021199F">
        <w:rPr>
          <w:rFonts w:ascii="Abadi" w:hAnsi="Abadi"/>
          <w:sz w:val="21"/>
          <w:szCs w:val="21"/>
        </w:rPr>
        <w:t>iputada</w:t>
      </w:r>
      <w:r>
        <w:rPr>
          <w:rFonts w:ascii="Abadi" w:hAnsi="Abadi"/>
          <w:sz w:val="21"/>
          <w:szCs w:val="21"/>
        </w:rPr>
        <w:t xml:space="preserve"> Ruth, para que efecto? (Voz) diputada Ruth Noemí, para </w:t>
      </w:r>
      <w:r w:rsidRPr="0021199F">
        <w:rPr>
          <w:rFonts w:ascii="Abadi" w:hAnsi="Abadi"/>
          <w:sz w:val="21"/>
          <w:szCs w:val="21"/>
        </w:rPr>
        <w:t>razonar mi voto, Presidenta</w:t>
      </w:r>
      <w:r>
        <w:rPr>
          <w:rFonts w:ascii="Abadi" w:hAnsi="Abadi"/>
          <w:sz w:val="21"/>
          <w:szCs w:val="21"/>
        </w:rPr>
        <w:t>, (Voz) diputada Presidenta, a</w:t>
      </w:r>
      <w:r w:rsidRPr="0021199F">
        <w:rPr>
          <w:rFonts w:ascii="Abadi" w:hAnsi="Abadi"/>
          <w:sz w:val="21"/>
          <w:szCs w:val="21"/>
        </w:rPr>
        <w:t xml:space="preserve">delante, diputada. </w:t>
      </w:r>
    </w:p>
    <w:p w14:paraId="49FC2ECB" w14:textId="77777777" w:rsidR="00652287" w:rsidRPr="00931A5B" w:rsidRDefault="00652287" w:rsidP="00652287">
      <w:pPr>
        <w:pStyle w:val="NormalWeb"/>
        <w:ind w:right="333"/>
        <w:jc w:val="both"/>
        <w:rPr>
          <w:rFonts w:ascii="Abadi" w:hAnsi="Abadi"/>
          <w:b/>
          <w:bCs/>
          <w:sz w:val="21"/>
          <w:szCs w:val="21"/>
        </w:rPr>
      </w:pPr>
      <w:r w:rsidRPr="00931A5B">
        <w:rPr>
          <w:rFonts w:ascii="Abadi" w:hAnsi="Abadi"/>
          <w:b/>
          <w:bCs/>
          <w:sz w:val="21"/>
          <w:szCs w:val="21"/>
        </w:rPr>
        <w:t>(</w:t>
      </w:r>
      <w:r>
        <w:rPr>
          <w:rFonts w:ascii="Abadi" w:hAnsi="Abadi"/>
          <w:b/>
          <w:bCs/>
          <w:sz w:val="21"/>
          <w:szCs w:val="21"/>
        </w:rPr>
        <w:t xml:space="preserve">Solicita el uso de la voz la diputada Ruth </w:t>
      </w:r>
      <w:r w:rsidRPr="00931A5B">
        <w:rPr>
          <w:rFonts w:ascii="Abadi" w:hAnsi="Abadi"/>
          <w:b/>
          <w:bCs/>
          <w:sz w:val="21"/>
          <w:szCs w:val="21"/>
        </w:rPr>
        <w:t>Noemí, para razonar su voto)</w:t>
      </w:r>
    </w:p>
    <w:p w14:paraId="7D0F7B29" w14:textId="77777777" w:rsidR="00652287" w:rsidRDefault="00652287" w:rsidP="00652287">
      <w:pPr>
        <w:pStyle w:val="NormalWeb"/>
        <w:ind w:right="333"/>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No puedo votar a favor del punto de acuerdo en virtud de que él mismo carece de sustento jurídico y probatorio que de elementos concretos al Gobernador del Estado de iniciar el procedimiento de remoción de fiscal que se solicita, porque no es solamente con una percepción que se tiene, sino que hay que probar lo que se dice lo anterior, toda vez que si bien la Constitución </w:t>
      </w:r>
      <w:r>
        <w:rPr>
          <w:rFonts w:ascii="Abadi" w:hAnsi="Abadi"/>
          <w:sz w:val="21"/>
          <w:szCs w:val="21"/>
        </w:rPr>
        <w:t>L</w:t>
      </w:r>
      <w:r w:rsidRPr="0021199F">
        <w:rPr>
          <w:rFonts w:ascii="Abadi" w:hAnsi="Abadi"/>
          <w:sz w:val="21"/>
          <w:szCs w:val="21"/>
        </w:rPr>
        <w:t xml:space="preserve">ocal en su artículo </w:t>
      </w:r>
      <w:r>
        <w:rPr>
          <w:rFonts w:ascii="Abadi" w:hAnsi="Abadi"/>
          <w:sz w:val="21"/>
          <w:szCs w:val="21"/>
        </w:rPr>
        <w:t>95</w:t>
      </w:r>
      <w:r w:rsidRPr="0021199F">
        <w:rPr>
          <w:rFonts w:ascii="Abadi" w:hAnsi="Abadi"/>
          <w:sz w:val="21"/>
          <w:szCs w:val="21"/>
        </w:rPr>
        <w:t xml:space="preserve"> fracción </w:t>
      </w:r>
      <w:r>
        <w:rPr>
          <w:rFonts w:ascii="Abadi" w:hAnsi="Abadi"/>
          <w:sz w:val="21"/>
          <w:szCs w:val="21"/>
        </w:rPr>
        <w:t xml:space="preserve">IV </w:t>
      </w:r>
      <w:r w:rsidRPr="0021199F">
        <w:rPr>
          <w:rFonts w:ascii="Abadi" w:hAnsi="Abadi"/>
          <w:sz w:val="21"/>
          <w:szCs w:val="21"/>
        </w:rPr>
        <w:t xml:space="preserve">establece la facultad del Gobernador de remover al fiscal por causas graves que se establecen en la Ley de la Fiscalía, es está en la fracción </w:t>
      </w:r>
      <w:r>
        <w:rPr>
          <w:rFonts w:ascii="Abadi" w:hAnsi="Abadi"/>
          <w:sz w:val="21"/>
          <w:szCs w:val="21"/>
        </w:rPr>
        <w:t>I y II</w:t>
      </w:r>
      <w:r w:rsidRPr="0021199F">
        <w:rPr>
          <w:rFonts w:ascii="Abadi" w:hAnsi="Abadi"/>
          <w:sz w:val="21"/>
          <w:szCs w:val="21"/>
        </w:rPr>
        <w:t xml:space="preserve"> de su artículo </w:t>
      </w:r>
      <w:r>
        <w:rPr>
          <w:rFonts w:ascii="Abadi" w:hAnsi="Abadi"/>
          <w:sz w:val="21"/>
          <w:szCs w:val="21"/>
        </w:rPr>
        <w:t>18.</w:t>
      </w:r>
      <w:r w:rsidRPr="0021199F">
        <w:rPr>
          <w:rFonts w:ascii="Abadi" w:hAnsi="Abadi"/>
          <w:sz w:val="21"/>
          <w:szCs w:val="21"/>
        </w:rPr>
        <w:t xml:space="preserve"> </w:t>
      </w:r>
    </w:p>
    <w:p w14:paraId="55F4D3A5" w14:textId="77777777" w:rsidR="00652287" w:rsidRDefault="00652287" w:rsidP="00652287">
      <w:pPr>
        <w:pStyle w:val="NormalWeb"/>
        <w:ind w:right="333"/>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Establece dos causas graves de remoción, siendo cuando se incumple de manera reiterada con los fines institucionales y participar, tolerar, consentir o apoyar violaciones graves a los derechos humanos o cometer violaciones graves a la Constitución General </w:t>
      </w:r>
      <w:r>
        <w:rPr>
          <w:rFonts w:ascii="Abadi" w:hAnsi="Abadi"/>
          <w:sz w:val="21"/>
          <w:szCs w:val="21"/>
        </w:rPr>
        <w:t>L</w:t>
      </w:r>
      <w:r w:rsidRPr="0021199F">
        <w:rPr>
          <w:rFonts w:ascii="Abadi" w:hAnsi="Abadi"/>
          <w:sz w:val="21"/>
          <w:szCs w:val="21"/>
        </w:rPr>
        <w:t xml:space="preserve">ocal y a sus leyes. </w:t>
      </w:r>
    </w:p>
    <w:p w14:paraId="2C68559B" w14:textId="659444FA" w:rsidR="00652287" w:rsidRDefault="00652287" w:rsidP="00652287">
      <w:pPr>
        <w:pStyle w:val="NormalWeb"/>
        <w:ind w:right="333"/>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Dichas causas deben de ser acreditadas con medios de pruebas </w:t>
      </w:r>
      <w:r w:rsidR="00306EB8">
        <w:rPr>
          <w:rFonts w:ascii="Abadi" w:hAnsi="Abadi"/>
          <w:sz w:val="21"/>
          <w:szCs w:val="21"/>
        </w:rPr>
        <w:t>i</w:t>
      </w:r>
      <w:r w:rsidR="00306EB8" w:rsidRPr="0021199F">
        <w:rPr>
          <w:rFonts w:ascii="Abadi" w:hAnsi="Abadi"/>
          <w:sz w:val="21"/>
          <w:szCs w:val="21"/>
        </w:rPr>
        <w:t>dó</w:t>
      </w:r>
      <w:r w:rsidR="00306EB8">
        <w:rPr>
          <w:rFonts w:ascii="Abadi" w:hAnsi="Abadi"/>
          <w:sz w:val="21"/>
          <w:szCs w:val="21"/>
        </w:rPr>
        <w:t>neas</w:t>
      </w:r>
      <w:r w:rsidRPr="0021199F">
        <w:rPr>
          <w:rFonts w:ascii="Abadi" w:hAnsi="Abadi"/>
          <w:sz w:val="21"/>
          <w:szCs w:val="21"/>
        </w:rPr>
        <w:t xml:space="preserve"> </w:t>
      </w:r>
      <w:r w:rsidR="00306EB8">
        <w:rPr>
          <w:rFonts w:ascii="Abadi" w:hAnsi="Abadi"/>
          <w:sz w:val="21"/>
          <w:szCs w:val="21"/>
        </w:rPr>
        <w:t>-</w:t>
      </w:r>
      <w:r w:rsidRPr="0021199F">
        <w:rPr>
          <w:rFonts w:ascii="Abadi" w:hAnsi="Abadi"/>
          <w:sz w:val="21"/>
          <w:szCs w:val="21"/>
        </w:rPr>
        <w:t>y pertinentes que permitan establecer con claridad que se han actualizado en uno</w:t>
      </w:r>
      <w:r>
        <w:rPr>
          <w:rFonts w:ascii="Abadi" w:hAnsi="Abadi"/>
          <w:sz w:val="21"/>
          <w:szCs w:val="21"/>
        </w:rPr>
        <w:t xml:space="preserve"> o en otro </w:t>
      </w:r>
      <w:r w:rsidRPr="0021199F">
        <w:rPr>
          <w:rFonts w:ascii="Abadi" w:hAnsi="Abadi"/>
          <w:sz w:val="21"/>
          <w:szCs w:val="21"/>
        </w:rPr>
        <w:t>sentido</w:t>
      </w:r>
      <w:r>
        <w:rPr>
          <w:rFonts w:ascii="Abadi" w:hAnsi="Abadi"/>
          <w:sz w:val="21"/>
          <w:szCs w:val="21"/>
        </w:rPr>
        <w:t>,</w:t>
      </w:r>
      <w:r w:rsidRPr="0021199F">
        <w:rPr>
          <w:rFonts w:ascii="Abadi" w:hAnsi="Abadi"/>
          <w:sz w:val="21"/>
          <w:szCs w:val="21"/>
        </w:rPr>
        <w:t xml:space="preserve"> bueno en otro momento y que, por tanto, el procedimiento de remoción del fiscal puede ser accionado porque está facultado para ellos. </w:t>
      </w:r>
    </w:p>
    <w:p w14:paraId="39A8EE08" w14:textId="77777777" w:rsidR="00652287" w:rsidRDefault="00652287" w:rsidP="00652287">
      <w:pPr>
        <w:pStyle w:val="NormalWeb"/>
        <w:ind w:right="333"/>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Así, </w:t>
      </w:r>
      <w:r>
        <w:rPr>
          <w:rFonts w:ascii="Abadi" w:hAnsi="Abadi"/>
          <w:sz w:val="21"/>
          <w:szCs w:val="21"/>
        </w:rPr>
        <w:t xml:space="preserve">sí, el punto </w:t>
      </w:r>
      <w:r w:rsidRPr="0021199F">
        <w:rPr>
          <w:rFonts w:ascii="Abadi" w:hAnsi="Abadi"/>
          <w:sz w:val="21"/>
          <w:szCs w:val="21"/>
        </w:rPr>
        <w:t xml:space="preserve">de acuerdo carece de los medios o datos de pruebas que puedan acreditar que se actualizan las causales de remoción, no es posible acompañarlo en los términos planteados. </w:t>
      </w:r>
    </w:p>
    <w:p w14:paraId="20C070C4" w14:textId="5C8C2AB2" w:rsidR="00652287" w:rsidRDefault="00306EB8" w:rsidP="00652287">
      <w:pPr>
        <w:pStyle w:val="NormalWeb"/>
        <w:ind w:right="333"/>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Es cuanto</w:t>
      </w:r>
      <w:r w:rsidR="00A56D6F">
        <w:rPr>
          <w:rFonts w:ascii="Abadi" w:hAnsi="Abadi"/>
          <w:sz w:val="21"/>
          <w:szCs w:val="21"/>
        </w:rPr>
        <w:t>,</w:t>
      </w:r>
      <w:r w:rsidR="00652287" w:rsidRPr="0021199F">
        <w:rPr>
          <w:rFonts w:ascii="Abadi" w:hAnsi="Abadi"/>
          <w:sz w:val="21"/>
          <w:szCs w:val="21"/>
        </w:rPr>
        <w:t xml:space="preserve"> </w:t>
      </w:r>
      <w:r w:rsidR="00A56D6F">
        <w:rPr>
          <w:rFonts w:ascii="Abadi" w:hAnsi="Abadi"/>
          <w:sz w:val="21"/>
          <w:szCs w:val="21"/>
        </w:rPr>
        <w:t>P</w:t>
      </w:r>
      <w:r w:rsidR="00652287" w:rsidRPr="0021199F">
        <w:rPr>
          <w:rFonts w:ascii="Abadi" w:hAnsi="Abadi"/>
          <w:sz w:val="21"/>
          <w:szCs w:val="21"/>
        </w:rPr>
        <w:t>residenta</w:t>
      </w:r>
      <w:r w:rsidR="00A56D6F">
        <w:rPr>
          <w:rFonts w:ascii="Abadi" w:hAnsi="Abadi"/>
          <w:sz w:val="21"/>
          <w:szCs w:val="21"/>
        </w:rPr>
        <w:t>.</w:t>
      </w:r>
    </w:p>
    <w:p w14:paraId="11B2CA1A" w14:textId="0F6B190A" w:rsidR="00652287" w:rsidRDefault="00306EB8" w:rsidP="00306EB8">
      <w:pPr>
        <w:pStyle w:val="NormalWeb"/>
        <w:ind w:right="333" w:firstLine="708"/>
        <w:jc w:val="both"/>
        <w:rPr>
          <w:rFonts w:ascii="Abadi" w:hAnsi="Abadi"/>
          <w:sz w:val="21"/>
          <w:szCs w:val="21"/>
        </w:rPr>
      </w:pPr>
      <w:r>
        <w:rPr>
          <w:rFonts w:ascii="Abadi" w:hAnsi="Abadi"/>
          <w:b/>
          <w:bCs/>
          <w:sz w:val="21"/>
          <w:szCs w:val="21"/>
        </w:rPr>
        <w:t xml:space="preserve">- </w:t>
      </w:r>
      <w:r w:rsidR="00652287" w:rsidRPr="00B70536">
        <w:rPr>
          <w:rFonts w:ascii="Abadi" w:hAnsi="Abadi"/>
          <w:b/>
          <w:bCs/>
          <w:sz w:val="21"/>
          <w:szCs w:val="21"/>
        </w:rPr>
        <w:t xml:space="preserve">La </w:t>
      </w:r>
      <w:proofErr w:type="gramStart"/>
      <w:r w:rsidR="00652287" w:rsidRPr="00B70536">
        <w:rPr>
          <w:rFonts w:ascii="Abadi" w:hAnsi="Abadi"/>
          <w:b/>
          <w:bCs/>
          <w:sz w:val="21"/>
          <w:szCs w:val="21"/>
        </w:rPr>
        <w:t>Presidencia.-</w:t>
      </w:r>
      <w:proofErr w:type="gramEnd"/>
      <w:r w:rsidR="00652287">
        <w:rPr>
          <w:rFonts w:ascii="Abadi" w:hAnsi="Abadi"/>
          <w:sz w:val="21"/>
          <w:szCs w:val="21"/>
        </w:rPr>
        <w:t xml:space="preserve"> G</w:t>
      </w:r>
      <w:r w:rsidR="00652287" w:rsidRPr="0021199F">
        <w:rPr>
          <w:rFonts w:ascii="Abadi" w:hAnsi="Abadi"/>
          <w:sz w:val="21"/>
          <w:szCs w:val="21"/>
        </w:rPr>
        <w:t xml:space="preserve">racias </w:t>
      </w:r>
      <w:r w:rsidR="00652287">
        <w:rPr>
          <w:rFonts w:ascii="Abadi" w:hAnsi="Abadi"/>
          <w:sz w:val="21"/>
          <w:szCs w:val="21"/>
        </w:rPr>
        <w:t>d</w:t>
      </w:r>
      <w:r w:rsidR="00652287" w:rsidRPr="0021199F">
        <w:rPr>
          <w:rFonts w:ascii="Abadi" w:hAnsi="Abadi"/>
          <w:sz w:val="21"/>
          <w:szCs w:val="21"/>
        </w:rPr>
        <w:t xml:space="preserve">iputada, </w:t>
      </w:r>
      <w:r w:rsidR="00652287">
        <w:rPr>
          <w:rFonts w:ascii="Abadi" w:hAnsi="Abadi"/>
          <w:sz w:val="21"/>
          <w:szCs w:val="21"/>
        </w:rPr>
        <w:t>¿</w:t>
      </w:r>
      <w:r w:rsidR="00652287" w:rsidRPr="0021199F">
        <w:rPr>
          <w:rFonts w:ascii="Abadi" w:hAnsi="Abadi"/>
          <w:sz w:val="21"/>
          <w:szCs w:val="21"/>
        </w:rPr>
        <w:t>diputado Rolando</w:t>
      </w:r>
      <w:r w:rsidR="00652287">
        <w:rPr>
          <w:rFonts w:ascii="Abadi" w:hAnsi="Abadi"/>
          <w:sz w:val="21"/>
          <w:szCs w:val="21"/>
        </w:rPr>
        <w:t>?</w:t>
      </w:r>
    </w:p>
    <w:p w14:paraId="12FFF215" w14:textId="77777777" w:rsidR="00652287" w:rsidRDefault="00652287" w:rsidP="00652287">
      <w:pPr>
        <w:pStyle w:val="NormalWeb"/>
        <w:ind w:right="333"/>
        <w:jc w:val="both"/>
        <w:rPr>
          <w:rFonts w:ascii="Abadi" w:hAnsi="Abadi"/>
          <w:sz w:val="21"/>
          <w:szCs w:val="21"/>
        </w:rPr>
      </w:pPr>
      <w:r>
        <w:rPr>
          <w:rFonts w:ascii="Abadi" w:hAnsi="Abadi"/>
          <w:sz w:val="21"/>
          <w:szCs w:val="21"/>
        </w:rPr>
        <w:t>¿F</w:t>
      </w:r>
      <w:r w:rsidRPr="0021199F">
        <w:rPr>
          <w:rFonts w:ascii="Abadi" w:hAnsi="Abadi"/>
          <w:sz w:val="21"/>
          <w:szCs w:val="21"/>
        </w:rPr>
        <w:t>alta alguna diputad</w:t>
      </w:r>
      <w:r>
        <w:rPr>
          <w:rFonts w:ascii="Abadi" w:hAnsi="Abadi"/>
          <w:sz w:val="21"/>
          <w:szCs w:val="21"/>
        </w:rPr>
        <w:t>a</w:t>
      </w:r>
      <w:r w:rsidRPr="0021199F">
        <w:rPr>
          <w:rFonts w:ascii="Abadi" w:hAnsi="Abadi"/>
          <w:sz w:val="21"/>
          <w:szCs w:val="21"/>
        </w:rPr>
        <w:t xml:space="preserve"> diputad</w:t>
      </w:r>
      <w:r>
        <w:rPr>
          <w:rFonts w:ascii="Abadi" w:hAnsi="Abadi"/>
          <w:sz w:val="21"/>
          <w:szCs w:val="21"/>
        </w:rPr>
        <w:t>o</w:t>
      </w:r>
      <w:r w:rsidRPr="0021199F">
        <w:rPr>
          <w:rFonts w:ascii="Abadi" w:hAnsi="Abadi"/>
          <w:sz w:val="21"/>
          <w:szCs w:val="21"/>
        </w:rPr>
        <w:t xml:space="preserve"> de emitir su voto</w:t>
      </w:r>
      <w:r>
        <w:rPr>
          <w:rFonts w:ascii="Abadi" w:hAnsi="Abadi"/>
          <w:sz w:val="21"/>
          <w:szCs w:val="21"/>
        </w:rPr>
        <w:t>?</w:t>
      </w:r>
    </w:p>
    <w:p w14:paraId="3AAFFD13" w14:textId="77777777" w:rsidR="00652287" w:rsidRDefault="00652287" w:rsidP="00306EB8">
      <w:pPr>
        <w:pStyle w:val="NormalWeb"/>
        <w:ind w:right="333"/>
        <w:jc w:val="center"/>
        <w:rPr>
          <w:rFonts w:ascii="Abadi" w:hAnsi="Abadi"/>
          <w:b/>
          <w:bCs/>
          <w:sz w:val="21"/>
          <w:szCs w:val="21"/>
        </w:rPr>
      </w:pPr>
      <w:r w:rsidRPr="00664071">
        <w:rPr>
          <w:rFonts w:ascii="Abadi" w:hAnsi="Abadi"/>
          <w:b/>
          <w:bCs/>
          <w:sz w:val="21"/>
          <w:szCs w:val="21"/>
        </w:rPr>
        <w:t>(Se cierra el sistema electrónico)</w:t>
      </w:r>
    </w:p>
    <w:p w14:paraId="06A4B7B4" w14:textId="77777777" w:rsidR="00652287" w:rsidRDefault="00652287" w:rsidP="00652287">
      <w:pPr>
        <w:pStyle w:val="NormalWeb"/>
        <w:ind w:right="333"/>
        <w:jc w:val="both"/>
        <w:rPr>
          <w:rFonts w:ascii="Abadi" w:hAnsi="Abadi"/>
          <w:b/>
          <w:bCs/>
          <w:sz w:val="21"/>
          <w:szCs w:val="21"/>
        </w:rPr>
      </w:pPr>
      <w:r>
        <w:rPr>
          <w:noProof/>
        </w:rPr>
        <w:drawing>
          <wp:inline distT="0" distB="0" distL="0" distR="0" wp14:anchorId="1589609D" wp14:editId="115C2D4F">
            <wp:extent cx="2075446" cy="1073285"/>
            <wp:effectExtent l="152400" t="152400" r="363220" b="355600"/>
            <wp:docPr id="44" name="Imagen 44"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 Aplicación, Sitio web&#10;&#10;Descripción generada automáticamente"/>
                    <pic:cNvPicPr/>
                  </pic:nvPicPr>
                  <pic:blipFill rotWithShape="1">
                    <a:blip r:embed="rId50"/>
                    <a:srcRect b="8021"/>
                    <a:stretch/>
                  </pic:blipFill>
                  <pic:spPr bwMode="auto">
                    <a:xfrm>
                      <a:off x="0" y="0"/>
                      <a:ext cx="2087113" cy="107931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828246B" w14:textId="27FCD9F1" w:rsidR="00652287" w:rsidRDefault="00306EB8" w:rsidP="00306EB8">
      <w:pPr>
        <w:pStyle w:val="NormalWeb"/>
        <w:ind w:right="333" w:firstLine="708"/>
        <w:jc w:val="both"/>
        <w:rPr>
          <w:rFonts w:ascii="Abadi" w:hAnsi="Abadi"/>
          <w:sz w:val="21"/>
          <w:szCs w:val="21"/>
        </w:rPr>
      </w:pPr>
      <w:r>
        <w:rPr>
          <w:rFonts w:ascii="Abadi" w:hAnsi="Abadi"/>
          <w:b/>
          <w:bCs/>
          <w:sz w:val="21"/>
          <w:szCs w:val="21"/>
        </w:rPr>
        <w:t xml:space="preserve">- </w:t>
      </w:r>
      <w:r w:rsidR="00652287" w:rsidRPr="00664071">
        <w:rPr>
          <w:rFonts w:ascii="Abadi" w:hAnsi="Abadi"/>
          <w:b/>
          <w:bCs/>
          <w:sz w:val="21"/>
          <w:szCs w:val="21"/>
        </w:rPr>
        <w:t xml:space="preserve">La </w:t>
      </w:r>
      <w:proofErr w:type="gramStart"/>
      <w:r w:rsidR="00652287" w:rsidRPr="00664071">
        <w:rPr>
          <w:rFonts w:ascii="Abadi" w:hAnsi="Abadi"/>
          <w:b/>
          <w:bCs/>
          <w:sz w:val="21"/>
          <w:szCs w:val="21"/>
        </w:rPr>
        <w:t>Secretar</w:t>
      </w:r>
      <w:r w:rsidR="00652287">
        <w:rPr>
          <w:rFonts w:ascii="Abadi" w:hAnsi="Abadi"/>
          <w:b/>
          <w:bCs/>
          <w:sz w:val="21"/>
          <w:szCs w:val="21"/>
        </w:rPr>
        <w:t>i</w:t>
      </w:r>
      <w:r w:rsidR="00652287" w:rsidRPr="00664071">
        <w:rPr>
          <w:rFonts w:ascii="Abadi" w:hAnsi="Abadi"/>
          <w:b/>
          <w:bCs/>
          <w:sz w:val="21"/>
          <w:szCs w:val="21"/>
        </w:rPr>
        <w:t>a.-</w:t>
      </w:r>
      <w:proofErr w:type="gramEnd"/>
      <w:r w:rsidR="00652287">
        <w:rPr>
          <w:rFonts w:ascii="Abadi" w:hAnsi="Abadi"/>
          <w:sz w:val="21"/>
          <w:szCs w:val="21"/>
        </w:rPr>
        <w:t xml:space="preserve"> </w:t>
      </w:r>
      <w:r w:rsidR="00652287" w:rsidRPr="0021199F">
        <w:rPr>
          <w:rFonts w:ascii="Abadi" w:hAnsi="Abadi"/>
          <w:sz w:val="21"/>
          <w:szCs w:val="21"/>
        </w:rPr>
        <w:t xml:space="preserve">Señora Presidenta, se registraron </w:t>
      </w:r>
      <w:r w:rsidR="00652287">
        <w:rPr>
          <w:rFonts w:ascii="Abadi" w:hAnsi="Abadi"/>
          <w:sz w:val="21"/>
          <w:szCs w:val="21"/>
        </w:rPr>
        <w:t>24</w:t>
      </w:r>
      <w:r w:rsidR="00652287" w:rsidRPr="0021199F">
        <w:rPr>
          <w:rFonts w:ascii="Abadi" w:hAnsi="Abadi"/>
          <w:sz w:val="21"/>
          <w:szCs w:val="21"/>
        </w:rPr>
        <w:t xml:space="preserve"> votos en contra y </w:t>
      </w:r>
      <w:r w:rsidR="00652287">
        <w:rPr>
          <w:rFonts w:ascii="Abadi" w:hAnsi="Abadi"/>
          <w:sz w:val="21"/>
          <w:szCs w:val="21"/>
        </w:rPr>
        <w:t>10</w:t>
      </w:r>
      <w:r w:rsidR="00652287" w:rsidRPr="0021199F">
        <w:rPr>
          <w:rFonts w:ascii="Abadi" w:hAnsi="Abadi"/>
          <w:sz w:val="21"/>
          <w:szCs w:val="21"/>
        </w:rPr>
        <w:t xml:space="preserve"> a favor. </w:t>
      </w:r>
    </w:p>
    <w:p w14:paraId="370A0745" w14:textId="41438801" w:rsidR="00652287" w:rsidRDefault="00306EB8" w:rsidP="00306EB8">
      <w:pPr>
        <w:pStyle w:val="NormalWeb"/>
        <w:ind w:right="333" w:firstLine="708"/>
        <w:jc w:val="both"/>
        <w:rPr>
          <w:rFonts w:ascii="Abadi" w:hAnsi="Abadi"/>
          <w:sz w:val="21"/>
          <w:szCs w:val="21"/>
        </w:rPr>
      </w:pPr>
      <w:r>
        <w:rPr>
          <w:rFonts w:ascii="Abadi" w:hAnsi="Abadi"/>
          <w:b/>
          <w:bCs/>
          <w:sz w:val="21"/>
          <w:szCs w:val="21"/>
        </w:rPr>
        <w:t xml:space="preserve">- </w:t>
      </w:r>
      <w:r w:rsidR="00652287" w:rsidRPr="0007047A">
        <w:rPr>
          <w:rFonts w:ascii="Abadi" w:hAnsi="Abadi"/>
          <w:b/>
          <w:bCs/>
          <w:sz w:val="21"/>
          <w:szCs w:val="21"/>
        </w:rPr>
        <w:t xml:space="preserve">La </w:t>
      </w:r>
      <w:proofErr w:type="gramStart"/>
      <w:r w:rsidR="00652287" w:rsidRPr="0007047A">
        <w:rPr>
          <w:rFonts w:ascii="Abadi" w:hAnsi="Abadi"/>
          <w:b/>
          <w:bCs/>
          <w:sz w:val="21"/>
          <w:szCs w:val="21"/>
        </w:rPr>
        <w:t>Presidencia.-</w:t>
      </w:r>
      <w:proofErr w:type="gramEnd"/>
      <w:r w:rsidR="00652287">
        <w:rPr>
          <w:rFonts w:ascii="Abadi" w:hAnsi="Abadi"/>
          <w:sz w:val="21"/>
          <w:szCs w:val="21"/>
        </w:rPr>
        <w:t xml:space="preserve"> </w:t>
      </w:r>
      <w:r w:rsidR="00652287" w:rsidRPr="0021199F">
        <w:rPr>
          <w:rFonts w:ascii="Abadi" w:hAnsi="Abadi"/>
          <w:sz w:val="21"/>
          <w:szCs w:val="21"/>
        </w:rPr>
        <w:t xml:space="preserve">El punto de acuerdo no ha sido aprobado. </w:t>
      </w:r>
    </w:p>
    <w:p w14:paraId="16C5B936" w14:textId="56C577A3" w:rsidR="00652287" w:rsidRDefault="00306EB8" w:rsidP="00306EB8">
      <w:pPr>
        <w:pStyle w:val="NormalWeb"/>
        <w:ind w:right="333" w:firstLine="284"/>
        <w:jc w:val="both"/>
        <w:rPr>
          <w:rFonts w:ascii="Abadi" w:hAnsi="Abadi"/>
          <w:sz w:val="21"/>
          <w:szCs w:val="21"/>
        </w:rPr>
      </w:pPr>
      <w:r>
        <w:rPr>
          <w:rFonts w:ascii="Abadi" w:hAnsi="Abadi"/>
          <w:sz w:val="21"/>
          <w:szCs w:val="21"/>
        </w:rPr>
        <w:t xml:space="preserve">- </w:t>
      </w:r>
      <w:r w:rsidR="00652287" w:rsidRPr="0021199F">
        <w:rPr>
          <w:rFonts w:ascii="Abadi" w:hAnsi="Abadi"/>
          <w:sz w:val="21"/>
          <w:szCs w:val="21"/>
        </w:rPr>
        <w:t>En virtud de ell</w:t>
      </w:r>
      <w:r w:rsidR="00652287">
        <w:rPr>
          <w:rFonts w:ascii="Abadi" w:hAnsi="Abadi"/>
          <w:sz w:val="21"/>
          <w:szCs w:val="21"/>
        </w:rPr>
        <w:t>o.</w:t>
      </w:r>
    </w:p>
    <w:p w14:paraId="3A5F099C" w14:textId="3C0CD83F" w:rsidR="00652287" w:rsidRDefault="00652287" w:rsidP="00306EB8">
      <w:pPr>
        <w:pStyle w:val="NormalWeb"/>
        <w:ind w:left="284" w:right="495"/>
        <w:jc w:val="both"/>
        <w:rPr>
          <w:rFonts w:ascii="Abadi" w:hAnsi="Abadi"/>
          <w:b/>
          <w:bCs/>
          <w:i/>
          <w:iCs/>
          <w:sz w:val="21"/>
          <w:szCs w:val="21"/>
          <w:u w:val="single"/>
        </w:rPr>
      </w:pPr>
      <w:r w:rsidRPr="00C00C0A">
        <w:rPr>
          <w:rFonts w:ascii="Abadi" w:hAnsi="Abadi"/>
          <w:b/>
          <w:bCs/>
          <w:i/>
          <w:iCs/>
          <w:sz w:val="21"/>
          <w:szCs w:val="21"/>
          <w:u w:val="single"/>
        </w:rPr>
        <w:t xml:space="preserve">Se procede a su archivo definitivo, instruyéndole para tal </w:t>
      </w:r>
      <w:proofErr w:type="gramStart"/>
      <w:r w:rsidRPr="00C00C0A">
        <w:rPr>
          <w:rFonts w:ascii="Abadi" w:hAnsi="Abadi"/>
          <w:b/>
          <w:bCs/>
          <w:i/>
          <w:iCs/>
          <w:sz w:val="21"/>
          <w:szCs w:val="21"/>
          <w:u w:val="single"/>
        </w:rPr>
        <w:t xml:space="preserve">efecto </w:t>
      </w:r>
      <w:r w:rsidR="004A63C7">
        <w:rPr>
          <w:rFonts w:ascii="Abadi" w:hAnsi="Abadi"/>
          <w:b/>
          <w:bCs/>
          <w:i/>
          <w:iCs/>
          <w:sz w:val="21"/>
          <w:szCs w:val="21"/>
          <w:u w:val="single"/>
        </w:rPr>
        <w:t xml:space="preserve"> a</w:t>
      </w:r>
      <w:proofErr w:type="gramEnd"/>
      <w:r w:rsidR="004A63C7">
        <w:rPr>
          <w:rFonts w:ascii="Abadi" w:hAnsi="Abadi"/>
          <w:b/>
          <w:bCs/>
          <w:i/>
          <w:iCs/>
          <w:sz w:val="21"/>
          <w:szCs w:val="21"/>
          <w:u w:val="single"/>
        </w:rPr>
        <w:t xml:space="preserve"> l</w:t>
      </w:r>
      <w:r w:rsidRPr="00C00C0A">
        <w:rPr>
          <w:rFonts w:ascii="Abadi" w:hAnsi="Abadi"/>
          <w:b/>
          <w:bCs/>
          <w:i/>
          <w:iCs/>
          <w:sz w:val="21"/>
          <w:szCs w:val="21"/>
          <w:u w:val="single"/>
        </w:rPr>
        <w:t xml:space="preserve">a Secretaría General </w:t>
      </w:r>
    </w:p>
    <w:p w14:paraId="79FFED56" w14:textId="46B9D43D" w:rsidR="003A6A6C" w:rsidRDefault="003A6A6C" w:rsidP="00BD547D">
      <w:pPr>
        <w:pStyle w:val="NormalWeb"/>
        <w:ind w:right="333" w:firstLine="708"/>
        <w:jc w:val="both"/>
        <w:rPr>
          <w:rFonts w:ascii="Abadi" w:hAnsi="Abadi"/>
          <w:sz w:val="21"/>
          <w:szCs w:val="21"/>
        </w:rPr>
      </w:pPr>
      <w:r>
        <w:rPr>
          <w:rFonts w:ascii="Abadi" w:hAnsi="Abadi"/>
          <w:b/>
          <w:bCs/>
          <w:sz w:val="21"/>
          <w:szCs w:val="21"/>
        </w:rPr>
        <w:t xml:space="preserve">- </w:t>
      </w:r>
      <w:r w:rsidRPr="005736F6">
        <w:rPr>
          <w:rFonts w:ascii="Abadi" w:hAnsi="Abadi"/>
          <w:b/>
          <w:bCs/>
          <w:sz w:val="21"/>
          <w:szCs w:val="21"/>
        </w:rPr>
        <w:t xml:space="preserve">La </w:t>
      </w:r>
      <w:proofErr w:type="gramStart"/>
      <w:r w:rsidRPr="005736F6">
        <w:rPr>
          <w:rFonts w:ascii="Abadi" w:hAnsi="Abadi"/>
          <w:b/>
          <w:bCs/>
          <w:sz w:val="21"/>
          <w:szCs w:val="21"/>
        </w:rPr>
        <w:t>Presidencia.-</w:t>
      </w:r>
      <w:proofErr w:type="gramEnd"/>
      <w:r>
        <w:rPr>
          <w:rFonts w:ascii="Abadi" w:hAnsi="Abadi"/>
          <w:sz w:val="21"/>
          <w:szCs w:val="21"/>
        </w:rPr>
        <w:t xml:space="preserve"> C</w:t>
      </w:r>
      <w:r w:rsidRPr="009F3948">
        <w:rPr>
          <w:rFonts w:ascii="Abadi" w:hAnsi="Abadi"/>
          <w:sz w:val="21"/>
          <w:szCs w:val="21"/>
        </w:rPr>
        <w:t>on el objeto de agilizar el trámite parlamentario</w:t>
      </w:r>
      <w:r>
        <w:rPr>
          <w:rFonts w:ascii="Abadi" w:hAnsi="Abadi"/>
          <w:sz w:val="21"/>
          <w:szCs w:val="21"/>
        </w:rPr>
        <w:t xml:space="preserve"> de los </w:t>
      </w:r>
      <w:r w:rsidRPr="0021199F">
        <w:rPr>
          <w:rFonts w:ascii="Abadi" w:hAnsi="Abadi"/>
          <w:sz w:val="21"/>
          <w:szCs w:val="21"/>
        </w:rPr>
        <w:t xml:space="preserve">asuntos asentados en los puntos del </w:t>
      </w:r>
      <w:r>
        <w:rPr>
          <w:rFonts w:ascii="Abadi" w:hAnsi="Abadi"/>
          <w:sz w:val="21"/>
          <w:szCs w:val="21"/>
        </w:rPr>
        <w:t xml:space="preserve">15 al 34 </w:t>
      </w:r>
      <w:r w:rsidRPr="0021199F">
        <w:rPr>
          <w:rFonts w:ascii="Abadi" w:hAnsi="Abadi"/>
          <w:sz w:val="21"/>
          <w:szCs w:val="21"/>
        </w:rPr>
        <w:t xml:space="preserve">del orden del día y </w:t>
      </w:r>
      <w:r w:rsidR="00A56D6F">
        <w:rPr>
          <w:rFonts w:ascii="Abadi" w:hAnsi="Abadi"/>
          <w:sz w:val="21"/>
          <w:szCs w:val="21"/>
        </w:rPr>
        <w:t xml:space="preserve">en </w:t>
      </w:r>
      <w:r w:rsidRPr="0021199F">
        <w:rPr>
          <w:rFonts w:ascii="Abadi" w:hAnsi="Abadi"/>
          <w:sz w:val="21"/>
          <w:szCs w:val="21"/>
        </w:rPr>
        <w:t>vi</w:t>
      </w:r>
      <w:r>
        <w:rPr>
          <w:rFonts w:ascii="Abadi" w:hAnsi="Abadi"/>
          <w:sz w:val="21"/>
          <w:szCs w:val="21"/>
        </w:rPr>
        <w:t>rtud</w:t>
      </w:r>
      <w:r w:rsidRPr="0021199F">
        <w:rPr>
          <w:rFonts w:ascii="Abadi" w:hAnsi="Abadi"/>
          <w:sz w:val="21"/>
          <w:szCs w:val="21"/>
        </w:rPr>
        <w:t xml:space="preserve"> de haberse proporcionado con anticipación, así como encontrarse </w:t>
      </w:r>
      <w:r>
        <w:rPr>
          <w:rFonts w:ascii="Abadi" w:hAnsi="Abadi"/>
          <w:sz w:val="21"/>
          <w:szCs w:val="21"/>
        </w:rPr>
        <w:t xml:space="preserve">en la Gaceta Parlamentaria, </w:t>
      </w:r>
      <w:r w:rsidRPr="0021199F">
        <w:rPr>
          <w:rFonts w:ascii="Abadi" w:hAnsi="Abadi"/>
          <w:sz w:val="21"/>
          <w:szCs w:val="21"/>
        </w:rPr>
        <w:t>esta presidencia propone se dispens</w:t>
      </w:r>
      <w:r w:rsidR="0018689F">
        <w:rPr>
          <w:rFonts w:ascii="Abadi" w:hAnsi="Abadi"/>
          <w:sz w:val="21"/>
          <w:szCs w:val="21"/>
        </w:rPr>
        <w:t>e</w:t>
      </w:r>
      <w:r w:rsidRPr="0021199F">
        <w:rPr>
          <w:rFonts w:ascii="Abadi" w:hAnsi="Abadi"/>
          <w:sz w:val="21"/>
          <w:szCs w:val="21"/>
        </w:rPr>
        <w:t xml:space="preserve"> la lectura de los mismos.</w:t>
      </w:r>
    </w:p>
    <w:p w14:paraId="6A40E331" w14:textId="77777777" w:rsidR="003A6A6C" w:rsidRDefault="003A6A6C" w:rsidP="00BD547D">
      <w:pPr>
        <w:pStyle w:val="NormalWeb"/>
        <w:ind w:right="333"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De igual forma, se propone que los dictámenes emitidos por la Comisión de Hacienda y Fiscalización, agendados en los puntos del </w:t>
      </w:r>
      <w:r>
        <w:rPr>
          <w:rFonts w:ascii="Abadi" w:hAnsi="Abadi"/>
          <w:sz w:val="21"/>
          <w:szCs w:val="21"/>
        </w:rPr>
        <w:t>27 al 34</w:t>
      </w:r>
      <w:r w:rsidRPr="0021199F">
        <w:rPr>
          <w:rFonts w:ascii="Abadi" w:hAnsi="Abadi"/>
          <w:sz w:val="21"/>
          <w:szCs w:val="21"/>
        </w:rPr>
        <w:t xml:space="preserve"> del orden del día, sean sometidos a discusión y posterior votación en un solo acto. </w:t>
      </w:r>
    </w:p>
    <w:p w14:paraId="5658BED1" w14:textId="4BF6ADC9" w:rsidR="003A6A6C" w:rsidRDefault="003A6A6C" w:rsidP="00BD547D">
      <w:pPr>
        <w:pStyle w:val="NormalWeb"/>
        <w:ind w:right="333" w:firstLine="708"/>
        <w:jc w:val="both"/>
        <w:rPr>
          <w:rFonts w:ascii="Abadi" w:hAnsi="Abadi"/>
          <w:sz w:val="21"/>
          <w:szCs w:val="21"/>
        </w:rPr>
      </w:pPr>
      <w:r>
        <w:rPr>
          <w:rFonts w:ascii="Abadi" w:hAnsi="Abadi"/>
          <w:sz w:val="21"/>
          <w:szCs w:val="21"/>
        </w:rPr>
        <w:t xml:space="preserve"> - </w:t>
      </w:r>
      <w:r w:rsidRPr="0021199F">
        <w:rPr>
          <w:rFonts w:ascii="Abadi" w:hAnsi="Abadi"/>
          <w:sz w:val="21"/>
          <w:szCs w:val="21"/>
        </w:rPr>
        <w:t xml:space="preserve">La propuesta está </w:t>
      </w:r>
      <w:r>
        <w:rPr>
          <w:rFonts w:ascii="Abadi" w:hAnsi="Abadi"/>
          <w:sz w:val="21"/>
          <w:szCs w:val="21"/>
        </w:rPr>
        <w:t xml:space="preserve">a </w:t>
      </w:r>
      <w:r w:rsidRPr="0021199F">
        <w:rPr>
          <w:rFonts w:ascii="Abadi" w:hAnsi="Abadi"/>
          <w:sz w:val="21"/>
          <w:szCs w:val="21"/>
        </w:rPr>
        <w:t>consideración de la Asamblea</w:t>
      </w:r>
      <w:r>
        <w:rPr>
          <w:rFonts w:ascii="Abadi" w:hAnsi="Abadi"/>
          <w:sz w:val="21"/>
          <w:szCs w:val="21"/>
        </w:rPr>
        <w:t>,</w:t>
      </w:r>
      <w:r w:rsidRPr="0021199F">
        <w:rPr>
          <w:rFonts w:ascii="Abadi" w:hAnsi="Abadi"/>
          <w:sz w:val="21"/>
          <w:szCs w:val="21"/>
        </w:rPr>
        <w:t xml:space="preserve"> si alguna diputada o algún diputado desea hacer uso de la palabra, manifiéste</w:t>
      </w:r>
      <w:r>
        <w:rPr>
          <w:rFonts w:ascii="Abadi" w:hAnsi="Abadi"/>
          <w:sz w:val="21"/>
          <w:szCs w:val="21"/>
        </w:rPr>
        <w:t>nlo</w:t>
      </w:r>
      <w:r w:rsidRPr="0021199F">
        <w:rPr>
          <w:rFonts w:ascii="Abadi" w:hAnsi="Abadi"/>
          <w:sz w:val="21"/>
          <w:szCs w:val="21"/>
        </w:rPr>
        <w:t xml:space="preserve"> por favor a es</w:t>
      </w:r>
      <w:r w:rsidR="001E78B8">
        <w:rPr>
          <w:rFonts w:ascii="Abadi" w:hAnsi="Abadi"/>
          <w:sz w:val="21"/>
          <w:szCs w:val="21"/>
        </w:rPr>
        <w:t>t</w:t>
      </w:r>
      <w:r w:rsidRPr="0021199F">
        <w:rPr>
          <w:rFonts w:ascii="Abadi" w:hAnsi="Abadi"/>
          <w:sz w:val="21"/>
          <w:szCs w:val="21"/>
        </w:rPr>
        <w:t xml:space="preserve">a </w:t>
      </w:r>
      <w:r w:rsidR="001E78B8">
        <w:rPr>
          <w:rFonts w:ascii="Abadi" w:hAnsi="Abadi"/>
          <w:sz w:val="21"/>
          <w:szCs w:val="21"/>
        </w:rPr>
        <w:t>P</w:t>
      </w:r>
      <w:r w:rsidRPr="0021199F">
        <w:rPr>
          <w:rFonts w:ascii="Abadi" w:hAnsi="Abadi"/>
          <w:sz w:val="21"/>
          <w:szCs w:val="21"/>
        </w:rPr>
        <w:t xml:space="preserve">residencia. </w:t>
      </w:r>
    </w:p>
    <w:p w14:paraId="259D46F9" w14:textId="77777777" w:rsidR="003A6A6C" w:rsidRDefault="003A6A6C" w:rsidP="00BD547D">
      <w:pPr>
        <w:pStyle w:val="NormalWeb"/>
        <w:ind w:right="333"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No </w:t>
      </w:r>
      <w:r>
        <w:rPr>
          <w:rFonts w:ascii="Abadi" w:hAnsi="Abadi"/>
          <w:sz w:val="21"/>
          <w:szCs w:val="21"/>
        </w:rPr>
        <w:t>habiendo i</w:t>
      </w:r>
      <w:r w:rsidRPr="0021199F">
        <w:rPr>
          <w:rFonts w:ascii="Abadi" w:hAnsi="Abadi"/>
          <w:sz w:val="21"/>
          <w:szCs w:val="21"/>
        </w:rPr>
        <w:t>ntervenciones</w:t>
      </w:r>
      <w:r>
        <w:rPr>
          <w:rFonts w:ascii="Abadi" w:hAnsi="Abadi"/>
          <w:sz w:val="21"/>
          <w:szCs w:val="21"/>
        </w:rPr>
        <w:t>, s</w:t>
      </w:r>
      <w:r w:rsidRPr="0021199F">
        <w:rPr>
          <w:rFonts w:ascii="Abadi" w:hAnsi="Abadi"/>
          <w:sz w:val="21"/>
          <w:szCs w:val="21"/>
        </w:rPr>
        <w:t xml:space="preserve">e pide </w:t>
      </w:r>
      <w:r>
        <w:rPr>
          <w:rFonts w:ascii="Abadi" w:hAnsi="Abadi"/>
          <w:sz w:val="21"/>
          <w:szCs w:val="21"/>
        </w:rPr>
        <w:t xml:space="preserve">a </w:t>
      </w:r>
      <w:r w:rsidRPr="0021199F">
        <w:rPr>
          <w:rFonts w:ascii="Abadi" w:hAnsi="Abadi"/>
          <w:sz w:val="21"/>
          <w:szCs w:val="21"/>
        </w:rPr>
        <w:t xml:space="preserve">la </w:t>
      </w:r>
      <w:r>
        <w:rPr>
          <w:rFonts w:ascii="Abadi" w:hAnsi="Abadi"/>
          <w:sz w:val="21"/>
          <w:szCs w:val="21"/>
        </w:rPr>
        <w:t>S</w:t>
      </w:r>
      <w:r w:rsidRPr="0021199F">
        <w:rPr>
          <w:rFonts w:ascii="Abadi" w:hAnsi="Abadi"/>
          <w:sz w:val="21"/>
          <w:szCs w:val="21"/>
        </w:rPr>
        <w:t>ecretaria que en votación económica, a través del sistema electrónico pregunt</w:t>
      </w:r>
      <w:r>
        <w:rPr>
          <w:rFonts w:ascii="Abadi" w:hAnsi="Abadi"/>
          <w:sz w:val="21"/>
          <w:szCs w:val="21"/>
        </w:rPr>
        <w:t xml:space="preserve">e a </w:t>
      </w:r>
      <w:r w:rsidRPr="0021199F">
        <w:rPr>
          <w:rFonts w:ascii="Abadi" w:hAnsi="Abadi"/>
          <w:sz w:val="21"/>
          <w:szCs w:val="21"/>
        </w:rPr>
        <w:t>l</w:t>
      </w:r>
      <w:r>
        <w:rPr>
          <w:rFonts w:ascii="Abadi" w:hAnsi="Abadi"/>
          <w:sz w:val="21"/>
          <w:szCs w:val="21"/>
        </w:rPr>
        <w:t xml:space="preserve">a Asamblea si se </w:t>
      </w:r>
      <w:r w:rsidRPr="0021199F">
        <w:rPr>
          <w:rFonts w:ascii="Abadi" w:hAnsi="Abadi"/>
          <w:sz w:val="21"/>
          <w:szCs w:val="21"/>
        </w:rPr>
        <w:t xml:space="preserve">aprueba la propuesta. </w:t>
      </w:r>
    </w:p>
    <w:p w14:paraId="1DB87947" w14:textId="77777777" w:rsidR="003A6A6C" w:rsidRPr="00FF65EB" w:rsidRDefault="003A6A6C" w:rsidP="00BD547D">
      <w:pPr>
        <w:pStyle w:val="NormalWeb"/>
        <w:ind w:right="333"/>
        <w:jc w:val="center"/>
        <w:rPr>
          <w:rFonts w:ascii="Abadi" w:hAnsi="Abadi"/>
          <w:b/>
          <w:bCs/>
          <w:sz w:val="21"/>
          <w:szCs w:val="21"/>
        </w:rPr>
      </w:pPr>
      <w:r w:rsidRPr="00FF65EB">
        <w:rPr>
          <w:rFonts w:ascii="Abadi" w:hAnsi="Abadi"/>
          <w:b/>
          <w:bCs/>
          <w:sz w:val="21"/>
          <w:szCs w:val="21"/>
        </w:rPr>
        <w:t>(Se abre el sistema electrónico)</w:t>
      </w:r>
    </w:p>
    <w:p w14:paraId="491162D2" w14:textId="084ED698" w:rsidR="003A6A6C" w:rsidRDefault="003A6A6C" w:rsidP="00BD547D">
      <w:pPr>
        <w:pStyle w:val="NormalWeb"/>
        <w:ind w:right="333" w:firstLine="708"/>
        <w:jc w:val="both"/>
        <w:rPr>
          <w:rFonts w:ascii="Abadi" w:hAnsi="Abadi"/>
          <w:sz w:val="21"/>
          <w:szCs w:val="21"/>
        </w:rPr>
      </w:pPr>
      <w:r>
        <w:rPr>
          <w:rFonts w:ascii="Abadi" w:hAnsi="Abadi"/>
          <w:b/>
          <w:bCs/>
          <w:sz w:val="21"/>
          <w:szCs w:val="21"/>
        </w:rPr>
        <w:t xml:space="preserve">- </w:t>
      </w:r>
      <w:r w:rsidRPr="00346F7F">
        <w:rPr>
          <w:rFonts w:ascii="Abadi" w:hAnsi="Abadi"/>
          <w:b/>
          <w:bCs/>
          <w:sz w:val="21"/>
          <w:szCs w:val="21"/>
        </w:rPr>
        <w:t xml:space="preserve">La </w:t>
      </w:r>
      <w:proofErr w:type="gramStart"/>
      <w:r w:rsidRPr="00346F7F">
        <w:rPr>
          <w:rFonts w:ascii="Abadi" w:hAnsi="Abadi"/>
          <w:b/>
          <w:bCs/>
          <w:sz w:val="21"/>
          <w:szCs w:val="21"/>
        </w:rPr>
        <w:t>Secretaria.-</w:t>
      </w:r>
      <w:proofErr w:type="gramEnd"/>
      <w:r>
        <w:rPr>
          <w:rFonts w:ascii="Abadi" w:hAnsi="Abadi"/>
          <w:sz w:val="21"/>
          <w:szCs w:val="21"/>
        </w:rPr>
        <w:t xml:space="preserve"> Por </w:t>
      </w:r>
      <w:r w:rsidRPr="0021199F">
        <w:rPr>
          <w:rFonts w:ascii="Abadi" w:hAnsi="Abadi"/>
          <w:sz w:val="21"/>
          <w:szCs w:val="21"/>
        </w:rPr>
        <w:t xml:space="preserve">instrucciones de la </w:t>
      </w:r>
      <w:r>
        <w:rPr>
          <w:rFonts w:ascii="Abadi" w:hAnsi="Abadi"/>
          <w:sz w:val="21"/>
          <w:szCs w:val="21"/>
        </w:rPr>
        <w:t>p</w:t>
      </w:r>
      <w:r w:rsidRPr="0021199F">
        <w:rPr>
          <w:rFonts w:ascii="Abadi" w:hAnsi="Abadi"/>
          <w:sz w:val="21"/>
          <w:szCs w:val="21"/>
        </w:rPr>
        <w:t>residencia</w:t>
      </w:r>
      <w:r>
        <w:rPr>
          <w:rFonts w:ascii="Abadi" w:hAnsi="Abadi"/>
          <w:sz w:val="21"/>
          <w:szCs w:val="21"/>
        </w:rPr>
        <w:t>, se</w:t>
      </w:r>
      <w:r w:rsidRPr="0021199F">
        <w:rPr>
          <w:rFonts w:ascii="Abadi" w:hAnsi="Abadi"/>
          <w:sz w:val="21"/>
          <w:szCs w:val="21"/>
        </w:rPr>
        <w:t xml:space="preserve"> pregunta </w:t>
      </w:r>
      <w:r>
        <w:rPr>
          <w:rFonts w:ascii="Abadi" w:hAnsi="Abadi"/>
          <w:sz w:val="21"/>
          <w:szCs w:val="21"/>
        </w:rPr>
        <w:t>al P</w:t>
      </w:r>
      <w:r w:rsidRPr="0021199F">
        <w:rPr>
          <w:rFonts w:ascii="Abadi" w:hAnsi="Abadi"/>
          <w:sz w:val="21"/>
          <w:szCs w:val="21"/>
        </w:rPr>
        <w:t>leno en votación económica por el sistema electrónico si se aprueba la propuesta que no</w:t>
      </w:r>
      <w:r>
        <w:rPr>
          <w:rFonts w:ascii="Abadi" w:hAnsi="Abadi"/>
          <w:sz w:val="21"/>
          <w:szCs w:val="21"/>
        </w:rPr>
        <w:t>s</w:t>
      </w:r>
      <w:r w:rsidRPr="0021199F">
        <w:rPr>
          <w:rFonts w:ascii="Abadi" w:hAnsi="Abadi"/>
          <w:sz w:val="21"/>
          <w:szCs w:val="21"/>
        </w:rPr>
        <w:t xml:space="preserve"> ocupa. </w:t>
      </w:r>
      <w:r>
        <w:rPr>
          <w:rFonts w:ascii="Abadi" w:hAnsi="Abadi"/>
          <w:sz w:val="21"/>
          <w:szCs w:val="21"/>
        </w:rPr>
        <w:t>¿</w:t>
      </w:r>
      <w:r w:rsidRPr="0021199F">
        <w:rPr>
          <w:rFonts w:ascii="Abadi" w:hAnsi="Abadi"/>
          <w:sz w:val="21"/>
          <w:szCs w:val="21"/>
        </w:rPr>
        <w:t>Diputado Armando Rangel</w:t>
      </w:r>
      <w:r>
        <w:rPr>
          <w:rFonts w:ascii="Abadi" w:hAnsi="Abadi"/>
          <w:sz w:val="21"/>
          <w:szCs w:val="21"/>
        </w:rPr>
        <w:t xml:space="preserve">? </w:t>
      </w:r>
      <w:r w:rsidRPr="0021199F">
        <w:rPr>
          <w:rFonts w:ascii="Abadi" w:hAnsi="Abadi"/>
          <w:sz w:val="21"/>
          <w:szCs w:val="21"/>
        </w:rPr>
        <w:t xml:space="preserve">Gracias, diputado. </w:t>
      </w:r>
    </w:p>
    <w:p w14:paraId="3B08FDD0" w14:textId="77777777" w:rsidR="003A6A6C" w:rsidRDefault="003A6A6C" w:rsidP="003A6A6C">
      <w:pPr>
        <w:pStyle w:val="NormalWeb"/>
        <w:ind w:right="333"/>
        <w:jc w:val="both"/>
        <w:rPr>
          <w:rFonts w:ascii="Abadi" w:hAnsi="Abadi"/>
          <w:sz w:val="21"/>
          <w:szCs w:val="21"/>
        </w:rPr>
      </w:pPr>
      <w:r>
        <w:rPr>
          <w:rFonts w:ascii="Abadi" w:hAnsi="Abadi"/>
          <w:sz w:val="21"/>
          <w:szCs w:val="21"/>
        </w:rPr>
        <w:t>¿</w:t>
      </w:r>
      <w:r w:rsidRPr="0021199F">
        <w:rPr>
          <w:rFonts w:ascii="Abadi" w:hAnsi="Abadi"/>
          <w:sz w:val="21"/>
          <w:szCs w:val="21"/>
        </w:rPr>
        <w:t xml:space="preserve">Falta alguna diputada, algún diputado emitir su voto? </w:t>
      </w:r>
    </w:p>
    <w:p w14:paraId="62FDE123" w14:textId="5F802B76" w:rsidR="003A6A6C" w:rsidRDefault="003A6A6C" w:rsidP="00BD547D">
      <w:pPr>
        <w:pStyle w:val="NormalWeb"/>
        <w:ind w:right="333"/>
        <w:jc w:val="center"/>
        <w:rPr>
          <w:rFonts w:ascii="Abadi" w:hAnsi="Abadi"/>
          <w:b/>
          <w:bCs/>
          <w:sz w:val="21"/>
          <w:szCs w:val="21"/>
        </w:rPr>
      </w:pPr>
      <w:r w:rsidRPr="00346F7F">
        <w:rPr>
          <w:rFonts w:ascii="Abadi" w:hAnsi="Abadi"/>
          <w:b/>
          <w:bCs/>
          <w:sz w:val="21"/>
          <w:szCs w:val="21"/>
        </w:rPr>
        <w:t>(Se cierra el sistema electrónico)</w:t>
      </w:r>
    </w:p>
    <w:p w14:paraId="2B609019" w14:textId="77777777" w:rsidR="003A6A6C" w:rsidRDefault="003A6A6C" w:rsidP="003A6A6C">
      <w:pPr>
        <w:pStyle w:val="NormalWeb"/>
        <w:ind w:right="333"/>
        <w:jc w:val="both"/>
        <w:rPr>
          <w:rFonts w:ascii="Abadi" w:hAnsi="Abadi"/>
          <w:b/>
          <w:bCs/>
          <w:sz w:val="21"/>
          <w:szCs w:val="21"/>
        </w:rPr>
      </w:pPr>
      <w:r>
        <w:rPr>
          <w:noProof/>
        </w:rPr>
        <w:drawing>
          <wp:inline distT="0" distB="0" distL="0" distR="0" wp14:anchorId="1FD30BEC" wp14:editId="416688A7">
            <wp:extent cx="1997413" cy="1069810"/>
            <wp:effectExtent l="152400" t="152400" r="365125" b="359410"/>
            <wp:docPr id="36" name="Imagen 3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Tabla&#10;&#10;Descripción generada automáticamente"/>
                    <pic:cNvPicPr/>
                  </pic:nvPicPr>
                  <pic:blipFill rotWithShape="1">
                    <a:blip r:embed="rId51"/>
                    <a:srcRect b="4737"/>
                    <a:stretch/>
                  </pic:blipFill>
                  <pic:spPr bwMode="auto">
                    <a:xfrm>
                      <a:off x="0" y="0"/>
                      <a:ext cx="2014220" cy="107881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284E7B9" w14:textId="5865E11F" w:rsidR="003A6A6C" w:rsidRDefault="00BD547D" w:rsidP="00BD547D">
      <w:pPr>
        <w:pStyle w:val="NormalWeb"/>
        <w:ind w:right="333" w:firstLine="708"/>
        <w:jc w:val="both"/>
        <w:rPr>
          <w:rFonts w:ascii="Abadi" w:hAnsi="Abadi"/>
          <w:sz w:val="21"/>
          <w:szCs w:val="21"/>
        </w:rPr>
      </w:pPr>
      <w:r>
        <w:rPr>
          <w:rFonts w:ascii="Abadi" w:hAnsi="Abadi"/>
          <w:b/>
          <w:bCs/>
          <w:sz w:val="21"/>
          <w:szCs w:val="21"/>
        </w:rPr>
        <w:t xml:space="preserve">- </w:t>
      </w:r>
      <w:r w:rsidR="003A6A6C" w:rsidRPr="00346F7F">
        <w:rPr>
          <w:rFonts w:ascii="Abadi" w:hAnsi="Abadi"/>
          <w:b/>
          <w:bCs/>
          <w:sz w:val="21"/>
          <w:szCs w:val="21"/>
        </w:rPr>
        <w:t xml:space="preserve">La </w:t>
      </w:r>
      <w:proofErr w:type="gramStart"/>
      <w:r w:rsidR="003A6A6C" w:rsidRPr="00346F7F">
        <w:rPr>
          <w:rFonts w:ascii="Abadi" w:hAnsi="Abadi"/>
          <w:b/>
          <w:bCs/>
          <w:sz w:val="21"/>
          <w:szCs w:val="21"/>
        </w:rPr>
        <w:t>Secretaria.-</w:t>
      </w:r>
      <w:proofErr w:type="gramEnd"/>
      <w:r w:rsidR="003A6A6C">
        <w:rPr>
          <w:rFonts w:ascii="Abadi" w:hAnsi="Abadi"/>
          <w:sz w:val="21"/>
          <w:szCs w:val="21"/>
        </w:rPr>
        <w:t xml:space="preserve"> </w:t>
      </w:r>
      <w:r w:rsidR="003A6A6C" w:rsidRPr="0021199F">
        <w:rPr>
          <w:rFonts w:ascii="Abadi" w:hAnsi="Abadi"/>
          <w:sz w:val="21"/>
          <w:szCs w:val="21"/>
        </w:rPr>
        <w:t xml:space="preserve">Se registraron </w:t>
      </w:r>
      <w:r w:rsidR="003A6A6C">
        <w:rPr>
          <w:rFonts w:ascii="Abadi" w:hAnsi="Abadi"/>
          <w:sz w:val="21"/>
          <w:szCs w:val="21"/>
        </w:rPr>
        <w:t>33</w:t>
      </w:r>
      <w:r w:rsidR="003A6A6C" w:rsidRPr="0021199F">
        <w:rPr>
          <w:rFonts w:ascii="Abadi" w:hAnsi="Abadi"/>
          <w:sz w:val="21"/>
          <w:szCs w:val="21"/>
        </w:rPr>
        <w:t xml:space="preserve"> votos a favor. </w:t>
      </w:r>
    </w:p>
    <w:p w14:paraId="2FBA797A" w14:textId="0E8A588A" w:rsidR="003A6A6C" w:rsidRPr="006D53EB" w:rsidRDefault="00BD547D" w:rsidP="00BD547D">
      <w:pPr>
        <w:pStyle w:val="NormalWeb"/>
        <w:ind w:right="333" w:firstLine="426"/>
        <w:jc w:val="both"/>
        <w:rPr>
          <w:rFonts w:ascii="Abadi" w:hAnsi="Abadi"/>
          <w:sz w:val="21"/>
          <w:szCs w:val="21"/>
        </w:rPr>
      </w:pPr>
      <w:r>
        <w:rPr>
          <w:rFonts w:ascii="Abadi" w:hAnsi="Abadi"/>
          <w:sz w:val="21"/>
          <w:szCs w:val="21"/>
        </w:rPr>
        <w:t xml:space="preserve">- </w:t>
      </w:r>
      <w:r w:rsidR="003A6A6C" w:rsidRPr="0021199F">
        <w:rPr>
          <w:rFonts w:ascii="Abadi" w:hAnsi="Abadi"/>
          <w:sz w:val="21"/>
          <w:szCs w:val="21"/>
        </w:rPr>
        <w:t>La propuesta ha sido aprobada por unanimidad de votos</w:t>
      </w:r>
      <w:r w:rsidR="003A6A6C">
        <w:rPr>
          <w:rFonts w:ascii="Abadi" w:hAnsi="Abadi"/>
          <w:sz w:val="21"/>
          <w:szCs w:val="21"/>
        </w:rPr>
        <w:t>, b</w:t>
      </w:r>
      <w:r w:rsidR="003A6A6C" w:rsidRPr="0021199F">
        <w:rPr>
          <w:rFonts w:ascii="Abadi" w:hAnsi="Abadi"/>
          <w:sz w:val="21"/>
          <w:szCs w:val="21"/>
        </w:rPr>
        <w:t xml:space="preserve">ajo estos términos continuaremos con </w:t>
      </w:r>
      <w:r w:rsidR="003A6A6C">
        <w:rPr>
          <w:rFonts w:ascii="Abadi" w:hAnsi="Abadi"/>
          <w:sz w:val="21"/>
          <w:szCs w:val="21"/>
        </w:rPr>
        <w:t>el desahogo del orden del día</w:t>
      </w:r>
      <w:r w:rsidR="003A6A6C" w:rsidRPr="0021199F">
        <w:rPr>
          <w:rFonts w:ascii="Abadi" w:hAnsi="Abadi"/>
          <w:sz w:val="21"/>
          <w:szCs w:val="21"/>
        </w:rPr>
        <w:t xml:space="preserve">. </w:t>
      </w:r>
    </w:p>
    <w:p w14:paraId="47B4FE5C" w14:textId="77777777" w:rsidR="00745FAB" w:rsidRPr="00396F30" w:rsidRDefault="00745FAB" w:rsidP="00021259">
      <w:pPr>
        <w:autoSpaceDE w:val="0"/>
        <w:autoSpaceDN w:val="0"/>
        <w:adjustRightInd w:val="0"/>
        <w:jc w:val="both"/>
        <w:rPr>
          <w:rFonts w:ascii="Abadi" w:hAnsi="Abadi" w:cs="Arial-BoldMT"/>
          <w:b/>
          <w:bCs/>
          <w:sz w:val="20"/>
          <w:szCs w:val="21"/>
        </w:rPr>
      </w:pPr>
    </w:p>
    <w:p w14:paraId="399C5456" w14:textId="2505A804" w:rsidR="00021259" w:rsidRPr="00BB78A5" w:rsidRDefault="00021259" w:rsidP="00343CA9">
      <w:pPr>
        <w:pStyle w:val="Prrafodelista"/>
        <w:numPr>
          <w:ilvl w:val="0"/>
          <w:numId w:val="20"/>
        </w:numPr>
        <w:autoSpaceDE w:val="0"/>
        <w:autoSpaceDN w:val="0"/>
        <w:adjustRightInd w:val="0"/>
        <w:ind w:left="426"/>
        <w:jc w:val="both"/>
        <w:rPr>
          <w:rFonts w:ascii="Abadi" w:hAnsi="Abadi" w:cs="ArialMT"/>
          <w:b/>
          <w:bCs/>
          <w:sz w:val="21"/>
          <w:szCs w:val="21"/>
        </w:rPr>
      </w:pPr>
      <w:r w:rsidRPr="00300604">
        <w:rPr>
          <w:rFonts w:ascii="Abadi" w:hAnsi="Abadi" w:cs="ArialMT"/>
          <w:b/>
          <w:bCs/>
          <w:sz w:val="20"/>
          <w:szCs w:val="21"/>
        </w:rPr>
        <w:t xml:space="preserve">DISCUSIÓN Y, EN SU CASO, APROBACIÓN DEL DICTAMEN PRESENTADO POR LA COMISIÓN DE DERECHOS HUMANOS Y ATENCIÓN A GRUPOS VULNERABLES RELATIVO A LA PROPUESTA DE PUNTO DE ACUERDO FORMULADA POR LA DIPUTADA Y EL DIPUTADO INTEGRANTES DEL GRUPO PARLAMENTARIO DEL PARTIDO VERDE ECOLOGISTA DE MÉXICO ANTE LA SEXAGÉSIMA CUARTA LEGISLATURA, A FIN DE SOLICITAR AL </w:t>
      </w:r>
      <w:r w:rsidRPr="00BB78A5">
        <w:rPr>
          <w:rFonts w:ascii="Abadi" w:hAnsi="Abadi" w:cs="ArialMT"/>
          <w:b/>
          <w:bCs/>
          <w:sz w:val="21"/>
          <w:szCs w:val="21"/>
        </w:rPr>
        <w:t>PODER EJECUTIVO QUE A TRAVÉS DE LA SECRETARÍA DE LA TRANSPARENCIA Y RENDICIÓN DE CUENTAS REALICE LA INVESTIGACIÓN, SUBSTANCIACIÓN Y CALIFICACIÓN EN CONTRA DE QUIEN RESULTE RESPONSABLE, POR CONDUCTAS CONSTITUTIVAS DE RESPONSABILIDAD ADMINISTRATIVA POR LA OMISIÓN EN EL CUMPLIMIENTO EN TIEMPO DE LOS ARTÍCULOS SEGUNDO Y TERCERO TRANSITORIOS DE LA LEY PARA LA PROTECCIÓN DE PERSONAS DEFENSORAS DE DERECHOS HUMANOS Y PERIODISTAS DEL ESTADO DE GUANAJUATO, ASÍ COMO DE LOS ARTÍCULOS SEGUNDO Y CUARTO TRANSITORIOS DE LA</w:t>
      </w:r>
      <w:r w:rsidR="00300604" w:rsidRPr="00BB78A5">
        <w:rPr>
          <w:rFonts w:ascii="Abadi" w:hAnsi="Abadi" w:cs="ArialMT"/>
          <w:b/>
          <w:bCs/>
          <w:sz w:val="21"/>
          <w:szCs w:val="21"/>
        </w:rPr>
        <w:t xml:space="preserve"> </w:t>
      </w:r>
      <w:r w:rsidRPr="00BB78A5">
        <w:rPr>
          <w:rFonts w:ascii="Abadi" w:hAnsi="Abadi" w:cs="ArialMT"/>
          <w:b/>
          <w:bCs/>
          <w:sz w:val="21"/>
          <w:szCs w:val="21"/>
        </w:rPr>
        <w:t>LEY PARA REGULAR LA PRESTACIÓN DE SERVICIOS DE ATENCIÓN, CUIDADO Y DESARROLLO INTEGRAL INFANTIL EN EL ESTADO DE GUANAJUATO.</w:t>
      </w:r>
    </w:p>
    <w:p w14:paraId="3D5C3E9C" w14:textId="13368413" w:rsidR="00021259" w:rsidRPr="00BB78A5" w:rsidRDefault="00021259" w:rsidP="00021259">
      <w:pPr>
        <w:autoSpaceDE w:val="0"/>
        <w:autoSpaceDN w:val="0"/>
        <w:adjustRightInd w:val="0"/>
        <w:jc w:val="both"/>
        <w:rPr>
          <w:rFonts w:ascii="Abadi" w:hAnsi="Abadi" w:cs="ArialMT"/>
          <w:b/>
          <w:bCs/>
          <w:sz w:val="21"/>
          <w:szCs w:val="21"/>
        </w:rPr>
      </w:pPr>
    </w:p>
    <w:p w14:paraId="75AB920D" w14:textId="77777777" w:rsidR="00FF5797" w:rsidRPr="00BB78A5" w:rsidRDefault="00FF5797" w:rsidP="00B21272">
      <w:pPr>
        <w:autoSpaceDE w:val="0"/>
        <w:autoSpaceDN w:val="0"/>
        <w:adjustRightInd w:val="0"/>
        <w:jc w:val="both"/>
        <w:rPr>
          <w:rFonts w:ascii="Abadi" w:hAnsi="Abadi" w:cs="ArialMT"/>
          <w:b/>
          <w:bCs/>
          <w:sz w:val="21"/>
          <w:szCs w:val="21"/>
          <w:lang w:val="es-MX"/>
        </w:rPr>
      </w:pPr>
    </w:p>
    <w:p w14:paraId="4184CE9E" w14:textId="591AD6B4" w:rsidR="00B21272" w:rsidRPr="00BB78A5" w:rsidRDefault="00B21272" w:rsidP="00B21272">
      <w:pPr>
        <w:autoSpaceDE w:val="0"/>
        <w:autoSpaceDN w:val="0"/>
        <w:adjustRightInd w:val="0"/>
        <w:jc w:val="both"/>
        <w:rPr>
          <w:rFonts w:ascii="Abadi" w:hAnsi="Abadi" w:cs="ArialMT"/>
          <w:b/>
          <w:bCs/>
          <w:sz w:val="21"/>
          <w:szCs w:val="21"/>
          <w:lang w:val="es-MX"/>
        </w:rPr>
      </w:pPr>
      <w:r w:rsidRPr="00BB78A5">
        <w:rPr>
          <w:rFonts w:ascii="Abadi" w:hAnsi="Abadi" w:cs="ArialMT"/>
          <w:b/>
          <w:bCs/>
          <w:sz w:val="21"/>
          <w:szCs w:val="21"/>
          <w:lang w:val="es-MX"/>
        </w:rPr>
        <w:t>DICTAMEN QUE LA COMISIÓN DE DERECHOS HUMANOS Y ATENCIÓN A GRUPOS VULNERABLES PRESENTA AL PLENO DEL CONGRESO, DE LA PROPUESTA DE PUNTO DE ACUERDO FORMULADA POR LA DIPUTADA Y EL DIPUTADO INTEGRANTES DEL GRUPO PARLAMENTARIO DEL PARTIDO VERDE ECOLOGISTA DE MÉXICO ANTE LA SEXAGÉSIMA CUARTA LEGISLATURA, A FIN DE SOLICITAR AL PODER EJECUTIVO QUE A TRAVÉS DE LA SECRETARÍA DE LA TRANSPARENCIA Y RENDICIÓN DE CUENTAS REALICE LA INVESTIGACIÓN, SUBSTANCIACIÓN Y CALIFICACIÓN EN CONTRA DE QUIEN RESULTE RESPONSABLE, POR CONDUCTAS CONSTITUTIVAS DE RESPONSABILIDAD ADMINISTRATIVA POR LA OMISIÓN EN EL CUMPLIMIENTO EN TIEMPO DE LOS ARTÍCULOS SEGUNDO Y TERCERO TRANSITORIOS DE LA LEY PARA LA PROTECCIÓN DE PERSONAS DEFENSORAS DE DERECHOS HUMANOS Y PERIODISTAS DEL ESTADO DE GUANAJUATO, ASÍ COMO DE LOS ARTÍCULOS SEGUNDO Y CUARTO TRANSITORIOS DE LA LEY PARA REGULAR LA PRESTACIÓN DE SERVICIOS DE ATENCIÓN, CUIDADO Y DESARROLLO INTEGRAL INFANTIL EN EL ESTADO DE GUANAJUATO.</w:t>
      </w:r>
    </w:p>
    <w:p w14:paraId="1EF7627C" w14:textId="77777777" w:rsidR="00B21272" w:rsidRPr="00BB78A5" w:rsidRDefault="00B21272" w:rsidP="00B21272">
      <w:pPr>
        <w:autoSpaceDE w:val="0"/>
        <w:autoSpaceDN w:val="0"/>
        <w:adjustRightInd w:val="0"/>
        <w:jc w:val="both"/>
        <w:rPr>
          <w:rFonts w:ascii="Abadi" w:hAnsi="Abadi" w:cs="ArialMT"/>
          <w:b/>
          <w:bCs/>
          <w:sz w:val="21"/>
          <w:szCs w:val="21"/>
          <w:lang w:val="es-MX"/>
        </w:rPr>
      </w:pPr>
    </w:p>
    <w:p w14:paraId="1389F5C8" w14:textId="77777777" w:rsidR="00B21272" w:rsidRPr="00BB78A5"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A la Comisión de Derechos Humanos y Atención a Grupos Vulnerables le fue turnada para estudio y dictamen, la propuesta de punto de acuerdo formulada por la diputada y el diputado integrantes del Grupo Parlamentario del Partido Verde Ecologista de México ante la Sexagésima Cuarta Legislatura, a fin de solicitar al Poder Ejecutivo que a través de la Secretaría de la Transparencia y Rendición de Cuentas realice la investigación, substanciación y calificación en contra de quien resulte responsable, por conductas constitutivas de responsabilidad administrativa por la omisión en el cumplimiento en tiempo de los artículos segundo y tercero transitorios de la Ley para la Protección de Personas Defensoras de Derechos Humanos y Periodistas del Estado de Guanajuato, así como de los artículos segundo y cuarto transitorios de la Ley para Regular la Prestación de Servicios de Atención, Cuidado y Desarrollo Integral Infantil en el Estado de</w:t>
      </w:r>
    </w:p>
    <w:p w14:paraId="2EA6BF1E" w14:textId="77777777" w:rsidR="00B21272" w:rsidRPr="00BB78A5"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Guanajuato.</w:t>
      </w:r>
    </w:p>
    <w:p w14:paraId="4DFEA3FC" w14:textId="77777777" w:rsidR="00B21272" w:rsidRPr="00BB78A5" w:rsidRDefault="00B21272" w:rsidP="00B21272">
      <w:pPr>
        <w:autoSpaceDE w:val="0"/>
        <w:autoSpaceDN w:val="0"/>
        <w:adjustRightInd w:val="0"/>
        <w:jc w:val="both"/>
        <w:rPr>
          <w:rFonts w:ascii="Abadi" w:hAnsi="Abadi" w:cs="ArialMT"/>
          <w:sz w:val="21"/>
          <w:szCs w:val="21"/>
          <w:lang w:val="es-MX"/>
        </w:rPr>
      </w:pPr>
    </w:p>
    <w:p w14:paraId="621A3E03" w14:textId="617A3421" w:rsidR="00B21272" w:rsidRPr="00617196"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Analizada la propuesta de referencia, esta Comisión de conformidad con lo dispuesto en los artículos 89 -fracción V- y 171 de la Ley Orgánica del Poder Legislativo del Estado de Guanajuato rinde el dictamen, con base en las siguientes:</w:t>
      </w:r>
    </w:p>
    <w:p w14:paraId="23C9EF07" w14:textId="77777777" w:rsidR="00B21272" w:rsidRPr="00BB78A5" w:rsidRDefault="00B21272" w:rsidP="00B21272">
      <w:pPr>
        <w:autoSpaceDE w:val="0"/>
        <w:autoSpaceDN w:val="0"/>
        <w:adjustRightInd w:val="0"/>
        <w:jc w:val="both"/>
        <w:rPr>
          <w:rFonts w:ascii="Abadi" w:hAnsi="Abadi" w:cs="ArialMT"/>
          <w:b/>
          <w:bCs/>
          <w:sz w:val="21"/>
          <w:szCs w:val="21"/>
          <w:lang w:val="es-MX"/>
        </w:rPr>
      </w:pPr>
    </w:p>
    <w:p w14:paraId="14E3B5A3" w14:textId="77777777" w:rsidR="00B21272" w:rsidRPr="00BB78A5" w:rsidRDefault="00B21272" w:rsidP="00FF5797">
      <w:pPr>
        <w:autoSpaceDE w:val="0"/>
        <w:autoSpaceDN w:val="0"/>
        <w:adjustRightInd w:val="0"/>
        <w:jc w:val="center"/>
        <w:rPr>
          <w:rFonts w:ascii="Abadi" w:hAnsi="Abadi" w:cs="ArialMT"/>
          <w:b/>
          <w:bCs/>
          <w:sz w:val="21"/>
          <w:szCs w:val="21"/>
          <w:lang w:val="es-MX"/>
        </w:rPr>
      </w:pPr>
      <w:r w:rsidRPr="00BB78A5">
        <w:rPr>
          <w:rFonts w:ascii="Abadi" w:hAnsi="Abadi" w:cs="ArialMT"/>
          <w:b/>
          <w:bCs/>
          <w:sz w:val="21"/>
          <w:szCs w:val="21"/>
          <w:lang w:val="es-MX"/>
        </w:rPr>
        <w:t>CONSIDERACIONES</w:t>
      </w:r>
    </w:p>
    <w:p w14:paraId="7EBBFCBC" w14:textId="77777777" w:rsidR="00B21272" w:rsidRPr="00BB78A5" w:rsidRDefault="00B21272" w:rsidP="00B21272">
      <w:pPr>
        <w:autoSpaceDE w:val="0"/>
        <w:autoSpaceDN w:val="0"/>
        <w:adjustRightInd w:val="0"/>
        <w:jc w:val="both"/>
        <w:rPr>
          <w:rFonts w:ascii="Abadi" w:hAnsi="Abadi" w:cs="ArialMT"/>
          <w:b/>
          <w:bCs/>
          <w:sz w:val="21"/>
          <w:szCs w:val="21"/>
          <w:lang w:val="es-MX"/>
        </w:rPr>
      </w:pPr>
    </w:p>
    <w:p w14:paraId="0CDBC64A" w14:textId="77777777" w:rsidR="00B21272" w:rsidRPr="00BB78A5" w:rsidRDefault="00B21272" w:rsidP="00B21272">
      <w:pPr>
        <w:autoSpaceDE w:val="0"/>
        <w:autoSpaceDN w:val="0"/>
        <w:adjustRightInd w:val="0"/>
        <w:jc w:val="both"/>
        <w:rPr>
          <w:rFonts w:ascii="Abadi" w:hAnsi="Abadi" w:cs="ArialMT"/>
          <w:b/>
          <w:bCs/>
          <w:sz w:val="21"/>
          <w:szCs w:val="21"/>
          <w:lang w:val="es-MX"/>
        </w:rPr>
      </w:pPr>
    </w:p>
    <w:p w14:paraId="6652C073" w14:textId="77777777" w:rsidR="00B21272" w:rsidRPr="00BB78A5" w:rsidRDefault="00B21272" w:rsidP="00B21272">
      <w:pPr>
        <w:autoSpaceDE w:val="0"/>
        <w:autoSpaceDN w:val="0"/>
        <w:adjustRightInd w:val="0"/>
        <w:jc w:val="both"/>
        <w:rPr>
          <w:rFonts w:ascii="Abadi" w:hAnsi="Abadi" w:cs="ArialMT"/>
          <w:b/>
          <w:bCs/>
          <w:sz w:val="21"/>
          <w:szCs w:val="21"/>
          <w:lang w:val="es-MX"/>
        </w:rPr>
      </w:pPr>
      <w:r w:rsidRPr="00BB78A5">
        <w:rPr>
          <w:rFonts w:ascii="Abadi" w:hAnsi="Abadi" w:cs="ArialMT"/>
          <w:b/>
          <w:bCs/>
          <w:sz w:val="21"/>
          <w:szCs w:val="21"/>
          <w:lang w:val="es-MX"/>
        </w:rPr>
        <w:t>PROCESO LEGISLATIVO.</w:t>
      </w:r>
    </w:p>
    <w:p w14:paraId="0FADE521" w14:textId="5F53D632" w:rsidR="00B21272"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En sesión ordinaria del 13 de junio de 2019 ingresó la propuesta de punto de acuerdo; misma que se turnó por la Presidencia del Congreso a esta Comisión legislativa, para su estudio y dictamen, con fundamento en el artículo 106 -fracción XII- de la Ley Orgánica del Poder Legislativo del Estado de Guanajuato.</w:t>
      </w:r>
    </w:p>
    <w:p w14:paraId="2E4D188D" w14:textId="77777777" w:rsidR="00941132" w:rsidRPr="00BB78A5" w:rsidRDefault="00941132" w:rsidP="00B21272">
      <w:pPr>
        <w:autoSpaceDE w:val="0"/>
        <w:autoSpaceDN w:val="0"/>
        <w:adjustRightInd w:val="0"/>
        <w:jc w:val="both"/>
        <w:rPr>
          <w:rFonts w:ascii="Abadi" w:hAnsi="Abadi" w:cs="ArialMT"/>
          <w:sz w:val="21"/>
          <w:szCs w:val="21"/>
          <w:lang w:val="es-MX"/>
        </w:rPr>
      </w:pPr>
    </w:p>
    <w:p w14:paraId="1DD88B4C" w14:textId="3114AA2E" w:rsidR="00B21272" w:rsidRPr="00BB78A5"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 xml:space="preserve">En reunión de la Comisión de Derechos Humanos y Atención a Grupos Vulnerables </w:t>
      </w:r>
      <w:proofErr w:type="gramStart"/>
      <w:r w:rsidRPr="00BB78A5">
        <w:rPr>
          <w:rFonts w:ascii="Abadi" w:hAnsi="Abadi" w:cs="ArialMT"/>
          <w:sz w:val="21"/>
          <w:szCs w:val="21"/>
          <w:lang w:val="es-MX"/>
        </w:rPr>
        <w:t>de</w:t>
      </w:r>
      <w:r w:rsidR="001E78B8">
        <w:rPr>
          <w:rFonts w:ascii="Abadi" w:hAnsi="Abadi" w:cs="ArialMT"/>
          <w:sz w:val="21"/>
          <w:szCs w:val="21"/>
          <w:lang w:val="es-MX"/>
        </w:rPr>
        <w:t xml:space="preserve"> </w:t>
      </w:r>
      <w:r w:rsidRPr="00BB78A5">
        <w:rPr>
          <w:rFonts w:ascii="Abadi" w:hAnsi="Abadi" w:cs="ArialMT"/>
          <w:sz w:val="21"/>
          <w:szCs w:val="21"/>
          <w:lang w:val="es-MX"/>
        </w:rPr>
        <w:t xml:space="preserve"> fecha</w:t>
      </w:r>
      <w:proofErr w:type="gramEnd"/>
      <w:r w:rsidRPr="00BB78A5">
        <w:rPr>
          <w:rFonts w:ascii="Abadi" w:hAnsi="Abadi" w:cs="ArialMT"/>
          <w:sz w:val="21"/>
          <w:szCs w:val="21"/>
          <w:lang w:val="es-MX"/>
        </w:rPr>
        <w:t xml:space="preserve"> 8 de agosto de 2019 se dio cuenta con la propuesta.</w:t>
      </w:r>
    </w:p>
    <w:p w14:paraId="5793B886" w14:textId="77777777" w:rsidR="00FF5797" w:rsidRPr="00BB78A5" w:rsidRDefault="00FF5797" w:rsidP="00B21272">
      <w:pPr>
        <w:autoSpaceDE w:val="0"/>
        <w:autoSpaceDN w:val="0"/>
        <w:adjustRightInd w:val="0"/>
        <w:jc w:val="both"/>
        <w:rPr>
          <w:rFonts w:ascii="Abadi" w:hAnsi="Abadi" w:cs="ArialMT"/>
          <w:sz w:val="21"/>
          <w:szCs w:val="21"/>
          <w:lang w:val="es-MX"/>
        </w:rPr>
      </w:pPr>
    </w:p>
    <w:p w14:paraId="0D006C13" w14:textId="77777777" w:rsidR="00B21272" w:rsidRPr="00BB78A5"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b/>
          <w:bCs/>
          <w:sz w:val="21"/>
          <w:szCs w:val="21"/>
          <w:lang w:val="es-MX"/>
        </w:rPr>
        <w:t>Propósito de la propuesta de punto de acuerdo.</w:t>
      </w:r>
    </w:p>
    <w:p w14:paraId="643ED9E9" w14:textId="77777777" w:rsidR="00B21272" w:rsidRPr="00BB78A5" w:rsidRDefault="00B21272" w:rsidP="00B21272">
      <w:pPr>
        <w:autoSpaceDE w:val="0"/>
        <w:autoSpaceDN w:val="0"/>
        <w:adjustRightInd w:val="0"/>
        <w:jc w:val="both"/>
        <w:rPr>
          <w:rFonts w:ascii="Abadi" w:hAnsi="Abadi" w:cs="ArialMT"/>
          <w:b/>
          <w:bCs/>
          <w:sz w:val="21"/>
          <w:szCs w:val="21"/>
          <w:lang w:val="es-MX"/>
        </w:rPr>
      </w:pPr>
    </w:p>
    <w:p w14:paraId="5A3AA4A6" w14:textId="00D1741E" w:rsidR="00B21272"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En las consideraciones de la propuesta se puede leer que:</w:t>
      </w:r>
    </w:p>
    <w:p w14:paraId="7E60485C" w14:textId="77777777" w:rsidR="001E78B8" w:rsidRPr="00BB78A5" w:rsidRDefault="001E78B8" w:rsidP="00B21272">
      <w:pPr>
        <w:autoSpaceDE w:val="0"/>
        <w:autoSpaceDN w:val="0"/>
        <w:adjustRightInd w:val="0"/>
        <w:jc w:val="both"/>
        <w:rPr>
          <w:rFonts w:ascii="Abadi" w:hAnsi="Abadi" w:cs="ArialMT"/>
          <w:sz w:val="21"/>
          <w:szCs w:val="21"/>
          <w:lang w:val="es-MX"/>
        </w:rPr>
      </w:pPr>
    </w:p>
    <w:p w14:paraId="736DF04E" w14:textId="5BA8E183" w:rsidR="001E78B8" w:rsidRPr="001E78B8"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La transparencia y la rendición de cuentas deben ser una realidad en Guanajuato, no un conjunto de acciones que promuevan la simulación en el Gobierno del Estado.</w:t>
      </w:r>
    </w:p>
    <w:p w14:paraId="0FA73CF2" w14:textId="5A6E9E45"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 xml:space="preserve">El 26 de octubre del año 2017, se expidió la </w:t>
      </w:r>
      <w:r w:rsidRPr="00BB78A5">
        <w:rPr>
          <w:rFonts w:ascii="Abadi" w:hAnsi="Abadi" w:cs="ArialMT"/>
          <w:b/>
          <w:bCs/>
          <w:i/>
          <w:iCs/>
          <w:sz w:val="21"/>
          <w:szCs w:val="21"/>
          <w:lang w:val="es-MX"/>
        </w:rPr>
        <w:t xml:space="preserve">Ley para la Protección de Personas Defensoras de Derechos Humanos y Periodistas del Estado de Guanajuato, </w:t>
      </w:r>
      <w:r w:rsidRPr="00BB78A5">
        <w:rPr>
          <w:rFonts w:ascii="Abadi" w:hAnsi="Abadi" w:cs="ArialMT"/>
          <w:i/>
          <w:iCs/>
          <w:sz w:val="21"/>
          <w:szCs w:val="21"/>
          <w:lang w:val="es-MX"/>
        </w:rPr>
        <w:t>la cual tiene por objeto "promover y proteger el derecho al ejercicio periodístico, así como la defensa de los derechos humanos para garantizar la seguridad y la libertad de las personas defensoras de derechos humanos y periodistas, y salvaguardar su vida e integridad física, psicológica y económica cuando se encuentren en riesgo con motivo de su actividad".</w:t>
      </w:r>
    </w:p>
    <w:p w14:paraId="60BAABCF" w14:textId="77777777" w:rsidR="00FF5797" w:rsidRPr="00BB78A5" w:rsidRDefault="00FF5797" w:rsidP="00B21272">
      <w:pPr>
        <w:autoSpaceDE w:val="0"/>
        <w:autoSpaceDN w:val="0"/>
        <w:adjustRightInd w:val="0"/>
        <w:jc w:val="both"/>
        <w:rPr>
          <w:rFonts w:ascii="Abadi" w:hAnsi="Abadi" w:cs="ArialMT"/>
          <w:sz w:val="21"/>
          <w:szCs w:val="21"/>
          <w:lang w:val="es-MX"/>
        </w:rPr>
      </w:pPr>
    </w:p>
    <w:p w14:paraId="1DD9C93D" w14:textId="77777777" w:rsidR="00B21272" w:rsidRPr="00BB78A5"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i/>
          <w:iCs/>
          <w:sz w:val="21"/>
          <w:szCs w:val="21"/>
          <w:lang w:val="es-MX"/>
        </w:rPr>
        <w:t xml:space="preserve">En esta Ley se contempla la creación de un </w:t>
      </w:r>
      <w:r w:rsidRPr="00BB78A5">
        <w:rPr>
          <w:rFonts w:ascii="Abadi" w:hAnsi="Abadi" w:cs="ArialMT"/>
          <w:b/>
          <w:bCs/>
          <w:i/>
          <w:iCs/>
          <w:sz w:val="21"/>
          <w:szCs w:val="21"/>
          <w:lang w:val="es-MX"/>
        </w:rPr>
        <w:t xml:space="preserve">Consejo Estatal de Protección a Personas Defensoras de Derechos Humanos y Periodistas de Guanajuato, </w:t>
      </w:r>
      <w:r w:rsidRPr="00BB78A5">
        <w:rPr>
          <w:rFonts w:ascii="Abadi" w:hAnsi="Abadi" w:cs="ArialMT"/>
          <w:i/>
          <w:iCs/>
          <w:sz w:val="21"/>
          <w:szCs w:val="21"/>
          <w:lang w:val="es-MX"/>
        </w:rPr>
        <w:t>como un órgano de deliberación, vinculación, coordinación y consulta que tiene por objeto entre otros, los siguientes:</w:t>
      </w:r>
    </w:p>
    <w:p w14:paraId="4709DAEA" w14:textId="77777777" w:rsidR="00B21272" w:rsidRPr="00BB78A5" w:rsidRDefault="00B21272" w:rsidP="00B21272">
      <w:pPr>
        <w:numPr>
          <w:ilvl w:val="0"/>
          <w:numId w:val="54"/>
        </w:numPr>
        <w:autoSpaceDE w:val="0"/>
        <w:autoSpaceDN w:val="0"/>
        <w:adjustRightInd w:val="0"/>
        <w:jc w:val="both"/>
        <w:rPr>
          <w:rFonts w:ascii="Abadi" w:hAnsi="Abadi" w:cs="ArialMT"/>
          <w:sz w:val="21"/>
          <w:szCs w:val="21"/>
          <w:lang w:val="es-MX"/>
        </w:rPr>
      </w:pPr>
      <w:r w:rsidRPr="00BB78A5">
        <w:rPr>
          <w:rFonts w:ascii="Abadi" w:hAnsi="Abadi" w:cs="ArialMT"/>
          <w:i/>
          <w:iCs/>
          <w:sz w:val="21"/>
          <w:szCs w:val="21"/>
          <w:lang w:val="es-MX"/>
        </w:rPr>
        <w:t>Emprender acciones y promover políticas públicas que garanticen los derechos y las medidas contenidas en la Ley;</w:t>
      </w:r>
    </w:p>
    <w:p w14:paraId="60200DDC" w14:textId="77777777" w:rsidR="00B21272" w:rsidRPr="00BB78A5" w:rsidRDefault="00B21272" w:rsidP="00B21272">
      <w:pPr>
        <w:numPr>
          <w:ilvl w:val="0"/>
          <w:numId w:val="54"/>
        </w:numPr>
        <w:autoSpaceDE w:val="0"/>
        <w:autoSpaceDN w:val="0"/>
        <w:adjustRightInd w:val="0"/>
        <w:jc w:val="both"/>
        <w:rPr>
          <w:rFonts w:ascii="Abadi" w:hAnsi="Abadi" w:cs="ArialMT"/>
          <w:sz w:val="21"/>
          <w:szCs w:val="21"/>
          <w:lang w:val="es-MX"/>
        </w:rPr>
      </w:pPr>
      <w:r w:rsidRPr="00BB78A5">
        <w:rPr>
          <w:rFonts w:ascii="Abadi" w:hAnsi="Abadi" w:cs="ArialMT"/>
          <w:i/>
          <w:iCs/>
          <w:sz w:val="21"/>
          <w:szCs w:val="21"/>
          <w:lang w:val="es-MX"/>
        </w:rPr>
        <w:t>Informar semestralmente al Congreso del Estado los resultados de su funcionamiento y acciones;</w:t>
      </w:r>
    </w:p>
    <w:p w14:paraId="48C09C5E" w14:textId="77777777" w:rsidR="00B21272" w:rsidRPr="00BB78A5" w:rsidRDefault="00B21272" w:rsidP="00B21272">
      <w:pPr>
        <w:numPr>
          <w:ilvl w:val="0"/>
          <w:numId w:val="54"/>
        </w:numPr>
        <w:autoSpaceDE w:val="0"/>
        <w:autoSpaceDN w:val="0"/>
        <w:adjustRightInd w:val="0"/>
        <w:jc w:val="both"/>
        <w:rPr>
          <w:rFonts w:ascii="Abadi" w:hAnsi="Abadi" w:cs="ArialMT"/>
          <w:sz w:val="21"/>
          <w:szCs w:val="21"/>
          <w:lang w:val="es-MX"/>
        </w:rPr>
      </w:pPr>
      <w:r w:rsidRPr="00BB78A5">
        <w:rPr>
          <w:rFonts w:ascii="Abadi" w:hAnsi="Abadi" w:cs="ArialMT"/>
          <w:i/>
          <w:iCs/>
          <w:sz w:val="21"/>
          <w:szCs w:val="21"/>
          <w:lang w:val="es-MX"/>
        </w:rPr>
        <w:t>Elaborar los protocolos de seguridad y autoprotección de las personas defensoras de derechos humanos y periodistas;</w:t>
      </w:r>
    </w:p>
    <w:p w14:paraId="203BAE1F" w14:textId="54E3272F" w:rsidR="00B21272" w:rsidRPr="00BB78A5" w:rsidRDefault="00B21272" w:rsidP="00B21272">
      <w:pPr>
        <w:numPr>
          <w:ilvl w:val="0"/>
          <w:numId w:val="54"/>
        </w:numPr>
        <w:autoSpaceDE w:val="0"/>
        <w:autoSpaceDN w:val="0"/>
        <w:adjustRightInd w:val="0"/>
        <w:jc w:val="both"/>
        <w:rPr>
          <w:rFonts w:ascii="Abadi" w:hAnsi="Abadi" w:cs="ArialMT"/>
          <w:sz w:val="21"/>
          <w:szCs w:val="21"/>
          <w:lang w:val="es-MX"/>
        </w:rPr>
      </w:pPr>
      <w:r w:rsidRPr="00BB78A5">
        <w:rPr>
          <w:rFonts w:ascii="Abadi" w:hAnsi="Abadi" w:cs="ArialMT"/>
          <w:i/>
          <w:iCs/>
          <w:sz w:val="21"/>
          <w:szCs w:val="21"/>
          <w:lang w:val="es-MX"/>
        </w:rPr>
        <w:t>Realizar acciones que promuevan el derecho al ejercicio periodístico y a la defensa de los derechos humanos.</w:t>
      </w:r>
    </w:p>
    <w:p w14:paraId="29631D7A" w14:textId="77777777" w:rsidR="00FF5797" w:rsidRPr="00BB78A5" w:rsidRDefault="00FF5797" w:rsidP="00FF5797">
      <w:pPr>
        <w:autoSpaceDE w:val="0"/>
        <w:autoSpaceDN w:val="0"/>
        <w:adjustRightInd w:val="0"/>
        <w:jc w:val="both"/>
        <w:rPr>
          <w:rFonts w:ascii="Abadi" w:hAnsi="Abadi" w:cs="ArialMT"/>
          <w:sz w:val="21"/>
          <w:szCs w:val="21"/>
          <w:lang w:val="es-MX"/>
        </w:rPr>
      </w:pPr>
    </w:p>
    <w:p w14:paraId="2C93AB49" w14:textId="4DB5405D" w:rsidR="00B21272"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Sin embargo, ninguna de estas acciones se materializó oportunamente, por lo siguiente:</w:t>
      </w:r>
    </w:p>
    <w:p w14:paraId="3D731204" w14:textId="77777777" w:rsidR="001E78B8" w:rsidRPr="00BB78A5" w:rsidRDefault="001E78B8" w:rsidP="00B21272">
      <w:pPr>
        <w:autoSpaceDE w:val="0"/>
        <w:autoSpaceDN w:val="0"/>
        <w:adjustRightInd w:val="0"/>
        <w:jc w:val="both"/>
        <w:rPr>
          <w:rFonts w:ascii="Abadi" w:hAnsi="Abadi" w:cs="ArialMT"/>
          <w:sz w:val="21"/>
          <w:szCs w:val="21"/>
          <w:lang w:val="es-MX"/>
        </w:rPr>
      </w:pPr>
    </w:p>
    <w:p w14:paraId="381EE90F" w14:textId="1BD76E87"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 xml:space="preserve">Este </w:t>
      </w:r>
      <w:r w:rsidRPr="00BB78A5">
        <w:rPr>
          <w:rFonts w:ascii="Abadi" w:hAnsi="Abadi" w:cs="ArialMT"/>
          <w:b/>
          <w:bCs/>
          <w:i/>
          <w:iCs/>
          <w:sz w:val="21"/>
          <w:szCs w:val="21"/>
          <w:lang w:val="es-MX"/>
        </w:rPr>
        <w:t xml:space="preserve">Consejo Estatal </w:t>
      </w:r>
      <w:r w:rsidRPr="00BB78A5">
        <w:rPr>
          <w:rFonts w:ascii="Abadi" w:hAnsi="Abadi" w:cs="ArialMT"/>
          <w:i/>
          <w:iCs/>
          <w:sz w:val="21"/>
          <w:szCs w:val="21"/>
          <w:lang w:val="es-MX"/>
        </w:rPr>
        <w:t xml:space="preserve">de conformidad con el artículo tercero transitorio de la citada Ley, debió instalarse dentro de los treinta días naturales posteriores a la entrada en vigor del reglamento de la multicitada Ley y dicho reglamento debió haberse expedido por el Ejecutivo a más tardar el </w:t>
      </w:r>
      <w:r w:rsidRPr="00BB78A5">
        <w:rPr>
          <w:rFonts w:ascii="Abadi" w:hAnsi="Abadi" w:cs="ArialMT"/>
          <w:b/>
          <w:bCs/>
          <w:i/>
          <w:iCs/>
          <w:sz w:val="21"/>
          <w:szCs w:val="21"/>
          <w:lang w:val="es-MX"/>
        </w:rPr>
        <w:t xml:space="preserve">26 de abril del año 2018, </w:t>
      </w:r>
      <w:r w:rsidRPr="00BB78A5">
        <w:rPr>
          <w:rFonts w:ascii="Abadi" w:hAnsi="Abadi" w:cs="ArialMT"/>
          <w:i/>
          <w:iCs/>
          <w:sz w:val="21"/>
          <w:szCs w:val="21"/>
          <w:lang w:val="es-MX"/>
        </w:rPr>
        <w:t xml:space="preserve">sin embargo, acaba de publicado el ll </w:t>
      </w:r>
      <w:r w:rsidRPr="00BB78A5">
        <w:rPr>
          <w:rFonts w:ascii="Abadi" w:hAnsi="Abadi" w:cs="ArialMT"/>
          <w:b/>
          <w:bCs/>
          <w:i/>
          <w:iCs/>
          <w:sz w:val="21"/>
          <w:szCs w:val="21"/>
          <w:lang w:val="es-MX"/>
        </w:rPr>
        <w:t xml:space="preserve">de marzo del presente año, </w:t>
      </w:r>
      <w:r w:rsidRPr="00BB78A5">
        <w:rPr>
          <w:rFonts w:ascii="Abadi" w:hAnsi="Abadi" w:cs="ArialMT"/>
          <w:i/>
          <w:iCs/>
          <w:sz w:val="21"/>
          <w:szCs w:val="21"/>
          <w:lang w:val="es-MX"/>
        </w:rPr>
        <w:t>estando desfasado casi un año respecto al plazo establecido por el Congreso del Estado en la Ley que nos ocupa.</w:t>
      </w:r>
    </w:p>
    <w:p w14:paraId="32B7EBF0" w14:textId="77777777" w:rsidR="00FF5797" w:rsidRPr="00BB78A5" w:rsidRDefault="00FF5797" w:rsidP="00B21272">
      <w:pPr>
        <w:autoSpaceDE w:val="0"/>
        <w:autoSpaceDN w:val="0"/>
        <w:adjustRightInd w:val="0"/>
        <w:jc w:val="both"/>
        <w:rPr>
          <w:rFonts w:ascii="Abadi" w:hAnsi="Abadi" w:cs="ArialMT"/>
          <w:sz w:val="21"/>
          <w:szCs w:val="21"/>
          <w:lang w:val="es-MX"/>
        </w:rPr>
      </w:pPr>
    </w:p>
    <w:p w14:paraId="14DFC09D" w14:textId="02870251" w:rsidR="00B21272" w:rsidRDefault="00B21272" w:rsidP="00B21272">
      <w:pPr>
        <w:autoSpaceDE w:val="0"/>
        <w:autoSpaceDN w:val="0"/>
        <w:adjustRightInd w:val="0"/>
        <w:jc w:val="both"/>
        <w:rPr>
          <w:rFonts w:ascii="Abadi" w:hAnsi="Abadi" w:cs="ArialMT"/>
          <w:b/>
          <w:bCs/>
          <w:i/>
          <w:iCs/>
          <w:sz w:val="21"/>
          <w:szCs w:val="21"/>
          <w:lang w:val="es-MX"/>
        </w:rPr>
      </w:pPr>
      <w:r w:rsidRPr="00BB78A5">
        <w:rPr>
          <w:rFonts w:ascii="Abadi" w:hAnsi="Abadi" w:cs="ArialMT"/>
          <w:i/>
          <w:iCs/>
          <w:sz w:val="21"/>
          <w:szCs w:val="21"/>
          <w:lang w:val="es-MX"/>
        </w:rPr>
        <w:t xml:space="preserve">Finalmente, los integrantes de este Consejo </w:t>
      </w:r>
      <w:r w:rsidRPr="00BB78A5">
        <w:rPr>
          <w:rFonts w:ascii="Abadi" w:hAnsi="Abadi" w:cs="ArialMT"/>
          <w:b/>
          <w:bCs/>
          <w:i/>
          <w:iCs/>
          <w:sz w:val="21"/>
          <w:szCs w:val="21"/>
          <w:lang w:val="es-MX"/>
        </w:rPr>
        <w:t xml:space="preserve">tomaron protesta el 10 de abril del año en curso, cuando debió ser </w:t>
      </w:r>
      <w:r w:rsidRPr="00BB78A5">
        <w:rPr>
          <w:rFonts w:ascii="Abadi" w:hAnsi="Abadi" w:cs="ArialMT"/>
          <w:b/>
          <w:bCs/>
          <w:sz w:val="21"/>
          <w:szCs w:val="21"/>
          <w:lang w:val="es-MX"/>
        </w:rPr>
        <w:t xml:space="preserve">a </w:t>
      </w:r>
      <w:r w:rsidRPr="00BB78A5">
        <w:rPr>
          <w:rFonts w:ascii="Abadi" w:hAnsi="Abadi" w:cs="ArialMT"/>
          <w:b/>
          <w:bCs/>
          <w:i/>
          <w:iCs/>
          <w:sz w:val="21"/>
          <w:szCs w:val="21"/>
          <w:lang w:val="es-MX"/>
        </w:rPr>
        <w:t xml:space="preserve">más tardar el 26 de mayo del año 2018 si </w:t>
      </w:r>
      <w:r w:rsidRPr="00BB78A5">
        <w:rPr>
          <w:rFonts w:ascii="Abadi" w:hAnsi="Abadi" w:cs="ArialMT"/>
          <w:b/>
          <w:bCs/>
          <w:sz w:val="21"/>
          <w:szCs w:val="21"/>
          <w:lang w:val="es-MX"/>
        </w:rPr>
        <w:t xml:space="preserve">se </w:t>
      </w:r>
      <w:r w:rsidRPr="00BB78A5">
        <w:rPr>
          <w:rFonts w:ascii="Abadi" w:hAnsi="Abadi" w:cs="ArialMT"/>
          <w:b/>
          <w:bCs/>
          <w:i/>
          <w:iCs/>
          <w:sz w:val="21"/>
          <w:szCs w:val="21"/>
          <w:lang w:val="es-MX"/>
        </w:rPr>
        <w:t>hubiera expedido el reglamento de la Ley en tiempo.</w:t>
      </w:r>
    </w:p>
    <w:p w14:paraId="10708F42" w14:textId="77777777" w:rsidR="001E78B8" w:rsidRPr="00BB78A5" w:rsidRDefault="001E78B8" w:rsidP="00B21272">
      <w:pPr>
        <w:autoSpaceDE w:val="0"/>
        <w:autoSpaceDN w:val="0"/>
        <w:adjustRightInd w:val="0"/>
        <w:jc w:val="both"/>
        <w:rPr>
          <w:rFonts w:ascii="Abadi" w:hAnsi="Abadi" w:cs="ArialMT"/>
          <w:sz w:val="21"/>
          <w:szCs w:val="21"/>
          <w:lang w:val="es-MX"/>
        </w:rPr>
      </w:pPr>
    </w:p>
    <w:p w14:paraId="66ED0A8B" w14:textId="44A6CA8C" w:rsidR="00B21272" w:rsidRPr="00BB78A5" w:rsidRDefault="00B21272" w:rsidP="00B21272">
      <w:pPr>
        <w:autoSpaceDE w:val="0"/>
        <w:autoSpaceDN w:val="0"/>
        <w:adjustRightInd w:val="0"/>
        <w:jc w:val="both"/>
        <w:rPr>
          <w:rFonts w:ascii="Abadi" w:hAnsi="Abadi" w:cs="ArialMT"/>
          <w:b/>
          <w:bCs/>
          <w:i/>
          <w:iCs/>
          <w:sz w:val="21"/>
          <w:szCs w:val="21"/>
          <w:lang w:val="es-MX"/>
        </w:rPr>
      </w:pPr>
      <w:r w:rsidRPr="00BB78A5">
        <w:rPr>
          <w:rFonts w:ascii="Abadi" w:hAnsi="Abadi" w:cs="ArialMT"/>
          <w:i/>
          <w:iCs/>
          <w:sz w:val="21"/>
          <w:szCs w:val="21"/>
          <w:lang w:val="es-MX"/>
        </w:rPr>
        <w:t>De lo que podemos concluir que a pesar de que existía una obligación por parte del Ejecutivo para la creación de este Consejo y que pudiera funcionar y operar de forma eficaz y óptima para garantizar los derechos de las personas defensoras de derechos humanos y periodistas, no fue así, y las acciones y medidas que se pudieron haber emprendido desde el plazo acordado en los artículos transitorios para la protección de estas personas, fue nula, pues no hubo presupuesto asignado a este Consejo para el ejercicio presupuesta</w:t>
      </w:r>
      <w:r w:rsidR="001E78B8">
        <w:rPr>
          <w:rFonts w:ascii="Abadi" w:hAnsi="Abadi" w:cs="ArialMT"/>
          <w:i/>
          <w:iCs/>
          <w:sz w:val="21"/>
          <w:szCs w:val="21"/>
          <w:lang w:val="es-MX"/>
        </w:rPr>
        <w:t xml:space="preserve">l </w:t>
      </w:r>
      <w:r w:rsidRPr="00BB78A5">
        <w:rPr>
          <w:rFonts w:ascii="Abadi" w:hAnsi="Abadi" w:cs="ArialMT"/>
          <w:i/>
          <w:iCs/>
          <w:sz w:val="21"/>
          <w:szCs w:val="21"/>
          <w:lang w:val="es-MX"/>
        </w:rPr>
        <w:t xml:space="preserve">2018, preguntándonos entonces cual fue la finalidad de haber expedido la Ley, si en realidad el Consejo como uno de los pilares rectores en esta materia en donde existe participación ciudadana iba a operar un año después. </w:t>
      </w:r>
      <w:r w:rsidRPr="00BB78A5">
        <w:rPr>
          <w:rFonts w:ascii="Abadi" w:hAnsi="Abadi" w:cs="ArialMT"/>
          <w:b/>
          <w:bCs/>
          <w:i/>
          <w:iCs/>
          <w:sz w:val="21"/>
          <w:szCs w:val="21"/>
          <w:lang w:val="es-MX"/>
        </w:rPr>
        <w:t>¿Creen ustedes que esto es correcto?</w:t>
      </w:r>
    </w:p>
    <w:p w14:paraId="211E20A7" w14:textId="77777777" w:rsidR="00FF5797" w:rsidRPr="00BB78A5" w:rsidRDefault="00FF5797" w:rsidP="00B21272">
      <w:pPr>
        <w:autoSpaceDE w:val="0"/>
        <w:autoSpaceDN w:val="0"/>
        <w:adjustRightInd w:val="0"/>
        <w:jc w:val="both"/>
        <w:rPr>
          <w:rFonts w:ascii="Abadi" w:hAnsi="Abadi" w:cs="ArialMT"/>
          <w:sz w:val="21"/>
          <w:szCs w:val="21"/>
          <w:lang w:val="es-MX"/>
        </w:rPr>
      </w:pPr>
    </w:p>
    <w:p w14:paraId="2EBA6996" w14:textId="6B61A6F9"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 xml:space="preserve">Otro ejemplo claro, de caso omiso al cumplimiento a cargo del Ejecutivo del Estado, son los  compromisos asumidos en la </w:t>
      </w:r>
      <w:r w:rsidRPr="00BB78A5">
        <w:rPr>
          <w:rFonts w:ascii="Abadi" w:hAnsi="Abadi" w:cs="ArialMT"/>
          <w:b/>
          <w:bCs/>
          <w:i/>
          <w:iCs/>
          <w:sz w:val="21"/>
          <w:szCs w:val="21"/>
          <w:lang w:val="es-MX"/>
        </w:rPr>
        <w:t xml:space="preserve">Ley para Regular la Prestación de Servicios de Atención, Cuidado y Desarrollo Integral Infantil en el Estado de Guanajuato, </w:t>
      </w:r>
      <w:r w:rsidRPr="00BB78A5">
        <w:rPr>
          <w:rFonts w:ascii="Abadi" w:hAnsi="Abadi" w:cs="ArialMT"/>
          <w:i/>
          <w:iCs/>
          <w:sz w:val="21"/>
          <w:szCs w:val="21"/>
          <w:lang w:val="es-MX"/>
        </w:rPr>
        <w:t xml:space="preserve">la cual entró en vigor el </w:t>
      </w:r>
      <w:r w:rsidRPr="00BB78A5">
        <w:rPr>
          <w:rFonts w:ascii="Abadi" w:hAnsi="Abadi" w:cs="ArialMT"/>
          <w:b/>
          <w:bCs/>
          <w:i/>
          <w:iCs/>
          <w:sz w:val="21"/>
          <w:szCs w:val="21"/>
          <w:lang w:val="es-MX"/>
        </w:rPr>
        <w:t xml:space="preserve">1º de enero del año 2017 </w:t>
      </w:r>
      <w:r w:rsidRPr="00BB78A5">
        <w:rPr>
          <w:rFonts w:ascii="Abadi" w:hAnsi="Abadi" w:cs="ArialMT"/>
          <w:i/>
          <w:iCs/>
          <w:sz w:val="21"/>
          <w:szCs w:val="21"/>
          <w:lang w:val="es-MX"/>
        </w:rPr>
        <w:t>y tiene por objeto "regular y establecer las bases y procedimientos para la prestación de servicios de atención, cuidado y desarrollo integral infantil en el estado de Guanajuato, garantizando el acceso de niñas y niños a dichos servicios en condiciones de igualdad, eficiencia, calidad, calidez, seguridad y protección adecuadas, que promuevan, procuren y garanticen el ejercicio  pleno de sus derechos".</w:t>
      </w:r>
    </w:p>
    <w:p w14:paraId="1C4F887C" w14:textId="77777777" w:rsidR="00FF5797" w:rsidRPr="00BB78A5" w:rsidRDefault="00FF5797" w:rsidP="00B21272">
      <w:pPr>
        <w:autoSpaceDE w:val="0"/>
        <w:autoSpaceDN w:val="0"/>
        <w:adjustRightInd w:val="0"/>
        <w:jc w:val="both"/>
        <w:rPr>
          <w:rFonts w:ascii="Abadi" w:hAnsi="Abadi" w:cs="ArialMT"/>
          <w:sz w:val="21"/>
          <w:szCs w:val="21"/>
          <w:lang w:val="es-MX"/>
        </w:rPr>
      </w:pPr>
    </w:p>
    <w:p w14:paraId="40717955" w14:textId="552D3058"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 xml:space="preserve">Al igual que en el caso anterior, esta Ley establece la creación de un </w:t>
      </w:r>
      <w:r w:rsidRPr="00BB78A5">
        <w:rPr>
          <w:rFonts w:ascii="Abadi" w:hAnsi="Abadi" w:cs="ArialMT"/>
          <w:b/>
          <w:bCs/>
          <w:i/>
          <w:iCs/>
          <w:sz w:val="21"/>
          <w:szCs w:val="21"/>
          <w:lang w:val="es-MX"/>
        </w:rPr>
        <w:t xml:space="preserve">Consejo para la Prestación de Servicios de Atención, Cuidado y Desarrollo Integral Infantil del Estado de Guanajuato </w:t>
      </w:r>
      <w:r w:rsidRPr="00BB78A5">
        <w:rPr>
          <w:rFonts w:ascii="Abadi" w:hAnsi="Abadi" w:cs="ArialMT"/>
          <w:i/>
          <w:iCs/>
          <w:sz w:val="21"/>
          <w:szCs w:val="21"/>
          <w:lang w:val="es-MX"/>
        </w:rPr>
        <w:t>como un órgano de vinculación y consulta que tiene por objeto, entre otros, los siguientes:</w:t>
      </w:r>
    </w:p>
    <w:p w14:paraId="41A47FF4" w14:textId="77777777" w:rsidR="00A86104" w:rsidRPr="00BB78A5" w:rsidRDefault="00A86104" w:rsidP="00B21272">
      <w:pPr>
        <w:autoSpaceDE w:val="0"/>
        <w:autoSpaceDN w:val="0"/>
        <w:adjustRightInd w:val="0"/>
        <w:jc w:val="both"/>
        <w:rPr>
          <w:rFonts w:ascii="Abadi" w:hAnsi="Abadi" w:cs="ArialMT"/>
          <w:sz w:val="21"/>
          <w:szCs w:val="21"/>
          <w:lang w:val="es-MX"/>
        </w:rPr>
      </w:pPr>
    </w:p>
    <w:p w14:paraId="5C48838D" w14:textId="77777777" w:rsidR="00B21272" w:rsidRPr="00BB78A5" w:rsidRDefault="00B21272" w:rsidP="00B21272">
      <w:pPr>
        <w:numPr>
          <w:ilvl w:val="0"/>
          <w:numId w:val="54"/>
        </w:numPr>
        <w:autoSpaceDE w:val="0"/>
        <w:autoSpaceDN w:val="0"/>
        <w:adjustRightInd w:val="0"/>
        <w:jc w:val="both"/>
        <w:rPr>
          <w:rFonts w:ascii="Abadi" w:hAnsi="Abadi" w:cs="ArialMT"/>
          <w:sz w:val="21"/>
          <w:szCs w:val="21"/>
          <w:lang w:val="es-MX"/>
        </w:rPr>
      </w:pPr>
      <w:r w:rsidRPr="00BB78A5">
        <w:rPr>
          <w:rFonts w:ascii="Abadi" w:hAnsi="Abadi" w:cs="ArialMT"/>
          <w:i/>
          <w:iCs/>
          <w:sz w:val="21"/>
          <w:szCs w:val="21"/>
          <w:lang w:val="es-MX"/>
        </w:rPr>
        <w:t>"Dar seguimiento, evaluar y proponer mejoras a la Política local en materia de prestación de servicios de atención, cuidado y desarrollo integral infantil; que permitan articular las acciones del Estado y de los municipios y de los sectores público, privado y social;</w:t>
      </w:r>
    </w:p>
    <w:p w14:paraId="64EB919C" w14:textId="77777777" w:rsidR="00B21272" w:rsidRPr="00BB78A5" w:rsidRDefault="00B21272" w:rsidP="00B21272">
      <w:pPr>
        <w:numPr>
          <w:ilvl w:val="0"/>
          <w:numId w:val="54"/>
        </w:numPr>
        <w:autoSpaceDE w:val="0"/>
        <w:autoSpaceDN w:val="0"/>
        <w:adjustRightInd w:val="0"/>
        <w:jc w:val="both"/>
        <w:rPr>
          <w:rFonts w:ascii="Abadi" w:hAnsi="Abadi" w:cs="ArialMT"/>
          <w:sz w:val="21"/>
          <w:szCs w:val="21"/>
          <w:lang w:val="es-MX"/>
        </w:rPr>
      </w:pPr>
      <w:r w:rsidRPr="00BB78A5">
        <w:rPr>
          <w:rFonts w:ascii="Abadi" w:hAnsi="Abadi" w:cs="ArialMT"/>
          <w:i/>
          <w:iCs/>
          <w:sz w:val="21"/>
          <w:szCs w:val="21"/>
          <w:lang w:val="es-MX"/>
        </w:rPr>
        <w:t>Diseñar políticas públicas, estrategias y acciones para asegurar la atención integral a niñas y niños, en coordinación con el Sistema de Protección de los Derechos de Niñas, Niños y Adolescentes del Estado de Guanajuato;</w:t>
      </w:r>
    </w:p>
    <w:p w14:paraId="3C3E0243" w14:textId="77777777" w:rsidR="00B21272" w:rsidRPr="00BB78A5" w:rsidRDefault="00B21272" w:rsidP="00B21272">
      <w:pPr>
        <w:numPr>
          <w:ilvl w:val="0"/>
          <w:numId w:val="54"/>
        </w:numPr>
        <w:autoSpaceDE w:val="0"/>
        <w:autoSpaceDN w:val="0"/>
        <w:adjustRightInd w:val="0"/>
        <w:jc w:val="both"/>
        <w:rPr>
          <w:rFonts w:ascii="Abadi" w:hAnsi="Abadi" w:cs="ArialMT"/>
          <w:sz w:val="21"/>
          <w:szCs w:val="21"/>
          <w:lang w:val="es-MX"/>
        </w:rPr>
      </w:pPr>
      <w:r w:rsidRPr="00BB78A5">
        <w:rPr>
          <w:rFonts w:ascii="Abadi" w:hAnsi="Abadi" w:cs="ArialMT"/>
          <w:i/>
          <w:iCs/>
          <w:sz w:val="21"/>
          <w:szCs w:val="21"/>
          <w:lang w:val="es-MX"/>
        </w:rPr>
        <w:t>Impulsar acciones para ofrecer servicios de atención, cuidado y desarrollo integral infantil con criterios comunes de calidad, a través del fomento de actividades de capacitación, certificación y supervisión;</w:t>
      </w:r>
    </w:p>
    <w:p w14:paraId="31E99018" w14:textId="3233B16C" w:rsidR="00B21272" w:rsidRPr="00BB78A5" w:rsidRDefault="00B21272" w:rsidP="00B21272">
      <w:pPr>
        <w:numPr>
          <w:ilvl w:val="0"/>
          <w:numId w:val="54"/>
        </w:numPr>
        <w:autoSpaceDE w:val="0"/>
        <w:autoSpaceDN w:val="0"/>
        <w:adjustRightInd w:val="0"/>
        <w:jc w:val="both"/>
        <w:rPr>
          <w:rFonts w:ascii="Abadi" w:hAnsi="Abadi" w:cs="ArialMT"/>
          <w:sz w:val="21"/>
          <w:szCs w:val="21"/>
          <w:lang w:val="es-MX"/>
        </w:rPr>
      </w:pPr>
      <w:r w:rsidRPr="00BB78A5">
        <w:rPr>
          <w:rFonts w:ascii="Abadi" w:hAnsi="Abadi" w:cs="ArialMT"/>
          <w:i/>
          <w:iCs/>
          <w:sz w:val="21"/>
          <w:szCs w:val="21"/>
          <w:lang w:val="es-MX"/>
        </w:rPr>
        <w:t>Enviar un informe anual al Congreso del Estado de Guanajuato, indicando las acciones realizadas, así como las políticas, planes, programas y demás información relativa al estado que guardan los centros de atención"</w:t>
      </w:r>
    </w:p>
    <w:p w14:paraId="042A54CE" w14:textId="77777777" w:rsidR="00FF5797" w:rsidRPr="00BB78A5" w:rsidRDefault="00FF5797" w:rsidP="00FF5797">
      <w:pPr>
        <w:autoSpaceDE w:val="0"/>
        <w:autoSpaceDN w:val="0"/>
        <w:adjustRightInd w:val="0"/>
        <w:jc w:val="both"/>
        <w:rPr>
          <w:rFonts w:ascii="Abadi" w:hAnsi="Abadi" w:cs="ArialMT"/>
          <w:sz w:val="21"/>
          <w:szCs w:val="21"/>
          <w:lang w:val="es-MX"/>
        </w:rPr>
      </w:pPr>
    </w:p>
    <w:p w14:paraId="6849B4B2" w14:textId="49348270" w:rsidR="00B21272"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Sin embargo, ninguna de estas acciones se materializó oportunamente, por lo siguiente:</w:t>
      </w:r>
    </w:p>
    <w:p w14:paraId="7E7CDAA6" w14:textId="77777777" w:rsidR="001E78B8" w:rsidRPr="00BB78A5" w:rsidRDefault="001E78B8" w:rsidP="00B21272">
      <w:pPr>
        <w:autoSpaceDE w:val="0"/>
        <w:autoSpaceDN w:val="0"/>
        <w:adjustRightInd w:val="0"/>
        <w:jc w:val="both"/>
        <w:rPr>
          <w:rFonts w:ascii="Abadi" w:hAnsi="Abadi" w:cs="ArialMT"/>
          <w:sz w:val="21"/>
          <w:szCs w:val="21"/>
          <w:lang w:val="es-MX"/>
        </w:rPr>
      </w:pPr>
    </w:p>
    <w:p w14:paraId="6EA5F18B" w14:textId="16DD1BF3" w:rsidR="00B21272" w:rsidRDefault="00B21272" w:rsidP="00B21272">
      <w:pPr>
        <w:autoSpaceDE w:val="0"/>
        <w:autoSpaceDN w:val="0"/>
        <w:adjustRightInd w:val="0"/>
        <w:jc w:val="both"/>
        <w:rPr>
          <w:rFonts w:ascii="Abadi" w:hAnsi="Abadi" w:cs="ArialMT"/>
          <w:b/>
          <w:bCs/>
          <w:i/>
          <w:iCs/>
          <w:sz w:val="21"/>
          <w:szCs w:val="21"/>
          <w:lang w:val="es-MX"/>
        </w:rPr>
      </w:pPr>
      <w:r w:rsidRPr="00BB78A5">
        <w:rPr>
          <w:rFonts w:ascii="Abadi" w:hAnsi="Abadi" w:cs="ArialMT"/>
          <w:i/>
          <w:iCs/>
          <w:sz w:val="21"/>
          <w:szCs w:val="21"/>
          <w:lang w:val="es-MX"/>
        </w:rPr>
        <w:t xml:space="preserve">De conformidad con el artículo cuarto transitorio de la citada Ley, este Consejo debió instalarse a más tardar un año posterior a la entrada en vigor de la Ley, plazo que </w:t>
      </w:r>
      <w:r w:rsidRPr="00BB78A5">
        <w:rPr>
          <w:rFonts w:ascii="Abadi" w:hAnsi="Abadi" w:cs="ArialMT"/>
          <w:b/>
          <w:bCs/>
          <w:i/>
          <w:iCs/>
          <w:sz w:val="21"/>
          <w:szCs w:val="21"/>
          <w:lang w:val="es-MX"/>
        </w:rPr>
        <w:t>concluyo el 1 de enero de 2018.</w:t>
      </w:r>
    </w:p>
    <w:p w14:paraId="3B8606AE" w14:textId="77777777" w:rsidR="001E78B8" w:rsidRPr="00BB78A5" w:rsidRDefault="001E78B8" w:rsidP="00B21272">
      <w:pPr>
        <w:autoSpaceDE w:val="0"/>
        <w:autoSpaceDN w:val="0"/>
        <w:adjustRightInd w:val="0"/>
        <w:jc w:val="both"/>
        <w:rPr>
          <w:rFonts w:ascii="Abadi" w:hAnsi="Abadi" w:cs="ArialMT"/>
          <w:sz w:val="21"/>
          <w:szCs w:val="21"/>
          <w:lang w:val="es-MX"/>
        </w:rPr>
      </w:pPr>
    </w:p>
    <w:p w14:paraId="6F305C60" w14:textId="5ECD8144"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El artículo segundo transitorio, establece que el Ejecutivo deberá actualizar los reglamentos y demás disposiciones a que se refiere esta Ley, a más tardar seis</w:t>
      </w:r>
      <w:r w:rsidRPr="00BB78A5">
        <w:rPr>
          <w:rFonts w:ascii="Abadi" w:hAnsi="Abadi" w:cs="ArialMT"/>
          <w:sz w:val="21"/>
          <w:szCs w:val="21"/>
          <w:lang w:val="es-MX"/>
        </w:rPr>
        <w:t xml:space="preserve"> </w:t>
      </w:r>
      <w:r w:rsidRPr="00BB78A5">
        <w:rPr>
          <w:rFonts w:ascii="Abadi" w:hAnsi="Abadi" w:cs="ArialMT"/>
          <w:i/>
          <w:iCs/>
          <w:sz w:val="21"/>
          <w:szCs w:val="21"/>
          <w:lang w:val="es-MX"/>
        </w:rPr>
        <w:t xml:space="preserve">meses posteriores a su entrada en vigor, es decir el </w:t>
      </w:r>
      <w:r w:rsidRPr="00BB78A5">
        <w:rPr>
          <w:rFonts w:ascii="Abadi" w:hAnsi="Abadi" w:cs="ArialMT"/>
          <w:b/>
          <w:bCs/>
          <w:i/>
          <w:iCs/>
          <w:sz w:val="21"/>
          <w:szCs w:val="21"/>
          <w:lang w:val="es-MX"/>
        </w:rPr>
        <w:t xml:space="preserve">1 </w:t>
      </w:r>
      <w:r w:rsidRPr="00BB78A5">
        <w:rPr>
          <w:rFonts w:ascii="Abadi" w:hAnsi="Abadi" w:cs="ArialMT"/>
          <w:b/>
          <w:bCs/>
          <w:sz w:val="21"/>
          <w:szCs w:val="21"/>
          <w:lang w:val="es-MX"/>
        </w:rPr>
        <w:t xml:space="preserve">° </w:t>
      </w:r>
      <w:r w:rsidRPr="00BB78A5">
        <w:rPr>
          <w:rFonts w:ascii="Abadi" w:hAnsi="Abadi" w:cs="ArialMT"/>
          <w:b/>
          <w:bCs/>
          <w:i/>
          <w:iCs/>
          <w:sz w:val="21"/>
          <w:szCs w:val="21"/>
          <w:lang w:val="es-MX"/>
        </w:rPr>
        <w:t xml:space="preserve">de julio de 2017, </w:t>
      </w:r>
      <w:r w:rsidRPr="00BB78A5">
        <w:rPr>
          <w:rFonts w:ascii="Abadi" w:hAnsi="Abadi" w:cs="ArialMT"/>
          <w:i/>
          <w:iCs/>
          <w:sz w:val="21"/>
          <w:szCs w:val="21"/>
          <w:lang w:val="es-MX"/>
        </w:rPr>
        <w:t>sin</w:t>
      </w:r>
      <w:r w:rsidRPr="00BB78A5">
        <w:rPr>
          <w:rFonts w:ascii="Abadi" w:hAnsi="Abadi" w:cs="ArialMT"/>
          <w:sz w:val="21"/>
          <w:szCs w:val="21"/>
          <w:lang w:val="es-MX"/>
        </w:rPr>
        <w:t xml:space="preserve"> </w:t>
      </w:r>
      <w:r w:rsidRPr="00BB78A5">
        <w:rPr>
          <w:rFonts w:ascii="Abadi" w:hAnsi="Abadi" w:cs="ArialMT"/>
          <w:i/>
          <w:iCs/>
          <w:sz w:val="21"/>
          <w:szCs w:val="21"/>
          <w:lang w:val="es-MX"/>
        </w:rPr>
        <w:t xml:space="preserve">embargo, el </w:t>
      </w:r>
      <w:r w:rsidRPr="00BB78A5">
        <w:rPr>
          <w:rFonts w:ascii="Abadi" w:hAnsi="Abadi" w:cs="ArialMT"/>
          <w:b/>
          <w:bCs/>
          <w:i/>
          <w:iCs/>
          <w:sz w:val="21"/>
          <w:szCs w:val="21"/>
          <w:lang w:val="es-MX"/>
        </w:rPr>
        <w:t xml:space="preserve">Reglamento Estatal de la materia, </w:t>
      </w:r>
      <w:r w:rsidRPr="00BB78A5">
        <w:rPr>
          <w:rFonts w:ascii="Abadi" w:hAnsi="Abadi" w:cs="ArialMT"/>
          <w:i/>
          <w:iCs/>
          <w:sz w:val="21"/>
          <w:szCs w:val="21"/>
          <w:lang w:val="es-MX"/>
        </w:rPr>
        <w:t xml:space="preserve">fue expedido por el Ejecutivo y publicado en el Periódico Oficial del Gobierno del Estado el </w:t>
      </w:r>
      <w:r w:rsidRPr="00BB78A5">
        <w:rPr>
          <w:rFonts w:ascii="Abadi" w:hAnsi="Abadi" w:cs="ArialMT"/>
          <w:b/>
          <w:bCs/>
          <w:i/>
          <w:iCs/>
          <w:sz w:val="21"/>
          <w:szCs w:val="21"/>
          <w:lang w:val="es-MX"/>
        </w:rPr>
        <w:t xml:space="preserve">7 de junio de 2018. </w:t>
      </w:r>
      <w:r w:rsidRPr="00BB78A5">
        <w:rPr>
          <w:rFonts w:ascii="Abadi" w:hAnsi="Abadi" w:cs="ArialMT"/>
          <w:i/>
          <w:iCs/>
          <w:sz w:val="21"/>
          <w:szCs w:val="21"/>
          <w:lang w:val="es-MX"/>
        </w:rPr>
        <w:t>Es</w:t>
      </w:r>
      <w:r w:rsidRPr="00BB78A5">
        <w:rPr>
          <w:rFonts w:ascii="Abadi" w:hAnsi="Abadi" w:cs="ArialMT"/>
          <w:sz w:val="21"/>
          <w:szCs w:val="21"/>
          <w:lang w:val="es-MX"/>
        </w:rPr>
        <w:t xml:space="preserve"> </w:t>
      </w:r>
      <w:r w:rsidRPr="00BB78A5">
        <w:rPr>
          <w:rFonts w:ascii="Abadi" w:hAnsi="Abadi" w:cs="ArialMT"/>
          <w:i/>
          <w:iCs/>
          <w:sz w:val="21"/>
          <w:szCs w:val="21"/>
          <w:lang w:val="es-MX"/>
        </w:rPr>
        <w:t>decir, un año desfasado.</w:t>
      </w:r>
    </w:p>
    <w:p w14:paraId="0CE4EE70" w14:textId="77777777" w:rsidR="00A86104" w:rsidRPr="00BB78A5" w:rsidRDefault="00A86104" w:rsidP="00B21272">
      <w:pPr>
        <w:autoSpaceDE w:val="0"/>
        <w:autoSpaceDN w:val="0"/>
        <w:adjustRightInd w:val="0"/>
        <w:jc w:val="both"/>
        <w:rPr>
          <w:rFonts w:ascii="Abadi" w:hAnsi="Abadi" w:cs="ArialMT"/>
          <w:i/>
          <w:iCs/>
          <w:sz w:val="21"/>
          <w:szCs w:val="21"/>
          <w:lang w:val="es-MX"/>
        </w:rPr>
      </w:pPr>
    </w:p>
    <w:p w14:paraId="2D54CAE2" w14:textId="459C0545" w:rsidR="00B21272" w:rsidRPr="00BB78A5" w:rsidRDefault="00B21272" w:rsidP="00B21272">
      <w:pPr>
        <w:autoSpaceDE w:val="0"/>
        <w:autoSpaceDN w:val="0"/>
        <w:adjustRightInd w:val="0"/>
        <w:jc w:val="both"/>
        <w:rPr>
          <w:rFonts w:ascii="Abadi" w:hAnsi="Abadi" w:cs="ArialMT"/>
          <w:b/>
          <w:bCs/>
          <w:i/>
          <w:iCs/>
          <w:sz w:val="21"/>
          <w:szCs w:val="21"/>
          <w:lang w:val="es-MX"/>
        </w:rPr>
      </w:pPr>
      <w:r w:rsidRPr="00BB78A5">
        <w:rPr>
          <w:rFonts w:ascii="Abadi" w:hAnsi="Abadi" w:cs="ArialMT"/>
          <w:i/>
          <w:iCs/>
          <w:sz w:val="21"/>
          <w:szCs w:val="21"/>
          <w:lang w:val="es-MX"/>
        </w:rPr>
        <w:t xml:space="preserve">Finalmente, </w:t>
      </w:r>
      <w:r w:rsidRPr="00BB78A5">
        <w:rPr>
          <w:rFonts w:ascii="Abadi" w:hAnsi="Abadi" w:cs="ArialMT"/>
          <w:b/>
          <w:bCs/>
          <w:i/>
          <w:iCs/>
          <w:sz w:val="21"/>
          <w:szCs w:val="21"/>
          <w:lang w:val="es-MX"/>
        </w:rPr>
        <w:t xml:space="preserve">los integrantes de este Consejo tomaron protesta el 10 de mayo del año en curso. </w:t>
      </w:r>
      <w:r w:rsidRPr="00BB78A5">
        <w:rPr>
          <w:rFonts w:ascii="Abadi" w:hAnsi="Abadi" w:cs="ArialMT"/>
          <w:i/>
          <w:iCs/>
          <w:sz w:val="21"/>
          <w:szCs w:val="21"/>
          <w:lang w:val="es-MX"/>
        </w:rPr>
        <w:t xml:space="preserve">De lo que podemos concluir que este Consejo </w:t>
      </w:r>
      <w:r w:rsidRPr="00BB78A5">
        <w:rPr>
          <w:rFonts w:ascii="Abadi" w:hAnsi="Abadi" w:cs="ArialMT"/>
          <w:b/>
          <w:bCs/>
          <w:i/>
          <w:iCs/>
          <w:sz w:val="21"/>
          <w:szCs w:val="21"/>
          <w:lang w:val="es-MX"/>
        </w:rPr>
        <w:t>también empezó a trabajar un año y cuatro meses desfasados.</w:t>
      </w:r>
    </w:p>
    <w:p w14:paraId="0D8305F4" w14:textId="77777777" w:rsidR="00A86104" w:rsidRPr="00BB78A5" w:rsidRDefault="00A86104" w:rsidP="00B21272">
      <w:pPr>
        <w:autoSpaceDE w:val="0"/>
        <w:autoSpaceDN w:val="0"/>
        <w:adjustRightInd w:val="0"/>
        <w:jc w:val="both"/>
        <w:rPr>
          <w:rFonts w:ascii="Abadi" w:hAnsi="Abadi" w:cs="ArialMT"/>
          <w:i/>
          <w:iCs/>
          <w:sz w:val="21"/>
          <w:szCs w:val="21"/>
          <w:lang w:val="es-MX"/>
        </w:rPr>
      </w:pPr>
    </w:p>
    <w:p w14:paraId="28F80B42" w14:textId="31B5AC05"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De igual forma la historia se repite y a pesar de que existe una obligación por parte del Ejecutivo para la creación de este Consejo y que pudiera funcionar y operar de forma eficaz y óptima para garantizar el acceso de niñas y niños a dichos servicios en condiciones de igualdad, eficiencia, calidad, calidez, seguridad y protección adecuadas, no fue así, y las acciones y medidas que se pudieron haber emprendido desde el tiempo establecido en los transitorios, quedo para el olvido.</w:t>
      </w:r>
    </w:p>
    <w:p w14:paraId="219512A9" w14:textId="77777777" w:rsidR="00FF5797" w:rsidRPr="00BB78A5" w:rsidRDefault="00FF5797" w:rsidP="00B21272">
      <w:pPr>
        <w:autoSpaceDE w:val="0"/>
        <w:autoSpaceDN w:val="0"/>
        <w:adjustRightInd w:val="0"/>
        <w:jc w:val="both"/>
        <w:rPr>
          <w:rFonts w:ascii="Abadi" w:hAnsi="Abadi" w:cs="ArialMT"/>
          <w:i/>
          <w:iCs/>
          <w:sz w:val="21"/>
          <w:szCs w:val="21"/>
          <w:lang w:val="es-MX"/>
        </w:rPr>
      </w:pPr>
    </w:p>
    <w:p w14:paraId="4ED49D92" w14:textId="6EF9A4E0"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Lo que no puede quedar en el olvido es la responsabilidad de quien tenía el encargo de cumplir con las obligaciones derivadas de los citados artículos transitorios, de lo cual podemos tener decenas de ejemplos de otras leyes, de las cuales tampoco se da cumplimiento en tiempo, entonces me pregunto yo, tiene alguna razón de ser, el que el Poder Legislativo apruebe leyes que contienen artículos transitorios de gran importancia, que establecen obligaciones a cargo de los ejecutores de las leyes, para que en pocas palabras sea letra muerta.</w:t>
      </w:r>
    </w:p>
    <w:p w14:paraId="7A370A26" w14:textId="77777777" w:rsidR="00FF5797" w:rsidRPr="00BB78A5" w:rsidRDefault="00FF5797" w:rsidP="00B21272">
      <w:pPr>
        <w:autoSpaceDE w:val="0"/>
        <w:autoSpaceDN w:val="0"/>
        <w:adjustRightInd w:val="0"/>
        <w:jc w:val="both"/>
        <w:rPr>
          <w:rFonts w:ascii="Abadi" w:hAnsi="Abadi" w:cs="ArialMT"/>
          <w:i/>
          <w:iCs/>
          <w:sz w:val="21"/>
          <w:szCs w:val="21"/>
          <w:lang w:val="es-MX"/>
        </w:rPr>
      </w:pPr>
    </w:p>
    <w:p w14:paraId="4DADC587" w14:textId="13113BD6"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 xml:space="preserve">De lo antes expuesto, </w:t>
      </w:r>
      <w:r w:rsidRPr="00BB78A5">
        <w:rPr>
          <w:rFonts w:ascii="Abadi" w:hAnsi="Abadi" w:cs="ArialMT"/>
          <w:b/>
          <w:bCs/>
          <w:i/>
          <w:iCs/>
          <w:sz w:val="21"/>
          <w:szCs w:val="21"/>
          <w:lang w:val="es-MX"/>
        </w:rPr>
        <w:t xml:space="preserve">¿Qué podemos concluir?, </w:t>
      </w:r>
      <w:r w:rsidRPr="00BB78A5">
        <w:rPr>
          <w:rFonts w:ascii="Abadi" w:hAnsi="Abadi" w:cs="ArialMT"/>
          <w:i/>
          <w:iCs/>
          <w:sz w:val="21"/>
          <w:szCs w:val="21"/>
          <w:lang w:val="es-MX"/>
        </w:rPr>
        <w:t xml:space="preserve">los derechos de las personas defensoras de derechos humanos y periodistas, así </w:t>
      </w:r>
      <w:r w:rsidRPr="00BB78A5">
        <w:rPr>
          <w:rFonts w:ascii="Abadi" w:hAnsi="Abadi" w:cs="ArialMT"/>
          <w:sz w:val="21"/>
          <w:szCs w:val="21"/>
          <w:lang w:val="es-MX"/>
        </w:rPr>
        <w:t xml:space="preserve">como </w:t>
      </w:r>
      <w:r w:rsidRPr="00BB78A5">
        <w:rPr>
          <w:rFonts w:ascii="Abadi" w:hAnsi="Abadi" w:cs="ArialMT"/>
          <w:i/>
          <w:iCs/>
          <w:sz w:val="21"/>
          <w:szCs w:val="21"/>
          <w:lang w:val="es-MX"/>
        </w:rPr>
        <w:t xml:space="preserve">el de las niñas y niños, son temas que no pueden postergarse. De qué sirve que la Sexagésima Tercera Legislatura del Congreso del Estado haya trabajado con empeño para expedir estas leyes y plasmado en los artículos transitorios las obligaciones que tiene el Ejecutivo para instalar estos </w:t>
      </w:r>
      <w:r w:rsidRPr="00BB78A5">
        <w:rPr>
          <w:rFonts w:ascii="Abadi" w:hAnsi="Abadi" w:cs="ArialMT"/>
          <w:b/>
          <w:bCs/>
          <w:i/>
          <w:iCs/>
          <w:sz w:val="21"/>
          <w:szCs w:val="21"/>
          <w:lang w:val="es-MX"/>
        </w:rPr>
        <w:t xml:space="preserve">Consejos Estatales, </w:t>
      </w:r>
      <w:r w:rsidRPr="00BB78A5">
        <w:rPr>
          <w:rFonts w:ascii="Abadi" w:hAnsi="Abadi" w:cs="ArialMT"/>
          <w:i/>
          <w:iCs/>
          <w:sz w:val="21"/>
          <w:szCs w:val="21"/>
          <w:lang w:val="es-MX"/>
        </w:rPr>
        <w:t xml:space="preserve">tomarles protesta a sus integrantes y que empezaran a trabajar. Lo que es claro, es que en estos temas tan vitales y de los que hacemos decenas de discursos en pro de los derechos humanos, así </w:t>
      </w:r>
      <w:r w:rsidRPr="00BB78A5">
        <w:rPr>
          <w:rFonts w:ascii="Abadi" w:hAnsi="Abadi" w:cs="ArialMT"/>
          <w:sz w:val="21"/>
          <w:szCs w:val="21"/>
          <w:lang w:val="es-MX"/>
        </w:rPr>
        <w:t xml:space="preserve">como </w:t>
      </w:r>
      <w:r w:rsidRPr="00BB78A5">
        <w:rPr>
          <w:rFonts w:ascii="Abadi" w:hAnsi="Abadi" w:cs="ArialMT"/>
          <w:i/>
          <w:iCs/>
          <w:sz w:val="21"/>
          <w:szCs w:val="21"/>
          <w:lang w:val="es-MX"/>
        </w:rPr>
        <w:t xml:space="preserve">de las niñas y </w:t>
      </w:r>
      <w:r w:rsidR="004E2240" w:rsidRPr="00BB78A5">
        <w:rPr>
          <w:rFonts w:ascii="Abadi" w:hAnsi="Abadi" w:cs="ArialMT"/>
          <w:i/>
          <w:iCs/>
          <w:sz w:val="21"/>
          <w:szCs w:val="21"/>
          <w:lang w:val="es-MX"/>
        </w:rPr>
        <w:t xml:space="preserve">niños, </w:t>
      </w:r>
      <w:r w:rsidR="004E2240">
        <w:rPr>
          <w:rFonts w:ascii="Abadi" w:hAnsi="Abadi" w:cs="ArialMT"/>
          <w:i/>
          <w:iCs/>
          <w:sz w:val="21"/>
          <w:szCs w:val="21"/>
          <w:lang w:val="es-MX"/>
        </w:rPr>
        <w:t>y</w:t>
      </w:r>
      <w:r w:rsidR="00781202">
        <w:rPr>
          <w:rFonts w:ascii="Abadi" w:hAnsi="Abadi" w:cs="ArialMT"/>
          <w:i/>
          <w:iCs/>
          <w:sz w:val="21"/>
          <w:szCs w:val="21"/>
          <w:lang w:val="es-MX"/>
        </w:rPr>
        <w:t xml:space="preserve"> </w:t>
      </w:r>
      <w:r w:rsidRPr="00BB78A5">
        <w:rPr>
          <w:rFonts w:ascii="Abadi" w:hAnsi="Abadi" w:cs="ArialMT"/>
          <w:i/>
          <w:iCs/>
          <w:sz w:val="21"/>
          <w:szCs w:val="21"/>
          <w:lang w:val="es-MX"/>
        </w:rPr>
        <w:t xml:space="preserve">simplemente dejamos de avanzar¡¡ y los recursos y acciones que se pudieron haber emprendido </w:t>
      </w:r>
      <w:r w:rsidRPr="00BB78A5">
        <w:rPr>
          <w:rFonts w:ascii="Abadi" w:hAnsi="Abadi" w:cs="ArialMT"/>
          <w:b/>
          <w:bCs/>
          <w:i/>
          <w:iCs/>
          <w:sz w:val="21"/>
          <w:szCs w:val="21"/>
          <w:lang w:val="es-MX"/>
        </w:rPr>
        <w:t xml:space="preserve">no existieron. </w:t>
      </w:r>
      <w:r w:rsidRPr="00BB78A5">
        <w:rPr>
          <w:rFonts w:ascii="Abadi" w:hAnsi="Abadi" w:cs="ArialMT"/>
          <w:i/>
          <w:iCs/>
          <w:sz w:val="21"/>
          <w:szCs w:val="21"/>
          <w:lang w:val="es-MX"/>
        </w:rPr>
        <w:t>Lo que es real, es que existen funcionarios públicos responsables del incumplimiento de las obligaciones contenidas en los artículos transitorios, que provocaron por más de un año el estancamiento y esto no puede quedarse así.</w:t>
      </w:r>
    </w:p>
    <w:p w14:paraId="46A2CE0A" w14:textId="77777777" w:rsidR="00FF5797" w:rsidRPr="00BB78A5" w:rsidRDefault="00FF5797" w:rsidP="00B21272">
      <w:pPr>
        <w:autoSpaceDE w:val="0"/>
        <w:autoSpaceDN w:val="0"/>
        <w:adjustRightInd w:val="0"/>
        <w:jc w:val="both"/>
        <w:rPr>
          <w:rFonts w:ascii="Abadi" w:hAnsi="Abadi" w:cs="ArialMT"/>
          <w:i/>
          <w:iCs/>
          <w:sz w:val="21"/>
          <w:szCs w:val="21"/>
          <w:lang w:val="es-MX"/>
        </w:rPr>
      </w:pPr>
    </w:p>
    <w:p w14:paraId="1E7F9D91" w14:textId="6EC73709"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 xml:space="preserve">Al final no debemos dejar de mencionar las consecuencias que genera la lentitud de algunos funcionarios y por los cuales las acciones no se concretan oportunamente y lo vemos a diario en los artículos y notas periodísticas, </w:t>
      </w:r>
      <w:r w:rsidRPr="00BB78A5">
        <w:rPr>
          <w:rFonts w:ascii="Abadi" w:hAnsi="Abadi" w:cs="ArialMT"/>
          <w:sz w:val="21"/>
          <w:szCs w:val="21"/>
          <w:lang w:val="es-MX"/>
        </w:rPr>
        <w:t xml:space="preserve">como </w:t>
      </w:r>
      <w:r w:rsidRPr="00BB78A5">
        <w:rPr>
          <w:rFonts w:ascii="Abadi" w:hAnsi="Abadi" w:cs="ArialMT"/>
          <w:i/>
          <w:iCs/>
          <w:sz w:val="21"/>
          <w:szCs w:val="21"/>
          <w:lang w:val="es-MX"/>
        </w:rPr>
        <w:t xml:space="preserve">es el informe 2018 de la organización </w:t>
      </w:r>
      <w:r w:rsidRPr="00BB78A5">
        <w:rPr>
          <w:rFonts w:ascii="Abadi" w:hAnsi="Abadi" w:cs="ArialMT"/>
          <w:b/>
          <w:bCs/>
          <w:i/>
          <w:iCs/>
          <w:sz w:val="21"/>
          <w:szCs w:val="21"/>
          <w:lang w:val="es-MX"/>
        </w:rPr>
        <w:t>"artículo 19 ante el silencio</w:t>
      </w:r>
      <w:r w:rsidRPr="00BB78A5">
        <w:rPr>
          <w:rFonts w:ascii="Abadi" w:hAnsi="Abadi" w:cs="ArialMT"/>
          <w:b/>
          <w:bCs/>
          <w:i/>
          <w:iCs/>
          <w:sz w:val="21"/>
          <w:szCs w:val="21"/>
          <w:vertAlign w:val="subscript"/>
          <w:lang w:val="es-MX"/>
        </w:rPr>
        <w:t>,</w:t>
      </w:r>
      <w:r w:rsidRPr="00BB78A5">
        <w:rPr>
          <w:rFonts w:ascii="Abadi" w:hAnsi="Abadi" w:cs="ArialMT"/>
          <w:b/>
          <w:bCs/>
          <w:i/>
          <w:iCs/>
          <w:sz w:val="21"/>
          <w:szCs w:val="21"/>
          <w:lang w:val="es-MX"/>
        </w:rPr>
        <w:t xml:space="preserve"> ni borrón</w:t>
      </w:r>
      <w:r w:rsidRPr="00BB78A5">
        <w:rPr>
          <w:rFonts w:ascii="Abadi" w:hAnsi="Abadi" w:cs="ArialMT"/>
          <w:b/>
          <w:bCs/>
          <w:i/>
          <w:iCs/>
          <w:sz w:val="21"/>
          <w:szCs w:val="21"/>
          <w:vertAlign w:val="subscript"/>
          <w:lang w:val="es-MX"/>
        </w:rPr>
        <w:t>,</w:t>
      </w:r>
      <w:r w:rsidRPr="00BB78A5">
        <w:rPr>
          <w:rFonts w:ascii="Abadi" w:hAnsi="Abadi" w:cs="ArialMT"/>
          <w:b/>
          <w:bCs/>
          <w:i/>
          <w:iCs/>
          <w:sz w:val="21"/>
          <w:szCs w:val="21"/>
          <w:lang w:val="es-MX"/>
        </w:rPr>
        <w:t xml:space="preserve"> ni cuenta nueva", </w:t>
      </w:r>
      <w:r w:rsidRPr="00BB78A5">
        <w:rPr>
          <w:rFonts w:ascii="Abadi" w:hAnsi="Abadi" w:cs="ArialMT"/>
          <w:i/>
          <w:iCs/>
          <w:sz w:val="21"/>
          <w:szCs w:val="21"/>
          <w:lang w:val="es-MX"/>
        </w:rPr>
        <w:t>en el que se manifiesta que en Guanajuato se registraron 25 agresiones a periodistas durante el 2018, consistentes en amenazas, ataques físicos y bloqueo de información, lo que implicó un aumento del 47% con relación al 2017.</w:t>
      </w:r>
    </w:p>
    <w:p w14:paraId="6B975991" w14:textId="77777777" w:rsidR="00FF5797" w:rsidRPr="00BB78A5" w:rsidRDefault="00FF5797" w:rsidP="00B21272">
      <w:pPr>
        <w:autoSpaceDE w:val="0"/>
        <w:autoSpaceDN w:val="0"/>
        <w:adjustRightInd w:val="0"/>
        <w:jc w:val="both"/>
        <w:rPr>
          <w:rFonts w:ascii="Abadi" w:hAnsi="Abadi" w:cs="ArialMT"/>
          <w:i/>
          <w:iCs/>
          <w:sz w:val="21"/>
          <w:szCs w:val="21"/>
          <w:lang w:val="es-MX"/>
        </w:rPr>
      </w:pPr>
    </w:p>
    <w:p w14:paraId="20CC8F21" w14:textId="2853EEE9"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Como el hecho de que del año 2012 al 2018 fueron asesinados 400 menores de edad en nuestro estado, de los cuales el 83.75 por ciento de los homicidios se cometieron con armas de fuego y cuchillos; el 10.40 por ciento, fueron a golpes; el 3.55 por ciento, fueron asfixiados y en el 2.30 por ciento se usó otro tipo de medios, según datos que fueron proporcionados por la Fiscalía General del Estado a través de una solicitud de acceso a la información que formulo un medio de comunicación.</w:t>
      </w:r>
    </w:p>
    <w:p w14:paraId="37013564" w14:textId="77777777" w:rsidR="00FF5797" w:rsidRPr="00BB78A5" w:rsidRDefault="00FF5797" w:rsidP="00B21272">
      <w:pPr>
        <w:autoSpaceDE w:val="0"/>
        <w:autoSpaceDN w:val="0"/>
        <w:adjustRightInd w:val="0"/>
        <w:jc w:val="both"/>
        <w:rPr>
          <w:rFonts w:ascii="Abadi" w:hAnsi="Abadi" w:cs="ArialMT"/>
          <w:i/>
          <w:iCs/>
          <w:sz w:val="21"/>
          <w:szCs w:val="21"/>
          <w:lang w:val="es-MX"/>
        </w:rPr>
      </w:pPr>
    </w:p>
    <w:p w14:paraId="629BBB74" w14:textId="1FBB0D0A" w:rsidR="00B21272"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 xml:space="preserve">La Red por los Derechos de la Infancia en México "REDIM", durante la presentación del estudio </w:t>
      </w:r>
      <w:r w:rsidRPr="00BB78A5">
        <w:rPr>
          <w:rFonts w:ascii="Abadi" w:hAnsi="Abadi" w:cs="ArialMT"/>
          <w:b/>
          <w:bCs/>
          <w:i/>
          <w:iCs/>
          <w:sz w:val="21"/>
          <w:szCs w:val="21"/>
          <w:lang w:val="es-MX"/>
        </w:rPr>
        <w:t>"Niñez en crisis: altos niveles de incidencia delictiva y violencia contra niños</w:t>
      </w:r>
      <w:r w:rsidRPr="00BB78A5">
        <w:rPr>
          <w:rFonts w:ascii="Abadi" w:hAnsi="Abadi" w:cs="ArialMT"/>
          <w:b/>
          <w:bCs/>
          <w:i/>
          <w:iCs/>
          <w:sz w:val="21"/>
          <w:szCs w:val="21"/>
          <w:vertAlign w:val="subscript"/>
          <w:lang w:val="es-MX"/>
        </w:rPr>
        <w:t>,</w:t>
      </w:r>
      <w:r w:rsidRPr="00BB78A5">
        <w:rPr>
          <w:rFonts w:ascii="Abadi" w:hAnsi="Abadi" w:cs="ArialMT"/>
          <w:b/>
          <w:bCs/>
          <w:i/>
          <w:iCs/>
          <w:sz w:val="21"/>
          <w:szCs w:val="21"/>
          <w:lang w:val="es-MX"/>
        </w:rPr>
        <w:t xml:space="preserve"> niñas y adolescentes en México</w:t>
      </w:r>
      <w:proofErr w:type="gramStart"/>
      <w:r w:rsidRPr="00BB78A5">
        <w:rPr>
          <w:rFonts w:ascii="Abadi" w:hAnsi="Abadi" w:cs="ArialMT"/>
          <w:b/>
          <w:bCs/>
          <w:i/>
          <w:iCs/>
          <w:sz w:val="21"/>
          <w:szCs w:val="21"/>
          <w:lang w:val="es-MX"/>
        </w:rPr>
        <w:t>"</w:t>
      </w:r>
      <w:r w:rsidRPr="00BB78A5">
        <w:rPr>
          <w:rFonts w:ascii="Abadi" w:hAnsi="Abadi" w:cs="ArialMT"/>
          <w:b/>
          <w:bCs/>
          <w:i/>
          <w:iCs/>
          <w:sz w:val="21"/>
          <w:szCs w:val="21"/>
          <w:vertAlign w:val="subscript"/>
          <w:lang w:val="es-MX"/>
        </w:rPr>
        <w:t>,.</w:t>
      </w:r>
      <w:proofErr w:type="gramEnd"/>
      <w:r w:rsidRPr="00BB78A5">
        <w:rPr>
          <w:rFonts w:ascii="Abadi" w:hAnsi="Abadi" w:cs="ArialMT"/>
          <w:b/>
          <w:bCs/>
          <w:i/>
          <w:iCs/>
          <w:sz w:val="21"/>
          <w:szCs w:val="21"/>
          <w:lang w:val="es-MX"/>
        </w:rPr>
        <w:t xml:space="preserve"> </w:t>
      </w:r>
      <w:r w:rsidRPr="00BB78A5">
        <w:rPr>
          <w:rFonts w:ascii="Abadi" w:hAnsi="Abadi" w:cs="ArialMT"/>
          <w:i/>
          <w:iCs/>
          <w:sz w:val="21"/>
          <w:szCs w:val="21"/>
          <w:lang w:val="es-MX"/>
        </w:rPr>
        <w:t>se destaca que el mes más violento en México para la población de O a 17 años fue en junio del año 2018 donde 222 menores de edad murieron de forma violenta y Guanajuato se encuentra entre las primeras 4 entidades del país en donde se acumulan más víctimas de ese sector 2015 y lo que va del 2019.</w:t>
      </w:r>
    </w:p>
    <w:p w14:paraId="65F00B94" w14:textId="77777777" w:rsidR="001E78B8" w:rsidRPr="00BB78A5" w:rsidRDefault="001E78B8" w:rsidP="00B21272">
      <w:pPr>
        <w:autoSpaceDE w:val="0"/>
        <w:autoSpaceDN w:val="0"/>
        <w:adjustRightInd w:val="0"/>
        <w:jc w:val="both"/>
        <w:rPr>
          <w:rFonts w:ascii="Abadi" w:hAnsi="Abadi" w:cs="ArialMT"/>
          <w:i/>
          <w:iCs/>
          <w:sz w:val="21"/>
          <w:szCs w:val="21"/>
          <w:lang w:val="es-MX"/>
        </w:rPr>
      </w:pPr>
    </w:p>
    <w:p w14:paraId="0B734283" w14:textId="446A0183"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Los invito a reflexionar y considerar si de diversas omisiones, podemos concluir lo siguiente:</w:t>
      </w:r>
    </w:p>
    <w:p w14:paraId="31C8E3AB" w14:textId="77777777" w:rsidR="00FF5797" w:rsidRPr="00BB78A5" w:rsidRDefault="00FF5797" w:rsidP="00B21272">
      <w:pPr>
        <w:autoSpaceDE w:val="0"/>
        <w:autoSpaceDN w:val="0"/>
        <w:adjustRightInd w:val="0"/>
        <w:jc w:val="both"/>
        <w:rPr>
          <w:rFonts w:ascii="Abadi" w:hAnsi="Abadi" w:cs="ArialMT"/>
          <w:i/>
          <w:iCs/>
          <w:sz w:val="21"/>
          <w:szCs w:val="21"/>
          <w:lang w:val="es-MX"/>
        </w:rPr>
      </w:pPr>
    </w:p>
    <w:p w14:paraId="5FCB483F" w14:textId="77777777" w:rsidR="00B21272" w:rsidRPr="00BB78A5" w:rsidRDefault="00B21272" w:rsidP="00195AB6">
      <w:pPr>
        <w:numPr>
          <w:ilvl w:val="0"/>
          <w:numId w:val="54"/>
        </w:num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Falta de interés o atención en estos temas por parte del Ejecutivo del Estado;</w:t>
      </w:r>
    </w:p>
    <w:p w14:paraId="149F7C9F" w14:textId="77777777" w:rsidR="00B21272" w:rsidRPr="00BB78A5" w:rsidRDefault="00B21272" w:rsidP="00B21272">
      <w:pPr>
        <w:numPr>
          <w:ilvl w:val="0"/>
          <w:numId w:val="54"/>
        </w:num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Falta de respeto a las personas defensoras de derechos humanos y periodistas;</w:t>
      </w:r>
    </w:p>
    <w:p w14:paraId="457C8A2C" w14:textId="77777777" w:rsidR="00B21272" w:rsidRPr="00BB78A5" w:rsidRDefault="00B21272" w:rsidP="00B21272">
      <w:pPr>
        <w:numPr>
          <w:ilvl w:val="0"/>
          <w:numId w:val="54"/>
        </w:num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Falta de respeto al desarrollo integral infantil;</w:t>
      </w:r>
    </w:p>
    <w:p w14:paraId="55CD8C7B" w14:textId="77777777" w:rsidR="00B21272" w:rsidRPr="00BB78A5" w:rsidRDefault="00B21272" w:rsidP="00B21272">
      <w:pPr>
        <w:numPr>
          <w:ilvl w:val="0"/>
          <w:numId w:val="54"/>
        </w:num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Falta de respeto al Congreso del Estado;</w:t>
      </w:r>
    </w:p>
    <w:p w14:paraId="499323FF" w14:textId="77777777" w:rsidR="00B21272" w:rsidRPr="00BB78A5" w:rsidRDefault="00B21272" w:rsidP="00B21272">
      <w:pPr>
        <w:numPr>
          <w:ilvl w:val="0"/>
          <w:numId w:val="54"/>
        </w:num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Falta de recursos;</w:t>
      </w:r>
    </w:p>
    <w:p w14:paraId="2CD8DB42" w14:textId="02D2F23D" w:rsidR="00B21272" w:rsidRPr="00BB78A5" w:rsidRDefault="00B21272" w:rsidP="00B21272">
      <w:pPr>
        <w:numPr>
          <w:ilvl w:val="0"/>
          <w:numId w:val="54"/>
        </w:num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Falta de Compromiso por parte de los responsables de darle cumplimiento a los artículos transitorios de la ley.</w:t>
      </w:r>
    </w:p>
    <w:p w14:paraId="71A3BCD6" w14:textId="77777777" w:rsidR="00FF5797" w:rsidRPr="00BB78A5" w:rsidRDefault="00FF5797" w:rsidP="00FF5797">
      <w:pPr>
        <w:autoSpaceDE w:val="0"/>
        <w:autoSpaceDN w:val="0"/>
        <w:adjustRightInd w:val="0"/>
        <w:jc w:val="both"/>
        <w:rPr>
          <w:rFonts w:ascii="Abadi" w:hAnsi="Abadi" w:cs="ArialMT"/>
          <w:i/>
          <w:iCs/>
          <w:sz w:val="21"/>
          <w:szCs w:val="21"/>
          <w:lang w:val="es-MX"/>
        </w:rPr>
      </w:pPr>
    </w:p>
    <w:p w14:paraId="166042DA" w14:textId="3190642B"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En fin, podemos enunciar decenas de posibles motivos por los cuales no se da cumplimiento, sin embargo, ante tales OMISIONES o IRREGULARIDADES, es que los suscritos, integrantes del Grupo Parlamentario del Partido Verde Ecologista de México, presentamos  ante esta Asamblea un punto de acuerdo para que la Secretaría de la Transparencia y Rendición de Cuentas, lleve a cabo una investigación, permitiendo, clarificar y transparentar, si el incumplimiento de los artículos transitorios de las citadas leyes, debe ser sancionado y en su caso, se lleven a cabo los procedimientos de responsabilidad administrativa correspondientes.</w:t>
      </w:r>
    </w:p>
    <w:p w14:paraId="0B5F8AEF" w14:textId="77777777" w:rsidR="00FF5797" w:rsidRPr="00BB78A5" w:rsidRDefault="00FF5797" w:rsidP="00B21272">
      <w:pPr>
        <w:autoSpaceDE w:val="0"/>
        <w:autoSpaceDN w:val="0"/>
        <w:adjustRightInd w:val="0"/>
        <w:jc w:val="both"/>
        <w:rPr>
          <w:rFonts w:ascii="Abadi" w:hAnsi="Abadi" w:cs="ArialMT"/>
          <w:i/>
          <w:iCs/>
          <w:sz w:val="21"/>
          <w:szCs w:val="21"/>
          <w:lang w:val="es-MX"/>
        </w:rPr>
      </w:pPr>
    </w:p>
    <w:p w14:paraId="05F170CD" w14:textId="77777777"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Reflexionemos, NO debemos permitir que las leyes emanadas de este Poder Legislativo no sean atendidas por los responsables de su ejecución, pues al final los guanajuatenses son los afectados.</w:t>
      </w:r>
    </w:p>
    <w:p w14:paraId="1A812684" w14:textId="77777777" w:rsidR="00B21272" w:rsidRPr="00BB78A5" w:rsidRDefault="00B21272" w:rsidP="00B21272">
      <w:pPr>
        <w:autoSpaceDE w:val="0"/>
        <w:autoSpaceDN w:val="0"/>
        <w:adjustRightInd w:val="0"/>
        <w:jc w:val="both"/>
        <w:rPr>
          <w:rFonts w:ascii="Abadi" w:hAnsi="Abadi" w:cs="ArialMT"/>
          <w:i/>
          <w:iCs/>
          <w:sz w:val="21"/>
          <w:szCs w:val="21"/>
          <w:lang w:val="es-MX"/>
        </w:rPr>
      </w:pPr>
    </w:p>
    <w:p w14:paraId="67AF58B6" w14:textId="77777777" w:rsidR="00B21272" w:rsidRPr="00BB78A5" w:rsidRDefault="00B21272" w:rsidP="00195AB6">
      <w:pPr>
        <w:autoSpaceDE w:val="0"/>
        <w:autoSpaceDN w:val="0"/>
        <w:adjustRightInd w:val="0"/>
        <w:jc w:val="center"/>
        <w:rPr>
          <w:rFonts w:ascii="Abadi" w:hAnsi="Abadi" w:cs="ArialMT"/>
          <w:i/>
          <w:iCs/>
          <w:sz w:val="21"/>
          <w:szCs w:val="21"/>
          <w:lang w:val="es-MX"/>
        </w:rPr>
      </w:pPr>
      <w:r w:rsidRPr="00BB78A5">
        <w:rPr>
          <w:rFonts w:ascii="Abadi" w:hAnsi="Abadi" w:cs="ArialMT"/>
          <w:b/>
          <w:bCs/>
          <w:sz w:val="21"/>
          <w:szCs w:val="21"/>
          <w:lang w:val="es-MX"/>
        </w:rPr>
        <w:t>Metodología acordada para el estudio y dictamen de la propuesta.</w:t>
      </w:r>
    </w:p>
    <w:p w14:paraId="4CEB3840" w14:textId="77777777" w:rsidR="00B21272" w:rsidRPr="00BB78A5" w:rsidRDefault="00B21272" w:rsidP="00B21272">
      <w:pPr>
        <w:autoSpaceDE w:val="0"/>
        <w:autoSpaceDN w:val="0"/>
        <w:adjustRightInd w:val="0"/>
        <w:jc w:val="both"/>
        <w:rPr>
          <w:rFonts w:ascii="Abadi" w:hAnsi="Abadi" w:cs="ArialMT"/>
          <w:b/>
          <w:bCs/>
          <w:sz w:val="21"/>
          <w:szCs w:val="21"/>
          <w:lang w:val="es-MX"/>
        </w:rPr>
      </w:pPr>
    </w:p>
    <w:p w14:paraId="76D9CBEF" w14:textId="77777777" w:rsidR="00B21272" w:rsidRPr="00BB78A5"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El_8 de agosto de 2019 se acordó por unanimidad la siguiente metodología para el estudio</w:t>
      </w:r>
    </w:p>
    <w:p w14:paraId="1C71841E" w14:textId="77777777" w:rsidR="00B21272" w:rsidRPr="00BB78A5"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y dictamen de la propuesta:</w:t>
      </w:r>
    </w:p>
    <w:p w14:paraId="49E622C7" w14:textId="77777777" w:rsidR="00B21272" w:rsidRPr="00BB78A5" w:rsidRDefault="00B21272" w:rsidP="00B21272">
      <w:pPr>
        <w:autoSpaceDE w:val="0"/>
        <w:autoSpaceDN w:val="0"/>
        <w:adjustRightInd w:val="0"/>
        <w:jc w:val="both"/>
        <w:rPr>
          <w:rFonts w:ascii="Abadi" w:hAnsi="Abadi" w:cs="ArialMT"/>
          <w:sz w:val="21"/>
          <w:szCs w:val="21"/>
          <w:lang w:val="es-MX"/>
        </w:rPr>
      </w:pPr>
    </w:p>
    <w:p w14:paraId="5A7D6662" w14:textId="4A6D1980" w:rsidR="00195AB6" w:rsidRPr="00BB78A5" w:rsidRDefault="00B21272" w:rsidP="0019343A">
      <w:pPr>
        <w:pStyle w:val="Prrafodelista"/>
        <w:numPr>
          <w:ilvl w:val="0"/>
          <w:numId w:val="55"/>
        </w:numPr>
        <w:autoSpaceDE w:val="0"/>
        <w:autoSpaceDN w:val="0"/>
        <w:adjustRightInd w:val="0"/>
        <w:jc w:val="both"/>
        <w:rPr>
          <w:rFonts w:ascii="Abadi" w:hAnsi="Abadi" w:cs="ArialMT"/>
          <w:b/>
          <w:bCs/>
          <w:i/>
          <w:iCs/>
          <w:sz w:val="21"/>
          <w:szCs w:val="21"/>
          <w:lang w:val="es-MX"/>
        </w:rPr>
      </w:pPr>
      <w:r w:rsidRPr="00BB78A5">
        <w:rPr>
          <w:rFonts w:ascii="Abadi" w:hAnsi="Abadi" w:cs="ArialMT"/>
          <w:i/>
          <w:iCs/>
          <w:sz w:val="21"/>
          <w:szCs w:val="21"/>
          <w:lang w:val="es-MX"/>
        </w:rPr>
        <w:t>Subir la propuesta al portal del Congreso del Estado para consulta y participación ciudadana. La cual estará disponible hasta el 30 de agosto de 2019.</w:t>
      </w:r>
    </w:p>
    <w:p w14:paraId="1B983CCC" w14:textId="77777777" w:rsidR="00195AB6" w:rsidRPr="00BB78A5" w:rsidRDefault="00B21272" w:rsidP="0019343A">
      <w:pPr>
        <w:pStyle w:val="Prrafodelista"/>
        <w:numPr>
          <w:ilvl w:val="0"/>
          <w:numId w:val="55"/>
        </w:numPr>
        <w:autoSpaceDE w:val="0"/>
        <w:autoSpaceDN w:val="0"/>
        <w:adjustRightInd w:val="0"/>
        <w:jc w:val="both"/>
        <w:rPr>
          <w:rFonts w:ascii="Abadi" w:hAnsi="Abadi" w:cs="ArialMT"/>
          <w:b/>
          <w:bCs/>
          <w:i/>
          <w:iCs/>
          <w:sz w:val="21"/>
          <w:szCs w:val="21"/>
          <w:lang w:val="es-MX"/>
        </w:rPr>
      </w:pPr>
      <w:r w:rsidRPr="00BB78A5">
        <w:rPr>
          <w:rFonts w:ascii="Abadi" w:hAnsi="Abadi" w:cs="ArialMT"/>
          <w:i/>
          <w:iCs/>
          <w:sz w:val="21"/>
          <w:szCs w:val="21"/>
          <w:lang w:val="es-MX"/>
        </w:rPr>
        <w:t>Solicitar a la Unidad de Seguimiento y Análisis de Impacto Legislativo, realice un estudio sobre el cumplimiento de las obligaciones derivadas de los artículos transitorios de la Ley para la Protección de Personas Defensoras de Derechos Humanos y Periodistas del Estado de Guanajuato y de la Ley para Regular la Prestación de Servicios de Atención, Cuidado y Desarrollo Integral Infantil en el Estado de Guanajuato, y sobre si dichas obligaciones se cumplieron en los plazos establecidos en los artículos transitorios. El cual deberá ser entregado el 30 de agosto de 2019 a esta Comisión, por conducto de la secretaría técnica.</w:t>
      </w:r>
    </w:p>
    <w:p w14:paraId="0099F35B" w14:textId="77777777" w:rsidR="00195AB6" w:rsidRPr="00BB78A5" w:rsidRDefault="00B21272" w:rsidP="0019343A">
      <w:pPr>
        <w:pStyle w:val="Prrafodelista"/>
        <w:numPr>
          <w:ilvl w:val="0"/>
          <w:numId w:val="55"/>
        </w:numPr>
        <w:autoSpaceDE w:val="0"/>
        <w:autoSpaceDN w:val="0"/>
        <w:adjustRightInd w:val="0"/>
        <w:jc w:val="both"/>
        <w:rPr>
          <w:rFonts w:ascii="Abadi" w:hAnsi="Abadi" w:cs="ArialMT"/>
          <w:b/>
          <w:bCs/>
          <w:i/>
          <w:iCs/>
          <w:sz w:val="21"/>
          <w:szCs w:val="21"/>
          <w:lang w:val="es-MX"/>
        </w:rPr>
      </w:pPr>
      <w:r w:rsidRPr="00BB78A5">
        <w:rPr>
          <w:rFonts w:ascii="Abadi" w:hAnsi="Abadi" w:cs="ArialMT"/>
          <w:i/>
          <w:iCs/>
          <w:sz w:val="21"/>
          <w:szCs w:val="21"/>
          <w:lang w:val="es-MX"/>
        </w:rPr>
        <w:t>Reunión de los asesores de la Comisión y la secretaría técnica para analizar la propuesta y los comentarios que en su caso se formulen.</w:t>
      </w:r>
    </w:p>
    <w:p w14:paraId="71AEF826" w14:textId="77777777" w:rsidR="00195AB6" w:rsidRPr="00BB78A5" w:rsidRDefault="00B21272" w:rsidP="0019343A">
      <w:pPr>
        <w:pStyle w:val="Prrafodelista"/>
        <w:numPr>
          <w:ilvl w:val="0"/>
          <w:numId w:val="55"/>
        </w:numPr>
        <w:autoSpaceDE w:val="0"/>
        <w:autoSpaceDN w:val="0"/>
        <w:adjustRightInd w:val="0"/>
        <w:jc w:val="both"/>
        <w:rPr>
          <w:rFonts w:ascii="Abadi" w:hAnsi="Abadi" w:cs="ArialMT"/>
          <w:b/>
          <w:bCs/>
          <w:i/>
          <w:iCs/>
          <w:sz w:val="21"/>
          <w:szCs w:val="21"/>
          <w:lang w:val="es-MX"/>
        </w:rPr>
      </w:pPr>
      <w:r w:rsidRPr="00BB78A5">
        <w:rPr>
          <w:rFonts w:ascii="Abadi" w:hAnsi="Abadi" w:cs="ArialMT"/>
          <w:i/>
          <w:iCs/>
          <w:sz w:val="21"/>
          <w:szCs w:val="21"/>
          <w:lang w:val="es-MX"/>
        </w:rPr>
        <w:t>Reunión de la Comisión para análisis y acuerdos para la elaboración del dictamen.</w:t>
      </w:r>
    </w:p>
    <w:p w14:paraId="2DAF705F" w14:textId="7D1D8CC9" w:rsidR="00B21272" w:rsidRPr="00BB78A5" w:rsidRDefault="00B21272" w:rsidP="0019343A">
      <w:pPr>
        <w:pStyle w:val="Prrafodelista"/>
        <w:numPr>
          <w:ilvl w:val="0"/>
          <w:numId w:val="55"/>
        </w:numPr>
        <w:autoSpaceDE w:val="0"/>
        <w:autoSpaceDN w:val="0"/>
        <w:adjustRightInd w:val="0"/>
        <w:jc w:val="both"/>
        <w:rPr>
          <w:rFonts w:ascii="Abadi" w:hAnsi="Abadi" w:cs="ArialMT"/>
          <w:b/>
          <w:bCs/>
          <w:i/>
          <w:iCs/>
          <w:sz w:val="21"/>
          <w:szCs w:val="21"/>
          <w:lang w:val="es-MX"/>
        </w:rPr>
      </w:pPr>
      <w:r w:rsidRPr="00BB78A5">
        <w:rPr>
          <w:rFonts w:ascii="Abadi" w:hAnsi="Abadi" w:cs="ArialMT"/>
          <w:i/>
          <w:iCs/>
          <w:sz w:val="21"/>
          <w:szCs w:val="21"/>
          <w:lang w:val="es-MX"/>
        </w:rPr>
        <w:t>Reunión de la Comisión para la discusión y, en su caso, aprobación del dictamen.</w:t>
      </w:r>
    </w:p>
    <w:p w14:paraId="3E76C035" w14:textId="77777777" w:rsidR="00B21272" w:rsidRPr="00BB78A5" w:rsidRDefault="00B21272" w:rsidP="00B21272">
      <w:pPr>
        <w:autoSpaceDE w:val="0"/>
        <w:autoSpaceDN w:val="0"/>
        <w:adjustRightInd w:val="0"/>
        <w:jc w:val="both"/>
        <w:rPr>
          <w:rFonts w:ascii="Abadi" w:hAnsi="Abadi" w:cs="ArialMT"/>
          <w:i/>
          <w:iCs/>
          <w:sz w:val="21"/>
          <w:szCs w:val="21"/>
          <w:lang w:val="es-MX"/>
        </w:rPr>
      </w:pPr>
    </w:p>
    <w:p w14:paraId="6CB886F8" w14:textId="77777777" w:rsidR="00B21272" w:rsidRPr="00BB78A5" w:rsidRDefault="00B21272" w:rsidP="00B21272">
      <w:pPr>
        <w:autoSpaceDE w:val="0"/>
        <w:autoSpaceDN w:val="0"/>
        <w:adjustRightInd w:val="0"/>
        <w:jc w:val="both"/>
        <w:rPr>
          <w:rFonts w:ascii="Abadi" w:hAnsi="Abadi" w:cs="ArialMT"/>
          <w:i/>
          <w:iCs/>
          <w:sz w:val="21"/>
          <w:szCs w:val="21"/>
          <w:lang w:val="es-MX"/>
        </w:rPr>
      </w:pPr>
    </w:p>
    <w:p w14:paraId="7E1ED080" w14:textId="77777777" w:rsidR="00B21272" w:rsidRPr="00BB78A5" w:rsidRDefault="00B21272" w:rsidP="00B21272">
      <w:pPr>
        <w:autoSpaceDE w:val="0"/>
        <w:autoSpaceDN w:val="0"/>
        <w:adjustRightInd w:val="0"/>
        <w:jc w:val="both"/>
        <w:rPr>
          <w:rFonts w:ascii="Abadi" w:hAnsi="Abadi" w:cs="ArialMT"/>
          <w:b/>
          <w:bCs/>
          <w:sz w:val="21"/>
          <w:szCs w:val="21"/>
          <w:lang w:val="es-MX"/>
        </w:rPr>
      </w:pPr>
      <w:r w:rsidRPr="00BB78A5">
        <w:rPr>
          <w:rFonts w:ascii="Abadi" w:hAnsi="Abadi" w:cs="ArialMT"/>
          <w:b/>
          <w:bCs/>
          <w:sz w:val="21"/>
          <w:szCs w:val="21"/>
          <w:lang w:val="es-MX"/>
        </w:rPr>
        <w:t>Cumplimiento de las acciones acordadas para el estudio y dictamen de la propuesta.</w:t>
      </w:r>
    </w:p>
    <w:p w14:paraId="7F31BACD" w14:textId="77777777" w:rsidR="00B21272" w:rsidRPr="00BB78A5" w:rsidRDefault="00B21272" w:rsidP="00B21272">
      <w:pPr>
        <w:autoSpaceDE w:val="0"/>
        <w:autoSpaceDN w:val="0"/>
        <w:adjustRightInd w:val="0"/>
        <w:jc w:val="both"/>
        <w:rPr>
          <w:rFonts w:ascii="Abadi" w:hAnsi="Abadi" w:cs="ArialMT"/>
          <w:sz w:val="21"/>
          <w:szCs w:val="21"/>
          <w:lang w:val="es-MX"/>
        </w:rPr>
      </w:pPr>
    </w:p>
    <w:p w14:paraId="31D857DD" w14:textId="77777777" w:rsidR="00B21272" w:rsidRPr="00BB78A5" w:rsidRDefault="00B21272" w:rsidP="00195AB6">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En el marco de la promoción de la participación e inclusión ciudadana en el proceso legislativo se creó un micro sitio en la página del Congreso, invitando a enviar comentarios a la propuesta de punto de acuerdo. No se recibieron comentarios.</w:t>
      </w:r>
    </w:p>
    <w:p w14:paraId="53AF89D5" w14:textId="77777777" w:rsidR="00B21272" w:rsidRPr="00BB78A5" w:rsidRDefault="00B21272" w:rsidP="00B21272">
      <w:pPr>
        <w:autoSpaceDE w:val="0"/>
        <w:autoSpaceDN w:val="0"/>
        <w:adjustRightInd w:val="0"/>
        <w:jc w:val="both"/>
        <w:rPr>
          <w:rFonts w:ascii="Abadi" w:hAnsi="Abadi" w:cs="ArialMT"/>
          <w:sz w:val="21"/>
          <w:szCs w:val="21"/>
          <w:lang w:val="es-MX"/>
        </w:rPr>
      </w:pPr>
    </w:p>
    <w:p w14:paraId="10479456" w14:textId="77777777" w:rsidR="00B21272" w:rsidRPr="00BB78A5" w:rsidRDefault="00B21272" w:rsidP="00195AB6">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En atención a la petición de la Comisión, la Unidad de Seguimiento y Análisis de Impacto Legislativo de este Congreso remitió el estudio sobre el cumplimiento de las obligaciones derivadas de los artículos transitorios de los ordenamientos materia de la propuesta que se dictamina.</w:t>
      </w:r>
    </w:p>
    <w:p w14:paraId="1B84EEFC" w14:textId="77777777" w:rsidR="00195AB6" w:rsidRPr="00BB78A5" w:rsidRDefault="00195AB6" w:rsidP="00195AB6">
      <w:pPr>
        <w:autoSpaceDE w:val="0"/>
        <w:autoSpaceDN w:val="0"/>
        <w:adjustRightInd w:val="0"/>
        <w:ind w:firstLine="708"/>
        <w:jc w:val="both"/>
        <w:rPr>
          <w:rFonts w:ascii="Abadi" w:hAnsi="Abadi" w:cs="ArialMT"/>
          <w:sz w:val="21"/>
          <w:szCs w:val="21"/>
          <w:lang w:val="es-MX"/>
        </w:rPr>
      </w:pPr>
    </w:p>
    <w:p w14:paraId="2512668F" w14:textId="52838B54" w:rsidR="00B21272" w:rsidRPr="00BB78A5" w:rsidRDefault="00B21272" w:rsidP="00195AB6">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En el proceso de dictaminación, se celebró una mesa de trabajo el 18 de octubre de</w:t>
      </w:r>
    </w:p>
    <w:p w14:paraId="4DF54215" w14:textId="77777777" w:rsidR="00B21272" w:rsidRPr="00BB78A5"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2019.</w:t>
      </w:r>
    </w:p>
    <w:p w14:paraId="54F4FA11" w14:textId="77777777" w:rsidR="00B21272" w:rsidRPr="00BB78A5" w:rsidRDefault="00B21272" w:rsidP="00B21272">
      <w:pPr>
        <w:autoSpaceDE w:val="0"/>
        <w:autoSpaceDN w:val="0"/>
        <w:adjustRightInd w:val="0"/>
        <w:jc w:val="both"/>
        <w:rPr>
          <w:rFonts w:ascii="Abadi" w:hAnsi="Abadi" w:cs="ArialMT"/>
          <w:sz w:val="21"/>
          <w:szCs w:val="21"/>
          <w:lang w:val="es-MX"/>
        </w:rPr>
      </w:pPr>
    </w:p>
    <w:p w14:paraId="552A413B" w14:textId="77777777" w:rsidR="00B21272" w:rsidRPr="00BB78A5" w:rsidRDefault="00B21272" w:rsidP="00195AB6">
      <w:pPr>
        <w:autoSpaceDE w:val="0"/>
        <w:autoSpaceDN w:val="0"/>
        <w:adjustRightInd w:val="0"/>
        <w:jc w:val="both"/>
        <w:rPr>
          <w:rFonts w:ascii="Abadi" w:hAnsi="Abadi" w:cs="ArialMT"/>
          <w:sz w:val="21"/>
          <w:szCs w:val="21"/>
          <w:lang w:val="es-MX"/>
        </w:rPr>
      </w:pPr>
      <w:r w:rsidRPr="00BB78A5">
        <w:rPr>
          <w:rFonts w:ascii="Abadi" w:hAnsi="Abadi" w:cs="ArialMT"/>
          <w:b/>
          <w:bCs/>
          <w:sz w:val="21"/>
          <w:szCs w:val="21"/>
          <w:lang w:val="es-MX"/>
        </w:rPr>
        <w:t>CONSIDERACIONES DE LA COMISIÓN.</w:t>
      </w:r>
    </w:p>
    <w:p w14:paraId="51155338" w14:textId="77777777" w:rsidR="00B21272" w:rsidRPr="00BB78A5" w:rsidRDefault="00B21272" w:rsidP="00B21272">
      <w:pPr>
        <w:autoSpaceDE w:val="0"/>
        <w:autoSpaceDN w:val="0"/>
        <w:adjustRightInd w:val="0"/>
        <w:jc w:val="both"/>
        <w:rPr>
          <w:rFonts w:ascii="Abadi" w:hAnsi="Abadi" w:cs="ArialMT"/>
          <w:b/>
          <w:bCs/>
          <w:sz w:val="21"/>
          <w:szCs w:val="21"/>
          <w:lang w:val="es-MX"/>
        </w:rPr>
      </w:pPr>
    </w:p>
    <w:p w14:paraId="3A265C91" w14:textId="77777777" w:rsidR="00B21272" w:rsidRPr="00BB78A5" w:rsidRDefault="00B21272" w:rsidP="00822FFE">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En reunión de la Comisión celebrada el 6 de abril de 2022 se acordó por unanimidad dictaminar en sentido negativo la propuesta de punto de acuerdo.</w:t>
      </w:r>
    </w:p>
    <w:p w14:paraId="6CB9FC9E" w14:textId="77777777" w:rsidR="00B21272" w:rsidRPr="00BB78A5" w:rsidRDefault="00B21272" w:rsidP="00B21272">
      <w:pPr>
        <w:autoSpaceDE w:val="0"/>
        <w:autoSpaceDN w:val="0"/>
        <w:adjustRightInd w:val="0"/>
        <w:jc w:val="both"/>
        <w:rPr>
          <w:rFonts w:ascii="Abadi" w:hAnsi="Abadi" w:cs="ArialMT"/>
          <w:sz w:val="21"/>
          <w:szCs w:val="21"/>
          <w:lang w:val="es-MX"/>
        </w:rPr>
      </w:pPr>
    </w:p>
    <w:p w14:paraId="361D205A" w14:textId="77777777" w:rsidR="00B21272" w:rsidRPr="00BB78A5" w:rsidRDefault="00B21272" w:rsidP="00822FFE">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 xml:space="preserve">Esta comisión legislativa tiene competencia para el conocimiento y dictamen de aquellos asuntos </w:t>
      </w:r>
      <w:r w:rsidRPr="00BB78A5">
        <w:rPr>
          <w:rFonts w:ascii="Abadi" w:hAnsi="Abadi" w:cs="ArialMT"/>
          <w:i/>
          <w:iCs/>
          <w:sz w:val="21"/>
          <w:szCs w:val="21"/>
          <w:lang w:val="es-MX"/>
        </w:rPr>
        <w:t xml:space="preserve">que a juicio de la Presidencia del Congreso del Estado, sean materia de tratamiento por esta Comisión. </w:t>
      </w:r>
      <w:r w:rsidRPr="00BB78A5">
        <w:rPr>
          <w:rFonts w:ascii="Abadi" w:hAnsi="Abadi" w:cs="ArialMT"/>
          <w:sz w:val="21"/>
          <w:szCs w:val="21"/>
          <w:lang w:val="es-MX"/>
        </w:rPr>
        <w:t>Y con base en esta atribución es que la presidencia de la mesa directiva turnó la propuesta que nos ocupa.</w:t>
      </w:r>
    </w:p>
    <w:p w14:paraId="166EE65A" w14:textId="77777777" w:rsidR="00B21272" w:rsidRPr="00BB78A5" w:rsidRDefault="00B21272" w:rsidP="00B21272">
      <w:pPr>
        <w:autoSpaceDE w:val="0"/>
        <w:autoSpaceDN w:val="0"/>
        <w:adjustRightInd w:val="0"/>
        <w:jc w:val="both"/>
        <w:rPr>
          <w:rFonts w:ascii="Abadi" w:hAnsi="Abadi" w:cs="ArialMT"/>
          <w:sz w:val="21"/>
          <w:szCs w:val="21"/>
          <w:lang w:val="es-MX"/>
        </w:rPr>
      </w:pPr>
    </w:p>
    <w:p w14:paraId="3787D360" w14:textId="77777777" w:rsidR="00B21272" w:rsidRPr="00BB78A5" w:rsidRDefault="00B21272" w:rsidP="00822FFE">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Los artículos segundo y tercero transitorios de la Ley para la Protección de Personas Defensoras de Derechos Humanos y Periodistas del Estado de Guanajuato disponen textualmente</w:t>
      </w:r>
    </w:p>
    <w:p w14:paraId="70C4EB0E" w14:textId="77777777" w:rsidR="00B21272" w:rsidRPr="00BB78A5"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que:</w:t>
      </w:r>
    </w:p>
    <w:p w14:paraId="4D7A687A" w14:textId="77777777" w:rsidR="00B21272" w:rsidRPr="00BB78A5" w:rsidRDefault="00B21272" w:rsidP="00B21272">
      <w:pPr>
        <w:autoSpaceDE w:val="0"/>
        <w:autoSpaceDN w:val="0"/>
        <w:adjustRightInd w:val="0"/>
        <w:jc w:val="both"/>
        <w:rPr>
          <w:rFonts w:ascii="Abadi" w:hAnsi="Abadi" w:cs="ArialMT"/>
          <w:sz w:val="21"/>
          <w:szCs w:val="21"/>
          <w:lang w:val="es-MX"/>
        </w:rPr>
      </w:pPr>
    </w:p>
    <w:p w14:paraId="3231C81C" w14:textId="77777777" w:rsidR="004F362D" w:rsidRPr="00BB78A5" w:rsidRDefault="00B21272" w:rsidP="004F362D">
      <w:pPr>
        <w:autoSpaceDE w:val="0"/>
        <w:autoSpaceDN w:val="0"/>
        <w:adjustRightInd w:val="0"/>
        <w:jc w:val="right"/>
        <w:rPr>
          <w:rFonts w:ascii="Abadi" w:hAnsi="Abadi" w:cs="ArialMT"/>
          <w:i/>
          <w:iCs/>
          <w:sz w:val="21"/>
          <w:szCs w:val="21"/>
          <w:lang w:val="es-MX"/>
        </w:rPr>
      </w:pPr>
      <w:r w:rsidRPr="00BB78A5">
        <w:rPr>
          <w:rFonts w:ascii="Abadi" w:hAnsi="Abadi" w:cs="ArialMT"/>
          <w:i/>
          <w:iCs/>
          <w:sz w:val="21"/>
          <w:szCs w:val="21"/>
          <w:lang w:val="es-MX"/>
        </w:rPr>
        <w:t xml:space="preserve">Plazo para emitir el reglamento de la Ley </w:t>
      </w:r>
    </w:p>
    <w:p w14:paraId="62F85A0B" w14:textId="62AD6CBF" w:rsidR="00B21272" w:rsidRPr="00BB78A5" w:rsidRDefault="00B21272" w:rsidP="004F362D">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Artículo</w:t>
      </w:r>
      <w:r w:rsidR="004F362D" w:rsidRPr="00BB78A5">
        <w:rPr>
          <w:rFonts w:ascii="Abadi" w:hAnsi="Abadi" w:cs="ArialMT"/>
          <w:i/>
          <w:iCs/>
          <w:sz w:val="21"/>
          <w:szCs w:val="21"/>
          <w:lang w:val="es-MX"/>
        </w:rPr>
        <w:t xml:space="preserve"> </w:t>
      </w:r>
      <w:r w:rsidRPr="00BB78A5">
        <w:rPr>
          <w:rFonts w:ascii="Abadi" w:hAnsi="Abadi" w:cs="ArialMT"/>
          <w:i/>
          <w:iCs/>
          <w:sz w:val="21"/>
          <w:szCs w:val="21"/>
          <w:lang w:val="es-MX"/>
        </w:rPr>
        <w:t>Segundo. El titular del Poder Ejecutivo del Estado, dispondrá de ciento ochenta días naturales contados a partir de la entrada en vigor del presente Decreto, para emitir el reglamento de la Ley.</w:t>
      </w:r>
    </w:p>
    <w:p w14:paraId="504EA046" w14:textId="77777777" w:rsidR="004F362D" w:rsidRPr="00BB78A5" w:rsidRDefault="004F362D" w:rsidP="004F362D">
      <w:pPr>
        <w:autoSpaceDE w:val="0"/>
        <w:autoSpaceDN w:val="0"/>
        <w:adjustRightInd w:val="0"/>
        <w:jc w:val="both"/>
        <w:rPr>
          <w:rFonts w:ascii="Abadi" w:hAnsi="Abadi" w:cs="ArialMT"/>
          <w:i/>
          <w:iCs/>
          <w:sz w:val="21"/>
          <w:szCs w:val="21"/>
          <w:lang w:val="es-MX"/>
        </w:rPr>
      </w:pPr>
    </w:p>
    <w:p w14:paraId="6CA34A69" w14:textId="0B8033C4" w:rsidR="00B21272" w:rsidRPr="00BB78A5" w:rsidRDefault="00B21272" w:rsidP="004F362D">
      <w:pPr>
        <w:autoSpaceDE w:val="0"/>
        <w:autoSpaceDN w:val="0"/>
        <w:adjustRightInd w:val="0"/>
        <w:jc w:val="right"/>
        <w:rPr>
          <w:rFonts w:ascii="Abadi" w:hAnsi="Abadi" w:cs="ArialMT"/>
          <w:i/>
          <w:iCs/>
          <w:sz w:val="21"/>
          <w:szCs w:val="21"/>
          <w:lang w:val="es-MX"/>
        </w:rPr>
      </w:pPr>
      <w:r w:rsidRPr="00BB78A5">
        <w:rPr>
          <w:rFonts w:ascii="Abadi" w:hAnsi="Abadi" w:cs="ArialMT"/>
          <w:i/>
          <w:iCs/>
          <w:sz w:val="21"/>
          <w:szCs w:val="21"/>
          <w:lang w:val="es-MX"/>
        </w:rPr>
        <w:t>Plazo para instalar el Consejo Estatal</w:t>
      </w:r>
    </w:p>
    <w:p w14:paraId="4F6A85FF" w14:textId="77777777" w:rsidR="00B21272" w:rsidRPr="00BB78A5" w:rsidRDefault="00B21272" w:rsidP="00B21272">
      <w:pPr>
        <w:autoSpaceDE w:val="0"/>
        <w:autoSpaceDN w:val="0"/>
        <w:adjustRightInd w:val="0"/>
        <w:jc w:val="both"/>
        <w:rPr>
          <w:rFonts w:ascii="Abadi" w:hAnsi="Abadi" w:cs="ArialMT"/>
          <w:i/>
          <w:iCs/>
          <w:sz w:val="21"/>
          <w:szCs w:val="21"/>
          <w:lang w:val="es-MX"/>
        </w:rPr>
      </w:pPr>
      <w:r w:rsidRPr="00BB78A5">
        <w:rPr>
          <w:rFonts w:ascii="Abadi" w:hAnsi="Abadi" w:cs="ArialMT"/>
          <w:i/>
          <w:iCs/>
          <w:sz w:val="21"/>
          <w:szCs w:val="21"/>
          <w:lang w:val="es-MX"/>
        </w:rPr>
        <w:t>Artículo Tercero. El Consejo Estatal deberá instalarse dentro de los treinta días naturales posteriores a la entrada en vigor del reglamento de la presente Ley.</w:t>
      </w:r>
    </w:p>
    <w:p w14:paraId="44A3582F" w14:textId="77777777" w:rsidR="00B21272" w:rsidRPr="00BB78A5" w:rsidRDefault="00B21272" w:rsidP="00B21272">
      <w:pPr>
        <w:autoSpaceDE w:val="0"/>
        <w:autoSpaceDN w:val="0"/>
        <w:adjustRightInd w:val="0"/>
        <w:jc w:val="both"/>
        <w:rPr>
          <w:rFonts w:ascii="Abadi" w:hAnsi="Abadi" w:cs="ArialMT"/>
          <w:i/>
          <w:iCs/>
          <w:sz w:val="21"/>
          <w:szCs w:val="21"/>
          <w:lang w:val="es-MX"/>
        </w:rPr>
      </w:pPr>
    </w:p>
    <w:p w14:paraId="497AE707" w14:textId="77777777" w:rsidR="00B21272" w:rsidRPr="00BB78A5" w:rsidRDefault="00B21272" w:rsidP="004F362D">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El Reglamento de la Ley para la Protección de Personas Defensoras de Derechos Humanos y Periodistas del Estado de Guanajuato fue expedido mediante Decreto Gubernativo número 16, publicado en el Periódico Oficial del Gobierno del Estado de Guanajuato número 50, segunda parte, de fecha 11 de marzo de 2019.</w:t>
      </w:r>
    </w:p>
    <w:p w14:paraId="0AFDDD39" w14:textId="77777777" w:rsidR="00B21272" w:rsidRPr="00BB78A5" w:rsidRDefault="00B21272" w:rsidP="00B21272">
      <w:pPr>
        <w:autoSpaceDE w:val="0"/>
        <w:autoSpaceDN w:val="0"/>
        <w:adjustRightInd w:val="0"/>
        <w:jc w:val="both"/>
        <w:rPr>
          <w:rFonts w:ascii="Abadi" w:hAnsi="Abadi" w:cs="ArialMT"/>
          <w:sz w:val="21"/>
          <w:szCs w:val="21"/>
          <w:lang w:val="es-MX"/>
        </w:rPr>
      </w:pPr>
    </w:p>
    <w:p w14:paraId="481C99D7" w14:textId="77777777" w:rsidR="00B21272" w:rsidRPr="00BB78A5" w:rsidRDefault="00B21272" w:rsidP="004F362D">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El Consejo Estatal de Protección a Personas Defensoras de Derechos Humanos y Periodistas de Guanajuato se instaló el 10 de abril de 2019.</w:t>
      </w:r>
    </w:p>
    <w:p w14:paraId="0C46A78C" w14:textId="77777777" w:rsidR="00B21272" w:rsidRPr="00BB78A5" w:rsidRDefault="00B21272" w:rsidP="00B21272">
      <w:pPr>
        <w:autoSpaceDE w:val="0"/>
        <w:autoSpaceDN w:val="0"/>
        <w:adjustRightInd w:val="0"/>
        <w:jc w:val="both"/>
        <w:rPr>
          <w:rFonts w:ascii="Abadi" w:hAnsi="Abadi" w:cs="ArialMT"/>
          <w:sz w:val="21"/>
          <w:szCs w:val="21"/>
          <w:lang w:val="es-MX"/>
        </w:rPr>
      </w:pPr>
    </w:p>
    <w:p w14:paraId="0D96628E" w14:textId="77777777" w:rsidR="00B21272" w:rsidRPr="00BB78A5" w:rsidRDefault="00B21272" w:rsidP="004F362D">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Por otro lado, los artículos segundo y cuarto transitorios de la Ley para Regular la Prestación de Servicios de Atención, Cuidado y Desarrollo Integral Infantil en el Estado de Guanajuato textualmente señalan:</w:t>
      </w:r>
    </w:p>
    <w:p w14:paraId="5D4F9A01" w14:textId="77777777" w:rsidR="00B21272" w:rsidRPr="00BB78A5" w:rsidRDefault="00B21272" w:rsidP="00B21272">
      <w:pPr>
        <w:autoSpaceDE w:val="0"/>
        <w:autoSpaceDN w:val="0"/>
        <w:adjustRightInd w:val="0"/>
        <w:jc w:val="both"/>
        <w:rPr>
          <w:rFonts w:ascii="Abadi" w:hAnsi="Abadi" w:cs="ArialMT"/>
          <w:sz w:val="21"/>
          <w:szCs w:val="21"/>
          <w:lang w:val="es-MX"/>
        </w:rPr>
      </w:pPr>
    </w:p>
    <w:p w14:paraId="5F45657A" w14:textId="20EF54F0" w:rsidR="004F362D" w:rsidRPr="00BB78A5" w:rsidRDefault="00B21272" w:rsidP="004F362D">
      <w:pPr>
        <w:autoSpaceDE w:val="0"/>
        <w:autoSpaceDN w:val="0"/>
        <w:adjustRightInd w:val="0"/>
        <w:jc w:val="right"/>
        <w:rPr>
          <w:rFonts w:ascii="Abadi" w:hAnsi="Abadi" w:cs="ArialMT"/>
          <w:i/>
          <w:iCs/>
          <w:sz w:val="21"/>
          <w:szCs w:val="21"/>
          <w:lang w:val="es-MX"/>
        </w:rPr>
      </w:pPr>
      <w:r w:rsidRPr="00BB78A5">
        <w:rPr>
          <w:rFonts w:ascii="Abadi" w:hAnsi="Abadi" w:cs="ArialMT"/>
          <w:i/>
          <w:iCs/>
          <w:sz w:val="21"/>
          <w:szCs w:val="21"/>
          <w:lang w:val="es-MX"/>
        </w:rPr>
        <w:t>Plazo para la adecuación de los</w:t>
      </w:r>
      <w:r w:rsidR="001E78B8">
        <w:rPr>
          <w:rFonts w:ascii="Abadi" w:hAnsi="Abadi" w:cs="ArialMT"/>
          <w:i/>
          <w:iCs/>
          <w:sz w:val="21"/>
          <w:szCs w:val="21"/>
          <w:lang w:val="es-MX"/>
        </w:rPr>
        <w:t xml:space="preserve"> </w:t>
      </w:r>
      <w:r w:rsidRPr="00BB78A5">
        <w:rPr>
          <w:rFonts w:ascii="Abadi" w:hAnsi="Abadi" w:cs="ArialMT"/>
          <w:i/>
          <w:iCs/>
          <w:sz w:val="21"/>
          <w:szCs w:val="21"/>
          <w:lang w:val="es-MX"/>
        </w:rPr>
        <w:t xml:space="preserve">reglamentos estatales </w:t>
      </w:r>
    </w:p>
    <w:p w14:paraId="51D40FF3" w14:textId="7AEFDEDB" w:rsidR="00B21272" w:rsidRPr="00BB78A5" w:rsidRDefault="00B21272" w:rsidP="004F362D">
      <w:pPr>
        <w:autoSpaceDE w:val="0"/>
        <w:autoSpaceDN w:val="0"/>
        <w:adjustRightInd w:val="0"/>
        <w:ind w:left="708"/>
        <w:jc w:val="both"/>
        <w:rPr>
          <w:rFonts w:ascii="Abadi" w:hAnsi="Abadi" w:cs="ArialMT"/>
          <w:i/>
          <w:iCs/>
          <w:sz w:val="21"/>
          <w:szCs w:val="21"/>
          <w:lang w:val="es-MX"/>
        </w:rPr>
      </w:pPr>
      <w:r w:rsidRPr="00BB78A5">
        <w:rPr>
          <w:rFonts w:ascii="Abadi" w:hAnsi="Abadi" w:cs="ArialMT"/>
          <w:i/>
          <w:iCs/>
          <w:sz w:val="21"/>
          <w:szCs w:val="21"/>
          <w:lang w:val="es-MX"/>
        </w:rPr>
        <w:t>Artículo Segundo. El titular del Poder Ejecutivo deberá actualizar los reglamentos y demás disposiciones a que se refiere esta Ley, a más tardar seis meses posteriores a su entrada en vigor.</w:t>
      </w:r>
    </w:p>
    <w:p w14:paraId="4F74B338" w14:textId="77777777" w:rsidR="00B21272" w:rsidRPr="00BB78A5" w:rsidRDefault="00B21272" w:rsidP="00B21272">
      <w:pPr>
        <w:autoSpaceDE w:val="0"/>
        <w:autoSpaceDN w:val="0"/>
        <w:adjustRightInd w:val="0"/>
        <w:jc w:val="both"/>
        <w:rPr>
          <w:rFonts w:ascii="Abadi" w:hAnsi="Abadi" w:cs="ArialMT"/>
          <w:i/>
          <w:iCs/>
          <w:sz w:val="21"/>
          <w:szCs w:val="21"/>
          <w:lang w:val="es-MX"/>
        </w:rPr>
      </w:pPr>
    </w:p>
    <w:p w14:paraId="18A9D08F" w14:textId="768C2EE4" w:rsidR="004F362D" w:rsidRPr="00BB78A5" w:rsidRDefault="00B21272" w:rsidP="004F362D">
      <w:pPr>
        <w:autoSpaceDE w:val="0"/>
        <w:autoSpaceDN w:val="0"/>
        <w:adjustRightInd w:val="0"/>
        <w:jc w:val="right"/>
        <w:rPr>
          <w:rFonts w:ascii="Abadi" w:hAnsi="Abadi" w:cs="ArialMT"/>
          <w:i/>
          <w:iCs/>
          <w:sz w:val="21"/>
          <w:szCs w:val="21"/>
          <w:lang w:val="es-MX"/>
        </w:rPr>
      </w:pPr>
      <w:r w:rsidRPr="00BB78A5">
        <w:rPr>
          <w:rFonts w:ascii="Abadi" w:hAnsi="Abadi" w:cs="ArialMT"/>
          <w:i/>
          <w:iCs/>
          <w:sz w:val="21"/>
          <w:szCs w:val="21"/>
          <w:lang w:val="es-MX"/>
        </w:rPr>
        <w:t>Plazo para instalar el Consejo</w:t>
      </w:r>
      <w:r w:rsidR="004F362D" w:rsidRPr="00BB78A5">
        <w:rPr>
          <w:rFonts w:ascii="Abadi" w:hAnsi="Abadi" w:cs="ArialMT"/>
          <w:i/>
          <w:iCs/>
          <w:sz w:val="21"/>
          <w:szCs w:val="21"/>
          <w:lang w:val="es-MX"/>
        </w:rPr>
        <w:t xml:space="preserve"> </w:t>
      </w:r>
      <w:r w:rsidRPr="00BB78A5">
        <w:rPr>
          <w:rFonts w:ascii="Abadi" w:hAnsi="Abadi" w:cs="ArialMT"/>
          <w:i/>
          <w:iCs/>
          <w:sz w:val="21"/>
          <w:szCs w:val="21"/>
          <w:lang w:val="es-MX"/>
        </w:rPr>
        <w:t xml:space="preserve">Estatal </w:t>
      </w:r>
    </w:p>
    <w:p w14:paraId="4B0C524B" w14:textId="0F3FABAD" w:rsidR="00B21272" w:rsidRPr="00BB78A5" w:rsidRDefault="00B21272" w:rsidP="004F362D">
      <w:pPr>
        <w:autoSpaceDE w:val="0"/>
        <w:autoSpaceDN w:val="0"/>
        <w:adjustRightInd w:val="0"/>
        <w:ind w:left="708"/>
        <w:jc w:val="both"/>
        <w:rPr>
          <w:rFonts w:ascii="Abadi" w:hAnsi="Abadi" w:cs="ArialMT"/>
          <w:i/>
          <w:iCs/>
          <w:sz w:val="21"/>
          <w:szCs w:val="21"/>
          <w:lang w:val="es-MX"/>
        </w:rPr>
      </w:pPr>
      <w:r w:rsidRPr="00BB78A5">
        <w:rPr>
          <w:rFonts w:ascii="Abadi" w:hAnsi="Abadi" w:cs="ArialMT"/>
          <w:i/>
          <w:iCs/>
          <w:sz w:val="21"/>
          <w:szCs w:val="21"/>
          <w:lang w:val="es-MX"/>
        </w:rPr>
        <w:t>Artículo Cuarto. El Consejo Estatal establecido en la presente Ley deberá instalarse a más tardar un año posterior a la entrada en vigor de la Ley y deberán aprobarse los programas y planes de acción del mismo.</w:t>
      </w:r>
    </w:p>
    <w:p w14:paraId="32BDF71D" w14:textId="77777777" w:rsidR="00B21272" w:rsidRPr="00BB78A5" w:rsidRDefault="00B21272" w:rsidP="00B21272">
      <w:pPr>
        <w:autoSpaceDE w:val="0"/>
        <w:autoSpaceDN w:val="0"/>
        <w:adjustRightInd w:val="0"/>
        <w:jc w:val="both"/>
        <w:rPr>
          <w:rFonts w:ascii="Abadi" w:hAnsi="Abadi" w:cs="ArialMT"/>
          <w:i/>
          <w:iCs/>
          <w:sz w:val="21"/>
          <w:szCs w:val="21"/>
          <w:lang w:val="es-MX"/>
        </w:rPr>
      </w:pPr>
    </w:p>
    <w:p w14:paraId="3CBDF4A5" w14:textId="77777777" w:rsidR="00B21272" w:rsidRPr="00BB78A5" w:rsidRDefault="00B21272" w:rsidP="00B21272">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El Reglamento de la Ley para Regular la Prestación de Servicios de Atención, Cuidado y Desarrollo Integral Infantil en el Estado de Guanajuato se expidió mediante Decreto Gubernativo número 226, publicado en el Periódico Oficial del Gobierno del Estado de Guanajuato número 114, tercera parte, de fecha 7 de junio de 2018.</w:t>
      </w:r>
    </w:p>
    <w:p w14:paraId="5E5F2100" w14:textId="77777777" w:rsidR="00B21272" w:rsidRPr="00BB78A5" w:rsidRDefault="00B21272" w:rsidP="00B21272">
      <w:pPr>
        <w:autoSpaceDE w:val="0"/>
        <w:autoSpaceDN w:val="0"/>
        <w:adjustRightInd w:val="0"/>
        <w:jc w:val="both"/>
        <w:rPr>
          <w:rFonts w:ascii="Abadi" w:hAnsi="Abadi" w:cs="ArialMT"/>
          <w:sz w:val="21"/>
          <w:szCs w:val="21"/>
          <w:lang w:val="es-MX"/>
        </w:rPr>
      </w:pPr>
    </w:p>
    <w:p w14:paraId="0281ECA6" w14:textId="77777777" w:rsidR="00B21272" w:rsidRPr="00BB78A5" w:rsidRDefault="00B21272" w:rsidP="00B21272">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El Consejo para la Prestación de Servicios de Atención, Cuidado y Desarrollo Integral Infantil del Estado de Guanajuato se instaló el 17 de junio de 2019. Además de que, conforme a la información proporcionada por la Unidad de Seguimiento y Análisis de Impacto Legislativo:</w:t>
      </w:r>
    </w:p>
    <w:p w14:paraId="4D604225" w14:textId="77777777" w:rsidR="00B21272" w:rsidRPr="00BB78A5" w:rsidRDefault="00B21272" w:rsidP="00B21272">
      <w:pPr>
        <w:autoSpaceDE w:val="0"/>
        <w:autoSpaceDN w:val="0"/>
        <w:adjustRightInd w:val="0"/>
        <w:jc w:val="both"/>
        <w:rPr>
          <w:rFonts w:ascii="Abadi" w:hAnsi="Abadi" w:cs="ArialMT"/>
          <w:sz w:val="21"/>
          <w:szCs w:val="21"/>
          <w:lang w:val="es-MX"/>
        </w:rPr>
      </w:pPr>
    </w:p>
    <w:p w14:paraId="00D654DF" w14:textId="77777777" w:rsidR="00B21272" w:rsidRPr="00BB78A5" w:rsidRDefault="00B21272" w:rsidP="00B21272">
      <w:pPr>
        <w:autoSpaceDE w:val="0"/>
        <w:autoSpaceDN w:val="0"/>
        <w:adjustRightInd w:val="0"/>
        <w:ind w:left="708"/>
        <w:jc w:val="both"/>
        <w:rPr>
          <w:rFonts w:ascii="Abadi" w:hAnsi="Abadi" w:cs="ArialMT"/>
          <w:i/>
          <w:iCs/>
          <w:sz w:val="21"/>
          <w:szCs w:val="21"/>
          <w:lang w:val="es-MX"/>
        </w:rPr>
      </w:pPr>
      <w:r w:rsidRPr="00BB78A5">
        <w:rPr>
          <w:rFonts w:ascii="Abadi" w:hAnsi="Abadi" w:cs="ArialMT"/>
          <w:i/>
          <w:iCs/>
          <w:sz w:val="21"/>
          <w:szCs w:val="21"/>
          <w:lang w:val="es-MX"/>
        </w:rPr>
        <w:t>...mediante una solicitud al poder ejecutivo por correo electrónico contesto que el 1 O de mayo del presente año, se celebró la Primera Sesión Ordinaria del Consejo para Regular la Prestación de Servicios, Atención, cuidado y Desarrollo Integral Infantil, el cual por acuerdo CPS-SO-1 a-7/2019 se aprobó solicitar al Sistema Estatal de Protección Integral de los Derechos de Niñas, Niños y Adolescentes , por conducto de la Presidenta del Consejo Estatal, que se incorpore en el Programa Estatal de Protección Integral de los Derechos de Niñas, Niños y Adolescentes lo relativo a la prestación de servicios de atención, cuidado y desarrollo integral infantil, a efecto de propiciar un enfoque de integralidad, con fundamento en el artículo 4, fracción VIII,13 y 18 fracción JI de la Ley para Regular la Prestación de Servicios de Atención, Cuidado y Desarrollo Integral Infantil en el Estado de Guanajuato, así como el artículo 40 de su Reglamento.</w:t>
      </w:r>
    </w:p>
    <w:p w14:paraId="3982A7CF" w14:textId="77777777" w:rsidR="00B21272" w:rsidRPr="00BB78A5" w:rsidRDefault="00B21272" w:rsidP="00B21272">
      <w:pPr>
        <w:autoSpaceDE w:val="0"/>
        <w:autoSpaceDN w:val="0"/>
        <w:adjustRightInd w:val="0"/>
        <w:jc w:val="both"/>
        <w:rPr>
          <w:rFonts w:ascii="Abadi" w:hAnsi="Abadi" w:cs="ArialMT"/>
          <w:i/>
          <w:iCs/>
          <w:sz w:val="21"/>
          <w:szCs w:val="21"/>
          <w:lang w:val="es-MX"/>
        </w:rPr>
      </w:pPr>
    </w:p>
    <w:p w14:paraId="646C7DE6" w14:textId="77777777" w:rsidR="00B21272" w:rsidRPr="00BB78A5" w:rsidRDefault="00B21272" w:rsidP="00B21272">
      <w:pPr>
        <w:autoSpaceDE w:val="0"/>
        <w:autoSpaceDN w:val="0"/>
        <w:adjustRightInd w:val="0"/>
        <w:ind w:left="708"/>
        <w:jc w:val="both"/>
        <w:rPr>
          <w:rFonts w:ascii="Abadi" w:hAnsi="Abadi" w:cs="ArialMT"/>
          <w:i/>
          <w:iCs/>
          <w:sz w:val="21"/>
          <w:szCs w:val="21"/>
          <w:lang w:val="es-MX"/>
        </w:rPr>
      </w:pPr>
      <w:r w:rsidRPr="00BB78A5">
        <w:rPr>
          <w:rFonts w:ascii="Abadi" w:hAnsi="Abadi" w:cs="ArialMT"/>
          <w:i/>
          <w:iCs/>
          <w:sz w:val="21"/>
          <w:szCs w:val="21"/>
          <w:lang w:val="es-MX"/>
        </w:rPr>
        <w:t>Asimismo, de acuerdo con el Oficio número S.G 927/2019 suscrito por el Lic. Luis Ernesto Ayala Torres Secretario de Gobierno se hace mención de la aprobación del Plan para el Fomento y Regulación de Centros de Atención, Cuidado y Desarrollo Integral Infantil para el ejercicio 2019 durante la sesión ordinaria celebrada el pasado 1 O de mayo del año en curso del Consejo para Regular la Prestación de Servicios de Atención, Cuidado y Desarrollo Integral Infantil del Estado de Guanajuato.</w:t>
      </w:r>
    </w:p>
    <w:p w14:paraId="3126D3B8" w14:textId="77777777" w:rsidR="00B21272" w:rsidRPr="00BB78A5" w:rsidRDefault="00B21272" w:rsidP="00B21272">
      <w:pPr>
        <w:autoSpaceDE w:val="0"/>
        <w:autoSpaceDN w:val="0"/>
        <w:adjustRightInd w:val="0"/>
        <w:jc w:val="both"/>
        <w:rPr>
          <w:rFonts w:ascii="Abadi" w:hAnsi="Abadi" w:cs="ArialMT"/>
          <w:sz w:val="21"/>
          <w:szCs w:val="21"/>
          <w:lang w:val="es-MX"/>
        </w:rPr>
      </w:pPr>
    </w:p>
    <w:p w14:paraId="39951AA7" w14:textId="77777777" w:rsidR="00B21272" w:rsidRPr="00BB78A5" w:rsidRDefault="00B21272" w:rsidP="00B21272">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Así que, como lo menciona el iniciante, las obligaciones a que se alude en los artículos transitorios antes transcritos ya han sido cumplidas.</w:t>
      </w:r>
    </w:p>
    <w:p w14:paraId="282C4638" w14:textId="77777777" w:rsidR="00B21272" w:rsidRPr="00BB78A5" w:rsidRDefault="00B21272" w:rsidP="00B21272">
      <w:pPr>
        <w:autoSpaceDE w:val="0"/>
        <w:autoSpaceDN w:val="0"/>
        <w:adjustRightInd w:val="0"/>
        <w:jc w:val="both"/>
        <w:rPr>
          <w:rFonts w:ascii="Abadi" w:hAnsi="Abadi" w:cs="ArialMT"/>
          <w:sz w:val="21"/>
          <w:szCs w:val="21"/>
          <w:lang w:val="es-MX"/>
        </w:rPr>
      </w:pPr>
    </w:p>
    <w:p w14:paraId="458EAC1C" w14:textId="77777777" w:rsidR="00B21272" w:rsidRPr="00BB78A5" w:rsidRDefault="00B21272" w:rsidP="00B21272">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Por otro lado, esta propuesta de punto de acuerdo se encuentra dentro de los asuntos que la diputada y el diputado integrantes del Grupo Parlamentario del Partido Verde Ecologista de México de la Sexagésima Quinta Legislatura no desean impulsar, ello en el marco del acuerdo de la Junta de Gobierno y Coordinación Política para depurar los pendientes en comisiones.</w:t>
      </w:r>
    </w:p>
    <w:p w14:paraId="0D6D78E1" w14:textId="77777777" w:rsidR="00B21272" w:rsidRPr="00BB78A5" w:rsidRDefault="00B21272" w:rsidP="00B21272">
      <w:pPr>
        <w:autoSpaceDE w:val="0"/>
        <w:autoSpaceDN w:val="0"/>
        <w:adjustRightInd w:val="0"/>
        <w:jc w:val="both"/>
        <w:rPr>
          <w:rFonts w:ascii="Abadi" w:hAnsi="Abadi" w:cs="ArialMT"/>
          <w:sz w:val="21"/>
          <w:szCs w:val="21"/>
          <w:lang w:val="es-MX"/>
        </w:rPr>
      </w:pPr>
    </w:p>
    <w:p w14:paraId="3BC306E3" w14:textId="77777777" w:rsidR="00B21272" w:rsidRPr="00BB78A5" w:rsidRDefault="00B21272" w:rsidP="00B21272">
      <w:pPr>
        <w:autoSpaceDE w:val="0"/>
        <w:autoSpaceDN w:val="0"/>
        <w:adjustRightInd w:val="0"/>
        <w:ind w:firstLine="708"/>
        <w:jc w:val="both"/>
        <w:rPr>
          <w:rFonts w:ascii="Abadi" w:hAnsi="Abadi" w:cs="ArialMT"/>
          <w:sz w:val="21"/>
          <w:szCs w:val="21"/>
          <w:lang w:val="es-MX"/>
        </w:rPr>
      </w:pPr>
      <w:r w:rsidRPr="00BB78A5">
        <w:rPr>
          <w:rFonts w:ascii="Abadi" w:hAnsi="Abadi" w:cs="ArialMT"/>
          <w:sz w:val="21"/>
          <w:szCs w:val="21"/>
          <w:lang w:val="es-MX"/>
        </w:rPr>
        <w:t>En mérito de lo expuesto, quienes integramos esta Comisión legislativa hemos determinado dictaminar en sentido negativo la propuesta que nos ocupa. Por lo que sometemos a consideración de la Asamblea, la aprobación del siguiente:</w:t>
      </w:r>
    </w:p>
    <w:p w14:paraId="43EC0051" w14:textId="77777777" w:rsidR="00B21272" w:rsidRPr="00BB78A5" w:rsidRDefault="00B21272" w:rsidP="00B21272">
      <w:pPr>
        <w:autoSpaceDE w:val="0"/>
        <w:autoSpaceDN w:val="0"/>
        <w:adjustRightInd w:val="0"/>
        <w:jc w:val="both"/>
        <w:rPr>
          <w:rFonts w:ascii="Abadi" w:hAnsi="Abadi" w:cs="ArialMT"/>
          <w:sz w:val="21"/>
          <w:szCs w:val="21"/>
          <w:lang w:val="es-MX"/>
        </w:rPr>
      </w:pPr>
    </w:p>
    <w:p w14:paraId="4FD4F2B3" w14:textId="77777777" w:rsidR="00B21272" w:rsidRPr="00BB78A5" w:rsidRDefault="00B21272" w:rsidP="00B21272">
      <w:pPr>
        <w:autoSpaceDE w:val="0"/>
        <w:autoSpaceDN w:val="0"/>
        <w:adjustRightInd w:val="0"/>
        <w:jc w:val="center"/>
        <w:rPr>
          <w:rFonts w:ascii="Abadi" w:hAnsi="Abadi" w:cs="ArialMT"/>
          <w:b/>
          <w:bCs/>
          <w:sz w:val="21"/>
          <w:szCs w:val="21"/>
          <w:lang w:val="es-MX"/>
        </w:rPr>
      </w:pPr>
      <w:r w:rsidRPr="00BB78A5">
        <w:rPr>
          <w:rFonts w:ascii="Abadi" w:hAnsi="Abadi" w:cs="ArialMT"/>
          <w:b/>
          <w:bCs/>
          <w:sz w:val="21"/>
          <w:szCs w:val="21"/>
          <w:lang w:val="es-MX"/>
        </w:rPr>
        <w:t>ACUERDO</w:t>
      </w:r>
    </w:p>
    <w:p w14:paraId="376F9D9C" w14:textId="77777777" w:rsidR="00B21272" w:rsidRPr="00BB78A5" w:rsidRDefault="00B21272" w:rsidP="00B21272">
      <w:pPr>
        <w:autoSpaceDE w:val="0"/>
        <w:autoSpaceDN w:val="0"/>
        <w:adjustRightInd w:val="0"/>
        <w:jc w:val="both"/>
        <w:rPr>
          <w:rFonts w:ascii="Abadi" w:hAnsi="Abadi" w:cs="ArialMT"/>
          <w:b/>
          <w:bCs/>
          <w:sz w:val="21"/>
          <w:szCs w:val="21"/>
          <w:lang w:val="es-MX"/>
        </w:rPr>
      </w:pPr>
    </w:p>
    <w:p w14:paraId="4FFE48AE" w14:textId="77777777" w:rsidR="00B21272" w:rsidRPr="00BB78A5" w:rsidRDefault="00B21272" w:rsidP="00B21272">
      <w:pPr>
        <w:autoSpaceDE w:val="0"/>
        <w:autoSpaceDN w:val="0"/>
        <w:adjustRightInd w:val="0"/>
        <w:ind w:firstLine="708"/>
        <w:jc w:val="both"/>
        <w:rPr>
          <w:rFonts w:ascii="Abadi" w:hAnsi="Abadi" w:cs="ArialMT"/>
          <w:sz w:val="21"/>
          <w:szCs w:val="21"/>
          <w:lang w:val="es-MX"/>
        </w:rPr>
      </w:pPr>
      <w:r w:rsidRPr="00BB78A5">
        <w:rPr>
          <w:rFonts w:ascii="Abadi" w:hAnsi="Abadi" w:cs="ArialMT"/>
          <w:b/>
          <w:bCs/>
          <w:sz w:val="21"/>
          <w:szCs w:val="21"/>
          <w:lang w:val="es-MX"/>
        </w:rPr>
        <w:t xml:space="preserve">Único. </w:t>
      </w:r>
      <w:r w:rsidRPr="00BB78A5">
        <w:rPr>
          <w:rFonts w:ascii="Abadi" w:hAnsi="Abadi" w:cs="ArialMT"/>
          <w:sz w:val="21"/>
          <w:szCs w:val="21"/>
          <w:lang w:val="es-MX"/>
        </w:rPr>
        <w:t>No resulta procedente la propuesta de punto de acuerdo formulada por la diputada y el diputado integrantes del Grupo Parlamentario del Partido Verde Ecologista de México ante la Sexagésima Cuarta Legislatura, a fin de solicitar al Poder Ejecutivo que a través de la Secretaría de la Transparencia y Rendición de Cuentas realice la investigación, substanciación y calificación en contra de quien resulte responsable, por conductas constitutivas de responsabilidad administrativa por la omisión en el cumplimiento en tiempo de los artículos segundo y tercero transitorios de la Ley para la Protección de Personas Defensoras de Derechos Humanos y Periodistas del Estado de Guanajuato, así como de los artículos segundo y cuarto transitorios de la Ley para Regular la Prestación de Servicios de Atención, Cuidado y Desarrollo Integral Infantil</w:t>
      </w:r>
    </w:p>
    <w:p w14:paraId="69372156" w14:textId="77777777" w:rsidR="00B21272" w:rsidRPr="00BB78A5"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en el Estado de Guanajuato.</w:t>
      </w:r>
    </w:p>
    <w:p w14:paraId="376D8327" w14:textId="77777777" w:rsidR="00B21272" w:rsidRPr="00BB78A5" w:rsidRDefault="00B21272" w:rsidP="00B21272">
      <w:pPr>
        <w:autoSpaceDE w:val="0"/>
        <w:autoSpaceDN w:val="0"/>
        <w:adjustRightInd w:val="0"/>
        <w:jc w:val="both"/>
        <w:rPr>
          <w:rFonts w:ascii="Abadi" w:hAnsi="Abadi" w:cs="ArialMT"/>
          <w:sz w:val="21"/>
          <w:szCs w:val="21"/>
          <w:lang w:val="es-MX"/>
        </w:rPr>
      </w:pPr>
    </w:p>
    <w:p w14:paraId="7F4D2E1B" w14:textId="77777777" w:rsidR="00B21272" w:rsidRPr="00BB78A5" w:rsidRDefault="00B21272" w:rsidP="00B21272">
      <w:pPr>
        <w:autoSpaceDE w:val="0"/>
        <w:autoSpaceDN w:val="0"/>
        <w:adjustRightInd w:val="0"/>
        <w:jc w:val="both"/>
        <w:rPr>
          <w:rFonts w:ascii="Abadi" w:hAnsi="Abadi" w:cs="ArialMT"/>
          <w:sz w:val="21"/>
          <w:szCs w:val="21"/>
          <w:lang w:val="es-MX"/>
        </w:rPr>
      </w:pPr>
      <w:r w:rsidRPr="00BB78A5">
        <w:rPr>
          <w:rFonts w:ascii="Abadi" w:hAnsi="Abadi" w:cs="ArialMT"/>
          <w:sz w:val="21"/>
          <w:szCs w:val="21"/>
          <w:lang w:val="es-MX"/>
        </w:rPr>
        <w:t>Se ordena el archivo definitivo de la propuesta de punto de acuerdo.</w:t>
      </w:r>
    </w:p>
    <w:p w14:paraId="7D8FB3E3" w14:textId="58075D80" w:rsidR="00B21272" w:rsidRPr="00BB78A5" w:rsidRDefault="00B21272" w:rsidP="00B21272">
      <w:pPr>
        <w:autoSpaceDE w:val="0"/>
        <w:autoSpaceDN w:val="0"/>
        <w:adjustRightInd w:val="0"/>
        <w:jc w:val="center"/>
        <w:rPr>
          <w:rFonts w:ascii="Abadi" w:hAnsi="Abadi" w:cs="ArialMT"/>
          <w:b/>
          <w:bCs/>
          <w:sz w:val="21"/>
          <w:szCs w:val="21"/>
          <w:lang w:val="es-MX"/>
        </w:rPr>
      </w:pPr>
      <w:r w:rsidRPr="00BB78A5">
        <w:rPr>
          <w:rFonts w:ascii="Abadi" w:hAnsi="Abadi" w:cs="ArialMT"/>
          <w:b/>
          <w:bCs/>
          <w:sz w:val="21"/>
          <w:szCs w:val="21"/>
          <w:lang w:val="es-MX"/>
        </w:rPr>
        <w:t xml:space="preserve">Guanajuato, </w:t>
      </w:r>
      <w:proofErr w:type="spellStart"/>
      <w:r w:rsidRPr="00BB78A5">
        <w:rPr>
          <w:rFonts w:ascii="Abadi" w:hAnsi="Abadi" w:cs="ArialMT"/>
          <w:b/>
          <w:bCs/>
          <w:sz w:val="21"/>
          <w:szCs w:val="21"/>
          <w:lang w:val="es-MX"/>
        </w:rPr>
        <w:t>Gto</w:t>
      </w:r>
      <w:proofErr w:type="spellEnd"/>
      <w:r w:rsidRPr="00BB78A5">
        <w:rPr>
          <w:rFonts w:ascii="Abadi" w:hAnsi="Abadi" w:cs="ArialMT"/>
          <w:b/>
          <w:bCs/>
          <w:sz w:val="21"/>
          <w:szCs w:val="21"/>
          <w:lang w:val="es-MX"/>
        </w:rPr>
        <w:t>, 11 de mayo de 2022</w:t>
      </w:r>
    </w:p>
    <w:p w14:paraId="190B9BA6" w14:textId="77777777" w:rsidR="008D2F2C" w:rsidRDefault="008D2F2C" w:rsidP="00B21272">
      <w:pPr>
        <w:autoSpaceDE w:val="0"/>
        <w:autoSpaceDN w:val="0"/>
        <w:adjustRightInd w:val="0"/>
        <w:jc w:val="center"/>
        <w:rPr>
          <w:rFonts w:ascii="Abadi" w:hAnsi="Abadi" w:cs="ArialMT"/>
          <w:b/>
          <w:bCs/>
          <w:sz w:val="21"/>
          <w:szCs w:val="21"/>
          <w:lang w:val="es-MX"/>
        </w:rPr>
      </w:pPr>
    </w:p>
    <w:p w14:paraId="6C6E217B" w14:textId="77777777" w:rsidR="008D2F2C" w:rsidRDefault="008D2F2C" w:rsidP="00B21272">
      <w:pPr>
        <w:autoSpaceDE w:val="0"/>
        <w:autoSpaceDN w:val="0"/>
        <w:adjustRightInd w:val="0"/>
        <w:jc w:val="center"/>
        <w:rPr>
          <w:rFonts w:ascii="Abadi" w:hAnsi="Abadi" w:cs="ArialMT"/>
          <w:b/>
          <w:bCs/>
          <w:sz w:val="21"/>
          <w:szCs w:val="21"/>
          <w:lang w:val="es-MX"/>
        </w:rPr>
      </w:pPr>
    </w:p>
    <w:p w14:paraId="0CF51722" w14:textId="6D5EE46D" w:rsidR="00B21272" w:rsidRDefault="00B21272" w:rsidP="00B21272">
      <w:pPr>
        <w:autoSpaceDE w:val="0"/>
        <w:autoSpaceDN w:val="0"/>
        <w:adjustRightInd w:val="0"/>
        <w:jc w:val="center"/>
        <w:rPr>
          <w:rFonts w:ascii="Abadi" w:hAnsi="Abadi" w:cs="ArialMT"/>
          <w:b/>
          <w:bCs/>
          <w:sz w:val="21"/>
          <w:szCs w:val="21"/>
          <w:lang w:val="es-MX"/>
        </w:rPr>
      </w:pPr>
      <w:r w:rsidRPr="00BB78A5">
        <w:rPr>
          <w:rFonts w:ascii="Abadi" w:hAnsi="Abadi" w:cs="ArialMT"/>
          <w:b/>
          <w:bCs/>
          <w:sz w:val="21"/>
          <w:szCs w:val="21"/>
          <w:lang w:val="es-MX"/>
        </w:rPr>
        <w:t>La Comisión de Derechos Humanos y Atención a Grupos Vulnerables</w:t>
      </w:r>
    </w:p>
    <w:p w14:paraId="74E3AA21" w14:textId="5D02AEA5" w:rsidR="00481B51" w:rsidRDefault="00481B51" w:rsidP="00B21272">
      <w:pPr>
        <w:autoSpaceDE w:val="0"/>
        <w:autoSpaceDN w:val="0"/>
        <w:adjustRightInd w:val="0"/>
        <w:jc w:val="center"/>
        <w:rPr>
          <w:rFonts w:ascii="Abadi" w:hAnsi="Abadi" w:cs="ArialMT"/>
          <w:b/>
          <w:bCs/>
          <w:sz w:val="21"/>
          <w:szCs w:val="21"/>
          <w:lang w:val="es-MX"/>
        </w:rPr>
      </w:pPr>
    </w:p>
    <w:p w14:paraId="4AF2D71E" w14:textId="70C6AFD3" w:rsidR="00481B51" w:rsidRDefault="004F48DD" w:rsidP="00B21272">
      <w:pPr>
        <w:autoSpaceDE w:val="0"/>
        <w:autoSpaceDN w:val="0"/>
        <w:adjustRightInd w:val="0"/>
        <w:jc w:val="center"/>
        <w:rPr>
          <w:rFonts w:ascii="Abadi" w:hAnsi="Abadi" w:cs="ArialMT"/>
          <w:b/>
          <w:bCs/>
          <w:sz w:val="21"/>
          <w:szCs w:val="21"/>
          <w:lang w:val="es-MX"/>
        </w:rPr>
      </w:pPr>
      <w:r>
        <w:rPr>
          <w:rFonts w:ascii="Abadi" w:hAnsi="Abadi" w:cs="ArialMT"/>
          <w:b/>
          <w:bCs/>
          <w:sz w:val="21"/>
          <w:szCs w:val="21"/>
          <w:lang w:val="es-MX"/>
        </w:rPr>
        <w:t>Diputado David Martínez Mendizábal</w:t>
      </w:r>
    </w:p>
    <w:p w14:paraId="7960DF95" w14:textId="77777777" w:rsidR="008D0C16" w:rsidRDefault="008D0C16" w:rsidP="00B21272">
      <w:pPr>
        <w:autoSpaceDE w:val="0"/>
        <w:autoSpaceDN w:val="0"/>
        <w:adjustRightInd w:val="0"/>
        <w:jc w:val="center"/>
        <w:rPr>
          <w:rFonts w:ascii="Abadi" w:hAnsi="Abadi" w:cs="ArialMT"/>
          <w:b/>
          <w:bCs/>
          <w:sz w:val="21"/>
          <w:szCs w:val="21"/>
          <w:lang w:val="es-MX"/>
        </w:rPr>
      </w:pPr>
    </w:p>
    <w:p w14:paraId="2A8F6982" w14:textId="5127A7E5" w:rsidR="004F48DD" w:rsidRDefault="004F48DD" w:rsidP="00B21272">
      <w:pPr>
        <w:autoSpaceDE w:val="0"/>
        <w:autoSpaceDN w:val="0"/>
        <w:adjustRightInd w:val="0"/>
        <w:jc w:val="center"/>
        <w:rPr>
          <w:rFonts w:ascii="Abadi" w:hAnsi="Abadi" w:cs="ArialMT"/>
          <w:b/>
          <w:bCs/>
          <w:sz w:val="21"/>
          <w:szCs w:val="21"/>
          <w:lang w:val="es-MX"/>
        </w:rPr>
      </w:pPr>
      <w:r>
        <w:rPr>
          <w:rFonts w:ascii="Abadi" w:hAnsi="Abadi" w:cs="ArialMT"/>
          <w:b/>
          <w:bCs/>
          <w:sz w:val="21"/>
          <w:szCs w:val="21"/>
          <w:lang w:val="es-MX"/>
        </w:rPr>
        <w:t>Diputada Janet Melanie Murillo Chávez</w:t>
      </w:r>
    </w:p>
    <w:p w14:paraId="0FF034C2" w14:textId="652AC154" w:rsidR="004F48DD" w:rsidRDefault="004F48DD" w:rsidP="00B21272">
      <w:pPr>
        <w:autoSpaceDE w:val="0"/>
        <w:autoSpaceDN w:val="0"/>
        <w:adjustRightInd w:val="0"/>
        <w:jc w:val="center"/>
        <w:rPr>
          <w:rFonts w:ascii="Abadi" w:hAnsi="Abadi" w:cs="ArialMT"/>
          <w:b/>
          <w:bCs/>
          <w:sz w:val="21"/>
          <w:szCs w:val="21"/>
          <w:lang w:val="es-MX"/>
        </w:rPr>
      </w:pPr>
      <w:r>
        <w:rPr>
          <w:rFonts w:ascii="Abadi" w:hAnsi="Abadi" w:cs="ArialMT"/>
          <w:b/>
          <w:bCs/>
          <w:sz w:val="21"/>
          <w:szCs w:val="21"/>
          <w:lang w:val="es-MX"/>
        </w:rPr>
        <w:t>Diputado Gustavo Adolfo Alfaro Reyes</w:t>
      </w:r>
    </w:p>
    <w:p w14:paraId="3447A183" w14:textId="1B9D2C97" w:rsidR="004F48DD" w:rsidRDefault="004F48DD" w:rsidP="00B21272">
      <w:pPr>
        <w:autoSpaceDE w:val="0"/>
        <w:autoSpaceDN w:val="0"/>
        <w:adjustRightInd w:val="0"/>
        <w:jc w:val="center"/>
        <w:rPr>
          <w:rFonts w:ascii="Abadi" w:hAnsi="Abadi" w:cs="ArialMT"/>
          <w:b/>
          <w:bCs/>
          <w:sz w:val="21"/>
          <w:szCs w:val="21"/>
          <w:lang w:val="es-MX"/>
        </w:rPr>
      </w:pPr>
      <w:r>
        <w:rPr>
          <w:rFonts w:ascii="Abadi" w:hAnsi="Abadi" w:cs="ArialMT"/>
          <w:b/>
          <w:bCs/>
          <w:sz w:val="21"/>
          <w:szCs w:val="21"/>
          <w:lang w:val="es-MX"/>
        </w:rPr>
        <w:t>Diputada Briseida Anabel Magdaleno González</w:t>
      </w:r>
    </w:p>
    <w:p w14:paraId="6C10936B" w14:textId="24DC8A44" w:rsidR="004F48DD" w:rsidRPr="00BB78A5" w:rsidRDefault="004F48DD" w:rsidP="00B21272">
      <w:pPr>
        <w:autoSpaceDE w:val="0"/>
        <w:autoSpaceDN w:val="0"/>
        <w:adjustRightInd w:val="0"/>
        <w:jc w:val="center"/>
        <w:rPr>
          <w:rFonts w:ascii="Abadi" w:hAnsi="Abadi" w:cs="ArialMT"/>
          <w:b/>
          <w:bCs/>
          <w:sz w:val="21"/>
          <w:szCs w:val="21"/>
          <w:lang w:val="es-MX"/>
        </w:rPr>
      </w:pPr>
      <w:r>
        <w:rPr>
          <w:rFonts w:ascii="Abadi" w:hAnsi="Abadi" w:cs="ArialMT"/>
          <w:b/>
          <w:bCs/>
          <w:sz w:val="21"/>
          <w:szCs w:val="21"/>
          <w:lang w:val="es-MX"/>
        </w:rPr>
        <w:t>Diputada Katya Cristina Soto Escamilla</w:t>
      </w:r>
    </w:p>
    <w:p w14:paraId="010F27E8" w14:textId="134D5DAC" w:rsidR="00E528AB" w:rsidRPr="00741D11" w:rsidRDefault="00E528AB" w:rsidP="00E528AB">
      <w:pPr>
        <w:pStyle w:val="NormalWeb"/>
        <w:ind w:firstLine="708"/>
        <w:jc w:val="both"/>
        <w:rPr>
          <w:rFonts w:ascii="Abadi" w:hAnsi="Abadi"/>
          <w:color w:val="auto"/>
          <w:sz w:val="21"/>
          <w:szCs w:val="21"/>
        </w:rPr>
      </w:pPr>
      <w:r>
        <w:rPr>
          <w:rFonts w:ascii="Abadi" w:hAnsi="Abadi"/>
          <w:b/>
          <w:bCs/>
          <w:sz w:val="21"/>
          <w:szCs w:val="21"/>
        </w:rPr>
        <w:t xml:space="preserve">- </w:t>
      </w:r>
      <w:r w:rsidRPr="004539F1">
        <w:rPr>
          <w:rFonts w:ascii="Abadi" w:hAnsi="Abadi"/>
          <w:b/>
          <w:bCs/>
          <w:sz w:val="21"/>
          <w:szCs w:val="21"/>
        </w:rPr>
        <w:t>La Presidencia.-</w:t>
      </w:r>
      <w:r>
        <w:rPr>
          <w:rFonts w:ascii="Abadi" w:hAnsi="Abadi"/>
          <w:sz w:val="21"/>
          <w:szCs w:val="21"/>
        </w:rPr>
        <w:t xml:space="preserve"> </w:t>
      </w:r>
      <w:r w:rsidRPr="0021199F">
        <w:rPr>
          <w:rFonts w:ascii="Abadi" w:hAnsi="Abadi"/>
          <w:sz w:val="21"/>
          <w:szCs w:val="21"/>
        </w:rPr>
        <w:t xml:space="preserve">Procede someter a discusión </w:t>
      </w:r>
      <w:r w:rsidRPr="00741D11">
        <w:rPr>
          <w:rFonts w:ascii="Abadi" w:hAnsi="Abadi"/>
          <w:color w:val="auto"/>
          <w:sz w:val="21"/>
          <w:szCs w:val="21"/>
        </w:rPr>
        <w:t>el dictamen presentado por la Comisión de Derechos Humanos y Atención a Grupos Vulnerables relativo a la propuesta de punto de acuerdo formulada por la diputada y el diputado integrantes del Grupo Parlamentario del Partido Verde Ecologista de México ante la Sexagésima Cuarta Legislatura, a fin de solicitar al Poder Ejecutivo que a través de la Secretaría de la Transparencia y Rendición de Cuentas realice la investigación, substanciación y calificación en contra de quien resulte responsable, por conductas constitutivas de responsabilidad administrativa por la omisión en el cumplimiento en tiempo de los artículos segundo y tercero transitorios de la Ley para la Protección de Personas Defensoras de Derechos Humanos y Periodistas del Estado de Guanajuato, así como de los artículos segundo y cuarto transitorios de la Ley para Regular la Prestación de Servicios de Atención, Cuidado y Desarrollo Integral Infantil en el Estado de Guanajuato.</w:t>
      </w:r>
    </w:p>
    <w:p w14:paraId="3D7AA9BA" w14:textId="77777777" w:rsidR="00E528AB" w:rsidRDefault="00E528AB" w:rsidP="00E528AB">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Si alguna diputada o algún diputado desea hacer uso de la palabra, </w:t>
      </w:r>
      <w:r>
        <w:rPr>
          <w:rFonts w:ascii="Abadi" w:hAnsi="Abadi"/>
          <w:sz w:val="21"/>
          <w:szCs w:val="21"/>
        </w:rPr>
        <w:t xml:space="preserve">en pro o </w:t>
      </w:r>
      <w:r w:rsidRPr="0021199F">
        <w:rPr>
          <w:rFonts w:ascii="Abadi" w:hAnsi="Abadi"/>
          <w:sz w:val="21"/>
          <w:szCs w:val="21"/>
        </w:rPr>
        <w:t xml:space="preserve">en contra, manifiesta lo indicando el sentido de su participación. </w:t>
      </w:r>
    </w:p>
    <w:p w14:paraId="25CE1220" w14:textId="77777777" w:rsidR="00E528AB" w:rsidRDefault="00E528AB" w:rsidP="00E528AB">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No habiendo participaciones, se pide la secretaria que proceda recabar votación nominal de la Asamblea a través del sistema electrónico, a</w:t>
      </w:r>
      <w:r>
        <w:rPr>
          <w:rFonts w:ascii="Abadi" w:hAnsi="Abadi"/>
          <w:sz w:val="21"/>
          <w:szCs w:val="21"/>
        </w:rPr>
        <w:t xml:space="preserve"> efecto de aprobar </w:t>
      </w:r>
      <w:r w:rsidRPr="0021199F">
        <w:rPr>
          <w:rFonts w:ascii="Abadi" w:hAnsi="Abadi"/>
          <w:sz w:val="21"/>
          <w:szCs w:val="21"/>
        </w:rPr>
        <w:t>o</w:t>
      </w:r>
      <w:r>
        <w:rPr>
          <w:rFonts w:ascii="Abadi" w:hAnsi="Abadi"/>
          <w:sz w:val="21"/>
          <w:szCs w:val="21"/>
        </w:rPr>
        <w:t xml:space="preserve"> </w:t>
      </w:r>
      <w:r w:rsidRPr="0021199F">
        <w:rPr>
          <w:rFonts w:ascii="Abadi" w:hAnsi="Abadi"/>
          <w:sz w:val="21"/>
          <w:szCs w:val="21"/>
        </w:rPr>
        <w:t xml:space="preserve">no el dictamen puesto su consideración. </w:t>
      </w:r>
    </w:p>
    <w:p w14:paraId="6D9A147D" w14:textId="77777777" w:rsidR="00E528AB" w:rsidRDefault="00E528AB" w:rsidP="00E528AB">
      <w:pPr>
        <w:pStyle w:val="NormalWeb"/>
        <w:jc w:val="center"/>
        <w:rPr>
          <w:rFonts w:ascii="Abadi" w:hAnsi="Abadi"/>
          <w:b/>
          <w:bCs/>
          <w:sz w:val="21"/>
          <w:szCs w:val="21"/>
        </w:rPr>
      </w:pPr>
      <w:r w:rsidRPr="00183BC9">
        <w:rPr>
          <w:rFonts w:ascii="Abadi" w:hAnsi="Abadi"/>
          <w:b/>
          <w:bCs/>
          <w:sz w:val="21"/>
          <w:szCs w:val="21"/>
        </w:rPr>
        <w:t>(Se abre el sistema electrónico)</w:t>
      </w:r>
    </w:p>
    <w:p w14:paraId="4B10E876" w14:textId="2194FB79" w:rsidR="00E528AB" w:rsidRDefault="00E528AB" w:rsidP="00E528AB">
      <w:pPr>
        <w:pStyle w:val="NormalWeb"/>
        <w:ind w:firstLine="708"/>
        <w:jc w:val="both"/>
        <w:rPr>
          <w:rFonts w:ascii="Abadi" w:hAnsi="Abadi"/>
          <w:sz w:val="21"/>
          <w:szCs w:val="21"/>
        </w:rPr>
      </w:pPr>
      <w:r>
        <w:rPr>
          <w:rFonts w:ascii="Abadi" w:hAnsi="Abadi"/>
          <w:b/>
          <w:bCs/>
          <w:sz w:val="21"/>
          <w:szCs w:val="21"/>
        </w:rPr>
        <w:t xml:space="preserve">- </w:t>
      </w:r>
      <w:r w:rsidRPr="009B691E">
        <w:rPr>
          <w:rFonts w:ascii="Abadi" w:hAnsi="Abadi"/>
          <w:b/>
          <w:bCs/>
          <w:sz w:val="21"/>
          <w:szCs w:val="21"/>
        </w:rPr>
        <w:t xml:space="preserve">La </w:t>
      </w:r>
      <w:proofErr w:type="gramStart"/>
      <w:r w:rsidRPr="009B691E">
        <w:rPr>
          <w:rFonts w:ascii="Abadi" w:hAnsi="Abadi"/>
          <w:b/>
          <w:bCs/>
          <w:sz w:val="21"/>
          <w:szCs w:val="21"/>
        </w:rPr>
        <w:t>Secretar</w:t>
      </w:r>
      <w:r>
        <w:rPr>
          <w:rFonts w:ascii="Abadi" w:hAnsi="Abadi"/>
          <w:b/>
          <w:bCs/>
          <w:sz w:val="21"/>
          <w:szCs w:val="21"/>
        </w:rPr>
        <w:t>i</w:t>
      </w:r>
      <w:r w:rsidRPr="009B691E">
        <w:rPr>
          <w:rFonts w:ascii="Abadi" w:hAnsi="Abadi"/>
          <w:b/>
          <w:bCs/>
          <w:sz w:val="21"/>
          <w:szCs w:val="21"/>
        </w:rPr>
        <w:t>a.-</w:t>
      </w:r>
      <w:proofErr w:type="gramEnd"/>
      <w:r w:rsidRPr="0021199F">
        <w:rPr>
          <w:rFonts w:ascii="Abadi" w:hAnsi="Abadi"/>
          <w:sz w:val="21"/>
          <w:szCs w:val="21"/>
        </w:rPr>
        <w:t xml:space="preserve"> </w:t>
      </w:r>
      <w:r>
        <w:rPr>
          <w:rFonts w:ascii="Abadi" w:hAnsi="Abadi"/>
          <w:sz w:val="21"/>
          <w:szCs w:val="21"/>
        </w:rPr>
        <w:t>E</w:t>
      </w:r>
      <w:r w:rsidRPr="0021199F">
        <w:rPr>
          <w:rFonts w:ascii="Abadi" w:hAnsi="Abadi"/>
          <w:sz w:val="21"/>
          <w:szCs w:val="21"/>
        </w:rPr>
        <w:t xml:space="preserve">n votación nominal por el sistema electrónico se pregunta a las diputadas </w:t>
      </w:r>
      <w:r>
        <w:rPr>
          <w:rFonts w:ascii="Abadi" w:hAnsi="Abadi"/>
          <w:sz w:val="21"/>
          <w:szCs w:val="21"/>
        </w:rPr>
        <w:t>y</w:t>
      </w:r>
      <w:r w:rsidRPr="0021199F">
        <w:rPr>
          <w:rFonts w:ascii="Abadi" w:hAnsi="Abadi"/>
          <w:sz w:val="21"/>
          <w:szCs w:val="21"/>
        </w:rPr>
        <w:t xml:space="preserve"> los diputados</w:t>
      </w:r>
      <w:r>
        <w:rPr>
          <w:rFonts w:ascii="Abadi" w:hAnsi="Abadi"/>
          <w:sz w:val="21"/>
          <w:szCs w:val="21"/>
        </w:rPr>
        <w:t xml:space="preserve"> </w:t>
      </w:r>
      <w:r w:rsidRPr="0021199F">
        <w:rPr>
          <w:rFonts w:ascii="Abadi" w:hAnsi="Abadi"/>
          <w:sz w:val="21"/>
          <w:szCs w:val="21"/>
        </w:rPr>
        <w:t>s</w:t>
      </w:r>
      <w:r>
        <w:rPr>
          <w:rFonts w:ascii="Abadi" w:hAnsi="Abadi"/>
          <w:sz w:val="21"/>
          <w:szCs w:val="21"/>
        </w:rPr>
        <w:t>i</w:t>
      </w:r>
      <w:r w:rsidRPr="0021199F">
        <w:rPr>
          <w:rFonts w:ascii="Abadi" w:hAnsi="Abadi"/>
          <w:sz w:val="21"/>
          <w:szCs w:val="21"/>
        </w:rPr>
        <w:t xml:space="preserve"> </w:t>
      </w:r>
      <w:r>
        <w:rPr>
          <w:rFonts w:ascii="Abadi" w:hAnsi="Abadi"/>
          <w:sz w:val="21"/>
          <w:szCs w:val="21"/>
        </w:rPr>
        <w:t xml:space="preserve">se </w:t>
      </w:r>
      <w:r w:rsidRPr="0021199F">
        <w:rPr>
          <w:rFonts w:ascii="Abadi" w:hAnsi="Abadi"/>
          <w:sz w:val="21"/>
          <w:szCs w:val="21"/>
        </w:rPr>
        <w:t>apr</w:t>
      </w:r>
      <w:r>
        <w:rPr>
          <w:rFonts w:ascii="Abadi" w:hAnsi="Abadi"/>
          <w:sz w:val="21"/>
          <w:szCs w:val="21"/>
        </w:rPr>
        <w:t>ue</w:t>
      </w:r>
      <w:r w:rsidRPr="0021199F">
        <w:rPr>
          <w:rFonts w:ascii="Abadi" w:hAnsi="Abadi"/>
          <w:sz w:val="21"/>
          <w:szCs w:val="21"/>
        </w:rPr>
        <w:t>b</w:t>
      </w:r>
      <w:r>
        <w:rPr>
          <w:rFonts w:ascii="Abadi" w:hAnsi="Abadi"/>
          <w:sz w:val="21"/>
          <w:szCs w:val="21"/>
        </w:rPr>
        <w:t>a</w:t>
      </w:r>
      <w:r w:rsidRPr="0021199F">
        <w:rPr>
          <w:rFonts w:ascii="Abadi" w:hAnsi="Abadi"/>
          <w:sz w:val="21"/>
          <w:szCs w:val="21"/>
        </w:rPr>
        <w:t xml:space="preserve"> el </w:t>
      </w:r>
      <w:r>
        <w:rPr>
          <w:rFonts w:ascii="Abadi" w:hAnsi="Abadi"/>
          <w:sz w:val="21"/>
          <w:szCs w:val="21"/>
        </w:rPr>
        <w:t>dict</w:t>
      </w:r>
      <w:r w:rsidRPr="0021199F">
        <w:rPr>
          <w:rFonts w:ascii="Abadi" w:hAnsi="Abadi"/>
          <w:sz w:val="21"/>
          <w:szCs w:val="21"/>
        </w:rPr>
        <w:t xml:space="preserve">amen puesto </w:t>
      </w:r>
      <w:r w:rsidR="0090131E">
        <w:rPr>
          <w:rFonts w:ascii="Abadi" w:hAnsi="Abadi"/>
          <w:sz w:val="21"/>
          <w:szCs w:val="21"/>
        </w:rPr>
        <w:t xml:space="preserve">a </w:t>
      </w:r>
      <w:r w:rsidRPr="0021199F">
        <w:rPr>
          <w:rFonts w:ascii="Abadi" w:hAnsi="Abadi"/>
          <w:sz w:val="21"/>
          <w:szCs w:val="21"/>
        </w:rPr>
        <w:t>su consideración</w:t>
      </w:r>
      <w:r>
        <w:rPr>
          <w:rFonts w:ascii="Abadi" w:hAnsi="Abadi"/>
          <w:sz w:val="21"/>
          <w:szCs w:val="21"/>
        </w:rPr>
        <w:t>. ¿</w:t>
      </w:r>
      <w:r w:rsidRPr="0021199F">
        <w:rPr>
          <w:rFonts w:ascii="Abadi" w:hAnsi="Abadi"/>
          <w:sz w:val="21"/>
          <w:szCs w:val="21"/>
        </w:rPr>
        <w:t>Diputado Ernesto Millán</w:t>
      </w:r>
      <w:r>
        <w:rPr>
          <w:rFonts w:ascii="Abadi" w:hAnsi="Abadi"/>
          <w:sz w:val="21"/>
          <w:szCs w:val="21"/>
        </w:rPr>
        <w:t>?</w:t>
      </w:r>
      <w:r w:rsidRPr="0021199F">
        <w:rPr>
          <w:rFonts w:ascii="Abadi" w:hAnsi="Abadi"/>
          <w:sz w:val="21"/>
          <w:szCs w:val="21"/>
        </w:rPr>
        <w:t xml:space="preserve"> Gracias </w:t>
      </w:r>
      <w:r>
        <w:rPr>
          <w:rFonts w:ascii="Abadi" w:hAnsi="Abadi"/>
          <w:sz w:val="21"/>
          <w:szCs w:val="21"/>
        </w:rPr>
        <w:t>d</w:t>
      </w:r>
      <w:r w:rsidRPr="0021199F">
        <w:rPr>
          <w:rFonts w:ascii="Abadi" w:hAnsi="Abadi"/>
          <w:sz w:val="21"/>
          <w:szCs w:val="21"/>
        </w:rPr>
        <w:t>iputado</w:t>
      </w:r>
      <w:r>
        <w:rPr>
          <w:rFonts w:ascii="Abadi" w:hAnsi="Abadi"/>
          <w:sz w:val="21"/>
          <w:szCs w:val="21"/>
        </w:rPr>
        <w:t xml:space="preserve"> ¿</w:t>
      </w:r>
      <w:r w:rsidRPr="0021199F">
        <w:rPr>
          <w:rFonts w:ascii="Abadi" w:hAnsi="Abadi"/>
          <w:sz w:val="21"/>
          <w:szCs w:val="21"/>
        </w:rPr>
        <w:t xml:space="preserve">Diputada </w:t>
      </w:r>
      <w:r>
        <w:rPr>
          <w:rFonts w:ascii="Abadi" w:hAnsi="Abadi"/>
          <w:sz w:val="21"/>
          <w:szCs w:val="21"/>
        </w:rPr>
        <w:t xml:space="preserve">Janeth </w:t>
      </w:r>
      <w:r w:rsidRPr="0021199F">
        <w:rPr>
          <w:rFonts w:ascii="Abadi" w:hAnsi="Abadi"/>
          <w:sz w:val="21"/>
          <w:szCs w:val="21"/>
        </w:rPr>
        <w:t>Melani</w:t>
      </w:r>
      <w:r>
        <w:rPr>
          <w:rFonts w:ascii="Abadi" w:hAnsi="Abadi"/>
          <w:sz w:val="21"/>
          <w:szCs w:val="21"/>
        </w:rPr>
        <w:t>?</w:t>
      </w:r>
      <w:r w:rsidRPr="0021199F">
        <w:rPr>
          <w:rFonts w:ascii="Abadi" w:hAnsi="Abadi"/>
          <w:sz w:val="21"/>
          <w:szCs w:val="21"/>
        </w:rPr>
        <w:t xml:space="preserve"> Gracias, diputada. </w:t>
      </w:r>
    </w:p>
    <w:p w14:paraId="62B2C3D1" w14:textId="77777777" w:rsidR="00E528AB" w:rsidRDefault="00E528AB" w:rsidP="00E528AB">
      <w:pPr>
        <w:pStyle w:val="NormalWeb"/>
        <w:jc w:val="both"/>
        <w:rPr>
          <w:rFonts w:ascii="Abadi" w:hAnsi="Abadi"/>
          <w:sz w:val="21"/>
          <w:szCs w:val="21"/>
        </w:rPr>
      </w:pPr>
      <w:r>
        <w:rPr>
          <w:rFonts w:ascii="Abadi" w:hAnsi="Abadi"/>
          <w:sz w:val="21"/>
          <w:szCs w:val="21"/>
        </w:rPr>
        <w:t>¿</w:t>
      </w:r>
      <w:r w:rsidRPr="0021199F">
        <w:rPr>
          <w:rFonts w:ascii="Abadi" w:hAnsi="Abadi"/>
          <w:sz w:val="21"/>
          <w:szCs w:val="21"/>
        </w:rPr>
        <w:t>Falta alguna diputado</w:t>
      </w:r>
      <w:r>
        <w:rPr>
          <w:rFonts w:ascii="Abadi" w:hAnsi="Abadi"/>
          <w:sz w:val="21"/>
          <w:szCs w:val="21"/>
        </w:rPr>
        <w:t xml:space="preserve"> o a</w:t>
      </w:r>
      <w:r w:rsidRPr="0021199F">
        <w:rPr>
          <w:rFonts w:ascii="Abadi" w:hAnsi="Abadi"/>
          <w:sz w:val="21"/>
          <w:szCs w:val="21"/>
        </w:rPr>
        <w:t>lgún diputado de emit</w:t>
      </w:r>
      <w:r>
        <w:rPr>
          <w:rFonts w:ascii="Abadi" w:hAnsi="Abadi"/>
          <w:sz w:val="21"/>
          <w:szCs w:val="21"/>
        </w:rPr>
        <w:t>ir</w:t>
      </w:r>
      <w:r w:rsidRPr="0021199F">
        <w:rPr>
          <w:rFonts w:ascii="Abadi" w:hAnsi="Abadi"/>
          <w:sz w:val="21"/>
          <w:szCs w:val="21"/>
        </w:rPr>
        <w:t xml:space="preserve"> su voto</w:t>
      </w:r>
      <w:r>
        <w:rPr>
          <w:rFonts w:ascii="Abadi" w:hAnsi="Abadi"/>
          <w:sz w:val="21"/>
          <w:szCs w:val="21"/>
        </w:rPr>
        <w:t>?</w:t>
      </w:r>
      <w:r w:rsidRPr="0021199F">
        <w:rPr>
          <w:rFonts w:ascii="Abadi" w:hAnsi="Abadi"/>
          <w:sz w:val="21"/>
          <w:szCs w:val="21"/>
        </w:rPr>
        <w:t xml:space="preserve"> </w:t>
      </w:r>
    </w:p>
    <w:p w14:paraId="7F0F17AB" w14:textId="4E423F83" w:rsidR="00E528AB" w:rsidRDefault="00FA232D" w:rsidP="00FA232D">
      <w:pPr>
        <w:pStyle w:val="NormalWeb"/>
        <w:jc w:val="center"/>
        <w:rPr>
          <w:rFonts w:ascii="Abadi" w:hAnsi="Abadi"/>
          <w:b/>
          <w:bCs/>
          <w:sz w:val="21"/>
          <w:szCs w:val="21"/>
        </w:rPr>
      </w:pPr>
      <w:r>
        <w:rPr>
          <w:noProof/>
        </w:rPr>
        <w:drawing>
          <wp:anchor distT="0" distB="0" distL="114300" distR="114300" simplePos="0" relativeHeight="251658254" behindDoc="1" locked="0" layoutInCell="1" allowOverlap="1" wp14:anchorId="78B1191E" wp14:editId="43A9255C">
            <wp:simplePos x="0" y="0"/>
            <wp:positionH relativeFrom="margin">
              <wp:align>left</wp:align>
            </wp:positionH>
            <wp:positionV relativeFrom="paragraph">
              <wp:posOffset>562317</wp:posOffset>
            </wp:positionV>
            <wp:extent cx="2083435" cy="1099185"/>
            <wp:effectExtent l="152400" t="152400" r="354965" b="367665"/>
            <wp:wrapTight wrapText="bothSides">
              <wp:wrapPolygon edited="0">
                <wp:start x="790" y="-2995"/>
                <wp:lineTo x="-1580" y="-2246"/>
                <wp:lineTo x="-1580" y="23210"/>
                <wp:lineTo x="1975" y="27702"/>
                <wp:lineTo x="1975" y="28451"/>
                <wp:lineTo x="21528" y="28451"/>
                <wp:lineTo x="21725" y="27702"/>
                <wp:lineTo x="24885" y="22087"/>
                <wp:lineTo x="25083" y="3744"/>
                <wp:lineTo x="22713" y="-1872"/>
                <wp:lineTo x="22515" y="-2995"/>
                <wp:lineTo x="790" y="-2995"/>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b="6156"/>
                    <a:stretch/>
                  </pic:blipFill>
                  <pic:spPr bwMode="auto">
                    <a:xfrm>
                      <a:off x="0" y="0"/>
                      <a:ext cx="2083435" cy="10991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28AB" w:rsidRPr="00183BC9">
        <w:rPr>
          <w:rFonts w:ascii="Abadi" w:hAnsi="Abadi"/>
          <w:b/>
          <w:bCs/>
          <w:sz w:val="21"/>
          <w:szCs w:val="21"/>
        </w:rPr>
        <w:t>(Se cierra el sistema electrónico)</w:t>
      </w:r>
    </w:p>
    <w:p w14:paraId="40A1D456" w14:textId="7C71C8FC" w:rsidR="00E528AB" w:rsidRDefault="00FA232D" w:rsidP="00FA232D">
      <w:pPr>
        <w:pStyle w:val="NormalWeb"/>
        <w:ind w:firstLine="708"/>
        <w:jc w:val="both"/>
        <w:rPr>
          <w:rFonts w:ascii="Abadi" w:hAnsi="Abadi"/>
          <w:sz w:val="21"/>
          <w:szCs w:val="21"/>
        </w:rPr>
      </w:pPr>
      <w:r>
        <w:rPr>
          <w:rFonts w:ascii="Abadi" w:hAnsi="Abadi"/>
          <w:b/>
          <w:bCs/>
          <w:sz w:val="21"/>
          <w:szCs w:val="21"/>
        </w:rPr>
        <w:t xml:space="preserve">- </w:t>
      </w:r>
      <w:r w:rsidR="00E528AB" w:rsidRPr="00183BC9">
        <w:rPr>
          <w:rFonts w:ascii="Abadi" w:hAnsi="Abadi"/>
          <w:b/>
          <w:bCs/>
          <w:sz w:val="21"/>
          <w:szCs w:val="21"/>
        </w:rPr>
        <w:t xml:space="preserve">La </w:t>
      </w:r>
      <w:proofErr w:type="gramStart"/>
      <w:r w:rsidR="00E528AB" w:rsidRPr="00183BC9">
        <w:rPr>
          <w:rFonts w:ascii="Abadi" w:hAnsi="Abadi"/>
          <w:b/>
          <w:bCs/>
          <w:sz w:val="21"/>
          <w:szCs w:val="21"/>
        </w:rPr>
        <w:t>Secretar</w:t>
      </w:r>
      <w:r w:rsidR="00F40E63">
        <w:rPr>
          <w:rFonts w:ascii="Abadi" w:hAnsi="Abadi"/>
          <w:b/>
          <w:bCs/>
          <w:sz w:val="21"/>
          <w:szCs w:val="21"/>
        </w:rPr>
        <w:t>i</w:t>
      </w:r>
      <w:r w:rsidR="00E528AB" w:rsidRPr="00183BC9">
        <w:rPr>
          <w:rFonts w:ascii="Abadi" w:hAnsi="Abadi"/>
          <w:b/>
          <w:bCs/>
          <w:sz w:val="21"/>
          <w:szCs w:val="21"/>
        </w:rPr>
        <w:t>a.-</w:t>
      </w:r>
      <w:proofErr w:type="gramEnd"/>
      <w:r w:rsidR="00E528AB">
        <w:rPr>
          <w:rFonts w:ascii="Abadi" w:hAnsi="Abadi"/>
          <w:sz w:val="21"/>
          <w:szCs w:val="21"/>
        </w:rPr>
        <w:t xml:space="preserve"> </w:t>
      </w:r>
      <w:r w:rsidR="00E528AB" w:rsidRPr="0021199F">
        <w:rPr>
          <w:rFonts w:ascii="Abadi" w:hAnsi="Abadi"/>
          <w:sz w:val="21"/>
          <w:szCs w:val="21"/>
        </w:rPr>
        <w:t xml:space="preserve">Se registraron </w:t>
      </w:r>
      <w:r w:rsidR="00E528AB">
        <w:rPr>
          <w:rFonts w:ascii="Abadi" w:hAnsi="Abadi"/>
          <w:sz w:val="21"/>
          <w:szCs w:val="21"/>
        </w:rPr>
        <w:t>32</w:t>
      </w:r>
      <w:r w:rsidR="00E528AB" w:rsidRPr="0021199F">
        <w:rPr>
          <w:rFonts w:ascii="Abadi" w:hAnsi="Abadi"/>
          <w:sz w:val="21"/>
          <w:szCs w:val="21"/>
        </w:rPr>
        <w:t xml:space="preserve"> votos a favor y </w:t>
      </w:r>
      <w:r w:rsidR="00E528AB">
        <w:rPr>
          <w:rFonts w:ascii="Abadi" w:hAnsi="Abadi"/>
          <w:sz w:val="21"/>
          <w:szCs w:val="21"/>
        </w:rPr>
        <w:t>2</w:t>
      </w:r>
      <w:r w:rsidR="00E528AB" w:rsidRPr="0021199F">
        <w:rPr>
          <w:rFonts w:ascii="Abadi" w:hAnsi="Abadi"/>
          <w:sz w:val="21"/>
          <w:szCs w:val="21"/>
        </w:rPr>
        <w:t xml:space="preserve"> votos en contra. </w:t>
      </w:r>
    </w:p>
    <w:p w14:paraId="1B5BB1E0" w14:textId="1B5CCBA2" w:rsidR="00E528AB" w:rsidRDefault="00FA232D" w:rsidP="00FA232D">
      <w:pPr>
        <w:pStyle w:val="NormalWeb"/>
        <w:ind w:firstLine="708"/>
        <w:jc w:val="both"/>
        <w:rPr>
          <w:rFonts w:ascii="Abadi" w:hAnsi="Abadi"/>
          <w:sz w:val="21"/>
          <w:szCs w:val="21"/>
        </w:rPr>
      </w:pPr>
      <w:r>
        <w:rPr>
          <w:rFonts w:ascii="Abadi" w:hAnsi="Abadi"/>
          <w:b/>
          <w:bCs/>
          <w:sz w:val="21"/>
          <w:szCs w:val="21"/>
        </w:rPr>
        <w:t xml:space="preserve">- </w:t>
      </w:r>
      <w:r w:rsidR="00E528AB" w:rsidRPr="004539F1">
        <w:rPr>
          <w:rFonts w:ascii="Abadi" w:hAnsi="Abadi"/>
          <w:b/>
          <w:bCs/>
          <w:sz w:val="21"/>
          <w:szCs w:val="21"/>
        </w:rPr>
        <w:t xml:space="preserve">La </w:t>
      </w:r>
      <w:proofErr w:type="gramStart"/>
      <w:r w:rsidR="00E528AB" w:rsidRPr="004539F1">
        <w:rPr>
          <w:rFonts w:ascii="Abadi" w:hAnsi="Abadi"/>
          <w:b/>
          <w:bCs/>
          <w:sz w:val="21"/>
          <w:szCs w:val="21"/>
        </w:rPr>
        <w:t>Presidencia.-</w:t>
      </w:r>
      <w:proofErr w:type="gramEnd"/>
      <w:r w:rsidR="00E528AB">
        <w:rPr>
          <w:rFonts w:ascii="Abadi" w:hAnsi="Abadi"/>
          <w:sz w:val="21"/>
          <w:szCs w:val="21"/>
        </w:rPr>
        <w:t xml:space="preserve"> </w:t>
      </w:r>
      <w:r w:rsidR="00E528AB" w:rsidRPr="0021199F">
        <w:rPr>
          <w:rFonts w:ascii="Abadi" w:hAnsi="Abadi"/>
          <w:sz w:val="21"/>
          <w:szCs w:val="21"/>
        </w:rPr>
        <w:t>El dictamen ha sido aprobado por mayoría de votos</w:t>
      </w:r>
      <w:r w:rsidR="00E528AB">
        <w:rPr>
          <w:rFonts w:ascii="Abadi" w:hAnsi="Abadi"/>
          <w:sz w:val="21"/>
          <w:szCs w:val="21"/>
        </w:rPr>
        <w:t>.</w:t>
      </w:r>
      <w:r w:rsidR="00E528AB" w:rsidRPr="0021199F">
        <w:rPr>
          <w:rFonts w:ascii="Abadi" w:hAnsi="Abadi"/>
          <w:sz w:val="21"/>
          <w:szCs w:val="21"/>
        </w:rPr>
        <w:t xml:space="preserve"> </w:t>
      </w:r>
    </w:p>
    <w:p w14:paraId="27C39A05" w14:textId="57C43F8C" w:rsidR="00E528AB" w:rsidRDefault="00FA232D" w:rsidP="0090131E">
      <w:pPr>
        <w:pStyle w:val="NormalWeb"/>
        <w:ind w:firstLine="708"/>
        <w:jc w:val="both"/>
        <w:rPr>
          <w:rFonts w:ascii="Abadi" w:hAnsi="Abadi"/>
          <w:sz w:val="21"/>
          <w:szCs w:val="21"/>
        </w:rPr>
      </w:pPr>
      <w:r>
        <w:rPr>
          <w:rFonts w:ascii="Abadi" w:hAnsi="Abadi"/>
          <w:sz w:val="21"/>
          <w:szCs w:val="21"/>
        </w:rPr>
        <w:t xml:space="preserve">- </w:t>
      </w:r>
      <w:r w:rsidR="00E528AB">
        <w:rPr>
          <w:rFonts w:ascii="Abadi" w:hAnsi="Abadi"/>
          <w:sz w:val="21"/>
          <w:szCs w:val="21"/>
        </w:rPr>
        <w:t>E</w:t>
      </w:r>
      <w:r w:rsidR="00E528AB" w:rsidRPr="0021199F">
        <w:rPr>
          <w:rFonts w:ascii="Abadi" w:hAnsi="Abadi"/>
          <w:sz w:val="21"/>
          <w:szCs w:val="21"/>
        </w:rPr>
        <w:t>n consecuencia</w:t>
      </w:r>
      <w:r w:rsidR="00E528AB">
        <w:rPr>
          <w:rFonts w:ascii="Abadi" w:hAnsi="Abadi"/>
          <w:sz w:val="21"/>
          <w:szCs w:val="21"/>
        </w:rPr>
        <w:t xml:space="preserve">. </w:t>
      </w:r>
    </w:p>
    <w:p w14:paraId="15F87BC6" w14:textId="77777777" w:rsidR="00E528AB" w:rsidRPr="00565E2F" w:rsidRDefault="00E528AB" w:rsidP="00FA232D">
      <w:pPr>
        <w:pStyle w:val="NormalWeb"/>
        <w:ind w:left="284" w:right="354"/>
        <w:jc w:val="both"/>
        <w:rPr>
          <w:rFonts w:ascii="Abadi" w:hAnsi="Abadi"/>
          <w:b/>
          <w:bCs/>
          <w:i/>
          <w:iCs/>
          <w:sz w:val="21"/>
          <w:szCs w:val="21"/>
          <w:u w:val="single"/>
        </w:rPr>
      </w:pPr>
      <w:r w:rsidRPr="00565E2F">
        <w:rPr>
          <w:rFonts w:ascii="Abadi" w:hAnsi="Abadi"/>
          <w:b/>
          <w:bCs/>
          <w:i/>
          <w:iCs/>
          <w:sz w:val="21"/>
          <w:szCs w:val="21"/>
          <w:u w:val="single"/>
        </w:rPr>
        <w:t xml:space="preserve">Se instruye a la Secretaría General, para que procedan al archivo definitivo de la propuesta de punto de acuerdo referido en el dictamen aprobado. </w:t>
      </w:r>
    </w:p>
    <w:p w14:paraId="2D7590F0" w14:textId="12461E55" w:rsidR="0005522E" w:rsidRPr="004B6E28" w:rsidRDefault="0005522E" w:rsidP="00021259">
      <w:pPr>
        <w:autoSpaceDE w:val="0"/>
        <w:autoSpaceDN w:val="0"/>
        <w:adjustRightInd w:val="0"/>
        <w:jc w:val="both"/>
        <w:rPr>
          <w:rFonts w:ascii="Abadi" w:hAnsi="Abadi" w:cs="ArialMT"/>
          <w:sz w:val="20"/>
          <w:szCs w:val="21"/>
        </w:rPr>
      </w:pPr>
    </w:p>
    <w:p w14:paraId="16DAB892" w14:textId="77777777" w:rsidR="00021259" w:rsidRPr="00300604" w:rsidRDefault="00021259" w:rsidP="00343CA9">
      <w:pPr>
        <w:pStyle w:val="Prrafodelista"/>
        <w:numPr>
          <w:ilvl w:val="0"/>
          <w:numId w:val="21"/>
        </w:numPr>
        <w:autoSpaceDE w:val="0"/>
        <w:autoSpaceDN w:val="0"/>
        <w:adjustRightInd w:val="0"/>
        <w:ind w:left="426"/>
        <w:jc w:val="both"/>
        <w:rPr>
          <w:rFonts w:ascii="Abadi" w:hAnsi="Abadi" w:cs="ArialMT"/>
          <w:b/>
          <w:bCs/>
          <w:sz w:val="20"/>
          <w:szCs w:val="21"/>
        </w:rPr>
      </w:pPr>
      <w:r w:rsidRPr="00300604">
        <w:rPr>
          <w:rFonts w:ascii="Abadi" w:hAnsi="Abadi" w:cs="ArialMT"/>
          <w:b/>
          <w:bCs/>
          <w:sz w:val="20"/>
          <w:szCs w:val="21"/>
        </w:rPr>
        <w:t>DISCUSIÓN Y, EN SU CASO, APROBACIÓN DEL DICTAMEN SUSCRITO POR LA COMISIÓN DE GOBERNACIÓN Y PUNTOS CONSTITUCIONALES RELATIVO A LAS PROPUESTAS DE PUNTO DE ACUERDO, LA PRIMERA, SUSCRITA POR DIPUTADAS Y DIPUTADOS INTEGRANTES DEL GRUPO PARLAMENTARIO DEL PARTIDO ACCIÓN NACIONAL POR EL CUAL SE EFECTÚA UN RESPETUOSO EXHORTO A LA CÁMARA DE DIPUTADOS DEL HONORABLE CONGRESO DE LA UNIÓN, A EFECTO DE QUE NO SE APRUEBE LA INICIATIVA PRESENTADA POR EL PRESIDENTE DE LA REPÚBLICA, LICENCIADO ANDRÉS MANUEL LÓPEZ OBRADOR, POR LA QUE SE REFORMAN LOS ARTÍCULOS 25, 27 Y 28 DE LA CONSTITUCIÓN POLÍTICA DE LOS ESTADOS UNIDOS MEXICANOS, PRESENTADA ANTE ESA SOBERANÍA EL 1 DE OCTUBRE DEL PRESENTE AÑO, Y LA SEGUNDA, SUSCRITA POR EL DIPUTADO ERNESTO ALEJANDRO PRIETO GALLARDO INTEGRANTE DEL GRUPO PARLAMENTARIO DEL PARTIDO MORENA A EFECTO DE EXHORTAR AL CONGRESO DE LA UNIÓN, A TRAVÉS DE LA CÁMARA DE DIPUTADOS Y LA CÁMARA DE SENADORES A APROBAR LAS REFORMAS CONSTITUCIONALES Y DE LEYES SECUNDARIAS PLANTEADAS POR EL PRESIDENTE DE LA REPÚBLICA, EN EL TEMA DEL SECTOR ELÉCTRICO QUE REPRESENTAN BENEFICIOS PARA EL PUEBLO DE MÉXICO, FAVORECIENDO EL GASTO PÚBLICO Y EL FORTALECIMIENTO DEL SISTEMA ELÉCTRICO NACIONAL COMO SECTOR  ESTRATÉGICO.</w:t>
      </w:r>
    </w:p>
    <w:p w14:paraId="5FE780F8" w14:textId="6FCA2498" w:rsidR="00021259" w:rsidRDefault="00021259" w:rsidP="00021259">
      <w:pPr>
        <w:autoSpaceDE w:val="0"/>
        <w:autoSpaceDN w:val="0"/>
        <w:adjustRightInd w:val="0"/>
        <w:jc w:val="both"/>
        <w:rPr>
          <w:rFonts w:ascii="Abadi" w:hAnsi="Abadi" w:cs="ArialMT"/>
          <w:b/>
          <w:bCs/>
          <w:sz w:val="20"/>
          <w:szCs w:val="21"/>
        </w:rPr>
      </w:pPr>
    </w:p>
    <w:p w14:paraId="38EAD50E" w14:textId="1AA1DFAF" w:rsidR="00D522A6" w:rsidRPr="00F40E63" w:rsidRDefault="00D522A6" w:rsidP="00021259">
      <w:pPr>
        <w:autoSpaceDE w:val="0"/>
        <w:autoSpaceDN w:val="0"/>
        <w:adjustRightInd w:val="0"/>
        <w:jc w:val="both"/>
        <w:rPr>
          <w:rFonts w:ascii="Abadi" w:hAnsi="Abadi" w:cs="ArialMT"/>
          <w:b/>
          <w:bCs/>
          <w:sz w:val="21"/>
          <w:szCs w:val="21"/>
        </w:rPr>
      </w:pPr>
    </w:p>
    <w:p w14:paraId="2F3BA6E0" w14:textId="77777777" w:rsidR="00D522A6" w:rsidRPr="00F40E63" w:rsidRDefault="00D522A6" w:rsidP="00D522A6">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 xml:space="preserve">C. DIPUTADA IRMA LETICIA GONZÁ LEZ SÁNCHEZ PRESIDENTA DEL CONGRESO DEL ESTADO      </w:t>
      </w:r>
    </w:p>
    <w:p w14:paraId="1E7DB565" w14:textId="77777777" w:rsidR="00D522A6" w:rsidRPr="00F40E63" w:rsidRDefault="00D522A6" w:rsidP="00D522A6">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 xml:space="preserve">P R E S EN T E </w:t>
      </w:r>
    </w:p>
    <w:p w14:paraId="57A4AB3F" w14:textId="77777777" w:rsidR="00D522A6" w:rsidRPr="00F40E63" w:rsidRDefault="00D522A6" w:rsidP="00D522A6">
      <w:pPr>
        <w:autoSpaceDE w:val="0"/>
        <w:autoSpaceDN w:val="0"/>
        <w:adjustRightInd w:val="0"/>
        <w:jc w:val="both"/>
        <w:rPr>
          <w:rFonts w:ascii="Abadi" w:hAnsi="Abadi" w:cs="ArialMT"/>
          <w:b/>
          <w:bCs/>
          <w:sz w:val="21"/>
          <w:szCs w:val="21"/>
          <w:lang w:val="es-MX"/>
        </w:rPr>
      </w:pPr>
    </w:p>
    <w:p w14:paraId="634A7BA2" w14:textId="77777777" w:rsidR="00D522A6" w:rsidRPr="00F40E63" w:rsidRDefault="00D522A6" w:rsidP="00D522A6">
      <w:pPr>
        <w:autoSpaceDE w:val="0"/>
        <w:autoSpaceDN w:val="0"/>
        <w:adjustRightInd w:val="0"/>
        <w:jc w:val="both"/>
        <w:rPr>
          <w:rFonts w:ascii="Abadi" w:hAnsi="Abadi" w:cs="ArialMT"/>
          <w:b/>
          <w:bCs/>
          <w:sz w:val="21"/>
          <w:szCs w:val="21"/>
          <w:lang w:val="es-MX"/>
        </w:rPr>
      </w:pPr>
    </w:p>
    <w:p w14:paraId="3B75D755" w14:textId="77777777" w:rsidR="00D522A6" w:rsidRPr="00F40E63" w:rsidRDefault="00D522A6" w:rsidP="00D522A6">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Las diputadas y los diputados que integramos la Comisión de Gobernación y Puntos Constitucionales de la Sexagésima Quinta Legislatura, recibimos para efecto de estudio y dictamen, las propuestas de punto de acuerdo suscritas, la primera por diputadas y diputados integrantes del Grupo Parlamentario del Partido Acción Nacional por el cual se efectúa un respetuoso exhorto a la Cámara de Diputados del Honorable Congreso de la Unión, a efecto de que no se apruebe la iniciativa presentada por el Presidente de la República, licenciado Andrés Manuel López Obrador, por la que se reforman los  artículos  25, 27 y 28 de la Constitución Política de los Estados Unidos Mexicanos, presentada ante esa Soberanía el 1 de  octubre del presente año, y la segunda, suscrita por el diputado Ernesto Alejandro Prieto Gallardo integrante del Grupo Parlamentario del Partido MORENA a efecto de exhortar al Congreso de la Unión, a través de la Cámara de Diputados y la Cámara de Senadores a aprobar las reformas constitucionales y de leyes secundarias planteadas por el Presidente de la República, en el tema del sector eléctrico que representan beneficios para el pueblo de México, favoreciendo el gasto público y el fortalecimiento del sistema eléctrico nacional como sector estratégico.</w:t>
      </w:r>
    </w:p>
    <w:p w14:paraId="32D2BDC8" w14:textId="77777777" w:rsidR="00D522A6" w:rsidRPr="00F40E63" w:rsidRDefault="00D522A6" w:rsidP="00D522A6">
      <w:pPr>
        <w:autoSpaceDE w:val="0"/>
        <w:autoSpaceDN w:val="0"/>
        <w:adjustRightInd w:val="0"/>
        <w:jc w:val="both"/>
        <w:rPr>
          <w:rFonts w:ascii="Abadi" w:hAnsi="Abadi" w:cs="ArialMT"/>
          <w:sz w:val="21"/>
          <w:szCs w:val="21"/>
          <w:lang w:val="es-MX"/>
        </w:rPr>
      </w:pPr>
    </w:p>
    <w:p w14:paraId="59C77CB1" w14:textId="77777777" w:rsidR="00D522A6" w:rsidRPr="00F40E63" w:rsidRDefault="00D522A6" w:rsidP="00D522A6">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Con fundamento en los artículos 111, fracción XIX y 171 de la Ley Orgánica del Poder Legislativo, formulamos a la Asamblea el siguiente:</w:t>
      </w:r>
    </w:p>
    <w:p w14:paraId="550786BD" w14:textId="77777777" w:rsidR="00D522A6" w:rsidRPr="00F40E63" w:rsidRDefault="00D522A6" w:rsidP="00D522A6">
      <w:pPr>
        <w:autoSpaceDE w:val="0"/>
        <w:autoSpaceDN w:val="0"/>
        <w:adjustRightInd w:val="0"/>
        <w:jc w:val="both"/>
        <w:rPr>
          <w:rFonts w:ascii="Abadi" w:hAnsi="Abadi" w:cs="ArialMT"/>
          <w:sz w:val="21"/>
          <w:szCs w:val="21"/>
          <w:lang w:val="es-MX"/>
        </w:rPr>
      </w:pPr>
    </w:p>
    <w:p w14:paraId="1CC8E4D7" w14:textId="77777777" w:rsidR="00D522A6" w:rsidRPr="00F40E63" w:rsidRDefault="00D522A6" w:rsidP="00D522A6">
      <w:pPr>
        <w:autoSpaceDE w:val="0"/>
        <w:autoSpaceDN w:val="0"/>
        <w:adjustRightInd w:val="0"/>
        <w:jc w:val="both"/>
        <w:rPr>
          <w:rFonts w:ascii="Abadi" w:hAnsi="Abadi" w:cs="ArialMT"/>
          <w:b/>
          <w:bCs/>
          <w:sz w:val="21"/>
          <w:szCs w:val="21"/>
          <w:lang w:val="es-MX"/>
        </w:rPr>
      </w:pPr>
    </w:p>
    <w:p w14:paraId="61FFE053" w14:textId="77777777" w:rsidR="00D522A6" w:rsidRPr="00F40E63" w:rsidRDefault="00D522A6" w:rsidP="00381247">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DICTAMEN</w:t>
      </w:r>
    </w:p>
    <w:p w14:paraId="304DB049" w14:textId="77777777" w:rsidR="00D522A6" w:rsidRPr="00F40E63" w:rsidRDefault="00D522A6" w:rsidP="00D522A6">
      <w:pPr>
        <w:autoSpaceDE w:val="0"/>
        <w:autoSpaceDN w:val="0"/>
        <w:adjustRightInd w:val="0"/>
        <w:jc w:val="both"/>
        <w:rPr>
          <w:rFonts w:ascii="Abadi" w:hAnsi="Abadi" w:cs="ArialMT"/>
          <w:sz w:val="21"/>
          <w:szCs w:val="21"/>
          <w:lang w:val="es-MX"/>
        </w:rPr>
      </w:pPr>
    </w:p>
    <w:p w14:paraId="2F70BC15" w14:textId="77777777" w:rsidR="00D522A6" w:rsidRPr="00F40E63" w:rsidRDefault="00D522A6" w:rsidP="0019343A">
      <w:pPr>
        <w:numPr>
          <w:ilvl w:val="0"/>
          <w:numId w:val="56"/>
        </w:num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Del Proceso Legislativo</w:t>
      </w:r>
    </w:p>
    <w:p w14:paraId="12EC4A1F" w14:textId="77777777" w:rsidR="00D522A6" w:rsidRPr="00F40E63" w:rsidRDefault="00D522A6" w:rsidP="00D522A6">
      <w:pPr>
        <w:autoSpaceDE w:val="0"/>
        <w:autoSpaceDN w:val="0"/>
        <w:adjustRightInd w:val="0"/>
        <w:jc w:val="both"/>
        <w:rPr>
          <w:rFonts w:ascii="Abadi" w:hAnsi="Abadi" w:cs="ArialMT"/>
          <w:sz w:val="21"/>
          <w:szCs w:val="21"/>
          <w:lang w:val="es-MX"/>
        </w:rPr>
      </w:pPr>
    </w:p>
    <w:p w14:paraId="3FF48A57" w14:textId="1F4587DF" w:rsidR="00E84BF3" w:rsidRPr="00F40E63" w:rsidRDefault="00D522A6" w:rsidP="0019343A">
      <w:pPr>
        <w:pStyle w:val="Prrafodelista"/>
        <w:numPr>
          <w:ilvl w:val="1"/>
          <w:numId w:val="56"/>
        </w:numPr>
        <w:autoSpaceDE w:val="0"/>
        <w:autoSpaceDN w:val="0"/>
        <w:adjustRightInd w:val="0"/>
        <w:jc w:val="both"/>
        <w:rPr>
          <w:rFonts w:ascii="Abadi" w:hAnsi="Abadi" w:cs="ArialMT"/>
          <w:b/>
          <w:bCs/>
          <w:sz w:val="21"/>
          <w:szCs w:val="21"/>
          <w:lang w:val="es-MX"/>
        </w:rPr>
      </w:pPr>
      <w:r w:rsidRPr="00F40E63">
        <w:rPr>
          <w:rFonts w:ascii="Abadi" w:hAnsi="Abadi" w:cs="ArialMT"/>
          <w:sz w:val="21"/>
          <w:szCs w:val="21"/>
          <w:lang w:val="es-MX"/>
        </w:rPr>
        <w:t>En sesiones del 7 y 21 de octubre de 2021 ingresaron respectivamente las propuestas</w:t>
      </w:r>
      <w:r w:rsidRPr="00F40E63">
        <w:rPr>
          <w:rFonts w:ascii="Abadi" w:hAnsi="Abadi" w:cs="ArialMT"/>
          <w:b/>
          <w:bCs/>
          <w:sz w:val="21"/>
          <w:szCs w:val="21"/>
          <w:lang w:val="es-MX"/>
        </w:rPr>
        <w:t xml:space="preserve"> </w:t>
      </w:r>
      <w:r w:rsidRPr="00F40E63">
        <w:rPr>
          <w:rFonts w:ascii="Abadi" w:hAnsi="Abadi" w:cs="ArialMT"/>
          <w:sz w:val="21"/>
          <w:szCs w:val="21"/>
          <w:lang w:val="es-MX"/>
        </w:rPr>
        <w:t>de punto de acuerdo, la primera por diputadas y diputados integrantes del Grupo Parlamentario del Partido Acción Nacional por el cual se efectúa un respetuoso exhorto a la Cámara de Diputados del Honorable Congreso de la Unión, a efecto de que no se apruebe la iniciativa presentada por el Presidente de la República, licenciado Andrés Manuel López Obrador, por la que se reforman los artículos 25, 27 y 28 de la Constitución Política de los Estados Unidos Mexicanos, presentada ante esa Soberanía el 1 de octubre del presente año, y la segunda, suscrita por el diputado Ernesto Alejandro Prieto Gallardo integrante del Grupo Parlamentario del Partido MORENA a efecto de exhortar al Congreso de la Unión, a través de la Cámara de Diputados y la Cámara de Senadores a aprobar las reformas constitucionales y de leyes secundarias planteadas por el Presidente de la República, en el tema del sector eléctrico que representan beneficios para el pueblo de México, favoreciendo el gasto público y el fortalecimiento del sistema eléctrico nacional como sector estratégico, turnándose en su momento cada una por la presidencia del Congreso a la Comisión de Gobernación y Puntos Constitucionales, con fundamento en lo dispuesto por el artículo 111, fracción XIX de la Ley Orgánica del Poder legislativo del Estado de Guanajuato.</w:t>
      </w:r>
    </w:p>
    <w:p w14:paraId="497A272A" w14:textId="77777777" w:rsidR="00A26868" w:rsidRPr="00F40E63" w:rsidRDefault="00A26868" w:rsidP="00A26868">
      <w:pPr>
        <w:pStyle w:val="Prrafodelista"/>
        <w:autoSpaceDE w:val="0"/>
        <w:autoSpaceDN w:val="0"/>
        <w:adjustRightInd w:val="0"/>
        <w:ind w:left="720"/>
        <w:jc w:val="both"/>
        <w:rPr>
          <w:rFonts w:ascii="Abadi" w:hAnsi="Abadi" w:cs="ArialMT"/>
          <w:b/>
          <w:bCs/>
          <w:sz w:val="21"/>
          <w:szCs w:val="21"/>
          <w:lang w:val="es-MX"/>
        </w:rPr>
      </w:pPr>
    </w:p>
    <w:p w14:paraId="1A9EB44D" w14:textId="77777777" w:rsidR="00A26868" w:rsidRPr="00F40E63" w:rsidRDefault="00D522A6" w:rsidP="0019343A">
      <w:pPr>
        <w:pStyle w:val="Prrafodelista"/>
        <w:numPr>
          <w:ilvl w:val="1"/>
          <w:numId w:val="56"/>
        </w:numPr>
        <w:autoSpaceDE w:val="0"/>
        <w:autoSpaceDN w:val="0"/>
        <w:adjustRightInd w:val="0"/>
        <w:jc w:val="both"/>
        <w:rPr>
          <w:rFonts w:ascii="Abadi" w:hAnsi="Abadi" w:cs="ArialMT"/>
          <w:b/>
          <w:bCs/>
          <w:sz w:val="21"/>
          <w:szCs w:val="21"/>
          <w:lang w:val="es-MX"/>
        </w:rPr>
      </w:pPr>
      <w:r w:rsidRPr="00F40E63">
        <w:rPr>
          <w:rFonts w:ascii="Abadi" w:hAnsi="Abadi" w:cs="ArialMT"/>
          <w:sz w:val="21"/>
          <w:szCs w:val="21"/>
          <w:lang w:val="es-MX"/>
        </w:rPr>
        <w:t>En reuniones de la Comisión de Gobernación y Puntos Constitucionales, de fecha 11 de octubre y 2 de noviembre de 2021, se radicaron respectivamente las propuestas de punto de acuerdo.</w:t>
      </w:r>
    </w:p>
    <w:p w14:paraId="55779B4E" w14:textId="77777777" w:rsidR="00A26868" w:rsidRPr="00F40E63" w:rsidRDefault="00A26868" w:rsidP="00A26868">
      <w:pPr>
        <w:pStyle w:val="Prrafodelista"/>
        <w:rPr>
          <w:rFonts w:ascii="Abadi" w:hAnsi="Abadi" w:cs="ArialMT"/>
          <w:sz w:val="21"/>
          <w:szCs w:val="21"/>
          <w:lang w:val="es-MX"/>
        </w:rPr>
      </w:pPr>
    </w:p>
    <w:p w14:paraId="15E93EC9" w14:textId="256E7C2E" w:rsidR="00D522A6" w:rsidRPr="00F40E63" w:rsidRDefault="00D522A6" w:rsidP="0019343A">
      <w:pPr>
        <w:pStyle w:val="Prrafodelista"/>
        <w:numPr>
          <w:ilvl w:val="1"/>
          <w:numId w:val="56"/>
        </w:numPr>
        <w:autoSpaceDE w:val="0"/>
        <w:autoSpaceDN w:val="0"/>
        <w:adjustRightInd w:val="0"/>
        <w:jc w:val="both"/>
        <w:rPr>
          <w:rFonts w:ascii="Abadi" w:hAnsi="Abadi" w:cs="ArialMT"/>
          <w:b/>
          <w:bCs/>
          <w:sz w:val="21"/>
          <w:szCs w:val="21"/>
          <w:lang w:val="es-MX"/>
        </w:rPr>
      </w:pPr>
      <w:r w:rsidRPr="00F40E63">
        <w:rPr>
          <w:rFonts w:ascii="Abadi" w:hAnsi="Abadi" w:cs="ArialMT"/>
          <w:sz w:val="21"/>
          <w:szCs w:val="21"/>
          <w:lang w:val="es-MX"/>
        </w:rPr>
        <w:t>La presidencia de la Comisión de Gobernación y Puntos Constitucionales instruyó a la Secretaría Técnica para que elaborara el proyecto de dictamen de ambas propuestas en sentido negativo, con fundamento en lo dispuesto en los artículos 94, fracción VII y 272, fracción VIII inciso e de la Ley Orgánica del Poder Legislativo del Estado de Guanajuato, mismo que fue materia de revisión por las diputadas y los diputados integrantes de esta comisión dictaminadora.</w:t>
      </w:r>
    </w:p>
    <w:p w14:paraId="301A642F" w14:textId="77777777" w:rsidR="00D522A6" w:rsidRPr="00F40E63" w:rsidRDefault="00D522A6" w:rsidP="00D522A6">
      <w:pPr>
        <w:autoSpaceDE w:val="0"/>
        <w:autoSpaceDN w:val="0"/>
        <w:adjustRightInd w:val="0"/>
        <w:jc w:val="both"/>
        <w:rPr>
          <w:rFonts w:ascii="Abadi" w:hAnsi="Abadi" w:cs="ArialMT"/>
          <w:sz w:val="21"/>
          <w:szCs w:val="21"/>
          <w:lang w:val="es-MX"/>
        </w:rPr>
      </w:pPr>
    </w:p>
    <w:p w14:paraId="7F823DA1" w14:textId="77777777" w:rsidR="00D522A6" w:rsidRPr="00F40E63" w:rsidRDefault="00D522A6" w:rsidP="0019343A">
      <w:pPr>
        <w:numPr>
          <w:ilvl w:val="0"/>
          <w:numId w:val="56"/>
        </w:numPr>
        <w:autoSpaceDE w:val="0"/>
        <w:autoSpaceDN w:val="0"/>
        <w:adjustRightInd w:val="0"/>
        <w:jc w:val="both"/>
        <w:rPr>
          <w:rFonts w:ascii="Abadi" w:hAnsi="Abadi" w:cs="ArialMT"/>
          <w:sz w:val="21"/>
          <w:szCs w:val="21"/>
          <w:lang w:val="es-MX"/>
        </w:rPr>
      </w:pPr>
      <w:r w:rsidRPr="00F40E63">
        <w:rPr>
          <w:rFonts w:ascii="Abadi" w:hAnsi="Abadi" w:cs="ArialMT"/>
          <w:b/>
          <w:bCs/>
          <w:sz w:val="21"/>
          <w:szCs w:val="21"/>
          <w:lang w:val="es-MX"/>
        </w:rPr>
        <w:t>Valoración de las propuestas y consideraciones de la Comisión de Gobernación y Puntos Constitucionales</w:t>
      </w:r>
    </w:p>
    <w:p w14:paraId="610D8525" w14:textId="77777777" w:rsidR="00A26868" w:rsidRPr="00F40E63" w:rsidRDefault="00D522A6" w:rsidP="00D522A6">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ab/>
      </w:r>
      <w:r w:rsidRPr="00F40E63">
        <w:rPr>
          <w:rFonts w:ascii="Abadi" w:hAnsi="Abadi" w:cs="ArialMT"/>
          <w:b/>
          <w:bCs/>
          <w:sz w:val="21"/>
          <w:szCs w:val="21"/>
          <w:lang w:val="es-MX"/>
        </w:rPr>
        <w:tab/>
      </w:r>
    </w:p>
    <w:p w14:paraId="42835288" w14:textId="5EB9BA53" w:rsidR="00D522A6" w:rsidRPr="00F40E63" w:rsidRDefault="00D522A6" w:rsidP="00A26868">
      <w:pPr>
        <w:autoSpaceDE w:val="0"/>
        <w:autoSpaceDN w:val="0"/>
        <w:adjustRightInd w:val="0"/>
        <w:ind w:firstLine="360"/>
        <w:jc w:val="both"/>
        <w:rPr>
          <w:rFonts w:ascii="Abadi" w:hAnsi="Abadi" w:cs="ArialMT"/>
          <w:sz w:val="21"/>
          <w:szCs w:val="21"/>
          <w:lang w:val="es-MX"/>
        </w:rPr>
      </w:pPr>
      <w:r w:rsidRPr="00F40E63">
        <w:rPr>
          <w:rFonts w:ascii="Abadi" w:hAnsi="Abadi" w:cs="ArialMT"/>
          <w:sz w:val="21"/>
          <w:szCs w:val="21"/>
          <w:lang w:val="es-MX"/>
        </w:rPr>
        <w:t>Quienes integramos la comisión dictaminadora, referenciamos los puntos sobre los cuales versan las propuestas, que tienen como objeto exhortar por un lado a la Cámara de Diputados del Congreso de la Unión, a efecto de que no se apruebe la iniciativa presentada por el Presidente de la República, licenciado Andrés Manuel López Obrador, por la que se reforman los artículos 25, 27 y 28 de la Constitución Política de los Estados Unidos Mexicanos y, por el otro, a exhortar a dicha Cámara de Diputados y la Cámara de Senadores, a aprobar las reformas constitucionales y de leyes secundarias planteadas por el Presidente de la República, en el tema del sector eléctrico.</w:t>
      </w:r>
    </w:p>
    <w:p w14:paraId="43020DCA" w14:textId="77777777" w:rsidR="00D522A6" w:rsidRPr="00F40E63" w:rsidRDefault="00D522A6" w:rsidP="00D522A6">
      <w:pPr>
        <w:autoSpaceDE w:val="0"/>
        <w:autoSpaceDN w:val="0"/>
        <w:adjustRightInd w:val="0"/>
        <w:jc w:val="both"/>
        <w:rPr>
          <w:rFonts w:ascii="Abadi" w:hAnsi="Abadi" w:cs="ArialMT"/>
          <w:sz w:val="21"/>
          <w:szCs w:val="21"/>
          <w:lang w:val="es-MX"/>
        </w:rPr>
      </w:pPr>
    </w:p>
    <w:p w14:paraId="40D7C4D1" w14:textId="77777777" w:rsidR="00D522A6" w:rsidRPr="00F40E63" w:rsidRDefault="00D522A6" w:rsidP="00D522A6">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Las y los iniciantes de la primera propuesta expusieron en sus consideraciones lo siguiente:</w:t>
      </w:r>
    </w:p>
    <w:p w14:paraId="30A655E0" w14:textId="77777777" w:rsidR="00D522A6" w:rsidRPr="00F40E63" w:rsidRDefault="00D522A6" w:rsidP="00D522A6">
      <w:pPr>
        <w:autoSpaceDE w:val="0"/>
        <w:autoSpaceDN w:val="0"/>
        <w:adjustRightInd w:val="0"/>
        <w:jc w:val="both"/>
        <w:rPr>
          <w:rFonts w:ascii="Abadi" w:hAnsi="Abadi" w:cs="ArialMT"/>
          <w:i/>
          <w:iCs/>
          <w:sz w:val="21"/>
          <w:szCs w:val="21"/>
          <w:lang w:val="es-MX"/>
        </w:rPr>
      </w:pPr>
    </w:p>
    <w:p w14:paraId="783944F1" w14:textId="77777777" w:rsidR="00D522A6" w:rsidRPr="00F40E63" w:rsidRDefault="00D522A6" w:rsidP="00CD77B0">
      <w:pPr>
        <w:autoSpaceDE w:val="0"/>
        <w:autoSpaceDN w:val="0"/>
        <w:adjustRightInd w:val="0"/>
        <w:ind w:left="284" w:right="354"/>
        <w:jc w:val="both"/>
        <w:rPr>
          <w:rFonts w:ascii="Abadi" w:hAnsi="Abadi" w:cs="ArialMT"/>
          <w:sz w:val="21"/>
          <w:szCs w:val="21"/>
          <w:lang w:val="es-MX"/>
        </w:rPr>
      </w:pPr>
      <w:r w:rsidRPr="00F40E63">
        <w:rPr>
          <w:rFonts w:ascii="Abadi" w:hAnsi="Abadi" w:cs="ArialMT"/>
          <w:i/>
          <w:iCs/>
          <w:sz w:val="21"/>
          <w:szCs w:val="21"/>
          <w:lang w:val="es-MX"/>
        </w:rPr>
        <w:tab/>
      </w:r>
      <w:r w:rsidRPr="00F40E63">
        <w:rPr>
          <w:rFonts w:ascii="Abadi" w:hAnsi="Abadi" w:cs="ArialMT"/>
          <w:i/>
          <w:iCs/>
          <w:sz w:val="21"/>
          <w:szCs w:val="21"/>
          <w:lang w:val="es-MX"/>
        </w:rPr>
        <w:tab/>
        <w:t xml:space="preserve">«(...] El 1 </w:t>
      </w:r>
      <w:r w:rsidRPr="00F40E63">
        <w:rPr>
          <w:rFonts w:ascii="Abadi" w:hAnsi="Abadi" w:cs="ArialMT"/>
          <w:sz w:val="21"/>
          <w:szCs w:val="21"/>
          <w:lang w:val="es-MX"/>
        </w:rPr>
        <w:t xml:space="preserve">º </w:t>
      </w:r>
      <w:r w:rsidRPr="00F40E63">
        <w:rPr>
          <w:rFonts w:ascii="Abadi" w:hAnsi="Abadi" w:cs="ArialMT"/>
          <w:i/>
          <w:iCs/>
          <w:sz w:val="21"/>
          <w:szCs w:val="21"/>
          <w:lang w:val="es-MX"/>
        </w:rPr>
        <w:t xml:space="preserve">de octubre de 2021, el titular del poder ejecutivo Federal, presentó a la Cámara de Diputados del Honorable Congreso de la Unión una iniciativa con proyecto de decreto por la que se pretende reformar los artículos 25, </w:t>
      </w:r>
      <w:r w:rsidRPr="00F40E63">
        <w:rPr>
          <w:rFonts w:ascii="Abadi" w:hAnsi="Abadi" w:cs="ArialMT"/>
          <w:sz w:val="21"/>
          <w:szCs w:val="21"/>
          <w:lang w:val="es-MX"/>
        </w:rPr>
        <w:t xml:space="preserve">27 </w:t>
      </w:r>
      <w:r w:rsidRPr="00F40E63">
        <w:rPr>
          <w:rFonts w:ascii="Abadi" w:hAnsi="Abadi" w:cs="ArialMT"/>
          <w:i/>
          <w:iCs/>
          <w:sz w:val="21"/>
          <w:szCs w:val="21"/>
          <w:lang w:val="es-MX"/>
        </w:rPr>
        <w:t>y 28 de la Constitución Política de los Estados Unidos Mexicanos.</w:t>
      </w:r>
    </w:p>
    <w:p w14:paraId="4816D832" w14:textId="77777777" w:rsidR="00D522A6" w:rsidRPr="00F40E63" w:rsidRDefault="00D522A6" w:rsidP="00CD77B0">
      <w:pPr>
        <w:autoSpaceDE w:val="0"/>
        <w:autoSpaceDN w:val="0"/>
        <w:adjustRightInd w:val="0"/>
        <w:ind w:left="284" w:right="354"/>
        <w:jc w:val="both"/>
        <w:rPr>
          <w:rFonts w:ascii="Abadi" w:hAnsi="Abadi" w:cs="ArialMT"/>
          <w:i/>
          <w:iCs/>
          <w:sz w:val="21"/>
          <w:szCs w:val="21"/>
          <w:lang w:val="es-MX"/>
        </w:rPr>
      </w:pPr>
      <w:r w:rsidRPr="00F40E63">
        <w:rPr>
          <w:rFonts w:ascii="Abadi" w:hAnsi="Abadi" w:cs="ArialMT"/>
          <w:sz w:val="21"/>
          <w:szCs w:val="21"/>
          <w:lang w:val="es-MX"/>
        </w:rPr>
        <w:t>Como e</w:t>
      </w:r>
      <w:r w:rsidRPr="00F40E63">
        <w:rPr>
          <w:rFonts w:ascii="Abadi" w:hAnsi="Abadi" w:cs="ArialMT"/>
          <w:i/>
          <w:iCs/>
          <w:sz w:val="21"/>
          <w:szCs w:val="21"/>
          <w:lang w:val="es-MX"/>
        </w:rPr>
        <w:t xml:space="preserve">s de conocimiento general diversas organizaciones especialistas en materia de competitividad y desarrollo social y económico han advertido los graves riesgos que una reforma de esta naturaleza representaría para nuestro país. Quienes integramos el Grupo Parlamentario del Partido Acción Nacional entendemos el papel </w:t>
      </w:r>
      <w:r w:rsidRPr="00F40E63">
        <w:rPr>
          <w:rFonts w:ascii="Abadi" w:hAnsi="Abadi" w:cs="ArialMT"/>
          <w:sz w:val="21"/>
          <w:szCs w:val="21"/>
          <w:lang w:val="es-MX"/>
        </w:rPr>
        <w:t xml:space="preserve">rector </w:t>
      </w:r>
      <w:r w:rsidRPr="00F40E63">
        <w:rPr>
          <w:rFonts w:ascii="Abadi" w:hAnsi="Abadi" w:cs="ArialMT"/>
          <w:i/>
          <w:iCs/>
          <w:sz w:val="21"/>
          <w:szCs w:val="21"/>
          <w:lang w:val="es-MX"/>
        </w:rPr>
        <w:t xml:space="preserve">del estado en el desarrollo económico </w:t>
      </w:r>
      <w:r w:rsidRPr="00F40E63">
        <w:rPr>
          <w:rFonts w:ascii="Abadi" w:hAnsi="Abadi" w:cs="ArialMT"/>
          <w:sz w:val="21"/>
          <w:szCs w:val="21"/>
          <w:lang w:val="es-MX"/>
        </w:rPr>
        <w:t xml:space="preserve">como </w:t>
      </w:r>
      <w:r w:rsidRPr="00F40E63">
        <w:rPr>
          <w:rFonts w:ascii="Abadi" w:hAnsi="Abadi" w:cs="ArialMT"/>
          <w:i/>
          <w:iCs/>
          <w:sz w:val="21"/>
          <w:szCs w:val="21"/>
          <w:lang w:val="es-MX"/>
        </w:rPr>
        <w:t xml:space="preserve">una posibilidad para innovar y adaptarnos al entorno, y no </w:t>
      </w:r>
      <w:r w:rsidRPr="00F40E63">
        <w:rPr>
          <w:rFonts w:ascii="Abadi" w:hAnsi="Abadi" w:cs="ArialMT"/>
          <w:sz w:val="21"/>
          <w:szCs w:val="21"/>
          <w:lang w:val="es-MX"/>
        </w:rPr>
        <w:t xml:space="preserve">como </w:t>
      </w:r>
      <w:r w:rsidRPr="00F40E63">
        <w:rPr>
          <w:rFonts w:ascii="Abadi" w:hAnsi="Abadi" w:cs="ArialMT"/>
          <w:i/>
          <w:iCs/>
          <w:sz w:val="21"/>
          <w:szCs w:val="21"/>
          <w:lang w:val="es-MX"/>
        </w:rPr>
        <w:t>un rechazo irrazonable a las tendencias mundiales de prosperidad, se refleja en la iniciativa que presentó el presidente.</w:t>
      </w:r>
    </w:p>
    <w:p w14:paraId="2F70DFBD" w14:textId="77777777" w:rsidR="00D522A6" w:rsidRPr="00F40E63" w:rsidRDefault="00D522A6" w:rsidP="00CD77B0">
      <w:pPr>
        <w:autoSpaceDE w:val="0"/>
        <w:autoSpaceDN w:val="0"/>
        <w:adjustRightInd w:val="0"/>
        <w:ind w:left="284" w:right="354" w:hanging="284"/>
        <w:jc w:val="both"/>
        <w:rPr>
          <w:rFonts w:ascii="Abadi" w:hAnsi="Abadi" w:cs="ArialMT"/>
          <w:i/>
          <w:iCs/>
          <w:sz w:val="21"/>
          <w:szCs w:val="21"/>
          <w:lang w:val="es-MX"/>
        </w:rPr>
      </w:pPr>
    </w:p>
    <w:p w14:paraId="18442CE1" w14:textId="77777777" w:rsidR="00D522A6" w:rsidRPr="00F40E63" w:rsidRDefault="00D522A6" w:rsidP="00CD77B0">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Nuestra actual Constitución Política de los Estados Unidos Mexicanos es síntesis de procesos históricos, del liberalismo ilustrado de la Constitución de 1857 y del Constitucionalismo Social de 1917. La segunda se superpone a la primera, modificándola, particularmente en el campo social, </w:t>
      </w:r>
      <w:r w:rsidRPr="00F40E63">
        <w:rPr>
          <w:rFonts w:ascii="Abadi" w:hAnsi="Abadi" w:cs="ArialMT"/>
          <w:sz w:val="21"/>
          <w:szCs w:val="21"/>
          <w:lang w:val="es-MX"/>
        </w:rPr>
        <w:t xml:space="preserve">como </w:t>
      </w:r>
      <w:r w:rsidRPr="00F40E63">
        <w:rPr>
          <w:rFonts w:ascii="Abadi" w:hAnsi="Abadi" w:cs="ArialMT"/>
          <w:i/>
          <w:iCs/>
          <w:sz w:val="21"/>
          <w:szCs w:val="21"/>
          <w:lang w:val="es-MX"/>
        </w:rPr>
        <w:t>lo señalamos, con base en el progreso social, económico y político de aquel momento histórico. Nuestra constitución ha servido para orientar cambios, recoger reclamos y necesidades y para adecuarnos a las circunstancias del país y del mundo en un momento dado.</w:t>
      </w:r>
    </w:p>
    <w:p w14:paraId="0A7A77B4" w14:textId="77777777" w:rsidR="00D522A6" w:rsidRPr="00F40E63" w:rsidRDefault="00D522A6" w:rsidP="00CD77B0">
      <w:pPr>
        <w:autoSpaceDE w:val="0"/>
        <w:autoSpaceDN w:val="0"/>
        <w:adjustRightInd w:val="0"/>
        <w:ind w:left="284" w:right="354" w:hanging="284"/>
        <w:jc w:val="both"/>
        <w:rPr>
          <w:rFonts w:ascii="Abadi" w:hAnsi="Abadi" w:cs="ArialMT"/>
          <w:i/>
          <w:iCs/>
          <w:sz w:val="21"/>
          <w:szCs w:val="21"/>
          <w:lang w:val="es-MX"/>
        </w:rPr>
      </w:pPr>
    </w:p>
    <w:p w14:paraId="174EDE34" w14:textId="77777777" w:rsidR="00D522A6" w:rsidRPr="00F40E63" w:rsidRDefault="00D522A6" w:rsidP="00CD77B0">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Sin embargo, lo que advertimos en la iniciativa que presentó el presidente de la república, es contrario a las corrientes del progreso social, económico y político de nuestros tiempos. Es retrograda, vulnera el régimen de una economía mixta, </w:t>
      </w:r>
      <w:r w:rsidRPr="00F40E63">
        <w:rPr>
          <w:rFonts w:ascii="Abadi" w:hAnsi="Abadi" w:cs="ArialMT"/>
          <w:sz w:val="21"/>
          <w:szCs w:val="21"/>
          <w:lang w:val="es-MX"/>
        </w:rPr>
        <w:t xml:space="preserve">como </w:t>
      </w:r>
      <w:r w:rsidRPr="00F40E63">
        <w:rPr>
          <w:rFonts w:ascii="Abadi" w:hAnsi="Abadi" w:cs="ArialMT"/>
          <w:i/>
          <w:iCs/>
          <w:sz w:val="21"/>
          <w:szCs w:val="21"/>
          <w:lang w:val="es-MX"/>
        </w:rPr>
        <w:t xml:space="preserve">la mexicana, en el que debería confluir el sector público, social y privado; trastoca a la política industrial moderna, en la que el Estado se asume </w:t>
      </w:r>
      <w:r w:rsidRPr="00F40E63">
        <w:rPr>
          <w:rFonts w:ascii="Abadi" w:hAnsi="Abadi" w:cs="ArialMT"/>
          <w:sz w:val="21"/>
          <w:szCs w:val="21"/>
          <w:lang w:val="es-MX"/>
        </w:rPr>
        <w:t xml:space="preserve">como </w:t>
      </w:r>
      <w:r w:rsidRPr="00F40E63">
        <w:rPr>
          <w:rFonts w:ascii="Abadi" w:hAnsi="Abadi" w:cs="ArialMT"/>
          <w:i/>
          <w:iCs/>
          <w:sz w:val="21"/>
          <w:szCs w:val="21"/>
          <w:lang w:val="es-MX"/>
        </w:rPr>
        <w:t>facilitador de las condiciones para el desenvolvimiento del sector privado, y en el que éste, a su vez, contribuye al desarrollo económico de nuestro país.</w:t>
      </w:r>
    </w:p>
    <w:p w14:paraId="47AF3201" w14:textId="77777777" w:rsidR="00D522A6" w:rsidRPr="00F40E63" w:rsidRDefault="00D522A6" w:rsidP="00CD77B0">
      <w:pPr>
        <w:autoSpaceDE w:val="0"/>
        <w:autoSpaceDN w:val="0"/>
        <w:adjustRightInd w:val="0"/>
        <w:ind w:left="284" w:right="354" w:hanging="284"/>
        <w:jc w:val="both"/>
        <w:rPr>
          <w:rFonts w:ascii="Abadi" w:hAnsi="Abadi" w:cs="ArialMT"/>
          <w:i/>
          <w:iCs/>
          <w:sz w:val="21"/>
          <w:szCs w:val="21"/>
          <w:lang w:val="es-MX"/>
        </w:rPr>
      </w:pPr>
    </w:p>
    <w:p w14:paraId="271E2449" w14:textId="77777777" w:rsidR="00D522A6" w:rsidRPr="00F40E63" w:rsidRDefault="00D522A6" w:rsidP="00CD77B0">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Entendemos con mucha claridad el capítulo económico de nuestra Constitución General. Comprendemos el nacionalismo económico </w:t>
      </w:r>
      <w:r w:rsidRPr="00F40E63">
        <w:rPr>
          <w:rFonts w:ascii="Abadi" w:hAnsi="Abadi" w:cs="ArialMT"/>
          <w:sz w:val="21"/>
          <w:szCs w:val="21"/>
          <w:lang w:val="es-MX"/>
        </w:rPr>
        <w:t xml:space="preserve">como </w:t>
      </w:r>
      <w:r w:rsidRPr="00F40E63">
        <w:rPr>
          <w:rFonts w:ascii="Abadi" w:hAnsi="Abadi" w:cs="ArialMT"/>
          <w:i/>
          <w:iCs/>
          <w:sz w:val="21"/>
          <w:szCs w:val="21"/>
          <w:lang w:val="es-MX"/>
        </w:rPr>
        <w:t>el dominio eminente de la nación sobre las tierras y aguas dentro del territorio nacional; también comprendemos puntualmente el concepto jurídico de propiedad sujeta a función social. Lo que no comprendemos es, por qué habríamos de empecinarnos en limitar la producción de excedentes energéticos cuando la lógica económica dicta que a mayor oferta disminuyen los precios de los productos.</w:t>
      </w:r>
    </w:p>
    <w:p w14:paraId="4A62C8C7" w14:textId="77777777" w:rsidR="00D522A6" w:rsidRPr="00F40E63" w:rsidRDefault="00D522A6" w:rsidP="00D522A6">
      <w:pPr>
        <w:autoSpaceDE w:val="0"/>
        <w:autoSpaceDN w:val="0"/>
        <w:adjustRightInd w:val="0"/>
        <w:jc w:val="both"/>
        <w:rPr>
          <w:rFonts w:ascii="Abadi" w:hAnsi="Abadi" w:cs="ArialMT"/>
          <w:i/>
          <w:iCs/>
          <w:sz w:val="21"/>
          <w:szCs w:val="21"/>
          <w:lang w:val="es-MX"/>
        </w:rPr>
      </w:pPr>
    </w:p>
    <w:p w14:paraId="4ABD6657" w14:textId="77777777" w:rsidR="00D522A6" w:rsidRPr="00F40E63" w:rsidRDefault="00D522A6" w:rsidP="00CD77B0">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Por qué habríamos de modificar el criterio de despacho de energía eléctrica al Sistema Eléctrico Nacional y cancelar los permisos otorgados al sector privado. Esta situación limitaría la competencia y la libre concurrencia en la actividad de generación de energía eléctrica. De acuerdo con el Instituto Mexicano para la Competitividad, en materia de generación de energía la CFE produce con costos 252% más altos que el sector privado. De aprobarse la reforma, el mismo gobierno federal tendría que asumir, a través de subsidios, los costos adicionales de generación de energía, </w:t>
      </w:r>
      <w:r w:rsidRPr="00F40E63">
        <w:rPr>
          <w:rFonts w:ascii="Abadi" w:hAnsi="Abadi" w:cs="ArialMT"/>
          <w:sz w:val="21"/>
          <w:szCs w:val="21"/>
          <w:lang w:val="es-MX"/>
        </w:rPr>
        <w:t xml:space="preserve">o </w:t>
      </w:r>
      <w:r w:rsidRPr="00F40E63">
        <w:rPr>
          <w:rFonts w:ascii="Abadi" w:hAnsi="Abadi" w:cs="ArialMT"/>
          <w:i/>
          <w:iCs/>
          <w:sz w:val="21"/>
          <w:szCs w:val="21"/>
          <w:lang w:val="es-MX"/>
        </w:rPr>
        <w:t>vender más cara la electricidad a todos los usuarios. En cualquiera de los casos, generaría impactos contraproducentes para las finanzas públicas, y en consecuencia al pueblo de México que el presidente juró proteger.</w:t>
      </w:r>
    </w:p>
    <w:p w14:paraId="5F0BEE98" w14:textId="77777777" w:rsidR="00D522A6" w:rsidRPr="00F40E63" w:rsidRDefault="00D522A6" w:rsidP="00CD77B0">
      <w:pPr>
        <w:autoSpaceDE w:val="0"/>
        <w:autoSpaceDN w:val="0"/>
        <w:adjustRightInd w:val="0"/>
        <w:ind w:left="284" w:right="354" w:hanging="284"/>
        <w:jc w:val="both"/>
        <w:rPr>
          <w:rFonts w:ascii="Abadi" w:hAnsi="Abadi" w:cs="ArialMT"/>
          <w:i/>
          <w:iCs/>
          <w:sz w:val="21"/>
          <w:szCs w:val="21"/>
          <w:lang w:val="es-MX"/>
        </w:rPr>
      </w:pPr>
    </w:p>
    <w:p w14:paraId="67CD3900" w14:textId="77777777" w:rsidR="00D522A6" w:rsidRPr="00F40E63" w:rsidRDefault="00D522A6" w:rsidP="00CD77B0">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Por darles un ejemplo, en 2020 la generación privada a partir de energías renovables tuvo un costo promedio de 401 pesos por </w:t>
      </w:r>
      <w:proofErr w:type="spellStart"/>
      <w:r w:rsidRPr="00F40E63">
        <w:rPr>
          <w:rFonts w:ascii="Abadi" w:hAnsi="Abadi" w:cs="ArialMT"/>
          <w:i/>
          <w:iCs/>
          <w:sz w:val="21"/>
          <w:szCs w:val="21"/>
          <w:lang w:val="es-MX"/>
        </w:rPr>
        <w:t>megawatt</w:t>
      </w:r>
      <w:proofErr w:type="spellEnd"/>
      <w:r w:rsidRPr="00F40E63">
        <w:rPr>
          <w:rFonts w:ascii="Abadi" w:hAnsi="Abadi" w:cs="ArialMT"/>
          <w:i/>
          <w:iCs/>
          <w:sz w:val="21"/>
          <w:szCs w:val="21"/>
          <w:lang w:val="es-MX"/>
        </w:rPr>
        <w:t xml:space="preserve">-hora, mientras que el costo promedio de la producida por CFE fue de 1,413 pesos, Estos costos, evidentemente no comprende los costos adicionales en los que incurriría la CFE para la construcción, operación y mantenimiento de centrales eléctricas. En lo que respecta </w:t>
      </w:r>
      <w:r w:rsidRPr="00F40E63">
        <w:rPr>
          <w:rFonts w:ascii="Abadi" w:hAnsi="Abadi" w:cs="ArialMT"/>
          <w:sz w:val="21"/>
          <w:szCs w:val="21"/>
          <w:lang w:val="es-MX"/>
        </w:rPr>
        <w:t xml:space="preserve">a </w:t>
      </w:r>
      <w:r w:rsidRPr="00F40E63">
        <w:rPr>
          <w:rFonts w:ascii="Abadi" w:hAnsi="Abadi" w:cs="ArialMT"/>
          <w:i/>
          <w:iCs/>
          <w:sz w:val="21"/>
          <w:szCs w:val="21"/>
          <w:lang w:val="es-MX"/>
        </w:rPr>
        <w:t>10 cancelación de los permisos para la generación, sin lugar a duda, afectará la certidumbre jurídica de los inversionistas, pues se alterarán ''retroactivamente en perjuicio de los particulares" las condiciones bajo las cuales dichas inversiones se realizaron. Dando pie a la promoción de litigios contra la cancelación de estos permisos, y con todas las probabilidades de exigir indemnizaciones, nuevamente, en perjuicio de las finanzas públicas.</w:t>
      </w:r>
    </w:p>
    <w:p w14:paraId="47109189" w14:textId="77777777" w:rsidR="00D522A6" w:rsidRPr="00F40E63" w:rsidRDefault="00D522A6" w:rsidP="00D522A6">
      <w:pPr>
        <w:autoSpaceDE w:val="0"/>
        <w:autoSpaceDN w:val="0"/>
        <w:adjustRightInd w:val="0"/>
        <w:jc w:val="both"/>
        <w:rPr>
          <w:rFonts w:ascii="Abadi" w:hAnsi="Abadi" w:cs="ArialMT"/>
          <w:i/>
          <w:iCs/>
          <w:sz w:val="21"/>
          <w:szCs w:val="21"/>
          <w:lang w:val="es-MX"/>
        </w:rPr>
      </w:pPr>
    </w:p>
    <w:p w14:paraId="61AC1B1F" w14:textId="77777777" w:rsidR="00D522A6" w:rsidRPr="00F40E63" w:rsidRDefault="00D522A6" w:rsidP="00CD77B0">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De aprobarse la iniciativa, también se revertiría la separación de la personalidad jurídica de la CFE y las empresas productivas subsidiarias o filiales de la CFE, lo que representaría que, esta empresa estatal participe en el mercado </w:t>
      </w:r>
      <w:r w:rsidRPr="00F40E63">
        <w:rPr>
          <w:rFonts w:ascii="Abadi" w:hAnsi="Abadi" w:cs="ArialMT"/>
          <w:sz w:val="21"/>
          <w:szCs w:val="21"/>
          <w:lang w:val="es-MX"/>
        </w:rPr>
        <w:t xml:space="preserve">como </w:t>
      </w:r>
      <w:r w:rsidRPr="00F40E63">
        <w:rPr>
          <w:rFonts w:ascii="Abadi" w:hAnsi="Abadi" w:cs="ArialMT"/>
          <w:i/>
          <w:iCs/>
          <w:sz w:val="21"/>
          <w:szCs w:val="21"/>
          <w:lang w:val="es-MX"/>
        </w:rPr>
        <w:t>único comprador y suministrador de energía, lo cual elimina las posibilidades de competencia en el mercado de generación.</w:t>
      </w:r>
    </w:p>
    <w:p w14:paraId="229952C0" w14:textId="77777777" w:rsidR="00D522A6" w:rsidRPr="00F40E63" w:rsidRDefault="00D522A6" w:rsidP="00CD77B0">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Algo que debe preocuparnos con seriedad </w:t>
      </w:r>
      <w:r w:rsidRPr="00F40E63">
        <w:rPr>
          <w:rFonts w:ascii="Abadi" w:hAnsi="Abadi" w:cs="ArialMT"/>
          <w:sz w:val="21"/>
          <w:szCs w:val="21"/>
          <w:lang w:val="es-MX"/>
        </w:rPr>
        <w:t xml:space="preserve">a </w:t>
      </w:r>
      <w:r w:rsidRPr="00F40E63">
        <w:rPr>
          <w:rFonts w:ascii="Abadi" w:hAnsi="Abadi" w:cs="ArialMT"/>
          <w:i/>
          <w:iCs/>
          <w:sz w:val="21"/>
          <w:szCs w:val="21"/>
          <w:lang w:val="es-MX"/>
        </w:rPr>
        <w:t xml:space="preserve">los Guanajuatenses, y en general a todos los mexicanos, es que la reforma del Presidente, pretende cancelar los certificados de energía limpia, contemplados en la Ley de Transición Energética, los cuales actualmente se otorgan </w:t>
      </w:r>
      <w:r w:rsidRPr="00F40E63">
        <w:rPr>
          <w:rFonts w:ascii="Abadi" w:hAnsi="Abadi" w:cs="ArialMT"/>
          <w:sz w:val="21"/>
          <w:szCs w:val="21"/>
          <w:lang w:val="es-MX"/>
        </w:rPr>
        <w:t xml:space="preserve">a </w:t>
      </w:r>
      <w:r w:rsidRPr="00F40E63">
        <w:rPr>
          <w:rFonts w:ascii="Abadi" w:hAnsi="Abadi" w:cs="ArialMT"/>
          <w:i/>
          <w:iCs/>
          <w:sz w:val="21"/>
          <w:szCs w:val="21"/>
          <w:lang w:val="es-MX"/>
        </w:rPr>
        <w:t xml:space="preserve">las centrales generadoras de energía limpia </w:t>
      </w:r>
      <w:r w:rsidRPr="00F40E63">
        <w:rPr>
          <w:rFonts w:ascii="Abadi" w:hAnsi="Abadi" w:cs="ArialMT"/>
          <w:sz w:val="21"/>
          <w:szCs w:val="21"/>
          <w:lang w:val="es-MX"/>
        </w:rPr>
        <w:t xml:space="preserve">como </w:t>
      </w:r>
      <w:r w:rsidRPr="00F40E63">
        <w:rPr>
          <w:rFonts w:ascii="Abadi" w:hAnsi="Abadi" w:cs="ArialMT"/>
          <w:i/>
          <w:iCs/>
          <w:sz w:val="21"/>
          <w:szCs w:val="21"/>
          <w:lang w:val="es-MX"/>
        </w:rPr>
        <w:t>incentivos para la atracción de inversiones para ampliar, precisamente, la capacidad instalada de generación de energía limpia. Sin estos incentivos, se pone en riesgo un medio ambiente saludable para nuestras hijas e hijos, además de volver imposible el cumplimiento de los compromisos de generar el 35% de energía a partir de fuentes limpias para el 2024, plasmado en el acuerdo de París. Por ejemplo, sabemos que durante 2020 la termoeléctrica de so/amanea ha operado con sólo 2 de 5 unidades, a 90% gas natural y 10% combustóleo, lo cual</w:t>
      </w:r>
    </w:p>
    <w:p w14:paraId="6F084519" w14:textId="77777777" w:rsidR="00D522A6" w:rsidRPr="00F40E63" w:rsidRDefault="00D522A6" w:rsidP="00CD77B0">
      <w:pPr>
        <w:autoSpaceDE w:val="0"/>
        <w:autoSpaceDN w:val="0"/>
        <w:adjustRightInd w:val="0"/>
        <w:ind w:left="284" w:right="354" w:hanging="284"/>
        <w:jc w:val="both"/>
        <w:rPr>
          <w:rFonts w:ascii="Abadi" w:hAnsi="Abadi" w:cs="ArialMT"/>
          <w:i/>
          <w:iCs/>
          <w:sz w:val="21"/>
          <w:szCs w:val="21"/>
          <w:lang w:val="es-MX"/>
        </w:rPr>
      </w:pPr>
    </w:p>
    <w:p w14:paraId="2B4FB683" w14:textId="77777777" w:rsidR="00D522A6" w:rsidRPr="00F40E63" w:rsidRDefault="00D522A6" w:rsidP="00CD77B0">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Sin embargo, también sabemos que, en febrero de 2019, cuando el sistema eléctrico nacional demandó mayor energía eléctrica, la Comisión Federal de Electricidad, sin miramientos sobre los daños ambientales para los habitantes de Salamanca, encendió un quemador más de combustóleo de la termoeléctrica lo que representó emisiones extraordinarias y daños a la salud de los pobladores. De aprobarse la reforma que presenta el presidente las 3 unidades restantes de la termoeléctrica de Salamanca, que operan a base de combustóleo, se encenderán y evidentemente representará daños ambientales incalculables para los pobladores de so/amanea, para la zona agrícola, de nuestro estado e incluso del estado vecino de Querétaro.</w:t>
      </w:r>
    </w:p>
    <w:p w14:paraId="2C197EC2" w14:textId="77777777" w:rsidR="00D522A6" w:rsidRPr="00F40E63" w:rsidRDefault="00D522A6" w:rsidP="00D522A6">
      <w:pPr>
        <w:autoSpaceDE w:val="0"/>
        <w:autoSpaceDN w:val="0"/>
        <w:adjustRightInd w:val="0"/>
        <w:jc w:val="both"/>
        <w:rPr>
          <w:rFonts w:ascii="Abadi" w:hAnsi="Abadi" w:cs="ArialMT"/>
          <w:i/>
          <w:iCs/>
          <w:sz w:val="21"/>
          <w:szCs w:val="21"/>
          <w:lang w:val="es-MX"/>
        </w:rPr>
      </w:pPr>
    </w:p>
    <w:p w14:paraId="692090AC" w14:textId="77777777" w:rsidR="00D522A6" w:rsidRPr="00F40E63" w:rsidRDefault="00D522A6" w:rsidP="00CD77B0">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Por otra parte, desparecer la Comisión Reguladora de Energía y la Comisión Nacional de Hidrocarburos nos parece un acto pernicioso para el desarrollo del sector energético del país, pues se genera un ambiente de incertidumbre entre actores públicos y privados que se traducirá en precios hundidos de bienes y servicios. Compañeras y Compañeros Diputados, no podemos quedarnos callados ante el embate que está por realizar el presidente de la república contra el desarrollo sostenible, social y económico del país.</w:t>
      </w:r>
    </w:p>
    <w:p w14:paraId="215AF92B" w14:textId="77777777" w:rsidR="00D522A6" w:rsidRPr="00F40E63" w:rsidRDefault="00D522A6" w:rsidP="00CD77B0">
      <w:pPr>
        <w:autoSpaceDE w:val="0"/>
        <w:autoSpaceDN w:val="0"/>
        <w:adjustRightInd w:val="0"/>
        <w:ind w:left="284" w:right="354" w:hanging="284"/>
        <w:jc w:val="both"/>
        <w:rPr>
          <w:rFonts w:ascii="Abadi" w:hAnsi="Abadi" w:cs="ArialMT"/>
          <w:i/>
          <w:iCs/>
          <w:sz w:val="21"/>
          <w:szCs w:val="21"/>
          <w:lang w:val="es-MX"/>
        </w:rPr>
      </w:pPr>
    </w:p>
    <w:p w14:paraId="3A15A290" w14:textId="77777777" w:rsidR="00D522A6" w:rsidRPr="00F40E63" w:rsidRDefault="00D522A6" w:rsidP="00CD77B0">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Por si no fuera suficiente, hoy que el litio es un recurso primordial para el desarrollo económico y tecnológico en el </w:t>
      </w:r>
      <w:r w:rsidRPr="00F40E63">
        <w:rPr>
          <w:rFonts w:ascii="Abadi" w:hAnsi="Abadi" w:cs="ArialMT"/>
          <w:sz w:val="21"/>
          <w:szCs w:val="21"/>
          <w:lang w:val="es-MX"/>
        </w:rPr>
        <w:t xml:space="preserve">mundo, </w:t>
      </w:r>
      <w:r w:rsidRPr="00F40E63">
        <w:rPr>
          <w:rFonts w:ascii="Abadi" w:hAnsi="Abadi" w:cs="ArialMT"/>
          <w:i/>
          <w:iCs/>
          <w:sz w:val="21"/>
          <w:szCs w:val="21"/>
          <w:lang w:val="es-MX"/>
        </w:rPr>
        <w:t xml:space="preserve">en nuestro país se propone que su explotación sea una actividad exclusiva del Estado mexicano, cuando este ha demostrado uno y mil veces, su incompetencia y negligencia en el manejo de los bienes de la nación. Por esta razón es indispensable que la Cámara de Diputados del Congreso de la Unión no apruebe la iniciativa presentada por el presidente, porque </w:t>
      </w:r>
      <w:r w:rsidRPr="00F40E63">
        <w:rPr>
          <w:rFonts w:ascii="Abadi" w:hAnsi="Abadi" w:cs="ArialMT"/>
          <w:sz w:val="21"/>
          <w:szCs w:val="21"/>
          <w:lang w:val="es-MX"/>
        </w:rPr>
        <w:t xml:space="preserve">con </w:t>
      </w:r>
      <w:r w:rsidRPr="00F40E63">
        <w:rPr>
          <w:rFonts w:ascii="Abadi" w:hAnsi="Abadi" w:cs="ArialMT"/>
          <w:i/>
          <w:iCs/>
          <w:sz w:val="21"/>
          <w:szCs w:val="21"/>
          <w:lang w:val="es-MX"/>
        </w:rPr>
        <w:t xml:space="preserve">la reforma se perdería la oportunidad de iniciar desarrollos tecnológicos propios, así </w:t>
      </w:r>
      <w:r w:rsidRPr="00F40E63">
        <w:rPr>
          <w:rFonts w:ascii="Abadi" w:hAnsi="Abadi" w:cs="ArialMT"/>
          <w:sz w:val="21"/>
          <w:szCs w:val="21"/>
          <w:lang w:val="es-MX"/>
        </w:rPr>
        <w:t xml:space="preserve">como </w:t>
      </w:r>
      <w:r w:rsidRPr="00F40E63">
        <w:rPr>
          <w:rFonts w:ascii="Abadi" w:hAnsi="Abadi" w:cs="ArialMT"/>
          <w:i/>
          <w:iCs/>
          <w:sz w:val="21"/>
          <w:szCs w:val="21"/>
          <w:lang w:val="es-MX"/>
        </w:rPr>
        <w:t>nuevos mercados para la inversión y prosperidad de nuestro país. Lamentamos esta visión retrograda del presidente de la república, y manifestamos nuestro más enérgico rechazo a la iniciativa en comento.</w:t>
      </w:r>
    </w:p>
    <w:p w14:paraId="6B0A5423" w14:textId="77777777" w:rsidR="00D522A6" w:rsidRPr="00F40E63" w:rsidRDefault="00D522A6" w:rsidP="00CD77B0">
      <w:pPr>
        <w:autoSpaceDE w:val="0"/>
        <w:autoSpaceDN w:val="0"/>
        <w:adjustRightInd w:val="0"/>
        <w:ind w:left="284" w:right="354" w:hanging="284"/>
        <w:jc w:val="both"/>
        <w:rPr>
          <w:rFonts w:ascii="Abadi" w:hAnsi="Abadi" w:cs="ArialMT"/>
          <w:i/>
          <w:iCs/>
          <w:sz w:val="21"/>
          <w:szCs w:val="21"/>
          <w:lang w:val="es-MX"/>
        </w:rPr>
      </w:pPr>
    </w:p>
    <w:p w14:paraId="064ABD27" w14:textId="77777777" w:rsidR="00D522A6" w:rsidRPr="00F40E63" w:rsidRDefault="00D522A6" w:rsidP="001C02DF">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w:t>
      </w:r>
    </w:p>
    <w:p w14:paraId="7C472D26" w14:textId="77777777" w:rsidR="00D522A6" w:rsidRPr="00F40E63" w:rsidRDefault="00D522A6" w:rsidP="00CD77B0">
      <w:pPr>
        <w:autoSpaceDE w:val="0"/>
        <w:autoSpaceDN w:val="0"/>
        <w:adjustRightInd w:val="0"/>
        <w:ind w:right="354"/>
        <w:jc w:val="both"/>
        <w:rPr>
          <w:rFonts w:ascii="Abadi" w:hAnsi="Abadi" w:cs="ArialMT"/>
          <w:i/>
          <w:iCs/>
          <w:sz w:val="21"/>
          <w:szCs w:val="21"/>
          <w:lang w:val="es-MX"/>
        </w:rPr>
      </w:pPr>
    </w:p>
    <w:p w14:paraId="519BFC8C" w14:textId="77777777" w:rsidR="00D522A6" w:rsidRPr="00F40E63" w:rsidRDefault="00D522A6" w:rsidP="001C02DF">
      <w:pPr>
        <w:autoSpaceDE w:val="0"/>
        <w:autoSpaceDN w:val="0"/>
        <w:adjustRightInd w:val="0"/>
        <w:ind w:left="284" w:right="354"/>
        <w:jc w:val="both"/>
        <w:rPr>
          <w:rFonts w:ascii="Abadi" w:hAnsi="Abadi" w:cs="ArialMT"/>
          <w:i/>
          <w:iCs/>
          <w:sz w:val="21"/>
          <w:szCs w:val="21"/>
          <w:lang w:val="es-MX"/>
        </w:rPr>
      </w:pPr>
      <w:r w:rsidRPr="00F40E63">
        <w:rPr>
          <w:rFonts w:ascii="Abadi" w:hAnsi="Abadi" w:cs="ArialMT"/>
          <w:sz w:val="21"/>
          <w:szCs w:val="21"/>
          <w:lang w:val="es-MX"/>
        </w:rPr>
        <w:t>El iniciante de la segunda propuesta expuso en sus consideraciones lo siguiente:</w:t>
      </w:r>
    </w:p>
    <w:p w14:paraId="68345682" w14:textId="77777777" w:rsidR="00D522A6" w:rsidRPr="00F40E63" w:rsidRDefault="00D522A6" w:rsidP="001C02DF">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«(...)En estos días se ha suscitado el debate nacional en torno a la reciente presentación de iniciativas de parte del Ejecutivo Federal, sobre el Sistema Eléctrico Nacional. La iniciativa presentada el pasado </w:t>
      </w:r>
      <w:r w:rsidRPr="00F40E63">
        <w:rPr>
          <w:rFonts w:ascii="Abadi" w:hAnsi="Abadi" w:cs="ArialMT"/>
          <w:sz w:val="21"/>
          <w:szCs w:val="21"/>
          <w:lang w:val="es-MX"/>
        </w:rPr>
        <w:t xml:space="preserve">O </w:t>
      </w:r>
      <w:r w:rsidRPr="00F40E63">
        <w:rPr>
          <w:rFonts w:ascii="Abadi" w:hAnsi="Abadi" w:cs="ArialMT"/>
          <w:i/>
          <w:iCs/>
          <w:sz w:val="21"/>
          <w:szCs w:val="21"/>
          <w:lang w:val="es-MX"/>
        </w:rPr>
        <w:t xml:space="preserve">1 de octubre de este año 2021, ante la Cámara de Diputados, del Congreso de la Unión, que pretende la reforma de los artículos 25, 27 y 28 de la Constitución Federal, es un complemento de la iniciativa presentada </w:t>
      </w:r>
      <w:r w:rsidRPr="00F40E63">
        <w:rPr>
          <w:rFonts w:ascii="Abadi" w:hAnsi="Abadi" w:cs="ArialMT"/>
          <w:sz w:val="21"/>
          <w:szCs w:val="21"/>
          <w:lang w:val="es-MX"/>
        </w:rPr>
        <w:t xml:space="preserve">con </w:t>
      </w:r>
      <w:r w:rsidRPr="00F40E63">
        <w:rPr>
          <w:rFonts w:ascii="Abadi" w:hAnsi="Abadi" w:cs="ArialMT"/>
          <w:i/>
          <w:iCs/>
          <w:sz w:val="21"/>
          <w:szCs w:val="21"/>
          <w:lang w:val="es-MX"/>
        </w:rPr>
        <w:t xml:space="preserve">carácter de trámite preferente, el pasado </w:t>
      </w:r>
      <w:r w:rsidRPr="00F40E63">
        <w:rPr>
          <w:rFonts w:ascii="Abadi" w:hAnsi="Abadi" w:cs="ArialMT"/>
          <w:sz w:val="21"/>
          <w:szCs w:val="21"/>
          <w:lang w:val="es-MX"/>
        </w:rPr>
        <w:t xml:space="preserve">O </w:t>
      </w:r>
      <w:r w:rsidRPr="00F40E63">
        <w:rPr>
          <w:rFonts w:ascii="Abadi" w:hAnsi="Abadi" w:cs="ArialMT"/>
          <w:i/>
          <w:iCs/>
          <w:sz w:val="21"/>
          <w:szCs w:val="21"/>
          <w:lang w:val="es-MX"/>
        </w:rPr>
        <w:t>1 de febrero de este año, por el Presidente de la República, para reformar y adicionar diversas disposiciones de la Ley de la Industria Eléctrica.</w:t>
      </w:r>
    </w:p>
    <w:p w14:paraId="3AE7964A" w14:textId="77777777" w:rsidR="00D522A6" w:rsidRPr="00F40E63" w:rsidRDefault="00D522A6" w:rsidP="001C02DF">
      <w:pPr>
        <w:autoSpaceDE w:val="0"/>
        <w:autoSpaceDN w:val="0"/>
        <w:adjustRightInd w:val="0"/>
        <w:ind w:left="284" w:right="354" w:hanging="284"/>
        <w:jc w:val="both"/>
        <w:rPr>
          <w:rFonts w:ascii="Abadi" w:hAnsi="Abadi" w:cs="ArialMT"/>
          <w:i/>
          <w:iCs/>
          <w:sz w:val="21"/>
          <w:szCs w:val="21"/>
          <w:lang w:val="es-MX"/>
        </w:rPr>
      </w:pPr>
    </w:p>
    <w:p w14:paraId="617D5F49" w14:textId="77777777" w:rsidR="00D522A6" w:rsidRPr="00F40E63" w:rsidRDefault="00D522A6" w:rsidP="001C02DF">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Bajo un proceso paulatino de aproximadamente tres décadas se fue fracturando a la Comisión Federal de Electricidad (CFE), comprometiendo su viabilidad </w:t>
      </w:r>
      <w:r w:rsidRPr="00F40E63">
        <w:rPr>
          <w:rFonts w:ascii="Abadi" w:hAnsi="Abadi" w:cs="ArialMT"/>
          <w:sz w:val="21"/>
          <w:szCs w:val="21"/>
          <w:lang w:val="es-MX"/>
        </w:rPr>
        <w:t xml:space="preserve">como </w:t>
      </w:r>
      <w:r w:rsidRPr="00F40E63">
        <w:rPr>
          <w:rFonts w:ascii="Abadi" w:hAnsi="Abadi" w:cs="ArialMT"/>
          <w:i/>
          <w:iCs/>
          <w:sz w:val="21"/>
          <w:szCs w:val="21"/>
          <w:lang w:val="es-MX"/>
        </w:rPr>
        <w:t>"empresa productiva del Estado", nominación que irónicamente le otorgaron en la (contra) reforma del 2013, Sí, la verdadera contra reforma es el cambio constitucional del 2013, porque debemos recordar que lo que hoy se pretende por parte del gobierno federal, es simple y sencillamente regresar al estado constitucional que se tenía hace poco menos de una década. El 22 de julio del 2020, en un memorándum dirigido a los integrantes reguladores del sector energético se expresó claramente:</w:t>
      </w:r>
    </w:p>
    <w:p w14:paraId="21BD5B86" w14:textId="77777777" w:rsidR="00D522A6" w:rsidRPr="00F40E63" w:rsidRDefault="00D522A6" w:rsidP="001C02DF">
      <w:pPr>
        <w:autoSpaceDE w:val="0"/>
        <w:autoSpaceDN w:val="0"/>
        <w:adjustRightInd w:val="0"/>
        <w:ind w:left="284" w:right="354" w:hanging="284"/>
        <w:jc w:val="both"/>
        <w:rPr>
          <w:rFonts w:ascii="Abadi" w:hAnsi="Abadi" w:cs="ArialMT"/>
          <w:i/>
          <w:iCs/>
          <w:sz w:val="21"/>
          <w:szCs w:val="21"/>
          <w:lang w:val="es-MX"/>
        </w:rPr>
      </w:pPr>
    </w:p>
    <w:p w14:paraId="786CDBA6" w14:textId="77777777" w:rsidR="00D522A6" w:rsidRPr="00F40E63" w:rsidRDefault="00D522A6" w:rsidP="001C02DF">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"El sistema eléctrico nacional deberá ser alimentado en este orden: en primer lugar, subirse a la red de distribución la energía producida </w:t>
      </w:r>
      <w:r w:rsidRPr="00F40E63">
        <w:rPr>
          <w:rFonts w:ascii="Abadi" w:hAnsi="Abadi" w:cs="ArialMT"/>
          <w:sz w:val="21"/>
          <w:szCs w:val="21"/>
          <w:lang w:val="es-MX"/>
        </w:rPr>
        <w:t xml:space="preserve">en </w:t>
      </w:r>
      <w:r w:rsidRPr="00F40E63">
        <w:rPr>
          <w:rFonts w:ascii="Abadi" w:hAnsi="Abadi" w:cs="ArialMT"/>
          <w:i/>
          <w:iCs/>
          <w:sz w:val="21"/>
          <w:szCs w:val="21"/>
          <w:lang w:val="es-MX"/>
        </w:rPr>
        <w:t xml:space="preserve">las hidroeléctricas; </w:t>
      </w:r>
      <w:r w:rsidRPr="00F40E63">
        <w:rPr>
          <w:rFonts w:ascii="Abadi" w:hAnsi="Abadi" w:cs="ArialMT"/>
          <w:sz w:val="21"/>
          <w:szCs w:val="21"/>
          <w:lang w:val="es-MX"/>
        </w:rPr>
        <w:t xml:space="preserve">en segundo, </w:t>
      </w:r>
      <w:r w:rsidRPr="00F40E63">
        <w:rPr>
          <w:rFonts w:ascii="Abadi" w:hAnsi="Abadi" w:cs="ArialMT"/>
          <w:i/>
          <w:iCs/>
          <w:sz w:val="21"/>
          <w:szCs w:val="21"/>
          <w:lang w:val="es-MX"/>
        </w:rPr>
        <w:t xml:space="preserve">lo generado </w:t>
      </w:r>
      <w:r w:rsidRPr="00F40E63">
        <w:rPr>
          <w:rFonts w:ascii="Abadi" w:hAnsi="Abadi" w:cs="ArialMT"/>
          <w:sz w:val="21"/>
          <w:szCs w:val="21"/>
          <w:lang w:val="es-MX"/>
        </w:rPr>
        <w:t xml:space="preserve">en </w:t>
      </w:r>
      <w:r w:rsidRPr="00F40E63">
        <w:rPr>
          <w:rFonts w:ascii="Abadi" w:hAnsi="Abadi" w:cs="ArialMT"/>
          <w:i/>
          <w:iCs/>
          <w:sz w:val="21"/>
          <w:szCs w:val="21"/>
          <w:lang w:val="es-MX"/>
        </w:rPr>
        <w:t xml:space="preserve">otras plantas de la· CFE; </w:t>
      </w:r>
      <w:r w:rsidRPr="00F40E63">
        <w:rPr>
          <w:rFonts w:ascii="Abadi" w:hAnsi="Abadi" w:cs="ArialMT"/>
          <w:sz w:val="21"/>
          <w:szCs w:val="21"/>
          <w:lang w:val="es-MX"/>
        </w:rPr>
        <w:t xml:space="preserve">en </w:t>
      </w:r>
      <w:r w:rsidRPr="00F40E63">
        <w:rPr>
          <w:rFonts w:ascii="Abadi" w:hAnsi="Abadi" w:cs="ArialMT"/>
          <w:i/>
          <w:iCs/>
          <w:sz w:val="21"/>
          <w:szCs w:val="21"/>
          <w:lang w:val="es-MX"/>
        </w:rPr>
        <w:t xml:space="preserve">tercero, la energía eólica </w:t>
      </w:r>
      <w:r w:rsidRPr="00F40E63">
        <w:rPr>
          <w:rFonts w:ascii="Abadi" w:hAnsi="Abadi" w:cs="ArialMT"/>
          <w:sz w:val="21"/>
          <w:szCs w:val="21"/>
          <w:lang w:val="es-MX"/>
        </w:rPr>
        <w:t xml:space="preserve">o </w:t>
      </w:r>
      <w:r w:rsidRPr="00F40E63">
        <w:rPr>
          <w:rFonts w:ascii="Abadi" w:hAnsi="Abadi" w:cs="ArialMT"/>
          <w:i/>
          <w:iCs/>
          <w:sz w:val="21"/>
          <w:szCs w:val="21"/>
          <w:lang w:val="es-MX"/>
        </w:rPr>
        <w:t>solar de particulares y al final, la energía de ciclo combinado de empresas privadas."</w:t>
      </w:r>
    </w:p>
    <w:p w14:paraId="03336373" w14:textId="77777777" w:rsidR="00D522A6" w:rsidRPr="00F40E63" w:rsidRDefault="00D522A6" w:rsidP="001C02DF">
      <w:pPr>
        <w:autoSpaceDE w:val="0"/>
        <w:autoSpaceDN w:val="0"/>
        <w:adjustRightInd w:val="0"/>
        <w:ind w:left="284" w:right="354" w:hanging="284"/>
        <w:jc w:val="both"/>
        <w:rPr>
          <w:rFonts w:ascii="Abadi" w:hAnsi="Abadi" w:cs="ArialMT"/>
          <w:i/>
          <w:iCs/>
          <w:sz w:val="21"/>
          <w:szCs w:val="21"/>
          <w:lang w:val="es-MX"/>
        </w:rPr>
      </w:pPr>
    </w:p>
    <w:p w14:paraId="657AD4DE" w14:textId="77777777" w:rsidR="00D522A6" w:rsidRPr="00F40E63" w:rsidRDefault="00D522A6" w:rsidP="001C02DF">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Nótese que en primer y segundo lugar se encuentra la energía producida por hidroeléctricas, nuclear, geotérmica, termoeléctricas y ciclos combinados, respectivamente. Tal situación obedece a que el desequilibrio generado con la reforma del 2013, estableció un criterio de despacho de la energía que obligó al Suministrador de Servicios Básicos CFE (entidad de la CFE), a asumir pérdidas, con cargo al erario público, dejando de este modo sub utilizadas las plantas de generación de la CFE. Una mayor participación de las centrales eléctricas de CFE, incrementará lo que se conoce </w:t>
      </w:r>
      <w:r w:rsidRPr="00F40E63">
        <w:rPr>
          <w:rFonts w:ascii="Abadi" w:hAnsi="Abadi" w:cs="ArialMT"/>
          <w:sz w:val="21"/>
          <w:szCs w:val="21"/>
          <w:lang w:val="es-MX"/>
        </w:rPr>
        <w:t xml:space="preserve">como </w:t>
      </w:r>
      <w:r w:rsidRPr="00F40E63">
        <w:rPr>
          <w:rFonts w:ascii="Abadi" w:hAnsi="Abadi" w:cs="ArialMT"/>
          <w:i/>
          <w:iCs/>
          <w:sz w:val="21"/>
          <w:szCs w:val="21"/>
          <w:lang w:val="es-MX"/>
        </w:rPr>
        <w:t>"capacidad de reserva rodante", dando confiabilidad al Sistema Eléctrico y seguridad energética nacional.</w:t>
      </w:r>
    </w:p>
    <w:p w14:paraId="34453B4B" w14:textId="77777777" w:rsidR="00D522A6" w:rsidRPr="00F40E63" w:rsidRDefault="00D522A6" w:rsidP="00D522A6">
      <w:pPr>
        <w:autoSpaceDE w:val="0"/>
        <w:autoSpaceDN w:val="0"/>
        <w:adjustRightInd w:val="0"/>
        <w:jc w:val="both"/>
        <w:rPr>
          <w:rFonts w:ascii="Abadi" w:hAnsi="Abadi" w:cs="ArialMT"/>
          <w:i/>
          <w:iCs/>
          <w:sz w:val="21"/>
          <w:szCs w:val="21"/>
          <w:lang w:val="es-MX"/>
        </w:rPr>
      </w:pPr>
    </w:p>
    <w:p w14:paraId="5F007347" w14:textId="77777777" w:rsidR="00D522A6" w:rsidRPr="00F40E63" w:rsidRDefault="00D522A6" w:rsidP="00CD1AFD">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Es así preciso describir </w:t>
      </w:r>
      <w:r w:rsidRPr="00F40E63">
        <w:rPr>
          <w:rFonts w:ascii="Abadi" w:hAnsi="Abadi" w:cs="ArialMT"/>
          <w:sz w:val="21"/>
          <w:szCs w:val="21"/>
          <w:lang w:val="es-MX"/>
        </w:rPr>
        <w:t xml:space="preserve">como </w:t>
      </w:r>
      <w:r w:rsidRPr="00F40E63">
        <w:rPr>
          <w:rFonts w:ascii="Abadi" w:hAnsi="Abadi" w:cs="ArialMT"/>
          <w:i/>
          <w:iCs/>
          <w:sz w:val="21"/>
          <w:szCs w:val="21"/>
          <w:lang w:val="es-MX"/>
        </w:rPr>
        <w:t xml:space="preserve">la verdadera (contra) reforma del año 2013, en el extremo de reformar el estado constitucional vigente en aquel momento, a través de artículos transitorios en la aprobada Ley de la industria eléctrica, </w:t>
      </w:r>
      <w:r w:rsidRPr="00F40E63">
        <w:rPr>
          <w:rFonts w:ascii="Abadi" w:hAnsi="Abadi" w:cs="ArialMT"/>
          <w:sz w:val="21"/>
          <w:szCs w:val="21"/>
          <w:lang w:val="es-MX"/>
        </w:rPr>
        <w:t xml:space="preserve">como </w:t>
      </w:r>
      <w:r w:rsidRPr="00F40E63">
        <w:rPr>
          <w:rFonts w:ascii="Abadi" w:hAnsi="Abadi" w:cs="ArialMT"/>
          <w:i/>
          <w:iCs/>
          <w:sz w:val="21"/>
          <w:szCs w:val="21"/>
          <w:lang w:val="es-MX"/>
        </w:rPr>
        <w:t xml:space="preserve">legislación secundaria emanada de la reforma, protegió los permisos y contratos de autoabastecimiento, cogeneración, pequeña producción, importación y exportación, que se habían otorgado o tramitado bajo la Ley del servicio público de energía eléctrica, los convirtió en los llamados Contratos de interconexión legados, dándoles una prioridad de compra, con cargo a los recursos públicos, a través del Suministrador de Servicios Básicos CFE, bajo el argumento engañoso del concepto de "energía limpia", dejando en segundo lugar la energía producida por las hidroeléctricas de la CFE, que efectivamente sí es energía limpia. Con la reforma propuesta a los artículos 25, 27 y 28 constitucionales se plantea DEVOLVER la planeación y control del sistema eléctrico nacional al Estado, </w:t>
      </w:r>
      <w:r w:rsidRPr="00F40E63">
        <w:rPr>
          <w:rFonts w:ascii="Abadi" w:hAnsi="Abadi" w:cs="ArialMT"/>
          <w:sz w:val="21"/>
          <w:szCs w:val="21"/>
          <w:lang w:val="es-MX"/>
        </w:rPr>
        <w:t xml:space="preserve">como </w:t>
      </w:r>
      <w:r w:rsidRPr="00F40E63">
        <w:rPr>
          <w:rFonts w:ascii="Abadi" w:hAnsi="Abadi" w:cs="ArialMT"/>
          <w:i/>
          <w:iCs/>
          <w:sz w:val="21"/>
          <w:szCs w:val="21"/>
          <w:lang w:val="es-MX"/>
        </w:rPr>
        <w:t xml:space="preserve">una función estratégica, fomentando y </w:t>
      </w:r>
      <w:r w:rsidRPr="00F40E63">
        <w:rPr>
          <w:rFonts w:ascii="Abadi" w:hAnsi="Abadi" w:cs="ArialMT"/>
          <w:sz w:val="21"/>
          <w:szCs w:val="21"/>
          <w:lang w:val="es-MX"/>
        </w:rPr>
        <w:t xml:space="preserve">reconociendo </w:t>
      </w:r>
      <w:r w:rsidRPr="00F40E63">
        <w:rPr>
          <w:rFonts w:ascii="Abadi" w:hAnsi="Abadi" w:cs="ArialMT"/>
          <w:i/>
          <w:iCs/>
          <w:sz w:val="21"/>
          <w:szCs w:val="21"/>
          <w:lang w:val="es-MX"/>
        </w:rPr>
        <w:t xml:space="preserve">la </w:t>
      </w:r>
      <w:r w:rsidRPr="00F40E63">
        <w:rPr>
          <w:rFonts w:ascii="Abadi" w:hAnsi="Abadi" w:cs="ArialMT"/>
          <w:sz w:val="21"/>
          <w:szCs w:val="21"/>
          <w:lang w:val="es-MX"/>
        </w:rPr>
        <w:t xml:space="preserve">generación </w:t>
      </w:r>
      <w:r w:rsidRPr="00F40E63">
        <w:rPr>
          <w:rFonts w:ascii="Abadi" w:hAnsi="Abadi" w:cs="ArialMT"/>
          <w:i/>
          <w:iCs/>
          <w:sz w:val="21"/>
          <w:szCs w:val="21"/>
          <w:lang w:val="es-MX"/>
        </w:rPr>
        <w:t xml:space="preserve">de energía limpia </w:t>
      </w:r>
      <w:r w:rsidRPr="00F40E63">
        <w:rPr>
          <w:rFonts w:ascii="Abadi" w:hAnsi="Abadi" w:cs="ArialMT"/>
          <w:sz w:val="21"/>
          <w:szCs w:val="21"/>
          <w:lang w:val="es-MX"/>
        </w:rPr>
        <w:t xml:space="preserve">a </w:t>
      </w:r>
      <w:r w:rsidRPr="00F40E63">
        <w:rPr>
          <w:rFonts w:ascii="Abadi" w:hAnsi="Abadi" w:cs="ArialMT"/>
          <w:i/>
          <w:iCs/>
          <w:sz w:val="21"/>
          <w:szCs w:val="21"/>
          <w:lang w:val="es-MX"/>
        </w:rPr>
        <w:t xml:space="preserve">todos los generadores, bajo </w:t>
      </w:r>
      <w:r w:rsidRPr="00F40E63">
        <w:rPr>
          <w:rFonts w:ascii="Abadi" w:hAnsi="Abadi" w:cs="ArialMT"/>
          <w:sz w:val="21"/>
          <w:szCs w:val="21"/>
          <w:lang w:val="es-MX"/>
        </w:rPr>
        <w:t xml:space="preserve">condiciones </w:t>
      </w:r>
      <w:r w:rsidRPr="00F40E63">
        <w:rPr>
          <w:rFonts w:ascii="Abadi" w:hAnsi="Abadi" w:cs="ArialMT"/>
          <w:i/>
          <w:iCs/>
          <w:sz w:val="21"/>
          <w:szCs w:val="21"/>
          <w:lang w:val="es-MX"/>
        </w:rPr>
        <w:t>equitativas, porque injustificadamente se relegó la producción de las hidroeléctricas de la CFE.</w:t>
      </w:r>
    </w:p>
    <w:p w14:paraId="2F534C20" w14:textId="77777777" w:rsidR="00D522A6" w:rsidRPr="00F40E63" w:rsidRDefault="00D522A6" w:rsidP="00D522A6">
      <w:pPr>
        <w:autoSpaceDE w:val="0"/>
        <w:autoSpaceDN w:val="0"/>
        <w:adjustRightInd w:val="0"/>
        <w:jc w:val="both"/>
        <w:rPr>
          <w:rFonts w:ascii="Abadi" w:hAnsi="Abadi" w:cs="ArialMT"/>
          <w:i/>
          <w:iCs/>
          <w:sz w:val="21"/>
          <w:szCs w:val="21"/>
          <w:lang w:val="es-MX"/>
        </w:rPr>
      </w:pPr>
    </w:p>
    <w:p w14:paraId="299C3F98" w14:textId="77777777" w:rsidR="00D522A6" w:rsidRPr="00F40E63" w:rsidRDefault="00D522A6" w:rsidP="00CD1AFD">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Es claro que la (contra) reforma del 2013 tuvo por objeto garantizar la rentabilidad de las inversiones privadas en la producción de energía, obligando </w:t>
      </w:r>
      <w:r w:rsidRPr="00F40E63">
        <w:rPr>
          <w:rFonts w:ascii="Abadi" w:hAnsi="Abadi" w:cs="ArialMT"/>
          <w:sz w:val="21"/>
          <w:szCs w:val="21"/>
          <w:lang w:val="es-MX"/>
        </w:rPr>
        <w:t xml:space="preserve">a </w:t>
      </w:r>
      <w:r w:rsidRPr="00F40E63">
        <w:rPr>
          <w:rFonts w:ascii="Abadi" w:hAnsi="Abadi" w:cs="ArialMT"/>
          <w:i/>
          <w:iCs/>
          <w:sz w:val="21"/>
          <w:szCs w:val="21"/>
          <w:lang w:val="es-MX"/>
        </w:rPr>
        <w:t xml:space="preserve">su </w:t>
      </w:r>
      <w:r w:rsidRPr="00F40E63">
        <w:rPr>
          <w:rFonts w:ascii="Abadi" w:hAnsi="Abadi" w:cs="ArialMT"/>
          <w:sz w:val="21"/>
          <w:szCs w:val="21"/>
          <w:lang w:val="es-MX"/>
        </w:rPr>
        <w:t xml:space="preserve">adquisición </w:t>
      </w:r>
      <w:r w:rsidRPr="00F40E63">
        <w:rPr>
          <w:rFonts w:ascii="Abadi" w:hAnsi="Abadi" w:cs="ArialMT"/>
          <w:i/>
          <w:iCs/>
          <w:sz w:val="21"/>
          <w:szCs w:val="21"/>
          <w:lang w:val="es-MX"/>
        </w:rPr>
        <w:t xml:space="preserve">por parte del Suministrador de Servicios Básicos (CFE), incluso a largo plazo, porque se diseñó </w:t>
      </w:r>
      <w:r w:rsidRPr="00F40E63">
        <w:rPr>
          <w:rFonts w:ascii="Abadi" w:hAnsi="Abadi" w:cs="ArialMT"/>
          <w:sz w:val="21"/>
          <w:szCs w:val="21"/>
          <w:lang w:val="es-MX"/>
        </w:rPr>
        <w:t xml:space="preserve">a modo, un </w:t>
      </w:r>
      <w:r w:rsidRPr="00F40E63">
        <w:rPr>
          <w:rFonts w:ascii="Abadi" w:hAnsi="Abadi" w:cs="ArialMT"/>
          <w:i/>
          <w:iCs/>
          <w:sz w:val="21"/>
          <w:szCs w:val="21"/>
          <w:lang w:val="es-MX"/>
        </w:rPr>
        <w:t xml:space="preserve">esquema de subastas, en el que </w:t>
      </w:r>
      <w:proofErr w:type="spellStart"/>
      <w:r w:rsidRPr="00F40E63">
        <w:rPr>
          <w:rFonts w:ascii="Abadi" w:hAnsi="Abadi" w:cs="ArialMT"/>
          <w:i/>
          <w:iCs/>
          <w:sz w:val="21"/>
          <w:szCs w:val="21"/>
          <w:lang w:val="es-MX"/>
        </w:rPr>
        <w:t>aún</w:t>
      </w:r>
      <w:proofErr w:type="spellEnd"/>
      <w:r w:rsidRPr="00F40E63">
        <w:rPr>
          <w:rFonts w:ascii="Abadi" w:hAnsi="Abadi" w:cs="ArialMT"/>
          <w:i/>
          <w:iCs/>
          <w:sz w:val="21"/>
          <w:szCs w:val="21"/>
          <w:lang w:val="es-MX"/>
        </w:rPr>
        <w:t xml:space="preserve"> </w:t>
      </w:r>
      <w:r w:rsidRPr="00F40E63">
        <w:rPr>
          <w:rFonts w:ascii="Abadi" w:hAnsi="Abadi" w:cs="ArialMT"/>
          <w:sz w:val="21"/>
          <w:szCs w:val="21"/>
          <w:lang w:val="es-MX"/>
        </w:rPr>
        <w:t xml:space="preserve">cuando </w:t>
      </w:r>
      <w:r w:rsidRPr="00F40E63">
        <w:rPr>
          <w:rFonts w:ascii="Abadi" w:hAnsi="Abadi" w:cs="ArialMT"/>
          <w:i/>
          <w:iCs/>
          <w:sz w:val="21"/>
          <w:szCs w:val="21"/>
          <w:lang w:val="es-MX"/>
        </w:rPr>
        <w:t>se trata de energías intermitentes (solo producidas durante el día</w:t>
      </w:r>
      <w:proofErr w:type="gramStart"/>
      <w:r w:rsidRPr="00F40E63">
        <w:rPr>
          <w:rFonts w:ascii="Abadi" w:hAnsi="Abadi" w:cs="ArialMT"/>
          <w:i/>
          <w:iCs/>
          <w:sz w:val="21"/>
          <w:szCs w:val="21"/>
          <w:lang w:val="es-MX"/>
        </w:rPr>
        <w:t>),  tenían</w:t>
      </w:r>
      <w:proofErr w:type="gramEnd"/>
      <w:r w:rsidRPr="00F40E63">
        <w:rPr>
          <w:rFonts w:ascii="Abadi" w:hAnsi="Abadi" w:cs="ArialMT"/>
          <w:i/>
          <w:iCs/>
          <w:sz w:val="21"/>
          <w:szCs w:val="21"/>
          <w:lang w:val="es-MX"/>
        </w:rPr>
        <w:t xml:space="preserve"> garantizada su </w:t>
      </w:r>
      <w:r w:rsidRPr="00F40E63">
        <w:rPr>
          <w:rFonts w:ascii="Abadi" w:hAnsi="Abadi" w:cs="ArialMT"/>
          <w:sz w:val="21"/>
          <w:szCs w:val="21"/>
          <w:lang w:val="es-MX"/>
        </w:rPr>
        <w:t xml:space="preserve">adquisición. </w:t>
      </w:r>
      <w:r w:rsidRPr="00F40E63">
        <w:rPr>
          <w:rFonts w:ascii="Abadi" w:hAnsi="Abadi" w:cs="ArialMT"/>
          <w:i/>
          <w:iCs/>
          <w:sz w:val="21"/>
          <w:szCs w:val="21"/>
          <w:lang w:val="es-MX"/>
        </w:rPr>
        <w:t xml:space="preserve">Esto es, bajo </w:t>
      </w:r>
      <w:r w:rsidRPr="00F40E63">
        <w:rPr>
          <w:rFonts w:ascii="Abadi" w:hAnsi="Abadi" w:cs="ArialMT"/>
          <w:sz w:val="21"/>
          <w:szCs w:val="21"/>
          <w:lang w:val="es-MX"/>
        </w:rPr>
        <w:t xml:space="preserve">una </w:t>
      </w:r>
      <w:r w:rsidRPr="00F40E63">
        <w:rPr>
          <w:rFonts w:ascii="Abadi" w:hAnsi="Abadi" w:cs="ArialMT"/>
          <w:i/>
          <w:iCs/>
          <w:sz w:val="21"/>
          <w:szCs w:val="21"/>
          <w:lang w:val="es-MX"/>
        </w:rPr>
        <w:t xml:space="preserve">analogía, si se tratara de trabajadores cuyo producto es el </w:t>
      </w:r>
      <w:r w:rsidRPr="00F40E63">
        <w:rPr>
          <w:rFonts w:ascii="Abadi" w:hAnsi="Abadi" w:cs="ArialMT"/>
          <w:sz w:val="21"/>
          <w:szCs w:val="21"/>
          <w:lang w:val="es-MX"/>
        </w:rPr>
        <w:t xml:space="preserve">mismo </w:t>
      </w:r>
      <w:r w:rsidRPr="00F40E63">
        <w:rPr>
          <w:rFonts w:ascii="Abadi" w:hAnsi="Abadi" w:cs="ArialMT"/>
          <w:i/>
          <w:iCs/>
          <w:sz w:val="21"/>
          <w:szCs w:val="21"/>
          <w:lang w:val="es-MX"/>
        </w:rPr>
        <w:t xml:space="preserve">(porque la energía de las hidroeléctricas de la CFE </w:t>
      </w:r>
      <w:r w:rsidRPr="00F40E63">
        <w:rPr>
          <w:rFonts w:ascii="Abadi" w:hAnsi="Abadi" w:cs="ArialMT"/>
          <w:sz w:val="21"/>
          <w:szCs w:val="21"/>
          <w:lang w:val="es-MX"/>
        </w:rPr>
        <w:t xml:space="preserve">como </w:t>
      </w:r>
      <w:r w:rsidRPr="00F40E63">
        <w:rPr>
          <w:rFonts w:ascii="Abadi" w:hAnsi="Abadi" w:cs="ArialMT"/>
          <w:i/>
          <w:iCs/>
          <w:sz w:val="21"/>
          <w:szCs w:val="21"/>
          <w:lang w:val="es-MX"/>
        </w:rPr>
        <w:t xml:space="preserve">la energía fotovoltaica y eólica igual sirven para encender </w:t>
      </w:r>
      <w:r w:rsidRPr="00F40E63">
        <w:rPr>
          <w:rFonts w:ascii="Abadi" w:hAnsi="Abadi" w:cs="ArialMT"/>
          <w:sz w:val="21"/>
          <w:szCs w:val="21"/>
          <w:lang w:val="es-MX"/>
        </w:rPr>
        <w:t xml:space="preserve">un </w:t>
      </w:r>
      <w:r w:rsidRPr="00F40E63">
        <w:rPr>
          <w:rFonts w:ascii="Abadi" w:hAnsi="Abadi" w:cs="ArialMT"/>
          <w:i/>
          <w:iCs/>
          <w:sz w:val="21"/>
          <w:szCs w:val="21"/>
          <w:lang w:val="es-MX"/>
        </w:rPr>
        <w:t xml:space="preserve">foco </w:t>
      </w:r>
      <w:r w:rsidRPr="00F40E63">
        <w:rPr>
          <w:rFonts w:ascii="Abadi" w:hAnsi="Abadi" w:cs="ArialMT"/>
          <w:sz w:val="21"/>
          <w:szCs w:val="21"/>
          <w:lang w:val="es-MX"/>
        </w:rPr>
        <w:t xml:space="preserve">o un </w:t>
      </w:r>
      <w:r w:rsidRPr="00F40E63">
        <w:rPr>
          <w:rFonts w:ascii="Abadi" w:hAnsi="Abadi" w:cs="ArialMT"/>
          <w:i/>
          <w:iCs/>
          <w:sz w:val="21"/>
          <w:szCs w:val="21"/>
          <w:lang w:val="es-MX"/>
        </w:rPr>
        <w:t xml:space="preserve">motor, </w:t>
      </w:r>
      <w:r w:rsidRPr="00F40E63">
        <w:rPr>
          <w:rFonts w:ascii="Abadi" w:hAnsi="Abadi" w:cs="ArialMT"/>
          <w:sz w:val="21"/>
          <w:szCs w:val="21"/>
          <w:lang w:val="es-MX"/>
        </w:rPr>
        <w:t xml:space="preserve">no </w:t>
      </w:r>
      <w:r w:rsidRPr="00F40E63">
        <w:rPr>
          <w:rFonts w:ascii="Abadi" w:hAnsi="Abadi" w:cs="ArialMT"/>
          <w:i/>
          <w:iCs/>
          <w:sz w:val="21"/>
          <w:szCs w:val="21"/>
          <w:lang w:val="es-MX"/>
        </w:rPr>
        <w:t xml:space="preserve">hay diferencia en su calidad, por ser de </w:t>
      </w:r>
      <w:r w:rsidRPr="00F40E63">
        <w:rPr>
          <w:rFonts w:ascii="Abadi" w:hAnsi="Abadi" w:cs="ArialMT"/>
          <w:sz w:val="21"/>
          <w:szCs w:val="21"/>
          <w:lang w:val="es-MX"/>
        </w:rPr>
        <w:t xml:space="preserve">una </w:t>
      </w:r>
      <w:r w:rsidRPr="00F40E63">
        <w:rPr>
          <w:rFonts w:ascii="Abadi" w:hAnsi="Abadi" w:cs="ArialMT"/>
          <w:i/>
          <w:iCs/>
          <w:sz w:val="21"/>
          <w:szCs w:val="21"/>
          <w:lang w:val="es-MX"/>
        </w:rPr>
        <w:t xml:space="preserve">fuente </w:t>
      </w:r>
      <w:r w:rsidRPr="00F40E63">
        <w:rPr>
          <w:rFonts w:ascii="Abadi" w:hAnsi="Abadi" w:cs="ArialMT"/>
          <w:sz w:val="21"/>
          <w:szCs w:val="21"/>
          <w:lang w:val="es-MX"/>
        </w:rPr>
        <w:t xml:space="preserve">u </w:t>
      </w:r>
      <w:r w:rsidRPr="00F40E63">
        <w:rPr>
          <w:rFonts w:ascii="Abadi" w:hAnsi="Abadi" w:cs="ArialMT"/>
          <w:i/>
          <w:iCs/>
          <w:sz w:val="21"/>
          <w:szCs w:val="21"/>
          <w:lang w:val="es-MX"/>
        </w:rPr>
        <w:t xml:space="preserve">otra), tanto </w:t>
      </w:r>
      <w:r w:rsidRPr="00F40E63">
        <w:rPr>
          <w:rFonts w:ascii="Abadi" w:hAnsi="Abadi" w:cs="ArialMT"/>
          <w:sz w:val="21"/>
          <w:szCs w:val="21"/>
          <w:lang w:val="es-MX"/>
        </w:rPr>
        <w:t xml:space="preserve">como </w:t>
      </w:r>
      <w:r w:rsidRPr="00F40E63">
        <w:rPr>
          <w:rFonts w:ascii="Abadi" w:hAnsi="Abadi" w:cs="ArialMT"/>
          <w:i/>
          <w:iCs/>
          <w:sz w:val="21"/>
          <w:szCs w:val="21"/>
          <w:lang w:val="es-MX"/>
        </w:rPr>
        <w:t xml:space="preserve">aceptar que le pagaremos </w:t>
      </w:r>
      <w:r w:rsidRPr="00F40E63">
        <w:rPr>
          <w:rFonts w:ascii="Abadi" w:hAnsi="Abadi" w:cs="ArialMT"/>
          <w:sz w:val="21"/>
          <w:szCs w:val="21"/>
          <w:lang w:val="es-MX"/>
        </w:rPr>
        <w:t xml:space="preserve">a menor </w:t>
      </w:r>
      <w:r w:rsidRPr="00F40E63">
        <w:rPr>
          <w:rFonts w:ascii="Abadi" w:hAnsi="Abadi" w:cs="ArialMT"/>
          <w:i/>
          <w:iCs/>
          <w:sz w:val="21"/>
          <w:szCs w:val="21"/>
          <w:lang w:val="es-MX"/>
        </w:rPr>
        <w:t xml:space="preserve">valor su trabajo al que cumpla </w:t>
      </w:r>
      <w:r w:rsidRPr="00F40E63">
        <w:rPr>
          <w:rFonts w:ascii="Abadi" w:hAnsi="Abadi" w:cs="ArialMT"/>
          <w:sz w:val="21"/>
          <w:szCs w:val="21"/>
          <w:lang w:val="es-MX"/>
        </w:rPr>
        <w:t xml:space="preserve">una </w:t>
      </w:r>
      <w:r w:rsidRPr="00F40E63">
        <w:rPr>
          <w:rFonts w:ascii="Abadi" w:hAnsi="Abadi" w:cs="ArialMT"/>
          <w:i/>
          <w:iCs/>
          <w:sz w:val="21"/>
          <w:szCs w:val="21"/>
          <w:lang w:val="es-MX"/>
        </w:rPr>
        <w:t xml:space="preserve">jornada completa, y al que tenga media jornada le daremos prioridad en la </w:t>
      </w:r>
      <w:r w:rsidRPr="00F40E63">
        <w:rPr>
          <w:rFonts w:ascii="Abadi" w:hAnsi="Abadi" w:cs="ArialMT"/>
          <w:sz w:val="21"/>
          <w:szCs w:val="21"/>
          <w:lang w:val="es-MX"/>
        </w:rPr>
        <w:t xml:space="preserve">asignación </w:t>
      </w:r>
      <w:r w:rsidRPr="00F40E63">
        <w:rPr>
          <w:rFonts w:ascii="Abadi" w:hAnsi="Abadi" w:cs="ArialMT"/>
          <w:i/>
          <w:iCs/>
          <w:sz w:val="21"/>
          <w:szCs w:val="21"/>
          <w:lang w:val="es-MX"/>
        </w:rPr>
        <w:t xml:space="preserve">de trabajo y pagaremos mejor, evidentemente </w:t>
      </w:r>
      <w:r w:rsidRPr="00F40E63">
        <w:rPr>
          <w:rFonts w:ascii="Abadi" w:hAnsi="Abadi" w:cs="ArialMT"/>
          <w:sz w:val="21"/>
          <w:szCs w:val="21"/>
          <w:lang w:val="es-MX"/>
        </w:rPr>
        <w:t xml:space="preserve">una </w:t>
      </w:r>
      <w:r w:rsidRPr="00F40E63">
        <w:rPr>
          <w:rFonts w:ascii="Abadi" w:hAnsi="Abadi" w:cs="ArialMT"/>
          <w:i/>
          <w:iCs/>
          <w:sz w:val="21"/>
          <w:szCs w:val="21"/>
          <w:lang w:val="es-MX"/>
        </w:rPr>
        <w:t>INJUSTICIA.</w:t>
      </w:r>
    </w:p>
    <w:p w14:paraId="6A406722" w14:textId="77777777" w:rsidR="00D522A6" w:rsidRPr="00F40E63" w:rsidRDefault="00D522A6" w:rsidP="00CD1AFD">
      <w:pPr>
        <w:autoSpaceDE w:val="0"/>
        <w:autoSpaceDN w:val="0"/>
        <w:adjustRightInd w:val="0"/>
        <w:ind w:left="284" w:right="354" w:hanging="284"/>
        <w:jc w:val="both"/>
        <w:rPr>
          <w:rFonts w:ascii="Abadi" w:hAnsi="Abadi" w:cs="ArialMT"/>
          <w:i/>
          <w:iCs/>
          <w:sz w:val="21"/>
          <w:szCs w:val="21"/>
          <w:lang w:val="es-MX"/>
        </w:rPr>
      </w:pPr>
    </w:p>
    <w:p w14:paraId="43C1770A" w14:textId="77777777" w:rsidR="00D522A6" w:rsidRPr="00F40E63" w:rsidRDefault="00D522A6" w:rsidP="00CD1AFD">
      <w:pPr>
        <w:autoSpaceDE w:val="0"/>
        <w:autoSpaceDN w:val="0"/>
        <w:adjustRightInd w:val="0"/>
        <w:ind w:left="284" w:right="354"/>
        <w:jc w:val="both"/>
        <w:rPr>
          <w:rFonts w:ascii="Abadi" w:hAnsi="Abadi" w:cs="ArialMT"/>
          <w:i/>
          <w:iCs/>
          <w:sz w:val="21"/>
          <w:szCs w:val="21"/>
          <w:lang w:val="es-MX"/>
        </w:rPr>
      </w:pPr>
      <w:r w:rsidRPr="00F40E63">
        <w:rPr>
          <w:rFonts w:ascii="Abadi" w:hAnsi="Abadi" w:cs="ArialMT"/>
          <w:sz w:val="21"/>
          <w:szCs w:val="21"/>
          <w:lang w:val="es-MX"/>
        </w:rPr>
        <w:t xml:space="preserve">Con </w:t>
      </w:r>
      <w:r w:rsidRPr="00F40E63">
        <w:rPr>
          <w:rFonts w:ascii="Abadi" w:hAnsi="Abadi" w:cs="ArialMT"/>
          <w:i/>
          <w:iCs/>
          <w:sz w:val="21"/>
          <w:szCs w:val="21"/>
          <w:lang w:val="es-MX"/>
        </w:rPr>
        <w:t xml:space="preserve">la reforma constitucional se establece en la generación de energía eléctrica </w:t>
      </w:r>
      <w:r w:rsidRPr="00F40E63">
        <w:rPr>
          <w:rFonts w:ascii="Abadi" w:hAnsi="Abadi" w:cs="ArialMT"/>
          <w:sz w:val="21"/>
          <w:szCs w:val="21"/>
          <w:lang w:val="es-MX"/>
        </w:rPr>
        <w:t xml:space="preserve">un </w:t>
      </w:r>
      <w:r w:rsidRPr="00F40E63">
        <w:rPr>
          <w:rFonts w:ascii="Abadi" w:hAnsi="Abadi" w:cs="ArialMT"/>
          <w:i/>
          <w:iCs/>
          <w:sz w:val="21"/>
          <w:szCs w:val="21"/>
          <w:lang w:val="es-MX"/>
        </w:rPr>
        <w:t xml:space="preserve">piso mínimo de 54% para la CFE, que había sido relegada, desaprovechando principalmente su capacidad de producción </w:t>
      </w:r>
      <w:r w:rsidRPr="00F40E63">
        <w:rPr>
          <w:rFonts w:ascii="Abadi" w:hAnsi="Abadi" w:cs="ArialMT"/>
          <w:sz w:val="21"/>
          <w:szCs w:val="21"/>
          <w:lang w:val="es-MX"/>
        </w:rPr>
        <w:t xml:space="preserve">a </w:t>
      </w:r>
      <w:r w:rsidRPr="00F40E63">
        <w:rPr>
          <w:rFonts w:ascii="Abadi" w:hAnsi="Abadi" w:cs="ArialMT"/>
          <w:i/>
          <w:iCs/>
          <w:sz w:val="21"/>
          <w:szCs w:val="21"/>
          <w:lang w:val="es-MX"/>
        </w:rPr>
        <w:t xml:space="preserve">través de las hidroeléctricas. En el esquema actual, puede afirmarse que la CFE sostiene la rentabilidad de las inversiones privadas, basado en que la CFE tiene 191 Centrales de </w:t>
      </w:r>
      <w:r w:rsidRPr="00F40E63">
        <w:rPr>
          <w:rFonts w:ascii="Abadi" w:hAnsi="Abadi" w:cs="ArialMT"/>
          <w:sz w:val="21"/>
          <w:szCs w:val="21"/>
          <w:lang w:val="es-MX"/>
        </w:rPr>
        <w:t xml:space="preserve">Generación </w:t>
      </w:r>
      <w:r w:rsidRPr="00F40E63">
        <w:rPr>
          <w:rFonts w:ascii="Abadi" w:hAnsi="Abadi" w:cs="ArialMT"/>
          <w:i/>
          <w:iCs/>
          <w:sz w:val="21"/>
          <w:szCs w:val="21"/>
          <w:lang w:val="es-MX"/>
        </w:rPr>
        <w:t xml:space="preserve">que operan al 55% de su capacidad en promedio, </w:t>
      </w:r>
      <w:r w:rsidRPr="00F40E63">
        <w:rPr>
          <w:rFonts w:ascii="Abadi" w:hAnsi="Abadi" w:cs="ArialMT"/>
          <w:sz w:val="21"/>
          <w:szCs w:val="21"/>
          <w:lang w:val="es-MX"/>
        </w:rPr>
        <w:t xml:space="preserve">69 son </w:t>
      </w:r>
      <w:r w:rsidRPr="00F40E63">
        <w:rPr>
          <w:rFonts w:ascii="Abadi" w:hAnsi="Abadi" w:cs="ArialMT"/>
          <w:i/>
          <w:iCs/>
          <w:sz w:val="21"/>
          <w:szCs w:val="21"/>
          <w:lang w:val="es-MX"/>
        </w:rPr>
        <w:t>energías limpias (hidráulica, geotérmicas, nuclear, eólica y solar).</w:t>
      </w:r>
    </w:p>
    <w:p w14:paraId="7000A5DA" w14:textId="77777777" w:rsidR="00D522A6" w:rsidRPr="00F40E63" w:rsidRDefault="00D522A6" w:rsidP="00CD1AFD">
      <w:pPr>
        <w:autoSpaceDE w:val="0"/>
        <w:autoSpaceDN w:val="0"/>
        <w:adjustRightInd w:val="0"/>
        <w:ind w:left="284" w:right="354" w:hanging="284"/>
        <w:jc w:val="both"/>
        <w:rPr>
          <w:rFonts w:ascii="Abadi" w:hAnsi="Abadi" w:cs="ArialMT"/>
          <w:i/>
          <w:iCs/>
          <w:sz w:val="21"/>
          <w:szCs w:val="21"/>
          <w:lang w:val="es-MX"/>
        </w:rPr>
      </w:pPr>
    </w:p>
    <w:p w14:paraId="63E799A0" w14:textId="77777777" w:rsidR="00D522A6" w:rsidRPr="00F40E63" w:rsidRDefault="00D522A6" w:rsidP="00CD1AFD">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En el </w:t>
      </w:r>
      <w:r w:rsidRPr="00F40E63">
        <w:rPr>
          <w:rFonts w:ascii="Abadi" w:hAnsi="Abadi" w:cs="ArialMT"/>
          <w:sz w:val="21"/>
          <w:szCs w:val="21"/>
          <w:lang w:val="es-MX"/>
        </w:rPr>
        <w:t xml:space="preserve">año </w:t>
      </w:r>
      <w:r w:rsidRPr="00F40E63">
        <w:rPr>
          <w:rFonts w:ascii="Abadi" w:hAnsi="Abadi" w:cs="ArialMT"/>
          <w:i/>
          <w:iCs/>
          <w:sz w:val="21"/>
          <w:szCs w:val="21"/>
          <w:lang w:val="es-MX"/>
        </w:rPr>
        <w:t xml:space="preserve">2020 la CFE por obligación de la (contra) reforma del 2013, tuvo que comprarle </w:t>
      </w:r>
      <w:r w:rsidRPr="00F40E63">
        <w:rPr>
          <w:rFonts w:ascii="Abadi" w:hAnsi="Abadi" w:cs="ArialMT"/>
          <w:sz w:val="21"/>
          <w:szCs w:val="21"/>
          <w:lang w:val="es-MX"/>
        </w:rPr>
        <w:t xml:space="preserve">a </w:t>
      </w:r>
      <w:r w:rsidRPr="00F40E63">
        <w:rPr>
          <w:rFonts w:ascii="Abadi" w:hAnsi="Abadi" w:cs="ArialMT"/>
          <w:i/>
          <w:iCs/>
          <w:sz w:val="21"/>
          <w:szCs w:val="21"/>
          <w:lang w:val="es-MX"/>
        </w:rPr>
        <w:t xml:space="preserve">los generadores privados 90 </w:t>
      </w:r>
      <w:proofErr w:type="spellStart"/>
      <w:r w:rsidRPr="00F40E63">
        <w:rPr>
          <w:rFonts w:ascii="Abadi" w:hAnsi="Abadi" w:cs="ArialMT"/>
          <w:i/>
          <w:iCs/>
          <w:sz w:val="21"/>
          <w:szCs w:val="21"/>
          <w:lang w:val="es-MX"/>
        </w:rPr>
        <w:t>teravatios</w:t>
      </w:r>
      <w:proofErr w:type="spellEnd"/>
      <w:r w:rsidRPr="00F40E63">
        <w:rPr>
          <w:rFonts w:ascii="Abadi" w:hAnsi="Abadi" w:cs="ArialMT"/>
          <w:i/>
          <w:iCs/>
          <w:sz w:val="21"/>
          <w:szCs w:val="21"/>
          <w:lang w:val="es-MX"/>
        </w:rPr>
        <w:t xml:space="preserve">-hora (TWh) en el llamado "mercado eléctrico", lo que significó $223 mil millones de pesos, teniendo subutilizado el 45 </w:t>
      </w:r>
      <w:r w:rsidRPr="00F40E63">
        <w:rPr>
          <w:rFonts w:ascii="Abadi" w:hAnsi="Abadi" w:cs="ArialMT"/>
          <w:sz w:val="21"/>
          <w:szCs w:val="21"/>
          <w:lang w:val="es-MX"/>
        </w:rPr>
        <w:t xml:space="preserve">% </w:t>
      </w:r>
      <w:r w:rsidRPr="00F40E63">
        <w:rPr>
          <w:rFonts w:ascii="Abadi" w:hAnsi="Abadi" w:cs="ArialMT"/>
          <w:i/>
          <w:iCs/>
          <w:sz w:val="21"/>
          <w:szCs w:val="21"/>
          <w:lang w:val="es-MX"/>
        </w:rPr>
        <w:t xml:space="preserve">de sus plantas, es decir, perdió </w:t>
      </w:r>
      <w:r w:rsidRPr="00F40E63">
        <w:rPr>
          <w:rFonts w:ascii="Abadi" w:hAnsi="Abadi" w:cs="ArialMT"/>
          <w:sz w:val="21"/>
          <w:szCs w:val="21"/>
          <w:lang w:val="es-MX"/>
        </w:rPr>
        <w:t xml:space="preserve">con </w:t>
      </w:r>
      <w:r w:rsidRPr="00F40E63">
        <w:rPr>
          <w:rFonts w:ascii="Abadi" w:hAnsi="Abadi" w:cs="ArialMT"/>
          <w:i/>
          <w:iCs/>
          <w:sz w:val="21"/>
          <w:szCs w:val="21"/>
          <w:lang w:val="es-MX"/>
        </w:rPr>
        <w:t xml:space="preserve">esta subutilización $215 mil millones. Es evidente el beneficio </w:t>
      </w:r>
      <w:r w:rsidRPr="00F40E63">
        <w:rPr>
          <w:rFonts w:ascii="Abadi" w:hAnsi="Abadi" w:cs="ArialMT"/>
          <w:sz w:val="21"/>
          <w:szCs w:val="21"/>
          <w:lang w:val="es-MX"/>
        </w:rPr>
        <w:t xml:space="preserve">a </w:t>
      </w:r>
      <w:r w:rsidRPr="00F40E63">
        <w:rPr>
          <w:rFonts w:ascii="Abadi" w:hAnsi="Abadi" w:cs="ArialMT"/>
          <w:i/>
          <w:iCs/>
          <w:sz w:val="21"/>
          <w:szCs w:val="21"/>
          <w:lang w:val="es-MX"/>
        </w:rPr>
        <w:t xml:space="preserve">las finanzas públicas que se generará </w:t>
      </w:r>
      <w:r w:rsidRPr="00F40E63">
        <w:rPr>
          <w:rFonts w:ascii="Abadi" w:hAnsi="Abadi" w:cs="ArialMT"/>
          <w:sz w:val="21"/>
          <w:szCs w:val="21"/>
          <w:lang w:val="es-MX"/>
        </w:rPr>
        <w:t xml:space="preserve">con </w:t>
      </w:r>
      <w:r w:rsidRPr="00F40E63">
        <w:rPr>
          <w:rFonts w:ascii="Abadi" w:hAnsi="Abadi" w:cs="ArialMT"/>
          <w:i/>
          <w:iCs/>
          <w:sz w:val="21"/>
          <w:szCs w:val="21"/>
          <w:lang w:val="es-MX"/>
        </w:rPr>
        <w:t xml:space="preserve">las reforma energética planteada (sic) por el Presidente de la República, lo contrario es defender los intereses privados que diseñaron </w:t>
      </w:r>
      <w:r w:rsidRPr="00F40E63">
        <w:rPr>
          <w:rFonts w:ascii="Abadi" w:hAnsi="Abadi" w:cs="ArialMT"/>
          <w:sz w:val="21"/>
          <w:szCs w:val="21"/>
          <w:lang w:val="es-MX"/>
        </w:rPr>
        <w:t xml:space="preserve">a </w:t>
      </w:r>
      <w:r w:rsidRPr="00F40E63">
        <w:rPr>
          <w:rFonts w:ascii="Abadi" w:hAnsi="Abadi" w:cs="ArialMT"/>
          <w:i/>
          <w:iCs/>
          <w:sz w:val="21"/>
          <w:szCs w:val="21"/>
          <w:lang w:val="es-MX"/>
        </w:rPr>
        <w:t xml:space="preserve">modo </w:t>
      </w:r>
      <w:r w:rsidRPr="00F40E63">
        <w:rPr>
          <w:rFonts w:ascii="Abadi" w:hAnsi="Abadi" w:cs="ArialMT"/>
          <w:sz w:val="21"/>
          <w:szCs w:val="21"/>
          <w:lang w:val="es-MX"/>
        </w:rPr>
        <w:t xml:space="preserve">un </w:t>
      </w:r>
      <w:r w:rsidRPr="00F40E63">
        <w:rPr>
          <w:rFonts w:ascii="Abadi" w:hAnsi="Abadi" w:cs="ArialMT"/>
          <w:i/>
          <w:iCs/>
          <w:sz w:val="21"/>
          <w:szCs w:val="21"/>
          <w:lang w:val="es-MX"/>
        </w:rPr>
        <w:t xml:space="preserve">esquema de </w:t>
      </w:r>
      <w:r w:rsidRPr="00F40E63">
        <w:rPr>
          <w:rFonts w:ascii="Abadi" w:hAnsi="Abadi" w:cs="ArialMT"/>
          <w:sz w:val="21"/>
          <w:szCs w:val="21"/>
          <w:lang w:val="es-MX"/>
        </w:rPr>
        <w:t xml:space="preserve">negocio </w:t>
      </w:r>
      <w:r w:rsidRPr="00F40E63">
        <w:rPr>
          <w:rFonts w:ascii="Abadi" w:hAnsi="Abadi" w:cs="ArialMT"/>
          <w:i/>
          <w:iCs/>
          <w:sz w:val="21"/>
          <w:szCs w:val="21"/>
          <w:lang w:val="es-MX"/>
        </w:rPr>
        <w:t xml:space="preserve">seguro </w:t>
      </w:r>
      <w:r w:rsidRPr="00F40E63">
        <w:rPr>
          <w:rFonts w:ascii="Abadi" w:hAnsi="Abadi" w:cs="ArialMT"/>
          <w:sz w:val="21"/>
          <w:szCs w:val="21"/>
          <w:lang w:val="es-MX"/>
        </w:rPr>
        <w:t xml:space="preserve">a </w:t>
      </w:r>
      <w:r w:rsidRPr="00F40E63">
        <w:rPr>
          <w:rFonts w:ascii="Abadi" w:hAnsi="Abadi" w:cs="ArialMT"/>
          <w:i/>
          <w:iCs/>
          <w:sz w:val="21"/>
          <w:szCs w:val="21"/>
          <w:lang w:val="es-MX"/>
        </w:rPr>
        <w:t xml:space="preserve">costa de los usuarios finales y del erario público, </w:t>
      </w:r>
      <w:proofErr w:type="spellStart"/>
      <w:r w:rsidRPr="00F40E63">
        <w:rPr>
          <w:rFonts w:ascii="Abadi" w:hAnsi="Abadi" w:cs="ArialMT"/>
          <w:i/>
          <w:iCs/>
          <w:sz w:val="21"/>
          <w:szCs w:val="21"/>
          <w:lang w:val="es-MX"/>
        </w:rPr>
        <w:t>aún</w:t>
      </w:r>
      <w:proofErr w:type="spellEnd"/>
      <w:r w:rsidRPr="00F40E63">
        <w:rPr>
          <w:rFonts w:ascii="Abadi" w:hAnsi="Abadi" w:cs="ArialMT"/>
          <w:i/>
          <w:iCs/>
          <w:sz w:val="21"/>
          <w:szCs w:val="21"/>
          <w:lang w:val="es-MX"/>
        </w:rPr>
        <w:t xml:space="preserve"> </w:t>
      </w:r>
      <w:r w:rsidRPr="00F40E63">
        <w:rPr>
          <w:rFonts w:ascii="Abadi" w:hAnsi="Abadi" w:cs="ArialMT"/>
          <w:sz w:val="21"/>
          <w:szCs w:val="21"/>
          <w:lang w:val="es-MX"/>
        </w:rPr>
        <w:t xml:space="preserve">cuando no son </w:t>
      </w:r>
      <w:r w:rsidRPr="00F40E63">
        <w:rPr>
          <w:rFonts w:ascii="Abadi" w:hAnsi="Abadi" w:cs="ArialMT"/>
          <w:i/>
          <w:iCs/>
          <w:sz w:val="21"/>
          <w:szCs w:val="21"/>
          <w:lang w:val="es-MX"/>
        </w:rPr>
        <w:t>generadores de energía de tiempo completo (intermitentes).</w:t>
      </w:r>
    </w:p>
    <w:p w14:paraId="46FD6BA9" w14:textId="77777777" w:rsidR="00D522A6" w:rsidRPr="00F40E63" w:rsidRDefault="00D522A6" w:rsidP="00D522A6">
      <w:pPr>
        <w:autoSpaceDE w:val="0"/>
        <w:autoSpaceDN w:val="0"/>
        <w:adjustRightInd w:val="0"/>
        <w:jc w:val="both"/>
        <w:rPr>
          <w:rFonts w:ascii="Abadi" w:hAnsi="Abadi" w:cs="ArialMT"/>
          <w:b/>
          <w:bCs/>
          <w:i/>
          <w:iCs/>
          <w:sz w:val="21"/>
          <w:szCs w:val="21"/>
          <w:lang w:val="es-MX"/>
        </w:rPr>
      </w:pPr>
    </w:p>
    <w:p w14:paraId="031818C0" w14:textId="77777777" w:rsidR="00D522A6" w:rsidRPr="00F40E63" w:rsidRDefault="00D522A6" w:rsidP="00CD1AFD">
      <w:pPr>
        <w:autoSpaceDE w:val="0"/>
        <w:autoSpaceDN w:val="0"/>
        <w:adjustRightInd w:val="0"/>
        <w:ind w:firstLine="284"/>
        <w:jc w:val="both"/>
        <w:rPr>
          <w:rFonts w:ascii="Abadi" w:hAnsi="Abadi" w:cs="ArialMT"/>
          <w:i/>
          <w:iCs/>
          <w:sz w:val="21"/>
          <w:szCs w:val="21"/>
          <w:lang w:val="es-MX"/>
        </w:rPr>
      </w:pPr>
      <w:r w:rsidRPr="00F40E63">
        <w:rPr>
          <w:rFonts w:ascii="Abadi" w:hAnsi="Abadi" w:cs="ArialMT"/>
          <w:i/>
          <w:iCs/>
          <w:sz w:val="21"/>
          <w:szCs w:val="21"/>
          <w:lang w:val="es-MX"/>
        </w:rPr>
        <w:t>(...)»</w:t>
      </w:r>
    </w:p>
    <w:p w14:paraId="4E7A35DF" w14:textId="77777777" w:rsidR="00D522A6" w:rsidRPr="00F40E63" w:rsidRDefault="00D522A6" w:rsidP="00D522A6">
      <w:pPr>
        <w:autoSpaceDE w:val="0"/>
        <w:autoSpaceDN w:val="0"/>
        <w:adjustRightInd w:val="0"/>
        <w:jc w:val="both"/>
        <w:rPr>
          <w:rFonts w:ascii="Abadi" w:hAnsi="Abadi" w:cs="ArialMT"/>
          <w:sz w:val="21"/>
          <w:szCs w:val="21"/>
          <w:lang w:val="es-MX"/>
        </w:rPr>
      </w:pPr>
    </w:p>
    <w:p w14:paraId="417187BA" w14:textId="77777777" w:rsidR="00D522A6" w:rsidRPr="00F40E63" w:rsidRDefault="00D522A6" w:rsidP="000510E2">
      <w:pPr>
        <w:autoSpaceDE w:val="0"/>
        <w:autoSpaceDN w:val="0"/>
        <w:adjustRightInd w:val="0"/>
        <w:ind w:firstLine="284"/>
        <w:jc w:val="both"/>
        <w:rPr>
          <w:rFonts w:ascii="Abadi" w:hAnsi="Abadi" w:cs="ArialMT"/>
          <w:sz w:val="21"/>
          <w:szCs w:val="21"/>
          <w:lang w:val="es-MX"/>
        </w:rPr>
      </w:pPr>
      <w:r w:rsidRPr="00F40E63">
        <w:rPr>
          <w:rFonts w:ascii="Abadi" w:hAnsi="Abadi" w:cs="ArialMT"/>
          <w:sz w:val="21"/>
          <w:szCs w:val="21"/>
          <w:lang w:val="es-MX"/>
        </w:rPr>
        <w:t>Del análisis de las propuestas podemos manifestar que su objetivo consistía en por un lado exhortar a la Cámara de Diputados a que no aprobara la iniciativa de reforma a los artículos 25, 27 y 28 de la Constitución Política de los Estados Unidos Mexicanos, suscrita por el titular del Poder Ejecutivo Federal el pasado 1 de octubre del año próximo pasado. Y en de igual forma, por el otro exhortar a ambas cámaras en el Congreso de la Unión para que se pronunciaran y aprobaran dicha iniciativa.</w:t>
      </w:r>
    </w:p>
    <w:p w14:paraId="3B70C1A3" w14:textId="77777777" w:rsidR="00D522A6" w:rsidRPr="00F40E63" w:rsidRDefault="00D522A6" w:rsidP="00D522A6">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En ese sentido, es importante referir que en fecha 17 de abril del año en curso, se dio la discusión sobre el dictamen que contenía la propuesta de reforma a los artículos de la Ley Primaria en </w:t>
      </w:r>
      <w:r w:rsidRPr="00F40E63">
        <w:rPr>
          <w:rFonts w:ascii="Abadi" w:hAnsi="Abadi" w:cs="ArialMT"/>
          <w:i/>
          <w:iCs/>
          <w:sz w:val="21"/>
          <w:szCs w:val="21"/>
          <w:lang w:val="es-MX"/>
        </w:rPr>
        <w:t xml:space="preserve">materia eléctrica, dicho proyecto requería votación calificada para ser aprobada ante ese órgano Colegiado. </w:t>
      </w:r>
      <w:r w:rsidRPr="00F40E63">
        <w:rPr>
          <w:rFonts w:ascii="Abadi" w:hAnsi="Abadi" w:cs="ArialMT"/>
          <w:sz w:val="21"/>
          <w:szCs w:val="21"/>
          <w:lang w:val="es-MX"/>
        </w:rPr>
        <w:t>Durante la discusión la mayoría de las y los legisladores federales se pronunciaron a favor de la energías renovables y mejores precios energéticos para la población, algunos por una mayor apertura de la industria.</w:t>
      </w:r>
    </w:p>
    <w:p w14:paraId="6FC16699" w14:textId="77777777" w:rsidR="00D522A6" w:rsidRPr="00F40E63" w:rsidRDefault="00D522A6" w:rsidP="00D522A6">
      <w:pPr>
        <w:autoSpaceDE w:val="0"/>
        <w:autoSpaceDN w:val="0"/>
        <w:adjustRightInd w:val="0"/>
        <w:jc w:val="both"/>
        <w:rPr>
          <w:rFonts w:ascii="Abadi" w:hAnsi="Abadi" w:cs="ArialMT"/>
          <w:sz w:val="21"/>
          <w:szCs w:val="21"/>
          <w:lang w:val="es-MX"/>
        </w:rPr>
      </w:pPr>
    </w:p>
    <w:p w14:paraId="6989FA5C" w14:textId="77777777" w:rsidR="00D522A6" w:rsidRPr="00F40E63" w:rsidRDefault="00D522A6" w:rsidP="000510E2">
      <w:pPr>
        <w:autoSpaceDE w:val="0"/>
        <w:autoSpaceDN w:val="0"/>
        <w:adjustRightInd w:val="0"/>
        <w:ind w:firstLine="708"/>
        <w:jc w:val="both"/>
        <w:rPr>
          <w:rFonts w:ascii="Abadi" w:hAnsi="Abadi" w:cs="ArialMT"/>
          <w:sz w:val="21"/>
          <w:szCs w:val="21"/>
          <w:lang w:val="es-MX"/>
        </w:rPr>
      </w:pPr>
      <w:r w:rsidRPr="00F40E63">
        <w:rPr>
          <w:rFonts w:ascii="Abadi" w:hAnsi="Abadi" w:cs="ArialMT"/>
          <w:sz w:val="21"/>
          <w:szCs w:val="21"/>
          <w:lang w:val="es-MX"/>
        </w:rPr>
        <w:t>Con ese dictamen se pretendía reformar los párrafos cuarto, sexto y octavo del artículo 25; el párrafo sexto del artículo 27; los párrafos cuarto y sexto del artículo 28; y adicionar un párrafo séptimo, recorriéndose los subsecuentes en su orden, al artículo 27, de la Constitución Política de los Estados Unidos Mexicanos.</w:t>
      </w:r>
    </w:p>
    <w:p w14:paraId="6D568225" w14:textId="77777777" w:rsidR="00D522A6" w:rsidRPr="00F40E63" w:rsidRDefault="00D522A6" w:rsidP="00D522A6">
      <w:pPr>
        <w:autoSpaceDE w:val="0"/>
        <w:autoSpaceDN w:val="0"/>
        <w:adjustRightInd w:val="0"/>
        <w:jc w:val="both"/>
        <w:rPr>
          <w:rFonts w:ascii="Abadi" w:hAnsi="Abadi" w:cs="ArialMT"/>
          <w:sz w:val="21"/>
          <w:szCs w:val="21"/>
          <w:lang w:val="es-MX"/>
        </w:rPr>
      </w:pPr>
    </w:p>
    <w:p w14:paraId="2ACBC6C5" w14:textId="77777777" w:rsidR="00D522A6" w:rsidRPr="00F40E63" w:rsidRDefault="00D522A6" w:rsidP="000510E2">
      <w:pPr>
        <w:autoSpaceDE w:val="0"/>
        <w:autoSpaceDN w:val="0"/>
        <w:adjustRightInd w:val="0"/>
        <w:ind w:firstLine="708"/>
        <w:jc w:val="both"/>
        <w:rPr>
          <w:rFonts w:ascii="Abadi" w:hAnsi="Abadi" w:cs="ArialMT"/>
          <w:sz w:val="21"/>
          <w:szCs w:val="21"/>
          <w:lang w:val="es-MX"/>
        </w:rPr>
      </w:pPr>
      <w:r w:rsidRPr="00F40E63">
        <w:rPr>
          <w:rFonts w:ascii="Abadi" w:hAnsi="Abadi" w:cs="ArialMT"/>
          <w:sz w:val="21"/>
          <w:szCs w:val="21"/>
          <w:lang w:val="es-MX"/>
        </w:rPr>
        <w:t xml:space="preserve">Cabe señalar que se requiere dos terceras partes de las y los legisladores federales para llevar a cabo la votación de esa magnitud y en consecuencia la aprobación de un dictamen con tales alcances </w:t>
      </w:r>
      <w:r w:rsidRPr="00F40E63">
        <w:rPr>
          <w:rFonts w:ascii="Abadi" w:hAnsi="Abadi" w:cs="ArialMT"/>
          <w:i/>
          <w:iCs/>
          <w:sz w:val="21"/>
          <w:szCs w:val="21"/>
          <w:lang w:val="es-MX"/>
        </w:rPr>
        <w:t xml:space="preserve">referente a las reformas a la Constitución, </w:t>
      </w:r>
      <w:r w:rsidRPr="00F40E63">
        <w:rPr>
          <w:rFonts w:ascii="Abadi" w:hAnsi="Abadi" w:cs="ArialMT"/>
          <w:sz w:val="21"/>
          <w:szCs w:val="21"/>
          <w:lang w:val="es-MX"/>
        </w:rPr>
        <w:t xml:space="preserve">y al registrarse 488 diputados y diputadas presentes existió cuórum. En ese sentido, por ser una reforma Constitucional se requiere de la mayoría calificada, y las dos terceras partes del Pleno. Dado este porcentaje de votación, el dictamen que contenía la iniciativa de reforma a la Constitución Política de los Estados Unidos Mexicanos </w:t>
      </w:r>
      <w:r w:rsidRPr="00F40E63">
        <w:rPr>
          <w:rFonts w:ascii="Abadi" w:hAnsi="Abadi" w:cs="ArialMT"/>
          <w:i/>
          <w:iCs/>
          <w:sz w:val="21"/>
          <w:szCs w:val="21"/>
          <w:lang w:val="es-MX"/>
        </w:rPr>
        <w:t xml:space="preserve">en materia </w:t>
      </w:r>
      <w:r w:rsidRPr="00F40E63">
        <w:rPr>
          <w:rFonts w:ascii="Abadi" w:hAnsi="Abadi" w:cs="ArialMT"/>
          <w:sz w:val="21"/>
          <w:szCs w:val="21"/>
          <w:lang w:val="es-MX"/>
        </w:rPr>
        <w:t xml:space="preserve">de </w:t>
      </w:r>
      <w:r w:rsidRPr="00F40E63">
        <w:rPr>
          <w:rFonts w:ascii="Abadi" w:hAnsi="Abadi" w:cs="ArialMT"/>
          <w:i/>
          <w:iCs/>
          <w:sz w:val="21"/>
          <w:szCs w:val="21"/>
          <w:lang w:val="es-MX"/>
        </w:rPr>
        <w:t xml:space="preserve">energía y acceso a la energía eléctrica </w:t>
      </w:r>
      <w:r w:rsidRPr="00F40E63">
        <w:rPr>
          <w:rFonts w:ascii="Abadi" w:hAnsi="Abadi" w:cs="ArialMT"/>
          <w:sz w:val="21"/>
          <w:szCs w:val="21"/>
          <w:lang w:val="es-MX"/>
        </w:rPr>
        <w:t>no alcanzó la mayoría calificada para aprobarse por dicha Cámara al computarse 275 votos a favor, 223 en contra y O abstenciones, desechándose el proyecto.</w:t>
      </w:r>
    </w:p>
    <w:p w14:paraId="66953AD2" w14:textId="77777777" w:rsidR="00D522A6" w:rsidRPr="00F40E63" w:rsidRDefault="00D522A6" w:rsidP="00D522A6">
      <w:pPr>
        <w:autoSpaceDE w:val="0"/>
        <w:autoSpaceDN w:val="0"/>
        <w:adjustRightInd w:val="0"/>
        <w:jc w:val="both"/>
        <w:rPr>
          <w:rFonts w:ascii="Abadi" w:hAnsi="Abadi" w:cs="ArialMT"/>
          <w:sz w:val="21"/>
          <w:szCs w:val="21"/>
          <w:lang w:val="es-MX"/>
        </w:rPr>
      </w:pPr>
    </w:p>
    <w:p w14:paraId="05FE8088" w14:textId="77777777" w:rsidR="00D522A6" w:rsidRPr="00F40E63" w:rsidRDefault="00D522A6" w:rsidP="000510E2">
      <w:pPr>
        <w:autoSpaceDE w:val="0"/>
        <w:autoSpaceDN w:val="0"/>
        <w:adjustRightInd w:val="0"/>
        <w:ind w:firstLine="708"/>
        <w:jc w:val="both"/>
        <w:rPr>
          <w:rFonts w:ascii="Abadi" w:hAnsi="Abadi" w:cs="ArialMT"/>
          <w:sz w:val="21"/>
          <w:szCs w:val="21"/>
          <w:lang w:val="es-MX"/>
        </w:rPr>
      </w:pPr>
      <w:r w:rsidRPr="00F40E63">
        <w:rPr>
          <w:rFonts w:ascii="Abadi" w:hAnsi="Abadi" w:cs="ArialMT"/>
          <w:sz w:val="21"/>
          <w:szCs w:val="21"/>
          <w:lang w:val="es-MX"/>
        </w:rPr>
        <w:t>En consecuencia, y en atención a las consideraciones expuestas, se determina la no viabilidad de las propuestas al encontrarse superadas por las acciones generadas durante el desarrollo del proceso legislativo ante la Cámara de Diputados, en fecha 17 de abril del año en curso, motivo por el cual estimamos pertinente proponer el archivo de las propuestas de punto de acuerdo descritas en el presente dictamen.</w:t>
      </w:r>
    </w:p>
    <w:p w14:paraId="0F9586A6" w14:textId="77777777" w:rsidR="00D522A6" w:rsidRPr="00F40E63" w:rsidRDefault="00D522A6" w:rsidP="00D522A6">
      <w:pPr>
        <w:autoSpaceDE w:val="0"/>
        <w:autoSpaceDN w:val="0"/>
        <w:adjustRightInd w:val="0"/>
        <w:jc w:val="both"/>
        <w:rPr>
          <w:rFonts w:ascii="Abadi" w:hAnsi="Abadi" w:cs="ArialMT"/>
          <w:sz w:val="21"/>
          <w:szCs w:val="21"/>
          <w:lang w:val="es-MX"/>
        </w:rPr>
      </w:pPr>
    </w:p>
    <w:p w14:paraId="765B4C58" w14:textId="77777777" w:rsidR="00D522A6" w:rsidRPr="00F40E63" w:rsidRDefault="00D522A6" w:rsidP="000510E2">
      <w:pPr>
        <w:autoSpaceDE w:val="0"/>
        <w:autoSpaceDN w:val="0"/>
        <w:adjustRightInd w:val="0"/>
        <w:ind w:firstLine="708"/>
        <w:jc w:val="both"/>
        <w:rPr>
          <w:rFonts w:ascii="Abadi" w:hAnsi="Abadi" w:cs="ArialMT"/>
          <w:sz w:val="21"/>
          <w:szCs w:val="21"/>
          <w:lang w:val="es-MX"/>
        </w:rPr>
      </w:pPr>
      <w:r w:rsidRPr="00F40E63">
        <w:rPr>
          <w:rFonts w:ascii="Abadi" w:hAnsi="Abadi" w:cs="ArialMT"/>
          <w:sz w:val="21"/>
          <w:szCs w:val="21"/>
          <w:lang w:val="es-MX"/>
        </w:rPr>
        <w:t>En razón de lo antes expuesto y con fundamento en los artículos 171 y 204 de la Ley Orgánica del Poder Legislativo del Estado de Guanajuato, nos permitimos someter a la aprobación de la Asamblea, el siguiente:</w:t>
      </w:r>
    </w:p>
    <w:p w14:paraId="278CB518" w14:textId="77777777" w:rsidR="00D522A6" w:rsidRPr="00F40E63" w:rsidRDefault="00D522A6" w:rsidP="00D522A6">
      <w:pPr>
        <w:autoSpaceDE w:val="0"/>
        <w:autoSpaceDN w:val="0"/>
        <w:adjustRightInd w:val="0"/>
        <w:jc w:val="both"/>
        <w:rPr>
          <w:rFonts w:ascii="Abadi" w:hAnsi="Abadi" w:cs="ArialMT"/>
          <w:sz w:val="21"/>
          <w:szCs w:val="21"/>
          <w:lang w:val="es-MX"/>
        </w:rPr>
      </w:pPr>
    </w:p>
    <w:p w14:paraId="5C0C2D90" w14:textId="77777777" w:rsidR="00D522A6" w:rsidRPr="00F40E63" w:rsidRDefault="00D522A6" w:rsidP="000510E2">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Acuerdo</w:t>
      </w:r>
    </w:p>
    <w:p w14:paraId="5A3CD0F7" w14:textId="77777777" w:rsidR="00D522A6" w:rsidRPr="00F40E63" w:rsidRDefault="00D522A6" w:rsidP="00D522A6">
      <w:pPr>
        <w:autoSpaceDE w:val="0"/>
        <w:autoSpaceDN w:val="0"/>
        <w:adjustRightInd w:val="0"/>
        <w:jc w:val="both"/>
        <w:rPr>
          <w:rFonts w:ascii="Abadi" w:hAnsi="Abadi" w:cs="ArialMT"/>
          <w:b/>
          <w:bCs/>
          <w:sz w:val="21"/>
          <w:szCs w:val="21"/>
          <w:lang w:val="es-MX"/>
        </w:rPr>
      </w:pPr>
    </w:p>
    <w:p w14:paraId="6A2983E5" w14:textId="77777777" w:rsidR="00D522A6" w:rsidRPr="00F40E63" w:rsidRDefault="00D522A6" w:rsidP="000510E2">
      <w:pPr>
        <w:autoSpaceDE w:val="0"/>
        <w:autoSpaceDN w:val="0"/>
        <w:adjustRightInd w:val="0"/>
        <w:ind w:firstLine="708"/>
        <w:jc w:val="both"/>
        <w:rPr>
          <w:rFonts w:ascii="Abadi" w:hAnsi="Abadi" w:cs="ArialMT"/>
          <w:sz w:val="21"/>
          <w:szCs w:val="21"/>
          <w:lang w:val="es-MX"/>
        </w:rPr>
      </w:pPr>
      <w:r w:rsidRPr="00F40E63">
        <w:rPr>
          <w:rFonts w:ascii="Abadi" w:hAnsi="Abadi" w:cs="ArialMT"/>
          <w:b/>
          <w:bCs/>
          <w:sz w:val="21"/>
          <w:szCs w:val="21"/>
          <w:lang w:val="es-MX"/>
        </w:rPr>
        <w:t xml:space="preserve">Único. </w:t>
      </w:r>
      <w:r w:rsidRPr="00F40E63">
        <w:rPr>
          <w:rFonts w:ascii="Abadi" w:hAnsi="Abadi" w:cs="ArialMT"/>
          <w:sz w:val="21"/>
          <w:szCs w:val="21"/>
          <w:lang w:val="es-MX"/>
        </w:rPr>
        <w:t>Se ordena el archivo definitivo de las propuestas de punto de acuerdo suscritas, la primera por diputadas y diputados integrantes del Grupo Parlamentario del Partido Acción Nacional por el cual se efectúa un respetuoso exhorto a la Cámara de Diputados del Honorable Congreso de la Unión, a efecto de que no se apruebe la iniciativa presentada por el Presidente de la República, licenciado Andrés Manuel López Obrador, por la que se reforman los artículos 25, 27 y 28 de la Constitución Política de los Estados Unidos Mexicanos, presentada ante esa Soberanía el 1 de octubre del presente año, y la segunda, suscrita por el diputado Ernesto Alejandro Prieto Gallardo integrante del Grupo Parlamentario del Partido MORENA a efecto de exhortar al Congreso de la Unión, a través de la Cámara de Diputados y la Cámara de Senadores a aprobar las reformas constitucionales y de leyes secundarias planteadas por el Presidente de la República, en el tema del sector eléctrico que representan beneficios para el pueblo de México, favoreciendo el gasto público y el fortalecimiento del sistema eléctrico nacional como sector estratégico.</w:t>
      </w:r>
    </w:p>
    <w:p w14:paraId="55B5E52C" w14:textId="77777777" w:rsidR="00D522A6" w:rsidRPr="00F40E63" w:rsidRDefault="00D522A6" w:rsidP="00D522A6">
      <w:pPr>
        <w:autoSpaceDE w:val="0"/>
        <w:autoSpaceDN w:val="0"/>
        <w:adjustRightInd w:val="0"/>
        <w:jc w:val="both"/>
        <w:rPr>
          <w:rFonts w:ascii="Abadi" w:hAnsi="Abadi" w:cs="ArialMT"/>
          <w:sz w:val="21"/>
          <w:szCs w:val="21"/>
          <w:lang w:val="es-MX"/>
        </w:rPr>
      </w:pPr>
    </w:p>
    <w:p w14:paraId="3E25A1ED" w14:textId="77777777" w:rsidR="00D522A6" w:rsidRPr="00F40E63" w:rsidRDefault="00D522A6" w:rsidP="000510E2">
      <w:pPr>
        <w:autoSpaceDE w:val="0"/>
        <w:autoSpaceDN w:val="0"/>
        <w:adjustRightInd w:val="0"/>
        <w:ind w:firstLine="708"/>
        <w:jc w:val="both"/>
        <w:rPr>
          <w:rFonts w:ascii="Abadi" w:hAnsi="Abadi" w:cs="ArialMT"/>
          <w:sz w:val="21"/>
          <w:szCs w:val="21"/>
          <w:lang w:val="es-MX"/>
        </w:rPr>
      </w:pPr>
      <w:r w:rsidRPr="00F40E63">
        <w:rPr>
          <w:rFonts w:ascii="Abadi" w:hAnsi="Abadi" w:cs="ArialMT"/>
          <w:sz w:val="21"/>
          <w:szCs w:val="21"/>
          <w:lang w:val="es-MX"/>
        </w:rPr>
        <w:t>Se instruye al Secretario General del Congreso archive de manera definitiva las propuestas de referencia.</w:t>
      </w:r>
    </w:p>
    <w:p w14:paraId="44C1CBE0" w14:textId="77777777" w:rsidR="00D522A6" w:rsidRPr="00F40E63" w:rsidRDefault="00D522A6" w:rsidP="00D522A6">
      <w:pPr>
        <w:autoSpaceDE w:val="0"/>
        <w:autoSpaceDN w:val="0"/>
        <w:adjustRightInd w:val="0"/>
        <w:jc w:val="both"/>
        <w:rPr>
          <w:rFonts w:ascii="Abadi" w:hAnsi="Abadi" w:cs="ArialMT"/>
          <w:sz w:val="21"/>
          <w:szCs w:val="21"/>
          <w:lang w:val="es-MX"/>
        </w:rPr>
      </w:pPr>
    </w:p>
    <w:p w14:paraId="79166BA6" w14:textId="77777777" w:rsidR="000510E2" w:rsidRPr="00F40E63" w:rsidRDefault="000510E2" w:rsidP="00D522A6">
      <w:pPr>
        <w:autoSpaceDE w:val="0"/>
        <w:autoSpaceDN w:val="0"/>
        <w:adjustRightInd w:val="0"/>
        <w:jc w:val="both"/>
        <w:rPr>
          <w:rFonts w:ascii="Abadi" w:hAnsi="Abadi" w:cs="ArialMT"/>
          <w:b/>
          <w:bCs/>
          <w:sz w:val="21"/>
          <w:szCs w:val="21"/>
          <w:lang w:val="es-MX"/>
        </w:rPr>
      </w:pPr>
    </w:p>
    <w:p w14:paraId="59B734DA" w14:textId="4E8C57F0" w:rsidR="00D522A6" w:rsidRPr="00F40E63" w:rsidRDefault="00D522A6" w:rsidP="000510E2">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GUANAJUATO, GTO., A 11 DE MAYO DE 2022</w:t>
      </w:r>
    </w:p>
    <w:p w14:paraId="64737F49" w14:textId="6C2CBADC" w:rsidR="00D522A6" w:rsidRPr="00F40E63" w:rsidRDefault="00D522A6" w:rsidP="000510E2">
      <w:pPr>
        <w:autoSpaceDE w:val="0"/>
        <w:autoSpaceDN w:val="0"/>
        <w:adjustRightInd w:val="0"/>
        <w:jc w:val="center"/>
        <w:rPr>
          <w:rFonts w:ascii="Abadi" w:hAnsi="Abadi" w:cs="ArialMT"/>
          <w:b/>
          <w:bCs/>
          <w:sz w:val="21"/>
          <w:szCs w:val="21"/>
          <w:lang w:val="es-MX"/>
        </w:rPr>
      </w:pPr>
    </w:p>
    <w:p w14:paraId="0B0977FF" w14:textId="77777777" w:rsidR="000510E2" w:rsidRPr="00F40E63" w:rsidRDefault="000510E2" w:rsidP="000510E2">
      <w:pPr>
        <w:autoSpaceDE w:val="0"/>
        <w:autoSpaceDN w:val="0"/>
        <w:adjustRightInd w:val="0"/>
        <w:jc w:val="center"/>
        <w:rPr>
          <w:rFonts w:ascii="Abadi" w:hAnsi="Abadi" w:cs="ArialMT"/>
          <w:b/>
          <w:bCs/>
          <w:sz w:val="21"/>
          <w:szCs w:val="21"/>
          <w:lang w:val="es-MX"/>
        </w:rPr>
      </w:pPr>
    </w:p>
    <w:p w14:paraId="3DE70988" w14:textId="7DD06020" w:rsidR="00D522A6" w:rsidRDefault="00D522A6" w:rsidP="000510E2">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LA COMISIÓN DE GOBERNACIÓN Y</w:t>
      </w:r>
      <w:r w:rsidR="000510E2" w:rsidRPr="00F40E63">
        <w:rPr>
          <w:rFonts w:ascii="Abadi" w:hAnsi="Abadi" w:cs="ArialMT"/>
          <w:b/>
          <w:bCs/>
          <w:sz w:val="21"/>
          <w:szCs w:val="21"/>
          <w:lang w:val="es-MX"/>
        </w:rPr>
        <w:t xml:space="preserve"> </w:t>
      </w:r>
      <w:r w:rsidRPr="00F40E63">
        <w:rPr>
          <w:rFonts w:ascii="Abadi" w:hAnsi="Abadi" w:cs="ArialMT"/>
          <w:b/>
          <w:bCs/>
          <w:sz w:val="21"/>
          <w:szCs w:val="21"/>
          <w:lang w:val="es-MX"/>
        </w:rPr>
        <w:t>PUNTOS CONSTITUCIONALES</w:t>
      </w:r>
    </w:p>
    <w:p w14:paraId="3E049A38" w14:textId="519D3414" w:rsidR="00F533FB" w:rsidRDefault="00F533FB" w:rsidP="000510E2">
      <w:pPr>
        <w:autoSpaceDE w:val="0"/>
        <w:autoSpaceDN w:val="0"/>
        <w:adjustRightInd w:val="0"/>
        <w:jc w:val="center"/>
        <w:rPr>
          <w:rFonts w:ascii="Abadi" w:hAnsi="Abadi" w:cs="ArialMT"/>
          <w:b/>
          <w:bCs/>
          <w:sz w:val="21"/>
          <w:szCs w:val="21"/>
          <w:lang w:val="es-MX"/>
        </w:rPr>
      </w:pPr>
    </w:p>
    <w:p w14:paraId="3B309717" w14:textId="77777777" w:rsidR="00F533FB" w:rsidRDefault="00F533FB" w:rsidP="00F533FB">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Susana Bermúdez Cano</w:t>
      </w:r>
    </w:p>
    <w:p w14:paraId="52212F10" w14:textId="77777777" w:rsidR="00F533FB" w:rsidRDefault="00F533FB" w:rsidP="00F533FB">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Laura Cristina Márquez Alcalá</w:t>
      </w:r>
    </w:p>
    <w:p w14:paraId="5E174D41" w14:textId="77777777" w:rsidR="00F533FB" w:rsidRDefault="00F533FB" w:rsidP="00F533FB">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Alma Edwviges Alcaraz Hernández</w:t>
      </w:r>
    </w:p>
    <w:p w14:paraId="57F4F4DE" w14:textId="77777777" w:rsidR="00F533FB" w:rsidRDefault="00F533FB" w:rsidP="00F533FB">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Diputado Rolando Fortino Alcántar Rojas</w:t>
      </w:r>
    </w:p>
    <w:p w14:paraId="6B62C243" w14:textId="77777777" w:rsidR="00F533FB" w:rsidRDefault="00F533FB" w:rsidP="00F533FB">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Briseida Anabel Magdaleno González</w:t>
      </w:r>
    </w:p>
    <w:p w14:paraId="46C36778" w14:textId="77777777" w:rsidR="00F533FB" w:rsidRDefault="00F533FB" w:rsidP="00F533FB">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Yulma Rocha Aguilar</w:t>
      </w:r>
    </w:p>
    <w:p w14:paraId="51654C6C" w14:textId="77777777" w:rsidR="00F533FB" w:rsidRDefault="00F533FB" w:rsidP="00F533FB">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Diputado Gerardo Fernández González</w:t>
      </w:r>
    </w:p>
    <w:p w14:paraId="66AD5635" w14:textId="77777777" w:rsidR="00F533FB" w:rsidRPr="0067716F" w:rsidRDefault="00F533FB" w:rsidP="00F533FB">
      <w:pPr>
        <w:jc w:val="both"/>
        <w:rPr>
          <w:rFonts w:ascii="Abadi" w:hAnsi="Abadi"/>
          <w:b/>
          <w:bCs/>
          <w:sz w:val="20"/>
          <w:szCs w:val="20"/>
        </w:rPr>
      </w:pPr>
    </w:p>
    <w:p w14:paraId="5C48232E" w14:textId="77777777" w:rsidR="005A5052" w:rsidRPr="007A753D" w:rsidRDefault="005A5052" w:rsidP="0044791F">
      <w:pPr>
        <w:pStyle w:val="NormalWeb"/>
        <w:ind w:firstLine="708"/>
        <w:jc w:val="both"/>
        <w:rPr>
          <w:rFonts w:ascii="Abadi" w:hAnsi="Abadi"/>
          <w:color w:val="auto"/>
          <w:sz w:val="21"/>
          <w:szCs w:val="21"/>
        </w:rPr>
      </w:pPr>
      <w:r w:rsidRPr="004539F1">
        <w:rPr>
          <w:rFonts w:ascii="Abadi" w:hAnsi="Abadi"/>
          <w:b/>
          <w:bCs/>
          <w:sz w:val="21"/>
          <w:szCs w:val="21"/>
        </w:rPr>
        <w:t>La Presidencia.-</w:t>
      </w:r>
      <w:r>
        <w:rPr>
          <w:rFonts w:ascii="Abadi" w:hAnsi="Abadi"/>
          <w:sz w:val="21"/>
          <w:szCs w:val="21"/>
        </w:rPr>
        <w:t xml:space="preserve"> E</w:t>
      </w:r>
      <w:r w:rsidRPr="0021199F">
        <w:rPr>
          <w:rFonts w:ascii="Abadi" w:hAnsi="Abadi"/>
          <w:sz w:val="21"/>
          <w:szCs w:val="21"/>
        </w:rPr>
        <w:t>n</w:t>
      </w:r>
      <w:r>
        <w:rPr>
          <w:rFonts w:ascii="Abadi" w:hAnsi="Abadi"/>
          <w:sz w:val="21"/>
          <w:szCs w:val="21"/>
        </w:rPr>
        <w:t xml:space="preserve"> </w:t>
      </w:r>
      <w:r w:rsidRPr="0021199F">
        <w:rPr>
          <w:rFonts w:ascii="Abadi" w:hAnsi="Abadi"/>
          <w:sz w:val="21"/>
          <w:szCs w:val="21"/>
        </w:rPr>
        <w:t>seguida se somet</w:t>
      </w:r>
      <w:r>
        <w:rPr>
          <w:rFonts w:ascii="Abadi" w:hAnsi="Abadi"/>
          <w:sz w:val="21"/>
          <w:szCs w:val="21"/>
        </w:rPr>
        <w:t>e a</w:t>
      </w:r>
      <w:r w:rsidRPr="0021199F">
        <w:rPr>
          <w:rFonts w:ascii="Abadi" w:hAnsi="Abadi"/>
          <w:sz w:val="21"/>
          <w:szCs w:val="21"/>
        </w:rPr>
        <w:t xml:space="preserve"> discusión el dictamen </w:t>
      </w:r>
      <w:r>
        <w:rPr>
          <w:rFonts w:ascii="Abadi" w:hAnsi="Abadi"/>
          <w:sz w:val="21"/>
          <w:szCs w:val="21"/>
        </w:rPr>
        <w:t xml:space="preserve">por </w:t>
      </w:r>
      <w:r w:rsidRPr="007A753D">
        <w:rPr>
          <w:rFonts w:ascii="Abadi" w:hAnsi="Abadi"/>
          <w:color w:val="auto"/>
          <w:sz w:val="21"/>
          <w:szCs w:val="21"/>
        </w:rPr>
        <w:t>la Comisión de Gobernación y Puntos Constitucionales relativo a las propuestas de punto de acuerdo, la primera, suscrita por diputadas y diputados integrantes del Grupo Parlamentario del Partido Acción Nacional por el cual se efectúa un respetuoso exhorto a la Cámara de Diputados del Honorable Congreso de la Unión, a efecto de que no se apruebe la iniciativa presentada por el Presidente de la República, licenciado Andrés Manuel López Obrador, por la que se reforman los artículos 25, 27 y 28 de la Constitución Política de los Estados Unidos Mexicanos, presentada ante esa Soberanía el 1 de octubre del presente año, y la segunda, suscrita por el diputado Ernesto Alejandro Prieto Gallardo integrante del Grupo Parlamentario del Partido MORENA a efecto de exhortar al Congreso de la Unión, a través de la Cámara de Diputados y la Cámara de Senadores a aprobar las reformas constitucionales y de leyes secundarias planteadas por el Presidente de la República, en el tema del sector eléctrico que representan beneficios para el pueblo de México, favoreciendo el gasto público y el fortalecimiento del sistema eléctrico nacional como sector estratégico.</w:t>
      </w:r>
    </w:p>
    <w:p w14:paraId="567A8FEC" w14:textId="07279B98" w:rsidR="005A5052" w:rsidRDefault="0044791F" w:rsidP="0044791F">
      <w:pPr>
        <w:pStyle w:val="NormalWeb"/>
        <w:ind w:firstLine="708"/>
        <w:jc w:val="both"/>
        <w:rPr>
          <w:rFonts w:ascii="Abadi" w:hAnsi="Abadi"/>
          <w:sz w:val="21"/>
          <w:szCs w:val="21"/>
        </w:rPr>
      </w:pPr>
      <w:r>
        <w:rPr>
          <w:rFonts w:ascii="Abadi" w:hAnsi="Abadi"/>
          <w:b/>
          <w:bCs/>
          <w:sz w:val="21"/>
          <w:szCs w:val="21"/>
        </w:rPr>
        <w:t xml:space="preserve">- </w:t>
      </w:r>
      <w:r w:rsidR="005A5052" w:rsidRPr="004539F1">
        <w:rPr>
          <w:rFonts w:ascii="Abadi" w:hAnsi="Abadi"/>
          <w:b/>
          <w:bCs/>
          <w:sz w:val="21"/>
          <w:szCs w:val="21"/>
        </w:rPr>
        <w:t xml:space="preserve">La </w:t>
      </w:r>
      <w:proofErr w:type="gramStart"/>
      <w:r w:rsidR="005A5052" w:rsidRPr="004539F1">
        <w:rPr>
          <w:rFonts w:ascii="Abadi" w:hAnsi="Abadi"/>
          <w:b/>
          <w:bCs/>
          <w:sz w:val="21"/>
          <w:szCs w:val="21"/>
        </w:rPr>
        <w:t>Presidencia.-</w:t>
      </w:r>
      <w:proofErr w:type="gramEnd"/>
      <w:r w:rsidR="005A5052">
        <w:rPr>
          <w:rFonts w:ascii="Abadi" w:hAnsi="Abadi"/>
          <w:sz w:val="21"/>
          <w:szCs w:val="21"/>
        </w:rPr>
        <w:t xml:space="preserve"> </w:t>
      </w:r>
      <w:r w:rsidR="005A5052" w:rsidRPr="0021199F">
        <w:rPr>
          <w:rFonts w:ascii="Abadi" w:hAnsi="Abadi"/>
          <w:sz w:val="21"/>
          <w:szCs w:val="21"/>
        </w:rPr>
        <w:t>Si alguna diputada o algún diputado de</w:t>
      </w:r>
      <w:r w:rsidR="0090131E">
        <w:rPr>
          <w:rFonts w:ascii="Abadi" w:hAnsi="Abadi"/>
          <w:sz w:val="21"/>
          <w:szCs w:val="21"/>
        </w:rPr>
        <w:t>sea</w:t>
      </w:r>
      <w:r w:rsidR="005A5052" w:rsidRPr="0021199F">
        <w:rPr>
          <w:rFonts w:ascii="Abadi" w:hAnsi="Abadi"/>
          <w:sz w:val="21"/>
          <w:szCs w:val="21"/>
        </w:rPr>
        <w:t xml:space="preserve"> hacer  uso de la palabra en pro o en contra, </w:t>
      </w:r>
      <w:proofErr w:type="spellStart"/>
      <w:r w:rsidR="005A5052" w:rsidRPr="0021199F">
        <w:rPr>
          <w:rFonts w:ascii="Abadi" w:hAnsi="Abadi"/>
          <w:sz w:val="21"/>
          <w:szCs w:val="21"/>
        </w:rPr>
        <w:t>manifiestenlo</w:t>
      </w:r>
      <w:proofErr w:type="spellEnd"/>
      <w:r w:rsidR="005A5052" w:rsidRPr="0021199F">
        <w:rPr>
          <w:rFonts w:ascii="Abadi" w:hAnsi="Abadi"/>
          <w:sz w:val="21"/>
          <w:szCs w:val="21"/>
        </w:rPr>
        <w:t xml:space="preserve"> por favor, indicando el sentido de su participación </w:t>
      </w:r>
    </w:p>
    <w:p w14:paraId="36F0465F" w14:textId="3D778EC6" w:rsidR="005A5052" w:rsidRDefault="0044791F" w:rsidP="0044791F">
      <w:pPr>
        <w:pStyle w:val="NormalWeb"/>
        <w:ind w:firstLine="708"/>
        <w:jc w:val="both"/>
        <w:rPr>
          <w:rFonts w:ascii="Abadi" w:hAnsi="Abadi"/>
          <w:sz w:val="21"/>
          <w:szCs w:val="21"/>
        </w:rPr>
      </w:pPr>
      <w:r>
        <w:rPr>
          <w:rFonts w:ascii="Abadi" w:hAnsi="Abadi"/>
          <w:b/>
          <w:bCs/>
          <w:sz w:val="21"/>
          <w:szCs w:val="21"/>
        </w:rPr>
        <w:t xml:space="preserve">- </w:t>
      </w:r>
      <w:r w:rsidR="005A5052" w:rsidRPr="004539F1">
        <w:rPr>
          <w:rFonts w:ascii="Abadi" w:hAnsi="Abadi"/>
          <w:b/>
          <w:bCs/>
          <w:sz w:val="21"/>
          <w:szCs w:val="21"/>
        </w:rPr>
        <w:t xml:space="preserve">La </w:t>
      </w:r>
      <w:proofErr w:type="gramStart"/>
      <w:r w:rsidR="005A5052" w:rsidRPr="004539F1">
        <w:rPr>
          <w:rFonts w:ascii="Abadi" w:hAnsi="Abadi"/>
          <w:b/>
          <w:bCs/>
          <w:sz w:val="21"/>
          <w:szCs w:val="21"/>
        </w:rPr>
        <w:t>Presidencia.-</w:t>
      </w:r>
      <w:proofErr w:type="gramEnd"/>
      <w:r w:rsidR="005A5052">
        <w:rPr>
          <w:rFonts w:ascii="Abadi" w:hAnsi="Abadi"/>
          <w:sz w:val="21"/>
          <w:szCs w:val="21"/>
        </w:rPr>
        <w:t xml:space="preserve"> E</w:t>
      </w:r>
      <w:r w:rsidR="005A5052" w:rsidRPr="0021199F">
        <w:rPr>
          <w:rFonts w:ascii="Abadi" w:hAnsi="Abadi"/>
          <w:sz w:val="21"/>
          <w:szCs w:val="21"/>
        </w:rPr>
        <w:t>n vi</w:t>
      </w:r>
      <w:r w:rsidR="005A5052">
        <w:rPr>
          <w:rFonts w:ascii="Abadi" w:hAnsi="Abadi"/>
          <w:sz w:val="21"/>
          <w:szCs w:val="21"/>
        </w:rPr>
        <w:t>rtud</w:t>
      </w:r>
      <w:r w:rsidR="005A5052" w:rsidRPr="0021199F">
        <w:rPr>
          <w:rFonts w:ascii="Abadi" w:hAnsi="Abadi"/>
          <w:sz w:val="21"/>
          <w:szCs w:val="21"/>
        </w:rPr>
        <w:t xml:space="preserve"> de n</w:t>
      </w:r>
      <w:r w:rsidR="005A5052">
        <w:rPr>
          <w:rFonts w:ascii="Abadi" w:hAnsi="Abadi"/>
          <w:sz w:val="21"/>
          <w:szCs w:val="21"/>
        </w:rPr>
        <w:t>o haber</w:t>
      </w:r>
      <w:r w:rsidR="005A5052" w:rsidRPr="0021199F">
        <w:rPr>
          <w:rFonts w:ascii="Abadi" w:hAnsi="Abadi"/>
          <w:sz w:val="21"/>
          <w:szCs w:val="21"/>
        </w:rPr>
        <w:t xml:space="preserve"> participaciones, se pide la Secretar</w:t>
      </w:r>
      <w:r w:rsidR="0090131E">
        <w:rPr>
          <w:rFonts w:ascii="Abadi" w:hAnsi="Abadi"/>
          <w:sz w:val="21"/>
          <w:szCs w:val="21"/>
        </w:rPr>
        <w:t>i</w:t>
      </w:r>
      <w:r w:rsidR="005A5052" w:rsidRPr="0021199F">
        <w:rPr>
          <w:rFonts w:ascii="Abadi" w:hAnsi="Abadi"/>
          <w:sz w:val="21"/>
          <w:szCs w:val="21"/>
        </w:rPr>
        <w:t>a que proceda recabar votación nominal de la Asamblea a través del sistema electrónico a efecto de aprobar o no el dictamen pues</w:t>
      </w:r>
      <w:r w:rsidR="005A5052">
        <w:rPr>
          <w:rFonts w:ascii="Abadi" w:hAnsi="Abadi"/>
          <w:sz w:val="21"/>
          <w:szCs w:val="21"/>
        </w:rPr>
        <w:t>to</w:t>
      </w:r>
      <w:r w:rsidR="005A5052" w:rsidRPr="0021199F">
        <w:rPr>
          <w:rFonts w:ascii="Abadi" w:hAnsi="Abadi"/>
          <w:sz w:val="21"/>
          <w:szCs w:val="21"/>
        </w:rPr>
        <w:t xml:space="preserve"> a su consideración </w:t>
      </w:r>
    </w:p>
    <w:p w14:paraId="3AC88B18" w14:textId="489A0F95" w:rsidR="005A5052" w:rsidRPr="001E6804" w:rsidRDefault="005A5052" w:rsidP="0047698E">
      <w:pPr>
        <w:pStyle w:val="NormalWeb"/>
        <w:jc w:val="center"/>
        <w:rPr>
          <w:rFonts w:ascii="Abadi" w:hAnsi="Abadi"/>
          <w:b/>
          <w:bCs/>
          <w:sz w:val="21"/>
          <w:szCs w:val="21"/>
        </w:rPr>
      </w:pPr>
      <w:r w:rsidRPr="001E6804">
        <w:rPr>
          <w:rFonts w:ascii="Abadi" w:hAnsi="Abadi"/>
          <w:b/>
          <w:bCs/>
          <w:sz w:val="21"/>
          <w:szCs w:val="21"/>
        </w:rPr>
        <w:t>(</w:t>
      </w:r>
      <w:r w:rsidR="0047698E">
        <w:rPr>
          <w:rFonts w:ascii="Abadi" w:hAnsi="Abadi"/>
          <w:b/>
          <w:bCs/>
          <w:sz w:val="21"/>
          <w:szCs w:val="21"/>
        </w:rPr>
        <w:t>S</w:t>
      </w:r>
      <w:r w:rsidRPr="001E6804">
        <w:rPr>
          <w:rFonts w:ascii="Abadi" w:hAnsi="Abadi"/>
          <w:b/>
          <w:bCs/>
          <w:sz w:val="21"/>
          <w:szCs w:val="21"/>
        </w:rPr>
        <w:t>e abre el sistema electrónico)</w:t>
      </w:r>
    </w:p>
    <w:p w14:paraId="3A8CF6BA" w14:textId="2065081C" w:rsidR="005A5052" w:rsidRDefault="0047698E" w:rsidP="0047698E">
      <w:pPr>
        <w:pStyle w:val="NormalWeb"/>
        <w:ind w:firstLine="708"/>
        <w:jc w:val="both"/>
        <w:rPr>
          <w:rFonts w:ascii="Abadi" w:hAnsi="Abadi"/>
          <w:sz w:val="21"/>
          <w:szCs w:val="21"/>
        </w:rPr>
      </w:pPr>
      <w:r>
        <w:rPr>
          <w:rFonts w:ascii="Abadi" w:hAnsi="Abadi"/>
          <w:b/>
          <w:bCs/>
          <w:sz w:val="21"/>
          <w:szCs w:val="21"/>
        </w:rPr>
        <w:t xml:space="preserve">- </w:t>
      </w:r>
      <w:r w:rsidR="005A5052" w:rsidRPr="00AB5653">
        <w:rPr>
          <w:rFonts w:ascii="Abadi" w:hAnsi="Abadi"/>
          <w:b/>
          <w:bCs/>
          <w:sz w:val="21"/>
          <w:szCs w:val="21"/>
        </w:rPr>
        <w:t xml:space="preserve">La </w:t>
      </w:r>
      <w:proofErr w:type="gramStart"/>
      <w:r w:rsidR="005A5052" w:rsidRPr="00AB5653">
        <w:rPr>
          <w:rFonts w:ascii="Abadi" w:hAnsi="Abadi"/>
          <w:b/>
          <w:bCs/>
          <w:sz w:val="21"/>
          <w:szCs w:val="21"/>
        </w:rPr>
        <w:t>Secretar</w:t>
      </w:r>
      <w:r w:rsidR="005A5052">
        <w:rPr>
          <w:rFonts w:ascii="Abadi" w:hAnsi="Abadi"/>
          <w:b/>
          <w:bCs/>
          <w:sz w:val="21"/>
          <w:szCs w:val="21"/>
        </w:rPr>
        <w:t>i</w:t>
      </w:r>
      <w:r w:rsidR="005A5052" w:rsidRPr="00AB5653">
        <w:rPr>
          <w:rFonts w:ascii="Abadi" w:hAnsi="Abadi"/>
          <w:b/>
          <w:bCs/>
          <w:sz w:val="21"/>
          <w:szCs w:val="21"/>
        </w:rPr>
        <w:t>a.-</w:t>
      </w:r>
      <w:proofErr w:type="gramEnd"/>
      <w:r w:rsidR="005A5052" w:rsidRPr="0021199F">
        <w:rPr>
          <w:rFonts w:ascii="Abadi" w:hAnsi="Abadi"/>
          <w:sz w:val="21"/>
          <w:szCs w:val="21"/>
        </w:rPr>
        <w:t xml:space="preserve"> </w:t>
      </w:r>
      <w:r w:rsidR="005A5052">
        <w:rPr>
          <w:rFonts w:ascii="Abadi" w:hAnsi="Abadi"/>
          <w:sz w:val="21"/>
          <w:szCs w:val="21"/>
        </w:rPr>
        <w:t>E</w:t>
      </w:r>
      <w:r w:rsidR="005A5052" w:rsidRPr="0021199F">
        <w:rPr>
          <w:rFonts w:ascii="Abadi" w:hAnsi="Abadi"/>
          <w:sz w:val="21"/>
          <w:szCs w:val="21"/>
        </w:rPr>
        <w:t>n votación nominal por el sistema electrónico</w:t>
      </w:r>
      <w:r w:rsidR="005A5052">
        <w:rPr>
          <w:rFonts w:ascii="Abadi" w:hAnsi="Abadi"/>
          <w:sz w:val="21"/>
          <w:szCs w:val="21"/>
        </w:rPr>
        <w:t>, se</w:t>
      </w:r>
      <w:r w:rsidR="005A5052" w:rsidRPr="0021199F">
        <w:rPr>
          <w:rFonts w:ascii="Abadi" w:hAnsi="Abadi"/>
          <w:sz w:val="21"/>
          <w:szCs w:val="21"/>
        </w:rPr>
        <w:t xml:space="preserve"> pregunta a las </w:t>
      </w:r>
      <w:r w:rsidR="005A5052">
        <w:rPr>
          <w:rFonts w:ascii="Abadi" w:hAnsi="Abadi"/>
          <w:sz w:val="21"/>
          <w:szCs w:val="21"/>
        </w:rPr>
        <w:t xml:space="preserve">diputadas y diputados si se </w:t>
      </w:r>
      <w:r w:rsidR="005A5052" w:rsidRPr="0021199F">
        <w:rPr>
          <w:rFonts w:ascii="Abadi" w:hAnsi="Abadi"/>
          <w:sz w:val="21"/>
          <w:szCs w:val="21"/>
        </w:rPr>
        <w:t>aprueba el dictamen puesto a su consideración</w:t>
      </w:r>
      <w:r w:rsidR="005A5052">
        <w:rPr>
          <w:rFonts w:ascii="Abadi" w:hAnsi="Abadi"/>
          <w:sz w:val="21"/>
          <w:szCs w:val="21"/>
        </w:rPr>
        <w:t>.</w:t>
      </w:r>
      <w:r w:rsidR="005A5052" w:rsidRPr="0021199F">
        <w:rPr>
          <w:rFonts w:ascii="Abadi" w:hAnsi="Abadi"/>
          <w:sz w:val="21"/>
          <w:szCs w:val="21"/>
        </w:rPr>
        <w:t xml:space="preserve"> </w:t>
      </w:r>
      <w:r w:rsidR="005A5052">
        <w:rPr>
          <w:rFonts w:ascii="Abadi" w:hAnsi="Abadi"/>
          <w:sz w:val="21"/>
          <w:szCs w:val="21"/>
        </w:rPr>
        <w:t>¿</w:t>
      </w:r>
      <w:r w:rsidR="005A5052" w:rsidRPr="0021199F">
        <w:rPr>
          <w:rFonts w:ascii="Abadi" w:hAnsi="Abadi"/>
          <w:sz w:val="21"/>
          <w:szCs w:val="21"/>
        </w:rPr>
        <w:t xml:space="preserve">Diputada </w:t>
      </w:r>
      <w:r w:rsidR="005A5052">
        <w:rPr>
          <w:rFonts w:ascii="Abadi" w:hAnsi="Abadi"/>
          <w:sz w:val="21"/>
          <w:szCs w:val="21"/>
        </w:rPr>
        <w:t>Janet</w:t>
      </w:r>
      <w:r w:rsidR="005A5052" w:rsidRPr="0021199F">
        <w:rPr>
          <w:rFonts w:ascii="Abadi" w:hAnsi="Abadi"/>
          <w:sz w:val="21"/>
          <w:szCs w:val="21"/>
        </w:rPr>
        <w:t xml:space="preserve"> Melani</w:t>
      </w:r>
      <w:r w:rsidR="005A5052">
        <w:rPr>
          <w:rFonts w:ascii="Abadi" w:hAnsi="Abadi"/>
          <w:sz w:val="21"/>
          <w:szCs w:val="21"/>
        </w:rPr>
        <w:t>? G</w:t>
      </w:r>
      <w:r w:rsidR="005A5052" w:rsidRPr="0021199F">
        <w:rPr>
          <w:rFonts w:ascii="Abadi" w:hAnsi="Abadi"/>
          <w:sz w:val="21"/>
          <w:szCs w:val="21"/>
        </w:rPr>
        <w:t xml:space="preserve">racias </w:t>
      </w:r>
      <w:r w:rsidR="005A5052">
        <w:rPr>
          <w:rFonts w:ascii="Abadi" w:hAnsi="Abadi"/>
          <w:sz w:val="21"/>
          <w:szCs w:val="21"/>
        </w:rPr>
        <w:t xml:space="preserve">diputada. </w:t>
      </w:r>
      <w:r w:rsidR="005A5052" w:rsidRPr="0021199F">
        <w:rPr>
          <w:rFonts w:ascii="Abadi" w:hAnsi="Abadi"/>
          <w:sz w:val="21"/>
          <w:szCs w:val="21"/>
        </w:rPr>
        <w:t xml:space="preserve"> </w:t>
      </w:r>
    </w:p>
    <w:p w14:paraId="4CE223B2" w14:textId="77777777" w:rsidR="005A5052" w:rsidRDefault="005A5052" w:rsidP="005A5052">
      <w:pPr>
        <w:pStyle w:val="NormalWeb"/>
        <w:jc w:val="both"/>
        <w:rPr>
          <w:rFonts w:ascii="Abadi" w:hAnsi="Abadi"/>
          <w:sz w:val="21"/>
          <w:szCs w:val="21"/>
        </w:rPr>
      </w:pPr>
      <w:r>
        <w:rPr>
          <w:rFonts w:ascii="Abadi" w:hAnsi="Abadi"/>
          <w:sz w:val="21"/>
          <w:szCs w:val="21"/>
        </w:rPr>
        <w:t>¿</w:t>
      </w:r>
      <w:r w:rsidRPr="0021199F">
        <w:rPr>
          <w:rFonts w:ascii="Abadi" w:hAnsi="Abadi"/>
          <w:sz w:val="21"/>
          <w:szCs w:val="21"/>
        </w:rPr>
        <w:t xml:space="preserve">Falta alguna diputada, algún diputado de emitir su voto? </w:t>
      </w:r>
    </w:p>
    <w:p w14:paraId="1A80539C" w14:textId="1809ED2E" w:rsidR="005A5052" w:rsidRDefault="005A5052" w:rsidP="00277B01">
      <w:pPr>
        <w:pStyle w:val="NormalWeb"/>
        <w:jc w:val="center"/>
        <w:rPr>
          <w:rFonts w:ascii="Abadi" w:hAnsi="Abadi"/>
          <w:b/>
          <w:bCs/>
          <w:sz w:val="21"/>
          <w:szCs w:val="21"/>
        </w:rPr>
      </w:pPr>
      <w:r w:rsidRPr="001E6804">
        <w:rPr>
          <w:rFonts w:ascii="Abadi" w:hAnsi="Abadi"/>
          <w:b/>
          <w:bCs/>
          <w:sz w:val="21"/>
          <w:szCs w:val="21"/>
        </w:rPr>
        <w:t>(Se cierra el sistema electrónico)</w:t>
      </w:r>
    </w:p>
    <w:p w14:paraId="48144962" w14:textId="77777777" w:rsidR="005A5052" w:rsidRPr="001E6804" w:rsidRDefault="005A5052" w:rsidP="005A5052">
      <w:pPr>
        <w:pStyle w:val="NormalWeb"/>
        <w:jc w:val="both"/>
        <w:rPr>
          <w:rFonts w:ascii="Abadi" w:hAnsi="Abadi"/>
          <w:b/>
          <w:bCs/>
          <w:sz w:val="21"/>
          <w:szCs w:val="21"/>
        </w:rPr>
      </w:pPr>
      <w:r>
        <w:rPr>
          <w:noProof/>
        </w:rPr>
        <w:drawing>
          <wp:inline distT="0" distB="0" distL="0" distR="0" wp14:anchorId="09404769" wp14:editId="1F676758">
            <wp:extent cx="2105025" cy="1128968"/>
            <wp:effectExtent l="152400" t="152400" r="352425" b="3575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4647"/>
                    <a:stretch/>
                  </pic:blipFill>
                  <pic:spPr bwMode="auto">
                    <a:xfrm>
                      <a:off x="0" y="0"/>
                      <a:ext cx="2116960" cy="113536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D5019E7" w14:textId="28042874" w:rsidR="005A5052" w:rsidRDefault="00277B01" w:rsidP="00277B01">
      <w:pPr>
        <w:pStyle w:val="NormalWeb"/>
        <w:ind w:firstLine="708"/>
        <w:jc w:val="both"/>
        <w:rPr>
          <w:rFonts w:ascii="Abadi" w:hAnsi="Abadi"/>
          <w:sz w:val="21"/>
          <w:szCs w:val="21"/>
        </w:rPr>
      </w:pPr>
      <w:r>
        <w:rPr>
          <w:rFonts w:ascii="Abadi" w:hAnsi="Abadi"/>
          <w:b/>
          <w:bCs/>
          <w:sz w:val="21"/>
          <w:szCs w:val="21"/>
        </w:rPr>
        <w:t xml:space="preserve">- </w:t>
      </w:r>
      <w:r w:rsidR="005A5052" w:rsidRPr="001E6804">
        <w:rPr>
          <w:rFonts w:ascii="Abadi" w:hAnsi="Abadi"/>
          <w:b/>
          <w:bCs/>
          <w:sz w:val="21"/>
          <w:szCs w:val="21"/>
        </w:rPr>
        <w:t xml:space="preserve">La </w:t>
      </w:r>
      <w:proofErr w:type="gramStart"/>
      <w:r w:rsidR="005A5052" w:rsidRPr="001E6804">
        <w:rPr>
          <w:rFonts w:ascii="Abadi" w:hAnsi="Abadi"/>
          <w:b/>
          <w:bCs/>
          <w:sz w:val="21"/>
          <w:szCs w:val="21"/>
        </w:rPr>
        <w:t>Secretar</w:t>
      </w:r>
      <w:r w:rsidR="005A5052">
        <w:rPr>
          <w:rFonts w:ascii="Abadi" w:hAnsi="Abadi"/>
          <w:b/>
          <w:bCs/>
          <w:sz w:val="21"/>
          <w:szCs w:val="21"/>
        </w:rPr>
        <w:t>i</w:t>
      </w:r>
      <w:r w:rsidR="005A5052" w:rsidRPr="001E6804">
        <w:rPr>
          <w:rFonts w:ascii="Abadi" w:hAnsi="Abadi"/>
          <w:b/>
          <w:bCs/>
          <w:sz w:val="21"/>
          <w:szCs w:val="21"/>
        </w:rPr>
        <w:t>a.-</w:t>
      </w:r>
      <w:proofErr w:type="gramEnd"/>
      <w:r w:rsidR="005A5052">
        <w:rPr>
          <w:rFonts w:ascii="Abadi" w:hAnsi="Abadi"/>
          <w:sz w:val="21"/>
          <w:szCs w:val="21"/>
        </w:rPr>
        <w:t xml:space="preserve"> </w:t>
      </w:r>
      <w:r w:rsidR="005A5052" w:rsidRPr="0021199F">
        <w:rPr>
          <w:rFonts w:ascii="Abadi" w:hAnsi="Abadi"/>
          <w:sz w:val="21"/>
          <w:szCs w:val="21"/>
        </w:rPr>
        <w:t xml:space="preserve">Se registraron </w:t>
      </w:r>
      <w:r w:rsidR="005A5052">
        <w:rPr>
          <w:rFonts w:ascii="Abadi" w:hAnsi="Abadi"/>
          <w:sz w:val="21"/>
          <w:szCs w:val="21"/>
        </w:rPr>
        <w:t>34</w:t>
      </w:r>
      <w:r w:rsidR="005A5052" w:rsidRPr="0021199F">
        <w:rPr>
          <w:rFonts w:ascii="Abadi" w:hAnsi="Abadi"/>
          <w:sz w:val="21"/>
          <w:szCs w:val="21"/>
        </w:rPr>
        <w:t xml:space="preserve"> votos a favor. </w:t>
      </w:r>
    </w:p>
    <w:p w14:paraId="14FEA2F0" w14:textId="08A26138" w:rsidR="005A5052" w:rsidRDefault="00277B01" w:rsidP="00277B01">
      <w:pPr>
        <w:pStyle w:val="NormalWeb"/>
        <w:ind w:firstLine="708"/>
        <w:jc w:val="both"/>
        <w:rPr>
          <w:rFonts w:ascii="Abadi" w:hAnsi="Abadi"/>
          <w:sz w:val="21"/>
          <w:szCs w:val="21"/>
        </w:rPr>
      </w:pPr>
      <w:r>
        <w:rPr>
          <w:rFonts w:ascii="Abadi" w:hAnsi="Abadi"/>
          <w:b/>
          <w:bCs/>
          <w:sz w:val="21"/>
          <w:szCs w:val="21"/>
        </w:rPr>
        <w:t xml:space="preserve">- </w:t>
      </w:r>
      <w:r w:rsidR="005A5052" w:rsidRPr="004539F1">
        <w:rPr>
          <w:rFonts w:ascii="Abadi" w:hAnsi="Abadi"/>
          <w:b/>
          <w:bCs/>
          <w:sz w:val="21"/>
          <w:szCs w:val="21"/>
        </w:rPr>
        <w:t xml:space="preserve">La </w:t>
      </w:r>
      <w:proofErr w:type="gramStart"/>
      <w:r w:rsidR="005A5052" w:rsidRPr="004539F1">
        <w:rPr>
          <w:rFonts w:ascii="Abadi" w:hAnsi="Abadi"/>
          <w:b/>
          <w:bCs/>
          <w:sz w:val="21"/>
          <w:szCs w:val="21"/>
        </w:rPr>
        <w:t>Presidencia.-</w:t>
      </w:r>
      <w:proofErr w:type="gramEnd"/>
      <w:r w:rsidR="005A5052">
        <w:rPr>
          <w:rFonts w:ascii="Abadi" w:hAnsi="Abadi"/>
          <w:sz w:val="21"/>
          <w:szCs w:val="21"/>
        </w:rPr>
        <w:t xml:space="preserve"> </w:t>
      </w:r>
      <w:r w:rsidR="005A5052" w:rsidRPr="0021199F">
        <w:rPr>
          <w:rFonts w:ascii="Abadi" w:hAnsi="Abadi"/>
          <w:sz w:val="21"/>
          <w:szCs w:val="21"/>
        </w:rPr>
        <w:t>El dictamen está aprobado por unanimidad de votos</w:t>
      </w:r>
      <w:r w:rsidR="005A5052">
        <w:rPr>
          <w:rFonts w:ascii="Abadi" w:hAnsi="Abadi"/>
          <w:sz w:val="21"/>
          <w:szCs w:val="21"/>
        </w:rPr>
        <w:t xml:space="preserve">. </w:t>
      </w:r>
    </w:p>
    <w:p w14:paraId="07BD99DF" w14:textId="1AFC093A" w:rsidR="005A5052" w:rsidRDefault="00277B01" w:rsidP="00277B01">
      <w:pPr>
        <w:pStyle w:val="NormalWeb"/>
        <w:ind w:firstLine="708"/>
        <w:jc w:val="both"/>
        <w:rPr>
          <w:rFonts w:ascii="Abadi" w:hAnsi="Abadi"/>
          <w:sz w:val="21"/>
          <w:szCs w:val="21"/>
        </w:rPr>
      </w:pPr>
      <w:r>
        <w:rPr>
          <w:rFonts w:ascii="Abadi" w:hAnsi="Abadi"/>
          <w:sz w:val="21"/>
          <w:szCs w:val="21"/>
        </w:rPr>
        <w:t xml:space="preserve">- </w:t>
      </w:r>
      <w:r w:rsidR="005A5052">
        <w:rPr>
          <w:rFonts w:ascii="Abadi" w:hAnsi="Abadi"/>
          <w:sz w:val="21"/>
          <w:szCs w:val="21"/>
        </w:rPr>
        <w:t>E</w:t>
      </w:r>
      <w:r w:rsidR="005A5052" w:rsidRPr="0021199F">
        <w:rPr>
          <w:rFonts w:ascii="Abadi" w:hAnsi="Abadi"/>
          <w:sz w:val="21"/>
          <w:szCs w:val="21"/>
        </w:rPr>
        <w:t>n consecuencia</w:t>
      </w:r>
      <w:r w:rsidR="005A5052">
        <w:rPr>
          <w:rFonts w:ascii="Abadi" w:hAnsi="Abadi"/>
          <w:sz w:val="21"/>
          <w:szCs w:val="21"/>
        </w:rPr>
        <w:t>.</w:t>
      </w:r>
    </w:p>
    <w:p w14:paraId="0FC4BAD5" w14:textId="77777777" w:rsidR="005A5052" w:rsidRPr="00852C53" w:rsidRDefault="005A5052" w:rsidP="00277B01">
      <w:pPr>
        <w:pStyle w:val="NormalWeb"/>
        <w:ind w:left="426" w:right="495"/>
        <w:jc w:val="both"/>
        <w:rPr>
          <w:rFonts w:ascii="Abadi" w:hAnsi="Abadi"/>
          <w:b/>
          <w:bCs/>
          <w:i/>
          <w:iCs/>
          <w:sz w:val="21"/>
          <w:szCs w:val="21"/>
          <w:u w:val="single"/>
        </w:rPr>
      </w:pPr>
      <w:r w:rsidRPr="00852C53">
        <w:rPr>
          <w:rFonts w:ascii="Abadi" w:hAnsi="Abadi"/>
          <w:b/>
          <w:bCs/>
          <w:i/>
          <w:iCs/>
          <w:sz w:val="21"/>
          <w:szCs w:val="21"/>
          <w:u w:val="single"/>
        </w:rPr>
        <w:t xml:space="preserve">Se instruye a la Secretaría General para que proceda al archivo definitivo de las propuestas del punto de acuerdo referidas en el dictamen aprobado. </w:t>
      </w:r>
    </w:p>
    <w:p w14:paraId="2D0B03E9" w14:textId="77777777" w:rsidR="00D522A6" w:rsidRPr="00F40E63" w:rsidRDefault="00D522A6" w:rsidP="00021259">
      <w:pPr>
        <w:autoSpaceDE w:val="0"/>
        <w:autoSpaceDN w:val="0"/>
        <w:adjustRightInd w:val="0"/>
        <w:jc w:val="both"/>
        <w:rPr>
          <w:rFonts w:ascii="Abadi" w:hAnsi="Abadi" w:cs="ArialMT"/>
          <w:b/>
          <w:bCs/>
          <w:sz w:val="21"/>
          <w:szCs w:val="21"/>
        </w:rPr>
      </w:pPr>
    </w:p>
    <w:p w14:paraId="4F4B9252" w14:textId="26602561" w:rsidR="00021259" w:rsidRPr="00F40E63" w:rsidRDefault="00021259" w:rsidP="00343CA9">
      <w:pPr>
        <w:pStyle w:val="Prrafodelista"/>
        <w:numPr>
          <w:ilvl w:val="0"/>
          <w:numId w:val="22"/>
        </w:numPr>
        <w:autoSpaceDE w:val="0"/>
        <w:autoSpaceDN w:val="0"/>
        <w:adjustRightInd w:val="0"/>
        <w:ind w:left="426"/>
        <w:jc w:val="both"/>
        <w:rPr>
          <w:rFonts w:ascii="Abadi" w:hAnsi="Abadi" w:cs="ArialMT"/>
          <w:b/>
          <w:bCs/>
          <w:sz w:val="21"/>
          <w:szCs w:val="21"/>
        </w:rPr>
      </w:pPr>
      <w:r w:rsidRPr="00F40E63">
        <w:rPr>
          <w:rFonts w:ascii="Abadi" w:hAnsi="Abadi" w:cs="ArialMT"/>
          <w:b/>
          <w:bCs/>
          <w:sz w:val="21"/>
          <w:szCs w:val="21"/>
        </w:rPr>
        <w:t>DISCUSIÓN Y, EN SU CASO, APROBACIÓN DEL DICTAMEN EMITIDO POR LA COMISIÓN DE GOBERNACIÓN Y PUNTOS CONSTITUCIONALES RELATIVO A LA SOLICITUD DE LICENCIA PARA SEPARARSE DEL CARGO DE DIPUTADA LOCAL DE RUTH NOEMÍ TISCAREÑO AGOITIA, INTEGRANTE DEL GRUPO PARLAMENTARIO DEL PARTIDO REVOLUCIONARIO INSTITUCIONAL.</w:t>
      </w:r>
    </w:p>
    <w:p w14:paraId="5186D2CE" w14:textId="20513B93" w:rsidR="00381247" w:rsidRPr="00F40E63" w:rsidRDefault="00381247" w:rsidP="00381247">
      <w:pPr>
        <w:autoSpaceDE w:val="0"/>
        <w:autoSpaceDN w:val="0"/>
        <w:adjustRightInd w:val="0"/>
        <w:jc w:val="both"/>
        <w:rPr>
          <w:rFonts w:ascii="Abadi" w:hAnsi="Abadi" w:cs="ArialMT"/>
          <w:b/>
          <w:bCs/>
          <w:sz w:val="21"/>
          <w:szCs w:val="21"/>
        </w:rPr>
      </w:pPr>
    </w:p>
    <w:p w14:paraId="5F4B3F10" w14:textId="77777777" w:rsidR="00031112" w:rsidRPr="00F40E63" w:rsidRDefault="00031112" w:rsidP="00C51DDA">
      <w:pPr>
        <w:autoSpaceDE w:val="0"/>
        <w:autoSpaceDN w:val="0"/>
        <w:adjustRightInd w:val="0"/>
        <w:jc w:val="both"/>
        <w:rPr>
          <w:rFonts w:ascii="Abadi" w:hAnsi="Abadi" w:cs="ArialMT"/>
          <w:b/>
          <w:bCs/>
          <w:sz w:val="21"/>
          <w:szCs w:val="21"/>
          <w:lang w:val="es-MX"/>
        </w:rPr>
      </w:pPr>
    </w:p>
    <w:p w14:paraId="2692B9F7" w14:textId="36E08B42" w:rsidR="00C51DDA" w:rsidRPr="00F40E63" w:rsidRDefault="00C51DDA" w:rsidP="00C51DDA">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 xml:space="preserve">C. </w:t>
      </w:r>
      <w:proofErr w:type="spellStart"/>
      <w:r w:rsidRPr="00F40E63">
        <w:rPr>
          <w:rFonts w:ascii="Abadi" w:hAnsi="Abadi" w:cs="ArialMT"/>
          <w:b/>
          <w:bCs/>
          <w:sz w:val="21"/>
          <w:szCs w:val="21"/>
          <w:lang w:val="es-MX"/>
        </w:rPr>
        <w:t>Dip</w:t>
      </w:r>
      <w:proofErr w:type="spellEnd"/>
      <w:r w:rsidRPr="00F40E63">
        <w:rPr>
          <w:rFonts w:ascii="Abadi" w:hAnsi="Abadi" w:cs="ArialMT"/>
          <w:b/>
          <w:bCs/>
          <w:sz w:val="21"/>
          <w:szCs w:val="21"/>
          <w:lang w:val="es-MX"/>
        </w:rPr>
        <w:t xml:space="preserve">. </w:t>
      </w:r>
      <w:proofErr w:type="spellStart"/>
      <w:r w:rsidRPr="00F40E63">
        <w:rPr>
          <w:rFonts w:ascii="Abadi" w:hAnsi="Abadi" w:cs="ArialMT"/>
          <w:b/>
          <w:bCs/>
          <w:sz w:val="21"/>
          <w:szCs w:val="21"/>
          <w:lang w:val="es-MX"/>
        </w:rPr>
        <w:t>lrma</w:t>
      </w:r>
      <w:proofErr w:type="spellEnd"/>
      <w:r w:rsidRPr="00F40E63">
        <w:rPr>
          <w:rFonts w:ascii="Abadi" w:hAnsi="Abadi" w:cs="ArialMT"/>
          <w:b/>
          <w:bCs/>
          <w:sz w:val="21"/>
          <w:szCs w:val="21"/>
          <w:lang w:val="es-MX"/>
        </w:rPr>
        <w:t xml:space="preserve"> Leticia González Sánchez Presidenta del Congreso del Estado. </w:t>
      </w:r>
    </w:p>
    <w:p w14:paraId="65F50754" w14:textId="77777777" w:rsidR="00C51DDA" w:rsidRPr="00F40E63" w:rsidRDefault="00C51DDA" w:rsidP="00C51DDA">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Pre s e n t e.</w:t>
      </w:r>
    </w:p>
    <w:p w14:paraId="0427101D" w14:textId="77777777" w:rsidR="00C51DDA" w:rsidRPr="00F40E63" w:rsidRDefault="00C51DDA" w:rsidP="00C51DDA">
      <w:pPr>
        <w:autoSpaceDE w:val="0"/>
        <w:autoSpaceDN w:val="0"/>
        <w:adjustRightInd w:val="0"/>
        <w:jc w:val="both"/>
        <w:rPr>
          <w:rFonts w:ascii="Abadi" w:hAnsi="Abadi" w:cs="ArialMT"/>
          <w:b/>
          <w:bCs/>
          <w:sz w:val="21"/>
          <w:szCs w:val="21"/>
          <w:lang w:val="es-MX"/>
        </w:rPr>
      </w:pPr>
    </w:p>
    <w:p w14:paraId="69A1DFE8" w14:textId="1992FC2A"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La Comisión de Gobernación y Puntos Constitucionales recibió para efectos de su estudio y dictamen, el escrito formulado por la </w:t>
      </w:r>
      <w:r w:rsidRPr="00F40E63">
        <w:rPr>
          <w:rFonts w:ascii="Abadi" w:hAnsi="Abadi" w:cs="ArialMT"/>
          <w:b/>
          <w:bCs/>
          <w:sz w:val="21"/>
          <w:szCs w:val="21"/>
          <w:lang w:val="es-MX"/>
        </w:rPr>
        <w:t xml:space="preserve">diputada Ruth Noemí Tiscareño Agoitia </w:t>
      </w:r>
      <w:r w:rsidRPr="00F40E63">
        <w:rPr>
          <w:rFonts w:ascii="Abadi" w:hAnsi="Abadi" w:cs="ArialMT"/>
          <w:sz w:val="21"/>
          <w:szCs w:val="21"/>
          <w:lang w:val="es-MX"/>
        </w:rPr>
        <w:t>integrante del Grupo Parlamentario del Partido Revolucionario Institucional, mediante el cual solicitó licencia temporal al cargo de Diputado Local, de conformidad con lo dispuesto por el artículo 63 fracción XXVII de la Constitución Política para el Estado de Guanajuato.</w:t>
      </w:r>
    </w:p>
    <w:p w14:paraId="0217AA0A" w14:textId="77777777" w:rsidR="00C51DDA" w:rsidRPr="00F40E63" w:rsidRDefault="00C51DDA" w:rsidP="00C51DDA">
      <w:pPr>
        <w:autoSpaceDE w:val="0"/>
        <w:autoSpaceDN w:val="0"/>
        <w:adjustRightInd w:val="0"/>
        <w:jc w:val="both"/>
        <w:rPr>
          <w:rFonts w:ascii="Abadi" w:hAnsi="Abadi" w:cs="ArialMT"/>
          <w:sz w:val="21"/>
          <w:szCs w:val="21"/>
          <w:lang w:val="es-MX"/>
        </w:rPr>
      </w:pPr>
    </w:p>
    <w:p w14:paraId="60E3048B" w14:textId="77777777"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Analizada la solicitud de referencia, esta Comisión Legislativa de conformidad con las atribuciones que le establecen los artículos 111 fracción III y 171 de la Ley Orgánica del Poder Legislativo del Estado, formula a la Asamblea el siguiente:</w:t>
      </w:r>
    </w:p>
    <w:p w14:paraId="00322A36" w14:textId="77777777" w:rsidR="00C51DDA" w:rsidRPr="00F40E63" w:rsidRDefault="00C51DDA" w:rsidP="00C51DDA">
      <w:pPr>
        <w:autoSpaceDE w:val="0"/>
        <w:autoSpaceDN w:val="0"/>
        <w:adjustRightInd w:val="0"/>
        <w:jc w:val="both"/>
        <w:rPr>
          <w:rFonts w:ascii="Abadi" w:hAnsi="Abadi" w:cs="ArialMT"/>
          <w:b/>
          <w:bCs/>
          <w:sz w:val="21"/>
          <w:szCs w:val="21"/>
          <w:lang w:val="es-MX"/>
        </w:rPr>
      </w:pPr>
    </w:p>
    <w:p w14:paraId="1F89F857" w14:textId="77777777" w:rsidR="00C51DDA" w:rsidRPr="00F40E63" w:rsidRDefault="00C51DDA" w:rsidP="00C53B57">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Dic t a m e n</w:t>
      </w:r>
    </w:p>
    <w:p w14:paraId="0B08E738" w14:textId="77777777" w:rsidR="00C51DDA" w:rsidRPr="00F40E63" w:rsidRDefault="00C51DDA" w:rsidP="00C51DDA">
      <w:pPr>
        <w:autoSpaceDE w:val="0"/>
        <w:autoSpaceDN w:val="0"/>
        <w:adjustRightInd w:val="0"/>
        <w:jc w:val="both"/>
        <w:rPr>
          <w:rFonts w:ascii="Abadi" w:hAnsi="Abadi" w:cs="ArialMT"/>
          <w:b/>
          <w:bCs/>
          <w:sz w:val="21"/>
          <w:szCs w:val="21"/>
          <w:lang w:val="es-MX"/>
        </w:rPr>
      </w:pPr>
    </w:p>
    <w:p w14:paraId="6F9B0763" w14:textId="77777777" w:rsidR="00C51DDA" w:rsidRPr="00F40E63" w:rsidRDefault="00C51DDA" w:rsidP="00C51DDA">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Antecedentes</w:t>
      </w:r>
    </w:p>
    <w:p w14:paraId="29775C13" w14:textId="77777777" w:rsidR="00C51DDA" w:rsidRPr="00F40E63" w:rsidRDefault="00C51DDA" w:rsidP="00C51DDA">
      <w:pPr>
        <w:autoSpaceDE w:val="0"/>
        <w:autoSpaceDN w:val="0"/>
        <w:adjustRightInd w:val="0"/>
        <w:jc w:val="both"/>
        <w:rPr>
          <w:rFonts w:ascii="Abadi" w:hAnsi="Abadi" w:cs="ArialMT"/>
          <w:b/>
          <w:bCs/>
          <w:sz w:val="21"/>
          <w:szCs w:val="21"/>
          <w:lang w:val="es-MX"/>
        </w:rPr>
      </w:pPr>
    </w:p>
    <w:p w14:paraId="63140929" w14:textId="77777777" w:rsidR="00C51DDA" w:rsidRPr="00F40E63" w:rsidRDefault="00C51DDA" w:rsidP="0019343A">
      <w:pPr>
        <w:numPr>
          <w:ilvl w:val="0"/>
          <w:numId w:val="57"/>
        </w:num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A través del escrito de fecha 14 de marzo del 2022 y recibido en la Unidad de Correspondencia de la Secretaría General en la misma fecha la ciudadana Diputada Ruth Noemí Tiscareño Agoitia, formuló solicitud de licencia temporal, al cargo de Diputado Local, de conformidad con lo dispuesto por los artículos 63 fracción XXVII de la Constitución Política para el Estado de Guanajuato y 37 de la Ley Orgánica del Poder Legislativo del Estado de Guanajuato.</w:t>
      </w:r>
    </w:p>
    <w:p w14:paraId="12B055F2" w14:textId="77777777" w:rsidR="00C51DDA" w:rsidRPr="00F40E63" w:rsidRDefault="00C51DDA" w:rsidP="0019343A">
      <w:pPr>
        <w:numPr>
          <w:ilvl w:val="0"/>
          <w:numId w:val="57"/>
        </w:num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Dicha solicitud fue turnada por la presidencia de la Mesa Directiva en la· sesión a distancia de fecha 17 de marzo de 2022 y radicada en reunión de la Comisión de Gobernación y Puntos Constitucionales de fecha 22 de marzo de 2022.</w:t>
      </w:r>
    </w:p>
    <w:p w14:paraId="11DDD58C" w14:textId="77777777" w:rsidR="00C51DDA" w:rsidRPr="00F40E63" w:rsidRDefault="00C51DDA" w:rsidP="0019343A">
      <w:pPr>
        <w:numPr>
          <w:ilvl w:val="0"/>
          <w:numId w:val="57"/>
        </w:num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Posteriormente, en fecha 28 de marzo de 2022 se presentó un escrito a través del cual se desistía de su solicitud de licencia la diputada Ruth Noemí Tiscareño Agoitia.</w:t>
      </w:r>
    </w:p>
    <w:p w14:paraId="06560AEB" w14:textId="77777777" w:rsidR="00C51DDA" w:rsidRPr="00F40E63" w:rsidRDefault="00C51DDA" w:rsidP="0019343A">
      <w:pPr>
        <w:numPr>
          <w:ilvl w:val="0"/>
          <w:numId w:val="57"/>
        </w:num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Finalmente, la presidenta de la Comisión de Gobernación y Puntos Constitucionales instruyó a la Secretaría Técnica para que elaborara el proyecto de dictamen en sentido negativo, conforme a lo dispuesto en los artículos 94, fracción VII y 272 fracción VIII inciso e de nuestra Ley Orgánica, mismo que fue materia de revisión por los diputados y las diputadas integrantes de esta Comisión Dictaminadora.</w:t>
      </w:r>
    </w:p>
    <w:p w14:paraId="2DED8F8C" w14:textId="77777777" w:rsidR="00C51DDA" w:rsidRPr="00F40E63" w:rsidRDefault="00C51DDA" w:rsidP="00C51DDA">
      <w:pPr>
        <w:autoSpaceDE w:val="0"/>
        <w:autoSpaceDN w:val="0"/>
        <w:adjustRightInd w:val="0"/>
        <w:jc w:val="both"/>
        <w:rPr>
          <w:rFonts w:ascii="Abadi" w:hAnsi="Abadi" w:cs="ArialMT"/>
          <w:sz w:val="21"/>
          <w:szCs w:val="21"/>
          <w:lang w:val="es-MX"/>
        </w:rPr>
      </w:pPr>
    </w:p>
    <w:p w14:paraId="0DA8ADDA" w14:textId="77777777" w:rsidR="00C51DDA" w:rsidRPr="00F40E63" w:rsidRDefault="00C51DDA" w:rsidP="00C51DDA">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Fundamento constitucional y legal</w:t>
      </w:r>
    </w:p>
    <w:p w14:paraId="1B223C52" w14:textId="77777777"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El artículo 63 de la Constitución Política para el Estado de Guanajuato, señala:</w:t>
      </w:r>
    </w:p>
    <w:p w14:paraId="0B70CB24" w14:textId="77777777" w:rsidR="00C51DDA" w:rsidRPr="00F40E63" w:rsidRDefault="00C51DDA" w:rsidP="00C51DDA">
      <w:pPr>
        <w:autoSpaceDE w:val="0"/>
        <w:autoSpaceDN w:val="0"/>
        <w:adjustRightInd w:val="0"/>
        <w:jc w:val="both"/>
        <w:rPr>
          <w:rFonts w:ascii="Abadi" w:hAnsi="Abadi" w:cs="ArialMT"/>
          <w:sz w:val="21"/>
          <w:szCs w:val="21"/>
          <w:lang w:val="es-MX"/>
        </w:rPr>
      </w:pPr>
    </w:p>
    <w:p w14:paraId="012DE425" w14:textId="77777777" w:rsidR="00C51DDA" w:rsidRPr="00F40E63" w:rsidRDefault="00C51DDA" w:rsidP="00C51DDA">
      <w:pPr>
        <w:autoSpaceDE w:val="0"/>
        <w:autoSpaceDN w:val="0"/>
        <w:adjustRightInd w:val="0"/>
        <w:jc w:val="both"/>
        <w:rPr>
          <w:rFonts w:ascii="Abadi" w:hAnsi="Abadi" w:cs="ArialMT"/>
          <w:i/>
          <w:iCs/>
          <w:sz w:val="21"/>
          <w:szCs w:val="21"/>
          <w:lang w:val="es-MX"/>
        </w:rPr>
      </w:pPr>
      <w:r w:rsidRPr="00F40E63">
        <w:rPr>
          <w:rFonts w:ascii="Abadi" w:hAnsi="Abadi" w:cs="ArialMT"/>
          <w:b/>
          <w:bCs/>
          <w:i/>
          <w:iCs/>
          <w:sz w:val="21"/>
          <w:szCs w:val="21"/>
          <w:lang w:val="es-MX"/>
        </w:rPr>
        <w:t xml:space="preserve">«ARTICULO 63.- </w:t>
      </w:r>
      <w:r w:rsidRPr="00F40E63">
        <w:rPr>
          <w:rFonts w:ascii="Abadi" w:hAnsi="Abadi" w:cs="ArialMT"/>
          <w:i/>
          <w:iCs/>
          <w:sz w:val="21"/>
          <w:szCs w:val="21"/>
          <w:lang w:val="es-MX"/>
        </w:rPr>
        <w:t>Son facultades del Congreso del Estado:</w:t>
      </w:r>
    </w:p>
    <w:p w14:paraId="58961E88" w14:textId="77777777" w:rsidR="00C51DDA" w:rsidRPr="00F40E63" w:rsidRDefault="00C51DDA" w:rsidP="00C51DDA">
      <w:pPr>
        <w:autoSpaceDE w:val="0"/>
        <w:autoSpaceDN w:val="0"/>
        <w:adjustRightInd w:val="0"/>
        <w:jc w:val="both"/>
        <w:rPr>
          <w:rFonts w:ascii="Abadi" w:hAnsi="Abadi" w:cs="ArialMT"/>
          <w:i/>
          <w:iCs/>
          <w:sz w:val="21"/>
          <w:szCs w:val="21"/>
          <w:lang w:val="es-MX"/>
        </w:rPr>
      </w:pPr>
    </w:p>
    <w:p w14:paraId="121E1F00" w14:textId="77777777"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b/>
          <w:bCs/>
          <w:i/>
          <w:iCs/>
          <w:sz w:val="21"/>
          <w:szCs w:val="21"/>
          <w:lang w:val="es-MX"/>
        </w:rPr>
        <w:t xml:space="preserve">XXVII.- </w:t>
      </w:r>
      <w:r w:rsidRPr="00F40E63">
        <w:rPr>
          <w:rFonts w:ascii="Abadi" w:hAnsi="Abadi" w:cs="ArialMT"/>
          <w:i/>
          <w:iCs/>
          <w:sz w:val="21"/>
          <w:szCs w:val="21"/>
          <w:lang w:val="es-MX"/>
        </w:rPr>
        <w:t xml:space="preserve">Decidir sobre las licencias que soliciten los Diputados y el Gobernador del Estado para separarse de sus respectivos </w:t>
      </w:r>
      <w:r w:rsidRPr="00F40E63">
        <w:rPr>
          <w:rFonts w:ascii="Abadi" w:hAnsi="Abadi" w:cs="ArialMT"/>
          <w:sz w:val="21"/>
          <w:szCs w:val="21"/>
          <w:lang w:val="es-MX"/>
        </w:rPr>
        <w:t>cargos;»</w:t>
      </w:r>
    </w:p>
    <w:p w14:paraId="28980EE7" w14:textId="169B3E21"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A su vez, el artículo 111 fracción </w:t>
      </w:r>
      <w:r w:rsidR="00D17A54">
        <w:rPr>
          <w:rFonts w:ascii="Abadi" w:hAnsi="Abadi" w:cs="ArialMT"/>
          <w:sz w:val="21"/>
          <w:szCs w:val="21"/>
          <w:lang w:val="es-MX"/>
        </w:rPr>
        <w:t>III</w:t>
      </w:r>
      <w:r w:rsidRPr="00F40E63">
        <w:rPr>
          <w:rFonts w:ascii="Abadi" w:hAnsi="Abadi" w:cs="ArialMT"/>
          <w:sz w:val="21"/>
          <w:szCs w:val="21"/>
          <w:lang w:val="es-MX"/>
        </w:rPr>
        <w:t xml:space="preserve"> de la Ley Orgánica del Poder Legislativo del Estado de Guanajuato señala:</w:t>
      </w:r>
    </w:p>
    <w:p w14:paraId="6C808DD4" w14:textId="77777777" w:rsidR="00C51DDA" w:rsidRPr="00F40E63" w:rsidRDefault="00C51DDA" w:rsidP="00C51DDA">
      <w:pPr>
        <w:autoSpaceDE w:val="0"/>
        <w:autoSpaceDN w:val="0"/>
        <w:adjustRightInd w:val="0"/>
        <w:jc w:val="both"/>
        <w:rPr>
          <w:rFonts w:ascii="Abadi" w:hAnsi="Abadi" w:cs="ArialMT"/>
          <w:b/>
          <w:bCs/>
          <w:i/>
          <w:iCs/>
          <w:sz w:val="21"/>
          <w:szCs w:val="21"/>
          <w:lang w:val="es-MX"/>
        </w:rPr>
      </w:pPr>
    </w:p>
    <w:p w14:paraId="1ACDFD06" w14:textId="77777777"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b/>
          <w:bCs/>
          <w:i/>
          <w:iCs/>
          <w:sz w:val="21"/>
          <w:szCs w:val="21"/>
          <w:lang w:val="es-MX"/>
        </w:rPr>
        <w:t xml:space="preserve">«Artículo 111. </w:t>
      </w:r>
      <w:r w:rsidRPr="00F40E63">
        <w:rPr>
          <w:rFonts w:ascii="Abadi" w:hAnsi="Abadi" w:cs="ArialMT"/>
          <w:i/>
          <w:iCs/>
          <w:sz w:val="21"/>
          <w:szCs w:val="21"/>
          <w:lang w:val="es-MX"/>
        </w:rPr>
        <w:t xml:space="preserve">Corresponde </w:t>
      </w:r>
      <w:r w:rsidRPr="00F40E63">
        <w:rPr>
          <w:rFonts w:ascii="Abadi" w:hAnsi="Abadi" w:cs="ArialMT"/>
          <w:sz w:val="21"/>
          <w:szCs w:val="21"/>
          <w:lang w:val="es-MX"/>
        </w:rPr>
        <w:t xml:space="preserve">a </w:t>
      </w:r>
      <w:r w:rsidRPr="00F40E63">
        <w:rPr>
          <w:rFonts w:ascii="Abadi" w:hAnsi="Abadi" w:cs="ArialMT"/>
          <w:i/>
          <w:iCs/>
          <w:sz w:val="21"/>
          <w:szCs w:val="21"/>
          <w:lang w:val="es-MX"/>
        </w:rPr>
        <w:t>la Comisión de Gobernación y Puntos Constitucionales, el conocimiento y dictamen de los asuntos siguientes:</w:t>
      </w:r>
    </w:p>
    <w:p w14:paraId="6B707E28" w14:textId="77777777" w:rsidR="00C51DDA" w:rsidRPr="00F40E63" w:rsidRDefault="00C51DDA" w:rsidP="00C51DDA">
      <w:pPr>
        <w:autoSpaceDE w:val="0"/>
        <w:autoSpaceDN w:val="0"/>
        <w:adjustRightInd w:val="0"/>
        <w:jc w:val="both"/>
        <w:rPr>
          <w:rFonts w:ascii="Abadi" w:hAnsi="Abadi" w:cs="ArialMT"/>
          <w:i/>
          <w:iCs/>
          <w:sz w:val="21"/>
          <w:szCs w:val="21"/>
          <w:lang w:val="es-MX"/>
        </w:rPr>
      </w:pPr>
    </w:p>
    <w:p w14:paraId="55A4C076" w14:textId="77777777" w:rsidR="00C51DDA" w:rsidRPr="00F40E63" w:rsidRDefault="00C51DDA" w:rsidP="00C51DDA">
      <w:pPr>
        <w:autoSpaceDE w:val="0"/>
        <w:autoSpaceDN w:val="0"/>
        <w:adjustRightInd w:val="0"/>
        <w:jc w:val="both"/>
        <w:rPr>
          <w:rFonts w:ascii="Abadi" w:hAnsi="Abadi" w:cs="ArialMT"/>
          <w:i/>
          <w:iCs/>
          <w:sz w:val="21"/>
          <w:szCs w:val="21"/>
          <w:lang w:val="es-MX"/>
        </w:rPr>
      </w:pPr>
      <w:r w:rsidRPr="00F40E63">
        <w:rPr>
          <w:rFonts w:ascii="Abadi" w:hAnsi="Abadi" w:cs="ArialMT"/>
          <w:i/>
          <w:iCs/>
          <w:sz w:val="21"/>
          <w:szCs w:val="21"/>
          <w:lang w:val="es-MX"/>
        </w:rPr>
        <w:t>111.- Los que se refieran al conocimiento de licencia del Gobernador, de los diputados y de los Magistrados del Supremo   Tribunal   de   Justicia   del   Estado   y   los   demás servidores públicos que establezca la Constitución Política para el Estado de Guanajuato y las leyes que de ella emanen. Así como</w:t>
      </w:r>
      <w:r w:rsidRPr="00F40E63">
        <w:rPr>
          <w:rFonts w:ascii="Abadi" w:hAnsi="Abadi" w:cs="ArialMT"/>
          <w:sz w:val="21"/>
          <w:szCs w:val="21"/>
          <w:lang w:val="es-MX"/>
        </w:rPr>
        <w:t xml:space="preserve"> el</w:t>
      </w:r>
      <w:r w:rsidRPr="00F40E63">
        <w:rPr>
          <w:rFonts w:ascii="Abadi" w:hAnsi="Abadi" w:cs="ArialMT"/>
          <w:i/>
          <w:iCs/>
          <w:sz w:val="21"/>
          <w:szCs w:val="21"/>
          <w:lang w:val="es-MX"/>
        </w:rPr>
        <w:t xml:space="preserve"> conocimiento de las renuncias y separaciones de los Magistrados del Supremo Tribunal de Justicia _del Estado y Consejeros del Poder Judicial;» </w:t>
      </w:r>
    </w:p>
    <w:p w14:paraId="41A33CDA" w14:textId="77777777" w:rsidR="00C53B57" w:rsidRPr="00F40E63" w:rsidRDefault="00C53B57" w:rsidP="00C51DDA">
      <w:pPr>
        <w:autoSpaceDE w:val="0"/>
        <w:autoSpaceDN w:val="0"/>
        <w:adjustRightInd w:val="0"/>
        <w:jc w:val="both"/>
        <w:rPr>
          <w:rFonts w:ascii="Abadi" w:hAnsi="Abadi" w:cs="ArialMT"/>
          <w:sz w:val="21"/>
          <w:szCs w:val="21"/>
          <w:lang w:val="es-MX"/>
        </w:rPr>
      </w:pPr>
    </w:p>
    <w:p w14:paraId="2C78597E" w14:textId="6037396F" w:rsidR="00C51DDA" w:rsidRPr="00F40E63" w:rsidRDefault="00C51DDA" w:rsidP="00C51DDA">
      <w:pPr>
        <w:autoSpaceDE w:val="0"/>
        <w:autoSpaceDN w:val="0"/>
        <w:adjustRightInd w:val="0"/>
        <w:jc w:val="both"/>
        <w:rPr>
          <w:rFonts w:ascii="Abadi" w:hAnsi="Abadi" w:cs="ArialMT"/>
          <w:i/>
          <w:iCs/>
          <w:sz w:val="21"/>
          <w:szCs w:val="21"/>
          <w:lang w:val="es-MX"/>
        </w:rPr>
      </w:pPr>
      <w:r w:rsidRPr="00F40E63">
        <w:rPr>
          <w:rFonts w:ascii="Abadi" w:hAnsi="Abadi" w:cs="ArialMT"/>
          <w:sz w:val="21"/>
          <w:szCs w:val="21"/>
          <w:lang w:val="es-MX"/>
        </w:rPr>
        <w:t>Con base en tales dispositivos esta Comisión Dictaminadora es competente</w:t>
      </w:r>
    </w:p>
    <w:p w14:paraId="200DFC76" w14:textId="77777777"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para dictaminar las solicitudes de licencia.</w:t>
      </w:r>
    </w:p>
    <w:p w14:paraId="539AEB7F" w14:textId="77777777" w:rsidR="00C51DDA" w:rsidRPr="00F40E63" w:rsidRDefault="00C51DDA" w:rsidP="00C51DDA">
      <w:pPr>
        <w:autoSpaceDE w:val="0"/>
        <w:autoSpaceDN w:val="0"/>
        <w:adjustRightInd w:val="0"/>
        <w:jc w:val="both"/>
        <w:rPr>
          <w:rFonts w:ascii="Abadi" w:hAnsi="Abadi" w:cs="ArialMT"/>
          <w:sz w:val="21"/>
          <w:szCs w:val="21"/>
          <w:lang w:val="es-MX"/>
        </w:rPr>
      </w:pPr>
    </w:p>
    <w:p w14:paraId="79493C8D" w14:textId="77777777"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b/>
          <w:bCs/>
          <w:sz w:val="21"/>
          <w:szCs w:val="21"/>
          <w:lang w:val="es-MX"/>
        </w:rPr>
        <w:t>Análisis de las solicitudes de licencia al cargo de Diputado Local</w:t>
      </w:r>
    </w:p>
    <w:p w14:paraId="09A4F020" w14:textId="77777777" w:rsidR="00C51DDA" w:rsidRPr="00F40E63" w:rsidRDefault="00C51DDA" w:rsidP="00C51DDA">
      <w:pPr>
        <w:autoSpaceDE w:val="0"/>
        <w:autoSpaceDN w:val="0"/>
        <w:adjustRightInd w:val="0"/>
        <w:jc w:val="both"/>
        <w:rPr>
          <w:rFonts w:ascii="Abadi" w:hAnsi="Abadi" w:cs="ArialMT"/>
          <w:sz w:val="21"/>
          <w:szCs w:val="21"/>
          <w:lang w:val="es-MX"/>
        </w:rPr>
      </w:pPr>
    </w:p>
    <w:p w14:paraId="179CBBB1" w14:textId="0A151F90"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La peticionaria expresó en su solicitud de licencia que la misma es temporal.</w:t>
      </w:r>
    </w:p>
    <w:p w14:paraId="676887CA" w14:textId="77777777" w:rsidR="00C53B57" w:rsidRPr="00F40E63" w:rsidRDefault="00C53B57" w:rsidP="00C51DDA">
      <w:pPr>
        <w:autoSpaceDE w:val="0"/>
        <w:autoSpaceDN w:val="0"/>
        <w:adjustRightInd w:val="0"/>
        <w:jc w:val="both"/>
        <w:rPr>
          <w:rFonts w:ascii="Abadi" w:hAnsi="Abadi" w:cs="ArialMT"/>
          <w:sz w:val="21"/>
          <w:szCs w:val="21"/>
          <w:lang w:val="es-MX"/>
        </w:rPr>
      </w:pPr>
    </w:p>
    <w:p w14:paraId="72D93463" w14:textId="48C200C2"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La diputada Ruth Noemí Tiscareño Agoitia integrante de la Sexagésima Quinta Legislatura, expone su interés de separarse del cargo para el cual fue electa por la ciudadanía.</w:t>
      </w:r>
    </w:p>
    <w:p w14:paraId="55A3F3F6" w14:textId="77777777" w:rsidR="00C53B57" w:rsidRPr="00F40E63" w:rsidRDefault="00C53B57" w:rsidP="00C51DDA">
      <w:pPr>
        <w:autoSpaceDE w:val="0"/>
        <w:autoSpaceDN w:val="0"/>
        <w:adjustRightInd w:val="0"/>
        <w:jc w:val="both"/>
        <w:rPr>
          <w:rFonts w:ascii="Abadi" w:hAnsi="Abadi" w:cs="ArialMT"/>
          <w:sz w:val="21"/>
          <w:szCs w:val="21"/>
          <w:lang w:val="es-MX"/>
        </w:rPr>
      </w:pPr>
    </w:p>
    <w:p w14:paraId="11BBB7EC" w14:textId="084208A1"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De conformidad con lo dispuesto en la fracción XXVII del artículo 63 de la Constitución Política para el Estado de Guanajuato, es competencia del Congreso decidir sobre las licencias que soliciten los diputados, y corresponde a esta Comisión de Gobernación y Puntos Constitucionales dictaminar sobre las mismas según lo establecido en la fracción </w:t>
      </w:r>
      <w:r w:rsidR="008D67C2">
        <w:rPr>
          <w:rFonts w:ascii="Abadi" w:hAnsi="Abadi" w:cs="ArialMT"/>
          <w:sz w:val="21"/>
          <w:szCs w:val="21"/>
          <w:lang w:val="es-MX"/>
        </w:rPr>
        <w:t>III</w:t>
      </w:r>
      <w:r w:rsidRPr="00F40E63">
        <w:rPr>
          <w:rFonts w:ascii="Abadi" w:hAnsi="Abadi" w:cs="ArialMT"/>
          <w:sz w:val="21"/>
          <w:szCs w:val="21"/>
          <w:lang w:val="es-MX"/>
        </w:rPr>
        <w:t xml:space="preserve"> del artículo 111 de la Ley Orgánica del Poder Legislativo del Estado de Guanajuato.</w:t>
      </w:r>
    </w:p>
    <w:p w14:paraId="698B993F" w14:textId="77777777" w:rsidR="00C51DDA" w:rsidRPr="00F40E63" w:rsidRDefault="00C51DDA" w:rsidP="00C51DDA">
      <w:pPr>
        <w:autoSpaceDE w:val="0"/>
        <w:autoSpaceDN w:val="0"/>
        <w:adjustRightInd w:val="0"/>
        <w:jc w:val="both"/>
        <w:rPr>
          <w:rFonts w:ascii="Abadi" w:hAnsi="Abadi" w:cs="ArialMT"/>
          <w:sz w:val="21"/>
          <w:szCs w:val="21"/>
          <w:lang w:val="es-MX"/>
        </w:rPr>
      </w:pPr>
    </w:p>
    <w:p w14:paraId="2B82EECA" w14:textId="77777777" w:rsidR="00C51DDA" w:rsidRPr="00F40E63" w:rsidRDefault="00C51DDA" w:rsidP="00C51DDA">
      <w:pPr>
        <w:autoSpaceDE w:val="0"/>
        <w:autoSpaceDN w:val="0"/>
        <w:adjustRightInd w:val="0"/>
        <w:jc w:val="both"/>
        <w:rPr>
          <w:rFonts w:ascii="Abadi" w:hAnsi="Abadi" w:cs="ArialMT"/>
          <w:i/>
          <w:iCs/>
          <w:sz w:val="21"/>
          <w:szCs w:val="21"/>
          <w:lang w:val="es-MX"/>
        </w:rPr>
      </w:pPr>
      <w:r w:rsidRPr="00F40E63">
        <w:rPr>
          <w:rFonts w:ascii="Abadi" w:hAnsi="Abadi" w:cs="ArialMT"/>
          <w:sz w:val="21"/>
          <w:szCs w:val="21"/>
          <w:lang w:val="es-MX"/>
        </w:rPr>
        <w:t xml:space="preserve">Sin embargo, en razón de haber quedado sin efectos dicha solicitud, toda vez que la diputada que en su momento solicitó la licencia, se ha desistido de la misma, manifestando </w:t>
      </w:r>
      <w:r w:rsidRPr="00F40E63">
        <w:rPr>
          <w:rFonts w:ascii="Abadi" w:hAnsi="Abadi" w:cs="ArialMT"/>
          <w:i/>
          <w:iCs/>
          <w:sz w:val="21"/>
          <w:szCs w:val="21"/>
          <w:lang w:val="es-MX"/>
        </w:rPr>
        <w:t>que, por así convenir a mis intereses en este acto, atentamente solicito tenga a bien tenerme por desistiéndome de mi solicitud de licencia al cargo de diputada local y se deje sin efectos la misma.</w:t>
      </w:r>
    </w:p>
    <w:p w14:paraId="41D1ABF0" w14:textId="0DD2FAEA"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En atención a ello, consideramos procedente se archive la solicitud de licencia para separarse del cargo a la diputada Ruth Noemí Tiscareño Agoitia integrante de la Sexagésima Quinta Legislatura.</w:t>
      </w:r>
    </w:p>
    <w:p w14:paraId="71F08E9D" w14:textId="77777777" w:rsidR="00C53B57" w:rsidRPr="00F40E63" w:rsidRDefault="00C53B57" w:rsidP="00C51DDA">
      <w:pPr>
        <w:autoSpaceDE w:val="0"/>
        <w:autoSpaceDN w:val="0"/>
        <w:adjustRightInd w:val="0"/>
        <w:jc w:val="both"/>
        <w:rPr>
          <w:rFonts w:ascii="Abadi" w:hAnsi="Abadi" w:cs="ArialMT"/>
          <w:i/>
          <w:iCs/>
          <w:sz w:val="21"/>
          <w:szCs w:val="21"/>
          <w:lang w:val="es-MX"/>
        </w:rPr>
      </w:pPr>
    </w:p>
    <w:p w14:paraId="46B9E4B8" w14:textId="50208181" w:rsidR="00C51DDA" w:rsidRPr="00F40E63" w:rsidRDefault="00C51DDA" w:rsidP="00C51DDA">
      <w:pPr>
        <w:autoSpaceDE w:val="0"/>
        <w:autoSpaceDN w:val="0"/>
        <w:adjustRightInd w:val="0"/>
        <w:jc w:val="both"/>
        <w:rPr>
          <w:rFonts w:ascii="Abadi" w:hAnsi="Abadi" w:cs="ArialMT"/>
          <w:i/>
          <w:iCs/>
          <w:sz w:val="21"/>
          <w:szCs w:val="21"/>
          <w:lang w:val="es-MX"/>
        </w:rPr>
      </w:pPr>
      <w:r w:rsidRPr="00F40E63">
        <w:rPr>
          <w:rFonts w:ascii="Abadi" w:hAnsi="Abadi" w:cs="ArialMT"/>
          <w:sz w:val="21"/>
          <w:szCs w:val="21"/>
          <w:lang w:val="es-MX"/>
        </w:rPr>
        <w:t>Por lo expuesto, nos permitimos proponer a</w:t>
      </w:r>
      <w:r w:rsidR="00C53B57" w:rsidRPr="00F40E63">
        <w:rPr>
          <w:rFonts w:ascii="Abadi" w:hAnsi="Abadi" w:cs="ArialMT"/>
          <w:sz w:val="21"/>
          <w:szCs w:val="21"/>
          <w:lang w:val="es-MX"/>
        </w:rPr>
        <w:t xml:space="preserve"> </w:t>
      </w:r>
      <w:r w:rsidRPr="00F40E63">
        <w:rPr>
          <w:rFonts w:ascii="Abadi" w:hAnsi="Abadi" w:cs="ArialMT"/>
          <w:sz w:val="21"/>
          <w:szCs w:val="21"/>
          <w:lang w:val="es-MX"/>
        </w:rPr>
        <w:t>la Asamblea, la aprobación del</w:t>
      </w:r>
      <w:r w:rsidR="00C53B57" w:rsidRPr="00F40E63">
        <w:rPr>
          <w:rFonts w:ascii="Abadi" w:hAnsi="Abadi" w:cs="ArialMT"/>
          <w:i/>
          <w:iCs/>
          <w:sz w:val="21"/>
          <w:szCs w:val="21"/>
          <w:lang w:val="es-MX"/>
        </w:rPr>
        <w:t xml:space="preserve"> </w:t>
      </w:r>
      <w:r w:rsidRPr="00F40E63">
        <w:rPr>
          <w:rFonts w:ascii="Abadi" w:hAnsi="Abadi" w:cs="ArialMT"/>
          <w:sz w:val="21"/>
          <w:szCs w:val="21"/>
          <w:lang w:val="es-MX"/>
        </w:rPr>
        <w:t>siguiente:</w:t>
      </w:r>
    </w:p>
    <w:p w14:paraId="64883465" w14:textId="77777777" w:rsidR="00C51DDA" w:rsidRPr="00F40E63" w:rsidRDefault="00C51DDA" w:rsidP="00C51DDA">
      <w:pPr>
        <w:autoSpaceDE w:val="0"/>
        <w:autoSpaceDN w:val="0"/>
        <w:adjustRightInd w:val="0"/>
        <w:jc w:val="both"/>
        <w:rPr>
          <w:rFonts w:ascii="Abadi" w:hAnsi="Abadi" w:cs="ArialMT"/>
          <w:sz w:val="21"/>
          <w:szCs w:val="21"/>
          <w:lang w:val="es-MX"/>
        </w:rPr>
      </w:pPr>
    </w:p>
    <w:p w14:paraId="584EE074" w14:textId="77777777" w:rsidR="00C51DDA" w:rsidRPr="00F40E63" w:rsidRDefault="00C51DDA" w:rsidP="00C53B57">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Acuerdo</w:t>
      </w:r>
    </w:p>
    <w:p w14:paraId="6505B335" w14:textId="77777777" w:rsidR="00C51DDA" w:rsidRPr="00F40E63" w:rsidRDefault="00C51DDA" w:rsidP="00C51DDA">
      <w:pPr>
        <w:autoSpaceDE w:val="0"/>
        <w:autoSpaceDN w:val="0"/>
        <w:adjustRightInd w:val="0"/>
        <w:jc w:val="both"/>
        <w:rPr>
          <w:rFonts w:ascii="Abadi" w:hAnsi="Abadi" w:cs="ArialMT"/>
          <w:b/>
          <w:bCs/>
          <w:sz w:val="21"/>
          <w:szCs w:val="21"/>
          <w:lang w:val="es-MX"/>
        </w:rPr>
      </w:pPr>
    </w:p>
    <w:p w14:paraId="26B8D5C4" w14:textId="77777777"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b/>
          <w:bCs/>
          <w:sz w:val="21"/>
          <w:szCs w:val="21"/>
          <w:lang w:val="es-MX"/>
        </w:rPr>
        <w:t xml:space="preserve">Único. </w:t>
      </w:r>
      <w:r w:rsidRPr="00F40E63">
        <w:rPr>
          <w:rFonts w:ascii="Abadi" w:hAnsi="Abadi" w:cs="ArialMT"/>
          <w:sz w:val="21"/>
          <w:szCs w:val="21"/>
          <w:lang w:val="es-MX"/>
        </w:rPr>
        <w:t>Se ordena el archivo de la licencia temporal para separarse del cargo de Diputado Local de la diputada Ruth Noemí Tiscareño Agoitia, integrante de la Sexagésima Quinta Legislatura.</w:t>
      </w:r>
    </w:p>
    <w:p w14:paraId="1BED8E0E" w14:textId="77777777" w:rsidR="00C51DDA" w:rsidRPr="00F40E63" w:rsidRDefault="00C51DDA" w:rsidP="00C51DDA">
      <w:pPr>
        <w:autoSpaceDE w:val="0"/>
        <w:autoSpaceDN w:val="0"/>
        <w:adjustRightInd w:val="0"/>
        <w:jc w:val="both"/>
        <w:rPr>
          <w:rFonts w:ascii="Abadi" w:hAnsi="Abadi" w:cs="ArialMT"/>
          <w:sz w:val="21"/>
          <w:szCs w:val="21"/>
          <w:lang w:val="es-MX"/>
        </w:rPr>
      </w:pPr>
    </w:p>
    <w:p w14:paraId="036F7E5D" w14:textId="77777777"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Se instruye al secretario general del Congreso del Estado, a dar de baja la</w:t>
      </w:r>
    </w:p>
    <w:p w14:paraId="674F7001" w14:textId="77777777" w:rsidR="00C51DDA" w:rsidRPr="00F40E63" w:rsidRDefault="00C51DDA" w:rsidP="00C51DDA">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solicitud de licencia de referencia.</w:t>
      </w:r>
    </w:p>
    <w:p w14:paraId="6D88B55F" w14:textId="77777777" w:rsidR="00C51DDA" w:rsidRPr="00F40E63" w:rsidRDefault="00C51DDA" w:rsidP="00C51DDA">
      <w:pPr>
        <w:autoSpaceDE w:val="0"/>
        <w:autoSpaceDN w:val="0"/>
        <w:adjustRightInd w:val="0"/>
        <w:jc w:val="both"/>
        <w:rPr>
          <w:rFonts w:ascii="Abadi" w:hAnsi="Abadi" w:cs="ArialMT"/>
          <w:sz w:val="21"/>
          <w:szCs w:val="21"/>
          <w:lang w:val="es-MX"/>
        </w:rPr>
      </w:pPr>
    </w:p>
    <w:p w14:paraId="30A2E3A4" w14:textId="77777777" w:rsidR="00C51DDA" w:rsidRPr="00F40E63" w:rsidRDefault="00C51DDA" w:rsidP="00C53B57">
      <w:pPr>
        <w:autoSpaceDE w:val="0"/>
        <w:autoSpaceDN w:val="0"/>
        <w:adjustRightInd w:val="0"/>
        <w:jc w:val="center"/>
        <w:rPr>
          <w:rFonts w:ascii="Abadi" w:hAnsi="Abadi" w:cs="ArialMT"/>
          <w:sz w:val="21"/>
          <w:szCs w:val="21"/>
          <w:lang w:val="es-MX"/>
        </w:rPr>
      </w:pPr>
    </w:p>
    <w:p w14:paraId="7403D43B" w14:textId="4853E705" w:rsidR="00C51DDA" w:rsidRPr="00F40E63" w:rsidRDefault="00C51DDA" w:rsidP="00C53B57">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GUANAJUATO, GTO., A 11 DE MAYO DE 2022</w:t>
      </w:r>
    </w:p>
    <w:p w14:paraId="51F1CA7A" w14:textId="0ACD14F6" w:rsidR="00C51DDA" w:rsidRPr="00F40E63" w:rsidRDefault="00C51DDA" w:rsidP="00C53B57">
      <w:pPr>
        <w:autoSpaceDE w:val="0"/>
        <w:autoSpaceDN w:val="0"/>
        <w:adjustRightInd w:val="0"/>
        <w:jc w:val="center"/>
        <w:rPr>
          <w:rFonts w:ascii="Abadi" w:hAnsi="Abadi" w:cs="ArialMT"/>
          <w:b/>
          <w:bCs/>
          <w:sz w:val="21"/>
          <w:szCs w:val="21"/>
          <w:lang w:val="es-MX"/>
        </w:rPr>
      </w:pPr>
    </w:p>
    <w:p w14:paraId="78A9DFA1" w14:textId="77777777" w:rsidR="00C53B57" w:rsidRPr="00F40E63" w:rsidRDefault="00C53B57" w:rsidP="00C53B57">
      <w:pPr>
        <w:autoSpaceDE w:val="0"/>
        <w:autoSpaceDN w:val="0"/>
        <w:adjustRightInd w:val="0"/>
        <w:jc w:val="center"/>
        <w:rPr>
          <w:rFonts w:ascii="Abadi" w:hAnsi="Abadi" w:cs="ArialMT"/>
          <w:b/>
          <w:bCs/>
          <w:sz w:val="21"/>
          <w:szCs w:val="21"/>
          <w:lang w:val="es-MX"/>
        </w:rPr>
      </w:pPr>
    </w:p>
    <w:p w14:paraId="43F18BA7" w14:textId="052A4345" w:rsidR="00C51DDA" w:rsidRDefault="00C51DDA" w:rsidP="00C53B57">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LA COMISIÓN DE GOBERNACIÓN Y PUNTOS CONSTITUCIONALES</w:t>
      </w:r>
    </w:p>
    <w:p w14:paraId="41636883" w14:textId="1DAD3725" w:rsidR="0010167C" w:rsidRDefault="0010167C" w:rsidP="00C53B57">
      <w:pPr>
        <w:autoSpaceDE w:val="0"/>
        <w:autoSpaceDN w:val="0"/>
        <w:adjustRightInd w:val="0"/>
        <w:jc w:val="center"/>
        <w:rPr>
          <w:rFonts w:ascii="Abadi" w:hAnsi="Abadi" w:cs="ArialMT"/>
          <w:b/>
          <w:bCs/>
          <w:sz w:val="21"/>
          <w:szCs w:val="21"/>
          <w:lang w:val="es-MX"/>
        </w:rPr>
      </w:pPr>
    </w:p>
    <w:p w14:paraId="5D9CDE2C" w14:textId="77777777" w:rsidR="0010167C" w:rsidRDefault="0010167C" w:rsidP="0010167C">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Susana Bermúdez Cano</w:t>
      </w:r>
    </w:p>
    <w:p w14:paraId="66041B7E" w14:textId="77777777" w:rsidR="0010167C" w:rsidRDefault="0010167C" w:rsidP="0010167C">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Laura Cristina Márquez Alcalá</w:t>
      </w:r>
    </w:p>
    <w:p w14:paraId="469FA4FD" w14:textId="77777777" w:rsidR="0010167C" w:rsidRDefault="0010167C" w:rsidP="0010167C">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Alma Edwviges Alcaraz Hernández</w:t>
      </w:r>
    </w:p>
    <w:p w14:paraId="75894D2E" w14:textId="77777777" w:rsidR="0010167C" w:rsidRDefault="0010167C" w:rsidP="0010167C">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Diputado Rolando Fortino Alcántar Rojas</w:t>
      </w:r>
    </w:p>
    <w:p w14:paraId="2F62E4A8" w14:textId="77777777" w:rsidR="0010167C" w:rsidRDefault="0010167C" w:rsidP="0010167C">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Briseida Anabel Magdaleno González</w:t>
      </w:r>
    </w:p>
    <w:p w14:paraId="7FEAE01D" w14:textId="77777777" w:rsidR="0010167C" w:rsidRDefault="0010167C" w:rsidP="0010167C">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Yulma Rocha Aguilar</w:t>
      </w:r>
    </w:p>
    <w:p w14:paraId="70A4A5A1" w14:textId="6851BAB0" w:rsidR="0010167C" w:rsidRDefault="0010167C" w:rsidP="0010167C">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Diputado Gerardo Fernández González</w:t>
      </w:r>
    </w:p>
    <w:p w14:paraId="2273E69A" w14:textId="536274AA" w:rsidR="008D67C2" w:rsidRDefault="008D67C2" w:rsidP="0010167C">
      <w:pPr>
        <w:autoSpaceDE w:val="0"/>
        <w:autoSpaceDN w:val="0"/>
        <w:adjustRightInd w:val="0"/>
        <w:jc w:val="both"/>
        <w:rPr>
          <w:rFonts w:ascii="Abadi" w:hAnsi="Abadi" w:cs="*Calibri-Bold-4923-Identity-H"/>
          <w:b/>
          <w:bCs/>
          <w:color w:val="0A0A0F"/>
          <w:sz w:val="21"/>
          <w:szCs w:val="21"/>
        </w:rPr>
      </w:pPr>
    </w:p>
    <w:p w14:paraId="137967BF" w14:textId="31DC95CB" w:rsidR="008D67C2" w:rsidRDefault="008D67C2" w:rsidP="008D67C2">
      <w:pPr>
        <w:pStyle w:val="NormalWeb"/>
        <w:ind w:firstLine="708"/>
        <w:jc w:val="both"/>
        <w:rPr>
          <w:rFonts w:ascii="Abadi" w:hAnsi="Abadi"/>
          <w:sz w:val="21"/>
          <w:szCs w:val="21"/>
        </w:rPr>
      </w:pPr>
      <w:r>
        <w:rPr>
          <w:rFonts w:ascii="Abadi" w:hAnsi="Abadi"/>
          <w:b/>
          <w:bCs/>
          <w:sz w:val="21"/>
          <w:szCs w:val="21"/>
        </w:rPr>
        <w:t xml:space="preserve">- </w:t>
      </w:r>
      <w:r w:rsidRPr="004539F1">
        <w:rPr>
          <w:rFonts w:ascii="Abadi" w:hAnsi="Abadi"/>
          <w:b/>
          <w:bCs/>
          <w:sz w:val="21"/>
          <w:szCs w:val="21"/>
        </w:rPr>
        <w:t xml:space="preserve">La </w:t>
      </w:r>
      <w:proofErr w:type="gramStart"/>
      <w:r w:rsidRPr="004539F1">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Se somete a discusión el dictamen</w:t>
      </w:r>
      <w:r>
        <w:rPr>
          <w:rFonts w:ascii="Abadi" w:hAnsi="Abadi"/>
          <w:sz w:val="21"/>
          <w:szCs w:val="21"/>
        </w:rPr>
        <w:t xml:space="preserve"> </w:t>
      </w:r>
      <w:r w:rsidRPr="0021199F">
        <w:rPr>
          <w:rFonts w:ascii="Abadi" w:hAnsi="Abadi"/>
          <w:sz w:val="21"/>
          <w:szCs w:val="21"/>
        </w:rPr>
        <w:t>em</w:t>
      </w:r>
      <w:r>
        <w:rPr>
          <w:rFonts w:ascii="Abadi" w:hAnsi="Abadi"/>
          <w:sz w:val="21"/>
          <w:szCs w:val="21"/>
        </w:rPr>
        <w:t>i</w:t>
      </w:r>
      <w:r w:rsidRPr="0021199F">
        <w:rPr>
          <w:rFonts w:ascii="Abadi" w:hAnsi="Abadi"/>
          <w:sz w:val="21"/>
          <w:szCs w:val="21"/>
        </w:rPr>
        <w:t xml:space="preserve">tido con la Comisión de Gobernación y </w:t>
      </w:r>
      <w:r>
        <w:rPr>
          <w:rFonts w:ascii="Abadi" w:hAnsi="Abadi"/>
          <w:sz w:val="21"/>
          <w:szCs w:val="21"/>
        </w:rPr>
        <w:t>P</w:t>
      </w:r>
      <w:r w:rsidRPr="0021199F">
        <w:rPr>
          <w:rFonts w:ascii="Abadi" w:hAnsi="Abadi"/>
          <w:sz w:val="21"/>
          <w:szCs w:val="21"/>
        </w:rPr>
        <w:t xml:space="preserve">untos </w:t>
      </w:r>
      <w:r>
        <w:rPr>
          <w:rFonts w:ascii="Abadi" w:hAnsi="Abadi"/>
          <w:sz w:val="21"/>
          <w:szCs w:val="21"/>
        </w:rPr>
        <w:t>C</w:t>
      </w:r>
      <w:r w:rsidRPr="0021199F">
        <w:rPr>
          <w:rFonts w:ascii="Abadi" w:hAnsi="Abadi"/>
          <w:sz w:val="21"/>
          <w:szCs w:val="21"/>
        </w:rPr>
        <w:t xml:space="preserve">onstitucionales relativos </w:t>
      </w:r>
      <w:r w:rsidR="00D17A54">
        <w:rPr>
          <w:rFonts w:ascii="Abadi" w:hAnsi="Abadi"/>
          <w:sz w:val="21"/>
          <w:szCs w:val="21"/>
        </w:rPr>
        <w:t xml:space="preserve">a </w:t>
      </w:r>
      <w:r w:rsidRPr="0021199F">
        <w:rPr>
          <w:rFonts w:ascii="Abadi" w:hAnsi="Abadi"/>
          <w:sz w:val="21"/>
          <w:szCs w:val="21"/>
        </w:rPr>
        <w:t xml:space="preserve">la solicitud de licencia para separarse del cargo de diputada local </w:t>
      </w:r>
      <w:r>
        <w:rPr>
          <w:rFonts w:ascii="Abadi" w:hAnsi="Abadi"/>
          <w:sz w:val="21"/>
          <w:szCs w:val="21"/>
        </w:rPr>
        <w:t>de Ruth</w:t>
      </w:r>
      <w:r w:rsidRPr="0021199F">
        <w:rPr>
          <w:rFonts w:ascii="Abadi" w:hAnsi="Abadi"/>
          <w:sz w:val="21"/>
          <w:szCs w:val="21"/>
        </w:rPr>
        <w:t xml:space="preserve"> Noemí </w:t>
      </w:r>
      <w:r>
        <w:rPr>
          <w:rFonts w:ascii="Abadi" w:hAnsi="Abadi"/>
          <w:sz w:val="21"/>
          <w:szCs w:val="21"/>
        </w:rPr>
        <w:t>Tiscareño Agoitia</w:t>
      </w:r>
      <w:r w:rsidRPr="0021199F">
        <w:rPr>
          <w:rFonts w:ascii="Abadi" w:hAnsi="Abadi"/>
          <w:sz w:val="21"/>
          <w:szCs w:val="21"/>
        </w:rPr>
        <w:t xml:space="preserve">, integrante del </w:t>
      </w:r>
      <w:r>
        <w:rPr>
          <w:rFonts w:ascii="Abadi" w:hAnsi="Abadi"/>
          <w:sz w:val="21"/>
          <w:szCs w:val="21"/>
        </w:rPr>
        <w:t>G</w:t>
      </w:r>
      <w:r w:rsidRPr="0021199F">
        <w:rPr>
          <w:rFonts w:ascii="Abadi" w:hAnsi="Abadi"/>
          <w:sz w:val="21"/>
          <w:szCs w:val="21"/>
        </w:rPr>
        <w:t xml:space="preserve">rupo </w:t>
      </w:r>
      <w:r>
        <w:rPr>
          <w:rFonts w:ascii="Abadi" w:hAnsi="Abadi"/>
          <w:sz w:val="21"/>
          <w:szCs w:val="21"/>
        </w:rPr>
        <w:t>P</w:t>
      </w:r>
      <w:r w:rsidRPr="0021199F">
        <w:rPr>
          <w:rFonts w:ascii="Abadi" w:hAnsi="Abadi"/>
          <w:sz w:val="21"/>
          <w:szCs w:val="21"/>
        </w:rPr>
        <w:t>arlamentario del Partido Revolucionario Institucional</w:t>
      </w:r>
      <w:r>
        <w:rPr>
          <w:rFonts w:ascii="Abadi" w:hAnsi="Abadi"/>
          <w:sz w:val="21"/>
          <w:szCs w:val="21"/>
        </w:rPr>
        <w:t>.</w:t>
      </w:r>
    </w:p>
    <w:p w14:paraId="338DCE46" w14:textId="5CB8A000" w:rsidR="008D67C2" w:rsidRDefault="008D67C2" w:rsidP="008D67C2">
      <w:pPr>
        <w:pStyle w:val="NormalWeb"/>
        <w:ind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Si alguna diputada o algún diputado desea hacer uso de la palabra, en</w:t>
      </w:r>
      <w:r>
        <w:rPr>
          <w:rFonts w:ascii="Abadi" w:hAnsi="Abadi"/>
          <w:sz w:val="21"/>
          <w:szCs w:val="21"/>
        </w:rPr>
        <w:t xml:space="preserve"> pro o</w:t>
      </w:r>
      <w:r w:rsidRPr="0021199F">
        <w:rPr>
          <w:rFonts w:ascii="Abadi" w:hAnsi="Abadi"/>
          <w:sz w:val="21"/>
          <w:szCs w:val="21"/>
        </w:rPr>
        <w:t xml:space="preserve"> en</w:t>
      </w:r>
      <w:r>
        <w:rPr>
          <w:rFonts w:ascii="Abadi" w:hAnsi="Abadi"/>
          <w:sz w:val="21"/>
          <w:szCs w:val="21"/>
        </w:rPr>
        <w:t xml:space="preserve"> </w:t>
      </w:r>
      <w:r w:rsidRPr="0021199F">
        <w:rPr>
          <w:rFonts w:ascii="Abadi" w:hAnsi="Abadi"/>
          <w:sz w:val="21"/>
          <w:szCs w:val="21"/>
        </w:rPr>
        <w:t>c</w:t>
      </w:r>
      <w:r>
        <w:rPr>
          <w:rFonts w:ascii="Abadi" w:hAnsi="Abadi"/>
          <w:sz w:val="21"/>
          <w:szCs w:val="21"/>
        </w:rPr>
        <w:t>on</w:t>
      </w:r>
      <w:r w:rsidRPr="0021199F">
        <w:rPr>
          <w:rFonts w:ascii="Abadi" w:hAnsi="Abadi"/>
          <w:sz w:val="21"/>
          <w:szCs w:val="21"/>
        </w:rPr>
        <w:t>tra manifiést</w:t>
      </w:r>
      <w:r>
        <w:rPr>
          <w:rFonts w:ascii="Abadi" w:hAnsi="Abadi"/>
          <w:sz w:val="21"/>
          <w:szCs w:val="21"/>
        </w:rPr>
        <w:t>enlo</w:t>
      </w:r>
      <w:r w:rsidRPr="0021199F">
        <w:rPr>
          <w:rFonts w:ascii="Abadi" w:hAnsi="Abadi"/>
          <w:sz w:val="21"/>
          <w:szCs w:val="21"/>
        </w:rPr>
        <w:t xml:space="preserve"> indicando sentido su participación. </w:t>
      </w:r>
    </w:p>
    <w:p w14:paraId="622F1CA2" w14:textId="6B433318" w:rsidR="008D67C2" w:rsidRDefault="00831692" w:rsidP="00831692">
      <w:pPr>
        <w:pStyle w:val="NormalWeb"/>
        <w:ind w:firstLine="708"/>
        <w:jc w:val="both"/>
        <w:rPr>
          <w:rFonts w:ascii="Abadi" w:hAnsi="Abadi"/>
          <w:sz w:val="21"/>
          <w:szCs w:val="21"/>
        </w:rPr>
      </w:pPr>
      <w:r>
        <w:rPr>
          <w:rFonts w:ascii="Abadi" w:hAnsi="Abadi"/>
          <w:sz w:val="21"/>
          <w:szCs w:val="21"/>
        </w:rPr>
        <w:t xml:space="preserve">- </w:t>
      </w:r>
      <w:r w:rsidR="008D67C2" w:rsidRPr="0021199F">
        <w:rPr>
          <w:rFonts w:ascii="Abadi" w:hAnsi="Abadi"/>
          <w:sz w:val="21"/>
          <w:szCs w:val="21"/>
        </w:rPr>
        <w:t>En</w:t>
      </w:r>
      <w:r w:rsidR="008D67C2">
        <w:rPr>
          <w:rFonts w:ascii="Abadi" w:hAnsi="Abadi"/>
          <w:sz w:val="21"/>
          <w:szCs w:val="21"/>
        </w:rPr>
        <w:t xml:space="preserve"> virtud</w:t>
      </w:r>
      <w:r w:rsidR="008D67C2" w:rsidRPr="0021199F">
        <w:rPr>
          <w:rFonts w:ascii="Abadi" w:hAnsi="Abadi"/>
          <w:sz w:val="21"/>
          <w:szCs w:val="21"/>
        </w:rPr>
        <w:t xml:space="preserve"> </w:t>
      </w:r>
      <w:r w:rsidR="008D67C2">
        <w:rPr>
          <w:rFonts w:ascii="Abadi" w:hAnsi="Abadi"/>
          <w:sz w:val="21"/>
          <w:szCs w:val="21"/>
        </w:rPr>
        <w:t>d</w:t>
      </w:r>
      <w:r w:rsidR="008D67C2" w:rsidRPr="0021199F">
        <w:rPr>
          <w:rFonts w:ascii="Abadi" w:hAnsi="Abadi"/>
          <w:sz w:val="21"/>
          <w:szCs w:val="21"/>
        </w:rPr>
        <w:t>e n</w:t>
      </w:r>
      <w:r w:rsidR="008D67C2">
        <w:rPr>
          <w:rFonts w:ascii="Abadi" w:hAnsi="Abadi"/>
          <w:sz w:val="21"/>
          <w:szCs w:val="21"/>
        </w:rPr>
        <w:t>o haber</w:t>
      </w:r>
      <w:r w:rsidR="008D67C2" w:rsidRPr="0021199F">
        <w:rPr>
          <w:rFonts w:ascii="Abadi" w:hAnsi="Abadi"/>
          <w:sz w:val="21"/>
          <w:szCs w:val="21"/>
        </w:rPr>
        <w:t xml:space="preserve"> participaciones, se pide a</w:t>
      </w:r>
      <w:r w:rsidR="00D17A54">
        <w:rPr>
          <w:rFonts w:ascii="Abadi" w:hAnsi="Abadi"/>
          <w:sz w:val="21"/>
          <w:szCs w:val="21"/>
        </w:rPr>
        <w:t xml:space="preserve"> la</w:t>
      </w:r>
      <w:r w:rsidR="008D67C2" w:rsidRPr="0021199F">
        <w:rPr>
          <w:rFonts w:ascii="Abadi" w:hAnsi="Abadi"/>
          <w:sz w:val="21"/>
          <w:szCs w:val="21"/>
        </w:rPr>
        <w:t xml:space="preserve"> Secretar</w:t>
      </w:r>
      <w:r w:rsidR="008D67C2">
        <w:rPr>
          <w:rFonts w:ascii="Abadi" w:hAnsi="Abadi"/>
          <w:sz w:val="21"/>
          <w:szCs w:val="21"/>
        </w:rPr>
        <w:t>i</w:t>
      </w:r>
      <w:r w:rsidR="008D67C2" w:rsidRPr="0021199F">
        <w:rPr>
          <w:rFonts w:ascii="Abadi" w:hAnsi="Abadi"/>
          <w:sz w:val="21"/>
          <w:szCs w:val="21"/>
        </w:rPr>
        <w:t>a</w:t>
      </w:r>
      <w:r w:rsidR="008D67C2">
        <w:rPr>
          <w:rFonts w:ascii="Abadi" w:hAnsi="Abadi"/>
          <w:sz w:val="21"/>
          <w:szCs w:val="21"/>
        </w:rPr>
        <w:t xml:space="preserve"> </w:t>
      </w:r>
      <w:r w:rsidR="008D67C2" w:rsidRPr="0021199F">
        <w:rPr>
          <w:rFonts w:ascii="Abadi" w:hAnsi="Abadi"/>
          <w:sz w:val="21"/>
          <w:szCs w:val="21"/>
        </w:rPr>
        <w:t>que p</w:t>
      </w:r>
      <w:r w:rsidR="008D67C2">
        <w:rPr>
          <w:rFonts w:ascii="Abadi" w:hAnsi="Abadi"/>
          <w:sz w:val="21"/>
          <w:szCs w:val="21"/>
        </w:rPr>
        <w:t>roceda</w:t>
      </w:r>
      <w:r w:rsidR="008D67C2" w:rsidRPr="0021199F">
        <w:rPr>
          <w:rFonts w:ascii="Abadi" w:hAnsi="Abadi"/>
          <w:sz w:val="21"/>
          <w:szCs w:val="21"/>
        </w:rPr>
        <w:t xml:space="preserve"> a recabar votación nominal de la Asamblea a través del sistema electrónico efecto de aprobar o no el dictamen</w:t>
      </w:r>
      <w:r w:rsidR="008D67C2">
        <w:rPr>
          <w:rFonts w:ascii="Abadi" w:hAnsi="Abadi"/>
          <w:sz w:val="21"/>
          <w:szCs w:val="21"/>
        </w:rPr>
        <w:t xml:space="preserve"> p</w:t>
      </w:r>
      <w:r w:rsidR="008D67C2" w:rsidRPr="0021199F">
        <w:rPr>
          <w:rFonts w:ascii="Abadi" w:hAnsi="Abadi"/>
          <w:sz w:val="21"/>
          <w:szCs w:val="21"/>
        </w:rPr>
        <w:t>uesto a su consideración</w:t>
      </w:r>
      <w:r w:rsidR="008D67C2">
        <w:rPr>
          <w:rFonts w:ascii="Abadi" w:hAnsi="Abadi"/>
          <w:sz w:val="21"/>
          <w:szCs w:val="21"/>
        </w:rPr>
        <w:t>.</w:t>
      </w:r>
      <w:r w:rsidR="008D67C2" w:rsidRPr="0021199F">
        <w:rPr>
          <w:rFonts w:ascii="Abadi" w:hAnsi="Abadi"/>
          <w:sz w:val="21"/>
          <w:szCs w:val="21"/>
        </w:rPr>
        <w:t xml:space="preserve"> </w:t>
      </w:r>
    </w:p>
    <w:p w14:paraId="446A5E73" w14:textId="31DF196C" w:rsidR="008D67C2" w:rsidRPr="008E125E" w:rsidRDefault="008D67C2" w:rsidP="008D67C2">
      <w:pPr>
        <w:pStyle w:val="NormalWeb"/>
        <w:jc w:val="center"/>
        <w:rPr>
          <w:rFonts w:ascii="Abadi" w:hAnsi="Abadi"/>
          <w:b/>
          <w:bCs/>
          <w:sz w:val="21"/>
          <w:szCs w:val="21"/>
        </w:rPr>
      </w:pPr>
      <w:r>
        <w:rPr>
          <w:rFonts w:ascii="Abadi" w:hAnsi="Abadi"/>
          <w:b/>
          <w:bCs/>
          <w:sz w:val="21"/>
          <w:szCs w:val="21"/>
        </w:rPr>
        <w:t>(S</w:t>
      </w:r>
      <w:r w:rsidRPr="008E125E">
        <w:rPr>
          <w:rFonts w:ascii="Abadi" w:hAnsi="Abadi"/>
          <w:b/>
          <w:bCs/>
          <w:sz w:val="21"/>
          <w:szCs w:val="21"/>
        </w:rPr>
        <w:t>e abre el sistema electrónico)</w:t>
      </w:r>
    </w:p>
    <w:p w14:paraId="3FB63553" w14:textId="47B43A88" w:rsidR="008D67C2" w:rsidRDefault="008D67C2" w:rsidP="008D67C2">
      <w:pPr>
        <w:pStyle w:val="NormalWeb"/>
        <w:ind w:firstLine="708"/>
        <w:jc w:val="both"/>
        <w:rPr>
          <w:rFonts w:ascii="Abadi" w:hAnsi="Abadi"/>
          <w:sz w:val="21"/>
          <w:szCs w:val="21"/>
        </w:rPr>
      </w:pPr>
      <w:r>
        <w:rPr>
          <w:rFonts w:ascii="Abadi" w:hAnsi="Abadi"/>
          <w:b/>
          <w:bCs/>
          <w:sz w:val="21"/>
          <w:szCs w:val="21"/>
        </w:rPr>
        <w:t xml:space="preserve">- </w:t>
      </w:r>
      <w:r w:rsidRPr="008E125E">
        <w:rPr>
          <w:rFonts w:ascii="Abadi" w:hAnsi="Abadi"/>
          <w:b/>
          <w:bCs/>
          <w:sz w:val="21"/>
          <w:szCs w:val="21"/>
        </w:rPr>
        <w:t xml:space="preserve">La </w:t>
      </w:r>
      <w:proofErr w:type="gramStart"/>
      <w:r w:rsidRPr="008E125E">
        <w:rPr>
          <w:rFonts w:ascii="Abadi" w:hAnsi="Abadi"/>
          <w:b/>
          <w:bCs/>
          <w:sz w:val="21"/>
          <w:szCs w:val="21"/>
        </w:rPr>
        <w:t>Secretar</w:t>
      </w:r>
      <w:r>
        <w:rPr>
          <w:rFonts w:ascii="Abadi" w:hAnsi="Abadi"/>
          <w:b/>
          <w:bCs/>
          <w:sz w:val="21"/>
          <w:szCs w:val="21"/>
        </w:rPr>
        <w:t>i</w:t>
      </w:r>
      <w:r w:rsidRPr="008E125E">
        <w:rPr>
          <w:rFonts w:ascii="Abadi" w:hAnsi="Abadi"/>
          <w:b/>
          <w:bCs/>
          <w:sz w:val="21"/>
          <w:szCs w:val="21"/>
        </w:rPr>
        <w:t>a.-</w:t>
      </w:r>
      <w:proofErr w:type="gramEnd"/>
      <w:r>
        <w:rPr>
          <w:rFonts w:ascii="Abadi" w:hAnsi="Abadi"/>
          <w:sz w:val="21"/>
          <w:szCs w:val="21"/>
        </w:rPr>
        <w:t xml:space="preserve"> E</w:t>
      </w:r>
      <w:r w:rsidRPr="0021199F">
        <w:rPr>
          <w:rFonts w:ascii="Abadi" w:hAnsi="Abadi"/>
          <w:sz w:val="21"/>
          <w:szCs w:val="21"/>
        </w:rPr>
        <w:t>n votación nominal por el sistema electrónico</w:t>
      </w:r>
      <w:r>
        <w:rPr>
          <w:rFonts w:ascii="Abadi" w:hAnsi="Abadi"/>
          <w:sz w:val="21"/>
          <w:szCs w:val="21"/>
        </w:rPr>
        <w:t xml:space="preserve"> s</w:t>
      </w:r>
      <w:r w:rsidRPr="0021199F">
        <w:rPr>
          <w:rFonts w:ascii="Abadi" w:hAnsi="Abadi"/>
          <w:sz w:val="21"/>
          <w:szCs w:val="21"/>
        </w:rPr>
        <w:t xml:space="preserve">e pregunta a las </w:t>
      </w:r>
      <w:r>
        <w:rPr>
          <w:rFonts w:ascii="Abadi" w:hAnsi="Abadi"/>
          <w:sz w:val="21"/>
          <w:szCs w:val="21"/>
        </w:rPr>
        <w:t>dipu</w:t>
      </w:r>
      <w:r w:rsidRPr="0021199F">
        <w:rPr>
          <w:rFonts w:ascii="Abadi" w:hAnsi="Abadi"/>
          <w:sz w:val="21"/>
          <w:szCs w:val="21"/>
        </w:rPr>
        <w:t xml:space="preserve">tadas </w:t>
      </w:r>
      <w:r>
        <w:rPr>
          <w:rFonts w:ascii="Abadi" w:hAnsi="Abadi"/>
          <w:sz w:val="21"/>
          <w:szCs w:val="21"/>
        </w:rPr>
        <w:t>y a</w:t>
      </w:r>
      <w:r w:rsidRPr="0021199F">
        <w:rPr>
          <w:rFonts w:ascii="Abadi" w:hAnsi="Abadi"/>
          <w:sz w:val="21"/>
          <w:szCs w:val="21"/>
        </w:rPr>
        <w:t xml:space="preserve"> los diputados</w:t>
      </w:r>
      <w:r>
        <w:rPr>
          <w:rFonts w:ascii="Abadi" w:hAnsi="Abadi"/>
          <w:sz w:val="21"/>
          <w:szCs w:val="21"/>
        </w:rPr>
        <w:t xml:space="preserve">, </w:t>
      </w:r>
      <w:r w:rsidRPr="0021199F">
        <w:rPr>
          <w:rFonts w:ascii="Abadi" w:hAnsi="Abadi"/>
          <w:sz w:val="21"/>
          <w:szCs w:val="21"/>
        </w:rPr>
        <w:t>si se apr</w:t>
      </w:r>
      <w:r>
        <w:rPr>
          <w:rFonts w:ascii="Abadi" w:hAnsi="Abadi"/>
          <w:sz w:val="21"/>
          <w:szCs w:val="21"/>
        </w:rPr>
        <w:t>ueba</w:t>
      </w:r>
      <w:r w:rsidRPr="0021199F">
        <w:rPr>
          <w:rFonts w:ascii="Abadi" w:hAnsi="Abadi"/>
          <w:sz w:val="21"/>
          <w:szCs w:val="21"/>
        </w:rPr>
        <w:t xml:space="preserve"> el </w:t>
      </w:r>
      <w:r>
        <w:rPr>
          <w:rFonts w:ascii="Abadi" w:hAnsi="Abadi"/>
          <w:sz w:val="21"/>
          <w:szCs w:val="21"/>
        </w:rPr>
        <w:t>dict</w:t>
      </w:r>
      <w:r w:rsidRPr="0021199F">
        <w:rPr>
          <w:rFonts w:ascii="Abadi" w:hAnsi="Abadi"/>
          <w:sz w:val="21"/>
          <w:szCs w:val="21"/>
        </w:rPr>
        <w:t>amen puesto a su consideración</w:t>
      </w:r>
      <w:r>
        <w:rPr>
          <w:rFonts w:ascii="Abadi" w:hAnsi="Abadi"/>
          <w:sz w:val="21"/>
          <w:szCs w:val="21"/>
        </w:rPr>
        <w:t xml:space="preserve">. </w:t>
      </w:r>
    </w:p>
    <w:p w14:paraId="4C2878EF" w14:textId="13D19ED9" w:rsidR="008D67C2" w:rsidRDefault="008D67C2" w:rsidP="008D67C2">
      <w:pPr>
        <w:pStyle w:val="NormalWeb"/>
        <w:ind w:firstLine="708"/>
        <w:jc w:val="both"/>
        <w:rPr>
          <w:rFonts w:ascii="Abadi" w:hAnsi="Abadi"/>
          <w:sz w:val="21"/>
          <w:szCs w:val="21"/>
        </w:rPr>
      </w:pPr>
      <w:r>
        <w:rPr>
          <w:rFonts w:ascii="Abadi" w:hAnsi="Abadi"/>
          <w:b/>
          <w:bCs/>
          <w:sz w:val="21"/>
          <w:szCs w:val="21"/>
        </w:rPr>
        <w:t xml:space="preserve">- </w:t>
      </w:r>
      <w:r w:rsidRPr="00877714">
        <w:rPr>
          <w:rFonts w:ascii="Abadi" w:hAnsi="Abadi"/>
          <w:b/>
          <w:bCs/>
          <w:sz w:val="21"/>
          <w:szCs w:val="21"/>
        </w:rPr>
        <w:t xml:space="preserve">La </w:t>
      </w:r>
      <w:proofErr w:type="gramStart"/>
      <w:r w:rsidRPr="00877714">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Diputada Ruth</w:t>
      </w:r>
      <w:r>
        <w:rPr>
          <w:rFonts w:ascii="Abadi" w:hAnsi="Abadi"/>
          <w:sz w:val="21"/>
          <w:szCs w:val="21"/>
        </w:rPr>
        <w:t>? ¿</w:t>
      </w:r>
      <w:r w:rsidRPr="0021199F">
        <w:rPr>
          <w:rFonts w:ascii="Abadi" w:hAnsi="Abadi"/>
          <w:sz w:val="21"/>
          <w:szCs w:val="21"/>
        </w:rPr>
        <w:t>me p</w:t>
      </w:r>
      <w:r>
        <w:rPr>
          <w:rFonts w:ascii="Abadi" w:hAnsi="Abadi"/>
          <w:sz w:val="21"/>
          <w:szCs w:val="21"/>
        </w:rPr>
        <w:t xml:space="preserve">odría </w:t>
      </w:r>
      <w:r w:rsidRPr="0021199F">
        <w:rPr>
          <w:rFonts w:ascii="Abadi" w:hAnsi="Abadi"/>
          <w:sz w:val="21"/>
          <w:szCs w:val="21"/>
        </w:rPr>
        <w:t>decir los motivos de su a</w:t>
      </w:r>
      <w:r w:rsidR="00D17A54">
        <w:rPr>
          <w:rFonts w:ascii="Abadi" w:hAnsi="Abadi"/>
          <w:sz w:val="21"/>
          <w:szCs w:val="21"/>
        </w:rPr>
        <w:t>bstención</w:t>
      </w:r>
      <w:r w:rsidRPr="0021199F">
        <w:rPr>
          <w:rFonts w:ascii="Abadi" w:hAnsi="Abadi"/>
          <w:sz w:val="21"/>
          <w:szCs w:val="21"/>
        </w:rPr>
        <w:t xml:space="preserve">, por favor? </w:t>
      </w:r>
      <w:r>
        <w:rPr>
          <w:rFonts w:ascii="Abadi" w:hAnsi="Abadi"/>
          <w:sz w:val="21"/>
          <w:szCs w:val="21"/>
        </w:rPr>
        <w:t>(Voz) Diputada Ruth Noemi, me abs</w:t>
      </w:r>
      <w:r w:rsidRPr="0021199F">
        <w:rPr>
          <w:rFonts w:ascii="Abadi" w:hAnsi="Abadi"/>
          <w:sz w:val="21"/>
          <w:szCs w:val="21"/>
        </w:rPr>
        <w:t>tengo por tratarse de un punto en el que se vota algo de mi persona</w:t>
      </w:r>
      <w:r>
        <w:rPr>
          <w:rFonts w:ascii="Abadi" w:hAnsi="Abadi"/>
          <w:sz w:val="21"/>
          <w:szCs w:val="21"/>
        </w:rPr>
        <w:t>, gracias</w:t>
      </w:r>
      <w:r w:rsidRPr="0021199F">
        <w:rPr>
          <w:rFonts w:ascii="Abadi" w:hAnsi="Abadi"/>
          <w:sz w:val="21"/>
          <w:szCs w:val="21"/>
        </w:rPr>
        <w:t xml:space="preserve">. </w:t>
      </w:r>
    </w:p>
    <w:p w14:paraId="47B4431D" w14:textId="05396CF0" w:rsidR="008D67C2" w:rsidRDefault="00F2506B" w:rsidP="00F2506B">
      <w:pPr>
        <w:pStyle w:val="NormalWeb"/>
        <w:ind w:firstLine="708"/>
        <w:jc w:val="both"/>
        <w:rPr>
          <w:rFonts w:ascii="Abadi" w:hAnsi="Abadi"/>
          <w:sz w:val="21"/>
          <w:szCs w:val="21"/>
        </w:rPr>
      </w:pPr>
      <w:r>
        <w:rPr>
          <w:rFonts w:ascii="Abadi" w:hAnsi="Abadi"/>
          <w:b/>
          <w:bCs/>
          <w:sz w:val="21"/>
          <w:szCs w:val="21"/>
        </w:rPr>
        <w:t xml:space="preserve">- </w:t>
      </w:r>
      <w:r w:rsidR="008D67C2" w:rsidRPr="001070F1">
        <w:rPr>
          <w:rFonts w:ascii="Abadi" w:hAnsi="Abadi"/>
          <w:b/>
          <w:bCs/>
          <w:sz w:val="21"/>
          <w:szCs w:val="21"/>
        </w:rPr>
        <w:t xml:space="preserve">La </w:t>
      </w:r>
      <w:proofErr w:type="gramStart"/>
      <w:r w:rsidR="008D67C2" w:rsidRPr="001070F1">
        <w:rPr>
          <w:rFonts w:ascii="Abadi" w:hAnsi="Abadi"/>
          <w:b/>
          <w:bCs/>
          <w:sz w:val="21"/>
          <w:szCs w:val="21"/>
        </w:rPr>
        <w:t>Secretaria.-</w:t>
      </w:r>
      <w:proofErr w:type="gramEnd"/>
      <w:r w:rsidR="008D67C2">
        <w:rPr>
          <w:rFonts w:ascii="Abadi" w:hAnsi="Abadi"/>
          <w:sz w:val="21"/>
          <w:szCs w:val="21"/>
        </w:rPr>
        <w:t xml:space="preserve"> ¿Diputada Alma Edwviges</w:t>
      </w:r>
      <w:r w:rsidR="008D67C2" w:rsidRPr="0021199F">
        <w:rPr>
          <w:rFonts w:ascii="Abadi" w:hAnsi="Abadi"/>
          <w:sz w:val="21"/>
          <w:szCs w:val="21"/>
        </w:rPr>
        <w:t xml:space="preserve"> Alcaraz</w:t>
      </w:r>
      <w:r w:rsidR="008D67C2">
        <w:rPr>
          <w:rFonts w:ascii="Abadi" w:hAnsi="Abadi"/>
          <w:sz w:val="21"/>
          <w:szCs w:val="21"/>
        </w:rPr>
        <w:t>? G</w:t>
      </w:r>
      <w:r w:rsidR="008D67C2" w:rsidRPr="0021199F">
        <w:rPr>
          <w:rFonts w:ascii="Abadi" w:hAnsi="Abadi"/>
          <w:sz w:val="21"/>
          <w:szCs w:val="21"/>
        </w:rPr>
        <w:t xml:space="preserve">racias, diputada. </w:t>
      </w:r>
    </w:p>
    <w:p w14:paraId="697F84A7" w14:textId="77777777" w:rsidR="008D67C2" w:rsidRDefault="008D67C2" w:rsidP="008D67C2">
      <w:pPr>
        <w:pStyle w:val="NormalWeb"/>
        <w:jc w:val="both"/>
        <w:rPr>
          <w:rFonts w:ascii="Abadi" w:hAnsi="Abadi"/>
          <w:sz w:val="21"/>
          <w:szCs w:val="21"/>
        </w:rPr>
      </w:pPr>
      <w:r>
        <w:rPr>
          <w:rFonts w:ascii="Abadi" w:hAnsi="Abadi"/>
          <w:sz w:val="21"/>
          <w:szCs w:val="21"/>
        </w:rPr>
        <w:t>¿</w:t>
      </w:r>
      <w:r w:rsidRPr="0021199F">
        <w:rPr>
          <w:rFonts w:ascii="Abadi" w:hAnsi="Abadi"/>
          <w:sz w:val="21"/>
          <w:szCs w:val="21"/>
        </w:rPr>
        <w:t>Falta alguna diputada, algún diputado de emitir su voto</w:t>
      </w:r>
      <w:r>
        <w:rPr>
          <w:rFonts w:ascii="Abadi" w:hAnsi="Abadi"/>
          <w:sz w:val="21"/>
          <w:szCs w:val="21"/>
        </w:rPr>
        <w:t>?</w:t>
      </w:r>
      <w:r w:rsidRPr="0021199F">
        <w:rPr>
          <w:rFonts w:ascii="Abadi" w:hAnsi="Abadi"/>
          <w:sz w:val="21"/>
          <w:szCs w:val="21"/>
        </w:rPr>
        <w:t xml:space="preserve"> </w:t>
      </w:r>
    </w:p>
    <w:p w14:paraId="5C10E1B1" w14:textId="0714E159" w:rsidR="008D67C2" w:rsidRDefault="008D67C2" w:rsidP="00F2506B">
      <w:pPr>
        <w:pStyle w:val="NormalWeb"/>
        <w:jc w:val="center"/>
        <w:rPr>
          <w:rFonts w:ascii="Abadi" w:hAnsi="Abadi"/>
          <w:b/>
          <w:bCs/>
          <w:sz w:val="21"/>
          <w:szCs w:val="21"/>
        </w:rPr>
      </w:pPr>
      <w:r w:rsidRPr="00420DC1">
        <w:rPr>
          <w:rFonts w:ascii="Abadi" w:hAnsi="Abadi"/>
          <w:b/>
          <w:bCs/>
          <w:sz w:val="21"/>
          <w:szCs w:val="21"/>
        </w:rPr>
        <w:t>(</w:t>
      </w:r>
      <w:r>
        <w:rPr>
          <w:rFonts w:ascii="Abadi" w:hAnsi="Abadi"/>
          <w:b/>
          <w:bCs/>
          <w:sz w:val="21"/>
          <w:szCs w:val="21"/>
        </w:rPr>
        <w:t>S</w:t>
      </w:r>
      <w:r w:rsidRPr="00420DC1">
        <w:rPr>
          <w:rFonts w:ascii="Abadi" w:hAnsi="Abadi"/>
          <w:b/>
          <w:bCs/>
          <w:sz w:val="21"/>
          <w:szCs w:val="21"/>
        </w:rPr>
        <w:t>e cierra el sistema electrónico)</w:t>
      </w:r>
    </w:p>
    <w:p w14:paraId="73562DB3" w14:textId="77777777" w:rsidR="008D67C2" w:rsidRDefault="008D67C2" w:rsidP="008D67C2">
      <w:pPr>
        <w:pStyle w:val="NormalWeb"/>
        <w:jc w:val="both"/>
        <w:rPr>
          <w:rFonts w:ascii="Abadi" w:hAnsi="Abadi"/>
          <w:b/>
          <w:bCs/>
          <w:sz w:val="21"/>
          <w:szCs w:val="21"/>
        </w:rPr>
      </w:pPr>
      <w:r>
        <w:rPr>
          <w:noProof/>
        </w:rPr>
        <w:drawing>
          <wp:inline distT="0" distB="0" distL="0" distR="0" wp14:anchorId="46AC9C89" wp14:editId="2904A68E">
            <wp:extent cx="2100022" cy="1104900"/>
            <wp:effectExtent l="152400" t="152400" r="357505" b="3619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6458"/>
                    <a:stretch/>
                  </pic:blipFill>
                  <pic:spPr bwMode="auto">
                    <a:xfrm>
                      <a:off x="0" y="0"/>
                      <a:ext cx="2113525" cy="11120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C2415D3" w14:textId="23ABBE90" w:rsidR="008D67C2" w:rsidRDefault="00F2506B" w:rsidP="00F2506B">
      <w:pPr>
        <w:pStyle w:val="NormalWeb"/>
        <w:ind w:firstLine="708"/>
        <w:jc w:val="both"/>
        <w:rPr>
          <w:rFonts w:ascii="Abadi" w:hAnsi="Abadi"/>
          <w:sz w:val="21"/>
          <w:szCs w:val="21"/>
        </w:rPr>
      </w:pPr>
      <w:r>
        <w:rPr>
          <w:rFonts w:ascii="Abadi" w:hAnsi="Abadi"/>
          <w:b/>
          <w:bCs/>
          <w:sz w:val="21"/>
          <w:szCs w:val="21"/>
        </w:rPr>
        <w:t xml:space="preserve">- </w:t>
      </w:r>
      <w:r w:rsidR="008D67C2" w:rsidRPr="00420DC1">
        <w:rPr>
          <w:rFonts w:ascii="Abadi" w:hAnsi="Abadi"/>
          <w:b/>
          <w:bCs/>
          <w:sz w:val="21"/>
          <w:szCs w:val="21"/>
        </w:rPr>
        <w:t xml:space="preserve">La </w:t>
      </w:r>
      <w:proofErr w:type="gramStart"/>
      <w:r w:rsidR="008D67C2" w:rsidRPr="00420DC1">
        <w:rPr>
          <w:rFonts w:ascii="Abadi" w:hAnsi="Abadi"/>
          <w:b/>
          <w:bCs/>
          <w:sz w:val="21"/>
          <w:szCs w:val="21"/>
        </w:rPr>
        <w:t>Secretar</w:t>
      </w:r>
      <w:r>
        <w:rPr>
          <w:rFonts w:ascii="Abadi" w:hAnsi="Abadi"/>
          <w:b/>
          <w:bCs/>
          <w:sz w:val="21"/>
          <w:szCs w:val="21"/>
        </w:rPr>
        <w:t>i</w:t>
      </w:r>
      <w:r w:rsidR="008D67C2" w:rsidRPr="00420DC1">
        <w:rPr>
          <w:rFonts w:ascii="Abadi" w:hAnsi="Abadi"/>
          <w:b/>
          <w:bCs/>
          <w:sz w:val="21"/>
          <w:szCs w:val="21"/>
        </w:rPr>
        <w:t>a.-</w:t>
      </w:r>
      <w:proofErr w:type="gramEnd"/>
      <w:r w:rsidR="008D67C2" w:rsidRPr="0021199F">
        <w:rPr>
          <w:rFonts w:ascii="Abadi" w:hAnsi="Abadi"/>
          <w:sz w:val="21"/>
          <w:szCs w:val="21"/>
        </w:rPr>
        <w:t xml:space="preserve"> </w:t>
      </w:r>
      <w:r w:rsidR="008D67C2">
        <w:rPr>
          <w:rFonts w:ascii="Abadi" w:hAnsi="Abadi"/>
          <w:sz w:val="21"/>
          <w:szCs w:val="21"/>
        </w:rPr>
        <w:t>S</w:t>
      </w:r>
      <w:r w:rsidR="008D67C2" w:rsidRPr="0021199F">
        <w:rPr>
          <w:rFonts w:ascii="Abadi" w:hAnsi="Abadi"/>
          <w:sz w:val="21"/>
          <w:szCs w:val="21"/>
        </w:rPr>
        <w:t xml:space="preserve">e registraron </w:t>
      </w:r>
      <w:r w:rsidR="008D67C2">
        <w:rPr>
          <w:rFonts w:ascii="Abadi" w:hAnsi="Abadi"/>
          <w:sz w:val="21"/>
          <w:szCs w:val="21"/>
        </w:rPr>
        <w:t>34</w:t>
      </w:r>
      <w:r w:rsidR="008D67C2" w:rsidRPr="0021199F">
        <w:rPr>
          <w:rFonts w:ascii="Abadi" w:hAnsi="Abadi"/>
          <w:sz w:val="21"/>
          <w:szCs w:val="21"/>
        </w:rPr>
        <w:t xml:space="preserve"> </w:t>
      </w:r>
      <w:r w:rsidR="008D67C2">
        <w:rPr>
          <w:rFonts w:ascii="Abadi" w:hAnsi="Abadi"/>
          <w:sz w:val="21"/>
          <w:szCs w:val="21"/>
        </w:rPr>
        <w:t xml:space="preserve">votos </w:t>
      </w:r>
      <w:r w:rsidR="008D67C2" w:rsidRPr="0021199F">
        <w:rPr>
          <w:rFonts w:ascii="Abadi" w:hAnsi="Abadi"/>
          <w:sz w:val="21"/>
          <w:szCs w:val="21"/>
        </w:rPr>
        <w:t xml:space="preserve">a favor y </w:t>
      </w:r>
      <w:r w:rsidR="00D17A54">
        <w:rPr>
          <w:rFonts w:ascii="Abadi" w:hAnsi="Abadi"/>
          <w:sz w:val="21"/>
          <w:szCs w:val="21"/>
        </w:rPr>
        <w:t>1</w:t>
      </w:r>
      <w:r w:rsidR="008D67C2" w:rsidRPr="0021199F">
        <w:rPr>
          <w:rFonts w:ascii="Abadi" w:hAnsi="Abadi"/>
          <w:sz w:val="21"/>
          <w:szCs w:val="21"/>
        </w:rPr>
        <w:t xml:space="preserve"> abstención. </w:t>
      </w:r>
    </w:p>
    <w:p w14:paraId="1F662BC7" w14:textId="2E262DD3" w:rsidR="008D67C2" w:rsidRDefault="00F2506B" w:rsidP="00F2506B">
      <w:pPr>
        <w:pStyle w:val="NormalWeb"/>
        <w:ind w:firstLine="708"/>
        <w:jc w:val="both"/>
        <w:rPr>
          <w:rFonts w:ascii="Abadi" w:hAnsi="Abadi"/>
          <w:sz w:val="21"/>
          <w:szCs w:val="21"/>
        </w:rPr>
      </w:pPr>
      <w:r>
        <w:rPr>
          <w:rFonts w:ascii="Abadi" w:hAnsi="Abadi"/>
          <w:b/>
          <w:bCs/>
          <w:sz w:val="21"/>
          <w:szCs w:val="21"/>
        </w:rPr>
        <w:t xml:space="preserve">- </w:t>
      </w:r>
      <w:r w:rsidR="008D67C2" w:rsidRPr="004539F1">
        <w:rPr>
          <w:rFonts w:ascii="Abadi" w:hAnsi="Abadi"/>
          <w:b/>
          <w:bCs/>
          <w:sz w:val="21"/>
          <w:szCs w:val="21"/>
        </w:rPr>
        <w:t xml:space="preserve">La </w:t>
      </w:r>
      <w:proofErr w:type="gramStart"/>
      <w:r w:rsidR="008D67C2" w:rsidRPr="004539F1">
        <w:rPr>
          <w:rFonts w:ascii="Abadi" w:hAnsi="Abadi"/>
          <w:b/>
          <w:bCs/>
          <w:sz w:val="21"/>
          <w:szCs w:val="21"/>
        </w:rPr>
        <w:t>Presidencia.-</w:t>
      </w:r>
      <w:proofErr w:type="gramEnd"/>
      <w:r w:rsidR="008D67C2">
        <w:rPr>
          <w:rFonts w:ascii="Abadi" w:hAnsi="Abadi"/>
          <w:sz w:val="21"/>
          <w:szCs w:val="21"/>
        </w:rPr>
        <w:t xml:space="preserve"> </w:t>
      </w:r>
      <w:r w:rsidR="008D67C2" w:rsidRPr="0021199F">
        <w:rPr>
          <w:rFonts w:ascii="Abadi" w:hAnsi="Abadi"/>
          <w:sz w:val="21"/>
          <w:szCs w:val="21"/>
        </w:rPr>
        <w:t>El dictamen ha sido aprobado por unanimidad de votos</w:t>
      </w:r>
      <w:r w:rsidR="008D67C2">
        <w:rPr>
          <w:rFonts w:ascii="Abadi" w:hAnsi="Abadi"/>
          <w:sz w:val="21"/>
          <w:szCs w:val="21"/>
        </w:rPr>
        <w:t>.</w:t>
      </w:r>
    </w:p>
    <w:p w14:paraId="3675A19F" w14:textId="0F93EFCB" w:rsidR="00D6790C" w:rsidRDefault="00F2506B" w:rsidP="008D67C2">
      <w:pPr>
        <w:pStyle w:val="NormalWeb"/>
        <w:jc w:val="both"/>
        <w:rPr>
          <w:rFonts w:ascii="Abadi" w:hAnsi="Abadi"/>
          <w:sz w:val="21"/>
          <w:szCs w:val="21"/>
        </w:rPr>
      </w:pPr>
      <w:r>
        <w:rPr>
          <w:rFonts w:ascii="Abadi" w:hAnsi="Abadi"/>
          <w:sz w:val="21"/>
          <w:szCs w:val="21"/>
        </w:rPr>
        <w:t xml:space="preserve"> </w:t>
      </w:r>
      <w:r>
        <w:rPr>
          <w:rFonts w:ascii="Abadi" w:hAnsi="Abadi"/>
          <w:sz w:val="21"/>
          <w:szCs w:val="21"/>
        </w:rPr>
        <w:tab/>
        <w:t>-</w:t>
      </w:r>
      <w:r w:rsidR="000464E9">
        <w:rPr>
          <w:rFonts w:ascii="Abadi" w:hAnsi="Abadi"/>
          <w:sz w:val="21"/>
          <w:szCs w:val="21"/>
        </w:rPr>
        <w:t xml:space="preserve"> </w:t>
      </w:r>
      <w:r w:rsidR="008D67C2">
        <w:rPr>
          <w:rFonts w:ascii="Abadi" w:hAnsi="Abadi"/>
          <w:sz w:val="21"/>
          <w:szCs w:val="21"/>
        </w:rPr>
        <w:t>E</w:t>
      </w:r>
      <w:r w:rsidR="008D67C2" w:rsidRPr="0021199F">
        <w:rPr>
          <w:rFonts w:ascii="Abadi" w:hAnsi="Abadi"/>
          <w:sz w:val="21"/>
          <w:szCs w:val="21"/>
        </w:rPr>
        <w:t>n consecuencia</w:t>
      </w:r>
      <w:r w:rsidR="008D67C2">
        <w:rPr>
          <w:rFonts w:ascii="Abadi" w:hAnsi="Abadi"/>
          <w:sz w:val="21"/>
          <w:szCs w:val="21"/>
        </w:rPr>
        <w:t>.</w:t>
      </w:r>
    </w:p>
    <w:p w14:paraId="73EF841F" w14:textId="248FB370" w:rsidR="008D67C2" w:rsidRPr="00407708" w:rsidRDefault="008D67C2" w:rsidP="008D67C2">
      <w:pPr>
        <w:pStyle w:val="NormalWeb"/>
        <w:ind w:left="426" w:right="474"/>
        <w:jc w:val="both"/>
        <w:rPr>
          <w:rFonts w:ascii="Abadi" w:hAnsi="Abadi"/>
          <w:b/>
          <w:bCs/>
          <w:i/>
          <w:iCs/>
          <w:sz w:val="21"/>
          <w:szCs w:val="21"/>
          <w:u w:val="single"/>
        </w:rPr>
      </w:pPr>
      <w:r w:rsidRPr="00407708">
        <w:rPr>
          <w:rFonts w:ascii="Abadi" w:hAnsi="Abadi"/>
          <w:b/>
          <w:bCs/>
          <w:i/>
          <w:iCs/>
          <w:sz w:val="21"/>
          <w:szCs w:val="21"/>
          <w:u w:val="single"/>
        </w:rPr>
        <w:t xml:space="preserve">Se instruye a la Secretaría General para que proceda </w:t>
      </w:r>
      <w:r w:rsidR="0024435A">
        <w:rPr>
          <w:rFonts w:ascii="Abadi" w:hAnsi="Abadi"/>
          <w:b/>
          <w:bCs/>
          <w:i/>
          <w:iCs/>
          <w:sz w:val="21"/>
          <w:szCs w:val="21"/>
          <w:u w:val="single"/>
        </w:rPr>
        <w:t>a</w:t>
      </w:r>
      <w:r w:rsidRPr="00407708">
        <w:rPr>
          <w:rFonts w:ascii="Abadi" w:hAnsi="Abadi"/>
          <w:b/>
          <w:bCs/>
          <w:i/>
          <w:iCs/>
          <w:sz w:val="21"/>
          <w:szCs w:val="21"/>
          <w:u w:val="single"/>
        </w:rPr>
        <w:t>l archivo definitivo de la solicitud referida en el dictamen aprobado.</w:t>
      </w:r>
    </w:p>
    <w:p w14:paraId="2127EB45" w14:textId="77777777" w:rsidR="008D67C2" w:rsidRDefault="008D67C2" w:rsidP="0010167C">
      <w:pPr>
        <w:autoSpaceDE w:val="0"/>
        <w:autoSpaceDN w:val="0"/>
        <w:adjustRightInd w:val="0"/>
        <w:jc w:val="both"/>
        <w:rPr>
          <w:rFonts w:ascii="Abadi" w:hAnsi="Abadi" w:cs="*Calibri-Bold-4923-Identity-H"/>
          <w:b/>
          <w:bCs/>
          <w:color w:val="0A0A0F"/>
          <w:sz w:val="21"/>
          <w:szCs w:val="21"/>
        </w:rPr>
      </w:pPr>
    </w:p>
    <w:p w14:paraId="27A70189" w14:textId="77777777" w:rsidR="00021259" w:rsidRPr="00F40E63" w:rsidRDefault="00021259" w:rsidP="00343CA9">
      <w:pPr>
        <w:pStyle w:val="Prrafodelista"/>
        <w:numPr>
          <w:ilvl w:val="0"/>
          <w:numId w:val="23"/>
        </w:numPr>
        <w:autoSpaceDE w:val="0"/>
        <w:autoSpaceDN w:val="0"/>
        <w:adjustRightInd w:val="0"/>
        <w:ind w:left="426"/>
        <w:jc w:val="both"/>
        <w:rPr>
          <w:rFonts w:ascii="Abadi" w:hAnsi="Abadi" w:cs="ArialMT"/>
          <w:b/>
          <w:bCs/>
          <w:sz w:val="21"/>
          <w:szCs w:val="21"/>
        </w:rPr>
      </w:pPr>
      <w:r w:rsidRPr="00F40E63">
        <w:rPr>
          <w:rFonts w:ascii="Abadi" w:hAnsi="Abadi" w:cs="ArialMT"/>
          <w:b/>
          <w:bCs/>
          <w:sz w:val="21"/>
          <w:szCs w:val="21"/>
        </w:rPr>
        <w:t xml:space="preserve">DISCUSIÓN Y, EN SU CASO, APROBACIÓN DEL DICTAMEN SIGNADO POR LA COMISIÓN DE GOBERNACIÓN Y PUNTOS CONSTITUCIONALES RELATIVO A LA PROPUESTA DE PUNTO DE ACUERDO SUSCRITA POR LA DIPUTADA MARÍA MAGDALENA ROSALES CRUZ, INTEGRANTE DEL GRUPO PARLAMENTARIO DEL PARTIDO MORENA,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 4°, 41, 52, 53, 56, 94 Y 115 EN MATERIA DE </w:t>
      </w:r>
      <w:r w:rsidRPr="00F40E63">
        <w:rPr>
          <w:rFonts w:ascii="Abadi" w:hAnsi="Abadi" w:cs="Arial-ItalicMT"/>
          <w:b/>
          <w:bCs/>
          <w:i/>
          <w:iCs/>
          <w:sz w:val="21"/>
          <w:szCs w:val="21"/>
        </w:rPr>
        <w:t>PARIDAD DE GÉNERO</w:t>
      </w:r>
      <w:r w:rsidRPr="00F40E63">
        <w:rPr>
          <w:rFonts w:ascii="Abadi" w:hAnsi="Abadi" w:cs="ArialMT"/>
          <w:b/>
          <w:bCs/>
          <w:sz w:val="21"/>
          <w:szCs w:val="21"/>
        </w:rPr>
        <w:t>, ANTE LA SEXAGÉSIMA CUARTA LEGISLATURA.</w:t>
      </w:r>
    </w:p>
    <w:p w14:paraId="4CF2AE33" w14:textId="00B7DE54" w:rsidR="00021259" w:rsidRPr="00F40E63" w:rsidRDefault="00021259" w:rsidP="00021259">
      <w:pPr>
        <w:autoSpaceDE w:val="0"/>
        <w:autoSpaceDN w:val="0"/>
        <w:adjustRightInd w:val="0"/>
        <w:jc w:val="both"/>
        <w:rPr>
          <w:rFonts w:ascii="Abadi" w:hAnsi="Abadi" w:cs="ArialMT"/>
          <w:b/>
          <w:bCs/>
          <w:sz w:val="21"/>
          <w:szCs w:val="21"/>
        </w:rPr>
      </w:pPr>
    </w:p>
    <w:p w14:paraId="7A39D2A9" w14:textId="01A86530" w:rsidR="00CE2FE1" w:rsidRPr="00F40E63" w:rsidRDefault="00CE2FE1" w:rsidP="00CE2FE1">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C. DIPUTADA IRMA</w:t>
      </w:r>
      <w:r w:rsidR="00D6790C">
        <w:rPr>
          <w:rFonts w:ascii="Abadi" w:hAnsi="Abadi" w:cs="ArialMT"/>
          <w:b/>
          <w:bCs/>
          <w:sz w:val="21"/>
          <w:szCs w:val="21"/>
          <w:lang w:val="es-MX"/>
        </w:rPr>
        <w:t xml:space="preserve"> </w:t>
      </w:r>
      <w:r w:rsidRPr="00F40E63">
        <w:rPr>
          <w:rFonts w:ascii="Abadi" w:hAnsi="Abadi" w:cs="ArialMT"/>
          <w:b/>
          <w:bCs/>
          <w:sz w:val="21"/>
          <w:szCs w:val="21"/>
          <w:lang w:val="es-MX"/>
        </w:rPr>
        <w:t>LETICIA GONZÁLEZ SÁNCHEZ</w:t>
      </w:r>
    </w:p>
    <w:p w14:paraId="17539AFA" w14:textId="77777777" w:rsidR="00CE2FE1" w:rsidRPr="00F40E63" w:rsidRDefault="00CE2FE1" w:rsidP="00CE2FE1">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PRESIDENTA DEL CONGRESO DEL ESTADO</w:t>
      </w:r>
    </w:p>
    <w:p w14:paraId="7D6D2CC7" w14:textId="4974BC87" w:rsidR="00CE2FE1" w:rsidRPr="00F40E63" w:rsidRDefault="00CE2FE1" w:rsidP="00CE2FE1">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 xml:space="preserve">P R E S EN T E </w:t>
      </w:r>
    </w:p>
    <w:p w14:paraId="1E715319" w14:textId="77777777" w:rsidR="00C47459" w:rsidRPr="00F40E63" w:rsidRDefault="00C47459" w:rsidP="00CE2FE1">
      <w:pPr>
        <w:autoSpaceDE w:val="0"/>
        <w:autoSpaceDN w:val="0"/>
        <w:adjustRightInd w:val="0"/>
        <w:jc w:val="both"/>
        <w:rPr>
          <w:rFonts w:ascii="Abadi" w:hAnsi="Abadi" w:cs="ArialMT"/>
          <w:b/>
          <w:bCs/>
          <w:sz w:val="21"/>
          <w:szCs w:val="21"/>
          <w:lang w:val="es-MX"/>
        </w:rPr>
      </w:pPr>
    </w:p>
    <w:p w14:paraId="605BC4D4" w14:textId="77777777" w:rsidR="00CE2FE1" w:rsidRPr="00F40E63" w:rsidRDefault="00CE2FE1" w:rsidP="00CE2FE1">
      <w:pPr>
        <w:autoSpaceDE w:val="0"/>
        <w:autoSpaceDN w:val="0"/>
        <w:adjustRightInd w:val="0"/>
        <w:jc w:val="both"/>
        <w:rPr>
          <w:rFonts w:ascii="Abadi" w:hAnsi="Abadi" w:cs="ArialMT"/>
          <w:sz w:val="21"/>
          <w:szCs w:val="21"/>
          <w:lang w:val="es-MX"/>
        </w:rPr>
      </w:pPr>
    </w:p>
    <w:p w14:paraId="3B9AE0A4"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Las  diputadas  y  los  diputados  que  integramos  la  Comisión  de  Gobernación  y Puntos Constitucionales de la Sexagésima Quinta Legislatura,  recibimos como pendiente legislativo  para  estudio  y  dictamen,  la  propuesta  de  punto  de  acuerdo  suscrita  por  la diputada María Magdalena  Rosales Cruz, integrante del Grupo  Parlamentario del Partido Morena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guardo  el  cumplimiento  de  lo  mandatado  por  la  reciente  reforma  a  la Constitución  Política de los  Estados Unidos  Mexicanos en los artículos  2º,  4°,  41, 52, 53, 56, 94 y 115 </w:t>
      </w:r>
      <w:r w:rsidRPr="00F40E63">
        <w:rPr>
          <w:rFonts w:ascii="Abadi" w:hAnsi="Abadi" w:cs="ArialMT"/>
          <w:i/>
          <w:iCs/>
          <w:sz w:val="21"/>
          <w:szCs w:val="21"/>
          <w:lang w:val="es-MX"/>
        </w:rPr>
        <w:t xml:space="preserve">en materia de paridad de género, </w:t>
      </w:r>
      <w:r w:rsidRPr="00F40E63">
        <w:rPr>
          <w:rFonts w:ascii="Abadi" w:hAnsi="Abadi" w:cs="ArialMT"/>
          <w:sz w:val="21"/>
          <w:szCs w:val="21"/>
          <w:lang w:val="es-MX"/>
        </w:rPr>
        <w:t>ante la Sexagésima Cuarta Legislatura.</w:t>
      </w:r>
    </w:p>
    <w:p w14:paraId="3FA8D56F" w14:textId="77777777" w:rsidR="00CE2FE1" w:rsidRPr="00F40E63" w:rsidRDefault="00CE2FE1" w:rsidP="00CE2FE1">
      <w:pPr>
        <w:autoSpaceDE w:val="0"/>
        <w:autoSpaceDN w:val="0"/>
        <w:adjustRightInd w:val="0"/>
        <w:jc w:val="both"/>
        <w:rPr>
          <w:rFonts w:ascii="Abadi" w:hAnsi="Abadi" w:cs="ArialMT"/>
          <w:sz w:val="21"/>
          <w:szCs w:val="21"/>
          <w:lang w:val="es-MX"/>
        </w:rPr>
      </w:pPr>
    </w:p>
    <w:p w14:paraId="4B10E5B4"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Con fundamento en los artículos 111, fracción XIX y 1 71 de lo Ley Orgánica del Poder Legislativo, formulamos a la Asamblea el siguiente:</w:t>
      </w:r>
    </w:p>
    <w:p w14:paraId="6249172F" w14:textId="77777777" w:rsidR="00CE2FE1" w:rsidRPr="00F40E63" w:rsidRDefault="00CE2FE1" w:rsidP="00CE2FE1">
      <w:pPr>
        <w:autoSpaceDE w:val="0"/>
        <w:autoSpaceDN w:val="0"/>
        <w:adjustRightInd w:val="0"/>
        <w:jc w:val="both"/>
        <w:rPr>
          <w:rFonts w:ascii="Abadi" w:hAnsi="Abadi" w:cs="ArialMT"/>
          <w:sz w:val="21"/>
          <w:szCs w:val="21"/>
          <w:lang w:val="es-MX"/>
        </w:rPr>
      </w:pPr>
    </w:p>
    <w:p w14:paraId="290B5C63" w14:textId="0AE3165A" w:rsidR="00CE2FE1" w:rsidRPr="00F40E63" w:rsidRDefault="00CE2FE1" w:rsidP="00005A03">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DICTAMEN</w:t>
      </w:r>
    </w:p>
    <w:p w14:paraId="33E41489" w14:textId="77777777" w:rsidR="00CE2FE1" w:rsidRPr="00F40E63" w:rsidRDefault="00CE2FE1" w:rsidP="00CE2FE1">
      <w:pPr>
        <w:autoSpaceDE w:val="0"/>
        <w:autoSpaceDN w:val="0"/>
        <w:adjustRightInd w:val="0"/>
        <w:jc w:val="both"/>
        <w:rPr>
          <w:rFonts w:ascii="Abadi" w:hAnsi="Abadi" w:cs="ArialMT"/>
          <w:sz w:val="21"/>
          <w:szCs w:val="21"/>
          <w:lang w:val="es-MX"/>
        </w:rPr>
      </w:pPr>
    </w:p>
    <w:p w14:paraId="4FF4AC0D" w14:textId="77777777" w:rsidR="00CE2FE1" w:rsidRPr="00F40E63" w:rsidRDefault="00CE2FE1" w:rsidP="00CE2FE1">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l.       Del Proceso Legislativo</w:t>
      </w:r>
    </w:p>
    <w:p w14:paraId="78795838" w14:textId="77777777" w:rsidR="00CE2FE1" w:rsidRPr="00F40E63" w:rsidRDefault="00CE2FE1" w:rsidP="00CE2FE1">
      <w:pPr>
        <w:autoSpaceDE w:val="0"/>
        <w:autoSpaceDN w:val="0"/>
        <w:adjustRightInd w:val="0"/>
        <w:jc w:val="both"/>
        <w:rPr>
          <w:rFonts w:ascii="Abadi" w:hAnsi="Abadi" w:cs="ArialMT"/>
          <w:b/>
          <w:bCs/>
          <w:sz w:val="21"/>
          <w:szCs w:val="21"/>
          <w:lang w:val="es-MX"/>
        </w:rPr>
      </w:pPr>
    </w:p>
    <w:p w14:paraId="623A52F4"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1.1. En sesión del 24 de octubre de 2019 ingresó la propuesta de punto de acuerdo suscrita por la diputada María Magdalena Rosales Cruz, integrante del Grupo Parlamentario del Partido Morena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  4°,  41,  52,  53,  56,  94  y   115  </w:t>
      </w:r>
      <w:r w:rsidRPr="00F40E63">
        <w:rPr>
          <w:rFonts w:ascii="Abadi" w:hAnsi="Abadi" w:cs="ArialMT"/>
          <w:i/>
          <w:iCs/>
          <w:sz w:val="21"/>
          <w:szCs w:val="21"/>
          <w:lang w:val="es-MX"/>
        </w:rPr>
        <w:t xml:space="preserve">en  materia  de  paridad  de  género,  </w:t>
      </w:r>
      <w:r w:rsidRPr="00F40E63">
        <w:rPr>
          <w:rFonts w:ascii="Abadi" w:hAnsi="Abadi" w:cs="ArialMT"/>
          <w:sz w:val="21"/>
          <w:szCs w:val="21"/>
          <w:lang w:val="es-MX"/>
        </w:rPr>
        <w:t>ante  la Sexagésima  Cuarta   Legislatura.   Turnándose en su momento por la presidencia del Congreso a la Comisión de Gobernación y Puntos Constitucionales, con fundamento en lo dispuesto por el artículo 111, fracción XIX de la Ley Orgánica del Poder legislativo del Estado de Guanajuato.</w:t>
      </w:r>
    </w:p>
    <w:p w14:paraId="4A979559" w14:textId="77777777" w:rsidR="000B5E7F" w:rsidRDefault="000B5E7F" w:rsidP="00CE2FE1">
      <w:pPr>
        <w:autoSpaceDE w:val="0"/>
        <w:autoSpaceDN w:val="0"/>
        <w:adjustRightInd w:val="0"/>
        <w:jc w:val="both"/>
        <w:rPr>
          <w:rFonts w:ascii="Abadi" w:hAnsi="Abadi" w:cs="ArialMT"/>
          <w:sz w:val="21"/>
          <w:szCs w:val="21"/>
          <w:lang w:val="es-MX"/>
        </w:rPr>
      </w:pPr>
    </w:p>
    <w:p w14:paraId="728D4928" w14:textId="75D013E1"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1.2. En reunión de la Comisión de Gobernación y Puntos Constitucionales, de fecha 6 de noviembre de 2019, se radicó la propuesta de punto de acuerdo.</w:t>
      </w:r>
    </w:p>
    <w:p w14:paraId="689B1E4F" w14:textId="77777777" w:rsidR="000B5E7F" w:rsidRDefault="000B5E7F" w:rsidP="00CE2FE1">
      <w:pPr>
        <w:autoSpaceDE w:val="0"/>
        <w:autoSpaceDN w:val="0"/>
        <w:adjustRightInd w:val="0"/>
        <w:jc w:val="both"/>
        <w:rPr>
          <w:rFonts w:ascii="Abadi" w:hAnsi="Abadi" w:cs="ArialMT"/>
          <w:sz w:val="21"/>
          <w:szCs w:val="21"/>
          <w:lang w:val="es-MX"/>
        </w:rPr>
      </w:pPr>
    </w:p>
    <w:p w14:paraId="313C80AA" w14:textId="4583B3F2"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1.3. En fecha 14 de septiembre de 2021, las diputadas y los diputados integrantes de la Comisión de Gobernación y Puntos Constitucionales de la Sexagésima Cuarta Legislatura, determinaron dejar esta propuesta como pendiente legislativo para que fuera la siguiente Legislatura quien se pronunciara al respecto.</w:t>
      </w:r>
    </w:p>
    <w:p w14:paraId="5987B04F" w14:textId="77777777" w:rsidR="000B5E7F" w:rsidRDefault="000B5E7F" w:rsidP="00CE2FE1">
      <w:pPr>
        <w:autoSpaceDE w:val="0"/>
        <w:autoSpaceDN w:val="0"/>
        <w:adjustRightInd w:val="0"/>
        <w:jc w:val="both"/>
        <w:rPr>
          <w:rFonts w:ascii="Abadi" w:hAnsi="Abadi" w:cs="ArialMT"/>
          <w:sz w:val="21"/>
          <w:szCs w:val="21"/>
          <w:lang w:val="es-MX"/>
        </w:rPr>
      </w:pPr>
    </w:p>
    <w:p w14:paraId="7920BA6B" w14:textId="4A773060"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1.4. En fecha 11 de octubre de 2021, se instaló la Comisión de Gobernación y Puntos Constitucionales de lo Sexagésimo Quinto Legislatura, donde nos impusimos del contenido de los pendientes legislativos, y entre ellos se encuentra la propuesta de punto</w:t>
      </w:r>
      <w:r w:rsidRPr="00F40E63">
        <w:rPr>
          <w:rFonts w:ascii="Abadi" w:hAnsi="Abadi" w:cs="ArialMT"/>
          <w:b/>
          <w:bCs/>
          <w:sz w:val="21"/>
          <w:szCs w:val="21"/>
          <w:lang w:val="es-MX"/>
        </w:rPr>
        <w:t xml:space="preserve"> </w:t>
      </w:r>
      <w:r w:rsidRPr="00F40E63">
        <w:rPr>
          <w:rFonts w:ascii="Abadi" w:hAnsi="Abadi" w:cs="ArialMT"/>
          <w:sz w:val="21"/>
          <w:szCs w:val="21"/>
          <w:lang w:val="es-MX"/>
        </w:rPr>
        <w:t>de acuerdo que se dictamina.</w:t>
      </w:r>
    </w:p>
    <w:p w14:paraId="7146F6CE" w14:textId="77777777" w:rsidR="000B5E7F" w:rsidRDefault="000B5E7F" w:rsidP="00CE2FE1">
      <w:pPr>
        <w:autoSpaceDE w:val="0"/>
        <w:autoSpaceDN w:val="0"/>
        <w:adjustRightInd w:val="0"/>
        <w:jc w:val="both"/>
        <w:rPr>
          <w:rFonts w:ascii="Abadi" w:hAnsi="Abadi" w:cs="ArialMT"/>
          <w:sz w:val="21"/>
          <w:szCs w:val="21"/>
          <w:lang w:val="es-MX"/>
        </w:rPr>
      </w:pPr>
    </w:p>
    <w:p w14:paraId="779C91B4" w14:textId="50C35955"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1.5. En fecha 15 de marzo de 2022, la diputada presidenta propuso el análisis de la propuesta y llevar a cabo una mesa de trabajo con esos alcances.</w:t>
      </w:r>
    </w:p>
    <w:p w14:paraId="2890A980" w14:textId="77777777" w:rsidR="000B5E7F" w:rsidRDefault="000B5E7F" w:rsidP="00CE2FE1">
      <w:pPr>
        <w:autoSpaceDE w:val="0"/>
        <w:autoSpaceDN w:val="0"/>
        <w:adjustRightInd w:val="0"/>
        <w:jc w:val="both"/>
        <w:rPr>
          <w:rFonts w:ascii="Abadi" w:hAnsi="Abadi" w:cs="ArialMT"/>
          <w:sz w:val="21"/>
          <w:szCs w:val="21"/>
          <w:lang w:val="es-MX"/>
        </w:rPr>
      </w:pPr>
    </w:p>
    <w:p w14:paraId="4C8EA9E4" w14:textId="5410EE3E"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1.6. En cumplimiento a lo anterior, las diputadas Susana Bermúdez Cano, Laura Cristina Márquez Alcalá y Yulma Rocha Aguilar, integrantes de la Comisión de Gobernación y Puntos Constitucionales de la Sexagésima Quinta Legislatura; asesores de los grupos parlamentarios de los partidos Acción Nacional, MORENA y Revolucionario Institucional; así como la secretaría técnica de la comisión legislativa, se involucraron en el análisis y estudio en la mesa de trabajo donde se desahogaron las observaciones y comentarios sobre la propuesta, la cual se llevó a cabo el 20 de abril de 2022.</w:t>
      </w:r>
    </w:p>
    <w:p w14:paraId="7ED532F5" w14:textId="77777777" w:rsidR="000B5E7F" w:rsidRDefault="000B5E7F" w:rsidP="00CE2FE1">
      <w:pPr>
        <w:autoSpaceDE w:val="0"/>
        <w:autoSpaceDN w:val="0"/>
        <w:adjustRightInd w:val="0"/>
        <w:jc w:val="both"/>
        <w:rPr>
          <w:rFonts w:ascii="Abadi" w:hAnsi="Abadi" w:cs="ArialMT"/>
          <w:sz w:val="21"/>
          <w:szCs w:val="21"/>
          <w:lang w:val="es-MX"/>
        </w:rPr>
      </w:pPr>
    </w:p>
    <w:p w14:paraId="18186147" w14:textId="344965DA"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1.7. La presidencia de la Comisión de Gobernación y Puntos Constitucionales instruyó a la Secretaría Técnica para que elaborara el proyecto de dictamen de la propuesta en sentido negativo, con fundamento en lo dispuesto en los artículos 94, fracción VII y 272, fracción VIII inciso e de la Ley Orgánica del Poder Legislativo del Estado de Guanajuato, mismo que fue materia de revisión por las diputadas y los diputados integrantes de esta comisión dictaminadora.</w:t>
      </w:r>
    </w:p>
    <w:p w14:paraId="7A58A546" w14:textId="77777777" w:rsidR="00CE2FE1" w:rsidRPr="00F40E63" w:rsidRDefault="00CE2FE1" w:rsidP="00CE2FE1">
      <w:pPr>
        <w:autoSpaceDE w:val="0"/>
        <w:autoSpaceDN w:val="0"/>
        <w:adjustRightInd w:val="0"/>
        <w:jc w:val="both"/>
        <w:rPr>
          <w:rFonts w:ascii="Abadi" w:hAnsi="Abadi" w:cs="ArialMT"/>
          <w:sz w:val="21"/>
          <w:szCs w:val="21"/>
          <w:lang w:val="es-MX"/>
        </w:rPr>
      </w:pPr>
    </w:p>
    <w:p w14:paraId="35C96F62" w14:textId="77777777" w:rsidR="00CE2FE1" w:rsidRPr="00F40E63" w:rsidRDefault="00CE2FE1" w:rsidP="00CE2FE1">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II. Valoración de la propuesta y consideraciones de la Comisión de Gobernación y Puntos Constitucionales</w:t>
      </w:r>
    </w:p>
    <w:p w14:paraId="0BC2CD4F" w14:textId="77777777" w:rsidR="00CE2FE1" w:rsidRPr="00F40E63" w:rsidRDefault="00CE2FE1" w:rsidP="00CE2FE1">
      <w:pPr>
        <w:autoSpaceDE w:val="0"/>
        <w:autoSpaceDN w:val="0"/>
        <w:adjustRightInd w:val="0"/>
        <w:jc w:val="both"/>
        <w:rPr>
          <w:rFonts w:ascii="Abadi" w:hAnsi="Abadi" w:cs="ArialMT"/>
          <w:b/>
          <w:bCs/>
          <w:sz w:val="21"/>
          <w:szCs w:val="21"/>
          <w:lang w:val="es-MX"/>
        </w:rPr>
      </w:pPr>
    </w:p>
    <w:p w14:paraId="4B4B06D9" w14:textId="77777777" w:rsidR="00CE2FE1" w:rsidRPr="00F40E63" w:rsidRDefault="00CE2FE1" w:rsidP="00CE2FE1">
      <w:pPr>
        <w:autoSpaceDE w:val="0"/>
        <w:autoSpaceDN w:val="0"/>
        <w:adjustRightInd w:val="0"/>
        <w:jc w:val="both"/>
        <w:rPr>
          <w:rFonts w:ascii="Abadi" w:hAnsi="Abadi" w:cs="ArialMT"/>
          <w:i/>
          <w:iCs/>
          <w:sz w:val="21"/>
          <w:szCs w:val="21"/>
          <w:lang w:val="es-MX"/>
        </w:rPr>
      </w:pPr>
      <w:r w:rsidRPr="00F40E63">
        <w:rPr>
          <w:rFonts w:ascii="Abadi" w:hAnsi="Abadi" w:cs="ArialMT"/>
          <w:sz w:val="21"/>
          <w:szCs w:val="21"/>
          <w:lang w:val="es-MX"/>
        </w:rPr>
        <w:t>Quienes integramos la comisión dictaminadora, referenciamos el punto sobre el cual versa la propuesta que tienen como objeto una revisión y reporte puntual de los órganos que lo integran; así como a los organismos autónomos y a los ayuntamientos para que de igual forma se realice una revisión y reporte puntual de sus órganos</w:t>
      </w:r>
      <w:r w:rsidRPr="00F40E63">
        <w:rPr>
          <w:rFonts w:ascii="Abadi" w:hAnsi="Abadi" w:cs="ArialMT"/>
          <w:b/>
          <w:bCs/>
          <w:sz w:val="21"/>
          <w:szCs w:val="21"/>
          <w:lang w:val="es-MX"/>
        </w:rPr>
        <w:t xml:space="preserve"> </w:t>
      </w:r>
      <w:r w:rsidRPr="00F40E63">
        <w:rPr>
          <w:rFonts w:ascii="Abadi" w:hAnsi="Abadi" w:cs="ArialMT"/>
          <w:sz w:val="21"/>
          <w:szCs w:val="21"/>
          <w:lang w:val="es-MX"/>
        </w:rPr>
        <w:t>integradores, a fin de conocer el estado que guarda el cumplimiento de lo mandatado por la reciente reforma a la Constitución Política de los Estados Unidos Mexicanos en los artículos 2</w:t>
      </w:r>
      <w:r w:rsidRPr="00F40E63">
        <w:rPr>
          <w:rFonts w:ascii="Abadi" w:hAnsi="Abadi" w:cs="ArialMT"/>
          <w:sz w:val="21"/>
          <w:szCs w:val="21"/>
          <w:vertAlign w:val="superscript"/>
          <w:lang w:val="es-MX"/>
        </w:rPr>
        <w:t>º</w:t>
      </w:r>
      <w:r w:rsidRPr="00F40E63">
        <w:rPr>
          <w:rFonts w:ascii="Abadi" w:hAnsi="Abadi" w:cs="ArialMT"/>
          <w:sz w:val="21"/>
          <w:szCs w:val="21"/>
          <w:lang w:val="es-MX"/>
        </w:rPr>
        <w:t xml:space="preserve">, 4°, 41, 52, 53, 56. 94 y 115 </w:t>
      </w:r>
      <w:r w:rsidRPr="00F40E63">
        <w:rPr>
          <w:rFonts w:ascii="Abadi" w:hAnsi="Abadi" w:cs="ArialMT"/>
          <w:i/>
          <w:iCs/>
          <w:sz w:val="21"/>
          <w:szCs w:val="21"/>
          <w:lang w:val="es-MX"/>
        </w:rPr>
        <w:t>en materia de paridad de género.</w:t>
      </w:r>
    </w:p>
    <w:p w14:paraId="185280AF" w14:textId="77777777" w:rsidR="00CE2FE1" w:rsidRPr="00F40E63" w:rsidRDefault="00CE2FE1" w:rsidP="00CE2FE1">
      <w:pPr>
        <w:autoSpaceDE w:val="0"/>
        <w:autoSpaceDN w:val="0"/>
        <w:adjustRightInd w:val="0"/>
        <w:jc w:val="both"/>
        <w:rPr>
          <w:rFonts w:ascii="Abadi" w:hAnsi="Abadi" w:cs="ArialMT"/>
          <w:sz w:val="21"/>
          <w:szCs w:val="21"/>
          <w:lang w:val="es-MX"/>
        </w:rPr>
      </w:pPr>
    </w:p>
    <w:p w14:paraId="301F88DA"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La proponente expuso en sus consideraciones lo siguiente:</w:t>
      </w:r>
    </w:p>
    <w:p w14:paraId="0C5C9C25" w14:textId="77777777" w:rsidR="00005A03" w:rsidRPr="00F40E63" w:rsidRDefault="00005A03" w:rsidP="00CE2FE1">
      <w:pPr>
        <w:autoSpaceDE w:val="0"/>
        <w:autoSpaceDN w:val="0"/>
        <w:adjustRightInd w:val="0"/>
        <w:jc w:val="both"/>
        <w:rPr>
          <w:rFonts w:ascii="Abadi" w:hAnsi="Abadi" w:cs="ArialMT"/>
          <w:i/>
          <w:iCs/>
          <w:sz w:val="21"/>
          <w:szCs w:val="21"/>
          <w:lang w:val="es-MX"/>
        </w:rPr>
      </w:pPr>
    </w:p>
    <w:p w14:paraId="44D1CD6A" w14:textId="40C97A10" w:rsidR="00CE2FE1" w:rsidRPr="00F40E63" w:rsidRDefault="00CE2FE1" w:rsidP="00005A03">
      <w:pPr>
        <w:autoSpaceDE w:val="0"/>
        <w:autoSpaceDN w:val="0"/>
        <w:adjustRightInd w:val="0"/>
        <w:ind w:left="284" w:right="354"/>
        <w:jc w:val="both"/>
        <w:rPr>
          <w:rFonts w:ascii="Abadi" w:hAnsi="Abadi" w:cs="ArialMT"/>
          <w:i/>
          <w:iCs/>
          <w:sz w:val="21"/>
          <w:szCs w:val="21"/>
          <w:lang w:val="es-MX"/>
        </w:rPr>
      </w:pPr>
      <w:proofErr w:type="gramStart"/>
      <w:r w:rsidRPr="00F40E63">
        <w:rPr>
          <w:rFonts w:ascii="Abadi" w:hAnsi="Abadi" w:cs="ArialMT"/>
          <w:i/>
          <w:iCs/>
          <w:sz w:val="21"/>
          <w:szCs w:val="21"/>
          <w:lang w:val="es-MX"/>
        </w:rPr>
        <w:t>«( ...</w:t>
      </w:r>
      <w:proofErr w:type="gramEnd"/>
      <w:r w:rsidRPr="00F40E63">
        <w:rPr>
          <w:rFonts w:ascii="Abadi" w:hAnsi="Abadi" w:cs="ArialMT"/>
          <w:i/>
          <w:iCs/>
          <w:sz w:val="21"/>
          <w:szCs w:val="21"/>
          <w:lang w:val="es-MX"/>
        </w:rPr>
        <w:t>) En el marco del 66 aniversario del derecho de las mujeres al voto en México, uno de los logros más significativos en lo historio de los mujeres en nuestro país, resultado de los exigencias de un gran número de mujeres que lucharon incansablemente hasta conseguir ser reconocidas como ciudadanas constitucionalmente, que pudiéramos elegir a nuestros representantes y sobre todo poder ser electos. Fue el 17 de octubre del año 1953 cuando se estableció constitucionalmente lo igualdad en la participación, el derecho de /os mujeres o decidir sobre su vida y con eso, de la vida público del país. Este gran acontecimiento no fue uno concesión, fue producto de un largo camino por lograr que fueron reconocidos todos nuestros derechos políticos.</w:t>
      </w:r>
    </w:p>
    <w:p w14:paraId="3FC23A84" w14:textId="77777777" w:rsidR="00CE2FE1" w:rsidRPr="00F40E63" w:rsidRDefault="00CE2FE1" w:rsidP="00005A03">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Históricamente se ha tratado de invisibilizar a las mujeres hasta de sus logros, sin embargo, la historia de México no podría ser entendido sin lo participación de mujeres valientes quienes a pesar de que se les había relegado al espacio privado de sus hogares, en el que no deberían tener injerencia más que en los labores domésticos y la crianza de los hijos, decidieron tomar porte en duros bota/los buscando un mejor porvenir poro todos y todos los mexicanos. La historio de este reconocimiento inicio incluso antes de lo promulgación de lo mismo Constitución de 1917, ejemplo de ello fue en 1906 cuando lo organización denominada "Las admiradoras de Juárez". creado por Moría </w:t>
      </w:r>
      <w:proofErr w:type="spellStart"/>
      <w:r w:rsidRPr="00F40E63">
        <w:rPr>
          <w:rFonts w:ascii="Abadi" w:hAnsi="Abadi" w:cs="ArialMT"/>
          <w:i/>
          <w:iCs/>
          <w:sz w:val="21"/>
          <w:szCs w:val="21"/>
          <w:lang w:val="es-MX"/>
        </w:rPr>
        <w:t>Zandoval</w:t>
      </w:r>
      <w:proofErr w:type="spellEnd"/>
      <w:r w:rsidRPr="00F40E63">
        <w:rPr>
          <w:rFonts w:ascii="Abadi" w:hAnsi="Abadi" w:cs="ArialMT"/>
          <w:i/>
          <w:iCs/>
          <w:sz w:val="21"/>
          <w:szCs w:val="21"/>
          <w:lang w:val="es-MX"/>
        </w:rPr>
        <w:t xml:space="preserve"> de Zarco quien fue la primera mujer abogada de México, exigió el reconocimiento de su derecho a votar, pero fue hasta en el año de 1947 que el Presidente Miguel Alemán promulgó o través de uno reformo constitucional al artículo 1 15 el derecho de los mujeres a votar y ser votados en los procesos de elección municipales.</w:t>
      </w:r>
    </w:p>
    <w:p w14:paraId="194BC015" w14:textId="77777777" w:rsidR="00CE2FE1" w:rsidRPr="00F40E63" w:rsidRDefault="00CE2FE1" w:rsidP="00005A03">
      <w:pPr>
        <w:autoSpaceDE w:val="0"/>
        <w:autoSpaceDN w:val="0"/>
        <w:adjustRightInd w:val="0"/>
        <w:ind w:left="284" w:right="354"/>
        <w:jc w:val="both"/>
        <w:rPr>
          <w:rFonts w:ascii="Abadi" w:hAnsi="Abadi" w:cs="ArialMT"/>
          <w:i/>
          <w:iCs/>
          <w:sz w:val="21"/>
          <w:szCs w:val="21"/>
          <w:lang w:val="es-MX"/>
        </w:rPr>
      </w:pPr>
    </w:p>
    <w:p w14:paraId="0A14AF36" w14:textId="77777777" w:rsidR="00CE2FE1" w:rsidRPr="00F40E63" w:rsidRDefault="00CE2FE1" w:rsidP="00005A03">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A nivel federal, aunque Lázaro Cárdenos envió lo propuesto al Congreso de la Unión y se discute en el mismo, no se publica el decreto en el Diario Oficial de la Federación por lo que es hasta el mandato del Presidente Ruiz Cortines cuando formalmente se publica, en la fecho que hoy conmemoramos y es en las elecciones del 3 de julio de 1955 cuando votan por primera vez los mujeres. Después de conquistar el derecho político más importante, continuaron los esfuerzos por lograr lo igualdad sustantiva y es una lucha que estamos dando incluso en nuestros días ya que, aunque no había impedimentos legales para las mujeres de participar en contiendas electora/es, había muchos impedimentos facticos al interior de los partidos políticos y en lo visión mismo de lo sociedad que no les permitía llegar a ocupar cargos políticos.</w:t>
      </w:r>
    </w:p>
    <w:p w14:paraId="56926C54" w14:textId="77777777" w:rsidR="00CE2FE1" w:rsidRPr="00F40E63" w:rsidRDefault="00CE2FE1" w:rsidP="00005A03">
      <w:pPr>
        <w:autoSpaceDE w:val="0"/>
        <w:autoSpaceDN w:val="0"/>
        <w:adjustRightInd w:val="0"/>
        <w:ind w:left="284" w:right="354"/>
        <w:jc w:val="both"/>
        <w:rPr>
          <w:rFonts w:ascii="Abadi" w:hAnsi="Abadi" w:cs="ArialMT"/>
          <w:i/>
          <w:iCs/>
          <w:sz w:val="21"/>
          <w:szCs w:val="21"/>
          <w:lang w:val="es-MX"/>
        </w:rPr>
      </w:pPr>
    </w:p>
    <w:p w14:paraId="4A52B7D2" w14:textId="77777777" w:rsidR="00CE2FE1" w:rsidRPr="00F40E63" w:rsidRDefault="00CE2FE1" w:rsidP="00005A03">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Por lo anterior, ha habido un esfuerzo significativo por incluir en las leyes las acciones afirmativas que aseguren el derecho de las mujeres a</w:t>
      </w:r>
      <w:r w:rsidRPr="00F40E63">
        <w:rPr>
          <w:rFonts w:ascii="Abadi" w:hAnsi="Abadi" w:cs="ArialMT"/>
          <w:b/>
          <w:bCs/>
          <w:i/>
          <w:iCs/>
          <w:sz w:val="21"/>
          <w:szCs w:val="21"/>
          <w:lang w:val="es-MX"/>
        </w:rPr>
        <w:t xml:space="preserve"> </w:t>
      </w:r>
      <w:r w:rsidRPr="00F40E63">
        <w:rPr>
          <w:rFonts w:ascii="Abadi" w:hAnsi="Abadi" w:cs="ArialMT"/>
          <w:i/>
          <w:iCs/>
          <w:sz w:val="21"/>
          <w:szCs w:val="21"/>
          <w:lang w:val="es-MX"/>
        </w:rPr>
        <w:t>participar políticamente. En el año 2007 se logró lo aprobación de lo Ley Genero/ de Acceso de /os Mujeres o una Vida Libre de Violencia. que estableció por primero vez lo coordinación institucional poro prevenir, proteger y erradicar lo violencia contra los mujeres y niños, en el 2006 se expide lo Ley Genero/ para lo Igualdad entre Mujeres y Hombres, y hasta el año 2008 en la reforma constitucional, se obligó en el ámbito federo/ o que las cuotas de género fueron una realidad.</w:t>
      </w:r>
    </w:p>
    <w:p w14:paraId="6262BCF1" w14:textId="77777777" w:rsidR="00CE2FE1" w:rsidRPr="00F40E63" w:rsidRDefault="00CE2FE1" w:rsidP="00005A03">
      <w:pPr>
        <w:autoSpaceDE w:val="0"/>
        <w:autoSpaceDN w:val="0"/>
        <w:adjustRightInd w:val="0"/>
        <w:ind w:left="284" w:right="354"/>
        <w:jc w:val="both"/>
        <w:rPr>
          <w:rFonts w:ascii="Abadi" w:hAnsi="Abadi" w:cs="ArialMT"/>
          <w:i/>
          <w:iCs/>
          <w:sz w:val="21"/>
          <w:szCs w:val="21"/>
          <w:lang w:val="es-MX"/>
        </w:rPr>
      </w:pPr>
    </w:p>
    <w:p w14:paraId="00F75899" w14:textId="77777777" w:rsidR="00CE2FE1" w:rsidRPr="00F40E63" w:rsidRDefault="00CE2FE1" w:rsidP="00005A03">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En el 2013 lo reforma constitucional obligó a los partidos políticos o garantizar lo paridad de género en las candidaturas del Poder Legislativo Federo/ y Loco/, sin embargo y pese estos esfuerzos, en el ámbito electoral, había falta de claridad normativo por lo que se requería la intervención de la Suprema Corte de Justicio de la Noción y de Tribuno/es de Justicio Electoral poro proteger derechos político-electorales de las mujeres. Fino/mente es hasta 2019 que surge en el Senado de lo República lo iniciativo en materia de paridad de género que de manera general busca garantizar la integración paritaria de todos los órganos en donde se deciden los asuntos públicos más importantes para el país, los</w:t>
      </w:r>
      <w:r w:rsidRPr="00F40E63">
        <w:rPr>
          <w:rFonts w:ascii="Abadi" w:hAnsi="Abadi" w:cs="ArialMT"/>
          <w:b/>
          <w:bCs/>
          <w:i/>
          <w:iCs/>
          <w:sz w:val="21"/>
          <w:szCs w:val="21"/>
          <w:lang w:val="es-MX"/>
        </w:rPr>
        <w:t xml:space="preserve"> </w:t>
      </w:r>
      <w:r w:rsidRPr="00F40E63">
        <w:rPr>
          <w:rFonts w:ascii="Abadi" w:hAnsi="Abadi" w:cs="ArialMT"/>
          <w:i/>
          <w:iCs/>
          <w:sz w:val="21"/>
          <w:szCs w:val="21"/>
          <w:lang w:val="es-MX"/>
        </w:rPr>
        <w:t>poderes ejecutivo, legislativo y judicial tanto a</w:t>
      </w:r>
      <w:r w:rsidRPr="00F40E63">
        <w:rPr>
          <w:rFonts w:ascii="Abadi" w:hAnsi="Abadi" w:cs="ArialMT"/>
          <w:b/>
          <w:bCs/>
          <w:i/>
          <w:iCs/>
          <w:sz w:val="21"/>
          <w:szCs w:val="21"/>
          <w:lang w:val="es-MX"/>
        </w:rPr>
        <w:t xml:space="preserve"> </w:t>
      </w:r>
      <w:r w:rsidRPr="00F40E63">
        <w:rPr>
          <w:rFonts w:ascii="Abadi" w:hAnsi="Abadi" w:cs="ArialMT"/>
          <w:i/>
          <w:iCs/>
          <w:sz w:val="21"/>
          <w:szCs w:val="21"/>
          <w:lang w:val="es-MX"/>
        </w:rPr>
        <w:t>nivel federal como en las entidades federativas y los municipios, iniciativa mejor conocida como: "paridad en todo".</w:t>
      </w:r>
    </w:p>
    <w:p w14:paraId="2C0EA067" w14:textId="77777777" w:rsidR="00CE2FE1" w:rsidRPr="00F40E63" w:rsidRDefault="00CE2FE1" w:rsidP="00005A03">
      <w:pPr>
        <w:autoSpaceDE w:val="0"/>
        <w:autoSpaceDN w:val="0"/>
        <w:adjustRightInd w:val="0"/>
        <w:ind w:left="284" w:right="354"/>
        <w:jc w:val="both"/>
        <w:rPr>
          <w:rFonts w:ascii="Abadi" w:hAnsi="Abadi" w:cs="ArialMT"/>
          <w:i/>
          <w:iCs/>
          <w:sz w:val="21"/>
          <w:szCs w:val="21"/>
          <w:lang w:val="es-MX"/>
        </w:rPr>
      </w:pPr>
    </w:p>
    <w:p w14:paraId="482C5973" w14:textId="77777777" w:rsidR="00CE2FE1" w:rsidRPr="00F40E63" w:rsidRDefault="00CE2FE1" w:rsidP="00005A03">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Dicha iniciativa que votamos en este Congreso el pasado 4 de junio, consolida el proceso de reformas legislativas en materia de derechos políticos de las mujeres, que eliminará las brechas de exclusión de participación de estos en cargos de elección popular y en los puestos de dirección de los distintos órganos de poder y de toma de decisiones. En todas las dependencias y organismos gubernamentales la composición deberá ser paritaria, se recomienda que la presidencia sea asumida alternadamente por una mujer y por un hombre, de igual manera cuando el número de integrantes de un órgano colegiado sea impar, se privilegiará una mayor presencia de mujeres, con el propósito de revertir la desigualdad histórica de que han sido objeto.</w:t>
      </w:r>
    </w:p>
    <w:p w14:paraId="6870616F" w14:textId="77777777" w:rsidR="00CE2FE1" w:rsidRPr="00F40E63" w:rsidRDefault="00CE2FE1" w:rsidP="00005A03">
      <w:pPr>
        <w:autoSpaceDE w:val="0"/>
        <w:autoSpaceDN w:val="0"/>
        <w:adjustRightInd w:val="0"/>
        <w:ind w:left="284" w:right="354"/>
        <w:jc w:val="both"/>
        <w:rPr>
          <w:rFonts w:ascii="Abadi" w:hAnsi="Abadi" w:cs="ArialMT"/>
          <w:i/>
          <w:iCs/>
          <w:sz w:val="21"/>
          <w:szCs w:val="21"/>
          <w:lang w:val="es-MX"/>
        </w:rPr>
      </w:pPr>
    </w:p>
    <w:p w14:paraId="3A56E0F3" w14:textId="74BAE3FE" w:rsidR="00CE2FE1" w:rsidRPr="00F40E63" w:rsidRDefault="00CE2FE1" w:rsidP="00005A03">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El camino para el cambio real ya está trazado, por lo que resulta prioritario, como estado, cuidar que la esencia de esta reforma se preserve y vigilar su puntual cumplimiento, resultando</w:t>
      </w:r>
      <w:r w:rsidR="00005A03" w:rsidRPr="00F40E63">
        <w:rPr>
          <w:rFonts w:ascii="Abadi" w:hAnsi="Abadi" w:cs="ArialMT"/>
          <w:i/>
          <w:iCs/>
          <w:sz w:val="21"/>
          <w:szCs w:val="21"/>
          <w:lang w:val="es-MX"/>
        </w:rPr>
        <w:t xml:space="preserve"> </w:t>
      </w:r>
      <w:r w:rsidRPr="00F40E63">
        <w:rPr>
          <w:rFonts w:ascii="Abadi" w:hAnsi="Abadi" w:cs="ArialMT"/>
          <w:i/>
          <w:iCs/>
          <w:sz w:val="21"/>
          <w:szCs w:val="21"/>
          <w:lang w:val="es-MX"/>
        </w:rPr>
        <w:t>necesaria entonces la votación a</w:t>
      </w:r>
      <w:r w:rsidRPr="00F40E63">
        <w:rPr>
          <w:rFonts w:ascii="Abadi" w:hAnsi="Abadi" w:cs="ArialMT"/>
          <w:b/>
          <w:bCs/>
          <w:i/>
          <w:iCs/>
          <w:sz w:val="21"/>
          <w:szCs w:val="21"/>
          <w:lang w:val="es-MX"/>
        </w:rPr>
        <w:t xml:space="preserve"> </w:t>
      </w:r>
      <w:r w:rsidRPr="00F40E63">
        <w:rPr>
          <w:rFonts w:ascii="Abadi" w:hAnsi="Abadi" w:cs="ArialMT"/>
          <w:i/>
          <w:iCs/>
          <w:sz w:val="21"/>
          <w:szCs w:val="21"/>
          <w:lang w:val="es-MX"/>
        </w:rPr>
        <w:t>favor del presente exhorto para dar seguimiento a los avances en materia de paridad.</w:t>
      </w:r>
    </w:p>
    <w:p w14:paraId="3200AD42" w14:textId="77777777" w:rsidR="00CE2FE1" w:rsidRPr="00F40E63" w:rsidRDefault="00CE2FE1" w:rsidP="00CE2FE1">
      <w:pPr>
        <w:autoSpaceDE w:val="0"/>
        <w:autoSpaceDN w:val="0"/>
        <w:adjustRightInd w:val="0"/>
        <w:jc w:val="both"/>
        <w:rPr>
          <w:rFonts w:ascii="Abadi" w:hAnsi="Abadi" w:cs="ArialMT"/>
          <w:i/>
          <w:iCs/>
          <w:sz w:val="21"/>
          <w:szCs w:val="21"/>
          <w:lang w:val="es-MX"/>
        </w:rPr>
      </w:pPr>
    </w:p>
    <w:p w14:paraId="5F0394CA"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w:t>
      </w:r>
    </w:p>
    <w:p w14:paraId="27700517"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0F8018ED"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Les invito a que nos sumemos a este exhorto y pasemos de ser solo de nombre "la legislatura de la paridad” a ser la legislatura que materialice la igualdad sustantiva. Tenemos ante nosotros sin duda, una oportunidad de sumar acciones en materia legislativa para propiciar la igualdad, la equidad de género, votemos a favor de este punto de acuerdo y confirmemos el compromiso que adquirimos aquí hace 4 meses, el día en que aprobamos por unanimidad el proyecto de dictamen aludido, pues en ese consenso político, demostramos las diferentes fuerzas políticas, la urgencia que tiene el estado de superar las desigualdades persistentes en nuestra sociedad.</w:t>
      </w:r>
    </w:p>
    <w:p w14:paraId="40490035"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 ))</w:t>
      </w:r>
    </w:p>
    <w:p w14:paraId="4B99CF5D" w14:textId="77777777" w:rsidR="00CE2FE1" w:rsidRPr="00F40E63" w:rsidRDefault="00CE2FE1" w:rsidP="00CE2FE1">
      <w:pPr>
        <w:autoSpaceDE w:val="0"/>
        <w:autoSpaceDN w:val="0"/>
        <w:adjustRightInd w:val="0"/>
        <w:jc w:val="both"/>
        <w:rPr>
          <w:rFonts w:ascii="Abadi" w:hAnsi="Abadi" w:cs="ArialMT"/>
          <w:sz w:val="21"/>
          <w:szCs w:val="21"/>
          <w:lang w:val="es-MX"/>
        </w:rPr>
      </w:pPr>
    </w:p>
    <w:p w14:paraId="66B50204" w14:textId="77777777" w:rsidR="00CE2FE1" w:rsidRPr="00F40E63" w:rsidRDefault="00CE2FE1" w:rsidP="00CE2FE1">
      <w:pPr>
        <w:autoSpaceDE w:val="0"/>
        <w:autoSpaceDN w:val="0"/>
        <w:adjustRightInd w:val="0"/>
        <w:jc w:val="both"/>
        <w:rPr>
          <w:rFonts w:ascii="Abadi" w:hAnsi="Abadi" w:cs="ArialMT"/>
          <w:i/>
          <w:iCs/>
          <w:sz w:val="21"/>
          <w:szCs w:val="21"/>
          <w:lang w:val="es-MX"/>
        </w:rPr>
      </w:pPr>
      <w:r w:rsidRPr="00F40E63">
        <w:rPr>
          <w:rFonts w:ascii="Abadi" w:hAnsi="Abadi" w:cs="ArialMT"/>
          <w:sz w:val="21"/>
          <w:szCs w:val="21"/>
          <w:lang w:val="es-MX"/>
        </w:rPr>
        <w:t xml:space="preserve">Del  análisis  de  la  propuesta  podemos  manifestar  que  su  objetivo  consistía  en exhortar  al  Poder  Ejecutivo  del  Estado,  o  través  de  la  Secretaría  de  Gobierno,  para  la revisión  y  reporte  puntual en  las  dependencias  que  integran  la administración pública centralizada  del  Poder  Ejecutivo;  al  titular  del  Supremo  Tribunal  de  Justicia  del  Estado para que, a través del Consejo del  Poder Judicial del Estado; así como a los organismos autónomos  y  o  los  ayuntamientos  poro  que  de  igual  formo  realizaran  una  revisión  y reporte  puntual de sus órganos integradores,  a fin de conocer el estado  que guarda el cumplimiento de lo  mandatado  por la  reforma a la  Constitución  Política de  los  Estados Unidos Mexicanos en los artículos 2º, 4°, 41, 52, 53, 56, 94 y 115 </w:t>
      </w:r>
      <w:r w:rsidRPr="00F40E63">
        <w:rPr>
          <w:rFonts w:ascii="Abadi" w:hAnsi="Abadi" w:cs="ArialMT"/>
          <w:i/>
          <w:iCs/>
          <w:sz w:val="21"/>
          <w:szCs w:val="21"/>
          <w:lang w:val="es-MX"/>
        </w:rPr>
        <w:t>en materia de paridad de género.</w:t>
      </w:r>
    </w:p>
    <w:p w14:paraId="491B4E7C" w14:textId="77777777" w:rsidR="00CE2FE1" w:rsidRPr="00F40E63" w:rsidRDefault="00CE2FE1" w:rsidP="00CE2FE1">
      <w:pPr>
        <w:autoSpaceDE w:val="0"/>
        <w:autoSpaceDN w:val="0"/>
        <w:adjustRightInd w:val="0"/>
        <w:jc w:val="both"/>
        <w:rPr>
          <w:rFonts w:ascii="Abadi" w:hAnsi="Abadi" w:cs="ArialMT"/>
          <w:sz w:val="21"/>
          <w:szCs w:val="21"/>
          <w:lang w:val="es-MX"/>
        </w:rPr>
      </w:pPr>
    </w:p>
    <w:p w14:paraId="379ECEA1" w14:textId="5022C5B3" w:rsidR="00CE2FE1"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En ese sentido, es importante referir que la paridad es un principio y una regla</w:t>
      </w:r>
      <w:r w:rsidRPr="00F40E63">
        <w:rPr>
          <w:rFonts w:ascii="Abadi" w:hAnsi="Abadi" w:cs="ArialMT"/>
          <w:i/>
          <w:iCs/>
          <w:sz w:val="21"/>
          <w:szCs w:val="21"/>
          <w:lang w:val="es-MX"/>
        </w:rPr>
        <w:t xml:space="preserve"> </w:t>
      </w:r>
      <w:r w:rsidRPr="00F40E63">
        <w:rPr>
          <w:rFonts w:ascii="Abadi" w:hAnsi="Abadi" w:cs="ArialMT"/>
          <w:sz w:val="21"/>
          <w:szCs w:val="21"/>
          <w:lang w:val="es-MX"/>
        </w:rPr>
        <w:t>constitucional, con criterios horizontales que exigen asegurar la paridad en el registro de las candidaturas y verticales impulsando la postulación de candidaturas de los órganos de elección popular que es incorporado en la Constitución Política de los Estados Unidos Mexicanos en el año 2014. La primera vez que fue implementada esta reglamentación fue en el Proceso Electoral de 2014-2015. La paridad es la igualdad sustantiva entre sexos; es una medida permanente que logra la inclusión de mujeres en los espacios de decisión pública. la paridad es la igualdad sustantiva entre sexos; es una medida permanente que logra la inclusión de mujeres en los espacios de decisión pública.</w:t>
      </w:r>
    </w:p>
    <w:p w14:paraId="61074F9F" w14:textId="77777777" w:rsidR="003961A2" w:rsidRPr="00F40E63" w:rsidRDefault="003961A2" w:rsidP="00CE2FE1">
      <w:pPr>
        <w:autoSpaceDE w:val="0"/>
        <w:autoSpaceDN w:val="0"/>
        <w:adjustRightInd w:val="0"/>
        <w:jc w:val="both"/>
        <w:rPr>
          <w:rFonts w:ascii="Abadi" w:hAnsi="Abadi" w:cs="ArialMT"/>
          <w:sz w:val="21"/>
          <w:szCs w:val="21"/>
          <w:lang w:val="es-MX"/>
        </w:rPr>
      </w:pPr>
    </w:p>
    <w:p w14:paraId="6269B953"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El 10 de junio de 2011, el Estado mexicano reconoce como constitucionales todos los derechos estipulados en los tratados internacionales de los que México participa. A partir de ello, la igualdad de género se entiende como: </w:t>
      </w:r>
      <w:r w:rsidRPr="00F40E63">
        <w:rPr>
          <w:rFonts w:ascii="Abadi" w:hAnsi="Abadi" w:cs="ArialMT"/>
          <w:i/>
          <w:iCs/>
          <w:sz w:val="21"/>
          <w:szCs w:val="21"/>
          <w:lang w:val="es-MX"/>
        </w:rPr>
        <w:t xml:space="preserve">mujeres y hombres acceden con las </w:t>
      </w:r>
      <w:r w:rsidRPr="00F40E63">
        <w:rPr>
          <w:rFonts w:ascii="Abadi" w:hAnsi="Abadi" w:cs="ArialMT"/>
          <w:sz w:val="21"/>
          <w:szCs w:val="21"/>
          <w:lang w:val="es-MX"/>
        </w:rPr>
        <w:t xml:space="preserve">mismas </w:t>
      </w:r>
      <w:r w:rsidRPr="00F40E63">
        <w:rPr>
          <w:rFonts w:ascii="Abadi" w:hAnsi="Abadi" w:cs="ArialMT"/>
          <w:i/>
          <w:iCs/>
          <w:sz w:val="21"/>
          <w:szCs w:val="21"/>
          <w:lang w:val="es-MX"/>
        </w:rPr>
        <w:t xml:space="preserve">posibilidades y oportunidades al uso, control y beneficio de bienes, servicios y recursos de la sociedad. </w:t>
      </w:r>
      <w:r w:rsidRPr="00F40E63">
        <w:rPr>
          <w:rFonts w:ascii="Abadi" w:hAnsi="Abadi" w:cs="ArialMT"/>
          <w:sz w:val="21"/>
          <w:szCs w:val="21"/>
          <w:lang w:val="es-MX"/>
        </w:rPr>
        <w:t>Posterior a esto, el 31 de enero de 2014, se promulgó la reforma político-electoral del artículo 41 de la Constitución, que eleva a rango constitucional, la garantía de la paridad entre mujeres y hombres en las candidaturas a la Cámara de Diputados, Senado y Congresos Estatales.</w:t>
      </w:r>
    </w:p>
    <w:p w14:paraId="0CF77FE5" w14:textId="77777777" w:rsidR="00CE2FE1" w:rsidRPr="00F40E63" w:rsidRDefault="00CE2FE1" w:rsidP="00CE2FE1">
      <w:pPr>
        <w:autoSpaceDE w:val="0"/>
        <w:autoSpaceDN w:val="0"/>
        <w:adjustRightInd w:val="0"/>
        <w:jc w:val="both"/>
        <w:rPr>
          <w:rFonts w:ascii="Abadi" w:hAnsi="Abadi" w:cs="ArialMT"/>
          <w:sz w:val="21"/>
          <w:szCs w:val="21"/>
          <w:lang w:val="es-MX"/>
        </w:rPr>
      </w:pPr>
    </w:p>
    <w:p w14:paraId="0DF22666"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Sabemos quiénes dictaminamos que con respecto al avance paritario en elecciones 2016, las mujeres ocuparon un 49.6% de las candidaturas en las diputaciones, </w:t>
      </w:r>
      <w:r w:rsidRPr="00F40E63">
        <w:rPr>
          <w:rFonts w:ascii="Abadi" w:hAnsi="Abadi" w:cs="ArialMT"/>
          <w:i/>
          <w:iCs/>
          <w:sz w:val="21"/>
          <w:szCs w:val="21"/>
          <w:lang w:val="es-MX"/>
        </w:rPr>
        <w:t xml:space="preserve">y </w:t>
      </w:r>
      <w:r w:rsidRPr="00F40E63">
        <w:rPr>
          <w:rFonts w:ascii="Abadi" w:hAnsi="Abadi" w:cs="ArialMT"/>
          <w:sz w:val="21"/>
          <w:szCs w:val="21"/>
          <w:lang w:val="es-MX"/>
        </w:rPr>
        <w:t>45.6% de las personas electas por mayoría relativa, esto constituyó un avance en la agenda de género en el poder legislativo a nivel nacional.</w:t>
      </w:r>
    </w:p>
    <w:p w14:paraId="1DB7BEFE" w14:textId="77777777" w:rsidR="00CE2FE1" w:rsidRPr="00F40E63" w:rsidRDefault="00CE2FE1" w:rsidP="00CE2FE1">
      <w:pPr>
        <w:autoSpaceDE w:val="0"/>
        <w:autoSpaceDN w:val="0"/>
        <w:adjustRightInd w:val="0"/>
        <w:jc w:val="both"/>
        <w:rPr>
          <w:rFonts w:ascii="Abadi" w:hAnsi="Abadi" w:cs="ArialMT"/>
          <w:sz w:val="21"/>
          <w:szCs w:val="21"/>
          <w:lang w:val="es-MX"/>
        </w:rPr>
      </w:pPr>
    </w:p>
    <w:p w14:paraId="2D26E8FF"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En agosto de 2016, se expide la </w:t>
      </w:r>
      <w:r w:rsidRPr="00F40E63">
        <w:rPr>
          <w:rFonts w:ascii="Abadi" w:hAnsi="Abadi" w:cs="ArialMT"/>
          <w:i/>
          <w:iCs/>
          <w:sz w:val="21"/>
          <w:szCs w:val="21"/>
          <w:lang w:val="es-MX"/>
        </w:rPr>
        <w:t xml:space="preserve">Norma Mexicana de Igualdad Laboral y No Discriminación, </w:t>
      </w:r>
      <w:r w:rsidRPr="00F40E63">
        <w:rPr>
          <w:rFonts w:ascii="Abadi" w:hAnsi="Abadi" w:cs="ArialMT"/>
          <w:sz w:val="21"/>
          <w:szCs w:val="21"/>
          <w:lang w:val="es-MX"/>
        </w:rPr>
        <w:t>que se trata de una certificación otorgada a centros de trabajo públicos, privados y sociales establecidos en la República Mexicana, que cuentan con prácticas en materia de igualdad laboral y no discriminación, para favorecer el desarrollo integral de las y los trabajadores.</w:t>
      </w:r>
    </w:p>
    <w:p w14:paraId="48C5467E" w14:textId="77777777" w:rsidR="00CE2FE1" w:rsidRPr="00F40E63" w:rsidRDefault="00CE2FE1" w:rsidP="00CE2FE1">
      <w:pPr>
        <w:autoSpaceDE w:val="0"/>
        <w:autoSpaceDN w:val="0"/>
        <w:adjustRightInd w:val="0"/>
        <w:jc w:val="both"/>
        <w:rPr>
          <w:rFonts w:ascii="Abadi" w:hAnsi="Abadi" w:cs="ArialMT"/>
          <w:sz w:val="21"/>
          <w:szCs w:val="21"/>
          <w:lang w:val="es-MX"/>
        </w:rPr>
      </w:pPr>
    </w:p>
    <w:p w14:paraId="532E3108"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De igual forma, el INE aprobó la Acción Afirmativa Indígena para las elecciones 2017-2018 que, por primera vez, obligó a los partidos políticos a postular únicamente a personas indígenas en los 13 distritos con 60% o más de población indígena para la Cámara de Diputados. Por otro lado, esta autoridad electoral aprobó el 7 de junio de 2017, el </w:t>
      </w:r>
      <w:r w:rsidRPr="00F40E63">
        <w:rPr>
          <w:rFonts w:ascii="Abadi" w:hAnsi="Abadi" w:cs="ArialMT"/>
          <w:i/>
          <w:iCs/>
          <w:sz w:val="21"/>
          <w:szCs w:val="21"/>
          <w:lang w:val="es-MX"/>
        </w:rPr>
        <w:t xml:space="preserve">Protocolo para la incursión de las Personas con Discapacidad </w:t>
      </w:r>
      <w:r w:rsidRPr="00F40E63">
        <w:rPr>
          <w:rFonts w:ascii="Abadi" w:hAnsi="Abadi" w:cs="ArialMT"/>
          <w:sz w:val="21"/>
          <w:szCs w:val="21"/>
          <w:lang w:val="es-MX"/>
        </w:rPr>
        <w:t xml:space="preserve">como </w:t>
      </w:r>
      <w:r w:rsidRPr="00F40E63">
        <w:rPr>
          <w:rFonts w:ascii="Abadi" w:hAnsi="Abadi" w:cs="ArialMT"/>
          <w:i/>
          <w:iCs/>
          <w:sz w:val="21"/>
          <w:szCs w:val="21"/>
          <w:lang w:val="es-MX"/>
        </w:rPr>
        <w:t xml:space="preserve">funcionarios y funcionarias de </w:t>
      </w:r>
      <w:r w:rsidRPr="00F40E63">
        <w:rPr>
          <w:rFonts w:ascii="Abadi" w:hAnsi="Abadi" w:cs="ArialMT"/>
          <w:sz w:val="21"/>
          <w:szCs w:val="21"/>
          <w:lang w:val="es-MX"/>
        </w:rPr>
        <w:t xml:space="preserve">Mesa </w:t>
      </w:r>
      <w:r w:rsidRPr="00F40E63">
        <w:rPr>
          <w:rFonts w:ascii="Abadi" w:hAnsi="Abadi" w:cs="ArialMT"/>
          <w:i/>
          <w:iCs/>
          <w:sz w:val="21"/>
          <w:szCs w:val="21"/>
          <w:lang w:val="es-MX"/>
        </w:rPr>
        <w:t xml:space="preserve">Directiva de Casilla, </w:t>
      </w:r>
      <w:r w:rsidRPr="00F40E63">
        <w:rPr>
          <w:rFonts w:ascii="Abadi" w:hAnsi="Abadi" w:cs="ArialMT"/>
          <w:sz w:val="21"/>
          <w:szCs w:val="21"/>
          <w:lang w:val="es-MX"/>
        </w:rPr>
        <w:t>su implementación es para todos los procesos, locales concurrentes, ordinarios y extraordinarios.</w:t>
      </w:r>
    </w:p>
    <w:p w14:paraId="7C2A1551"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Importante referir en todo este contexto que la Sexagésima Cuarta Legislatura del Congreso de la Unión, que fue integrada en el Proceso Electoral 2017-2018, resultó ser la más paritaria de la historia política mexicana. La cámara de diputados está representada por 49 .2% mujeres y el 50.8% de hombres. El Senado de la República en tanto, 51 % de mujeres y 49% de hombres. Este comentario resulta homólogo en el caso de las Legislaturas </w:t>
      </w:r>
      <w:r w:rsidRPr="00F40E63">
        <w:rPr>
          <w:rFonts w:ascii="Abadi" w:hAnsi="Abadi" w:cs="ArialMT"/>
          <w:i/>
          <w:iCs/>
          <w:sz w:val="21"/>
          <w:szCs w:val="21"/>
          <w:lang w:val="es-MX"/>
        </w:rPr>
        <w:t xml:space="preserve">sesenta y cuatro y sesenta y cinco </w:t>
      </w:r>
      <w:r w:rsidRPr="00F40E63">
        <w:rPr>
          <w:rFonts w:ascii="Abadi" w:hAnsi="Abadi" w:cs="ArialMT"/>
          <w:sz w:val="21"/>
          <w:szCs w:val="21"/>
          <w:lang w:val="es-MX"/>
        </w:rPr>
        <w:t>en Guanajuato, dada la importancia de la presencia de mujeres y hombres en paridad al integrar el Congreso del Estado Libre y Soberano de Guanajuato.</w:t>
      </w:r>
    </w:p>
    <w:p w14:paraId="7580B7BD" w14:textId="77777777" w:rsidR="00CE2FE1" w:rsidRPr="00F40E63" w:rsidRDefault="00CE2FE1" w:rsidP="00CE2FE1">
      <w:pPr>
        <w:autoSpaceDE w:val="0"/>
        <w:autoSpaceDN w:val="0"/>
        <w:adjustRightInd w:val="0"/>
        <w:jc w:val="both"/>
        <w:rPr>
          <w:rFonts w:ascii="Abadi" w:hAnsi="Abadi" w:cs="ArialMT"/>
          <w:sz w:val="21"/>
          <w:szCs w:val="21"/>
          <w:lang w:val="es-MX"/>
        </w:rPr>
      </w:pPr>
    </w:p>
    <w:p w14:paraId="6615BC7A"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De igual forma, el 14 de mayo de 2019 se aprobó en el Senado de la Republica el proyecto de decreto por el que se reforman los artículos 2, 4, 35, 41, 52, 53, 56, 94 y 115 de la Constitución Política de los Estados Unidos Mexicanos, la minuta fue enviada a la Cámara de Diputados para su proceso, aprobándose el 23 de mayo de ese año con 445 votos. Lo reforma establece lo obligatoriedad constitucional de observar el principio de paridad en la integración de los Poderes de la Unión, este esquema debe ser igual para los estados e integración de ayuntamientos.</w:t>
      </w:r>
    </w:p>
    <w:p w14:paraId="6AEC8709" w14:textId="77777777" w:rsidR="00CE2FE1" w:rsidRPr="00F40E63" w:rsidRDefault="00CE2FE1" w:rsidP="00CE2FE1">
      <w:pPr>
        <w:autoSpaceDE w:val="0"/>
        <w:autoSpaceDN w:val="0"/>
        <w:adjustRightInd w:val="0"/>
        <w:jc w:val="both"/>
        <w:rPr>
          <w:rFonts w:ascii="Abadi" w:hAnsi="Abadi" w:cs="ArialMT"/>
          <w:sz w:val="21"/>
          <w:szCs w:val="21"/>
          <w:lang w:val="es-MX"/>
        </w:rPr>
      </w:pPr>
    </w:p>
    <w:p w14:paraId="0F0541A2"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Las modificaciones y adiciones versan en la observancia del principio de paridad en la elección de representantes de los municipios con población indígena, además, los municipios deben de conformar sus cabildos bajo el principio de paridad de género, la ciudadanía tiene el derecho de poder ser votada en condiciones de paridad para todos los cargos de elección popular; se debe observar el principio de paridad de género en los nombramientos de las personas titulares de las secretarías de despacho del Poder Ejecutivo Federal y sus equivalentes en las entidades federativas. Los partidos políticos tienen como fin fomentar el principio de paridad de género. La Cámara de Diputados estará integrada por 300 diputadas y diputados electos según el principio de votación mayoritaria relativa, y 200 diputadas y diputados que serán electos según el principio de representación proporcional, de igual forma, en la elección de representación proporcional tanto de las y los diputados y de las y los senadores, debe de observarse el principio de paridad de género. y las listas deben de alternar mujeres y hombres. La Suprema Corte de Justicia de la Nación se compondrá de once integrantes, Ministras y Ministros.</w:t>
      </w:r>
    </w:p>
    <w:p w14:paraId="4A7A3297" w14:textId="77777777" w:rsidR="003F6641" w:rsidRDefault="003F6641" w:rsidP="00CE2FE1">
      <w:pPr>
        <w:autoSpaceDE w:val="0"/>
        <w:autoSpaceDN w:val="0"/>
        <w:adjustRightInd w:val="0"/>
        <w:jc w:val="both"/>
        <w:rPr>
          <w:rFonts w:ascii="Abadi" w:hAnsi="Abadi" w:cs="ArialMT"/>
          <w:sz w:val="21"/>
          <w:szCs w:val="21"/>
          <w:lang w:val="es-MX"/>
        </w:rPr>
      </w:pPr>
    </w:p>
    <w:p w14:paraId="57B3A3EA" w14:textId="236A9245"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Al 31 de mayo de 2019, quince congresos locales aprobaron por unanimidad la minuta de reforma constitucional en materia de </w:t>
      </w:r>
      <w:r w:rsidRPr="00F40E63">
        <w:rPr>
          <w:rFonts w:ascii="Abadi" w:hAnsi="Abadi" w:cs="ArialMT"/>
          <w:i/>
          <w:iCs/>
          <w:sz w:val="21"/>
          <w:szCs w:val="21"/>
          <w:lang w:val="es-MX"/>
        </w:rPr>
        <w:t xml:space="preserve">Paridad de </w:t>
      </w:r>
      <w:r w:rsidRPr="00F40E63">
        <w:rPr>
          <w:rFonts w:ascii="Abadi" w:hAnsi="Abadi" w:cs="ArialMT"/>
          <w:sz w:val="21"/>
          <w:szCs w:val="21"/>
          <w:lang w:val="es-MX"/>
        </w:rPr>
        <w:t xml:space="preserve">Género en todos los cargos públicos de los tres Poderes de la Unión y en los tres órdenes de Gobierno, los cuales fueron Chiapas, Yucatán, Quintana Roo, Querétaro, Sinaloa, Tlaxcala, Hidalgo, Zacatecas, Jalisco, Baja California Sur, Chihuahua, Morelos, Ciudad de México, Oaxaca y Durango. El tres de junio se discutió en el Congreso del Estado de México, el cuatro en Colima, San Luis Potosí, Coahuila, Campeche y Guerrero; </w:t>
      </w:r>
      <w:r w:rsidRPr="00F40E63">
        <w:rPr>
          <w:rFonts w:ascii="Abadi" w:hAnsi="Abadi" w:cs="ArialMT"/>
          <w:b/>
          <w:bCs/>
          <w:sz w:val="21"/>
          <w:szCs w:val="21"/>
          <w:lang w:val="es-MX"/>
        </w:rPr>
        <w:t xml:space="preserve">el cinco de junio en Guanajuato, </w:t>
      </w:r>
      <w:r w:rsidRPr="00F40E63">
        <w:rPr>
          <w:rFonts w:ascii="Abadi" w:hAnsi="Abadi" w:cs="ArialMT"/>
          <w:sz w:val="21"/>
          <w:szCs w:val="21"/>
          <w:lang w:val="es-MX"/>
        </w:rPr>
        <w:t>Puebla y Tabasco; el seis en Veracruz. Resultando así el cómputo para su declaratoria y publicación en el Diario Oficial de la Federación y procediendo en consecuencia a la armonización en los respectivos congresos locales.</w:t>
      </w:r>
    </w:p>
    <w:p w14:paraId="21A42D77" w14:textId="77777777" w:rsidR="00CE2FE1" w:rsidRPr="00F40E63" w:rsidRDefault="00CE2FE1" w:rsidP="00CE2FE1">
      <w:pPr>
        <w:autoSpaceDE w:val="0"/>
        <w:autoSpaceDN w:val="0"/>
        <w:adjustRightInd w:val="0"/>
        <w:jc w:val="both"/>
        <w:rPr>
          <w:rFonts w:ascii="Abadi" w:hAnsi="Abadi" w:cs="ArialMT"/>
          <w:sz w:val="21"/>
          <w:szCs w:val="21"/>
          <w:lang w:val="es-MX"/>
        </w:rPr>
      </w:pPr>
    </w:p>
    <w:p w14:paraId="3270DF76"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En ese sentido este Poder Legislativo, a través de su Asamblea </w:t>
      </w:r>
      <w:r w:rsidRPr="00F40E63">
        <w:rPr>
          <w:rFonts w:ascii="Abadi" w:hAnsi="Abadi" w:cs="ArialMT"/>
          <w:i/>
          <w:iCs/>
          <w:sz w:val="21"/>
          <w:szCs w:val="21"/>
          <w:lang w:val="es-MX"/>
        </w:rPr>
        <w:t xml:space="preserve">y dictaminado previamente por la comisión legislativo, </w:t>
      </w:r>
      <w:r w:rsidRPr="00F40E63">
        <w:rPr>
          <w:rFonts w:ascii="Abadi" w:hAnsi="Abadi" w:cs="ArialMT"/>
          <w:sz w:val="21"/>
          <w:szCs w:val="21"/>
          <w:lang w:val="es-MX"/>
        </w:rPr>
        <w:t xml:space="preserve">siempre adelantado a los tiempos, desde marzo de 2019, dictaminó la reforma a la Constitución Política para el Estado de Guanajuato en los artículos 1, 15. 41 y 108 para incorporar este principio de paridad. Posterior a este acto legislativo, en mayo de 2020 y para complementar la armonización con base en la reforma federal de 2019 se fortaleció este principio con otra similar denominada </w:t>
      </w:r>
      <w:r w:rsidRPr="00F40E63">
        <w:rPr>
          <w:rFonts w:ascii="Abadi" w:hAnsi="Abadi" w:cs="ArialMT"/>
          <w:i/>
          <w:iCs/>
          <w:sz w:val="21"/>
          <w:szCs w:val="21"/>
          <w:lang w:val="es-MX"/>
        </w:rPr>
        <w:t>paridad</w:t>
      </w:r>
      <w:r w:rsidRPr="00F40E63">
        <w:rPr>
          <w:rFonts w:ascii="Abadi" w:hAnsi="Abadi" w:cs="ArialMT"/>
          <w:sz w:val="21"/>
          <w:szCs w:val="21"/>
          <w:lang w:val="es-MX"/>
        </w:rPr>
        <w:t xml:space="preserve"> </w:t>
      </w:r>
      <w:r w:rsidRPr="00F40E63">
        <w:rPr>
          <w:rFonts w:ascii="Abadi" w:hAnsi="Abadi" w:cs="ArialMT"/>
          <w:i/>
          <w:iCs/>
          <w:sz w:val="21"/>
          <w:szCs w:val="21"/>
          <w:lang w:val="es-MX"/>
        </w:rPr>
        <w:t xml:space="preserve">en todo </w:t>
      </w:r>
      <w:r w:rsidRPr="00F40E63">
        <w:rPr>
          <w:rFonts w:ascii="Abadi" w:hAnsi="Abadi" w:cs="ArialMT"/>
          <w:sz w:val="21"/>
          <w:szCs w:val="21"/>
          <w:lang w:val="es-MX"/>
        </w:rPr>
        <w:t>a los artículos 4, 17, apartado A; 92, 80; 81 y 92 de nuestra Constitución Política Local, ambas reformas son texto vigente desde septiembre de 2019 y agosto 2020 respectivamente.</w:t>
      </w:r>
    </w:p>
    <w:p w14:paraId="2F39724F" w14:textId="77777777" w:rsidR="00CE2FE1" w:rsidRPr="00F40E63" w:rsidRDefault="00CE2FE1" w:rsidP="00CE2FE1">
      <w:pPr>
        <w:autoSpaceDE w:val="0"/>
        <w:autoSpaceDN w:val="0"/>
        <w:adjustRightInd w:val="0"/>
        <w:jc w:val="both"/>
        <w:rPr>
          <w:rFonts w:ascii="Abadi" w:hAnsi="Abadi" w:cs="ArialMT"/>
          <w:sz w:val="21"/>
          <w:szCs w:val="21"/>
          <w:lang w:val="es-MX"/>
        </w:rPr>
      </w:pPr>
    </w:p>
    <w:p w14:paraId="49E2FC44"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Posterior a esto, se reformó la Ley de Instituciones y Procedimientos Electorales para el Estado de Guanajuato con importantes reformas en los años 2017 y 2020 donde se privilegió el aspecto técnico, así como el diálogo y el consenso entre las diversas fuerzas políticas representadas en el Poder Legislativo; decantándose en los temas de mayor interés como son el establecimiento de reglas para la elección consecutiva y de paridad en sus dos vertientes, en la totalidad de los cargos de elección popular y la organización de los procesos electorales.</w:t>
      </w:r>
    </w:p>
    <w:p w14:paraId="23F4A60E" w14:textId="77777777" w:rsidR="00CE2FE1" w:rsidRPr="00F40E63" w:rsidRDefault="00CE2FE1" w:rsidP="00CE2FE1">
      <w:pPr>
        <w:autoSpaceDE w:val="0"/>
        <w:autoSpaceDN w:val="0"/>
        <w:adjustRightInd w:val="0"/>
        <w:jc w:val="both"/>
        <w:rPr>
          <w:rFonts w:ascii="Abadi" w:hAnsi="Abadi" w:cs="ArialMT"/>
          <w:sz w:val="21"/>
          <w:szCs w:val="21"/>
          <w:lang w:val="es-MX"/>
        </w:rPr>
      </w:pPr>
    </w:p>
    <w:p w14:paraId="7B932965" w14:textId="708680AB" w:rsidR="00CE2FE1"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Es decir, el trabajo legislativo se efectúo al reforzamiento y actualización de la norma electoral constituyen acciones razonables que permitirán la optimización del goce de los derechos humanos de las mujeres como son los temas de paridad de género tanto en la postulación como en la integración de los órganos representativos parlamentarios y de los ayuntamientos, así como de violencia política en razón de género, con la implementación de un proceso sumario para su atención, establecimiento de medidas precautorias y de reparación, y de nuevas sanciones ejemplares, todo ello con el propósito de garantizar el acceso efectivo a la justicia.</w:t>
      </w:r>
    </w:p>
    <w:p w14:paraId="73030E43" w14:textId="77777777" w:rsidR="003961A2" w:rsidRPr="00F40E63" w:rsidRDefault="003961A2" w:rsidP="00CE2FE1">
      <w:pPr>
        <w:autoSpaceDE w:val="0"/>
        <w:autoSpaceDN w:val="0"/>
        <w:adjustRightInd w:val="0"/>
        <w:jc w:val="both"/>
        <w:rPr>
          <w:rFonts w:ascii="Abadi" w:hAnsi="Abadi" w:cs="ArialMT"/>
          <w:sz w:val="21"/>
          <w:szCs w:val="21"/>
          <w:lang w:val="es-MX"/>
        </w:rPr>
      </w:pPr>
    </w:p>
    <w:p w14:paraId="57A7FE60"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Con las modificaciones a la norma se brindan garantías para una participación política activa y libre de coacción y se eliminan barreras con el fin de incentivar una mayor participación y desarrollo de las mujeres en la vida pública y privada, pero de manera particular en la toma de decisiones que trasciendan a la esfera política, económica y pública de nuestro Estado y país.</w:t>
      </w:r>
    </w:p>
    <w:p w14:paraId="62D69E49" w14:textId="77777777" w:rsidR="00CE2FE1" w:rsidRPr="00F40E63" w:rsidRDefault="00CE2FE1" w:rsidP="00CE2FE1">
      <w:pPr>
        <w:autoSpaceDE w:val="0"/>
        <w:autoSpaceDN w:val="0"/>
        <w:adjustRightInd w:val="0"/>
        <w:jc w:val="both"/>
        <w:rPr>
          <w:rFonts w:ascii="Abadi" w:hAnsi="Abadi" w:cs="ArialMT"/>
          <w:sz w:val="21"/>
          <w:szCs w:val="21"/>
          <w:lang w:val="es-MX"/>
        </w:rPr>
      </w:pPr>
    </w:p>
    <w:p w14:paraId="5E83488F" w14:textId="77777777" w:rsidR="00CE2FE1" w:rsidRPr="00F40E63" w:rsidRDefault="00CE2FE1" w:rsidP="00CE2FE1">
      <w:pPr>
        <w:autoSpaceDE w:val="0"/>
        <w:autoSpaceDN w:val="0"/>
        <w:adjustRightInd w:val="0"/>
        <w:jc w:val="both"/>
        <w:rPr>
          <w:rFonts w:ascii="Abadi" w:hAnsi="Abadi" w:cs="ArialMT"/>
          <w:b/>
          <w:bCs/>
          <w:sz w:val="21"/>
          <w:szCs w:val="21"/>
          <w:lang w:val="es-MX"/>
        </w:rPr>
      </w:pPr>
      <w:r w:rsidRPr="00F40E63">
        <w:rPr>
          <w:rFonts w:ascii="Abadi" w:hAnsi="Abadi" w:cs="ArialMT"/>
          <w:b/>
          <w:bCs/>
          <w:sz w:val="21"/>
          <w:szCs w:val="21"/>
          <w:lang w:val="es-MX"/>
        </w:rPr>
        <w:t>Acciones de esta Sexagésima Quinta Legislatura</w:t>
      </w:r>
    </w:p>
    <w:p w14:paraId="6D838152" w14:textId="77777777" w:rsidR="00CE2FE1" w:rsidRPr="00F40E63" w:rsidRDefault="00CE2FE1" w:rsidP="00CE2FE1">
      <w:pPr>
        <w:autoSpaceDE w:val="0"/>
        <w:autoSpaceDN w:val="0"/>
        <w:adjustRightInd w:val="0"/>
        <w:jc w:val="both"/>
        <w:rPr>
          <w:rFonts w:ascii="Abadi" w:hAnsi="Abadi" w:cs="ArialMT"/>
          <w:b/>
          <w:bCs/>
          <w:sz w:val="21"/>
          <w:szCs w:val="21"/>
          <w:lang w:val="es-MX"/>
        </w:rPr>
      </w:pPr>
    </w:p>
    <w:p w14:paraId="69050BCA"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Por su parte esta Legislatura desde su instalación ha mostrado un trabajo objetivo, institucional y responsable sobre el tema de la paridad en un sentido de mantener fortalecida la institución y dar seguimiento a las reformas constitucionales y legales a través de las acciones encausadas a llevar a cabo de manera positiva este principio en todos los ámbitos u órdenes de gobierno.</w:t>
      </w:r>
    </w:p>
    <w:p w14:paraId="01A23EE5" w14:textId="77777777" w:rsidR="00CE2FE1" w:rsidRPr="00F40E63" w:rsidRDefault="00CE2FE1" w:rsidP="00CE2FE1">
      <w:pPr>
        <w:autoSpaceDE w:val="0"/>
        <w:autoSpaceDN w:val="0"/>
        <w:adjustRightInd w:val="0"/>
        <w:jc w:val="both"/>
        <w:rPr>
          <w:rFonts w:ascii="Abadi" w:hAnsi="Abadi" w:cs="ArialMT"/>
          <w:sz w:val="21"/>
          <w:szCs w:val="21"/>
          <w:lang w:val="es-MX"/>
        </w:rPr>
      </w:pPr>
    </w:p>
    <w:p w14:paraId="485389FE"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De esta manera, la diputada Dessire Ángel Rocha de la Representación Parlamentaria del Partido Movimiento Ciudadano, presentó el 7 de octubre de 2021 un punto de acuerdo a efecto de exhortar al titular del Poder Ejecutivo del Estado de Guanajuato a adoptar acciones afirmativas al interior de la estructura orgánica de la administración pública estatal y paraestatal a fin de incorporar de manera inmediata el principio constitucional de paridad en los nombramientos de titularidad y cargos directivos hasta alcanzar de forma progresiva la participación plena de las mujeres en los espacios de decisión, e informarlas a esta representación social a la brevedad.</w:t>
      </w:r>
    </w:p>
    <w:p w14:paraId="47E1B4F5" w14:textId="77777777" w:rsidR="00CE2FE1" w:rsidRPr="00F40E63" w:rsidRDefault="00CE2FE1" w:rsidP="00CE2FE1">
      <w:pPr>
        <w:autoSpaceDE w:val="0"/>
        <w:autoSpaceDN w:val="0"/>
        <w:adjustRightInd w:val="0"/>
        <w:jc w:val="both"/>
        <w:rPr>
          <w:rFonts w:ascii="Abadi" w:hAnsi="Abadi" w:cs="ArialMT"/>
          <w:sz w:val="21"/>
          <w:szCs w:val="21"/>
          <w:lang w:val="es-MX"/>
        </w:rPr>
      </w:pPr>
    </w:p>
    <w:p w14:paraId="38E7FE96"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La propuesta fue turnada en su momento por la presidencia de la Mesa Directiva a la Comisión de para la Igualdad de Género, quien la radicó y aprobó metodología de estudio y dictamen el 20 de octubre de 2021 y en sendas reuniones de la comisión legislativa a través de mesas de trabajo se realizó el análisis de la misma, acordando solicitar información no sólo al titular del Poder Ejecutivo, como </w:t>
      </w:r>
      <w:r w:rsidRPr="00F40E63">
        <w:rPr>
          <w:rFonts w:ascii="Abadi" w:hAnsi="Abadi" w:cs="ArialMT"/>
          <w:i/>
          <w:iCs/>
          <w:sz w:val="21"/>
          <w:szCs w:val="21"/>
          <w:lang w:val="es-MX"/>
        </w:rPr>
        <w:t xml:space="preserve">se proponía de origen </w:t>
      </w:r>
      <w:r w:rsidRPr="00F40E63">
        <w:rPr>
          <w:rFonts w:ascii="Abadi" w:hAnsi="Abadi" w:cs="ArialMT"/>
          <w:sz w:val="21"/>
          <w:szCs w:val="21"/>
          <w:lang w:val="es-MX"/>
        </w:rPr>
        <w:t>sino ampliarlo a los otros poderes -Legislativo y Judicial- y los ayuntamientos, a efecto de poder generar un alcance más general de la propuesta.</w:t>
      </w:r>
    </w:p>
    <w:p w14:paraId="371E8354" w14:textId="77777777" w:rsidR="00CE2FE1" w:rsidRPr="00F40E63" w:rsidRDefault="00CE2FE1" w:rsidP="00CE2FE1">
      <w:pPr>
        <w:autoSpaceDE w:val="0"/>
        <w:autoSpaceDN w:val="0"/>
        <w:adjustRightInd w:val="0"/>
        <w:jc w:val="both"/>
        <w:rPr>
          <w:rFonts w:ascii="Abadi" w:hAnsi="Abadi" w:cs="ArialMT"/>
          <w:sz w:val="21"/>
          <w:szCs w:val="21"/>
          <w:lang w:val="es-MX"/>
        </w:rPr>
      </w:pPr>
    </w:p>
    <w:p w14:paraId="28A10841"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Derivado de este ejercicio puntual de análisis se recibieron las siguientes respuestas por parte de los tres poderes y ayuntamientos:</w:t>
      </w:r>
    </w:p>
    <w:p w14:paraId="44C67E2E" w14:textId="77777777" w:rsidR="00CE2FE1" w:rsidRPr="00F40E63" w:rsidRDefault="00CE2FE1" w:rsidP="00CE2FE1">
      <w:pPr>
        <w:autoSpaceDE w:val="0"/>
        <w:autoSpaceDN w:val="0"/>
        <w:adjustRightInd w:val="0"/>
        <w:jc w:val="both"/>
        <w:rPr>
          <w:rFonts w:ascii="Abadi" w:hAnsi="Abadi" w:cs="ArialMT"/>
          <w:b/>
          <w:bCs/>
          <w:i/>
          <w:iCs/>
          <w:sz w:val="21"/>
          <w:szCs w:val="21"/>
          <w:lang w:val="es-MX"/>
        </w:rPr>
      </w:pPr>
    </w:p>
    <w:p w14:paraId="0DE37904" w14:textId="77777777" w:rsidR="00CE2FE1" w:rsidRPr="00F40E63" w:rsidRDefault="00CE2FE1" w:rsidP="00CE2FE1">
      <w:pPr>
        <w:autoSpaceDE w:val="0"/>
        <w:autoSpaceDN w:val="0"/>
        <w:adjustRightInd w:val="0"/>
        <w:jc w:val="both"/>
        <w:rPr>
          <w:rFonts w:ascii="Abadi" w:hAnsi="Abadi" w:cs="ArialMT"/>
          <w:b/>
          <w:bCs/>
          <w:i/>
          <w:iCs/>
          <w:sz w:val="21"/>
          <w:szCs w:val="21"/>
          <w:lang w:val="es-MX"/>
        </w:rPr>
      </w:pPr>
    </w:p>
    <w:p w14:paraId="6AA63ACF" w14:textId="77777777" w:rsidR="00CE2FE1" w:rsidRPr="00F40E63" w:rsidRDefault="00CE2FE1" w:rsidP="00C924B9">
      <w:pPr>
        <w:autoSpaceDE w:val="0"/>
        <w:autoSpaceDN w:val="0"/>
        <w:adjustRightInd w:val="0"/>
        <w:ind w:left="284" w:right="354"/>
        <w:jc w:val="both"/>
        <w:rPr>
          <w:rFonts w:ascii="Abadi" w:hAnsi="Abadi" w:cs="ArialMT"/>
          <w:b/>
          <w:bCs/>
          <w:i/>
          <w:iCs/>
          <w:sz w:val="21"/>
          <w:szCs w:val="21"/>
          <w:lang w:val="es-MX"/>
        </w:rPr>
      </w:pPr>
      <w:r w:rsidRPr="00F40E63">
        <w:rPr>
          <w:rFonts w:ascii="Abadi" w:hAnsi="Abadi" w:cs="ArialMT"/>
          <w:b/>
          <w:bCs/>
          <w:i/>
          <w:iCs/>
          <w:sz w:val="21"/>
          <w:szCs w:val="21"/>
          <w:lang w:val="es-MX"/>
        </w:rPr>
        <w:t>Poder Legislativo</w:t>
      </w:r>
    </w:p>
    <w:p w14:paraId="062B056C" w14:textId="77777777" w:rsidR="00CE2FE1" w:rsidRPr="00F40E63" w:rsidRDefault="00CE2FE1" w:rsidP="00C924B9">
      <w:pPr>
        <w:autoSpaceDE w:val="0"/>
        <w:autoSpaceDN w:val="0"/>
        <w:adjustRightInd w:val="0"/>
        <w:ind w:left="284" w:right="354"/>
        <w:jc w:val="both"/>
        <w:rPr>
          <w:rFonts w:ascii="Abadi" w:hAnsi="Abadi" w:cs="ArialMT"/>
          <w:b/>
          <w:bCs/>
          <w:i/>
          <w:iCs/>
          <w:sz w:val="21"/>
          <w:szCs w:val="21"/>
          <w:lang w:val="es-MX"/>
        </w:rPr>
      </w:pPr>
    </w:p>
    <w:p w14:paraId="3B7BBB21"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&lt;&lt;... Por otro lado, se viene procurando la Igualdad de oportunidades de empleo en los  procesos  de contratación  y  promoción,  a las  personas candidatas,   sin  importar  su  origen  étnico o nacional,   sexo,   edad, discapacidad,  condición  social  o  económica,  condiciones  de  salud, embarazo, lengua, religión, opiniones, preferencias sexuales,  estado civil o   conyugal,   o   cualquier  otra  situación  protegida  por  los   tratados internacionales en materia de derechos humanos,  leyes federales o del Estado.</w:t>
      </w:r>
    </w:p>
    <w:p w14:paraId="14C6B1FD"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25A6F7F3"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Asimismo, contamos con una Política de Igualdad Laboral y no Discriminación que en su declaratorio señala: «Tenemos el firme compromiso de defender los derechos humanos del personal y de promover la igualdad de oportunidades  entre hombres y mujeres y permitir el acceso al empleo sin discriminación, así como establecer las acciones afirmativas a fin de prevenir el acoso y hostigamiento sexual, la discriminación, la violencia laboral, maltrato o cualquier otra conducta inapropiada, para evitar en todo momento cualquier riesgo a lo integridad física y continuar fomentando un ambiente sano para enaltecer el respeto a la dignidad humana».</w:t>
      </w:r>
    </w:p>
    <w:p w14:paraId="1182F23B"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679389D0"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Al ingresar como colaborador o colaboradora del Congreso del Estado de Guanajuato se solicita llenar el </w:t>
      </w:r>
      <w:r w:rsidRPr="00F40E63">
        <w:rPr>
          <w:rFonts w:ascii="Abadi" w:hAnsi="Abadi" w:cs="ArialMT"/>
          <w:b/>
          <w:bCs/>
          <w:i/>
          <w:iCs/>
          <w:sz w:val="21"/>
          <w:szCs w:val="21"/>
          <w:lang w:val="es-MX"/>
        </w:rPr>
        <w:t xml:space="preserve">Formulario de Igualdad Laboral </w:t>
      </w:r>
      <w:r w:rsidRPr="00F40E63">
        <w:rPr>
          <w:rFonts w:ascii="Abadi" w:hAnsi="Abadi" w:cs="ArialMT"/>
          <w:i/>
          <w:iCs/>
          <w:sz w:val="21"/>
          <w:szCs w:val="21"/>
          <w:lang w:val="es-MX"/>
        </w:rPr>
        <w:t xml:space="preserve">y </w:t>
      </w:r>
      <w:r w:rsidRPr="00F40E63">
        <w:rPr>
          <w:rFonts w:ascii="Abadi" w:hAnsi="Abadi" w:cs="ArialMT"/>
          <w:b/>
          <w:bCs/>
          <w:i/>
          <w:iCs/>
          <w:sz w:val="21"/>
          <w:szCs w:val="21"/>
          <w:lang w:val="es-MX"/>
        </w:rPr>
        <w:t xml:space="preserve">No Discriminación, </w:t>
      </w:r>
      <w:r w:rsidRPr="00F40E63">
        <w:rPr>
          <w:rFonts w:ascii="Abadi" w:hAnsi="Abadi" w:cs="ArialMT"/>
          <w:i/>
          <w:iCs/>
          <w:sz w:val="21"/>
          <w:szCs w:val="21"/>
          <w:lang w:val="es-MX"/>
        </w:rPr>
        <w:t>el cual tiene como objetivo garantizar que, durante el proceso de selección, la persona no haya sido objeto de ningún tipo de discriminación.</w:t>
      </w:r>
    </w:p>
    <w:p w14:paraId="221ADC3D"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7B7FC44F"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Hemos sido acreedores a la certificación de la norma 025 de igualdad laboral y no discriminación, en su nivel oro. Actualmente nos encontramos en proceso de recertificación. El Congreso del Estado cuenta con un Comité de Igualdad Laboral y No Discriminación. Se cuenta con una figura de </w:t>
      </w:r>
      <w:proofErr w:type="spellStart"/>
      <w:r w:rsidRPr="00F40E63">
        <w:rPr>
          <w:rFonts w:ascii="Abadi" w:hAnsi="Abadi" w:cs="ArialMT"/>
          <w:i/>
          <w:iCs/>
          <w:sz w:val="21"/>
          <w:szCs w:val="21"/>
          <w:lang w:val="es-MX"/>
        </w:rPr>
        <w:t>Ombudsperson</w:t>
      </w:r>
      <w:proofErr w:type="spellEnd"/>
      <w:r w:rsidRPr="00F40E63">
        <w:rPr>
          <w:rFonts w:ascii="Abadi" w:hAnsi="Abadi" w:cs="ArialMT"/>
          <w:i/>
          <w:iCs/>
          <w:sz w:val="21"/>
          <w:szCs w:val="21"/>
          <w:lang w:val="es-MX"/>
        </w:rPr>
        <w:t xml:space="preserve"> así como formatos para denuncias de acoso o discriminación, que apoyan en el proceso de alguna violación a las políticas de igualdad laboral y no discriminación.</w:t>
      </w:r>
    </w:p>
    <w:p w14:paraId="6F9AF4B8"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26AB37F2"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Dentro del Manual de Organización y Perfiles de puesto, se presentan todos los puestos con un lenguaje inclusivo, evitando encasillarlo al desempeño de un solo sexo.</w:t>
      </w:r>
    </w:p>
    <w:p w14:paraId="118E178F"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132A77DB"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En relación con la ocupación de mandos medios y directivos está consolidado hoy en día de la siguiente manera:</w:t>
      </w:r>
    </w:p>
    <w:p w14:paraId="5F44DB28"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6F987C1F"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Directivos 20</w:t>
      </w:r>
    </w:p>
    <w:p w14:paraId="47DEB55C"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Hombres 12</w:t>
      </w:r>
    </w:p>
    <w:p w14:paraId="45E06D41"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Mujeres 8</w:t>
      </w:r>
    </w:p>
    <w:p w14:paraId="4DCC207E"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Directivos y mondos medíos 31</w:t>
      </w:r>
    </w:p>
    <w:p w14:paraId="2B075F5C"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Hombres             </w:t>
      </w:r>
      <w:r w:rsidRPr="00F40E63">
        <w:rPr>
          <w:rFonts w:ascii="Abadi" w:hAnsi="Abadi" w:cs="ArialMT"/>
          <w:i/>
          <w:iCs/>
          <w:sz w:val="21"/>
          <w:szCs w:val="21"/>
          <w:lang w:val="es-MX"/>
        </w:rPr>
        <w:tab/>
        <w:t xml:space="preserve"> 17</w:t>
      </w:r>
    </w:p>
    <w:p w14:paraId="54E2213D"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Mujeres                14</w:t>
      </w:r>
    </w:p>
    <w:p w14:paraId="022212AE"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703357CD" w14:textId="0D60B386"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Además de que entre los principios generales de la política de igualdad laboral y no discriminación, se establece una promoción de la igualdad de oportunidades y el desarrollo para todo el personal, así como para las oportunidades de empleo en los procesos de contratación y promoción, a las personas candidatas, sin importar su origen étnico o nacional, sexo, edad, discapacidad, condición social o económica, condiciones de salud, embarazo, lengua, religión, opiniones, preferencias sexuales, estado civil o conyugal, o cualquier otra situación protegida por los tratados internacionales en materia de derechos es federales o del Estado. Con dichas políticas y acciones afirmativas se pretende la participación progresiva de la mujer en los espacios de decisión, así como lograr la igualdad laboral y no discriminación en el Congreso del Estado de Guanajuato ...))</w:t>
      </w:r>
      <w:r w:rsidR="007D14C9">
        <w:rPr>
          <w:rStyle w:val="Refdenotaalpie"/>
          <w:rFonts w:ascii="Abadi" w:hAnsi="Abadi" w:cs="ArialMT"/>
          <w:i/>
          <w:iCs/>
          <w:sz w:val="21"/>
          <w:szCs w:val="21"/>
          <w:lang w:val="es-MX"/>
        </w:rPr>
        <w:footnoteReference w:id="35"/>
      </w:r>
    </w:p>
    <w:p w14:paraId="7CBC5553"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602239AD" w14:textId="77777777" w:rsidR="00CE2FE1" w:rsidRPr="00F40E63" w:rsidRDefault="00CE2FE1" w:rsidP="00C924B9">
      <w:pPr>
        <w:autoSpaceDE w:val="0"/>
        <w:autoSpaceDN w:val="0"/>
        <w:adjustRightInd w:val="0"/>
        <w:ind w:left="284" w:right="354"/>
        <w:jc w:val="both"/>
        <w:rPr>
          <w:rFonts w:ascii="Abadi" w:hAnsi="Abadi" w:cs="ArialMT"/>
          <w:b/>
          <w:bCs/>
          <w:i/>
          <w:iCs/>
          <w:sz w:val="21"/>
          <w:szCs w:val="21"/>
          <w:lang w:val="es-MX"/>
        </w:rPr>
      </w:pPr>
      <w:r w:rsidRPr="00F40E63">
        <w:rPr>
          <w:rFonts w:ascii="Abadi" w:hAnsi="Abadi" w:cs="ArialMT"/>
          <w:b/>
          <w:bCs/>
          <w:i/>
          <w:iCs/>
          <w:sz w:val="21"/>
          <w:szCs w:val="21"/>
          <w:lang w:val="es-MX"/>
        </w:rPr>
        <w:t>Poder Judicial</w:t>
      </w:r>
    </w:p>
    <w:p w14:paraId="1C0B8AAD" w14:textId="57472124" w:rsidR="00CE2FE1"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&lt;&lt;... Haciendo de su conocimiento, que el Poder Judicial con el propósito de fomentar la igualdad entre hombres y mujeres, y la no discriminación en el ámbito interno. así como fortalecer la impartición de justicia con perspectiva de género y el respeto a los Derechos Humanos. ha implementado una política específica para este tópico y creado diversos ordenamientos encaminados o erradicar e impedir cualquier acto o práctica de discriminación.</w:t>
      </w:r>
    </w:p>
    <w:p w14:paraId="5ECF4535" w14:textId="77777777" w:rsidR="003961A2" w:rsidRPr="00F40E63" w:rsidRDefault="003961A2" w:rsidP="00C924B9">
      <w:pPr>
        <w:autoSpaceDE w:val="0"/>
        <w:autoSpaceDN w:val="0"/>
        <w:adjustRightInd w:val="0"/>
        <w:ind w:left="284" w:right="354"/>
        <w:jc w:val="both"/>
        <w:rPr>
          <w:rFonts w:ascii="Abadi" w:hAnsi="Abadi" w:cs="ArialMT"/>
          <w:i/>
          <w:iCs/>
          <w:sz w:val="21"/>
          <w:szCs w:val="21"/>
          <w:lang w:val="es-MX"/>
        </w:rPr>
      </w:pPr>
    </w:p>
    <w:p w14:paraId="01D3C6C0"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El personal del Poder Judicial del Estado de Guanajuato, al ingresar a esta institución adquiere el compromiso ético de observar los principios, valores, actitudes y comportamientos a que hace referencia este instrumento, el cual propicia una conducta de respeto, igualdad de género y no discriminación entre las y los servidores públicos, así como con /as personas con las que tengan trato con motivo de su encargo. </w:t>
      </w:r>
    </w:p>
    <w:p w14:paraId="347C5432"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En tal sentido, dicho ordenamiento prevé lo obligación de todas las personas que laboran en el Poder judicial, de mantener un ambiente sano, libre de violencia laboral, hostigamiento y acoso sexual, evitando cometer conductas que obstaculizan el acceso y permanencia a un trabajo digno y de calidad. Es importante destacar que con la finalidad de concientizar acerca de estas obligaciones a nuestro personal, con el apoyo de la Escuela de Estudios e Investigación Judicial, se han impartido diversos cursos sobre aspectos generales del Código de Ético del Poder Judicial del Estado de Guanajuato, en varias sedes del Estado, realizando a la par conferencias y capacitaciones en materia de </w:t>
      </w:r>
      <w:proofErr w:type="spellStart"/>
      <w:r w:rsidRPr="00F40E63">
        <w:rPr>
          <w:rFonts w:ascii="Abadi" w:hAnsi="Abadi" w:cs="ArialMT"/>
          <w:i/>
          <w:iCs/>
          <w:sz w:val="21"/>
          <w:szCs w:val="21"/>
          <w:lang w:val="es-MX"/>
        </w:rPr>
        <w:t>Mobbing</w:t>
      </w:r>
      <w:proofErr w:type="spellEnd"/>
      <w:r w:rsidRPr="00F40E63">
        <w:rPr>
          <w:rFonts w:ascii="Abadi" w:hAnsi="Abadi" w:cs="ArialMT"/>
          <w:i/>
          <w:iCs/>
          <w:sz w:val="21"/>
          <w:szCs w:val="21"/>
          <w:lang w:val="es-MX"/>
        </w:rPr>
        <w:t xml:space="preserve"> o acoso laboral, en colaboración con la Procuraduría de los Derechos Humanos del Estado de Guanajuato dirigidos o todo nuestro personal. Proceso interno que regula la atención de casos de conductas que pudieran constituir acoso, hostigamiento sexual, violencia laboral y/o actos de discriminación; mismo que puede ser iniciado por las personas trabajadoras del Poder Judicial, con la presentación de una denuncia ante la </w:t>
      </w:r>
      <w:proofErr w:type="spellStart"/>
      <w:r w:rsidRPr="00F40E63">
        <w:rPr>
          <w:rFonts w:ascii="Abadi" w:hAnsi="Abadi" w:cs="ArialMT"/>
          <w:i/>
          <w:iCs/>
          <w:sz w:val="21"/>
          <w:szCs w:val="21"/>
          <w:lang w:val="es-MX"/>
        </w:rPr>
        <w:t>Ombudsperson</w:t>
      </w:r>
      <w:proofErr w:type="spellEnd"/>
      <w:r w:rsidRPr="00F40E63">
        <w:rPr>
          <w:rFonts w:ascii="Abadi" w:hAnsi="Abadi" w:cs="ArialMT"/>
          <w:i/>
          <w:iCs/>
          <w:sz w:val="21"/>
          <w:szCs w:val="21"/>
          <w:lang w:val="es-MX"/>
        </w:rPr>
        <w:t xml:space="preserve"> de esta institución, quien acto seguido emite una respuesta inicial sobre la procedibilidad de la misma.</w:t>
      </w:r>
    </w:p>
    <w:p w14:paraId="20B6CE98"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20207231"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Cabe hacer mención que, con el propósito de refrendar el compromiso del Poder Judicial del Estado de Guanajuato en el respeto de los Derechos Humanos, la Igualdad y la No Discriminación; en el año 2016 nos sometimos a un proceso de certificación en la Norma Mexicana NMX-R-025-SCFI-2015 en Igualdad Laboral y no Discriminación, norma que establece los requisitos para que los centros de trabajo públicos, privados y sociales, de cualquier actividad y tamaño que integren, implementen y ejecuten dentro de sus procesos de gestión y de recursos humanos, prácticas para la igualdad laboral y no discriminación que favorezcan el desarrollo integral de las y los trabajadores. Proceso mediante el cual recibimos la certificación "NIVEL ORO” que nos distinguió como el primer Poder Judicial en el país en obtener dicho certificado. habiendo mantenido dicha distinción como producto del proceso de Recertificación en dicha norma que concluyó el mes de octubre de 2020.</w:t>
      </w:r>
    </w:p>
    <w:p w14:paraId="17C97488"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268837C3"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Para fomentar lo observancia del derecho de lo mujer y de las niñas, niños y adolescentes, a uno vida libre de violencia, así como de que se respeten y protejan sus derechos humanos. es de reiterar lo labor de capacitación continua llevada a cabo en colaboración con la Escuela de Estudios e Investigación Judicial, o través de foros, seminarios, conversatorios, ciclos de conferencias, así como actividades diversas, en temas relacionados con los derechos de las mujeres y la impartición de justicia con perspectivo de género, el interés superior de la infancia y la adolescencia; análisis y estudio de diversos protocolos, entre los que se encuentran el Protocolo de Actuación para quienes Importen Justicia en casos que involucren a Niños, Niños y Adolescentes. lo anterior, con el propósito de que las y los servidores públicos conozcan y apliquen la normatividad con perspectiva de género, y protección a los derechos humanos de los grupos vulnerables, erradicando así, prácticas o formas de discriminación al impartir justicia.</w:t>
      </w:r>
    </w:p>
    <w:p w14:paraId="52CFE9B6"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0D45DBF6"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1.- Número total de servidoras y servidores públicos en el Poder Judicial, el cual está integrado en su mayoría por mujeres.</w:t>
      </w:r>
    </w:p>
    <w:p w14:paraId="4C1434F9"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Sexo     Número </w:t>
      </w:r>
    </w:p>
    <w:p w14:paraId="3E410EAC"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Mujeres 2,262</w:t>
      </w:r>
    </w:p>
    <w:p w14:paraId="60DCAAA2"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Hombres 1,285</w:t>
      </w:r>
    </w:p>
    <w:p w14:paraId="0C8AF401"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Total   3,547</w:t>
      </w:r>
    </w:p>
    <w:p w14:paraId="49BF7419"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50D5C397"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2.- Número total de Magistradas y Magistrados que se encuentran adscritos a las 10 Salas </w:t>
      </w:r>
      <w:proofErr w:type="spellStart"/>
      <w:r w:rsidRPr="00F40E63">
        <w:rPr>
          <w:rFonts w:ascii="Abadi" w:hAnsi="Abadi" w:cs="ArialMT"/>
          <w:i/>
          <w:iCs/>
          <w:sz w:val="21"/>
          <w:szCs w:val="21"/>
          <w:lang w:val="es-MX"/>
        </w:rPr>
        <w:t>Cíviles</w:t>
      </w:r>
      <w:proofErr w:type="spellEnd"/>
      <w:r w:rsidRPr="00F40E63">
        <w:rPr>
          <w:rFonts w:ascii="Abadi" w:hAnsi="Abadi" w:cs="ArialMT"/>
          <w:i/>
          <w:iCs/>
          <w:sz w:val="21"/>
          <w:szCs w:val="21"/>
          <w:lang w:val="es-MX"/>
        </w:rPr>
        <w:t xml:space="preserve"> y 10 Salas Penales del Supremo Tribunal de Justicia del Estado de Guanajuato (incluyendo supernumerarios)</w:t>
      </w:r>
    </w:p>
    <w:p w14:paraId="33BD4FE6"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Sexo Número</w:t>
      </w:r>
    </w:p>
    <w:p w14:paraId="00AEEE72"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Mujeres 9</w:t>
      </w:r>
    </w:p>
    <w:p w14:paraId="51FE2E41"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Hombres 11</w:t>
      </w:r>
    </w:p>
    <w:p w14:paraId="1F415F37"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Total   20</w:t>
      </w:r>
    </w:p>
    <w:p w14:paraId="29EE79A1"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3CBCD541"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3.- Consejera y Consejeros del Poder Judicial del Estado de Guanajuato. </w:t>
      </w:r>
    </w:p>
    <w:p w14:paraId="334DE832"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Sexo Número</w:t>
      </w:r>
    </w:p>
    <w:p w14:paraId="4ED187E0"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Mujer 1 </w:t>
      </w:r>
    </w:p>
    <w:p w14:paraId="575681AD"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Hombres2 </w:t>
      </w:r>
    </w:p>
    <w:p w14:paraId="2CB9B9DE"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Total 3</w:t>
      </w:r>
    </w:p>
    <w:p w14:paraId="6C1C4254"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132971B3"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4.- Número total de Juezas y Jueces de todos los sistemas de justicia: civil de partido, civil especializado en materia familiar, oral mercantil, acusatorio y adversarial, penal tradicional, ejecución penal, justicia para adolescentes, menores civiles y mixtos.</w:t>
      </w:r>
    </w:p>
    <w:p w14:paraId="37FBAA22"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Sexo Número </w:t>
      </w:r>
    </w:p>
    <w:p w14:paraId="4CBAA67A"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Mujer 170</w:t>
      </w:r>
    </w:p>
    <w:p w14:paraId="2F918524"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Hombre 139</w:t>
      </w:r>
    </w:p>
    <w:p w14:paraId="7CAD825A"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Total 309</w:t>
      </w:r>
    </w:p>
    <w:p w14:paraId="276EB374"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5.- Cargos directivos de los órganos auxiliares y áreas administrativas del Poder Judicial del Estado, los cuales en su mayoría están ocupados por mujeres:</w:t>
      </w:r>
    </w:p>
    <w:p w14:paraId="5CE72D40"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Sexo Número</w:t>
      </w:r>
    </w:p>
    <w:p w14:paraId="2BBFCE5D"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Mujeres 16</w:t>
      </w:r>
    </w:p>
    <w:p w14:paraId="785C7EA7"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Hombres 8</w:t>
      </w:r>
    </w:p>
    <w:p w14:paraId="0F73C7B4"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roofErr w:type="gramStart"/>
      <w:r w:rsidRPr="00F40E63">
        <w:rPr>
          <w:rFonts w:ascii="Abadi" w:hAnsi="Abadi" w:cs="ArialMT"/>
          <w:i/>
          <w:iCs/>
          <w:sz w:val="21"/>
          <w:szCs w:val="21"/>
          <w:lang w:val="es-MX"/>
        </w:rPr>
        <w:t>Total  24</w:t>
      </w:r>
      <w:proofErr w:type="gramEnd"/>
    </w:p>
    <w:p w14:paraId="67C101C1"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726D403F" w14:textId="3CB877F5"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En ese orden de ideas, el Poder Judicial del Estado de Guanajuato, reitera su compromiso, de implementar las acciones que sean necesarias tanto de manera interna como en colaboración institucional, para continuar brindando un servicio de impartición de justicia con calidad, oportunidad. perspectiva de género y no discriminación, dando cumplimiento a los ordenamientos nacionales e internacionales, con el propósito proteger y garantizar los Derechos Humanos de todas las personas, así como</w:t>
      </w:r>
      <w:r w:rsidRPr="00F40E63">
        <w:rPr>
          <w:rFonts w:ascii="Abadi" w:hAnsi="Abadi" w:cs="ArialMT"/>
          <w:b/>
          <w:bCs/>
          <w:i/>
          <w:iCs/>
          <w:sz w:val="21"/>
          <w:szCs w:val="21"/>
          <w:lang w:val="es-MX"/>
        </w:rPr>
        <w:t xml:space="preserve"> </w:t>
      </w:r>
      <w:r w:rsidRPr="00F40E63">
        <w:rPr>
          <w:rFonts w:ascii="Abadi" w:hAnsi="Abadi" w:cs="ArialMT"/>
          <w:i/>
          <w:iCs/>
          <w:sz w:val="21"/>
          <w:szCs w:val="21"/>
          <w:lang w:val="es-MX"/>
        </w:rPr>
        <w:t>continuar impulsando la observancia del principio de paridad</w:t>
      </w:r>
      <w:proofErr w:type="gramStart"/>
      <w:r w:rsidRPr="00F40E63">
        <w:rPr>
          <w:rFonts w:ascii="Abadi" w:hAnsi="Abadi" w:cs="ArialMT"/>
          <w:i/>
          <w:iCs/>
          <w:sz w:val="21"/>
          <w:szCs w:val="21"/>
          <w:lang w:val="es-MX"/>
        </w:rPr>
        <w:t xml:space="preserve"> ..</w:t>
      </w:r>
      <w:proofErr w:type="gramEnd"/>
      <w:r w:rsidRPr="00F40E63">
        <w:rPr>
          <w:rFonts w:ascii="Abadi" w:hAnsi="Abadi" w:cs="ArialMT"/>
          <w:i/>
          <w:iCs/>
          <w:sz w:val="21"/>
          <w:szCs w:val="21"/>
          <w:lang w:val="es-MX"/>
        </w:rPr>
        <w:t xml:space="preserve"> .</w:t>
      </w:r>
      <w:r w:rsidR="00E13D74">
        <w:rPr>
          <w:rFonts w:ascii="Abadi" w:hAnsi="Abadi" w:cs="ArialMT"/>
          <w:i/>
          <w:iCs/>
          <w:sz w:val="21"/>
          <w:szCs w:val="21"/>
          <w:lang w:val="es-MX"/>
        </w:rPr>
        <w:t>))</w:t>
      </w:r>
      <w:r w:rsidR="00E13D74">
        <w:rPr>
          <w:rStyle w:val="Refdenotaalpie"/>
          <w:rFonts w:ascii="Abadi" w:hAnsi="Abadi" w:cs="ArialMT"/>
          <w:i/>
          <w:iCs/>
          <w:sz w:val="21"/>
          <w:szCs w:val="21"/>
          <w:lang w:val="es-MX"/>
        </w:rPr>
        <w:footnoteReference w:id="36"/>
      </w:r>
    </w:p>
    <w:p w14:paraId="4D145C25" w14:textId="77777777" w:rsidR="003F6641" w:rsidRDefault="003F6641" w:rsidP="00C924B9">
      <w:pPr>
        <w:autoSpaceDE w:val="0"/>
        <w:autoSpaceDN w:val="0"/>
        <w:adjustRightInd w:val="0"/>
        <w:ind w:left="284" w:right="354"/>
        <w:jc w:val="both"/>
        <w:rPr>
          <w:rFonts w:ascii="Abadi" w:hAnsi="Abadi" w:cs="ArialMT"/>
          <w:b/>
          <w:bCs/>
          <w:i/>
          <w:iCs/>
          <w:sz w:val="21"/>
          <w:szCs w:val="21"/>
          <w:lang w:val="es-MX"/>
        </w:rPr>
      </w:pPr>
    </w:p>
    <w:p w14:paraId="6446A9BF" w14:textId="47B6DBA0" w:rsidR="00CE2FE1" w:rsidRPr="00F40E63" w:rsidRDefault="00CE2FE1" w:rsidP="00C924B9">
      <w:pPr>
        <w:autoSpaceDE w:val="0"/>
        <w:autoSpaceDN w:val="0"/>
        <w:adjustRightInd w:val="0"/>
        <w:ind w:left="284" w:right="354"/>
        <w:jc w:val="both"/>
        <w:rPr>
          <w:rFonts w:ascii="Abadi" w:hAnsi="Abadi" w:cs="ArialMT"/>
          <w:b/>
          <w:bCs/>
          <w:i/>
          <w:iCs/>
          <w:sz w:val="21"/>
          <w:szCs w:val="21"/>
          <w:lang w:val="es-MX"/>
        </w:rPr>
      </w:pPr>
      <w:r w:rsidRPr="00F40E63">
        <w:rPr>
          <w:rFonts w:ascii="Abadi" w:hAnsi="Abadi" w:cs="ArialMT"/>
          <w:b/>
          <w:bCs/>
          <w:i/>
          <w:iCs/>
          <w:sz w:val="21"/>
          <w:szCs w:val="21"/>
          <w:lang w:val="es-MX"/>
        </w:rPr>
        <w:t>Poder Ejecutivo</w:t>
      </w:r>
    </w:p>
    <w:p w14:paraId="05EADDC8"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 xml:space="preserve">«... Para lo Administración Pública Estatal 2018-2024, es una prioridad asegurar las condiciones de igualdad en el acceso de las mujeres a oportunidades de desarrollo en todos los ámbitos, razón por la cual impulsamos acciones para fomentar y hacer efectivos sus derechos, tales </w:t>
      </w:r>
      <w:r w:rsidRPr="00F40E63">
        <w:rPr>
          <w:rFonts w:ascii="Abadi" w:hAnsi="Abadi" w:cs="ArialMT"/>
          <w:b/>
          <w:bCs/>
          <w:i/>
          <w:iCs/>
          <w:sz w:val="21"/>
          <w:szCs w:val="21"/>
          <w:lang w:val="es-MX"/>
        </w:rPr>
        <w:t>como:</w:t>
      </w:r>
    </w:p>
    <w:p w14:paraId="1E4AE985" w14:textId="3F128AED"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a. Alineación del Programa de Gobierno 2018-2024, con los objetivos de Desarrollo Sostenible. Agenda transversal poro lo igualdad entre mujeres y hombres. ODS Elemento del Programa de· Gobierno 2018·2024</w:t>
      </w:r>
    </w:p>
    <w:p w14:paraId="3AED5F12"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5. Igualdad de género</w:t>
      </w:r>
    </w:p>
    <w:p w14:paraId="3F650184"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6604B742" w14:textId="19681850"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b. Esquema de alineación del Programa de Gobierno 2018-2024 con el Plan Nacional de Desarrollo 2019-2024. PND 2019-2024 Elemento del Programa de Gobierno 2018-2024 Eje Transversal Igualdad de Género, no discriminación e inclusión</w:t>
      </w:r>
      <w:r w:rsidR="003961A2">
        <w:rPr>
          <w:rFonts w:ascii="Abadi" w:hAnsi="Abadi" w:cs="ArialMT"/>
          <w:i/>
          <w:iCs/>
          <w:sz w:val="21"/>
          <w:szCs w:val="21"/>
          <w:lang w:val="es-MX"/>
        </w:rPr>
        <w:t xml:space="preserve"> </w:t>
      </w:r>
      <w:r w:rsidRPr="00F40E63">
        <w:rPr>
          <w:rFonts w:ascii="Abadi" w:hAnsi="Abadi" w:cs="ArialMT"/>
          <w:i/>
          <w:iCs/>
          <w:sz w:val="21"/>
          <w:szCs w:val="21"/>
          <w:lang w:val="es-MX"/>
        </w:rPr>
        <w:t>Agenda transversal para la igualdad entre mujeres y hombres.</w:t>
      </w:r>
    </w:p>
    <w:p w14:paraId="5DF75AFB"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Agenda transversal para la inclusión con enfoque de derechos</w:t>
      </w:r>
    </w:p>
    <w:p w14:paraId="756A409F"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humanos.</w:t>
      </w:r>
    </w:p>
    <w:p w14:paraId="083E141E"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50967C38"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Programa de Gobierno 2018-2024. Agenda transversal para la igualdad entre mujeres y hombres. Objetivo. - Garantizar la igualdad sustantiva entre mujeres y hombres:</w:t>
      </w:r>
    </w:p>
    <w:p w14:paraId="38284876"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Estrategia 1: Transversalizar la perspectiva de género en las políticas públicas e instrumentos de planeación.</w:t>
      </w:r>
    </w:p>
    <w:p w14:paraId="7C70A1B8"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Estrategia 2: Asegurar condiciones de igualdad en el acceso de las mujeres a las oportunidades de desarrollo en todos los ámbitos.</w:t>
      </w:r>
    </w:p>
    <w:p w14:paraId="07F8FB4B"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75CD3200"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d. Actualización del Programa de Gobierno 2018-20244. Agenda Transversal de Igualdad entre mujeres y hombres. Objetivo Transversal. - Generar condiciones que garanticen la igualdad sustantiva entre mujeres y hombres para su desarrollo pleno.</w:t>
      </w:r>
    </w:p>
    <w:p w14:paraId="5C042E52"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Estrategia 1: Acceso de las mujeres a las oportunidades de desarrollo en todos los ámbitos.</w:t>
      </w:r>
    </w:p>
    <w:p w14:paraId="2771F79A"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Estrategia 2: Acceso de las mujeres a una vida libre de violencia.</w:t>
      </w:r>
    </w:p>
    <w:p w14:paraId="5A34936E"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2E08BD8D"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e. Actualización del Programo Sectorial Desarrollo Humano y Social 2019-2024. 5 OBJETIVO 2. 9.1.- Promover la implementación de acciones a favor de la igualdad entre mujeres y hombres en las dependencias y entidades de la administración pública estatal.</w:t>
      </w:r>
    </w:p>
    <w:p w14:paraId="205C94DA"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f. Programa Estatal para la Igualdad entre Mujeres y Hombres del Estado de Guanajuato 2021-2024</w:t>
      </w:r>
    </w:p>
    <w:p w14:paraId="1AC745BD" w14:textId="7B3761D3"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Objetivo 3. 1.- Transversa</w:t>
      </w:r>
      <w:r w:rsidR="003961A2">
        <w:rPr>
          <w:rFonts w:ascii="Abadi" w:hAnsi="Abadi" w:cs="ArialMT"/>
          <w:i/>
          <w:iCs/>
          <w:sz w:val="21"/>
          <w:szCs w:val="21"/>
          <w:lang w:val="es-MX"/>
        </w:rPr>
        <w:t>l</w:t>
      </w:r>
      <w:r w:rsidRPr="00F40E63">
        <w:rPr>
          <w:rFonts w:ascii="Abadi" w:hAnsi="Abadi" w:cs="ArialMT"/>
          <w:i/>
          <w:iCs/>
          <w:sz w:val="21"/>
          <w:szCs w:val="21"/>
          <w:lang w:val="es-MX"/>
        </w:rPr>
        <w:t>izar la perspectiva de género en dependencias y entidades de la administración pública estatal.</w:t>
      </w:r>
    </w:p>
    <w:p w14:paraId="69CB35A1"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Estrategia 3.1.1 Armonización normativa en materia de igualdad entre mujeres y hombres.</w:t>
      </w:r>
    </w:p>
    <w:p w14:paraId="33D556C1"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Estrategia 3. 1.2 Coordinación interinstitucional en materia de igualdad entre mujeres y hombres.</w:t>
      </w:r>
    </w:p>
    <w:p w14:paraId="1A6DE7DB"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056489D0"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II. Por lo anterior, de acuerdo con el Censo Nacional de Gobiernos Estatales 2021 elaborado por el Instituto Nacional de Estadística y Geografía, la Administración Pública Estatal de Guanajuato, es la cuarta a nivel nacional en incorporar a las mujeres dentro de su estructura con el 6 l .6%respecto al 38.4%de hombres. La misma encuesta refiere que en el Estado de Guanajuato hubo un incremento del 1.3%con respecto al 2019.</w:t>
      </w:r>
    </w:p>
    <w:p w14:paraId="7D07AE73"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p>
    <w:p w14:paraId="2ABC7354" w14:textId="77777777" w:rsidR="00CE2FE1" w:rsidRPr="00F40E63" w:rsidRDefault="00CE2FE1" w:rsidP="00C924B9">
      <w:pPr>
        <w:autoSpaceDE w:val="0"/>
        <w:autoSpaceDN w:val="0"/>
        <w:adjustRightInd w:val="0"/>
        <w:ind w:left="284" w:right="354"/>
        <w:jc w:val="both"/>
        <w:rPr>
          <w:rFonts w:ascii="Abadi" w:hAnsi="Abadi" w:cs="ArialMT"/>
          <w:i/>
          <w:iCs/>
          <w:sz w:val="21"/>
          <w:szCs w:val="21"/>
          <w:lang w:val="es-MX"/>
        </w:rPr>
      </w:pPr>
      <w:r w:rsidRPr="00F40E63">
        <w:rPr>
          <w:rFonts w:ascii="Abadi" w:hAnsi="Abadi" w:cs="ArialMT"/>
          <w:i/>
          <w:iCs/>
          <w:sz w:val="21"/>
          <w:szCs w:val="21"/>
          <w:lang w:val="es-MX"/>
        </w:rPr>
        <w:t>III. Una de /as herramientas que permiten monitorear el avance de lo armonización legislativa con respecto a la paridad de género es  el "índice de Paridad Política en el Ámbito local" (IPPAL) herramienta creada con la finalidad de medir, desde una perspectiva integral, el grado de armonización de la legislación estatal en lo concerniente a la paridad en los poderes Ejecutivo, legislativo y Judicial, referidos al ámbito local, con el fin último de dinamizar y acelerar la presencia paritaria de mujeres y hombres en los cargos de representación popular y en la titularidad de las posiciones de mayor jerarquía en los cargos de designación en el espacio público - político. El índice de Paridad Política en el Ámbito local está compuesto por ocho dimensiones y 33 indicadores, en su última actualización de fecha 13 de julio de 2020, Guanajuato obtuvo una puntuación de 68.71% colocándose en el décimo lugar.</w:t>
      </w:r>
    </w:p>
    <w:p w14:paraId="362BABDA"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IV. Así mismo, a través del proceso de lo Norma Mexicano NMX-R-025- SCFI-2015 en Igualdad laboral y No Discriminación, a través del Instituto para las Mujeres Guanajuatenses en coordinación con la Secretaría de Finanzas, Inversión y Administración, realizamos un diagnóstico de la conformación de la administración pública estatal, con los siguientes resultados:</w:t>
      </w:r>
    </w:p>
    <w:p w14:paraId="446C9B0B"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Mujeres 44%</w:t>
      </w:r>
    </w:p>
    <w:p w14:paraId="1584CE77"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Hombres 56%</w:t>
      </w:r>
    </w:p>
    <w:p w14:paraId="37DA2B2B" w14:textId="77777777" w:rsidR="003F6641" w:rsidRDefault="003F6641" w:rsidP="00117EB2">
      <w:pPr>
        <w:autoSpaceDE w:val="0"/>
        <w:autoSpaceDN w:val="0"/>
        <w:adjustRightInd w:val="0"/>
        <w:ind w:left="284" w:right="212"/>
        <w:jc w:val="both"/>
        <w:rPr>
          <w:rFonts w:ascii="Abadi" w:hAnsi="Abadi" w:cs="ArialMT"/>
          <w:i/>
          <w:iCs/>
          <w:sz w:val="21"/>
          <w:szCs w:val="21"/>
          <w:lang w:val="es-MX"/>
        </w:rPr>
      </w:pPr>
    </w:p>
    <w:p w14:paraId="22F15A10" w14:textId="4CF3964F"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V. De igual manera, contamos con 38 Dependencias, Entidades y Unidades de Apoyo, así como con 15 instituciones Educativas del Gobierno del Estado de Guanajuato, certificadas por la Norma Mexicana NMX-R-025-SCFl-2015 en Igualdad Laboral y No Discriminación, permitiendo que la renovación de la estructura técnica, la homologación de los procesos de reclutamiento y selección de personal: de ascenso, permanencia, otorgamiento de prestaciones y capacitación, se realice en igualdad de oportunidades y libres de sesgos sexistas</w:t>
      </w:r>
    </w:p>
    <w:p w14:paraId="2018DF72"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p>
    <w:p w14:paraId="7540E4C3"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VI. Por último, cabe señalar que, Guanajuato es primer lugar nacional en la plataforma de México Rumbo a la Igualdad, elaborada por el Instituto Nacional de los Mujeres, INMUJERES y, la Entidad de las Naciones Unidas para la Igualdad de Género y el Empoderamiento de las Mujeres, ONU Mujeres, la cual mide el avance de los estados en incorporar la perspectiva de género en sus programas, en sus políticas públicas, así como en la asignación y utilización de los recursos públicos.</w:t>
      </w:r>
    </w:p>
    <w:p w14:paraId="55951090" w14:textId="0EA2DB2E"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Guanajuato se mantiene como el estado con el mayor número de organismos de la administración pública estatal certificados en la Norma Mexicana NMX-R-025-SCFl-2015 en Igualdad Laboral y No Discriminación, distinción que entregan el INMUJERES la, Secretaría del Trabajo y Previsión Social y el Consejo Nacional para Prevenir la Discriminación. Además, es el estado mejor evaluado en el índice de Fortalecimiento</w:t>
      </w:r>
      <w:r w:rsidR="00117EB2" w:rsidRPr="00F40E63">
        <w:rPr>
          <w:rFonts w:ascii="Abadi" w:hAnsi="Abadi" w:cs="ArialMT"/>
          <w:i/>
          <w:iCs/>
          <w:sz w:val="21"/>
          <w:szCs w:val="21"/>
          <w:lang w:val="es-MX"/>
        </w:rPr>
        <w:t xml:space="preserve"> </w:t>
      </w:r>
      <w:r w:rsidRPr="00F40E63">
        <w:rPr>
          <w:rFonts w:ascii="Abadi" w:hAnsi="Abadi" w:cs="ArialMT"/>
          <w:i/>
          <w:iCs/>
          <w:sz w:val="21"/>
          <w:szCs w:val="21"/>
          <w:lang w:val="es-MX"/>
        </w:rPr>
        <w:t>Institucional</w:t>
      </w:r>
      <w:r w:rsidR="00117EB2" w:rsidRPr="00F40E63">
        <w:rPr>
          <w:rFonts w:ascii="Abadi" w:hAnsi="Abadi" w:cs="ArialMT"/>
          <w:i/>
          <w:iCs/>
          <w:sz w:val="21"/>
          <w:szCs w:val="21"/>
          <w:lang w:val="es-MX"/>
        </w:rPr>
        <w:t xml:space="preserve"> </w:t>
      </w:r>
      <w:r w:rsidRPr="00F40E63">
        <w:rPr>
          <w:rFonts w:ascii="Abadi" w:hAnsi="Abadi" w:cs="ArialMT"/>
          <w:i/>
          <w:iCs/>
          <w:sz w:val="21"/>
          <w:szCs w:val="21"/>
          <w:lang w:val="es-MX"/>
        </w:rPr>
        <w:t>implementado por la Secretaría de Bienestar. Este índice permite conocer el avance que se tiene en materia de institucionalización de las acciones de prevención y atención de la violencia contra las mujeres en las entidades federativas.</w:t>
      </w:r>
      <w:r w:rsidR="00E34D66">
        <w:rPr>
          <w:rStyle w:val="Refdenotaalpie"/>
          <w:rFonts w:ascii="Abadi" w:hAnsi="Abadi" w:cs="ArialMT"/>
          <w:i/>
          <w:iCs/>
          <w:sz w:val="21"/>
          <w:szCs w:val="21"/>
          <w:lang w:val="es-MX"/>
        </w:rPr>
        <w:footnoteReference w:id="37"/>
      </w:r>
    </w:p>
    <w:p w14:paraId="52A94ABD"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p>
    <w:p w14:paraId="43A51A1D" w14:textId="77777777" w:rsidR="00CE2FE1" w:rsidRPr="00F40E63" w:rsidRDefault="00CE2FE1" w:rsidP="00BD13AB">
      <w:pPr>
        <w:autoSpaceDE w:val="0"/>
        <w:autoSpaceDN w:val="0"/>
        <w:adjustRightInd w:val="0"/>
        <w:ind w:right="70"/>
        <w:jc w:val="both"/>
        <w:rPr>
          <w:rFonts w:ascii="Abadi" w:hAnsi="Abadi" w:cs="ArialMT"/>
          <w:sz w:val="21"/>
          <w:szCs w:val="21"/>
          <w:lang w:val="es-MX"/>
        </w:rPr>
      </w:pPr>
      <w:r w:rsidRPr="00F40E63">
        <w:rPr>
          <w:rFonts w:ascii="Abadi" w:hAnsi="Abadi" w:cs="ArialMT"/>
          <w:sz w:val="21"/>
          <w:szCs w:val="21"/>
          <w:lang w:val="es-MX"/>
        </w:rPr>
        <w:t>Para este ejercicio basado en el principio de parlamento abierto, se generaron de igual forma las opiniones por parte de los ayuntamientos de León, Abasolo, Comonfort, Yuriria, Jaral del Progreso, Romita, San Francisco del Rincón, Uriangato, Santa Cruz de Juventino Rosas, Doctor Mora y Santa Catarina.</w:t>
      </w:r>
    </w:p>
    <w:p w14:paraId="2FE7A221" w14:textId="77777777" w:rsidR="00CE2FE1" w:rsidRPr="00F40E63" w:rsidRDefault="00CE2FE1" w:rsidP="00BD13AB">
      <w:pPr>
        <w:autoSpaceDE w:val="0"/>
        <w:autoSpaceDN w:val="0"/>
        <w:adjustRightInd w:val="0"/>
        <w:ind w:right="70"/>
        <w:jc w:val="both"/>
        <w:rPr>
          <w:rFonts w:ascii="Abadi" w:hAnsi="Abadi" w:cs="ArialMT"/>
          <w:sz w:val="21"/>
          <w:szCs w:val="21"/>
          <w:lang w:val="es-MX"/>
        </w:rPr>
      </w:pPr>
    </w:p>
    <w:p w14:paraId="64438C6D" w14:textId="77777777" w:rsidR="00CE2FE1" w:rsidRPr="00F40E63" w:rsidRDefault="00CE2FE1" w:rsidP="00BD13AB">
      <w:pPr>
        <w:autoSpaceDE w:val="0"/>
        <w:autoSpaceDN w:val="0"/>
        <w:adjustRightInd w:val="0"/>
        <w:ind w:right="70"/>
        <w:jc w:val="both"/>
        <w:rPr>
          <w:rFonts w:ascii="Abadi" w:hAnsi="Abadi" w:cs="ArialMT"/>
          <w:sz w:val="21"/>
          <w:szCs w:val="21"/>
          <w:lang w:val="es-MX"/>
        </w:rPr>
      </w:pPr>
      <w:r w:rsidRPr="00F40E63">
        <w:rPr>
          <w:rFonts w:ascii="Abadi" w:hAnsi="Abadi" w:cs="ArialMT"/>
          <w:sz w:val="21"/>
          <w:szCs w:val="21"/>
          <w:lang w:val="es-MX"/>
        </w:rPr>
        <w:t xml:space="preserve">En ese sentido, las diputadas que integran la Comisión de para la Igualdad de Género de esta Legislatura, expresaron en su dictamen del 20 de enero de 2022 las siguientes consideraciones que, a su vez modificó </w:t>
      </w:r>
      <w:r w:rsidRPr="00F40E63">
        <w:rPr>
          <w:rFonts w:ascii="Abadi" w:hAnsi="Abadi" w:cs="ArialMT"/>
          <w:i/>
          <w:iCs/>
          <w:sz w:val="21"/>
          <w:szCs w:val="21"/>
          <w:lang w:val="es-MX"/>
        </w:rPr>
        <w:t xml:space="preserve">la propuesta inicial </w:t>
      </w:r>
      <w:r w:rsidRPr="00F40E63">
        <w:rPr>
          <w:rFonts w:ascii="Abadi" w:hAnsi="Abadi" w:cs="ArialMT"/>
          <w:sz w:val="21"/>
          <w:szCs w:val="21"/>
          <w:lang w:val="es-MX"/>
        </w:rPr>
        <w:t xml:space="preserve">o </w:t>
      </w:r>
      <w:r w:rsidRPr="00F40E63">
        <w:rPr>
          <w:rFonts w:ascii="Abadi" w:hAnsi="Abadi" w:cs="ArialMT"/>
          <w:i/>
          <w:iCs/>
          <w:sz w:val="21"/>
          <w:szCs w:val="21"/>
          <w:lang w:val="es-MX"/>
        </w:rPr>
        <w:t xml:space="preserve">de origen </w:t>
      </w:r>
      <w:r w:rsidRPr="00F40E63">
        <w:rPr>
          <w:rFonts w:ascii="Abadi" w:hAnsi="Abadi" w:cs="ArialMT"/>
          <w:sz w:val="21"/>
          <w:szCs w:val="21"/>
          <w:lang w:val="es-MX"/>
        </w:rPr>
        <w:t>para visualizar las áreas de oportunidad y la vertiente de incorporar a los tres 3 poderes del Estado, así como a los ayuntamientos en el cumplimiento irrestricto para que las mujeres y hombres tengan igualdad de oportunidades y derechos. Mismas que se transcriben a continuación:</w:t>
      </w:r>
    </w:p>
    <w:p w14:paraId="0E6F1388" w14:textId="77777777" w:rsidR="00CE2FE1" w:rsidRPr="00F40E63" w:rsidRDefault="00CE2FE1" w:rsidP="00117EB2">
      <w:pPr>
        <w:autoSpaceDE w:val="0"/>
        <w:autoSpaceDN w:val="0"/>
        <w:adjustRightInd w:val="0"/>
        <w:ind w:left="284" w:right="212"/>
        <w:jc w:val="both"/>
        <w:rPr>
          <w:rFonts w:ascii="Abadi" w:hAnsi="Abadi" w:cs="ArialMT"/>
          <w:sz w:val="21"/>
          <w:szCs w:val="21"/>
          <w:lang w:val="es-MX"/>
        </w:rPr>
      </w:pPr>
    </w:p>
    <w:p w14:paraId="564D0B64"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proofErr w:type="gramStart"/>
      <w:r w:rsidRPr="00F40E63">
        <w:rPr>
          <w:rFonts w:ascii="Abadi" w:hAnsi="Abadi" w:cs="ArialMT"/>
          <w:i/>
          <w:iCs/>
          <w:sz w:val="21"/>
          <w:szCs w:val="21"/>
          <w:lang w:val="es-MX"/>
        </w:rPr>
        <w:t>({ ...</w:t>
      </w:r>
      <w:proofErr w:type="gramEnd"/>
      <w:r w:rsidRPr="00F40E63">
        <w:rPr>
          <w:rFonts w:ascii="Abadi" w:hAnsi="Abadi" w:cs="ArialMT"/>
          <w:i/>
          <w:iCs/>
          <w:sz w:val="21"/>
          <w:szCs w:val="21"/>
          <w:lang w:val="es-MX"/>
        </w:rPr>
        <w:t>) Coincidimos que_   para la representación una política y pública de las mujeres no basta con reconocer el derecho al voto y la postulación electoral punto la realidad nos demuestra que la desigualdad por razón de género es notablemente visible en la representación del poder público y la toma de decisiones.</w:t>
      </w:r>
    </w:p>
    <w:p w14:paraId="64BAE400"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p>
    <w:p w14:paraId="70C9CAAF"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Es necesario distinguir que la aplicación de la paridad de género hoy solamente una acción afirmativa para reconocer los derechos de las mujeres, sino que, al ser incorporado a la Carta Magna pasó a ser un principio constitucional de aplicabilidad en todo el sistema jurídico mexicano.</w:t>
      </w:r>
    </w:p>
    <w:p w14:paraId="087190FE"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Paridad en todo implica que las mujeres se postulen a los tres niveles de gobierno, a los órganos autónomos y en los sistemas indígenas, en un ambiente adecuado para ejercer el poder en condiciones libres de violencia.</w:t>
      </w:r>
    </w:p>
    <w:p w14:paraId="07D405AB"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p>
    <w:p w14:paraId="6BEA16BC"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Es cierto que, en las últimas dos décadas, la participación política de la mujer ha ido en aumento: sin embargo, no ha sido por el cumplimiento espontáneo del mandato constitucional, sino a través de acciones afirmativas que se han tenido que implementar para lograr la igualdad de derechos entre ambos géneros. La reforma constitucional del año 2014 en materia política - electoral significó un paso importante en este sentido, al elevar a rango constitucional, el principio de paridad de género.</w:t>
      </w:r>
    </w:p>
    <w:p w14:paraId="0E770B2F" w14:textId="77777777" w:rsidR="00CE2FE1" w:rsidRPr="00F40E63" w:rsidRDefault="00CE2FE1" w:rsidP="00CE2FE1">
      <w:pPr>
        <w:autoSpaceDE w:val="0"/>
        <w:autoSpaceDN w:val="0"/>
        <w:adjustRightInd w:val="0"/>
        <w:jc w:val="both"/>
        <w:rPr>
          <w:rFonts w:ascii="Abadi" w:hAnsi="Abadi" w:cs="ArialMT"/>
          <w:i/>
          <w:iCs/>
          <w:sz w:val="21"/>
          <w:szCs w:val="21"/>
          <w:lang w:val="es-MX"/>
        </w:rPr>
      </w:pPr>
    </w:p>
    <w:p w14:paraId="07F4B84F" w14:textId="1DC6AAE9"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 xml:space="preserve">Lo paridad de género en términos generales, constituye una acción afirmativa de rango constitucional, que tiene como finalidad eliminar la desigualdad entre el hombre y la mujer; puesto que, si bien es cierto, la actual redacción del artículo 41 Constitucional, establece la paridad de género como un principio constitucional al que deben sujetarse los partidos políticos en la postulación de sus candidatos a elección popular; consideramos que, realmente debe resaltar lo dicho en el precepto constitucional, no es el derecho de los partidos políticos en la postulación de sus candidatos, sino la garantía en ella establecida, para el respecto y pleno ejercicio del derecho de igualdad entre hombre y mujer en la participación de la vida </w:t>
      </w:r>
      <w:r w:rsidR="000464E9" w:rsidRPr="00F40E63">
        <w:rPr>
          <w:rFonts w:ascii="Abadi" w:hAnsi="Abadi" w:cs="ArialMT"/>
          <w:i/>
          <w:iCs/>
          <w:sz w:val="21"/>
          <w:szCs w:val="21"/>
          <w:lang w:val="es-MX"/>
        </w:rPr>
        <w:t>pública</w:t>
      </w:r>
      <w:r w:rsidRPr="00F40E63">
        <w:rPr>
          <w:rFonts w:ascii="Abadi" w:hAnsi="Abadi" w:cs="ArialMT"/>
          <w:i/>
          <w:iCs/>
          <w:sz w:val="21"/>
          <w:szCs w:val="21"/>
          <w:lang w:val="es-MX"/>
        </w:rPr>
        <w:t xml:space="preserve"> y política de nuestro país.</w:t>
      </w:r>
    </w:p>
    <w:p w14:paraId="524F64F2"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p>
    <w:p w14:paraId="4AE0853C"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La intención del exhorto presentado tiene como objetivo que, en los ámbitos federales, estatales y municipales logren una paridad de género más eficaz, y que garantice un equilibrio entre ambos géneros de acuerdo con el IMCO, en México, los esfuerzos como las cuotas de género han sido efectivos para alcanzar mayor igualdad entre hombres y mujeres en la vida política.</w:t>
      </w:r>
    </w:p>
    <w:p w14:paraId="2264292A" w14:textId="77777777" w:rsidR="00CE2FE1" w:rsidRPr="00F40E63" w:rsidRDefault="00CE2FE1" w:rsidP="00CE2FE1">
      <w:pPr>
        <w:autoSpaceDE w:val="0"/>
        <w:autoSpaceDN w:val="0"/>
        <w:adjustRightInd w:val="0"/>
        <w:jc w:val="both"/>
        <w:rPr>
          <w:rFonts w:ascii="Abadi" w:hAnsi="Abadi" w:cs="ArialMT"/>
          <w:i/>
          <w:iCs/>
          <w:sz w:val="21"/>
          <w:szCs w:val="21"/>
          <w:lang w:val="es-MX"/>
        </w:rPr>
      </w:pPr>
    </w:p>
    <w:p w14:paraId="778BE5FA"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Hoy, México cuenta con un Congreso paritario, con el 48% de mujeres en la Cámara de Diputados y el 49% en el Senado de la República, así como con el mayor número de secretarias de Estado en la historia del país. nueve de 19 secretarías están encabezadas por una mujer (47%).</w:t>
      </w:r>
    </w:p>
    <w:p w14:paraId="4D02B117"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p>
    <w:p w14:paraId="7B509033" w14:textId="071140E6"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Aunque esto representa un aumento en la participación política de las mujeres, la desigualdad de género en las administraciones federales, estatales y municipales persiste. El Instituto Mexicano para la Competitividad (IMCO) analizó más de 290 instituciones del Gobierno federal, con énfasis en el puesto y nivel de ingresos de más de 168 mil personas que trabajan en las secretarias de Estado</w:t>
      </w:r>
      <w:r w:rsidR="00BE56FB">
        <w:rPr>
          <w:rStyle w:val="Refdenotaalpie"/>
          <w:rFonts w:ascii="Abadi" w:hAnsi="Abadi" w:cs="ArialMT"/>
          <w:i/>
          <w:iCs/>
          <w:sz w:val="21"/>
          <w:szCs w:val="21"/>
          <w:lang w:val="es-MX"/>
        </w:rPr>
        <w:footnoteReference w:id="38"/>
      </w:r>
    </w:p>
    <w:p w14:paraId="5CB8F45B"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p>
    <w:p w14:paraId="3E831C67"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La presencia de mujeres al interior de las secretarías de Estado disminuye conforme se eleva el puesto y el nivel de ingresos. Solo el 30% de las direcciones generales son ocupadas por mujeres, mientras que este porcentaje disminuye a 28% para las jefaturas de unidad, el tercer puesto de mando más alto.</w:t>
      </w:r>
    </w:p>
    <w:p w14:paraId="46E570FC" w14:textId="77777777" w:rsidR="00CE2FE1" w:rsidRPr="00F40E63" w:rsidRDefault="00CE2FE1" w:rsidP="00117EB2">
      <w:pPr>
        <w:autoSpaceDE w:val="0"/>
        <w:autoSpaceDN w:val="0"/>
        <w:adjustRightInd w:val="0"/>
        <w:ind w:right="212"/>
        <w:jc w:val="both"/>
        <w:rPr>
          <w:rFonts w:ascii="Abadi" w:hAnsi="Abadi" w:cs="ArialMT"/>
          <w:i/>
          <w:iCs/>
          <w:sz w:val="21"/>
          <w:szCs w:val="21"/>
          <w:lang w:val="es-MX"/>
        </w:rPr>
      </w:pPr>
    </w:p>
    <w:p w14:paraId="6B2C5E05"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Esta bajo participación de las mujeres en los puestos más altos tiene un impacto en la brecha salarial. En las secretarías de Estado, las mujeres ganan, en promedio, 10% menos que los hombres en los puestos de mando medio y superior.</w:t>
      </w:r>
    </w:p>
    <w:p w14:paraId="201FC3EE"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p>
    <w:p w14:paraId="7DAC3A54"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Las mujeres se encuentran subrepresentadas en los puestos directivos dentro de las instituciones del gobierno federal, estatal y municipal, lo que refleja una desigualdad en los puestos y salarios dentro de la estructura de gobierno.</w:t>
      </w:r>
    </w:p>
    <w:p w14:paraId="5346A38C"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p>
    <w:p w14:paraId="57FD1596"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En la medida en que se identifiquen las principales brechas de género, así como las barreras en el acceso y promoción de mujeres a puestos directivos dentro de la estructura gubernamental, será posible implementar acciones informadas para disminuir estas desigualdades.</w:t>
      </w:r>
    </w:p>
    <w:p w14:paraId="233212A1" w14:textId="77777777" w:rsidR="00CE2FE1" w:rsidRPr="00F40E63" w:rsidRDefault="00CE2FE1" w:rsidP="00117EB2">
      <w:pPr>
        <w:autoSpaceDE w:val="0"/>
        <w:autoSpaceDN w:val="0"/>
        <w:adjustRightInd w:val="0"/>
        <w:ind w:left="284" w:right="212"/>
        <w:jc w:val="both"/>
        <w:rPr>
          <w:rFonts w:ascii="Abadi" w:hAnsi="Abadi" w:cs="ArialMT"/>
          <w:i/>
          <w:iCs/>
          <w:sz w:val="21"/>
          <w:szCs w:val="21"/>
          <w:lang w:val="es-MX"/>
        </w:rPr>
      </w:pPr>
    </w:p>
    <w:p w14:paraId="53017CFC" w14:textId="00F2E041" w:rsidR="00CE2FE1" w:rsidRPr="00F40E63" w:rsidRDefault="00CE2FE1" w:rsidP="00117EB2">
      <w:pPr>
        <w:autoSpaceDE w:val="0"/>
        <w:autoSpaceDN w:val="0"/>
        <w:adjustRightInd w:val="0"/>
        <w:ind w:left="284" w:right="212"/>
        <w:jc w:val="both"/>
        <w:rPr>
          <w:rFonts w:ascii="Abadi" w:hAnsi="Abadi" w:cs="ArialMT"/>
          <w:i/>
          <w:iCs/>
          <w:sz w:val="21"/>
          <w:szCs w:val="21"/>
          <w:lang w:val="es-MX"/>
        </w:rPr>
      </w:pPr>
      <w:r w:rsidRPr="00F40E63">
        <w:rPr>
          <w:rFonts w:ascii="Abadi" w:hAnsi="Abadi" w:cs="ArialMT"/>
          <w:i/>
          <w:iCs/>
          <w:sz w:val="21"/>
          <w:szCs w:val="21"/>
          <w:lang w:val="es-MX"/>
        </w:rPr>
        <w:t>(...)</w:t>
      </w:r>
      <w:r w:rsidR="00062570">
        <w:rPr>
          <w:rStyle w:val="Refdenotaalpie"/>
          <w:rFonts w:ascii="Abadi" w:hAnsi="Abadi" w:cs="ArialMT"/>
          <w:i/>
          <w:iCs/>
          <w:sz w:val="21"/>
          <w:szCs w:val="21"/>
          <w:lang w:val="es-MX"/>
        </w:rPr>
        <w:footnoteReference w:id="39"/>
      </w:r>
    </w:p>
    <w:p w14:paraId="7B24A8DC" w14:textId="77777777" w:rsidR="00CE2FE1" w:rsidRPr="00F40E63" w:rsidRDefault="00CE2FE1" w:rsidP="00CE2FE1">
      <w:pPr>
        <w:autoSpaceDE w:val="0"/>
        <w:autoSpaceDN w:val="0"/>
        <w:adjustRightInd w:val="0"/>
        <w:jc w:val="both"/>
        <w:rPr>
          <w:rFonts w:ascii="Abadi" w:hAnsi="Abadi" w:cs="ArialMT"/>
          <w:i/>
          <w:iCs/>
          <w:sz w:val="21"/>
          <w:szCs w:val="21"/>
          <w:lang w:val="es-MX"/>
        </w:rPr>
      </w:pPr>
    </w:p>
    <w:p w14:paraId="486EED8B"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 xml:space="preserve">De esta manera </w:t>
      </w:r>
      <w:r w:rsidRPr="00F40E63">
        <w:rPr>
          <w:rFonts w:ascii="Abadi" w:hAnsi="Abadi" w:cs="ArialMT"/>
          <w:i/>
          <w:iCs/>
          <w:sz w:val="21"/>
          <w:szCs w:val="21"/>
          <w:lang w:val="es-MX"/>
        </w:rPr>
        <w:t xml:space="preserve">se </w:t>
      </w:r>
      <w:r w:rsidRPr="00F40E63">
        <w:rPr>
          <w:rFonts w:ascii="Abadi" w:hAnsi="Abadi" w:cs="ArialMT"/>
          <w:sz w:val="21"/>
          <w:szCs w:val="21"/>
          <w:lang w:val="es-MX"/>
        </w:rPr>
        <w:t>acordó a través de la Asamblea mediante esta acción legislativa que la actual Legislatura exhortara a las personas titulares de los tres ámbitos de gobierno federal, estatal y municipal, para que adoptaran acciones afirmativas al interior de su estructura orgánica a fin de incorporar de manera inmediata el principio constitucional de paridad en los nombramientos de titularidad y cargos directivos hasta alcanzar de forma progresiva la participación plena de las mujeres en los espacios de decisión.</w:t>
      </w:r>
    </w:p>
    <w:p w14:paraId="629BBD71"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Es así como la Sexagésima Quinta Legislatura da puntual seguimiento y atiende de manera objetiva a dicho principio constitucional, dejando sin materia la propuesta objeto de este dictamen. toda vez que cuando se realizó la misma por porte de la proponente, este principio se encontraba en desarrollo y en armonización en normas secundarias y reglas y lineamientos de carácter reglamentario por parte de las autoridades en aplicar de manera estricta dicho principio.</w:t>
      </w:r>
    </w:p>
    <w:p w14:paraId="0BBF90FD"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En consecuencia, y en atención a las consideraciones expuestas, se determina la no viabilidad de la propuesta al encontrarse superada por las acciones legislativas generadas durante la Sexagésima Cuarta Legislatura y esta Sexagésima Quinta Legislatura, motivos por los cuales estimamos pertinente proponer el archivo de la propuesta de punto de acuerdo descrita en el presente dictamen.</w:t>
      </w:r>
    </w:p>
    <w:p w14:paraId="4F29F3D4"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En razón de lo antes expuesto y con fundamento en los artículos 171 y 204 de la Ley Orgánica del Poder Legislativo del Estado de Guanajuato, nos permitimos someter a la aprobación de la Asamblea, el siguiente:</w:t>
      </w:r>
    </w:p>
    <w:p w14:paraId="177BF584" w14:textId="77777777" w:rsidR="00CE2FE1" w:rsidRPr="00F40E63" w:rsidRDefault="00CE2FE1" w:rsidP="00CE2FE1">
      <w:pPr>
        <w:autoSpaceDE w:val="0"/>
        <w:autoSpaceDN w:val="0"/>
        <w:adjustRightInd w:val="0"/>
        <w:jc w:val="both"/>
        <w:rPr>
          <w:rFonts w:ascii="Abadi" w:hAnsi="Abadi" w:cs="ArialMT"/>
          <w:b/>
          <w:bCs/>
          <w:sz w:val="21"/>
          <w:szCs w:val="21"/>
          <w:lang w:val="es-MX"/>
        </w:rPr>
      </w:pPr>
    </w:p>
    <w:p w14:paraId="09869934" w14:textId="77777777" w:rsidR="00CE2FE1" w:rsidRPr="00F40E63" w:rsidRDefault="00CE2FE1" w:rsidP="000C5C10">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Acuerdo</w:t>
      </w:r>
    </w:p>
    <w:p w14:paraId="0BB027FA" w14:textId="77777777" w:rsidR="00CE2FE1" w:rsidRPr="00F40E63" w:rsidRDefault="00CE2FE1" w:rsidP="00CE2FE1">
      <w:pPr>
        <w:autoSpaceDE w:val="0"/>
        <w:autoSpaceDN w:val="0"/>
        <w:adjustRightInd w:val="0"/>
        <w:jc w:val="both"/>
        <w:rPr>
          <w:rFonts w:ascii="Abadi" w:hAnsi="Abadi" w:cs="ArialMT"/>
          <w:b/>
          <w:bCs/>
          <w:sz w:val="21"/>
          <w:szCs w:val="21"/>
          <w:lang w:val="es-MX"/>
        </w:rPr>
      </w:pPr>
    </w:p>
    <w:p w14:paraId="7FFA4B41"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b/>
          <w:bCs/>
          <w:sz w:val="21"/>
          <w:szCs w:val="21"/>
          <w:lang w:val="es-MX"/>
        </w:rPr>
        <w:t xml:space="preserve">Único.  </w:t>
      </w:r>
      <w:r w:rsidRPr="00F40E63">
        <w:rPr>
          <w:rFonts w:ascii="Abadi" w:hAnsi="Abadi" w:cs="ArialMT"/>
          <w:sz w:val="21"/>
          <w:szCs w:val="21"/>
          <w:lang w:val="es-MX"/>
        </w:rPr>
        <w:t xml:space="preserve">Se  ordena  el  archivo  definitivo  de  la  propuesta  de  punto  de  acuerdo suscrita   por   la   diputada   María   Magdalena   Rosales   Cruz,   integrante   del   Grupo Parlamentario  del  Partido  MORENA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2º,  4º,  41,  52,  53,  56,  94  y  115  en  materia de  paridad  de  género,  ante  la Sexagésima Cuarta Legislatura. </w:t>
      </w:r>
    </w:p>
    <w:p w14:paraId="4025E79C" w14:textId="77777777" w:rsidR="00CE2FE1" w:rsidRPr="00F40E63" w:rsidRDefault="00CE2FE1" w:rsidP="00CE2FE1">
      <w:pPr>
        <w:autoSpaceDE w:val="0"/>
        <w:autoSpaceDN w:val="0"/>
        <w:adjustRightInd w:val="0"/>
        <w:jc w:val="both"/>
        <w:rPr>
          <w:rFonts w:ascii="Abadi" w:hAnsi="Abadi" w:cs="ArialMT"/>
          <w:sz w:val="21"/>
          <w:szCs w:val="21"/>
          <w:lang w:val="es-MX"/>
        </w:rPr>
      </w:pPr>
    </w:p>
    <w:p w14:paraId="09333433" w14:textId="77777777" w:rsidR="00CE2FE1" w:rsidRPr="00F40E63" w:rsidRDefault="00CE2FE1" w:rsidP="00CE2FE1">
      <w:pPr>
        <w:autoSpaceDE w:val="0"/>
        <w:autoSpaceDN w:val="0"/>
        <w:adjustRightInd w:val="0"/>
        <w:jc w:val="both"/>
        <w:rPr>
          <w:rFonts w:ascii="Abadi" w:hAnsi="Abadi" w:cs="ArialMT"/>
          <w:sz w:val="21"/>
          <w:szCs w:val="21"/>
          <w:lang w:val="es-MX"/>
        </w:rPr>
      </w:pPr>
      <w:r w:rsidRPr="00F40E63">
        <w:rPr>
          <w:rFonts w:ascii="Abadi" w:hAnsi="Abadi" w:cs="ArialMT"/>
          <w:sz w:val="21"/>
          <w:szCs w:val="21"/>
          <w:lang w:val="es-MX"/>
        </w:rPr>
        <w:t>Se instruye al Secretario General del Congreso archive de manera definitiva la propuesta de referencia.</w:t>
      </w:r>
    </w:p>
    <w:p w14:paraId="0C664AEB" w14:textId="77777777" w:rsidR="00CE2FE1" w:rsidRPr="00F40E63" w:rsidRDefault="00CE2FE1" w:rsidP="00CE2FE1">
      <w:pPr>
        <w:autoSpaceDE w:val="0"/>
        <w:autoSpaceDN w:val="0"/>
        <w:adjustRightInd w:val="0"/>
        <w:jc w:val="both"/>
        <w:rPr>
          <w:rFonts w:ascii="Abadi" w:hAnsi="Abadi" w:cs="ArialMT"/>
          <w:sz w:val="21"/>
          <w:szCs w:val="21"/>
          <w:lang w:val="es-MX"/>
        </w:rPr>
      </w:pPr>
    </w:p>
    <w:p w14:paraId="4B54CA4D" w14:textId="77777777" w:rsidR="00CE2FE1" w:rsidRPr="00F40E63" w:rsidRDefault="00CE2FE1" w:rsidP="00CE2FE1">
      <w:pPr>
        <w:autoSpaceDE w:val="0"/>
        <w:autoSpaceDN w:val="0"/>
        <w:adjustRightInd w:val="0"/>
        <w:jc w:val="both"/>
        <w:rPr>
          <w:rFonts w:ascii="Abadi" w:hAnsi="Abadi" w:cs="ArialMT"/>
          <w:sz w:val="21"/>
          <w:szCs w:val="21"/>
          <w:lang w:val="es-MX"/>
        </w:rPr>
      </w:pPr>
    </w:p>
    <w:p w14:paraId="0EE1B6E7" w14:textId="77777777" w:rsidR="00CE2FE1" w:rsidRPr="00F40E63" w:rsidRDefault="00CE2FE1" w:rsidP="000C5C10">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GUANAJUATO, GTO., A 11 DE MAYO DE 2022</w:t>
      </w:r>
    </w:p>
    <w:p w14:paraId="043287F9" w14:textId="77777777" w:rsidR="00CE2FE1" w:rsidRPr="00F40E63" w:rsidRDefault="00CE2FE1" w:rsidP="000C5C10">
      <w:pPr>
        <w:autoSpaceDE w:val="0"/>
        <w:autoSpaceDN w:val="0"/>
        <w:adjustRightInd w:val="0"/>
        <w:jc w:val="center"/>
        <w:rPr>
          <w:rFonts w:ascii="Abadi" w:hAnsi="Abadi" w:cs="ArialMT"/>
          <w:b/>
          <w:bCs/>
          <w:sz w:val="21"/>
          <w:szCs w:val="21"/>
          <w:lang w:val="es-MX"/>
        </w:rPr>
      </w:pPr>
    </w:p>
    <w:p w14:paraId="21971CF2" w14:textId="7E804241" w:rsidR="00CE2FE1" w:rsidRDefault="00CE2FE1" w:rsidP="000C5C10">
      <w:pPr>
        <w:autoSpaceDE w:val="0"/>
        <w:autoSpaceDN w:val="0"/>
        <w:adjustRightInd w:val="0"/>
        <w:jc w:val="center"/>
        <w:rPr>
          <w:rFonts w:ascii="Abadi" w:hAnsi="Abadi" w:cs="ArialMT"/>
          <w:b/>
          <w:bCs/>
          <w:sz w:val="21"/>
          <w:szCs w:val="21"/>
          <w:lang w:val="es-MX"/>
        </w:rPr>
      </w:pPr>
      <w:r w:rsidRPr="00F40E63">
        <w:rPr>
          <w:rFonts w:ascii="Abadi" w:hAnsi="Abadi" w:cs="ArialMT"/>
          <w:b/>
          <w:bCs/>
          <w:sz w:val="21"/>
          <w:szCs w:val="21"/>
          <w:lang w:val="es-MX"/>
        </w:rPr>
        <w:t>LA COMISIÓN DE GOBERNACIÓN Y PUNTOS CONSTITUCIONALES</w:t>
      </w:r>
    </w:p>
    <w:p w14:paraId="197AAA42" w14:textId="11E25629" w:rsidR="003661D5" w:rsidRDefault="003661D5" w:rsidP="000C5C10">
      <w:pPr>
        <w:autoSpaceDE w:val="0"/>
        <w:autoSpaceDN w:val="0"/>
        <w:adjustRightInd w:val="0"/>
        <w:jc w:val="center"/>
        <w:rPr>
          <w:rFonts w:ascii="Abadi" w:hAnsi="Abadi" w:cs="ArialMT"/>
          <w:b/>
          <w:bCs/>
          <w:sz w:val="21"/>
          <w:szCs w:val="21"/>
          <w:lang w:val="es-MX"/>
        </w:rPr>
      </w:pPr>
    </w:p>
    <w:p w14:paraId="0A0939C4" w14:textId="77777777" w:rsidR="003661D5" w:rsidRDefault="003661D5" w:rsidP="003661D5">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Susana Bermúdez Cano</w:t>
      </w:r>
    </w:p>
    <w:p w14:paraId="1EF9D1F2" w14:textId="77777777" w:rsidR="003661D5" w:rsidRDefault="003661D5" w:rsidP="003661D5">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Laura Cristina Márquez Alcalá</w:t>
      </w:r>
    </w:p>
    <w:p w14:paraId="70F7FE2A" w14:textId="77777777" w:rsidR="003661D5" w:rsidRDefault="003661D5" w:rsidP="003661D5">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Alma Edwviges Alcaraz Hernández</w:t>
      </w:r>
    </w:p>
    <w:p w14:paraId="74DE7582" w14:textId="77777777" w:rsidR="003661D5" w:rsidRDefault="003661D5" w:rsidP="003661D5">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Diputado Rolando Fortino Alcántar Rojas</w:t>
      </w:r>
    </w:p>
    <w:p w14:paraId="154EFDEE" w14:textId="77777777" w:rsidR="003661D5" w:rsidRDefault="003661D5" w:rsidP="003661D5">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Briseida Anabel Magdaleno González</w:t>
      </w:r>
    </w:p>
    <w:p w14:paraId="12705720" w14:textId="77777777" w:rsidR="003661D5" w:rsidRDefault="003661D5" w:rsidP="003661D5">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Diputada Yulma Rocha Aguilar</w:t>
      </w:r>
    </w:p>
    <w:p w14:paraId="7ACB1AEC" w14:textId="699761D7" w:rsidR="003661D5" w:rsidRDefault="003661D5" w:rsidP="003661D5">
      <w:pPr>
        <w:autoSpaceDE w:val="0"/>
        <w:autoSpaceDN w:val="0"/>
        <w:adjustRightInd w:val="0"/>
        <w:jc w:val="both"/>
        <w:rPr>
          <w:rFonts w:ascii="Abadi" w:hAnsi="Abadi" w:cs="*Calibri-Bold-4923-Identity-H"/>
          <w:b/>
          <w:bCs/>
          <w:color w:val="0A0A0F"/>
          <w:sz w:val="21"/>
          <w:szCs w:val="21"/>
        </w:rPr>
      </w:pPr>
      <w:r>
        <w:rPr>
          <w:rFonts w:ascii="Abadi" w:hAnsi="Abadi" w:cs="*Calibri-Bold-4923-Identity-H"/>
          <w:b/>
          <w:bCs/>
          <w:color w:val="0A0A0F"/>
          <w:sz w:val="21"/>
          <w:szCs w:val="21"/>
        </w:rPr>
        <w:t>Diputado Gerardo Fernández González</w:t>
      </w:r>
    </w:p>
    <w:p w14:paraId="2CACDED4" w14:textId="4671C627" w:rsidR="000464E9" w:rsidRDefault="00AB4AB2" w:rsidP="00AB4AB2">
      <w:pPr>
        <w:pStyle w:val="NormalWeb"/>
        <w:ind w:firstLine="708"/>
        <w:jc w:val="both"/>
        <w:rPr>
          <w:rFonts w:ascii="Abadi" w:hAnsi="Abadi"/>
          <w:sz w:val="21"/>
          <w:szCs w:val="21"/>
        </w:rPr>
      </w:pPr>
      <w:r>
        <w:rPr>
          <w:rFonts w:ascii="Abadi" w:hAnsi="Abadi"/>
          <w:b/>
          <w:bCs/>
          <w:sz w:val="21"/>
          <w:szCs w:val="21"/>
        </w:rPr>
        <w:t xml:space="preserve">- </w:t>
      </w:r>
      <w:r w:rsidR="000464E9" w:rsidRPr="004539F1">
        <w:rPr>
          <w:rFonts w:ascii="Abadi" w:hAnsi="Abadi"/>
          <w:b/>
          <w:bCs/>
          <w:sz w:val="21"/>
          <w:szCs w:val="21"/>
        </w:rPr>
        <w:t xml:space="preserve">La </w:t>
      </w:r>
      <w:proofErr w:type="gramStart"/>
      <w:r w:rsidR="000464E9" w:rsidRPr="004539F1">
        <w:rPr>
          <w:rFonts w:ascii="Abadi" w:hAnsi="Abadi"/>
          <w:b/>
          <w:bCs/>
          <w:sz w:val="21"/>
          <w:szCs w:val="21"/>
        </w:rPr>
        <w:t>Presidencia.-</w:t>
      </w:r>
      <w:proofErr w:type="gramEnd"/>
      <w:r w:rsidR="000464E9">
        <w:rPr>
          <w:rFonts w:ascii="Abadi" w:hAnsi="Abadi"/>
          <w:sz w:val="21"/>
          <w:szCs w:val="21"/>
        </w:rPr>
        <w:t xml:space="preserve"> P</w:t>
      </w:r>
      <w:r w:rsidR="000464E9" w:rsidRPr="0021199F">
        <w:rPr>
          <w:rFonts w:ascii="Abadi" w:hAnsi="Abadi"/>
          <w:sz w:val="21"/>
          <w:szCs w:val="21"/>
        </w:rPr>
        <w:t xml:space="preserve">rocede someter a discusión el dictamen signado por la Comisión de Gobernación y Puntos Constitucionales relativos. La propuesta de Punto de acuerdo suscrita por la diputada María Magdalena Rosales Cruz, integrante del </w:t>
      </w:r>
      <w:r w:rsidR="000464E9">
        <w:rPr>
          <w:rFonts w:ascii="Abadi" w:hAnsi="Abadi"/>
          <w:sz w:val="21"/>
          <w:szCs w:val="21"/>
        </w:rPr>
        <w:t>G</w:t>
      </w:r>
      <w:r w:rsidR="000464E9" w:rsidRPr="0021199F">
        <w:rPr>
          <w:rFonts w:ascii="Abadi" w:hAnsi="Abadi"/>
          <w:sz w:val="21"/>
          <w:szCs w:val="21"/>
        </w:rPr>
        <w:t xml:space="preserve">rupo </w:t>
      </w:r>
      <w:r w:rsidR="000464E9">
        <w:rPr>
          <w:rFonts w:ascii="Abadi" w:hAnsi="Abadi"/>
          <w:sz w:val="21"/>
          <w:szCs w:val="21"/>
        </w:rPr>
        <w:t>P</w:t>
      </w:r>
      <w:r w:rsidR="000464E9" w:rsidRPr="0021199F">
        <w:rPr>
          <w:rFonts w:ascii="Abadi" w:hAnsi="Abadi"/>
          <w:sz w:val="21"/>
          <w:szCs w:val="21"/>
        </w:rPr>
        <w:t>arlamentario del Partido Morena, a</w:t>
      </w:r>
      <w:r w:rsidR="000464E9">
        <w:rPr>
          <w:rFonts w:ascii="Abadi" w:hAnsi="Abadi"/>
          <w:sz w:val="21"/>
          <w:szCs w:val="21"/>
        </w:rPr>
        <w:t xml:space="preserve"> efecto</w:t>
      </w:r>
      <w:r w:rsidR="000464E9" w:rsidRPr="0021199F">
        <w:rPr>
          <w:rFonts w:ascii="Abadi" w:hAnsi="Abadi"/>
          <w:sz w:val="21"/>
          <w:szCs w:val="21"/>
        </w:rPr>
        <w:t xml:space="preserve"> de </w:t>
      </w:r>
      <w:r w:rsidR="000464E9">
        <w:rPr>
          <w:rFonts w:ascii="Abadi" w:hAnsi="Abadi"/>
          <w:sz w:val="21"/>
          <w:szCs w:val="21"/>
        </w:rPr>
        <w:t>exhortar</w:t>
      </w:r>
      <w:r w:rsidR="000464E9" w:rsidRPr="0021199F">
        <w:rPr>
          <w:rFonts w:ascii="Abadi" w:hAnsi="Abadi"/>
          <w:sz w:val="21"/>
          <w:szCs w:val="21"/>
        </w:rPr>
        <w:t xml:space="preserve"> al Poder Ejecutivo del Estado para que a través de la Secretaría de Gobierno se reali</w:t>
      </w:r>
      <w:r w:rsidR="000464E9">
        <w:rPr>
          <w:rFonts w:ascii="Abadi" w:hAnsi="Abadi"/>
          <w:sz w:val="21"/>
          <w:szCs w:val="21"/>
        </w:rPr>
        <w:t>ce</w:t>
      </w:r>
      <w:r w:rsidR="000464E9" w:rsidRPr="0021199F">
        <w:rPr>
          <w:rFonts w:ascii="Abadi" w:hAnsi="Abadi"/>
          <w:sz w:val="21"/>
          <w:szCs w:val="21"/>
        </w:rPr>
        <w:t xml:space="preserve"> una revisión</w:t>
      </w:r>
      <w:r w:rsidR="000464E9">
        <w:rPr>
          <w:rFonts w:ascii="Abadi" w:hAnsi="Abadi"/>
          <w:sz w:val="21"/>
          <w:szCs w:val="21"/>
        </w:rPr>
        <w:t xml:space="preserve"> y</w:t>
      </w:r>
      <w:r w:rsidR="000464E9" w:rsidRPr="0021199F">
        <w:rPr>
          <w:rFonts w:ascii="Abadi" w:hAnsi="Abadi"/>
          <w:sz w:val="21"/>
          <w:szCs w:val="21"/>
        </w:rPr>
        <w:t xml:space="preserve"> </w:t>
      </w:r>
      <w:r w:rsidR="000464E9">
        <w:rPr>
          <w:rFonts w:ascii="Abadi" w:hAnsi="Abadi"/>
          <w:sz w:val="21"/>
          <w:szCs w:val="21"/>
        </w:rPr>
        <w:t>r</w:t>
      </w:r>
      <w:r w:rsidR="000464E9" w:rsidRPr="0021199F">
        <w:rPr>
          <w:rFonts w:ascii="Abadi" w:hAnsi="Abadi"/>
          <w:sz w:val="21"/>
          <w:szCs w:val="21"/>
        </w:rPr>
        <w:t xml:space="preserve">eporte puntual en las dependencias que integran la Administración Pública centralizada del Poder Ejecutivo al titular del Supremo Tribunal de Justicia del Estado para que, a través del Consejo del Poder Judicial del Estado, se realiza una revisión y </w:t>
      </w:r>
      <w:r w:rsidR="000464E9">
        <w:rPr>
          <w:rFonts w:ascii="Abadi" w:hAnsi="Abadi"/>
          <w:sz w:val="21"/>
          <w:szCs w:val="21"/>
        </w:rPr>
        <w:t>r</w:t>
      </w:r>
      <w:r w:rsidR="000464E9" w:rsidRPr="0021199F">
        <w:rPr>
          <w:rFonts w:ascii="Abadi" w:hAnsi="Abadi"/>
          <w:sz w:val="21"/>
          <w:szCs w:val="21"/>
        </w:rPr>
        <w:t>eporte puntual de los órganos que la integran</w:t>
      </w:r>
      <w:r w:rsidR="000464E9">
        <w:rPr>
          <w:rFonts w:ascii="Abadi" w:hAnsi="Abadi"/>
          <w:sz w:val="21"/>
          <w:szCs w:val="21"/>
        </w:rPr>
        <w:t>,</w:t>
      </w:r>
      <w:r w:rsidR="000464E9" w:rsidRPr="0021199F">
        <w:rPr>
          <w:rFonts w:ascii="Abadi" w:hAnsi="Abadi"/>
          <w:sz w:val="21"/>
          <w:szCs w:val="21"/>
        </w:rPr>
        <w:t xml:space="preserve"> que lo integran, así como los organismos autónomos y a los ayuntamientos, para que de igual forma se realice una revisión y </w:t>
      </w:r>
      <w:r w:rsidR="000464E9">
        <w:rPr>
          <w:rFonts w:ascii="Abadi" w:hAnsi="Abadi"/>
          <w:sz w:val="21"/>
          <w:szCs w:val="21"/>
        </w:rPr>
        <w:t>r</w:t>
      </w:r>
      <w:r w:rsidR="000464E9" w:rsidRPr="0021199F">
        <w:rPr>
          <w:rFonts w:ascii="Abadi" w:hAnsi="Abadi"/>
          <w:sz w:val="21"/>
          <w:szCs w:val="21"/>
        </w:rPr>
        <w:t>eporte puntual de su ó</w:t>
      </w:r>
      <w:r w:rsidR="000464E9">
        <w:rPr>
          <w:rFonts w:ascii="Abadi" w:hAnsi="Abadi"/>
          <w:sz w:val="21"/>
          <w:szCs w:val="21"/>
        </w:rPr>
        <w:t>rgan</w:t>
      </w:r>
      <w:r w:rsidR="000464E9" w:rsidRPr="0021199F">
        <w:rPr>
          <w:rFonts w:ascii="Abadi" w:hAnsi="Abadi"/>
          <w:sz w:val="21"/>
          <w:szCs w:val="21"/>
        </w:rPr>
        <w:t>os</w:t>
      </w:r>
      <w:r w:rsidR="000464E9">
        <w:rPr>
          <w:rFonts w:ascii="Abadi" w:hAnsi="Abadi"/>
          <w:sz w:val="21"/>
          <w:szCs w:val="21"/>
        </w:rPr>
        <w:t xml:space="preserve"> </w:t>
      </w:r>
      <w:r w:rsidR="000464E9" w:rsidRPr="0021199F">
        <w:rPr>
          <w:rFonts w:ascii="Abadi" w:hAnsi="Abadi"/>
          <w:sz w:val="21"/>
          <w:szCs w:val="21"/>
        </w:rPr>
        <w:t>integradores, a fin de conocer el Estado que guarde el cumplimiento de</w:t>
      </w:r>
      <w:r w:rsidR="000464E9">
        <w:rPr>
          <w:rFonts w:ascii="Abadi" w:hAnsi="Abadi"/>
          <w:sz w:val="21"/>
          <w:szCs w:val="21"/>
        </w:rPr>
        <w:t xml:space="preserve"> </w:t>
      </w:r>
      <w:r w:rsidR="000464E9" w:rsidRPr="0021199F">
        <w:rPr>
          <w:rFonts w:ascii="Abadi" w:hAnsi="Abadi"/>
          <w:sz w:val="21"/>
          <w:szCs w:val="21"/>
        </w:rPr>
        <w:t xml:space="preserve">lo mandatado por la reciente reforma a la Constitución Política de los Estados Unidos </w:t>
      </w:r>
      <w:r w:rsidR="000464E9">
        <w:rPr>
          <w:rFonts w:ascii="Abadi" w:hAnsi="Abadi"/>
          <w:sz w:val="21"/>
          <w:szCs w:val="21"/>
        </w:rPr>
        <w:t>M</w:t>
      </w:r>
      <w:r w:rsidR="000464E9" w:rsidRPr="0021199F">
        <w:rPr>
          <w:rFonts w:ascii="Abadi" w:hAnsi="Abadi"/>
          <w:sz w:val="21"/>
          <w:szCs w:val="21"/>
        </w:rPr>
        <w:t xml:space="preserve">exicanos en los artículos </w:t>
      </w:r>
      <w:r w:rsidR="000464E9">
        <w:rPr>
          <w:rFonts w:ascii="Abadi" w:hAnsi="Abadi"/>
          <w:sz w:val="21"/>
          <w:szCs w:val="21"/>
        </w:rPr>
        <w:t xml:space="preserve">2º, 4to, 41, 52, 53, 56, 94, y 115 </w:t>
      </w:r>
      <w:r w:rsidR="000464E9" w:rsidRPr="0021199F">
        <w:rPr>
          <w:rFonts w:ascii="Abadi" w:hAnsi="Abadi"/>
          <w:sz w:val="21"/>
          <w:szCs w:val="21"/>
        </w:rPr>
        <w:t>en materia de paridad de género</w:t>
      </w:r>
      <w:r w:rsidR="000464E9">
        <w:rPr>
          <w:rFonts w:ascii="Abadi" w:hAnsi="Abadi"/>
          <w:sz w:val="21"/>
          <w:szCs w:val="21"/>
        </w:rPr>
        <w:t xml:space="preserve"> a</w:t>
      </w:r>
      <w:r w:rsidR="000464E9" w:rsidRPr="0021199F">
        <w:rPr>
          <w:rFonts w:ascii="Abadi" w:hAnsi="Abadi"/>
          <w:sz w:val="21"/>
          <w:szCs w:val="21"/>
        </w:rPr>
        <w:t xml:space="preserve">ntes, la </w:t>
      </w:r>
      <w:r w:rsidR="000464E9">
        <w:rPr>
          <w:rFonts w:ascii="Abadi" w:hAnsi="Abadi"/>
          <w:sz w:val="21"/>
          <w:szCs w:val="21"/>
        </w:rPr>
        <w:t>S</w:t>
      </w:r>
      <w:r w:rsidR="000464E9" w:rsidRPr="0021199F">
        <w:rPr>
          <w:rFonts w:ascii="Abadi" w:hAnsi="Abadi"/>
          <w:sz w:val="21"/>
          <w:szCs w:val="21"/>
        </w:rPr>
        <w:t xml:space="preserve">exagésima </w:t>
      </w:r>
      <w:r w:rsidR="000464E9">
        <w:rPr>
          <w:rFonts w:ascii="Abadi" w:hAnsi="Abadi"/>
          <w:sz w:val="21"/>
          <w:szCs w:val="21"/>
        </w:rPr>
        <w:t>C</w:t>
      </w:r>
      <w:r w:rsidR="000464E9" w:rsidRPr="0021199F">
        <w:rPr>
          <w:rFonts w:ascii="Abadi" w:hAnsi="Abadi"/>
          <w:sz w:val="21"/>
          <w:szCs w:val="21"/>
        </w:rPr>
        <w:t xml:space="preserve">uarta </w:t>
      </w:r>
      <w:r w:rsidR="000464E9">
        <w:rPr>
          <w:rFonts w:ascii="Abadi" w:hAnsi="Abadi"/>
          <w:sz w:val="21"/>
          <w:szCs w:val="21"/>
        </w:rPr>
        <w:t>L</w:t>
      </w:r>
      <w:r w:rsidR="000464E9" w:rsidRPr="0021199F">
        <w:rPr>
          <w:rFonts w:ascii="Abadi" w:hAnsi="Abadi"/>
          <w:sz w:val="21"/>
          <w:szCs w:val="21"/>
        </w:rPr>
        <w:t>egislatura</w:t>
      </w:r>
      <w:r w:rsidR="000464E9">
        <w:rPr>
          <w:rFonts w:ascii="Abadi" w:hAnsi="Abadi"/>
          <w:sz w:val="21"/>
          <w:szCs w:val="21"/>
        </w:rPr>
        <w:t>.</w:t>
      </w:r>
      <w:r w:rsidR="000464E9" w:rsidRPr="0021199F">
        <w:rPr>
          <w:rFonts w:ascii="Abadi" w:hAnsi="Abadi"/>
          <w:sz w:val="21"/>
          <w:szCs w:val="21"/>
        </w:rPr>
        <w:t xml:space="preserve"> </w:t>
      </w:r>
      <w:r w:rsidR="000464E9">
        <w:rPr>
          <w:rFonts w:ascii="Abadi" w:hAnsi="Abadi"/>
          <w:sz w:val="21"/>
          <w:szCs w:val="21"/>
        </w:rPr>
        <w:t>M</w:t>
      </w:r>
      <w:r w:rsidR="000464E9" w:rsidRPr="0021199F">
        <w:rPr>
          <w:rFonts w:ascii="Abadi" w:hAnsi="Abadi"/>
          <w:sz w:val="21"/>
          <w:szCs w:val="21"/>
        </w:rPr>
        <w:t>e permit</w:t>
      </w:r>
      <w:r w:rsidR="000464E9">
        <w:rPr>
          <w:rFonts w:ascii="Abadi" w:hAnsi="Abadi"/>
          <w:sz w:val="21"/>
          <w:szCs w:val="21"/>
        </w:rPr>
        <w:t>o</w:t>
      </w:r>
      <w:r w:rsidR="000464E9" w:rsidRPr="0021199F">
        <w:rPr>
          <w:rFonts w:ascii="Abadi" w:hAnsi="Abadi"/>
          <w:sz w:val="21"/>
          <w:szCs w:val="21"/>
        </w:rPr>
        <w:t xml:space="preserve"> informar que previamente se</w:t>
      </w:r>
      <w:r w:rsidR="000464E9">
        <w:rPr>
          <w:rFonts w:ascii="Abadi" w:hAnsi="Abadi"/>
          <w:sz w:val="21"/>
          <w:szCs w:val="21"/>
        </w:rPr>
        <w:t xml:space="preserve"> h</w:t>
      </w:r>
      <w:r w:rsidR="000464E9" w:rsidRPr="0021199F">
        <w:rPr>
          <w:rFonts w:ascii="Abadi" w:hAnsi="Abadi"/>
          <w:sz w:val="21"/>
          <w:szCs w:val="21"/>
        </w:rPr>
        <w:t>a</w:t>
      </w:r>
      <w:r w:rsidR="000464E9">
        <w:rPr>
          <w:rFonts w:ascii="Abadi" w:hAnsi="Abadi"/>
          <w:sz w:val="21"/>
          <w:szCs w:val="21"/>
        </w:rPr>
        <w:t>n</w:t>
      </w:r>
      <w:r w:rsidR="000464E9" w:rsidRPr="0021199F">
        <w:rPr>
          <w:rFonts w:ascii="Abadi" w:hAnsi="Abadi"/>
          <w:sz w:val="21"/>
          <w:szCs w:val="21"/>
        </w:rPr>
        <w:t xml:space="preserve"> </w:t>
      </w:r>
      <w:r w:rsidR="000464E9">
        <w:rPr>
          <w:rFonts w:ascii="Abadi" w:hAnsi="Abadi"/>
          <w:sz w:val="21"/>
          <w:szCs w:val="21"/>
        </w:rPr>
        <w:t>inscri</w:t>
      </w:r>
      <w:r w:rsidR="000464E9" w:rsidRPr="0021199F">
        <w:rPr>
          <w:rFonts w:ascii="Abadi" w:hAnsi="Abadi"/>
          <w:sz w:val="21"/>
          <w:szCs w:val="21"/>
        </w:rPr>
        <w:t xml:space="preserve">to la diputada Susana Bermúdez Cano para hablar a favor del dictamen. Si alguna otra diputada o algún diputado desea hacer uso de la palabra en pro o en contra, manifieste lo por favor, indicando el sentido de su participación. </w:t>
      </w:r>
    </w:p>
    <w:p w14:paraId="7EED2A2D" w14:textId="173D689F" w:rsidR="000464E9" w:rsidRDefault="00D1076E" w:rsidP="00D1076E">
      <w:pPr>
        <w:pStyle w:val="NormalWeb"/>
        <w:ind w:firstLine="708"/>
        <w:jc w:val="both"/>
        <w:rPr>
          <w:rFonts w:ascii="Abadi" w:hAnsi="Abadi"/>
          <w:sz w:val="21"/>
          <w:szCs w:val="21"/>
        </w:rPr>
      </w:pPr>
      <w:r>
        <w:rPr>
          <w:rFonts w:ascii="Abadi" w:hAnsi="Abadi"/>
          <w:sz w:val="21"/>
          <w:szCs w:val="21"/>
        </w:rPr>
        <w:t xml:space="preserve">- </w:t>
      </w:r>
      <w:r w:rsidR="000464E9" w:rsidRPr="0021199F">
        <w:rPr>
          <w:rFonts w:ascii="Abadi" w:hAnsi="Abadi"/>
          <w:sz w:val="21"/>
          <w:szCs w:val="21"/>
        </w:rPr>
        <w:t xml:space="preserve">Diputada Susana, </w:t>
      </w:r>
      <w:r w:rsidR="000464E9">
        <w:rPr>
          <w:rFonts w:ascii="Abadi" w:hAnsi="Abadi"/>
          <w:sz w:val="21"/>
          <w:szCs w:val="21"/>
        </w:rPr>
        <w:t>¿</w:t>
      </w:r>
      <w:r w:rsidR="000464E9" w:rsidRPr="0021199F">
        <w:rPr>
          <w:rFonts w:ascii="Abadi" w:hAnsi="Abadi"/>
          <w:sz w:val="21"/>
          <w:szCs w:val="21"/>
        </w:rPr>
        <w:t>para qué efecto</w:t>
      </w:r>
      <w:r w:rsidR="000464E9">
        <w:rPr>
          <w:rFonts w:ascii="Abadi" w:hAnsi="Abadi"/>
          <w:sz w:val="21"/>
          <w:szCs w:val="21"/>
        </w:rPr>
        <w:t>?</w:t>
      </w:r>
      <w:r w:rsidR="000464E9" w:rsidRPr="0021199F">
        <w:rPr>
          <w:rFonts w:ascii="Abadi" w:hAnsi="Abadi"/>
          <w:sz w:val="21"/>
          <w:szCs w:val="21"/>
        </w:rPr>
        <w:t xml:space="preserve"> </w:t>
      </w:r>
      <w:r w:rsidR="000464E9">
        <w:rPr>
          <w:rFonts w:ascii="Abadi" w:hAnsi="Abadi"/>
          <w:sz w:val="21"/>
          <w:szCs w:val="21"/>
        </w:rPr>
        <w:t>(Voz) Diputada susana. ¡Sí!</w:t>
      </w:r>
      <w:r w:rsidR="000464E9" w:rsidRPr="0021199F">
        <w:rPr>
          <w:rFonts w:ascii="Abadi" w:hAnsi="Abadi"/>
          <w:sz w:val="21"/>
          <w:szCs w:val="21"/>
        </w:rPr>
        <w:t xml:space="preserve"> para declinar la participación</w:t>
      </w:r>
      <w:r w:rsidR="000464E9">
        <w:rPr>
          <w:rFonts w:ascii="Abadi" w:hAnsi="Abadi"/>
          <w:sz w:val="21"/>
          <w:szCs w:val="21"/>
        </w:rPr>
        <w:t>, (Voz) Presidencia, m</w:t>
      </w:r>
      <w:r w:rsidR="000464E9" w:rsidRPr="0021199F">
        <w:rPr>
          <w:rFonts w:ascii="Abadi" w:hAnsi="Abadi"/>
          <w:sz w:val="21"/>
          <w:szCs w:val="21"/>
        </w:rPr>
        <w:t xml:space="preserve">uchas gracias, diputada </w:t>
      </w:r>
    </w:p>
    <w:p w14:paraId="6B780545" w14:textId="739BFF48" w:rsidR="000464E9" w:rsidRDefault="00FC1758" w:rsidP="00FC1758">
      <w:pPr>
        <w:pStyle w:val="NormalWeb"/>
        <w:ind w:firstLine="708"/>
        <w:jc w:val="both"/>
        <w:rPr>
          <w:rFonts w:ascii="Abadi" w:hAnsi="Abadi"/>
          <w:sz w:val="21"/>
          <w:szCs w:val="21"/>
        </w:rPr>
      </w:pPr>
      <w:r>
        <w:rPr>
          <w:rFonts w:ascii="Abadi" w:hAnsi="Abadi"/>
          <w:b/>
          <w:bCs/>
          <w:sz w:val="21"/>
          <w:szCs w:val="21"/>
        </w:rPr>
        <w:t xml:space="preserve">- </w:t>
      </w:r>
      <w:r w:rsidR="000464E9" w:rsidRPr="004539F1">
        <w:rPr>
          <w:rFonts w:ascii="Abadi" w:hAnsi="Abadi"/>
          <w:b/>
          <w:bCs/>
          <w:sz w:val="21"/>
          <w:szCs w:val="21"/>
        </w:rPr>
        <w:t xml:space="preserve">La </w:t>
      </w:r>
      <w:proofErr w:type="gramStart"/>
      <w:r w:rsidR="000464E9" w:rsidRPr="004539F1">
        <w:rPr>
          <w:rFonts w:ascii="Abadi" w:hAnsi="Abadi"/>
          <w:b/>
          <w:bCs/>
          <w:sz w:val="21"/>
          <w:szCs w:val="21"/>
        </w:rPr>
        <w:t>Presidencia.-</w:t>
      </w:r>
      <w:proofErr w:type="gramEnd"/>
      <w:r w:rsidR="000464E9">
        <w:rPr>
          <w:rFonts w:ascii="Abadi" w:hAnsi="Abadi"/>
          <w:sz w:val="21"/>
          <w:szCs w:val="21"/>
        </w:rPr>
        <w:t xml:space="preserve"> </w:t>
      </w:r>
      <w:r w:rsidR="000464E9" w:rsidRPr="0021199F">
        <w:rPr>
          <w:rFonts w:ascii="Abadi" w:hAnsi="Abadi"/>
          <w:sz w:val="21"/>
          <w:szCs w:val="21"/>
        </w:rPr>
        <w:t xml:space="preserve"> </w:t>
      </w:r>
      <w:r w:rsidR="000464E9">
        <w:rPr>
          <w:rFonts w:ascii="Abadi" w:hAnsi="Abadi"/>
          <w:sz w:val="21"/>
          <w:szCs w:val="21"/>
        </w:rPr>
        <w:t xml:space="preserve">En </w:t>
      </w:r>
      <w:r w:rsidR="000464E9" w:rsidRPr="0021199F">
        <w:rPr>
          <w:rFonts w:ascii="Abadi" w:hAnsi="Abadi"/>
          <w:sz w:val="21"/>
          <w:szCs w:val="21"/>
        </w:rPr>
        <w:t>vi</w:t>
      </w:r>
      <w:r w:rsidR="000464E9">
        <w:rPr>
          <w:rFonts w:ascii="Abadi" w:hAnsi="Abadi"/>
          <w:sz w:val="21"/>
          <w:szCs w:val="21"/>
        </w:rPr>
        <w:t>rtud</w:t>
      </w:r>
      <w:r w:rsidR="000464E9" w:rsidRPr="0021199F">
        <w:rPr>
          <w:rFonts w:ascii="Abadi" w:hAnsi="Abadi"/>
          <w:sz w:val="21"/>
          <w:szCs w:val="21"/>
        </w:rPr>
        <w:t xml:space="preserve"> de que ya no hay participaciones</w:t>
      </w:r>
      <w:r w:rsidR="000464E9">
        <w:rPr>
          <w:rFonts w:ascii="Abadi" w:hAnsi="Abadi"/>
          <w:sz w:val="21"/>
          <w:szCs w:val="21"/>
        </w:rPr>
        <w:t>, s</w:t>
      </w:r>
      <w:r w:rsidR="000464E9" w:rsidRPr="0021199F">
        <w:rPr>
          <w:rFonts w:ascii="Abadi" w:hAnsi="Abadi"/>
          <w:sz w:val="21"/>
          <w:szCs w:val="21"/>
        </w:rPr>
        <w:t xml:space="preserve">e pide la </w:t>
      </w:r>
      <w:r w:rsidR="000464E9">
        <w:rPr>
          <w:rFonts w:ascii="Abadi" w:hAnsi="Abadi"/>
          <w:sz w:val="21"/>
          <w:szCs w:val="21"/>
        </w:rPr>
        <w:t>S</w:t>
      </w:r>
      <w:r w:rsidR="000464E9" w:rsidRPr="0021199F">
        <w:rPr>
          <w:rFonts w:ascii="Abadi" w:hAnsi="Abadi"/>
          <w:sz w:val="21"/>
          <w:szCs w:val="21"/>
        </w:rPr>
        <w:t>ecretar</w:t>
      </w:r>
      <w:r w:rsidR="000464E9">
        <w:rPr>
          <w:rFonts w:ascii="Abadi" w:hAnsi="Abadi"/>
          <w:sz w:val="21"/>
          <w:szCs w:val="21"/>
        </w:rPr>
        <w:t>i</w:t>
      </w:r>
      <w:r w:rsidR="000464E9" w:rsidRPr="0021199F">
        <w:rPr>
          <w:rFonts w:ascii="Abadi" w:hAnsi="Abadi"/>
          <w:sz w:val="21"/>
          <w:szCs w:val="21"/>
        </w:rPr>
        <w:t xml:space="preserve">a que proceda </w:t>
      </w:r>
      <w:r w:rsidR="000464E9">
        <w:rPr>
          <w:rFonts w:ascii="Abadi" w:hAnsi="Abadi"/>
          <w:sz w:val="21"/>
          <w:szCs w:val="21"/>
        </w:rPr>
        <w:t xml:space="preserve">a </w:t>
      </w:r>
      <w:r w:rsidR="000464E9" w:rsidRPr="0021199F">
        <w:rPr>
          <w:rFonts w:ascii="Abadi" w:hAnsi="Abadi"/>
          <w:sz w:val="21"/>
          <w:szCs w:val="21"/>
        </w:rPr>
        <w:t>recabar votación nominal de la</w:t>
      </w:r>
      <w:r w:rsidR="000464E9">
        <w:rPr>
          <w:rFonts w:ascii="Abadi" w:hAnsi="Abadi"/>
          <w:sz w:val="21"/>
          <w:szCs w:val="21"/>
        </w:rPr>
        <w:t xml:space="preserve"> asamblea</w:t>
      </w:r>
      <w:r w:rsidR="000464E9" w:rsidRPr="0021199F">
        <w:rPr>
          <w:rFonts w:ascii="Abadi" w:hAnsi="Abadi"/>
          <w:sz w:val="21"/>
          <w:szCs w:val="21"/>
        </w:rPr>
        <w:t xml:space="preserve"> a través del sistema electrónico</w:t>
      </w:r>
      <w:r w:rsidR="000464E9">
        <w:rPr>
          <w:rFonts w:ascii="Abadi" w:hAnsi="Abadi"/>
          <w:sz w:val="21"/>
          <w:szCs w:val="21"/>
        </w:rPr>
        <w:t xml:space="preserve"> a efecto</w:t>
      </w:r>
      <w:r w:rsidR="000464E9" w:rsidRPr="0021199F">
        <w:rPr>
          <w:rFonts w:ascii="Abadi" w:hAnsi="Abadi"/>
          <w:sz w:val="21"/>
          <w:szCs w:val="21"/>
        </w:rPr>
        <w:t xml:space="preserve"> de aprobar</w:t>
      </w:r>
      <w:r w:rsidR="000464E9">
        <w:rPr>
          <w:rFonts w:ascii="Abadi" w:hAnsi="Abadi"/>
          <w:sz w:val="21"/>
          <w:szCs w:val="21"/>
        </w:rPr>
        <w:t xml:space="preserve"> </w:t>
      </w:r>
      <w:r w:rsidR="000464E9" w:rsidRPr="0021199F">
        <w:rPr>
          <w:rFonts w:ascii="Abadi" w:hAnsi="Abadi"/>
          <w:sz w:val="21"/>
          <w:szCs w:val="21"/>
        </w:rPr>
        <w:t>o</w:t>
      </w:r>
      <w:r w:rsidR="000464E9">
        <w:rPr>
          <w:rFonts w:ascii="Abadi" w:hAnsi="Abadi"/>
          <w:sz w:val="21"/>
          <w:szCs w:val="21"/>
        </w:rPr>
        <w:t xml:space="preserve"> </w:t>
      </w:r>
      <w:r w:rsidR="000464E9" w:rsidRPr="0021199F">
        <w:rPr>
          <w:rFonts w:ascii="Abadi" w:hAnsi="Abadi"/>
          <w:sz w:val="21"/>
          <w:szCs w:val="21"/>
        </w:rPr>
        <w:t>n</w:t>
      </w:r>
      <w:r w:rsidR="000464E9">
        <w:rPr>
          <w:rFonts w:ascii="Abadi" w:hAnsi="Abadi"/>
          <w:sz w:val="21"/>
          <w:szCs w:val="21"/>
        </w:rPr>
        <w:t>o</w:t>
      </w:r>
      <w:r w:rsidR="000464E9" w:rsidRPr="0021199F">
        <w:rPr>
          <w:rFonts w:ascii="Abadi" w:hAnsi="Abadi"/>
          <w:sz w:val="21"/>
          <w:szCs w:val="21"/>
        </w:rPr>
        <w:t xml:space="preserve"> </w:t>
      </w:r>
      <w:r w:rsidR="000464E9">
        <w:rPr>
          <w:rFonts w:ascii="Abadi" w:hAnsi="Abadi"/>
          <w:sz w:val="21"/>
          <w:szCs w:val="21"/>
        </w:rPr>
        <w:t>el dictamen</w:t>
      </w:r>
      <w:r w:rsidR="000464E9" w:rsidRPr="0021199F">
        <w:rPr>
          <w:rFonts w:ascii="Abadi" w:hAnsi="Abadi"/>
          <w:sz w:val="21"/>
          <w:szCs w:val="21"/>
        </w:rPr>
        <w:t xml:space="preserve"> pues</w:t>
      </w:r>
      <w:r w:rsidR="000464E9">
        <w:rPr>
          <w:rFonts w:ascii="Abadi" w:hAnsi="Abadi"/>
          <w:sz w:val="21"/>
          <w:szCs w:val="21"/>
        </w:rPr>
        <w:t>to</w:t>
      </w:r>
      <w:r w:rsidR="000464E9" w:rsidRPr="0021199F">
        <w:rPr>
          <w:rFonts w:ascii="Abadi" w:hAnsi="Abadi"/>
          <w:sz w:val="21"/>
          <w:szCs w:val="21"/>
        </w:rPr>
        <w:t xml:space="preserve"> a su consideración. </w:t>
      </w:r>
    </w:p>
    <w:p w14:paraId="766F0AE5" w14:textId="29E34FC3" w:rsidR="000464E9" w:rsidRPr="009B6329" w:rsidRDefault="000464E9" w:rsidP="00D1076E">
      <w:pPr>
        <w:pStyle w:val="NormalWeb"/>
        <w:jc w:val="center"/>
        <w:rPr>
          <w:rFonts w:ascii="Abadi" w:hAnsi="Abadi"/>
          <w:b/>
          <w:bCs/>
          <w:sz w:val="21"/>
          <w:szCs w:val="21"/>
        </w:rPr>
      </w:pPr>
      <w:r w:rsidRPr="009B6329">
        <w:rPr>
          <w:rFonts w:ascii="Abadi" w:hAnsi="Abadi"/>
          <w:b/>
          <w:bCs/>
          <w:sz w:val="21"/>
          <w:szCs w:val="21"/>
        </w:rPr>
        <w:t>(Se abre el sistema electrónico)</w:t>
      </w:r>
    </w:p>
    <w:p w14:paraId="1D01E383" w14:textId="5E3DB200" w:rsidR="000464E9" w:rsidRDefault="00D1076E" w:rsidP="00D1076E">
      <w:pPr>
        <w:pStyle w:val="NormalWeb"/>
        <w:ind w:firstLine="708"/>
        <w:jc w:val="both"/>
        <w:rPr>
          <w:rFonts w:ascii="Abadi" w:hAnsi="Abadi"/>
          <w:sz w:val="21"/>
          <w:szCs w:val="21"/>
        </w:rPr>
      </w:pPr>
      <w:r>
        <w:rPr>
          <w:rFonts w:ascii="Abadi" w:hAnsi="Abadi"/>
          <w:b/>
          <w:bCs/>
          <w:sz w:val="21"/>
          <w:szCs w:val="21"/>
        </w:rPr>
        <w:t xml:space="preserve">- </w:t>
      </w:r>
      <w:r w:rsidR="000464E9" w:rsidRPr="009B6329">
        <w:rPr>
          <w:rFonts w:ascii="Abadi" w:hAnsi="Abadi"/>
          <w:b/>
          <w:bCs/>
          <w:sz w:val="21"/>
          <w:szCs w:val="21"/>
        </w:rPr>
        <w:t xml:space="preserve">La </w:t>
      </w:r>
      <w:proofErr w:type="gramStart"/>
      <w:r w:rsidR="000464E9" w:rsidRPr="009B6329">
        <w:rPr>
          <w:rFonts w:ascii="Abadi" w:hAnsi="Abadi"/>
          <w:b/>
          <w:bCs/>
          <w:sz w:val="21"/>
          <w:szCs w:val="21"/>
        </w:rPr>
        <w:t>Secretar</w:t>
      </w:r>
      <w:r w:rsidR="000464E9">
        <w:rPr>
          <w:rFonts w:ascii="Abadi" w:hAnsi="Abadi"/>
          <w:b/>
          <w:bCs/>
          <w:sz w:val="21"/>
          <w:szCs w:val="21"/>
        </w:rPr>
        <w:t>i</w:t>
      </w:r>
      <w:r w:rsidR="000464E9" w:rsidRPr="009B6329">
        <w:rPr>
          <w:rFonts w:ascii="Abadi" w:hAnsi="Abadi"/>
          <w:b/>
          <w:bCs/>
          <w:sz w:val="21"/>
          <w:szCs w:val="21"/>
        </w:rPr>
        <w:t>a.-</w:t>
      </w:r>
      <w:proofErr w:type="gramEnd"/>
      <w:r w:rsidR="000464E9">
        <w:rPr>
          <w:rFonts w:ascii="Abadi" w:hAnsi="Abadi"/>
          <w:sz w:val="21"/>
          <w:szCs w:val="21"/>
        </w:rPr>
        <w:t xml:space="preserve"> En votación nominal a través del sistema el</w:t>
      </w:r>
      <w:r w:rsidR="000464E9" w:rsidRPr="0021199F">
        <w:rPr>
          <w:rFonts w:ascii="Abadi" w:hAnsi="Abadi"/>
          <w:sz w:val="21"/>
          <w:szCs w:val="21"/>
        </w:rPr>
        <w:t>e</w:t>
      </w:r>
      <w:r w:rsidR="000464E9">
        <w:rPr>
          <w:rFonts w:ascii="Abadi" w:hAnsi="Abadi"/>
          <w:sz w:val="21"/>
          <w:szCs w:val="21"/>
        </w:rPr>
        <w:t>ctronico, se</w:t>
      </w:r>
      <w:r w:rsidR="000464E9" w:rsidRPr="0021199F">
        <w:rPr>
          <w:rFonts w:ascii="Abadi" w:hAnsi="Abadi"/>
          <w:sz w:val="21"/>
          <w:szCs w:val="21"/>
        </w:rPr>
        <w:t xml:space="preserve"> pregunta a las </w:t>
      </w:r>
      <w:r w:rsidR="000464E9">
        <w:rPr>
          <w:rFonts w:ascii="Abadi" w:hAnsi="Abadi"/>
          <w:sz w:val="21"/>
          <w:szCs w:val="21"/>
        </w:rPr>
        <w:t>d</w:t>
      </w:r>
      <w:r w:rsidR="000464E9" w:rsidRPr="0021199F">
        <w:rPr>
          <w:rFonts w:ascii="Abadi" w:hAnsi="Abadi"/>
          <w:sz w:val="21"/>
          <w:szCs w:val="21"/>
        </w:rPr>
        <w:t>iputadas</w:t>
      </w:r>
      <w:r w:rsidR="000464E9">
        <w:rPr>
          <w:rFonts w:ascii="Abadi" w:hAnsi="Abadi"/>
          <w:sz w:val="21"/>
          <w:szCs w:val="21"/>
        </w:rPr>
        <w:t xml:space="preserve"> y a </w:t>
      </w:r>
      <w:r w:rsidR="000464E9" w:rsidRPr="0021199F">
        <w:rPr>
          <w:rFonts w:ascii="Abadi" w:hAnsi="Abadi"/>
          <w:sz w:val="21"/>
          <w:szCs w:val="21"/>
        </w:rPr>
        <w:t>los diputados</w:t>
      </w:r>
      <w:r w:rsidR="000464E9">
        <w:rPr>
          <w:rFonts w:ascii="Abadi" w:hAnsi="Abadi"/>
          <w:sz w:val="21"/>
          <w:szCs w:val="21"/>
        </w:rPr>
        <w:t xml:space="preserve">, si se </w:t>
      </w:r>
      <w:r w:rsidR="000464E9" w:rsidRPr="0021199F">
        <w:rPr>
          <w:rFonts w:ascii="Abadi" w:hAnsi="Abadi"/>
          <w:sz w:val="21"/>
          <w:szCs w:val="21"/>
        </w:rPr>
        <w:t xml:space="preserve"> apr</w:t>
      </w:r>
      <w:r w:rsidR="000464E9">
        <w:rPr>
          <w:rFonts w:ascii="Abadi" w:hAnsi="Abadi"/>
          <w:sz w:val="21"/>
          <w:szCs w:val="21"/>
        </w:rPr>
        <w:t>ueba</w:t>
      </w:r>
      <w:r w:rsidR="000464E9" w:rsidRPr="0021199F">
        <w:rPr>
          <w:rFonts w:ascii="Abadi" w:hAnsi="Abadi"/>
          <w:sz w:val="21"/>
          <w:szCs w:val="21"/>
        </w:rPr>
        <w:t xml:space="preserve"> el dictamen puesto a su consideración</w:t>
      </w:r>
      <w:r w:rsidR="000464E9">
        <w:rPr>
          <w:rFonts w:ascii="Abadi" w:hAnsi="Abadi"/>
          <w:sz w:val="21"/>
          <w:szCs w:val="21"/>
        </w:rPr>
        <w:t>. ¿</w:t>
      </w:r>
      <w:r w:rsidR="000464E9" w:rsidRPr="0021199F">
        <w:rPr>
          <w:rFonts w:ascii="Abadi" w:hAnsi="Abadi"/>
          <w:sz w:val="21"/>
          <w:szCs w:val="21"/>
        </w:rPr>
        <w:t xml:space="preserve">Diputada </w:t>
      </w:r>
      <w:r w:rsidR="000464E9">
        <w:rPr>
          <w:rFonts w:ascii="Abadi" w:hAnsi="Abadi"/>
          <w:sz w:val="21"/>
          <w:szCs w:val="21"/>
        </w:rPr>
        <w:t>Alma Edwviges?</w:t>
      </w:r>
      <w:r w:rsidR="000464E9" w:rsidRPr="0021199F">
        <w:rPr>
          <w:rFonts w:ascii="Abadi" w:hAnsi="Abadi"/>
          <w:sz w:val="21"/>
          <w:szCs w:val="21"/>
        </w:rPr>
        <w:t xml:space="preserve"> Gracias,</w:t>
      </w:r>
      <w:r w:rsidR="000464E9">
        <w:rPr>
          <w:rFonts w:ascii="Abadi" w:hAnsi="Abadi"/>
          <w:sz w:val="21"/>
          <w:szCs w:val="21"/>
        </w:rPr>
        <w:t xml:space="preserve"> d</w:t>
      </w:r>
      <w:r w:rsidR="000464E9" w:rsidRPr="0021199F">
        <w:rPr>
          <w:rFonts w:ascii="Abadi" w:hAnsi="Abadi"/>
          <w:sz w:val="21"/>
          <w:szCs w:val="21"/>
        </w:rPr>
        <w:t xml:space="preserve">iputada </w:t>
      </w:r>
      <w:r w:rsidR="000464E9">
        <w:rPr>
          <w:rFonts w:ascii="Abadi" w:hAnsi="Abadi"/>
          <w:sz w:val="21"/>
          <w:szCs w:val="21"/>
        </w:rPr>
        <w:t>aun no aparecía, ¿D</w:t>
      </w:r>
      <w:r w:rsidR="000464E9" w:rsidRPr="0021199F">
        <w:rPr>
          <w:rFonts w:ascii="Abadi" w:hAnsi="Abadi"/>
          <w:sz w:val="21"/>
          <w:szCs w:val="21"/>
        </w:rPr>
        <w:t>iputada R</w:t>
      </w:r>
      <w:r w:rsidR="000464E9">
        <w:rPr>
          <w:rFonts w:ascii="Abadi" w:hAnsi="Abadi"/>
          <w:sz w:val="21"/>
          <w:szCs w:val="21"/>
        </w:rPr>
        <w:t>uth Tiscareño? Gracias, diputada.</w:t>
      </w:r>
      <w:r w:rsidR="000464E9" w:rsidRPr="0021199F">
        <w:rPr>
          <w:rFonts w:ascii="Abadi" w:hAnsi="Abadi"/>
          <w:sz w:val="21"/>
          <w:szCs w:val="21"/>
        </w:rPr>
        <w:t xml:space="preserve"> </w:t>
      </w:r>
    </w:p>
    <w:p w14:paraId="6C81D6DA" w14:textId="77777777" w:rsidR="000464E9" w:rsidRDefault="000464E9" w:rsidP="000464E9">
      <w:pPr>
        <w:pStyle w:val="NormalWeb"/>
        <w:jc w:val="both"/>
        <w:rPr>
          <w:rFonts w:ascii="Abadi" w:hAnsi="Abadi"/>
          <w:sz w:val="21"/>
          <w:szCs w:val="21"/>
        </w:rPr>
      </w:pPr>
      <w:r>
        <w:rPr>
          <w:rFonts w:ascii="Abadi" w:hAnsi="Abadi"/>
          <w:sz w:val="21"/>
          <w:szCs w:val="21"/>
        </w:rPr>
        <w:t>¿</w:t>
      </w:r>
      <w:r w:rsidRPr="0021199F">
        <w:rPr>
          <w:rFonts w:ascii="Abadi" w:hAnsi="Abadi"/>
          <w:sz w:val="21"/>
          <w:szCs w:val="21"/>
        </w:rPr>
        <w:t>Falta alguna diputada</w:t>
      </w:r>
      <w:r>
        <w:rPr>
          <w:rFonts w:ascii="Abadi" w:hAnsi="Abadi"/>
          <w:sz w:val="21"/>
          <w:szCs w:val="21"/>
        </w:rPr>
        <w:t>, a</w:t>
      </w:r>
      <w:r w:rsidRPr="0021199F">
        <w:rPr>
          <w:rFonts w:ascii="Abadi" w:hAnsi="Abadi"/>
          <w:sz w:val="21"/>
          <w:szCs w:val="21"/>
        </w:rPr>
        <w:t xml:space="preserve">lgún diputado de emitir su voto? </w:t>
      </w:r>
    </w:p>
    <w:p w14:paraId="4C1C6739" w14:textId="77777777" w:rsidR="000464E9" w:rsidRDefault="000464E9" w:rsidP="00D1076E">
      <w:pPr>
        <w:pStyle w:val="NormalWeb"/>
        <w:jc w:val="center"/>
        <w:rPr>
          <w:rFonts w:ascii="Abadi" w:hAnsi="Abadi"/>
          <w:b/>
          <w:bCs/>
          <w:sz w:val="21"/>
          <w:szCs w:val="21"/>
        </w:rPr>
      </w:pPr>
      <w:r w:rsidRPr="009B6329">
        <w:rPr>
          <w:rFonts w:ascii="Abadi" w:hAnsi="Abadi"/>
          <w:b/>
          <w:bCs/>
          <w:sz w:val="21"/>
          <w:szCs w:val="21"/>
        </w:rPr>
        <w:t>(Se cierra el sistema electrónico)</w:t>
      </w:r>
    </w:p>
    <w:p w14:paraId="78B0E3A0" w14:textId="77777777" w:rsidR="000464E9" w:rsidRPr="009B6329" w:rsidRDefault="000464E9" w:rsidP="000464E9">
      <w:pPr>
        <w:pStyle w:val="NormalWeb"/>
        <w:jc w:val="both"/>
        <w:rPr>
          <w:rFonts w:ascii="Abadi" w:hAnsi="Abadi"/>
          <w:b/>
          <w:bCs/>
          <w:sz w:val="21"/>
          <w:szCs w:val="21"/>
        </w:rPr>
      </w:pPr>
      <w:r>
        <w:rPr>
          <w:noProof/>
        </w:rPr>
        <w:drawing>
          <wp:inline distT="0" distB="0" distL="0" distR="0" wp14:anchorId="604594F2" wp14:editId="2B622CA8">
            <wp:extent cx="2325649" cy="1202267"/>
            <wp:effectExtent l="152400" t="152400" r="360680" b="360045"/>
            <wp:docPr id="37" name="Imagen 37" descr="Interfaz de usuario gráfica, Sitio web&#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nterfaz de usuario gráfica, Sitio web&#10;&#10;Descripción generada automáticamente con confianza media"/>
                    <pic:cNvPicPr/>
                  </pic:nvPicPr>
                  <pic:blipFill rotWithShape="1">
                    <a:blip r:embed="rId55"/>
                    <a:srcRect b="8052"/>
                    <a:stretch/>
                  </pic:blipFill>
                  <pic:spPr bwMode="auto">
                    <a:xfrm>
                      <a:off x="0" y="0"/>
                      <a:ext cx="2342657" cy="12110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5195CDF" w14:textId="77C1413B" w:rsidR="000464E9" w:rsidRDefault="00625184" w:rsidP="00625184">
      <w:pPr>
        <w:pStyle w:val="NormalWeb"/>
        <w:ind w:firstLine="708"/>
        <w:jc w:val="both"/>
        <w:rPr>
          <w:rFonts w:ascii="Abadi" w:hAnsi="Abadi"/>
          <w:sz w:val="21"/>
          <w:szCs w:val="21"/>
        </w:rPr>
      </w:pPr>
      <w:r>
        <w:rPr>
          <w:rFonts w:ascii="Abadi" w:hAnsi="Abadi"/>
          <w:b/>
          <w:bCs/>
          <w:sz w:val="21"/>
          <w:szCs w:val="21"/>
        </w:rPr>
        <w:t xml:space="preserve">- </w:t>
      </w:r>
      <w:r w:rsidR="000464E9" w:rsidRPr="009B6329">
        <w:rPr>
          <w:rFonts w:ascii="Abadi" w:hAnsi="Abadi"/>
          <w:b/>
          <w:bCs/>
          <w:sz w:val="21"/>
          <w:szCs w:val="21"/>
        </w:rPr>
        <w:t xml:space="preserve">La </w:t>
      </w:r>
      <w:proofErr w:type="gramStart"/>
      <w:r w:rsidR="000464E9" w:rsidRPr="009B6329">
        <w:rPr>
          <w:rFonts w:ascii="Abadi" w:hAnsi="Abadi"/>
          <w:b/>
          <w:bCs/>
          <w:sz w:val="21"/>
          <w:szCs w:val="21"/>
        </w:rPr>
        <w:t>Secretar</w:t>
      </w:r>
      <w:r w:rsidR="000464E9">
        <w:rPr>
          <w:rFonts w:ascii="Abadi" w:hAnsi="Abadi"/>
          <w:b/>
          <w:bCs/>
          <w:sz w:val="21"/>
          <w:szCs w:val="21"/>
        </w:rPr>
        <w:t>i</w:t>
      </w:r>
      <w:r w:rsidR="000464E9" w:rsidRPr="009B6329">
        <w:rPr>
          <w:rFonts w:ascii="Abadi" w:hAnsi="Abadi"/>
          <w:b/>
          <w:bCs/>
          <w:sz w:val="21"/>
          <w:szCs w:val="21"/>
        </w:rPr>
        <w:t>a.-</w:t>
      </w:r>
      <w:proofErr w:type="gramEnd"/>
      <w:r w:rsidR="000464E9" w:rsidRPr="0021199F">
        <w:rPr>
          <w:rFonts w:ascii="Abadi" w:hAnsi="Abadi"/>
          <w:sz w:val="21"/>
          <w:szCs w:val="21"/>
        </w:rPr>
        <w:t xml:space="preserve"> Se registraron </w:t>
      </w:r>
      <w:r w:rsidR="000464E9">
        <w:rPr>
          <w:rFonts w:ascii="Abadi" w:hAnsi="Abadi"/>
          <w:sz w:val="21"/>
          <w:szCs w:val="21"/>
        </w:rPr>
        <w:t>27</w:t>
      </w:r>
      <w:r w:rsidR="000464E9" w:rsidRPr="0021199F">
        <w:rPr>
          <w:rFonts w:ascii="Abadi" w:hAnsi="Abadi"/>
          <w:sz w:val="21"/>
          <w:szCs w:val="21"/>
        </w:rPr>
        <w:t xml:space="preserve"> votos a favor y </w:t>
      </w:r>
      <w:r w:rsidR="000464E9">
        <w:rPr>
          <w:rFonts w:ascii="Abadi" w:hAnsi="Abadi"/>
          <w:sz w:val="21"/>
          <w:szCs w:val="21"/>
        </w:rPr>
        <w:t>8</w:t>
      </w:r>
      <w:r w:rsidR="000464E9" w:rsidRPr="0021199F">
        <w:rPr>
          <w:rFonts w:ascii="Abadi" w:hAnsi="Abadi"/>
          <w:sz w:val="21"/>
          <w:szCs w:val="21"/>
        </w:rPr>
        <w:t xml:space="preserve"> votos en contra. </w:t>
      </w:r>
    </w:p>
    <w:p w14:paraId="290CB8A5" w14:textId="3568DECE" w:rsidR="000464E9" w:rsidRDefault="00625184" w:rsidP="00625184">
      <w:pPr>
        <w:pStyle w:val="NormalWeb"/>
        <w:ind w:firstLine="708"/>
        <w:jc w:val="both"/>
        <w:rPr>
          <w:rFonts w:ascii="Abadi" w:hAnsi="Abadi"/>
          <w:sz w:val="21"/>
          <w:szCs w:val="21"/>
        </w:rPr>
      </w:pPr>
      <w:r>
        <w:rPr>
          <w:rFonts w:ascii="Abadi" w:hAnsi="Abadi"/>
          <w:b/>
          <w:bCs/>
          <w:sz w:val="21"/>
          <w:szCs w:val="21"/>
        </w:rPr>
        <w:t xml:space="preserve">- </w:t>
      </w:r>
      <w:r w:rsidR="000464E9" w:rsidRPr="004539F1">
        <w:rPr>
          <w:rFonts w:ascii="Abadi" w:hAnsi="Abadi"/>
          <w:b/>
          <w:bCs/>
          <w:sz w:val="21"/>
          <w:szCs w:val="21"/>
        </w:rPr>
        <w:t xml:space="preserve">La </w:t>
      </w:r>
      <w:proofErr w:type="gramStart"/>
      <w:r w:rsidR="000464E9" w:rsidRPr="004539F1">
        <w:rPr>
          <w:rFonts w:ascii="Abadi" w:hAnsi="Abadi"/>
          <w:b/>
          <w:bCs/>
          <w:sz w:val="21"/>
          <w:szCs w:val="21"/>
        </w:rPr>
        <w:t>Presidencia.-</w:t>
      </w:r>
      <w:proofErr w:type="gramEnd"/>
      <w:r w:rsidR="000464E9">
        <w:rPr>
          <w:rFonts w:ascii="Abadi" w:hAnsi="Abadi"/>
          <w:sz w:val="21"/>
          <w:szCs w:val="21"/>
        </w:rPr>
        <w:t xml:space="preserve"> </w:t>
      </w:r>
      <w:r w:rsidR="000464E9" w:rsidRPr="0021199F">
        <w:rPr>
          <w:rFonts w:ascii="Abadi" w:hAnsi="Abadi"/>
          <w:sz w:val="21"/>
          <w:szCs w:val="21"/>
        </w:rPr>
        <w:t xml:space="preserve">El dictamen ha sido aprobado por mayoría de votos. </w:t>
      </w:r>
    </w:p>
    <w:p w14:paraId="68145F6A" w14:textId="725BBE20" w:rsidR="000464E9" w:rsidRDefault="00625184" w:rsidP="003961A2">
      <w:pPr>
        <w:pStyle w:val="NormalWeb"/>
        <w:ind w:firstLine="708"/>
        <w:jc w:val="both"/>
        <w:rPr>
          <w:rFonts w:ascii="Abadi" w:hAnsi="Abadi"/>
          <w:sz w:val="21"/>
          <w:szCs w:val="21"/>
        </w:rPr>
      </w:pPr>
      <w:r>
        <w:rPr>
          <w:rFonts w:ascii="Abadi" w:hAnsi="Abadi"/>
          <w:sz w:val="21"/>
          <w:szCs w:val="21"/>
        </w:rPr>
        <w:t xml:space="preserve">- </w:t>
      </w:r>
      <w:r w:rsidR="000464E9" w:rsidRPr="0021199F">
        <w:rPr>
          <w:rFonts w:ascii="Abadi" w:hAnsi="Abadi"/>
          <w:sz w:val="21"/>
          <w:szCs w:val="21"/>
        </w:rPr>
        <w:t>En consecuencia</w:t>
      </w:r>
      <w:r w:rsidR="000464E9">
        <w:rPr>
          <w:rFonts w:ascii="Abadi" w:hAnsi="Abadi"/>
          <w:sz w:val="21"/>
          <w:szCs w:val="21"/>
        </w:rPr>
        <w:t>.</w:t>
      </w:r>
    </w:p>
    <w:p w14:paraId="709D5EAA" w14:textId="77777777" w:rsidR="000464E9" w:rsidRPr="00F33951" w:rsidRDefault="000464E9" w:rsidP="000464E9">
      <w:pPr>
        <w:pStyle w:val="NormalWeb"/>
        <w:ind w:left="426" w:right="616"/>
        <w:jc w:val="both"/>
        <w:rPr>
          <w:rFonts w:ascii="Abadi" w:hAnsi="Abadi"/>
          <w:b/>
          <w:bCs/>
          <w:i/>
          <w:iCs/>
          <w:sz w:val="21"/>
          <w:szCs w:val="21"/>
          <w:u w:val="single"/>
        </w:rPr>
      </w:pPr>
      <w:r w:rsidRPr="00F33951">
        <w:rPr>
          <w:rFonts w:ascii="Abadi" w:hAnsi="Abadi"/>
          <w:b/>
          <w:bCs/>
          <w:i/>
          <w:iCs/>
          <w:sz w:val="21"/>
          <w:szCs w:val="21"/>
          <w:u w:val="single"/>
        </w:rPr>
        <w:t>Se instruye a la Secretaría General para que proceda al archivo definitivo de la propuesta de punto de acuerdo referida en el dictamen aprobado.</w:t>
      </w:r>
    </w:p>
    <w:p w14:paraId="7E58B88C" w14:textId="77777777" w:rsidR="000464E9" w:rsidRDefault="000464E9" w:rsidP="003661D5">
      <w:pPr>
        <w:autoSpaceDE w:val="0"/>
        <w:autoSpaceDN w:val="0"/>
        <w:adjustRightInd w:val="0"/>
        <w:jc w:val="both"/>
        <w:rPr>
          <w:rFonts w:ascii="Abadi" w:hAnsi="Abadi" w:cs="*Calibri-Bold-4923-Identity-H"/>
          <w:b/>
          <w:bCs/>
          <w:color w:val="0A0A0F"/>
          <w:sz w:val="21"/>
          <w:szCs w:val="21"/>
        </w:rPr>
      </w:pPr>
    </w:p>
    <w:p w14:paraId="4508E089" w14:textId="77777777" w:rsidR="00AB2E1F" w:rsidRPr="00396F30" w:rsidRDefault="00AB2E1F" w:rsidP="00021259">
      <w:pPr>
        <w:autoSpaceDE w:val="0"/>
        <w:autoSpaceDN w:val="0"/>
        <w:adjustRightInd w:val="0"/>
        <w:jc w:val="both"/>
        <w:rPr>
          <w:rFonts w:ascii="Abadi" w:hAnsi="Abadi" w:cs="ArialMT"/>
          <w:b/>
          <w:bCs/>
          <w:sz w:val="20"/>
          <w:szCs w:val="21"/>
        </w:rPr>
      </w:pPr>
    </w:p>
    <w:p w14:paraId="1511B4AB" w14:textId="77777777" w:rsidR="00021259" w:rsidRPr="00300604" w:rsidRDefault="00021259" w:rsidP="00343CA9">
      <w:pPr>
        <w:pStyle w:val="Prrafodelista"/>
        <w:numPr>
          <w:ilvl w:val="0"/>
          <w:numId w:val="24"/>
        </w:numPr>
        <w:autoSpaceDE w:val="0"/>
        <w:autoSpaceDN w:val="0"/>
        <w:adjustRightInd w:val="0"/>
        <w:ind w:left="426"/>
        <w:jc w:val="both"/>
        <w:rPr>
          <w:rFonts w:ascii="Abadi" w:hAnsi="Abadi" w:cs="ArialMT"/>
          <w:b/>
          <w:bCs/>
          <w:sz w:val="20"/>
          <w:szCs w:val="21"/>
        </w:rPr>
      </w:pPr>
      <w:r w:rsidRPr="00300604">
        <w:rPr>
          <w:rFonts w:ascii="Abadi" w:hAnsi="Abadi" w:cs="ArialMT"/>
          <w:b/>
          <w:bCs/>
          <w:sz w:val="20"/>
          <w:szCs w:val="21"/>
        </w:rPr>
        <w:t>DISCUSIÓN Y, EN SU CASO, APROBACIÓN DEL DICTAMEN PRESENTADO POR LA COMISIÓN DE ASUNTOS MUNICIPALES RELATIVO A LA PROPUESTA DE PUNTO DE ACUERDO FORMULADA POR DIPUTADAS Y DIPUTADOS INTEGRANTES DEL GRUPO PARLAMENTARIO DEL PARTIDO ACCIÓN NACIONAL MEDIANTE EL CUAL EL CONGRESO DEL ESTADO LIBRE Y SOBERANO DE GUANAJUATO EFECTÚA UN RESPETUOSO EXHORTO A LOS CUARENTA Y SEIS AYUNTAMIENTOS, A EFECTO DE DAR SEGUIMIENTO A LA INSTALACIÓN DE LOS CONSEJOS MUNICIPALES DE ADULTOS MAYORES Y SE EXPIDAN LOS REGLAMENTOS CORRESPONDIENTES.</w:t>
      </w:r>
    </w:p>
    <w:p w14:paraId="2F1A596D" w14:textId="23DDC6AE" w:rsidR="00DC678A" w:rsidRDefault="00DC678A" w:rsidP="00DC678A">
      <w:pPr>
        <w:autoSpaceDE w:val="0"/>
        <w:autoSpaceDN w:val="0"/>
        <w:adjustRightInd w:val="0"/>
        <w:ind w:left="66"/>
        <w:jc w:val="both"/>
        <w:rPr>
          <w:rFonts w:ascii="Abadi" w:hAnsi="Abadi" w:cs="ArialMT"/>
          <w:b/>
          <w:bCs/>
          <w:sz w:val="20"/>
          <w:szCs w:val="21"/>
        </w:rPr>
      </w:pPr>
    </w:p>
    <w:p w14:paraId="0E1BD403" w14:textId="7C4CBAD5" w:rsidR="00DC678A" w:rsidRPr="009F70C9" w:rsidRDefault="00DC678A" w:rsidP="00DC678A">
      <w:pPr>
        <w:autoSpaceDE w:val="0"/>
        <w:autoSpaceDN w:val="0"/>
        <w:adjustRightInd w:val="0"/>
        <w:ind w:left="66"/>
        <w:jc w:val="both"/>
        <w:rPr>
          <w:rFonts w:ascii="Abadi" w:hAnsi="Abadi" w:cs="ArialMT"/>
          <w:b/>
          <w:bCs/>
          <w:sz w:val="20"/>
          <w:szCs w:val="21"/>
        </w:rPr>
      </w:pPr>
    </w:p>
    <w:p w14:paraId="2A0DFDAE" w14:textId="77777777" w:rsidR="00227475" w:rsidRPr="00375036" w:rsidRDefault="00227475" w:rsidP="00227475">
      <w:pPr>
        <w:autoSpaceDE w:val="0"/>
        <w:autoSpaceDN w:val="0"/>
        <w:adjustRightInd w:val="0"/>
        <w:ind w:left="66"/>
        <w:jc w:val="both"/>
        <w:rPr>
          <w:rFonts w:ascii="Abadi" w:hAnsi="Abadi" w:cs="ArialMT"/>
          <w:b/>
          <w:bCs/>
          <w:sz w:val="21"/>
          <w:szCs w:val="21"/>
        </w:rPr>
      </w:pPr>
      <w:proofErr w:type="spellStart"/>
      <w:r w:rsidRPr="00375036">
        <w:rPr>
          <w:rFonts w:ascii="Abadi" w:hAnsi="Abadi" w:cs="ArialMT"/>
          <w:b/>
          <w:bCs/>
          <w:sz w:val="21"/>
          <w:szCs w:val="21"/>
        </w:rPr>
        <w:t>Dip</w:t>
      </w:r>
      <w:proofErr w:type="spellEnd"/>
      <w:r w:rsidRPr="00375036">
        <w:rPr>
          <w:rFonts w:ascii="Abadi" w:hAnsi="Abadi" w:cs="ArialMT"/>
          <w:b/>
          <w:bCs/>
          <w:sz w:val="21"/>
          <w:szCs w:val="21"/>
        </w:rPr>
        <w:t>. Irma Leticia González Sánchez</w:t>
      </w:r>
    </w:p>
    <w:p w14:paraId="75C9CCFB" w14:textId="77777777" w:rsidR="00227475" w:rsidRPr="00375036" w:rsidRDefault="00227475" w:rsidP="00227475">
      <w:pPr>
        <w:autoSpaceDE w:val="0"/>
        <w:autoSpaceDN w:val="0"/>
        <w:adjustRightInd w:val="0"/>
        <w:ind w:left="66"/>
        <w:jc w:val="both"/>
        <w:rPr>
          <w:rFonts w:ascii="Abadi" w:hAnsi="Abadi" w:cs="ArialMT"/>
          <w:b/>
          <w:bCs/>
          <w:sz w:val="21"/>
          <w:szCs w:val="21"/>
        </w:rPr>
      </w:pPr>
      <w:r w:rsidRPr="00375036">
        <w:rPr>
          <w:rFonts w:ascii="Abadi" w:hAnsi="Abadi" w:cs="ArialMT"/>
          <w:b/>
          <w:bCs/>
          <w:sz w:val="21"/>
          <w:szCs w:val="21"/>
        </w:rPr>
        <w:t>Presidenta del Congreso del Estado</w:t>
      </w:r>
    </w:p>
    <w:p w14:paraId="59C9B20B" w14:textId="77777777" w:rsidR="00227475" w:rsidRPr="00375036" w:rsidRDefault="00227475" w:rsidP="00227475">
      <w:pPr>
        <w:autoSpaceDE w:val="0"/>
        <w:autoSpaceDN w:val="0"/>
        <w:adjustRightInd w:val="0"/>
        <w:ind w:left="66"/>
        <w:jc w:val="both"/>
        <w:rPr>
          <w:rFonts w:ascii="Abadi" w:hAnsi="Abadi" w:cs="ArialMT"/>
          <w:b/>
          <w:bCs/>
          <w:sz w:val="21"/>
          <w:szCs w:val="21"/>
        </w:rPr>
      </w:pPr>
      <w:r w:rsidRPr="00375036">
        <w:rPr>
          <w:rFonts w:ascii="Abadi" w:hAnsi="Abadi" w:cs="ArialMT"/>
          <w:b/>
          <w:bCs/>
          <w:sz w:val="21"/>
          <w:szCs w:val="21"/>
        </w:rPr>
        <w:t>P r e s e n t e.</w:t>
      </w:r>
    </w:p>
    <w:p w14:paraId="29C02963" w14:textId="77777777" w:rsidR="00227475" w:rsidRPr="00375036" w:rsidRDefault="00227475" w:rsidP="00227475">
      <w:pPr>
        <w:autoSpaceDE w:val="0"/>
        <w:autoSpaceDN w:val="0"/>
        <w:adjustRightInd w:val="0"/>
        <w:ind w:left="66"/>
        <w:jc w:val="both"/>
        <w:rPr>
          <w:rFonts w:ascii="Abadi" w:hAnsi="Abadi" w:cs="ArialMT"/>
          <w:sz w:val="21"/>
          <w:szCs w:val="21"/>
        </w:rPr>
      </w:pPr>
    </w:p>
    <w:p w14:paraId="4C008931" w14:textId="7FBDEB1A" w:rsidR="00227475" w:rsidRPr="00375036" w:rsidRDefault="00227475" w:rsidP="009F70C9">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 xml:space="preserve">A la Comisión de Asuntos Municipales le fue turnada para estudio y dictamen la propuesta de punto de acuerdo formulada por diputadas y diputados integrantes del Grupo Parlamentario del Partido Acción Nacional mediante el cual el Congreso del Estado Libre y Soberano de Guanajuato efectúa un respetuoso exhorto a los cuarenta y seis ayuntamientos, a efecto de dar seguimiento a la instalación de los </w:t>
      </w:r>
      <w:r w:rsidR="00326C43" w:rsidRPr="00375036">
        <w:rPr>
          <w:rFonts w:ascii="Abadi" w:hAnsi="Abadi" w:cs="ArialMT"/>
          <w:sz w:val="21"/>
          <w:szCs w:val="21"/>
        </w:rPr>
        <w:t>Consejos Municipales</w:t>
      </w:r>
      <w:r w:rsidRPr="00375036">
        <w:rPr>
          <w:rFonts w:ascii="Abadi" w:hAnsi="Abadi" w:cs="ArialMT"/>
          <w:sz w:val="21"/>
          <w:szCs w:val="21"/>
        </w:rPr>
        <w:t xml:space="preserve"> </w:t>
      </w:r>
      <w:r w:rsidR="00D837CD" w:rsidRPr="00375036">
        <w:rPr>
          <w:rFonts w:ascii="Abadi" w:hAnsi="Abadi" w:cs="ArialMT"/>
          <w:sz w:val="21"/>
          <w:szCs w:val="21"/>
        </w:rPr>
        <w:t xml:space="preserve">de </w:t>
      </w:r>
      <w:proofErr w:type="gramStart"/>
      <w:r w:rsidR="00D837CD" w:rsidRPr="00375036">
        <w:rPr>
          <w:rFonts w:ascii="Abadi" w:hAnsi="Abadi" w:cs="ArialMT"/>
          <w:sz w:val="21"/>
          <w:szCs w:val="21"/>
        </w:rPr>
        <w:t>Adultos</w:t>
      </w:r>
      <w:r w:rsidRPr="00375036">
        <w:rPr>
          <w:rFonts w:ascii="Abadi" w:hAnsi="Abadi" w:cs="ArialMT"/>
          <w:sz w:val="21"/>
          <w:szCs w:val="21"/>
        </w:rPr>
        <w:t xml:space="preserve">  Mayores</w:t>
      </w:r>
      <w:proofErr w:type="gramEnd"/>
      <w:r w:rsidRPr="00375036">
        <w:rPr>
          <w:rFonts w:ascii="Abadi" w:hAnsi="Abadi" w:cs="ArialMT"/>
          <w:sz w:val="21"/>
          <w:szCs w:val="21"/>
        </w:rPr>
        <w:t xml:space="preserve">  y  se  expidan  los  reglamentos correspondientes.</w:t>
      </w:r>
    </w:p>
    <w:p w14:paraId="4B9BE88E" w14:textId="77777777" w:rsidR="00227475" w:rsidRPr="00375036" w:rsidRDefault="00227475" w:rsidP="00227475">
      <w:pPr>
        <w:autoSpaceDE w:val="0"/>
        <w:autoSpaceDN w:val="0"/>
        <w:adjustRightInd w:val="0"/>
        <w:ind w:left="66"/>
        <w:jc w:val="both"/>
        <w:rPr>
          <w:rFonts w:ascii="Abadi" w:hAnsi="Abadi" w:cs="ArialMT"/>
          <w:sz w:val="21"/>
          <w:szCs w:val="21"/>
        </w:rPr>
      </w:pPr>
    </w:p>
    <w:p w14:paraId="37355B90" w14:textId="77777777" w:rsidR="00227475" w:rsidRPr="00375036" w:rsidRDefault="00227475" w:rsidP="009F70C9">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Analizada la propuesta de referencia, esta Comisión Dictaminadora de conformidad con lo dispuesto en los artículos 104 fracción II y 171 de la Ley Orgánica del Poder Legislativo del Estado de Guanajuato, rinde el dictamen con base en las siguientes:</w:t>
      </w:r>
    </w:p>
    <w:p w14:paraId="15068433" w14:textId="5C8B2298" w:rsidR="00227475" w:rsidRPr="00375036" w:rsidRDefault="00227475" w:rsidP="00227475">
      <w:pPr>
        <w:autoSpaceDE w:val="0"/>
        <w:autoSpaceDN w:val="0"/>
        <w:adjustRightInd w:val="0"/>
        <w:ind w:left="66"/>
        <w:jc w:val="both"/>
        <w:rPr>
          <w:rFonts w:ascii="Abadi" w:hAnsi="Abadi" w:cs="ArialMT"/>
          <w:sz w:val="21"/>
          <w:szCs w:val="21"/>
        </w:rPr>
      </w:pPr>
    </w:p>
    <w:p w14:paraId="60BB12E2" w14:textId="77777777" w:rsidR="00487ECA" w:rsidRPr="00375036" w:rsidRDefault="00487ECA" w:rsidP="00227475">
      <w:pPr>
        <w:autoSpaceDE w:val="0"/>
        <w:autoSpaceDN w:val="0"/>
        <w:adjustRightInd w:val="0"/>
        <w:ind w:left="66"/>
        <w:jc w:val="both"/>
        <w:rPr>
          <w:rFonts w:ascii="Abadi" w:hAnsi="Abadi" w:cs="ArialMT"/>
          <w:sz w:val="21"/>
          <w:szCs w:val="21"/>
        </w:rPr>
      </w:pPr>
    </w:p>
    <w:p w14:paraId="360A46AF" w14:textId="77777777" w:rsidR="00227475" w:rsidRPr="00375036" w:rsidRDefault="00227475" w:rsidP="009F70C9">
      <w:pPr>
        <w:autoSpaceDE w:val="0"/>
        <w:autoSpaceDN w:val="0"/>
        <w:adjustRightInd w:val="0"/>
        <w:ind w:left="66"/>
        <w:jc w:val="center"/>
        <w:rPr>
          <w:rFonts w:ascii="Abadi" w:hAnsi="Abadi" w:cs="ArialMT"/>
          <w:b/>
          <w:bCs/>
          <w:sz w:val="21"/>
          <w:szCs w:val="21"/>
        </w:rPr>
      </w:pPr>
      <w:r w:rsidRPr="00375036">
        <w:rPr>
          <w:rFonts w:ascii="Abadi" w:hAnsi="Abadi" w:cs="ArialMT"/>
          <w:b/>
          <w:bCs/>
          <w:sz w:val="21"/>
          <w:szCs w:val="21"/>
        </w:rPr>
        <w:t>D I C T A M E N</w:t>
      </w:r>
    </w:p>
    <w:p w14:paraId="43467D38" w14:textId="77777777" w:rsidR="00227475" w:rsidRPr="00375036" w:rsidRDefault="00227475" w:rsidP="00227475">
      <w:pPr>
        <w:autoSpaceDE w:val="0"/>
        <w:autoSpaceDN w:val="0"/>
        <w:adjustRightInd w:val="0"/>
        <w:ind w:left="66"/>
        <w:jc w:val="both"/>
        <w:rPr>
          <w:rFonts w:ascii="Abadi" w:hAnsi="Abadi" w:cs="ArialMT"/>
          <w:sz w:val="21"/>
          <w:szCs w:val="21"/>
        </w:rPr>
      </w:pPr>
    </w:p>
    <w:p w14:paraId="023E986D" w14:textId="77777777" w:rsidR="00227475" w:rsidRPr="00375036" w:rsidRDefault="00227475" w:rsidP="00227475">
      <w:pPr>
        <w:autoSpaceDE w:val="0"/>
        <w:autoSpaceDN w:val="0"/>
        <w:adjustRightInd w:val="0"/>
        <w:ind w:left="66"/>
        <w:jc w:val="both"/>
        <w:rPr>
          <w:rFonts w:ascii="Abadi" w:hAnsi="Abadi" w:cs="ArialMT"/>
          <w:sz w:val="21"/>
          <w:szCs w:val="21"/>
        </w:rPr>
      </w:pPr>
      <w:r w:rsidRPr="00375036">
        <w:rPr>
          <w:rFonts w:ascii="Abadi" w:hAnsi="Abadi" w:cs="ArialMT"/>
          <w:b/>
          <w:bCs/>
          <w:sz w:val="21"/>
          <w:szCs w:val="21"/>
        </w:rPr>
        <w:t>Antecedentes</w:t>
      </w:r>
      <w:r w:rsidRPr="00375036">
        <w:rPr>
          <w:rFonts w:ascii="Abadi" w:hAnsi="Abadi" w:cs="ArialMT"/>
          <w:sz w:val="21"/>
          <w:szCs w:val="21"/>
        </w:rPr>
        <w:t>.</w:t>
      </w:r>
    </w:p>
    <w:p w14:paraId="366A4139" w14:textId="77777777" w:rsidR="00227475" w:rsidRPr="00375036" w:rsidRDefault="00227475" w:rsidP="00227475">
      <w:pPr>
        <w:autoSpaceDE w:val="0"/>
        <w:autoSpaceDN w:val="0"/>
        <w:adjustRightInd w:val="0"/>
        <w:ind w:left="66"/>
        <w:jc w:val="both"/>
        <w:rPr>
          <w:rFonts w:ascii="Abadi" w:hAnsi="Abadi" w:cs="ArialMT"/>
          <w:sz w:val="21"/>
          <w:szCs w:val="21"/>
        </w:rPr>
      </w:pPr>
    </w:p>
    <w:p w14:paraId="25550752" w14:textId="77777777" w:rsidR="00227475" w:rsidRPr="00375036" w:rsidRDefault="00227475" w:rsidP="00487ECA">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 xml:space="preserve">La presidencia de la Mesa Directiva en sesión de fecha 16 de diciembre de 2021 turnó a la Comisión de Asuntos Municipales, con fundamento en el artículo 104 fracción II de la Ley Orgánica del Poder Legislativo del Estado de Guanajuato, para efectos de estudio y dictamen, propuesta de punto de acuerdo formulada por diputadas y diputados integrantes del Grupo Parlamentario del Partido Acción Nacional mediante el cual el Congreso del Estado Libre y Soberano de Guanajuato efectúa  un respetuoso exhorto a los cuarenta y seis ayuntamientos, a efecto de dar seguimiento a la instalación de los Consejos Municipales de Adultos Mayores y se expidan los reglamentos correspondientes.  </w:t>
      </w:r>
    </w:p>
    <w:p w14:paraId="4A069693" w14:textId="77777777" w:rsidR="00227475" w:rsidRPr="00375036" w:rsidRDefault="00227475" w:rsidP="00227475">
      <w:pPr>
        <w:autoSpaceDE w:val="0"/>
        <w:autoSpaceDN w:val="0"/>
        <w:adjustRightInd w:val="0"/>
        <w:ind w:left="66"/>
        <w:jc w:val="both"/>
        <w:rPr>
          <w:rFonts w:ascii="Abadi" w:hAnsi="Abadi" w:cs="ArialMT"/>
          <w:sz w:val="21"/>
          <w:szCs w:val="21"/>
        </w:rPr>
      </w:pPr>
    </w:p>
    <w:p w14:paraId="79CB71AC" w14:textId="77777777" w:rsidR="00227475" w:rsidRPr="00375036" w:rsidRDefault="00227475" w:rsidP="00487ECA">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La propuesta fue radicada en reunión de esta Comisión de Asuntos Municipales aprobándose la metodología para su estudio y dictamen, el día diez de febrero de dos mil veintidós. Agotada la metodología, la presidencia de esta Comisión instruyó la elaboración del dictamen en sentido positivo en los términos de la propuesta.</w:t>
      </w:r>
    </w:p>
    <w:p w14:paraId="0CD4BF62" w14:textId="77777777" w:rsidR="00227475" w:rsidRPr="00375036" w:rsidRDefault="00227475" w:rsidP="00227475">
      <w:pPr>
        <w:autoSpaceDE w:val="0"/>
        <w:autoSpaceDN w:val="0"/>
        <w:adjustRightInd w:val="0"/>
        <w:ind w:left="66"/>
        <w:jc w:val="both"/>
        <w:rPr>
          <w:rFonts w:ascii="Abadi" w:hAnsi="Abadi" w:cs="ArialMT"/>
          <w:sz w:val="21"/>
          <w:szCs w:val="21"/>
        </w:rPr>
      </w:pPr>
    </w:p>
    <w:p w14:paraId="58BEDBA8" w14:textId="77777777" w:rsidR="00227475" w:rsidRPr="00375036" w:rsidRDefault="00227475" w:rsidP="00487ECA">
      <w:pPr>
        <w:autoSpaceDE w:val="0"/>
        <w:autoSpaceDN w:val="0"/>
        <w:adjustRightInd w:val="0"/>
        <w:ind w:left="66" w:firstLine="642"/>
        <w:jc w:val="both"/>
        <w:rPr>
          <w:rFonts w:ascii="Abadi" w:hAnsi="Abadi" w:cs="ArialMT"/>
          <w:b/>
          <w:bCs/>
          <w:sz w:val="21"/>
          <w:szCs w:val="21"/>
        </w:rPr>
      </w:pPr>
      <w:r w:rsidRPr="00375036">
        <w:rPr>
          <w:rFonts w:ascii="Abadi" w:hAnsi="Abadi" w:cs="ArialMT"/>
          <w:b/>
          <w:bCs/>
          <w:sz w:val="21"/>
          <w:szCs w:val="21"/>
        </w:rPr>
        <w:t>Metodología de trabajo</w:t>
      </w:r>
    </w:p>
    <w:p w14:paraId="2CFD99B1" w14:textId="77777777" w:rsidR="00227475" w:rsidRPr="00375036" w:rsidRDefault="00227475" w:rsidP="00227475">
      <w:pPr>
        <w:autoSpaceDE w:val="0"/>
        <w:autoSpaceDN w:val="0"/>
        <w:adjustRightInd w:val="0"/>
        <w:ind w:left="66"/>
        <w:jc w:val="both"/>
        <w:rPr>
          <w:rFonts w:ascii="Abadi" w:hAnsi="Abadi" w:cs="ArialMT"/>
          <w:sz w:val="21"/>
          <w:szCs w:val="21"/>
        </w:rPr>
      </w:pPr>
    </w:p>
    <w:p w14:paraId="17FDF717" w14:textId="77777777" w:rsidR="00227475" w:rsidRPr="00375036" w:rsidRDefault="00227475" w:rsidP="00487ECA">
      <w:pPr>
        <w:autoSpaceDE w:val="0"/>
        <w:autoSpaceDN w:val="0"/>
        <w:adjustRightInd w:val="0"/>
        <w:ind w:left="66" w:firstLine="642"/>
        <w:jc w:val="both"/>
        <w:rPr>
          <w:rFonts w:ascii="Abadi" w:hAnsi="Abadi" w:cs="ArialMT"/>
          <w:i/>
          <w:iCs/>
          <w:sz w:val="21"/>
          <w:szCs w:val="21"/>
        </w:rPr>
      </w:pPr>
      <w:r w:rsidRPr="00375036">
        <w:rPr>
          <w:rFonts w:ascii="Abadi" w:hAnsi="Abadi" w:cs="ArialMT"/>
          <w:i/>
          <w:iCs/>
          <w:sz w:val="21"/>
          <w:szCs w:val="21"/>
        </w:rPr>
        <w:t>1. Realizar una mesa de trabajo permanente con diputados y asesores a efecto de analizar el planteamiento del exhorto. 2. La Comisión solicitará a la secretaría técnica realice un documento con proyecto de dictamen. 3. La secretaría técnica elaborará el proyecto de dictamen correspondiente y lo remitirá a los integrantes de la Comisión y a los asesores de los grupos parlamentarios, para que formulen observaciones. 4. Reunión de Comisión para en su caso, aprobar el dictamen.</w:t>
      </w:r>
    </w:p>
    <w:p w14:paraId="04FCF464" w14:textId="77777777" w:rsidR="00227475" w:rsidRPr="00375036" w:rsidRDefault="00227475" w:rsidP="00227475">
      <w:pPr>
        <w:autoSpaceDE w:val="0"/>
        <w:autoSpaceDN w:val="0"/>
        <w:adjustRightInd w:val="0"/>
        <w:ind w:left="66"/>
        <w:jc w:val="both"/>
        <w:rPr>
          <w:rFonts w:ascii="Abadi" w:hAnsi="Abadi" w:cs="ArialMT"/>
          <w:sz w:val="21"/>
          <w:szCs w:val="21"/>
        </w:rPr>
      </w:pPr>
    </w:p>
    <w:p w14:paraId="77385B4B" w14:textId="77777777" w:rsidR="00227475" w:rsidRPr="00375036" w:rsidRDefault="00227475" w:rsidP="00487ECA">
      <w:pPr>
        <w:autoSpaceDE w:val="0"/>
        <w:autoSpaceDN w:val="0"/>
        <w:adjustRightInd w:val="0"/>
        <w:ind w:left="66"/>
        <w:jc w:val="center"/>
        <w:rPr>
          <w:rFonts w:ascii="Abadi" w:hAnsi="Abadi" w:cs="ArialMT"/>
          <w:b/>
          <w:bCs/>
          <w:sz w:val="21"/>
          <w:szCs w:val="21"/>
        </w:rPr>
      </w:pPr>
      <w:r w:rsidRPr="00375036">
        <w:rPr>
          <w:rFonts w:ascii="Abadi" w:hAnsi="Abadi" w:cs="ArialMT"/>
          <w:b/>
          <w:bCs/>
          <w:sz w:val="21"/>
          <w:szCs w:val="21"/>
        </w:rPr>
        <w:t>Propósito de la propuesta de exhorto</w:t>
      </w:r>
    </w:p>
    <w:p w14:paraId="48134A93" w14:textId="77777777" w:rsidR="00227475" w:rsidRPr="00375036" w:rsidRDefault="00227475" w:rsidP="00227475">
      <w:pPr>
        <w:autoSpaceDE w:val="0"/>
        <w:autoSpaceDN w:val="0"/>
        <w:adjustRightInd w:val="0"/>
        <w:ind w:left="66"/>
        <w:jc w:val="both"/>
        <w:rPr>
          <w:rFonts w:ascii="Abadi" w:hAnsi="Abadi" w:cs="ArialMT"/>
          <w:sz w:val="21"/>
          <w:szCs w:val="21"/>
        </w:rPr>
      </w:pPr>
    </w:p>
    <w:p w14:paraId="2720CCD6" w14:textId="77777777" w:rsidR="00227475" w:rsidRPr="00375036" w:rsidRDefault="00227475" w:rsidP="003E2DD2">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 xml:space="preserve">La propuesta que se dictamina tiene por objeto, se realice un respetuoso exhorto a los cuarenta y seis ayuntamientos, a efecto de dar seguimiento a la instalación de los Consejos Municipales de Adultos Mayores y se expidan los reglamentos correspondientes, lo anterior con fundamento en el artículo 20 fracción III de la Ley de Derechos de las personas Adultas Mayores para el Estado de Guanajuato. </w:t>
      </w:r>
    </w:p>
    <w:p w14:paraId="305EE2A5" w14:textId="77777777" w:rsidR="00227475" w:rsidRPr="00375036" w:rsidRDefault="00227475" w:rsidP="00227475">
      <w:pPr>
        <w:autoSpaceDE w:val="0"/>
        <w:autoSpaceDN w:val="0"/>
        <w:adjustRightInd w:val="0"/>
        <w:ind w:left="66"/>
        <w:jc w:val="both"/>
        <w:rPr>
          <w:rFonts w:ascii="Abadi" w:hAnsi="Abadi" w:cs="ArialMT"/>
          <w:sz w:val="21"/>
          <w:szCs w:val="21"/>
        </w:rPr>
      </w:pPr>
    </w:p>
    <w:p w14:paraId="4329908F" w14:textId="77777777" w:rsidR="00227475" w:rsidRPr="00375036" w:rsidRDefault="00227475" w:rsidP="00227475">
      <w:pPr>
        <w:autoSpaceDE w:val="0"/>
        <w:autoSpaceDN w:val="0"/>
        <w:adjustRightInd w:val="0"/>
        <w:ind w:left="66"/>
        <w:jc w:val="both"/>
        <w:rPr>
          <w:rFonts w:ascii="Abadi" w:hAnsi="Abadi" w:cs="ArialMT"/>
          <w:sz w:val="21"/>
          <w:szCs w:val="21"/>
        </w:rPr>
      </w:pPr>
      <w:r w:rsidRPr="00375036">
        <w:rPr>
          <w:rFonts w:ascii="Abadi" w:hAnsi="Abadi" w:cs="ArialMT"/>
          <w:sz w:val="21"/>
          <w:szCs w:val="21"/>
        </w:rPr>
        <w:t>El contenido de la propuesta se transcribe a continuación:</w:t>
      </w:r>
    </w:p>
    <w:p w14:paraId="2C9B95C4" w14:textId="77777777" w:rsidR="00227475" w:rsidRPr="00375036" w:rsidRDefault="00227475" w:rsidP="00227475">
      <w:pPr>
        <w:autoSpaceDE w:val="0"/>
        <w:autoSpaceDN w:val="0"/>
        <w:adjustRightInd w:val="0"/>
        <w:ind w:left="66"/>
        <w:jc w:val="both"/>
        <w:rPr>
          <w:rFonts w:ascii="Abadi" w:hAnsi="Abadi" w:cs="ArialMT"/>
          <w:sz w:val="21"/>
          <w:szCs w:val="21"/>
        </w:rPr>
      </w:pPr>
    </w:p>
    <w:p w14:paraId="67CD558B" w14:textId="77777777" w:rsidR="00227475" w:rsidRPr="00375036" w:rsidRDefault="00227475" w:rsidP="00227475">
      <w:pPr>
        <w:autoSpaceDE w:val="0"/>
        <w:autoSpaceDN w:val="0"/>
        <w:adjustRightInd w:val="0"/>
        <w:ind w:left="66"/>
        <w:jc w:val="both"/>
        <w:rPr>
          <w:rFonts w:ascii="Abadi" w:hAnsi="Abadi" w:cs="ArialMT"/>
          <w:sz w:val="21"/>
          <w:szCs w:val="21"/>
        </w:rPr>
      </w:pPr>
    </w:p>
    <w:p w14:paraId="4B57B16D" w14:textId="77777777" w:rsidR="00227475" w:rsidRPr="00375036" w:rsidRDefault="00227475" w:rsidP="003E2DD2">
      <w:pPr>
        <w:autoSpaceDE w:val="0"/>
        <w:autoSpaceDN w:val="0"/>
        <w:adjustRightInd w:val="0"/>
        <w:ind w:left="66"/>
        <w:jc w:val="center"/>
        <w:rPr>
          <w:rFonts w:ascii="Abadi" w:hAnsi="Abadi" w:cs="ArialMT"/>
          <w:b/>
          <w:bCs/>
          <w:i/>
          <w:iCs/>
          <w:sz w:val="21"/>
          <w:szCs w:val="21"/>
        </w:rPr>
      </w:pPr>
      <w:r w:rsidRPr="00375036">
        <w:rPr>
          <w:rFonts w:ascii="Abadi" w:hAnsi="Abadi" w:cs="ArialMT"/>
          <w:b/>
          <w:bCs/>
          <w:i/>
          <w:iCs/>
          <w:sz w:val="21"/>
          <w:szCs w:val="21"/>
        </w:rPr>
        <w:t>«CONSIDERACIONES</w:t>
      </w:r>
    </w:p>
    <w:p w14:paraId="7E3E8D11" w14:textId="77777777" w:rsidR="00227475" w:rsidRPr="00375036" w:rsidRDefault="00227475" w:rsidP="00227475">
      <w:pPr>
        <w:autoSpaceDE w:val="0"/>
        <w:autoSpaceDN w:val="0"/>
        <w:adjustRightInd w:val="0"/>
        <w:ind w:left="66"/>
        <w:jc w:val="both"/>
        <w:rPr>
          <w:rFonts w:ascii="Abadi" w:hAnsi="Abadi" w:cs="ArialMT"/>
          <w:sz w:val="21"/>
          <w:szCs w:val="21"/>
        </w:rPr>
      </w:pPr>
    </w:p>
    <w:p w14:paraId="40B6C9A6"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Hoy me dirijo a los grandes de Guanajuato, no solo en edad, sino en logros, a quiénes han trabajado durante años y que gracias a ustedes tenemos lo que hoy es nuestro estado. Ha sido una labor de generaciones y nos toca honrarlos, tomando la batuta, para continuar con esta brega de eternidad por un estado cada vez más próspero.</w:t>
      </w:r>
    </w:p>
    <w:p w14:paraId="3F62C48A" w14:textId="77777777" w:rsidR="00227475" w:rsidRPr="00375036" w:rsidRDefault="00227475" w:rsidP="00227475">
      <w:pPr>
        <w:autoSpaceDE w:val="0"/>
        <w:autoSpaceDN w:val="0"/>
        <w:adjustRightInd w:val="0"/>
        <w:ind w:left="66"/>
        <w:jc w:val="both"/>
        <w:rPr>
          <w:rFonts w:ascii="Abadi" w:hAnsi="Abadi" w:cs="ArialMT"/>
          <w:sz w:val="21"/>
          <w:szCs w:val="21"/>
        </w:rPr>
      </w:pPr>
    </w:p>
    <w:p w14:paraId="4B1AB6CD"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Pero no podemos hacerlo solos, los necesitamos, a ustedes, las personas adultas mayores, pues solo con su acompañamiento y orientación podremos consolidar el futuro que queremos.</w:t>
      </w:r>
    </w:p>
    <w:p w14:paraId="5AE3BA0D"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La vida tiene diversas etapas, cada una de ellas, son importantes, desde los primeros hasta sus últimos momentos; pues es un viaje en el que vamos sumando experiencia y momentos que vale la pena compartir.</w:t>
      </w:r>
    </w:p>
    <w:p w14:paraId="6D656DEB"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6736D178"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Naturalmente, se va dando paso a nuevas generaciones, que continuamos con los pasos de nuestros antepasados, lo hacemos con orgullo, con entusiasmo, pero también conscientes de la responsabilidad que conlleva.</w:t>
      </w:r>
    </w:p>
    <w:p w14:paraId="3D0EE799"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7FD7ADD9"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 xml:space="preserve">Nuestras personas adultas mayores, se encuentran en una etapa muy significativa y relevante para la sociedad, pues bien, su cuerpo ha tenido cierto deterioro natural por el paso del tiempo, su mente guarda recuerdos valiosos, experiencia y sabiduría, que necesitamos las nuevas generaciones </w:t>
      </w:r>
    </w:p>
    <w:p w14:paraId="103552CC"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68B6246A"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Podremos tener las mejores ideas y proyectos, pero necesitamos de ese acompañamiento, de esa mano de sabiduría que nos vaya guiando, del conocimiento que solo el tiempo puede darle a una persona, y todo esto, únicamente nos lo pueden dar nuestras personas adultas mayores.</w:t>
      </w:r>
    </w:p>
    <w:p w14:paraId="2E9FDB36"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45A98540"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El 18 de noviembre de 2013, se publicó en el Periódico Oficial de nuestro estado, la Ley de los Derechos de las Personas Adultas Mayores del Estado, desde entonces se ha reformado en diversas ocasiones, fortaleciendo y mejorando las condiciones para las mismas. Esta ley, tiene como objeto reconocer, proteger y garantizar sus derechos, sin distinción alguna para así, proporcionarles un nivel adecuado de vida con una plena integración al desarrollo social, económico, político y cultural.</w:t>
      </w:r>
    </w:p>
    <w:p w14:paraId="1369D1E7"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5DA642BD" w14:textId="654D7BA3" w:rsidR="00227475"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Es muy importante que, en los ayuntamientos, que son el primer acercamiento con la ciudadanía en los órdenes de gobierno, se sigan impulsando acciones para incluir e integrar adecuadamente a las personas adultas mayores, en particular, a través de este punto de acuerdo buscamos dar seguimiento a los consejos municipales de personas adultas mayores.</w:t>
      </w:r>
    </w:p>
    <w:p w14:paraId="688D002B" w14:textId="77777777" w:rsidR="00D837CD" w:rsidRPr="00375036" w:rsidRDefault="00D837CD" w:rsidP="00227475">
      <w:pPr>
        <w:autoSpaceDE w:val="0"/>
        <w:autoSpaceDN w:val="0"/>
        <w:adjustRightInd w:val="0"/>
        <w:ind w:left="66"/>
        <w:jc w:val="both"/>
        <w:rPr>
          <w:rFonts w:ascii="Abadi" w:hAnsi="Abadi" w:cs="ArialMT"/>
          <w:i/>
          <w:iCs/>
          <w:sz w:val="21"/>
          <w:szCs w:val="21"/>
        </w:rPr>
      </w:pPr>
    </w:p>
    <w:p w14:paraId="4E5B32DD"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 xml:space="preserve">A la fecha, no todos los municipios han cumplido con la instalación de estos consejos ni con la expedición de su reglamento respectivo. En el Grupo Parlamentario del PAN, somos conscientes que, como nueva legislatura, no solo debemos proponer nuevas iniciativas, sino que también debemos realizar el seguimiento del impacto y cumplimiento que tienen las leyes que con anterioridad hayan sido expedida. </w:t>
      </w:r>
    </w:p>
    <w:p w14:paraId="1BBB18D6"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73B48755"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A través de una minuciosa revisión, nos dimos cuenta que aún hay trabajo pendiente, como lo son nuestros importantes consejos municipales y tenemos un deber como legisladores de dar el seguimiento correspondiente, pues no hay Guanajuato sin nuestras personas adultas mayores.</w:t>
      </w:r>
    </w:p>
    <w:p w14:paraId="6FB8AD8E"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1AE70D29"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Necesitamos que sus voces se escuchen para impulsar las políticas públicas, desarrollar mecanismos e instrumentos para su atención, y que se genere el trabajo transversal y multisectorial, para la actuación coordinada entre las dependencias y entidades de gobierno en su beneficio.</w:t>
      </w:r>
    </w:p>
    <w:p w14:paraId="2CF09904"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252AEDFF"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Además, una vez instalados los consejos y expedidos los reglamentos, contaremos con municipios que brinden atención preferente, con programas en los que ellos estén involucrados; también con autonomía y autorrealización porque ayudaríamos a fortalecer su independencia, se les daría un espacio para que decidan y sean escuchados.</w:t>
      </w:r>
    </w:p>
    <w:p w14:paraId="7AF9044F"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3E273F23"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Habría corresponsabilidad, pues el sector de las personas adultas mayores también abonaría para lograr los objetivos de integración y mejora de sus condiciones de vida.</w:t>
      </w:r>
    </w:p>
    <w:p w14:paraId="02AE060C"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692AB626"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Aportaríamos a la equidad, con tratos justos y proporcionales en las condiciones de acceso y disfrute de los satisfactores necesarios para su bienestar. Además, que promoviéramos la participación ciudadana de un sector que en el pasado no era escuchado, pero que hoy, tiene voz en espacios de decisión.</w:t>
      </w:r>
    </w:p>
    <w:p w14:paraId="269ACE10"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 xml:space="preserve"> </w:t>
      </w:r>
    </w:p>
    <w:p w14:paraId="1BE008C4"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7CBD0F95"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En Guanajuato nos regimos por principios de gobierno abierto, justicia abierta y por supuesto, de parlamento abierto, los cuales están reconocidos en nuestra Constitución Política Local.</w:t>
      </w:r>
    </w:p>
    <w:p w14:paraId="7C0BB2CC"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67D73D0F"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La democracia en nuestro estado consiste en tomar decisiones, entre ciudadanía y gobierno y no de manera unilateral, en este caso, necesitamos de nuestras personas adultas mayores para fortalecer esta toma de decisiones, porque para ver a futuro tenemos que apreciar y conocer el pasado.</w:t>
      </w:r>
    </w:p>
    <w:p w14:paraId="474E5984"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23CCFA77"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Por lo anteriormente expuesto, fundado y motivado, solicitamos a esta Honorable Asamblea la aprobación del siguiente:</w:t>
      </w:r>
    </w:p>
    <w:p w14:paraId="09B17516"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77E575E6" w14:textId="6C69EF40" w:rsidR="00227475" w:rsidRPr="00375036" w:rsidRDefault="00227475" w:rsidP="00382AF8">
      <w:pPr>
        <w:autoSpaceDE w:val="0"/>
        <w:autoSpaceDN w:val="0"/>
        <w:adjustRightInd w:val="0"/>
        <w:ind w:left="66"/>
        <w:jc w:val="center"/>
        <w:rPr>
          <w:rFonts w:ascii="Abadi" w:hAnsi="Abadi" w:cs="ArialMT"/>
          <w:i/>
          <w:iCs/>
          <w:sz w:val="21"/>
          <w:szCs w:val="21"/>
        </w:rPr>
      </w:pPr>
      <w:r w:rsidRPr="00375036">
        <w:rPr>
          <w:rFonts w:ascii="Abadi" w:hAnsi="Abadi" w:cs="ArialMT"/>
          <w:i/>
          <w:iCs/>
          <w:sz w:val="21"/>
          <w:szCs w:val="21"/>
        </w:rPr>
        <w:t>PUNTO DE ACUERDO</w:t>
      </w:r>
    </w:p>
    <w:p w14:paraId="38E8FF80"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ÚNICO. - La Sexagésima Quinta Legislatura del Congreso del Estado Libre y Soberano de Guanajuato exhorta a los 46 Ayuntamientos, a efecto de dar seguimiento a la instalación de los Consejos Municipales de Adultos Mayores y se expidan los reglamentos correspondientes.»</w:t>
      </w:r>
    </w:p>
    <w:p w14:paraId="5D9EB095" w14:textId="77777777" w:rsidR="00227475" w:rsidRPr="00375036" w:rsidRDefault="00227475" w:rsidP="00227475">
      <w:pPr>
        <w:autoSpaceDE w:val="0"/>
        <w:autoSpaceDN w:val="0"/>
        <w:adjustRightInd w:val="0"/>
        <w:ind w:left="66"/>
        <w:jc w:val="both"/>
        <w:rPr>
          <w:rFonts w:ascii="Abadi" w:hAnsi="Abadi" w:cs="ArialMT"/>
          <w:sz w:val="21"/>
          <w:szCs w:val="21"/>
        </w:rPr>
      </w:pPr>
    </w:p>
    <w:p w14:paraId="2BE9313A" w14:textId="77777777" w:rsidR="00227475" w:rsidRPr="00375036" w:rsidRDefault="00227475" w:rsidP="00227475">
      <w:pPr>
        <w:autoSpaceDE w:val="0"/>
        <w:autoSpaceDN w:val="0"/>
        <w:adjustRightInd w:val="0"/>
        <w:ind w:left="66"/>
        <w:jc w:val="both"/>
        <w:rPr>
          <w:rFonts w:ascii="Abadi" w:hAnsi="Abadi" w:cs="ArialMT"/>
          <w:sz w:val="21"/>
          <w:szCs w:val="21"/>
        </w:rPr>
      </w:pPr>
      <w:r w:rsidRPr="00375036">
        <w:rPr>
          <w:rFonts w:ascii="Abadi" w:hAnsi="Abadi" w:cs="ArialMT"/>
          <w:sz w:val="21"/>
          <w:szCs w:val="21"/>
        </w:rPr>
        <w:t xml:space="preserve"> </w:t>
      </w:r>
    </w:p>
    <w:p w14:paraId="2C124388" w14:textId="77777777" w:rsidR="00227475" w:rsidRPr="00375036" w:rsidRDefault="00227475" w:rsidP="00227475">
      <w:pPr>
        <w:autoSpaceDE w:val="0"/>
        <w:autoSpaceDN w:val="0"/>
        <w:adjustRightInd w:val="0"/>
        <w:ind w:left="66"/>
        <w:jc w:val="both"/>
        <w:rPr>
          <w:rFonts w:ascii="Abadi" w:hAnsi="Abadi" w:cs="ArialMT"/>
          <w:sz w:val="21"/>
          <w:szCs w:val="21"/>
        </w:rPr>
      </w:pPr>
    </w:p>
    <w:p w14:paraId="53B57A7E" w14:textId="77777777" w:rsidR="00227475" w:rsidRPr="00375036" w:rsidRDefault="00227475" w:rsidP="00382AF8">
      <w:pPr>
        <w:autoSpaceDE w:val="0"/>
        <w:autoSpaceDN w:val="0"/>
        <w:adjustRightInd w:val="0"/>
        <w:ind w:firstLine="708"/>
        <w:jc w:val="both"/>
        <w:rPr>
          <w:rFonts w:ascii="Abadi" w:hAnsi="Abadi" w:cs="ArialMT"/>
          <w:b/>
          <w:bCs/>
          <w:sz w:val="21"/>
          <w:szCs w:val="21"/>
        </w:rPr>
      </w:pPr>
      <w:r w:rsidRPr="00375036">
        <w:rPr>
          <w:rFonts w:ascii="Abadi" w:hAnsi="Abadi" w:cs="ArialMT"/>
          <w:b/>
          <w:bCs/>
          <w:sz w:val="21"/>
          <w:szCs w:val="21"/>
        </w:rPr>
        <w:t>Consideraciones de la Comisión de Asuntos Municipales</w:t>
      </w:r>
    </w:p>
    <w:p w14:paraId="7429158D" w14:textId="77777777" w:rsidR="00227475" w:rsidRPr="00375036" w:rsidRDefault="00227475" w:rsidP="00227475">
      <w:pPr>
        <w:autoSpaceDE w:val="0"/>
        <w:autoSpaceDN w:val="0"/>
        <w:adjustRightInd w:val="0"/>
        <w:ind w:left="66"/>
        <w:jc w:val="both"/>
        <w:rPr>
          <w:rFonts w:ascii="Abadi" w:hAnsi="Abadi" w:cs="ArialMT"/>
          <w:b/>
          <w:bCs/>
          <w:sz w:val="21"/>
          <w:szCs w:val="21"/>
        </w:rPr>
      </w:pPr>
    </w:p>
    <w:p w14:paraId="672CC3FF" w14:textId="77777777" w:rsidR="00227475" w:rsidRPr="00375036" w:rsidRDefault="00227475" w:rsidP="004438F4">
      <w:pPr>
        <w:autoSpaceDE w:val="0"/>
        <w:autoSpaceDN w:val="0"/>
        <w:adjustRightInd w:val="0"/>
        <w:ind w:left="708"/>
        <w:jc w:val="both"/>
        <w:rPr>
          <w:rFonts w:ascii="Abadi" w:hAnsi="Abadi" w:cs="ArialMT"/>
          <w:sz w:val="21"/>
          <w:szCs w:val="21"/>
        </w:rPr>
      </w:pPr>
      <w:r w:rsidRPr="00375036">
        <w:rPr>
          <w:rFonts w:ascii="Abadi" w:hAnsi="Abadi" w:cs="ArialMT"/>
          <w:sz w:val="21"/>
          <w:szCs w:val="21"/>
        </w:rPr>
        <w:t>De conformidad con lo dispuesto por el artículo 104 de la Ley Orgánica del Poder Legislativo del Estado de Guanajuato, es competencia de la Comisión que ahora dictamina, el estudio y conocimiento de los asuntos relacionados con las funciones, atribuciones y organización de los ayuntamientos del Estado.</w:t>
      </w:r>
    </w:p>
    <w:p w14:paraId="3B67FE8E" w14:textId="77777777" w:rsidR="00227475" w:rsidRPr="00375036" w:rsidRDefault="00227475" w:rsidP="00227475">
      <w:pPr>
        <w:autoSpaceDE w:val="0"/>
        <w:autoSpaceDN w:val="0"/>
        <w:adjustRightInd w:val="0"/>
        <w:ind w:left="66"/>
        <w:jc w:val="both"/>
        <w:rPr>
          <w:rFonts w:ascii="Abadi" w:hAnsi="Abadi" w:cs="ArialMT"/>
          <w:sz w:val="21"/>
          <w:szCs w:val="21"/>
        </w:rPr>
      </w:pPr>
    </w:p>
    <w:p w14:paraId="1F9D5D29" w14:textId="77777777" w:rsidR="00227475" w:rsidRPr="00375036" w:rsidRDefault="00227475" w:rsidP="004438F4">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Además, efectivamente conforme a lo que establece la Ley de los Derechos de las Personas Adultas Mayores para el Estado de Guanajuato en su artículo 20, fracción III, es atribución de las autoridades municipales, promover la creación de consejos municipales de personas adultas mayores.</w:t>
      </w:r>
    </w:p>
    <w:p w14:paraId="730BC3FC" w14:textId="77777777" w:rsidR="00227475" w:rsidRPr="00375036" w:rsidRDefault="00227475" w:rsidP="00227475">
      <w:pPr>
        <w:autoSpaceDE w:val="0"/>
        <w:autoSpaceDN w:val="0"/>
        <w:adjustRightInd w:val="0"/>
        <w:ind w:left="66"/>
        <w:jc w:val="both"/>
        <w:rPr>
          <w:rFonts w:ascii="Abadi" w:hAnsi="Abadi" w:cs="ArialMT"/>
          <w:sz w:val="21"/>
          <w:szCs w:val="21"/>
        </w:rPr>
      </w:pPr>
    </w:p>
    <w:p w14:paraId="256A8F70" w14:textId="77777777" w:rsidR="00227475" w:rsidRPr="00375036" w:rsidRDefault="00227475" w:rsidP="004438F4">
      <w:pPr>
        <w:autoSpaceDE w:val="0"/>
        <w:autoSpaceDN w:val="0"/>
        <w:adjustRightInd w:val="0"/>
        <w:ind w:left="66"/>
        <w:jc w:val="center"/>
        <w:rPr>
          <w:rFonts w:ascii="Abadi" w:hAnsi="Abadi" w:cs="ArialMT"/>
          <w:b/>
          <w:bCs/>
          <w:i/>
          <w:iCs/>
          <w:sz w:val="21"/>
          <w:szCs w:val="21"/>
        </w:rPr>
      </w:pPr>
      <w:r w:rsidRPr="00375036">
        <w:rPr>
          <w:rFonts w:ascii="Abadi" w:hAnsi="Abadi" w:cs="ArialMT"/>
          <w:b/>
          <w:bCs/>
          <w:i/>
          <w:iCs/>
          <w:sz w:val="21"/>
          <w:szCs w:val="21"/>
        </w:rPr>
        <w:t>Sección tercera</w:t>
      </w:r>
    </w:p>
    <w:p w14:paraId="040D7CF4" w14:textId="77777777" w:rsidR="00227475" w:rsidRPr="00375036" w:rsidRDefault="00227475" w:rsidP="004438F4">
      <w:pPr>
        <w:autoSpaceDE w:val="0"/>
        <w:autoSpaceDN w:val="0"/>
        <w:adjustRightInd w:val="0"/>
        <w:ind w:left="66"/>
        <w:jc w:val="center"/>
        <w:rPr>
          <w:rFonts w:ascii="Abadi" w:hAnsi="Abadi" w:cs="ArialMT"/>
          <w:b/>
          <w:bCs/>
          <w:i/>
          <w:iCs/>
          <w:sz w:val="21"/>
          <w:szCs w:val="21"/>
        </w:rPr>
      </w:pPr>
      <w:r w:rsidRPr="00375036">
        <w:rPr>
          <w:rFonts w:ascii="Abadi" w:hAnsi="Abadi" w:cs="ArialMT"/>
          <w:b/>
          <w:bCs/>
          <w:i/>
          <w:iCs/>
          <w:sz w:val="21"/>
          <w:szCs w:val="21"/>
        </w:rPr>
        <w:t>Atribuciones de las autoridades municipales</w:t>
      </w:r>
    </w:p>
    <w:p w14:paraId="147F5823" w14:textId="77777777" w:rsidR="00227475" w:rsidRPr="00375036" w:rsidRDefault="00227475" w:rsidP="004438F4">
      <w:pPr>
        <w:autoSpaceDE w:val="0"/>
        <w:autoSpaceDN w:val="0"/>
        <w:adjustRightInd w:val="0"/>
        <w:ind w:left="66"/>
        <w:jc w:val="center"/>
        <w:rPr>
          <w:rFonts w:ascii="Abadi" w:hAnsi="Abadi" w:cs="ArialMT"/>
          <w:b/>
          <w:bCs/>
          <w:i/>
          <w:iCs/>
          <w:sz w:val="21"/>
          <w:szCs w:val="21"/>
        </w:rPr>
      </w:pPr>
    </w:p>
    <w:p w14:paraId="7464F2BB" w14:textId="77777777" w:rsidR="00227475" w:rsidRPr="00375036" w:rsidRDefault="00227475" w:rsidP="004438F4">
      <w:pPr>
        <w:autoSpaceDE w:val="0"/>
        <w:autoSpaceDN w:val="0"/>
        <w:adjustRightInd w:val="0"/>
        <w:ind w:left="66"/>
        <w:jc w:val="right"/>
        <w:rPr>
          <w:rFonts w:ascii="Abadi" w:hAnsi="Abadi" w:cs="ArialMT"/>
          <w:b/>
          <w:bCs/>
          <w:i/>
          <w:iCs/>
          <w:sz w:val="21"/>
          <w:szCs w:val="21"/>
        </w:rPr>
      </w:pPr>
      <w:r w:rsidRPr="00375036">
        <w:rPr>
          <w:rFonts w:ascii="Abadi" w:hAnsi="Abadi" w:cs="ArialMT"/>
          <w:b/>
          <w:bCs/>
          <w:i/>
          <w:iCs/>
          <w:sz w:val="21"/>
          <w:szCs w:val="21"/>
        </w:rPr>
        <w:t>Atribuciones de las autoridades municipales</w:t>
      </w:r>
    </w:p>
    <w:p w14:paraId="307E2C03" w14:textId="77777777" w:rsidR="004438F4" w:rsidRPr="00375036" w:rsidRDefault="004438F4" w:rsidP="00227475">
      <w:pPr>
        <w:autoSpaceDE w:val="0"/>
        <w:autoSpaceDN w:val="0"/>
        <w:adjustRightInd w:val="0"/>
        <w:ind w:left="66"/>
        <w:jc w:val="both"/>
        <w:rPr>
          <w:rFonts w:ascii="Abadi" w:hAnsi="Abadi" w:cs="ArialMT"/>
          <w:i/>
          <w:iCs/>
          <w:sz w:val="21"/>
          <w:szCs w:val="21"/>
        </w:rPr>
      </w:pPr>
    </w:p>
    <w:p w14:paraId="5FC0DCBA" w14:textId="40E87285"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Artículo 20. Las autoridades municipales …</w:t>
      </w:r>
    </w:p>
    <w:p w14:paraId="04E0C1E3"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3D7ACDAC" w14:textId="77777777"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I. y II. …</w:t>
      </w:r>
    </w:p>
    <w:p w14:paraId="202E3175" w14:textId="77777777" w:rsidR="004E20C8" w:rsidRDefault="004E20C8" w:rsidP="00227475">
      <w:pPr>
        <w:autoSpaceDE w:val="0"/>
        <w:autoSpaceDN w:val="0"/>
        <w:adjustRightInd w:val="0"/>
        <w:ind w:left="66"/>
        <w:jc w:val="both"/>
        <w:rPr>
          <w:rFonts w:ascii="Abadi" w:hAnsi="Abadi" w:cs="ArialMT"/>
          <w:i/>
          <w:iCs/>
          <w:sz w:val="21"/>
          <w:szCs w:val="21"/>
        </w:rPr>
      </w:pPr>
    </w:p>
    <w:p w14:paraId="2B311FC5" w14:textId="4BCA04FD"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III. Promover la creación de consejos municipales de personas adultas mayores;</w:t>
      </w:r>
    </w:p>
    <w:p w14:paraId="626C53CE" w14:textId="77777777" w:rsidR="004E20C8" w:rsidRDefault="004E20C8" w:rsidP="00227475">
      <w:pPr>
        <w:autoSpaceDE w:val="0"/>
        <w:autoSpaceDN w:val="0"/>
        <w:adjustRightInd w:val="0"/>
        <w:ind w:left="66"/>
        <w:jc w:val="both"/>
        <w:rPr>
          <w:rFonts w:ascii="Abadi" w:hAnsi="Abadi" w:cs="ArialMT"/>
          <w:i/>
          <w:iCs/>
          <w:sz w:val="21"/>
          <w:szCs w:val="21"/>
        </w:rPr>
      </w:pPr>
    </w:p>
    <w:p w14:paraId="169C8BB4" w14:textId="272C1D49" w:rsidR="00227475" w:rsidRPr="00375036" w:rsidRDefault="00227475" w:rsidP="00227475">
      <w:pPr>
        <w:autoSpaceDE w:val="0"/>
        <w:autoSpaceDN w:val="0"/>
        <w:adjustRightInd w:val="0"/>
        <w:ind w:left="66"/>
        <w:jc w:val="both"/>
        <w:rPr>
          <w:rFonts w:ascii="Abadi" w:hAnsi="Abadi" w:cs="ArialMT"/>
          <w:i/>
          <w:iCs/>
          <w:sz w:val="21"/>
          <w:szCs w:val="21"/>
        </w:rPr>
      </w:pPr>
      <w:r w:rsidRPr="00375036">
        <w:rPr>
          <w:rFonts w:ascii="Abadi" w:hAnsi="Abadi" w:cs="ArialMT"/>
          <w:i/>
          <w:iCs/>
          <w:sz w:val="21"/>
          <w:szCs w:val="21"/>
        </w:rPr>
        <w:t>IV. a IX. …</w:t>
      </w:r>
    </w:p>
    <w:p w14:paraId="0EA848A4" w14:textId="77777777" w:rsidR="00227475" w:rsidRPr="00375036" w:rsidRDefault="00227475" w:rsidP="00227475">
      <w:pPr>
        <w:autoSpaceDE w:val="0"/>
        <w:autoSpaceDN w:val="0"/>
        <w:adjustRightInd w:val="0"/>
        <w:ind w:left="66"/>
        <w:jc w:val="both"/>
        <w:rPr>
          <w:rFonts w:ascii="Abadi" w:hAnsi="Abadi" w:cs="ArialMT"/>
          <w:i/>
          <w:iCs/>
          <w:sz w:val="21"/>
          <w:szCs w:val="21"/>
        </w:rPr>
      </w:pPr>
    </w:p>
    <w:p w14:paraId="68F783A8" w14:textId="77777777" w:rsidR="00227475" w:rsidRPr="00375036" w:rsidRDefault="00227475" w:rsidP="00227475">
      <w:pPr>
        <w:autoSpaceDE w:val="0"/>
        <w:autoSpaceDN w:val="0"/>
        <w:adjustRightInd w:val="0"/>
        <w:ind w:left="66"/>
        <w:jc w:val="both"/>
        <w:rPr>
          <w:rFonts w:ascii="Abadi" w:hAnsi="Abadi" w:cs="ArialMT"/>
          <w:sz w:val="21"/>
          <w:szCs w:val="21"/>
        </w:rPr>
      </w:pPr>
      <w:r w:rsidRPr="00375036">
        <w:rPr>
          <w:rFonts w:ascii="Abadi" w:hAnsi="Abadi" w:cs="ArialMT"/>
          <w:sz w:val="21"/>
          <w:szCs w:val="21"/>
        </w:rPr>
        <w:t xml:space="preserve"> </w:t>
      </w:r>
    </w:p>
    <w:p w14:paraId="7A82BA31" w14:textId="57F7467B" w:rsidR="00227475" w:rsidRPr="00375036" w:rsidRDefault="00227475" w:rsidP="00FA2446">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Con el contexto anterior, el objeto central de la presente acción legislativa tiene como propósito exhortar a las autoridades municipales para que lleven a cabo las acciones necesarias para la creación de los Consejos Municipales de Personas Adultas Mayores, como lo mandata la Ley en cita; así como expedir el respectivo reglamento para su funcionamiento.</w:t>
      </w:r>
    </w:p>
    <w:p w14:paraId="4457BB9E" w14:textId="77777777" w:rsidR="00FA2446" w:rsidRPr="00375036" w:rsidRDefault="00FA2446" w:rsidP="00227475">
      <w:pPr>
        <w:autoSpaceDE w:val="0"/>
        <w:autoSpaceDN w:val="0"/>
        <w:adjustRightInd w:val="0"/>
        <w:ind w:left="66"/>
        <w:jc w:val="both"/>
        <w:rPr>
          <w:rFonts w:ascii="Abadi" w:hAnsi="Abadi" w:cs="ArialMT"/>
          <w:sz w:val="21"/>
          <w:szCs w:val="21"/>
        </w:rPr>
      </w:pPr>
    </w:p>
    <w:p w14:paraId="042DD4CD" w14:textId="1178841A" w:rsidR="00227475" w:rsidRPr="00375036" w:rsidRDefault="00227475" w:rsidP="00FA2446">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Es importante resaltar que, a la fecha, y con información de la página de la Secretaría de Gobierno del Estado de Guanajuato, se encuentran publicados los reglamentos de los municipios de Apaseo el Alto, León, Salvatierra y Valle de Santiago, así como con datos de la Secretaría Técnica del Consejo Estatal de las Personas Adultas Mayores, mismos municipios que tienen instalado su Consejo Municipal de Personas Adultas Mayores</w:t>
      </w:r>
      <w:r w:rsidR="00213D98" w:rsidRPr="00375036">
        <w:rPr>
          <w:rStyle w:val="Refdenotaalpie"/>
          <w:rFonts w:ascii="Abadi" w:hAnsi="Abadi" w:cs="ArialMT"/>
          <w:sz w:val="21"/>
          <w:szCs w:val="21"/>
        </w:rPr>
        <w:footnoteReference w:id="40"/>
      </w:r>
      <w:r w:rsidR="00213D98" w:rsidRPr="00375036">
        <w:rPr>
          <w:rFonts w:ascii="Abadi" w:hAnsi="Abadi" w:cs="ArialMT"/>
          <w:sz w:val="21"/>
          <w:szCs w:val="21"/>
        </w:rPr>
        <w:t>.</w:t>
      </w:r>
    </w:p>
    <w:p w14:paraId="5721EAA6" w14:textId="77777777" w:rsidR="00FA2446" w:rsidRPr="00375036" w:rsidRDefault="00FA2446" w:rsidP="00227475">
      <w:pPr>
        <w:autoSpaceDE w:val="0"/>
        <w:autoSpaceDN w:val="0"/>
        <w:adjustRightInd w:val="0"/>
        <w:ind w:left="66"/>
        <w:jc w:val="both"/>
        <w:rPr>
          <w:rFonts w:ascii="Abadi" w:hAnsi="Abadi" w:cs="ArialMT"/>
          <w:sz w:val="21"/>
          <w:szCs w:val="21"/>
        </w:rPr>
      </w:pPr>
    </w:p>
    <w:p w14:paraId="6D497EA2" w14:textId="74C57B8E" w:rsidR="00227475" w:rsidRPr="00375036" w:rsidRDefault="00227475" w:rsidP="00FA2446">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Compartiendo la visión de los iniciantes, nos parece adecuado exhortar a los ayuntamientos a efecto de dar seguimiento a la conformación de los Consejos Municipales de Adultos Mayores y se expidan sus reglamentos correspondientes.</w:t>
      </w:r>
    </w:p>
    <w:p w14:paraId="378BF59A" w14:textId="77777777" w:rsidR="00227475" w:rsidRPr="00375036" w:rsidRDefault="00227475" w:rsidP="00227475">
      <w:pPr>
        <w:autoSpaceDE w:val="0"/>
        <w:autoSpaceDN w:val="0"/>
        <w:adjustRightInd w:val="0"/>
        <w:ind w:left="66"/>
        <w:jc w:val="both"/>
        <w:rPr>
          <w:rFonts w:ascii="Abadi" w:hAnsi="Abadi" w:cs="ArialMT"/>
          <w:sz w:val="21"/>
          <w:szCs w:val="21"/>
        </w:rPr>
      </w:pPr>
    </w:p>
    <w:p w14:paraId="0F59EC64" w14:textId="77777777" w:rsidR="00227475" w:rsidRPr="00375036" w:rsidRDefault="00227475" w:rsidP="00FA2446">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 xml:space="preserve">Una vez analizado el punto de acuerdo esta Comisión considera que es apremiante se atienda el tema, ya que también es importante no solo la expedición de la ley en la materia, también lo es el seguimiento del impacto y cumplimiento que tiene esta. Con la propuesta atendida por los ayuntamientos, se les daría a los adultos mayores, entre otras cosas, un espacio para que decidan y sean escuchados. A través de un ejercicio de corresponsabilidad, este sector de la población podrá abonar a través de mecanismos como lo son los consejos municipales de personas adultas mayores, dándose así la integración y mejora de sus condiciones. La participación social se promoverá de esta forma tomándose las decisiones entre la sociedad y gobierno. </w:t>
      </w:r>
    </w:p>
    <w:p w14:paraId="07CE6AD5" w14:textId="77777777" w:rsidR="00227475" w:rsidRPr="00375036" w:rsidRDefault="00227475" w:rsidP="00227475">
      <w:pPr>
        <w:autoSpaceDE w:val="0"/>
        <w:autoSpaceDN w:val="0"/>
        <w:adjustRightInd w:val="0"/>
        <w:ind w:left="66"/>
        <w:jc w:val="both"/>
        <w:rPr>
          <w:rFonts w:ascii="Abadi" w:hAnsi="Abadi" w:cs="ArialMT"/>
          <w:sz w:val="21"/>
          <w:szCs w:val="21"/>
        </w:rPr>
      </w:pPr>
    </w:p>
    <w:p w14:paraId="14E53131" w14:textId="77777777" w:rsidR="00227475" w:rsidRPr="00375036" w:rsidRDefault="00227475" w:rsidP="00A31511">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Cabe resaltar la conveniencia de realizar ajustes a la propuesta original del acuerdo planteado, y exhortar entonces a los cuarenta y dos ayuntamientos que aún están pendientes de dar cumplimiento en la instalación de los Consejos Municipales de Adultos Mayores y su expedición de los reglamentos correspondientes.</w:t>
      </w:r>
    </w:p>
    <w:p w14:paraId="379CE70A" w14:textId="77777777" w:rsidR="00227475" w:rsidRPr="00375036" w:rsidRDefault="00227475" w:rsidP="00227475">
      <w:pPr>
        <w:autoSpaceDE w:val="0"/>
        <w:autoSpaceDN w:val="0"/>
        <w:adjustRightInd w:val="0"/>
        <w:ind w:left="66"/>
        <w:jc w:val="both"/>
        <w:rPr>
          <w:rFonts w:ascii="Abadi" w:hAnsi="Abadi" w:cs="ArialMT"/>
          <w:sz w:val="21"/>
          <w:szCs w:val="21"/>
        </w:rPr>
      </w:pPr>
    </w:p>
    <w:p w14:paraId="195833FE" w14:textId="77777777" w:rsidR="00227475" w:rsidRPr="00375036" w:rsidRDefault="00227475" w:rsidP="00A31511">
      <w:pPr>
        <w:autoSpaceDE w:val="0"/>
        <w:autoSpaceDN w:val="0"/>
        <w:adjustRightInd w:val="0"/>
        <w:ind w:left="66" w:firstLine="642"/>
        <w:jc w:val="both"/>
        <w:rPr>
          <w:rFonts w:ascii="Abadi" w:hAnsi="Abadi" w:cs="ArialMT"/>
          <w:sz w:val="21"/>
          <w:szCs w:val="21"/>
        </w:rPr>
      </w:pPr>
      <w:r w:rsidRPr="00375036">
        <w:rPr>
          <w:rFonts w:ascii="Abadi" w:hAnsi="Abadi" w:cs="ArialMT"/>
          <w:sz w:val="21"/>
          <w:szCs w:val="21"/>
        </w:rPr>
        <w:t>Por lo expuesto y fundado, respetuosamente solicitamos a esta Asamblea se apruebe el siguiente punto de:</w:t>
      </w:r>
    </w:p>
    <w:p w14:paraId="1573A4EF" w14:textId="77777777" w:rsidR="00227475" w:rsidRPr="00375036" w:rsidRDefault="00227475" w:rsidP="000A71DA">
      <w:pPr>
        <w:autoSpaceDE w:val="0"/>
        <w:autoSpaceDN w:val="0"/>
        <w:adjustRightInd w:val="0"/>
        <w:ind w:left="66"/>
        <w:jc w:val="center"/>
        <w:rPr>
          <w:rFonts w:ascii="Abadi" w:hAnsi="Abadi" w:cs="ArialMT"/>
          <w:b/>
          <w:bCs/>
          <w:sz w:val="21"/>
          <w:szCs w:val="21"/>
        </w:rPr>
      </w:pPr>
      <w:r w:rsidRPr="00375036">
        <w:rPr>
          <w:rFonts w:ascii="Abadi" w:hAnsi="Abadi" w:cs="ArialMT"/>
          <w:b/>
          <w:bCs/>
          <w:sz w:val="21"/>
          <w:szCs w:val="21"/>
        </w:rPr>
        <w:t>ACUERDO</w:t>
      </w:r>
    </w:p>
    <w:p w14:paraId="108B2D5C" w14:textId="77777777" w:rsidR="00227475" w:rsidRPr="00375036" w:rsidRDefault="00227475" w:rsidP="00227475">
      <w:pPr>
        <w:autoSpaceDE w:val="0"/>
        <w:autoSpaceDN w:val="0"/>
        <w:adjustRightInd w:val="0"/>
        <w:ind w:left="66"/>
        <w:jc w:val="both"/>
        <w:rPr>
          <w:rFonts w:ascii="Abadi" w:hAnsi="Abadi" w:cs="ArialMT"/>
          <w:sz w:val="21"/>
          <w:szCs w:val="21"/>
        </w:rPr>
      </w:pPr>
    </w:p>
    <w:p w14:paraId="4657CF4E" w14:textId="16EDCF26" w:rsidR="00227475" w:rsidRPr="00375036" w:rsidRDefault="00227475" w:rsidP="000A71DA">
      <w:pPr>
        <w:autoSpaceDE w:val="0"/>
        <w:autoSpaceDN w:val="0"/>
        <w:adjustRightInd w:val="0"/>
        <w:ind w:left="66" w:firstLine="642"/>
        <w:jc w:val="both"/>
        <w:rPr>
          <w:rFonts w:ascii="Abadi" w:hAnsi="Abadi" w:cs="ArialMT"/>
          <w:sz w:val="21"/>
          <w:szCs w:val="21"/>
        </w:rPr>
      </w:pPr>
      <w:r w:rsidRPr="00375036">
        <w:rPr>
          <w:rFonts w:ascii="Abadi" w:hAnsi="Abadi" w:cs="ArialMT"/>
          <w:b/>
          <w:bCs/>
          <w:sz w:val="21"/>
          <w:szCs w:val="21"/>
        </w:rPr>
        <w:t>Único.</w:t>
      </w:r>
      <w:r w:rsidRPr="00375036">
        <w:rPr>
          <w:rFonts w:ascii="Abadi" w:hAnsi="Abadi" w:cs="ArialMT"/>
          <w:sz w:val="21"/>
          <w:szCs w:val="21"/>
        </w:rPr>
        <w:t xml:space="preserve"> La Sexagésima Quinta Legislatura del Congreso del Estado Libre y Soberano de Guanajuato exhorta a los ayuntamientos de Abasolo, Acámbaro, Apaseo el Grande, Atarjea, Celaya, Comonfort, Coroneo, </w:t>
      </w:r>
      <w:proofErr w:type="spellStart"/>
      <w:r w:rsidRPr="00375036">
        <w:rPr>
          <w:rFonts w:ascii="Abadi" w:hAnsi="Abadi" w:cs="ArialMT"/>
          <w:sz w:val="21"/>
          <w:szCs w:val="21"/>
        </w:rPr>
        <w:t>Cortazar</w:t>
      </w:r>
      <w:proofErr w:type="spellEnd"/>
      <w:r w:rsidRPr="00375036">
        <w:rPr>
          <w:rFonts w:ascii="Abadi" w:hAnsi="Abadi" w:cs="ArialMT"/>
          <w:sz w:val="21"/>
          <w:szCs w:val="21"/>
        </w:rPr>
        <w:t xml:space="preserve">, Cuerámaro, Dolores Hidalgo Cuna de la Independencia Nacional, Doctor Mora, Guanajuato, Huanímaro, Irapuato, Jaral del Progreso, Jerécuaro, Manuel Doblado, Moroleón, Ocampo, Pénjamo, Pueblo Nuevo, Purísima del Rincón, Romita, Salamanca, San Diego de la Unión, San Felipe, San Francisco del Rincón, San José Iturbide, San Luis de la Paz, San Miguel de Allende, Santa Catarina, Santa Cruz de Juventino Rosas, Santiago Maravatío, Silao de la Victoria, Tarandacuao, Tarimoro, Tierra Blanca, Uriangato, Victoria, Villagrán, Xichú y Yuriria, a efecto de dar seguimiento a la instalación de los Consejos Municipales de Adultos Mayores y se expidan los reglamentos correspondientes.  </w:t>
      </w:r>
    </w:p>
    <w:p w14:paraId="3C30AB17" w14:textId="77777777" w:rsidR="00C11897" w:rsidRPr="00375036" w:rsidRDefault="00C11897" w:rsidP="000A71DA">
      <w:pPr>
        <w:autoSpaceDE w:val="0"/>
        <w:autoSpaceDN w:val="0"/>
        <w:adjustRightInd w:val="0"/>
        <w:ind w:left="66" w:firstLine="642"/>
        <w:jc w:val="both"/>
        <w:rPr>
          <w:rFonts w:ascii="Abadi" w:hAnsi="Abadi" w:cs="ArialMT"/>
          <w:sz w:val="21"/>
          <w:szCs w:val="21"/>
        </w:rPr>
      </w:pPr>
    </w:p>
    <w:p w14:paraId="31B8B59C" w14:textId="77777777" w:rsidR="00227475" w:rsidRPr="00375036" w:rsidRDefault="00227475" w:rsidP="00227475">
      <w:pPr>
        <w:autoSpaceDE w:val="0"/>
        <w:autoSpaceDN w:val="0"/>
        <w:adjustRightInd w:val="0"/>
        <w:ind w:left="66"/>
        <w:jc w:val="both"/>
        <w:rPr>
          <w:rFonts w:ascii="Abadi" w:hAnsi="Abadi" w:cs="ArialMT"/>
          <w:sz w:val="21"/>
          <w:szCs w:val="21"/>
        </w:rPr>
      </w:pPr>
    </w:p>
    <w:p w14:paraId="161BE616" w14:textId="77777777" w:rsidR="00227475" w:rsidRPr="00375036" w:rsidRDefault="00227475" w:rsidP="00C11897">
      <w:pPr>
        <w:autoSpaceDE w:val="0"/>
        <w:autoSpaceDN w:val="0"/>
        <w:adjustRightInd w:val="0"/>
        <w:ind w:left="66"/>
        <w:jc w:val="center"/>
        <w:rPr>
          <w:rFonts w:ascii="Abadi" w:hAnsi="Abadi" w:cs="ArialMT"/>
          <w:b/>
          <w:bCs/>
          <w:sz w:val="21"/>
          <w:szCs w:val="21"/>
        </w:rPr>
      </w:pPr>
      <w:r w:rsidRPr="00375036">
        <w:rPr>
          <w:rFonts w:ascii="Abadi" w:hAnsi="Abadi" w:cs="ArialMT"/>
          <w:b/>
          <w:bCs/>
          <w:sz w:val="21"/>
          <w:szCs w:val="21"/>
        </w:rPr>
        <w:t xml:space="preserve">Guanajuato, </w:t>
      </w:r>
      <w:proofErr w:type="spellStart"/>
      <w:r w:rsidRPr="00375036">
        <w:rPr>
          <w:rFonts w:ascii="Abadi" w:hAnsi="Abadi" w:cs="ArialMT"/>
          <w:b/>
          <w:bCs/>
          <w:sz w:val="21"/>
          <w:szCs w:val="21"/>
        </w:rPr>
        <w:t>Gto</w:t>
      </w:r>
      <w:proofErr w:type="spellEnd"/>
      <w:r w:rsidRPr="00375036">
        <w:rPr>
          <w:rFonts w:ascii="Abadi" w:hAnsi="Abadi" w:cs="ArialMT"/>
          <w:b/>
          <w:bCs/>
          <w:sz w:val="21"/>
          <w:szCs w:val="21"/>
        </w:rPr>
        <w:t>., a 12 de mayo de 2022</w:t>
      </w:r>
    </w:p>
    <w:p w14:paraId="47568740" w14:textId="77777777" w:rsidR="00227475" w:rsidRPr="00375036" w:rsidRDefault="00227475" w:rsidP="00C11897">
      <w:pPr>
        <w:autoSpaceDE w:val="0"/>
        <w:autoSpaceDN w:val="0"/>
        <w:adjustRightInd w:val="0"/>
        <w:ind w:left="66"/>
        <w:jc w:val="center"/>
        <w:rPr>
          <w:rFonts w:ascii="Abadi" w:hAnsi="Abadi" w:cs="ArialMT"/>
          <w:b/>
          <w:bCs/>
          <w:sz w:val="21"/>
          <w:szCs w:val="21"/>
        </w:rPr>
      </w:pPr>
    </w:p>
    <w:p w14:paraId="26A86DFF" w14:textId="5D8F7100" w:rsidR="00DC678A" w:rsidRPr="00375036" w:rsidRDefault="00227475" w:rsidP="00C11897">
      <w:pPr>
        <w:autoSpaceDE w:val="0"/>
        <w:autoSpaceDN w:val="0"/>
        <w:adjustRightInd w:val="0"/>
        <w:ind w:left="66"/>
        <w:jc w:val="center"/>
        <w:rPr>
          <w:rFonts w:ascii="Abadi" w:hAnsi="Abadi" w:cs="ArialMT"/>
          <w:b/>
          <w:bCs/>
          <w:sz w:val="21"/>
          <w:szCs w:val="21"/>
        </w:rPr>
      </w:pPr>
      <w:r w:rsidRPr="00375036">
        <w:rPr>
          <w:rFonts w:ascii="Abadi" w:hAnsi="Abadi" w:cs="ArialMT"/>
          <w:b/>
          <w:bCs/>
          <w:sz w:val="21"/>
          <w:szCs w:val="21"/>
        </w:rPr>
        <w:t>La Comisión de Asuntos Municipales</w:t>
      </w:r>
    </w:p>
    <w:p w14:paraId="492EBFA5" w14:textId="23102A75" w:rsidR="00E921D5" w:rsidRDefault="00E921D5" w:rsidP="00C11897">
      <w:pPr>
        <w:autoSpaceDE w:val="0"/>
        <w:autoSpaceDN w:val="0"/>
        <w:adjustRightInd w:val="0"/>
        <w:jc w:val="both"/>
        <w:rPr>
          <w:rFonts w:ascii="Abadi" w:hAnsi="Abadi" w:cs="ArialMT"/>
          <w:i/>
          <w:iCs/>
          <w:sz w:val="21"/>
          <w:szCs w:val="21"/>
        </w:rPr>
      </w:pPr>
      <w:r w:rsidRPr="00375036">
        <w:rPr>
          <w:rFonts w:ascii="Abadi" w:hAnsi="Abadi" w:cs="ArialMT"/>
          <w:i/>
          <w:iCs/>
          <w:sz w:val="21"/>
          <w:szCs w:val="21"/>
        </w:rPr>
        <w:t xml:space="preserve">Firma electrónica </w:t>
      </w:r>
    </w:p>
    <w:p w14:paraId="3634466B" w14:textId="77777777" w:rsidR="008D0373" w:rsidRDefault="008D0373" w:rsidP="008D0373">
      <w:pPr>
        <w:autoSpaceDE w:val="0"/>
        <w:autoSpaceDN w:val="0"/>
        <w:adjustRightInd w:val="0"/>
        <w:jc w:val="both"/>
        <w:rPr>
          <w:rFonts w:ascii="Abadi" w:hAnsi="Abadi" w:cs="ArialMT"/>
          <w:b/>
          <w:bCs/>
          <w:sz w:val="21"/>
          <w:szCs w:val="21"/>
        </w:rPr>
      </w:pPr>
    </w:p>
    <w:p w14:paraId="1B1863DD" w14:textId="77777777" w:rsidR="008D0373" w:rsidRDefault="008D0373" w:rsidP="008D0373">
      <w:pPr>
        <w:autoSpaceDE w:val="0"/>
        <w:autoSpaceDN w:val="0"/>
        <w:adjustRightInd w:val="0"/>
        <w:jc w:val="both"/>
        <w:rPr>
          <w:rFonts w:ascii="Abadi" w:hAnsi="Abadi" w:cs="ArialMT"/>
          <w:b/>
          <w:bCs/>
          <w:sz w:val="21"/>
          <w:szCs w:val="21"/>
        </w:rPr>
      </w:pPr>
    </w:p>
    <w:p w14:paraId="3FA58C37" w14:textId="0E7E3733" w:rsidR="008D0373" w:rsidRPr="008D0373" w:rsidRDefault="008D0373" w:rsidP="008D0373">
      <w:pPr>
        <w:autoSpaceDE w:val="0"/>
        <w:autoSpaceDN w:val="0"/>
        <w:adjustRightInd w:val="0"/>
        <w:jc w:val="both"/>
        <w:rPr>
          <w:rFonts w:ascii="Abadi" w:hAnsi="Abadi" w:cs="ArialMT"/>
          <w:b/>
          <w:bCs/>
          <w:sz w:val="21"/>
          <w:szCs w:val="21"/>
        </w:rPr>
      </w:pPr>
      <w:r w:rsidRPr="008D0373">
        <w:rPr>
          <w:rFonts w:ascii="Abadi" w:hAnsi="Abadi" w:cs="ArialMT"/>
          <w:b/>
          <w:bCs/>
          <w:sz w:val="21"/>
          <w:szCs w:val="21"/>
        </w:rPr>
        <w:t>Bricio Balderas Álvarez</w:t>
      </w:r>
    </w:p>
    <w:p w14:paraId="4D01001B" w14:textId="77777777" w:rsidR="008D0373" w:rsidRPr="005E008A" w:rsidRDefault="008D0373" w:rsidP="008D0373">
      <w:pPr>
        <w:autoSpaceDE w:val="0"/>
        <w:autoSpaceDN w:val="0"/>
        <w:adjustRightInd w:val="0"/>
        <w:jc w:val="both"/>
        <w:rPr>
          <w:rFonts w:ascii="Abadi" w:hAnsi="Abadi" w:cs="ArialMT"/>
          <w:b/>
          <w:bCs/>
          <w:sz w:val="21"/>
          <w:szCs w:val="21"/>
        </w:rPr>
      </w:pPr>
      <w:r w:rsidRPr="005E008A">
        <w:rPr>
          <w:rFonts w:ascii="Abadi" w:hAnsi="Abadi" w:cs="ArialMT"/>
          <w:b/>
          <w:bCs/>
          <w:sz w:val="21"/>
          <w:szCs w:val="21"/>
        </w:rPr>
        <w:t>Diputado presidente</w:t>
      </w:r>
    </w:p>
    <w:p w14:paraId="3A6DFBC1" w14:textId="77777777" w:rsidR="008D0373" w:rsidRPr="005E008A" w:rsidRDefault="008D0373" w:rsidP="008D0373">
      <w:pPr>
        <w:autoSpaceDE w:val="0"/>
        <w:autoSpaceDN w:val="0"/>
        <w:adjustRightInd w:val="0"/>
        <w:jc w:val="both"/>
        <w:rPr>
          <w:rFonts w:ascii="Abadi" w:hAnsi="Abadi" w:cs="ArialMT"/>
          <w:b/>
          <w:bCs/>
          <w:sz w:val="21"/>
          <w:szCs w:val="21"/>
        </w:rPr>
      </w:pPr>
    </w:p>
    <w:p w14:paraId="285FDCD4" w14:textId="77777777" w:rsidR="008D0373" w:rsidRPr="005E008A" w:rsidRDefault="008D0373" w:rsidP="008D0373">
      <w:pPr>
        <w:autoSpaceDE w:val="0"/>
        <w:autoSpaceDN w:val="0"/>
        <w:adjustRightInd w:val="0"/>
        <w:jc w:val="both"/>
        <w:rPr>
          <w:rFonts w:ascii="Abadi" w:hAnsi="Abadi" w:cs="ArialMT"/>
          <w:b/>
          <w:bCs/>
          <w:sz w:val="21"/>
          <w:szCs w:val="21"/>
        </w:rPr>
      </w:pPr>
      <w:r w:rsidRPr="005E008A">
        <w:rPr>
          <w:rFonts w:ascii="Abadi" w:hAnsi="Abadi" w:cs="ArialMT"/>
          <w:b/>
          <w:bCs/>
          <w:sz w:val="21"/>
          <w:szCs w:val="21"/>
        </w:rPr>
        <w:t xml:space="preserve">Armando Rangel Hernández </w:t>
      </w:r>
    </w:p>
    <w:p w14:paraId="00A76FF6" w14:textId="77777777" w:rsidR="008D0373" w:rsidRPr="005E008A" w:rsidRDefault="008D0373" w:rsidP="008D0373">
      <w:pPr>
        <w:autoSpaceDE w:val="0"/>
        <w:autoSpaceDN w:val="0"/>
        <w:adjustRightInd w:val="0"/>
        <w:jc w:val="both"/>
        <w:rPr>
          <w:rFonts w:ascii="Abadi" w:hAnsi="Abadi" w:cs="ArialMT"/>
          <w:b/>
          <w:bCs/>
          <w:sz w:val="21"/>
          <w:szCs w:val="21"/>
        </w:rPr>
      </w:pPr>
      <w:r w:rsidRPr="005E008A">
        <w:rPr>
          <w:rFonts w:ascii="Abadi" w:hAnsi="Abadi" w:cs="ArialMT"/>
          <w:b/>
          <w:bCs/>
          <w:sz w:val="21"/>
          <w:szCs w:val="21"/>
        </w:rPr>
        <w:t>Diputado vocal</w:t>
      </w:r>
    </w:p>
    <w:p w14:paraId="327ED3A9" w14:textId="77777777" w:rsidR="008D0373" w:rsidRPr="005E008A" w:rsidRDefault="008D0373" w:rsidP="008D0373">
      <w:pPr>
        <w:autoSpaceDE w:val="0"/>
        <w:autoSpaceDN w:val="0"/>
        <w:adjustRightInd w:val="0"/>
        <w:jc w:val="both"/>
        <w:rPr>
          <w:rFonts w:ascii="Abadi" w:hAnsi="Abadi" w:cs="ArialMT"/>
          <w:b/>
          <w:bCs/>
          <w:sz w:val="21"/>
          <w:szCs w:val="21"/>
        </w:rPr>
      </w:pPr>
    </w:p>
    <w:p w14:paraId="468AC313" w14:textId="77777777" w:rsidR="008D0373" w:rsidRPr="005E008A" w:rsidRDefault="008D0373" w:rsidP="008D0373">
      <w:pPr>
        <w:autoSpaceDE w:val="0"/>
        <w:autoSpaceDN w:val="0"/>
        <w:adjustRightInd w:val="0"/>
        <w:jc w:val="both"/>
        <w:rPr>
          <w:rFonts w:ascii="Abadi" w:hAnsi="Abadi" w:cs="ArialMT"/>
          <w:b/>
          <w:bCs/>
          <w:sz w:val="21"/>
          <w:szCs w:val="21"/>
        </w:rPr>
      </w:pPr>
      <w:r w:rsidRPr="005E008A">
        <w:rPr>
          <w:rFonts w:ascii="Abadi" w:hAnsi="Abadi" w:cs="ArialMT"/>
          <w:b/>
          <w:bCs/>
          <w:sz w:val="21"/>
          <w:szCs w:val="21"/>
        </w:rPr>
        <w:t>Jorge Ortiz Ortega</w:t>
      </w:r>
    </w:p>
    <w:p w14:paraId="546A9C96" w14:textId="77777777" w:rsidR="008D0373" w:rsidRPr="005E008A" w:rsidRDefault="008D0373" w:rsidP="008D0373">
      <w:pPr>
        <w:autoSpaceDE w:val="0"/>
        <w:autoSpaceDN w:val="0"/>
        <w:adjustRightInd w:val="0"/>
        <w:jc w:val="both"/>
        <w:rPr>
          <w:rFonts w:ascii="Abadi" w:hAnsi="Abadi" w:cs="ArialMT"/>
          <w:b/>
          <w:bCs/>
          <w:sz w:val="21"/>
          <w:szCs w:val="21"/>
        </w:rPr>
      </w:pPr>
      <w:r w:rsidRPr="005E008A">
        <w:rPr>
          <w:rFonts w:ascii="Abadi" w:hAnsi="Abadi" w:cs="ArialMT"/>
          <w:b/>
          <w:bCs/>
          <w:sz w:val="21"/>
          <w:szCs w:val="21"/>
        </w:rPr>
        <w:t>Diputado vocal</w:t>
      </w:r>
    </w:p>
    <w:p w14:paraId="1905FF36" w14:textId="77777777" w:rsidR="008D0373" w:rsidRPr="005E008A" w:rsidRDefault="008D0373" w:rsidP="008D0373">
      <w:pPr>
        <w:autoSpaceDE w:val="0"/>
        <w:autoSpaceDN w:val="0"/>
        <w:adjustRightInd w:val="0"/>
        <w:jc w:val="both"/>
        <w:rPr>
          <w:rFonts w:ascii="Abadi" w:hAnsi="Abadi" w:cs="ArialMT"/>
          <w:b/>
          <w:bCs/>
          <w:sz w:val="21"/>
          <w:szCs w:val="21"/>
        </w:rPr>
      </w:pPr>
    </w:p>
    <w:p w14:paraId="161C707E" w14:textId="77777777" w:rsidR="008D0373" w:rsidRPr="005E008A" w:rsidRDefault="008D0373" w:rsidP="008D0373">
      <w:pPr>
        <w:autoSpaceDE w:val="0"/>
        <w:autoSpaceDN w:val="0"/>
        <w:adjustRightInd w:val="0"/>
        <w:jc w:val="both"/>
        <w:rPr>
          <w:rFonts w:ascii="Abadi" w:hAnsi="Abadi" w:cs="ArialMT"/>
          <w:b/>
          <w:bCs/>
          <w:sz w:val="21"/>
          <w:szCs w:val="21"/>
        </w:rPr>
      </w:pPr>
      <w:r w:rsidRPr="005E008A">
        <w:rPr>
          <w:rFonts w:ascii="Abadi" w:hAnsi="Abadi" w:cs="ArialMT"/>
          <w:b/>
          <w:bCs/>
          <w:sz w:val="21"/>
          <w:szCs w:val="21"/>
        </w:rPr>
        <w:t>Ernesto Millán Soberanes</w:t>
      </w:r>
    </w:p>
    <w:p w14:paraId="5C145C40" w14:textId="77777777" w:rsidR="008D0373" w:rsidRPr="005E008A" w:rsidRDefault="008D0373" w:rsidP="008D0373">
      <w:pPr>
        <w:autoSpaceDE w:val="0"/>
        <w:autoSpaceDN w:val="0"/>
        <w:adjustRightInd w:val="0"/>
        <w:jc w:val="both"/>
        <w:rPr>
          <w:rFonts w:ascii="Abadi" w:hAnsi="Abadi" w:cs="ArialMT"/>
          <w:b/>
          <w:bCs/>
          <w:sz w:val="21"/>
          <w:szCs w:val="21"/>
        </w:rPr>
      </w:pPr>
      <w:r w:rsidRPr="005E008A">
        <w:rPr>
          <w:rFonts w:ascii="Abadi" w:hAnsi="Abadi" w:cs="ArialMT"/>
          <w:b/>
          <w:bCs/>
          <w:sz w:val="21"/>
          <w:szCs w:val="21"/>
        </w:rPr>
        <w:t>Diputado vocal</w:t>
      </w:r>
    </w:p>
    <w:p w14:paraId="1423F239" w14:textId="77777777" w:rsidR="008D0373" w:rsidRPr="005E008A" w:rsidRDefault="008D0373" w:rsidP="008D0373">
      <w:pPr>
        <w:autoSpaceDE w:val="0"/>
        <w:autoSpaceDN w:val="0"/>
        <w:adjustRightInd w:val="0"/>
        <w:jc w:val="both"/>
        <w:rPr>
          <w:rFonts w:ascii="Abadi" w:hAnsi="Abadi" w:cs="ArialMT"/>
          <w:b/>
          <w:bCs/>
          <w:sz w:val="21"/>
          <w:szCs w:val="21"/>
        </w:rPr>
      </w:pPr>
    </w:p>
    <w:p w14:paraId="4210288F" w14:textId="77777777" w:rsidR="008D0373" w:rsidRPr="005E008A" w:rsidRDefault="008D0373" w:rsidP="008D0373">
      <w:pPr>
        <w:autoSpaceDE w:val="0"/>
        <w:autoSpaceDN w:val="0"/>
        <w:adjustRightInd w:val="0"/>
        <w:jc w:val="both"/>
        <w:rPr>
          <w:rFonts w:ascii="Abadi" w:hAnsi="Abadi" w:cs="ArialMT"/>
          <w:b/>
          <w:bCs/>
          <w:sz w:val="21"/>
          <w:szCs w:val="21"/>
        </w:rPr>
      </w:pPr>
      <w:r w:rsidRPr="005E008A">
        <w:rPr>
          <w:rFonts w:ascii="Abadi" w:hAnsi="Abadi" w:cs="ArialMT"/>
          <w:b/>
          <w:bCs/>
          <w:sz w:val="21"/>
          <w:szCs w:val="21"/>
        </w:rPr>
        <w:t>Ruth Noemí Tiscareño Agoitia</w:t>
      </w:r>
    </w:p>
    <w:p w14:paraId="00F0C41B" w14:textId="77777777" w:rsidR="008D0373" w:rsidRPr="005E008A" w:rsidRDefault="008D0373" w:rsidP="008D0373">
      <w:pPr>
        <w:autoSpaceDE w:val="0"/>
        <w:autoSpaceDN w:val="0"/>
        <w:adjustRightInd w:val="0"/>
        <w:jc w:val="both"/>
        <w:rPr>
          <w:rFonts w:ascii="Abadi" w:hAnsi="Abadi" w:cs="ArialMT"/>
          <w:b/>
          <w:bCs/>
          <w:sz w:val="21"/>
          <w:szCs w:val="21"/>
        </w:rPr>
      </w:pPr>
      <w:r w:rsidRPr="005E008A">
        <w:rPr>
          <w:rFonts w:ascii="Abadi" w:hAnsi="Abadi" w:cs="ArialMT"/>
          <w:b/>
          <w:bCs/>
          <w:sz w:val="21"/>
          <w:szCs w:val="21"/>
        </w:rPr>
        <w:t>Diputada secretaria</w:t>
      </w:r>
    </w:p>
    <w:p w14:paraId="2F9FDE3B" w14:textId="77777777" w:rsidR="008D0373" w:rsidRPr="005E008A" w:rsidRDefault="008D0373" w:rsidP="008D0373">
      <w:pPr>
        <w:autoSpaceDE w:val="0"/>
        <w:autoSpaceDN w:val="0"/>
        <w:adjustRightInd w:val="0"/>
        <w:jc w:val="both"/>
        <w:rPr>
          <w:rFonts w:ascii="Abadi" w:hAnsi="Abadi" w:cs="ArialMT"/>
          <w:b/>
          <w:bCs/>
          <w:sz w:val="21"/>
          <w:szCs w:val="21"/>
        </w:rPr>
      </w:pPr>
    </w:p>
    <w:p w14:paraId="7F836E50" w14:textId="26DAA9B6" w:rsidR="00375036" w:rsidRDefault="00D96B45" w:rsidP="00D96B45">
      <w:pPr>
        <w:pStyle w:val="NormalWeb"/>
        <w:ind w:firstLine="708"/>
        <w:jc w:val="both"/>
        <w:rPr>
          <w:rFonts w:ascii="Abadi" w:hAnsi="Abadi"/>
          <w:sz w:val="21"/>
          <w:szCs w:val="21"/>
        </w:rPr>
      </w:pPr>
      <w:r>
        <w:rPr>
          <w:rFonts w:ascii="Abadi" w:hAnsi="Abadi"/>
          <w:b/>
          <w:bCs/>
          <w:sz w:val="21"/>
          <w:szCs w:val="21"/>
        </w:rPr>
        <w:t xml:space="preserve">- </w:t>
      </w:r>
      <w:r w:rsidR="00375036" w:rsidRPr="004539F1">
        <w:rPr>
          <w:rFonts w:ascii="Abadi" w:hAnsi="Abadi"/>
          <w:b/>
          <w:bCs/>
          <w:sz w:val="21"/>
          <w:szCs w:val="21"/>
        </w:rPr>
        <w:t>La Presidencia.-</w:t>
      </w:r>
      <w:r w:rsidR="00375036">
        <w:rPr>
          <w:rFonts w:ascii="Abadi" w:hAnsi="Abadi"/>
          <w:sz w:val="21"/>
          <w:szCs w:val="21"/>
        </w:rPr>
        <w:t xml:space="preserve"> E</w:t>
      </w:r>
      <w:r w:rsidR="00375036" w:rsidRPr="0021199F">
        <w:rPr>
          <w:rFonts w:ascii="Abadi" w:hAnsi="Abadi"/>
          <w:sz w:val="21"/>
          <w:szCs w:val="21"/>
        </w:rPr>
        <w:t>n</w:t>
      </w:r>
      <w:r w:rsidR="00375036">
        <w:rPr>
          <w:rFonts w:ascii="Abadi" w:hAnsi="Abadi"/>
          <w:sz w:val="21"/>
          <w:szCs w:val="21"/>
        </w:rPr>
        <w:t xml:space="preserve"> </w:t>
      </w:r>
      <w:r w:rsidR="00375036" w:rsidRPr="0021199F">
        <w:rPr>
          <w:rFonts w:ascii="Abadi" w:hAnsi="Abadi"/>
          <w:sz w:val="21"/>
          <w:szCs w:val="21"/>
        </w:rPr>
        <w:t xml:space="preserve">seguida se somete </w:t>
      </w:r>
      <w:r w:rsidR="00375036">
        <w:rPr>
          <w:rFonts w:ascii="Abadi" w:hAnsi="Abadi"/>
          <w:sz w:val="21"/>
          <w:szCs w:val="21"/>
        </w:rPr>
        <w:t xml:space="preserve">a </w:t>
      </w:r>
      <w:r w:rsidR="00375036" w:rsidRPr="0021199F">
        <w:rPr>
          <w:rFonts w:ascii="Abadi" w:hAnsi="Abadi"/>
          <w:sz w:val="21"/>
          <w:szCs w:val="21"/>
        </w:rPr>
        <w:t xml:space="preserve">discusión </w:t>
      </w:r>
      <w:r w:rsidR="00375036">
        <w:rPr>
          <w:rFonts w:ascii="Abadi" w:hAnsi="Abadi"/>
          <w:sz w:val="21"/>
          <w:szCs w:val="21"/>
        </w:rPr>
        <w:t>el dictamen</w:t>
      </w:r>
      <w:r w:rsidR="00375036" w:rsidRPr="0021199F">
        <w:rPr>
          <w:rFonts w:ascii="Abadi" w:hAnsi="Abadi"/>
          <w:sz w:val="21"/>
          <w:szCs w:val="21"/>
        </w:rPr>
        <w:t xml:space="preserve"> presentado por la Comisión de Asuntos Municipales relativo </w:t>
      </w:r>
      <w:r w:rsidR="00375036">
        <w:rPr>
          <w:rFonts w:ascii="Abadi" w:hAnsi="Abadi"/>
          <w:sz w:val="21"/>
          <w:szCs w:val="21"/>
        </w:rPr>
        <w:t xml:space="preserve">a </w:t>
      </w:r>
      <w:r w:rsidR="00375036" w:rsidRPr="0021199F">
        <w:rPr>
          <w:rFonts w:ascii="Abadi" w:hAnsi="Abadi"/>
          <w:sz w:val="21"/>
          <w:szCs w:val="21"/>
        </w:rPr>
        <w:t xml:space="preserve">la propuesta de punto de acuerdo formulada por diputadas y diputados integrantes del </w:t>
      </w:r>
      <w:r w:rsidR="00375036">
        <w:rPr>
          <w:rFonts w:ascii="Abadi" w:hAnsi="Abadi"/>
          <w:sz w:val="21"/>
          <w:szCs w:val="21"/>
        </w:rPr>
        <w:t>G</w:t>
      </w:r>
      <w:r w:rsidR="00375036" w:rsidRPr="0021199F">
        <w:rPr>
          <w:rFonts w:ascii="Abadi" w:hAnsi="Abadi"/>
          <w:sz w:val="21"/>
          <w:szCs w:val="21"/>
        </w:rPr>
        <w:t xml:space="preserve">rupo </w:t>
      </w:r>
      <w:r w:rsidR="00375036">
        <w:rPr>
          <w:rFonts w:ascii="Abadi" w:hAnsi="Abadi"/>
          <w:sz w:val="21"/>
          <w:szCs w:val="21"/>
        </w:rPr>
        <w:t>P</w:t>
      </w:r>
      <w:r w:rsidR="00375036" w:rsidRPr="0021199F">
        <w:rPr>
          <w:rFonts w:ascii="Abadi" w:hAnsi="Abadi"/>
          <w:sz w:val="21"/>
          <w:szCs w:val="21"/>
        </w:rPr>
        <w:t>arlamentario del Partido Acción Nacional, mediante el cual el Congreso del Estado Libre y Soberano de Guanajuato e</w:t>
      </w:r>
      <w:r w:rsidR="00375036">
        <w:rPr>
          <w:rFonts w:ascii="Abadi" w:hAnsi="Abadi"/>
          <w:sz w:val="21"/>
          <w:szCs w:val="21"/>
        </w:rPr>
        <w:t>fectúa</w:t>
      </w:r>
      <w:r w:rsidR="00375036" w:rsidRPr="0021199F">
        <w:rPr>
          <w:rFonts w:ascii="Abadi" w:hAnsi="Abadi"/>
          <w:sz w:val="21"/>
          <w:szCs w:val="21"/>
        </w:rPr>
        <w:t xml:space="preserve"> un respeto </w:t>
      </w:r>
      <w:r w:rsidR="00375036">
        <w:rPr>
          <w:rFonts w:ascii="Abadi" w:hAnsi="Abadi"/>
          <w:sz w:val="21"/>
          <w:szCs w:val="21"/>
        </w:rPr>
        <w:t>exhorto</w:t>
      </w:r>
      <w:r w:rsidR="00375036" w:rsidRPr="0021199F">
        <w:rPr>
          <w:rFonts w:ascii="Abadi" w:hAnsi="Abadi"/>
          <w:sz w:val="21"/>
          <w:szCs w:val="21"/>
        </w:rPr>
        <w:t xml:space="preserve"> a los </w:t>
      </w:r>
      <w:r w:rsidR="00375036">
        <w:rPr>
          <w:rFonts w:ascii="Abadi" w:hAnsi="Abadi"/>
          <w:sz w:val="21"/>
          <w:szCs w:val="21"/>
        </w:rPr>
        <w:t>46</w:t>
      </w:r>
      <w:r w:rsidR="00375036" w:rsidRPr="0021199F">
        <w:rPr>
          <w:rFonts w:ascii="Abadi" w:hAnsi="Abadi"/>
          <w:sz w:val="21"/>
          <w:szCs w:val="21"/>
        </w:rPr>
        <w:t xml:space="preserve"> ayuntamientos</w:t>
      </w:r>
      <w:r w:rsidR="00375036">
        <w:rPr>
          <w:rFonts w:ascii="Abadi" w:hAnsi="Abadi"/>
          <w:sz w:val="21"/>
          <w:szCs w:val="21"/>
        </w:rPr>
        <w:t xml:space="preserve"> a e</w:t>
      </w:r>
      <w:r w:rsidR="00375036" w:rsidRPr="0021199F">
        <w:rPr>
          <w:rFonts w:ascii="Abadi" w:hAnsi="Abadi"/>
          <w:sz w:val="21"/>
          <w:szCs w:val="21"/>
        </w:rPr>
        <w:t>fecto de dar seguimiento a la instalación de los consejos municipales de adultos mayores y se expi</w:t>
      </w:r>
      <w:r w:rsidR="00375036">
        <w:rPr>
          <w:rFonts w:ascii="Abadi" w:hAnsi="Abadi"/>
          <w:sz w:val="21"/>
          <w:szCs w:val="21"/>
        </w:rPr>
        <w:t>d</w:t>
      </w:r>
      <w:r w:rsidR="00375036" w:rsidRPr="0021199F">
        <w:rPr>
          <w:rFonts w:ascii="Abadi" w:hAnsi="Abadi"/>
          <w:sz w:val="21"/>
          <w:szCs w:val="21"/>
        </w:rPr>
        <w:t xml:space="preserve">an los reglamentos correspondientes. </w:t>
      </w:r>
    </w:p>
    <w:p w14:paraId="702BE088" w14:textId="6AEEF7B1" w:rsidR="00375036" w:rsidRDefault="00D96B45" w:rsidP="00D96B45">
      <w:pPr>
        <w:pStyle w:val="NormalWeb"/>
        <w:ind w:firstLine="708"/>
        <w:jc w:val="both"/>
        <w:rPr>
          <w:rFonts w:ascii="Abadi" w:hAnsi="Abadi"/>
          <w:sz w:val="21"/>
          <w:szCs w:val="21"/>
        </w:rPr>
      </w:pPr>
      <w:r>
        <w:rPr>
          <w:rFonts w:ascii="Abadi" w:hAnsi="Abadi"/>
          <w:sz w:val="21"/>
          <w:szCs w:val="21"/>
        </w:rPr>
        <w:t xml:space="preserve">- </w:t>
      </w:r>
      <w:r w:rsidR="00375036" w:rsidRPr="0021199F">
        <w:rPr>
          <w:rFonts w:ascii="Abadi" w:hAnsi="Abadi"/>
          <w:sz w:val="21"/>
          <w:szCs w:val="21"/>
        </w:rPr>
        <w:t>Me permit</w:t>
      </w:r>
      <w:r w:rsidR="00375036">
        <w:rPr>
          <w:rFonts w:ascii="Abadi" w:hAnsi="Abadi"/>
          <w:sz w:val="21"/>
          <w:szCs w:val="21"/>
        </w:rPr>
        <w:t>o</w:t>
      </w:r>
      <w:r w:rsidR="00375036" w:rsidRPr="0021199F">
        <w:rPr>
          <w:rFonts w:ascii="Abadi" w:hAnsi="Abadi"/>
          <w:sz w:val="21"/>
          <w:szCs w:val="21"/>
        </w:rPr>
        <w:t xml:space="preserve"> informar que previamente se </w:t>
      </w:r>
      <w:r w:rsidR="00375036">
        <w:rPr>
          <w:rFonts w:ascii="Abadi" w:hAnsi="Abadi"/>
          <w:sz w:val="21"/>
          <w:szCs w:val="21"/>
        </w:rPr>
        <w:t>ha inscrito</w:t>
      </w:r>
      <w:r w:rsidR="00375036" w:rsidRPr="0021199F">
        <w:rPr>
          <w:rFonts w:ascii="Abadi" w:hAnsi="Abadi"/>
          <w:sz w:val="21"/>
          <w:szCs w:val="21"/>
        </w:rPr>
        <w:t xml:space="preserve"> la diputada </w:t>
      </w:r>
      <w:r w:rsidR="00375036">
        <w:rPr>
          <w:rFonts w:ascii="Abadi" w:hAnsi="Abadi"/>
          <w:sz w:val="21"/>
          <w:szCs w:val="21"/>
        </w:rPr>
        <w:t>B</w:t>
      </w:r>
      <w:r w:rsidR="00375036" w:rsidRPr="0021199F">
        <w:rPr>
          <w:rFonts w:ascii="Abadi" w:hAnsi="Abadi"/>
          <w:sz w:val="21"/>
          <w:szCs w:val="21"/>
        </w:rPr>
        <w:t>ris</w:t>
      </w:r>
      <w:r w:rsidR="00375036">
        <w:rPr>
          <w:rFonts w:ascii="Abadi" w:hAnsi="Abadi"/>
          <w:sz w:val="21"/>
          <w:szCs w:val="21"/>
        </w:rPr>
        <w:t>eida</w:t>
      </w:r>
      <w:r w:rsidR="00375036" w:rsidRPr="0021199F">
        <w:rPr>
          <w:rFonts w:ascii="Abadi" w:hAnsi="Abadi"/>
          <w:sz w:val="21"/>
          <w:szCs w:val="21"/>
        </w:rPr>
        <w:t xml:space="preserve"> </w:t>
      </w:r>
      <w:r w:rsidR="00375036">
        <w:rPr>
          <w:rFonts w:ascii="Abadi" w:hAnsi="Abadi"/>
          <w:sz w:val="21"/>
          <w:szCs w:val="21"/>
        </w:rPr>
        <w:t>Anabel</w:t>
      </w:r>
      <w:r w:rsidR="00375036" w:rsidRPr="0021199F">
        <w:rPr>
          <w:rFonts w:ascii="Abadi" w:hAnsi="Abadi"/>
          <w:sz w:val="21"/>
          <w:szCs w:val="21"/>
        </w:rPr>
        <w:t xml:space="preserve"> Magdaleno González para hablar a favor del dictamen</w:t>
      </w:r>
      <w:r w:rsidR="00375036">
        <w:rPr>
          <w:rFonts w:ascii="Abadi" w:hAnsi="Abadi"/>
          <w:sz w:val="21"/>
          <w:szCs w:val="21"/>
        </w:rPr>
        <w:t>.</w:t>
      </w:r>
      <w:r w:rsidR="00375036" w:rsidRPr="0021199F">
        <w:rPr>
          <w:rFonts w:ascii="Abadi" w:hAnsi="Abadi"/>
          <w:sz w:val="21"/>
          <w:szCs w:val="21"/>
        </w:rPr>
        <w:t xml:space="preserve"> </w:t>
      </w:r>
    </w:p>
    <w:p w14:paraId="5E51A9C8" w14:textId="7E97A36C" w:rsidR="00375036" w:rsidRDefault="00D96B45" w:rsidP="00D96B45">
      <w:pPr>
        <w:pStyle w:val="NormalWeb"/>
        <w:ind w:firstLine="708"/>
        <w:jc w:val="both"/>
        <w:rPr>
          <w:rFonts w:ascii="Abadi" w:hAnsi="Abadi"/>
          <w:sz w:val="21"/>
          <w:szCs w:val="21"/>
        </w:rPr>
      </w:pPr>
      <w:r>
        <w:rPr>
          <w:rFonts w:ascii="Abadi" w:hAnsi="Abadi"/>
          <w:sz w:val="21"/>
          <w:szCs w:val="21"/>
        </w:rPr>
        <w:t xml:space="preserve">- </w:t>
      </w:r>
      <w:r w:rsidR="00375036" w:rsidRPr="0021199F">
        <w:rPr>
          <w:rFonts w:ascii="Abadi" w:hAnsi="Abadi"/>
          <w:sz w:val="21"/>
          <w:szCs w:val="21"/>
        </w:rPr>
        <w:t>Si alguna otra diputada o algún diputado desea hacer uso de la palabra en pro o en contra, manifiést</w:t>
      </w:r>
      <w:r w:rsidR="00375036">
        <w:rPr>
          <w:rFonts w:ascii="Abadi" w:hAnsi="Abadi"/>
          <w:sz w:val="21"/>
          <w:szCs w:val="21"/>
        </w:rPr>
        <w:t>enlo</w:t>
      </w:r>
      <w:r w:rsidR="00375036" w:rsidRPr="0021199F">
        <w:rPr>
          <w:rFonts w:ascii="Abadi" w:hAnsi="Abadi"/>
          <w:sz w:val="21"/>
          <w:szCs w:val="21"/>
        </w:rPr>
        <w:t xml:space="preserve"> indicando el sentido de su participación. </w:t>
      </w:r>
    </w:p>
    <w:p w14:paraId="7DEB388A" w14:textId="3CC78313" w:rsidR="00375036" w:rsidRDefault="00D96B45" w:rsidP="00D96B45">
      <w:pPr>
        <w:pStyle w:val="NormalWeb"/>
        <w:ind w:firstLine="708"/>
        <w:jc w:val="both"/>
        <w:rPr>
          <w:rFonts w:ascii="Abadi" w:hAnsi="Abadi"/>
          <w:sz w:val="21"/>
          <w:szCs w:val="21"/>
        </w:rPr>
      </w:pPr>
      <w:r>
        <w:rPr>
          <w:rFonts w:ascii="Abadi" w:hAnsi="Abadi"/>
          <w:sz w:val="21"/>
          <w:szCs w:val="21"/>
        </w:rPr>
        <w:t xml:space="preserve">- </w:t>
      </w:r>
      <w:r w:rsidR="00375036" w:rsidRPr="0021199F">
        <w:rPr>
          <w:rFonts w:ascii="Abadi" w:hAnsi="Abadi"/>
          <w:sz w:val="21"/>
          <w:szCs w:val="21"/>
        </w:rPr>
        <w:t xml:space="preserve">Se concede el uso de la palabra a la diputada </w:t>
      </w:r>
      <w:r w:rsidR="00375036">
        <w:rPr>
          <w:rFonts w:ascii="Abadi" w:hAnsi="Abadi"/>
          <w:sz w:val="21"/>
          <w:szCs w:val="21"/>
        </w:rPr>
        <w:t>Briseida Anabel Magdaleno González,</w:t>
      </w:r>
      <w:r w:rsidR="00375036" w:rsidRPr="0021199F">
        <w:rPr>
          <w:rFonts w:ascii="Abadi" w:hAnsi="Abadi"/>
          <w:sz w:val="21"/>
          <w:szCs w:val="21"/>
        </w:rPr>
        <w:t xml:space="preserve"> hasta por </w:t>
      </w:r>
      <w:r w:rsidR="00375036">
        <w:rPr>
          <w:rFonts w:ascii="Abadi" w:hAnsi="Abadi"/>
          <w:sz w:val="21"/>
          <w:szCs w:val="21"/>
        </w:rPr>
        <w:t xml:space="preserve">10 </w:t>
      </w:r>
      <w:r w:rsidR="00375036" w:rsidRPr="0021199F">
        <w:rPr>
          <w:rFonts w:ascii="Abadi" w:hAnsi="Abadi"/>
          <w:sz w:val="21"/>
          <w:szCs w:val="21"/>
        </w:rPr>
        <w:t>minutos</w:t>
      </w:r>
      <w:r w:rsidR="00375036">
        <w:rPr>
          <w:rFonts w:ascii="Abadi" w:hAnsi="Abadi"/>
          <w:sz w:val="21"/>
          <w:szCs w:val="21"/>
        </w:rPr>
        <w:t xml:space="preserve">. </w:t>
      </w:r>
    </w:p>
    <w:p w14:paraId="43E51300" w14:textId="075D9BEA" w:rsidR="00375036" w:rsidRDefault="00D96B45" w:rsidP="00D96B45">
      <w:pPr>
        <w:pStyle w:val="NormalWeb"/>
        <w:ind w:firstLine="708"/>
        <w:jc w:val="both"/>
        <w:rPr>
          <w:rFonts w:ascii="Abadi" w:hAnsi="Abadi"/>
          <w:sz w:val="21"/>
          <w:szCs w:val="21"/>
        </w:rPr>
      </w:pPr>
      <w:r>
        <w:rPr>
          <w:rFonts w:ascii="Abadi" w:hAnsi="Abadi"/>
          <w:sz w:val="21"/>
          <w:szCs w:val="21"/>
        </w:rPr>
        <w:t xml:space="preserve">- </w:t>
      </w:r>
      <w:r w:rsidR="00375036">
        <w:rPr>
          <w:rFonts w:ascii="Abadi" w:hAnsi="Abadi"/>
          <w:sz w:val="21"/>
          <w:szCs w:val="21"/>
        </w:rPr>
        <w:t xml:space="preserve">Adelante, </w:t>
      </w:r>
      <w:r w:rsidR="00375036" w:rsidRPr="0021199F">
        <w:rPr>
          <w:rFonts w:ascii="Abadi" w:hAnsi="Abadi"/>
          <w:sz w:val="21"/>
          <w:szCs w:val="21"/>
        </w:rPr>
        <w:t>diputada</w:t>
      </w:r>
      <w:r w:rsidR="00375036">
        <w:rPr>
          <w:rFonts w:ascii="Abadi" w:hAnsi="Abadi"/>
          <w:sz w:val="21"/>
          <w:szCs w:val="21"/>
        </w:rPr>
        <w:t>.</w:t>
      </w:r>
      <w:r w:rsidR="00375036" w:rsidRPr="0021199F">
        <w:rPr>
          <w:rFonts w:ascii="Abadi" w:hAnsi="Abadi"/>
          <w:sz w:val="21"/>
          <w:szCs w:val="21"/>
        </w:rPr>
        <w:t xml:space="preserve"> </w:t>
      </w:r>
    </w:p>
    <w:p w14:paraId="4616AD0F" w14:textId="01514F8E" w:rsidR="00375036" w:rsidRDefault="00375036" w:rsidP="00375036">
      <w:pPr>
        <w:pStyle w:val="NormalWeb"/>
        <w:jc w:val="both"/>
        <w:rPr>
          <w:rFonts w:ascii="Abadi" w:hAnsi="Abadi"/>
          <w:b/>
          <w:bCs/>
          <w:sz w:val="21"/>
          <w:szCs w:val="21"/>
        </w:rPr>
      </w:pPr>
      <w:r w:rsidRPr="00170350">
        <w:rPr>
          <w:rFonts w:ascii="Abadi" w:hAnsi="Abadi"/>
          <w:b/>
          <w:bCs/>
          <w:sz w:val="21"/>
          <w:szCs w:val="21"/>
        </w:rPr>
        <w:t xml:space="preserve">(Sube a tribuna </w:t>
      </w:r>
      <w:r>
        <w:rPr>
          <w:rFonts w:ascii="Abadi" w:hAnsi="Abadi"/>
          <w:b/>
          <w:bCs/>
          <w:sz w:val="21"/>
          <w:szCs w:val="21"/>
        </w:rPr>
        <w:t xml:space="preserve">la diputada </w:t>
      </w:r>
      <w:r w:rsidRPr="00170350">
        <w:rPr>
          <w:rFonts w:ascii="Abadi" w:hAnsi="Abadi"/>
          <w:b/>
          <w:bCs/>
          <w:sz w:val="21"/>
          <w:szCs w:val="21"/>
        </w:rPr>
        <w:t xml:space="preserve">Briseida </w:t>
      </w:r>
      <w:r>
        <w:rPr>
          <w:rFonts w:ascii="Abadi" w:hAnsi="Abadi"/>
          <w:b/>
          <w:bCs/>
          <w:sz w:val="21"/>
          <w:szCs w:val="21"/>
        </w:rPr>
        <w:t xml:space="preserve">Anabel </w:t>
      </w:r>
      <w:r w:rsidRPr="00170350">
        <w:rPr>
          <w:rFonts w:ascii="Abadi" w:hAnsi="Abadi"/>
          <w:b/>
          <w:bCs/>
          <w:sz w:val="21"/>
          <w:szCs w:val="21"/>
        </w:rPr>
        <w:t>Magdaleno</w:t>
      </w:r>
      <w:r>
        <w:rPr>
          <w:rFonts w:ascii="Abadi" w:hAnsi="Abadi"/>
          <w:b/>
          <w:bCs/>
          <w:sz w:val="21"/>
          <w:szCs w:val="21"/>
        </w:rPr>
        <w:t xml:space="preserve">, </w:t>
      </w:r>
      <w:r w:rsidRPr="00170350">
        <w:rPr>
          <w:rFonts w:ascii="Abadi" w:hAnsi="Abadi"/>
          <w:b/>
          <w:bCs/>
          <w:sz w:val="21"/>
          <w:szCs w:val="21"/>
        </w:rPr>
        <w:t xml:space="preserve">para hablar a favor del dictamen) </w:t>
      </w:r>
    </w:p>
    <w:p w14:paraId="3CF9651B" w14:textId="61EDD204" w:rsidR="008D0373" w:rsidRDefault="008D0373" w:rsidP="00375036">
      <w:pPr>
        <w:pStyle w:val="NormalWeb"/>
        <w:jc w:val="both"/>
        <w:rPr>
          <w:rFonts w:ascii="Abadi" w:hAnsi="Abadi"/>
          <w:b/>
          <w:bCs/>
          <w:sz w:val="21"/>
          <w:szCs w:val="21"/>
        </w:rPr>
      </w:pPr>
      <w:r>
        <w:rPr>
          <w:noProof/>
        </w:rPr>
        <w:drawing>
          <wp:anchor distT="0" distB="0" distL="114300" distR="114300" simplePos="0" relativeHeight="251658255" behindDoc="1" locked="0" layoutInCell="1" allowOverlap="1" wp14:anchorId="0A8FCD76" wp14:editId="29954054">
            <wp:simplePos x="0" y="0"/>
            <wp:positionH relativeFrom="column">
              <wp:posOffset>98425</wp:posOffset>
            </wp:positionH>
            <wp:positionV relativeFrom="paragraph">
              <wp:posOffset>228600</wp:posOffset>
            </wp:positionV>
            <wp:extent cx="2004060" cy="1040765"/>
            <wp:effectExtent l="19050" t="114300" r="0" b="788035"/>
            <wp:wrapTight wrapText="bothSides">
              <wp:wrapPolygon edited="0">
                <wp:start x="205" y="-2372"/>
                <wp:lineTo x="-205" y="4744"/>
                <wp:lineTo x="411" y="37559"/>
                <wp:lineTo x="3901" y="37559"/>
                <wp:lineTo x="9650" y="36373"/>
                <wp:lineTo x="20122" y="31629"/>
                <wp:lineTo x="20122" y="-2372"/>
                <wp:lineTo x="205" y="-2372"/>
              </wp:wrapPolygon>
            </wp:wrapTight>
            <wp:docPr id="38" name="Imagen 3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10;&#10;Descripción generada automáticamente"/>
                    <pic:cNvPicPr/>
                  </pic:nvPicPr>
                  <pic:blipFill rotWithShape="1">
                    <a:blip r:embed="rId56" cstate="print">
                      <a:extLst>
                        <a:ext uri="{28A0092B-C50C-407E-A947-70E740481C1C}">
                          <a14:useLocalDpi xmlns:a14="http://schemas.microsoft.com/office/drawing/2010/main" val="0"/>
                        </a:ext>
                      </a:extLst>
                    </a:blip>
                    <a:srcRect b="7628"/>
                    <a:stretch/>
                  </pic:blipFill>
                  <pic:spPr bwMode="auto">
                    <a:xfrm>
                      <a:off x="0" y="0"/>
                      <a:ext cx="2004060" cy="104076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2C958A" w14:textId="6099376B" w:rsidR="008D0373" w:rsidRDefault="008D0373" w:rsidP="00375036">
      <w:pPr>
        <w:pStyle w:val="NormalWeb"/>
        <w:jc w:val="both"/>
        <w:rPr>
          <w:rFonts w:ascii="Abadi" w:hAnsi="Abadi"/>
          <w:b/>
          <w:bCs/>
          <w:sz w:val="21"/>
          <w:szCs w:val="21"/>
        </w:rPr>
      </w:pPr>
    </w:p>
    <w:p w14:paraId="522A641F" w14:textId="626A02DE" w:rsidR="008D0373" w:rsidRDefault="008D0373" w:rsidP="00375036">
      <w:pPr>
        <w:pStyle w:val="NormalWeb"/>
        <w:jc w:val="both"/>
        <w:rPr>
          <w:rFonts w:ascii="Abadi" w:hAnsi="Abadi"/>
          <w:b/>
          <w:bCs/>
          <w:sz w:val="21"/>
          <w:szCs w:val="21"/>
        </w:rPr>
      </w:pPr>
    </w:p>
    <w:p w14:paraId="77B817B4" w14:textId="77777777" w:rsidR="008D0373" w:rsidRDefault="008D0373" w:rsidP="00375036">
      <w:pPr>
        <w:pStyle w:val="NormalWeb"/>
        <w:jc w:val="both"/>
        <w:rPr>
          <w:rFonts w:ascii="Abadi" w:hAnsi="Abadi"/>
          <w:b/>
          <w:bCs/>
          <w:sz w:val="21"/>
          <w:szCs w:val="21"/>
        </w:rPr>
      </w:pPr>
    </w:p>
    <w:p w14:paraId="799FB77A" w14:textId="27AD00EC" w:rsidR="008D0373" w:rsidRDefault="008D0373" w:rsidP="00375036">
      <w:pPr>
        <w:pStyle w:val="NormalWeb"/>
        <w:jc w:val="both"/>
        <w:rPr>
          <w:rFonts w:ascii="Abadi" w:hAnsi="Abadi"/>
          <w:b/>
          <w:bCs/>
          <w:sz w:val="21"/>
          <w:szCs w:val="21"/>
        </w:rPr>
      </w:pPr>
    </w:p>
    <w:p w14:paraId="6EF9EBEB" w14:textId="489A48F6" w:rsidR="00375036" w:rsidRDefault="00375036" w:rsidP="00375036">
      <w:pPr>
        <w:pStyle w:val="NormalWeb"/>
        <w:jc w:val="both"/>
        <w:rPr>
          <w:rFonts w:ascii="Abadi" w:hAnsi="Abadi"/>
          <w:b/>
          <w:bCs/>
          <w:sz w:val="21"/>
          <w:szCs w:val="21"/>
        </w:rPr>
      </w:pPr>
    </w:p>
    <w:p w14:paraId="188521BC" w14:textId="77777777" w:rsidR="008D0373" w:rsidRDefault="008D0373" w:rsidP="00375036">
      <w:pPr>
        <w:pStyle w:val="NormalWeb"/>
        <w:jc w:val="both"/>
        <w:rPr>
          <w:rFonts w:ascii="Abadi" w:hAnsi="Abadi"/>
          <w:sz w:val="21"/>
          <w:szCs w:val="21"/>
        </w:rPr>
      </w:pPr>
    </w:p>
    <w:p w14:paraId="1846DBB7" w14:textId="7B9EDCAF" w:rsidR="00375036" w:rsidRDefault="00375036" w:rsidP="0037503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Muy buenas tardes a todas y a todos</w:t>
      </w:r>
      <w:r>
        <w:rPr>
          <w:rFonts w:ascii="Abadi" w:hAnsi="Abadi"/>
          <w:sz w:val="21"/>
          <w:szCs w:val="21"/>
        </w:rPr>
        <w:t>, q</w:t>
      </w:r>
      <w:r w:rsidRPr="0021199F">
        <w:rPr>
          <w:rFonts w:ascii="Abadi" w:hAnsi="Abadi"/>
          <w:sz w:val="21"/>
          <w:szCs w:val="21"/>
        </w:rPr>
        <w:t>u</w:t>
      </w:r>
      <w:r>
        <w:rPr>
          <w:rFonts w:ascii="Abadi" w:hAnsi="Abadi"/>
          <w:sz w:val="21"/>
          <w:szCs w:val="21"/>
        </w:rPr>
        <w:t>e</w:t>
      </w:r>
      <w:r w:rsidRPr="0021199F">
        <w:rPr>
          <w:rFonts w:ascii="Abadi" w:hAnsi="Abadi"/>
          <w:sz w:val="21"/>
          <w:szCs w:val="21"/>
        </w:rPr>
        <w:t xml:space="preserve"> gusto saludar</w:t>
      </w:r>
      <w:r>
        <w:rPr>
          <w:rFonts w:ascii="Abadi" w:hAnsi="Abadi"/>
          <w:sz w:val="21"/>
          <w:szCs w:val="21"/>
        </w:rPr>
        <w:t xml:space="preserve"> a l</w:t>
      </w:r>
      <w:r w:rsidRPr="0021199F">
        <w:rPr>
          <w:rFonts w:ascii="Abadi" w:hAnsi="Abadi"/>
          <w:sz w:val="21"/>
          <w:szCs w:val="21"/>
        </w:rPr>
        <w:t>os medios de comunicación que nos acompañan, por supuesto, a las invita</w:t>
      </w:r>
      <w:r>
        <w:rPr>
          <w:rFonts w:ascii="Abadi" w:hAnsi="Abadi"/>
          <w:sz w:val="21"/>
          <w:szCs w:val="21"/>
        </w:rPr>
        <w:t>das y</w:t>
      </w:r>
      <w:r w:rsidRPr="0021199F">
        <w:rPr>
          <w:rFonts w:ascii="Abadi" w:hAnsi="Abadi"/>
          <w:sz w:val="21"/>
          <w:szCs w:val="21"/>
        </w:rPr>
        <w:t xml:space="preserve"> a los invitados especiales, salud</w:t>
      </w:r>
      <w:r>
        <w:rPr>
          <w:rFonts w:ascii="Abadi" w:hAnsi="Abadi"/>
          <w:sz w:val="21"/>
          <w:szCs w:val="21"/>
        </w:rPr>
        <w:t>o</w:t>
      </w:r>
      <w:r w:rsidRPr="0021199F">
        <w:rPr>
          <w:rFonts w:ascii="Abadi" w:hAnsi="Abadi"/>
          <w:sz w:val="21"/>
          <w:szCs w:val="21"/>
        </w:rPr>
        <w:t xml:space="preserve"> también con mucho gusto a todas mis compañeras y compañeros. </w:t>
      </w:r>
    </w:p>
    <w:p w14:paraId="7167BBEB" w14:textId="77777777" w:rsidR="00375036" w:rsidRDefault="00375036" w:rsidP="0037503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El día de hoy quiero tratar un tema bastante importante para todas y para todos</w:t>
      </w:r>
      <w:r>
        <w:rPr>
          <w:rFonts w:ascii="Abadi" w:hAnsi="Abadi"/>
          <w:sz w:val="21"/>
          <w:szCs w:val="21"/>
        </w:rPr>
        <w:t>, s</w:t>
      </w:r>
      <w:r w:rsidRPr="0021199F">
        <w:rPr>
          <w:rFonts w:ascii="Abadi" w:hAnsi="Abadi"/>
          <w:sz w:val="21"/>
          <w:szCs w:val="21"/>
        </w:rPr>
        <w:t>on nuestros adultos mayores</w:t>
      </w:r>
      <w:r>
        <w:rPr>
          <w:rFonts w:ascii="Abadi" w:hAnsi="Abadi"/>
          <w:sz w:val="21"/>
          <w:szCs w:val="21"/>
        </w:rPr>
        <w:t>, s</w:t>
      </w:r>
      <w:r w:rsidRPr="0021199F">
        <w:rPr>
          <w:rFonts w:ascii="Abadi" w:hAnsi="Abadi"/>
          <w:sz w:val="21"/>
          <w:szCs w:val="21"/>
        </w:rPr>
        <w:t>iempre he dicho que nuestros adultos mayores son historia, son presente y son futuro vivo de nuestro Estado, que compartimos</w:t>
      </w:r>
      <w:r>
        <w:rPr>
          <w:rFonts w:ascii="Abadi" w:hAnsi="Abadi"/>
          <w:sz w:val="21"/>
          <w:szCs w:val="21"/>
        </w:rPr>
        <w:t>,</w:t>
      </w:r>
      <w:r w:rsidRPr="0021199F">
        <w:rPr>
          <w:rFonts w:ascii="Abadi" w:hAnsi="Abadi"/>
          <w:sz w:val="21"/>
          <w:szCs w:val="21"/>
        </w:rPr>
        <w:t xml:space="preserve"> de la vocación que nos une</w:t>
      </w:r>
      <w:r>
        <w:rPr>
          <w:rFonts w:ascii="Abadi" w:hAnsi="Abadi"/>
          <w:sz w:val="21"/>
          <w:szCs w:val="21"/>
        </w:rPr>
        <w:t>,</w:t>
      </w:r>
      <w:r w:rsidRPr="0021199F">
        <w:rPr>
          <w:rFonts w:ascii="Abadi" w:hAnsi="Abadi"/>
          <w:sz w:val="21"/>
          <w:szCs w:val="21"/>
        </w:rPr>
        <w:t xml:space="preserve"> de la libertad, pero sobre todo</w:t>
      </w:r>
      <w:r>
        <w:rPr>
          <w:rFonts w:ascii="Abadi" w:hAnsi="Abadi"/>
          <w:sz w:val="21"/>
          <w:szCs w:val="21"/>
        </w:rPr>
        <w:t xml:space="preserve"> de</w:t>
      </w:r>
      <w:r w:rsidRPr="0021199F">
        <w:rPr>
          <w:rFonts w:ascii="Abadi" w:hAnsi="Abadi"/>
          <w:sz w:val="21"/>
          <w:szCs w:val="21"/>
        </w:rPr>
        <w:t xml:space="preserve"> desarrollo. Son fundamento y son fundamentales para nuestr</w:t>
      </w:r>
      <w:r>
        <w:rPr>
          <w:rFonts w:ascii="Abadi" w:hAnsi="Abadi"/>
          <w:sz w:val="21"/>
          <w:szCs w:val="21"/>
        </w:rPr>
        <w:t>as</w:t>
      </w:r>
      <w:r w:rsidRPr="0021199F">
        <w:rPr>
          <w:rFonts w:ascii="Abadi" w:hAnsi="Abadi"/>
          <w:sz w:val="21"/>
          <w:szCs w:val="21"/>
        </w:rPr>
        <w:t xml:space="preserve"> familia</w:t>
      </w:r>
      <w:r>
        <w:rPr>
          <w:rFonts w:ascii="Abadi" w:hAnsi="Abadi"/>
          <w:sz w:val="21"/>
          <w:szCs w:val="21"/>
        </w:rPr>
        <w:t>s</w:t>
      </w:r>
      <w:r w:rsidRPr="0021199F">
        <w:rPr>
          <w:rFonts w:ascii="Abadi" w:hAnsi="Abadi"/>
          <w:sz w:val="21"/>
          <w:szCs w:val="21"/>
        </w:rPr>
        <w:t>. Son la base para la</w:t>
      </w:r>
      <w:r>
        <w:rPr>
          <w:rFonts w:ascii="Abadi" w:hAnsi="Abadi"/>
          <w:sz w:val="21"/>
          <w:szCs w:val="21"/>
        </w:rPr>
        <w:t>s</w:t>
      </w:r>
      <w:r w:rsidRPr="0021199F">
        <w:rPr>
          <w:rFonts w:ascii="Abadi" w:hAnsi="Abadi"/>
          <w:sz w:val="21"/>
          <w:szCs w:val="21"/>
        </w:rPr>
        <w:t xml:space="preserve"> familia</w:t>
      </w:r>
      <w:r>
        <w:rPr>
          <w:rFonts w:ascii="Abadi" w:hAnsi="Abadi"/>
          <w:sz w:val="21"/>
          <w:szCs w:val="21"/>
        </w:rPr>
        <w:t>s</w:t>
      </w:r>
      <w:r w:rsidRPr="0021199F">
        <w:rPr>
          <w:rFonts w:ascii="Abadi" w:hAnsi="Abadi"/>
          <w:sz w:val="21"/>
          <w:szCs w:val="21"/>
        </w:rPr>
        <w:t xml:space="preserve"> del campo, pero también para las familias de la ciudad, como es de su conocimiento. Las diputadas y los diputados integrantes de la Comisión de Asuntos Municipales se abocaron estudiar de manera responsable el punto de acuerdo por el cual el Congreso del Estado efectúa un respetuoso</w:t>
      </w:r>
      <w:r>
        <w:rPr>
          <w:rFonts w:ascii="Abadi" w:hAnsi="Abadi"/>
          <w:sz w:val="21"/>
          <w:szCs w:val="21"/>
        </w:rPr>
        <w:t xml:space="preserve"> e</w:t>
      </w:r>
      <w:r w:rsidRPr="0021199F">
        <w:rPr>
          <w:rFonts w:ascii="Abadi" w:hAnsi="Abadi"/>
          <w:sz w:val="21"/>
          <w:szCs w:val="21"/>
        </w:rPr>
        <w:t xml:space="preserve">xhortó a los cuarenta y seis ayuntamientos </w:t>
      </w:r>
      <w:r>
        <w:rPr>
          <w:rFonts w:ascii="Abadi" w:hAnsi="Abadi"/>
          <w:sz w:val="21"/>
          <w:szCs w:val="21"/>
        </w:rPr>
        <w:t>a ef</w:t>
      </w:r>
      <w:r w:rsidRPr="0021199F">
        <w:rPr>
          <w:rFonts w:ascii="Abadi" w:hAnsi="Abadi"/>
          <w:sz w:val="21"/>
          <w:szCs w:val="21"/>
        </w:rPr>
        <w:t>ecto de dar seguimiento a la instalación de los importantes consejos municipales de adultos mayores</w:t>
      </w:r>
      <w:r>
        <w:rPr>
          <w:rFonts w:ascii="Abadi" w:hAnsi="Abadi"/>
          <w:sz w:val="21"/>
          <w:szCs w:val="21"/>
        </w:rPr>
        <w:t xml:space="preserve"> y </w:t>
      </w:r>
      <w:r w:rsidRPr="0021199F">
        <w:rPr>
          <w:rFonts w:ascii="Abadi" w:hAnsi="Abadi"/>
          <w:sz w:val="21"/>
          <w:szCs w:val="21"/>
        </w:rPr>
        <w:t>por supuesto, que también se expidan sus reglamentos correspondientes</w:t>
      </w:r>
      <w:r>
        <w:rPr>
          <w:rFonts w:ascii="Abadi" w:hAnsi="Abadi"/>
          <w:sz w:val="21"/>
          <w:szCs w:val="21"/>
        </w:rPr>
        <w:t>.</w:t>
      </w:r>
      <w:r w:rsidRPr="0021199F">
        <w:rPr>
          <w:rFonts w:ascii="Abadi" w:hAnsi="Abadi"/>
          <w:sz w:val="21"/>
          <w:szCs w:val="21"/>
        </w:rPr>
        <w:t xml:space="preserve"> </w:t>
      </w:r>
    </w:p>
    <w:p w14:paraId="33A1084E" w14:textId="77777777" w:rsidR="00375036" w:rsidRDefault="00375036" w:rsidP="00375036">
      <w:pPr>
        <w:pStyle w:val="NormalWeb"/>
        <w:jc w:val="both"/>
        <w:rPr>
          <w:rFonts w:ascii="Abadi" w:hAnsi="Abadi"/>
          <w:sz w:val="21"/>
          <w:szCs w:val="21"/>
        </w:rPr>
      </w:pPr>
      <w:r>
        <w:rPr>
          <w:rFonts w:ascii="Abadi" w:hAnsi="Abadi"/>
          <w:sz w:val="21"/>
          <w:szCs w:val="21"/>
        </w:rPr>
        <w:t>-P</w:t>
      </w:r>
      <w:r w:rsidRPr="0021199F">
        <w:rPr>
          <w:rFonts w:ascii="Abadi" w:hAnsi="Abadi"/>
          <w:sz w:val="21"/>
          <w:szCs w:val="21"/>
        </w:rPr>
        <w:t>ara Acción Nacional</w:t>
      </w:r>
      <w:r>
        <w:rPr>
          <w:rFonts w:ascii="Abadi" w:hAnsi="Abadi"/>
          <w:sz w:val="21"/>
          <w:szCs w:val="21"/>
        </w:rPr>
        <w:t xml:space="preserve"> e</w:t>
      </w:r>
      <w:r w:rsidRPr="0021199F">
        <w:rPr>
          <w:rFonts w:ascii="Abadi" w:hAnsi="Abadi"/>
          <w:sz w:val="21"/>
          <w:szCs w:val="21"/>
        </w:rPr>
        <w:t xml:space="preserve">l municipio es la comunidad </w:t>
      </w:r>
      <w:r>
        <w:rPr>
          <w:rFonts w:ascii="Abadi" w:hAnsi="Abadi"/>
          <w:sz w:val="21"/>
          <w:szCs w:val="21"/>
        </w:rPr>
        <w:t>f</w:t>
      </w:r>
      <w:r w:rsidRPr="0021199F">
        <w:rPr>
          <w:rFonts w:ascii="Abadi" w:hAnsi="Abadi"/>
          <w:sz w:val="21"/>
          <w:szCs w:val="21"/>
        </w:rPr>
        <w:t xml:space="preserve">undante del Estado y el cimiento que descansa el orden político local, basado en un consenso del pueblo, expresión directa y necesaria del ejercicio del poder público y, consecuentemente, el ámbito de gobierno más próximo, </w:t>
      </w:r>
      <w:r>
        <w:rPr>
          <w:rFonts w:ascii="Abadi" w:hAnsi="Abadi"/>
          <w:sz w:val="21"/>
          <w:szCs w:val="21"/>
        </w:rPr>
        <w:t xml:space="preserve">a </w:t>
      </w:r>
      <w:r w:rsidRPr="0021199F">
        <w:rPr>
          <w:rFonts w:ascii="Abadi" w:hAnsi="Abadi"/>
          <w:sz w:val="21"/>
          <w:szCs w:val="21"/>
        </w:rPr>
        <w:t>acoplarse a las necesidades de sus habitantes</w:t>
      </w:r>
      <w:r>
        <w:rPr>
          <w:rFonts w:ascii="Abadi" w:hAnsi="Abadi"/>
          <w:sz w:val="21"/>
          <w:szCs w:val="21"/>
        </w:rPr>
        <w:t>.</w:t>
      </w:r>
      <w:r w:rsidRPr="0021199F">
        <w:rPr>
          <w:rFonts w:ascii="Abadi" w:hAnsi="Abadi"/>
          <w:sz w:val="21"/>
          <w:szCs w:val="21"/>
        </w:rPr>
        <w:t xml:space="preserve"> </w:t>
      </w:r>
    </w:p>
    <w:p w14:paraId="43C85B66" w14:textId="77777777" w:rsidR="00375036" w:rsidRDefault="00375036" w:rsidP="00375036">
      <w:pPr>
        <w:pStyle w:val="NormalWeb"/>
        <w:jc w:val="both"/>
        <w:rPr>
          <w:rFonts w:ascii="Abadi" w:hAnsi="Abadi"/>
          <w:sz w:val="21"/>
          <w:szCs w:val="21"/>
        </w:rPr>
      </w:pPr>
      <w:r>
        <w:rPr>
          <w:rFonts w:ascii="Abadi" w:hAnsi="Abadi"/>
          <w:sz w:val="21"/>
          <w:szCs w:val="21"/>
        </w:rPr>
        <w:t>- C</w:t>
      </w:r>
      <w:r w:rsidRPr="0021199F">
        <w:rPr>
          <w:rFonts w:ascii="Abadi" w:hAnsi="Abadi"/>
          <w:sz w:val="21"/>
          <w:szCs w:val="21"/>
        </w:rPr>
        <w:t>ompañeras y compañeros diputados</w:t>
      </w:r>
      <w:r>
        <w:rPr>
          <w:rFonts w:ascii="Abadi" w:hAnsi="Abadi"/>
          <w:sz w:val="21"/>
          <w:szCs w:val="21"/>
        </w:rPr>
        <w:t>, l</w:t>
      </w:r>
      <w:r w:rsidRPr="0021199F">
        <w:rPr>
          <w:rFonts w:ascii="Abadi" w:hAnsi="Abadi"/>
          <w:sz w:val="21"/>
          <w:szCs w:val="21"/>
        </w:rPr>
        <w:t xml:space="preserve">a construcción de la Ley de los Derechos de las Personas Adultos Mayores para el </w:t>
      </w:r>
      <w:r>
        <w:rPr>
          <w:rFonts w:ascii="Abadi" w:hAnsi="Abadi"/>
          <w:sz w:val="21"/>
          <w:szCs w:val="21"/>
        </w:rPr>
        <w:t>E</w:t>
      </w:r>
      <w:r w:rsidRPr="0021199F">
        <w:rPr>
          <w:rFonts w:ascii="Abadi" w:hAnsi="Abadi"/>
          <w:sz w:val="21"/>
          <w:szCs w:val="21"/>
        </w:rPr>
        <w:t>stado de Guanajuato conlleva un espíritu municipalista al dejar a que cada ayuntamiento atienda la realidad municipal</w:t>
      </w:r>
      <w:r>
        <w:rPr>
          <w:rFonts w:ascii="Abadi" w:hAnsi="Abadi"/>
          <w:sz w:val="21"/>
          <w:szCs w:val="21"/>
        </w:rPr>
        <w:t xml:space="preserve"> e</w:t>
      </w:r>
      <w:r w:rsidRPr="0021199F">
        <w:rPr>
          <w:rFonts w:ascii="Abadi" w:hAnsi="Abadi"/>
          <w:sz w:val="21"/>
          <w:szCs w:val="21"/>
        </w:rPr>
        <w:t xml:space="preserve"> integre un consejo municipal de personas adultos mayores. El Consejo Municipal de Personas Adultas Mayores es un tema de suma importancia porque en todas nuestras familias las y los adultos mayores son valores y el ejemplo de lucha también</w:t>
      </w:r>
      <w:r>
        <w:rPr>
          <w:rFonts w:ascii="Abadi" w:hAnsi="Abadi"/>
          <w:sz w:val="21"/>
          <w:szCs w:val="21"/>
        </w:rPr>
        <w:t xml:space="preserve"> s</w:t>
      </w:r>
      <w:r w:rsidRPr="0021199F">
        <w:rPr>
          <w:rFonts w:ascii="Abadi" w:hAnsi="Abadi"/>
          <w:sz w:val="21"/>
          <w:szCs w:val="21"/>
        </w:rPr>
        <w:t>on ejemplo, por supuesto, de superación. Son un patrimonio invaluable que tenemos</w:t>
      </w:r>
      <w:r>
        <w:rPr>
          <w:rFonts w:ascii="Abadi" w:hAnsi="Abadi"/>
          <w:sz w:val="21"/>
          <w:szCs w:val="21"/>
        </w:rPr>
        <w:t>,</w:t>
      </w:r>
      <w:r w:rsidRPr="0021199F">
        <w:rPr>
          <w:rFonts w:ascii="Abadi" w:hAnsi="Abadi"/>
          <w:sz w:val="21"/>
          <w:szCs w:val="21"/>
        </w:rPr>
        <w:t xml:space="preserve"> que nos anima siempre a seguir adelante, a dar un paso siempre firme mediante su legado</w:t>
      </w:r>
      <w:r>
        <w:rPr>
          <w:rFonts w:ascii="Abadi" w:hAnsi="Abadi"/>
          <w:sz w:val="21"/>
          <w:szCs w:val="21"/>
        </w:rPr>
        <w:t>, l</w:t>
      </w:r>
      <w:r w:rsidRPr="0021199F">
        <w:rPr>
          <w:rFonts w:ascii="Abadi" w:hAnsi="Abadi"/>
          <w:sz w:val="21"/>
          <w:szCs w:val="21"/>
        </w:rPr>
        <w:t>o que a un día con día nos continúa aportando</w:t>
      </w:r>
      <w:r>
        <w:rPr>
          <w:rFonts w:ascii="Abadi" w:hAnsi="Abadi"/>
          <w:sz w:val="21"/>
          <w:szCs w:val="21"/>
        </w:rPr>
        <w:t>,</w:t>
      </w:r>
      <w:r w:rsidRPr="0021199F">
        <w:rPr>
          <w:rFonts w:ascii="Abadi" w:hAnsi="Abadi"/>
          <w:sz w:val="21"/>
          <w:szCs w:val="21"/>
        </w:rPr>
        <w:t xml:space="preserve"> no debemos de olvidar lo que somos como</w:t>
      </w:r>
      <w:r>
        <w:rPr>
          <w:rFonts w:ascii="Abadi" w:hAnsi="Abadi"/>
          <w:sz w:val="21"/>
          <w:szCs w:val="21"/>
        </w:rPr>
        <w:t>,</w:t>
      </w:r>
      <w:r w:rsidRPr="0021199F">
        <w:rPr>
          <w:rFonts w:ascii="Abadi" w:hAnsi="Abadi"/>
          <w:sz w:val="21"/>
          <w:szCs w:val="21"/>
        </w:rPr>
        <w:t xml:space="preserve"> como comunidades y como sociedad</w:t>
      </w:r>
      <w:r>
        <w:rPr>
          <w:rFonts w:ascii="Abadi" w:hAnsi="Abadi"/>
          <w:sz w:val="21"/>
          <w:szCs w:val="21"/>
        </w:rPr>
        <w:t>, s</w:t>
      </w:r>
      <w:r w:rsidRPr="0021199F">
        <w:rPr>
          <w:rFonts w:ascii="Abadi" w:hAnsi="Abadi"/>
          <w:sz w:val="21"/>
          <w:szCs w:val="21"/>
        </w:rPr>
        <w:t xml:space="preserve">e lo debemos a ellos. Nuestras personas adultas mayores son nuestros padres, nuestros abuelos, quienes hicieron todos para que pudiéramos crecer, estudiar y convertirnos en personas de bien. </w:t>
      </w:r>
    </w:p>
    <w:p w14:paraId="78672155" w14:textId="77777777" w:rsidR="00375036" w:rsidRDefault="00375036" w:rsidP="0037503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Es por lo anterior que por que con la aprobación de este dictamen no sólo estamos legislando para darle</w:t>
      </w:r>
      <w:r>
        <w:rPr>
          <w:rFonts w:ascii="Abadi" w:hAnsi="Abadi"/>
          <w:sz w:val="21"/>
          <w:szCs w:val="21"/>
        </w:rPr>
        <w:t>s</w:t>
      </w:r>
      <w:r w:rsidRPr="0021199F">
        <w:rPr>
          <w:rFonts w:ascii="Abadi" w:hAnsi="Abadi"/>
          <w:sz w:val="21"/>
          <w:szCs w:val="21"/>
        </w:rPr>
        <w:t xml:space="preserve"> la voz y contar con experiencia de personas adultos mayores en cada Ayuntamiento presente, sino que también estamos legislando para que en el futuro esos propios ayuntamientos siempre, pero siempre tengan la presencia de nuestros adultos mayores a través de dichos consejos municipales para esas personas adultos mayores, pues al ser un consejo municipal un apoyo de consulta, de concertación, de asesoría de la autoridad municipal en los asuntos relacionados a la atención</w:t>
      </w:r>
      <w:r>
        <w:rPr>
          <w:rFonts w:ascii="Abadi" w:hAnsi="Abadi"/>
          <w:sz w:val="21"/>
          <w:szCs w:val="21"/>
        </w:rPr>
        <w:t xml:space="preserve"> d</w:t>
      </w:r>
      <w:r w:rsidRPr="0021199F">
        <w:rPr>
          <w:rFonts w:ascii="Abadi" w:hAnsi="Abadi"/>
          <w:sz w:val="21"/>
          <w:szCs w:val="21"/>
        </w:rPr>
        <w:t>e</w:t>
      </w:r>
      <w:r>
        <w:rPr>
          <w:rFonts w:ascii="Abadi" w:hAnsi="Abadi"/>
          <w:sz w:val="21"/>
          <w:szCs w:val="21"/>
        </w:rPr>
        <w:t xml:space="preserve"> </w:t>
      </w:r>
      <w:r w:rsidRPr="0021199F">
        <w:rPr>
          <w:rFonts w:ascii="Abadi" w:hAnsi="Abadi"/>
          <w:sz w:val="21"/>
          <w:szCs w:val="21"/>
        </w:rPr>
        <w:t>las y los adultos mayores, estaremos dando voz a nuestras personas adultos mayores de cada uno de los municipios y con ellos también, por supuesto, promoviendo la defensa de es</w:t>
      </w:r>
      <w:r>
        <w:rPr>
          <w:rFonts w:ascii="Abadi" w:hAnsi="Abadi"/>
          <w:sz w:val="21"/>
          <w:szCs w:val="21"/>
        </w:rPr>
        <w:t>t</w:t>
      </w:r>
      <w:r w:rsidRPr="0021199F">
        <w:rPr>
          <w:rFonts w:ascii="Abadi" w:hAnsi="Abadi"/>
          <w:sz w:val="21"/>
          <w:szCs w:val="21"/>
        </w:rPr>
        <w:t xml:space="preserve">as personas desde cada ayuntamiento, para que de esta forma sigan contribuyendo con su experiencia desde el Consejo Municipal de Personas Adultos mayores para el bienestar de nuestra sociedad, de nuestro Estado y de nuestro país. </w:t>
      </w:r>
    </w:p>
    <w:p w14:paraId="2776AC72" w14:textId="77777777" w:rsidR="00375036" w:rsidRDefault="00375036" w:rsidP="00375036">
      <w:pPr>
        <w:pStyle w:val="NormalWeb"/>
        <w:jc w:val="both"/>
        <w:rPr>
          <w:rFonts w:ascii="Abadi" w:hAnsi="Abadi"/>
          <w:sz w:val="21"/>
          <w:szCs w:val="21"/>
        </w:rPr>
      </w:pPr>
      <w:r>
        <w:rPr>
          <w:rFonts w:ascii="Abadi" w:hAnsi="Abadi"/>
          <w:sz w:val="21"/>
          <w:szCs w:val="21"/>
        </w:rPr>
        <w:t>-</w:t>
      </w:r>
      <w:r w:rsidRPr="0021199F">
        <w:rPr>
          <w:rFonts w:ascii="Abadi" w:hAnsi="Abadi"/>
          <w:sz w:val="21"/>
          <w:szCs w:val="21"/>
        </w:rPr>
        <w:t>Por lo anterior, solicitó su voto a favor de este dictamen para efectos de que se culminen los ayuntamientos que a la fecha son o</w:t>
      </w:r>
      <w:r>
        <w:rPr>
          <w:rFonts w:ascii="Abadi" w:hAnsi="Abadi"/>
          <w:sz w:val="21"/>
          <w:szCs w:val="21"/>
        </w:rPr>
        <w:t>misos</w:t>
      </w:r>
      <w:r w:rsidRPr="0021199F">
        <w:rPr>
          <w:rFonts w:ascii="Abadi" w:hAnsi="Abadi"/>
          <w:sz w:val="21"/>
          <w:szCs w:val="21"/>
        </w:rPr>
        <w:t xml:space="preserve"> a la reglamentación y a la integración de dichos consejos. Es cuanto, señora presidenta, Muchas gracias. Buen día todas y a todos. </w:t>
      </w:r>
    </w:p>
    <w:p w14:paraId="0EC260EB" w14:textId="0A92FBD6" w:rsidR="00375036" w:rsidRDefault="00A8561E" w:rsidP="00A8561E">
      <w:pPr>
        <w:pStyle w:val="NormalWeb"/>
        <w:ind w:firstLine="708"/>
        <w:jc w:val="both"/>
        <w:rPr>
          <w:rFonts w:ascii="Abadi" w:hAnsi="Abadi"/>
          <w:sz w:val="21"/>
          <w:szCs w:val="21"/>
        </w:rPr>
      </w:pPr>
      <w:r>
        <w:rPr>
          <w:rFonts w:ascii="Abadi" w:hAnsi="Abadi"/>
          <w:b/>
          <w:bCs/>
          <w:sz w:val="21"/>
          <w:szCs w:val="21"/>
        </w:rPr>
        <w:t xml:space="preserve">- </w:t>
      </w:r>
      <w:r w:rsidR="00375036" w:rsidRPr="0017724F">
        <w:rPr>
          <w:rFonts w:ascii="Abadi" w:hAnsi="Abadi"/>
          <w:b/>
          <w:bCs/>
          <w:sz w:val="21"/>
          <w:szCs w:val="21"/>
        </w:rPr>
        <w:t xml:space="preserve">La </w:t>
      </w:r>
      <w:proofErr w:type="gramStart"/>
      <w:r w:rsidR="00375036" w:rsidRPr="0017724F">
        <w:rPr>
          <w:rFonts w:ascii="Abadi" w:hAnsi="Abadi"/>
          <w:b/>
          <w:bCs/>
          <w:sz w:val="21"/>
          <w:szCs w:val="21"/>
        </w:rPr>
        <w:t>Presidencia.-</w:t>
      </w:r>
      <w:proofErr w:type="gramEnd"/>
      <w:r w:rsidR="00375036">
        <w:rPr>
          <w:rFonts w:ascii="Abadi" w:hAnsi="Abadi"/>
          <w:sz w:val="21"/>
          <w:szCs w:val="21"/>
        </w:rPr>
        <w:t xml:space="preserve"> </w:t>
      </w:r>
      <w:r w:rsidR="00375036" w:rsidRPr="0021199F">
        <w:rPr>
          <w:rFonts w:ascii="Abadi" w:hAnsi="Abadi"/>
          <w:sz w:val="21"/>
          <w:szCs w:val="21"/>
        </w:rPr>
        <w:t>Muchas gracias</w:t>
      </w:r>
      <w:r w:rsidR="00375036">
        <w:rPr>
          <w:rFonts w:ascii="Abadi" w:hAnsi="Abadi"/>
          <w:sz w:val="21"/>
          <w:szCs w:val="21"/>
        </w:rPr>
        <w:t>, d</w:t>
      </w:r>
      <w:r w:rsidR="00375036" w:rsidRPr="0021199F">
        <w:rPr>
          <w:rFonts w:ascii="Abadi" w:hAnsi="Abadi"/>
          <w:sz w:val="21"/>
          <w:szCs w:val="21"/>
        </w:rPr>
        <w:t xml:space="preserve">iputada. </w:t>
      </w:r>
    </w:p>
    <w:p w14:paraId="520CC022" w14:textId="6899E82F" w:rsidR="00375036" w:rsidRDefault="004E6B3F" w:rsidP="00375036">
      <w:pPr>
        <w:pStyle w:val="NormalWeb"/>
        <w:jc w:val="both"/>
        <w:rPr>
          <w:rFonts w:ascii="Abadi" w:hAnsi="Abadi"/>
          <w:sz w:val="21"/>
          <w:szCs w:val="21"/>
        </w:rPr>
      </w:pPr>
      <w:r>
        <w:rPr>
          <w:rFonts w:ascii="Abadi" w:hAnsi="Abadi"/>
          <w:sz w:val="21"/>
          <w:szCs w:val="21"/>
        </w:rPr>
        <w:t xml:space="preserve">- </w:t>
      </w:r>
      <w:r w:rsidR="00375036">
        <w:rPr>
          <w:rFonts w:ascii="Abadi" w:hAnsi="Abadi"/>
          <w:sz w:val="21"/>
          <w:szCs w:val="21"/>
        </w:rPr>
        <w:t>A</w:t>
      </w:r>
      <w:r w:rsidR="00375036" w:rsidRPr="0021199F">
        <w:rPr>
          <w:rFonts w:ascii="Abadi" w:hAnsi="Abadi"/>
          <w:sz w:val="21"/>
          <w:szCs w:val="21"/>
        </w:rPr>
        <w:t>gotada la participación</w:t>
      </w:r>
      <w:r w:rsidR="00375036">
        <w:rPr>
          <w:rFonts w:ascii="Abadi" w:hAnsi="Abadi"/>
          <w:sz w:val="21"/>
          <w:szCs w:val="21"/>
        </w:rPr>
        <w:t xml:space="preserve"> s</w:t>
      </w:r>
      <w:r w:rsidR="00375036" w:rsidRPr="0021199F">
        <w:rPr>
          <w:rFonts w:ascii="Abadi" w:hAnsi="Abadi"/>
          <w:sz w:val="21"/>
          <w:szCs w:val="21"/>
        </w:rPr>
        <w:t xml:space="preserve">e pide </w:t>
      </w:r>
      <w:r w:rsidR="00375036">
        <w:rPr>
          <w:rFonts w:ascii="Abadi" w:hAnsi="Abadi"/>
          <w:sz w:val="21"/>
          <w:szCs w:val="21"/>
        </w:rPr>
        <w:t xml:space="preserve">a </w:t>
      </w:r>
      <w:r w:rsidR="00375036" w:rsidRPr="0021199F">
        <w:rPr>
          <w:rFonts w:ascii="Abadi" w:hAnsi="Abadi"/>
          <w:sz w:val="21"/>
          <w:szCs w:val="21"/>
        </w:rPr>
        <w:t xml:space="preserve">la </w:t>
      </w:r>
      <w:r w:rsidR="00375036">
        <w:rPr>
          <w:rFonts w:ascii="Abadi" w:hAnsi="Abadi"/>
          <w:sz w:val="21"/>
          <w:szCs w:val="21"/>
        </w:rPr>
        <w:t>S</w:t>
      </w:r>
      <w:r w:rsidR="00375036" w:rsidRPr="0021199F">
        <w:rPr>
          <w:rFonts w:ascii="Abadi" w:hAnsi="Abadi"/>
          <w:sz w:val="21"/>
          <w:szCs w:val="21"/>
        </w:rPr>
        <w:t xml:space="preserve">ecretaria que proceda recabar votación nominal de la </w:t>
      </w:r>
      <w:r w:rsidR="00375036">
        <w:rPr>
          <w:rFonts w:ascii="Abadi" w:hAnsi="Abadi"/>
          <w:sz w:val="21"/>
          <w:szCs w:val="21"/>
        </w:rPr>
        <w:t>a</w:t>
      </w:r>
      <w:r w:rsidR="00375036" w:rsidRPr="0021199F">
        <w:rPr>
          <w:rFonts w:ascii="Abadi" w:hAnsi="Abadi"/>
          <w:sz w:val="21"/>
          <w:szCs w:val="21"/>
        </w:rPr>
        <w:t>sam</w:t>
      </w:r>
      <w:r w:rsidR="00375036">
        <w:rPr>
          <w:rFonts w:ascii="Abadi" w:hAnsi="Abadi"/>
          <w:sz w:val="21"/>
          <w:szCs w:val="21"/>
        </w:rPr>
        <w:t>b</w:t>
      </w:r>
      <w:r w:rsidR="00375036" w:rsidRPr="0021199F">
        <w:rPr>
          <w:rFonts w:ascii="Abadi" w:hAnsi="Abadi"/>
          <w:sz w:val="21"/>
          <w:szCs w:val="21"/>
        </w:rPr>
        <w:t>le</w:t>
      </w:r>
      <w:r w:rsidR="00375036">
        <w:rPr>
          <w:rFonts w:ascii="Abadi" w:hAnsi="Abadi"/>
          <w:sz w:val="21"/>
          <w:szCs w:val="21"/>
        </w:rPr>
        <w:t>a</w:t>
      </w:r>
      <w:r w:rsidR="00375036" w:rsidRPr="0021199F">
        <w:rPr>
          <w:rFonts w:ascii="Abadi" w:hAnsi="Abadi"/>
          <w:sz w:val="21"/>
          <w:szCs w:val="21"/>
        </w:rPr>
        <w:t xml:space="preserve"> a través del sistema electrónico a efecto de aprobar o no</w:t>
      </w:r>
      <w:r w:rsidR="00375036">
        <w:rPr>
          <w:rFonts w:ascii="Abadi" w:hAnsi="Abadi"/>
          <w:sz w:val="21"/>
          <w:szCs w:val="21"/>
        </w:rPr>
        <w:t xml:space="preserve"> el dictamen puesto</w:t>
      </w:r>
      <w:r w:rsidR="00375036" w:rsidRPr="0021199F">
        <w:rPr>
          <w:rFonts w:ascii="Abadi" w:hAnsi="Abadi"/>
          <w:sz w:val="21"/>
          <w:szCs w:val="21"/>
        </w:rPr>
        <w:t xml:space="preserve"> a su consideración</w:t>
      </w:r>
      <w:r w:rsidR="00375036">
        <w:rPr>
          <w:rFonts w:ascii="Abadi" w:hAnsi="Abadi"/>
          <w:sz w:val="21"/>
          <w:szCs w:val="21"/>
        </w:rPr>
        <w:t>.</w:t>
      </w:r>
      <w:r w:rsidR="00375036" w:rsidRPr="0021199F">
        <w:rPr>
          <w:rFonts w:ascii="Abadi" w:hAnsi="Abadi"/>
          <w:sz w:val="21"/>
          <w:szCs w:val="21"/>
        </w:rPr>
        <w:t xml:space="preserve"> </w:t>
      </w:r>
    </w:p>
    <w:p w14:paraId="4E33AAFF" w14:textId="36DE4940" w:rsidR="00375036" w:rsidRPr="0017724F" w:rsidRDefault="00375036" w:rsidP="00A8561E">
      <w:pPr>
        <w:pStyle w:val="NormalWeb"/>
        <w:jc w:val="center"/>
        <w:rPr>
          <w:rFonts w:ascii="Abadi" w:hAnsi="Abadi"/>
          <w:b/>
          <w:bCs/>
          <w:sz w:val="21"/>
          <w:szCs w:val="21"/>
        </w:rPr>
      </w:pPr>
      <w:r w:rsidRPr="0017724F">
        <w:rPr>
          <w:rFonts w:ascii="Abadi" w:hAnsi="Abadi"/>
          <w:b/>
          <w:bCs/>
          <w:sz w:val="21"/>
          <w:szCs w:val="21"/>
        </w:rPr>
        <w:t>(</w:t>
      </w:r>
      <w:r>
        <w:rPr>
          <w:rFonts w:ascii="Abadi" w:hAnsi="Abadi"/>
          <w:b/>
          <w:bCs/>
          <w:sz w:val="21"/>
          <w:szCs w:val="21"/>
        </w:rPr>
        <w:t>S</w:t>
      </w:r>
      <w:r w:rsidRPr="0017724F">
        <w:rPr>
          <w:rFonts w:ascii="Abadi" w:hAnsi="Abadi"/>
          <w:b/>
          <w:bCs/>
          <w:sz w:val="21"/>
          <w:szCs w:val="21"/>
        </w:rPr>
        <w:t>e abre el sistema electrónico)</w:t>
      </w:r>
    </w:p>
    <w:p w14:paraId="2F33DFE4" w14:textId="6C055D92" w:rsidR="00375036" w:rsidRDefault="00A8561E" w:rsidP="00A8561E">
      <w:pPr>
        <w:pStyle w:val="NormalWeb"/>
        <w:ind w:firstLine="708"/>
        <w:jc w:val="both"/>
        <w:rPr>
          <w:rFonts w:ascii="Abadi" w:hAnsi="Abadi"/>
          <w:sz w:val="21"/>
          <w:szCs w:val="21"/>
        </w:rPr>
      </w:pPr>
      <w:r>
        <w:rPr>
          <w:rFonts w:ascii="Abadi" w:hAnsi="Abadi"/>
          <w:b/>
          <w:bCs/>
          <w:sz w:val="21"/>
          <w:szCs w:val="21"/>
        </w:rPr>
        <w:t xml:space="preserve">- </w:t>
      </w:r>
      <w:r w:rsidR="00375036" w:rsidRPr="0017724F">
        <w:rPr>
          <w:rFonts w:ascii="Abadi" w:hAnsi="Abadi"/>
          <w:b/>
          <w:bCs/>
          <w:sz w:val="21"/>
          <w:szCs w:val="21"/>
        </w:rPr>
        <w:t xml:space="preserve">La </w:t>
      </w:r>
      <w:proofErr w:type="gramStart"/>
      <w:r w:rsidR="00375036" w:rsidRPr="0017724F">
        <w:rPr>
          <w:rFonts w:ascii="Abadi" w:hAnsi="Abadi"/>
          <w:b/>
          <w:bCs/>
          <w:sz w:val="21"/>
          <w:szCs w:val="21"/>
        </w:rPr>
        <w:t>Secretar</w:t>
      </w:r>
      <w:r w:rsidR="00375036">
        <w:rPr>
          <w:rFonts w:ascii="Abadi" w:hAnsi="Abadi"/>
          <w:b/>
          <w:bCs/>
          <w:sz w:val="21"/>
          <w:szCs w:val="21"/>
        </w:rPr>
        <w:t>i</w:t>
      </w:r>
      <w:r w:rsidR="00375036" w:rsidRPr="0017724F">
        <w:rPr>
          <w:rFonts w:ascii="Abadi" w:hAnsi="Abadi"/>
          <w:b/>
          <w:bCs/>
          <w:sz w:val="21"/>
          <w:szCs w:val="21"/>
        </w:rPr>
        <w:t>a.-</w:t>
      </w:r>
      <w:proofErr w:type="gramEnd"/>
      <w:r w:rsidR="00375036">
        <w:rPr>
          <w:rFonts w:ascii="Abadi" w:hAnsi="Abadi"/>
          <w:sz w:val="21"/>
          <w:szCs w:val="21"/>
        </w:rPr>
        <w:t xml:space="preserve"> E</w:t>
      </w:r>
      <w:r w:rsidR="00375036" w:rsidRPr="0021199F">
        <w:rPr>
          <w:rFonts w:ascii="Abadi" w:hAnsi="Abadi"/>
          <w:sz w:val="21"/>
          <w:szCs w:val="21"/>
        </w:rPr>
        <w:t>n votación nominal por el sistema electrónico</w:t>
      </w:r>
      <w:r w:rsidR="00375036">
        <w:rPr>
          <w:rFonts w:ascii="Abadi" w:hAnsi="Abadi"/>
          <w:sz w:val="21"/>
          <w:szCs w:val="21"/>
        </w:rPr>
        <w:t xml:space="preserve">, se pregunta a las diputadas y a los diputados, si </w:t>
      </w:r>
      <w:r w:rsidR="00375036" w:rsidRPr="0021199F">
        <w:rPr>
          <w:rFonts w:ascii="Abadi" w:hAnsi="Abadi"/>
          <w:sz w:val="21"/>
          <w:szCs w:val="21"/>
        </w:rPr>
        <w:t>se apr</w:t>
      </w:r>
      <w:r w:rsidR="00375036">
        <w:rPr>
          <w:rFonts w:ascii="Abadi" w:hAnsi="Abadi"/>
          <w:sz w:val="21"/>
          <w:szCs w:val="21"/>
        </w:rPr>
        <w:t>ueba</w:t>
      </w:r>
      <w:r w:rsidR="00375036" w:rsidRPr="0021199F">
        <w:rPr>
          <w:rFonts w:ascii="Abadi" w:hAnsi="Abadi"/>
          <w:sz w:val="21"/>
          <w:szCs w:val="21"/>
        </w:rPr>
        <w:t xml:space="preserve"> el dictamen puesto a su consideración</w:t>
      </w:r>
      <w:r w:rsidR="00375036">
        <w:rPr>
          <w:rFonts w:ascii="Abadi" w:hAnsi="Abadi"/>
          <w:sz w:val="21"/>
          <w:szCs w:val="21"/>
        </w:rPr>
        <w:t>. ¿</w:t>
      </w:r>
      <w:r w:rsidR="00375036" w:rsidRPr="0021199F">
        <w:rPr>
          <w:rFonts w:ascii="Abadi" w:hAnsi="Abadi"/>
          <w:sz w:val="21"/>
          <w:szCs w:val="21"/>
        </w:rPr>
        <w:t>Diputado Gustav</w:t>
      </w:r>
      <w:r w:rsidR="00375036">
        <w:rPr>
          <w:rFonts w:ascii="Abadi" w:hAnsi="Abadi"/>
          <w:sz w:val="21"/>
          <w:szCs w:val="21"/>
        </w:rPr>
        <w:t>o Adolfo Alfaro?</w:t>
      </w:r>
      <w:r w:rsidR="00375036" w:rsidRPr="0021199F">
        <w:rPr>
          <w:rFonts w:ascii="Abadi" w:hAnsi="Abadi"/>
          <w:sz w:val="21"/>
          <w:szCs w:val="21"/>
        </w:rPr>
        <w:t xml:space="preserve"> Gracias, diputado. </w:t>
      </w:r>
    </w:p>
    <w:p w14:paraId="7420ECD7" w14:textId="77777777" w:rsidR="00375036" w:rsidRDefault="00375036" w:rsidP="00375036">
      <w:pPr>
        <w:pStyle w:val="NormalWeb"/>
        <w:jc w:val="both"/>
        <w:rPr>
          <w:rFonts w:ascii="Abadi" w:hAnsi="Abadi"/>
          <w:sz w:val="21"/>
          <w:szCs w:val="21"/>
        </w:rPr>
      </w:pPr>
      <w:r>
        <w:rPr>
          <w:rFonts w:ascii="Abadi" w:hAnsi="Abadi"/>
          <w:sz w:val="21"/>
          <w:szCs w:val="21"/>
        </w:rPr>
        <w:t>¿</w:t>
      </w:r>
      <w:r w:rsidRPr="0021199F">
        <w:rPr>
          <w:rFonts w:ascii="Abadi" w:hAnsi="Abadi"/>
          <w:sz w:val="21"/>
          <w:szCs w:val="21"/>
        </w:rPr>
        <w:t xml:space="preserve">Falta alguna diputada, algún diputado de emitir su voto? </w:t>
      </w:r>
    </w:p>
    <w:p w14:paraId="2E2AEB18" w14:textId="19DC6368" w:rsidR="00375036" w:rsidRDefault="00375036" w:rsidP="00A8561E">
      <w:pPr>
        <w:pStyle w:val="NormalWeb"/>
        <w:jc w:val="center"/>
        <w:rPr>
          <w:rFonts w:ascii="Abadi" w:hAnsi="Abadi"/>
          <w:b/>
          <w:bCs/>
          <w:sz w:val="21"/>
          <w:szCs w:val="21"/>
        </w:rPr>
      </w:pPr>
      <w:r w:rsidRPr="0017724F">
        <w:rPr>
          <w:rFonts w:ascii="Abadi" w:hAnsi="Abadi"/>
          <w:b/>
          <w:bCs/>
          <w:sz w:val="21"/>
          <w:szCs w:val="21"/>
        </w:rPr>
        <w:t>(Se cierra el sistema electrónico)</w:t>
      </w:r>
    </w:p>
    <w:p w14:paraId="3F89BC47" w14:textId="1D1F988F" w:rsidR="00375036" w:rsidRDefault="00F7303F" w:rsidP="00375036">
      <w:pPr>
        <w:pStyle w:val="NormalWeb"/>
        <w:jc w:val="both"/>
        <w:rPr>
          <w:rFonts w:ascii="Abadi" w:hAnsi="Abadi"/>
          <w:b/>
          <w:bCs/>
          <w:sz w:val="21"/>
          <w:szCs w:val="21"/>
        </w:rPr>
      </w:pPr>
      <w:r>
        <w:rPr>
          <w:noProof/>
        </w:rPr>
        <w:drawing>
          <wp:inline distT="0" distB="0" distL="0" distR="0" wp14:anchorId="602C61D1" wp14:editId="13CE4DDB">
            <wp:extent cx="1992923" cy="1031639"/>
            <wp:effectExtent l="152400" t="152400" r="369570" b="359410"/>
            <wp:docPr id="39" name="Imagen 3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Tabla&#10;&#10;Descripción generada automáticamente"/>
                    <pic:cNvPicPr/>
                  </pic:nvPicPr>
                  <pic:blipFill rotWithShape="1">
                    <a:blip r:embed="rId57"/>
                    <a:srcRect b="7929"/>
                    <a:stretch/>
                  </pic:blipFill>
                  <pic:spPr bwMode="auto">
                    <a:xfrm>
                      <a:off x="0" y="0"/>
                      <a:ext cx="2007605" cy="10392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7543034" w14:textId="6F4A8BA6" w:rsidR="00375036" w:rsidRDefault="00A8561E" w:rsidP="00A8561E">
      <w:pPr>
        <w:pStyle w:val="NormalWeb"/>
        <w:ind w:firstLine="360"/>
        <w:jc w:val="both"/>
        <w:rPr>
          <w:rFonts w:ascii="Abadi" w:hAnsi="Abadi"/>
          <w:sz w:val="21"/>
          <w:szCs w:val="21"/>
        </w:rPr>
      </w:pPr>
      <w:r>
        <w:rPr>
          <w:rFonts w:ascii="Abadi" w:hAnsi="Abadi"/>
          <w:b/>
          <w:bCs/>
          <w:sz w:val="21"/>
          <w:szCs w:val="21"/>
        </w:rPr>
        <w:t xml:space="preserve">- </w:t>
      </w:r>
      <w:r w:rsidR="00375036" w:rsidRPr="0017724F">
        <w:rPr>
          <w:rFonts w:ascii="Abadi" w:hAnsi="Abadi"/>
          <w:b/>
          <w:bCs/>
          <w:sz w:val="21"/>
          <w:szCs w:val="21"/>
        </w:rPr>
        <w:t xml:space="preserve">La </w:t>
      </w:r>
      <w:proofErr w:type="gramStart"/>
      <w:r w:rsidR="00375036" w:rsidRPr="0017724F">
        <w:rPr>
          <w:rFonts w:ascii="Abadi" w:hAnsi="Abadi"/>
          <w:b/>
          <w:bCs/>
          <w:sz w:val="21"/>
          <w:szCs w:val="21"/>
        </w:rPr>
        <w:t>Secretar</w:t>
      </w:r>
      <w:r w:rsidR="00375036">
        <w:rPr>
          <w:rFonts w:ascii="Abadi" w:hAnsi="Abadi"/>
          <w:b/>
          <w:bCs/>
          <w:sz w:val="21"/>
          <w:szCs w:val="21"/>
        </w:rPr>
        <w:t>i</w:t>
      </w:r>
      <w:r w:rsidR="00375036" w:rsidRPr="0017724F">
        <w:rPr>
          <w:rFonts w:ascii="Abadi" w:hAnsi="Abadi"/>
          <w:b/>
          <w:bCs/>
          <w:sz w:val="21"/>
          <w:szCs w:val="21"/>
        </w:rPr>
        <w:t>a.-</w:t>
      </w:r>
      <w:proofErr w:type="gramEnd"/>
      <w:r w:rsidR="00375036">
        <w:rPr>
          <w:rFonts w:ascii="Abadi" w:hAnsi="Abadi"/>
          <w:sz w:val="21"/>
          <w:szCs w:val="21"/>
        </w:rPr>
        <w:t xml:space="preserve"> </w:t>
      </w:r>
      <w:r w:rsidR="00375036" w:rsidRPr="0021199F">
        <w:rPr>
          <w:rFonts w:ascii="Abadi" w:hAnsi="Abadi"/>
          <w:sz w:val="21"/>
          <w:szCs w:val="21"/>
        </w:rPr>
        <w:t xml:space="preserve">Se registraron </w:t>
      </w:r>
      <w:r w:rsidR="00375036">
        <w:rPr>
          <w:rFonts w:ascii="Abadi" w:hAnsi="Abadi"/>
          <w:sz w:val="21"/>
          <w:szCs w:val="21"/>
        </w:rPr>
        <w:t>35</w:t>
      </w:r>
      <w:r w:rsidR="00375036" w:rsidRPr="0021199F">
        <w:rPr>
          <w:rFonts w:ascii="Abadi" w:hAnsi="Abadi"/>
          <w:sz w:val="21"/>
          <w:szCs w:val="21"/>
        </w:rPr>
        <w:t xml:space="preserve"> votos a favor. </w:t>
      </w:r>
    </w:p>
    <w:p w14:paraId="03CA11D0" w14:textId="4CFEE24C" w:rsidR="00375036" w:rsidRDefault="00A8561E" w:rsidP="00A8561E">
      <w:pPr>
        <w:pStyle w:val="NormalWeb"/>
        <w:ind w:firstLine="360"/>
        <w:jc w:val="both"/>
        <w:rPr>
          <w:rFonts w:ascii="Abadi" w:hAnsi="Abadi"/>
          <w:sz w:val="21"/>
          <w:szCs w:val="21"/>
        </w:rPr>
      </w:pPr>
      <w:r>
        <w:rPr>
          <w:rFonts w:ascii="Abadi" w:hAnsi="Abadi"/>
          <w:b/>
          <w:bCs/>
          <w:sz w:val="21"/>
          <w:szCs w:val="21"/>
        </w:rPr>
        <w:t xml:space="preserve">- </w:t>
      </w:r>
      <w:r w:rsidR="00375036" w:rsidRPr="0017724F">
        <w:rPr>
          <w:rFonts w:ascii="Abadi" w:hAnsi="Abadi"/>
          <w:b/>
          <w:bCs/>
          <w:sz w:val="21"/>
          <w:szCs w:val="21"/>
        </w:rPr>
        <w:t xml:space="preserve">La </w:t>
      </w:r>
      <w:proofErr w:type="gramStart"/>
      <w:r w:rsidR="00375036" w:rsidRPr="0017724F">
        <w:rPr>
          <w:rFonts w:ascii="Abadi" w:hAnsi="Abadi"/>
          <w:b/>
          <w:bCs/>
          <w:sz w:val="21"/>
          <w:szCs w:val="21"/>
        </w:rPr>
        <w:t>Presidencia.-</w:t>
      </w:r>
      <w:proofErr w:type="gramEnd"/>
      <w:r w:rsidR="00375036">
        <w:rPr>
          <w:rFonts w:ascii="Abadi" w:hAnsi="Abadi"/>
          <w:sz w:val="21"/>
          <w:szCs w:val="21"/>
        </w:rPr>
        <w:t xml:space="preserve"> </w:t>
      </w:r>
      <w:r w:rsidR="00375036" w:rsidRPr="0021199F">
        <w:rPr>
          <w:rFonts w:ascii="Abadi" w:hAnsi="Abadi"/>
          <w:sz w:val="21"/>
          <w:szCs w:val="21"/>
        </w:rPr>
        <w:t xml:space="preserve">El dictamen ha sido aprobado por unanimidad de </w:t>
      </w:r>
      <w:r w:rsidR="00375036">
        <w:rPr>
          <w:rFonts w:ascii="Abadi" w:hAnsi="Abadi"/>
          <w:sz w:val="21"/>
          <w:szCs w:val="21"/>
        </w:rPr>
        <w:t>votos</w:t>
      </w:r>
      <w:r w:rsidR="00375036" w:rsidRPr="0021199F">
        <w:rPr>
          <w:rFonts w:ascii="Abadi" w:hAnsi="Abadi"/>
          <w:sz w:val="21"/>
          <w:szCs w:val="21"/>
        </w:rPr>
        <w:t xml:space="preserve">. </w:t>
      </w:r>
    </w:p>
    <w:p w14:paraId="7A1A00A5" w14:textId="47926BAD" w:rsidR="00375036" w:rsidRDefault="00A8561E" w:rsidP="00701E57">
      <w:pPr>
        <w:pStyle w:val="NormalWeb"/>
        <w:ind w:firstLine="360"/>
        <w:jc w:val="both"/>
        <w:rPr>
          <w:rFonts w:ascii="Abadi" w:hAnsi="Abadi"/>
          <w:sz w:val="21"/>
          <w:szCs w:val="21"/>
        </w:rPr>
      </w:pPr>
      <w:r>
        <w:rPr>
          <w:rFonts w:ascii="Abadi" w:hAnsi="Abadi"/>
          <w:sz w:val="21"/>
          <w:szCs w:val="21"/>
        </w:rPr>
        <w:t xml:space="preserve">- </w:t>
      </w:r>
      <w:r w:rsidR="00375036" w:rsidRPr="0021199F">
        <w:rPr>
          <w:rFonts w:ascii="Abadi" w:hAnsi="Abadi"/>
          <w:sz w:val="21"/>
          <w:szCs w:val="21"/>
        </w:rPr>
        <w:t>En consecuencia</w:t>
      </w:r>
      <w:r w:rsidR="00375036">
        <w:rPr>
          <w:rFonts w:ascii="Abadi" w:hAnsi="Abadi"/>
          <w:sz w:val="21"/>
          <w:szCs w:val="21"/>
        </w:rPr>
        <w:t xml:space="preserve">. </w:t>
      </w:r>
    </w:p>
    <w:p w14:paraId="5297C0F6" w14:textId="77777777" w:rsidR="00375036" w:rsidRPr="00D0767D" w:rsidRDefault="00375036" w:rsidP="00282D27">
      <w:pPr>
        <w:pStyle w:val="NormalWeb"/>
        <w:ind w:left="709" w:right="354"/>
        <w:jc w:val="both"/>
        <w:rPr>
          <w:rFonts w:ascii="Abadi" w:hAnsi="Abadi"/>
          <w:b/>
          <w:bCs/>
          <w:i/>
          <w:iCs/>
          <w:sz w:val="21"/>
          <w:szCs w:val="21"/>
          <w:u w:val="single"/>
        </w:rPr>
      </w:pPr>
      <w:r w:rsidRPr="00D0767D">
        <w:rPr>
          <w:rFonts w:ascii="Abadi" w:hAnsi="Abadi"/>
          <w:b/>
          <w:bCs/>
          <w:i/>
          <w:iCs/>
          <w:sz w:val="21"/>
          <w:szCs w:val="21"/>
          <w:u w:val="single"/>
        </w:rPr>
        <w:t xml:space="preserve">Remítase el acuerdo aprobado, junto con su dictamen a los 46 ayuntamientos referidos en el dictamen. </w:t>
      </w:r>
    </w:p>
    <w:p w14:paraId="0B454AA1" w14:textId="77777777" w:rsidR="00DC678A" w:rsidRPr="00396F30" w:rsidRDefault="00DC678A" w:rsidP="00DC678A">
      <w:pPr>
        <w:autoSpaceDE w:val="0"/>
        <w:autoSpaceDN w:val="0"/>
        <w:adjustRightInd w:val="0"/>
        <w:ind w:left="66"/>
        <w:jc w:val="both"/>
        <w:rPr>
          <w:rFonts w:ascii="Abadi" w:hAnsi="Abadi" w:cs="ArialMT"/>
          <w:b/>
          <w:bCs/>
          <w:sz w:val="20"/>
          <w:szCs w:val="21"/>
        </w:rPr>
      </w:pPr>
    </w:p>
    <w:p w14:paraId="1420383F" w14:textId="77777777" w:rsidR="00021259" w:rsidRPr="007C2763" w:rsidRDefault="00021259" w:rsidP="00343CA9">
      <w:pPr>
        <w:pStyle w:val="Prrafodelista"/>
        <w:numPr>
          <w:ilvl w:val="0"/>
          <w:numId w:val="24"/>
        </w:numPr>
        <w:autoSpaceDE w:val="0"/>
        <w:autoSpaceDN w:val="0"/>
        <w:adjustRightInd w:val="0"/>
        <w:ind w:left="426"/>
        <w:jc w:val="both"/>
        <w:rPr>
          <w:rFonts w:ascii="Abadi" w:hAnsi="Abadi" w:cs="ArialMT"/>
          <w:b/>
          <w:bCs/>
          <w:sz w:val="21"/>
          <w:szCs w:val="21"/>
        </w:rPr>
      </w:pPr>
      <w:r w:rsidRPr="007C2763">
        <w:rPr>
          <w:rFonts w:ascii="Abadi" w:hAnsi="Abadi" w:cs="ArialMT"/>
          <w:b/>
          <w:bCs/>
          <w:sz w:val="21"/>
          <w:szCs w:val="21"/>
        </w:rPr>
        <w:t>DISCUSIÓN Y, EN SU CASO, APROBACIÓN DEL DICTAMEN SUSCRITO POR LA COMISIÓN DE ASUNTOS MUNICIPALES RELATIVO A LA PROPUESTA DE PUNTO DE ACUERDO FORMULADA POR LA DIPUTADA HADES BERENICE AGUILAR CASTILLO INTEGRANTE DEL GRUPO PARLAMENTARIO DEL PARTIDO MORENA, POR EL CUAL SE EXHORTA AL PRESIDENTE MUNICIPAL DE CELAYA, GUANAJUATO, PARA QUE ATIENDA EL CASO DE LOS COMERCIANTES DEL MERCADO AGROPECUARIO SIGLO XXI.</w:t>
      </w:r>
    </w:p>
    <w:p w14:paraId="331A7240" w14:textId="431E6B16" w:rsidR="00021259" w:rsidRPr="007C2763" w:rsidRDefault="00021259" w:rsidP="00021259">
      <w:pPr>
        <w:autoSpaceDE w:val="0"/>
        <w:autoSpaceDN w:val="0"/>
        <w:adjustRightInd w:val="0"/>
        <w:jc w:val="both"/>
        <w:rPr>
          <w:rFonts w:ascii="Abadi" w:hAnsi="Abadi" w:cs="ArialMT"/>
          <w:b/>
          <w:bCs/>
          <w:sz w:val="21"/>
          <w:szCs w:val="21"/>
        </w:rPr>
      </w:pPr>
    </w:p>
    <w:p w14:paraId="3C39D5E2" w14:textId="77777777" w:rsidR="00084E8B" w:rsidRPr="007C2763" w:rsidRDefault="00084E8B" w:rsidP="00A647AC">
      <w:pPr>
        <w:autoSpaceDE w:val="0"/>
        <w:autoSpaceDN w:val="0"/>
        <w:adjustRightInd w:val="0"/>
        <w:jc w:val="both"/>
        <w:rPr>
          <w:rFonts w:ascii="Abadi" w:hAnsi="Abadi" w:cs="ArialMT"/>
          <w:sz w:val="21"/>
          <w:szCs w:val="21"/>
        </w:rPr>
      </w:pPr>
    </w:p>
    <w:p w14:paraId="2D11A6EC" w14:textId="7CAAB6F5" w:rsidR="00A647AC" w:rsidRPr="007C2763" w:rsidRDefault="00A647AC" w:rsidP="00A647AC">
      <w:pPr>
        <w:autoSpaceDE w:val="0"/>
        <w:autoSpaceDN w:val="0"/>
        <w:adjustRightInd w:val="0"/>
        <w:jc w:val="both"/>
        <w:rPr>
          <w:rFonts w:ascii="Abadi" w:hAnsi="Abadi" w:cs="ArialMT"/>
          <w:b/>
          <w:bCs/>
          <w:sz w:val="21"/>
          <w:szCs w:val="21"/>
        </w:rPr>
      </w:pPr>
      <w:r w:rsidRPr="007C2763">
        <w:rPr>
          <w:rFonts w:ascii="Abadi" w:hAnsi="Abadi" w:cs="ArialMT"/>
          <w:b/>
          <w:bCs/>
          <w:sz w:val="21"/>
          <w:szCs w:val="21"/>
        </w:rPr>
        <w:t>Diputada Irma Leticia González Sánchez</w:t>
      </w:r>
    </w:p>
    <w:p w14:paraId="193D7A43" w14:textId="77777777" w:rsidR="00A647AC" w:rsidRPr="007C2763" w:rsidRDefault="00A647AC" w:rsidP="00A647AC">
      <w:pPr>
        <w:autoSpaceDE w:val="0"/>
        <w:autoSpaceDN w:val="0"/>
        <w:adjustRightInd w:val="0"/>
        <w:jc w:val="both"/>
        <w:rPr>
          <w:rFonts w:ascii="Abadi" w:hAnsi="Abadi" w:cs="ArialMT"/>
          <w:b/>
          <w:bCs/>
          <w:sz w:val="21"/>
          <w:szCs w:val="21"/>
        </w:rPr>
      </w:pPr>
      <w:r w:rsidRPr="007C2763">
        <w:rPr>
          <w:rFonts w:ascii="Abadi" w:hAnsi="Abadi" w:cs="ArialMT"/>
          <w:b/>
          <w:bCs/>
          <w:sz w:val="21"/>
          <w:szCs w:val="21"/>
        </w:rPr>
        <w:t>Presidenta del Congreso del Estado</w:t>
      </w:r>
    </w:p>
    <w:p w14:paraId="66881D9A" w14:textId="77777777" w:rsidR="00A647AC" w:rsidRPr="007C2763" w:rsidRDefault="00A647AC" w:rsidP="00A647AC">
      <w:pPr>
        <w:autoSpaceDE w:val="0"/>
        <w:autoSpaceDN w:val="0"/>
        <w:adjustRightInd w:val="0"/>
        <w:jc w:val="both"/>
        <w:rPr>
          <w:rFonts w:ascii="Abadi" w:hAnsi="Abadi" w:cs="ArialMT"/>
          <w:b/>
          <w:bCs/>
          <w:sz w:val="21"/>
          <w:szCs w:val="21"/>
        </w:rPr>
      </w:pPr>
      <w:r w:rsidRPr="007C2763">
        <w:rPr>
          <w:rFonts w:ascii="Abadi" w:hAnsi="Abadi" w:cs="ArialMT"/>
          <w:b/>
          <w:bCs/>
          <w:sz w:val="21"/>
          <w:szCs w:val="21"/>
        </w:rPr>
        <w:t>P r e s e n t e.</w:t>
      </w:r>
    </w:p>
    <w:p w14:paraId="0EE47ECE" w14:textId="77777777" w:rsidR="00A647AC" w:rsidRPr="007C2763" w:rsidRDefault="00A647AC" w:rsidP="00A647AC">
      <w:pPr>
        <w:autoSpaceDE w:val="0"/>
        <w:autoSpaceDN w:val="0"/>
        <w:adjustRightInd w:val="0"/>
        <w:jc w:val="both"/>
        <w:rPr>
          <w:rFonts w:ascii="Abadi" w:hAnsi="Abadi" w:cs="ArialMT"/>
          <w:sz w:val="21"/>
          <w:szCs w:val="21"/>
        </w:rPr>
      </w:pPr>
    </w:p>
    <w:p w14:paraId="6EE160DA" w14:textId="77777777" w:rsidR="00A647AC" w:rsidRPr="007C2763" w:rsidRDefault="00A647AC" w:rsidP="00084E8B">
      <w:pPr>
        <w:autoSpaceDE w:val="0"/>
        <w:autoSpaceDN w:val="0"/>
        <w:adjustRightInd w:val="0"/>
        <w:ind w:firstLine="708"/>
        <w:jc w:val="both"/>
        <w:rPr>
          <w:rFonts w:ascii="Abadi" w:hAnsi="Abadi" w:cs="ArialMT"/>
          <w:sz w:val="21"/>
          <w:szCs w:val="21"/>
        </w:rPr>
      </w:pPr>
      <w:r w:rsidRPr="007C2763">
        <w:rPr>
          <w:rFonts w:ascii="Abadi" w:hAnsi="Abadi" w:cs="ArialMT"/>
          <w:sz w:val="21"/>
          <w:szCs w:val="21"/>
        </w:rPr>
        <w:t>A la Comisión de Asuntos Municipales le fue turnada para estudio y dictamen la propuesta de punto de acuerdo formulada por la diputada Hades Berenice Aguilar Castillo, del grupo parlamentario de MORENA, por el cual se exhorta al Presidente Municipal de Celaya, Guanajuato para que atienda el caso de los comerciantes Mercado Agropecuario del Siglo XXI.</w:t>
      </w:r>
    </w:p>
    <w:p w14:paraId="574D77FD" w14:textId="77777777" w:rsidR="00A647AC" w:rsidRPr="007C2763" w:rsidRDefault="00A647AC" w:rsidP="00A647AC">
      <w:pPr>
        <w:autoSpaceDE w:val="0"/>
        <w:autoSpaceDN w:val="0"/>
        <w:adjustRightInd w:val="0"/>
        <w:jc w:val="both"/>
        <w:rPr>
          <w:rFonts w:ascii="Abadi" w:hAnsi="Abadi" w:cs="ArialMT"/>
          <w:sz w:val="21"/>
          <w:szCs w:val="21"/>
        </w:rPr>
      </w:pPr>
    </w:p>
    <w:p w14:paraId="52011B39" w14:textId="77777777" w:rsidR="00A647AC" w:rsidRPr="007C2763" w:rsidRDefault="00A647AC" w:rsidP="00084E8B">
      <w:pPr>
        <w:autoSpaceDE w:val="0"/>
        <w:autoSpaceDN w:val="0"/>
        <w:adjustRightInd w:val="0"/>
        <w:ind w:firstLine="708"/>
        <w:jc w:val="both"/>
        <w:rPr>
          <w:rFonts w:ascii="Abadi" w:hAnsi="Abadi" w:cs="ArialMT"/>
          <w:sz w:val="21"/>
          <w:szCs w:val="21"/>
        </w:rPr>
      </w:pPr>
      <w:r w:rsidRPr="007C2763">
        <w:rPr>
          <w:rFonts w:ascii="Abadi" w:hAnsi="Abadi" w:cs="ArialMT"/>
          <w:sz w:val="21"/>
          <w:szCs w:val="21"/>
        </w:rPr>
        <w:t>Analizada la propuesta de referencia, esta Comisión Dictaminadora de conformidad con lo dispuesto en los artículos 104 fracción II y 171 de la Ley Orgánica del Poder Legislativo del Estado de Guanajuato, rinde el dictamen con base en las siguientes:</w:t>
      </w:r>
    </w:p>
    <w:p w14:paraId="0F7E2C48" w14:textId="77777777" w:rsidR="00A647AC" w:rsidRPr="007C2763" w:rsidRDefault="00A647AC" w:rsidP="00A647AC">
      <w:pPr>
        <w:autoSpaceDE w:val="0"/>
        <w:autoSpaceDN w:val="0"/>
        <w:adjustRightInd w:val="0"/>
        <w:jc w:val="both"/>
        <w:rPr>
          <w:rFonts w:ascii="Abadi" w:hAnsi="Abadi" w:cs="ArialMT"/>
          <w:sz w:val="21"/>
          <w:szCs w:val="21"/>
        </w:rPr>
      </w:pPr>
    </w:p>
    <w:p w14:paraId="76758013" w14:textId="77777777" w:rsidR="00A647AC" w:rsidRPr="007C2763" w:rsidRDefault="00A647AC" w:rsidP="00084E8B">
      <w:pPr>
        <w:autoSpaceDE w:val="0"/>
        <w:autoSpaceDN w:val="0"/>
        <w:adjustRightInd w:val="0"/>
        <w:jc w:val="center"/>
        <w:rPr>
          <w:rFonts w:ascii="Abadi" w:hAnsi="Abadi" w:cs="ArialMT"/>
          <w:b/>
          <w:bCs/>
          <w:sz w:val="21"/>
          <w:szCs w:val="21"/>
        </w:rPr>
      </w:pPr>
      <w:r w:rsidRPr="007C2763">
        <w:rPr>
          <w:rFonts w:ascii="Abadi" w:hAnsi="Abadi" w:cs="ArialMT"/>
          <w:b/>
          <w:bCs/>
          <w:sz w:val="21"/>
          <w:szCs w:val="21"/>
        </w:rPr>
        <w:t>D I C T A M E N</w:t>
      </w:r>
    </w:p>
    <w:p w14:paraId="4DA9CD81" w14:textId="77777777" w:rsidR="00084E8B" w:rsidRPr="007C2763" w:rsidRDefault="00084E8B" w:rsidP="00A647AC">
      <w:pPr>
        <w:autoSpaceDE w:val="0"/>
        <w:autoSpaceDN w:val="0"/>
        <w:adjustRightInd w:val="0"/>
        <w:jc w:val="both"/>
        <w:rPr>
          <w:rFonts w:ascii="Abadi" w:hAnsi="Abadi" w:cs="ArialMT"/>
          <w:b/>
          <w:bCs/>
          <w:sz w:val="21"/>
          <w:szCs w:val="21"/>
        </w:rPr>
      </w:pPr>
    </w:p>
    <w:p w14:paraId="14BF4268" w14:textId="11CF02C4" w:rsidR="00A647AC" w:rsidRPr="007C2763" w:rsidRDefault="00A647AC" w:rsidP="00A647AC">
      <w:pPr>
        <w:autoSpaceDE w:val="0"/>
        <w:autoSpaceDN w:val="0"/>
        <w:adjustRightInd w:val="0"/>
        <w:jc w:val="both"/>
        <w:rPr>
          <w:rFonts w:ascii="Abadi" w:hAnsi="Abadi" w:cs="ArialMT"/>
          <w:b/>
          <w:bCs/>
          <w:sz w:val="21"/>
          <w:szCs w:val="21"/>
        </w:rPr>
      </w:pPr>
      <w:r w:rsidRPr="007C2763">
        <w:rPr>
          <w:rFonts w:ascii="Abadi" w:hAnsi="Abadi" w:cs="ArialMT"/>
          <w:b/>
          <w:bCs/>
          <w:sz w:val="21"/>
          <w:szCs w:val="21"/>
        </w:rPr>
        <w:t>Antecedentes.</w:t>
      </w:r>
    </w:p>
    <w:p w14:paraId="086339AB" w14:textId="77777777" w:rsidR="00A647AC" w:rsidRPr="007C2763" w:rsidRDefault="00A647AC" w:rsidP="00A647AC">
      <w:pPr>
        <w:autoSpaceDE w:val="0"/>
        <w:autoSpaceDN w:val="0"/>
        <w:adjustRightInd w:val="0"/>
        <w:jc w:val="both"/>
        <w:rPr>
          <w:rFonts w:ascii="Abadi" w:hAnsi="Abadi" w:cs="ArialMT"/>
          <w:sz w:val="21"/>
          <w:szCs w:val="21"/>
        </w:rPr>
      </w:pPr>
    </w:p>
    <w:p w14:paraId="61A81D33" w14:textId="77777777" w:rsidR="00A647AC" w:rsidRPr="007C2763" w:rsidRDefault="00A647AC" w:rsidP="00FA63DB">
      <w:pPr>
        <w:autoSpaceDE w:val="0"/>
        <w:autoSpaceDN w:val="0"/>
        <w:adjustRightInd w:val="0"/>
        <w:ind w:firstLine="708"/>
        <w:jc w:val="both"/>
        <w:rPr>
          <w:rFonts w:ascii="Abadi" w:hAnsi="Abadi" w:cs="ArialMT"/>
          <w:sz w:val="21"/>
          <w:szCs w:val="21"/>
        </w:rPr>
      </w:pPr>
      <w:r w:rsidRPr="007C2763">
        <w:rPr>
          <w:rFonts w:ascii="Abadi" w:hAnsi="Abadi" w:cs="ArialMT"/>
          <w:sz w:val="21"/>
          <w:szCs w:val="21"/>
        </w:rPr>
        <w:t>La presidencia de la Mesa Directiva en sesión de fecha 17 de febrero de 2022 turnó a la Comisión de Asuntos Municipales, con fundamento en el artículo 104 fracción VII de la Ley Orgánica del Poder Legislativo del Estado de Guanajuato, para efectos de estudio y dictamen, propuesta de punto de acuerdo de urgente u obvia resolución formulada por la diputada Hades Berenice Aguilar Castillo, del grupo parlamentario de MORENA, por el cual se exhorta al Presidente Municipal de Celaya, Guanajuato para que atienda el caso de los comerciantes Mercado</w:t>
      </w:r>
    </w:p>
    <w:p w14:paraId="097523B1" w14:textId="77777777" w:rsidR="00A647AC" w:rsidRPr="007C2763" w:rsidRDefault="00A647AC" w:rsidP="00A647AC">
      <w:pPr>
        <w:autoSpaceDE w:val="0"/>
        <w:autoSpaceDN w:val="0"/>
        <w:adjustRightInd w:val="0"/>
        <w:jc w:val="both"/>
        <w:rPr>
          <w:rFonts w:ascii="Abadi" w:hAnsi="Abadi" w:cs="ArialMT"/>
          <w:sz w:val="21"/>
          <w:szCs w:val="21"/>
        </w:rPr>
      </w:pPr>
      <w:r w:rsidRPr="007C2763">
        <w:rPr>
          <w:rFonts w:ascii="Abadi" w:hAnsi="Abadi" w:cs="ArialMT"/>
          <w:sz w:val="21"/>
          <w:szCs w:val="21"/>
        </w:rPr>
        <w:t>Agropecuario del Siglo XXI.</w:t>
      </w:r>
    </w:p>
    <w:p w14:paraId="6DE701EF" w14:textId="77777777" w:rsidR="00A647AC" w:rsidRPr="007C2763" w:rsidRDefault="00A647AC" w:rsidP="00A647AC">
      <w:pPr>
        <w:autoSpaceDE w:val="0"/>
        <w:autoSpaceDN w:val="0"/>
        <w:adjustRightInd w:val="0"/>
        <w:jc w:val="both"/>
        <w:rPr>
          <w:rFonts w:ascii="Abadi" w:hAnsi="Abadi" w:cs="ArialMT"/>
          <w:sz w:val="21"/>
          <w:szCs w:val="21"/>
        </w:rPr>
      </w:pPr>
      <w:r w:rsidRPr="007C2763">
        <w:rPr>
          <w:rFonts w:ascii="Abadi" w:hAnsi="Abadi" w:cs="ArialMT"/>
          <w:sz w:val="21"/>
          <w:szCs w:val="21"/>
        </w:rPr>
        <w:t xml:space="preserve"> </w:t>
      </w:r>
    </w:p>
    <w:p w14:paraId="52421659" w14:textId="77777777" w:rsidR="00A647AC" w:rsidRPr="007C2763" w:rsidRDefault="00A647AC" w:rsidP="00A647AC">
      <w:pPr>
        <w:autoSpaceDE w:val="0"/>
        <w:autoSpaceDN w:val="0"/>
        <w:adjustRightInd w:val="0"/>
        <w:jc w:val="both"/>
        <w:rPr>
          <w:rFonts w:ascii="Abadi" w:hAnsi="Abadi" w:cs="ArialMT"/>
          <w:sz w:val="21"/>
          <w:szCs w:val="21"/>
        </w:rPr>
      </w:pPr>
    </w:p>
    <w:p w14:paraId="4C603D28" w14:textId="77777777" w:rsidR="00A647AC" w:rsidRPr="007C2763" w:rsidRDefault="00A647AC" w:rsidP="00FF04C2">
      <w:pPr>
        <w:autoSpaceDE w:val="0"/>
        <w:autoSpaceDN w:val="0"/>
        <w:adjustRightInd w:val="0"/>
        <w:ind w:firstLine="708"/>
        <w:jc w:val="both"/>
        <w:rPr>
          <w:rFonts w:ascii="Abadi" w:hAnsi="Abadi" w:cs="ArialMT"/>
          <w:sz w:val="21"/>
          <w:szCs w:val="21"/>
        </w:rPr>
      </w:pPr>
      <w:r w:rsidRPr="007C2763">
        <w:rPr>
          <w:rFonts w:ascii="Abadi" w:hAnsi="Abadi" w:cs="ArialMT"/>
          <w:sz w:val="21"/>
          <w:szCs w:val="21"/>
        </w:rPr>
        <w:t>La propuesta fue radicada en reunión de esta Comisión de Asuntos Municipales aprobándose la metodología para su estudio y dictamen el día 23 de marzo de 2022. Agotada la metodología, la presidencia de esta Comisión instruyó la elaboración del dictamen en sentido negativo en los términos de esta propuesta.</w:t>
      </w:r>
    </w:p>
    <w:p w14:paraId="26BC9463" w14:textId="77777777" w:rsidR="00C92E4A" w:rsidRDefault="00C92E4A" w:rsidP="00A647AC">
      <w:pPr>
        <w:autoSpaceDE w:val="0"/>
        <w:autoSpaceDN w:val="0"/>
        <w:adjustRightInd w:val="0"/>
        <w:jc w:val="both"/>
        <w:rPr>
          <w:rFonts w:ascii="Abadi" w:hAnsi="Abadi" w:cs="ArialMT"/>
          <w:b/>
          <w:bCs/>
          <w:sz w:val="21"/>
          <w:szCs w:val="21"/>
        </w:rPr>
      </w:pPr>
    </w:p>
    <w:p w14:paraId="4546038E" w14:textId="05C30C54" w:rsidR="00A647AC" w:rsidRPr="007C2763" w:rsidRDefault="00A647AC" w:rsidP="00A647AC">
      <w:pPr>
        <w:autoSpaceDE w:val="0"/>
        <w:autoSpaceDN w:val="0"/>
        <w:adjustRightInd w:val="0"/>
        <w:jc w:val="both"/>
        <w:rPr>
          <w:rFonts w:ascii="Abadi" w:hAnsi="Abadi" w:cs="ArialMT"/>
          <w:b/>
          <w:bCs/>
          <w:sz w:val="21"/>
          <w:szCs w:val="21"/>
        </w:rPr>
      </w:pPr>
      <w:r w:rsidRPr="007C2763">
        <w:rPr>
          <w:rFonts w:ascii="Abadi" w:hAnsi="Abadi" w:cs="ArialMT"/>
          <w:b/>
          <w:bCs/>
          <w:sz w:val="21"/>
          <w:szCs w:val="21"/>
        </w:rPr>
        <w:t>Análisis de la propuesta de exhorto</w:t>
      </w:r>
    </w:p>
    <w:p w14:paraId="2A032B04" w14:textId="77777777" w:rsidR="00A647AC" w:rsidRPr="007C2763" w:rsidRDefault="00A647AC" w:rsidP="00A647AC">
      <w:pPr>
        <w:autoSpaceDE w:val="0"/>
        <w:autoSpaceDN w:val="0"/>
        <w:adjustRightInd w:val="0"/>
        <w:jc w:val="both"/>
        <w:rPr>
          <w:rFonts w:ascii="Abadi" w:hAnsi="Abadi" w:cs="ArialMT"/>
          <w:sz w:val="21"/>
          <w:szCs w:val="21"/>
        </w:rPr>
      </w:pPr>
    </w:p>
    <w:p w14:paraId="5695F66B" w14:textId="77777777" w:rsidR="00A647AC" w:rsidRPr="007C2763" w:rsidRDefault="00A647AC" w:rsidP="00A647AC">
      <w:pPr>
        <w:autoSpaceDE w:val="0"/>
        <w:autoSpaceDN w:val="0"/>
        <w:adjustRightInd w:val="0"/>
        <w:jc w:val="both"/>
        <w:rPr>
          <w:rFonts w:ascii="Abadi" w:hAnsi="Abadi" w:cs="ArialMT"/>
          <w:sz w:val="21"/>
          <w:szCs w:val="21"/>
        </w:rPr>
      </w:pPr>
      <w:r w:rsidRPr="007C2763">
        <w:rPr>
          <w:rFonts w:ascii="Abadi" w:hAnsi="Abadi" w:cs="ArialMT"/>
          <w:sz w:val="21"/>
          <w:szCs w:val="21"/>
        </w:rPr>
        <w:t>La proponente manifestó en la parte expositiva del acuerdo lo siguiente:</w:t>
      </w:r>
    </w:p>
    <w:p w14:paraId="521B4907" w14:textId="77777777" w:rsidR="00A647AC" w:rsidRPr="007C2763" w:rsidRDefault="00A647AC" w:rsidP="00A647AC">
      <w:pPr>
        <w:autoSpaceDE w:val="0"/>
        <w:autoSpaceDN w:val="0"/>
        <w:adjustRightInd w:val="0"/>
        <w:jc w:val="both"/>
        <w:rPr>
          <w:rFonts w:ascii="Abadi" w:hAnsi="Abadi" w:cs="ArialMT"/>
          <w:sz w:val="21"/>
          <w:szCs w:val="21"/>
        </w:rPr>
      </w:pPr>
    </w:p>
    <w:p w14:paraId="075C75AA" w14:textId="77777777" w:rsidR="00A647AC" w:rsidRPr="007C2763" w:rsidRDefault="00A647AC" w:rsidP="00A647AC">
      <w:pPr>
        <w:autoSpaceDE w:val="0"/>
        <w:autoSpaceDN w:val="0"/>
        <w:adjustRightInd w:val="0"/>
        <w:jc w:val="both"/>
        <w:rPr>
          <w:rFonts w:ascii="Abadi" w:hAnsi="Abadi" w:cs="ArialMT"/>
          <w:sz w:val="21"/>
          <w:szCs w:val="21"/>
        </w:rPr>
      </w:pPr>
    </w:p>
    <w:p w14:paraId="011ABF3F" w14:textId="77777777" w:rsidR="00A647AC" w:rsidRPr="007C2763" w:rsidRDefault="00A647AC" w:rsidP="00FF04C2">
      <w:pPr>
        <w:autoSpaceDE w:val="0"/>
        <w:autoSpaceDN w:val="0"/>
        <w:adjustRightInd w:val="0"/>
        <w:jc w:val="center"/>
        <w:rPr>
          <w:rFonts w:ascii="Abadi" w:hAnsi="Abadi" w:cs="ArialMT"/>
          <w:b/>
          <w:bCs/>
          <w:i/>
          <w:iCs/>
          <w:sz w:val="21"/>
          <w:szCs w:val="21"/>
        </w:rPr>
      </w:pPr>
      <w:r w:rsidRPr="007C2763">
        <w:rPr>
          <w:rFonts w:ascii="Abadi" w:hAnsi="Abadi" w:cs="ArialMT"/>
          <w:b/>
          <w:bCs/>
          <w:i/>
          <w:iCs/>
          <w:sz w:val="21"/>
          <w:szCs w:val="21"/>
        </w:rPr>
        <w:t>«CONSIDERACIONES</w:t>
      </w:r>
    </w:p>
    <w:p w14:paraId="7A27881C" w14:textId="77777777" w:rsidR="00A647AC" w:rsidRPr="007C2763" w:rsidRDefault="00A647AC" w:rsidP="00A647AC">
      <w:pPr>
        <w:autoSpaceDE w:val="0"/>
        <w:autoSpaceDN w:val="0"/>
        <w:adjustRightInd w:val="0"/>
        <w:jc w:val="both"/>
        <w:rPr>
          <w:rFonts w:ascii="Abadi" w:hAnsi="Abadi" w:cs="ArialMT"/>
          <w:sz w:val="21"/>
          <w:szCs w:val="21"/>
        </w:rPr>
      </w:pPr>
    </w:p>
    <w:p w14:paraId="599D8B2A" w14:textId="77777777" w:rsidR="00A647AC" w:rsidRPr="007C2763" w:rsidRDefault="00A647AC" w:rsidP="00FF04C2">
      <w:pPr>
        <w:autoSpaceDE w:val="0"/>
        <w:autoSpaceDN w:val="0"/>
        <w:adjustRightInd w:val="0"/>
        <w:ind w:firstLine="708"/>
        <w:jc w:val="both"/>
        <w:rPr>
          <w:rFonts w:ascii="Abadi" w:hAnsi="Abadi" w:cs="ArialMT"/>
          <w:sz w:val="21"/>
          <w:szCs w:val="21"/>
        </w:rPr>
      </w:pPr>
      <w:r w:rsidRPr="007C2763">
        <w:rPr>
          <w:rFonts w:ascii="Abadi" w:hAnsi="Abadi" w:cs="ArialMT"/>
          <w:sz w:val="21"/>
          <w:szCs w:val="21"/>
        </w:rPr>
        <w:t>Las centrales de abasto son unidades en las que se comercializan productos perecederos, frutas, verduras y demás productos básicos. En nuestro país existen 90 centrales de abasto, de las cuales se sabe que menos de dos terceras partes se planearon como puntos de venta por mayoreo, algunas sólo fueron la evolución de mercados públicos, sin cumplir con la intensión de un centro de amplia distribución en los centros urbanos de zonas altamente pobladas.</w:t>
      </w:r>
    </w:p>
    <w:p w14:paraId="3F392ACA" w14:textId="77777777" w:rsidR="00BA3282" w:rsidRPr="007C2763" w:rsidRDefault="00BA3282" w:rsidP="00BA3282">
      <w:pPr>
        <w:autoSpaceDE w:val="0"/>
        <w:autoSpaceDN w:val="0"/>
        <w:adjustRightInd w:val="0"/>
        <w:ind w:firstLine="708"/>
        <w:jc w:val="both"/>
        <w:rPr>
          <w:rFonts w:ascii="Abadi" w:hAnsi="Abadi" w:cs="ArialMT"/>
          <w:sz w:val="21"/>
          <w:szCs w:val="21"/>
        </w:rPr>
      </w:pPr>
    </w:p>
    <w:p w14:paraId="0BF0AC58" w14:textId="613812E1" w:rsidR="00A647AC" w:rsidRPr="007C2763" w:rsidRDefault="00A647AC" w:rsidP="00BA3282">
      <w:pPr>
        <w:autoSpaceDE w:val="0"/>
        <w:autoSpaceDN w:val="0"/>
        <w:adjustRightInd w:val="0"/>
        <w:ind w:firstLine="708"/>
        <w:jc w:val="both"/>
        <w:rPr>
          <w:rFonts w:ascii="Abadi" w:hAnsi="Abadi" w:cs="ArialMT"/>
          <w:sz w:val="21"/>
          <w:szCs w:val="21"/>
        </w:rPr>
      </w:pPr>
      <w:r w:rsidRPr="007C2763">
        <w:rPr>
          <w:rFonts w:ascii="Abadi" w:hAnsi="Abadi" w:cs="ArialMT"/>
          <w:sz w:val="21"/>
          <w:szCs w:val="21"/>
        </w:rPr>
        <w:t>Que frente al contexto de la globalización, los centros de distribución locales como mercados y centrales de abasto han perdido competitividad en comparación con los distribuidores de grandes cadenas comerciales, dicho crisis viene desde la década de los años ochenta, cuando se dio el proceso de apertura indiscriminada de diversas áreas de la economía. Aunado a lo anterior se tuvo la desvinculación del control estatal, la liberación de los precios y la concentración en construcción de infraestructura para el desarrollo urbano excluyente.</w:t>
      </w:r>
    </w:p>
    <w:p w14:paraId="0C496FE3" w14:textId="77777777" w:rsidR="00BA3282" w:rsidRPr="007C2763" w:rsidRDefault="00BA3282" w:rsidP="00BA3282">
      <w:pPr>
        <w:autoSpaceDE w:val="0"/>
        <w:autoSpaceDN w:val="0"/>
        <w:adjustRightInd w:val="0"/>
        <w:ind w:firstLine="708"/>
        <w:jc w:val="both"/>
        <w:rPr>
          <w:rFonts w:ascii="Abadi" w:hAnsi="Abadi" w:cs="ArialMT"/>
          <w:sz w:val="21"/>
          <w:szCs w:val="21"/>
        </w:rPr>
      </w:pPr>
    </w:p>
    <w:p w14:paraId="2B105688" w14:textId="0F2B5430" w:rsidR="00A647AC" w:rsidRPr="007C2763" w:rsidRDefault="00A647AC" w:rsidP="00BA3282">
      <w:pPr>
        <w:autoSpaceDE w:val="0"/>
        <w:autoSpaceDN w:val="0"/>
        <w:adjustRightInd w:val="0"/>
        <w:ind w:firstLine="708"/>
        <w:jc w:val="both"/>
        <w:rPr>
          <w:rFonts w:ascii="Abadi" w:hAnsi="Abadi" w:cs="ArialMT"/>
          <w:sz w:val="21"/>
          <w:szCs w:val="21"/>
        </w:rPr>
      </w:pPr>
      <w:r w:rsidRPr="007C2763">
        <w:rPr>
          <w:rFonts w:ascii="Abadi" w:hAnsi="Abadi" w:cs="ArialMT"/>
          <w:sz w:val="21"/>
          <w:szCs w:val="21"/>
        </w:rPr>
        <w:t xml:space="preserve">Que en consideración de los requerimientos sociales propios del crecimiento poblacional y de la exclusión del manejo económico del modelo neoliberal, hoy sabemos que en el municipio de Celaya aumento en sus cantidades de habitantes para llegar a contar actualmente con más de 520 mil para 2021; de los cuales según datos del INEGI, se tiene que hay un aproximado de 104 mil en condiciones de extrema pobreza y más de 58 mil en alta marginación, lo cual se traduce en una sociedad donde se requiere una intervención institucional con gran responsabilidad social. </w:t>
      </w:r>
    </w:p>
    <w:p w14:paraId="431494FF" w14:textId="77777777" w:rsidR="003A4F0F" w:rsidRPr="007C2763" w:rsidRDefault="003A4F0F" w:rsidP="003A4F0F">
      <w:pPr>
        <w:autoSpaceDE w:val="0"/>
        <w:autoSpaceDN w:val="0"/>
        <w:adjustRightInd w:val="0"/>
        <w:ind w:firstLine="708"/>
        <w:jc w:val="both"/>
        <w:rPr>
          <w:rFonts w:ascii="Abadi" w:hAnsi="Abadi" w:cs="ArialMT"/>
          <w:sz w:val="21"/>
          <w:szCs w:val="21"/>
        </w:rPr>
      </w:pPr>
    </w:p>
    <w:p w14:paraId="2CD4597A" w14:textId="4885D6DD" w:rsidR="00A647AC" w:rsidRDefault="00A647AC" w:rsidP="003A4F0F">
      <w:pPr>
        <w:autoSpaceDE w:val="0"/>
        <w:autoSpaceDN w:val="0"/>
        <w:adjustRightInd w:val="0"/>
        <w:ind w:firstLine="708"/>
        <w:jc w:val="both"/>
        <w:rPr>
          <w:rFonts w:ascii="Abadi" w:hAnsi="Abadi" w:cs="ArialMT"/>
          <w:sz w:val="21"/>
          <w:szCs w:val="21"/>
        </w:rPr>
      </w:pPr>
      <w:r w:rsidRPr="007C2763">
        <w:rPr>
          <w:rFonts w:ascii="Abadi" w:hAnsi="Abadi" w:cs="ArialMT"/>
          <w:sz w:val="21"/>
          <w:szCs w:val="21"/>
        </w:rPr>
        <w:t>Que no obstante lo anterior, se considera a Celaya dentro de las ciudades de México como una de las ciudades más peligrosas para vivir, y por consiguiente, para el desarrollo de las actividades productivas que permitan la generación de ingresos para el sustento de las familias celayenses, al punto de llegar a más de 109 homicidios por cada 100 mil habitantes, lo que superó a Tijuana, Ciudad Juárez y Ciudad Obregón. Es decir, que Celaya, se ha hundido en la pobreza y la delincuencia, sin contar las extorsiones y el robo a transporte.</w:t>
      </w:r>
    </w:p>
    <w:p w14:paraId="5190C21D" w14:textId="77777777" w:rsidR="00701E57" w:rsidRPr="007C2763" w:rsidRDefault="00701E57" w:rsidP="003A4F0F">
      <w:pPr>
        <w:autoSpaceDE w:val="0"/>
        <w:autoSpaceDN w:val="0"/>
        <w:adjustRightInd w:val="0"/>
        <w:ind w:firstLine="708"/>
        <w:jc w:val="both"/>
        <w:rPr>
          <w:rFonts w:ascii="Abadi" w:hAnsi="Abadi" w:cs="ArialMT"/>
          <w:sz w:val="21"/>
          <w:szCs w:val="21"/>
        </w:rPr>
      </w:pPr>
    </w:p>
    <w:p w14:paraId="69796E64" w14:textId="77777777" w:rsidR="00A647AC" w:rsidRPr="007C2763" w:rsidRDefault="00A647AC" w:rsidP="00A647AC">
      <w:pPr>
        <w:autoSpaceDE w:val="0"/>
        <w:autoSpaceDN w:val="0"/>
        <w:adjustRightInd w:val="0"/>
        <w:jc w:val="both"/>
        <w:rPr>
          <w:rFonts w:ascii="Abadi" w:hAnsi="Abadi" w:cs="ArialMT"/>
          <w:sz w:val="21"/>
          <w:szCs w:val="21"/>
        </w:rPr>
      </w:pPr>
      <w:r w:rsidRPr="007C2763">
        <w:rPr>
          <w:rFonts w:ascii="Abadi" w:hAnsi="Abadi" w:cs="ArialMT"/>
          <w:sz w:val="21"/>
          <w:szCs w:val="21"/>
        </w:rPr>
        <w:t xml:space="preserve">Que en este ambiente de degradación que se ha profundizado, más el abandono de las instituciones de primera respuesta, como son las autoridades municipales y estatales se llegó al grado de abandono de la infraestructura social y productiva; ejemplo de esto es el actual mercado de abastados situado al lado de la central de autobuses; de donde, en el 2007 surgió la organización “Unión de Comerciantes del Mercado Agropecuario Siglo XXI de Celaya, </w:t>
      </w:r>
      <w:proofErr w:type="spellStart"/>
      <w:r w:rsidRPr="007C2763">
        <w:rPr>
          <w:rFonts w:ascii="Abadi" w:hAnsi="Abadi" w:cs="ArialMT"/>
          <w:sz w:val="21"/>
          <w:szCs w:val="21"/>
        </w:rPr>
        <w:t>Gto</w:t>
      </w:r>
      <w:proofErr w:type="spellEnd"/>
      <w:r w:rsidRPr="007C2763">
        <w:rPr>
          <w:rFonts w:ascii="Abadi" w:hAnsi="Abadi" w:cs="ArialMT"/>
          <w:sz w:val="21"/>
          <w:szCs w:val="21"/>
        </w:rPr>
        <w:t>, A C.”. Dicha organización nace de la necesidad social de mejorar las condiciones de vida de quienes tiene por vocación productiva el comercio y hace el planteamiento para generar el llamado Mercado Agropecuario Siglo XXI.</w:t>
      </w:r>
    </w:p>
    <w:p w14:paraId="5994DCB3" w14:textId="77777777" w:rsidR="003A4F0F" w:rsidRPr="007C2763" w:rsidRDefault="003A4F0F" w:rsidP="003A4F0F">
      <w:pPr>
        <w:autoSpaceDE w:val="0"/>
        <w:autoSpaceDN w:val="0"/>
        <w:adjustRightInd w:val="0"/>
        <w:ind w:firstLine="708"/>
        <w:jc w:val="both"/>
        <w:rPr>
          <w:rFonts w:ascii="Abadi" w:hAnsi="Abadi" w:cs="ArialMT"/>
          <w:sz w:val="21"/>
          <w:szCs w:val="21"/>
        </w:rPr>
      </w:pPr>
    </w:p>
    <w:p w14:paraId="728CE0B2" w14:textId="2F2613E3" w:rsidR="00A647AC" w:rsidRDefault="00A647AC" w:rsidP="003A4F0F">
      <w:pPr>
        <w:autoSpaceDE w:val="0"/>
        <w:autoSpaceDN w:val="0"/>
        <w:adjustRightInd w:val="0"/>
        <w:ind w:firstLine="708"/>
        <w:jc w:val="both"/>
        <w:rPr>
          <w:rFonts w:ascii="Abadi" w:hAnsi="Abadi" w:cs="ArialMT"/>
          <w:sz w:val="21"/>
          <w:szCs w:val="21"/>
        </w:rPr>
      </w:pPr>
      <w:r w:rsidRPr="007C2763">
        <w:rPr>
          <w:rFonts w:ascii="Abadi" w:hAnsi="Abadi" w:cs="ArialMT"/>
          <w:sz w:val="21"/>
          <w:szCs w:val="21"/>
        </w:rPr>
        <w:t xml:space="preserve">Que los mencionados, agotados por la excesiva especulación que se daba en el cobro de los precios del uso de las bodegas en el área de corralones se decidieron formar parte de un esfuerzo organizativo mediante el cual lograran formar como parte de su ´patrimonio una bodega en donde se lograra la dignificación y elevar la calidad de vida de sus familias; ejemplo de los excesos contra los que hubieron de entrar tenemos que se pagaban en promedio de 9 mil a 10 mil pesos de renta y, conforme a los registros de la misma organización dicho pago se realizaba a una sola persona. </w:t>
      </w:r>
    </w:p>
    <w:p w14:paraId="62D5C108" w14:textId="77777777" w:rsidR="00141051" w:rsidRPr="007C2763" w:rsidRDefault="00141051" w:rsidP="003A4F0F">
      <w:pPr>
        <w:autoSpaceDE w:val="0"/>
        <w:autoSpaceDN w:val="0"/>
        <w:adjustRightInd w:val="0"/>
        <w:ind w:firstLine="708"/>
        <w:jc w:val="both"/>
        <w:rPr>
          <w:rFonts w:ascii="Abadi" w:hAnsi="Abadi" w:cs="ArialMT"/>
          <w:sz w:val="21"/>
          <w:szCs w:val="21"/>
        </w:rPr>
      </w:pPr>
    </w:p>
    <w:p w14:paraId="2194FBDC" w14:textId="2DEB45FE" w:rsidR="00A647AC" w:rsidRPr="007C2763" w:rsidRDefault="00A647AC" w:rsidP="003A4F0F">
      <w:pPr>
        <w:autoSpaceDE w:val="0"/>
        <w:autoSpaceDN w:val="0"/>
        <w:adjustRightInd w:val="0"/>
        <w:ind w:firstLine="708"/>
        <w:jc w:val="both"/>
        <w:rPr>
          <w:rFonts w:ascii="Abadi" w:hAnsi="Abadi" w:cs="ArialMT"/>
          <w:sz w:val="21"/>
          <w:szCs w:val="21"/>
        </w:rPr>
      </w:pPr>
      <w:r w:rsidRPr="007C2763">
        <w:rPr>
          <w:rFonts w:ascii="Abadi" w:hAnsi="Abadi" w:cs="ArialMT"/>
          <w:sz w:val="21"/>
          <w:szCs w:val="21"/>
        </w:rPr>
        <w:t xml:space="preserve">Que en el contexto de la escalada de violencia que azota a Celaya, durante los últimos 3 años han sido asesinados a 4 comerciantes, sin que haya por el momento respaldo de la autoridad para generarles condiciones de seguridad; en todo caso la extorsión y demás vejaciones les han orillado a buscar a través de la organización fortalecerse para </w:t>
      </w:r>
      <w:proofErr w:type="spellStart"/>
      <w:r w:rsidRPr="007C2763">
        <w:rPr>
          <w:rFonts w:ascii="Abadi" w:hAnsi="Abadi" w:cs="ArialMT"/>
          <w:sz w:val="21"/>
          <w:szCs w:val="21"/>
        </w:rPr>
        <w:t>si</w:t>
      </w:r>
      <w:proofErr w:type="spellEnd"/>
      <w:r w:rsidRPr="007C2763">
        <w:rPr>
          <w:rFonts w:ascii="Abadi" w:hAnsi="Abadi" w:cs="ArialMT"/>
          <w:sz w:val="21"/>
          <w:szCs w:val="21"/>
        </w:rPr>
        <w:t xml:space="preserve"> mismos. La organización es resultado de la unión de distintos gremios entre los que se figuran los del mercado Benito Juárez, Ampliación, Corralones y Anden de Productores.</w:t>
      </w:r>
    </w:p>
    <w:p w14:paraId="35E8DF04" w14:textId="77777777" w:rsidR="003A4F0F" w:rsidRPr="007C2763" w:rsidRDefault="003A4F0F" w:rsidP="003A4F0F">
      <w:pPr>
        <w:autoSpaceDE w:val="0"/>
        <w:autoSpaceDN w:val="0"/>
        <w:adjustRightInd w:val="0"/>
        <w:ind w:firstLine="708"/>
        <w:jc w:val="both"/>
        <w:rPr>
          <w:rFonts w:ascii="Abadi" w:hAnsi="Abadi" w:cs="ArialMT"/>
          <w:sz w:val="21"/>
          <w:szCs w:val="21"/>
        </w:rPr>
      </w:pPr>
    </w:p>
    <w:p w14:paraId="6B8EEFAD" w14:textId="77777777" w:rsidR="00A647AC" w:rsidRPr="007C2763" w:rsidRDefault="00A647AC" w:rsidP="003A4F0F">
      <w:pPr>
        <w:autoSpaceDE w:val="0"/>
        <w:autoSpaceDN w:val="0"/>
        <w:adjustRightInd w:val="0"/>
        <w:ind w:firstLine="708"/>
        <w:jc w:val="both"/>
        <w:rPr>
          <w:rFonts w:ascii="Abadi" w:hAnsi="Abadi" w:cs="ArialMT"/>
          <w:sz w:val="21"/>
          <w:szCs w:val="21"/>
        </w:rPr>
      </w:pPr>
      <w:r w:rsidRPr="007C2763">
        <w:rPr>
          <w:rFonts w:ascii="Abadi" w:hAnsi="Abadi" w:cs="ArialMT"/>
          <w:sz w:val="21"/>
          <w:szCs w:val="21"/>
        </w:rPr>
        <w:t xml:space="preserve">Que el problema al que se ha enfrentado la organización en comento es al constante desdén de la autoridad municipal frente a sus solicitudes de atención para al planteamiento de construcción de una nueva central de abastos para Celaya, </w:t>
      </w:r>
      <w:proofErr w:type="spellStart"/>
      <w:r w:rsidRPr="007C2763">
        <w:rPr>
          <w:rFonts w:ascii="Abadi" w:hAnsi="Abadi" w:cs="ArialMT"/>
          <w:sz w:val="21"/>
          <w:szCs w:val="21"/>
        </w:rPr>
        <w:t>Gto</w:t>
      </w:r>
      <w:proofErr w:type="spellEnd"/>
      <w:r w:rsidRPr="007C2763">
        <w:rPr>
          <w:rFonts w:ascii="Abadi" w:hAnsi="Abadi" w:cs="ArialMT"/>
          <w:sz w:val="21"/>
          <w:szCs w:val="21"/>
        </w:rPr>
        <w:t>. Situación que no surge de una ocurrencia, es resultado de un proceso que ha mostrado evolución a grado tal que la organización hoy día ya cuenta con terrenos por 15 hectáreas al norte de Celaya, cuentan con las autorizaciones de uso de suelo, estudios topográficos, un proyecto ejecutivo, análisis de mercado y estudios de vialidades, es decir, se trata de un proyecto fundado y motivado, que tiene como objetivo mejorar las condiciones en las que trabajan más de 180 familias, las cuales dependen de la actividad comercial. Así mismo, se sabe que hay razones logísticas para hacer la propuesta del espacio geográfico, pues es de la zona norte de donde provienen la mayor parte de la producción agropecuaria que nutre a Celaya.</w:t>
      </w:r>
    </w:p>
    <w:p w14:paraId="0DA402A6" w14:textId="77777777" w:rsidR="003A4F0F" w:rsidRPr="007C2763" w:rsidRDefault="003A4F0F" w:rsidP="00A647AC">
      <w:pPr>
        <w:autoSpaceDE w:val="0"/>
        <w:autoSpaceDN w:val="0"/>
        <w:adjustRightInd w:val="0"/>
        <w:jc w:val="both"/>
        <w:rPr>
          <w:rFonts w:ascii="Abadi" w:hAnsi="Abadi" w:cs="ArialMT"/>
          <w:sz w:val="21"/>
          <w:szCs w:val="21"/>
        </w:rPr>
      </w:pPr>
    </w:p>
    <w:p w14:paraId="658DA7FF" w14:textId="41C069B4" w:rsidR="00A647AC" w:rsidRPr="007C2763" w:rsidRDefault="00A647AC" w:rsidP="003A4F0F">
      <w:pPr>
        <w:autoSpaceDE w:val="0"/>
        <w:autoSpaceDN w:val="0"/>
        <w:adjustRightInd w:val="0"/>
        <w:ind w:firstLine="708"/>
        <w:jc w:val="both"/>
        <w:rPr>
          <w:rFonts w:ascii="Abadi" w:hAnsi="Abadi" w:cs="ArialMT"/>
          <w:sz w:val="21"/>
          <w:szCs w:val="21"/>
        </w:rPr>
      </w:pPr>
      <w:r w:rsidRPr="007C2763">
        <w:rPr>
          <w:rFonts w:ascii="Abadi" w:hAnsi="Abadi" w:cs="ArialMT"/>
          <w:sz w:val="21"/>
          <w:szCs w:val="21"/>
        </w:rPr>
        <w:t xml:space="preserve">Que la motivación por solicitar una atención pronta y esmerada a la organización por parte del Presidente Municipal, Javier Mendoza Márquez, resulta de la manifiesta indolencia mostrada por el Alcalde, quien ha tenido durante los meses últimos bajo su responsabilidad la administración y por tanto la posibilidad de responder al requerimiento conforme a la responsabilidad que le marca como facultad el </w:t>
      </w:r>
      <w:proofErr w:type="spellStart"/>
      <w:r w:rsidRPr="007C2763">
        <w:rPr>
          <w:rFonts w:ascii="Abadi" w:hAnsi="Abadi" w:cs="ArialMT"/>
          <w:sz w:val="21"/>
          <w:szCs w:val="21"/>
        </w:rPr>
        <w:t>Articulo</w:t>
      </w:r>
      <w:proofErr w:type="spellEnd"/>
      <w:r w:rsidRPr="007C2763">
        <w:rPr>
          <w:rFonts w:ascii="Abadi" w:hAnsi="Abadi" w:cs="ArialMT"/>
          <w:sz w:val="21"/>
          <w:szCs w:val="21"/>
        </w:rPr>
        <w:t xml:space="preserve"> 115 Constitucional; luego entonces, imperante resulta que se atienda solicitudes como la presente, que resuelven parte de la problemática de más de 180 familias de un municipio de Guanajuato que hoy se encuentra sumergido en una crisis de seguridad y social.  </w:t>
      </w:r>
    </w:p>
    <w:p w14:paraId="0672CE10" w14:textId="24B278B1" w:rsidR="00A647AC" w:rsidRPr="007C2763" w:rsidRDefault="00A647AC" w:rsidP="00D75153">
      <w:pPr>
        <w:autoSpaceDE w:val="0"/>
        <w:autoSpaceDN w:val="0"/>
        <w:adjustRightInd w:val="0"/>
        <w:ind w:firstLine="708"/>
        <w:jc w:val="both"/>
        <w:rPr>
          <w:rFonts w:ascii="Abadi" w:hAnsi="Abadi" w:cs="ArialMT"/>
          <w:sz w:val="21"/>
          <w:szCs w:val="21"/>
        </w:rPr>
      </w:pPr>
      <w:r w:rsidRPr="007C2763">
        <w:rPr>
          <w:rFonts w:ascii="Abadi" w:hAnsi="Abadi" w:cs="ArialMT"/>
          <w:sz w:val="21"/>
          <w:szCs w:val="21"/>
        </w:rPr>
        <w:t>En razón de lo anteriormente expuesto me permito proponer el siguiente punto de acuerdo:</w:t>
      </w:r>
    </w:p>
    <w:p w14:paraId="6DCCF66A" w14:textId="77777777" w:rsidR="00D75153" w:rsidRPr="007C2763" w:rsidRDefault="00D75153" w:rsidP="00D75153">
      <w:pPr>
        <w:autoSpaceDE w:val="0"/>
        <w:autoSpaceDN w:val="0"/>
        <w:adjustRightInd w:val="0"/>
        <w:ind w:firstLine="708"/>
        <w:jc w:val="both"/>
        <w:rPr>
          <w:rFonts w:ascii="Abadi" w:hAnsi="Abadi" w:cs="ArialMT"/>
          <w:sz w:val="21"/>
          <w:szCs w:val="21"/>
        </w:rPr>
      </w:pPr>
    </w:p>
    <w:p w14:paraId="7D57E8EA" w14:textId="77777777" w:rsidR="00A647AC" w:rsidRPr="007C2763" w:rsidRDefault="00A647AC" w:rsidP="00D75153">
      <w:pPr>
        <w:autoSpaceDE w:val="0"/>
        <w:autoSpaceDN w:val="0"/>
        <w:adjustRightInd w:val="0"/>
        <w:jc w:val="center"/>
        <w:rPr>
          <w:rFonts w:ascii="Abadi" w:hAnsi="Abadi" w:cs="ArialMT"/>
          <w:i/>
          <w:iCs/>
          <w:sz w:val="21"/>
          <w:szCs w:val="21"/>
        </w:rPr>
      </w:pPr>
      <w:r w:rsidRPr="007C2763">
        <w:rPr>
          <w:rFonts w:ascii="Abadi" w:hAnsi="Abadi" w:cs="ArialMT"/>
          <w:i/>
          <w:iCs/>
          <w:sz w:val="21"/>
          <w:szCs w:val="21"/>
        </w:rPr>
        <w:t>A C U E R D O.</w:t>
      </w:r>
    </w:p>
    <w:p w14:paraId="308F668C" w14:textId="77777777" w:rsidR="00A647AC" w:rsidRPr="007C2763" w:rsidRDefault="00A647AC" w:rsidP="00A647AC">
      <w:pPr>
        <w:autoSpaceDE w:val="0"/>
        <w:autoSpaceDN w:val="0"/>
        <w:adjustRightInd w:val="0"/>
        <w:jc w:val="both"/>
        <w:rPr>
          <w:rFonts w:ascii="Abadi" w:hAnsi="Abadi" w:cs="ArialMT"/>
          <w:i/>
          <w:iCs/>
          <w:sz w:val="21"/>
          <w:szCs w:val="21"/>
        </w:rPr>
      </w:pPr>
    </w:p>
    <w:p w14:paraId="085DE759" w14:textId="77777777" w:rsidR="00A647AC" w:rsidRPr="007C2763" w:rsidRDefault="00A647AC" w:rsidP="00A647AC">
      <w:pPr>
        <w:autoSpaceDE w:val="0"/>
        <w:autoSpaceDN w:val="0"/>
        <w:adjustRightInd w:val="0"/>
        <w:jc w:val="both"/>
        <w:rPr>
          <w:rFonts w:ascii="Abadi" w:hAnsi="Abadi" w:cs="ArialMT"/>
          <w:i/>
          <w:iCs/>
          <w:sz w:val="21"/>
          <w:szCs w:val="21"/>
        </w:rPr>
      </w:pPr>
      <w:r w:rsidRPr="007C2763">
        <w:rPr>
          <w:rFonts w:ascii="Abadi" w:hAnsi="Abadi" w:cs="ArialMT"/>
          <w:i/>
          <w:iCs/>
          <w:sz w:val="21"/>
          <w:szCs w:val="21"/>
        </w:rPr>
        <w:t>UNICO. La LXV Legislatura del Congreso del Estado de Guanajuato, hace un respetuoso exhorto al Presidente Municipal de Celaya, Guanajuato, para que en el ámbito de sus facultades y alcances competenciales, atiendan a la brevedad el planteamiento de los comerciantes del Mercado Agropecuario Siglo XXI.»</w:t>
      </w:r>
    </w:p>
    <w:p w14:paraId="1580F6AF" w14:textId="77777777" w:rsidR="00A647AC" w:rsidRPr="007C2763" w:rsidRDefault="00A647AC" w:rsidP="00A647AC">
      <w:pPr>
        <w:autoSpaceDE w:val="0"/>
        <w:autoSpaceDN w:val="0"/>
        <w:adjustRightInd w:val="0"/>
        <w:jc w:val="both"/>
        <w:rPr>
          <w:rFonts w:ascii="Abadi" w:hAnsi="Abadi" w:cs="ArialMT"/>
          <w:sz w:val="21"/>
          <w:szCs w:val="21"/>
        </w:rPr>
      </w:pPr>
    </w:p>
    <w:p w14:paraId="0F8457A4" w14:textId="77777777" w:rsidR="00A647AC" w:rsidRPr="007C2763" w:rsidRDefault="00A647AC" w:rsidP="00A647AC">
      <w:pPr>
        <w:autoSpaceDE w:val="0"/>
        <w:autoSpaceDN w:val="0"/>
        <w:adjustRightInd w:val="0"/>
        <w:jc w:val="both"/>
        <w:rPr>
          <w:rFonts w:ascii="Abadi" w:hAnsi="Abadi" w:cs="ArialMT"/>
          <w:b/>
          <w:bCs/>
          <w:sz w:val="21"/>
          <w:szCs w:val="21"/>
        </w:rPr>
      </w:pPr>
      <w:r w:rsidRPr="007C2763">
        <w:rPr>
          <w:rFonts w:ascii="Abadi" w:hAnsi="Abadi" w:cs="ArialMT"/>
          <w:b/>
          <w:bCs/>
          <w:sz w:val="21"/>
          <w:szCs w:val="21"/>
        </w:rPr>
        <w:t>Metodología de trabajo</w:t>
      </w:r>
    </w:p>
    <w:p w14:paraId="6322EDAA" w14:textId="77777777" w:rsidR="00A647AC" w:rsidRPr="007C2763" w:rsidRDefault="00A647AC" w:rsidP="00A647AC">
      <w:pPr>
        <w:autoSpaceDE w:val="0"/>
        <w:autoSpaceDN w:val="0"/>
        <w:adjustRightInd w:val="0"/>
        <w:jc w:val="both"/>
        <w:rPr>
          <w:rFonts w:ascii="Abadi" w:hAnsi="Abadi" w:cs="ArialMT"/>
          <w:sz w:val="21"/>
          <w:szCs w:val="21"/>
        </w:rPr>
      </w:pPr>
    </w:p>
    <w:p w14:paraId="4E0490B6" w14:textId="77777777" w:rsidR="00A647AC" w:rsidRPr="007C2763" w:rsidRDefault="00A647AC" w:rsidP="00A647AC">
      <w:pPr>
        <w:autoSpaceDE w:val="0"/>
        <w:autoSpaceDN w:val="0"/>
        <w:adjustRightInd w:val="0"/>
        <w:jc w:val="both"/>
        <w:rPr>
          <w:rFonts w:ascii="Abadi" w:hAnsi="Abadi" w:cs="ArialMT"/>
          <w:sz w:val="21"/>
          <w:szCs w:val="21"/>
        </w:rPr>
      </w:pPr>
      <w:r w:rsidRPr="007C2763">
        <w:rPr>
          <w:rFonts w:ascii="Abadi" w:hAnsi="Abadi" w:cs="ArialMT"/>
          <w:sz w:val="21"/>
          <w:szCs w:val="21"/>
        </w:rPr>
        <w:t>En reunión de la Comisión de Asuntos Municipales del 23 de marzo, fue aprobada la metodología de trabajo en los siguientes términos.</w:t>
      </w:r>
    </w:p>
    <w:p w14:paraId="20307CEC" w14:textId="77777777" w:rsidR="00A647AC" w:rsidRPr="007C2763" w:rsidRDefault="00A647AC" w:rsidP="00A647AC">
      <w:pPr>
        <w:autoSpaceDE w:val="0"/>
        <w:autoSpaceDN w:val="0"/>
        <w:adjustRightInd w:val="0"/>
        <w:jc w:val="both"/>
        <w:rPr>
          <w:rFonts w:ascii="Abadi" w:hAnsi="Abadi" w:cs="ArialMT"/>
          <w:sz w:val="21"/>
          <w:szCs w:val="21"/>
        </w:rPr>
      </w:pPr>
    </w:p>
    <w:p w14:paraId="7F35254D" w14:textId="393BDEA3" w:rsidR="00A647AC" w:rsidRPr="007C2763" w:rsidRDefault="0021424D" w:rsidP="0021424D">
      <w:pPr>
        <w:autoSpaceDE w:val="0"/>
        <w:autoSpaceDN w:val="0"/>
        <w:adjustRightInd w:val="0"/>
        <w:jc w:val="both"/>
        <w:rPr>
          <w:rFonts w:ascii="Abadi" w:hAnsi="Abadi" w:cs="ArialMT"/>
          <w:i/>
          <w:iCs/>
          <w:sz w:val="21"/>
          <w:szCs w:val="21"/>
        </w:rPr>
      </w:pPr>
      <w:r w:rsidRPr="007C2763">
        <w:rPr>
          <w:rFonts w:ascii="Abadi" w:hAnsi="Abadi" w:cs="ArialMT"/>
          <w:i/>
          <w:iCs/>
          <w:sz w:val="21"/>
          <w:szCs w:val="21"/>
        </w:rPr>
        <w:t xml:space="preserve">1. </w:t>
      </w:r>
      <w:r w:rsidR="00A647AC" w:rsidRPr="007C2763">
        <w:rPr>
          <w:rFonts w:ascii="Abadi" w:hAnsi="Abadi" w:cs="ArialMT"/>
          <w:i/>
          <w:iCs/>
          <w:sz w:val="21"/>
          <w:szCs w:val="21"/>
        </w:rPr>
        <w:t>Solicitar por oficio información al Presidente Municipal de Celaya, Guanajuato, sobre lo expuesto en la propuesta de exhorto la cual deberá ser entregada en el término de 10 días hábiles a esta Comisión, a través de la secretaría técnica.</w:t>
      </w:r>
    </w:p>
    <w:p w14:paraId="34E4E453" w14:textId="77777777" w:rsidR="00A647AC" w:rsidRPr="007C2763" w:rsidRDefault="00A647AC" w:rsidP="00A647AC">
      <w:pPr>
        <w:autoSpaceDE w:val="0"/>
        <w:autoSpaceDN w:val="0"/>
        <w:adjustRightInd w:val="0"/>
        <w:jc w:val="both"/>
        <w:rPr>
          <w:rFonts w:ascii="Abadi" w:hAnsi="Abadi" w:cs="ArialMT"/>
          <w:i/>
          <w:iCs/>
          <w:sz w:val="21"/>
          <w:szCs w:val="21"/>
        </w:rPr>
      </w:pPr>
    </w:p>
    <w:p w14:paraId="4C18069D" w14:textId="5BC23D6A" w:rsidR="00A647AC" w:rsidRPr="007C2763" w:rsidRDefault="00A647AC" w:rsidP="00A647AC">
      <w:pPr>
        <w:autoSpaceDE w:val="0"/>
        <w:autoSpaceDN w:val="0"/>
        <w:adjustRightInd w:val="0"/>
        <w:jc w:val="both"/>
        <w:rPr>
          <w:rFonts w:ascii="Abadi" w:hAnsi="Abadi" w:cs="ArialMT"/>
          <w:i/>
          <w:iCs/>
          <w:sz w:val="21"/>
          <w:szCs w:val="21"/>
        </w:rPr>
      </w:pPr>
      <w:r w:rsidRPr="007C2763">
        <w:rPr>
          <w:rFonts w:ascii="Abadi" w:hAnsi="Abadi" w:cs="ArialMT"/>
          <w:i/>
          <w:iCs/>
          <w:sz w:val="21"/>
          <w:szCs w:val="21"/>
        </w:rPr>
        <w:t>2.</w:t>
      </w:r>
      <w:r w:rsidR="0021424D" w:rsidRPr="007C2763">
        <w:rPr>
          <w:rFonts w:ascii="Abadi" w:hAnsi="Abadi" w:cs="ArialMT"/>
          <w:i/>
          <w:iCs/>
          <w:sz w:val="21"/>
          <w:szCs w:val="21"/>
        </w:rPr>
        <w:t xml:space="preserve">  </w:t>
      </w:r>
      <w:r w:rsidRPr="007C2763">
        <w:rPr>
          <w:rFonts w:ascii="Abadi" w:hAnsi="Abadi" w:cs="ArialMT"/>
          <w:i/>
          <w:iCs/>
          <w:sz w:val="21"/>
          <w:szCs w:val="21"/>
        </w:rPr>
        <w:t>Realizar una reunión de grupo de trabajo permanente con diputados y asesores a efecto de analizar la información remitida por el Presidente Municipal de Celaya, Guanajuato, y el planteamiento del exhorto.</w:t>
      </w:r>
    </w:p>
    <w:p w14:paraId="50C2934B" w14:textId="77777777" w:rsidR="00A647AC" w:rsidRPr="007C2763" w:rsidRDefault="00A647AC" w:rsidP="00A647AC">
      <w:pPr>
        <w:autoSpaceDE w:val="0"/>
        <w:autoSpaceDN w:val="0"/>
        <w:adjustRightInd w:val="0"/>
        <w:jc w:val="both"/>
        <w:rPr>
          <w:rFonts w:ascii="Abadi" w:hAnsi="Abadi" w:cs="ArialMT"/>
          <w:i/>
          <w:iCs/>
          <w:sz w:val="21"/>
          <w:szCs w:val="21"/>
        </w:rPr>
      </w:pPr>
    </w:p>
    <w:p w14:paraId="5399916A" w14:textId="299E3415" w:rsidR="00A647AC" w:rsidRPr="007C2763" w:rsidRDefault="00A647AC" w:rsidP="00A647AC">
      <w:pPr>
        <w:autoSpaceDE w:val="0"/>
        <w:autoSpaceDN w:val="0"/>
        <w:adjustRightInd w:val="0"/>
        <w:jc w:val="both"/>
        <w:rPr>
          <w:rFonts w:ascii="Abadi" w:hAnsi="Abadi" w:cs="ArialMT"/>
          <w:sz w:val="21"/>
          <w:szCs w:val="21"/>
        </w:rPr>
      </w:pPr>
      <w:r w:rsidRPr="007C2763">
        <w:rPr>
          <w:rFonts w:ascii="Abadi" w:hAnsi="Abadi" w:cs="ArialMT"/>
          <w:i/>
          <w:iCs/>
          <w:sz w:val="21"/>
          <w:szCs w:val="21"/>
        </w:rPr>
        <w:t>3.</w:t>
      </w:r>
      <w:r w:rsidR="0021424D" w:rsidRPr="007C2763">
        <w:rPr>
          <w:rFonts w:ascii="Abadi" w:hAnsi="Abadi" w:cs="ArialMT"/>
          <w:i/>
          <w:iCs/>
          <w:sz w:val="21"/>
          <w:szCs w:val="21"/>
        </w:rPr>
        <w:t xml:space="preserve">  </w:t>
      </w:r>
      <w:r w:rsidRPr="007C2763">
        <w:rPr>
          <w:rFonts w:ascii="Abadi" w:hAnsi="Abadi" w:cs="ArialMT"/>
          <w:i/>
          <w:iCs/>
          <w:sz w:val="21"/>
          <w:szCs w:val="21"/>
        </w:rPr>
        <w:t>Se solicitará a la secretaría técnica realice un documento con proyecto de dictamen para que sea analizado en reunión de la Comisión.</w:t>
      </w:r>
    </w:p>
    <w:p w14:paraId="456C824C" w14:textId="77777777" w:rsidR="00A647AC" w:rsidRPr="007C2763" w:rsidRDefault="00A647AC" w:rsidP="00A647AC">
      <w:pPr>
        <w:autoSpaceDE w:val="0"/>
        <w:autoSpaceDN w:val="0"/>
        <w:adjustRightInd w:val="0"/>
        <w:jc w:val="both"/>
        <w:rPr>
          <w:rFonts w:ascii="Abadi" w:hAnsi="Abadi" w:cs="ArialMT"/>
          <w:sz w:val="21"/>
          <w:szCs w:val="21"/>
        </w:rPr>
      </w:pPr>
      <w:r w:rsidRPr="007C2763">
        <w:rPr>
          <w:rFonts w:ascii="Abadi" w:hAnsi="Abadi" w:cs="ArialMT"/>
          <w:sz w:val="21"/>
          <w:szCs w:val="21"/>
        </w:rPr>
        <w:t xml:space="preserve"> </w:t>
      </w:r>
    </w:p>
    <w:p w14:paraId="6ECF81F0" w14:textId="77777777" w:rsidR="00A647AC" w:rsidRPr="007C2763" w:rsidRDefault="00A647AC" w:rsidP="00A647AC">
      <w:pPr>
        <w:autoSpaceDE w:val="0"/>
        <w:autoSpaceDN w:val="0"/>
        <w:adjustRightInd w:val="0"/>
        <w:jc w:val="both"/>
        <w:rPr>
          <w:rFonts w:ascii="Abadi" w:hAnsi="Abadi" w:cs="ArialMT"/>
          <w:sz w:val="21"/>
          <w:szCs w:val="21"/>
        </w:rPr>
      </w:pPr>
    </w:p>
    <w:p w14:paraId="29B8B658" w14:textId="77777777" w:rsidR="00A647AC" w:rsidRPr="007C2763" w:rsidRDefault="00A647AC" w:rsidP="00A647AC">
      <w:pPr>
        <w:autoSpaceDE w:val="0"/>
        <w:autoSpaceDN w:val="0"/>
        <w:adjustRightInd w:val="0"/>
        <w:jc w:val="both"/>
        <w:rPr>
          <w:rFonts w:ascii="Abadi" w:hAnsi="Abadi" w:cs="ArialMT"/>
          <w:b/>
          <w:bCs/>
          <w:sz w:val="21"/>
          <w:szCs w:val="21"/>
        </w:rPr>
      </w:pPr>
      <w:r w:rsidRPr="007C2763">
        <w:rPr>
          <w:rFonts w:ascii="Abadi" w:hAnsi="Abadi" w:cs="ArialMT"/>
          <w:b/>
          <w:bCs/>
          <w:sz w:val="21"/>
          <w:szCs w:val="21"/>
        </w:rPr>
        <w:t>Seguimiento a la metodología</w:t>
      </w:r>
    </w:p>
    <w:p w14:paraId="2E382603" w14:textId="77777777" w:rsidR="00A647AC" w:rsidRPr="007C2763" w:rsidRDefault="00A647AC" w:rsidP="00A647AC">
      <w:pPr>
        <w:autoSpaceDE w:val="0"/>
        <w:autoSpaceDN w:val="0"/>
        <w:adjustRightInd w:val="0"/>
        <w:jc w:val="both"/>
        <w:rPr>
          <w:rFonts w:ascii="Abadi" w:hAnsi="Abadi" w:cs="ArialMT"/>
          <w:sz w:val="21"/>
          <w:szCs w:val="21"/>
        </w:rPr>
      </w:pPr>
    </w:p>
    <w:p w14:paraId="7D26B406" w14:textId="22E481CF" w:rsidR="00A647AC" w:rsidRPr="007C2763" w:rsidRDefault="00A647AC" w:rsidP="00FA64D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Como parte de la metodología, el día 23 de marzo del año en curso, se le solicitó vía oficio a la Presidencia Municipal de Celaya, Guanajuato., información referida en la propuesta de exhorto relativa a los planteamientos de los comerciantes del Mercado Agropecuario Siglo XXI. Se remitió respuesta a esta Comisión por parte de la Presidencia Municipal de Celaya vía oficio con número</w:t>
      </w:r>
      <w:r w:rsidR="00FA64D1" w:rsidRPr="007C2763">
        <w:rPr>
          <w:rFonts w:ascii="Abadi" w:hAnsi="Abadi" w:cs="ArialMT"/>
          <w:sz w:val="21"/>
          <w:szCs w:val="21"/>
        </w:rPr>
        <w:t xml:space="preserve"> </w:t>
      </w:r>
      <w:r w:rsidRPr="007C2763">
        <w:rPr>
          <w:rFonts w:ascii="Abadi" w:hAnsi="Abadi" w:cs="ArialMT"/>
          <w:sz w:val="21"/>
          <w:szCs w:val="21"/>
        </w:rPr>
        <w:t>S.A. 0671/2022 de fecha 06 de abril del de este año.</w:t>
      </w:r>
    </w:p>
    <w:p w14:paraId="50D535C7" w14:textId="77777777" w:rsidR="00A647AC" w:rsidRPr="007C2763" w:rsidRDefault="00A647AC" w:rsidP="00A647AC">
      <w:pPr>
        <w:autoSpaceDE w:val="0"/>
        <w:autoSpaceDN w:val="0"/>
        <w:adjustRightInd w:val="0"/>
        <w:jc w:val="both"/>
        <w:rPr>
          <w:rFonts w:ascii="Abadi" w:hAnsi="Abadi" w:cs="ArialMT"/>
          <w:sz w:val="21"/>
          <w:szCs w:val="21"/>
        </w:rPr>
      </w:pPr>
    </w:p>
    <w:p w14:paraId="1E7CE6D7" w14:textId="77777777" w:rsidR="00A647AC" w:rsidRPr="007C2763" w:rsidRDefault="00A647AC" w:rsidP="00A647AC">
      <w:pPr>
        <w:autoSpaceDE w:val="0"/>
        <w:autoSpaceDN w:val="0"/>
        <w:adjustRightInd w:val="0"/>
        <w:jc w:val="both"/>
        <w:rPr>
          <w:rFonts w:ascii="Abadi" w:hAnsi="Abadi" w:cs="ArialMT"/>
          <w:b/>
          <w:bCs/>
          <w:sz w:val="21"/>
          <w:szCs w:val="21"/>
        </w:rPr>
      </w:pPr>
      <w:r w:rsidRPr="007C2763">
        <w:rPr>
          <w:rFonts w:ascii="Abadi" w:hAnsi="Abadi" w:cs="ArialMT"/>
          <w:b/>
          <w:bCs/>
          <w:sz w:val="21"/>
          <w:szCs w:val="21"/>
        </w:rPr>
        <w:t>Consideraciones de la Comisión de Asuntos Municipales</w:t>
      </w:r>
    </w:p>
    <w:p w14:paraId="38B08DE3" w14:textId="77777777" w:rsidR="00A647AC" w:rsidRPr="007C2763" w:rsidRDefault="00A647AC" w:rsidP="00A647AC">
      <w:pPr>
        <w:autoSpaceDE w:val="0"/>
        <w:autoSpaceDN w:val="0"/>
        <w:adjustRightInd w:val="0"/>
        <w:jc w:val="both"/>
        <w:rPr>
          <w:rFonts w:ascii="Abadi" w:hAnsi="Abadi" w:cs="ArialMT"/>
          <w:sz w:val="21"/>
          <w:szCs w:val="21"/>
        </w:rPr>
      </w:pPr>
    </w:p>
    <w:p w14:paraId="684017C0" w14:textId="77777777" w:rsidR="00A647AC" w:rsidRPr="007C2763" w:rsidRDefault="00A647AC" w:rsidP="00FA64D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De conformidad con lo dispuesto por el artículo 104 de la Ley Orgánica del Poder Legislativo del Estado de Guanajuato, es competencia de la Comisión que ahora dictamina, el estudio y conocimiento de los asuntos relacionados con las funciones, atribuciones y organización de los ayuntamientos del Estado.</w:t>
      </w:r>
    </w:p>
    <w:p w14:paraId="7DDC1C3A" w14:textId="77777777" w:rsidR="00A647AC" w:rsidRPr="007C2763" w:rsidRDefault="00A647AC" w:rsidP="00A647AC">
      <w:pPr>
        <w:autoSpaceDE w:val="0"/>
        <w:autoSpaceDN w:val="0"/>
        <w:adjustRightInd w:val="0"/>
        <w:jc w:val="both"/>
        <w:rPr>
          <w:rFonts w:ascii="Abadi" w:hAnsi="Abadi" w:cs="ArialMT"/>
          <w:sz w:val="21"/>
          <w:szCs w:val="21"/>
        </w:rPr>
      </w:pPr>
    </w:p>
    <w:p w14:paraId="0033EA77" w14:textId="77777777" w:rsidR="00A647AC" w:rsidRPr="007C2763" w:rsidRDefault="00A647AC" w:rsidP="00FA64D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En atención y seguimiento a la metodología aprobada por esta comisión legislativa, le fue remitido a esta Comisión Legislativa, oficio suscrito por el Presidente Municipal de Celaya, en el cual se contienen las acciones realizadas, referentes al planteamiento expuesto por la iniciante dentro del punto de acuerdo, mismas que a continuación se describen:</w:t>
      </w:r>
    </w:p>
    <w:p w14:paraId="62B6816A" w14:textId="77777777" w:rsidR="00A647AC" w:rsidRPr="007C2763" w:rsidRDefault="00A647AC" w:rsidP="00A647AC">
      <w:pPr>
        <w:autoSpaceDE w:val="0"/>
        <w:autoSpaceDN w:val="0"/>
        <w:adjustRightInd w:val="0"/>
        <w:jc w:val="both"/>
        <w:rPr>
          <w:rFonts w:ascii="Abadi" w:hAnsi="Abadi" w:cs="ArialMT"/>
          <w:sz w:val="21"/>
          <w:szCs w:val="21"/>
        </w:rPr>
      </w:pPr>
    </w:p>
    <w:p w14:paraId="7290FA55" w14:textId="3EE07ED2" w:rsidR="00FE4F55" w:rsidRPr="007C2763" w:rsidRDefault="00A647AC" w:rsidP="0019343A">
      <w:pPr>
        <w:pStyle w:val="Prrafodelista"/>
        <w:numPr>
          <w:ilvl w:val="0"/>
          <w:numId w:val="58"/>
        </w:numPr>
        <w:autoSpaceDE w:val="0"/>
        <w:autoSpaceDN w:val="0"/>
        <w:adjustRightInd w:val="0"/>
        <w:jc w:val="both"/>
        <w:rPr>
          <w:rFonts w:ascii="Abadi" w:hAnsi="Abadi" w:cs="ArialMT"/>
          <w:sz w:val="21"/>
          <w:szCs w:val="21"/>
        </w:rPr>
      </w:pPr>
      <w:r w:rsidRPr="007C2763">
        <w:rPr>
          <w:rFonts w:ascii="Abadi" w:hAnsi="Abadi" w:cs="ArialMT"/>
          <w:sz w:val="21"/>
          <w:szCs w:val="21"/>
        </w:rPr>
        <w:t xml:space="preserve">El 17 de noviembre de 2021 se sostuvo reunión entre la Síndico Mtra. María de la Salud García Rodríguez, el Mtro. Eduardo </w:t>
      </w:r>
      <w:proofErr w:type="spellStart"/>
      <w:r w:rsidRPr="007C2763">
        <w:rPr>
          <w:rFonts w:ascii="Abadi" w:hAnsi="Abadi" w:cs="ArialMT"/>
          <w:sz w:val="21"/>
          <w:szCs w:val="21"/>
        </w:rPr>
        <w:t>Knapp</w:t>
      </w:r>
      <w:proofErr w:type="spellEnd"/>
      <w:r w:rsidRPr="007C2763">
        <w:rPr>
          <w:rFonts w:ascii="Abadi" w:hAnsi="Abadi" w:cs="ArialMT"/>
          <w:sz w:val="21"/>
          <w:szCs w:val="21"/>
        </w:rPr>
        <w:t xml:space="preserve"> Hernández, Director de Desarrollo Económico, y los representantes de la Unión de Comerciantes del Mercado Agropecuario Siglo XXI, estos en compañía del Lic. Gerardo Pérez a quién designaron como enlace con las autoridades municipales., en esta reunión plantearon el proyecto de un nuevo espacio para ejercer el comercio.</w:t>
      </w:r>
    </w:p>
    <w:p w14:paraId="456E2684" w14:textId="77777777" w:rsidR="00FE4F55" w:rsidRPr="007C2763" w:rsidRDefault="00FE4F55" w:rsidP="00FE4F55">
      <w:pPr>
        <w:pStyle w:val="Prrafodelista"/>
        <w:autoSpaceDE w:val="0"/>
        <w:autoSpaceDN w:val="0"/>
        <w:adjustRightInd w:val="0"/>
        <w:ind w:left="720"/>
        <w:jc w:val="both"/>
        <w:rPr>
          <w:rFonts w:ascii="Abadi" w:hAnsi="Abadi" w:cs="ArialMT"/>
          <w:sz w:val="21"/>
          <w:szCs w:val="21"/>
        </w:rPr>
      </w:pPr>
    </w:p>
    <w:p w14:paraId="6F389A8E" w14:textId="77777777" w:rsidR="00FE4F55" w:rsidRPr="007C2763" w:rsidRDefault="00A647AC" w:rsidP="0019343A">
      <w:pPr>
        <w:pStyle w:val="Prrafodelista"/>
        <w:numPr>
          <w:ilvl w:val="0"/>
          <w:numId w:val="58"/>
        </w:numPr>
        <w:autoSpaceDE w:val="0"/>
        <w:autoSpaceDN w:val="0"/>
        <w:adjustRightInd w:val="0"/>
        <w:jc w:val="both"/>
        <w:rPr>
          <w:rFonts w:ascii="Abadi" w:hAnsi="Abadi" w:cs="ArialMT"/>
          <w:sz w:val="21"/>
          <w:szCs w:val="21"/>
        </w:rPr>
      </w:pPr>
      <w:r w:rsidRPr="007C2763">
        <w:rPr>
          <w:rFonts w:ascii="Abadi" w:hAnsi="Abadi" w:cs="ArialMT"/>
          <w:sz w:val="21"/>
          <w:szCs w:val="21"/>
        </w:rPr>
        <w:t xml:space="preserve">El 21 de febrero de 2022 a las 10:30, se sostuvo una segunda reunión en el Salón de Presidentes con integrantes de la Unión de Comerciantes del Mercado Agropecuario del Sigo XXI, en la que estuvieron presentes el Lic. Gerardo Pérez, el Mtro. Eduardo </w:t>
      </w:r>
      <w:proofErr w:type="spellStart"/>
      <w:r w:rsidRPr="007C2763">
        <w:rPr>
          <w:rFonts w:ascii="Abadi" w:hAnsi="Abadi" w:cs="ArialMT"/>
          <w:sz w:val="21"/>
          <w:szCs w:val="21"/>
        </w:rPr>
        <w:t>Knapp</w:t>
      </w:r>
      <w:proofErr w:type="spellEnd"/>
      <w:r w:rsidRPr="007C2763">
        <w:rPr>
          <w:rFonts w:ascii="Abadi" w:hAnsi="Abadi" w:cs="ArialMT"/>
          <w:sz w:val="21"/>
          <w:szCs w:val="21"/>
        </w:rPr>
        <w:t xml:space="preserve"> Hernández, Director General de Desarrollo Económico, la Síndico Mtra. María de la Luz García Rodríguez, el Arq. Oswaldo Alfredo Rodríguez Castañeda, Director de Desarrollo Urbano, y el Secretario del Ayuntamiento Mtro. Jorge Luis Gámez Campos.</w:t>
      </w:r>
    </w:p>
    <w:p w14:paraId="698E2C99" w14:textId="77777777" w:rsidR="00FE4F55" w:rsidRPr="007C2763" w:rsidRDefault="00FE4F55" w:rsidP="00FE4F55">
      <w:pPr>
        <w:pStyle w:val="Prrafodelista"/>
        <w:rPr>
          <w:rFonts w:ascii="Abadi" w:hAnsi="Abadi" w:cs="ArialMT"/>
          <w:sz w:val="21"/>
          <w:szCs w:val="21"/>
        </w:rPr>
      </w:pPr>
    </w:p>
    <w:p w14:paraId="5A1BA718" w14:textId="77777777" w:rsidR="00FE4F55" w:rsidRPr="007C2763" w:rsidRDefault="00A647AC" w:rsidP="0019343A">
      <w:pPr>
        <w:pStyle w:val="Prrafodelista"/>
        <w:numPr>
          <w:ilvl w:val="0"/>
          <w:numId w:val="58"/>
        </w:numPr>
        <w:autoSpaceDE w:val="0"/>
        <w:autoSpaceDN w:val="0"/>
        <w:adjustRightInd w:val="0"/>
        <w:jc w:val="both"/>
        <w:rPr>
          <w:rFonts w:ascii="Abadi" w:hAnsi="Abadi" w:cs="ArialMT"/>
          <w:sz w:val="21"/>
          <w:szCs w:val="21"/>
        </w:rPr>
      </w:pPr>
      <w:r w:rsidRPr="007C2763">
        <w:rPr>
          <w:rFonts w:ascii="Abadi" w:hAnsi="Abadi" w:cs="ArialMT"/>
          <w:sz w:val="21"/>
          <w:szCs w:val="21"/>
        </w:rPr>
        <w:t xml:space="preserve">El 28 de febrero de 2022 en las Oficinas de Desarrollo Económico del municipio, se sostuvo una reunión entre el Mtro. Eduardo </w:t>
      </w:r>
      <w:proofErr w:type="spellStart"/>
      <w:r w:rsidRPr="007C2763">
        <w:rPr>
          <w:rFonts w:ascii="Abadi" w:hAnsi="Abadi" w:cs="ArialMT"/>
          <w:sz w:val="21"/>
          <w:szCs w:val="21"/>
        </w:rPr>
        <w:t>Knapp</w:t>
      </w:r>
      <w:proofErr w:type="spellEnd"/>
      <w:r w:rsidRPr="007C2763">
        <w:rPr>
          <w:rFonts w:ascii="Abadi" w:hAnsi="Abadi" w:cs="ArialMT"/>
          <w:sz w:val="21"/>
          <w:szCs w:val="21"/>
        </w:rPr>
        <w:t xml:space="preserve"> Hernández, Director General de Desarrollo Económico y el Lic. Gerardo Pérez, representante de los comerciantes y conocer a fondo el proyecto del nuevo espacio para ejercer el comercio, así como los permisos con los que se cuenta.</w:t>
      </w:r>
    </w:p>
    <w:p w14:paraId="71E61DDB" w14:textId="77777777" w:rsidR="00FE4F55" w:rsidRPr="007C2763" w:rsidRDefault="00FE4F55" w:rsidP="00FE4F55">
      <w:pPr>
        <w:pStyle w:val="Prrafodelista"/>
        <w:rPr>
          <w:rFonts w:ascii="Abadi" w:hAnsi="Abadi" w:cs="ArialMT"/>
          <w:sz w:val="21"/>
          <w:szCs w:val="21"/>
        </w:rPr>
      </w:pPr>
    </w:p>
    <w:p w14:paraId="46F7179E" w14:textId="7BD5F4C2" w:rsidR="00A647AC" w:rsidRPr="007C2763" w:rsidRDefault="00A647AC" w:rsidP="0019343A">
      <w:pPr>
        <w:pStyle w:val="Prrafodelista"/>
        <w:numPr>
          <w:ilvl w:val="0"/>
          <w:numId w:val="58"/>
        </w:numPr>
        <w:autoSpaceDE w:val="0"/>
        <w:autoSpaceDN w:val="0"/>
        <w:adjustRightInd w:val="0"/>
        <w:jc w:val="both"/>
        <w:rPr>
          <w:rFonts w:ascii="Abadi" w:hAnsi="Abadi" w:cs="ArialMT"/>
          <w:sz w:val="21"/>
          <w:szCs w:val="21"/>
        </w:rPr>
      </w:pPr>
      <w:r w:rsidRPr="007C2763">
        <w:rPr>
          <w:rFonts w:ascii="Abadi" w:hAnsi="Abadi" w:cs="ArialMT"/>
          <w:sz w:val="21"/>
          <w:szCs w:val="21"/>
        </w:rPr>
        <w:t>El 11 de marzo de 2022, personal de la Dirección General de Desarrollo Urbano participó en una reunión o mesa de trabajo celebrada en las instalaciones  del  Instituto  Municipal  de  Investigación,  Planeación  y Estadística, IMIPE, misma que fue presidida por parte de la Dirección General de Desarrollo Económico Municipal, reunión la cual, entre otros, tenía por objeto esclarecer la metodología para la autorización del Mercado en tratamiento, y para lo cual la Dirección General de Desarrollo Urbano expuso la metodología y trámites que deben obtenerse de la autoridad municipal correspondientes, esto, por parte del o de los propietarios que pretenden llevar a cabo dicho proyecto.</w:t>
      </w:r>
    </w:p>
    <w:p w14:paraId="1051D4E7" w14:textId="77777777" w:rsidR="00A647AC" w:rsidRPr="007C2763" w:rsidRDefault="00A647AC" w:rsidP="00A647AC">
      <w:pPr>
        <w:autoSpaceDE w:val="0"/>
        <w:autoSpaceDN w:val="0"/>
        <w:adjustRightInd w:val="0"/>
        <w:jc w:val="both"/>
        <w:rPr>
          <w:rFonts w:ascii="Abadi" w:hAnsi="Abadi" w:cs="ArialMT"/>
          <w:sz w:val="21"/>
          <w:szCs w:val="21"/>
        </w:rPr>
      </w:pPr>
    </w:p>
    <w:p w14:paraId="2E6166DA" w14:textId="77777777" w:rsidR="00A647AC" w:rsidRPr="007C2763" w:rsidRDefault="00A647AC" w:rsidP="00FE4F55">
      <w:pPr>
        <w:autoSpaceDE w:val="0"/>
        <w:autoSpaceDN w:val="0"/>
        <w:adjustRightInd w:val="0"/>
        <w:ind w:firstLine="360"/>
        <w:jc w:val="both"/>
        <w:rPr>
          <w:rFonts w:ascii="Abadi" w:hAnsi="Abadi" w:cs="ArialMT"/>
          <w:sz w:val="21"/>
          <w:szCs w:val="21"/>
        </w:rPr>
      </w:pPr>
      <w:r w:rsidRPr="007C2763">
        <w:rPr>
          <w:rFonts w:ascii="Abadi" w:hAnsi="Abadi" w:cs="ArialMT"/>
          <w:sz w:val="21"/>
          <w:szCs w:val="21"/>
        </w:rPr>
        <w:t xml:space="preserve">Con estricto respeto a la autonomía municipal, del análisis realizado por esta Comisión Dictaminadora, a las acciones realizadas por la Presidencia Municipal de Celaya, y en atención a los planteamientos expuestos por los comerciantes del mercado Agropecuario Siglo XXI, que es en lo que versa el exhorto, se llegó a la conclusión que la presente propuesta ya se encuentra atendida por lo tanto ha quedado sin materia y lo que corresponde conforme al trámite parlamentario es el archivo del punto de acuerdo. </w:t>
      </w:r>
    </w:p>
    <w:p w14:paraId="69B3973A" w14:textId="77777777" w:rsidR="00A647AC" w:rsidRPr="007C2763" w:rsidRDefault="00A647AC" w:rsidP="00A647AC">
      <w:pPr>
        <w:autoSpaceDE w:val="0"/>
        <w:autoSpaceDN w:val="0"/>
        <w:adjustRightInd w:val="0"/>
        <w:jc w:val="both"/>
        <w:rPr>
          <w:rFonts w:ascii="Abadi" w:hAnsi="Abadi" w:cs="ArialMT"/>
          <w:sz w:val="21"/>
          <w:szCs w:val="21"/>
        </w:rPr>
      </w:pPr>
    </w:p>
    <w:p w14:paraId="29BD8AB3" w14:textId="77777777" w:rsidR="00A647AC" w:rsidRPr="007C2763" w:rsidRDefault="00A647AC" w:rsidP="006D5400">
      <w:pPr>
        <w:autoSpaceDE w:val="0"/>
        <w:autoSpaceDN w:val="0"/>
        <w:adjustRightInd w:val="0"/>
        <w:ind w:firstLine="360"/>
        <w:jc w:val="both"/>
        <w:rPr>
          <w:rFonts w:ascii="Abadi" w:hAnsi="Abadi" w:cs="ArialMT"/>
          <w:sz w:val="21"/>
          <w:szCs w:val="21"/>
        </w:rPr>
      </w:pPr>
      <w:r w:rsidRPr="007C2763">
        <w:rPr>
          <w:rFonts w:ascii="Abadi" w:hAnsi="Abadi" w:cs="ArialMT"/>
          <w:sz w:val="21"/>
          <w:szCs w:val="21"/>
        </w:rPr>
        <w:t>Esta Comisión Dictaminadora de la Comisión de Asuntos Municipales de la Sexagésima Quinta Legislatura por lo expuesto y fundado, respetuosamente solicitamos a esta Asamblea se apruebe el siguiente punto:</w:t>
      </w:r>
    </w:p>
    <w:p w14:paraId="677ECDD1" w14:textId="77777777" w:rsidR="00A647AC" w:rsidRPr="007C2763" w:rsidRDefault="00A647AC" w:rsidP="00A647AC">
      <w:pPr>
        <w:autoSpaceDE w:val="0"/>
        <w:autoSpaceDN w:val="0"/>
        <w:adjustRightInd w:val="0"/>
        <w:jc w:val="both"/>
        <w:rPr>
          <w:rFonts w:ascii="Abadi" w:hAnsi="Abadi" w:cs="ArialMT"/>
          <w:sz w:val="21"/>
          <w:szCs w:val="21"/>
        </w:rPr>
      </w:pPr>
    </w:p>
    <w:p w14:paraId="06AAAE22" w14:textId="77777777" w:rsidR="00A647AC" w:rsidRPr="007C2763" w:rsidRDefault="00A647AC" w:rsidP="006D5400">
      <w:pPr>
        <w:autoSpaceDE w:val="0"/>
        <w:autoSpaceDN w:val="0"/>
        <w:adjustRightInd w:val="0"/>
        <w:jc w:val="center"/>
        <w:rPr>
          <w:rFonts w:ascii="Abadi" w:hAnsi="Abadi" w:cs="ArialMT"/>
          <w:b/>
          <w:bCs/>
          <w:sz w:val="21"/>
          <w:szCs w:val="21"/>
        </w:rPr>
      </w:pPr>
      <w:r w:rsidRPr="007C2763">
        <w:rPr>
          <w:rFonts w:ascii="Abadi" w:hAnsi="Abadi" w:cs="ArialMT"/>
          <w:b/>
          <w:bCs/>
          <w:sz w:val="21"/>
          <w:szCs w:val="21"/>
        </w:rPr>
        <w:t>ACUERDO</w:t>
      </w:r>
    </w:p>
    <w:p w14:paraId="6CFB0E18" w14:textId="77777777" w:rsidR="006D5400" w:rsidRPr="007C2763" w:rsidRDefault="006D5400" w:rsidP="00A647AC">
      <w:pPr>
        <w:autoSpaceDE w:val="0"/>
        <w:autoSpaceDN w:val="0"/>
        <w:adjustRightInd w:val="0"/>
        <w:jc w:val="both"/>
        <w:rPr>
          <w:rFonts w:ascii="Abadi" w:hAnsi="Abadi" w:cs="ArialMT"/>
          <w:sz w:val="21"/>
          <w:szCs w:val="21"/>
        </w:rPr>
      </w:pPr>
    </w:p>
    <w:p w14:paraId="5CE714B5" w14:textId="3CD5B12E" w:rsidR="00A647AC" w:rsidRPr="007C2763" w:rsidRDefault="00A647AC" w:rsidP="006D5400">
      <w:pPr>
        <w:autoSpaceDE w:val="0"/>
        <w:autoSpaceDN w:val="0"/>
        <w:adjustRightInd w:val="0"/>
        <w:ind w:firstLine="708"/>
        <w:jc w:val="both"/>
        <w:rPr>
          <w:rFonts w:ascii="Abadi" w:hAnsi="Abadi" w:cs="ArialMT"/>
          <w:sz w:val="21"/>
          <w:szCs w:val="21"/>
        </w:rPr>
      </w:pPr>
      <w:r w:rsidRPr="007C2763">
        <w:rPr>
          <w:rFonts w:ascii="Abadi" w:hAnsi="Abadi" w:cs="ArialMT"/>
          <w:sz w:val="21"/>
          <w:szCs w:val="21"/>
        </w:rPr>
        <w:t>Único. Se ordena el archivo definitivo de la propuesta de punto de acuerdo por el que se hace un respetuoso exhorto al Presidente Municipal de Celaya, Guanajuato para que en el ámbito de sus facultades y alcances competenciales, atienda a la brevedad el planteamiento de los comerciantes del Mercado Agropecuario del Siglo XXI.</w:t>
      </w:r>
    </w:p>
    <w:p w14:paraId="28125319" w14:textId="77777777" w:rsidR="00A647AC" w:rsidRPr="007C2763" w:rsidRDefault="00A647AC" w:rsidP="00A647AC">
      <w:pPr>
        <w:autoSpaceDE w:val="0"/>
        <w:autoSpaceDN w:val="0"/>
        <w:adjustRightInd w:val="0"/>
        <w:jc w:val="both"/>
        <w:rPr>
          <w:rFonts w:ascii="Abadi" w:hAnsi="Abadi" w:cs="ArialMT"/>
          <w:sz w:val="21"/>
          <w:szCs w:val="21"/>
        </w:rPr>
      </w:pPr>
    </w:p>
    <w:p w14:paraId="620ABCC6" w14:textId="77777777" w:rsidR="00A647AC" w:rsidRPr="007C2763" w:rsidRDefault="00A647AC" w:rsidP="00A647AC">
      <w:pPr>
        <w:autoSpaceDE w:val="0"/>
        <w:autoSpaceDN w:val="0"/>
        <w:adjustRightInd w:val="0"/>
        <w:jc w:val="both"/>
        <w:rPr>
          <w:rFonts w:ascii="Abadi" w:hAnsi="Abadi" w:cs="ArialMT"/>
          <w:sz w:val="21"/>
          <w:szCs w:val="21"/>
        </w:rPr>
      </w:pPr>
    </w:p>
    <w:p w14:paraId="50F8D7D6" w14:textId="7658AD7F" w:rsidR="00A647AC" w:rsidRPr="007C2763" w:rsidRDefault="00A647AC" w:rsidP="006D5400">
      <w:pPr>
        <w:autoSpaceDE w:val="0"/>
        <w:autoSpaceDN w:val="0"/>
        <w:adjustRightInd w:val="0"/>
        <w:jc w:val="center"/>
        <w:rPr>
          <w:rFonts w:ascii="Abadi" w:hAnsi="Abadi" w:cs="ArialMT"/>
          <w:b/>
          <w:bCs/>
          <w:sz w:val="21"/>
          <w:szCs w:val="21"/>
        </w:rPr>
      </w:pPr>
      <w:r w:rsidRPr="007C2763">
        <w:rPr>
          <w:rFonts w:ascii="Abadi" w:hAnsi="Abadi" w:cs="ArialMT"/>
          <w:b/>
          <w:bCs/>
          <w:sz w:val="21"/>
          <w:szCs w:val="21"/>
        </w:rPr>
        <w:t xml:space="preserve">Guanajuato, </w:t>
      </w:r>
      <w:proofErr w:type="spellStart"/>
      <w:r w:rsidRPr="007C2763">
        <w:rPr>
          <w:rFonts w:ascii="Abadi" w:hAnsi="Abadi" w:cs="ArialMT"/>
          <w:b/>
          <w:bCs/>
          <w:sz w:val="21"/>
          <w:szCs w:val="21"/>
        </w:rPr>
        <w:t>Gto</w:t>
      </w:r>
      <w:proofErr w:type="spellEnd"/>
      <w:r w:rsidRPr="007C2763">
        <w:rPr>
          <w:rFonts w:ascii="Abadi" w:hAnsi="Abadi" w:cs="ArialMT"/>
          <w:b/>
          <w:bCs/>
          <w:sz w:val="21"/>
          <w:szCs w:val="21"/>
        </w:rPr>
        <w:t>., a 12 de mayo de 2022</w:t>
      </w:r>
    </w:p>
    <w:p w14:paraId="4304C7DD" w14:textId="77777777" w:rsidR="006D5400" w:rsidRPr="007C2763" w:rsidRDefault="006D5400" w:rsidP="006D5400">
      <w:pPr>
        <w:autoSpaceDE w:val="0"/>
        <w:autoSpaceDN w:val="0"/>
        <w:adjustRightInd w:val="0"/>
        <w:jc w:val="center"/>
        <w:rPr>
          <w:rFonts w:ascii="Abadi" w:hAnsi="Abadi" w:cs="ArialMT"/>
          <w:b/>
          <w:bCs/>
          <w:sz w:val="21"/>
          <w:szCs w:val="21"/>
        </w:rPr>
      </w:pPr>
    </w:p>
    <w:p w14:paraId="757D19C3" w14:textId="77777777" w:rsidR="00A647AC" w:rsidRPr="007C2763" w:rsidRDefault="00A647AC" w:rsidP="006D5400">
      <w:pPr>
        <w:autoSpaceDE w:val="0"/>
        <w:autoSpaceDN w:val="0"/>
        <w:adjustRightInd w:val="0"/>
        <w:jc w:val="center"/>
        <w:rPr>
          <w:rFonts w:ascii="Abadi" w:hAnsi="Abadi" w:cs="ArialMT"/>
          <w:b/>
          <w:bCs/>
          <w:sz w:val="21"/>
          <w:szCs w:val="21"/>
        </w:rPr>
      </w:pPr>
      <w:r w:rsidRPr="007C2763">
        <w:rPr>
          <w:rFonts w:ascii="Abadi" w:hAnsi="Abadi" w:cs="ArialMT"/>
          <w:b/>
          <w:bCs/>
          <w:sz w:val="21"/>
          <w:szCs w:val="21"/>
        </w:rPr>
        <w:t>La Comisión de Asuntos Municipales</w:t>
      </w:r>
    </w:p>
    <w:p w14:paraId="5B5232B1" w14:textId="77777777" w:rsidR="00A647AC" w:rsidRPr="007C2763" w:rsidRDefault="00A647AC" w:rsidP="00A647AC">
      <w:pPr>
        <w:autoSpaceDE w:val="0"/>
        <w:autoSpaceDN w:val="0"/>
        <w:adjustRightInd w:val="0"/>
        <w:jc w:val="both"/>
        <w:rPr>
          <w:rFonts w:ascii="Abadi" w:hAnsi="Abadi" w:cs="ArialMT"/>
          <w:sz w:val="21"/>
          <w:szCs w:val="21"/>
        </w:rPr>
      </w:pPr>
    </w:p>
    <w:p w14:paraId="6C6DF23A" w14:textId="77777777" w:rsidR="006D5400" w:rsidRPr="007C2763" w:rsidRDefault="006D5400" w:rsidP="00A647AC">
      <w:pPr>
        <w:autoSpaceDE w:val="0"/>
        <w:autoSpaceDN w:val="0"/>
        <w:adjustRightInd w:val="0"/>
        <w:jc w:val="both"/>
        <w:rPr>
          <w:rFonts w:ascii="Abadi" w:hAnsi="Abadi" w:cs="ArialMT"/>
          <w:sz w:val="21"/>
          <w:szCs w:val="21"/>
        </w:rPr>
      </w:pPr>
    </w:p>
    <w:p w14:paraId="7B6F9D05" w14:textId="5E109325" w:rsidR="00A647AC" w:rsidRDefault="00A647AC" w:rsidP="00A647AC">
      <w:pPr>
        <w:autoSpaceDE w:val="0"/>
        <w:autoSpaceDN w:val="0"/>
        <w:adjustRightInd w:val="0"/>
        <w:jc w:val="both"/>
        <w:rPr>
          <w:rFonts w:ascii="Abadi" w:hAnsi="Abadi" w:cs="ArialMT"/>
          <w:i/>
          <w:iCs/>
          <w:sz w:val="21"/>
          <w:szCs w:val="21"/>
        </w:rPr>
      </w:pPr>
      <w:r w:rsidRPr="007C2763">
        <w:rPr>
          <w:rFonts w:ascii="Abadi" w:hAnsi="Abadi" w:cs="ArialMT"/>
          <w:i/>
          <w:iCs/>
          <w:sz w:val="21"/>
          <w:szCs w:val="21"/>
        </w:rPr>
        <w:t>Firma electrónica</w:t>
      </w:r>
    </w:p>
    <w:p w14:paraId="3CE9ED07" w14:textId="7536EAC6" w:rsidR="005E008A" w:rsidRDefault="005E008A" w:rsidP="00A647AC">
      <w:pPr>
        <w:autoSpaceDE w:val="0"/>
        <w:autoSpaceDN w:val="0"/>
        <w:adjustRightInd w:val="0"/>
        <w:jc w:val="both"/>
        <w:rPr>
          <w:rFonts w:ascii="Abadi" w:hAnsi="Abadi" w:cs="ArialMT"/>
          <w:i/>
          <w:iCs/>
          <w:sz w:val="21"/>
          <w:szCs w:val="21"/>
        </w:rPr>
      </w:pPr>
    </w:p>
    <w:p w14:paraId="56D9A7D6" w14:textId="76B2A9C5" w:rsidR="005E008A" w:rsidRPr="008D0373" w:rsidRDefault="005E008A" w:rsidP="00A647AC">
      <w:pPr>
        <w:autoSpaceDE w:val="0"/>
        <w:autoSpaceDN w:val="0"/>
        <w:adjustRightInd w:val="0"/>
        <w:jc w:val="both"/>
        <w:rPr>
          <w:rFonts w:ascii="Abadi" w:hAnsi="Abadi" w:cs="ArialMT"/>
          <w:b/>
          <w:bCs/>
          <w:sz w:val="21"/>
          <w:szCs w:val="21"/>
        </w:rPr>
      </w:pPr>
      <w:r w:rsidRPr="008D0373">
        <w:rPr>
          <w:rFonts w:ascii="Abadi" w:hAnsi="Abadi" w:cs="ArialMT"/>
          <w:b/>
          <w:bCs/>
          <w:sz w:val="21"/>
          <w:szCs w:val="21"/>
        </w:rPr>
        <w:t>Bricio Balderas Álvarez</w:t>
      </w:r>
    </w:p>
    <w:p w14:paraId="2BE96BD2" w14:textId="1EEB6010" w:rsidR="005E008A" w:rsidRPr="005E008A" w:rsidRDefault="005E008A" w:rsidP="00A647AC">
      <w:pPr>
        <w:autoSpaceDE w:val="0"/>
        <w:autoSpaceDN w:val="0"/>
        <w:adjustRightInd w:val="0"/>
        <w:jc w:val="both"/>
        <w:rPr>
          <w:rFonts w:ascii="Abadi" w:hAnsi="Abadi" w:cs="ArialMT"/>
          <w:b/>
          <w:bCs/>
          <w:sz w:val="21"/>
          <w:szCs w:val="21"/>
        </w:rPr>
      </w:pPr>
      <w:r w:rsidRPr="005E008A">
        <w:rPr>
          <w:rFonts w:ascii="Abadi" w:hAnsi="Abadi" w:cs="ArialMT"/>
          <w:b/>
          <w:bCs/>
          <w:sz w:val="21"/>
          <w:szCs w:val="21"/>
        </w:rPr>
        <w:t>Diputado presidente</w:t>
      </w:r>
    </w:p>
    <w:p w14:paraId="46D101D4" w14:textId="5B400ECF" w:rsidR="005E008A" w:rsidRPr="005E008A" w:rsidRDefault="005E008A" w:rsidP="00A647AC">
      <w:pPr>
        <w:autoSpaceDE w:val="0"/>
        <w:autoSpaceDN w:val="0"/>
        <w:adjustRightInd w:val="0"/>
        <w:jc w:val="both"/>
        <w:rPr>
          <w:rFonts w:ascii="Abadi" w:hAnsi="Abadi" w:cs="ArialMT"/>
          <w:b/>
          <w:bCs/>
          <w:sz w:val="21"/>
          <w:szCs w:val="21"/>
        </w:rPr>
      </w:pPr>
    </w:p>
    <w:p w14:paraId="43851183" w14:textId="1B721253" w:rsidR="005E008A" w:rsidRPr="005E008A" w:rsidRDefault="005E008A" w:rsidP="00A647AC">
      <w:pPr>
        <w:autoSpaceDE w:val="0"/>
        <w:autoSpaceDN w:val="0"/>
        <w:adjustRightInd w:val="0"/>
        <w:jc w:val="both"/>
        <w:rPr>
          <w:rFonts w:ascii="Abadi" w:hAnsi="Abadi" w:cs="ArialMT"/>
          <w:b/>
          <w:bCs/>
          <w:sz w:val="21"/>
          <w:szCs w:val="21"/>
        </w:rPr>
      </w:pPr>
      <w:r w:rsidRPr="005E008A">
        <w:rPr>
          <w:rFonts w:ascii="Abadi" w:hAnsi="Abadi" w:cs="ArialMT"/>
          <w:b/>
          <w:bCs/>
          <w:sz w:val="21"/>
          <w:szCs w:val="21"/>
        </w:rPr>
        <w:t xml:space="preserve">Armando Rangel Hernández </w:t>
      </w:r>
    </w:p>
    <w:p w14:paraId="0235C89B" w14:textId="63C3BA55" w:rsidR="005E008A" w:rsidRPr="005E008A" w:rsidRDefault="005E008A" w:rsidP="00A647AC">
      <w:pPr>
        <w:autoSpaceDE w:val="0"/>
        <w:autoSpaceDN w:val="0"/>
        <w:adjustRightInd w:val="0"/>
        <w:jc w:val="both"/>
        <w:rPr>
          <w:rFonts w:ascii="Abadi" w:hAnsi="Abadi" w:cs="ArialMT"/>
          <w:b/>
          <w:bCs/>
          <w:sz w:val="21"/>
          <w:szCs w:val="21"/>
        </w:rPr>
      </w:pPr>
      <w:r w:rsidRPr="005E008A">
        <w:rPr>
          <w:rFonts w:ascii="Abadi" w:hAnsi="Abadi" w:cs="ArialMT"/>
          <w:b/>
          <w:bCs/>
          <w:sz w:val="21"/>
          <w:szCs w:val="21"/>
        </w:rPr>
        <w:t>Diputado vocal</w:t>
      </w:r>
    </w:p>
    <w:p w14:paraId="66D04AA9" w14:textId="77777777" w:rsidR="005E008A" w:rsidRPr="005E008A" w:rsidRDefault="005E008A" w:rsidP="00A647AC">
      <w:pPr>
        <w:autoSpaceDE w:val="0"/>
        <w:autoSpaceDN w:val="0"/>
        <w:adjustRightInd w:val="0"/>
        <w:jc w:val="both"/>
        <w:rPr>
          <w:rFonts w:ascii="Abadi" w:hAnsi="Abadi" w:cs="ArialMT"/>
          <w:b/>
          <w:bCs/>
          <w:sz w:val="21"/>
          <w:szCs w:val="21"/>
        </w:rPr>
      </w:pPr>
    </w:p>
    <w:p w14:paraId="503D0C4E" w14:textId="5B28BE65" w:rsidR="005E008A" w:rsidRPr="005E008A" w:rsidRDefault="005E008A" w:rsidP="00A647AC">
      <w:pPr>
        <w:autoSpaceDE w:val="0"/>
        <w:autoSpaceDN w:val="0"/>
        <w:adjustRightInd w:val="0"/>
        <w:jc w:val="both"/>
        <w:rPr>
          <w:rFonts w:ascii="Abadi" w:hAnsi="Abadi" w:cs="ArialMT"/>
          <w:b/>
          <w:bCs/>
          <w:sz w:val="21"/>
          <w:szCs w:val="21"/>
        </w:rPr>
      </w:pPr>
      <w:r w:rsidRPr="005E008A">
        <w:rPr>
          <w:rFonts w:ascii="Abadi" w:hAnsi="Abadi" w:cs="ArialMT"/>
          <w:b/>
          <w:bCs/>
          <w:sz w:val="21"/>
          <w:szCs w:val="21"/>
        </w:rPr>
        <w:t>Jorge Ortiz Ortega</w:t>
      </w:r>
    </w:p>
    <w:p w14:paraId="451D06CD" w14:textId="5FCD11EE" w:rsidR="005E008A" w:rsidRPr="005E008A" w:rsidRDefault="005E008A" w:rsidP="00A647AC">
      <w:pPr>
        <w:autoSpaceDE w:val="0"/>
        <w:autoSpaceDN w:val="0"/>
        <w:adjustRightInd w:val="0"/>
        <w:jc w:val="both"/>
        <w:rPr>
          <w:rFonts w:ascii="Abadi" w:hAnsi="Abadi" w:cs="ArialMT"/>
          <w:b/>
          <w:bCs/>
          <w:sz w:val="21"/>
          <w:szCs w:val="21"/>
        </w:rPr>
      </w:pPr>
      <w:r w:rsidRPr="005E008A">
        <w:rPr>
          <w:rFonts w:ascii="Abadi" w:hAnsi="Abadi" w:cs="ArialMT"/>
          <w:b/>
          <w:bCs/>
          <w:sz w:val="21"/>
          <w:szCs w:val="21"/>
        </w:rPr>
        <w:t>Diputado vocal</w:t>
      </w:r>
    </w:p>
    <w:p w14:paraId="4D4EB168" w14:textId="77777777" w:rsidR="005E008A" w:rsidRPr="005E008A" w:rsidRDefault="005E008A" w:rsidP="00A647AC">
      <w:pPr>
        <w:autoSpaceDE w:val="0"/>
        <w:autoSpaceDN w:val="0"/>
        <w:adjustRightInd w:val="0"/>
        <w:jc w:val="both"/>
        <w:rPr>
          <w:rFonts w:ascii="Abadi" w:hAnsi="Abadi" w:cs="ArialMT"/>
          <w:b/>
          <w:bCs/>
          <w:sz w:val="21"/>
          <w:szCs w:val="21"/>
        </w:rPr>
      </w:pPr>
    </w:p>
    <w:p w14:paraId="5935BDD0" w14:textId="72C1CBB5" w:rsidR="005E008A" w:rsidRPr="005E008A" w:rsidRDefault="005E008A" w:rsidP="00A647AC">
      <w:pPr>
        <w:autoSpaceDE w:val="0"/>
        <w:autoSpaceDN w:val="0"/>
        <w:adjustRightInd w:val="0"/>
        <w:jc w:val="both"/>
        <w:rPr>
          <w:rFonts w:ascii="Abadi" w:hAnsi="Abadi" w:cs="ArialMT"/>
          <w:b/>
          <w:bCs/>
          <w:sz w:val="21"/>
          <w:szCs w:val="21"/>
        </w:rPr>
      </w:pPr>
      <w:r w:rsidRPr="005E008A">
        <w:rPr>
          <w:rFonts w:ascii="Abadi" w:hAnsi="Abadi" w:cs="ArialMT"/>
          <w:b/>
          <w:bCs/>
          <w:sz w:val="21"/>
          <w:szCs w:val="21"/>
        </w:rPr>
        <w:t>Ernesto Millán Soberanes</w:t>
      </w:r>
    </w:p>
    <w:p w14:paraId="0FB0D020" w14:textId="1B1419C3" w:rsidR="005E008A" w:rsidRPr="005E008A" w:rsidRDefault="005E008A" w:rsidP="00A647AC">
      <w:pPr>
        <w:autoSpaceDE w:val="0"/>
        <w:autoSpaceDN w:val="0"/>
        <w:adjustRightInd w:val="0"/>
        <w:jc w:val="both"/>
        <w:rPr>
          <w:rFonts w:ascii="Abadi" w:hAnsi="Abadi" w:cs="ArialMT"/>
          <w:b/>
          <w:bCs/>
          <w:sz w:val="21"/>
          <w:szCs w:val="21"/>
        </w:rPr>
      </w:pPr>
      <w:r w:rsidRPr="005E008A">
        <w:rPr>
          <w:rFonts w:ascii="Abadi" w:hAnsi="Abadi" w:cs="ArialMT"/>
          <w:b/>
          <w:bCs/>
          <w:sz w:val="21"/>
          <w:szCs w:val="21"/>
        </w:rPr>
        <w:t>Diputado vocal</w:t>
      </w:r>
    </w:p>
    <w:p w14:paraId="6D2D1A1D" w14:textId="764FC74A" w:rsidR="005E008A" w:rsidRPr="005E008A" w:rsidRDefault="005E008A" w:rsidP="00A647AC">
      <w:pPr>
        <w:autoSpaceDE w:val="0"/>
        <w:autoSpaceDN w:val="0"/>
        <w:adjustRightInd w:val="0"/>
        <w:jc w:val="both"/>
        <w:rPr>
          <w:rFonts w:ascii="Abadi" w:hAnsi="Abadi" w:cs="ArialMT"/>
          <w:b/>
          <w:bCs/>
          <w:sz w:val="21"/>
          <w:szCs w:val="21"/>
        </w:rPr>
      </w:pPr>
    </w:p>
    <w:p w14:paraId="6D9D4C5A" w14:textId="72F782EE" w:rsidR="005E008A" w:rsidRPr="005E008A" w:rsidRDefault="005E008A" w:rsidP="00A647AC">
      <w:pPr>
        <w:autoSpaceDE w:val="0"/>
        <w:autoSpaceDN w:val="0"/>
        <w:adjustRightInd w:val="0"/>
        <w:jc w:val="both"/>
        <w:rPr>
          <w:rFonts w:ascii="Abadi" w:hAnsi="Abadi" w:cs="ArialMT"/>
          <w:b/>
          <w:bCs/>
          <w:sz w:val="21"/>
          <w:szCs w:val="21"/>
        </w:rPr>
      </w:pPr>
      <w:r w:rsidRPr="005E008A">
        <w:rPr>
          <w:rFonts w:ascii="Abadi" w:hAnsi="Abadi" w:cs="ArialMT"/>
          <w:b/>
          <w:bCs/>
          <w:sz w:val="21"/>
          <w:szCs w:val="21"/>
        </w:rPr>
        <w:t>Ruth Noemí Tiscareño Agoitia</w:t>
      </w:r>
    </w:p>
    <w:p w14:paraId="1C66E437" w14:textId="19E1637E" w:rsidR="005E008A" w:rsidRPr="005E008A" w:rsidRDefault="005E008A" w:rsidP="00A647AC">
      <w:pPr>
        <w:autoSpaceDE w:val="0"/>
        <w:autoSpaceDN w:val="0"/>
        <w:adjustRightInd w:val="0"/>
        <w:jc w:val="both"/>
        <w:rPr>
          <w:rFonts w:ascii="Abadi" w:hAnsi="Abadi" w:cs="ArialMT"/>
          <w:b/>
          <w:bCs/>
          <w:sz w:val="21"/>
          <w:szCs w:val="21"/>
        </w:rPr>
      </w:pPr>
      <w:r w:rsidRPr="005E008A">
        <w:rPr>
          <w:rFonts w:ascii="Abadi" w:hAnsi="Abadi" w:cs="ArialMT"/>
          <w:b/>
          <w:bCs/>
          <w:sz w:val="21"/>
          <w:szCs w:val="21"/>
        </w:rPr>
        <w:t>Diputada secretaria</w:t>
      </w:r>
    </w:p>
    <w:p w14:paraId="4A886E56" w14:textId="6EFDB88C" w:rsidR="005E008A" w:rsidRPr="005E008A" w:rsidRDefault="005E008A" w:rsidP="00A647AC">
      <w:pPr>
        <w:autoSpaceDE w:val="0"/>
        <w:autoSpaceDN w:val="0"/>
        <w:adjustRightInd w:val="0"/>
        <w:jc w:val="both"/>
        <w:rPr>
          <w:rFonts w:ascii="Abadi" w:hAnsi="Abadi" w:cs="ArialMT"/>
          <w:b/>
          <w:bCs/>
          <w:sz w:val="21"/>
          <w:szCs w:val="21"/>
        </w:rPr>
      </w:pPr>
    </w:p>
    <w:p w14:paraId="5B526D20" w14:textId="05F94B1D" w:rsidR="00AA4F71" w:rsidRDefault="00AA4F71" w:rsidP="00AA4F71">
      <w:pPr>
        <w:pStyle w:val="NormalWeb"/>
        <w:ind w:firstLine="708"/>
        <w:jc w:val="both"/>
        <w:rPr>
          <w:rFonts w:ascii="Abadi" w:hAnsi="Abadi"/>
          <w:sz w:val="21"/>
          <w:szCs w:val="21"/>
        </w:rPr>
      </w:pPr>
      <w:r>
        <w:rPr>
          <w:rFonts w:ascii="Abadi" w:hAnsi="Abadi"/>
          <w:b/>
          <w:bCs/>
          <w:sz w:val="21"/>
          <w:szCs w:val="21"/>
        </w:rPr>
        <w:t xml:space="preserve">- </w:t>
      </w:r>
      <w:r w:rsidRPr="0017724F">
        <w:rPr>
          <w:rFonts w:ascii="Abadi" w:hAnsi="Abadi"/>
          <w:b/>
          <w:bCs/>
          <w:sz w:val="21"/>
          <w:szCs w:val="21"/>
        </w:rPr>
        <w:t xml:space="preserve">La </w:t>
      </w:r>
      <w:proofErr w:type="gramStart"/>
      <w:r w:rsidRPr="0017724F">
        <w:rPr>
          <w:rFonts w:ascii="Abadi" w:hAnsi="Abadi"/>
          <w:b/>
          <w:bCs/>
          <w:sz w:val="21"/>
          <w:szCs w:val="21"/>
        </w:rPr>
        <w:t>Presidencia.-</w:t>
      </w:r>
      <w:proofErr w:type="gramEnd"/>
      <w:r>
        <w:rPr>
          <w:rFonts w:ascii="Abadi" w:hAnsi="Abadi"/>
          <w:sz w:val="21"/>
          <w:szCs w:val="21"/>
        </w:rPr>
        <w:t xml:space="preserve"> P</w:t>
      </w:r>
      <w:r w:rsidRPr="0021199F">
        <w:rPr>
          <w:rFonts w:ascii="Abadi" w:hAnsi="Abadi"/>
          <w:sz w:val="21"/>
          <w:szCs w:val="21"/>
        </w:rPr>
        <w:t>rocede someter a discusión el dictamen suscrito por la Comisión de Asuntos Municipales</w:t>
      </w:r>
      <w:r>
        <w:rPr>
          <w:rFonts w:ascii="Abadi" w:hAnsi="Abadi"/>
          <w:sz w:val="21"/>
          <w:szCs w:val="21"/>
        </w:rPr>
        <w:t>,</w:t>
      </w:r>
      <w:r w:rsidRPr="0021199F">
        <w:rPr>
          <w:rFonts w:ascii="Abadi" w:hAnsi="Abadi"/>
          <w:sz w:val="21"/>
          <w:szCs w:val="21"/>
        </w:rPr>
        <w:t xml:space="preserve"> relativo </w:t>
      </w:r>
      <w:r>
        <w:rPr>
          <w:rFonts w:ascii="Abadi" w:hAnsi="Abadi"/>
          <w:sz w:val="21"/>
          <w:szCs w:val="21"/>
        </w:rPr>
        <w:t xml:space="preserve">a </w:t>
      </w:r>
      <w:r w:rsidRPr="0021199F">
        <w:rPr>
          <w:rFonts w:ascii="Abadi" w:hAnsi="Abadi"/>
          <w:sz w:val="21"/>
          <w:szCs w:val="21"/>
        </w:rPr>
        <w:t xml:space="preserve">la propuesta de punto de acuerdo formulada por la diputada  </w:t>
      </w:r>
      <w:r>
        <w:rPr>
          <w:rFonts w:ascii="Abadi" w:hAnsi="Abadi"/>
          <w:sz w:val="21"/>
          <w:szCs w:val="21"/>
        </w:rPr>
        <w:t xml:space="preserve">Hades Berenice </w:t>
      </w:r>
      <w:r w:rsidRPr="0021199F">
        <w:rPr>
          <w:rFonts w:ascii="Abadi" w:hAnsi="Abadi"/>
          <w:sz w:val="21"/>
          <w:szCs w:val="21"/>
        </w:rPr>
        <w:t xml:space="preserve">Aguilar Castillo, integrante del </w:t>
      </w:r>
      <w:r>
        <w:rPr>
          <w:rFonts w:ascii="Abadi" w:hAnsi="Abadi"/>
          <w:sz w:val="21"/>
          <w:szCs w:val="21"/>
        </w:rPr>
        <w:t>G</w:t>
      </w:r>
      <w:r w:rsidRPr="0021199F">
        <w:rPr>
          <w:rFonts w:ascii="Abadi" w:hAnsi="Abadi"/>
          <w:sz w:val="21"/>
          <w:szCs w:val="21"/>
        </w:rPr>
        <w:t xml:space="preserve">rupo </w:t>
      </w:r>
      <w:r>
        <w:rPr>
          <w:rFonts w:ascii="Abadi" w:hAnsi="Abadi"/>
          <w:sz w:val="21"/>
          <w:szCs w:val="21"/>
        </w:rPr>
        <w:t>P</w:t>
      </w:r>
      <w:r w:rsidRPr="0021199F">
        <w:rPr>
          <w:rFonts w:ascii="Abadi" w:hAnsi="Abadi"/>
          <w:sz w:val="21"/>
          <w:szCs w:val="21"/>
        </w:rPr>
        <w:t xml:space="preserve">arlamentario del Partido Morena, por el cual se exhorta al </w:t>
      </w:r>
      <w:r>
        <w:rPr>
          <w:rFonts w:ascii="Abadi" w:hAnsi="Abadi"/>
          <w:sz w:val="21"/>
          <w:szCs w:val="21"/>
        </w:rPr>
        <w:t>P</w:t>
      </w:r>
      <w:r w:rsidRPr="0021199F">
        <w:rPr>
          <w:rFonts w:ascii="Abadi" w:hAnsi="Abadi"/>
          <w:sz w:val="21"/>
          <w:szCs w:val="21"/>
        </w:rPr>
        <w:t xml:space="preserve">residente </w:t>
      </w:r>
      <w:r>
        <w:rPr>
          <w:rFonts w:ascii="Abadi" w:hAnsi="Abadi"/>
          <w:sz w:val="21"/>
          <w:szCs w:val="21"/>
        </w:rPr>
        <w:t>M</w:t>
      </w:r>
      <w:r w:rsidRPr="0021199F">
        <w:rPr>
          <w:rFonts w:ascii="Abadi" w:hAnsi="Abadi"/>
          <w:sz w:val="21"/>
          <w:szCs w:val="21"/>
        </w:rPr>
        <w:t>unicipal de Celaya, Guanajuato, para que atiend</w:t>
      </w:r>
      <w:r>
        <w:rPr>
          <w:rFonts w:ascii="Abadi" w:hAnsi="Abadi"/>
          <w:sz w:val="21"/>
          <w:szCs w:val="21"/>
        </w:rPr>
        <w:t>a</w:t>
      </w:r>
      <w:r w:rsidRPr="0021199F">
        <w:rPr>
          <w:rFonts w:ascii="Abadi" w:hAnsi="Abadi"/>
          <w:sz w:val="21"/>
          <w:szCs w:val="21"/>
        </w:rPr>
        <w:t xml:space="preserve"> el caso de los comerciantes del mercado agropecuario Siglo </w:t>
      </w:r>
      <w:r>
        <w:rPr>
          <w:rFonts w:ascii="Abadi" w:hAnsi="Abadi"/>
          <w:sz w:val="21"/>
          <w:szCs w:val="21"/>
        </w:rPr>
        <w:t>XXI.</w:t>
      </w:r>
    </w:p>
    <w:p w14:paraId="043153D3" w14:textId="43F3878A" w:rsidR="00AA4F71" w:rsidRDefault="00AA4F71" w:rsidP="00701E57">
      <w:pPr>
        <w:pStyle w:val="NormalWeb"/>
        <w:ind w:firstLine="708"/>
        <w:jc w:val="both"/>
        <w:rPr>
          <w:rFonts w:ascii="Abadi" w:hAnsi="Abadi"/>
          <w:sz w:val="21"/>
          <w:szCs w:val="21"/>
        </w:rPr>
      </w:pPr>
      <w:r>
        <w:rPr>
          <w:rFonts w:ascii="Abadi" w:hAnsi="Abadi"/>
          <w:sz w:val="21"/>
          <w:szCs w:val="21"/>
        </w:rPr>
        <w:t xml:space="preserve">- </w:t>
      </w:r>
      <w:r>
        <w:rPr>
          <w:rFonts w:ascii="Abadi" w:hAnsi="Abadi"/>
          <w:sz w:val="21"/>
          <w:szCs w:val="21"/>
        </w:rPr>
        <w:tab/>
      </w:r>
      <w:r w:rsidRPr="0021199F">
        <w:rPr>
          <w:rFonts w:ascii="Abadi" w:hAnsi="Abadi"/>
          <w:sz w:val="21"/>
          <w:szCs w:val="21"/>
        </w:rPr>
        <w:t>Si alguna diputada o algún diputado de</w:t>
      </w:r>
      <w:r>
        <w:rPr>
          <w:rFonts w:ascii="Abadi" w:hAnsi="Abadi"/>
          <w:sz w:val="21"/>
          <w:szCs w:val="21"/>
        </w:rPr>
        <w:t>sea</w:t>
      </w:r>
      <w:r w:rsidRPr="0021199F">
        <w:rPr>
          <w:rFonts w:ascii="Abadi" w:hAnsi="Abadi"/>
          <w:sz w:val="21"/>
          <w:szCs w:val="21"/>
        </w:rPr>
        <w:t xml:space="preserve"> hacer uso de la palabra en pro o en contra, manifiésten</w:t>
      </w:r>
      <w:r>
        <w:rPr>
          <w:rFonts w:ascii="Abadi" w:hAnsi="Abadi"/>
          <w:sz w:val="21"/>
          <w:szCs w:val="21"/>
        </w:rPr>
        <w:t>lo</w:t>
      </w:r>
      <w:r w:rsidRPr="0021199F">
        <w:rPr>
          <w:rFonts w:ascii="Abadi" w:hAnsi="Abadi"/>
          <w:sz w:val="21"/>
          <w:szCs w:val="21"/>
        </w:rPr>
        <w:t xml:space="preserve"> indicando el sentido de su participación</w:t>
      </w:r>
    </w:p>
    <w:p w14:paraId="7369680B" w14:textId="694679DC" w:rsidR="00AA4F71" w:rsidRDefault="00AA4F71" w:rsidP="00AA4F71">
      <w:pPr>
        <w:pStyle w:val="NormalWeb"/>
        <w:ind w:firstLine="708"/>
        <w:jc w:val="both"/>
        <w:rPr>
          <w:rFonts w:ascii="Abadi" w:hAnsi="Abadi"/>
          <w:sz w:val="21"/>
          <w:szCs w:val="21"/>
        </w:rPr>
      </w:pPr>
      <w:r>
        <w:rPr>
          <w:rFonts w:ascii="Abadi" w:hAnsi="Abadi"/>
          <w:sz w:val="21"/>
          <w:szCs w:val="21"/>
        </w:rPr>
        <w:t>- E</w:t>
      </w:r>
      <w:r w:rsidRPr="0021199F">
        <w:rPr>
          <w:rFonts w:ascii="Abadi" w:hAnsi="Abadi"/>
          <w:sz w:val="21"/>
          <w:szCs w:val="21"/>
        </w:rPr>
        <w:t>n vi</w:t>
      </w:r>
      <w:r>
        <w:rPr>
          <w:rFonts w:ascii="Abadi" w:hAnsi="Abadi"/>
          <w:sz w:val="21"/>
          <w:szCs w:val="21"/>
        </w:rPr>
        <w:t>r</w:t>
      </w:r>
      <w:r w:rsidRPr="0021199F">
        <w:rPr>
          <w:rFonts w:ascii="Abadi" w:hAnsi="Abadi"/>
          <w:sz w:val="21"/>
          <w:szCs w:val="21"/>
        </w:rPr>
        <w:t>t</w:t>
      </w:r>
      <w:r>
        <w:rPr>
          <w:rFonts w:ascii="Abadi" w:hAnsi="Abadi"/>
          <w:sz w:val="21"/>
          <w:szCs w:val="21"/>
        </w:rPr>
        <w:t>ud</w:t>
      </w:r>
      <w:r w:rsidRPr="0021199F">
        <w:rPr>
          <w:rFonts w:ascii="Abadi" w:hAnsi="Abadi"/>
          <w:sz w:val="21"/>
          <w:szCs w:val="21"/>
        </w:rPr>
        <w:t xml:space="preserve"> de n</w:t>
      </w:r>
      <w:r>
        <w:rPr>
          <w:rFonts w:ascii="Abadi" w:hAnsi="Abadi"/>
          <w:sz w:val="21"/>
          <w:szCs w:val="21"/>
        </w:rPr>
        <w:t>o haber</w:t>
      </w:r>
      <w:r w:rsidRPr="0021199F">
        <w:rPr>
          <w:rFonts w:ascii="Abadi" w:hAnsi="Abadi"/>
          <w:sz w:val="21"/>
          <w:szCs w:val="21"/>
        </w:rPr>
        <w:t xml:space="preserve"> participaciones, se pide </w:t>
      </w:r>
      <w:r>
        <w:rPr>
          <w:rFonts w:ascii="Abadi" w:hAnsi="Abadi"/>
          <w:sz w:val="21"/>
          <w:szCs w:val="21"/>
        </w:rPr>
        <w:t xml:space="preserve">a </w:t>
      </w:r>
      <w:r w:rsidRPr="0021199F">
        <w:rPr>
          <w:rFonts w:ascii="Abadi" w:hAnsi="Abadi"/>
          <w:sz w:val="21"/>
          <w:szCs w:val="21"/>
        </w:rPr>
        <w:t>la Secretar</w:t>
      </w:r>
      <w:r w:rsidR="00701E57">
        <w:rPr>
          <w:rFonts w:ascii="Abadi" w:hAnsi="Abadi"/>
          <w:sz w:val="21"/>
          <w:szCs w:val="21"/>
        </w:rPr>
        <w:t>i</w:t>
      </w:r>
      <w:r w:rsidRPr="0021199F">
        <w:rPr>
          <w:rFonts w:ascii="Abadi" w:hAnsi="Abadi"/>
          <w:sz w:val="21"/>
          <w:szCs w:val="21"/>
        </w:rPr>
        <w:t xml:space="preserve">a que proceda </w:t>
      </w:r>
      <w:r>
        <w:rPr>
          <w:rFonts w:ascii="Abadi" w:hAnsi="Abadi"/>
          <w:sz w:val="21"/>
          <w:szCs w:val="21"/>
        </w:rPr>
        <w:t>a r</w:t>
      </w:r>
      <w:r w:rsidRPr="0021199F">
        <w:rPr>
          <w:rFonts w:ascii="Abadi" w:hAnsi="Abadi"/>
          <w:sz w:val="21"/>
          <w:szCs w:val="21"/>
        </w:rPr>
        <w:t xml:space="preserve">ecabar votación nominal de la </w:t>
      </w:r>
      <w:r w:rsidR="00701E57">
        <w:rPr>
          <w:rFonts w:ascii="Abadi" w:hAnsi="Abadi"/>
          <w:sz w:val="21"/>
          <w:szCs w:val="21"/>
        </w:rPr>
        <w:t>A</w:t>
      </w:r>
      <w:r w:rsidRPr="0021199F">
        <w:rPr>
          <w:rFonts w:ascii="Abadi" w:hAnsi="Abadi"/>
          <w:sz w:val="21"/>
          <w:szCs w:val="21"/>
        </w:rPr>
        <w:t>sam</w:t>
      </w:r>
      <w:r>
        <w:rPr>
          <w:rFonts w:ascii="Abadi" w:hAnsi="Abadi"/>
          <w:sz w:val="21"/>
          <w:szCs w:val="21"/>
        </w:rPr>
        <w:t>b</w:t>
      </w:r>
      <w:r w:rsidRPr="0021199F">
        <w:rPr>
          <w:rFonts w:ascii="Abadi" w:hAnsi="Abadi"/>
          <w:sz w:val="21"/>
          <w:szCs w:val="21"/>
        </w:rPr>
        <w:t>le</w:t>
      </w:r>
      <w:r>
        <w:rPr>
          <w:rFonts w:ascii="Abadi" w:hAnsi="Abadi"/>
          <w:sz w:val="21"/>
          <w:szCs w:val="21"/>
        </w:rPr>
        <w:t>a</w:t>
      </w:r>
      <w:r w:rsidRPr="0021199F">
        <w:rPr>
          <w:rFonts w:ascii="Abadi" w:hAnsi="Abadi"/>
          <w:sz w:val="21"/>
          <w:szCs w:val="21"/>
        </w:rPr>
        <w:t xml:space="preserve"> a través del sistema electrónico</w:t>
      </w:r>
      <w:r>
        <w:rPr>
          <w:rFonts w:ascii="Abadi" w:hAnsi="Abadi"/>
          <w:sz w:val="21"/>
          <w:szCs w:val="21"/>
        </w:rPr>
        <w:t xml:space="preserve"> a </w:t>
      </w:r>
      <w:r w:rsidRPr="0021199F">
        <w:rPr>
          <w:rFonts w:ascii="Abadi" w:hAnsi="Abadi"/>
          <w:sz w:val="21"/>
          <w:szCs w:val="21"/>
        </w:rPr>
        <w:t>efecto de aprobar</w:t>
      </w:r>
      <w:r>
        <w:rPr>
          <w:rFonts w:ascii="Abadi" w:hAnsi="Abadi"/>
          <w:sz w:val="21"/>
          <w:szCs w:val="21"/>
        </w:rPr>
        <w:t xml:space="preserve"> </w:t>
      </w:r>
      <w:r w:rsidRPr="0021199F">
        <w:rPr>
          <w:rFonts w:ascii="Abadi" w:hAnsi="Abadi"/>
          <w:sz w:val="21"/>
          <w:szCs w:val="21"/>
        </w:rPr>
        <w:t xml:space="preserve">o no el dictamen puesto </w:t>
      </w:r>
      <w:r>
        <w:rPr>
          <w:rFonts w:ascii="Abadi" w:hAnsi="Abadi"/>
          <w:sz w:val="21"/>
          <w:szCs w:val="21"/>
        </w:rPr>
        <w:t xml:space="preserve">a </w:t>
      </w:r>
      <w:r w:rsidRPr="0021199F">
        <w:rPr>
          <w:rFonts w:ascii="Abadi" w:hAnsi="Abadi"/>
          <w:sz w:val="21"/>
          <w:szCs w:val="21"/>
        </w:rPr>
        <w:t xml:space="preserve">su consideración. </w:t>
      </w:r>
    </w:p>
    <w:p w14:paraId="2DC95626" w14:textId="77777777" w:rsidR="00AA4F71" w:rsidRPr="001A22A8" w:rsidRDefault="00AA4F71" w:rsidP="00AA4F71">
      <w:pPr>
        <w:pStyle w:val="NormalWeb"/>
        <w:jc w:val="center"/>
        <w:rPr>
          <w:rFonts w:ascii="Abadi" w:hAnsi="Abadi"/>
          <w:b/>
          <w:bCs/>
          <w:sz w:val="21"/>
          <w:szCs w:val="21"/>
        </w:rPr>
      </w:pPr>
      <w:r w:rsidRPr="001A22A8">
        <w:rPr>
          <w:rFonts w:ascii="Abadi" w:hAnsi="Abadi"/>
          <w:b/>
          <w:bCs/>
          <w:sz w:val="21"/>
          <w:szCs w:val="21"/>
        </w:rPr>
        <w:t>(Se abre el sistema electrónico)</w:t>
      </w:r>
    </w:p>
    <w:p w14:paraId="1FFAB5DD" w14:textId="28E805AE" w:rsidR="00AA4F71" w:rsidRDefault="00AA4F71" w:rsidP="00AA4F71">
      <w:pPr>
        <w:pStyle w:val="NormalWeb"/>
        <w:ind w:firstLine="708"/>
        <w:jc w:val="both"/>
        <w:rPr>
          <w:rFonts w:ascii="Abadi" w:hAnsi="Abadi"/>
          <w:sz w:val="21"/>
          <w:szCs w:val="21"/>
        </w:rPr>
      </w:pPr>
      <w:r>
        <w:rPr>
          <w:rFonts w:ascii="Abadi" w:hAnsi="Abadi"/>
          <w:b/>
          <w:bCs/>
          <w:sz w:val="21"/>
          <w:szCs w:val="21"/>
        </w:rPr>
        <w:t xml:space="preserve">- </w:t>
      </w:r>
      <w:r w:rsidRPr="001A22A8">
        <w:rPr>
          <w:rFonts w:ascii="Abadi" w:hAnsi="Abadi"/>
          <w:b/>
          <w:bCs/>
          <w:sz w:val="21"/>
          <w:szCs w:val="21"/>
        </w:rPr>
        <w:t xml:space="preserve">La </w:t>
      </w:r>
      <w:proofErr w:type="gramStart"/>
      <w:r w:rsidRPr="001A22A8">
        <w:rPr>
          <w:rFonts w:ascii="Abadi" w:hAnsi="Abadi"/>
          <w:b/>
          <w:bCs/>
          <w:sz w:val="21"/>
          <w:szCs w:val="21"/>
        </w:rPr>
        <w:t>Secretar</w:t>
      </w:r>
      <w:r>
        <w:rPr>
          <w:rFonts w:ascii="Abadi" w:hAnsi="Abadi"/>
          <w:b/>
          <w:bCs/>
          <w:sz w:val="21"/>
          <w:szCs w:val="21"/>
        </w:rPr>
        <w:t>i</w:t>
      </w:r>
      <w:r w:rsidRPr="001A22A8">
        <w:rPr>
          <w:rFonts w:ascii="Abadi" w:hAnsi="Abadi"/>
          <w:b/>
          <w:bCs/>
          <w:sz w:val="21"/>
          <w:szCs w:val="21"/>
        </w:rPr>
        <w:t>a.-</w:t>
      </w:r>
      <w:proofErr w:type="gramEnd"/>
      <w:r w:rsidRPr="001A22A8">
        <w:rPr>
          <w:rFonts w:ascii="Abadi" w:hAnsi="Abadi"/>
          <w:b/>
          <w:bCs/>
          <w:sz w:val="21"/>
          <w:szCs w:val="21"/>
        </w:rPr>
        <w:t xml:space="preserve"> </w:t>
      </w:r>
      <w:r w:rsidRPr="001A22A8">
        <w:rPr>
          <w:rFonts w:ascii="Abadi" w:hAnsi="Abadi"/>
          <w:sz w:val="21"/>
          <w:szCs w:val="21"/>
        </w:rPr>
        <w:t>En</w:t>
      </w:r>
      <w:r w:rsidRPr="0021199F">
        <w:rPr>
          <w:rFonts w:ascii="Abadi" w:hAnsi="Abadi"/>
          <w:sz w:val="21"/>
          <w:szCs w:val="21"/>
        </w:rPr>
        <w:t xml:space="preserve"> votación nominal por el sistema electrónico</w:t>
      </w:r>
      <w:r>
        <w:rPr>
          <w:rFonts w:ascii="Abadi" w:hAnsi="Abadi"/>
          <w:sz w:val="21"/>
          <w:szCs w:val="21"/>
        </w:rPr>
        <w:t>, s</w:t>
      </w:r>
      <w:r w:rsidRPr="0021199F">
        <w:rPr>
          <w:rFonts w:ascii="Abadi" w:hAnsi="Abadi"/>
          <w:sz w:val="21"/>
          <w:szCs w:val="21"/>
        </w:rPr>
        <w:t>e pregunta a las diputadas</w:t>
      </w:r>
      <w:r>
        <w:rPr>
          <w:rFonts w:ascii="Abadi" w:hAnsi="Abadi"/>
          <w:sz w:val="21"/>
          <w:szCs w:val="21"/>
        </w:rPr>
        <w:t xml:space="preserve"> y a los  diputados, si se </w:t>
      </w:r>
      <w:r w:rsidRPr="0021199F">
        <w:rPr>
          <w:rFonts w:ascii="Abadi" w:hAnsi="Abadi"/>
          <w:sz w:val="21"/>
          <w:szCs w:val="21"/>
        </w:rPr>
        <w:t>apr</w:t>
      </w:r>
      <w:r>
        <w:rPr>
          <w:rFonts w:ascii="Abadi" w:hAnsi="Abadi"/>
          <w:sz w:val="21"/>
          <w:szCs w:val="21"/>
        </w:rPr>
        <w:t>ueba</w:t>
      </w:r>
      <w:r w:rsidRPr="0021199F">
        <w:rPr>
          <w:rFonts w:ascii="Abadi" w:hAnsi="Abadi"/>
          <w:sz w:val="21"/>
          <w:szCs w:val="21"/>
        </w:rPr>
        <w:t xml:space="preserve"> el</w:t>
      </w:r>
      <w:r>
        <w:rPr>
          <w:rFonts w:ascii="Abadi" w:hAnsi="Abadi"/>
          <w:sz w:val="21"/>
          <w:szCs w:val="21"/>
        </w:rPr>
        <w:t xml:space="preserve"> dictamen</w:t>
      </w:r>
      <w:r w:rsidRPr="0021199F">
        <w:rPr>
          <w:rFonts w:ascii="Abadi" w:hAnsi="Abadi"/>
          <w:sz w:val="21"/>
          <w:szCs w:val="21"/>
        </w:rPr>
        <w:t xml:space="preserve"> puesto </w:t>
      </w:r>
      <w:r>
        <w:rPr>
          <w:rFonts w:ascii="Abadi" w:hAnsi="Abadi"/>
          <w:sz w:val="21"/>
          <w:szCs w:val="21"/>
        </w:rPr>
        <w:t xml:space="preserve">a </w:t>
      </w:r>
      <w:r w:rsidRPr="0021199F">
        <w:rPr>
          <w:rFonts w:ascii="Abadi" w:hAnsi="Abadi"/>
          <w:sz w:val="21"/>
          <w:szCs w:val="21"/>
        </w:rPr>
        <w:t>su consideración</w:t>
      </w:r>
      <w:r>
        <w:rPr>
          <w:rFonts w:ascii="Abadi" w:hAnsi="Abadi"/>
          <w:sz w:val="21"/>
          <w:szCs w:val="21"/>
        </w:rPr>
        <w:t>. ¿</w:t>
      </w:r>
      <w:r w:rsidRPr="0021199F">
        <w:rPr>
          <w:rFonts w:ascii="Abadi" w:hAnsi="Abadi"/>
          <w:sz w:val="21"/>
          <w:szCs w:val="21"/>
        </w:rPr>
        <w:t>Diputado Armando Rangel</w:t>
      </w:r>
      <w:r>
        <w:rPr>
          <w:rFonts w:ascii="Abadi" w:hAnsi="Abadi"/>
          <w:sz w:val="21"/>
          <w:szCs w:val="21"/>
        </w:rPr>
        <w:t>?</w:t>
      </w:r>
      <w:r w:rsidRPr="0021199F">
        <w:rPr>
          <w:rFonts w:ascii="Abadi" w:hAnsi="Abadi"/>
          <w:sz w:val="21"/>
          <w:szCs w:val="21"/>
        </w:rPr>
        <w:t xml:space="preserve"> Gracias</w:t>
      </w:r>
      <w:r>
        <w:rPr>
          <w:rFonts w:ascii="Abadi" w:hAnsi="Abadi"/>
          <w:sz w:val="21"/>
          <w:szCs w:val="21"/>
        </w:rPr>
        <w:t>,</w:t>
      </w:r>
      <w:r w:rsidRPr="0021199F">
        <w:rPr>
          <w:rFonts w:ascii="Abadi" w:hAnsi="Abadi"/>
          <w:sz w:val="21"/>
          <w:szCs w:val="21"/>
        </w:rPr>
        <w:t xml:space="preserve"> diputado. </w:t>
      </w:r>
    </w:p>
    <w:p w14:paraId="701FB2C1" w14:textId="77777777" w:rsidR="00AA4F71" w:rsidRDefault="00AA4F71" w:rsidP="00AA4F71">
      <w:pPr>
        <w:pStyle w:val="NormalWeb"/>
        <w:jc w:val="both"/>
        <w:rPr>
          <w:rFonts w:ascii="Abadi" w:hAnsi="Abadi"/>
          <w:sz w:val="21"/>
          <w:szCs w:val="21"/>
        </w:rPr>
      </w:pPr>
      <w:r>
        <w:rPr>
          <w:rFonts w:ascii="Abadi" w:hAnsi="Abadi"/>
          <w:sz w:val="21"/>
          <w:szCs w:val="21"/>
        </w:rPr>
        <w:t>¿</w:t>
      </w:r>
      <w:r w:rsidRPr="0021199F">
        <w:rPr>
          <w:rFonts w:ascii="Abadi" w:hAnsi="Abadi"/>
          <w:sz w:val="21"/>
          <w:szCs w:val="21"/>
        </w:rPr>
        <w:t xml:space="preserve">Falta alguna diputada, algún diputado de emitir su voto? </w:t>
      </w:r>
    </w:p>
    <w:p w14:paraId="0B197D4B" w14:textId="6D0C7BA5" w:rsidR="00AA4F71" w:rsidRDefault="00AA4F71" w:rsidP="00AA4F71">
      <w:pPr>
        <w:pStyle w:val="NormalWeb"/>
        <w:jc w:val="center"/>
        <w:rPr>
          <w:rFonts w:ascii="Abadi" w:hAnsi="Abadi"/>
          <w:b/>
          <w:bCs/>
          <w:sz w:val="21"/>
          <w:szCs w:val="21"/>
        </w:rPr>
      </w:pPr>
      <w:r w:rsidRPr="001A22A8">
        <w:rPr>
          <w:rFonts w:ascii="Abadi" w:hAnsi="Abadi"/>
          <w:b/>
          <w:bCs/>
          <w:sz w:val="21"/>
          <w:szCs w:val="21"/>
        </w:rPr>
        <w:t>(Se cierra el sistema electrónico)</w:t>
      </w:r>
    </w:p>
    <w:p w14:paraId="6BE85E5D" w14:textId="77777777" w:rsidR="00AA4F71" w:rsidRPr="001A22A8" w:rsidRDefault="00AA4F71" w:rsidP="00AA4F71">
      <w:pPr>
        <w:pStyle w:val="NormalWeb"/>
        <w:jc w:val="both"/>
        <w:rPr>
          <w:rFonts w:ascii="Abadi" w:hAnsi="Abadi"/>
          <w:b/>
          <w:bCs/>
          <w:sz w:val="21"/>
          <w:szCs w:val="21"/>
        </w:rPr>
      </w:pPr>
      <w:r>
        <w:rPr>
          <w:noProof/>
        </w:rPr>
        <w:drawing>
          <wp:inline distT="0" distB="0" distL="0" distR="0" wp14:anchorId="62DD1579" wp14:editId="35B1EC60">
            <wp:extent cx="2028092" cy="1049844"/>
            <wp:effectExtent l="152400" t="152400" r="353695" b="360045"/>
            <wp:docPr id="40" name="Imagen 40" descr="Interfaz de usuario gráfica,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 Tabla&#10;&#10;Descripción generada automáticamente con confianza media"/>
                    <pic:cNvPicPr/>
                  </pic:nvPicPr>
                  <pic:blipFill rotWithShape="1">
                    <a:blip r:embed="rId58"/>
                    <a:srcRect b="7929"/>
                    <a:stretch/>
                  </pic:blipFill>
                  <pic:spPr bwMode="auto">
                    <a:xfrm>
                      <a:off x="0" y="0"/>
                      <a:ext cx="2041071" cy="105656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C7917DC" w14:textId="5B971191" w:rsidR="00AA4F71" w:rsidRDefault="00AA4F71" w:rsidP="00AA4F71">
      <w:pPr>
        <w:pStyle w:val="NormalWeb"/>
        <w:ind w:firstLine="708"/>
        <w:jc w:val="both"/>
        <w:rPr>
          <w:rFonts w:ascii="Abadi" w:hAnsi="Abadi"/>
          <w:sz w:val="21"/>
          <w:szCs w:val="21"/>
        </w:rPr>
      </w:pPr>
      <w:r>
        <w:rPr>
          <w:rFonts w:ascii="Abadi" w:hAnsi="Abadi"/>
          <w:b/>
          <w:bCs/>
          <w:sz w:val="21"/>
          <w:szCs w:val="21"/>
        </w:rPr>
        <w:t xml:space="preserve">- </w:t>
      </w:r>
      <w:r w:rsidRPr="001A22A8">
        <w:rPr>
          <w:rFonts w:ascii="Abadi" w:hAnsi="Abadi"/>
          <w:b/>
          <w:bCs/>
          <w:sz w:val="21"/>
          <w:szCs w:val="21"/>
        </w:rPr>
        <w:t xml:space="preserve">La </w:t>
      </w:r>
      <w:proofErr w:type="gramStart"/>
      <w:r w:rsidRPr="001A22A8">
        <w:rPr>
          <w:rFonts w:ascii="Abadi" w:hAnsi="Abadi"/>
          <w:b/>
          <w:bCs/>
          <w:sz w:val="21"/>
          <w:szCs w:val="21"/>
        </w:rPr>
        <w:t>Secretar</w:t>
      </w:r>
      <w:r>
        <w:rPr>
          <w:rFonts w:ascii="Abadi" w:hAnsi="Abadi"/>
          <w:b/>
          <w:bCs/>
          <w:sz w:val="21"/>
          <w:szCs w:val="21"/>
        </w:rPr>
        <w:t>i</w:t>
      </w:r>
      <w:r w:rsidRPr="001A22A8">
        <w:rPr>
          <w:rFonts w:ascii="Abadi" w:hAnsi="Abadi"/>
          <w:b/>
          <w:bCs/>
          <w:sz w:val="21"/>
          <w:szCs w:val="21"/>
        </w:rPr>
        <w:t>a.-</w:t>
      </w:r>
      <w:proofErr w:type="gramEnd"/>
      <w:r>
        <w:rPr>
          <w:rFonts w:ascii="Abadi" w:hAnsi="Abadi"/>
          <w:sz w:val="21"/>
          <w:szCs w:val="21"/>
        </w:rPr>
        <w:t xml:space="preserve"> S</w:t>
      </w:r>
      <w:r w:rsidRPr="0021199F">
        <w:rPr>
          <w:rFonts w:ascii="Abadi" w:hAnsi="Abadi"/>
          <w:sz w:val="21"/>
          <w:szCs w:val="21"/>
        </w:rPr>
        <w:t xml:space="preserve">e registraron </w:t>
      </w:r>
      <w:r>
        <w:rPr>
          <w:rFonts w:ascii="Abadi" w:hAnsi="Abadi"/>
          <w:sz w:val="21"/>
          <w:szCs w:val="21"/>
        </w:rPr>
        <w:t>35</w:t>
      </w:r>
      <w:r w:rsidRPr="0021199F">
        <w:rPr>
          <w:rFonts w:ascii="Abadi" w:hAnsi="Abadi"/>
          <w:sz w:val="21"/>
          <w:szCs w:val="21"/>
        </w:rPr>
        <w:t xml:space="preserve"> votos a favor. </w:t>
      </w:r>
    </w:p>
    <w:p w14:paraId="5C953959" w14:textId="7C7F5FBE" w:rsidR="00AA4F71" w:rsidRDefault="00AA4F71" w:rsidP="00AA4F71">
      <w:pPr>
        <w:pStyle w:val="NormalWeb"/>
        <w:ind w:firstLine="708"/>
        <w:jc w:val="both"/>
        <w:rPr>
          <w:rFonts w:ascii="Abadi" w:hAnsi="Abadi"/>
          <w:sz w:val="21"/>
          <w:szCs w:val="21"/>
        </w:rPr>
      </w:pPr>
      <w:r>
        <w:rPr>
          <w:rFonts w:ascii="Abadi" w:hAnsi="Abadi"/>
          <w:b/>
          <w:bCs/>
          <w:sz w:val="21"/>
          <w:szCs w:val="21"/>
        </w:rPr>
        <w:t xml:space="preserve">- </w:t>
      </w:r>
      <w:r w:rsidRPr="0017724F">
        <w:rPr>
          <w:rFonts w:ascii="Abadi" w:hAnsi="Abadi"/>
          <w:b/>
          <w:bCs/>
          <w:sz w:val="21"/>
          <w:szCs w:val="21"/>
        </w:rPr>
        <w:t xml:space="preserve">La </w:t>
      </w:r>
      <w:proofErr w:type="gramStart"/>
      <w:r w:rsidRPr="0017724F">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 xml:space="preserve">El dictamen ha sido aprobado por unanimidad de votos. </w:t>
      </w:r>
    </w:p>
    <w:p w14:paraId="63C5F0C8" w14:textId="5AAB2FC6" w:rsidR="00AA4F71" w:rsidRDefault="00AA4F71" w:rsidP="00BC1BEA">
      <w:pPr>
        <w:pStyle w:val="NormalWeb"/>
        <w:ind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En consecuencia</w:t>
      </w:r>
      <w:r>
        <w:rPr>
          <w:rFonts w:ascii="Abadi" w:hAnsi="Abadi"/>
          <w:sz w:val="21"/>
          <w:szCs w:val="21"/>
        </w:rPr>
        <w:t xml:space="preserve">. </w:t>
      </w:r>
    </w:p>
    <w:p w14:paraId="76B203A7" w14:textId="57A2B088" w:rsidR="00021259" w:rsidRDefault="00021259" w:rsidP="00343CA9">
      <w:pPr>
        <w:pStyle w:val="Prrafodelista"/>
        <w:numPr>
          <w:ilvl w:val="0"/>
          <w:numId w:val="25"/>
        </w:numPr>
        <w:autoSpaceDE w:val="0"/>
        <w:autoSpaceDN w:val="0"/>
        <w:adjustRightInd w:val="0"/>
        <w:ind w:left="426"/>
        <w:jc w:val="both"/>
        <w:rPr>
          <w:rFonts w:ascii="Abadi" w:hAnsi="Abadi" w:cs="ArialMT"/>
          <w:b/>
          <w:bCs/>
          <w:sz w:val="21"/>
          <w:szCs w:val="21"/>
        </w:rPr>
      </w:pPr>
      <w:r w:rsidRPr="007C2763">
        <w:rPr>
          <w:rFonts w:ascii="Abadi" w:hAnsi="Abadi" w:cs="ArialMT"/>
          <w:b/>
          <w:bCs/>
          <w:sz w:val="21"/>
          <w:szCs w:val="21"/>
        </w:rPr>
        <w:t>DISCUSIÓN Y, EN SU CASO, APROBACIÓN DEL DICTAMEN SIGNADO POR LA COMISIÓN DE ASUNTOS MUNICIPALES RELATIVO A LA PROPUESTA DE PUNTO DE ACUERDO FORMULADA POR EL DIPUTADO DAVID MARTÍNEZ MENDIZÁBAL INTEGRANTE DEL GRUPO PARLAMENTARIO DEL PARTIDO MORENA, A EFECTO DE EXHORTAR AL SISTEMA DE AGUA POTABLE Y ALCANTARILLADO DE LEÓN (SAPAL) PARA QUE INFORME DETALLADAMENTE A ESTA SOBERANÍA SOBRE SUS INVESTIGACIONES INTERNAS DE LOS HECHOS OCURRIDOS EL 13 DE NOVIEMBRE DE 2020 EN LA PLANTA DE TRATAMIENTO  DE AGUAS RESIDUALES MUNICIPALES Y SU MÓDULO DE DESBASTE; A LA FISCALÍA GENERAL DEL ESTADO DE GUANAJUATO A EFECTO DE QUE REMITA UN INFORME A ESTA SOBERANÍA SOBRE LAS INVESTIGACIONES CRIMINALES CORRESPONDIENTES A LOS HECHOS OCURRIDOS EL 13 DE NOVIEMBRE DE 2020 EN LA PLANTA DE TRATAMIENTO DE AGUAS RESIDUALES MUNICIPALES Y SU MÓDULO DE DESBASTE DEL SISTEMA DE AGUA POTABLE Y ALCANTARILLADO DE LEÓN (SAPAL); A LA PROCURADURÍA DE DERECHOS HUMANOS DEL ESTADO DE GUANAJUATO, A EFECTO DE QUE RINDA UN INFORME A ESTA SOBERANÍA SOBRE EL ESTADO QUE GUARDA EL EXPEDIENTE NÚMERO 24-21-A-II, RADICADO EN LA SUBPROCURADURÍA ZONA A, EL DÍA 8 DE FEBRERO DE 2021, Y AL AYUNTAMIENTO DEL MUNICIPIO DE LEÓN PARA QUE CONFORME UNA COMISIÓN MIXTA, INTEGRADA TANTO POR EDILES TANTO COMO POR CIVILES, CON FACULTADES SUFICIENTES DE INVESTIGACIÓN SOBRE POSIBLES</w:t>
      </w:r>
      <w:r w:rsidR="00300604" w:rsidRPr="007C2763">
        <w:rPr>
          <w:rFonts w:ascii="Abadi" w:hAnsi="Abadi" w:cs="ArialMT"/>
          <w:b/>
          <w:bCs/>
          <w:sz w:val="21"/>
          <w:szCs w:val="21"/>
        </w:rPr>
        <w:t xml:space="preserve"> </w:t>
      </w:r>
      <w:r w:rsidRPr="007C2763">
        <w:rPr>
          <w:rFonts w:ascii="Abadi" w:hAnsi="Abadi" w:cs="ArialMT"/>
          <w:b/>
          <w:bCs/>
          <w:sz w:val="21"/>
          <w:szCs w:val="21"/>
        </w:rPr>
        <w:t>VIOLACIONES A DIVERSAS NORMATIVAS LABORALES DE SEGURIDAD E HIGIENE EN LA PLANTA DE TRATAMIENTO DE AGUAS RESIDUALES MUNICIPALES Y SU MÓDULO DE DESBASTE DEL SISTEMA DE AGUA POTABLE Y ALCANTARILLADO DE LEÓN (SAPAL) Y, EN SU CASO, INICIAR LOS PROCEDIMIENTOS LEGALES QUE CORRESPONDAN.</w:t>
      </w:r>
    </w:p>
    <w:p w14:paraId="175B24E1" w14:textId="54B4A445" w:rsidR="00C94B0A" w:rsidRDefault="00C94B0A" w:rsidP="00C94B0A">
      <w:pPr>
        <w:autoSpaceDE w:val="0"/>
        <w:autoSpaceDN w:val="0"/>
        <w:adjustRightInd w:val="0"/>
        <w:jc w:val="both"/>
        <w:rPr>
          <w:rFonts w:ascii="Abadi" w:hAnsi="Abadi" w:cs="ArialMT"/>
          <w:b/>
          <w:bCs/>
          <w:sz w:val="21"/>
          <w:szCs w:val="21"/>
        </w:rPr>
      </w:pPr>
    </w:p>
    <w:p w14:paraId="2F36ACE6" w14:textId="482A39E1" w:rsidR="00503B61" w:rsidRPr="007C2763" w:rsidRDefault="00503B61" w:rsidP="00503B61">
      <w:pPr>
        <w:autoSpaceDE w:val="0"/>
        <w:autoSpaceDN w:val="0"/>
        <w:adjustRightInd w:val="0"/>
        <w:jc w:val="both"/>
        <w:rPr>
          <w:rFonts w:ascii="Abadi" w:hAnsi="Abadi" w:cs="Arial-BoldMT"/>
          <w:b/>
          <w:bCs/>
          <w:sz w:val="21"/>
          <w:szCs w:val="21"/>
        </w:rPr>
      </w:pPr>
      <w:proofErr w:type="spellStart"/>
      <w:r w:rsidRPr="007C2763">
        <w:rPr>
          <w:rFonts w:ascii="Abadi" w:hAnsi="Abadi" w:cs="Arial-BoldMT"/>
          <w:b/>
          <w:bCs/>
          <w:sz w:val="21"/>
          <w:szCs w:val="21"/>
        </w:rPr>
        <w:t>Dip</w:t>
      </w:r>
      <w:proofErr w:type="spellEnd"/>
      <w:r w:rsidRPr="007C2763">
        <w:rPr>
          <w:rFonts w:ascii="Abadi" w:hAnsi="Abadi" w:cs="Arial-BoldMT"/>
          <w:b/>
          <w:bCs/>
          <w:sz w:val="21"/>
          <w:szCs w:val="21"/>
        </w:rPr>
        <w:t>. Irma Leticia González Sánchez</w:t>
      </w:r>
    </w:p>
    <w:p w14:paraId="5F93C894" w14:textId="77777777"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Presidenta del Congreso del Estado</w:t>
      </w:r>
    </w:p>
    <w:p w14:paraId="4382BDB1" w14:textId="77777777"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P r e s e n t e.</w:t>
      </w:r>
    </w:p>
    <w:p w14:paraId="2DB7A7C0" w14:textId="44C33A1A" w:rsidR="00503B61" w:rsidRDefault="009728DC" w:rsidP="00503B61">
      <w:pPr>
        <w:autoSpaceDE w:val="0"/>
        <w:autoSpaceDN w:val="0"/>
        <w:adjustRightInd w:val="0"/>
        <w:ind w:firstLine="708"/>
        <w:jc w:val="both"/>
        <w:rPr>
          <w:rFonts w:ascii="Abadi" w:hAnsi="Abadi" w:cs="ArialMT"/>
          <w:sz w:val="21"/>
          <w:szCs w:val="21"/>
        </w:rPr>
      </w:pPr>
      <w:r>
        <w:rPr>
          <w:rFonts w:ascii="Abadi" w:hAnsi="Abadi" w:cs="ArialMT"/>
          <w:sz w:val="21"/>
          <w:szCs w:val="21"/>
        </w:rPr>
        <w:t xml:space="preserve"> </w:t>
      </w:r>
      <w:r w:rsidR="00503B61" w:rsidRPr="007C2763">
        <w:rPr>
          <w:rFonts w:ascii="Abadi" w:hAnsi="Abadi" w:cs="ArialMT"/>
          <w:sz w:val="21"/>
          <w:szCs w:val="21"/>
        </w:rPr>
        <w:t>A la Comisión de Asuntos Municipales de la Sexagésima Quinta Legislatura del Congreso del Estado de Guanajuato, en sesión ordinaria celebrada el 14 de octubre del presente año, se le remitió la propuesta de punto de acuerdo formulada por el diputado David Martínez Mendizábal integrante del Grupo Parlamentario de MORENA, a efecto de exhortar al Sistema de Agua Potable y Alcantarillado de León (SAPAL) para que informe detalladamente a esta Soberanía sobre sus investigaciones internas de los hechos ocurridos el 13 de noviembre de 2020 en la Planta de Tratamiento de Aguas Residuales Municipales y su Módulo de Desbaste; a la Fiscalía General del Estado de Guanajuato a efecto de que remita un informe a esta Soberanía sobre las investigaciones criminales correspondientes a los hechos ocurridos el 13 de noviembre de 2020 en la Planta de Tratamiento de Aguas Residuales Municipales y su Módulo de Desbaste del Sistema de Agua Potable y Alcantarillado de León (SAPAL); a la Procuraduría de Derechos Humanos del Estado de Guanajuato, a efecto de que rinda un informe a esta Soberanía sobre el estado que guarda el expediente número 24-21-A-II, radicado en la Subprocuraduría Zona A, el día 8 de febrero de 2021, y al Ayuntamiento del Municipio de León para que conforme una comisión mixta, integrada tanto por ediles tanto como por civiles, con facultades suficientes de investigación sobre posibles violaciones a diversas normativas laborales de seguridad e higiene en la Planta de Tratamiento de Aguas Residuales Municipales y su Módulo de Desbaste del Sistema de Agua Potable y Alcantarillado de León (SAPAL) y, en su caso, iniciar los procedimientos legales que correspondan. Analizada la propuesta de referencia, esta Comisión Dictaminadora, de conformidad con lo dispuesto en los artículos 104 fracción II y 171 de la Ley Orgánica del Poder Legislativo del Estado de Guanajuato, rinde el dictamen con base en las siguientes:</w:t>
      </w:r>
    </w:p>
    <w:p w14:paraId="1098BE55" w14:textId="4ECA6FE9" w:rsidR="009728DC" w:rsidRDefault="009728DC" w:rsidP="00503B61">
      <w:pPr>
        <w:autoSpaceDE w:val="0"/>
        <w:autoSpaceDN w:val="0"/>
        <w:adjustRightInd w:val="0"/>
        <w:ind w:firstLine="708"/>
        <w:jc w:val="both"/>
        <w:rPr>
          <w:rFonts w:ascii="Abadi" w:hAnsi="Abadi" w:cs="ArialMT"/>
          <w:sz w:val="21"/>
          <w:szCs w:val="21"/>
        </w:rPr>
      </w:pPr>
    </w:p>
    <w:p w14:paraId="47341DDA" w14:textId="77777777" w:rsidR="009728DC" w:rsidRPr="007C2763" w:rsidRDefault="009728DC" w:rsidP="00503B61">
      <w:pPr>
        <w:autoSpaceDE w:val="0"/>
        <w:autoSpaceDN w:val="0"/>
        <w:adjustRightInd w:val="0"/>
        <w:ind w:firstLine="708"/>
        <w:jc w:val="both"/>
        <w:rPr>
          <w:rFonts w:ascii="Abadi" w:hAnsi="Abadi" w:cs="ArialMT"/>
          <w:sz w:val="21"/>
          <w:szCs w:val="21"/>
        </w:rPr>
      </w:pPr>
    </w:p>
    <w:p w14:paraId="37C17DEA" w14:textId="77777777" w:rsidR="00503B61" w:rsidRPr="007C2763" w:rsidRDefault="00503B61" w:rsidP="00503B61">
      <w:pPr>
        <w:autoSpaceDE w:val="0"/>
        <w:autoSpaceDN w:val="0"/>
        <w:adjustRightInd w:val="0"/>
        <w:jc w:val="center"/>
        <w:rPr>
          <w:rFonts w:ascii="Abadi" w:hAnsi="Abadi" w:cs="Arial-BoldMT"/>
          <w:b/>
          <w:bCs/>
          <w:sz w:val="21"/>
          <w:szCs w:val="21"/>
        </w:rPr>
      </w:pPr>
      <w:r w:rsidRPr="007C2763">
        <w:rPr>
          <w:rFonts w:ascii="Abadi" w:hAnsi="Abadi" w:cs="Arial-BoldMT"/>
          <w:b/>
          <w:bCs/>
          <w:sz w:val="21"/>
          <w:szCs w:val="21"/>
        </w:rPr>
        <w:t>D I C T A M E N</w:t>
      </w:r>
    </w:p>
    <w:p w14:paraId="31B45CDC" w14:textId="77777777" w:rsidR="00095E56" w:rsidRDefault="00095E56" w:rsidP="00503B61">
      <w:pPr>
        <w:autoSpaceDE w:val="0"/>
        <w:autoSpaceDN w:val="0"/>
        <w:adjustRightInd w:val="0"/>
        <w:jc w:val="both"/>
        <w:rPr>
          <w:rFonts w:ascii="Abadi" w:hAnsi="Abadi" w:cs="Arial-BoldMT"/>
          <w:b/>
          <w:bCs/>
          <w:sz w:val="21"/>
          <w:szCs w:val="21"/>
        </w:rPr>
      </w:pPr>
    </w:p>
    <w:p w14:paraId="15083B93" w14:textId="3DBDB422"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Antecedentes.</w:t>
      </w:r>
    </w:p>
    <w:p w14:paraId="5C1DE537" w14:textId="649EB92D" w:rsidR="00503B61" w:rsidRPr="007C2763" w:rsidRDefault="00503B61" w:rsidP="00503B61">
      <w:pPr>
        <w:autoSpaceDE w:val="0"/>
        <w:autoSpaceDN w:val="0"/>
        <w:adjustRightInd w:val="0"/>
        <w:jc w:val="both"/>
        <w:rPr>
          <w:rFonts w:ascii="Abadi" w:hAnsi="Abadi" w:cs="ArialMT"/>
          <w:sz w:val="21"/>
          <w:szCs w:val="21"/>
        </w:rPr>
      </w:pPr>
      <w:r w:rsidRPr="007C2763">
        <w:rPr>
          <w:rFonts w:ascii="Abadi" w:hAnsi="Abadi" w:cs="ArialMT"/>
          <w:sz w:val="21"/>
          <w:szCs w:val="21"/>
        </w:rPr>
        <w:t>La presidencia de la Mesa Directiva en sesión de fecha 14 de octubre de 2021 turnó a la Comisión de Asuntos Municipales, con fundamento en el artículo104 fracción II de la Ley Orgánica del Poder Legislativo del Estado de Guanajuato, para efectos de estudio y dictamen, la propuesta de punto de acuerdo por medio del cual se exhorta al Sistema de Agua Potable y Alcantarillado de León (SAPAL) para que informe detalladamente a esta Soberanía sobre sus investigaciones internas de</w:t>
      </w:r>
      <w:r w:rsidR="001E110D" w:rsidRPr="007C2763">
        <w:rPr>
          <w:rFonts w:ascii="Abadi" w:hAnsi="Abadi" w:cs="ArialMT"/>
          <w:sz w:val="21"/>
          <w:szCs w:val="21"/>
        </w:rPr>
        <w:t xml:space="preserve"> </w:t>
      </w:r>
      <w:r w:rsidRPr="007C2763">
        <w:rPr>
          <w:rFonts w:ascii="Abadi" w:hAnsi="Abadi" w:cs="ArialMT"/>
          <w:sz w:val="21"/>
          <w:szCs w:val="21"/>
        </w:rPr>
        <w:t xml:space="preserve">los hechos ocurridos el 13 de noviembre de 2020 en la Planta de Tratamiento de Aguas Residuales Municipales y su Módulo de Desbaste; a la Fiscalía General del Estado de Guanajuato a efecto de que remita un informe a esta Soberanía sobre las investigaciones criminales correspondientes a los hechos ocurridos el 13 de noviembre de 2020 en la Planta de Tratamiento de Aguas Residuales Municipales y su Módulo de Desbaste del Sistema de Agua Potable y Alcantarillado de León (SAPAL); a la Procuraduría de Derechos Humanos del Estado de Guanajuato, a efecto de que rinda un informe a esta Soberanía sobre el estado que guarda el expediente número 24-21-A-II, radicado en la Subprocuraduría Zona A, el día 8 de febrero de 2021, y al Ayuntamiento del Municipio de León para que conforme una comisión mixta, integrada tanto por ediles tanto como por civiles, con facultades suficientes de investigación sobre posibles violaciones a diversas normativas laborales de seguridad e higiene en la Planta de Tratamiento de Aguas Residuales Municipales y su Módulo de Desbaste del Sistema de Agua Potable y Alcantarillado de León (SAPAL) y, en su caso, iniciar los procedimientos legales que correspondan, suscrita por el Diputado David Martínez Mendizábal, integrante del Grupo Parlamentario del Partido de MORENA. </w:t>
      </w:r>
    </w:p>
    <w:p w14:paraId="01EF5E2E" w14:textId="77777777" w:rsidR="00503B61" w:rsidRPr="007C2763" w:rsidRDefault="00503B61" w:rsidP="00503B61">
      <w:pPr>
        <w:autoSpaceDE w:val="0"/>
        <w:autoSpaceDN w:val="0"/>
        <w:adjustRightInd w:val="0"/>
        <w:ind w:firstLine="708"/>
        <w:jc w:val="both"/>
        <w:rPr>
          <w:rFonts w:ascii="Abadi" w:hAnsi="Abadi" w:cs="ArialMT"/>
          <w:sz w:val="21"/>
          <w:szCs w:val="21"/>
        </w:rPr>
      </w:pPr>
    </w:p>
    <w:p w14:paraId="56FCAD1A" w14:textId="77777777" w:rsidR="00503B61" w:rsidRPr="007C2763" w:rsidRDefault="00503B61" w:rsidP="00503B6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La propuesta fue radicada en reunión de esta Comisión el pasado 16 de noviembre del año 2021 y en esa misma fecha se aprobó la siguiente metodología para su estudio y dictamen por parte de esta Comisión:</w:t>
      </w:r>
    </w:p>
    <w:p w14:paraId="3689A699" w14:textId="77777777" w:rsidR="00503B61" w:rsidRPr="007C2763" w:rsidRDefault="00503B61" w:rsidP="00503B61">
      <w:pPr>
        <w:autoSpaceDE w:val="0"/>
        <w:autoSpaceDN w:val="0"/>
        <w:adjustRightInd w:val="0"/>
        <w:jc w:val="both"/>
        <w:rPr>
          <w:rFonts w:ascii="Abadi" w:hAnsi="Abadi" w:cs="ArialMT"/>
          <w:sz w:val="21"/>
          <w:szCs w:val="21"/>
        </w:rPr>
      </w:pPr>
    </w:p>
    <w:p w14:paraId="59C9187E"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BoldItalicMT"/>
          <w:b/>
          <w:bCs/>
          <w:i/>
          <w:iCs/>
          <w:sz w:val="21"/>
          <w:szCs w:val="21"/>
        </w:rPr>
        <w:t xml:space="preserve">&lt;&lt;1. </w:t>
      </w:r>
      <w:r w:rsidRPr="007C2763">
        <w:rPr>
          <w:rFonts w:ascii="Abadi" w:hAnsi="Abadi" w:cs="Arial-ItalicMT"/>
          <w:i/>
          <w:iCs/>
          <w:sz w:val="21"/>
          <w:szCs w:val="21"/>
        </w:rPr>
        <w:t xml:space="preserve">Solicitar por oficio a través de correo electrónico información al Consejo Directivo de Sistema de Agua Potable y Alcantarillado de León, sobre lo expuesto en la propuesta de exhorto la cual deberá ser entregada en el término de </w:t>
      </w:r>
      <w:r w:rsidRPr="007C2763">
        <w:rPr>
          <w:rFonts w:ascii="Abadi" w:hAnsi="Abadi" w:cs="Arial-BoldItalicMT"/>
          <w:b/>
          <w:bCs/>
          <w:i/>
          <w:iCs/>
          <w:sz w:val="21"/>
          <w:szCs w:val="21"/>
        </w:rPr>
        <w:t>20 días</w:t>
      </w:r>
      <w:r w:rsidRPr="007C2763">
        <w:rPr>
          <w:rFonts w:ascii="Abadi" w:hAnsi="Abadi" w:cs="Arial-ItalicMT"/>
          <w:i/>
          <w:iCs/>
          <w:sz w:val="21"/>
          <w:szCs w:val="21"/>
        </w:rPr>
        <w:t xml:space="preserve"> </w:t>
      </w:r>
      <w:r w:rsidRPr="007C2763">
        <w:rPr>
          <w:rFonts w:ascii="Abadi" w:hAnsi="Abadi" w:cs="Arial-BoldItalicMT"/>
          <w:b/>
          <w:bCs/>
          <w:i/>
          <w:iCs/>
          <w:sz w:val="21"/>
          <w:szCs w:val="21"/>
        </w:rPr>
        <w:t xml:space="preserve">hábiles </w:t>
      </w:r>
      <w:r w:rsidRPr="007C2763">
        <w:rPr>
          <w:rFonts w:ascii="Abadi" w:hAnsi="Abadi" w:cs="Arial-ItalicMT"/>
          <w:i/>
          <w:iCs/>
          <w:sz w:val="21"/>
          <w:szCs w:val="21"/>
        </w:rPr>
        <w:t xml:space="preserve">a esta Comisión, a través de la secretaría técnica. </w:t>
      </w:r>
      <w:r w:rsidRPr="007C2763">
        <w:rPr>
          <w:rFonts w:ascii="Abadi" w:hAnsi="Abadi" w:cs="Arial-BoldItalicMT"/>
          <w:b/>
          <w:bCs/>
          <w:i/>
          <w:iCs/>
          <w:sz w:val="21"/>
          <w:szCs w:val="21"/>
        </w:rPr>
        <w:t>2</w:t>
      </w:r>
      <w:r w:rsidRPr="007C2763">
        <w:rPr>
          <w:rFonts w:ascii="Abadi" w:hAnsi="Abadi" w:cs="Arial-ItalicMT"/>
          <w:i/>
          <w:iCs/>
          <w:sz w:val="21"/>
          <w:szCs w:val="21"/>
        </w:rPr>
        <w:t xml:space="preserve">. Realizar una mesa de trabajo permanente con diputados y asesores a efecto de analizar la información remitida por el Consejo Directivo de Sistema de Agua Potable y Alcantarillado de León, y el planteamiento del exhorto. </w:t>
      </w:r>
      <w:r w:rsidRPr="007C2763">
        <w:rPr>
          <w:rFonts w:ascii="Abadi" w:hAnsi="Abadi" w:cs="Arial-ItalicMT"/>
          <w:b/>
          <w:bCs/>
          <w:i/>
          <w:iCs/>
          <w:sz w:val="21"/>
          <w:szCs w:val="21"/>
        </w:rPr>
        <w:t>3.</w:t>
      </w:r>
      <w:r w:rsidRPr="007C2763">
        <w:rPr>
          <w:rFonts w:ascii="Abadi" w:hAnsi="Abadi" w:cs="Arial-ItalicMT"/>
          <w:i/>
          <w:iCs/>
          <w:sz w:val="21"/>
          <w:szCs w:val="21"/>
        </w:rPr>
        <w:t xml:space="preserve"> La Comisión solicitará a la secretaría técnica realice un </w:t>
      </w:r>
      <w:r w:rsidRPr="007C2763">
        <w:rPr>
          <w:rFonts w:ascii="Abadi" w:hAnsi="Abadi" w:cs="Arial-BoldItalicMT"/>
          <w:b/>
          <w:bCs/>
          <w:i/>
          <w:iCs/>
          <w:sz w:val="21"/>
          <w:szCs w:val="21"/>
        </w:rPr>
        <w:t>documento con proyecto de dictamen</w:t>
      </w:r>
      <w:r w:rsidRPr="007C2763">
        <w:rPr>
          <w:rFonts w:ascii="Abadi" w:hAnsi="Abadi" w:cs="Arial-ItalicMT"/>
          <w:i/>
          <w:iCs/>
          <w:sz w:val="21"/>
          <w:szCs w:val="21"/>
        </w:rPr>
        <w:t xml:space="preserve">. </w:t>
      </w:r>
      <w:r w:rsidRPr="007C2763">
        <w:rPr>
          <w:rFonts w:ascii="Abadi" w:hAnsi="Abadi" w:cs="Arial-BoldItalicMT"/>
          <w:b/>
          <w:bCs/>
          <w:i/>
          <w:iCs/>
          <w:sz w:val="21"/>
          <w:szCs w:val="21"/>
        </w:rPr>
        <w:t>4</w:t>
      </w:r>
      <w:r w:rsidRPr="007C2763">
        <w:rPr>
          <w:rFonts w:ascii="Abadi" w:hAnsi="Abadi" w:cs="Arial-ItalicMT"/>
          <w:i/>
          <w:iCs/>
          <w:sz w:val="21"/>
          <w:szCs w:val="21"/>
        </w:rPr>
        <w:t xml:space="preserve">. La secretaría técnica elaborará el proyecto de dictamen correspondiente y lo remitirá a los integrantes de la Comisión y a los asesores de los grupos parlamentarios, para que formulen observaciones. </w:t>
      </w:r>
      <w:r w:rsidRPr="007C2763">
        <w:rPr>
          <w:rFonts w:ascii="Abadi" w:hAnsi="Abadi" w:cs="Arial-BoldItalicMT"/>
          <w:b/>
          <w:bCs/>
          <w:i/>
          <w:iCs/>
          <w:sz w:val="21"/>
          <w:szCs w:val="21"/>
        </w:rPr>
        <w:t>5</w:t>
      </w:r>
      <w:r w:rsidRPr="007C2763">
        <w:rPr>
          <w:rFonts w:ascii="Abadi" w:hAnsi="Abadi" w:cs="Arial-ItalicMT"/>
          <w:i/>
          <w:iCs/>
          <w:sz w:val="21"/>
          <w:szCs w:val="21"/>
        </w:rPr>
        <w:t xml:space="preserve">. Reunión de Comisión para en su caso, </w:t>
      </w:r>
      <w:r w:rsidRPr="007C2763">
        <w:rPr>
          <w:rFonts w:ascii="Abadi" w:hAnsi="Abadi" w:cs="Arial-BoldItalicMT"/>
          <w:b/>
          <w:bCs/>
          <w:i/>
          <w:iCs/>
          <w:sz w:val="21"/>
          <w:szCs w:val="21"/>
        </w:rPr>
        <w:t>aprobar el dictamen</w:t>
      </w:r>
      <w:r w:rsidRPr="007C2763">
        <w:rPr>
          <w:rFonts w:ascii="Abadi" w:hAnsi="Abadi" w:cs="Arial-ItalicMT"/>
          <w:i/>
          <w:iCs/>
          <w:sz w:val="21"/>
          <w:szCs w:val="21"/>
        </w:rPr>
        <w:t xml:space="preserve">.&gt;&gt;  </w:t>
      </w:r>
    </w:p>
    <w:p w14:paraId="12BD7C9B" w14:textId="77777777" w:rsidR="00503B61" w:rsidRPr="007C2763" w:rsidRDefault="00503B61" w:rsidP="00503B61">
      <w:pPr>
        <w:autoSpaceDE w:val="0"/>
        <w:autoSpaceDN w:val="0"/>
        <w:adjustRightInd w:val="0"/>
        <w:ind w:firstLine="708"/>
        <w:jc w:val="both"/>
        <w:rPr>
          <w:rFonts w:ascii="Abadi" w:hAnsi="Abadi" w:cs="Arial-ItalicMT"/>
          <w:i/>
          <w:iCs/>
          <w:sz w:val="21"/>
          <w:szCs w:val="21"/>
        </w:rPr>
      </w:pPr>
    </w:p>
    <w:p w14:paraId="0A621031" w14:textId="77777777" w:rsidR="00503B61" w:rsidRPr="007C2763" w:rsidRDefault="00503B61" w:rsidP="00503B61">
      <w:pPr>
        <w:autoSpaceDE w:val="0"/>
        <w:autoSpaceDN w:val="0"/>
        <w:adjustRightInd w:val="0"/>
        <w:ind w:firstLine="708"/>
        <w:jc w:val="both"/>
        <w:rPr>
          <w:rFonts w:ascii="Abadi" w:hAnsi="Abadi" w:cs="Arial-ItalicMT"/>
          <w:i/>
          <w:iCs/>
          <w:sz w:val="21"/>
          <w:szCs w:val="21"/>
        </w:rPr>
      </w:pPr>
      <w:r w:rsidRPr="007C2763">
        <w:rPr>
          <w:rFonts w:ascii="Abadi" w:hAnsi="Abadi" w:cs="ArialMT"/>
          <w:sz w:val="21"/>
          <w:szCs w:val="21"/>
        </w:rPr>
        <w:t>En seguimiento a la metodología aprobada, se solicitó al Consejo Directivo</w:t>
      </w:r>
      <w:r w:rsidRPr="007C2763">
        <w:rPr>
          <w:rFonts w:ascii="Abadi" w:hAnsi="Abadi" w:cs="Arial-ItalicMT"/>
          <w:i/>
          <w:iCs/>
          <w:sz w:val="21"/>
          <w:szCs w:val="21"/>
        </w:rPr>
        <w:t xml:space="preserve"> </w:t>
      </w:r>
      <w:r w:rsidRPr="007C2763">
        <w:rPr>
          <w:rFonts w:ascii="Abadi" w:hAnsi="Abadi" w:cs="ArialMT"/>
          <w:sz w:val="21"/>
          <w:szCs w:val="21"/>
        </w:rPr>
        <w:t>del Sistema de Agua Potable y Alcantarillado de León, información detallada sobre lo expuesto en la propuesta de exhorto, misma que fue remitida el día 15 de diciembre de 2021 por parte del Ing. Jorge Ramírez Hernández, Presidente del Consejo Directivo del Sistema de Agua Potable y Alcantarillado de León. Se transcribe el contenido de la respuesta:</w:t>
      </w:r>
    </w:p>
    <w:p w14:paraId="6F13DF05" w14:textId="77777777" w:rsidR="00503B61" w:rsidRPr="007C2763" w:rsidRDefault="00503B61" w:rsidP="00503B61">
      <w:pPr>
        <w:autoSpaceDE w:val="0"/>
        <w:autoSpaceDN w:val="0"/>
        <w:adjustRightInd w:val="0"/>
        <w:jc w:val="center"/>
        <w:rPr>
          <w:rFonts w:ascii="Abadi" w:hAnsi="Abadi" w:cs="ArialMT"/>
          <w:sz w:val="21"/>
          <w:szCs w:val="21"/>
        </w:rPr>
      </w:pPr>
    </w:p>
    <w:p w14:paraId="685FBDFF" w14:textId="77777777" w:rsidR="00503B61" w:rsidRPr="007C2763" w:rsidRDefault="00503B61" w:rsidP="00503B61">
      <w:pPr>
        <w:autoSpaceDE w:val="0"/>
        <w:autoSpaceDN w:val="0"/>
        <w:adjustRightInd w:val="0"/>
        <w:jc w:val="center"/>
        <w:rPr>
          <w:rFonts w:ascii="Abadi" w:hAnsi="Abadi" w:cs="ArialMT"/>
          <w:sz w:val="21"/>
          <w:szCs w:val="21"/>
        </w:rPr>
      </w:pPr>
    </w:p>
    <w:p w14:paraId="3C08D127" w14:textId="77777777" w:rsidR="00503B61" w:rsidRPr="007C2763" w:rsidRDefault="00503B61" w:rsidP="00503B61">
      <w:pPr>
        <w:autoSpaceDE w:val="0"/>
        <w:autoSpaceDN w:val="0"/>
        <w:adjustRightInd w:val="0"/>
        <w:jc w:val="center"/>
        <w:rPr>
          <w:rFonts w:ascii="Abadi" w:hAnsi="Abadi" w:cs="Arial-ItalicMT"/>
          <w:i/>
          <w:iCs/>
          <w:sz w:val="21"/>
          <w:szCs w:val="21"/>
        </w:rPr>
      </w:pPr>
      <w:r w:rsidRPr="007C2763">
        <w:rPr>
          <w:rFonts w:ascii="Abadi" w:hAnsi="Abadi" w:cs="Arial-ItalicMT"/>
          <w:i/>
          <w:iCs/>
          <w:sz w:val="21"/>
          <w:szCs w:val="21"/>
        </w:rPr>
        <w:t>&lt;&lt;1.- CONDOLENCIAS Y APOYO.</w:t>
      </w:r>
    </w:p>
    <w:p w14:paraId="394CA620" w14:textId="77777777" w:rsidR="00503B61" w:rsidRPr="007C2763" w:rsidRDefault="00503B61" w:rsidP="00503B61">
      <w:pPr>
        <w:autoSpaceDE w:val="0"/>
        <w:autoSpaceDN w:val="0"/>
        <w:adjustRightInd w:val="0"/>
        <w:jc w:val="center"/>
        <w:rPr>
          <w:rFonts w:ascii="Abadi" w:hAnsi="Abadi" w:cs="Arial-ItalicMT"/>
          <w:i/>
          <w:iCs/>
          <w:sz w:val="21"/>
          <w:szCs w:val="21"/>
        </w:rPr>
      </w:pPr>
    </w:p>
    <w:p w14:paraId="7D012B0E" w14:textId="544DE07C" w:rsidR="00503B61" w:rsidRPr="007C2763" w:rsidRDefault="00503B61" w:rsidP="00583F9F">
      <w:pPr>
        <w:autoSpaceDE w:val="0"/>
        <w:autoSpaceDN w:val="0"/>
        <w:adjustRightInd w:val="0"/>
        <w:ind w:firstLine="708"/>
        <w:jc w:val="both"/>
        <w:rPr>
          <w:rFonts w:ascii="Abadi" w:hAnsi="Abadi" w:cs="Arial-ItalicMT"/>
          <w:i/>
          <w:iCs/>
          <w:sz w:val="21"/>
          <w:szCs w:val="21"/>
        </w:rPr>
      </w:pPr>
      <w:r w:rsidRPr="007C2763">
        <w:rPr>
          <w:rFonts w:ascii="Abadi" w:hAnsi="Abadi" w:cs="Arial-ItalicMT"/>
          <w:i/>
          <w:iCs/>
          <w:sz w:val="21"/>
          <w:szCs w:val="21"/>
        </w:rPr>
        <w:t xml:space="preserve">En primer lugar, sabemos que ningún esfuerzo económico y de acompañamiento será suficiente para compensar la pérdida de nuestros compañeros. Para </w:t>
      </w:r>
      <w:proofErr w:type="spellStart"/>
      <w:r w:rsidRPr="007C2763">
        <w:rPr>
          <w:rFonts w:ascii="Abadi" w:hAnsi="Abadi" w:cs="Arial-ItalicMT"/>
          <w:i/>
          <w:iCs/>
          <w:sz w:val="21"/>
          <w:szCs w:val="21"/>
        </w:rPr>
        <w:t>Sapa</w:t>
      </w:r>
      <w:r w:rsidR="009728DC">
        <w:rPr>
          <w:rFonts w:ascii="Abadi" w:hAnsi="Abadi" w:cs="Arial-ItalicMT"/>
          <w:i/>
          <w:iCs/>
          <w:sz w:val="21"/>
          <w:szCs w:val="21"/>
        </w:rPr>
        <w:t>l</w:t>
      </w:r>
      <w:proofErr w:type="spellEnd"/>
      <w:r w:rsidR="009728DC">
        <w:rPr>
          <w:rFonts w:ascii="Abadi" w:hAnsi="Abadi" w:cs="Arial-ItalicMT"/>
          <w:i/>
          <w:iCs/>
          <w:sz w:val="21"/>
          <w:szCs w:val="21"/>
        </w:rPr>
        <w:t xml:space="preserve"> l</w:t>
      </w:r>
      <w:r w:rsidRPr="007C2763">
        <w:rPr>
          <w:rFonts w:ascii="Abadi" w:hAnsi="Abadi" w:cs="Arial-ItalicMT"/>
          <w:i/>
          <w:iCs/>
          <w:sz w:val="21"/>
          <w:szCs w:val="21"/>
        </w:rPr>
        <w:t>o más importante es el bienestar de sus trabajadores y sus familias. Con esto en mente y en el corazón, desde primer momento estuvimos presentes. A unas horas de haber tenido conocimiento del fatal accidente, inmediatamente tuve contacto con cada familia de los compañeros fallecidos, manifestándoles mi</w:t>
      </w:r>
      <w:r w:rsidR="00583F9F" w:rsidRPr="007C2763">
        <w:rPr>
          <w:rFonts w:ascii="Abadi" w:hAnsi="Abadi" w:cs="Arial-ItalicMT"/>
          <w:i/>
          <w:iCs/>
          <w:sz w:val="21"/>
          <w:szCs w:val="21"/>
        </w:rPr>
        <w:t xml:space="preserve"> </w:t>
      </w:r>
      <w:r w:rsidRPr="007C2763">
        <w:rPr>
          <w:rFonts w:ascii="Abadi" w:hAnsi="Abadi" w:cs="Arial-ItalicMT"/>
          <w:i/>
          <w:iCs/>
          <w:sz w:val="21"/>
          <w:szCs w:val="21"/>
        </w:rPr>
        <w:t>duelo ante el evento que devastó nuestra tranquilidad y paz.</w:t>
      </w:r>
    </w:p>
    <w:p w14:paraId="30DDA9E7" w14:textId="77777777" w:rsidR="00503B61" w:rsidRPr="007C2763" w:rsidRDefault="00503B61" w:rsidP="00503B61">
      <w:pPr>
        <w:autoSpaceDE w:val="0"/>
        <w:autoSpaceDN w:val="0"/>
        <w:adjustRightInd w:val="0"/>
        <w:jc w:val="both"/>
        <w:rPr>
          <w:rFonts w:ascii="Abadi" w:hAnsi="Abadi" w:cs="Arial-ItalicMT"/>
          <w:i/>
          <w:iCs/>
          <w:sz w:val="21"/>
          <w:szCs w:val="21"/>
        </w:rPr>
      </w:pPr>
    </w:p>
    <w:p w14:paraId="42CBD976" w14:textId="77777777" w:rsidR="00503B61" w:rsidRPr="007C2763" w:rsidRDefault="00503B61" w:rsidP="00503B61">
      <w:pPr>
        <w:autoSpaceDE w:val="0"/>
        <w:autoSpaceDN w:val="0"/>
        <w:adjustRightInd w:val="0"/>
        <w:ind w:firstLine="708"/>
        <w:jc w:val="both"/>
        <w:rPr>
          <w:rFonts w:ascii="Abadi" w:hAnsi="Abadi" w:cs="Arial-ItalicMT"/>
          <w:i/>
          <w:iCs/>
          <w:sz w:val="21"/>
          <w:szCs w:val="21"/>
        </w:rPr>
      </w:pPr>
      <w:r w:rsidRPr="007C2763">
        <w:rPr>
          <w:rFonts w:ascii="Abadi" w:hAnsi="Abadi" w:cs="Arial-ItalicMT"/>
          <w:i/>
          <w:iCs/>
          <w:sz w:val="21"/>
          <w:szCs w:val="21"/>
        </w:rPr>
        <w:t>Siendo sensibles y compartiendo el profundo dolor ante la pérdida de un integrante de la familia, la totalidad de los Consejeros, el Director General, el equipo operativo y el suscrito, a manera de demostrar la empatía con este gran dolor compartimos una ceremonia eucarística, solidarizándonos con las familias e inmediatamente tuvimos un acercamiento nuestro apoyo incondicional en los todos los aspectos que fueren necesarios, estando conscientes de que ninguna de estas circunstancias devolverían la vida del ser querido. En este mismo sentido, incluso al final de la misa, el suscrito y algunos Consejeros, hablamos con los deudos externándoles estas muestras de pena y dolor por la pérdida irreparable del ser querido.</w:t>
      </w:r>
    </w:p>
    <w:p w14:paraId="216255D7" w14:textId="77777777" w:rsidR="00503B61" w:rsidRPr="007C2763" w:rsidRDefault="00503B61" w:rsidP="00503B61">
      <w:pPr>
        <w:autoSpaceDE w:val="0"/>
        <w:autoSpaceDN w:val="0"/>
        <w:adjustRightInd w:val="0"/>
        <w:jc w:val="both"/>
        <w:rPr>
          <w:rFonts w:ascii="Abadi" w:hAnsi="Abadi" w:cs="Arial-ItalicMT"/>
          <w:i/>
          <w:iCs/>
          <w:sz w:val="21"/>
          <w:szCs w:val="21"/>
        </w:rPr>
      </w:pPr>
    </w:p>
    <w:p w14:paraId="5483E801"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 xml:space="preserve">Hoy deseo manifestarles, como lo hice en su momento con los deudos de nuestros compañeros, la inmensa tristeza y pena que nos continúa generando dolor, a consecuencia del desafortunado acontecimiento, asegurando que en ningún momento nos hemos desprendido del luto por la pérdida de nuestros compañeros de </w:t>
      </w:r>
      <w:proofErr w:type="spellStart"/>
      <w:r w:rsidRPr="007C2763">
        <w:rPr>
          <w:rFonts w:ascii="Abadi" w:hAnsi="Abadi" w:cs="Arial-ItalicMT"/>
          <w:i/>
          <w:iCs/>
          <w:sz w:val="21"/>
          <w:szCs w:val="21"/>
        </w:rPr>
        <w:t>Sapal</w:t>
      </w:r>
      <w:proofErr w:type="spellEnd"/>
      <w:r w:rsidRPr="007C2763">
        <w:rPr>
          <w:rFonts w:ascii="Abadi" w:hAnsi="Abadi" w:cs="Arial-ItalicMT"/>
          <w:i/>
          <w:iCs/>
          <w:sz w:val="21"/>
          <w:szCs w:val="21"/>
        </w:rPr>
        <w:t>, y respecto de lo cual permanentemente se han reforzados las medidas de seguridad para garantizar, sin excusa alguna, que nunca vuelva a presentarse otro evento que afecte la vida de nuestros colaboradores en el desempeño de sus actividades. Ante ello, me permito reiterarles que hemos permanecido en constante contacto y comunicación con los deudos de los trabajadores fallecidos, cada una de las familias cuentan con mi número de celular personal y saben que estoy disponible para lo que necesiten en todo momento, desde la fecha del accidente y hasta el día de hoy.</w:t>
      </w:r>
    </w:p>
    <w:p w14:paraId="63685277" w14:textId="77777777" w:rsidR="00503B61" w:rsidRPr="007C2763" w:rsidRDefault="00503B61" w:rsidP="00503B61">
      <w:pPr>
        <w:autoSpaceDE w:val="0"/>
        <w:autoSpaceDN w:val="0"/>
        <w:adjustRightInd w:val="0"/>
        <w:jc w:val="both"/>
        <w:rPr>
          <w:rFonts w:ascii="Abadi" w:hAnsi="Abadi" w:cs="Arial-ItalicMT"/>
          <w:i/>
          <w:iCs/>
          <w:sz w:val="21"/>
          <w:szCs w:val="21"/>
        </w:rPr>
      </w:pPr>
    </w:p>
    <w:p w14:paraId="343092D9" w14:textId="77777777" w:rsidR="00503B61" w:rsidRPr="007C2763" w:rsidRDefault="00503B61" w:rsidP="00503B61">
      <w:pPr>
        <w:autoSpaceDE w:val="0"/>
        <w:autoSpaceDN w:val="0"/>
        <w:adjustRightInd w:val="0"/>
        <w:jc w:val="both"/>
        <w:rPr>
          <w:rFonts w:ascii="Abadi" w:hAnsi="Abadi" w:cs="Arial-ItalicMT"/>
          <w:i/>
          <w:iCs/>
          <w:sz w:val="21"/>
          <w:szCs w:val="21"/>
        </w:rPr>
      </w:pPr>
    </w:p>
    <w:p w14:paraId="467E4CB9" w14:textId="77777777" w:rsidR="00503B61" w:rsidRPr="007C2763" w:rsidRDefault="00503B61" w:rsidP="00503B61">
      <w:pPr>
        <w:autoSpaceDE w:val="0"/>
        <w:autoSpaceDN w:val="0"/>
        <w:adjustRightInd w:val="0"/>
        <w:jc w:val="center"/>
        <w:rPr>
          <w:rFonts w:ascii="Abadi" w:hAnsi="Abadi" w:cs="Arial-ItalicMT"/>
          <w:i/>
          <w:iCs/>
          <w:sz w:val="21"/>
          <w:szCs w:val="21"/>
        </w:rPr>
      </w:pPr>
      <w:r w:rsidRPr="007C2763">
        <w:rPr>
          <w:rFonts w:ascii="Abadi" w:hAnsi="Abadi" w:cs="Arial-ItalicMT"/>
          <w:i/>
          <w:iCs/>
          <w:sz w:val="21"/>
          <w:szCs w:val="21"/>
        </w:rPr>
        <w:t>2,- ACCIONES REALIZADAS,</w:t>
      </w:r>
    </w:p>
    <w:p w14:paraId="7FFECB53" w14:textId="03CE50A3" w:rsidR="00503B61"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Además de lo anterior, se informa que desde que ocurrió el accidente y hasta la fecha el Sistema de Agua Potable y Alcantarillado de León, ha coadyuvado y colaborado en todos y cada uno de los</w:t>
      </w:r>
      <w:r w:rsidR="009728DC">
        <w:rPr>
          <w:rFonts w:ascii="Abadi" w:hAnsi="Abadi" w:cs="Arial-ItalicMT"/>
          <w:i/>
          <w:iCs/>
          <w:sz w:val="21"/>
          <w:szCs w:val="21"/>
        </w:rPr>
        <w:t xml:space="preserve"> </w:t>
      </w:r>
      <w:r w:rsidRPr="007C2763">
        <w:rPr>
          <w:rFonts w:ascii="Abadi" w:hAnsi="Abadi" w:cs="Arial-ItalicMT"/>
          <w:i/>
          <w:iCs/>
          <w:sz w:val="21"/>
          <w:szCs w:val="21"/>
        </w:rPr>
        <w:t>requerimientos de las Autoridades correspondientes que llevan a cabo las investigaciones, a fin de</w:t>
      </w:r>
      <w:r w:rsidR="00583F9F" w:rsidRPr="007C2763">
        <w:rPr>
          <w:rFonts w:ascii="Abadi" w:hAnsi="Abadi" w:cs="Arial-ItalicMT"/>
          <w:i/>
          <w:iCs/>
          <w:sz w:val="21"/>
          <w:szCs w:val="21"/>
        </w:rPr>
        <w:t xml:space="preserve"> </w:t>
      </w:r>
      <w:r w:rsidRPr="007C2763">
        <w:rPr>
          <w:rFonts w:ascii="Abadi" w:hAnsi="Abadi" w:cs="Arial-ItalicMT"/>
          <w:i/>
          <w:iCs/>
          <w:sz w:val="21"/>
          <w:szCs w:val="21"/>
        </w:rPr>
        <w:t>esclarecer los hechos que se suscitaron en la fecha señalada, así Gomo con los familiares de los trabajadores fallecidos, brindándoles el apoyo requerido en todo momento.</w:t>
      </w:r>
    </w:p>
    <w:p w14:paraId="1CF82E4C" w14:textId="77777777" w:rsidR="009728DC" w:rsidRPr="007C2763" w:rsidRDefault="009728DC" w:rsidP="00503B61">
      <w:pPr>
        <w:autoSpaceDE w:val="0"/>
        <w:autoSpaceDN w:val="0"/>
        <w:adjustRightInd w:val="0"/>
        <w:jc w:val="both"/>
        <w:rPr>
          <w:rFonts w:ascii="Abadi" w:hAnsi="Abadi" w:cs="Arial-ItalicMT"/>
          <w:i/>
          <w:iCs/>
          <w:sz w:val="21"/>
          <w:szCs w:val="21"/>
        </w:rPr>
      </w:pPr>
    </w:p>
    <w:p w14:paraId="6CCB2A7B"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Sin embargo cabe mencionar que, si bien, este Organismo Operador ha coadyuvado con las autoridades competentes, dicho apoyo se ha realizado desde una postura imparcial, permitiendo en todo momento que las Autoridades competentes en la materia la investigación de los hechos ocurrido el pasado 13 de noviembre de 2020, puedan esclarecer los hechos, esto, a fin de no entorpecer de manera alguna dichas investigaciones, y que se lleven de manera más objetiva y apegada a derecho por las Autoridades, reiterando el compromiso de coadyuvar en todo momento con las instituciones encargadas de las investigaciones oficiales.</w:t>
      </w:r>
    </w:p>
    <w:p w14:paraId="4929B049" w14:textId="77777777" w:rsidR="00503B61" w:rsidRPr="007C2763" w:rsidRDefault="00503B61" w:rsidP="00503B61">
      <w:pPr>
        <w:autoSpaceDE w:val="0"/>
        <w:autoSpaceDN w:val="0"/>
        <w:adjustRightInd w:val="0"/>
        <w:jc w:val="both"/>
        <w:rPr>
          <w:rFonts w:ascii="Abadi" w:hAnsi="Abadi" w:cs="Arial-ItalicMT"/>
          <w:i/>
          <w:iCs/>
          <w:sz w:val="21"/>
          <w:szCs w:val="21"/>
        </w:rPr>
      </w:pPr>
    </w:p>
    <w:p w14:paraId="192BF04E" w14:textId="54AF3BBB"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Ahora bien, debe mencionarse que, tal y como se informó a la Procuraduría de los Derechos</w:t>
      </w:r>
      <w:r w:rsidR="00216944" w:rsidRPr="007C2763">
        <w:rPr>
          <w:rFonts w:ascii="Abadi" w:hAnsi="Abadi" w:cs="Arial-ItalicMT"/>
          <w:i/>
          <w:iCs/>
          <w:sz w:val="21"/>
          <w:szCs w:val="21"/>
        </w:rPr>
        <w:t xml:space="preserve"> </w:t>
      </w:r>
      <w:r w:rsidRPr="007C2763">
        <w:rPr>
          <w:rFonts w:ascii="Abadi" w:hAnsi="Abadi" w:cs="Arial-ItalicMT"/>
          <w:i/>
          <w:iCs/>
          <w:sz w:val="21"/>
          <w:szCs w:val="21"/>
        </w:rPr>
        <w:t>Humanos del Estado de Guanajuato, mi representada ha realizado (entre otras) las siguientes</w:t>
      </w:r>
      <w:r w:rsidR="00216944" w:rsidRPr="007C2763">
        <w:rPr>
          <w:rFonts w:ascii="Abadi" w:hAnsi="Abadi" w:cs="Arial-ItalicMT"/>
          <w:i/>
          <w:iCs/>
          <w:sz w:val="21"/>
          <w:szCs w:val="21"/>
        </w:rPr>
        <w:t xml:space="preserve"> </w:t>
      </w:r>
      <w:r w:rsidRPr="007C2763">
        <w:rPr>
          <w:rFonts w:ascii="Abadi" w:hAnsi="Abadi" w:cs="Arial-ItalicMT"/>
          <w:i/>
          <w:iCs/>
          <w:sz w:val="21"/>
          <w:szCs w:val="21"/>
        </w:rPr>
        <w:t>acciones:</w:t>
      </w:r>
    </w:p>
    <w:p w14:paraId="45AEA246"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1,- En materia "económicas y de desarrollo", se indica que, lo siguiente:</w:t>
      </w:r>
    </w:p>
    <w:p w14:paraId="229609BB" w14:textId="7C0E340C" w:rsidR="00503B61" w:rsidRPr="007C2763" w:rsidRDefault="00503B61" w:rsidP="00583F9F">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a) Mi representada implementó las acciones administrativas necesarias para hacer efectivo el</w:t>
      </w:r>
      <w:r w:rsidR="00216944" w:rsidRPr="007C2763">
        <w:rPr>
          <w:rFonts w:ascii="Abadi" w:hAnsi="Abadi" w:cs="Arial-ItalicMT"/>
          <w:i/>
          <w:iCs/>
          <w:sz w:val="21"/>
          <w:szCs w:val="21"/>
        </w:rPr>
        <w:t xml:space="preserve"> </w:t>
      </w:r>
      <w:r w:rsidRPr="007C2763">
        <w:rPr>
          <w:rFonts w:ascii="Abadi" w:hAnsi="Abadi" w:cs="Arial-ItalicMT"/>
          <w:i/>
          <w:iCs/>
          <w:sz w:val="21"/>
          <w:szCs w:val="21"/>
        </w:rPr>
        <w:t>seguro de vida de los trabajadores, además de que, a efecto de respetar los derechos laborales que en su momento correspondían a los trabajadores fallecidos, mi representada mediante "Procedimientos Paraprocesales - Voluntarios" depositó ante el Tribunal de Conciliación y Arbitraje</w:t>
      </w:r>
      <w:r w:rsidR="00583F9F" w:rsidRPr="007C2763">
        <w:rPr>
          <w:rFonts w:ascii="Abadi" w:hAnsi="Abadi" w:cs="Arial-ItalicMT"/>
          <w:i/>
          <w:iCs/>
          <w:sz w:val="21"/>
          <w:szCs w:val="21"/>
        </w:rPr>
        <w:t xml:space="preserve"> </w:t>
      </w:r>
      <w:r w:rsidRPr="007C2763">
        <w:rPr>
          <w:rFonts w:ascii="Abadi" w:hAnsi="Abadi" w:cs="Arial-ItalicMT"/>
          <w:i/>
          <w:iCs/>
          <w:sz w:val="21"/>
          <w:szCs w:val="21"/>
        </w:rPr>
        <w:t>del Estado de Guanajuato, las prestaciones que por ley corresponden a los deudos de los familiares,</w:t>
      </w:r>
      <w:r w:rsidR="00583F9F" w:rsidRPr="007C2763">
        <w:rPr>
          <w:rFonts w:ascii="Abadi" w:hAnsi="Abadi" w:cs="Arial-ItalicMT"/>
          <w:i/>
          <w:iCs/>
          <w:sz w:val="21"/>
          <w:szCs w:val="21"/>
        </w:rPr>
        <w:t xml:space="preserve"> </w:t>
      </w:r>
      <w:r w:rsidRPr="007C2763">
        <w:rPr>
          <w:rFonts w:ascii="Abadi" w:hAnsi="Abadi" w:cs="Arial-ItalicMT"/>
          <w:i/>
          <w:iCs/>
          <w:sz w:val="21"/>
          <w:szCs w:val="21"/>
        </w:rPr>
        <w:t>y proporcionó la información y asesoría necesaria a los familiares a efecto de que estuvieran en aptitud de realizar los trámites necesarios ante el Instituto Mexicano del Seguro Social, a efecto de solicitar la pensión que por derecho les corresponde. del mismo.</w:t>
      </w:r>
    </w:p>
    <w:p w14:paraId="70FFFD82" w14:textId="77777777" w:rsidR="00503B61" w:rsidRPr="007C2763" w:rsidRDefault="00503B61" w:rsidP="00503B61">
      <w:pPr>
        <w:jc w:val="both"/>
        <w:rPr>
          <w:rFonts w:ascii="Abadi" w:hAnsi="Abadi" w:cs="Arial-ItalicMT"/>
          <w:i/>
          <w:iCs/>
          <w:sz w:val="21"/>
          <w:szCs w:val="21"/>
        </w:rPr>
      </w:pPr>
      <w:r w:rsidRPr="007C2763">
        <w:rPr>
          <w:rFonts w:ascii="Abadi" w:hAnsi="Abadi" w:cs="Arial-ItalicMT"/>
          <w:i/>
          <w:iCs/>
          <w:sz w:val="21"/>
          <w:szCs w:val="21"/>
        </w:rPr>
        <w:t>b) Se reitera que mi representada ha colaborado con las autoridades laborales y judiciales, dentro de los procedimientos llevados a cabo ante estas.</w:t>
      </w:r>
    </w:p>
    <w:p w14:paraId="27AD555F" w14:textId="77777777" w:rsidR="00503B61" w:rsidRPr="007C2763" w:rsidRDefault="00503B61" w:rsidP="00503B61">
      <w:pPr>
        <w:spacing w:after="160" w:line="259" w:lineRule="auto"/>
        <w:jc w:val="both"/>
        <w:rPr>
          <w:rFonts w:ascii="Abadi" w:hAnsi="Abadi" w:cs="Arial-ItalicMT"/>
          <w:i/>
          <w:iCs/>
          <w:sz w:val="21"/>
          <w:szCs w:val="21"/>
        </w:rPr>
      </w:pPr>
      <w:r w:rsidRPr="007C2763">
        <w:rPr>
          <w:rFonts w:ascii="Abadi" w:hAnsi="Abadi" w:cs="Arial-ItalicMT"/>
          <w:i/>
          <w:iCs/>
          <w:sz w:val="21"/>
          <w:szCs w:val="21"/>
        </w:rPr>
        <w:t>c) Mi representada solicitó la intervención del Centro Estatal de Justicia Alternativa, a efecto de resolver de forma expedita a través del dialogo y participación con los familiares de los trabajadores fallecidos cualquier procedimiento judicial pendiente.</w:t>
      </w:r>
    </w:p>
    <w:p w14:paraId="3FB0DBC7"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 xml:space="preserve">2.- En materia de "rehabilitación", se informa que mi representada, de forma prácticamente inmediata a que aconteció el suceso, ofreció a las familias de nuestros compañeros fallecidos la atención médica, psicosocial y/o psiquiátrica que requirieran como rehabilitación frente a los efectos sufridos por el impacto del trágico acontecimiento; esto, a través de los tanatólogos </w:t>
      </w:r>
      <w:proofErr w:type="spellStart"/>
      <w:r w:rsidRPr="007C2763">
        <w:rPr>
          <w:rFonts w:ascii="Abadi" w:hAnsi="Abadi" w:cs="Arial-ItalicMT"/>
          <w:i/>
          <w:iCs/>
          <w:sz w:val="21"/>
          <w:szCs w:val="21"/>
        </w:rPr>
        <w:t>Ranfeli</w:t>
      </w:r>
      <w:proofErr w:type="spellEnd"/>
      <w:r w:rsidRPr="007C2763">
        <w:rPr>
          <w:rFonts w:ascii="Abadi" w:hAnsi="Abadi" w:cs="Arial-ItalicMT"/>
          <w:i/>
          <w:iCs/>
          <w:sz w:val="21"/>
          <w:szCs w:val="21"/>
        </w:rPr>
        <w:t xml:space="preserve"> Valencia Pérez y Ma. De Jesús Hernández Orozco, esto, hasta que los deudos tomaron la decisión de no continuar con las sesiones de tratamiento.</w:t>
      </w:r>
    </w:p>
    <w:p w14:paraId="7EEC38F5" w14:textId="77777777" w:rsidR="00503B61" w:rsidRPr="007C2763" w:rsidRDefault="00503B61" w:rsidP="00503B61">
      <w:pPr>
        <w:autoSpaceDE w:val="0"/>
        <w:autoSpaceDN w:val="0"/>
        <w:adjustRightInd w:val="0"/>
        <w:jc w:val="both"/>
        <w:rPr>
          <w:rFonts w:ascii="Abadi" w:hAnsi="Abadi" w:cs="Arial-ItalicMT"/>
          <w:i/>
          <w:iCs/>
          <w:sz w:val="21"/>
          <w:szCs w:val="21"/>
        </w:rPr>
      </w:pPr>
    </w:p>
    <w:p w14:paraId="2F5B15D1" w14:textId="2E12A1EB"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Además, dentro de las mesas de mediación que se han llevado en el mencionado Centro Estatal de</w:t>
      </w:r>
      <w:r w:rsidR="00216944" w:rsidRPr="007C2763">
        <w:rPr>
          <w:rFonts w:ascii="Abadi" w:hAnsi="Abadi" w:cs="Arial-ItalicMT"/>
          <w:i/>
          <w:iCs/>
          <w:sz w:val="21"/>
          <w:szCs w:val="21"/>
        </w:rPr>
        <w:t xml:space="preserve"> </w:t>
      </w:r>
      <w:r w:rsidRPr="007C2763">
        <w:rPr>
          <w:rFonts w:ascii="Abadi" w:hAnsi="Abadi" w:cs="Arial-ItalicMT"/>
          <w:i/>
          <w:iCs/>
          <w:sz w:val="21"/>
          <w:szCs w:val="21"/>
        </w:rPr>
        <w:t>Justicia Alternativa, se encuentra un ofrecimiento relacionado con este punto, sin embargo,</w:t>
      </w:r>
    </w:p>
    <w:p w14:paraId="66E18174" w14:textId="50E73858"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atendiendo al principio de secrecía, solicitado expresamente por los familiares intervinientes de los</w:t>
      </w:r>
      <w:r w:rsidR="00216944" w:rsidRPr="007C2763">
        <w:rPr>
          <w:rFonts w:ascii="Abadi" w:hAnsi="Abadi" w:cs="Arial-ItalicMT"/>
          <w:i/>
          <w:iCs/>
          <w:sz w:val="21"/>
          <w:szCs w:val="21"/>
        </w:rPr>
        <w:t xml:space="preserve"> </w:t>
      </w:r>
      <w:r w:rsidRPr="007C2763">
        <w:rPr>
          <w:rFonts w:ascii="Abadi" w:hAnsi="Abadi" w:cs="Arial-ItalicMT"/>
          <w:i/>
          <w:iCs/>
          <w:sz w:val="21"/>
          <w:szCs w:val="21"/>
        </w:rPr>
        <w:t>trabajadores de lamentablemente fallecieron en los hechos mencionados, es que una vez que se</w:t>
      </w:r>
      <w:r w:rsidR="009728DC">
        <w:rPr>
          <w:rFonts w:ascii="Abadi" w:hAnsi="Abadi" w:cs="Arial-ItalicMT"/>
          <w:i/>
          <w:iCs/>
          <w:sz w:val="21"/>
          <w:szCs w:val="21"/>
        </w:rPr>
        <w:t xml:space="preserve"> </w:t>
      </w:r>
      <w:r w:rsidRPr="007C2763">
        <w:rPr>
          <w:rFonts w:ascii="Abadi" w:hAnsi="Abadi" w:cs="Arial-ItalicMT"/>
          <w:i/>
          <w:iCs/>
          <w:sz w:val="21"/>
          <w:szCs w:val="21"/>
        </w:rPr>
        <w:t>culmine con el proceso señalado, este Organismo estará en posición de comunicar lo resuelto ante</w:t>
      </w:r>
      <w:r w:rsidR="00216944" w:rsidRPr="007C2763">
        <w:rPr>
          <w:rFonts w:ascii="Abadi" w:hAnsi="Abadi" w:cs="Arial-ItalicMT"/>
          <w:i/>
          <w:iCs/>
          <w:sz w:val="21"/>
          <w:szCs w:val="21"/>
        </w:rPr>
        <w:t xml:space="preserve"> </w:t>
      </w:r>
      <w:r w:rsidRPr="007C2763">
        <w:rPr>
          <w:rFonts w:ascii="Abadi" w:hAnsi="Abadi" w:cs="Arial-ItalicMT"/>
          <w:i/>
          <w:iCs/>
          <w:sz w:val="21"/>
          <w:szCs w:val="21"/>
        </w:rPr>
        <w:t>dicha instancia</w:t>
      </w:r>
    </w:p>
    <w:p w14:paraId="3CB0F2AE" w14:textId="55133A43"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3.- En cuanto a "Medidas de no repetición", se indica que mi representada ha robustecido las</w:t>
      </w:r>
      <w:r w:rsidR="00216944" w:rsidRPr="007C2763">
        <w:rPr>
          <w:rFonts w:ascii="Abadi" w:hAnsi="Abadi" w:cs="Arial-ItalicMT"/>
          <w:i/>
          <w:iCs/>
          <w:sz w:val="21"/>
          <w:szCs w:val="21"/>
        </w:rPr>
        <w:t xml:space="preserve"> </w:t>
      </w:r>
      <w:r w:rsidRPr="007C2763">
        <w:rPr>
          <w:rFonts w:ascii="Abadi" w:hAnsi="Abadi" w:cs="Arial-ItalicMT"/>
          <w:i/>
          <w:iCs/>
          <w:sz w:val="21"/>
          <w:szCs w:val="21"/>
        </w:rPr>
        <w:t>medidas de seguridad dentro de la planta a efecto de evitar la repetición del accidente, constando</w:t>
      </w:r>
      <w:r w:rsidR="009728DC">
        <w:rPr>
          <w:rFonts w:ascii="Abadi" w:hAnsi="Abadi" w:cs="Arial-ItalicMT"/>
          <w:i/>
          <w:iCs/>
          <w:sz w:val="21"/>
          <w:szCs w:val="21"/>
        </w:rPr>
        <w:t xml:space="preserve"> </w:t>
      </w:r>
      <w:r w:rsidRPr="007C2763">
        <w:rPr>
          <w:rFonts w:ascii="Abadi" w:hAnsi="Abadi" w:cs="Arial-ItalicMT"/>
          <w:i/>
          <w:iCs/>
          <w:sz w:val="21"/>
          <w:szCs w:val="21"/>
        </w:rPr>
        <w:t>estas medidas (entre otras) en las siguientes</w:t>
      </w:r>
      <w:r w:rsidR="00216944" w:rsidRPr="007C2763">
        <w:rPr>
          <w:rFonts w:ascii="Abadi" w:hAnsi="Abadi" w:cs="Arial-ItalicMT"/>
          <w:i/>
          <w:iCs/>
          <w:sz w:val="21"/>
          <w:szCs w:val="21"/>
        </w:rPr>
        <w:t xml:space="preserve"> </w:t>
      </w:r>
      <w:r w:rsidRPr="007C2763">
        <w:rPr>
          <w:rFonts w:ascii="Abadi" w:hAnsi="Abadi" w:cs="Arial-ItalicMT"/>
          <w:i/>
          <w:iCs/>
          <w:sz w:val="21"/>
          <w:szCs w:val="21"/>
        </w:rPr>
        <w:t>Se mejoraron los siguientes controles de ingeniería:</w:t>
      </w:r>
    </w:p>
    <w:p w14:paraId="165506C5" w14:textId="37B1AA38"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Implementación de reingeniería de procesos evaluando condiciones seguras de operación y</w:t>
      </w:r>
      <w:r w:rsidR="00216944" w:rsidRPr="007C2763">
        <w:rPr>
          <w:rFonts w:ascii="Abadi" w:hAnsi="Abadi" w:cs="Arial-ItalicMT"/>
          <w:i/>
          <w:iCs/>
          <w:sz w:val="21"/>
          <w:szCs w:val="21"/>
        </w:rPr>
        <w:t xml:space="preserve"> </w:t>
      </w:r>
      <w:r w:rsidRPr="007C2763">
        <w:rPr>
          <w:rFonts w:ascii="Abadi" w:hAnsi="Abadi" w:cs="Arial-ItalicMT"/>
          <w:i/>
          <w:iCs/>
          <w:sz w:val="21"/>
          <w:szCs w:val="21"/>
        </w:rPr>
        <w:t>mantenimiento.</w:t>
      </w:r>
    </w:p>
    <w:p w14:paraId="56F16B63"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Se refuerza los tres filtros de acceso, para llegar al módulo de desbaste.</w:t>
      </w:r>
    </w:p>
    <w:p w14:paraId="06B19B2C"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&gt; Se utiliza un dron para monitoreo sin exponer directamente a los colaboradores.</w:t>
      </w:r>
    </w:p>
    <w:p w14:paraId="669A912B"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Se mejoraron los siguientes controles administrativos:</w:t>
      </w:r>
    </w:p>
    <w:p w14:paraId="52C00293" w14:textId="77777777" w:rsidR="00503B61" w:rsidRPr="007C2763" w:rsidRDefault="00503B61" w:rsidP="00503B61">
      <w:pPr>
        <w:jc w:val="both"/>
        <w:rPr>
          <w:rFonts w:ascii="Abadi" w:hAnsi="Abadi" w:cs="Arial-ItalicMT"/>
          <w:i/>
          <w:iCs/>
          <w:sz w:val="21"/>
          <w:szCs w:val="21"/>
        </w:rPr>
      </w:pPr>
      <w:r w:rsidRPr="007C2763">
        <w:rPr>
          <w:rFonts w:ascii="Abadi" w:hAnsi="Abadi" w:cs="Arial-ItalicMT"/>
          <w:i/>
          <w:iCs/>
          <w:sz w:val="21"/>
          <w:szCs w:val="21"/>
        </w:rPr>
        <w:t>&gt; Elaboración de permisos para liberar trabajos y actividades de riesgo alto.</w:t>
      </w:r>
    </w:p>
    <w:p w14:paraId="2B2FA715" w14:textId="77777777" w:rsidR="00503B61" w:rsidRPr="007C2763" w:rsidRDefault="00503B61" w:rsidP="00503B61">
      <w:pPr>
        <w:spacing w:after="160" w:line="259" w:lineRule="auto"/>
        <w:jc w:val="both"/>
        <w:rPr>
          <w:rFonts w:ascii="Abadi" w:hAnsi="Abadi" w:cs="Arial-ItalicMT"/>
          <w:i/>
          <w:iCs/>
          <w:sz w:val="21"/>
          <w:szCs w:val="21"/>
        </w:rPr>
      </w:pPr>
      <w:r w:rsidRPr="007C2763">
        <w:rPr>
          <w:rFonts w:ascii="Abadi" w:hAnsi="Abadi" w:cs="Arial-ItalicMT"/>
          <w:i/>
          <w:iCs/>
          <w:sz w:val="21"/>
          <w:szCs w:val="21"/>
        </w:rPr>
        <w:t>&gt; Supervisión estricta de la aplicación de las buenas prácticas al personal durante la jornada laboral.</w:t>
      </w:r>
    </w:p>
    <w:p w14:paraId="7C899146" w14:textId="2D0A6A91"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&gt; Supervisión estricta del uso de equipo de protección personal, así como difusión en el cuidado,</w:t>
      </w:r>
      <w:r w:rsidR="0043515D" w:rsidRPr="007C2763">
        <w:rPr>
          <w:rFonts w:ascii="Abadi" w:hAnsi="Abadi" w:cs="Arial-ItalicMT"/>
          <w:i/>
          <w:iCs/>
          <w:sz w:val="21"/>
          <w:szCs w:val="21"/>
        </w:rPr>
        <w:t xml:space="preserve"> </w:t>
      </w:r>
      <w:r w:rsidRPr="007C2763">
        <w:rPr>
          <w:rFonts w:ascii="Abadi" w:hAnsi="Abadi" w:cs="Arial-ItalicMT"/>
          <w:i/>
          <w:iCs/>
          <w:sz w:val="21"/>
          <w:szCs w:val="21"/>
        </w:rPr>
        <w:t>limpieza, mantenimiento y disposición final de dichos equipos.</w:t>
      </w:r>
    </w:p>
    <w:p w14:paraId="449733D9"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&gt; Control estricto de acceso a vehículos,</w:t>
      </w:r>
    </w:p>
    <w:p w14:paraId="77ACEAC3"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&gt; Control estricto de horarios de actividades de riesgo.</w:t>
      </w:r>
    </w:p>
    <w:p w14:paraId="3FB7405D"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Todo lo anterior también aplica para contratistas.</w:t>
      </w:r>
    </w:p>
    <w:p w14:paraId="742CFDA2" w14:textId="77777777" w:rsidR="00503B61" w:rsidRPr="007C2763" w:rsidRDefault="00503B61" w:rsidP="00503B61">
      <w:pPr>
        <w:autoSpaceDE w:val="0"/>
        <w:autoSpaceDN w:val="0"/>
        <w:adjustRightInd w:val="0"/>
        <w:jc w:val="both"/>
        <w:rPr>
          <w:rFonts w:ascii="Abadi" w:hAnsi="Abadi" w:cs="Arial-ItalicMT"/>
          <w:i/>
          <w:iCs/>
          <w:sz w:val="21"/>
          <w:szCs w:val="21"/>
        </w:rPr>
      </w:pPr>
    </w:p>
    <w:p w14:paraId="2FAA0D25" w14:textId="4F5328DE"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Cabe destacar que el Organismo que represento, además del refuerzo de los puntos antes citados,</w:t>
      </w:r>
      <w:r w:rsidR="0043515D" w:rsidRPr="007C2763">
        <w:rPr>
          <w:rFonts w:ascii="Abadi" w:hAnsi="Abadi" w:cs="Arial-ItalicMT"/>
          <w:i/>
          <w:iCs/>
          <w:sz w:val="21"/>
          <w:szCs w:val="21"/>
        </w:rPr>
        <w:t xml:space="preserve"> </w:t>
      </w:r>
      <w:r w:rsidRPr="007C2763">
        <w:rPr>
          <w:rFonts w:ascii="Abadi" w:hAnsi="Abadi" w:cs="Arial-ItalicMT"/>
          <w:i/>
          <w:iCs/>
          <w:sz w:val="21"/>
          <w:szCs w:val="21"/>
        </w:rPr>
        <w:t>cuenta con lo siguiente:</w:t>
      </w:r>
    </w:p>
    <w:p w14:paraId="4453BE9D" w14:textId="77777777" w:rsidR="0043515D" w:rsidRPr="007C2763" w:rsidRDefault="0043515D" w:rsidP="00503B61">
      <w:pPr>
        <w:autoSpaceDE w:val="0"/>
        <w:autoSpaceDN w:val="0"/>
        <w:adjustRightInd w:val="0"/>
        <w:jc w:val="both"/>
        <w:rPr>
          <w:rFonts w:ascii="Abadi" w:hAnsi="Abadi" w:cs="Arial-ItalicMT"/>
          <w:i/>
          <w:iCs/>
          <w:sz w:val="21"/>
          <w:szCs w:val="21"/>
        </w:rPr>
      </w:pPr>
    </w:p>
    <w:p w14:paraId="29C70B1A"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Cumplimiento normativo en materia aplicable de seguridad Secretaría del Trabajo y Previsión Social.</w:t>
      </w:r>
    </w:p>
    <w:p w14:paraId="5401A2EF"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NOM-001-STPS-2008 NOM-022-STPS-2015</w:t>
      </w:r>
    </w:p>
    <w:p w14:paraId="5DD49765"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NOM-002-STPS-2010 NOM-025-STPS-2008</w:t>
      </w:r>
    </w:p>
    <w:p w14:paraId="3FC0DF19"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NOM-004-STPS-1999 NOM-026-STPS-2008</w:t>
      </w:r>
    </w:p>
    <w:p w14:paraId="653BA104"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NOM-005-STPS-1998 NOM-027-STPS-2008</w:t>
      </w:r>
    </w:p>
    <w:p w14:paraId="3B9CF59D"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NOM-006-STPS-2014 NOM-028-STPS-2012</w:t>
      </w:r>
    </w:p>
    <w:p w14:paraId="0F8755BD"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NOM-009-STPS-2011 NOM-029-STPS-2011</w:t>
      </w:r>
    </w:p>
    <w:p w14:paraId="55F0F4FF"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NOM-OI0-STPS-2014 NOM-030-STPS-2009</w:t>
      </w:r>
    </w:p>
    <w:p w14:paraId="17F3C377"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NOM-Ol1-STPS-2001 NOM-031-STPS-2011</w:t>
      </w:r>
    </w:p>
    <w:p w14:paraId="7D9E6420"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NOM-017-STPS-2008 NOM-017-STPS-2015</w:t>
      </w:r>
    </w:p>
    <w:p w14:paraId="40740CCC"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NOM-OI0-STPS-2015 NOM-030-STPS-2018</w:t>
      </w:r>
    </w:p>
    <w:p w14:paraId="3F1BBA9D"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NOM-Ol1-STPS-2011 NOM-031-STPS-2018</w:t>
      </w:r>
    </w:p>
    <w:p w14:paraId="25D2DDF9"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NOM-017-STPS-2011</w:t>
      </w:r>
    </w:p>
    <w:p w14:paraId="259A5121" w14:textId="77777777" w:rsidR="00503B61" w:rsidRPr="007C2763" w:rsidRDefault="00503B61" w:rsidP="00503B61">
      <w:pPr>
        <w:autoSpaceDE w:val="0"/>
        <w:autoSpaceDN w:val="0"/>
        <w:adjustRightInd w:val="0"/>
        <w:jc w:val="both"/>
        <w:rPr>
          <w:rFonts w:ascii="Abadi" w:hAnsi="Abadi" w:cs="Arial-ItalicMT"/>
          <w:i/>
          <w:iCs/>
          <w:sz w:val="21"/>
          <w:szCs w:val="21"/>
        </w:rPr>
      </w:pPr>
    </w:p>
    <w:p w14:paraId="777F9166" w14:textId="555220D5"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Manuales de procedimientos y programas, supervisión estricta de instrucciones de trabajo,</w:t>
      </w:r>
      <w:r w:rsidR="0043515D" w:rsidRPr="007C2763">
        <w:rPr>
          <w:rFonts w:ascii="Abadi" w:hAnsi="Abadi" w:cs="Arial-ItalicMT"/>
          <w:i/>
          <w:iCs/>
          <w:sz w:val="21"/>
          <w:szCs w:val="21"/>
        </w:rPr>
        <w:t xml:space="preserve"> </w:t>
      </w:r>
      <w:r w:rsidRPr="007C2763">
        <w:rPr>
          <w:rFonts w:ascii="Abadi" w:hAnsi="Abadi" w:cs="Arial-ItalicMT"/>
          <w:i/>
          <w:iCs/>
          <w:sz w:val="21"/>
          <w:szCs w:val="21"/>
        </w:rPr>
        <w:t>reforzamiento de trípticos informativos difusión de trípticos con diversas normas, estudios, formatos</w:t>
      </w:r>
    </w:p>
    <w:p w14:paraId="73F9FF9F"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y registros, entre otros.</w:t>
      </w:r>
    </w:p>
    <w:p w14:paraId="58D0637B" w14:textId="77777777" w:rsidR="00503B61" w:rsidRPr="007C2763" w:rsidRDefault="00503B61" w:rsidP="00503B61">
      <w:pPr>
        <w:autoSpaceDE w:val="0"/>
        <w:autoSpaceDN w:val="0"/>
        <w:adjustRightInd w:val="0"/>
        <w:jc w:val="both"/>
        <w:rPr>
          <w:rFonts w:ascii="Abadi" w:hAnsi="Abadi" w:cs="Arial-ItalicMT"/>
          <w:i/>
          <w:iCs/>
          <w:sz w:val="21"/>
          <w:szCs w:val="21"/>
        </w:rPr>
      </w:pPr>
    </w:p>
    <w:p w14:paraId="4CB4639D" w14:textId="50C3B9BB" w:rsidR="00503B61" w:rsidRPr="007C2763" w:rsidRDefault="00503B61" w:rsidP="0043515D">
      <w:pPr>
        <w:autoSpaceDE w:val="0"/>
        <w:autoSpaceDN w:val="0"/>
        <w:adjustRightInd w:val="0"/>
        <w:ind w:firstLine="708"/>
        <w:jc w:val="both"/>
        <w:rPr>
          <w:rFonts w:ascii="Abadi" w:hAnsi="Abadi" w:cs="ArialMT"/>
          <w:sz w:val="21"/>
          <w:szCs w:val="21"/>
        </w:rPr>
      </w:pPr>
      <w:r w:rsidRPr="007C2763">
        <w:rPr>
          <w:rFonts w:ascii="Abadi" w:hAnsi="Abadi" w:cs="ArialMT"/>
          <w:sz w:val="21"/>
          <w:szCs w:val="21"/>
        </w:rPr>
        <w:t>En reunión de la Comisión de Asuntos Municipales de fecha de 7 de abril de</w:t>
      </w:r>
      <w:r w:rsidR="0043515D" w:rsidRPr="007C2763">
        <w:rPr>
          <w:rFonts w:ascii="Abadi" w:hAnsi="Abadi" w:cs="ArialMT"/>
          <w:sz w:val="21"/>
          <w:szCs w:val="21"/>
        </w:rPr>
        <w:t xml:space="preserve"> </w:t>
      </w:r>
      <w:r w:rsidRPr="007C2763">
        <w:rPr>
          <w:rFonts w:ascii="Abadi" w:hAnsi="Abadi" w:cs="ArialMT"/>
          <w:sz w:val="21"/>
          <w:szCs w:val="21"/>
        </w:rPr>
        <w:t>2022, se aprobó la modificación a la metodología de trabajo de la propuesta de</w:t>
      </w:r>
      <w:r w:rsidR="0043515D" w:rsidRPr="007C2763">
        <w:rPr>
          <w:rFonts w:ascii="Abadi" w:hAnsi="Abadi" w:cs="ArialMT"/>
          <w:sz w:val="21"/>
          <w:szCs w:val="21"/>
        </w:rPr>
        <w:t xml:space="preserve"> </w:t>
      </w:r>
      <w:r w:rsidRPr="007C2763">
        <w:rPr>
          <w:rFonts w:ascii="Abadi" w:hAnsi="Abadi" w:cs="ArialMT"/>
          <w:sz w:val="21"/>
          <w:szCs w:val="21"/>
        </w:rPr>
        <w:t>punto de acuerdo para su estudio y dictamen por parte de esta Comisión, quedando</w:t>
      </w:r>
      <w:r w:rsidR="0043515D" w:rsidRPr="007C2763">
        <w:rPr>
          <w:rFonts w:ascii="Abadi" w:hAnsi="Abadi" w:cs="ArialMT"/>
          <w:sz w:val="21"/>
          <w:szCs w:val="21"/>
        </w:rPr>
        <w:t xml:space="preserve"> </w:t>
      </w:r>
      <w:r w:rsidRPr="007C2763">
        <w:rPr>
          <w:rFonts w:ascii="Abadi" w:hAnsi="Abadi" w:cs="ArialMT"/>
          <w:sz w:val="21"/>
          <w:szCs w:val="21"/>
        </w:rPr>
        <w:t>de la siguiente manera:</w:t>
      </w:r>
    </w:p>
    <w:p w14:paraId="7FB910CC" w14:textId="77777777" w:rsidR="0043515D" w:rsidRPr="007C2763" w:rsidRDefault="0043515D" w:rsidP="0043515D">
      <w:pPr>
        <w:autoSpaceDE w:val="0"/>
        <w:autoSpaceDN w:val="0"/>
        <w:adjustRightInd w:val="0"/>
        <w:ind w:firstLine="708"/>
        <w:jc w:val="both"/>
        <w:rPr>
          <w:rFonts w:ascii="Abadi" w:hAnsi="Abadi" w:cs="ArialMT"/>
          <w:sz w:val="21"/>
          <w:szCs w:val="21"/>
        </w:rPr>
      </w:pPr>
    </w:p>
    <w:p w14:paraId="3F5E5F5E"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1. Solicitar información actualizada al Consejo Directivo de Sistema de Agua Potable y Alcantarillado de León, sobre lo expuesto en la propuesta de exhorto, la cual deberá ser remitida en un plazo de 10 días hábiles a esta Comisión.</w:t>
      </w:r>
    </w:p>
    <w:p w14:paraId="227D711E"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2. Realizar grupo de trabajo permanente con diputados y asesores, a efecto de analizar la información remitida por el Consejo Directivo de Sistema de Agua Potable y Alcantarillado de León.</w:t>
      </w:r>
    </w:p>
    <w:p w14:paraId="416948D1"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3. Reunión de Comisión para aprobar, en su caso, el proyecto de dictamen.</w:t>
      </w:r>
    </w:p>
    <w:p w14:paraId="7F1B4740" w14:textId="77777777" w:rsidR="00503B61" w:rsidRPr="007C2763" w:rsidRDefault="00503B61" w:rsidP="00503B61">
      <w:pPr>
        <w:autoSpaceDE w:val="0"/>
        <w:autoSpaceDN w:val="0"/>
        <w:adjustRightInd w:val="0"/>
        <w:jc w:val="both"/>
        <w:rPr>
          <w:rFonts w:ascii="Abadi" w:hAnsi="Abadi" w:cs="ArialMT"/>
          <w:sz w:val="21"/>
          <w:szCs w:val="21"/>
        </w:rPr>
      </w:pPr>
    </w:p>
    <w:p w14:paraId="326DF21A" w14:textId="2048E4CB" w:rsidR="00503B61" w:rsidRPr="007C2763" w:rsidRDefault="00503B61" w:rsidP="009728DC">
      <w:pPr>
        <w:autoSpaceDE w:val="0"/>
        <w:autoSpaceDN w:val="0"/>
        <w:adjustRightInd w:val="0"/>
        <w:ind w:firstLine="708"/>
        <w:jc w:val="both"/>
        <w:rPr>
          <w:rFonts w:ascii="Abadi" w:hAnsi="Abadi" w:cs="ArialMT"/>
          <w:sz w:val="21"/>
          <w:szCs w:val="21"/>
        </w:rPr>
      </w:pPr>
      <w:r w:rsidRPr="007C2763">
        <w:rPr>
          <w:rFonts w:ascii="Abadi" w:hAnsi="Abadi" w:cs="ArialMT"/>
          <w:sz w:val="21"/>
          <w:szCs w:val="21"/>
        </w:rPr>
        <w:t>En seguimiento a la metodología aprobada, se solicitó mediante oficio de fecha 18 de abril de 2022 al Consejo Directivo del Sistema de Agua Potable y Alcantarillado de León, información sobre las acciones realizadas al momento referentes a lo expuesto en la propuesta de exhorto, misma que fue remitida a esta Comisión Dictaminadora a través de oficio P/141/2022 de fecha 28 de abril de 2022 suscrito por el C.P José Antonio Morfín Villalpando, Presidente del Consejo Directivo</w:t>
      </w:r>
      <w:r w:rsidR="009728DC">
        <w:rPr>
          <w:rFonts w:ascii="Abadi" w:hAnsi="Abadi" w:cs="ArialMT"/>
          <w:sz w:val="21"/>
          <w:szCs w:val="21"/>
        </w:rPr>
        <w:t xml:space="preserve"> </w:t>
      </w:r>
      <w:r w:rsidRPr="007C2763">
        <w:rPr>
          <w:rFonts w:ascii="Abadi" w:hAnsi="Abadi" w:cs="ArialMT"/>
          <w:sz w:val="21"/>
          <w:szCs w:val="21"/>
        </w:rPr>
        <w:t>del Sistema de Agua Potable y Alcantarillado de León, respondiendo lo siguiente:</w:t>
      </w:r>
    </w:p>
    <w:p w14:paraId="3EED8C70" w14:textId="77777777" w:rsidR="00503B61" w:rsidRPr="007C2763" w:rsidRDefault="00503B61" w:rsidP="00503B61">
      <w:pPr>
        <w:autoSpaceDE w:val="0"/>
        <w:autoSpaceDN w:val="0"/>
        <w:adjustRightInd w:val="0"/>
        <w:jc w:val="both"/>
        <w:rPr>
          <w:rFonts w:ascii="Abadi" w:hAnsi="Abadi" w:cs="ArialMT"/>
          <w:sz w:val="21"/>
          <w:szCs w:val="21"/>
        </w:rPr>
      </w:pPr>
    </w:p>
    <w:p w14:paraId="3A3178FC" w14:textId="77777777" w:rsidR="00503B61" w:rsidRPr="007C2763" w:rsidRDefault="00503B61" w:rsidP="00503B61">
      <w:pPr>
        <w:autoSpaceDE w:val="0"/>
        <w:autoSpaceDN w:val="0"/>
        <w:adjustRightInd w:val="0"/>
        <w:jc w:val="center"/>
        <w:rPr>
          <w:rFonts w:ascii="Abadi" w:hAnsi="Abadi" w:cs="Arial-ItalicMT"/>
          <w:i/>
          <w:iCs/>
          <w:sz w:val="21"/>
          <w:szCs w:val="21"/>
        </w:rPr>
      </w:pPr>
      <w:r w:rsidRPr="007C2763">
        <w:rPr>
          <w:rFonts w:ascii="Abadi" w:hAnsi="Abadi" w:cs="Arial-ItalicMT"/>
          <w:i/>
          <w:iCs/>
          <w:sz w:val="21"/>
          <w:szCs w:val="21"/>
        </w:rPr>
        <w:t>«a) COADYUVANCIA EN INVESTIGACIONES.</w:t>
      </w:r>
    </w:p>
    <w:p w14:paraId="16FB1C4A" w14:textId="77777777" w:rsidR="00503B61" w:rsidRPr="007C2763" w:rsidRDefault="00503B61" w:rsidP="00503B61">
      <w:pPr>
        <w:autoSpaceDE w:val="0"/>
        <w:autoSpaceDN w:val="0"/>
        <w:adjustRightInd w:val="0"/>
        <w:jc w:val="center"/>
        <w:rPr>
          <w:rFonts w:ascii="Abadi" w:hAnsi="Abadi" w:cs="Arial-ItalicMT"/>
          <w:i/>
          <w:iCs/>
          <w:sz w:val="21"/>
          <w:szCs w:val="21"/>
        </w:rPr>
      </w:pPr>
    </w:p>
    <w:p w14:paraId="3A78F3F6"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Se informa que desde que ocurrió el accidente y hasta la fecha el Sistema de Agua Potable y Alcantarillado de León, ha coadyuvado y colaborado en todos y cada uno de los requerimientos de las autoridades que llevan a cabo las investigaciones, a fin de esclarecer los hechos que se suscitaron en la fecha señalada, así como con los familiares de los trabajadores fallecidos, brindándoles el apoyo requerido en todo momento.</w:t>
      </w:r>
    </w:p>
    <w:p w14:paraId="4D33FD3B" w14:textId="77777777" w:rsidR="00503B61" w:rsidRPr="007C2763" w:rsidRDefault="00503B61" w:rsidP="00503B61">
      <w:pPr>
        <w:autoSpaceDE w:val="0"/>
        <w:autoSpaceDN w:val="0"/>
        <w:adjustRightInd w:val="0"/>
        <w:jc w:val="both"/>
        <w:rPr>
          <w:rFonts w:ascii="Abadi" w:hAnsi="Abadi" w:cs="Arial-ItalicMT"/>
          <w:i/>
          <w:iCs/>
          <w:sz w:val="21"/>
          <w:szCs w:val="21"/>
        </w:rPr>
      </w:pPr>
    </w:p>
    <w:p w14:paraId="5E86AA9B" w14:textId="77777777" w:rsidR="00503B61" w:rsidRPr="007C2763" w:rsidRDefault="00503B61" w:rsidP="00503B61">
      <w:pPr>
        <w:autoSpaceDE w:val="0"/>
        <w:autoSpaceDN w:val="0"/>
        <w:adjustRightInd w:val="0"/>
        <w:jc w:val="both"/>
        <w:rPr>
          <w:rFonts w:ascii="Abadi" w:hAnsi="Abadi" w:cs="Arial-ItalicMT"/>
          <w:i/>
          <w:iCs/>
          <w:sz w:val="21"/>
          <w:szCs w:val="21"/>
        </w:rPr>
      </w:pPr>
    </w:p>
    <w:p w14:paraId="6F4BE4E8"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 xml:space="preserve">En relación con lo anterior, se informa que los procedimientos civiles. penales y administrativos promovidos por los afectados en contra de mi representada, han sido archivados o concluidos en definitiva (se acompañan a la presente copia de los acuerdos de sobreseimiento o archivo, según corresponde a). </w:t>
      </w:r>
      <w:r w:rsidRPr="007C2763">
        <w:rPr>
          <w:rFonts w:ascii="Abadi" w:hAnsi="Abadi" w:cs="Arial-ItalicMT"/>
          <w:i/>
          <w:iCs/>
          <w:sz w:val="21"/>
          <w:szCs w:val="21"/>
          <w:u w:val="single"/>
        </w:rPr>
        <w:t>En virtud de los acuerdos que alcanzó con los deudos de los trabajadores fallecidos, a través del Centro de Justicia Alternativa del Estado de Guanajuato.</w:t>
      </w:r>
    </w:p>
    <w:p w14:paraId="4D998800" w14:textId="77777777" w:rsidR="00503B61" w:rsidRPr="007C2763" w:rsidRDefault="00503B61" w:rsidP="00503B61">
      <w:pPr>
        <w:jc w:val="both"/>
        <w:rPr>
          <w:rFonts w:ascii="Abadi" w:hAnsi="Abadi" w:cs="Arial-ItalicMT"/>
          <w:i/>
          <w:iCs/>
          <w:sz w:val="21"/>
          <w:szCs w:val="21"/>
        </w:rPr>
      </w:pPr>
    </w:p>
    <w:p w14:paraId="16033B40"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A efecto de dar debido cumplimiento al requerimiento de mérito. A continuación, se exponen los</w:t>
      </w:r>
    </w:p>
    <w:p w14:paraId="1504B229"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antecedentes y los acuerdos alcanzados, así como su estado de cumplimiento:</w:t>
      </w:r>
    </w:p>
    <w:p w14:paraId="7033934D" w14:textId="77777777" w:rsidR="00503B61" w:rsidRPr="007C2763" w:rsidRDefault="00503B61" w:rsidP="00503B61">
      <w:pPr>
        <w:autoSpaceDE w:val="0"/>
        <w:autoSpaceDN w:val="0"/>
        <w:adjustRightInd w:val="0"/>
        <w:jc w:val="both"/>
        <w:rPr>
          <w:rFonts w:ascii="Abadi" w:hAnsi="Abadi" w:cs="Arial-ItalicMT"/>
          <w:i/>
          <w:iCs/>
          <w:sz w:val="21"/>
          <w:szCs w:val="21"/>
        </w:rPr>
      </w:pPr>
    </w:p>
    <w:p w14:paraId="05A6EAF6"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-Acuerdos en medios alternativos de controversias.</w:t>
      </w:r>
    </w:p>
    <w:p w14:paraId="6F9087C0" w14:textId="77777777" w:rsidR="00503B61" w:rsidRPr="007C2763" w:rsidRDefault="00503B61" w:rsidP="00503B61">
      <w:pPr>
        <w:autoSpaceDE w:val="0"/>
        <w:autoSpaceDN w:val="0"/>
        <w:adjustRightInd w:val="0"/>
        <w:jc w:val="both"/>
        <w:rPr>
          <w:rFonts w:ascii="Abadi" w:hAnsi="Abadi" w:cs="Arial-ItalicMT"/>
          <w:i/>
          <w:iCs/>
          <w:sz w:val="21"/>
          <w:szCs w:val="21"/>
        </w:rPr>
      </w:pPr>
    </w:p>
    <w:p w14:paraId="16B4CD49"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l. Con fecha 13 de noviembre de 2020, ocurrió un accidente laboral dentro de la planta de tratamiento del municipio de León, específicamente en su Módulo de Desbaste, en el cual, lamentablemente perdieron la vida 5 trabajadores de mi representada.</w:t>
      </w:r>
    </w:p>
    <w:p w14:paraId="313418CD" w14:textId="77777777" w:rsidR="00503B61" w:rsidRPr="007C2763" w:rsidRDefault="00503B61" w:rsidP="00503B61">
      <w:pPr>
        <w:autoSpaceDE w:val="0"/>
        <w:autoSpaceDN w:val="0"/>
        <w:adjustRightInd w:val="0"/>
        <w:jc w:val="both"/>
        <w:rPr>
          <w:rFonts w:ascii="Abadi" w:hAnsi="Abadi" w:cs="Arial-ItalicMT"/>
          <w:i/>
          <w:iCs/>
          <w:sz w:val="21"/>
          <w:szCs w:val="21"/>
        </w:rPr>
      </w:pPr>
    </w:p>
    <w:p w14:paraId="36A83B8D"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2. Con fecha 22 de noviembre de 2021, el SAPAL acudió a la Sede del Centro Estatal de Justicia Alternativa, para que, a través de procedimientos de conciliación con los familiares de los trabajadores fallecidos; procedimiento dentro del cual, estos últimos aceptaron participar.</w:t>
      </w:r>
    </w:p>
    <w:p w14:paraId="6F016A36" w14:textId="77777777" w:rsidR="00503B61" w:rsidRPr="007C2763" w:rsidRDefault="00503B61" w:rsidP="00503B61">
      <w:pPr>
        <w:autoSpaceDE w:val="0"/>
        <w:autoSpaceDN w:val="0"/>
        <w:adjustRightInd w:val="0"/>
        <w:jc w:val="both"/>
        <w:rPr>
          <w:rFonts w:ascii="Abadi" w:hAnsi="Abadi" w:cs="Arial-ItalicMT"/>
          <w:i/>
          <w:iCs/>
          <w:sz w:val="21"/>
          <w:szCs w:val="21"/>
        </w:rPr>
      </w:pPr>
    </w:p>
    <w:p w14:paraId="2454793A"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3. Que dentro de la declaración es del convenio se señaló que el proceso derivaba del accidente laboral ocurrido en la Planta de Tratamiento generado por una nube toxica que provocó el fallecimiento de 5 trabajadores del SAPAL.</w:t>
      </w:r>
    </w:p>
    <w:p w14:paraId="57BB7737" w14:textId="77777777" w:rsidR="00503B61" w:rsidRPr="007C2763" w:rsidRDefault="00503B61" w:rsidP="00503B61">
      <w:pPr>
        <w:autoSpaceDE w:val="0"/>
        <w:autoSpaceDN w:val="0"/>
        <w:adjustRightInd w:val="0"/>
        <w:jc w:val="both"/>
        <w:rPr>
          <w:rFonts w:ascii="Abadi" w:hAnsi="Abadi" w:cs="Arial-ItalicMT"/>
          <w:i/>
          <w:iCs/>
          <w:sz w:val="21"/>
          <w:szCs w:val="21"/>
        </w:rPr>
      </w:pPr>
    </w:p>
    <w:p w14:paraId="296A0480" w14:textId="4F27C816"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 xml:space="preserve">4. Que dentro de los procedimientos de </w:t>
      </w:r>
      <w:r w:rsidR="009728DC" w:rsidRPr="007C2763">
        <w:rPr>
          <w:rFonts w:ascii="Abadi" w:hAnsi="Abadi" w:cs="Arial-ItalicMT"/>
          <w:i/>
          <w:iCs/>
          <w:sz w:val="21"/>
          <w:szCs w:val="21"/>
        </w:rPr>
        <w:t>mediacion</w:t>
      </w:r>
      <w:r w:rsidR="009728DC">
        <w:rPr>
          <w:rFonts w:ascii="Abadi" w:hAnsi="Abadi" w:cs="Arial-ItalicMT"/>
          <w:i/>
          <w:iCs/>
          <w:sz w:val="21"/>
          <w:szCs w:val="21"/>
        </w:rPr>
        <w:t>al</w:t>
      </w:r>
      <w:r w:rsidRPr="007C2763">
        <w:rPr>
          <w:rFonts w:ascii="Abadi" w:hAnsi="Abadi" w:cs="Arial-ItalicMT"/>
          <w:i/>
          <w:iCs/>
          <w:sz w:val="21"/>
          <w:szCs w:val="21"/>
        </w:rPr>
        <w:t xml:space="preserve"> conciliación se decidió determinar la forma de cuantificar objetivamente la reparación del daño a los familiares a través de Dictámenes Profesionales privados con enfoques contables y jurídicos, mismos que fueron cubiertos por</w:t>
      </w:r>
      <w:r w:rsidR="00095E56">
        <w:rPr>
          <w:rFonts w:ascii="Abadi" w:hAnsi="Abadi" w:cs="Arial-ItalicMT"/>
          <w:i/>
          <w:iCs/>
          <w:sz w:val="21"/>
          <w:szCs w:val="21"/>
        </w:rPr>
        <w:t xml:space="preserve"> </w:t>
      </w:r>
      <w:r w:rsidRPr="007C2763">
        <w:rPr>
          <w:rFonts w:ascii="Abadi" w:hAnsi="Abadi" w:cs="Arial-ItalicMT"/>
          <w:i/>
          <w:iCs/>
          <w:sz w:val="21"/>
          <w:szCs w:val="21"/>
        </w:rPr>
        <w:t>SAPAL en un acto de buena fe.</w:t>
      </w:r>
    </w:p>
    <w:p w14:paraId="633B6BA1" w14:textId="77777777" w:rsidR="00503B61" w:rsidRPr="007C2763" w:rsidRDefault="00503B61" w:rsidP="00503B61">
      <w:pPr>
        <w:autoSpaceDE w:val="0"/>
        <w:autoSpaceDN w:val="0"/>
        <w:adjustRightInd w:val="0"/>
        <w:jc w:val="both"/>
        <w:rPr>
          <w:rFonts w:ascii="Abadi" w:hAnsi="Abadi" w:cs="Arial-ItalicMT"/>
          <w:i/>
          <w:iCs/>
          <w:sz w:val="21"/>
          <w:szCs w:val="21"/>
        </w:rPr>
      </w:pPr>
    </w:p>
    <w:p w14:paraId="12E82A91" w14:textId="75A8AB93"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5. Que dentro de los procedimientos se declaró haberse realizado el pago de las prestaciones con</w:t>
      </w:r>
      <w:r w:rsidR="009728DC">
        <w:rPr>
          <w:rFonts w:ascii="Abadi" w:hAnsi="Abadi" w:cs="Arial-ItalicMT"/>
          <w:i/>
          <w:iCs/>
          <w:sz w:val="21"/>
          <w:szCs w:val="21"/>
        </w:rPr>
        <w:t xml:space="preserve"> </w:t>
      </w:r>
      <w:r w:rsidRPr="007C2763">
        <w:rPr>
          <w:rFonts w:ascii="Abadi" w:hAnsi="Abadi" w:cs="Arial-ItalicMT"/>
          <w:i/>
          <w:iCs/>
          <w:sz w:val="21"/>
          <w:szCs w:val="21"/>
        </w:rPr>
        <w:t>estricto apego a la Ley Federal del Trabajo y la Ley del Seguro Social, a los beneficiarios de las personas fallecidas. por haber sido estas quienes recibieron las cantidades correspondientes.</w:t>
      </w:r>
    </w:p>
    <w:p w14:paraId="2B35F72F" w14:textId="77777777"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6. Que dentro de los procedimientos de mediación/conciliación, se llegaron a los siguientes acuerdos:</w:t>
      </w:r>
    </w:p>
    <w:p w14:paraId="50588158" w14:textId="77777777" w:rsidR="00503B61" w:rsidRPr="007C2763" w:rsidRDefault="00503B61" w:rsidP="00503B61">
      <w:pPr>
        <w:autoSpaceDE w:val="0"/>
        <w:autoSpaceDN w:val="0"/>
        <w:adjustRightInd w:val="0"/>
        <w:jc w:val="both"/>
        <w:rPr>
          <w:rFonts w:ascii="Abadi" w:hAnsi="Abadi" w:cs="Arial-ItalicMT"/>
          <w:i/>
          <w:iCs/>
          <w:sz w:val="21"/>
          <w:szCs w:val="21"/>
        </w:rPr>
      </w:pPr>
    </w:p>
    <w:p w14:paraId="6E66DA71" w14:textId="77777777" w:rsidR="00503B61" w:rsidRPr="007C2763" w:rsidRDefault="00503B61" w:rsidP="00503B61">
      <w:pPr>
        <w:autoSpaceDE w:val="0"/>
        <w:autoSpaceDN w:val="0"/>
        <w:adjustRightInd w:val="0"/>
        <w:ind w:left="708"/>
        <w:jc w:val="both"/>
        <w:rPr>
          <w:rFonts w:ascii="Abadi" w:hAnsi="Abadi" w:cs="Arial-ItalicMT"/>
          <w:i/>
          <w:iCs/>
          <w:sz w:val="21"/>
          <w:szCs w:val="21"/>
        </w:rPr>
      </w:pPr>
      <w:r w:rsidRPr="007C2763">
        <w:rPr>
          <w:rFonts w:ascii="Abadi" w:hAnsi="Abadi" w:cs="Arial-ItalicMT"/>
          <w:i/>
          <w:iCs/>
          <w:sz w:val="21"/>
          <w:szCs w:val="21"/>
        </w:rPr>
        <w:t>a</w:t>
      </w:r>
      <w:r w:rsidRPr="007C2763">
        <w:rPr>
          <w:rFonts w:ascii="Abadi" w:hAnsi="Abadi" w:cs="Arial-ItalicMT"/>
          <w:b/>
          <w:bCs/>
          <w:i/>
          <w:iCs/>
          <w:sz w:val="21"/>
          <w:szCs w:val="21"/>
        </w:rPr>
        <w:t>.</w:t>
      </w:r>
      <w:r w:rsidRPr="007C2763">
        <w:rPr>
          <w:rFonts w:ascii="Abadi" w:hAnsi="Abadi" w:cs="Arial-ItalicMT"/>
          <w:i/>
          <w:iCs/>
          <w:sz w:val="21"/>
          <w:szCs w:val="21"/>
        </w:rPr>
        <w:t xml:space="preserve"> Se pacto el pago de indemnizaciones por concepto de reparación integral del daño a los familiares de los finados, mismas que fueron cumplidas debidamente por el SAPAL, </w:t>
      </w:r>
      <w:r w:rsidRPr="007C2763">
        <w:rPr>
          <w:rFonts w:ascii="Abadi" w:hAnsi="Abadi" w:cs="Arial-BoldItalicMT"/>
          <w:b/>
          <w:bCs/>
          <w:i/>
          <w:iCs/>
          <w:sz w:val="21"/>
          <w:szCs w:val="21"/>
        </w:rPr>
        <w:t>lo que se acredita con las fichas de pago correspondientes.</w:t>
      </w:r>
    </w:p>
    <w:p w14:paraId="7AD71A35" w14:textId="77777777" w:rsidR="00503B61" w:rsidRPr="007C2763" w:rsidRDefault="00503B61" w:rsidP="00503B61">
      <w:pPr>
        <w:autoSpaceDE w:val="0"/>
        <w:autoSpaceDN w:val="0"/>
        <w:adjustRightInd w:val="0"/>
        <w:ind w:left="708"/>
        <w:jc w:val="both"/>
        <w:rPr>
          <w:rFonts w:ascii="Abadi" w:hAnsi="Abadi" w:cs="Arial-ItalicMT"/>
          <w:i/>
          <w:iCs/>
          <w:sz w:val="21"/>
          <w:szCs w:val="21"/>
        </w:rPr>
      </w:pPr>
      <w:r w:rsidRPr="007C2763">
        <w:rPr>
          <w:rFonts w:ascii="Abadi" w:hAnsi="Abadi" w:cs="Calibri-Italic"/>
          <w:i/>
          <w:iCs/>
          <w:sz w:val="21"/>
          <w:szCs w:val="21"/>
        </w:rPr>
        <w:t>b</w:t>
      </w:r>
      <w:r w:rsidRPr="007C2763">
        <w:rPr>
          <w:rFonts w:ascii="Abadi" w:hAnsi="Abadi" w:cs="Calibri-Italic"/>
          <w:b/>
          <w:bCs/>
          <w:i/>
          <w:iCs/>
          <w:sz w:val="21"/>
          <w:szCs w:val="21"/>
        </w:rPr>
        <w:t>.</w:t>
      </w:r>
      <w:r w:rsidRPr="007C2763">
        <w:rPr>
          <w:rFonts w:ascii="Abadi" w:hAnsi="Abadi" w:cs="Calibri-Italic"/>
          <w:i/>
          <w:iCs/>
          <w:sz w:val="21"/>
          <w:szCs w:val="21"/>
        </w:rPr>
        <w:t xml:space="preserve"> </w:t>
      </w:r>
      <w:r w:rsidRPr="007C2763">
        <w:rPr>
          <w:rFonts w:ascii="Abadi" w:hAnsi="Abadi" w:cs="Arial-ItalicMT"/>
          <w:i/>
          <w:iCs/>
          <w:sz w:val="21"/>
          <w:szCs w:val="21"/>
        </w:rPr>
        <w:t>Se convino que el organismo realizara todas y cada una de las gestiones necesarias para someter a la aprobación del H. Ayuntamiento de León, Guanajuato el que se asignen becas a los menores afectados por el fallecimiento de los trabajadores; a lo cual manifiesto que esta entidad paramunicipal ha realizado las gestiones y vínculo con la Administración Municipal para ese efecto mismas que se formalizaron mediante el escrito que se adjunta al presente para su debida constancia.</w:t>
      </w:r>
    </w:p>
    <w:p w14:paraId="29155885" w14:textId="77777777" w:rsidR="00503B61" w:rsidRPr="007C2763" w:rsidRDefault="00503B61" w:rsidP="00503B61">
      <w:pPr>
        <w:autoSpaceDE w:val="0"/>
        <w:autoSpaceDN w:val="0"/>
        <w:adjustRightInd w:val="0"/>
        <w:ind w:left="708"/>
        <w:jc w:val="both"/>
        <w:rPr>
          <w:rFonts w:ascii="Abadi" w:hAnsi="Abadi" w:cs="Arial-ItalicMT"/>
          <w:i/>
          <w:iCs/>
          <w:sz w:val="21"/>
          <w:szCs w:val="21"/>
        </w:rPr>
      </w:pPr>
      <w:r w:rsidRPr="007C2763">
        <w:rPr>
          <w:rFonts w:ascii="Abadi" w:hAnsi="Abadi" w:cs="Arial-ItalicMT"/>
          <w:i/>
          <w:iCs/>
          <w:sz w:val="21"/>
          <w:szCs w:val="21"/>
        </w:rPr>
        <w:t>c. Que una vez cumplidas las obligaciones económicas por parte del SAPAL, los familiares no tendrían ninguna reclamación económica que hacer al SAPAL, y no se reservará ninguna acción, civil, penal. Administrativo, ni de ninguna naturaleza por los hechos que dieron origen a este convenio.</w:t>
      </w:r>
    </w:p>
    <w:p w14:paraId="7B328091" w14:textId="7391E235" w:rsidR="00503B61" w:rsidRPr="007C2763" w:rsidRDefault="00503B61" w:rsidP="00503B61">
      <w:pPr>
        <w:autoSpaceDE w:val="0"/>
        <w:autoSpaceDN w:val="0"/>
        <w:adjustRightInd w:val="0"/>
        <w:ind w:left="708"/>
        <w:jc w:val="both"/>
        <w:rPr>
          <w:rFonts w:ascii="Abadi" w:hAnsi="Abadi" w:cs="Arial-ItalicMT"/>
          <w:i/>
          <w:iCs/>
          <w:sz w:val="21"/>
          <w:szCs w:val="21"/>
        </w:rPr>
      </w:pPr>
      <w:r w:rsidRPr="007C2763">
        <w:rPr>
          <w:rFonts w:ascii="Abadi" w:hAnsi="Abadi" w:cs="Arial-ItalicMT"/>
          <w:i/>
          <w:iCs/>
          <w:sz w:val="21"/>
          <w:szCs w:val="21"/>
        </w:rPr>
        <w:t>d. Se otorgarán a costa del SAPAL, sesiones de atención psicológica para los familiares afectados, mismas que están siendo llevadas a cabo, lo que se acredita con la carta informe remitidas por la Lic. Renata Arévalo Ramírez, directora de</w:t>
      </w:r>
      <w:r w:rsidR="0079493A" w:rsidRPr="007C2763">
        <w:rPr>
          <w:rFonts w:ascii="Abadi" w:hAnsi="Abadi" w:cs="Arial-ItalicMT"/>
          <w:i/>
          <w:iCs/>
          <w:sz w:val="21"/>
          <w:szCs w:val="21"/>
        </w:rPr>
        <w:t xml:space="preserve"> </w:t>
      </w:r>
      <w:r w:rsidRPr="007C2763">
        <w:rPr>
          <w:rFonts w:ascii="Abadi" w:hAnsi="Abadi" w:cs="Arial-ItalicMT"/>
          <w:i/>
          <w:iCs/>
          <w:sz w:val="21"/>
          <w:szCs w:val="21"/>
        </w:rPr>
        <w:t>Alerta Violeta A.C.</w:t>
      </w:r>
    </w:p>
    <w:p w14:paraId="5B7B412C" w14:textId="77777777" w:rsidR="00503B61" w:rsidRPr="007C2763" w:rsidRDefault="00503B61" w:rsidP="00503B61">
      <w:pPr>
        <w:autoSpaceDE w:val="0"/>
        <w:autoSpaceDN w:val="0"/>
        <w:adjustRightInd w:val="0"/>
        <w:ind w:left="708"/>
        <w:jc w:val="both"/>
        <w:rPr>
          <w:rFonts w:ascii="Abadi" w:hAnsi="Abadi" w:cs="Arial-ItalicMT"/>
          <w:i/>
          <w:iCs/>
          <w:sz w:val="21"/>
          <w:szCs w:val="21"/>
        </w:rPr>
      </w:pPr>
      <w:r w:rsidRPr="007C2763">
        <w:rPr>
          <w:rFonts w:ascii="Abadi" w:hAnsi="Abadi" w:cs="Arial-ItalicMT"/>
          <w:i/>
          <w:iCs/>
          <w:sz w:val="21"/>
          <w:szCs w:val="21"/>
        </w:rPr>
        <w:t>e. Que los familiares afectados realizarían los trámites legales para no continuar con los procesos judiciales que estuvieran en trámite.</w:t>
      </w:r>
    </w:p>
    <w:p w14:paraId="228010A0" w14:textId="77777777" w:rsidR="00503B61" w:rsidRPr="007C2763" w:rsidRDefault="00503B61" w:rsidP="00503B61">
      <w:pPr>
        <w:autoSpaceDE w:val="0"/>
        <w:autoSpaceDN w:val="0"/>
        <w:adjustRightInd w:val="0"/>
        <w:ind w:left="708"/>
        <w:jc w:val="both"/>
        <w:rPr>
          <w:rFonts w:ascii="Abadi" w:hAnsi="Abadi" w:cs="Arial-ItalicMT"/>
          <w:i/>
          <w:iCs/>
          <w:sz w:val="21"/>
          <w:szCs w:val="21"/>
        </w:rPr>
      </w:pPr>
      <w:r w:rsidRPr="007C2763">
        <w:rPr>
          <w:rFonts w:ascii="Abadi" w:hAnsi="Abadi" w:cs="Arial-ItalicMT"/>
          <w:i/>
          <w:iCs/>
          <w:sz w:val="21"/>
          <w:szCs w:val="21"/>
        </w:rPr>
        <w:t>f. Presentar una iniciativa al H. Ayuntamiento de León, Guanajuato, para que el Reglamento de los Servicios de Agua Potable, Alcantarillado y Tratamiento para el Municipio de León, Guanajuato sea reformado respecto de (i) incorporación de un artículo transitorio, para la creación de un mecanismo o comisión ciudadana de vigilancia de actuación de SAPAL; (</w:t>
      </w:r>
      <w:proofErr w:type="spellStart"/>
      <w:r w:rsidRPr="007C2763">
        <w:rPr>
          <w:rFonts w:ascii="Abadi" w:hAnsi="Abadi" w:cs="Arial-ItalicMT"/>
          <w:i/>
          <w:iCs/>
          <w:sz w:val="21"/>
          <w:szCs w:val="21"/>
        </w:rPr>
        <w:t>ii</w:t>
      </w:r>
      <w:proofErr w:type="spellEnd"/>
      <w:r w:rsidRPr="007C2763">
        <w:rPr>
          <w:rFonts w:ascii="Abadi" w:hAnsi="Abadi" w:cs="Arial-ItalicMT"/>
          <w:i/>
          <w:iCs/>
          <w:sz w:val="21"/>
          <w:szCs w:val="21"/>
        </w:rPr>
        <w:t>) reforma al artículo 20, para incluir a usuarios domésticos del agua como integrantes del consejo directivo del SAPAL ; (</w:t>
      </w:r>
      <w:proofErr w:type="spellStart"/>
      <w:r w:rsidRPr="007C2763">
        <w:rPr>
          <w:rFonts w:ascii="Abadi" w:hAnsi="Abadi" w:cs="Arial-ItalicMT"/>
          <w:i/>
          <w:iCs/>
          <w:sz w:val="21"/>
          <w:szCs w:val="21"/>
        </w:rPr>
        <w:t>iii</w:t>
      </w:r>
      <w:proofErr w:type="spellEnd"/>
      <w:r w:rsidRPr="007C2763">
        <w:rPr>
          <w:rFonts w:ascii="Abadi" w:hAnsi="Abadi" w:cs="Arial-ItalicMT"/>
          <w:i/>
          <w:iCs/>
          <w:sz w:val="21"/>
          <w:szCs w:val="21"/>
        </w:rPr>
        <w:t>) Reforma al artículo 265, sobre límites máximos permisibles de contaminantes en zonas urbana; (</w:t>
      </w:r>
      <w:proofErr w:type="spellStart"/>
      <w:r w:rsidRPr="007C2763">
        <w:rPr>
          <w:rFonts w:ascii="Abadi" w:hAnsi="Abadi" w:cs="Arial-ItalicMT"/>
          <w:i/>
          <w:iCs/>
          <w:sz w:val="21"/>
          <w:szCs w:val="21"/>
        </w:rPr>
        <w:t>iv</w:t>
      </w:r>
      <w:proofErr w:type="spellEnd"/>
      <w:r w:rsidRPr="007C2763">
        <w:rPr>
          <w:rFonts w:ascii="Abadi" w:hAnsi="Abadi" w:cs="Arial-ItalicMT"/>
          <w:i/>
          <w:iCs/>
          <w:sz w:val="21"/>
          <w:szCs w:val="21"/>
        </w:rPr>
        <w:t xml:space="preserve">) reforma al artículo 266. sobre límites máximos permisibles de contaminantes en zona industrial. </w:t>
      </w:r>
      <w:r w:rsidRPr="007C2763">
        <w:rPr>
          <w:rFonts w:ascii="Abadi" w:hAnsi="Abadi" w:cs="Arial-BoldItalicMT"/>
          <w:b/>
          <w:bCs/>
          <w:i/>
          <w:iCs/>
          <w:sz w:val="21"/>
          <w:szCs w:val="21"/>
        </w:rPr>
        <w:t>Sobre el particular me permito informarle</w:t>
      </w:r>
      <w:r w:rsidRPr="007C2763">
        <w:rPr>
          <w:rFonts w:ascii="Abadi" w:hAnsi="Abadi" w:cs="Arial-ItalicMT"/>
          <w:i/>
          <w:iCs/>
          <w:sz w:val="21"/>
          <w:szCs w:val="21"/>
        </w:rPr>
        <w:t xml:space="preserve"> </w:t>
      </w:r>
      <w:r w:rsidRPr="007C2763">
        <w:rPr>
          <w:rFonts w:ascii="Abadi" w:hAnsi="Abadi" w:cs="Arial-BoldItalicMT"/>
          <w:b/>
          <w:bCs/>
          <w:i/>
          <w:iCs/>
          <w:sz w:val="21"/>
          <w:szCs w:val="21"/>
        </w:rPr>
        <w:t>que, dadas las gestiones realizadas, el H. Ayuntamiento tuvo a bien autorizar</w:t>
      </w:r>
      <w:r w:rsidRPr="007C2763">
        <w:rPr>
          <w:rFonts w:ascii="Abadi" w:hAnsi="Abadi" w:cs="Arial-ItalicMT"/>
          <w:i/>
          <w:iCs/>
          <w:sz w:val="21"/>
          <w:szCs w:val="21"/>
        </w:rPr>
        <w:t xml:space="preserve"> </w:t>
      </w:r>
      <w:r w:rsidRPr="007C2763">
        <w:rPr>
          <w:rFonts w:ascii="Abadi" w:hAnsi="Abadi" w:cs="Arial-BoldItalicMT"/>
          <w:b/>
          <w:bCs/>
          <w:i/>
          <w:iCs/>
          <w:sz w:val="21"/>
          <w:szCs w:val="21"/>
        </w:rPr>
        <w:t>diversas reformas al Reglamento de los Servicios de Agua Potable,</w:t>
      </w:r>
      <w:r w:rsidRPr="007C2763">
        <w:rPr>
          <w:rFonts w:ascii="Abadi" w:hAnsi="Abadi" w:cs="Arial-ItalicMT"/>
          <w:i/>
          <w:iCs/>
          <w:sz w:val="21"/>
          <w:szCs w:val="21"/>
        </w:rPr>
        <w:t xml:space="preserve"> </w:t>
      </w:r>
      <w:r w:rsidRPr="007C2763">
        <w:rPr>
          <w:rFonts w:ascii="Abadi" w:hAnsi="Abadi" w:cs="Arial-BoldItalicMT"/>
          <w:b/>
          <w:bCs/>
          <w:i/>
          <w:iCs/>
          <w:sz w:val="21"/>
          <w:szCs w:val="21"/>
        </w:rPr>
        <w:t>Alcantarillado y Tratamiento para el Municipio de León, Guanajuato, las cuales</w:t>
      </w:r>
      <w:r w:rsidRPr="007C2763">
        <w:rPr>
          <w:rFonts w:ascii="Abadi" w:hAnsi="Abadi" w:cs="Arial-ItalicMT"/>
          <w:i/>
          <w:iCs/>
          <w:sz w:val="21"/>
          <w:szCs w:val="21"/>
        </w:rPr>
        <w:t xml:space="preserve"> </w:t>
      </w:r>
      <w:r w:rsidRPr="007C2763">
        <w:rPr>
          <w:rFonts w:ascii="Abadi" w:hAnsi="Abadi" w:cs="Arial-BoldItalicMT"/>
          <w:b/>
          <w:bCs/>
          <w:i/>
          <w:iCs/>
          <w:sz w:val="21"/>
          <w:szCs w:val="21"/>
        </w:rPr>
        <w:t>fueron publicadas en el Periódico Oficial del Gobierno del Estado de</w:t>
      </w:r>
      <w:r w:rsidRPr="007C2763">
        <w:rPr>
          <w:rFonts w:ascii="Abadi" w:hAnsi="Abadi" w:cs="Arial-ItalicMT"/>
          <w:i/>
          <w:iCs/>
          <w:sz w:val="21"/>
          <w:szCs w:val="21"/>
        </w:rPr>
        <w:t xml:space="preserve"> </w:t>
      </w:r>
      <w:r w:rsidRPr="007C2763">
        <w:rPr>
          <w:rFonts w:ascii="Abadi" w:hAnsi="Abadi" w:cs="Arial-BoldItalicMT"/>
          <w:b/>
          <w:bCs/>
          <w:i/>
          <w:iCs/>
          <w:sz w:val="21"/>
          <w:szCs w:val="21"/>
        </w:rPr>
        <w:t>Guanajuato, visibles en el ejemplar número 50, segunda parte arte, de fecha</w:t>
      </w:r>
      <w:r w:rsidRPr="007C2763">
        <w:rPr>
          <w:rFonts w:ascii="Abadi" w:hAnsi="Abadi" w:cs="Arial-ItalicMT"/>
          <w:i/>
          <w:iCs/>
          <w:sz w:val="21"/>
          <w:szCs w:val="21"/>
        </w:rPr>
        <w:t xml:space="preserve"> </w:t>
      </w:r>
      <w:r w:rsidRPr="007C2763">
        <w:rPr>
          <w:rFonts w:ascii="Abadi" w:hAnsi="Abadi" w:cs="Arial-BoldItalicMT"/>
          <w:b/>
          <w:bCs/>
          <w:i/>
          <w:iCs/>
          <w:sz w:val="21"/>
          <w:szCs w:val="21"/>
        </w:rPr>
        <w:t>11 de marzo del 2022.</w:t>
      </w:r>
    </w:p>
    <w:p w14:paraId="7C58E4EA" w14:textId="4433DFF7" w:rsidR="00503B61" w:rsidRDefault="00503B61" w:rsidP="00503B61">
      <w:pPr>
        <w:autoSpaceDE w:val="0"/>
        <w:autoSpaceDN w:val="0"/>
        <w:adjustRightInd w:val="0"/>
        <w:ind w:left="708"/>
        <w:jc w:val="both"/>
        <w:rPr>
          <w:rFonts w:ascii="Abadi" w:hAnsi="Abadi" w:cs="Arial-ItalicMT"/>
          <w:i/>
          <w:iCs/>
          <w:sz w:val="21"/>
          <w:szCs w:val="21"/>
        </w:rPr>
      </w:pPr>
      <w:r w:rsidRPr="007C2763">
        <w:rPr>
          <w:rFonts w:ascii="Abadi" w:hAnsi="Abadi" w:cs="Arial-ItalicMT"/>
          <w:i/>
          <w:iCs/>
          <w:sz w:val="21"/>
          <w:szCs w:val="21"/>
        </w:rPr>
        <w:t>g. Realizar una visita guiada a los familiares de los fallecidos que deseen participar, en las instalaciones en la Planta de Tratamiento de Aguas Residuales o Módulo de Desbaste del Municipio de León, Guanajuato, ubicado en la calle Monte Carmelo S/N Colonia Arroyo Hondo, de esta ciudad, con el objetivo de visualizar que SAPAL ha robustecido los procesos de ordenamiento y regulación para el buen funcionamiento de dicha planta, visita que fue realizada en fecha de 20 de abril de</w:t>
      </w:r>
      <w:r w:rsidR="0079493A" w:rsidRPr="007C2763">
        <w:rPr>
          <w:rFonts w:ascii="Abadi" w:hAnsi="Abadi" w:cs="Arial-ItalicMT"/>
          <w:i/>
          <w:iCs/>
          <w:sz w:val="21"/>
          <w:szCs w:val="21"/>
        </w:rPr>
        <w:t xml:space="preserve"> </w:t>
      </w:r>
      <w:r w:rsidRPr="007C2763">
        <w:rPr>
          <w:rFonts w:ascii="Abadi" w:hAnsi="Abadi" w:cs="Arial-ItalicMT"/>
          <w:i/>
          <w:iCs/>
          <w:sz w:val="21"/>
          <w:szCs w:val="21"/>
        </w:rPr>
        <w:t>2022, con la presencia de solicitantes.</w:t>
      </w:r>
    </w:p>
    <w:p w14:paraId="1523D6C2" w14:textId="77777777" w:rsidR="009728DC" w:rsidRPr="007C2763" w:rsidRDefault="009728DC" w:rsidP="00503B61">
      <w:pPr>
        <w:autoSpaceDE w:val="0"/>
        <w:autoSpaceDN w:val="0"/>
        <w:adjustRightInd w:val="0"/>
        <w:ind w:left="708"/>
        <w:jc w:val="both"/>
        <w:rPr>
          <w:rFonts w:ascii="Abadi" w:hAnsi="Abadi" w:cs="Arial-ItalicMT"/>
          <w:i/>
          <w:iCs/>
          <w:sz w:val="21"/>
          <w:szCs w:val="21"/>
        </w:rPr>
      </w:pPr>
    </w:p>
    <w:p w14:paraId="77F3CE80" w14:textId="77777777" w:rsidR="00503B61" w:rsidRPr="007C2763" w:rsidRDefault="00503B61" w:rsidP="00503B61">
      <w:pPr>
        <w:autoSpaceDE w:val="0"/>
        <w:autoSpaceDN w:val="0"/>
        <w:adjustRightInd w:val="0"/>
        <w:rPr>
          <w:rFonts w:ascii="Abadi" w:hAnsi="Abadi" w:cs="Arial-ItalicMT"/>
          <w:i/>
          <w:iCs/>
          <w:sz w:val="21"/>
          <w:szCs w:val="21"/>
        </w:rPr>
      </w:pPr>
      <w:r w:rsidRPr="007C2763">
        <w:rPr>
          <w:rFonts w:ascii="Abadi" w:hAnsi="Abadi" w:cs="Arial-ItalicMT"/>
          <w:i/>
          <w:iCs/>
          <w:sz w:val="21"/>
          <w:szCs w:val="21"/>
        </w:rPr>
        <w:t>b. COADYUVANCIA ANTE PRODHEG.</w:t>
      </w:r>
    </w:p>
    <w:p w14:paraId="5F4601A1" w14:textId="77777777" w:rsidR="00503B61" w:rsidRPr="007C2763" w:rsidRDefault="00503B61" w:rsidP="00503B61">
      <w:pPr>
        <w:autoSpaceDE w:val="0"/>
        <w:autoSpaceDN w:val="0"/>
        <w:adjustRightInd w:val="0"/>
        <w:rPr>
          <w:rFonts w:ascii="Abadi" w:hAnsi="Abadi" w:cs="Arial-ItalicMT"/>
          <w:i/>
          <w:iCs/>
          <w:sz w:val="21"/>
          <w:szCs w:val="21"/>
        </w:rPr>
      </w:pPr>
    </w:p>
    <w:p w14:paraId="3251EC6D" w14:textId="6B064258" w:rsidR="00503B61" w:rsidRPr="007C2763" w:rsidRDefault="00503B61" w:rsidP="00503B61">
      <w:pPr>
        <w:autoSpaceDE w:val="0"/>
        <w:autoSpaceDN w:val="0"/>
        <w:adjustRightInd w:val="0"/>
        <w:jc w:val="both"/>
        <w:rPr>
          <w:rFonts w:ascii="Abadi" w:hAnsi="Abadi" w:cs="Arial-ItalicMT"/>
          <w:i/>
          <w:iCs/>
          <w:sz w:val="21"/>
          <w:szCs w:val="21"/>
        </w:rPr>
      </w:pPr>
      <w:r w:rsidRPr="007C2763">
        <w:rPr>
          <w:rFonts w:ascii="Abadi" w:hAnsi="Abadi" w:cs="Arial-ItalicMT"/>
          <w:i/>
          <w:iCs/>
          <w:sz w:val="21"/>
          <w:szCs w:val="21"/>
        </w:rPr>
        <w:t>Además de lo anterior, se informa que mi representada ha dado con testación y ha informado a la</w:t>
      </w:r>
      <w:r w:rsidR="009728DC">
        <w:rPr>
          <w:rFonts w:ascii="Abadi" w:hAnsi="Abadi" w:cs="Arial-ItalicMT"/>
          <w:i/>
          <w:iCs/>
          <w:sz w:val="21"/>
          <w:szCs w:val="21"/>
        </w:rPr>
        <w:t xml:space="preserve">  </w:t>
      </w:r>
      <w:r w:rsidRPr="007C2763">
        <w:rPr>
          <w:rFonts w:ascii="Abadi" w:hAnsi="Abadi" w:cs="Arial-ItalicMT"/>
          <w:i/>
          <w:iCs/>
          <w:sz w:val="21"/>
          <w:szCs w:val="21"/>
        </w:rPr>
        <w:t xml:space="preserve">Procuraduría de los Derechos Humanos del estado de Guanajuato, respecto del cumplimiento cabal de las recomendaciones que le fueron realizadas, recibiendo con fecha 25 de abril de 2022 acuerdo donde se tuvo por cumpliendo a mi representada de forma general con las </w:t>
      </w:r>
      <w:r w:rsidRPr="007C2763">
        <w:rPr>
          <w:rFonts w:ascii="Abadi" w:hAnsi="Abadi" w:cs="Arial-ItalicMT"/>
          <w:i/>
          <w:iCs/>
          <w:color w:val="000000"/>
          <w:sz w:val="21"/>
          <w:szCs w:val="21"/>
        </w:rPr>
        <w:t>recomendaciones que le fueron realizadas, quedando únicamente pendientes y en vías de</w:t>
      </w:r>
      <w:r w:rsidRPr="007C2763">
        <w:rPr>
          <w:rFonts w:ascii="Abadi" w:hAnsi="Abadi" w:cs="Arial-ItalicMT"/>
          <w:i/>
          <w:iCs/>
          <w:sz w:val="21"/>
          <w:szCs w:val="21"/>
        </w:rPr>
        <w:t xml:space="preserve"> </w:t>
      </w:r>
      <w:r w:rsidRPr="007C2763">
        <w:rPr>
          <w:rFonts w:ascii="Abadi" w:hAnsi="Abadi" w:cs="Arial-ItalicMT"/>
          <w:i/>
          <w:iCs/>
          <w:color w:val="000000"/>
          <w:sz w:val="21"/>
          <w:szCs w:val="21"/>
        </w:rPr>
        <w:t>cumplimiento 2 puntos de recomendaciones (mismos que por su naturaleza se encuentran en</w:t>
      </w:r>
      <w:r w:rsidRPr="007C2763">
        <w:rPr>
          <w:rFonts w:ascii="Abadi" w:hAnsi="Abadi" w:cs="Arial-ItalicMT"/>
          <w:i/>
          <w:iCs/>
          <w:sz w:val="21"/>
          <w:szCs w:val="21"/>
        </w:rPr>
        <w:t xml:space="preserve"> </w:t>
      </w:r>
      <w:r w:rsidRPr="007C2763">
        <w:rPr>
          <w:rFonts w:ascii="Abadi" w:hAnsi="Abadi" w:cs="Arial-ItalicMT"/>
          <w:i/>
          <w:iCs/>
          <w:color w:val="000000"/>
          <w:sz w:val="21"/>
          <w:szCs w:val="21"/>
        </w:rPr>
        <w:t>proceso de desahogo), se adjunta copia del acuerdo emitido por la PRODHEG así como del escrito</w:t>
      </w:r>
      <w:r w:rsidRPr="007C2763">
        <w:rPr>
          <w:rFonts w:ascii="Abadi" w:hAnsi="Abadi" w:cs="Arial-ItalicMT"/>
          <w:i/>
          <w:iCs/>
          <w:sz w:val="21"/>
          <w:szCs w:val="21"/>
        </w:rPr>
        <w:t xml:space="preserve"> </w:t>
      </w:r>
      <w:r w:rsidRPr="007C2763">
        <w:rPr>
          <w:rFonts w:ascii="Abadi" w:hAnsi="Abadi" w:cs="Arial-ItalicMT"/>
          <w:i/>
          <w:iCs/>
          <w:color w:val="000000"/>
          <w:sz w:val="21"/>
          <w:szCs w:val="21"/>
        </w:rPr>
        <w:t>de ofrecimiento emitido por mi representada, donde se detalla el cumplimiento de cada una de las</w:t>
      </w:r>
      <w:r w:rsidRPr="007C2763">
        <w:rPr>
          <w:rFonts w:ascii="Abadi" w:hAnsi="Abadi" w:cs="Arial-ItalicMT"/>
          <w:i/>
          <w:iCs/>
          <w:sz w:val="21"/>
          <w:szCs w:val="21"/>
        </w:rPr>
        <w:t xml:space="preserve"> </w:t>
      </w:r>
      <w:r w:rsidRPr="007C2763">
        <w:rPr>
          <w:rFonts w:ascii="Abadi" w:hAnsi="Abadi" w:cs="Arial-ItalicMT"/>
          <w:i/>
          <w:iCs/>
          <w:color w:val="000000"/>
          <w:sz w:val="21"/>
          <w:szCs w:val="21"/>
        </w:rPr>
        <w:t>medidas económicas y de desarrollo, de rehabilitación y de no repetición.</w:t>
      </w:r>
    </w:p>
    <w:p w14:paraId="0BE7EE96" w14:textId="77777777" w:rsidR="00503B61" w:rsidRPr="007C2763" w:rsidRDefault="00503B61" w:rsidP="00503B61">
      <w:pPr>
        <w:autoSpaceDE w:val="0"/>
        <w:autoSpaceDN w:val="0"/>
        <w:adjustRightInd w:val="0"/>
        <w:jc w:val="both"/>
        <w:rPr>
          <w:rFonts w:ascii="Abadi" w:hAnsi="Abadi" w:cs="Arial-ItalicMT"/>
          <w:i/>
          <w:iCs/>
          <w:color w:val="000000"/>
          <w:sz w:val="21"/>
          <w:szCs w:val="21"/>
        </w:rPr>
      </w:pPr>
      <w:r w:rsidRPr="007C2763">
        <w:rPr>
          <w:rFonts w:ascii="Abadi" w:hAnsi="Abadi" w:cs="Arial-ItalicMT"/>
          <w:i/>
          <w:iCs/>
          <w:color w:val="000000"/>
          <w:sz w:val="21"/>
          <w:szCs w:val="21"/>
        </w:rPr>
        <w:t>Finalmente, se reitera que, derivado de los acuerdos alcanzados en mediación, los procedimientos</w:t>
      </w:r>
      <w:r w:rsidRPr="007C2763">
        <w:rPr>
          <w:rFonts w:ascii="Abadi" w:hAnsi="Abadi" w:cs="Arial-ItalicMT"/>
          <w:i/>
          <w:iCs/>
          <w:sz w:val="21"/>
          <w:szCs w:val="21"/>
        </w:rPr>
        <w:t xml:space="preserve"> </w:t>
      </w:r>
      <w:r w:rsidRPr="007C2763">
        <w:rPr>
          <w:rFonts w:ascii="Abadi" w:hAnsi="Abadi" w:cs="Arial-ItalicMT"/>
          <w:i/>
          <w:iCs/>
          <w:color w:val="000000"/>
          <w:sz w:val="21"/>
          <w:szCs w:val="21"/>
        </w:rPr>
        <w:t>civiles, penales y administrativos promovidos por los afectados han sido archivados o concluidos, en</w:t>
      </w:r>
      <w:r w:rsidRPr="007C2763">
        <w:rPr>
          <w:rFonts w:ascii="Abadi" w:hAnsi="Abadi" w:cs="Arial-ItalicMT"/>
          <w:i/>
          <w:iCs/>
          <w:sz w:val="21"/>
          <w:szCs w:val="21"/>
        </w:rPr>
        <w:t xml:space="preserve"> </w:t>
      </w:r>
      <w:r w:rsidRPr="007C2763">
        <w:rPr>
          <w:rFonts w:ascii="Abadi" w:hAnsi="Abadi" w:cs="Arial-ItalicMT"/>
          <w:i/>
          <w:iCs/>
          <w:color w:val="000000"/>
          <w:sz w:val="21"/>
          <w:szCs w:val="21"/>
        </w:rPr>
        <w:t>definitiva.»</w:t>
      </w:r>
    </w:p>
    <w:p w14:paraId="5BB8B3ED" w14:textId="77777777" w:rsidR="00503B61" w:rsidRPr="007C2763" w:rsidRDefault="00503B61" w:rsidP="00503B61">
      <w:pPr>
        <w:autoSpaceDE w:val="0"/>
        <w:autoSpaceDN w:val="0"/>
        <w:adjustRightInd w:val="0"/>
        <w:jc w:val="both"/>
        <w:rPr>
          <w:rFonts w:ascii="Abadi" w:hAnsi="Abadi" w:cs="Arial-ItalicMT"/>
          <w:i/>
          <w:iCs/>
          <w:color w:val="000000"/>
          <w:sz w:val="21"/>
          <w:szCs w:val="21"/>
        </w:rPr>
      </w:pPr>
    </w:p>
    <w:p w14:paraId="57DB7738" w14:textId="77777777" w:rsidR="00503B61" w:rsidRPr="007C2763" w:rsidRDefault="00503B61" w:rsidP="00503B61">
      <w:pPr>
        <w:autoSpaceDE w:val="0"/>
        <w:autoSpaceDN w:val="0"/>
        <w:adjustRightInd w:val="0"/>
        <w:jc w:val="both"/>
        <w:rPr>
          <w:rFonts w:ascii="Abadi" w:hAnsi="Abadi" w:cs="Arial-ItalicMT"/>
          <w:i/>
          <w:iCs/>
          <w:sz w:val="21"/>
          <w:szCs w:val="21"/>
        </w:rPr>
      </w:pPr>
    </w:p>
    <w:p w14:paraId="19797D4E" w14:textId="77777777" w:rsidR="00503B61" w:rsidRPr="007C2763" w:rsidRDefault="00503B61" w:rsidP="00503B61">
      <w:pPr>
        <w:autoSpaceDE w:val="0"/>
        <w:autoSpaceDN w:val="0"/>
        <w:adjustRightInd w:val="0"/>
        <w:ind w:firstLine="708"/>
        <w:jc w:val="both"/>
        <w:rPr>
          <w:rFonts w:ascii="Abadi" w:hAnsi="Abadi" w:cs="ArialMT"/>
          <w:color w:val="000000"/>
          <w:sz w:val="21"/>
          <w:szCs w:val="21"/>
        </w:rPr>
      </w:pPr>
      <w:r w:rsidRPr="007C2763">
        <w:rPr>
          <w:rFonts w:ascii="Abadi" w:hAnsi="Abadi" w:cs="ArialMT"/>
          <w:color w:val="000000"/>
          <w:sz w:val="21"/>
          <w:szCs w:val="21"/>
        </w:rPr>
        <w:t>La información antes expuesta, así como el planteamiento del exhorto, fueron</w:t>
      </w:r>
      <w:r w:rsidRPr="007C2763">
        <w:rPr>
          <w:rFonts w:ascii="Abadi" w:hAnsi="Abadi" w:cs="Arial-ItalicMT"/>
          <w:i/>
          <w:iCs/>
          <w:sz w:val="21"/>
          <w:szCs w:val="21"/>
        </w:rPr>
        <w:t xml:space="preserve"> </w:t>
      </w:r>
      <w:r w:rsidRPr="007C2763">
        <w:rPr>
          <w:rFonts w:ascii="Abadi" w:hAnsi="Abadi" w:cs="ArialMT"/>
          <w:color w:val="000000"/>
          <w:sz w:val="21"/>
          <w:szCs w:val="21"/>
        </w:rPr>
        <w:t>analizados en mesa de trabajo de fecha 10 de mayo de 2022, con la asistencia de</w:t>
      </w:r>
      <w:r w:rsidRPr="007C2763">
        <w:rPr>
          <w:rFonts w:ascii="Abadi" w:hAnsi="Abadi" w:cs="Arial-ItalicMT"/>
          <w:i/>
          <w:iCs/>
          <w:sz w:val="21"/>
          <w:szCs w:val="21"/>
        </w:rPr>
        <w:t xml:space="preserve"> </w:t>
      </w:r>
      <w:r w:rsidRPr="007C2763">
        <w:rPr>
          <w:rFonts w:ascii="Abadi" w:hAnsi="Abadi" w:cs="ArialMT"/>
          <w:color w:val="000000"/>
          <w:sz w:val="21"/>
          <w:szCs w:val="21"/>
        </w:rPr>
        <w:t>diputados, asesores de los grupos parlamentarios de estos, y la Secretaría Técnica,</w:t>
      </w:r>
      <w:r w:rsidRPr="007C2763">
        <w:rPr>
          <w:rFonts w:ascii="Abadi" w:hAnsi="Abadi" w:cs="Arial-ItalicMT"/>
          <w:i/>
          <w:iCs/>
          <w:sz w:val="21"/>
          <w:szCs w:val="21"/>
        </w:rPr>
        <w:t xml:space="preserve"> </w:t>
      </w:r>
      <w:r w:rsidRPr="007C2763">
        <w:rPr>
          <w:rFonts w:ascii="Abadi" w:hAnsi="Abadi" w:cs="ArialMT"/>
          <w:color w:val="000000"/>
          <w:sz w:val="21"/>
          <w:szCs w:val="21"/>
        </w:rPr>
        <w:t>quienes realizaron diversas consideraciones al respecto, instruyéndose por parte de</w:t>
      </w:r>
      <w:r w:rsidRPr="007C2763">
        <w:rPr>
          <w:rFonts w:ascii="Abadi" w:hAnsi="Abadi" w:cs="Arial-ItalicMT"/>
          <w:i/>
          <w:iCs/>
          <w:sz w:val="21"/>
          <w:szCs w:val="21"/>
        </w:rPr>
        <w:t xml:space="preserve"> </w:t>
      </w:r>
      <w:r w:rsidRPr="007C2763">
        <w:rPr>
          <w:rFonts w:ascii="Abadi" w:hAnsi="Abadi" w:cs="ArialMT"/>
          <w:color w:val="000000"/>
          <w:sz w:val="21"/>
          <w:szCs w:val="21"/>
        </w:rPr>
        <w:t>la Presidencia de esta Comisión a la Secretaría Técnica, la elaboración del proyecto</w:t>
      </w:r>
      <w:r w:rsidRPr="007C2763">
        <w:rPr>
          <w:rFonts w:ascii="Abadi" w:hAnsi="Abadi" w:cs="Arial-ItalicMT"/>
          <w:i/>
          <w:iCs/>
          <w:sz w:val="21"/>
          <w:szCs w:val="21"/>
        </w:rPr>
        <w:t xml:space="preserve"> </w:t>
      </w:r>
      <w:r w:rsidRPr="007C2763">
        <w:rPr>
          <w:rFonts w:ascii="Abadi" w:hAnsi="Abadi" w:cs="ArialMT"/>
          <w:color w:val="000000"/>
          <w:sz w:val="21"/>
          <w:szCs w:val="21"/>
        </w:rPr>
        <w:t>dictamen en sentido negativo, lo anterior por los motivos descritos a continuación.</w:t>
      </w:r>
    </w:p>
    <w:p w14:paraId="64C8EAA2" w14:textId="77777777" w:rsidR="00503B61" w:rsidRPr="007C2763" w:rsidRDefault="00503B61" w:rsidP="00503B61">
      <w:pPr>
        <w:autoSpaceDE w:val="0"/>
        <w:autoSpaceDN w:val="0"/>
        <w:adjustRightInd w:val="0"/>
        <w:jc w:val="both"/>
        <w:rPr>
          <w:rFonts w:ascii="Abadi" w:hAnsi="Abadi" w:cs="Arial-ItalicMT"/>
          <w:i/>
          <w:iCs/>
          <w:sz w:val="21"/>
          <w:szCs w:val="21"/>
        </w:rPr>
      </w:pPr>
    </w:p>
    <w:p w14:paraId="0ADE25C4" w14:textId="77777777" w:rsidR="00503B61" w:rsidRPr="007C2763" w:rsidRDefault="00503B61" w:rsidP="00503B61">
      <w:pPr>
        <w:autoSpaceDE w:val="0"/>
        <w:autoSpaceDN w:val="0"/>
        <w:adjustRightInd w:val="0"/>
        <w:ind w:firstLine="708"/>
        <w:rPr>
          <w:rFonts w:ascii="Abadi" w:hAnsi="Abadi" w:cs="Arial-BoldMT"/>
          <w:b/>
          <w:bCs/>
          <w:color w:val="000000"/>
          <w:sz w:val="21"/>
          <w:szCs w:val="21"/>
        </w:rPr>
      </w:pPr>
      <w:r w:rsidRPr="007C2763">
        <w:rPr>
          <w:rFonts w:ascii="Abadi" w:hAnsi="Abadi" w:cs="Arial-BoldMT"/>
          <w:b/>
          <w:bCs/>
          <w:color w:val="000000"/>
          <w:sz w:val="21"/>
          <w:szCs w:val="21"/>
        </w:rPr>
        <w:t>Propósito de la propuesta</w:t>
      </w:r>
    </w:p>
    <w:p w14:paraId="075B8CAD" w14:textId="77777777" w:rsidR="00503B61" w:rsidRPr="007C2763" w:rsidRDefault="00503B61" w:rsidP="00503B61">
      <w:pPr>
        <w:autoSpaceDE w:val="0"/>
        <w:autoSpaceDN w:val="0"/>
        <w:adjustRightInd w:val="0"/>
        <w:ind w:firstLine="708"/>
        <w:rPr>
          <w:rFonts w:ascii="Abadi" w:hAnsi="Abadi" w:cs="Arial-BoldMT"/>
          <w:b/>
          <w:bCs/>
          <w:color w:val="000000"/>
          <w:sz w:val="21"/>
          <w:szCs w:val="21"/>
        </w:rPr>
      </w:pPr>
    </w:p>
    <w:p w14:paraId="5E306C5D" w14:textId="39612C44" w:rsidR="00503B61" w:rsidRDefault="00503B61" w:rsidP="00503B61">
      <w:pPr>
        <w:autoSpaceDE w:val="0"/>
        <w:autoSpaceDN w:val="0"/>
        <w:adjustRightInd w:val="0"/>
        <w:ind w:firstLine="708"/>
        <w:jc w:val="both"/>
        <w:rPr>
          <w:rFonts w:ascii="Abadi" w:hAnsi="Abadi" w:cs="ArialMT"/>
          <w:color w:val="000000"/>
          <w:sz w:val="21"/>
          <w:szCs w:val="21"/>
        </w:rPr>
      </w:pPr>
      <w:r w:rsidRPr="007C2763">
        <w:rPr>
          <w:rFonts w:ascii="Abadi" w:hAnsi="Abadi" w:cs="ArialMT"/>
          <w:color w:val="000000"/>
          <w:sz w:val="21"/>
          <w:szCs w:val="21"/>
        </w:rPr>
        <w:t>La propuesta de punto de acuerdo que se dictamina tiene por objeto se realice un exhorto a diversas instituciones y se informe detalladamente a esta Soberanía sobre sus investigaciones y acciones realizadas en atención a los hechos ocurridos el 13 de noviembre de 2020 en la Planta de tratamiento de Aguas Residuales Municipales y su Módulo de Desbaste de SAPAL.</w:t>
      </w:r>
    </w:p>
    <w:p w14:paraId="5FEC02DE" w14:textId="77777777" w:rsidR="00095E56" w:rsidRPr="007C2763" w:rsidRDefault="00095E56" w:rsidP="00503B61">
      <w:pPr>
        <w:autoSpaceDE w:val="0"/>
        <w:autoSpaceDN w:val="0"/>
        <w:adjustRightInd w:val="0"/>
        <w:ind w:firstLine="708"/>
        <w:jc w:val="both"/>
        <w:rPr>
          <w:rFonts w:ascii="Abadi" w:hAnsi="Abadi" w:cs="ArialMT"/>
          <w:color w:val="000000"/>
          <w:sz w:val="21"/>
          <w:szCs w:val="21"/>
        </w:rPr>
      </w:pPr>
    </w:p>
    <w:p w14:paraId="02BA0960" w14:textId="77777777" w:rsidR="00503B61" w:rsidRPr="007C2763" w:rsidRDefault="00503B61" w:rsidP="00503B61">
      <w:pPr>
        <w:autoSpaceDE w:val="0"/>
        <w:autoSpaceDN w:val="0"/>
        <w:adjustRightInd w:val="0"/>
        <w:ind w:firstLine="708"/>
        <w:jc w:val="both"/>
        <w:rPr>
          <w:rFonts w:ascii="Abadi" w:hAnsi="Abadi" w:cs="ArialMT"/>
          <w:color w:val="000000"/>
          <w:sz w:val="21"/>
          <w:szCs w:val="21"/>
        </w:rPr>
      </w:pPr>
      <w:r w:rsidRPr="007C2763">
        <w:rPr>
          <w:rFonts w:ascii="Abadi" w:hAnsi="Abadi" w:cs="ArialMT"/>
          <w:color w:val="000000"/>
          <w:sz w:val="21"/>
          <w:szCs w:val="21"/>
        </w:rPr>
        <w:t>El contenido de la propuesta se transcribe a continuación:</w:t>
      </w:r>
    </w:p>
    <w:p w14:paraId="36065655" w14:textId="77777777" w:rsidR="00503B61" w:rsidRPr="007C2763" w:rsidRDefault="00503B61" w:rsidP="00503B61">
      <w:pPr>
        <w:autoSpaceDE w:val="0"/>
        <w:autoSpaceDN w:val="0"/>
        <w:adjustRightInd w:val="0"/>
        <w:jc w:val="both"/>
        <w:rPr>
          <w:rFonts w:ascii="Abadi" w:hAnsi="Abadi" w:cs="ArialMT"/>
          <w:color w:val="000000"/>
          <w:sz w:val="21"/>
          <w:szCs w:val="21"/>
        </w:rPr>
      </w:pPr>
    </w:p>
    <w:p w14:paraId="452E4278" w14:textId="77777777" w:rsidR="00126DE8" w:rsidRDefault="00126DE8" w:rsidP="00503B61">
      <w:pPr>
        <w:jc w:val="center"/>
        <w:rPr>
          <w:rFonts w:ascii="Abadi" w:hAnsi="Abadi" w:cs="Calibri-Italic"/>
          <w:b/>
          <w:bCs/>
          <w:i/>
          <w:iCs/>
          <w:color w:val="282828"/>
          <w:sz w:val="21"/>
          <w:szCs w:val="21"/>
        </w:rPr>
      </w:pPr>
    </w:p>
    <w:p w14:paraId="3CC46079" w14:textId="77777777" w:rsidR="00126DE8" w:rsidRDefault="00126DE8" w:rsidP="00503B61">
      <w:pPr>
        <w:jc w:val="center"/>
        <w:rPr>
          <w:rFonts w:ascii="Abadi" w:hAnsi="Abadi" w:cs="Calibri-Italic"/>
          <w:b/>
          <w:bCs/>
          <w:i/>
          <w:iCs/>
          <w:color w:val="282828"/>
          <w:sz w:val="21"/>
          <w:szCs w:val="21"/>
        </w:rPr>
      </w:pPr>
    </w:p>
    <w:p w14:paraId="2C2AC609" w14:textId="1AB8C0AD" w:rsidR="00503B61" w:rsidRDefault="00503B61" w:rsidP="00503B61">
      <w:pPr>
        <w:jc w:val="center"/>
        <w:rPr>
          <w:rFonts w:ascii="Abadi" w:hAnsi="Abadi" w:cs="Calibri-Italic"/>
          <w:b/>
          <w:bCs/>
          <w:i/>
          <w:iCs/>
          <w:color w:val="282828"/>
          <w:sz w:val="21"/>
          <w:szCs w:val="21"/>
        </w:rPr>
      </w:pPr>
      <w:r w:rsidRPr="007C2763">
        <w:rPr>
          <w:rFonts w:ascii="Abadi" w:hAnsi="Abadi" w:cs="Calibri-Italic"/>
          <w:b/>
          <w:bCs/>
          <w:i/>
          <w:iCs/>
          <w:color w:val="282828"/>
          <w:sz w:val="21"/>
          <w:szCs w:val="21"/>
        </w:rPr>
        <w:t>CONSIDERACIONES</w:t>
      </w:r>
    </w:p>
    <w:p w14:paraId="64350A5E" w14:textId="77777777" w:rsidR="00095E56" w:rsidRPr="007C2763" w:rsidRDefault="00095E56" w:rsidP="00503B61">
      <w:pPr>
        <w:jc w:val="center"/>
        <w:rPr>
          <w:rFonts w:ascii="Abadi" w:hAnsi="Abadi" w:cs="Calibri-Italic"/>
          <w:b/>
          <w:bCs/>
          <w:i/>
          <w:iCs/>
          <w:color w:val="282828"/>
          <w:sz w:val="21"/>
          <w:szCs w:val="21"/>
        </w:rPr>
      </w:pPr>
    </w:p>
    <w:p w14:paraId="7FFC18DD" w14:textId="77777777" w:rsidR="00503B61" w:rsidRPr="007C2763" w:rsidRDefault="00503B61" w:rsidP="00503B61">
      <w:pPr>
        <w:autoSpaceDE w:val="0"/>
        <w:autoSpaceDN w:val="0"/>
        <w:adjustRightInd w:val="0"/>
        <w:jc w:val="both"/>
        <w:rPr>
          <w:rFonts w:ascii="Abadi" w:hAnsi="Abadi" w:cs="Calibri-Italic"/>
          <w:b/>
          <w:bCs/>
          <w:i/>
          <w:iCs/>
          <w:color w:val="282828"/>
          <w:sz w:val="21"/>
          <w:szCs w:val="21"/>
        </w:rPr>
      </w:pPr>
      <w:r w:rsidRPr="007C2763">
        <w:rPr>
          <w:rFonts w:ascii="Abadi" w:hAnsi="Abadi" w:cs="Calibri-Italic"/>
          <w:b/>
          <w:bCs/>
          <w:i/>
          <w:iCs/>
          <w:color w:val="282828"/>
          <w:sz w:val="21"/>
          <w:szCs w:val="21"/>
        </w:rPr>
        <w:t xml:space="preserve">1. </w:t>
      </w:r>
      <w:r w:rsidRPr="007C2763">
        <w:rPr>
          <w:rFonts w:ascii="Abadi" w:hAnsi="Abadi" w:cs="Calibri-Italic"/>
          <w:b/>
          <w:bCs/>
          <w:i/>
          <w:iCs/>
          <w:color w:val="282828"/>
          <w:sz w:val="21"/>
          <w:szCs w:val="21"/>
        </w:rPr>
        <w:tab/>
        <w:t>Contextualización</w:t>
      </w:r>
    </w:p>
    <w:p w14:paraId="0552CF13"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El 13 de noviembre de 2020 ocurrió una tragedia terrible ocasionada por una posible negligencia institucional atribuible al Sistema de Agua Potable y Alcantarillado de León (SAPAL). Esa noche perdieron la vida cinco trabajadores de SAPAL: Víctor Ricardo Briseño Rangel, José Salvador Afanador Martínez, Alberto de Jesús Silva Zúñiga, Omar Ignacio Martínez Flores y Juan Antonio Méndez Rivera, quienes realizaban labores de mantenimiento en el denominado "Módulo de Desbaste" en el que se tratan las aguas residuales de las empresas de la industria curtidora.</w:t>
      </w:r>
    </w:p>
    <w:p w14:paraId="54DEB7E2"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7F414AD7" w14:textId="61934945" w:rsidR="00503B61" w:rsidRDefault="00503B61" w:rsidP="00503B61">
      <w:pPr>
        <w:autoSpaceDE w:val="0"/>
        <w:autoSpaceDN w:val="0"/>
        <w:adjustRightInd w:val="0"/>
        <w:jc w:val="both"/>
        <w:rPr>
          <w:rFonts w:ascii="Abadi" w:hAnsi="Abadi" w:cs="Calibri-Italic"/>
          <w:b/>
          <w:bCs/>
          <w:i/>
          <w:iCs/>
          <w:color w:val="282828"/>
          <w:sz w:val="21"/>
          <w:szCs w:val="21"/>
        </w:rPr>
      </w:pPr>
      <w:r w:rsidRPr="007C2763">
        <w:rPr>
          <w:rFonts w:ascii="Abadi" w:hAnsi="Abadi" w:cs="Calibri-Italic"/>
          <w:b/>
          <w:bCs/>
          <w:i/>
          <w:iCs/>
          <w:color w:val="282828"/>
          <w:sz w:val="21"/>
          <w:szCs w:val="21"/>
        </w:rPr>
        <w:t xml:space="preserve">2. </w:t>
      </w:r>
      <w:r w:rsidRPr="007C2763">
        <w:rPr>
          <w:rFonts w:ascii="Abadi" w:hAnsi="Abadi" w:cs="Calibri-Italic"/>
          <w:b/>
          <w:bCs/>
          <w:i/>
          <w:iCs/>
          <w:color w:val="282828"/>
          <w:sz w:val="21"/>
          <w:szCs w:val="21"/>
        </w:rPr>
        <w:tab/>
        <w:t>El conflicto entre ECOSYS III y el SAPAL</w:t>
      </w:r>
    </w:p>
    <w:p w14:paraId="6A6ED440" w14:textId="77777777" w:rsidR="00095E56" w:rsidRPr="007C2763" w:rsidRDefault="00095E56" w:rsidP="00503B61">
      <w:pPr>
        <w:autoSpaceDE w:val="0"/>
        <w:autoSpaceDN w:val="0"/>
        <w:adjustRightInd w:val="0"/>
        <w:jc w:val="both"/>
        <w:rPr>
          <w:rFonts w:ascii="Abadi" w:hAnsi="Abadi" w:cs="Calibri-Italic"/>
          <w:b/>
          <w:bCs/>
          <w:i/>
          <w:iCs/>
          <w:color w:val="282828"/>
          <w:sz w:val="21"/>
          <w:szCs w:val="21"/>
        </w:rPr>
      </w:pPr>
    </w:p>
    <w:p w14:paraId="06E10FF9"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Tres meses antes, en agosto del mismo año, la opinión pública conoció las graves irregularidades en el manejo y operación de la Planta de Tratamiento de Aguas Residuales Municipales y su Módulo de Desbaste, lo que evidenció, entre otras cosas, algunos conflictos entre el SAPAL y el consorcio ECOSYS III, quien diseñó y operó ese sistema de saneamiento durante 20 años. Las autoridades federales también conocieron los hechos, mediante denuncias presentadas ante la Procuraduría Federal de Protección al Ambiente (PROFEPA) y la Comisión Nacional del Agua (CONAGUA).</w:t>
      </w:r>
    </w:p>
    <w:p w14:paraId="032E6C4C"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26FD52DD"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La disputa esencial entre ECOSYS III y el SAPAL se centraba en los daños causados en la infraestructura del Módulo de Desbaste, debido a que las empresas curtidoras envían sus aguas usadas en calidades distintas a las pactadas para su saneamiento, así como en la inacción del SAPAL para exigir a los curtidores el cumplimiento de sus obligaciones.</w:t>
      </w:r>
    </w:p>
    <w:p w14:paraId="19A8E07B"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Desde 2014, ECOSYS III señaló l que SAPAL entregaba aguas residuales de calidades distintas a las acordadas en el convenio, ya que presentaban altos contenidos de arenas, basura, recortes de cuero, sales, sulfuros, amoniaco, cromo, cal, pelambres y grasas, que habían perjudicado el equipo mecánico, eléctrico y de proceso de la infraestructura de tratamiento de las aguas residuales.</w:t>
      </w:r>
    </w:p>
    <w:p w14:paraId="7EB892B7"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09E173FD"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Esta problemática fue informada por ECOSYS III al SAPAL, así como al Comité Técnico, mediante comunicaciones y avisos, sin que el SAPAL hubiera dado la debida atención de los mismos.</w:t>
      </w:r>
    </w:p>
    <w:p w14:paraId="0226EB16"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2A15679C" w14:textId="77777777" w:rsidR="00503B61" w:rsidRPr="007C2763" w:rsidRDefault="00503B61" w:rsidP="00503B61">
      <w:pPr>
        <w:pStyle w:val="Prrafodelista"/>
        <w:autoSpaceDE w:val="0"/>
        <w:autoSpaceDN w:val="0"/>
        <w:adjustRightInd w:val="0"/>
        <w:jc w:val="both"/>
        <w:rPr>
          <w:rFonts w:ascii="Abadi" w:hAnsi="Abadi" w:cs="Calibri-Italic"/>
          <w:i/>
          <w:iCs/>
          <w:color w:val="282828"/>
          <w:sz w:val="21"/>
          <w:szCs w:val="21"/>
        </w:rPr>
      </w:pPr>
    </w:p>
    <w:p w14:paraId="1234A37E" w14:textId="77777777" w:rsidR="00503B61" w:rsidRPr="00126DE8" w:rsidRDefault="00503B61" w:rsidP="00503B61">
      <w:pPr>
        <w:autoSpaceDE w:val="0"/>
        <w:autoSpaceDN w:val="0"/>
        <w:adjustRightInd w:val="0"/>
        <w:jc w:val="both"/>
        <w:rPr>
          <w:rFonts w:ascii="Abadi" w:hAnsi="Abadi" w:cs="Calibri-Italic"/>
          <w:i/>
          <w:iCs/>
          <w:color w:val="282828"/>
          <w:sz w:val="21"/>
          <w:szCs w:val="21"/>
        </w:rPr>
      </w:pPr>
      <w:r w:rsidRPr="00126DE8">
        <w:rPr>
          <w:rFonts w:ascii="Abadi" w:hAnsi="Abadi" w:cs="Calibri-Italic"/>
          <w:i/>
          <w:iCs/>
          <w:color w:val="282828"/>
          <w:sz w:val="21"/>
          <w:szCs w:val="21"/>
        </w:rPr>
        <w:t>1 ECOSYS III. Comunicado de prensa del día 14 de agosto de 2020</w:t>
      </w:r>
    </w:p>
    <w:p w14:paraId="0870DEC3"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46E0561E" w14:textId="4628EDAA"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3. La recuperación violenta y operación de la PTAR-MD por parte del SAPAL</w:t>
      </w:r>
      <w:r w:rsidR="00126DE8">
        <w:rPr>
          <w:rFonts w:ascii="Abadi" w:hAnsi="Abadi" w:cs="Calibri-Italic"/>
          <w:i/>
          <w:iCs/>
          <w:color w:val="282828"/>
          <w:sz w:val="21"/>
          <w:szCs w:val="21"/>
        </w:rPr>
        <w:t xml:space="preserve"> </w:t>
      </w:r>
      <w:proofErr w:type="spellStart"/>
      <w:r w:rsidRPr="007C2763">
        <w:rPr>
          <w:rFonts w:ascii="Abadi" w:hAnsi="Abadi" w:cs="Calibri-Italic"/>
          <w:i/>
          <w:iCs/>
          <w:color w:val="282828"/>
          <w:sz w:val="21"/>
          <w:szCs w:val="21"/>
        </w:rPr>
        <w:t>SAPAL</w:t>
      </w:r>
      <w:proofErr w:type="spellEnd"/>
      <w:r w:rsidRPr="007C2763">
        <w:rPr>
          <w:rFonts w:ascii="Abadi" w:hAnsi="Abadi" w:cs="Calibri-Italic"/>
          <w:i/>
          <w:iCs/>
          <w:color w:val="282828"/>
          <w:sz w:val="21"/>
          <w:szCs w:val="21"/>
        </w:rPr>
        <w:t>, informó el 23 de septiembre de 2020 que ante la conclusión de la concesión después de 20 años, el propio SAPAL asumiría la operación de la Planta Municipal de Tratamiento de Aguas Residuales y su Módulo de Desbaste. Del mismo modo, informó que "como en todo proceso de finalización de una concesión, SAPAL se apega[ría] a disposiciones legales" y que "en cumplimiento con el acuerdo del Ayuntamiento y con el acompañamiento de la Contraloría Municipal, SAPAL lleva[ría] a cabo una revisión de los activos que integran las instalaciones".</w:t>
      </w:r>
      <w:r w:rsidR="00167D3A" w:rsidRPr="007C2763">
        <w:rPr>
          <w:rFonts w:ascii="Abadi" w:hAnsi="Abadi" w:cs="Calibri-Italic"/>
          <w:i/>
          <w:iCs/>
          <w:color w:val="282828"/>
          <w:sz w:val="21"/>
          <w:szCs w:val="21"/>
        </w:rPr>
        <w:t xml:space="preserve"> </w:t>
      </w:r>
      <w:r w:rsidR="00167D3A" w:rsidRPr="007C2763">
        <w:rPr>
          <w:rStyle w:val="Refdenotaalpie"/>
          <w:rFonts w:ascii="Abadi" w:hAnsi="Abadi" w:cs="Calibri-Italic"/>
          <w:i/>
          <w:iCs/>
          <w:color w:val="282828"/>
          <w:sz w:val="21"/>
          <w:szCs w:val="21"/>
        </w:rPr>
        <w:footnoteReference w:id="41"/>
      </w:r>
    </w:p>
    <w:p w14:paraId="27549AEF"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73C89B16"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 xml:space="preserve">SAPAL tomó por la fuerza, con apoyo de la policía municipal, dichas instalaciones y en esta recuperación violenta, despidió a prácticamente a la totalidad del personal de las mismas. Aquí radica una buena parte de las causas de la tragedia. El SAPAL, en su afán por recuperar dichas instalaciones, se deshizo del personal experimentado, contrató y reasignó personal de sus otras plantas para trabajar en dichas instalaciones. Y lo hizo sin cumplir con la normatividad vigente: la capacitación indispensable, la dotación del equipo de seguridad, en suma, sin cumplir los protocolos correspondientes a un lugar de trabajo con altos riesgos laborales, como lo es Módulo de Desbaste. </w:t>
      </w:r>
    </w:p>
    <w:p w14:paraId="71F29A25"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031060BA"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El asunto que hoy estoy poniendo a su consideración, es el comportamiento negligente del SAPAL, que ocasionó la muerte evitable de cinco jóvenes, por no haber realizado una transición ordenada al recuperar el control y la operación de la Planta de Tratamiento y su Módulo de Desbaste.</w:t>
      </w:r>
    </w:p>
    <w:p w14:paraId="265B669C"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1B7C3A81"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En segundo lugar, quiero resaltar, el comportamiento inaceptable con el que han venido actuando otras instituciones locales involucradas: el gobierno municipal, la Fiscalía General del Estado y la Procuraduría Derechos Humanos del Estado.</w:t>
      </w:r>
    </w:p>
    <w:p w14:paraId="07DD2A74"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4AB25179"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La Fiscalía General del Estado ha mostrado una extraña voluntad de ocultamiento de las irresponsabilidades en las que ha incurrido el SAPAL, en una especie de contubernio interinstitucional. La falta de acuciosidad del Ministerio Público, los cambios constantes en los agentes de investigación asignados al caso, así como el incumplimiento de protocolos en el manejo del sitio del siniestro por parte del Servicio Médico Forense de la Fiscalía y la inhumación de los cuerpos sin que les fuera practicada una necropsia con todas las formalidades de ley, ha contribuido a desvanecer los indicios que permitirían determinar con la mayor certeza posible, lo que realmente ocurrió el 13 de noviembre.</w:t>
      </w:r>
    </w:p>
    <w:p w14:paraId="35EC64AD"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48DF12E5"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Ante estos hechos, los familiares de las víctimas no han obtenido el trato digno y justo que correspondería a una situación de esta naturaleza.</w:t>
      </w:r>
    </w:p>
    <w:p w14:paraId="30E4B10F"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50696C6F"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4. Datos técnicos básicos de la tragedia</w:t>
      </w:r>
    </w:p>
    <w:p w14:paraId="7771ABF2"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El Módulo de Desbaste (MD) fue diseñado para tratar las aguas residuales industriales provenientes de la industria curtidora. El 95% del curtido es a base de química, se añaden sustancias como ácido sulfúrico, ácido fórmico, anilinas, base sulfatos, aceites proteínicos, sulfuros, agua con cal, cromo, etc.</w:t>
      </w:r>
    </w:p>
    <w:p w14:paraId="5EDE6A02"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1595BBC0"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El PH del agua residual de la industria curtidora oscila entre 13 y 14. El Ácido Sulfúrico H2S04, el cual tiene un PH de 0.3 permite bajar el PH a 6 u 8, y así es posible hacer un tratamiento biológico el agua.</w:t>
      </w:r>
    </w:p>
    <w:p w14:paraId="2C50733E"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2561D7BC"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El accidente del 13 de Noviembre del 2020 tuvo lugar precisamente en la zona de dosificadores y mezcladores, donde se adiciona el Ácido Sulfúrico al agua residual.</w:t>
      </w:r>
    </w:p>
    <w:p w14:paraId="359E0257"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09CCA28B"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La concentración letal de inhalación del Ácido Sulfúrico es de 18 mg/m3. Sin embargo, de acuerdo con el análisis que el SAPAL realizó cinco horas después del accidente, la concentración en el aire, en la zona del incidente, con un flujo considerable de viento, era de 76 mg/m3, es decir, más de cuatro veces la cifra letal. Por tanto, no se consideraron las condiciones reales que prevalecían durante los hechos ahora expuestos.</w:t>
      </w:r>
    </w:p>
    <w:p w14:paraId="0A84674C"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147B75F3"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 xml:space="preserve">5. Datos duros de la posible negligencia criminal del SAPAL en la tragedia del 13N </w:t>
      </w:r>
    </w:p>
    <w:p w14:paraId="5F68AC9D"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El 8 de noviembre, cinco días antes del accidente mortal, el personal de la Planta de Tratamiento y su Módulo de Desbaste del SAPAL fue informado de una fuga de ácido sulfúrico en los dosificadores. Dos días antes del accidente, el 11 de noviembre se notificó que la tubería entre los tanques de almacenamiento y los dosificadores estaba corroída y no podía ser reparada porque si se intentara soldarla, volaría en pedazos.</w:t>
      </w:r>
    </w:p>
    <w:p w14:paraId="4DB2EBDC"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El SAPAL no realizó análisis alguno de riesgo, ni atendió las notificaciones recibidas al tomar posesión de la Planta de Tratamiento y Modulo de Desbaste. De haberlo hecho, es probable que estos chicos hubieran sobrevivido.</w:t>
      </w:r>
    </w:p>
    <w:p w14:paraId="640F352E"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367812E2"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37793487"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Como consta en el expediente 179/25-11-2020/000447 de la Oficina de Representación Federal del Trabajo en Guanajuato con sede en León, el SAPAL no cumplió con varios puntos de seguridad, altamente relevantes para prevenir el accidente. Menciono algunos de los factores señalados como causantes del accidente, cuyo cumplimiento no pudo demostrar el SAPAL, según ese expediente:</w:t>
      </w:r>
    </w:p>
    <w:p w14:paraId="3FE1035F"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364B35AB"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5.1 Análisis de contaminantes en el ambiente de trabajo, para establecer el tipo de Equipo de Protección Personal EPP indispensable.</w:t>
      </w:r>
    </w:p>
    <w:p w14:paraId="7E56B902"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5.2 Análisis clínicos para la evaluación de alteraciones por Sustancias Químicas, a las que los trabajadores fueron sometidos.</w:t>
      </w:r>
    </w:p>
    <w:p w14:paraId="60048466"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5.3 Evidencias de la capacitación a sus nuevos trabajadores, en las competencias requeridas para el Manejo de Sustancias Químicas Peligrosas.</w:t>
      </w:r>
    </w:p>
    <w:p w14:paraId="285834DE"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5.4 Permiso para realizar un trabajo peligroso la noche del accidente.</w:t>
      </w:r>
    </w:p>
    <w:p w14:paraId="5AF0ED22"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5.5 Existencia de un Plan de mantenimiento de las instalaciones.</w:t>
      </w:r>
    </w:p>
    <w:p w14:paraId="67C60BF0"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5.6 Programa específico para el manejo, almacenamiento y transporte de Sustancias Químicas Peligrosas.</w:t>
      </w:r>
    </w:p>
    <w:p w14:paraId="33C4E72E"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5.7 Hojas de Datos de Seguridad de las Sustancias Químicas Peligrosas.</w:t>
      </w:r>
    </w:p>
    <w:p w14:paraId="23E5A641"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5.8 La evidencia de algún recorrido de la Comisión de Seguridad e Higiene.</w:t>
      </w:r>
    </w:p>
    <w:p w14:paraId="3C27DD96"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5.9 La Matriz de Identificación de Peligros y Evaluación de Riesgos.</w:t>
      </w:r>
    </w:p>
    <w:p w14:paraId="606C9264"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4038EA6F"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Con esto, se exhibe que el SAPAL ordenó a sus trabajadores, de manera deliberada y consciente, laborar en condiciones de alto riesgo, sin las medidas de seguridad. Ante la tragedia, los representantes del SAPAL y su Consejo han optado por responsabilizar a los trabajadores de ser los causantes de su propia muerte.</w:t>
      </w:r>
    </w:p>
    <w:p w14:paraId="62867193"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5ABFF8A8"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A casi un año de la muerte de estas cinco personas, les exhorto a exigir a los responsables el esclarecimiento de la verdad para que asignen responsabilidades y reparen los daños, por lo que deseo someter a consideración del Pleno del Congreso del Estado de Guanajuato la siguiente propuesta para el efecto de que esta LXV Legislatura emita el siguiente</w:t>
      </w:r>
    </w:p>
    <w:p w14:paraId="11B32039"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1FE7E05C" w14:textId="77777777" w:rsidR="00503B61" w:rsidRPr="007C2763" w:rsidRDefault="00503B61" w:rsidP="00503B61">
      <w:pPr>
        <w:autoSpaceDE w:val="0"/>
        <w:autoSpaceDN w:val="0"/>
        <w:adjustRightInd w:val="0"/>
        <w:jc w:val="center"/>
        <w:rPr>
          <w:rFonts w:ascii="Abadi" w:hAnsi="Abadi" w:cs="Calibri-Italic"/>
          <w:i/>
          <w:iCs/>
          <w:color w:val="282828"/>
          <w:sz w:val="21"/>
          <w:szCs w:val="21"/>
        </w:rPr>
      </w:pPr>
    </w:p>
    <w:p w14:paraId="1D96DEFF" w14:textId="77777777" w:rsidR="00503B61" w:rsidRPr="007C2763" w:rsidRDefault="00503B61" w:rsidP="00503B61">
      <w:pPr>
        <w:autoSpaceDE w:val="0"/>
        <w:autoSpaceDN w:val="0"/>
        <w:adjustRightInd w:val="0"/>
        <w:jc w:val="center"/>
        <w:rPr>
          <w:rFonts w:ascii="Abadi" w:hAnsi="Abadi" w:cs="Calibri-Italic"/>
          <w:i/>
          <w:iCs/>
          <w:color w:val="282828"/>
          <w:sz w:val="21"/>
          <w:szCs w:val="21"/>
        </w:rPr>
      </w:pPr>
      <w:r w:rsidRPr="007C2763">
        <w:rPr>
          <w:rFonts w:ascii="Abadi" w:hAnsi="Abadi" w:cs="Calibri-Italic"/>
          <w:i/>
          <w:iCs/>
          <w:color w:val="282828"/>
          <w:sz w:val="21"/>
          <w:szCs w:val="21"/>
        </w:rPr>
        <w:t>PUNTO DE ACUERDO</w:t>
      </w:r>
    </w:p>
    <w:p w14:paraId="2107A408" w14:textId="77777777" w:rsidR="00C11B53" w:rsidRPr="007C2763" w:rsidRDefault="00C11B53" w:rsidP="00503B61">
      <w:pPr>
        <w:autoSpaceDE w:val="0"/>
        <w:autoSpaceDN w:val="0"/>
        <w:adjustRightInd w:val="0"/>
        <w:jc w:val="center"/>
        <w:rPr>
          <w:rFonts w:ascii="Abadi" w:hAnsi="Abadi" w:cs="Calibri-Italic"/>
          <w:i/>
          <w:iCs/>
          <w:color w:val="282828"/>
          <w:sz w:val="21"/>
          <w:szCs w:val="21"/>
        </w:rPr>
      </w:pPr>
    </w:p>
    <w:p w14:paraId="4FAB6066" w14:textId="481B3FA7" w:rsidR="00503B61" w:rsidRPr="007C2763" w:rsidRDefault="00503B61" w:rsidP="00503B61">
      <w:pPr>
        <w:autoSpaceDE w:val="0"/>
        <w:autoSpaceDN w:val="0"/>
        <w:adjustRightInd w:val="0"/>
        <w:jc w:val="both"/>
        <w:rPr>
          <w:rFonts w:ascii="Abadi" w:hAnsi="Abadi" w:cs="Calibri-Italic"/>
          <w:i/>
          <w:iCs/>
          <w:color w:val="282828"/>
          <w:sz w:val="21"/>
          <w:szCs w:val="21"/>
        </w:rPr>
      </w:pPr>
      <w:proofErr w:type="gramStart"/>
      <w:r w:rsidRPr="007C2763">
        <w:rPr>
          <w:rFonts w:ascii="Abadi" w:hAnsi="Abadi" w:cs="Calibri-Italic"/>
          <w:i/>
          <w:iCs/>
          <w:color w:val="282828"/>
          <w:sz w:val="21"/>
          <w:szCs w:val="21"/>
        </w:rPr>
        <w:t>PRIMERO.-</w:t>
      </w:r>
      <w:proofErr w:type="gramEnd"/>
      <w:r w:rsidRPr="007C2763">
        <w:rPr>
          <w:rFonts w:ascii="Abadi" w:hAnsi="Abadi" w:cs="Calibri-Italic"/>
          <w:i/>
          <w:iCs/>
          <w:color w:val="282828"/>
          <w:sz w:val="21"/>
          <w:szCs w:val="21"/>
        </w:rPr>
        <w:t xml:space="preserve"> Se acuerda girar atento exhorto al Sistema de Agua Potable y Alcantarillado de</w:t>
      </w:r>
      <w:r w:rsidR="00126DE8">
        <w:rPr>
          <w:rFonts w:ascii="Abadi" w:hAnsi="Abadi" w:cs="Calibri-Italic"/>
          <w:i/>
          <w:iCs/>
          <w:color w:val="282828"/>
          <w:sz w:val="21"/>
          <w:szCs w:val="21"/>
        </w:rPr>
        <w:t xml:space="preserve"> </w:t>
      </w:r>
      <w:r w:rsidRPr="007C2763">
        <w:rPr>
          <w:rFonts w:ascii="Abadi" w:hAnsi="Abadi" w:cs="Calibri-Italic"/>
          <w:i/>
          <w:iCs/>
          <w:color w:val="282828"/>
          <w:sz w:val="21"/>
          <w:szCs w:val="21"/>
        </w:rPr>
        <w:t>León (SAPAL) para que informe detalladamente a esta Soberanía sobre sus investigaciones internas de los hechos ocurridos el 13 de noviembre de 2020 en la Planta de Tratamiento de Aguas Residuales Municipales y su Módulo de Desbaste.</w:t>
      </w:r>
    </w:p>
    <w:p w14:paraId="54B6BECD"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roofErr w:type="gramStart"/>
      <w:r w:rsidRPr="007C2763">
        <w:rPr>
          <w:rFonts w:ascii="Abadi" w:hAnsi="Abadi" w:cs="Calibri-Italic"/>
          <w:i/>
          <w:iCs/>
          <w:color w:val="282828"/>
          <w:sz w:val="21"/>
          <w:szCs w:val="21"/>
        </w:rPr>
        <w:t>SEGUNDO.-</w:t>
      </w:r>
      <w:proofErr w:type="gramEnd"/>
      <w:r w:rsidRPr="007C2763">
        <w:rPr>
          <w:rFonts w:ascii="Abadi" w:hAnsi="Abadi" w:cs="Calibri-Italic"/>
          <w:i/>
          <w:iCs/>
          <w:color w:val="282828"/>
          <w:sz w:val="21"/>
          <w:szCs w:val="21"/>
        </w:rPr>
        <w:t xml:space="preserve"> Se acuerda girar atento exhorto a la Fiscalía General del Estado de Guanajuato a efecto de que remita un informe a esta Soberanía sobre las investigaciones criminales correspondientes a los hechos ocurridos el 13 de noviembre de 2020 en la Planta de Tratamiento de Aguas Residuales Municipales y su Módulo de Desbaste del Sistema de Agua Potable y Alcantarillado de León (SAPAL).</w:t>
      </w:r>
    </w:p>
    <w:p w14:paraId="01C2AF65"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27B94A9F" w14:textId="25BFAED3" w:rsidR="00503B61" w:rsidRPr="007C2763" w:rsidRDefault="00503B61" w:rsidP="00503B61">
      <w:pPr>
        <w:autoSpaceDE w:val="0"/>
        <w:autoSpaceDN w:val="0"/>
        <w:adjustRightInd w:val="0"/>
        <w:jc w:val="both"/>
        <w:rPr>
          <w:rFonts w:ascii="Abadi" w:hAnsi="Abadi" w:cs="Calibri-Italic"/>
          <w:i/>
          <w:iCs/>
          <w:color w:val="282828"/>
          <w:sz w:val="21"/>
          <w:szCs w:val="21"/>
        </w:rPr>
      </w:pPr>
      <w:proofErr w:type="gramStart"/>
      <w:r w:rsidRPr="007C2763">
        <w:rPr>
          <w:rFonts w:ascii="Abadi" w:hAnsi="Abadi" w:cs="Calibri-Italic"/>
          <w:i/>
          <w:iCs/>
          <w:color w:val="282828"/>
          <w:sz w:val="21"/>
          <w:szCs w:val="21"/>
        </w:rPr>
        <w:t>TERCERO.-</w:t>
      </w:r>
      <w:proofErr w:type="gramEnd"/>
      <w:r w:rsidRPr="007C2763">
        <w:rPr>
          <w:rFonts w:ascii="Abadi" w:hAnsi="Abadi" w:cs="Calibri-Italic"/>
          <w:i/>
          <w:iCs/>
          <w:color w:val="282828"/>
          <w:sz w:val="21"/>
          <w:szCs w:val="21"/>
        </w:rPr>
        <w:t xml:space="preserve"> Se acuerda girar atento exhorto a la Procuraduría de Derechos Humanos del Estado</w:t>
      </w:r>
      <w:r w:rsidR="00C94B0A">
        <w:rPr>
          <w:rFonts w:ascii="Abadi" w:hAnsi="Abadi" w:cs="Calibri-Italic"/>
          <w:i/>
          <w:iCs/>
          <w:color w:val="282828"/>
          <w:sz w:val="21"/>
          <w:szCs w:val="21"/>
        </w:rPr>
        <w:t xml:space="preserve"> </w:t>
      </w:r>
      <w:r w:rsidRPr="007C2763">
        <w:rPr>
          <w:rFonts w:ascii="Abadi" w:hAnsi="Abadi" w:cs="Calibri-Italic"/>
          <w:i/>
          <w:iCs/>
          <w:color w:val="282828"/>
          <w:sz w:val="21"/>
          <w:szCs w:val="21"/>
        </w:rPr>
        <w:t>de Guanajuato, a efecto de que renda un informe a esta Soberanía sobre el estado que guarda</w:t>
      </w:r>
      <w:r w:rsidR="00C94B0A">
        <w:rPr>
          <w:rFonts w:ascii="Abadi" w:hAnsi="Abadi" w:cs="Calibri-Italic"/>
          <w:i/>
          <w:iCs/>
          <w:color w:val="282828"/>
          <w:sz w:val="21"/>
          <w:szCs w:val="21"/>
        </w:rPr>
        <w:t xml:space="preserve"> </w:t>
      </w:r>
      <w:r w:rsidRPr="007C2763">
        <w:rPr>
          <w:rFonts w:ascii="Abadi" w:hAnsi="Abadi" w:cs="Calibri-Italic"/>
          <w:i/>
          <w:iCs/>
          <w:color w:val="282828"/>
          <w:sz w:val="21"/>
          <w:szCs w:val="21"/>
        </w:rPr>
        <w:t>el expediente número 24-21-A-II, radicado en la Subprocuraduría Zona A, el día 8 de febrero</w:t>
      </w:r>
    </w:p>
    <w:p w14:paraId="0A706DF6"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de 2021.</w:t>
      </w:r>
    </w:p>
    <w:p w14:paraId="163732B0"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5EA045E1"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r w:rsidRPr="007C2763">
        <w:rPr>
          <w:rFonts w:ascii="Abadi" w:hAnsi="Abadi" w:cs="Calibri-Italic"/>
          <w:i/>
          <w:iCs/>
          <w:color w:val="282828"/>
          <w:sz w:val="21"/>
          <w:szCs w:val="21"/>
        </w:rPr>
        <w:t>CUARTO.- Se acuerda girar atento exhorto al Ayuntamiento del Municipio de León para que conforme una comisión mixta, integrada tanto por ediles tanto como por civiles, con facultades suficientes de investigación sobre posibles violaciones a diversas normativas laborales de seguridad e higiene en la Planta de Tratamiento de Aguas Residuales Municipales y su Módulo de Desbaste del Sistema de Agua Potable y Alcantarillado de León (SAPAL) y, en su caso, iniciar los procedimientos legales que correspondan.</w:t>
      </w:r>
    </w:p>
    <w:p w14:paraId="45A5AE91" w14:textId="77777777" w:rsidR="00503B61" w:rsidRPr="007C2763" w:rsidRDefault="00503B61" w:rsidP="00503B61">
      <w:pPr>
        <w:autoSpaceDE w:val="0"/>
        <w:autoSpaceDN w:val="0"/>
        <w:adjustRightInd w:val="0"/>
        <w:jc w:val="both"/>
        <w:rPr>
          <w:rFonts w:ascii="Abadi" w:hAnsi="Abadi" w:cs="Calibri-Italic"/>
          <w:i/>
          <w:iCs/>
          <w:color w:val="282828"/>
          <w:sz w:val="21"/>
          <w:szCs w:val="21"/>
        </w:rPr>
      </w:pPr>
    </w:p>
    <w:p w14:paraId="0026C4C0" w14:textId="77777777" w:rsidR="00503B61" w:rsidRPr="007C2763" w:rsidRDefault="00503B61" w:rsidP="00503B61">
      <w:pPr>
        <w:autoSpaceDE w:val="0"/>
        <w:autoSpaceDN w:val="0"/>
        <w:adjustRightInd w:val="0"/>
        <w:jc w:val="both"/>
        <w:rPr>
          <w:rFonts w:ascii="Abadi" w:hAnsi="Abadi" w:cs="Arial-BoldMT"/>
          <w:b/>
          <w:bCs/>
          <w:color w:val="000000"/>
          <w:sz w:val="21"/>
          <w:szCs w:val="21"/>
        </w:rPr>
      </w:pPr>
      <w:r w:rsidRPr="007C2763">
        <w:rPr>
          <w:rFonts w:ascii="Abadi" w:hAnsi="Abadi" w:cs="Arial-BoldMT"/>
          <w:b/>
          <w:bCs/>
          <w:color w:val="000000"/>
          <w:sz w:val="21"/>
          <w:szCs w:val="21"/>
        </w:rPr>
        <w:t>Consideraciones de la Comisión de Asuntos Municipales</w:t>
      </w:r>
    </w:p>
    <w:p w14:paraId="6A56A595" w14:textId="77777777" w:rsidR="00503B61" w:rsidRPr="007C2763" w:rsidRDefault="00503B61" w:rsidP="00503B61">
      <w:pPr>
        <w:autoSpaceDE w:val="0"/>
        <w:autoSpaceDN w:val="0"/>
        <w:adjustRightInd w:val="0"/>
        <w:jc w:val="both"/>
        <w:rPr>
          <w:rFonts w:ascii="Abadi" w:hAnsi="Abadi" w:cs="Arial-BoldMT"/>
          <w:b/>
          <w:bCs/>
          <w:color w:val="000000"/>
          <w:sz w:val="21"/>
          <w:szCs w:val="21"/>
        </w:rPr>
      </w:pPr>
    </w:p>
    <w:p w14:paraId="191B28F0" w14:textId="77777777" w:rsidR="00503B61" w:rsidRPr="007C2763" w:rsidRDefault="00503B61" w:rsidP="00503B61">
      <w:pPr>
        <w:autoSpaceDE w:val="0"/>
        <w:autoSpaceDN w:val="0"/>
        <w:adjustRightInd w:val="0"/>
        <w:ind w:firstLine="708"/>
        <w:jc w:val="both"/>
        <w:rPr>
          <w:rFonts w:ascii="Abadi" w:hAnsi="Abadi" w:cs="ArialMT"/>
          <w:color w:val="000000"/>
          <w:sz w:val="21"/>
          <w:szCs w:val="21"/>
        </w:rPr>
      </w:pPr>
      <w:r w:rsidRPr="007C2763">
        <w:rPr>
          <w:rFonts w:ascii="Abadi" w:hAnsi="Abadi" w:cs="ArialMT"/>
          <w:color w:val="000000"/>
          <w:sz w:val="21"/>
          <w:szCs w:val="21"/>
        </w:rPr>
        <w:t>De acuerdo con lo dispuesto por el artículo 104 de la Ley Orgánica del Poder Legislativo del Estado de Guanajuato, es competencia de la Comisión que ahora dictamina, el estudio y conocimiento de los asuntos relacionados con las funciones, atribuciones y organización de los ayuntamientos del Estado.</w:t>
      </w:r>
    </w:p>
    <w:p w14:paraId="41FE3EF4" w14:textId="77777777" w:rsidR="00503B61" w:rsidRPr="007C2763" w:rsidRDefault="00503B61" w:rsidP="00503B61">
      <w:pPr>
        <w:autoSpaceDE w:val="0"/>
        <w:autoSpaceDN w:val="0"/>
        <w:adjustRightInd w:val="0"/>
        <w:jc w:val="both"/>
        <w:rPr>
          <w:rFonts w:ascii="Abadi" w:hAnsi="Abadi" w:cs="ArialMT"/>
          <w:sz w:val="21"/>
          <w:szCs w:val="21"/>
        </w:rPr>
      </w:pPr>
    </w:p>
    <w:p w14:paraId="51C1E038" w14:textId="77777777" w:rsidR="00503B61" w:rsidRPr="007C2763" w:rsidRDefault="00503B61" w:rsidP="00503B61">
      <w:pPr>
        <w:autoSpaceDE w:val="0"/>
        <w:autoSpaceDN w:val="0"/>
        <w:adjustRightInd w:val="0"/>
        <w:jc w:val="both"/>
        <w:rPr>
          <w:rFonts w:ascii="Abadi" w:hAnsi="Abadi" w:cs="ArialMT"/>
          <w:sz w:val="21"/>
          <w:szCs w:val="21"/>
        </w:rPr>
      </w:pPr>
      <w:r w:rsidRPr="007C2763">
        <w:rPr>
          <w:rFonts w:ascii="Abadi" w:hAnsi="Abadi" w:cs="ArialMT"/>
          <w:sz w:val="21"/>
          <w:szCs w:val="21"/>
        </w:rPr>
        <w:t>El punto de acuerdo centra su petición en los siguientes términos:</w:t>
      </w:r>
    </w:p>
    <w:p w14:paraId="15C3AC6C" w14:textId="77777777" w:rsidR="00503B61" w:rsidRPr="007C2763" w:rsidRDefault="00503B61" w:rsidP="00503B61">
      <w:pPr>
        <w:autoSpaceDE w:val="0"/>
        <w:autoSpaceDN w:val="0"/>
        <w:adjustRightInd w:val="0"/>
        <w:jc w:val="both"/>
        <w:rPr>
          <w:rFonts w:ascii="Abadi" w:hAnsi="Abadi" w:cs="ArialMT"/>
          <w:color w:val="000000"/>
          <w:sz w:val="21"/>
          <w:szCs w:val="21"/>
        </w:rPr>
      </w:pPr>
    </w:p>
    <w:p w14:paraId="0EBA6A2D" w14:textId="77777777" w:rsidR="00503B61" w:rsidRPr="007C2763" w:rsidRDefault="00503B61" w:rsidP="00503B6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Conforme al análisis realizado por esta Comisión Dictaminadora, encontramos que la propuesta en estudio ha sido satisfecha, en los referente al primero de los puntos, lo anterior y toda vez que de la información proporcionada por el Sistema de Agua potable y Alcantarillado de León, se derivan diversas acciones emprendidas por el organismo, entre otras, las siguientes:</w:t>
      </w:r>
    </w:p>
    <w:p w14:paraId="1DF4910C" w14:textId="77777777" w:rsidR="00503B61" w:rsidRPr="007C2763" w:rsidRDefault="00503B61" w:rsidP="00503B61">
      <w:pPr>
        <w:autoSpaceDE w:val="0"/>
        <w:autoSpaceDN w:val="0"/>
        <w:adjustRightInd w:val="0"/>
        <w:ind w:firstLine="708"/>
        <w:jc w:val="both"/>
        <w:rPr>
          <w:rFonts w:ascii="Abadi" w:hAnsi="Abadi" w:cs="ArialMT"/>
          <w:sz w:val="21"/>
          <w:szCs w:val="21"/>
        </w:rPr>
      </w:pPr>
    </w:p>
    <w:p w14:paraId="4A6D342E" w14:textId="77777777" w:rsidR="00503B61" w:rsidRPr="007C2763" w:rsidRDefault="00503B61" w:rsidP="00503B61">
      <w:pPr>
        <w:autoSpaceDE w:val="0"/>
        <w:autoSpaceDN w:val="0"/>
        <w:adjustRightInd w:val="0"/>
        <w:jc w:val="both"/>
        <w:rPr>
          <w:rFonts w:ascii="Abadi" w:hAnsi="Abadi" w:cs="ArialMT"/>
          <w:sz w:val="21"/>
          <w:szCs w:val="21"/>
        </w:rPr>
      </w:pPr>
      <w:r w:rsidRPr="007C2763">
        <w:rPr>
          <w:rFonts w:ascii="Abadi" w:hAnsi="Abadi" w:cs="SymbolMT"/>
          <w:sz w:val="21"/>
          <w:szCs w:val="21"/>
        </w:rPr>
        <w:t xml:space="preserve">• </w:t>
      </w:r>
      <w:r w:rsidRPr="007C2763">
        <w:rPr>
          <w:rFonts w:ascii="Abadi" w:hAnsi="Abadi" w:cs="ArialMT"/>
          <w:sz w:val="21"/>
          <w:szCs w:val="21"/>
        </w:rPr>
        <w:t>Los procedimientos civiles, penales y administrativos promovidos por los afectados en contra del Sistema de Agua Potable y Alcantarillado de León, han sido archivados o concluidos, lo anterior en virtud de los acuerdos que alcanzó el Sistema de Agua Potable y Alcantarillado de León con los deudos de los trabajadores fallecidos, a través del Centro de Justicia Alternativa del Estado de Guanajuato.</w:t>
      </w:r>
    </w:p>
    <w:p w14:paraId="5A7792BD" w14:textId="77777777" w:rsidR="00503B61" w:rsidRPr="007C2763" w:rsidRDefault="00503B61" w:rsidP="00503B61">
      <w:pPr>
        <w:autoSpaceDE w:val="0"/>
        <w:autoSpaceDN w:val="0"/>
        <w:adjustRightInd w:val="0"/>
        <w:jc w:val="both"/>
        <w:rPr>
          <w:rFonts w:ascii="Abadi" w:hAnsi="Abadi" w:cs="ArialMT"/>
          <w:sz w:val="21"/>
          <w:szCs w:val="21"/>
        </w:rPr>
      </w:pPr>
      <w:r w:rsidRPr="007C2763">
        <w:rPr>
          <w:rFonts w:ascii="Abadi" w:hAnsi="Abadi" w:cs="SymbolMT"/>
          <w:sz w:val="21"/>
          <w:szCs w:val="21"/>
        </w:rPr>
        <w:t xml:space="preserve">• </w:t>
      </w:r>
      <w:r w:rsidRPr="007C2763">
        <w:rPr>
          <w:rFonts w:ascii="Abadi" w:hAnsi="Abadi" w:cs="ArialMT"/>
          <w:sz w:val="21"/>
          <w:szCs w:val="21"/>
        </w:rPr>
        <w:t>Dentro de los procedimientos de mediación y conciliación, se decidió determinar la forma de cuantificar objetivamente la reparación del daño a los familiares a través de Dictámenes Profesionales privados con enfoques contables y jurídicos, mismos que fueron cubiertos por el Sistema de Agua potable y Alcantarillado de León.</w:t>
      </w:r>
    </w:p>
    <w:p w14:paraId="3845482F" w14:textId="77777777" w:rsidR="00503B61" w:rsidRPr="007C2763" w:rsidRDefault="00503B61" w:rsidP="00503B61">
      <w:pPr>
        <w:autoSpaceDE w:val="0"/>
        <w:autoSpaceDN w:val="0"/>
        <w:adjustRightInd w:val="0"/>
        <w:jc w:val="both"/>
        <w:rPr>
          <w:rFonts w:ascii="Abadi" w:hAnsi="Abadi" w:cs="ArialMT"/>
          <w:sz w:val="21"/>
          <w:szCs w:val="21"/>
        </w:rPr>
      </w:pPr>
      <w:r w:rsidRPr="007C2763">
        <w:rPr>
          <w:rFonts w:ascii="Abadi" w:hAnsi="Abadi" w:cs="SymbolMT"/>
          <w:sz w:val="21"/>
          <w:szCs w:val="21"/>
        </w:rPr>
        <w:t xml:space="preserve">• </w:t>
      </w:r>
      <w:r w:rsidRPr="007C2763">
        <w:rPr>
          <w:rFonts w:ascii="Abadi" w:hAnsi="Abadi" w:cs="ArialMT"/>
          <w:sz w:val="21"/>
          <w:szCs w:val="21"/>
        </w:rPr>
        <w:t>Dentro de los procedimientos se declaró por parte del organismo operador del agua, haberse realizado el pago de las prestaciones con estricto apego a la Ley Federal del Trabajo y la Ley del Seguro Social, a los beneficiarios de las personas fallecidas.</w:t>
      </w:r>
    </w:p>
    <w:p w14:paraId="54EEFFA6" w14:textId="77777777" w:rsidR="00503B61" w:rsidRPr="007C2763" w:rsidRDefault="00503B61" w:rsidP="00503B61">
      <w:pPr>
        <w:autoSpaceDE w:val="0"/>
        <w:autoSpaceDN w:val="0"/>
        <w:adjustRightInd w:val="0"/>
        <w:jc w:val="both"/>
        <w:rPr>
          <w:rFonts w:ascii="Abadi" w:hAnsi="Abadi" w:cs="ArialMT"/>
          <w:sz w:val="21"/>
          <w:szCs w:val="21"/>
        </w:rPr>
      </w:pPr>
      <w:r w:rsidRPr="007C2763">
        <w:rPr>
          <w:rFonts w:ascii="SymbolMT" w:hAnsi="SymbolMT" w:cs="SymbolMT"/>
          <w:sz w:val="21"/>
          <w:szCs w:val="21"/>
        </w:rPr>
        <w:t>•</w:t>
      </w:r>
      <w:r w:rsidRPr="007C2763">
        <w:rPr>
          <w:rFonts w:ascii="Abadi" w:hAnsi="Abadi" w:cs="ArialMT"/>
          <w:sz w:val="21"/>
          <w:szCs w:val="21"/>
        </w:rPr>
        <w:t>Se pacto el pago de indemnizaciones por concepto de reparación integral del daño a los familiares de los finados, mismas que fueron cumplidas debidamente por el Sistema de Agua Potable y Alcantarillado de León,</w:t>
      </w:r>
    </w:p>
    <w:p w14:paraId="6FD27591" w14:textId="77777777" w:rsidR="00503B61" w:rsidRPr="007C2763" w:rsidRDefault="00503B61" w:rsidP="00503B61">
      <w:pPr>
        <w:autoSpaceDE w:val="0"/>
        <w:autoSpaceDN w:val="0"/>
        <w:adjustRightInd w:val="0"/>
        <w:jc w:val="both"/>
        <w:rPr>
          <w:rFonts w:ascii="Abadi" w:hAnsi="Abadi" w:cs="ArialMT"/>
          <w:sz w:val="21"/>
          <w:szCs w:val="21"/>
        </w:rPr>
      </w:pPr>
      <w:r w:rsidRPr="007C2763">
        <w:rPr>
          <w:rFonts w:ascii="Abadi" w:hAnsi="Abadi" w:cs="SymbolMT"/>
          <w:sz w:val="21"/>
          <w:szCs w:val="21"/>
        </w:rPr>
        <w:t xml:space="preserve">• </w:t>
      </w:r>
      <w:r w:rsidRPr="007C2763">
        <w:rPr>
          <w:rFonts w:ascii="Abadi" w:hAnsi="Abadi" w:cs="ArialMT"/>
          <w:sz w:val="21"/>
          <w:szCs w:val="21"/>
        </w:rPr>
        <w:t>Informa el Sistema de Agua Potable y Alcantarillado de León, que se convino para que se realizara todas y cada una de las gestiones necesarias para someter a la aprobación del H. Ayuntamiento de León, Guanajuato el que se asignen becas a los menores afectados por el fallecimiento de los trabajadores.</w:t>
      </w:r>
    </w:p>
    <w:p w14:paraId="77F53BF3" w14:textId="77777777" w:rsidR="00503B61" w:rsidRPr="007C2763" w:rsidRDefault="00503B61" w:rsidP="00503B61">
      <w:pPr>
        <w:autoSpaceDE w:val="0"/>
        <w:autoSpaceDN w:val="0"/>
        <w:adjustRightInd w:val="0"/>
        <w:jc w:val="both"/>
        <w:rPr>
          <w:rFonts w:ascii="Abadi" w:hAnsi="Abadi" w:cs="ArialMT"/>
          <w:sz w:val="21"/>
          <w:szCs w:val="21"/>
        </w:rPr>
      </w:pPr>
      <w:r w:rsidRPr="007C2763">
        <w:rPr>
          <w:rFonts w:ascii="Abadi" w:hAnsi="Abadi" w:cs="SymbolMT"/>
          <w:sz w:val="21"/>
          <w:szCs w:val="21"/>
        </w:rPr>
        <w:t xml:space="preserve">• </w:t>
      </w:r>
      <w:r w:rsidRPr="007C2763">
        <w:rPr>
          <w:rFonts w:ascii="Abadi" w:hAnsi="Abadi" w:cs="ArialMT"/>
          <w:sz w:val="21"/>
          <w:szCs w:val="21"/>
        </w:rPr>
        <w:t>Se acordó por parte del organismo operador del agua, se otorgarán a costa de este, sesiones de atención psicológica para los familiares afectados.</w:t>
      </w:r>
    </w:p>
    <w:p w14:paraId="12BB1781" w14:textId="33E6E745" w:rsidR="00503B61" w:rsidRPr="007C2763" w:rsidRDefault="00503B61" w:rsidP="00503B61">
      <w:pPr>
        <w:autoSpaceDE w:val="0"/>
        <w:autoSpaceDN w:val="0"/>
        <w:adjustRightInd w:val="0"/>
        <w:jc w:val="both"/>
        <w:rPr>
          <w:rFonts w:ascii="Abadi" w:hAnsi="Abadi" w:cs="ArialMT"/>
          <w:sz w:val="21"/>
          <w:szCs w:val="21"/>
        </w:rPr>
      </w:pPr>
      <w:r w:rsidRPr="007C2763">
        <w:rPr>
          <w:rFonts w:ascii="Abadi" w:hAnsi="Abadi" w:cs="SymbolMT"/>
          <w:sz w:val="21"/>
          <w:szCs w:val="21"/>
        </w:rPr>
        <w:t xml:space="preserve">• </w:t>
      </w:r>
      <w:r w:rsidRPr="007C2763">
        <w:rPr>
          <w:rFonts w:ascii="Abadi" w:hAnsi="Abadi" w:cs="ArialMT"/>
          <w:sz w:val="21"/>
          <w:szCs w:val="21"/>
        </w:rPr>
        <w:t>También se acordó presentar una iniciativa al H. Ayuntamiento de León, Guanajuato, para que el Reglamento de los Servicios de Agua Potable, Alcantarillado y Tratamiento para el Municipio de León, Guanajuato sea reformado, entre otras consideraciones se contempla la creación de un mecanismo o comisión ciudadana de vigilancia de actuación del Sistema de Agua Potable y Alcantarillado de León, publicándose en el Periódico Oficial</w:t>
      </w:r>
      <w:r w:rsidR="00C94B0A">
        <w:rPr>
          <w:rFonts w:ascii="Abadi" w:hAnsi="Abadi" w:cs="ArialMT"/>
          <w:sz w:val="21"/>
          <w:szCs w:val="21"/>
        </w:rPr>
        <w:t xml:space="preserve"> </w:t>
      </w:r>
      <w:r w:rsidRPr="007C2763">
        <w:rPr>
          <w:rFonts w:ascii="Abadi" w:hAnsi="Abadi" w:cs="ArialMT"/>
          <w:sz w:val="21"/>
          <w:szCs w:val="21"/>
        </w:rPr>
        <w:t>del Gobierno del Estado de Guanajuato, visibles en el ejemplar número 50, segunda parte arte, de fecha 11 de marzo del 2022.</w:t>
      </w:r>
    </w:p>
    <w:p w14:paraId="2E815F12" w14:textId="77777777" w:rsidR="00503B61" w:rsidRPr="007C2763" w:rsidRDefault="00503B61" w:rsidP="00503B61">
      <w:pPr>
        <w:autoSpaceDE w:val="0"/>
        <w:autoSpaceDN w:val="0"/>
        <w:adjustRightInd w:val="0"/>
        <w:jc w:val="both"/>
        <w:rPr>
          <w:rFonts w:ascii="Abadi" w:hAnsi="Abadi" w:cs="ArialMT"/>
          <w:sz w:val="21"/>
          <w:szCs w:val="21"/>
        </w:rPr>
      </w:pPr>
    </w:p>
    <w:p w14:paraId="3428F9A6" w14:textId="77777777" w:rsidR="00503B61" w:rsidRPr="007C2763" w:rsidRDefault="00503B61" w:rsidP="00503B61">
      <w:pPr>
        <w:autoSpaceDE w:val="0"/>
        <w:autoSpaceDN w:val="0"/>
        <w:adjustRightInd w:val="0"/>
        <w:jc w:val="both"/>
        <w:rPr>
          <w:rFonts w:ascii="Abadi" w:hAnsi="Abadi" w:cs="ArialMT"/>
          <w:sz w:val="21"/>
          <w:szCs w:val="21"/>
        </w:rPr>
      </w:pPr>
    </w:p>
    <w:p w14:paraId="22FE336B" w14:textId="5865B5B8" w:rsidR="00503B61" w:rsidRDefault="00503B61" w:rsidP="00503B6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 xml:space="preserve">Siguiendo con el análisis corresponde al segundo de los puntos. – “Se acuerda girar atento exhorto a la Fiscalía General del Estado de Guanajuato a efecto de que remita un informe a esta Soberanía sobre las investigaciones criminales correspondientes a los hechos ocurridos el 13 de noviembre de 2020 en la Planta de Tratamiento de Aguas Residuales Municipales y su Módulo de Desbaste del Sistema de Agua Potable y Alcantarillado de León (SAPAL.)” </w:t>
      </w:r>
    </w:p>
    <w:p w14:paraId="50F93BB2" w14:textId="77777777" w:rsidR="00126DE8" w:rsidRPr="007C2763" w:rsidRDefault="00126DE8" w:rsidP="00503B61">
      <w:pPr>
        <w:autoSpaceDE w:val="0"/>
        <w:autoSpaceDN w:val="0"/>
        <w:adjustRightInd w:val="0"/>
        <w:ind w:firstLine="708"/>
        <w:jc w:val="both"/>
        <w:rPr>
          <w:rFonts w:ascii="Abadi" w:hAnsi="Abadi" w:cs="ArialMT"/>
          <w:sz w:val="21"/>
          <w:szCs w:val="21"/>
        </w:rPr>
      </w:pPr>
    </w:p>
    <w:p w14:paraId="0D0748BF" w14:textId="0473EC11" w:rsidR="00503B61" w:rsidRDefault="00503B61" w:rsidP="00503B6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 xml:space="preserve">Es importante hacer énfasis en que el esclarecimiento de los hechos no es un fin en sí mismo, sino un medio para que el culpable no quede impune, a la vez que protege al inocente. La importancia del proceso, en cuanto al garantismo, es la consideración de que la pena debe obedecer a lo que el imputado hizo al cometer el hecho delictivo, no a lo que haga o deje de hacer en el proceso, como medio epistemológico para conocer el delito. El ejercicio, o no, del poder punitivo del Estado es el objeto del proceso, poder que es delimitado por la misma norma. </w:t>
      </w:r>
    </w:p>
    <w:p w14:paraId="6E33F7D4" w14:textId="77777777" w:rsidR="00126DE8" w:rsidRPr="007C2763" w:rsidRDefault="00126DE8" w:rsidP="00503B61">
      <w:pPr>
        <w:autoSpaceDE w:val="0"/>
        <w:autoSpaceDN w:val="0"/>
        <w:adjustRightInd w:val="0"/>
        <w:ind w:firstLine="708"/>
        <w:jc w:val="both"/>
        <w:rPr>
          <w:rFonts w:ascii="Abadi" w:hAnsi="Abadi" w:cs="ArialMT"/>
          <w:sz w:val="21"/>
          <w:szCs w:val="21"/>
        </w:rPr>
      </w:pPr>
    </w:p>
    <w:p w14:paraId="6B7E75B1" w14:textId="77777777" w:rsidR="00503B61" w:rsidRPr="007C2763" w:rsidRDefault="00503B61" w:rsidP="00503B61">
      <w:pPr>
        <w:autoSpaceDE w:val="0"/>
        <w:autoSpaceDN w:val="0"/>
        <w:adjustRightInd w:val="0"/>
        <w:jc w:val="both"/>
        <w:rPr>
          <w:rFonts w:ascii="Abadi" w:hAnsi="Abadi" w:cs="ArialMT"/>
          <w:sz w:val="21"/>
          <w:szCs w:val="21"/>
        </w:rPr>
      </w:pPr>
      <w:r w:rsidRPr="007C2763">
        <w:rPr>
          <w:rFonts w:ascii="Abadi" w:hAnsi="Abadi" w:cs="ArialMT"/>
          <w:sz w:val="21"/>
          <w:szCs w:val="21"/>
        </w:rPr>
        <w:t>En ese orden de ideas, se debe cuidar y no invadir competencias. De tal suerte, el que este Congreso solicite un informe sobre las “investigaciones criminales correspondientes a los hechos ocurridos el 13 de noviembre de 2020 en la Planta de Tratamiento de Aguas Residuales Municipales y su Módulo de Desbaste del Sistema de Agua Potable y Alcantarillado de León (SAPAL.)” solo tendrá como fin, conocer el estado que procesal que guarda la carpeta de investigación, de ninguna manera el contenido de la misma, de lo contrario se estaría vulnerando el principio de secrecía.</w:t>
      </w:r>
    </w:p>
    <w:p w14:paraId="6D75EAE1" w14:textId="77777777" w:rsidR="00503B61" w:rsidRPr="007C2763" w:rsidRDefault="00503B61" w:rsidP="00503B61">
      <w:pPr>
        <w:autoSpaceDE w:val="0"/>
        <w:autoSpaceDN w:val="0"/>
        <w:adjustRightInd w:val="0"/>
        <w:jc w:val="both"/>
        <w:rPr>
          <w:rFonts w:ascii="Abadi" w:hAnsi="Abadi" w:cs="ArialMT"/>
          <w:sz w:val="21"/>
          <w:szCs w:val="21"/>
        </w:rPr>
      </w:pPr>
    </w:p>
    <w:p w14:paraId="5FC0A303" w14:textId="77777777" w:rsidR="00503B61" w:rsidRPr="007C2763" w:rsidRDefault="00503B61" w:rsidP="00503B6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En ese orden de ideas, delimitado el alcance de lo solicitado, procede darlo</w:t>
      </w:r>
    </w:p>
    <w:p w14:paraId="7C3A8BDE" w14:textId="77777777" w:rsidR="00503B61" w:rsidRPr="007C2763" w:rsidRDefault="00503B61" w:rsidP="00503B61">
      <w:pPr>
        <w:autoSpaceDE w:val="0"/>
        <w:autoSpaceDN w:val="0"/>
        <w:adjustRightInd w:val="0"/>
        <w:jc w:val="both"/>
        <w:rPr>
          <w:rFonts w:ascii="Abadi" w:hAnsi="Abadi" w:cs="ArialMT"/>
          <w:sz w:val="21"/>
          <w:szCs w:val="21"/>
        </w:rPr>
      </w:pPr>
      <w:r w:rsidRPr="007C2763">
        <w:rPr>
          <w:rFonts w:ascii="Abadi" w:hAnsi="Abadi" w:cs="ArialMT"/>
          <w:sz w:val="21"/>
          <w:szCs w:val="21"/>
        </w:rPr>
        <w:t xml:space="preserve">por concluido este punto. </w:t>
      </w:r>
    </w:p>
    <w:p w14:paraId="6D14C56C" w14:textId="77777777" w:rsidR="00503B61" w:rsidRPr="007C2763" w:rsidRDefault="00503B61" w:rsidP="00503B61">
      <w:pPr>
        <w:autoSpaceDE w:val="0"/>
        <w:autoSpaceDN w:val="0"/>
        <w:adjustRightInd w:val="0"/>
        <w:jc w:val="both"/>
        <w:rPr>
          <w:rFonts w:ascii="Abadi" w:hAnsi="Abadi" w:cs="ArialMT"/>
          <w:sz w:val="21"/>
          <w:szCs w:val="21"/>
        </w:rPr>
      </w:pPr>
    </w:p>
    <w:p w14:paraId="50E6B127" w14:textId="77777777" w:rsidR="00503B61" w:rsidRPr="007C2763" w:rsidRDefault="00503B61" w:rsidP="00503B6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Respecto al tercero de los puntos. – “Se acuerda girar atento exhorto a la Procuraduría de Derechos Humanos del Estado de Guanajuato, a efecto de que rinda un informe a esta Soberanía sobre el estado que guarda el expediente número 24-21-A-II, radicado en la Subprocuraduría Zona A, el día 8 de febrero de 2021.”</w:t>
      </w:r>
    </w:p>
    <w:p w14:paraId="3D26F4D1" w14:textId="77777777" w:rsidR="00503B61" w:rsidRPr="007C2763" w:rsidRDefault="00503B61" w:rsidP="00503B61">
      <w:pPr>
        <w:autoSpaceDE w:val="0"/>
        <w:autoSpaceDN w:val="0"/>
        <w:adjustRightInd w:val="0"/>
        <w:ind w:firstLine="708"/>
        <w:jc w:val="both"/>
        <w:rPr>
          <w:rFonts w:ascii="Abadi" w:hAnsi="Abadi" w:cs="ArialMT"/>
          <w:sz w:val="21"/>
          <w:szCs w:val="21"/>
        </w:rPr>
      </w:pPr>
    </w:p>
    <w:p w14:paraId="1A8AD2FD" w14:textId="77777777" w:rsidR="00503B61" w:rsidRPr="007C2763" w:rsidRDefault="00503B61" w:rsidP="00503B6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Con fecha, 29 veintinueve de octubre de 2021 dos mil veintiuno, la Procuraduría de Derechos Humanos del Estado de Guanajuato emitió la resolución del expediente número 24-21-A-II, la cual, es pública, basta entrar a la página electrónica del ente destinatario del exhorto, para informarse de manera detallada el estado que guarda el asunto de marras.</w:t>
      </w:r>
    </w:p>
    <w:p w14:paraId="5ACCFE50" w14:textId="77777777" w:rsidR="00503B61" w:rsidRPr="007C2763" w:rsidRDefault="00503B61" w:rsidP="00503B61">
      <w:pPr>
        <w:autoSpaceDE w:val="0"/>
        <w:autoSpaceDN w:val="0"/>
        <w:adjustRightInd w:val="0"/>
        <w:ind w:firstLine="708"/>
        <w:jc w:val="both"/>
        <w:rPr>
          <w:rFonts w:ascii="Abadi" w:hAnsi="Abadi" w:cs="ArialMT"/>
          <w:sz w:val="21"/>
          <w:szCs w:val="21"/>
        </w:rPr>
      </w:pPr>
    </w:p>
    <w:p w14:paraId="4991E326" w14:textId="4766907D" w:rsidR="00503B61" w:rsidRPr="007C2763" w:rsidRDefault="00503B61" w:rsidP="00C94B0A">
      <w:pPr>
        <w:autoSpaceDE w:val="0"/>
        <w:autoSpaceDN w:val="0"/>
        <w:adjustRightInd w:val="0"/>
        <w:ind w:firstLine="708"/>
        <w:jc w:val="both"/>
        <w:rPr>
          <w:rFonts w:ascii="Abadi" w:hAnsi="Abadi" w:cs="ArialMT"/>
          <w:sz w:val="21"/>
          <w:szCs w:val="21"/>
        </w:rPr>
      </w:pPr>
      <w:r w:rsidRPr="007C2763">
        <w:rPr>
          <w:rFonts w:ascii="Abadi" w:hAnsi="Abadi" w:cs="ArialMT"/>
          <w:sz w:val="21"/>
          <w:szCs w:val="21"/>
        </w:rPr>
        <w:t>Respecto al cuarto de los puntos. - “Se acuerda girar atento exhorto al Ayuntamiento del Municipio de León para que conforme una comisión mixta, integrada tanto por ediles tanto como por civiles, con facultades suficientes de investigación sobre posibles violaciones a diversas normativas laborales de seguridad e higiene en la Planta de Tratamiento de Aguas Residuales Municipales y su Módulo de Desbaste del Sistema de Agua Potable y Alcantarillado de León</w:t>
      </w:r>
      <w:r w:rsidR="00C94B0A">
        <w:rPr>
          <w:rFonts w:ascii="Abadi" w:hAnsi="Abadi" w:cs="ArialMT"/>
          <w:sz w:val="21"/>
          <w:szCs w:val="21"/>
        </w:rPr>
        <w:t xml:space="preserve"> </w:t>
      </w:r>
      <w:r w:rsidRPr="007C2763">
        <w:rPr>
          <w:rFonts w:ascii="Abadi" w:hAnsi="Abadi" w:cs="ArialMT"/>
          <w:sz w:val="21"/>
          <w:szCs w:val="21"/>
        </w:rPr>
        <w:t>(SAPAL) y, en su caso, iniciar los procedimientos legales que correspondan.”</w:t>
      </w:r>
    </w:p>
    <w:p w14:paraId="7CC3F694" w14:textId="77777777" w:rsidR="00503B61" w:rsidRPr="007C2763" w:rsidRDefault="00503B61" w:rsidP="00503B61">
      <w:pPr>
        <w:autoSpaceDE w:val="0"/>
        <w:autoSpaceDN w:val="0"/>
        <w:adjustRightInd w:val="0"/>
        <w:jc w:val="both"/>
        <w:rPr>
          <w:rFonts w:ascii="Abadi" w:hAnsi="Abadi" w:cs="ArialMT"/>
          <w:sz w:val="21"/>
          <w:szCs w:val="21"/>
        </w:rPr>
      </w:pPr>
    </w:p>
    <w:p w14:paraId="04D77A70" w14:textId="77777777" w:rsidR="00503B61" w:rsidRPr="007C2763" w:rsidRDefault="00503B61" w:rsidP="00503B6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En atención al principio de legalidad, es evidentemente, que los Ayuntamientos carecen de la facultad de investigación, luego entonces resulta improcedente pedirle al Ayuntamiento, que integre una Comisión para que investigue, sobre posibles violaciones a diversas normativas laborales de seguridad e higiene en la Planta de Tratamiento de Aguas Residuales Municipales y su Módulo de Desbaste del Sistema de Agua Potable y Alcantarillado de León. Por otra parte, es innegable que el tema a investigar, como es la violación de derechos laborales y de garantías, es hoy protegida por instituciones jurídicas procesales.</w:t>
      </w:r>
    </w:p>
    <w:p w14:paraId="5980D91A" w14:textId="77777777" w:rsidR="00503B61" w:rsidRPr="007C2763" w:rsidRDefault="00503B61" w:rsidP="00503B61">
      <w:pPr>
        <w:autoSpaceDE w:val="0"/>
        <w:autoSpaceDN w:val="0"/>
        <w:adjustRightInd w:val="0"/>
        <w:jc w:val="both"/>
        <w:rPr>
          <w:rFonts w:ascii="Abadi" w:hAnsi="Abadi" w:cs="ArialMT"/>
          <w:sz w:val="21"/>
          <w:szCs w:val="21"/>
        </w:rPr>
      </w:pPr>
    </w:p>
    <w:p w14:paraId="3F15A00C" w14:textId="77777777" w:rsidR="00503B61" w:rsidRPr="007C2763" w:rsidRDefault="00503B61" w:rsidP="00503B6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 xml:space="preserve">En el caso que nos ocupa la Comisión de Asuntos Municipales en lo particular y el Congreso en general, tiene los límites estructurales que la Constitución le establece, aunado a que son otras las autoridades que conservan el deber y las facultades de atribuir las responsabilidades que derivan del caso. </w:t>
      </w:r>
    </w:p>
    <w:p w14:paraId="3BA9D1E3" w14:textId="77777777" w:rsidR="00503B61" w:rsidRPr="007C2763" w:rsidRDefault="00503B61" w:rsidP="00503B61">
      <w:pPr>
        <w:autoSpaceDE w:val="0"/>
        <w:autoSpaceDN w:val="0"/>
        <w:adjustRightInd w:val="0"/>
        <w:ind w:firstLine="708"/>
        <w:jc w:val="both"/>
        <w:rPr>
          <w:rFonts w:ascii="Abadi" w:hAnsi="Abadi" w:cs="ArialMT"/>
          <w:sz w:val="21"/>
          <w:szCs w:val="21"/>
        </w:rPr>
      </w:pPr>
    </w:p>
    <w:p w14:paraId="7CE5D005" w14:textId="77777777" w:rsidR="00503B61" w:rsidRPr="007C2763" w:rsidRDefault="00503B61" w:rsidP="00503B6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Por lo antes expuesto, en esta Comisión Dictaminadora consideramos que la propuesta de exhorto ha quedado satisfecha, por lo que quedada si materia y lo que corresponde conforme al trámite parlamentario es el archivo del punto de acuerdo.</w:t>
      </w:r>
    </w:p>
    <w:p w14:paraId="176A58DD" w14:textId="77777777" w:rsidR="00503B61" w:rsidRPr="007C2763" w:rsidRDefault="00503B61" w:rsidP="00503B61">
      <w:pPr>
        <w:autoSpaceDE w:val="0"/>
        <w:autoSpaceDN w:val="0"/>
        <w:adjustRightInd w:val="0"/>
        <w:ind w:firstLine="708"/>
        <w:jc w:val="both"/>
        <w:rPr>
          <w:rFonts w:ascii="Abadi" w:hAnsi="Abadi" w:cs="ArialMT"/>
          <w:sz w:val="21"/>
          <w:szCs w:val="21"/>
        </w:rPr>
      </w:pPr>
    </w:p>
    <w:p w14:paraId="65DFD24D" w14:textId="77777777" w:rsidR="00503B61" w:rsidRPr="007C2763" w:rsidRDefault="00503B61" w:rsidP="00503B61">
      <w:pPr>
        <w:autoSpaceDE w:val="0"/>
        <w:autoSpaceDN w:val="0"/>
        <w:adjustRightInd w:val="0"/>
        <w:ind w:firstLine="708"/>
        <w:jc w:val="both"/>
        <w:rPr>
          <w:rFonts w:ascii="Abadi" w:hAnsi="Abadi" w:cs="ArialMT"/>
          <w:sz w:val="21"/>
          <w:szCs w:val="21"/>
        </w:rPr>
      </w:pPr>
      <w:r w:rsidRPr="007C2763">
        <w:rPr>
          <w:rFonts w:ascii="Abadi" w:hAnsi="Abadi" w:cs="ArialMT"/>
          <w:sz w:val="21"/>
          <w:szCs w:val="21"/>
        </w:rPr>
        <w:t>Esta Comisión Dictaminadora de la Comisión de Asuntos Municipales de la Sexagésima Quinta Legislatura por lo expuesto y fundado, respetuosamente solicitamos a esta Asamblea se apruebe el siguiente:</w:t>
      </w:r>
    </w:p>
    <w:p w14:paraId="5693C0C4" w14:textId="77777777" w:rsidR="00503B61" w:rsidRPr="007C2763" w:rsidRDefault="00503B61" w:rsidP="00503B61">
      <w:pPr>
        <w:autoSpaceDE w:val="0"/>
        <w:autoSpaceDN w:val="0"/>
        <w:adjustRightInd w:val="0"/>
        <w:jc w:val="both"/>
        <w:rPr>
          <w:rFonts w:ascii="Abadi" w:hAnsi="Abadi" w:cs="ArialMT"/>
          <w:sz w:val="21"/>
          <w:szCs w:val="21"/>
        </w:rPr>
      </w:pPr>
    </w:p>
    <w:p w14:paraId="7D571583" w14:textId="77777777" w:rsidR="00503B61" w:rsidRPr="007C2763" w:rsidRDefault="00503B61" w:rsidP="00503B61">
      <w:pPr>
        <w:autoSpaceDE w:val="0"/>
        <w:autoSpaceDN w:val="0"/>
        <w:adjustRightInd w:val="0"/>
        <w:jc w:val="center"/>
        <w:rPr>
          <w:rFonts w:ascii="Abadi" w:hAnsi="Abadi" w:cs="Arial-BoldMT"/>
          <w:b/>
          <w:bCs/>
          <w:sz w:val="21"/>
          <w:szCs w:val="21"/>
        </w:rPr>
      </w:pPr>
      <w:r w:rsidRPr="007C2763">
        <w:rPr>
          <w:rFonts w:ascii="Abadi" w:hAnsi="Abadi" w:cs="Arial-BoldMT"/>
          <w:b/>
          <w:bCs/>
          <w:sz w:val="21"/>
          <w:szCs w:val="21"/>
        </w:rPr>
        <w:t>ACUERDO</w:t>
      </w:r>
    </w:p>
    <w:p w14:paraId="10E13B87" w14:textId="77777777" w:rsidR="00503B61" w:rsidRPr="007C2763" w:rsidRDefault="00503B61" w:rsidP="00503B61">
      <w:pPr>
        <w:autoSpaceDE w:val="0"/>
        <w:autoSpaceDN w:val="0"/>
        <w:adjustRightInd w:val="0"/>
        <w:jc w:val="both"/>
        <w:rPr>
          <w:rFonts w:ascii="Abadi" w:hAnsi="Abadi" w:cs="Arial-BoldMT"/>
          <w:b/>
          <w:bCs/>
          <w:sz w:val="21"/>
          <w:szCs w:val="21"/>
        </w:rPr>
      </w:pPr>
    </w:p>
    <w:p w14:paraId="68CE7D9B" w14:textId="6C5FE6A2" w:rsidR="00503B61" w:rsidRPr="007C2763" w:rsidRDefault="00503B61" w:rsidP="0013564D">
      <w:pPr>
        <w:autoSpaceDE w:val="0"/>
        <w:autoSpaceDN w:val="0"/>
        <w:adjustRightInd w:val="0"/>
        <w:ind w:firstLine="708"/>
        <w:jc w:val="both"/>
        <w:rPr>
          <w:rFonts w:ascii="Abadi" w:hAnsi="Abadi" w:cs="ArialMT"/>
          <w:sz w:val="21"/>
          <w:szCs w:val="21"/>
        </w:rPr>
      </w:pPr>
      <w:r w:rsidRPr="007C2763">
        <w:rPr>
          <w:rFonts w:ascii="Abadi" w:hAnsi="Abadi" w:cs="Arial-BoldMT"/>
          <w:b/>
          <w:bCs/>
          <w:sz w:val="21"/>
          <w:szCs w:val="21"/>
        </w:rPr>
        <w:t xml:space="preserve">Único. </w:t>
      </w:r>
      <w:r w:rsidRPr="007C2763">
        <w:rPr>
          <w:rFonts w:ascii="Abadi" w:hAnsi="Abadi" w:cs="ArialMT"/>
          <w:sz w:val="21"/>
          <w:szCs w:val="21"/>
        </w:rPr>
        <w:t>Se ordena el archivo definitivo de la propuesta de punto de acuerdo por medio del cual se exhorta al Sistema de Agua Potable y Alcantarillado de León (SAPAL) para que informe detalladamente a esta Soberanía sobre sus investigaciones internas de los hechos ocurridos el 13 de noviembre de 2020 en la Planta de Tratamiento de Aguas Residuales Municipales y su Módulo de Desbaste; a la Fiscalía General del Estado de Guanajuato a efecto de que remita un informe a esta Soberanía sobre las investigaciones criminales correspondientes a los hechos ocurridos el 13 de noviembre de 2020 en la Planta de Tratamiento de Aguas Residuales Municipales y su Módulo de Desbaste del Sistema de Agua Potable y Alcantarillado de León (SAPAL); a la Procuraduría de Derechos Humanos del Estado de Guanajuato, a efecto de que rinda un informe a esta Soberanía sobre el estado que guarda el expediente número 24-21-A-II, radicado en la Subprocuraduría Zona A, el día 8 de febrero de 2021, y al Ayuntamiento del Municipio de León para que conforme una comisión mixta, integrada tanto por ediles tanto como por civiles, con facultades suficientes de investigación sobre posibles violaciones a diversas normativas laborales de seguridad e higiene en la Planta de Tratamiento de Aguas Residuales Municipales y su Módulo de Desbaste del Sistema de Agua Potable y Alcantarillado de León (SAPAL) y, en su caso, iniciar los procedimientos legales que correspondan, suscrita por el Diputado David Martínez Mendizábal, integrante del</w:t>
      </w:r>
      <w:r w:rsidR="0013564D">
        <w:rPr>
          <w:rFonts w:ascii="Abadi" w:hAnsi="Abadi" w:cs="ArialMT"/>
          <w:sz w:val="21"/>
          <w:szCs w:val="21"/>
        </w:rPr>
        <w:t xml:space="preserve"> </w:t>
      </w:r>
      <w:r w:rsidRPr="007C2763">
        <w:rPr>
          <w:rFonts w:ascii="Abadi" w:hAnsi="Abadi" w:cs="ArialMT"/>
          <w:sz w:val="21"/>
          <w:szCs w:val="21"/>
        </w:rPr>
        <w:t>Grupo Parlamentario de MORENA.</w:t>
      </w:r>
    </w:p>
    <w:p w14:paraId="54B591AD" w14:textId="77777777" w:rsidR="00503B61" w:rsidRPr="007C2763" w:rsidRDefault="00503B61" w:rsidP="00503B61">
      <w:pPr>
        <w:autoSpaceDE w:val="0"/>
        <w:autoSpaceDN w:val="0"/>
        <w:adjustRightInd w:val="0"/>
        <w:jc w:val="both"/>
        <w:rPr>
          <w:rFonts w:ascii="Abadi" w:hAnsi="Abadi" w:cs="ArialMT"/>
          <w:sz w:val="21"/>
          <w:szCs w:val="21"/>
        </w:rPr>
      </w:pPr>
    </w:p>
    <w:p w14:paraId="4141B617" w14:textId="77777777" w:rsidR="00510266" w:rsidRDefault="00510266" w:rsidP="00503B61">
      <w:pPr>
        <w:autoSpaceDE w:val="0"/>
        <w:autoSpaceDN w:val="0"/>
        <w:adjustRightInd w:val="0"/>
        <w:jc w:val="center"/>
        <w:rPr>
          <w:rFonts w:ascii="Abadi" w:hAnsi="Abadi" w:cs="Arial-BoldMT"/>
          <w:b/>
          <w:bCs/>
          <w:sz w:val="21"/>
          <w:szCs w:val="21"/>
        </w:rPr>
      </w:pPr>
    </w:p>
    <w:p w14:paraId="54A2890A" w14:textId="359F7469" w:rsidR="00503B61" w:rsidRPr="007C2763" w:rsidRDefault="00503B61" w:rsidP="00503B61">
      <w:pPr>
        <w:autoSpaceDE w:val="0"/>
        <w:autoSpaceDN w:val="0"/>
        <w:adjustRightInd w:val="0"/>
        <w:jc w:val="center"/>
        <w:rPr>
          <w:rFonts w:ascii="Abadi" w:hAnsi="Abadi" w:cs="Arial-BoldMT"/>
          <w:b/>
          <w:bCs/>
          <w:sz w:val="21"/>
          <w:szCs w:val="21"/>
        </w:rPr>
      </w:pPr>
      <w:r w:rsidRPr="007C2763">
        <w:rPr>
          <w:rFonts w:ascii="Abadi" w:hAnsi="Abadi" w:cs="Arial-BoldMT"/>
          <w:b/>
          <w:bCs/>
          <w:sz w:val="21"/>
          <w:szCs w:val="21"/>
        </w:rPr>
        <w:t xml:space="preserve">Guanajuato, </w:t>
      </w:r>
      <w:proofErr w:type="spellStart"/>
      <w:r w:rsidRPr="007C2763">
        <w:rPr>
          <w:rFonts w:ascii="Abadi" w:hAnsi="Abadi" w:cs="Arial-BoldMT"/>
          <w:b/>
          <w:bCs/>
          <w:sz w:val="21"/>
          <w:szCs w:val="21"/>
        </w:rPr>
        <w:t>Gto</w:t>
      </w:r>
      <w:proofErr w:type="spellEnd"/>
      <w:r w:rsidRPr="007C2763">
        <w:rPr>
          <w:rFonts w:ascii="Abadi" w:hAnsi="Abadi" w:cs="Arial-BoldMT"/>
          <w:b/>
          <w:bCs/>
          <w:sz w:val="21"/>
          <w:szCs w:val="21"/>
        </w:rPr>
        <w:t>., a 12 de mayo de 2022</w:t>
      </w:r>
    </w:p>
    <w:p w14:paraId="7A7033C0" w14:textId="77777777" w:rsidR="00503B61" w:rsidRPr="007C2763" w:rsidRDefault="00503B61" w:rsidP="00503B61">
      <w:pPr>
        <w:autoSpaceDE w:val="0"/>
        <w:autoSpaceDN w:val="0"/>
        <w:adjustRightInd w:val="0"/>
        <w:jc w:val="center"/>
        <w:rPr>
          <w:rFonts w:ascii="Abadi" w:hAnsi="Abadi" w:cs="Arial-BoldMT"/>
          <w:b/>
          <w:bCs/>
          <w:sz w:val="21"/>
          <w:szCs w:val="21"/>
        </w:rPr>
      </w:pPr>
      <w:r w:rsidRPr="007C2763">
        <w:rPr>
          <w:rFonts w:ascii="Abadi" w:hAnsi="Abadi" w:cs="Arial-BoldMT"/>
          <w:b/>
          <w:bCs/>
          <w:sz w:val="21"/>
          <w:szCs w:val="21"/>
        </w:rPr>
        <w:t>La Comisión de Asuntos Municipales</w:t>
      </w:r>
    </w:p>
    <w:p w14:paraId="3D7E34E7" w14:textId="77777777" w:rsidR="00503B61" w:rsidRPr="007C2763" w:rsidRDefault="00503B61" w:rsidP="00503B61">
      <w:pPr>
        <w:autoSpaceDE w:val="0"/>
        <w:autoSpaceDN w:val="0"/>
        <w:adjustRightInd w:val="0"/>
        <w:jc w:val="both"/>
        <w:rPr>
          <w:rFonts w:ascii="Abadi" w:hAnsi="Abadi" w:cs="ArialMT"/>
          <w:sz w:val="21"/>
          <w:szCs w:val="21"/>
        </w:rPr>
      </w:pPr>
    </w:p>
    <w:p w14:paraId="2DC047FA" w14:textId="750A3CEB" w:rsidR="00503B61" w:rsidRDefault="00503B61" w:rsidP="00503B61">
      <w:pPr>
        <w:autoSpaceDE w:val="0"/>
        <w:autoSpaceDN w:val="0"/>
        <w:adjustRightInd w:val="0"/>
        <w:jc w:val="both"/>
        <w:rPr>
          <w:rFonts w:ascii="Abadi" w:hAnsi="Abadi" w:cs="ArialMT"/>
          <w:sz w:val="21"/>
          <w:szCs w:val="21"/>
        </w:rPr>
      </w:pPr>
      <w:r w:rsidRPr="007C2763">
        <w:rPr>
          <w:rFonts w:ascii="Abadi" w:hAnsi="Abadi" w:cs="ArialMT"/>
          <w:sz w:val="21"/>
          <w:szCs w:val="21"/>
        </w:rPr>
        <w:t>Firma electrónica</w:t>
      </w:r>
    </w:p>
    <w:p w14:paraId="24D00393" w14:textId="77777777" w:rsidR="00627504" w:rsidRPr="007C2763" w:rsidRDefault="00627504" w:rsidP="00503B61">
      <w:pPr>
        <w:autoSpaceDE w:val="0"/>
        <w:autoSpaceDN w:val="0"/>
        <w:adjustRightInd w:val="0"/>
        <w:jc w:val="both"/>
        <w:rPr>
          <w:rFonts w:ascii="Abadi" w:hAnsi="Abadi" w:cs="ArialMT"/>
          <w:sz w:val="21"/>
          <w:szCs w:val="21"/>
        </w:rPr>
      </w:pPr>
    </w:p>
    <w:p w14:paraId="4496154A" w14:textId="77777777"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Bricio Balderas Álvarez</w:t>
      </w:r>
    </w:p>
    <w:p w14:paraId="4CBB9F0F" w14:textId="77777777"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Diputado presidente</w:t>
      </w:r>
    </w:p>
    <w:p w14:paraId="54D1E0DC" w14:textId="77777777"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Armando Rangel Hernández</w:t>
      </w:r>
    </w:p>
    <w:p w14:paraId="12AC2CAB" w14:textId="77777777"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Diputado vocal</w:t>
      </w:r>
    </w:p>
    <w:p w14:paraId="723A604E" w14:textId="77777777"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Jorge Ortiz Ortega</w:t>
      </w:r>
    </w:p>
    <w:p w14:paraId="448D756A" w14:textId="77777777"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Diputado vocal</w:t>
      </w:r>
    </w:p>
    <w:p w14:paraId="01DE3EB3" w14:textId="77777777"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Ernesto Millán Soberanes</w:t>
      </w:r>
    </w:p>
    <w:p w14:paraId="46180EAD" w14:textId="77777777"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Diputado vocal</w:t>
      </w:r>
    </w:p>
    <w:p w14:paraId="23F7DECA" w14:textId="77777777" w:rsidR="00503B61" w:rsidRPr="007C2763" w:rsidRDefault="00503B61" w:rsidP="00503B61">
      <w:pPr>
        <w:autoSpaceDE w:val="0"/>
        <w:autoSpaceDN w:val="0"/>
        <w:adjustRightInd w:val="0"/>
        <w:jc w:val="both"/>
        <w:rPr>
          <w:rFonts w:ascii="Abadi" w:hAnsi="Abadi" w:cs="Arial-BoldMT"/>
          <w:b/>
          <w:bCs/>
          <w:sz w:val="21"/>
          <w:szCs w:val="21"/>
        </w:rPr>
      </w:pPr>
      <w:r w:rsidRPr="007C2763">
        <w:rPr>
          <w:rFonts w:ascii="Abadi" w:hAnsi="Abadi" w:cs="Arial-BoldMT"/>
          <w:b/>
          <w:bCs/>
          <w:sz w:val="21"/>
          <w:szCs w:val="21"/>
        </w:rPr>
        <w:t>Ruth Noemí Tiscareño Agoitia</w:t>
      </w:r>
    </w:p>
    <w:p w14:paraId="772AB0FD" w14:textId="361FB3DD" w:rsidR="00503B61" w:rsidRDefault="00503B61" w:rsidP="00503B61">
      <w:pPr>
        <w:jc w:val="both"/>
        <w:rPr>
          <w:rFonts w:ascii="Abadi" w:hAnsi="Abadi" w:cs="Arial-BoldMT"/>
          <w:b/>
          <w:bCs/>
          <w:sz w:val="21"/>
          <w:szCs w:val="21"/>
        </w:rPr>
      </w:pPr>
      <w:r w:rsidRPr="007C2763">
        <w:rPr>
          <w:rFonts w:ascii="Abadi" w:hAnsi="Abadi" w:cs="Arial-BoldMT"/>
          <w:b/>
          <w:bCs/>
          <w:sz w:val="21"/>
          <w:szCs w:val="21"/>
        </w:rPr>
        <w:t>Diputada secretaria</w:t>
      </w:r>
    </w:p>
    <w:p w14:paraId="34005298" w14:textId="75F744AF" w:rsidR="0013564D" w:rsidRDefault="00D23FED" w:rsidP="00D23FED">
      <w:pPr>
        <w:pStyle w:val="NormalWeb"/>
        <w:ind w:firstLine="708"/>
        <w:jc w:val="both"/>
        <w:rPr>
          <w:rFonts w:ascii="Abadi" w:hAnsi="Abadi"/>
          <w:sz w:val="21"/>
          <w:szCs w:val="21"/>
        </w:rPr>
      </w:pPr>
      <w:r>
        <w:rPr>
          <w:rFonts w:ascii="Abadi" w:hAnsi="Abadi"/>
          <w:b/>
          <w:bCs/>
          <w:sz w:val="21"/>
          <w:szCs w:val="21"/>
        </w:rPr>
        <w:t xml:space="preserve">- </w:t>
      </w:r>
      <w:r w:rsidR="0013564D" w:rsidRPr="0017724F">
        <w:rPr>
          <w:rFonts w:ascii="Abadi" w:hAnsi="Abadi"/>
          <w:b/>
          <w:bCs/>
          <w:sz w:val="21"/>
          <w:szCs w:val="21"/>
        </w:rPr>
        <w:t>La Presidencia.-</w:t>
      </w:r>
      <w:r w:rsidR="0013564D">
        <w:rPr>
          <w:rFonts w:ascii="Abadi" w:hAnsi="Abadi"/>
          <w:sz w:val="21"/>
          <w:szCs w:val="21"/>
        </w:rPr>
        <w:t xml:space="preserve"> S</w:t>
      </w:r>
      <w:r w:rsidR="0013564D" w:rsidRPr="0021199F">
        <w:rPr>
          <w:rFonts w:ascii="Abadi" w:hAnsi="Abadi"/>
          <w:sz w:val="21"/>
          <w:szCs w:val="21"/>
        </w:rPr>
        <w:t>e somet</w:t>
      </w:r>
      <w:r w:rsidR="0013564D">
        <w:rPr>
          <w:rFonts w:ascii="Abadi" w:hAnsi="Abadi"/>
          <w:sz w:val="21"/>
          <w:szCs w:val="21"/>
        </w:rPr>
        <w:t>e a</w:t>
      </w:r>
      <w:r w:rsidR="0013564D" w:rsidRPr="0021199F">
        <w:rPr>
          <w:rFonts w:ascii="Abadi" w:hAnsi="Abadi"/>
          <w:sz w:val="21"/>
          <w:szCs w:val="21"/>
        </w:rPr>
        <w:t xml:space="preserve"> discusión e</w:t>
      </w:r>
      <w:r w:rsidR="0013564D">
        <w:rPr>
          <w:rFonts w:ascii="Abadi" w:hAnsi="Abadi"/>
          <w:sz w:val="21"/>
          <w:szCs w:val="21"/>
        </w:rPr>
        <w:t>l dictamen</w:t>
      </w:r>
      <w:r w:rsidR="0013564D" w:rsidRPr="0021199F">
        <w:rPr>
          <w:rFonts w:ascii="Abadi" w:hAnsi="Abadi"/>
          <w:sz w:val="21"/>
          <w:szCs w:val="21"/>
        </w:rPr>
        <w:t xml:space="preserve"> signado por la Comisión de Asuntos Municipales relativo a la propuesta de punto de acuerdo formulada por el diputado David Martínez Mendizábal, integrante del </w:t>
      </w:r>
      <w:r w:rsidR="0013564D">
        <w:rPr>
          <w:rFonts w:ascii="Abadi" w:hAnsi="Abadi"/>
          <w:sz w:val="21"/>
          <w:szCs w:val="21"/>
        </w:rPr>
        <w:t>G</w:t>
      </w:r>
      <w:r w:rsidR="0013564D" w:rsidRPr="0021199F">
        <w:rPr>
          <w:rFonts w:ascii="Abadi" w:hAnsi="Abadi"/>
          <w:sz w:val="21"/>
          <w:szCs w:val="21"/>
        </w:rPr>
        <w:t xml:space="preserve">rupo </w:t>
      </w:r>
      <w:r w:rsidR="0013564D">
        <w:rPr>
          <w:rFonts w:ascii="Abadi" w:hAnsi="Abadi"/>
          <w:sz w:val="21"/>
          <w:szCs w:val="21"/>
        </w:rPr>
        <w:t>P</w:t>
      </w:r>
      <w:r w:rsidR="0013564D" w:rsidRPr="0021199F">
        <w:rPr>
          <w:rFonts w:ascii="Abadi" w:hAnsi="Abadi"/>
          <w:sz w:val="21"/>
          <w:szCs w:val="21"/>
        </w:rPr>
        <w:t xml:space="preserve">arlamentario del Partido Morena </w:t>
      </w:r>
      <w:r w:rsidR="0013564D">
        <w:rPr>
          <w:rFonts w:ascii="Abadi" w:hAnsi="Abadi"/>
          <w:sz w:val="21"/>
          <w:szCs w:val="21"/>
        </w:rPr>
        <w:t>a e</w:t>
      </w:r>
      <w:r w:rsidR="0013564D" w:rsidRPr="0021199F">
        <w:rPr>
          <w:rFonts w:ascii="Abadi" w:hAnsi="Abadi"/>
          <w:sz w:val="21"/>
          <w:szCs w:val="21"/>
        </w:rPr>
        <w:t xml:space="preserve">fecto de </w:t>
      </w:r>
      <w:r w:rsidR="0013564D">
        <w:rPr>
          <w:rFonts w:ascii="Abadi" w:hAnsi="Abadi"/>
          <w:sz w:val="21"/>
          <w:szCs w:val="21"/>
        </w:rPr>
        <w:t>e</w:t>
      </w:r>
      <w:r w:rsidR="0013564D" w:rsidRPr="0021199F">
        <w:rPr>
          <w:rFonts w:ascii="Abadi" w:hAnsi="Abadi"/>
          <w:sz w:val="21"/>
          <w:szCs w:val="21"/>
        </w:rPr>
        <w:t xml:space="preserve">xhortar al Sistema de agua </w:t>
      </w:r>
      <w:r w:rsidR="0013564D">
        <w:rPr>
          <w:rFonts w:ascii="Abadi" w:hAnsi="Abadi"/>
          <w:sz w:val="21"/>
          <w:szCs w:val="21"/>
        </w:rPr>
        <w:t>P</w:t>
      </w:r>
      <w:r w:rsidR="0013564D" w:rsidRPr="0021199F">
        <w:rPr>
          <w:rFonts w:ascii="Abadi" w:hAnsi="Abadi"/>
          <w:sz w:val="21"/>
          <w:szCs w:val="21"/>
        </w:rPr>
        <w:t xml:space="preserve">otable y Alcantarillado de León </w:t>
      </w:r>
      <w:r w:rsidR="0013564D">
        <w:rPr>
          <w:rFonts w:ascii="Abadi" w:hAnsi="Abadi"/>
          <w:sz w:val="21"/>
          <w:szCs w:val="21"/>
        </w:rPr>
        <w:t>SAPAL</w:t>
      </w:r>
      <w:r w:rsidR="0013564D" w:rsidRPr="0021199F">
        <w:rPr>
          <w:rFonts w:ascii="Abadi" w:hAnsi="Abadi"/>
          <w:sz w:val="21"/>
          <w:szCs w:val="21"/>
        </w:rPr>
        <w:t xml:space="preserve"> para que informe detalladamente a esa soberanía sobre sus investigaciones internas de los hechos ocurridos el </w:t>
      </w:r>
      <w:r w:rsidR="0013564D">
        <w:rPr>
          <w:rFonts w:ascii="Abadi" w:hAnsi="Abadi"/>
          <w:sz w:val="21"/>
          <w:szCs w:val="21"/>
        </w:rPr>
        <w:t>13</w:t>
      </w:r>
      <w:r w:rsidR="0013564D" w:rsidRPr="0021199F">
        <w:rPr>
          <w:rFonts w:ascii="Abadi" w:hAnsi="Abadi"/>
          <w:sz w:val="21"/>
          <w:szCs w:val="21"/>
        </w:rPr>
        <w:t xml:space="preserve"> de noviembre del </w:t>
      </w:r>
      <w:r w:rsidR="0013564D">
        <w:rPr>
          <w:rFonts w:ascii="Abadi" w:hAnsi="Abadi"/>
          <w:sz w:val="21"/>
          <w:szCs w:val="21"/>
        </w:rPr>
        <w:t>2020</w:t>
      </w:r>
      <w:r w:rsidR="0013564D" w:rsidRPr="0021199F">
        <w:rPr>
          <w:rFonts w:ascii="Abadi" w:hAnsi="Abadi"/>
          <w:sz w:val="21"/>
          <w:szCs w:val="21"/>
        </w:rPr>
        <w:t xml:space="preserve"> en la Planta de Tratamiento de Aguas Residuales municipales y su módulo de des</w:t>
      </w:r>
      <w:r w:rsidR="0013564D">
        <w:rPr>
          <w:rFonts w:ascii="Abadi" w:hAnsi="Abadi"/>
          <w:sz w:val="21"/>
          <w:szCs w:val="21"/>
        </w:rPr>
        <w:t>b</w:t>
      </w:r>
      <w:r w:rsidR="0013564D" w:rsidRPr="0021199F">
        <w:rPr>
          <w:rFonts w:ascii="Abadi" w:hAnsi="Abadi"/>
          <w:sz w:val="21"/>
          <w:szCs w:val="21"/>
        </w:rPr>
        <w:t xml:space="preserve">aste a la Fiscalía General del Estado de Guanajuato </w:t>
      </w:r>
      <w:r w:rsidR="0013564D">
        <w:rPr>
          <w:rFonts w:ascii="Abadi" w:hAnsi="Abadi"/>
          <w:sz w:val="21"/>
          <w:szCs w:val="21"/>
        </w:rPr>
        <w:t>a e</w:t>
      </w:r>
      <w:r w:rsidR="0013564D" w:rsidRPr="0021199F">
        <w:rPr>
          <w:rFonts w:ascii="Abadi" w:hAnsi="Abadi"/>
          <w:sz w:val="21"/>
          <w:szCs w:val="21"/>
        </w:rPr>
        <w:t xml:space="preserve">fecto de que remita un informe a esa soberanía sobre las investigaciones criminales correspondientes a los hechos ocurridos el </w:t>
      </w:r>
      <w:r w:rsidR="0013564D">
        <w:rPr>
          <w:rFonts w:ascii="Abadi" w:hAnsi="Abadi"/>
          <w:sz w:val="21"/>
          <w:szCs w:val="21"/>
        </w:rPr>
        <w:t>13</w:t>
      </w:r>
      <w:r w:rsidR="0013564D" w:rsidRPr="0021199F">
        <w:rPr>
          <w:rFonts w:ascii="Abadi" w:hAnsi="Abadi"/>
          <w:sz w:val="21"/>
          <w:szCs w:val="21"/>
        </w:rPr>
        <w:t xml:space="preserve"> de noviembre de </w:t>
      </w:r>
      <w:r w:rsidR="0013564D">
        <w:rPr>
          <w:rFonts w:ascii="Abadi" w:hAnsi="Abadi"/>
          <w:sz w:val="21"/>
          <w:szCs w:val="21"/>
        </w:rPr>
        <w:t>2020</w:t>
      </w:r>
      <w:r w:rsidR="0013564D" w:rsidRPr="0021199F">
        <w:rPr>
          <w:rFonts w:ascii="Abadi" w:hAnsi="Abadi"/>
          <w:sz w:val="21"/>
          <w:szCs w:val="21"/>
        </w:rPr>
        <w:t xml:space="preserve"> en la Planta de Tratamiento de Aguas Residuales Municipales </w:t>
      </w:r>
      <w:r w:rsidR="0013564D">
        <w:rPr>
          <w:rFonts w:ascii="Abadi" w:hAnsi="Abadi"/>
          <w:sz w:val="21"/>
          <w:szCs w:val="21"/>
        </w:rPr>
        <w:t>y</w:t>
      </w:r>
      <w:r w:rsidR="0013564D" w:rsidRPr="0021199F">
        <w:rPr>
          <w:rFonts w:ascii="Abadi" w:hAnsi="Abadi"/>
          <w:sz w:val="21"/>
          <w:szCs w:val="21"/>
        </w:rPr>
        <w:t xml:space="preserve"> </w:t>
      </w:r>
      <w:r w:rsidR="0013564D">
        <w:rPr>
          <w:rFonts w:ascii="Abadi" w:hAnsi="Abadi"/>
          <w:sz w:val="21"/>
          <w:szCs w:val="21"/>
        </w:rPr>
        <w:t>su</w:t>
      </w:r>
      <w:r w:rsidR="0013564D" w:rsidRPr="0021199F">
        <w:rPr>
          <w:rFonts w:ascii="Abadi" w:hAnsi="Abadi"/>
          <w:sz w:val="21"/>
          <w:szCs w:val="21"/>
        </w:rPr>
        <w:t xml:space="preserve"> módulo de des</w:t>
      </w:r>
      <w:r w:rsidR="0013564D">
        <w:rPr>
          <w:rFonts w:ascii="Abadi" w:hAnsi="Abadi"/>
          <w:sz w:val="21"/>
          <w:szCs w:val="21"/>
        </w:rPr>
        <w:t>b</w:t>
      </w:r>
      <w:r w:rsidR="0013564D" w:rsidRPr="0021199F">
        <w:rPr>
          <w:rFonts w:ascii="Abadi" w:hAnsi="Abadi"/>
          <w:sz w:val="21"/>
          <w:szCs w:val="21"/>
        </w:rPr>
        <w:t xml:space="preserve">aste del Sistema de </w:t>
      </w:r>
      <w:r w:rsidR="0013564D">
        <w:rPr>
          <w:rFonts w:ascii="Abadi" w:hAnsi="Abadi"/>
          <w:sz w:val="21"/>
          <w:szCs w:val="21"/>
        </w:rPr>
        <w:t>A</w:t>
      </w:r>
      <w:r w:rsidR="0013564D" w:rsidRPr="0021199F">
        <w:rPr>
          <w:rFonts w:ascii="Abadi" w:hAnsi="Abadi"/>
          <w:sz w:val="21"/>
          <w:szCs w:val="21"/>
        </w:rPr>
        <w:t xml:space="preserve">gua </w:t>
      </w:r>
      <w:r w:rsidR="0013564D">
        <w:rPr>
          <w:rFonts w:ascii="Abadi" w:hAnsi="Abadi"/>
          <w:sz w:val="21"/>
          <w:szCs w:val="21"/>
        </w:rPr>
        <w:t>P</w:t>
      </w:r>
      <w:r w:rsidR="0013564D" w:rsidRPr="0021199F">
        <w:rPr>
          <w:rFonts w:ascii="Abadi" w:hAnsi="Abadi"/>
          <w:sz w:val="21"/>
          <w:szCs w:val="21"/>
        </w:rPr>
        <w:t xml:space="preserve">otable y </w:t>
      </w:r>
      <w:r w:rsidR="0013564D">
        <w:rPr>
          <w:rFonts w:ascii="Abadi" w:hAnsi="Abadi"/>
          <w:sz w:val="21"/>
          <w:szCs w:val="21"/>
        </w:rPr>
        <w:t>A</w:t>
      </w:r>
      <w:r w:rsidR="0013564D" w:rsidRPr="0021199F">
        <w:rPr>
          <w:rFonts w:ascii="Abadi" w:hAnsi="Abadi"/>
          <w:sz w:val="21"/>
          <w:szCs w:val="21"/>
        </w:rPr>
        <w:t xml:space="preserve">lcantarillado de León </w:t>
      </w:r>
      <w:r w:rsidR="0013564D">
        <w:rPr>
          <w:rFonts w:ascii="Abadi" w:hAnsi="Abadi"/>
          <w:sz w:val="21"/>
          <w:szCs w:val="21"/>
        </w:rPr>
        <w:t>SAPAL</w:t>
      </w:r>
      <w:r w:rsidR="0013564D" w:rsidRPr="0021199F">
        <w:rPr>
          <w:rFonts w:ascii="Abadi" w:hAnsi="Abadi"/>
          <w:sz w:val="21"/>
          <w:szCs w:val="21"/>
        </w:rPr>
        <w:t xml:space="preserve"> </w:t>
      </w:r>
      <w:r w:rsidR="0013564D">
        <w:rPr>
          <w:rFonts w:ascii="Abadi" w:hAnsi="Abadi"/>
          <w:sz w:val="21"/>
          <w:szCs w:val="21"/>
        </w:rPr>
        <w:t xml:space="preserve">la </w:t>
      </w:r>
      <w:r w:rsidR="0013564D" w:rsidRPr="0021199F">
        <w:rPr>
          <w:rFonts w:ascii="Abadi" w:hAnsi="Abadi"/>
          <w:sz w:val="21"/>
          <w:szCs w:val="21"/>
        </w:rPr>
        <w:t xml:space="preserve">a Procuraduría de Derechos Humanos del Estado de Guanajuato </w:t>
      </w:r>
      <w:r w:rsidR="0013564D">
        <w:rPr>
          <w:rFonts w:ascii="Abadi" w:hAnsi="Abadi"/>
          <w:sz w:val="21"/>
          <w:szCs w:val="21"/>
        </w:rPr>
        <w:t xml:space="preserve">a efecto de que rinda un informe </w:t>
      </w:r>
      <w:r w:rsidR="0013564D" w:rsidRPr="0021199F">
        <w:rPr>
          <w:rFonts w:ascii="Abadi" w:hAnsi="Abadi"/>
          <w:sz w:val="21"/>
          <w:szCs w:val="21"/>
        </w:rPr>
        <w:t>a es</w:t>
      </w:r>
      <w:r w:rsidR="0013564D">
        <w:rPr>
          <w:rFonts w:ascii="Abadi" w:hAnsi="Abadi"/>
          <w:sz w:val="21"/>
          <w:szCs w:val="21"/>
        </w:rPr>
        <w:t>t</w:t>
      </w:r>
      <w:r w:rsidR="0013564D" w:rsidRPr="0021199F">
        <w:rPr>
          <w:rFonts w:ascii="Abadi" w:hAnsi="Abadi"/>
          <w:sz w:val="21"/>
          <w:szCs w:val="21"/>
        </w:rPr>
        <w:t xml:space="preserve">a soberanía sobre el Estado que guarda el expediente número </w:t>
      </w:r>
      <w:r w:rsidR="0013564D">
        <w:rPr>
          <w:rFonts w:ascii="Abadi" w:hAnsi="Abadi"/>
          <w:sz w:val="21"/>
          <w:szCs w:val="21"/>
        </w:rPr>
        <w:t>24-21-A</w:t>
      </w:r>
      <w:r w:rsidR="0013564D" w:rsidRPr="0021199F">
        <w:rPr>
          <w:rFonts w:ascii="Abadi" w:hAnsi="Abadi"/>
          <w:sz w:val="21"/>
          <w:szCs w:val="21"/>
        </w:rPr>
        <w:t xml:space="preserve"> radicado en la su </w:t>
      </w:r>
      <w:r w:rsidR="0013564D">
        <w:rPr>
          <w:rFonts w:ascii="Abadi" w:hAnsi="Abadi"/>
          <w:sz w:val="21"/>
          <w:szCs w:val="21"/>
        </w:rPr>
        <w:t>p</w:t>
      </w:r>
      <w:r w:rsidR="0013564D" w:rsidRPr="0021199F">
        <w:rPr>
          <w:rFonts w:ascii="Abadi" w:hAnsi="Abadi"/>
          <w:sz w:val="21"/>
          <w:szCs w:val="21"/>
        </w:rPr>
        <w:t>rocuradur</w:t>
      </w:r>
      <w:r w:rsidR="0013564D">
        <w:rPr>
          <w:rFonts w:ascii="Abadi" w:hAnsi="Abadi"/>
          <w:sz w:val="21"/>
          <w:szCs w:val="21"/>
        </w:rPr>
        <w:t>í</w:t>
      </w:r>
      <w:r w:rsidR="0013564D" w:rsidRPr="0021199F">
        <w:rPr>
          <w:rFonts w:ascii="Abadi" w:hAnsi="Abadi"/>
          <w:sz w:val="21"/>
          <w:szCs w:val="21"/>
        </w:rPr>
        <w:t>a Zona A</w:t>
      </w:r>
      <w:r w:rsidR="0013564D">
        <w:rPr>
          <w:rFonts w:ascii="Abadi" w:hAnsi="Abadi"/>
          <w:sz w:val="21"/>
          <w:szCs w:val="21"/>
        </w:rPr>
        <w:t>,</w:t>
      </w:r>
      <w:r w:rsidR="0013564D" w:rsidRPr="0021199F">
        <w:rPr>
          <w:rFonts w:ascii="Abadi" w:hAnsi="Abadi"/>
          <w:sz w:val="21"/>
          <w:szCs w:val="21"/>
        </w:rPr>
        <w:t xml:space="preserve"> el día</w:t>
      </w:r>
      <w:r w:rsidR="0013564D">
        <w:rPr>
          <w:rFonts w:ascii="Abadi" w:hAnsi="Abadi"/>
          <w:sz w:val="21"/>
          <w:szCs w:val="21"/>
        </w:rPr>
        <w:t xml:space="preserve"> 8</w:t>
      </w:r>
      <w:r w:rsidR="0013564D" w:rsidRPr="0021199F">
        <w:rPr>
          <w:rFonts w:ascii="Abadi" w:hAnsi="Abadi"/>
          <w:sz w:val="21"/>
          <w:szCs w:val="21"/>
        </w:rPr>
        <w:t xml:space="preserve"> de febrero del </w:t>
      </w:r>
      <w:r w:rsidR="0013564D">
        <w:rPr>
          <w:rFonts w:ascii="Abadi" w:hAnsi="Abadi"/>
          <w:sz w:val="21"/>
          <w:szCs w:val="21"/>
        </w:rPr>
        <w:t>2021</w:t>
      </w:r>
      <w:r w:rsidR="0013564D" w:rsidRPr="0021199F">
        <w:rPr>
          <w:rFonts w:ascii="Abadi" w:hAnsi="Abadi"/>
          <w:sz w:val="21"/>
          <w:szCs w:val="21"/>
        </w:rPr>
        <w:t xml:space="preserve"> y</w:t>
      </w:r>
      <w:r w:rsidR="0013564D">
        <w:rPr>
          <w:rFonts w:ascii="Abadi" w:hAnsi="Abadi"/>
          <w:sz w:val="21"/>
          <w:szCs w:val="21"/>
        </w:rPr>
        <w:t>; al</w:t>
      </w:r>
      <w:r w:rsidR="0013564D" w:rsidRPr="0021199F">
        <w:rPr>
          <w:rFonts w:ascii="Abadi" w:hAnsi="Abadi"/>
          <w:sz w:val="21"/>
          <w:szCs w:val="21"/>
        </w:rPr>
        <w:t xml:space="preserve"> Ayuntamiento del municipio de León para que conforme</w:t>
      </w:r>
      <w:r w:rsidR="0013564D">
        <w:rPr>
          <w:rFonts w:ascii="Abadi" w:hAnsi="Abadi"/>
          <w:sz w:val="21"/>
          <w:szCs w:val="21"/>
        </w:rPr>
        <w:t>,</w:t>
      </w:r>
      <w:r w:rsidR="0013564D" w:rsidRPr="0021199F">
        <w:rPr>
          <w:rFonts w:ascii="Abadi" w:hAnsi="Abadi"/>
          <w:sz w:val="21"/>
          <w:szCs w:val="21"/>
        </w:rPr>
        <w:t xml:space="preserve"> para que conforme una comisión mixta integrada tanto por ediles como por civiles, con facultade</w:t>
      </w:r>
      <w:r w:rsidR="0013564D">
        <w:rPr>
          <w:rFonts w:ascii="Abadi" w:hAnsi="Abadi"/>
          <w:sz w:val="21"/>
          <w:szCs w:val="21"/>
        </w:rPr>
        <w:t>s</w:t>
      </w:r>
      <w:r w:rsidR="0013564D" w:rsidRPr="0021199F">
        <w:rPr>
          <w:rFonts w:ascii="Abadi" w:hAnsi="Abadi"/>
          <w:sz w:val="21"/>
          <w:szCs w:val="21"/>
        </w:rPr>
        <w:t xml:space="preserve"> suficientes de investigación sobre posibles violaciones a diversas normativas laborales, de seguridad</w:t>
      </w:r>
      <w:r w:rsidR="0013564D">
        <w:rPr>
          <w:rFonts w:ascii="Abadi" w:hAnsi="Abadi"/>
          <w:sz w:val="21"/>
          <w:szCs w:val="21"/>
        </w:rPr>
        <w:t xml:space="preserve"> </w:t>
      </w:r>
      <w:r w:rsidR="0013564D" w:rsidRPr="0021199F">
        <w:rPr>
          <w:rFonts w:ascii="Abadi" w:hAnsi="Abadi"/>
          <w:sz w:val="21"/>
          <w:szCs w:val="21"/>
        </w:rPr>
        <w:t>e higiene en la planta de tratamiento de aguas residuales municipales y su mod</w:t>
      </w:r>
      <w:r w:rsidR="0013564D">
        <w:rPr>
          <w:rFonts w:ascii="Abadi" w:hAnsi="Abadi"/>
          <w:sz w:val="21"/>
          <w:szCs w:val="21"/>
        </w:rPr>
        <w:t>ulo</w:t>
      </w:r>
      <w:r w:rsidR="0013564D" w:rsidRPr="0021199F">
        <w:rPr>
          <w:rFonts w:ascii="Abadi" w:hAnsi="Abadi"/>
          <w:sz w:val="21"/>
          <w:szCs w:val="21"/>
        </w:rPr>
        <w:t xml:space="preserve"> de</w:t>
      </w:r>
      <w:r w:rsidR="0013564D">
        <w:rPr>
          <w:rFonts w:ascii="Abadi" w:hAnsi="Abadi"/>
          <w:sz w:val="21"/>
          <w:szCs w:val="21"/>
        </w:rPr>
        <w:t>s</w:t>
      </w:r>
      <w:r w:rsidR="0013564D" w:rsidRPr="0021199F">
        <w:rPr>
          <w:rFonts w:ascii="Abadi" w:hAnsi="Abadi"/>
          <w:sz w:val="21"/>
          <w:szCs w:val="21"/>
        </w:rPr>
        <w:t xml:space="preserve">baste del </w:t>
      </w:r>
      <w:r w:rsidR="0013564D">
        <w:rPr>
          <w:rFonts w:ascii="Abadi" w:hAnsi="Abadi"/>
          <w:sz w:val="21"/>
          <w:szCs w:val="21"/>
        </w:rPr>
        <w:t>S</w:t>
      </w:r>
      <w:r w:rsidR="0013564D" w:rsidRPr="0021199F">
        <w:rPr>
          <w:rFonts w:ascii="Abadi" w:hAnsi="Abadi"/>
          <w:sz w:val="21"/>
          <w:szCs w:val="21"/>
        </w:rPr>
        <w:t xml:space="preserve">istema de </w:t>
      </w:r>
      <w:r w:rsidR="0013564D">
        <w:rPr>
          <w:rFonts w:ascii="Abadi" w:hAnsi="Abadi"/>
          <w:sz w:val="21"/>
          <w:szCs w:val="21"/>
        </w:rPr>
        <w:t>A</w:t>
      </w:r>
      <w:r w:rsidR="0013564D" w:rsidRPr="0021199F">
        <w:rPr>
          <w:rFonts w:ascii="Abadi" w:hAnsi="Abadi"/>
          <w:sz w:val="21"/>
          <w:szCs w:val="21"/>
        </w:rPr>
        <w:t xml:space="preserve">gua </w:t>
      </w:r>
      <w:r w:rsidR="0013564D">
        <w:rPr>
          <w:rFonts w:ascii="Abadi" w:hAnsi="Abadi"/>
          <w:sz w:val="21"/>
          <w:szCs w:val="21"/>
        </w:rPr>
        <w:t>P</w:t>
      </w:r>
      <w:r w:rsidR="0013564D" w:rsidRPr="0021199F">
        <w:rPr>
          <w:rFonts w:ascii="Abadi" w:hAnsi="Abadi"/>
          <w:sz w:val="21"/>
          <w:szCs w:val="21"/>
        </w:rPr>
        <w:t xml:space="preserve">otable y </w:t>
      </w:r>
      <w:r w:rsidR="0013564D">
        <w:rPr>
          <w:rFonts w:ascii="Abadi" w:hAnsi="Abadi"/>
          <w:sz w:val="21"/>
          <w:szCs w:val="21"/>
        </w:rPr>
        <w:t>A</w:t>
      </w:r>
      <w:r w:rsidR="0013564D" w:rsidRPr="0021199F">
        <w:rPr>
          <w:rFonts w:ascii="Abadi" w:hAnsi="Abadi"/>
          <w:sz w:val="21"/>
          <w:szCs w:val="21"/>
        </w:rPr>
        <w:t xml:space="preserve">lcantarillado de León </w:t>
      </w:r>
      <w:r w:rsidR="0013564D">
        <w:rPr>
          <w:rFonts w:ascii="Abadi" w:hAnsi="Abadi"/>
          <w:sz w:val="21"/>
          <w:szCs w:val="21"/>
        </w:rPr>
        <w:t>SAPAL</w:t>
      </w:r>
      <w:r w:rsidR="0013564D" w:rsidRPr="0021199F">
        <w:rPr>
          <w:rFonts w:ascii="Abadi" w:hAnsi="Abadi"/>
          <w:sz w:val="21"/>
          <w:szCs w:val="21"/>
        </w:rPr>
        <w:t xml:space="preserve"> y en su caso, inicia</w:t>
      </w:r>
      <w:r w:rsidR="0013564D">
        <w:rPr>
          <w:rFonts w:ascii="Abadi" w:hAnsi="Abadi"/>
          <w:sz w:val="21"/>
          <w:szCs w:val="21"/>
        </w:rPr>
        <w:t>r</w:t>
      </w:r>
      <w:r w:rsidR="0013564D" w:rsidRPr="0021199F">
        <w:rPr>
          <w:rFonts w:ascii="Abadi" w:hAnsi="Abadi"/>
          <w:sz w:val="21"/>
          <w:szCs w:val="21"/>
        </w:rPr>
        <w:t xml:space="preserve"> los procedimientos legales que correspondan. </w:t>
      </w:r>
    </w:p>
    <w:p w14:paraId="0B6D6B5C" w14:textId="77777777" w:rsidR="0013564D" w:rsidRDefault="0013564D" w:rsidP="00D23FED">
      <w:pPr>
        <w:pStyle w:val="NormalWeb"/>
        <w:ind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Me permit</w:t>
      </w:r>
      <w:r>
        <w:rPr>
          <w:rFonts w:ascii="Abadi" w:hAnsi="Abadi"/>
          <w:sz w:val="21"/>
          <w:szCs w:val="21"/>
        </w:rPr>
        <w:t>o</w:t>
      </w:r>
      <w:r w:rsidRPr="0021199F">
        <w:rPr>
          <w:rFonts w:ascii="Abadi" w:hAnsi="Abadi"/>
          <w:sz w:val="21"/>
          <w:szCs w:val="21"/>
        </w:rPr>
        <w:t xml:space="preserve"> informar que previamente se ha escrito el diputado Martínez Mendizábal para hablar en contra del dictamen y el diputado Bricio Balderas Álvarez para hablar a favor.</w:t>
      </w:r>
      <w:r>
        <w:rPr>
          <w:rFonts w:ascii="Abadi" w:hAnsi="Abadi"/>
          <w:sz w:val="21"/>
          <w:szCs w:val="21"/>
        </w:rPr>
        <w:t>}</w:t>
      </w:r>
    </w:p>
    <w:p w14:paraId="7FBC6F9A" w14:textId="13352717" w:rsidR="0013564D" w:rsidRDefault="00D23FED" w:rsidP="00D23FED">
      <w:pPr>
        <w:pStyle w:val="NormalWeb"/>
        <w:ind w:firstLine="708"/>
        <w:jc w:val="both"/>
        <w:rPr>
          <w:rFonts w:ascii="Abadi" w:hAnsi="Abadi"/>
          <w:sz w:val="21"/>
          <w:szCs w:val="21"/>
        </w:rPr>
      </w:pPr>
      <w:r>
        <w:rPr>
          <w:rFonts w:ascii="Abadi" w:hAnsi="Abadi"/>
          <w:sz w:val="21"/>
          <w:szCs w:val="21"/>
        </w:rPr>
        <w:t xml:space="preserve">- </w:t>
      </w:r>
      <w:r w:rsidR="0013564D" w:rsidRPr="0021199F">
        <w:rPr>
          <w:rFonts w:ascii="Abadi" w:hAnsi="Abadi"/>
          <w:sz w:val="21"/>
          <w:szCs w:val="21"/>
        </w:rPr>
        <w:t>Si alguna diputada o algún diputado desea hacer uso de la palabra en pro o en contra, manifieste</w:t>
      </w:r>
      <w:r w:rsidR="0013564D">
        <w:rPr>
          <w:rFonts w:ascii="Abadi" w:hAnsi="Abadi"/>
          <w:sz w:val="21"/>
          <w:szCs w:val="21"/>
        </w:rPr>
        <w:t>n</w:t>
      </w:r>
      <w:r w:rsidR="0013564D" w:rsidRPr="0021199F">
        <w:rPr>
          <w:rFonts w:ascii="Abadi" w:hAnsi="Abadi"/>
          <w:sz w:val="21"/>
          <w:szCs w:val="21"/>
        </w:rPr>
        <w:t xml:space="preserve"> lo indicando el sentido de su participación. </w:t>
      </w:r>
    </w:p>
    <w:p w14:paraId="7B125636" w14:textId="408D72DF" w:rsidR="0013564D" w:rsidRDefault="00D23FED" w:rsidP="00D23FED">
      <w:pPr>
        <w:pStyle w:val="NormalWeb"/>
        <w:ind w:firstLine="708"/>
        <w:jc w:val="both"/>
        <w:rPr>
          <w:rFonts w:ascii="Abadi" w:hAnsi="Abadi"/>
          <w:sz w:val="21"/>
          <w:szCs w:val="21"/>
        </w:rPr>
      </w:pPr>
      <w:r>
        <w:rPr>
          <w:rFonts w:ascii="Abadi" w:hAnsi="Abadi"/>
          <w:b/>
          <w:bCs/>
          <w:sz w:val="21"/>
          <w:szCs w:val="21"/>
        </w:rPr>
        <w:t xml:space="preserve">- </w:t>
      </w:r>
      <w:r w:rsidR="0013564D" w:rsidRPr="0017724F">
        <w:rPr>
          <w:rFonts w:ascii="Abadi" w:hAnsi="Abadi"/>
          <w:b/>
          <w:bCs/>
          <w:sz w:val="21"/>
          <w:szCs w:val="21"/>
        </w:rPr>
        <w:t xml:space="preserve">La </w:t>
      </w:r>
      <w:proofErr w:type="gramStart"/>
      <w:r w:rsidR="0013564D" w:rsidRPr="0017724F">
        <w:rPr>
          <w:rFonts w:ascii="Abadi" w:hAnsi="Abadi"/>
          <w:b/>
          <w:bCs/>
          <w:sz w:val="21"/>
          <w:szCs w:val="21"/>
        </w:rPr>
        <w:t>Presidencia.-</w:t>
      </w:r>
      <w:proofErr w:type="gramEnd"/>
      <w:r w:rsidR="0013564D">
        <w:rPr>
          <w:rFonts w:ascii="Abadi" w:hAnsi="Abadi"/>
          <w:sz w:val="21"/>
          <w:szCs w:val="21"/>
        </w:rPr>
        <w:t xml:space="preserve"> </w:t>
      </w:r>
      <w:r w:rsidR="0013564D" w:rsidRPr="0021199F">
        <w:rPr>
          <w:rFonts w:ascii="Abadi" w:hAnsi="Abadi"/>
          <w:sz w:val="21"/>
          <w:szCs w:val="21"/>
        </w:rPr>
        <w:t>Se concede el uso de la voz al diputado David Mart</w:t>
      </w:r>
      <w:r w:rsidR="0013564D">
        <w:rPr>
          <w:rFonts w:ascii="Abadi" w:hAnsi="Abadi"/>
          <w:sz w:val="21"/>
          <w:szCs w:val="21"/>
        </w:rPr>
        <w:t>ínez</w:t>
      </w:r>
      <w:r w:rsidR="0013564D" w:rsidRPr="0021199F">
        <w:rPr>
          <w:rFonts w:ascii="Abadi" w:hAnsi="Abadi"/>
          <w:sz w:val="21"/>
          <w:szCs w:val="21"/>
        </w:rPr>
        <w:t xml:space="preserve"> Mendizábal hasta por </w:t>
      </w:r>
      <w:r w:rsidR="0013564D">
        <w:rPr>
          <w:rFonts w:ascii="Abadi" w:hAnsi="Abadi"/>
          <w:sz w:val="21"/>
          <w:szCs w:val="21"/>
        </w:rPr>
        <w:t xml:space="preserve">10 </w:t>
      </w:r>
      <w:r w:rsidR="0013564D" w:rsidRPr="0021199F">
        <w:rPr>
          <w:rFonts w:ascii="Abadi" w:hAnsi="Abadi"/>
          <w:sz w:val="21"/>
          <w:szCs w:val="21"/>
        </w:rPr>
        <w:t>minutos</w:t>
      </w:r>
      <w:r w:rsidR="0013564D">
        <w:rPr>
          <w:rFonts w:ascii="Abadi" w:hAnsi="Abadi"/>
          <w:sz w:val="21"/>
          <w:szCs w:val="21"/>
        </w:rPr>
        <w:t>.</w:t>
      </w:r>
    </w:p>
    <w:p w14:paraId="09824BC8" w14:textId="4DA70C48" w:rsidR="0013564D" w:rsidRDefault="00A07CF2" w:rsidP="00A07CF2">
      <w:pPr>
        <w:pStyle w:val="NormalWeb"/>
        <w:ind w:firstLine="708"/>
        <w:jc w:val="both"/>
        <w:rPr>
          <w:rFonts w:ascii="Abadi" w:hAnsi="Abadi"/>
          <w:sz w:val="21"/>
          <w:szCs w:val="21"/>
        </w:rPr>
      </w:pPr>
      <w:r>
        <w:rPr>
          <w:rFonts w:ascii="Abadi" w:hAnsi="Abadi"/>
          <w:sz w:val="21"/>
          <w:szCs w:val="21"/>
        </w:rPr>
        <w:t xml:space="preserve">- </w:t>
      </w:r>
      <w:r w:rsidR="0013564D">
        <w:rPr>
          <w:rFonts w:ascii="Abadi" w:hAnsi="Abadi"/>
          <w:sz w:val="21"/>
          <w:szCs w:val="21"/>
        </w:rPr>
        <w:t>A</w:t>
      </w:r>
      <w:r w:rsidR="0013564D" w:rsidRPr="0021199F">
        <w:rPr>
          <w:rFonts w:ascii="Abadi" w:hAnsi="Abadi"/>
          <w:sz w:val="21"/>
          <w:szCs w:val="21"/>
        </w:rPr>
        <w:t>delante, diputado</w:t>
      </w:r>
      <w:r w:rsidR="0013564D">
        <w:rPr>
          <w:rFonts w:ascii="Abadi" w:hAnsi="Abadi"/>
          <w:sz w:val="21"/>
          <w:szCs w:val="21"/>
        </w:rPr>
        <w:t>.</w:t>
      </w:r>
    </w:p>
    <w:p w14:paraId="66C3AEE9" w14:textId="77777777" w:rsidR="00627504" w:rsidRDefault="00627504" w:rsidP="0013564D">
      <w:pPr>
        <w:pStyle w:val="NormalWeb"/>
        <w:jc w:val="both"/>
        <w:rPr>
          <w:rFonts w:ascii="Abadi" w:hAnsi="Abadi"/>
          <w:b/>
          <w:bCs/>
          <w:sz w:val="21"/>
          <w:szCs w:val="21"/>
        </w:rPr>
      </w:pPr>
    </w:p>
    <w:p w14:paraId="66A1FC5D" w14:textId="55778F5C" w:rsidR="0013564D" w:rsidRDefault="0013564D" w:rsidP="0013564D">
      <w:pPr>
        <w:pStyle w:val="NormalWeb"/>
        <w:jc w:val="both"/>
        <w:rPr>
          <w:rFonts w:ascii="Abadi" w:hAnsi="Abadi"/>
          <w:b/>
          <w:bCs/>
          <w:sz w:val="21"/>
          <w:szCs w:val="21"/>
        </w:rPr>
      </w:pPr>
      <w:r w:rsidRPr="001A22A8">
        <w:rPr>
          <w:rFonts w:ascii="Abadi" w:hAnsi="Abadi"/>
          <w:b/>
          <w:bCs/>
          <w:sz w:val="21"/>
          <w:szCs w:val="21"/>
        </w:rPr>
        <w:t xml:space="preserve">(Sube a tribuna </w:t>
      </w:r>
      <w:r>
        <w:rPr>
          <w:rFonts w:ascii="Abadi" w:hAnsi="Abadi"/>
          <w:b/>
          <w:bCs/>
          <w:sz w:val="21"/>
          <w:szCs w:val="21"/>
        </w:rPr>
        <w:t xml:space="preserve">el </w:t>
      </w:r>
      <w:r w:rsidRPr="001A22A8">
        <w:rPr>
          <w:rFonts w:ascii="Abadi" w:hAnsi="Abadi"/>
          <w:b/>
          <w:bCs/>
          <w:sz w:val="21"/>
          <w:szCs w:val="21"/>
        </w:rPr>
        <w:t>Diputado David Mendizábal</w:t>
      </w:r>
      <w:r>
        <w:rPr>
          <w:rFonts w:ascii="Abadi" w:hAnsi="Abadi"/>
          <w:b/>
          <w:bCs/>
          <w:sz w:val="21"/>
          <w:szCs w:val="21"/>
        </w:rPr>
        <w:t>,</w:t>
      </w:r>
      <w:r w:rsidRPr="001A22A8">
        <w:rPr>
          <w:rFonts w:ascii="Abadi" w:hAnsi="Abadi"/>
          <w:b/>
          <w:bCs/>
          <w:sz w:val="21"/>
          <w:szCs w:val="21"/>
        </w:rPr>
        <w:t xml:space="preserve"> para hablar </w:t>
      </w:r>
      <w:r>
        <w:rPr>
          <w:rFonts w:ascii="Abadi" w:hAnsi="Abadi"/>
          <w:b/>
          <w:bCs/>
          <w:sz w:val="21"/>
          <w:szCs w:val="21"/>
        </w:rPr>
        <w:t>en contra</w:t>
      </w:r>
      <w:r w:rsidRPr="001A22A8">
        <w:rPr>
          <w:rFonts w:ascii="Abadi" w:hAnsi="Abadi"/>
          <w:b/>
          <w:bCs/>
          <w:sz w:val="21"/>
          <w:szCs w:val="21"/>
        </w:rPr>
        <w:t xml:space="preserve"> del dictamen) </w:t>
      </w:r>
    </w:p>
    <w:p w14:paraId="6F5B6B47" w14:textId="77777777" w:rsidR="0013564D" w:rsidRDefault="0013564D" w:rsidP="0013564D">
      <w:pPr>
        <w:pStyle w:val="NormalWeb"/>
        <w:jc w:val="both"/>
        <w:rPr>
          <w:rFonts w:ascii="Abadi" w:hAnsi="Abadi"/>
          <w:b/>
          <w:bCs/>
          <w:sz w:val="21"/>
          <w:szCs w:val="21"/>
        </w:rPr>
      </w:pPr>
    </w:p>
    <w:p w14:paraId="212F676D" w14:textId="77777777" w:rsidR="0013564D" w:rsidRPr="001A22A8" w:rsidRDefault="0013564D" w:rsidP="0013564D">
      <w:pPr>
        <w:pStyle w:val="NormalWeb"/>
        <w:jc w:val="both"/>
        <w:rPr>
          <w:rFonts w:ascii="Abadi" w:hAnsi="Abadi"/>
          <w:b/>
          <w:bCs/>
          <w:sz w:val="21"/>
          <w:szCs w:val="21"/>
        </w:rPr>
      </w:pPr>
      <w:r>
        <w:rPr>
          <w:noProof/>
        </w:rPr>
        <w:drawing>
          <wp:anchor distT="0" distB="0" distL="114300" distR="114300" simplePos="0" relativeHeight="251658263" behindDoc="1" locked="0" layoutInCell="1" allowOverlap="1" wp14:anchorId="1E8E1A53" wp14:editId="68A47FA3">
            <wp:simplePos x="0" y="0"/>
            <wp:positionH relativeFrom="column">
              <wp:align>right</wp:align>
            </wp:positionH>
            <wp:positionV relativeFrom="paragraph">
              <wp:posOffset>145036</wp:posOffset>
            </wp:positionV>
            <wp:extent cx="2020570" cy="1038860"/>
            <wp:effectExtent l="19050" t="114300" r="0" b="789940"/>
            <wp:wrapTight wrapText="bothSides">
              <wp:wrapPolygon edited="0">
                <wp:start x="204" y="-2377"/>
                <wp:lineTo x="-204" y="4753"/>
                <wp:lineTo x="407" y="37628"/>
                <wp:lineTo x="3869" y="37628"/>
                <wp:lineTo x="9571" y="36440"/>
                <wp:lineTo x="20161" y="31687"/>
                <wp:lineTo x="20161" y="-2377"/>
                <wp:lineTo x="204" y="-2377"/>
              </wp:wrapPolygon>
            </wp:wrapTight>
            <wp:docPr id="47" name="Imagen 47"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Un hombre en traje parado enfrente de una pantalla&#10;&#10;Descripción generada automáticamente con confianza media"/>
                    <pic:cNvPicPr/>
                  </pic:nvPicPr>
                  <pic:blipFill rotWithShape="1">
                    <a:blip r:embed="rId59" cstate="print">
                      <a:extLst>
                        <a:ext uri="{28A0092B-C50C-407E-A947-70E740481C1C}">
                          <a14:useLocalDpi xmlns:a14="http://schemas.microsoft.com/office/drawing/2010/main" val="0"/>
                        </a:ext>
                      </a:extLst>
                    </a:blip>
                    <a:srcRect b="8533"/>
                    <a:stretch/>
                  </pic:blipFill>
                  <pic:spPr bwMode="auto">
                    <a:xfrm>
                      <a:off x="0" y="0"/>
                      <a:ext cx="2020570" cy="103886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70285C" w14:textId="77777777" w:rsidR="00126DE8" w:rsidRDefault="00126DE8" w:rsidP="0013564D">
      <w:pPr>
        <w:pStyle w:val="NormalWeb"/>
        <w:jc w:val="both"/>
        <w:rPr>
          <w:rFonts w:ascii="Abadi" w:hAnsi="Abadi"/>
          <w:sz w:val="21"/>
          <w:szCs w:val="21"/>
        </w:rPr>
      </w:pPr>
    </w:p>
    <w:p w14:paraId="237BE4C5" w14:textId="77777777" w:rsidR="00126DE8" w:rsidRDefault="00126DE8" w:rsidP="0013564D">
      <w:pPr>
        <w:pStyle w:val="NormalWeb"/>
        <w:jc w:val="both"/>
        <w:rPr>
          <w:rFonts w:ascii="Abadi" w:hAnsi="Abadi"/>
          <w:sz w:val="21"/>
          <w:szCs w:val="21"/>
        </w:rPr>
      </w:pPr>
    </w:p>
    <w:p w14:paraId="30664EC9" w14:textId="77777777" w:rsidR="00126DE8" w:rsidRDefault="00126DE8" w:rsidP="0013564D">
      <w:pPr>
        <w:pStyle w:val="NormalWeb"/>
        <w:jc w:val="both"/>
        <w:rPr>
          <w:rFonts w:ascii="Abadi" w:hAnsi="Abadi"/>
          <w:sz w:val="21"/>
          <w:szCs w:val="21"/>
        </w:rPr>
      </w:pPr>
    </w:p>
    <w:p w14:paraId="139D29F1" w14:textId="77777777" w:rsidR="00126DE8" w:rsidRDefault="00126DE8" w:rsidP="0013564D">
      <w:pPr>
        <w:pStyle w:val="NormalWeb"/>
        <w:jc w:val="both"/>
        <w:rPr>
          <w:rFonts w:ascii="Abadi" w:hAnsi="Abadi"/>
          <w:sz w:val="21"/>
          <w:szCs w:val="21"/>
        </w:rPr>
      </w:pPr>
    </w:p>
    <w:p w14:paraId="42D295AD" w14:textId="77777777" w:rsidR="00126DE8" w:rsidRDefault="00126DE8" w:rsidP="0013564D">
      <w:pPr>
        <w:pStyle w:val="NormalWeb"/>
        <w:jc w:val="both"/>
        <w:rPr>
          <w:rFonts w:ascii="Abadi" w:hAnsi="Abadi"/>
          <w:sz w:val="21"/>
          <w:szCs w:val="21"/>
        </w:rPr>
      </w:pPr>
    </w:p>
    <w:p w14:paraId="329F71FA" w14:textId="0F5ECC5C" w:rsidR="0013564D" w:rsidRDefault="0013564D" w:rsidP="0013564D">
      <w:pPr>
        <w:pStyle w:val="NormalWeb"/>
        <w:jc w:val="both"/>
        <w:rPr>
          <w:rFonts w:ascii="Abadi" w:hAnsi="Abadi"/>
          <w:sz w:val="21"/>
          <w:szCs w:val="21"/>
        </w:rPr>
      </w:pPr>
      <w:r>
        <w:rPr>
          <w:rFonts w:ascii="Abadi" w:hAnsi="Abadi"/>
          <w:sz w:val="21"/>
          <w:szCs w:val="21"/>
        </w:rPr>
        <w:t>¡B</w:t>
      </w:r>
      <w:r w:rsidRPr="0021199F">
        <w:rPr>
          <w:rFonts w:ascii="Abadi" w:hAnsi="Abadi"/>
          <w:sz w:val="21"/>
          <w:szCs w:val="21"/>
        </w:rPr>
        <w:t>uenas tardes</w:t>
      </w:r>
      <w:r>
        <w:rPr>
          <w:rFonts w:ascii="Abadi" w:hAnsi="Abadi"/>
          <w:sz w:val="21"/>
          <w:szCs w:val="21"/>
        </w:rPr>
        <w:t>!</w:t>
      </w:r>
      <w:r w:rsidRPr="0021199F">
        <w:rPr>
          <w:rFonts w:ascii="Abadi" w:hAnsi="Abadi"/>
          <w:sz w:val="21"/>
          <w:szCs w:val="21"/>
        </w:rPr>
        <w:t xml:space="preserve"> </w:t>
      </w:r>
      <w:r>
        <w:rPr>
          <w:rFonts w:ascii="Abadi" w:hAnsi="Abadi"/>
          <w:sz w:val="21"/>
          <w:szCs w:val="21"/>
        </w:rPr>
        <w:t>o</w:t>
      </w:r>
      <w:r w:rsidRPr="0021199F">
        <w:rPr>
          <w:rFonts w:ascii="Abadi" w:hAnsi="Abadi"/>
          <w:sz w:val="21"/>
          <w:szCs w:val="21"/>
        </w:rPr>
        <w:t xml:space="preserve">tra vez y salud en especial a al compañero y la compañera de lenguaje de señas. Cada vez aparece por ahí, que es muy importante para la inclusión de personas con otras capacidades o discapacidades. </w:t>
      </w:r>
    </w:p>
    <w:p w14:paraId="29E45232"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Voy a hablar en contra del dictamen y tengo cuatro razones fundamentales. El dictamen sí recoge lo que yo planteaba, lo recoge bien. Eran cuatro,</w:t>
      </w:r>
      <w:r>
        <w:rPr>
          <w:rFonts w:ascii="Abadi" w:hAnsi="Abadi"/>
          <w:sz w:val="21"/>
          <w:szCs w:val="21"/>
        </w:rPr>
        <w:t xml:space="preserve"> e</w:t>
      </w:r>
      <w:r w:rsidRPr="0021199F">
        <w:rPr>
          <w:rFonts w:ascii="Abadi" w:hAnsi="Abadi"/>
          <w:sz w:val="21"/>
          <w:szCs w:val="21"/>
        </w:rPr>
        <w:t>l exhort</w:t>
      </w:r>
      <w:r>
        <w:rPr>
          <w:rFonts w:ascii="Abadi" w:hAnsi="Abadi"/>
          <w:sz w:val="21"/>
          <w:szCs w:val="21"/>
        </w:rPr>
        <w:t>o</w:t>
      </w:r>
      <w:r w:rsidRPr="0021199F">
        <w:rPr>
          <w:rFonts w:ascii="Abadi" w:hAnsi="Abadi"/>
          <w:sz w:val="21"/>
          <w:szCs w:val="21"/>
        </w:rPr>
        <w:t xml:space="preserve"> se compone de cuatro de cuatro ejes</w:t>
      </w:r>
      <w:r>
        <w:rPr>
          <w:rFonts w:ascii="Abadi" w:hAnsi="Abadi"/>
          <w:sz w:val="21"/>
          <w:szCs w:val="21"/>
        </w:rPr>
        <w:t>,</w:t>
      </w:r>
      <w:r w:rsidRPr="0021199F">
        <w:rPr>
          <w:rFonts w:ascii="Abadi" w:hAnsi="Abadi"/>
          <w:sz w:val="21"/>
          <w:szCs w:val="21"/>
        </w:rPr>
        <w:t xml:space="preserve"> de cuatro componentes y están bien descritos en el documento en cuestión</w:t>
      </w:r>
      <w:r>
        <w:rPr>
          <w:rFonts w:ascii="Abadi" w:hAnsi="Abadi"/>
          <w:sz w:val="21"/>
          <w:szCs w:val="21"/>
        </w:rPr>
        <w:t xml:space="preserve"> e</w:t>
      </w:r>
      <w:r w:rsidRPr="0021199F">
        <w:rPr>
          <w:rFonts w:ascii="Abadi" w:hAnsi="Abadi"/>
          <w:sz w:val="21"/>
          <w:szCs w:val="21"/>
        </w:rPr>
        <w:t>n el dictamen</w:t>
      </w:r>
      <w:r>
        <w:rPr>
          <w:rFonts w:ascii="Abadi" w:hAnsi="Abadi"/>
          <w:sz w:val="21"/>
          <w:szCs w:val="21"/>
        </w:rPr>
        <w:t>.</w:t>
      </w:r>
      <w:r w:rsidRPr="0021199F">
        <w:rPr>
          <w:rFonts w:ascii="Abadi" w:hAnsi="Abadi"/>
          <w:sz w:val="21"/>
          <w:szCs w:val="21"/>
        </w:rPr>
        <w:t xml:space="preserve"> </w:t>
      </w:r>
      <w:r>
        <w:rPr>
          <w:rFonts w:ascii="Abadi" w:hAnsi="Abadi"/>
          <w:sz w:val="21"/>
          <w:szCs w:val="21"/>
        </w:rPr>
        <w:t>S</w:t>
      </w:r>
      <w:r w:rsidRPr="0021199F">
        <w:rPr>
          <w:rFonts w:ascii="Abadi" w:hAnsi="Abadi"/>
          <w:sz w:val="21"/>
          <w:szCs w:val="21"/>
        </w:rPr>
        <w:t>in embargo, mis razones para votar en contra y exhort</w:t>
      </w:r>
      <w:r>
        <w:rPr>
          <w:rFonts w:ascii="Abadi" w:hAnsi="Abadi"/>
          <w:sz w:val="21"/>
          <w:szCs w:val="21"/>
        </w:rPr>
        <w:t xml:space="preserve">o </w:t>
      </w:r>
      <w:r w:rsidRPr="0021199F">
        <w:rPr>
          <w:rFonts w:ascii="Abadi" w:hAnsi="Abadi"/>
          <w:sz w:val="21"/>
          <w:szCs w:val="21"/>
        </w:rPr>
        <w:t>pues a que se vote en contra</w:t>
      </w:r>
      <w:r>
        <w:rPr>
          <w:rFonts w:ascii="Abadi" w:hAnsi="Abadi"/>
          <w:sz w:val="21"/>
          <w:szCs w:val="21"/>
        </w:rPr>
        <w:t>,</w:t>
      </w:r>
      <w:r w:rsidRPr="0021199F">
        <w:rPr>
          <w:rFonts w:ascii="Abadi" w:hAnsi="Abadi"/>
          <w:sz w:val="21"/>
          <w:szCs w:val="21"/>
        </w:rPr>
        <w:t xml:space="preserve"> </w:t>
      </w:r>
      <w:r>
        <w:rPr>
          <w:rFonts w:ascii="Abadi" w:hAnsi="Abadi"/>
          <w:sz w:val="21"/>
          <w:szCs w:val="21"/>
        </w:rPr>
        <w:t>s</w:t>
      </w:r>
      <w:r w:rsidRPr="0021199F">
        <w:rPr>
          <w:rFonts w:ascii="Abadi" w:hAnsi="Abadi"/>
          <w:sz w:val="21"/>
          <w:szCs w:val="21"/>
        </w:rPr>
        <w:t>on las siguientes</w:t>
      </w:r>
      <w:r>
        <w:rPr>
          <w:rFonts w:ascii="Abadi" w:hAnsi="Abadi"/>
          <w:sz w:val="21"/>
          <w:szCs w:val="21"/>
        </w:rPr>
        <w:t>.</w:t>
      </w:r>
      <w:r w:rsidRPr="0021199F">
        <w:rPr>
          <w:rFonts w:ascii="Abadi" w:hAnsi="Abadi"/>
          <w:sz w:val="21"/>
          <w:szCs w:val="21"/>
        </w:rPr>
        <w:t xml:space="preserve"> </w:t>
      </w:r>
    </w:p>
    <w:p w14:paraId="373221DB"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Mire</w:t>
      </w:r>
      <w:r>
        <w:rPr>
          <w:rFonts w:ascii="Abadi" w:hAnsi="Abadi"/>
          <w:sz w:val="21"/>
          <w:szCs w:val="21"/>
        </w:rPr>
        <w:t>n, en l</w:t>
      </w:r>
      <w:r w:rsidRPr="0021199F">
        <w:rPr>
          <w:rFonts w:ascii="Abadi" w:hAnsi="Abadi"/>
          <w:sz w:val="21"/>
          <w:szCs w:val="21"/>
        </w:rPr>
        <w:t xml:space="preserve">a metodología propuesta por la Comisión </w:t>
      </w:r>
      <w:r>
        <w:rPr>
          <w:rFonts w:ascii="Abadi" w:hAnsi="Abadi"/>
          <w:sz w:val="21"/>
          <w:szCs w:val="21"/>
        </w:rPr>
        <w:t>h</w:t>
      </w:r>
      <w:r w:rsidRPr="0021199F">
        <w:rPr>
          <w:rFonts w:ascii="Abadi" w:hAnsi="Abadi"/>
          <w:sz w:val="21"/>
          <w:szCs w:val="21"/>
        </w:rPr>
        <w:t>ay cinco puntos</w:t>
      </w:r>
      <w:r>
        <w:rPr>
          <w:rFonts w:ascii="Abadi" w:hAnsi="Abadi"/>
          <w:sz w:val="21"/>
          <w:szCs w:val="21"/>
        </w:rPr>
        <w:t>, s</w:t>
      </w:r>
      <w:r w:rsidRPr="0021199F">
        <w:rPr>
          <w:rFonts w:ascii="Abadi" w:hAnsi="Abadi"/>
          <w:sz w:val="21"/>
          <w:szCs w:val="21"/>
        </w:rPr>
        <w:t>olicitaron por oficio a través del correo electrónico información al Consejo del Agua Potable</w:t>
      </w:r>
      <w:r>
        <w:rPr>
          <w:rFonts w:ascii="Abadi" w:hAnsi="Abadi"/>
          <w:sz w:val="21"/>
          <w:szCs w:val="21"/>
        </w:rPr>
        <w:t>;</w:t>
      </w:r>
      <w:r w:rsidRPr="0021199F">
        <w:rPr>
          <w:rFonts w:ascii="Abadi" w:hAnsi="Abadi"/>
          <w:sz w:val="21"/>
          <w:szCs w:val="21"/>
        </w:rPr>
        <w:t xml:space="preserve"> segundo, realizar una mesa de trabajo permanente con diputados</w:t>
      </w:r>
      <w:r>
        <w:rPr>
          <w:rFonts w:ascii="Abadi" w:hAnsi="Abadi"/>
          <w:sz w:val="21"/>
          <w:szCs w:val="21"/>
        </w:rPr>
        <w:t xml:space="preserve"> a e</w:t>
      </w:r>
      <w:r w:rsidRPr="0021199F">
        <w:rPr>
          <w:rFonts w:ascii="Abadi" w:hAnsi="Abadi"/>
          <w:sz w:val="21"/>
          <w:szCs w:val="21"/>
        </w:rPr>
        <w:t>fecto de analizar la información</w:t>
      </w:r>
      <w:r>
        <w:rPr>
          <w:rFonts w:ascii="Abadi" w:hAnsi="Abadi"/>
          <w:sz w:val="21"/>
          <w:szCs w:val="21"/>
        </w:rPr>
        <w:t>;</w:t>
      </w:r>
      <w:r w:rsidRPr="0021199F">
        <w:rPr>
          <w:rFonts w:ascii="Abadi" w:hAnsi="Abadi"/>
          <w:sz w:val="21"/>
          <w:szCs w:val="21"/>
        </w:rPr>
        <w:t xml:space="preserve"> la Comisión solicitar</w:t>
      </w:r>
      <w:r>
        <w:rPr>
          <w:rFonts w:ascii="Abadi" w:hAnsi="Abadi"/>
          <w:sz w:val="21"/>
          <w:szCs w:val="21"/>
        </w:rPr>
        <w:t>á</w:t>
      </w:r>
      <w:r w:rsidRPr="0021199F">
        <w:rPr>
          <w:rFonts w:ascii="Abadi" w:hAnsi="Abadi"/>
          <w:sz w:val="21"/>
          <w:szCs w:val="21"/>
        </w:rPr>
        <w:t xml:space="preserve"> a la secretaria técnica el dictamen</w:t>
      </w:r>
      <w:r>
        <w:rPr>
          <w:rFonts w:ascii="Abadi" w:hAnsi="Abadi"/>
          <w:sz w:val="21"/>
          <w:szCs w:val="21"/>
        </w:rPr>
        <w:t>;</w:t>
      </w:r>
      <w:r w:rsidRPr="0021199F">
        <w:rPr>
          <w:rFonts w:ascii="Abadi" w:hAnsi="Abadi"/>
          <w:sz w:val="21"/>
          <w:szCs w:val="21"/>
        </w:rPr>
        <w:t xml:space="preserve"> </w:t>
      </w:r>
      <w:r>
        <w:rPr>
          <w:rFonts w:ascii="Abadi" w:hAnsi="Abadi"/>
          <w:sz w:val="21"/>
          <w:szCs w:val="21"/>
        </w:rPr>
        <w:t>l</w:t>
      </w:r>
      <w:r w:rsidRPr="0021199F">
        <w:rPr>
          <w:rFonts w:ascii="Abadi" w:hAnsi="Abadi"/>
          <w:sz w:val="21"/>
          <w:szCs w:val="21"/>
        </w:rPr>
        <w:t>a cuarto la secretaría técnica, el quinto reunión de comisión</w:t>
      </w:r>
      <w:r>
        <w:rPr>
          <w:rFonts w:ascii="Abadi" w:hAnsi="Abadi"/>
          <w:sz w:val="21"/>
          <w:szCs w:val="21"/>
        </w:rPr>
        <w:t xml:space="preserve"> p</w:t>
      </w:r>
      <w:r w:rsidRPr="0021199F">
        <w:rPr>
          <w:rFonts w:ascii="Abadi" w:hAnsi="Abadi"/>
          <w:sz w:val="21"/>
          <w:szCs w:val="21"/>
        </w:rPr>
        <w:t>ara probar el dictamen</w:t>
      </w:r>
      <w:r>
        <w:rPr>
          <w:rFonts w:ascii="Abadi" w:hAnsi="Abadi"/>
          <w:sz w:val="21"/>
          <w:szCs w:val="21"/>
        </w:rPr>
        <w:t>.</w:t>
      </w:r>
      <w:r w:rsidRPr="0021199F">
        <w:rPr>
          <w:rFonts w:ascii="Abadi" w:hAnsi="Abadi"/>
          <w:sz w:val="21"/>
          <w:szCs w:val="21"/>
        </w:rPr>
        <w:t xml:space="preserve"> </w:t>
      </w:r>
      <w:r>
        <w:rPr>
          <w:rFonts w:ascii="Abadi" w:hAnsi="Abadi"/>
          <w:sz w:val="21"/>
          <w:szCs w:val="21"/>
        </w:rPr>
        <w:t>Q</w:t>
      </w:r>
      <w:r w:rsidRPr="0021199F">
        <w:rPr>
          <w:rFonts w:ascii="Abadi" w:hAnsi="Abadi"/>
          <w:sz w:val="21"/>
          <w:szCs w:val="21"/>
        </w:rPr>
        <w:t xml:space="preserve">uiero llamar la atención </w:t>
      </w:r>
      <w:r>
        <w:rPr>
          <w:rFonts w:ascii="Abadi" w:hAnsi="Abadi"/>
          <w:sz w:val="21"/>
          <w:szCs w:val="21"/>
        </w:rPr>
        <w:t>s</w:t>
      </w:r>
      <w:r w:rsidRPr="0021199F">
        <w:rPr>
          <w:rFonts w:ascii="Abadi" w:hAnsi="Abadi"/>
          <w:sz w:val="21"/>
          <w:szCs w:val="21"/>
        </w:rPr>
        <w:t>obre el punto dos dice</w:t>
      </w:r>
      <w:r>
        <w:rPr>
          <w:rFonts w:ascii="Abadi" w:hAnsi="Abadi"/>
          <w:sz w:val="21"/>
          <w:szCs w:val="21"/>
        </w:rPr>
        <w:t>,</w:t>
      </w:r>
      <w:r w:rsidRPr="0021199F">
        <w:rPr>
          <w:rFonts w:ascii="Abadi" w:hAnsi="Abadi"/>
          <w:sz w:val="21"/>
          <w:szCs w:val="21"/>
        </w:rPr>
        <w:t xml:space="preserve"> analizar la información</w:t>
      </w:r>
      <w:r>
        <w:rPr>
          <w:rFonts w:ascii="Abadi" w:hAnsi="Abadi"/>
          <w:sz w:val="21"/>
          <w:szCs w:val="21"/>
        </w:rPr>
        <w:t>,</w:t>
      </w:r>
      <w:r w:rsidRPr="0021199F">
        <w:rPr>
          <w:rFonts w:ascii="Abadi" w:hAnsi="Abadi"/>
          <w:sz w:val="21"/>
          <w:szCs w:val="21"/>
        </w:rPr>
        <w:t xml:space="preserve"> y la Comisión no analizó la información. Copi</w:t>
      </w:r>
      <w:r>
        <w:rPr>
          <w:rFonts w:ascii="Abadi" w:hAnsi="Abadi"/>
          <w:sz w:val="21"/>
          <w:szCs w:val="21"/>
        </w:rPr>
        <w:t>ó</w:t>
      </w:r>
      <w:r w:rsidRPr="0021199F">
        <w:rPr>
          <w:rFonts w:ascii="Abadi" w:hAnsi="Abadi"/>
          <w:sz w:val="21"/>
          <w:szCs w:val="21"/>
        </w:rPr>
        <w:t xml:space="preserve"> y peg</w:t>
      </w:r>
      <w:r>
        <w:rPr>
          <w:rFonts w:ascii="Abadi" w:hAnsi="Abadi"/>
          <w:sz w:val="21"/>
          <w:szCs w:val="21"/>
        </w:rPr>
        <w:t>ó</w:t>
      </w:r>
      <w:r w:rsidRPr="0021199F">
        <w:rPr>
          <w:rFonts w:ascii="Abadi" w:hAnsi="Abadi"/>
          <w:sz w:val="21"/>
          <w:szCs w:val="21"/>
        </w:rPr>
        <w:t>, copi</w:t>
      </w:r>
      <w:r>
        <w:rPr>
          <w:rFonts w:ascii="Abadi" w:hAnsi="Abadi"/>
          <w:sz w:val="21"/>
          <w:szCs w:val="21"/>
        </w:rPr>
        <w:t>ó</w:t>
      </w:r>
      <w:r w:rsidRPr="0021199F">
        <w:rPr>
          <w:rFonts w:ascii="Abadi" w:hAnsi="Abadi"/>
          <w:sz w:val="21"/>
          <w:szCs w:val="21"/>
        </w:rPr>
        <w:t xml:space="preserve"> y peg</w:t>
      </w:r>
      <w:r>
        <w:rPr>
          <w:rFonts w:ascii="Abadi" w:hAnsi="Abadi"/>
          <w:sz w:val="21"/>
          <w:szCs w:val="21"/>
        </w:rPr>
        <w:t>ó,</w:t>
      </w:r>
      <w:r w:rsidRPr="0021199F">
        <w:rPr>
          <w:rFonts w:ascii="Abadi" w:hAnsi="Abadi"/>
          <w:sz w:val="21"/>
          <w:szCs w:val="21"/>
        </w:rPr>
        <w:t xml:space="preserve"> lo que venía de </w:t>
      </w:r>
      <w:r>
        <w:rPr>
          <w:rFonts w:ascii="Abadi" w:hAnsi="Abadi"/>
          <w:sz w:val="21"/>
          <w:szCs w:val="21"/>
        </w:rPr>
        <w:t>SAPAL</w:t>
      </w:r>
      <w:r w:rsidRPr="0021199F">
        <w:rPr>
          <w:rFonts w:ascii="Abadi" w:hAnsi="Abadi"/>
          <w:sz w:val="21"/>
          <w:szCs w:val="21"/>
        </w:rPr>
        <w:t xml:space="preserve">. </w:t>
      </w:r>
    </w:p>
    <w:p w14:paraId="1949924C"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No desglosó, no critic</w:t>
      </w:r>
      <w:r>
        <w:rPr>
          <w:rFonts w:ascii="Abadi" w:hAnsi="Abadi"/>
          <w:sz w:val="21"/>
          <w:szCs w:val="21"/>
        </w:rPr>
        <w:t>ó</w:t>
      </w:r>
      <w:r w:rsidRPr="0021199F">
        <w:rPr>
          <w:rFonts w:ascii="Abadi" w:hAnsi="Abadi"/>
          <w:sz w:val="21"/>
          <w:szCs w:val="21"/>
        </w:rPr>
        <w:t>, no aport</w:t>
      </w:r>
      <w:r>
        <w:rPr>
          <w:rFonts w:ascii="Abadi" w:hAnsi="Abadi"/>
          <w:sz w:val="21"/>
          <w:szCs w:val="21"/>
        </w:rPr>
        <w:t>ó</w:t>
      </w:r>
      <w:r w:rsidRPr="0021199F">
        <w:rPr>
          <w:rFonts w:ascii="Abadi" w:hAnsi="Abadi"/>
          <w:sz w:val="21"/>
          <w:szCs w:val="21"/>
        </w:rPr>
        <w:t xml:space="preserve"> información, sino simplemente aceptó a críticamente lo que </w:t>
      </w:r>
      <w:r>
        <w:rPr>
          <w:rFonts w:ascii="Abadi" w:hAnsi="Abadi"/>
          <w:sz w:val="21"/>
          <w:szCs w:val="21"/>
        </w:rPr>
        <w:t>SAPAL</w:t>
      </w:r>
      <w:r w:rsidRPr="0021199F">
        <w:rPr>
          <w:rFonts w:ascii="Abadi" w:hAnsi="Abadi"/>
          <w:sz w:val="21"/>
          <w:szCs w:val="21"/>
        </w:rPr>
        <w:t xml:space="preserve"> le informaban. En este sentido, se act</w:t>
      </w:r>
      <w:r>
        <w:rPr>
          <w:rFonts w:ascii="Abadi" w:hAnsi="Abadi"/>
          <w:sz w:val="21"/>
          <w:szCs w:val="21"/>
        </w:rPr>
        <w:t>uó</w:t>
      </w:r>
      <w:r w:rsidRPr="0021199F">
        <w:rPr>
          <w:rFonts w:ascii="Abadi" w:hAnsi="Abadi"/>
          <w:sz w:val="21"/>
          <w:szCs w:val="21"/>
        </w:rPr>
        <w:t xml:space="preserve"> como oficial</w:t>
      </w:r>
      <w:r>
        <w:rPr>
          <w:rFonts w:ascii="Abadi" w:hAnsi="Abadi"/>
          <w:sz w:val="21"/>
          <w:szCs w:val="21"/>
        </w:rPr>
        <w:t>ía</w:t>
      </w:r>
      <w:r w:rsidRPr="0021199F">
        <w:rPr>
          <w:rFonts w:ascii="Abadi" w:hAnsi="Abadi"/>
          <w:sz w:val="21"/>
          <w:szCs w:val="21"/>
        </w:rPr>
        <w:t xml:space="preserve"> de partes, no como comisión del Congreso, que tiene una función de contrapeso con respecto al Ejecutivo. Si hubiera analizado la información, hubiese dialogado con las víctimas. Y no considero</w:t>
      </w:r>
      <w:r>
        <w:rPr>
          <w:rFonts w:ascii="Abadi" w:hAnsi="Abadi"/>
          <w:sz w:val="21"/>
          <w:szCs w:val="21"/>
        </w:rPr>
        <w:t>,</w:t>
      </w:r>
      <w:r w:rsidRPr="0021199F">
        <w:rPr>
          <w:rFonts w:ascii="Abadi" w:hAnsi="Abadi"/>
          <w:sz w:val="21"/>
          <w:szCs w:val="21"/>
        </w:rPr>
        <w:t xml:space="preserve"> no consideró a los principales, a las principales afectadas en este grave accidente ocurrido en SAP</w:t>
      </w:r>
      <w:r>
        <w:rPr>
          <w:rFonts w:ascii="Abadi" w:hAnsi="Abadi"/>
          <w:sz w:val="21"/>
          <w:szCs w:val="21"/>
        </w:rPr>
        <w:t>AL</w:t>
      </w:r>
      <w:r w:rsidRPr="0021199F">
        <w:rPr>
          <w:rFonts w:ascii="Abadi" w:hAnsi="Abadi"/>
          <w:sz w:val="21"/>
          <w:szCs w:val="21"/>
        </w:rPr>
        <w:t xml:space="preserve"> donde perdieron la vida cinco personas. Si hubiera analizado la información, se hubiera dado cuenta que hay dos pendientes todavía. El primero es becas para bebes d</w:t>
      </w:r>
      <w:r>
        <w:rPr>
          <w:rFonts w:ascii="Abadi" w:hAnsi="Abadi"/>
          <w:sz w:val="21"/>
          <w:szCs w:val="21"/>
        </w:rPr>
        <w:t>e</w:t>
      </w:r>
      <w:r w:rsidRPr="0021199F">
        <w:rPr>
          <w:rFonts w:ascii="Abadi" w:hAnsi="Abadi"/>
          <w:sz w:val="21"/>
          <w:szCs w:val="21"/>
        </w:rPr>
        <w:t xml:space="preserve"> dos</w:t>
      </w:r>
      <w:r>
        <w:rPr>
          <w:rFonts w:ascii="Abadi" w:hAnsi="Abadi"/>
          <w:sz w:val="21"/>
          <w:szCs w:val="21"/>
        </w:rPr>
        <w:t xml:space="preserve"> de las</w:t>
      </w:r>
      <w:r w:rsidRPr="0021199F">
        <w:rPr>
          <w:rFonts w:ascii="Abadi" w:hAnsi="Abadi"/>
          <w:sz w:val="21"/>
          <w:szCs w:val="21"/>
        </w:rPr>
        <w:t xml:space="preserve"> familias que todavía la presidencia municipal tiene que dictaminar que se les va a atender en unos ocho diez años, que es cuando los bebés tengan e</w:t>
      </w:r>
      <w:r>
        <w:rPr>
          <w:rFonts w:ascii="Abadi" w:hAnsi="Abadi"/>
          <w:sz w:val="21"/>
          <w:szCs w:val="21"/>
        </w:rPr>
        <w:t>d</w:t>
      </w:r>
      <w:r w:rsidRPr="0021199F">
        <w:rPr>
          <w:rFonts w:ascii="Abadi" w:hAnsi="Abadi"/>
          <w:sz w:val="21"/>
          <w:szCs w:val="21"/>
        </w:rPr>
        <w:t>a</w:t>
      </w:r>
      <w:r>
        <w:rPr>
          <w:rFonts w:ascii="Abadi" w:hAnsi="Abadi"/>
          <w:sz w:val="21"/>
          <w:szCs w:val="21"/>
        </w:rPr>
        <w:t>d</w:t>
      </w:r>
      <w:r w:rsidRPr="0021199F">
        <w:rPr>
          <w:rFonts w:ascii="Abadi" w:hAnsi="Abadi"/>
          <w:sz w:val="21"/>
          <w:szCs w:val="21"/>
        </w:rPr>
        <w:t xml:space="preserve"> para ir a la escuela</w:t>
      </w:r>
      <w:r>
        <w:rPr>
          <w:rFonts w:ascii="Abadi" w:hAnsi="Abadi"/>
          <w:sz w:val="21"/>
          <w:szCs w:val="21"/>
        </w:rPr>
        <w:t>.</w:t>
      </w:r>
      <w:r w:rsidRPr="0021199F">
        <w:rPr>
          <w:rFonts w:ascii="Abadi" w:hAnsi="Abadi"/>
          <w:sz w:val="21"/>
          <w:szCs w:val="21"/>
        </w:rPr>
        <w:t xml:space="preserve"> </w:t>
      </w:r>
      <w:r>
        <w:rPr>
          <w:rFonts w:ascii="Abadi" w:hAnsi="Abadi"/>
          <w:sz w:val="21"/>
          <w:szCs w:val="21"/>
        </w:rPr>
        <w:t>N</w:t>
      </w:r>
      <w:r w:rsidRPr="0021199F">
        <w:rPr>
          <w:rFonts w:ascii="Abadi" w:hAnsi="Abadi"/>
          <w:sz w:val="21"/>
          <w:szCs w:val="21"/>
        </w:rPr>
        <w:t>o se ha dictaminado por parte de la presidencia municipal y también si hubieran analizado la información se hubieran dado cuenta que</w:t>
      </w:r>
      <w:r>
        <w:rPr>
          <w:rFonts w:ascii="Abadi" w:hAnsi="Abadi"/>
          <w:sz w:val="21"/>
          <w:szCs w:val="21"/>
        </w:rPr>
        <w:t xml:space="preserve"> leo</w:t>
      </w:r>
      <w:r w:rsidRPr="0021199F">
        <w:rPr>
          <w:rFonts w:ascii="Abadi" w:hAnsi="Abadi"/>
          <w:sz w:val="21"/>
          <w:szCs w:val="21"/>
        </w:rPr>
        <w:t xml:space="preserve"> el dictamen con título, </w:t>
      </w:r>
      <w:r>
        <w:rPr>
          <w:rFonts w:ascii="Abadi" w:hAnsi="Abadi"/>
          <w:sz w:val="21"/>
          <w:szCs w:val="21"/>
        </w:rPr>
        <w:t>“</w:t>
      </w:r>
      <w:r w:rsidRPr="0021199F">
        <w:rPr>
          <w:rFonts w:ascii="Abadi" w:hAnsi="Abadi"/>
          <w:sz w:val="21"/>
          <w:szCs w:val="21"/>
        </w:rPr>
        <w:t>condolencias y apoyo</w:t>
      </w:r>
      <w:r>
        <w:rPr>
          <w:rFonts w:ascii="Abadi" w:hAnsi="Abadi"/>
          <w:sz w:val="21"/>
          <w:szCs w:val="21"/>
        </w:rPr>
        <w:t>”</w:t>
      </w:r>
      <w:r w:rsidRPr="0021199F">
        <w:rPr>
          <w:rFonts w:ascii="Abadi" w:hAnsi="Abadi"/>
          <w:sz w:val="21"/>
          <w:szCs w:val="21"/>
        </w:rPr>
        <w:t xml:space="preserve">. A ver, es distinto </w:t>
      </w:r>
      <w:r>
        <w:rPr>
          <w:rFonts w:ascii="Abadi" w:hAnsi="Abadi"/>
          <w:sz w:val="21"/>
          <w:szCs w:val="21"/>
        </w:rPr>
        <w:t>condolecerse,</w:t>
      </w:r>
      <w:r w:rsidRPr="0021199F">
        <w:rPr>
          <w:rFonts w:ascii="Abadi" w:hAnsi="Abadi"/>
          <w:sz w:val="21"/>
          <w:szCs w:val="21"/>
        </w:rPr>
        <w:t xml:space="preserve"> c</w:t>
      </w:r>
      <w:r>
        <w:rPr>
          <w:rFonts w:ascii="Abadi" w:hAnsi="Abadi"/>
          <w:sz w:val="21"/>
          <w:szCs w:val="21"/>
        </w:rPr>
        <w:t>o</w:t>
      </w:r>
      <w:r w:rsidRPr="0021199F">
        <w:rPr>
          <w:rFonts w:ascii="Abadi" w:hAnsi="Abadi"/>
          <w:sz w:val="21"/>
          <w:szCs w:val="21"/>
        </w:rPr>
        <w:t>ndole</w:t>
      </w:r>
      <w:r>
        <w:rPr>
          <w:rFonts w:ascii="Abadi" w:hAnsi="Abadi"/>
          <w:sz w:val="21"/>
          <w:szCs w:val="21"/>
        </w:rPr>
        <w:t>c</w:t>
      </w:r>
      <w:r w:rsidRPr="0021199F">
        <w:rPr>
          <w:rFonts w:ascii="Abadi" w:hAnsi="Abadi"/>
          <w:sz w:val="21"/>
          <w:szCs w:val="21"/>
        </w:rPr>
        <w:t>er, quiere decir ir con el dolor.</w:t>
      </w:r>
      <w:r>
        <w:rPr>
          <w:rFonts w:ascii="Abadi" w:hAnsi="Abadi"/>
          <w:sz w:val="21"/>
          <w:szCs w:val="21"/>
        </w:rPr>
        <w:t xml:space="preserve"> ¡N</w:t>
      </w:r>
      <w:r w:rsidRPr="0021199F">
        <w:rPr>
          <w:rFonts w:ascii="Abadi" w:hAnsi="Abadi"/>
          <w:sz w:val="21"/>
          <w:szCs w:val="21"/>
        </w:rPr>
        <w:t>o</w:t>
      </w:r>
      <w:r>
        <w:rPr>
          <w:rFonts w:ascii="Abadi" w:hAnsi="Abadi"/>
          <w:sz w:val="21"/>
          <w:szCs w:val="21"/>
        </w:rPr>
        <w:t>!</w:t>
      </w:r>
      <w:r w:rsidRPr="0021199F">
        <w:rPr>
          <w:rFonts w:ascii="Abadi" w:hAnsi="Abadi"/>
          <w:sz w:val="21"/>
          <w:szCs w:val="21"/>
        </w:rPr>
        <w:t xml:space="preserve"> distinto a petición pública de disculpas</w:t>
      </w:r>
      <w:r>
        <w:rPr>
          <w:rFonts w:ascii="Abadi" w:hAnsi="Abadi"/>
          <w:sz w:val="21"/>
          <w:szCs w:val="21"/>
        </w:rPr>
        <w:t>, e</w:t>
      </w:r>
      <w:r w:rsidRPr="0021199F">
        <w:rPr>
          <w:rFonts w:ascii="Abadi" w:hAnsi="Abadi"/>
          <w:sz w:val="21"/>
          <w:szCs w:val="21"/>
        </w:rPr>
        <w:t>s una tarea fundamental en la visión de derechos humanos que quién se viola</w:t>
      </w:r>
      <w:r>
        <w:rPr>
          <w:rFonts w:ascii="Abadi" w:hAnsi="Abadi"/>
          <w:sz w:val="21"/>
          <w:szCs w:val="21"/>
        </w:rPr>
        <w:t>,</w:t>
      </w:r>
      <w:r w:rsidRPr="0021199F">
        <w:rPr>
          <w:rFonts w:ascii="Abadi" w:hAnsi="Abadi"/>
          <w:sz w:val="21"/>
          <w:szCs w:val="21"/>
        </w:rPr>
        <w:t xml:space="preserve"> Que</w:t>
      </w:r>
      <w:r>
        <w:rPr>
          <w:rFonts w:ascii="Abadi" w:hAnsi="Abadi"/>
          <w:sz w:val="21"/>
          <w:szCs w:val="21"/>
        </w:rPr>
        <w:t>, q</w:t>
      </w:r>
      <w:r w:rsidRPr="0021199F">
        <w:rPr>
          <w:rFonts w:ascii="Abadi" w:hAnsi="Abadi"/>
          <w:sz w:val="21"/>
          <w:szCs w:val="21"/>
        </w:rPr>
        <w:t>ui</w:t>
      </w:r>
      <w:r>
        <w:rPr>
          <w:rFonts w:ascii="Abadi" w:hAnsi="Abadi"/>
          <w:sz w:val="21"/>
          <w:szCs w:val="21"/>
        </w:rPr>
        <w:t>e</w:t>
      </w:r>
      <w:r w:rsidRPr="0021199F">
        <w:rPr>
          <w:rFonts w:ascii="Abadi" w:hAnsi="Abadi"/>
          <w:sz w:val="21"/>
          <w:szCs w:val="21"/>
        </w:rPr>
        <w:t>n viol</w:t>
      </w:r>
      <w:r>
        <w:rPr>
          <w:rFonts w:ascii="Abadi" w:hAnsi="Abadi"/>
          <w:sz w:val="21"/>
          <w:szCs w:val="21"/>
        </w:rPr>
        <w:t>a</w:t>
      </w:r>
      <w:r w:rsidRPr="0021199F">
        <w:rPr>
          <w:rFonts w:ascii="Abadi" w:hAnsi="Abadi"/>
          <w:sz w:val="21"/>
          <w:szCs w:val="21"/>
        </w:rPr>
        <w:t xml:space="preserve"> los derechos humanos, la institución que viola los derechos humanos</w:t>
      </w:r>
      <w:r>
        <w:rPr>
          <w:rFonts w:ascii="Abadi" w:hAnsi="Abadi"/>
          <w:sz w:val="21"/>
          <w:szCs w:val="21"/>
        </w:rPr>
        <w:t xml:space="preserve"> pida</w:t>
      </w:r>
      <w:r w:rsidRPr="0021199F">
        <w:rPr>
          <w:rFonts w:ascii="Abadi" w:hAnsi="Abadi"/>
          <w:sz w:val="21"/>
          <w:szCs w:val="21"/>
        </w:rPr>
        <w:t xml:space="preserve"> disculpas públicas y se ha llegado el extremo de que el actual presidente de </w:t>
      </w:r>
      <w:r>
        <w:rPr>
          <w:rFonts w:ascii="Abadi" w:hAnsi="Abadi"/>
          <w:sz w:val="21"/>
          <w:szCs w:val="21"/>
        </w:rPr>
        <w:t>SAPAL</w:t>
      </w:r>
      <w:r w:rsidRPr="0021199F">
        <w:rPr>
          <w:rFonts w:ascii="Abadi" w:hAnsi="Abadi"/>
          <w:sz w:val="21"/>
          <w:szCs w:val="21"/>
        </w:rPr>
        <w:t xml:space="preserve">, dice que no </w:t>
      </w:r>
      <w:r>
        <w:rPr>
          <w:rFonts w:ascii="Abadi" w:hAnsi="Abadi"/>
          <w:sz w:val="21"/>
          <w:szCs w:val="21"/>
        </w:rPr>
        <w:t>va a pedir</w:t>
      </w:r>
      <w:r w:rsidRPr="0021199F">
        <w:rPr>
          <w:rFonts w:ascii="Abadi" w:hAnsi="Abadi"/>
          <w:sz w:val="21"/>
          <w:szCs w:val="21"/>
        </w:rPr>
        <w:t xml:space="preserve"> disculpas porque no le tocó, que </w:t>
      </w:r>
      <w:r>
        <w:rPr>
          <w:rFonts w:ascii="Abadi" w:hAnsi="Abadi"/>
          <w:sz w:val="21"/>
          <w:szCs w:val="21"/>
        </w:rPr>
        <w:t>él n</w:t>
      </w:r>
      <w:r w:rsidRPr="0021199F">
        <w:rPr>
          <w:rFonts w:ascii="Abadi" w:hAnsi="Abadi"/>
          <w:sz w:val="21"/>
          <w:szCs w:val="21"/>
        </w:rPr>
        <w:t>o h</w:t>
      </w:r>
      <w:r>
        <w:rPr>
          <w:rFonts w:ascii="Abadi" w:hAnsi="Abadi"/>
          <w:sz w:val="21"/>
          <w:szCs w:val="21"/>
        </w:rPr>
        <w:t>a</w:t>
      </w:r>
      <w:r w:rsidRPr="0021199F">
        <w:rPr>
          <w:rFonts w:ascii="Abadi" w:hAnsi="Abadi"/>
          <w:sz w:val="21"/>
          <w:szCs w:val="21"/>
        </w:rPr>
        <w:t xml:space="preserve"> hecho nada. </w:t>
      </w:r>
    </w:p>
    <w:p w14:paraId="367E28E1" w14:textId="77777777" w:rsidR="0013564D" w:rsidRDefault="0013564D" w:rsidP="0013564D">
      <w:pPr>
        <w:pStyle w:val="NormalWeb"/>
        <w:jc w:val="both"/>
        <w:rPr>
          <w:rFonts w:ascii="Abadi" w:hAnsi="Abadi"/>
          <w:sz w:val="21"/>
          <w:szCs w:val="21"/>
        </w:rPr>
      </w:pPr>
      <w:r>
        <w:rPr>
          <w:rFonts w:ascii="Abadi" w:hAnsi="Abadi"/>
          <w:sz w:val="21"/>
          <w:szCs w:val="21"/>
        </w:rPr>
        <w:t>- Es una ignorancia</w:t>
      </w:r>
      <w:r w:rsidRPr="0021199F">
        <w:rPr>
          <w:rFonts w:ascii="Abadi" w:hAnsi="Abadi"/>
          <w:sz w:val="21"/>
          <w:szCs w:val="21"/>
        </w:rPr>
        <w:t xml:space="preserve"> tremenda con respecto el planteamiento de la visión de derechos humanos que está </w:t>
      </w:r>
      <w:r>
        <w:rPr>
          <w:rFonts w:ascii="Abadi" w:hAnsi="Abadi"/>
          <w:sz w:val="21"/>
          <w:szCs w:val="21"/>
        </w:rPr>
        <w:t>a</w:t>
      </w:r>
      <w:r w:rsidRPr="0021199F">
        <w:rPr>
          <w:rFonts w:ascii="Abadi" w:hAnsi="Abadi"/>
          <w:sz w:val="21"/>
          <w:szCs w:val="21"/>
        </w:rPr>
        <w:t xml:space="preserve">sentado en la Constitución y que todo funcionario </w:t>
      </w:r>
      <w:r>
        <w:rPr>
          <w:rFonts w:ascii="Abadi" w:hAnsi="Abadi"/>
          <w:sz w:val="21"/>
          <w:szCs w:val="21"/>
        </w:rPr>
        <w:t xml:space="preserve">de la </w:t>
      </w:r>
      <w:r w:rsidRPr="0021199F">
        <w:rPr>
          <w:rFonts w:ascii="Abadi" w:hAnsi="Abadi"/>
          <w:sz w:val="21"/>
          <w:szCs w:val="21"/>
        </w:rPr>
        <w:t>fun</w:t>
      </w:r>
      <w:r>
        <w:rPr>
          <w:rFonts w:ascii="Abadi" w:hAnsi="Abadi"/>
          <w:sz w:val="21"/>
          <w:szCs w:val="21"/>
        </w:rPr>
        <w:t xml:space="preserve">cionaria </w:t>
      </w:r>
      <w:r w:rsidRPr="0021199F">
        <w:rPr>
          <w:rFonts w:ascii="Abadi" w:hAnsi="Abadi"/>
          <w:sz w:val="21"/>
          <w:szCs w:val="21"/>
        </w:rPr>
        <w:t>públic</w:t>
      </w:r>
      <w:r>
        <w:rPr>
          <w:rFonts w:ascii="Abadi" w:hAnsi="Abadi"/>
          <w:sz w:val="21"/>
          <w:szCs w:val="21"/>
        </w:rPr>
        <w:t>a</w:t>
      </w:r>
      <w:r w:rsidRPr="0021199F">
        <w:rPr>
          <w:rFonts w:ascii="Abadi" w:hAnsi="Abadi"/>
          <w:sz w:val="21"/>
          <w:szCs w:val="21"/>
        </w:rPr>
        <w:t>, debemos de respetar, no se</w:t>
      </w:r>
      <w:r>
        <w:rPr>
          <w:rFonts w:ascii="Abadi" w:hAnsi="Abadi"/>
          <w:sz w:val="21"/>
          <w:szCs w:val="21"/>
        </w:rPr>
        <w:t xml:space="preserve"> h</w:t>
      </w:r>
      <w:r w:rsidRPr="0021199F">
        <w:rPr>
          <w:rFonts w:ascii="Abadi" w:hAnsi="Abadi"/>
          <w:sz w:val="21"/>
          <w:szCs w:val="21"/>
        </w:rPr>
        <w:t>an pedido disculpas. Yo subía a la tribuna para agradecer que la presidencia municipal hubiese dado condolencias</w:t>
      </w:r>
      <w:r>
        <w:rPr>
          <w:rFonts w:ascii="Abadi" w:hAnsi="Abadi"/>
          <w:sz w:val="21"/>
          <w:szCs w:val="21"/>
        </w:rPr>
        <w:t>,</w:t>
      </w:r>
      <w:r w:rsidRPr="0021199F">
        <w:rPr>
          <w:rFonts w:ascii="Abadi" w:hAnsi="Abadi"/>
          <w:sz w:val="21"/>
          <w:szCs w:val="21"/>
        </w:rPr>
        <w:t xml:space="preserve"> </w:t>
      </w:r>
      <w:r>
        <w:rPr>
          <w:rFonts w:ascii="Abadi" w:hAnsi="Abadi"/>
          <w:sz w:val="21"/>
          <w:szCs w:val="21"/>
        </w:rPr>
        <w:t>l</w:t>
      </w:r>
      <w:r w:rsidRPr="0021199F">
        <w:rPr>
          <w:rFonts w:ascii="Abadi" w:hAnsi="Abadi"/>
          <w:sz w:val="21"/>
          <w:szCs w:val="21"/>
        </w:rPr>
        <w:t>o di</w:t>
      </w:r>
      <w:r>
        <w:rPr>
          <w:rFonts w:ascii="Abadi" w:hAnsi="Abadi"/>
          <w:sz w:val="21"/>
          <w:szCs w:val="21"/>
        </w:rPr>
        <w:t>j</w:t>
      </w:r>
      <w:r w:rsidRPr="0021199F">
        <w:rPr>
          <w:rFonts w:ascii="Abadi" w:hAnsi="Abadi"/>
          <w:sz w:val="21"/>
          <w:szCs w:val="21"/>
        </w:rPr>
        <w:t>e aquí</w:t>
      </w:r>
      <w:r>
        <w:rPr>
          <w:rFonts w:ascii="Abadi" w:hAnsi="Abadi"/>
          <w:sz w:val="21"/>
          <w:szCs w:val="21"/>
        </w:rPr>
        <w:t>.</w:t>
      </w:r>
      <w:r w:rsidRPr="0021199F">
        <w:rPr>
          <w:rFonts w:ascii="Abadi" w:hAnsi="Abadi"/>
          <w:sz w:val="21"/>
          <w:szCs w:val="21"/>
        </w:rPr>
        <w:t xml:space="preserve"> </w:t>
      </w:r>
      <w:r>
        <w:rPr>
          <w:rFonts w:ascii="Abadi" w:hAnsi="Abadi"/>
          <w:sz w:val="21"/>
          <w:szCs w:val="21"/>
        </w:rPr>
        <w:t>L</w:t>
      </w:r>
      <w:r w:rsidRPr="0021199F">
        <w:rPr>
          <w:rFonts w:ascii="Abadi" w:hAnsi="Abadi"/>
          <w:sz w:val="21"/>
          <w:szCs w:val="21"/>
        </w:rPr>
        <w:t xml:space="preserve">o </w:t>
      </w:r>
      <w:r>
        <w:rPr>
          <w:rFonts w:ascii="Abadi" w:hAnsi="Abadi"/>
          <w:sz w:val="21"/>
          <w:szCs w:val="21"/>
        </w:rPr>
        <w:t>sos</w:t>
      </w:r>
      <w:r w:rsidRPr="0021199F">
        <w:rPr>
          <w:rFonts w:ascii="Abadi" w:hAnsi="Abadi"/>
          <w:sz w:val="21"/>
          <w:szCs w:val="21"/>
        </w:rPr>
        <w:t xml:space="preserve">tengo con el cual se destapó, pues este este asunto se empezó a dar solución. Entonces no analizó la información a la Comisión. </w:t>
      </w:r>
    </w:p>
    <w:p w14:paraId="20F30D37"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Segunda razón</w:t>
      </w:r>
      <w:r>
        <w:rPr>
          <w:rFonts w:ascii="Abadi" w:hAnsi="Abadi"/>
          <w:sz w:val="21"/>
          <w:szCs w:val="21"/>
        </w:rPr>
        <w:t>,</w:t>
      </w:r>
      <w:r w:rsidRPr="0021199F">
        <w:rPr>
          <w:rFonts w:ascii="Abadi" w:hAnsi="Abadi"/>
          <w:sz w:val="21"/>
          <w:szCs w:val="21"/>
        </w:rPr>
        <w:t xml:space="preserve"> esta segunda </w:t>
      </w:r>
      <w:r>
        <w:rPr>
          <w:rFonts w:ascii="Abadi" w:hAnsi="Abadi"/>
          <w:sz w:val="21"/>
          <w:szCs w:val="21"/>
        </w:rPr>
        <w:t>razón</w:t>
      </w:r>
      <w:r w:rsidRPr="0021199F">
        <w:rPr>
          <w:rFonts w:ascii="Abadi" w:hAnsi="Abadi"/>
          <w:sz w:val="21"/>
          <w:szCs w:val="21"/>
        </w:rPr>
        <w:t xml:space="preserve"> no tiene desperdicio </w:t>
      </w:r>
      <w:r>
        <w:rPr>
          <w:rFonts w:ascii="Abadi" w:hAnsi="Abadi"/>
          <w:sz w:val="21"/>
          <w:szCs w:val="21"/>
        </w:rPr>
        <w:t>¿P</w:t>
      </w:r>
      <w:r w:rsidRPr="0021199F">
        <w:rPr>
          <w:rFonts w:ascii="Abadi" w:hAnsi="Abadi"/>
          <w:sz w:val="21"/>
          <w:szCs w:val="21"/>
        </w:rPr>
        <w:t>or</w:t>
      </w:r>
      <w:r>
        <w:rPr>
          <w:rFonts w:ascii="Abadi" w:hAnsi="Abadi"/>
          <w:sz w:val="21"/>
          <w:szCs w:val="21"/>
        </w:rPr>
        <w:t xml:space="preserve"> </w:t>
      </w:r>
      <w:r w:rsidRPr="0021199F">
        <w:rPr>
          <w:rFonts w:ascii="Abadi" w:hAnsi="Abadi"/>
          <w:sz w:val="21"/>
          <w:szCs w:val="21"/>
        </w:rPr>
        <w:t>qu</w:t>
      </w:r>
      <w:r>
        <w:rPr>
          <w:rFonts w:ascii="Abadi" w:hAnsi="Abadi"/>
          <w:sz w:val="21"/>
          <w:szCs w:val="21"/>
        </w:rPr>
        <w:t>é</w:t>
      </w:r>
      <w:r w:rsidRPr="0021199F">
        <w:rPr>
          <w:rFonts w:ascii="Abadi" w:hAnsi="Abadi"/>
          <w:sz w:val="21"/>
          <w:szCs w:val="21"/>
        </w:rPr>
        <w:t xml:space="preserve"> siguen protegiendo el </w:t>
      </w:r>
      <w:r>
        <w:rPr>
          <w:rFonts w:ascii="Abadi" w:hAnsi="Abadi"/>
          <w:sz w:val="21"/>
          <w:szCs w:val="21"/>
        </w:rPr>
        <w:t>F</w:t>
      </w:r>
      <w:r w:rsidRPr="0021199F">
        <w:rPr>
          <w:rFonts w:ascii="Abadi" w:hAnsi="Abadi"/>
          <w:sz w:val="21"/>
          <w:szCs w:val="21"/>
        </w:rPr>
        <w:t>iscal</w:t>
      </w:r>
      <w:r>
        <w:rPr>
          <w:rFonts w:ascii="Abadi" w:hAnsi="Abadi"/>
          <w:sz w:val="21"/>
          <w:szCs w:val="21"/>
        </w:rPr>
        <w:t>?</w:t>
      </w:r>
      <w:r w:rsidRPr="0021199F">
        <w:rPr>
          <w:rFonts w:ascii="Abadi" w:hAnsi="Abadi"/>
          <w:sz w:val="21"/>
          <w:szCs w:val="21"/>
        </w:rPr>
        <w:t xml:space="preserve"> </w:t>
      </w:r>
      <w:r>
        <w:rPr>
          <w:rFonts w:ascii="Abadi" w:hAnsi="Abadi"/>
          <w:sz w:val="21"/>
          <w:szCs w:val="21"/>
        </w:rPr>
        <w:t>¿</w:t>
      </w:r>
      <w:r w:rsidRPr="0021199F">
        <w:rPr>
          <w:rFonts w:ascii="Abadi" w:hAnsi="Abadi"/>
          <w:sz w:val="21"/>
          <w:szCs w:val="21"/>
        </w:rPr>
        <w:t>Por qué no hab</w:t>
      </w:r>
      <w:r>
        <w:rPr>
          <w:rFonts w:ascii="Abadi" w:hAnsi="Abadi"/>
          <w:sz w:val="21"/>
          <w:szCs w:val="21"/>
        </w:rPr>
        <w:t>lan</w:t>
      </w:r>
      <w:r w:rsidRPr="0021199F">
        <w:rPr>
          <w:rFonts w:ascii="Abadi" w:hAnsi="Abadi"/>
          <w:sz w:val="21"/>
          <w:szCs w:val="21"/>
        </w:rPr>
        <w:t xml:space="preserve"> con la verdad? </w:t>
      </w:r>
      <w:r>
        <w:rPr>
          <w:rFonts w:ascii="Abadi" w:hAnsi="Abadi"/>
          <w:sz w:val="21"/>
          <w:szCs w:val="21"/>
        </w:rPr>
        <w:t>¿</w:t>
      </w:r>
      <w:r w:rsidRPr="0021199F">
        <w:rPr>
          <w:rFonts w:ascii="Abadi" w:hAnsi="Abadi"/>
          <w:sz w:val="21"/>
          <w:szCs w:val="21"/>
        </w:rPr>
        <w:t>Por qué no le dicen a la gente que el Partido Acción Nacional es cómplice del fiscal? No tiene desperdicio</w:t>
      </w:r>
      <w:r>
        <w:rPr>
          <w:rFonts w:ascii="Abadi" w:hAnsi="Abadi"/>
          <w:sz w:val="21"/>
          <w:szCs w:val="21"/>
        </w:rPr>
        <w:t xml:space="preserve"> e</w:t>
      </w:r>
      <w:r w:rsidRPr="0021199F">
        <w:rPr>
          <w:rFonts w:ascii="Abadi" w:hAnsi="Abadi"/>
          <w:sz w:val="21"/>
          <w:szCs w:val="21"/>
        </w:rPr>
        <w:t>sto</w:t>
      </w:r>
      <w:r>
        <w:rPr>
          <w:rFonts w:ascii="Abadi" w:hAnsi="Abadi"/>
          <w:sz w:val="21"/>
          <w:szCs w:val="21"/>
        </w:rPr>
        <w:t>.</w:t>
      </w:r>
      <w:r w:rsidRPr="0021199F">
        <w:rPr>
          <w:rFonts w:ascii="Abadi" w:hAnsi="Abadi"/>
          <w:sz w:val="21"/>
          <w:szCs w:val="21"/>
        </w:rPr>
        <w:t xml:space="preserve"> </w:t>
      </w:r>
      <w:r>
        <w:rPr>
          <w:rFonts w:ascii="Abadi" w:hAnsi="Abadi"/>
          <w:sz w:val="21"/>
          <w:szCs w:val="21"/>
        </w:rPr>
        <w:t>L</w:t>
      </w:r>
      <w:r w:rsidRPr="0021199F">
        <w:rPr>
          <w:rFonts w:ascii="Abadi" w:hAnsi="Abadi"/>
          <w:sz w:val="21"/>
          <w:szCs w:val="21"/>
        </w:rPr>
        <w:t>o voy a leer</w:t>
      </w:r>
      <w:r>
        <w:rPr>
          <w:rFonts w:ascii="Abadi" w:hAnsi="Abadi"/>
          <w:sz w:val="21"/>
          <w:szCs w:val="21"/>
        </w:rPr>
        <w:t>, me quedan</w:t>
      </w:r>
      <w:r w:rsidRPr="0021199F">
        <w:rPr>
          <w:rFonts w:ascii="Abadi" w:hAnsi="Abadi"/>
          <w:sz w:val="21"/>
          <w:szCs w:val="21"/>
        </w:rPr>
        <w:t xml:space="preserve"> cinco minutos. </w:t>
      </w:r>
    </w:p>
    <w:p w14:paraId="274EC9C7"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Es importante hacer énfasis</w:t>
      </w:r>
      <w:r>
        <w:rPr>
          <w:rFonts w:ascii="Abadi" w:hAnsi="Abadi"/>
          <w:sz w:val="21"/>
          <w:szCs w:val="21"/>
        </w:rPr>
        <w:t xml:space="preserve">, </w:t>
      </w:r>
      <w:r w:rsidRPr="0021199F">
        <w:rPr>
          <w:rFonts w:ascii="Abadi" w:hAnsi="Abadi"/>
          <w:sz w:val="21"/>
          <w:szCs w:val="21"/>
        </w:rPr>
        <w:t>ice el dictamen</w:t>
      </w:r>
      <w:r>
        <w:rPr>
          <w:rFonts w:ascii="Abadi" w:hAnsi="Abadi"/>
          <w:sz w:val="21"/>
          <w:szCs w:val="21"/>
        </w:rPr>
        <w:t>, en</w:t>
      </w:r>
      <w:r w:rsidRPr="0021199F">
        <w:rPr>
          <w:rFonts w:ascii="Abadi" w:hAnsi="Abadi"/>
          <w:sz w:val="21"/>
          <w:szCs w:val="21"/>
        </w:rPr>
        <w:t xml:space="preserve"> que el esclarecimiento de los hechos no es un fin en sí mismo, sino un medio para que el culpable no quede impune a la vez que protege al inocente. La importancia del proceso en cuanto al garantismo es la consideración de que vale la pena</w:t>
      </w:r>
      <w:r>
        <w:rPr>
          <w:rFonts w:ascii="Abadi" w:hAnsi="Abadi"/>
          <w:sz w:val="21"/>
          <w:szCs w:val="21"/>
        </w:rPr>
        <w:t>,</w:t>
      </w:r>
      <w:r w:rsidRPr="0021199F">
        <w:rPr>
          <w:rFonts w:ascii="Abadi" w:hAnsi="Abadi"/>
          <w:sz w:val="21"/>
          <w:szCs w:val="21"/>
        </w:rPr>
        <w:t xml:space="preserve"> de que de que vale la pena</w:t>
      </w:r>
      <w:r>
        <w:rPr>
          <w:rFonts w:ascii="Abadi" w:hAnsi="Abadi"/>
          <w:sz w:val="21"/>
          <w:szCs w:val="21"/>
        </w:rPr>
        <w:t>,</w:t>
      </w:r>
      <w:r w:rsidRPr="0021199F">
        <w:rPr>
          <w:rFonts w:ascii="Abadi" w:hAnsi="Abadi"/>
          <w:sz w:val="21"/>
          <w:szCs w:val="21"/>
        </w:rPr>
        <w:t xml:space="preserve"> obedecer a lo que imputado hizo al cometer el delito de</w:t>
      </w:r>
      <w:r>
        <w:rPr>
          <w:rFonts w:ascii="Abadi" w:hAnsi="Abadi"/>
          <w:sz w:val="21"/>
          <w:szCs w:val="21"/>
        </w:rPr>
        <w:t>lictivo</w:t>
      </w:r>
      <w:r w:rsidRPr="0021199F">
        <w:rPr>
          <w:rFonts w:ascii="Abadi" w:hAnsi="Abadi"/>
          <w:sz w:val="21"/>
          <w:szCs w:val="21"/>
        </w:rPr>
        <w:t>, no a lo que hag</w:t>
      </w:r>
      <w:r>
        <w:rPr>
          <w:rFonts w:ascii="Abadi" w:hAnsi="Abadi"/>
          <w:sz w:val="21"/>
          <w:szCs w:val="21"/>
        </w:rPr>
        <w:t>a o</w:t>
      </w:r>
      <w:r w:rsidRPr="0021199F">
        <w:rPr>
          <w:rFonts w:ascii="Abadi" w:hAnsi="Abadi"/>
          <w:sz w:val="21"/>
          <w:szCs w:val="21"/>
        </w:rPr>
        <w:t xml:space="preserve"> deje de hacer en el proceso como medio epistemológico para conocer el delito. </w:t>
      </w:r>
    </w:p>
    <w:p w14:paraId="149FA61F"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Espero que entienda</w:t>
      </w:r>
      <w:r>
        <w:rPr>
          <w:rFonts w:ascii="Abadi" w:hAnsi="Abadi"/>
          <w:sz w:val="21"/>
          <w:szCs w:val="21"/>
        </w:rPr>
        <w:t>n</w:t>
      </w:r>
      <w:r w:rsidRPr="0021199F">
        <w:rPr>
          <w:rFonts w:ascii="Abadi" w:hAnsi="Abadi"/>
          <w:sz w:val="21"/>
          <w:szCs w:val="21"/>
        </w:rPr>
        <w:t xml:space="preserve"> lo que es la palabra epistemología, que ni se hicieron </w:t>
      </w:r>
      <w:r>
        <w:rPr>
          <w:rFonts w:ascii="Abadi" w:hAnsi="Abadi"/>
          <w:sz w:val="21"/>
          <w:szCs w:val="21"/>
        </w:rPr>
        <w:t>este dictamen</w:t>
      </w:r>
      <w:r w:rsidRPr="0021199F">
        <w:rPr>
          <w:rFonts w:ascii="Abadi" w:hAnsi="Abadi"/>
          <w:sz w:val="21"/>
          <w:szCs w:val="21"/>
        </w:rPr>
        <w:t xml:space="preserve">. Y entonces, de tal suerte que este Congreso solicitó un informe sobre las investigaciones criminales correspondientes a los hechos ocurridos el </w:t>
      </w:r>
      <w:r>
        <w:rPr>
          <w:rFonts w:ascii="Abadi" w:hAnsi="Abadi"/>
          <w:sz w:val="21"/>
          <w:szCs w:val="21"/>
        </w:rPr>
        <w:t>13</w:t>
      </w:r>
      <w:r w:rsidRPr="0021199F">
        <w:rPr>
          <w:rFonts w:ascii="Abadi" w:hAnsi="Abadi"/>
          <w:sz w:val="21"/>
          <w:szCs w:val="21"/>
        </w:rPr>
        <w:t xml:space="preserve"> de noviembre, la planta de tratamiento de aguas residuales municipal</w:t>
      </w:r>
      <w:r>
        <w:rPr>
          <w:rFonts w:ascii="Abadi" w:hAnsi="Abadi"/>
          <w:sz w:val="21"/>
          <w:szCs w:val="21"/>
        </w:rPr>
        <w:t xml:space="preserve"> y su módulo de</w:t>
      </w:r>
      <w:r w:rsidRPr="0021199F">
        <w:rPr>
          <w:rFonts w:ascii="Abadi" w:hAnsi="Abadi"/>
          <w:sz w:val="21"/>
          <w:szCs w:val="21"/>
        </w:rPr>
        <w:t xml:space="preserve"> des</w:t>
      </w:r>
      <w:r>
        <w:rPr>
          <w:rFonts w:ascii="Abadi" w:hAnsi="Abadi"/>
          <w:sz w:val="21"/>
          <w:szCs w:val="21"/>
        </w:rPr>
        <w:t>b</w:t>
      </w:r>
      <w:r w:rsidRPr="0021199F">
        <w:rPr>
          <w:rFonts w:ascii="Abadi" w:hAnsi="Abadi"/>
          <w:sz w:val="21"/>
          <w:szCs w:val="21"/>
        </w:rPr>
        <w:t>aste sólo tendrá, como sin conocer el Estado</w:t>
      </w:r>
      <w:r>
        <w:rPr>
          <w:rFonts w:ascii="Abadi" w:hAnsi="Abadi"/>
          <w:sz w:val="21"/>
          <w:szCs w:val="21"/>
        </w:rPr>
        <w:t xml:space="preserve"> que </w:t>
      </w:r>
      <w:r w:rsidRPr="0021199F">
        <w:rPr>
          <w:rFonts w:ascii="Abadi" w:hAnsi="Abadi"/>
          <w:sz w:val="21"/>
          <w:szCs w:val="21"/>
        </w:rPr>
        <w:t>procesal que guarda la carpeta de investigación</w:t>
      </w:r>
      <w:r>
        <w:rPr>
          <w:rFonts w:ascii="Abadi" w:hAnsi="Abadi"/>
          <w:sz w:val="21"/>
          <w:szCs w:val="21"/>
        </w:rPr>
        <w:t xml:space="preserve">, de </w:t>
      </w:r>
      <w:r w:rsidRPr="0021199F">
        <w:rPr>
          <w:rFonts w:ascii="Abadi" w:hAnsi="Abadi"/>
          <w:sz w:val="21"/>
          <w:szCs w:val="21"/>
        </w:rPr>
        <w:t xml:space="preserve">ninguna manera el contenido de la misma. De lo contrario sería </w:t>
      </w:r>
      <w:r>
        <w:rPr>
          <w:rFonts w:ascii="Abadi" w:hAnsi="Abadi"/>
          <w:sz w:val="21"/>
          <w:szCs w:val="21"/>
        </w:rPr>
        <w:t>violaría el</w:t>
      </w:r>
      <w:r w:rsidRPr="0021199F">
        <w:rPr>
          <w:rFonts w:ascii="Abadi" w:hAnsi="Abadi"/>
          <w:sz w:val="21"/>
          <w:szCs w:val="21"/>
        </w:rPr>
        <w:t xml:space="preserve"> principio desde </w:t>
      </w:r>
      <w:r>
        <w:rPr>
          <w:rFonts w:ascii="Abadi" w:hAnsi="Abadi"/>
          <w:sz w:val="21"/>
          <w:szCs w:val="21"/>
        </w:rPr>
        <w:t>se</w:t>
      </w:r>
      <w:r w:rsidRPr="0021199F">
        <w:rPr>
          <w:rFonts w:ascii="Abadi" w:hAnsi="Abadi"/>
          <w:sz w:val="21"/>
          <w:szCs w:val="21"/>
        </w:rPr>
        <w:t xml:space="preserve">crecía, o sea, es una reactualización de haiga sido como haiga sido del </w:t>
      </w:r>
      <w:r>
        <w:rPr>
          <w:rFonts w:ascii="Abadi" w:hAnsi="Abadi"/>
          <w:sz w:val="21"/>
          <w:szCs w:val="21"/>
        </w:rPr>
        <w:t xml:space="preserve">Presidente </w:t>
      </w:r>
      <w:r w:rsidRPr="0021199F">
        <w:rPr>
          <w:rFonts w:ascii="Abadi" w:hAnsi="Abadi"/>
          <w:sz w:val="21"/>
          <w:szCs w:val="21"/>
        </w:rPr>
        <w:t>Calderón</w:t>
      </w:r>
      <w:r>
        <w:rPr>
          <w:rFonts w:ascii="Abadi" w:hAnsi="Abadi"/>
          <w:sz w:val="21"/>
          <w:szCs w:val="21"/>
        </w:rPr>
        <w:t>, n</w:t>
      </w:r>
      <w:r w:rsidRPr="0021199F">
        <w:rPr>
          <w:rFonts w:ascii="Abadi" w:hAnsi="Abadi"/>
          <w:sz w:val="21"/>
          <w:szCs w:val="21"/>
        </w:rPr>
        <w:t xml:space="preserve">o importa el proceso, lo que importa son los resultados. </w:t>
      </w:r>
    </w:p>
    <w:p w14:paraId="4BB4AA09" w14:textId="351DABCC" w:rsidR="0013564D" w:rsidRDefault="00636D6C" w:rsidP="0013564D">
      <w:pPr>
        <w:pStyle w:val="NormalWeb"/>
        <w:jc w:val="both"/>
        <w:rPr>
          <w:rFonts w:ascii="Abadi" w:hAnsi="Abadi"/>
          <w:sz w:val="21"/>
          <w:szCs w:val="21"/>
        </w:rPr>
      </w:pPr>
      <w:r>
        <w:rPr>
          <w:rFonts w:ascii="Abadi" w:hAnsi="Abadi"/>
          <w:sz w:val="21"/>
          <w:szCs w:val="21"/>
        </w:rPr>
        <w:t xml:space="preserve">- </w:t>
      </w:r>
      <w:r w:rsidR="0013564D">
        <w:rPr>
          <w:rFonts w:ascii="Abadi" w:hAnsi="Abadi"/>
          <w:sz w:val="21"/>
          <w:szCs w:val="21"/>
        </w:rPr>
        <w:t>E</w:t>
      </w:r>
      <w:r w:rsidR="0013564D" w:rsidRPr="0021199F">
        <w:rPr>
          <w:rFonts w:ascii="Abadi" w:hAnsi="Abadi"/>
          <w:sz w:val="21"/>
          <w:szCs w:val="21"/>
        </w:rPr>
        <w:t xml:space="preserve">stá soberanía </w:t>
      </w:r>
      <w:r w:rsidR="0013564D">
        <w:rPr>
          <w:rFonts w:ascii="Abadi" w:hAnsi="Abadi"/>
          <w:sz w:val="21"/>
          <w:szCs w:val="21"/>
        </w:rPr>
        <w:t>pid</w:t>
      </w:r>
      <w:r w:rsidR="0013564D" w:rsidRPr="0021199F">
        <w:rPr>
          <w:rFonts w:ascii="Abadi" w:hAnsi="Abadi"/>
          <w:sz w:val="21"/>
          <w:szCs w:val="21"/>
        </w:rPr>
        <w:t>ió que la Fiscalía informará sobre la investigación. Obviamente</w:t>
      </w:r>
      <w:r w:rsidR="0013564D">
        <w:rPr>
          <w:rFonts w:ascii="Abadi" w:hAnsi="Abadi"/>
          <w:sz w:val="21"/>
          <w:szCs w:val="21"/>
        </w:rPr>
        <w:t xml:space="preserve"> con la sec</w:t>
      </w:r>
      <w:r w:rsidR="0013564D" w:rsidRPr="0021199F">
        <w:rPr>
          <w:rFonts w:ascii="Abadi" w:hAnsi="Abadi"/>
          <w:sz w:val="21"/>
          <w:szCs w:val="21"/>
        </w:rPr>
        <w:t xml:space="preserve">recía del caso. No </w:t>
      </w:r>
      <w:r w:rsidR="0013564D">
        <w:rPr>
          <w:rFonts w:ascii="Abadi" w:hAnsi="Abadi"/>
          <w:sz w:val="21"/>
          <w:szCs w:val="21"/>
        </w:rPr>
        <w:t>informó</w:t>
      </w:r>
      <w:r w:rsidR="0013564D" w:rsidRPr="0021199F">
        <w:rPr>
          <w:rFonts w:ascii="Abadi" w:hAnsi="Abadi"/>
          <w:sz w:val="21"/>
          <w:szCs w:val="21"/>
        </w:rPr>
        <w:t xml:space="preserve"> absolutamente nadie</w:t>
      </w:r>
      <w:r w:rsidR="0013564D">
        <w:rPr>
          <w:rFonts w:ascii="Abadi" w:hAnsi="Abadi"/>
          <w:sz w:val="21"/>
          <w:szCs w:val="21"/>
        </w:rPr>
        <w:t>, l</w:t>
      </w:r>
      <w:r w:rsidR="0013564D" w:rsidRPr="0021199F">
        <w:rPr>
          <w:rFonts w:ascii="Abadi" w:hAnsi="Abadi"/>
          <w:sz w:val="21"/>
          <w:szCs w:val="21"/>
        </w:rPr>
        <w:t>a Comisión dice que no importa el proceso, sino el resultado. Yo no pedí el resultado. Yo soy el exhorto y de lo que se trataba era de que la fiscalía informará el procedimiento</w:t>
      </w:r>
      <w:r w:rsidR="0013564D">
        <w:rPr>
          <w:rFonts w:ascii="Abadi" w:hAnsi="Abadi"/>
          <w:sz w:val="21"/>
          <w:szCs w:val="21"/>
        </w:rPr>
        <w:t xml:space="preserve"> q</w:t>
      </w:r>
      <w:r w:rsidR="0013564D" w:rsidRPr="0021199F">
        <w:rPr>
          <w:rFonts w:ascii="Abadi" w:hAnsi="Abadi"/>
          <w:sz w:val="21"/>
          <w:szCs w:val="21"/>
        </w:rPr>
        <w:t xml:space="preserve">ue </w:t>
      </w:r>
      <w:r w:rsidR="0013564D">
        <w:rPr>
          <w:rFonts w:ascii="Abadi" w:hAnsi="Abadi"/>
          <w:sz w:val="21"/>
          <w:szCs w:val="21"/>
        </w:rPr>
        <w:t>siguió</w:t>
      </w:r>
      <w:r w:rsidR="0013564D" w:rsidRPr="0021199F">
        <w:rPr>
          <w:rFonts w:ascii="Abadi" w:hAnsi="Abadi"/>
          <w:sz w:val="21"/>
          <w:szCs w:val="21"/>
        </w:rPr>
        <w:t xml:space="preserve"> para la investigación</w:t>
      </w:r>
      <w:r w:rsidR="0013564D">
        <w:rPr>
          <w:rFonts w:ascii="Abadi" w:hAnsi="Abadi"/>
          <w:sz w:val="21"/>
          <w:szCs w:val="21"/>
        </w:rPr>
        <w:t>,</w:t>
      </w:r>
      <w:r w:rsidR="0013564D" w:rsidRPr="0021199F">
        <w:rPr>
          <w:rFonts w:ascii="Abadi" w:hAnsi="Abadi"/>
          <w:sz w:val="21"/>
          <w:szCs w:val="21"/>
        </w:rPr>
        <w:t xml:space="preserve"> en general, sin violar los derechos humanos de ninguna de las personas involucradas en el en el proceso, no sigan defendiendo al fiscal es un</w:t>
      </w:r>
      <w:r w:rsidR="0013564D">
        <w:rPr>
          <w:rFonts w:ascii="Abadi" w:hAnsi="Abadi"/>
          <w:sz w:val="21"/>
          <w:szCs w:val="21"/>
        </w:rPr>
        <w:t>a,</w:t>
      </w:r>
      <w:r w:rsidR="0013564D" w:rsidRPr="0021199F">
        <w:rPr>
          <w:rFonts w:ascii="Abadi" w:hAnsi="Abadi"/>
          <w:sz w:val="21"/>
          <w:szCs w:val="21"/>
        </w:rPr>
        <w:t xml:space="preserve"> es una</w:t>
      </w:r>
      <w:r w:rsidR="0013564D">
        <w:rPr>
          <w:rFonts w:ascii="Abadi" w:hAnsi="Abadi"/>
          <w:sz w:val="21"/>
          <w:szCs w:val="21"/>
        </w:rPr>
        <w:t xml:space="preserve">, </w:t>
      </w:r>
      <w:r w:rsidR="0013564D" w:rsidRPr="0021199F">
        <w:rPr>
          <w:rFonts w:ascii="Abadi" w:hAnsi="Abadi"/>
          <w:sz w:val="21"/>
          <w:szCs w:val="21"/>
        </w:rPr>
        <w:t>artimaña básica para otra vez protegerlo</w:t>
      </w:r>
      <w:r w:rsidR="0013564D">
        <w:rPr>
          <w:rFonts w:ascii="Abadi" w:hAnsi="Abadi"/>
          <w:sz w:val="21"/>
          <w:szCs w:val="21"/>
        </w:rPr>
        <w:t>,</w:t>
      </w:r>
      <w:r w:rsidR="0013564D" w:rsidRPr="0021199F">
        <w:rPr>
          <w:rFonts w:ascii="Abadi" w:hAnsi="Abadi"/>
          <w:sz w:val="21"/>
          <w:szCs w:val="21"/>
        </w:rPr>
        <w:t xml:space="preserve"> como esos</w:t>
      </w:r>
      <w:r w:rsidR="0013564D">
        <w:rPr>
          <w:rFonts w:ascii="Abadi" w:hAnsi="Abadi"/>
          <w:sz w:val="21"/>
          <w:szCs w:val="21"/>
        </w:rPr>
        <w:t>, e</w:t>
      </w:r>
      <w:r w:rsidR="0013564D" w:rsidRPr="0021199F">
        <w:rPr>
          <w:rFonts w:ascii="Abadi" w:hAnsi="Abadi"/>
          <w:sz w:val="21"/>
          <w:szCs w:val="21"/>
        </w:rPr>
        <w:t xml:space="preserve">ste los del </w:t>
      </w:r>
      <w:proofErr w:type="gramStart"/>
      <w:r w:rsidR="0013564D">
        <w:rPr>
          <w:rFonts w:ascii="Abadi" w:hAnsi="Abadi"/>
          <w:sz w:val="21"/>
          <w:szCs w:val="21"/>
        </w:rPr>
        <w:t>quarterback</w:t>
      </w:r>
      <w:proofErr w:type="gramEnd"/>
      <w:r w:rsidR="0013564D" w:rsidRPr="0021199F">
        <w:rPr>
          <w:rFonts w:ascii="Abadi" w:hAnsi="Abadi"/>
          <w:sz w:val="21"/>
          <w:szCs w:val="21"/>
        </w:rPr>
        <w:t xml:space="preserve"> con el fútbol americano que se ponen así para que nadie </w:t>
      </w:r>
      <w:r w:rsidR="0013564D">
        <w:rPr>
          <w:rFonts w:ascii="Abadi" w:hAnsi="Abadi"/>
          <w:sz w:val="21"/>
          <w:szCs w:val="21"/>
        </w:rPr>
        <w:t>haga caso</w:t>
      </w:r>
      <w:r w:rsidR="0013564D" w:rsidRPr="0021199F">
        <w:rPr>
          <w:rFonts w:ascii="Abadi" w:hAnsi="Abadi"/>
          <w:sz w:val="21"/>
          <w:szCs w:val="21"/>
        </w:rPr>
        <w:t xml:space="preserve">. </w:t>
      </w:r>
    </w:p>
    <w:p w14:paraId="6CEBECA4" w14:textId="533777D6" w:rsidR="0013564D" w:rsidRDefault="00636D6C" w:rsidP="0013564D">
      <w:pPr>
        <w:pStyle w:val="NormalWeb"/>
        <w:jc w:val="both"/>
        <w:rPr>
          <w:rFonts w:ascii="Abadi" w:hAnsi="Abadi"/>
          <w:sz w:val="21"/>
          <w:szCs w:val="21"/>
        </w:rPr>
      </w:pPr>
      <w:r>
        <w:rPr>
          <w:rFonts w:ascii="Abadi" w:hAnsi="Abadi"/>
          <w:sz w:val="21"/>
          <w:szCs w:val="21"/>
        </w:rPr>
        <w:t xml:space="preserve">- </w:t>
      </w:r>
      <w:r w:rsidR="0013564D" w:rsidRPr="0021199F">
        <w:rPr>
          <w:rFonts w:ascii="Abadi" w:hAnsi="Abadi"/>
          <w:sz w:val="21"/>
          <w:szCs w:val="21"/>
        </w:rPr>
        <w:t xml:space="preserve">La tercera razón por la cual les solicitó, </w:t>
      </w:r>
      <w:r w:rsidR="0013564D">
        <w:rPr>
          <w:rFonts w:ascii="Abadi" w:hAnsi="Abadi"/>
          <w:sz w:val="21"/>
          <w:szCs w:val="21"/>
        </w:rPr>
        <w:t>¡</w:t>
      </w:r>
      <w:r w:rsidR="0013564D" w:rsidRPr="0021199F">
        <w:rPr>
          <w:rFonts w:ascii="Abadi" w:hAnsi="Abadi"/>
          <w:sz w:val="21"/>
          <w:szCs w:val="21"/>
        </w:rPr>
        <w:t>eh</w:t>
      </w:r>
      <w:r w:rsidR="0013564D">
        <w:rPr>
          <w:rFonts w:ascii="Abadi" w:hAnsi="Abadi"/>
          <w:sz w:val="21"/>
          <w:szCs w:val="21"/>
        </w:rPr>
        <w:t>!</w:t>
      </w:r>
      <w:r w:rsidR="0013564D" w:rsidRPr="0021199F">
        <w:rPr>
          <w:rFonts w:ascii="Abadi" w:hAnsi="Abadi"/>
          <w:sz w:val="21"/>
          <w:szCs w:val="21"/>
        </w:rPr>
        <w:t xml:space="preserve"> votar en contra</w:t>
      </w:r>
      <w:r w:rsidR="0013564D">
        <w:rPr>
          <w:rFonts w:ascii="Abadi" w:hAnsi="Abadi"/>
          <w:sz w:val="21"/>
          <w:szCs w:val="21"/>
        </w:rPr>
        <w:t>,</w:t>
      </w:r>
      <w:r w:rsidR="0013564D" w:rsidRPr="0021199F">
        <w:rPr>
          <w:rFonts w:ascii="Abadi" w:hAnsi="Abadi"/>
          <w:sz w:val="21"/>
          <w:szCs w:val="21"/>
        </w:rPr>
        <w:t xml:space="preserve"> es que se pidió un informe a la </w:t>
      </w:r>
      <w:r w:rsidR="0013564D">
        <w:rPr>
          <w:rFonts w:ascii="Abadi" w:hAnsi="Abadi"/>
          <w:sz w:val="21"/>
          <w:szCs w:val="21"/>
        </w:rPr>
        <w:t>procuraduría de derechos humanos, este informe</w:t>
      </w:r>
      <w:r w:rsidR="0013564D" w:rsidRPr="0021199F">
        <w:rPr>
          <w:rFonts w:ascii="Abadi" w:hAnsi="Abadi"/>
          <w:sz w:val="21"/>
          <w:szCs w:val="21"/>
        </w:rPr>
        <w:t xml:space="preserve"> lo emitió la Procuraduría y le</w:t>
      </w:r>
      <w:r w:rsidR="0013564D">
        <w:rPr>
          <w:rFonts w:ascii="Abadi" w:hAnsi="Abadi"/>
          <w:sz w:val="21"/>
          <w:szCs w:val="21"/>
        </w:rPr>
        <w:t>o</w:t>
      </w:r>
      <w:r w:rsidR="0013564D" w:rsidRPr="0021199F">
        <w:rPr>
          <w:rFonts w:ascii="Abadi" w:hAnsi="Abadi"/>
          <w:sz w:val="21"/>
          <w:szCs w:val="21"/>
        </w:rPr>
        <w:t xml:space="preserve"> otra vez el decreto el </w:t>
      </w:r>
      <w:r w:rsidR="0013564D">
        <w:rPr>
          <w:rFonts w:ascii="Abadi" w:hAnsi="Abadi"/>
          <w:sz w:val="21"/>
          <w:szCs w:val="21"/>
        </w:rPr>
        <w:t>29</w:t>
      </w:r>
      <w:r w:rsidR="0013564D" w:rsidRPr="0021199F">
        <w:rPr>
          <w:rFonts w:ascii="Abadi" w:hAnsi="Abadi"/>
          <w:sz w:val="21"/>
          <w:szCs w:val="21"/>
        </w:rPr>
        <w:t xml:space="preserve"> de octubre del </w:t>
      </w:r>
      <w:r w:rsidR="0013564D">
        <w:rPr>
          <w:rFonts w:ascii="Abadi" w:hAnsi="Abadi"/>
          <w:sz w:val="21"/>
          <w:szCs w:val="21"/>
        </w:rPr>
        <w:t>2021</w:t>
      </w:r>
      <w:r w:rsidR="0013564D" w:rsidRPr="0021199F">
        <w:rPr>
          <w:rFonts w:ascii="Abadi" w:hAnsi="Abadi"/>
          <w:sz w:val="21"/>
          <w:szCs w:val="21"/>
        </w:rPr>
        <w:t xml:space="preserve"> y el decreto fue </w:t>
      </w:r>
      <w:r w:rsidR="0013564D">
        <w:rPr>
          <w:rFonts w:ascii="Abadi" w:hAnsi="Abadi"/>
          <w:sz w:val="21"/>
          <w:szCs w:val="21"/>
        </w:rPr>
        <w:t xml:space="preserve">de </w:t>
      </w:r>
      <w:r w:rsidR="0013564D" w:rsidRPr="0021199F">
        <w:rPr>
          <w:rFonts w:ascii="Abadi" w:hAnsi="Abadi"/>
          <w:sz w:val="21"/>
          <w:szCs w:val="21"/>
        </w:rPr>
        <w:t>la semana pasada A ver, octubre, noviembre, diciembre, enero, febrero, marzo, abril y mayo. Ocho meses. En ocho meses, estima</w:t>
      </w:r>
      <w:r w:rsidR="0013564D">
        <w:rPr>
          <w:rFonts w:ascii="Abadi" w:hAnsi="Abadi"/>
          <w:sz w:val="21"/>
          <w:szCs w:val="21"/>
        </w:rPr>
        <w:t>da</w:t>
      </w:r>
      <w:r w:rsidR="0013564D" w:rsidRPr="0021199F">
        <w:rPr>
          <w:rFonts w:ascii="Abadi" w:hAnsi="Abadi"/>
          <w:sz w:val="21"/>
          <w:szCs w:val="21"/>
        </w:rPr>
        <w:t xml:space="preserve"> Comisión</w:t>
      </w:r>
      <w:r w:rsidR="0013564D">
        <w:rPr>
          <w:rFonts w:ascii="Abadi" w:hAnsi="Abadi"/>
          <w:sz w:val="21"/>
          <w:szCs w:val="21"/>
        </w:rPr>
        <w:t>, no</w:t>
      </w:r>
      <w:r w:rsidR="0013564D" w:rsidRPr="0021199F">
        <w:rPr>
          <w:rFonts w:ascii="Abadi" w:hAnsi="Abadi"/>
          <w:sz w:val="21"/>
          <w:szCs w:val="21"/>
        </w:rPr>
        <w:t xml:space="preserve"> ha pasado algo y les voy a decir por qué es importante, porque la </w:t>
      </w:r>
      <w:r w:rsidR="0013564D">
        <w:rPr>
          <w:rFonts w:ascii="Abadi" w:hAnsi="Abadi"/>
          <w:sz w:val="21"/>
          <w:szCs w:val="21"/>
        </w:rPr>
        <w:t>Comisión</w:t>
      </w:r>
      <w:r w:rsidR="0013564D" w:rsidRPr="0021199F">
        <w:rPr>
          <w:rFonts w:ascii="Abadi" w:hAnsi="Abadi"/>
          <w:sz w:val="21"/>
          <w:szCs w:val="21"/>
        </w:rPr>
        <w:t xml:space="preserve"> de </w:t>
      </w:r>
      <w:r w:rsidR="0013564D">
        <w:rPr>
          <w:rFonts w:ascii="Abadi" w:hAnsi="Abadi"/>
          <w:sz w:val="21"/>
          <w:szCs w:val="21"/>
        </w:rPr>
        <w:t>D</w:t>
      </w:r>
      <w:r w:rsidR="0013564D" w:rsidRPr="0021199F">
        <w:rPr>
          <w:rFonts w:ascii="Abadi" w:hAnsi="Abadi"/>
          <w:sz w:val="21"/>
          <w:szCs w:val="21"/>
        </w:rPr>
        <w:t xml:space="preserve">erechos </w:t>
      </w:r>
      <w:r w:rsidR="0013564D">
        <w:rPr>
          <w:rFonts w:ascii="Abadi" w:hAnsi="Abadi"/>
          <w:sz w:val="21"/>
          <w:szCs w:val="21"/>
        </w:rPr>
        <w:t>H</w:t>
      </w:r>
      <w:r w:rsidR="0013564D" w:rsidRPr="0021199F">
        <w:rPr>
          <w:rFonts w:ascii="Abadi" w:hAnsi="Abadi"/>
          <w:sz w:val="21"/>
          <w:szCs w:val="21"/>
        </w:rPr>
        <w:t>umanos es la que tiene que certificar que se ha</w:t>
      </w:r>
      <w:r w:rsidR="0013564D">
        <w:rPr>
          <w:rFonts w:ascii="Abadi" w:hAnsi="Abadi"/>
          <w:sz w:val="21"/>
          <w:szCs w:val="21"/>
        </w:rPr>
        <w:t xml:space="preserve">yan </w:t>
      </w:r>
      <w:r w:rsidR="0013564D" w:rsidRPr="0021199F">
        <w:rPr>
          <w:rFonts w:ascii="Abadi" w:hAnsi="Abadi"/>
          <w:sz w:val="21"/>
          <w:szCs w:val="21"/>
        </w:rPr>
        <w:t>tomado las medidas</w:t>
      </w:r>
      <w:r w:rsidR="0013564D">
        <w:rPr>
          <w:rFonts w:ascii="Abadi" w:hAnsi="Abadi"/>
          <w:sz w:val="21"/>
          <w:szCs w:val="21"/>
        </w:rPr>
        <w:t xml:space="preserve"> de</w:t>
      </w:r>
      <w:r w:rsidR="0013564D" w:rsidRPr="0021199F">
        <w:rPr>
          <w:rFonts w:ascii="Abadi" w:hAnsi="Abadi"/>
          <w:sz w:val="21"/>
          <w:szCs w:val="21"/>
        </w:rPr>
        <w:t xml:space="preserve"> no repetición, que es otro elemento de los derechos humanos. La Procuraduría no ha emitido esa recomendación o al final de esta recomendación siguen vigente</w:t>
      </w:r>
      <w:r w:rsidR="0013564D">
        <w:rPr>
          <w:rFonts w:ascii="Abadi" w:hAnsi="Abadi"/>
          <w:sz w:val="21"/>
          <w:szCs w:val="21"/>
        </w:rPr>
        <w:t>; y</w:t>
      </w:r>
    </w:p>
    <w:p w14:paraId="31E23375" w14:textId="69817A9D" w:rsidR="0013564D" w:rsidRDefault="00636D6C" w:rsidP="0013564D">
      <w:pPr>
        <w:pStyle w:val="NormalWeb"/>
        <w:jc w:val="both"/>
        <w:rPr>
          <w:rFonts w:ascii="Abadi" w:hAnsi="Abadi"/>
          <w:sz w:val="21"/>
          <w:szCs w:val="21"/>
        </w:rPr>
      </w:pPr>
      <w:r>
        <w:rPr>
          <w:rFonts w:ascii="Abadi" w:hAnsi="Abadi"/>
          <w:sz w:val="21"/>
          <w:szCs w:val="21"/>
        </w:rPr>
        <w:t xml:space="preserve">- </w:t>
      </w:r>
      <w:r w:rsidR="0013564D">
        <w:rPr>
          <w:rFonts w:ascii="Abadi" w:hAnsi="Abadi"/>
          <w:sz w:val="21"/>
          <w:szCs w:val="21"/>
        </w:rPr>
        <w:t>L</w:t>
      </w:r>
      <w:r w:rsidR="0013564D" w:rsidRPr="0021199F">
        <w:rPr>
          <w:rFonts w:ascii="Abadi" w:hAnsi="Abadi"/>
          <w:sz w:val="21"/>
          <w:szCs w:val="21"/>
        </w:rPr>
        <w:t xml:space="preserve">a cuarta es que entiendo que puede ser sujeto de discusión lo que estoy planteando aquí acerca de la comisión del municipio, pero si ustedes leen el artículo </w:t>
      </w:r>
      <w:r w:rsidR="0013564D">
        <w:rPr>
          <w:rFonts w:ascii="Abadi" w:hAnsi="Abadi"/>
          <w:sz w:val="21"/>
          <w:szCs w:val="21"/>
        </w:rPr>
        <w:t>80</w:t>
      </w:r>
      <w:r w:rsidR="0013564D" w:rsidRPr="0021199F">
        <w:rPr>
          <w:rFonts w:ascii="Abadi" w:hAnsi="Abadi"/>
          <w:sz w:val="21"/>
          <w:szCs w:val="21"/>
        </w:rPr>
        <w:t xml:space="preserve"> de la Ley Orgánica del Municipio dice lo siguiente</w:t>
      </w:r>
      <w:r w:rsidR="0013564D">
        <w:rPr>
          <w:rFonts w:ascii="Abadi" w:hAnsi="Abadi"/>
          <w:sz w:val="21"/>
          <w:szCs w:val="21"/>
        </w:rPr>
        <w:t>:</w:t>
      </w:r>
      <w:r w:rsidR="0013564D" w:rsidRPr="0021199F">
        <w:rPr>
          <w:rFonts w:ascii="Abadi" w:hAnsi="Abadi"/>
          <w:sz w:val="21"/>
          <w:szCs w:val="21"/>
        </w:rPr>
        <w:t xml:space="preserve"> </w:t>
      </w:r>
    </w:p>
    <w:p w14:paraId="4DDCEE4A" w14:textId="1B4C8A7F" w:rsidR="0013564D" w:rsidRDefault="00636D6C" w:rsidP="0013564D">
      <w:pPr>
        <w:pStyle w:val="NormalWeb"/>
        <w:jc w:val="both"/>
        <w:rPr>
          <w:rFonts w:ascii="Abadi" w:hAnsi="Abadi"/>
          <w:sz w:val="21"/>
          <w:szCs w:val="21"/>
        </w:rPr>
      </w:pPr>
      <w:r>
        <w:rPr>
          <w:rFonts w:ascii="Abadi" w:hAnsi="Abadi"/>
          <w:sz w:val="21"/>
          <w:szCs w:val="21"/>
        </w:rPr>
        <w:t xml:space="preserve">- </w:t>
      </w:r>
      <w:r w:rsidR="0013564D" w:rsidRPr="0021199F">
        <w:rPr>
          <w:rFonts w:ascii="Abadi" w:hAnsi="Abadi"/>
          <w:sz w:val="21"/>
          <w:szCs w:val="21"/>
        </w:rPr>
        <w:t xml:space="preserve">El Ayuntamiento, a propuesta dice </w:t>
      </w:r>
      <w:r w:rsidR="0013564D">
        <w:rPr>
          <w:rFonts w:ascii="Abadi" w:hAnsi="Abadi"/>
          <w:sz w:val="21"/>
          <w:szCs w:val="21"/>
        </w:rPr>
        <w:t>d</w:t>
      </w:r>
      <w:r w:rsidR="0013564D" w:rsidRPr="0021199F">
        <w:rPr>
          <w:rFonts w:ascii="Abadi" w:hAnsi="Abadi"/>
          <w:sz w:val="21"/>
          <w:szCs w:val="21"/>
        </w:rPr>
        <w:t xml:space="preserve">el </w:t>
      </w:r>
      <w:r w:rsidR="0013564D">
        <w:rPr>
          <w:rFonts w:ascii="Abadi" w:hAnsi="Abadi"/>
          <w:sz w:val="21"/>
          <w:szCs w:val="21"/>
        </w:rPr>
        <w:t>P</w:t>
      </w:r>
      <w:r w:rsidR="0013564D" w:rsidRPr="0021199F">
        <w:rPr>
          <w:rFonts w:ascii="Abadi" w:hAnsi="Abadi"/>
          <w:sz w:val="21"/>
          <w:szCs w:val="21"/>
        </w:rPr>
        <w:t xml:space="preserve">residente </w:t>
      </w:r>
      <w:r w:rsidR="0013564D">
        <w:rPr>
          <w:rFonts w:ascii="Abadi" w:hAnsi="Abadi"/>
          <w:sz w:val="21"/>
          <w:szCs w:val="21"/>
        </w:rPr>
        <w:t>M</w:t>
      </w:r>
      <w:r w:rsidR="0013564D" w:rsidRPr="0021199F">
        <w:rPr>
          <w:rFonts w:ascii="Abadi" w:hAnsi="Abadi"/>
          <w:sz w:val="21"/>
          <w:szCs w:val="21"/>
        </w:rPr>
        <w:t>unicipal aprobar</w:t>
      </w:r>
      <w:r w:rsidR="0013564D">
        <w:rPr>
          <w:rFonts w:ascii="Abadi" w:hAnsi="Abadi"/>
          <w:sz w:val="21"/>
          <w:szCs w:val="21"/>
        </w:rPr>
        <w:t>á</w:t>
      </w:r>
      <w:r w:rsidR="0013564D" w:rsidRPr="0021199F">
        <w:rPr>
          <w:rFonts w:ascii="Abadi" w:hAnsi="Abadi"/>
          <w:sz w:val="21"/>
          <w:szCs w:val="21"/>
        </w:rPr>
        <w:t xml:space="preserve"> a las comisiones anuales que se estimen necesarias para el desarrollo de sus funciones. Podemos debatir, podemos debatir, pero aquí está sentado bajo el principio también de máxima participación de la sociedad</w:t>
      </w:r>
      <w:r w:rsidR="0013564D">
        <w:rPr>
          <w:rFonts w:ascii="Abadi" w:hAnsi="Abadi"/>
          <w:sz w:val="21"/>
          <w:szCs w:val="21"/>
        </w:rPr>
        <w:t xml:space="preserve"> l</w:t>
      </w:r>
      <w:r w:rsidR="0013564D" w:rsidRPr="0021199F">
        <w:rPr>
          <w:rFonts w:ascii="Abadi" w:hAnsi="Abadi"/>
          <w:sz w:val="21"/>
          <w:szCs w:val="21"/>
        </w:rPr>
        <w:t>a facultad del Ayuntamiento, porque el decreto dice que el Ayuntamiento no tiene facultades de crear comisiones</w:t>
      </w:r>
      <w:r w:rsidR="0013564D">
        <w:rPr>
          <w:rFonts w:ascii="Abadi" w:hAnsi="Abadi"/>
          <w:sz w:val="21"/>
          <w:szCs w:val="21"/>
        </w:rPr>
        <w:t xml:space="preserve"> s</w:t>
      </w:r>
      <w:r w:rsidR="0013564D" w:rsidRPr="0021199F">
        <w:rPr>
          <w:rFonts w:ascii="Abadi" w:hAnsi="Abadi"/>
          <w:sz w:val="21"/>
          <w:szCs w:val="21"/>
        </w:rPr>
        <w:t xml:space="preserve">í las tiene bajo esta interpretación que estoy así, entonces bajo supuestos, yo los invito, </w:t>
      </w:r>
      <w:r w:rsidR="0013564D">
        <w:rPr>
          <w:rFonts w:ascii="Abadi" w:hAnsi="Abadi"/>
          <w:sz w:val="21"/>
          <w:szCs w:val="21"/>
        </w:rPr>
        <w:t>l</w:t>
      </w:r>
      <w:r w:rsidR="0013564D" w:rsidRPr="0021199F">
        <w:rPr>
          <w:rFonts w:ascii="Abadi" w:hAnsi="Abadi"/>
          <w:sz w:val="21"/>
          <w:szCs w:val="21"/>
        </w:rPr>
        <w:t xml:space="preserve">as invito </w:t>
      </w:r>
      <w:r w:rsidR="0013564D">
        <w:rPr>
          <w:rFonts w:ascii="Abadi" w:hAnsi="Abadi"/>
          <w:sz w:val="21"/>
          <w:szCs w:val="21"/>
        </w:rPr>
        <w:t>a votar en contra por estas razones</w:t>
      </w:r>
      <w:r w:rsidR="0013564D" w:rsidRPr="0021199F">
        <w:rPr>
          <w:rFonts w:ascii="Abadi" w:hAnsi="Abadi"/>
          <w:sz w:val="21"/>
          <w:szCs w:val="21"/>
        </w:rPr>
        <w:t xml:space="preserve">. Muchas gracias. </w:t>
      </w:r>
    </w:p>
    <w:p w14:paraId="2FAE5E1B" w14:textId="39E01B3B" w:rsidR="0013564D" w:rsidRDefault="00636D6C" w:rsidP="00636D6C">
      <w:pPr>
        <w:pStyle w:val="NormalWeb"/>
        <w:ind w:firstLine="708"/>
        <w:jc w:val="both"/>
        <w:rPr>
          <w:rFonts w:ascii="Abadi" w:hAnsi="Abadi"/>
          <w:sz w:val="21"/>
          <w:szCs w:val="21"/>
        </w:rPr>
      </w:pPr>
      <w:r>
        <w:rPr>
          <w:rFonts w:ascii="Abadi" w:hAnsi="Abadi"/>
          <w:b/>
          <w:bCs/>
          <w:sz w:val="21"/>
          <w:szCs w:val="21"/>
        </w:rPr>
        <w:t xml:space="preserve">- </w:t>
      </w:r>
      <w:r w:rsidR="0013564D" w:rsidRPr="00207792">
        <w:rPr>
          <w:rFonts w:ascii="Abadi" w:hAnsi="Abadi"/>
          <w:b/>
          <w:bCs/>
          <w:sz w:val="21"/>
          <w:szCs w:val="21"/>
        </w:rPr>
        <w:t xml:space="preserve">La </w:t>
      </w:r>
      <w:proofErr w:type="gramStart"/>
      <w:r w:rsidR="0013564D" w:rsidRPr="00207792">
        <w:rPr>
          <w:rFonts w:ascii="Abadi" w:hAnsi="Abadi"/>
          <w:b/>
          <w:bCs/>
          <w:sz w:val="21"/>
          <w:szCs w:val="21"/>
        </w:rPr>
        <w:t>Presidencia.-</w:t>
      </w:r>
      <w:proofErr w:type="gramEnd"/>
      <w:r w:rsidR="0013564D">
        <w:rPr>
          <w:rFonts w:ascii="Abadi" w:hAnsi="Abadi"/>
          <w:sz w:val="21"/>
          <w:szCs w:val="21"/>
        </w:rPr>
        <w:t xml:space="preserve"> </w:t>
      </w:r>
      <w:r w:rsidR="0013564D" w:rsidRPr="0021199F">
        <w:rPr>
          <w:rFonts w:ascii="Abadi" w:hAnsi="Abadi"/>
          <w:sz w:val="21"/>
          <w:szCs w:val="21"/>
        </w:rPr>
        <w:t xml:space="preserve">Gracias, diputado. </w:t>
      </w:r>
    </w:p>
    <w:p w14:paraId="4F5D07C0" w14:textId="561CADDF" w:rsidR="0013564D" w:rsidRDefault="00537350" w:rsidP="00537350">
      <w:pPr>
        <w:pStyle w:val="NormalWeb"/>
        <w:ind w:firstLine="708"/>
        <w:jc w:val="both"/>
        <w:rPr>
          <w:rFonts w:ascii="Abadi" w:hAnsi="Abadi"/>
          <w:sz w:val="21"/>
          <w:szCs w:val="21"/>
        </w:rPr>
      </w:pPr>
      <w:r>
        <w:rPr>
          <w:rFonts w:ascii="Abadi" w:hAnsi="Abadi"/>
          <w:b/>
          <w:bCs/>
          <w:sz w:val="21"/>
          <w:szCs w:val="21"/>
        </w:rPr>
        <w:t xml:space="preserve">- </w:t>
      </w:r>
      <w:r w:rsidRPr="00537350">
        <w:rPr>
          <w:rFonts w:ascii="Abadi" w:hAnsi="Abadi"/>
          <w:b/>
          <w:bCs/>
          <w:sz w:val="21"/>
          <w:szCs w:val="21"/>
        </w:rPr>
        <w:t xml:space="preserve">La </w:t>
      </w:r>
      <w:proofErr w:type="gramStart"/>
      <w:r w:rsidRPr="00537350">
        <w:rPr>
          <w:rFonts w:ascii="Abadi" w:hAnsi="Abadi"/>
          <w:b/>
          <w:bCs/>
          <w:sz w:val="21"/>
          <w:szCs w:val="21"/>
        </w:rPr>
        <w:t>Presidencia.-</w:t>
      </w:r>
      <w:proofErr w:type="gramEnd"/>
      <w:r>
        <w:rPr>
          <w:rFonts w:ascii="Abadi" w:hAnsi="Abadi"/>
          <w:sz w:val="21"/>
          <w:szCs w:val="21"/>
        </w:rPr>
        <w:t xml:space="preserve"> </w:t>
      </w:r>
      <w:r w:rsidR="0013564D" w:rsidRPr="0021199F">
        <w:rPr>
          <w:rFonts w:ascii="Abadi" w:hAnsi="Abadi"/>
          <w:sz w:val="21"/>
          <w:szCs w:val="21"/>
        </w:rPr>
        <w:t xml:space="preserve">Es momento de darle el uso de la voz al </w:t>
      </w:r>
      <w:r w:rsidR="0013564D">
        <w:rPr>
          <w:rFonts w:ascii="Abadi" w:hAnsi="Abadi"/>
          <w:sz w:val="21"/>
          <w:szCs w:val="21"/>
        </w:rPr>
        <w:t>di</w:t>
      </w:r>
      <w:r w:rsidR="0013564D" w:rsidRPr="0021199F">
        <w:rPr>
          <w:rFonts w:ascii="Abadi" w:hAnsi="Abadi"/>
          <w:sz w:val="21"/>
          <w:szCs w:val="21"/>
        </w:rPr>
        <w:t>putado Bricio</w:t>
      </w:r>
      <w:r w:rsidR="0013564D">
        <w:rPr>
          <w:rFonts w:ascii="Abadi" w:hAnsi="Abadi"/>
          <w:sz w:val="21"/>
          <w:szCs w:val="21"/>
        </w:rPr>
        <w:t>,</w:t>
      </w:r>
      <w:r w:rsidR="0013564D" w:rsidRPr="0021199F">
        <w:rPr>
          <w:rFonts w:ascii="Abadi" w:hAnsi="Abadi"/>
          <w:sz w:val="21"/>
          <w:szCs w:val="21"/>
        </w:rPr>
        <w:t xml:space="preserve"> </w:t>
      </w:r>
      <w:r w:rsidR="0013564D">
        <w:rPr>
          <w:rFonts w:ascii="Abadi" w:hAnsi="Abadi"/>
          <w:sz w:val="21"/>
          <w:szCs w:val="21"/>
        </w:rPr>
        <w:t>h</w:t>
      </w:r>
      <w:r w:rsidR="0013564D" w:rsidRPr="0021199F">
        <w:rPr>
          <w:rFonts w:ascii="Abadi" w:hAnsi="Abadi"/>
          <w:sz w:val="21"/>
          <w:szCs w:val="21"/>
        </w:rPr>
        <w:t xml:space="preserve">asta por </w:t>
      </w:r>
      <w:r w:rsidR="0013564D">
        <w:rPr>
          <w:rFonts w:ascii="Abadi" w:hAnsi="Abadi"/>
          <w:sz w:val="21"/>
          <w:szCs w:val="21"/>
        </w:rPr>
        <w:t xml:space="preserve">10 </w:t>
      </w:r>
      <w:r w:rsidR="0013564D" w:rsidRPr="0021199F">
        <w:rPr>
          <w:rFonts w:ascii="Abadi" w:hAnsi="Abadi"/>
          <w:sz w:val="21"/>
          <w:szCs w:val="21"/>
        </w:rPr>
        <w:t xml:space="preserve">minutos. </w:t>
      </w:r>
    </w:p>
    <w:p w14:paraId="3EFF37B4" w14:textId="3889D53E" w:rsidR="0013564D" w:rsidRDefault="00537350" w:rsidP="00537350">
      <w:pPr>
        <w:pStyle w:val="NormalWeb"/>
        <w:ind w:firstLine="708"/>
        <w:jc w:val="both"/>
        <w:rPr>
          <w:rFonts w:ascii="Abadi" w:hAnsi="Abadi"/>
          <w:sz w:val="21"/>
          <w:szCs w:val="21"/>
        </w:rPr>
      </w:pPr>
      <w:r>
        <w:rPr>
          <w:rFonts w:ascii="Abadi" w:hAnsi="Abadi"/>
          <w:sz w:val="21"/>
          <w:szCs w:val="21"/>
        </w:rPr>
        <w:t xml:space="preserve">- </w:t>
      </w:r>
      <w:r w:rsidR="0013564D" w:rsidRPr="0021199F">
        <w:rPr>
          <w:rFonts w:ascii="Abadi" w:hAnsi="Abadi"/>
          <w:sz w:val="21"/>
          <w:szCs w:val="21"/>
        </w:rPr>
        <w:t xml:space="preserve">Adelante, diputado. </w:t>
      </w:r>
    </w:p>
    <w:p w14:paraId="23C6CD76" w14:textId="77777777" w:rsidR="0009409D" w:rsidRDefault="0009409D" w:rsidP="0013564D">
      <w:pPr>
        <w:pStyle w:val="NormalWeb"/>
        <w:jc w:val="both"/>
        <w:rPr>
          <w:rFonts w:ascii="Abadi" w:hAnsi="Abadi"/>
          <w:b/>
          <w:bCs/>
          <w:sz w:val="21"/>
          <w:szCs w:val="21"/>
        </w:rPr>
      </w:pPr>
    </w:p>
    <w:p w14:paraId="6008BDE5" w14:textId="0A20B4DA" w:rsidR="0013564D" w:rsidRDefault="0013564D" w:rsidP="0013564D">
      <w:pPr>
        <w:pStyle w:val="NormalWeb"/>
        <w:jc w:val="both"/>
        <w:rPr>
          <w:rFonts w:ascii="Abadi" w:hAnsi="Abadi"/>
          <w:b/>
          <w:bCs/>
          <w:sz w:val="21"/>
          <w:szCs w:val="21"/>
        </w:rPr>
      </w:pPr>
      <w:r w:rsidRPr="001C781B">
        <w:rPr>
          <w:rFonts w:ascii="Abadi" w:hAnsi="Abadi"/>
          <w:b/>
          <w:bCs/>
          <w:sz w:val="21"/>
          <w:szCs w:val="21"/>
        </w:rPr>
        <w:t xml:space="preserve">(Sube a tribuna </w:t>
      </w:r>
      <w:r>
        <w:rPr>
          <w:rFonts w:ascii="Abadi" w:hAnsi="Abadi"/>
          <w:b/>
          <w:bCs/>
          <w:sz w:val="21"/>
          <w:szCs w:val="21"/>
        </w:rPr>
        <w:t xml:space="preserve">el </w:t>
      </w:r>
      <w:r w:rsidRPr="001C781B">
        <w:rPr>
          <w:rFonts w:ascii="Abadi" w:hAnsi="Abadi"/>
          <w:b/>
          <w:bCs/>
          <w:sz w:val="21"/>
          <w:szCs w:val="21"/>
        </w:rPr>
        <w:t>Diputado Bricio Balderas</w:t>
      </w:r>
      <w:r>
        <w:rPr>
          <w:rFonts w:ascii="Abadi" w:hAnsi="Abadi"/>
          <w:b/>
          <w:bCs/>
          <w:sz w:val="21"/>
          <w:szCs w:val="21"/>
        </w:rPr>
        <w:t>,</w:t>
      </w:r>
      <w:r w:rsidRPr="001C781B">
        <w:rPr>
          <w:rFonts w:ascii="Abadi" w:hAnsi="Abadi"/>
          <w:b/>
          <w:bCs/>
          <w:sz w:val="21"/>
          <w:szCs w:val="21"/>
        </w:rPr>
        <w:t xml:space="preserve"> para hablar a favor del dictamen) </w:t>
      </w:r>
    </w:p>
    <w:p w14:paraId="4A69DB4C" w14:textId="77777777" w:rsidR="0013564D" w:rsidRDefault="0013564D" w:rsidP="0013564D">
      <w:pPr>
        <w:pStyle w:val="NormalWeb"/>
        <w:jc w:val="both"/>
        <w:rPr>
          <w:rFonts w:ascii="Abadi" w:hAnsi="Abadi"/>
          <w:b/>
          <w:bCs/>
          <w:sz w:val="21"/>
          <w:szCs w:val="21"/>
        </w:rPr>
      </w:pPr>
    </w:p>
    <w:p w14:paraId="4F8D82AC" w14:textId="77777777" w:rsidR="00D563C2" w:rsidRDefault="00D563C2" w:rsidP="0013564D">
      <w:pPr>
        <w:pStyle w:val="NormalWeb"/>
        <w:jc w:val="both"/>
        <w:rPr>
          <w:rFonts w:ascii="Abadi" w:hAnsi="Abadi"/>
          <w:b/>
          <w:bCs/>
          <w:sz w:val="21"/>
          <w:szCs w:val="21"/>
        </w:rPr>
      </w:pPr>
    </w:p>
    <w:p w14:paraId="23F8D12B" w14:textId="24349F8C" w:rsidR="00D563C2" w:rsidRDefault="00D563C2" w:rsidP="0013564D">
      <w:pPr>
        <w:pStyle w:val="NormalWeb"/>
        <w:jc w:val="both"/>
        <w:rPr>
          <w:rFonts w:ascii="Abadi" w:hAnsi="Abadi"/>
          <w:b/>
          <w:bCs/>
          <w:sz w:val="21"/>
          <w:szCs w:val="21"/>
        </w:rPr>
      </w:pPr>
      <w:r>
        <w:rPr>
          <w:noProof/>
        </w:rPr>
        <w:drawing>
          <wp:anchor distT="0" distB="0" distL="114300" distR="114300" simplePos="0" relativeHeight="251658264" behindDoc="1" locked="0" layoutInCell="1" allowOverlap="1" wp14:anchorId="7D427BE1" wp14:editId="71D750CC">
            <wp:simplePos x="0" y="0"/>
            <wp:positionH relativeFrom="column">
              <wp:posOffset>379095</wp:posOffset>
            </wp:positionH>
            <wp:positionV relativeFrom="paragraph">
              <wp:posOffset>123734</wp:posOffset>
            </wp:positionV>
            <wp:extent cx="2124075" cy="1096010"/>
            <wp:effectExtent l="0" t="114300" r="0" b="847090"/>
            <wp:wrapTight wrapText="bothSides">
              <wp:wrapPolygon edited="0">
                <wp:start x="194" y="-2253"/>
                <wp:lineTo x="194" y="34540"/>
                <wp:lineTo x="387" y="37919"/>
                <wp:lineTo x="2131" y="37919"/>
                <wp:lineTo x="2325" y="37168"/>
                <wp:lineTo x="19566" y="34540"/>
                <wp:lineTo x="20147" y="28908"/>
                <wp:lineTo x="20147" y="-2253"/>
                <wp:lineTo x="194" y="-2253"/>
              </wp:wrapPolygon>
            </wp:wrapTight>
            <wp:docPr id="48" name="Imagen 48" descr="Un hombre sentado frente a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Un hombre sentado frente a una pantalla&#10;&#10;Descripción generada automáticamente con confianza media"/>
                    <pic:cNvPicPr/>
                  </pic:nvPicPr>
                  <pic:blipFill rotWithShape="1">
                    <a:blip r:embed="rId60" cstate="print">
                      <a:extLst>
                        <a:ext uri="{28A0092B-C50C-407E-A947-70E740481C1C}">
                          <a14:useLocalDpi xmlns:a14="http://schemas.microsoft.com/office/drawing/2010/main" val="0"/>
                        </a:ext>
                      </a:extLst>
                    </a:blip>
                    <a:srcRect b="8231"/>
                    <a:stretch/>
                  </pic:blipFill>
                  <pic:spPr bwMode="auto">
                    <a:xfrm>
                      <a:off x="0" y="0"/>
                      <a:ext cx="2124075" cy="109601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516491" w14:textId="05E53F7E" w:rsidR="00D563C2" w:rsidRDefault="00D563C2" w:rsidP="0013564D">
      <w:pPr>
        <w:pStyle w:val="NormalWeb"/>
        <w:jc w:val="both"/>
        <w:rPr>
          <w:rFonts w:ascii="Abadi" w:hAnsi="Abadi"/>
          <w:b/>
          <w:bCs/>
          <w:sz w:val="21"/>
          <w:szCs w:val="21"/>
        </w:rPr>
      </w:pPr>
    </w:p>
    <w:p w14:paraId="3B360F34" w14:textId="445F482F" w:rsidR="00D563C2" w:rsidRDefault="00D563C2" w:rsidP="0013564D">
      <w:pPr>
        <w:pStyle w:val="NormalWeb"/>
        <w:jc w:val="both"/>
        <w:rPr>
          <w:rFonts w:ascii="Abadi" w:hAnsi="Abadi"/>
          <w:b/>
          <w:bCs/>
          <w:sz w:val="21"/>
          <w:szCs w:val="21"/>
        </w:rPr>
      </w:pPr>
    </w:p>
    <w:p w14:paraId="1B0F00E4" w14:textId="654F8ED6" w:rsidR="00D563C2" w:rsidRDefault="00D563C2" w:rsidP="0013564D">
      <w:pPr>
        <w:pStyle w:val="NormalWeb"/>
        <w:jc w:val="both"/>
        <w:rPr>
          <w:rFonts w:ascii="Abadi" w:hAnsi="Abadi"/>
          <w:b/>
          <w:bCs/>
          <w:sz w:val="21"/>
          <w:szCs w:val="21"/>
        </w:rPr>
      </w:pPr>
    </w:p>
    <w:p w14:paraId="5A0EDC08" w14:textId="21285AEB" w:rsidR="0013564D" w:rsidRDefault="0013564D" w:rsidP="0013564D">
      <w:pPr>
        <w:pStyle w:val="NormalWeb"/>
        <w:jc w:val="both"/>
        <w:rPr>
          <w:rFonts w:ascii="Abadi" w:hAnsi="Abadi"/>
          <w:b/>
          <w:bCs/>
          <w:sz w:val="21"/>
          <w:szCs w:val="21"/>
        </w:rPr>
      </w:pPr>
    </w:p>
    <w:p w14:paraId="5FBDCC51" w14:textId="77777777" w:rsidR="00D563C2" w:rsidRDefault="00D563C2" w:rsidP="0013564D">
      <w:pPr>
        <w:pStyle w:val="NormalWeb"/>
        <w:jc w:val="both"/>
        <w:rPr>
          <w:rFonts w:ascii="Abadi" w:hAnsi="Abadi"/>
          <w:sz w:val="21"/>
          <w:szCs w:val="21"/>
        </w:rPr>
      </w:pPr>
    </w:p>
    <w:p w14:paraId="28A1F425" w14:textId="77777777" w:rsidR="00D563C2" w:rsidRDefault="00D563C2" w:rsidP="0013564D">
      <w:pPr>
        <w:pStyle w:val="NormalWeb"/>
        <w:jc w:val="both"/>
        <w:rPr>
          <w:rFonts w:ascii="Abadi" w:hAnsi="Abadi"/>
          <w:sz w:val="21"/>
          <w:szCs w:val="21"/>
        </w:rPr>
      </w:pPr>
    </w:p>
    <w:p w14:paraId="3CFB3C06" w14:textId="0F541B24" w:rsidR="0013564D" w:rsidRDefault="0013564D" w:rsidP="0013564D">
      <w:pPr>
        <w:pStyle w:val="NormalWeb"/>
        <w:jc w:val="both"/>
        <w:rPr>
          <w:rFonts w:ascii="Abadi" w:hAnsi="Abadi"/>
          <w:sz w:val="21"/>
          <w:szCs w:val="21"/>
        </w:rPr>
      </w:pPr>
      <w:r>
        <w:rPr>
          <w:rFonts w:ascii="Abadi" w:hAnsi="Abadi"/>
          <w:sz w:val="21"/>
          <w:szCs w:val="21"/>
        </w:rPr>
        <w:t>¡M</w:t>
      </w:r>
      <w:r w:rsidRPr="0021199F">
        <w:rPr>
          <w:rFonts w:ascii="Abadi" w:hAnsi="Abadi"/>
          <w:sz w:val="21"/>
          <w:szCs w:val="21"/>
        </w:rPr>
        <w:t>uy buenas tardes</w:t>
      </w:r>
      <w:r>
        <w:rPr>
          <w:rFonts w:ascii="Abadi" w:hAnsi="Abadi"/>
          <w:sz w:val="21"/>
          <w:szCs w:val="21"/>
        </w:rPr>
        <w:t>! c</w:t>
      </w:r>
      <w:r w:rsidRPr="0021199F">
        <w:rPr>
          <w:rFonts w:ascii="Abadi" w:hAnsi="Abadi"/>
          <w:sz w:val="21"/>
          <w:szCs w:val="21"/>
        </w:rPr>
        <w:t xml:space="preserve">on el permiso de la </w:t>
      </w:r>
      <w:r>
        <w:rPr>
          <w:rFonts w:ascii="Abadi" w:hAnsi="Abadi"/>
          <w:sz w:val="21"/>
          <w:szCs w:val="21"/>
        </w:rPr>
        <w:t>M</w:t>
      </w:r>
      <w:r w:rsidRPr="0021199F">
        <w:rPr>
          <w:rFonts w:ascii="Abadi" w:hAnsi="Abadi"/>
          <w:sz w:val="21"/>
          <w:szCs w:val="21"/>
        </w:rPr>
        <w:t xml:space="preserve">esa </w:t>
      </w:r>
      <w:r>
        <w:rPr>
          <w:rFonts w:ascii="Abadi" w:hAnsi="Abadi"/>
          <w:sz w:val="21"/>
          <w:szCs w:val="21"/>
        </w:rPr>
        <w:t>D</w:t>
      </w:r>
      <w:r w:rsidRPr="0021199F">
        <w:rPr>
          <w:rFonts w:ascii="Abadi" w:hAnsi="Abadi"/>
          <w:sz w:val="21"/>
          <w:szCs w:val="21"/>
        </w:rPr>
        <w:t>irectiva</w:t>
      </w:r>
      <w:r>
        <w:rPr>
          <w:rFonts w:ascii="Abadi" w:hAnsi="Abadi"/>
          <w:sz w:val="21"/>
          <w:szCs w:val="21"/>
        </w:rPr>
        <w:t>,</w:t>
      </w:r>
      <w:r w:rsidRPr="0021199F">
        <w:rPr>
          <w:rFonts w:ascii="Abadi" w:hAnsi="Abadi"/>
          <w:sz w:val="21"/>
          <w:szCs w:val="21"/>
        </w:rPr>
        <w:t xml:space="preserve"> de la Presidencia, </w:t>
      </w:r>
      <w:r>
        <w:rPr>
          <w:rFonts w:ascii="Abadi" w:hAnsi="Abadi"/>
          <w:sz w:val="21"/>
          <w:szCs w:val="21"/>
        </w:rPr>
        <w:t>un</w:t>
      </w:r>
      <w:r w:rsidRPr="0021199F">
        <w:rPr>
          <w:rFonts w:ascii="Abadi" w:hAnsi="Abadi"/>
          <w:sz w:val="21"/>
          <w:szCs w:val="21"/>
        </w:rPr>
        <w:t xml:space="preserve"> gustó volverles a saludar</w:t>
      </w:r>
      <w:r>
        <w:rPr>
          <w:rFonts w:ascii="Abadi" w:hAnsi="Abadi"/>
          <w:sz w:val="21"/>
          <w:szCs w:val="21"/>
        </w:rPr>
        <w:t>,</w:t>
      </w:r>
      <w:r w:rsidRPr="0021199F">
        <w:rPr>
          <w:rFonts w:ascii="Abadi" w:hAnsi="Abadi"/>
          <w:sz w:val="21"/>
          <w:szCs w:val="21"/>
        </w:rPr>
        <w:t xml:space="preserve"> de manera especial a los medios de comunicación y a la ciudadanía que no sigue presencial y virtualmente</w:t>
      </w:r>
      <w:r>
        <w:rPr>
          <w:rFonts w:ascii="Abadi" w:hAnsi="Abadi"/>
          <w:sz w:val="21"/>
          <w:szCs w:val="21"/>
        </w:rPr>
        <w:t>.</w:t>
      </w:r>
      <w:r w:rsidRPr="0021199F">
        <w:rPr>
          <w:rFonts w:ascii="Abadi" w:hAnsi="Abadi"/>
          <w:sz w:val="21"/>
          <w:szCs w:val="21"/>
        </w:rPr>
        <w:t xml:space="preserve"> </w:t>
      </w:r>
    </w:p>
    <w:p w14:paraId="0D3A7A57" w14:textId="77777777" w:rsidR="0013564D" w:rsidRDefault="0013564D" w:rsidP="0013564D">
      <w:pPr>
        <w:pStyle w:val="NormalWeb"/>
        <w:jc w:val="both"/>
        <w:rPr>
          <w:rFonts w:ascii="Abadi" w:hAnsi="Abadi"/>
          <w:sz w:val="21"/>
          <w:szCs w:val="21"/>
        </w:rPr>
      </w:pPr>
      <w:r>
        <w:rPr>
          <w:rFonts w:ascii="Abadi" w:hAnsi="Abadi"/>
          <w:sz w:val="21"/>
          <w:szCs w:val="21"/>
        </w:rPr>
        <w:t>- A</w:t>
      </w:r>
      <w:r w:rsidRPr="0021199F">
        <w:rPr>
          <w:rFonts w:ascii="Abadi" w:hAnsi="Abadi"/>
          <w:sz w:val="21"/>
          <w:szCs w:val="21"/>
        </w:rPr>
        <w:t>ntes de entrar en materia, por lo cual deseo hablar a favor de este dictamen. Yo deseo destacar y agradecer a los miembros, a la diputada que conforman la Comisión de Asuntos Municipales y que me honro en presidir</w:t>
      </w:r>
      <w:r>
        <w:rPr>
          <w:rFonts w:ascii="Abadi" w:hAnsi="Abadi"/>
          <w:sz w:val="21"/>
          <w:szCs w:val="21"/>
        </w:rPr>
        <w:t>,</w:t>
      </w:r>
      <w:r w:rsidRPr="0021199F">
        <w:rPr>
          <w:rFonts w:ascii="Abadi" w:hAnsi="Abadi"/>
          <w:sz w:val="21"/>
          <w:szCs w:val="21"/>
        </w:rPr>
        <w:t xml:space="preserve"> a la diputada Ruth</w:t>
      </w:r>
      <w:r>
        <w:rPr>
          <w:rFonts w:ascii="Abadi" w:hAnsi="Abadi"/>
          <w:sz w:val="21"/>
          <w:szCs w:val="21"/>
        </w:rPr>
        <w:t>, del PRI,</w:t>
      </w:r>
      <w:r w:rsidRPr="0021199F">
        <w:rPr>
          <w:rFonts w:ascii="Abadi" w:hAnsi="Abadi"/>
          <w:sz w:val="21"/>
          <w:szCs w:val="21"/>
        </w:rPr>
        <w:t xml:space="preserve"> </w:t>
      </w:r>
      <w:r>
        <w:rPr>
          <w:rFonts w:ascii="Abadi" w:hAnsi="Abadi"/>
          <w:sz w:val="21"/>
          <w:szCs w:val="21"/>
        </w:rPr>
        <w:t>al</w:t>
      </w:r>
      <w:r w:rsidRPr="0021199F">
        <w:rPr>
          <w:rFonts w:ascii="Abadi" w:hAnsi="Abadi"/>
          <w:sz w:val="21"/>
          <w:szCs w:val="21"/>
        </w:rPr>
        <w:t xml:space="preserve"> diputado Millán de Morena, </w:t>
      </w:r>
      <w:r>
        <w:rPr>
          <w:rFonts w:ascii="Abadi" w:hAnsi="Abadi"/>
          <w:sz w:val="21"/>
          <w:szCs w:val="21"/>
        </w:rPr>
        <w:t xml:space="preserve"> a </w:t>
      </w:r>
      <w:r w:rsidRPr="0021199F">
        <w:rPr>
          <w:rFonts w:ascii="Abadi" w:hAnsi="Abadi"/>
          <w:sz w:val="21"/>
          <w:szCs w:val="21"/>
        </w:rPr>
        <w:t>mi compañero Armando Rangel, a Jorge, porque en el análisis y de manera unánime, con mucha responsabilidad, se vota por unanimidad este dictamen que se pone a consideración.</w:t>
      </w:r>
      <w:r>
        <w:rPr>
          <w:rFonts w:ascii="Abadi" w:hAnsi="Abadi"/>
          <w:sz w:val="21"/>
          <w:szCs w:val="21"/>
        </w:rPr>
        <w:t>, deveras</w:t>
      </w:r>
      <w:r w:rsidRPr="0021199F">
        <w:rPr>
          <w:rFonts w:ascii="Abadi" w:hAnsi="Abadi"/>
          <w:sz w:val="21"/>
          <w:szCs w:val="21"/>
        </w:rPr>
        <w:t xml:space="preserve"> m</w:t>
      </w:r>
      <w:r>
        <w:rPr>
          <w:rFonts w:ascii="Abadi" w:hAnsi="Abadi"/>
          <w:sz w:val="21"/>
          <w:szCs w:val="21"/>
        </w:rPr>
        <w:t>i</w:t>
      </w:r>
      <w:r w:rsidRPr="0021199F">
        <w:rPr>
          <w:rFonts w:ascii="Abadi" w:hAnsi="Abadi"/>
          <w:sz w:val="21"/>
          <w:szCs w:val="21"/>
        </w:rPr>
        <w:t xml:space="preserve"> reconocimiento porque sabemos cuál es el antecedente de este asunto y de manera muy responsable teníamos que atenderlo a profundidad</w:t>
      </w:r>
      <w:r>
        <w:rPr>
          <w:rFonts w:ascii="Abadi" w:hAnsi="Abadi"/>
          <w:sz w:val="21"/>
          <w:szCs w:val="21"/>
        </w:rPr>
        <w:t>.</w:t>
      </w:r>
      <w:r w:rsidRPr="0021199F">
        <w:rPr>
          <w:rFonts w:ascii="Abadi" w:hAnsi="Abadi"/>
          <w:sz w:val="21"/>
          <w:szCs w:val="21"/>
        </w:rPr>
        <w:t xml:space="preserve"> </w:t>
      </w:r>
      <w:r>
        <w:rPr>
          <w:rFonts w:ascii="Abadi" w:hAnsi="Abadi"/>
          <w:sz w:val="21"/>
          <w:szCs w:val="21"/>
        </w:rPr>
        <w:t>L</w:t>
      </w:r>
      <w:r w:rsidRPr="0021199F">
        <w:rPr>
          <w:rFonts w:ascii="Abadi" w:hAnsi="Abadi"/>
          <w:sz w:val="21"/>
          <w:szCs w:val="21"/>
        </w:rPr>
        <w:t>os acuerdos tomados para su estudio</w:t>
      </w:r>
      <w:r>
        <w:rPr>
          <w:rFonts w:ascii="Abadi" w:hAnsi="Abadi"/>
          <w:sz w:val="21"/>
          <w:szCs w:val="21"/>
        </w:rPr>
        <w:t>, d</w:t>
      </w:r>
      <w:r w:rsidRPr="0021199F">
        <w:rPr>
          <w:rFonts w:ascii="Abadi" w:hAnsi="Abadi"/>
          <w:sz w:val="21"/>
          <w:szCs w:val="21"/>
        </w:rPr>
        <w:t>e veras</w:t>
      </w:r>
      <w:r>
        <w:rPr>
          <w:rFonts w:ascii="Abadi" w:hAnsi="Abadi"/>
          <w:sz w:val="21"/>
          <w:szCs w:val="21"/>
        </w:rPr>
        <w:t xml:space="preserve">, </w:t>
      </w:r>
      <w:r w:rsidRPr="0021199F">
        <w:rPr>
          <w:rFonts w:ascii="Abadi" w:hAnsi="Abadi"/>
          <w:sz w:val="21"/>
          <w:szCs w:val="21"/>
        </w:rPr>
        <w:t>lo insisto, fueron muy, muy responsables y efectivamente, recordemos que el proponente, el diputado que me antecedió, solicito cuatro cosas en el exhorto que aquí enumero</w:t>
      </w:r>
      <w:r>
        <w:rPr>
          <w:rFonts w:ascii="Abadi" w:hAnsi="Abadi"/>
          <w:sz w:val="21"/>
          <w:szCs w:val="21"/>
        </w:rPr>
        <w:t>,</w:t>
      </w:r>
      <w:r w:rsidRPr="0021199F">
        <w:rPr>
          <w:rFonts w:ascii="Abadi" w:hAnsi="Abadi"/>
          <w:sz w:val="21"/>
          <w:szCs w:val="21"/>
        </w:rPr>
        <w:t xml:space="preserve"> </w:t>
      </w:r>
      <w:r>
        <w:rPr>
          <w:rFonts w:ascii="Abadi" w:hAnsi="Abadi"/>
          <w:sz w:val="21"/>
          <w:szCs w:val="21"/>
        </w:rPr>
        <w:t>y</w:t>
      </w:r>
      <w:r w:rsidRPr="0021199F">
        <w:rPr>
          <w:rFonts w:ascii="Abadi" w:hAnsi="Abadi"/>
          <w:sz w:val="21"/>
          <w:szCs w:val="21"/>
        </w:rPr>
        <w:t xml:space="preserve"> también quiero hacer mención </w:t>
      </w:r>
      <w:proofErr w:type="gramStart"/>
      <w:r w:rsidRPr="0021199F">
        <w:rPr>
          <w:rFonts w:ascii="Abadi" w:hAnsi="Abadi"/>
          <w:sz w:val="21"/>
          <w:szCs w:val="21"/>
        </w:rPr>
        <w:t>a</w:t>
      </w:r>
      <w:proofErr w:type="gramEnd"/>
      <w:r w:rsidRPr="0021199F">
        <w:rPr>
          <w:rFonts w:ascii="Abadi" w:hAnsi="Abadi"/>
          <w:sz w:val="21"/>
          <w:szCs w:val="21"/>
        </w:rPr>
        <w:t xml:space="preserve"> todos y cada uno de ellos de manera lo más breve posible y puntual. </w:t>
      </w:r>
    </w:p>
    <w:p w14:paraId="17740C03"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Me hubiera encantado</w:t>
      </w:r>
      <w:r>
        <w:rPr>
          <w:rFonts w:ascii="Abadi" w:hAnsi="Abadi"/>
          <w:sz w:val="21"/>
          <w:szCs w:val="21"/>
        </w:rPr>
        <w:t xml:space="preserve">, y </w:t>
      </w:r>
      <w:r w:rsidRPr="0021199F">
        <w:rPr>
          <w:rFonts w:ascii="Abadi" w:hAnsi="Abadi"/>
          <w:sz w:val="21"/>
          <w:szCs w:val="21"/>
        </w:rPr>
        <w:t>seguramente a los integrantes de la Comisión que estos argumentos que se dieron aquí</w:t>
      </w:r>
      <w:r>
        <w:rPr>
          <w:rFonts w:ascii="Abadi" w:hAnsi="Abadi"/>
          <w:sz w:val="21"/>
          <w:szCs w:val="21"/>
        </w:rPr>
        <w:t>,</w:t>
      </w:r>
      <w:r w:rsidRPr="0021199F">
        <w:rPr>
          <w:rFonts w:ascii="Abadi" w:hAnsi="Abadi"/>
          <w:sz w:val="21"/>
          <w:szCs w:val="21"/>
        </w:rPr>
        <w:t xml:space="preserve"> hace un momento</w:t>
      </w:r>
      <w:r>
        <w:rPr>
          <w:rFonts w:ascii="Abadi" w:hAnsi="Abadi"/>
          <w:sz w:val="21"/>
          <w:szCs w:val="21"/>
        </w:rPr>
        <w:t>,</w:t>
      </w:r>
      <w:r w:rsidRPr="0021199F">
        <w:rPr>
          <w:rFonts w:ascii="Abadi" w:hAnsi="Abadi"/>
          <w:sz w:val="21"/>
          <w:szCs w:val="21"/>
        </w:rPr>
        <w:t xml:space="preserve"> s</w:t>
      </w:r>
      <w:r>
        <w:rPr>
          <w:rFonts w:ascii="Abadi" w:hAnsi="Abadi"/>
          <w:sz w:val="21"/>
          <w:szCs w:val="21"/>
        </w:rPr>
        <w:t>e</w:t>
      </w:r>
      <w:r w:rsidRPr="0021199F">
        <w:rPr>
          <w:rFonts w:ascii="Abadi" w:hAnsi="Abadi"/>
          <w:sz w:val="21"/>
          <w:szCs w:val="21"/>
        </w:rPr>
        <w:t xml:space="preserve"> hubieran vertido en la mesa de análisis de trabajo</w:t>
      </w:r>
      <w:r>
        <w:rPr>
          <w:rFonts w:ascii="Abadi" w:hAnsi="Abadi"/>
          <w:sz w:val="21"/>
          <w:szCs w:val="21"/>
        </w:rPr>
        <w:t>.</w:t>
      </w:r>
      <w:r w:rsidRPr="0021199F">
        <w:rPr>
          <w:rFonts w:ascii="Abadi" w:hAnsi="Abadi"/>
          <w:sz w:val="21"/>
          <w:szCs w:val="21"/>
        </w:rPr>
        <w:t xml:space="preserve"> </w:t>
      </w:r>
      <w:r>
        <w:rPr>
          <w:rFonts w:ascii="Abadi" w:hAnsi="Abadi"/>
          <w:sz w:val="21"/>
          <w:szCs w:val="21"/>
        </w:rPr>
        <w:t>L</w:t>
      </w:r>
      <w:r w:rsidRPr="0021199F">
        <w:rPr>
          <w:rFonts w:ascii="Abadi" w:hAnsi="Abadi"/>
          <w:sz w:val="21"/>
          <w:szCs w:val="21"/>
        </w:rPr>
        <w:t>a metodología se circula a todas y todos los diputados para conocimiento</w:t>
      </w:r>
      <w:r>
        <w:rPr>
          <w:rFonts w:ascii="Abadi" w:hAnsi="Abadi"/>
          <w:sz w:val="21"/>
          <w:szCs w:val="21"/>
        </w:rPr>
        <w:t xml:space="preserve"> y más </w:t>
      </w:r>
      <w:r w:rsidRPr="0021199F">
        <w:rPr>
          <w:rFonts w:ascii="Abadi" w:hAnsi="Abadi"/>
          <w:sz w:val="21"/>
          <w:szCs w:val="21"/>
        </w:rPr>
        <w:t>aún hubiera sido ejemplar la discusión en la sesión de comisión, con documentos en mano</w:t>
      </w:r>
      <w:r>
        <w:rPr>
          <w:rFonts w:ascii="Abadi" w:hAnsi="Abadi"/>
          <w:sz w:val="21"/>
          <w:szCs w:val="21"/>
        </w:rPr>
        <w:t>, c</w:t>
      </w:r>
      <w:r w:rsidRPr="0021199F">
        <w:rPr>
          <w:rFonts w:ascii="Abadi" w:hAnsi="Abadi"/>
          <w:sz w:val="21"/>
          <w:szCs w:val="21"/>
        </w:rPr>
        <w:t xml:space="preserve">on los informes vertidos a toro pasado, pretenden enmendar una plana que no existe. </w:t>
      </w:r>
    </w:p>
    <w:p w14:paraId="59FD8F9A"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Le voy a decir por qué</w:t>
      </w:r>
      <w:r>
        <w:rPr>
          <w:rFonts w:ascii="Abadi" w:hAnsi="Abadi"/>
          <w:sz w:val="21"/>
          <w:szCs w:val="21"/>
        </w:rPr>
        <w:t>.</w:t>
      </w:r>
      <w:r w:rsidRPr="0021199F">
        <w:rPr>
          <w:rFonts w:ascii="Abadi" w:hAnsi="Abadi"/>
          <w:sz w:val="21"/>
          <w:szCs w:val="21"/>
        </w:rPr>
        <w:t xml:space="preserve"> </w:t>
      </w:r>
      <w:r>
        <w:rPr>
          <w:rFonts w:ascii="Abadi" w:hAnsi="Abadi"/>
          <w:sz w:val="21"/>
          <w:szCs w:val="21"/>
        </w:rPr>
        <w:t>A</w:t>
      </w:r>
      <w:r w:rsidRPr="0021199F">
        <w:rPr>
          <w:rFonts w:ascii="Abadi" w:hAnsi="Abadi"/>
          <w:sz w:val="21"/>
          <w:szCs w:val="21"/>
        </w:rPr>
        <w:t>hora no estamos obligados a mandarle los informes</w:t>
      </w:r>
      <w:r>
        <w:rPr>
          <w:rFonts w:ascii="Abadi" w:hAnsi="Abadi"/>
          <w:sz w:val="21"/>
          <w:szCs w:val="21"/>
        </w:rPr>
        <w:t>.</w:t>
      </w:r>
      <w:r w:rsidRPr="0021199F">
        <w:rPr>
          <w:rFonts w:ascii="Abadi" w:hAnsi="Abadi"/>
          <w:sz w:val="21"/>
          <w:szCs w:val="21"/>
        </w:rPr>
        <w:t xml:space="preserve"> Todos tenemos obligación, responsabilidad de derecho, de participar en los meses de trabajo o en las comisiones, formemos o no parte de las mismas. El proponente del tema y este es el </w:t>
      </w:r>
      <w:r>
        <w:rPr>
          <w:rFonts w:ascii="Abadi" w:hAnsi="Abadi"/>
          <w:sz w:val="21"/>
          <w:szCs w:val="21"/>
        </w:rPr>
        <w:t>quid</w:t>
      </w:r>
      <w:r w:rsidRPr="0021199F">
        <w:rPr>
          <w:rFonts w:ascii="Abadi" w:hAnsi="Abadi"/>
          <w:sz w:val="21"/>
          <w:szCs w:val="21"/>
        </w:rPr>
        <w:t xml:space="preserve"> el asunto</w:t>
      </w:r>
      <w:r>
        <w:rPr>
          <w:rFonts w:ascii="Abadi" w:hAnsi="Abadi"/>
          <w:sz w:val="21"/>
          <w:szCs w:val="21"/>
        </w:rPr>
        <w:t>,</w:t>
      </w:r>
      <w:r w:rsidRPr="0021199F">
        <w:rPr>
          <w:rFonts w:ascii="Abadi" w:hAnsi="Abadi"/>
          <w:sz w:val="21"/>
          <w:szCs w:val="21"/>
        </w:rPr>
        <w:t xml:space="preserve"> de los cuatro puntos</w:t>
      </w:r>
      <w:r>
        <w:rPr>
          <w:rFonts w:ascii="Abadi" w:hAnsi="Abadi"/>
          <w:sz w:val="21"/>
          <w:szCs w:val="21"/>
        </w:rPr>
        <w:t>, s</w:t>
      </w:r>
      <w:r w:rsidRPr="0021199F">
        <w:rPr>
          <w:rFonts w:ascii="Abadi" w:hAnsi="Abadi"/>
          <w:sz w:val="21"/>
          <w:szCs w:val="21"/>
        </w:rPr>
        <w:t>olicito</w:t>
      </w:r>
      <w:r>
        <w:rPr>
          <w:rFonts w:ascii="Abadi" w:hAnsi="Abadi"/>
          <w:sz w:val="21"/>
          <w:szCs w:val="21"/>
        </w:rPr>
        <w:t>:</w:t>
      </w:r>
      <w:r w:rsidRPr="0021199F">
        <w:rPr>
          <w:rFonts w:ascii="Abadi" w:hAnsi="Abadi"/>
          <w:sz w:val="21"/>
          <w:szCs w:val="21"/>
        </w:rPr>
        <w:t xml:space="preserve"> informe</w:t>
      </w:r>
      <w:r>
        <w:rPr>
          <w:rFonts w:ascii="Abadi" w:hAnsi="Abadi"/>
          <w:sz w:val="21"/>
          <w:szCs w:val="21"/>
        </w:rPr>
        <w:t>,</w:t>
      </w:r>
      <w:r w:rsidRPr="0021199F">
        <w:rPr>
          <w:rFonts w:ascii="Abadi" w:hAnsi="Abadi"/>
          <w:sz w:val="21"/>
          <w:szCs w:val="21"/>
        </w:rPr>
        <w:t xml:space="preserve"> informe detalladamente sobre sus investigaciones internas. Le pide a </w:t>
      </w:r>
      <w:r>
        <w:rPr>
          <w:rFonts w:ascii="Abadi" w:hAnsi="Abadi"/>
          <w:sz w:val="21"/>
          <w:szCs w:val="21"/>
        </w:rPr>
        <w:t>SAPAL</w:t>
      </w:r>
      <w:r w:rsidRPr="0021199F">
        <w:rPr>
          <w:rFonts w:ascii="Abadi" w:hAnsi="Abadi"/>
          <w:sz w:val="21"/>
          <w:szCs w:val="21"/>
        </w:rPr>
        <w:t xml:space="preserve"> informe sobre sus investigaciones internas de los hechos ocurridos. El informe se rindió. Podemos ir más allá de lo que nos informa</w:t>
      </w:r>
      <w:r>
        <w:rPr>
          <w:rFonts w:ascii="Abadi" w:hAnsi="Abadi"/>
          <w:sz w:val="21"/>
          <w:szCs w:val="21"/>
        </w:rPr>
        <w:t>, s</w:t>
      </w:r>
      <w:r w:rsidRPr="0021199F">
        <w:rPr>
          <w:rFonts w:ascii="Abadi" w:hAnsi="Abadi"/>
          <w:sz w:val="21"/>
          <w:szCs w:val="21"/>
        </w:rPr>
        <w:t xml:space="preserve">in embargo, la Comisión y atento a sus facultades y al tema, fuimos más allá </w:t>
      </w:r>
      <w:r>
        <w:rPr>
          <w:rFonts w:ascii="Abadi" w:hAnsi="Abadi"/>
          <w:sz w:val="21"/>
          <w:szCs w:val="21"/>
        </w:rPr>
        <w:t>a los</w:t>
      </w:r>
      <w:r w:rsidRPr="0021199F">
        <w:rPr>
          <w:rFonts w:ascii="Abadi" w:hAnsi="Abadi"/>
          <w:sz w:val="21"/>
          <w:szCs w:val="21"/>
        </w:rPr>
        <w:t xml:space="preserve"> alcances del exhorto y en acuerdo en la metodología, solicitamos inclusive no nada más el informe sobre sus investigaciones de </w:t>
      </w:r>
      <w:r>
        <w:rPr>
          <w:rFonts w:ascii="Abadi" w:hAnsi="Abadi"/>
          <w:sz w:val="21"/>
          <w:szCs w:val="21"/>
        </w:rPr>
        <w:t>SAPAL,</w:t>
      </w:r>
      <w:r w:rsidRPr="0021199F">
        <w:rPr>
          <w:rFonts w:ascii="Abadi" w:hAnsi="Abadi"/>
          <w:sz w:val="21"/>
          <w:szCs w:val="21"/>
        </w:rPr>
        <w:t xml:space="preserve"> </w:t>
      </w:r>
      <w:r>
        <w:rPr>
          <w:rFonts w:ascii="Abadi" w:hAnsi="Abadi"/>
          <w:sz w:val="21"/>
          <w:szCs w:val="21"/>
        </w:rPr>
        <w:t>no</w:t>
      </w:r>
      <w:r w:rsidRPr="0021199F">
        <w:rPr>
          <w:rFonts w:ascii="Abadi" w:hAnsi="Abadi"/>
          <w:sz w:val="21"/>
          <w:szCs w:val="21"/>
        </w:rPr>
        <w:t xml:space="preserve"> </w:t>
      </w:r>
      <w:r>
        <w:rPr>
          <w:rFonts w:ascii="Abadi" w:hAnsi="Abadi"/>
          <w:sz w:val="21"/>
          <w:szCs w:val="21"/>
        </w:rPr>
        <w:t>¿</w:t>
      </w:r>
      <w:r w:rsidRPr="0021199F">
        <w:rPr>
          <w:rFonts w:ascii="Abadi" w:hAnsi="Abadi"/>
          <w:sz w:val="21"/>
          <w:szCs w:val="21"/>
        </w:rPr>
        <w:t>Qué acci</w:t>
      </w:r>
      <w:r>
        <w:rPr>
          <w:rFonts w:ascii="Abadi" w:hAnsi="Abadi"/>
          <w:sz w:val="21"/>
          <w:szCs w:val="21"/>
        </w:rPr>
        <w:t>ones</w:t>
      </w:r>
      <w:r w:rsidRPr="0021199F">
        <w:rPr>
          <w:rFonts w:ascii="Abadi" w:hAnsi="Abadi"/>
          <w:sz w:val="21"/>
          <w:szCs w:val="21"/>
        </w:rPr>
        <w:t xml:space="preserve"> están realizado para la atención de las víctimas? </w:t>
      </w:r>
      <w:r>
        <w:rPr>
          <w:rFonts w:ascii="Abadi" w:hAnsi="Abadi"/>
          <w:sz w:val="21"/>
          <w:szCs w:val="21"/>
        </w:rPr>
        <w:t>y SAPAL procedió a</w:t>
      </w:r>
      <w:r w:rsidRPr="0021199F">
        <w:rPr>
          <w:rFonts w:ascii="Abadi" w:hAnsi="Abadi"/>
          <w:sz w:val="21"/>
          <w:szCs w:val="21"/>
        </w:rPr>
        <w:t xml:space="preserve"> informa</w:t>
      </w:r>
      <w:r>
        <w:rPr>
          <w:rFonts w:ascii="Abadi" w:hAnsi="Abadi"/>
          <w:sz w:val="21"/>
          <w:szCs w:val="21"/>
        </w:rPr>
        <w:t>r</w:t>
      </w:r>
      <w:r w:rsidRPr="0021199F">
        <w:rPr>
          <w:rFonts w:ascii="Abadi" w:hAnsi="Abadi"/>
          <w:sz w:val="21"/>
          <w:szCs w:val="21"/>
        </w:rPr>
        <w:t xml:space="preserve"> y nos dijo</w:t>
      </w:r>
      <w:r>
        <w:rPr>
          <w:rFonts w:ascii="Abadi" w:hAnsi="Abadi"/>
          <w:sz w:val="21"/>
          <w:szCs w:val="21"/>
        </w:rPr>
        <w:t>: l</w:t>
      </w:r>
      <w:r w:rsidRPr="0021199F">
        <w:rPr>
          <w:rFonts w:ascii="Abadi" w:hAnsi="Abadi"/>
          <w:sz w:val="21"/>
          <w:szCs w:val="21"/>
        </w:rPr>
        <w:t>os procedimientos civiles, penales y administrativos por movidos promovidos para él</w:t>
      </w:r>
      <w:r>
        <w:rPr>
          <w:rFonts w:ascii="Abadi" w:hAnsi="Abadi"/>
          <w:sz w:val="21"/>
          <w:szCs w:val="21"/>
        </w:rPr>
        <w:t>,</w:t>
      </w:r>
      <w:r w:rsidRPr="0021199F">
        <w:rPr>
          <w:rFonts w:ascii="Abadi" w:hAnsi="Abadi"/>
          <w:sz w:val="21"/>
          <w:szCs w:val="21"/>
        </w:rPr>
        <w:t xml:space="preserve"> por los afectados en contra del sistema han sido archivados y concluido lo anterior, en virtud de los acuerdos que alcanzó la Junta, el sistema de agua potable, con los trabajadores, con las con los de</w:t>
      </w:r>
      <w:r>
        <w:rPr>
          <w:rFonts w:ascii="Abadi" w:hAnsi="Abadi"/>
          <w:sz w:val="21"/>
          <w:szCs w:val="21"/>
        </w:rPr>
        <w:t>u</w:t>
      </w:r>
      <w:r w:rsidRPr="0021199F">
        <w:rPr>
          <w:rFonts w:ascii="Abadi" w:hAnsi="Abadi"/>
          <w:sz w:val="21"/>
          <w:szCs w:val="21"/>
        </w:rPr>
        <w:t>dos de los trabajadores fallecidos a través de centro de justicia alternativa</w:t>
      </w:r>
      <w:r>
        <w:rPr>
          <w:rFonts w:ascii="Abadi" w:hAnsi="Abadi"/>
          <w:sz w:val="21"/>
          <w:szCs w:val="21"/>
        </w:rPr>
        <w:t xml:space="preserve"> estado de Guanajuato.</w:t>
      </w:r>
      <w:r w:rsidRPr="0021199F">
        <w:rPr>
          <w:rFonts w:ascii="Abadi" w:hAnsi="Abadi"/>
          <w:sz w:val="21"/>
          <w:szCs w:val="21"/>
        </w:rPr>
        <w:t xml:space="preserve"> Es un tema jurídicamente resuelto. </w:t>
      </w:r>
    </w:p>
    <w:p w14:paraId="6F7AEFD8" w14:textId="765ADEA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Uno nos dice </w:t>
      </w:r>
      <w:r w:rsidR="009E70BF">
        <w:rPr>
          <w:rFonts w:ascii="Abadi" w:hAnsi="Abadi"/>
          <w:sz w:val="21"/>
          <w:szCs w:val="21"/>
        </w:rPr>
        <w:t>d</w:t>
      </w:r>
      <w:r w:rsidRPr="0021199F">
        <w:rPr>
          <w:rFonts w:ascii="Abadi" w:hAnsi="Abadi"/>
          <w:sz w:val="21"/>
          <w:szCs w:val="21"/>
        </w:rPr>
        <w:t>entro de los procedimientos de mediación y conciliación se decidió determinar la forma de cuantificar objetivamente la reparación del daño</w:t>
      </w:r>
      <w:r>
        <w:rPr>
          <w:rFonts w:ascii="Abadi" w:hAnsi="Abadi"/>
          <w:sz w:val="21"/>
          <w:szCs w:val="21"/>
        </w:rPr>
        <w:t xml:space="preserve"> a</w:t>
      </w:r>
      <w:r w:rsidRPr="0021199F">
        <w:rPr>
          <w:rFonts w:ascii="Abadi" w:hAnsi="Abadi"/>
          <w:sz w:val="21"/>
          <w:szCs w:val="21"/>
        </w:rPr>
        <w:t xml:space="preserve"> las familias a través de dictámenes profesionales privados, con enfoques contables y jurídicos mismos que ya fueron cubiertos</w:t>
      </w:r>
      <w:r>
        <w:rPr>
          <w:rFonts w:ascii="Abadi" w:hAnsi="Abadi"/>
          <w:sz w:val="21"/>
          <w:szCs w:val="21"/>
        </w:rPr>
        <w:t>,</w:t>
      </w:r>
      <w:r w:rsidRPr="0021199F">
        <w:rPr>
          <w:rFonts w:ascii="Abadi" w:hAnsi="Abadi"/>
          <w:sz w:val="21"/>
          <w:szCs w:val="21"/>
        </w:rPr>
        <w:t xml:space="preserve"> dentro de los procedimientos</w:t>
      </w:r>
      <w:r>
        <w:rPr>
          <w:rFonts w:ascii="Abadi" w:hAnsi="Abadi"/>
          <w:sz w:val="21"/>
          <w:szCs w:val="21"/>
        </w:rPr>
        <w:t xml:space="preserve"> s</w:t>
      </w:r>
      <w:r w:rsidRPr="0021199F">
        <w:rPr>
          <w:rFonts w:ascii="Abadi" w:hAnsi="Abadi"/>
          <w:sz w:val="21"/>
          <w:szCs w:val="21"/>
        </w:rPr>
        <w:t xml:space="preserve">e declaró que por parte del organismo operador, haberse realizado el pago de las prestaciones con estricto apego a la Ley </w:t>
      </w:r>
      <w:r>
        <w:rPr>
          <w:rFonts w:ascii="Abadi" w:hAnsi="Abadi"/>
          <w:sz w:val="21"/>
          <w:szCs w:val="21"/>
        </w:rPr>
        <w:t>F</w:t>
      </w:r>
      <w:r w:rsidRPr="0021199F">
        <w:rPr>
          <w:rFonts w:ascii="Abadi" w:hAnsi="Abadi"/>
          <w:sz w:val="21"/>
          <w:szCs w:val="21"/>
        </w:rPr>
        <w:t xml:space="preserve">ederal del </w:t>
      </w:r>
      <w:r>
        <w:rPr>
          <w:rFonts w:ascii="Abadi" w:hAnsi="Abadi"/>
          <w:sz w:val="21"/>
          <w:szCs w:val="21"/>
        </w:rPr>
        <w:t>T</w:t>
      </w:r>
      <w:r w:rsidRPr="0021199F">
        <w:rPr>
          <w:rFonts w:ascii="Abadi" w:hAnsi="Abadi"/>
          <w:sz w:val="21"/>
          <w:szCs w:val="21"/>
        </w:rPr>
        <w:t xml:space="preserve">rabajo y la Ley del </w:t>
      </w:r>
      <w:r>
        <w:rPr>
          <w:rFonts w:ascii="Abadi" w:hAnsi="Abadi"/>
          <w:sz w:val="21"/>
          <w:szCs w:val="21"/>
        </w:rPr>
        <w:t>S</w:t>
      </w:r>
      <w:r w:rsidRPr="0021199F">
        <w:rPr>
          <w:rFonts w:ascii="Abadi" w:hAnsi="Abadi"/>
          <w:sz w:val="21"/>
          <w:szCs w:val="21"/>
        </w:rPr>
        <w:t xml:space="preserve">eguro </w:t>
      </w:r>
      <w:r>
        <w:rPr>
          <w:rFonts w:ascii="Abadi" w:hAnsi="Abadi"/>
          <w:sz w:val="21"/>
          <w:szCs w:val="21"/>
        </w:rPr>
        <w:t>S</w:t>
      </w:r>
      <w:r w:rsidRPr="00007FA9">
        <w:rPr>
          <w:rFonts w:ascii="Abadi" w:hAnsi="Abadi"/>
          <w:sz w:val="21"/>
          <w:szCs w:val="21"/>
        </w:rPr>
        <w:t>ocial.</w:t>
      </w:r>
      <w:r>
        <w:rPr>
          <w:rFonts w:ascii="Abadi" w:hAnsi="Abadi"/>
          <w:sz w:val="21"/>
          <w:szCs w:val="21"/>
        </w:rPr>
        <w:t xml:space="preserve"> </w:t>
      </w:r>
    </w:p>
    <w:p w14:paraId="5A5016B2"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Nada de esto pidió el proponente. </w:t>
      </w:r>
      <w:r>
        <w:rPr>
          <w:rFonts w:ascii="Abadi" w:hAnsi="Abadi"/>
          <w:sz w:val="21"/>
          <w:szCs w:val="21"/>
        </w:rPr>
        <w:t>¡</w:t>
      </w:r>
      <w:r w:rsidRPr="0021199F">
        <w:rPr>
          <w:rFonts w:ascii="Abadi" w:hAnsi="Abadi"/>
          <w:sz w:val="21"/>
          <w:szCs w:val="21"/>
        </w:rPr>
        <w:t>Nada</w:t>
      </w:r>
      <w:r>
        <w:rPr>
          <w:rFonts w:ascii="Abadi" w:hAnsi="Abadi"/>
          <w:sz w:val="21"/>
          <w:szCs w:val="21"/>
        </w:rPr>
        <w:t>! c</w:t>
      </w:r>
      <w:r w:rsidRPr="0021199F">
        <w:rPr>
          <w:rFonts w:ascii="Abadi" w:hAnsi="Abadi"/>
          <w:sz w:val="21"/>
          <w:szCs w:val="21"/>
        </w:rPr>
        <w:t>ontinua</w:t>
      </w:r>
      <w:r>
        <w:rPr>
          <w:rFonts w:ascii="Abadi" w:hAnsi="Abadi"/>
          <w:sz w:val="21"/>
          <w:szCs w:val="21"/>
        </w:rPr>
        <w:t>, s</w:t>
      </w:r>
      <w:r w:rsidRPr="0021199F">
        <w:rPr>
          <w:rFonts w:ascii="Abadi" w:hAnsi="Abadi"/>
          <w:sz w:val="21"/>
          <w:szCs w:val="21"/>
        </w:rPr>
        <w:t>e pactó el pago de indemnizaciones por concepto de reparación integral del daño a los familiares de los finados mismos que han sido cumplidos. Y adicionalmente, dice</w:t>
      </w:r>
      <w:r>
        <w:rPr>
          <w:rFonts w:ascii="Abadi" w:hAnsi="Abadi"/>
          <w:sz w:val="21"/>
          <w:szCs w:val="21"/>
        </w:rPr>
        <w:t xml:space="preserve"> SAPAL</w:t>
      </w:r>
      <w:r w:rsidRPr="0021199F">
        <w:rPr>
          <w:rFonts w:ascii="Abadi" w:hAnsi="Abadi"/>
          <w:sz w:val="21"/>
          <w:szCs w:val="21"/>
        </w:rPr>
        <w:t xml:space="preserve"> hemos solicitado </w:t>
      </w:r>
      <w:r>
        <w:rPr>
          <w:rFonts w:ascii="Abadi" w:hAnsi="Abadi"/>
          <w:sz w:val="21"/>
          <w:szCs w:val="21"/>
        </w:rPr>
        <w:t>gestiones</w:t>
      </w:r>
      <w:r w:rsidRPr="0021199F">
        <w:rPr>
          <w:rFonts w:ascii="Abadi" w:hAnsi="Abadi"/>
          <w:sz w:val="21"/>
          <w:szCs w:val="21"/>
        </w:rPr>
        <w:t xml:space="preserve"> necesarias para someter a la aprobación del Ayuntamiento de León</w:t>
      </w:r>
      <w:r>
        <w:rPr>
          <w:rFonts w:ascii="Abadi" w:hAnsi="Abadi"/>
          <w:sz w:val="21"/>
          <w:szCs w:val="21"/>
        </w:rPr>
        <w:t>, s</w:t>
      </w:r>
      <w:r w:rsidRPr="0021199F">
        <w:rPr>
          <w:rFonts w:ascii="Abadi" w:hAnsi="Abadi"/>
          <w:sz w:val="21"/>
          <w:szCs w:val="21"/>
        </w:rPr>
        <w:t>e asignen becas a los menores afectados</w:t>
      </w:r>
      <w:r>
        <w:rPr>
          <w:rFonts w:ascii="Abadi" w:hAnsi="Abadi"/>
          <w:sz w:val="21"/>
          <w:szCs w:val="21"/>
        </w:rPr>
        <w:t>, e</w:t>
      </w:r>
      <w:r w:rsidRPr="0021199F">
        <w:rPr>
          <w:rFonts w:ascii="Abadi" w:hAnsi="Abadi"/>
          <w:sz w:val="21"/>
          <w:szCs w:val="21"/>
        </w:rPr>
        <w:t>speremos que el Ayuntamiento así lo conceda, pero este es un valor agregado a lo que se está pidiendo</w:t>
      </w:r>
      <w:r>
        <w:rPr>
          <w:rFonts w:ascii="Abadi" w:hAnsi="Abadi"/>
          <w:sz w:val="21"/>
          <w:szCs w:val="21"/>
        </w:rPr>
        <w:t>,</w:t>
      </w:r>
      <w:r w:rsidRPr="0021199F">
        <w:rPr>
          <w:rFonts w:ascii="Abadi" w:hAnsi="Abadi"/>
          <w:sz w:val="21"/>
          <w:szCs w:val="21"/>
        </w:rPr>
        <w:t xml:space="preserve"> </w:t>
      </w:r>
      <w:r>
        <w:rPr>
          <w:rFonts w:ascii="Abadi" w:hAnsi="Abadi"/>
          <w:sz w:val="21"/>
          <w:szCs w:val="21"/>
        </w:rPr>
        <w:t>m</w:t>
      </w:r>
      <w:r w:rsidRPr="0021199F">
        <w:rPr>
          <w:rFonts w:ascii="Abadi" w:hAnsi="Abadi"/>
          <w:sz w:val="21"/>
          <w:szCs w:val="21"/>
        </w:rPr>
        <w:t xml:space="preserve">ás aún se acordó por parte del organismo operador sesiones de atención psicológica. </w:t>
      </w:r>
    </w:p>
    <w:p w14:paraId="4D8393CA"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No quiero que pierdan de vista lo que el inicia</w:t>
      </w:r>
      <w:r>
        <w:rPr>
          <w:rFonts w:ascii="Abadi" w:hAnsi="Abadi"/>
          <w:sz w:val="21"/>
          <w:szCs w:val="21"/>
        </w:rPr>
        <w:t>nte</w:t>
      </w:r>
      <w:r w:rsidRPr="0021199F">
        <w:rPr>
          <w:rFonts w:ascii="Abadi" w:hAnsi="Abadi"/>
          <w:sz w:val="21"/>
          <w:szCs w:val="21"/>
        </w:rPr>
        <w:t xml:space="preserve"> pidió investigar</w:t>
      </w:r>
      <w:r>
        <w:rPr>
          <w:rFonts w:ascii="Abadi" w:hAnsi="Abadi"/>
          <w:sz w:val="21"/>
          <w:szCs w:val="21"/>
        </w:rPr>
        <w:t>, r</w:t>
      </w:r>
      <w:r w:rsidRPr="0021199F">
        <w:rPr>
          <w:rFonts w:ascii="Abadi" w:hAnsi="Abadi"/>
          <w:sz w:val="21"/>
          <w:szCs w:val="21"/>
        </w:rPr>
        <w:t xml:space="preserve">emite un informe sobre las investigaciones que se han venido dando al interior y finalmente el Ayuntamiento de León </w:t>
      </w:r>
      <w:r>
        <w:rPr>
          <w:rFonts w:ascii="Abadi" w:hAnsi="Abadi"/>
          <w:sz w:val="21"/>
          <w:szCs w:val="21"/>
        </w:rPr>
        <w:t>genera</w:t>
      </w:r>
      <w:r w:rsidRPr="0021199F">
        <w:rPr>
          <w:rFonts w:ascii="Abadi" w:hAnsi="Abadi"/>
          <w:sz w:val="21"/>
          <w:szCs w:val="21"/>
        </w:rPr>
        <w:t xml:space="preserve"> un acuerdo para que el reglamento de los servicios de agua potable, alcantarillado y tratamiento para el municipio de León, Guanajuato, se ha reformado. Entre otras consideraciones, se contempla la creación de un mecanismo Comisión Ciudadana de Vigilancia de Actuación del Sistema de Agua Potable, publicándose en el periódico Oficial del Gobierno del Estado, visibles en el ejemplar n</w:t>
      </w:r>
      <w:r>
        <w:rPr>
          <w:rFonts w:ascii="Abadi" w:hAnsi="Abadi"/>
          <w:sz w:val="21"/>
          <w:szCs w:val="21"/>
        </w:rPr>
        <w:t>ú</w:t>
      </w:r>
      <w:r w:rsidRPr="0021199F">
        <w:rPr>
          <w:rFonts w:ascii="Abadi" w:hAnsi="Abadi"/>
          <w:sz w:val="21"/>
          <w:szCs w:val="21"/>
        </w:rPr>
        <w:t xml:space="preserve">mero </w:t>
      </w:r>
      <w:r>
        <w:rPr>
          <w:rFonts w:ascii="Abadi" w:hAnsi="Abadi"/>
          <w:sz w:val="21"/>
          <w:szCs w:val="21"/>
        </w:rPr>
        <w:t>50</w:t>
      </w:r>
      <w:r w:rsidRPr="0021199F">
        <w:rPr>
          <w:rFonts w:ascii="Abadi" w:hAnsi="Abadi"/>
          <w:sz w:val="21"/>
          <w:szCs w:val="21"/>
        </w:rPr>
        <w:t xml:space="preserve">, segunda parte, fecha once de marzo del año </w:t>
      </w:r>
      <w:r>
        <w:rPr>
          <w:rFonts w:ascii="Abadi" w:hAnsi="Abadi"/>
          <w:sz w:val="21"/>
          <w:szCs w:val="21"/>
        </w:rPr>
        <w:t>2022.</w:t>
      </w:r>
      <w:r w:rsidRPr="0021199F">
        <w:rPr>
          <w:rFonts w:ascii="Abadi" w:hAnsi="Abadi"/>
          <w:sz w:val="21"/>
          <w:szCs w:val="21"/>
        </w:rPr>
        <w:t xml:space="preserve"> A</w:t>
      </w:r>
      <w:r>
        <w:rPr>
          <w:rFonts w:ascii="Abadi" w:hAnsi="Abadi"/>
          <w:sz w:val="21"/>
          <w:szCs w:val="21"/>
        </w:rPr>
        <w:t xml:space="preserve"> e</w:t>
      </w:r>
      <w:r w:rsidRPr="0021199F">
        <w:rPr>
          <w:rFonts w:ascii="Abadi" w:hAnsi="Abadi"/>
          <w:sz w:val="21"/>
          <w:szCs w:val="21"/>
        </w:rPr>
        <w:t>sta información que no pid</w:t>
      </w:r>
      <w:r>
        <w:rPr>
          <w:rFonts w:ascii="Abadi" w:hAnsi="Abadi"/>
          <w:sz w:val="21"/>
          <w:szCs w:val="21"/>
        </w:rPr>
        <w:t>ió</w:t>
      </w:r>
      <w:r w:rsidRPr="0021199F">
        <w:rPr>
          <w:rFonts w:ascii="Abadi" w:hAnsi="Abadi"/>
          <w:sz w:val="21"/>
          <w:szCs w:val="21"/>
        </w:rPr>
        <w:t xml:space="preserve"> el proponente, pero que si solicitamos nosotros </w:t>
      </w:r>
      <w:r>
        <w:rPr>
          <w:rFonts w:ascii="Abadi" w:hAnsi="Abadi"/>
          <w:sz w:val="21"/>
          <w:szCs w:val="21"/>
        </w:rPr>
        <w:t>¿Q</w:t>
      </w:r>
      <w:r w:rsidRPr="0021199F">
        <w:rPr>
          <w:rFonts w:ascii="Abadi" w:hAnsi="Abadi"/>
          <w:sz w:val="21"/>
          <w:szCs w:val="21"/>
        </w:rPr>
        <w:t xml:space="preserve">ué más le tenemos que analizar? </w:t>
      </w:r>
      <w:r>
        <w:rPr>
          <w:rFonts w:ascii="Abadi" w:hAnsi="Abadi"/>
          <w:sz w:val="21"/>
          <w:szCs w:val="21"/>
        </w:rPr>
        <w:t>¿</w:t>
      </w:r>
      <w:r w:rsidRPr="0021199F">
        <w:rPr>
          <w:rFonts w:ascii="Abadi" w:hAnsi="Abadi"/>
          <w:sz w:val="21"/>
          <w:szCs w:val="21"/>
        </w:rPr>
        <w:t xml:space="preserve">Qué más? </w:t>
      </w:r>
    </w:p>
    <w:p w14:paraId="4BC98027"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Segundo punto que la Fiscalía remita </w:t>
      </w:r>
      <w:r>
        <w:rPr>
          <w:rFonts w:ascii="Abadi" w:hAnsi="Abadi"/>
          <w:sz w:val="21"/>
          <w:szCs w:val="21"/>
        </w:rPr>
        <w:t>a</w:t>
      </w:r>
      <w:r w:rsidRPr="0021199F">
        <w:rPr>
          <w:rFonts w:ascii="Abadi" w:hAnsi="Abadi"/>
          <w:sz w:val="21"/>
          <w:szCs w:val="21"/>
        </w:rPr>
        <w:t xml:space="preserve"> esta soberanía</w:t>
      </w:r>
      <w:r>
        <w:rPr>
          <w:rFonts w:ascii="Abadi" w:hAnsi="Abadi"/>
          <w:sz w:val="21"/>
          <w:szCs w:val="21"/>
        </w:rPr>
        <w:t xml:space="preserve"> u</w:t>
      </w:r>
      <w:r w:rsidRPr="0021199F">
        <w:rPr>
          <w:rFonts w:ascii="Abadi" w:hAnsi="Abadi"/>
          <w:sz w:val="21"/>
          <w:szCs w:val="21"/>
        </w:rPr>
        <w:t>n informe sobre investigaciones criminales</w:t>
      </w:r>
      <w:r>
        <w:rPr>
          <w:rFonts w:ascii="Abadi" w:hAnsi="Abadi"/>
          <w:sz w:val="21"/>
          <w:szCs w:val="21"/>
        </w:rPr>
        <w:t xml:space="preserve">. Eso no es </w:t>
      </w:r>
      <w:r w:rsidRPr="0021199F">
        <w:rPr>
          <w:rFonts w:ascii="Abadi" w:hAnsi="Abadi"/>
          <w:sz w:val="21"/>
          <w:szCs w:val="21"/>
        </w:rPr>
        <w:t xml:space="preserve">posible, claro que no. </w:t>
      </w:r>
      <w:r>
        <w:rPr>
          <w:rFonts w:ascii="Abadi" w:hAnsi="Abadi"/>
          <w:sz w:val="21"/>
          <w:szCs w:val="21"/>
        </w:rPr>
        <w:t>A e</w:t>
      </w:r>
      <w:r w:rsidRPr="0021199F">
        <w:rPr>
          <w:rFonts w:ascii="Abadi" w:hAnsi="Abadi"/>
          <w:sz w:val="21"/>
          <w:szCs w:val="21"/>
        </w:rPr>
        <w:t>sta soberanía por efecto de secrecía cada una de las carpetas de investigación</w:t>
      </w:r>
      <w:r>
        <w:rPr>
          <w:rFonts w:ascii="Abadi" w:hAnsi="Abadi"/>
          <w:sz w:val="21"/>
          <w:szCs w:val="21"/>
        </w:rPr>
        <w:t>, n</w:t>
      </w:r>
      <w:r w:rsidRPr="0021199F">
        <w:rPr>
          <w:rFonts w:ascii="Abadi" w:hAnsi="Abadi"/>
          <w:sz w:val="21"/>
          <w:szCs w:val="21"/>
        </w:rPr>
        <w:t>o nos van a dar oportunidad, pero si a la Procuraduría de los Derechos Humanos, dentro de sus facultades</w:t>
      </w:r>
      <w:r>
        <w:rPr>
          <w:rFonts w:ascii="Abadi" w:hAnsi="Abadi"/>
          <w:sz w:val="21"/>
          <w:szCs w:val="21"/>
        </w:rPr>
        <w:t>,</w:t>
      </w:r>
      <w:r w:rsidRPr="0021199F">
        <w:rPr>
          <w:rFonts w:ascii="Abadi" w:hAnsi="Abadi"/>
          <w:sz w:val="21"/>
          <w:szCs w:val="21"/>
        </w:rPr>
        <w:t xml:space="preserve"> hay que leerle, hay que leerle</w:t>
      </w:r>
      <w:r>
        <w:rPr>
          <w:rFonts w:ascii="Abadi" w:hAnsi="Abadi"/>
          <w:sz w:val="21"/>
          <w:szCs w:val="21"/>
        </w:rPr>
        <w:t>,</w:t>
      </w:r>
      <w:r w:rsidRPr="0021199F">
        <w:rPr>
          <w:rFonts w:ascii="Abadi" w:hAnsi="Abadi"/>
          <w:sz w:val="21"/>
          <w:szCs w:val="21"/>
        </w:rPr>
        <w:t xml:space="preserve"> que estudia</w:t>
      </w:r>
      <w:r>
        <w:rPr>
          <w:rFonts w:ascii="Abadi" w:hAnsi="Abadi"/>
          <w:sz w:val="21"/>
          <w:szCs w:val="21"/>
        </w:rPr>
        <w:t>rle</w:t>
      </w:r>
      <w:r w:rsidRPr="0021199F">
        <w:rPr>
          <w:rFonts w:ascii="Abadi" w:hAnsi="Abadi"/>
          <w:sz w:val="21"/>
          <w:szCs w:val="21"/>
        </w:rPr>
        <w:t xml:space="preserve"> la Procuraduría. </w:t>
      </w:r>
    </w:p>
    <w:p w14:paraId="0C4634DC" w14:textId="00E2B66C"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El tercer punto que solicitó el proponente fue que rinda un informe la Procuraduría, </w:t>
      </w:r>
      <w:r>
        <w:rPr>
          <w:rFonts w:ascii="Abadi" w:hAnsi="Abadi"/>
          <w:sz w:val="21"/>
          <w:szCs w:val="21"/>
        </w:rPr>
        <w:t xml:space="preserve">a </w:t>
      </w:r>
      <w:r w:rsidRPr="0021199F">
        <w:rPr>
          <w:rFonts w:ascii="Abadi" w:hAnsi="Abadi"/>
          <w:sz w:val="21"/>
          <w:szCs w:val="21"/>
        </w:rPr>
        <w:t xml:space="preserve">esta soberanía en lo que le estaba solicitando el proponente al paso de los días, con veintinueve al paso de los días. Concretamente, el expediente número </w:t>
      </w:r>
      <w:r>
        <w:rPr>
          <w:rFonts w:ascii="Abadi" w:hAnsi="Abadi"/>
          <w:sz w:val="21"/>
          <w:szCs w:val="21"/>
        </w:rPr>
        <w:t>24-21-A-II</w:t>
      </w:r>
      <w:r w:rsidRPr="0021199F">
        <w:rPr>
          <w:rFonts w:ascii="Abadi" w:hAnsi="Abadi"/>
          <w:sz w:val="21"/>
          <w:szCs w:val="21"/>
        </w:rPr>
        <w:t>, emite la resolución y de manera textual</w:t>
      </w:r>
      <w:r>
        <w:rPr>
          <w:rFonts w:ascii="Abadi" w:hAnsi="Abadi"/>
          <w:sz w:val="21"/>
          <w:szCs w:val="21"/>
        </w:rPr>
        <w:t>, e</w:t>
      </w:r>
      <w:r w:rsidRPr="0021199F">
        <w:rPr>
          <w:rFonts w:ascii="Abadi" w:hAnsi="Abadi"/>
          <w:sz w:val="21"/>
          <w:szCs w:val="21"/>
        </w:rPr>
        <w:t xml:space="preserve">n la resolución menciona que de la del análisis de las etapas de investigación no encuentra no encuentra ninguna situación anómala en ese momento. </w:t>
      </w:r>
    </w:p>
    <w:p w14:paraId="7C66837B"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Y cuarto y último, que el Ayuntamiento conforme una comisión mixta integrada tanto por ediles como por civiles, con facultades suficientes de investigación. No es su función</w:t>
      </w:r>
      <w:r>
        <w:rPr>
          <w:rFonts w:ascii="Abadi" w:hAnsi="Abadi"/>
          <w:sz w:val="21"/>
          <w:szCs w:val="21"/>
        </w:rPr>
        <w:t>,</w:t>
      </w:r>
      <w:r w:rsidRPr="0021199F">
        <w:rPr>
          <w:rFonts w:ascii="Abadi" w:hAnsi="Abadi"/>
          <w:sz w:val="21"/>
          <w:szCs w:val="21"/>
        </w:rPr>
        <w:t xml:space="preserve"> el artículo que refirieron de la Ley Orgánica Municipal de la creación de comisiones son para el efecto administrativo no criminalístico</w:t>
      </w:r>
      <w:r>
        <w:rPr>
          <w:rFonts w:ascii="Abadi" w:hAnsi="Abadi"/>
          <w:sz w:val="21"/>
          <w:szCs w:val="21"/>
        </w:rPr>
        <w:t>, p</w:t>
      </w:r>
      <w:r w:rsidRPr="0021199F">
        <w:rPr>
          <w:rFonts w:ascii="Abadi" w:hAnsi="Abadi"/>
          <w:sz w:val="21"/>
          <w:szCs w:val="21"/>
        </w:rPr>
        <w:t>or esa razón no tiene facultades, se extralimitaría constitucionalmente al tema. Por eso crean comisiones de servicios municipales, panteones para la atención de los asuntos de la vida orgánica municipal, no para andar buscando allá fuera, culpable</w:t>
      </w:r>
      <w:r>
        <w:rPr>
          <w:rFonts w:ascii="Abadi" w:hAnsi="Abadi"/>
          <w:sz w:val="21"/>
          <w:szCs w:val="21"/>
        </w:rPr>
        <w:t>s y</w:t>
      </w:r>
      <w:r w:rsidRPr="0021199F">
        <w:rPr>
          <w:rFonts w:ascii="Abadi" w:hAnsi="Abadi"/>
          <w:sz w:val="21"/>
          <w:szCs w:val="21"/>
        </w:rPr>
        <w:t xml:space="preserve"> criminales. Para eso están las instituciones adecuadas, suficientes, laborales, judiciales y administrativas para atender este asunto. </w:t>
      </w:r>
    </w:p>
    <w:p w14:paraId="32DBED1B" w14:textId="77777777" w:rsidR="003B7C84"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Por eso, y concluyó mi agradecimiento y reconocimiento porque es un lago responsable lo que se hizo, lo que hoy se vota aquí, a favor tengan la certeza que es con el deber cumplido. </w:t>
      </w:r>
    </w:p>
    <w:p w14:paraId="03CF024B" w14:textId="13150AA9" w:rsidR="0013564D" w:rsidRDefault="003B7C84" w:rsidP="0013564D">
      <w:pPr>
        <w:pStyle w:val="NormalWeb"/>
        <w:jc w:val="both"/>
        <w:rPr>
          <w:rFonts w:ascii="Abadi" w:hAnsi="Abadi"/>
          <w:sz w:val="21"/>
          <w:szCs w:val="21"/>
        </w:rPr>
      </w:pPr>
      <w:r>
        <w:rPr>
          <w:rFonts w:ascii="Abadi" w:hAnsi="Abadi"/>
          <w:sz w:val="21"/>
          <w:szCs w:val="21"/>
        </w:rPr>
        <w:t xml:space="preserve">- </w:t>
      </w:r>
      <w:r w:rsidR="0013564D" w:rsidRPr="0021199F">
        <w:rPr>
          <w:rFonts w:ascii="Abadi" w:hAnsi="Abadi"/>
          <w:sz w:val="21"/>
          <w:szCs w:val="21"/>
        </w:rPr>
        <w:t xml:space="preserve">Es cuanto muchas gracias. </w:t>
      </w:r>
    </w:p>
    <w:p w14:paraId="3797AD6C" w14:textId="4A5C5370" w:rsidR="0013564D" w:rsidRDefault="00537350" w:rsidP="00537350">
      <w:pPr>
        <w:pStyle w:val="NormalWeb"/>
        <w:ind w:firstLine="708"/>
        <w:jc w:val="both"/>
        <w:rPr>
          <w:rFonts w:ascii="Abadi" w:hAnsi="Abadi"/>
          <w:sz w:val="21"/>
          <w:szCs w:val="21"/>
        </w:rPr>
      </w:pPr>
      <w:r>
        <w:rPr>
          <w:rFonts w:ascii="Abadi" w:hAnsi="Abadi"/>
          <w:b/>
          <w:bCs/>
          <w:sz w:val="21"/>
          <w:szCs w:val="21"/>
        </w:rPr>
        <w:t xml:space="preserve">- </w:t>
      </w:r>
      <w:r w:rsidR="0013564D" w:rsidRPr="00111EBB">
        <w:rPr>
          <w:rFonts w:ascii="Abadi" w:hAnsi="Abadi"/>
          <w:b/>
          <w:bCs/>
          <w:sz w:val="21"/>
          <w:szCs w:val="21"/>
        </w:rPr>
        <w:t xml:space="preserve">La </w:t>
      </w:r>
      <w:proofErr w:type="gramStart"/>
      <w:r w:rsidR="0013564D" w:rsidRPr="00111EBB">
        <w:rPr>
          <w:rFonts w:ascii="Abadi" w:hAnsi="Abadi"/>
          <w:b/>
          <w:bCs/>
          <w:sz w:val="21"/>
          <w:szCs w:val="21"/>
        </w:rPr>
        <w:t>Presidencia.-</w:t>
      </w:r>
      <w:proofErr w:type="gramEnd"/>
      <w:r w:rsidR="0013564D">
        <w:rPr>
          <w:rFonts w:ascii="Abadi" w:hAnsi="Abadi"/>
          <w:sz w:val="21"/>
          <w:szCs w:val="21"/>
        </w:rPr>
        <w:t xml:space="preserve"> Gracias</w:t>
      </w:r>
      <w:r w:rsidR="00D563C2">
        <w:rPr>
          <w:rFonts w:ascii="Abadi" w:hAnsi="Abadi"/>
          <w:sz w:val="21"/>
          <w:szCs w:val="21"/>
        </w:rPr>
        <w:t>,</w:t>
      </w:r>
      <w:r w:rsidR="0013564D">
        <w:rPr>
          <w:rFonts w:ascii="Abadi" w:hAnsi="Abadi"/>
          <w:sz w:val="21"/>
          <w:szCs w:val="21"/>
        </w:rPr>
        <w:t xml:space="preserve"> </w:t>
      </w:r>
      <w:r w:rsidR="00D563C2">
        <w:rPr>
          <w:rFonts w:ascii="Abadi" w:hAnsi="Abadi"/>
          <w:sz w:val="21"/>
          <w:szCs w:val="21"/>
        </w:rPr>
        <w:t>d</w:t>
      </w:r>
      <w:r w:rsidR="0013564D" w:rsidRPr="0021199F">
        <w:rPr>
          <w:rFonts w:ascii="Abadi" w:hAnsi="Abadi"/>
          <w:sz w:val="21"/>
          <w:szCs w:val="21"/>
        </w:rPr>
        <w:t>iputado</w:t>
      </w:r>
      <w:r w:rsidR="0013564D">
        <w:rPr>
          <w:rFonts w:ascii="Abadi" w:hAnsi="Abadi"/>
          <w:sz w:val="21"/>
          <w:szCs w:val="21"/>
        </w:rPr>
        <w:t>.</w:t>
      </w:r>
      <w:r w:rsidR="0013564D" w:rsidRPr="0021199F">
        <w:rPr>
          <w:rFonts w:ascii="Abadi" w:hAnsi="Abadi"/>
          <w:sz w:val="21"/>
          <w:szCs w:val="21"/>
        </w:rPr>
        <w:t xml:space="preserve"> </w:t>
      </w:r>
      <w:r w:rsidR="0013564D">
        <w:rPr>
          <w:rFonts w:ascii="Abadi" w:hAnsi="Abadi"/>
          <w:sz w:val="21"/>
          <w:szCs w:val="21"/>
        </w:rPr>
        <w:t>¿D</w:t>
      </w:r>
      <w:r w:rsidR="0013564D" w:rsidRPr="0021199F">
        <w:rPr>
          <w:rFonts w:ascii="Abadi" w:hAnsi="Abadi"/>
          <w:sz w:val="21"/>
          <w:szCs w:val="21"/>
        </w:rPr>
        <w:t>iputado David</w:t>
      </w:r>
      <w:r w:rsidR="0013564D">
        <w:rPr>
          <w:rFonts w:ascii="Abadi" w:hAnsi="Abadi"/>
          <w:sz w:val="21"/>
          <w:szCs w:val="21"/>
        </w:rPr>
        <w:t xml:space="preserve">, </w:t>
      </w:r>
      <w:r w:rsidR="0013564D" w:rsidRPr="0021199F">
        <w:rPr>
          <w:rFonts w:ascii="Abadi" w:hAnsi="Abadi"/>
          <w:sz w:val="21"/>
          <w:szCs w:val="21"/>
        </w:rPr>
        <w:t xml:space="preserve">para qué efecto? </w:t>
      </w:r>
    </w:p>
    <w:p w14:paraId="50E4C839" w14:textId="6CF67922" w:rsidR="0013564D" w:rsidRDefault="0013564D" w:rsidP="0013564D">
      <w:pPr>
        <w:pStyle w:val="NormalWeb"/>
        <w:jc w:val="both"/>
        <w:rPr>
          <w:rFonts w:ascii="Abadi" w:hAnsi="Abadi"/>
          <w:sz w:val="21"/>
          <w:szCs w:val="21"/>
        </w:rPr>
      </w:pPr>
      <w:r>
        <w:rPr>
          <w:rFonts w:ascii="Abadi" w:hAnsi="Abadi"/>
          <w:sz w:val="21"/>
          <w:szCs w:val="21"/>
        </w:rPr>
        <w:t>(Voz) Diputado David Martinez, pa</w:t>
      </w:r>
      <w:r w:rsidRPr="0021199F">
        <w:rPr>
          <w:rFonts w:ascii="Abadi" w:hAnsi="Abadi"/>
          <w:sz w:val="21"/>
          <w:szCs w:val="21"/>
        </w:rPr>
        <w:t>r</w:t>
      </w:r>
      <w:r>
        <w:rPr>
          <w:rFonts w:ascii="Abadi" w:hAnsi="Abadi"/>
          <w:sz w:val="21"/>
          <w:szCs w:val="21"/>
        </w:rPr>
        <w:t>a</w:t>
      </w:r>
      <w:r w:rsidRPr="0021199F">
        <w:rPr>
          <w:rFonts w:ascii="Abadi" w:hAnsi="Abadi"/>
          <w:sz w:val="21"/>
          <w:szCs w:val="21"/>
        </w:rPr>
        <w:t xml:space="preserve"> rectificación de hecho</w:t>
      </w:r>
      <w:r>
        <w:rPr>
          <w:rFonts w:ascii="Abadi" w:hAnsi="Abadi"/>
          <w:sz w:val="21"/>
          <w:szCs w:val="21"/>
        </w:rPr>
        <w:t>s</w:t>
      </w:r>
      <w:r w:rsidRPr="0021199F">
        <w:rPr>
          <w:rFonts w:ascii="Abadi" w:hAnsi="Abadi"/>
          <w:sz w:val="21"/>
          <w:szCs w:val="21"/>
        </w:rPr>
        <w:t xml:space="preserve">, </w:t>
      </w:r>
      <w:r>
        <w:rPr>
          <w:rFonts w:ascii="Abadi" w:hAnsi="Abadi"/>
          <w:sz w:val="21"/>
          <w:szCs w:val="21"/>
        </w:rPr>
        <w:t xml:space="preserve">(Voz) diputada, ¿Qué hechos diputado? (Voz) diputado David, </w:t>
      </w:r>
      <w:r w:rsidRPr="0021199F">
        <w:rPr>
          <w:rFonts w:ascii="Abadi" w:hAnsi="Abadi"/>
          <w:sz w:val="21"/>
          <w:szCs w:val="21"/>
        </w:rPr>
        <w:t xml:space="preserve">que le hubiera encantado verme en la discusión de la metodología. </w:t>
      </w:r>
      <w:r>
        <w:rPr>
          <w:rFonts w:ascii="Abadi" w:hAnsi="Abadi"/>
          <w:sz w:val="21"/>
          <w:szCs w:val="21"/>
        </w:rPr>
        <w:t>s</w:t>
      </w:r>
      <w:r w:rsidRPr="0021199F">
        <w:rPr>
          <w:rFonts w:ascii="Abadi" w:hAnsi="Abadi"/>
          <w:sz w:val="21"/>
          <w:szCs w:val="21"/>
        </w:rPr>
        <w:t>egundo hecho</w:t>
      </w:r>
      <w:r>
        <w:rPr>
          <w:rFonts w:ascii="Abadi" w:hAnsi="Abadi"/>
          <w:sz w:val="21"/>
          <w:szCs w:val="21"/>
        </w:rPr>
        <w:t>,</w:t>
      </w:r>
      <w:r w:rsidRPr="0021199F">
        <w:rPr>
          <w:rFonts w:ascii="Abadi" w:hAnsi="Abadi"/>
          <w:sz w:val="21"/>
          <w:szCs w:val="21"/>
        </w:rPr>
        <w:t xml:space="preserve"> que el tema está jurídicamente resuelto</w:t>
      </w:r>
      <w:r>
        <w:rPr>
          <w:rFonts w:ascii="Abadi" w:hAnsi="Abadi"/>
          <w:sz w:val="21"/>
          <w:szCs w:val="21"/>
        </w:rPr>
        <w:t>; y</w:t>
      </w:r>
      <w:r w:rsidRPr="0021199F">
        <w:rPr>
          <w:rFonts w:ascii="Abadi" w:hAnsi="Abadi"/>
          <w:sz w:val="21"/>
          <w:szCs w:val="21"/>
        </w:rPr>
        <w:t xml:space="preserve"> tercer hecho</w:t>
      </w:r>
      <w:r>
        <w:rPr>
          <w:rFonts w:ascii="Abadi" w:hAnsi="Abadi"/>
          <w:sz w:val="21"/>
          <w:szCs w:val="21"/>
        </w:rPr>
        <w:t>,</w:t>
      </w:r>
      <w:r w:rsidRPr="0021199F">
        <w:rPr>
          <w:rFonts w:ascii="Abadi" w:hAnsi="Abadi"/>
          <w:sz w:val="21"/>
          <w:szCs w:val="21"/>
        </w:rPr>
        <w:t xml:space="preserve"> que las comisiones que el Ayuntamiento no tiene facultad para crear este tipo de comisiones</w:t>
      </w:r>
      <w:r>
        <w:rPr>
          <w:rFonts w:ascii="Abadi" w:hAnsi="Abadi"/>
          <w:sz w:val="21"/>
          <w:szCs w:val="21"/>
        </w:rPr>
        <w:t>, (Voz) diputada Presidenta, a</w:t>
      </w:r>
      <w:r w:rsidRPr="0021199F">
        <w:rPr>
          <w:rFonts w:ascii="Abadi" w:hAnsi="Abadi"/>
          <w:sz w:val="21"/>
          <w:szCs w:val="21"/>
        </w:rPr>
        <w:t xml:space="preserve">delante </w:t>
      </w:r>
      <w:r>
        <w:rPr>
          <w:rFonts w:ascii="Abadi" w:hAnsi="Abadi"/>
          <w:sz w:val="21"/>
          <w:szCs w:val="21"/>
        </w:rPr>
        <w:t>d</w:t>
      </w:r>
      <w:r w:rsidRPr="0021199F">
        <w:rPr>
          <w:rFonts w:ascii="Abadi" w:hAnsi="Abadi"/>
          <w:sz w:val="21"/>
          <w:szCs w:val="21"/>
        </w:rPr>
        <w:t xml:space="preserve">iputado, </w:t>
      </w:r>
      <w:r w:rsidR="00D563C2">
        <w:rPr>
          <w:rFonts w:ascii="Abadi" w:hAnsi="Abadi"/>
          <w:sz w:val="21"/>
          <w:szCs w:val="21"/>
        </w:rPr>
        <w:t>ti</w:t>
      </w:r>
      <w:r w:rsidRPr="0021199F">
        <w:rPr>
          <w:rFonts w:ascii="Abadi" w:hAnsi="Abadi"/>
          <w:sz w:val="21"/>
          <w:szCs w:val="21"/>
        </w:rPr>
        <w:t xml:space="preserve">ene la voz hasta por cinco minutos. </w:t>
      </w:r>
    </w:p>
    <w:p w14:paraId="42BA6083" w14:textId="77777777" w:rsidR="0013564D" w:rsidRDefault="0013564D" w:rsidP="0013564D">
      <w:pPr>
        <w:pStyle w:val="NormalWeb"/>
        <w:jc w:val="both"/>
        <w:rPr>
          <w:rFonts w:ascii="Abadi" w:hAnsi="Abadi"/>
          <w:b/>
          <w:bCs/>
          <w:sz w:val="21"/>
          <w:szCs w:val="21"/>
        </w:rPr>
      </w:pPr>
      <w:r w:rsidRPr="00243BEE">
        <w:rPr>
          <w:rFonts w:ascii="Abadi" w:hAnsi="Abadi"/>
          <w:b/>
          <w:bCs/>
          <w:sz w:val="21"/>
          <w:szCs w:val="21"/>
        </w:rPr>
        <w:t>(Sube a</w:t>
      </w:r>
      <w:r>
        <w:rPr>
          <w:rFonts w:ascii="Abadi" w:hAnsi="Abadi"/>
          <w:b/>
          <w:bCs/>
          <w:sz w:val="21"/>
          <w:szCs w:val="21"/>
        </w:rPr>
        <w:t xml:space="preserve"> </w:t>
      </w:r>
      <w:r w:rsidRPr="00243BEE">
        <w:rPr>
          <w:rFonts w:ascii="Abadi" w:hAnsi="Abadi"/>
          <w:b/>
          <w:bCs/>
          <w:sz w:val="21"/>
          <w:szCs w:val="21"/>
        </w:rPr>
        <w:t xml:space="preserve">tribuna </w:t>
      </w:r>
      <w:r>
        <w:rPr>
          <w:rFonts w:ascii="Abadi" w:hAnsi="Abadi"/>
          <w:b/>
          <w:bCs/>
          <w:sz w:val="21"/>
          <w:szCs w:val="21"/>
        </w:rPr>
        <w:t xml:space="preserve">el </w:t>
      </w:r>
      <w:r w:rsidRPr="00243BEE">
        <w:rPr>
          <w:rFonts w:ascii="Abadi" w:hAnsi="Abadi"/>
          <w:b/>
          <w:bCs/>
          <w:sz w:val="21"/>
          <w:szCs w:val="21"/>
        </w:rPr>
        <w:t>Diputado David Martinez</w:t>
      </w:r>
      <w:r>
        <w:rPr>
          <w:rFonts w:ascii="Abadi" w:hAnsi="Abadi"/>
          <w:b/>
          <w:bCs/>
          <w:sz w:val="21"/>
          <w:szCs w:val="21"/>
        </w:rPr>
        <w:t>,</w:t>
      </w:r>
      <w:r w:rsidRPr="00243BEE">
        <w:rPr>
          <w:rFonts w:ascii="Abadi" w:hAnsi="Abadi"/>
          <w:b/>
          <w:bCs/>
          <w:sz w:val="21"/>
          <w:szCs w:val="21"/>
        </w:rPr>
        <w:t xml:space="preserve"> para rectificación de hechos</w:t>
      </w:r>
      <w:r>
        <w:rPr>
          <w:rFonts w:ascii="Abadi" w:hAnsi="Abadi"/>
          <w:b/>
          <w:bCs/>
          <w:sz w:val="21"/>
          <w:szCs w:val="21"/>
        </w:rPr>
        <w:t xml:space="preserve"> del diputado que le antecedió</w:t>
      </w:r>
      <w:r w:rsidRPr="00243BEE">
        <w:rPr>
          <w:rFonts w:ascii="Abadi" w:hAnsi="Abadi"/>
          <w:b/>
          <w:bCs/>
          <w:sz w:val="21"/>
          <w:szCs w:val="21"/>
        </w:rPr>
        <w:t>)</w:t>
      </w:r>
    </w:p>
    <w:p w14:paraId="03156805" w14:textId="77777777" w:rsidR="0013564D" w:rsidRDefault="0013564D" w:rsidP="0013564D">
      <w:pPr>
        <w:pStyle w:val="NormalWeb"/>
        <w:jc w:val="both"/>
        <w:rPr>
          <w:rFonts w:ascii="Abadi" w:hAnsi="Abadi"/>
          <w:b/>
          <w:bCs/>
          <w:sz w:val="21"/>
          <w:szCs w:val="21"/>
        </w:rPr>
      </w:pPr>
    </w:p>
    <w:p w14:paraId="674446E7" w14:textId="75FFCE02" w:rsidR="0013564D" w:rsidRDefault="00D563C2" w:rsidP="0013564D">
      <w:pPr>
        <w:pStyle w:val="NormalWeb"/>
        <w:jc w:val="both"/>
        <w:rPr>
          <w:rFonts w:ascii="Abadi" w:hAnsi="Abadi"/>
          <w:b/>
          <w:bCs/>
          <w:sz w:val="21"/>
          <w:szCs w:val="21"/>
        </w:rPr>
      </w:pPr>
      <w:r>
        <w:rPr>
          <w:noProof/>
        </w:rPr>
        <w:drawing>
          <wp:anchor distT="0" distB="0" distL="114300" distR="114300" simplePos="0" relativeHeight="251658265" behindDoc="1" locked="0" layoutInCell="1" allowOverlap="1" wp14:anchorId="1B555452" wp14:editId="15522671">
            <wp:simplePos x="0" y="0"/>
            <wp:positionH relativeFrom="column">
              <wp:posOffset>394970</wp:posOffset>
            </wp:positionH>
            <wp:positionV relativeFrom="paragraph">
              <wp:posOffset>134620</wp:posOffset>
            </wp:positionV>
            <wp:extent cx="1801495" cy="1012190"/>
            <wp:effectExtent l="0" t="114300" r="0" b="778510"/>
            <wp:wrapTight wrapText="bothSides">
              <wp:wrapPolygon edited="0">
                <wp:start x="228" y="-2439"/>
                <wp:lineTo x="0" y="24391"/>
                <wp:lineTo x="457" y="37807"/>
                <wp:lineTo x="3198" y="37807"/>
                <wp:lineTo x="5025" y="36994"/>
                <wp:lineTo x="19872" y="31709"/>
                <wp:lineTo x="20100" y="-2439"/>
                <wp:lineTo x="228" y="-2439"/>
              </wp:wrapPolygon>
            </wp:wrapTight>
            <wp:docPr id="49" name="Imagen 49"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Un hombre con un traje de color negro con letras blancas&#10;&#10;Descripción generada automáticamente con confianza media"/>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01495" cy="101219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0013564D" w:rsidRPr="00243BEE">
        <w:rPr>
          <w:rFonts w:ascii="Abadi" w:hAnsi="Abadi"/>
          <w:b/>
          <w:bCs/>
          <w:sz w:val="21"/>
          <w:szCs w:val="21"/>
        </w:rPr>
        <w:t xml:space="preserve"> </w:t>
      </w:r>
    </w:p>
    <w:p w14:paraId="718F19EF" w14:textId="682B5AD0" w:rsidR="00D563C2" w:rsidRDefault="00D563C2" w:rsidP="0013564D">
      <w:pPr>
        <w:pStyle w:val="NormalWeb"/>
        <w:jc w:val="both"/>
        <w:rPr>
          <w:rFonts w:ascii="Abadi" w:hAnsi="Abadi"/>
          <w:b/>
          <w:bCs/>
          <w:sz w:val="21"/>
          <w:szCs w:val="21"/>
        </w:rPr>
      </w:pPr>
    </w:p>
    <w:p w14:paraId="6247DE23" w14:textId="7A21D93A" w:rsidR="00D563C2" w:rsidRDefault="00D563C2" w:rsidP="0013564D">
      <w:pPr>
        <w:pStyle w:val="NormalWeb"/>
        <w:jc w:val="both"/>
        <w:rPr>
          <w:rFonts w:ascii="Abadi" w:hAnsi="Abadi"/>
          <w:b/>
          <w:bCs/>
          <w:sz w:val="21"/>
          <w:szCs w:val="21"/>
        </w:rPr>
      </w:pPr>
    </w:p>
    <w:p w14:paraId="7F977137" w14:textId="6FDF4197" w:rsidR="00D563C2" w:rsidRDefault="00D563C2" w:rsidP="0013564D">
      <w:pPr>
        <w:pStyle w:val="NormalWeb"/>
        <w:jc w:val="both"/>
        <w:rPr>
          <w:rFonts w:ascii="Abadi" w:hAnsi="Abadi"/>
          <w:b/>
          <w:bCs/>
          <w:sz w:val="21"/>
          <w:szCs w:val="21"/>
        </w:rPr>
      </w:pPr>
    </w:p>
    <w:p w14:paraId="62E42C5F" w14:textId="668735B7" w:rsidR="00D563C2" w:rsidRDefault="00D563C2" w:rsidP="0013564D">
      <w:pPr>
        <w:pStyle w:val="NormalWeb"/>
        <w:jc w:val="both"/>
        <w:rPr>
          <w:rFonts w:ascii="Abadi" w:hAnsi="Abadi"/>
          <w:b/>
          <w:bCs/>
          <w:sz w:val="21"/>
          <w:szCs w:val="21"/>
        </w:rPr>
      </w:pPr>
    </w:p>
    <w:p w14:paraId="6C249B53" w14:textId="5367A3EE" w:rsidR="00D563C2" w:rsidRDefault="00D563C2" w:rsidP="0013564D">
      <w:pPr>
        <w:pStyle w:val="NormalWeb"/>
        <w:jc w:val="both"/>
        <w:rPr>
          <w:rFonts w:ascii="Abadi" w:hAnsi="Abadi"/>
          <w:b/>
          <w:bCs/>
          <w:sz w:val="21"/>
          <w:szCs w:val="21"/>
        </w:rPr>
      </w:pPr>
    </w:p>
    <w:p w14:paraId="0E4D03CB"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Le agradezco que </w:t>
      </w:r>
      <w:r>
        <w:rPr>
          <w:rFonts w:ascii="Abadi" w:hAnsi="Abadi"/>
          <w:sz w:val="21"/>
          <w:szCs w:val="21"/>
        </w:rPr>
        <w:t xml:space="preserve">haya dicho que le </w:t>
      </w:r>
      <w:r w:rsidRPr="0021199F">
        <w:rPr>
          <w:rFonts w:ascii="Abadi" w:hAnsi="Abadi"/>
          <w:sz w:val="21"/>
          <w:szCs w:val="21"/>
        </w:rPr>
        <w:t>hubiera encantado ver</w:t>
      </w:r>
      <w:r>
        <w:rPr>
          <w:rFonts w:ascii="Abadi" w:hAnsi="Abadi"/>
          <w:sz w:val="21"/>
          <w:szCs w:val="21"/>
        </w:rPr>
        <w:t>me, muchas gracias por eso.</w:t>
      </w:r>
      <w:r w:rsidRPr="0021199F">
        <w:rPr>
          <w:rFonts w:ascii="Abadi" w:hAnsi="Abadi"/>
          <w:sz w:val="21"/>
          <w:szCs w:val="21"/>
        </w:rPr>
        <w:t xml:space="preserve"> Pero estoy ejerciendo un derecho, el derecho, estar en contra del dictamen. Eso no significa que no haya participado en la discusión de la me</w:t>
      </w:r>
      <w:r>
        <w:rPr>
          <w:rFonts w:ascii="Abadi" w:hAnsi="Abadi"/>
          <w:sz w:val="21"/>
          <w:szCs w:val="21"/>
        </w:rPr>
        <w:t>todología,</w:t>
      </w:r>
      <w:r w:rsidRPr="0021199F">
        <w:rPr>
          <w:rFonts w:ascii="Abadi" w:hAnsi="Abadi"/>
          <w:sz w:val="21"/>
          <w:szCs w:val="21"/>
        </w:rPr>
        <w:t xml:space="preserve"> no significa que </w:t>
      </w:r>
      <w:r>
        <w:rPr>
          <w:rFonts w:ascii="Abadi" w:hAnsi="Abadi"/>
          <w:sz w:val="21"/>
          <w:szCs w:val="21"/>
        </w:rPr>
        <w:t>n</w:t>
      </w:r>
      <w:r w:rsidRPr="0021199F">
        <w:rPr>
          <w:rFonts w:ascii="Abadi" w:hAnsi="Abadi"/>
          <w:sz w:val="21"/>
          <w:szCs w:val="21"/>
        </w:rPr>
        <w:t>o venga</w:t>
      </w:r>
      <w:r>
        <w:rPr>
          <w:rFonts w:ascii="Abadi" w:hAnsi="Abadi"/>
          <w:sz w:val="21"/>
          <w:szCs w:val="21"/>
        </w:rPr>
        <w:t xml:space="preserve"> aquí a exponer mis razones</w:t>
      </w:r>
      <w:r w:rsidRPr="0021199F">
        <w:rPr>
          <w:rFonts w:ascii="Abadi" w:hAnsi="Abadi"/>
          <w:sz w:val="21"/>
          <w:szCs w:val="21"/>
        </w:rPr>
        <w:t xml:space="preserve"> </w:t>
      </w:r>
      <w:r>
        <w:rPr>
          <w:rFonts w:ascii="Abadi" w:hAnsi="Abadi"/>
          <w:sz w:val="21"/>
          <w:szCs w:val="21"/>
        </w:rPr>
        <w:t>o qué ¿</w:t>
      </w:r>
      <w:r w:rsidRPr="0021199F">
        <w:rPr>
          <w:rFonts w:ascii="Abadi" w:hAnsi="Abadi"/>
          <w:sz w:val="21"/>
          <w:szCs w:val="21"/>
        </w:rPr>
        <w:t xml:space="preserve">Es condicionante este derecho a </w:t>
      </w:r>
      <w:r>
        <w:rPr>
          <w:rFonts w:ascii="Abadi" w:hAnsi="Abadi"/>
          <w:sz w:val="21"/>
          <w:szCs w:val="21"/>
        </w:rPr>
        <w:t>haber</w:t>
      </w:r>
      <w:r w:rsidRPr="0021199F">
        <w:rPr>
          <w:rFonts w:ascii="Abadi" w:hAnsi="Abadi"/>
          <w:sz w:val="21"/>
          <w:szCs w:val="21"/>
        </w:rPr>
        <w:t xml:space="preserve"> participa</w:t>
      </w:r>
      <w:r>
        <w:rPr>
          <w:rFonts w:ascii="Abadi" w:hAnsi="Abadi"/>
          <w:sz w:val="21"/>
          <w:szCs w:val="21"/>
        </w:rPr>
        <w:t>do</w:t>
      </w:r>
      <w:r w:rsidRPr="0021199F">
        <w:rPr>
          <w:rFonts w:ascii="Abadi" w:hAnsi="Abadi"/>
          <w:sz w:val="21"/>
          <w:szCs w:val="21"/>
        </w:rPr>
        <w:t xml:space="preserve"> </w:t>
      </w:r>
      <w:r>
        <w:rPr>
          <w:rFonts w:ascii="Abadi" w:hAnsi="Abadi"/>
          <w:sz w:val="21"/>
          <w:szCs w:val="21"/>
        </w:rPr>
        <w:t>en</w:t>
      </w:r>
      <w:r w:rsidRPr="0021199F">
        <w:rPr>
          <w:rFonts w:ascii="Abadi" w:hAnsi="Abadi"/>
          <w:sz w:val="21"/>
          <w:szCs w:val="21"/>
        </w:rPr>
        <w:t xml:space="preserve"> la metodología? </w:t>
      </w:r>
      <w:r>
        <w:rPr>
          <w:rFonts w:ascii="Abadi" w:hAnsi="Abadi"/>
          <w:sz w:val="21"/>
          <w:szCs w:val="21"/>
        </w:rPr>
        <w:t>¡</w:t>
      </w:r>
      <w:r w:rsidRPr="0021199F">
        <w:rPr>
          <w:rFonts w:ascii="Abadi" w:hAnsi="Abadi"/>
          <w:sz w:val="21"/>
          <w:szCs w:val="21"/>
        </w:rPr>
        <w:t>Pues claro que no</w:t>
      </w:r>
      <w:r>
        <w:rPr>
          <w:rFonts w:ascii="Abadi" w:hAnsi="Abadi"/>
          <w:sz w:val="21"/>
          <w:szCs w:val="21"/>
        </w:rPr>
        <w:t>!</w:t>
      </w:r>
      <w:r w:rsidRPr="0021199F">
        <w:rPr>
          <w:rFonts w:ascii="Abadi" w:hAnsi="Abadi"/>
          <w:sz w:val="21"/>
          <w:szCs w:val="21"/>
        </w:rPr>
        <w:t xml:space="preserve"> Por eso ejer</w:t>
      </w:r>
      <w:r>
        <w:rPr>
          <w:rFonts w:ascii="Abadi" w:hAnsi="Abadi"/>
          <w:sz w:val="21"/>
          <w:szCs w:val="21"/>
        </w:rPr>
        <w:t>zo</w:t>
      </w:r>
      <w:r w:rsidRPr="0021199F">
        <w:rPr>
          <w:rFonts w:ascii="Abadi" w:hAnsi="Abadi"/>
          <w:sz w:val="21"/>
          <w:szCs w:val="21"/>
        </w:rPr>
        <w:t xml:space="preserve"> el derecho de ven</w:t>
      </w:r>
      <w:r>
        <w:rPr>
          <w:rFonts w:ascii="Abadi" w:hAnsi="Abadi"/>
          <w:sz w:val="21"/>
          <w:szCs w:val="21"/>
        </w:rPr>
        <w:t>i</w:t>
      </w:r>
      <w:r w:rsidRPr="0021199F">
        <w:rPr>
          <w:rFonts w:ascii="Abadi" w:hAnsi="Abadi"/>
          <w:sz w:val="21"/>
          <w:szCs w:val="21"/>
        </w:rPr>
        <w:t xml:space="preserve">r aquí a manifestar lo que he dicho. Y ha argumentado porque estoy en contra del dictamen con todo derecho. A mí no me van a venir otra vez porque suelen hacer lo mismo con el argumento </w:t>
      </w:r>
      <w:r>
        <w:rPr>
          <w:rFonts w:ascii="Abadi" w:hAnsi="Abadi"/>
          <w:sz w:val="21"/>
          <w:szCs w:val="21"/>
        </w:rPr>
        <w:t>ad</w:t>
      </w:r>
      <w:r w:rsidRPr="0021199F">
        <w:rPr>
          <w:rFonts w:ascii="Abadi" w:hAnsi="Abadi"/>
          <w:sz w:val="21"/>
          <w:szCs w:val="21"/>
        </w:rPr>
        <w:t xml:space="preserve"> hominem</w:t>
      </w:r>
      <w:r>
        <w:rPr>
          <w:rFonts w:ascii="Abadi" w:hAnsi="Abadi"/>
          <w:sz w:val="21"/>
          <w:szCs w:val="21"/>
        </w:rPr>
        <w:t>, c</w:t>
      </w:r>
      <w:r w:rsidRPr="0021199F">
        <w:rPr>
          <w:rFonts w:ascii="Abadi" w:hAnsi="Abadi"/>
          <w:sz w:val="21"/>
          <w:szCs w:val="21"/>
        </w:rPr>
        <w:t>uando no hay argumentos, se van sobre la persona porque hizo porque no hizo porque no va</w:t>
      </w:r>
      <w:r>
        <w:rPr>
          <w:rFonts w:ascii="Abadi" w:hAnsi="Abadi"/>
          <w:sz w:val="21"/>
          <w:szCs w:val="21"/>
        </w:rPr>
        <w:t xml:space="preserve"> a</w:t>
      </w:r>
      <w:r w:rsidRPr="0021199F">
        <w:rPr>
          <w:rFonts w:ascii="Abadi" w:hAnsi="Abadi"/>
          <w:sz w:val="21"/>
          <w:szCs w:val="21"/>
        </w:rPr>
        <w:t xml:space="preserve"> las </w:t>
      </w:r>
      <w:r>
        <w:rPr>
          <w:rFonts w:ascii="Abadi" w:hAnsi="Abadi"/>
          <w:sz w:val="21"/>
          <w:szCs w:val="21"/>
        </w:rPr>
        <w:t>giras, e</w:t>
      </w:r>
      <w:r w:rsidRPr="0021199F">
        <w:rPr>
          <w:rFonts w:ascii="Abadi" w:hAnsi="Abadi"/>
          <w:sz w:val="21"/>
          <w:szCs w:val="21"/>
        </w:rPr>
        <w:t xml:space="preserve">stamos </w:t>
      </w:r>
      <w:r>
        <w:rPr>
          <w:rFonts w:ascii="Abadi" w:hAnsi="Abadi"/>
          <w:sz w:val="21"/>
          <w:szCs w:val="21"/>
        </w:rPr>
        <w:t>ejerciendo</w:t>
      </w:r>
      <w:r w:rsidRPr="0021199F">
        <w:rPr>
          <w:rFonts w:ascii="Abadi" w:hAnsi="Abadi"/>
          <w:sz w:val="21"/>
          <w:szCs w:val="21"/>
        </w:rPr>
        <w:t xml:space="preserve"> un derecho consagrado aquí. </w:t>
      </w:r>
    </w:p>
    <w:p w14:paraId="3B97468F"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Segunda cosa</w:t>
      </w:r>
      <w:r>
        <w:rPr>
          <w:rFonts w:ascii="Abadi" w:hAnsi="Abadi"/>
          <w:sz w:val="21"/>
          <w:szCs w:val="21"/>
        </w:rPr>
        <w:t>. n</w:t>
      </w:r>
      <w:r w:rsidRPr="0021199F">
        <w:rPr>
          <w:rFonts w:ascii="Abadi" w:hAnsi="Abadi"/>
          <w:sz w:val="21"/>
          <w:szCs w:val="21"/>
        </w:rPr>
        <w:t>o es cierto que el tema este jurídicamente resuelto</w:t>
      </w:r>
      <w:r>
        <w:rPr>
          <w:rFonts w:ascii="Abadi" w:hAnsi="Abadi"/>
          <w:sz w:val="21"/>
          <w:szCs w:val="21"/>
        </w:rPr>
        <w:t>, si</w:t>
      </w:r>
      <w:r w:rsidRPr="0021199F">
        <w:rPr>
          <w:rFonts w:ascii="Abadi" w:hAnsi="Abadi"/>
          <w:sz w:val="21"/>
          <w:szCs w:val="21"/>
        </w:rPr>
        <w:t xml:space="preserve"> de veras </w:t>
      </w:r>
      <w:r>
        <w:rPr>
          <w:rFonts w:ascii="Abadi" w:hAnsi="Abadi"/>
          <w:sz w:val="21"/>
          <w:szCs w:val="21"/>
        </w:rPr>
        <w:t>h</w:t>
      </w:r>
      <w:r w:rsidRPr="0021199F">
        <w:rPr>
          <w:rFonts w:ascii="Abadi" w:hAnsi="Abadi"/>
          <w:sz w:val="21"/>
          <w:szCs w:val="21"/>
        </w:rPr>
        <w:t>ubieron analizado la información</w:t>
      </w:r>
      <w:r>
        <w:rPr>
          <w:rFonts w:ascii="Abadi" w:hAnsi="Abadi"/>
          <w:sz w:val="21"/>
          <w:szCs w:val="21"/>
        </w:rPr>
        <w:t>, e</w:t>
      </w:r>
      <w:r w:rsidRPr="0021199F">
        <w:rPr>
          <w:rFonts w:ascii="Abadi" w:hAnsi="Abadi"/>
          <w:sz w:val="21"/>
          <w:szCs w:val="21"/>
        </w:rPr>
        <w:t>ntenderían que la Procuraduría no ha manifestado conformidad con respecto al informe de SAPA</w:t>
      </w:r>
      <w:r>
        <w:rPr>
          <w:rFonts w:ascii="Abadi" w:hAnsi="Abadi"/>
          <w:sz w:val="21"/>
          <w:szCs w:val="21"/>
        </w:rPr>
        <w:t>L,</w:t>
      </w:r>
      <w:r w:rsidRPr="0021199F">
        <w:rPr>
          <w:rFonts w:ascii="Abadi" w:hAnsi="Abadi"/>
          <w:sz w:val="21"/>
          <w:szCs w:val="21"/>
        </w:rPr>
        <w:t xml:space="preserve"> hubiera, ya lo dije</w:t>
      </w:r>
      <w:r>
        <w:rPr>
          <w:rFonts w:ascii="Abadi" w:hAnsi="Abadi"/>
          <w:sz w:val="21"/>
          <w:szCs w:val="21"/>
        </w:rPr>
        <w:t>, h</w:t>
      </w:r>
      <w:r w:rsidRPr="0021199F">
        <w:rPr>
          <w:rFonts w:ascii="Abadi" w:hAnsi="Abadi"/>
          <w:sz w:val="21"/>
          <w:szCs w:val="21"/>
        </w:rPr>
        <w:t xml:space="preserve">ubiera platicado con las víctimas para que les completarán la información de cuáles son las cosas que faltan. O no vamos a adoptar aquí el principio fundamental de la palabra de las víctimas. </w:t>
      </w:r>
    </w:p>
    <w:p w14:paraId="357A9E30"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No solamente escucharon </w:t>
      </w:r>
      <w:r>
        <w:rPr>
          <w:rFonts w:ascii="Abadi" w:hAnsi="Abadi"/>
          <w:sz w:val="21"/>
          <w:szCs w:val="21"/>
        </w:rPr>
        <w:t>a SAPAL, d</w:t>
      </w:r>
      <w:r w:rsidRPr="0021199F">
        <w:rPr>
          <w:rFonts w:ascii="Abadi" w:hAnsi="Abadi"/>
          <w:sz w:val="21"/>
          <w:szCs w:val="21"/>
        </w:rPr>
        <w:t xml:space="preserve">ijeron que, si estaba bien lo que decía, lo pusieron en el documento y lo </w:t>
      </w:r>
      <w:r>
        <w:rPr>
          <w:rFonts w:ascii="Abadi" w:hAnsi="Abadi"/>
          <w:sz w:val="21"/>
          <w:szCs w:val="21"/>
        </w:rPr>
        <w:t>v</w:t>
      </w:r>
      <w:r w:rsidRPr="0021199F">
        <w:rPr>
          <w:rFonts w:ascii="Abadi" w:hAnsi="Abadi"/>
          <w:sz w:val="21"/>
          <w:szCs w:val="21"/>
        </w:rPr>
        <w:t>ota</w:t>
      </w:r>
      <w:r>
        <w:rPr>
          <w:rFonts w:ascii="Abadi" w:hAnsi="Abadi"/>
          <w:sz w:val="21"/>
          <w:szCs w:val="21"/>
        </w:rPr>
        <w:t>ron</w:t>
      </w:r>
      <w:r w:rsidRPr="0021199F">
        <w:rPr>
          <w:rFonts w:ascii="Abadi" w:hAnsi="Abadi"/>
          <w:sz w:val="21"/>
          <w:szCs w:val="21"/>
        </w:rPr>
        <w:t xml:space="preserve">. </w:t>
      </w:r>
    </w:p>
    <w:p w14:paraId="3C1360CB" w14:textId="77777777"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Dónde está el derecho de las víctimas a ser escuchadas en todos los asuntos que les conciernen. No, no lo consideraron. </w:t>
      </w:r>
    </w:p>
    <w:p w14:paraId="4E751EEA" w14:textId="3CA864B5" w:rsidR="0013564D" w:rsidRDefault="0013564D" w:rsidP="0013564D">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Y la tercera, a ver, el Ayuntamiento tiene todo el derecho</w:t>
      </w:r>
      <w:r>
        <w:rPr>
          <w:rFonts w:ascii="Abadi" w:hAnsi="Abadi"/>
          <w:sz w:val="21"/>
          <w:szCs w:val="21"/>
        </w:rPr>
        <w:t xml:space="preserve"> a formar </w:t>
      </w:r>
      <w:r w:rsidRPr="0021199F">
        <w:rPr>
          <w:rFonts w:ascii="Abadi" w:hAnsi="Abadi"/>
          <w:sz w:val="21"/>
          <w:szCs w:val="21"/>
        </w:rPr>
        <w:t>comisiones administrativas para S</w:t>
      </w:r>
      <w:r>
        <w:rPr>
          <w:rFonts w:ascii="Abadi" w:hAnsi="Abadi"/>
          <w:sz w:val="21"/>
          <w:szCs w:val="21"/>
        </w:rPr>
        <w:t>APAL</w:t>
      </w:r>
      <w:r w:rsidRPr="0021199F">
        <w:rPr>
          <w:rFonts w:ascii="Abadi" w:hAnsi="Abadi"/>
          <w:sz w:val="21"/>
          <w:szCs w:val="21"/>
        </w:rPr>
        <w:t>. Claro que lo tiene</w:t>
      </w:r>
      <w:r>
        <w:rPr>
          <w:rFonts w:ascii="Abadi" w:hAnsi="Abadi"/>
          <w:sz w:val="21"/>
          <w:szCs w:val="21"/>
        </w:rPr>
        <w:t>,</w:t>
      </w:r>
      <w:r w:rsidRPr="0021199F">
        <w:rPr>
          <w:rFonts w:ascii="Abadi" w:hAnsi="Abadi"/>
          <w:sz w:val="21"/>
          <w:szCs w:val="21"/>
        </w:rPr>
        <w:t xml:space="preserve"> y entiende este asunto que se viene a defender de la secrecía de las investigaciones que realiza el fiscal</w:t>
      </w:r>
      <w:r>
        <w:rPr>
          <w:rFonts w:ascii="Abadi" w:hAnsi="Abadi"/>
          <w:sz w:val="21"/>
          <w:szCs w:val="21"/>
        </w:rPr>
        <w:t xml:space="preserve">, es un </w:t>
      </w:r>
      <w:r w:rsidRPr="0021199F">
        <w:rPr>
          <w:rFonts w:ascii="Abadi" w:hAnsi="Abadi"/>
          <w:sz w:val="21"/>
          <w:szCs w:val="21"/>
        </w:rPr>
        <w:t xml:space="preserve">asunto elemental. Creo que hasta los que no somos abogados lo entendemos, que no se puede violar el debido proceso y entonces no se tiene que pasar información que afecte el proceso </w:t>
      </w:r>
      <w:r>
        <w:rPr>
          <w:rFonts w:ascii="Abadi" w:hAnsi="Abadi"/>
          <w:sz w:val="21"/>
          <w:szCs w:val="21"/>
        </w:rPr>
        <w:t>e</w:t>
      </w:r>
      <w:r w:rsidRPr="0021199F">
        <w:rPr>
          <w:rFonts w:ascii="Abadi" w:hAnsi="Abadi"/>
          <w:sz w:val="21"/>
          <w:szCs w:val="21"/>
        </w:rPr>
        <w:t>n general, es</w:t>
      </w:r>
      <w:r>
        <w:rPr>
          <w:rFonts w:ascii="Abadi" w:hAnsi="Abadi"/>
          <w:sz w:val="21"/>
          <w:szCs w:val="21"/>
        </w:rPr>
        <w:t xml:space="preserve">o </w:t>
      </w:r>
      <w:r w:rsidRPr="0021199F">
        <w:rPr>
          <w:rFonts w:ascii="Abadi" w:hAnsi="Abadi"/>
          <w:sz w:val="21"/>
          <w:szCs w:val="21"/>
        </w:rPr>
        <w:t xml:space="preserve">es evidente. Lo que pedimos es una cuestión no solamente criminal, sino administrativa del comportamiento y la organización que tenía el sistema de agua potable y alcantarillado en León y su relación con la empresa que estaba limpiando el agua. </w:t>
      </w:r>
    </w:p>
    <w:p w14:paraId="7E2FE8AC" w14:textId="78013C46" w:rsidR="0013564D" w:rsidRDefault="00086DC3" w:rsidP="0013564D">
      <w:pPr>
        <w:pStyle w:val="NormalWeb"/>
        <w:jc w:val="both"/>
        <w:rPr>
          <w:rFonts w:ascii="Abadi" w:hAnsi="Abadi"/>
          <w:sz w:val="21"/>
          <w:szCs w:val="21"/>
        </w:rPr>
      </w:pPr>
      <w:r>
        <w:rPr>
          <w:rFonts w:ascii="Abadi" w:hAnsi="Abadi"/>
          <w:sz w:val="21"/>
          <w:szCs w:val="21"/>
        </w:rPr>
        <w:t xml:space="preserve">- </w:t>
      </w:r>
      <w:r w:rsidR="0013564D" w:rsidRPr="0021199F">
        <w:rPr>
          <w:rFonts w:ascii="Abadi" w:hAnsi="Abadi"/>
          <w:sz w:val="21"/>
          <w:szCs w:val="21"/>
        </w:rPr>
        <w:t xml:space="preserve">Pero no se preocupen, </w:t>
      </w:r>
      <w:r w:rsidR="0013564D">
        <w:rPr>
          <w:rFonts w:ascii="Abadi" w:hAnsi="Abadi"/>
          <w:sz w:val="21"/>
          <w:szCs w:val="21"/>
        </w:rPr>
        <w:t>e</w:t>
      </w:r>
      <w:r w:rsidR="0013564D" w:rsidRPr="0021199F">
        <w:rPr>
          <w:rFonts w:ascii="Abadi" w:hAnsi="Abadi"/>
          <w:sz w:val="21"/>
          <w:szCs w:val="21"/>
        </w:rPr>
        <w:t xml:space="preserve">n ocho días o quince días voy a venir. </w:t>
      </w:r>
      <w:r w:rsidR="0013564D">
        <w:rPr>
          <w:rFonts w:ascii="Abadi" w:hAnsi="Abadi"/>
          <w:sz w:val="21"/>
          <w:szCs w:val="21"/>
        </w:rPr>
        <w:t>(Voz) diputada Presidenta, ¿</w:t>
      </w:r>
      <w:r w:rsidR="0013564D" w:rsidRPr="0021199F">
        <w:rPr>
          <w:rFonts w:ascii="Abadi" w:hAnsi="Abadi"/>
          <w:sz w:val="21"/>
          <w:szCs w:val="21"/>
        </w:rPr>
        <w:t>diputado</w:t>
      </w:r>
      <w:r w:rsidR="0013564D">
        <w:rPr>
          <w:rFonts w:ascii="Abadi" w:hAnsi="Abadi"/>
          <w:sz w:val="21"/>
          <w:szCs w:val="21"/>
        </w:rPr>
        <w:t xml:space="preserve"> me permite tantito por favor? (Voz) diputado David, ¡Sí!, (Voz) diputada Presidenta, ¿diputado Bricio para que efecto?</w:t>
      </w:r>
      <w:r w:rsidR="0013564D" w:rsidRPr="0021199F">
        <w:rPr>
          <w:rFonts w:ascii="Abadi" w:hAnsi="Abadi"/>
          <w:sz w:val="21"/>
          <w:szCs w:val="21"/>
        </w:rPr>
        <w:t xml:space="preserve"> </w:t>
      </w:r>
      <w:r w:rsidR="0013564D">
        <w:rPr>
          <w:rFonts w:ascii="Abadi" w:hAnsi="Abadi"/>
          <w:sz w:val="21"/>
          <w:szCs w:val="21"/>
        </w:rPr>
        <w:t>(Voz) Diputado Bricio Balderas.</w:t>
      </w:r>
      <w:r w:rsidR="0013564D" w:rsidRPr="0021199F">
        <w:rPr>
          <w:rFonts w:ascii="Abadi" w:hAnsi="Abadi"/>
          <w:sz w:val="21"/>
          <w:szCs w:val="21"/>
        </w:rPr>
        <w:t xml:space="preserve"> </w:t>
      </w:r>
      <w:r w:rsidR="00991CA8">
        <w:rPr>
          <w:rFonts w:ascii="Abadi" w:hAnsi="Abadi"/>
          <w:sz w:val="21"/>
          <w:szCs w:val="21"/>
        </w:rPr>
        <w:t>g</w:t>
      </w:r>
      <w:r w:rsidR="0013564D" w:rsidRPr="0021199F">
        <w:rPr>
          <w:rFonts w:ascii="Abadi" w:hAnsi="Abadi"/>
          <w:sz w:val="21"/>
          <w:szCs w:val="21"/>
        </w:rPr>
        <w:t xml:space="preserve">racias, </w:t>
      </w:r>
      <w:r w:rsidR="0013564D">
        <w:rPr>
          <w:rFonts w:ascii="Abadi" w:hAnsi="Abadi"/>
          <w:sz w:val="21"/>
          <w:szCs w:val="21"/>
        </w:rPr>
        <w:t>P</w:t>
      </w:r>
      <w:r w:rsidR="0013564D" w:rsidRPr="0021199F">
        <w:rPr>
          <w:rFonts w:ascii="Abadi" w:hAnsi="Abadi"/>
          <w:sz w:val="21"/>
          <w:szCs w:val="21"/>
        </w:rPr>
        <w:t>residenta</w:t>
      </w:r>
      <w:r w:rsidR="0013564D">
        <w:rPr>
          <w:rFonts w:ascii="Abadi" w:hAnsi="Abadi"/>
          <w:sz w:val="21"/>
          <w:szCs w:val="21"/>
        </w:rPr>
        <w:t>, s</w:t>
      </w:r>
      <w:r w:rsidR="0013564D" w:rsidRPr="0021199F">
        <w:rPr>
          <w:rFonts w:ascii="Abadi" w:hAnsi="Abadi"/>
          <w:sz w:val="21"/>
          <w:szCs w:val="21"/>
        </w:rPr>
        <w:t>olamente para ver si por su conducto y por favor</w:t>
      </w:r>
      <w:r w:rsidR="0013564D">
        <w:rPr>
          <w:rFonts w:ascii="Abadi" w:hAnsi="Abadi"/>
          <w:sz w:val="21"/>
          <w:szCs w:val="21"/>
        </w:rPr>
        <w:t xml:space="preserve">, si </w:t>
      </w:r>
      <w:r w:rsidR="0013564D" w:rsidRPr="0021199F">
        <w:rPr>
          <w:rFonts w:ascii="Abadi" w:hAnsi="Abadi"/>
          <w:sz w:val="21"/>
          <w:szCs w:val="21"/>
        </w:rPr>
        <w:t>el d</w:t>
      </w:r>
      <w:r w:rsidR="0013564D">
        <w:rPr>
          <w:rFonts w:ascii="Abadi" w:hAnsi="Abadi"/>
          <w:sz w:val="21"/>
          <w:szCs w:val="21"/>
        </w:rPr>
        <w:t>i</w:t>
      </w:r>
      <w:r w:rsidR="0013564D" w:rsidRPr="0021199F">
        <w:rPr>
          <w:rFonts w:ascii="Abadi" w:hAnsi="Abadi"/>
          <w:sz w:val="21"/>
          <w:szCs w:val="21"/>
        </w:rPr>
        <w:t xml:space="preserve">putado me acepta una pregunta </w:t>
      </w:r>
      <w:r w:rsidR="0013564D">
        <w:rPr>
          <w:rFonts w:ascii="Abadi" w:hAnsi="Abadi"/>
          <w:sz w:val="21"/>
          <w:szCs w:val="21"/>
        </w:rPr>
        <w:t>(Voz) diputada Presidenta, ¿</w:t>
      </w:r>
      <w:r w:rsidR="0013564D" w:rsidRPr="0021199F">
        <w:rPr>
          <w:rFonts w:ascii="Abadi" w:hAnsi="Abadi"/>
          <w:sz w:val="21"/>
          <w:szCs w:val="21"/>
        </w:rPr>
        <w:t>Diputado David, le acept</w:t>
      </w:r>
      <w:r w:rsidR="0013564D">
        <w:rPr>
          <w:rFonts w:ascii="Abadi" w:hAnsi="Abadi"/>
          <w:sz w:val="21"/>
          <w:szCs w:val="21"/>
        </w:rPr>
        <w:t>a</w:t>
      </w:r>
      <w:r w:rsidR="0013564D" w:rsidRPr="0021199F">
        <w:rPr>
          <w:rFonts w:ascii="Abadi" w:hAnsi="Abadi"/>
          <w:sz w:val="21"/>
          <w:szCs w:val="21"/>
        </w:rPr>
        <w:t xml:space="preserve"> una pregunta</w:t>
      </w:r>
      <w:r w:rsidR="0013564D">
        <w:rPr>
          <w:rFonts w:ascii="Abadi" w:hAnsi="Abadi"/>
          <w:sz w:val="21"/>
          <w:szCs w:val="21"/>
        </w:rPr>
        <w:t>?</w:t>
      </w:r>
      <w:r w:rsidR="0013564D" w:rsidRPr="0021199F">
        <w:rPr>
          <w:rFonts w:ascii="Abadi" w:hAnsi="Abadi"/>
          <w:sz w:val="21"/>
          <w:szCs w:val="21"/>
        </w:rPr>
        <w:t xml:space="preserve"> </w:t>
      </w:r>
      <w:r w:rsidR="0013564D">
        <w:rPr>
          <w:rFonts w:ascii="Abadi" w:hAnsi="Abadi"/>
          <w:sz w:val="21"/>
          <w:szCs w:val="21"/>
        </w:rPr>
        <w:t>(Voz) Diputado David Mendizabal, ¡</w:t>
      </w:r>
      <w:r w:rsidR="00991CA8">
        <w:rPr>
          <w:rFonts w:ascii="Abadi" w:hAnsi="Abadi"/>
          <w:sz w:val="21"/>
          <w:szCs w:val="21"/>
        </w:rPr>
        <w:t>N</w:t>
      </w:r>
      <w:r w:rsidR="0013564D">
        <w:rPr>
          <w:rFonts w:ascii="Abadi" w:hAnsi="Abadi"/>
          <w:sz w:val="21"/>
          <w:szCs w:val="21"/>
        </w:rPr>
        <w:t>o!</w:t>
      </w:r>
      <w:r w:rsidR="0013564D" w:rsidRPr="0021199F">
        <w:rPr>
          <w:rFonts w:ascii="Abadi" w:hAnsi="Abadi"/>
          <w:sz w:val="21"/>
          <w:szCs w:val="21"/>
        </w:rPr>
        <w:t xml:space="preserve"> porque ya tu</w:t>
      </w:r>
      <w:r w:rsidR="0013564D">
        <w:rPr>
          <w:rFonts w:ascii="Abadi" w:hAnsi="Abadi"/>
          <w:sz w:val="21"/>
          <w:szCs w:val="21"/>
        </w:rPr>
        <w:t>vo</w:t>
      </w:r>
      <w:r w:rsidR="0013564D" w:rsidRPr="0021199F">
        <w:rPr>
          <w:rFonts w:ascii="Abadi" w:hAnsi="Abadi"/>
          <w:sz w:val="21"/>
          <w:szCs w:val="21"/>
        </w:rPr>
        <w:t xml:space="preserve"> oportunidad de hablar</w:t>
      </w:r>
      <w:r w:rsidR="0013564D">
        <w:rPr>
          <w:rFonts w:ascii="Abadi" w:hAnsi="Abadi"/>
          <w:sz w:val="21"/>
          <w:szCs w:val="21"/>
        </w:rPr>
        <w:t xml:space="preserve">, lo hubiera hecho aquí y no estuviera interrumpiendo a la gente, (Voz) diputada Presidenta, </w:t>
      </w:r>
      <w:r w:rsidR="0013564D" w:rsidRPr="0021199F">
        <w:rPr>
          <w:rFonts w:ascii="Abadi" w:hAnsi="Abadi"/>
          <w:sz w:val="21"/>
          <w:szCs w:val="21"/>
        </w:rPr>
        <w:t>no l</w:t>
      </w:r>
      <w:r w:rsidR="0013564D">
        <w:rPr>
          <w:rFonts w:ascii="Abadi" w:hAnsi="Abadi"/>
          <w:sz w:val="21"/>
          <w:szCs w:val="21"/>
        </w:rPr>
        <w:t>e</w:t>
      </w:r>
      <w:r w:rsidR="0013564D" w:rsidRPr="0021199F">
        <w:rPr>
          <w:rFonts w:ascii="Abadi" w:hAnsi="Abadi"/>
          <w:sz w:val="21"/>
          <w:szCs w:val="21"/>
        </w:rPr>
        <w:t xml:space="preserve"> acepta</w:t>
      </w:r>
      <w:r w:rsidR="0013564D">
        <w:rPr>
          <w:rFonts w:ascii="Abadi" w:hAnsi="Abadi"/>
          <w:sz w:val="21"/>
          <w:szCs w:val="21"/>
        </w:rPr>
        <w:t xml:space="preserve"> l</w:t>
      </w:r>
      <w:r w:rsidR="0013564D" w:rsidRPr="0021199F">
        <w:rPr>
          <w:rFonts w:ascii="Abadi" w:hAnsi="Abadi"/>
          <w:sz w:val="21"/>
          <w:szCs w:val="21"/>
        </w:rPr>
        <w:t>a pregunta</w:t>
      </w:r>
      <w:r w:rsidR="0013564D">
        <w:rPr>
          <w:rFonts w:ascii="Abadi" w:hAnsi="Abadi"/>
          <w:sz w:val="21"/>
          <w:szCs w:val="21"/>
        </w:rPr>
        <w:t>, diputado, Presidenta, a</w:t>
      </w:r>
      <w:r w:rsidR="0013564D" w:rsidRPr="0021199F">
        <w:rPr>
          <w:rFonts w:ascii="Abadi" w:hAnsi="Abadi"/>
          <w:sz w:val="21"/>
          <w:szCs w:val="21"/>
        </w:rPr>
        <w:t>delante, diputado</w:t>
      </w:r>
      <w:r w:rsidR="0013564D">
        <w:rPr>
          <w:rFonts w:ascii="Abadi" w:hAnsi="Abadi"/>
          <w:sz w:val="21"/>
          <w:szCs w:val="21"/>
        </w:rPr>
        <w:t>, (Voz) Diputado Mendizabal, n</w:t>
      </w:r>
      <w:r w:rsidR="0013564D" w:rsidRPr="0021199F">
        <w:rPr>
          <w:rFonts w:ascii="Abadi" w:hAnsi="Abadi"/>
          <w:sz w:val="21"/>
          <w:szCs w:val="21"/>
        </w:rPr>
        <w:t>o se preocupen</w:t>
      </w:r>
      <w:r w:rsidR="0013564D">
        <w:rPr>
          <w:rFonts w:ascii="Abadi" w:hAnsi="Abadi"/>
          <w:sz w:val="21"/>
          <w:szCs w:val="21"/>
        </w:rPr>
        <w:t xml:space="preserve"> v</w:t>
      </w:r>
      <w:r w:rsidR="0013564D" w:rsidRPr="0021199F">
        <w:rPr>
          <w:rFonts w:ascii="Abadi" w:hAnsi="Abadi"/>
          <w:sz w:val="21"/>
          <w:szCs w:val="21"/>
        </w:rPr>
        <w:t>oy a venir con otro exhorto, porque este tema no ha terminado y voy a prestar otro exhorto en dónde s</w:t>
      </w:r>
      <w:r w:rsidR="0013564D">
        <w:rPr>
          <w:rFonts w:ascii="Abadi" w:hAnsi="Abadi"/>
          <w:sz w:val="21"/>
          <w:szCs w:val="21"/>
        </w:rPr>
        <w:t>e</w:t>
      </w:r>
      <w:r w:rsidR="0013564D" w:rsidRPr="0021199F">
        <w:rPr>
          <w:rFonts w:ascii="Abadi" w:hAnsi="Abadi"/>
          <w:sz w:val="21"/>
          <w:szCs w:val="21"/>
        </w:rPr>
        <w:t xml:space="preserve"> analice</w:t>
      </w:r>
      <w:r w:rsidR="0013564D">
        <w:rPr>
          <w:rFonts w:ascii="Abadi" w:hAnsi="Abadi"/>
          <w:sz w:val="21"/>
          <w:szCs w:val="21"/>
        </w:rPr>
        <w:t>,</w:t>
      </w:r>
      <w:r w:rsidR="0013564D" w:rsidRPr="0021199F">
        <w:rPr>
          <w:rFonts w:ascii="Abadi" w:hAnsi="Abadi"/>
          <w:sz w:val="21"/>
          <w:szCs w:val="21"/>
        </w:rPr>
        <w:t xml:space="preserve"> </w:t>
      </w:r>
      <w:r w:rsidR="0013564D">
        <w:rPr>
          <w:rFonts w:ascii="Abadi" w:hAnsi="Abadi"/>
          <w:sz w:val="21"/>
          <w:szCs w:val="21"/>
        </w:rPr>
        <w:t>si</w:t>
      </w:r>
      <w:r w:rsidR="0013564D" w:rsidRPr="0021199F">
        <w:rPr>
          <w:rFonts w:ascii="Abadi" w:hAnsi="Abadi"/>
          <w:sz w:val="21"/>
          <w:szCs w:val="21"/>
        </w:rPr>
        <w:t xml:space="preserve"> realmente, como dice la Comisión, el asunto está jurídicamente resuelto</w:t>
      </w:r>
      <w:r w:rsidR="0013564D">
        <w:rPr>
          <w:rFonts w:ascii="Abadi" w:hAnsi="Abadi"/>
          <w:sz w:val="21"/>
          <w:szCs w:val="21"/>
        </w:rPr>
        <w:t xml:space="preserve"> u</w:t>
      </w:r>
      <w:r w:rsidR="0013564D" w:rsidRPr="0021199F">
        <w:rPr>
          <w:rFonts w:ascii="Abadi" w:hAnsi="Abadi"/>
          <w:sz w:val="21"/>
          <w:szCs w:val="21"/>
        </w:rPr>
        <w:t xml:space="preserve"> </w:t>
      </w:r>
      <w:r w:rsidR="0013564D">
        <w:rPr>
          <w:rFonts w:ascii="Abadi" w:hAnsi="Abadi"/>
          <w:sz w:val="21"/>
          <w:szCs w:val="21"/>
        </w:rPr>
        <w:t>o</w:t>
      </w:r>
      <w:r w:rsidR="0013564D" w:rsidRPr="0021199F">
        <w:rPr>
          <w:rFonts w:ascii="Abadi" w:hAnsi="Abadi"/>
          <w:sz w:val="21"/>
          <w:szCs w:val="21"/>
        </w:rPr>
        <w:t>mitieron ustedes consideraciones fundamentales para la gente que fue afectada</w:t>
      </w:r>
      <w:r w:rsidR="0013564D">
        <w:rPr>
          <w:rFonts w:ascii="Abadi" w:hAnsi="Abadi"/>
          <w:sz w:val="21"/>
          <w:szCs w:val="21"/>
        </w:rPr>
        <w:t>.</w:t>
      </w:r>
      <w:r w:rsidR="0013564D" w:rsidRPr="0021199F">
        <w:rPr>
          <w:rFonts w:ascii="Abadi" w:hAnsi="Abadi"/>
          <w:sz w:val="21"/>
          <w:szCs w:val="21"/>
        </w:rPr>
        <w:t xml:space="preserve"> Recuerdo </w:t>
      </w:r>
      <w:r w:rsidR="0013564D">
        <w:rPr>
          <w:rFonts w:ascii="Abadi" w:hAnsi="Abadi"/>
          <w:sz w:val="21"/>
          <w:szCs w:val="21"/>
        </w:rPr>
        <w:t>h</w:t>
      </w:r>
      <w:r w:rsidR="0013564D" w:rsidRPr="0021199F">
        <w:rPr>
          <w:rFonts w:ascii="Abadi" w:hAnsi="Abadi"/>
          <w:sz w:val="21"/>
          <w:szCs w:val="21"/>
        </w:rPr>
        <w:t xml:space="preserve">ay cinco personas muertas. Hay irregularidades en la administración de </w:t>
      </w:r>
      <w:r w:rsidR="0013564D">
        <w:rPr>
          <w:rFonts w:ascii="Abadi" w:hAnsi="Abadi"/>
          <w:sz w:val="21"/>
          <w:szCs w:val="21"/>
        </w:rPr>
        <w:t>SAPAL</w:t>
      </w:r>
      <w:r w:rsidR="0013564D" w:rsidRPr="0021199F">
        <w:rPr>
          <w:rFonts w:ascii="Abadi" w:hAnsi="Abadi"/>
          <w:sz w:val="21"/>
          <w:szCs w:val="21"/>
        </w:rPr>
        <w:t xml:space="preserve"> con respecto a las plantas </w:t>
      </w:r>
      <w:r w:rsidR="0013564D">
        <w:rPr>
          <w:rFonts w:ascii="Abadi" w:hAnsi="Abadi"/>
          <w:sz w:val="21"/>
          <w:szCs w:val="21"/>
        </w:rPr>
        <w:t xml:space="preserve">tratadoras </w:t>
      </w:r>
      <w:r w:rsidR="0013564D" w:rsidRPr="0021199F">
        <w:rPr>
          <w:rFonts w:ascii="Abadi" w:hAnsi="Abadi"/>
          <w:sz w:val="21"/>
          <w:szCs w:val="21"/>
        </w:rPr>
        <w:t xml:space="preserve">de agua, que lo hubieran incorporado </w:t>
      </w:r>
      <w:r w:rsidR="0013564D">
        <w:rPr>
          <w:rFonts w:ascii="Abadi" w:hAnsi="Abadi"/>
          <w:sz w:val="21"/>
          <w:szCs w:val="21"/>
        </w:rPr>
        <w:t>al</w:t>
      </w:r>
      <w:r w:rsidR="0013564D" w:rsidRPr="0021199F">
        <w:rPr>
          <w:rFonts w:ascii="Abadi" w:hAnsi="Abadi"/>
          <w:sz w:val="21"/>
          <w:szCs w:val="21"/>
        </w:rPr>
        <w:t xml:space="preserve"> dictamen si hubieran hecho su trabajo realmente, como dicen que lo hicieron. Y por esas razones, yo las y los invito a votar en contra del dictamen. </w:t>
      </w:r>
    </w:p>
    <w:p w14:paraId="0EFDFD62" w14:textId="796B54BA" w:rsidR="0013564D" w:rsidRDefault="00E74783" w:rsidP="00E74783">
      <w:pPr>
        <w:pStyle w:val="NormalWeb"/>
        <w:ind w:firstLine="708"/>
        <w:jc w:val="both"/>
        <w:rPr>
          <w:rFonts w:ascii="Abadi" w:hAnsi="Abadi"/>
          <w:sz w:val="21"/>
          <w:szCs w:val="21"/>
        </w:rPr>
      </w:pPr>
      <w:r>
        <w:rPr>
          <w:rFonts w:ascii="Abadi" w:hAnsi="Abadi"/>
          <w:b/>
          <w:bCs/>
          <w:sz w:val="21"/>
          <w:szCs w:val="21"/>
        </w:rPr>
        <w:t xml:space="preserve">- </w:t>
      </w:r>
      <w:r w:rsidR="0013564D" w:rsidRPr="00111EBB">
        <w:rPr>
          <w:rFonts w:ascii="Abadi" w:hAnsi="Abadi"/>
          <w:b/>
          <w:bCs/>
          <w:sz w:val="21"/>
          <w:szCs w:val="21"/>
        </w:rPr>
        <w:t xml:space="preserve">La </w:t>
      </w:r>
      <w:proofErr w:type="gramStart"/>
      <w:r w:rsidR="0013564D" w:rsidRPr="00111EBB">
        <w:rPr>
          <w:rFonts w:ascii="Abadi" w:hAnsi="Abadi"/>
          <w:b/>
          <w:bCs/>
          <w:sz w:val="21"/>
          <w:szCs w:val="21"/>
        </w:rPr>
        <w:t>Presidencia.-</w:t>
      </w:r>
      <w:proofErr w:type="gramEnd"/>
      <w:r w:rsidR="0013564D">
        <w:rPr>
          <w:rFonts w:ascii="Abadi" w:hAnsi="Abadi"/>
          <w:sz w:val="21"/>
          <w:szCs w:val="21"/>
        </w:rPr>
        <w:t xml:space="preserve"> </w:t>
      </w:r>
      <w:r w:rsidR="0013564D" w:rsidRPr="0021199F">
        <w:rPr>
          <w:rFonts w:ascii="Abadi" w:hAnsi="Abadi"/>
          <w:sz w:val="21"/>
          <w:szCs w:val="21"/>
        </w:rPr>
        <w:t xml:space="preserve">Muchas gracias Diputado. </w:t>
      </w:r>
    </w:p>
    <w:p w14:paraId="40EE457C" w14:textId="77777777" w:rsidR="0013564D" w:rsidRDefault="0013564D" w:rsidP="00E74783">
      <w:pPr>
        <w:pStyle w:val="NormalWeb"/>
        <w:ind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Agotadas las participaciones, se pide a la Secretaría que proceda </w:t>
      </w:r>
      <w:r>
        <w:rPr>
          <w:rFonts w:ascii="Abadi" w:hAnsi="Abadi"/>
          <w:sz w:val="21"/>
          <w:szCs w:val="21"/>
        </w:rPr>
        <w:t xml:space="preserve">a </w:t>
      </w:r>
      <w:r w:rsidRPr="0021199F">
        <w:rPr>
          <w:rFonts w:ascii="Abadi" w:hAnsi="Abadi"/>
          <w:sz w:val="21"/>
          <w:szCs w:val="21"/>
        </w:rPr>
        <w:t xml:space="preserve">recabar votación nominal de la </w:t>
      </w:r>
      <w:r>
        <w:rPr>
          <w:rFonts w:ascii="Abadi" w:hAnsi="Abadi"/>
          <w:sz w:val="21"/>
          <w:szCs w:val="21"/>
        </w:rPr>
        <w:t>asamblea</w:t>
      </w:r>
      <w:r w:rsidRPr="0021199F">
        <w:rPr>
          <w:rFonts w:ascii="Abadi" w:hAnsi="Abadi"/>
          <w:sz w:val="21"/>
          <w:szCs w:val="21"/>
        </w:rPr>
        <w:t xml:space="preserve"> </w:t>
      </w:r>
      <w:r>
        <w:rPr>
          <w:rFonts w:ascii="Abadi" w:hAnsi="Abadi"/>
          <w:sz w:val="21"/>
          <w:szCs w:val="21"/>
        </w:rPr>
        <w:t>a</w:t>
      </w:r>
      <w:r w:rsidRPr="0021199F">
        <w:rPr>
          <w:rFonts w:ascii="Abadi" w:hAnsi="Abadi"/>
          <w:sz w:val="21"/>
          <w:szCs w:val="21"/>
        </w:rPr>
        <w:t xml:space="preserve"> través del sistema electrónico </w:t>
      </w:r>
      <w:r>
        <w:rPr>
          <w:rFonts w:ascii="Abadi" w:hAnsi="Abadi"/>
          <w:sz w:val="21"/>
          <w:szCs w:val="21"/>
        </w:rPr>
        <w:t>a efecto de</w:t>
      </w:r>
      <w:r w:rsidRPr="0021199F">
        <w:rPr>
          <w:rFonts w:ascii="Abadi" w:hAnsi="Abadi"/>
          <w:sz w:val="21"/>
          <w:szCs w:val="21"/>
        </w:rPr>
        <w:t xml:space="preserve"> aprobar</w:t>
      </w:r>
      <w:r>
        <w:rPr>
          <w:rFonts w:ascii="Abadi" w:hAnsi="Abadi"/>
          <w:sz w:val="21"/>
          <w:szCs w:val="21"/>
        </w:rPr>
        <w:t xml:space="preserve"> </w:t>
      </w:r>
      <w:r w:rsidRPr="0021199F">
        <w:rPr>
          <w:rFonts w:ascii="Abadi" w:hAnsi="Abadi"/>
          <w:sz w:val="21"/>
          <w:szCs w:val="21"/>
        </w:rPr>
        <w:t xml:space="preserve">o no el dictamen puesto </w:t>
      </w:r>
      <w:r>
        <w:rPr>
          <w:rFonts w:ascii="Abadi" w:hAnsi="Abadi"/>
          <w:sz w:val="21"/>
          <w:szCs w:val="21"/>
        </w:rPr>
        <w:t xml:space="preserve">a </w:t>
      </w:r>
      <w:r w:rsidRPr="0021199F">
        <w:rPr>
          <w:rFonts w:ascii="Abadi" w:hAnsi="Abadi"/>
          <w:sz w:val="21"/>
          <w:szCs w:val="21"/>
        </w:rPr>
        <w:t xml:space="preserve">su consideración. </w:t>
      </w:r>
    </w:p>
    <w:p w14:paraId="0FEC7852" w14:textId="259E6C2B" w:rsidR="0013564D" w:rsidRPr="00CD4FBF" w:rsidRDefault="0013564D" w:rsidP="00E74783">
      <w:pPr>
        <w:pStyle w:val="NormalWeb"/>
        <w:jc w:val="center"/>
        <w:rPr>
          <w:rFonts w:ascii="Abadi" w:hAnsi="Abadi"/>
          <w:b/>
          <w:bCs/>
          <w:sz w:val="21"/>
          <w:szCs w:val="21"/>
        </w:rPr>
      </w:pPr>
      <w:r w:rsidRPr="00CD4FBF">
        <w:rPr>
          <w:rFonts w:ascii="Abadi" w:hAnsi="Abadi"/>
          <w:b/>
          <w:bCs/>
          <w:sz w:val="21"/>
          <w:szCs w:val="21"/>
        </w:rPr>
        <w:t>(Se abre el sistema electrónico)</w:t>
      </w:r>
    </w:p>
    <w:p w14:paraId="7DD0A632" w14:textId="6EE1BC0E" w:rsidR="0013564D" w:rsidRDefault="00E74783" w:rsidP="00E74783">
      <w:pPr>
        <w:pStyle w:val="NormalWeb"/>
        <w:ind w:firstLine="708"/>
        <w:jc w:val="both"/>
        <w:rPr>
          <w:rFonts w:ascii="Abadi" w:hAnsi="Abadi"/>
          <w:sz w:val="21"/>
          <w:szCs w:val="21"/>
        </w:rPr>
      </w:pPr>
      <w:r>
        <w:rPr>
          <w:rFonts w:ascii="Abadi" w:hAnsi="Abadi"/>
          <w:b/>
          <w:bCs/>
          <w:sz w:val="21"/>
          <w:szCs w:val="21"/>
        </w:rPr>
        <w:t xml:space="preserve">- </w:t>
      </w:r>
      <w:r w:rsidR="0013564D" w:rsidRPr="00CD4FBF">
        <w:rPr>
          <w:rFonts w:ascii="Abadi" w:hAnsi="Abadi"/>
          <w:b/>
          <w:bCs/>
          <w:sz w:val="21"/>
          <w:szCs w:val="21"/>
        </w:rPr>
        <w:t xml:space="preserve">La </w:t>
      </w:r>
      <w:proofErr w:type="gramStart"/>
      <w:r w:rsidR="0013564D" w:rsidRPr="00CD4FBF">
        <w:rPr>
          <w:rFonts w:ascii="Abadi" w:hAnsi="Abadi"/>
          <w:b/>
          <w:bCs/>
          <w:sz w:val="21"/>
          <w:szCs w:val="21"/>
        </w:rPr>
        <w:t>Secretar</w:t>
      </w:r>
      <w:r w:rsidR="0013564D">
        <w:rPr>
          <w:rFonts w:ascii="Abadi" w:hAnsi="Abadi"/>
          <w:b/>
          <w:bCs/>
          <w:sz w:val="21"/>
          <w:szCs w:val="21"/>
        </w:rPr>
        <w:t>i</w:t>
      </w:r>
      <w:r w:rsidR="0013564D" w:rsidRPr="00CD4FBF">
        <w:rPr>
          <w:rFonts w:ascii="Abadi" w:hAnsi="Abadi"/>
          <w:b/>
          <w:bCs/>
          <w:sz w:val="21"/>
          <w:szCs w:val="21"/>
        </w:rPr>
        <w:t>a.-</w:t>
      </w:r>
      <w:proofErr w:type="gramEnd"/>
      <w:r w:rsidR="0013564D">
        <w:rPr>
          <w:rFonts w:ascii="Abadi" w:hAnsi="Abadi"/>
          <w:sz w:val="21"/>
          <w:szCs w:val="21"/>
        </w:rPr>
        <w:t xml:space="preserve"> E</w:t>
      </w:r>
      <w:r w:rsidR="0013564D" w:rsidRPr="0021199F">
        <w:rPr>
          <w:rFonts w:ascii="Abadi" w:hAnsi="Abadi"/>
          <w:sz w:val="21"/>
          <w:szCs w:val="21"/>
        </w:rPr>
        <w:t xml:space="preserve">n votación nominal por el sistema electrónico, se pregunta las diputadas y diputados </w:t>
      </w:r>
      <w:r w:rsidR="00991CA8">
        <w:rPr>
          <w:rFonts w:ascii="Abadi" w:hAnsi="Abadi"/>
          <w:sz w:val="21"/>
          <w:szCs w:val="21"/>
        </w:rPr>
        <w:t>si</w:t>
      </w:r>
      <w:r w:rsidR="0013564D" w:rsidRPr="0021199F">
        <w:rPr>
          <w:rFonts w:ascii="Abadi" w:hAnsi="Abadi"/>
          <w:sz w:val="21"/>
          <w:szCs w:val="21"/>
        </w:rPr>
        <w:t xml:space="preserve"> se aprueb</w:t>
      </w:r>
      <w:r w:rsidR="00991CA8">
        <w:rPr>
          <w:rFonts w:ascii="Abadi" w:hAnsi="Abadi"/>
          <w:sz w:val="21"/>
          <w:szCs w:val="21"/>
        </w:rPr>
        <w:t>a</w:t>
      </w:r>
      <w:r w:rsidR="0013564D" w:rsidRPr="0021199F">
        <w:rPr>
          <w:rFonts w:ascii="Abadi" w:hAnsi="Abadi"/>
          <w:sz w:val="21"/>
          <w:szCs w:val="21"/>
        </w:rPr>
        <w:t xml:space="preserve"> el dictamen puesto </w:t>
      </w:r>
      <w:r w:rsidR="0013564D">
        <w:rPr>
          <w:rFonts w:ascii="Abadi" w:hAnsi="Abadi"/>
          <w:sz w:val="21"/>
          <w:szCs w:val="21"/>
        </w:rPr>
        <w:t xml:space="preserve">a </w:t>
      </w:r>
      <w:r w:rsidR="0013564D" w:rsidRPr="0021199F">
        <w:rPr>
          <w:rFonts w:ascii="Abadi" w:hAnsi="Abadi"/>
          <w:sz w:val="21"/>
          <w:szCs w:val="21"/>
        </w:rPr>
        <w:t xml:space="preserve">su consideración. </w:t>
      </w:r>
    </w:p>
    <w:p w14:paraId="4884C626" w14:textId="77777777" w:rsidR="0013564D" w:rsidRDefault="0013564D" w:rsidP="0013564D">
      <w:pPr>
        <w:pStyle w:val="NormalWeb"/>
        <w:jc w:val="both"/>
        <w:rPr>
          <w:rFonts w:ascii="Abadi" w:hAnsi="Abadi"/>
          <w:sz w:val="21"/>
          <w:szCs w:val="21"/>
        </w:rPr>
      </w:pPr>
      <w:r>
        <w:rPr>
          <w:rFonts w:ascii="Abadi" w:hAnsi="Abadi"/>
          <w:sz w:val="21"/>
          <w:szCs w:val="21"/>
        </w:rPr>
        <w:t>¿</w:t>
      </w:r>
      <w:r w:rsidRPr="0021199F">
        <w:rPr>
          <w:rFonts w:ascii="Abadi" w:hAnsi="Abadi"/>
          <w:sz w:val="21"/>
          <w:szCs w:val="21"/>
        </w:rPr>
        <w:t>Falta algún diputado diputada de emitir su voto</w:t>
      </w:r>
      <w:r>
        <w:rPr>
          <w:rFonts w:ascii="Abadi" w:hAnsi="Abadi"/>
          <w:sz w:val="21"/>
          <w:szCs w:val="21"/>
        </w:rPr>
        <w:t>?</w:t>
      </w:r>
      <w:r w:rsidRPr="0021199F">
        <w:rPr>
          <w:rFonts w:ascii="Abadi" w:hAnsi="Abadi"/>
          <w:sz w:val="21"/>
          <w:szCs w:val="21"/>
        </w:rPr>
        <w:t xml:space="preserve"> </w:t>
      </w:r>
    </w:p>
    <w:p w14:paraId="28B26E8E" w14:textId="77777777" w:rsidR="0013564D" w:rsidRDefault="0013564D" w:rsidP="00E74783">
      <w:pPr>
        <w:pStyle w:val="NormalWeb"/>
        <w:jc w:val="center"/>
        <w:rPr>
          <w:rFonts w:ascii="Abadi" w:hAnsi="Abadi"/>
          <w:b/>
          <w:bCs/>
          <w:sz w:val="21"/>
          <w:szCs w:val="21"/>
        </w:rPr>
      </w:pPr>
      <w:r>
        <w:rPr>
          <w:rFonts w:ascii="Abadi" w:hAnsi="Abadi"/>
          <w:b/>
          <w:bCs/>
          <w:sz w:val="21"/>
          <w:szCs w:val="21"/>
        </w:rPr>
        <w:t>(Se cierra el sistema electronico)</w:t>
      </w:r>
    </w:p>
    <w:p w14:paraId="482AA89B" w14:textId="77777777" w:rsidR="0013564D" w:rsidRDefault="0013564D" w:rsidP="0013564D">
      <w:pPr>
        <w:pStyle w:val="NormalWeb"/>
        <w:jc w:val="both"/>
        <w:rPr>
          <w:rFonts w:ascii="Abadi" w:hAnsi="Abadi"/>
          <w:b/>
          <w:bCs/>
          <w:sz w:val="21"/>
          <w:szCs w:val="21"/>
        </w:rPr>
      </w:pPr>
      <w:r>
        <w:rPr>
          <w:noProof/>
        </w:rPr>
        <w:drawing>
          <wp:inline distT="0" distB="0" distL="0" distR="0" wp14:anchorId="4B6B0BFA" wp14:editId="734DE1C2">
            <wp:extent cx="2001576" cy="1046309"/>
            <wp:effectExtent l="152400" t="152400" r="360680" b="363855"/>
            <wp:docPr id="50" name="Imagen 50" descr="Interfaz de usuario gráfica,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Tabla&#10;&#10;Descripción generada automáticamente con confianza media"/>
                    <pic:cNvPicPr/>
                  </pic:nvPicPr>
                  <pic:blipFill rotWithShape="1">
                    <a:blip r:embed="rId62"/>
                    <a:srcRect b="7023"/>
                    <a:stretch/>
                  </pic:blipFill>
                  <pic:spPr bwMode="auto">
                    <a:xfrm>
                      <a:off x="0" y="0"/>
                      <a:ext cx="2030827" cy="1061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79325D1" w14:textId="157D0C14" w:rsidR="0013564D" w:rsidRDefault="00E74783" w:rsidP="00E74783">
      <w:pPr>
        <w:pStyle w:val="NormalWeb"/>
        <w:ind w:firstLine="708"/>
        <w:jc w:val="both"/>
        <w:rPr>
          <w:rFonts w:ascii="Abadi" w:hAnsi="Abadi"/>
          <w:sz w:val="21"/>
          <w:szCs w:val="21"/>
        </w:rPr>
      </w:pPr>
      <w:r>
        <w:rPr>
          <w:rFonts w:ascii="Abadi" w:hAnsi="Abadi"/>
          <w:b/>
          <w:bCs/>
          <w:sz w:val="21"/>
          <w:szCs w:val="21"/>
        </w:rPr>
        <w:t xml:space="preserve">- </w:t>
      </w:r>
      <w:r w:rsidR="0013564D" w:rsidRPr="00F86ABA">
        <w:rPr>
          <w:rFonts w:ascii="Abadi" w:hAnsi="Abadi"/>
          <w:b/>
          <w:bCs/>
          <w:sz w:val="21"/>
          <w:szCs w:val="21"/>
        </w:rPr>
        <w:t xml:space="preserve">La </w:t>
      </w:r>
      <w:proofErr w:type="gramStart"/>
      <w:r w:rsidR="0013564D" w:rsidRPr="00F86ABA">
        <w:rPr>
          <w:rFonts w:ascii="Abadi" w:hAnsi="Abadi"/>
          <w:b/>
          <w:bCs/>
          <w:sz w:val="21"/>
          <w:szCs w:val="21"/>
        </w:rPr>
        <w:t>Secretar</w:t>
      </w:r>
      <w:r w:rsidR="0013564D">
        <w:rPr>
          <w:rFonts w:ascii="Abadi" w:hAnsi="Abadi"/>
          <w:b/>
          <w:bCs/>
          <w:sz w:val="21"/>
          <w:szCs w:val="21"/>
        </w:rPr>
        <w:t>i</w:t>
      </w:r>
      <w:r w:rsidR="0013564D" w:rsidRPr="00F86ABA">
        <w:rPr>
          <w:rFonts w:ascii="Abadi" w:hAnsi="Abadi"/>
          <w:b/>
          <w:bCs/>
          <w:sz w:val="21"/>
          <w:szCs w:val="21"/>
        </w:rPr>
        <w:t>a.-</w:t>
      </w:r>
      <w:proofErr w:type="gramEnd"/>
      <w:r w:rsidR="0013564D">
        <w:rPr>
          <w:rFonts w:ascii="Abadi" w:hAnsi="Abadi"/>
          <w:sz w:val="21"/>
          <w:szCs w:val="21"/>
        </w:rPr>
        <w:t xml:space="preserve"> 26</w:t>
      </w:r>
      <w:r w:rsidR="0013564D" w:rsidRPr="0021199F">
        <w:rPr>
          <w:rFonts w:ascii="Abadi" w:hAnsi="Abadi"/>
          <w:sz w:val="21"/>
          <w:szCs w:val="21"/>
        </w:rPr>
        <w:t xml:space="preserve"> diputados a favor</w:t>
      </w:r>
      <w:r w:rsidR="0013564D">
        <w:rPr>
          <w:rFonts w:ascii="Abadi" w:hAnsi="Abadi"/>
          <w:sz w:val="21"/>
          <w:szCs w:val="21"/>
        </w:rPr>
        <w:t>,</w:t>
      </w:r>
      <w:r w:rsidR="0013564D" w:rsidRPr="0021199F">
        <w:rPr>
          <w:rFonts w:ascii="Abadi" w:hAnsi="Abadi"/>
          <w:sz w:val="21"/>
          <w:szCs w:val="21"/>
        </w:rPr>
        <w:t xml:space="preserve"> </w:t>
      </w:r>
      <w:r w:rsidR="0013564D">
        <w:rPr>
          <w:rFonts w:ascii="Abadi" w:hAnsi="Abadi"/>
          <w:sz w:val="21"/>
          <w:szCs w:val="21"/>
        </w:rPr>
        <w:t>10</w:t>
      </w:r>
      <w:r w:rsidR="0013564D" w:rsidRPr="0021199F">
        <w:rPr>
          <w:rFonts w:ascii="Abadi" w:hAnsi="Abadi"/>
          <w:sz w:val="21"/>
          <w:szCs w:val="21"/>
        </w:rPr>
        <w:t xml:space="preserve"> en contra. </w:t>
      </w:r>
    </w:p>
    <w:p w14:paraId="531E7ECB" w14:textId="664B0B13" w:rsidR="0013564D" w:rsidRDefault="00E74783" w:rsidP="00E74783">
      <w:pPr>
        <w:pStyle w:val="NormalWeb"/>
        <w:ind w:firstLine="708"/>
        <w:jc w:val="both"/>
        <w:rPr>
          <w:rFonts w:ascii="Abadi" w:hAnsi="Abadi"/>
          <w:sz w:val="21"/>
          <w:szCs w:val="21"/>
        </w:rPr>
      </w:pPr>
      <w:r>
        <w:rPr>
          <w:rFonts w:ascii="Abadi" w:hAnsi="Abadi"/>
          <w:b/>
          <w:bCs/>
          <w:sz w:val="21"/>
          <w:szCs w:val="21"/>
        </w:rPr>
        <w:t xml:space="preserve">- </w:t>
      </w:r>
      <w:r w:rsidR="0013564D" w:rsidRPr="00111EBB">
        <w:rPr>
          <w:rFonts w:ascii="Abadi" w:hAnsi="Abadi"/>
          <w:b/>
          <w:bCs/>
          <w:sz w:val="21"/>
          <w:szCs w:val="21"/>
        </w:rPr>
        <w:t xml:space="preserve">La </w:t>
      </w:r>
      <w:proofErr w:type="gramStart"/>
      <w:r w:rsidR="0013564D" w:rsidRPr="00111EBB">
        <w:rPr>
          <w:rFonts w:ascii="Abadi" w:hAnsi="Abadi"/>
          <w:b/>
          <w:bCs/>
          <w:sz w:val="21"/>
          <w:szCs w:val="21"/>
        </w:rPr>
        <w:t>Presidencia.-</w:t>
      </w:r>
      <w:proofErr w:type="gramEnd"/>
      <w:r w:rsidR="0013564D">
        <w:rPr>
          <w:rFonts w:ascii="Abadi" w:hAnsi="Abadi"/>
          <w:sz w:val="21"/>
          <w:szCs w:val="21"/>
        </w:rPr>
        <w:t xml:space="preserve"> </w:t>
      </w:r>
      <w:r w:rsidR="0013564D" w:rsidRPr="0021199F">
        <w:rPr>
          <w:rFonts w:ascii="Abadi" w:hAnsi="Abadi"/>
          <w:sz w:val="21"/>
          <w:szCs w:val="21"/>
        </w:rPr>
        <w:t xml:space="preserve">El dictamen ha sido aprobado por mayoría de votos. </w:t>
      </w:r>
    </w:p>
    <w:p w14:paraId="53F3109B" w14:textId="7141EB13" w:rsidR="0013564D" w:rsidRDefault="0013564D" w:rsidP="00E74783">
      <w:pPr>
        <w:pStyle w:val="NormalWeb"/>
        <w:numPr>
          <w:ilvl w:val="0"/>
          <w:numId w:val="77"/>
        </w:numPr>
        <w:jc w:val="both"/>
        <w:rPr>
          <w:rFonts w:ascii="Abadi" w:hAnsi="Abadi"/>
          <w:sz w:val="21"/>
          <w:szCs w:val="21"/>
        </w:rPr>
      </w:pPr>
      <w:r w:rsidRPr="0021199F">
        <w:rPr>
          <w:rFonts w:ascii="Abadi" w:hAnsi="Abadi"/>
          <w:sz w:val="21"/>
          <w:szCs w:val="21"/>
        </w:rPr>
        <w:t>En consecuencia</w:t>
      </w:r>
      <w:r>
        <w:rPr>
          <w:rFonts w:ascii="Abadi" w:hAnsi="Abadi"/>
          <w:sz w:val="21"/>
          <w:szCs w:val="21"/>
        </w:rPr>
        <w:t xml:space="preserve">. </w:t>
      </w:r>
    </w:p>
    <w:p w14:paraId="2ED0E280" w14:textId="77777777" w:rsidR="0013564D" w:rsidRPr="00B304B1" w:rsidRDefault="0013564D" w:rsidP="006958AB">
      <w:pPr>
        <w:pStyle w:val="NormalWeb"/>
        <w:ind w:left="567" w:right="354"/>
        <w:jc w:val="both"/>
        <w:rPr>
          <w:rFonts w:ascii="Abadi" w:hAnsi="Abadi"/>
          <w:b/>
          <w:bCs/>
          <w:i/>
          <w:iCs/>
          <w:sz w:val="21"/>
          <w:szCs w:val="21"/>
          <w:u w:val="single"/>
        </w:rPr>
      </w:pPr>
      <w:r w:rsidRPr="00B304B1">
        <w:rPr>
          <w:rFonts w:ascii="Abadi" w:hAnsi="Abadi"/>
          <w:b/>
          <w:bCs/>
          <w:i/>
          <w:iCs/>
          <w:sz w:val="21"/>
          <w:szCs w:val="21"/>
          <w:u w:val="single"/>
        </w:rPr>
        <w:t>Se instruye a la Secretar</w:t>
      </w:r>
      <w:r>
        <w:rPr>
          <w:rFonts w:ascii="Abadi" w:hAnsi="Abadi"/>
          <w:b/>
          <w:bCs/>
          <w:i/>
          <w:iCs/>
          <w:sz w:val="21"/>
          <w:szCs w:val="21"/>
          <w:u w:val="single"/>
        </w:rPr>
        <w:t>í</w:t>
      </w:r>
      <w:r w:rsidRPr="00B304B1">
        <w:rPr>
          <w:rFonts w:ascii="Abadi" w:hAnsi="Abadi"/>
          <w:b/>
          <w:bCs/>
          <w:i/>
          <w:iCs/>
          <w:sz w:val="21"/>
          <w:szCs w:val="21"/>
          <w:u w:val="single"/>
        </w:rPr>
        <w:t>a General para que proceda al archivo definitivo de la propuesta de punto de acuerdo referida en el dictamen aprobado</w:t>
      </w:r>
      <w:r>
        <w:rPr>
          <w:rFonts w:ascii="Abadi" w:hAnsi="Abadi"/>
          <w:b/>
          <w:bCs/>
          <w:i/>
          <w:iCs/>
          <w:sz w:val="21"/>
          <w:szCs w:val="21"/>
          <w:u w:val="single"/>
        </w:rPr>
        <w:t>.</w:t>
      </w:r>
      <w:r w:rsidRPr="00B304B1">
        <w:rPr>
          <w:rFonts w:ascii="Abadi" w:hAnsi="Abadi"/>
          <w:b/>
          <w:bCs/>
          <w:i/>
          <w:iCs/>
          <w:sz w:val="21"/>
          <w:szCs w:val="21"/>
          <w:u w:val="single"/>
        </w:rPr>
        <w:t xml:space="preserve"> </w:t>
      </w:r>
    </w:p>
    <w:p w14:paraId="4A658731" w14:textId="77777777" w:rsidR="0013564D" w:rsidRPr="007C2763" w:rsidRDefault="0013564D" w:rsidP="00503B61">
      <w:pPr>
        <w:jc w:val="both"/>
        <w:rPr>
          <w:rFonts w:ascii="Abadi" w:hAnsi="Abadi"/>
          <w:sz w:val="21"/>
          <w:szCs w:val="21"/>
        </w:rPr>
      </w:pPr>
    </w:p>
    <w:p w14:paraId="744BAEE2" w14:textId="7B8AC2E9" w:rsidR="00021259" w:rsidRPr="007C2763" w:rsidRDefault="00021259" w:rsidP="00343CA9">
      <w:pPr>
        <w:pStyle w:val="Prrafodelista"/>
        <w:numPr>
          <w:ilvl w:val="0"/>
          <w:numId w:val="26"/>
        </w:numPr>
        <w:autoSpaceDE w:val="0"/>
        <w:autoSpaceDN w:val="0"/>
        <w:adjustRightInd w:val="0"/>
        <w:ind w:left="426"/>
        <w:jc w:val="both"/>
        <w:rPr>
          <w:rFonts w:ascii="Abadi" w:hAnsi="Abadi" w:cs="ArialMT"/>
          <w:b/>
          <w:bCs/>
          <w:sz w:val="21"/>
          <w:szCs w:val="21"/>
        </w:rPr>
      </w:pPr>
      <w:r w:rsidRPr="007C2763">
        <w:rPr>
          <w:rFonts w:ascii="Abadi" w:hAnsi="Abadi" w:cs="ArialMT"/>
          <w:b/>
          <w:bCs/>
          <w:sz w:val="21"/>
          <w:szCs w:val="21"/>
        </w:rPr>
        <w:t>DISCUSIÓN Y, EN SU CASO, APROBACIÓN DEL DICTAMEN PRESENTADO POR LA COMISIÓN DE ASUNTOS MUNICIPALES RELATIVO A LA INICIATIVA POR LA QUE SE REFORMA EL ARTÍCULO 19 DE LA LEY ORGÁNICA MUNICIPAL PARA EL ESTADO DE GUANAJUATO SUSCRITA POR DIPUTADAS Y DIPUTADOS INTEGRANTES DEL GRUPO PARLAMENTARIO DEL PARTIDO ACCIÓN NACIONAL.</w:t>
      </w:r>
    </w:p>
    <w:p w14:paraId="15644D06" w14:textId="7560821C" w:rsidR="0091582A" w:rsidRPr="007C2763" w:rsidRDefault="0091582A" w:rsidP="0091582A">
      <w:pPr>
        <w:autoSpaceDE w:val="0"/>
        <w:autoSpaceDN w:val="0"/>
        <w:adjustRightInd w:val="0"/>
        <w:jc w:val="both"/>
        <w:rPr>
          <w:rFonts w:ascii="Abadi" w:hAnsi="Abadi" w:cs="ArialMT"/>
          <w:b/>
          <w:bCs/>
          <w:sz w:val="21"/>
          <w:szCs w:val="21"/>
        </w:rPr>
      </w:pPr>
    </w:p>
    <w:p w14:paraId="126C5141" w14:textId="70F42F29" w:rsidR="0091582A" w:rsidRPr="007C2763" w:rsidRDefault="000B1160" w:rsidP="0091582A">
      <w:pPr>
        <w:autoSpaceDE w:val="0"/>
        <w:autoSpaceDN w:val="0"/>
        <w:adjustRightInd w:val="0"/>
        <w:jc w:val="both"/>
        <w:rPr>
          <w:rFonts w:ascii="Abadi" w:hAnsi="Abadi" w:cs="ArialMT"/>
          <w:b/>
          <w:bCs/>
          <w:sz w:val="21"/>
          <w:szCs w:val="21"/>
        </w:rPr>
      </w:pPr>
      <w:proofErr w:type="spellStart"/>
      <w:r w:rsidRPr="007C2763">
        <w:rPr>
          <w:rFonts w:ascii="Abadi" w:hAnsi="Abadi" w:cs="ArialMT"/>
          <w:b/>
          <w:bCs/>
          <w:sz w:val="21"/>
          <w:szCs w:val="21"/>
        </w:rPr>
        <w:t>Dip</w:t>
      </w:r>
      <w:proofErr w:type="spellEnd"/>
      <w:r w:rsidRPr="007C2763">
        <w:rPr>
          <w:rFonts w:ascii="Abadi" w:hAnsi="Abadi" w:cs="ArialMT"/>
          <w:b/>
          <w:bCs/>
          <w:sz w:val="21"/>
          <w:szCs w:val="21"/>
        </w:rPr>
        <w:t>. Irma Leticia González Sánchez</w:t>
      </w:r>
    </w:p>
    <w:p w14:paraId="62C221EB" w14:textId="1AA994F3" w:rsidR="003E225D" w:rsidRPr="007C2763" w:rsidRDefault="003E225D" w:rsidP="0091582A">
      <w:pPr>
        <w:autoSpaceDE w:val="0"/>
        <w:autoSpaceDN w:val="0"/>
        <w:adjustRightInd w:val="0"/>
        <w:jc w:val="both"/>
        <w:rPr>
          <w:rFonts w:ascii="Abadi" w:hAnsi="Abadi" w:cs="ArialMT"/>
          <w:b/>
          <w:bCs/>
          <w:sz w:val="21"/>
          <w:szCs w:val="21"/>
        </w:rPr>
      </w:pPr>
      <w:r w:rsidRPr="007C2763">
        <w:rPr>
          <w:rFonts w:ascii="Abadi" w:hAnsi="Abadi" w:cs="ArialMT"/>
          <w:b/>
          <w:bCs/>
          <w:sz w:val="21"/>
          <w:szCs w:val="21"/>
        </w:rPr>
        <w:t>Presidenta del Congreso del Estado</w:t>
      </w:r>
    </w:p>
    <w:p w14:paraId="76C3F3CF" w14:textId="2234A710" w:rsidR="003E225D" w:rsidRPr="007C2763" w:rsidRDefault="003E225D" w:rsidP="0091582A">
      <w:pPr>
        <w:autoSpaceDE w:val="0"/>
        <w:autoSpaceDN w:val="0"/>
        <w:adjustRightInd w:val="0"/>
        <w:jc w:val="both"/>
        <w:rPr>
          <w:rFonts w:ascii="Abadi" w:hAnsi="Abadi" w:cs="ArialMT"/>
          <w:b/>
          <w:bCs/>
          <w:sz w:val="21"/>
          <w:szCs w:val="21"/>
        </w:rPr>
      </w:pPr>
      <w:r w:rsidRPr="007C2763">
        <w:rPr>
          <w:rFonts w:ascii="Abadi" w:hAnsi="Abadi" w:cs="ArialMT"/>
          <w:b/>
          <w:bCs/>
          <w:sz w:val="21"/>
          <w:szCs w:val="21"/>
        </w:rPr>
        <w:t>P r e s e n t e.</w:t>
      </w:r>
    </w:p>
    <w:p w14:paraId="3C3893CC" w14:textId="06C8527D" w:rsidR="00374A1E" w:rsidRPr="007C2763" w:rsidRDefault="00374A1E" w:rsidP="00374A1E">
      <w:pPr>
        <w:kinsoku w:val="0"/>
        <w:overflowPunct w:val="0"/>
        <w:autoSpaceDE w:val="0"/>
        <w:autoSpaceDN w:val="0"/>
        <w:adjustRightInd w:val="0"/>
        <w:ind w:right="4777"/>
        <w:jc w:val="both"/>
        <w:outlineLvl w:val="0"/>
        <w:rPr>
          <w:rFonts w:ascii="Abadi" w:hAnsi="Abadi" w:cs="Arial"/>
          <w:b/>
          <w:bCs/>
          <w:sz w:val="21"/>
          <w:szCs w:val="21"/>
        </w:rPr>
      </w:pPr>
    </w:p>
    <w:p w14:paraId="618ACAB4" w14:textId="77777777" w:rsidR="00374A1E" w:rsidRPr="007C2763" w:rsidRDefault="00374A1E" w:rsidP="00374A1E">
      <w:pPr>
        <w:kinsoku w:val="0"/>
        <w:overflowPunct w:val="0"/>
        <w:autoSpaceDE w:val="0"/>
        <w:autoSpaceDN w:val="0"/>
        <w:adjustRightInd w:val="0"/>
        <w:spacing w:before="64"/>
        <w:ind w:left="40" w:right="115" w:firstLine="708"/>
        <w:jc w:val="both"/>
        <w:rPr>
          <w:rFonts w:ascii="Abadi" w:hAnsi="Abadi" w:cs="Arial"/>
          <w:sz w:val="21"/>
          <w:szCs w:val="21"/>
        </w:rPr>
      </w:pPr>
      <w:r w:rsidRPr="007C2763">
        <w:rPr>
          <w:rFonts w:ascii="Abadi" w:hAnsi="Abadi" w:cs="Arial"/>
          <w:sz w:val="21"/>
          <w:szCs w:val="21"/>
        </w:rPr>
        <w:t>A</w:t>
      </w:r>
      <w:r w:rsidRPr="007C2763">
        <w:rPr>
          <w:rFonts w:ascii="Abadi" w:hAnsi="Abadi" w:cs="Arial"/>
          <w:spacing w:val="6"/>
          <w:sz w:val="21"/>
          <w:szCs w:val="21"/>
        </w:rPr>
        <w:t xml:space="preserve"> </w:t>
      </w:r>
      <w:r w:rsidRPr="007C2763">
        <w:rPr>
          <w:rFonts w:ascii="Abadi" w:hAnsi="Abadi" w:cs="Arial"/>
          <w:sz w:val="21"/>
          <w:szCs w:val="21"/>
        </w:rPr>
        <w:t>la</w:t>
      </w:r>
      <w:r w:rsidRPr="007C2763">
        <w:rPr>
          <w:rFonts w:ascii="Abadi" w:hAnsi="Abadi" w:cs="Arial"/>
          <w:spacing w:val="5"/>
          <w:sz w:val="21"/>
          <w:szCs w:val="21"/>
        </w:rPr>
        <w:t xml:space="preserve"> </w:t>
      </w:r>
      <w:r w:rsidRPr="007C2763">
        <w:rPr>
          <w:rFonts w:ascii="Abadi" w:hAnsi="Abadi" w:cs="Arial"/>
          <w:sz w:val="21"/>
          <w:szCs w:val="21"/>
        </w:rPr>
        <w:t>Comisión</w:t>
      </w:r>
      <w:r w:rsidRPr="007C2763">
        <w:rPr>
          <w:rFonts w:ascii="Abadi" w:hAnsi="Abadi" w:cs="Arial"/>
          <w:spacing w:val="3"/>
          <w:sz w:val="21"/>
          <w:szCs w:val="21"/>
        </w:rPr>
        <w:t xml:space="preserve"> </w:t>
      </w:r>
      <w:r w:rsidRPr="007C2763">
        <w:rPr>
          <w:rFonts w:ascii="Abadi" w:hAnsi="Abadi" w:cs="Arial"/>
          <w:sz w:val="21"/>
          <w:szCs w:val="21"/>
        </w:rPr>
        <w:t>de</w:t>
      </w:r>
      <w:r w:rsidRPr="007C2763">
        <w:rPr>
          <w:rFonts w:ascii="Abadi" w:hAnsi="Abadi" w:cs="Arial"/>
          <w:spacing w:val="3"/>
          <w:sz w:val="21"/>
          <w:szCs w:val="21"/>
        </w:rPr>
        <w:t xml:space="preserve"> </w:t>
      </w:r>
      <w:r w:rsidRPr="007C2763">
        <w:rPr>
          <w:rFonts w:ascii="Abadi" w:hAnsi="Abadi" w:cs="Arial"/>
          <w:sz w:val="21"/>
          <w:szCs w:val="21"/>
        </w:rPr>
        <w:t>Asuntos</w:t>
      </w:r>
      <w:r w:rsidRPr="007C2763">
        <w:rPr>
          <w:rFonts w:ascii="Abadi" w:hAnsi="Abadi" w:cs="Arial"/>
          <w:spacing w:val="5"/>
          <w:sz w:val="21"/>
          <w:szCs w:val="21"/>
        </w:rPr>
        <w:t xml:space="preserve"> </w:t>
      </w:r>
      <w:r w:rsidRPr="007C2763">
        <w:rPr>
          <w:rFonts w:ascii="Abadi" w:hAnsi="Abadi" w:cs="Arial"/>
          <w:sz w:val="21"/>
          <w:szCs w:val="21"/>
        </w:rPr>
        <w:t>Municipales</w:t>
      </w:r>
      <w:r w:rsidRPr="007C2763">
        <w:rPr>
          <w:rFonts w:ascii="Abadi" w:hAnsi="Abadi" w:cs="Arial"/>
          <w:spacing w:val="2"/>
          <w:sz w:val="21"/>
          <w:szCs w:val="21"/>
        </w:rPr>
        <w:t xml:space="preserve"> </w:t>
      </w:r>
      <w:r w:rsidRPr="007C2763">
        <w:rPr>
          <w:rFonts w:ascii="Abadi" w:hAnsi="Abadi" w:cs="Arial"/>
          <w:sz w:val="21"/>
          <w:szCs w:val="21"/>
        </w:rPr>
        <w:t>de</w:t>
      </w:r>
      <w:r w:rsidRPr="007C2763">
        <w:rPr>
          <w:rFonts w:ascii="Abadi" w:hAnsi="Abadi" w:cs="Arial"/>
          <w:spacing w:val="6"/>
          <w:sz w:val="21"/>
          <w:szCs w:val="21"/>
        </w:rPr>
        <w:t xml:space="preserve"> </w:t>
      </w:r>
      <w:r w:rsidRPr="007C2763">
        <w:rPr>
          <w:rFonts w:ascii="Abadi" w:hAnsi="Abadi" w:cs="Arial"/>
          <w:sz w:val="21"/>
          <w:szCs w:val="21"/>
        </w:rPr>
        <w:t>la</w:t>
      </w:r>
      <w:r w:rsidRPr="007C2763">
        <w:rPr>
          <w:rFonts w:ascii="Abadi" w:hAnsi="Abadi" w:cs="Arial"/>
          <w:spacing w:val="1"/>
          <w:sz w:val="21"/>
          <w:szCs w:val="21"/>
        </w:rPr>
        <w:t xml:space="preserve"> </w:t>
      </w:r>
      <w:r w:rsidRPr="007C2763">
        <w:rPr>
          <w:rFonts w:ascii="Abadi" w:hAnsi="Abadi" w:cs="Arial"/>
          <w:sz w:val="21"/>
          <w:szCs w:val="21"/>
        </w:rPr>
        <w:t>Sexagésima</w:t>
      </w:r>
      <w:r w:rsidRPr="007C2763">
        <w:rPr>
          <w:rFonts w:ascii="Abadi" w:hAnsi="Abadi" w:cs="Arial"/>
          <w:spacing w:val="6"/>
          <w:sz w:val="21"/>
          <w:szCs w:val="21"/>
        </w:rPr>
        <w:t xml:space="preserve"> </w:t>
      </w:r>
      <w:r w:rsidRPr="007C2763">
        <w:rPr>
          <w:rFonts w:ascii="Abadi" w:hAnsi="Abadi" w:cs="Arial"/>
          <w:sz w:val="21"/>
          <w:szCs w:val="21"/>
        </w:rPr>
        <w:t>Cuarta</w:t>
      </w:r>
      <w:r w:rsidRPr="007C2763">
        <w:rPr>
          <w:rFonts w:ascii="Abadi" w:hAnsi="Abadi" w:cs="Arial"/>
          <w:spacing w:val="6"/>
          <w:sz w:val="21"/>
          <w:szCs w:val="21"/>
        </w:rPr>
        <w:t xml:space="preserve"> </w:t>
      </w:r>
      <w:r w:rsidRPr="007C2763">
        <w:rPr>
          <w:rFonts w:ascii="Abadi" w:hAnsi="Abadi" w:cs="Arial"/>
          <w:sz w:val="21"/>
          <w:szCs w:val="21"/>
        </w:rPr>
        <w:t>Legislatura del</w:t>
      </w:r>
      <w:r w:rsidRPr="007C2763">
        <w:rPr>
          <w:rFonts w:ascii="Abadi" w:hAnsi="Abadi" w:cs="Arial"/>
          <w:spacing w:val="16"/>
          <w:sz w:val="21"/>
          <w:szCs w:val="21"/>
        </w:rPr>
        <w:t xml:space="preserve"> </w:t>
      </w:r>
      <w:r w:rsidRPr="007C2763">
        <w:rPr>
          <w:rFonts w:ascii="Abadi" w:hAnsi="Abadi" w:cs="Arial"/>
          <w:sz w:val="21"/>
          <w:szCs w:val="21"/>
        </w:rPr>
        <w:t>Congreso</w:t>
      </w:r>
      <w:r w:rsidRPr="007C2763">
        <w:rPr>
          <w:rFonts w:ascii="Abadi" w:hAnsi="Abadi" w:cs="Arial"/>
          <w:spacing w:val="15"/>
          <w:sz w:val="21"/>
          <w:szCs w:val="21"/>
        </w:rPr>
        <w:t xml:space="preserve"> </w:t>
      </w:r>
      <w:r w:rsidRPr="007C2763">
        <w:rPr>
          <w:rFonts w:ascii="Abadi" w:hAnsi="Abadi" w:cs="Arial"/>
          <w:sz w:val="21"/>
          <w:szCs w:val="21"/>
        </w:rPr>
        <w:t>del</w:t>
      </w:r>
      <w:r w:rsidRPr="007C2763">
        <w:rPr>
          <w:rFonts w:ascii="Abadi" w:hAnsi="Abadi" w:cs="Arial"/>
          <w:spacing w:val="14"/>
          <w:sz w:val="21"/>
          <w:szCs w:val="21"/>
        </w:rPr>
        <w:t xml:space="preserve"> </w:t>
      </w:r>
      <w:r w:rsidRPr="007C2763">
        <w:rPr>
          <w:rFonts w:ascii="Abadi" w:hAnsi="Abadi" w:cs="Arial"/>
          <w:sz w:val="21"/>
          <w:szCs w:val="21"/>
        </w:rPr>
        <w:t>Estado</w:t>
      </w:r>
      <w:r w:rsidRPr="007C2763">
        <w:rPr>
          <w:rFonts w:ascii="Abadi" w:hAnsi="Abadi" w:cs="Arial"/>
          <w:spacing w:val="18"/>
          <w:sz w:val="21"/>
          <w:szCs w:val="21"/>
        </w:rPr>
        <w:t xml:space="preserve"> </w:t>
      </w:r>
      <w:r w:rsidRPr="007C2763">
        <w:rPr>
          <w:rFonts w:ascii="Abadi" w:hAnsi="Abadi" w:cs="Arial"/>
          <w:sz w:val="21"/>
          <w:szCs w:val="21"/>
        </w:rPr>
        <w:t>de</w:t>
      </w:r>
      <w:r w:rsidRPr="007C2763">
        <w:rPr>
          <w:rFonts w:ascii="Abadi" w:hAnsi="Abadi" w:cs="Arial"/>
          <w:spacing w:val="18"/>
          <w:sz w:val="21"/>
          <w:szCs w:val="21"/>
        </w:rPr>
        <w:t xml:space="preserve"> </w:t>
      </w:r>
      <w:r w:rsidRPr="007C2763">
        <w:rPr>
          <w:rFonts w:ascii="Abadi" w:hAnsi="Abadi" w:cs="Arial"/>
          <w:sz w:val="21"/>
          <w:szCs w:val="21"/>
        </w:rPr>
        <w:t>Guanajuato,</w:t>
      </w:r>
      <w:r w:rsidRPr="007C2763">
        <w:rPr>
          <w:rFonts w:ascii="Abadi" w:hAnsi="Abadi" w:cs="Arial"/>
          <w:spacing w:val="17"/>
          <w:sz w:val="21"/>
          <w:szCs w:val="21"/>
        </w:rPr>
        <w:t xml:space="preserve"> </w:t>
      </w:r>
      <w:r w:rsidRPr="007C2763">
        <w:rPr>
          <w:rFonts w:ascii="Abadi" w:hAnsi="Abadi" w:cs="Arial"/>
          <w:sz w:val="21"/>
          <w:szCs w:val="21"/>
        </w:rPr>
        <w:t>le</w:t>
      </w:r>
      <w:r w:rsidRPr="007C2763">
        <w:rPr>
          <w:rFonts w:ascii="Abadi" w:hAnsi="Abadi" w:cs="Arial"/>
          <w:spacing w:val="18"/>
          <w:sz w:val="21"/>
          <w:szCs w:val="21"/>
        </w:rPr>
        <w:t xml:space="preserve"> </w:t>
      </w:r>
      <w:r w:rsidRPr="007C2763">
        <w:rPr>
          <w:rFonts w:ascii="Abadi" w:hAnsi="Abadi" w:cs="Arial"/>
          <w:sz w:val="21"/>
          <w:szCs w:val="21"/>
        </w:rPr>
        <w:t>fue</w:t>
      </w:r>
      <w:r w:rsidRPr="007C2763">
        <w:rPr>
          <w:rFonts w:ascii="Abadi" w:hAnsi="Abadi" w:cs="Arial"/>
          <w:spacing w:val="18"/>
          <w:sz w:val="21"/>
          <w:szCs w:val="21"/>
        </w:rPr>
        <w:t xml:space="preserve"> </w:t>
      </w:r>
      <w:r w:rsidRPr="007C2763">
        <w:rPr>
          <w:rFonts w:ascii="Abadi" w:hAnsi="Abadi" w:cs="Arial"/>
          <w:sz w:val="21"/>
          <w:szCs w:val="21"/>
        </w:rPr>
        <w:t>remitida</w:t>
      </w:r>
      <w:r w:rsidRPr="007C2763">
        <w:rPr>
          <w:rFonts w:ascii="Abadi" w:hAnsi="Abadi" w:cs="Arial"/>
          <w:spacing w:val="15"/>
          <w:sz w:val="21"/>
          <w:szCs w:val="21"/>
        </w:rPr>
        <w:t xml:space="preserve"> </w:t>
      </w:r>
      <w:r w:rsidRPr="007C2763">
        <w:rPr>
          <w:rFonts w:ascii="Abadi" w:hAnsi="Abadi" w:cs="Arial"/>
          <w:sz w:val="21"/>
          <w:szCs w:val="21"/>
        </w:rPr>
        <w:t>la</w:t>
      </w:r>
      <w:r w:rsidRPr="007C2763">
        <w:rPr>
          <w:rFonts w:ascii="Abadi" w:hAnsi="Abadi" w:cs="Arial"/>
          <w:spacing w:val="18"/>
          <w:sz w:val="21"/>
          <w:szCs w:val="21"/>
        </w:rPr>
        <w:t xml:space="preserve"> </w:t>
      </w:r>
      <w:r w:rsidRPr="007C2763">
        <w:rPr>
          <w:rFonts w:ascii="Abadi" w:hAnsi="Abadi" w:cs="Arial"/>
          <w:sz w:val="21"/>
          <w:szCs w:val="21"/>
        </w:rPr>
        <w:t>iniciativa</w:t>
      </w:r>
      <w:r w:rsidRPr="007C2763">
        <w:rPr>
          <w:rFonts w:ascii="Abadi" w:hAnsi="Abadi" w:cs="Arial"/>
          <w:spacing w:val="18"/>
          <w:sz w:val="21"/>
          <w:szCs w:val="21"/>
        </w:rPr>
        <w:t xml:space="preserve"> </w:t>
      </w:r>
      <w:r w:rsidRPr="007C2763">
        <w:rPr>
          <w:rFonts w:ascii="Abadi" w:hAnsi="Abadi" w:cs="Arial"/>
          <w:sz w:val="21"/>
          <w:szCs w:val="21"/>
        </w:rPr>
        <w:t>por</w:t>
      </w:r>
      <w:r w:rsidRPr="007C2763">
        <w:rPr>
          <w:rFonts w:ascii="Abadi" w:hAnsi="Abadi" w:cs="Arial"/>
          <w:spacing w:val="16"/>
          <w:sz w:val="21"/>
          <w:szCs w:val="21"/>
        </w:rPr>
        <w:t xml:space="preserve"> </w:t>
      </w:r>
      <w:r w:rsidRPr="007C2763">
        <w:rPr>
          <w:rFonts w:ascii="Abadi" w:hAnsi="Abadi" w:cs="Arial"/>
          <w:sz w:val="21"/>
          <w:szCs w:val="21"/>
        </w:rPr>
        <w:t>la</w:t>
      </w:r>
      <w:r w:rsidRPr="007C2763">
        <w:rPr>
          <w:rFonts w:ascii="Abadi" w:hAnsi="Abadi" w:cs="Arial"/>
          <w:spacing w:val="18"/>
          <w:sz w:val="21"/>
          <w:szCs w:val="21"/>
        </w:rPr>
        <w:t xml:space="preserve"> </w:t>
      </w:r>
      <w:r w:rsidRPr="007C2763">
        <w:rPr>
          <w:rFonts w:ascii="Abadi" w:hAnsi="Abadi" w:cs="Arial"/>
          <w:sz w:val="21"/>
          <w:szCs w:val="21"/>
        </w:rPr>
        <w:t>que</w:t>
      </w:r>
      <w:r w:rsidRPr="007C2763">
        <w:rPr>
          <w:rFonts w:ascii="Abadi" w:hAnsi="Abadi" w:cs="Arial"/>
          <w:spacing w:val="18"/>
          <w:sz w:val="21"/>
          <w:szCs w:val="21"/>
        </w:rPr>
        <w:t xml:space="preserve"> </w:t>
      </w:r>
      <w:r w:rsidRPr="007C2763">
        <w:rPr>
          <w:rFonts w:ascii="Abadi" w:hAnsi="Abadi" w:cs="Arial"/>
          <w:sz w:val="21"/>
          <w:szCs w:val="21"/>
        </w:rPr>
        <w:t>se reforma</w:t>
      </w:r>
      <w:r w:rsidRPr="007C2763">
        <w:rPr>
          <w:rFonts w:ascii="Abadi" w:hAnsi="Abadi" w:cs="Arial"/>
          <w:spacing w:val="11"/>
          <w:sz w:val="21"/>
          <w:szCs w:val="21"/>
        </w:rPr>
        <w:t xml:space="preserve"> </w:t>
      </w:r>
      <w:r w:rsidRPr="007C2763">
        <w:rPr>
          <w:rFonts w:ascii="Abadi" w:hAnsi="Abadi" w:cs="Arial"/>
          <w:sz w:val="21"/>
          <w:szCs w:val="21"/>
        </w:rPr>
        <w:t>el</w:t>
      </w:r>
      <w:r w:rsidRPr="007C2763">
        <w:rPr>
          <w:rFonts w:ascii="Abadi" w:hAnsi="Abadi" w:cs="Arial"/>
          <w:spacing w:val="9"/>
          <w:sz w:val="21"/>
          <w:szCs w:val="21"/>
        </w:rPr>
        <w:t xml:space="preserve"> </w:t>
      </w:r>
      <w:r w:rsidRPr="007C2763">
        <w:rPr>
          <w:rFonts w:ascii="Abadi" w:hAnsi="Abadi" w:cs="Arial"/>
          <w:sz w:val="21"/>
          <w:szCs w:val="21"/>
        </w:rPr>
        <w:t>artículo</w:t>
      </w:r>
      <w:r w:rsidRPr="007C2763">
        <w:rPr>
          <w:rFonts w:ascii="Abadi" w:hAnsi="Abadi" w:cs="Arial"/>
          <w:spacing w:val="11"/>
          <w:sz w:val="21"/>
          <w:szCs w:val="21"/>
        </w:rPr>
        <w:t xml:space="preserve"> </w:t>
      </w:r>
      <w:r w:rsidRPr="007C2763">
        <w:rPr>
          <w:rFonts w:ascii="Abadi" w:hAnsi="Abadi" w:cs="Arial"/>
          <w:sz w:val="21"/>
          <w:szCs w:val="21"/>
        </w:rPr>
        <w:t>19</w:t>
      </w:r>
      <w:r w:rsidRPr="007C2763">
        <w:rPr>
          <w:rFonts w:ascii="Abadi" w:hAnsi="Abadi" w:cs="Arial"/>
          <w:spacing w:val="8"/>
          <w:sz w:val="21"/>
          <w:szCs w:val="21"/>
        </w:rPr>
        <w:t xml:space="preserve"> </w:t>
      </w:r>
      <w:r w:rsidRPr="007C2763">
        <w:rPr>
          <w:rFonts w:ascii="Abadi" w:hAnsi="Abadi" w:cs="Arial"/>
          <w:sz w:val="21"/>
          <w:szCs w:val="21"/>
        </w:rPr>
        <w:t>de</w:t>
      </w:r>
      <w:r w:rsidRPr="007C2763">
        <w:rPr>
          <w:rFonts w:ascii="Abadi" w:hAnsi="Abadi" w:cs="Arial"/>
          <w:spacing w:val="13"/>
          <w:sz w:val="21"/>
          <w:szCs w:val="21"/>
        </w:rPr>
        <w:t xml:space="preserve"> </w:t>
      </w:r>
      <w:r w:rsidRPr="007C2763">
        <w:rPr>
          <w:rFonts w:ascii="Abadi" w:hAnsi="Abadi" w:cs="Arial"/>
          <w:sz w:val="21"/>
          <w:szCs w:val="21"/>
        </w:rPr>
        <w:t>la</w:t>
      </w:r>
      <w:r w:rsidRPr="007C2763">
        <w:rPr>
          <w:rFonts w:ascii="Abadi" w:hAnsi="Abadi" w:cs="Arial"/>
          <w:spacing w:val="11"/>
          <w:sz w:val="21"/>
          <w:szCs w:val="21"/>
        </w:rPr>
        <w:t xml:space="preserve"> </w:t>
      </w:r>
      <w:r w:rsidRPr="007C2763">
        <w:rPr>
          <w:rFonts w:ascii="Abadi" w:hAnsi="Abadi" w:cs="Arial"/>
          <w:sz w:val="21"/>
          <w:szCs w:val="21"/>
        </w:rPr>
        <w:t>Ley</w:t>
      </w:r>
      <w:r w:rsidRPr="007C2763">
        <w:rPr>
          <w:rFonts w:ascii="Abadi" w:hAnsi="Abadi" w:cs="Arial"/>
          <w:spacing w:val="10"/>
          <w:sz w:val="21"/>
          <w:szCs w:val="21"/>
        </w:rPr>
        <w:t xml:space="preserve"> </w:t>
      </w:r>
      <w:r w:rsidRPr="007C2763">
        <w:rPr>
          <w:rFonts w:ascii="Abadi" w:hAnsi="Abadi" w:cs="Arial"/>
          <w:sz w:val="21"/>
          <w:szCs w:val="21"/>
        </w:rPr>
        <w:t>Orgánica</w:t>
      </w:r>
      <w:r w:rsidRPr="007C2763">
        <w:rPr>
          <w:rFonts w:ascii="Abadi" w:hAnsi="Abadi" w:cs="Arial"/>
          <w:spacing w:val="13"/>
          <w:sz w:val="21"/>
          <w:szCs w:val="21"/>
        </w:rPr>
        <w:t xml:space="preserve"> </w:t>
      </w:r>
      <w:r w:rsidRPr="007C2763">
        <w:rPr>
          <w:rFonts w:ascii="Abadi" w:hAnsi="Abadi" w:cs="Arial"/>
          <w:sz w:val="21"/>
          <w:szCs w:val="21"/>
        </w:rPr>
        <w:t>Municipal</w:t>
      </w:r>
      <w:r w:rsidRPr="007C2763">
        <w:rPr>
          <w:rFonts w:ascii="Abadi" w:hAnsi="Abadi" w:cs="Arial"/>
          <w:spacing w:val="9"/>
          <w:sz w:val="21"/>
          <w:szCs w:val="21"/>
        </w:rPr>
        <w:t xml:space="preserve"> </w:t>
      </w:r>
      <w:r w:rsidRPr="007C2763">
        <w:rPr>
          <w:rFonts w:ascii="Abadi" w:hAnsi="Abadi" w:cs="Arial"/>
          <w:sz w:val="21"/>
          <w:szCs w:val="21"/>
        </w:rPr>
        <w:t>para</w:t>
      </w:r>
      <w:r w:rsidRPr="007C2763">
        <w:rPr>
          <w:rFonts w:ascii="Abadi" w:hAnsi="Abadi" w:cs="Arial"/>
          <w:spacing w:val="11"/>
          <w:sz w:val="21"/>
          <w:szCs w:val="21"/>
        </w:rPr>
        <w:t xml:space="preserve"> </w:t>
      </w:r>
      <w:r w:rsidRPr="007C2763">
        <w:rPr>
          <w:rFonts w:ascii="Abadi" w:hAnsi="Abadi" w:cs="Arial"/>
          <w:sz w:val="21"/>
          <w:szCs w:val="21"/>
        </w:rPr>
        <w:t>el</w:t>
      </w:r>
      <w:r w:rsidRPr="007C2763">
        <w:rPr>
          <w:rFonts w:ascii="Abadi" w:hAnsi="Abadi" w:cs="Arial"/>
          <w:spacing w:val="12"/>
          <w:sz w:val="21"/>
          <w:szCs w:val="21"/>
        </w:rPr>
        <w:t xml:space="preserve"> </w:t>
      </w:r>
      <w:r w:rsidRPr="007C2763">
        <w:rPr>
          <w:rFonts w:ascii="Abadi" w:hAnsi="Abadi" w:cs="Arial"/>
          <w:sz w:val="21"/>
          <w:szCs w:val="21"/>
        </w:rPr>
        <w:t>Estado</w:t>
      </w:r>
      <w:r w:rsidRPr="007C2763">
        <w:rPr>
          <w:rFonts w:ascii="Abadi" w:hAnsi="Abadi" w:cs="Arial"/>
          <w:spacing w:val="13"/>
          <w:sz w:val="21"/>
          <w:szCs w:val="21"/>
        </w:rPr>
        <w:t xml:space="preserve"> </w:t>
      </w:r>
      <w:r w:rsidRPr="007C2763">
        <w:rPr>
          <w:rFonts w:ascii="Abadi" w:hAnsi="Abadi" w:cs="Arial"/>
          <w:sz w:val="21"/>
          <w:szCs w:val="21"/>
        </w:rPr>
        <w:t>de</w:t>
      </w:r>
      <w:r w:rsidRPr="007C2763">
        <w:rPr>
          <w:rFonts w:ascii="Abadi" w:hAnsi="Abadi" w:cs="Arial"/>
          <w:spacing w:val="11"/>
          <w:sz w:val="21"/>
          <w:szCs w:val="21"/>
        </w:rPr>
        <w:t xml:space="preserve"> </w:t>
      </w:r>
      <w:r w:rsidRPr="007C2763">
        <w:rPr>
          <w:rFonts w:ascii="Abadi" w:hAnsi="Abadi" w:cs="Arial"/>
          <w:sz w:val="21"/>
          <w:szCs w:val="21"/>
        </w:rPr>
        <w:t>Guanajuato suscrita</w:t>
      </w:r>
      <w:r w:rsidRPr="007C2763">
        <w:rPr>
          <w:rFonts w:ascii="Abadi" w:hAnsi="Abadi" w:cs="Arial"/>
          <w:spacing w:val="6"/>
          <w:sz w:val="21"/>
          <w:szCs w:val="21"/>
        </w:rPr>
        <w:t xml:space="preserve"> </w:t>
      </w:r>
      <w:r w:rsidRPr="007C2763">
        <w:rPr>
          <w:rFonts w:ascii="Abadi" w:hAnsi="Abadi" w:cs="Arial"/>
          <w:sz w:val="21"/>
          <w:szCs w:val="21"/>
        </w:rPr>
        <w:t>por</w:t>
      </w:r>
      <w:r w:rsidRPr="007C2763">
        <w:rPr>
          <w:rFonts w:ascii="Abadi" w:hAnsi="Abadi" w:cs="Arial"/>
          <w:spacing w:val="2"/>
          <w:sz w:val="21"/>
          <w:szCs w:val="21"/>
        </w:rPr>
        <w:t xml:space="preserve"> </w:t>
      </w:r>
      <w:r w:rsidRPr="007C2763">
        <w:rPr>
          <w:rFonts w:ascii="Abadi" w:hAnsi="Abadi" w:cs="Arial"/>
          <w:sz w:val="21"/>
          <w:szCs w:val="21"/>
        </w:rPr>
        <w:t>diputadas</w:t>
      </w:r>
      <w:r w:rsidRPr="007C2763">
        <w:rPr>
          <w:rFonts w:ascii="Abadi" w:hAnsi="Abadi" w:cs="Arial"/>
          <w:spacing w:val="2"/>
          <w:sz w:val="21"/>
          <w:szCs w:val="21"/>
        </w:rPr>
        <w:t xml:space="preserve"> </w:t>
      </w:r>
      <w:r w:rsidRPr="007C2763">
        <w:rPr>
          <w:rFonts w:ascii="Abadi" w:hAnsi="Abadi" w:cs="Arial"/>
          <w:sz w:val="21"/>
          <w:szCs w:val="21"/>
        </w:rPr>
        <w:t>y</w:t>
      </w:r>
      <w:r w:rsidRPr="007C2763">
        <w:rPr>
          <w:rFonts w:ascii="Abadi" w:hAnsi="Abadi" w:cs="Arial"/>
          <w:spacing w:val="5"/>
          <w:sz w:val="21"/>
          <w:szCs w:val="21"/>
        </w:rPr>
        <w:t xml:space="preserve"> </w:t>
      </w:r>
      <w:r w:rsidRPr="007C2763">
        <w:rPr>
          <w:rFonts w:ascii="Abadi" w:hAnsi="Abadi" w:cs="Arial"/>
          <w:sz w:val="21"/>
          <w:szCs w:val="21"/>
        </w:rPr>
        <w:t>diputados</w:t>
      </w:r>
      <w:r w:rsidRPr="007C2763">
        <w:rPr>
          <w:rFonts w:ascii="Abadi" w:hAnsi="Abadi" w:cs="Arial"/>
          <w:spacing w:val="5"/>
          <w:sz w:val="21"/>
          <w:szCs w:val="21"/>
        </w:rPr>
        <w:t xml:space="preserve"> </w:t>
      </w:r>
      <w:r w:rsidRPr="007C2763">
        <w:rPr>
          <w:rFonts w:ascii="Abadi" w:hAnsi="Abadi" w:cs="Arial"/>
          <w:sz w:val="21"/>
          <w:szCs w:val="21"/>
        </w:rPr>
        <w:t>integrantes</w:t>
      </w:r>
      <w:r w:rsidRPr="007C2763">
        <w:rPr>
          <w:rFonts w:ascii="Abadi" w:hAnsi="Abadi" w:cs="Arial"/>
          <w:spacing w:val="5"/>
          <w:sz w:val="21"/>
          <w:szCs w:val="21"/>
        </w:rPr>
        <w:t xml:space="preserve"> </w:t>
      </w:r>
      <w:r w:rsidRPr="007C2763">
        <w:rPr>
          <w:rFonts w:ascii="Abadi" w:hAnsi="Abadi" w:cs="Arial"/>
          <w:sz w:val="21"/>
          <w:szCs w:val="21"/>
        </w:rPr>
        <w:t>del</w:t>
      </w:r>
      <w:r w:rsidRPr="007C2763">
        <w:rPr>
          <w:rFonts w:ascii="Abadi" w:hAnsi="Abadi" w:cs="Arial"/>
          <w:spacing w:val="4"/>
          <w:sz w:val="21"/>
          <w:szCs w:val="21"/>
        </w:rPr>
        <w:t xml:space="preserve"> </w:t>
      </w:r>
      <w:r w:rsidRPr="007C2763">
        <w:rPr>
          <w:rFonts w:ascii="Abadi" w:hAnsi="Abadi" w:cs="Arial"/>
          <w:sz w:val="21"/>
          <w:szCs w:val="21"/>
        </w:rPr>
        <w:t>Grupo</w:t>
      </w:r>
      <w:r w:rsidRPr="007C2763">
        <w:rPr>
          <w:rFonts w:ascii="Abadi" w:hAnsi="Abadi" w:cs="Arial"/>
          <w:spacing w:val="3"/>
          <w:sz w:val="21"/>
          <w:szCs w:val="21"/>
        </w:rPr>
        <w:t xml:space="preserve"> </w:t>
      </w:r>
      <w:r w:rsidRPr="007C2763">
        <w:rPr>
          <w:rFonts w:ascii="Abadi" w:hAnsi="Abadi" w:cs="Arial"/>
          <w:sz w:val="21"/>
          <w:szCs w:val="21"/>
        </w:rPr>
        <w:t>Parlamentario</w:t>
      </w:r>
      <w:r w:rsidRPr="007C2763">
        <w:rPr>
          <w:rFonts w:ascii="Abadi" w:hAnsi="Abadi" w:cs="Arial"/>
          <w:spacing w:val="6"/>
          <w:sz w:val="21"/>
          <w:szCs w:val="21"/>
        </w:rPr>
        <w:t xml:space="preserve"> </w:t>
      </w:r>
      <w:r w:rsidRPr="007C2763">
        <w:rPr>
          <w:rFonts w:ascii="Abadi" w:hAnsi="Abadi" w:cs="Arial"/>
          <w:sz w:val="21"/>
          <w:szCs w:val="21"/>
        </w:rPr>
        <w:t>del</w:t>
      </w:r>
      <w:r w:rsidRPr="007C2763">
        <w:rPr>
          <w:rFonts w:ascii="Abadi" w:hAnsi="Abadi" w:cs="Arial"/>
          <w:spacing w:val="2"/>
          <w:sz w:val="21"/>
          <w:szCs w:val="21"/>
        </w:rPr>
        <w:t xml:space="preserve"> </w:t>
      </w:r>
      <w:r w:rsidRPr="007C2763">
        <w:rPr>
          <w:rFonts w:ascii="Abadi" w:hAnsi="Abadi" w:cs="Arial"/>
          <w:sz w:val="21"/>
          <w:szCs w:val="21"/>
        </w:rPr>
        <w:t>Partido Acción</w:t>
      </w:r>
      <w:r w:rsidRPr="007C2763">
        <w:rPr>
          <w:rFonts w:ascii="Abadi" w:hAnsi="Abadi" w:cs="Arial"/>
          <w:spacing w:val="1"/>
          <w:sz w:val="21"/>
          <w:szCs w:val="21"/>
        </w:rPr>
        <w:t xml:space="preserve"> </w:t>
      </w:r>
      <w:r w:rsidRPr="007C2763">
        <w:rPr>
          <w:rFonts w:ascii="Abadi" w:hAnsi="Abadi" w:cs="Arial"/>
          <w:sz w:val="21"/>
          <w:szCs w:val="21"/>
        </w:rPr>
        <w:t>Nacional.</w:t>
      </w:r>
    </w:p>
    <w:p w14:paraId="248F542D" w14:textId="77777777" w:rsidR="00374A1E" w:rsidRPr="007C2763" w:rsidRDefault="00374A1E" w:rsidP="00374A1E">
      <w:pPr>
        <w:kinsoku w:val="0"/>
        <w:overflowPunct w:val="0"/>
        <w:autoSpaceDE w:val="0"/>
        <w:autoSpaceDN w:val="0"/>
        <w:adjustRightInd w:val="0"/>
        <w:jc w:val="both"/>
        <w:rPr>
          <w:rFonts w:ascii="Abadi" w:hAnsi="Abadi" w:cs="Arial"/>
          <w:sz w:val="21"/>
          <w:szCs w:val="21"/>
        </w:rPr>
      </w:pPr>
    </w:p>
    <w:p w14:paraId="299D14B2" w14:textId="77777777" w:rsidR="00374A1E" w:rsidRPr="007C2763" w:rsidRDefault="00374A1E" w:rsidP="00374A1E">
      <w:pPr>
        <w:kinsoku w:val="0"/>
        <w:overflowPunct w:val="0"/>
        <w:autoSpaceDE w:val="0"/>
        <w:autoSpaceDN w:val="0"/>
        <w:adjustRightInd w:val="0"/>
        <w:ind w:left="40" w:right="117" w:firstLine="852"/>
        <w:jc w:val="both"/>
        <w:rPr>
          <w:rFonts w:ascii="Abadi" w:hAnsi="Abadi" w:cs="Arial"/>
          <w:sz w:val="21"/>
          <w:szCs w:val="21"/>
        </w:rPr>
      </w:pPr>
      <w:r w:rsidRPr="007C2763">
        <w:rPr>
          <w:rFonts w:ascii="Abadi" w:hAnsi="Abadi" w:cs="Arial"/>
          <w:sz w:val="21"/>
          <w:szCs w:val="21"/>
        </w:rPr>
        <w:t>Analizada</w:t>
      </w:r>
      <w:r w:rsidRPr="007C2763">
        <w:rPr>
          <w:rFonts w:ascii="Abadi" w:hAnsi="Abadi" w:cs="Arial"/>
          <w:spacing w:val="45"/>
          <w:sz w:val="21"/>
          <w:szCs w:val="21"/>
        </w:rPr>
        <w:t xml:space="preserve"> </w:t>
      </w:r>
      <w:r w:rsidRPr="007C2763">
        <w:rPr>
          <w:rFonts w:ascii="Abadi" w:hAnsi="Abadi" w:cs="Arial"/>
          <w:sz w:val="21"/>
          <w:szCs w:val="21"/>
        </w:rPr>
        <w:t>la</w:t>
      </w:r>
      <w:r w:rsidRPr="007C2763">
        <w:rPr>
          <w:rFonts w:ascii="Abadi" w:hAnsi="Abadi" w:cs="Arial"/>
          <w:spacing w:val="45"/>
          <w:sz w:val="21"/>
          <w:szCs w:val="21"/>
        </w:rPr>
        <w:t xml:space="preserve"> </w:t>
      </w:r>
      <w:r w:rsidRPr="007C2763">
        <w:rPr>
          <w:rFonts w:ascii="Abadi" w:hAnsi="Abadi" w:cs="Arial"/>
          <w:sz w:val="21"/>
          <w:szCs w:val="21"/>
        </w:rPr>
        <w:t>iniciativa</w:t>
      </w:r>
      <w:r w:rsidRPr="007C2763">
        <w:rPr>
          <w:rFonts w:ascii="Abadi" w:hAnsi="Abadi" w:cs="Arial"/>
          <w:spacing w:val="45"/>
          <w:sz w:val="21"/>
          <w:szCs w:val="21"/>
        </w:rPr>
        <w:t xml:space="preserve"> </w:t>
      </w:r>
      <w:r w:rsidRPr="007C2763">
        <w:rPr>
          <w:rFonts w:ascii="Abadi" w:hAnsi="Abadi" w:cs="Arial"/>
          <w:sz w:val="21"/>
          <w:szCs w:val="21"/>
        </w:rPr>
        <w:t>de</w:t>
      </w:r>
      <w:r w:rsidRPr="007C2763">
        <w:rPr>
          <w:rFonts w:ascii="Abadi" w:hAnsi="Abadi" w:cs="Arial"/>
          <w:spacing w:val="45"/>
          <w:sz w:val="21"/>
          <w:szCs w:val="21"/>
        </w:rPr>
        <w:t xml:space="preserve"> </w:t>
      </w:r>
      <w:r w:rsidRPr="007C2763">
        <w:rPr>
          <w:rFonts w:ascii="Abadi" w:hAnsi="Abadi" w:cs="Arial"/>
          <w:sz w:val="21"/>
          <w:szCs w:val="21"/>
        </w:rPr>
        <w:t>referencia,</w:t>
      </w:r>
      <w:r w:rsidRPr="007C2763">
        <w:rPr>
          <w:rFonts w:ascii="Abadi" w:hAnsi="Abadi" w:cs="Arial"/>
          <w:spacing w:val="45"/>
          <w:sz w:val="21"/>
          <w:szCs w:val="21"/>
        </w:rPr>
        <w:t xml:space="preserve"> </w:t>
      </w:r>
      <w:r w:rsidRPr="007C2763">
        <w:rPr>
          <w:rFonts w:ascii="Abadi" w:hAnsi="Abadi" w:cs="Arial"/>
          <w:sz w:val="21"/>
          <w:szCs w:val="21"/>
        </w:rPr>
        <w:t>la</w:t>
      </w:r>
      <w:r w:rsidRPr="007C2763">
        <w:rPr>
          <w:rFonts w:ascii="Abadi" w:hAnsi="Abadi" w:cs="Arial"/>
          <w:spacing w:val="43"/>
          <w:sz w:val="21"/>
          <w:szCs w:val="21"/>
        </w:rPr>
        <w:t xml:space="preserve"> </w:t>
      </w:r>
      <w:r w:rsidRPr="007C2763">
        <w:rPr>
          <w:rFonts w:ascii="Abadi" w:hAnsi="Abadi" w:cs="Arial"/>
          <w:sz w:val="21"/>
          <w:szCs w:val="21"/>
        </w:rPr>
        <w:t>Comisión</w:t>
      </w:r>
      <w:r w:rsidRPr="007C2763">
        <w:rPr>
          <w:rFonts w:ascii="Abadi" w:hAnsi="Abadi" w:cs="Arial"/>
          <w:spacing w:val="45"/>
          <w:sz w:val="21"/>
          <w:szCs w:val="21"/>
        </w:rPr>
        <w:t xml:space="preserve"> </w:t>
      </w:r>
      <w:r w:rsidRPr="007C2763">
        <w:rPr>
          <w:rFonts w:ascii="Abadi" w:hAnsi="Abadi" w:cs="Arial"/>
          <w:sz w:val="21"/>
          <w:szCs w:val="21"/>
        </w:rPr>
        <w:t>Dictaminadora</w:t>
      </w:r>
      <w:r w:rsidRPr="007C2763">
        <w:rPr>
          <w:rFonts w:ascii="Abadi" w:hAnsi="Abadi" w:cs="Arial"/>
          <w:spacing w:val="45"/>
          <w:sz w:val="21"/>
          <w:szCs w:val="21"/>
        </w:rPr>
        <w:t xml:space="preserve"> </w:t>
      </w:r>
      <w:r w:rsidRPr="007C2763">
        <w:rPr>
          <w:rFonts w:ascii="Abadi" w:hAnsi="Abadi" w:cs="Arial"/>
          <w:sz w:val="21"/>
          <w:szCs w:val="21"/>
        </w:rPr>
        <w:t>de</w:t>
      </w:r>
      <w:r w:rsidRPr="007C2763">
        <w:rPr>
          <w:rFonts w:ascii="Abadi" w:hAnsi="Abadi" w:cs="Arial"/>
          <w:spacing w:val="-2"/>
          <w:sz w:val="21"/>
          <w:szCs w:val="21"/>
        </w:rPr>
        <w:t xml:space="preserve"> </w:t>
      </w:r>
      <w:r w:rsidRPr="007C2763">
        <w:rPr>
          <w:rFonts w:ascii="Abadi" w:hAnsi="Abadi" w:cs="Arial"/>
          <w:sz w:val="21"/>
          <w:szCs w:val="21"/>
        </w:rPr>
        <w:t>conformidad</w:t>
      </w:r>
      <w:r w:rsidRPr="007C2763">
        <w:rPr>
          <w:rFonts w:ascii="Abadi" w:hAnsi="Abadi" w:cs="Arial"/>
          <w:spacing w:val="60"/>
          <w:sz w:val="21"/>
          <w:szCs w:val="21"/>
        </w:rPr>
        <w:t xml:space="preserve"> </w:t>
      </w:r>
      <w:r w:rsidRPr="007C2763">
        <w:rPr>
          <w:rFonts w:ascii="Abadi" w:hAnsi="Abadi" w:cs="Arial"/>
          <w:sz w:val="21"/>
          <w:szCs w:val="21"/>
        </w:rPr>
        <w:t>con</w:t>
      </w:r>
      <w:r w:rsidRPr="007C2763">
        <w:rPr>
          <w:rFonts w:ascii="Abadi" w:hAnsi="Abadi" w:cs="Arial"/>
          <w:spacing w:val="61"/>
          <w:sz w:val="21"/>
          <w:szCs w:val="21"/>
        </w:rPr>
        <w:t xml:space="preserve"> </w:t>
      </w:r>
      <w:r w:rsidRPr="007C2763">
        <w:rPr>
          <w:rFonts w:ascii="Abadi" w:hAnsi="Abadi" w:cs="Arial"/>
          <w:sz w:val="21"/>
          <w:szCs w:val="21"/>
        </w:rPr>
        <w:t>lo</w:t>
      </w:r>
      <w:r w:rsidRPr="007C2763">
        <w:rPr>
          <w:rFonts w:ascii="Abadi" w:hAnsi="Abadi" w:cs="Arial"/>
          <w:spacing w:val="59"/>
          <w:sz w:val="21"/>
          <w:szCs w:val="21"/>
        </w:rPr>
        <w:t xml:space="preserve"> </w:t>
      </w:r>
      <w:r w:rsidRPr="007C2763">
        <w:rPr>
          <w:rFonts w:ascii="Abadi" w:hAnsi="Abadi" w:cs="Arial"/>
          <w:sz w:val="21"/>
          <w:szCs w:val="21"/>
        </w:rPr>
        <w:t>dispuesto</w:t>
      </w:r>
      <w:r w:rsidRPr="007C2763">
        <w:rPr>
          <w:rFonts w:ascii="Abadi" w:hAnsi="Abadi" w:cs="Arial"/>
          <w:spacing w:val="60"/>
          <w:sz w:val="21"/>
          <w:szCs w:val="21"/>
        </w:rPr>
        <w:t xml:space="preserve"> </w:t>
      </w:r>
      <w:r w:rsidRPr="007C2763">
        <w:rPr>
          <w:rFonts w:ascii="Abadi" w:hAnsi="Abadi" w:cs="Arial"/>
          <w:sz w:val="21"/>
          <w:szCs w:val="21"/>
        </w:rPr>
        <w:t>en</w:t>
      </w:r>
      <w:r w:rsidRPr="007C2763">
        <w:rPr>
          <w:rFonts w:ascii="Abadi" w:hAnsi="Abadi" w:cs="Arial"/>
          <w:spacing w:val="61"/>
          <w:sz w:val="21"/>
          <w:szCs w:val="21"/>
        </w:rPr>
        <w:t xml:space="preserve"> </w:t>
      </w:r>
      <w:r w:rsidRPr="007C2763">
        <w:rPr>
          <w:rFonts w:ascii="Abadi" w:hAnsi="Abadi" w:cs="Arial"/>
          <w:sz w:val="21"/>
          <w:szCs w:val="21"/>
        </w:rPr>
        <w:t>los</w:t>
      </w:r>
      <w:r w:rsidRPr="007C2763">
        <w:rPr>
          <w:rFonts w:ascii="Abadi" w:hAnsi="Abadi" w:cs="Arial"/>
          <w:spacing w:val="58"/>
          <w:sz w:val="21"/>
          <w:szCs w:val="21"/>
        </w:rPr>
        <w:t xml:space="preserve"> </w:t>
      </w:r>
      <w:r w:rsidRPr="007C2763">
        <w:rPr>
          <w:rFonts w:ascii="Abadi" w:hAnsi="Abadi" w:cs="Arial"/>
          <w:sz w:val="21"/>
          <w:szCs w:val="21"/>
        </w:rPr>
        <w:t>artículos</w:t>
      </w:r>
      <w:r w:rsidRPr="007C2763">
        <w:rPr>
          <w:rFonts w:ascii="Abadi" w:hAnsi="Abadi" w:cs="Arial"/>
          <w:spacing w:val="59"/>
          <w:sz w:val="21"/>
          <w:szCs w:val="21"/>
        </w:rPr>
        <w:t xml:space="preserve"> </w:t>
      </w:r>
      <w:r w:rsidRPr="007C2763">
        <w:rPr>
          <w:rFonts w:ascii="Abadi" w:hAnsi="Abadi" w:cs="Arial"/>
          <w:sz w:val="21"/>
          <w:szCs w:val="21"/>
        </w:rPr>
        <w:t>104</w:t>
      </w:r>
      <w:r w:rsidRPr="007C2763">
        <w:rPr>
          <w:rFonts w:ascii="Abadi" w:hAnsi="Abadi" w:cs="Arial"/>
          <w:spacing w:val="61"/>
          <w:sz w:val="21"/>
          <w:szCs w:val="21"/>
        </w:rPr>
        <w:t xml:space="preserve"> </w:t>
      </w:r>
      <w:r w:rsidRPr="007C2763">
        <w:rPr>
          <w:rFonts w:ascii="Abadi" w:hAnsi="Abadi" w:cs="Arial"/>
          <w:sz w:val="21"/>
          <w:szCs w:val="21"/>
        </w:rPr>
        <w:t>fracción</w:t>
      </w:r>
      <w:r w:rsidRPr="007C2763">
        <w:rPr>
          <w:rFonts w:ascii="Abadi" w:hAnsi="Abadi" w:cs="Arial"/>
          <w:spacing w:val="59"/>
          <w:sz w:val="21"/>
          <w:szCs w:val="21"/>
        </w:rPr>
        <w:t xml:space="preserve"> </w:t>
      </w:r>
      <w:r w:rsidRPr="007C2763">
        <w:rPr>
          <w:rFonts w:ascii="Abadi" w:hAnsi="Abadi" w:cs="Arial"/>
          <w:sz w:val="21"/>
          <w:szCs w:val="21"/>
        </w:rPr>
        <w:t>I</w:t>
      </w:r>
      <w:r w:rsidRPr="007C2763">
        <w:rPr>
          <w:rFonts w:ascii="Abadi" w:hAnsi="Abadi" w:cs="Arial"/>
          <w:spacing w:val="60"/>
          <w:sz w:val="21"/>
          <w:szCs w:val="21"/>
        </w:rPr>
        <w:t xml:space="preserve"> </w:t>
      </w:r>
      <w:r w:rsidRPr="007C2763">
        <w:rPr>
          <w:rFonts w:ascii="Abadi" w:hAnsi="Abadi" w:cs="Arial"/>
          <w:sz w:val="21"/>
          <w:szCs w:val="21"/>
        </w:rPr>
        <w:t>y</w:t>
      </w:r>
      <w:r w:rsidRPr="007C2763">
        <w:rPr>
          <w:rFonts w:ascii="Abadi" w:hAnsi="Abadi" w:cs="Arial"/>
          <w:spacing w:val="58"/>
          <w:sz w:val="21"/>
          <w:szCs w:val="21"/>
        </w:rPr>
        <w:t xml:space="preserve"> </w:t>
      </w:r>
      <w:r w:rsidRPr="007C2763">
        <w:rPr>
          <w:rFonts w:ascii="Abadi" w:hAnsi="Abadi" w:cs="Arial"/>
          <w:sz w:val="21"/>
          <w:szCs w:val="21"/>
        </w:rPr>
        <w:t>171</w:t>
      </w:r>
      <w:r w:rsidRPr="007C2763">
        <w:rPr>
          <w:rFonts w:ascii="Abadi" w:hAnsi="Abadi" w:cs="Arial"/>
          <w:spacing w:val="59"/>
          <w:sz w:val="21"/>
          <w:szCs w:val="21"/>
        </w:rPr>
        <w:t xml:space="preserve"> </w:t>
      </w:r>
      <w:r w:rsidRPr="007C2763">
        <w:rPr>
          <w:rFonts w:ascii="Abadi" w:hAnsi="Abadi" w:cs="Arial"/>
          <w:sz w:val="21"/>
          <w:szCs w:val="21"/>
        </w:rPr>
        <w:t>de</w:t>
      </w:r>
      <w:r w:rsidRPr="007C2763">
        <w:rPr>
          <w:rFonts w:ascii="Abadi" w:hAnsi="Abadi" w:cs="Arial"/>
          <w:spacing w:val="58"/>
          <w:sz w:val="21"/>
          <w:szCs w:val="21"/>
        </w:rPr>
        <w:t xml:space="preserve"> </w:t>
      </w:r>
      <w:r w:rsidRPr="007C2763">
        <w:rPr>
          <w:rFonts w:ascii="Abadi" w:hAnsi="Abadi" w:cs="Arial"/>
          <w:sz w:val="21"/>
          <w:szCs w:val="21"/>
        </w:rPr>
        <w:t>la</w:t>
      </w:r>
      <w:r w:rsidRPr="007C2763">
        <w:rPr>
          <w:rFonts w:ascii="Abadi" w:hAnsi="Abadi" w:cs="Arial"/>
          <w:spacing w:val="59"/>
          <w:sz w:val="21"/>
          <w:szCs w:val="21"/>
        </w:rPr>
        <w:t xml:space="preserve"> </w:t>
      </w:r>
      <w:r w:rsidRPr="007C2763">
        <w:rPr>
          <w:rFonts w:ascii="Abadi" w:hAnsi="Abadi" w:cs="Arial"/>
          <w:sz w:val="21"/>
          <w:szCs w:val="21"/>
        </w:rPr>
        <w:t>Ley Orgánica</w:t>
      </w:r>
      <w:r w:rsidRPr="007C2763">
        <w:rPr>
          <w:rFonts w:ascii="Abadi" w:hAnsi="Abadi" w:cs="Arial"/>
          <w:spacing w:val="27"/>
          <w:sz w:val="21"/>
          <w:szCs w:val="21"/>
        </w:rPr>
        <w:t xml:space="preserve"> </w:t>
      </w:r>
      <w:r w:rsidRPr="007C2763">
        <w:rPr>
          <w:rFonts w:ascii="Abadi" w:hAnsi="Abadi" w:cs="Arial"/>
          <w:sz w:val="21"/>
          <w:szCs w:val="21"/>
        </w:rPr>
        <w:t>del</w:t>
      </w:r>
      <w:r w:rsidRPr="007C2763">
        <w:rPr>
          <w:rFonts w:ascii="Abadi" w:hAnsi="Abadi" w:cs="Arial"/>
          <w:spacing w:val="26"/>
          <w:sz w:val="21"/>
          <w:szCs w:val="21"/>
        </w:rPr>
        <w:t xml:space="preserve"> </w:t>
      </w:r>
      <w:r w:rsidRPr="007C2763">
        <w:rPr>
          <w:rFonts w:ascii="Abadi" w:hAnsi="Abadi" w:cs="Arial"/>
          <w:sz w:val="21"/>
          <w:szCs w:val="21"/>
        </w:rPr>
        <w:t>Poder</w:t>
      </w:r>
      <w:r w:rsidRPr="007C2763">
        <w:rPr>
          <w:rFonts w:ascii="Abadi" w:hAnsi="Abadi" w:cs="Arial"/>
          <w:spacing w:val="28"/>
          <w:sz w:val="21"/>
          <w:szCs w:val="21"/>
        </w:rPr>
        <w:t xml:space="preserve"> </w:t>
      </w:r>
      <w:r w:rsidRPr="007C2763">
        <w:rPr>
          <w:rFonts w:ascii="Abadi" w:hAnsi="Abadi" w:cs="Arial"/>
          <w:sz w:val="21"/>
          <w:szCs w:val="21"/>
        </w:rPr>
        <w:t>Legislativo</w:t>
      </w:r>
      <w:r w:rsidRPr="007C2763">
        <w:rPr>
          <w:rFonts w:ascii="Abadi" w:hAnsi="Abadi" w:cs="Arial"/>
          <w:spacing w:val="27"/>
          <w:sz w:val="21"/>
          <w:szCs w:val="21"/>
        </w:rPr>
        <w:t xml:space="preserve"> </w:t>
      </w:r>
      <w:r w:rsidRPr="007C2763">
        <w:rPr>
          <w:rFonts w:ascii="Abadi" w:hAnsi="Abadi" w:cs="Arial"/>
          <w:sz w:val="21"/>
          <w:szCs w:val="21"/>
        </w:rPr>
        <w:t>del</w:t>
      </w:r>
      <w:r w:rsidRPr="007C2763">
        <w:rPr>
          <w:rFonts w:ascii="Abadi" w:hAnsi="Abadi" w:cs="Arial"/>
          <w:spacing w:val="26"/>
          <w:sz w:val="21"/>
          <w:szCs w:val="21"/>
        </w:rPr>
        <w:t xml:space="preserve"> </w:t>
      </w:r>
      <w:r w:rsidRPr="007C2763">
        <w:rPr>
          <w:rFonts w:ascii="Abadi" w:hAnsi="Abadi" w:cs="Arial"/>
          <w:sz w:val="21"/>
          <w:szCs w:val="21"/>
        </w:rPr>
        <w:t>Estado</w:t>
      </w:r>
      <w:r w:rsidRPr="007C2763">
        <w:rPr>
          <w:rFonts w:ascii="Abadi" w:hAnsi="Abadi" w:cs="Arial"/>
          <w:spacing w:val="27"/>
          <w:sz w:val="21"/>
          <w:szCs w:val="21"/>
        </w:rPr>
        <w:t xml:space="preserve"> </w:t>
      </w:r>
      <w:r w:rsidRPr="007C2763">
        <w:rPr>
          <w:rFonts w:ascii="Abadi" w:hAnsi="Abadi" w:cs="Arial"/>
          <w:sz w:val="21"/>
          <w:szCs w:val="21"/>
        </w:rPr>
        <w:t>de</w:t>
      </w:r>
      <w:r w:rsidRPr="007C2763">
        <w:rPr>
          <w:rFonts w:ascii="Abadi" w:hAnsi="Abadi" w:cs="Arial"/>
          <w:spacing w:val="30"/>
          <w:sz w:val="21"/>
          <w:szCs w:val="21"/>
        </w:rPr>
        <w:t xml:space="preserve"> </w:t>
      </w:r>
      <w:r w:rsidRPr="007C2763">
        <w:rPr>
          <w:rFonts w:ascii="Abadi" w:hAnsi="Abadi" w:cs="Arial"/>
          <w:sz w:val="21"/>
          <w:szCs w:val="21"/>
        </w:rPr>
        <w:t>Guanajuato,</w:t>
      </w:r>
      <w:r w:rsidRPr="007C2763">
        <w:rPr>
          <w:rFonts w:ascii="Abadi" w:hAnsi="Abadi" w:cs="Arial"/>
          <w:spacing w:val="27"/>
          <w:sz w:val="21"/>
          <w:szCs w:val="21"/>
        </w:rPr>
        <w:t xml:space="preserve"> </w:t>
      </w:r>
      <w:r w:rsidRPr="007C2763">
        <w:rPr>
          <w:rFonts w:ascii="Abadi" w:hAnsi="Abadi" w:cs="Arial"/>
          <w:sz w:val="21"/>
          <w:szCs w:val="21"/>
        </w:rPr>
        <w:t>rinde</w:t>
      </w:r>
      <w:r w:rsidRPr="007C2763">
        <w:rPr>
          <w:rFonts w:ascii="Abadi" w:hAnsi="Abadi" w:cs="Arial"/>
          <w:spacing w:val="25"/>
          <w:sz w:val="21"/>
          <w:szCs w:val="21"/>
        </w:rPr>
        <w:t xml:space="preserve"> </w:t>
      </w:r>
      <w:r w:rsidRPr="007C2763">
        <w:rPr>
          <w:rFonts w:ascii="Abadi" w:hAnsi="Abadi" w:cs="Arial"/>
          <w:sz w:val="21"/>
          <w:szCs w:val="21"/>
        </w:rPr>
        <w:t>el</w:t>
      </w:r>
      <w:r w:rsidRPr="007C2763">
        <w:rPr>
          <w:rFonts w:ascii="Abadi" w:hAnsi="Abadi" w:cs="Arial"/>
          <w:spacing w:val="28"/>
          <w:sz w:val="21"/>
          <w:szCs w:val="21"/>
        </w:rPr>
        <w:t xml:space="preserve"> </w:t>
      </w:r>
      <w:r w:rsidRPr="007C2763">
        <w:rPr>
          <w:rFonts w:ascii="Abadi" w:hAnsi="Abadi" w:cs="Arial"/>
          <w:sz w:val="21"/>
          <w:szCs w:val="21"/>
        </w:rPr>
        <w:t>dictamen</w:t>
      </w:r>
      <w:r w:rsidRPr="007C2763">
        <w:rPr>
          <w:rFonts w:ascii="Abadi" w:hAnsi="Abadi" w:cs="Arial"/>
          <w:spacing w:val="30"/>
          <w:sz w:val="21"/>
          <w:szCs w:val="21"/>
        </w:rPr>
        <w:t xml:space="preserve"> </w:t>
      </w:r>
      <w:r w:rsidRPr="007C2763">
        <w:rPr>
          <w:rFonts w:ascii="Abadi" w:hAnsi="Abadi" w:cs="Arial"/>
          <w:sz w:val="21"/>
          <w:szCs w:val="21"/>
        </w:rPr>
        <w:t>con base</w:t>
      </w:r>
      <w:r w:rsidRPr="007C2763">
        <w:rPr>
          <w:rFonts w:ascii="Abadi" w:hAnsi="Abadi" w:cs="Arial"/>
          <w:spacing w:val="-1"/>
          <w:sz w:val="21"/>
          <w:szCs w:val="21"/>
        </w:rPr>
        <w:t xml:space="preserve"> </w:t>
      </w:r>
      <w:r w:rsidRPr="007C2763">
        <w:rPr>
          <w:rFonts w:ascii="Abadi" w:hAnsi="Abadi" w:cs="Arial"/>
          <w:sz w:val="21"/>
          <w:szCs w:val="21"/>
        </w:rPr>
        <w:t>en</w:t>
      </w:r>
      <w:r w:rsidRPr="007C2763">
        <w:rPr>
          <w:rFonts w:ascii="Abadi" w:hAnsi="Abadi" w:cs="Arial"/>
          <w:spacing w:val="1"/>
          <w:sz w:val="21"/>
          <w:szCs w:val="21"/>
        </w:rPr>
        <w:t xml:space="preserve"> </w:t>
      </w:r>
      <w:r w:rsidRPr="007C2763">
        <w:rPr>
          <w:rFonts w:ascii="Abadi" w:hAnsi="Abadi" w:cs="Arial"/>
          <w:sz w:val="21"/>
          <w:szCs w:val="21"/>
        </w:rPr>
        <w:t>las</w:t>
      </w:r>
      <w:r w:rsidRPr="007C2763">
        <w:rPr>
          <w:rFonts w:ascii="Abadi" w:hAnsi="Abadi" w:cs="Arial"/>
          <w:spacing w:val="-2"/>
          <w:sz w:val="21"/>
          <w:szCs w:val="21"/>
        </w:rPr>
        <w:t xml:space="preserve"> </w:t>
      </w:r>
      <w:r w:rsidRPr="007C2763">
        <w:rPr>
          <w:rFonts w:ascii="Abadi" w:hAnsi="Abadi" w:cs="Arial"/>
          <w:sz w:val="21"/>
          <w:szCs w:val="21"/>
        </w:rPr>
        <w:t>siguientes:</w:t>
      </w:r>
    </w:p>
    <w:p w14:paraId="0A2FBC0C" w14:textId="77777777" w:rsidR="00374A1E" w:rsidRPr="007C2763" w:rsidRDefault="00374A1E" w:rsidP="00374A1E">
      <w:pPr>
        <w:kinsoku w:val="0"/>
        <w:overflowPunct w:val="0"/>
        <w:autoSpaceDE w:val="0"/>
        <w:autoSpaceDN w:val="0"/>
        <w:adjustRightInd w:val="0"/>
        <w:jc w:val="both"/>
        <w:rPr>
          <w:rFonts w:ascii="Abadi" w:hAnsi="Abadi" w:cs="Arial"/>
          <w:sz w:val="21"/>
          <w:szCs w:val="21"/>
        </w:rPr>
      </w:pPr>
    </w:p>
    <w:p w14:paraId="644DC17E" w14:textId="786FA552" w:rsidR="00374A1E" w:rsidRPr="007C2763" w:rsidRDefault="00963C11" w:rsidP="003E225D">
      <w:pPr>
        <w:kinsoku w:val="0"/>
        <w:overflowPunct w:val="0"/>
        <w:autoSpaceDE w:val="0"/>
        <w:autoSpaceDN w:val="0"/>
        <w:adjustRightInd w:val="0"/>
        <w:ind w:right="70"/>
        <w:jc w:val="center"/>
        <w:outlineLvl w:val="0"/>
        <w:rPr>
          <w:rFonts w:ascii="Abadi" w:hAnsi="Abadi" w:cs="Arial"/>
          <w:b/>
          <w:bCs/>
          <w:sz w:val="21"/>
          <w:szCs w:val="21"/>
        </w:rPr>
      </w:pPr>
      <w:r w:rsidRPr="007C2763">
        <w:rPr>
          <w:rFonts w:ascii="Abadi" w:hAnsi="Abadi" w:cs="Arial"/>
          <w:b/>
          <w:bCs/>
          <w:sz w:val="21"/>
          <w:szCs w:val="21"/>
        </w:rPr>
        <w:t>CONSIDERACIONES</w:t>
      </w:r>
    </w:p>
    <w:p w14:paraId="1E09D210" w14:textId="77777777" w:rsidR="00EB6C90" w:rsidRDefault="00EB6C90" w:rsidP="00374A1E">
      <w:pPr>
        <w:kinsoku w:val="0"/>
        <w:overflowPunct w:val="0"/>
        <w:autoSpaceDE w:val="0"/>
        <w:autoSpaceDN w:val="0"/>
        <w:adjustRightInd w:val="0"/>
        <w:spacing w:before="68"/>
        <w:ind w:left="39"/>
        <w:jc w:val="both"/>
        <w:rPr>
          <w:rFonts w:ascii="Abadi" w:hAnsi="Abadi" w:cs="Arial"/>
          <w:b/>
          <w:bCs/>
          <w:sz w:val="21"/>
          <w:szCs w:val="21"/>
        </w:rPr>
      </w:pPr>
    </w:p>
    <w:p w14:paraId="1604F444" w14:textId="434DE2FD" w:rsidR="00374A1E" w:rsidRPr="007C2763" w:rsidRDefault="00374A1E" w:rsidP="00374A1E">
      <w:pPr>
        <w:kinsoku w:val="0"/>
        <w:overflowPunct w:val="0"/>
        <w:autoSpaceDE w:val="0"/>
        <w:autoSpaceDN w:val="0"/>
        <w:adjustRightInd w:val="0"/>
        <w:spacing w:before="68"/>
        <w:ind w:left="39"/>
        <w:jc w:val="both"/>
        <w:rPr>
          <w:rFonts w:ascii="Abadi" w:hAnsi="Abadi" w:cs="Arial"/>
          <w:b/>
          <w:bCs/>
          <w:sz w:val="21"/>
          <w:szCs w:val="21"/>
        </w:rPr>
      </w:pPr>
      <w:r w:rsidRPr="007C2763">
        <w:rPr>
          <w:rFonts w:ascii="Abadi" w:hAnsi="Abadi" w:cs="Arial"/>
          <w:b/>
          <w:bCs/>
          <w:sz w:val="21"/>
          <w:szCs w:val="21"/>
        </w:rPr>
        <w:t>Antecedentes.</w:t>
      </w:r>
    </w:p>
    <w:p w14:paraId="571B80FC" w14:textId="77777777" w:rsidR="00374A1E" w:rsidRPr="007C2763" w:rsidRDefault="00374A1E" w:rsidP="00374A1E">
      <w:pPr>
        <w:kinsoku w:val="0"/>
        <w:overflowPunct w:val="0"/>
        <w:autoSpaceDE w:val="0"/>
        <w:autoSpaceDN w:val="0"/>
        <w:adjustRightInd w:val="0"/>
        <w:spacing w:before="64"/>
        <w:ind w:left="40" w:right="116" w:firstLine="708"/>
        <w:jc w:val="both"/>
        <w:rPr>
          <w:rFonts w:ascii="Abadi" w:hAnsi="Abadi" w:cs="Arial"/>
          <w:sz w:val="21"/>
          <w:szCs w:val="21"/>
        </w:rPr>
      </w:pPr>
      <w:r w:rsidRPr="007C2763">
        <w:rPr>
          <w:rFonts w:ascii="Abadi" w:hAnsi="Abadi" w:cs="Arial"/>
          <w:sz w:val="21"/>
          <w:szCs w:val="21"/>
        </w:rPr>
        <w:t>La</w:t>
      </w:r>
      <w:r w:rsidRPr="007C2763">
        <w:rPr>
          <w:rFonts w:ascii="Abadi" w:hAnsi="Abadi" w:cs="Arial"/>
          <w:spacing w:val="26"/>
          <w:sz w:val="21"/>
          <w:szCs w:val="21"/>
        </w:rPr>
        <w:t xml:space="preserve"> </w:t>
      </w:r>
      <w:r w:rsidRPr="007C2763">
        <w:rPr>
          <w:rFonts w:ascii="Abadi" w:hAnsi="Abadi" w:cs="Arial"/>
          <w:sz w:val="21"/>
          <w:szCs w:val="21"/>
        </w:rPr>
        <w:t>presidencia</w:t>
      </w:r>
      <w:r w:rsidRPr="007C2763">
        <w:rPr>
          <w:rFonts w:ascii="Abadi" w:hAnsi="Abadi" w:cs="Arial"/>
          <w:spacing w:val="25"/>
          <w:sz w:val="21"/>
          <w:szCs w:val="21"/>
        </w:rPr>
        <w:t xml:space="preserve"> </w:t>
      </w:r>
      <w:r w:rsidRPr="007C2763">
        <w:rPr>
          <w:rFonts w:ascii="Abadi" w:hAnsi="Abadi" w:cs="Arial"/>
          <w:sz w:val="21"/>
          <w:szCs w:val="21"/>
        </w:rPr>
        <w:t>de</w:t>
      </w:r>
      <w:r w:rsidRPr="007C2763">
        <w:rPr>
          <w:rFonts w:ascii="Abadi" w:hAnsi="Abadi" w:cs="Arial"/>
          <w:spacing w:val="27"/>
          <w:sz w:val="21"/>
          <w:szCs w:val="21"/>
        </w:rPr>
        <w:t xml:space="preserve"> </w:t>
      </w:r>
      <w:r w:rsidRPr="007C2763">
        <w:rPr>
          <w:rFonts w:ascii="Abadi" w:hAnsi="Abadi" w:cs="Arial"/>
          <w:sz w:val="21"/>
          <w:szCs w:val="21"/>
        </w:rPr>
        <w:t>la</w:t>
      </w:r>
      <w:r w:rsidRPr="007C2763">
        <w:rPr>
          <w:rFonts w:ascii="Abadi" w:hAnsi="Abadi" w:cs="Arial"/>
          <w:spacing w:val="25"/>
          <w:sz w:val="21"/>
          <w:szCs w:val="21"/>
        </w:rPr>
        <w:t xml:space="preserve"> </w:t>
      </w:r>
      <w:r w:rsidRPr="007C2763">
        <w:rPr>
          <w:rFonts w:ascii="Abadi" w:hAnsi="Abadi" w:cs="Arial"/>
          <w:sz w:val="21"/>
          <w:szCs w:val="21"/>
        </w:rPr>
        <w:t>Mesa</w:t>
      </w:r>
      <w:r w:rsidRPr="007C2763">
        <w:rPr>
          <w:rFonts w:ascii="Abadi" w:hAnsi="Abadi" w:cs="Arial"/>
          <w:spacing w:val="27"/>
          <w:sz w:val="21"/>
          <w:szCs w:val="21"/>
        </w:rPr>
        <w:t xml:space="preserve"> </w:t>
      </w:r>
      <w:r w:rsidRPr="007C2763">
        <w:rPr>
          <w:rFonts w:ascii="Abadi" w:hAnsi="Abadi" w:cs="Arial"/>
          <w:sz w:val="21"/>
          <w:szCs w:val="21"/>
        </w:rPr>
        <w:t>Directiva</w:t>
      </w:r>
      <w:r w:rsidRPr="007C2763">
        <w:rPr>
          <w:rFonts w:ascii="Abadi" w:hAnsi="Abadi" w:cs="Arial"/>
          <w:spacing w:val="27"/>
          <w:sz w:val="21"/>
          <w:szCs w:val="21"/>
        </w:rPr>
        <w:t xml:space="preserve"> </w:t>
      </w:r>
      <w:r w:rsidRPr="007C2763">
        <w:rPr>
          <w:rFonts w:ascii="Abadi" w:hAnsi="Abadi" w:cs="Arial"/>
          <w:sz w:val="21"/>
          <w:szCs w:val="21"/>
        </w:rPr>
        <w:t>en</w:t>
      </w:r>
      <w:r w:rsidRPr="007C2763">
        <w:rPr>
          <w:rFonts w:ascii="Abadi" w:hAnsi="Abadi" w:cs="Arial"/>
          <w:spacing w:val="27"/>
          <w:sz w:val="21"/>
          <w:szCs w:val="21"/>
        </w:rPr>
        <w:t xml:space="preserve"> </w:t>
      </w:r>
      <w:r w:rsidRPr="007C2763">
        <w:rPr>
          <w:rFonts w:ascii="Abadi" w:hAnsi="Abadi" w:cs="Arial"/>
          <w:sz w:val="21"/>
          <w:szCs w:val="21"/>
        </w:rPr>
        <w:t>sesión</w:t>
      </w:r>
      <w:r w:rsidRPr="007C2763">
        <w:rPr>
          <w:rFonts w:ascii="Abadi" w:hAnsi="Abadi" w:cs="Arial"/>
          <w:spacing w:val="27"/>
          <w:sz w:val="21"/>
          <w:szCs w:val="21"/>
        </w:rPr>
        <w:t xml:space="preserve"> </w:t>
      </w:r>
      <w:r w:rsidRPr="007C2763">
        <w:rPr>
          <w:rFonts w:ascii="Abadi" w:hAnsi="Abadi" w:cs="Arial"/>
          <w:sz w:val="21"/>
          <w:szCs w:val="21"/>
        </w:rPr>
        <w:t>de</w:t>
      </w:r>
      <w:r w:rsidRPr="007C2763">
        <w:rPr>
          <w:rFonts w:ascii="Abadi" w:hAnsi="Abadi" w:cs="Arial"/>
          <w:spacing w:val="27"/>
          <w:sz w:val="21"/>
          <w:szCs w:val="21"/>
        </w:rPr>
        <w:t xml:space="preserve"> </w:t>
      </w:r>
      <w:r w:rsidRPr="007C2763">
        <w:rPr>
          <w:rFonts w:ascii="Abadi" w:hAnsi="Abadi" w:cs="Arial"/>
          <w:sz w:val="21"/>
          <w:szCs w:val="21"/>
        </w:rPr>
        <w:t>fecha</w:t>
      </w:r>
      <w:r w:rsidRPr="007C2763">
        <w:rPr>
          <w:rFonts w:ascii="Abadi" w:hAnsi="Abadi" w:cs="Arial"/>
          <w:spacing w:val="25"/>
          <w:sz w:val="21"/>
          <w:szCs w:val="21"/>
        </w:rPr>
        <w:t xml:space="preserve"> </w:t>
      </w:r>
      <w:r w:rsidRPr="007C2763">
        <w:rPr>
          <w:rFonts w:ascii="Abadi" w:hAnsi="Abadi" w:cs="Arial"/>
          <w:sz w:val="21"/>
          <w:szCs w:val="21"/>
        </w:rPr>
        <w:t>25</w:t>
      </w:r>
      <w:r w:rsidRPr="007C2763">
        <w:rPr>
          <w:rFonts w:ascii="Abadi" w:hAnsi="Abadi" w:cs="Arial"/>
          <w:spacing w:val="27"/>
          <w:sz w:val="21"/>
          <w:szCs w:val="21"/>
        </w:rPr>
        <w:t xml:space="preserve"> </w:t>
      </w:r>
      <w:r w:rsidRPr="007C2763">
        <w:rPr>
          <w:rFonts w:ascii="Abadi" w:hAnsi="Abadi" w:cs="Arial"/>
          <w:sz w:val="21"/>
          <w:szCs w:val="21"/>
        </w:rPr>
        <w:t>de</w:t>
      </w:r>
      <w:r w:rsidRPr="007C2763">
        <w:rPr>
          <w:rFonts w:ascii="Abadi" w:hAnsi="Abadi" w:cs="Arial"/>
          <w:spacing w:val="27"/>
          <w:sz w:val="21"/>
          <w:szCs w:val="21"/>
        </w:rPr>
        <w:t xml:space="preserve"> </w:t>
      </w:r>
      <w:r w:rsidRPr="007C2763">
        <w:rPr>
          <w:rFonts w:ascii="Abadi" w:hAnsi="Abadi" w:cs="Arial"/>
          <w:sz w:val="21"/>
          <w:szCs w:val="21"/>
        </w:rPr>
        <w:t>septiembre de</w:t>
      </w:r>
      <w:r w:rsidRPr="007C2763">
        <w:rPr>
          <w:rFonts w:ascii="Abadi" w:hAnsi="Abadi" w:cs="Arial"/>
          <w:spacing w:val="66"/>
          <w:sz w:val="21"/>
          <w:szCs w:val="21"/>
        </w:rPr>
        <w:t xml:space="preserve"> </w:t>
      </w:r>
      <w:r w:rsidRPr="007C2763">
        <w:rPr>
          <w:rFonts w:ascii="Abadi" w:hAnsi="Abadi" w:cs="Arial"/>
          <w:sz w:val="21"/>
          <w:szCs w:val="21"/>
        </w:rPr>
        <w:t>2019</w:t>
      </w:r>
      <w:r w:rsidRPr="007C2763">
        <w:rPr>
          <w:rFonts w:ascii="Abadi" w:hAnsi="Abadi" w:cs="Arial"/>
          <w:spacing w:val="66"/>
          <w:sz w:val="21"/>
          <w:szCs w:val="21"/>
        </w:rPr>
        <w:t xml:space="preserve"> </w:t>
      </w:r>
      <w:r w:rsidRPr="007C2763">
        <w:rPr>
          <w:rFonts w:ascii="Abadi" w:hAnsi="Abadi" w:cs="Arial"/>
          <w:sz w:val="21"/>
          <w:szCs w:val="21"/>
        </w:rPr>
        <w:t>turnó</w:t>
      </w:r>
      <w:r w:rsidRPr="007C2763">
        <w:rPr>
          <w:rFonts w:ascii="Abadi" w:hAnsi="Abadi" w:cs="Arial"/>
          <w:spacing w:val="65"/>
          <w:sz w:val="21"/>
          <w:szCs w:val="21"/>
        </w:rPr>
        <w:t xml:space="preserve"> </w:t>
      </w:r>
      <w:r w:rsidRPr="007C2763">
        <w:rPr>
          <w:rFonts w:ascii="Abadi" w:hAnsi="Abadi" w:cs="Arial"/>
          <w:sz w:val="21"/>
          <w:szCs w:val="21"/>
        </w:rPr>
        <w:t>a</w:t>
      </w:r>
      <w:r w:rsidRPr="007C2763">
        <w:rPr>
          <w:rFonts w:ascii="Abadi" w:hAnsi="Abadi" w:cs="Arial"/>
          <w:spacing w:val="2"/>
          <w:sz w:val="21"/>
          <w:szCs w:val="21"/>
        </w:rPr>
        <w:t xml:space="preserve"> </w:t>
      </w:r>
      <w:r w:rsidRPr="007C2763">
        <w:rPr>
          <w:rFonts w:ascii="Abadi" w:hAnsi="Abadi" w:cs="Arial"/>
          <w:sz w:val="21"/>
          <w:szCs w:val="21"/>
        </w:rPr>
        <w:t>la</w:t>
      </w:r>
      <w:r w:rsidRPr="007C2763">
        <w:rPr>
          <w:rFonts w:ascii="Abadi" w:hAnsi="Abadi" w:cs="Arial"/>
          <w:spacing w:val="66"/>
          <w:sz w:val="21"/>
          <w:szCs w:val="21"/>
        </w:rPr>
        <w:t xml:space="preserve"> </w:t>
      </w:r>
      <w:r w:rsidRPr="007C2763">
        <w:rPr>
          <w:rFonts w:ascii="Abadi" w:hAnsi="Abadi" w:cs="Arial"/>
          <w:sz w:val="21"/>
          <w:szCs w:val="21"/>
        </w:rPr>
        <w:t>Comisión</w:t>
      </w:r>
      <w:r w:rsidRPr="007C2763">
        <w:rPr>
          <w:rFonts w:ascii="Abadi" w:hAnsi="Abadi" w:cs="Arial"/>
          <w:spacing w:val="66"/>
          <w:sz w:val="21"/>
          <w:szCs w:val="21"/>
        </w:rPr>
        <w:t xml:space="preserve"> </w:t>
      </w:r>
      <w:r w:rsidRPr="007C2763">
        <w:rPr>
          <w:rFonts w:ascii="Abadi" w:hAnsi="Abadi" w:cs="Arial"/>
          <w:sz w:val="21"/>
          <w:szCs w:val="21"/>
        </w:rPr>
        <w:t>de</w:t>
      </w:r>
      <w:r w:rsidRPr="007C2763">
        <w:rPr>
          <w:rFonts w:ascii="Abadi" w:hAnsi="Abadi" w:cs="Arial"/>
          <w:spacing w:val="65"/>
          <w:sz w:val="21"/>
          <w:szCs w:val="21"/>
        </w:rPr>
        <w:t xml:space="preserve"> </w:t>
      </w:r>
      <w:r w:rsidRPr="007C2763">
        <w:rPr>
          <w:rFonts w:ascii="Abadi" w:hAnsi="Abadi" w:cs="Arial"/>
          <w:sz w:val="21"/>
          <w:szCs w:val="21"/>
        </w:rPr>
        <w:t>Asuntos</w:t>
      </w:r>
      <w:r w:rsidRPr="007C2763">
        <w:rPr>
          <w:rFonts w:ascii="Abadi" w:hAnsi="Abadi" w:cs="Arial"/>
          <w:spacing w:val="65"/>
          <w:sz w:val="21"/>
          <w:szCs w:val="21"/>
        </w:rPr>
        <w:t xml:space="preserve"> </w:t>
      </w:r>
      <w:r w:rsidRPr="007C2763">
        <w:rPr>
          <w:rFonts w:ascii="Abadi" w:hAnsi="Abadi" w:cs="Arial"/>
          <w:sz w:val="21"/>
          <w:szCs w:val="21"/>
        </w:rPr>
        <w:t>Municipales,</w:t>
      </w:r>
      <w:r w:rsidRPr="007C2763">
        <w:rPr>
          <w:rFonts w:ascii="Abadi" w:hAnsi="Abadi" w:cs="Arial"/>
          <w:spacing w:val="65"/>
          <w:sz w:val="21"/>
          <w:szCs w:val="21"/>
        </w:rPr>
        <w:t xml:space="preserve"> </w:t>
      </w:r>
      <w:r w:rsidRPr="007C2763">
        <w:rPr>
          <w:rFonts w:ascii="Abadi" w:hAnsi="Abadi" w:cs="Arial"/>
          <w:sz w:val="21"/>
          <w:szCs w:val="21"/>
        </w:rPr>
        <w:t>con</w:t>
      </w:r>
      <w:r w:rsidRPr="007C2763">
        <w:rPr>
          <w:rFonts w:ascii="Abadi" w:hAnsi="Abadi" w:cs="Arial"/>
          <w:spacing w:val="66"/>
          <w:sz w:val="21"/>
          <w:szCs w:val="21"/>
        </w:rPr>
        <w:t xml:space="preserve"> </w:t>
      </w:r>
      <w:r w:rsidRPr="007C2763">
        <w:rPr>
          <w:rFonts w:ascii="Abadi" w:hAnsi="Abadi" w:cs="Arial"/>
          <w:sz w:val="21"/>
          <w:szCs w:val="21"/>
        </w:rPr>
        <w:t>fundamento</w:t>
      </w:r>
      <w:r w:rsidRPr="007C2763">
        <w:rPr>
          <w:rFonts w:ascii="Abadi" w:hAnsi="Abadi" w:cs="Arial"/>
          <w:spacing w:val="66"/>
          <w:sz w:val="21"/>
          <w:szCs w:val="21"/>
        </w:rPr>
        <w:t xml:space="preserve"> </w:t>
      </w:r>
      <w:r w:rsidRPr="007C2763">
        <w:rPr>
          <w:rFonts w:ascii="Abadi" w:hAnsi="Abadi" w:cs="Arial"/>
          <w:sz w:val="21"/>
          <w:szCs w:val="21"/>
        </w:rPr>
        <w:t>en</w:t>
      </w:r>
      <w:r w:rsidRPr="007C2763">
        <w:rPr>
          <w:rFonts w:ascii="Abadi" w:hAnsi="Abadi" w:cs="Arial"/>
          <w:spacing w:val="65"/>
          <w:sz w:val="21"/>
          <w:szCs w:val="21"/>
        </w:rPr>
        <w:t xml:space="preserve"> </w:t>
      </w:r>
      <w:r w:rsidRPr="007C2763">
        <w:rPr>
          <w:rFonts w:ascii="Abadi" w:hAnsi="Abadi" w:cs="Arial"/>
          <w:sz w:val="21"/>
          <w:szCs w:val="21"/>
        </w:rPr>
        <w:t>el artículo</w:t>
      </w:r>
      <w:r w:rsidRPr="007C2763">
        <w:rPr>
          <w:rFonts w:ascii="Abadi" w:hAnsi="Abadi" w:cs="Arial"/>
          <w:spacing w:val="49"/>
          <w:sz w:val="21"/>
          <w:szCs w:val="21"/>
        </w:rPr>
        <w:t xml:space="preserve"> </w:t>
      </w:r>
      <w:r w:rsidRPr="007C2763">
        <w:rPr>
          <w:rFonts w:ascii="Abadi" w:hAnsi="Abadi" w:cs="Arial"/>
          <w:sz w:val="21"/>
          <w:szCs w:val="21"/>
        </w:rPr>
        <w:t>104</w:t>
      </w:r>
      <w:r w:rsidRPr="007C2763">
        <w:rPr>
          <w:rFonts w:ascii="Abadi" w:hAnsi="Abadi" w:cs="Arial"/>
          <w:spacing w:val="49"/>
          <w:sz w:val="21"/>
          <w:szCs w:val="21"/>
        </w:rPr>
        <w:t xml:space="preserve"> </w:t>
      </w:r>
      <w:r w:rsidRPr="007C2763">
        <w:rPr>
          <w:rFonts w:ascii="Abadi" w:hAnsi="Abadi" w:cs="Arial"/>
          <w:sz w:val="21"/>
          <w:szCs w:val="21"/>
        </w:rPr>
        <w:t>fracción</w:t>
      </w:r>
      <w:r w:rsidRPr="007C2763">
        <w:rPr>
          <w:rFonts w:ascii="Abadi" w:hAnsi="Abadi" w:cs="Arial"/>
          <w:spacing w:val="48"/>
          <w:sz w:val="21"/>
          <w:szCs w:val="21"/>
        </w:rPr>
        <w:t xml:space="preserve"> </w:t>
      </w:r>
      <w:r w:rsidRPr="007C2763">
        <w:rPr>
          <w:rFonts w:ascii="Abadi" w:hAnsi="Abadi" w:cs="Arial"/>
          <w:sz w:val="21"/>
          <w:szCs w:val="21"/>
        </w:rPr>
        <w:t>I</w:t>
      </w:r>
      <w:r w:rsidRPr="007C2763">
        <w:rPr>
          <w:rFonts w:ascii="Abadi" w:hAnsi="Abadi" w:cs="Arial"/>
          <w:spacing w:val="46"/>
          <w:sz w:val="21"/>
          <w:szCs w:val="21"/>
        </w:rPr>
        <w:t xml:space="preserve"> </w:t>
      </w:r>
      <w:r w:rsidRPr="007C2763">
        <w:rPr>
          <w:rFonts w:ascii="Abadi" w:hAnsi="Abadi" w:cs="Arial"/>
          <w:sz w:val="21"/>
          <w:szCs w:val="21"/>
        </w:rPr>
        <w:t>de</w:t>
      </w:r>
      <w:r w:rsidRPr="007C2763">
        <w:rPr>
          <w:rFonts w:ascii="Abadi" w:hAnsi="Abadi" w:cs="Arial"/>
          <w:spacing w:val="49"/>
          <w:sz w:val="21"/>
          <w:szCs w:val="21"/>
        </w:rPr>
        <w:t xml:space="preserve"> </w:t>
      </w:r>
      <w:r w:rsidRPr="007C2763">
        <w:rPr>
          <w:rFonts w:ascii="Abadi" w:hAnsi="Abadi" w:cs="Arial"/>
          <w:sz w:val="21"/>
          <w:szCs w:val="21"/>
        </w:rPr>
        <w:t>la</w:t>
      </w:r>
      <w:r w:rsidRPr="007C2763">
        <w:rPr>
          <w:rFonts w:ascii="Abadi" w:hAnsi="Abadi" w:cs="Arial"/>
          <w:spacing w:val="48"/>
          <w:sz w:val="21"/>
          <w:szCs w:val="21"/>
        </w:rPr>
        <w:t xml:space="preserve"> </w:t>
      </w:r>
      <w:r w:rsidRPr="007C2763">
        <w:rPr>
          <w:rFonts w:ascii="Abadi" w:hAnsi="Abadi" w:cs="Arial"/>
          <w:sz w:val="21"/>
          <w:szCs w:val="21"/>
        </w:rPr>
        <w:t>Ley</w:t>
      </w:r>
      <w:r w:rsidRPr="007C2763">
        <w:rPr>
          <w:rFonts w:ascii="Abadi" w:hAnsi="Abadi" w:cs="Arial"/>
          <w:spacing w:val="46"/>
          <w:sz w:val="21"/>
          <w:szCs w:val="21"/>
        </w:rPr>
        <w:t xml:space="preserve"> </w:t>
      </w:r>
      <w:r w:rsidRPr="007C2763">
        <w:rPr>
          <w:rFonts w:ascii="Abadi" w:hAnsi="Abadi" w:cs="Arial"/>
          <w:sz w:val="21"/>
          <w:szCs w:val="21"/>
        </w:rPr>
        <w:t>Orgánica</w:t>
      </w:r>
      <w:r w:rsidRPr="007C2763">
        <w:rPr>
          <w:rFonts w:ascii="Abadi" w:hAnsi="Abadi" w:cs="Arial"/>
          <w:spacing w:val="47"/>
          <w:sz w:val="21"/>
          <w:szCs w:val="21"/>
        </w:rPr>
        <w:t xml:space="preserve"> </w:t>
      </w:r>
      <w:r w:rsidRPr="007C2763">
        <w:rPr>
          <w:rFonts w:ascii="Abadi" w:hAnsi="Abadi" w:cs="Arial"/>
          <w:sz w:val="21"/>
          <w:szCs w:val="21"/>
        </w:rPr>
        <w:t>del</w:t>
      </w:r>
      <w:r w:rsidRPr="007C2763">
        <w:rPr>
          <w:rFonts w:ascii="Abadi" w:hAnsi="Abadi" w:cs="Arial"/>
          <w:spacing w:val="47"/>
          <w:sz w:val="21"/>
          <w:szCs w:val="21"/>
        </w:rPr>
        <w:t xml:space="preserve"> </w:t>
      </w:r>
      <w:r w:rsidRPr="007C2763">
        <w:rPr>
          <w:rFonts w:ascii="Abadi" w:hAnsi="Abadi" w:cs="Arial"/>
          <w:sz w:val="21"/>
          <w:szCs w:val="21"/>
        </w:rPr>
        <w:t>Poder</w:t>
      </w:r>
      <w:r w:rsidRPr="007C2763">
        <w:rPr>
          <w:rFonts w:ascii="Abadi" w:hAnsi="Abadi" w:cs="Arial"/>
          <w:spacing w:val="48"/>
          <w:sz w:val="21"/>
          <w:szCs w:val="21"/>
        </w:rPr>
        <w:t xml:space="preserve"> </w:t>
      </w:r>
      <w:r w:rsidRPr="007C2763">
        <w:rPr>
          <w:rFonts w:ascii="Abadi" w:hAnsi="Abadi" w:cs="Arial"/>
          <w:sz w:val="21"/>
          <w:szCs w:val="21"/>
        </w:rPr>
        <w:t>Legislativo</w:t>
      </w:r>
      <w:r w:rsidRPr="007C2763">
        <w:rPr>
          <w:rFonts w:ascii="Abadi" w:hAnsi="Abadi" w:cs="Arial"/>
          <w:spacing w:val="47"/>
          <w:sz w:val="21"/>
          <w:szCs w:val="21"/>
        </w:rPr>
        <w:t xml:space="preserve"> </w:t>
      </w:r>
      <w:r w:rsidRPr="007C2763">
        <w:rPr>
          <w:rFonts w:ascii="Abadi" w:hAnsi="Abadi" w:cs="Arial"/>
          <w:sz w:val="21"/>
          <w:szCs w:val="21"/>
        </w:rPr>
        <w:t>del</w:t>
      </w:r>
      <w:r w:rsidRPr="007C2763">
        <w:rPr>
          <w:rFonts w:ascii="Abadi" w:hAnsi="Abadi" w:cs="Arial"/>
          <w:spacing w:val="47"/>
          <w:sz w:val="21"/>
          <w:szCs w:val="21"/>
        </w:rPr>
        <w:t xml:space="preserve"> </w:t>
      </w:r>
      <w:r w:rsidRPr="007C2763">
        <w:rPr>
          <w:rFonts w:ascii="Abadi" w:hAnsi="Abadi" w:cs="Arial"/>
          <w:sz w:val="21"/>
          <w:szCs w:val="21"/>
        </w:rPr>
        <w:t>Estado</w:t>
      </w:r>
      <w:r w:rsidRPr="007C2763">
        <w:rPr>
          <w:rFonts w:ascii="Abadi" w:hAnsi="Abadi" w:cs="Arial"/>
          <w:spacing w:val="49"/>
          <w:sz w:val="21"/>
          <w:szCs w:val="21"/>
        </w:rPr>
        <w:t xml:space="preserve"> </w:t>
      </w:r>
      <w:r w:rsidRPr="007C2763">
        <w:rPr>
          <w:rFonts w:ascii="Abadi" w:hAnsi="Abadi" w:cs="Arial"/>
          <w:sz w:val="21"/>
          <w:szCs w:val="21"/>
        </w:rPr>
        <w:t>de Guanajuato,</w:t>
      </w:r>
      <w:r w:rsidRPr="007C2763">
        <w:rPr>
          <w:rFonts w:ascii="Abadi" w:hAnsi="Abadi" w:cs="Arial"/>
          <w:spacing w:val="5"/>
          <w:sz w:val="21"/>
          <w:szCs w:val="21"/>
        </w:rPr>
        <w:t xml:space="preserve"> </w:t>
      </w:r>
      <w:r w:rsidRPr="007C2763">
        <w:rPr>
          <w:rFonts w:ascii="Abadi" w:hAnsi="Abadi" w:cs="Arial"/>
          <w:sz w:val="21"/>
          <w:szCs w:val="21"/>
        </w:rPr>
        <w:t>para</w:t>
      </w:r>
      <w:r w:rsidRPr="007C2763">
        <w:rPr>
          <w:rFonts w:ascii="Abadi" w:hAnsi="Abadi" w:cs="Arial"/>
          <w:spacing w:val="6"/>
          <w:sz w:val="21"/>
          <w:szCs w:val="21"/>
        </w:rPr>
        <w:t xml:space="preserve"> </w:t>
      </w:r>
      <w:r w:rsidRPr="007C2763">
        <w:rPr>
          <w:rFonts w:ascii="Abadi" w:hAnsi="Abadi" w:cs="Arial"/>
          <w:sz w:val="21"/>
          <w:szCs w:val="21"/>
        </w:rPr>
        <w:t>efectos</w:t>
      </w:r>
      <w:r w:rsidRPr="007C2763">
        <w:rPr>
          <w:rFonts w:ascii="Abadi" w:hAnsi="Abadi" w:cs="Arial"/>
          <w:spacing w:val="7"/>
          <w:sz w:val="21"/>
          <w:szCs w:val="21"/>
        </w:rPr>
        <w:t xml:space="preserve"> </w:t>
      </w:r>
      <w:r w:rsidRPr="007C2763">
        <w:rPr>
          <w:rFonts w:ascii="Abadi" w:hAnsi="Abadi" w:cs="Arial"/>
          <w:sz w:val="21"/>
          <w:szCs w:val="21"/>
        </w:rPr>
        <w:t>de</w:t>
      </w:r>
      <w:r w:rsidRPr="007C2763">
        <w:rPr>
          <w:rFonts w:ascii="Abadi" w:hAnsi="Abadi" w:cs="Arial"/>
          <w:spacing w:val="8"/>
          <w:sz w:val="21"/>
          <w:szCs w:val="21"/>
        </w:rPr>
        <w:t xml:space="preserve"> </w:t>
      </w:r>
      <w:r w:rsidRPr="007C2763">
        <w:rPr>
          <w:rFonts w:ascii="Abadi" w:hAnsi="Abadi" w:cs="Arial"/>
          <w:sz w:val="21"/>
          <w:szCs w:val="21"/>
        </w:rPr>
        <w:t>estudio</w:t>
      </w:r>
      <w:r w:rsidRPr="007C2763">
        <w:rPr>
          <w:rFonts w:ascii="Abadi" w:hAnsi="Abadi" w:cs="Arial"/>
          <w:spacing w:val="8"/>
          <w:sz w:val="21"/>
          <w:szCs w:val="21"/>
        </w:rPr>
        <w:t xml:space="preserve"> </w:t>
      </w:r>
      <w:r w:rsidRPr="007C2763">
        <w:rPr>
          <w:rFonts w:ascii="Abadi" w:hAnsi="Abadi" w:cs="Arial"/>
          <w:sz w:val="21"/>
          <w:szCs w:val="21"/>
        </w:rPr>
        <w:t>y</w:t>
      </w:r>
      <w:r w:rsidRPr="007C2763">
        <w:rPr>
          <w:rFonts w:ascii="Abadi" w:hAnsi="Abadi" w:cs="Arial"/>
          <w:spacing w:val="5"/>
          <w:sz w:val="21"/>
          <w:szCs w:val="21"/>
        </w:rPr>
        <w:t xml:space="preserve"> </w:t>
      </w:r>
      <w:r w:rsidRPr="007C2763">
        <w:rPr>
          <w:rFonts w:ascii="Abadi" w:hAnsi="Abadi" w:cs="Arial"/>
          <w:sz w:val="21"/>
          <w:szCs w:val="21"/>
        </w:rPr>
        <w:t>dictamen,</w:t>
      </w:r>
      <w:r w:rsidRPr="007C2763">
        <w:rPr>
          <w:rFonts w:ascii="Abadi" w:hAnsi="Abadi" w:cs="Arial"/>
          <w:spacing w:val="8"/>
          <w:sz w:val="21"/>
          <w:szCs w:val="21"/>
        </w:rPr>
        <w:t xml:space="preserve"> </w:t>
      </w:r>
      <w:r w:rsidRPr="007C2763">
        <w:rPr>
          <w:rFonts w:ascii="Abadi" w:hAnsi="Abadi" w:cs="Arial"/>
          <w:sz w:val="21"/>
          <w:szCs w:val="21"/>
        </w:rPr>
        <w:t>la</w:t>
      </w:r>
      <w:r w:rsidRPr="007C2763">
        <w:rPr>
          <w:rFonts w:ascii="Abadi" w:hAnsi="Abadi" w:cs="Arial"/>
          <w:spacing w:val="9"/>
          <w:sz w:val="21"/>
          <w:szCs w:val="21"/>
        </w:rPr>
        <w:t xml:space="preserve"> </w:t>
      </w:r>
      <w:r w:rsidRPr="007C2763">
        <w:rPr>
          <w:rFonts w:ascii="Abadi" w:hAnsi="Abadi" w:cs="Arial"/>
          <w:sz w:val="21"/>
          <w:szCs w:val="21"/>
        </w:rPr>
        <w:t>iniciativa</w:t>
      </w:r>
      <w:r w:rsidRPr="007C2763">
        <w:rPr>
          <w:rFonts w:ascii="Abadi" w:hAnsi="Abadi" w:cs="Arial"/>
          <w:spacing w:val="8"/>
          <w:sz w:val="21"/>
          <w:szCs w:val="21"/>
        </w:rPr>
        <w:t xml:space="preserve"> </w:t>
      </w:r>
      <w:r w:rsidRPr="007C2763">
        <w:rPr>
          <w:rFonts w:ascii="Abadi" w:hAnsi="Abadi" w:cs="Arial"/>
          <w:sz w:val="21"/>
          <w:szCs w:val="21"/>
        </w:rPr>
        <w:t>por</w:t>
      </w:r>
      <w:r w:rsidRPr="007C2763">
        <w:rPr>
          <w:rFonts w:ascii="Abadi" w:hAnsi="Abadi" w:cs="Arial"/>
          <w:spacing w:val="6"/>
          <w:sz w:val="21"/>
          <w:szCs w:val="21"/>
        </w:rPr>
        <w:t xml:space="preserve"> </w:t>
      </w:r>
      <w:r w:rsidRPr="007C2763">
        <w:rPr>
          <w:rFonts w:ascii="Abadi" w:hAnsi="Abadi" w:cs="Arial"/>
          <w:sz w:val="21"/>
          <w:szCs w:val="21"/>
        </w:rPr>
        <w:t>la</w:t>
      </w:r>
      <w:r w:rsidRPr="007C2763">
        <w:rPr>
          <w:rFonts w:ascii="Abadi" w:hAnsi="Abadi" w:cs="Arial"/>
          <w:spacing w:val="6"/>
          <w:sz w:val="21"/>
          <w:szCs w:val="21"/>
        </w:rPr>
        <w:t xml:space="preserve"> </w:t>
      </w:r>
      <w:r w:rsidRPr="007C2763">
        <w:rPr>
          <w:rFonts w:ascii="Abadi" w:hAnsi="Abadi" w:cs="Arial"/>
          <w:sz w:val="21"/>
          <w:szCs w:val="21"/>
        </w:rPr>
        <w:t>que</w:t>
      </w:r>
      <w:r w:rsidRPr="007C2763">
        <w:rPr>
          <w:rFonts w:ascii="Abadi" w:hAnsi="Abadi" w:cs="Arial"/>
          <w:spacing w:val="6"/>
          <w:sz w:val="21"/>
          <w:szCs w:val="21"/>
        </w:rPr>
        <w:t xml:space="preserve"> </w:t>
      </w:r>
      <w:r w:rsidRPr="007C2763">
        <w:rPr>
          <w:rFonts w:ascii="Abadi" w:hAnsi="Abadi" w:cs="Arial"/>
          <w:sz w:val="21"/>
          <w:szCs w:val="21"/>
        </w:rPr>
        <w:t>se</w:t>
      </w:r>
      <w:r w:rsidRPr="007C2763">
        <w:rPr>
          <w:rFonts w:ascii="Abadi" w:hAnsi="Abadi" w:cs="Arial"/>
          <w:spacing w:val="8"/>
          <w:sz w:val="21"/>
          <w:szCs w:val="21"/>
        </w:rPr>
        <w:t xml:space="preserve"> </w:t>
      </w:r>
      <w:r w:rsidRPr="007C2763">
        <w:rPr>
          <w:rFonts w:ascii="Abadi" w:hAnsi="Abadi" w:cs="Arial"/>
          <w:sz w:val="21"/>
          <w:szCs w:val="21"/>
        </w:rPr>
        <w:t>reforma</w:t>
      </w:r>
      <w:r w:rsidRPr="007C2763">
        <w:rPr>
          <w:rFonts w:ascii="Abadi" w:hAnsi="Abadi" w:cs="Arial"/>
          <w:spacing w:val="-4"/>
          <w:sz w:val="21"/>
          <w:szCs w:val="21"/>
        </w:rPr>
        <w:t xml:space="preserve"> </w:t>
      </w:r>
      <w:r w:rsidRPr="007C2763">
        <w:rPr>
          <w:rFonts w:ascii="Abadi" w:hAnsi="Abadi" w:cs="Arial"/>
          <w:sz w:val="21"/>
          <w:szCs w:val="21"/>
        </w:rPr>
        <w:t>el</w:t>
      </w:r>
      <w:r w:rsidRPr="007C2763">
        <w:rPr>
          <w:rFonts w:ascii="Abadi" w:hAnsi="Abadi" w:cs="Arial"/>
          <w:spacing w:val="12"/>
          <w:sz w:val="21"/>
          <w:szCs w:val="21"/>
        </w:rPr>
        <w:t xml:space="preserve"> </w:t>
      </w:r>
      <w:r w:rsidRPr="007C2763">
        <w:rPr>
          <w:rFonts w:ascii="Abadi" w:hAnsi="Abadi" w:cs="Arial"/>
          <w:sz w:val="21"/>
          <w:szCs w:val="21"/>
        </w:rPr>
        <w:t>artículo</w:t>
      </w:r>
      <w:r w:rsidRPr="007C2763">
        <w:rPr>
          <w:rFonts w:ascii="Abadi" w:hAnsi="Abadi" w:cs="Arial"/>
          <w:spacing w:val="13"/>
          <w:sz w:val="21"/>
          <w:szCs w:val="21"/>
        </w:rPr>
        <w:t xml:space="preserve"> </w:t>
      </w:r>
      <w:r w:rsidRPr="007C2763">
        <w:rPr>
          <w:rFonts w:ascii="Abadi" w:hAnsi="Abadi" w:cs="Arial"/>
          <w:sz w:val="21"/>
          <w:szCs w:val="21"/>
        </w:rPr>
        <w:t>19</w:t>
      </w:r>
      <w:r w:rsidRPr="007C2763">
        <w:rPr>
          <w:rFonts w:ascii="Abadi" w:hAnsi="Abadi" w:cs="Arial"/>
          <w:spacing w:val="13"/>
          <w:sz w:val="21"/>
          <w:szCs w:val="21"/>
        </w:rPr>
        <w:t xml:space="preserve"> </w:t>
      </w:r>
      <w:r w:rsidRPr="007C2763">
        <w:rPr>
          <w:rFonts w:ascii="Abadi" w:hAnsi="Abadi" w:cs="Arial"/>
          <w:sz w:val="21"/>
          <w:szCs w:val="21"/>
        </w:rPr>
        <w:t>de</w:t>
      </w:r>
      <w:r w:rsidRPr="007C2763">
        <w:rPr>
          <w:rFonts w:ascii="Abadi" w:hAnsi="Abadi" w:cs="Arial"/>
          <w:spacing w:val="13"/>
          <w:sz w:val="21"/>
          <w:szCs w:val="21"/>
        </w:rPr>
        <w:t xml:space="preserve"> </w:t>
      </w:r>
      <w:r w:rsidRPr="007C2763">
        <w:rPr>
          <w:rFonts w:ascii="Abadi" w:hAnsi="Abadi" w:cs="Arial"/>
          <w:sz w:val="21"/>
          <w:szCs w:val="21"/>
        </w:rPr>
        <w:t>la</w:t>
      </w:r>
      <w:r w:rsidRPr="007C2763">
        <w:rPr>
          <w:rFonts w:ascii="Abadi" w:hAnsi="Abadi" w:cs="Arial"/>
          <w:spacing w:val="11"/>
          <w:sz w:val="21"/>
          <w:szCs w:val="21"/>
        </w:rPr>
        <w:t xml:space="preserve"> </w:t>
      </w:r>
      <w:r w:rsidRPr="007C2763">
        <w:rPr>
          <w:rFonts w:ascii="Abadi" w:hAnsi="Abadi" w:cs="Arial"/>
          <w:sz w:val="21"/>
          <w:szCs w:val="21"/>
        </w:rPr>
        <w:t>Ley</w:t>
      </w:r>
      <w:r w:rsidRPr="007C2763">
        <w:rPr>
          <w:rFonts w:ascii="Abadi" w:hAnsi="Abadi" w:cs="Arial"/>
          <w:spacing w:val="12"/>
          <w:sz w:val="21"/>
          <w:szCs w:val="21"/>
        </w:rPr>
        <w:t xml:space="preserve"> </w:t>
      </w:r>
      <w:r w:rsidRPr="007C2763">
        <w:rPr>
          <w:rFonts w:ascii="Abadi" w:hAnsi="Abadi" w:cs="Arial"/>
          <w:sz w:val="21"/>
          <w:szCs w:val="21"/>
        </w:rPr>
        <w:t>Orgánica</w:t>
      </w:r>
      <w:r w:rsidRPr="007C2763">
        <w:rPr>
          <w:rFonts w:ascii="Abadi" w:hAnsi="Abadi" w:cs="Arial"/>
          <w:spacing w:val="13"/>
          <w:sz w:val="21"/>
          <w:szCs w:val="21"/>
        </w:rPr>
        <w:t xml:space="preserve"> </w:t>
      </w:r>
      <w:r w:rsidRPr="007C2763">
        <w:rPr>
          <w:rFonts w:ascii="Abadi" w:hAnsi="Abadi" w:cs="Arial"/>
          <w:sz w:val="21"/>
          <w:szCs w:val="21"/>
        </w:rPr>
        <w:t>Municipal</w:t>
      </w:r>
      <w:r w:rsidRPr="007C2763">
        <w:rPr>
          <w:rFonts w:ascii="Abadi" w:hAnsi="Abadi" w:cs="Arial"/>
          <w:spacing w:val="9"/>
          <w:sz w:val="21"/>
          <w:szCs w:val="21"/>
        </w:rPr>
        <w:t xml:space="preserve"> </w:t>
      </w:r>
      <w:r w:rsidRPr="007C2763">
        <w:rPr>
          <w:rFonts w:ascii="Abadi" w:hAnsi="Abadi" w:cs="Arial"/>
          <w:sz w:val="21"/>
          <w:szCs w:val="21"/>
        </w:rPr>
        <w:t>para</w:t>
      </w:r>
      <w:r w:rsidRPr="007C2763">
        <w:rPr>
          <w:rFonts w:ascii="Abadi" w:hAnsi="Abadi" w:cs="Arial"/>
          <w:spacing w:val="11"/>
          <w:sz w:val="21"/>
          <w:szCs w:val="21"/>
        </w:rPr>
        <w:t xml:space="preserve"> </w:t>
      </w:r>
      <w:r w:rsidRPr="007C2763">
        <w:rPr>
          <w:rFonts w:ascii="Abadi" w:hAnsi="Abadi" w:cs="Arial"/>
          <w:sz w:val="21"/>
          <w:szCs w:val="21"/>
        </w:rPr>
        <w:t>el</w:t>
      </w:r>
      <w:r w:rsidRPr="007C2763">
        <w:rPr>
          <w:rFonts w:ascii="Abadi" w:hAnsi="Abadi" w:cs="Arial"/>
          <w:spacing w:val="12"/>
          <w:sz w:val="21"/>
          <w:szCs w:val="21"/>
        </w:rPr>
        <w:t xml:space="preserve"> </w:t>
      </w:r>
      <w:r w:rsidRPr="007C2763">
        <w:rPr>
          <w:rFonts w:ascii="Abadi" w:hAnsi="Abadi" w:cs="Arial"/>
          <w:sz w:val="21"/>
          <w:szCs w:val="21"/>
        </w:rPr>
        <w:t>Estado</w:t>
      </w:r>
      <w:r w:rsidRPr="007C2763">
        <w:rPr>
          <w:rFonts w:ascii="Abadi" w:hAnsi="Abadi" w:cs="Arial"/>
          <w:spacing w:val="11"/>
          <w:sz w:val="21"/>
          <w:szCs w:val="21"/>
        </w:rPr>
        <w:t xml:space="preserve"> </w:t>
      </w:r>
      <w:r w:rsidRPr="007C2763">
        <w:rPr>
          <w:rFonts w:ascii="Abadi" w:hAnsi="Abadi" w:cs="Arial"/>
          <w:sz w:val="21"/>
          <w:szCs w:val="21"/>
        </w:rPr>
        <w:t>de</w:t>
      </w:r>
      <w:r w:rsidRPr="007C2763">
        <w:rPr>
          <w:rFonts w:ascii="Abadi" w:hAnsi="Abadi" w:cs="Arial"/>
          <w:spacing w:val="11"/>
          <w:sz w:val="21"/>
          <w:szCs w:val="21"/>
        </w:rPr>
        <w:t xml:space="preserve"> </w:t>
      </w:r>
      <w:r w:rsidRPr="007C2763">
        <w:rPr>
          <w:rFonts w:ascii="Abadi" w:hAnsi="Abadi" w:cs="Arial"/>
          <w:sz w:val="21"/>
          <w:szCs w:val="21"/>
        </w:rPr>
        <w:t>Guanajuato</w:t>
      </w:r>
      <w:r w:rsidRPr="007C2763">
        <w:rPr>
          <w:rFonts w:ascii="Abadi" w:hAnsi="Abadi" w:cs="Arial"/>
          <w:spacing w:val="13"/>
          <w:sz w:val="21"/>
          <w:szCs w:val="21"/>
        </w:rPr>
        <w:t xml:space="preserve"> </w:t>
      </w:r>
      <w:r w:rsidRPr="007C2763">
        <w:rPr>
          <w:rFonts w:ascii="Abadi" w:hAnsi="Abadi" w:cs="Arial"/>
          <w:sz w:val="21"/>
          <w:szCs w:val="21"/>
        </w:rPr>
        <w:t>suscrita</w:t>
      </w:r>
      <w:r w:rsidRPr="007C2763">
        <w:rPr>
          <w:rFonts w:ascii="Abadi" w:hAnsi="Abadi" w:cs="Arial"/>
          <w:spacing w:val="-1"/>
          <w:sz w:val="21"/>
          <w:szCs w:val="21"/>
        </w:rPr>
        <w:t xml:space="preserve"> </w:t>
      </w:r>
      <w:r w:rsidRPr="007C2763">
        <w:rPr>
          <w:rFonts w:ascii="Abadi" w:hAnsi="Abadi" w:cs="Arial"/>
          <w:sz w:val="21"/>
          <w:szCs w:val="21"/>
        </w:rPr>
        <w:t>por</w:t>
      </w:r>
      <w:r w:rsidRPr="007C2763">
        <w:rPr>
          <w:rFonts w:ascii="Abadi" w:hAnsi="Abadi" w:cs="Arial"/>
          <w:spacing w:val="14"/>
          <w:sz w:val="21"/>
          <w:szCs w:val="21"/>
        </w:rPr>
        <w:t xml:space="preserve"> </w:t>
      </w:r>
      <w:r w:rsidRPr="007C2763">
        <w:rPr>
          <w:rFonts w:ascii="Abadi" w:hAnsi="Abadi" w:cs="Arial"/>
          <w:sz w:val="21"/>
          <w:szCs w:val="21"/>
        </w:rPr>
        <w:t>diputadas</w:t>
      </w:r>
      <w:r w:rsidRPr="007C2763">
        <w:rPr>
          <w:rFonts w:ascii="Abadi" w:hAnsi="Abadi" w:cs="Arial"/>
          <w:spacing w:val="14"/>
          <w:sz w:val="21"/>
          <w:szCs w:val="21"/>
        </w:rPr>
        <w:t xml:space="preserve"> </w:t>
      </w:r>
      <w:r w:rsidRPr="007C2763">
        <w:rPr>
          <w:rFonts w:ascii="Abadi" w:hAnsi="Abadi" w:cs="Arial"/>
          <w:sz w:val="21"/>
          <w:szCs w:val="21"/>
        </w:rPr>
        <w:t>y</w:t>
      </w:r>
      <w:r w:rsidRPr="007C2763">
        <w:rPr>
          <w:rFonts w:ascii="Abadi" w:hAnsi="Abadi" w:cs="Arial"/>
          <w:spacing w:val="14"/>
          <w:sz w:val="21"/>
          <w:szCs w:val="21"/>
        </w:rPr>
        <w:t xml:space="preserve"> </w:t>
      </w:r>
      <w:r w:rsidRPr="007C2763">
        <w:rPr>
          <w:rFonts w:ascii="Abadi" w:hAnsi="Abadi" w:cs="Arial"/>
          <w:sz w:val="21"/>
          <w:szCs w:val="21"/>
        </w:rPr>
        <w:t>diputados</w:t>
      </w:r>
      <w:r w:rsidRPr="007C2763">
        <w:rPr>
          <w:rFonts w:ascii="Abadi" w:hAnsi="Abadi" w:cs="Arial"/>
          <w:spacing w:val="14"/>
          <w:sz w:val="21"/>
          <w:szCs w:val="21"/>
        </w:rPr>
        <w:t xml:space="preserve"> </w:t>
      </w:r>
      <w:r w:rsidRPr="007C2763">
        <w:rPr>
          <w:rFonts w:ascii="Abadi" w:hAnsi="Abadi" w:cs="Arial"/>
          <w:sz w:val="21"/>
          <w:szCs w:val="21"/>
        </w:rPr>
        <w:t>integrantes</w:t>
      </w:r>
      <w:r w:rsidRPr="007C2763">
        <w:rPr>
          <w:rFonts w:ascii="Abadi" w:hAnsi="Abadi" w:cs="Arial"/>
          <w:spacing w:val="14"/>
          <w:sz w:val="21"/>
          <w:szCs w:val="21"/>
        </w:rPr>
        <w:t xml:space="preserve"> </w:t>
      </w:r>
      <w:r w:rsidRPr="007C2763">
        <w:rPr>
          <w:rFonts w:ascii="Abadi" w:hAnsi="Abadi" w:cs="Arial"/>
          <w:sz w:val="21"/>
          <w:szCs w:val="21"/>
        </w:rPr>
        <w:t>del</w:t>
      </w:r>
      <w:r w:rsidRPr="007C2763">
        <w:rPr>
          <w:rFonts w:ascii="Abadi" w:hAnsi="Abadi" w:cs="Arial"/>
          <w:spacing w:val="14"/>
          <w:sz w:val="21"/>
          <w:szCs w:val="21"/>
        </w:rPr>
        <w:t xml:space="preserve"> </w:t>
      </w:r>
      <w:r w:rsidRPr="007C2763">
        <w:rPr>
          <w:rFonts w:ascii="Abadi" w:hAnsi="Abadi" w:cs="Arial"/>
          <w:sz w:val="21"/>
          <w:szCs w:val="21"/>
        </w:rPr>
        <w:t>Grupo</w:t>
      </w:r>
      <w:r w:rsidRPr="007C2763">
        <w:rPr>
          <w:rFonts w:ascii="Abadi" w:hAnsi="Abadi" w:cs="Arial"/>
          <w:spacing w:val="15"/>
          <w:sz w:val="21"/>
          <w:szCs w:val="21"/>
        </w:rPr>
        <w:t xml:space="preserve"> </w:t>
      </w:r>
      <w:r w:rsidRPr="007C2763">
        <w:rPr>
          <w:rFonts w:ascii="Abadi" w:hAnsi="Abadi" w:cs="Arial"/>
          <w:sz w:val="21"/>
          <w:szCs w:val="21"/>
        </w:rPr>
        <w:t>Parlamentario</w:t>
      </w:r>
      <w:r w:rsidRPr="007C2763">
        <w:rPr>
          <w:rFonts w:ascii="Abadi" w:hAnsi="Abadi" w:cs="Arial"/>
          <w:spacing w:val="15"/>
          <w:sz w:val="21"/>
          <w:szCs w:val="21"/>
        </w:rPr>
        <w:t xml:space="preserve"> </w:t>
      </w:r>
      <w:r w:rsidRPr="007C2763">
        <w:rPr>
          <w:rFonts w:ascii="Abadi" w:hAnsi="Abadi" w:cs="Arial"/>
          <w:sz w:val="21"/>
          <w:szCs w:val="21"/>
        </w:rPr>
        <w:t>del</w:t>
      </w:r>
      <w:r w:rsidRPr="007C2763">
        <w:rPr>
          <w:rFonts w:ascii="Abadi" w:hAnsi="Abadi" w:cs="Arial"/>
          <w:spacing w:val="12"/>
          <w:sz w:val="21"/>
          <w:szCs w:val="21"/>
        </w:rPr>
        <w:t xml:space="preserve"> </w:t>
      </w:r>
      <w:r w:rsidRPr="007C2763">
        <w:rPr>
          <w:rFonts w:ascii="Abadi" w:hAnsi="Abadi" w:cs="Arial"/>
          <w:sz w:val="21"/>
          <w:szCs w:val="21"/>
        </w:rPr>
        <w:t>Partido</w:t>
      </w:r>
      <w:r w:rsidRPr="007C2763">
        <w:rPr>
          <w:rFonts w:ascii="Abadi" w:hAnsi="Abadi" w:cs="Arial"/>
          <w:spacing w:val="15"/>
          <w:sz w:val="21"/>
          <w:szCs w:val="21"/>
        </w:rPr>
        <w:t xml:space="preserve"> </w:t>
      </w:r>
      <w:r w:rsidRPr="007C2763">
        <w:rPr>
          <w:rFonts w:ascii="Abadi" w:hAnsi="Abadi" w:cs="Arial"/>
          <w:sz w:val="21"/>
          <w:szCs w:val="21"/>
        </w:rPr>
        <w:t>Acción Nacional</w:t>
      </w:r>
      <w:r w:rsidRPr="007C2763">
        <w:rPr>
          <w:rFonts w:ascii="Abadi" w:hAnsi="Abadi" w:cs="Arial"/>
          <w:spacing w:val="19"/>
          <w:sz w:val="21"/>
          <w:szCs w:val="21"/>
        </w:rPr>
        <w:t xml:space="preserve"> </w:t>
      </w:r>
      <w:r w:rsidRPr="007C2763">
        <w:rPr>
          <w:rFonts w:ascii="Abadi" w:hAnsi="Abadi" w:cs="Arial"/>
          <w:sz w:val="21"/>
          <w:szCs w:val="21"/>
        </w:rPr>
        <w:t>de</w:t>
      </w:r>
      <w:r w:rsidRPr="007C2763">
        <w:rPr>
          <w:rFonts w:ascii="Abadi" w:hAnsi="Abadi" w:cs="Arial"/>
          <w:spacing w:val="21"/>
          <w:sz w:val="21"/>
          <w:szCs w:val="21"/>
        </w:rPr>
        <w:t xml:space="preserve"> </w:t>
      </w:r>
      <w:r w:rsidRPr="007C2763">
        <w:rPr>
          <w:rFonts w:ascii="Abadi" w:hAnsi="Abadi" w:cs="Arial"/>
          <w:sz w:val="21"/>
          <w:szCs w:val="21"/>
        </w:rPr>
        <w:t>la</w:t>
      </w:r>
      <w:r w:rsidRPr="007C2763">
        <w:rPr>
          <w:rFonts w:ascii="Abadi" w:hAnsi="Abadi" w:cs="Arial"/>
          <w:spacing w:val="18"/>
          <w:sz w:val="21"/>
          <w:szCs w:val="21"/>
        </w:rPr>
        <w:t xml:space="preserve"> </w:t>
      </w:r>
      <w:r w:rsidRPr="007C2763">
        <w:rPr>
          <w:rFonts w:ascii="Abadi" w:hAnsi="Abadi" w:cs="Arial"/>
          <w:sz w:val="21"/>
          <w:szCs w:val="21"/>
        </w:rPr>
        <w:t>Sexagésima</w:t>
      </w:r>
      <w:r w:rsidRPr="007C2763">
        <w:rPr>
          <w:rFonts w:ascii="Abadi" w:hAnsi="Abadi" w:cs="Arial"/>
          <w:spacing w:val="21"/>
          <w:sz w:val="21"/>
          <w:szCs w:val="21"/>
        </w:rPr>
        <w:t xml:space="preserve"> </w:t>
      </w:r>
      <w:r w:rsidRPr="007C2763">
        <w:rPr>
          <w:rFonts w:ascii="Abadi" w:hAnsi="Abadi" w:cs="Arial"/>
          <w:sz w:val="21"/>
          <w:szCs w:val="21"/>
        </w:rPr>
        <w:t>Cuarta</w:t>
      </w:r>
      <w:r w:rsidRPr="007C2763">
        <w:rPr>
          <w:rFonts w:ascii="Abadi" w:hAnsi="Abadi" w:cs="Arial"/>
          <w:spacing w:val="21"/>
          <w:sz w:val="21"/>
          <w:szCs w:val="21"/>
        </w:rPr>
        <w:t xml:space="preserve"> </w:t>
      </w:r>
      <w:r w:rsidRPr="007C2763">
        <w:rPr>
          <w:rFonts w:ascii="Abadi" w:hAnsi="Abadi" w:cs="Arial"/>
          <w:sz w:val="21"/>
          <w:szCs w:val="21"/>
        </w:rPr>
        <w:t>Legislatura</w:t>
      </w:r>
      <w:r w:rsidRPr="007C2763">
        <w:rPr>
          <w:rFonts w:ascii="Abadi" w:hAnsi="Abadi" w:cs="Arial"/>
          <w:spacing w:val="21"/>
          <w:sz w:val="21"/>
          <w:szCs w:val="21"/>
        </w:rPr>
        <w:t xml:space="preserve"> </w:t>
      </w:r>
      <w:r w:rsidRPr="007C2763">
        <w:rPr>
          <w:rFonts w:ascii="Abadi" w:hAnsi="Abadi" w:cs="Arial"/>
          <w:sz w:val="21"/>
          <w:szCs w:val="21"/>
        </w:rPr>
        <w:t>del</w:t>
      </w:r>
      <w:r w:rsidRPr="007C2763">
        <w:rPr>
          <w:rFonts w:ascii="Abadi" w:hAnsi="Abadi" w:cs="Arial"/>
          <w:spacing w:val="19"/>
          <w:sz w:val="21"/>
          <w:szCs w:val="21"/>
        </w:rPr>
        <w:t xml:space="preserve"> </w:t>
      </w:r>
      <w:r w:rsidRPr="007C2763">
        <w:rPr>
          <w:rFonts w:ascii="Abadi" w:hAnsi="Abadi" w:cs="Arial"/>
          <w:sz w:val="21"/>
          <w:szCs w:val="21"/>
        </w:rPr>
        <w:t>Congreso</w:t>
      </w:r>
      <w:r w:rsidRPr="007C2763">
        <w:rPr>
          <w:rFonts w:ascii="Abadi" w:hAnsi="Abadi" w:cs="Arial"/>
          <w:spacing w:val="21"/>
          <w:sz w:val="21"/>
          <w:szCs w:val="21"/>
        </w:rPr>
        <w:t xml:space="preserve"> </w:t>
      </w:r>
      <w:r w:rsidRPr="007C2763">
        <w:rPr>
          <w:rFonts w:ascii="Abadi" w:hAnsi="Abadi" w:cs="Arial"/>
          <w:sz w:val="21"/>
          <w:szCs w:val="21"/>
        </w:rPr>
        <w:t>del</w:t>
      </w:r>
      <w:r w:rsidRPr="007C2763">
        <w:rPr>
          <w:rFonts w:ascii="Abadi" w:hAnsi="Abadi" w:cs="Arial"/>
          <w:spacing w:val="19"/>
          <w:sz w:val="21"/>
          <w:szCs w:val="21"/>
        </w:rPr>
        <w:t xml:space="preserve"> </w:t>
      </w:r>
      <w:r w:rsidRPr="007C2763">
        <w:rPr>
          <w:rFonts w:ascii="Abadi" w:hAnsi="Abadi" w:cs="Arial"/>
          <w:sz w:val="21"/>
          <w:szCs w:val="21"/>
        </w:rPr>
        <w:t>Estado</w:t>
      </w:r>
      <w:r w:rsidRPr="007C2763">
        <w:rPr>
          <w:rFonts w:ascii="Abadi" w:hAnsi="Abadi" w:cs="Arial"/>
          <w:spacing w:val="21"/>
          <w:sz w:val="21"/>
          <w:szCs w:val="21"/>
        </w:rPr>
        <w:t xml:space="preserve"> </w:t>
      </w:r>
      <w:r w:rsidRPr="007C2763">
        <w:rPr>
          <w:rFonts w:ascii="Abadi" w:hAnsi="Abadi" w:cs="Arial"/>
          <w:sz w:val="21"/>
          <w:szCs w:val="21"/>
        </w:rPr>
        <w:t>de Guanajuato.</w:t>
      </w:r>
    </w:p>
    <w:p w14:paraId="55302ACC" w14:textId="77777777" w:rsidR="00374A1E" w:rsidRPr="007C2763" w:rsidRDefault="00374A1E" w:rsidP="00374A1E">
      <w:pPr>
        <w:kinsoku w:val="0"/>
        <w:overflowPunct w:val="0"/>
        <w:autoSpaceDE w:val="0"/>
        <w:autoSpaceDN w:val="0"/>
        <w:adjustRightInd w:val="0"/>
        <w:jc w:val="both"/>
        <w:rPr>
          <w:rFonts w:ascii="Abadi" w:hAnsi="Abadi" w:cs="Arial"/>
          <w:sz w:val="21"/>
          <w:szCs w:val="21"/>
        </w:rPr>
      </w:pPr>
    </w:p>
    <w:p w14:paraId="33E6B97D" w14:textId="77777777" w:rsidR="00374A1E" w:rsidRPr="007C2763" w:rsidRDefault="00374A1E" w:rsidP="00374A1E">
      <w:pPr>
        <w:kinsoku w:val="0"/>
        <w:overflowPunct w:val="0"/>
        <w:autoSpaceDE w:val="0"/>
        <w:autoSpaceDN w:val="0"/>
        <w:adjustRightInd w:val="0"/>
        <w:ind w:left="40"/>
        <w:jc w:val="both"/>
        <w:outlineLvl w:val="0"/>
        <w:rPr>
          <w:rFonts w:ascii="Abadi" w:hAnsi="Abadi" w:cs="Arial"/>
          <w:b/>
          <w:bCs/>
          <w:sz w:val="21"/>
          <w:szCs w:val="21"/>
        </w:rPr>
      </w:pPr>
      <w:r w:rsidRPr="007C2763">
        <w:rPr>
          <w:rFonts w:ascii="Abadi" w:hAnsi="Abadi" w:cs="Arial"/>
          <w:b/>
          <w:bCs/>
          <w:sz w:val="21"/>
          <w:szCs w:val="21"/>
        </w:rPr>
        <w:t>Propósito de</w:t>
      </w:r>
      <w:r w:rsidRPr="007C2763">
        <w:rPr>
          <w:rFonts w:ascii="Abadi" w:hAnsi="Abadi" w:cs="Arial"/>
          <w:b/>
          <w:bCs/>
          <w:spacing w:val="1"/>
          <w:sz w:val="21"/>
          <w:szCs w:val="21"/>
        </w:rPr>
        <w:t xml:space="preserve"> </w:t>
      </w:r>
      <w:r w:rsidRPr="007C2763">
        <w:rPr>
          <w:rFonts w:ascii="Abadi" w:hAnsi="Abadi" w:cs="Arial"/>
          <w:b/>
          <w:bCs/>
          <w:sz w:val="21"/>
          <w:szCs w:val="21"/>
        </w:rPr>
        <w:t>la</w:t>
      </w:r>
      <w:r w:rsidRPr="007C2763">
        <w:rPr>
          <w:rFonts w:ascii="Abadi" w:hAnsi="Abadi" w:cs="Arial"/>
          <w:b/>
          <w:bCs/>
          <w:spacing w:val="1"/>
          <w:sz w:val="21"/>
          <w:szCs w:val="21"/>
        </w:rPr>
        <w:t xml:space="preserve"> </w:t>
      </w:r>
      <w:r w:rsidRPr="007C2763">
        <w:rPr>
          <w:rFonts w:ascii="Abadi" w:hAnsi="Abadi" w:cs="Arial"/>
          <w:b/>
          <w:bCs/>
          <w:sz w:val="21"/>
          <w:szCs w:val="21"/>
        </w:rPr>
        <w:t>iniciativa.</w:t>
      </w:r>
    </w:p>
    <w:p w14:paraId="3566C109" w14:textId="77777777" w:rsidR="00374A1E" w:rsidRPr="007C2763" w:rsidRDefault="00374A1E" w:rsidP="00374A1E">
      <w:pPr>
        <w:kinsoku w:val="0"/>
        <w:overflowPunct w:val="0"/>
        <w:autoSpaceDE w:val="0"/>
        <w:autoSpaceDN w:val="0"/>
        <w:adjustRightInd w:val="0"/>
        <w:jc w:val="both"/>
        <w:rPr>
          <w:rFonts w:ascii="Abadi" w:hAnsi="Abadi" w:cs="Arial"/>
          <w:b/>
          <w:bCs/>
          <w:sz w:val="21"/>
          <w:szCs w:val="21"/>
        </w:rPr>
      </w:pPr>
    </w:p>
    <w:p w14:paraId="50C5B892" w14:textId="1AF15F7B" w:rsidR="00374A1E" w:rsidRPr="007C2763" w:rsidRDefault="00374A1E" w:rsidP="00991CA8">
      <w:pPr>
        <w:kinsoku w:val="0"/>
        <w:overflowPunct w:val="0"/>
        <w:autoSpaceDE w:val="0"/>
        <w:autoSpaceDN w:val="0"/>
        <w:adjustRightInd w:val="0"/>
        <w:ind w:left="40" w:right="116" w:firstLine="708"/>
        <w:jc w:val="both"/>
        <w:rPr>
          <w:rFonts w:ascii="Abadi" w:hAnsi="Abadi" w:cs="Arial"/>
          <w:sz w:val="21"/>
          <w:szCs w:val="21"/>
        </w:rPr>
      </w:pPr>
      <w:r w:rsidRPr="007C2763">
        <w:rPr>
          <w:rFonts w:ascii="Abadi" w:hAnsi="Abadi" w:cs="Arial"/>
          <w:sz w:val="21"/>
          <w:szCs w:val="21"/>
        </w:rPr>
        <w:t>La</w:t>
      </w:r>
      <w:r w:rsidRPr="007C2763">
        <w:rPr>
          <w:rFonts w:ascii="Abadi" w:hAnsi="Abadi" w:cs="Arial"/>
          <w:spacing w:val="17"/>
          <w:sz w:val="21"/>
          <w:szCs w:val="21"/>
        </w:rPr>
        <w:t xml:space="preserve"> </w:t>
      </w:r>
      <w:r w:rsidRPr="007C2763">
        <w:rPr>
          <w:rFonts w:ascii="Abadi" w:hAnsi="Abadi" w:cs="Arial"/>
          <w:sz w:val="21"/>
          <w:szCs w:val="21"/>
        </w:rPr>
        <w:t>iniciativa</w:t>
      </w:r>
      <w:r w:rsidRPr="007C2763">
        <w:rPr>
          <w:rFonts w:ascii="Abadi" w:hAnsi="Abadi" w:cs="Arial"/>
          <w:spacing w:val="14"/>
          <w:sz w:val="21"/>
          <w:szCs w:val="21"/>
        </w:rPr>
        <w:t xml:space="preserve"> </w:t>
      </w:r>
      <w:r w:rsidRPr="007C2763">
        <w:rPr>
          <w:rFonts w:ascii="Abadi" w:hAnsi="Abadi" w:cs="Arial"/>
          <w:sz w:val="21"/>
          <w:szCs w:val="21"/>
        </w:rPr>
        <w:t>que</w:t>
      </w:r>
      <w:r w:rsidRPr="007C2763">
        <w:rPr>
          <w:rFonts w:ascii="Abadi" w:hAnsi="Abadi" w:cs="Arial"/>
          <w:spacing w:val="16"/>
          <w:sz w:val="21"/>
          <w:szCs w:val="21"/>
        </w:rPr>
        <w:t xml:space="preserve"> </w:t>
      </w:r>
      <w:r w:rsidRPr="007C2763">
        <w:rPr>
          <w:rFonts w:ascii="Abadi" w:hAnsi="Abadi" w:cs="Arial"/>
          <w:sz w:val="21"/>
          <w:szCs w:val="21"/>
        </w:rPr>
        <w:t>se</w:t>
      </w:r>
      <w:r w:rsidRPr="007C2763">
        <w:rPr>
          <w:rFonts w:ascii="Abadi" w:hAnsi="Abadi" w:cs="Arial"/>
          <w:spacing w:val="11"/>
          <w:sz w:val="21"/>
          <w:szCs w:val="21"/>
        </w:rPr>
        <w:t xml:space="preserve"> </w:t>
      </w:r>
      <w:r w:rsidRPr="007C2763">
        <w:rPr>
          <w:rFonts w:ascii="Abadi" w:hAnsi="Abadi" w:cs="Arial"/>
          <w:sz w:val="21"/>
          <w:szCs w:val="21"/>
        </w:rPr>
        <w:t>dictamina</w:t>
      </w:r>
      <w:r w:rsidRPr="007C2763">
        <w:rPr>
          <w:rFonts w:ascii="Abadi" w:hAnsi="Abadi" w:cs="Arial"/>
          <w:spacing w:val="13"/>
          <w:sz w:val="21"/>
          <w:szCs w:val="21"/>
        </w:rPr>
        <w:t xml:space="preserve"> </w:t>
      </w:r>
      <w:r w:rsidRPr="007C2763">
        <w:rPr>
          <w:rFonts w:ascii="Abadi" w:hAnsi="Abadi" w:cs="Arial"/>
          <w:sz w:val="21"/>
          <w:szCs w:val="21"/>
        </w:rPr>
        <w:t>tiene</w:t>
      </w:r>
      <w:r w:rsidRPr="007C2763">
        <w:rPr>
          <w:rFonts w:ascii="Abadi" w:hAnsi="Abadi" w:cs="Arial"/>
          <w:spacing w:val="13"/>
          <w:sz w:val="21"/>
          <w:szCs w:val="21"/>
        </w:rPr>
        <w:t xml:space="preserve"> </w:t>
      </w:r>
      <w:r w:rsidRPr="007C2763">
        <w:rPr>
          <w:rFonts w:ascii="Abadi" w:hAnsi="Abadi" w:cs="Arial"/>
          <w:sz w:val="21"/>
          <w:szCs w:val="21"/>
        </w:rPr>
        <w:t>por</w:t>
      </w:r>
      <w:r w:rsidRPr="007C2763">
        <w:rPr>
          <w:rFonts w:ascii="Abadi" w:hAnsi="Abadi" w:cs="Arial"/>
          <w:spacing w:val="9"/>
          <w:sz w:val="21"/>
          <w:szCs w:val="21"/>
        </w:rPr>
        <w:t xml:space="preserve"> </w:t>
      </w:r>
      <w:r w:rsidRPr="007C2763">
        <w:rPr>
          <w:rFonts w:ascii="Abadi" w:hAnsi="Abadi" w:cs="Arial"/>
          <w:sz w:val="21"/>
          <w:szCs w:val="21"/>
        </w:rPr>
        <w:t>objeto,</w:t>
      </w:r>
      <w:r w:rsidRPr="007C2763">
        <w:rPr>
          <w:rFonts w:ascii="Abadi" w:hAnsi="Abadi" w:cs="Arial"/>
          <w:spacing w:val="13"/>
          <w:sz w:val="21"/>
          <w:szCs w:val="21"/>
        </w:rPr>
        <w:t xml:space="preserve"> </w:t>
      </w:r>
      <w:r w:rsidRPr="007C2763">
        <w:rPr>
          <w:rFonts w:ascii="Abadi" w:hAnsi="Abadi" w:cs="Arial"/>
          <w:sz w:val="21"/>
          <w:szCs w:val="21"/>
        </w:rPr>
        <w:t>más</w:t>
      </w:r>
      <w:r w:rsidRPr="007C2763">
        <w:rPr>
          <w:rFonts w:ascii="Abadi" w:hAnsi="Abadi" w:cs="Arial"/>
          <w:spacing w:val="13"/>
          <w:sz w:val="21"/>
          <w:szCs w:val="21"/>
        </w:rPr>
        <w:t xml:space="preserve"> </w:t>
      </w:r>
      <w:r w:rsidRPr="007C2763">
        <w:rPr>
          <w:rFonts w:ascii="Abadi" w:hAnsi="Abadi" w:cs="Arial"/>
          <w:sz w:val="21"/>
          <w:szCs w:val="21"/>
        </w:rPr>
        <w:t>que</w:t>
      </w:r>
      <w:r w:rsidRPr="007C2763">
        <w:rPr>
          <w:rFonts w:ascii="Abadi" w:hAnsi="Abadi" w:cs="Arial"/>
          <w:spacing w:val="13"/>
          <w:sz w:val="21"/>
          <w:szCs w:val="21"/>
        </w:rPr>
        <w:t xml:space="preserve"> </w:t>
      </w:r>
      <w:r w:rsidRPr="007C2763">
        <w:rPr>
          <w:rFonts w:ascii="Abadi" w:hAnsi="Abadi" w:cs="Arial"/>
          <w:sz w:val="21"/>
          <w:szCs w:val="21"/>
        </w:rPr>
        <w:t>presentar</w:t>
      </w:r>
      <w:r w:rsidRPr="007C2763">
        <w:rPr>
          <w:rFonts w:ascii="Abadi" w:hAnsi="Abadi" w:cs="Arial"/>
          <w:spacing w:val="12"/>
          <w:sz w:val="21"/>
          <w:szCs w:val="21"/>
        </w:rPr>
        <w:t xml:space="preserve"> </w:t>
      </w:r>
      <w:r w:rsidRPr="007C2763">
        <w:rPr>
          <w:rFonts w:ascii="Abadi" w:hAnsi="Abadi" w:cs="Arial"/>
          <w:sz w:val="21"/>
          <w:szCs w:val="21"/>
        </w:rPr>
        <w:t>el</w:t>
      </w:r>
      <w:r w:rsidRPr="007C2763">
        <w:rPr>
          <w:rFonts w:ascii="Abadi" w:hAnsi="Abadi" w:cs="Arial"/>
          <w:spacing w:val="-1"/>
          <w:sz w:val="21"/>
          <w:szCs w:val="21"/>
        </w:rPr>
        <w:t xml:space="preserve"> </w:t>
      </w:r>
      <w:r w:rsidRPr="007C2763">
        <w:rPr>
          <w:rFonts w:ascii="Abadi" w:hAnsi="Abadi" w:cs="Arial"/>
          <w:sz w:val="21"/>
          <w:szCs w:val="21"/>
        </w:rPr>
        <w:t>planteamiento</w:t>
      </w:r>
      <w:r w:rsidRPr="007C2763">
        <w:rPr>
          <w:rFonts w:ascii="Abadi" w:hAnsi="Abadi" w:cs="Arial"/>
          <w:spacing w:val="23"/>
          <w:sz w:val="21"/>
          <w:szCs w:val="21"/>
        </w:rPr>
        <w:t xml:space="preserve"> </w:t>
      </w:r>
      <w:r w:rsidRPr="007C2763">
        <w:rPr>
          <w:rFonts w:ascii="Abadi" w:hAnsi="Abadi" w:cs="Arial"/>
          <w:sz w:val="21"/>
          <w:szCs w:val="21"/>
        </w:rPr>
        <w:t>de</w:t>
      </w:r>
      <w:r w:rsidRPr="007C2763">
        <w:rPr>
          <w:rFonts w:ascii="Abadi" w:hAnsi="Abadi" w:cs="Arial"/>
          <w:spacing w:val="23"/>
          <w:sz w:val="21"/>
          <w:szCs w:val="21"/>
        </w:rPr>
        <w:t xml:space="preserve"> </w:t>
      </w:r>
      <w:r w:rsidRPr="007C2763">
        <w:rPr>
          <w:rFonts w:ascii="Abadi" w:hAnsi="Abadi" w:cs="Arial"/>
          <w:sz w:val="21"/>
          <w:szCs w:val="21"/>
        </w:rPr>
        <w:t>un</w:t>
      </w:r>
      <w:r w:rsidRPr="007C2763">
        <w:rPr>
          <w:rFonts w:ascii="Abadi" w:hAnsi="Abadi" w:cs="Arial"/>
          <w:spacing w:val="23"/>
          <w:sz w:val="21"/>
          <w:szCs w:val="21"/>
        </w:rPr>
        <w:t xml:space="preserve"> </w:t>
      </w:r>
      <w:r w:rsidRPr="007C2763">
        <w:rPr>
          <w:rFonts w:ascii="Abadi" w:hAnsi="Abadi" w:cs="Arial"/>
          <w:sz w:val="21"/>
          <w:szCs w:val="21"/>
        </w:rPr>
        <w:t>problema,</w:t>
      </w:r>
      <w:r w:rsidRPr="007C2763">
        <w:rPr>
          <w:rFonts w:ascii="Abadi" w:hAnsi="Abadi" w:cs="Arial"/>
          <w:spacing w:val="22"/>
          <w:sz w:val="21"/>
          <w:szCs w:val="21"/>
        </w:rPr>
        <w:t xml:space="preserve"> </w:t>
      </w:r>
      <w:r w:rsidRPr="007C2763">
        <w:rPr>
          <w:rFonts w:ascii="Abadi" w:hAnsi="Abadi" w:cs="Arial"/>
          <w:sz w:val="21"/>
          <w:szCs w:val="21"/>
        </w:rPr>
        <w:t>pone</w:t>
      </w:r>
      <w:r w:rsidRPr="007C2763">
        <w:rPr>
          <w:rFonts w:ascii="Abadi" w:hAnsi="Abadi" w:cs="Arial"/>
          <w:spacing w:val="23"/>
          <w:sz w:val="21"/>
          <w:szCs w:val="21"/>
        </w:rPr>
        <w:t xml:space="preserve"> </w:t>
      </w:r>
      <w:r w:rsidRPr="007C2763">
        <w:rPr>
          <w:rFonts w:ascii="Abadi" w:hAnsi="Abadi" w:cs="Arial"/>
          <w:sz w:val="21"/>
          <w:szCs w:val="21"/>
        </w:rPr>
        <w:t>a</w:t>
      </w:r>
      <w:r w:rsidRPr="007C2763">
        <w:rPr>
          <w:rFonts w:ascii="Abadi" w:hAnsi="Abadi" w:cs="Arial"/>
          <w:spacing w:val="25"/>
          <w:sz w:val="21"/>
          <w:szCs w:val="21"/>
        </w:rPr>
        <w:t xml:space="preserve"> </w:t>
      </w:r>
      <w:r w:rsidRPr="007C2763">
        <w:rPr>
          <w:rFonts w:ascii="Abadi" w:hAnsi="Abadi" w:cs="Arial"/>
          <w:sz w:val="21"/>
          <w:szCs w:val="21"/>
        </w:rPr>
        <w:t>consideración</w:t>
      </w:r>
      <w:r w:rsidRPr="007C2763">
        <w:rPr>
          <w:rFonts w:ascii="Abadi" w:hAnsi="Abadi" w:cs="Arial"/>
          <w:spacing w:val="23"/>
          <w:sz w:val="21"/>
          <w:szCs w:val="21"/>
        </w:rPr>
        <w:t xml:space="preserve"> </w:t>
      </w:r>
      <w:r w:rsidRPr="007C2763">
        <w:rPr>
          <w:rFonts w:ascii="Abadi" w:hAnsi="Abadi" w:cs="Arial"/>
          <w:sz w:val="21"/>
          <w:szCs w:val="21"/>
        </w:rPr>
        <w:t>del</w:t>
      </w:r>
      <w:r w:rsidRPr="007C2763">
        <w:rPr>
          <w:rFonts w:ascii="Abadi" w:hAnsi="Abadi" w:cs="Arial"/>
          <w:spacing w:val="24"/>
          <w:sz w:val="21"/>
          <w:szCs w:val="21"/>
        </w:rPr>
        <w:t xml:space="preserve"> </w:t>
      </w:r>
      <w:r w:rsidRPr="007C2763">
        <w:rPr>
          <w:rFonts w:ascii="Abadi" w:hAnsi="Abadi" w:cs="Arial"/>
          <w:sz w:val="21"/>
          <w:szCs w:val="21"/>
        </w:rPr>
        <w:t>pleno</w:t>
      </w:r>
      <w:r w:rsidRPr="007C2763">
        <w:rPr>
          <w:rFonts w:ascii="Abadi" w:hAnsi="Abadi" w:cs="Arial"/>
          <w:spacing w:val="23"/>
          <w:sz w:val="21"/>
          <w:szCs w:val="21"/>
        </w:rPr>
        <w:t xml:space="preserve"> </w:t>
      </w:r>
      <w:r w:rsidRPr="007C2763">
        <w:rPr>
          <w:rFonts w:ascii="Abadi" w:hAnsi="Abadi" w:cs="Arial"/>
          <w:sz w:val="21"/>
          <w:szCs w:val="21"/>
        </w:rPr>
        <w:t>del</w:t>
      </w:r>
      <w:r w:rsidRPr="007C2763">
        <w:rPr>
          <w:rFonts w:ascii="Abadi" w:hAnsi="Abadi" w:cs="Arial"/>
          <w:spacing w:val="21"/>
          <w:sz w:val="21"/>
          <w:szCs w:val="21"/>
        </w:rPr>
        <w:t xml:space="preserve"> </w:t>
      </w:r>
      <w:r w:rsidRPr="007C2763">
        <w:rPr>
          <w:rFonts w:ascii="Abadi" w:hAnsi="Abadi" w:cs="Arial"/>
          <w:sz w:val="21"/>
          <w:szCs w:val="21"/>
        </w:rPr>
        <w:t>Congreso</w:t>
      </w:r>
      <w:r w:rsidRPr="007C2763">
        <w:rPr>
          <w:rFonts w:ascii="Abadi" w:hAnsi="Abadi" w:cs="Arial"/>
          <w:spacing w:val="23"/>
          <w:sz w:val="21"/>
          <w:szCs w:val="21"/>
        </w:rPr>
        <w:t xml:space="preserve"> </w:t>
      </w:r>
      <w:r w:rsidRPr="007C2763">
        <w:rPr>
          <w:rFonts w:ascii="Abadi" w:hAnsi="Abadi" w:cs="Arial"/>
          <w:sz w:val="21"/>
          <w:szCs w:val="21"/>
        </w:rPr>
        <w:t>del Estado</w:t>
      </w:r>
      <w:r w:rsidRPr="007C2763">
        <w:rPr>
          <w:rFonts w:ascii="Abadi" w:hAnsi="Abadi" w:cs="Arial"/>
          <w:spacing w:val="30"/>
          <w:sz w:val="21"/>
          <w:szCs w:val="21"/>
        </w:rPr>
        <w:t xml:space="preserve"> </w:t>
      </w:r>
      <w:r w:rsidRPr="007C2763">
        <w:rPr>
          <w:rFonts w:ascii="Abadi" w:hAnsi="Abadi" w:cs="Arial"/>
          <w:sz w:val="21"/>
          <w:szCs w:val="21"/>
        </w:rPr>
        <w:t>de</w:t>
      </w:r>
      <w:r w:rsidRPr="007C2763">
        <w:rPr>
          <w:rFonts w:ascii="Abadi" w:hAnsi="Abadi" w:cs="Arial"/>
          <w:spacing w:val="30"/>
          <w:sz w:val="21"/>
          <w:szCs w:val="21"/>
        </w:rPr>
        <w:t xml:space="preserve"> </w:t>
      </w:r>
      <w:r w:rsidRPr="007C2763">
        <w:rPr>
          <w:rFonts w:ascii="Abadi" w:hAnsi="Abadi" w:cs="Arial"/>
          <w:sz w:val="21"/>
          <w:szCs w:val="21"/>
        </w:rPr>
        <w:t>Guanajuato,</w:t>
      </w:r>
      <w:r w:rsidRPr="007C2763">
        <w:rPr>
          <w:rFonts w:ascii="Abadi" w:hAnsi="Abadi" w:cs="Arial"/>
          <w:spacing w:val="29"/>
          <w:sz w:val="21"/>
          <w:szCs w:val="21"/>
        </w:rPr>
        <w:t xml:space="preserve"> </w:t>
      </w:r>
      <w:r w:rsidRPr="007C2763">
        <w:rPr>
          <w:rFonts w:ascii="Abadi" w:hAnsi="Abadi" w:cs="Arial"/>
          <w:sz w:val="21"/>
          <w:szCs w:val="21"/>
        </w:rPr>
        <w:t>la</w:t>
      </w:r>
      <w:r w:rsidRPr="007C2763">
        <w:rPr>
          <w:rFonts w:ascii="Abadi" w:hAnsi="Abadi" w:cs="Arial"/>
          <w:spacing w:val="30"/>
          <w:sz w:val="21"/>
          <w:szCs w:val="21"/>
        </w:rPr>
        <w:t xml:space="preserve"> </w:t>
      </w:r>
      <w:r w:rsidRPr="007C2763">
        <w:rPr>
          <w:rFonts w:ascii="Abadi" w:hAnsi="Abadi" w:cs="Arial"/>
          <w:sz w:val="21"/>
          <w:szCs w:val="21"/>
        </w:rPr>
        <w:t>inquietud</w:t>
      </w:r>
      <w:r w:rsidRPr="007C2763">
        <w:rPr>
          <w:rFonts w:ascii="Abadi" w:hAnsi="Abadi" w:cs="Arial"/>
          <w:spacing w:val="27"/>
          <w:sz w:val="21"/>
          <w:szCs w:val="21"/>
        </w:rPr>
        <w:t xml:space="preserve"> </w:t>
      </w:r>
      <w:r w:rsidRPr="007C2763">
        <w:rPr>
          <w:rFonts w:ascii="Abadi" w:hAnsi="Abadi" w:cs="Arial"/>
          <w:sz w:val="21"/>
          <w:szCs w:val="21"/>
        </w:rPr>
        <w:t>que</w:t>
      </w:r>
      <w:r w:rsidRPr="007C2763">
        <w:rPr>
          <w:rFonts w:ascii="Abadi" w:hAnsi="Abadi" w:cs="Arial"/>
          <w:spacing w:val="28"/>
          <w:sz w:val="21"/>
          <w:szCs w:val="21"/>
        </w:rPr>
        <w:t xml:space="preserve"> </w:t>
      </w:r>
      <w:r w:rsidRPr="007C2763">
        <w:rPr>
          <w:rFonts w:ascii="Abadi" w:hAnsi="Abadi" w:cs="Arial"/>
          <w:sz w:val="21"/>
          <w:szCs w:val="21"/>
        </w:rPr>
        <w:t>guardan</w:t>
      </w:r>
      <w:r w:rsidRPr="007C2763">
        <w:rPr>
          <w:rFonts w:ascii="Abadi" w:hAnsi="Abadi" w:cs="Arial"/>
          <w:spacing w:val="30"/>
          <w:sz w:val="21"/>
          <w:szCs w:val="21"/>
        </w:rPr>
        <w:t xml:space="preserve"> </w:t>
      </w:r>
      <w:r w:rsidRPr="007C2763">
        <w:rPr>
          <w:rFonts w:ascii="Abadi" w:hAnsi="Abadi" w:cs="Arial"/>
          <w:sz w:val="21"/>
          <w:szCs w:val="21"/>
        </w:rPr>
        <w:t>los</w:t>
      </w:r>
      <w:r w:rsidRPr="007C2763">
        <w:rPr>
          <w:rFonts w:ascii="Abadi" w:hAnsi="Abadi" w:cs="Arial"/>
          <w:spacing w:val="29"/>
          <w:sz w:val="21"/>
          <w:szCs w:val="21"/>
        </w:rPr>
        <w:t xml:space="preserve"> </w:t>
      </w:r>
      <w:r w:rsidRPr="007C2763">
        <w:rPr>
          <w:rFonts w:ascii="Abadi" w:hAnsi="Abadi" w:cs="Arial"/>
          <w:sz w:val="21"/>
          <w:szCs w:val="21"/>
        </w:rPr>
        <w:t>habitantes</w:t>
      </w:r>
      <w:r w:rsidRPr="007C2763">
        <w:rPr>
          <w:rFonts w:ascii="Abadi" w:hAnsi="Abadi" w:cs="Arial"/>
          <w:spacing w:val="26"/>
          <w:sz w:val="21"/>
          <w:szCs w:val="21"/>
        </w:rPr>
        <w:t xml:space="preserve"> </w:t>
      </w:r>
      <w:r w:rsidRPr="007C2763">
        <w:rPr>
          <w:rFonts w:ascii="Abadi" w:hAnsi="Abadi" w:cs="Arial"/>
          <w:sz w:val="21"/>
          <w:szCs w:val="21"/>
        </w:rPr>
        <w:t>del</w:t>
      </w:r>
      <w:r w:rsidRPr="007C2763">
        <w:rPr>
          <w:rFonts w:ascii="Abadi" w:hAnsi="Abadi" w:cs="Arial"/>
          <w:spacing w:val="28"/>
          <w:sz w:val="21"/>
          <w:szCs w:val="21"/>
        </w:rPr>
        <w:t xml:space="preserve"> </w:t>
      </w:r>
      <w:r w:rsidRPr="007C2763">
        <w:rPr>
          <w:rFonts w:ascii="Abadi" w:hAnsi="Abadi" w:cs="Arial"/>
          <w:sz w:val="21"/>
          <w:szCs w:val="21"/>
        </w:rPr>
        <w:t>municipio</w:t>
      </w:r>
      <w:r w:rsidRPr="007C2763">
        <w:rPr>
          <w:rFonts w:ascii="Abadi" w:hAnsi="Abadi" w:cs="Arial"/>
          <w:spacing w:val="27"/>
          <w:sz w:val="21"/>
          <w:szCs w:val="21"/>
        </w:rPr>
        <w:t xml:space="preserve"> </w:t>
      </w:r>
      <w:r w:rsidRPr="007C2763">
        <w:rPr>
          <w:rFonts w:ascii="Abadi" w:hAnsi="Abadi" w:cs="Arial"/>
          <w:sz w:val="21"/>
          <w:szCs w:val="21"/>
        </w:rPr>
        <w:t>de Doctor</w:t>
      </w:r>
      <w:r w:rsidRPr="007C2763">
        <w:rPr>
          <w:rFonts w:ascii="Abadi" w:hAnsi="Abadi" w:cs="Arial"/>
          <w:spacing w:val="11"/>
          <w:sz w:val="21"/>
          <w:szCs w:val="21"/>
        </w:rPr>
        <w:t xml:space="preserve"> </w:t>
      </w:r>
      <w:r w:rsidRPr="007C2763">
        <w:rPr>
          <w:rFonts w:ascii="Abadi" w:hAnsi="Abadi" w:cs="Arial"/>
          <w:sz w:val="21"/>
          <w:szCs w:val="21"/>
        </w:rPr>
        <w:t>Mora,</w:t>
      </w:r>
      <w:r w:rsidRPr="007C2763">
        <w:rPr>
          <w:rFonts w:ascii="Abadi" w:hAnsi="Abadi" w:cs="Arial"/>
          <w:spacing w:val="10"/>
          <w:sz w:val="21"/>
          <w:szCs w:val="21"/>
        </w:rPr>
        <w:t xml:space="preserve"> </w:t>
      </w:r>
      <w:r w:rsidRPr="007C2763">
        <w:rPr>
          <w:rFonts w:ascii="Abadi" w:hAnsi="Abadi" w:cs="Arial"/>
          <w:sz w:val="21"/>
          <w:szCs w:val="21"/>
        </w:rPr>
        <w:t>con</w:t>
      </w:r>
      <w:r w:rsidRPr="007C2763">
        <w:rPr>
          <w:rFonts w:ascii="Abadi" w:hAnsi="Abadi" w:cs="Arial"/>
          <w:spacing w:val="13"/>
          <w:sz w:val="21"/>
          <w:szCs w:val="21"/>
        </w:rPr>
        <w:t xml:space="preserve"> </w:t>
      </w:r>
      <w:r w:rsidRPr="007C2763">
        <w:rPr>
          <w:rFonts w:ascii="Abadi" w:hAnsi="Abadi" w:cs="Arial"/>
          <w:sz w:val="21"/>
          <w:szCs w:val="21"/>
        </w:rPr>
        <w:t>la</w:t>
      </w:r>
      <w:r w:rsidRPr="007C2763">
        <w:rPr>
          <w:rFonts w:ascii="Abadi" w:hAnsi="Abadi" w:cs="Arial"/>
          <w:spacing w:val="13"/>
          <w:sz w:val="21"/>
          <w:szCs w:val="21"/>
        </w:rPr>
        <w:t xml:space="preserve"> </w:t>
      </w:r>
      <w:r w:rsidRPr="007C2763">
        <w:rPr>
          <w:rFonts w:ascii="Abadi" w:hAnsi="Abadi" w:cs="Arial"/>
          <w:sz w:val="21"/>
          <w:szCs w:val="21"/>
        </w:rPr>
        <w:t>finalidad</w:t>
      </w:r>
      <w:r w:rsidRPr="007C2763">
        <w:rPr>
          <w:rFonts w:ascii="Abadi" w:hAnsi="Abadi" w:cs="Arial"/>
          <w:spacing w:val="11"/>
          <w:sz w:val="21"/>
          <w:szCs w:val="21"/>
        </w:rPr>
        <w:t xml:space="preserve"> </w:t>
      </w:r>
      <w:r w:rsidRPr="007C2763">
        <w:rPr>
          <w:rFonts w:ascii="Abadi" w:hAnsi="Abadi" w:cs="Arial"/>
          <w:sz w:val="21"/>
          <w:szCs w:val="21"/>
        </w:rPr>
        <w:t>de</w:t>
      </w:r>
      <w:r w:rsidRPr="007C2763">
        <w:rPr>
          <w:rFonts w:ascii="Abadi" w:hAnsi="Abadi" w:cs="Arial"/>
          <w:spacing w:val="11"/>
          <w:sz w:val="21"/>
          <w:szCs w:val="21"/>
        </w:rPr>
        <w:t xml:space="preserve"> </w:t>
      </w:r>
      <w:r w:rsidRPr="007C2763">
        <w:rPr>
          <w:rFonts w:ascii="Abadi" w:hAnsi="Abadi" w:cs="Arial"/>
          <w:sz w:val="21"/>
          <w:szCs w:val="21"/>
        </w:rPr>
        <w:t>preservar</w:t>
      </w:r>
      <w:r w:rsidRPr="007C2763">
        <w:rPr>
          <w:rFonts w:ascii="Abadi" w:hAnsi="Abadi" w:cs="Arial"/>
          <w:spacing w:val="9"/>
          <w:sz w:val="21"/>
          <w:szCs w:val="21"/>
        </w:rPr>
        <w:t xml:space="preserve"> </w:t>
      </w:r>
      <w:r w:rsidRPr="007C2763">
        <w:rPr>
          <w:rFonts w:ascii="Abadi" w:hAnsi="Abadi" w:cs="Arial"/>
          <w:sz w:val="21"/>
          <w:szCs w:val="21"/>
        </w:rPr>
        <w:t>sus</w:t>
      </w:r>
      <w:r w:rsidRPr="007C2763">
        <w:rPr>
          <w:rFonts w:ascii="Abadi" w:hAnsi="Abadi" w:cs="Arial"/>
          <w:spacing w:val="12"/>
          <w:sz w:val="21"/>
          <w:szCs w:val="21"/>
        </w:rPr>
        <w:t xml:space="preserve"> </w:t>
      </w:r>
      <w:r w:rsidRPr="007C2763">
        <w:rPr>
          <w:rFonts w:ascii="Abadi" w:hAnsi="Abadi" w:cs="Arial"/>
          <w:sz w:val="21"/>
          <w:szCs w:val="21"/>
        </w:rPr>
        <w:t>tradiciones</w:t>
      </w:r>
      <w:r w:rsidRPr="007C2763">
        <w:rPr>
          <w:rFonts w:ascii="Abadi" w:hAnsi="Abadi" w:cs="Arial"/>
          <w:spacing w:val="10"/>
          <w:sz w:val="21"/>
          <w:szCs w:val="21"/>
        </w:rPr>
        <w:t xml:space="preserve"> </w:t>
      </w:r>
      <w:r w:rsidRPr="007C2763">
        <w:rPr>
          <w:rFonts w:ascii="Abadi" w:hAnsi="Abadi" w:cs="Arial"/>
          <w:sz w:val="21"/>
          <w:szCs w:val="21"/>
        </w:rPr>
        <w:t>e</w:t>
      </w:r>
      <w:r w:rsidRPr="007C2763">
        <w:rPr>
          <w:rFonts w:ascii="Abadi" w:hAnsi="Abadi" w:cs="Arial"/>
          <w:spacing w:val="11"/>
          <w:sz w:val="21"/>
          <w:szCs w:val="21"/>
        </w:rPr>
        <w:t xml:space="preserve"> </w:t>
      </w:r>
      <w:r w:rsidRPr="007C2763">
        <w:rPr>
          <w:rFonts w:ascii="Abadi" w:hAnsi="Abadi" w:cs="Arial"/>
          <w:sz w:val="21"/>
          <w:szCs w:val="21"/>
        </w:rPr>
        <w:t>historia</w:t>
      </w:r>
      <w:r w:rsidRPr="007C2763">
        <w:rPr>
          <w:rFonts w:ascii="Abadi" w:hAnsi="Abadi" w:cs="Arial"/>
          <w:spacing w:val="13"/>
          <w:sz w:val="21"/>
          <w:szCs w:val="21"/>
        </w:rPr>
        <w:t xml:space="preserve"> </w:t>
      </w:r>
      <w:r w:rsidRPr="007C2763">
        <w:rPr>
          <w:rFonts w:ascii="Abadi" w:hAnsi="Abadi" w:cs="Arial"/>
          <w:sz w:val="21"/>
          <w:szCs w:val="21"/>
        </w:rPr>
        <w:t>a</w:t>
      </w:r>
      <w:r w:rsidRPr="007C2763">
        <w:rPr>
          <w:rFonts w:ascii="Abadi" w:hAnsi="Abadi" w:cs="Arial"/>
          <w:spacing w:val="11"/>
          <w:sz w:val="21"/>
          <w:szCs w:val="21"/>
        </w:rPr>
        <w:t xml:space="preserve"> </w:t>
      </w:r>
      <w:r w:rsidRPr="007C2763">
        <w:rPr>
          <w:rFonts w:ascii="Abadi" w:hAnsi="Abadi" w:cs="Arial"/>
          <w:sz w:val="21"/>
          <w:szCs w:val="21"/>
        </w:rPr>
        <w:t>través</w:t>
      </w:r>
      <w:r w:rsidRPr="007C2763">
        <w:rPr>
          <w:rFonts w:ascii="Abadi" w:hAnsi="Abadi" w:cs="Arial"/>
          <w:spacing w:val="10"/>
          <w:sz w:val="21"/>
          <w:szCs w:val="21"/>
        </w:rPr>
        <w:t xml:space="preserve"> </w:t>
      </w:r>
      <w:r w:rsidRPr="007C2763">
        <w:rPr>
          <w:rFonts w:ascii="Abadi" w:hAnsi="Abadi" w:cs="Arial"/>
          <w:sz w:val="21"/>
          <w:szCs w:val="21"/>
        </w:rPr>
        <w:t>de</w:t>
      </w:r>
      <w:r w:rsidRPr="007C2763">
        <w:rPr>
          <w:rFonts w:ascii="Abadi" w:hAnsi="Abadi" w:cs="Arial"/>
          <w:spacing w:val="11"/>
          <w:sz w:val="21"/>
          <w:szCs w:val="21"/>
        </w:rPr>
        <w:t xml:space="preserve"> </w:t>
      </w:r>
      <w:r w:rsidRPr="007C2763">
        <w:rPr>
          <w:rFonts w:ascii="Abadi" w:hAnsi="Abadi" w:cs="Arial"/>
          <w:sz w:val="21"/>
          <w:szCs w:val="21"/>
        </w:rPr>
        <w:t>la inclusión</w:t>
      </w:r>
      <w:r w:rsidRPr="007C2763">
        <w:rPr>
          <w:rFonts w:ascii="Abadi" w:hAnsi="Abadi" w:cs="Arial"/>
          <w:spacing w:val="27"/>
          <w:sz w:val="21"/>
          <w:szCs w:val="21"/>
        </w:rPr>
        <w:t xml:space="preserve"> </w:t>
      </w:r>
      <w:r w:rsidRPr="007C2763">
        <w:rPr>
          <w:rFonts w:ascii="Abadi" w:hAnsi="Abadi" w:cs="Arial"/>
          <w:sz w:val="21"/>
          <w:szCs w:val="21"/>
        </w:rPr>
        <w:t>en</w:t>
      </w:r>
      <w:r w:rsidRPr="007C2763">
        <w:rPr>
          <w:rFonts w:ascii="Abadi" w:hAnsi="Abadi" w:cs="Arial"/>
          <w:spacing w:val="30"/>
          <w:sz w:val="21"/>
          <w:szCs w:val="21"/>
        </w:rPr>
        <w:t xml:space="preserve"> </w:t>
      </w:r>
      <w:r w:rsidRPr="007C2763">
        <w:rPr>
          <w:rFonts w:ascii="Abadi" w:hAnsi="Abadi" w:cs="Arial"/>
          <w:sz w:val="21"/>
          <w:szCs w:val="21"/>
        </w:rPr>
        <w:t>la</w:t>
      </w:r>
      <w:r w:rsidRPr="007C2763">
        <w:rPr>
          <w:rFonts w:ascii="Abadi" w:hAnsi="Abadi" w:cs="Arial"/>
          <w:spacing w:val="27"/>
          <w:sz w:val="21"/>
          <w:szCs w:val="21"/>
        </w:rPr>
        <w:t xml:space="preserve"> </w:t>
      </w:r>
      <w:r w:rsidRPr="007C2763">
        <w:rPr>
          <w:rFonts w:ascii="Abadi" w:hAnsi="Abadi" w:cs="Arial"/>
          <w:sz w:val="21"/>
          <w:szCs w:val="21"/>
        </w:rPr>
        <w:t>denominación</w:t>
      </w:r>
      <w:r w:rsidRPr="007C2763">
        <w:rPr>
          <w:rFonts w:ascii="Abadi" w:hAnsi="Abadi" w:cs="Arial"/>
          <w:spacing w:val="27"/>
          <w:sz w:val="21"/>
          <w:szCs w:val="21"/>
        </w:rPr>
        <w:t xml:space="preserve"> </w:t>
      </w:r>
      <w:r w:rsidRPr="007C2763">
        <w:rPr>
          <w:rFonts w:ascii="Abadi" w:hAnsi="Abadi" w:cs="Arial"/>
          <w:sz w:val="21"/>
          <w:szCs w:val="21"/>
        </w:rPr>
        <w:t>de</w:t>
      </w:r>
      <w:r w:rsidRPr="007C2763">
        <w:rPr>
          <w:rFonts w:ascii="Abadi" w:hAnsi="Abadi" w:cs="Arial"/>
          <w:spacing w:val="27"/>
          <w:sz w:val="21"/>
          <w:szCs w:val="21"/>
        </w:rPr>
        <w:t xml:space="preserve"> </w:t>
      </w:r>
      <w:r w:rsidRPr="007C2763">
        <w:rPr>
          <w:rFonts w:ascii="Abadi" w:hAnsi="Abadi" w:cs="Arial"/>
          <w:sz w:val="21"/>
          <w:szCs w:val="21"/>
        </w:rPr>
        <w:t>su</w:t>
      </w:r>
      <w:r w:rsidRPr="007C2763">
        <w:rPr>
          <w:rFonts w:ascii="Abadi" w:hAnsi="Abadi" w:cs="Arial"/>
          <w:spacing w:val="30"/>
          <w:sz w:val="21"/>
          <w:szCs w:val="21"/>
        </w:rPr>
        <w:t xml:space="preserve"> </w:t>
      </w:r>
      <w:r w:rsidRPr="007C2763">
        <w:rPr>
          <w:rFonts w:ascii="Abadi" w:hAnsi="Abadi" w:cs="Arial"/>
          <w:sz w:val="21"/>
          <w:szCs w:val="21"/>
        </w:rPr>
        <w:t>cabecera</w:t>
      </w:r>
      <w:r w:rsidRPr="007C2763">
        <w:rPr>
          <w:rFonts w:ascii="Abadi" w:hAnsi="Abadi" w:cs="Arial"/>
          <w:spacing w:val="30"/>
          <w:sz w:val="21"/>
          <w:szCs w:val="21"/>
        </w:rPr>
        <w:t xml:space="preserve"> </w:t>
      </w:r>
      <w:r w:rsidRPr="007C2763">
        <w:rPr>
          <w:rFonts w:ascii="Abadi" w:hAnsi="Abadi" w:cs="Arial"/>
          <w:sz w:val="21"/>
          <w:szCs w:val="21"/>
        </w:rPr>
        <w:t>municipal</w:t>
      </w:r>
      <w:r w:rsidRPr="007C2763">
        <w:rPr>
          <w:rFonts w:ascii="Abadi" w:hAnsi="Abadi" w:cs="Arial"/>
          <w:spacing w:val="28"/>
          <w:sz w:val="21"/>
          <w:szCs w:val="21"/>
        </w:rPr>
        <w:t xml:space="preserve"> </w:t>
      </w:r>
      <w:r w:rsidRPr="007C2763">
        <w:rPr>
          <w:rFonts w:ascii="Abadi" w:hAnsi="Abadi" w:cs="Arial"/>
          <w:sz w:val="21"/>
          <w:szCs w:val="21"/>
        </w:rPr>
        <w:t>el</w:t>
      </w:r>
      <w:r w:rsidRPr="007C2763">
        <w:rPr>
          <w:rFonts w:ascii="Abadi" w:hAnsi="Abadi" w:cs="Arial"/>
          <w:spacing w:val="26"/>
          <w:sz w:val="21"/>
          <w:szCs w:val="21"/>
        </w:rPr>
        <w:t xml:space="preserve"> </w:t>
      </w:r>
      <w:r w:rsidRPr="007C2763">
        <w:rPr>
          <w:rFonts w:ascii="Abadi" w:hAnsi="Abadi" w:cs="Arial"/>
          <w:sz w:val="21"/>
          <w:szCs w:val="21"/>
        </w:rPr>
        <w:t>nombre</w:t>
      </w:r>
      <w:r w:rsidRPr="007C2763">
        <w:rPr>
          <w:rFonts w:ascii="Abadi" w:hAnsi="Abadi" w:cs="Arial"/>
          <w:spacing w:val="27"/>
          <w:sz w:val="21"/>
          <w:szCs w:val="21"/>
        </w:rPr>
        <w:t xml:space="preserve"> </w:t>
      </w:r>
      <w:r w:rsidRPr="007C2763">
        <w:rPr>
          <w:rFonts w:ascii="Abadi" w:hAnsi="Abadi" w:cs="Arial"/>
          <w:sz w:val="21"/>
          <w:szCs w:val="21"/>
        </w:rPr>
        <w:t>de</w:t>
      </w:r>
      <w:r w:rsidRPr="007C2763">
        <w:rPr>
          <w:rFonts w:ascii="Abadi" w:hAnsi="Abadi" w:cs="Arial"/>
          <w:spacing w:val="30"/>
          <w:sz w:val="21"/>
          <w:szCs w:val="21"/>
        </w:rPr>
        <w:t xml:space="preserve"> </w:t>
      </w:r>
      <w:r w:rsidRPr="007C2763">
        <w:rPr>
          <w:rFonts w:ascii="Abadi" w:hAnsi="Abadi" w:cs="Arial"/>
          <w:sz w:val="21"/>
          <w:szCs w:val="21"/>
        </w:rPr>
        <w:t>“Charcas”, buscando</w:t>
      </w:r>
      <w:r w:rsidRPr="007C2763">
        <w:rPr>
          <w:rFonts w:ascii="Abadi" w:hAnsi="Abadi" w:cs="Arial"/>
          <w:spacing w:val="46"/>
          <w:sz w:val="21"/>
          <w:szCs w:val="21"/>
        </w:rPr>
        <w:t xml:space="preserve"> </w:t>
      </w:r>
      <w:r w:rsidRPr="007C2763">
        <w:rPr>
          <w:rFonts w:ascii="Abadi" w:hAnsi="Abadi" w:cs="Arial"/>
          <w:sz w:val="21"/>
          <w:szCs w:val="21"/>
        </w:rPr>
        <w:t>que</w:t>
      </w:r>
      <w:r w:rsidRPr="007C2763">
        <w:rPr>
          <w:rFonts w:ascii="Abadi" w:hAnsi="Abadi" w:cs="Arial"/>
          <w:spacing w:val="49"/>
          <w:sz w:val="21"/>
          <w:szCs w:val="21"/>
        </w:rPr>
        <w:t xml:space="preserve"> </w:t>
      </w:r>
      <w:r w:rsidRPr="007C2763">
        <w:rPr>
          <w:rFonts w:ascii="Abadi" w:hAnsi="Abadi" w:cs="Arial"/>
          <w:sz w:val="21"/>
          <w:szCs w:val="21"/>
        </w:rPr>
        <w:t>quede</w:t>
      </w:r>
      <w:r w:rsidRPr="007C2763">
        <w:rPr>
          <w:rFonts w:ascii="Abadi" w:hAnsi="Abadi" w:cs="Arial"/>
          <w:spacing w:val="47"/>
          <w:sz w:val="21"/>
          <w:szCs w:val="21"/>
        </w:rPr>
        <w:t xml:space="preserve"> </w:t>
      </w:r>
      <w:r w:rsidRPr="007C2763">
        <w:rPr>
          <w:rFonts w:ascii="Abadi" w:hAnsi="Abadi" w:cs="Arial"/>
          <w:sz w:val="21"/>
          <w:szCs w:val="21"/>
        </w:rPr>
        <w:t>como</w:t>
      </w:r>
      <w:r w:rsidRPr="007C2763">
        <w:rPr>
          <w:rFonts w:ascii="Abadi" w:hAnsi="Abadi" w:cs="Arial"/>
          <w:spacing w:val="46"/>
          <w:sz w:val="21"/>
          <w:szCs w:val="21"/>
        </w:rPr>
        <w:t xml:space="preserve"> </w:t>
      </w:r>
      <w:r w:rsidRPr="007C2763">
        <w:rPr>
          <w:rFonts w:ascii="Abadi" w:hAnsi="Abadi" w:cs="Arial"/>
          <w:sz w:val="21"/>
          <w:szCs w:val="21"/>
        </w:rPr>
        <w:t>“Charcas</w:t>
      </w:r>
      <w:r w:rsidRPr="007C2763">
        <w:rPr>
          <w:rFonts w:ascii="Abadi" w:hAnsi="Abadi" w:cs="Arial"/>
          <w:spacing w:val="46"/>
          <w:sz w:val="21"/>
          <w:szCs w:val="21"/>
        </w:rPr>
        <w:t xml:space="preserve"> </w:t>
      </w:r>
      <w:r w:rsidRPr="007C2763">
        <w:rPr>
          <w:rFonts w:ascii="Abadi" w:hAnsi="Abadi" w:cs="Arial"/>
          <w:sz w:val="21"/>
          <w:szCs w:val="21"/>
        </w:rPr>
        <w:t>de</w:t>
      </w:r>
      <w:r w:rsidRPr="007C2763">
        <w:rPr>
          <w:rFonts w:ascii="Abadi" w:hAnsi="Abadi" w:cs="Arial"/>
          <w:spacing w:val="49"/>
          <w:sz w:val="21"/>
          <w:szCs w:val="21"/>
        </w:rPr>
        <w:t xml:space="preserve"> </w:t>
      </w:r>
      <w:r w:rsidRPr="007C2763">
        <w:rPr>
          <w:rFonts w:ascii="Abadi" w:hAnsi="Abadi" w:cs="Arial"/>
          <w:sz w:val="21"/>
          <w:szCs w:val="21"/>
        </w:rPr>
        <w:t>Doctor</w:t>
      </w:r>
      <w:r w:rsidRPr="007C2763">
        <w:rPr>
          <w:rFonts w:ascii="Abadi" w:hAnsi="Abadi" w:cs="Arial"/>
          <w:spacing w:val="47"/>
          <w:sz w:val="21"/>
          <w:szCs w:val="21"/>
        </w:rPr>
        <w:t xml:space="preserve"> </w:t>
      </w:r>
      <w:r w:rsidRPr="007C2763">
        <w:rPr>
          <w:rFonts w:ascii="Abadi" w:hAnsi="Abadi" w:cs="Arial"/>
          <w:sz w:val="21"/>
          <w:szCs w:val="21"/>
        </w:rPr>
        <w:t>Mora”,</w:t>
      </w:r>
      <w:r w:rsidRPr="007C2763">
        <w:rPr>
          <w:rFonts w:ascii="Abadi" w:hAnsi="Abadi" w:cs="Arial"/>
          <w:spacing w:val="49"/>
          <w:sz w:val="21"/>
          <w:szCs w:val="21"/>
        </w:rPr>
        <w:t xml:space="preserve"> </w:t>
      </w:r>
      <w:r w:rsidRPr="007C2763">
        <w:rPr>
          <w:rFonts w:ascii="Abadi" w:hAnsi="Abadi" w:cs="Arial"/>
          <w:sz w:val="21"/>
          <w:szCs w:val="21"/>
        </w:rPr>
        <w:t>lo</w:t>
      </w:r>
      <w:r w:rsidRPr="007C2763">
        <w:rPr>
          <w:rFonts w:ascii="Abadi" w:hAnsi="Abadi" w:cs="Arial"/>
          <w:spacing w:val="46"/>
          <w:sz w:val="21"/>
          <w:szCs w:val="21"/>
        </w:rPr>
        <w:t xml:space="preserve"> </w:t>
      </w:r>
      <w:r w:rsidRPr="007C2763">
        <w:rPr>
          <w:rFonts w:ascii="Abadi" w:hAnsi="Abadi" w:cs="Arial"/>
          <w:sz w:val="21"/>
          <w:szCs w:val="21"/>
        </w:rPr>
        <w:t>que</w:t>
      </w:r>
      <w:r w:rsidRPr="007C2763">
        <w:rPr>
          <w:rFonts w:ascii="Abadi" w:hAnsi="Abadi" w:cs="Arial"/>
          <w:spacing w:val="49"/>
          <w:sz w:val="21"/>
          <w:szCs w:val="21"/>
        </w:rPr>
        <w:t xml:space="preserve"> </w:t>
      </w:r>
      <w:r w:rsidRPr="007C2763">
        <w:rPr>
          <w:rFonts w:ascii="Abadi" w:hAnsi="Abadi" w:cs="Arial"/>
          <w:sz w:val="21"/>
          <w:szCs w:val="21"/>
        </w:rPr>
        <w:t>permitiría</w:t>
      </w:r>
      <w:r w:rsidRPr="007C2763">
        <w:rPr>
          <w:rFonts w:ascii="Abadi" w:hAnsi="Abadi" w:cs="Arial"/>
          <w:spacing w:val="49"/>
          <w:sz w:val="21"/>
          <w:szCs w:val="21"/>
        </w:rPr>
        <w:t xml:space="preserve"> </w:t>
      </w:r>
      <w:r w:rsidRPr="007C2763">
        <w:rPr>
          <w:rFonts w:ascii="Abadi" w:hAnsi="Abadi" w:cs="Arial"/>
          <w:sz w:val="21"/>
          <w:szCs w:val="21"/>
        </w:rPr>
        <w:t>seguir manteniendo</w:t>
      </w:r>
      <w:r w:rsidRPr="007C2763">
        <w:rPr>
          <w:rFonts w:ascii="Abadi" w:hAnsi="Abadi" w:cs="Arial"/>
          <w:spacing w:val="46"/>
          <w:sz w:val="21"/>
          <w:szCs w:val="21"/>
        </w:rPr>
        <w:t xml:space="preserve"> </w:t>
      </w:r>
      <w:r w:rsidRPr="007C2763">
        <w:rPr>
          <w:rFonts w:ascii="Abadi" w:hAnsi="Abadi" w:cs="Arial"/>
          <w:sz w:val="21"/>
          <w:szCs w:val="21"/>
        </w:rPr>
        <w:t>la</w:t>
      </w:r>
      <w:r w:rsidRPr="007C2763">
        <w:rPr>
          <w:rFonts w:ascii="Abadi" w:hAnsi="Abadi" w:cs="Arial"/>
          <w:spacing w:val="44"/>
          <w:sz w:val="21"/>
          <w:szCs w:val="21"/>
        </w:rPr>
        <w:t xml:space="preserve"> </w:t>
      </w:r>
      <w:r w:rsidRPr="007C2763">
        <w:rPr>
          <w:rFonts w:ascii="Abadi" w:hAnsi="Abadi" w:cs="Arial"/>
          <w:sz w:val="21"/>
          <w:szCs w:val="21"/>
        </w:rPr>
        <w:t>tradición</w:t>
      </w:r>
      <w:r w:rsidRPr="007C2763">
        <w:rPr>
          <w:rFonts w:ascii="Abadi" w:hAnsi="Abadi" w:cs="Arial"/>
          <w:spacing w:val="47"/>
          <w:sz w:val="21"/>
          <w:szCs w:val="21"/>
        </w:rPr>
        <w:t xml:space="preserve"> </w:t>
      </w:r>
      <w:r w:rsidRPr="007C2763">
        <w:rPr>
          <w:rFonts w:ascii="Abadi" w:hAnsi="Abadi" w:cs="Arial"/>
          <w:sz w:val="21"/>
          <w:szCs w:val="21"/>
        </w:rPr>
        <w:t>y</w:t>
      </w:r>
      <w:r w:rsidRPr="007C2763">
        <w:rPr>
          <w:rFonts w:ascii="Abadi" w:hAnsi="Abadi" w:cs="Arial"/>
          <w:spacing w:val="43"/>
          <w:sz w:val="21"/>
          <w:szCs w:val="21"/>
        </w:rPr>
        <w:t xml:space="preserve"> </w:t>
      </w:r>
      <w:r w:rsidRPr="007C2763">
        <w:rPr>
          <w:rFonts w:ascii="Abadi" w:hAnsi="Abadi" w:cs="Arial"/>
          <w:sz w:val="21"/>
          <w:szCs w:val="21"/>
        </w:rPr>
        <w:t>reforzando</w:t>
      </w:r>
      <w:r w:rsidRPr="007C2763">
        <w:rPr>
          <w:rFonts w:ascii="Abadi" w:hAnsi="Abadi" w:cs="Arial"/>
          <w:spacing w:val="47"/>
          <w:sz w:val="21"/>
          <w:szCs w:val="21"/>
        </w:rPr>
        <w:t xml:space="preserve"> </w:t>
      </w:r>
      <w:r w:rsidRPr="007C2763">
        <w:rPr>
          <w:rFonts w:ascii="Abadi" w:hAnsi="Abadi" w:cs="Arial"/>
          <w:sz w:val="21"/>
          <w:szCs w:val="21"/>
        </w:rPr>
        <w:t>la</w:t>
      </w:r>
      <w:r w:rsidRPr="007C2763">
        <w:rPr>
          <w:rFonts w:ascii="Abadi" w:hAnsi="Abadi" w:cs="Arial"/>
          <w:spacing w:val="44"/>
          <w:sz w:val="21"/>
          <w:szCs w:val="21"/>
        </w:rPr>
        <w:t xml:space="preserve"> </w:t>
      </w:r>
      <w:r w:rsidRPr="007C2763">
        <w:rPr>
          <w:rFonts w:ascii="Abadi" w:hAnsi="Abadi" w:cs="Arial"/>
          <w:sz w:val="21"/>
          <w:szCs w:val="21"/>
        </w:rPr>
        <w:t>historia</w:t>
      </w:r>
      <w:r w:rsidRPr="007C2763">
        <w:rPr>
          <w:rFonts w:ascii="Abadi" w:hAnsi="Abadi" w:cs="Arial"/>
          <w:spacing w:val="46"/>
          <w:sz w:val="21"/>
          <w:szCs w:val="21"/>
        </w:rPr>
        <w:t xml:space="preserve"> </w:t>
      </w:r>
      <w:r w:rsidRPr="007C2763">
        <w:rPr>
          <w:rFonts w:ascii="Abadi" w:hAnsi="Abadi" w:cs="Arial"/>
          <w:sz w:val="21"/>
          <w:szCs w:val="21"/>
        </w:rPr>
        <w:t>de</w:t>
      </w:r>
      <w:r w:rsidRPr="007C2763">
        <w:rPr>
          <w:rFonts w:ascii="Abadi" w:hAnsi="Abadi" w:cs="Arial"/>
          <w:spacing w:val="47"/>
          <w:sz w:val="21"/>
          <w:szCs w:val="21"/>
        </w:rPr>
        <w:t xml:space="preserve"> </w:t>
      </w:r>
      <w:r w:rsidRPr="007C2763">
        <w:rPr>
          <w:rFonts w:ascii="Abadi" w:hAnsi="Abadi" w:cs="Arial"/>
          <w:sz w:val="21"/>
          <w:szCs w:val="21"/>
        </w:rPr>
        <w:t>su</w:t>
      </w:r>
      <w:r w:rsidRPr="007C2763">
        <w:rPr>
          <w:rFonts w:ascii="Abadi" w:hAnsi="Abadi" w:cs="Arial"/>
          <w:spacing w:val="45"/>
          <w:sz w:val="21"/>
          <w:szCs w:val="21"/>
        </w:rPr>
        <w:t xml:space="preserve"> </w:t>
      </w:r>
      <w:r w:rsidRPr="007C2763">
        <w:rPr>
          <w:rFonts w:ascii="Abadi" w:hAnsi="Abadi" w:cs="Arial"/>
          <w:sz w:val="21"/>
          <w:szCs w:val="21"/>
        </w:rPr>
        <w:t>municipio,</w:t>
      </w:r>
      <w:r w:rsidRPr="007C2763">
        <w:rPr>
          <w:rFonts w:ascii="Abadi" w:hAnsi="Abadi" w:cs="Arial"/>
          <w:spacing w:val="45"/>
          <w:sz w:val="21"/>
          <w:szCs w:val="21"/>
        </w:rPr>
        <w:t xml:space="preserve"> </w:t>
      </w:r>
      <w:r w:rsidRPr="007C2763">
        <w:rPr>
          <w:rFonts w:ascii="Abadi" w:hAnsi="Abadi" w:cs="Arial"/>
          <w:sz w:val="21"/>
          <w:szCs w:val="21"/>
        </w:rPr>
        <w:t>y</w:t>
      </w:r>
      <w:r w:rsidRPr="007C2763">
        <w:rPr>
          <w:rFonts w:ascii="Abadi" w:hAnsi="Abadi" w:cs="Arial"/>
          <w:spacing w:val="44"/>
          <w:sz w:val="21"/>
          <w:szCs w:val="21"/>
        </w:rPr>
        <w:t xml:space="preserve"> </w:t>
      </w:r>
      <w:r w:rsidRPr="007C2763">
        <w:rPr>
          <w:rFonts w:ascii="Abadi" w:hAnsi="Abadi" w:cs="Arial"/>
          <w:sz w:val="21"/>
          <w:szCs w:val="21"/>
        </w:rPr>
        <w:t>propone</w:t>
      </w:r>
      <w:r w:rsidRPr="007C2763">
        <w:rPr>
          <w:rFonts w:ascii="Abadi" w:hAnsi="Abadi" w:cs="Arial"/>
          <w:spacing w:val="45"/>
          <w:sz w:val="21"/>
          <w:szCs w:val="21"/>
        </w:rPr>
        <w:t xml:space="preserve"> </w:t>
      </w:r>
      <w:r w:rsidRPr="007C2763">
        <w:rPr>
          <w:rFonts w:ascii="Abadi" w:hAnsi="Abadi" w:cs="Arial"/>
          <w:sz w:val="21"/>
          <w:szCs w:val="21"/>
        </w:rPr>
        <w:t>lo</w:t>
      </w:r>
      <w:r w:rsidR="00991CA8">
        <w:rPr>
          <w:rFonts w:ascii="Abadi" w:hAnsi="Abadi" w:cs="Arial"/>
          <w:sz w:val="21"/>
          <w:szCs w:val="21"/>
        </w:rPr>
        <w:t xml:space="preserve"> </w:t>
      </w:r>
      <w:r w:rsidRPr="007C2763">
        <w:rPr>
          <w:rFonts w:ascii="Abadi" w:hAnsi="Abadi" w:cs="Arial"/>
          <w:sz w:val="21"/>
          <w:szCs w:val="21"/>
        </w:rPr>
        <w:t>siguiente:</w:t>
      </w:r>
    </w:p>
    <w:p w14:paraId="4C46A5E9" w14:textId="77777777" w:rsidR="00374A1E" w:rsidRPr="007C2763" w:rsidRDefault="00374A1E" w:rsidP="00374A1E">
      <w:pPr>
        <w:kinsoku w:val="0"/>
        <w:overflowPunct w:val="0"/>
        <w:autoSpaceDE w:val="0"/>
        <w:autoSpaceDN w:val="0"/>
        <w:adjustRightInd w:val="0"/>
        <w:ind w:left="39"/>
        <w:jc w:val="both"/>
        <w:rPr>
          <w:rFonts w:ascii="Abadi" w:hAnsi="Abadi" w:cs="Arial"/>
          <w:sz w:val="21"/>
          <w:szCs w:val="21"/>
        </w:rPr>
      </w:pPr>
    </w:p>
    <w:p w14:paraId="4D57B290" w14:textId="77777777" w:rsidR="00374A1E" w:rsidRPr="007C2763" w:rsidRDefault="00374A1E" w:rsidP="00374A1E">
      <w:pPr>
        <w:pStyle w:val="Ttulo"/>
        <w:kinsoku w:val="0"/>
        <w:overflowPunct w:val="0"/>
        <w:jc w:val="both"/>
        <w:rPr>
          <w:rFonts w:ascii="Abadi" w:hAnsi="Abadi"/>
          <w:sz w:val="21"/>
          <w:szCs w:val="21"/>
        </w:rPr>
      </w:pPr>
      <w:r w:rsidRPr="007C2763">
        <w:rPr>
          <w:rFonts w:ascii="Abadi" w:hAnsi="Abadi"/>
          <w:sz w:val="21"/>
          <w:szCs w:val="21"/>
        </w:rPr>
        <w:t>Exposición de</w:t>
      </w:r>
      <w:r w:rsidRPr="007C2763">
        <w:rPr>
          <w:rFonts w:ascii="Abadi" w:hAnsi="Abadi"/>
          <w:spacing w:val="1"/>
          <w:sz w:val="21"/>
          <w:szCs w:val="21"/>
        </w:rPr>
        <w:t xml:space="preserve"> </w:t>
      </w:r>
      <w:r w:rsidRPr="007C2763">
        <w:rPr>
          <w:rFonts w:ascii="Abadi" w:hAnsi="Abadi"/>
          <w:sz w:val="21"/>
          <w:szCs w:val="21"/>
        </w:rPr>
        <w:t>motivos</w:t>
      </w:r>
    </w:p>
    <w:p w14:paraId="386A0CC3" w14:textId="77777777" w:rsidR="00374A1E" w:rsidRPr="007C2763" w:rsidRDefault="00374A1E" w:rsidP="00374A1E">
      <w:pPr>
        <w:jc w:val="both"/>
        <w:rPr>
          <w:rFonts w:ascii="Abadi" w:hAnsi="Abadi"/>
          <w:sz w:val="21"/>
          <w:szCs w:val="21"/>
        </w:rPr>
      </w:pPr>
    </w:p>
    <w:p w14:paraId="5778757F" w14:textId="77777777" w:rsidR="00374A1E" w:rsidRPr="007C2763" w:rsidRDefault="00374A1E" w:rsidP="00374A1E">
      <w:pPr>
        <w:pStyle w:val="Textoindependiente"/>
        <w:kinsoku w:val="0"/>
        <w:overflowPunct w:val="0"/>
        <w:spacing w:before="54"/>
        <w:ind w:right="116" w:firstLine="708"/>
        <w:rPr>
          <w:rFonts w:ascii="Abadi" w:hAnsi="Abadi"/>
          <w:b w:val="0"/>
          <w:bCs w:val="0"/>
          <w:sz w:val="21"/>
          <w:szCs w:val="21"/>
        </w:rPr>
      </w:pPr>
      <w:r w:rsidRPr="007C2763">
        <w:rPr>
          <w:rFonts w:ascii="Abadi" w:hAnsi="Abadi"/>
          <w:b w:val="0"/>
          <w:bCs w:val="0"/>
          <w:sz w:val="21"/>
          <w:szCs w:val="21"/>
        </w:rPr>
        <w:t>&lt;&lt;El</w:t>
      </w:r>
      <w:r w:rsidRPr="007C2763">
        <w:rPr>
          <w:rFonts w:ascii="Abadi" w:hAnsi="Abadi"/>
          <w:b w:val="0"/>
          <w:bCs w:val="0"/>
          <w:spacing w:val="15"/>
          <w:sz w:val="21"/>
          <w:szCs w:val="21"/>
        </w:rPr>
        <w:t xml:space="preserve"> </w:t>
      </w:r>
      <w:r w:rsidRPr="007C2763">
        <w:rPr>
          <w:rFonts w:ascii="Abadi" w:hAnsi="Abadi"/>
          <w:b w:val="0"/>
          <w:bCs w:val="0"/>
          <w:sz w:val="21"/>
          <w:szCs w:val="21"/>
        </w:rPr>
        <w:t>reto</w:t>
      </w:r>
      <w:r w:rsidRPr="007C2763">
        <w:rPr>
          <w:rFonts w:ascii="Abadi" w:hAnsi="Abadi"/>
          <w:b w:val="0"/>
          <w:bCs w:val="0"/>
          <w:spacing w:val="13"/>
          <w:sz w:val="21"/>
          <w:szCs w:val="21"/>
        </w:rPr>
        <w:t xml:space="preserve"> </w:t>
      </w:r>
      <w:r w:rsidRPr="007C2763">
        <w:rPr>
          <w:rFonts w:ascii="Abadi" w:hAnsi="Abadi"/>
          <w:b w:val="0"/>
          <w:bCs w:val="0"/>
          <w:sz w:val="21"/>
          <w:szCs w:val="21"/>
        </w:rPr>
        <w:t>de</w:t>
      </w:r>
      <w:r w:rsidRPr="007C2763">
        <w:rPr>
          <w:rFonts w:ascii="Abadi" w:hAnsi="Abadi"/>
          <w:b w:val="0"/>
          <w:bCs w:val="0"/>
          <w:spacing w:val="13"/>
          <w:sz w:val="21"/>
          <w:szCs w:val="21"/>
        </w:rPr>
        <w:t xml:space="preserve"> </w:t>
      </w:r>
      <w:r w:rsidRPr="007C2763">
        <w:rPr>
          <w:rFonts w:ascii="Abadi" w:hAnsi="Abadi"/>
          <w:b w:val="0"/>
          <w:bCs w:val="0"/>
          <w:sz w:val="21"/>
          <w:szCs w:val="21"/>
        </w:rPr>
        <w:t>ocupar</w:t>
      </w:r>
      <w:r w:rsidRPr="007C2763">
        <w:rPr>
          <w:rFonts w:ascii="Abadi" w:hAnsi="Abadi"/>
          <w:b w:val="0"/>
          <w:bCs w:val="0"/>
          <w:spacing w:val="12"/>
          <w:sz w:val="21"/>
          <w:szCs w:val="21"/>
        </w:rPr>
        <w:t xml:space="preserve"> </w:t>
      </w:r>
      <w:r w:rsidRPr="007C2763">
        <w:rPr>
          <w:rFonts w:ascii="Abadi" w:hAnsi="Abadi"/>
          <w:b w:val="0"/>
          <w:bCs w:val="0"/>
          <w:sz w:val="21"/>
          <w:szCs w:val="21"/>
        </w:rPr>
        <w:t>las</w:t>
      </w:r>
      <w:r w:rsidRPr="007C2763">
        <w:rPr>
          <w:rFonts w:ascii="Abadi" w:hAnsi="Abadi"/>
          <w:b w:val="0"/>
          <w:bCs w:val="0"/>
          <w:spacing w:val="12"/>
          <w:sz w:val="21"/>
          <w:szCs w:val="21"/>
        </w:rPr>
        <w:t xml:space="preserve"> </w:t>
      </w:r>
      <w:r w:rsidRPr="007C2763">
        <w:rPr>
          <w:rFonts w:ascii="Abadi" w:hAnsi="Abadi"/>
          <w:b w:val="0"/>
          <w:bCs w:val="0"/>
          <w:sz w:val="21"/>
          <w:szCs w:val="21"/>
        </w:rPr>
        <w:t>grandes</w:t>
      </w:r>
      <w:r w:rsidRPr="007C2763">
        <w:rPr>
          <w:rFonts w:ascii="Abadi" w:hAnsi="Abadi"/>
          <w:b w:val="0"/>
          <w:bCs w:val="0"/>
          <w:spacing w:val="13"/>
          <w:sz w:val="21"/>
          <w:szCs w:val="21"/>
        </w:rPr>
        <w:t xml:space="preserve"> </w:t>
      </w:r>
      <w:r w:rsidRPr="007C2763">
        <w:rPr>
          <w:rFonts w:ascii="Abadi" w:hAnsi="Abadi"/>
          <w:b w:val="0"/>
          <w:bCs w:val="0"/>
          <w:sz w:val="21"/>
          <w:szCs w:val="21"/>
        </w:rPr>
        <w:t>extensiones</w:t>
      </w:r>
      <w:r w:rsidRPr="007C2763">
        <w:rPr>
          <w:rFonts w:ascii="Abadi" w:hAnsi="Abadi"/>
          <w:b w:val="0"/>
          <w:bCs w:val="0"/>
          <w:spacing w:val="13"/>
          <w:sz w:val="21"/>
          <w:szCs w:val="21"/>
        </w:rPr>
        <w:t xml:space="preserve"> </w:t>
      </w:r>
      <w:r w:rsidRPr="007C2763">
        <w:rPr>
          <w:rFonts w:ascii="Abadi" w:hAnsi="Abadi"/>
          <w:b w:val="0"/>
          <w:bCs w:val="0"/>
          <w:sz w:val="21"/>
          <w:szCs w:val="21"/>
        </w:rPr>
        <w:t>de</w:t>
      </w:r>
      <w:r w:rsidRPr="007C2763">
        <w:rPr>
          <w:rFonts w:ascii="Abadi" w:hAnsi="Abadi"/>
          <w:b w:val="0"/>
          <w:bCs w:val="0"/>
          <w:spacing w:val="13"/>
          <w:sz w:val="21"/>
          <w:szCs w:val="21"/>
        </w:rPr>
        <w:t xml:space="preserve"> </w:t>
      </w:r>
      <w:r w:rsidRPr="007C2763">
        <w:rPr>
          <w:rFonts w:ascii="Abadi" w:hAnsi="Abadi"/>
          <w:b w:val="0"/>
          <w:bCs w:val="0"/>
          <w:sz w:val="21"/>
          <w:szCs w:val="21"/>
        </w:rPr>
        <w:t>tierra</w:t>
      </w:r>
      <w:r w:rsidRPr="007C2763">
        <w:rPr>
          <w:rFonts w:ascii="Abadi" w:hAnsi="Abadi"/>
          <w:b w:val="0"/>
          <w:bCs w:val="0"/>
          <w:spacing w:val="13"/>
          <w:sz w:val="21"/>
          <w:szCs w:val="21"/>
        </w:rPr>
        <w:t xml:space="preserve"> </w:t>
      </w:r>
      <w:r w:rsidRPr="007C2763">
        <w:rPr>
          <w:rFonts w:ascii="Abadi" w:hAnsi="Abadi"/>
          <w:b w:val="0"/>
          <w:bCs w:val="0"/>
          <w:sz w:val="21"/>
          <w:szCs w:val="21"/>
        </w:rPr>
        <w:t>del</w:t>
      </w:r>
      <w:r w:rsidRPr="007C2763">
        <w:rPr>
          <w:rFonts w:ascii="Abadi" w:hAnsi="Abadi"/>
          <w:b w:val="0"/>
          <w:bCs w:val="0"/>
          <w:spacing w:val="14"/>
          <w:sz w:val="21"/>
          <w:szCs w:val="21"/>
        </w:rPr>
        <w:t xml:space="preserve"> </w:t>
      </w:r>
      <w:r w:rsidRPr="007C2763">
        <w:rPr>
          <w:rFonts w:ascii="Abadi" w:hAnsi="Abadi"/>
          <w:b w:val="0"/>
          <w:bCs w:val="0"/>
          <w:sz w:val="21"/>
          <w:szCs w:val="21"/>
        </w:rPr>
        <w:t>Continente Americano</w:t>
      </w:r>
      <w:r w:rsidRPr="007C2763">
        <w:rPr>
          <w:rFonts w:ascii="Abadi" w:hAnsi="Abadi"/>
          <w:b w:val="0"/>
          <w:bCs w:val="0"/>
          <w:spacing w:val="26"/>
          <w:sz w:val="21"/>
          <w:szCs w:val="21"/>
        </w:rPr>
        <w:t xml:space="preserve"> </w:t>
      </w:r>
      <w:r w:rsidRPr="007C2763">
        <w:rPr>
          <w:rFonts w:ascii="Abadi" w:hAnsi="Abadi"/>
          <w:b w:val="0"/>
          <w:bCs w:val="0"/>
          <w:sz w:val="21"/>
          <w:szCs w:val="21"/>
        </w:rPr>
        <w:t>fue</w:t>
      </w:r>
      <w:r w:rsidRPr="007C2763">
        <w:rPr>
          <w:rFonts w:ascii="Abadi" w:hAnsi="Abadi"/>
          <w:b w:val="0"/>
          <w:bCs w:val="0"/>
          <w:spacing w:val="27"/>
          <w:sz w:val="21"/>
          <w:szCs w:val="21"/>
        </w:rPr>
        <w:t xml:space="preserve"> </w:t>
      </w:r>
      <w:r w:rsidRPr="007C2763">
        <w:rPr>
          <w:rFonts w:ascii="Abadi" w:hAnsi="Abadi"/>
          <w:b w:val="0"/>
          <w:bCs w:val="0"/>
          <w:sz w:val="21"/>
          <w:szCs w:val="21"/>
        </w:rPr>
        <w:t>atendido</w:t>
      </w:r>
      <w:r w:rsidRPr="007C2763">
        <w:rPr>
          <w:rFonts w:ascii="Abadi" w:hAnsi="Abadi"/>
          <w:b w:val="0"/>
          <w:bCs w:val="0"/>
          <w:spacing w:val="30"/>
          <w:sz w:val="21"/>
          <w:szCs w:val="21"/>
        </w:rPr>
        <w:t xml:space="preserve"> </w:t>
      </w:r>
      <w:r w:rsidRPr="007C2763">
        <w:rPr>
          <w:rFonts w:ascii="Abadi" w:hAnsi="Abadi"/>
          <w:b w:val="0"/>
          <w:bCs w:val="0"/>
          <w:sz w:val="21"/>
          <w:szCs w:val="21"/>
        </w:rPr>
        <w:t>por</w:t>
      </w:r>
      <w:r w:rsidRPr="007C2763">
        <w:rPr>
          <w:rFonts w:ascii="Abadi" w:hAnsi="Abadi"/>
          <w:b w:val="0"/>
          <w:bCs w:val="0"/>
          <w:spacing w:val="28"/>
          <w:sz w:val="21"/>
          <w:szCs w:val="21"/>
        </w:rPr>
        <w:t xml:space="preserve"> </w:t>
      </w:r>
      <w:r w:rsidRPr="007C2763">
        <w:rPr>
          <w:rFonts w:ascii="Abadi" w:hAnsi="Abadi"/>
          <w:b w:val="0"/>
          <w:bCs w:val="0"/>
          <w:sz w:val="21"/>
          <w:szCs w:val="21"/>
        </w:rPr>
        <w:t>los</w:t>
      </w:r>
      <w:r w:rsidRPr="007C2763">
        <w:rPr>
          <w:rFonts w:ascii="Abadi" w:hAnsi="Abadi"/>
          <w:b w:val="0"/>
          <w:bCs w:val="0"/>
          <w:spacing w:val="29"/>
          <w:sz w:val="21"/>
          <w:szCs w:val="21"/>
        </w:rPr>
        <w:t xml:space="preserve"> </w:t>
      </w:r>
      <w:r w:rsidRPr="007C2763">
        <w:rPr>
          <w:rFonts w:ascii="Abadi" w:hAnsi="Abadi"/>
          <w:b w:val="0"/>
          <w:bCs w:val="0"/>
          <w:sz w:val="21"/>
          <w:szCs w:val="21"/>
        </w:rPr>
        <w:t>colonizadores</w:t>
      </w:r>
      <w:r w:rsidRPr="007C2763">
        <w:rPr>
          <w:rFonts w:ascii="Abadi" w:hAnsi="Abadi"/>
          <w:b w:val="0"/>
          <w:bCs w:val="0"/>
          <w:spacing w:val="29"/>
          <w:sz w:val="21"/>
          <w:szCs w:val="21"/>
        </w:rPr>
        <w:t xml:space="preserve"> </w:t>
      </w:r>
      <w:r w:rsidRPr="007C2763">
        <w:rPr>
          <w:rFonts w:ascii="Abadi" w:hAnsi="Abadi"/>
          <w:b w:val="0"/>
          <w:bCs w:val="0"/>
          <w:sz w:val="21"/>
          <w:szCs w:val="21"/>
        </w:rPr>
        <w:t>españoles</w:t>
      </w:r>
      <w:r w:rsidRPr="007C2763">
        <w:rPr>
          <w:rFonts w:ascii="Abadi" w:hAnsi="Abadi"/>
          <w:b w:val="0"/>
          <w:bCs w:val="0"/>
          <w:spacing w:val="29"/>
          <w:sz w:val="21"/>
          <w:szCs w:val="21"/>
        </w:rPr>
        <w:t xml:space="preserve"> </w:t>
      </w:r>
      <w:r w:rsidRPr="007C2763">
        <w:rPr>
          <w:rFonts w:ascii="Abadi" w:hAnsi="Abadi"/>
          <w:b w:val="0"/>
          <w:bCs w:val="0"/>
          <w:sz w:val="21"/>
          <w:szCs w:val="21"/>
        </w:rPr>
        <w:t>mediante</w:t>
      </w:r>
      <w:r w:rsidRPr="007C2763">
        <w:rPr>
          <w:rFonts w:ascii="Abadi" w:hAnsi="Abadi"/>
          <w:b w:val="0"/>
          <w:bCs w:val="0"/>
          <w:spacing w:val="30"/>
          <w:sz w:val="21"/>
          <w:szCs w:val="21"/>
        </w:rPr>
        <w:t xml:space="preserve"> </w:t>
      </w:r>
      <w:r w:rsidRPr="007C2763">
        <w:rPr>
          <w:rFonts w:ascii="Abadi" w:hAnsi="Abadi"/>
          <w:b w:val="0"/>
          <w:bCs w:val="0"/>
          <w:sz w:val="21"/>
          <w:szCs w:val="21"/>
        </w:rPr>
        <w:t>la</w:t>
      </w:r>
      <w:r w:rsidRPr="007C2763">
        <w:rPr>
          <w:rFonts w:ascii="Abadi" w:hAnsi="Abadi"/>
          <w:b w:val="0"/>
          <w:bCs w:val="0"/>
          <w:spacing w:val="27"/>
          <w:sz w:val="21"/>
          <w:szCs w:val="21"/>
        </w:rPr>
        <w:t xml:space="preserve"> </w:t>
      </w:r>
      <w:r w:rsidRPr="007C2763">
        <w:rPr>
          <w:rFonts w:ascii="Abadi" w:hAnsi="Abadi"/>
          <w:b w:val="0"/>
          <w:bCs w:val="0"/>
          <w:sz w:val="21"/>
          <w:szCs w:val="21"/>
        </w:rPr>
        <w:t>entrega</w:t>
      </w:r>
      <w:r w:rsidRPr="007C2763">
        <w:rPr>
          <w:rFonts w:ascii="Abadi" w:hAnsi="Abadi"/>
          <w:b w:val="0"/>
          <w:bCs w:val="0"/>
          <w:spacing w:val="27"/>
          <w:sz w:val="21"/>
          <w:szCs w:val="21"/>
        </w:rPr>
        <w:t xml:space="preserve"> </w:t>
      </w:r>
      <w:r w:rsidRPr="007C2763">
        <w:rPr>
          <w:rFonts w:ascii="Abadi" w:hAnsi="Abadi"/>
          <w:b w:val="0"/>
          <w:bCs w:val="0"/>
          <w:sz w:val="21"/>
          <w:szCs w:val="21"/>
        </w:rPr>
        <w:t>en propiedad</w:t>
      </w:r>
      <w:r w:rsidRPr="007C2763">
        <w:rPr>
          <w:rFonts w:ascii="Abadi" w:hAnsi="Abadi"/>
          <w:b w:val="0"/>
          <w:bCs w:val="0"/>
          <w:spacing w:val="59"/>
          <w:sz w:val="21"/>
          <w:szCs w:val="21"/>
        </w:rPr>
        <w:t xml:space="preserve"> </w:t>
      </w:r>
      <w:r w:rsidRPr="007C2763">
        <w:rPr>
          <w:rFonts w:ascii="Abadi" w:hAnsi="Abadi"/>
          <w:b w:val="0"/>
          <w:bCs w:val="0"/>
          <w:sz w:val="21"/>
          <w:szCs w:val="21"/>
        </w:rPr>
        <w:t>a</w:t>
      </w:r>
      <w:r w:rsidRPr="007C2763">
        <w:rPr>
          <w:rFonts w:ascii="Abadi" w:hAnsi="Abadi"/>
          <w:b w:val="0"/>
          <w:bCs w:val="0"/>
          <w:spacing w:val="62"/>
          <w:sz w:val="21"/>
          <w:szCs w:val="21"/>
        </w:rPr>
        <w:t xml:space="preserve"> </w:t>
      </w:r>
      <w:r w:rsidRPr="007C2763">
        <w:rPr>
          <w:rFonts w:ascii="Abadi" w:hAnsi="Abadi"/>
          <w:b w:val="0"/>
          <w:bCs w:val="0"/>
          <w:sz w:val="21"/>
          <w:szCs w:val="21"/>
        </w:rPr>
        <w:t>personas,</w:t>
      </w:r>
      <w:r w:rsidRPr="007C2763">
        <w:rPr>
          <w:rFonts w:ascii="Abadi" w:hAnsi="Abadi"/>
          <w:b w:val="0"/>
          <w:bCs w:val="0"/>
          <w:spacing w:val="61"/>
          <w:sz w:val="21"/>
          <w:szCs w:val="21"/>
        </w:rPr>
        <w:t xml:space="preserve"> </w:t>
      </w:r>
      <w:r w:rsidRPr="007C2763">
        <w:rPr>
          <w:rFonts w:ascii="Abadi" w:hAnsi="Abadi"/>
          <w:b w:val="0"/>
          <w:bCs w:val="0"/>
          <w:sz w:val="21"/>
          <w:szCs w:val="21"/>
        </w:rPr>
        <w:t>familias</w:t>
      </w:r>
      <w:r w:rsidRPr="007C2763">
        <w:rPr>
          <w:rFonts w:ascii="Abadi" w:hAnsi="Abadi"/>
          <w:b w:val="0"/>
          <w:bCs w:val="0"/>
          <w:spacing w:val="61"/>
          <w:sz w:val="21"/>
          <w:szCs w:val="21"/>
        </w:rPr>
        <w:t xml:space="preserve"> </w:t>
      </w:r>
      <w:r w:rsidRPr="007C2763">
        <w:rPr>
          <w:rFonts w:ascii="Abadi" w:hAnsi="Abadi"/>
          <w:b w:val="0"/>
          <w:bCs w:val="0"/>
          <w:sz w:val="21"/>
          <w:szCs w:val="21"/>
        </w:rPr>
        <w:t>o</w:t>
      </w:r>
      <w:r w:rsidRPr="007C2763">
        <w:rPr>
          <w:rFonts w:ascii="Abadi" w:hAnsi="Abadi"/>
          <w:b w:val="0"/>
          <w:bCs w:val="0"/>
          <w:spacing w:val="59"/>
          <w:sz w:val="21"/>
          <w:szCs w:val="21"/>
        </w:rPr>
        <w:t xml:space="preserve"> </w:t>
      </w:r>
      <w:r w:rsidRPr="007C2763">
        <w:rPr>
          <w:rFonts w:ascii="Abadi" w:hAnsi="Abadi"/>
          <w:b w:val="0"/>
          <w:bCs w:val="0"/>
          <w:sz w:val="21"/>
          <w:szCs w:val="21"/>
        </w:rPr>
        <w:t>entidades</w:t>
      </w:r>
      <w:r w:rsidRPr="007C2763">
        <w:rPr>
          <w:rFonts w:ascii="Abadi" w:hAnsi="Abadi"/>
          <w:b w:val="0"/>
          <w:bCs w:val="0"/>
          <w:spacing w:val="58"/>
          <w:sz w:val="21"/>
          <w:szCs w:val="21"/>
        </w:rPr>
        <w:t xml:space="preserve"> </w:t>
      </w:r>
      <w:r w:rsidRPr="007C2763">
        <w:rPr>
          <w:rFonts w:ascii="Abadi" w:hAnsi="Abadi"/>
          <w:b w:val="0"/>
          <w:bCs w:val="0"/>
          <w:sz w:val="21"/>
          <w:szCs w:val="21"/>
        </w:rPr>
        <w:t>de</w:t>
      </w:r>
      <w:r w:rsidRPr="007C2763">
        <w:rPr>
          <w:rFonts w:ascii="Abadi" w:hAnsi="Abadi"/>
          <w:b w:val="0"/>
          <w:bCs w:val="0"/>
          <w:spacing w:val="59"/>
          <w:sz w:val="21"/>
          <w:szCs w:val="21"/>
        </w:rPr>
        <w:t xml:space="preserve"> </w:t>
      </w:r>
      <w:r w:rsidRPr="007C2763">
        <w:rPr>
          <w:rFonts w:ascii="Abadi" w:hAnsi="Abadi"/>
          <w:b w:val="0"/>
          <w:bCs w:val="0"/>
          <w:sz w:val="21"/>
          <w:szCs w:val="21"/>
        </w:rPr>
        <w:t>grandes</w:t>
      </w:r>
      <w:r w:rsidRPr="007C2763">
        <w:rPr>
          <w:rFonts w:ascii="Abadi" w:hAnsi="Abadi"/>
          <w:b w:val="0"/>
          <w:bCs w:val="0"/>
          <w:spacing w:val="61"/>
          <w:sz w:val="21"/>
          <w:szCs w:val="21"/>
        </w:rPr>
        <w:t xml:space="preserve"> </w:t>
      </w:r>
      <w:r w:rsidRPr="007C2763">
        <w:rPr>
          <w:rFonts w:ascii="Abadi" w:hAnsi="Abadi"/>
          <w:b w:val="0"/>
          <w:bCs w:val="0"/>
          <w:sz w:val="21"/>
          <w:szCs w:val="21"/>
        </w:rPr>
        <w:t>predios</w:t>
      </w:r>
      <w:r w:rsidRPr="007C2763">
        <w:rPr>
          <w:rFonts w:ascii="Abadi" w:hAnsi="Abadi"/>
          <w:b w:val="0"/>
          <w:bCs w:val="0"/>
          <w:spacing w:val="61"/>
          <w:sz w:val="21"/>
          <w:szCs w:val="21"/>
        </w:rPr>
        <w:t xml:space="preserve"> </w:t>
      </w:r>
      <w:r w:rsidRPr="007C2763">
        <w:rPr>
          <w:rFonts w:ascii="Abadi" w:hAnsi="Abadi"/>
          <w:b w:val="0"/>
          <w:bCs w:val="0"/>
          <w:sz w:val="21"/>
          <w:szCs w:val="21"/>
        </w:rPr>
        <w:t>para</w:t>
      </w:r>
      <w:r w:rsidRPr="007C2763">
        <w:rPr>
          <w:rFonts w:ascii="Abadi" w:hAnsi="Abadi"/>
          <w:b w:val="0"/>
          <w:bCs w:val="0"/>
          <w:spacing w:val="62"/>
          <w:sz w:val="21"/>
          <w:szCs w:val="21"/>
        </w:rPr>
        <w:t xml:space="preserve"> </w:t>
      </w:r>
      <w:r w:rsidRPr="007C2763">
        <w:rPr>
          <w:rFonts w:ascii="Abadi" w:hAnsi="Abadi"/>
          <w:b w:val="0"/>
          <w:bCs w:val="0"/>
          <w:sz w:val="21"/>
          <w:szCs w:val="21"/>
        </w:rPr>
        <w:t>su explotación</w:t>
      </w:r>
      <w:r w:rsidRPr="007C2763">
        <w:rPr>
          <w:rFonts w:ascii="Abadi" w:hAnsi="Abadi"/>
          <w:b w:val="0"/>
          <w:bCs w:val="0"/>
          <w:spacing w:val="14"/>
          <w:sz w:val="21"/>
          <w:szCs w:val="21"/>
        </w:rPr>
        <w:t xml:space="preserve"> </w:t>
      </w:r>
      <w:r w:rsidRPr="007C2763">
        <w:rPr>
          <w:rFonts w:ascii="Abadi" w:hAnsi="Abadi"/>
          <w:b w:val="0"/>
          <w:bCs w:val="0"/>
          <w:sz w:val="21"/>
          <w:szCs w:val="21"/>
        </w:rPr>
        <w:t>agropecuaria</w:t>
      </w:r>
      <w:r w:rsidRPr="007C2763">
        <w:rPr>
          <w:rFonts w:ascii="Abadi" w:hAnsi="Abadi"/>
          <w:b w:val="0"/>
          <w:bCs w:val="0"/>
          <w:spacing w:val="14"/>
          <w:sz w:val="21"/>
          <w:szCs w:val="21"/>
        </w:rPr>
        <w:t xml:space="preserve"> </w:t>
      </w:r>
      <w:r w:rsidRPr="007C2763">
        <w:rPr>
          <w:rFonts w:ascii="Abadi" w:hAnsi="Abadi"/>
          <w:b w:val="0"/>
          <w:bCs w:val="0"/>
          <w:sz w:val="21"/>
          <w:szCs w:val="21"/>
        </w:rPr>
        <w:t>principalmente,</w:t>
      </w:r>
      <w:r w:rsidRPr="007C2763">
        <w:rPr>
          <w:rFonts w:ascii="Abadi" w:hAnsi="Abadi"/>
          <w:b w:val="0"/>
          <w:bCs w:val="0"/>
          <w:spacing w:val="11"/>
          <w:sz w:val="21"/>
          <w:szCs w:val="21"/>
        </w:rPr>
        <w:t xml:space="preserve"> </w:t>
      </w:r>
      <w:r w:rsidRPr="007C2763">
        <w:rPr>
          <w:rFonts w:ascii="Abadi" w:hAnsi="Abadi"/>
          <w:b w:val="0"/>
          <w:bCs w:val="0"/>
          <w:sz w:val="21"/>
          <w:szCs w:val="21"/>
        </w:rPr>
        <w:t>dando</w:t>
      </w:r>
      <w:r w:rsidRPr="007C2763">
        <w:rPr>
          <w:rFonts w:ascii="Abadi" w:hAnsi="Abadi"/>
          <w:b w:val="0"/>
          <w:bCs w:val="0"/>
          <w:spacing w:val="14"/>
          <w:sz w:val="21"/>
          <w:szCs w:val="21"/>
        </w:rPr>
        <w:t xml:space="preserve"> </w:t>
      </w:r>
      <w:r w:rsidRPr="007C2763">
        <w:rPr>
          <w:rFonts w:ascii="Abadi" w:hAnsi="Abadi"/>
          <w:b w:val="0"/>
          <w:bCs w:val="0"/>
          <w:sz w:val="21"/>
          <w:szCs w:val="21"/>
        </w:rPr>
        <w:t>origen</w:t>
      </w:r>
      <w:r w:rsidRPr="007C2763">
        <w:rPr>
          <w:rFonts w:ascii="Abadi" w:hAnsi="Abadi"/>
          <w:b w:val="0"/>
          <w:bCs w:val="0"/>
          <w:spacing w:val="14"/>
          <w:sz w:val="21"/>
          <w:szCs w:val="21"/>
        </w:rPr>
        <w:t xml:space="preserve"> </w:t>
      </w:r>
      <w:r w:rsidRPr="007C2763">
        <w:rPr>
          <w:rFonts w:ascii="Abadi" w:hAnsi="Abadi"/>
          <w:b w:val="0"/>
          <w:bCs w:val="0"/>
          <w:sz w:val="21"/>
          <w:szCs w:val="21"/>
        </w:rPr>
        <w:t>a</w:t>
      </w:r>
      <w:r w:rsidRPr="007C2763">
        <w:rPr>
          <w:rFonts w:ascii="Abadi" w:hAnsi="Abadi"/>
          <w:b w:val="0"/>
          <w:bCs w:val="0"/>
          <w:spacing w:val="14"/>
          <w:sz w:val="21"/>
          <w:szCs w:val="21"/>
        </w:rPr>
        <w:t xml:space="preserve"> </w:t>
      </w:r>
      <w:r w:rsidRPr="007C2763">
        <w:rPr>
          <w:rFonts w:ascii="Abadi" w:hAnsi="Abadi"/>
          <w:b w:val="0"/>
          <w:bCs w:val="0"/>
          <w:sz w:val="21"/>
          <w:szCs w:val="21"/>
        </w:rPr>
        <w:t>las</w:t>
      </w:r>
      <w:r w:rsidRPr="007C2763">
        <w:rPr>
          <w:rFonts w:ascii="Abadi" w:hAnsi="Abadi"/>
          <w:b w:val="0"/>
          <w:bCs w:val="0"/>
          <w:spacing w:val="13"/>
          <w:sz w:val="21"/>
          <w:szCs w:val="21"/>
        </w:rPr>
        <w:t xml:space="preserve"> </w:t>
      </w:r>
      <w:r w:rsidRPr="007C2763">
        <w:rPr>
          <w:rFonts w:ascii="Abadi" w:hAnsi="Abadi"/>
          <w:b w:val="0"/>
          <w:bCs w:val="0"/>
          <w:sz w:val="21"/>
          <w:szCs w:val="21"/>
        </w:rPr>
        <w:t>instituciones denominadas "Heredad"</w:t>
      </w:r>
      <w:r w:rsidRPr="007C2763">
        <w:rPr>
          <w:rFonts w:ascii="Abadi" w:hAnsi="Abadi"/>
          <w:b w:val="0"/>
          <w:bCs w:val="0"/>
          <w:spacing w:val="1"/>
          <w:sz w:val="21"/>
          <w:szCs w:val="21"/>
        </w:rPr>
        <w:t xml:space="preserve"> </w:t>
      </w:r>
      <w:r w:rsidRPr="007C2763">
        <w:rPr>
          <w:rFonts w:ascii="Abadi" w:hAnsi="Abadi"/>
          <w:b w:val="0"/>
          <w:bCs w:val="0"/>
          <w:sz w:val="21"/>
          <w:szCs w:val="21"/>
        </w:rPr>
        <w:t>y</w:t>
      </w:r>
      <w:r w:rsidRPr="007C2763">
        <w:rPr>
          <w:rFonts w:ascii="Abadi" w:hAnsi="Abadi"/>
          <w:b w:val="0"/>
          <w:bCs w:val="0"/>
          <w:spacing w:val="-2"/>
          <w:sz w:val="21"/>
          <w:szCs w:val="21"/>
        </w:rPr>
        <w:t xml:space="preserve"> </w:t>
      </w:r>
      <w:r w:rsidRPr="007C2763">
        <w:rPr>
          <w:rFonts w:ascii="Abadi" w:hAnsi="Abadi"/>
          <w:b w:val="0"/>
          <w:bCs w:val="0"/>
          <w:sz w:val="21"/>
          <w:szCs w:val="21"/>
        </w:rPr>
        <w:t>posteriormente</w:t>
      </w:r>
      <w:r w:rsidRPr="007C2763">
        <w:rPr>
          <w:rFonts w:ascii="Abadi" w:hAnsi="Abadi"/>
          <w:b w:val="0"/>
          <w:bCs w:val="0"/>
          <w:spacing w:val="-1"/>
          <w:sz w:val="21"/>
          <w:szCs w:val="21"/>
        </w:rPr>
        <w:t xml:space="preserve"> </w:t>
      </w:r>
      <w:r w:rsidRPr="007C2763">
        <w:rPr>
          <w:rFonts w:ascii="Abadi" w:hAnsi="Abadi"/>
          <w:b w:val="0"/>
          <w:bCs w:val="0"/>
          <w:sz w:val="21"/>
          <w:szCs w:val="21"/>
        </w:rPr>
        <w:t>"Haciendas".</w:t>
      </w:r>
    </w:p>
    <w:p w14:paraId="43406F1D" w14:textId="77777777" w:rsidR="00374A1E" w:rsidRPr="007C2763" w:rsidRDefault="00374A1E" w:rsidP="00374A1E">
      <w:pPr>
        <w:pStyle w:val="Textoindependiente"/>
        <w:kinsoku w:val="0"/>
        <w:overflowPunct w:val="0"/>
        <w:rPr>
          <w:rFonts w:ascii="Abadi" w:hAnsi="Abadi"/>
          <w:b w:val="0"/>
          <w:bCs w:val="0"/>
          <w:sz w:val="21"/>
          <w:szCs w:val="21"/>
        </w:rPr>
      </w:pPr>
    </w:p>
    <w:p w14:paraId="19F38D8B" w14:textId="77777777" w:rsidR="00374A1E" w:rsidRPr="007C2763" w:rsidRDefault="00374A1E" w:rsidP="00374A1E">
      <w:pPr>
        <w:pStyle w:val="Textoindependiente"/>
        <w:kinsoku w:val="0"/>
        <w:overflowPunct w:val="0"/>
        <w:ind w:right="116" w:firstLine="708"/>
        <w:rPr>
          <w:rFonts w:ascii="Abadi" w:hAnsi="Abadi"/>
          <w:b w:val="0"/>
          <w:bCs w:val="0"/>
          <w:sz w:val="21"/>
          <w:szCs w:val="21"/>
        </w:rPr>
      </w:pPr>
      <w:r w:rsidRPr="007C2763">
        <w:rPr>
          <w:rFonts w:ascii="Abadi" w:hAnsi="Abadi"/>
          <w:b w:val="0"/>
          <w:bCs w:val="0"/>
          <w:sz w:val="21"/>
          <w:szCs w:val="21"/>
        </w:rPr>
        <w:t>En</w:t>
      </w:r>
      <w:r w:rsidRPr="007C2763">
        <w:rPr>
          <w:rFonts w:ascii="Abadi" w:hAnsi="Abadi"/>
          <w:b w:val="0"/>
          <w:bCs w:val="0"/>
          <w:spacing w:val="46"/>
          <w:sz w:val="21"/>
          <w:szCs w:val="21"/>
        </w:rPr>
        <w:t xml:space="preserve"> </w:t>
      </w:r>
      <w:r w:rsidRPr="007C2763">
        <w:rPr>
          <w:rFonts w:ascii="Abadi" w:hAnsi="Abadi"/>
          <w:b w:val="0"/>
          <w:bCs w:val="0"/>
          <w:sz w:val="21"/>
          <w:szCs w:val="21"/>
        </w:rPr>
        <w:t>1590</w:t>
      </w:r>
      <w:r w:rsidRPr="007C2763">
        <w:rPr>
          <w:rFonts w:ascii="Abadi" w:hAnsi="Abadi"/>
          <w:b w:val="0"/>
          <w:bCs w:val="0"/>
          <w:spacing w:val="47"/>
          <w:sz w:val="21"/>
          <w:szCs w:val="21"/>
        </w:rPr>
        <w:t xml:space="preserve"> </w:t>
      </w:r>
      <w:r w:rsidRPr="007C2763">
        <w:rPr>
          <w:rFonts w:ascii="Abadi" w:hAnsi="Abadi"/>
          <w:b w:val="0"/>
          <w:bCs w:val="0"/>
          <w:sz w:val="21"/>
          <w:szCs w:val="21"/>
        </w:rPr>
        <w:t>la</w:t>
      </w:r>
      <w:r w:rsidRPr="007C2763">
        <w:rPr>
          <w:rFonts w:ascii="Abadi" w:hAnsi="Abadi"/>
          <w:b w:val="0"/>
          <w:bCs w:val="0"/>
          <w:spacing w:val="44"/>
          <w:sz w:val="21"/>
          <w:szCs w:val="21"/>
        </w:rPr>
        <w:t xml:space="preserve"> </w:t>
      </w:r>
      <w:r w:rsidRPr="007C2763">
        <w:rPr>
          <w:rFonts w:ascii="Abadi" w:hAnsi="Abadi"/>
          <w:b w:val="0"/>
          <w:bCs w:val="0"/>
          <w:sz w:val="21"/>
          <w:szCs w:val="21"/>
        </w:rPr>
        <w:t>Compañía</w:t>
      </w:r>
      <w:r w:rsidRPr="007C2763">
        <w:rPr>
          <w:rFonts w:ascii="Abadi" w:hAnsi="Abadi"/>
          <w:b w:val="0"/>
          <w:bCs w:val="0"/>
          <w:spacing w:val="46"/>
          <w:sz w:val="21"/>
          <w:szCs w:val="21"/>
        </w:rPr>
        <w:t xml:space="preserve"> </w:t>
      </w:r>
      <w:r w:rsidRPr="007C2763">
        <w:rPr>
          <w:rFonts w:ascii="Abadi" w:hAnsi="Abadi"/>
          <w:b w:val="0"/>
          <w:bCs w:val="0"/>
          <w:sz w:val="21"/>
          <w:szCs w:val="21"/>
        </w:rPr>
        <w:t>de</w:t>
      </w:r>
      <w:r w:rsidRPr="007C2763">
        <w:rPr>
          <w:rFonts w:ascii="Abadi" w:hAnsi="Abadi"/>
          <w:b w:val="0"/>
          <w:bCs w:val="0"/>
          <w:spacing w:val="47"/>
          <w:sz w:val="21"/>
          <w:szCs w:val="21"/>
        </w:rPr>
        <w:t xml:space="preserve"> </w:t>
      </w:r>
      <w:r w:rsidRPr="007C2763">
        <w:rPr>
          <w:rFonts w:ascii="Abadi" w:hAnsi="Abadi"/>
          <w:b w:val="0"/>
          <w:bCs w:val="0"/>
          <w:sz w:val="21"/>
          <w:szCs w:val="21"/>
        </w:rPr>
        <w:t>Jesús</w:t>
      </w:r>
      <w:r w:rsidRPr="007C2763">
        <w:rPr>
          <w:rFonts w:ascii="Abadi" w:hAnsi="Abadi"/>
          <w:b w:val="0"/>
          <w:bCs w:val="0"/>
          <w:spacing w:val="46"/>
          <w:sz w:val="21"/>
          <w:szCs w:val="21"/>
        </w:rPr>
        <w:t xml:space="preserve"> </w:t>
      </w:r>
      <w:r w:rsidRPr="007C2763">
        <w:rPr>
          <w:rFonts w:ascii="Abadi" w:hAnsi="Abadi"/>
          <w:b w:val="0"/>
          <w:bCs w:val="0"/>
          <w:sz w:val="21"/>
          <w:szCs w:val="21"/>
        </w:rPr>
        <w:t>se</w:t>
      </w:r>
      <w:r w:rsidRPr="007C2763">
        <w:rPr>
          <w:rFonts w:ascii="Abadi" w:hAnsi="Abadi"/>
          <w:b w:val="0"/>
          <w:bCs w:val="0"/>
          <w:spacing w:val="46"/>
          <w:sz w:val="21"/>
          <w:szCs w:val="21"/>
        </w:rPr>
        <w:t xml:space="preserve"> </w:t>
      </w:r>
      <w:r w:rsidRPr="007C2763">
        <w:rPr>
          <w:rFonts w:ascii="Abadi" w:hAnsi="Abadi"/>
          <w:b w:val="0"/>
          <w:bCs w:val="0"/>
          <w:sz w:val="21"/>
          <w:szCs w:val="21"/>
        </w:rPr>
        <w:t>establece</w:t>
      </w:r>
      <w:r w:rsidRPr="007C2763">
        <w:rPr>
          <w:rFonts w:ascii="Abadi" w:hAnsi="Abadi"/>
          <w:b w:val="0"/>
          <w:bCs w:val="0"/>
          <w:spacing w:val="44"/>
          <w:sz w:val="21"/>
          <w:szCs w:val="21"/>
        </w:rPr>
        <w:t xml:space="preserve"> </w:t>
      </w:r>
      <w:r w:rsidRPr="007C2763">
        <w:rPr>
          <w:rFonts w:ascii="Abadi" w:hAnsi="Abadi"/>
          <w:b w:val="0"/>
          <w:bCs w:val="0"/>
          <w:sz w:val="21"/>
          <w:szCs w:val="21"/>
        </w:rPr>
        <w:t>en</w:t>
      </w:r>
      <w:r w:rsidRPr="007C2763">
        <w:rPr>
          <w:rFonts w:ascii="Abadi" w:hAnsi="Abadi"/>
          <w:b w:val="0"/>
          <w:bCs w:val="0"/>
          <w:spacing w:val="44"/>
          <w:sz w:val="21"/>
          <w:szCs w:val="21"/>
        </w:rPr>
        <w:t xml:space="preserve"> </w:t>
      </w:r>
      <w:r w:rsidRPr="007C2763">
        <w:rPr>
          <w:rFonts w:ascii="Abadi" w:hAnsi="Abadi"/>
          <w:b w:val="0"/>
          <w:bCs w:val="0"/>
          <w:sz w:val="21"/>
          <w:szCs w:val="21"/>
        </w:rPr>
        <w:t>San</w:t>
      </w:r>
      <w:r w:rsidRPr="007C2763">
        <w:rPr>
          <w:rFonts w:ascii="Abadi" w:hAnsi="Abadi"/>
          <w:b w:val="0"/>
          <w:bCs w:val="0"/>
          <w:spacing w:val="43"/>
          <w:sz w:val="21"/>
          <w:szCs w:val="21"/>
        </w:rPr>
        <w:t xml:space="preserve"> </w:t>
      </w:r>
      <w:r w:rsidRPr="007C2763">
        <w:rPr>
          <w:rFonts w:ascii="Abadi" w:hAnsi="Abadi"/>
          <w:b w:val="0"/>
          <w:bCs w:val="0"/>
          <w:sz w:val="21"/>
          <w:szCs w:val="21"/>
        </w:rPr>
        <w:t>Luis</w:t>
      </w:r>
      <w:r w:rsidRPr="007C2763">
        <w:rPr>
          <w:rFonts w:ascii="Abadi" w:hAnsi="Abadi"/>
          <w:b w:val="0"/>
          <w:bCs w:val="0"/>
          <w:spacing w:val="46"/>
          <w:sz w:val="21"/>
          <w:szCs w:val="21"/>
        </w:rPr>
        <w:t xml:space="preserve"> </w:t>
      </w:r>
      <w:r w:rsidRPr="007C2763">
        <w:rPr>
          <w:rFonts w:ascii="Abadi" w:hAnsi="Abadi"/>
          <w:b w:val="0"/>
          <w:bCs w:val="0"/>
          <w:sz w:val="21"/>
          <w:szCs w:val="21"/>
        </w:rPr>
        <w:t>de</w:t>
      </w:r>
      <w:r w:rsidRPr="007C2763">
        <w:rPr>
          <w:rFonts w:ascii="Abadi" w:hAnsi="Abadi"/>
          <w:b w:val="0"/>
          <w:bCs w:val="0"/>
          <w:spacing w:val="47"/>
          <w:sz w:val="21"/>
          <w:szCs w:val="21"/>
        </w:rPr>
        <w:t xml:space="preserve"> </w:t>
      </w:r>
      <w:r w:rsidRPr="007C2763">
        <w:rPr>
          <w:rFonts w:ascii="Abadi" w:hAnsi="Abadi"/>
          <w:b w:val="0"/>
          <w:bCs w:val="0"/>
          <w:sz w:val="21"/>
          <w:szCs w:val="21"/>
        </w:rPr>
        <w:t>la</w:t>
      </w:r>
      <w:r w:rsidRPr="007C2763">
        <w:rPr>
          <w:rFonts w:ascii="Abadi" w:hAnsi="Abadi"/>
          <w:b w:val="0"/>
          <w:bCs w:val="0"/>
          <w:spacing w:val="46"/>
          <w:sz w:val="21"/>
          <w:szCs w:val="21"/>
        </w:rPr>
        <w:t xml:space="preserve"> </w:t>
      </w:r>
      <w:r w:rsidRPr="007C2763">
        <w:rPr>
          <w:rFonts w:ascii="Abadi" w:hAnsi="Abadi"/>
          <w:b w:val="0"/>
          <w:bCs w:val="0"/>
          <w:sz w:val="21"/>
          <w:szCs w:val="21"/>
        </w:rPr>
        <w:t>Paz</w:t>
      </w:r>
      <w:r w:rsidRPr="007C2763">
        <w:rPr>
          <w:rFonts w:ascii="Abadi" w:hAnsi="Abadi"/>
          <w:b w:val="0"/>
          <w:bCs w:val="0"/>
          <w:spacing w:val="46"/>
          <w:sz w:val="21"/>
          <w:szCs w:val="21"/>
        </w:rPr>
        <w:t xml:space="preserve"> </w:t>
      </w:r>
      <w:r w:rsidRPr="007C2763">
        <w:rPr>
          <w:rFonts w:ascii="Abadi" w:hAnsi="Abadi"/>
          <w:b w:val="0"/>
          <w:bCs w:val="0"/>
          <w:sz w:val="21"/>
          <w:szCs w:val="21"/>
        </w:rPr>
        <w:t>en donde</w:t>
      </w:r>
      <w:r w:rsidRPr="007C2763">
        <w:rPr>
          <w:rFonts w:ascii="Abadi" w:hAnsi="Abadi"/>
          <w:b w:val="0"/>
          <w:bCs w:val="0"/>
          <w:spacing w:val="6"/>
          <w:sz w:val="21"/>
          <w:szCs w:val="21"/>
        </w:rPr>
        <w:t xml:space="preserve"> </w:t>
      </w:r>
      <w:r w:rsidRPr="007C2763">
        <w:rPr>
          <w:rFonts w:ascii="Abadi" w:hAnsi="Abadi"/>
          <w:b w:val="0"/>
          <w:bCs w:val="0"/>
          <w:sz w:val="21"/>
          <w:szCs w:val="21"/>
        </w:rPr>
        <w:t>fundan</w:t>
      </w:r>
      <w:r w:rsidRPr="007C2763">
        <w:rPr>
          <w:rFonts w:ascii="Abadi" w:hAnsi="Abadi"/>
          <w:b w:val="0"/>
          <w:bCs w:val="0"/>
          <w:spacing w:val="6"/>
          <w:sz w:val="21"/>
          <w:szCs w:val="21"/>
        </w:rPr>
        <w:t xml:space="preserve"> </w:t>
      </w:r>
      <w:r w:rsidRPr="007C2763">
        <w:rPr>
          <w:rFonts w:ascii="Abadi" w:hAnsi="Abadi"/>
          <w:b w:val="0"/>
          <w:bCs w:val="0"/>
          <w:sz w:val="21"/>
          <w:szCs w:val="21"/>
        </w:rPr>
        <w:t>Colegio</w:t>
      </w:r>
      <w:r w:rsidRPr="007C2763">
        <w:rPr>
          <w:rFonts w:ascii="Abadi" w:hAnsi="Abadi"/>
          <w:b w:val="0"/>
          <w:bCs w:val="0"/>
          <w:spacing w:val="3"/>
          <w:sz w:val="21"/>
          <w:szCs w:val="21"/>
        </w:rPr>
        <w:t xml:space="preserve"> </w:t>
      </w:r>
      <w:r w:rsidRPr="007C2763">
        <w:rPr>
          <w:rFonts w:ascii="Abadi" w:hAnsi="Abadi"/>
          <w:b w:val="0"/>
          <w:bCs w:val="0"/>
          <w:sz w:val="21"/>
          <w:szCs w:val="21"/>
        </w:rPr>
        <w:t>y</w:t>
      </w:r>
      <w:r w:rsidRPr="007C2763">
        <w:rPr>
          <w:rFonts w:ascii="Abadi" w:hAnsi="Abadi"/>
          <w:b w:val="0"/>
          <w:bCs w:val="0"/>
          <w:spacing w:val="5"/>
          <w:sz w:val="21"/>
          <w:szCs w:val="21"/>
        </w:rPr>
        <w:t xml:space="preserve"> </w:t>
      </w:r>
      <w:r w:rsidRPr="007C2763">
        <w:rPr>
          <w:rFonts w:ascii="Abadi" w:hAnsi="Abadi"/>
          <w:b w:val="0"/>
          <w:bCs w:val="0"/>
          <w:sz w:val="21"/>
          <w:szCs w:val="21"/>
        </w:rPr>
        <w:t>establecen</w:t>
      </w:r>
      <w:r w:rsidRPr="007C2763">
        <w:rPr>
          <w:rFonts w:ascii="Abadi" w:hAnsi="Abadi"/>
          <w:b w:val="0"/>
          <w:bCs w:val="0"/>
          <w:spacing w:val="3"/>
          <w:sz w:val="21"/>
          <w:szCs w:val="21"/>
        </w:rPr>
        <w:t xml:space="preserve"> </w:t>
      </w:r>
      <w:r w:rsidRPr="007C2763">
        <w:rPr>
          <w:rFonts w:ascii="Abadi" w:hAnsi="Abadi"/>
          <w:b w:val="0"/>
          <w:bCs w:val="0"/>
          <w:sz w:val="21"/>
          <w:szCs w:val="21"/>
        </w:rPr>
        <w:t>las</w:t>
      </w:r>
      <w:r w:rsidRPr="007C2763">
        <w:rPr>
          <w:rFonts w:ascii="Abadi" w:hAnsi="Abadi"/>
          <w:b w:val="0"/>
          <w:bCs w:val="0"/>
          <w:spacing w:val="5"/>
          <w:sz w:val="21"/>
          <w:szCs w:val="21"/>
        </w:rPr>
        <w:t xml:space="preserve"> </w:t>
      </w:r>
      <w:r w:rsidRPr="007C2763">
        <w:rPr>
          <w:rFonts w:ascii="Abadi" w:hAnsi="Abadi"/>
          <w:b w:val="0"/>
          <w:bCs w:val="0"/>
          <w:sz w:val="21"/>
          <w:szCs w:val="21"/>
        </w:rPr>
        <w:t>Haciendas</w:t>
      </w:r>
      <w:r w:rsidRPr="007C2763">
        <w:rPr>
          <w:rFonts w:ascii="Abadi" w:hAnsi="Abadi"/>
          <w:b w:val="0"/>
          <w:bCs w:val="0"/>
          <w:spacing w:val="2"/>
          <w:sz w:val="21"/>
          <w:szCs w:val="21"/>
        </w:rPr>
        <w:t xml:space="preserve"> </w:t>
      </w:r>
      <w:r w:rsidRPr="007C2763">
        <w:rPr>
          <w:rFonts w:ascii="Abadi" w:hAnsi="Abadi"/>
          <w:b w:val="0"/>
          <w:bCs w:val="0"/>
          <w:sz w:val="21"/>
          <w:szCs w:val="21"/>
        </w:rPr>
        <w:t>de</w:t>
      </w:r>
      <w:r w:rsidRPr="007C2763">
        <w:rPr>
          <w:rFonts w:ascii="Abadi" w:hAnsi="Abadi"/>
          <w:b w:val="0"/>
          <w:bCs w:val="0"/>
          <w:spacing w:val="3"/>
          <w:sz w:val="21"/>
          <w:szCs w:val="21"/>
        </w:rPr>
        <w:t xml:space="preserve"> </w:t>
      </w:r>
      <w:r w:rsidRPr="007C2763">
        <w:rPr>
          <w:rFonts w:ascii="Abadi" w:hAnsi="Abadi"/>
          <w:b w:val="0"/>
          <w:bCs w:val="0"/>
          <w:sz w:val="21"/>
          <w:szCs w:val="21"/>
        </w:rPr>
        <w:t>Palmar</w:t>
      </w:r>
      <w:r w:rsidRPr="007C2763">
        <w:rPr>
          <w:rFonts w:ascii="Abadi" w:hAnsi="Abadi"/>
          <w:b w:val="0"/>
          <w:bCs w:val="0"/>
          <w:spacing w:val="4"/>
          <w:sz w:val="21"/>
          <w:szCs w:val="21"/>
        </w:rPr>
        <w:t xml:space="preserve"> </w:t>
      </w:r>
      <w:r w:rsidRPr="007C2763">
        <w:rPr>
          <w:rFonts w:ascii="Abadi" w:hAnsi="Abadi"/>
          <w:b w:val="0"/>
          <w:bCs w:val="0"/>
          <w:sz w:val="21"/>
          <w:szCs w:val="21"/>
        </w:rPr>
        <w:t>de</w:t>
      </w:r>
      <w:r w:rsidRPr="007C2763">
        <w:rPr>
          <w:rFonts w:ascii="Abadi" w:hAnsi="Abadi"/>
          <w:b w:val="0"/>
          <w:bCs w:val="0"/>
          <w:spacing w:val="3"/>
          <w:sz w:val="21"/>
          <w:szCs w:val="21"/>
        </w:rPr>
        <w:t xml:space="preserve"> </w:t>
      </w:r>
      <w:r w:rsidRPr="007C2763">
        <w:rPr>
          <w:rFonts w:ascii="Abadi" w:hAnsi="Abadi"/>
          <w:b w:val="0"/>
          <w:bCs w:val="0"/>
          <w:sz w:val="21"/>
          <w:szCs w:val="21"/>
        </w:rPr>
        <w:t>Vega,</w:t>
      </w:r>
      <w:r w:rsidRPr="007C2763">
        <w:rPr>
          <w:rFonts w:ascii="Abadi" w:hAnsi="Abadi"/>
          <w:b w:val="0"/>
          <w:bCs w:val="0"/>
          <w:spacing w:val="5"/>
          <w:sz w:val="21"/>
          <w:szCs w:val="21"/>
        </w:rPr>
        <w:t xml:space="preserve"> </w:t>
      </w:r>
      <w:r w:rsidRPr="007C2763">
        <w:rPr>
          <w:rFonts w:ascii="Abadi" w:hAnsi="Abadi"/>
          <w:b w:val="0"/>
          <w:bCs w:val="0"/>
          <w:sz w:val="21"/>
          <w:szCs w:val="21"/>
        </w:rPr>
        <w:t>Santa</w:t>
      </w:r>
      <w:r w:rsidRPr="007C2763">
        <w:rPr>
          <w:rFonts w:ascii="Abadi" w:hAnsi="Abadi"/>
          <w:b w:val="0"/>
          <w:bCs w:val="0"/>
          <w:spacing w:val="6"/>
          <w:sz w:val="21"/>
          <w:szCs w:val="21"/>
        </w:rPr>
        <w:t xml:space="preserve"> </w:t>
      </w:r>
      <w:r w:rsidRPr="007C2763">
        <w:rPr>
          <w:rFonts w:ascii="Abadi" w:hAnsi="Abadi"/>
          <w:b w:val="0"/>
          <w:bCs w:val="0"/>
          <w:sz w:val="21"/>
          <w:szCs w:val="21"/>
        </w:rPr>
        <w:t>Ana, San</w:t>
      </w:r>
      <w:r w:rsidRPr="007C2763">
        <w:rPr>
          <w:rFonts w:ascii="Abadi" w:hAnsi="Abadi"/>
          <w:b w:val="0"/>
          <w:bCs w:val="0"/>
          <w:spacing w:val="1"/>
          <w:sz w:val="21"/>
          <w:szCs w:val="21"/>
        </w:rPr>
        <w:t xml:space="preserve"> </w:t>
      </w:r>
      <w:r w:rsidRPr="007C2763">
        <w:rPr>
          <w:rFonts w:ascii="Abadi" w:hAnsi="Abadi"/>
          <w:b w:val="0"/>
          <w:bCs w:val="0"/>
          <w:sz w:val="21"/>
          <w:szCs w:val="21"/>
        </w:rPr>
        <w:t>José</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Lobos y</w:t>
      </w:r>
      <w:r w:rsidRPr="007C2763">
        <w:rPr>
          <w:rFonts w:ascii="Abadi" w:hAnsi="Abadi"/>
          <w:b w:val="0"/>
          <w:bCs w:val="0"/>
          <w:spacing w:val="-2"/>
          <w:sz w:val="21"/>
          <w:szCs w:val="21"/>
        </w:rPr>
        <w:t xml:space="preserve"> </w:t>
      </w:r>
      <w:r w:rsidRPr="007C2763">
        <w:rPr>
          <w:rFonts w:ascii="Abadi" w:hAnsi="Abadi"/>
          <w:b w:val="0"/>
          <w:bCs w:val="0"/>
          <w:sz w:val="21"/>
          <w:szCs w:val="21"/>
        </w:rPr>
        <w:t>el Agostadero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Charcas,</w:t>
      </w:r>
      <w:r w:rsidRPr="007C2763">
        <w:rPr>
          <w:rFonts w:ascii="Abadi" w:hAnsi="Abadi"/>
          <w:b w:val="0"/>
          <w:bCs w:val="0"/>
          <w:spacing w:val="1"/>
          <w:sz w:val="21"/>
          <w:szCs w:val="21"/>
        </w:rPr>
        <w:t xml:space="preserve"> </w:t>
      </w:r>
      <w:r w:rsidRPr="007C2763">
        <w:rPr>
          <w:rFonts w:ascii="Abadi" w:hAnsi="Abadi"/>
          <w:b w:val="0"/>
          <w:bCs w:val="0"/>
          <w:sz w:val="21"/>
          <w:szCs w:val="21"/>
        </w:rPr>
        <w:t>esta</w:t>
      </w:r>
      <w:r w:rsidRPr="007C2763">
        <w:rPr>
          <w:rFonts w:ascii="Abadi" w:hAnsi="Abadi"/>
          <w:b w:val="0"/>
          <w:bCs w:val="0"/>
          <w:spacing w:val="1"/>
          <w:sz w:val="21"/>
          <w:szCs w:val="21"/>
        </w:rPr>
        <w:t xml:space="preserve"> </w:t>
      </w:r>
      <w:r w:rsidRPr="007C2763">
        <w:rPr>
          <w:rFonts w:ascii="Abadi" w:hAnsi="Abadi"/>
          <w:b w:val="0"/>
          <w:bCs w:val="0"/>
          <w:sz w:val="21"/>
          <w:szCs w:val="21"/>
        </w:rPr>
        <w:t>última</w:t>
      </w:r>
      <w:r w:rsidRPr="007C2763">
        <w:rPr>
          <w:rFonts w:ascii="Abadi" w:hAnsi="Abadi"/>
          <w:b w:val="0"/>
          <w:bCs w:val="0"/>
          <w:spacing w:val="1"/>
          <w:sz w:val="21"/>
          <w:szCs w:val="21"/>
        </w:rPr>
        <w:t xml:space="preserve"> </w:t>
      </w:r>
      <w:r w:rsidRPr="007C2763">
        <w:rPr>
          <w:rFonts w:ascii="Abadi" w:hAnsi="Abadi"/>
          <w:b w:val="0"/>
          <w:bCs w:val="0"/>
          <w:sz w:val="21"/>
          <w:szCs w:val="21"/>
        </w:rPr>
        <w:t>en</w:t>
      </w:r>
      <w:r w:rsidRPr="007C2763">
        <w:rPr>
          <w:rFonts w:ascii="Abadi" w:hAnsi="Abadi"/>
          <w:b w:val="0"/>
          <w:bCs w:val="0"/>
          <w:spacing w:val="2"/>
          <w:sz w:val="21"/>
          <w:szCs w:val="21"/>
        </w:rPr>
        <w:t xml:space="preserve"> </w:t>
      </w:r>
      <w:r w:rsidRPr="007C2763">
        <w:rPr>
          <w:rFonts w:ascii="Abadi" w:hAnsi="Abadi"/>
          <w:b w:val="0"/>
          <w:bCs w:val="0"/>
          <w:sz w:val="21"/>
          <w:szCs w:val="21"/>
        </w:rPr>
        <w:t>el territorio</w:t>
      </w:r>
      <w:r w:rsidRPr="007C2763">
        <w:rPr>
          <w:rFonts w:ascii="Abadi" w:hAnsi="Abadi"/>
          <w:b w:val="0"/>
          <w:bCs w:val="0"/>
          <w:spacing w:val="1"/>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hoy ocupa</w:t>
      </w:r>
      <w:r w:rsidRPr="007C2763">
        <w:rPr>
          <w:rFonts w:ascii="Abadi" w:hAnsi="Abadi"/>
          <w:b w:val="0"/>
          <w:bCs w:val="0"/>
          <w:spacing w:val="1"/>
          <w:sz w:val="21"/>
          <w:szCs w:val="21"/>
        </w:rPr>
        <w:t xml:space="preserve"> </w:t>
      </w:r>
      <w:r w:rsidRPr="007C2763">
        <w:rPr>
          <w:rFonts w:ascii="Abadi" w:hAnsi="Abadi"/>
          <w:b w:val="0"/>
          <w:bCs w:val="0"/>
          <w:sz w:val="21"/>
          <w:szCs w:val="21"/>
        </w:rPr>
        <w:t>la</w:t>
      </w:r>
      <w:r w:rsidRPr="007C2763">
        <w:rPr>
          <w:rFonts w:ascii="Abadi" w:hAnsi="Abadi"/>
          <w:b w:val="0"/>
          <w:bCs w:val="0"/>
          <w:spacing w:val="1"/>
          <w:sz w:val="21"/>
          <w:szCs w:val="21"/>
        </w:rPr>
        <w:t xml:space="preserve"> </w:t>
      </w:r>
      <w:r w:rsidRPr="007C2763">
        <w:rPr>
          <w:rFonts w:ascii="Abadi" w:hAnsi="Abadi"/>
          <w:b w:val="0"/>
          <w:bCs w:val="0"/>
          <w:sz w:val="21"/>
          <w:szCs w:val="21"/>
        </w:rPr>
        <w:t>ciudad</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Dr.</w:t>
      </w:r>
      <w:r w:rsidRPr="007C2763">
        <w:rPr>
          <w:rFonts w:ascii="Abadi" w:hAnsi="Abadi"/>
          <w:b w:val="0"/>
          <w:bCs w:val="0"/>
          <w:spacing w:val="1"/>
          <w:sz w:val="21"/>
          <w:szCs w:val="21"/>
        </w:rPr>
        <w:t xml:space="preserve"> </w:t>
      </w:r>
      <w:r w:rsidRPr="007C2763">
        <w:rPr>
          <w:rFonts w:ascii="Abadi" w:hAnsi="Abadi"/>
          <w:b w:val="0"/>
          <w:bCs w:val="0"/>
          <w:sz w:val="21"/>
          <w:szCs w:val="21"/>
        </w:rPr>
        <w:t>Mora.</w:t>
      </w:r>
    </w:p>
    <w:p w14:paraId="2F89D774" w14:textId="77777777" w:rsidR="00374A1E" w:rsidRPr="007C2763" w:rsidRDefault="00374A1E" w:rsidP="00374A1E">
      <w:pPr>
        <w:pStyle w:val="Textoindependiente"/>
        <w:kinsoku w:val="0"/>
        <w:overflowPunct w:val="0"/>
        <w:rPr>
          <w:rFonts w:ascii="Abadi" w:hAnsi="Abadi"/>
          <w:b w:val="0"/>
          <w:bCs w:val="0"/>
          <w:sz w:val="21"/>
          <w:szCs w:val="21"/>
        </w:rPr>
      </w:pPr>
    </w:p>
    <w:p w14:paraId="561B3B55" w14:textId="77777777" w:rsidR="00374A1E" w:rsidRPr="007C2763" w:rsidRDefault="00374A1E" w:rsidP="00374A1E">
      <w:pPr>
        <w:pStyle w:val="Textoindependiente"/>
        <w:kinsoku w:val="0"/>
        <w:overflowPunct w:val="0"/>
        <w:ind w:right="114" w:firstLine="708"/>
        <w:rPr>
          <w:rFonts w:ascii="Abadi" w:hAnsi="Abadi"/>
          <w:b w:val="0"/>
          <w:bCs w:val="0"/>
          <w:sz w:val="21"/>
          <w:szCs w:val="21"/>
        </w:rPr>
      </w:pPr>
      <w:r w:rsidRPr="007C2763">
        <w:rPr>
          <w:rFonts w:ascii="Abadi" w:hAnsi="Abadi"/>
          <w:b w:val="0"/>
          <w:bCs w:val="0"/>
          <w:sz w:val="21"/>
          <w:szCs w:val="21"/>
        </w:rPr>
        <w:t>Colonizar</w:t>
      </w:r>
      <w:r w:rsidRPr="007C2763">
        <w:rPr>
          <w:rFonts w:ascii="Abadi" w:hAnsi="Abadi"/>
          <w:b w:val="0"/>
          <w:bCs w:val="0"/>
          <w:spacing w:val="26"/>
          <w:sz w:val="21"/>
          <w:szCs w:val="21"/>
        </w:rPr>
        <w:t xml:space="preserve"> </w:t>
      </w:r>
      <w:r w:rsidRPr="007C2763">
        <w:rPr>
          <w:rFonts w:ascii="Abadi" w:hAnsi="Abadi"/>
          <w:b w:val="0"/>
          <w:bCs w:val="0"/>
          <w:sz w:val="21"/>
          <w:szCs w:val="21"/>
        </w:rPr>
        <w:t>el</w:t>
      </w:r>
      <w:r w:rsidRPr="007C2763">
        <w:rPr>
          <w:rFonts w:ascii="Abadi" w:hAnsi="Abadi"/>
          <w:b w:val="0"/>
          <w:bCs w:val="0"/>
          <w:spacing w:val="25"/>
          <w:sz w:val="21"/>
          <w:szCs w:val="21"/>
        </w:rPr>
        <w:t xml:space="preserve"> </w:t>
      </w:r>
      <w:r w:rsidRPr="007C2763">
        <w:rPr>
          <w:rFonts w:ascii="Abadi" w:hAnsi="Abadi"/>
          <w:b w:val="0"/>
          <w:bCs w:val="0"/>
          <w:sz w:val="21"/>
          <w:szCs w:val="21"/>
        </w:rPr>
        <w:t>territorio</w:t>
      </w:r>
      <w:r w:rsidRPr="007C2763">
        <w:rPr>
          <w:rFonts w:ascii="Abadi" w:hAnsi="Abadi"/>
          <w:b w:val="0"/>
          <w:bCs w:val="0"/>
          <w:spacing w:val="27"/>
          <w:sz w:val="21"/>
          <w:szCs w:val="21"/>
        </w:rPr>
        <w:t xml:space="preserve"> </w:t>
      </w:r>
      <w:r w:rsidRPr="007C2763">
        <w:rPr>
          <w:rFonts w:ascii="Abadi" w:hAnsi="Abadi"/>
          <w:b w:val="0"/>
          <w:bCs w:val="0"/>
          <w:sz w:val="21"/>
          <w:szCs w:val="21"/>
        </w:rPr>
        <w:t>de</w:t>
      </w:r>
      <w:r w:rsidRPr="007C2763">
        <w:rPr>
          <w:rFonts w:ascii="Abadi" w:hAnsi="Abadi"/>
          <w:b w:val="0"/>
          <w:bCs w:val="0"/>
          <w:spacing w:val="27"/>
          <w:sz w:val="21"/>
          <w:szCs w:val="21"/>
        </w:rPr>
        <w:t xml:space="preserve"> </w:t>
      </w:r>
      <w:r w:rsidRPr="007C2763">
        <w:rPr>
          <w:rFonts w:ascii="Abadi" w:hAnsi="Abadi"/>
          <w:b w:val="0"/>
          <w:bCs w:val="0"/>
          <w:sz w:val="21"/>
          <w:szCs w:val="21"/>
        </w:rPr>
        <w:t>la</w:t>
      </w:r>
      <w:r w:rsidRPr="007C2763">
        <w:rPr>
          <w:rFonts w:ascii="Abadi" w:hAnsi="Abadi"/>
          <w:b w:val="0"/>
          <w:bCs w:val="0"/>
          <w:spacing w:val="27"/>
          <w:sz w:val="21"/>
          <w:szCs w:val="21"/>
        </w:rPr>
        <w:t xml:space="preserve"> </w:t>
      </w:r>
      <w:r w:rsidRPr="007C2763">
        <w:rPr>
          <w:rFonts w:ascii="Abadi" w:hAnsi="Abadi"/>
          <w:b w:val="0"/>
          <w:bCs w:val="0"/>
          <w:sz w:val="21"/>
          <w:szCs w:val="21"/>
        </w:rPr>
        <w:t>Gran</w:t>
      </w:r>
      <w:r w:rsidRPr="007C2763">
        <w:rPr>
          <w:rFonts w:ascii="Abadi" w:hAnsi="Abadi"/>
          <w:b w:val="0"/>
          <w:bCs w:val="0"/>
          <w:spacing w:val="27"/>
          <w:sz w:val="21"/>
          <w:szCs w:val="21"/>
        </w:rPr>
        <w:t xml:space="preserve"> </w:t>
      </w:r>
      <w:r w:rsidRPr="007C2763">
        <w:rPr>
          <w:rFonts w:ascii="Abadi" w:hAnsi="Abadi"/>
          <w:b w:val="0"/>
          <w:bCs w:val="0"/>
          <w:sz w:val="21"/>
          <w:szCs w:val="21"/>
        </w:rPr>
        <w:t>Chichimeca</w:t>
      </w:r>
      <w:r w:rsidRPr="007C2763">
        <w:rPr>
          <w:rFonts w:ascii="Abadi" w:hAnsi="Abadi"/>
          <w:b w:val="0"/>
          <w:bCs w:val="0"/>
          <w:spacing w:val="27"/>
          <w:sz w:val="21"/>
          <w:szCs w:val="21"/>
        </w:rPr>
        <w:t xml:space="preserve"> </w:t>
      </w:r>
      <w:r w:rsidRPr="007C2763">
        <w:rPr>
          <w:rFonts w:ascii="Abadi" w:hAnsi="Abadi"/>
          <w:b w:val="0"/>
          <w:bCs w:val="0"/>
          <w:sz w:val="21"/>
          <w:szCs w:val="21"/>
        </w:rPr>
        <w:t>representaba</w:t>
      </w:r>
      <w:r w:rsidRPr="007C2763">
        <w:rPr>
          <w:rFonts w:ascii="Abadi" w:hAnsi="Abadi"/>
          <w:b w:val="0"/>
          <w:bCs w:val="0"/>
          <w:spacing w:val="27"/>
          <w:sz w:val="21"/>
          <w:szCs w:val="21"/>
        </w:rPr>
        <w:t xml:space="preserve"> </w:t>
      </w:r>
      <w:r w:rsidRPr="007C2763">
        <w:rPr>
          <w:rFonts w:ascii="Abadi" w:hAnsi="Abadi"/>
          <w:b w:val="0"/>
          <w:bCs w:val="0"/>
          <w:sz w:val="21"/>
          <w:szCs w:val="21"/>
        </w:rPr>
        <w:t>complicaciones especiales.</w:t>
      </w:r>
      <w:r w:rsidRPr="007C2763">
        <w:rPr>
          <w:rFonts w:ascii="Abadi" w:hAnsi="Abadi"/>
          <w:b w:val="0"/>
          <w:bCs w:val="0"/>
          <w:spacing w:val="39"/>
          <w:sz w:val="21"/>
          <w:szCs w:val="21"/>
        </w:rPr>
        <w:t xml:space="preserve"> </w:t>
      </w:r>
      <w:r w:rsidRPr="007C2763">
        <w:rPr>
          <w:rFonts w:ascii="Abadi" w:hAnsi="Abadi"/>
          <w:b w:val="0"/>
          <w:bCs w:val="0"/>
          <w:sz w:val="21"/>
          <w:szCs w:val="21"/>
        </w:rPr>
        <w:t>Habitada</w:t>
      </w:r>
      <w:r w:rsidRPr="007C2763">
        <w:rPr>
          <w:rFonts w:ascii="Abadi" w:hAnsi="Abadi"/>
          <w:b w:val="0"/>
          <w:bCs w:val="0"/>
          <w:spacing w:val="37"/>
          <w:sz w:val="21"/>
          <w:szCs w:val="21"/>
        </w:rPr>
        <w:t xml:space="preserve"> </w:t>
      </w:r>
      <w:r w:rsidRPr="007C2763">
        <w:rPr>
          <w:rFonts w:ascii="Abadi" w:hAnsi="Abadi"/>
          <w:b w:val="0"/>
          <w:bCs w:val="0"/>
          <w:sz w:val="21"/>
          <w:szCs w:val="21"/>
        </w:rPr>
        <w:t>por</w:t>
      </w:r>
      <w:r w:rsidRPr="007C2763">
        <w:rPr>
          <w:rFonts w:ascii="Abadi" w:hAnsi="Abadi"/>
          <w:b w:val="0"/>
          <w:bCs w:val="0"/>
          <w:spacing w:val="37"/>
          <w:sz w:val="21"/>
          <w:szCs w:val="21"/>
        </w:rPr>
        <w:t xml:space="preserve"> </w:t>
      </w:r>
      <w:r w:rsidRPr="007C2763">
        <w:rPr>
          <w:rFonts w:ascii="Abadi" w:hAnsi="Abadi"/>
          <w:b w:val="0"/>
          <w:bCs w:val="0"/>
          <w:sz w:val="21"/>
          <w:szCs w:val="21"/>
        </w:rPr>
        <w:t>indígenas</w:t>
      </w:r>
      <w:r w:rsidRPr="007C2763">
        <w:rPr>
          <w:rFonts w:ascii="Abadi" w:hAnsi="Abadi"/>
          <w:b w:val="0"/>
          <w:bCs w:val="0"/>
          <w:spacing w:val="39"/>
          <w:sz w:val="21"/>
          <w:szCs w:val="21"/>
        </w:rPr>
        <w:t xml:space="preserve"> </w:t>
      </w:r>
      <w:r w:rsidRPr="007C2763">
        <w:rPr>
          <w:rFonts w:ascii="Abadi" w:hAnsi="Abadi"/>
          <w:b w:val="0"/>
          <w:bCs w:val="0"/>
          <w:sz w:val="21"/>
          <w:szCs w:val="21"/>
        </w:rPr>
        <w:t>Chichimecas</w:t>
      </w:r>
      <w:r w:rsidRPr="007C2763">
        <w:rPr>
          <w:rFonts w:ascii="Abadi" w:hAnsi="Abadi"/>
          <w:b w:val="0"/>
          <w:bCs w:val="0"/>
          <w:spacing w:val="39"/>
          <w:sz w:val="21"/>
          <w:szCs w:val="21"/>
        </w:rPr>
        <w:t xml:space="preserve"> </w:t>
      </w:r>
      <w:r w:rsidRPr="007C2763">
        <w:rPr>
          <w:rFonts w:ascii="Abadi" w:hAnsi="Abadi"/>
          <w:b w:val="0"/>
          <w:bCs w:val="0"/>
          <w:sz w:val="21"/>
          <w:szCs w:val="21"/>
        </w:rPr>
        <w:t>cuya</w:t>
      </w:r>
      <w:r w:rsidRPr="007C2763">
        <w:rPr>
          <w:rFonts w:ascii="Abadi" w:hAnsi="Abadi"/>
          <w:b w:val="0"/>
          <w:bCs w:val="0"/>
          <w:spacing w:val="39"/>
          <w:sz w:val="21"/>
          <w:szCs w:val="21"/>
        </w:rPr>
        <w:t xml:space="preserve"> </w:t>
      </w:r>
      <w:r w:rsidRPr="007C2763">
        <w:rPr>
          <w:rFonts w:ascii="Abadi" w:hAnsi="Abadi"/>
          <w:b w:val="0"/>
          <w:bCs w:val="0"/>
          <w:sz w:val="21"/>
          <w:szCs w:val="21"/>
        </w:rPr>
        <w:t>principal</w:t>
      </w:r>
      <w:r w:rsidRPr="007C2763">
        <w:rPr>
          <w:rFonts w:ascii="Abadi" w:hAnsi="Abadi"/>
          <w:b w:val="0"/>
          <w:bCs w:val="0"/>
          <w:spacing w:val="38"/>
          <w:sz w:val="21"/>
          <w:szCs w:val="21"/>
        </w:rPr>
        <w:t xml:space="preserve"> </w:t>
      </w:r>
      <w:r w:rsidRPr="007C2763">
        <w:rPr>
          <w:rFonts w:ascii="Abadi" w:hAnsi="Abadi"/>
          <w:b w:val="0"/>
          <w:bCs w:val="0"/>
          <w:sz w:val="21"/>
          <w:szCs w:val="21"/>
        </w:rPr>
        <w:t>actividad,</w:t>
      </w:r>
      <w:r w:rsidRPr="007C2763">
        <w:rPr>
          <w:rFonts w:ascii="Abadi" w:hAnsi="Abadi"/>
          <w:b w:val="0"/>
          <w:bCs w:val="0"/>
          <w:spacing w:val="39"/>
          <w:sz w:val="21"/>
          <w:szCs w:val="21"/>
        </w:rPr>
        <w:t xml:space="preserve"> </w:t>
      </w:r>
      <w:r w:rsidRPr="007C2763">
        <w:rPr>
          <w:rFonts w:ascii="Abadi" w:hAnsi="Abadi"/>
          <w:b w:val="0"/>
          <w:bCs w:val="0"/>
          <w:sz w:val="21"/>
          <w:szCs w:val="21"/>
        </w:rPr>
        <w:t>según algunos</w:t>
      </w:r>
      <w:r w:rsidRPr="007C2763">
        <w:rPr>
          <w:rFonts w:ascii="Abadi" w:hAnsi="Abadi"/>
          <w:b w:val="0"/>
          <w:bCs w:val="0"/>
          <w:spacing w:val="5"/>
          <w:sz w:val="21"/>
          <w:szCs w:val="21"/>
        </w:rPr>
        <w:t xml:space="preserve"> </w:t>
      </w:r>
      <w:r w:rsidRPr="007C2763">
        <w:rPr>
          <w:rFonts w:ascii="Abadi" w:hAnsi="Abadi"/>
          <w:b w:val="0"/>
          <w:bCs w:val="0"/>
          <w:sz w:val="21"/>
          <w:szCs w:val="21"/>
        </w:rPr>
        <w:t>historiadores,</w:t>
      </w:r>
      <w:r w:rsidRPr="007C2763">
        <w:rPr>
          <w:rFonts w:ascii="Abadi" w:hAnsi="Abadi"/>
          <w:b w:val="0"/>
          <w:bCs w:val="0"/>
          <w:spacing w:val="1"/>
          <w:sz w:val="21"/>
          <w:szCs w:val="21"/>
        </w:rPr>
        <w:t xml:space="preserve"> </w:t>
      </w:r>
      <w:r w:rsidRPr="007C2763">
        <w:rPr>
          <w:rFonts w:ascii="Abadi" w:hAnsi="Abadi"/>
          <w:b w:val="0"/>
          <w:bCs w:val="0"/>
          <w:sz w:val="21"/>
          <w:szCs w:val="21"/>
        </w:rPr>
        <w:t>eran</w:t>
      </w:r>
      <w:r w:rsidRPr="007C2763">
        <w:rPr>
          <w:rFonts w:ascii="Abadi" w:hAnsi="Abadi"/>
          <w:b w:val="0"/>
          <w:bCs w:val="0"/>
          <w:spacing w:val="6"/>
          <w:sz w:val="21"/>
          <w:szCs w:val="21"/>
        </w:rPr>
        <w:t xml:space="preserve"> </w:t>
      </w:r>
      <w:r w:rsidRPr="007C2763">
        <w:rPr>
          <w:rFonts w:ascii="Abadi" w:hAnsi="Abadi"/>
          <w:b w:val="0"/>
          <w:bCs w:val="0"/>
          <w:sz w:val="21"/>
          <w:szCs w:val="21"/>
        </w:rPr>
        <w:t>la</w:t>
      </w:r>
      <w:r w:rsidRPr="007C2763">
        <w:rPr>
          <w:rFonts w:ascii="Abadi" w:hAnsi="Abadi"/>
          <w:b w:val="0"/>
          <w:bCs w:val="0"/>
          <w:spacing w:val="6"/>
          <w:sz w:val="21"/>
          <w:szCs w:val="21"/>
        </w:rPr>
        <w:t xml:space="preserve"> </w:t>
      </w:r>
      <w:r w:rsidRPr="007C2763">
        <w:rPr>
          <w:rFonts w:ascii="Abadi" w:hAnsi="Abadi"/>
          <w:b w:val="0"/>
          <w:bCs w:val="0"/>
          <w:sz w:val="21"/>
          <w:szCs w:val="21"/>
        </w:rPr>
        <w:t>caza</w:t>
      </w:r>
      <w:r w:rsidRPr="007C2763">
        <w:rPr>
          <w:rFonts w:ascii="Abadi" w:hAnsi="Abadi"/>
          <w:b w:val="0"/>
          <w:bCs w:val="0"/>
          <w:spacing w:val="6"/>
          <w:sz w:val="21"/>
          <w:szCs w:val="21"/>
        </w:rPr>
        <w:t xml:space="preserve"> </w:t>
      </w:r>
      <w:r w:rsidRPr="007C2763">
        <w:rPr>
          <w:rFonts w:ascii="Abadi" w:hAnsi="Abadi"/>
          <w:b w:val="0"/>
          <w:bCs w:val="0"/>
          <w:sz w:val="21"/>
          <w:szCs w:val="21"/>
        </w:rPr>
        <w:t>y</w:t>
      </w:r>
      <w:r w:rsidRPr="007C2763">
        <w:rPr>
          <w:rFonts w:ascii="Abadi" w:hAnsi="Abadi"/>
          <w:b w:val="0"/>
          <w:bCs w:val="0"/>
          <w:spacing w:val="5"/>
          <w:sz w:val="21"/>
          <w:szCs w:val="21"/>
        </w:rPr>
        <w:t xml:space="preserve"> </w:t>
      </w:r>
      <w:r w:rsidRPr="007C2763">
        <w:rPr>
          <w:rFonts w:ascii="Abadi" w:hAnsi="Abadi"/>
          <w:b w:val="0"/>
          <w:bCs w:val="0"/>
          <w:sz w:val="21"/>
          <w:szCs w:val="21"/>
        </w:rPr>
        <w:t>la</w:t>
      </w:r>
      <w:r w:rsidRPr="007C2763">
        <w:rPr>
          <w:rFonts w:ascii="Abadi" w:hAnsi="Abadi"/>
          <w:b w:val="0"/>
          <w:bCs w:val="0"/>
          <w:spacing w:val="3"/>
          <w:sz w:val="21"/>
          <w:szCs w:val="21"/>
        </w:rPr>
        <w:t xml:space="preserve"> </w:t>
      </w:r>
      <w:r w:rsidRPr="007C2763">
        <w:rPr>
          <w:rFonts w:ascii="Abadi" w:hAnsi="Abadi"/>
          <w:b w:val="0"/>
          <w:bCs w:val="0"/>
          <w:sz w:val="21"/>
          <w:szCs w:val="21"/>
        </w:rPr>
        <w:t>guerra,</w:t>
      </w:r>
      <w:r w:rsidRPr="007C2763">
        <w:rPr>
          <w:rFonts w:ascii="Abadi" w:hAnsi="Abadi"/>
          <w:b w:val="0"/>
          <w:bCs w:val="0"/>
          <w:spacing w:val="5"/>
          <w:sz w:val="21"/>
          <w:szCs w:val="21"/>
        </w:rPr>
        <w:t xml:space="preserve"> </w:t>
      </w:r>
      <w:r w:rsidRPr="007C2763">
        <w:rPr>
          <w:rFonts w:ascii="Abadi" w:hAnsi="Abadi"/>
          <w:b w:val="0"/>
          <w:bCs w:val="0"/>
          <w:sz w:val="21"/>
          <w:szCs w:val="21"/>
        </w:rPr>
        <w:t>hacía</w:t>
      </w:r>
      <w:r w:rsidRPr="007C2763">
        <w:rPr>
          <w:rFonts w:ascii="Abadi" w:hAnsi="Abadi"/>
          <w:b w:val="0"/>
          <w:bCs w:val="0"/>
          <w:spacing w:val="3"/>
          <w:sz w:val="21"/>
          <w:szCs w:val="21"/>
        </w:rPr>
        <w:t xml:space="preserve"> </w:t>
      </w:r>
      <w:r w:rsidRPr="007C2763">
        <w:rPr>
          <w:rFonts w:ascii="Abadi" w:hAnsi="Abadi"/>
          <w:b w:val="0"/>
          <w:bCs w:val="0"/>
          <w:sz w:val="21"/>
          <w:szCs w:val="21"/>
        </w:rPr>
        <w:t>que</w:t>
      </w:r>
      <w:r w:rsidRPr="007C2763">
        <w:rPr>
          <w:rFonts w:ascii="Abadi" w:hAnsi="Abadi"/>
          <w:b w:val="0"/>
          <w:bCs w:val="0"/>
          <w:spacing w:val="3"/>
          <w:sz w:val="21"/>
          <w:szCs w:val="21"/>
        </w:rPr>
        <w:t xml:space="preserve"> </w:t>
      </w:r>
      <w:r w:rsidRPr="007C2763">
        <w:rPr>
          <w:rFonts w:ascii="Abadi" w:hAnsi="Abadi"/>
          <w:b w:val="0"/>
          <w:bCs w:val="0"/>
          <w:sz w:val="21"/>
          <w:szCs w:val="21"/>
        </w:rPr>
        <w:t>las</w:t>
      </w:r>
      <w:r w:rsidRPr="007C2763">
        <w:rPr>
          <w:rFonts w:ascii="Abadi" w:hAnsi="Abadi"/>
          <w:b w:val="0"/>
          <w:bCs w:val="0"/>
          <w:spacing w:val="5"/>
          <w:sz w:val="21"/>
          <w:szCs w:val="21"/>
        </w:rPr>
        <w:t xml:space="preserve"> </w:t>
      </w:r>
      <w:r w:rsidRPr="007C2763">
        <w:rPr>
          <w:rFonts w:ascii="Abadi" w:hAnsi="Abadi"/>
          <w:b w:val="0"/>
          <w:bCs w:val="0"/>
          <w:sz w:val="21"/>
          <w:szCs w:val="21"/>
        </w:rPr>
        <w:t>incursiones</w:t>
      </w:r>
      <w:r w:rsidRPr="007C2763">
        <w:rPr>
          <w:rFonts w:ascii="Abadi" w:hAnsi="Abadi"/>
          <w:b w:val="0"/>
          <w:bCs w:val="0"/>
          <w:spacing w:val="5"/>
          <w:sz w:val="21"/>
          <w:szCs w:val="21"/>
        </w:rPr>
        <w:t xml:space="preserve"> </w:t>
      </w:r>
      <w:r w:rsidRPr="007C2763">
        <w:rPr>
          <w:rFonts w:ascii="Abadi" w:hAnsi="Abadi"/>
          <w:b w:val="0"/>
          <w:bCs w:val="0"/>
          <w:sz w:val="21"/>
          <w:szCs w:val="21"/>
        </w:rPr>
        <w:t>violentas a</w:t>
      </w:r>
      <w:r w:rsidRPr="007C2763">
        <w:rPr>
          <w:rFonts w:ascii="Abadi" w:hAnsi="Abadi"/>
          <w:b w:val="0"/>
          <w:bCs w:val="0"/>
          <w:spacing w:val="1"/>
          <w:sz w:val="21"/>
          <w:szCs w:val="21"/>
        </w:rPr>
        <w:t xml:space="preserve"> </w:t>
      </w:r>
      <w:r w:rsidRPr="007C2763">
        <w:rPr>
          <w:rFonts w:ascii="Abadi" w:hAnsi="Abadi"/>
          <w:b w:val="0"/>
          <w:bCs w:val="0"/>
          <w:sz w:val="21"/>
          <w:szCs w:val="21"/>
        </w:rPr>
        <w:t>los centros</w:t>
      </w:r>
      <w:r w:rsidRPr="007C2763">
        <w:rPr>
          <w:rFonts w:ascii="Abadi" w:hAnsi="Abadi"/>
          <w:b w:val="0"/>
          <w:bCs w:val="0"/>
          <w:spacing w:val="-2"/>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población</w:t>
      </w:r>
      <w:r w:rsidRPr="007C2763">
        <w:rPr>
          <w:rFonts w:ascii="Abadi" w:hAnsi="Abadi"/>
          <w:b w:val="0"/>
          <w:bCs w:val="0"/>
          <w:spacing w:val="1"/>
          <w:sz w:val="21"/>
          <w:szCs w:val="21"/>
        </w:rPr>
        <w:t xml:space="preserve"> </w:t>
      </w:r>
      <w:r w:rsidRPr="007C2763">
        <w:rPr>
          <w:rFonts w:ascii="Abadi" w:hAnsi="Abadi"/>
          <w:b w:val="0"/>
          <w:bCs w:val="0"/>
          <w:sz w:val="21"/>
          <w:szCs w:val="21"/>
        </w:rPr>
        <w:t>fueran</w:t>
      </w:r>
      <w:r w:rsidRPr="007C2763">
        <w:rPr>
          <w:rFonts w:ascii="Abadi" w:hAnsi="Abadi"/>
          <w:b w:val="0"/>
          <w:bCs w:val="0"/>
          <w:spacing w:val="1"/>
          <w:sz w:val="21"/>
          <w:szCs w:val="21"/>
        </w:rPr>
        <w:t xml:space="preserve"> </w:t>
      </w:r>
      <w:r w:rsidRPr="007C2763">
        <w:rPr>
          <w:rFonts w:ascii="Abadi" w:hAnsi="Abadi"/>
          <w:b w:val="0"/>
          <w:bCs w:val="0"/>
          <w:sz w:val="21"/>
          <w:szCs w:val="21"/>
        </w:rPr>
        <w:t>constantes.</w:t>
      </w:r>
    </w:p>
    <w:p w14:paraId="6DBFFC93" w14:textId="77777777" w:rsidR="00374A1E" w:rsidRPr="007C2763" w:rsidRDefault="00374A1E" w:rsidP="00374A1E">
      <w:pPr>
        <w:pStyle w:val="Textoindependiente"/>
        <w:kinsoku w:val="0"/>
        <w:overflowPunct w:val="0"/>
        <w:rPr>
          <w:rFonts w:ascii="Abadi" w:hAnsi="Abadi"/>
          <w:b w:val="0"/>
          <w:bCs w:val="0"/>
          <w:sz w:val="21"/>
          <w:szCs w:val="21"/>
        </w:rPr>
      </w:pPr>
    </w:p>
    <w:p w14:paraId="7949854A" w14:textId="77777777" w:rsidR="00374A1E" w:rsidRPr="007C2763" w:rsidRDefault="00374A1E" w:rsidP="00374A1E">
      <w:pPr>
        <w:pStyle w:val="Textoindependiente"/>
        <w:kinsoku w:val="0"/>
        <w:overflowPunct w:val="0"/>
        <w:ind w:right="115" w:firstLine="708"/>
        <w:rPr>
          <w:rFonts w:ascii="Abadi" w:hAnsi="Abadi"/>
          <w:b w:val="0"/>
          <w:bCs w:val="0"/>
          <w:sz w:val="21"/>
          <w:szCs w:val="21"/>
        </w:rPr>
      </w:pPr>
      <w:r w:rsidRPr="007C2763">
        <w:rPr>
          <w:rFonts w:ascii="Abadi" w:hAnsi="Abadi"/>
          <w:b w:val="0"/>
          <w:bCs w:val="0"/>
          <w:sz w:val="21"/>
          <w:szCs w:val="21"/>
        </w:rPr>
        <w:t>A</w:t>
      </w:r>
      <w:r w:rsidRPr="007C2763">
        <w:rPr>
          <w:rFonts w:ascii="Abadi" w:hAnsi="Abadi"/>
          <w:b w:val="0"/>
          <w:bCs w:val="0"/>
          <w:spacing w:val="18"/>
          <w:sz w:val="21"/>
          <w:szCs w:val="21"/>
        </w:rPr>
        <w:t xml:space="preserve"> </w:t>
      </w:r>
      <w:r w:rsidRPr="007C2763">
        <w:rPr>
          <w:rFonts w:ascii="Abadi" w:hAnsi="Abadi"/>
          <w:b w:val="0"/>
          <w:bCs w:val="0"/>
          <w:sz w:val="21"/>
          <w:szCs w:val="21"/>
        </w:rPr>
        <w:t>la</w:t>
      </w:r>
      <w:r w:rsidRPr="007C2763">
        <w:rPr>
          <w:rFonts w:ascii="Abadi" w:hAnsi="Abadi"/>
          <w:b w:val="0"/>
          <w:bCs w:val="0"/>
          <w:spacing w:val="14"/>
          <w:sz w:val="21"/>
          <w:szCs w:val="21"/>
        </w:rPr>
        <w:t xml:space="preserve"> </w:t>
      </w:r>
      <w:r w:rsidRPr="007C2763">
        <w:rPr>
          <w:rFonts w:ascii="Abadi" w:hAnsi="Abadi"/>
          <w:b w:val="0"/>
          <w:bCs w:val="0"/>
          <w:sz w:val="21"/>
          <w:szCs w:val="21"/>
        </w:rPr>
        <w:t>hostilidad</w:t>
      </w:r>
      <w:r w:rsidRPr="007C2763">
        <w:rPr>
          <w:rFonts w:ascii="Abadi" w:hAnsi="Abadi"/>
          <w:b w:val="0"/>
          <w:bCs w:val="0"/>
          <w:spacing w:val="15"/>
          <w:sz w:val="21"/>
          <w:szCs w:val="21"/>
        </w:rPr>
        <w:t xml:space="preserve"> </w:t>
      </w:r>
      <w:r w:rsidRPr="007C2763">
        <w:rPr>
          <w:rFonts w:ascii="Abadi" w:hAnsi="Abadi"/>
          <w:b w:val="0"/>
          <w:bCs w:val="0"/>
          <w:sz w:val="21"/>
          <w:szCs w:val="21"/>
        </w:rPr>
        <w:t>de</w:t>
      </w:r>
      <w:r w:rsidRPr="007C2763">
        <w:rPr>
          <w:rFonts w:ascii="Abadi" w:hAnsi="Abadi"/>
          <w:b w:val="0"/>
          <w:bCs w:val="0"/>
          <w:spacing w:val="15"/>
          <w:sz w:val="21"/>
          <w:szCs w:val="21"/>
        </w:rPr>
        <w:t xml:space="preserve"> </w:t>
      </w:r>
      <w:r w:rsidRPr="007C2763">
        <w:rPr>
          <w:rFonts w:ascii="Abadi" w:hAnsi="Abadi"/>
          <w:b w:val="0"/>
          <w:bCs w:val="0"/>
          <w:sz w:val="21"/>
          <w:szCs w:val="21"/>
        </w:rPr>
        <w:t>los</w:t>
      </w:r>
      <w:r w:rsidRPr="007C2763">
        <w:rPr>
          <w:rFonts w:ascii="Abadi" w:hAnsi="Abadi"/>
          <w:b w:val="0"/>
          <w:bCs w:val="0"/>
          <w:spacing w:val="14"/>
          <w:sz w:val="21"/>
          <w:szCs w:val="21"/>
        </w:rPr>
        <w:t xml:space="preserve"> </w:t>
      </w:r>
      <w:r w:rsidRPr="007C2763">
        <w:rPr>
          <w:rFonts w:ascii="Abadi" w:hAnsi="Abadi"/>
          <w:b w:val="0"/>
          <w:bCs w:val="0"/>
          <w:sz w:val="21"/>
          <w:szCs w:val="21"/>
        </w:rPr>
        <w:t>pobladores</w:t>
      </w:r>
      <w:r w:rsidRPr="007C2763">
        <w:rPr>
          <w:rFonts w:ascii="Abadi" w:hAnsi="Abadi"/>
          <w:b w:val="0"/>
          <w:bCs w:val="0"/>
          <w:spacing w:val="14"/>
          <w:sz w:val="21"/>
          <w:szCs w:val="21"/>
        </w:rPr>
        <w:t xml:space="preserve"> </w:t>
      </w:r>
      <w:r w:rsidRPr="007C2763">
        <w:rPr>
          <w:rFonts w:ascii="Abadi" w:hAnsi="Abadi"/>
          <w:b w:val="0"/>
          <w:bCs w:val="0"/>
          <w:sz w:val="21"/>
          <w:szCs w:val="21"/>
        </w:rPr>
        <w:t>originales</w:t>
      </w:r>
      <w:r w:rsidRPr="007C2763">
        <w:rPr>
          <w:rFonts w:ascii="Abadi" w:hAnsi="Abadi"/>
          <w:b w:val="0"/>
          <w:bCs w:val="0"/>
          <w:spacing w:val="14"/>
          <w:sz w:val="21"/>
          <w:szCs w:val="21"/>
        </w:rPr>
        <w:t xml:space="preserve"> </w:t>
      </w:r>
      <w:r w:rsidRPr="007C2763">
        <w:rPr>
          <w:rFonts w:ascii="Abadi" w:hAnsi="Abadi"/>
          <w:b w:val="0"/>
          <w:bCs w:val="0"/>
          <w:sz w:val="21"/>
          <w:szCs w:val="21"/>
        </w:rPr>
        <w:t>habría</w:t>
      </w:r>
      <w:r w:rsidRPr="007C2763">
        <w:rPr>
          <w:rFonts w:ascii="Abadi" w:hAnsi="Abadi"/>
          <w:b w:val="0"/>
          <w:bCs w:val="0"/>
          <w:spacing w:val="15"/>
          <w:sz w:val="21"/>
          <w:szCs w:val="21"/>
        </w:rPr>
        <w:t xml:space="preserve"> </w:t>
      </w:r>
      <w:r w:rsidRPr="007C2763">
        <w:rPr>
          <w:rFonts w:ascii="Abadi" w:hAnsi="Abadi"/>
          <w:b w:val="0"/>
          <w:bCs w:val="0"/>
          <w:sz w:val="21"/>
          <w:szCs w:val="21"/>
        </w:rPr>
        <w:t>de</w:t>
      </w:r>
      <w:r w:rsidRPr="007C2763">
        <w:rPr>
          <w:rFonts w:ascii="Abadi" w:hAnsi="Abadi"/>
          <w:b w:val="0"/>
          <w:bCs w:val="0"/>
          <w:spacing w:val="18"/>
          <w:sz w:val="21"/>
          <w:szCs w:val="21"/>
        </w:rPr>
        <w:t xml:space="preserve"> </w:t>
      </w:r>
      <w:r w:rsidRPr="007C2763">
        <w:rPr>
          <w:rFonts w:ascii="Abadi" w:hAnsi="Abadi"/>
          <w:b w:val="0"/>
          <w:bCs w:val="0"/>
          <w:sz w:val="21"/>
          <w:szCs w:val="21"/>
        </w:rPr>
        <w:t>sumarse</w:t>
      </w:r>
      <w:r w:rsidRPr="007C2763">
        <w:rPr>
          <w:rFonts w:ascii="Abadi" w:hAnsi="Abadi"/>
          <w:b w:val="0"/>
          <w:bCs w:val="0"/>
          <w:spacing w:val="18"/>
          <w:sz w:val="21"/>
          <w:szCs w:val="21"/>
        </w:rPr>
        <w:t xml:space="preserve"> </w:t>
      </w:r>
      <w:r w:rsidRPr="007C2763">
        <w:rPr>
          <w:rFonts w:ascii="Abadi" w:hAnsi="Abadi"/>
          <w:b w:val="0"/>
          <w:bCs w:val="0"/>
          <w:sz w:val="21"/>
          <w:szCs w:val="21"/>
        </w:rPr>
        <w:t>la</w:t>
      </w:r>
      <w:r w:rsidRPr="007C2763">
        <w:rPr>
          <w:rFonts w:ascii="Abadi" w:hAnsi="Abadi"/>
          <w:b w:val="0"/>
          <w:bCs w:val="0"/>
          <w:spacing w:val="13"/>
          <w:sz w:val="21"/>
          <w:szCs w:val="21"/>
        </w:rPr>
        <w:t xml:space="preserve"> </w:t>
      </w:r>
      <w:r w:rsidRPr="007C2763">
        <w:rPr>
          <w:rFonts w:ascii="Abadi" w:hAnsi="Abadi"/>
          <w:b w:val="0"/>
          <w:bCs w:val="0"/>
          <w:sz w:val="21"/>
          <w:szCs w:val="21"/>
        </w:rPr>
        <w:t>hostilidad de</w:t>
      </w:r>
      <w:r w:rsidRPr="007C2763">
        <w:rPr>
          <w:rFonts w:ascii="Abadi" w:hAnsi="Abadi"/>
          <w:b w:val="0"/>
          <w:bCs w:val="0"/>
          <w:spacing w:val="13"/>
          <w:sz w:val="21"/>
          <w:szCs w:val="21"/>
        </w:rPr>
        <w:t xml:space="preserve"> </w:t>
      </w:r>
      <w:r w:rsidRPr="007C2763">
        <w:rPr>
          <w:rFonts w:ascii="Abadi" w:hAnsi="Abadi"/>
          <w:b w:val="0"/>
          <w:bCs w:val="0"/>
          <w:sz w:val="21"/>
          <w:szCs w:val="21"/>
        </w:rPr>
        <w:t>la</w:t>
      </w:r>
      <w:r w:rsidRPr="007C2763">
        <w:rPr>
          <w:rFonts w:ascii="Abadi" w:hAnsi="Abadi"/>
          <w:b w:val="0"/>
          <w:bCs w:val="0"/>
          <w:spacing w:val="13"/>
          <w:sz w:val="21"/>
          <w:szCs w:val="21"/>
        </w:rPr>
        <w:t xml:space="preserve"> </w:t>
      </w:r>
      <w:r w:rsidRPr="007C2763">
        <w:rPr>
          <w:rFonts w:ascii="Abadi" w:hAnsi="Abadi"/>
          <w:b w:val="0"/>
          <w:bCs w:val="0"/>
          <w:sz w:val="21"/>
          <w:szCs w:val="21"/>
        </w:rPr>
        <w:t>tierra</w:t>
      </w:r>
      <w:r w:rsidRPr="007C2763">
        <w:rPr>
          <w:rFonts w:ascii="Abadi" w:hAnsi="Abadi"/>
          <w:b w:val="0"/>
          <w:bCs w:val="0"/>
          <w:spacing w:val="11"/>
          <w:sz w:val="21"/>
          <w:szCs w:val="21"/>
        </w:rPr>
        <w:t xml:space="preserve"> </w:t>
      </w:r>
      <w:r w:rsidRPr="007C2763">
        <w:rPr>
          <w:rFonts w:ascii="Abadi" w:hAnsi="Abadi"/>
          <w:b w:val="0"/>
          <w:bCs w:val="0"/>
          <w:sz w:val="21"/>
          <w:szCs w:val="21"/>
        </w:rPr>
        <w:t>y</w:t>
      </w:r>
      <w:r w:rsidRPr="007C2763">
        <w:rPr>
          <w:rFonts w:ascii="Abadi" w:hAnsi="Abadi"/>
          <w:b w:val="0"/>
          <w:bCs w:val="0"/>
          <w:spacing w:val="12"/>
          <w:sz w:val="21"/>
          <w:szCs w:val="21"/>
        </w:rPr>
        <w:t xml:space="preserve"> </w:t>
      </w:r>
      <w:r w:rsidRPr="007C2763">
        <w:rPr>
          <w:rFonts w:ascii="Abadi" w:hAnsi="Abadi"/>
          <w:b w:val="0"/>
          <w:bCs w:val="0"/>
          <w:sz w:val="21"/>
          <w:szCs w:val="21"/>
        </w:rPr>
        <w:t>la</w:t>
      </w:r>
      <w:r w:rsidRPr="007C2763">
        <w:rPr>
          <w:rFonts w:ascii="Abadi" w:hAnsi="Abadi"/>
          <w:b w:val="0"/>
          <w:bCs w:val="0"/>
          <w:spacing w:val="11"/>
          <w:sz w:val="21"/>
          <w:szCs w:val="21"/>
        </w:rPr>
        <w:t xml:space="preserve"> </w:t>
      </w:r>
      <w:r w:rsidRPr="007C2763">
        <w:rPr>
          <w:rFonts w:ascii="Abadi" w:hAnsi="Abadi"/>
          <w:b w:val="0"/>
          <w:bCs w:val="0"/>
          <w:sz w:val="21"/>
          <w:szCs w:val="21"/>
        </w:rPr>
        <w:t>hostilidad</w:t>
      </w:r>
      <w:r w:rsidRPr="007C2763">
        <w:rPr>
          <w:rFonts w:ascii="Abadi" w:hAnsi="Abadi"/>
          <w:b w:val="0"/>
          <w:bCs w:val="0"/>
          <w:spacing w:val="11"/>
          <w:sz w:val="21"/>
          <w:szCs w:val="21"/>
        </w:rPr>
        <w:t xml:space="preserve"> </w:t>
      </w:r>
      <w:r w:rsidRPr="007C2763">
        <w:rPr>
          <w:rFonts w:ascii="Abadi" w:hAnsi="Abadi"/>
          <w:b w:val="0"/>
          <w:bCs w:val="0"/>
          <w:sz w:val="21"/>
          <w:szCs w:val="21"/>
        </w:rPr>
        <w:t>del</w:t>
      </w:r>
      <w:r w:rsidRPr="007C2763">
        <w:rPr>
          <w:rFonts w:ascii="Abadi" w:hAnsi="Abadi"/>
          <w:b w:val="0"/>
          <w:bCs w:val="0"/>
          <w:spacing w:val="9"/>
          <w:sz w:val="21"/>
          <w:szCs w:val="21"/>
        </w:rPr>
        <w:t xml:space="preserve"> </w:t>
      </w:r>
      <w:r w:rsidRPr="007C2763">
        <w:rPr>
          <w:rFonts w:ascii="Abadi" w:hAnsi="Abadi"/>
          <w:b w:val="0"/>
          <w:bCs w:val="0"/>
          <w:sz w:val="21"/>
          <w:szCs w:val="21"/>
        </w:rPr>
        <w:t>clima</w:t>
      </w:r>
      <w:r w:rsidRPr="007C2763">
        <w:rPr>
          <w:rFonts w:ascii="Abadi" w:hAnsi="Abadi"/>
          <w:b w:val="0"/>
          <w:bCs w:val="0"/>
          <w:spacing w:val="13"/>
          <w:sz w:val="21"/>
          <w:szCs w:val="21"/>
        </w:rPr>
        <w:t xml:space="preserve"> </w:t>
      </w:r>
      <w:r w:rsidRPr="007C2763">
        <w:rPr>
          <w:rFonts w:ascii="Abadi" w:hAnsi="Abadi"/>
          <w:b w:val="0"/>
          <w:bCs w:val="0"/>
          <w:sz w:val="21"/>
          <w:szCs w:val="21"/>
        </w:rPr>
        <w:t>que</w:t>
      </w:r>
      <w:r w:rsidRPr="007C2763">
        <w:rPr>
          <w:rFonts w:ascii="Abadi" w:hAnsi="Abadi"/>
          <w:b w:val="0"/>
          <w:bCs w:val="0"/>
          <w:spacing w:val="11"/>
          <w:sz w:val="21"/>
          <w:szCs w:val="21"/>
        </w:rPr>
        <w:t xml:space="preserve"> </w:t>
      </w:r>
      <w:r w:rsidRPr="007C2763">
        <w:rPr>
          <w:rFonts w:ascii="Abadi" w:hAnsi="Abadi"/>
          <w:b w:val="0"/>
          <w:bCs w:val="0"/>
          <w:sz w:val="21"/>
          <w:szCs w:val="21"/>
        </w:rPr>
        <w:t>hacían</w:t>
      </w:r>
      <w:r w:rsidRPr="007C2763">
        <w:rPr>
          <w:rFonts w:ascii="Abadi" w:hAnsi="Abadi"/>
          <w:b w:val="0"/>
          <w:bCs w:val="0"/>
          <w:spacing w:val="13"/>
          <w:sz w:val="21"/>
          <w:szCs w:val="21"/>
        </w:rPr>
        <w:t xml:space="preserve"> </w:t>
      </w:r>
      <w:r w:rsidRPr="007C2763">
        <w:rPr>
          <w:rFonts w:ascii="Abadi" w:hAnsi="Abadi"/>
          <w:b w:val="0"/>
          <w:bCs w:val="0"/>
          <w:sz w:val="21"/>
          <w:szCs w:val="21"/>
        </w:rPr>
        <w:t>esta</w:t>
      </w:r>
      <w:r w:rsidRPr="007C2763">
        <w:rPr>
          <w:rFonts w:ascii="Abadi" w:hAnsi="Abadi"/>
          <w:b w:val="0"/>
          <w:bCs w:val="0"/>
          <w:spacing w:val="11"/>
          <w:sz w:val="21"/>
          <w:szCs w:val="21"/>
        </w:rPr>
        <w:t xml:space="preserve"> </w:t>
      </w:r>
      <w:r w:rsidRPr="007C2763">
        <w:rPr>
          <w:rFonts w:ascii="Abadi" w:hAnsi="Abadi"/>
          <w:b w:val="0"/>
          <w:bCs w:val="0"/>
          <w:sz w:val="21"/>
          <w:szCs w:val="21"/>
        </w:rPr>
        <w:t>zona</w:t>
      </w:r>
      <w:r w:rsidRPr="007C2763">
        <w:rPr>
          <w:rFonts w:ascii="Abadi" w:hAnsi="Abadi"/>
          <w:b w:val="0"/>
          <w:bCs w:val="0"/>
          <w:spacing w:val="11"/>
          <w:sz w:val="21"/>
          <w:szCs w:val="21"/>
        </w:rPr>
        <w:t xml:space="preserve"> </w:t>
      </w:r>
      <w:r w:rsidRPr="007C2763">
        <w:rPr>
          <w:rFonts w:ascii="Abadi" w:hAnsi="Abadi"/>
          <w:b w:val="0"/>
          <w:bCs w:val="0"/>
          <w:sz w:val="21"/>
          <w:szCs w:val="21"/>
        </w:rPr>
        <w:t>árida</w:t>
      </w:r>
      <w:r w:rsidRPr="007C2763">
        <w:rPr>
          <w:rFonts w:ascii="Abadi" w:hAnsi="Abadi"/>
          <w:b w:val="0"/>
          <w:bCs w:val="0"/>
          <w:spacing w:val="11"/>
          <w:sz w:val="21"/>
          <w:szCs w:val="21"/>
        </w:rPr>
        <w:t xml:space="preserve"> </w:t>
      </w:r>
      <w:r w:rsidRPr="007C2763">
        <w:rPr>
          <w:rFonts w:ascii="Abadi" w:hAnsi="Abadi"/>
          <w:b w:val="0"/>
          <w:bCs w:val="0"/>
          <w:sz w:val="21"/>
          <w:szCs w:val="21"/>
        </w:rPr>
        <w:t>poco</w:t>
      </w:r>
      <w:r w:rsidRPr="007C2763">
        <w:rPr>
          <w:rFonts w:ascii="Abadi" w:hAnsi="Abadi"/>
          <w:b w:val="0"/>
          <w:bCs w:val="0"/>
          <w:spacing w:val="13"/>
          <w:sz w:val="21"/>
          <w:szCs w:val="21"/>
        </w:rPr>
        <w:t xml:space="preserve"> </w:t>
      </w:r>
      <w:r w:rsidRPr="007C2763">
        <w:rPr>
          <w:rFonts w:ascii="Abadi" w:hAnsi="Abadi"/>
          <w:b w:val="0"/>
          <w:bCs w:val="0"/>
          <w:sz w:val="21"/>
          <w:szCs w:val="21"/>
        </w:rPr>
        <w:t>propicia</w:t>
      </w:r>
      <w:r w:rsidRPr="007C2763">
        <w:rPr>
          <w:rFonts w:ascii="Abadi" w:hAnsi="Abadi"/>
          <w:b w:val="0"/>
          <w:bCs w:val="0"/>
          <w:spacing w:val="11"/>
          <w:sz w:val="21"/>
          <w:szCs w:val="21"/>
        </w:rPr>
        <w:t xml:space="preserve"> </w:t>
      </w:r>
      <w:r w:rsidRPr="007C2763">
        <w:rPr>
          <w:rFonts w:ascii="Abadi" w:hAnsi="Abadi"/>
          <w:b w:val="0"/>
          <w:bCs w:val="0"/>
          <w:sz w:val="21"/>
          <w:szCs w:val="21"/>
        </w:rPr>
        <w:t>para las actividades</w:t>
      </w:r>
      <w:r w:rsidRPr="007C2763">
        <w:rPr>
          <w:rFonts w:ascii="Abadi" w:hAnsi="Abadi"/>
          <w:b w:val="0"/>
          <w:bCs w:val="0"/>
          <w:spacing w:val="-2"/>
          <w:sz w:val="21"/>
          <w:szCs w:val="21"/>
        </w:rPr>
        <w:t xml:space="preserve"> </w:t>
      </w:r>
      <w:r w:rsidRPr="007C2763">
        <w:rPr>
          <w:rFonts w:ascii="Abadi" w:hAnsi="Abadi"/>
          <w:b w:val="0"/>
          <w:bCs w:val="0"/>
          <w:sz w:val="21"/>
          <w:szCs w:val="21"/>
        </w:rPr>
        <w:t>agrícolas.</w:t>
      </w:r>
    </w:p>
    <w:p w14:paraId="148B6BAF" w14:textId="77777777" w:rsidR="00374A1E" w:rsidRPr="007C2763" w:rsidRDefault="00374A1E" w:rsidP="00374A1E">
      <w:pPr>
        <w:pStyle w:val="Textoindependiente"/>
        <w:kinsoku w:val="0"/>
        <w:overflowPunct w:val="0"/>
        <w:rPr>
          <w:rFonts w:ascii="Abadi" w:hAnsi="Abadi"/>
          <w:b w:val="0"/>
          <w:bCs w:val="0"/>
          <w:sz w:val="21"/>
          <w:szCs w:val="21"/>
        </w:rPr>
      </w:pPr>
    </w:p>
    <w:p w14:paraId="43AEDF88" w14:textId="77777777" w:rsidR="00374A1E" w:rsidRPr="007C2763" w:rsidRDefault="00374A1E" w:rsidP="00374A1E">
      <w:pPr>
        <w:pStyle w:val="Textoindependiente"/>
        <w:kinsoku w:val="0"/>
        <w:overflowPunct w:val="0"/>
        <w:spacing w:before="1"/>
        <w:ind w:right="116" w:firstLine="708"/>
        <w:rPr>
          <w:rFonts w:ascii="Abadi" w:hAnsi="Abadi"/>
          <w:b w:val="0"/>
          <w:bCs w:val="0"/>
          <w:sz w:val="21"/>
          <w:szCs w:val="21"/>
        </w:rPr>
      </w:pPr>
      <w:r w:rsidRPr="007C2763">
        <w:rPr>
          <w:rFonts w:ascii="Abadi" w:hAnsi="Abadi"/>
          <w:b w:val="0"/>
          <w:bCs w:val="0"/>
          <w:sz w:val="21"/>
          <w:szCs w:val="21"/>
        </w:rPr>
        <w:t>Sin</w:t>
      </w:r>
      <w:r w:rsidRPr="007C2763">
        <w:rPr>
          <w:rFonts w:ascii="Abadi" w:hAnsi="Abadi"/>
          <w:b w:val="0"/>
          <w:bCs w:val="0"/>
          <w:spacing w:val="46"/>
          <w:sz w:val="21"/>
          <w:szCs w:val="21"/>
        </w:rPr>
        <w:t xml:space="preserve"> </w:t>
      </w:r>
      <w:r w:rsidRPr="007C2763">
        <w:rPr>
          <w:rFonts w:ascii="Abadi" w:hAnsi="Abadi"/>
          <w:b w:val="0"/>
          <w:bCs w:val="0"/>
          <w:sz w:val="21"/>
          <w:szCs w:val="21"/>
        </w:rPr>
        <w:t>embargo,</w:t>
      </w:r>
      <w:r w:rsidRPr="007C2763">
        <w:rPr>
          <w:rFonts w:ascii="Abadi" w:hAnsi="Abadi"/>
          <w:b w:val="0"/>
          <w:bCs w:val="0"/>
          <w:spacing w:val="44"/>
          <w:sz w:val="21"/>
          <w:szCs w:val="21"/>
        </w:rPr>
        <w:t xml:space="preserve"> </w:t>
      </w:r>
      <w:r w:rsidRPr="007C2763">
        <w:rPr>
          <w:rFonts w:ascii="Abadi" w:hAnsi="Abadi"/>
          <w:b w:val="0"/>
          <w:bCs w:val="0"/>
          <w:sz w:val="21"/>
          <w:szCs w:val="21"/>
        </w:rPr>
        <w:t>para</w:t>
      </w:r>
      <w:r w:rsidRPr="007C2763">
        <w:rPr>
          <w:rFonts w:ascii="Abadi" w:hAnsi="Abadi"/>
          <w:b w:val="0"/>
          <w:bCs w:val="0"/>
          <w:spacing w:val="43"/>
          <w:sz w:val="21"/>
          <w:szCs w:val="21"/>
        </w:rPr>
        <w:t xml:space="preserve"> </w:t>
      </w:r>
      <w:r w:rsidRPr="007C2763">
        <w:rPr>
          <w:rFonts w:ascii="Abadi" w:hAnsi="Abadi"/>
          <w:b w:val="0"/>
          <w:bCs w:val="0"/>
          <w:sz w:val="21"/>
          <w:szCs w:val="21"/>
        </w:rPr>
        <w:t>hacer</w:t>
      </w:r>
      <w:r w:rsidRPr="007C2763">
        <w:rPr>
          <w:rFonts w:ascii="Abadi" w:hAnsi="Abadi"/>
          <w:b w:val="0"/>
          <w:bCs w:val="0"/>
          <w:spacing w:val="45"/>
          <w:sz w:val="21"/>
          <w:szCs w:val="21"/>
        </w:rPr>
        <w:t xml:space="preserve"> </w:t>
      </w:r>
      <w:r w:rsidRPr="007C2763">
        <w:rPr>
          <w:rFonts w:ascii="Abadi" w:hAnsi="Abadi"/>
          <w:b w:val="0"/>
          <w:bCs w:val="0"/>
          <w:sz w:val="21"/>
          <w:szCs w:val="21"/>
        </w:rPr>
        <w:t>frente</w:t>
      </w:r>
      <w:r w:rsidRPr="007C2763">
        <w:rPr>
          <w:rFonts w:ascii="Abadi" w:hAnsi="Abadi"/>
          <w:b w:val="0"/>
          <w:bCs w:val="0"/>
          <w:spacing w:val="44"/>
          <w:sz w:val="21"/>
          <w:szCs w:val="21"/>
        </w:rPr>
        <w:t xml:space="preserve"> </w:t>
      </w:r>
      <w:r w:rsidRPr="007C2763">
        <w:rPr>
          <w:rFonts w:ascii="Abadi" w:hAnsi="Abadi"/>
          <w:b w:val="0"/>
          <w:bCs w:val="0"/>
          <w:sz w:val="21"/>
          <w:szCs w:val="21"/>
        </w:rPr>
        <w:t>a</w:t>
      </w:r>
      <w:r w:rsidRPr="007C2763">
        <w:rPr>
          <w:rFonts w:ascii="Abadi" w:hAnsi="Abadi"/>
          <w:b w:val="0"/>
          <w:bCs w:val="0"/>
          <w:spacing w:val="43"/>
          <w:sz w:val="21"/>
          <w:szCs w:val="21"/>
        </w:rPr>
        <w:t xml:space="preserve"> </w:t>
      </w:r>
      <w:r w:rsidRPr="007C2763">
        <w:rPr>
          <w:rFonts w:ascii="Abadi" w:hAnsi="Abadi"/>
          <w:b w:val="0"/>
          <w:bCs w:val="0"/>
          <w:sz w:val="21"/>
          <w:szCs w:val="21"/>
        </w:rPr>
        <w:t>esas</w:t>
      </w:r>
      <w:r w:rsidRPr="007C2763">
        <w:rPr>
          <w:rFonts w:ascii="Abadi" w:hAnsi="Abadi"/>
          <w:b w:val="0"/>
          <w:bCs w:val="0"/>
          <w:spacing w:val="46"/>
          <w:sz w:val="21"/>
          <w:szCs w:val="21"/>
        </w:rPr>
        <w:t xml:space="preserve"> </w:t>
      </w:r>
      <w:r w:rsidRPr="007C2763">
        <w:rPr>
          <w:rFonts w:ascii="Abadi" w:hAnsi="Abadi"/>
          <w:b w:val="0"/>
          <w:bCs w:val="0"/>
          <w:sz w:val="21"/>
          <w:szCs w:val="21"/>
        </w:rPr>
        <w:t>complicaciones</w:t>
      </w:r>
      <w:r w:rsidRPr="007C2763">
        <w:rPr>
          <w:rFonts w:ascii="Abadi" w:hAnsi="Abadi"/>
          <w:b w:val="0"/>
          <w:bCs w:val="0"/>
          <w:spacing w:val="44"/>
          <w:sz w:val="21"/>
          <w:szCs w:val="21"/>
        </w:rPr>
        <w:t xml:space="preserve"> </w:t>
      </w:r>
      <w:r w:rsidRPr="007C2763">
        <w:rPr>
          <w:rFonts w:ascii="Abadi" w:hAnsi="Abadi"/>
          <w:b w:val="0"/>
          <w:bCs w:val="0"/>
          <w:sz w:val="21"/>
          <w:szCs w:val="21"/>
        </w:rPr>
        <w:t>especiales,</w:t>
      </w:r>
      <w:r w:rsidRPr="007C2763">
        <w:rPr>
          <w:rFonts w:ascii="Abadi" w:hAnsi="Abadi"/>
          <w:b w:val="0"/>
          <w:bCs w:val="0"/>
          <w:spacing w:val="45"/>
          <w:sz w:val="21"/>
          <w:szCs w:val="21"/>
        </w:rPr>
        <w:t xml:space="preserve"> </w:t>
      </w:r>
      <w:r w:rsidRPr="007C2763">
        <w:rPr>
          <w:rFonts w:ascii="Abadi" w:hAnsi="Abadi"/>
          <w:b w:val="0"/>
          <w:bCs w:val="0"/>
          <w:sz w:val="21"/>
          <w:szCs w:val="21"/>
        </w:rPr>
        <w:t>hacía falta</w:t>
      </w:r>
      <w:r w:rsidRPr="007C2763">
        <w:rPr>
          <w:rFonts w:ascii="Abadi" w:hAnsi="Abadi"/>
          <w:b w:val="0"/>
          <w:bCs w:val="0"/>
          <w:spacing w:val="8"/>
          <w:sz w:val="21"/>
          <w:szCs w:val="21"/>
        </w:rPr>
        <w:t xml:space="preserve"> </w:t>
      </w:r>
      <w:r w:rsidRPr="007C2763">
        <w:rPr>
          <w:rFonts w:ascii="Abadi" w:hAnsi="Abadi"/>
          <w:b w:val="0"/>
          <w:bCs w:val="0"/>
          <w:sz w:val="21"/>
          <w:szCs w:val="21"/>
        </w:rPr>
        <w:t>hombres</w:t>
      </w:r>
      <w:r w:rsidRPr="007C2763">
        <w:rPr>
          <w:rFonts w:ascii="Abadi" w:hAnsi="Abadi"/>
          <w:b w:val="0"/>
          <w:bCs w:val="0"/>
          <w:spacing w:val="10"/>
          <w:sz w:val="21"/>
          <w:szCs w:val="21"/>
        </w:rPr>
        <w:t xml:space="preserve"> </w:t>
      </w:r>
      <w:r w:rsidRPr="007C2763">
        <w:rPr>
          <w:rFonts w:ascii="Abadi" w:hAnsi="Abadi"/>
          <w:b w:val="0"/>
          <w:bCs w:val="0"/>
          <w:sz w:val="21"/>
          <w:szCs w:val="21"/>
        </w:rPr>
        <w:t>y</w:t>
      </w:r>
      <w:r w:rsidRPr="007C2763">
        <w:rPr>
          <w:rFonts w:ascii="Abadi" w:hAnsi="Abadi"/>
          <w:b w:val="0"/>
          <w:bCs w:val="0"/>
          <w:spacing w:val="7"/>
          <w:sz w:val="21"/>
          <w:szCs w:val="21"/>
        </w:rPr>
        <w:t xml:space="preserve"> </w:t>
      </w:r>
      <w:r w:rsidRPr="007C2763">
        <w:rPr>
          <w:rFonts w:ascii="Abadi" w:hAnsi="Abadi"/>
          <w:b w:val="0"/>
          <w:bCs w:val="0"/>
          <w:sz w:val="21"/>
          <w:szCs w:val="21"/>
        </w:rPr>
        <w:t>mujeres</w:t>
      </w:r>
      <w:r w:rsidRPr="007C2763">
        <w:rPr>
          <w:rFonts w:ascii="Abadi" w:hAnsi="Abadi"/>
          <w:b w:val="0"/>
          <w:bCs w:val="0"/>
          <w:spacing w:val="10"/>
          <w:sz w:val="21"/>
          <w:szCs w:val="21"/>
        </w:rPr>
        <w:t xml:space="preserve"> </w:t>
      </w:r>
      <w:r w:rsidRPr="007C2763">
        <w:rPr>
          <w:rFonts w:ascii="Abadi" w:hAnsi="Abadi"/>
          <w:b w:val="0"/>
          <w:bCs w:val="0"/>
          <w:sz w:val="21"/>
          <w:szCs w:val="21"/>
        </w:rPr>
        <w:t>también</w:t>
      </w:r>
      <w:r w:rsidRPr="007C2763">
        <w:rPr>
          <w:rFonts w:ascii="Abadi" w:hAnsi="Abadi"/>
          <w:b w:val="0"/>
          <w:bCs w:val="0"/>
          <w:spacing w:val="8"/>
          <w:sz w:val="21"/>
          <w:szCs w:val="21"/>
        </w:rPr>
        <w:t xml:space="preserve"> </w:t>
      </w:r>
      <w:r w:rsidRPr="007C2763">
        <w:rPr>
          <w:rFonts w:ascii="Abadi" w:hAnsi="Abadi"/>
          <w:b w:val="0"/>
          <w:bCs w:val="0"/>
          <w:sz w:val="21"/>
          <w:szCs w:val="21"/>
        </w:rPr>
        <w:t>especiales</w:t>
      </w:r>
      <w:r w:rsidRPr="007C2763">
        <w:rPr>
          <w:rFonts w:ascii="Abadi" w:hAnsi="Abadi"/>
          <w:b w:val="0"/>
          <w:bCs w:val="0"/>
          <w:spacing w:val="7"/>
          <w:sz w:val="21"/>
          <w:szCs w:val="21"/>
        </w:rPr>
        <w:t xml:space="preserve"> </w:t>
      </w:r>
      <w:r w:rsidRPr="007C2763">
        <w:rPr>
          <w:rFonts w:ascii="Abadi" w:hAnsi="Abadi"/>
          <w:b w:val="0"/>
          <w:bCs w:val="0"/>
          <w:sz w:val="21"/>
          <w:szCs w:val="21"/>
        </w:rPr>
        <w:t>que</w:t>
      </w:r>
      <w:r w:rsidRPr="007C2763">
        <w:rPr>
          <w:rFonts w:ascii="Abadi" w:hAnsi="Abadi"/>
          <w:b w:val="0"/>
          <w:bCs w:val="0"/>
          <w:spacing w:val="8"/>
          <w:sz w:val="21"/>
          <w:szCs w:val="21"/>
        </w:rPr>
        <w:t xml:space="preserve"> </w:t>
      </w:r>
      <w:r w:rsidRPr="007C2763">
        <w:rPr>
          <w:rFonts w:ascii="Abadi" w:hAnsi="Abadi"/>
          <w:b w:val="0"/>
          <w:bCs w:val="0"/>
          <w:sz w:val="21"/>
          <w:szCs w:val="21"/>
        </w:rPr>
        <w:t>en</w:t>
      </w:r>
      <w:r w:rsidRPr="007C2763">
        <w:rPr>
          <w:rFonts w:ascii="Abadi" w:hAnsi="Abadi"/>
          <w:b w:val="0"/>
          <w:bCs w:val="0"/>
          <w:spacing w:val="8"/>
          <w:sz w:val="21"/>
          <w:szCs w:val="21"/>
        </w:rPr>
        <w:t xml:space="preserve"> </w:t>
      </w:r>
      <w:r w:rsidRPr="007C2763">
        <w:rPr>
          <w:rFonts w:ascii="Abadi" w:hAnsi="Abadi"/>
          <w:b w:val="0"/>
          <w:bCs w:val="0"/>
          <w:sz w:val="21"/>
          <w:szCs w:val="21"/>
        </w:rPr>
        <w:t>medio</w:t>
      </w:r>
      <w:r w:rsidRPr="007C2763">
        <w:rPr>
          <w:rFonts w:ascii="Abadi" w:hAnsi="Abadi"/>
          <w:b w:val="0"/>
          <w:bCs w:val="0"/>
          <w:spacing w:val="8"/>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r w:rsidRPr="007C2763">
        <w:rPr>
          <w:rFonts w:ascii="Abadi" w:hAnsi="Abadi"/>
          <w:b w:val="0"/>
          <w:bCs w:val="0"/>
          <w:sz w:val="21"/>
          <w:szCs w:val="21"/>
        </w:rPr>
        <w:t>la</w:t>
      </w:r>
      <w:r w:rsidRPr="007C2763">
        <w:rPr>
          <w:rFonts w:ascii="Abadi" w:hAnsi="Abadi"/>
          <w:b w:val="0"/>
          <w:bCs w:val="0"/>
          <w:spacing w:val="8"/>
          <w:sz w:val="21"/>
          <w:szCs w:val="21"/>
        </w:rPr>
        <w:t xml:space="preserve"> </w:t>
      </w:r>
      <w:r w:rsidRPr="007C2763">
        <w:rPr>
          <w:rFonts w:ascii="Abadi" w:hAnsi="Abadi"/>
          <w:b w:val="0"/>
          <w:bCs w:val="0"/>
          <w:sz w:val="21"/>
          <w:szCs w:val="21"/>
        </w:rPr>
        <w:t>dificultad</w:t>
      </w:r>
      <w:r w:rsidRPr="007C2763">
        <w:rPr>
          <w:rFonts w:ascii="Abadi" w:hAnsi="Abadi"/>
          <w:b w:val="0"/>
          <w:bCs w:val="0"/>
          <w:spacing w:val="8"/>
          <w:sz w:val="21"/>
          <w:szCs w:val="21"/>
        </w:rPr>
        <w:t xml:space="preserve"> </w:t>
      </w:r>
      <w:r w:rsidRPr="007C2763">
        <w:rPr>
          <w:rFonts w:ascii="Abadi" w:hAnsi="Abadi"/>
          <w:b w:val="0"/>
          <w:bCs w:val="0"/>
          <w:sz w:val="21"/>
          <w:szCs w:val="21"/>
        </w:rPr>
        <w:t>tuvieran</w:t>
      </w:r>
      <w:r w:rsidRPr="007C2763">
        <w:rPr>
          <w:rFonts w:ascii="Abadi" w:hAnsi="Abadi"/>
          <w:b w:val="0"/>
          <w:bCs w:val="0"/>
          <w:spacing w:val="-2"/>
          <w:sz w:val="21"/>
          <w:szCs w:val="21"/>
        </w:rPr>
        <w:t xml:space="preserve"> </w:t>
      </w:r>
      <w:r w:rsidRPr="007C2763">
        <w:rPr>
          <w:rFonts w:ascii="Abadi" w:hAnsi="Abadi"/>
          <w:b w:val="0"/>
          <w:bCs w:val="0"/>
          <w:sz w:val="21"/>
          <w:szCs w:val="21"/>
        </w:rPr>
        <w:t>la</w:t>
      </w:r>
      <w:r w:rsidRPr="007C2763">
        <w:rPr>
          <w:rFonts w:ascii="Abadi" w:hAnsi="Abadi"/>
          <w:b w:val="0"/>
          <w:bCs w:val="0"/>
          <w:spacing w:val="6"/>
          <w:sz w:val="21"/>
          <w:szCs w:val="21"/>
        </w:rPr>
        <w:t xml:space="preserve"> </w:t>
      </w:r>
      <w:r w:rsidRPr="007C2763">
        <w:rPr>
          <w:rFonts w:ascii="Abadi" w:hAnsi="Abadi"/>
          <w:b w:val="0"/>
          <w:bCs w:val="0"/>
          <w:sz w:val="21"/>
          <w:szCs w:val="21"/>
        </w:rPr>
        <w:t>capacidad</w:t>
      </w:r>
      <w:r w:rsidRPr="007C2763">
        <w:rPr>
          <w:rFonts w:ascii="Abadi" w:hAnsi="Abadi"/>
          <w:b w:val="0"/>
          <w:bCs w:val="0"/>
          <w:spacing w:val="3"/>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soñar</w:t>
      </w:r>
      <w:r w:rsidRPr="007C2763">
        <w:rPr>
          <w:rFonts w:ascii="Abadi" w:hAnsi="Abadi"/>
          <w:b w:val="0"/>
          <w:bCs w:val="0"/>
          <w:spacing w:val="-1"/>
          <w:sz w:val="21"/>
          <w:szCs w:val="21"/>
        </w:rPr>
        <w:t xml:space="preserve"> </w:t>
      </w:r>
      <w:r w:rsidRPr="007C2763">
        <w:rPr>
          <w:rFonts w:ascii="Abadi" w:hAnsi="Abadi"/>
          <w:b w:val="0"/>
          <w:bCs w:val="0"/>
          <w:sz w:val="21"/>
          <w:szCs w:val="21"/>
        </w:rPr>
        <w:t>que</w:t>
      </w:r>
      <w:r w:rsidRPr="007C2763">
        <w:rPr>
          <w:rFonts w:ascii="Abadi" w:hAnsi="Abadi"/>
          <w:b w:val="0"/>
          <w:bCs w:val="0"/>
          <w:spacing w:val="3"/>
          <w:sz w:val="21"/>
          <w:szCs w:val="21"/>
        </w:rPr>
        <w:t xml:space="preserve"> </w:t>
      </w:r>
      <w:r w:rsidRPr="007C2763">
        <w:rPr>
          <w:rFonts w:ascii="Abadi" w:hAnsi="Abadi"/>
          <w:b w:val="0"/>
          <w:bCs w:val="0"/>
          <w:sz w:val="21"/>
          <w:szCs w:val="21"/>
        </w:rPr>
        <w:t>esa</w:t>
      </w:r>
      <w:r w:rsidRPr="007C2763">
        <w:rPr>
          <w:rFonts w:ascii="Abadi" w:hAnsi="Abadi"/>
          <w:b w:val="0"/>
          <w:bCs w:val="0"/>
          <w:spacing w:val="3"/>
          <w:sz w:val="21"/>
          <w:szCs w:val="21"/>
        </w:rPr>
        <w:t xml:space="preserve"> </w:t>
      </w:r>
      <w:r w:rsidRPr="007C2763">
        <w:rPr>
          <w:rFonts w:ascii="Abadi" w:hAnsi="Abadi"/>
          <w:b w:val="0"/>
          <w:bCs w:val="0"/>
          <w:sz w:val="21"/>
          <w:szCs w:val="21"/>
        </w:rPr>
        <w:t>tierra</w:t>
      </w:r>
      <w:r w:rsidRPr="007C2763">
        <w:rPr>
          <w:rFonts w:ascii="Abadi" w:hAnsi="Abadi"/>
          <w:b w:val="0"/>
          <w:bCs w:val="0"/>
          <w:spacing w:val="3"/>
          <w:sz w:val="21"/>
          <w:szCs w:val="21"/>
        </w:rPr>
        <w:t xml:space="preserve"> </w:t>
      </w:r>
      <w:r w:rsidRPr="007C2763">
        <w:rPr>
          <w:rFonts w:ascii="Abadi" w:hAnsi="Abadi"/>
          <w:b w:val="0"/>
          <w:bCs w:val="0"/>
          <w:sz w:val="21"/>
          <w:szCs w:val="21"/>
        </w:rPr>
        <w:t>el</w:t>
      </w:r>
      <w:r w:rsidRPr="007C2763">
        <w:rPr>
          <w:rFonts w:ascii="Abadi" w:hAnsi="Abadi"/>
          <w:b w:val="0"/>
          <w:bCs w:val="0"/>
          <w:spacing w:val="4"/>
          <w:sz w:val="21"/>
          <w:szCs w:val="21"/>
        </w:rPr>
        <w:t xml:space="preserve"> </w:t>
      </w:r>
      <w:r w:rsidRPr="007C2763">
        <w:rPr>
          <w:rFonts w:ascii="Abadi" w:hAnsi="Abadi"/>
          <w:b w:val="0"/>
          <w:bCs w:val="0"/>
          <w:sz w:val="21"/>
          <w:szCs w:val="21"/>
        </w:rPr>
        <w:t>día</w:t>
      </w:r>
      <w:r w:rsidRPr="007C2763">
        <w:rPr>
          <w:rFonts w:ascii="Abadi" w:hAnsi="Abadi"/>
          <w:b w:val="0"/>
          <w:bCs w:val="0"/>
          <w:spacing w:val="3"/>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mañana,</w:t>
      </w:r>
      <w:r w:rsidRPr="007C2763">
        <w:rPr>
          <w:rFonts w:ascii="Abadi" w:hAnsi="Abadi"/>
          <w:b w:val="0"/>
          <w:bCs w:val="0"/>
          <w:spacing w:val="5"/>
          <w:sz w:val="21"/>
          <w:szCs w:val="21"/>
        </w:rPr>
        <w:t xml:space="preserve"> </w:t>
      </w:r>
      <w:r w:rsidRPr="007C2763">
        <w:rPr>
          <w:rFonts w:ascii="Abadi" w:hAnsi="Abadi"/>
          <w:b w:val="0"/>
          <w:bCs w:val="0"/>
          <w:sz w:val="21"/>
          <w:szCs w:val="21"/>
        </w:rPr>
        <w:t>podría</w:t>
      </w:r>
      <w:r w:rsidRPr="007C2763">
        <w:rPr>
          <w:rFonts w:ascii="Abadi" w:hAnsi="Abadi"/>
          <w:b w:val="0"/>
          <w:bCs w:val="0"/>
          <w:spacing w:val="6"/>
          <w:sz w:val="21"/>
          <w:szCs w:val="21"/>
        </w:rPr>
        <w:t xml:space="preserve"> </w:t>
      </w:r>
      <w:r w:rsidRPr="007C2763">
        <w:rPr>
          <w:rFonts w:ascii="Abadi" w:hAnsi="Abadi"/>
          <w:b w:val="0"/>
          <w:bCs w:val="0"/>
          <w:sz w:val="21"/>
          <w:szCs w:val="21"/>
        </w:rPr>
        <w:t>albergar</w:t>
      </w:r>
      <w:r w:rsidRPr="007C2763">
        <w:rPr>
          <w:rFonts w:ascii="Abadi" w:hAnsi="Abadi"/>
          <w:b w:val="0"/>
          <w:bCs w:val="0"/>
          <w:spacing w:val="4"/>
          <w:sz w:val="21"/>
          <w:szCs w:val="21"/>
        </w:rPr>
        <w:t xml:space="preserve"> </w:t>
      </w:r>
      <w:r w:rsidRPr="007C2763">
        <w:rPr>
          <w:rFonts w:ascii="Abadi" w:hAnsi="Abadi"/>
          <w:b w:val="0"/>
          <w:bCs w:val="0"/>
          <w:sz w:val="21"/>
          <w:szCs w:val="21"/>
        </w:rPr>
        <w:t>de</w:t>
      </w:r>
      <w:r w:rsidRPr="007C2763">
        <w:rPr>
          <w:rFonts w:ascii="Abadi" w:hAnsi="Abadi"/>
          <w:b w:val="0"/>
          <w:bCs w:val="0"/>
          <w:spacing w:val="3"/>
          <w:sz w:val="21"/>
          <w:szCs w:val="21"/>
        </w:rPr>
        <w:t xml:space="preserve"> </w:t>
      </w:r>
      <w:r w:rsidRPr="007C2763">
        <w:rPr>
          <w:rFonts w:ascii="Abadi" w:hAnsi="Abadi"/>
          <w:b w:val="0"/>
          <w:bCs w:val="0"/>
          <w:sz w:val="21"/>
          <w:szCs w:val="21"/>
        </w:rPr>
        <w:t>manera generosa</w:t>
      </w:r>
      <w:r w:rsidRPr="007C2763">
        <w:rPr>
          <w:rFonts w:ascii="Abadi" w:hAnsi="Abadi"/>
          <w:b w:val="0"/>
          <w:bCs w:val="0"/>
          <w:spacing w:val="1"/>
          <w:sz w:val="21"/>
          <w:szCs w:val="21"/>
        </w:rPr>
        <w:t xml:space="preserve"> </w:t>
      </w:r>
      <w:r w:rsidRPr="007C2763">
        <w:rPr>
          <w:rFonts w:ascii="Abadi" w:hAnsi="Abadi"/>
          <w:b w:val="0"/>
          <w:bCs w:val="0"/>
          <w:sz w:val="21"/>
          <w:szCs w:val="21"/>
        </w:rPr>
        <w:t>a</w:t>
      </w:r>
      <w:r w:rsidRPr="007C2763">
        <w:rPr>
          <w:rFonts w:ascii="Abadi" w:hAnsi="Abadi"/>
          <w:b w:val="0"/>
          <w:bCs w:val="0"/>
          <w:spacing w:val="1"/>
          <w:sz w:val="21"/>
          <w:szCs w:val="21"/>
        </w:rPr>
        <w:t xml:space="preserve"> </w:t>
      </w:r>
      <w:r w:rsidRPr="007C2763">
        <w:rPr>
          <w:rFonts w:ascii="Abadi" w:hAnsi="Abadi"/>
          <w:b w:val="0"/>
          <w:bCs w:val="0"/>
          <w:sz w:val="21"/>
          <w:szCs w:val="21"/>
        </w:rPr>
        <w:t>sus hijos y</w:t>
      </w:r>
      <w:r w:rsidRPr="007C2763">
        <w:rPr>
          <w:rFonts w:ascii="Abadi" w:hAnsi="Abadi"/>
          <w:b w:val="0"/>
          <w:bCs w:val="0"/>
          <w:spacing w:val="-2"/>
          <w:sz w:val="21"/>
          <w:szCs w:val="21"/>
        </w:rPr>
        <w:t xml:space="preserve"> </w:t>
      </w:r>
      <w:r w:rsidRPr="007C2763">
        <w:rPr>
          <w:rFonts w:ascii="Abadi" w:hAnsi="Abadi"/>
          <w:b w:val="0"/>
          <w:bCs w:val="0"/>
          <w:sz w:val="21"/>
          <w:szCs w:val="21"/>
        </w:rPr>
        <w:t>descendientes,</w:t>
      </w:r>
      <w:r w:rsidRPr="007C2763">
        <w:rPr>
          <w:rFonts w:ascii="Abadi" w:hAnsi="Abadi"/>
          <w:b w:val="0"/>
          <w:bCs w:val="0"/>
          <w:spacing w:val="1"/>
          <w:sz w:val="21"/>
          <w:szCs w:val="21"/>
        </w:rPr>
        <w:t xml:space="preserve"> </w:t>
      </w:r>
      <w:r w:rsidRPr="007C2763">
        <w:rPr>
          <w:rFonts w:ascii="Abadi" w:hAnsi="Abadi"/>
          <w:b w:val="0"/>
          <w:bCs w:val="0"/>
          <w:sz w:val="21"/>
          <w:szCs w:val="21"/>
        </w:rPr>
        <w:t>con</w:t>
      </w:r>
      <w:r w:rsidRPr="007C2763">
        <w:rPr>
          <w:rFonts w:ascii="Abadi" w:hAnsi="Abadi"/>
          <w:b w:val="0"/>
          <w:bCs w:val="0"/>
          <w:spacing w:val="-1"/>
          <w:sz w:val="21"/>
          <w:szCs w:val="21"/>
        </w:rPr>
        <w:t xml:space="preserve"> </w:t>
      </w:r>
      <w:r w:rsidRPr="007C2763">
        <w:rPr>
          <w:rFonts w:ascii="Abadi" w:hAnsi="Abadi"/>
          <w:b w:val="0"/>
          <w:bCs w:val="0"/>
          <w:sz w:val="21"/>
          <w:szCs w:val="21"/>
        </w:rPr>
        <w:t>una</w:t>
      </w:r>
      <w:r w:rsidRPr="007C2763">
        <w:rPr>
          <w:rFonts w:ascii="Abadi" w:hAnsi="Abadi"/>
          <w:b w:val="0"/>
          <w:bCs w:val="0"/>
          <w:spacing w:val="1"/>
          <w:sz w:val="21"/>
          <w:szCs w:val="21"/>
        </w:rPr>
        <w:t xml:space="preserve"> </w:t>
      </w:r>
      <w:r w:rsidRPr="007C2763">
        <w:rPr>
          <w:rFonts w:ascii="Abadi" w:hAnsi="Abadi"/>
          <w:b w:val="0"/>
          <w:bCs w:val="0"/>
          <w:sz w:val="21"/>
          <w:szCs w:val="21"/>
        </w:rPr>
        <w:t>fe</w:t>
      </w:r>
      <w:r w:rsidRPr="007C2763">
        <w:rPr>
          <w:rFonts w:ascii="Abadi" w:hAnsi="Abadi"/>
          <w:b w:val="0"/>
          <w:bCs w:val="0"/>
          <w:spacing w:val="-1"/>
          <w:sz w:val="21"/>
          <w:szCs w:val="21"/>
        </w:rPr>
        <w:t xml:space="preserve"> </w:t>
      </w:r>
      <w:r w:rsidRPr="007C2763">
        <w:rPr>
          <w:rFonts w:ascii="Abadi" w:hAnsi="Abadi"/>
          <w:b w:val="0"/>
          <w:bCs w:val="0"/>
          <w:sz w:val="21"/>
          <w:szCs w:val="21"/>
        </w:rPr>
        <w:t>especial de</w:t>
      </w:r>
      <w:r w:rsidRPr="007C2763">
        <w:rPr>
          <w:rFonts w:ascii="Abadi" w:hAnsi="Abadi"/>
          <w:b w:val="0"/>
          <w:bCs w:val="0"/>
          <w:spacing w:val="-1"/>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la</w:t>
      </w:r>
      <w:r w:rsidRPr="007C2763">
        <w:rPr>
          <w:rFonts w:ascii="Abadi" w:hAnsi="Abadi"/>
          <w:b w:val="0"/>
          <w:bCs w:val="0"/>
          <w:spacing w:val="1"/>
          <w:sz w:val="21"/>
          <w:szCs w:val="21"/>
        </w:rPr>
        <w:t xml:space="preserve"> </w:t>
      </w:r>
      <w:r w:rsidRPr="007C2763">
        <w:rPr>
          <w:rFonts w:ascii="Abadi" w:hAnsi="Abadi"/>
          <w:b w:val="0"/>
          <w:bCs w:val="0"/>
          <w:sz w:val="21"/>
          <w:szCs w:val="21"/>
        </w:rPr>
        <w:t>adversidad</w:t>
      </w:r>
      <w:r w:rsidRPr="007C2763">
        <w:rPr>
          <w:rFonts w:ascii="Abadi" w:hAnsi="Abadi"/>
          <w:b w:val="0"/>
          <w:bCs w:val="0"/>
          <w:spacing w:val="-1"/>
          <w:sz w:val="21"/>
          <w:szCs w:val="21"/>
        </w:rPr>
        <w:t xml:space="preserve"> </w:t>
      </w:r>
      <w:r w:rsidRPr="007C2763">
        <w:rPr>
          <w:rFonts w:ascii="Abadi" w:hAnsi="Abadi"/>
          <w:b w:val="0"/>
          <w:bCs w:val="0"/>
          <w:sz w:val="21"/>
          <w:szCs w:val="21"/>
        </w:rPr>
        <w:t>no podría</w:t>
      </w:r>
      <w:r w:rsidRPr="007C2763">
        <w:rPr>
          <w:rFonts w:ascii="Abadi" w:hAnsi="Abadi"/>
          <w:b w:val="0"/>
          <w:bCs w:val="0"/>
          <w:spacing w:val="42"/>
          <w:sz w:val="21"/>
          <w:szCs w:val="21"/>
        </w:rPr>
        <w:t xml:space="preserve"> </w:t>
      </w:r>
      <w:r w:rsidRPr="007C2763">
        <w:rPr>
          <w:rFonts w:ascii="Abadi" w:hAnsi="Abadi"/>
          <w:b w:val="0"/>
          <w:bCs w:val="0"/>
          <w:sz w:val="21"/>
          <w:szCs w:val="21"/>
        </w:rPr>
        <w:t>vencerlos</w:t>
      </w:r>
      <w:r w:rsidRPr="007C2763">
        <w:rPr>
          <w:rFonts w:ascii="Abadi" w:hAnsi="Abadi"/>
          <w:b w:val="0"/>
          <w:bCs w:val="0"/>
          <w:spacing w:val="40"/>
          <w:sz w:val="21"/>
          <w:szCs w:val="21"/>
        </w:rPr>
        <w:t xml:space="preserve"> </w:t>
      </w:r>
      <w:r w:rsidRPr="007C2763">
        <w:rPr>
          <w:rFonts w:ascii="Abadi" w:hAnsi="Abadi"/>
          <w:b w:val="0"/>
          <w:bCs w:val="0"/>
          <w:sz w:val="21"/>
          <w:szCs w:val="21"/>
        </w:rPr>
        <w:t>y</w:t>
      </w:r>
      <w:r w:rsidRPr="007C2763">
        <w:rPr>
          <w:rFonts w:ascii="Abadi" w:hAnsi="Abadi"/>
          <w:b w:val="0"/>
          <w:bCs w:val="0"/>
          <w:spacing w:val="41"/>
          <w:sz w:val="21"/>
          <w:szCs w:val="21"/>
        </w:rPr>
        <w:t xml:space="preserve"> </w:t>
      </w:r>
      <w:r w:rsidRPr="007C2763">
        <w:rPr>
          <w:rFonts w:ascii="Abadi" w:hAnsi="Abadi"/>
          <w:b w:val="0"/>
          <w:bCs w:val="0"/>
          <w:sz w:val="21"/>
          <w:szCs w:val="21"/>
        </w:rPr>
        <w:t>con</w:t>
      </w:r>
      <w:r w:rsidRPr="007C2763">
        <w:rPr>
          <w:rFonts w:ascii="Abadi" w:hAnsi="Abadi"/>
          <w:b w:val="0"/>
          <w:bCs w:val="0"/>
          <w:spacing w:val="42"/>
          <w:sz w:val="21"/>
          <w:szCs w:val="21"/>
        </w:rPr>
        <w:t xml:space="preserve"> </w:t>
      </w:r>
      <w:r w:rsidRPr="007C2763">
        <w:rPr>
          <w:rFonts w:ascii="Abadi" w:hAnsi="Abadi"/>
          <w:b w:val="0"/>
          <w:bCs w:val="0"/>
          <w:sz w:val="21"/>
          <w:szCs w:val="21"/>
        </w:rPr>
        <w:t>una</w:t>
      </w:r>
      <w:r w:rsidRPr="007C2763">
        <w:rPr>
          <w:rFonts w:ascii="Abadi" w:hAnsi="Abadi"/>
          <w:b w:val="0"/>
          <w:bCs w:val="0"/>
          <w:spacing w:val="39"/>
          <w:sz w:val="21"/>
          <w:szCs w:val="21"/>
        </w:rPr>
        <w:t xml:space="preserve"> </w:t>
      </w:r>
      <w:r w:rsidRPr="007C2763">
        <w:rPr>
          <w:rFonts w:ascii="Abadi" w:hAnsi="Abadi"/>
          <w:b w:val="0"/>
          <w:bCs w:val="0"/>
          <w:sz w:val="21"/>
          <w:szCs w:val="21"/>
        </w:rPr>
        <w:t>decisión</w:t>
      </w:r>
      <w:r w:rsidRPr="007C2763">
        <w:rPr>
          <w:rFonts w:ascii="Abadi" w:hAnsi="Abadi"/>
          <w:b w:val="0"/>
          <w:bCs w:val="0"/>
          <w:spacing w:val="42"/>
          <w:sz w:val="21"/>
          <w:szCs w:val="21"/>
        </w:rPr>
        <w:t xml:space="preserve"> </w:t>
      </w:r>
      <w:r w:rsidRPr="007C2763">
        <w:rPr>
          <w:rFonts w:ascii="Abadi" w:hAnsi="Abadi"/>
          <w:b w:val="0"/>
          <w:bCs w:val="0"/>
          <w:sz w:val="21"/>
          <w:szCs w:val="21"/>
        </w:rPr>
        <w:t>especial</w:t>
      </w:r>
      <w:r w:rsidRPr="007C2763">
        <w:rPr>
          <w:rFonts w:ascii="Abadi" w:hAnsi="Abadi"/>
          <w:b w:val="0"/>
          <w:bCs w:val="0"/>
          <w:spacing w:val="41"/>
          <w:sz w:val="21"/>
          <w:szCs w:val="21"/>
        </w:rPr>
        <w:t xml:space="preserve"> </w:t>
      </w:r>
      <w:r w:rsidRPr="007C2763">
        <w:rPr>
          <w:rFonts w:ascii="Abadi" w:hAnsi="Abadi"/>
          <w:b w:val="0"/>
          <w:bCs w:val="0"/>
          <w:sz w:val="21"/>
          <w:szCs w:val="21"/>
        </w:rPr>
        <w:t>para</w:t>
      </w:r>
      <w:r w:rsidRPr="007C2763">
        <w:rPr>
          <w:rFonts w:ascii="Abadi" w:hAnsi="Abadi"/>
          <w:b w:val="0"/>
          <w:bCs w:val="0"/>
          <w:spacing w:val="41"/>
          <w:sz w:val="21"/>
          <w:szCs w:val="21"/>
        </w:rPr>
        <w:t xml:space="preserve"> </w:t>
      </w:r>
      <w:r w:rsidRPr="007C2763">
        <w:rPr>
          <w:rFonts w:ascii="Abadi" w:hAnsi="Abadi"/>
          <w:b w:val="0"/>
          <w:bCs w:val="0"/>
          <w:sz w:val="21"/>
          <w:szCs w:val="21"/>
        </w:rPr>
        <w:t>trabajar</w:t>
      </w:r>
      <w:r w:rsidRPr="007C2763">
        <w:rPr>
          <w:rFonts w:ascii="Abadi" w:hAnsi="Abadi"/>
          <w:b w:val="0"/>
          <w:bCs w:val="0"/>
          <w:spacing w:val="40"/>
          <w:sz w:val="21"/>
          <w:szCs w:val="21"/>
        </w:rPr>
        <w:t xml:space="preserve"> </w:t>
      </w:r>
      <w:r w:rsidRPr="007C2763">
        <w:rPr>
          <w:rFonts w:ascii="Abadi" w:hAnsi="Abadi"/>
          <w:b w:val="0"/>
          <w:bCs w:val="0"/>
          <w:sz w:val="21"/>
          <w:szCs w:val="21"/>
        </w:rPr>
        <w:t>afanosamente</w:t>
      </w:r>
      <w:r w:rsidRPr="007C2763">
        <w:rPr>
          <w:rFonts w:ascii="Abadi" w:hAnsi="Abadi"/>
          <w:b w:val="0"/>
          <w:bCs w:val="0"/>
          <w:spacing w:val="40"/>
          <w:sz w:val="21"/>
          <w:szCs w:val="21"/>
        </w:rPr>
        <w:t xml:space="preserve"> </w:t>
      </w:r>
      <w:r w:rsidRPr="007C2763">
        <w:rPr>
          <w:rFonts w:ascii="Abadi" w:hAnsi="Abadi"/>
          <w:b w:val="0"/>
          <w:bCs w:val="0"/>
          <w:sz w:val="21"/>
          <w:szCs w:val="21"/>
        </w:rPr>
        <w:t>en</w:t>
      </w:r>
      <w:r w:rsidRPr="007C2763">
        <w:rPr>
          <w:rFonts w:ascii="Abadi" w:hAnsi="Abadi"/>
          <w:b w:val="0"/>
          <w:bCs w:val="0"/>
          <w:spacing w:val="41"/>
          <w:sz w:val="21"/>
          <w:szCs w:val="21"/>
        </w:rPr>
        <w:t xml:space="preserve"> </w:t>
      </w:r>
      <w:r w:rsidRPr="007C2763">
        <w:rPr>
          <w:rFonts w:ascii="Abadi" w:hAnsi="Abadi"/>
          <w:b w:val="0"/>
          <w:bCs w:val="0"/>
          <w:sz w:val="21"/>
          <w:szCs w:val="21"/>
        </w:rPr>
        <w:t>la construcción</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ese</w:t>
      </w:r>
      <w:r w:rsidRPr="007C2763">
        <w:rPr>
          <w:rFonts w:ascii="Abadi" w:hAnsi="Abadi"/>
          <w:b w:val="0"/>
          <w:bCs w:val="0"/>
          <w:spacing w:val="1"/>
          <w:sz w:val="21"/>
          <w:szCs w:val="21"/>
        </w:rPr>
        <w:t xml:space="preserve"> </w:t>
      </w:r>
      <w:r w:rsidRPr="007C2763">
        <w:rPr>
          <w:rFonts w:ascii="Abadi" w:hAnsi="Abadi"/>
          <w:b w:val="0"/>
          <w:bCs w:val="0"/>
          <w:sz w:val="21"/>
          <w:szCs w:val="21"/>
        </w:rPr>
        <w:t>sueño.</w:t>
      </w:r>
    </w:p>
    <w:p w14:paraId="26C23EC6" w14:textId="77777777" w:rsidR="00374A1E" w:rsidRPr="007C2763" w:rsidRDefault="00374A1E" w:rsidP="00374A1E">
      <w:pPr>
        <w:pStyle w:val="Textoindependiente"/>
        <w:kinsoku w:val="0"/>
        <w:overflowPunct w:val="0"/>
        <w:rPr>
          <w:rFonts w:ascii="Abadi" w:hAnsi="Abadi"/>
          <w:b w:val="0"/>
          <w:bCs w:val="0"/>
          <w:sz w:val="21"/>
          <w:szCs w:val="21"/>
        </w:rPr>
      </w:pPr>
    </w:p>
    <w:p w14:paraId="04EEE7A8" w14:textId="77777777" w:rsidR="00374A1E" w:rsidRPr="007C2763" w:rsidRDefault="00374A1E" w:rsidP="00374A1E">
      <w:pPr>
        <w:pStyle w:val="Textoindependiente"/>
        <w:kinsoku w:val="0"/>
        <w:overflowPunct w:val="0"/>
        <w:ind w:right="117" w:firstLine="708"/>
        <w:rPr>
          <w:rFonts w:ascii="Abadi" w:hAnsi="Abadi"/>
          <w:b w:val="0"/>
          <w:bCs w:val="0"/>
          <w:sz w:val="21"/>
          <w:szCs w:val="21"/>
        </w:rPr>
      </w:pPr>
      <w:r w:rsidRPr="007C2763">
        <w:rPr>
          <w:rFonts w:ascii="Abadi" w:hAnsi="Abadi"/>
          <w:b w:val="0"/>
          <w:bCs w:val="0"/>
          <w:sz w:val="21"/>
          <w:szCs w:val="21"/>
        </w:rPr>
        <w:t>Es</w:t>
      </w:r>
      <w:r w:rsidRPr="007C2763">
        <w:rPr>
          <w:rFonts w:ascii="Abadi" w:hAnsi="Abadi"/>
          <w:b w:val="0"/>
          <w:bCs w:val="0"/>
          <w:spacing w:val="6"/>
          <w:sz w:val="21"/>
          <w:szCs w:val="21"/>
        </w:rPr>
        <w:t xml:space="preserve"> </w:t>
      </w:r>
      <w:r w:rsidRPr="007C2763">
        <w:rPr>
          <w:rFonts w:ascii="Abadi" w:hAnsi="Abadi"/>
          <w:b w:val="0"/>
          <w:bCs w:val="0"/>
          <w:sz w:val="21"/>
          <w:szCs w:val="21"/>
        </w:rPr>
        <w:t>así,</w:t>
      </w:r>
      <w:r w:rsidRPr="007C2763">
        <w:rPr>
          <w:rFonts w:ascii="Abadi" w:hAnsi="Abadi"/>
          <w:b w:val="0"/>
          <w:bCs w:val="0"/>
          <w:spacing w:val="5"/>
          <w:sz w:val="21"/>
          <w:szCs w:val="21"/>
        </w:rPr>
        <w:t xml:space="preserve"> </w:t>
      </w:r>
      <w:r w:rsidRPr="007C2763">
        <w:rPr>
          <w:rFonts w:ascii="Abadi" w:hAnsi="Abadi"/>
          <w:b w:val="0"/>
          <w:bCs w:val="0"/>
          <w:sz w:val="21"/>
          <w:szCs w:val="21"/>
        </w:rPr>
        <w:t>que</w:t>
      </w:r>
      <w:r w:rsidRPr="007C2763">
        <w:rPr>
          <w:rFonts w:ascii="Abadi" w:hAnsi="Abadi"/>
          <w:b w:val="0"/>
          <w:bCs w:val="0"/>
          <w:spacing w:val="6"/>
          <w:sz w:val="21"/>
          <w:szCs w:val="21"/>
        </w:rPr>
        <w:t xml:space="preserve"> </w:t>
      </w:r>
      <w:r w:rsidRPr="007C2763">
        <w:rPr>
          <w:rFonts w:ascii="Abadi" w:hAnsi="Abadi"/>
          <w:b w:val="0"/>
          <w:bCs w:val="0"/>
          <w:sz w:val="21"/>
          <w:szCs w:val="21"/>
        </w:rPr>
        <w:t>esta</w:t>
      </w:r>
      <w:r w:rsidRPr="007C2763">
        <w:rPr>
          <w:rFonts w:ascii="Abadi" w:hAnsi="Abadi"/>
          <w:b w:val="0"/>
          <w:bCs w:val="0"/>
          <w:spacing w:val="8"/>
          <w:sz w:val="21"/>
          <w:szCs w:val="21"/>
        </w:rPr>
        <w:t xml:space="preserve"> </w:t>
      </w:r>
      <w:r w:rsidRPr="007C2763">
        <w:rPr>
          <w:rFonts w:ascii="Abadi" w:hAnsi="Abadi"/>
          <w:b w:val="0"/>
          <w:bCs w:val="0"/>
          <w:sz w:val="21"/>
          <w:szCs w:val="21"/>
        </w:rPr>
        <w:t>Hacienda</w:t>
      </w:r>
      <w:r w:rsidRPr="007C2763">
        <w:rPr>
          <w:rFonts w:ascii="Abadi" w:hAnsi="Abadi"/>
          <w:b w:val="0"/>
          <w:bCs w:val="0"/>
          <w:spacing w:val="6"/>
          <w:sz w:val="21"/>
          <w:szCs w:val="21"/>
        </w:rPr>
        <w:t xml:space="preserve"> </w:t>
      </w:r>
      <w:r w:rsidRPr="007C2763">
        <w:rPr>
          <w:rFonts w:ascii="Abadi" w:hAnsi="Abadi"/>
          <w:b w:val="0"/>
          <w:bCs w:val="0"/>
          <w:sz w:val="21"/>
          <w:szCs w:val="21"/>
        </w:rPr>
        <w:t>nacida</w:t>
      </w:r>
      <w:r w:rsidRPr="007C2763">
        <w:rPr>
          <w:rFonts w:ascii="Abadi" w:hAnsi="Abadi"/>
          <w:b w:val="0"/>
          <w:bCs w:val="0"/>
          <w:spacing w:val="8"/>
          <w:sz w:val="21"/>
          <w:szCs w:val="21"/>
        </w:rPr>
        <w:t xml:space="preserve"> </w:t>
      </w:r>
      <w:r w:rsidRPr="007C2763">
        <w:rPr>
          <w:rFonts w:ascii="Abadi" w:hAnsi="Abadi"/>
          <w:b w:val="0"/>
          <w:bCs w:val="0"/>
          <w:sz w:val="21"/>
          <w:szCs w:val="21"/>
        </w:rPr>
        <w:t>en</w:t>
      </w:r>
      <w:r w:rsidRPr="007C2763">
        <w:rPr>
          <w:rFonts w:ascii="Abadi" w:hAnsi="Abadi"/>
          <w:b w:val="0"/>
          <w:bCs w:val="0"/>
          <w:spacing w:val="6"/>
          <w:sz w:val="21"/>
          <w:szCs w:val="21"/>
        </w:rPr>
        <w:t xml:space="preserve"> </w:t>
      </w:r>
      <w:r w:rsidRPr="007C2763">
        <w:rPr>
          <w:rFonts w:ascii="Abadi" w:hAnsi="Abadi"/>
          <w:b w:val="0"/>
          <w:bCs w:val="0"/>
          <w:sz w:val="21"/>
          <w:szCs w:val="21"/>
        </w:rPr>
        <w:t>el</w:t>
      </w:r>
      <w:r w:rsidRPr="007C2763">
        <w:rPr>
          <w:rFonts w:ascii="Abadi" w:hAnsi="Abadi"/>
          <w:b w:val="0"/>
          <w:bCs w:val="0"/>
          <w:spacing w:val="7"/>
          <w:sz w:val="21"/>
          <w:szCs w:val="21"/>
        </w:rPr>
        <w:t xml:space="preserve"> </w:t>
      </w:r>
      <w:r w:rsidRPr="007C2763">
        <w:rPr>
          <w:rFonts w:ascii="Abadi" w:hAnsi="Abadi"/>
          <w:b w:val="0"/>
          <w:bCs w:val="0"/>
          <w:sz w:val="21"/>
          <w:szCs w:val="21"/>
        </w:rPr>
        <w:t>Siglo</w:t>
      </w:r>
      <w:r w:rsidRPr="007C2763">
        <w:rPr>
          <w:rFonts w:ascii="Abadi" w:hAnsi="Abadi"/>
          <w:b w:val="0"/>
          <w:bCs w:val="0"/>
          <w:spacing w:val="6"/>
          <w:sz w:val="21"/>
          <w:szCs w:val="21"/>
        </w:rPr>
        <w:t xml:space="preserve"> </w:t>
      </w:r>
      <w:r w:rsidRPr="007C2763">
        <w:rPr>
          <w:rFonts w:ascii="Abadi" w:hAnsi="Abadi"/>
          <w:b w:val="0"/>
          <w:bCs w:val="0"/>
          <w:sz w:val="21"/>
          <w:szCs w:val="21"/>
        </w:rPr>
        <w:t>XVI,</w:t>
      </w:r>
      <w:r w:rsidRPr="007C2763">
        <w:rPr>
          <w:rFonts w:ascii="Abadi" w:hAnsi="Abadi"/>
          <w:b w:val="0"/>
          <w:bCs w:val="0"/>
          <w:spacing w:val="5"/>
          <w:sz w:val="21"/>
          <w:szCs w:val="21"/>
        </w:rPr>
        <w:t xml:space="preserve"> </w:t>
      </w:r>
      <w:r w:rsidRPr="007C2763">
        <w:rPr>
          <w:rFonts w:ascii="Abadi" w:hAnsi="Abadi"/>
          <w:b w:val="0"/>
          <w:bCs w:val="0"/>
          <w:sz w:val="21"/>
          <w:szCs w:val="21"/>
        </w:rPr>
        <w:t>apenas</w:t>
      </w:r>
      <w:r w:rsidRPr="007C2763">
        <w:rPr>
          <w:rFonts w:ascii="Abadi" w:hAnsi="Abadi"/>
          <w:b w:val="0"/>
          <w:bCs w:val="0"/>
          <w:spacing w:val="5"/>
          <w:sz w:val="21"/>
          <w:szCs w:val="21"/>
        </w:rPr>
        <w:t xml:space="preserve"> </w:t>
      </w:r>
      <w:r w:rsidRPr="007C2763">
        <w:rPr>
          <w:rFonts w:ascii="Abadi" w:hAnsi="Abadi"/>
          <w:b w:val="0"/>
          <w:bCs w:val="0"/>
          <w:sz w:val="21"/>
          <w:szCs w:val="21"/>
        </w:rPr>
        <w:t>70</w:t>
      </w:r>
      <w:r w:rsidRPr="007C2763">
        <w:rPr>
          <w:rFonts w:ascii="Abadi" w:hAnsi="Abadi"/>
          <w:b w:val="0"/>
          <w:bCs w:val="0"/>
          <w:spacing w:val="6"/>
          <w:sz w:val="21"/>
          <w:szCs w:val="21"/>
        </w:rPr>
        <w:t xml:space="preserve"> </w:t>
      </w:r>
      <w:r w:rsidRPr="007C2763">
        <w:rPr>
          <w:rFonts w:ascii="Abadi" w:hAnsi="Abadi"/>
          <w:b w:val="0"/>
          <w:bCs w:val="0"/>
          <w:sz w:val="21"/>
          <w:szCs w:val="21"/>
        </w:rPr>
        <w:t>años</w:t>
      </w:r>
      <w:r w:rsidRPr="007C2763">
        <w:rPr>
          <w:rFonts w:ascii="Abadi" w:hAnsi="Abadi"/>
          <w:b w:val="0"/>
          <w:bCs w:val="0"/>
          <w:spacing w:val="5"/>
          <w:sz w:val="21"/>
          <w:szCs w:val="21"/>
        </w:rPr>
        <w:t xml:space="preserve"> </w:t>
      </w:r>
      <w:r w:rsidRPr="007C2763">
        <w:rPr>
          <w:rFonts w:ascii="Abadi" w:hAnsi="Abadi"/>
          <w:b w:val="0"/>
          <w:bCs w:val="0"/>
          <w:sz w:val="21"/>
          <w:szCs w:val="21"/>
        </w:rPr>
        <w:t>después de</w:t>
      </w:r>
      <w:r w:rsidRPr="007C2763">
        <w:rPr>
          <w:rFonts w:ascii="Abadi" w:hAnsi="Abadi"/>
          <w:b w:val="0"/>
          <w:bCs w:val="0"/>
          <w:spacing w:val="6"/>
          <w:sz w:val="21"/>
          <w:szCs w:val="21"/>
        </w:rPr>
        <w:t xml:space="preserve"> </w:t>
      </w:r>
      <w:r w:rsidRPr="007C2763">
        <w:rPr>
          <w:rFonts w:ascii="Abadi" w:hAnsi="Abadi"/>
          <w:b w:val="0"/>
          <w:bCs w:val="0"/>
          <w:sz w:val="21"/>
          <w:szCs w:val="21"/>
        </w:rPr>
        <w:t>concluida</w:t>
      </w:r>
      <w:r w:rsidRPr="007C2763">
        <w:rPr>
          <w:rFonts w:ascii="Abadi" w:hAnsi="Abadi"/>
          <w:b w:val="0"/>
          <w:bCs w:val="0"/>
          <w:spacing w:val="6"/>
          <w:sz w:val="21"/>
          <w:szCs w:val="21"/>
        </w:rPr>
        <w:t xml:space="preserve"> </w:t>
      </w:r>
      <w:r w:rsidRPr="007C2763">
        <w:rPr>
          <w:rFonts w:ascii="Abadi" w:hAnsi="Abadi"/>
          <w:b w:val="0"/>
          <w:bCs w:val="0"/>
          <w:sz w:val="21"/>
          <w:szCs w:val="21"/>
        </w:rPr>
        <w:t>la</w:t>
      </w:r>
      <w:r w:rsidRPr="007C2763">
        <w:rPr>
          <w:rFonts w:ascii="Abadi" w:hAnsi="Abadi"/>
          <w:b w:val="0"/>
          <w:bCs w:val="0"/>
          <w:spacing w:val="6"/>
          <w:sz w:val="21"/>
          <w:szCs w:val="21"/>
        </w:rPr>
        <w:t xml:space="preserve"> </w:t>
      </w:r>
      <w:r w:rsidRPr="007C2763">
        <w:rPr>
          <w:rFonts w:ascii="Abadi" w:hAnsi="Abadi"/>
          <w:b w:val="0"/>
          <w:bCs w:val="0"/>
          <w:sz w:val="21"/>
          <w:szCs w:val="21"/>
        </w:rPr>
        <w:t>Conquista</w:t>
      </w:r>
      <w:r w:rsidRPr="007C2763">
        <w:rPr>
          <w:rFonts w:ascii="Abadi" w:hAnsi="Abadi"/>
          <w:b w:val="0"/>
          <w:bCs w:val="0"/>
          <w:spacing w:val="6"/>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México,</w:t>
      </w:r>
      <w:r w:rsidRPr="007C2763">
        <w:rPr>
          <w:rFonts w:ascii="Abadi" w:hAnsi="Abadi"/>
          <w:b w:val="0"/>
          <w:bCs w:val="0"/>
          <w:spacing w:val="5"/>
          <w:sz w:val="21"/>
          <w:szCs w:val="21"/>
        </w:rPr>
        <w:t xml:space="preserve"> </w:t>
      </w:r>
      <w:r w:rsidRPr="007C2763">
        <w:rPr>
          <w:rFonts w:ascii="Abadi" w:hAnsi="Abadi"/>
          <w:b w:val="0"/>
          <w:bCs w:val="0"/>
          <w:sz w:val="21"/>
          <w:szCs w:val="21"/>
        </w:rPr>
        <w:t>creció</w:t>
      </w:r>
      <w:r w:rsidRPr="007C2763">
        <w:rPr>
          <w:rFonts w:ascii="Abadi" w:hAnsi="Abadi"/>
          <w:b w:val="0"/>
          <w:bCs w:val="0"/>
          <w:spacing w:val="3"/>
          <w:sz w:val="21"/>
          <w:szCs w:val="21"/>
        </w:rPr>
        <w:t xml:space="preserve"> </w:t>
      </w:r>
      <w:r w:rsidRPr="007C2763">
        <w:rPr>
          <w:rFonts w:ascii="Abadi" w:hAnsi="Abadi"/>
          <w:b w:val="0"/>
          <w:bCs w:val="0"/>
          <w:sz w:val="21"/>
          <w:szCs w:val="21"/>
        </w:rPr>
        <w:t>y</w:t>
      </w:r>
      <w:r w:rsidRPr="007C2763">
        <w:rPr>
          <w:rFonts w:ascii="Abadi" w:hAnsi="Abadi"/>
          <w:b w:val="0"/>
          <w:bCs w:val="0"/>
          <w:spacing w:val="5"/>
          <w:sz w:val="21"/>
          <w:szCs w:val="21"/>
        </w:rPr>
        <w:t xml:space="preserve"> </w:t>
      </w:r>
      <w:r w:rsidRPr="007C2763">
        <w:rPr>
          <w:rFonts w:ascii="Abadi" w:hAnsi="Abadi"/>
          <w:b w:val="0"/>
          <w:bCs w:val="0"/>
          <w:sz w:val="21"/>
          <w:szCs w:val="21"/>
        </w:rPr>
        <w:t>prosperó</w:t>
      </w:r>
      <w:r w:rsidRPr="007C2763">
        <w:rPr>
          <w:rFonts w:ascii="Abadi" w:hAnsi="Abadi"/>
          <w:b w:val="0"/>
          <w:bCs w:val="0"/>
          <w:spacing w:val="6"/>
          <w:sz w:val="21"/>
          <w:szCs w:val="21"/>
        </w:rPr>
        <w:t xml:space="preserve"> </w:t>
      </w:r>
      <w:r w:rsidRPr="007C2763">
        <w:rPr>
          <w:rFonts w:ascii="Abadi" w:hAnsi="Abadi"/>
          <w:b w:val="0"/>
          <w:bCs w:val="0"/>
          <w:sz w:val="21"/>
          <w:szCs w:val="21"/>
        </w:rPr>
        <w:t>cambiando</w:t>
      </w:r>
      <w:r w:rsidRPr="007C2763">
        <w:rPr>
          <w:rFonts w:ascii="Abadi" w:hAnsi="Abadi"/>
          <w:b w:val="0"/>
          <w:bCs w:val="0"/>
          <w:spacing w:val="3"/>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propietarios hasta</w:t>
      </w:r>
      <w:r w:rsidRPr="007C2763">
        <w:rPr>
          <w:rFonts w:ascii="Abadi" w:hAnsi="Abadi"/>
          <w:b w:val="0"/>
          <w:bCs w:val="0"/>
          <w:spacing w:val="8"/>
          <w:sz w:val="21"/>
          <w:szCs w:val="21"/>
        </w:rPr>
        <w:t xml:space="preserve"> </w:t>
      </w:r>
      <w:r w:rsidRPr="007C2763">
        <w:rPr>
          <w:rFonts w:ascii="Abadi" w:hAnsi="Abadi"/>
          <w:b w:val="0"/>
          <w:bCs w:val="0"/>
          <w:sz w:val="21"/>
          <w:szCs w:val="21"/>
        </w:rPr>
        <w:t>que</w:t>
      </w:r>
      <w:r w:rsidRPr="007C2763">
        <w:rPr>
          <w:rFonts w:ascii="Abadi" w:hAnsi="Abadi"/>
          <w:b w:val="0"/>
          <w:bCs w:val="0"/>
          <w:spacing w:val="11"/>
          <w:sz w:val="21"/>
          <w:szCs w:val="21"/>
        </w:rPr>
        <w:t xml:space="preserve"> </w:t>
      </w:r>
      <w:r w:rsidRPr="007C2763">
        <w:rPr>
          <w:rFonts w:ascii="Abadi" w:hAnsi="Abadi"/>
          <w:b w:val="0"/>
          <w:bCs w:val="0"/>
          <w:sz w:val="21"/>
          <w:szCs w:val="21"/>
        </w:rPr>
        <w:t>en</w:t>
      </w:r>
      <w:r w:rsidRPr="007C2763">
        <w:rPr>
          <w:rFonts w:ascii="Abadi" w:hAnsi="Abadi"/>
          <w:b w:val="0"/>
          <w:bCs w:val="0"/>
          <w:spacing w:val="11"/>
          <w:sz w:val="21"/>
          <w:szCs w:val="21"/>
        </w:rPr>
        <w:t xml:space="preserve"> </w:t>
      </w:r>
      <w:r w:rsidRPr="007C2763">
        <w:rPr>
          <w:rFonts w:ascii="Abadi" w:hAnsi="Abadi"/>
          <w:b w:val="0"/>
          <w:bCs w:val="0"/>
          <w:sz w:val="21"/>
          <w:szCs w:val="21"/>
        </w:rPr>
        <w:t>1860,</w:t>
      </w:r>
      <w:r w:rsidRPr="007C2763">
        <w:rPr>
          <w:rFonts w:ascii="Abadi" w:hAnsi="Abadi"/>
          <w:b w:val="0"/>
          <w:bCs w:val="0"/>
          <w:spacing w:val="10"/>
          <w:sz w:val="21"/>
          <w:szCs w:val="21"/>
        </w:rPr>
        <w:t xml:space="preserve"> </w:t>
      </w:r>
      <w:r w:rsidRPr="007C2763">
        <w:rPr>
          <w:rFonts w:ascii="Abadi" w:hAnsi="Abadi"/>
          <w:b w:val="0"/>
          <w:bCs w:val="0"/>
          <w:sz w:val="21"/>
          <w:szCs w:val="21"/>
        </w:rPr>
        <w:t>el</w:t>
      </w:r>
      <w:r w:rsidRPr="007C2763">
        <w:rPr>
          <w:rFonts w:ascii="Abadi" w:hAnsi="Abadi"/>
          <w:b w:val="0"/>
          <w:bCs w:val="0"/>
          <w:spacing w:val="7"/>
          <w:sz w:val="21"/>
          <w:szCs w:val="21"/>
        </w:rPr>
        <w:t xml:space="preserve"> </w:t>
      </w:r>
      <w:r w:rsidRPr="007C2763">
        <w:rPr>
          <w:rFonts w:ascii="Abadi" w:hAnsi="Abadi"/>
          <w:b w:val="0"/>
          <w:bCs w:val="0"/>
          <w:sz w:val="21"/>
          <w:szCs w:val="21"/>
        </w:rPr>
        <w:t>gobierno</w:t>
      </w:r>
      <w:r w:rsidRPr="007C2763">
        <w:rPr>
          <w:rFonts w:ascii="Abadi" w:hAnsi="Abadi"/>
          <w:b w:val="0"/>
          <w:bCs w:val="0"/>
          <w:spacing w:val="11"/>
          <w:sz w:val="21"/>
          <w:szCs w:val="21"/>
        </w:rPr>
        <w:t xml:space="preserve"> </w:t>
      </w:r>
      <w:r w:rsidRPr="007C2763">
        <w:rPr>
          <w:rFonts w:ascii="Abadi" w:hAnsi="Abadi"/>
          <w:b w:val="0"/>
          <w:bCs w:val="0"/>
          <w:sz w:val="21"/>
          <w:szCs w:val="21"/>
        </w:rPr>
        <w:t>Federal</w:t>
      </w:r>
      <w:r w:rsidRPr="007C2763">
        <w:rPr>
          <w:rFonts w:ascii="Abadi" w:hAnsi="Abadi"/>
          <w:b w:val="0"/>
          <w:bCs w:val="0"/>
          <w:spacing w:val="9"/>
          <w:sz w:val="21"/>
          <w:szCs w:val="21"/>
        </w:rPr>
        <w:t xml:space="preserve"> </w:t>
      </w:r>
      <w:r w:rsidRPr="007C2763">
        <w:rPr>
          <w:rFonts w:ascii="Abadi" w:hAnsi="Abadi"/>
          <w:b w:val="0"/>
          <w:bCs w:val="0"/>
          <w:sz w:val="21"/>
          <w:szCs w:val="21"/>
        </w:rPr>
        <w:t>ofreció</w:t>
      </w:r>
      <w:r w:rsidRPr="007C2763">
        <w:rPr>
          <w:rFonts w:ascii="Abadi" w:hAnsi="Abadi"/>
          <w:b w:val="0"/>
          <w:bCs w:val="0"/>
          <w:spacing w:val="11"/>
          <w:sz w:val="21"/>
          <w:szCs w:val="21"/>
        </w:rPr>
        <w:t xml:space="preserve"> </w:t>
      </w:r>
      <w:r w:rsidRPr="007C2763">
        <w:rPr>
          <w:rFonts w:ascii="Abadi" w:hAnsi="Abadi"/>
          <w:b w:val="0"/>
          <w:bCs w:val="0"/>
          <w:sz w:val="21"/>
          <w:szCs w:val="21"/>
        </w:rPr>
        <w:t>en</w:t>
      </w:r>
      <w:r w:rsidRPr="007C2763">
        <w:rPr>
          <w:rFonts w:ascii="Abadi" w:hAnsi="Abadi"/>
          <w:b w:val="0"/>
          <w:bCs w:val="0"/>
          <w:spacing w:val="11"/>
          <w:sz w:val="21"/>
          <w:szCs w:val="21"/>
        </w:rPr>
        <w:t xml:space="preserve"> </w:t>
      </w:r>
      <w:r w:rsidRPr="007C2763">
        <w:rPr>
          <w:rFonts w:ascii="Abadi" w:hAnsi="Abadi"/>
          <w:b w:val="0"/>
          <w:bCs w:val="0"/>
          <w:sz w:val="21"/>
          <w:szCs w:val="21"/>
        </w:rPr>
        <w:t>subasta</w:t>
      </w:r>
      <w:r w:rsidRPr="007C2763">
        <w:rPr>
          <w:rFonts w:ascii="Abadi" w:hAnsi="Abadi"/>
          <w:b w:val="0"/>
          <w:bCs w:val="0"/>
          <w:spacing w:val="8"/>
          <w:sz w:val="21"/>
          <w:szCs w:val="21"/>
        </w:rPr>
        <w:t xml:space="preserve"> </w:t>
      </w:r>
      <w:r w:rsidRPr="007C2763">
        <w:rPr>
          <w:rFonts w:ascii="Abadi" w:hAnsi="Abadi"/>
          <w:b w:val="0"/>
          <w:bCs w:val="0"/>
          <w:sz w:val="21"/>
          <w:szCs w:val="21"/>
        </w:rPr>
        <w:t>pública</w:t>
      </w:r>
      <w:r w:rsidRPr="007C2763">
        <w:rPr>
          <w:rFonts w:ascii="Abadi" w:hAnsi="Abadi"/>
          <w:b w:val="0"/>
          <w:bCs w:val="0"/>
          <w:spacing w:val="8"/>
          <w:sz w:val="21"/>
          <w:szCs w:val="21"/>
        </w:rPr>
        <w:t xml:space="preserve"> </w:t>
      </w:r>
      <w:r w:rsidRPr="007C2763">
        <w:rPr>
          <w:rFonts w:ascii="Abadi" w:hAnsi="Abadi"/>
          <w:b w:val="0"/>
          <w:bCs w:val="0"/>
          <w:sz w:val="21"/>
          <w:szCs w:val="21"/>
        </w:rPr>
        <w:t>la</w:t>
      </w:r>
      <w:r w:rsidRPr="007C2763">
        <w:rPr>
          <w:rFonts w:ascii="Abadi" w:hAnsi="Abadi"/>
          <w:b w:val="0"/>
          <w:bCs w:val="0"/>
          <w:spacing w:val="11"/>
          <w:sz w:val="21"/>
          <w:szCs w:val="21"/>
        </w:rPr>
        <w:t xml:space="preserve"> </w:t>
      </w:r>
      <w:r w:rsidRPr="007C2763">
        <w:rPr>
          <w:rFonts w:ascii="Abadi" w:hAnsi="Abadi"/>
          <w:b w:val="0"/>
          <w:bCs w:val="0"/>
          <w:sz w:val="21"/>
          <w:szCs w:val="21"/>
        </w:rPr>
        <w:t>Hacienda</w:t>
      </w:r>
      <w:r w:rsidRPr="007C2763">
        <w:rPr>
          <w:rFonts w:ascii="Abadi" w:hAnsi="Abadi"/>
          <w:b w:val="0"/>
          <w:bCs w:val="0"/>
          <w:spacing w:val="8"/>
          <w:sz w:val="21"/>
          <w:szCs w:val="21"/>
        </w:rPr>
        <w:t xml:space="preserve"> </w:t>
      </w:r>
      <w:r w:rsidRPr="007C2763">
        <w:rPr>
          <w:rFonts w:ascii="Abadi" w:hAnsi="Abadi"/>
          <w:b w:val="0"/>
          <w:bCs w:val="0"/>
          <w:sz w:val="21"/>
          <w:szCs w:val="21"/>
        </w:rPr>
        <w:t>de Charcas,</w:t>
      </w:r>
      <w:r w:rsidRPr="007C2763">
        <w:rPr>
          <w:rFonts w:ascii="Abadi" w:hAnsi="Abadi"/>
          <w:b w:val="0"/>
          <w:bCs w:val="0"/>
          <w:spacing w:val="29"/>
          <w:sz w:val="21"/>
          <w:szCs w:val="21"/>
        </w:rPr>
        <w:t xml:space="preserve"> </w:t>
      </w:r>
      <w:r w:rsidRPr="007C2763">
        <w:rPr>
          <w:rFonts w:ascii="Abadi" w:hAnsi="Abadi"/>
          <w:b w:val="0"/>
          <w:bCs w:val="0"/>
          <w:sz w:val="21"/>
          <w:szCs w:val="21"/>
        </w:rPr>
        <w:t>adquiriéndola</w:t>
      </w:r>
      <w:r w:rsidRPr="007C2763">
        <w:rPr>
          <w:rFonts w:ascii="Abadi" w:hAnsi="Abadi"/>
          <w:b w:val="0"/>
          <w:bCs w:val="0"/>
          <w:spacing w:val="30"/>
          <w:sz w:val="21"/>
          <w:szCs w:val="21"/>
        </w:rPr>
        <w:t xml:space="preserve"> </w:t>
      </w:r>
      <w:r w:rsidRPr="007C2763">
        <w:rPr>
          <w:rFonts w:ascii="Abadi" w:hAnsi="Abadi"/>
          <w:b w:val="0"/>
          <w:bCs w:val="0"/>
          <w:sz w:val="21"/>
          <w:szCs w:val="21"/>
        </w:rPr>
        <w:t>entonces</w:t>
      </w:r>
      <w:r w:rsidRPr="007C2763">
        <w:rPr>
          <w:rFonts w:ascii="Abadi" w:hAnsi="Abadi"/>
          <w:b w:val="0"/>
          <w:bCs w:val="0"/>
          <w:spacing w:val="29"/>
          <w:sz w:val="21"/>
          <w:szCs w:val="21"/>
        </w:rPr>
        <w:t xml:space="preserve"> </w:t>
      </w:r>
      <w:r w:rsidRPr="007C2763">
        <w:rPr>
          <w:rFonts w:ascii="Abadi" w:hAnsi="Abadi"/>
          <w:b w:val="0"/>
          <w:bCs w:val="0"/>
          <w:sz w:val="21"/>
          <w:szCs w:val="21"/>
        </w:rPr>
        <w:t>Don</w:t>
      </w:r>
      <w:r w:rsidRPr="007C2763">
        <w:rPr>
          <w:rFonts w:ascii="Abadi" w:hAnsi="Abadi"/>
          <w:b w:val="0"/>
          <w:bCs w:val="0"/>
          <w:spacing w:val="27"/>
          <w:sz w:val="21"/>
          <w:szCs w:val="21"/>
        </w:rPr>
        <w:t xml:space="preserve"> </w:t>
      </w:r>
      <w:r w:rsidRPr="007C2763">
        <w:rPr>
          <w:rFonts w:ascii="Abadi" w:hAnsi="Abadi"/>
          <w:b w:val="0"/>
          <w:bCs w:val="0"/>
          <w:sz w:val="21"/>
          <w:szCs w:val="21"/>
        </w:rPr>
        <w:t>Agustín</w:t>
      </w:r>
      <w:r w:rsidRPr="007C2763">
        <w:rPr>
          <w:rFonts w:ascii="Abadi" w:hAnsi="Abadi"/>
          <w:b w:val="0"/>
          <w:bCs w:val="0"/>
          <w:spacing w:val="30"/>
          <w:sz w:val="21"/>
          <w:szCs w:val="21"/>
        </w:rPr>
        <w:t xml:space="preserve"> </w:t>
      </w:r>
      <w:r w:rsidRPr="007C2763">
        <w:rPr>
          <w:rFonts w:ascii="Abadi" w:hAnsi="Abadi"/>
          <w:b w:val="0"/>
          <w:bCs w:val="0"/>
          <w:sz w:val="21"/>
          <w:szCs w:val="21"/>
        </w:rPr>
        <w:t>González</w:t>
      </w:r>
      <w:r w:rsidRPr="007C2763">
        <w:rPr>
          <w:rFonts w:ascii="Abadi" w:hAnsi="Abadi"/>
          <w:b w:val="0"/>
          <w:bCs w:val="0"/>
          <w:spacing w:val="29"/>
          <w:sz w:val="21"/>
          <w:szCs w:val="21"/>
        </w:rPr>
        <w:t xml:space="preserve"> </w:t>
      </w:r>
      <w:r w:rsidRPr="007C2763">
        <w:rPr>
          <w:rFonts w:ascii="Abadi" w:hAnsi="Abadi"/>
          <w:b w:val="0"/>
          <w:bCs w:val="0"/>
          <w:sz w:val="21"/>
          <w:szCs w:val="21"/>
        </w:rPr>
        <w:t>de</w:t>
      </w:r>
      <w:r w:rsidRPr="007C2763">
        <w:rPr>
          <w:rFonts w:ascii="Abadi" w:hAnsi="Abadi"/>
          <w:b w:val="0"/>
          <w:bCs w:val="0"/>
          <w:spacing w:val="30"/>
          <w:sz w:val="21"/>
          <w:szCs w:val="21"/>
        </w:rPr>
        <w:t xml:space="preserve"> </w:t>
      </w:r>
      <w:r w:rsidRPr="007C2763">
        <w:rPr>
          <w:rFonts w:ascii="Abadi" w:hAnsi="Abadi"/>
          <w:b w:val="0"/>
          <w:bCs w:val="0"/>
          <w:sz w:val="21"/>
          <w:szCs w:val="21"/>
        </w:rPr>
        <w:t>Cossío,</w:t>
      </w:r>
      <w:r w:rsidRPr="007C2763">
        <w:rPr>
          <w:rFonts w:ascii="Abadi" w:hAnsi="Abadi"/>
          <w:b w:val="0"/>
          <w:bCs w:val="0"/>
          <w:spacing w:val="29"/>
          <w:sz w:val="21"/>
          <w:szCs w:val="21"/>
        </w:rPr>
        <w:t xml:space="preserve"> </w:t>
      </w:r>
      <w:r w:rsidRPr="007C2763">
        <w:rPr>
          <w:rFonts w:ascii="Abadi" w:hAnsi="Abadi"/>
          <w:b w:val="0"/>
          <w:bCs w:val="0"/>
          <w:sz w:val="21"/>
          <w:szCs w:val="21"/>
        </w:rPr>
        <w:t>vecino</w:t>
      </w:r>
      <w:r w:rsidRPr="007C2763">
        <w:rPr>
          <w:rFonts w:ascii="Abadi" w:hAnsi="Abadi"/>
          <w:b w:val="0"/>
          <w:bCs w:val="0"/>
          <w:spacing w:val="30"/>
          <w:sz w:val="21"/>
          <w:szCs w:val="21"/>
        </w:rPr>
        <w:t xml:space="preserve"> </w:t>
      </w:r>
      <w:r w:rsidRPr="007C2763">
        <w:rPr>
          <w:rFonts w:ascii="Abadi" w:hAnsi="Abadi"/>
          <w:b w:val="0"/>
          <w:bCs w:val="0"/>
          <w:sz w:val="21"/>
          <w:szCs w:val="21"/>
        </w:rPr>
        <w:t>de</w:t>
      </w:r>
      <w:r w:rsidRPr="007C2763">
        <w:rPr>
          <w:rFonts w:ascii="Abadi" w:hAnsi="Abadi"/>
          <w:b w:val="0"/>
          <w:bCs w:val="0"/>
          <w:spacing w:val="30"/>
          <w:sz w:val="21"/>
          <w:szCs w:val="21"/>
        </w:rPr>
        <w:t xml:space="preserve"> </w:t>
      </w:r>
      <w:r w:rsidRPr="007C2763">
        <w:rPr>
          <w:rFonts w:ascii="Abadi" w:hAnsi="Abadi"/>
          <w:b w:val="0"/>
          <w:bCs w:val="0"/>
          <w:sz w:val="21"/>
          <w:szCs w:val="21"/>
        </w:rPr>
        <w:t>la ciudad</w:t>
      </w:r>
      <w:r w:rsidRPr="007C2763">
        <w:rPr>
          <w:rFonts w:ascii="Abadi" w:hAnsi="Abadi"/>
          <w:b w:val="0"/>
          <w:bCs w:val="0"/>
          <w:spacing w:val="15"/>
          <w:sz w:val="21"/>
          <w:szCs w:val="21"/>
        </w:rPr>
        <w:t xml:space="preserve"> </w:t>
      </w:r>
      <w:r w:rsidRPr="007C2763">
        <w:rPr>
          <w:rFonts w:ascii="Abadi" w:hAnsi="Abadi"/>
          <w:b w:val="0"/>
          <w:bCs w:val="0"/>
          <w:sz w:val="21"/>
          <w:szCs w:val="21"/>
        </w:rPr>
        <w:t>de</w:t>
      </w:r>
      <w:r w:rsidRPr="007C2763">
        <w:rPr>
          <w:rFonts w:ascii="Abadi" w:hAnsi="Abadi"/>
          <w:b w:val="0"/>
          <w:bCs w:val="0"/>
          <w:spacing w:val="18"/>
          <w:sz w:val="21"/>
          <w:szCs w:val="21"/>
        </w:rPr>
        <w:t xml:space="preserve"> </w:t>
      </w:r>
      <w:r w:rsidRPr="007C2763">
        <w:rPr>
          <w:rFonts w:ascii="Abadi" w:hAnsi="Abadi"/>
          <w:b w:val="0"/>
          <w:bCs w:val="0"/>
          <w:sz w:val="21"/>
          <w:szCs w:val="21"/>
        </w:rPr>
        <w:t>Querétaro,</w:t>
      </w:r>
      <w:r w:rsidRPr="007C2763">
        <w:rPr>
          <w:rFonts w:ascii="Abadi" w:hAnsi="Abadi"/>
          <w:b w:val="0"/>
          <w:bCs w:val="0"/>
          <w:spacing w:val="15"/>
          <w:sz w:val="21"/>
          <w:szCs w:val="21"/>
        </w:rPr>
        <w:t xml:space="preserve"> </w:t>
      </w:r>
      <w:r w:rsidRPr="007C2763">
        <w:rPr>
          <w:rFonts w:ascii="Abadi" w:hAnsi="Abadi"/>
          <w:b w:val="0"/>
          <w:bCs w:val="0"/>
          <w:sz w:val="21"/>
          <w:szCs w:val="21"/>
        </w:rPr>
        <w:t>quien</w:t>
      </w:r>
      <w:r w:rsidRPr="007C2763">
        <w:rPr>
          <w:rFonts w:ascii="Abadi" w:hAnsi="Abadi"/>
          <w:b w:val="0"/>
          <w:bCs w:val="0"/>
          <w:spacing w:val="15"/>
          <w:sz w:val="21"/>
          <w:szCs w:val="21"/>
        </w:rPr>
        <w:t xml:space="preserve"> </w:t>
      </w:r>
      <w:r w:rsidRPr="007C2763">
        <w:rPr>
          <w:rFonts w:ascii="Abadi" w:hAnsi="Abadi"/>
          <w:b w:val="0"/>
          <w:bCs w:val="0"/>
          <w:sz w:val="21"/>
          <w:szCs w:val="21"/>
        </w:rPr>
        <w:t>dispuso</w:t>
      </w:r>
      <w:r w:rsidRPr="007C2763">
        <w:rPr>
          <w:rFonts w:ascii="Abadi" w:hAnsi="Abadi"/>
          <w:b w:val="0"/>
          <w:bCs w:val="0"/>
          <w:spacing w:val="15"/>
          <w:sz w:val="21"/>
          <w:szCs w:val="21"/>
        </w:rPr>
        <w:t xml:space="preserve"> </w:t>
      </w:r>
      <w:r w:rsidRPr="007C2763">
        <w:rPr>
          <w:rFonts w:ascii="Abadi" w:hAnsi="Abadi"/>
          <w:b w:val="0"/>
          <w:bCs w:val="0"/>
          <w:sz w:val="21"/>
          <w:szCs w:val="21"/>
        </w:rPr>
        <w:t>que</w:t>
      </w:r>
      <w:r w:rsidRPr="007C2763">
        <w:rPr>
          <w:rFonts w:ascii="Abadi" w:hAnsi="Abadi"/>
          <w:b w:val="0"/>
          <w:bCs w:val="0"/>
          <w:spacing w:val="18"/>
          <w:sz w:val="21"/>
          <w:szCs w:val="21"/>
        </w:rPr>
        <w:t xml:space="preserve"> </w:t>
      </w:r>
      <w:r w:rsidRPr="007C2763">
        <w:rPr>
          <w:rFonts w:ascii="Abadi" w:hAnsi="Abadi"/>
          <w:b w:val="0"/>
          <w:bCs w:val="0"/>
          <w:sz w:val="21"/>
          <w:szCs w:val="21"/>
        </w:rPr>
        <w:t>se</w:t>
      </w:r>
      <w:r w:rsidRPr="007C2763">
        <w:rPr>
          <w:rFonts w:ascii="Abadi" w:hAnsi="Abadi"/>
          <w:b w:val="0"/>
          <w:bCs w:val="0"/>
          <w:spacing w:val="15"/>
          <w:sz w:val="21"/>
          <w:szCs w:val="21"/>
        </w:rPr>
        <w:t xml:space="preserve"> </w:t>
      </w:r>
      <w:r w:rsidRPr="007C2763">
        <w:rPr>
          <w:rFonts w:ascii="Abadi" w:hAnsi="Abadi"/>
          <w:b w:val="0"/>
          <w:bCs w:val="0"/>
          <w:sz w:val="21"/>
          <w:szCs w:val="21"/>
        </w:rPr>
        <w:t>fundara</w:t>
      </w:r>
      <w:r w:rsidRPr="007C2763">
        <w:rPr>
          <w:rFonts w:ascii="Abadi" w:hAnsi="Abadi"/>
          <w:b w:val="0"/>
          <w:bCs w:val="0"/>
          <w:spacing w:val="15"/>
          <w:sz w:val="21"/>
          <w:szCs w:val="21"/>
        </w:rPr>
        <w:t xml:space="preserve"> </w:t>
      </w:r>
      <w:r w:rsidRPr="007C2763">
        <w:rPr>
          <w:rFonts w:ascii="Abadi" w:hAnsi="Abadi"/>
          <w:b w:val="0"/>
          <w:bCs w:val="0"/>
          <w:sz w:val="21"/>
          <w:szCs w:val="21"/>
        </w:rPr>
        <w:t>un</w:t>
      </w:r>
      <w:r w:rsidRPr="007C2763">
        <w:rPr>
          <w:rFonts w:ascii="Abadi" w:hAnsi="Abadi"/>
          <w:b w:val="0"/>
          <w:bCs w:val="0"/>
          <w:spacing w:val="14"/>
          <w:sz w:val="21"/>
          <w:szCs w:val="21"/>
        </w:rPr>
        <w:t xml:space="preserve"> </w:t>
      </w:r>
      <w:r w:rsidRPr="007C2763">
        <w:rPr>
          <w:rFonts w:ascii="Abadi" w:hAnsi="Abadi"/>
          <w:b w:val="0"/>
          <w:bCs w:val="0"/>
          <w:sz w:val="21"/>
          <w:szCs w:val="21"/>
        </w:rPr>
        <w:t>pequeño</w:t>
      </w:r>
      <w:r w:rsidRPr="007C2763">
        <w:rPr>
          <w:rFonts w:ascii="Abadi" w:hAnsi="Abadi"/>
          <w:b w:val="0"/>
          <w:bCs w:val="0"/>
          <w:spacing w:val="15"/>
          <w:sz w:val="21"/>
          <w:szCs w:val="21"/>
        </w:rPr>
        <w:t xml:space="preserve"> </w:t>
      </w:r>
      <w:r w:rsidRPr="007C2763">
        <w:rPr>
          <w:rFonts w:ascii="Abadi" w:hAnsi="Abadi"/>
          <w:b w:val="0"/>
          <w:bCs w:val="0"/>
          <w:sz w:val="21"/>
          <w:szCs w:val="21"/>
        </w:rPr>
        <w:t>pueblo,</w:t>
      </w:r>
      <w:r w:rsidRPr="007C2763">
        <w:rPr>
          <w:rFonts w:ascii="Abadi" w:hAnsi="Abadi"/>
          <w:b w:val="0"/>
          <w:bCs w:val="0"/>
          <w:spacing w:val="17"/>
          <w:sz w:val="21"/>
          <w:szCs w:val="21"/>
        </w:rPr>
        <w:t xml:space="preserve"> </w:t>
      </w:r>
      <w:r w:rsidRPr="007C2763">
        <w:rPr>
          <w:rFonts w:ascii="Abadi" w:hAnsi="Abadi"/>
          <w:b w:val="0"/>
          <w:bCs w:val="0"/>
          <w:sz w:val="21"/>
          <w:szCs w:val="21"/>
        </w:rPr>
        <w:t>donando para</w:t>
      </w:r>
      <w:r w:rsidRPr="007C2763">
        <w:rPr>
          <w:rFonts w:ascii="Abadi" w:hAnsi="Abadi"/>
          <w:b w:val="0"/>
          <w:bCs w:val="0"/>
          <w:spacing w:val="25"/>
          <w:sz w:val="21"/>
          <w:szCs w:val="21"/>
        </w:rPr>
        <w:t xml:space="preserve"> </w:t>
      </w:r>
      <w:r w:rsidRPr="007C2763">
        <w:rPr>
          <w:rFonts w:ascii="Abadi" w:hAnsi="Abadi"/>
          <w:b w:val="0"/>
          <w:bCs w:val="0"/>
          <w:sz w:val="21"/>
          <w:szCs w:val="21"/>
        </w:rPr>
        <w:t>ello</w:t>
      </w:r>
      <w:r w:rsidRPr="007C2763">
        <w:rPr>
          <w:rFonts w:ascii="Abadi" w:hAnsi="Abadi"/>
          <w:b w:val="0"/>
          <w:bCs w:val="0"/>
          <w:spacing w:val="23"/>
          <w:sz w:val="21"/>
          <w:szCs w:val="21"/>
        </w:rPr>
        <w:t xml:space="preserve"> </w:t>
      </w:r>
      <w:r w:rsidRPr="007C2763">
        <w:rPr>
          <w:rFonts w:ascii="Abadi" w:hAnsi="Abadi"/>
          <w:b w:val="0"/>
          <w:bCs w:val="0"/>
          <w:sz w:val="21"/>
          <w:szCs w:val="21"/>
        </w:rPr>
        <w:t>la</w:t>
      </w:r>
      <w:r w:rsidRPr="007C2763">
        <w:rPr>
          <w:rFonts w:ascii="Abadi" w:hAnsi="Abadi"/>
          <w:b w:val="0"/>
          <w:bCs w:val="0"/>
          <w:spacing w:val="25"/>
          <w:sz w:val="21"/>
          <w:szCs w:val="21"/>
        </w:rPr>
        <w:t xml:space="preserve"> </w:t>
      </w:r>
      <w:r w:rsidRPr="007C2763">
        <w:rPr>
          <w:rFonts w:ascii="Abadi" w:hAnsi="Abadi"/>
          <w:b w:val="0"/>
          <w:bCs w:val="0"/>
          <w:sz w:val="21"/>
          <w:szCs w:val="21"/>
        </w:rPr>
        <w:t>capilla</w:t>
      </w:r>
      <w:r w:rsidRPr="007C2763">
        <w:rPr>
          <w:rFonts w:ascii="Abadi" w:hAnsi="Abadi"/>
          <w:b w:val="0"/>
          <w:bCs w:val="0"/>
          <w:spacing w:val="25"/>
          <w:sz w:val="21"/>
          <w:szCs w:val="21"/>
        </w:rPr>
        <w:t xml:space="preserve"> </w:t>
      </w:r>
      <w:r w:rsidRPr="007C2763">
        <w:rPr>
          <w:rFonts w:ascii="Abadi" w:hAnsi="Abadi"/>
          <w:b w:val="0"/>
          <w:bCs w:val="0"/>
          <w:sz w:val="21"/>
          <w:szCs w:val="21"/>
        </w:rPr>
        <w:t>ya</w:t>
      </w:r>
      <w:r w:rsidRPr="007C2763">
        <w:rPr>
          <w:rFonts w:ascii="Abadi" w:hAnsi="Abadi"/>
          <w:b w:val="0"/>
          <w:bCs w:val="0"/>
          <w:spacing w:val="23"/>
          <w:sz w:val="21"/>
          <w:szCs w:val="21"/>
        </w:rPr>
        <w:t xml:space="preserve"> </w:t>
      </w:r>
      <w:r w:rsidRPr="007C2763">
        <w:rPr>
          <w:rFonts w:ascii="Abadi" w:hAnsi="Abadi"/>
          <w:b w:val="0"/>
          <w:bCs w:val="0"/>
          <w:sz w:val="21"/>
          <w:szCs w:val="21"/>
        </w:rPr>
        <w:t>existente</w:t>
      </w:r>
      <w:r w:rsidRPr="007C2763">
        <w:rPr>
          <w:rFonts w:ascii="Abadi" w:hAnsi="Abadi"/>
          <w:b w:val="0"/>
          <w:bCs w:val="0"/>
          <w:spacing w:val="25"/>
          <w:sz w:val="21"/>
          <w:szCs w:val="21"/>
        </w:rPr>
        <w:t xml:space="preserve"> </w:t>
      </w:r>
      <w:r w:rsidRPr="007C2763">
        <w:rPr>
          <w:rFonts w:ascii="Abadi" w:hAnsi="Abadi"/>
          <w:b w:val="0"/>
          <w:bCs w:val="0"/>
          <w:sz w:val="21"/>
          <w:szCs w:val="21"/>
        </w:rPr>
        <w:t>junto</w:t>
      </w:r>
      <w:r w:rsidRPr="007C2763">
        <w:rPr>
          <w:rFonts w:ascii="Abadi" w:hAnsi="Abadi"/>
          <w:b w:val="0"/>
          <w:bCs w:val="0"/>
          <w:spacing w:val="25"/>
          <w:sz w:val="21"/>
          <w:szCs w:val="21"/>
        </w:rPr>
        <w:t xml:space="preserve"> </w:t>
      </w:r>
      <w:r w:rsidRPr="007C2763">
        <w:rPr>
          <w:rFonts w:ascii="Abadi" w:hAnsi="Abadi"/>
          <w:b w:val="0"/>
          <w:bCs w:val="0"/>
          <w:sz w:val="21"/>
          <w:szCs w:val="21"/>
        </w:rPr>
        <w:t>con</w:t>
      </w:r>
      <w:r w:rsidRPr="007C2763">
        <w:rPr>
          <w:rFonts w:ascii="Abadi" w:hAnsi="Abadi"/>
          <w:b w:val="0"/>
          <w:bCs w:val="0"/>
          <w:spacing w:val="23"/>
          <w:sz w:val="21"/>
          <w:szCs w:val="21"/>
        </w:rPr>
        <w:t xml:space="preserve"> </w:t>
      </w:r>
      <w:r w:rsidRPr="007C2763">
        <w:rPr>
          <w:rFonts w:ascii="Abadi" w:hAnsi="Abadi"/>
          <w:b w:val="0"/>
          <w:bCs w:val="0"/>
          <w:sz w:val="21"/>
          <w:szCs w:val="21"/>
        </w:rPr>
        <w:t>un</w:t>
      </w:r>
      <w:r w:rsidRPr="007C2763">
        <w:rPr>
          <w:rFonts w:ascii="Abadi" w:hAnsi="Abadi"/>
          <w:b w:val="0"/>
          <w:bCs w:val="0"/>
          <w:spacing w:val="23"/>
          <w:sz w:val="21"/>
          <w:szCs w:val="21"/>
        </w:rPr>
        <w:t xml:space="preserve"> </w:t>
      </w:r>
      <w:r w:rsidRPr="007C2763">
        <w:rPr>
          <w:rFonts w:ascii="Abadi" w:hAnsi="Abadi"/>
          <w:b w:val="0"/>
          <w:bCs w:val="0"/>
          <w:sz w:val="21"/>
          <w:szCs w:val="21"/>
        </w:rPr>
        <w:t>amplio</w:t>
      </w:r>
      <w:r w:rsidRPr="007C2763">
        <w:rPr>
          <w:rFonts w:ascii="Abadi" w:hAnsi="Abadi"/>
          <w:b w:val="0"/>
          <w:bCs w:val="0"/>
          <w:spacing w:val="25"/>
          <w:sz w:val="21"/>
          <w:szCs w:val="21"/>
        </w:rPr>
        <w:t xml:space="preserve"> </w:t>
      </w:r>
      <w:r w:rsidRPr="007C2763">
        <w:rPr>
          <w:rFonts w:ascii="Abadi" w:hAnsi="Abadi"/>
          <w:b w:val="0"/>
          <w:bCs w:val="0"/>
          <w:sz w:val="21"/>
          <w:szCs w:val="21"/>
        </w:rPr>
        <w:t>terreno,</w:t>
      </w:r>
      <w:r w:rsidRPr="007C2763">
        <w:rPr>
          <w:rFonts w:ascii="Abadi" w:hAnsi="Abadi"/>
          <w:b w:val="0"/>
          <w:bCs w:val="0"/>
          <w:spacing w:val="22"/>
          <w:sz w:val="21"/>
          <w:szCs w:val="21"/>
        </w:rPr>
        <w:t xml:space="preserve"> </w:t>
      </w:r>
      <w:r w:rsidRPr="007C2763">
        <w:rPr>
          <w:rFonts w:ascii="Abadi" w:hAnsi="Abadi"/>
          <w:b w:val="0"/>
          <w:bCs w:val="0"/>
          <w:sz w:val="21"/>
          <w:szCs w:val="21"/>
        </w:rPr>
        <w:t>para</w:t>
      </w:r>
      <w:r w:rsidRPr="007C2763">
        <w:rPr>
          <w:rFonts w:ascii="Abadi" w:hAnsi="Abadi"/>
          <w:b w:val="0"/>
          <w:bCs w:val="0"/>
          <w:spacing w:val="25"/>
          <w:sz w:val="21"/>
          <w:szCs w:val="21"/>
        </w:rPr>
        <w:t xml:space="preserve"> </w:t>
      </w:r>
      <w:r w:rsidRPr="007C2763">
        <w:rPr>
          <w:rFonts w:ascii="Abadi" w:hAnsi="Abadi"/>
          <w:b w:val="0"/>
          <w:bCs w:val="0"/>
          <w:sz w:val="21"/>
          <w:szCs w:val="21"/>
        </w:rPr>
        <w:t>la</w:t>
      </w:r>
      <w:r w:rsidRPr="007C2763">
        <w:rPr>
          <w:rFonts w:ascii="Abadi" w:hAnsi="Abadi"/>
          <w:b w:val="0"/>
          <w:bCs w:val="0"/>
          <w:spacing w:val="25"/>
          <w:sz w:val="21"/>
          <w:szCs w:val="21"/>
        </w:rPr>
        <w:t xml:space="preserve"> </w:t>
      </w:r>
      <w:r w:rsidRPr="007C2763">
        <w:rPr>
          <w:rFonts w:ascii="Abadi" w:hAnsi="Abadi"/>
          <w:b w:val="0"/>
          <w:bCs w:val="0"/>
          <w:sz w:val="21"/>
          <w:szCs w:val="21"/>
        </w:rPr>
        <w:t>construcción del</w:t>
      </w:r>
      <w:r w:rsidRPr="007C2763">
        <w:rPr>
          <w:rFonts w:ascii="Abadi" w:hAnsi="Abadi"/>
          <w:b w:val="0"/>
          <w:bCs w:val="0"/>
          <w:spacing w:val="15"/>
          <w:sz w:val="21"/>
          <w:szCs w:val="21"/>
        </w:rPr>
        <w:t xml:space="preserve"> </w:t>
      </w:r>
      <w:r w:rsidRPr="007C2763">
        <w:rPr>
          <w:rFonts w:ascii="Abadi" w:hAnsi="Abadi"/>
          <w:b w:val="0"/>
          <w:bCs w:val="0"/>
          <w:sz w:val="21"/>
          <w:szCs w:val="21"/>
        </w:rPr>
        <w:t>curato</w:t>
      </w:r>
      <w:r w:rsidRPr="007C2763">
        <w:rPr>
          <w:rFonts w:ascii="Abadi" w:hAnsi="Abadi"/>
          <w:b w:val="0"/>
          <w:bCs w:val="0"/>
          <w:spacing w:val="13"/>
          <w:sz w:val="21"/>
          <w:szCs w:val="21"/>
        </w:rPr>
        <w:t xml:space="preserve"> </w:t>
      </w:r>
      <w:r w:rsidRPr="007C2763">
        <w:rPr>
          <w:rFonts w:ascii="Abadi" w:hAnsi="Abadi"/>
          <w:b w:val="0"/>
          <w:bCs w:val="0"/>
          <w:sz w:val="21"/>
          <w:szCs w:val="21"/>
        </w:rPr>
        <w:t>y</w:t>
      </w:r>
      <w:r w:rsidRPr="007C2763">
        <w:rPr>
          <w:rFonts w:ascii="Abadi" w:hAnsi="Abadi"/>
          <w:b w:val="0"/>
          <w:bCs w:val="0"/>
          <w:spacing w:val="15"/>
          <w:sz w:val="21"/>
          <w:szCs w:val="21"/>
        </w:rPr>
        <w:t xml:space="preserve"> </w:t>
      </w:r>
      <w:r w:rsidRPr="007C2763">
        <w:rPr>
          <w:rFonts w:ascii="Abadi" w:hAnsi="Abadi"/>
          <w:b w:val="0"/>
          <w:bCs w:val="0"/>
          <w:sz w:val="21"/>
          <w:szCs w:val="21"/>
        </w:rPr>
        <w:t>sus</w:t>
      </w:r>
      <w:r w:rsidRPr="007C2763">
        <w:rPr>
          <w:rFonts w:ascii="Abadi" w:hAnsi="Abadi"/>
          <w:b w:val="0"/>
          <w:bCs w:val="0"/>
          <w:spacing w:val="13"/>
          <w:sz w:val="21"/>
          <w:szCs w:val="21"/>
        </w:rPr>
        <w:t xml:space="preserve"> </w:t>
      </w:r>
      <w:r w:rsidRPr="007C2763">
        <w:rPr>
          <w:rFonts w:ascii="Abadi" w:hAnsi="Abadi"/>
          <w:b w:val="0"/>
          <w:bCs w:val="0"/>
          <w:sz w:val="21"/>
          <w:szCs w:val="21"/>
        </w:rPr>
        <w:t>dependencias,</w:t>
      </w:r>
      <w:r w:rsidRPr="007C2763">
        <w:rPr>
          <w:rFonts w:ascii="Abadi" w:hAnsi="Abadi"/>
          <w:b w:val="0"/>
          <w:bCs w:val="0"/>
          <w:spacing w:val="13"/>
          <w:sz w:val="21"/>
          <w:szCs w:val="21"/>
        </w:rPr>
        <w:t xml:space="preserve"> </w:t>
      </w:r>
      <w:r w:rsidRPr="007C2763">
        <w:rPr>
          <w:rFonts w:ascii="Abadi" w:hAnsi="Abadi"/>
          <w:b w:val="0"/>
          <w:bCs w:val="0"/>
          <w:sz w:val="21"/>
          <w:szCs w:val="21"/>
        </w:rPr>
        <w:t>adquiriendo</w:t>
      </w:r>
      <w:r w:rsidRPr="007C2763">
        <w:rPr>
          <w:rFonts w:ascii="Abadi" w:hAnsi="Abadi"/>
          <w:b w:val="0"/>
          <w:bCs w:val="0"/>
          <w:spacing w:val="16"/>
          <w:sz w:val="21"/>
          <w:szCs w:val="21"/>
        </w:rPr>
        <w:t xml:space="preserve"> </w:t>
      </w:r>
      <w:r w:rsidRPr="007C2763">
        <w:rPr>
          <w:rFonts w:ascii="Abadi" w:hAnsi="Abadi"/>
          <w:b w:val="0"/>
          <w:bCs w:val="0"/>
          <w:sz w:val="21"/>
          <w:szCs w:val="21"/>
        </w:rPr>
        <w:t>la</w:t>
      </w:r>
      <w:r w:rsidRPr="007C2763">
        <w:rPr>
          <w:rFonts w:ascii="Abadi" w:hAnsi="Abadi"/>
          <w:b w:val="0"/>
          <w:bCs w:val="0"/>
          <w:spacing w:val="16"/>
          <w:sz w:val="21"/>
          <w:szCs w:val="21"/>
        </w:rPr>
        <w:t xml:space="preserve"> </w:t>
      </w:r>
      <w:r w:rsidRPr="007C2763">
        <w:rPr>
          <w:rFonts w:ascii="Abadi" w:hAnsi="Abadi"/>
          <w:b w:val="0"/>
          <w:bCs w:val="0"/>
          <w:sz w:val="21"/>
          <w:szCs w:val="21"/>
        </w:rPr>
        <w:t>categoría</w:t>
      </w:r>
      <w:r w:rsidRPr="007C2763">
        <w:rPr>
          <w:rFonts w:ascii="Abadi" w:hAnsi="Abadi"/>
          <w:b w:val="0"/>
          <w:bCs w:val="0"/>
          <w:spacing w:val="13"/>
          <w:sz w:val="21"/>
          <w:szCs w:val="21"/>
        </w:rPr>
        <w:t xml:space="preserve"> </w:t>
      </w:r>
      <w:r w:rsidRPr="007C2763">
        <w:rPr>
          <w:rFonts w:ascii="Abadi" w:hAnsi="Abadi"/>
          <w:b w:val="0"/>
          <w:bCs w:val="0"/>
          <w:sz w:val="21"/>
          <w:szCs w:val="21"/>
        </w:rPr>
        <w:t>de</w:t>
      </w:r>
      <w:r w:rsidRPr="007C2763">
        <w:rPr>
          <w:rFonts w:ascii="Abadi" w:hAnsi="Abadi"/>
          <w:b w:val="0"/>
          <w:bCs w:val="0"/>
          <w:spacing w:val="13"/>
          <w:sz w:val="21"/>
          <w:szCs w:val="21"/>
        </w:rPr>
        <w:t xml:space="preserve"> </w:t>
      </w:r>
      <w:r w:rsidRPr="007C2763">
        <w:rPr>
          <w:rFonts w:ascii="Abadi" w:hAnsi="Abadi"/>
          <w:b w:val="0"/>
          <w:bCs w:val="0"/>
          <w:sz w:val="21"/>
          <w:szCs w:val="21"/>
        </w:rPr>
        <w:t>Congregación</w:t>
      </w:r>
      <w:r w:rsidRPr="007C2763">
        <w:rPr>
          <w:rFonts w:ascii="Abadi" w:hAnsi="Abadi"/>
          <w:b w:val="0"/>
          <w:bCs w:val="0"/>
          <w:spacing w:val="11"/>
          <w:sz w:val="21"/>
          <w:szCs w:val="21"/>
        </w:rPr>
        <w:t xml:space="preserve"> </w:t>
      </w:r>
      <w:r w:rsidRPr="007C2763">
        <w:rPr>
          <w:rFonts w:ascii="Abadi" w:hAnsi="Abadi"/>
          <w:b w:val="0"/>
          <w:bCs w:val="0"/>
          <w:sz w:val="21"/>
          <w:szCs w:val="21"/>
        </w:rPr>
        <w:t>y</w:t>
      </w:r>
    </w:p>
    <w:p w14:paraId="5C39D492" w14:textId="77777777" w:rsidR="00374A1E" w:rsidRPr="007C2763" w:rsidRDefault="00374A1E" w:rsidP="00374A1E">
      <w:pPr>
        <w:pStyle w:val="Textoindependiente"/>
        <w:kinsoku w:val="0"/>
        <w:overflowPunct w:val="0"/>
        <w:ind w:left="39"/>
        <w:rPr>
          <w:rFonts w:ascii="Abadi" w:hAnsi="Abadi"/>
          <w:b w:val="0"/>
          <w:bCs w:val="0"/>
          <w:sz w:val="21"/>
          <w:szCs w:val="21"/>
        </w:rPr>
      </w:pPr>
      <w:r w:rsidRPr="007C2763">
        <w:rPr>
          <w:rFonts w:ascii="Abadi" w:hAnsi="Abadi"/>
          <w:b w:val="0"/>
          <w:bCs w:val="0"/>
          <w:sz w:val="21"/>
          <w:szCs w:val="21"/>
        </w:rPr>
        <w:t>perteneciendo</w:t>
      </w:r>
      <w:r w:rsidRPr="007C2763">
        <w:rPr>
          <w:rFonts w:ascii="Abadi" w:hAnsi="Abadi"/>
          <w:b w:val="0"/>
          <w:bCs w:val="0"/>
          <w:spacing w:val="-1"/>
          <w:sz w:val="21"/>
          <w:szCs w:val="21"/>
        </w:rPr>
        <w:t xml:space="preserve"> </w:t>
      </w:r>
      <w:r w:rsidRPr="007C2763">
        <w:rPr>
          <w:rFonts w:ascii="Abadi" w:hAnsi="Abadi"/>
          <w:b w:val="0"/>
          <w:bCs w:val="0"/>
          <w:sz w:val="21"/>
          <w:szCs w:val="21"/>
        </w:rPr>
        <w:t>al municipio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Álvaro</w:t>
      </w:r>
      <w:r w:rsidRPr="007C2763">
        <w:rPr>
          <w:rFonts w:ascii="Abadi" w:hAnsi="Abadi"/>
          <w:b w:val="0"/>
          <w:bCs w:val="0"/>
          <w:spacing w:val="1"/>
          <w:sz w:val="21"/>
          <w:szCs w:val="21"/>
        </w:rPr>
        <w:t xml:space="preserve"> </w:t>
      </w:r>
      <w:r w:rsidRPr="007C2763">
        <w:rPr>
          <w:rFonts w:ascii="Abadi" w:hAnsi="Abadi"/>
          <w:b w:val="0"/>
          <w:bCs w:val="0"/>
          <w:sz w:val="21"/>
          <w:szCs w:val="21"/>
        </w:rPr>
        <w:t>Obregón hoy</w:t>
      </w:r>
      <w:r w:rsidRPr="007C2763">
        <w:rPr>
          <w:rFonts w:ascii="Abadi" w:hAnsi="Abadi"/>
          <w:b w:val="0"/>
          <w:bCs w:val="0"/>
          <w:spacing w:val="-2"/>
          <w:sz w:val="21"/>
          <w:szCs w:val="21"/>
        </w:rPr>
        <w:t xml:space="preserve"> </w:t>
      </w:r>
      <w:r w:rsidRPr="007C2763">
        <w:rPr>
          <w:rFonts w:ascii="Abadi" w:hAnsi="Abadi"/>
          <w:b w:val="0"/>
          <w:bCs w:val="0"/>
          <w:sz w:val="21"/>
          <w:szCs w:val="21"/>
        </w:rPr>
        <w:t>San</w:t>
      </w:r>
      <w:r w:rsidRPr="007C2763">
        <w:rPr>
          <w:rFonts w:ascii="Abadi" w:hAnsi="Abadi"/>
          <w:b w:val="0"/>
          <w:bCs w:val="0"/>
          <w:spacing w:val="1"/>
          <w:sz w:val="21"/>
          <w:szCs w:val="21"/>
        </w:rPr>
        <w:t xml:space="preserve"> </w:t>
      </w:r>
      <w:r w:rsidRPr="007C2763">
        <w:rPr>
          <w:rFonts w:ascii="Abadi" w:hAnsi="Abadi"/>
          <w:b w:val="0"/>
          <w:bCs w:val="0"/>
          <w:sz w:val="21"/>
          <w:szCs w:val="21"/>
        </w:rPr>
        <w:t>José</w:t>
      </w:r>
      <w:r w:rsidRPr="007C2763">
        <w:rPr>
          <w:rFonts w:ascii="Abadi" w:hAnsi="Abadi"/>
          <w:b w:val="0"/>
          <w:bCs w:val="0"/>
          <w:spacing w:val="1"/>
          <w:sz w:val="21"/>
          <w:szCs w:val="21"/>
        </w:rPr>
        <w:t xml:space="preserve"> </w:t>
      </w:r>
      <w:r w:rsidRPr="007C2763">
        <w:rPr>
          <w:rFonts w:ascii="Abadi" w:hAnsi="Abadi"/>
          <w:b w:val="0"/>
          <w:bCs w:val="0"/>
          <w:sz w:val="21"/>
          <w:szCs w:val="21"/>
        </w:rPr>
        <w:t>Iturbide.</w:t>
      </w:r>
    </w:p>
    <w:p w14:paraId="319CDC40" w14:textId="77777777" w:rsidR="00374A1E" w:rsidRPr="007C2763" w:rsidRDefault="00374A1E" w:rsidP="00374A1E">
      <w:pPr>
        <w:pStyle w:val="Textoindependiente"/>
        <w:kinsoku w:val="0"/>
        <w:overflowPunct w:val="0"/>
        <w:ind w:right="116" w:firstLine="708"/>
        <w:rPr>
          <w:rFonts w:ascii="Abadi" w:hAnsi="Abadi"/>
          <w:b w:val="0"/>
          <w:bCs w:val="0"/>
          <w:sz w:val="21"/>
          <w:szCs w:val="21"/>
        </w:rPr>
      </w:pPr>
    </w:p>
    <w:p w14:paraId="69BA5CB6" w14:textId="77777777" w:rsidR="00374A1E" w:rsidRPr="007C2763" w:rsidRDefault="00374A1E" w:rsidP="00374A1E">
      <w:pPr>
        <w:pStyle w:val="Textoindependiente"/>
        <w:kinsoku w:val="0"/>
        <w:overflowPunct w:val="0"/>
        <w:ind w:right="116" w:firstLine="708"/>
        <w:rPr>
          <w:rFonts w:ascii="Abadi" w:hAnsi="Abadi"/>
          <w:b w:val="0"/>
          <w:bCs w:val="0"/>
          <w:sz w:val="21"/>
          <w:szCs w:val="21"/>
        </w:rPr>
      </w:pPr>
      <w:r w:rsidRPr="007C2763">
        <w:rPr>
          <w:rFonts w:ascii="Abadi" w:hAnsi="Abadi"/>
          <w:b w:val="0"/>
          <w:bCs w:val="0"/>
          <w:sz w:val="21"/>
          <w:szCs w:val="21"/>
        </w:rPr>
        <w:t>El</w:t>
      </w:r>
      <w:r w:rsidRPr="007C2763">
        <w:rPr>
          <w:rFonts w:ascii="Abadi" w:hAnsi="Abadi"/>
          <w:b w:val="0"/>
          <w:bCs w:val="0"/>
          <w:spacing w:val="24"/>
          <w:sz w:val="21"/>
          <w:szCs w:val="21"/>
        </w:rPr>
        <w:t xml:space="preserve"> </w:t>
      </w:r>
      <w:r w:rsidRPr="007C2763">
        <w:rPr>
          <w:rFonts w:ascii="Abadi" w:hAnsi="Abadi"/>
          <w:b w:val="0"/>
          <w:bCs w:val="0"/>
          <w:sz w:val="21"/>
          <w:szCs w:val="21"/>
        </w:rPr>
        <w:t>espíritu</w:t>
      </w:r>
      <w:r w:rsidRPr="007C2763">
        <w:rPr>
          <w:rFonts w:ascii="Abadi" w:hAnsi="Abadi"/>
          <w:b w:val="0"/>
          <w:bCs w:val="0"/>
          <w:spacing w:val="24"/>
          <w:sz w:val="21"/>
          <w:szCs w:val="21"/>
        </w:rPr>
        <w:t xml:space="preserve"> </w:t>
      </w:r>
      <w:r w:rsidRPr="007C2763">
        <w:rPr>
          <w:rFonts w:ascii="Abadi" w:hAnsi="Abadi"/>
          <w:b w:val="0"/>
          <w:bCs w:val="0"/>
          <w:sz w:val="21"/>
          <w:szCs w:val="21"/>
        </w:rPr>
        <w:t>emprendedor</w:t>
      </w:r>
      <w:r w:rsidRPr="007C2763">
        <w:rPr>
          <w:rFonts w:ascii="Abadi" w:hAnsi="Abadi"/>
          <w:b w:val="0"/>
          <w:bCs w:val="0"/>
          <w:spacing w:val="23"/>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los</w:t>
      </w:r>
      <w:r w:rsidRPr="007C2763">
        <w:rPr>
          <w:rFonts w:ascii="Abadi" w:hAnsi="Abadi"/>
          <w:b w:val="0"/>
          <w:bCs w:val="0"/>
          <w:spacing w:val="24"/>
          <w:sz w:val="21"/>
          <w:szCs w:val="21"/>
        </w:rPr>
        <w:t xml:space="preserve"> </w:t>
      </w:r>
      <w:r w:rsidRPr="007C2763">
        <w:rPr>
          <w:rFonts w:ascii="Abadi" w:hAnsi="Abadi"/>
          <w:b w:val="0"/>
          <w:bCs w:val="0"/>
          <w:sz w:val="21"/>
          <w:szCs w:val="21"/>
        </w:rPr>
        <w:t>habitantes</w:t>
      </w:r>
      <w:r w:rsidRPr="007C2763">
        <w:rPr>
          <w:rFonts w:ascii="Abadi" w:hAnsi="Abadi"/>
          <w:b w:val="0"/>
          <w:bCs w:val="0"/>
          <w:spacing w:val="22"/>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La</w:t>
      </w:r>
      <w:r w:rsidRPr="007C2763">
        <w:rPr>
          <w:rFonts w:ascii="Abadi" w:hAnsi="Abadi"/>
          <w:b w:val="0"/>
          <w:bCs w:val="0"/>
          <w:spacing w:val="25"/>
          <w:sz w:val="21"/>
          <w:szCs w:val="21"/>
        </w:rPr>
        <w:t xml:space="preserve"> </w:t>
      </w:r>
      <w:r w:rsidRPr="007C2763">
        <w:rPr>
          <w:rFonts w:ascii="Abadi" w:hAnsi="Abadi"/>
          <w:b w:val="0"/>
          <w:bCs w:val="0"/>
          <w:sz w:val="21"/>
          <w:szCs w:val="21"/>
        </w:rPr>
        <w:t>Hacienda</w:t>
      </w:r>
      <w:r w:rsidRPr="007C2763">
        <w:rPr>
          <w:rFonts w:ascii="Abadi" w:hAnsi="Abadi"/>
          <w:b w:val="0"/>
          <w:bCs w:val="0"/>
          <w:spacing w:val="25"/>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Charcas</w:t>
      </w:r>
      <w:r w:rsidRPr="007C2763">
        <w:rPr>
          <w:rFonts w:ascii="Abadi" w:hAnsi="Abadi"/>
          <w:b w:val="0"/>
          <w:bCs w:val="0"/>
          <w:spacing w:val="24"/>
          <w:sz w:val="21"/>
          <w:szCs w:val="21"/>
        </w:rPr>
        <w:t xml:space="preserve"> </w:t>
      </w:r>
      <w:r w:rsidRPr="007C2763">
        <w:rPr>
          <w:rFonts w:ascii="Abadi" w:hAnsi="Abadi"/>
          <w:b w:val="0"/>
          <w:bCs w:val="0"/>
          <w:sz w:val="21"/>
          <w:szCs w:val="21"/>
        </w:rPr>
        <w:t>les impedía</w:t>
      </w:r>
      <w:r w:rsidRPr="007C2763">
        <w:rPr>
          <w:rFonts w:ascii="Abadi" w:hAnsi="Abadi"/>
          <w:b w:val="0"/>
          <w:bCs w:val="0"/>
          <w:spacing w:val="13"/>
          <w:sz w:val="21"/>
          <w:szCs w:val="21"/>
        </w:rPr>
        <w:t xml:space="preserve"> </w:t>
      </w:r>
      <w:r w:rsidRPr="007C2763">
        <w:rPr>
          <w:rFonts w:ascii="Abadi" w:hAnsi="Abadi"/>
          <w:b w:val="0"/>
          <w:bCs w:val="0"/>
          <w:sz w:val="21"/>
          <w:szCs w:val="21"/>
        </w:rPr>
        <w:t>conformarse</w:t>
      </w:r>
      <w:r w:rsidRPr="007C2763">
        <w:rPr>
          <w:rFonts w:ascii="Abadi" w:hAnsi="Abadi"/>
          <w:b w:val="0"/>
          <w:bCs w:val="0"/>
          <w:spacing w:val="13"/>
          <w:sz w:val="21"/>
          <w:szCs w:val="21"/>
        </w:rPr>
        <w:t xml:space="preserve"> </w:t>
      </w:r>
      <w:r w:rsidRPr="007C2763">
        <w:rPr>
          <w:rFonts w:ascii="Abadi" w:hAnsi="Abadi"/>
          <w:b w:val="0"/>
          <w:bCs w:val="0"/>
          <w:sz w:val="21"/>
          <w:szCs w:val="21"/>
        </w:rPr>
        <w:t>con</w:t>
      </w:r>
      <w:r w:rsidRPr="007C2763">
        <w:rPr>
          <w:rFonts w:ascii="Abadi" w:hAnsi="Abadi"/>
          <w:b w:val="0"/>
          <w:bCs w:val="0"/>
          <w:spacing w:val="15"/>
          <w:sz w:val="21"/>
          <w:szCs w:val="21"/>
        </w:rPr>
        <w:t xml:space="preserve"> </w:t>
      </w:r>
      <w:r w:rsidRPr="007C2763">
        <w:rPr>
          <w:rFonts w:ascii="Abadi" w:hAnsi="Abadi"/>
          <w:b w:val="0"/>
          <w:bCs w:val="0"/>
          <w:sz w:val="21"/>
          <w:szCs w:val="21"/>
        </w:rPr>
        <w:t>lo</w:t>
      </w:r>
      <w:r w:rsidRPr="007C2763">
        <w:rPr>
          <w:rFonts w:ascii="Abadi" w:hAnsi="Abadi"/>
          <w:b w:val="0"/>
          <w:bCs w:val="0"/>
          <w:spacing w:val="13"/>
          <w:sz w:val="21"/>
          <w:szCs w:val="21"/>
        </w:rPr>
        <w:t xml:space="preserve"> </w:t>
      </w:r>
      <w:r w:rsidRPr="007C2763">
        <w:rPr>
          <w:rFonts w:ascii="Abadi" w:hAnsi="Abadi"/>
          <w:b w:val="0"/>
          <w:bCs w:val="0"/>
          <w:sz w:val="21"/>
          <w:szCs w:val="21"/>
        </w:rPr>
        <w:t>alcanzado</w:t>
      </w:r>
      <w:r w:rsidRPr="007C2763">
        <w:rPr>
          <w:rFonts w:ascii="Abadi" w:hAnsi="Abadi"/>
          <w:b w:val="0"/>
          <w:bCs w:val="0"/>
          <w:spacing w:val="13"/>
          <w:sz w:val="21"/>
          <w:szCs w:val="21"/>
        </w:rPr>
        <w:t xml:space="preserve"> </w:t>
      </w:r>
      <w:r w:rsidRPr="007C2763">
        <w:rPr>
          <w:rFonts w:ascii="Abadi" w:hAnsi="Abadi"/>
          <w:b w:val="0"/>
          <w:bCs w:val="0"/>
          <w:sz w:val="21"/>
          <w:szCs w:val="21"/>
        </w:rPr>
        <w:t>hasta</w:t>
      </w:r>
      <w:r w:rsidRPr="007C2763">
        <w:rPr>
          <w:rFonts w:ascii="Abadi" w:hAnsi="Abadi"/>
          <w:b w:val="0"/>
          <w:bCs w:val="0"/>
          <w:spacing w:val="15"/>
          <w:sz w:val="21"/>
          <w:szCs w:val="21"/>
        </w:rPr>
        <w:t xml:space="preserve"> </w:t>
      </w:r>
      <w:r w:rsidRPr="007C2763">
        <w:rPr>
          <w:rFonts w:ascii="Abadi" w:hAnsi="Abadi"/>
          <w:b w:val="0"/>
          <w:bCs w:val="0"/>
          <w:sz w:val="21"/>
          <w:szCs w:val="21"/>
        </w:rPr>
        <w:t>entonces.</w:t>
      </w:r>
      <w:r w:rsidRPr="007C2763">
        <w:rPr>
          <w:rFonts w:ascii="Abadi" w:hAnsi="Abadi"/>
          <w:b w:val="0"/>
          <w:bCs w:val="0"/>
          <w:spacing w:val="13"/>
          <w:sz w:val="21"/>
          <w:szCs w:val="21"/>
        </w:rPr>
        <w:t xml:space="preserve"> </w:t>
      </w:r>
      <w:r w:rsidRPr="007C2763">
        <w:rPr>
          <w:rFonts w:ascii="Abadi" w:hAnsi="Abadi"/>
          <w:b w:val="0"/>
          <w:bCs w:val="0"/>
          <w:sz w:val="21"/>
          <w:szCs w:val="21"/>
        </w:rPr>
        <w:t>Ellos</w:t>
      </w:r>
      <w:r w:rsidRPr="007C2763">
        <w:rPr>
          <w:rFonts w:ascii="Abadi" w:hAnsi="Abadi"/>
          <w:b w:val="0"/>
          <w:bCs w:val="0"/>
          <w:spacing w:val="12"/>
          <w:sz w:val="21"/>
          <w:szCs w:val="21"/>
        </w:rPr>
        <w:t xml:space="preserve"> </w:t>
      </w:r>
      <w:r w:rsidRPr="007C2763">
        <w:rPr>
          <w:rFonts w:ascii="Abadi" w:hAnsi="Abadi"/>
          <w:b w:val="0"/>
          <w:bCs w:val="0"/>
          <w:sz w:val="21"/>
          <w:szCs w:val="21"/>
        </w:rPr>
        <w:t>pretendían</w:t>
      </w:r>
      <w:r w:rsidRPr="007C2763">
        <w:rPr>
          <w:rFonts w:ascii="Abadi" w:hAnsi="Abadi"/>
          <w:b w:val="0"/>
          <w:bCs w:val="0"/>
          <w:spacing w:val="13"/>
          <w:sz w:val="21"/>
          <w:szCs w:val="21"/>
        </w:rPr>
        <w:t xml:space="preserve"> </w:t>
      </w:r>
      <w:r w:rsidRPr="007C2763">
        <w:rPr>
          <w:rFonts w:ascii="Abadi" w:hAnsi="Abadi"/>
          <w:b w:val="0"/>
          <w:bCs w:val="0"/>
          <w:sz w:val="21"/>
          <w:szCs w:val="21"/>
        </w:rPr>
        <w:t>tomar</w:t>
      </w:r>
      <w:r w:rsidRPr="007C2763">
        <w:rPr>
          <w:rFonts w:ascii="Abadi" w:hAnsi="Abadi"/>
          <w:b w:val="0"/>
          <w:bCs w:val="0"/>
          <w:spacing w:val="11"/>
          <w:sz w:val="21"/>
          <w:szCs w:val="21"/>
        </w:rPr>
        <w:t xml:space="preserve"> </w:t>
      </w:r>
      <w:r w:rsidRPr="007C2763">
        <w:rPr>
          <w:rFonts w:ascii="Abadi" w:hAnsi="Abadi"/>
          <w:b w:val="0"/>
          <w:bCs w:val="0"/>
          <w:sz w:val="21"/>
          <w:szCs w:val="21"/>
        </w:rPr>
        <w:t>en sus manos</w:t>
      </w:r>
      <w:r w:rsidRPr="007C2763">
        <w:rPr>
          <w:rFonts w:ascii="Abadi" w:hAnsi="Abadi"/>
          <w:b w:val="0"/>
          <w:bCs w:val="0"/>
          <w:spacing w:val="-2"/>
          <w:sz w:val="21"/>
          <w:szCs w:val="21"/>
        </w:rPr>
        <w:t xml:space="preserve"> </w:t>
      </w:r>
      <w:r w:rsidRPr="007C2763">
        <w:rPr>
          <w:rFonts w:ascii="Abadi" w:hAnsi="Abadi"/>
          <w:b w:val="0"/>
          <w:bCs w:val="0"/>
          <w:sz w:val="21"/>
          <w:szCs w:val="21"/>
        </w:rPr>
        <w:t>las riendas</w:t>
      </w:r>
      <w:r w:rsidRPr="007C2763">
        <w:rPr>
          <w:rFonts w:ascii="Abadi" w:hAnsi="Abadi"/>
          <w:b w:val="0"/>
          <w:bCs w:val="0"/>
          <w:spacing w:val="-2"/>
          <w:sz w:val="21"/>
          <w:szCs w:val="21"/>
        </w:rPr>
        <w:t xml:space="preserve"> </w:t>
      </w:r>
      <w:r w:rsidRPr="007C2763">
        <w:rPr>
          <w:rFonts w:ascii="Abadi" w:hAnsi="Abadi"/>
          <w:b w:val="0"/>
          <w:bCs w:val="0"/>
          <w:sz w:val="21"/>
          <w:szCs w:val="21"/>
        </w:rPr>
        <w:t>del destino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su</w:t>
      </w:r>
      <w:r w:rsidRPr="007C2763">
        <w:rPr>
          <w:rFonts w:ascii="Abadi" w:hAnsi="Abadi"/>
          <w:b w:val="0"/>
          <w:bCs w:val="0"/>
          <w:spacing w:val="1"/>
          <w:sz w:val="21"/>
          <w:szCs w:val="21"/>
        </w:rPr>
        <w:t xml:space="preserve"> </w:t>
      </w:r>
      <w:r w:rsidRPr="007C2763">
        <w:rPr>
          <w:rFonts w:ascii="Abadi" w:hAnsi="Abadi"/>
          <w:b w:val="0"/>
          <w:bCs w:val="0"/>
          <w:sz w:val="21"/>
          <w:szCs w:val="21"/>
        </w:rPr>
        <w:t>localidad</w:t>
      </w:r>
      <w:r w:rsidRPr="007C2763">
        <w:rPr>
          <w:rFonts w:ascii="Abadi" w:hAnsi="Abadi"/>
          <w:b w:val="0"/>
          <w:bCs w:val="0"/>
          <w:spacing w:val="1"/>
          <w:sz w:val="21"/>
          <w:szCs w:val="21"/>
        </w:rPr>
        <w:t xml:space="preserve"> </w:t>
      </w:r>
      <w:r w:rsidRPr="007C2763">
        <w:rPr>
          <w:rFonts w:ascii="Abadi" w:hAnsi="Abadi"/>
          <w:b w:val="0"/>
          <w:bCs w:val="0"/>
          <w:sz w:val="21"/>
          <w:szCs w:val="21"/>
        </w:rPr>
        <w:t>y</w:t>
      </w:r>
      <w:r w:rsidRPr="007C2763">
        <w:rPr>
          <w:rFonts w:ascii="Abadi" w:hAnsi="Abadi"/>
          <w:b w:val="0"/>
          <w:bCs w:val="0"/>
          <w:spacing w:val="-2"/>
          <w:sz w:val="21"/>
          <w:szCs w:val="21"/>
        </w:rPr>
        <w:t xml:space="preserve"> </w:t>
      </w:r>
      <w:r w:rsidRPr="007C2763">
        <w:rPr>
          <w:rFonts w:ascii="Abadi" w:hAnsi="Abadi"/>
          <w:b w:val="0"/>
          <w:bCs w:val="0"/>
          <w:sz w:val="21"/>
          <w:szCs w:val="21"/>
        </w:rPr>
        <w:t>convertirse</w:t>
      </w:r>
      <w:r w:rsidRPr="007C2763">
        <w:rPr>
          <w:rFonts w:ascii="Abadi" w:hAnsi="Abadi"/>
          <w:b w:val="0"/>
          <w:bCs w:val="0"/>
          <w:spacing w:val="1"/>
          <w:sz w:val="21"/>
          <w:szCs w:val="21"/>
        </w:rPr>
        <w:t xml:space="preserve"> </w:t>
      </w:r>
      <w:r w:rsidRPr="007C2763">
        <w:rPr>
          <w:rFonts w:ascii="Abadi" w:hAnsi="Abadi"/>
          <w:b w:val="0"/>
          <w:bCs w:val="0"/>
          <w:sz w:val="21"/>
          <w:szCs w:val="21"/>
        </w:rPr>
        <w:t>en</w:t>
      </w:r>
      <w:r w:rsidRPr="007C2763">
        <w:rPr>
          <w:rFonts w:ascii="Abadi" w:hAnsi="Abadi"/>
          <w:b w:val="0"/>
          <w:bCs w:val="0"/>
          <w:spacing w:val="-1"/>
          <w:sz w:val="21"/>
          <w:szCs w:val="21"/>
        </w:rPr>
        <w:t xml:space="preserve"> </w:t>
      </w:r>
      <w:r w:rsidRPr="007C2763">
        <w:rPr>
          <w:rFonts w:ascii="Abadi" w:hAnsi="Abadi"/>
          <w:b w:val="0"/>
          <w:bCs w:val="0"/>
          <w:sz w:val="21"/>
          <w:szCs w:val="21"/>
        </w:rPr>
        <w:t>Municipio.</w:t>
      </w:r>
    </w:p>
    <w:p w14:paraId="2D83ADAD" w14:textId="77777777" w:rsidR="00374A1E" w:rsidRPr="007C2763" w:rsidRDefault="00374A1E" w:rsidP="00374A1E">
      <w:pPr>
        <w:pStyle w:val="Textoindependiente"/>
        <w:kinsoku w:val="0"/>
        <w:overflowPunct w:val="0"/>
        <w:spacing w:before="3"/>
        <w:rPr>
          <w:rFonts w:ascii="Abadi" w:hAnsi="Abadi"/>
          <w:b w:val="0"/>
          <w:bCs w:val="0"/>
          <w:sz w:val="21"/>
          <w:szCs w:val="21"/>
        </w:rPr>
      </w:pPr>
    </w:p>
    <w:p w14:paraId="2FAA8D7B" w14:textId="77777777" w:rsidR="00374A1E" w:rsidRPr="007C2763" w:rsidRDefault="00374A1E" w:rsidP="00374A1E">
      <w:pPr>
        <w:pStyle w:val="Textoindependiente"/>
        <w:kinsoku w:val="0"/>
        <w:overflowPunct w:val="0"/>
        <w:ind w:right="117" w:firstLine="708"/>
        <w:rPr>
          <w:rFonts w:ascii="Abadi" w:hAnsi="Abadi"/>
          <w:b w:val="0"/>
          <w:bCs w:val="0"/>
          <w:sz w:val="21"/>
          <w:szCs w:val="21"/>
        </w:rPr>
      </w:pPr>
      <w:r w:rsidRPr="007C2763">
        <w:rPr>
          <w:rFonts w:ascii="Abadi" w:hAnsi="Abadi"/>
          <w:b w:val="0"/>
          <w:bCs w:val="0"/>
          <w:sz w:val="21"/>
          <w:szCs w:val="21"/>
        </w:rPr>
        <w:t>Fue</w:t>
      </w:r>
      <w:r w:rsidRPr="007C2763">
        <w:rPr>
          <w:rFonts w:ascii="Abadi" w:hAnsi="Abadi"/>
          <w:b w:val="0"/>
          <w:bCs w:val="0"/>
          <w:spacing w:val="63"/>
          <w:sz w:val="21"/>
          <w:szCs w:val="21"/>
        </w:rPr>
        <w:t xml:space="preserve"> </w:t>
      </w:r>
      <w:r w:rsidRPr="007C2763">
        <w:rPr>
          <w:rFonts w:ascii="Abadi" w:hAnsi="Abadi"/>
          <w:b w:val="0"/>
          <w:bCs w:val="0"/>
          <w:sz w:val="21"/>
          <w:szCs w:val="21"/>
        </w:rPr>
        <w:t>así</w:t>
      </w:r>
      <w:r w:rsidRPr="007C2763">
        <w:rPr>
          <w:rFonts w:ascii="Abadi" w:hAnsi="Abadi"/>
          <w:b w:val="0"/>
          <w:bCs w:val="0"/>
          <w:spacing w:val="63"/>
          <w:sz w:val="21"/>
          <w:szCs w:val="21"/>
        </w:rPr>
        <w:t xml:space="preserve"> </w:t>
      </w:r>
      <w:r w:rsidRPr="007C2763">
        <w:rPr>
          <w:rFonts w:ascii="Abadi" w:hAnsi="Abadi"/>
          <w:b w:val="0"/>
          <w:bCs w:val="0"/>
          <w:sz w:val="21"/>
          <w:szCs w:val="21"/>
        </w:rPr>
        <w:t>que</w:t>
      </w:r>
      <w:r w:rsidRPr="007C2763">
        <w:rPr>
          <w:rFonts w:ascii="Abadi" w:hAnsi="Abadi"/>
          <w:b w:val="0"/>
          <w:bCs w:val="0"/>
          <w:spacing w:val="64"/>
          <w:sz w:val="21"/>
          <w:szCs w:val="21"/>
        </w:rPr>
        <w:t xml:space="preserve"> </w:t>
      </w:r>
      <w:r w:rsidRPr="007C2763">
        <w:rPr>
          <w:rFonts w:ascii="Abadi" w:hAnsi="Abadi"/>
          <w:b w:val="0"/>
          <w:bCs w:val="0"/>
          <w:sz w:val="21"/>
          <w:szCs w:val="21"/>
        </w:rPr>
        <w:t>en</w:t>
      </w:r>
      <w:r w:rsidRPr="007C2763">
        <w:rPr>
          <w:rFonts w:ascii="Abadi" w:hAnsi="Abadi"/>
          <w:b w:val="0"/>
          <w:bCs w:val="0"/>
          <w:spacing w:val="63"/>
          <w:sz w:val="21"/>
          <w:szCs w:val="21"/>
        </w:rPr>
        <w:t xml:space="preserve"> </w:t>
      </w:r>
      <w:r w:rsidRPr="007C2763">
        <w:rPr>
          <w:rFonts w:ascii="Abadi" w:hAnsi="Abadi"/>
          <w:b w:val="0"/>
          <w:bCs w:val="0"/>
          <w:sz w:val="21"/>
          <w:szCs w:val="21"/>
        </w:rPr>
        <w:t>1935</w:t>
      </w:r>
      <w:r w:rsidRPr="007C2763">
        <w:rPr>
          <w:rFonts w:ascii="Abadi" w:hAnsi="Abadi"/>
          <w:b w:val="0"/>
          <w:bCs w:val="0"/>
          <w:spacing w:val="66"/>
          <w:sz w:val="21"/>
          <w:szCs w:val="21"/>
        </w:rPr>
        <w:t xml:space="preserve"> </w:t>
      </w:r>
      <w:r w:rsidRPr="007C2763">
        <w:rPr>
          <w:rFonts w:ascii="Abadi" w:hAnsi="Abadi"/>
          <w:b w:val="0"/>
          <w:bCs w:val="0"/>
          <w:sz w:val="21"/>
          <w:szCs w:val="21"/>
        </w:rPr>
        <w:t>mediante</w:t>
      </w:r>
      <w:r w:rsidRPr="007C2763">
        <w:rPr>
          <w:rFonts w:ascii="Abadi" w:hAnsi="Abadi"/>
          <w:b w:val="0"/>
          <w:bCs w:val="0"/>
          <w:spacing w:val="64"/>
          <w:sz w:val="21"/>
          <w:szCs w:val="21"/>
        </w:rPr>
        <w:t xml:space="preserve"> </w:t>
      </w:r>
      <w:r w:rsidRPr="007C2763">
        <w:rPr>
          <w:rFonts w:ascii="Abadi" w:hAnsi="Abadi"/>
          <w:b w:val="0"/>
          <w:bCs w:val="0"/>
          <w:sz w:val="21"/>
          <w:szCs w:val="21"/>
        </w:rPr>
        <w:t>el</w:t>
      </w:r>
      <w:r w:rsidRPr="007C2763">
        <w:rPr>
          <w:rFonts w:ascii="Abadi" w:hAnsi="Abadi"/>
          <w:b w:val="0"/>
          <w:bCs w:val="0"/>
          <w:spacing w:val="64"/>
          <w:sz w:val="21"/>
          <w:szCs w:val="21"/>
        </w:rPr>
        <w:t xml:space="preserve"> </w:t>
      </w:r>
      <w:r w:rsidRPr="007C2763">
        <w:rPr>
          <w:rFonts w:ascii="Abadi" w:hAnsi="Abadi"/>
          <w:b w:val="0"/>
          <w:bCs w:val="0"/>
          <w:sz w:val="21"/>
          <w:szCs w:val="21"/>
        </w:rPr>
        <w:t>Decreto</w:t>
      </w:r>
      <w:r w:rsidRPr="007C2763">
        <w:rPr>
          <w:rFonts w:ascii="Abadi" w:hAnsi="Abadi"/>
          <w:b w:val="0"/>
          <w:bCs w:val="0"/>
          <w:spacing w:val="66"/>
          <w:sz w:val="21"/>
          <w:szCs w:val="21"/>
        </w:rPr>
        <w:t xml:space="preserve"> </w:t>
      </w:r>
      <w:r w:rsidRPr="007C2763">
        <w:rPr>
          <w:rFonts w:ascii="Abadi" w:hAnsi="Abadi"/>
          <w:b w:val="0"/>
          <w:bCs w:val="0"/>
          <w:sz w:val="21"/>
          <w:szCs w:val="21"/>
        </w:rPr>
        <w:t>Gubernativo</w:t>
      </w:r>
      <w:r w:rsidRPr="007C2763">
        <w:rPr>
          <w:rFonts w:ascii="Abadi" w:hAnsi="Abadi"/>
          <w:b w:val="0"/>
          <w:bCs w:val="0"/>
          <w:spacing w:val="64"/>
          <w:sz w:val="21"/>
          <w:szCs w:val="21"/>
        </w:rPr>
        <w:t xml:space="preserve"> </w:t>
      </w:r>
      <w:r w:rsidRPr="007C2763">
        <w:rPr>
          <w:rFonts w:ascii="Abadi" w:hAnsi="Abadi"/>
          <w:b w:val="0"/>
          <w:bCs w:val="0"/>
          <w:sz w:val="21"/>
          <w:szCs w:val="21"/>
        </w:rPr>
        <w:t>264</w:t>
      </w:r>
      <w:r w:rsidRPr="007C2763">
        <w:rPr>
          <w:rFonts w:ascii="Abadi" w:hAnsi="Abadi"/>
          <w:b w:val="0"/>
          <w:bCs w:val="0"/>
          <w:spacing w:val="63"/>
          <w:sz w:val="21"/>
          <w:szCs w:val="21"/>
        </w:rPr>
        <w:t xml:space="preserve"> </w:t>
      </w:r>
      <w:r w:rsidRPr="007C2763">
        <w:rPr>
          <w:rFonts w:ascii="Abadi" w:hAnsi="Abadi"/>
          <w:b w:val="0"/>
          <w:bCs w:val="0"/>
          <w:sz w:val="21"/>
          <w:szCs w:val="21"/>
        </w:rPr>
        <w:t>se</w:t>
      </w:r>
      <w:r w:rsidRPr="007C2763">
        <w:rPr>
          <w:rFonts w:ascii="Abadi" w:hAnsi="Abadi"/>
          <w:b w:val="0"/>
          <w:bCs w:val="0"/>
          <w:spacing w:val="66"/>
          <w:sz w:val="21"/>
          <w:szCs w:val="21"/>
        </w:rPr>
        <w:t xml:space="preserve"> </w:t>
      </w:r>
      <w:r w:rsidRPr="007C2763">
        <w:rPr>
          <w:rFonts w:ascii="Abadi" w:hAnsi="Abadi"/>
          <w:b w:val="0"/>
          <w:bCs w:val="0"/>
          <w:sz w:val="21"/>
          <w:szCs w:val="21"/>
        </w:rPr>
        <w:t>crea</w:t>
      </w:r>
      <w:r w:rsidRPr="007C2763">
        <w:rPr>
          <w:rFonts w:ascii="Abadi" w:hAnsi="Abadi"/>
          <w:b w:val="0"/>
          <w:bCs w:val="0"/>
          <w:spacing w:val="64"/>
          <w:sz w:val="21"/>
          <w:szCs w:val="21"/>
        </w:rPr>
        <w:t xml:space="preserve"> </w:t>
      </w:r>
      <w:r w:rsidRPr="007C2763">
        <w:rPr>
          <w:rFonts w:ascii="Abadi" w:hAnsi="Abadi"/>
          <w:b w:val="0"/>
          <w:bCs w:val="0"/>
          <w:sz w:val="21"/>
          <w:szCs w:val="21"/>
        </w:rPr>
        <w:t>el Municipio</w:t>
      </w:r>
      <w:r w:rsidRPr="007C2763">
        <w:rPr>
          <w:rFonts w:ascii="Abadi" w:hAnsi="Abadi"/>
          <w:b w:val="0"/>
          <w:bCs w:val="0"/>
          <w:spacing w:val="19"/>
          <w:sz w:val="21"/>
          <w:szCs w:val="21"/>
        </w:rPr>
        <w:t xml:space="preserve"> </w:t>
      </w:r>
      <w:r w:rsidRPr="007C2763">
        <w:rPr>
          <w:rFonts w:ascii="Abadi" w:hAnsi="Abadi"/>
          <w:b w:val="0"/>
          <w:bCs w:val="0"/>
          <w:sz w:val="21"/>
          <w:szCs w:val="21"/>
        </w:rPr>
        <w:t>de</w:t>
      </w:r>
      <w:r w:rsidRPr="007C2763">
        <w:rPr>
          <w:rFonts w:ascii="Abadi" w:hAnsi="Abadi"/>
          <w:b w:val="0"/>
          <w:bCs w:val="0"/>
          <w:spacing w:val="20"/>
          <w:sz w:val="21"/>
          <w:szCs w:val="21"/>
        </w:rPr>
        <w:t xml:space="preserve"> </w:t>
      </w:r>
      <w:r w:rsidRPr="007C2763">
        <w:rPr>
          <w:rFonts w:ascii="Abadi" w:hAnsi="Abadi"/>
          <w:b w:val="0"/>
          <w:bCs w:val="0"/>
          <w:sz w:val="21"/>
          <w:szCs w:val="21"/>
        </w:rPr>
        <w:t>Charcas</w:t>
      </w:r>
      <w:r w:rsidRPr="007C2763">
        <w:rPr>
          <w:rFonts w:ascii="Abadi" w:hAnsi="Abadi"/>
          <w:b w:val="0"/>
          <w:bCs w:val="0"/>
          <w:spacing w:val="17"/>
          <w:sz w:val="21"/>
          <w:szCs w:val="21"/>
        </w:rPr>
        <w:t xml:space="preserve"> </w:t>
      </w:r>
      <w:r w:rsidRPr="007C2763">
        <w:rPr>
          <w:rFonts w:ascii="Abadi" w:hAnsi="Abadi"/>
          <w:b w:val="0"/>
          <w:bCs w:val="0"/>
          <w:sz w:val="21"/>
          <w:szCs w:val="21"/>
        </w:rPr>
        <w:t>con</w:t>
      </w:r>
      <w:r w:rsidRPr="007C2763">
        <w:rPr>
          <w:rFonts w:ascii="Abadi" w:hAnsi="Abadi"/>
          <w:b w:val="0"/>
          <w:bCs w:val="0"/>
          <w:spacing w:val="20"/>
          <w:sz w:val="21"/>
          <w:szCs w:val="21"/>
        </w:rPr>
        <w:t xml:space="preserve"> </w:t>
      </w:r>
      <w:r w:rsidRPr="007C2763">
        <w:rPr>
          <w:rFonts w:ascii="Abadi" w:hAnsi="Abadi"/>
          <w:b w:val="0"/>
          <w:bCs w:val="0"/>
          <w:sz w:val="21"/>
          <w:szCs w:val="21"/>
        </w:rPr>
        <w:t>cabecera</w:t>
      </w:r>
      <w:r w:rsidRPr="007C2763">
        <w:rPr>
          <w:rFonts w:ascii="Abadi" w:hAnsi="Abadi"/>
          <w:b w:val="0"/>
          <w:bCs w:val="0"/>
          <w:spacing w:val="20"/>
          <w:sz w:val="21"/>
          <w:szCs w:val="21"/>
        </w:rPr>
        <w:t xml:space="preserve"> </w:t>
      </w:r>
      <w:r w:rsidRPr="007C2763">
        <w:rPr>
          <w:rFonts w:ascii="Abadi" w:hAnsi="Abadi"/>
          <w:b w:val="0"/>
          <w:bCs w:val="0"/>
          <w:sz w:val="21"/>
          <w:szCs w:val="21"/>
        </w:rPr>
        <w:t>en</w:t>
      </w:r>
      <w:r w:rsidRPr="007C2763">
        <w:rPr>
          <w:rFonts w:ascii="Abadi" w:hAnsi="Abadi"/>
          <w:b w:val="0"/>
          <w:bCs w:val="0"/>
          <w:spacing w:val="20"/>
          <w:sz w:val="21"/>
          <w:szCs w:val="21"/>
        </w:rPr>
        <w:t xml:space="preserve"> </w:t>
      </w:r>
      <w:r w:rsidRPr="007C2763">
        <w:rPr>
          <w:rFonts w:ascii="Abadi" w:hAnsi="Abadi"/>
          <w:b w:val="0"/>
          <w:bCs w:val="0"/>
          <w:sz w:val="21"/>
          <w:szCs w:val="21"/>
        </w:rPr>
        <w:t>la</w:t>
      </w:r>
      <w:r w:rsidRPr="007C2763">
        <w:rPr>
          <w:rFonts w:ascii="Abadi" w:hAnsi="Abadi"/>
          <w:b w:val="0"/>
          <w:bCs w:val="0"/>
          <w:spacing w:val="20"/>
          <w:sz w:val="21"/>
          <w:szCs w:val="21"/>
        </w:rPr>
        <w:t xml:space="preserve"> </w:t>
      </w:r>
      <w:r w:rsidRPr="007C2763">
        <w:rPr>
          <w:rFonts w:ascii="Abadi" w:hAnsi="Abadi"/>
          <w:b w:val="0"/>
          <w:bCs w:val="0"/>
          <w:sz w:val="21"/>
          <w:szCs w:val="21"/>
        </w:rPr>
        <w:t>Congregación</w:t>
      </w:r>
      <w:r w:rsidRPr="007C2763">
        <w:rPr>
          <w:rFonts w:ascii="Abadi" w:hAnsi="Abadi"/>
          <w:b w:val="0"/>
          <w:bCs w:val="0"/>
          <w:spacing w:val="20"/>
          <w:sz w:val="21"/>
          <w:szCs w:val="21"/>
        </w:rPr>
        <w:t xml:space="preserve"> </w:t>
      </w:r>
      <w:r w:rsidRPr="007C2763">
        <w:rPr>
          <w:rFonts w:ascii="Abadi" w:hAnsi="Abadi"/>
          <w:b w:val="0"/>
          <w:bCs w:val="0"/>
          <w:sz w:val="21"/>
          <w:szCs w:val="21"/>
        </w:rPr>
        <w:t>del</w:t>
      </w:r>
      <w:r w:rsidRPr="007C2763">
        <w:rPr>
          <w:rFonts w:ascii="Abadi" w:hAnsi="Abadi"/>
          <w:b w:val="0"/>
          <w:bCs w:val="0"/>
          <w:spacing w:val="19"/>
          <w:sz w:val="21"/>
          <w:szCs w:val="21"/>
        </w:rPr>
        <w:t xml:space="preserve"> </w:t>
      </w:r>
      <w:r w:rsidRPr="007C2763">
        <w:rPr>
          <w:rFonts w:ascii="Abadi" w:hAnsi="Abadi"/>
          <w:b w:val="0"/>
          <w:bCs w:val="0"/>
          <w:sz w:val="21"/>
          <w:szCs w:val="21"/>
        </w:rPr>
        <w:t>mismo</w:t>
      </w:r>
      <w:r w:rsidRPr="007C2763">
        <w:rPr>
          <w:rFonts w:ascii="Abadi" w:hAnsi="Abadi"/>
          <w:b w:val="0"/>
          <w:bCs w:val="0"/>
          <w:spacing w:val="20"/>
          <w:sz w:val="21"/>
          <w:szCs w:val="21"/>
        </w:rPr>
        <w:t xml:space="preserve"> </w:t>
      </w:r>
      <w:r w:rsidRPr="007C2763">
        <w:rPr>
          <w:rFonts w:ascii="Abadi" w:hAnsi="Abadi"/>
          <w:b w:val="0"/>
          <w:bCs w:val="0"/>
          <w:sz w:val="21"/>
          <w:szCs w:val="21"/>
        </w:rPr>
        <w:t>nombre,</w:t>
      </w:r>
      <w:r w:rsidRPr="007C2763">
        <w:rPr>
          <w:rFonts w:ascii="Abadi" w:hAnsi="Abadi"/>
          <w:b w:val="0"/>
          <w:bCs w:val="0"/>
          <w:spacing w:val="17"/>
          <w:sz w:val="21"/>
          <w:szCs w:val="21"/>
        </w:rPr>
        <w:t xml:space="preserve"> </w:t>
      </w:r>
      <w:r w:rsidRPr="007C2763">
        <w:rPr>
          <w:rFonts w:ascii="Abadi" w:hAnsi="Abadi"/>
          <w:b w:val="0"/>
          <w:bCs w:val="0"/>
          <w:sz w:val="21"/>
          <w:szCs w:val="21"/>
        </w:rPr>
        <w:t>pero en</w:t>
      </w:r>
      <w:r w:rsidRPr="007C2763">
        <w:rPr>
          <w:rFonts w:ascii="Abadi" w:hAnsi="Abadi"/>
          <w:b w:val="0"/>
          <w:bCs w:val="0"/>
          <w:spacing w:val="61"/>
          <w:sz w:val="21"/>
          <w:szCs w:val="21"/>
        </w:rPr>
        <w:t xml:space="preserve"> </w:t>
      </w:r>
      <w:r w:rsidRPr="007C2763">
        <w:rPr>
          <w:rFonts w:ascii="Abadi" w:hAnsi="Abadi"/>
          <w:b w:val="0"/>
          <w:bCs w:val="0"/>
          <w:sz w:val="21"/>
          <w:szCs w:val="21"/>
        </w:rPr>
        <w:t>1939</w:t>
      </w:r>
      <w:r w:rsidRPr="007C2763">
        <w:rPr>
          <w:rFonts w:ascii="Abadi" w:hAnsi="Abadi"/>
          <w:b w:val="0"/>
          <w:bCs w:val="0"/>
          <w:spacing w:val="64"/>
          <w:sz w:val="21"/>
          <w:szCs w:val="21"/>
        </w:rPr>
        <w:t xml:space="preserve"> </w:t>
      </w:r>
      <w:r w:rsidRPr="007C2763">
        <w:rPr>
          <w:rFonts w:ascii="Abadi" w:hAnsi="Abadi"/>
          <w:b w:val="0"/>
          <w:bCs w:val="0"/>
          <w:sz w:val="21"/>
          <w:szCs w:val="21"/>
        </w:rPr>
        <w:t>volvió</w:t>
      </w:r>
      <w:r w:rsidRPr="007C2763">
        <w:rPr>
          <w:rFonts w:ascii="Abadi" w:hAnsi="Abadi"/>
          <w:b w:val="0"/>
          <w:bCs w:val="0"/>
          <w:spacing w:val="60"/>
          <w:sz w:val="21"/>
          <w:szCs w:val="21"/>
        </w:rPr>
        <w:t xml:space="preserve"> </w:t>
      </w:r>
      <w:r w:rsidRPr="007C2763">
        <w:rPr>
          <w:rFonts w:ascii="Abadi" w:hAnsi="Abadi"/>
          <w:b w:val="0"/>
          <w:bCs w:val="0"/>
          <w:sz w:val="21"/>
          <w:szCs w:val="21"/>
        </w:rPr>
        <w:t>a</w:t>
      </w:r>
      <w:r w:rsidRPr="007C2763">
        <w:rPr>
          <w:rFonts w:ascii="Abadi" w:hAnsi="Abadi"/>
          <w:b w:val="0"/>
          <w:bCs w:val="0"/>
          <w:spacing w:val="64"/>
          <w:sz w:val="21"/>
          <w:szCs w:val="21"/>
        </w:rPr>
        <w:t xml:space="preserve"> </w:t>
      </w:r>
      <w:r w:rsidRPr="007C2763">
        <w:rPr>
          <w:rFonts w:ascii="Abadi" w:hAnsi="Abadi"/>
          <w:b w:val="0"/>
          <w:bCs w:val="0"/>
          <w:sz w:val="21"/>
          <w:szCs w:val="21"/>
        </w:rPr>
        <w:t>su</w:t>
      </w:r>
      <w:r w:rsidRPr="007C2763">
        <w:rPr>
          <w:rFonts w:ascii="Abadi" w:hAnsi="Abadi"/>
          <w:b w:val="0"/>
          <w:bCs w:val="0"/>
          <w:spacing w:val="59"/>
          <w:sz w:val="21"/>
          <w:szCs w:val="21"/>
        </w:rPr>
        <w:t xml:space="preserve"> </w:t>
      </w:r>
      <w:r w:rsidRPr="007C2763">
        <w:rPr>
          <w:rFonts w:ascii="Abadi" w:hAnsi="Abadi"/>
          <w:b w:val="0"/>
          <w:bCs w:val="0"/>
          <w:sz w:val="21"/>
          <w:szCs w:val="21"/>
        </w:rPr>
        <w:t>anterior</w:t>
      </w:r>
      <w:r w:rsidRPr="007C2763">
        <w:rPr>
          <w:rFonts w:ascii="Abadi" w:hAnsi="Abadi"/>
          <w:b w:val="0"/>
          <w:bCs w:val="0"/>
          <w:spacing w:val="61"/>
          <w:sz w:val="21"/>
          <w:szCs w:val="21"/>
        </w:rPr>
        <w:t xml:space="preserve"> </w:t>
      </w:r>
      <w:r w:rsidRPr="007C2763">
        <w:rPr>
          <w:rFonts w:ascii="Abadi" w:hAnsi="Abadi"/>
          <w:b w:val="0"/>
          <w:bCs w:val="0"/>
          <w:sz w:val="21"/>
          <w:szCs w:val="21"/>
        </w:rPr>
        <w:t>categoría</w:t>
      </w:r>
      <w:r w:rsidRPr="007C2763">
        <w:rPr>
          <w:rFonts w:ascii="Abadi" w:hAnsi="Abadi"/>
          <w:b w:val="0"/>
          <w:bCs w:val="0"/>
          <w:spacing w:val="61"/>
          <w:sz w:val="21"/>
          <w:szCs w:val="21"/>
        </w:rPr>
        <w:t xml:space="preserve"> </w:t>
      </w:r>
      <w:r w:rsidRPr="007C2763">
        <w:rPr>
          <w:rFonts w:ascii="Abadi" w:hAnsi="Abadi"/>
          <w:b w:val="0"/>
          <w:bCs w:val="0"/>
          <w:sz w:val="21"/>
          <w:szCs w:val="21"/>
        </w:rPr>
        <w:t>al</w:t>
      </w:r>
      <w:r w:rsidRPr="007C2763">
        <w:rPr>
          <w:rFonts w:ascii="Abadi" w:hAnsi="Abadi"/>
          <w:b w:val="0"/>
          <w:bCs w:val="0"/>
          <w:spacing w:val="57"/>
          <w:sz w:val="21"/>
          <w:szCs w:val="21"/>
        </w:rPr>
        <w:t xml:space="preserve"> </w:t>
      </w:r>
      <w:r w:rsidRPr="007C2763">
        <w:rPr>
          <w:rFonts w:ascii="Abadi" w:hAnsi="Abadi"/>
          <w:b w:val="0"/>
          <w:bCs w:val="0"/>
          <w:sz w:val="21"/>
          <w:szCs w:val="21"/>
        </w:rPr>
        <w:t>derogarse</w:t>
      </w:r>
      <w:r w:rsidRPr="007C2763">
        <w:rPr>
          <w:rFonts w:ascii="Abadi" w:hAnsi="Abadi"/>
          <w:b w:val="0"/>
          <w:bCs w:val="0"/>
          <w:spacing w:val="60"/>
          <w:sz w:val="21"/>
          <w:szCs w:val="21"/>
        </w:rPr>
        <w:t xml:space="preserve"> </w:t>
      </w:r>
      <w:r w:rsidRPr="007C2763">
        <w:rPr>
          <w:rFonts w:ascii="Abadi" w:hAnsi="Abadi"/>
          <w:b w:val="0"/>
          <w:bCs w:val="0"/>
          <w:sz w:val="21"/>
          <w:szCs w:val="21"/>
        </w:rPr>
        <w:t>el</w:t>
      </w:r>
      <w:r w:rsidRPr="007C2763">
        <w:rPr>
          <w:rFonts w:ascii="Abadi" w:hAnsi="Abadi"/>
          <w:b w:val="0"/>
          <w:bCs w:val="0"/>
          <w:spacing w:val="62"/>
          <w:sz w:val="21"/>
          <w:szCs w:val="21"/>
        </w:rPr>
        <w:t xml:space="preserve"> </w:t>
      </w:r>
      <w:r w:rsidRPr="007C2763">
        <w:rPr>
          <w:rFonts w:ascii="Abadi" w:hAnsi="Abadi"/>
          <w:b w:val="0"/>
          <w:bCs w:val="0"/>
          <w:sz w:val="21"/>
          <w:szCs w:val="21"/>
        </w:rPr>
        <w:t>decreto</w:t>
      </w:r>
      <w:r w:rsidRPr="007C2763">
        <w:rPr>
          <w:rFonts w:ascii="Abadi" w:hAnsi="Abadi"/>
          <w:b w:val="0"/>
          <w:bCs w:val="0"/>
          <w:spacing w:val="59"/>
          <w:sz w:val="21"/>
          <w:szCs w:val="21"/>
        </w:rPr>
        <w:t xml:space="preserve"> </w:t>
      </w:r>
      <w:r w:rsidRPr="007C2763">
        <w:rPr>
          <w:rFonts w:ascii="Abadi" w:hAnsi="Abadi"/>
          <w:b w:val="0"/>
          <w:bCs w:val="0"/>
          <w:sz w:val="21"/>
          <w:szCs w:val="21"/>
        </w:rPr>
        <w:t>mencionado</w:t>
      </w:r>
      <w:r w:rsidRPr="007C2763">
        <w:rPr>
          <w:rFonts w:ascii="Abadi" w:hAnsi="Abadi"/>
          <w:b w:val="0"/>
          <w:bCs w:val="0"/>
          <w:spacing w:val="60"/>
          <w:sz w:val="21"/>
          <w:szCs w:val="21"/>
        </w:rPr>
        <w:t xml:space="preserve"> </w:t>
      </w:r>
      <w:r w:rsidRPr="007C2763">
        <w:rPr>
          <w:rFonts w:ascii="Abadi" w:hAnsi="Abadi"/>
          <w:b w:val="0"/>
          <w:bCs w:val="0"/>
          <w:sz w:val="21"/>
          <w:szCs w:val="21"/>
        </w:rPr>
        <w:t>y volviendo</w:t>
      </w:r>
      <w:r w:rsidRPr="007C2763">
        <w:rPr>
          <w:rFonts w:ascii="Abadi" w:hAnsi="Abadi"/>
          <w:b w:val="0"/>
          <w:bCs w:val="0"/>
          <w:spacing w:val="-1"/>
          <w:sz w:val="21"/>
          <w:szCs w:val="21"/>
        </w:rPr>
        <w:t xml:space="preserve"> </w:t>
      </w:r>
      <w:r w:rsidRPr="007C2763">
        <w:rPr>
          <w:rFonts w:ascii="Abadi" w:hAnsi="Abadi"/>
          <w:b w:val="0"/>
          <w:bCs w:val="0"/>
          <w:sz w:val="21"/>
          <w:szCs w:val="21"/>
        </w:rPr>
        <w:t>a</w:t>
      </w:r>
      <w:r w:rsidRPr="007C2763">
        <w:rPr>
          <w:rFonts w:ascii="Abadi" w:hAnsi="Abadi"/>
          <w:b w:val="0"/>
          <w:bCs w:val="0"/>
          <w:spacing w:val="1"/>
          <w:sz w:val="21"/>
          <w:szCs w:val="21"/>
        </w:rPr>
        <w:t xml:space="preserve"> </w:t>
      </w:r>
      <w:r w:rsidRPr="007C2763">
        <w:rPr>
          <w:rFonts w:ascii="Abadi" w:hAnsi="Abadi"/>
          <w:b w:val="0"/>
          <w:bCs w:val="0"/>
          <w:sz w:val="21"/>
          <w:szCs w:val="21"/>
        </w:rPr>
        <w:t>formar</w:t>
      </w:r>
      <w:r w:rsidRPr="007C2763">
        <w:rPr>
          <w:rFonts w:ascii="Abadi" w:hAnsi="Abadi"/>
          <w:b w:val="0"/>
          <w:bCs w:val="0"/>
          <w:spacing w:val="-1"/>
          <w:sz w:val="21"/>
          <w:szCs w:val="21"/>
        </w:rPr>
        <w:t xml:space="preserve"> </w:t>
      </w:r>
      <w:r w:rsidRPr="007C2763">
        <w:rPr>
          <w:rFonts w:ascii="Abadi" w:hAnsi="Abadi"/>
          <w:b w:val="0"/>
          <w:bCs w:val="0"/>
          <w:sz w:val="21"/>
          <w:szCs w:val="21"/>
        </w:rPr>
        <w:t>parte</w:t>
      </w:r>
      <w:r w:rsidRPr="007C2763">
        <w:rPr>
          <w:rFonts w:ascii="Abadi" w:hAnsi="Abadi"/>
          <w:b w:val="0"/>
          <w:bCs w:val="0"/>
          <w:spacing w:val="1"/>
          <w:sz w:val="21"/>
          <w:szCs w:val="21"/>
        </w:rPr>
        <w:t xml:space="preserve"> </w:t>
      </w:r>
      <w:r w:rsidRPr="007C2763">
        <w:rPr>
          <w:rFonts w:ascii="Abadi" w:hAnsi="Abadi"/>
          <w:b w:val="0"/>
          <w:bCs w:val="0"/>
          <w:sz w:val="21"/>
          <w:szCs w:val="21"/>
        </w:rPr>
        <w:t>del Municipio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Álvaro</w:t>
      </w:r>
      <w:r w:rsidRPr="007C2763">
        <w:rPr>
          <w:rFonts w:ascii="Abadi" w:hAnsi="Abadi"/>
          <w:b w:val="0"/>
          <w:bCs w:val="0"/>
          <w:spacing w:val="1"/>
          <w:sz w:val="21"/>
          <w:szCs w:val="21"/>
        </w:rPr>
        <w:t xml:space="preserve"> </w:t>
      </w:r>
      <w:r w:rsidRPr="007C2763">
        <w:rPr>
          <w:rFonts w:ascii="Abadi" w:hAnsi="Abadi"/>
          <w:b w:val="0"/>
          <w:bCs w:val="0"/>
          <w:sz w:val="21"/>
          <w:szCs w:val="21"/>
        </w:rPr>
        <w:t>Obregón.</w:t>
      </w:r>
    </w:p>
    <w:p w14:paraId="3D027409" w14:textId="77777777" w:rsidR="00374A1E" w:rsidRPr="007C2763" w:rsidRDefault="00374A1E" w:rsidP="00374A1E">
      <w:pPr>
        <w:pStyle w:val="Textoindependiente"/>
        <w:kinsoku w:val="0"/>
        <w:overflowPunct w:val="0"/>
        <w:rPr>
          <w:rFonts w:ascii="Abadi" w:hAnsi="Abadi"/>
          <w:b w:val="0"/>
          <w:bCs w:val="0"/>
          <w:sz w:val="21"/>
          <w:szCs w:val="21"/>
        </w:rPr>
      </w:pPr>
    </w:p>
    <w:p w14:paraId="222A5AA2" w14:textId="77777777" w:rsidR="00374A1E" w:rsidRPr="007C2763" w:rsidRDefault="00374A1E" w:rsidP="00374A1E">
      <w:pPr>
        <w:pStyle w:val="Textoindependiente"/>
        <w:kinsoku w:val="0"/>
        <w:overflowPunct w:val="0"/>
        <w:spacing w:before="1"/>
        <w:ind w:right="115" w:firstLine="708"/>
        <w:rPr>
          <w:rFonts w:ascii="Abadi" w:hAnsi="Abadi"/>
          <w:b w:val="0"/>
          <w:bCs w:val="0"/>
          <w:sz w:val="21"/>
          <w:szCs w:val="21"/>
        </w:rPr>
      </w:pPr>
      <w:r w:rsidRPr="007C2763">
        <w:rPr>
          <w:rFonts w:ascii="Abadi" w:hAnsi="Abadi"/>
          <w:b w:val="0"/>
          <w:bCs w:val="0"/>
          <w:sz w:val="21"/>
          <w:szCs w:val="21"/>
        </w:rPr>
        <w:t>Evidentemente</w:t>
      </w:r>
      <w:r w:rsidRPr="007C2763">
        <w:rPr>
          <w:rFonts w:ascii="Abadi" w:hAnsi="Abadi"/>
          <w:b w:val="0"/>
          <w:bCs w:val="0"/>
          <w:spacing w:val="60"/>
          <w:sz w:val="21"/>
          <w:szCs w:val="21"/>
        </w:rPr>
        <w:t xml:space="preserve"> </w:t>
      </w:r>
      <w:r w:rsidRPr="007C2763">
        <w:rPr>
          <w:rFonts w:ascii="Abadi" w:hAnsi="Abadi"/>
          <w:b w:val="0"/>
          <w:bCs w:val="0"/>
          <w:sz w:val="21"/>
          <w:szCs w:val="21"/>
        </w:rPr>
        <w:t>sabían</w:t>
      </w:r>
      <w:r w:rsidRPr="007C2763">
        <w:rPr>
          <w:rFonts w:ascii="Abadi" w:hAnsi="Abadi"/>
          <w:b w:val="0"/>
          <w:bCs w:val="0"/>
          <w:spacing w:val="59"/>
          <w:sz w:val="21"/>
          <w:szCs w:val="21"/>
        </w:rPr>
        <w:t xml:space="preserve"> </w:t>
      </w:r>
      <w:r w:rsidRPr="007C2763">
        <w:rPr>
          <w:rFonts w:ascii="Abadi" w:hAnsi="Abadi"/>
          <w:b w:val="0"/>
          <w:bCs w:val="0"/>
          <w:sz w:val="21"/>
          <w:szCs w:val="21"/>
        </w:rPr>
        <w:t>sus</w:t>
      </w:r>
      <w:r w:rsidRPr="007C2763">
        <w:rPr>
          <w:rFonts w:ascii="Abadi" w:hAnsi="Abadi"/>
          <w:b w:val="0"/>
          <w:bCs w:val="0"/>
          <w:spacing w:val="56"/>
          <w:sz w:val="21"/>
          <w:szCs w:val="21"/>
        </w:rPr>
        <w:t xml:space="preserve"> </w:t>
      </w:r>
      <w:r w:rsidRPr="007C2763">
        <w:rPr>
          <w:rFonts w:ascii="Abadi" w:hAnsi="Abadi"/>
          <w:b w:val="0"/>
          <w:bCs w:val="0"/>
          <w:sz w:val="21"/>
          <w:szCs w:val="21"/>
        </w:rPr>
        <w:t>habitantes</w:t>
      </w:r>
      <w:r w:rsidRPr="007C2763">
        <w:rPr>
          <w:rFonts w:ascii="Abadi" w:hAnsi="Abadi"/>
          <w:b w:val="0"/>
          <w:bCs w:val="0"/>
          <w:spacing w:val="56"/>
          <w:sz w:val="21"/>
          <w:szCs w:val="21"/>
        </w:rPr>
        <w:t xml:space="preserve"> </w:t>
      </w:r>
      <w:r w:rsidRPr="007C2763">
        <w:rPr>
          <w:rFonts w:ascii="Abadi" w:hAnsi="Abadi"/>
          <w:b w:val="0"/>
          <w:bCs w:val="0"/>
          <w:sz w:val="21"/>
          <w:szCs w:val="21"/>
        </w:rPr>
        <w:t>que</w:t>
      </w:r>
      <w:r w:rsidRPr="007C2763">
        <w:rPr>
          <w:rFonts w:ascii="Abadi" w:hAnsi="Abadi"/>
          <w:b w:val="0"/>
          <w:bCs w:val="0"/>
          <w:spacing w:val="59"/>
          <w:sz w:val="21"/>
          <w:szCs w:val="21"/>
        </w:rPr>
        <w:t xml:space="preserve"> </w:t>
      </w:r>
      <w:r w:rsidRPr="007C2763">
        <w:rPr>
          <w:rFonts w:ascii="Abadi" w:hAnsi="Abadi"/>
          <w:b w:val="0"/>
          <w:bCs w:val="0"/>
          <w:sz w:val="21"/>
          <w:szCs w:val="21"/>
        </w:rPr>
        <w:t>una</w:t>
      </w:r>
      <w:r w:rsidRPr="007C2763">
        <w:rPr>
          <w:rFonts w:ascii="Abadi" w:hAnsi="Abadi"/>
          <w:b w:val="0"/>
          <w:bCs w:val="0"/>
          <w:spacing w:val="57"/>
          <w:sz w:val="21"/>
          <w:szCs w:val="21"/>
        </w:rPr>
        <w:t xml:space="preserve"> </w:t>
      </w:r>
      <w:r w:rsidRPr="007C2763">
        <w:rPr>
          <w:rFonts w:ascii="Abadi" w:hAnsi="Abadi"/>
          <w:b w:val="0"/>
          <w:bCs w:val="0"/>
          <w:sz w:val="21"/>
          <w:szCs w:val="21"/>
        </w:rPr>
        <w:t>contingencia</w:t>
      </w:r>
      <w:r w:rsidRPr="007C2763">
        <w:rPr>
          <w:rFonts w:ascii="Abadi" w:hAnsi="Abadi"/>
          <w:b w:val="0"/>
          <w:bCs w:val="0"/>
          <w:spacing w:val="55"/>
          <w:sz w:val="21"/>
          <w:szCs w:val="21"/>
        </w:rPr>
        <w:t xml:space="preserve"> </w:t>
      </w:r>
      <w:r w:rsidRPr="007C2763">
        <w:rPr>
          <w:rFonts w:ascii="Abadi" w:hAnsi="Abadi"/>
          <w:b w:val="0"/>
          <w:bCs w:val="0"/>
          <w:sz w:val="21"/>
          <w:szCs w:val="21"/>
        </w:rPr>
        <w:t>de</w:t>
      </w:r>
      <w:r w:rsidRPr="007C2763">
        <w:rPr>
          <w:rFonts w:ascii="Abadi" w:hAnsi="Abadi"/>
          <w:b w:val="0"/>
          <w:bCs w:val="0"/>
          <w:spacing w:val="57"/>
          <w:sz w:val="21"/>
          <w:szCs w:val="21"/>
        </w:rPr>
        <w:t xml:space="preserve"> </w:t>
      </w:r>
      <w:r w:rsidRPr="007C2763">
        <w:rPr>
          <w:rFonts w:ascii="Abadi" w:hAnsi="Abadi"/>
          <w:b w:val="0"/>
          <w:bCs w:val="0"/>
          <w:sz w:val="21"/>
          <w:szCs w:val="21"/>
        </w:rPr>
        <w:t>esa naturaleza</w:t>
      </w:r>
      <w:r w:rsidRPr="007C2763">
        <w:rPr>
          <w:rFonts w:ascii="Abadi" w:hAnsi="Abadi"/>
          <w:b w:val="0"/>
          <w:bCs w:val="0"/>
          <w:spacing w:val="24"/>
          <w:sz w:val="21"/>
          <w:szCs w:val="21"/>
        </w:rPr>
        <w:t xml:space="preserve"> </w:t>
      </w:r>
      <w:r w:rsidRPr="007C2763">
        <w:rPr>
          <w:rFonts w:ascii="Abadi" w:hAnsi="Abadi"/>
          <w:b w:val="0"/>
          <w:bCs w:val="0"/>
          <w:sz w:val="21"/>
          <w:szCs w:val="21"/>
        </w:rPr>
        <w:t>no</w:t>
      </w:r>
      <w:r w:rsidRPr="007C2763">
        <w:rPr>
          <w:rFonts w:ascii="Abadi" w:hAnsi="Abadi"/>
          <w:b w:val="0"/>
          <w:bCs w:val="0"/>
          <w:spacing w:val="25"/>
          <w:sz w:val="21"/>
          <w:szCs w:val="21"/>
        </w:rPr>
        <w:t xml:space="preserve"> </w:t>
      </w:r>
      <w:r w:rsidRPr="007C2763">
        <w:rPr>
          <w:rFonts w:ascii="Abadi" w:hAnsi="Abadi"/>
          <w:b w:val="0"/>
          <w:bCs w:val="0"/>
          <w:sz w:val="21"/>
          <w:szCs w:val="21"/>
        </w:rPr>
        <w:t>podría</w:t>
      </w:r>
      <w:r w:rsidRPr="007C2763">
        <w:rPr>
          <w:rFonts w:ascii="Abadi" w:hAnsi="Abadi"/>
          <w:b w:val="0"/>
          <w:bCs w:val="0"/>
          <w:spacing w:val="25"/>
          <w:sz w:val="21"/>
          <w:szCs w:val="21"/>
        </w:rPr>
        <w:t xml:space="preserve"> </w:t>
      </w:r>
      <w:r w:rsidRPr="007C2763">
        <w:rPr>
          <w:rFonts w:ascii="Abadi" w:hAnsi="Abadi"/>
          <w:b w:val="0"/>
          <w:bCs w:val="0"/>
          <w:sz w:val="21"/>
          <w:szCs w:val="21"/>
        </w:rPr>
        <w:t>ser</w:t>
      </w:r>
      <w:r w:rsidRPr="007C2763">
        <w:rPr>
          <w:rFonts w:ascii="Abadi" w:hAnsi="Abadi"/>
          <w:b w:val="0"/>
          <w:bCs w:val="0"/>
          <w:spacing w:val="26"/>
          <w:sz w:val="21"/>
          <w:szCs w:val="21"/>
        </w:rPr>
        <w:t xml:space="preserve"> </w:t>
      </w:r>
      <w:r w:rsidRPr="007C2763">
        <w:rPr>
          <w:rFonts w:ascii="Abadi" w:hAnsi="Abadi"/>
          <w:b w:val="0"/>
          <w:bCs w:val="0"/>
          <w:sz w:val="21"/>
          <w:szCs w:val="21"/>
        </w:rPr>
        <w:t>definitiva,</w:t>
      </w:r>
      <w:r w:rsidRPr="007C2763">
        <w:rPr>
          <w:rFonts w:ascii="Abadi" w:hAnsi="Abadi"/>
          <w:b w:val="0"/>
          <w:bCs w:val="0"/>
          <w:spacing w:val="27"/>
          <w:sz w:val="21"/>
          <w:szCs w:val="21"/>
        </w:rPr>
        <w:t xml:space="preserve"> </w:t>
      </w:r>
      <w:r w:rsidRPr="007C2763">
        <w:rPr>
          <w:rFonts w:ascii="Abadi" w:hAnsi="Abadi"/>
          <w:b w:val="0"/>
          <w:bCs w:val="0"/>
          <w:sz w:val="21"/>
          <w:szCs w:val="21"/>
        </w:rPr>
        <w:t>menos</w:t>
      </w:r>
      <w:r w:rsidRPr="007C2763">
        <w:rPr>
          <w:rFonts w:ascii="Abadi" w:hAnsi="Abadi"/>
          <w:b w:val="0"/>
          <w:bCs w:val="0"/>
          <w:spacing w:val="24"/>
          <w:sz w:val="21"/>
          <w:szCs w:val="21"/>
        </w:rPr>
        <w:t xml:space="preserve"> </w:t>
      </w:r>
      <w:r w:rsidRPr="007C2763">
        <w:rPr>
          <w:rFonts w:ascii="Abadi" w:hAnsi="Abadi"/>
          <w:b w:val="0"/>
          <w:bCs w:val="0"/>
          <w:sz w:val="21"/>
          <w:szCs w:val="21"/>
        </w:rPr>
        <w:t>aún</w:t>
      </w:r>
      <w:r w:rsidRPr="007C2763">
        <w:rPr>
          <w:rFonts w:ascii="Abadi" w:hAnsi="Abadi"/>
          <w:b w:val="0"/>
          <w:bCs w:val="0"/>
          <w:spacing w:val="27"/>
          <w:sz w:val="21"/>
          <w:szCs w:val="21"/>
        </w:rPr>
        <w:t xml:space="preserve"> </w:t>
      </w:r>
      <w:r w:rsidRPr="007C2763">
        <w:rPr>
          <w:rFonts w:ascii="Abadi" w:hAnsi="Abadi"/>
          <w:b w:val="0"/>
          <w:bCs w:val="0"/>
          <w:sz w:val="21"/>
          <w:szCs w:val="21"/>
        </w:rPr>
        <w:t>si</w:t>
      </w:r>
      <w:r w:rsidRPr="007C2763">
        <w:rPr>
          <w:rFonts w:ascii="Abadi" w:hAnsi="Abadi"/>
          <w:b w:val="0"/>
          <w:bCs w:val="0"/>
          <w:spacing w:val="24"/>
          <w:sz w:val="21"/>
          <w:szCs w:val="21"/>
        </w:rPr>
        <w:t xml:space="preserve"> </w:t>
      </w:r>
      <w:r w:rsidRPr="007C2763">
        <w:rPr>
          <w:rFonts w:ascii="Abadi" w:hAnsi="Abadi"/>
          <w:b w:val="0"/>
          <w:bCs w:val="0"/>
          <w:sz w:val="21"/>
          <w:szCs w:val="21"/>
        </w:rPr>
        <w:t>decidían</w:t>
      </w:r>
      <w:r w:rsidRPr="007C2763">
        <w:rPr>
          <w:rFonts w:ascii="Abadi" w:hAnsi="Abadi"/>
          <w:b w:val="0"/>
          <w:bCs w:val="0"/>
          <w:spacing w:val="25"/>
          <w:sz w:val="21"/>
          <w:szCs w:val="21"/>
        </w:rPr>
        <w:t xml:space="preserve"> </w:t>
      </w:r>
      <w:r w:rsidRPr="007C2763">
        <w:rPr>
          <w:rFonts w:ascii="Abadi" w:hAnsi="Abadi"/>
          <w:b w:val="0"/>
          <w:bCs w:val="0"/>
          <w:sz w:val="21"/>
          <w:szCs w:val="21"/>
        </w:rPr>
        <w:t>enfrentarla</w:t>
      </w:r>
      <w:r w:rsidRPr="007C2763">
        <w:rPr>
          <w:rFonts w:ascii="Abadi" w:hAnsi="Abadi"/>
          <w:b w:val="0"/>
          <w:bCs w:val="0"/>
          <w:spacing w:val="27"/>
          <w:sz w:val="21"/>
          <w:szCs w:val="21"/>
        </w:rPr>
        <w:t xml:space="preserve"> </w:t>
      </w:r>
      <w:r w:rsidRPr="007C2763">
        <w:rPr>
          <w:rFonts w:ascii="Abadi" w:hAnsi="Abadi"/>
          <w:b w:val="0"/>
          <w:bCs w:val="0"/>
          <w:sz w:val="21"/>
          <w:szCs w:val="21"/>
        </w:rPr>
        <w:t>tal</w:t>
      </w:r>
      <w:r w:rsidRPr="007C2763">
        <w:rPr>
          <w:rFonts w:ascii="Abadi" w:hAnsi="Abadi"/>
          <w:b w:val="0"/>
          <w:bCs w:val="0"/>
          <w:spacing w:val="24"/>
          <w:sz w:val="21"/>
          <w:szCs w:val="21"/>
        </w:rPr>
        <w:t xml:space="preserve"> </w:t>
      </w:r>
      <w:r w:rsidRPr="007C2763">
        <w:rPr>
          <w:rFonts w:ascii="Abadi" w:hAnsi="Abadi"/>
          <w:b w:val="0"/>
          <w:bCs w:val="0"/>
          <w:sz w:val="21"/>
          <w:szCs w:val="21"/>
        </w:rPr>
        <w:t>y</w:t>
      </w:r>
      <w:r w:rsidRPr="007C2763">
        <w:rPr>
          <w:rFonts w:ascii="Abadi" w:hAnsi="Abadi"/>
          <w:b w:val="0"/>
          <w:bCs w:val="0"/>
          <w:spacing w:val="26"/>
          <w:sz w:val="21"/>
          <w:szCs w:val="21"/>
        </w:rPr>
        <w:t xml:space="preserve"> </w:t>
      </w:r>
      <w:r w:rsidRPr="007C2763">
        <w:rPr>
          <w:rFonts w:ascii="Abadi" w:hAnsi="Abadi"/>
          <w:b w:val="0"/>
          <w:bCs w:val="0"/>
          <w:sz w:val="21"/>
          <w:szCs w:val="21"/>
        </w:rPr>
        <w:t>como habían</w:t>
      </w:r>
      <w:r w:rsidRPr="007C2763">
        <w:rPr>
          <w:rFonts w:ascii="Abadi" w:hAnsi="Abadi"/>
          <w:b w:val="0"/>
          <w:bCs w:val="0"/>
          <w:spacing w:val="-1"/>
          <w:sz w:val="21"/>
          <w:szCs w:val="21"/>
        </w:rPr>
        <w:t xml:space="preserve"> </w:t>
      </w:r>
      <w:r w:rsidRPr="007C2763">
        <w:rPr>
          <w:rFonts w:ascii="Abadi" w:hAnsi="Abadi"/>
          <w:b w:val="0"/>
          <w:bCs w:val="0"/>
          <w:sz w:val="21"/>
          <w:szCs w:val="21"/>
        </w:rPr>
        <w:t>hecho</w:t>
      </w:r>
      <w:r w:rsidRPr="007C2763">
        <w:rPr>
          <w:rFonts w:ascii="Abadi" w:hAnsi="Abadi"/>
          <w:b w:val="0"/>
          <w:bCs w:val="0"/>
          <w:spacing w:val="1"/>
          <w:sz w:val="21"/>
          <w:szCs w:val="21"/>
        </w:rPr>
        <w:t xml:space="preserve"> </w:t>
      </w:r>
      <w:r w:rsidRPr="007C2763">
        <w:rPr>
          <w:rFonts w:ascii="Abadi" w:hAnsi="Abadi"/>
          <w:b w:val="0"/>
          <w:bCs w:val="0"/>
          <w:sz w:val="21"/>
          <w:szCs w:val="21"/>
        </w:rPr>
        <w:t>a</w:t>
      </w:r>
      <w:r w:rsidRPr="007C2763">
        <w:rPr>
          <w:rFonts w:ascii="Abadi" w:hAnsi="Abadi"/>
          <w:b w:val="0"/>
          <w:bCs w:val="0"/>
          <w:spacing w:val="1"/>
          <w:sz w:val="21"/>
          <w:szCs w:val="21"/>
        </w:rPr>
        <w:t xml:space="preserve"> </w:t>
      </w:r>
      <w:r w:rsidRPr="007C2763">
        <w:rPr>
          <w:rFonts w:ascii="Abadi" w:hAnsi="Abadi"/>
          <w:b w:val="0"/>
          <w:bCs w:val="0"/>
          <w:sz w:val="21"/>
          <w:szCs w:val="21"/>
        </w:rPr>
        <w:t>lo</w:t>
      </w:r>
      <w:r w:rsidRPr="007C2763">
        <w:rPr>
          <w:rFonts w:ascii="Abadi" w:hAnsi="Abadi"/>
          <w:b w:val="0"/>
          <w:bCs w:val="0"/>
          <w:spacing w:val="-1"/>
          <w:sz w:val="21"/>
          <w:szCs w:val="21"/>
        </w:rPr>
        <w:t xml:space="preserve"> </w:t>
      </w:r>
      <w:r w:rsidRPr="007C2763">
        <w:rPr>
          <w:rFonts w:ascii="Abadi" w:hAnsi="Abadi"/>
          <w:b w:val="0"/>
          <w:bCs w:val="0"/>
          <w:sz w:val="21"/>
          <w:szCs w:val="21"/>
        </w:rPr>
        <w:t>largo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su</w:t>
      </w:r>
      <w:r w:rsidRPr="007C2763">
        <w:rPr>
          <w:rFonts w:ascii="Abadi" w:hAnsi="Abadi"/>
          <w:b w:val="0"/>
          <w:bCs w:val="0"/>
          <w:spacing w:val="1"/>
          <w:sz w:val="21"/>
          <w:szCs w:val="21"/>
        </w:rPr>
        <w:t xml:space="preserve"> </w:t>
      </w:r>
      <w:r w:rsidRPr="007C2763">
        <w:rPr>
          <w:rFonts w:ascii="Abadi" w:hAnsi="Abadi"/>
          <w:b w:val="0"/>
          <w:bCs w:val="0"/>
          <w:sz w:val="21"/>
          <w:szCs w:val="21"/>
        </w:rPr>
        <w:t>historia. Fue</w:t>
      </w:r>
      <w:r w:rsidRPr="007C2763">
        <w:rPr>
          <w:rFonts w:ascii="Abadi" w:hAnsi="Abadi"/>
          <w:b w:val="0"/>
          <w:bCs w:val="0"/>
          <w:spacing w:val="-1"/>
          <w:sz w:val="21"/>
          <w:szCs w:val="21"/>
        </w:rPr>
        <w:t xml:space="preserve"> </w:t>
      </w:r>
      <w:r w:rsidRPr="007C2763">
        <w:rPr>
          <w:rFonts w:ascii="Abadi" w:hAnsi="Abadi"/>
          <w:b w:val="0"/>
          <w:bCs w:val="0"/>
          <w:sz w:val="21"/>
          <w:szCs w:val="21"/>
        </w:rPr>
        <w:t>así</w:t>
      </w:r>
      <w:r w:rsidRPr="007C2763">
        <w:rPr>
          <w:rFonts w:ascii="Abadi" w:hAnsi="Abadi"/>
          <w:b w:val="0"/>
          <w:bCs w:val="0"/>
          <w:spacing w:val="1"/>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el 7</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agosto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1949</w:t>
      </w:r>
      <w:r w:rsidRPr="007C2763">
        <w:rPr>
          <w:rFonts w:ascii="Abadi" w:hAnsi="Abadi"/>
          <w:b w:val="0"/>
          <w:bCs w:val="0"/>
          <w:spacing w:val="1"/>
          <w:sz w:val="21"/>
          <w:szCs w:val="21"/>
        </w:rPr>
        <w:t xml:space="preserve"> </w:t>
      </w:r>
      <w:r w:rsidRPr="007C2763">
        <w:rPr>
          <w:rFonts w:ascii="Abadi" w:hAnsi="Abadi"/>
          <w:b w:val="0"/>
          <w:bCs w:val="0"/>
          <w:sz w:val="21"/>
          <w:szCs w:val="21"/>
        </w:rPr>
        <w:t>a</w:t>
      </w:r>
      <w:r w:rsidRPr="007C2763">
        <w:rPr>
          <w:rFonts w:ascii="Abadi" w:hAnsi="Abadi"/>
          <w:b w:val="0"/>
          <w:bCs w:val="0"/>
          <w:spacing w:val="-1"/>
          <w:sz w:val="21"/>
          <w:szCs w:val="21"/>
        </w:rPr>
        <w:t xml:space="preserve"> </w:t>
      </w:r>
      <w:r w:rsidRPr="007C2763">
        <w:rPr>
          <w:rFonts w:ascii="Abadi" w:hAnsi="Abadi"/>
          <w:b w:val="0"/>
          <w:bCs w:val="0"/>
          <w:sz w:val="21"/>
          <w:szCs w:val="21"/>
        </w:rPr>
        <w:t>través del</w:t>
      </w:r>
      <w:r w:rsidRPr="007C2763">
        <w:rPr>
          <w:rFonts w:ascii="Abadi" w:hAnsi="Abadi"/>
          <w:b w:val="0"/>
          <w:bCs w:val="0"/>
          <w:spacing w:val="12"/>
          <w:sz w:val="21"/>
          <w:szCs w:val="21"/>
        </w:rPr>
        <w:t xml:space="preserve"> </w:t>
      </w:r>
      <w:r w:rsidRPr="007C2763">
        <w:rPr>
          <w:rFonts w:ascii="Abadi" w:hAnsi="Abadi"/>
          <w:b w:val="0"/>
          <w:bCs w:val="0"/>
          <w:sz w:val="21"/>
          <w:szCs w:val="21"/>
        </w:rPr>
        <w:t>Decreto</w:t>
      </w:r>
      <w:r w:rsidRPr="007C2763">
        <w:rPr>
          <w:rFonts w:ascii="Abadi" w:hAnsi="Abadi"/>
          <w:b w:val="0"/>
          <w:bCs w:val="0"/>
          <w:spacing w:val="11"/>
          <w:sz w:val="21"/>
          <w:szCs w:val="21"/>
        </w:rPr>
        <w:t xml:space="preserve"> </w:t>
      </w:r>
      <w:r w:rsidRPr="007C2763">
        <w:rPr>
          <w:rFonts w:ascii="Abadi" w:hAnsi="Abadi"/>
          <w:b w:val="0"/>
          <w:bCs w:val="0"/>
          <w:sz w:val="21"/>
          <w:szCs w:val="21"/>
        </w:rPr>
        <w:t>Gubernativo</w:t>
      </w:r>
      <w:r w:rsidRPr="007C2763">
        <w:rPr>
          <w:rFonts w:ascii="Abadi" w:hAnsi="Abadi"/>
          <w:b w:val="0"/>
          <w:bCs w:val="0"/>
          <w:spacing w:val="13"/>
          <w:sz w:val="21"/>
          <w:szCs w:val="21"/>
        </w:rPr>
        <w:t xml:space="preserve"> </w:t>
      </w:r>
      <w:r w:rsidRPr="007C2763">
        <w:rPr>
          <w:rFonts w:ascii="Abadi" w:hAnsi="Abadi"/>
          <w:b w:val="0"/>
          <w:bCs w:val="0"/>
          <w:sz w:val="21"/>
          <w:szCs w:val="21"/>
        </w:rPr>
        <w:t>253</w:t>
      </w:r>
      <w:r w:rsidRPr="007C2763">
        <w:rPr>
          <w:rFonts w:ascii="Abadi" w:hAnsi="Abadi"/>
          <w:b w:val="0"/>
          <w:bCs w:val="0"/>
          <w:spacing w:val="11"/>
          <w:sz w:val="21"/>
          <w:szCs w:val="21"/>
        </w:rPr>
        <w:t xml:space="preserve"> </w:t>
      </w:r>
      <w:r w:rsidRPr="007C2763">
        <w:rPr>
          <w:rFonts w:ascii="Abadi" w:hAnsi="Abadi"/>
          <w:b w:val="0"/>
          <w:bCs w:val="0"/>
          <w:sz w:val="21"/>
          <w:szCs w:val="21"/>
        </w:rPr>
        <w:t>se</w:t>
      </w:r>
      <w:r w:rsidRPr="007C2763">
        <w:rPr>
          <w:rFonts w:ascii="Abadi" w:hAnsi="Abadi"/>
          <w:b w:val="0"/>
          <w:bCs w:val="0"/>
          <w:spacing w:val="11"/>
          <w:sz w:val="21"/>
          <w:szCs w:val="21"/>
        </w:rPr>
        <w:t xml:space="preserve"> </w:t>
      </w:r>
      <w:r w:rsidRPr="007C2763">
        <w:rPr>
          <w:rFonts w:ascii="Abadi" w:hAnsi="Abadi"/>
          <w:b w:val="0"/>
          <w:bCs w:val="0"/>
          <w:sz w:val="21"/>
          <w:szCs w:val="21"/>
        </w:rPr>
        <w:t>crea</w:t>
      </w:r>
      <w:r w:rsidRPr="007C2763">
        <w:rPr>
          <w:rFonts w:ascii="Abadi" w:hAnsi="Abadi"/>
          <w:b w:val="0"/>
          <w:bCs w:val="0"/>
          <w:spacing w:val="11"/>
          <w:sz w:val="21"/>
          <w:szCs w:val="21"/>
        </w:rPr>
        <w:t xml:space="preserve"> </w:t>
      </w:r>
      <w:r w:rsidRPr="007C2763">
        <w:rPr>
          <w:rFonts w:ascii="Abadi" w:hAnsi="Abadi"/>
          <w:b w:val="0"/>
          <w:bCs w:val="0"/>
          <w:sz w:val="21"/>
          <w:szCs w:val="21"/>
        </w:rPr>
        <w:t>el</w:t>
      </w:r>
      <w:r w:rsidRPr="007C2763">
        <w:rPr>
          <w:rFonts w:ascii="Abadi" w:hAnsi="Abadi"/>
          <w:b w:val="0"/>
          <w:bCs w:val="0"/>
          <w:spacing w:val="9"/>
          <w:sz w:val="21"/>
          <w:szCs w:val="21"/>
        </w:rPr>
        <w:t xml:space="preserve"> </w:t>
      </w:r>
      <w:r w:rsidRPr="007C2763">
        <w:rPr>
          <w:rFonts w:ascii="Abadi" w:hAnsi="Abadi"/>
          <w:b w:val="0"/>
          <w:bCs w:val="0"/>
          <w:sz w:val="21"/>
          <w:szCs w:val="21"/>
        </w:rPr>
        <w:t>municipio</w:t>
      </w:r>
      <w:r w:rsidRPr="007C2763">
        <w:rPr>
          <w:rFonts w:ascii="Abadi" w:hAnsi="Abadi"/>
          <w:b w:val="0"/>
          <w:bCs w:val="0"/>
          <w:spacing w:val="13"/>
          <w:sz w:val="21"/>
          <w:szCs w:val="21"/>
        </w:rPr>
        <w:t xml:space="preserve"> </w:t>
      </w:r>
      <w:r w:rsidRPr="007C2763">
        <w:rPr>
          <w:rFonts w:ascii="Abadi" w:hAnsi="Abadi"/>
          <w:b w:val="0"/>
          <w:bCs w:val="0"/>
          <w:sz w:val="21"/>
          <w:szCs w:val="21"/>
        </w:rPr>
        <w:t>de</w:t>
      </w:r>
      <w:r w:rsidRPr="007C2763">
        <w:rPr>
          <w:rFonts w:ascii="Abadi" w:hAnsi="Abadi"/>
          <w:b w:val="0"/>
          <w:bCs w:val="0"/>
          <w:spacing w:val="13"/>
          <w:sz w:val="21"/>
          <w:szCs w:val="21"/>
        </w:rPr>
        <w:t xml:space="preserve"> </w:t>
      </w:r>
      <w:r w:rsidRPr="007C2763">
        <w:rPr>
          <w:rFonts w:ascii="Abadi" w:hAnsi="Abadi"/>
          <w:b w:val="0"/>
          <w:bCs w:val="0"/>
          <w:sz w:val="21"/>
          <w:szCs w:val="21"/>
        </w:rPr>
        <w:t>Dr.</w:t>
      </w:r>
      <w:r w:rsidRPr="007C2763">
        <w:rPr>
          <w:rFonts w:ascii="Abadi" w:hAnsi="Abadi"/>
          <w:b w:val="0"/>
          <w:bCs w:val="0"/>
          <w:spacing w:val="10"/>
          <w:sz w:val="21"/>
          <w:szCs w:val="21"/>
        </w:rPr>
        <w:t xml:space="preserve"> </w:t>
      </w:r>
      <w:r w:rsidRPr="007C2763">
        <w:rPr>
          <w:rFonts w:ascii="Abadi" w:hAnsi="Abadi"/>
          <w:b w:val="0"/>
          <w:bCs w:val="0"/>
          <w:sz w:val="21"/>
          <w:szCs w:val="21"/>
        </w:rPr>
        <w:t>Mora</w:t>
      </w:r>
      <w:r w:rsidRPr="007C2763">
        <w:rPr>
          <w:rFonts w:ascii="Abadi" w:hAnsi="Abadi"/>
          <w:b w:val="0"/>
          <w:bCs w:val="0"/>
          <w:spacing w:val="13"/>
          <w:sz w:val="21"/>
          <w:szCs w:val="21"/>
        </w:rPr>
        <w:t xml:space="preserve"> </w:t>
      </w:r>
      <w:r w:rsidRPr="007C2763">
        <w:rPr>
          <w:rFonts w:ascii="Abadi" w:hAnsi="Abadi"/>
          <w:b w:val="0"/>
          <w:bCs w:val="0"/>
          <w:sz w:val="21"/>
          <w:szCs w:val="21"/>
        </w:rPr>
        <w:t>con</w:t>
      </w:r>
      <w:r w:rsidRPr="007C2763">
        <w:rPr>
          <w:rFonts w:ascii="Abadi" w:hAnsi="Abadi"/>
          <w:b w:val="0"/>
          <w:bCs w:val="0"/>
          <w:spacing w:val="8"/>
          <w:sz w:val="21"/>
          <w:szCs w:val="21"/>
        </w:rPr>
        <w:t xml:space="preserve"> </w:t>
      </w:r>
      <w:r w:rsidRPr="007C2763">
        <w:rPr>
          <w:rFonts w:ascii="Abadi" w:hAnsi="Abadi"/>
          <w:b w:val="0"/>
          <w:bCs w:val="0"/>
          <w:sz w:val="21"/>
          <w:szCs w:val="21"/>
        </w:rPr>
        <w:t>cabecera</w:t>
      </w:r>
      <w:r w:rsidRPr="007C2763">
        <w:rPr>
          <w:rFonts w:ascii="Abadi" w:hAnsi="Abadi"/>
          <w:b w:val="0"/>
          <w:bCs w:val="0"/>
          <w:spacing w:val="11"/>
          <w:sz w:val="21"/>
          <w:szCs w:val="21"/>
        </w:rPr>
        <w:t xml:space="preserve"> </w:t>
      </w:r>
      <w:r w:rsidRPr="007C2763">
        <w:rPr>
          <w:rFonts w:ascii="Abadi" w:hAnsi="Abadi"/>
          <w:b w:val="0"/>
          <w:bCs w:val="0"/>
          <w:sz w:val="21"/>
          <w:szCs w:val="21"/>
        </w:rPr>
        <w:t>en</w:t>
      </w:r>
      <w:r w:rsidRPr="007C2763">
        <w:rPr>
          <w:rFonts w:ascii="Abadi" w:hAnsi="Abadi"/>
          <w:b w:val="0"/>
          <w:bCs w:val="0"/>
          <w:spacing w:val="11"/>
          <w:sz w:val="21"/>
          <w:szCs w:val="21"/>
        </w:rPr>
        <w:t xml:space="preserve"> </w:t>
      </w:r>
      <w:r w:rsidRPr="007C2763">
        <w:rPr>
          <w:rFonts w:ascii="Abadi" w:hAnsi="Abadi"/>
          <w:b w:val="0"/>
          <w:bCs w:val="0"/>
          <w:sz w:val="21"/>
          <w:szCs w:val="21"/>
        </w:rPr>
        <w:t>la Villa</w:t>
      </w:r>
      <w:r w:rsidRPr="007C2763">
        <w:rPr>
          <w:rFonts w:ascii="Abadi" w:hAnsi="Abadi"/>
          <w:b w:val="0"/>
          <w:bCs w:val="0"/>
          <w:spacing w:val="1"/>
          <w:sz w:val="21"/>
          <w:szCs w:val="21"/>
        </w:rPr>
        <w:t xml:space="preserve"> </w:t>
      </w:r>
      <w:r w:rsidRPr="007C2763">
        <w:rPr>
          <w:rFonts w:ascii="Abadi" w:hAnsi="Abadi"/>
          <w:b w:val="0"/>
          <w:bCs w:val="0"/>
          <w:sz w:val="21"/>
          <w:szCs w:val="21"/>
        </w:rPr>
        <w:t>Doctor</w:t>
      </w:r>
      <w:r w:rsidRPr="007C2763">
        <w:rPr>
          <w:rFonts w:ascii="Abadi" w:hAnsi="Abadi"/>
          <w:b w:val="0"/>
          <w:bCs w:val="0"/>
          <w:spacing w:val="-1"/>
          <w:sz w:val="21"/>
          <w:szCs w:val="21"/>
        </w:rPr>
        <w:t xml:space="preserve"> </w:t>
      </w:r>
      <w:r w:rsidRPr="007C2763">
        <w:rPr>
          <w:rFonts w:ascii="Abadi" w:hAnsi="Abadi"/>
          <w:b w:val="0"/>
          <w:bCs w:val="0"/>
          <w:sz w:val="21"/>
          <w:szCs w:val="21"/>
        </w:rPr>
        <w:t>Mora.</w:t>
      </w:r>
    </w:p>
    <w:p w14:paraId="4DE3B8C4" w14:textId="77777777" w:rsidR="00374A1E" w:rsidRPr="007C2763" w:rsidRDefault="00374A1E" w:rsidP="00374A1E">
      <w:pPr>
        <w:pStyle w:val="Textoindependiente"/>
        <w:kinsoku w:val="0"/>
        <w:overflowPunct w:val="0"/>
        <w:spacing w:before="11"/>
        <w:rPr>
          <w:rFonts w:ascii="Abadi" w:hAnsi="Abadi"/>
          <w:b w:val="0"/>
          <w:bCs w:val="0"/>
          <w:sz w:val="21"/>
          <w:szCs w:val="21"/>
        </w:rPr>
      </w:pPr>
    </w:p>
    <w:p w14:paraId="34340EB8" w14:textId="77777777" w:rsidR="00374A1E" w:rsidRPr="007C2763" w:rsidRDefault="00374A1E" w:rsidP="00374A1E">
      <w:pPr>
        <w:pStyle w:val="Textoindependiente"/>
        <w:kinsoku w:val="0"/>
        <w:overflowPunct w:val="0"/>
        <w:ind w:right="116" w:firstLine="708"/>
        <w:rPr>
          <w:rFonts w:ascii="Abadi" w:hAnsi="Abadi"/>
          <w:b w:val="0"/>
          <w:bCs w:val="0"/>
          <w:sz w:val="21"/>
          <w:szCs w:val="21"/>
        </w:rPr>
      </w:pPr>
      <w:r w:rsidRPr="007C2763">
        <w:rPr>
          <w:rFonts w:ascii="Abadi" w:hAnsi="Abadi"/>
          <w:b w:val="0"/>
          <w:bCs w:val="0"/>
          <w:sz w:val="21"/>
          <w:szCs w:val="21"/>
        </w:rPr>
        <w:t>El</w:t>
      </w:r>
      <w:r w:rsidRPr="007C2763">
        <w:rPr>
          <w:rFonts w:ascii="Abadi" w:hAnsi="Abadi"/>
          <w:b w:val="0"/>
          <w:bCs w:val="0"/>
          <w:spacing w:val="13"/>
          <w:sz w:val="21"/>
          <w:szCs w:val="21"/>
        </w:rPr>
        <w:t xml:space="preserve"> </w:t>
      </w:r>
      <w:r w:rsidRPr="007C2763">
        <w:rPr>
          <w:rFonts w:ascii="Abadi" w:hAnsi="Abadi"/>
          <w:b w:val="0"/>
          <w:bCs w:val="0"/>
          <w:sz w:val="21"/>
          <w:szCs w:val="21"/>
        </w:rPr>
        <w:t>municipio</w:t>
      </w:r>
      <w:r w:rsidRPr="007C2763">
        <w:rPr>
          <w:rFonts w:ascii="Abadi" w:hAnsi="Abadi"/>
          <w:b w:val="0"/>
          <w:bCs w:val="0"/>
          <w:spacing w:val="13"/>
          <w:sz w:val="21"/>
          <w:szCs w:val="21"/>
        </w:rPr>
        <w:t xml:space="preserve"> </w:t>
      </w:r>
      <w:r w:rsidRPr="007C2763">
        <w:rPr>
          <w:rFonts w:ascii="Abadi" w:hAnsi="Abadi"/>
          <w:b w:val="0"/>
          <w:bCs w:val="0"/>
          <w:sz w:val="21"/>
          <w:szCs w:val="21"/>
        </w:rPr>
        <w:t>de</w:t>
      </w:r>
      <w:r w:rsidRPr="007C2763">
        <w:rPr>
          <w:rFonts w:ascii="Abadi" w:hAnsi="Abadi"/>
          <w:b w:val="0"/>
          <w:bCs w:val="0"/>
          <w:spacing w:val="15"/>
          <w:sz w:val="21"/>
          <w:szCs w:val="21"/>
        </w:rPr>
        <w:t xml:space="preserve"> </w:t>
      </w:r>
      <w:r w:rsidRPr="007C2763">
        <w:rPr>
          <w:rFonts w:ascii="Abadi" w:hAnsi="Abadi"/>
          <w:b w:val="0"/>
          <w:bCs w:val="0"/>
          <w:sz w:val="21"/>
          <w:szCs w:val="21"/>
        </w:rPr>
        <w:t>Doctor</w:t>
      </w:r>
      <w:r w:rsidRPr="007C2763">
        <w:rPr>
          <w:rFonts w:ascii="Abadi" w:hAnsi="Abadi"/>
          <w:b w:val="0"/>
          <w:bCs w:val="0"/>
          <w:spacing w:val="11"/>
          <w:sz w:val="21"/>
          <w:szCs w:val="21"/>
        </w:rPr>
        <w:t xml:space="preserve"> </w:t>
      </w:r>
      <w:r w:rsidRPr="007C2763">
        <w:rPr>
          <w:rFonts w:ascii="Abadi" w:hAnsi="Abadi"/>
          <w:b w:val="0"/>
          <w:bCs w:val="0"/>
          <w:sz w:val="21"/>
          <w:szCs w:val="21"/>
        </w:rPr>
        <w:t>Mora,</w:t>
      </w:r>
      <w:r w:rsidRPr="007C2763">
        <w:rPr>
          <w:rFonts w:ascii="Abadi" w:hAnsi="Abadi"/>
          <w:b w:val="0"/>
          <w:bCs w:val="0"/>
          <w:spacing w:val="12"/>
          <w:sz w:val="21"/>
          <w:szCs w:val="21"/>
        </w:rPr>
        <w:t xml:space="preserve"> </w:t>
      </w:r>
      <w:r w:rsidRPr="007C2763">
        <w:rPr>
          <w:rFonts w:ascii="Abadi" w:hAnsi="Abadi"/>
          <w:b w:val="0"/>
          <w:bCs w:val="0"/>
          <w:sz w:val="21"/>
          <w:szCs w:val="21"/>
        </w:rPr>
        <w:t>menciona</w:t>
      </w:r>
      <w:r w:rsidRPr="007C2763">
        <w:rPr>
          <w:rFonts w:ascii="Abadi" w:hAnsi="Abadi"/>
          <w:b w:val="0"/>
          <w:bCs w:val="0"/>
          <w:spacing w:val="13"/>
          <w:sz w:val="21"/>
          <w:szCs w:val="21"/>
        </w:rPr>
        <w:t xml:space="preserve"> </w:t>
      </w:r>
      <w:r w:rsidRPr="007C2763">
        <w:rPr>
          <w:rFonts w:ascii="Abadi" w:hAnsi="Abadi"/>
          <w:b w:val="0"/>
          <w:bCs w:val="0"/>
          <w:sz w:val="21"/>
          <w:szCs w:val="21"/>
        </w:rPr>
        <w:t>el</w:t>
      </w:r>
      <w:r w:rsidRPr="007C2763">
        <w:rPr>
          <w:rFonts w:ascii="Abadi" w:hAnsi="Abadi"/>
          <w:b w:val="0"/>
          <w:bCs w:val="0"/>
          <w:spacing w:val="12"/>
          <w:sz w:val="21"/>
          <w:szCs w:val="21"/>
        </w:rPr>
        <w:t xml:space="preserve"> </w:t>
      </w:r>
      <w:r w:rsidRPr="007C2763">
        <w:rPr>
          <w:rFonts w:ascii="Abadi" w:hAnsi="Abadi"/>
          <w:b w:val="0"/>
          <w:bCs w:val="0"/>
          <w:sz w:val="21"/>
          <w:szCs w:val="21"/>
        </w:rPr>
        <w:t>Decreto,</w:t>
      </w:r>
      <w:r w:rsidRPr="007C2763">
        <w:rPr>
          <w:rFonts w:ascii="Abadi" w:hAnsi="Abadi"/>
          <w:b w:val="0"/>
          <w:bCs w:val="0"/>
          <w:spacing w:val="12"/>
          <w:sz w:val="21"/>
          <w:szCs w:val="21"/>
        </w:rPr>
        <w:t xml:space="preserve"> </w:t>
      </w:r>
      <w:r w:rsidRPr="007C2763">
        <w:rPr>
          <w:rFonts w:ascii="Abadi" w:hAnsi="Abadi"/>
          <w:b w:val="0"/>
          <w:bCs w:val="0"/>
          <w:sz w:val="21"/>
          <w:szCs w:val="21"/>
        </w:rPr>
        <w:t>"tiene</w:t>
      </w:r>
      <w:r w:rsidRPr="007C2763">
        <w:rPr>
          <w:rFonts w:ascii="Abadi" w:hAnsi="Abadi"/>
          <w:b w:val="0"/>
          <w:bCs w:val="0"/>
          <w:spacing w:val="13"/>
          <w:sz w:val="21"/>
          <w:szCs w:val="21"/>
        </w:rPr>
        <w:t xml:space="preserve"> </w:t>
      </w:r>
      <w:r w:rsidRPr="007C2763">
        <w:rPr>
          <w:rFonts w:ascii="Abadi" w:hAnsi="Abadi"/>
          <w:b w:val="0"/>
          <w:bCs w:val="0"/>
          <w:sz w:val="21"/>
          <w:szCs w:val="21"/>
        </w:rPr>
        <w:t>nombre</w:t>
      </w:r>
      <w:r w:rsidRPr="007C2763">
        <w:rPr>
          <w:rFonts w:ascii="Abadi" w:hAnsi="Abadi"/>
          <w:b w:val="0"/>
          <w:bCs w:val="0"/>
          <w:spacing w:val="11"/>
          <w:sz w:val="21"/>
          <w:szCs w:val="21"/>
        </w:rPr>
        <w:t xml:space="preserve"> </w:t>
      </w:r>
      <w:r w:rsidRPr="007C2763">
        <w:rPr>
          <w:rFonts w:ascii="Abadi" w:hAnsi="Abadi"/>
          <w:b w:val="0"/>
          <w:bCs w:val="0"/>
          <w:sz w:val="21"/>
          <w:szCs w:val="21"/>
        </w:rPr>
        <w:t>en</w:t>
      </w:r>
      <w:r w:rsidRPr="007C2763">
        <w:rPr>
          <w:rFonts w:ascii="Abadi" w:hAnsi="Abadi"/>
          <w:b w:val="0"/>
          <w:bCs w:val="0"/>
          <w:spacing w:val="13"/>
          <w:sz w:val="21"/>
          <w:szCs w:val="21"/>
        </w:rPr>
        <w:t xml:space="preserve"> </w:t>
      </w:r>
      <w:r w:rsidRPr="007C2763">
        <w:rPr>
          <w:rFonts w:ascii="Abadi" w:hAnsi="Abadi"/>
          <w:b w:val="0"/>
          <w:bCs w:val="0"/>
          <w:sz w:val="21"/>
          <w:szCs w:val="21"/>
        </w:rPr>
        <w:t>honor del</w:t>
      </w:r>
      <w:r w:rsidRPr="007C2763">
        <w:rPr>
          <w:rFonts w:ascii="Abadi" w:hAnsi="Abadi"/>
          <w:b w:val="0"/>
          <w:bCs w:val="0"/>
          <w:spacing w:val="33"/>
          <w:sz w:val="21"/>
          <w:szCs w:val="21"/>
        </w:rPr>
        <w:t xml:space="preserve"> </w:t>
      </w:r>
      <w:r w:rsidRPr="007C2763">
        <w:rPr>
          <w:rFonts w:ascii="Abadi" w:hAnsi="Abadi"/>
          <w:b w:val="0"/>
          <w:bCs w:val="0"/>
          <w:sz w:val="21"/>
          <w:szCs w:val="21"/>
        </w:rPr>
        <w:t>ideólogo</w:t>
      </w:r>
      <w:r w:rsidRPr="007C2763">
        <w:rPr>
          <w:rFonts w:ascii="Abadi" w:hAnsi="Abadi"/>
          <w:b w:val="0"/>
          <w:bCs w:val="0"/>
          <w:spacing w:val="35"/>
          <w:sz w:val="21"/>
          <w:szCs w:val="21"/>
        </w:rPr>
        <w:t xml:space="preserve"> </w:t>
      </w:r>
      <w:r w:rsidRPr="007C2763">
        <w:rPr>
          <w:rFonts w:ascii="Abadi" w:hAnsi="Abadi"/>
          <w:b w:val="0"/>
          <w:bCs w:val="0"/>
          <w:sz w:val="21"/>
          <w:szCs w:val="21"/>
        </w:rPr>
        <w:t>de</w:t>
      </w:r>
      <w:r w:rsidRPr="007C2763">
        <w:rPr>
          <w:rFonts w:ascii="Abadi" w:hAnsi="Abadi"/>
          <w:b w:val="0"/>
          <w:bCs w:val="0"/>
          <w:spacing w:val="34"/>
          <w:sz w:val="21"/>
          <w:szCs w:val="21"/>
        </w:rPr>
        <w:t xml:space="preserve"> </w:t>
      </w:r>
      <w:r w:rsidRPr="007C2763">
        <w:rPr>
          <w:rFonts w:ascii="Abadi" w:hAnsi="Abadi"/>
          <w:b w:val="0"/>
          <w:bCs w:val="0"/>
          <w:sz w:val="21"/>
          <w:szCs w:val="21"/>
        </w:rPr>
        <w:t>la</w:t>
      </w:r>
      <w:r w:rsidRPr="007C2763">
        <w:rPr>
          <w:rFonts w:ascii="Abadi" w:hAnsi="Abadi"/>
          <w:b w:val="0"/>
          <w:bCs w:val="0"/>
          <w:spacing w:val="35"/>
          <w:sz w:val="21"/>
          <w:szCs w:val="21"/>
        </w:rPr>
        <w:t xml:space="preserve"> </w:t>
      </w:r>
      <w:r w:rsidRPr="007C2763">
        <w:rPr>
          <w:rFonts w:ascii="Abadi" w:hAnsi="Abadi"/>
          <w:b w:val="0"/>
          <w:bCs w:val="0"/>
          <w:sz w:val="21"/>
          <w:szCs w:val="21"/>
        </w:rPr>
        <w:t>reforma</w:t>
      </w:r>
      <w:r w:rsidRPr="007C2763">
        <w:rPr>
          <w:rFonts w:ascii="Abadi" w:hAnsi="Abadi"/>
          <w:b w:val="0"/>
          <w:bCs w:val="0"/>
          <w:spacing w:val="35"/>
          <w:sz w:val="21"/>
          <w:szCs w:val="21"/>
        </w:rPr>
        <w:t xml:space="preserve"> </w:t>
      </w:r>
      <w:r w:rsidRPr="007C2763">
        <w:rPr>
          <w:rFonts w:ascii="Abadi" w:hAnsi="Abadi"/>
          <w:b w:val="0"/>
          <w:bCs w:val="0"/>
          <w:sz w:val="21"/>
          <w:szCs w:val="21"/>
        </w:rPr>
        <w:t>el</w:t>
      </w:r>
      <w:r w:rsidRPr="007C2763">
        <w:rPr>
          <w:rFonts w:ascii="Abadi" w:hAnsi="Abadi"/>
          <w:b w:val="0"/>
          <w:bCs w:val="0"/>
          <w:spacing w:val="32"/>
          <w:sz w:val="21"/>
          <w:szCs w:val="21"/>
        </w:rPr>
        <w:t xml:space="preserve"> </w:t>
      </w:r>
      <w:r w:rsidRPr="007C2763">
        <w:rPr>
          <w:rFonts w:ascii="Abadi" w:hAnsi="Abadi"/>
          <w:b w:val="0"/>
          <w:bCs w:val="0"/>
          <w:sz w:val="21"/>
          <w:szCs w:val="21"/>
        </w:rPr>
        <w:t>Dr.</w:t>
      </w:r>
      <w:r w:rsidRPr="007C2763">
        <w:rPr>
          <w:rFonts w:ascii="Abadi" w:hAnsi="Abadi"/>
          <w:b w:val="0"/>
          <w:bCs w:val="0"/>
          <w:spacing w:val="34"/>
          <w:sz w:val="21"/>
          <w:szCs w:val="21"/>
        </w:rPr>
        <w:t xml:space="preserve"> </w:t>
      </w:r>
      <w:r w:rsidRPr="007C2763">
        <w:rPr>
          <w:rFonts w:ascii="Abadi" w:hAnsi="Abadi"/>
          <w:b w:val="0"/>
          <w:bCs w:val="0"/>
          <w:sz w:val="21"/>
          <w:szCs w:val="21"/>
        </w:rPr>
        <w:t>José</w:t>
      </w:r>
      <w:r w:rsidRPr="007C2763">
        <w:rPr>
          <w:rFonts w:ascii="Abadi" w:hAnsi="Abadi"/>
          <w:b w:val="0"/>
          <w:bCs w:val="0"/>
          <w:spacing w:val="35"/>
          <w:sz w:val="21"/>
          <w:szCs w:val="21"/>
        </w:rPr>
        <w:t xml:space="preserve"> </w:t>
      </w:r>
      <w:r w:rsidRPr="007C2763">
        <w:rPr>
          <w:rFonts w:ascii="Abadi" w:hAnsi="Abadi"/>
          <w:b w:val="0"/>
          <w:bCs w:val="0"/>
          <w:sz w:val="21"/>
          <w:szCs w:val="21"/>
        </w:rPr>
        <w:t>María</w:t>
      </w:r>
      <w:r w:rsidRPr="007C2763">
        <w:rPr>
          <w:rFonts w:ascii="Abadi" w:hAnsi="Abadi"/>
          <w:b w:val="0"/>
          <w:bCs w:val="0"/>
          <w:spacing w:val="34"/>
          <w:sz w:val="21"/>
          <w:szCs w:val="21"/>
        </w:rPr>
        <w:t xml:space="preserve"> </w:t>
      </w:r>
      <w:r w:rsidRPr="007C2763">
        <w:rPr>
          <w:rFonts w:ascii="Abadi" w:hAnsi="Abadi"/>
          <w:b w:val="0"/>
          <w:bCs w:val="0"/>
          <w:sz w:val="21"/>
          <w:szCs w:val="21"/>
        </w:rPr>
        <w:t>Luis</w:t>
      </w:r>
      <w:r w:rsidRPr="007C2763">
        <w:rPr>
          <w:rFonts w:ascii="Abadi" w:hAnsi="Abadi"/>
          <w:b w:val="0"/>
          <w:bCs w:val="0"/>
          <w:spacing w:val="34"/>
          <w:sz w:val="21"/>
          <w:szCs w:val="21"/>
        </w:rPr>
        <w:t xml:space="preserve"> </w:t>
      </w:r>
      <w:r w:rsidRPr="007C2763">
        <w:rPr>
          <w:rFonts w:ascii="Abadi" w:hAnsi="Abadi"/>
          <w:b w:val="0"/>
          <w:bCs w:val="0"/>
          <w:sz w:val="21"/>
          <w:szCs w:val="21"/>
        </w:rPr>
        <w:t>Mora"</w:t>
      </w:r>
      <w:r w:rsidRPr="007C2763">
        <w:rPr>
          <w:rFonts w:ascii="Abadi" w:hAnsi="Abadi"/>
          <w:b w:val="0"/>
          <w:bCs w:val="0"/>
          <w:spacing w:val="35"/>
          <w:sz w:val="21"/>
          <w:szCs w:val="21"/>
        </w:rPr>
        <w:t xml:space="preserve"> </w:t>
      </w:r>
      <w:r w:rsidRPr="007C2763">
        <w:rPr>
          <w:rFonts w:ascii="Abadi" w:hAnsi="Abadi"/>
          <w:b w:val="0"/>
          <w:bCs w:val="0"/>
          <w:sz w:val="21"/>
          <w:szCs w:val="21"/>
        </w:rPr>
        <w:t>que</w:t>
      </w:r>
      <w:r w:rsidRPr="007C2763">
        <w:rPr>
          <w:rFonts w:ascii="Abadi" w:hAnsi="Abadi"/>
          <w:b w:val="0"/>
          <w:bCs w:val="0"/>
          <w:spacing w:val="34"/>
          <w:sz w:val="21"/>
          <w:szCs w:val="21"/>
        </w:rPr>
        <w:t xml:space="preserve"> </w:t>
      </w:r>
      <w:r w:rsidRPr="007C2763">
        <w:rPr>
          <w:rFonts w:ascii="Abadi" w:hAnsi="Abadi"/>
          <w:b w:val="0"/>
          <w:bCs w:val="0"/>
          <w:sz w:val="21"/>
          <w:szCs w:val="21"/>
        </w:rPr>
        <w:t>nació</w:t>
      </w:r>
      <w:r w:rsidRPr="007C2763">
        <w:rPr>
          <w:rFonts w:ascii="Abadi" w:hAnsi="Abadi"/>
          <w:b w:val="0"/>
          <w:bCs w:val="0"/>
          <w:spacing w:val="35"/>
          <w:sz w:val="21"/>
          <w:szCs w:val="21"/>
        </w:rPr>
        <w:t xml:space="preserve"> </w:t>
      </w:r>
      <w:r w:rsidRPr="007C2763">
        <w:rPr>
          <w:rFonts w:ascii="Abadi" w:hAnsi="Abadi"/>
          <w:b w:val="0"/>
          <w:bCs w:val="0"/>
          <w:sz w:val="21"/>
          <w:szCs w:val="21"/>
        </w:rPr>
        <w:t>en</w:t>
      </w:r>
      <w:r w:rsidRPr="007C2763">
        <w:rPr>
          <w:rFonts w:ascii="Abadi" w:hAnsi="Abadi"/>
          <w:b w:val="0"/>
          <w:bCs w:val="0"/>
          <w:spacing w:val="35"/>
          <w:sz w:val="21"/>
          <w:szCs w:val="21"/>
        </w:rPr>
        <w:t xml:space="preserve"> </w:t>
      </w:r>
      <w:r w:rsidRPr="007C2763">
        <w:rPr>
          <w:rFonts w:ascii="Abadi" w:hAnsi="Abadi"/>
          <w:b w:val="0"/>
          <w:bCs w:val="0"/>
          <w:sz w:val="21"/>
          <w:szCs w:val="21"/>
        </w:rPr>
        <w:t>1794,</w:t>
      </w:r>
      <w:r w:rsidRPr="007C2763">
        <w:rPr>
          <w:rFonts w:ascii="Abadi" w:hAnsi="Abadi"/>
          <w:b w:val="0"/>
          <w:bCs w:val="0"/>
          <w:spacing w:val="33"/>
          <w:sz w:val="21"/>
          <w:szCs w:val="21"/>
        </w:rPr>
        <w:t xml:space="preserve"> </w:t>
      </w:r>
      <w:r w:rsidRPr="007C2763">
        <w:rPr>
          <w:rFonts w:ascii="Abadi" w:hAnsi="Abadi"/>
          <w:b w:val="0"/>
          <w:bCs w:val="0"/>
          <w:sz w:val="21"/>
          <w:szCs w:val="21"/>
        </w:rPr>
        <w:t xml:space="preserve">en </w:t>
      </w:r>
      <w:proofErr w:type="spellStart"/>
      <w:r w:rsidRPr="007C2763">
        <w:rPr>
          <w:rFonts w:ascii="Abadi" w:hAnsi="Abadi"/>
          <w:b w:val="0"/>
          <w:bCs w:val="0"/>
          <w:sz w:val="21"/>
          <w:szCs w:val="21"/>
        </w:rPr>
        <w:t>Chamacuero</w:t>
      </w:r>
      <w:proofErr w:type="spellEnd"/>
      <w:r w:rsidRPr="007C2763">
        <w:rPr>
          <w:rFonts w:ascii="Abadi" w:hAnsi="Abadi"/>
          <w:b w:val="0"/>
          <w:bCs w:val="0"/>
          <w:spacing w:val="12"/>
          <w:sz w:val="21"/>
          <w:szCs w:val="21"/>
        </w:rPr>
        <w:t xml:space="preserve"> </w:t>
      </w:r>
      <w:r w:rsidRPr="007C2763">
        <w:rPr>
          <w:rFonts w:ascii="Abadi" w:hAnsi="Abadi"/>
          <w:b w:val="0"/>
          <w:bCs w:val="0"/>
          <w:sz w:val="21"/>
          <w:szCs w:val="21"/>
        </w:rPr>
        <w:t>(Actualmente</w:t>
      </w:r>
      <w:r w:rsidRPr="007C2763">
        <w:rPr>
          <w:rFonts w:ascii="Abadi" w:hAnsi="Abadi"/>
          <w:b w:val="0"/>
          <w:bCs w:val="0"/>
          <w:spacing w:val="11"/>
          <w:sz w:val="21"/>
          <w:szCs w:val="21"/>
        </w:rPr>
        <w:t xml:space="preserve"> </w:t>
      </w:r>
      <w:r w:rsidRPr="007C2763">
        <w:rPr>
          <w:rFonts w:ascii="Abadi" w:hAnsi="Abadi"/>
          <w:b w:val="0"/>
          <w:bCs w:val="0"/>
          <w:sz w:val="21"/>
          <w:szCs w:val="21"/>
        </w:rPr>
        <w:t>Comonfort),</w:t>
      </w:r>
      <w:r w:rsidRPr="007C2763">
        <w:rPr>
          <w:rFonts w:ascii="Abadi" w:hAnsi="Abadi"/>
          <w:b w:val="0"/>
          <w:bCs w:val="0"/>
          <w:spacing w:val="11"/>
          <w:sz w:val="21"/>
          <w:szCs w:val="21"/>
        </w:rPr>
        <w:t xml:space="preserve"> </w:t>
      </w:r>
      <w:r w:rsidRPr="007C2763">
        <w:rPr>
          <w:rFonts w:ascii="Abadi" w:hAnsi="Abadi"/>
          <w:b w:val="0"/>
          <w:bCs w:val="0"/>
          <w:sz w:val="21"/>
          <w:szCs w:val="21"/>
        </w:rPr>
        <w:t>Estado</w:t>
      </w:r>
      <w:r w:rsidRPr="007C2763">
        <w:rPr>
          <w:rFonts w:ascii="Abadi" w:hAnsi="Abadi"/>
          <w:b w:val="0"/>
          <w:bCs w:val="0"/>
          <w:spacing w:val="9"/>
          <w:sz w:val="21"/>
          <w:szCs w:val="21"/>
        </w:rPr>
        <w:t xml:space="preserve"> </w:t>
      </w:r>
      <w:r w:rsidRPr="007C2763">
        <w:rPr>
          <w:rFonts w:ascii="Abadi" w:hAnsi="Abadi"/>
          <w:b w:val="0"/>
          <w:bCs w:val="0"/>
          <w:sz w:val="21"/>
          <w:szCs w:val="21"/>
        </w:rPr>
        <w:t>de</w:t>
      </w:r>
      <w:r w:rsidRPr="007C2763">
        <w:rPr>
          <w:rFonts w:ascii="Abadi" w:hAnsi="Abadi"/>
          <w:b w:val="0"/>
          <w:bCs w:val="0"/>
          <w:spacing w:val="11"/>
          <w:sz w:val="21"/>
          <w:szCs w:val="21"/>
        </w:rPr>
        <w:t xml:space="preserve"> </w:t>
      </w:r>
      <w:r w:rsidRPr="007C2763">
        <w:rPr>
          <w:rFonts w:ascii="Abadi" w:hAnsi="Abadi"/>
          <w:b w:val="0"/>
          <w:bCs w:val="0"/>
          <w:sz w:val="21"/>
          <w:szCs w:val="21"/>
        </w:rPr>
        <w:t>Guanajuato;</w:t>
      </w:r>
      <w:r w:rsidRPr="007C2763">
        <w:rPr>
          <w:rFonts w:ascii="Abadi" w:hAnsi="Abadi"/>
          <w:b w:val="0"/>
          <w:bCs w:val="0"/>
          <w:spacing w:val="8"/>
          <w:sz w:val="21"/>
          <w:szCs w:val="21"/>
        </w:rPr>
        <w:t xml:space="preserve"> </w:t>
      </w:r>
      <w:r w:rsidRPr="007C2763">
        <w:rPr>
          <w:rFonts w:ascii="Abadi" w:hAnsi="Abadi"/>
          <w:b w:val="0"/>
          <w:bCs w:val="0"/>
          <w:sz w:val="21"/>
          <w:szCs w:val="21"/>
        </w:rPr>
        <w:t>fue</w:t>
      </w:r>
      <w:r w:rsidRPr="007C2763">
        <w:rPr>
          <w:rFonts w:ascii="Abadi" w:hAnsi="Abadi"/>
          <w:b w:val="0"/>
          <w:bCs w:val="0"/>
          <w:spacing w:val="11"/>
          <w:sz w:val="21"/>
          <w:szCs w:val="21"/>
        </w:rPr>
        <w:t xml:space="preserve"> </w:t>
      </w:r>
      <w:r w:rsidRPr="007C2763">
        <w:rPr>
          <w:rFonts w:ascii="Abadi" w:hAnsi="Abadi"/>
          <w:b w:val="0"/>
          <w:bCs w:val="0"/>
          <w:sz w:val="21"/>
          <w:szCs w:val="21"/>
        </w:rPr>
        <w:t>Doctor</w:t>
      </w:r>
      <w:r w:rsidRPr="007C2763">
        <w:rPr>
          <w:rFonts w:ascii="Abadi" w:hAnsi="Abadi"/>
          <w:b w:val="0"/>
          <w:bCs w:val="0"/>
          <w:spacing w:val="9"/>
          <w:sz w:val="21"/>
          <w:szCs w:val="21"/>
        </w:rPr>
        <w:t xml:space="preserve"> </w:t>
      </w:r>
      <w:r w:rsidRPr="007C2763">
        <w:rPr>
          <w:rFonts w:ascii="Abadi" w:hAnsi="Abadi"/>
          <w:b w:val="0"/>
          <w:bCs w:val="0"/>
          <w:sz w:val="21"/>
          <w:szCs w:val="21"/>
        </w:rPr>
        <w:t>en Teología</w:t>
      </w:r>
      <w:r w:rsidRPr="007C2763">
        <w:rPr>
          <w:rFonts w:ascii="Abadi" w:hAnsi="Abadi"/>
          <w:b w:val="0"/>
          <w:bCs w:val="0"/>
          <w:spacing w:val="40"/>
          <w:sz w:val="21"/>
          <w:szCs w:val="21"/>
        </w:rPr>
        <w:t xml:space="preserve"> </w:t>
      </w:r>
      <w:r w:rsidRPr="007C2763">
        <w:rPr>
          <w:rFonts w:ascii="Abadi" w:hAnsi="Abadi"/>
          <w:b w:val="0"/>
          <w:bCs w:val="0"/>
          <w:sz w:val="21"/>
          <w:szCs w:val="21"/>
        </w:rPr>
        <w:t>y</w:t>
      </w:r>
      <w:r w:rsidRPr="007C2763">
        <w:rPr>
          <w:rFonts w:ascii="Abadi" w:hAnsi="Abadi"/>
          <w:b w:val="0"/>
          <w:bCs w:val="0"/>
          <w:spacing w:val="39"/>
          <w:sz w:val="21"/>
          <w:szCs w:val="21"/>
        </w:rPr>
        <w:t xml:space="preserve"> </w:t>
      </w:r>
      <w:r w:rsidRPr="007C2763">
        <w:rPr>
          <w:rFonts w:ascii="Abadi" w:hAnsi="Abadi"/>
          <w:b w:val="0"/>
          <w:bCs w:val="0"/>
          <w:sz w:val="21"/>
          <w:szCs w:val="21"/>
        </w:rPr>
        <w:t>Filosofía,</w:t>
      </w:r>
      <w:r w:rsidRPr="007C2763">
        <w:rPr>
          <w:rFonts w:ascii="Abadi" w:hAnsi="Abadi"/>
          <w:b w:val="0"/>
          <w:bCs w:val="0"/>
          <w:spacing w:val="37"/>
          <w:sz w:val="21"/>
          <w:szCs w:val="21"/>
        </w:rPr>
        <w:t xml:space="preserve"> </w:t>
      </w:r>
      <w:r w:rsidRPr="007C2763">
        <w:rPr>
          <w:rFonts w:ascii="Abadi" w:hAnsi="Abadi"/>
          <w:b w:val="0"/>
          <w:bCs w:val="0"/>
          <w:sz w:val="21"/>
          <w:szCs w:val="21"/>
        </w:rPr>
        <w:t>Historiador</w:t>
      </w:r>
      <w:r w:rsidRPr="007C2763">
        <w:rPr>
          <w:rFonts w:ascii="Abadi" w:hAnsi="Abadi"/>
          <w:b w:val="0"/>
          <w:bCs w:val="0"/>
          <w:spacing w:val="39"/>
          <w:sz w:val="21"/>
          <w:szCs w:val="21"/>
        </w:rPr>
        <w:t xml:space="preserve"> </w:t>
      </w:r>
      <w:r w:rsidRPr="007C2763">
        <w:rPr>
          <w:rFonts w:ascii="Abadi" w:hAnsi="Abadi"/>
          <w:b w:val="0"/>
          <w:bCs w:val="0"/>
          <w:sz w:val="21"/>
          <w:szCs w:val="21"/>
        </w:rPr>
        <w:t>y</w:t>
      </w:r>
      <w:r w:rsidRPr="007C2763">
        <w:rPr>
          <w:rFonts w:ascii="Abadi" w:hAnsi="Abadi"/>
          <w:b w:val="0"/>
          <w:bCs w:val="0"/>
          <w:spacing w:val="40"/>
          <w:sz w:val="21"/>
          <w:szCs w:val="21"/>
        </w:rPr>
        <w:t xml:space="preserve"> </w:t>
      </w:r>
      <w:r w:rsidRPr="007C2763">
        <w:rPr>
          <w:rFonts w:ascii="Abadi" w:hAnsi="Abadi"/>
          <w:b w:val="0"/>
          <w:bCs w:val="0"/>
          <w:sz w:val="21"/>
          <w:szCs w:val="21"/>
        </w:rPr>
        <w:t>Político,</w:t>
      </w:r>
      <w:r w:rsidRPr="007C2763">
        <w:rPr>
          <w:rFonts w:ascii="Abadi" w:hAnsi="Abadi"/>
          <w:b w:val="0"/>
          <w:bCs w:val="0"/>
          <w:spacing w:val="40"/>
          <w:sz w:val="21"/>
          <w:szCs w:val="21"/>
        </w:rPr>
        <w:t xml:space="preserve"> </w:t>
      </w:r>
      <w:r w:rsidRPr="007C2763">
        <w:rPr>
          <w:rFonts w:ascii="Abadi" w:hAnsi="Abadi"/>
          <w:b w:val="0"/>
          <w:bCs w:val="0"/>
          <w:sz w:val="21"/>
          <w:szCs w:val="21"/>
        </w:rPr>
        <w:t>miembro</w:t>
      </w:r>
      <w:r w:rsidRPr="007C2763">
        <w:rPr>
          <w:rFonts w:ascii="Abadi" w:hAnsi="Abadi"/>
          <w:b w:val="0"/>
          <w:bCs w:val="0"/>
          <w:spacing w:val="40"/>
          <w:sz w:val="21"/>
          <w:szCs w:val="21"/>
        </w:rPr>
        <w:t xml:space="preserve"> </w:t>
      </w:r>
      <w:r w:rsidRPr="007C2763">
        <w:rPr>
          <w:rFonts w:ascii="Abadi" w:hAnsi="Abadi"/>
          <w:b w:val="0"/>
          <w:bCs w:val="0"/>
          <w:sz w:val="21"/>
          <w:szCs w:val="21"/>
        </w:rPr>
        <w:t>de</w:t>
      </w:r>
      <w:r w:rsidRPr="007C2763">
        <w:rPr>
          <w:rFonts w:ascii="Abadi" w:hAnsi="Abadi"/>
          <w:b w:val="0"/>
          <w:bCs w:val="0"/>
          <w:spacing w:val="40"/>
          <w:sz w:val="21"/>
          <w:szCs w:val="21"/>
        </w:rPr>
        <w:t xml:space="preserve"> </w:t>
      </w:r>
      <w:r w:rsidRPr="007C2763">
        <w:rPr>
          <w:rFonts w:ascii="Abadi" w:hAnsi="Abadi"/>
          <w:b w:val="0"/>
          <w:bCs w:val="0"/>
          <w:sz w:val="21"/>
          <w:szCs w:val="21"/>
        </w:rPr>
        <w:t>la</w:t>
      </w:r>
      <w:r w:rsidRPr="007C2763">
        <w:rPr>
          <w:rFonts w:ascii="Abadi" w:hAnsi="Abadi"/>
          <w:b w:val="0"/>
          <w:bCs w:val="0"/>
          <w:spacing w:val="40"/>
          <w:sz w:val="21"/>
          <w:szCs w:val="21"/>
        </w:rPr>
        <w:t xml:space="preserve"> </w:t>
      </w:r>
      <w:r w:rsidRPr="007C2763">
        <w:rPr>
          <w:rFonts w:ascii="Abadi" w:hAnsi="Abadi"/>
          <w:b w:val="0"/>
          <w:bCs w:val="0"/>
          <w:sz w:val="21"/>
          <w:szCs w:val="21"/>
        </w:rPr>
        <w:t>Junta</w:t>
      </w:r>
      <w:r w:rsidRPr="007C2763">
        <w:rPr>
          <w:rFonts w:ascii="Abadi" w:hAnsi="Abadi"/>
          <w:b w:val="0"/>
          <w:bCs w:val="0"/>
          <w:spacing w:val="38"/>
          <w:sz w:val="21"/>
          <w:szCs w:val="21"/>
        </w:rPr>
        <w:t xml:space="preserve"> </w:t>
      </w:r>
      <w:r w:rsidRPr="007C2763">
        <w:rPr>
          <w:rFonts w:ascii="Abadi" w:hAnsi="Abadi"/>
          <w:b w:val="0"/>
          <w:bCs w:val="0"/>
          <w:sz w:val="21"/>
          <w:szCs w:val="21"/>
        </w:rPr>
        <w:t>Suprema Protectora</w:t>
      </w:r>
      <w:r w:rsidRPr="007C2763">
        <w:rPr>
          <w:rFonts w:ascii="Abadi" w:hAnsi="Abadi"/>
          <w:b w:val="0"/>
          <w:bCs w:val="0"/>
          <w:spacing w:val="37"/>
          <w:sz w:val="21"/>
          <w:szCs w:val="21"/>
        </w:rPr>
        <w:t xml:space="preserve"> </w:t>
      </w:r>
      <w:r w:rsidRPr="007C2763">
        <w:rPr>
          <w:rFonts w:ascii="Abadi" w:hAnsi="Abadi"/>
          <w:b w:val="0"/>
          <w:bCs w:val="0"/>
          <w:sz w:val="21"/>
          <w:szCs w:val="21"/>
        </w:rPr>
        <w:t>de</w:t>
      </w:r>
      <w:r w:rsidRPr="007C2763">
        <w:rPr>
          <w:rFonts w:ascii="Abadi" w:hAnsi="Abadi"/>
          <w:b w:val="0"/>
          <w:bCs w:val="0"/>
          <w:spacing w:val="36"/>
          <w:sz w:val="21"/>
          <w:szCs w:val="21"/>
        </w:rPr>
        <w:t xml:space="preserve"> </w:t>
      </w:r>
      <w:r w:rsidRPr="007C2763">
        <w:rPr>
          <w:rFonts w:ascii="Abadi" w:hAnsi="Abadi"/>
          <w:b w:val="0"/>
          <w:bCs w:val="0"/>
          <w:sz w:val="21"/>
          <w:szCs w:val="21"/>
        </w:rPr>
        <w:t>la</w:t>
      </w:r>
      <w:r w:rsidRPr="007C2763">
        <w:rPr>
          <w:rFonts w:ascii="Abadi" w:hAnsi="Abadi"/>
          <w:b w:val="0"/>
          <w:bCs w:val="0"/>
          <w:spacing w:val="37"/>
          <w:sz w:val="21"/>
          <w:szCs w:val="21"/>
        </w:rPr>
        <w:t xml:space="preserve"> </w:t>
      </w:r>
      <w:r w:rsidRPr="007C2763">
        <w:rPr>
          <w:rFonts w:ascii="Abadi" w:hAnsi="Abadi"/>
          <w:b w:val="0"/>
          <w:bCs w:val="0"/>
          <w:sz w:val="21"/>
          <w:szCs w:val="21"/>
        </w:rPr>
        <w:t>Libertad</w:t>
      </w:r>
      <w:r w:rsidRPr="007C2763">
        <w:rPr>
          <w:rFonts w:ascii="Abadi" w:hAnsi="Abadi"/>
          <w:b w:val="0"/>
          <w:bCs w:val="0"/>
          <w:spacing w:val="37"/>
          <w:sz w:val="21"/>
          <w:szCs w:val="21"/>
        </w:rPr>
        <w:t xml:space="preserve"> </w:t>
      </w:r>
      <w:r w:rsidRPr="007C2763">
        <w:rPr>
          <w:rFonts w:ascii="Abadi" w:hAnsi="Abadi"/>
          <w:b w:val="0"/>
          <w:bCs w:val="0"/>
          <w:sz w:val="21"/>
          <w:szCs w:val="21"/>
        </w:rPr>
        <w:t>de</w:t>
      </w:r>
      <w:r w:rsidRPr="007C2763">
        <w:rPr>
          <w:rFonts w:ascii="Abadi" w:hAnsi="Abadi"/>
          <w:b w:val="0"/>
          <w:bCs w:val="0"/>
          <w:spacing w:val="36"/>
          <w:sz w:val="21"/>
          <w:szCs w:val="21"/>
        </w:rPr>
        <w:t xml:space="preserve"> </w:t>
      </w:r>
      <w:r w:rsidRPr="007C2763">
        <w:rPr>
          <w:rFonts w:ascii="Abadi" w:hAnsi="Abadi"/>
          <w:b w:val="0"/>
          <w:bCs w:val="0"/>
          <w:sz w:val="21"/>
          <w:szCs w:val="21"/>
        </w:rPr>
        <w:t>la</w:t>
      </w:r>
      <w:r w:rsidRPr="007C2763">
        <w:rPr>
          <w:rFonts w:ascii="Abadi" w:hAnsi="Abadi"/>
          <w:b w:val="0"/>
          <w:bCs w:val="0"/>
          <w:spacing w:val="37"/>
          <w:sz w:val="21"/>
          <w:szCs w:val="21"/>
        </w:rPr>
        <w:t xml:space="preserve"> </w:t>
      </w:r>
      <w:r w:rsidRPr="007C2763">
        <w:rPr>
          <w:rFonts w:ascii="Abadi" w:hAnsi="Abadi"/>
          <w:b w:val="0"/>
          <w:bCs w:val="0"/>
          <w:sz w:val="21"/>
          <w:szCs w:val="21"/>
        </w:rPr>
        <w:t>Imprenta.</w:t>
      </w:r>
      <w:r w:rsidRPr="007C2763">
        <w:rPr>
          <w:rFonts w:ascii="Abadi" w:hAnsi="Abadi"/>
          <w:b w:val="0"/>
          <w:bCs w:val="0"/>
          <w:spacing w:val="37"/>
          <w:sz w:val="21"/>
          <w:szCs w:val="21"/>
        </w:rPr>
        <w:t xml:space="preserve"> </w:t>
      </w:r>
      <w:r w:rsidRPr="007C2763">
        <w:rPr>
          <w:rFonts w:ascii="Abadi" w:hAnsi="Abadi"/>
          <w:b w:val="0"/>
          <w:bCs w:val="0"/>
          <w:sz w:val="21"/>
          <w:szCs w:val="21"/>
        </w:rPr>
        <w:t>Profesó</w:t>
      </w:r>
      <w:r w:rsidRPr="007C2763">
        <w:rPr>
          <w:rFonts w:ascii="Abadi" w:hAnsi="Abadi"/>
          <w:b w:val="0"/>
          <w:bCs w:val="0"/>
          <w:spacing w:val="34"/>
          <w:sz w:val="21"/>
          <w:szCs w:val="21"/>
        </w:rPr>
        <w:t xml:space="preserve"> </w:t>
      </w:r>
      <w:r w:rsidRPr="007C2763">
        <w:rPr>
          <w:rFonts w:ascii="Abadi" w:hAnsi="Abadi"/>
          <w:b w:val="0"/>
          <w:bCs w:val="0"/>
          <w:sz w:val="21"/>
          <w:szCs w:val="21"/>
        </w:rPr>
        <w:t>el</w:t>
      </w:r>
      <w:r w:rsidRPr="007C2763">
        <w:rPr>
          <w:rFonts w:ascii="Abadi" w:hAnsi="Abadi"/>
          <w:b w:val="0"/>
          <w:bCs w:val="0"/>
          <w:spacing w:val="36"/>
          <w:sz w:val="21"/>
          <w:szCs w:val="21"/>
        </w:rPr>
        <w:t xml:space="preserve"> </w:t>
      </w:r>
      <w:r w:rsidRPr="007C2763">
        <w:rPr>
          <w:rFonts w:ascii="Abadi" w:hAnsi="Abadi"/>
          <w:b w:val="0"/>
          <w:bCs w:val="0"/>
          <w:sz w:val="21"/>
          <w:szCs w:val="21"/>
        </w:rPr>
        <w:t>Liberalismo</w:t>
      </w:r>
      <w:r w:rsidRPr="007C2763">
        <w:rPr>
          <w:rFonts w:ascii="Abadi" w:hAnsi="Abadi"/>
          <w:b w:val="0"/>
          <w:bCs w:val="0"/>
          <w:spacing w:val="37"/>
          <w:sz w:val="21"/>
          <w:szCs w:val="21"/>
        </w:rPr>
        <w:t xml:space="preserve"> </w:t>
      </w:r>
      <w:r w:rsidRPr="007C2763">
        <w:rPr>
          <w:rFonts w:ascii="Abadi" w:hAnsi="Abadi"/>
          <w:b w:val="0"/>
          <w:bCs w:val="0"/>
          <w:sz w:val="21"/>
          <w:szCs w:val="21"/>
        </w:rPr>
        <w:t>en</w:t>
      </w:r>
      <w:r w:rsidRPr="007C2763">
        <w:rPr>
          <w:rFonts w:ascii="Abadi" w:hAnsi="Abadi"/>
          <w:b w:val="0"/>
          <w:bCs w:val="0"/>
          <w:spacing w:val="36"/>
          <w:sz w:val="21"/>
          <w:szCs w:val="21"/>
        </w:rPr>
        <w:t xml:space="preserve"> </w:t>
      </w:r>
      <w:r w:rsidRPr="007C2763">
        <w:rPr>
          <w:rFonts w:ascii="Abadi" w:hAnsi="Abadi"/>
          <w:b w:val="0"/>
          <w:bCs w:val="0"/>
          <w:sz w:val="21"/>
          <w:szCs w:val="21"/>
        </w:rPr>
        <w:t>sus</w:t>
      </w:r>
      <w:r w:rsidRPr="007C2763">
        <w:rPr>
          <w:rFonts w:ascii="Abadi" w:hAnsi="Abadi"/>
          <w:b w:val="0"/>
          <w:bCs w:val="0"/>
          <w:spacing w:val="36"/>
          <w:sz w:val="21"/>
          <w:szCs w:val="21"/>
        </w:rPr>
        <w:t xml:space="preserve"> </w:t>
      </w:r>
      <w:r w:rsidRPr="007C2763">
        <w:rPr>
          <w:rFonts w:ascii="Abadi" w:hAnsi="Abadi"/>
          <w:b w:val="0"/>
          <w:bCs w:val="0"/>
          <w:sz w:val="21"/>
          <w:szCs w:val="21"/>
        </w:rPr>
        <w:t>obras</w:t>
      </w:r>
      <w:r w:rsidRPr="007C2763">
        <w:rPr>
          <w:rFonts w:ascii="Abadi" w:hAnsi="Abadi"/>
          <w:b w:val="0"/>
          <w:bCs w:val="0"/>
          <w:spacing w:val="36"/>
          <w:sz w:val="21"/>
          <w:szCs w:val="21"/>
        </w:rPr>
        <w:t xml:space="preserve"> </w:t>
      </w:r>
      <w:r w:rsidRPr="007C2763">
        <w:rPr>
          <w:rFonts w:ascii="Abadi" w:hAnsi="Abadi"/>
          <w:b w:val="0"/>
          <w:bCs w:val="0"/>
          <w:sz w:val="21"/>
          <w:szCs w:val="21"/>
        </w:rPr>
        <w:t>y discursos.</w:t>
      </w:r>
      <w:r w:rsidRPr="007C2763">
        <w:rPr>
          <w:rFonts w:ascii="Abadi" w:hAnsi="Abadi"/>
          <w:b w:val="0"/>
          <w:bCs w:val="0"/>
          <w:spacing w:val="17"/>
          <w:sz w:val="21"/>
          <w:szCs w:val="21"/>
        </w:rPr>
        <w:t xml:space="preserve"> </w:t>
      </w:r>
      <w:r w:rsidRPr="007C2763">
        <w:rPr>
          <w:rFonts w:ascii="Abadi" w:hAnsi="Abadi"/>
          <w:b w:val="0"/>
          <w:bCs w:val="0"/>
          <w:sz w:val="21"/>
          <w:szCs w:val="21"/>
        </w:rPr>
        <w:t>Murió</w:t>
      </w:r>
      <w:r w:rsidRPr="007C2763">
        <w:rPr>
          <w:rFonts w:ascii="Abadi" w:hAnsi="Abadi"/>
          <w:b w:val="0"/>
          <w:bCs w:val="0"/>
          <w:spacing w:val="15"/>
          <w:sz w:val="21"/>
          <w:szCs w:val="21"/>
        </w:rPr>
        <w:t xml:space="preserve"> </w:t>
      </w:r>
      <w:r w:rsidRPr="007C2763">
        <w:rPr>
          <w:rFonts w:ascii="Abadi" w:hAnsi="Abadi"/>
          <w:b w:val="0"/>
          <w:bCs w:val="0"/>
          <w:sz w:val="21"/>
          <w:szCs w:val="21"/>
        </w:rPr>
        <w:t>en</w:t>
      </w:r>
      <w:r w:rsidRPr="007C2763">
        <w:rPr>
          <w:rFonts w:ascii="Abadi" w:hAnsi="Abadi"/>
          <w:b w:val="0"/>
          <w:bCs w:val="0"/>
          <w:spacing w:val="15"/>
          <w:sz w:val="21"/>
          <w:szCs w:val="21"/>
        </w:rPr>
        <w:t xml:space="preserve"> </w:t>
      </w:r>
      <w:r w:rsidRPr="007C2763">
        <w:rPr>
          <w:rFonts w:ascii="Abadi" w:hAnsi="Abadi"/>
          <w:b w:val="0"/>
          <w:bCs w:val="0"/>
          <w:sz w:val="21"/>
          <w:szCs w:val="21"/>
        </w:rPr>
        <w:t>París</w:t>
      </w:r>
      <w:r w:rsidRPr="007C2763">
        <w:rPr>
          <w:rFonts w:ascii="Abadi" w:hAnsi="Abadi"/>
          <w:b w:val="0"/>
          <w:bCs w:val="0"/>
          <w:spacing w:val="17"/>
          <w:sz w:val="21"/>
          <w:szCs w:val="21"/>
        </w:rPr>
        <w:t xml:space="preserve"> </w:t>
      </w:r>
      <w:r w:rsidRPr="007C2763">
        <w:rPr>
          <w:rFonts w:ascii="Abadi" w:hAnsi="Abadi"/>
          <w:b w:val="0"/>
          <w:bCs w:val="0"/>
          <w:sz w:val="21"/>
          <w:szCs w:val="21"/>
        </w:rPr>
        <w:t>en</w:t>
      </w:r>
      <w:r w:rsidRPr="007C2763">
        <w:rPr>
          <w:rFonts w:ascii="Abadi" w:hAnsi="Abadi"/>
          <w:b w:val="0"/>
          <w:bCs w:val="0"/>
          <w:spacing w:val="15"/>
          <w:sz w:val="21"/>
          <w:szCs w:val="21"/>
        </w:rPr>
        <w:t xml:space="preserve"> </w:t>
      </w:r>
      <w:r w:rsidRPr="007C2763">
        <w:rPr>
          <w:rFonts w:ascii="Abadi" w:hAnsi="Abadi"/>
          <w:b w:val="0"/>
          <w:bCs w:val="0"/>
          <w:sz w:val="21"/>
          <w:szCs w:val="21"/>
        </w:rPr>
        <w:t>1850.</w:t>
      </w:r>
      <w:r w:rsidRPr="007C2763">
        <w:rPr>
          <w:rFonts w:ascii="Abadi" w:hAnsi="Abadi"/>
          <w:b w:val="0"/>
          <w:bCs w:val="0"/>
          <w:spacing w:val="15"/>
          <w:sz w:val="21"/>
          <w:szCs w:val="21"/>
        </w:rPr>
        <w:t xml:space="preserve"> </w:t>
      </w:r>
      <w:r w:rsidRPr="007C2763">
        <w:rPr>
          <w:rFonts w:ascii="Abadi" w:hAnsi="Abadi"/>
          <w:b w:val="0"/>
          <w:bCs w:val="0"/>
          <w:sz w:val="21"/>
          <w:szCs w:val="21"/>
        </w:rPr>
        <w:t>Sus</w:t>
      </w:r>
      <w:r w:rsidRPr="007C2763">
        <w:rPr>
          <w:rFonts w:ascii="Abadi" w:hAnsi="Abadi"/>
          <w:b w:val="0"/>
          <w:bCs w:val="0"/>
          <w:spacing w:val="14"/>
          <w:sz w:val="21"/>
          <w:szCs w:val="21"/>
        </w:rPr>
        <w:t xml:space="preserve"> </w:t>
      </w:r>
      <w:r w:rsidRPr="007C2763">
        <w:rPr>
          <w:rFonts w:ascii="Abadi" w:hAnsi="Abadi"/>
          <w:b w:val="0"/>
          <w:bCs w:val="0"/>
          <w:sz w:val="21"/>
          <w:szCs w:val="21"/>
        </w:rPr>
        <w:t>restos</w:t>
      </w:r>
      <w:r w:rsidRPr="007C2763">
        <w:rPr>
          <w:rFonts w:ascii="Abadi" w:hAnsi="Abadi"/>
          <w:b w:val="0"/>
          <w:bCs w:val="0"/>
          <w:spacing w:val="17"/>
          <w:sz w:val="21"/>
          <w:szCs w:val="21"/>
        </w:rPr>
        <w:t xml:space="preserve"> </w:t>
      </w:r>
      <w:r w:rsidRPr="007C2763">
        <w:rPr>
          <w:rFonts w:ascii="Abadi" w:hAnsi="Abadi"/>
          <w:b w:val="0"/>
          <w:bCs w:val="0"/>
          <w:sz w:val="21"/>
          <w:szCs w:val="21"/>
        </w:rPr>
        <w:t>fueron</w:t>
      </w:r>
      <w:r w:rsidRPr="007C2763">
        <w:rPr>
          <w:rFonts w:ascii="Abadi" w:hAnsi="Abadi"/>
          <w:b w:val="0"/>
          <w:bCs w:val="0"/>
          <w:spacing w:val="15"/>
          <w:sz w:val="21"/>
          <w:szCs w:val="21"/>
        </w:rPr>
        <w:t xml:space="preserve"> </w:t>
      </w:r>
      <w:r w:rsidRPr="007C2763">
        <w:rPr>
          <w:rFonts w:ascii="Abadi" w:hAnsi="Abadi"/>
          <w:b w:val="0"/>
          <w:bCs w:val="0"/>
          <w:sz w:val="21"/>
          <w:szCs w:val="21"/>
        </w:rPr>
        <w:t>trasladados</w:t>
      </w:r>
      <w:r w:rsidRPr="007C2763">
        <w:rPr>
          <w:rFonts w:ascii="Abadi" w:hAnsi="Abadi"/>
          <w:b w:val="0"/>
          <w:bCs w:val="0"/>
          <w:spacing w:val="12"/>
          <w:sz w:val="21"/>
          <w:szCs w:val="21"/>
        </w:rPr>
        <w:t xml:space="preserve"> </w:t>
      </w:r>
      <w:r w:rsidRPr="007C2763">
        <w:rPr>
          <w:rFonts w:ascii="Abadi" w:hAnsi="Abadi"/>
          <w:b w:val="0"/>
          <w:bCs w:val="0"/>
          <w:sz w:val="21"/>
          <w:szCs w:val="21"/>
        </w:rPr>
        <w:t>a</w:t>
      </w:r>
      <w:r w:rsidRPr="007C2763">
        <w:rPr>
          <w:rFonts w:ascii="Abadi" w:hAnsi="Abadi"/>
          <w:b w:val="0"/>
          <w:bCs w:val="0"/>
          <w:spacing w:val="18"/>
          <w:sz w:val="21"/>
          <w:szCs w:val="21"/>
        </w:rPr>
        <w:t xml:space="preserve"> </w:t>
      </w:r>
      <w:r w:rsidRPr="007C2763">
        <w:rPr>
          <w:rFonts w:ascii="Abadi" w:hAnsi="Abadi"/>
          <w:b w:val="0"/>
          <w:bCs w:val="0"/>
          <w:sz w:val="21"/>
          <w:szCs w:val="21"/>
        </w:rPr>
        <w:t>la</w:t>
      </w:r>
      <w:r w:rsidRPr="007C2763">
        <w:rPr>
          <w:rFonts w:ascii="Abadi" w:hAnsi="Abadi"/>
          <w:b w:val="0"/>
          <w:bCs w:val="0"/>
          <w:spacing w:val="15"/>
          <w:sz w:val="21"/>
          <w:szCs w:val="21"/>
        </w:rPr>
        <w:t xml:space="preserve"> </w:t>
      </w:r>
      <w:r w:rsidRPr="007C2763">
        <w:rPr>
          <w:rFonts w:ascii="Abadi" w:hAnsi="Abadi"/>
          <w:b w:val="0"/>
          <w:bCs w:val="0"/>
          <w:sz w:val="21"/>
          <w:szCs w:val="21"/>
        </w:rPr>
        <w:t>rotonda</w:t>
      </w:r>
      <w:r w:rsidRPr="007C2763">
        <w:rPr>
          <w:rFonts w:ascii="Abadi" w:hAnsi="Abadi"/>
          <w:b w:val="0"/>
          <w:bCs w:val="0"/>
          <w:spacing w:val="15"/>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los hombres ilustres que</w:t>
      </w:r>
      <w:r w:rsidRPr="007C2763">
        <w:rPr>
          <w:rFonts w:ascii="Abadi" w:hAnsi="Abadi"/>
          <w:b w:val="0"/>
          <w:bCs w:val="0"/>
          <w:spacing w:val="1"/>
          <w:sz w:val="21"/>
          <w:szCs w:val="21"/>
        </w:rPr>
        <w:t xml:space="preserve"> </w:t>
      </w:r>
      <w:r w:rsidRPr="007C2763">
        <w:rPr>
          <w:rFonts w:ascii="Abadi" w:hAnsi="Abadi"/>
          <w:b w:val="0"/>
          <w:bCs w:val="0"/>
          <w:sz w:val="21"/>
          <w:szCs w:val="21"/>
        </w:rPr>
        <w:t>forma</w:t>
      </w:r>
      <w:r w:rsidRPr="007C2763">
        <w:rPr>
          <w:rFonts w:ascii="Abadi" w:hAnsi="Abadi"/>
          <w:b w:val="0"/>
          <w:bCs w:val="0"/>
          <w:spacing w:val="1"/>
          <w:sz w:val="21"/>
          <w:szCs w:val="21"/>
        </w:rPr>
        <w:t xml:space="preserve"> </w:t>
      </w:r>
      <w:r w:rsidRPr="007C2763">
        <w:rPr>
          <w:rFonts w:ascii="Abadi" w:hAnsi="Abadi"/>
          <w:b w:val="0"/>
          <w:bCs w:val="0"/>
          <w:sz w:val="21"/>
          <w:szCs w:val="21"/>
        </w:rPr>
        <w:t>parte</w:t>
      </w:r>
      <w:r w:rsidRPr="007C2763">
        <w:rPr>
          <w:rFonts w:ascii="Abadi" w:hAnsi="Abadi"/>
          <w:b w:val="0"/>
          <w:bCs w:val="0"/>
          <w:spacing w:val="1"/>
          <w:sz w:val="21"/>
          <w:szCs w:val="21"/>
        </w:rPr>
        <w:t xml:space="preserve"> </w:t>
      </w:r>
      <w:r w:rsidRPr="007C2763">
        <w:rPr>
          <w:rFonts w:ascii="Abadi" w:hAnsi="Abadi"/>
          <w:b w:val="0"/>
          <w:bCs w:val="0"/>
          <w:sz w:val="21"/>
          <w:szCs w:val="21"/>
        </w:rPr>
        <w:t>del "Panteón</w:t>
      </w:r>
      <w:r w:rsidRPr="007C2763">
        <w:rPr>
          <w:rFonts w:ascii="Abadi" w:hAnsi="Abadi"/>
          <w:b w:val="0"/>
          <w:bCs w:val="0"/>
          <w:spacing w:val="1"/>
          <w:sz w:val="21"/>
          <w:szCs w:val="21"/>
        </w:rPr>
        <w:t xml:space="preserve"> </w:t>
      </w:r>
      <w:r w:rsidRPr="007C2763">
        <w:rPr>
          <w:rFonts w:ascii="Abadi" w:hAnsi="Abadi"/>
          <w:b w:val="0"/>
          <w:bCs w:val="0"/>
          <w:sz w:val="21"/>
          <w:szCs w:val="21"/>
        </w:rPr>
        <w:t>Civil de</w:t>
      </w:r>
      <w:r w:rsidRPr="007C2763">
        <w:rPr>
          <w:rFonts w:ascii="Abadi" w:hAnsi="Abadi"/>
          <w:b w:val="0"/>
          <w:bCs w:val="0"/>
          <w:spacing w:val="1"/>
          <w:sz w:val="21"/>
          <w:szCs w:val="21"/>
        </w:rPr>
        <w:t xml:space="preserve"> </w:t>
      </w:r>
      <w:r w:rsidRPr="007C2763">
        <w:rPr>
          <w:rFonts w:ascii="Abadi" w:hAnsi="Abadi"/>
          <w:b w:val="0"/>
          <w:bCs w:val="0"/>
          <w:sz w:val="21"/>
          <w:szCs w:val="21"/>
        </w:rPr>
        <w:t>Dolores</w:t>
      </w:r>
      <w:r w:rsidRPr="007C2763">
        <w:rPr>
          <w:rFonts w:ascii="Abadi" w:hAnsi="Abadi"/>
          <w:b w:val="0"/>
          <w:bCs w:val="0"/>
          <w:spacing w:val="-2"/>
          <w:sz w:val="21"/>
          <w:szCs w:val="21"/>
        </w:rPr>
        <w:t xml:space="preserve"> </w:t>
      </w:r>
      <w:r w:rsidRPr="007C2763">
        <w:rPr>
          <w:rFonts w:ascii="Abadi" w:hAnsi="Abadi"/>
          <w:b w:val="0"/>
          <w:bCs w:val="0"/>
          <w:sz w:val="21"/>
          <w:szCs w:val="21"/>
        </w:rPr>
        <w:t>Hidalgo".</w:t>
      </w:r>
    </w:p>
    <w:p w14:paraId="4C2588AD" w14:textId="77777777" w:rsidR="00374A1E" w:rsidRPr="007C2763" w:rsidRDefault="00374A1E" w:rsidP="00374A1E">
      <w:pPr>
        <w:pStyle w:val="Textoindependiente"/>
        <w:kinsoku w:val="0"/>
        <w:overflowPunct w:val="0"/>
        <w:rPr>
          <w:rFonts w:ascii="Abadi" w:hAnsi="Abadi"/>
          <w:b w:val="0"/>
          <w:bCs w:val="0"/>
          <w:sz w:val="21"/>
          <w:szCs w:val="21"/>
        </w:rPr>
      </w:pPr>
    </w:p>
    <w:p w14:paraId="56F93AE6" w14:textId="77777777" w:rsidR="00374A1E" w:rsidRPr="007C2763" w:rsidRDefault="00374A1E" w:rsidP="00374A1E">
      <w:pPr>
        <w:pStyle w:val="Textoindependiente"/>
        <w:kinsoku w:val="0"/>
        <w:overflowPunct w:val="0"/>
        <w:ind w:right="116" w:firstLine="708"/>
        <w:rPr>
          <w:rFonts w:ascii="Abadi" w:hAnsi="Abadi"/>
          <w:b w:val="0"/>
          <w:bCs w:val="0"/>
          <w:sz w:val="21"/>
          <w:szCs w:val="21"/>
        </w:rPr>
      </w:pPr>
      <w:r w:rsidRPr="007C2763">
        <w:rPr>
          <w:rFonts w:ascii="Abadi" w:hAnsi="Abadi"/>
          <w:b w:val="0"/>
          <w:bCs w:val="0"/>
          <w:sz w:val="21"/>
          <w:szCs w:val="21"/>
        </w:rPr>
        <w:t>No</w:t>
      </w:r>
      <w:r w:rsidRPr="007C2763">
        <w:rPr>
          <w:rFonts w:ascii="Abadi" w:hAnsi="Abadi"/>
          <w:b w:val="0"/>
          <w:bCs w:val="0"/>
          <w:spacing w:val="63"/>
          <w:sz w:val="21"/>
          <w:szCs w:val="21"/>
        </w:rPr>
        <w:t xml:space="preserve"> </w:t>
      </w:r>
      <w:r w:rsidRPr="007C2763">
        <w:rPr>
          <w:rFonts w:ascii="Abadi" w:hAnsi="Abadi"/>
          <w:b w:val="0"/>
          <w:bCs w:val="0"/>
          <w:sz w:val="21"/>
          <w:szCs w:val="21"/>
        </w:rPr>
        <w:t>se</w:t>
      </w:r>
      <w:r w:rsidRPr="007C2763">
        <w:rPr>
          <w:rFonts w:ascii="Abadi" w:hAnsi="Abadi"/>
          <w:b w:val="0"/>
          <w:bCs w:val="0"/>
          <w:spacing w:val="64"/>
          <w:sz w:val="21"/>
          <w:szCs w:val="21"/>
        </w:rPr>
        <w:t xml:space="preserve"> </w:t>
      </w:r>
      <w:r w:rsidRPr="007C2763">
        <w:rPr>
          <w:rFonts w:ascii="Abadi" w:hAnsi="Abadi"/>
          <w:b w:val="0"/>
          <w:bCs w:val="0"/>
          <w:sz w:val="21"/>
          <w:szCs w:val="21"/>
        </w:rPr>
        <w:t>sabe</w:t>
      </w:r>
      <w:r w:rsidRPr="007C2763">
        <w:rPr>
          <w:rFonts w:ascii="Abadi" w:hAnsi="Abadi"/>
          <w:b w:val="0"/>
          <w:bCs w:val="0"/>
          <w:spacing w:val="64"/>
          <w:sz w:val="21"/>
          <w:szCs w:val="21"/>
        </w:rPr>
        <w:t xml:space="preserve"> </w:t>
      </w:r>
      <w:r w:rsidRPr="007C2763">
        <w:rPr>
          <w:rFonts w:ascii="Abadi" w:hAnsi="Abadi"/>
          <w:b w:val="0"/>
          <w:bCs w:val="0"/>
          <w:sz w:val="21"/>
          <w:szCs w:val="21"/>
        </w:rPr>
        <w:t>concretamente</w:t>
      </w:r>
      <w:r w:rsidRPr="007C2763">
        <w:rPr>
          <w:rFonts w:ascii="Abadi" w:hAnsi="Abadi"/>
          <w:b w:val="0"/>
          <w:bCs w:val="0"/>
          <w:spacing w:val="60"/>
          <w:sz w:val="21"/>
          <w:szCs w:val="21"/>
        </w:rPr>
        <w:t xml:space="preserve"> </w:t>
      </w:r>
      <w:r w:rsidRPr="007C2763">
        <w:rPr>
          <w:rFonts w:ascii="Abadi" w:hAnsi="Abadi"/>
          <w:b w:val="0"/>
          <w:bCs w:val="0"/>
          <w:sz w:val="21"/>
          <w:szCs w:val="21"/>
        </w:rPr>
        <w:t>porque</w:t>
      </w:r>
      <w:r w:rsidRPr="007C2763">
        <w:rPr>
          <w:rFonts w:ascii="Abadi" w:hAnsi="Abadi"/>
          <w:b w:val="0"/>
          <w:bCs w:val="0"/>
          <w:spacing w:val="61"/>
          <w:sz w:val="21"/>
          <w:szCs w:val="21"/>
        </w:rPr>
        <w:t xml:space="preserve"> </w:t>
      </w:r>
      <w:r w:rsidRPr="007C2763">
        <w:rPr>
          <w:rFonts w:ascii="Abadi" w:hAnsi="Abadi"/>
          <w:b w:val="0"/>
          <w:bCs w:val="0"/>
          <w:sz w:val="21"/>
          <w:szCs w:val="21"/>
        </w:rPr>
        <w:t>el</w:t>
      </w:r>
      <w:r w:rsidRPr="007C2763">
        <w:rPr>
          <w:rFonts w:ascii="Abadi" w:hAnsi="Abadi"/>
          <w:b w:val="0"/>
          <w:bCs w:val="0"/>
          <w:spacing w:val="62"/>
          <w:sz w:val="21"/>
          <w:szCs w:val="21"/>
        </w:rPr>
        <w:t xml:space="preserve"> </w:t>
      </w:r>
      <w:r w:rsidRPr="007C2763">
        <w:rPr>
          <w:rFonts w:ascii="Abadi" w:hAnsi="Abadi"/>
          <w:b w:val="0"/>
          <w:bCs w:val="0"/>
          <w:sz w:val="21"/>
          <w:szCs w:val="21"/>
        </w:rPr>
        <w:t>nombre</w:t>
      </w:r>
      <w:r w:rsidRPr="007C2763">
        <w:rPr>
          <w:rFonts w:ascii="Abadi" w:hAnsi="Abadi"/>
          <w:b w:val="0"/>
          <w:bCs w:val="0"/>
          <w:spacing w:val="63"/>
          <w:sz w:val="21"/>
          <w:szCs w:val="21"/>
        </w:rPr>
        <w:t xml:space="preserve"> </w:t>
      </w:r>
      <w:r w:rsidRPr="007C2763">
        <w:rPr>
          <w:rFonts w:ascii="Abadi" w:hAnsi="Abadi"/>
          <w:b w:val="0"/>
          <w:bCs w:val="0"/>
          <w:sz w:val="21"/>
          <w:szCs w:val="21"/>
        </w:rPr>
        <w:t>de</w:t>
      </w:r>
      <w:r w:rsidRPr="007C2763">
        <w:rPr>
          <w:rFonts w:ascii="Abadi" w:hAnsi="Abadi"/>
          <w:b w:val="0"/>
          <w:bCs w:val="0"/>
          <w:spacing w:val="61"/>
          <w:sz w:val="21"/>
          <w:szCs w:val="21"/>
        </w:rPr>
        <w:t xml:space="preserve"> </w:t>
      </w:r>
      <w:r w:rsidRPr="007C2763">
        <w:rPr>
          <w:rFonts w:ascii="Abadi" w:hAnsi="Abadi"/>
          <w:b w:val="0"/>
          <w:bCs w:val="0"/>
          <w:sz w:val="21"/>
          <w:szCs w:val="21"/>
        </w:rPr>
        <w:t>Doctor</w:t>
      </w:r>
      <w:r w:rsidRPr="007C2763">
        <w:rPr>
          <w:rFonts w:ascii="Abadi" w:hAnsi="Abadi"/>
          <w:b w:val="0"/>
          <w:bCs w:val="0"/>
          <w:spacing w:val="62"/>
          <w:sz w:val="21"/>
          <w:szCs w:val="21"/>
        </w:rPr>
        <w:t xml:space="preserve"> </w:t>
      </w:r>
      <w:r w:rsidRPr="007C2763">
        <w:rPr>
          <w:rFonts w:ascii="Abadi" w:hAnsi="Abadi"/>
          <w:b w:val="0"/>
          <w:bCs w:val="0"/>
          <w:sz w:val="21"/>
          <w:szCs w:val="21"/>
        </w:rPr>
        <w:t>Mora,</w:t>
      </w:r>
      <w:r w:rsidRPr="007C2763">
        <w:rPr>
          <w:rFonts w:ascii="Abadi" w:hAnsi="Abadi"/>
          <w:b w:val="0"/>
          <w:bCs w:val="0"/>
          <w:spacing w:val="60"/>
          <w:sz w:val="21"/>
          <w:szCs w:val="21"/>
        </w:rPr>
        <w:t xml:space="preserve"> </w:t>
      </w:r>
      <w:r w:rsidRPr="007C2763">
        <w:rPr>
          <w:rFonts w:ascii="Abadi" w:hAnsi="Abadi"/>
          <w:b w:val="0"/>
          <w:bCs w:val="0"/>
          <w:sz w:val="21"/>
          <w:szCs w:val="21"/>
        </w:rPr>
        <w:t>pues</w:t>
      </w:r>
      <w:r w:rsidRPr="007C2763">
        <w:rPr>
          <w:rFonts w:ascii="Abadi" w:hAnsi="Abadi"/>
          <w:b w:val="0"/>
          <w:bCs w:val="0"/>
          <w:spacing w:val="60"/>
          <w:sz w:val="21"/>
          <w:szCs w:val="21"/>
        </w:rPr>
        <w:t xml:space="preserve"> </w:t>
      </w:r>
      <w:r w:rsidRPr="007C2763">
        <w:rPr>
          <w:rFonts w:ascii="Abadi" w:hAnsi="Abadi"/>
          <w:b w:val="0"/>
          <w:bCs w:val="0"/>
          <w:sz w:val="21"/>
          <w:szCs w:val="21"/>
        </w:rPr>
        <w:t>el Doctor</w:t>
      </w:r>
      <w:r w:rsidRPr="007C2763">
        <w:rPr>
          <w:rFonts w:ascii="Abadi" w:hAnsi="Abadi"/>
          <w:b w:val="0"/>
          <w:bCs w:val="0"/>
          <w:spacing w:val="26"/>
          <w:sz w:val="21"/>
          <w:szCs w:val="21"/>
        </w:rPr>
        <w:t xml:space="preserve"> </w:t>
      </w:r>
      <w:r w:rsidRPr="007C2763">
        <w:rPr>
          <w:rFonts w:ascii="Abadi" w:hAnsi="Abadi"/>
          <w:b w:val="0"/>
          <w:bCs w:val="0"/>
          <w:sz w:val="21"/>
          <w:szCs w:val="21"/>
        </w:rPr>
        <w:t>José</w:t>
      </w:r>
      <w:r w:rsidRPr="007C2763">
        <w:rPr>
          <w:rFonts w:ascii="Abadi" w:hAnsi="Abadi"/>
          <w:b w:val="0"/>
          <w:bCs w:val="0"/>
          <w:spacing w:val="27"/>
          <w:sz w:val="21"/>
          <w:szCs w:val="21"/>
        </w:rPr>
        <w:t xml:space="preserve"> </w:t>
      </w:r>
      <w:r w:rsidRPr="007C2763">
        <w:rPr>
          <w:rFonts w:ascii="Abadi" w:hAnsi="Abadi"/>
          <w:b w:val="0"/>
          <w:bCs w:val="0"/>
          <w:sz w:val="21"/>
          <w:szCs w:val="21"/>
        </w:rPr>
        <w:t>María</w:t>
      </w:r>
      <w:r w:rsidRPr="007C2763">
        <w:rPr>
          <w:rFonts w:ascii="Abadi" w:hAnsi="Abadi"/>
          <w:b w:val="0"/>
          <w:bCs w:val="0"/>
          <w:spacing w:val="25"/>
          <w:sz w:val="21"/>
          <w:szCs w:val="21"/>
        </w:rPr>
        <w:t xml:space="preserve"> </w:t>
      </w:r>
      <w:r w:rsidRPr="007C2763">
        <w:rPr>
          <w:rFonts w:ascii="Abadi" w:hAnsi="Abadi"/>
          <w:b w:val="0"/>
          <w:bCs w:val="0"/>
          <w:sz w:val="21"/>
          <w:szCs w:val="21"/>
        </w:rPr>
        <w:t>Luis</w:t>
      </w:r>
      <w:r w:rsidRPr="007C2763">
        <w:rPr>
          <w:rFonts w:ascii="Abadi" w:hAnsi="Abadi"/>
          <w:b w:val="0"/>
          <w:bCs w:val="0"/>
          <w:spacing w:val="26"/>
          <w:sz w:val="21"/>
          <w:szCs w:val="21"/>
        </w:rPr>
        <w:t xml:space="preserve"> </w:t>
      </w:r>
      <w:r w:rsidRPr="007C2763">
        <w:rPr>
          <w:rFonts w:ascii="Abadi" w:hAnsi="Abadi"/>
          <w:b w:val="0"/>
          <w:bCs w:val="0"/>
          <w:sz w:val="21"/>
          <w:szCs w:val="21"/>
        </w:rPr>
        <w:t>Mora</w:t>
      </w:r>
      <w:r w:rsidRPr="007C2763">
        <w:rPr>
          <w:rFonts w:ascii="Abadi" w:hAnsi="Abadi"/>
          <w:b w:val="0"/>
          <w:bCs w:val="0"/>
          <w:spacing w:val="27"/>
          <w:sz w:val="21"/>
          <w:szCs w:val="21"/>
        </w:rPr>
        <w:t xml:space="preserve"> </w:t>
      </w:r>
      <w:r w:rsidRPr="007C2763">
        <w:rPr>
          <w:rFonts w:ascii="Abadi" w:hAnsi="Abadi"/>
          <w:b w:val="0"/>
          <w:bCs w:val="0"/>
          <w:sz w:val="21"/>
          <w:szCs w:val="21"/>
        </w:rPr>
        <w:t>no</w:t>
      </w:r>
      <w:r w:rsidRPr="007C2763">
        <w:rPr>
          <w:rFonts w:ascii="Abadi" w:hAnsi="Abadi"/>
          <w:b w:val="0"/>
          <w:bCs w:val="0"/>
          <w:spacing w:val="27"/>
          <w:sz w:val="21"/>
          <w:szCs w:val="21"/>
        </w:rPr>
        <w:t xml:space="preserve"> </w:t>
      </w:r>
      <w:r w:rsidRPr="007C2763">
        <w:rPr>
          <w:rFonts w:ascii="Abadi" w:hAnsi="Abadi"/>
          <w:b w:val="0"/>
          <w:bCs w:val="0"/>
          <w:sz w:val="21"/>
          <w:szCs w:val="21"/>
        </w:rPr>
        <w:t>tuvo</w:t>
      </w:r>
      <w:r w:rsidRPr="007C2763">
        <w:rPr>
          <w:rFonts w:ascii="Abadi" w:hAnsi="Abadi"/>
          <w:b w:val="0"/>
          <w:bCs w:val="0"/>
          <w:spacing w:val="27"/>
          <w:sz w:val="21"/>
          <w:szCs w:val="21"/>
        </w:rPr>
        <w:t xml:space="preserve"> </w:t>
      </w:r>
      <w:r w:rsidRPr="007C2763">
        <w:rPr>
          <w:rFonts w:ascii="Abadi" w:hAnsi="Abadi"/>
          <w:b w:val="0"/>
          <w:bCs w:val="0"/>
          <w:sz w:val="21"/>
          <w:szCs w:val="21"/>
        </w:rPr>
        <w:t>relación</w:t>
      </w:r>
      <w:r w:rsidRPr="007C2763">
        <w:rPr>
          <w:rFonts w:ascii="Abadi" w:hAnsi="Abadi"/>
          <w:b w:val="0"/>
          <w:bCs w:val="0"/>
          <w:spacing w:val="27"/>
          <w:sz w:val="21"/>
          <w:szCs w:val="21"/>
        </w:rPr>
        <w:t xml:space="preserve"> </w:t>
      </w:r>
      <w:r w:rsidRPr="007C2763">
        <w:rPr>
          <w:rFonts w:ascii="Abadi" w:hAnsi="Abadi"/>
          <w:b w:val="0"/>
          <w:bCs w:val="0"/>
          <w:sz w:val="21"/>
          <w:szCs w:val="21"/>
        </w:rPr>
        <w:t>alguna</w:t>
      </w:r>
      <w:r w:rsidRPr="007C2763">
        <w:rPr>
          <w:rFonts w:ascii="Abadi" w:hAnsi="Abadi"/>
          <w:b w:val="0"/>
          <w:bCs w:val="0"/>
          <w:spacing w:val="27"/>
          <w:sz w:val="21"/>
          <w:szCs w:val="21"/>
        </w:rPr>
        <w:t xml:space="preserve"> </w:t>
      </w:r>
      <w:r w:rsidRPr="007C2763">
        <w:rPr>
          <w:rFonts w:ascii="Abadi" w:hAnsi="Abadi"/>
          <w:b w:val="0"/>
          <w:bCs w:val="0"/>
          <w:sz w:val="21"/>
          <w:szCs w:val="21"/>
        </w:rPr>
        <w:t>con</w:t>
      </w:r>
      <w:r w:rsidRPr="007C2763">
        <w:rPr>
          <w:rFonts w:ascii="Abadi" w:hAnsi="Abadi"/>
          <w:b w:val="0"/>
          <w:bCs w:val="0"/>
          <w:spacing w:val="27"/>
          <w:sz w:val="21"/>
          <w:szCs w:val="21"/>
        </w:rPr>
        <w:t xml:space="preserve"> </w:t>
      </w:r>
      <w:r w:rsidRPr="007C2763">
        <w:rPr>
          <w:rFonts w:ascii="Abadi" w:hAnsi="Abadi"/>
          <w:b w:val="0"/>
          <w:bCs w:val="0"/>
          <w:sz w:val="21"/>
          <w:szCs w:val="21"/>
        </w:rPr>
        <w:t>esta</w:t>
      </w:r>
      <w:r w:rsidRPr="007C2763">
        <w:rPr>
          <w:rFonts w:ascii="Abadi" w:hAnsi="Abadi"/>
          <w:b w:val="0"/>
          <w:bCs w:val="0"/>
          <w:spacing w:val="27"/>
          <w:sz w:val="21"/>
          <w:szCs w:val="21"/>
        </w:rPr>
        <w:t xml:space="preserve"> </w:t>
      </w:r>
      <w:r w:rsidRPr="007C2763">
        <w:rPr>
          <w:rFonts w:ascii="Abadi" w:hAnsi="Abadi"/>
          <w:b w:val="0"/>
          <w:bCs w:val="0"/>
          <w:sz w:val="21"/>
          <w:szCs w:val="21"/>
        </w:rPr>
        <w:t>población</w:t>
      </w:r>
      <w:r w:rsidRPr="007C2763">
        <w:rPr>
          <w:rFonts w:ascii="Abadi" w:hAnsi="Abadi"/>
          <w:b w:val="0"/>
          <w:bCs w:val="0"/>
          <w:spacing w:val="25"/>
          <w:sz w:val="21"/>
          <w:szCs w:val="21"/>
        </w:rPr>
        <w:t xml:space="preserve"> </w:t>
      </w:r>
      <w:r w:rsidRPr="007C2763">
        <w:rPr>
          <w:rFonts w:ascii="Abadi" w:hAnsi="Abadi"/>
          <w:b w:val="0"/>
          <w:bCs w:val="0"/>
          <w:sz w:val="21"/>
          <w:szCs w:val="21"/>
        </w:rPr>
        <w:t>que</w:t>
      </w:r>
      <w:r w:rsidRPr="007C2763">
        <w:rPr>
          <w:rFonts w:ascii="Abadi" w:hAnsi="Abadi"/>
          <w:b w:val="0"/>
          <w:bCs w:val="0"/>
          <w:spacing w:val="27"/>
          <w:sz w:val="21"/>
          <w:szCs w:val="21"/>
        </w:rPr>
        <w:t xml:space="preserve"> </w:t>
      </w:r>
      <w:r w:rsidRPr="007C2763">
        <w:rPr>
          <w:rFonts w:ascii="Abadi" w:hAnsi="Abadi"/>
          <w:b w:val="0"/>
          <w:bCs w:val="0"/>
          <w:sz w:val="21"/>
          <w:szCs w:val="21"/>
        </w:rPr>
        <w:t>se denominaba</w:t>
      </w:r>
      <w:r w:rsidRPr="007C2763">
        <w:rPr>
          <w:rFonts w:ascii="Abadi" w:hAnsi="Abadi"/>
          <w:b w:val="0"/>
          <w:bCs w:val="0"/>
          <w:spacing w:val="1"/>
          <w:sz w:val="21"/>
          <w:szCs w:val="21"/>
        </w:rPr>
        <w:t xml:space="preserve"> </w:t>
      </w:r>
      <w:r w:rsidRPr="007C2763">
        <w:rPr>
          <w:rFonts w:ascii="Abadi" w:hAnsi="Abadi"/>
          <w:b w:val="0"/>
          <w:bCs w:val="0"/>
          <w:sz w:val="21"/>
          <w:szCs w:val="21"/>
        </w:rPr>
        <w:t>desde</w:t>
      </w:r>
      <w:r w:rsidRPr="007C2763">
        <w:rPr>
          <w:rFonts w:ascii="Abadi" w:hAnsi="Abadi"/>
          <w:b w:val="0"/>
          <w:bCs w:val="0"/>
          <w:spacing w:val="1"/>
          <w:sz w:val="21"/>
          <w:szCs w:val="21"/>
        </w:rPr>
        <w:t xml:space="preserve"> </w:t>
      </w:r>
      <w:r w:rsidRPr="007C2763">
        <w:rPr>
          <w:rFonts w:ascii="Abadi" w:hAnsi="Abadi"/>
          <w:b w:val="0"/>
          <w:bCs w:val="0"/>
          <w:sz w:val="21"/>
          <w:szCs w:val="21"/>
        </w:rPr>
        <w:t>siempre</w:t>
      </w:r>
      <w:r w:rsidRPr="007C2763">
        <w:rPr>
          <w:rFonts w:ascii="Abadi" w:hAnsi="Abadi"/>
          <w:b w:val="0"/>
          <w:bCs w:val="0"/>
          <w:spacing w:val="1"/>
          <w:sz w:val="21"/>
          <w:szCs w:val="21"/>
        </w:rPr>
        <w:t xml:space="preserve"> </w:t>
      </w:r>
      <w:r w:rsidRPr="007C2763">
        <w:rPr>
          <w:rFonts w:ascii="Abadi" w:hAnsi="Abadi"/>
          <w:b w:val="0"/>
          <w:bCs w:val="0"/>
          <w:sz w:val="21"/>
          <w:szCs w:val="21"/>
        </w:rPr>
        <w:t>Charcas.</w:t>
      </w:r>
    </w:p>
    <w:p w14:paraId="32557288" w14:textId="77777777" w:rsidR="00374A1E" w:rsidRPr="007C2763" w:rsidRDefault="00374A1E" w:rsidP="00374A1E">
      <w:pPr>
        <w:pStyle w:val="Textoindependiente"/>
        <w:kinsoku w:val="0"/>
        <w:overflowPunct w:val="0"/>
        <w:rPr>
          <w:rFonts w:ascii="Abadi" w:hAnsi="Abadi"/>
          <w:b w:val="0"/>
          <w:bCs w:val="0"/>
          <w:sz w:val="21"/>
          <w:szCs w:val="21"/>
        </w:rPr>
      </w:pPr>
    </w:p>
    <w:p w14:paraId="1317913E" w14:textId="77777777" w:rsidR="00374A1E" w:rsidRPr="007C2763" w:rsidRDefault="00374A1E" w:rsidP="00374A1E">
      <w:pPr>
        <w:pStyle w:val="Textoindependiente"/>
        <w:kinsoku w:val="0"/>
        <w:overflowPunct w:val="0"/>
        <w:ind w:right="115" w:firstLine="708"/>
        <w:rPr>
          <w:rFonts w:ascii="Abadi" w:hAnsi="Abadi"/>
          <w:b w:val="0"/>
          <w:bCs w:val="0"/>
          <w:sz w:val="21"/>
          <w:szCs w:val="21"/>
        </w:rPr>
      </w:pPr>
      <w:r w:rsidRPr="007C2763">
        <w:rPr>
          <w:rFonts w:ascii="Abadi" w:hAnsi="Abadi"/>
          <w:b w:val="0"/>
          <w:bCs w:val="0"/>
          <w:sz w:val="21"/>
          <w:szCs w:val="21"/>
        </w:rPr>
        <w:t>Hace</w:t>
      </w:r>
      <w:r w:rsidRPr="007C2763">
        <w:rPr>
          <w:rFonts w:ascii="Abadi" w:hAnsi="Abadi"/>
          <w:b w:val="0"/>
          <w:bCs w:val="0"/>
          <w:spacing w:val="5"/>
          <w:sz w:val="21"/>
          <w:szCs w:val="21"/>
        </w:rPr>
        <w:t xml:space="preserve"> </w:t>
      </w:r>
      <w:r w:rsidRPr="007C2763">
        <w:rPr>
          <w:rFonts w:ascii="Abadi" w:hAnsi="Abadi"/>
          <w:b w:val="0"/>
          <w:bCs w:val="0"/>
          <w:sz w:val="21"/>
          <w:szCs w:val="21"/>
        </w:rPr>
        <w:t>unos</w:t>
      </w:r>
      <w:r w:rsidRPr="007C2763">
        <w:rPr>
          <w:rFonts w:ascii="Abadi" w:hAnsi="Abadi"/>
          <w:b w:val="0"/>
          <w:bCs w:val="0"/>
          <w:spacing w:val="3"/>
          <w:sz w:val="21"/>
          <w:szCs w:val="21"/>
        </w:rPr>
        <w:t xml:space="preserve"> </w:t>
      </w:r>
      <w:r w:rsidRPr="007C2763">
        <w:rPr>
          <w:rFonts w:ascii="Abadi" w:hAnsi="Abadi"/>
          <w:b w:val="0"/>
          <w:bCs w:val="0"/>
          <w:sz w:val="21"/>
          <w:szCs w:val="21"/>
        </w:rPr>
        <w:t>días,</w:t>
      </w:r>
      <w:r w:rsidRPr="007C2763">
        <w:rPr>
          <w:rFonts w:ascii="Abadi" w:hAnsi="Abadi"/>
          <w:b w:val="0"/>
          <w:bCs w:val="0"/>
          <w:spacing w:val="3"/>
          <w:sz w:val="21"/>
          <w:szCs w:val="21"/>
        </w:rPr>
        <w:t xml:space="preserve"> </w:t>
      </w:r>
      <w:r w:rsidRPr="007C2763">
        <w:rPr>
          <w:rFonts w:ascii="Abadi" w:hAnsi="Abadi"/>
          <w:b w:val="0"/>
          <w:bCs w:val="0"/>
          <w:sz w:val="21"/>
          <w:szCs w:val="21"/>
        </w:rPr>
        <w:t>el</w:t>
      </w:r>
      <w:r w:rsidRPr="007C2763">
        <w:rPr>
          <w:rFonts w:ascii="Abadi" w:hAnsi="Abadi"/>
          <w:b w:val="0"/>
          <w:bCs w:val="0"/>
          <w:spacing w:val="66"/>
          <w:sz w:val="21"/>
          <w:szCs w:val="21"/>
        </w:rPr>
        <w:t xml:space="preserve"> </w:t>
      </w:r>
      <w:r w:rsidRPr="007C2763">
        <w:rPr>
          <w:rFonts w:ascii="Abadi" w:hAnsi="Abadi"/>
          <w:b w:val="0"/>
          <w:bCs w:val="0"/>
          <w:sz w:val="21"/>
          <w:szCs w:val="21"/>
        </w:rPr>
        <w:t>pasado</w:t>
      </w:r>
      <w:r w:rsidRPr="007C2763">
        <w:rPr>
          <w:rFonts w:ascii="Abadi" w:hAnsi="Abadi"/>
          <w:b w:val="0"/>
          <w:bCs w:val="0"/>
          <w:spacing w:val="4"/>
          <w:sz w:val="21"/>
          <w:szCs w:val="21"/>
        </w:rPr>
        <w:t xml:space="preserve"> </w:t>
      </w:r>
      <w:r w:rsidRPr="007C2763">
        <w:rPr>
          <w:rFonts w:ascii="Abadi" w:hAnsi="Abadi"/>
          <w:b w:val="0"/>
          <w:bCs w:val="0"/>
          <w:sz w:val="21"/>
          <w:szCs w:val="21"/>
        </w:rPr>
        <w:t>7</w:t>
      </w:r>
      <w:r w:rsidRPr="007C2763">
        <w:rPr>
          <w:rFonts w:ascii="Abadi" w:hAnsi="Abadi"/>
          <w:b w:val="0"/>
          <w:bCs w:val="0"/>
          <w:spacing w:val="4"/>
          <w:sz w:val="21"/>
          <w:szCs w:val="21"/>
        </w:rPr>
        <w:t xml:space="preserve"> </w:t>
      </w:r>
      <w:r w:rsidRPr="007C2763">
        <w:rPr>
          <w:rFonts w:ascii="Abadi" w:hAnsi="Abadi"/>
          <w:b w:val="0"/>
          <w:bCs w:val="0"/>
          <w:sz w:val="21"/>
          <w:szCs w:val="21"/>
        </w:rPr>
        <w:t>de</w:t>
      </w:r>
      <w:r w:rsidRPr="007C2763">
        <w:rPr>
          <w:rFonts w:ascii="Abadi" w:hAnsi="Abadi"/>
          <w:b w:val="0"/>
          <w:bCs w:val="0"/>
          <w:spacing w:val="4"/>
          <w:sz w:val="21"/>
          <w:szCs w:val="21"/>
        </w:rPr>
        <w:t xml:space="preserve"> </w:t>
      </w:r>
      <w:r w:rsidRPr="007C2763">
        <w:rPr>
          <w:rFonts w:ascii="Abadi" w:hAnsi="Abadi"/>
          <w:b w:val="0"/>
          <w:bCs w:val="0"/>
          <w:sz w:val="21"/>
          <w:szCs w:val="21"/>
        </w:rPr>
        <w:t>agosto,</w:t>
      </w:r>
      <w:r w:rsidRPr="007C2763">
        <w:rPr>
          <w:rFonts w:ascii="Abadi" w:hAnsi="Abadi"/>
          <w:b w:val="0"/>
          <w:bCs w:val="0"/>
          <w:spacing w:val="1"/>
          <w:sz w:val="21"/>
          <w:szCs w:val="21"/>
        </w:rPr>
        <w:t xml:space="preserve"> </w:t>
      </w:r>
      <w:r w:rsidRPr="007C2763">
        <w:rPr>
          <w:rFonts w:ascii="Abadi" w:hAnsi="Abadi"/>
          <w:b w:val="0"/>
          <w:bCs w:val="0"/>
          <w:sz w:val="21"/>
          <w:szCs w:val="21"/>
        </w:rPr>
        <w:t>el</w:t>
      </w:r>
      <w:r w:rsidRPr="007C2763">
        <w:rPr>
          <w:rFonts w:ascii="Abadi" w:hAnsi="Abadi"/>
          <w:b w:val="0"/>
          <w:bCs w:val="0"/>
          <w:spacing w:val="2"/>
          <w:sz w:val="21"/>
          <w:szCs w:val="21"/>
        </w:rPr>
        <w:t xml:space="preserve"> </w:t>
      </w:r>
      <w:r w:rsidRPr="007C2763">
        <w:rPr>
          <w:rFonts w:ascii="Abadi" w:hAnsi="Abadi"/>
          <w:b w:val="0"/>
          <w:bCs w:val="0"/>
          <w:sz w:val="21"/>
          <w:szCs w:val="21"/>
        </w:rPr>
        <w:t>Municipio</w:t>
      </w:r>
      <w:r w:rsidRPr="007C2763">
        <w:rPr>
          <w:rFonts w:ascii="Abadi" w:hAnsi="Abadi"/>
          <w:b w:val="0"/>
          <w:bCs w:val="0"/>
          <w:spacing w:val="4"/>
          <w:sz w:val="21"/>
          <w:szCs w:val="21"/>
        </w:rPr>
        <w:t xml:space="preserve"> </w:t>
      </w:r>
      <w:r w:rsidRPr="007C2763">
        <w:rPr>
          <w:rFonts w:ascii="Abadi" w:hAnsi="Abadi"/>
          <w:b w:val="0"/>
          <w:bCs w:val="0"/>
          <w:sz w:val="21"/>
          <w:szCs w:val="21"/>
        </w:rPr>
        <w:t>de</w:t>
      </w:r>
      <w:r w:rsidRPr="007C2763">
        <w:rPr>
          <w:rFonts w:ascii="Abadi" w:hAnsi="Abadi"/>
          <w:b w:val="0"/>
          <w:bCs w:val="0"/>
          <w:spacing w:val="4"/>
          <w:sz w:val="21"/>
          <w:szCs w:val="21"/>
        </w:rPr>
        <w:t xml:space="preserve"> </w:t>
      </w:r>
      <w:r w:rsidRPr="007C2763">
        <w:rPr>
          <w:rFonts w:ascii="Abadi" w:hAnsi="Abadi"/>
          <w:b w:val="0"/>
          <w:bCs w:val="0"/>
          <w:sz w:val="21"/>
          <w:szCs w:val="21"/>
        </w:rPr>
        <w:t>Doctor</w:t>
      </w:r>
      <w:r w:rsidRPr="007C2763">
        <w:rPr>
          <w:rFonts w:ascii="Abadi" w:hAnsi="Abadi"/>
          <w:b w:val="0"/>
          <w:bCs w:val="0"/>
          <w:spacing w:val="2"/>
          <w:sz w:val="21"/>
          <w:szCs w:val="21"/>
        </w:rPr>
        <w:t xml:space="preserve"> </w:t>
      </w:r>
      <w:r w:rsidRPr="007C2763">
        <w:rPr>
          <w:rFonts w:ascii="Abadi" w:hAnsi="Abadi"/>
          <w:b w:val="0"/>
          <w:bCs w:val="0"/>
          <w:sz w:val="21"/>
          <w:szCs w:val="21"/>
        </w:rPr>
        <w:t>Mora celebró</w:t>
      </w:r>
      <w:r w:rsidRPr="007C2763">
        <w:rPr>
          <w:rFonts w:ascii="Abadi" w:hAnsi="Abadi"/>
          <w:b w:val="0"/>
          <w:bCs w:val="0"/>
          <w:spacing w:val="32"/>
          <w:sz w:val="21"/>
          <w:szCs w:val="21"/>
        </w:rPr>
        <w:t xml:space="preserve"> </w:t>
      </w:r>
      <w:r w:rsidRPr="007C2763">
        <w:rPr>
          <w:rFonts w:ascii="Abadi" w:hAnsi="Abadi"/>
          <w:b w:val="0"/>
          <w:bCs w:val="0"/>
          <w:sz w:val="21"/>
          <w:szCs w:val="21"/>
        </w:rPr>
        <w:t>70</w:t>
      </w:r>
      <w:r w:rsidRPr="007C2763">
        <w:rPr>
          <w:rFonts w:ascii="Abadi" w:hAnsi="Abadi"/>
          <w:b w:val="0"/>
          <w:bCs w:val="0"/>
          <w:spacing w:val="32"/>
          <w:sz w:val="21"/>
          <w:szCs w:val="21"/>
        </w:rPr>
        <w:t xml:space="preserve"> </w:t>
      </w:r>
      <w:r w:rsidRPr="007C2763">
        <w:rPr>
          <w:rFonts w:ascii="Abadi" w:hAnsi="Abadi"/>
          <w:b w:val="0"/>
          <w:bCs w:val="0"/>
          <w:sz w:val="21"/>
          <w:szCs w:val="21"/>
        </w:rPr>
        <w:t>años</w:t>
      </w:r>
      <w:r w:rsidRPr="007C2763">
        <w:rPr>
          <w:rFonts w:ascii="Abadi" w:hAnsi="Abadi"/>
          <w:b w:val="0"/>
          <w:bCs w:val="0"/>
          <w:spacing w:val="31"/>
          <w:sz w:val="21"/>
          <w:szCs w:val="21"/>
        </w:rPr>
        <w:t xml:space="preserve"> </w:t>
      </w:r>
      <w:r w:rsidRPr="007C2763">
        <w:rPr>
          <w:rFonts w:ascii="Abadi" w:hAnsi="Abadi"/>
          <w:b w:val="0"/>
          <w:bCs w:val="0"/>
          <w:sz w:val="21"/>
          <w:szCs w:val="21"/>
        </w:rPr>
        <w:t>de</w:t>
      </w:r>
      <w:r w:rsidRPr="007C2763">
        <w:rPr>
          <w:rFonts w:ascii="Abadi" w:hAnsi="Abadi"/>
          <w:b w:val="0"/>
          <w:bCs w:val="0"/>
          <w:spacing w:val="32"/>
          <w:sz w:val="21"/>
          <w:szCs w:val="21"/>
        </w:rPr>
        <w:t xml:space="preserve"> </w:t>
      </w:r>
      <w:r w:rsidRPr="007C2763">
        <w:rPr>
          <w:rFonts w:ascii="Abadi" w:hAnsi="Abadi"/>
          <w:b w:val="0"/>
          <w:bCs w:val="0"/>
          <w:sz w:val="21"/>
          <w:szCs w:val="21"/>
        </w:rPr>
        <w:t>vida.</w:t>
      </w:r>
      <w:r w:rsidRPr="007C2763">
        <w:rPr>
          <w:rFonts w:ascii="Abadi" w:hAnsi="Abadi"/>
          <w:b w:val="0"/>
          <w:bCs w:val="0"/>
          <w:spacing w:val="32"/>
          <w:sz w:val="21"/>
          <w:szCs w:val="21"/>
        </w:rPr>
        <w:t xml:space="preserve"> </w:t>
      </w:r>
      <w:r w:rsidRPr="007C2763">
        <w:rPr>
          <w:rFonts w:ascii="Abadi" w:hAnsi="Abadi"/>
          <w:b w:val="0"/>
          <w:bCs w:val="0"/>
          <w:sz w:val="21"/>
          <w:szCs w:val="21"/>
        </w:rPr>
        <w:t>70</w:t>
      </w:r>
      <w:r w:rsidRPr="007C2763">
        <w:rPr>
          <w:rFonts w:ascii="Abadi" w:hAnsi="Abadi"/>
          <w:b w:val="0"/>
          <w:bCs w:val="0"/>
          <w:spacing w:val="32"/>
          <w:sz w:val="21"/>
          <w:szCs w:val="21"/>
        </w:rPr>
        <w:t xml:space="preserve"> </w:t>
      </w:r>
      <w:r w:rsidRPr="007C2763">
        <w:rPr>
          <w:rFonts w:ascii="Abadi" w:hAnsi="Abadi"/>
          <w:b w:val="0"/>
          <w:bCs w:val="0"/>
          <w:sz w:val="21"/>
          <w:szCs w:val="21"/>
        </w:rPr>
        <w:t>años</w:t>
      </w:r>
      <w:r w:rsidRPr="007C2763">
        <w:rPr>
          <w:rFonts w:ascii="Abadi" w:hAnsi="Abadi"/>
          <w:b w:val="0"/>
          <w:bCs w:val="0"/>
          <w:spacing w:val="31"/>
          <w:sz w:val="21"/>
          <w:szCs w:val="21"/>
        </w:rPr>
        <w:t xml:space="preserve"> </w:t>
      </w:r>
      <w:r w:rsidRPr="007C2763">
        <w:rPr>
          <w:rFonts w:ascii="Abadi" w:hAnsi="Abadi"/>
          <w:b w:val="0"/>
          <w:bCs w:val="0"/>
          <w:sz w:val="21"/>
          <w:szCs w:val="21"/>
        </w:rPr>
        <w:t>en</w:t>
      </w:r>
      <w:r w:rsidRPr="007C2763">
        <w:rPr>
          <w:rFonts w:ascii="Abadi" w:hAnsi="Abadi"/>
          <w:b w:val="0"/>
          <w:bCs w:val="0"/>
          <w:spacing w:val="32"/>
          <w:sz w:val="21"/>
          <w:szCs w:val="21"/>
        </w:rPr>
        <w:t xml:space="preserve"> </w:t>
      </w:r>
      <w:r w:rsidRPr="007C2763">
        <w:rPr>
          <w:rFonts w:ascii="Abadi" w:hAnsi="Abadi"/>
          <w:b w:val="0"/>
          <w:bCs w:val="0"/>
          <w:sz w:val="21"/>
          <w:szCs w:val="21"/>
        </w:rPr>
        <w:t>los</w:t>
      </w:r>
      <w:r w:rsidRPr="007C2763">
        <w:rPr>
          <w:rFonts w:ascii="Abadi" w:hAnsi="Abadi"/>
          <w:b w:val="0"/>
          <w:bCs w:val="0"/>
          <w:spacing w:val="31"/>
          <w:sz w:val="21"/>
          <w:szCs w:val="21"/>
        </w:rPr>
        <w:t xml:space="preserve"> </w:t>
      </w:r>
      <w:r w:rsidRPr="007C2763">
        <w:rPr>
          <w:rFonts w:ascii="Abadi" w:hAnsi="Abadi"/>
          <w:b w:val="0"/>
          <w:bCs w:val="0"/>
          <w:sz w:val="21"/>
          <w:szCs w:val="21"/>
        </w:rPr>
        <w:t>que,</w:t>
      </w:r>
      <w:r w:rsidRPr="007C2763">
        <w:rPr>
          <w:rFonts w:ascii="Abadi" w:hAnsi="Abadi"/>
          <w:b w:val="0"/>
          <w:bCs w:val="0"/>
          <w:spacing w:val="32"/>
          <w:sz w:val="21"/>
          <w:szCs w:val="21"/>
        </w:rPr>
        <w:t xml:space="preserve"> </w:t>
      </w:r>
      <w:r w:rsidRPr="007C2763">
        <w:rPr>
          <w:rFonts w:ascii="Abadi" w:hAnsi="Abadi"/>
          <w:b w:val="0"/>
          <w:bCs w:val="0"/>
          <w:sz w:val="21"/>
          <w:szCs w:val="21"/>
        </w:rPr>
        <w:t>los</w:t>
      </w:r>
      <w:r w:rsidRPr="007C2763">
        <w:rPr>
          <w:rFonts w:ascii="Abadi" w:hAnsi="Abadi"/>
          <w:b w:val="0"/>
          <w:bCs w:val="0"/>
          <w:spacing w:val="31"/>
          <w:sz w:val="21"/>
          <w:szCs w:val="21"/>
        </w:rPr>
        <w:t xml:space="preserve"> </w:t>
      </w:r>
      <w:r w:rsidRPr="007C2763">
        <w:rPr>
          <w:rFonts w:ascii="Abadi" w:hAnsi="Abadi"/>
          <w:b w:val="0"/>
          <w:bCs w:val="0"/>
          <w:sz w:val="21"/>
          <w:szCs w:val="21"/>
        </w:rPr>
        <w:t>pobladores</w:t>
      </w:r>
      <w:r w:rsidRPr="007C2763">
        <w:rPr>
          <w:rFonts w:ascii="Abadi" w:hAnsi="Abadi"/>
          <w:b w:val="0"/>
          <w:bCs w:val="0"/>
          <w:spacing w:val="31"/>
          <w:sz w:val="21"/>
          <w:szCs w:val="21"/>
        </w:rPr>
        <w:t xml:space="preserve"> </w:t>
      </w:r>
      <w:r w:rsidRPr="007C2763">
        <w:rPr>
          <w:rFonts w:ascii="Abadi" w:hAnsi="Abadi"/>
          <w:b w:val="0"/>
          <w:bCs w:val="0"/>
          <w:sz w:val="21"/>
          <w:szCs w:val="21"/>
        </w:rPr>
        <w:t>del</w:t>
      </w:r>
      <w:r w:rsidRPr="007C2763">
        <w:rPr>
          <w:rFonts w:ascii="Abadi" w:hAnsi="Abadi"/>
          <w:b w:val="0"/>
          <w:bCs w:val="0"/>
          <w:spacing w:val="28"/>
          <w:sz w:val="21"/>
          <w:szCs w:val="21"/>
        </w:rPr>
        <w:t xml:space="preserve"> </w:t>
      </w:r>
      <w:r w:rsidRPr="007C2763">
        <w:rPr>
          <w:rFonts w:ascii="Abadi" w:hAnsi="Abadi"/>
          <w:b w:val="0"/>
          <w:bCs w:val="0"/>
          <w:sz w:val="21"/>
          <w:szCs w:val="21"/>
        </w:rPr>
        <w:t>municipio</w:t>
      </w:r>
      <w:r w:rsidRPr="007C2763">
        <w:rPr>
          <w:rFonts w:ascii="Abadi" w:hAnsi="Abadi"/>
          <w:b w:val="0"/>
          <w:bCs w:val="0"/>
          <w:spacing w:val="32"/>
          <w:sz w:val="21"/>
          <w:szCs w:val="21"/>
        </w:rPr>
        <w:t xml:space="preserve"> </w:t>
      </w:r>
      <w:r w:rsidRPr="007C2763">
        <w:rPr>
          <w:rFonts w:ascii="Abadi" w:hAnsi="Abadi"/>
          <w:b w:val="0"/>
          <w:bCs w:val="0"/>
          <w:sz w:val="21"/>
          <w:szCs w:val="21"/>
        </w:rPr>
        <w:t>más joven</w:t>
      </w:r>
      <w:r w:rsidRPr="007C2763">
        <w:rPr>
          <w:rFonts w:ascii="Abadi" w:hAnsi="Abadi"/>
          <w:b w:val="0"/>
          <w:bCs w:val="0"/>
          <w:spacing w:val="8"/>
          <w:sz w:val="21"/>
          <w:szCs w:val="21"/>
        </w:rPr>
        <w:t xml:space="preserve"> </w:t>
      </w:r>
      <w:r w:rsidRPr="007C2763">
        <w:rPr>
          <w:rFonts w:ascii="Abadi" w:hAnsi="Abadi"/>
          <w:b w:val="0"/>
          <w:bCs w:val="0"/>
          <w:sz w:val="21"/>
          <w:szCs w:val="21"/>
        </w:rPr>
        <w:t>del</w:t>
      </w:r>
      <w:r w:rsidRPr="007C2763">
        <w:rPr>
          <w:rFonts w:ascii="Abadi" w:hAnsi="Abadi"/>
          <w:b w:val="0"/>
          <w:bCs w:val="0"/>
          <w:spacing w:val="7"/>
          <w:sz w:val="21"/>
          <w:szCs w:val="21"/>
        </w:rPr>
        <w:t xml:space="preserve"> </w:t>
      </w:r>
      <w:r w:rsidRPr="007C2763">
        <w:rPr>
          <w:rFonts w:ascii="Abadi" w:hAnsi="Abadi"/>
          <w:b w:val="0"/>
          <w:bCs w:val="0"/>
          <w:sz w:val="21"/>
          <w:szCs w:val="21"/>
        </w:rPr>
        <w:t>Estado</w:t>
      </w:r>
      <w:r w:rsidRPr="007C2763">
        <w:rPr>
          <w:rFonts w:ascii="Abadi" w:hAnsi="Abadi"/>
          <w:b w:val="0"/>
          <w:bCs w:val="0"/>
          <w:spacing w:val="8"/>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proofErr w:type="gramStart"/>
      <w:r w:rsidRPr="007C2763">
        <w:rPr>
          <w:rFonts w:ascii="Abadi" w:hAnsi="Abadi"/>
          <w:b w:val="0"/>
          <w:bCs w:val="0"/>
          <w:sz w:val="21"/>
          <w:szCs w:val="21"/>
        </w:rPr>
        <w:t>Guanajuato,</w:t>
      </w:r>
      <w:proofErr w:type="gramEnd"/>
      <w:r w:rsidRPr="007C2763">
        <w:rPr>
          <w:rFonts w:ascii="Abadi" w:hAnsi="Abadi"/>
          <w:b w:val="0"/>
          <w:bCs w:val="0"/>
          <w:spacing w:val="8"/>
          <w:sz w:val="21"/>
          <w:szCs w:val="21"/>
        </w:rPr>
        <w:t xml:space="preserve"> </w:t>
      </w:r>
      <w:r w:rsidRPr="007C2763">
        <w:rPr>
          <w:rFonts w:ascii="Abadi" w:hAnsi="Abadi"/>
          <w:b w:val="0"/>
          <w:bCs w:val="0"/>
          <w:sz w:val="21"/>
          <w:szCs w:val="21"/>
        </w:rPr>
        <w:t>han</w:t>
      </w:r>
      <w:r w:rsidRPr="007C2763">
        <w:rPr>
          <w:rFonts w:ascii="Abadi" w:hAnsi="Abadi"/>
          <w:b w:val="0"/>
          <w:bCs w:val="0"/>
          <w:spacing w:val="8"/>
          <w:sz w:val="21"/>
          <w:szCs w:val="21"/>
        </w:rPr>
        <w:t xml:space="preserve"> </w:t>
      </w:r>
      <w:r w:rsidRPr="007C2763">
        <w:rPr>
          <w:rFonts w:ascii="Abadi" w:hAnsi="Abadi"/>
          <w:b w:val="0"/>
          <w:bCs w:val="0"/>
          <w:sz w:val="21"/>
          <w:szCs w:val="21"/>
        </w:rPr>
        <w:t>conservado</w:t>
      </w:r>
      <w:r w:rsidRPr="007C2763">
        <w:rPr>
          <w:rFonts w:ascii="Abadi" w:hAnsi="Abadi"/>
          <w:b w:val="0"/>
          <w:bCs w:val="0"/>
          <w:spacing w:val="8"/>
          <w:sz w:val="21"/>
          <w:szCs w:val="21"/>
        </w:rPr>
        <w:t xml:space="preserve"> </w:t>
      </w:r>
      <w:r w:rsidRPr="007C2763">
        <w:rPr>
          <w:rFonts w:ascii="Abadi" w:hAnsi="Abadi"/>
          <w:b w:val="0"/>
          <w:bCs w:val="0"/>
          <w:sz w:val="21"/>
          <w:szCs w:val="21"/>
        </w:rPr>
        <w:t>sus</w:t>
      </w:r>
      <w:r w:rsidRPr="007C2763">
        <w:rPr>
          <w:rFonts w:ascii="Abadi" w:hAnsi="Abadi"/>
          <w:b w:val="0"/>
          <w:bCs w:val="0"/>
          <w:spacing w:val="7"/>
          <w:sz w:val="21"/>
          <w:szCs w:val="21"/>
        </w:rPr>
        <w:t xml:space="preserve"> </w:t>
      </w:r>
      <w:r w:rsidRPr="007C2763">
        <w:rPr>
          <w:rFonts w:ascii="Abadi" w:hAnsi="Abadi"/>
          <w:b w:val="0"/>
          <w:bCs w:val="0"/>
          <w:sz w:val="21"/>
          <w:szCs w:val="21"/>
        </w:rPr>
        <w:t>costumbres</w:t>
      </w:r>
      <w:r w:rsidRPr="007C2763">
        <w:rPr>
          <w:rFonts w:ascii="Abadi" w:hAnsi="Abadi"/>
          <w:b w:val="0"/>
          <w:bCs w:val="0"/>
          <w:spacing w:val="5"/>
          <w:sz w:val="21"/>
          <w:szCs w:val="21"/>
        </w:rPr>
        <w:t xml:space="preserve"> </w:t>
      </w:r>
      <w:r w:rsidRPr="007C2763">
        <w:rPr>
          <w:rFonts w:ascii="Abadi" w:hAnsi="Abadi"/>
          <w:b w:val="0"/>
          <w:bCs w:val="0"/>
          <w:sz w:val="21"/>
          <w:szCs w:val="21"/>
        </w:rPr>
        <w:t>que</w:t>
      </w:r>
      <w:r w:rsidRPr="007C2763">
        <w:rPr>
          <w:rFonts w:ascii="Abadi" w:hAnsi="Abadi"/>
          <w:b w:val="0"/>
          <w:bCs w:val="0"/>
          <w:spacing w:val="8"/>
          <w:sz w:val="21"/>
          <w:szCs w:val="21"/>
        </w:rPr>
        <w:t xml:space="preserve"> </w:t>
      </w:r>
      <w:r w:rsidRPr="007C2763">
        <w:rPr>
          <w:rFonts w:ascii="Abadi" w:hAnsi="Abadi"/>
          <w:b w:val="0"/>
          <w:bCs w:val="0"/>
          <w:sz w:val="21"/>
          <w:szCs w:val="21"/>
        </w:rPr>
        <w:t>les</w:t>
      </w:r>
      <w:r w:rsidRPr="007C2763">
        <w:rPr>
          <w:rFonts w:ascii="Abadi" w:hAnsi="Abadi"/>
          <w:b w:val="0"/>
          <w:bCs w:val="0"/>
          <w:spacing w:val="7"/>
          <w:sz w:val="21"/>
          <w:szCs w:val="21"/>
        </w:rPr>
        <w:t xml:space="preserve"> </w:t>
      </w:r>
      <w:r w:rsidRPr="007C2763">
        <w:rPr>
          <w:rFonts w:ascii="Abadi" w:hAnsi="Abadi"/>
          <w:b w:val="0"/>
          <w:bCs w:val="0"/>
          <w:sz w:val="21"/>
          <w:szCs w:val="21"/>
        </w:rPr>
        <w:t>llevaron a</w:t>
      </w:r>
      <w:r w:rsidRPr="007C2763">
        <w:rPr>
          <w:rFonts w:ascii="Abadi" w:hAnsi="Abadi"/>
          <w:b w:val="0"/>
          <w:bCs w:val="0"/>
          <w:spacing w:val="36"/>
          <w:sz w:val="21"/>
          <w:szCs w:val="21"/>
        </w:rPr>
        <w:t xml:space="preserve"> </w:t>
      </w:r>
      <w:r w:rsidRPr="007C2763">
        <w:rPr>
          <w:rFonts w:ascii="Abadi" w:hAnsi="Abadi"/>
          <w:b w:val="0"/>
          <w:bCs w:val="0"/>
          <w:sz w:val="21"/>
          <w:szCs w:val="21"/>
        </w:rPr>
        <w:t>tener</w:t>
      </w:r>
      <w:r w:rsidRPr="007C2763">
        <w:rPr>
          <w:rFonts w:ascii="Abadi" w:hAnsi="Abadi"/>
          <w:b w:val="0"/>
          <w:bCs w:val="0"/>
          <w:spacing w:val="36"/>
          <w:sz w:val="21"/>
          <w:szCs w:val="21"/>
        </w:rPr>
        <w:t xml:space="preserve"> </w:t>
      </w:r>
      <w:r w:rsidRPr="007C2763">
        <w:rPr>
          <w:rFonts w:ascii="Abadi" w:hAnsi="Abadi"/>
          <w:b w:val="0"/>
          <w:bCs w:val="0"/>
          <w:sz w:val="21"/>
          <w:szCs w:val="21"/>
        </w:rPr>
        <w:t>el</w:t>
      </w:r>
      <w:r w:rsidRPr="007C2763">
        <w:rPr>
          <w:rFonts w:ascii="Abadi" w:hAnsi="Abadi"/>
          <w:b w:val="0"/>
          <w:bCs w:val="0"/>
          <w:spacing w:val="36"/>
          <w:sz w:val="21"/>
          <w:szCs w:val="21"/>
        </w:rPr>
        <w:t xml:space="preserve"> </w:t>
      </w:r>
      <w:r w:rsidRPr="007C2763">
        <w:rPr>
          <w:rFonts w:ascii="Abadi" w:hAnsi="Abadi"/>
          <w:b w:val="0"/>
          <w:bCs w:val="0"/>
          <w:sz w:val="21"/>
          <w:szCs w:val="21"/>
        </w:rPr>
        <w:t>tercer</w:t>
      </w:r>
      <w:r w:rsidRPr="007C2763">
        <w:rPr>
          <w:rFonts w:ascii="Abadi" w:hAnsi="Abadi"/>
          <w:b w:val="0"/>
          <w:bCs w:val="0"/>
          <w:spacing w:val="35"/>
          <w:sz w:val="21"/>
          <w:szCs w:val="21"/>
        </w:rPr>
        <w:t xml:space="preserve"> </w:t>
      </w:r>
      <w:r w:rsidRPr="007C2763">
        <w:rPr>
          <w:rFonts w:ascii="Abadi" w:hAnsi="Abadi"/>
          <w:b w:val="0"/>
          <w:bCs w:val="0"/>
          <w:sz w:val="21"/>
          <w:szCs w:val="21"/>
        </w:rPr>
        <w:t>lugar</w:t>
      </w:r>
      <w:r w:rsidRPr="007C2763">
        <w:rPr>
          <w:rFonts w:ascii="Abadi" w:hAnsi="Abadi"/>
          <w:b w:val="0"/>
          <w:bCs w:val="0"/>
          <w:spacing w:val="36"/>
          <w:sz w:val="21"/>
          <w:szCs w:val="21"/>
        </w:rPr>
        <w:t xml:space="preserve"> </w:t>
      </w:r>
      <w:r w:rsidRPr="007C2763">
        <w:rPr>
          <w:rFonts w:ascii="Abadi" w:hAnsi="Abadi"/>
          <w:b w:val="0"/>
          <w:bCs w:val="0"/>
          <w:sz w:val="21"/>
          <w:szCs w:val="21"/>
        </w:rPr>
        <w:t>en</w:t>
      </w:r>
      <w:r w:rsidRPr="007C2763">
        <w:rPr>
          <w:rFonts w:ascii="Abadi" w:hAnsi="Abadi"/>
          <w:b w:val="0"/>
          <w:bCs w:val="0"/>
          <w:spacing w:val="36"/>
          <w:sz w:val="21"/>
          <w:szCs w:val="21"/>
        </w:rPr>
        <w:t xml:space="preserve"> </w:t>
      </w:r>
      <w:r w:rsidRPr="007C2763">
        <w:rPr>
          <w:rFonts w:ascii="Abadi" w:hAnsi="Abadi"/>
          <w:b w:val="0"/>
          <w:bCs w:val="0"/>
          <w:sz w:val="21"/>
          <w:szCs w:val="21"/>
        </w:rPr>
        <w:t>producción</w:t>
      </w:r>
      <w:r w:rsidRPr="007C2763">
        <w:rPr>
          <w:rFonts w:ascii="Abadi" w:hAnsi="Abadi"/>
          <w:b w:val="0"/>
          <w:bCs w:val="0"/>
          <w:spacing w:val="35"/>
          <w:sz w:val="21"/>
          <w:szCs w:val="21"/>
        </w:rPr>
        <w:t xml:space="preserve"> </w:t>
      </w:r>
      <w:r w:rsidRPr="007C2763">
        <w:rPr>
          <w:rFonts w:ascii="Abadi" w:hAnsi="Abadi"/>
          <w:b w:val="0"/>
          <w:bCs w:val="0"/>
          <w:sz w:val="21"/>
          <w:szCs w:val="21"/>
        </w:rPr>
        <w:t>de</w:t>
      </w:r>
      <w:r w:rsidRPr="007C2763">
        <w:rPr>
          <w:rFonts w:ascii="Abadi" w:hAnsi="Abadi"/>
          <w:b w:val="0"/>
          <w:bCs w:val="0"/>
          <w:spacing w:val="37"/>
          <w:sz w:val="21"/>
          <w:szCs w:val="21"/>
        </w:rPr>
        <w:t xml:space="preserve"> </w:t>
      </w:r>
      <w:r w:rsidRPr="007C2763">
        <w:rPr>
          <w:rFonts w:ascii="Abadi" w:hAnsi="Abadi"/>
          <w:b w:val="0"/>
          <w:bCs w:val="0"/>
          <w:sz w:val="21"/>
          <w:szCs w:val="21"/>
        </w:rPr>
        <w:t>pulque</w:t>
      </w:r>
      <w:r w:rsidRPr="007C2763">
        <w:rPr>
          <w:rFonts w:ascii="Abadi" w:hAnsi="Abadi"/>
          <w:b w:val="0"/>
          <w:bCs w:val="0"/>
          <w:spacing w:val="36"/>
          <w:sz w:val="21"/>
          <w:szCs w:val="21"/>
        </w:rPr>
        <w:t xml:space="preserve"> </w:t>
      </w:r>
      <w:r w:rsidRPr="007C2763">
        <w:rPr>
          <w:rFonts w:ascii="Abadi" w:hAnsi="Abadi"/>
          <w:b w:val="0"/>
          <w:bCs w:val="0"/>
          <w:sz w:val="21"/>
          <w:szCs w:val="21"/>
        </w:rPr>
        <w:t>en</w:t>
      </w:r>
      <w:r w:rsidRPr="007C2763">
        <w:rPr>
          <w:rFonts w:ascii="Abadi" w:hAnsi="Abadi"/>
          <w:b w:val="0"/>
          <w:bCs w:val="0"/>
          <w:spacing w:val="37"/>
          <w:sz w:val="21"/>
          <w:szCs w:val="21"/>
        </w:rPr>
        <w:t xml:space="preserve"> </w:t>
      </w:r>
      <w:r w:rsidRPr="007C2763">
        <w:rPr>
          <w:rFonts w:ascii="Abadi" w:hAnsi="Abadi"/>
          <w:b w:val="0"/>
          <w:bCs w:val="0"/>
          <w:sz w:val="21"/>
          <w:szCs w:val="21"/>
        </w:rPr>
        <w:t>el</w:t>
      </w:r>
      <w:r w:rsidRPr="007C2763">
        <w:rPr>
          <w:rFonts w:ascii="Abadi" w:hAnsi="Abadi"/>
          <w:b w:val="0"/>
          <w:bCs w:val="0"/>
          <w:spacing w:val="36"/>
          <w:sz w:val="21"/>
          <w:szCs w:val="21"/>
        </w:rPr>
        <w:t xml:space="preserve"> </w:t>
      </w:r>
      <w:r w:rsidRPr="007C2763">
        <w:rPr>
          <w:rFonts w:ascii="Abadi" w:hAnsi="Abadi"/>
          <w:b w:val="0"/>
          <w:bCs w:val="0"/>
          <w:sz w:val="21"/>
          <w:szCs w:val="21"/>
        </w:rPr>
        <w:t>Estado</w:t>
      </w:r>
      <w:r w:rsidRPr="007C2763">
        <w:rPr>
          <w:rFonts w:ascii="Abadi" w:hAnsi="Abadi"/>
          <w:b w:val="0"/>
          <w:bCs w:val="0"/>
          <w:spacing w:val="36"/>
          <w:sz w:val="21"/>
          <w:szCs w:val="21"/>
        </w:rPr>
        <w:t xml:space="preserve"> </w:t>
      </w:r>
      <w:r w:rsidRPr="007C2763">
        <w:rPr>
          <w:rFonts w:ascii="Abadi" w:hAnsi="Abadi"/>
          <w:b w:val="0"/>
          <w:bCs w:val="0"/>
          <w:sz w:val="21"/>
          <w:szCs w:val="21"/>
        </w:rPr>
        <w:t>y</w:t>
      </w:r>
      <w:r w:rsidRPr="007C2763">
        <w:rPr>
          <w:rFonts w:ascii="Abadi" w:hAnsi="Abadi"/>
          <w:b w:val="0"/>
          <w:bCs w:val="0"/>
          <w:spacing w:val="36"/>
          <w:sz w:val="21"/>
          <w:szCs w:val="21"/>
        </w:rPr>
        <w:t xml:space="preserve"> </w:t>
      </w:r>
      <w:r w:rsidRPr="007C2763">
        <w:rPr>
          <w:rFonts w:ascii="Abadi" w:hAnsi="Abadi"/>
          <w:b w:val="0"/>
          <w:bCs w:val="0"/>
          <w:sz w:val="21"/>
          <w:szCs w:val="21"/>
        </w:rPr>
        <w:t>ser</w:t>
      </w:r>
      <w:r w:rsidRPr="007C2763">
        <w:rPr>
          <w:rFonts w:ascii="Abadi" w:hAnsi="Abadi"/>
          <w:b w:val="0"/>
          <w:bCs w:val="0"/>
          <w:spacing w:val="36"/>
          <w:sz w:val="21"/>
          <w:szCs w:val="21"/>
        </w:rPr>
        <w:t xml:space="preserve"> </w:t>
      </w:r>
      <w:r w:rsidRPr="007C2763">
        <w:rPr>
          <w:rFonts w:ascii="Abadi" w:hAnsi="Abadi"/>
          <w:b w:val="0"/>
          <w:bCs w:val="0"/>
          <w:sz w:val="21"/>
          <w:szCs w:val="21"/>
        </w:rPr>
        <w:t>reconocidos también</w:t>
      </w:r>
      <w:r w:rsidRPr="007C2763">
        <w:rPr>
          <w:rFonts w:ascii="Abadi" w:hAnsi="Abadi"/>
          <w:b w:val="0"/>
          <w:bCs w:val="0"/>
          <w:spacing w:val="1"/>
          <w:sz w:val="21"/>
          <w:szCs w:val="21"/>
        </w:rPr>
        <w:t xml:space="preserve"> </w:t>
      </w:r>
      <w:r w:rsidRPr="007C2763">
        <w:rPr>
          <w:rFonts w:ascii="Abadi" w:hAnsi="Abadi"/>
          <w:b w:val="0"/>
          <w:bCs w:val="0"/>
          <w:sz w:val="21"/>
          <w:szCs w:val="21"/>
        </w:rPr>
        <w:t>por</w:t>
      </w:r>
      <w:r w:rsidRPr="007C2763">
        <w:rPr>
          <w:rFonts w:ascii="Abadi" w:hAnsi="Abadi"/>
          <w:b w:val="0"/>
          <w:bCs w:val="0"/>
          <w:spacing w:val="66"/>
          <w:sz w:val="21"/>
          <w:szCs w:val="21"/>
        </w:rPr>
        <w:t xml:space="preserve"> </w:t>
      </w:r>
      <w:r w:rsidRPr="007C2763">
        <w:rPr>
          <w:rFonts w:ascii="Abadi" w:hAnsi="Abadi"/>
          <w:b w:val="0"/>
          <w:bCs w:val="0"/>
          <w:sz w:val="21"/>
          <w:szCs w:val="21"/>
        </w:rPr>
        <w:t>su</w:t>
      </w:r>
      <w:r w:rsidRPr="007C2763">
        <w:rPr>
          <w:rFonts w:ascii="Abadi" w:hAnsi="Abadi"/>
          <w:b w:val="0"/>
          <w:bCs w:val="0"/>
          <w:spacing w:val="1"/>
          <w:sz w:val="21"/>
          <w:szCs w:val="21"/>
        </w:rPr>
        <w:t xml:space="preserve"> </w:t>
      </w:r>
      <w:r w:rsidRPr="007C2763">
        <w:rPr>
          <w:rFonts w:ascii="Abadi" w:hAnsi="Abadi"/>
          <w:b w:val="0"/>
          <w:bCs w:val="0"/>
          <w:sz w:val="21"/>
          <w:szCs w:val="21"/>
        </w:rPr>
        <w:t>producción</w:t>
      </w:r>
      <w:r w:rsidRPr="007C2763">
        <w:rPr>
          <w:rFonts w:ascii="Abadi" w:hAnsi="Abadi"/>
          <w:b w:val="0"/>
          <w:bCs w:val="0"/>
          <w:spacing w:val="2"/>
          <w:sz w:val="21"/>
          <w:szCs w:val="21"/>
        </w:rPr>
        <w:t xml:space="preserve"> </w:t>
      </w:r>
      <w:r w:rsidRPr="007C2763">
        <w:rPr>
          <w:rFonts w:ascii="Abadi" w:hAnsi="Abadi"/>
          <w:b w:val="0"/>
          <w:bCs w:val="0"/>
          <w:sz w:val="21"/>
          <w:szCs w:val="21"/>
        </w:rPr>
        <w:t>ganadera</w:t>
      </w:r>
      <w:r w:rsidRPr="007C2763">
        <w:rPr>
          <w:rFonts w:ascii="Abadi" w:hAnsi="Abadi"/>
          <w:b w:val="0"/>
          <w:bCs w:val="0"/>
          <w:spacing w:val="1"/>
          <w:sz w:val="21"/>
          <w:szCs w:val="21"/>
        </w:rPr>
        <w:t xml:space="preserve"> </w:t>
      </w:r>
      <w:r w:rsidRPr="007C2763">
        <w:rPr>
          <w:rFonts w:ascii="Abadi" w:hAnsi="Abadi"/>
          <w:b w:val="0"/>
          <w:bCs w:val="0"/>
          <w:sz w:val="21"/>
          <w:szCs w:val="21"/>
        </w:rPr>
        <w:t>que</w:t>
      </w:r>
      <w:r w:rsidRPr="007C2763">
        <w:rPr>
          <w:rFonts w:ascii="Abadi" w:hAnsi="Abadi"/>
          <w:b w:val="0"/>
          <w:bCs w:val="0"/>
          <w:spacing w:val="66"/>
          <w:sz w:val="21"/>
          <w:szCs w:val="21"/>
        </w:rPr>
        <w:t xml:space="preserve"> </w:t>
      </w:r>
      <w:r w:rsidRPr="007C2763">
        <w:rPr>
          <w:rFonts w:ascii="Abadi" w:hAnsi="Abadi"/>
          <w:b w:val="0"/>
          <w:bCs w:val="0"/>
          <w:sz w:val="21"/>
          <w:szCs w:val="21"/>
        </w:rPr>
        <w:t>hizo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su</w:t>
      </w:r>
      <w:r w:rsidRPr="007C2763">
        <w:rPr>
          <w:rFonts w:ascii="Abadi" w:hAnsi="Abadi"/>
          <w:b w:val="0"/>
          <w:bCs w:val="0"/>
          <w:spacing w:val="66"/>
          <w:sz w:val="21"/>
          <w:szCs w:val="21"/>
        </w:rPr>
        <w:t xml:space="preserve"> </w:t>
      </w:r>
      <w:r w:rsidRPr="007C2763">
        <w:rPr>
          <w:rFonts w:ascii="Abadi" w:hAnsi="Abadi"/>
          <w:b w:val="0"/>
          <w:bCs w:val="0"/>
          <w:sz w:val="21"/>
          <w:szCs w:val="21"/>
        </w:rPr>
        <w:t>"Mercado</w:t>
      </w:r>
      <w:r w:rsidRPr="007C2763">
        <w:rPr>
          <w:rFonts w:ascii="Abadi" w:hAnsi="Abadi"/>
          <w:b w:val="0"/>
          <w:bCs w:val="0"/>
          <w:spacing w:val="1"/>
          <w:sz w:val="21"/>
          <w:szCs w:val="21"/>
        </w:rPr>
        <w:t xml:space="preserve"> </w:t>
      </w:r>
      <w:r w:rsidRPr="007C2763">
        <w:rPr>
          <w:rFonts w:ascii="Abadi" w:hAnsi="Abadi"/>
          <w:b w:val="0"/>
          <w:bCs w:val="0"/>
          <w:sz w:val="21"/>
          <w:szCs w:val="21"/>
        </w:rPr>
        <w:t>Ganadero</w:t>
      </w:r>
      <w:r w:rsidRPr="007C2763">
        <w:rPr>
          <w:rFonts w:ascii="Abadi" w:hAnsi="Abadi"/>
          <w:b w:val="0"/>
          <w:bCs w:val="0"/>
          <w:spacing w:val="65"/>
          <w:sz w:val="21"/>
          <w:szCs w:val="21"/>
        </w:rPr>
        <w:t xml:space="preserve"> </w:t>
      </w:r>
      <w:r w:rsidRPr="007C2763">
        <w:rPr>
          <w:rFonts w:ascii="Abadi" w:hAnsi="Abadi"/>
          <w:b w:val="0"/>
          <w:bCs w:val="0"/>
          <w:sz w:val="21"/>
          <w:szCs w:val="21"/>
        </w:rPr>
        <w:t>de</w:t>
      </w:r>
      <w:r w:rsidRPr="007C2763">
        <w:rPr>
          <w:rFonts w:ascii="Abadi" w:hAnsi="Abadi"/>
          <w:b w:val="0"/>
          <w:bCs w:val="0"/>
          <w:spacing w:val="-2"/>
          <w:sz w:val="21"/>
          <w:szCs w:val="21"/>
        </w:rPr>
        <w:t xml:space="preserve"> </w:t>
      </w:r>
      <w:r w:rsidRPr="007C2763">
        <w:rPr>
          <w:rFonts w:ascii="Abadi" w:hAnsi="Abadi"/>
          <w:b w:val="0"/>
          <w:bCs w:val="0"/>
          <w:sz w:val="21"/>
          <w:szCs w:val="21"/>
        </w:rPr>
        <w:t>Charcas"</w:t>
      </w:r>
      <w:r w:rsidRPr="007C2763">
        <w:rPr>
          <w:rFonts w:ascii="Abadi" w:hAnsi="Abadi"/>
          <w:b w:val="0"/>
          <w:bCs w:val="0"/>
          <w:spacing w:val="57"/>
          <w:sz w:val="21"/>
          <w:szCs w:val="21"/>
        </w:rPr>
        <w:t xml:space="preserve"> </w:t>
      </w:r>
      <w:r w:rsidRPr="007C2763">
        <w:rPr>
          <w:rFonts w:ascii="Abadi" w:hAnsi="Abadi"/>
          <w:b w:val="0"/>
          <w:bCs w:val="0"/>
          <w:sz w:val="21"/>
          <w:szCs w:val="21"/>
        </w:rPr>
        <w:t>el</w:t>
      </w:r>
      <w:r w:rsidRPr="007C2763">
        <w:rPr>
          <w:rFonts w:ascii="Abadi" w:hAnsi="Abadi"/>
          <w:b w:val="0"/>
          <w:bCs w:val="0"/>
          <w:spacing w:val="55"/>
          <w:sz w:val="21"/>
          <w:szCs w:val="21"/>
        </w:rPr>
        <w:t xml:space="preserve"> </w:t>
      </w:r>
      <w:r w:rsidRPr="007C2763">
        <w:rPr>
          <w:rFonts w:ascii="Abadi" w:hAnsi="Abadi"/>
          <w:b w:val="0"/>
          <w:bCs w:val="0"/>
          <w:sz w:val="21"/>
          <w:szCs w:val="21"/>
        </w:rPr>
        <w:t>más</w:t>
      </w:r>
      <w:r w:rsidRPr="007C2763">
        <w:rPr>
          <w:rFonts w:ascii="Abadi" w:hAnsi="Abadi"/>
          <w:b w:val="0"/>
          <w:bCs w:val="0"/>
          <w:spacing w:val="55"/>
          <w:sz w:val="21"/>
          <w:szCs w:val="21"/>
        </w:rPr>
        <w:t xml:space="preserve"> </w:t>
      </w:r>
      <w:r w:rsidRPr="007C2763">
        <w:rPr>
          <w:rFonts w:ascii="Abadi" w:hAnsi="Abadi"/>
          <w:b w:val="0"/>
          <w:bCs w:val="0"/>
          <w:sz w:val="21"/>
          <w:szCs w:val="21"/>
        </w:rPr>
        <w:t>importante</w:t>
      </w:r>
      <w:r w:rsidRPr="007C2763">
        <w:rPr>
          <w:rFonts w:ascii="Abadi" w:hAnsi="Abadi"/>
          <w:b w:val="0"/>
          <w:bCs w:val="0"/>
          <w:spacing w:val="56"/>
          <w:sz w:val="21"/>
          <w:szCs w:val="21"/>
        </w:rPr>
        <w:t xml:space="preserve"> </w:t>
      </w:r>
      <w:r w:rsidRPr="007C2763">
        <w:rPr>
          <w:rFonts w:ascii="Abadi" w:hAnsi="Abadi"/>
          <w:b w:val="0"/>
          <w:bCs w:val="0"/>
          <w:sz w:val="21"/>
          <w:szCs w:val="21"/>
        </w:rPr>
        <w:t>de</w:t>
      </w:r>
      <w:r w:rsidRPr="007C2763">
        <w:rPr>
          <w:rFonts w:ascii="Abadi" w:hAnsi="Abadi"/>
          <w:b w:val="0"/>
          <w:bCs w:val="0"/>
          <w:spacing w:val="56"/>
          <w:sz w:val="21"/>
          <w:szCs w:val="21"/>
        </w:rPr>
        <w:t xml:space="preserve"> </w:t>
      </w:r>
      <w:r w:rsidRPr="007C2763">
        <w:rPr>
          <w:rFonts w:ascii="Abadi" w:hAnsi="Abadi"/>
          <w:b w:val="0"/>
          <w:bCs w:val="0"/>
          <w:sz w:val="21"/>
          <w:szCs w:val="21"/>
        </w:rPr>
        <w:t>la</w:t>
      </w:r>
      <w:r w:rsidRPr="007C2763">
        <w:rPr>
          <w:rFonts w:ascii="Abadi" w:hAnsi="Abadi"/>
          <w:b w:val="0"/>
          <w:bCs w:val="0"/>
          <w:spacing w:val="55"/>
          <w:sz w:val="21"/>
          <w:szCs w:val="21"/>
        </w:rPr>
        <w:t xml:space="preserve"> </w:t>
      </w:r>
      <w:r w:rsidRPr="007C2763">
        <w:rPr>
          <w:rFonts w:ascii="Abadi" w:hAnsi="Abadi"/>
          <w:b w:val="0"/>
          <w:bCs w:val="0"/>
          <w:sz w:val="21"/>
          <w:szCs w:val="21"/>
        </w:rPr>
        <w:t>Región.</w:t>
      </w:r>
      <w:r w:rsidRPr="007C2763">
        <w:rPr>
          <w:rFonts w:ascii="Abadi" w:hAnsi="Abadi"/>
          <w:b w:val="0"/>
          <w:bCs w:val="0"/>
          <w:spacing w:val="54"/>
          <w:sz w:val="21"/>
          <w:szCs w:val="21"/>
        </w:rPr>
        <w:t xml:space="preserve"> </w:t>
      </w:r>
      <w:r w:rsidRPr="007C2763">
        <w:rPr>
          <w:rFonts w:ascii="Abadi" w:hAnsi="Abadi"/>
          <w:b w:val="0"/>
          <w:bCs w:val="0"/>
          <w:sz w:val="21"/>
          <w:szCs w:val="21"/>
        </w:rPr>
        <w:t>70</w:t>
      </w:r>
      <w:r w:rsidRPr="007C2763">
        <w:rPr>
          <w:rFonts w:ascii="Abadi" w:hAnsi="Abadi"/>
          <w:b w:val="0"/>
          <w:bCs w:val="0"/>
          <w:spacing w:val="55"/>
          <w:sz w:val="21"/>
          <w:szCs w:val="21"/>
        </w:rPr>
        <w:t xml:space="preserve"> </w:t>
      </w:r>
      <w:r w:rsidRPr="007C2763">
        <w:rPr>
          <w:rFonts w:ascii="Abadi" w:hAnsi="Abadi"/>
          <w:b w:val="0"/>
          <w:bCs w:val="0"/>
          <w:sz w:val="21"/>
          <w:szCs w:val="21"/>
        </w:rPr>
        <w:t>años</w:t>
      </w:r>
      <w:r w:rsidRPr="007C2763">
        <w:rPr>
          <w:rFonts w:ascii="Abadi" w:hAnsi="Abadi"/>
          <w:b w:val="0"/>
          <w:bCs w:val="0"/>
          <w:spacing w:val="53"/>
          <w:sz w:val="21"/>
          <w:szCs w:val="21"/>
        </w:rPr>
        <w:t xml:space="preserve"> </w:t>
      </w:r>
      <w:r w:rsidRPr="007C2763">
        <w:rPr>
          <w:rFonts w:ascii="Abadi" w:hAnsi="Abadi"/>
          <w:b w:val="0"/>
          <w:bCs w:val="0"/>
          <w:sz w:val="21"/>
          <w:szCs w:val="21"/>
        </w:rPr>
        <w:t>en</w:t>
      </w:r>
      <w:r w:rsidRPr="007C2763">
        <w:rPr>
          <w:rFonts w:ascii="Abadi" w:hAnsi="Abadi"/>
          <w:b w:val="0"/>
          <w:bCs w:val="0"/>
          <w:spacing w:val="56"/>
          <w:sz w:val="21"/>
          <w:szCs w:val="21"/>
        </w:rPr>
        <w:t xml:space="preserve"> </w:t>
      </w:r>
      <w:r w:rsidRPr="007C2763">
        <w:rPr>
          <w:rFonts w:ascii="Abadi" w:hAnsi="Abadi"/>
          <w:b w:val="0"/>
          <w:bCs w:val="0"/>
          <w:sz w:val="21"/>
          <w:szCs w:val="21"/>
        </w:rPr>
        <w:t>que</w:t>
      </w:r>
      <w:r w:rsidRPr="007C2763">
        <w:rPr>
          <w:rFonts w:ascii="Abadi" w:hAnsi="Abadi"/>
          <w:b w:val="0"/>
          <w:bCs w:val="0"/>
          <w:spacing w:val="55"/>
          <w:sz w:val="21"/>
          <w:szCs w:val="21"/>
        </w:rPr>
        <w:t xml:space="preserve"> </w:t>
      </w:r>
      <w:r w:rsidRPr="007C2763">
        <w:rPr>
          <w:rFonts w:ascii="Abadi" w:hAnsi="Abadi"/>
          <w:b w:val="0"/>
          <w:bCs w:val="0"/>
          <w:sz w:val="21"/>
          <w:szCs w:val="21"/>
        </w:rPr>
        <w:t>con</w:t>
      </w:r>
      <w:r w:rsidRPr="007C2763">
        <w:rPr>
          <w:rFonts w:ascii="Abadi" w:hAnsi="Abadi"/>
          <w:b w:val="0"/>
          <w:bCs w:val="0"/>
          <w:spacing w:val="56"/>
          <w:sz w:val="21"/>
          <w:szCs w:val="21"/>
        </w:rPr>
        <w:t xml:space="preserve"> </w:t>
      </w:r>
      <w:r w:rsidRPr="007C2763">
        <w:rPr>
          <w:rFonts w:ascii="Abadi" w:hAnsi="Abadi"/>
          <w:b w:val="0"/>
          <w:bCs w:val="0"/>
          <w:sz w:val="21"/>
          <w:szCs w:val="21"/>
        </w:rPr>
        <w:t>su</w:t>
      </w:r>
      <w:r w:rsidRPr="007C2763">
        <w:rPr>
          <w:rFonts w:ascii="Abadi" w:hAnsi="Abadi"/>
          <w:b w:val="0"/>
          <w:bCs w:val="0"/>
          <w:spacing w:val="56"/>
          <w:sz w:val="21"/>
          <w:szCs w:val="21"/>
        </w:rPr>
        <w:t xml:space="preserve"> </w:t>
      </w:r>
      <w:r w:rsidRPr="007C2763">
        <w:rPr>
          <w:rFonts w:ascii="Abadi" w:hAnsi="Abadi"/>
          <w:b w:val="0"/>
          <w:bCs w:val="0"/>
          <w:sz w:val="21"/>
          <w:szCs w:val="21"/>
        </w:rPr>
        <w:t>trabajo</w:t>
      </w:r>
      <w:r w:rsidRPr="007C2763">
        <w:rPr>
          <w:rFonts w:ascii="Abadi" w:hAnsi="Abadi"/>
          <w:b w:val="0"/>
          <w:bCs w:val="0"/>
          <w:spacing w:val="55"/>
          <w:sz w:val="21"/>
          <w:szCs w:val="21"/>
        </w:rPr>
        <w:t xml:space="preserve"> </w:t>
      </w:r>
      <w:r w:rsidRPr="007C2763">
        <w:rPr>
          <w:rFonts w:ascii="Abadi" w:hAnsi="Abadi"/>
          <w:b w:val="0"/>
          <w:bCs w:val="0"/>
          <w:sz w:val="21"/>
          <w:szCs w:val="21"/>
        </w:rPr>
        <w:t>se proyectan</w:t>
      </w:r>
      <w:r w:rsidRPr="007C2763">
        <w:rPr>
          <w:rFonts w:ascii="Abadi" w:hAnsi="Abadi"/>
          <w:b w:val="0"/>
          <w:bCs w:val="0"/>
          <w:spacing w:val="8"/>
          <w:sz w:val="21"/>
          <w:szCs w:val="21"/>
        </w:rPr>
        <w:t xml:space="preserve"> </w:t>
      </w:r>
      <w:r w:rsidRPr="007C2763">
        <w:rPr>
          <w:rFonts w:ascii="Abadi" w:hAnsi="Abadi"/>
          <w:b w:val="0"/>
          <w:bCs w:val="0"/>
          <w:sz w:val="21"/>
          <w:szCs w:val="21"/>
        </w:rPr>
        <w:t>hacia</w:t>
      </w:r>
      <w:r w:rsidRPr="007C2763">
        <w:rPr>
          <w:rFonts w:ascii="Abadi" w:hAnsi="Abadi"/>
          <w:b w:val="0"/>
          <w:bCs w:val="0"/>
          <w:spacing w:val="8"/>
          <w:sz w:val="21"/>
          <w:szCs w:val="21"/>
        </w:rPr>
        <w:t xml:space="preserve"> </w:t>
      </w:r>
      <w:r w:rsidRPr="007C2763">
        <w:rPr>
          <w:rFonts w:ascii="Abadi" w:hAnsi="Abadi"/>
          <w:b w:val="0"/>
          <w:bCs w:val="0"/>
          <w:sz w:val="21"/>
          <w:szCs w:val="21"/>
        </w:rPr>
        <w:t>el</w:t>
      </w:r>
      <w:r w:rsidRPr="007C2763">
        <w:rPr>
          <w:rFonts w:ascii="Abadi" w:hAnsi="Abadi"/>
          <w:b w:val="0"/>
          <w:bCs w:val="0"/>
          <w:spacing w:val="7"/>
          <w:sz w:val="21"/>
          <w:szCs w:val="21"/>
        </w:rPr>
        <w:t xml:space="preserve"> </w:t>
      </w:r>
      <w:r w:rsidRPr="007C2763">
        <w:rPr>
          <w:rFonts w:ascii="Abadi" w:hAnsi="Abadi"/>
          <w:b w:val="0"/>
          <w:bCs w:val="0"/>
          <w:sz w:val="21"/>
          <w:szCs w:val="21"/>
        </w:rPr>
        <w:t>futuro</w:t>
      </w:r>
      <w:r w:rsidRPr="007C2763">
        <w:rPr>
          <w:rFonts w:ascii="Abadi" w:hAnsi="Abadi"/>
          <w:b w:val="0"/>
          <w:bCs w:val="0"/>
          <w:spacing w:val="11"/>
          <w:sz w:val="21"/>
          <w:szCs w:val="21"/>
        </w:rPr>
        <w:t xml:space="preserve"> </w:t>
      </w:r>
      <w:r w:rsidRPr="007C2763">
        <w:rPr>
          <w:rFonts w:ascii="Abadi" w:hAnsi="Abadi"/>
          <w:b w:val="0"/>
          <w:bCs w:val="0"/>
          <w:sz w:val="21"/>
          <w:szCs w:val="21"/>
        </w:rPr>
        <w:t>alcanzando</w:t>
      </w:r>
      <w:r w:rsidRPr="007C2763">
        <w:rPr>
          <w:rFonts w:ascii="Abadi" w:hAnsi="Abadi"/>
          <w:b w:val="0"/>
          <w:bCs w:val="0"/>
          <w:spacing w:val="8"/>
          <w:sz w:val="21"/>
          <w:szCs w:val="21"/>
        </w:rPr>
        <w:t xml:space="preserve"> </w:t>
      </w:r>
      <w:r w:rsidRPr="007C2763">
        <w:rPr>
          <w:rFonts w:ascii="Abadi" w:hAnsi="Abadi"/>
          <w:b w:val="0"/>
          <w:bCs w:val="0"/>
          <w:sz w:val="21"/>
          <w:szCs w:val="21"/>
        </w:rPr>
        <w:t>el</w:t>
      </w:r>
      <w:r w:rsidRPr="007C2763">
        <w:rPr>
          <w:rFonts w:ascii="Abadi" w:hAnsi="Abadi"/>
          <w:b w:val="0"/>
          <w:bCs w:val="0"/>
          <w:spacing w:val="7"/>
          <w:sz w:val="21"/>
          <w:szCs w:val="21"/>
        </w:rPr>
        <w:t xml:space="preserve"> </w:t>
      </w:r>
      <w:r w:rsidRPr="007C2763">
        <w:rPr>
          <w:rFonts w:ascii="Abadi" w:hAnsi="Abadi"/>
          <w:b w:val="0"/>
          <w:bCs w:val="0"/>
          <w:sz w:val="21"/>
          <w:szCs w:val="21"/>
        </w:rPr>
        <w:t>tercer</w:t>
      </w:r>
      <w:r w:rsidRPr="007C2763">
        <w:rPr>
          <w:rFonts w:ascii="Abadi" w:hAnsi="Abadi"/>
          <w:b w:val="0"/>
          <w:bCs w:val="0"/>
          <w:spacing w:val="9"/>
          <w:sz w:val="21"/>
          <w:szCs w:val="21"/>
        </w:rPr>
        <w:t xml:space="preserve"> </w:t>
      </w:r>
      <w:r w:rsidRPr="007C2763">
        <w:rPr>
          <w:rFonts w:ascii="Abadi" w:hAnsi="Abadi"/>
          <w:b w:val="0"/>
          <w:bCs w:val="0"/>
          <w:sz w:val="21"/>
          <w:szCs w:val="21"/>
        </w:rPr>
        <w:t>lugar</w:t>
      </w:r>
      <w:r w:rsidRPr="007C2763">
        <w:rPr>
          <w:rFonts w:ascii="Abadi" w:hAnsi="Abadi"/>
          <w:b w:val="0"/>
          <w:bCs w:val="0"/>
          <w:spacing w:val="6"/>
          <w:sz w:val="21"/>
          <w:szCs w:val="21"/>
        </w:rPr>
        <w:t xml:space="preserve"> </w:t>
      </w:r>
      <w:r w:rsidRPr="007C2763">
        <w:rPr>
          <w:rFonts w:ascii="Abadi" w:hAnsi="Abadi"/>
          <w:b w:val="0"/>
          <w:bCs w:val="0"/>
          <w:sz w:val="21"/>
          <w:szCs w:val="21"/>
        </w:rPr>
        <w:t>en</w:t>
      </w:r>
      <w:r w:rsidRPr="007C2763">
        <w:rPr>
          <w:rFonts w:ascii="Abadi" w:hAnsi="Abadi"/>
          <w:b w:val="0"/>
          <w:bCs w:val="0"/>
          <w:spacing w:val="8"/>
          <w:sz w:val="21"/>
          <w:szCs w:val="21"/>
        </w:rPr>
        <w:t xml:space="preserve"> </w:t>
      </w:r>
      <w:r w:rsidRPr="007C2763">
        <w:rPr>
          <w:rFonts w:ascii="Abadi" w:hAnsi="Abadi"/>
          <w:b w:val="0"/>
          <w:bCs w:val="0"/>
          <w:sz w:val="21"/>
          <w:szCs w:val="21"/>
        </w:rPr>
        <w:t>la</w:t>
      </w:r>
      <w:r w:rsidRPr="007C2763">
        <w:rPr>
          <w:rFonts w:ascii="Abadi" w:hAnsi="Abadi"/>
          <w:b w:val="0"/>
          <w:bCs w:val="0"/>
          <w:spacing w:val="8"/>
          <w:sz w:val="21"/>
          <w:szCs w:val="21"/>
        </w:rPr>
        <w:t xml:space="preserve"> </w:t>
      </w:r>
      <w:r w:rsidRPr="007C2763">
        <w:rPr>
          <w:rFonts w:ascii="Abadi" w:hAnsi="Abadi"/>
          <w:b w:val="0"/>
          <w:bCs w:val="0"/>
          <w:sz w:val="21"/>
          <w:szCs w:val="21"/>
        </w:rPr>
        <w:t>producción</w:t>
      </w:r>
      <w:r w:rsidRPr="007C2763">
        <w:rPr>
          <w:rFonts w:ascii="Abadi" w:hAnsi="Abadi"/>
          <w:b w:val="0"/>
          <w:bCs w:val="0"/>
          <w:spacing w:val="11"/>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r w:rsidRPr="007C2763">
        <w:rPr>
          <w:rFonts w:ascii="Abadi" w:hAnsi="Abadi"/>
          <w:b w:val="0"/>
          <w:bCs w:val="0"/>
          <w:sz w:val="21"/>
          <w:szCs w:val="21"/>
        </w:rPr>
        <w:t>brócoli</w:t>
      </w:r>
      <w:r w:rsidRPr="007C2763">
        <w:rPr>
          <w:rFonts w:ascii="Abadi" w:hAnsi="Abadi"/>
          <w:b w:val="0"/>
          <w:bCs w:val="0"/>
          <w:spacing w:val="7"/>
          <w:sz w:val="21"/>
          <w:szCs w:val="21"/>
        </w:rPr>
        <w:t xml:space="preserve"> </w:t>
      </w:r>
      <w:r w:rsidRPr="007C2763">
        <w:rPr>
          <w:rFonts w:ascii="Abadi" w:hAnsi="Abadi"/>
          <w:b w:val="0"/>
          <w:bCs w:val="0"/>
          <w:sz w:val="21"/>
          <w:szCs w:val="21"/>
        </w:rPr>
        <w:t>en Guanajuato</w:t>
      </w:r>
      <w:r w:rsidRPr="007C2763">
        <w:rPr>
          <w:rFonts w:ascii="Abadi" w:hAnsi="Abadi"/>
          <w:b w:val="0"/>
          <w:bCs w:val="0"/>
          <w:spacing w:val="28"/>
          <w:sz w:val="21"/>
          <w:szCs w:val="21"/>
        </w:rPr>
        <w:t xml:space="preserve"> </w:t>
      </w:r>
      <w:r w:rsidRPr="007C2763">
        <w:rPr>
          <w:rFonts w:ascii="Abadi" w:hAnsi="Abadi"/>
          <w:b w:val="0"/>
          <w:bCs w:val="0"/>
          <w:sz w:val="21"/>
          <w:szCs w:val="21"/>
        </w:rPr>
        <w:t>consolidándose</w:t>
      </w:r>
      <w:r w:rsidRPr="007C2763">
        <w:rPr>
          <w:rFonts w:ascii="Abadi" w:hAnsi="Abadi"/>
          <w:b w:val="0"/>
          <w:bCs w:val="0"/>
          <w:spacing w:val="28"/>
          <w:sz w:val="21"/>
          <w:szCs w:val="21"/>
        </w:rPr>
        <w:t xml:space="preserve"> </w:t>
      </w:r>
      <w:r w:rsidRPr="007C2763">
        <w:rPr>
          <w:rFonts w:ascii="Abadi" w:hAnsi="Abadi"/>
          <w:b w:val="0"/>
          <w:bCs w:val="0"/>
          <w:sz w:val="21"/>
          <w:szCs w:val="21"/>
        </w:rPr>
        <w:t>también</w:t>
      </w:r>
      <w:r w:rsidRPr="007C2763">
        <w:rPr>
          <w:rFonts w:ascii="Abadi" w:hAnsi="Abadi"/>
          <w:b w:val="0"/>
          <w:bCs w:val="0"/>
          <w:spacing w:val="28"/>
          <w:sz w:val="21"/>
          <w:szCs w:val="21"/>
        </w:rPr>
        <w:t xml:space="preserve"> </w:t>
      </w:r>
      <w:r w:rsidRPr="007C2763">
        <w:rPr>
          <w:rFonts w:ascii="Abadi" w:hAnsi="Abadi"/>
          <w:b w:val="0"/>
          <w:bCs w:val="0"/>
          <w:sz w:val="21"/>
          <w:szCs w:val="21"/>
        </w:rPr>
        <w:t>como</w:t>
      </w:r>
      <w:r w:rsidRPr="007C2763">
        <w:rPr>
          <w:rFonts w:ascii="Abadi" w:hAnsi="Abadi"/>
          <w:b w:val="0"/>
          <w:bCs w:val="0"/>
          <w:spacing w:val="25"/>
          <w:sz w:val="21"/>
          <w:szCs w:val="21"/>
        </w:rPr>
        <w:t xml:space="preserve"> </w:t>
      </w:r>
      <w:r w:rsidRPr="007C2763">
        <w:rPr>
          <w:rFonts w:ascii="Abadi" w:hAnsi="Abadi"/>
          <w:b w:val="0"/>
          <w:bCs w:val="0"/>
          <w:sz w:val="21"/>
          <w:szCs w:val="21"/>
        </w:rPr>
        <w:t>uno</w:t>
      </w:r>
      <w:r w:rsidRPr="007C2763">
        <w:rPr>
          <w:rFonts w:ascii="Abadi" w:hAnsi="Abadi"/>
          <w:b w:val="0"/>
          <w:bCs w:val="0"/>
          <w:spacing w:val="25"/>
          <w:sz w:val="21"/>
          <w:szCs w:val="21"/>
        </w:rPr>
        <w:t xml:space="preserve"> </w:t>
      </w:r>
      <w:r w:rsidRPr="007C2763">
        <w:rPr>
          <w:rFonts w:ascii="Abadi" w:hAnsi="Abadi"/>
          <w:b w:val="0"/>
          <w:bCs w:val="0"/>
          <w:sz w:val="21"/>
          <w:szCs w:val="21"/>
        </w:rPr>
        <w:t>de</w:t>
      </w:r>
      <w:r w:rsidRPr="007C2763">
        <w:rPr>
          <w:rFonts w:ascii="Abadi" w:hAnsi="Abadi"/>
          <w:b w:val="0"/>
          <w:bCs w:val="0"/>
          <w:spacing w:val="28"/>
          <w:sz w:val="21"/>
          <w:szCs w:val="21"/>
        </w:rPr>
        <w:t xml:space="preserve"> </w:t>
      </w:r>
      <w:r w:rsidRPr="007C2763">
        <w:rPr>
          <w:rFonts w:ascii="Abadi" w:hAnsi="Abadi"/>
          <w:b w:val="0"/>
          <w:bCs w:val="0"/>
          <w:sz w:val="21"/>
          <w:szCs w:val="21"/>
        </w:rPr>
        <w:t>los</w:t>
      </w:r>
      <w:r w:rsidRPr="007C2763">
        <w:rPr>
          <w:rFonts w:ascii="Abadi" w:hAnsi="Abadi"/>
          <w:b w:val="0"/>
          <w:bCs w:val="0"/>
          <w:spacing w:val="27"/>
          <w:sz w:val="21"/>
          <w:szCs w:val="21"/>
        </w:rPr>
        <w:t xml:space="preserve"> </w:t>
      </w:r>
      <w:r w:rsidRPr="007C2763">
        <w:rPr>
          <w:rFonts w:ascii="Abadi" w:hAnsi="Abadi"/>
          <w:b w:val="0"/>
          <w:bCs w:val="0"/>
          <w:sz w:val="21"/>
          <w:szCs w:val="21"/>
        </w:rPr>
        <w:t>cuatro</w:t>
      </w:r>
      <w:r w:rsidRPr="007C2763">
        <w:rPr>
          <w:rFonts w:ascii="Abadi" w:hAnsi="Abadi"/>
          <w:b w:val="0"/>
          <w:bCs w:val="0"/>
          <w:spacing w:val="25"/>
          <w:sz w:val="21"/>
          <w:szCs w:val="21"/>
        </w:rPr>
        <w:t xml:space="preserve"> </w:t>
      </w:r>
      <w:r w:rsidRPr="007C2763">
        <w:rPr>
          <w:rFonts w:ascii="Abadi" w:hAnsi="Abadi"/>
          <w:b w:val="0"/>
          <w:bCs w:val="0"/>
          <w:sz w:val="21"/>
          <w:szCs w:val="21"/>
        </w:rPr>
        <w:t>municipios</w:t>
      </w:r>
      <w:r w:rsidRPr="007C2763">
        <w:rPr>
          <w:rFonts w:ascii="Abadi" w:hAnsi="Abadi"/>
          <w:b w:val="0"/>
          <w:bCs w:val="0"/>
          <w:spacing w:val="27"/>
          <w:sz w:val="21"/>
          <w:szCs w:val="21"/>
        </w:rPr>
        <w:t xml:space="preserve"> </w:t>
      </w:r>
      <w:r w:rsidRPr="007C2763">
        <w:rPr>
          <w:rFonts w:ascii="Abadi" w:hAnsi="Abadi"/>
          <w:b w:val="0"/>
          <w:bCs w:val="0"/>
          <w:sz w:val="21"/>
          <w:szCs w:val="21"/>
        </w:rPr>
        <w:t>de nuestro</w:t>
      </w:r>
      <w:r w:rsidRPr="007C2763">
        <w:rPr>
          <w:rFonts w:ascii="Abadi" w:hAnsi="Abadi"/>
          <w:b w:val="0"/>
          <w:bCs w:val="0"/>
          <w:spacing w:val="-1"/>
          <w:sz w:val="21"/>
          <w:szCs w:val="21"/>
        </w:rPr>
        <w:t xml:space="preserve"> </w:t>
      </w:r>
      <w:r w:rsidRPr="007C2763">
        <w:rPr>
          <w:rFonts w:ascii="Abadi" w:hAnsi="Abadi"/>
          <w:b w:val="0"/>
          <w:bCs w:val="0"/>
          <w:sz w:val="21"/>
          <w:szCs w:val="21"/>
        </w:rPr>
        <w:t>Estado</w:t>
      </w:r>
      <w:r w:rsidRPr="007C2763">
        <w:rPr>
          <w:rFonts w:ascii="Abadi" w:hAnsi="Abadi"/>
          <w:b w:val="0"/>
          <w:bCs w:val="0"/>
          <w:spacing w:val="-1"/>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más exporta</w:t>
      </w:r>
      <w:r w:rsidRPr="007C2763">
        <w:rPr>
          <w:rFonts w:ascii="Abadi" w:hAnsi="Abadi"/>
          <w:b w:val="0"/>
          <w:bCs w:val="0"/>
          <w:spacing w:val="1"/>
          <w:sz w:val="21"/>
          <w:szCs w:val="21"/>
        </w:rPr>
        <w:t xml:space="preserve"> </w:t>
      </w:r>
      <w:r w:rsidRPr="007C2763">
        <w:rPr>
          <w:rFonts w:ascii="Abadi" w:hAnsi="Abadi"/>
          <w:b w:val="0"/>
          <w:bCs w:val="0"/>
          <w:sz w:val="21"/>
          <w:szCs w:val="21"/>
        </w:rPr>
        <w:t>vegetales congelados</w:t>
      </w:r>
      <w:r w:rsidRPr="007C2763">
        <w:rPr>
          <w:rFonts w:ascii="Abadi" w:hAnsi="Abadi"/>
          <w:b w:val="0"/>
          <w:bCs w:val="0"/>
          <w:spacing w:val="-2"/>
          <w:sz w:val="21"/>
          <w:szCs w:val="21"/>
        </w:rPr>
        <w:t xml:space="preserve"> </w:t>
      </w:r>
      <w:r w:rsidRPr="007C2763">
        <w:rPr>
          <w:rFonts w:ascii="Abadi" w:hAnsi="Abadi"/>
          <w:b w:val="0"/>
          <w:bCs w:val="0"/>
          <w:sz w:val="21"/>
          <w:szCs w:val="21"/>
        </w:rPr>
        <w:t>a</w:t>
      </w:r>
      <w:r w:rsidRPr="007C2763">
        <w:rPr>
          <w:rFonts w:ascii="Abadi" w:hAnsi="Abadi"/>
          <w:b w:val="0"/>
          <w:bCs w:val="0"/>
          <w:spacing w:val="1"/>
          <w:sz w:val="21"/>
          <w:szCs w:val="21"/>
        </w:rPr>
        <w:t xml:space="preserve"> </w:t>
      </w:r>
      <w:r w:rsidRPr="007C2763">
        <w:rPr>
          <w:rFonts w:ascii="Abadi" w:hAnsi="Abadi"/>
          <w:b w:val="0"/>
          <w:bCs w:val="0"/>
          <w:sz w:val="21"/>
          <w:szCs w:val="21"/>
        </w:rPr>
        <w:t>los</w:t>
      </w:r>
      <w:r w:rsidRPr="007C2763">
        <w:rPr>
          <w:rFonts w:ascii="Abadi" w:hAnsi="Abadi"/>
          <w:b w:val="0"/>
          <w:bCs w:val="0"/>
          <w:spacing w:val="-2"/>
          <w:sz w:val="21"/>
          <w:szCs w:val="21"/>
        </w:rPr>
        <w:t xml:space="preserve"> </w:t>
      </w:r>
      <w:r w:rsidRPr="007C2763">
        <w:rPr>
          <w:rFonts w:ascii="Abadi" w:hAnsi="Abadi"/>
          <w:b w:val="0"/>
          <w:bCs w:val="0"/>
          <w:sz w:val="21"/>
          <w:szCs w:val="21"/>
        </w:rPr>
        <w:t>Estados Unidos.</w:t>
      </w:r>
    </w:p>
    <w:p w14:paraId="0A2BB618" w14:textId="77777777" w:rsidR="00374A1E" w:rsidRPr="007C2763" w:rsidRDefault="00374A1E" w:rsidP="00374A1E">
      <w:pPr>
        <w:pStyle w:val="Textoindependiente"/>
        <w:kinsoku w:val="0"/>
        <w:overflowPunct w:val="0"/>
        <w:spacing w:before="1"/>
        <w:rPr>
          <w:rFonts w:ascii="Abadi" w:hAnsi="Abadi"/>
          <w:b w:val="0"/>
          <w:bCs w:val="0"/>
          <w:sz w:val="21"/>
          <w:szCs w:val="21"/>
        </w:rPr>
      </w:pPr>
    </w:p>
    <w:p w14:paraId="49F55D88" w14:textId="77777777" w:rsidR="00374A1E" w:rsidRPr="007C2763" w:rsidRDefault="00374A1E" w:rsidP="00374A1E">
      <w:pPr>
        <w:pStyle w:val="Textoindependiente"/>
        <w:kinsoku w:val="0"/>
        <w:overflowPunct w:val="0"/>
        <w:ind w:firstLine="708"/>
        <w:rPr>
          <w:rFonts w:ascii="Abadi" w:hAnsi="Abadi"/>
          <w:b w:val="0"/>
          <w:bCs w:val="0"/>
          <w:sz w:val="21"/>
          <w:szCs w:val="21"/>
        </w:rPr>
      </w:pPr>
      <w:r w:rsidRPr="007C2763">
        <w:rPr>
          <w:rFonts w:ascii="Abadi" w:hAnsi="Abadi"/>
          <w:b w:val="0"/>
          <w:bCs w:val="0"/>
          <w:sz w:val="21"/>
          <w:szCs w:val="21"/>
        </w:rPr>
        <w:t>En</w:t>
      </w:r>
      <w:r w:rsidRPr="007C2763">
        <w:rPr>
          <w:rFonts w:ascii="Abadi" w:hAnsi="Abadi"/>
          <w:b w:val="0"/>
          <w:bCs w:val="0"/>
          <w:spacing w:val="17"/>
          <w:sz w:val="21"/>
          <w:szCs w:val="21"/>
        </w:rPr>
        <w:t xml:space="preserve"> </w:t>
      </w:r>
      <w:r w:rsidRPr="007C2763">
        <w:rPr>
          <w:rFonts w:ascii="Abadi" w:hAnsi="Abadi"/>
          <w:b w:val="0"/>
          <w:bCs w:val="0"/>
          <w:sz w:val="21"/>
          <w:szCs w:val="21"/>
        </w:rPr>
        <w:t>estos</w:t>
      </w:r>
      <w:r w:rsidRPr="007C2763">
        <w:rPr>
          <w:rFonts w:ascii="Abadi" w:hAnsi="Abadi"/>
          <w:b w:val="0"/>
          <w:bCs w:val="0"/>
          <w:spacing w:val="16"/>
          <w:sz w:val="21"/>
          <w:szCs w:val="21"/>
        </w:rPr>
        <w:t xml:space="preserve"> </w:t>
      </w:r>
      <w:r w:rsidRPr="007C2763">
        <w:rPr>
          <w:rFonts w:ascii="Abadi" w:hAnsi="Abadi"/>
          <w:b w:val="0"/>
          <w:bCs w:val="0"/>
          <w:sz w:val="21"/>
          <w:szCs w:val="21"/>
        </w:rPr>
        <w:t>primeros</w:t>
      </w:r>
      <w:r w:rsidRPr="007C2763">
        <w:rPr>
          <w:rFonts w:ascii="Abadi" w:hAnsi="Abadi"/>
          <w:b w:val="0"/>
          <w:bCs w:val="0"/>
          <w:spacing w:val="16"/>
          <w:sz w:val="21"/>
          <w:szCs w:val="21"/>
        </w:rPr>
        <w:t xml:space="preserve"> </w:t>
      </w:r>
      <w:r w:rsidRPr="007C2763">
        <w:rPr>
          <w:rFonts w:ascii="Abadi" w:hAnsi="Abadi"/>
          <w:b w:val="0"/>
          <w:bCs w:val="0"/>
          <w:sz w:val="21"/>
          <w:szCs w:val="21"/>
        </w:rPr>
        <w:t>70</w:t>
      </w:r>
      <w:r w:rsidRPr="007C2763">
        <w:rPr>
          <w:rFonts w:ascii="Abadi" w:hAnsi="Abadi"/>
          <w:b w:val="0"/>
          <w:bCs w:val="0"/>
          <w:spacing w:val="19"/>
          <w:sz w:val="21"/>
          <w:szCs w:val="21"/>
        </w:rPr>
        <w:t xml:space="preserve"> </w:t>
      </w:r>
      <w:r w:rsidRPr="007C2763">
        <w:rPr>
          <w:rFonts w:ascii="Abadi" w:hAnsi="Abadi"/>
          <w:b w:val="0"/>
          <w:bCs w:val="0"/>
          <w:sz w:val="21"/>
          <w:szCs w:val="21"/>
        </w:rPr>
        <w:t>años</w:t>
      </w:r>
      <w:r w:rsidRPr="007C2763">
        <w:rPr>
          <w:rFonts w:ascii="Abadi" w:hAnsi="Abadi"/>
          <w:b w:val="0"/>
          <w:bCs w:val="0"/>
          <w:spacing w:val="16"/>
          <w:sz w:val="21"/>
          <w:szCs w:val="21"/>
        </w:rPr>
        <w:t xml:space="preserve"> </w:t>
      </w:r>
      <w:r w:rsidRPr="007C2763">
        <w:rPr>
          <w:rFonts w:ascii="Abadi" w:hAnsi="Abadi"/>
          <w:b w:val="0"/>
          <w:bCs w:val="0"/>
          <w:sz w:val="21"/>
          <w:szCs w:val="21"/>
        </w:rPr>
        <w:t>de</w:t>
      </w:r>
      <w:r w:rsidRPr="007C2763">
        <w:rPr>
          <w:rFonts w:ascii="Abadi" w:hAnsi="Abadi"/>
          <w:b w:val="0"/>
          <w:bCs w:val="0"/>
          <w:spacing w:val="17"/>
          <w:sz w:val="21"/>
          <w:szCs w:val="21"/>
        </w:rPr>
        <w:t xml:space="preserve"> </w:t>
      </w:r>
      <w:r w:rsidRPr="007C2763">
        <w:rPr>
          <w:rFonts w:ascii="Abadi" w:hAnsi="Abadi"/>
          <w:b w:val="0"/>
          <w:bCs w:val="0"/>
          <w:sz w:val="21"/>
          <w:szCs w:val="21"/>
        </w:rPr>
        <w:t>vida</w:t>
      </w:r>
      <w:r w:rsidRPr="007C2763">
        <w:rPr>
          <w:rFonts w:ascii="Abadi" w:hAnsi="Abadi"/>
          <w:b w:val="0"/>
          <w:bCs w:val="0"/>
          <w:spacing w:val="17"/>
          <w:sz w:val="21"/>
          <w:szCs w:val="21"/>
        </w:rPr>
        <w:t xml:space="preserve"> </w:t>
      </w:r>
      <w:r w:rsidRPr="007C2763">
        <w:rPr>
          <w:rFonts w:ascii="Abadi" w:hAnsi="Abadi"/>
          <w:b w:val="0"/>
          <w:bCs w:val="0"/>
          <w:sz w:val="21"/>
          <w:szCs w:val="21"/>
        </w:rPr>
        <w:t>municipal</w:t>
      </w:r>
      <w:r w:rsidRPr="007C2763">
        <w:rPr>
          <w:rFonts w:ascii="Abadi" w:hAnsi="Abadi"/>
          <w:b w:val="0"/>
          <w:bCs w:val="0"/>
          <w:spacing w:val="18"/>
          <w:sz w:val="21"/>
          <w:szCs w:val="21"/>
        </w:rPr>
        <w:t xml:space="preserve"> </w:t>
      </w:r>
      <w:r w:rsidRPr="007C2763">
        <w:rPr>
          <w:rFonts w:ascii="Abadi" w:hAnsi="Abadi"/>
          <w:b w:val="0"/>
          <w:bCs w:val="0"/>
          <w:sz w:val="21"/>
          <w:szCs w:val="21"/>
        </w:rPr>
        <w:t>los</w:t>
      </w:r>
      <w:r w:rsidRPr="007C2763">
        <w:rPr>
          <w:rFonts w:ascii="Abadi" w:hAnsi="Abadi"/>
          <w:b w:val="0"/>
          <w:bCs w:val="0"/>
          <w:spacing w:val="18"/>
          <w:sz w:val="21"/>
          <w:szCs w:val="21"/>
        </w:rPr>
        <w:t xml:space="preserve"> </w:t>
      </w:r>
      <w:r w:rsidRPr="007C2763">
        <w:rPr>
          <w:rFonts w:ascii="Abadi" w:hAnsi="Abadi"/>
          <w:b w:val="0"/>
          <w:bCs w:val="0"/>
          <w:sz w:val="21"/>
          <w:szCs w:val="21"/>
        </w:rPr>
        <w:t>Doctormorenses</w:t>
      </w:r>
      <w:r w:rsidRPr="007C2763">
        <w:rPr>
          <w:rFonts w:ascii="Abadi" w:hAnsi="Abadi"/>
          <w:b w:val="0"/>
          <w:bCs w:val="0"/>
          <w:spacing w:val="18"/>
          <w:sz w:val="21"/>
          <w:szCs w:val="21"/>
        </w:rPr>
        <w:t xml:space="preserve"> </w:t>
      </w:r>
      <w:r w:rsidRPr="007C2763">
        <w:rPr>
          <w:rFonts w:ascii="Abadi" w:hAnsi="Abadi"/>
          <w:b w:val="0"/>
          <w:bCs w:val="0"/>
          <w:sz w:val="21"/>
          <w:szCs w:val="21"/>
        </w:rPr>
        <w:t>se manifiestan</w:t>
      </w:r>
      <w:r w:rsidRPr="007C2763">
        <w:rPr>
          <w:rFonts w:ascii="Abadi" w:hAnsi="Abadi"/>
          <w:b w:val="0"/>
          <w:bCs w:val="0"/>
          <w:spacing w:val="39"/>
          <w:sz w:val="21"/>
          <w:szCs w:val="21"/>
        </w:rPr>
        <w:t xml:space="preserve"> </w:t>
      </w:r>
      <w:r w:rsidRPr="007C2763">
        <w:rPr>
          <w:rFonts w:ascii="Abadi" w:hAnsi="Abadi"/>
          <w:b w:val="0"/>
          <w:bCs w:val="0"/>
          <w:sz w:val="21"/>
          <w:szCs w:val="21"/>
        </w:rPr>
        <w:t>orgullosos</w:t>
      </w:r>
      <w:r w:rsidRPr="007C2763">
        <w:rPr>
          <w:rFonts w:ascii="Abadi" w:hAnsi="Abadi"/>
          <w:b w:val="0"/>
          <w:bCs w:val="0"/>
          <w:spacing w:val="36"/>
          <w:sz w:val="21"/>
          <w:szCs w:val="21"/>
        </w:rPr>
        <w:t xml:space="preserve"> </w:t>
      </w:r>
      <w:r w:rsidRPr="007C2763">
        <w:rPr>
          <w:rFonts w:ascii="Abadi" w:hAnsi="Abadi"/>
          <w:b w:val="0"/>
          <w:bCs w:val="0"/>
          <w:sz w:val="21"/>
          <w:szCs w:val="21"/>
        </w:rPr>
        <w:t>de</w:t>
      </w:r>
      <w:r w:rsidRPr="007C2763">
        <w:rPr>
          <w:rFonts w:ascii="Abadi" w:hAnsi="Abadi"/>
          <w:b w:val="0"/>
          <w:bCs w:val="0"/>
          <w:spacing w:val="40"/>
          <w:sz w:val="21"/>
          <w:szCs w:val="21"/>
        </w:rPr>
        <w:t xml:space="preserve"> </w:t>
      </w:r>
      <w:r w:rsidRPr="007C2763">
        <w:rPr>
          <w:rFonts w:ascii="Abadi" w:hAnsi="Abadi"/>
          <w:b w:val="0"/>
          <w:bCs w:val="0"/>
          <w:sz w:val="21"/>
          <w:szCs w:val="21"/>
        </w:rPr>
        <w:t>su</w:t>
      </w:r>
      <w:r w:rsidRPr="007C2763">
        <w:rPr>
          <w:rFonts w:ascii="Abadi" w:hAnsi="Abadi"/>
          <w:b w:val="0"/>
          <w:bCs w:val="0"/>
          <w:spacing w:val="39"/>
          <w:sz w:val="21"/>
          <w:szCs w:val="21"/>
        </w:rPr>
        <w:t xml:space="preserve"> </w:t>
      </w:r>
      <w:r w:rsidRPr="007C2763">
        <w:rPr>
          <w:rFonts w:ascii="Abadi" w:hAnsi="Abadi"/>
          <w:b w:val="0"/>
          <w:bCs w:val="0"/>
          <w:sz w:val="21"/>
          <w:szCs w:val="21"/>
        </w:rPr>
        <w:t>origen,</w:t>
      </w:r>
      <w:r w:rsidRPr="007C2763">
        <w:rPr>
          <w:rFonts w:ascii="Abadi" w:hAnsi="Abadi"/>
          <w:b w:val="0"/>
          <w:bCs w:val="0"/>
          <w:spacing w:val="39"/>
          <w:sz w:val="21"/>
          <w:szCs w:val="21"/>
        </w:rPr>
        <w:t xml:space="preserve"> </w:t>
      </w:r>
      <w:r w:rsidRPr="007C2763">
        <w:rPr>
          <w:rFonts w:ascii="Abadi" w:hAnsi="Abadi"/>
          <w:b w:val="0"/>
          <w:bCs w:val="0"/>
          <w:sz w:val="21"/>
          <w:szCs w:val="21"/>
        </w:rPr>
        <w:t>de</w:t>
      </w:r>
      <w:r w:rsidRPr="007C2763">
        <w:rPr>
          <w:rFonts w:ascii="Abadi" w:hAnsi="Abadi"/>
          <w:b w:val="0"/>
          <w:bCs w:val="0"/>
          <w:spacing w:val="40"/>
          <w:sz w:val="21"/>
          <w:szCs w:val="21"/>
        </w:rPr>
        <w:t xml:space="preserve"> </w:t>
      </w:r>
      <w:r w:rsidRPr="007C2763">
        <w:rPr>
          <w:rFonts w:ascii="Abadi" w:hAnsi="Abadi"/>
          <w:b w:val="0"/>
          <w:bCs w:val="0"/>
          <w:sz w:val="21"/>
          <w:szCs w:val="21"/>
        </w:rPr>
        <w:t>su</w:t>
      </w:r>
      <w:r w:rsidRPr="007C2763">
        <w:rPr>
          <w:rFonts w:ascii="Abadi" w:hAnsi="Abadi"/>
          <w:b w:val="0"/>
          <w:bCs w:val="0"/>
          <w:spacing w:val="36"/>
          <w:sz w:val="21"/>
          <w:szCs w:val="21"/>
        </w:rPr>
        <w:t xml:space="preserve"> </w:t>
      </w:r>
      <w:r w:rsidRPr="007C2763">
        <w:rPr>
          <w:rFonts w:ascii="Abadi" w:hAnsi="Abadi"/>
          <w:b w:val="0"/>
          <w:bCs w:val="0"/>
          <w:sz w:val="21"/>
          <w:szCs w:val="21"/>
        </w:rPr>
        <w:t>historia,</w:t>
      </w:r>
      <w:r w:rsidRPr="007C2763">
        <w:rPr>
          <w:rFonts w:ascii="Abadi" w:hAnsi="Abadi"/>
          <w:b w:val="0"/>
          <w:bCs w:val="0"/>
          <w:spacing w:val="39"/>
          <w:sz w:val="21"/>
          <w:szCs w:val="21"/>
        </w:rPr>
        <w:t xml:space="preserve"> </w:t>
      </w:r>
      <w:r w:rsidRPr="007C2763">
        <w:rPr>
          <w:rFonts w:ascii="Abadi" w:hAnsi="Abadi"/>
          <w:b w:val="0"/>
          <w:bCs w:val="0"/>
          <w:sz w:val="21"/>
          <w:szCs w:val="21"/>
        </w:rPr>
        <w:t>de</w:t>
      </w:r>
      <w:r w:rsidRPr="007C2763">
        <w:rPr>
          <w:rFonts w:ascii="Abadi" w:hAnsi="Abadi"/>
          <w:b w:val="0"/>
          <w:bCs w:val="0"/>
          <w:spacing w:val="40"/>
          <w:sz w:val="21"/>
          <w:szCs w:val="21"/>
        </w:rPr>
        <w:t xml:space="preserve"> </w:t>
      </w:r>
      <w:r w:rsidRPr="007C2763">
        <w:rPr>
          <w:rFonts w:ascii="Abadi" w:hAnsi="Abadi"/>
          <w:b w:val="0"/>
          <w:bCs w:val="0"/>
          <w:sz w:val="21"/>
          <w:szCs w:val="21"/>
        </w:rPr>
        <w:t>su</w:t>
      </w:r>
      <w:r w:rsidRPr="007C2763">
        <w:rPr>
          <w:rFonts w:ascii="Abadi" w:hAnsi="Abadi"/>
          <w:b w:val="0"/>
          <w:bCs w:val="0"/>
          <w:spacing w:val="39"/>
          <w:sz w:val="21"/>
          <w:szCs w:val="21"/>
        </w:rPr>
        <w:t xml:space="preserve"> </w:t>
      </w:r>
      <w:r w:rsidRPr="007C2763">
        <w:rPr>
          <w:rFonts w:ascii="Abadi" w:hAnsi="Abadi"/>
          <w:b w:val="0"/>
          <w:bCs w:val="0"/>
          <w:sz w:val="21"/>
          <w:szCs w:val="21"/>
        </w:rPr>
        <w:t>identidad.</w:t>
      </w:r>
      <w:r w:rsidRPr="007C2763">
        <w:rPr>
          <w:rFonts w:ascii="Abadi" w:hAnsi="Abadi"/>
          <w:b w:val="0"/>
          <w:bCs w:val="0"/>
          <w:spacing w:val="39"/>
          <w:sz w:val="21"/>
          <w:szCs w:val="21"/>
        </w:rPr>
        <w:t xml:space="preserve"> </w:t>
      </w:r>
      <w:r w:rsidRPr="007C2763">
        <w:rPr>
          <w:rFonts w:ascii="Abadi" w:hAnsi="Abadi"/>
          <w:b w:val="0"/>
          <w:bCs w:val="0"/>
          <w:sz w:val="21"/>
          <w:szCs w:val="21"/>
        </w:rPr>
        <w:t>Se</w:t>
      </w:r>
      <w:r w:rsidRPr="007C2763">
        <w:rPr>
          <w:rFonts w:ascii="Abadi" w:hAnsi="Abadi"/>
          <w:b w:val="0"/>
          <w:bCs w:val="0"/>
          <w:spacing w:val="40"/>
          <w:sz w:val="21"/>
          <w:szCs w:val="21"/>
        </w:rPr>
        <w:t xml:space="preserve"> </w:t>
      </w:r>
      <w:r w:rsidRPr="007C2763">
        <w:rPr>
          <w:rFonts w:ascii="Abadi" w:hAnsi="Abadi"/>
          <w:b w:val="0"/>
          <w:bCs w:val="0"/>
          <w:sz w:val="21"/>
          <w:szCs w:val="21"/>
        </w:rPr>
        <w:t>sienten</w:t>
      </w:r>
    </w:p>
    <w:p w14:paraId="651207B1" w14:textId="77777777" w:rsidR="00374A1E" w:rsidRPr="007C2763" w:rsidRDefault="00374A1E" w:rsidP="00374A1E">
      <w:pPr>
        <w:pStyle w:val="Textoindependiente"/>
        <w:kinsoku w:val="0"/>
        <w:overflowPunct w:val="0"/>
        <w:rPr>
          <w:rFonts w:ascii="Abadi" w:hAnsi="Abadi"/>
          <w:b w:val="0"/>
          <w:bCs w:val="0"/>
          <w:sz w:val="21"/>
          <w:szCs w:val="21"/>
        </w:rPr>
      </w:pPr>
      <w:r w:rsidRPr="007C2763">
        <w:rPr>
          <w:rFonts w:ascii="Abadi" w:hAnsi="Abadi"/>
          <w:b w:val="0"/>
          <w:bCs w:val="0"/>
          <w:sz w:val="21"/>
          <w:szCs w:val="21"/>
        </w:rPr>
        <w:t>orgullosos</w:t>
      </w:r>
      <w:r w:rsidRPr="007C2763">
        <w:rPr>
          <w:rFonts w:ascii="Abadi" w:hAnsi="Abadi"/>
          <w:b w:val="0"/>
          <w:bCs w:val="0"/>
          <w:spacing w:val="-2"/>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Charcas.</w:t>
      </w:r>
    </w:p>
    <w:p w14:paraId="7FBDF09B" w14:textId="77777777" w:rsidR="00374A1E" w:rsidRPr="007C2763" w:rsidRDefault="00374A1E" w:rsidP="00374A1E">
      <w:pPr>
        <w:pStyle w:val="Textoindependiente"/>
        <w:kinsoku w:val="0"/>
        <w:overflowPunct w:val="0"/>
        <w:ind w:right="116" w:firstLine="708"/>
        <w:rPr>
          <w:rFonts w:ascii="Abadi" w:hAnsi="Abadi"/>
          <w:b w:val="0"/>
          <w:bCs w:val="0"/>
          <w:sz w:val="21"/>
          <w:szCs w:val="21"/>
        </w:rPr>
      </w:pPr>
    </w:p>
    <w:p w14:paraId="34C46C4F" w14:textId="77777777" w:rsidR="00374A1E" w:rsidRPr="007C2763" w:rsidRDefault="00374A1E" w:rsidP="00374A1E">
      <w:pPr>
        <w:pStyle w:val="Textoindependiente"/>
        <w:kinsoku w:val="0"/>
        <w:overflowPunct w:val="0"/>
        <w:ind w:right="116" w:firstLine="708"/>
        <w:rPr>
          <w:rFonts w:ascii="Abadi" w:hAnsi="Abadi"/>
          <w:b w:val="0"/>
          <w:bCs w:val="0"/>
          <w:sz w:val="21"/>
          <w:szCs w:val="21"/>
        </w:rPr>
      </w:pPr>
    </w:p>
    <w:p w14:paraId="6E7BF23B" w14:textId="77777777" w:rsidR="00374A1E" w:rsidRPr="007C2763" w:rsidRDefault="00374A1E" w:rsidP="00374A1E">
      <w:pPr>
        <w:pStyle w:val="Textoindependiente"/>
        <w:kinsoku w:val="0"/>
        <w:overflowPunct w:val="0"/>
        <w:ind w:right="116" w:firstLine="708"/>
        <w:rPr>
          <w:rFonts w:ascii="Abadi" w:hAnsi="Abadi"/>
          <w:b w:val="0"/>
          <w:bCs w:val="0"/>
          <w:sz w:val="21"/>
          <w:szCs w:val="21"/>
        </w:rPr>
      </w:pPr>
      <w:r w:rsidRPr="007C2763">
        <w:rPr>
          <w:rFonts w:ascii="Abadi" w:hAnsi="Abadi"/>
          <w:b w:val="0"/>
          <w:bCs w:val="0"/>
          <w:sz w:val="21"/>
          <w:szCs w:val="21"/>
        </w:rPr>
        <w:t>Por</w:t>
      </w:r>
      <w:r w:rsidRPr="007C2763">
        <w:rPr>
          <w:rFonts w:ascii="Abadi" w:hAnsi="Abadi"/>
          <w:b w:val="0"/>
          <w:bCs w:val="0"/>
          <w:spacing w:val="61"/>
          <w:sz w:val="21"/>
          <w:szCs w:val="21"/>
        </w:rPr>
        <w:t xml:space="preserve"> </w:t>
      </w:r>
      <w:r w:rsidRPr="007C2763">
        <w:rPr>
          <w:rFonts w:ascii="Abadi" w:hAnsi="Abadi"/>
          <w:b w:val="0"/>
          <w:bCs w:val="0"/>
          <w:sz w:val="21"/>
          <w:szCs w:val="21"/>
        </w:rPr>
        <w:t>otro</w:t>
      </w:r>
      <w:r w:rsidRPr="007C2763">
        <w:rPr>
          <w:rFonts w:ascii="Abadi" w:hAnsi="Abadi"/>
          <w:b w:val="0"/>
          <w:bCs w:val="0"/>
          <w:spacing w:val="62"/>
          <w:sz w:val="21"/>
          <w:szCs w:val="21"/>
        </w:rPr>
        <w:t xml:space="preserve"> </w:t>
      </w:r>
      <w:r w:rsidRPr="007C2763">
        <w:rPr>
          <w:rFonts w:ascii="Abadi" w:hAnsi="Abadi"/>
          <w:b w:val="0"/>
          <w:bCs w:val="0"/>
          <w:sz w:val="21"/>
          <w:szCs w:val="21"/>
        </w:rPr>
        <w:t>parte,</w:t>
      </w:r>
      <w:r w:rsidRPr="007C2763">
        <w:rPr>
          <w:rFonts w:ascii="Abadi" w:hAnsi="Abadi"/>
          <w:b w:val="0"/>
          <w:bCs w:val="0"/>
          <w:spacing w:val="59"/>
          <w:sz w:val="21"/>
          <w:szCs w:val="21"/>
        </w:rPr>
        <w:t xml:space="preserve"> </w:t>
      </w:r>
      <w:r w:rsidRPr="007C2763">
        <w:rPr>
          <w:rFonts w:ascii="Abadi" w:hAnsi="Abadi"/>
          <w:b w:val="0"/>
          <w:bCs w:val="0"/>
          <w:sz w:val="21"/>
          <w:szCs w:val="21"/>
        </w:rPr>
        <w:t>en</w:t>
      </w:r>
      <w:r w:rsidRPr="007C2763">
        <w:rPr>
          <w:rFonts w:ascii="Abadi" w:hAnsi="Abadi"/>
          <w:b w:val="0"/>
          <w:bCs w:val="0"/>
          <w:spacing w:val="59"/>
          <w:sz w:val="21"/>
          <w:szCs w:val="21"/>
        </w:rPr>
        <w:t xml:space="preserve"> </w:t>
      </w:r>
      <w:r w:rsidRPr="007C2763">
        <w:rPr>
          <w:rFonts w:ascii="Abadi" w:hAnsi="Abadi"/>
          <w:b w:val="0"/>
          <w:bCs w:val="0"/>
          <w:sz w:val="21"/>
          <w:szCs w:val="21"/>
        </w:rPr>
        <w:t>estos</w:t>
      </w:r>
      <w:r w:rsidRPr="007C2763">
        <w:rPr>
          <w:rFonts w:ascii="Abadi" w:hAnsi="Abadi"/>
          <w:b w:val="0"/>
          <w:bCs w:val="0"/>
          <w:spacing w:val="61"/>
          <w:sz w:val="21"/>
          <w:szCs w:val="21"/>
        </w:rPr>
        <w:t xml:space="preserve"> </w:t>
      </w:r>
      <w:r w:rsidRPr="007C2763">
        <w:rPr>
          <w:rFonts w:ascii="Abadi" w:hAnsi="Abadi"/>
          <w:b w:val="0"/>
          <w:bCs w:val="0"/>
          <w:sz w:val="21"/>
          <w:szCs w:val="21"/>
        </w:rPr>
        <w:t>primeros</w:t>
      </w:r>
      <w:r w:rsidRPr="007C2763">
        <w:rPr>
          <w:rFonts w:ascii="Abadi" w:hAnsi="Abadi"/>
          <w:b w:val="0"/>
          <w:bCs w:val="0"/>
          <w:spacing w:val="61"/>
          <w:sz w:val="21"/>
          <w:szCs w:val="21"/>
        </w:rPr>
        <w:t xml:space="preserve"> </w:t>
      </w:r>
      <w:r w:rsidRPr="007C2763">
        <w:rPr>
          <w:rFonts w:ascii="Abadi" w:hAnsi="Abadi"/>
          <w:b w:val="0"/>
          <w:bCs w:val="0"/>
          <w:sz w:val="21"/>
          <w:szCs w:val="21"/>
        </w:rPr>
        <w:t>70</w:t>
      </w:r>
      <w:r w:rsidRPr="007C2763">
        <w:rPr>
          <w:rFonts w:ascii="Abadi" w:hAnsi="Abadi"/>
          <w:b w:val="0"/>
          <w:bCs w:val="0"/>
          <w:spacing w:val="59"/>
          <w:sz w:val="21"/>
          <w:szCs w:val="21"/>
        </w:rPr>
        <w:t xml:space="preserve"> </w:t>
      </w:r>
      <w:r w:rsidRPr="007C2763">
        <w:rPr>
          <w:rFonts w:ascii="Abadi" w:hAnsi="Abadi"/>
          <w:b w:val="0"/>
          <w:bCs w:val="0"/>
          <w:sz w:val="21"/>
          <w:szCs w:val="21"/>
        </w:rPr>
        <w:t>años</w:t>
      </w:r>
      <w:r w:rsidRPr="007C2763">
        <w:rPr>
          <w:rFonts w:ascii="Abadi" w:hAnsi="Abadi"/>
          <w:b w:val="0"/>
          <w:bCs w:val="0"/>
          <w:spacing w:val="61"/>
          <w:sz w:val="21"/>
          <w:szCs w:val="21"/>
        </w:rPr>
        <w:t xml:space="preserve"> </w:t>
      </w:r>
      <w:r w:rsidRPr="007C2763">
        <w:rPr>
          <w:rFonts w:ascii="Abadi" w:hAnsi="Abadi"/>
          <w:b w:val="0"/>
          <w:bCs w:val="0"/>
          <w:sz w:val="21"/>
          <w:szCs w:val="21"/>
        </w:rPr>
        <w:t>de</w:t>
      </w:r>
      <w:r w:rsidRPr="007C2763">
        <w:rPr>
          <w:rFonts w:ascii="Abadi" w:hAnsi="Abadi"/>
          <w:b w:val="0"/>
          <w:bCs w:val="0"/>
          <w:spacing w:val="62"/>
          <w:sz w:val="21"/>
          <w:szCs w:val="21"/>
        </w:rPr>
        <w:t xml:space="preserve"> </w:t>
      </w:r>
      <w:r w:rsidRPr="007C2763">
        <w:rPr>
          <w:rFonts w:ascii="Abadi" w:hAnsi="Abadi"/>
          <w:b w:val="0"/>
          <w:bCs w:val="0"/>
          <w:sz w:val="21"/>
          <w:szCs w:val="21"/>
        </w:rPr>
        <w:t>vida</w:t>
      </w:r>
      <w:r w:rsidRPr="007C2763">
        <w:rPr>
          <w:rFonts w:ascii="Abadi" w:hAnsi="Abadi"/>
          <w:b w:val="0"/>
          <w:bCs w:val="0"/>
          <w:spacing w:val="62"/>
          <w:sz w:val="21"/>
          <w:szCs w:val="21"/>
        </w:rPr>
        <w:t xml:space="preserve"> </w:t>
      </w:r>
      <w:r w:rsidRPr="007C2763">
        <w:rPr>
          <w:rFonts w:ascii="Abadi" w:hAnsi="Abadi"/>
          <w:b w:val="0"/>
          <w:bCs w:val="0"/>
          <w:sz w:val="21"/>
          <w:szCs w:val="21"/>
        </w:rPr>
        <w:t>municipal</w:t>
      </w:r>
      <w:r w:rsidRPr="007C2763">
        <w:rPr>
          <w:rFonts w:ascii="Abadi" w:hAnsi="Abadi"/>
          <w:b w:val="0"/>
          <w:bCs w:val="0"/>
          <w:spacing w:val="60"/>
          <w:sz w:val="21"/>
          <w:szCs w:val="21"/>
        </w:rPr>
        <w:t xml:space="preserve"> </w:t>
      </w:r>
      <w:r w:rsidRPr="007C2763">
        <w:rPr>
          <w:rFonts w:ascii="Abadi" w:hAnsi="Abadi"/>
          <w:b w:val="0"/>
          <w:bCs w:val="0"/>
          <w:sz w:val="21"/>
          <w:szCs w:val="21"/>
        </w:rPr>
        <w:t>los Doctormorenses</w:t>
      </w:r>
      <w:r w:rsidRPr="007C2763">
        <w:rPr>
          <w:rFonts w:ascii="Abadi" w:hAnsi="Abadi"/>
          <w:b w:val="0"/>
          <w:bCs w:val="0"/>
          <w:spacing w:val="38"/>
          <w:sz w:val="21"/>
          <w:szCs w:val="21"/>
        </w:rPr>
        <w:t xml:space="preserve"> </w:t>
      </w:r>
      <w:r w:rsidRPr="007C2763">
        <w:rPr>
          <w:rFonts w:ascii="Abadi" w:hAnsi="Abadi"/>
          <w:b w:val="0"/>
          <w:bCs w:val="0"/>
          <w:sz w:val="21"/>
          <w:szCs w:val="21"/>
        </w:rPr>
        <w:t>se</w:t>
      </w:r>
      <w:r w:rsidRPr="007C2763">
        <w:rPr>
          <w:rFonts w:ascii="Abadi" w:hAnsi="Abadi"/>
          <w:b w:val="0"/>
          <w:bCs w:val="0"/>
          <w:spacing w:val="40"/>
          <w:sz w:val="21"/>
          <w:szCs w:val="21"/>
        </w:rPr>
        <w:t xml:space="preserve"> </w:t>
      </w:r>
      <w:r w:rsidRPr="007C2763">
        <w:rPr>
          <w:rFonts w:ascii="Abadi" w:hAnsi="Abadi"/>
          <w:b w:val="0"/>
          <w:bCs w:val="0"/>
          <w:sz w:val="21"/>
          <w:szCs w:val="21"/>
        </w:rPr>
        <w:t>sienten</w:t>
      </w:r>
      <w:r w:rsidRPr="007C2763">
        <w:rPr>
          <w:rFonts w:ascii="Abadi" w:hAnsi="Abadi"/>
          <w:b w:val="0"/>
          <w:bCs w:val="0"/>
          <w:spacing w:val="40"/>
          <w:sz w:val="21"/>
          <w:szCs w:val="21"/>
        </w:rPr>
        <w:t xml:space="preserve"> </w:t>
      </w:r>
      <w:r w:rsidRPr="007C2763">
        <w:rPr>
          <w:rFonts w:ascii="Abadi" w:hAnsi="Abadi"/>
          <w:b w:val="0"/>
          <w:bCs w:val="0"/>
          <w:sz w:val="21"/>
          <w:szCs w:val="21"/>
        </w:rPr>
        <w:t>también</w:t>
      </w:r>
      <w:r w:rsidRPr="007C2763">
        <w:rPr>
          <w:rFonts w:ascii="Abadi" w:hAnsi="Abadi"/>
          <w:b w:val="0"/>
          <w:bCs w:val="0"/>
          <w:spacing w:val="39"/>
          <w:sz w:val="21"/>
          <w:szCs w:val="21"/>
        </w:rPr>
        <w:t xml:space="preserve"> </w:t>
      </w:r>
      <w:r w:rsidRPr="007C2763">
        <w:rPr>
          <w:rFonts w:ascii="Abadi" w:hAnsi="Abadi"/>
          <w:b w:val="0"/>
          <w:bCs w:val="0"/>
          <w:sz w:val="21"/>
          <w:szCs w:val="21"/>
        </w:rPr>
        <w:t>comprometidos</w:t>
      </w:r>
      <w:r w:rsidRPr="007C2763">
        <w:rPr>
          <w:rFonts w:ascii="Abadi" w:hAnsi="Abadi"/>
          <w:b w:val="0"/>
          <w:bCs w:val="0"/>
          <w:spacing w:val="39"/>
          <w:sz w:val="21"/>
          <w:szCs w:val="21"/>
        </w:rPr>
        <w:t xml:space="preserve"> </w:t>
      </w:r>
      <w:r w:rsidRPr="007C2763">
        <w:rPr>
          <w:rFonts w:ascii="Abadi" w:hAnsi="Abadi"/>
          <w:b w:val="0"/>
          <w:bCs w:val="0"/>
          <w:sz w:val="21"/>
          <w:szCs w:val="21"/>
        </w:rPr>
        <w:t>con</w:t>
      </w:r>
      <w:r w:rsidRPr="007C2763">
        <w:rPr>
          <w:rFonts w:ascii="Abadi" w:hAnsi="Abadi"/>
          <w:b w:val="0"/>
          <w:bCs w:val="0"/>
          <w:spacing w:val="40"/>
          <w:sz w:val="21"/>
          <w:szCs w:val="21"/>
        </w:rPr>
        <w:t xml:space="preserve"> </w:t>
      </w:r>
      <w:r w:rsidRPr="007C2763">
        <w:rPr>
          <w:rFonts w:ascii="Abadi" w:hAnsi="Abadi"/>
          <w:b w:val="0"/>
          <w:bCs w:val="0"/>
          <w:sz w:val="21"/>
          <w:szCs w:val="21"/>
        </w:rPr>
        <w:t>el</w:t>
      </w:r>
      <w:r w:rsidRPr="007C2763">
        <w:rPr>
          <w:rFonts w:ascii="Abadi" w:hAnsi="Abadi"/>
          <w:b w:val="0"/>
          <w:bCs w:val="0"/>
          <w:spacing w:val="37"/>
          <w:sz w:val="21"/>
          <w:szCs w:val="21"/>
        </w:rPr>
        <w:t xml:space="preserve"> </w:t>
      </w:r>
      <w:r w:rsidRPr="007C2763">
        <w:rPr>
          <w:rFonts w:ascii="Abadi" w:hAnsi="Abadi"/>
          <w:b w:val="0"/>
          <w:bCs w:val="0"/>
          <w:sz w:val="21"/>
          <w:szCs w:val="21"/>
        </w:rPr>
        <w:t>desarrollo</w:t>
      </w:r>
      <w:r w:rsidRPr="007C2763">
        <w:rPr>
          <w:rFonts w:ascii="Abadi" w:hAnsi="Abadi"/>
          <w:b w:val="0"/>
          <w:bCs w:val="0"/>
          <w:spacing w:val="40"/>
          <w:sz w:val="21"/>
          <w:szCs w:val="21"/>
        </w:rPr>
        <w:t xml:space="preserve"> </w:t>
      </w:r>
      <w:r w:rsidRPr="007C2763">
        <w:rPr>
          <w:rFonts w:ascii="Abadi" w:hAnsi="Abadi"/>
          <w:b w:val="0"/>
          <w:bCs w:val="0"/>
          <w:sz w:val="21"/>
          <w:szCs w:val="21"/>
        </w:rPr>
        <w:t>de</w:t>
      </w:r>
      <w:r w:rsidRPr="007C2763">
        <w:rPr>
          <w:rFonts w:ascii="Abadi" w:hAnsi="Abadi"/>
          <w:b w:val="0"/>
          <w:bCs w:val="0"/>
          <w:spacing w:val="40"/>
          <w:sz w:val="21"/>
          <w:szCs w:val="21"/>
        </w:rPr>
        <w:t xml:space="preserve"> </w:t>
      </w:r>
      <w:r w:rsidRPr="007C2763">
        <w:rPr>
          <w:rFonts w:ascii="Abadi" w:hAnsi="Abadi"/>
          <w:b w:val="0"/>
          <w:bCs w:val="0"/>
          <w:sz w:val="21"/>
          <w:szCs w:val="21"/>
        </w:rPr>
        <w:t>Doctor Mora</w:t>
      </w:r>
      <w:r w:rsidRPr="007C2763">
        <w:rPr>
          <w:rFonts w:ascii="Abadi" w:hAnsi="Abadi"/>
          <w:b w:val="0"/>
          <w:bCs w:val="0"/>
          <w:spacing w:val="25"/>
          <w:sz w:val="21"/>
          <w:szCs w:val="21"/>
        </w:rPr>
        <w:t xml:space="preserve"> </w:t>
      </w:r>
      <w:r w:rsidRPr="007C2763">
        <w:rPr>
          <w:rFonts w:ascii="Abadi" w:hAnsi="Abadi"/>
          <w:b w:val="0"/>
          <w:bCs w:val="0"/>
          <w:sz w:val="21"/>
          <w:szCs w:val="21"/>
        </w:rPr>
        <w:t>e</w:t>
      </w:r>
      <w:r w:rsidRPr="007C2763">
        <w:rPr>
          <w:rFonts w:ascii="Abadi" w:hAnsi="Abadi"/>
          <w:b w:val="0"/>
          <w:bCs w:val="0"/>
          <w:spacing w:val="22"/>
          <w:sz w:val="21"/>
          <w:szCs w:val="21"/>
        </w:rPr>
        <w:t xml:space="preserve"> </w:t>
      </w:r>
      <w:r w:rsidRPr="007C2763">
        <w:rPr>
          <w:rFonts w:ascii="Abadi" w:hAnsi="Abadi"/>
          <w:b w:val="0"/>
          <w:bCs w:val="0"/>
          <w:sz w:val="21"/>
          <w:szCs w:val="21"/>
        </w:rPr>
        <w:t>igual</w:t>
      </w:r>
      <w:r w:rsidRPr="007C2763">
        <w:rPr>
          <w:rFonts w:ascii="Abadi" w:hAnsi="Abadi"/>
          <w:b w:val="0"/>
          <w:bCs w:val="0"/>
          <w:spacing w:val="24"/>
          <w:sz w:val="21"/>
          <w:szCs w:val="21"/>
        </w:rPr>
        <w:t xml:space="preserve"> </w:t>
      </w:r>
      <w:r w:rsidRPr="007C2763">
        <w:rPr>
          <w:rFonts w:ascii="Abadi" w:hAnsi="Abadi"/>
          <w:b w:val="0"/>
          <w:bCs w:val="0"/>
          <w:sz w:val="21"/>
          <w:szCs w:val="21"/>
        </w:rPr>
        <w:t>que</w:t>
      </w:r>
      <w:r w:rsidRPr="007C2763">
        <w:rPr>
          <w:rFonts w:ascii="Abadi" w:hAnsi="Abadi"/>
          <w:b w:val="0"/>
          <w:bCs w:val="0"/>
          <w:spacing w:val="23"/>
          <w:sz w:val="21"/>
          <w:szCs w:val="21"/>
        </w:rPr>
        <w:t xml:space="preserve"> </w:t>
      </w:r>
      <w:r w:rsidRPr="007C2763">
        <w:rPr>
          <w:rFonts w:ascii="Abadi" w:hAnsi="Abadi"/>
          <w:b w:val="0"/>
          <w:bCs w:val="0"/>
          <w:sz w:val="21"/>
          <w:szCs w:val="21"/>
        </w:rPr>
        <w:t>sus</w:t>
      </w:r>
      <w:r w:rsidRPr="007C2763">
        <w:rPr>
          <w:rFonts w:ascii="Abadi" w:hAnsi="Abadi"/>
          <w:b w:val="0"/>
          <w:bCs w:val="0"/>
          <w:spacing w:val="22"/>
          <w:sz w:val="21"/>
          <w:szCs w:val="21"/>
        </w:rPr>
        <w:t xml:space="preserve"> </w:t>
      </w:r>
      <w:r w:rsidRPr="007C2763">
        <w:rPr>
          <w:rFonts w:ascii="Abadi" w:hAnsi="Abadi"/>
          <w:b w:val="0"/>
          <w:bCs w:val="0"/>
          <w:sz w:val="21"/>
          <w:szCs w:val="21"/>
        </w:rPr>
        <w:t>antepasados</w:t>
      </w:r>
      <w:r w:rsidRPr="007C2763">
        <w:rPr>
          <w:rFonts w:ascii="Abadi" w:hAnsi="Abadi"/>
          <w:b w:val="0"/>
          <w:bCs w:val="0"/>
          <w:spacing w:val="22"/>
          <w:sz w:val="21"/>
          <w:szCs w:val="21"/>
        </w:rPr>
        <w:t xml:space="preserve"> </w:t>
      </w:r>
      <w:r w:rsidRPr="007C2763">
        <w:rPr>
          <w:rFonts w:ascii="Abadi" w:hAnsi="Abadi"/>
          <w:b w:val="0"/>
          <w:bCs w:val="0"/>
          <w:sz w:val="21"/>
          <w:szCs w:val="21"/>
        </w:rPr>
        <w:t>en</w:t>
      </w:r>
      <w:r w:rsidRPr="007C2763">
        <w:rPr>
          <w:rFonts w:ascii="Abadi" w:hAnsi="Abadi"/>
          <w:b w:val="0"/>
          <w:bCs w:val="0"/>
          <w:spacing w:val="25"/>
          <w:sz w:val="21"/>
          <w:szCs w:val="21"/>
        </w:rPr>
        <w:t xml:space="preserve"> </w:t>
      </w:r>
      <w:r w:rsidRPr="007C2763">
        <w:rPr>
          <w:rFonts w:ascii="Abadi" w:hAnsi="Abadi"/>
          <w:b w:val="0"/>
          <w:bCs w:val="0"/>
          <w:sz w:val="21"/>
          <w:szCs w:val="21"/>
        </w:rPr>
        <w:t>1590,</w:t>
      </w:r>
      <w:r w:rsidRPr="007C2763">
        <w:rPr>
          <w:rFonts w:ascii="Abadi" w:hAnsi="Abadi"/>
          <w:b w:val="0"/>
          <w:bCs w:val="0"/>
          <w:spacing w:val="22"/>
          <w:sz w:val="21"/>
          <w:szCs w:val="21"/>
        </w:rPr>
        <w:t xml:space="preserve"> </w:t>
      </w:r>
      <w:r w:rsidRPr="007C2763">
        <w:rPr>
          <w:rFonts w:ascii="Abadi" w:hAnsi="Abadi"/>
          <w:b w:val="0"/>
          <w:bCs w:val="0"/>
          <w:sz w:val="21"/>
          <w:szCs w:val="21"/>
        </w:rPr>
        <w:t>están</w:t>
      </w:r>
      <w:r w:rsidRPr="007C2763">
        <w:rPr>
          <w:rFonts w:ascii="Abadi" w:hAnsi="Abadi"/>
          <w:b w:val="0"/>
          <w:bCs w:val="0"/>
          <w:spacing w:val="25"/>
          <w:sz w:val="21"/>
          <w:szCs w:val="21"/>
        </w:rPr>
        <w:t xml:space="preserve"> </w:t>
      </w:r>
      <w:r w:rsidRPr="007C2763">
        <w:rPr>
          <w:rFonts w:ascii="Abadi" w:hAnsi="Abadi"/>
          <w:b w:val="0"/>
          <w:bCs w:val="0"/>
          <w:sz w:val="21"/>
          <w:szCs w:val="21"/>
        </w:rPr>
        <w:t>convencidos</w:t>
      </w:r>
      <w:r w:rsidRPr="007C2763">
        <w:rPr>
          <w:rFonts w:ascii="Abadi" w:hAnsi="Abadi"/>
          <w:b w:val="0"/>
          <w:bCs w:val="0"/>
          <w:spacing w:val="22"/>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que</w:t>
      </w:r>
      <w:r w:rsidRPr="007C2763">
        <w:rPr>
          <w:rFonts w:ascii="Abadi" w:hAnsi="Abadi"/>
          <w:b w:val="0"/>
          <w:bCs w:val="0"/>
          <w:spacing w:val="23"/>
          <w:sz w:val="21"/>
          <w:szCs w:val="21"/>
        </w:rPr>
        <w:t xml:space="preserve"> </w:t>
      </w:r>
      <w:r w:rsidRPr="007C2763">
        <w:rPr>
          <w:rFonts w:ascii="Abadi" w:hAnsi="Abadi"/>
          <w:b w:val="0"/>
          <w:bCs w:val="0"/>
          <w:sz w:val="21"/>
          <w:szCs w:val="21"/>
        </w:rPr>
        <w:t>el</w:t>
      </w:r>
      <w:r w:rsidRPr="007C2763">
        <w:rPr>
          <w:rFonts w:ascii="Abadi" w:hAnsi="Abadi"/>
          <w:b w:val="0"/>
          <w:bCs w:val="0"/>
          <w:spacing w:val="21"/>
          <w:sz w:val="21"/>
          <w:szCs w:val="21"/>
        </w:rPr>
        <w:t xml:space="preserve"> </w:t>
      </w:r>
      <w:r w:rsidRPr="007C2763">
        <w:rPr>
          <w:rFonts w:ascii="Abadi" w:hAnsi="Abadi"/>
          <w:b w:val="0"/>
          <w:bCs w:val="0"/>
          <w:sz w:val="21"/>
          <w:szCs w:val="21"/>
        </w:rPr>
        <w:t>día</w:t>
      </w:r>
      <w:r w:rsidRPr="007C2763">
        <w:rPr>
          <w:rFonts w:ascii="Abadi" w:hAnsi="Abadi"/>
          <w:b w:val="0"/>
          <w:bCs w:val="0"/>
          <w:spacing w:val="23"/>
          <w:sz w:val="21"/>
          <w:szCs w:val="21"/>
        </w:rPr>
        <w:t xml:space="preserve"> </w:t>
      </w:r>
      <w:r w:rsidRPr="007C2763">
        <w:rPr>
          <w:rFonts w:ascii="Abadi" w:hAnsi="Abadi"/>
          <w:b w:val="0"/>
          <w:bCs w:val="0"/>
          <w:sz w:val="21"/>
          <w:szCs w:val="21"/>
        </w:rPr>
        <w:t>de mañana</w:t>
      </w:r>
      <w:r w:rsidRPr="007C2763">
        <w:rPr>
          <w:rFonts w:ascii="Abadi" w:hAnsi="Abadi"/>
          <w:b w:val="0"/>
          <w:bCs w:val="0"/>
          <w:spacing w:val="2"/>
          <w:sz w:val="21"/>
          <w:szCs w:val="21"/>
        </w:rPr>
        <w:t xml:space="preserve"> </w:t>
      </w:r>
      <w:r w:rsidRPr="007C2763">
        <w:rPr>
          <w:rFonts w:ascii="Abadi" w:hAnsi="Abadi"/>
          <w:b w:val="0"/>
          <w:bCs w:val="0"/>
          <w:sz w:val="21"/>
          <w:szCs w:val="21"/>
        </w:rPr>
        <w:t>este</w:t>
      </w:r>
      <w:r w:rsidRPr="007C2763">
        <w:rPr>
          <w:rFonts w:ascii="Abadi" w:hAnsi="Abadi"/>
          <w:b w:val="0"/>
          <w:bCs w:val="0"/>
          <w:spacing w:val="2"/>
          <w:sz w:val="21"/>
          <w:szCs w:val="21"/>
        </w:rPr>
        <w:t xml:space="preserve"> </w:t>
      </w:r>
      <w:r w:rsidRPr="007C2763">
        <w:rPr>
          <w:rFonts w:ascii="Abadi" w:hAnsi="Abadi"/>
          <w:b w:val="0"/>
          <w:bCs w:val="0"/>
          <w:sz w:val="21"/>
          <w:szCs w:val="21"/>
        </w:rPr>
        <w:t>lugar,</w:t>
      </w:r>
      <w:r w:rsidRPr="007C2763">
        <w:rPr>
          <w:rFonts w:ascii="Abadi" w:hAnsi="Abadi"/>
          <w:b w:val="0"/>
          <w:bCs w:val="0"/>
          <w:spacing w:val="66"/>
          <w:sz w:val="21"/>
          <w:szCs w:val="21"/>
        </w:rPr>
        <w:t xml:space="preserve"> </w:t>
      </w:r>
      <w:r w:rsidRPr="007C2763">
        <w:rPr>
          <w:rFonts w:ascii="Abadi" w:hAnsi="Abadi"/>
          <w:b w:val="0"/>
          <w:bCs w:val="0"/>
          <w:sz w:val="21"/>
          <w:szCs w:val="21"/>
        </w:rPr>
        <w:t>podrá</w:t>
      </w:r>
      <w:r w:rsidRPr="007C2763">
        <w:rPr>
          <w:rFonts w:ascii="Abadi" w:hAnsi="Abadi"/>
          <w:b w:val="0"/>
          <w:bCs w:val="0"/>
          <w:spacing w:val="2"/>
          <w:sz w:val="21"/>
          <w:szCs w:val="21"/>
        </w:rPr>
        <w:t xml:space="preserve"> </w:t>
      </w:r>
      <w:r w:rsidRPr="007C2763">
        <w:rPr>
          <w:rFonts w:ascii="Abadi" w:hAnsi="Abadi"/>
          <w:b w:val="0"/>
          <w:bCs w:val="0"/>
          <w:sz w:val="21"/>
          <w:szCs w:val="21"/>
        </w:rPr>
        <w:t>albergar</w:t>
      </w:r>
      <w:r w:rsidRPr="007C2763">
        <w:rPr>
          <w:rFonts w:ascii="Abadi" w:hAnsi="Abadi"/>
          <w:b w:val="0"/>
          <w:bCs w:val="0"/>
          <w:spacing w:val="67"/>
          <w:sz w:val="21"/>
          <w:szCs w:val="21"/>
        </w:rPr>
        <w:t xml:space="preserve"> </w:t>
      </w:r>
      <w:r w:rsidRPr="007C2763">
        <w:rPr>
          <w:rFonts w:ascii="Abadi" w:hAnsi="Abadi"/>
          <w:b w:val="0"/>
          <w:bCs w:val="0"/>
          <w:sz w:val="21"/>
          <w:szCs w:val="21"/>
        </w:rPr>
        <w:t>de</w:t>
      </w:r>
      <w:r w:rsidRPr="007C2763">
        <w:rPr>
          <w:rFonts w:ascii="Abadi" w:hAnsi="Abadi"/>
          <w:b w:val="0"/>
          <w:bCs w:val="0"/>
          <w:spacing w:val="67"/>
          <w:sz w:val="21"/>
          <w:szCs w:val="21"/>
        </w:rPr>
        <w:t xml:space="preserve"> </w:t>
      </w:r>
      <w:r w:rsidRPr="007C2763">
        <w:rPr>
          <w:rFonts w:ascii="Abadi" w:hAnsi="Abadi"/>
          <w:b w:val="0"/>
          <w:bCs w:val="0"/>
          <w:sz w:val="21"/>
          <w:szCs w:val="21"/>
        </w:rPr>
        <w:t>manera</w:t>
      </w:r>
      <w:r w:rsidRPr="007C2763">
        <w:rPr>
          <w:rFonts w:ascii="Abadi" w:hAnsi="Abadi"/>
          <w:b w:val="0"/>
          <w:bCs w:val="0"/>
          <w:spacing w:val="2"/>
          <w:sz w:val="21"/>
          <w:szCs w:val="21"/>
        </w:rPr>
        <w:t xml:space="preserve"> </w:t>
      </w:r>
      <w:r w:rsidRPr="007C2763">
        <w:rPr>
          <w:rFonts w:ascii="Abadi" w:hAnsi="Abadi"/>
          <w:b w:val="0"/>
          <w:bCs w:val="0"/>
          <w:sz w:val="21"/>
          <w:szCs w:val="21"/>
        </w:rPr>
        <w:t>generosa</w:t>
      </w:r>
      <w:r w:rsidRPr="007C2763">
        <w:rPr>
          <w:rFonts w:ascii="Abadi" w:hAnsi="Abadi"/>
          <w:b w:val="0"/>
          <w:bCs w:val="0"/>
          <w:spacing w:val="67"/>
          <w:sz w:val="21"/>
          <w:szCs w:val="21"/>
        </w:rPr>
        <w:t xml:space="preserve"> </w:t>
      </w:r>
      <w:r w:rsidRPr="007C2763">
        <w:rPr>
          <w:rFonts w:ascii="Abadi" w:hAnsi="Abadi"/>
          <w:b w:val="0"/>
          <w:bCs w:val="0"/>
          <w:sz w:val="21"/>
          <w:szCs w:val="21"/>
        </w:rPr>
        <w:t>a</w:t>
      </w:r>
      <w:r w:rsidRPr="007C2763">
        <w:rPr>
          <w:rFonts w:ascii="Abadi" w:hAnsi="Abadi"/>
          <w:b w:val="0"/>
          <w:bCs w:val="0"/>
          <w:spacing w:val="2"/>
          <w:sz w:val="21"/>
          <w:szCs w:val="21"/>
        </w:rPr>
        <w:t xml:space="preserve"> </w:t>
      </w:r>
      <w:r w:rsidRPr="007C2763">
        <w:rPr>
          <w:rFonts w:ascii="Abadi" w:hAnsi="Abadi"/>
          <w:b w:val="0"/>
          <w:bCs w:val="0"/>
          <w:sz w:val="21"/>
          <w:szCs w:val="21"/>
        </w:rPr>
        <w:t>sus</w:t>
      </w:r>
      <w:r w:rsidRPr="007C2763">
        <w:rPr>
          <w:rFonts w:ascii="Abadi" w:hAnsi="Abadi"/>
          <w:b w:val="0"/>
          <w:bCs w:val="0"/>
          <w:spacing w:val="1"/>
          <w:sz w:val="21"/>
          <w:szCs w:val="21"/>
        </w:rPr>
        <w:t xml:space="preserve"> </w:t>
      </w:r>
      <w:r w:rsidRPr="007C2763">
        <w:rPr>
          <w:rFonts w:ascii="Abadi" w:hAnsi="Abadi"/>
          <w:b w:val="0"/>
          <w:bCs w:val="0"/>
          <w:sz w:val="21"/>
          <w:szCs w:val="21"/>
        </w:rPr>
        <w:t>hijos</w:t>
      </w:r>
      <w:r w:rsidRPr="007C2763">
        <w:rPr>
          <w:rFonts w:ascii="Abadi" w:hAnsi="Abadi"/>
          <w:b w:val="0"/>
          <w:bCs w:val="0"/>
          <w:spacing w:val="1"/>
          <w:sz w:val="21"/>
          <w:szCs w:val="21"/>
        </w:rPr>
        <w:t xml:space="preserve"> </w:t>
      </w:r>
      <w:r w:rsidRPr="007C2763">
        <w:rPr>
          <w:rFonts w:ascii="Abadi" w:hAnsi="Abadi"/>
          <w:b w:val="0"/>
          <w:bCs w:val="0"/>
          <w:sz w:val="21"/>
          <w:szCs w:val="21"/>
        </w:rPr>
        <w:t>y descendientes.</w:t>
      </w:r>
    </w:p>
    <w:p w14:paraId="2408B1FA" w14:textId="77777777" w:rsidR="00374A1E" w:rsidRPr="007C2763" w:rsidRDefault="00374A1E" w:rsidP="00374A1E">
      <w:pPr>
        <w:pStyle w:val="Textoindependiente"/>
        <w:kinsoku w:val="0"/>
        <w:overflowPunct w:val="0"/>
        <w:spacing w:before="3"/>
        <w:rPr>
          <w:rFonts w:ascii="Abadi" w:hAnsi="Abadi"/>
          <w:b w:val="0"/>
          <w:bCs w:val="0"/>
          <w:sz w:val="21"/>
          <w:szCs w:val="21"/>
        </w:rPr>
      </w:pPr>
    </w:p>
    <w:p w14:paraId="7CA09710" w14:textId="77777777" w:rsidR="00374A1E" w:rsidRPr="007C2763" w:rsidRDefault="00374A1E" w:rsidP="00374A1E">
      <w:pPr>
        <w:pStyle w:val="Textoindependiente"/>
        <w:kinsoku w:val="0"/>
        <w:overflowPunct w:val="0"/>
        <w:ind w:right="115" w:firstLine="708"/>
        <w:rPr>
          <w:rFonts w:ascii="Abadi" w:hAnsi="Abadi"/>
          <w:b w:val="0"/>
          <w:bCs w:val="0"/>
          <w:sz w:val="21"/>
          <w:szCs w:val="21"/>
        </w:rPr>
      </w:pPr>
      <w:r w:rsidRPr="007C2763">
        <w:rPr>
          <w:rFonts w:ascii="Abadi" w:hAnsi="Abadi"/>
          <w:b w:val="0"/>
          <w:bCs w:val="0"/>
          <w:sz w:val="21"/>
          <w:szCs w:val="21"/>
        </w:rPr>
        <w:t>Orgullosos</w:t>
      </w:r>
      <w:r w:rsidRPr="007C2763">
        <w:rPr>
          <w:rFonts w:ascii="Abadi" w:hAnsi="Abadi"/>
          <w:b w:val="0"/>
          <w:bCs w:val="0"/>
          <w:spacing w:val="12"/>
          <w:sz w:val="21"/>
          <w:szCs w:val="21"/>
        </w:rPr>
        <w:t xml:space="preserve"> </w:t>
      </w:r>
      <w:r w:rsidRPr="007C2763">
        <w:rPr>
          <w:rFonts w:ascii="Abadi" w:hAnsi="Abadi"/>
          <w:b w:val="0"/>
          <w:bCs w:val="0"/>
          <w:sz w:val="21"/>
          <w:szCs w:val="21"/>
        </w:rPr>
        <w:t>pues</w:t>
      </w:r>
      <w:r w:rsidRPr="007C2763">
        <w:rPr>
          <w:rFonts w:ascii="Abadi" w:hAnsi="Abadi"/>
          <w:b w:val="0"/>
          <w:bCs w:val="0"/>
          <w:spacing w:val="11"/>
          <w:sz w:val="21"/>
          <w:szCs w:val="21"/>
        </w:rPr>
        <w:t xml:space="preserve"> </w:t>
      </w:r>
      <w:r w:rsidRPr="007C2763">
        <w:rPr>
          <w:rFonts w:ascii="Abadi" w:hAnsi="Abadi"/>
          <w:b w:val="0"/>
          <w:bCs w:val="0"/>
          <w:sz w:val="21"/>
          <w:szCs w:val="21"/>
        </w:rPr>
        <w:t>de</w:t>
      </w:r>
      <w:r w:rsidRPr="007C2763">
        <w:rPr>
          <w:rFonts w:ascii="Abadi" w:hAnsi="Abadi"/>
          <w:b w:val="0"/>
          <w:bCs w:val="0"/>
          <w:spacing w:val="13"/>
          <w:sz w:val="21"/>
          <w:szCs w:val="21"/>
        </w:rPr>
        <w:t xml:space="preserve"> </w:t>
      </w:r>
      <w:r w:rsidRPr="007C2763">
        <w:rPr>
          <w:rFonts w:ascii="Abadi" w:hAnsi="Abadi"/>
          <w:b w:val="0"/>
          <w:bCs w:val="0"/>
          <w:sz w:val="21"/>
          <w:szCs w:val="21"/>
        </w:rPr>
        <w:t>su</w:t>
      </w:r>
      <w:r w:rsidRPr="007C2763">
        <w:rPr>
          <w:rFonts w:ascii="Abadi" w:hAnsi="Abadi"/>
          <w:b w:val="0"/>
          <w:bCs w:val="0"/>
          <w:spacing w:val="11"/>
          <w:sz w:val="21"/>
          <w:szCs w:val="21"/>
        </w:rPr>
        <w:t xml:space="preserve"> </w:t>
      </w:r>
      <w:r w:rsidRPr="007C2763">
        <w:rPr>
          <w:rFonts w:ascii="Abadi" w:hAnsi="Abadi"/>
          <w:b w:val="0"/>
          <w:bCs w:val="0"/>
          <w:sz w:val="21"/>
          <w:szCs w:val="21"/>
        </w:rPr>
        <w:t>pasado</w:t>
      </w:r>
      <w:r w:rsidRPr="007C2763">
        <w:rPr>
          <w:rFonts w:ascii="Abadi" w:hAnsi="Abadi"/>
          <w:b w:val="0"/>
          <w:bCs w:val="0"/>
          <w:spacing w:val="13"/>
          <w:sz w:val="21"/>
          <w:szCs w:val="21"/>
        </w:rPr>
        <w:t xml:space="preserve"> </w:t>
      </w:r>
      <w:r w:rsidRPr="007C2763">
        <w:rPr>
          <w:rFonts w:ascii="Abadi" w:hAnsi="Abadi"/>
          <w:b w:val="0"/>
          <w:bCs w:val="0"/>
          <w:sz w:val="21"/>
          <w:szCs w:val="21"/>
        </w:rPr>
        <w:t>y</w:t>
      </w:r>
      <w:r w:rsidRPr="007C2763">
        <w:rPr>
          <w:rFonts w:ascii="Abadi" w:hAnsi="Abadi"/>
          <w:b w:val="0"/>
          <w:bCs w:val="0"/>
          <w:spacing w:val="12"/>
          <w:sz w:val="21"/>
          <w:szCs w:val="21"/>
        </w:rPr>
        <w:t xml:space="preserve"> </w:t>
      </w:r>
      <w:r w:rsidRPr="007C2763">
        <w:rPr>
          <w:rFonts w:ascii="Abadi" w:hAnsi="Abadi"/>
          <w:b w:val="0"/>
          <w:bCs w:val="0"/>
          <w:sz w:val="21"/>
          <w:szCs w:val="21"/>
        </w:rPr>
        <w:t>comprometidos</w:t>
      </w:r>
      <w:r w:rsidRPr="007C2763">
        <w:rPr>
          <w:rFonts w:ascii="Abadi" w:hAnsi="Abadi"/>
          <w:b w:val="0"/>
          <w:bCs w:val="0"/>
          <w:spacing w:val="12"/>
          <w:sz w:val="21"/>
          <w:szCs w:val="21"/>
        </w:rPr>
        <w:t xml:space="preserve"> </w:t>
      </w:r>
      <w:r w:rsidRPr="007C2763">
        <w:rPr>
          <w:rFonts w:ascii="Abadi" w:hAnsi="Abadi"/>
          <w:b w:val="0"/>
          <w:bCs w:val="0"/>
          <w:sz w:val="21"/>
          <w:szCs w:val="21"/>
        </w:rPr>
        <w:t>con</w:t>
      </w:r>
      <w:r w:rsidRPr="007C2763">
        <w:rPr>
          <w:rFonts w:ascii="Abadi" w:hAnsi="Abadi"/>
          <w:b w:val="0"/>
          <w:bCs w:val="0"/>
          <w:spacing w:val="13"/>
          <w:sz w:val="21"/>
          <w:szCs w:val="21"/>
        </w:rPr>
        <w:t xml:space="preserve"> </w:t>
      </w:r>
      <w:r w:rsidRPr="007C2763">
        <w:rPr>
          <w:rFonts w:ascii="Abadi" w:hAnsi="Abadi"/>
          <w:b w:val="0"/>
          <w:bCs w:val="0"/>
          <w:sz w:val="21"/>
          <w:szCs w:val="21"/>
        </w:rPr>
        <w:t>su</w:t>
      </w:r>
      <w:r w:rsidRPr="007C2763">
        <w:rPr>
          <w:rFonts w:ascii="Abadi" w:hAnsi="Abadi"/>
          <w:b w:val="0"/>
          <w:bCs w:val="0"/>
          <w:spacing w:val="13"/>
          <w:sz w:val="21"/>
          <w:szCs w:val="21"/>
        </w:rPr>
        <w:t xml:space="preserve"> </w:t>
      </w:r>
      <w:r w:rsidRPr="007C2763">
        <w:rPr>
          <w:rFonts w:ascii="Abadi" w:hAnsi="Abadi"/>
          <w:b w:val="0"/>
          <w:bCs w:val="0"/>
          <w:sz w:val="21"/>
          <w:szCs w:val="21"/>
        </w:rPr>
        <w:t>futuro,</w:t>
      </w:r>
      <w:r w:rsidRPr="007C2763">
        <w:rPr>
          <w:rFonts w:ascii="Abadi" w:hAnsi="Abadi"/>
          <w:b w:val="0"/>
          <w:bCs w:val="0"/>
          <w:spacing w:val="10"/>
          <w:sz w:val="21"/>
          <w:szCs w:val="21"/>
        </w:rPr>
        <w:t xml:space="preserve"> </w:t>
      </w:r>
      <w:r w:rsidRPr="007C2763">
        <w:rPr>
          <w:rFonts w:ascii="Abadi" w:hAnsi="Abadi"/>
          <w:b w:val="0"/>
          <w:bCs w:val="0"/>
          <w:sz w:val="21"/>
          <w:szCs w:val="21"/>
        </w:rPr>
        <w:t>en</w:t>
      </w:r>
      <w:r w:rsidRPr="007C2763">
        <w:rPr>
          <w:rFonts w:ascii="Abadi" w:hAnsi="Abadi"/>
          <w:b w:val="0"/>
          <w:bCs w:val="0"/>
          <w:spacing w:val="11"/>
          <w:sz w:val="21"/>
          <w:szCs w:val="21"/>
        </w:rPr>
        <w:t xml:space="preserve"> </w:t>
      </w:r>
      <w:r w:rsidRPr="007C2763">
        <w:rPr>
          <w:rFonts w:ascii="Abadi" w:hAnsi="Abadi"/>
          <w:b w:val="0"/>
          <w:bCs w:val="0"/>
          <w:sz w:val="21"/>
          <w:szCs w:val="21"/>
        </w:rPr>
        <w:t>el</w:t>
      </w:r>
      <w:r w:rsidRPr="007C2763">
        <w:rPr>
          <w:rFonts w:ascii="Abadi" w:hAnsi="Abadi"/>
          <w:b w:val="0"/>
          <w:bCs w:val="0"/>
          <w:spacing w:val="12"/>
          <w:sz w:val="21"/>
          <w:szCs w:val="21"/>
        </w:rPr>
        <w:t xml:space="preserve"> </w:t>
      </w:r>
      <w:r w:rsidRPr="007C2763">
        <w:rPr>
          <w:rFonts w:ascii="Abadi" w:hAnsi="Abadi"/>
          <w:b w:val="0"/>
          <w:bCs w:val="0"/>
          <w:sz w:val="21"/>
          <w:szCs w:val="21"/>
        </w:rPr>
        <w:t>marco de</w:t>
      </w:r>
      <w:r w:rsidRPr="007C2763">
        <w:rPr>
          <w:rFonts w:ascii="Abadi" w:hAnsi="Abadi"/>
          <w:b w:val="0"/>
          <w:bCs w:val="0"/>
          <w:spacing w:val="10"/>
          <w:sz w:val="21"/>
          <w:szCs w:val="21"/>
        </w:rPr>
        <w:t xml:space="preserve"> </w:t>
      </w:r>
      <w:r w:rsidRPr="007C2763">
        <w:rPr>
          <w:rFonts w:ascii="Abadi" w:hAnsi="Abadi"/>
          <w:b w:val="0"/>
          <w:bCs w:val="0"/>
          <w:sz w:val="21"/>
          <w:szCs w:val="21"/>
        </w:rPr>
        <w:t>este</w:t>
      </w:r>
      <w:r w:rsidRPr="007C2763">
        <w:rPr>
          <w:rFonts w:ascii="Abadi" w:hAnsi="Abadi"/>
          <w:b w:val="0"/>
          <w:bCs w:val="0"/>
          <w:spacing w:val="9"/>
          <w:sz w:val="21"/>
          <w:szCs w:val="21"/>
        </w:rPr>
        <w:t xml:space="preserve"> </w:t>
      </w:r>
      <w:r w:rsidRPr="007C2763">
        <w:rPr>
          <w:rFonts w:ascii="Abadi" w:hAnsi="Abadi"/>
          <w:b w:val="0"/>
          <w:bCs w:val="0"/>
          <w:sz w:val="21"/>
          <w:szCs w:val="21"/>
        </w:rPr>
        <w:t>70</w:t>
      </w:r>
      <w:r w:rsidRPr="007C2763">
        <w:rPr>
          <w:rFonts w:ascii="Abadi" w:hAnsi="Abadi"/>
          <w:b w:val="0"/>
          <w:bCs w:val="0"/>
          <w:spacing w:val="9"/>
          <w:sz w:val="21"/>
          <w:szCs w:val="21"/>
        </w:rPr>
        <w:t xml:space="preserve"> </w:t>
      </w:r>
      <w:r w:rsidRPr="007C2763">
        <w:rPr>
          <w:rFonts w:ascii="Abadi" w:hAnsi="Abadi"/>
          <w:b w:val="0"/>
          <w:bCs w:val="0"/>
          <w:sz w:val="21"/>
          <w:szCs w:val="21"/>
        </w:rPr>
        <w:t>aniversario</w:t>
      </w:r>
      <w:r w:rsidRPr="007C2763">
        <w:rPr>
          <w:rFonts w:ascii="Abadi" w:hAnsi="Abadi"/>
          <w:b w:val="0"/>
          <w:bCs w:val="0"/>
          <w:spacing w:val="9"/>
          <w:sz w:val="21"/>
          <w:szCs w:val="21"/>
        </w:rPr>
        <w:t xml:space="preserve"> </w:t>
      </w:r>
      <w:r w:rsidRPr="007C2763">
        <w:rPr>
          <w:rFonts w:ascii="Abadi" w:hAnsi="Abadi"/>
          <w:b w:val="0"/>
          <w:bCs w:val="0"/>
          <w:sz w:val="21"/>
          <w:szCs w:val="21"/>
        </w:rPr>
        <w:t>de</w:t>
      </w:r>
      <w:r w:rsidRPr="007C2763">
        <w:rPr>
          <w:rFonts w:ascii="Abadi" w:hAnsi="Abadi"/>
          <w:b w:val="0"/>
          <w:bCs w:val="0"/>
          <w:spacing w:val="9"/>
          <w:sz w:val="21"/>
          <w:szCs w:val="21"/>
        </w:rPr>
        <w:t xml:space="preserve"> </w:t>
      </w:r>
      <w:r w:rsidRPr="007C2763">
        <w:rPr>
          <w:rFonts w:ascii="Abadi" w:hAnsi="Abadi"/>
          <w:b w:val="0"/>
          <w:bCs w:val="0"/>
          <w:sz w:val="21"/>
          <w:szCs w:val="21"/>
        </w:rPr>
        <w:t>su</w:t>
      </w:r>
      <w:r w:rsidRPr="007C2763">
        <w:rPr>
          <w:rFonts w:ascii="Abadi" w:hAnsi="Abadi"/>
          <w:b w:val="0"/>
          <w:bCs w:val="0"/>
          <w:spacing w:val="9"/>
          <w:sz w:val="21"/>
          <w:szCs w:val="21"/>
        </w:rPr>
        <w:t xml:space="preserve"> </w:t>
      </w:r>
      <w:r w:rsidRPr="007C2763">
        <w:rPr>
          <w:rFonts w:ascii="Abadi" w:hAnsi="Abadi"/>
          <w:b w:val="0"/>
          <w:bCs w:val="0"/>
          <w:sz w:val="21"/>
          <w:szCs w:val="21"/>
        </w:rPr>
        <w:t>constitución</w:t>
      </w:r>
      <w:r w:rsidRPr="007C2763">
        <w:rPr>
          <w:rFonts w:ascii="Abadi" w:hAnsi="Abadi"/>
          <w:b w:val="0"/>
          <w:bCs w:val="0"/>
          <w:spacing w:val="6"/>
          <w:sz w:val="21"/>
          <w:szCs w:val="21"/>
        </w:rPr>
        <w:t xml:space="preserve"> </w:t>
      </w:r>
      <w:r w:rsidRPr="007C2763">
        <w:rPr>
          <w:rFonts w:ascii="Abadi" w:hAnsi="Abadi"/>
          <w:b w:val="0"/>
          <w:bCs w:val="0"/>
          <w:sz w:val="21"/>
          <w:szCs w:val="21"/>
        </w:rPr>
        <w:t>como</w:t>
      </w:r>
      <w:r w:rsidRPr="007C2763">
        <w:rPr>
          <w:rFonts w:ascii="Abadi" w:hAnsi="Abadi"/>
          <w:b w:val="0"/>
          <w:bCs w:val="0"/>
          <w:spacing w:val="9"/>
          <w:sz w:val="21"/>
          <w:szCs w:val="21"/>
        </w:rPr>
        <w:t xml:space="preserve"> </w:t>
      </w:r>
      <w:r w:rsidRPr="007C2763">
        <w:rPr>
          <w:rFonts w:ascii="Abadi" w:hAnsi="Abadi"/>
          <w:b w:val="0"/>
          <w:bCs w:val="0"/>
          <w:sz w:val="21"/>
          <w:szCs w:val="21"/>
        </w:rPr>
        <w:t>municipio</w:t>
      </w:r>
      <w:r w:rsidRPr="007C2763">
        <w:rPr>
          <w:rFonts w:ascii="Abadi" w:hAnsi="Abadi"/>
          <w:b w:val="0"/>
          <w:bCs w:val="0"/>
          <w:spacing w:val="6"/>
          <w:sz w:val="21"/>
          <w:szCs w:val="21"/>
        </w:rPr>
        <w:t xml:space="preserve"> </w:t>
      </w:r>
      <w:r w:rsidRPr="007C2763">
        <w:rPr>
          <w:rFonts w:ascii="Abadi" w:hAnsi="Abadi"/>
          <w:b w:val="0"/>
          <w:bCs w:val="0"/>
          <w:sz w:val="21"/>
          <w:szCs w:val="21"/>
        </w:rPr>
        <w:t>es</w:t>
      </w:r>
      <w:r w:rsidRPr="007C2763">
        <w:rPr>
          <w:rFonts w:ascii="Abadi" w:hAnsi="Abadi"/>
          <w:b w:val="0"/>
          <w:bCs w:val="0"/>
          <w:spacing w:val="5"/>
          <w:sz w:val="21"/>
          <w:szCs w:val="21"/>
        </w:rPr>
        <w:t xml:space="preserve"> </w:t>
      </w:r>
      <w:r w:rsidRPr="007C2763">
        <w:rPr>
          <w:rFonts w:ascii="Abadi" w:hAnsi="Abadi"/>
          <w:b w:val="0"/>
          <w:bCs w:val="0"/>
          <w:sz w:val="21"/>
          <w:szCs w:val="21"/>
        </w:rPr>
        <w:t>que</w:t>
      </w:r>
      <w:r w:rsidRPr="007C2763">
        <w:rPr>
          <w:rFonts w:ascii="Abadi" w:hAnsi="Abadi"/>
          <w:b w:val="0"/>
          <w:bCs w:val="0"/>
          <w:spacing w:val="6"/>
          <w:sz w:val="21"/>
          <w:szCs w:val="21"/>
        </w:rPr>
        <w:t xml:space="preserve"> </w:t>
      </w:r>
      <w:r w:rsidRPr="007C2763">
        <w:rPr>
          <w:rFonts w:ascii="Abadi" w:hAnsi="Abadi"/>
          <w:b w:val="0"/>
          <w:bCs w:val="0"/>
          <w:sz w:val="21"/>
          <w:szCs w:val="21"/>
        </w:rPr>
        <w:t>pretenden recobrar</w:t>
      </w:r>
      <w:r w:rsidRPr="007C2763">
        <w:rPr>
          <w:rFonts w:ascii="Abadi" w:hAnsi="Abadi"/>
          <w:b w:val="0"/>
          <w:bCs w:val="0"/>
          <w:spacing w:val="6"/>
          <w:sz w:val="21"/>
          <w:szCs w:val="21"/>
        </w:rPr>
        <w:t xml:space="preserve"> </w:t>
      </w:r>
      <w:r w:rsidRPr="007C2763">
        <w:rPr>
          <w:rFonts w:ascii="Abadi" w:hAnsi="Abadi"/>
          <w:b w:val="0"/>
          <w:bCs w:val="0"/>
          <w:sz w:val="21"/>
          <w:szCs w:val="21"/>
        </w:rPr>
        <w:t>para</w:t>
      </w:r>
      <w:r w:rsidRPr="007C2763">
        <w:rPr>
          <w:rFonts w:ascii="Abadi" w:hAnsi="Abadi"/>
          <w:b w:val="0"/>
          <w:bCs w:val="0"/>
          <w:spacing w:val="8"/>
          <w:sz w:val="21"/>
          <w:szCs w:val="21"/>
        </w:rPr>
        <w:t xml:space="preserve"> </w:t>
      </w:r>
      <w:r w:rsidRPr="007C2763">
        <w:rPr>
          <w:rFonts w:ascii="Abadi" w:hAnsi="Abadi"/>
          <w:b w:val="0"/>
          <w:bCs w:val="0"/>
          <w:sz w:val="21"/>
          <w:szCs w:val="21"/>
        </w:rPr>
        <w:t>su</w:t>
      </w:r>
      <w:r w:rsidRPr="007C2763">
        <w:rPr>
          <w:rFonts w:ascii="Abadi" w:hAnsi="Abadi"/>
          <w:b w:val="0"/>
          <w:bCs w:val="0"/>
          <w:spacing w:val="8"/>
          <w:sz w:val="21"/>
          <w:szCs w:val="21"/>
        </w:rPr>
        <w:t xml:space="preserve"> </w:t>
      </w:r>
      <w:r w:rsidRPr="007C2763">
        <w:rPr>
          <w:rFonts w:ascii="Abadi" w:hAnsi="Abadi"/>
          <w:b w:val="0"/>
          <w:bCs w:val="0"/>
          <w:sz w:val="21"/>
          <w:szCs w:val="21"/>
        </w:rPr>
        <w:t>cabecera</w:t>
      </w:r>
      <w:r w:rsidRPr="007C2763">
        <w:rPr>
          <w:rFonts w:ascii="Abadi" w:hAnsi="Abadi"/>
          <w:b w:val="0"/>
          <w:bCs w:val="0"/>
          <w:spacing w:val="8"/>
          <w:sz w:val="21"/>
          <w:szCs w:val="21"/>
        </w:rPr>
        <w:t xml:space="preserve"> </w:t>
      </w:r>
      <w:r w:rsidRPr="007C2763">
        <w:rPr>
          <w:rFonts w:ascii="Abadi" w:hAnsi="Abadi"/>
          <w:b w:val="0"/>
          <w:bCs w:val="0"/>
          <w:sz w:val="21"/>
          <w:szCs w:val="21"/>
        </w:rPr>
        <w:t>municipal</w:t>
      </w:r>
      <w:r w:rsidRPr="007C2763">
        <w:rPr>
          <w:rFonts w:ascii="Abadi" w:hAnsi="Abadi"/>
          <w:b w:val="0"/>
          <w:bCs w:val="0"/>
          <w:spacing w:val="7"/>
          <w:sz w:val="21"/>
          <w:szCs w:val="21"/>
        </w:rPr>
        <w:t xml:space="preserve"> </w:t>
      </w:r>
      <w:r w:rsidRPr="007C2763">
        <w:rPr>
          <w:rFonts w:ascii="Abadi" w:hAnsi="Abadi"/>
          <w:b w:val="0"/>
          <w:bCs w:val="0"/>
          <w:sz w:val="21"/>
          <w:szCs w:val="21"/>
        </w:rPr>
        <w:t>el</w:t>
      </w:r>
      <w:r w:rsidRPr="007C2763">
        <w:rPr>
          <w:rFonts w:ascii="Abadi" w:hAnsi="Abadi"/>
          <w:b w:val="0"/>
          <w:bCs w:val="0"/>
          <w:spacing w:val="7"/>
          <w:sz w:val="21"/>
          <w:szCs w:val="21"/>
        </w:rPr>
        <w:t xml:space="preserve"> </w:t>
      </w:r>
      <w:r w:rsidRPr="007C2763">
        <w:rPr>
          <w:rFonts w:ascii="Abadi" w:hAnsi="Abadi"/>
          <w:b w:val="0"/>
          <w:bCs w:val="0"/>
          <w:sz w:val="21"/>
          <w:szCs w:val="21"/>
        </w:rPr>
        <w:t>antiguo</w:t>
      </w:r>
      <w:r w:rsidRPr="007C2763">
        <w:rPr>
          <w:rFonts w:ascii="Abadi" w:hAnsi="Abadi"/>
          <w:b w:val="0"/>
          <w:bCs w:val="0"/>
          <w:spacing w:val="8"/>
          <w:sz w:val="21"/>
          <w:szCs w:val="21"/>
        </w:rPr>
        <w:t xml:space="preserve"> </w:t>
      </w:r>
      <w:r w:rsidRPr="007C2763">
        <w:rPr>
          <w:rFonts w:ascii="Abadi" w:hAnsi="Abadi"/>
          <w:b w:val="0"/>
          <w:bCs w:val="0"/>
          <w:sz w:val="21"/>
          <w:szCs w:val="21"/>
        </w:rPr>
        <w:t>nombre</w:t>
      </w:r>
      <w:r w:rsidRPr="007C2763">
        <w:rPr>
          <w:rFonts w:ascii="Abadi" w:hAnsi="Abadi"/>
          <w:b w:val="0"/>
          <w:bCs w:val="0"/>
          <w:spacing w:val="6"/>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r w:rsidRPr="007C2763">
        <w:rPr>
          <w:rFonts w:ascii="Abadi" w:hAnsi="Abadi"/>
          <w:b w:val="0"/>
          <w:bCs w:val="0"/>
          <w:sz w:val="21"/>
          <w:szCs w:val="21"/>
        </w:rPr>
        <w:t>Charcas</w:t>
      </w:r>
      <w:r w:rsidRPr="007C2763">
        <w:rPr>
          <w:rFonts w:ascii="Abadi" w:hAnsi="Abadi"/>
          <w:b w:val="0"/>
          <w:bCs w:val="0"/>
          <w:spacing w:val="7"/>
          <w:sz w:val="21"/>
          <w:szCs w:val="21"/>
        </w:rPr>
        <w:t xml:space="preserve"> </w:t>
      </w:r>
      <w:r w:rsidRPr="007C2763">
        <w:rPr>
          <w:rFonts w:ascii="Abadi" w:hAnsi="Abadi"/>
          <w:b w:val="0"/>
          <w:bCs w:val="0"/>
          <w:sz w:val="21"/>
          <w:szCs w:val="21"/>
        </w:rPr>
        <w:t>y</w:t>
      </w:r>
      <w:r w:rsidRPr="007C2763">
        <w:rPr>
          <w:rFonts w:ascii="Abadi" w:hAnsi="Abadi"/>
          <w:b w:val="0"/>
          <w:bCs w:val="0"/>
          <w:spacing w:val="7"/>
          <w:sz w:val="21"/>
          <w:szCs w:val="21"/>
        </w:rPr>
        <w:t xml:space="preserve"> </w:t>
      </w:r>
      <w:r w:rsidRPr="007C2763">
        <w:rPr>
          <w:rFonts w:ascii="Abadi" w:hAnsi="Abadi"/>
          <w:b w:val="0"/>
          <w:bCs w:val="0"/>
          <w:sz w:val="21"/>
          <w:szCs w:val="21"/>
        </w:rPr>
        <w:t>conservar</w:t>
      </w:r>
      <w:r w:rsidRPr="007C2763">
        <w:rPr>
          <w:rFonts w:ascii="Abadi" w:hAnsi="Abadi"/>
          <w:b w:val="0"/>
          <w:bCs w:val="0"/>
          <w:spacing w:val="6"/>
          <w:sz w:val="21"/>
          <w:szCs w:val="21"/>
        </w:rPr>
        <w:t xml:space="preserve"> </w:t>
      </w:r>
      <w:r w:rsidRPr="007C2763">
        <w:rPr>
          <w:rFonts w:ascii="Abadi" w:hAnsi="Abadi"/>
          <w:b w:val="0"/>
          <w:bCs w:val="0"/>
          <w:sz w:val="21"/>
          <w:szCs w:val="21"/>
        </w:rPr>
        <w:t>el de</w:t>
      </w:r>
      <w:r w:rsidRPr="007C2763">
        <w:rPr>
          <w:rFonts w:ascii="Abadi" w:hAnsi="Abadi"/>
          <w:b w:val="0"/>
          <w:bCs w:val="0"/>
          <w:spacing w:val="1"/>
          <w:sz w:val="21"/>
          <w:szCs w:val="21"/>
        </w:rPr>
        <w:t xml:space="preserve"> </w:t>
      </w:r>
      <w:r w:rsidRPr="007C2763">
        <w:rPr>
          <w:rFonts w:ascii="Abadi" w:hAnsi="Abadi"/>
          <w:b w:val="0"/>
          <w:bCs w:val="0"/>
          <w:sz w:val="21"/>
          <w:szCs w:val="21"/>
        </w:rPr>
        <w:t>Doctor</w:t>
      </w:r>
      <w:r w:rsidRPr="007C2763">
        <w:rPr>
          <w:rFonts w:ascii="Abadi" w:hAnsi="Abadi"/>
          <w:b w:val="0"/>
          <w:bCs w:val="0"/>
          <w:spacing w:val="-1"/>
          <w:sz w:val="21"/>
          <w:szCs w:val="21"/>
        </w:rPr>
        <w:t xml:space="preserve"> </w:t>
      </w:r>
      <w:r w:rsidRPr="007C2763">
        <w:rPr>
          <w:rFonts w:ascii="Abadi" w:hAnsi="Abadi"/>
          <w:b w:val="0"/>
          <w:bCs w:val="0"/>
          <w:sz w:val="21"/>
          <w:szCs w:val="21"/>
        </w:rPr>
        <w:t>Mora</w:t>
      </w:r>
      <w:r w:rsidRPr="007C2763">
        <w:rPr>
          <w:rFonts w:ascii="Abadi" w:hAnsi="Abadi"/>
          <w:b w:val="0"/>
          <w:bCs w:val="0"/>
          <w:spacing w:val="1"/>
          <w:sz w:val="21"/>
          <w:szCs w:val="21"/>
        </w:rPr>
        <w:t xml:space="preserve"> </w:t>
      </w:r>
      <w:r w:rsidRPr="007C2763">
        <w:rPr>
          <w:rFonts w:ascii="Abadi" w:hAnsi="Abadi"/>
          <w:b w:val="0"/>
          <w:bCs w:val="0"/>
          <w:sz w:val="21"/>
          <w:szCs w:val="21"/>
        </w:rPr>
        <w:t>para</w:t>
      </w:r>
      <w:r w:rsidRPr="007C2763">
        <w:rPr>
          <w:rFonts w:ascii="Abadi" w:hAnsi="Abadi"/>
          <w:b w:val="0"/>
          <w:bCs w:val="0"/>
          <w:spacing w:val="1"/>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ésta</w:t>
      </w:r>
      <w:r w:rsidRPr="007C2763">
        <w:rPr>
          <w:rFonts w:ascii="Abadi" w:hAnsi="Abadi"/>
          <w:b w:val="0"/>
          <w:bCs w:val="0"/>
          <w:spacing w:val="-1"/>
          <w:sz w:val="21"/>
          <w:szCs w:val="21"/>
        </w:rPr>
        <w:t xml:space="preserve"> </w:t>
      </w:r>
      <w:r w:rsidRPr="007C2763">
        <w:rPr>
          <w:rFonts w:ascii="Abadi" w:hAnsi="Abadi"/>
          <w:b w:val="0"/>
          <w:bCs w:val="0"/>
          <w:sz w:val="21"/>
          <w:szCs w:val="21"/>
        </w:rPr>
        <w:t>en</w:t>
      </w:r>
      <w:r w:rsidRPr="007C2763">
        <w:rPr>
          <w:rFonts w:ascii="Abadi" w:hAnsi="Abadi"/>
          <w:b w:val="0"/>
          <w:bCs w:val="0"/>
          <w:spacing w:val="1"/>
          <w:sz w:val="21"/>
          <w:szCs w:val="21"/>
        </w:rPr>
        <w:t xml:space="preserve"> </w:t>
      </w:r>
      <w:r w:rsidRPr="007C2763">
        <w:rPr>
          <w:rFonts w:ascii="Abadi" w:hAnsi="Abadi"/>
          <w:b w:val="0"/>
          <w:bCs w:val="0"/>
          <w:sz w:val="21"/>
          <w:szCs w:val="21"/>
        </w:rPr>
        <w:t>lo</w:t>
      </w:r>
      <w:r w:rsidRPr="007C2763">
        <w:rPr>
          <w:rFonts w:ascii="Abadi" w:hAnsi="Abadi"/>
          <w:b w:val="0"/>
          <w:bCs w:val="0"/>
          <w:spacing w:val="-1"/>
          <w:sz w:val="21"/>
          <w:szCs w:val="21"/>
        </w:rPr>
        <w:t xml:space="preserve"> </w:t>
      </w:r>
      <w:r w:rsidRPr="007C2763">
        <w:rPr>
          <w:rFonts w:ascii="Abadi" w:hAnsi="Abadi"/>
          <w:b w:val="0"/>
          <w:bCs w:val="0"/>
          <w:sz w:val="21"/>
          <w:szCs w:val="21"/>
        </w:rPr>
        <w:t>sucesivo</w:t>
      </w:r>
      <w:r w:rsidRPr="007C2763">
        <w:rPr>
          <w:rFonts w:ascii="Abadi" w:hAnsi="Abadi"/>
          <w:b w:val="0"/>
          <w:bCs w:val="0"/>
          <w:spacing w:val="-4"/>
          <w:sz w:val="21"/>
          <w:szCs w:val="21"/>
        </w:rPr>
        <w:t xml:space="preserve"> </w:t>
      </w:r>
      <w:r w:rsidRPr="007C2763">
        <w:rPr>
          <w:rFonts w:ascii="Abadi" w:hAnsi="Abadi"/>
          <w:b w:val="0"/>
          <w:bCs w:val="0"/>
          <w:sz w:val="21"/>
          <w:szCs w:val="21"/>
        </w:rPr>
        <w:t>se</w:t>
      </w:r>
      <w:r w:rsidRPr="007C2763">
        <w:rPr>
          <w:rFonts w:ascii="Abadi" w:hAnsi="Abadi"/>
          <w:b w:val="0"/>
          <w:bCs w:val="0"/>
          <w:spacing w:val="1"/>
          <w:sz w:val="21"/>
          <w:szCs w:val="21"/>
        </w:rPr>
        <w:t xml:space="preserve"> </w:t>
      </w:r>
      <w:r w:rsidRPr="007C2763">
        <w:rPr>
          <w:rFonts w:ascii="Abadi" w:hAnsi="Abadi"/>
          <w:b w:val="0"/>
          <w:bCs w:val="0"/>
          <w:sz w:val="21"/>
          <w:szCs w:val="21"/>
        </w:rPr>
        <w:t>denomine</w:t>
      </w:r>
      <w:r w:rsidRPr="007C2763">
        <w:rPr>
          <w:rFonts w:ascii="Abadi" w:hAnsi="Abadi"/>
          <w:b w:val="0"/>
          <w:bCs w:val="0"/>
          <w:spacing w:val="-1"/>
          <w:sz w:val="21"/>
          <w:szCs w:val="21"/>
        </w:rPr>
        <w:t xml:space="preserve"> </w:t>
      </w:r>
      <w:r w:rsidRPr="007C2763">
        <w:rPr>
          <w:rFonts w:ascii="Abadi" w:hAnsi="Abadi"/>
          <w:b w:val="0"/>
          <w:bCs w:val="0"/>
          <w:sz w:val="21"/>
          <w:szCs w:val="21"/>
        </w:rPr>
        <w:t>"Charcas</w:t>
      </w:r>
      <w:r w:rsidRPr="007C2763">
        <w:rPr>
          <w:rFonts w:ascii="Abadi" w:hAnsi="Abadi"/>
          <w:b w:val="0"/>
          <w:bCs w:val="0"/>
          <w:spacing w:val="-2"/>
          <w:sz w:val="21"/>
          <w:szCs w:val="21"/>
        </w:rPr>
        <w:t xml:space="preserve"> </w:t>
      </w:r>
      <w:r w:rsidRPr="007C2763">
        <w:rPr>
          <w:rFonts w:ascii="Abadi" w:hAnsi="Abadi"/>
          <w:b w:val="0"/>
          <w:bCs w:val="0"/>
          <w:sz w:val="21"/>
          <w:szCs w:val="21"/>
        </w:rPr>
        <w:t>Doctor</w:t>
      </w:r>
      <w:r w:rsidRPr="007C2763">
        <w:rPr>
          <w:rFonts w:ascii="Abadi" w:hAnsi="Abadi"/>
          <w:b w:val="0"/>
          <w:bCs w:val="0"/>
          <w:spacing w:val="-1"/>
          <w:sz w:val="21"/>
          <w:szCs w:val="21"/>
        </w:rPr>
        <w:t xml:space="preserve"> </w:t>
      </w:r>
      <w:r w:rsidRPr="007C2763">
        <w:rPr>
          <w:rFonts w:ascii="Abadi" w:hAnsi="Abadi"/>
          <w:b w:val="0"/>
          <w:bCs w:val="0"/>
          <w:sz w:val="21"/>
          <w:szCs w:val="21"/>
        </w:rPr>
        <w:t>Mora".</w:t>
      </w:r>
    </w:p>
    <w:p w14:paraId="37D03973" w14:textId="77777777" w:rsidR="00374A1E" w:rsidRPr="007C2763" w:rsidRDefault="00374A1E" w:rsidP="00374A1E">
      <w:pPr>
        <w:pStyle w:val="Textoindependiente"/>
        <w:kinsoku w:val="0"/>
        <w:overflowPunct w:val="0"/>
        <w:rPr>
          <w:rFonts w:ascii="Abadi" w:hAnsi="Abadi"/>
          <w:b w:val="0"/>
          <w:bCs w:val="0"/>
          <w:sz w:val="21"/>
          <w:szCs w:val="21"/>
        </w:rPr>
      </w:pPr>
    </w:p>
    <w:p w14:paraId="4A38B556" w14:textId="77777777" w:rsidR="00374A1E" w:rsidRPr="007C2763" w:rsidRDefault="00374A1E" w:rsidP="00374A1E">
      <w:pPr>
        <w:pStyle w:val="Textoindependiente"/>
        <w:kinsoku w:val="0"/>
        <w:overflowPunct w:val="0"/>
        <w:rPr>
          <w:rFonts w:ascii="Abadi" w:hAnsi="Abadi"/>
          <w:b w:val="0"/>
          <w:bCs w:val="0"/>
          <w:sz w:val="21"/>
          <w:szCs w:val="21"/>
        </w:rPr>
      </w:pPr>
    </w:p>
    <w:p w14:paraId="7C9185CC" w14:textId="77777777" w:rsidR="00374A1E" w:rsidRPr="007C2763" w:rsidRDefault="00374A1E" w:rsidP="00374A1E">
      <w:pPr>
        <w:pStyle w:val="Textoindependiente"/>
        <w:kinsoku w:val="0"/>
        <w:overflowPunct w:val="0"/>
        <w:spacing w:line="268" w:lineRule="exact"/>
        <w:ind w:firstLine="708"/>
        <w:rPr>
          <w:rFonts w:ascii="Abadi" w:hAnsi="Abadi"/>
          <w:b w:val="0"/>
          <w:bCs w:val="0"/>
          <w:sz w:val="21"/>
          <w:szCs w:val="21"/>
        </w:rPr>
      </w:pPr>
      <w:r w:rsidRPr="007C2763">
        <w:rPr>
          <w:rFonts w:ascii="Abadi" w:hAnsi="Abadi"/>
          <w:b w:val="0"/>
          <w:bCs w:val="0"/>
          <w:sz w:val="21"/>
          <w:szCs w:val="21"/>
        </w:rPr>
        <w:t>Por</w:t>
      </w:r>
      <w:r w:rsidRPr="007C2763">
        <w:rPr>
          <w:rFonts w:ascii="Abadi" w:hAnsi="Abadi"/>
          <w:b w:val="0"/>
          <w:bCs w:val="0"/>
          <w:spacing w:val="26"/>
          <w:sz w:val="21"/>
          <w:szCs w:val="21"/>
        </w:rPr>
        <w:t xml:space="preserve"> </w:t>
      </w:r>
      <w:r w:rsidRPr="007C2763">
        <w:rPr>
          <w:rFonts w:ascii="Abadi" w:hAnsi="Abadi"/>
          <w:b w:val="0"/>
          <w:bCs w:val="0"/>
          <w:sz w:val="21"/>
          <w:szCs w:val="21"/>
        </w:rPr>
        <w:t>ser</w:t>
      </w:r>
      <w:r w:rsidRPr="007C2763">
        <w:rPr>
          <w:rFonts w:ascii="Abadi" w:hAnsi="Abadi"/>
          <w:b w:val="0"/>
          <w:bCs w:val="0"/>
          <w:spacing w:val="26"/>
          <w:sz w:val="21"/>
          <w:szCs w:val="21"/>
        </w:rPr>
        <w:t xml:space="preserve"> </w:t>
      </w:r>
      <w:r w:rsidRPr="007C2763">
        <w:rPr>
          <w:rFonts w:ascii="Abadi" w:hAnsi="Abadi"/>
          <w:b w:val="0"/>
          <w:bCs w:val="0"/>
          <w:sz w:val="21"/>
          <w:szCs w:val="21"/>
        </w:rPr>
        <w:t>la</w:t>
      </w:r>
      <w:r w:rsidRPr="007C2763">
        <w:rPr>
          <w:rFonts w:ascii="Abadi" w:hAnsi="Abadi"/>
          <w:b w:val="0"/>
          <w:bCs w:val="0"/>
          <w:spacing w:val="27"/>
          <w:sz w:val="21"/>
          <w:szCs w:val="21"/>
        </w:rPr>
        <w:t xml:space="preserve"> </w:t>
      </w:r>
      <w:r w:rsidRPr="007C2763">
        <w:rPr>
          <w:rFonts w:ascii="Abadi" w:hAnsi="Abadi"/>
          <w:b w:val="0"/>
          <w:bCs w:val="0"/>
          <w:sz w:val="21"/>
          <w:szCs w:val="21"/>
        </w:rPr>
        <w:t>cabecera</w:t>
      </w:r>
      <w:r w:rsidRPr="007C2763">
        <w:rPr>
          <w:rFonts w:ascii="Abadi" w:hAnsi="Abadi"/>
          <w:b w:val="0"/>
          <w:bCs w:val="0"/>
          <w:spacing w:val="27"/>
          <w:sz w:val="21"/>
          <w:szCs w:val="21"/>
        </w:rPr>
        <w:t xml:space="preserve"> </w:t>
      </w:r>
      <w:r w:rsidRPr="007C2763">
        <w:rPr>
          <w:rFonts w:ascii="Abadi" w:hAnsi="Abadi"/>
          <w:b w:val="0"/>
          <w:bCs w:val="0"/>
          <w:sz w:val="21"/>
          <w:szCs w:val="21"/>
        </w:rPr>
        <w:t>municipal</w:t>
      </w:r>
      <w:r w:rsidRPr="007C2763">
        <w:rPr>
          <w:rFonts w:ascii="Abadi" w:hAnsi="Abadi"/>
          <w:b w:val="0"/>
          <w:bCs w:val="0"/>
          <w:spacing w:val="25"/>
          <w:sz w:val="21"/>
          <w:szCs w:val="21"/>
        </w:rPr>
        <w:t xml:space="preserve"> </w:t>
      </w:r>
      <w:r w:rsidRPr="007C2763">
        <w:rPr>
          <w:rFonts w:ascii="Abadi" w:hAnsi="Abadi"/>
          <w:b w:val="0"/>
          <w:bCs w:val="0"/>
          <w:sz w:val="21"/>
          <w:szCs w:val="21"/>
        </w:rPr>
        <w:t>donde</w:t>
      </w:r>
      <w:r w:rsidRPr="007C2763">
        <w:rPr>
          <w:rFonts w:ascii="Abadi" w:hAnsi="Abadi"/>
          <w:b w:val="0"/>
          <w:bCs w:val="0"/>
          <w:spacing w:val="27"/>
          <w:sz w:val="21"/>
          <w:szCs w:val="21"/>
        </w:rPr>
        <w:t xml:space="preserve"> </w:t>
      </w:r>
      <w:r w:rsidRPr="007C2763">
        <w:rPr>
          <w:rFonts w:ascii="Abadi" w:hAnsi="Abadi"/>
          <w:b w:val="0"/>
          <w:bCs w:val="0"/>
          <w:sz w:val="21"/>
          <w:szCs w:val="21"/>
        </w:rPr>
        <w:t>radica</w:t>
      </w:r>
      <w:r w:rsidRPr="007C2763">
        <w:rPr>
          <w:rFonts w:ascii="Abadi" w:hAnsi="Abadi"/>
          <w:b w:val="0"/>
          <w:bCs w:val="0"/>
          <w:spacing w:val="25"/>
          <w:sz w:val="21"/>
          <w:szCs w:val="21"/>
        </w:rPr>
        <w:t xml:space="preserve"> </w:t>
      </w:r>
      <w:r w:rsidRPr="007C2763">
        <w:rPr>
          <w:rFonts w:ascii="Abadi" w:hAnsi="Abadi"/>
          <w:b w:val="0"/>
          <w:bCs w:val="0"/>
          <w:sz w:val="21"/>
          <w:szCs w:val="21"/>
        </w:rPr>
        <w:t>la</w:t>
      </w:r>
      <w:r w:rsidRPr="007C2763">
        <w:rPr>
          <w:rFonts w:ascii="Abadi" w:hAnsi="Abadi"/>
          <w:b w:val="0"/>
          <w:bCs w:val="0"/>
          <w:spacing w:val="27"/>
          <w:sz w:val="21"/>
          <w:szCs w:val="21"/>
        </w:rPr>
        <w:t xml:space="preserve"> </w:t>
      </w:r>
      <w:r w:rsidRPr="007C2763">
        <w:rPr>
          <w:rFonts w:ascii="Abadi" w:hAnsi="Abadi"/>
          <w:b w:val="0"/>
          <w:bCs w:val="0"/>
          <w:sz w:val="21"/>
          <w:szCs w:val="21"/>
        </w:rPr>
        <w:t>autoridad</w:t>
      </w:r>
      <w:r w:rsidRPr="007C2763">
        <w:rPr>
          <w:rFonts w:ascii="Abadi" w:hAnsi="Abadi"/>
          <w:b w:val="0"/>
          <w:bCs w:val="0"/>
          <w:spacing w:val="27"/>
          <w:sz w:val="21"/>
          <w:szCs w:val="21"/>
        </w:rPr>
        <w:t xml:space="preserve"> </w:t>
      </w:r>
      <w:r w:rsidRPr="007C2763">
        <w:rPr>
          <w:rFonts w:ascii="Abadi" w:hAnsi="Abadi"/>
          <w:b w:val="0"/>
          <w:bCs w:val="0"/>
          <w:sz w:val="21"/>
          <w:szCs w:val="21"/>
        </w:rPr>
        <w:t>municipal</w:t>
      </w:r>
      <w:r w:rsidRPr="007C2763">
        <w:rPr>
          <w:rFonts w:ascii="Abadi" w:hAnsi="Abadi"/>
          <w:b w:val="0"/>
          <w:bCs w:val="0"/>
          <w:spacing w:val="24"/>
          <w:sz w:val="21"/>
          <w:szCs w:val="21"/>
        </w:rPr>
        <w:t xml:space="preserve"> </w:t>
      </w:r>
      <w:r w:rsidRPr="007C2763">
        <w:rPr>
          <w:rFonts w:ascii="Abadi" w:hAnsi="Abadi"/>
          <w:b w:val="0"/>
          <w:bCs w:val="0"/>
          <w:sz w:val="21"/>
          <w:szCs w:val="21"/>
        </w:rPr>
        <w:t>elegida para</w:t>
      </w:r>
      <w:r w:rsidRPr="007C2763">
        <w:rPr>
          <w:rFonts w:ascii="Abadi" w:hAnsi="Abadi"/>
          <w:b w:val="0"/>
          <w:bCs w:val="0"/>
          <w:spacing w:val="19"/>
          <w:sz w:val="21"/>
          <w:szCs w:val="21"/>
        </w:rPr>
        <w:t xml:space="preserve"> </w:t>
      </w:r>
      <w:r w:rsidRPr="007C2763">
        <w:rPr>
          <w:rFonts w:ascii="Abadi" w:hAnsi="Abadi"/>
          <w:b w:val="0"/>
          <w:bCs w:val="0"/>
          <w:sz w:val="21"/>
          <w:szCs w:val="21"/>
        </w:rPr>
        <w:t>gobernar</w:t>
      </w:r>
      <w:r w:rsidRPr="007C2763">
        <w:rPr>
          <w:rFonts w:ascii="Abadi" w:hAnsi="Abadi"/>
          <w:b w:val="0"/>
          <w:bCs w:val="0"/>
          <w:spacing w:val="17"/>
          <w:sz w:val="21"/>
          <w:szCs w:val="21"/>
        </w:rPr>
        <w:t xml:space="preserve"> </w:t>
      </w:r>
      <w:r w:rsidRPr="007C2763">
        <w:rPr>
          <w:rFonts w:ascii="Abadi" w:hAnsi="Abadi"/>
          <w:b w:val="0"/>
          <w:bCs w:val="0"/>
          <w:sz w:val="21"/>
          <w:szCs w:val="21"/>
        </w:rPr>
        <w:t>el</w:t>
      </w:r>
      <w:r w:rsidRPr="007C2763">
        <w:rPr>
          <w:rFonts w:ascii="Abadi" w:hAnsi="Abadi"/>
          <w:b w:val="0"/>
          <w:bCs w:val="0"/>
          <w:spacing w:val="17"/>
          <w:sz w:val="21"/>
          <w:szCs w:val="21"/>
        </w:rPr>
        <w:t xml:space="preserve"> </w:t>
      </w:r>
      <w:r w:rsidRPr="007C2763">
        <w:rPr>
          <w:rFonts w:ascii="Abadi" w:hAnsi="Abadi"/>
          <w:b w:val="0"/>
          <w:bCs w:val="0"/>
          <w:sz w:val="21"/>
          <w:szCs w:val="21"/>
        </w:rPr>
        <w:t>municipio,</w:t>
      </w:r>
      <w:r w:rsidRPr="007C2763">
        <w:rPr>
          <w:rFonts w:ascii="Abadi" w:hAnsi="Abadi"/>
          <w:b w:val="0"/>
          <w:bCs w:val="0"/>
          <w:spacing w:val="18"/>
          <w:sz w:val="21"/>
          <w:szCs w:val="21"/>
        </w:rPr>
        <w:t xml:space="preserve"> </w:t>
      </w:r>
      <w:r w:rsidRPr="007C2763">
        <w:rPr>
          <w:rFonts w:ascii="Abadi" w:hAnsi="Abadi"/>
          <w:b w:val="0"/>
          <w:bCs w:val="0"/>
          <w:sz w:val="21"/>
          <w:szCs w:val="21"/>
        </w:rPr>
        <w:t>y</w:t>
      </w:r>
      <w:r w:rsidRPr="007C2763">
        <w:rPr>
          <w:rFonts w:ascii="Abadi" w:hAnsi="Abadi"/>
          <w:b w:val="0"/>
          <w:bCs w:val="0"/>
          <w:spacing w:val="15"/>
          <w:sz w:val="21"/>
          <w:szCs w:val="21"/>
        </w:rPr>
        <w:t xml:space="preserve"> </w:t>
      </w:r>
      <w:r w:rsidRPr="007C2763">
        <w:rPr>
          <w:rFonts w:ascii="Abadi" w:hAnsi="Abadi"/>
          <w:b w:val="0"/>
          <w:bCs w:val="0"/>
          <w:sz w:val="21"/>
          <w:szCs w:val="21"/>
        </w:rPr>
        <w:t>en</w:t>
      </w:r>
      <w:r w:rsidRPr="007C2763">
        <w:rPr>
          <w:rFonts w:ascii="Abadi" w:hAnsi="Abadi"/>
          <w:b w:val="0"/>
          <w:bCs w:val="0"/>
          <w:spacing w:val="16"/>
          <w:sz w:val="21"/>
          <w:szCs w:val="21"/>
        </w:rPr>
        <w:t xml:space="preserve"> </w:t>
      </w:r>
      <w:r w:rsidRPr="007C2763">
        <w:rPr>
          <w:rFonts w:ascii="Abadi" w:hAnsi="Abadi"/>
          <w:b w:val="0"/>
          <w:bCs w:val="0"/>
          <w:sz w:val="21"/>
          <w:szCs w:val="21"/>
        </w:rPr>
        <w:t>atención</w:t>
      </w:r>
      <w:r w:rsidRPr="007C2763">
        <w:rPr>
          <w:rFonts w:ascii="Abadi" w:hAnsi="Abadi"/>
          <w:b w:val="0"/>
          <w:bCs w:val="0"/>
          <w:spacing w:val="18"/>
          <w:sz w:val="21"/>
          <w:szCs w:val="21"/>
        </w:rPr>
        <w:t xml:space="preserve"> </w:t>
      </w:r>
      <w:r w:rsidRPr="007C2763">
        <w:rPr>
          <w:rFonts w:ascii="Abadi" w:hAnsi="Abadi"/>
          <w:b w:val="0"/>
          <w:bCs w:val="0"/>
          <w:sz w:val="21"/>
          <w:szCs w:val="21"/>
        </w:rPr>
        <w:t>al</w:t>
      </w:r>
      <w:r w:rsidRPr="007C2763">
        <w:rPr>
          <w:rFonts w:ascii="Abadi" w:hAnsi="Abadi"/>
          <w:b w:val="0"/>
          <w:bCs w:val="0"/>
          <w:spacing w:val="17"/>
          <w:sz w:val="21"/>
          <w:szCs w:val="21"/>
        </w:rPr>
        <w:t xml:space="preserve"> </w:t>
      </w:r>
      <w:r w:rsidRPr="007C2763">
        <w:rPr>
          <w:rFonts w:ascii="Abadi" w:hAnsi="Abadi"/>
          <w:b w:val="0"/>
          <w:bCs w:val="0"/>
          <w:sz w:val="21"/>
          <w:szCs w:val="21"/>
        </w:rPr>
        <w:t>llamado</w:t>
      </w:r>
      <w:r w:rsidRPr="007C2763">
        <w:rPr>
          <w:rFonts w:ascii="Abadi" w:hAnsi="Abadi"/>
          <w:b w:val="0"/>
          <w:bCs w:val="0"/>
          <w:spacing w:val="16"/>
          <w:sz w:val="21"/>
          <w:szCs w:val="21"/>
        </w:rPr>
        <w:t xml:space="preserve"> </w:t>
      </w:r>
      <w:r w:rsidRPr="007C2763">
        <w:rPr>
          <w:rFonts w:ascii="Abadi" w:hAnsi="Abadi"/>
          <w:b w:val="0"/>
          <w:bCs w:val="0"/>
          <w:sz w:val="21"/>
          <w:szCs w:val="21"/>
        </w:rPr>
        <w:t>de</w:t>
      </w:r>
      <w:r w:rsidRPr="007C2763">
        <w:rPr>
          <w:rFonts w:ascii="Abadi" w:hAnsi="Abadi"/>
          <w:b w:val="0"/>
          <w:bCs w:val="0"/>
          <w:spacing w:val="18"/>
          <w:sz w:val="21"/>
          <w:szCs w:val="21"/>
        </w:rPr>
        <w:t xml:space="preserve"> </w:t>
      </w:r>
      <w:r w:rsidRPr="007C2763">
        <w:rPr>
          <w:rFonts w:ascii="Abadi" w:hAnsi="Abadi"/>
          <w:b w:val="0"/>
          <w:bCs w:val="0"/>
          <w:sz w:val="21"/>
          <w:szCs w:val="21"/>
        </w:rPr>
        <w:t>los</w:t>
      </w:r>
      <w:r w:rsidRPr="007C2763">
        <w:rPr>
          <w:rFonts w:ascii="Abadi" w:hAnsi="Abadi"/>
          <w:b w:val="0"/>
          <w:bCs w:val="0"/>
          <w:spacing w:val="15"/>
          <w:sz w:val="21"/>
          <w:szCs w:val="21"/>
        </w:rPr>
        <w:t xml:space="preserve"> </w:t>
      </w:r>
      <w:r w:rsidRPr="007C2763">
        <w:rPr>
          <w:rFonts w:ascii="Abadi" w:hAnsi="Abadi"/>
          <w:b w:val="0"/>
          <w:bCs w:val="0"/>
          <w:sz w:val="21"/>
          <w:szCs w:val="21"/>
        </w:rPr>
        <w:t>habitantes</w:t>
      </w:r>
      <w:r w:rsidRPr="007C2763">
        <w:rPr>
          <w:rFonts w:ascii="Abadi" w:hAnsi="Abadi"/>
          <w:b w:val="0"/>
          <w:bCs w:val="0"/>
          <w:spacing w:val="17"/>
          <w:sz w:val="21"/>
          <w:szCs w:val="21"/>
        </w:rPr>
        <w:t xml:space="preserve"> </w:t>
      </w:r>
      <w:r w:rsidRPr="007C2763">
        <w:rPr>
          <w:rFonts w:ascii="Abadi" w:hAnsi="Abadi"/>
          <w:b w:val="0"/>
          <w:bCs w:val="0"/>
          <w:sz w:val="21"/>
          <w:szCs w:val="21"/>
        </w:rPr>
        <w:t>del municipio</w:t>
      </w:r>
      <w:r w:rsidRPr="007C2763">
        <w:rPr>
          <w:rFonts w:ascii="Abadi" w:hAnsi="Abadi"/>
          <w:b w:val="0"/>
          <w:bCs w:val="0"/>
          <w:spacing w:val="39"/>
          <w:sz w:val="21"/>
          <w:szCs w:val="21"/>
        </w:rPr>
        <w:t xml:space="preserve"> </w:t>
      </w:r>
      <w:r w:rsidRPr="007C2763">
        <w:rPr>
          <w:rFonts w:ascii="Abadi" w:hAnsi="Abadi"/>
          <w:b w:val="0"/>
          <w:bCs w:val="0"/>
          <w:sz w:val="21"/>
          <w:szCs w:val="21"/>
        </w:rPr>
        <w:t>y</w:t>
      </w:r>
      <w:r w:rsidRPr="007C2763">
        <w:rPr>
          <w:rFonts w:ascii="Abadi" w:hAnsi="Abadi"/>
          <w:b w:val="0"/>
          <w:bCs w:val="0"/>
          <w:spacing w:val="36"/>
          <w:sz w:val="21"/>
          <w:szCs w:val="21"/>
        </w:rPr>
        <w:t xml:space="preserve"> </w:t>
      </w:r>
      <w:r w:rsidRPr="007C2763">
        <w:rPr>
          <w:rFonts w:ascii="Abadi" w:hAnsi="Abadi"/>
          <w:b w:val="0"/>
          <w:bCs w:val="0"/>
          <w:sz w:val="21"/>
          <w:szCs w:val="21"/>
        </w:rPr>
        <w:t>de</w:t>
      </w:r>
      <w:r w:rsidRPr="007C2763">
        <w:rPr>
          <w:rFonts w:ascii="Abadi" w:hAnsi="Abadi"/>
          <w:b w:val="0"/>
          <w:bCs w:val="0"/>
          <w:spacing w:val="40"/>
          <w:sz w:val="21"/>
          <w:szCs w:val="21"/>
        </w:rPr>
        <w:t xml:space="preserve"> </w:t>
      </w:r>
      <w:r w:rsidRPr="007C2763">
        <w:rPr>
          <w:rFonts w:ascii="Abadi" w:hAnsi="Abadi"/>
          <w:b w:val="0"/>
          <w:bCs w:val="0"/>
          <w:sz w:val="21"/>
          <w:szCs w:val="21"/>
        </w:rPr>
        <w:t>sus</w:t>
      </w:r>
      <w:r w:rsidRPr="007C2763">
        <w:rPr>
          <w:rFonts w:ascii="Abadi" w:hAnsi="Abadi"/>
          <w:b w:val="0"/>
          <w:bCs w:val="0"/>
          <w:spacing w:val="35"/>
          <w:sz w:val="21"/>
          <w:szCs w:val="21"/>
        </w:rPr>
        <w:t xml:space="preserve"> </w:t>
      </w:r>
      <w:r w:rsidRPr="007C2763">
        <w:rPr>
          <w:rFonts w:ascii="Abadi" w:hAnsi="Abadi"/>
          <w:b w:val="0"/>
          <w:bCs w:val="0"/>
          <w:sz w:val="21"/>
          <w:szCs w:val="21"/>
        </w:rPr>
        <w:t>autoridades,</w:t>
      </w:r>
      <w:r w:rsidRPr="007C2763">
        <w:rPr>
          <w:rFonts w:ascii="Abadi" w:hAnsi="Abadi"/>
          <w:b w:val="0"/>
          <w:bCs w:val="0"/>
          <w:spacing w:val="37"/>
          <w:sz w:val="21"/>
          <w:szCs w:val="21"/>
        </w:rPr>
        <w:t xml:space="preserve"> </w:t>
      </w:r>
      <w:r w:rsidRPr="007C2763">
        <w:rPr>
          <w:rFonts w:ascii="Abadi" w:hAnsi="Abadi"/>
          <w:b w:val="0"/>
          <w:bCs w:val="0"/>
          <w:sz w:val="21"/>
          <w:szCs w:val="21"/>
        </w:rPr>
        <w:t>quienes</w:t>
      </w:r>
      <w:r w:rsidRPr="007C2763">
        <w:rPr>
          <w:rFonts w:ascii="Abadi" w:hAnsi="Abadi"/>
          <w:b w:val="0"/>
          <w:bCs w:val="0"/>
          <w:spacing w:val="36"/>
          <w:sz w:val="21"/>
          <w:szCs w:val="21"/>
        </w:rPr>
        <w:t xml:space="preserve"> </w:t>
      </w:r>
      <w:r w:rsidRPr="007C2763">
        <w:rPr>
          <w:rFonts w:ascii="Abadi" w:hAnsi="Abadi"/>
          <w:b w:val="0"/>
          <w:bCs w:val="0"/>
          <w:sz w:val="21"/>
          <w:szCs w:val="21"/>
        </w:rPr>
        <w:t>integramos</w:t>
      </w:r>
      <w:r w:rsidRPr="007C2763">
        <w:rPr>
          <w:rFonts w:ascii="Abadi" w:hAnsi="Abadi"/>
          <w:b w:val="0"/>
          <w:bCs w:val="0"/>
          <w:spacing w:val="35"/>
          <w:sz w:val="21"/>
          <w:szCs w:val="21"/>
        </w:rPr>
        <w:t xml:space="preserve"> </w:t>
      </w:r>
      <w:r w:rsidRPr="007C2763">
        <w:rPr>
          <w:rFonts w:ascii="Abadi" w:hAnsi="Abadi"/>
          <w:b w:val="0"/>
          <w:bCs w:val="0"/>
          <w:sz w:val="21"/>
          <w:szCs w:val="21"/>
        </w:rPr>
        <w:t>el</w:t>
      </w:r>
      <w:r w:rsidRPr="007C2763">
        <w:rPr>
          <w:rFonts w:ascii="Abadi" w:hAnsi="Abadi"/>
          <w:b w:val="0"/>
          <w:bCs w:val="0"/>
          <w:spacing w:val="38"/>
          <w:sz w:val="21"/>
          <w:szCs w:val="21"/>
        </w:rPr>
        <w:t xml:space="preserve"> </w:t>
      </w:r>
      <w:r w:rsidRPr="007C2763">
        <w:rPr>
          <w:rFonts w:ascii="Abadi" w:hAnsi="Abadi"/>
          <w:b w:val="0"/>
          <w:bCs w:val="0"/>
          <w:sz w:val="21"/>
          <w:szCs w:val="21"/>
        </w:rPr>
        <w:t>Grupo</w:t>
      </w:r>
      <w:r w:rsidRPr="007C2763">
        <w:rPr>
          <w:rFonts w:ascii="Abadi" w:hAnsi="Abadi"/>
          <w:b w:val="0"/>
          <w:bCs w:val="0"/>
          <w:spacing w:val="37"/>
          <w:sz w:val="21"/>
          <w:szCs w:val="21"/>
        </w:rPr>
        <w:t xml:space="preserve"> </w:t>
      </w:r>
      <w:r w:rsidRPr="007C2763">
        <w:rPr>
          <w:rFonts w:ascii="Abadi" w:hAnsi="Abadi"/>
          <w:b w:val="0"/>
          <w:bCs w:val="0"/>
          <w:sz w:val="21"/>
          <w:szCs w:val="21"/>
        </w:rPr>
        <w:t>Parlamentario</w:t>
      </w:r>
      <w:r w:rsidRPr="007C2763">
        <w:rPr>
          <w:rFonts w:ascii="Abadi" w:hAnsi="Abadi"/>
          <w:b w:val="0"/>
          <w:bCs w:val="0"/>
          <w:spacing w:val="36"/>
          <w:sz w:val="21"/>
          <w:szCs w:val="21"/>
        </w:rPr>
        <w:t xml:space="preserve"> </w:t>
      </w:r>
      <w:r w:rsidRPr="007C2763">
        <w:rPr>
          <w:rFonts w:ascii="Abadi" w:hAnsi="Abadi"/>
          <w:b w:val="0"/>
          <w:bCs w:val="0"/>
          <w:sz w:val="21"/>
          <w:szCs w:val="21"/>
        </w:rPr>
        <w:t>del Partido</w:t>
      </w:r>
      <w:r w:rsidRPr="007C2763">
        <w:rPr>
          <w:rFonts w:ascii="Abadi" w:hAnsi="Abadi"/>
          <w:b w:val="0"/>
          <w:bCs w:val="0"/>
          <w:spacing w:val="11"/>
          <w:sz w:val="21"/>
          <w:szCs w:val="21"/>
        </w:rPr>
        <w:t xml:space="preserve"> </w:t>
      </w:r>
      <w:r w:rsidRPr="007C2763">
        <w:rPr>
          <w:rFonts w:ascii="Abadi" w:hAnsi="Abadi"/>
          <w:b w:val="0"/>
          <w:bCs w:val="0"/>
          <w:sz w:val="21"/>
          <w:szCs w:val="21"/>
        </w:rPr>
        <w:t>Acción</w:t>
      </w:r>
      <w:r w:rsidRPr="007C2763">
        <w:rPr>
          <w:rFonts w:ascii="Abadi" w:hAnsi="Abadi"/>
          <w:b w:val="0"/>
          <w:bCs w:val="0"/>
          <w:spacing w:val="13"/>
          <w:sz w:val="21"/>
          <w:szCs w:val="21"/>
        </w:rPr>
        <w:t xml:space="preserve"> </w:t>
      </w:r>
      <w:r w:rsidRPr="007C2763">
        <w:rPr>
          <w:rFonts w:ascii="Abadi" w:hAnsi="Abadi"/>
          <w:b w:val="0"/>
          <w:bCs w:val="0"/>
          <w:sz w:val="21"/>
          <w:szCs w:val="21"/>
        </w:rPr>
        <w:t>Nacional,</w:t>
      </w:r>
      <w:r w:rsidRPr="007C2763">
        <w:rPr>
          <w:rFonts w:ascii="Abadi" w:hAnsi="Abadi"/>
          <w:b w:val="0"/>
          <w:bCs w:val="0"/>
          <w:spacing w:val="13"/>
          <w:sz w:val="21"/>
          <w:szCs w:val="21"/>
        </w:rPr>
        <w:t xml:space="preserve"> </w:t>
      </w:r>
      <w:r w:rsidRPr="007C2763">
        <w:rPr>
          <w:rFonts w:ascii="Abadi" w:hAnsi="Abadi"/>
          <w:b w:val="0"/>
          <w:bCs w:val="0"/>
          <w:sz w:val="21"/>
          <w:szCs w:val="21"/>
        </w:rPr>
        <w:t>consideramos</w:t>
      </w:r>
      <w:r w:rsidRPr="007C2763">
        <w:rPr>
          <w:rFonts w:ascii="Abadi" w:hAnsi="Abadi"/>
          <w:b w:val="0"/>
          <w:bCs w:val="0"/>
          <w:spacing w:val="10"/>
          <w:sz w:val="21"/>
          <w:szCs w:val="21"/>
        </w:rPr>
        <w:t xml:space="preserve"> </w:t>
      </w:r>
      <w:r w:rsidRPr="007C2763">
        <w:rPr>
          <w:rFonts w:ascii="Abadi" w:hAnsi="Abadi"/>
          <w:b w:val="0"/>
          <w:bCs w:val="0"/>
          <w:sz w:val="21"/>
          <w:szCs w:val="21"/>
        </w:rPr>
        <w:t>adecuada</w:t>
      </w:r>
      <w:r w:rsidRPr="007C2763">
        <w:rPr>
          <w:rFonts w:ascii="Abadi" w:hAnsi="Abadi"/>
          <w:b w:val="0"/>
          <w:bCs w:val="0"/>
          <w:spacing w:val="13"/>
          <w:sz w:val="21"/>
          <w:szCs w:val="21"/>
        </w:rPr>
        <w:t xml:space="preserve"> </w:t>
      </w:r>
      <w:r w:rsidRPr="007C2763">
        <w:rPr>
          <w:rFonts w:ascii="Abadi" w:hAnsi="Abadi"/>
          <w:b w:val="0"/>
          <w:bCs w:val="0"/>
          <w:sz w:val="21"/>
          <w:szCs w:val="21"/>
        </w:rPr>
        <w:t>y</w:t>
      </w:r>
      <w:r w:rsidRPr="007C2763">
        <w:rPr>
          <w:rFonts w:ascii="Abadi" w:hAnsi="Abadi"/>
          <w:b w:val="0"/>
          <w:bCs w:val="0"/>
          <w:spacing w:val="13"/>
          <w:sz w:val="21"/>
          <w:szCs w:val="21"/>
        </w:rPr>
        <w:t xml:space="preserve"> </w:t>
      </w:r>
      <w:r w:rsidRPr="007C2763">
        <w:rPr>
          <w:rFonts w:ascii="Abadi" w:hAnsi="Abadi"/>
          <w:b w:val="0"/>
          <w:bCs w:val="0"/>
          <w:sz w:val="21"/>
          <w:szCs w:val="21"/>
        </w:rPr>
        <w:t>legitima</w:t>
      </w:r>
      <w:r w:rsidRPr="007C2763">
        <w:rPr>
          <w:rFonts w:ascii="Abadi" w:hAnsi="Abadi"/>
          <w:b w:val="0"/>
          <w:bCs w:val="0"/>
          <w:spacing w:val="13"/>
          <w:sz w:val="21"/>
          <w:szCs w:val="21"/>
        </w:rPr>
        <w:t xml:space="preserve"> </w:t>
      </w:r>
      <w:r w:rsidRPr="007C2763">
        <w:rPr>
          <w:rFonts w:ascii="Abadi" w:hAnsi="Abadi"/>
          <w:b w:val="0"/>
          <w:bCs w:val="0"/>
          <w:sz w:val="21"/>
          <w:szCs w:val="21"/>
        </w:rPr>
        <w:t>dicha</w:t>
      </w:r>
      <w:r w:rsidRPr="007C2763">
        <w:rPr>
          <w:rFonts w:ascii="Abadi" w:hAnsi="Abadi"/>
          <w:b w:val="0"/>
          <w:bCs w:val="0"/>
          <w:spacing w:val="13"/>
          <w:sz w:val="21"/>
          <w:szCs w:val="21"/>
        </w:rPr>
        <w:t xml:space="preserve"> </w:t>
      </w:r>
      <w:r w:rsidRPr="007C2763">
        <w:rPr>
          <w:rFonts w:ascii="Abadi" w:hAnsi="Abadi"/>
          <w:b w:val="0"/>
          <w:bCs w:val="0"/>
          <w:sz w:val="21"/>
          <w:szCs w:val="21"/>
        </w:rPr>
        <w:t>pretensión como</w:t>
      </w:r>
      <w:r w:rsidRPr="007C2763">
        <w:rPr>
          <w:rFonts w:ascii="Abadi" w:hAnsi="Abadi"/>
          <w:b w:val="0"/>
          <w:bCs w:val="0"/>
          <w:spacing w:val="1"/>
          <w:sz w:val="21"/>
          <w:szCs w:val="21"/>
        </w:rPr>
        <w:t xml:space="preserve"> </w:t>
      </w:r>
      <w:r w:rsidRPr="007C2763">
        <w:rPr>
          <w:rFonts w:ascii="Abadi" w:hAnsi="Abadi"/>
          <w:b w:val="0"/>
          <w:bCs w:val="0"/>
          <w:sz w:val="21"/>
          <w:szCs w:val="21"/>
        </w:rPr>
        <w:t>medida</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fortalecimiento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su identidad</w:t>
      </w:r>
      <w:r w:rsidRPr="007C2763">
        <w:rPr>
          <w:rFonts w:ascii="Abadi" w:hAnsi="Abadi"/>
          <w:b w:val="0"/>
          <w:bCs w:val="0"/>
          <w:spacing w:val="1"/>
          <w:sz w:val="21"/>
          <w:szCs w:val="21"/>
        </w:rPr>
        <w:t xml:space="preserve"> </w:t>
      </w:r>
      <w:r w:rsidRPr="007C2763">
        <w:rPr>
          <w:rFonts w:ascii="Abadi" w:hAnsi="Abadi"/>
          <w:b w:val="0"/>
          <w:bCs w:val="0"/>
          <w:sz w:val="21"/>
          <w:szCs w:val="21"/>
        </w:rPr>
        <w:t>colectiva.</w:t>
      </w:r>
    </w:p>
    <w:p w14:paraId="75C6CFFA" w14:textId="77777777" w:rsidR="00374A1E" w:rsidRPr="007C2763" w:rsidRDefault="00374A1E" w:rsidP="00374A1E">
      <w:pPr>
        <w:pStyle w:val="Textoindependiente"/>
        <w:kinsoku w:val="0"/>
        <w:overflowPunct w:val="0"/>
        <w:ind w:right="117" w:firstLine="708"/>
        <w:rPr>
          <w:rFonts w:ascii="Abadi" w:hAnsi="Abadi"/>
          <w:b w:val="0"/>
          <w:bCs w:val="0"/>
          <w:sz w:val="21"/>
          <w:szCs w:val="21"/>
        </w:rPr>
      </w:pPr>
    </w:p>
    <w:p w14:paraId="6725A72C" w14:textId="77777777" w:rsidR="00374A1E" w:rsidRPr="007C2763" w:rsidRDefault="00374A1E" w:rsidP="00374A1E">
      <w:pPr>
        <w:pStyle w:val="Textoindependiente"/>
        <w:kinsoku w:val="0"/>
        <w:overflowPunct w:val="0"/>
        <w:ind w:right="117" w:firstLine="708"/>
        <w:rPr>
          <w:rFonts w:ascii="Abadi" w:hAnsi="Abadi"/>
          <w:b w:val="0"/>
          <w:bCs w:val="0"/>
          <w:sz w:val="21"/>
          <w:szCs w:val="21"/>
        </w:rPr>
      </w:pPr>
    </w:p>
    <w:p w14:paraId="2A8B3ED8" w14:textId="77777777" w:rsidR="00374A1E" w:rsidRPr="007C2763" w:rsidRDefault="00374A1E" w:rsidP="00374A1E">
      <w:pPr>
        <w:pStyle w:val="Textoindependiente"/>
        <w:kinsoku w:val="0"/>
        <w:overflowPunct w:val="0"/>
        <w:ind w:right="117" w:firstLine="708"/>
        <w:rPr>
          <w:rFonts w:ascii="Abadi" w:hAnsi="Abadi"/>
          <w:b w:val="0"/>
          <w:bCs w:val="0"/>
          <w:sz w:val="21"/>
          <w:szCs w:val="21"/>
        </w:rPr>
      </w:pPr>
      <w:r w:rsidRPr="007C2763">
        <w:rPr>
          <w:rFonts w:ascii="Abadi" w:hAnsi="Abadi"/>
          <w:b w:val="0"/>
          <w:bCs w:val="0"/>
          <w:sz w:val="21"/>
          <w:szCs w:val="21"/>
        </w:rPr>
        <w:t>Por</w:t>
      </w:r>
      <w:r w:rsidRPr="007C2763">
        <w:rPr>
          <w:rFonts w:ascii="Abadi" w:hAnsi="Abadi"/>
          <w:b w:val="0"/>
          <w:bCs w:val="0"/>
          <w:spacing w:val="9"/>
          <w:sz w:val="21"/>
          <w:szCs w:val="21"/>
        </w:rPr>
        <w:t xml:space="preserve"> </w:t>
      </w:r>
      <w:r w:rsidRPr="007C2763">
        <w:rPr>
          <w:rFonts w:ascii="Abadi" w:hAnsi="Abadi"/>
          <w:b w:val="0"/>
          <w:bCs w:val="0"/>
          <w:sz w:val="21"/>
          <w:szCs w:val="21"/>
        </w:rPr>
        <w:t>otra</w:t>
      </w:r>
      <w:r w:rsidRPr="007C2763">
        <w:rPr>
          <w:rFonts w:ascii="Abadi" w:hAnsi="Abadi"/>
          <w:b w:val="0"/>
          <w:bCs w:val="0"/>
          <w:spacing w:val="10"/>
          <w:sz w:val="21"/>
          <w:szCs w:val="21"/>
        </w:rPr>
        <w:t xml:space="preserve"> </w:t>
      </w:r>
      <w:r w:rsidRPr="007C2763">
        <w:rPr>
          <w:rFonts w:ascii="Abadi" w:hAnsi="Abadi"/>
          <w:b w:val="0"/>
          <w:bCs w:val="0"/>
          <w:sz w:val="21"/>
          <w:szCs w:val="21"/>
        </w:rPr>
        <w:t>parte,</w:t>
      </w:r>
      <w:r w:rsidRPr="007C2763">
        <w:rPr>
          <w:rFonts w:ascii="Abadi" w:hAnsi="Abadi"/>
          <w:b w:val="0"/>
          <w:bCs w:val="0"/>
          <w:spacing w:val="8"/>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r w:rsidRPr="007C2763">
        <w:rPr>
          <w:rFonts w:ascii="Abadi" w:hAnsi="Abadi"/>
          <w:b w:val="0"/>
          <w:bCs w:val="0"/>
          <w:sz w:val="21"/>
          <w:szCs w:val="21"/>
        </w:rPr>
        <w:t>acuerdo</w:t>
      </w:r>
      <w:r w:rsidRPr="007C2763">
        <w:rPr>
          <w:rFonts w:ascii="Abadi" w:hAnsi="Abadi"/>
          <w:b w:val="0"/>
          <w:bCs w:val="0"/>
          <w:spacing w:val="11"/>
          <w:sz w:val="21"/>
          <w:szCs w:val="21"/>
        </w:rPr>
        <w:t xml:space="preserve"> </w:t>
      </w:r>
      <w:r w:rsidRPr="007C2763">
        <w:rPr>
          <w:rFonts w:ascii="Abadi" w:hAnsi="Abadi"/>
          <w:b w:val="0"/>
          <w:bCs w:val="0"/>
          <w:sz w:val="21"/>
          <w:szCs w:val="21"/>
        </w:rPr>
        <w:t>con</w:t>
      </w:r>
      <w:r w:rsidRPr="007C2763">
        <w:rPr>
          <w:rFonts w:ascii="Abadi" w:hAnsi="Abadi"/>
          <w:b w:val="0"/>
          <w:bCs w:val="0"/>
          <w:spacing w:val="8"/>
          <w:sz w:val="21"/>
          <w:szCs w:val="21"/>
        </w:rPr>
        <w:t xml:space="preserve"> </w:t>
      </w:r>
      <w:r w:rsidRPr="007C2763">
        <w:rPr>
          <w:rFonts w:ascii="Abadi" w:hAnsi="Abadi"/>
          <w:b w:val="0"/>
          <w:bCs w:val="0"/>
          <w:sz w:val="21"/>
          <w:szCs w:val="21"/>
        </w:rPr>
        <w:t>el</w:t>
      </w:r>
      <w:r w:rsidRPr="007C2763">
        <w:rPr>
          <w:rFonts w:ascii="Abadi" w:hAnsi="Abadi"/>
          <w:b w:val="0"/>
          <w:bCs w:val="0"/>
          <w:spacing w:val="7"/>
          <w:sz w:val="21"/>
          <w:szCs w:val="21"/>
        </w:rPr>
        <w:t xml:space="preserve"> </w:t>
      </w:r>
      <w:r w:rsidRPr="007C2763">
        <w:rPr>
          <w:rFonts w:ascii="Abadi" w:hAnsi="Abadi"/>
          <w:b w:val="0"/>
          <w:bCs w:val="0"/>
          <w:sz w:val="21"/>
          <w:szCs w:val="21"/>
        </w:rPr>
        <w:t>artículo</w:t>
      </w:r>
      <w:r w:rsidRPr="007C2763">
        <w:rPr>
          <w:rFonts w:ascii="Abadi" w:hAnsi="Abadi"/>
          <w:b w:val="0"/>
          <w:bCs w:val="0"/>
          <w:spacing w:val="8"/>
          <w:sz w:val="21"/>
          <w:szCs w:val="21"/>
        </w:rPr>
        <w:t xml:space="preserve"> </w:t>
      </w:r>
      <w:r w:rsidRPr="007C2763">
        <w:rPr>
          <w:rFonts w:ascii="Abadi" w:hAnsi="Abadi"/>
          <w:b w:val="0"/>
          <w:bCs w:val="0"/>
          <w:sz w:val="21"/>
          <w:szCs w:val="21"/>
        </w:rPr>
        <w:t>209</w:t>
      </w:r>
      <w:r w:rsidRPr="007C2763">
        <w:rPr>
          <w:rFonts w:ascii="Abadi" w:hAnsi="Abadi"/>
          <w:b w:val="0"/>
          <w:bCs w:val="0"/>
          <w:spacing w:val="11"/>
          <w:sz w:val="21"/>
          <w:szCs w:val="21"/>
        </w:rPr>
        <w:t xml:space="preserve"> </w:t>
      </w:r>
      <w:r w:rsidRPr="007C2763">
        <w:rPr>
          <w:rFonts w:ascii="Abadi" w:hAnsi="Abadi"/>
          <w:b w:val="0"/>
          <w:bCs w:val="0"/>
          <w:sz w:val="21"/>
          <w:szCs w:val="21"/>
        </w:rPr>
        <w:t>de</w:t>
      </w:r>
      <w:r w:rsidRPr="007C2763">
        <w:rPr>
          <w:rFonts w:ascii="Abadi" w:hAnsi="Abadi"/>
          <w:b w:val="0"/>
          <w:bCs w:val="0"/>
          <w:spacing w:val="11"/>
          <w:sz w:val="21"/>
          <w:szCs w:val="21"/>
        </w:rPr>
        <w:t xml:space="preserve"> </w:t>
      </w:r>
      <w:r w:rsidRPr="007C2763">
        <w:rPr>
          <w:rFonts w:ascii="Abadi" w:hAnsi="Abadi"/>
          <w:b w:val="0"/>
          <w:bCs w:val="0"/>
          <w:sz w:val="21"/>
          <w:szCs w:val="21"/>
        </w:rPr>
        <w:t>la</w:t>
      </w:r>
      <w:r w:rsidRPr="007C2763">
        <w:rPr>
          <w:rFonts w:ascii="Abadi" w:hAnsi="Abadi"/>
          <w:b w:val="0"/>
          <w:bCs w:val="0"/>
          <w:spacing w:val="8"/>
          <w:sz w:val="21"/>
          <w:szCs w:val="21"/>
        </w:rPr>
        <w:t xml:space="preserve"> </w:t>
      </w:r>
      <w:r w:rsidRPr="007C2763">
        <w:rPr>
          <w:rFonts w:ascii="Abadi" w:hAnsi="Abadi"/>
          <w:b w:val="0"/>
          <w:bCs w:val="0"/>
          <w:sz w:val="21"/>
          <w:szCs w:val="21"/>
        </w:rPr>
        <w:t>Ley</w:t>
      </w:r>
      <w:r w:rsidRPr="007C2763">
        <w:rPr>
          <w:rFonts w:ascii="Abadi" w:hAnsi="Abadi"/>
          <w:b w:val="0"/>
          <w:bCs w:val="0"/>
          <w:spacing w:val="10"/>
          <w:sz w:val="21"/>
          <w:szCs w:val="21"/>
        </w:rPr>
        <w:t xml:space="preserve"> </w:t>
      </w:r>
      <w:r w:rsidRPr="007C2763">
        <w:rPr>
          <w:rFonts w:ascii="Abadi" w:hAnsi="Abadi"/>
          <w:b w:val="0"/>
          <w:bCs w:val="0"/>
          <w:sz w:val="21"/>
          <w:szCs w:val="21"/>
        </w:rPr>
        <w:t>Orgánica</w:t>
      </w:r>
      <w:r w:rsidRPr="007C2763">
        <w:rPr>
          <w:rFonts w:ascii="Abadi" w:hAnsi="Abadi"/>
          <w:b w:val="0"/>
          <w:bCs w:val="0"/>
          <w:spacing w:val="6"/>
          <w:sz w:val="21"/>
          <w:szCs w:val="21"/>
        </w:rPr>
        <w:t xml:space="preserve"> </w:t>
      </w:r>
      <w:r w:rsidRPr="007C2763">
        <w:rPr>
          <w:rFonts w:ascii="Abadi" w:hAnsi="Abadi"/>
          <w:b w:val="0"/>
          <w:bCs w:val="0"/>
          <w:sz w:val="21"/>
          <w:szCs w:val="21"/>
        </w:rPr>
        <w:t>del</w:t>
      </w:r>
      <w:r w:rsidRPr="007C2763">
        <w:rPr>
          <w:rFonts w:ascii="Abadi" w:hAnsi="Abadi"/>
          <w:b w:val="0"/>
          <w:bCs w:val="0"/>
          <w:spacing w:val="9"/>
          <w:sz w:val="21"/>
          <w:szCs w:val="21"/>
        </w:rPr>
        <w:t xml:space="preserve"> </w:t>
      </w:r>
      <w:r w:rsidRPr="007C2763">
        <w:rPr>
          <w:rFonts w:ascii="Abadi" w:hAnsi="Abadi"/>
          <w:b w:val="0"/>
          <w:bCs w:val="0"/>
          <w:sz w:val="21"/>
          <w:szCs w:val="21"/>
        </w:rPr>
        <w:t>Poder Legislativo</w:t>
      </w:r>
      <w:r w:rsidRPr="007C2763">
        <w:rPr>
          <w:rFonts w:ascii="Abadi" w:hAnsi="Abadi"/>
          <w:b w:val="0"/>
          <w:bCs w:val="0"/>
          <w:spacing w:val="52"/>
          <w:sz w:val="21"/>
          <w:szCs w:val="21"/>
        </w:rPr>
        <w:t xml:space="preserve"> </w:t>
      </w:r>
      <w:r w:rsidRPr="007C2763">
        <w:rPr>
          <w:rFonts w:ascii="Abadi" w:hAnsi="Abadi"/>
          <w:b w:val="0"/>
          <w:bCs w:val="0"/>
          <w:sz w:val="21"/>
          <w:szCs w:val="21"/>
        </w:rPr>
        <w:t>del</w:t>
      </w:r>
      <w:r w:rsidRPr="007C2763">
        <w:rPr>
          <w:rFonts w:ascii="Abadi" w:hAnsi="Abadi"/>
          <w:b w:val="0"/>
          <w:bCs w:val="0"/>
          <w:spacing w:val="53"/>
          <w:sz w:val="21"/>
          <w:szCs w:val="21"/>
        </w:rPr>
        <w:t xml:space="preserve"> </w:t>
      </w:r>
      <w:r w:rsidRPr="007C2763">
        <w:rPr>
          <w:rFonts w:ascii="Abadi" w:hAnsi="Abadi"/>
          <w:b w:val="0"/>
          <w:bCs w:val="0"/>
          <w:sz w:val="21"/>
          <w:szCs w:val="21"/>
        </w:rPr>
        <w:t>Estado</w:t>
      </w:r>
      <w:r w:rsidRPr="007C2763">
        <w:rPr>
          <w:rFonts w:ascii="Abadi" w:hAnsi="Abadi"/>
          <w:b w:val="0"/>
          <w:bCs w:val="0"/>
          <w:spacing w:val="51"/>
          <w:sz w:val="21"/>
          <w:szCs w:val="21"/>
        </w:rPr>
        <w:t xml:space="preserve"> </w:t>
      </w:r>
      <w:r w:rsidRPr="007C2763">
        <w:rPr>
          <w:rFonts w:ascii="Abadi" w:hAnsi="Abadi"/>
          <w:b w:val="0"/>
          <w:bCs w:val="0"/>
          <w:sz w:val="21"/>
          <w:szCs w:val="21"/>
        </w:rPr>
        <w:t>de</w:t>
      </w:r>
      <w:r w:rsidRPr="007C2763">
        <w:rPr>
          <w:rFonts w:ascii="Abadi" w:hAnsi="Abadi"/>
          <w:b w:val="0"/>
          <w:bCs w:val="0"/>
          <w:spacing w:val="52"/>
          <w:sz w:val="21"/>
          <w:szCs w:val="21"/>
        </w:rPr>
        <w:t xml:space="preserve"> </w:t>
      </w:r>
      <w:r w:rsidRPr="007C2763">
        <w:rPr>
          <w:rFonts w:ascii="Abadi" w:hAnsi="Abadi"/>
          <w:b w:val="0"/>
          <w:bCs w:val="0"/>
          <w:sz w:val="21"/>
          <w:szCs w:val="21"/>
        </w:rPr>
        <w:t>Guanajuato,</w:t>
      </w:r>
      <w:r w:rsidRPr="007C2763">
        <w:rPr>
          <w:rFonts w:ascii="Abadi" w:hAnsi="Abadi"/>
          <w:b w:val="0"/>
          <w:bCs w:val="0"/>
          <w:spacing w:val="51"/>
          <w:sz w:val="21"/>
          <w:szCs w:val="21"/>
        </w:rPr>
        <w:t xml:space="preserve"> </w:t>
      </w:r>
      <w:r w:rsidRPr="007C2763">
        <w:rPr>
          <w:rFonts w:ascii="Abadi" w:hAnsi="Abadi"/>
          <w:b w:val="0"/>
          <w:bCs w:val="0"/>
          <w:sz w:val="21"/>
          <w:szCs w:val="21"/>
        </w:rPr>
        <w:t>manifestamos</w:t>
      </w:r>
      <w:r w:rsidRPr="007C2763">
        <w:rPr>
          <w:rFonts w:ascii="Abadi" w:hAnsi="Abadi"/>
          <w:b w:val="0"/>
          <w:bCs w:val="0"/>
          <w:spacing w:val="50"/>
          <w:sz w:val="21"/>
          <w:szCs w:val="21"/>
        </w:rPr>
        <w:t xml:space="preserve"> </w:t>
      </w:r>
      <w:r w:rsidRPr="007C2763">
        <w:rPr>
          <w:rFonts w:ascii="Abadi" w:hAnsi="Abadi"/>
          <w:b w:val="0"/>
          <w:bCs w:val="0"/>
          <w:sz w:val="21"/>
          <w:szCs w:val="21"/>
        </w:rPr>
        <w:t>que</w:t>
      </w:r>
      <w:r w:rsidRPr="007C2763">
        <w:rPr>
          <w:rFonts w:ascii="Abadi" w:hAnsi="Abadi"/>
          <w:b w:val="0"/>
          <w:bCs w:val="0"/>
          <w:spacing w:val="54"/>
          <w:sz w:val="21"/>
          <w:szCs w:val="21"/>
        </w:rPr>
        <w:t xml:space="preserve"> </w:t>
      </w:r>
      <w:r w:rsidRPr="007C2763">
        <w:rPr>
          <w:rFonts w:ascii="Abadi" w:hAnsi="Abadi"/>
          <w:b w:val="0"/>
          <w:bCs w:val="0"/>
          <w:sz w:val="21"/>
          <w:szCs w:val="21"/>
        </w:rPr>
        <w:t>la</w:t>
      </w:r>
      <w:r w:rsidRPr="007C2763">
        <w:rPr>
          <w:rFonts w:ascii="Abadi" w:hAnsi="Abadi"/>
          <w:b w:val="0"/>
          <w:bCs w:val="0"/>
          <w:spacing w:val="54"/>
          <w:sz w:val="21"/>
          <w:szCs w:val="21"/>
        </w:rPr>
        <w:t xml:space="preserve"> </w:t>
      </w:r>
      <w:r w:rsidRPr="007C2763">
        <w:rPr>
          <w:rFonts w:ascii="Abadi" w:hAnsi="Abadi"/>
          <w:b w:val="0"/>
          <w:bCs w:val="0"/>
          <w:sz w:val="21"/>
          <w:szCs w:val="21"/>
        </w:rPr>
        <w:t>iniciativa</w:t>
      </w:r>
      <w:r w:rsidRPr="007C2763">
        <w:rPr>
          <w:rFonts w:ascii="Abadi" w:hAnsi="Abadi"/>
          <w:b w:val="0"/>
          <w:bCs w:val="0"/>
          <w:spacing w:val="53"/>
          <w:sz w:val="21"/>
          <w:szCs w:val="21"/>
        </w:rPr>
        <w:t xml:space="preserve"> </w:t>
      </w:r>
      <w:r w:rsidRPr="007C2763">
        <w:rPr>
          <w:rFonts w:ascii="Abadi" w:hAnsi="Abadi"/>
          <w:b w:val="0"/>
          <w:bCs w:val="0"/>
          <w:sz w:val="21"/>
          <w:szCs w:val="21"/>
        </w:rPr>
        <w:t>que</w:t>
      </w:r>
      <w:r w:rsidRPr="007C2763">
        <w:rPr>
          <w:rFonts w:ascii="Abadi" w:hAnsi="Abadi"/>
          <w:b w:val="0"/>
          <w:bCs w:val="0"/>
          <w:spacing w:val="52"/>
          <w:sz w:val="21"/>
          <w:szCs w:val="21"/>
        </w:rPr>
        <w:t xml:space="preserve"> </w:t>
      </w:r>
      <w:r w:rsidRPr="007C2763">
        <w:rPr>
          <w:rFonts w:ascii="Abadi" w:hAnsi="Abadi"/>
          <w:b w:val="0"/>
          <w:bCs w:val="0"/>
          <w:sz w:val="21"/>
          <w:szCs w:val="21"/>
        </w:rPr>
        <w:t>aquí presentamos tendrá, de</w:t>
      </w:r>
      <w:r w:rsidRPr="007C2763">
        <w:rPr>
          <w:rFonts w:ascii="Abadi" w:hAnsi="Abadi"/>
          <w:b w:val="0"/>
          <w:bCs w:val="0"/>
          <w:spacing w:val="1"/>
          <w:sz w:val="21"/>
          <w:szCs w:val="21"/>
        </w:rPr>
        <w:t xml:space="preserve"> </w:t>
      </w:r>
      <w:r w:rsidRPr="007C2763">
        <w:rPr>
          <w:rFonts w:ascii="Abadi" w:hAnsi="Abadi"/>
          <w:b w:val="0"/>
          <w:bCs w:val="0"/>
          <w:sz w:val="21"/>
          <w:szCs w:val="21"/>
        </w:rPr>
        <w:t>ser</w:t>
      </w:r>
      <w:r w:rsidRPr="007C2763">
        <w:rPr>
          <w:rFonts w:ascii="Abadi" w:hAnsi="Abadi"/>
          <w:b w:val="0"/>
          <w:bCs w:val="0"/>
          <w:spacing w:val="-1"/>
          <w:sz w:val="21"/>
          <w:szCs w:val="21"/>
        </w:rPr>
        <w:t xml:space="preserve"> </w:t>
      </w:r>
      <w:r w:rsidRPr="007C2763">
        <w:rPr>
          <w:rFonts w:ascii="Abadi" w:hAnsi="Abadi"/>
          <w:b w:val="0"/>
          <w:bCs w:val="0"/>
          <w:sz w:val="21"/>
          <w:szCs w:val="21"/>
        </w:rPr>
        <w:t>aprobada,</w:t>
      </w:r>
      <w:r w:rsidRPr="007C2763">
        <w:rPr>
          <w:rFonts w:ascii="Abadi" w:hAnsi="Abadi"/>
          <w:b w:val="0"/>
          <w:bCs w:val="0"/>
          <w:spacing w:val="-2"/>
          <w:sz w:val="21"/>
          <w:szCs w:val="21"/>
        </w:rPr>
        <w:t xml:space="preserve"> </w:t>
      </w:r>
      <w:r w:rsidRPr="007C2763">
        <w:rPr>
          <w:rFonts w:ascii="Abadi" w:hAnsi="Abadi"/>
          <w:b w:val="0"/>
          <w:bCs w:val="0"/>
          <w:sz w:val="21"/>
          <w:szCs w:val="21"/>
        </w:rPr>
        <w:t>el siguiente:</w:t>
      </w:r>
    </w:p>
    <w:p w14:paraId="3AF6A19C" w14:textId="77777777" w:rsidR="00374A1E" w:rsidRPr="007C2763" w:rsidRDefault="00374A1E" w:rsidP="00374A1E">
      <w:pPr>
        <w:pStyle w:val="Textoindependiente"/>
        <w:kinsoku w:val="0"/>
        <w:overflowPunct w:val="0"/>
        <w:rPr>
          <w:rFonts w:ascii="Abadi" w:hAnsi="Abadi"/>
          <w:sz w:val="21"/>
          <w:szCs w:val="21"/>
        </w:rPr>
      </w:pPr>
    </w:p>
    <w:p w14:paraId="22A2BFE8" w14:textId="79CC7498" w:rsidR="00374A1E" w:rsidRDefault="00374A1E" w:rsidP="00374A1E">
      <w:pPr>
        <w:pStyle w:val="Textoindependiente"/>
        <w:kinsoku w:val="0"/>
        <w:overflowPunct w:val="0"/>
        <w:ind w:right="114"/>
        <w:rPr>
          <w:rFonts w:ascii="Abadi" w:hAnsi="Abadi"/>
          <w:b w:val="0"/>
          <w:bCs w:val="0"/>
          <w:sz w:val="21"/>
          <w:szCs w:val="21"/>
        </w:rPr>
      </w:pPr>
      <w:r w:rsidRPr="007C2763">
        <w:rPr>
          <w:rFonts w:ascii="Abadi" w:hAnsi="Abadi"/>
          <w:b w:val="0"/>
          <w:bCs w:val="0"/>
          <w:sz w:val="21"/>
          <w:szCs w:val="21"/>
        </w:rPr>
        <w:t>l.</w:t>
      </w:r>
      <w:r w:rsidRPr="007C2763">
        <w:rPr>
          <w:rFonts w:ascii="Abadi" w:hAnsi="Abadi"/>
          <w:b w:val="0"/>
          <w:bCs w:val="0"/>
          <w:spacing w:val="12"/>
          <w:sz w:val="21"/>
          <w:szCs w:val="21"/>
        </w:rPr>
        <w:t xml:space="preserve"> </w:t>
      </w:r>
      <w:r w:rsidRPr="007C2763">
        <w:rPr>
          <w:rFonts w:ascii="Abadi" w:hAnsi="Abadi"/>
          <w:b w:val="0"/>
          <w:bCs w:val="0"/>
          <w:sz w:val="21"/>
          <w:szCs w:val="21"/>
        </w:rPr>
        <w:t>Impacto</w:t>
      </w:r>
      <w:r w:rsidRPr="007C2763">
        <w:rPr>
          <w:rFonts w:ascii="Abadi" w:hAnsi="Abadi"/>
          <w:b w:val="0"/>
          <w:bCs w:val="0"/>
          <w:spacing w:val="5"/>
          <w:sz w:val="21"/>
          <w:szCs w:val="21"/>
        </w:rPr>
        <w:t xml:space="preserve"> </w:t>
      </w:r>
      <w:r w:rsidRPr="007C2763">
        <w:rPr>
          <w:rFonts w:ascii="Abadi" w:hAnsi="Abadi"/>
          <w:b w:val="0"/>
          <w:bCs w:val="0"/>
          <w:sz w:val="21"/>
          <w:szCs w:val="21"/>
        </w:rPr>
        <w:t>jurídico:</w:t>
      </w:r>
      <w:r w:rsidRPr="007C2763">
        <w:rPr>
          <w:rFonts w:ascii="Abadi" w:hAnsi="Abadi"/>
          <w:b w:val="0"/>
          <w:bCs w:val="0"/>
          <w:spacing w:val="5"/>
          <w:sz w:val="21"/>
          <w:szCs w:val="21"/>
        </w:rPr>
        <w:t xml:space="preserve"> </w:t>
      </w:r>
      <w:r w:rsidRPr="007C2763">
        <w:rPr>
          <w:rFonts w:ascii="Abadi" w:hAnsi="Abadi"/>
          <w:b w:val="0"/>
          <w:bCs w:val="0"/>
          <w:sz w:val="21"/>
          <w:szCs w:val="21"/>
        </w:rPr>
        <w:t>El</w:t>
      </w:r>
      <w:r w:rsidRPr="007C2763">
        <w:rPr>
          <w:rFonts w:ascii="Abadi" w:hAnsi="Abadi"/>
          <w:b w:val="0"/>
          <w:bCs w:val="0"/>
          <w:spacing w:val="2"/>
          <w:sz w:val="21"/>
          <w:szCs w:val="21"/>
        </w:rPr>
        <w:t xml:space="preserve"> </w:t>
      </w:r>
      <w:r w:rsidRPr="007C2763">
        <w:rPr>
          <w:rFonts w:ascii="Abadi" w:hAnsi="Abadi"/>
          <w:b w:val="0"/>
          <w:bCs w:val="0"/>
          <w:sz w:val="21"/>
          <w:szCs w:val="21"/>
        </w:rPr>
        <w:t>artículo</w:t>
      </w:r>
      <w:r w:rsidRPr="007C2763">
        <w:rPr>
          <w:rFonts w:ascii="Abadi" w:hAnsi="Abadi"/>
          <w:b w:val="0"/>
          <w:bCs w:val="0"/>
          <w:spacing w:val="6"/>
          <w:sz w:val="21"/>
          <w:szCs w:val="21"/>
        </w:rPr>
        <w:t xml:space="preserve"> </w:t>
      </w:r>
      <w:r w:rsidRPr="007C2763">
        <w:rPr>
          <w:rFonts w:ascii="Abadi" w:hAnsi="Abadi"/>
          <w:b w:val="0"/>
          <w:bCs w:val="0"/>
          <w:sz w:val="21"/>
          <w:szCs w:val="21"/>
        </w:rPr>
        <w:t>40</w:t>
      </w:r>
      <w:r w:rsidRPr="007C2763">
        <w:rPr>
          <w:rFonts w:ascii="Abadi" w:hAnsi="Abadi"/>
          <w:b w:val="0"/>
          <w:bCs w:val="0"/>
          <w:spacing w:val="6"/>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la</w:t>
      </w:r>
      <w:r w:rsidRPr="007C2763">
        <w:rPr>
          <w:rFonts w:ascii="Abadi" w:hAnsi="Abadi"/>
          <w:b w:val="0"/>
          <w:bCs w:val="0"/>
          <w:spacing w:val="6"/>
          <w:sz w:val="21"/>
          <w:szCs w:val="21"/>
        </w:rPr>
        <w:t xml:space="preserve"> </w:t>
      </w:r>
      <w:r w:rsidRPr="007C2763">
        <w:rPr>
          <w:rFonts w:ascii="Abadi" w:hAnsi="Abadi"/>
          <w:b w:val="0"/>
          <w:bCs w:val="0"/>
          <w:sz w:val="21"/>
          <w:szCs w:val="21"/>
        </w:rPr>
        <w:t>Constitución</w:t>
      </w:r>
      <w:r w:rsidRPr="007C2763">
        <w:rPr>
          <w:rFonts w:ascii="Abadi" w:hAnsi="Abadi"/>
          <w:b w:val="0"/>
          <w:bCs w:val="0"/>
          <w:spacing w:val="6"/>
          <w:sz w:val="21"/>
          <w:szCs w:val="21"/>
        </w:rPr>
        <w:t xml:space="preserve"> </w:t>
      </w:r>
      <w:r w:rsidRPr="007C2763">
        <w:rPr>
          <w:rFonts w:ascii="Abadi" w:hAnsi="Abadi"/>
          <w:b w:val="0"/>
          <w:bCs w:val="0"/>
          <w:sz w:val="21"/>
          <w:szCs w:val="21"/>
        </w:rPr>
        <w:t>Política</w:t>
      </w:r>
      <w:r w:rsidRPr="007C2763">
        <w:rPr>
          <w:rFonts w:ascii="Abadi" w:hAnsi="Abadi"/>
          <w:b w:val="0"/>
          <w:bCs w:val="0"/>
          <w:spacing w:val="6"/>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los</w:t>
      </w:r>
      <w:r w:rsidRPr="007C2763">
        <w:rPr>
          <w:rFonts w:ascii="Abadi" w:hAnsi="Abadi"/>
          <w:b w:val="0"/>
          <w:bCs w:val="0"/>
          <w:spacing w:val="2"/>
          <w:sz w:val="21"/>
          <w:szCs w:val="21"/>
        </w:rPr>
        <w:t xml:space="preserve"> </w:t>
      </w:r>
      <w:r w:rsidRPr="007C2763">
        <w:rPr>
          <w:rFonts w:ascii="Abadi" w:hAnsi="Abadi"/>
          <w:b w:val="0"/>
          <w:bCs w:val="0"/>
          <w:sz w:val="21"/>
          <w:szCs w:val="21"/>
        </w:rPr>
        <w:t>Estados</w:t>
      </w:r>
      <w:r w:rsidRPr="007C2763">
        <w:rPr>
          <w:rFonts w:ascii="Abadi" w:hAnsi="Abadi"/>
          <w:b w:val="0"/>
          <w:bCs w:val="0"/>
          <w:spacing w:val="5"/>
          <w:sz w:val="21"/>
          <w:szCs w:val="21"/>
        </w:rPr>
        <w:t xml:space="preserve"> </w:t>
      </w:r>
      <w:r w:rsidRPr="007C2763">
        <w:rPr>
          <w:rFonts w:ascii="Abadi" w:hAnsi="Abadi"/>
          <w:b w:val="0"/>
          <w:bCs w:val="0"/>
          <w:sz w:val="21"/>
          <w:szCs w:val="21"/>
        </w:rPr>
        <w:t>Unidos Mexicanos</w:t>
      </w:r>
      <w:r w:rsidRPr="007C2763">
        <w:rPr>
          <w:rFonts w:ascii="Abadi" w:hAnsi="Abadi"/>
          <w:b w:val="0"/>
          <w:bCs w:val="0"/>
          <w:spacing w:val="48"/>
          <w:sz w:val="21"/>
          <w:szCs w:val="21"/>
        </w:rPr>
        <w:t xml:space="preserve"> </w:t>
      </w:r>
      <w:r w:rsidRPr="007C2763">
        <w:rPr>
          <w:rFonts w:ascii="Abadi" w:hAnsi="Abadi"/>
          <w:b w:val="0"/>
          <w:bCs w:val="0"/>
          <w:sz w:val="21"/>
          <w:szCs w:val="21"/>
        </w:rPr>
        <w:t>establece</w:t>
      </w:r>
      <w:r w:rsidRPr="007C2763">
        <w:rPr>
          <w:rFonts w:ascii="Abadi" w:hAnsi="Abadi"/>
          <w:b w:val="0"/>
          <w:bCs w:val="0"/>
          <w:spacing w:val="47"/>
          <w:sz w:val="21"/>
          <w:szCs w:val="21"/>
        </w:rPr>
        <w:t xml:space="preserve"> </w:t>
      </w:r>
      <w:r w:rsidRPr="007C2763">
        <w:rPr>
          <w:rFonts w:ascii="Abadi" w:hAnsi="Abadi"/>
          <w:b w:val="0"/>
          <w:bCs w:val="0"/>
          <w:sz w:val="21"/>
          <w:szCs w:val="21"/>
        </w:rPr>
        <w:t>que</w:t>
      </w:r>
      <w:r w:rsidRPr="007C2763">
        <w:rPr>
          <w:rFonts w:ascii="Abadi" w:hAnsi="Abadi"/>
          <w:b w:val="0"/>
          <w:bCs w:val="0"/>
          <w:spacing w:val="48"/>
          <w:sz w:val="21"/>
          <w:szCs w:val="21"/>
        </w:rPr>
        <w:t xml:space="preserve"> </w:t>
      </w:r>
      <w:r w:rsidRPr="007C2763">
        <w:rPr>
          <w:rFonts w:ascii="Abadi" w:hAnsi="Abadi"/>
          <w:b w:val="0"/>
          <w:bCs w:val="0"/>
          <w:sz w:val="21"/>
          <w:szCs w:val="21"/>
        </w:rPr>
        <w:t>es</w:t>
      </w:r>
      <w:r w:rsidRPr="007C2763">
        <w:rPr>
          <w:rFonts w:ascii="Abadi" w:hAnsi="Abadi"/>
          <w:b w:val="0"/>
          <w:bCs w:val="0"/>
          <w:spacing w:val="48"/>
          <w:sz w:val="21"/>
          <w:szCs w:val="21"/>
        </w:rPr>
        <w:t xml:space="preserve"> </w:t>
      </w:r>
      <w:r w:rsidRPr="007C2763">
        <w:rPr>
          <w:rFonts w:ascii="Abadi" w:hAnsi="Abadi"/>
          <w:b w:val="0"/>
          <w:bCs w:val="0"/>
          <w:sz w:val="21"/>
          <w:szCs w:val="21"/>
        </w:rPr>
        <w:t>voluntad</w:t>
      </w:r>
      <w:r w:rsidRPr="007C2763">
        <w:rPr>
          <w:rFonts w:ascii="Abadi" w:hAnsi="Abadi"/>
          <w:b w:val="0"/>
          <w:bCs w:val="0"/>
          <w:spacing w:val="47"/>
          <w:sz w:val="21"/>
          <w:szCs w:val="21"/>
        </w:rPr>
        <w:t xml:space="preserve"> </w:t>
      </w:r>
      <w:r w:rsidRPr="007C2763">
        <w:rPr>
          <w:rFonts w:ascii="Abadi" w:hAnsi="Abadi"/>
          <w:b w:val="0"/>
          <w:bCs w:val="0"/>
          <w:sz w:val="21"/>
          <w:szCs w:val="21"/>
        </w:rPr>
        <w:t>del</w:t>
      </w:r>
      <w:r w:rsidRPr="007C2763">
        <w:rPr>
          <w:rFonts w:ascii="Abadi" w:hAnsi="Abadi"/>
          <w:b w:val="0"/>
          <w:bCs w:val="0"/>
          <w:spacing w:val="44"/>
          <w:sz w:val="21"/>
          <w:szCs w:val="21"/>
        </w:rPr>
        <w:t xml:space="preserve"> </w:t>
      </w:r>
      <w:r w:rsidRPr="007C2763">
        <w:rPr>
          <w:rFonts w:ascii="Abadi" w:hAnsi="Abadi"/>
          <w:b w:val="0"/>
          <w:bCs w:val="0"/>
          <w:sz w:val="21"/>
          <w:szCs w:val="21"/>
        </w:rPr>
        <w:t>pueblo</w:t>
      </w:r>
      <w:r w:rsidRPr="007C2763">
        <w:rPr>
          <w:rFonts w:ascii="Abadi" w:hAnsi="Abadi"/>
          <w:b w:val="0"/>
          <w:bCs w:val="0"/>
          <w:spacing w:val="49"/>
          <w:sz w:val="21"/>
          <w:szCs w:val="21"/>
        </w:rPr>
        <w:t xml:space="preserve"> </w:t>
      </w:r>
      <w:r w:rsidRPr="007C2763">
        <w:rPr>
          <w:rFonts w:ascii="Abadi" w:hAnsi="Abadi"/>
          <w:b w:val="0"/>
          <w:bCs w:val="0"/>
          <w:sz w:val="21"/>
          <w:szCs w:val="21"/>
        </w:rPr>
        <w:t>mexicano</w:t>
      </w:r>
      <w:r w:rsidRPr="007C2763">
        <w:rPr>
          <w:rFonts w:ascii="Abadi" w:hAnsi="Abadi"/>
          <w:b w:val="0"/>
          <w:bCs w:val="0"/>
          <w:spacing w:val="49"/>
          <w:sz w:val="21"/>
          <w:szCs w:val="21"/>
        </w:rPr>
        <w:t xml:space="preserve"> </w:t>
      </w:r>
      <w:r w:rsidRPr="007C2763">
        <w:rPr>
          <w:rFonts w:ascii="Abadi" w:hAnsi="Abadi"/>
          <w:b w:val="0"/>
          <w:bCs w:val="0"/>
          <w:sz w:val="21"/>
          <w:szCs w:val="21"/>
        </w:rPr>
        <w:t>constituirse</w:t>
      </w:r>
      <w:r w:rsidRPr="007C2763">
        <w:rPr>
          <w:rFonts w:ascii="Abadi" w:hAnsi="Abadi"/>
          <w:b w:val="0"/>
          <w:bCs w:val="0"/>
          <w:spacing w:val="48"/>
          <w:sz w:val="21"/>
          <w:szCs w:val="21"/>
        </w:rPr>
        <w:t xml:space="preserve"> </w:t>
      </w:r>
      <w:r w:rsidRPr="007C2763">
        <w:rPr>
          <w:rFonts w:ascii="Abadi" w:hAnsi="Abadi"/>
          <w:b w:val="0"/>
          <w:bCs w:val="0"/>
          <w:sz w:val="21"/>
          <w:szCs w:val="21"/>
        </w:rPr>
        <w:t>en</w:t>
      </w:r>
      <w:r w:rsidRPr="007C2763">
        <w:rPr>
          <w:rFonts w:ascii="Abadi" w:hAnsi="Abadi"/>
          <w:b w:val="0"/>
          <w:bCs w:val="0"/>
          <w:spacing w:val="47"/>
          <w:sz w:val="21"/>
          <w:szCs w:val="21"/>
        </w:rPr>
        <w:t xml:space="preserve"> </w:t>
      </w:r>
      <w:r w:rsidRPr="007C2763">
        <w:rPr>
          <w:rFonts w:ascii="Abadi" w:hAnsi="Abadi"/>
          <w:b w:val="0"/>
          <w:bCs w:val="0"/>
          <w:sz w:val="21"/>
          <w:szCs w:val="21"/>
        </w:rPr>
        <w:t>una República</w:t>
      </w:r>
      <w:r w:rsidRPr="007C2763">
        <w:rPr>
          <w:rFonts w:ascii="Abadi" w:hAnsi="Abadi"/>
          <w:b w:val="0"/>
          <w:bCs w:val="0"/>
          <w:spacing w:val="3"/>
          <w:sz w:val="21"/>
          <w:szCs w:val="21"/>
        </w:rPr>
        <w:t xml:space="preserve"> </w:t>
      </w:r>
      <w:r w:rsidRPr="007C2763">
        <w:rPr>
          <w:rFonts w:ascii="Abadi" w:hAnsi="Abadi"/>
          <w:b w:val="0"/>
          <w:bCs w:val="0"/>
          <w:sz w:val="21"/>
          <w:szCs w:val="21"/>
        </w:rPr>
        <w:t>representativa,</w:t>
      </w:r>
      <w:r w:rsidRPr="007C2763">
        <w:rPr>
          <w:rFonts w:ascii="Abadi" w:hAnsi="Abadi"/>
          <w:b w:val="0"/>
          <w:bCs w:val="0"/>
          <w:spacing w:val="5"/>
          <w:sz w:val="21"/>
          <w:szCs w:val="21"/>
        </w:rPr>
        <w:t xml:space="preserve"> </w:t>
      </w:r>
      <w:r w:rsidRPr="007C2763">
        <w:rPr>
          <w:rFonts w:ascii="Abadi" w:hAnsi="Abadi"/>
          <w:b w:val="0"/>
          <w:bCs w:val="0"/>
          <w:sz w:val="21"/>
          <w:szCs w:val="21"/>
        </w:rPr>
        <w:t>democrática,</w:t>
      </w:r>
      <w:r w:rsidRPr="007C2763">
        <w:rPr>
          <w:rFonts w:ascii="Abadi" w:hAnsi="Abadi"/>
          <w:b w:val="0"/>
          <w:bCs w:val="0"/>
          <w:spacing w:val="5"/>
          <w:sz w:val="21"/>
          <w:szCs w:val="21"/>
        </w:rPr>
        <w:t xml:space="preserve"> </w:t>
      </w:r>
      <w:r w:rsidRPr="007C2763">
        <w:rPr>
          <w:rFonts w:ascii="Abadi" w:hAnsi="Abadi"/>
          <w:b w:val="0"/>
          <w:bCs w:val="0"/>
          <w:sz w:val="21"/>
          <w:szCs w:val="21"/>
        </w:rPr>
        <w:t>laica,</w:t>
      </w:r>
      <w:r w:rsidRPr="007C2763">
        <w:rPr>
          <w:rFonts w:ascii="Abadi" w:hAnsi="Abadi"/>
          <w:b w:val="0"/>
          <w:bCs w:val="0"/>
          <w:spacing w:val="3"/>
          <w:sz w:val="21"/>
          <w:szCs w:val="21"/>
        </w:rPr>
        <w:t xml:space="preserve"> </w:t>
      </w:r>
      <w:r w:rsidRPr="007C2763">
        <w:rPr>
          <w:rFonts w:ascii="Abadi" w:hAnsi="Abadi"/>
          <w:b w:val="0"/>
          <w:bCs w:val="0"/>
          <w:sz w:val="21"/>
          <w:szCs w:val="21"/>
        </w:rPr>
        <w:t>federal,</w:t>
      </w:r>
      <w:r w:rsidRPr="007C2763">
        <w:rPr>
          <w:rFonts w:ascii="Abadi" w:hAnsi="Abadi"/>
          <w:b w:val="0"/>
          <w:bCs w:val="0"/>
          <w:spacing w:val="5"/>
          <w:sz w:val="21"/>
          <w:szCs w:val="21"/>
        </w:rPr>
        <w:t xml:space="preserve"> </w:t>
      </w:r>
      <w:r w:rsidRPr="007C2763">
        <w:rPr>
          <w:rFonts w:ascii="Abadi" w:hAnsi="Abadi"/>
          <w:b w:val="0"/>
          <w:bCs w:val="0"/>
          <w:sz w:val="21"/>
          <w:szCs w:val="21"/>
        </w:rPr>
        <w:t>compuesta</w:t>
      </w:r>
      <w:r w:rsidRPr="007C2763">
        <w:rPr>
          <w:rFonts w:ascii="Abadi" w:hAnsi="Abadi"/>
          <w:b w:val="0"/>
          <w:bCs w:val="0"/>
          <w:spacing w:val="3"/>
          <w:sz w:val="21"/>
          <w:szCs w:val="21"/>
        </w:rPr>
        <w:t xml:space="preserve"> </w:t>
      </w:r>
      <w:r w:rsidRPr="007C2763">
        <w:rPr>
          <w:rFonts w:ascii="Abadi" w:hAnsi="Abadi"/>
          <w:b w:val="0"/>
          <w:bCs w:val="0"/>
          <w:sz w:val="21"/>
          <w:szCs w:val="21"/>
        </w:rPr>
        <w:t>de</w:t>
      </w:r>
      <w:r w:rsidRPr="007C2763">
        <w:rPr>
          <w:rFonts w:ascii="Abadi" w:hAnsi="Abadi"/>
          <w:b w:val="0"/>
          <w:bCs w:val="0"/>
          <w:spacing w:val="3"/>
          <w:sz w:val="21"/>
          <w:szCs w:val="21"/>
        </w:rPr>
        <w:t xml:space="preserve"> </w:t>
      </w:r>
      <w:r w:rsidRPr="007C2763">
        <w:rPr>
          <w:rFonts w:ascii="Abadi" w:hAnsi="Abadi"/>
          <w:b w:val="0"/>
          <w:bCs w:val="0"/>
          <w:sz w:val="21"/>
          <w:szCs w:val="21"/>
        </w:rPr>
        <w:t>Estados</w:t>
      </w:r>
      <w:r w:rsidRPr="007C2763">
        <w:rPr>
          <w:rFonts w:ascii="Abadi" w:hAnsi="Abadi"/>
          <w:b w:val="0"/>
          <w:bCs w:val="0"/>
          <w:spacing w:val="2"/>
          <w:sz w:val="21"/>
          <w:szCs w:val="21"/>
        </w:rPr>
        <w:t xml:space="preserve"> </w:t>
      </w:r>
      <w:r w:rsidRPr="007C2763">
        <w:rPr>
          <w:rFonts w:ascii="Abadi" w:hAnsi="Abadi"/>
          <w:b w:val="0"/>
          <w:bCs w:val="0"/>
          <w:sz w:val="21"/>
          <w:szCs w:val="21"/>
        </w:rPr>
        <w:t>libres y</w:t>
      </w:r>
      <w:r w:rsidRPr="007C2763">
        <w:rPr>
          <w:rFonts w:ascii="Abadi" w:hAnsi="Abadi"/>
          <w:b w:val="0"/>
          <w:bCs w:val="0"/>
          <w:spacing w:val="37"/>
          <w:sz w:val="21"/>
          <w:szCs w:val="21"/>
        </w:rPr>
        <w:t xml:space="preserve"> </w:t>
      </w:r>
      <w:r w:rsidRPr="007C2763">
        <w:rPr>
          <w:rFonts w:ascii="Abadi" w:hAnsi="Abadi"/>
          <w:b w:val="0"/>
          <w:bCs w:val="0"/>
          <w:sz w:val="21"/>
          <w:szCs w:val="21"/>
        </w:rPr>
        <w:t>soberanos</w:t>
      </w:r>
      <w:r w:rsidRPr="007C2763">
        <w:rPr>
          <w:rFonts w:ascii="Abadi" w:hAnsi="Abadi"/>
          <w:b w:val="0"/>
          <w:bCs w:val="0"/>
          <w:spacing w:val="34"/>
          <w:sz w:val="21"/>
          <w:szCs w:val="21"/>
        </w:rPr>
        <w:t xml:space="preserve"> </w:t>
      </w:r>
      <w:r w:rsidRPr="007C2763">
        <w:rPr>
          <w:rFonts w:ascii="Abadi" w:hAnsi="Abadi"/>
          <w:b w:val="0"/>
          <w:bCs w:val="0"/>
          <w:sz w:val="21"/>
          <w:szCs w:val="21"/>
        </w:rPr>
        <w:t>en</w:t>
      </w:r>
      <w:r w:rsidRPr="007C2763">
        <w:rPr>
          <w:rFonts w:ascii="Abadi" w:hAnsi="Abadi"/>
          <w:b w:val="0"/>
          <w:bCs w:val="0"/>
          <w:spacing w:val="35"/>
          <w:sz w:val="21"/>
          <w:szCs w:val="21"/>
        </w:rPr>
        <w:t xml:space="preserve"> </w:t>
      </w:r>
      <w:r w:rsidRPr="007C2763">
        <w:rPr>
          <w:rFonts w:ascii="Abadi" w:hAnsi="Abadi"/>
          <w:b w:val="0"/>
          <w:bCs w:val="0"/>
          <w:sz w:val="21"/>
          <w:szCs w:val="21"/>
        </w:rPr>
        <w:t>todo</w:t>
      </w:r>
      <w:r w:rsidRPr="007C2763">
        <w:rPr>
          <w:rFonts w:ascii="Abadi" w:hAnsi="Abadi"/>
          <w:b w:val="0"/>
          <w:bCs w:val="0"/>
          <w:spacing w:val="38"/>
          <w:sz w:val="21"/>
          <w:szCs w:val="21"/>
        </w:rPr>
        <w:t xml:space="preserve"> </w:t>
      </w:r>
      <w:r w:rsidRPr="007C2763">
        <w:rPr>
          <w:rFonts w:ascii="Abadi" w:hAnsi="Abadi"/>
          <w:b w:val="0"/>
          <w:bCs w:val="0"/>
          <w:sz w:val="21"/>
          <w:szCs w:val="21"/>
        </w:rPr>
        <w:t>lo</w:t>
      </w:r>
      <w:r w:rsidRPr="007C2763">
        <w:rPr>
          <w:rFonts w:ascii="Abadi" w:hAnsi="Abadi"/>
          <w:b w:val="0"/>
          <w:bCs w:val="0"/>
          <w:spacing w:val="38"/>
          <w:sz w:val="21"/>
          <w:szCs w:val="21"/>
        </w:rPr>
        <w:t xml:space="preserve"> </w:t>
      </w:r>
      <w:r w:rsidRPr="007C2763">
        <w:rPr>
          <w:rFonts w:ascii="Abadi" w:hAnsi="Abadi"/>
          <w:b w:val="0"/>
          <w:bCs w:val="0"/>
          <w:sz w:val="21"/>
          <w:szCs w:val="21"/>
        </w:rPr>
        <w:t>concerniente</w:t>
      </w:r>
      <w:r w:rsidRPr="007C2763">
        <w:rPr>
          <w:rFonts w:ascii="Abadi" w:hAnsi="Abadi"/>
          <w:b w:val="0"/>
          <w:bCs w:val="0"/>
          <w:spacing w:val="35"/>
          <w:sz w:val="21"/>
          <w:szCs w:val="21"/>
        </w:rPr>
        <w:t xml:space="preserve"> </w:t>
      </w:r>
      <w:r w:rsidRPr="007C2763">
        <w:rPr>
          <w:rFonts w:ascii="Abadi" w:hAnsi="Abadi"/>
          <w:b w:val="0"/>
          <w:bCs w:val="0"/>
          <w:sz w:val="21"/>
          <w:szCs w:val="21"/>
        </w:rPr>
        <w:t>a</w:t>
      </w:r>
      <w:r w:rsidRPr="007C2763">
        <w:rPr>
          <w:rFonts w:ascii="Abadi" w:hAnsi="Abadi"/>
          <w:b w:val="0"/>
          <w:bCs w:val="0"/>
          <w:spacing w:val="35"/>
          <w:sz w:val="21"/>
          <w:szCs w:val="21"/>
        </w:rPr>
        <w:t xml:space="preserve"> </w:t>
      </w:r>
      <w:r w:rsidRPr="007C2763">
        <w:rPr>
          <w:rFonts w:ascii="Abadi" w:hAnsi="Abadi"/>
          <w:b w:val="0"/>
          <w:bCs w:val="0"/>
          <w:sz w:val="21"/>
          <w:szCs w:val="21"/>
        </w:rPr>
        <w:t>su</w:t>
      </w:r>
      <w:r w:rsidRPr="007C2763">
        <w:rPr>
          <w:rFonts w:ascii="Abadi" w:hAnsi="Abadi"/>
          <w:b w:val="0"/>
          <w:bCs w:val="0"/>
          <w:spacing w:val="38"/>
          <w:sz w:val="21"/>
          <w:szCs w:val="21"/>
        </w:rPr>
        <w:t xml:space="preserve"> </w:t>
      </w:r>
      <w:r w:rsidRPr="007C2763">
        <w:rPr>
          <w:rFonts w:ascii="Abadi" w:hAnsi="Abadi"/>
          <w:b w:val="0"/>
          <w:bCs w:val="0"/>
          <w:sz w:val="21"/>
          <w:szCs w:val="21"/>
        </w:rPr>
        <w:t>régimen</w:t>
      </w:r>
      <w:r w:rsidRPr="007C2763">
        <w:rPr>
          <w:rFonts w:ascii="Abadi" w:hAnsi="Abadi"/>
          <w:b w:val="0"/>
          <w:bCs w:val="0"/>
          <w:spacing w:val="38"/>
          <w:sz w:val="21"/>
          <w:szCs w:val="21"/>
        </w:rPr>
        <w:t xml:space="preserve"> </w:t>
      </w:r>
      <w:r w:rsidRPr="007C2763">
        <w:rPr>
          <w:rFonts w:ascii="Abadi" w:hAnsi="Abadi"/>
          <w:b w:val="0"/>
          <w:bCs w:val="0"/>
          <w:sz w:val="21"/>
          <w:szCs w:val="21"/>
        </w:rPr>
        <w:t>interior.</w:t>
      </w:r>
      <w:r w:rsidRPr="007C2763">
        <w:rPr>
          <w:rFonts w:ascii="Abadi" w:hAnsi="Abadi"/>
          <w:b w:val="0"/>
          <w:bCs w:val="0"/>
          <w:spacing w:val="37"/>
          <w:sz w:val="21"/>
          <w:szCs w:val="21"/>
        </w:rPr>
        <w:t xml:space="preserve"> </w:t>
      </w:r>
      <w:r w:rsidRPr="007C2763">
        <w:rPr>
          <w:rFonts w:ascii="Abadi" w:hAnsi="Abadi"/>
          <w:b w:val="0"/>
          <w:bCs w:val="0"/>
          <w:sz w:val="21"/>
          <w:szCs w:val="21"/>
        </w:rPr>
        <w:t>A</w:t>
      </w:r>
      <w:r w:rsidRPr="007C2763">
        <w:rPr>
          <w:rFonts w:ascii="Abadi" w:hAnsi="Abadi"/>
          <w:b w:val="0"/>
          <w:bCs w:val="0"/>
          <w:spacing w:val="38"/>
          <w:sz w:val="21"/>
          <w:szCs w:val="21"/>
        </w:rPr>
        <w:t xml:space="preserve"> </w:t>
      </w:r>
      <w:r w:rsidRPr="007C2763">
        <w:rPr>
          <w:rFonts w:ascii="Abadi" w:hAnsi="Abadi"/>
          <w:b w:val="0"/>
          <w:bCs w:val="0"/>
          <w:sz w:val="21"/>
          <w:szCs w:val="21"/>
        </w:rPr>
        <w:t>su</w:t>
      </w:r>
      <w:r w:rsidRPr="007C2763">
        <w:rPr>
          <w:rFonts w:ascii="Abadi" w:hAnsi="Abadi"/>
          <w:b w:val="0"/>
          <w:bCs w:val="0"/>
          <w:spacing w:val="38"/>
          <w:sz w:val="21"/>
          <w:szCs w:val="21"/>
        </w:rPr>
        <w:t xml:space="preserve"> </w:t>
      </w:r>
      <w:r w:rsidRPr="007C2763">
        <w:rPr>
          <w:rFonts w:ascii="Abadi" w:hAnsi="Abadi"/>
          <w:b w:val="0"/>
          <w:bCs w:val="0"/>
          <w:sz w:val="21"/>
          <w:szCs w:val="21"/>
        </w:rPr>
        <w:t>vez,</w:t>
      </w:r>
      <w:r w:rsidRPr="007C2763">
        <w:rPr>
          <w:rFonts w:ascii="Abadi" w:hAnsi="Abadi"/>
          <w:b w:val="0"/>
          <w:bCs w:val="0"/>
          <w:spacing w:val="37"/>
          <w:sz w:val="21"/>
          <w:szCs w:val="21"/>
        </w:rPr>
        <w:t xml:space="preserve"> </w:t>
      </w:r>
      <w:r w:rsidRPr="007C2763">
        <w:rPr>
          <w:rFonts w:ascii="Abadi" w:hAnsi="Abadi"/>
          <w:b w:val="0"/>
          <w:bCs w:val="0"/>
          <w:sz w:val="21"/>
          <w:szCs w:val="21"/>
        </w:rPr>
        <w:t>la Constitución</w:t>
      </w:r>
      <w:r w:rsidRPr="007C2763">
        <w:rPr>
          <w:rFonts w:ascii="Abadi" w:hAnsi="Abadi"/>
          <w:b w:val="0"/>
          <w:bCs w:val="0"/>
          <w:spacing w:val="64"/>
          <w:sz w:val="21"/>
          <w:szCs w:val="21"/>
        </w:rPr>
        <w:t xml:space="preserve"> </w:t>
      </w:r>
      <w:r w:rsidRPr="007C2763">
        <w:rPr>
          <w:rFonts w:ascii="Abadi" w:hAnsi="Abadi"/>
          <w:b w:val="0"/>
          <w:bCs w:val="0"/>
          <w:sz w:val="21"/>
          <w:szCs w:val="21"/>
        </w:rPr>
        <w:t>Política</w:t>
      </w:r>
      <w:r w:rsidRPr="007C2763">
        <w:rPr>
          <w:rFonts w:ascii="Abadi" w:hAnsi="Abadi"/>
          <w:b w:val="0"/>
          <w:bCs w:val="0"/>
          <w:spacing w:val="58"/>
          <w:sz w:val="21"/>
          <w:szCs w:val="21"/>
        </w:rPr>
        <w:t xml:space="preserve"> </w:t>
      </w:r>
      <w:r w:rsidRPr="007C2763">
        <w:rPr>
          <w:rFonts w:ascii="Abadi" w:hAnsi="Abadi"/>
          <w:b w:val="0"/>
          <w:bCs w:val="0"/>
          <w:sz w:val="21"/>
          <w:szCs w:val="21"/>
        </w:rPr>
        <w:t>para</w:t>
      </w:r>
      <w:r w:rsidRPr="007C2763">
        <w:rPr>
          <w:rFonts w:ascii="Abadi" w:hAnsi="Abadi"/>
          <w:b w:val="0"/>
          <w:bCs w:val="0"/>
          <w:spacing w:val="61"/>
          <w:sz w:val="21"/>
          <w:szCs w:val="21"/>
        </w:rPr>
        <w:t xml:space="preserve"> </w:t>
      </w:r>
      <w:r w:rsidRPr="007C2763">
        <w:rPr>
          <w:rFonts w:ascii="Abadi" w:hAnsi="Abadi"/>
          <w:b w:val="0"/>
          <w:bCs w:val="0"/>
          <w:sz w:val="21"/>
          <w:szCs w:val="21"/>
        </w:rPr>
        <w:t>el</w:t>
      </w:r>
      <w:r w:rsidRPr="007C2763">
        <w:rPr>
          <w:rFonts w:ascii="Abadi" w:hAnsi="Abadi"/>
          <w:b w:val="0"/>
          <w:bCs w:val="0"/>
          <w:spacing w:val="62"/>
          <w:sz w:val="21"/>
          <w:szCs w:val="21"/>
        </w:rPr>
        <w:t xml:space="preserve"> </w:t>
      </w:r>
      <w:r w:rsidRPr="007C2763">
        <w:rPr>
          <w:rFonts w:ascii="Abadi" w:hAnsi="Abadi"/>
          <w:b w:val="0"/>
          <w:bCs w:val="0"/>
          <w:sz w:val="21"/>
          <w:szCs w:val="21"/>
        </w:rPr>
        <w:t>Estado</w:t>
      </w:r>
      <w:r w:rsidRPr="007C2763">
        <w:rPr>
          <w:rFonts w:ascii="Abadi" w:hAnsi="Abadi"/>
          <w:b w:val="0"/>
          <w:bCs w:val="0"/>
          <w:spacing w:val="60"/>
          <w:sz w:val="21"/>
          <w:szCs w:val="21"/>
        </w:rPr>
        <w:t xml:space="preserve"> </w:t>
      </w:r>
      <w:r w:rsidRPr="007C2763">
        <w:rPr>
          <w:rFonts w:ascii="Abadi" w:hAnsi="Abadi"/>
          <w:b w:val="0"/>
          <w:bCs w:val="0"/>
          <w:sz w:val="21"/>
          <w:szCs w:val="21"/>
        </w:rPr>
        <w:t>de</w:t>
      </w:r>
      <w:r w:rsidRPr="007C2763">
        <w:rPr>
          <w:rFonts w:ascii="Abadi" w:hAnsi="Abadi"/>
          <w:b w:val="0"/>
          <w:bCs w:val="0"/>
          <w:spacing w:val="61"/>
          <w:sz w:val="21"/>
          <w:szCs w:val="21"/>
        </w:rPr>
        <w:t xml:space="preserve"> </w:t>
      </w:r>
      <w:r w:rsidRPr="007C2763">
        <w:rPr>
          <w:rFonts w:ascii="Abadi" w:hAnsi="Abadi"/>
          <w:b w:val="0"/>
          <w:bCs w:val="0"/>
          <w:sz w:val="21"/>
          <w:szCs w:val="21"/>
        </w:rPr>
        <w:t>Guanajuato,</w:t>
      </w:r>
      <w:r w:rsidRPr="007C2763">
        <w:rPr>
          <w:rFonts w:ascii="Abadi" w:hAnsi="Abadi"/>
          <w:b w:val="0"/>
          <w:bCs w:val="0"/>
          <w:spacing w:val="61"/>
          <w:sz w:val="21"/>
          <w:szCs w:val="21"/>
        </w:rPr>
        <w:t xml:space="preserve"> </w:t>
      </w:r>
      <w:r w:rsidRPr="007C2763">
        <w:rPr>
          <w:rFonts w:ascii="Abadi" w:hAnsi="Abadi"/>
          <w:b w:val="0"/>
          <w:bCs w:val="0"/>
          <w:sz w:val="21"/>
          <w:szCs w:val="21"/>
        </w:rPr>
        <w:t>en</w:t>
      </w:r>
      <w:r w:rsidRPr="007C2763">
        <w:rPr>
          <w:rFonts w:ascii="Abadi" w:hAnsi="Abadi"/>
          <w:b w:val="0"/>
          <w:bCs w:val="0"/>
          <w:spacing w:val="60"/>
          <w:sz w:val="21"/>
          <w:szCs w:val="21"/>
        </w:rPr>
        <w:t xml:space="preserve"> </w:t>
      </w:r>
      <w:r w:rsidRPr="007C2763">
        <w:rPr>
          <w:rFonts w:ascii="Abadi" w:hAnsi="Abadi"/>
          <w:b w:val="0"/>
          <w:bCs w:val="0"/>
          <w:sz w:val="21"/>
          <w:szCs w:val="21"/>
        </w:rPr>
        <w:t>sus</w:t>
      </w:r>
      <w:r w:rsidRPr="007C2763">
        <w:rPr>
          <w:rFonts w:ascii="Abadi" w:hAnsi="Abadi"/>
          <w:b w:val="0"/>
          <w:bCs w:val="0"/>
          <w:spacing w:val="60"/>
          <w:sz w:val="21"/>
          <w:szCs w:val="21"/>
        </w:rPr>
        <w:t xml:space="preserve"> </w:t>
      </w:r>
      <w:r w:rsidRPr="007C2763">
        <w:rPr>
          <w:rFonts w:ascii="Abadi" w:hAnsi="Abadi"/>
          <w:b w:val="0"/>
          <w:bCs w:val="0"/>
          <w:sz w:val="21"/>
          <w:szCs w:val="21"/>
        </w:rPr>
        <w:t>artículos</w:t>
      </w:r>
      <w:r w:rsidRPr="007C2763">
        <w:rPr>
          <w:rFonts w:ascii="Abadi" w:hAnsi="Abadi"/>
          <w:b w:val="0"/>
          <w:bCs w:val="0"/>
          <w:spacing w:val="60"/>
          <w:sz w:val="21"/>
          <w:szCs w:val="21"/>
        </w:rPr>
        <w:t xml:space="preserve"> </w:t>
      </w:r>
      <w:r w:rsidRPr="007C2763">
        <w:rPr>
          <w:rFonts w:ascii="Abadi" w:hAnsi="Abadi"/>
          <w:b w:val="0"/>
          <w:bCs w:val="0"/>
          <w:sz w:val="21"/>
          <w:szCs w:val="21"/>
        </w:rPr>
        <w:t>37</w:t>
      </w:r>
      <w:r w:rsidRPr="007C2763">
        <w:rPr>
          <w:rFonts w:ascii="Abadi" w:hAnsi="Abadi"/>
          <w:b w:val="0"/>
          <w:bCs w:val="0"/>
          <w:spacing w:val="60"/>
          <w:sz w:val="21"/>
          <w:szCs w:val="21"/>
        </w:rPr>
        <w:t xml:space="preserve"> </w:t>
      </w:r>
      <w:r w:rsidRPr="007C2763">
        <w:rPr>
          <w:rFonts w:ascii="Abadi" w:hAnsi="Abadi"/>
          <w:b w:val="0"/>
          <w:bCs w:val="0"/>
          <w:sz w:val="21"/>
          <w:szCs w:val="21"/>
        </w:rPr>
        <w:t>y</w:t>
      </w:r>
      <w:r w:rsidRPr="007C2763">
        <w:rPr>
          <w:rFonts w:ascii="Abadi" w:hAnsi="Abadi"/>
          <w:b w:val="0"/>
          <w:bCs w:val="0"/>
          <w:spacing w:val="63"/>
          <w:sz w:val="21"/>
          <w:szCs w:val="21"/>
        </w:rPr>
        <w:t xml:space="preserve"> </w:t>
      </w:r>
      <w:r w:rsidRPr="007C2763">
        <w:rPr>
          <w:rFonts w:ascii="Abadi" w:hAnsi="Abadi"/>
          <w:b w:val="0"/>
          <w:bCs w:val="0"/>
          <w:sz w:val="21"/>
          <w:szCs w:val="21"/>
        </w:rPr>
        <w:t>56 fracción.</w:t>
      </w:r>
    </w:p>
    <w:p w14:paraId="33A1E1AE" w14:textId="77777777" w:rsidR="00EB6C90" w:rsidRPr="007C2763" w:rsidRDefault="00EB6C90" w:rsidP="00374A1E">
      <w:pPr>
        <w:pStyle w:val="Textoindependiente"/>
        <w:kinsoku w:val="0"/>
        <w:overflowPunct w:val="0"/>
        <w:ind w:right="114"/>
        <w:rPr>
          <w:rFonts w:ascii="Abadi" w:hAnsi="Abadi"/>
          <w:b w:val="0"/>
          <w:bCs w:val="0"/>
          <w:sz w:val="21"/>
          <w:szCs w:val="21"/>
        </w:rPr>
      </w:pPr>
    </w:p>
    <w:p w14:paraId="58A8DFC7" w14:textId="77777777" w:rsidR="00374A1E" w:rsidRPr="007C2763" w:rsidRDefault="00374A1E" w:rsidP="00374A1E">
      <w:pPr>
        <w:pStyle w:val="Textoindependiente"/>
        <w:kinsoku w:val="0"/>
        <w:overflowPunct w:val="0"/>
        <w:ind w:right="115"/>
        <w:rPr>
          <w:rFonts w:ascii="Abadi" w:hAnsi="Abadi"/>
          <w:b w:val="0"/>
          <w:bCs w:val="0"/>
          <w:sz w:val="21"/>
          <w:szCs w:val="21"/>
        </w:rPr>
      </w:pPr>
      <w:r w:rsidRPr="007C2763">
        <w:rPr>
          <w:rFonts w:ascii="Abadi" w:hAnsi="Abadi"/>
          <w:b w:val="0"/>
          <w:bCs w:val="0"/>
          <w:sz w:val="21"/>
          <w:szCs w:val="21"/>
        </w:rPr>
        <w:t>11</w:t>
      </w:r>
      <w:r w:rsidRPr="007C2763">
        <w:rPr>
          <w:rFonts w:ascii="Abadi" w:hAnsi="Abadi"/>
          <w:b w:val="0"/>
          <w:bCs w:val="0"/>
          <w:spacing w:val="39"/>
          <w:sz w:val="21"/>
          <w:szCs w:val="21"/>
        </w:rPr>
        <w:t xml:space="preserve"> </w:t>
      </w:r>
      <w:r w:rsidRPr="007C2763">
        <w:rPr>
          <w:rFonts w:ascii="Abadi" w:hAnsi="Abadi"/>
          <w:b w:val="0"/>
          <w:bCs w:val="0"/>
          <w:sz w:val="21"/>
          <w:szCs w:val="21"/>
        </w:rPr>
        <w:t>establece</w:t>
      </w:r>
      <w:r w:rsidRPr="007C2763">
        <w:rPr>
          <w:rFonts w:ascii="Abadi" w:hAnsi="Abadi"/>
          <w:b w:val="0"/>
          <w:bCs w:val="0"/>
          <w:spacing w:val="40"/>
          <w:sz w:val="21"/>
          <w:szCs w:val="21"/>
        </w:rPr>
        <w:t xml:space="preserve"> </w:t>
      </w:r>
      <w:r w:rsidRPr="007C2763">
        <w:rPr>
          <w:rFonts w:ascii="Abadi" w:hAnsi="Abadi"/>
          <w:b w:val="0"/>
          <w:bCs w:val="0"/>
          <w:sz w:val="21"/>
          <w:szCs w:val="21"/>
        </w:rPr>
        <w:t>la</w:t>
      </w:r>
      <w:r w:rsidRPr="007C2763">
        <w:rPr>
          <w:rFonts w:ascii="Abadi" w:hAnsi="Abadi"/>
          <w:b w:val="0"/>
          <w:bCs w:val="0"/>
          <w:spacing w:val="37"/>
          <w:sz w:val="21"/>
          <w:szCs w:val="21"/>
        </w:rPr>
        <w:t xml:space="preserve"> </w:t>
      </w:r>
      <w:r w:rsidRPr="007C2763">
        <w:rPr>
          <w:rFonts w:ascii="Abadi" w:hAnsi="Abadi"/>
          <w:b w:val="0"/>
          <w:bCs w:val="0"/>
          <w:sz w:val="21"/>
          <w:szCs w:val="21"/>
        </w:rPr>
        <w:t>facultad</w:t>
      </w:r>
      <w:r w:rsidRPr="007C2763">
        <w:rPr>
          <w:rFonts w:ascii="Abadi" w:hAnsi="Abadi"/>
          <w:b w:val="0"/>
          <w:bCs w:val="0"/>
          <w:spacing w:val="39"/>
          <w:sz w:val="21"/>
          <w:szCs w:val="21"/>
        </w:rPr>
        <w:t xml:space="preserve"> </w:t>
      </w:r>
      <w:r w:rsidRPr="007C2763">
        <w:rPr>
          <w:rFonts w:ascii="Abadi" w:hAnsi="Abadi"/>
          <w:b w:val="0"/>
          <w:bCs w:val="0"/>
          <w:sz w:val="21"/>
          <w:szCs w:val="21"/>
        </w:rPr>
        <w:t>del</w:t>
      </w:r>
      <w:r w:rsidRPr="007C2763">
        <w:rPr>
          <w:rFonts w:ascii="Abadi" w:hAnsi="Abadi"/>
          <w:b w:val="0"/>
          <w:bCs w:val="0"/>
          <w:spacing w:val="38"/>
          <w:sz w:val="21"/>
          <w:szCs w:val="21"/>
        </w:rPr>
        <w:t xml:space="preserve"> </w:t>
      </w:r>
      <w:r w:rsidRPr="007C2763">
        <w:rPr>
          <w:rFonts w:ascii="Abadi" w:hAnsi="Abadi"/>
          <w:b w:val="0"/>
          <w:bCs w:val="0"/>
          <w:sz w:val="21"/>
          <w:szCs w:val="21"/>
        </w:rPr>
        <w:t>Congreso</w:t>
      </w:r>
      <w:r w:rsidRPr="007C2763">
        <w:rPr>
          <w:rFonts w:ascii="Abadi" w:hAnsi="Abadi"/>
          <w:b w:val="0"/>
          <w:bCs w:val="0"/>
          <w:spacing w:val="37"/>
          <w:sz w:val="21"/>
          <w:szCs w:val="21"/>
        </w:rPr>
        <w:t xml:space="preserve"> </w:t>
      </w:r>
      <w:r w:rsidRPr="007C2763">
        <w:rPr>
          <w:rFonts w:ascii="Abadi" w:hAnsi="Abadi"/>
          <w:b w:val="0"/>
          <w:bCs w:val="0"/>
          <w:sz w:val="21"/>
          <w:szCs w:val="21"/>
        </w:rPr>
        <w:t>del</w:t>
      </w:r>
      <w:r w:rsidRPr="007C2763">
        <w:rPr>
          <w:rFonts w:ascii="Abadi" w:hAnsi="Abadi"/>
          <w:b w:val="0"/>
          <w:bCs w:val="0"/>
          <w:spacing w:val="35"/>
          <w:sz w:val="21"/>
          <w:szCs w:val="21"/>
        </w:rPr>
        <w:t xml:space="preserve"> </w:t>
      </w:r>
      <w:r w:rsidRPr="007C2763">
        <w:rPr>
          <w:rFonts w:ascii="Abadi" w:hAnsi="Abadi"/>
          <w:b w:val="0"/>
          <w:bCs w:val="0"/>
          <w:sz w:val="21"/>
          <w:szCs w:val="21"/>
        </w:rPr>
        <w:t>Estado</w:t>
      </w:r>
      <w:r w:rsidRPr="007C2763">
        <w:rPr>
          <w:rFonts w:ascii="Abadi" w:hAnsi="Abadi"/>
          <w:b w:val="0"/>
          <w:bCs w:val="0"/>
          <w:spacing w:val="40"/>
          <w:sz w:val="21"/>
          <w:szCs w:val="21"/>
        </w:rPr>
        <w:t xml:space="preserve"> </w:t>
      </w:r>
      <w:r w:rsidRPr="007C2763">
        <w:rPr>
          <w:rFonts w:ascii="Abadi" w:hAnsi="Abadi"/>
          <w:b w:val="0"/>
          <w:bCs w:val="0"/>
          <w:sz w:val="21"/>
          <w:szCs w:val="21"/>
        </w:rPr>
        <w:t>como</w:t>
      </w:r>
      <w:r w:rsidRPr="007C2763">
        <w:rPr>
          <w:rFonts w:ascii="Abadi" w:hAnsi="Abadi"/>
          <w:b w:val="0"/>
          <w:bCs w:val="0"/>
          <w:spacing w:val="37"/>
          <w:sz w:val="21"/>
          <w:szCs w:val="21"/>
        </w:rPr>
        <w:t xml:space="preserve"> </w:t>
      </w:r>
      <w:r w:rsidRPr="007C2763">
        <w:rPr>
          <w:rFonts w:ascii="Abadi" w:hAnsi="Abadi"/>
          <w:b w:val="0"/>
          <w:bCs w:val="0"/>
          <w:sz w:val="21"/>
          <w:szCs w:val="21"/>
        </w:rPr>
        <w:t>poder</w:t>
      </w:r>
      <w:r w:rsidRPr="007C2763">
        <w:rPr>
          <w:rFonts w:ascii="Abadi" w:hAnsi="Abadi"/>
          <w:b w:val="0"/>
          <w:bCs w:val="0"/>
          <w:spacing w:val="37"/>
          <w:sz w:val="21"/>
          <w:szCs w:val="21"/>
        </w:rPr>
        <w:t xml:space="preserve"> </w:t>
      </w:r>
      <w:r w:rsidRPr="007C2763">
        <w:rPr>
          <w:rFonts w:ascii="Abadi" w:hAnsi="Abadi"/>
          <w:b w:val="0"/>
          <w:bCs w:val="0"/>
          <w:sz w:val="21"/>
          <w:szCs w:val="21"/>
        </w:rPr>
        <w:t>legislativo</w:t>
      </w:r>
      <w:r w:rsidRPr="007C2763">
        <w:rPr>
          <w:rFonts w:ascii="Abadi" w:hAnsi="Abadi"/>
          <w:b w:val="0"/>
          <w:bCs w:val="0"/>
          <w:spacing w:val="40"/>
          <w:sz w:val="21"/>
          <w:szCs w:val="21"/>
        </w:rPr>
        <w:t xml:space="preserve"> </w:t>
      </w:r>
      <w:r w:rsidRPr="007C2763">
        <w:rPr>
          <w:rFonts w:ascii="Abadi" w:hAnsi="Abadi"/>
          <w:b w:val="0"/>
          <w:bCs w:val="0"/>
          <w:sz w:val="21"/>
          <w:szCs w:val="21"/>
        </w:rPr>
        <w:t>con</w:t>
      </w:r>
      <w:r w:rsidRPr="007C2763">
        <w:rPr>
          <w:rFonts w:ascii="Abadi" w:hAnsi="Abadi"/>
          <w:b w:val="0"/>
          <w:bCs w:val="0"/>
          <w:spacing w:val="40"/>
          <w:sz w:val="21"/>
          <w:szCs w:val="21"/>
        </w:rPr>
        <w:t xml:space="preserve"> </w:t>
      </w:r>
      <w:r w:rsidRPr="007C2763">
        <w:rPr>
          <w:rFonts w:ascii="Abadi" w:hAnsi="Abadi"/>
          <w:b w:val="0"/>
          <w:bCs w:val="0"/>
          <w:sz w:val="21"/>
          <w:szCs w:val="21"/>
        </w:rPr>
        <w:t>el derecho</w:t>
      </w:r>
      <w:r w:rsidRPr="007C2763">
        <w:rPr>
          <w:rFonts w:ascii="Abadi" w:hAnsi="Abadi"/>
          <w:b w:val="0"/>
          <w:bCs w:val="0"/>
          <w:spacing w:val="11"/>
          <w:sz w:val="21"/>
          <w:szCs w:val="21"/>
        </w:rPr>
        <w:t xml:space="preserve"> </w:t>
      </w:r>
      <w:r w:rsidRPr="007C2763">
        <w:rPr>
          <w:rFonts w:ascii="Abadi" w:hAnsi="Abadi"/>
          <w:b w:val="0"/>
          <w:bCs w:val="0"/>
          <w:sz w:val="21"/>
          <w:szCs w:val="21"/>
        </w:rPr>
        <w:t>de</w:t>
      </w:r>
      <w:r w:rsidRPr="007C2763">
        <w:rPr>
          <w:rFonts w:ascii="Abadi" w:hAnsi="Abadi"/>
          <w:b w:val="0"/>
          <w:bCs w:val="0"/>
          <w:spacing w:val="11"/>
          <w:sz w:val="21"/>
          <w:szCs w:val="21"/>
        </w:rPr>
        <w:t xml:space="preserve"> </w:t>
      </w:r>
      <w:r w:rsidRPr="007C2763">
        <w:rPr>
          <w:rFonts w:ascii="Abadi" w:hAnsi="Abadi"/>
          <w:b w:val="0"/>
          <w:bCs w:val="0"/>
          <w:sz w:val="21"/>
          <w:szCs w:val="21"/>
        </w:rPr>
        <w:t>proponer</w:t>
      </w:r>
      <w:r w:rsidRPr="007C2763">
        <w:rPr>
          <w:rFonts w:ascii="Abadi" w:hAnsi="Abadi"/>
          <w:b w:val="0"/>
          <w:bCs w:val="0"/>
          <w:spacing w:val="8"/>
          <w:sz w:val="21"/>
          <w:szCs w:val="21"/>
        </w:rPr>
        <w:t xml:space="preserve"> </w:t>
      </w:r>
      <w:r w:rsidRPr="007C2763">
        <w:rPr>
          <w:rFonts w:ascii="Abadi" w:hAnsi="Abadi"/>
          <w:b w:val="0"/>
          <w:bCs w:val="0"/>
          <w:sz w:val="21"/>
          <w:szCs w:val="21"/>
        </w:rPr>
        <w:t>iniciativas</w:t>
      </w:r>
      <w:r w:rsidRPr="007C2763">
        <w:rPr>
          <w:rFonts w:ascii="Abadi" w:hAnsi="Abadi"/>
          <w:b w:val="0"/>
          <w:bCs w:val="0"/>
          <w:spacing w:val="10"/>
          <w:sz w:val="21"/>
          <w:szCs w:val="21"/>
        </w:rPr>
        <w:t xml:space="preserve"> </w:t>
      </w:r>
      <w:r w:rsidRPr="007C2763">
        <w:rPr>
          <w:rFonts w:ascii="Abadi" w:hAnsi="Abadi"/>
          <w:b w:val="0"/>
          <w:bCs w:val="0"/>
          <w:sz w:val="21"/>
          <w:szCs w:val="21"/>
        </w:rPr>
        <w:t>de</w:t>
      </w:r>
      <w:r w:rsidRPr="007C2763">
        <w:rPr>
          <w:rFonts w:ascii="Abadi" w:hAnsi="Abadi"/>
          <w:b w:val="0"/>
          <w:bCs w:val="0"/>
          <w:spacing w:val="11"/>
          <w:sz w:val="21"/>
          <w:szCs w:val="21"/>
        </w:rPr>
        <w:t xml:space="preserve"> </w:t>
      </w:r>
      <w:r w:rsidRPr="007C2763">
        <w:rPr>
          <w:rFonts w:ascii="Abadi" w:hAnsi="Abadi"/>
          <w:b w:val="0"/>
          <w:bCs w:val="0"/>
          <w:sz w:val="21"/>
          <w:szCs w:val="21"/>
        </w:rPr>
        <w:t>leyes</w:t>
      </w:r>
      <w:r w:rsidRPr="007C2763">
        <w:rPr>
          <w:rFonts w:ascii="Abadi" w:hAnsi="Abadi"/>
          <w:b w:val="0"/>
          <w:bCs w:val="0"/>
          <w:spacing w:val="10"/>
          <w:sz w:val="21"/>
          <w:szCs w:val="21"/>
        </w:rPr>
        <w:t xml:space="preserve"> </w:t>
      </w:r>
      <w:r w:rsidRPr="007C2763">
        <w:rPr>
          <w:rFonts w:ascii="Abadi" w:hAnsi="Abadi"/>
          <w:b w:val="0"/>
          <w:bCs w:val="0"/>
          <w:sz w:val="21"/>
          <w:szCs w:val="21"/>
        </w:rPr>
        <w:t>y</w:t>
      </w:r>
      <w:r w:rsidRPr="007C2763">
        <w:rPr>
          <w:rFonts w:ascii="Abadi" w:hAnsi="Abadi"/>
          <w:b w:val="0"/>
          <w:bCs w:val="0"/>
          <w:spacing w:val="10"/>
          <w:sz w:val="21"/>
          <w:szCs w:val="21"/>
        </w:rPr>
        <w:t xml:space="preserve"> </w:t>
      </w:r>
      <w:r w:rsidRPr="007C2763">
        <w:rPr>
          <w:rFonts w:ascii="Abadi" w:hAnsi="Abadi"/>
          <w:b w:val="0"/>
          <w:bCs w:val="0"/>
          <w:sz w:val="21"/>
          <w:szCs w:val="21"/>
        </w:rPr>
        <w:t>decretos</w:t>
      </w:r>
      <w:r w:rsidRPr="007C2763">
        <w:rPr>
          <w:rFonts w:ascii="Abadi" w:hAnsi="Abadi"/>
          <w:b w:val="0"/>
          <w:bCs w:val="0"/>
          <w:spacing w:val="7"/>
          <w:sz w:val="21"/>
          <w:szCs w:val="21"/>
        </w:rPr>
        <w:t xml:space="preserve"> </w:t>
      </w:r>
      <w:r w:rsidRPr="007C2763">
        <w:rPr>
          <w:rFonts w:ascii="Abadi" w:hAnsi="Abadi"/>
          <w:b w:val="0"/>
          <w:bCs w:val="0"/>
          <w:sz w:val="21"/>
          <w:szCs w:val="21"/>
        </w:rPr>
        <w:t>que</w:t>
      </w:r>
      <w:r w:rsidRPr="007C2763">
        <w:rPr>
          <w:rFonts w:ascii="Abadi" w:hAnsi="Abadi"/>
          <w:b w:val="0"/>
          <w:bCs w:val="0"/>
          <w:spacing w:val="9"/>
          <w:sz w:val="21"/>
          <w:szCs w:val="21"/>
        </w:rPr>
        <w:t xml:space="preserve"> </w:t>
      </w:r>
      <w:r w:rsidRPr="007C2763">
        <w:rPr>
          <w:rFonts w:ascii="Abadi" w:hAnsi="Abadi"/>
          <w:b w:val="0"/>
          <w:bCs w:val="0"/>
          <w:sz w:val="21"/>
          <w:szCs w:val="21"/>
        </w:rPr>
        <w:t>permitan</w:t>
      </w:r>
      <w:r w:rsidRPr="007C2763">
        <w:rPr>
          <w:rFonts w:ascii="Abadi" w:hAnsi="Abadi"/>
          <w:b w:val="0"/>
          <w:bCs w:val="0"/>
          <w:spacing w:val="8"/>
          <w:sz w:val="21"/>
          <w:szCs w:val="21"/>
        </w:rPr>
        <w:t xml:space="preserve"> </w:t>
      </w:r>
      <w:r w:rsidRPr="007C2763">
        <w:rPr>
          <w:rFonts w:ascii="Abadi" w:hAnsi="Abadi"/>
          <w:b w:val="0"/>
          <w:bCs w:val="0"/>
          <w:sz w:val="21"/>
          <w:szCs w:val="21"/>
        </w:rPr>
        <w:t>crear</w:t>
      </w:r>
      <w:r w:rsidRPr="007C2763">
        <w:rPr>
          <w:rFonts w:ascii="Abadi" w:hAnsi="Abadi"/>
          <w:b w:val="0"/>
          <w:bCs w:val="0"/>
          <w:spacing w:val="9"/>
          <w:sz w:val="21"/>
          <w:szCs w:val="21"/>
        </w:rPr>
        <w:t xml:space="preserve"> </w:t>
      </w:r>
      <w:r w:rsidRPr="007C2763">
        <w:rPr>
          <w:rFonts w:ascii="Abadi" w:hAnsi="Abadi"/>
          <w:b w:val="0"/>
          <w:bCs w:val="0"/>
          <w:sz w:val="21"/>
          <w:szCs w:val="21"/>
        </w:rPr>
        <w:t>o</w:t>
      </w:r>
      <w:r w:rsidRPr="007C2763">
        <w:rPr>
          <w:rFonts w:ascii="Abadi" w:hAnsi="Abadi"/>
          <w:b w:val="0"/>
          <w:bCs w:val="0"/>
          <w:spacing w:val="11"/>
          <w:sz w:val="21"/>
          <w:szCs w:val="21"/>
        </w:rPr>
        <w:t xml:space="preserve"> </w:t>
      </w:r>
      <w:r w:rsidRPr="007C2763">
        <w:rPr>
          <w:rFonts w:ascii="Abadi" w:hAnsi="Abadi"/>
          <w:b w:val="0"/>
          <w:bCs w:val="0"/>
          <w:sz w:val="21"/>
          <w:szCs w:val="21"/>
        </w:rPr>
        <w:t>reformar el</w:t>
      </w:r>
      <w:r w:rsidRPr="007C2763">
        <w:rPr>
          <w:rFonts w:ascii="Abadi" w:hAnsi="Abadi"/>
          <w:b w:val="0"/>
          <w:bCs w:val="0"/>
          <w:spacing w:val="24"/>
          <w:sz w:val="21"/>
          <w:szCs w:val="21"/>
        </w:rPr>
        <w:t xml:space="preserve"> </w:t>
      </w:r>
      <w:r w:rsidRPr="007C2763">
        <w:rPr>
          <w:rFonts w:ascii="Abadi" w:hAnsi="Abadi"/>
          <w:b w:val="0"/>
          <w:bCs w:val="0"/>
          <w:sz w:val="21"/>
          <w:szCs w:val="21"/>
        </w:rPr>
        <w:t>marco</w:t>
      </w:r>
      <w:r w:rsidRPr="007C2763">
        <w:rPr>
          <w:rFonts w:ascii="Abadi" w:hAnsi="Abadi"/>
          <w:b w:val="0"/>
          <w:bCs w:val="0"/>
          <w:spacing w:val="25"/>
          <w:sz w:val="21"/>
          <w:szCs w:val="21"/>
        </w:rPr>
        <w:t xml:space="preserve"> </w:t>
      </w:r>
      <w:r w:rsidRPr="007C2763">
        <w:rPr>
          <w:rFonts w:ascii="Abadi" w:hAnsi="Abadi"/>
          <w:b w:val="0"/>
          <w:bCs w:val="0"/>
          <w:sz w:val="21"/>
          <w:szCs w:val="21"/>
        </w:rPr>
        <w:t>jurídico</w:t>
      </w:r>
      <w:r w:rsidRPr="007C2763">
        <w:rPr>
          <w:rFonts w:ascii="Abadi" w:hAnsi="Abadi"/>
          <w:b w:val="0"/>
          <w:bCs w:val="0"/>
          <w:spacing w:val="23"/>
          <w:sz w:val="21"/>
          <w:szCs w:val="21"/>
        </w:rPr>
        <w:t xml:space="preserve"> </w:t>
      </w:r>
      <w:r w:rsidRPr="007C2763">
        <w:rPr>
          <w:rFonts w:ascii="Abadi" w:hAnsi="Abadi"/>
          <w:b w:val="0"/>
          <w:bCs w:val="0"/>
          <w:sz w:val="21"/>
          <w:szCs w:val="21"/>
        </w:rPr>
        <w:t>de</w:t>
      </w:r>
      <w:r w:rsidRPr="007C2763">
        <w:rPr>
          <w:rFonts w:ascii="Abadi" w:hAnsi="Abadi"/>
          <w:b w:val="0"/>
          <w:bCs w:val="0"/>
          <w:spacing w:val="23"/>
          <w:sz w:val="21"/>
          <w:szCs w:val="21"/>
        </w:rPr>
        <w:t xml:space="preserve"> </w:t>
      </w:r>
      <w:r w:rsidRPr="007C2763">
        <w:rPr>
          <w:rFonts w:ascii="Abadi" w:hAnsi="Abadi"/>
          <w:b w:val="0"/>
          <w:bCs w:val="0"/>
          <w:sz w:val="21"/>
          <w:szCs w:val="21"/>
        </w:rPr>
        <w:t>nuestro</w:t>
      </w:r>
      <w:r w:rsidRPr="007C2763">
        <w:rPr>
          <w:rFonts w:ascii="Abadi" w:hAnsi="Abadi"/>
          <w:b w:val="0"/>
          <w:bCs w:val="0"/>
          <w:spacing w:val="23"/>
          <w:sz w:val="21"/>
          <w:szCs w:val="21"/>
        </w:rPr>
        <w:t xml:space="preserve"> </w:t>
      </w:r>
      <w:r w:rsidRPr="007C2763">
        <w:rPr>
          <w:rFonts w:ascii="Abadi" w:hAnsi="Abadi"/>
          <w:b w:val="0"/>
          <w:bCs w:val="0"/>
          <w:sz w:val="21"/>
          <w:szCs w:val="21"/>
        </w:rPr>
        <w:t>estado.</w:t>
      </w:r>
      <w:r w:rsidRPr="007C2763">
        <w:rPr>
          <w:rFonts w:ascii="Abadi" w:hAnsi="Abadi"/>
          <w:b w:val="0"/>
          <w:bCs w:val="0"/>
          <w:spacing w:val="22"/>
          <w:sz w:val="21"/>
          <w:szCs w:val="21"/>
        </w:rPr>
        <w:t xml:space="preserve"> </w:t>
      </w:r>
      <w:r w:rsidRPr="007C2763">
        <w:rPr>
          <w:rFonts w:ascii="Abadi" w:hAnsi="Abadi"/>
          <w:b w:val="0"/>
          <w:bCs w:val="0"/>
          <w:sz w:val="21"/>
          <w:szCs w:val="21"/>
        </w:rPr>
        <w:t>En</w:t>
      </w:r>
      <w:r w:rsidRPr="007C2763">
        <w:rPr>
          <w:rFonts w:ascii="Abadi" w:hAnsi="Abadi"/>
          <w:b w:val="0"/>
          <w:bCs w:val="0"/>
          <w:spacing w:val="23"/>
          <w:sz w:val="21"/>
          <w:szCs w:val="21"/>
        </w:rPr>
        <w:t xml:space="preserve"> </w:t>
      </w:r>
      <w:r w:rsidRPr="007C2763">
        <w:rPr>
          <w:rFonts w:ascii="Abadi" w:hAnsi="Abadi"/>
          <w:b w:val="0"/>
          <w:bCs w:val="0"/>
          <w:sz w:val="21"/>
          <w:szCs w:val="21"/>
        </w:rPr>
        <w:t>este</w:t>
      </w:r>
      <w:r w:rsidRPr="007C2763">
        <w:rPr>
          <w:rFonts w:ascii="Abadi" w:hAnsi="Abadi"/>
          <w:b w:val="0"/>
          <w:bCs w:val="0"/>
          <w:spacing w:val="25"/>
          <w:sz w:val="21"/>
          <w:szCs w:val="21"/>
        </w:rPr>
        <w:t xml:space="preserve"> </w:t>
      </w:r>
      <w:r w:rsidRPr="007C2763">
        <w:rPr>
          <w:rFonts w:ascii="Abadi" w:hAnsi="Abadi"/>
          <w:b w:val="0"/>
          <w:bCs w:val="0"/>
          <w:sz w:val="21"/>
          <w:szCs w:val="21"/>
        </w:rPr>
        <w:t>caso,</w:t>
      </w:r>
      <w:r w:rsidRPr="007C2763">
        <w:rPr>
          <w:rFonts w:ascii="Abadi" w:hAnsi="Abadi"/>
          <w:b w:val="0"/>
          <w:bCs w:val="0"/>
          <w:spacing w:val="22"/>
          <w:sz w:val="21"/>
          <w:szCs w:val="21"/>
        </w:rPr>
        <w:t xml:space="preserve"> </w:t>
      </w:r>
      <w:r w:rsidRPr="007C2763">
        <w:rPr>
          <w:rFonts w:ascii="Abadi" w:hAnsi="Abadi"/>
          <w:b w:val="0"/>
          <w:bCs w:val="0"/>
          <w:sz w:val="21"/>
          <w:szCs w:val="21"/>
        </w:rPr>
        <w:t>de</w:t>
      </w:r>
      <w:r w:rsidRPr="007C2763">
        <w:rPr>
          <w:rFonts w:ascii="Abadi" w:hAnsi="Abadi"/>
          <w:b w:val="0"/>
          <w:bCs w:val="0"/>
          <w:spacing w:val="23"/>
          <w:sz w:val="21"/>
          <w:szCs w:val="21"/>
        </w:rPr>
        <w:t xml:space="preserve"> </w:t>
      </w:r>
      <w:r w:rsidRPr="007C2763">
        <w:rPr>
          <w:rFonts w:ascii="Abadi" w:hAnsi="Abadi"/>
          <w:b w:val="0"/>
          <w:bCs w:val="0"/>
          <w:sz w:val="21"/>
          <w:szCs w:val="21"/>
        </w:rPr>
        <w:t>reforma</w:t>
      </w:r>
      <w:r w:rsidRPr="007C2763">
        <w:rPr>
          <w:rFonts w:ascii="Abadi" w:hAnsi="Abadi"/>
          <w:b w:val="0"/>
          <w:bCs w:val="0"/>
          <w:spacing w:val="23"/>
          <w:sz w:val="21"/>
          <w:szCs w:val="21"/>
        </w:rPr>
        <w:t xml:space="preserve"> </w:t>
      </w:r>
      <w:r w:rsidRPr="007C2763">
        <w:rPr>
          <w:rFonts w:ascii="Abadi" w:hAnsi="Abadi"/>
          <w:b w:val="0"/>
          <w:bCs w:val="0"/>
          <w:sz w:val="21"/>
          <w:szCs w:val="21"/>
        </w:rPr>
        <w:t>a</w:t>
      </w:r>
      <w:r w:rsidRPr="007C2763">
        <w:rPr>
          <w:rFonts w:ascii="Abadi" w:hAnsi="Abadi"/>
          <w:b w:val="0"/>
          <w:bCs w:val="0"/>
          <w:spacing w:val="25"/>
          <w:sz w:val="21"/>
          <w:szCs w:val="21"/>
        </w:rPr>
        <w:t xml:space="preserve"> </w:t>
      </w:r>
      <w:r w:rsidRPr="007C2763">
        <w:rPr>
          <w:rFonts w:ascii="Abadi" w:hAnsi="Abadi"/>
          <w:b w:val="0"/>
          <w:bCs w:val="0"/>
          <w:sz w:val="21"/>
          <w:szCs w:val="21"/>
        </w:rPr>
        <w:t>la</w:t>
      </w:r>
      <w:r w:rsidRPr="007C2763">
        <w:rPr>
          <w:rFonts w:ascii="Abadi" w:hAnsi="Abadi"/>
          <w:b w:val="0"/>
          <w:bCs w:val="0"/>
          <w:spacing w:val="25"/>
          <w:sz w:val="21"/>
          <w:szCs w:val="21"/>
        </w:rPr>
        <w:t xml:space="preserve"> </w:t>
      </w:r>
      <w:r w:rsidRPr="007C2763">
        <w:rPr>
          <w:rFonts w:ascii="Abadi" w:hAnsi="Abadi"/>
          <w:b w:val="0"/>
          <w:bCs w:val="0"/>
          <w:sz w:val="21"/>
          <w:szCs w:val="21"/>
        </w:rPr>
        <w:t>Ley</w:t>
      </w:r>
      <w:r w:rsidRPr="007C2763">
        <w:rPr>
          <w:rFonts w:ascii="Abadi" w:hAnsi="Abadi"/>
          <w:b w:val="0"/>
          <w:bCs w:val="0"/>
          <w:spacing w:val="24"/>
          <w:sz w:val="21"/>
          <w:szCs w:val="21"/>
        </w:rPr>
        <w:t xml:space="preserve"> </w:t>
      </w:r>
      <w:r w:rsidRPr="007C2763">
        <w:rPr>
          <w:rFonts w:ascii="Abadi" w:hAnsi="Abadi"/>
          <w:b w:val="0"/>
          <w:bCs w:val="0"/>
          <w:sz w:val="21"/>
          <w:szCs w:val="21"/>
        </w:rPr>
        <w:t>Orgánica Municipal para</w:t>
      </w:r>
      <w:r w:rsidRPr="007C2763">
        <w:rPr>
          <w:rFonts w:ascii="Abadi" w:hAnsi="Abadi"/>
          <w:b w:val="0"/>
          <w:bCs w:val="0"/>
          <w:spacing w:val="1"/>
          <w:sz w:val="21"/>
          <w:szCs w:val="21"/>
        </w:rPr>
        <w:t xml:space="preserve"> </w:t>
      </w:r>
      <w:r w:rsidRPr="007C2763">
        <w:rPr>
          <w:rFonts w:ascii="Abadi" w:hAnsi="Abadi"/>
          <w:b w:val="0"/>
          <w:bCs w:val="0"/>
          <w:sz w:val="21"/>
          <w:szCs w:val="21"/>
        </w:rPr>
        <w:t>el Estado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Guanajuato.</w:t>
      </w:r>
    </w:p>
    <w:p w14:paraId="619DAD7B" w14:textId="77777777" w:rsidR="00374A1E" w:rsidRPr="007C2763" w:rsidRDefault="00374A1E" w:rsidP="00374A1E">
      <w:pPr>
        <w:pStyle w:val="Textoindependiente"/>
        <w:kinsoku w:val="0"/>
        <w:overflowPunct w:val="0"/>
        <w:rPr>
          <w:rFonts w:ascii="Abadi" w:hAnsi="Abadi"/>
          <w:b w:val="0"/>
          <w:bCs w:val="0"/>
          <w:sz w:val="21"/>
          <w:szCs w:val="21"/>
        </w:rPr>
      </w:pPr>
    </w:p>
    <w:p w14:paraId="79153FDE" w14:textId="458CB387" w:rsidR="00374A1E" w:rsidRPr="007C2763" w:rsidRDefault="00991CA8" w:rsidP="00374A1E">
      <w:pPr>
        <w:pStyle w:val="Textoindependiente"/>
        <w:kinsoku w:val="0"/>
        <w:overflowPunct w:val="0"/>
        <w:ind w:right="118"/>
        <w:rPr>
          <w:rFonts w:ascii="Abadi" w:hAnsi="Abadi"/>
          <w:b w:val="0"/>
          <w:bCs w:val="0"/>
          <w:sz w:val="21"/>
          <w:szCs w:val="21"/>
        </w:rPr>
      </w:pPr>
      <w:r>
        <w:rPr>
          <w:rFonts w:ascii="Abadi" w:hAnsi="Abadi"/>
          <w:b w:val="0"/>
          <w:bCs w:val="0"/>
          <w:sz w:val="21"/>
          <w:szCs w:val="21"/>
        </w:rPr>
        <w:t>II</w:t>
      </w:r>
      <w:r w:rsidR="00374A1E" w:rsidRPr="007C2763">
        <w:rPr>
          <w:rFonts w:ascii="Abadi" w:hAnsi="Abadi"/>
          <w:b w:val="0"/>
          <w:bCs w:val="0"/>
          <w:sz w:val="21"/>
          <w:szCs w:val="21"/>
        </w:rPr>
        <w:t>.</w:t>
      </w:r>
      <w:r w:rsidR="00374A1E" w:rsidRPr="007C2763">
        <w:rPr>
          <w:rFonts w:ascii="Abadi" w:hAnsi="Abadi"/>
          <w:b w:val="0"/>
          <w:bCs w:val="0"/>
          <w:spacing w:val="29"/>
          <w:sz w:val="21"/>
          <w:szCs w:val="21"/>
        </w:rPr>
        <w:t xml:space="preserve"> </w:t>
      </w:r>
      <w:r w:rsidR="00374A1E" w:rsidRPr="007C2763">
        <w:rPr>
          <w:rFonts w:ascii="Abadi" w:hAnsi="Abadi"/>
          <w:b w:val="0"/>
          <w:bCs w:val="0"/>
          <w:sz w:val="21"/>
          <w:szCs w:val="21"/>
        </w:rPr>
        <w:t>Impacto</w:t>
      </w:r>
      <w:r w:rsidR="00374A1E" w:rsidRPr="007C2763">
        <w:rPr>
          <w:rFonts w:ascii="Abadi" w:hAnsi="Abadi"/>
          <w:b w:val="0"/>
          <w:bCs w:val="0"/>
          <w:spacing w:val="28"/>
          <w:sz w:val="21"/>
          <w:szCs w:val="21"/>
        </w:rPr>
        <w:t xml:space="preserve"> </w:t>
      </w:r>
      <w:r w:rsidR="00374A1E" w:rsidRPr="007C2763">
        <w:rPr>
          <w:rFonts w:ascii="Abadi" w:hAnsi="Abadi"/>
          <w:b w:val="0"/>
          <w:bCs w:val="0"/>
          <w:sz w:val="21"/>
          <w:szCs w:val="21"/>
        </w:rPr>
        <w:t>administrativo:</w:t>
      </w:r>
      <w:r w:rsidR="00374A1E" w:rsidRPr="007C2763">
        <w:rPr>
          <w:rFonts w:ascii="Abadi" w:hAnsi="Abadi"/>
          <w:b w:val="0"/>
          <w:bCs w:val="0"/>
          <w:spacing w:val="30"/>
          <w:sz w:val="21"/>
          <w:szCs w:val="21"/>
        </w:rPr>
        <w:t xml:space="preserve"> </w:t>
      </w:r>
      <w:r w:rsidR="00374A1E" w:rsidRPr="007C2763">
        <w:rPr>
          <w:rFonts w:ascii="Abadi" w:hAnsi="Abadi"/>
          <w:b w:val="0"/>
          <w:bCs w:val="0"/>
          <w:sz w:val="21"/>
          <w:szCs w:val="21"/>
        </w:rPr>
        <w:t>No</w:t>
      </w:r>
      <w:r w:rsidR="00374A1E" w:rsidRPr="007C2763">
        <w:rPr>
          <w:rFonts w:ascii="Abadi" w:hAnsi="Abadi"/>
          <w:b w:val="0"/>
          <w:bCs w:val="0"/>
          <w:spacing w:val="31"/>
          <w:sz w:val="21"/>
          <w:szCs w:val="21"/>
        </w:rPr>
        <w:t xml:space="preserve"> </w:t>
      </w:r>
      <w:r w:rsidR="00374A1E" w:rsidRPr="007C2763">
        <w:rPr>
          <w:rFonts w:ascii="Abadi" w:hAnsi="Abadi"/>
          <w:b w:val="0"/>
          <w:bCs w:val="0"/>
          <w:sz w:val="21"/>
          <w:szCs w:val="21"/>
        </w:rPr>
        <w:t>implica</w:t>
      </w:r>
      <w:r w:rsidR="00374A1E" w:rsidRPr="007C2763">
        <w:rPr>
          <w:rFonts w:ascii="Abadi" w:hAnsi="Abadi"/>
          <w:b w:val="0"/>
          <w:bCs w:val="0"/>
          <w:spacing w:val="28"/>
          <w:sz w:val="21"/>
          <w:szCs w:val="21"/>
        </w:rPr>
        <w:t xml:space="preserve"> </w:t>
      </w:r>
      <w:r w:rsidR="00374A1E" w:rsidRPr="007C2763">
        <w:rPr>
          <w:rFonts w:ascii="Abadi" w:hAnsi="Abadi"/>
          <w:b w:val="0"/>
          <w:bCs w:val="0"/>
          <w:sz w:val="21"/>
          <w:szCs w:val="21"/>
        </w:rPr>
        <w:t>mayores</w:t>
      </w:r>
      <w:r w:rsidR="00374A1E" w:rsidRPr="007C2763">
        <w:rPr>
          <w:rFonts w:ascii="Abadi" w:hAnsi="Abadi"/>
          <w:b w:val="0"/>
          <w:bCs w:val="0"/>
          <w:spacing w:val="27"/>
          <w:sz w:val="21"/>
          <w:szCs w:val="21"/>
        </w:rPr>
        <w:t xml:space="preserve"> </w:t>
      </w:r>
      <w:r w:rsidR="00374A1E" w:rsidRPr="007C2763">
        <w:rPr>
          <w:rFonts w:ascii="Abadi" w:hAnsi="Abadi"/>
          <w:b w:val="0"/>
          <w:bCs w:val="0"/>
          <w:sz w:val="21"/>
          <w:szCs w:val="21"/>
        </w:rPr>
        <w:t>ajustes</w:t>
      </w:r>
      <w:r w:rsidR="00374A1E" w:rsidRPr="007C2763">
        <w:rPr>
          <w:rFonts w:ascii="Abadi" w:hAnsi="Abadi"/>
          <w:b w:val="0"/>
          <w:bCs w:val="0"/>
          <w:spacing w:val="27"/>
          <w:sz w:val="21"/>
          <w:szCs w:val="21"/>
        </w:rPr>
        <w:t xml:space="preserve"> </w:t>
      </w:r>
      <w:r w:rsidR="00374A1E" w:rsidRPr="007C2763">
        <w:rPr>
          <w:rFonts w:ascii="Abadi" w:hAnsi="Abadi"/>
          <w:b w:val="0"/>
          <w:bCs w:val="0"/>
          <w:sz w:val="21"/>
          <w:szCs w:val="21"/>
        </w:rPr>
        <w:t>en</w:t>
      </w:r>
      <w:r w:rsidR="00374A1E" w:rsidRPr="007C2763">
        <w:rPr>
          <w:rFonts w:ascii="Abadi" w:hAnsi="Abadi"/>
          <w:b w:val="0"/>
          <w:bCs w:val="0"/>
          <w:spacing w:val="28"/>
          <w:sz w:val="21"/>
          <w:szCs w:val="21"/>
        </w:rPr>
        <w:t xml:space="preserve"> </w:t>
      </w:r>
      <w:r w:rsidR="00374A1E" w:rsidRPr="007C2763">
        <w:rPr>
          <w:rFonts w:ascii="Abadi" w:hAnsi="Abadi"/>
          <w:b w:val="0"/>
          <w:bCs w:val="0"/>
          <w:sz w:val="21"/>
          <w:szCs w:val="21"/>
        </w:rPr>
        <w:t>el</w:t>
      </w:r>
      <w:r w:rsidR="00374A1E" w:rsidRPr="007C2763">
        <w:rPr>
          <w:rFonts w:ascii="Abadi" w:hAnsi="Abadi"/>
          <w:b w:val="0"/>
          <w:bCs w:val="0"/>
          <w:spacing w:val="29"/>
          <w:sz w:val="21"/>
          <w:szCs w:val="21"/>
        </w:rPr>
        <w:t xml:space="preserve"> </w:t>
      </w:r>
      <w:r w:rsidR="00374A1E" w:rsidRPr="007C2763">
        <w:rPr>
          <w:rFonts w:ascii="Abadi" w:hAnsi="Abadi"/>
          <w:b w:val="0"/>
          <w:bCs w:val="0"/>
          <w:sz w:val="21"/>
          <w:szCs w:val="21"/>
        </w:rPr>
        <w:t>proceso administrativo</w:t>
      </w:r>
      <w:r w:rsidR="00374A1E" w:rsidRPr="007C2763">
        <w:rPr>
          <w:rFonts w:ascii="Abadi" w:hAnsi="Abadi"/>
          <w:b w:val="0"/>
          <w:bCs w:val="0"/>
          <w:spacing w:val="1"/>
          <w:sz w:val="21"/>
          <w:szCs w:val="21"/>
        </w:rPr>
        <w:t xml:space="preserve"> </w:t>
      </w:r>
      <w:r w:rsidR="00374A1E" w:rsidRPr="007C2763">
        <w:rPr>
          <w:rFonts w:ascii="Abadi" w:hAnsi="Abadi"/>
          <w:b w:val="0"/>
          <w:bCs w:val="0"/>
          <w:sz w:val="21"/>
          <w:szCs w:val="21"/>
        </w:rPr>
        <w:t>vigente</w:t>
      </w:r>
      <w:r w:rsidR="00374A1E" w:rsidRPr="007C2763">
        <w:rPr>
          <w:rFonts w:ascii="Abadi" w:hAnsi="Abadi"/>
          <w:b w:val="0"/>
          <w:bCs w:val="0"/>
          <w:spacing w:val="-1"/>
          <w:sz w:val="21"/>
          <w:szCs w:val="21"/>
        </w:rPr>
        <w:t xml:space="preserve"> </w:t>
      </w:r>
      <w:r w:rsidR="00374A1E" w:rsidRPr="007C2763">
        <w:rPr>
          <w:rFonts w:ascii="Abadi" w:hAnsi="Abadi"/>
          <w:b w:val="0"/>
          <w:bCs w:val="0"/>
          <w:sz w:val="21"/>
          <w:szCs w:val="21"/>
        </w:rPr>
        <w:t>del</w:t>
      </w:r>
      <w:r w:rsidR="00374A1E" w:rsidRPr="007C2763">
        <w:rPr>
          <w:rFonts w:ascii="Abadi" w:hAnsi="Abadi"/>
          <w:b w:val="0"/>
          <w:bCs w:val="0"/>
          <w:spacing w:val="-2"/>
          <w:sz w:val="21"/>
          <w:szCs w:val="21"/>
        </w:rPr>
        <w:t xml:space="preserve"> </w:t>
      </w:r>
      <w:r w:rsidR="00374A1E" w:rsidRPr="007C2763">
        <w:rPr>
          <w:rFonts w:ascii="Abadi" w:hAnsi="Abadi"/>
          <w:b w:val="0"/>
          <w:bCs w:val="0"/>
          <w:sz w:val="21"/>
          <w:szCs w:val="21"/>
        </w:rPr>
        <w:t>gobierno</w:t>
      </w:r>
      <w:r w:rsidR="00374A1E" w:rsidRPr="007C2763">
        <w:rPr>
          <w:rFonts w:ascii="Abadi" w:hAnsi="Abadi"/>
          <w:b w:val="0"/>
          <w:bCs w:val="0"/>
          <w:spacing w:val="1"/>
          <w:sz w:val="21"/>
          <w:szCs w:val="21"/>
        </w:rPr>
        <w:t xml:space="preserve"> </w:t>
      </w:r>
      <w:r w:rsidR="00374A1E" w:rsidRPr="007C2763">
        <w:rPr>
          <w:rFonts w:ascii="Abadi" w:hAnsi="Abadi"/>
          <w:b w:val="0"/>
          <w:bCs w:val="0"/>
          <w:sz w:val="21"/>
          <w:szCs w:val="21"/>
        </w:rPr>
        <w:t>municipal.</w:t>
      </w:r>
    </w:p>
    <w:p w14:paraId="3F400EFA" w14:textId="77777777" w:rsidR="00374A1E" w:rsidRPr="007C2763" w:rsidRDefault="00374A1E" w:rsidP="00374A1E">
      <w:pPr>
        <w:pStyle w:val="Textoindependiente"/>
        <w:kinsoku w:val="0"/>
        <w:overflowPunct w:val="0"/>
        <w:rPr>
          <w:rFonts w:ascii="Abadi" w:hAnsi="Abadi"/>
          <w:b w:val="0"/>
          <w:bCs w:val="0"/>
          <w:sz w:val="21"/>
          <w:szCs w:val="21"/>
        </w:rPr>
      </w:pPr>
    </w:p>
    <w:p w14:paraId="56F75535" w14:textId="442DF0F7" w:rsidR="00374A1E" w:rsidRPr="007C2763" w:rsidRDefault="00991CA8" w:rsidP="00670A2F">
      <w:pPr>
        <w:pStyle w:val="Textoindependiente"/>
        <w:kinsoku w:val="0"/>
        <w:overflowPunct w:val="0"/>
        <w:ind w:right="118"/>
        <w:rPr>
          <w:rFonts w:ascii="Abadi" w:hAnsi="Abadi"/>
          <w:b w:val="0"/>
          <w:bCs w:val="0"/>
          <w:sz w:val="21"/>
          <w:szCs w:val="21"/>
        </w:rPr>
      </w:pPr>
      <w:r>
        <w:rPr>
          <w:rFonts w:ascii="Abadi" w:hAnsi="Abadi"/>
          <w:b w:val="0"/>
          <w:bCs w:val="0"/>
          <w:sz w:val="21"/>
          <w:szCs w:val="21"/>
        </w:rPr>
        <w:t>III</w:t>
      </w:r>
      <w:r w:rsidR="00374A1E" w:rsidRPr="007C2763">
        <w:rPr>
          <w:rFonts w:ascii="Abadi" w:hAnsi="Abadi"/>
          <w:b w:val="0"/>
          <w:bCs w:val="0"/>
          <w:sz w:val="21"/>
          <w:szCs w:val="21"/>
        </w:rPr>
        <w:t>.</w:t>
      </w:r>
      <w:r w:rsidR="00374A1E" w:rsidRPr="007C2763">
        <w:rPr>
          <w:rFonts w:ascii="Abadi" w:hAnsi="Abadi"/>
          <w:b w:val="0"/>
          <w:bCs w:val="0"/>
          <w:spacing w:val="14"/>
          <w:sz w:val="21"/>
          <w:szCs w:val="21"/>
        </w:rPr>
        <w:t xml:space="preserve"> </w:t>
      </w:r>
      <w:r w:rsidR="00374A1E" w:rsidRPr="007C2763">
        <w:rPr>
          <w:rFonts w:ascii="Abadi" w:hAnsi="Abadi"/>
          <w:b w:val="0"/>
          <w:bCs w:val="0"/>
          <w:sz w:val="21"/>
          <w:szCs w:val="21"/>
        </w:rPr>
        <w:t>Impacto</w:t>
      </w:r>
      <w:r w:rsidR="00374A1E" w:rsidRPr="007C2763">
        <w:rPr>
          <w:rFonts w:ascii="Abadi" w:hAnsi="Abadi"/>
          <w:b w:val="0"/>
          <w:bCs w:val="0"/>
          <w:spacing w:val="6"/>
          <w:sz w:val="21"/>
          <w:szCs w:val="21"/>
        </w:rPr>
        <w:t xml:space="preserve"> </w:t>
      </w:r>
      <w:r w:rsidR="00374A1E" w:rsidRPr="007C2763">
        <w:rPr>
          <w:rFonts w:ascii="Abadi" w:hAnsi="Abadi"/>
          <w:b w:val="0"/>
          <w:bCs w:val="0"/>
          <w:sz w:val="21"/>
          <w:szCs w:val="21"/>
        </w:rPr>
        <w:t>presupuestario:</w:t>
      </w:r>
      <w:r w:rsidR="00374A1E" w:rsidRPr="007C2763">
        <w:rPr>
          <w:rFonts w:ascii="Abadi" w:hAnsi="Abadi"/>
          <w:b w:val="0"/>
          <w:bCs w:val="0"/>
          <w:spacing w:val="7"/>
          <w:sz w:val="21"/>
          <w:szCs w:val="21"/>
        </w:rPr>
        <w:t xml:space="preserve"> </w:t>
      </w:r>
      <w:r w:rsidR="00374A1E" w:rsidRPr="007C2763">
        <w:rPr>
          <w:rFonts w:ascii="Abadi" w:hAnsi="Abadi"/>
          <w:b w:val="0"/>
          <w:bCs w:val="0"/>
          <w:sz w:val="21"/>
          <w:szCs w:val="21"/>
        </w:rPr>
        <w:t>De</w:t>
      </w:r>
      <w:r w:rsidR="00374A1E" w:rsidRPr="007C2763">
        <w:rPr>
          <w:rFonts w:ascii="Abadi" w:hAnsi="Abadi"/>
          <w:b w:val="0"/>
          <w:bCs w:val="0"/>
          <w:spacing w:val="6"/>
          <w:sz w:val="21"/>
          <w:szCs w:val="21"/>
        </w:rPr>
        <w:t xml:space="preserve"> </w:t>
      </w:r>
      <w:r w:rsidR="00374A1E" w:rsidRPr="007C2763">
        <w:rPr>
          <w:rFonts w:ascii="Abadi" w:hAnsi="Abadi"/>
          <w:b w:val="0"/>
          <w:bCs w:val="0"/>
          <w:sz w:val="21"/>
          <w:szCs w:val="21"/>
        </w:rPr>
        <w:t>la</w:t>
      </w:r>
      <w:r w:rsidR="00374A1E" w:rsidRPr="007C2763">
        <w:rPr>
          <w:rFonts w:ascii="Abadi" w:hAnsi="Abadi"/>
          <w:b w:val="0"/>
          <w:bCs w:val="0"/>
          <w:spacing w:val="8"/>
          <w:sz w:val="21"/>
          <w:szCs w:val="21"/>
        </w:rPr>
        <w:t xml:space="preserve"> </w:t>
      </w:r>
      <w:r w:rsidR="00374A1E" w:rsidRPr="007C2763">
        <w:rPr>
          <w:rFonts w:ascii="Abadi" w:hAnsi="Abadi"/>
          <w:b w:val="0"/>
          <w:bCs w:val="0"/>
          <w:sz w:val="21"/>
          <w:szCs w:val="21"/>
        </w:rPr>
        <w:t>presente</w:t>
      </w:r>
      <w:r w:rsidR="00374A1E" w:rsidRPr="007C2763">
        <w:rPr>
          <w:rFonts w:ascii="Abadi" w:hAnsi="Abadi"/>
          <w:b w:val="0"/>
          <w:bCs w:val="0"/>
          <w:spacing w:val="6"/>
          <w:sz w:val="21"/>
          <w:szCs w:val="21"/>
        </w:rPr>
        <w:t xml:space="preserve"> </w:t>
      </w:r>
      <w:r w:rsidR="00374A1E" w:rsidRPr="007C2763">
        <w:rPr>
          <w:rFonts w:ascii="Abadi" w:hAnsi="Abadi"/>
          <w:b w:val="0"/>
          <w:bCs w:val="0"/>
          <w:sz w:val="21"/>
          <w:szCs w:val="21"/>
        </w:rPr>
        <w:t>propuesta</w:t>
      </w:r>
      <w:r w:rsidR="00374A1E" w:rsidRPr="007C2763">
        <w:rPr>
          <w:rFonts w:ascii="Abadi" w:hAnsi="Abadi"/>
          <w:b w:val="0"/>
          <w:bCs w:val="0"/>
          <w:spacing w:val="6"/>
          <w:sz w:val="21"/>
          <w:szCs w:val="21"/>
        </w:rPr>
        <w:t xml:space="preserve"> </w:t>
      </w:r>
      <w:r w:rsidR="00374A1E" w:rsidRPr="007C2763">
        <w:rPr>
          <w:rFonts w:ascii="Abadi" w:hAnsi="Abadi"/>
          <w:b w:val="0"/>
          <w:bCs w:val="0"/>
          <w:sz w:val="21"/>
          <w:szCs w:val="21"/>
        </w:rPr>
        <w:t>no</w:t>
      </w:r>
      <w:r w:rsidR="00374A1E" w:rsidRPr="007C2763">
        <w:rPr>
          <w:rFonts w:ascii="Abadi" w:hAnsi="Abadi"/>
          <w:b w:val="0"/>
          <w:bCs w:val="0"/>
          <w:spacing w:val="6"/>
          <w:sz w:val="21"/>
          <w:szCs w:val="21"/>
        </w:rPr>
        <w:t xml:space="preserve"> </w:t>
      </w:r>
      <w:r w:rsidR="00374A1E" w:rsidRPr="007C2763">
        <w:rPr>
          <w:rFonts w:ascii="Abadi" w:hAnsi="Abadi"/>
          <w:b w:val="0"/>
          <w:bCs w:val="0"/>
          <w:sz w:val="21"/>
          <w:szCs w:val="21"/>
        </w:rPr>
        <w:t>se</w:t>
      </w:r>
      <w:r w:rsidR="00374A1E" w:rsidRPr="007C2763">
        <w:rPr>
          <w:rFonts w:ascii="Abadi" w:hAnsi="Abadi"/>
          <w:b w:val="0"/>
          <w:bCs w:val="0"/>
          <w:spacing w:val="6"/>
          <w:sz w:val="21"/>
          <w:szCs w:val="21"/>
        </w:rPr>
        <w:t xml:space="preserve"> </w:t>
      </w:r>
      <w:r w:rsidR="00374A1E" w:rsidRPr="007C2763">
        <w:rPr>
          <w:rFonts w:ascii="Abadi" w:hAnsi="Abadi"/>
          <w:b w:val="0"/>
          <w:bCs w:val="0"/>
          <w:sz w:val="21"/>
          <w:szCs w:val="21"/>
        </w:rPr>
        <w:t>advierte</w:t>
      </w:r>
      <w:r w:rsidR="00374A1E" w:rsidRPr="007C2763">
        <w:rPr>
          <w:rFonts w:ascii="Abadi" w:hAnsi="Abadi"/>
          <w:b w:val="0"/>
          <w:bCs w:val="0"/>
          <w:spacing w:val="8"/>
          <w:sz w:val="21"/>
          <w:szCs w:val="21"/>
        </w:rPr>
        <w:t xml:space="preserve"> </w:t>
      </w:r>
      <w:r w:rsidR="00374A1E" w:rsidRPr="007C2763">
        <w:rPr>
          <w:rFonts w:ascii="Abadi" w:hAnsi="Abadi"/>
          <w:b w:val="0"/>
          <w:bCs w:val="0"/>
          <w:sz w:val="21"/>
          <w:szCs w:val="21"/>
        </w:rPr>
        <w:t>un</w:t>
      </w:r>
      <w:r w:rsidR="00374A1E" w:rsidRPr="007C2763">
        <w:rPr>
          <w:rFonts w:ascii="Abadi" w:hAnsi="Abadi"/>
          <w:b w:val="0"/>
          <w:bCs w:val="0"/>
          <w:spacing w:val="8"/>
          <w:sz w:val="21"/>
          <w:szCs w:val="21"/>
        </w:rPr>
        <w:t xml:space="preserve"> </w:t>
      </w:r>
      <w:r w:rsidR="00374A1E" w:rsidRPr="007C2763">
        <w:rPr>
          <w:rFonts w:ascii="Abadi" w:hAnsi="Abadi"/>
          <w:b w:val="0"/>
          <w:bCs w:val="0"/>
          <w:sz w:val="21"/>
          <w:szCs w:val="21"/>
        </w:rPr>
        <w:t>impacto presupuesta</w:t>
      </w:r>
      <w:r w:rsidR="006334E0">
        <w:rPr>
          <w:rFonts w:ascii="Abadi" w:hAnsi="Abadi"/>
          <w:b w:val="0"/>
          <w:bCs w:val="0"/>
          <w:sz w:val="21"/>
          <w:szCs w:val="21"/>
        </w:rPr>
        <w:t>l</w:t>
      </w:r>
      <w:r w:rsidR="00374A1E" w:rsidRPr="007C2763">
        <w:rPr>
          <w:rFonts w:ascii="Abadi" w:hAnsi="Abadi"/>
          <w:b w:val="0"/>
          <w:bCs w:val="0"/>
          <w:sz w:val="21"/>
          <w:szCs w:val="21"/>
        </w:rPr>
        <w:t>,</w:t>
      </w:r>
      <w:r w:rsidR="00374A1E" w:rsidRPr="007C2763">
        <w:rPr>
          <w:rFonts w:ascii="Abadi" w:hAnsi="Abadi"/>
          <w:b w:val="0"/>
          <w:bCs w:val="0"/>
          <w:spacing w:val="34"/>
          <w:sz w:val="21"/>
          <w:szCs w:val="21"/>
        </w:rPr>
        <w:t xml:space="preserve"> </w:t>
      </w:r>
      <w:r w:rsidR="00374A1E" w:rsidRPr="007C2763">
        <w:rPr>
          <w:rFonts w:ascii="Abadi" w:hAnsi="Abadi"/>
          <w:b w:val="0"/>
          <w:bCs w:val="0"/>
          <w:sz w:val="21"/>
          <w:szCs w:val="21"/>
        </w:rPr>
        <w:t>ya</w:t>
      </w:r>
      <w:r w:rsidR="00374A1E" w:rsidRPr="007C2763">
        <w:rPr>
          <w:rFonts w:ascii="Abadi" w:hAnsi="Abadi"/>
          <w:b w:val="0"/>
          <w:bCs w:val="0"/>
          <w:spacing w:val="35"/>
          <w:sz w:val="21"/>
          <w:szCs w:val="21"/>
        </w:rPr>
        <w:t xml:space="preserve"> </w:t>
      </w:r>
      <w:r w:rsidR="00374A1E" w:rsidRPr="007C2763">
        <w:rPr>
          <w:rFonts w:ascii="Abadi" w:hAnsi="Abadi"/>
          <w:b w:val="0"/>
          <w:bCs w:val="0"/>
          <w:sz w:val="21"/>
          <w:szCs w:val="21"/>
        </w:rPr>
        <w:t>que</w:t>
      </w:r>
      <w:r w:rsidR="00374A1E" w:rsidRPr="007C2763">
        <w:rPr>
          <w:rFonts w:ascii="Abadi" w:hAnsi="Abadi"/>
          <w:b w:val="0"/>
          <w:bCs w:val="0"/>
          <w:spacing w:val="32"/>
          <w:sz w:val="21"/>
          <w:szCs w:val="21"/>
        </w:rPr>
        <w:t xml:space="preserve"> </w:t>
      </w:r>
      <w:r w:rsidR="00374A1E" w:rsidRPr="007C2763">
        <w:rPr>
          <w:rFonts w:ascii="Abadi" w:hAnsi="Abadi"/>
          <w:b w:val="0"/>
          <w:bCs w:val="0"/>
          <w:sz w:val="21"/>
          <w:szCs w:val="21"/>
        </w:rPr>
        <w:t>su</w:t>
      </w:r>
      <w:r w:rsidR="00374A1E" w:rsidRPr="007C2763">
        <w:rPr>
          <w:rFonts w:ascii="Abadi" w:hAnsi="Abadi"/>
          <w:b w:val="0"/>
          <w:bCs w:val="0"/>
          <w:spacing w:val="34"/>
          <w:sz w:val="21"/>
          <w:szCs w:val="21"/>
        </w:rPr>
        <w:t xml:space="preserve"> </w:t>
      </w:r>
      <w:r w:rsidR="00374A1E" w:rsidRPr="007C2763">
        <w:rPr>
          <w:rFonts w:ascii="Abadi" w:hAnsi="Abadi"/>
          <w:b w:val="0"/>
          <w:bCs w:val="0"/>
          <w:sz w:val="21"/>
          <w:szCs w:val="21"/>
        </w:rPr>
        <w:t>implementación</w:t>
      </w:r>
      <w:r w:rsidR="00374A1E" w:rsidRPr="007C2763">
        <w:rPr>
          <w:rFonts w:ascii="Abadi" w:hAnsi="Abadi"/>
          <w:b w:val="0"/>
          <w:bCs w:val="0"/>
          <w:spacing w:val="35"/>
          <w:sz w:val="21"/>
          <w:szCs w:val="21"/>
        </w:rPr>
        <w:t xml:space="preserve"> </w:t>
      </w:r>
      <w:r w:rsidR="00374A1E" w:rsidRPr="007C2763">
        <w:rPr>
          <w:rFonts w:ascii="Abadi" w:hAnsi="Abadi"/>
          <w:b w:val="0"/>
          <w:bCs w:val="0"/>
          <w:sz w:val="21"/>
          <w:szCs w:val="21"/>
        </w:rPr>
        <w:t>no</w:t>
      </w:r>
      <w:r w:rsidR="00374A1E" w:rsidRPr="007C2763">
        <w:rPr>
          <w:rFonts w:ascii="Abadi" w:hAnsi="Abadi"/>
          <w:b w:val="0"/>
          <w:bCs w:val="0"/>
          <w:spacing w:val="32"/>
          <w:sz w:val="21"/>
          <w:szCs w:val="21"/>
        </w:rPr>
        <w:t xml:space="preserve"> </w:t>
      </w:r>
      <w:r w:rsidR="00374A1E" w:rsidRPr="007C2763">
        <w:rPr>
          <w:rFonts w:ascii="Abadi" w:hAnsi="Abadi"/>
          <w:b w:val="0"/>
          <w:bCs w:val="0"/>
          <w:sz w:val="21"/>
          <w:szCs w:val="21"/>
        </w:rPr>
        <w:t>trasciende</w:t>
      </w:r>
      <w:r w:rsidR="00374A1E" w:rsidRPr="007C2763">
        <w:rPr>
          <w:rFonts w:ascii="Abadi" w:hAnsi="Abadi"/>
          <w:b w:val="0"/>
          <w:bCs w:val="0"/>
          <w:spacing w:val="32"/>
          <w:sz w:val="21"/>
          <w:szCs w:val="21"/>
        </w:rPr>
        <w:t xml:space="preserve"> </w:t>
      </w:r>
      <w:r w:rsidR="00374A1E" w:rsidRPr="007C2763">
        <w:rPr>
          <w:rFonts w:ascii="Abadi" w:hAnsi="Abadi"/>
          <w:b w:val="0"/>
          <w:bCs w:val="0"/>
          <w:sz w:val="21"/>
          <w:szCs w:val="21"/>
        </w:rPr>
        <w:t>en</w:t>
      </w:r>
      <w:r w:rsidR="00374A1E" w:rsidRPr="007C2763">
        <w:rPr>
          <w:rFonts w:ascii="Abadi" w:hAnsi="Abadi"/>
          <w:b w:val="0"/>
          <w:bCs w:val="0"/>
          <w:spacing w:val="35"/>
          <w:sz w:val="21"/>
          <w:szCs w:val="21"/>
        </w:rPr>
        <w:t xml:space="preserve"> </w:t>
      </w:r>
      <w:r w:rsidR="00374A1E" w:rsidRPr="007C2763">
        <w:rPr>
          <w:rFonts w:ascii="Abadi" w:hAnsi="Abadi"/>
          <w:b w:val="0"/>
          <w:bCs w:val="0"/>
          <w:sz w:val="21"/>
          <w:szCs w:val="21"/>
        </w:rPr>
        <w:t>la</w:t>
      </w:r>
      <w:r w:rsidR="00374A1E" w:rsidRPr="007C2763">
        <w:rPr>
          <w:rFonts w:ascii="Abadi" w:hAnsi="Abadi"/>
          <w:b w:val="0"/>
          <w:bCs w:val="0"/>
          <w:spacing w:val="34"/>
          <w:sz w:val="21"/>
          <w:szCs w:val="21"/>
        </w:rPr>
        <w:t xml:space="preserve"> </w:t>
      </w:r>
      <w:r w:rsidR="00374A1E" w:rsidRPr="007C2763">
        <w:rPr>
          <w:rFonts w:ascii="Abadi" w:hAnsi="Abadi"/>
          <w:b w:val="0"/>
          <w:bCs w:val="0"/>
          <w:sz w:val="21"/>
          <w:szCs w:val="21"/>
        </w:rPr>
        <w:t>generación</w:t>
      </w:r>
      <w:r w:rsidR="00374A1E" w:rsidRPr="007C2763">
        <w:rPr>
          <w:rFonts w:ascii="Abadi" w:hAnsi="Abadi"/>
          <w:b w:val="0"/>
          <w:bCs w:val="0"/>
          <w:spacing w:val="35"/>
          <w:sz w:val="21"/>
          <w:szCs w:val="21"/>
        </w:rPr>
        <w:t xml:space="preserve"> </w:t>
      </w:r>
      <w:r w:rsidR="00374A1E" w:rsidRPr="007C2763">
        <w:rPr>
          <w:rFonts w:ascii="Abadi" w:hAnsi="Abadi"/>
          <w:b w:val="0"/>
          <w:bCs w:val="0"/>
          <w:sz w:val="21"/>
          <w:szCs w:val="21"/>
        </w:rPr>
        <w:t>de</w:t>
      </w:r>
      <w:r w:rsidR="00374A1E" w:rsidRPr="007C2763">
        <w:rPr>
          <w:rFonts w:ascii="Abadi" w:hAnsi="Abadi"/>
          <w:b w:val="0"/>
          <w:bCs w:val="0"/>
          <w:spacing w:val="35"/>
          <w:sz w:val="21"/>
          <w:szCs w:val="21"/>
        </w:rPr>
        <w:t xml:space="preserve"> </w:t>
      </w:r>
      <w:r w:rsidR="00374A1E" w:rsidRPr="007C2763">
        <w:rPr>
          <w:rFonts w:ascii="Abadi" w:hAnsi="Abadi"/>
          <w:b w:val="0"/>
          <w:bCs w:val="0"/>
          <w:sz w:val="21"/>
          <w:szCs w:val="21"/>
        </w:rPr>
        <w:t>una nueva</w:t>
      </w:r>
      <w:r w:rsidR="00374A1E" w:rsidRPr="007C2763">
        <w:rPr>
          <w:rFonts w:ascii="Abadi" w:hAnsi="Abadi"/>
          <w:b w:val="0"/>
          <w:bCs w:val="0"/>
          <w:spacing w:val="23"/>
          <w:sz w:val="21"/>
          <w:szCs w:val="21"/>
        </w:rPr>
        <w:t xml:space="preserve"> </w:t>
      </w:r>
      <w:r w:rsidR="00374A1E" w:rsidRPr="007C2763">
        <w:rPr>
          <w:rFonts w:ascii="Abadi" w:hAnsi="Abadi"/>
          <w:b w:val="0"/>
          <w:bCs w:val="0"/>
          <w:sz w:val="21"/>
          <w:szCs w:val="21"/>
        </w:rPr>
        <w:t>estructura</w:t>
      </w:r>
      <w:r w:rsidR="00374A1E" w:rsidRPr="007C2763">
        <w:rPr>
          <w:rFonts w:ascii="Abadi" w:hAnsi="Abadi"/>
          <w:b w:val="0"/>
          <w:bCs w:val="0"/>
          <w:spacing w:val="23"/>
          <w:sz w:val="21"/>
          <w:szCs w:val="21"/>
        </w:rPr>
        <w:t xml:space="preserve"> </w:t>
      </w:r>
      <w:r w:rsidR="00374A1E" w:rsidRPr="007C2763">
        <w:rPr>
          <w:rFonts w:ascii="Abadi" w:hAnsi="Abadi"/>
          <w:b w:val="0"/>
          <w:bCs w:val="0"/>
          <w:sz w:val="21"/>
          <w:szCs w:val="21"/>
        </w:rPr>
        <w:t>administrativa,</w:t>
      </w:r>
      <w:r w:rsidR="00374A1E" w:rsidRPr="007C2763">
        <w:rPr>
          <w:rFonts w:ascii="Abadi" w:hAnsi="Abadi"/>
          <w:b w:val="0"/>
          <w:bCs w:val="0"/>
          <w:spacing w:val="22"/>
          <w:sz w:val="21"/>
          <w:szCs w:val="21"/>
        </w:rPr>
        <w:t xml:space="preserve"> </w:t>
      </w:r>
      <w:r w:rsidR="00374A1E" w:rsidRPr="007C2763">
        <w:rPr>
          <w:rFonts w:ascii="Abadi" w:hAnsi="Abadi"/>
          <w:b w:val="0"/>
          <w:bCs w:val="0"/>
          <w:sz w:val="21"/>
          <w:szCs w:val="21"/>
        </w:rPr>
        <w:t>toda</w:t>
      </w:r>
      <w:r w:rsidR="00374A1E" w:rsidRPr="007C2763">
        <w:rPr>
          <w:rFonts w:ascii="Abadi" w:hAnsi="Abadi"/>
          <w:b w:val="0"/>
          <w:bCs w:val="0"/>
          <w:spacing w:val="23"/>
          <w:sz w:val="21"/>
          <w:szCs w:val="21"/>
        </w:rPr>
        <w:t xml:space="preserve"> </w:t>
      </w:r>
      <w:r w:rsidR="00374A1E" w:rsidRPr="007C2763">
        <w:rPr>
          <w:rFonts w:ascii="Abadi" w:hAnsi="Abadi"/>
          <w:b w:val="0"/>
          <w:bCs w:val="0"/>
          <w:sz w:val="21"/>
          <w:szCs w:val="21"/>
        </w:rPr>
        <w:t>vez</w:t>
      </w:r>
      <w:r w:rsidR="00374A1E" w:rsidRPr="007C2763">
        <w:rPr>
          <w:rFonts w:ascii="Abadi" w:hAnsi="Abadi"/>
          <w:b w:val="0"/>
          <w:bCs w:val="0"/>
          <w:spacing w:val="22"/>
          <w:sz w:val="21"/>
          <w:szCs w:val="21"/>
        </w:rPr>
        <w:t xml:space="preserve"> </w:t>
      </w:r>
      <w:r w:rsidR="00374A1E" w:rsidRPr="007C2763">
        <w:rPr>
          <w:rFonts w:ascii="Abadi" w:hAnsi="Abadi"/>
          <w:b w:val="0"/>
          <w:bCs w:val="0"/>
          <w:sz w:val="21"/>
          <w:szCs w:val="21"/>
        </w:rPr>
        <w:t>que</w:t>
      </w:r>
      <w:r w:rsidR="00374A1E" w:rsidRPr="007C2763">
        <w:rPr>
          <w:rFonts w:ascii="Abadi" w:hAnsi="Abadi"/>
          <w:b w:val="0"/>
          <w:bCs w:val="0"/>
          <w:spacing w:val="23"/>
          <w:sz w:val="21"/>
          <w:szCs w:val="21"/>
        </w:rPr>
        <w:t xml:space="preserve"> </w:t>
      </w:r>
      <w:r w:rsidR="00374A1E" w:rsidRPr="007C2763">
        <w:rPr>
          <w:rFonts w:ascii="Abadi" w:hAnsi="Abadi"/>
          <w:b w:val="0"/>
          <w:bCs w:val="0"/>
          <w:sz w:val="21"/>
          <w:szCs w:val="21"/>
        </w:rPr>
        <w:t>no</w:t>
      </w:r>
      <w:r w:rsidR="00374A1E" w:rsidRPr="007C2763">
        <w:rPr>
          <w:rFonts w:ascii="Abadi" w:hAnsi="Abadi"/>
          <w:b w:val="0"/>
          <w:bCs w:val="0"/>
          <w:spacing w:val="23"/>
          <w:sz w:val="21"/>
          <w:szCs w:val="21"/>
        </w:rPr>
        <w:t xml:space="preserve"> </w:t>
      </w:r>
      <w:r w:rsidR="00374A1E" w:rsidRPr="007C2763">
        <w:rPr>
          <w:rFonts w:ascii="Abadi" w:hAnsi="Abadi"/>
          <w:b w:val="0"/>
          <w:bCs w:val="0"/>
          <w:sz w:val="21"/>
          <w:szCs w:val="21"/>
        </w:rPr>
        <w:t>implica</w:t>
      </w:r>
      <w:r w:rsidR="00374A1E" w:rsidRPr="007C2763">
        <w:rPr>
          <w:rFonts w:ascii="Abadi" w:hAnsi="Abadi"/>
          <w:b w:val="0"/>
          <w:bCs w:val="0"/>
          <w:spacing w:val="23"/>
          <w:sz w:val="21"/>
          <w:szCs w:val="21"/>
        </w:rPr>
        <w:t xml:space="preserve"> </w:t>
      </w:r>
      <w:r w:rsidR="00374A1E" w:rsidRPr="007C2763">
        <w:rPr>
          <w:rFonts w:ascii="Abadi" w:hAnsi="Abadi"/>
          <w:b w:val="0"/>
          <w:bCs w:val="0"/>
          <w:sz w:val="21"/>
          <w:szCs w:val="21"/>
        </w:rPr>
        <w:t>la</w:t>
      </w:r>
      <w:r w:rsidR="00374A1E" w:rsidRPr="007C2763">
        <w:rPr>
          <w:rFonts w:ascii="Abadi" w:hAnsi="Abadi"/>
          <w:b w:val="0"/>
          <w:bCs w:val="0"/>
          <w:spacing w:val="23"/>
          <w:sz w:val="21"/>
          <w:szCs w:val="21"/>
        </w:rPr>
        <w:t xml:space="preserve"> </w:t>
      </w:r>
      <w:r w:rsidR="00374A1E" w:rsidRPr="007C2763">
        <w:rPr>
          <w:rFonts w:ascii="Abadi" w:hAnsi="Abadi"/>
          <w:b w:val="0"/>
          <w:bCs w:val="0"/>
          <w:sz w:val="21"/>
          <w:szCs w:val="21"/>
        </w:rPr>
        <w:t>generación</w:t>
      </w:r>
      <w:r w:rsidR="00374A1E" w:rsidRPr="007C2763">
        <w:rPr>
          <w:rFonts w:ascii="Abadi" w:hAnsi="Abadi"/>
          <w:b w:val="0"/>
          <w:bCs w:val="0"/>
          <w:spacing w:val="23"/>
          <w:sz w:val="21"/>
          <w:szCs w:val="21"/>
        </w:rPr>
        <w:t xml:space="preserve"> </w:t>
      </w:r>
      <w:r w:rsidR="00374A1E" w:rsidRPr="007C2763">
        <w:rPr>
          <w:rFonts w:ascii="Abadi" w:hAnsi="Abadi"/>
          <w:b w:val="0"/>
          <w:bCs w:val="0"/>
          <w:sz w:val="21"/>
          <w:szCs w:val="21"/>
        </w:rPr>
        <w:t>de</w:t>
      </w:r>
      <w:r w:rsidR="00374A1E" w:rsidRPr="007C2763">
        <w:rPr>
          <w:rFonts w:ascii="Abadi" w:hAnsi="Abadi"/>
          <w:b w:val="0"/>
          <w:bCs w:val="0"/>
          <w:spacing w:val="23"/>
          <w:sz w:val="21"/>
          <w:szCs w:val="21"/>
        </w:rPr>
        <w:t xml:space="preserve"> </w:t>
      </w:r>
      <w:r w:rsidR="00374A1E" w:rsidRPr="007C2763">
        <w:rPr>
          <w:rFonts w:ascii="Abadi" w:hAnsi="Abadi"/>
          <w:b w:val="0"/>
          <w:bCs w:val="0"/>
          <w:sz w:val="21"/>
          <w:szCs w:val="21"/>
        </w:rPr>
        <w:t>plazas</w:t>
      </w:r>
      <w:r w:rsidR="00670A2F">
        <w:rPr>
          <w:rFonts w:ascii="Abadi" w:hAnsi="Abadi"/>
          <w:b w:val="0"/>
          <w:bCs w:val="0"/>
          <w:sz w:val="21"/>
          <w:szCs w:val="21"/>
        </w:rPr>
        <w:t xml:space="preserve"> </w:t>
      </w:r>
      <w:r w:rsidR="00374A1E" w:rsidRPr="007C2763">
        <w:rPr>
          <w:rFonts w:ascii="Abadi" w:hAnsi="Abadi"/>
          <w:b w:val="0"/>
          <w:bCs w:val="0"/>
          <w:sz w:val="21"/>
          <w:szCs w:val="21"/>
        </w:rPr>
        <w:t>ni erogaciones no</w:t>
      </w:r>
      <w:r w:rsidR="00374A1E" w:rsidRPr="007C2763">
        <w:rPr>
          <w:rFonts w:ascii="Abadi" w:hAnsi="Abadi"/>
          <w:b w:val="0"/>
          <w:bCs w:val="0"/>
          <w:spacing w:val="-1"/>
          <w:sz w:val="21"/>
          <w:szCs w:val="21"/>
        </w:rPr>
        <w:t xml:space="preserve"> </w:t>
      </w:r>
      <w:r w:rsidR="00374A1E" w:rsidRPr="007C2763">
        <w:rPr>
          <w:rFonts w:ascii="Abadi" w:hAnsi="Abadi"/>
          <w:b w:val="0"/>
          <w:bCs w:val="0"/>
          <w:sz w:val="21"/>
          <w:szCs w:val="21"/>
        </w:rPr>
        <w:t>previstas.</w:t>
      </w:r>
    </w:p>
    <w:p w14:paraId="698CB96E" w14:textId="77777777" w:rsidR="00374A1E" w:rsidRPr="007C2763" w:rsidRDefault="00374A1E" w:rsidP="00374A1E">
      <w:pPr>
        <w:kinsoku w:val="0"/>
        <w:overflowPunct w:val="0"/>
        <w:autoSpaceDE w:val="0"/>
        <w:autoSpaceDN w:val="0"/>
        <w:adjustRightInd w:val="0"/>
        <w:ind w:left="39"/>
        <w:jc w:val="both"/>
        <w:rPr>
          <w:rFonts w:ascii="Abadi" w:hAnsi="Abadi" w:cs="Arial"/>
          <w:sz w:val="21"/>
          <w:szCs w:val="21"/>
        </w:rPr>
      </w:pPr>
    </w:p>
    <w:p w14:paraId="56B28F5F" w14:textId="12285054" w:rsidR="00374A1E" w:rsidRPr="007C2763" w:rsidRDefault="0050195B" w:rsidP="0050195B">
      <w:pPr>
        <w:tabs>
          <w:tab w:val="left" w:pos="465"/>
        </w:tabs>
        <w:kinsoku w:val="0"/>
        <w:overflowPunct w:val="0"/>
        <w:autoSpaceDE w:val="0"/>
        <w:autoSpaceDN w:val="0"/>
        <w:adjustRightInd w:val="0"/>
        <w:ind w:right="117"/>
        <w:jc w:val="both"/>
        <w:rPr>
          <w:rFonts w:ascii="Abadi" w:hAnsi="Abadi" w:cs="Arial"/>
          <w:i/>
          <w:iCs/>
          <w:sz w:val="21"/>
          <w:szCs w:val="21"/>
        </w:rPr>
      </w:pPr>
      <w:r w:rsidRPr="007C2763">
        <w:rPr>
          <w:rFonts w:ascii="Abadi" w:hAnsi="Abadi" w:cs="Arial"/>
          <w:i/>
          <w:iCs/>
          <w:sz w:val="21"/>
          <w:szCs w:val="21"/>
        </w:rPr>
        <w:t xml:space="preserve">IV. </w:t>
      </w:r>
      <w:r w:rsidR="00374A1E" w:rsidRPr="007C2763">
        <w:rPr>
          <w:rFonts w:ascii="Abadi" w:hAnsi="Abadi" w:cs="Arial"/>
          <w:i/>
          <w:iCs/>
          <w:sz w:val="21"/>
          <w:szCs w:val="21"/>
        </w:rPr>
        <w:t>Impacto</w:t>
      </w:r>
      <w:r w:rsidR="00374A1E" w:rsidRPr="007C2763">
        <w:rPr>
          <w:rFonts w:ascii="Abadi" w:hAnsi="Abadi" w:cs="Arial"/>
          <w:i/>
          <w:iCs/>
          <w:spacing w:val="1"/>
          <w:sz w:val="21"/>
          <w:szCs w:val="21"/>
        </w:rPr>
        <w:t xml:space="preserve"> </w:t>
      </w:r>
      <w:r w:rsidR="00374A1E" w:rsidRPr="007C2763">
        <w:rPr>
          <w:rFonts w:ascii="Abadi" w:hAnsi="Abadi" w:cs="Arial"/>
          <w:i/>
          <w:iCs/>
          <w:sz w:val="21"/>
          <w:szCs w:val="21"/>
        </w:rPr>
        <w:t>social:</w:t>
      </w:r>
      <w:r w:rsidR="00374A1E" w:rsidRPr="007C2763">
        <w:rPr>
          <w:rFonts w:ascii="Abadi" w:hAnsi="Abadi" w:cs="Arial"/>
          <w:i/>
          <w:iCs/>
          <w:spacing w:val="-2"/>
          <w:sz w:val="21"/>
          <w:szCs w:val="21"/>
        </w:rPr>
        <w:t xml:space="preserve"> </w:t>
      </w:r>
      <w:r w:rsidR="00374A1E" w:rsidRPr="007C2763">
        <w:rPr>
          <w:rFonts w:ascii="Abadi" w:hAnsi="Abadi" w:cs="Arial"/>
          <w:i/>
          <w:iCs/>
          <w:sz w:val="21"/>
          <w:szCs w:val="21"/>
        </w:rPr>
        <w:t>La</w:t>
      </w:r>
      <w:r w:rsidR="00374A1E" w:rsidRPr="007C2763">
        <w:rPr>
          <w:rFonts w:ascii="Abadi" w:hAnsi="Abadi" w:cs="Arial"/>
          <w:i/>
          <w:iCs/>
          <w:spacing w:val="-2"/>
          <w:sz w:val="21"/>
          <w:szCs w:val="21"/>
        </w:rPr>
        <w:t xml:space="preserve"> </w:t>
      </w:r>
      <w:r w:rsidR="00374A1E" w:rsidRPr="007C2763">
        <w:rPr>
          <w:rFonts w:ascii="Abadi" w:hAnsi="Abadi" w:cs="Arial"/>
          <w:i/>
          <w:iCs/>
          <w:sz w:val="21"/>
          <w:szCs w:val="21"/>
        </w:rPr>
        <w:t>presente</w:t>
      </w:r>
      <w:r w:rsidR="00374A1E" w:rsidRPr="007C2763">
        <w:rPr>
          <w:rFonts w:ascii="Abadi" w:hAnsi="Abadi" w:cs="Arial"/>
          <w:i/>
          <w:iCs/>
          <w:spacing w:val="1"/>
          <w:sz w:val="21"/>
          <w:szCs w:val="21"/>
        </w:rPr>
        <w:t xml:space="preserve"> </w:t>
      </w:r>
      <w:r w:rsidR="00374A1E" w:rsidRPr="007C2763">
        <w:rPr>
          <w:rFonts w:ascii="Abadi" w:hAnsi="Abadi" w:cs="Arial"/>
          <w:i/>
          <w:iCs/>
          <w:sz w:val="21"/>
          <w:szCs w:val="21"/>
        </w:rPr>
        <w:t>iniciativa</w:t>
      </w:r>
      <w:r w:rsidR="00374A1E" w:rsidRPr="007C2763">
        <w:rPr>
          <w:rFonts w:ascii="Abadi" w:hAnsi="Abadi" w:cs="Arial"/>
          <w:i/>
          <w:iCs/>
          <w:spacing w:val="1"/>
          <w:sz w:val="21"/>
          <w:szCs w:val="21"/>
        </w:rPr>
        <w:t xml:space="preserve"> </w:t>
      </w:r>
      <w:r w:rsidR="00374A1E" w:rsidRPr="007C2763">
        <w:rPr>
          <w:rFonts w:ascii="Abadi" w:hAnsi="Abadi" w:cs="Arial"/>
          <w:i/>
          <w:iCs/>
          <w:sz w:val="21"/>
          <w:szCs w:val="21"/>
        </w:rPr>
        <w:t>satisface</w:t>
      </w:r>
      <w:r w:rsidR="00374A1E" w:rsidRPr="007C2763">
        <w:rPr>
          <w:rFonts w:ascii="Abadi" w:hAnsi="Abadi" w:cs="Arial"/>
          <w:i/>
          <w:iCs/>
          <w:spacing w:val="1"/>
          <w:sz w:val="21"/>
          <w:szCs w:val="21"/>
        </w:rPr>
        <w:t xml:space="preserve"> </w:t>
      </w:r>
      <w:r w:rsidR="00374A1E" w:rsidRPr="007C2763">
        <w:rPr>
          <w:rFonts w:ascii="Abadi" w:hAnsi="Abadi" w:cs="Arial"/>
          <w:i/>
          <w:iCs/>
          <w:sz w:val="21"/>
          <w:szCs w:val="21"/>
        </w:rPr>
        <w:t>una</w:t>
      </w:r>
      <w:r w:rsidR="00374A1E" w:rsidRPr="007C2763">
        <w:rPr>
          <w:rFonts w:ascii="Abadi" w:hAnsi="Abadi" w:cs="Arial"/>
          <w:i/>
          <w:iCs/>
          <w:spacing w:val="1"/>
          <w:sz w:val="21"/>
          <w:szCs w:val="21"/>
        </w:rPr>
        <w:t xml:space="preserve"> </w:t>
      </w:r>
      <w:r w:rsidR="00374A1E" w:rsidRPr="007C2763">
        <w:rPr>
          <w:rFonts w:ascii="Abadi" w:hAnsi="Abadi" w:cs="Arial"/>
          <w:i/>
          <w:iCs/>
          <w:sz w:val="21"/>
          <w:szCs w:val="21"/>
        </w:rPr>
        <w:t>pretensión</w:t>
      </w:r>
      <w:r w:rsidR="00374A1E" w:rsidRPr="007C2763">
        <w:rPr>
          <w:rFonts w:ascii="Abadi" w:hAnsi="Abadi" w:cs="Arial"/>
          <w:i/>
          <w:iCs/>
          <w:spacing w:val="1"/>
          <w:sz w:val="21"/>
          <w:szCs w:val="21"/>
        </w:rPr>
        <w:t xml:space="preserve"> </w:t>
      </w:r>
      <w:r w:rsidR="00374A1E" w:rsidRPr="007C2763">
        <w:rPr>
          <w:rFonts w:ascii="Abadi" w:hAnsi="Abadi" w:cs="Arial"/>
          <w:i/>
          <w:iCs/>
          <w:sz w:val="21"/>
          <w:szCs w:val="21"/>
        </w:rPr>
        <w:t>de</w:t>
      </w:r>
      <w:r w:rsidR="00374A1E" w:rsidRPr="007C2763">
        <w:rPr>
          <w:rFonts w:ascii="Abadi" w:hAnsi="Abadi" w:cs="Arial"/>
          <w:i/>
          <w:iCs/>
          <w:spacing w:val="1"/>
          <w:sz w:val="21"/>
          <w:szCs w:val="21"/>
        </w:rPr>
        <w:t xml:space="preserve"> </w:t>
      </w:r>
      <w:r w:rsidR="00374A1E" w:rsidRPr="007C2763">
        <w:rPr>
          <w:rFonts w:ascii="Abadi" w:hAnsi="Abadi" w:cs="Arial"/>
          <w:i/>
          <w:iCs/>
          <w:sz w:val="21"/>
          <w:szCs w:val="21"/>
        </w:rPr>
        <w:t>los habitantes del</w:t>
      </w:r>
      <w:r w:rsidR="00374A1E" w:rsidRPr="007C2763">
        <w:rPr>
          <w:rFonts w:ascii="Abadi" w:hAnsi="Abadi" w:cs="Arial"/>
          <w:i/>
          <w:iCs/>
          <w:spacing w:val="52"/>
          <w:sz w:val="21"/>
          <w:szCs w:val="21"/>
        </w:rPr>
        <w:t xml:space="preserve"> </w:t>
      </w:r>
      <w:r w:rsidR="00374A1E" w:rsidRPr="007C2763">
        <w:rPr>
          <w:rFonts w:ascii="Abadi" w:hAnsi="Abadi" w:cs="Arial"/>
          <w:i/>
          <w:iCs/>
          <w:sz w:val="21"/>
          <w:szCs w:val="21"/>
        </w:rPr>
        <w:t>municipio</w:t>
      </w:r>
      <w:r w:rsidR="00374A1E" w:rsidRPr="007C2763">
        <w:rPr>
          <w:rFonts w:ascii="Abadi" w:hAnsi="Abadi" w:cs="Arial"/>
          <w:i/>
          <w:iCs/>
          <w:spacing w:val="52"/>
          <w:sz w:val="21"/>
          <w:szCs w:val="21"/>
        </w:rPr>
        <w:t xml:space="preserve"> </w:t>
      </w:r>
      <w:r w:rsidR="00374A1E" w:rsidRPr="007C2763">
        <w:rPr>
          <w:rFonts w:ascii="Abadi" w:hAnsi="Abadi" w:cs="Arial"/>
          <w:i/>
          <w:iCs/>
          <w:sz w:val="21"/>
          <w:szCs w:val="21"/>
        </w:rPr>
        <w:t>y</w:t>
      </w:r>
      <w:r w:rsidR="00374A1E" w:rsidRPr="007C2763">
        <w:rPr>
          <w:rFonts w:ascii="Abadi" w:hAnsi="Abadi" w:cs="Arial"/>
          <w:i/>
          <w:iCs/>
          <w:spacing w:val="49"/>
          <w:sz w:val="21"/>
          <w:szCs w:val="21"/>
        </w:rPr>
        <w:t xml:space="preserve"> </w:t>
      </w:r>
      <w:r w:rsidR="00374A1E" w:rsidRPr="007C2763">
        <w:rPr>
          <w:rFonts w:ascii="Abadi" w:hAnsi="Abadi" w:cs="Arial"/>
          <w:i/>
          <w:iCs/>
          <w:sz w:val="21"/>
          <w:szCs w:val="21"/>
        </w:rPr>
        <w:t>fortalecerá</w:t>
      </w:r>
      <w:r w:rsidR="00374A1E" w:rsidRPr="007C2763">
        <w:rPr>
          <w:rFonts w:ascii="Abadi" w:hAnsi="Abadi" w:cs="Arial"/>
          <w:i/>
          <w:iCs/>
          <w:spacing w:val="50"/>
          <w:sz w:val="21"/>
          <w:szCs w:val="21"/>
        </w:rPr>
        <w:t xml:space="preserve"> </w:t>
      </w:r>
      <w:r w:rsidR="00374A1E" w:rsidRPr="007C2763">
        <w:rPr>
          <w:rFonts w:ascii="Abadi" w:hAnsi="Abadi" w:cs="Arial"/>
          <w:i/>
          <w:iCs/>
          <w:sz w:val="21"/>
          <w:szCs w:val="21"/>
        </w:rPr>
        <w:t>el</w:t>
      </w:r>
      <w:r w:rsidR="00374A1E" w:rsidRPr="007C2763">
        <w:rPr>
          <w:rFonts w:ascii="Abadi" w:hAnsi="Abadi" w:cs="Arial"/>
          <w:i/>
          <w:iCs/>
          <w:spacing w:val="51"/>
          <w:sz w:val="21"/>
          <w:szCs w:val="21"/>
        </w:rPr>
        <w:t xml:space="preserve"> </w:t>
      </w:r>
      <w:r w:rsidR="00374A1E" w:rsidRPr="007C2763">
        <w:rPr>
          <w:rFonts w:ascii="Abadi" w:hAnsi="Abadi" w:cs="Arial"/>
          <w:i/>
          <w:iCs/>
          <w:sz w:val="21"/>
          <w:szCs w:val="21"/>
        </w:rPr>
        <w:t>sentido</w:t>
      </w:r>
      <w:r w:rsidR="00374A1E" w:rsidRPr="007C2763">
        <w:rPr>
          <w:rFonts w:ascii="Abadi" w:hAnsi="Abadi" w:cs="Arial"/>
          <w:i/>
          <w:iCs/>
          <w:spacing w:val="52"/>
          <w:sz w:val="21"/>
          <w:szCs w:val="21"/>
        </w:rPr>
        <w:t xml:space="preserve"> </w:t>
      </w:r>
      <w:r w:rsidR="00374A1E" w:rsidRPr="007C2763">
        <w:rPr>
          <w:rFonts w:ascii="Abadi" w:hAnsi="Abadi" w:cs="Arial"/>
          <w:i/>
          <w:iCs/>
          <w:sz w:val="21"/>
          <w:szCs w:val="21"/>
        </w:rPr>
        <w:t>de</w:t>
      </w:r>
      <w:r w:rsidR="00374A1E" w:rsidRPr="007C2763">
        <w:rPr>
          <w:rFonts w:ascii="Abadi" w:hAnsi="Abadi" w:cs="Arial"/>
          <w:i/>
          <w:iCs/>
          <w:spacing w:val="52"/>
          <w:sz w:val="21"/>
          <w:szCs w:val="21"/>
        </w:rPr>
        <w:t xml:space="preserve"> </w:t>
      </w:r>
      <w:r w:rsidR="00374A1E" w:rsidRPr="007C2763">
        <w:rPr>
          <w:rFonts w:ascii="Abadi" w:hAnsi="Abadi" w:cs="Arial"/>
          <w:i/>
          <w:iCs/>
          <w:sz w:val="21"/>
          <w:szCs w:val="21"/>
        </w:rPr>
        <w:t>pertenencia</w:t>
      </w:r>
      <w:r w:rsidR="00374A1E" w:rsidRPr="007C2763">
        <w:rPr>
          <w:rFonts w:ascii="Abadi" w:hAnsi="Abadi" w:cs="Arial"/>
          <w:i/>
          <w:iCs/>
          <w:spacing w:val="50"/>
          <w:sz w:val="21"/>
          <w:szCs w:val="21"/>
        </w:rPr>
        <w:t xml:space="preserve"> </w:t>
      </w:r>
      <w:r w:rsidR="00374A1E" w:rsidRPr="007C2763">
        <w:rPr>
          <w:rFonts w:ascii="Abadi" w:hAnsi="Abadi" w:cs="Arial"/>
          <w:i/>
          <w:iCs/>
          <w:sz w:val="21"/>
          <w:szCs w:val="21"/>
        </w:rPr>
        <w:t>e</w:t>
      </w:r>
      <w:r w:rsidR="00374A1E" w:rsidRPr="007C2763">
        <w:rPr>
          <w:rFonts w:ascii="Abadi" w:hAnsi="Abadi" w:cs="Arial"/>
          <w:i/>
          <w:iCs/>
          <w:spacing w:val="50"/>
          <w:sz w:val="21"/>
          <w:szCs w:val="21"/>
        </w:rPr>
        <w:t xml:space="preserve"> </w:t>
      </w:r>
      <w:r w:rsidR="00374A1E" w:rsidRPr="007C2763">
        <w:rPr>
          <w:rFonts w:ascii="Abadi" w:hAnsi="Abadi" w:cs="Arial"/>
          <w:i/>
          <w:iCs/>
          <w:sz w:val="21"/>
          <w:szCs w:val="21"/>
        </w:rPr>
        <w:t>identidad</w:t>
      </w:r>
      <w:r w:rsidR="00374A1E" w:rsidRPr="007C2763">
        <w:rPr>
          <w:rFonts w:ascii="Abadi" w:hAnsi="Abadi" w:cs="Arial"/>
          <w:i/>
          <w:iCs/>
          <w:spacing w:val="52"/>
          <w:sz w:val="21"/>
          <w:szCs w:val="21"/>
        </w:rPr>
        <w:t xml:space="preserve"> </w:t>
      </w:r>
      <w:r w:rsidR="00374A1E" w:rsidRPr="007C2763">
        <w:rPr>
          <w:rFonts w:ascii="Abadi" w:hAnsi="Abadi" w:cs="Arial"/>
          <w:i/>
          <w:iCs/>
          <w:sz w:val="21"/>
          <w:szCs w:val="21"/>
        </w:rPr>
        <w:t>de</w:t>
      </w:r>
      <w:r w:rsidR="00374A1E" w:rsidRPr="007C2763">
        <w:rPr>
          <w:rFonts w:ascii="Abadi" w:hAnsi="Abadi" w:cs="Arial"/>
          <w:i/>
          <w:iCs/>
          <w:spacing w:val="52"/>
          <w:sz w:val="21"/>
          <w:szCs w:val="21"/>
        </w:rPr>
        <w:t xml:space="preserve"> </w:t>
      </w:r>
      <w:r w:rsidR="00374A1E" w:rsidRPr="007C2763">
        <w:rPr>
          <w:rFonts w:ascii="Abadi" w:hAnsi="Abadi" w:cs="Arial"/>
          <w:i/>
          <w:iCs/>
          <w:sz w:val="21"/>
          <w:szCs w:val="21"/>
        </w:rPr>
        <w:t>sus habitantes&gt;&gt;.</w:t>
      </w:r>
    </w:p>
    <w:p w14:paraId="1B330442" w14:textId="77777777" w:rsidR="00374A1E" w:rsidRPr="007C2763" w:rsidRDefault="00374A1E" w:rsidP="00374A1E">
      <w:pPr>
        <w:kinsoku w:val="0"/>
        <w:overflowPunct w:val="0"/>
        <w:autoSpaceDE w:val="0"/>
        <w:autoSpaceDN w:val="0"/>
        <w:adjustRightInd w:val="0"/>
        <w:spacing w:before="3"/>
        <w:jc w:val="both"/>
        <w:rPr>
          <w:rFonts w:ascii="Abadi" w:hAnsi="Abadi" w:cs="Arial"/>
          <w:i/>
          <w:iCs/>
          <w:sz w:val="21"/>
          <w:szCs w:val="21"/>
        </w:rPr>
      </w:pPr>
    </w:p>
    <w:p w14:paraId="0F371C2A" w14:textId="77777777" w:rsidR="00374A1E" w:rsidRPr="007C2763" w:rsidRDefault="00374A1E" w:rsidP="00374A1E">
      <w:pPr>
        <w:kinsoku w:val="0"/>
        <w:overflowPunct w:val="0"/>
        <w:autoSpaceDE w:val="0"/>
        <w:autoSpaceDN w:val="0"/>
        <w:adjustRightInd w:val="0"/>
        <w:ind w:left="40"/>
        <w:jc w:val="both"/>
        <w:rPr>
          <w:rFonts w:ascii="Abadi" w:hAnsi="Abadi" w:cs="Arial"/>
          <w:b/>
          <w:bCs/>
          <w:sz w:val="21"/>
          <w:szCs w:val="21"/>
        </w:rPr>
      </w:pPr>
      <w:r w:rsidRPr="007C2763">
        <w:rPr>
          <w:rFonts w:ascii="Abadi" w:hAnsi="Abadi" w:cs="Arial"/>
          <w:b/>
          <w:bCs/>
          <w:sz w:val="21"/>
          <w:szCs w:val="21"/>
        </w:rPr>
        <w:t>Metodología</w:t>
      </w:r>
      <w:r w:rsidRPr="007C2763">
        <w:rPr>
          <w:rFonts w:ascii="Abadi" w:hAnsi="Abadi" w:cs="Arial"/>
          <w:b/>
          <w:bCs/>
          <w:spacing w:val="1"/>
          <w:sz w:val="21"/>
          <w:szCs w:val="21"/>
        </w:rPr>
        <w:t xml:space="preserve"> </w:t>
      </w:r>
      <w:r w:rsidRPr="007C2763">
        <w:rPr>
          <w:rFonts w:ascii="Abadi" w:hAnsi="Abadi" w:cs="Arial"/>
          <w:b/>
          <w:bCs/>
          <w:sz w:val="21"/>
          <w:szCs w:val="21"/>
        </w:rPr>
        <w:t>de</w:t>
      </w:r>
      <w:r w:rsidRPr="007C2763">
        <w:rPr>
          <w:rFonts w:ascii="Abadi" w:hAnsi="Abadi" w:cs="Arial"/>
          <w:b/>
          <w:bCs/>
          <w:spacing w:val="1"/>
          <w:sz w:val="21"/>
          <w:szCs w:val="21"/>
        </w:rPr>
        <w:t xml:space="preserve"> </w:t>
      </w:r>
      <w:r w:rsidRPr="007C2763">
        <w:rPr>
          <w:rFonts w:ascii="Abadi" w:hAnsi="Abadi" w:cs="Arial"/>
          <w:b/>
          <w:bCs/>
          <w:sz w:val="21"/>
          <w:szCs w:val="21"/>
        </w:rPr>
        <w:t>trabajo.</w:t>
      </w:r>
    </w:p>
    <w:p w14:paraId="504035F9" w14:textId="77777777" w:rsidR="00374A1E" w:rsidRPr="007C2763" w:rsidRDefault="00374A1E" w:rsidP="00374A1E">
      <w:pPr>
        <w:kinsoku w:val="0"/>
        <w:overflowPunct w:val="0"/>
        <w:autoSpaceDE w:val="0"/>
        <w:autoSpaceDN w:val="0"/>
        <w:adjustRightInd w:val="0"/>
        <w:jc w:val="both"/>
        <w:rPr>
          <w:rFonts w:ascii="Abadi" w:hAnsi="Abadi" w:cs="Arial"/>
          <w:b/>
          <w:bCs/>
          <w:sz w:val="21"/>
          <w:szCs w:val="21"/>
        </w:rPr>
      </w:pPr>
    </w:p>
    <w:p w14:paraId="4A636C92" w14:textId="77777777" w:rsidR="00374A1E" w:rsidRPr="007C2763" w:rsidRDefault="00374A1E" w:rsidP="00374A1E">
      <w:pPr>
        <w:kinsoku w:val="0"/>
        <w:overflowPunct w:val="0"/>
        <w:autoSpaceDE w:val="0"/>
        <w:autoSpaceDN w:val="0"/>
        <w:adjustRightInd w:val="0"/>
        <w:ind w:left="40" w:right="117" w:firstLine="708"/>
        <w:jc w:val="both"/>
        <w:rPr>
          <w:rFonts w:ascii="Abadi" w:hAnsi="Abadi" w:cs="Arial"/>
          <w:sz w:val="21"/>
          <w:szCs w:val="21"/>
        </w:rPr>
      </w:pPr>
      <w:r w:rsidRPr="007C2763">
        <w:rPr>
          <w:rFonts w:ascii="Abadi" w:hAnsi="Abadi" w:cs="Arial"/>
          <w:sz w:val="21"/>
          <w:szCs w:val="21"/>
        </w:rPr>
        <w:t>La</w:t>
      </w:r>
      <w:r w:rsidRPr="007C2763">
        <w:rPr>
          <w:rFonts w:ascii="Abadi" w:hAnsi="Abadi" w:cs="Arial"/>
          <w:spacing w:val="51"/>
          <w:sz w:val="21"/>
          <w:szCs w:val="21"/>
        </w:rPr>
        <w:t xml:space="preserve"> </w:t>
      </w:r>
      <w:r w:rsidRPr="007C2763">
        <w:rPr>
          <w:rFonts w:ascii="Abadi" w:hAnsi="Abadi" w:cs="Arial"/>
          <w:sz w:val="21"/>
          <w:szCs w:val="21"/>
        </w:rPr>
        <w:t>iniciativa</w:t>
      </w:r>
      <w:r w:rsidRPr="007C2763">
        <w:rPr>
          <w:rFonts w:ascii="Abadi" w:hAnsi="Abadi" w:cs="Arial"/>
          <w:spacing w:val="52"/>
          <w:sz w:val="21"/>
          <w:szCs w:val="21"/>
        </w:rPr>
        <w:t xml:space="preserve"> </w:t>
      </w:r>
      <w:r w:rsidRPr="007C2763">
        <w:rPr>
          <w:rFonts w:ascii="Abadi" w:hAnsi="Abadi" w:cs="Arial"/>
          <w:sz w:val="21"/>
          <w:szCs w:val="21"/>
        </w:rPr>
        <w:t>fue</w:t>
      </w:r>
      <w:r w:rsidRPr="007C2763">
        <w:rPr>
          <w:rFonts w:ascii="Abadi" w:hAnsi="Abadi" w:cs="Arial"/>
          <w:spacing w:val="52"/>
          <w:sz w:val="21"/>
          <w:szCs w:val="21"/>
        </w:rPr>
        <w:t xml:space="preserve"> </w:t>
      </w:r>
      <w:r w:rsidRPr="007C2763">
        <w:rPr>
          <w:rFonts w:ascii="Abadi" w:hAnsi="Abadi" w:cs="Arial"/>
          <w:sz w:val="21"/>
          <w:szCs w:val="21"/>
        </w:rPr>
        <w:t>radicada</w:t>
      </w:r>
      <w:r w:rsidRPr="007C2763">
        <w:rPr>
          <w:rFonts w:ascii="Abadi" w:hAnsi="Abadi" w:cs="Arial"/>
          <w:spacing w:val="48"/>
          <w:sz w:val="21"/>
          <w:szCs w:val="21"/>
        </w:rPr>
        <w:t xml:space="preserve"> </w:t>
      </w:r>
      <w:r w:rsidRPr="007C2763">
        <w:rPr>
          <w:rFonts w:ascii="Abadi" w:hAnsi="Abadi" w:cs="Arial"/>
          <w:sz w:val="21"/>
          <w:szCs w:val="21"/>
        </w:rPr>
        <w:t>fijándose</w:t>
      </w:r>
      <w:r w:rsidRPr="007C2763">
        <w:rPr>
          <w:rFonts w:ascii="Abadi" w:hAnsi="Abadi" w:cs="Arial"/>
          <w:spacing w:val="49"/>
          <w:sz w:val="21"/>
          <w:szCs w:val="21"/>
        </w:rPr>
        <w:t xml:space="preserve"> </w:t>
      </w:r>
      <w:r w:rsidRPr="007C2763">
        <w:rPr>
          <w:rFonts w:ascii="Abadi" w:hAnsi="Abadi" w:cs="Arial"/>
          <w:sz w:val="21"/>
          <w:szCs w:val="21"/>
        </w:rPr>
        <w:t>metodología</w:t>
      </w:r>
      <w:r w:rsidRPr="007C2763">
        <w:rPr>
          <w:rFonts w:ascii="Abadi" w:hAnsi="Abadi" w:cs="Arial"/>
          <w:spacing w:val="49"/>
          <w:sz w:val="21"/>
          <w:szCs w:val="21"/>
        </w:rPr>
        <w:t xml:space="preserve"> </w:t>
      </w:r>
      <w:r w:rsidRPr="007C2763">
        <w:rPr>
          <w:rFonts w:ascii="Abadi" w:hAnsi="Abadi" w:cs="Arial"/>
          <w:sz w:val="21"/>
          <w:szCs w:val="21"/>
        </w:rPr>
        <w:t>el</w:t>
      </w:r>
      <w:r w:rsidRPr="007C2763">
        <w:rPr>
          <w:rFonts w:ascii="Abadi" w:hAnsi="Abadi" w:cs="Arial"/>
          <w:spacing w:val="47"/>
          <w:sz w:val="21"/>
          <w:szCs w:val="21"/>
        </w:rPr>
        <w:t xml:space="preserve"> </w:t>
      </w:r>
      <w:r w:rsidRPr="007C2763">
        <w:rPr>
          <w:rFonts w:ascii="Abadi" w:hAnsi="Abadi" w:cs="Arial"/>
          <w:sz w:val="21"/>
          <w:szCs w:val="21"/>
        </w:rPr>
        <w:t>día</w:t>
      </w:r>
      <w:r w:rsidRPr="007C2763">
        <w:rPr>
          <w:rFonts w:ascii="Abadi" w:hAnsi="Abadi" w:cs="Arial"/>
          <w:spacing w:val="49"/>
          <w:sz w:val="21"/>
          <w:szCs w:val="21"/>
        </w:rPr>
        <w:t xml:space="preserve"> </w:t>
      </w:r>
      <w:r w:rsidRPr="007C2763">
        <w:rPr>
          <w:rFonts w:ascii="Abadi" w:hAnsi="Abadi" w:cs="Arial"/>
          <w:sz w:val="21"/>
          <w:szCs w:val="21"/>
        </w:rPr>
        <w:t>17</w:t>
      </w:r>
      <w:r w:rsidRPr="007C2763">
        <w:rPr>
          <w:rFonts w:ascii="Abadi" w:hAnsi="Abadi" w:cs="Arial"/>
          <w:spacing w:val="49"/>
          <w:sz w:val="21"/>
          <w:szCs w:val="21"/>
        </w:rPr>
        <w:t xml:space="preserve"> </w:t>
      </w:r>
      <w:r w:rsidRPr="007C2763">
        <w:rPr>
          <w:rFonts w:ascii="Abadi" w:hAnsi="Abadi" w:cs="Arial"/>
          <w:sz w:val="21"/>
          <w:szCs w:val="21"/>
        </w:rPr>
        <w:t>de</w:t>
      </w:r>
      <w:r w:rsidRPr="007C2763">
        <w:rPr>
          <w:rFonts w:ascii="Abadi" w:hAnsi="Abadi" w:cs="Arial"/>
          <w:spacing w:val="48"/>
          <w:sz w:val="21"/>
          <w:szCs w:val="21"/>
        </w:rPr>
        <w:t xml:space="preserve"> </w:t>
      </w:r>
      <w:r w:rsidRPr="007C2763">
        <w:rPr>
          <w:rFonts w:ascii="Abadi" w:hAnsi="Abadi" w:cs="Arial"/>
          <w:sz w:val="21"/>
          <w:szCs w:val="21"/>
        </w:rPr>
        <w:t>octubre</w:t>
      </w:r>
      <w:r w:rsidRPr="007C2763">
        <w:rPr>
          <w:rFonts w:ascii="Abadi" w:hAnsi="Abadi" w:cs="Arial"/>
          <w:spacing w:val="49"/>
          <w:sz w:val="21"/>
          <w:szCs w:val="21"/>
        </w:rPr>
        <w:t xml:space="preserve"> </w:t>
      </w:r>
      <w:r w:rsidRPr="007C2763">
        <w:rPr>
          <w:rFonts w:ascii="Abadi" w:hAnsi="Abadi" w:cs="Arial"/>
          <w:sz w:val="21"/>
          <w:szCs w:val="21"/>
        </w:rPr>
        <w:t>de 2019,</w:t>
      </w:r>
      <w:r w:rsidRPr="007C2763">
        <w:rPr>
          <w:rFonts w:ascii="Abadi" w:hAnsi="Abadi" w:cs="Arial"/>
          <w:spacing w:val="22"/>
          <w:sz w:val="21"/>
          <w:szCs w:val="21"/>
        </w:rPr>
        <w:t xml:space="preserve"> </w:t>
      </w:r>
      <w:r w:rsidRPr="007C2763">
        <w:rPr>
          <w:rFonts w:ascii="Abadi" w:hAnsi="Abadi" w:cs="Arial"/>
          <w:sz w:val="21"/>
          <w:szCs w:val="21"/>
        </w:rPr>
        <w:t>se</w:t>
      </w:r>
      <w:r w:rsidRPr="007C2763">
        <w:rPr>
          <w:rFonts w:ascii="Abadi" w:hAnsi="Abadi" w:cs="Arial"/>
          <w:spacing w:val="23"/>
          <w:sz w:val="21"/>
          <w:szCs w:val="21"/>
        </w:rPr>
        <w:t xml:space="preserve"> </w:t>
      </w:r>
      <w:r w:rsidRPr="007C2763">
        <w:rPr>
          <w:rFonts w:ascii="Abadi" w:hAnsi="Abadi" w:cs="Arial"/>
          <w:sz w:val="21"/>
          <w:szCs w:val="21"/>
        </w:rPr>
        <w:t>modificó</w:t>
      </w:r>
      <w:r w:rsidRPr="007C2763">
        <w:rPr>
          <w:rFonts w:ascii="Abadi" w:hAnsi="Abadi" w:cs="Arial"/>
          <w:spacing w:val="23"/>
          <w:sz w:val="21"/>
          <w:szCs w:val="21"/>
        </w:rPr>
        <w:t xml:space="preserve"> </w:t>
      </w:r>
      <w:r w:rsidRPr="007C2763">
        <w:rPr>
          <w:rFonts w:ascii="Abadi" w:hAnsi="Abadi" w:cs="Arial"/>
          <w:sz w:val="21"/>
          <w:szCs w:val="21"/>
        </w:rPr>
        <w:t>la</w:t>
      </w:r>
      <w:r w:rsidRPr="007C2763">
        <w:rPr>
          <w:rFonts w:ascii="Abadi" w:hAnsi="Abadi" w:cs="Arial"/>
          <w:spacing w:val="20"/>
          <w:sz w:val="21"/>
          <w:szCs w:val="21"/>
        </w:rPr>
        <w:t xml:space="preserve"> </w:t>
      </w:r>
      <w:r w:rsidRPr="007C2763">
        <w:rPr>
          <w:rFonts w:ascii="Abadi" w:hAnsi="Abadi" w:cs="Arial"/>
          <w:sz w:val="21"/>
          <w:szCs w:val="21"/>
        </w:rPr>
        <w:t>metodología</w:t>
      </w:r>
      <w:r w:rsidRPr="007C2763">
        <w:rPr>
          <w:rFonts w:ascii="Abadi" w:hAnsi="Abadi" w:cs="Arial"/>
          <w:spacing w:val="23"/>
          <w:sz w:val="21"/>
          <w:szCs w:val="21"/>
        </w:rPr>
        <w:t xml:space="preserve"> </w:t>
      </w:r>
      <w:r w:rsidRPr="007C2763">
        <w:rPr>
          <w:rFonts w:ascii="Abadi" w:hAnsi="Abadi" w:cs="Arial"/>
          <w:sz w:val="21"/>
          <w:szCs w:val="21"/>
        </w:rPr>
        <w:t>el</w:t>
      </w:r>
      <w:r w:rsidRPr="007C2763">
        <w:rPr>
          <w:rFonts w:ascii="Abadi" w:hAnsi="Abadi" w:cs="Arial"/>
          <w:spacing w:val="21"/>
          <w:sz w:val="21"/>
          <w:szCs w:val="21"/>
        </w:rPr>
        <w:t xml:space="preserve"> </w:t>
      </w:r>
      <w:r w:rsidRPr="007C2763">
        <w:rPr>
          <w:rFonts w:ascii="Abadi" w:hAnsi="Abadi" w:cs="Arial"/>
          <w:sz w:val="21"/>
          <w:szCs w:val="21"/>
        </w:rPr>
        <w:t>día</w:t>
      </w:r>
      <w:r w:rsidRPr="007C2763">
        <w:rPr>
          <w:rFonts w:ascii="Abadi" w:hAnsi="Abadi" w:cs="Arial"/>
          <w:spacing w:val="23"/>
          <w:sz w:val="21"/>
          <w:szCs w:val="21"/>
        </w:rPr>
        <w:t xml:space="preserve"> </w:t>
      </w:r>
      <w:r w:rsidRPr="007C2763">
        <w:rPr>
          <w:rFonts w:ascii="Abadi" w:hAnsi="Abadi" w:cs="Arial"/>
          <w:sz w:val="21"/>
          <w:szCs w:val="21"/>
        </w:rPr>
        <w:t>10</w:t>
      </w:r>
      <w:r w:rsidRPr="007C2763">
        <w:rPr>
          <w:rFonts w:ascii="Abadi" w:hAnsi="Abadi" w:cs="Arial"/>
          <w:spacing w:val="20"/>
          <w:sz w:val="21"/>
          <w:szCs w:val="21"/>
        </w:rPr>
        <w:t xml:space="preserve"> </w:t>
      </w:r>
      <w:r w:rsidRPr="007C2763">
        <w:rPr>
          <w:rFonts w:ascii="Abadi" w:hAnsi="Abadi" w:cs="Arial"/>
          <w:sz w:val="21"/>
          <w:szCs w:val="21"/>
        </w:rPr>
        <w:t>de</w:t>
      </w:r>
      <w:r w:rsidRPr="007C2763">
        <w:rPr>
          <w:rFonts w:ascii="Abadi" w:hAnsi="Abadi" w:cs="Arial"/>
          <w:spacing w:val="23"/>
          <w:sz w:val="21"/>
          <w:szCs w:val="21"/>
        </w:rPr>
        <w:t xml:space="preserve"> </w:t>
      </w:r>
      <w:r w:rsidRPr="007C2763">
        <w:rPr>
          <w:rFonts w:ascii="Abadi" w:hAnsi="Abadi" w:cs="Arial"/>
          <w:sz w:val="21"/>
          <w:szCs w:val="21"/>
        </w:rPr>
        <w:t>febrero</w:t>
      </w:r>
      <w:r w:rsidRPr="007C2763">
        <w:rPr>
          <w:rFonts w:ascii="Abadi" w:hAnsi="Abadi" w:cs="Arial"/>
          <w:spacing w:val="20"/>
          <w:sz w:val="21"/>
          <w:szCs w:val="21"/>
        </w:rPr>
        <w:t xml:space="preserve"> </w:t>
      </w:r>
      <w:r w:rsidRPr="007C2763">
        <w:rPr>
          <w:rFonts w:ascii="Abadi" w:hAnsi="Abadi" w:cs="Arial"/>
          <w:sz w:val="21"/>
          <w:szCs w:val="21"/>
        </w:rPr>
        <w:t>de</w:t>
      </w:r>
      <w:r w:rsidRPr="007C2763">
        <w:rPr>
          <w:rFonts w:ascii="Abadi" w:hAnsi="Abadi" w:cs="Arial"/>
          <w:spacing w:val="23"/>
          <w:sz w:val="21"/>
          <w:szCs w:val="21"/>
        </w:rPr>
        <w:t xml:space="preserve"> </w:t>
      </w:r>
      <w:r w:rsidRPr="007C2763">
        <w:rPr>
          <w:rFonts w:ascii="Abadi" w:hAnsi="Abadi" w:cs="Arial"/>
          <w:sz w:val="21"/>
          <w:szCs w:val="21"/>
        </w:rPr>
        <w:t>2022</w:t>
      </w:r>
      <w:r w:rsidRPr="007C2763">
        <w:rPr>
          <w:rFonts w:ascii="Abadi" w:hAnsi="Abadi" w:cs="Arial"/>
          <w:spacing w:val="20"/>
          <w:sz w:val="21"/>
          <w:szCs w:val="21"/>
        </w:rPr>
        <w:t xml:space="preserve"> </w:t>
      </w:r>
      <w:r w:rsidRPr="007C2763">
        <w:rPr>
          <w:rFonts w:ascii="Abadi" w:hAnsi="Abadi" w:cs="Arial"/>
          <w:sz w:val="21"/>
          <w:szCs w:val="21"/>
        </w:rPr>
        <w:t>para</w:t>
      </w:r>
      <w:r w:rsidRPr="007C2763">
        <w:rPr>
          <w:rFonts w:ascii="Abadi" w:hAnsi="Abadi" w:cs="Arial"/>
          <w:spacing w:val="23"/>
          <w:sz w:val="21"/>
          <w:szCs w:val="21"/>
        </w:rPr>
        <w:t xml:space="preserve"> </w:t>
      </w:r>
      <w:r w:rsidRPr="007C2763">
        <w:rPr>
          <w:rFonts w:ascii="Abadi" w:hAnsi="Abadi" w:cs="Arial"/>
          <w:sz w:val="21"/>
          <w:szCs w:val="21"/>
        </w:rPr>
        <w:t>su</w:t>
      </w:r>
      <w:r w:rsidRPr="007C2763">
        <w:rPr>
          <w:rFonts w:ascii="Abadi" w:hAnsi="Abadi" w:cs="Arial"/>
          <w:spacing w:val="23"/>
          <w:sz w:val="21"/>
          <w:szCs w:val="21"/>
        </w:rPr>
        <w:t xml:space="preserve"> </w:t>
      </w:r>
      <w:r w:rsidRPr="007C2763">
        <w:rPr>
          <w:rFonts w:ascii="Abadi" w:hAnsi="Abadi" w:cs="Arial"/>
          <w:sz w:val="21"/>
          <w:szCs w:val="21"/>
        </w:rPr>
        <w:t>estudio</w:t>
      </w:r>
      <w:r w:rsidRPr="007C2763">
        <w:rPr>
          <w:rFonts w:ascii="Abadi" w:hAnsi="Abadi" w:cs="Arial"/>
          <w:spacing w:val="23"/>
          <w:sz w:val="21"/>
          <w:szCs w:val="21"/>
        </w:rPr>
        <w:t xml:space="preserve"> </w:t>
      </w:r>
      <w:r w:rsidRPr="007C2763">
        <w:rPr>
          <w:rFonts w:ascii="Abadi" w:hAnsi="Abadi" w:cs="Arial"/>
          <w:sz w:val="21"/>
          <w:szCs w:val="21"/>
        </w:rPr>
        <w:t>y dictamen</w:t>
      </w:r>
      <w:r w:rsidRPr="007C2763">
        <w:rPr>
          <w:rFonts w:ascii="Abadi" w:hAnsi="Abadi" w:cs="Arial"/>
          <w:spacing w:val="-1"/>
          <w:sz w:val="21"/>
          <w:szCs w:val="21"/>
        </w:rPr>
        <w:t xml:space="preserve"> </w:t>
      </w:r>
      <w:r w:rsidRPr="007C2763">
        <w:rPr>
          <w:rFonts w:ascii="Abadi" w:hAnsi="Abadi" w:cs="Arial"/>
          <w:sz w:val="21"/>
          <w:szCs w:val="21"/>
        </w:rPr>
        <w:t>por</w:t>
      </w:r>
      <w:r w:rsidRPr="007C2763">
        <w:rPr>
          <w:rFonts w:ascii="Abadi" w:hAnsi="Abadi" w:cs="Arial"/>
          <w:spacing w:val="-1"/>
          <w:sz w:val="21"/>
          <w:szCs w:val="21"/>
        </w:rPr>
        <w:t xml:space="preserve"> </w:t>
      </w:r>
      <w:r w:rsidRPr="007C2763">
        <w:rPr>
          <w:rFonts w:ascii="Abadi" w:hAnsi="Abadi" w:cs="Arial"/>
          <w:sz w:val="21"/>
          <w:szCs w:val="21"/>
        </w:rPr>
        <w:t>parte</w:t>
      </w:r>
      <w:r w:rsidRPr="007C2763">
        <w:rPr>
          <w:rFonts w:ascii="Abadi" w:hAnsi="Abadi" w:cs="Arial"/>
          <w:spacing w:val="-1"/>
          <w:sz w:val="21"/>
          <w:szCs w:val="21"/>
        </w:rPr>
        <w:t xml:space="preserve"> </w:t>
      </w:r>
      <w:r w:rsidRPr="007C2763">
        <w:rPr>
          <w:rFonts w:ascii="Abadi" w:hAnsi="Abadi" w:cs="Arial"/>
          <w:sz w:val="21"/>
          <w:szCs w:val="21"/>
        </w:rPr>
        <w:t>de</w:t>
      </w:r>
      <w:r w:rsidRPr="007C2763">
        <w:rPr>
          <w:rFonts w:ascii="Abadi" w:hAnsi="Abadi" w:cs="Arial"/>
          <w:spacing w:val="-1"/>
          <w:sz w:val="21"/>
          <w:szCs w:val="21"/>
        </w:rPr>
        <w:t xml:space="preserve"> </w:t>
      </w:r>
      <w:r w:rsidRPr="007C2763">
        <w:rPr>
          <w:rFonts w:ascii="Abadi" w:hAnsi="Abadi" w:cs="Arial"/>
          <w:sz w:val="21"/>
          <w:szCs w:val="21"/>
        </w:rPr>
        <w:t>esta</w:t>
      </w:r>
      <w:r w:rsidRPr="007C2763">
        <w:rPr>
          <w:rFonts w:ascii="Abadi" w:hAnsi="Abadi" w:cs="Arial"/>
          <w:spacing w:val="1"/>
          <w:sz w:val="21"/>
          <w:szCs w:val="21"/>
        </w:rPr>
        <w:t xml:space="preserve"> </w:t>
      </w:r>
      <w:r w:rsidRPr="007C2763">
        <w:rPr>
          <w:rFonts w:ascii="Abadi" w:hAnsi="Abadi" w:cs="Arial"/>
          <w:sz w:val="21"/>
          <w:szCs w:val="21"/>
        </w:rPr>
        <w:t>comisión</w:t>
      </w:r>
      <w:r w:rsidRPr="007C2763">
        <w:rPr>
          <w:rFonts w:ascii="Abadi" w:hAnsi="Abadi" w:cs="Arial"/>
          <w:spacing w:val="1"/>
          <w:sz w:val="21"/>
          <w:szCs w:val="21"/>
        </w:rPr>
        <w:t xml:space="preserve"> </w:t>
      </w:r>
      <w:r w:rsidRPr="007C2763">
        <w:rPr>
          <w:rFonts w:ascii="Abadi" w:hAnsi="Abadi" w:cs="Arial"/>
          <w:sz w:val="21"/>
          <w:szCs w:val="21"/>
        </w:rPr>
        <w:t>dictaminadora</w:t>
      </w:r>
      <w:r w:rsidRPr="007C2763">
        <w:rPr>
          <w:rFonts w:ascii="Abadi" w:hAnsi="Abadi" w:cs="Arial"/>
          <w:spacing w:val="-1"/>
          <w:sz w:val="21"/>
          <w:szCs w:val="21"/>
        </w:rPr>
        <w:t xml:space="preserve"> </w:t>
      </w:r>
      <w:r w:rsidRPr="007C2763">
        <w:rPr>
          <w:rFonts w:ascii="Abadi" w:hAnsi="Abadi" w:cs="Arial"/>
          <w:sz w:val="21"/>
          <w:szCs w:val="21"/>
        </w:rPr>
        <w:t>en</w:t>
      </w:r>
      <w:r w:rsidRPr="007C2763">
        <w:rPr>
          <w:rFonts w:ascii="Abadi" w:hAnsi="Abadi" w:cs="Arial"/>
          <w:spacing w:val="1"/>
          <w:sz w:val="21"/>
          <w:szCs w:val="21"/>
        </w:rPr>
        <w:t xml:space="preserve"> </w:t>
      </w:r>
      <w:r w:rsidRPr="007C2763">
        <w:rPr>
          <w:rFonts w:ascii="Abadi" w:hAnsi="Abadi" w:cs="Arial"/>
          <w:sz w:val="21"/>
          <w:szCs w:val="21"/>
        </w:rPr>
        <w:t>los siguientes términos:</w:t>
      </w:r>
    </w:p>
    <w:p w14:paraId="6348F215" w14:textId="77777777" w:rsidR="00374A1E" w:rsidRPr="007C2763" w:rsidRDefault="00374A1E" w:rsidP="00374A1E">
      <w:pPr>
        <w:kinsoku w:val="0"/>
        <w:overflowPunct w:val="0"/>
        <w:autoSpaceDE w:val="0"/>
        <w:autoSpaceDN w:val="0"/>
        <w:adjustRightInd w:val="0"/>
        <w:jc w:val="both"/>
        <w:rPr>
          <w:rFonts w:ascii="Abadi" w:hAnsi="Abadi" w:cs="Arial"/>
          <w:sz w:val="21"/>
          <w:szCs w:val="21"/>
        </w:rPr>
      </w:pPr>
    </w:p>
    <w:p w14:paraId="644BF835" w14:textId="0EF68CE2" w:rsidR="0050195B" w:rsidRPr="007C2763" w:rsidRDefault="00374A1E" w:rsidP="00210305">
      <w:pPr>
        <w:pStyle w:val="Prrafodelista"/>
        <w:numPr>
          <w:ilvl w:val="0"/>
          <w:numId w:val="59"/>
        </w:numPr>
        <w:tabs>
          <w:tab w:val="left" w:pos="284"/>
        </w:tabs>
        <w:kinsoku w:val="0"/>
        <w:overflowPunct w:val="0"/>
        <w:autoSpaceDE w:val="0"/>
        <w:autoSpaceDN w:val="0"/>
        <w:adjustRightInd w:val="0"/>
        <w:spacing w:before="1"/>
        <w:ind w:left="142" w:right="118"/>
        <w:jc w:val="both"/>
        <w:rPr>
          <w:rFonts w:ascii="Abadi" w:hAnsi="Abadi" w:cs="Arial"/>
          <w:sz w:val="21"/>
          <w:szCs w:val="21"/>
        </w:rPr>
      </w:pPr>
      <w:r w:rsidRPr="007C2763">
        <w:rPr>
          <w:rFonts w:ascii="Abadi" w:hAnsi="Abadi" w:cs="Arial"/>
          <w:sz w:val="21"/>
          <w:szCs w:val="21"/>
        </w:rPr>
        <w:t>Enviar</w:t>
      </w:r>
      <w:r w:rsidRPr="007C2763">
        <w:rPr>
          <w:rFonts w:ascii="Abadi" w:hAnsi="Abadi" w:cs="Arial"/>
          <w:spacing w:val="14"/>
          <w:sz w:val="21"/>
          <w:szCs w:val="21"/>
        </w:rPr>
        <w:t xml:space="preserve"> </w:t>
      </w:r>
      <w:r w:rsidRPr="007C2763">
        <w:rPr>
          <w:rFonts w:ascii="Abadi" w:hAnsi="Abadi" w:cs="Arial"/>
          <w:sz w:val="21"/>
          <w:szCs w:val="21"/>
        </w:rPr>
        <w:t>la</w:t>
      </w:r>
      <w:r w:rsidRPr="007C2763">
        <w:rPr>
          <w:rFonts w:ascii="Abadi" w:hAnsi="Abadi" w:cs="Arial"/>
          <w:spacing w:val="14"/>
          <w:sz w:val="21"/>
          <w:szCs w:val="21"/>
        </w:rPr>
        <w:t xml:space="preserve"> </w:t>
      </w:r>
      <w:r w:rsidRPr="007C2763">
        <w:rPr>
          <w:rFonts w:ascii="Abadi" w:hAnsi="Abadi" w:cs="Arial"/>
          <w:sz w:val="21"/>
          <w:szCs w:val="21"/>
        </w:rPr>
        <w:t>iniciativa</w:t>
      </w:r>
      <w:r w:rsidRPr="007C2763">
        <w:rPr>
          <w:rFonts w:ascii="Abadi" w:hAnsi="Abadi" w:cs="Arial"/>
          <w:spacing w:val="15"/>
          <w:sz w:val="21"/>
          <w:szCs w:val="21"/>
        </w:rPr>
        <w:t xml:space="preserve"> </w:t>
      </w:r>
      <w:r w:rsidRPr="007C2763">
        <w:rPr>
          <w:rFonts w:ascii="Abadi" w:hAnsi="Abadi" w:cs="Arial"/>
          <w:sz w:val="21"/>
          <w:szCs w:val="21"/>
        </w:rPr>
        <w:t>de</w:t>
      </w:r>
      <w:r w:rsidRPr="007C2763">
        <w:rPr>
          <w:rFonts w:ascii="Abadi" w:hAnsi="Abadi" w:cs="Arial"/>
          <w:spacing w:val="15"/>
          <w:sz w:val="21"/>
          <w:szCs w:val="21"/>
        </w:rPr>
        <w:t xml:space="preserve"> </w:t>
      </w:r>
      <w:r w:rsidRPr="007C2763">
        <w:rPr>
          <w:rFonts w:ascii="Abadi" w:hAnsi="Abadi" w:cs="Arial"/>
          <w:sz w:val="21"/>
          <w:szCs w:val="21"/>
        </w:rPr>
        <w:t>forma</w:t>
      </w:r>
      <w:r w:rsidRPr="007C2763">
        <w:rPr>
          <w:rFonts w:ascii="Abadi" w:hAnsi="Abadi" w:cs="Arial"/>
          <w:spacing w:val="15"/>
          <w:sz w:val="21"/>
          <w:szCs w:val="21"/>
        </w:rPr>
        <w:t xml:space="preserve"> </w:t>
      </w:r>
      <w:r w:rsidRPr="007C2763">
        <w:rPr>
          <w:rFonts w:ascii="Abadi" w:hAnsi="Abadi" w:cs="Arial"/>
          <w:sz w:val="21"/>
          <w:szCs w:val="21"/>
        </w:rPr>
        <w:t>electrónica</w:t>
      </w:r>
      <w:r w:rsidRPr="007C2763">
        <w:rPr>
          <w:rFonts w:ascii="Abadi" w:hAnsi="Abadi" w:cs="Arial"/>
          <w:spacing w:val="13"/>
          <w:sz w:val="21"/>
          <w:szCs w:val="21"/>
        </w:rPr>
        <w:t xml:space="preserve"> </w:t>
      </w:r>
      <w:r w:rsidRPr="007C2763">
        <w:rPr>
          <w:rFonts w:ascii="Abadi" w:hAnsi="Abadi" w:cs="Arial"/>
          <w:sz w:val="21"/>
          <w:szCs w:val="21"/>
        </w:rPr>
        <w:t>a</w:t>
      </w:r>
      <w:r w:rsidRPr="007C2763">
        <w:rPr>
          <w:rFonts w:ascii="Abadi" w:hAnsi="Abadi" w:cs="Arial"/>
          <w:spacing w:val="15"/>
          <w:sz w:val="21"/>
          <w:szCs w:val="21"/>
        </w:rPr>
        <w:t xml:space="preserve"> </w:t>
      </w:r>
      <w:r w:rsidRPr="007C2763">
        <w:rPr>
          <w:rFonts w:ascii="Abadi" w:hAnsi="Abadi" w:cs="Arial"/>
          <w:sz w:val="21"/>
          <w:szCs w:val="21"/>
        </w:rPr>
        <w:t>las</w:t>
      </w:r>
      <w:r w:rsidRPr="007C2763">
        <w:rPr>
          <w:rFonts w:ascii="Abadi" w:hAnsi="Abadi" w:cs="Arial"/>
          <w:spacing w:val="14"/>
          <w:sz w:val="21"/>
          <w:szCs w:val="21"/>
        </w:rPr>
        <w:t xml:space="preserve"> </w:t>
      </w:r>
      <w:r w:rsidRPr="007C2763">
        <w:rPr>
          <w:rFonts w:ascii="Abadi" w:hAnsi="Abadi" w:cs="Arial"/>
          <w:sz w:val="21"/>
          <w:szCs w:val="21"/>
        </w:rPr>
        <w:t>diputadas</w:t>
      </w:r>
      <w:r w:rsidRPr="007C2763">
        <w:rPr>
          <w:rFonts w:ascii="Abadi" w:hAnsi="Abadi" w:cs="Arial"/>
          <w:spacing w:val="14"/>
          <w:sz w:val="21"/>
          <w:szCs w:val="21"/>
        </w:rPr>
        <w:t xml:space="preserve"> </w:t>
      </w:r>
      <w:r w:rsidRPr="007C2763">
        <w:rPr>
          <w:rFonts w:ascii="Abadi" w:hAnsi="Abadi" w:cs="Arial"/>
          <w:sz w:val="21"/>
          <w:szCs w:val="21"/>
        </w:rPr>
        <w:t>y</w:t>
      </w:r>
      <w:r w:rsidRPr="007C2763">
        <w:rPr>
          <w:rFonts w:ascii="Abadi" w:hAnsi="Abadi" w:cs="Arial"/>
          <w:spacing w:val="14"/>
          <w:sz w:val="21"/>
          <w:szCs w:val="21"/>
        </w:rPr>
        <w:t xml:space="preserve"> </w:t>
      </w:r>
      <w:r w:rsidRPr="007C2763">
        <w:rPr>
          <w:rFonts w:ascii="Abadi" w:hAnsi="Abadi" w:cs="Arial"/>
          <w:sz w:val="21"/>
          <w:szCs w:val="21"/>
        </w:rPr>
        <w:t>los</w:t>
      </w:r>
      <w:r w:rsidRPr="007C2763">
        <w:rPr>
          <w:rFonts w:ascii="Abadi" w:hAnsi="Abadi" w:cs="Arial"/>
          <w:spacing w:val="14"/>
          <w:sz w:val="21"/>
          <w:szCs w:val="21"/>
        </w:rPr>
        <w:t xml:space="preserve"> </w:t>
      </w:r>
      <w:r w:rsidRPr="007C2763">
        <w:rPr>
          <w:rFonts w:ascii="Abadi" w:hAnsi="Abadi" w:cs="Arial"/>
          <w:sz w:val="21"/>
          <w:szCs w:val="21"/>
        </w:rPr>
        <w:t>diputados</w:t>
      </w:r>
      <w:r w:rsidRPr="007C2763">
        <w:rPr>
          <w:rFonts w:ascii="Abadi" w:hAnsi="Abadi" w:cs="Arial"/>
          <w:spacing w:val="14"/>
          <w:sz w:val="21"/>
          <w:szCs w:val="21"/>
        </w:rPr>
        <w:t xml:space="preserve"> </w:t>
      </w:r>
      <w:r w:rsidRPr="007C2763">
        <w:rPr>
          <w:rFonts w:ascii="Abadi" w:hAnsi="Abadi" w:cs="Arial"/>
          <w:sz w:val="21"/>
          <w:szCs w:val="21"/>
        </w:rPr>
        <w:t>de</w:t>
      </w:r>
      <w:r w:rsidRPr="007C2763">
        <w:rPr>
          <w:rFonts w:ascii="Abadi" w:hAnsi="Abadi" w:cs="Arial"/>
          <w:spacing w:val="15"/>
          <w:sz w:val="21"/>
          <w:szCs w:val="21"/>
        </w:rPr>
        <w:t xml:space="preserve"> </w:t>
      </w:r>
      <w:r w:rsidRPr="007C2763">
        <w:rPr>
          <w:rFonts w:ascii="Abadi" w:hAnsi="Abadi" w:cs="Arial"/>
          <w:sz w:val="21"/>
          <w:szCs w:val="21"/>
        </w:rPr>
        <w:t>esta Legislatura</w:t>
      </w:r>
      <w:r w:rsidRPr="007C2763">
        <w:rPr>
          <w:rFonts w:ascii="Abadi" w:hAnsi="Abadi" w:cs="Arial"/>
          <w:spacing w:val="13"/>
          <w:sz w:val="21"/>
          <w:szCs w:val="21"/>
        </w:rPr>
        <w:t xml:space="preserve"> </w:t>
      </w:r>
      <w:r w:rsidRPr="007C2763">
        <w:rPr>
          <w:rFonts w:ascii="Abadi" w:hAnsi="Abadi" w:cs="Arial"/>
          <w:sz w:val="21"/>
          <w:szCs w:val="21"/>
        </w:rPr>
        <w:t>para</w:t>
      </w:r>
      <w:r w:rsidRPr="007C2763">
        <w:rPr>
          <w:rFonts w:ascii="Abadi" w:hAnsi="Abadi" w:cs="Arial"/>
          <w:spacing w:val="15"/>
          <w:sz w:val="21"/>
          <w:szCs w:val="21"/>
        </w:rPr>
        <w:t xml:space="preserve"> </w:t>
      </w:r>
      <w:r w:rsidRPr="007C2763">
        <w:rPr>
          <w:rFonts w:ascii="Abadi" w:hAnsi="Abadi" w:cs="Arial"/>
          <w:sz w:val="21"/>
          <w:szCs w:val="21"/>
        </w:rPr>
        <w:t>su</w:t>
      </w:r>
      <w:r w:rsidRPr="007C2763">
        <w:rPr>
          <w:rFonts w:ascii="Abadi" w:hAnsi="Abadi" w:cs="Arial"/>
          <w:spacing w:val="13"/>
          <w:sz w:val="21"/>
          <w:szCs w:val="21"/>
        </w:rPr>
        <w:t xml:space="preserve"> </w:t>
      </w:r>
      <w:r w:rsidRPr="007C2763">
        <w:rPr>
          <w:rFonts w:ascii="Abadi" w:hAnsi="Abadi" w:cs="Arial"/>
          <w:sz w:val="21"/>
          <w:szCs w:val="21"/>
        </w:rPr>
        <w:t>análisis</w:t>
      </w:r>
      <w:r w:rsidRPr="007C2763">
        <w:rPr>
          <w:rFonts w:ascii="Abadi" w:hAnsi="Abadi" w:cs="Arial"/>
          <w:spacing w:val="14"/>
          <w:sz w:val="21"/>
          <w:szCs w:val="21"/>
        </w:rPr>
        <w:t xml:space="preserve"> </w:t>
      </w:r>
      <w:r w:rsidRPr="007C2763">
        <w:rPr>
          <w:rFonts w:ascii="Abadi" w:hAnsi="Abadi" w:cs="Arial"/>
          <w:sz w:val="21"/>
          <w:szCs w:val="21"/>
        </w:rPr>
        <w:t>y</w:t>
      </w:r>
      <w:r w:rsidRPr="007C2763">
        <w:rPr>
          <w:rFonts w:ascii="Abadi" w:hAnsi="Abadi" w:cs="Arial"/>
          <w:spacing w:val="14"/>
          <w:sz w:val="21"/>
          <w:szCs w:val="21"/>
        </w:rPr>
        <w:t xml:space="preserve"> </w:t>
      </w:r>
      <w:r w:rsidRPr="007C2763">
        <w:rPr>
          <w:rFonts w:ascii="Abadi" w:hAnsi="Abadi" w:cs="Arial"/>
          <w:sz w:val="21"/>
          <w:szCs w:val="21"/>
        </w:rPr>
        <w:t>comentarios,</w:t>
      </w:r>
      <w:r w:rsidRPr="007C2763">
        <w:rPr>
          <w:rFonts w:ascii="Abadi" w:hAnsi="Abadi" w:cs="Arial"/>
          <w:spacing w:val="13"/>
          <w:sz w:val="21"/>
          <w:szCs w:val="21"/>
        </w:rPr>
        <w:t xml:space="preserve"> </w:t>
      </w:r>
      <w:r w:rsidRPr="007C2763">
        <w:rPr>
          <w:rFonts w:ascii="Abadi" w:hAnsi="Abadi" w:cs="Arial"/>
          <w:sz w:val="21"/>
          <w:szCs w:val="21"/>
        </w:rPr>
        <w:t>otorgándoles</w:t>
      </w:r>
      <w:r w:rsidRPr="007C2763">
        <w:rPr>
          <w:rFonts w:ascii="Abadi" w:hAnsi="Abadi" w:cs="Arial"/>
          <w:spacing w:val="12"/>
          <w:sz w:val="21"/>
          <w:szCs w:val="21"/>
        </w:rPr>
        <w:t xml:space="preserve"> </w:t>
      </w:r>
      <w:r w:rsidRPr="007C2763">
        <w:rPr>
          <w:rFonts w:ascii="Abadi" w:hAnsi="Abadi" w:cs="Arial"/>
          <w:sz w:val="21"/>
          <w:szCs w:val="21"/>
        </w:rPr>
        <w:t>20</w:t>
      </w:r>
      <w:r w:rsidRPr="007C2763">
        <w:rPr>
          <w:rFonts w:ascii="Abadi" w:hAnsi="Abadi" w:cs="Arial"/>
          <w:spacing w:val="15"/>
          <w:sz w:val="21"/>
          <w:szCs w:val="21"/>
        </w:rPr>
        <w:t xml:space="preserve"> </w:t>
      </w:r>
      <w:r w:rsidRPr="007C2763">
        <w:rPr>
          <w:rFonts w:ascii="Abadi" w:hAnsi="Abadi" w:cs="Arial"/>
          <w:sz w:val="21"/>
          <w:szCs w:val="21"/>
        </w:rPr>
        <w:t>días</w:t>
      </w:r>
      <w:r w:rsidRPr="007C2763">
        <w:rPr>
          <w:rFonts w:ascii="Abadi" w:hAnsi="Abadi" w:cs="Arial"/>
          <w:spacing w:val="12"/>
          <w:sz w:val="21"/>
          <w:szCs w:val="21"/>
        </w:rPr>
        <w:t xml:space="preserve"> </w:t>
      </w:r>
      <w:r w:rsidRPr="007C2763">
        <w:rPr>
          <w:rFonts w:ascii="Abadi" w:hAnsi="Abadi" w:cs="Arial"/>
          <w:sz w:val="21"/>
          <w:szCs w:val="21"/>
        </w:rPr>
        <w:t>hábiles</w:t>
      </w:r>
      <w:r w:rsidRPr="007C2763">
        <w:rPr>
          <w:rFonts w:ascii="Abadi" w:hAnsi="Abadi" w:cs="Arial"/>
          <w:spacing w:val="12"/>
          <w:sz w:val="21"/>
          <w:szCs w:val="21"/>
        </w:rPr>
        <w:t xml:space="preserve"> </w:t>
      </w:r>
      <w:r w:rsidRPr="007C2763">
        <w:rPr>
          <w:rFonts w:ascii="Abadi" w:hAnsi="Abadi" w:cs="Arial"/>
          <w:sz w:val="21"/>
          <w:szCs w:val="21"/>
        </w:rPr>
        <w:t>para</w:t>
      </w:r>
      <w:r w:rsidRPr="007C2763">
        <w:rPr>
          <w:rFonts w:ascii="Abadi" w:hAnsi="Abadi" w:cs="Arial"/>
          <w:spacing w:val="13"/>
          <w:sz w:val="21"/>
          <w:szCs w:val="21"/>
        </w:rPr>
        <w:t xml:space="preserve"> </w:t>
      </w:r>
      <w:r w:rsidRPr="007C2763">
        <w:rPr>
          <w:rFonts w:ascii="Abadi" w:hAnsi="Abadi" w:cs="Arial"/>
          <w:sz w:val="21"/>
          <w:szCs w:val="21"/>
        </w:rPr>
        <w:t>que envíen</w:t>
      </w:r>
      <w:r w:rsidRPr="007C2763">
        <w:rPr>
          <w:rFonts w:ascii="Abadi" w:hAnsi="Abadi" w:cs="Arial"/>
          <w:spacing w:val="1"/>
          <w:sz w:val="21"/>
          <w:szCs w:val="21"/>
        </w:rPr>
        <w:t xml:space="preserve"> </w:t>
      </w:r>
      <w:r w:rsidRPr="007C2763">
        <w:rPr>
          <w:rFonts w:ascii="Abadi" w:hAnsi="Abadi" w:cs="Arial"/>
          <w:sz w:val="21"/>
          <w:szCs w:val="21"/>
        </w:rPr>
        <w:t>sus</w:t>
      </w:r>
      <w:r w:rsidRPr="007C2763">
        <w:rPr>
          <w:rFonts w:ascii="Abadi" w:hAnsi="Abadi" w:cs="Arial"/>
          <w:spacing w:val="-2"/>
          <w:sz w:val="21"/>
          <w:szCs w:val="21"/>
        </w:rPr>
        <w:t xml:space="preserve"> </w:t>
      </w:r>
      <w:r w:rsidRPr="007C2763">
        <w:rPr>
          <w:rFonts w:ascii="Abadi" w:hAnsi="Abadi" w:cs="Arial"/>
          <w:sz w:val="21"/>
          <w:szCs w:val="21"/>
        </w:rPr>
        <w:t>observaciones.</w:t>
      </w:r>
    </w:p>
    <w:p w14:paraId="23876902" w14:textId="77777777" w:rsidR="002120E0" w:rsidRPr="007C2763" w:rsidRDefault="002120E0" w:rsidP="002120E0">
      <w:pPr>
        <w:pStyle w:val="Prrafodelista"/>
        <w:tabs>
          <w:tab w:val="left" w:pos="284"/>
        </w:tabs>
        <w:kinsoku w:val="0"/>
        <w:overflowPunct w:val="0"/>
        <w:autoSpaceDE w:val="0"/>
        <w:autoSpaceDN w:val="0"/>
        <w:adjustRightInd w:val="0"/>
        <w:spacing w:before="1"/>
        <w:ind w:left="142" w:right="118"/>
        <w:jc w:val="both"/>
        <w:rPr>
          <w:rFonts w:ascii="Abadi" w:hAnsi="Abadi" w:cs="Arial"/>
          <w:sz w:val="21"/>
          <w:szCs w:val="21"/>
        </w:rPr>
      </w:pPr>
    </w:p>
    <w:p w14:paraId="7BD8C904" w14:textId="7646A8F2" w:rsidR="00374A1E" w:rsidRPr="007C2763" w:rsidRDefault="00374A1E" w:rsidP="00210305">
      <w:pPr>
        <w:pStyle w:val="Prrafodelista"/>
        <w:numPr>
          <w:ilvl w:val="0"/>
          <w:numId w:val="59"/>
        </w:numPr>
        <w:tabs>
          <w:tab w:val="left" w:pos="385"/>
        </w:tabs>
        <w:kinsoku w:val="0"/>
        <w:overflowPunct w:val="0"/>
        <w:autoSpaceDE w:val="0"/>
        <w:autoSpaceDN w:val="0"/>
        <w:adjustRightInd w:val="0"/>
        <w:spacing w:before="1"/>
        <w:ind w:left="142" w:right="118"/>
        <w:jc w:val="both"/>
        <w:rPr>
          <w:rFonts w:ascii="Abadi" w:hAnsi="Abadi" w:cs="Arial"/>
          <w:sz w:val="21"/>
          <w:szCs w:val="21"/>
        </w:rPr>
      </w:pPr>
      <w:r w:rsidRPr="007C2763">
        <w:rPr>
          <w:rFonts w:ascii="Abadi" w:hAnsi="Abadi" w:cs="Arial"/>
          <w:sz w:val="21"/>
          <w:szCs w:val="21"/>
        </w:rPr>
        <w:t>Habilitación</w:t>
      </w:r>
      <w:r w:rsidRPr="007C2763">
        <w:rPr>
          <w:rFonts w:ascii="Abadi" w:hAnsi="Abadi" w:cs="Arial"/>
          <w:spacing w:val="1"/>
          <w:sz w:val="21"/>
          <w:szCs w:val="21"/>
        </w:rPr>
        <w:t xml:space="preserve"> </w:t>
      </w:r>
      <w:r w:rsidRPr="007C2763">
        <w:rPr>
          <w:rFonts w:ascii="Abadi" w:hAnsi="Abadi" w:cs="Arial"/>
          <w:sz w:val="21"/>
          <w:szCs w:val="21"/>
        </w:rPr>
        <w:t>de</w:t>
      </w:r>
      <w:r w:rsidRPr="007C2763">
        <w:rPr>
          <w:rFonts w:ascii="Abadi" w:hAnsi="Abadi" w:cs="Arial"/>
          <w:spacing w:val="3"/>
          <w:sz w:val="21"/>
          <w:szCs w:val="21"/>
        </w:rPr>
        <w:t xml:space="preserve"> </w:t>
      </w:r>
      <w:r w:rsidRPr="007C2763">
        <w:rPr>
          <w:rFonts w:ascii="Abadi" w:hAnsi="Abadi" w:cs="Arial"/>
          <w:sz w:val="21"/>
          <w:szCs w:val="21"/>
        </w:rPr>
        <w:t>un</w:t>
      </w:r>
      <w:r w:rsidRPr="007C2763">
        <w:rPr>
          <w:rFonts w:ascii="Abadi" w:hAnsi="Abadi" w:cs="Arial"/>
          <w:spacing w:val="2"/>
          <w:sz w:val="21"/>
          <w:szCs w:val="21"/>
        </w:rPr>
        <w:t xml:space="preserve"> </w:t>
      </w:r>
      <w:r w:rsidRPr="007C2763">
        <w:rPr>
          <w:rFonts w:ascii="Abadi" w:hAnsi="Abadi" w:cs="Arial"/>
          <w:sz w:val="21"/>
          <w:szCs w:val="21"/>
        </w:rPr>
        <w:t>vínculo</w:t>
      </w:r>
      <w:r w:rsidRPr="007C2763">
        <w:rPr>
          <w:rFonts w:ascii="Abadi" w:hAnsi="Abadi" w:cs="Arial"/>
          <w:spacing w:val="3"/>
          <w:sz w:val="21"/>
          <w:szCs w:val="21"/>
        </w:rPr>
        <w:t xml:space="preserve"> </w:t>
      </w:r>
      <w:r w:rsidRPr="007C2763">
        <w:rPr>
          <w:rFonts w:ascii="Abadi" w:hAnsi="Abadi" w:cs="Arial"/>
          <w:sz w:val="21"/>
          <w:szCs w:val="21"/>
        </w:rPr>
        <w:t>en</w:t>
      </w:r>
      <w:r w:rsidRPr="007C2763">
        <w:rPr>
          <w:rFonts w:ascii="Abadi" w:hAnsi="Abadi" w:cs="Arial"/>
          <w:spacing w:val="3"/>
          <w:sz w:val="21"/>
          <w:szCs w:val="21"/>
        </w:rPr>
        <w:t xml:space="preserve"> </w:t>
      </w:r>
      <w:r w:rsidRPr="007C2763">
        <w:rPr>
          <w:rFonts w:ascii="Abadi" w:hAnsi="Abadi" w:cs="Arial"/>
          <w:sz w:val="21"/>
          <w:szCs w:val="21"/>
        </w:rPr>
        <w:t>la</w:t>
      </w:r>
      <w:r w:rsidRPr="007C2763">
        <w:rPr>
          <w:rFonts w:ascii="Abadi" w:hAnsi="Abadi" w:cs="Arial"/>
          <w:spacing w:val="3"/>
          <w:sz w:val="21"/>
          <w:szCs w:val="21"/>
        </w:rPr>
        <w:t xml:space="preserve"> </w:t>
      </w:r>
      <w:r w:rsidRPr="007C2763">
        <w:rPr>
          <w:rFonts w:ascii="Abadi" w:hAnsi="Abadi" w:cs="Arial"/>
          <w:sz w:val="21"/>
          <w:szCs w:val="21"/>
        </w:rPr>
        <w:t>página</w:t>
      </w:r>
      <w:r w:rsidRPr="007C2763">
        <w:rPr>
          <w:rFonts w:ascii="Abadi" w:hAnsi="Abadi" w:cs="Arial"/>
          <w:spacing w:val="3"/>
          <w:sz w:val="21"/>
          <w:szCs w:val="21"/>
        </w:rPr>
        <w:t xml:space="preserve"> </w:t>
      </w:r>
      <w:r w:rsidRPr="007C2763">
        <w:rPr>
          <w:rFonts w:ascii="Abadi" w:hAnsi="Abadi" w:cs="Arial"/>
          <w:sz w:val="21"/>
          <w:szCs w:val="21"/>
        </w:rPr>
        <w:t>web</w:t>
      </w:r>
      <w:r w:rsidRPr="007C2763">
        <w:rPr>
          <w:rFonts w:ascii="Abadi" w:hAnsi="Abadi" w:cs="Arial"/>
          <w:spacing w:val="3"/>
          <w:sz w:val="21"/>
          <w:szCs w:val="21"/>
        </w:rPr>
        <w:t xml:space="preserve"> </w:t>
      </w:r>
      <w:r w:rsidRPr="007C2763">
        <w:rPr>
          <w:rFonts w:ascii="Abadi" w:hAnsi="Abadi" w:cs="Arial"/>
          <w:sz w:val="21"/>
          <w:szCs w:val="21"/>
        </w:rPr>
        <w:t>del</w:t>
      </w:r>
      <w:r w:rsidRPr="007C2763">
        <w:rPr>
          <w:rFonts w:ascii="Abadi" w:hAnsi="Abadi" w:cs="Arial"/>
          <w:spacing w:val="2"/>
          <w:sz w:val="21"/>
          <w:szCs w:val="21"/>
        </w:rPr>
        <w:t xml:space="preserve"> </w:t>
      </w:r>
      <w:r w:rsidRPr="007C2763">
        <w:rPr>
          <w:rFonts w:ascii="Abadi" w:hAnsi="Abadi" w:cs="Arial"/>
          <w:sz w:val="21"/>
          <w:szCs w:val="21"/>
        </w:rPr>
        <w:t>Congreso</w:t>
      </w:r>
      <w:r w:rsidRPr="007C2763">
        <w:rPr>
          <w:rFonts w:ascii="Abadi" w:hAnsi="Abadi" w:cs="Arial"/>
          <w:spacing w:val="3"/>
          <w:sz w:val="21"/>
          <w:szCs w:val="21"/>
        </w:rPr>
        <w:t xml:space="preserve"> </w:t>
      </w:r>
      <w:r w:rsidRPr="007C2763">
        <w:rPr>
          <w:rFonts w:ascii="Abadi" w:hAnsi="Abadi" w:cs="Arial"/>
          <w:sz w:val="21"/>
          <w:szCs w:val="21"/>
        </w:rPr>
        <w:t>del</w:t>
      </w:r>
      <w:r w:rsidRPr="007C2763">
        <w:rPr>
          <w:rFonts w:ascii="Abadi" w:hAnsi="Abadi" w:cs="Arial"/>
          <w:spacing w:val="2"/>
          <w:sz w:val="21"/>
          <w:szCs w:val="21"/>
        </w:rPr>
        <w:t xml:space="preserve"> </w:t>
      </w:r>
      <w:r w:rsidRPr="007C2763">
        <w:rPr>
          <w:rFonts w:ascii="Abadi" w:hAnsi="Abadi" w:cs="Arial"/>
          <w:sz w:val="21"/>
          <w:szCs w:val="21"/>
        </w:rPr>
        <w:t>Estado</w:t>
      </w:r>
      <w:r w:rsidRPr="007C2763">
        <w:rPr>
          <w:rFonts w:ascii="Abadi" w:hAnsi="Abadi" w:cs="Arial"/>
          <w:spacing w:val="3"/>
          <w:sz w:val="21"/>
          <w:szCs w:val="21"/>
        </w:rPr>
        <w:t xml:space="preserve"> </w:t>
      </w:r>
      <w:r w:rsidRPr="007C2763">
        <w:rPr>
          <w:rFonts w:ascii="Abadi" w:hAnsi="Abadi" w:cs="Arial"/>
          <w:sz w:val="21"/>
          <w:szCs w:val="21"/>
        </w:rPr>
        <w:t>durante</w:t>
      </w:r>
      <w:r w:rsidRPr="007C2763">
        <w:rPr>
          <w:rFonts w:ascii="Abadi" w:hAnsi="Abadi" w:cs="Arial"/>
          <w:spacing w:val="3"/>
          <w:sz w:val="21"/>
          <w:szCs w:val="21"/>
        </w:rPr>
        <w:t xml:space="preserve"> </w:t>
      </w:r>
      <w:r w:rsidRPr="007C2763">
        <w:rPr>
          <w:rFonts w:ascii="Abadi" w:hAnsi="Abadi" w:cs="Arial"/>
          <w:sz w:val="21"/>
          <w:szCs w:val="21"/>
        </w:rPr>
        <w:t>20 días</w:t>
      </w:r>
      <w:r w:rsidRPr="007C2763">
        <w:rPr>
          <w:rFonts w:ascii="Abadi" w:hAnsi="Abadi" w:cs="Arial"/>
          <w:spacing w:val="56"/>
          <w:sz w:val="21"/>
          <w:szCs w:val="21"/>
        </w:rPr>
        <w:t xml:space="preserve"> </w:t>
      </w:r>
      <w:r w:rsidRPr="007C2763">
        <w:rPr>
          <w:rFonts w:ascii="Abadi" w:hAnsi="Abadi" w:cs="Arial"/>
          <w:sz w:val="21"/>
          <w:szCs w:val="21"/>
        </w:rPr>
        <w:t>hábiles,</w:t>
      </w:r>
      <w:r w:rsidRPr="007C2763">
        <w:rPr>
          <w:rFonts w:ascii="Abadi" w:hAnsi="Abadi" w:cs="Arial"/>
          <w:spacing w:val="54"/>
          <w:sz w:val="21"/>
          <w:szCs w:val="21"/>
        </w:rPr>
        <w:t xml:space="preserve"> </w:t>
      </w:r>
      <w:r w:rsidRPr="007C2763">
        <w:rPr>
          <w:rFonts w:ascii="Abadi" w:hAnsi="Abadi" w:cs="Arial"/>
          <w:sz w:val="21"/>
          <w:szCs w:val="21"/>
        </w:rPr>
        <w:t>para</w:t>
      </w:r>
      <w:r w:rsidRPr="007C2763">
        <w:rPr>
          <w:rFonts w:ascii="Abadi" w:hAnsi="Abadi" w:cs="Arial"/>
          <w:spacing w:val="55"/>
          <w:sz w:val="21"/>
          <w:szCs w:val="21"/>
        </w:rPr>
        <w:t xml:space="preserve"> </w:t>
      </w:r>
      <w:r w:rsidRPr="007C2763">
        <w:rPr>
          <w:rFonts w:ascii="Abadi" w:hAnsi="Abadi" w:cs="Arial"/>
          <w:sz w:val="21"/>
          <w:szCs w:val="21"/>
        </w:rPr>
        <w:t>que</w:t>
      </w:r>
      <w:r w:rsidRPr="007C2763">
        <w:rPr>
          <w:rFonts w:ascii="Abadi" w:hAnsi="Abadi" w:cs="Arial"/>
          <w:spacing w:val="56"/>
          <w:sz w:val="21"/>
          <w:szCs w:val="21"/>
        </w:rPr>
        <w:t xml:space="preserve"> </w:t>
      </w:r>
      <w:r w:rsidRPr="007C2763">
        <w:rPr>
          <w:rFonts w:ascii="Abadi" w:hAnsi="Abadi" w:cs="Arial"/>
          <w:sz w:val="21"/>
          <w:szCs w:val="21"/>
        </w:rPr>
        <w:t>se</w:t>
      </w:r>
      <w:r w:rsidRPr="007C2763">
        <w:rPr>
          <w:rFonts w:ascii="Abadi" w:hAnsi="Abadi" w:cs="Arial"/>
          <w:spacing w:val="56"/>
          <w:sz w:val="21"/>
          <w:szCs w:val="21"/>
        </w:rPr>
        <w:t xml:space="preserve"> </w:t>
      </w:r>
      <w:r w:rsidRPr="007C2763">
        <w:rPr>
          <w:rFonts w:ascii="Abadi" w:hAnsi="Abadi" w:cs="Arial"/>
          <w:sz w:val="21"/>
          <w:szCs w:val="21"/>
        </w:rPr>
        <w:t>ponga</w:t>
      </w:r>
      <w:r w:rsidRPr="007C2763">
        <w:rPr>
          <w:rFonts w:ascii="Abadi" w:hAnsi="Abadi" w:cs="Arial"/>
          <w:spacing w:val="55"/>
          <w:sz w:val="21"/>
          <w:szCs w:val="21"/>
        </w:rPr>
        <w:t xml:space="preserve"> </w:t>
      </w:r>
      <w:r w:rsidRPr="007C2763">
        <w:rPr>
          <w:rFonts w:ascii="Abadi" w:hAnsi="Abadi" w:cs="Arial"/>
          <w:sz w:val="21"/>
          <w:szCs w:val="21"/>
        </w:rPr>
        <w:t>a</w:t>
      </w:r>
      <w:r w:rsidRPr="007C2763">
        <w:rPr>
          <w:rFonts w:ascii="Abadi" w:hAnsi="Abadi" w:cs="Arial"/>
          <w:spacing w:val="56"/>
          <w:sz w:val="21"/>
          <w:szCs w:val="21"/>
        </w:rPr>
        <w:t xml:space="preserve"> </w:t>
      </w:r>
      <w:r w:rsidRPr="007C2763">
        <w:rPr>
          <w:rFonts w:ascii="Abadi" w:hAnsi="Abadi" w:cs="Arial"/>
          <w:sz w:val="21"/>
          <w:szCs w:val="21"/>
        </w:rPr>
        <w:t>disposición</w:t>
      </w:r>
      <w:r w:rsidRPr="007C2763">
        <w:rPr>
          <w:rFonts w:ascii="Abadi" w:hAnsi="Abadi" w:cs="Arial"/>
          <w:spacing w:val="56"/>
          <w:sz w:val="21"/>
          <w:szCs w:val="21"/>
        </w:rPr>
        <w:t xml:space="preserve"> </w:t>
      </w:r>
      <w:r w:rsidRPr="007C2763">
        <w:rPr>
          <w:rFonts w:ascii="Abadi" w:hAnsi="Abadi" w:cs="Arial"/>
          <w:sz w:val="21"/>
          <w:szCs w:val="21"/>
        </w:rPr>
        <w:t>de</w:t>
      </w:r>
      <w:r w:rsidRPr="007C2763">
        <w:rPr>
          <w:rFonts w:ascii="Abadi" w:hAnsi="Abadi" w:cs="Arial"/>
          <w:spacing w:val="55"/>
          <w:sz w:val="21"/>
          <w:szCs w:val="21"/>
        </w:rPr>
        <w:t xml:space="preserve"> </w:t>
      </w:r>
      <w:r w:rsidRPr="007C2763">
        <w:rPr>
          <w:rFonts w:ascii="Abadi" w:hAnsi="Abadi" w:cs="Arial"/>
          <w:sz w:val="21"/>
          <w:szCs w:val="21"/>
        </w:rPr>
        <w:t>la</w:t>
      </w:r>
      <w:r w:rsidRPr="007C2763">
        <w:rPr>
          <w:rFonts w:ascii="Abadi" w:hAnsi="Abadi" w:cs="Arial"/>
          <w:spacing w:val="56"/>
          <w:sz w:val="21"/>
          <w:szCs w:val="21"/>
        </w:rPr>
        <w:t xml:space="preserve"> </w:t>
      </w:r>
      <w:r w:rsidRPr="007C2763">
        <w:rPr>
          <w:rFonts w:ascii="Abadi" w:hAnsi="Abadi" w:cs="Arial"/>
          <w:sz w:val="21"/>
          <w:szCs w:val="21"/>
        </w:rPr>
        <w:t>ciudadanía</w:t>
      </w:r>
      <w:r w:rsidRPr="007C2763">
        <w:rPr>
          <w:rFonts w:ascii="Abadi" w:hAnsi="Abadi" w:cs="Arial"/>
          <w:spacing w:val="54"/>
          <w:sz w:val="21"/>
          <w:szCs w:val="21"/>
        </w:rPr>
        <w:t xml:space="preserve"> </w:t>
      </w:r>
      <w:r w:rsidRPr="007C2763">
        <w:rPr>
          <w:rFonts w:ascii="Abadi" w:hAnsi="Abadi" w:cs="Arial"/>
          <w:sz w:val="21"/>
          <w:szCs w:val="21"/>
        </w:rPr>
        <w:t>y</w:t>
      </w:r>
      <w:r w:rsidRPr="007C2763">
        <w:rPr>
          <w:rFonts w:ascii="Abadi" w:hAnsi="Abadi" w:cs="Arial"/>
          <w:spacing w:val="55"/>
          <w:sz w:val="21"/>
          <w:szCs w:val="21"/>
        </w:rPr>
        <w:t xml:space="preserve"> </w:t>
      </w:r>
      <w:r w:rsidRPr="007C2763">
        <w:rPr>
          <w:rFonts w:ascii="Abadi" w:hAnsi="Abadi" w:cs="Arial"/>
          <w:sz w:val="21"/>
          <w:szCs w:val="21"/>
        </w:rPr>
        <w:t>envíen</w:t>
      </w:r>
      <w:r w:rsidRPr="007C2763">
        <w:rPr>
          <w:rFonts w:ascii="Abadi" w:hAnsi="Abadi" w:cs="Arial"/>
          <w:spacing w:val="56"/>
          <w:sz w:val="21"/>
          <w:szCs w:val="21"/>
        </w:rPr>
        <w:t xml:space="preserve"> </w:t>
      </w:r>
      <w:r w:rsidRPr="007C2763">
        <w:rPr>
          <w:rFonts w:ascii="Abadi" w:hAnsi="Abadi" w:cs="Arial"/>
          <w:sz w:val="21"/>
          <w:szCs w:val="21"/>
        </w:rPr>
        <w:t>sus comentarios y</w:t>
      </w:r>
      <w:r w:rsidRPr="007C2763">
        <w:rPr>
          <w:rFonts w:ascii="Abadi" w:hAnsi="Abadi" w:cs="Arial"/>
          <w:spacing w:val="-2"/>
          <w:sz w:val="21"/>
          <w:szCs w:val="21"/>
        </w:rPr>
        <w:t xml:space="preserve"> </w:t>
      </w:r>
      <w:r w:rsidRPr="007C2763">
        <w:rPr>
          <w:rFonts w:ascii="Abadi" w:hAnsi="Abadi" w:cs="Arial"/>
          <w:sz w:val="21"/>
          <w:szCs w:val="21"/>
        </w:rPr>
        <w:t>observaciones</w:t>
      </w:r>
      <w:r w:rsidRPr="007C2763">
        <w:rPr>
          <w:rFonts w:ascii="Abadi" w:hAnsi="Abadi" w:cs="Arial"/>
          <w:spacing w:val="-2"/>
          <w:sz w:val="21"/>
          <w:szCs w:val="21"/>
        </w:rPr>
        <w:t xml:space="preserve"> </w:t>
      </w:r>
      <w:r w:rsidRPr="007C2763">
        <w:rPr>
          <w:rFonts w:ascii="Abadi" w:hAnsi="Abadi" w:cs="Arial"/>
          <w:sz w:val="21"/>
          <w:szCs w:val="21"/>
        </w:rPr>
        <w:t>a</w:t>
      </w:r>
      <w:r w:rsidRPr="007C2763">
        <w:rPr>
          <w:rFonts w:ascii="Abadi" w:hAnsi="Abadi" w:cs="Arial"/>
          <w:spacing w:val="1"/>
          <w:sz w:val="21"/>
          <w:szCs w:val="21"/>
        </w:rPr>
        <w:t xml:space="preserve"> </w:t>
      </w:r>
      <w:r w:rsidRPr="007C2763">
        <w:rPr>
          <w:rFonts w:ascii="Abadi" w:hAnsi="Abadi" w:cs="Arial"/>
          <w:sz w:val="21"/>
          <w:szCs w:val="21"/>
        </w:rPr>
        <w:t>la</w:t>
      </w:r>
      <w:r w:rsidRPr="007C2763">
        <w:rPr>
          <w:rFonts w:ascii="Abadi" w:hAnsi="Abadi" w:cs="Arial"/>
          <w:spacing w:val="1"/>
          <w:sz w:val="21"/>
          <w:szCs w:val="21"/>
        </w:rPr>
        <w:t xml:space="preserve"> </w:t>
      </w:r>
      <w:r w:rsidRPr="007C2763">
        <w:rPr>
          <w:rFonts w:ascii="Abadi" w:hAnsi="Abadi" w:cs="Arial"/>
          <w:sz w:val="21"/>
          <w:szCs w:val="21"/>
        </w:rPr>
        <w:t>Comisión.</w:t>
      </w:r>
    </w:p>
    <w:p w14:paraId="46A49746" w14:textId="77777777" w:rsidR="00374A1E" w:rsidRPr="007C2763" w:rsidRDefault="00374A1E" w:rsidP="00374A1E">
      <w:pPr>
        <w:kinsoku w:val="0"/>
        <w:overflowPunct w:val="0"/>
        <w:autoSpaceDE w:val="0"/>
        <w:autoSpaceDN w:val="0"/>
        <w:adjustRightInd w:val="0"/>
        <w:jc w:val="both"/>
        <w:rPr>
          <w:rFonts w:ascii="Abadi" w:hAnsi="Abadi" w:cs="Arial"/>
          <w:sz w:val="21"/>
          <w:szCs w:val="21"/>
        </w:rPr>
      </w:pPr>
    </w:p>
    <w:p w14:paraId="334C418E" w14:textId="26151E3E" w:rsidR="00374A1E" w:rsidRPr="007C2763" w:rsidRDefault="002F3E07" w:rsidP="002F3E07">
      <w:pPr>
        <w:tabs>
          <w:tab w:val="left" w:pos="412"/>
        </w:tabs>
        <w:kinsoku w:val="0"/>
        <w:overflowPunct w:val="0"/>
        <w:autoSpaceDE w:val="0"/>
        <w:autoSpaceDN w:val="0"/>
        <w:adjustRightInd w:val="0"/>
        <w:ind w:right="116"/>
        <w:jc w:val="both"/>
        <w:rPr>
          <w:rFonts w:ascii="Abadi" w:hAnsi="Abadi" w:cs="Arial"/>
          <w:sz w:val="21"/>
          <w:szCs w:val="21"/>
        </w:rPr>
      </w:pPr>
      <w:r w:rsidRPr="007C2763">
        <w:rPr>
          <w:rFonts w:ascii="Abadi" w:hAnsi="Abadi" w:cs="Arial"/>
          <w:sz w:val="21"/>
          <w:szCs w:val="21"/>
        </w:rPr>
        <w:t xml:space="preserve">4. </w:t>
      </w:r>
      <w:r w:rsidR="00374A1E" w:rsidRPr="007C2763">
        <w:rPr>
          <w:rFonts w:ascii="Abadi" w:hAnsi="Abadi" w:cs="Arial"/>
          <w:sz w:val="21"/>
          <w:szCs w:val="21"/>
        </w:rPr>
        <w:t>Consultar</w:t>
      </w:r>
      <w:r w:rsidR="00374A1E" w:rsidRPr="007C2763">
        <w:rPr>
          <w:rFonts w:ascii="Abadi" w:hAnsi="Abadi" w:cs="Arial"/>
          <w:spacing w:val="39"/>
          <w:sz w:val="21"/>
          <w:szCs w:val="21"/>
        </w:rPr>
        <w:t xml:space="preserve"> </w:t>
      </w:r>
      <w:r w:rsidR="00374A1E" w:rsidRPr="007C2763">
        <w:rPr>
          <w:rFonts w:ascii="Abadi" w:hAnsi="Abadi" w:cs="Arial"/>
          <w:sz w:val="21"/>
          <w:szCs w:val="21"/>
        </w:rPr>
        <w:t>al</w:t>
      </w:r>
      <w:r w:rsidR="00374A1E" w:rsidRPr="007C2763">
        <w:rPr>
          <w:rFonts w:ascii="Abadi" w:hAnsi="Abadi" w:cs="Arial"/>
          <w:spacing w:val="41"/>
          <w:sz w:val="21"/>
          <w:szCs w:val="21"/>
        </w:rPr>
        <w:t xml:space="preserve"> </w:t>
      </w:r>
      <w:r w:rsidR="00374A1E" w:rsidRPr="007C2763">
        <w:rPr>
          <w:rFonts w:ascii="Abadi" w:hAnsi="Abadi" w:cs="Arial"/>
          <w:sz w:val="21"/>
          <w:szCs w:val="21"/>
        </w:rPr>
        <w:t>H.</w:t>
      </w:r>
      <w:r w:rsidR="00374A1E" w:rsidRPr="007C2763">
        <w:rPr>
          <w:rFonts w:ascii="Abadi" w:hAnsi="Abadi" w:cs="Arial"/>
          <w:spacing w:val="42"/>
          <w:sz w:val="21"/>
          <w:szCs w:val="21"/>
        </w:rPr>
        <w:t xml:space="preserve"> </w:t>
      </w:r>
      <w:r w:rsidR="00374A1E" w:rsidRPr="007C2763">
        <w:rPr>
          <w:rFonts w:ascii="Abadi" w:hAnsi="Abadi" w:cs="Arial"/>
          <w:sz w:val="21"/>
          <w:szCs w:val="21"/>
        </w:rPr>
        <w:t>Ayuntamiento</w:t>
      </w:r>
      <w:r w:rsidR="00374A1E" w:rsidRPr="007C2763">
        <w:rPr>
          <w:rFonts w:ascii="Abadi" w:hAnsi="Abadi" w:cs="Arial"/>
          <w:spacing w:val="41"/>
          <w:sz w:val="21"/>
          <w:szCs w:val="21"/>
        </w:rPr>
        <w:t xml:space="preserve"> </w:t>
      </w:r>
      <w:r w:rsidR="00374A1E" w:rsidRPr="007C2763">
        <w:rPr>
          <w:rFonts w:ascii="Abadi" w:hAnsi="Abadi" w:cs="Arial"/>
          <w:sz w:val="21"/>
          <w:szCs w:val="21"/>
        </w:rPr>
        <w:t>de</w:t>
      </w:r>
      <w:r w:rsidR="00374A1E" w:rsidRPr="007C2763">
        <w:rPr>
          <w:rFonts w:ascii="Abadi" w:hAnsi="Abadi" w:cs="Arial"/>
          <w:spacing w:val="42"/>
          <w:sz w:val="21"/>
          <w:szCs w:val="21"/>
        </w:rPr>
        <w:t xml:space="preserve"> </w:t>
      </w:r>
      <w:r w:rsidR="00374A1E" w:rsidRPr="007C2763">
        <w:rPr>
          <w:rFonts w:ascii="Abadi" w:hAnsi="Abadi" w:cs="Arial"/>
          <w:sz w:val="21"/>
          <w:szCs w:val="21"/>
        </w:rPr>
        <w:t>Doctor</w:t>
      </w:r>
      <w:r w:rsidR="00374A1E" w:rsidRPr="007C2763">
        <w:rPr>
          <w:rFonts w:ascii="Abadi" w:hAnsi="Abadi" w:cs="Arial"/>
          <w:spacing w:val="38"/>
          <w:sz w:val="21"/>
          <w:szCs w:val="21"/>
        </w:rPr>
        <w:t xml:space="preserve"> </w:t>
      </w:r>
      <w:r w:rsidR="00374A1E" w:rsidRPr="007C2763">
        <w:rPr>
          <w:rFonts w:ascii="Abadi" w:hAnsi="Abadi" w:cs="Arial"/>
          <w:sz w:val="21"/>
          <w:szCs w:val="21"/>
        </w:rPr>
        <w:t>Mora,</w:t>
      </w:r>
      <w:r w:rsidR="00374A1E" w:rsidRPr="007C2763">
        <w:rPr>
          <w:rFonts w:ascii="Abadi" w:hAnsi="Abadi" w:cs="Arial"/>
          <w:spacing w:val="41"/>
          <w:sz w:val="21"/>
          <w:szCs w:val="21"/>
        </w:rPr>
        <w:t xml:space="preserve"> </w:t>
      </w:r>
      <w:r w:rsidR="00374A1E" w:rsidRPr="007C2763">
        <w:rPr>
          <w:rFonts w:ascii="Abadi" w:hAnsi="Abadi" w:cs="Arial"/>
          <w:sz w:val="21"/>
          <w:szCs w:val="21"/>
        </w:rPr>
        <w:t>Guanajuato.,</w:t>
      </w:r>
      <w:r w:rsidR="00374A1E" w:rsidRPr="007C2763">
        <w:rPr>
          <w:rFonts w:ascii="Abadi" w:hAnsi="Abadi" w:cs="Arial"/>
          <w:spacing w:val="39"/>
          <w:sz w:val="21"/>
          <w:szCs w:val="21"/>
        </w:rPr>
        <w:t xml:space="preserve"> </w:t>
      </w:r>
      <w:r w:rsidR="00374A1E" w:rsidRPr="007C2763">
        <w:rPr>
          <w:rFonts w:ascii="Abadi" w:hAnsi="Abadi" w:cs="Arial"/>
          <w:sz w:val="21"/>
          <w:szCs w:val="21"/>
        </w:rPr>
        <w:t>a</w:t>
      </w:r>
      <w:r w:rsidR="00374A1E" w:rsidRPr="007C2763">
        <w:rPr>
          <w:rFonts w:ascii="Abadi" w:hAnsi="Abadi" w:cs="Arial"/>
          <w:spacing w:val="40"/>
          <w:sz w:val="21"/>
          <w:szCs w:val="21"/>
        </w:rPr>
        <w:t xml:space="preserve"> </w:t>
      </w:r>
      <w:r w:rsidR="00374A1E" w:rsidRPr="007C2763">
        <w:rPr>
          <w:rFonts w:ascii="Abadi" w:hAnsi="Abadi" w:cs="Arial"/>
          <w:sz w:val="21"/>
          <w:szCs w:val="21"/>
        </w:rPr>
        <w:t>efecto</w:t>
      </w:r>
      <w:r w:rsidR="00374A1E" w:rsidRPr="007C2763">
        <w:rPr>
          <w:rFonts w:ascii="Abadi" w:hAnsi="Abadi" w:cs="Arial"/>
          <w:spacing w:val="39"/>
          <w:sz w:val="21"/>
          <w:szCs w:val="21"/>
        </w:rPr>
        <w:t xml:space="preserve"> </w:t>
      </w:r>
      <w:r w:rsidR="00374A1E" w:rsidRPr="007C2763">
        <w:rPr>
          <w:rFonts w:ascii="Abadi" w:hAnsi="Abadi" w:cs="Arial"/>
          <w:sz w:val="21"/>
          <w:szCs w:val="21"/>
        </w:rPr>
        <w:t>de</w:t>
      </w:r>
      <w:r w:rsidR="00374A1E" w:rsidRPr="007C2763">
        <w:rPr>
          <w:rFonts w:ascii="Abadi" w:hAnsi="Abadi" w:cs="Arial"/>
          <w:spacing w:val="42"/>
          <w:sz w:val="21"/>
          <w:szCs w:val="21"/>
        </w:rPr>
        <w:t xml:space="preserve"> </w:t>
      </w:r>
      <w:r w:rsidR="00374A1E" w:rsidRPr="007C2763">
        <w:rPr>
          <w:rFonts w:ascii="Abadi" w:hAnsi="Abadi" w:cs="Arial"/>
          <w:sz w:val="21"/>
          <w:szCs w:val="21"/>
        </w:rPr>
        <w:t>que remita</w:t>
      </w:r>
      <w:r w:rsidR="00374A1E" w:rsidRPr="007C2763">
        <w:rPr>
          <w:rFonts w:ascii="Abadi" w:hAnsi="Abadi" w:cs="Arial"/>
          <w:spacing w:val="49"/>
          <w:sz w:val="21"/>
          <w:szCs w:val="21"/>
        </w:rPr>
        <w:t xml:space="preserve"> </w:t>
      </w:r>
      <w:r w:rsidR="00374A1E" w:rsidRPr="007C2763">
        <w:rPr>
          <w:rFonts w:ascii="Abadi" w:hAnsi="Abadi" w:cs="Arial"/>
          <w:sz w:val="21"/>
          <w:szCs w:val="21"/>
        </w:rPr>
        <w:t>sus</w:t>
      </w:r>
      <w:r w:rsidR="00374A1E" w:rsidRPr="007C2763">
        <w:rPr>
          <w:rFonts w:ascii="Abadi" w:hAnsi="Abadi" w:cs="Arial"/>
          <w:spacing w:val="47"/>
          <w:sz w:val="21"/>
          <w:szCs w:val="21"/>
        </w:rPr>
        <w:t xml:space="preserve"> </w:t>
      </w:r>
      <w:r w:rsidR="00374A1E" w:rsidRPr="007C2763">
        <w:rPr>
          <w:rFonts w:ascii="Abadi" w:hAnsi="Abadi" w:cs="Arial"/>
          <w:sz w:val="21"/>
          <w:szCs w:val="21"/>
        </w:rPr>
        <w:t>observaciones</w:t>
      </w:r>
      <w:r w:rsidR="00374A1E" w:rsidRPr="007C2763">
        <w:rPr>
          <w:rFonts w:ascii="Abadi" w:hAnsi="Abadi" w:cs="Arial"/>
          <w:spacing w:val="48"/>
          <w:sz w:val="21"/>
          <w:szCs w:val="21"/>
        </w:rPr>
        <w:t xml:space="preserve"> </w:t>
      </w:r>
      <w:r w:rsidR="00374A1E" w:rsidRPr="007C2763">
        <w:rPr>
          <w:rFonts w:ascii="Abadi" w:hAnsi="Abadi" w:cs="Arial"/>
          <w:sz w:val="21"/>
          <w:szCs w:val="21"/>
        </w:rPr>
        <w:t>en</w:t>
      </w:r>
      <w:r w:rsidR="00374A1E" w:rsidRPr="007C2763">
        <w:rPr>
          <w:rFonts w:ascii="Abadi" w:hAnsi="Abadi" w:cs="Arial"/>
          <w:spacing w:val="49"/>
          <w:sz w:val="21"/>
          <w:szCs w:val="21"/>
        </w:rPr>
        <w:t xml:space="preserve"> </w:t>
      </w:r>
      <w:r w:rsidR="00374A1E" w:rsidRPr="007C2763">
        <w:rPr>
          <w:rFonts w:ascii="Abadi" w:hAnsi="Abadi" w:cs="Arial"/>
          <w:sz w:val="21"/>
          <w:szCs w:val="21"/>
        </w:rPr>
        <w:t>un</w:t>
      </w:r>
      <w:r w:rsidR="00374A1E" w:rsidRPr="007C2763">
        <w:rPr>
          <w:rFonts w:ascii="Abadi" w:hAnsi="Abadi" w:cs="Arial"/>
          <w:spacing w:val="48"/>
          <w:sz w:val="21"/>
          <w:szCs w:val="21"/>
        </w:rPr>
        <w:t xml:space="preserve"> </w:t>
      </w:r>
      <w:r w:rsidR="00374A1E" w:rsidRPr="007C2763">
        <w:rPr>
          <w:rFonts w:ascii="Abadi" w:hAnsi="Abadi" w:cs="Arial"/>
          <w:sz w:val="21"/>
          <w:szCs w:val="21"/>
        </w:rPr>
        <w:t>plazo</w:t>
      </w:r>
      <w:r w:rsidR="00374A1E" w:rsidRPr="007C2763">
        <w:rPr>
          <w:rFonts w:ascii="Abadi" w:hAnsi="Abadi" w:cs="Arial"/>
          <w:spacing w:val="49"/>
          <w:sz w:val="21"/>
          <w:szCs w:val="21"/>
        </w:rPr>
        <w:t xml:space="preserve"> </w:t>
      </w:r>
      <w:r w:rsidR="00374A1E" w:rsidRPr="007C2763">
        <w:rPr>
          <w:rFonts w:ascii="Abadi" w:hAnsi="Abadi" w:cs="Arial"/>
          <w:sz w:val="21"/>
          <w:szCs w:val="21"/>
        </w:rPr>
        <w:t>de</w:t>
      </w:r>
      <w:r w:rsidR="00374A1E" w:rsidRPr="007C2763">
        <w:rPr>
          <w:rFonts w:ascii="Abadi" w:hAnsi="Abadi" w:cs="Arial"/>
          <w:spacing w:val="49"/>
          <w:sz w:val="21"/>
          <w:szCs w:val="21"/>
        </w:rPr>
        <w:t xml:space="preserve"> </w:t>
      </w:r>
      <w:r w:rsidR="00374A1E" w:rsidRPr="007C2763">
        <w:rPr>
          <w:rFonts w:ascii="Abadi" w:hAnsi="Abadi" w:cs="Arial"/>
          <w:sz w:val="21"/>
          <w:szCs w:val="21"/>
        </w:rPr>
        <w:t>20</w:t>
      </w:r>
      <w:r w:rsidR="00374A1E" w:rsidRPr="007C2763">
        <w:rPr>
          <w:rFonts w:ascii="Abadi" w:hAnsi="Abadi" w:cs="Arial"/>
          <w:spacing w:val="48"/>
          <w:sz w:val="21"/>
          <w:szCs w:val="21"/>
        </w:rPr>
        <w:t xml:space="preserve"> </w:t>
      </w:r>
      <w:r w:rsidR="00374A1E" w:rsidRPr="007C2763">
        <w:rPr>
          <w:rFonts w:ascii="Abadi" w:hAnsi="Abadi" w:cs="Arial"/>
          <w:sz w:val="21"/>
          <w:szCs w:val="21"/>
        </w:rPr>
        <w:t>días</w:t>
      </w:r>
      <w:r w:rsidR="00374A1E" w:rsidRPr="007C2763">
        <w:rPr>
          <w:rFonts w:ascii="Abadi" w:hAnsi="Abadi" w:cs="Arial"/>
          <w:spacing w:val="48"/>
          <w:sz w:val="21"/>
          <w:szCs w:val="21"/>
        </w:rPr>
        <w:t xml:space="preserve"> </w:t>
      </w:r>
      <w:r w:rsidR="00374A1E" w:rsidRPr="007C2763">
        <w:rPr>
          <w:rFonts w:ascii="Abadi" w:hAnsi="Abadi" w:cs="Arial"/>
          <w:sz w:val="21"/>
          <w:szCs w:val="21"/>
        </w:rPr>
        <w:t>hábiles,</w:t>
      </w:r>
      <w:r w:rsidR="00374A1E" w:rsidRPr="007C2763">
        <w:rPr>
          <w:rFonts w:ascii="Abadi" w:hAnsi="Abadi" w:cs="Arial"/>
          <w:spacing w:val="49"/>
          <w:sz w:val="21"/>
          <w:szCs w:val="21"/>
        </w:rPr>
        <w:t xml:space="preserve"> </w:t>
      </w:r>
      <w:r w:rsidR="00374A1E" w:rsidRPr="007C2763">
        <w:rPr>
          <w:rFonts w:ascii="Abadi" w:hAnsi="Abadi" w:cs="Arial"/>
          <w:sz w:val="21"/>
          <w:szCs w:val="21"/>
        </w:rPr>
        <w:t>en</w:t>
      </w:r>
      <w:r w:rsidR="00374A1E" w:rsidRPr="007C2763">
        <w:rPr>
          <w:rFonts w:ascii="Abadi" w:hAnsi="Abadi" w:cs="Arial"/>
          <w:spacing w:val="48"/>
          <w:sz w:val="21"/>
          <w:szCs w:val="21"/>
        </w:rPr>
        <w:t xml:space="preserve"> </w:t>
      </w:r>
      <w:r w:rsidR="00374A1E" w:rsidRPr="007C2763">
        <w:rPr>
          <w:rFonts w:ascii="Abadi" w:hAnsi="Abadi" w:cs="Arial"/>
          <w:sz w:val="21"/>
          <w:szCs w:val="21"/>
        </w:rPr>
        <w:t>los</w:t>
      </w:r>
      <w:r w:rsidR="00374A1E" w:rsidRPr="007C2763">
        <w:rPr>
          <w:rFonts w:ascii="Abadi" w:hAnsi="Abadi" w:cs="Arial"/>
          <w:spacing w:val="51"/>
          <w:sz w:val="21"/>
          <w:szCs w:val="21"/>
        </w:rPr>
        <w:t xml:space="preserve"> </w:t>
      </w:r>
      <w:r w:rsidR="00374A1E" w:rsidRPr="007C2763">
        <w:rPr>
          <w:rFonts w:ascii="Abadi" w:hAnsi="Abadi" w:cs="Arial"/>
          <w:sz w:val="21"/>
          <w:szCs w:val="21"/>
        </w:rPr>
        <w:t>términos</w:t>
      </w:r>
      <w:r w:rsidR="00374A1E" w:rsidRPr="007C2763">
        <w:rPr>
          <w:rFonts w:ascii="Abadi" w:hAnsi="Abadi" w:cs="Arial"/>
          <w:spacing w:val="48"/>
          <w:sz w:val="21"/>
          <w:szCs w:val="21"/>
        </w:rPr>
        <w:t xml:space="preserve"> </w:t>
      </w:r>
      <w:r w:rsidR="00374A1E" w:rsidRPr="007C2763">
        <w:rPr>
          <w:rFonts w:ascii="Abadi" w:hAnsi="Abadi" w:cs="Arial"/>
          <w:sz w:val="21"/>
          <w:szCs w:val="21"/>
        </w:rPr>
        <w:t>del artículo</w:t>
      </w:r>
      <w:r w:rsidR="00374A1E" w:rsidRPr="007C2763">
        <w:rPr>
          <w:rFonts w:ascii="Abadi" w:hAnsi="Abadi" w:cs="Arial"/>
          <w:spacing w:val="-1"/>
          <w:sz w:val="21"/>
          <w:szCs w:val="21"/>
        </w:rPr>
        <w:t xml:space="preserve"> </w:t>
      </w:r>
      <w:r w:rsidR="00374A1E" w:rsidRPr="007C2763">
        <w:rPr>
          <w:rFonts w:ascii="Abadi" w:hAnsi="Abadi" w:cs="Arial"/>
          <w:sz w:val="21"/>
          <w:szCs w:val="21"/>
        </w:rPr>
        <w:t>56</w:t>
      </w:r>
      <w:r w:rsidR="00374A1E" w:rsidRPr="007C2763">
        <w:rPr>
          <w:rFonts w:ascii="Abadi" w:hAnsi="Abadi" w:cs="Arial"/>
          <w:spacing w:val="-1"/>
          <w:sz w:val="21"/>
          <w:szCs w:val="21"/>
        </w:rPr>
        <w:t xml:space="preserve"> </w:t>
      </w:r>
      <w:r w:rsidR="00374A1E" w:rsidRPr="007C2763">
        <w:rPr>
          <w:rFonts w:ascii="Abadi" w:hAnsi="Abadi" w:cs="Arial"/>
          <w:sz w:val="21"/>
          <w:szCs w:val="21"/>
        </w:rPr>
        <w:t>de</w:t>
      </w:r>
      <w:r w:rsidR="00374A1E" w:rsidRPr="007C2763">
        <w:rPr>
          <w:rFonts w:ascii="Abadi" w:hAnsi="Abadi" w:cs="Arial"/>
          <w:spacing w:val="1"/>
          <w:sz w:val="21"/>
          <w:szCs w:val="21"/>
        </w:rPr>
        <w:t xml:space="preserve"> </w:t>
      </w:r>
      <w:r w:rsidR="00374A1E" w:rsidRPr="007C2763">
        <w:rPr>
          <w:rFonts w:ascii="Abadi" w:hAnsi="Abadi" w:cs="Arial"/>
          <w:sz w:val="21"/>
          <w:szCs w:val="21"/>
        </w:rPr>
        <w:t>la</w:t>
      </w:r>
      <w:r w:rsidR="00374A1E" w:rsidRPr="007C2763">
        <w:rPr>
          <w:rFonts w:ascii="Abadi" w:hAnsi="Abadi" w:cs="Arial"/>
          <w:spacing w:val="-1"/>
          <w:sz w:val="21"/>
          <w:szCs w:val="21"/>
        </w:rPr>
        <w:t xml:space="preserve"> </w:t>
      </w:r>
      <w:r w:rsidR="00374A1E" w:rsidRPr="007C2763">
        <w:rPr>
          <w:rFonts w:ascii="Abadi" w:hAnsi="Abadi" w:cs="Arial"/>
          <w:sz w:val="21"/>
          <w:szCs w:val="21"/>
        </w:rPr>
        <w:t>Constitución</w:t>
      </w:r>
      <w:r w:rsidR="00374A1E" w:rsidRPr="007C2763">
        <w:rPr>
          <w:rFonts w:ascii="Abadi" w:hAnsi="Abadi" w:cs="Arial"/>
          <w:spacing w:val="-1"/>
          <w:sz w:val="21"/>
          <w:szCs w:val="21"/>
        </w:rPr>
        <w:t xml:space="preserve"> </w:t>
      </w:r>
      <w:r w:rsidR="00374A1E" w:rsidRPr="007C2763">
        <w:rPr>
          <w:rFonts w:ascii="Abadi" w:hAnsi="Abadi" w:cs="Arial"/>
          <w:sz w:val="21"/>
          <w:szCs w:val="21"/>
        </w:rPr>
        <w:t>del Estado.</w:t>
      </w:r>
    </w:p>
    <w:p w14:paraId="0F7BB85C" w14:textId="77777777" w:rsidR="00374A1E" w:rsidRPr="007C2763" w:rsidRDefault="00374A1E" w:rsidP="00374A1E">
      <w:pPr>
        <w:kinsoku w:val="0"/>
        <w:overflowPunct w:val="0"/>
        <w:autoSpaceDE w:val="0"/>
        <w:autoSpaceDN w:val="0"/>
        <w:adjustRightInd w:val="0"/>
        <w:jc w:val="both"/>
        <w:rPr>
          <w:rFonts w:ascii="Abadi" w:hAnsi="Abadi" w:cs="Arial"/>
          <w:sz w:val="21"/>
          <w:szCs w:val="21"/>
        </w:rPr>
      </w:pPr>
    </w:p>
    <w:p w14:paraId="185C57BF" w14:textId="77777777" w:rsidR="00374A1E" w:rsidRPr="007C2763" w:rsidRDefault="00374A1E" w:rsidP="002F3E07">
      <w:pPr>
        <w:numPr>
          <w:ilvl w:val="0"/>
          <w:numId w:val="58"/>
        </w:numPr>
        <w:tabs>
          <w:tab w:val="left" w:pos="443"/>
        </w:tabs>
        <w:kinsoku w:val="0"/>
        <w:overflowPunct w:val="0"/>
        <w:autoSpaceDE w:val="0"/>
        <w:autoSpaceDN w:val="0"/>
        <w:adjustRightInd w:val="0"/>
        <w:ind w:left="40" w:right="118" w:firstLine="0"/>
        <w:jc w:val="both"/>
        <w:rPr>
          <w:rFonts w:ascii="Abadi" w:hAnsi="Abadi" w:cs="Arial"/>
          <w:sz w:val="21"/>
          <w:szCs w:val="21"/>
        </w:rPr>
      </w:pPr>
      <w:r w:rsidRPr="007C2763">
        <w:rPr>
          <w:rFonts w:ascii="Abadi" w:hAnsi="Abadi" w:cs="Arial"/>
          <w:sz w:val="21"/>
          <w:szCs w:val="21"/>
        </w:rPr>
        <w:t>Solicitar</w:t>
      </w:r>
      <w:r w:rsidRPr="007C2763">
        <w:rPr>
          <w:rFonts w:ascii="Abadi" w:hAnsi="Abadi" w:cs="Arial"/>
          <w:spacing w:val="6"/>
          <w:sz w:val="21"/>
          <w:szCs w:val="21"/>
        </w:rPr>
        <w:t xml:space="preserve"> </w:t>
      </w:r>
      <w:r w:rsidRPr="007C2763">
        <w:rPr>
          <w:rFonts w:ascii="Abadi" w:hAnsi="Abadi" w:cs="Arial"/>
          <w:sz w:val="21"/>
          <w:szCs w:val="21"/>
        </w:rPr>
        <w:t>al</w:t>
      </w:r>
      <w:r w:rsidRPr="007C2763">
        <w:rPr>
          <w:rFonts w:ascii="Abadi" w:hAnsi="Abadi" w:cs="Arial"/>
          <w:spacing w:val="5"/>
          <w:sz w:val="21"/>
          <w:szCs w:val="21"/>
        </w:rPr>
        <w:t xml:space="preserve"> </w:t>
      </w:r>
      <w:r w:rsidRPr="007C2763">
        <w:rPr>
          <w:rFonts w:ascii="Abadi" w:hAnsi="Abadi" w:cs="Arial"/>
          <w:sz w:val="21"/>
          <w:szCs w:val="21"/>
        </w:rPr>
        <w:t>H.</w:t>
      </w:r>
      <w:r w:rsidRPr="007C2763">
        <w:rPr>
          <w:rFonts w:ascii="Abadi" w:hAnsi="Abadi" w:cs="Arial"/>
          <w:spacing w:val="3"/>
          <w:sz w:val="21"/>
          <w:szCs w:val="21"/>
        </w:rPr>
        <w:t xml:space="preserve"> </w:t>
      </w:r>
      <w:r w:rsidRPr="007C2763">
        <w:rPr>
          <w:rFonts w:ascii="Abadi" w:hAnsi="Abadi" w:cs="Arial"/>
          <w:sz w:val="21"/>
          <w:szCs w:val="21"/>
        </w:rPr>
        <w:t>Ayuntamiento</w:t>
      </w:r>
      <w:r w:rsidRPr="007C2763">
        <w:rPr>
          <w:rFonts w:ascii="Abadi" w:hAnsi="Abadi" w:cs="Arial"/>
          <w:spacing w:val="4"/>
          <w:sz w:val="21"/>
          <w:szCs w:val="21"/>
        </w:rPr>
        <w:t xml:space="preserve"> </w:t>
      </w:r>
      <w:r w:rsidRPr="007C2763">
        <w:rPr>
          <w:rFonts w:ascii="Abadi" w:hAnsi="Abadi" w:cs="Arial"/>
          <w:sz w:val="21"/>
          <w:szCs w:val="21"/>
        </w:rPr>
        <w:t>de</w:t>
      </w:r>
      <w:r w:rsidRPr="007C2763">
        <w:rPr>
          <w:rFonts w:ascii="Abadi" w:hAnsi="Abadi" w:cs="Arial"/>
          <w:spacing w:val="6"/>
          <w:sz w:val="21"/>
          <w:szCs w:val="21"/>
        </w:rPr>
        <w:t xml:space="preserve"> </w:t>
      </w:r>
      <w:r w:rsidRPr="007C2763">
        <w:rPr>
          <w:rFonts w:ascii="Abadi" w:hAnsi="Abadi" w:cs="Arial"/>
          <w:sz w:val="21"/>
          <w:szCs w:val="21"/>
        </w:rPr>
        <w:t>Dr.</w:t>
      </w:r>
      <w:r w:rsidRPr="007C2763">
        <w:rPr>
          <w:rFonts w:ascii="Abadi" w:hAnsi="Abadi" w:cs="Arial"/>
          <w:spacing w:val="6"/>
          <w:sz w:val="21"/>
          <w:szCs w:val="21"/>
        </w:rPr>
        <w:t xml:space="preserve"> </w:t>
      </w:r>
      <w:r w:rsidRPr="007C2763">
        <w:rPr>
          <w:rFonts w:ascii="Abadi" w:hAnsi="Abadi" w:cs="Arial"/>
          <w:sz w:val="21"/>
          <w:szCs w:val="21"/>
        </w:rPr>
        <w:t>Mora,</w:t>
      </w:r>
      <w:r w:rsidRPr="007C2763">
        <w:rPr>
          <w:rFonts w:ascii="Abadi" w:hAnsi="Abadi" w:cs="Arial"/>
          <w:spacing w:val="6"/>
          <w:sz w:val="21"/>
          <w:szCs w:val="21"/>
        </w:rPr>
        <w:t xml:space="preserve"> </w:t>
      </w:r>
      <w:r w:rsidRPr="007C2763">
        <w:rPr>
          <w:rFonts w:ascii="Abadi" w:hAnsi="Abadi" w:cs="Arial"/>
          <w:sz w:val="21"/>
          <w:szCs w:val="21"/>
        </w:rPr>
        <w:t>Guanajuato,</w:t>
      </w:r>
      <w:r w:rsidRPr="007C2763">
        <w:rPr>
          <w:rFonts w:ascii="Abadi" w:hAnsi="Abadi" w:cs="Arial"/>
          <w:spacing w:val="6"/>
          <w:sz w:val="21"/>
          <w:szCs w:val="21"/>
        </w:rPr>
        <w:t xml:space="preserve"> </w:t>
      </w:r>
      <w:r w:rsidRPr="007C2763">
        <w:rPr>
          <w:rFonts w:ascii="Abadi" w:hAnsi="Abadi" w:cs="Arial"/>
          <w:sz w:val="21"/>
          <w:szCs w:val="21"/>
        </w:rPr>
        <w:t>apoyo</w:t>
      </w:r>
      <w:r w:rsidRPr="007C2763">
        <w:rPr>
          <w:rFonts w:ascii="Abadi" w:hAnsi="Abadi" w:cs="Arial"/>
          <w:spacing w:val="6"/>
          <w:sz w:val="21"/>
          <w:szCs w:val="21"/>
        </w:rPr>
        <w:t xml:space="preserve"> </w:t>
      </w:r>
      <w:r w:rsidRPr="007C2763">
        <w:rPr>
          <w:rFonts w:ascii="Abadi" w:hAnsi="Abadi" w:cs="Arial"/>
          <w:sz w:val="21"/>
          <w:szCs w:val="21"/>
        </w:rPr>
        <w:t>para</w:t>
      </w:r>
      <w:r w:rsidRPr="007C2763">
        <w:rPr>
          <w:rFonts w:ascii="Abadi" w:hAnsi="Abadi" w:cs="Arial"/>
          <w:spacing w:val="6"/>
          <w:sz w:val="21"/>
          <w:szCs w:val="21"/>
        </w:rPr>
        <w:t xml:space="preserve"> </w:t>
      </w:r>
      <w:r w:rsidRPr="007C2763">
        <w:rPr>
          <w:rFonts w:ascii="Abadi" w:hAnsi="Abadi" w:cs="Arial"/>
          <w:sz w:val="21"/>
          <w:szCs w:val="21"/>
        </w:rPr>
        <w:t>que</w:t>
      </w:r>
      <w:r w:rsidRPr="007C2763">
        <w:rPr>
          <w:rFonts w:ascii="Abadi" w:hAnsi="Abadi" w:cs="Arial"/>
          <w:spacing w:val="6"/>
          <w:sz w:val="21"/>
          <w:szCs w:val="21"/>
        </w:rPr>
        <w:t xml:space="preserve"> </w:t>
      </w:r>
      <w:r w:rsidRPr="007C2763">
        <w:rPr>
          <w:rFonts w:ascii="Abadi" w:hAnsi="Abadi" w:cs="Arial"/>
          <w:sz w:val="21"/>
          <w:szCs w:val="21"/>
        </w:rPr>
        <w:t>la iniciativa</w:t>
      </w:r>
      <w:r w:rsidRPr="007C2763">
        <w:rPr>
          <w:rFonts w:ascii="Abadi" w:hAnsi="Abadi" w:cs="Arial"/>
          <w:spacing w:val="34"/>
          <w:sz w:val="21"/>
          <w:szCs w:val="21"/>
        </w:rPr>
        <w:t xml:space="preserve"> </w:t>
      </w:r>
      <w:r w:rsidRPr="007C2763">
        <w:rPr>
          <w:rFonts w:ascii="Abadi" w:hAnsi="Abadi" w:cs="Arial"/>
          <w:sz w:val="21"/>
          <w:szCs w:val="21"/>
        </w:rPr>
        <w:t>sea</w:t>
      </w:r>
      <w:r w:rsidRPr="007C2763">
        <w:rPr>
          <w:rFonts w:ascii="Abadi" w:hAnsi="Abadi" w:cs="Arial"/>
          <w:spacing w:val="32"/>
          <w:sz w:val="21"/>
          <w:szCs w:val="21"/>
        </w:rPr>
        <w:t xml:space="preserve"> </w:t>
      </w:r>
      <w:r w:rsidRPr="007C2763">
        <w:rPr>
          <w:rFonts w:ascii="Abadi" w:hAnsi="Abadi" w:cs="Arial"/>
          <w:sz w:val="21"/>
          <w:szCs w:val="21"/>
        </w:rPr>
        <w:t>difundida</w:t>
      </w:r>
      <w:r w:rsidRPr="007C2763">
        <w:rPr>
          <w:rFonts w:ascii="Abadi" w:hAnsi="Abadi" w:cs="Arial"/>
          <w:spacing w:val="35"/>
          <w:sz w:val="21"/>
          <w:szCs w:val="21"/>
        </w:rPr>
        <w:t xml:space="preserve"> </w:t>
      </w:r>
      <w:r w:rsidRPr="007C2763">
        <w:rPr>
          <w:rFonts w:ascii="Abadi" w:hAnsi="Abadi" w:cs="Arial"/>
          <w:sz w:val="21"/>
          <w:szCs w:val="21"/>
        </w:rPr>
        <w:t>entre</w:t>
      </w:r>
      <w:r w:rsidRPr="007C2763">
        <w:rPr>
          <w:rFonts w:ascii="Abadi" w:hAnsi="Abadi" w:cs="Arial"/>
          <w:spacing w:val="34"/>
          <w:sz w:val="21"/>
          <w:szCs w:val="21"/>
        </w:rPr>
        <w:t xml:space="preserve"> </w:t>
      </w:r>
      <w:r w:rsidRPr="007C2763">
        <w:rPr>
          <w:rFonts w:ascii="Abadi" w:hAnsi="Abadi" w:cs="Arial"/>
          <w:sz w:val="21"/>
          <w:szCs w:val="21"/>
        </w:rPr>
        <w:t>la</w:t>
      </w:r>
      <w:r w:rsidRPr="007C2763">
        <w:rPr>
          <w:rFonts w:ascii="Abadi" w:hAnsi="Abadi" w:cs="Arial"/>
          <w:spacing w:val="35"/>
          <w:sz w:val="21"/>
          <w:szCs w:val="21"/>
        </w:rPr>
        <w:t xml:space="preserve"> </w:t>
      </w:r>
      <w:r w:rsidRPr="007C2763">
        <w:rPr>
          <w:rFonts w:ascii="Abadi" w:hAnsi="Abadi" w:cs="Arial"/>
          <w:sz w:val="21"/>
          <w:szCs w:val="21"/>
        </w:rPr>
        <w:t>población</w:t>
      </w:r>
      <w:r w:rsidRPr="007C2763">
        <w:rPr>
          <w:rFonts w:ascii="Abadi" w:hAnsi="Abadi" w:cs="Arial"/>
          <w:spacing w:val="35"/>
          <w:sz w:val="21"/>
          <w:szCs w:val="21"/>
        </w:rPr>
        <w:t xml:space="preserve"> </w:t>
      </w:r>
      <w:r w:rsidRPr="007C2763">
        <w:rPr>
          <w:rFonts w:ascii="Abadi" w:hAnsi="Abadi" w:cs="Arial"/>
          <w:sz w:val="21"/>
          <w:szCs w:val="21"/>
        </w:rPr>
        <w:t>a</w:t>
      </w:r>
      <w:r w:rsidRPr="007C2763">
        <w:rPr>
          <w:rFonts w:ascii="Abadi" w:hAnsi="Abadi" w:cs="Arial"/>
          <w:spacing w:val="32"/>
          <w:sz w:val="21"/>
          <w:szCs w:val="21"/>
        </w:rPr>
        <w:t xml:space="preserve"> </w:t>
      </w:r>
      <w:r w:rsidRPr="007C2763">
        <w:rPr>
          <w:rFonts w:ascii="Abadi" w:hAnsi="Abadi" w:cs="Arial"/>
          <w:sz w:val="21"/>
          <w:szCs w:val="21"/>
        </w:rPr>
        <w:t>efecto</w:t>
      </w:r>
      <w:r w:rsidRPr="007C2763">
        <w:rPr>
          <w:rFonts w:ascii="Abadi" w:hAnsi="Abadi" w:cs="Arial"/>
          <w:spacing w:val="34"/>
          <w:sz w:val="21"/>
          <w:szCs w:val="21"/>
        </w:rPr>
        <w:t xml:space="preserve"> </w:t>
      </w:r>
      <w:r w:rsidRPr="007C2763">
        <w:rPr>
          <w:rFonts w:ascii="Abadi" w:hAnsi="Abadi" w:cs="Arial"/>
          <w:sz w:val="21"/>
          <w:szCs w:val="21"/>
        </w:rPr>
        <w:t>de</w:t>
      </w:r>
      <w:r w:rsidRPr="007C2763">
        <w:rPr>
          <w:rFonts w:ascii="Abadi" w:hAnsi="Abadi" w:cs="Arial"/>
          <w:spacing w:val="35"/>
          <w:sz w:val="21"/>
          <w:szCs w:val="21"/>
        </w:rPr>
        <w:t xml:space="preserve"> </w:t>
      </w:r>
      <w:r w:rsidRPr="007C2763">
        <w:rPr>
          <w:rFonts w:ascii="Abadi" w:hAnsi="Abadi" w:cs="Arial"/>
          <w:sz w:val="21"/>
          <w:szCs w:val="21"/>
        </w:rPr>
        <w:t>socializarla</w:t>
      </w:r>
      <w:r w:rsidRPr="007C2763">
        <w:rPr>
          <w:rFonts w:ascii="Abadi" w:hAnsi="Abadi" w:cs="Arial"/>
          <w:spacing w:val="32"/>
          <w:sz w:val="21"/>
          <w:szCs w:val="21"/>
        </w:rPr>
        <w:t xml:space="preserve"> </w:t>
      </w:r>
      <w:r w:rsidRPr="007C2763">
        <w:rPr>
          <w:rFonts w:ascii="Abadi" w:hAnsi="Abadi" w:cs="Arial"/>
          <w:sz w:val="21"/>
          <w:szCs w:val="21"/>
        </w:rPr>
        <w:t>e</w:t>
      </w:r>
      <w:r w:rsidRPr="007C2763">
        <w:rPr>
          <w:rFonts w:ascii="Abadi" w:hAnsi="Abadi" w:cs="Arial"/>
          <w:spacing w:val="35"/>
          <w:sz w:val="21"/>
          <w:szCs w:val="21"/>
        </w:rPr>
        <w:t xml:space="preserve"> </w:t>
      </w:r>
      <w:r w:rsidRPr="007C2763">
        <w:rPr>
          <w:rFonts w:ascii="Abadi" w:hAnsi="Abadi" w:cs="Arial"/>
          <w:sz w:val="21"/>
          <w:szCs w:val="21"/>
        </w:rPr>
        <w:t>incentivar</w:t>
      </w:r>
      <w:r w:rsidRPr="007C2763">
        <w:rPr>
          <w:rFonts w:ascii="Abadi" w:hAnsi="Abadi" w:cs="Arial"/>
          <w:spacing w:val="32"/>
          <w:sz w:val="21"/>
          <w:szCs w:val="21"/>
        </w:rPr>
        <w:t xml:space="preserve"> </w:t>
      </w:r>
      <w:r w:rsidRPr="007C2763">
        <w:rPr>
          <w:rFonts w:ascii="Abadi" w:hAnsi="Abadi" w:cs="Arial"/>
          <w:sz w:val="21"/>
          <w:szCs w:val="21"/>
        </w:rPr>
        <w:t>la participación</w:t>
      </w:r>
      <w:r w:rsidRPr="007C2763">
        <w:rPr>
          <w:rFonts w:ascii="Abadi" w:hAnsi="Abadi" w:cs="Arial"/>
          <w:spacing w:val="32"/>
          <w:sz w:val="21"/>
          <w:szCs w:val="21"/>
        </w:rPr>
        <w:t xml:space="preserve"> </w:t>
      </w:r>
      <w:r w:rsidRPr="007C2763">
        <w:rPr>
          <w:rFonts w:ascii="Abadi" w:hAnsi="Abadi" w:cs="Arial"/>
          <w:sz w:val="21"/>
          <w:szCs w:val="21"/>
        </w:rPr>
        <w:t>de</w:t>
      </w:r>
      <w:r w:rsidRPr="007C2763">
        <w:rPr>
          <w:rFonts w:ascii="Abadi" w:hAnsi="Abadi" w:cs="Arial"/>
          <w:spacing w:val="32"/>
          <w:sz w:val="21"/>
          <w:szCs w:val="21"/>
        </w:rPr>
        <w:t xml:space="preserve"> </w:t>
      </w:r>
      <w:r w:rsidRPr="007C2763">
        <w:rPr>
          <w:rFonts w:ascii="Abadi" w:hAnsi="Abadi" w:cs="Arial"/>
          <w:sz w:val="21"/>
          <w:szCs w:val="21"/>
        </w:rPr>
        <w:t>los</w:t>
      </w:r>
      <w:r w:rsidRPr="007C2763">
        <w:rPr>
          <w:rFonts w:ascii="Abadi" w:hAnsi="Abadi" w:cs="Arial"/>
          <w:spacing w:val="34"/>
          <w:sz w:val="21"/>
          <w:szCs w:val="21"/>
        </w:rPr>
        <w:t xml:space="preserve"> </w:t>
      </w:r>
      <w:r w:rsidRPr="007C2763">
        <w:rPr>
          <w:rFonts w:ascii="Abadi" w:hAnsi="Abadi" w:cs="Arial"/>
          <w:sz w:val="21"/>
          <w:szCs w:val="21"/>
        </w:rPr>
        <w:t>ciudadanos</w:t>
      </w:r>
      <w:r w:rsidRPr="007C2763">
        <w:rPr>
          <w:rFonts w:ascii="Abadi" w:hAnsi="Abadi" w:cs="Arial"/>
          <w:spacing w:val="34"/>
          <w:sz w:val="21"/>
          <w:szCs w:val="21"/>
        </w:rPr>
        <w:t xml:space="preserve"> </w:t>
      </w:r>
      <w:r w:rsidRPr="007C2763">
        <w:rPr>
          <w:rFonts w:ascii="Abadi" w:hAnsi="Abadi" w:cs="Arial"/>
          <w:sz w:val="21"/>
          <w:szCs w:val="21"/>
        </w:rPr>
        <w:t>concentrando</w:t>
      </w:r>
      <w:r w:rsidRPr="007C2763">
        <w:rPr>
          <w:rFonts w:ascii="Abadi" w:hAnsi="Abadi" w:cs="Arial"/>
          <w:spacing w:val="34"/>
          <w:sz w:val="21"/>
          <w:szCs w:val="21"/>
        </w:rPr>
        <w:t xml:space="preserve"> </w:t>
      </w:r>
      <w:r w:rsidRPr="007C2763">
        <w:rPr>
          <w:rFonts w:ascii="Abadi" w:hAnsi="Abadi" w:cs="Arial"/>
          <w:sz w:val="21"/>
          <w:szCs w:val="21"/>
        </w:rPr>
        <w:t>sus</w:t>
      </w:r>
      <w:r w:rsidRPr="007C2763">
        <w:rPr>
          <w:rFonts w:ascii="Abadi" w:hAnsi="Abadi" w:cs="Arial"/>
          <w:spacing w:val="31"/>
          <w:sz w:val="21"/>
          <w:szCs w:val="21"/>
        </w:rPr>
        <w:t xml:space="preserve"> </w:t>
      </w:r>
      <w:r w:rsidRPr="007C2763">
        <w:rPr>
          <w:rFonts w:ascii="Abadi" w:hAnsi="Abadi" w:cs="Arial"/>
          <w:sz w:val="21"/>
          <w:szCs w:val="21"/>
        </w:rPr>
        <w:t>opiniones</w:t>
      </w:r>
      <w:r w:rsidRPr="007C2763">
        <w:rPr>
          <w:rFonts w:ascii="Abadi" w:hAnsi="Abadi" w:cs="Arial"/>
          <w:spacing w:val="31"/>
          <w:sz w:val="21"/>
          <w:szCs w:val="21"/>
        </w:rPr>
        <w:t xml:space="preserve"> </w:t>
      </w:r>
      <w:r w:rsidRPr="007C2763">
        <w:rPr>
          <w:rFonts w:ascii="Abadi" w:hAnsi="Abadi" w:cs="Arial"/>
          <w:sz w:val="21"/>
          <w:szCs w:val="21"/>
        </w:rPr>
        <w:t>durante</w:t>
      </w:r>
      <w:r w:rsidRPr="007C2763">
        <w:rPr>
          <w:rFonts w:ascii="Abadi" w:hAnsi="Abadi" w:cs="Arial"/>
          <w:spacing w:val="32"/>
          <w:sz w:val="21"/>
          <w:szCs w:val="21"/>
        </w:rPr>
        <w:t xml:space="preserve"> </w:t>
      </w:r>
      <w:r w:rsidRPr="007C2763">
        <w:rPr>
          <w:rFonts w:ascii="Abadi" w:hAnsi="Abadi" w:cs="Arial"/>
          <w:sz w:val="21"/>
          <w:szCs w:val="21"/>
        </w:rPr>
        <w:t>el</w:t>
      </w:r>
      <w:r w:rsidRPr="007C2763">
        <w:rPr>
          <w:rFonts w:ascii="Abadi" w:hAnsi="Abadi" w:cs="Arial"/>
          <w:spacing w:val="31"/>
          <w:sz w:val="21"/>
          <w:szCs w:val="21"/>
        </w:rPr>
        <w:t xml:space="preserve"> </w:t>
      </w:r>
      <w:r w:rsidRPr="007C2763">
        <w:rPr>
          <w:rFonts w:ascii="Abadi" w:hAnsi="Abadi" w:cs="Arial"/>
          <w:sz w:val="21"/>
          <w:szCs w:val="21"/>
        </w:rPr>
        <w:t>plazo</w:t>
      </w:r>
      <w:r w:rsidRPr="007C2763">
        <w:rPr>
          <w:rFonts w:ascii="Abadi" w:hAnsi="Abadi" w:cs="Arial"/>
          <w:spacing w:val="32"/>
          <w:sz w:val="21"/>
          <w:szCs w:val="21"/>
        </w:rPr>
        <w:t xml:space="preserve"> </w:t>
      </w:r>
      <w:r w:rsidRPr="007C2763">
        <w:rPr>
          <w:rFonts w:ascii="Abadi" w:hAnsi="Abadi" w:cs="Arial"/>
          <w:sz w:val="21"/>
          <w:szCs w:val="21"/>
        </w:rPr>
        <w:t>de 20</w:t>
      </w:r>
      <w:r w:rsidRPr="007C2763">
        <w:rPr>
          <w:rFonts w:ascii="Abadi" w:hAnsi="Abadi" w:cs="Arial"/>
          <w:spacing w:val="1"/>
          <w:sz w:val="21"/>
          <w:szCs w:val="21"/>
        </w:rPr>
        <w:t xml:space="preserve"> </w:t>
      </w:r>
      <w:r w:rsidRPr="007C2763">
        <w:rPr>
          <w:rFonts w:ascii="Abadi" w:hAnsi="Abadi" w:cs="Arial"/>
          <w:sz w:val="21"/>
          <w:szCs w:val="21"/>
        </w:rPr>
        <w:t>días</w:t>
      </w:r>
      <w:r w:rsidRPr="007C2763">
        <w:rPr>
          <w:rFonts w:ascii="Abadi" w:hAnsi="Abadi" w:cs="Arial"/>
          <w:spacing w:val="-2"/>
          <w:sz w:val="21"/>
          <w:szCs w:val="21"/>
        </w:rPr>
        <w:t xml:space="preserve"> </w:t>
      </w:r>
      <w:r w:rsidRPr="007C2763">
        <w:rPr>
          <w:rFonts w:ascii="Abadi" w:hAnsi="Abadi" w:cs="Arial"/>
          <w:sz w:val="21"/>
          <w:szCs w:val="21"/>
        </w:rPr>
        <w:t>naturales.</w:t>
      </w:r>
    </w:p>
    <w:p w14:paraId="299F0850" w14:textId="77777777" w:rsidR="00374A1E" w:rsidRPr="007C2763" w:rsidRDefault="00374A1E" w:rsidP="00374A1E">
      <w:pPr>
        <w:kinsoku w:val="0"/>
        <w:overflowPunct w:val="0"/>
        <w:autoSpaceDE w:val="0"/>
        <w:autoSpaceDN w:val="0"/>
        <w:adjustRightInd w:val="0"/>
        <w:jc w:val="both"/>
        <w:rPr>
          <w:rFonts w:ascii="Abadi" w:hAnsi="Abadi" w:cs="Arial"/>
          <w:sz w:val="21"/>
          <w:szCs w:val="21"/>
        </w:rPr>
      </w:pPr>
    </w:p>
    <w:p w14:paraId="550EBB4E" w14:textId="77777777" w:rsidR="00374A1E" w:rsidRPr="007C2763" w:rsidRDefault="00374A1E" w:rsidP="002F3E07">
      <w:pPr>
        <w:numPr>
          <w:ilvl w:val="0"/>
          <w:numId w:val="58"/>
        </w:numPr>
        <w:tabs>
          <w:tab w:val="left" w:pos="409"/>
        </w:tabs>
        <w:kinsoku w:val="0"/>
        <w:overflowPunct w:val="0"/>
        <w:autoSpaceDE w:val="0"/>
        <w:autoSpaceDN w:val="0"/>
        <w:adjustRightInd w:val="0"/>
        <w:ind w:left="40" w:right="115" w:firstLine="0"/>
        <w:jc w:val="both"/>
        <w:rPr>
          <w:rFonts w:ascii="Abadi" w:hAnsi="Abadi" w:cs="Arial"/>
          <w:sz w:val="21"/>
          <w:szCs w:val="21"/>
        </w:rPr>
      </w:pPr>
      <w:r w:rsidRPr="007C2763">
        <w:rPr>
          <w:rFonts w:ascii="Abadi" w:hAnsi="Abadi" w:cs="Arial"/>
          <w:sz w:val="21"/>
          <w:szCs w:val="21"/>
        </w:rPr>
        <w:t>Consultar</w:t>
      </w:r>
      <w:r w:rsidRPr="007C2763">
        <w:rPr>
          <w:rFonts w:ascii="Abadi" w:hAnsi="Abadi" w:cs="Arial"/>
          <w:spacing w:val="37"/>
          <w:sz w:val="21"/>
          <w:szCs w:val="21"/>
        </w:rPr>
        <w:t xml:space="preserve"> </w:t>
      </w:r>
      <w:r w:rsidRPr="007C2763">
        <w:rPr>
          <w:rFonts w:ascii="Abadi" w:hAnsi="Abadi" w:cs="Arial"/>
          <w:sz w:val="21"/>
          <w:szCs w:val="21"/>
        </w:rPr>
        <w:t>a</w:t>
      </w:r>
      <w:r w:rsidRPr="007C2763">
        <w:rPr>
          <w:rFonts w:ascii="Abadi" w:hAnsi="Abadi" w:cs="Arial"/>
          <w:spacing w:val="37"/>
          <w:sz w:val="21"/>
          <w:szCs w:val="21"/>
        </w:rPr>
        <w:t xml:space="preserve"> </w:t>
      </w:r>
      <w:r w:rsidRPr="007C2763">
        <w:rPr>
          <w:rFonts w:ascii="Abadi" w:hAnsi="Abadi" w:cs="Arial"/>
          <w:sz w:val="21"/>
          <w:szCs w:val="21"/>
        </w:rPr>
        <w:t>la</w:t>
      </w:r>
      <w:r w:rsidRPr="007C2763">
        <w:rPr>
          <w:rFonts w:ascii="Abadi" w:hAnsi="Abadi" w:cs="Arial"/>
          <w:spacing w:val="40"/>
          <w:sz w:val="21"/>
          <w:szCs w:val="21"/>
        </w:rPr>
        <w:t xml:space="preserve"> </w:t>
      </w:r>
      <w:r w:rsidRPr="007C2763">
        <w:rPr>
          <w:rFonts w:ascii="Abadi" w:hAnsi="Abadi" w:cs="Arial"/>
          <w:sz w:val="21"/>
          <w:szCs w:val="21"/>
        </w:rPr>
        <w:t>Asociación</w:t>
      </w:r>
      <w:r w:rsidRPr="007C2763">
        <w:rPr>
          <w:rFonts w:ascii="Abadi" w:hAnsi="Abadi" w:cs="Arial"/>
          <w:spacing w:val="39"/>
          <w:sz w:val="21"/>
          <w:szCs w:val="21"/>
        </w:rPr>
        <w:t xml:space="preserve"> </w:t>
      </w:r>
      <w:r w:rsidRPr="007C2763">
        <w:rPr>
          <w:rFonts w:ascii="Abadi" w:hAnsi="Abadi" w:cs="Arial"/>
          <w:sz w:val="21"/>
          <w:szCs w:val="21"/>
        </w:rPr>
        <w:t>de</w:t>
      </w:r>
      <w:r w:rsidRPr="007C2763">
        <w:rPr>
          <w:rFonts w:ascii="Abadi" w:hAnsi="Abadi" w:cs="Arial"/>
          <w:spacing w:val="40"/>
          <w:sz w:val="21"/>
          <w:szCs w:val="21"/>
        </w:rPr>
        <w:t xml:space="preserve"> </w:t>
      </w:r>
      <w:r w:rsidRPr="007C2763">
        <w:rPr>
          <w:rFonts w:ascii="Abadi" w:hAnsi="Abadi" w:cs="Arial"/>
          <w:sz w:val="21"/>
          <w:szCs w:val="21"/>
        </w:rPr>
        <w:t>Cronistas</w:t>
      </w:r>
      <w:r w:rsidRPr="007C2763">
        <w:rPr>
          <w:rFonts w:ascii="Abadi" w:hAnsi="Abadi" w:cs="Arial"/>
          <w:spacing w:val="36"/>
          <w:sz w:val="21"/>
          <w:szCs w:val="21"/>
        </w:rPr>
        <w:t xml:space="preserve"> </w:t>
      </w:r>
      <w:r w:rsidRPr="007C2763">
        <w:rPr>
          <w:rFonts w:ascii="Abadi" w:hAnsi="Abadi" w:cs="Arial"/>
          <w:sz w:val="21"/>
          <w:szCs w:val="21"/>
        </w:rPr>
        <w:t>del</w:t>
      </w:r>
      <w:r w:rsidRPr="007C2763">
        <w:rPr>
          <w:rFonts w:ascii="Abadi" w:hAnsi="Abadi" w:cs="Arial"/>
          <w:spacing w:val="37"/>
          <w:sz w:val="21"/>
          <w:szCs w:val="21"/>
        </w:rPr>
        <w:t xml:space="preserve"> </w:t>
      </w:r>
      <w:r w:rsidRPr="007C2763">
        <w:rPr>
          <w:rFonts w:ascii="Abadi" w:hAnsi="Abadi" w:cs="Arial"/>
          <w:sz w:val="21"/>
          <w:szCs w:val="21"/>
        </w:rPr>
        <w:t>Estado</w:t>
      </w:r>
      <w:r w:rsidRPr="007C2763">
        <w:rPr>
          <w:rFonts w:ascii="Abadi" w:hAnsi="Abadi" w:cs="Arial"/>
          <w:spacing w:val="37"/>
          <w:sz w:val="21"/>
          <w:szCs w:val="21"/>
        </w:rPr>
        <w:t xml:space="preserve"> </w:t>
      </w:r>
      <w:r w:rsidRPr="007C2763">
        <w:rPr>
          <w:rFonts w:ascii="Abadi" w:hAnsi="Abadi" w:cs="Arial"/>
          <w:sz w:val="21"/>
          <w:szCs w:val="21"/>
        </w:rPr>
        <w:t>de</w:t>
      </w:r>
      <w:r w:rsidRPr="007C2763">
        <w:rPr>
          <w:rFonts w:ascii="Abadi" w:hAnsi="Abadi" w:cs="Arial"/>
          <w:spacing w:val="37"/>
          <w:sz w:val="21"/>
          <w:szCs w:val="21"/>
        </w:rPr>
        <w:t xml:space="preserve"> </w:t>
      </w:r>
      <w:r w:rsidRPr="007C2763">
        <w:rPr>
          <w:rFonts w:ascii="Abadi" w:hAnsi="Abadi" w:cs="Arial"/>
          <w:sz w:val="21"/>
          <w:szCs w:val="21"/>
        </w:rPr>
        <w:t>Guanajuato,</w:t>
      </w:r>
      <w:r w:rsidRPr="007C2763">
        <w:rPr>
          <w:rFonts w:ascii="Abadi" w:hAnsi="Abadi" w:cs="Arial"/>
          <w:spacing w:val="38"/>
          <w:sz w:val="21"/>
          <w:szCs w:val="21"/>
        </w:rPr>
        <w:t xml:space="preserve"> </w:t>
      </w:r>
      <w:r w:rsidRPr="007C2763">
        <w:rPr>
          <w:rFonts w:ascii="Abadi" w:hAnsi="Abadi" w:cs="Arial"/>
          <w:sz w:val="21"/>
          <w:szCs w:val="21"/>
        </w:rPr>
        <w:t>A.C.</w:t>
      </w:r>
      <w:r w:rsidRPr="007C2763">
        <w:rPr>
          <w:rFonts w:ascii="Abadi" w:hAnsi="Abadi" w:cs="Arial"/>
          <w:spacing w:val="37"/>
          <w:sz w:val="21"/>
          <w:szCs w:val="21"/>
        </w:rPr>
        <w:t xml:space="preserve"> </w:t>
      </w:r>
      <w:r w:rsidRPr="007C2763">
        <w:rPr>
          <w:rFonts w:ascii="Abadi" w:hAnsi="Abadi" w:cs="Arial"/>
          <w:sz w:val="21"/>
          <w:szCs w:val="21"/>
        </w:rPr>
        <w:t>para que</w:t>
      </w:r>
      <w:r w:rsidRPr="007C2763">
        <w:rPr>
          <w:rFonts w:ascii="Abadi" w:hAnsi="Abadi" w:cs="Arial"/>
          <w:spacing w:val="-1"/>
          <w:sz w:val="21"/>
          <w:szCs w:val="21"/>
        </w:rPr>
        <w:t xml:space="preserve"> </w:t>
      </w:r>
      <w:r w:rsidRPr="007C2763">
        <w:rPr>
          <w:rFonts w:ascii="Abadi" w:hAnsi="Abadi" w:cs="Arial"/>
          <w:sz w:val="21"/>
          <w:szCs w:val="21"/>
        </w:rPr>
        <w:t>emitan</w:t>
      </w:r>
      <w:r w:rsidRPr="007C2763">
        <w:rPr>
          <w:rFonts w:ascii="Abadi" w:hAnsi="Abadi" w:cs="Arial"/>
          <w:spacing w:val="-1"/>
          <w:sz w:val="21"/>
          <w:szCs w:val="21"/>
        </w:rPr>
        <w:t xml:space="preserve"> </w:t>
      </w:r>
      <w:r w:rsidRPr="007C2763">
        <w:rPr>
          <w:rFonts w:ascii="Abadi" w:hAnsi="Abadi" w:cs="Arial"/>
          <w:sz w:val="21"/>
          <w:szCs w:val="21"/>
        </w:rPr>
        <w:t>opinión</w:t>
      </w:r>
      <w:r w:rsidRPr="007C2763">
        <w:rPr>
          <w:rFonts w:ascii="Abadi" w:hAnsi="Abadi" w:cs="Arial"/>
          <w:spacing w:val="1"/>
          <w:sz w:val="21"/>
          <w:szCs w:val="21"/>
        </w:rPr>
        <w:t xml:space="preserve"> </w:t>
      </w:r>
      <w:r w:rsidRPr="007C2763">
        <w:rPr>
          <w:rFonts w:ascii="Abadi" w:hAnsi="Abadi" w:cs="Arial"/>
          <w:sz w:val="21"/>
          <w:szCs w:val="21"/>
        </w:rPr>
        <w:t>sobre</w:t>
      </w:r>
      <w:r w:rsidRPr="007C2763">
        <w:rPr>
          <w:rFonts w:ascii="Abadi" w:hAnsi="Abadi" w:cs="Arial"/>
          <w:spacing w:val="1"/>
          <w:sz w:val="21"/>
          <w:szCs w:val="21"/>
        </w:rPr>
        <w:t xml:space="preserve"> </w:t>
      </w:r>
      <w:r w:rsidRPr="007C2763">
        <w:rPr>
          <w:rFonts w:ascii="Abadi" w:hAnsi="Abadi" w:cs="Arial"/>
          <w:sz w:val="21"/>
          <w:szCs w:val="21"/>
        </w:rPr>
        <w:t>la</w:t>
      </w:r>
      <w:r w:rsidRPr="007C2763">
        <w:rPr>
          <w:rFonts w:ascii="Abadi" w:hAnsi="Abadi" w:cs="Arial"/>
          <w:spacing w:val="1"/>
          <w:sz w:val="21"/>
          <w:szCs w:val="21"/>
        </w:rPr>
        <w:t xml:space="preserve"> </w:t>
      </w:r>
      <w:r w:rsidRPr="007C2763">
        <w:rPr>
          <w:rFonts w:ascii="Abadi" w:hAnsi="Abadi" w:cs="Arial"/>
          <w:sz w:val="21"/>
          <w:szCs w:val="21"/>
        </w:rPr>
        <w:t>iniciativa</w:t>
      </w:r>
      <w:r w:rsidRPr="007C2763">
        <w:rPr>
          <w:rFonts w:ascii="Abadi" w:hAnsi="Abadi" w:cs="Arial"/>
          <w:spacing w:val="1"/>
          <w:sz w:val="21"/>
          <w:szCs w:val="21"/>
        </w:rPr>
        <w:t xml:space="preserve"> </w:t>
      </w:r>
      <w:r w:rsidRPr="007C2763">
        <w:rPr>
          <w:rFonts w:ascii="Abadi" w:hAnsi="Abadi" w:cs="Arial"/>
          <w:sz w:val="21"/>
          <w:szCs w:val="21"/>
        </w:rPr>
        <w:t>en</w:t>
      </w:r>
      <w:r w:rsidRPr="007C2763">
        <w:rPr>
          <w:rFonts w:ascii="Abadi" w:hAnsi="Abadi" w:cs="Arial"/>
          <w:spacing w:val="-1"/>
          <w:sz w:val="21"/>
          <w:szCs w:val="21"/>
        </w:rPr>
        <w:t xml:space="preserve"> </w:t>
      </w:r>
      <w:r w:rsidRPr="007C2763">
        <w:rPr>
          <w:rFonts w:ascii="Abadi" w:hAnsi="Abadi" w:cs="Arial"/>
          <w:sz w:val="21"/>
          <w:szCs w:val="21"/>
        </w:rPr>
        <w:t>un</w:t>
      </w:r>
      <w:r w:rsidRPr="007C2763">
        <w:rPr>
          <w:rFonts w:ascii="Abadi" w:hAnsi="Abadi" w:cs="Arial"/>
          <w:spacing w:val="-1"/>
          <w:sz w:val="21"/>
          <w:szCs w:val="21"/>
        </w:rPr>
        <w:t xml:space="preserve"> </w:t>
      </w:r>
      <w:r w:rsidRPr="007C2763">
        <w:rPr>
          <w:rFonts w:ascii="Abadi" w:hAnsi="Abadi" w:cs="Arial"/>
          <w:sz w:val="21"/>
          <w:szCs w:val="21"/>
        </w:rPr>
        <w:t>plazo</w:t>
      </w:r>
      <w:r w:rsidRPr="007C2763">
        <w:rPr>
          <w:rFonts w:ascii="Abadi" w:hAnsi="Abadi" w:cs="Arial"/>
          <w:spacing w:val="1"/>
          <w:sz w:val="21"/>
          <w:szCs w:val="21"/>
        </w:rPr>
        <w:t xml:space="preserve"> </w:t>
      </w:r>
      <w:r w:rsidRPr="007C2763">
        <w:rPr>
          <w:rFonts w:ascii="Abadi" w:hAnsi="Abadi" w:cs="Arial"/>
          <w:sz w:val="21"/>
          <w:szCs w:val="21"/>
        </w:rPr>
        <w:t>de</w:t>
      </w:r>
      <w:r w:rsidRPr="007C2763">
        <w:rPr>
          <w:rFonts w:ascii="Abadi" w:hAnsi="Abadi" w:cs="Arial"/>
          <w:spacing w:val="1"/>
          <w:sz w:val="21"/>
          <w:szCs w:val="21"/>
        </w:rPr>
        <w:t xml:space="preserve"> </w:t>
      </w:r>
      <w:r w:rsidRPr="007C2763">
        <w:rPr>
          <w:rFonts w:ascii="Abadi" w:hAnsi="Abadi" w:cs="Arial"/>
          <w:sz w:val="21"/>
          <w:szCs w:val="21"/>
        </w:rPr>
        <w:t>20</w:t>
      </w:r>
      <w:r w:rsidRPr="007C2763">
        <w:rPr>
          <w:rFonts w:ascii="Abadi" w:hAnsi="Abadi" w:cs="Arial"/>
          <w:spacing w:val="-1"/>
          <w:sz w:val="21"/>
          <w:szCs w:val="21"/>
        </w:rPr>
        <w:t xml:space="preserve"> </w:t>
      </w:r>
      <w:r w:rsidRPr="007C2763">
        <w:rPr>
          <w:rFonts w:ascii="Abadi" w:hAnsi="Abadi" w:cs="Arial"/>
          <w:sz w:val="21"/>
          <w:szCs w:val="21"/>
        </w:rPr>
        <w:t>días hábiles.</w:t>
      </w:r>
    </w:p>
    <w:p w14:paraId="31347BCC" w14:textId="77777777" w:rsidR="00374A1E" w:rsidRPr="007C2763" w:rsidRDefault="00374A1E" w:rsidP="00374A1E">
      <w:pPr>
        <w:kinsoku w:val="0"/>
        <w:overflowPunct w:val="0"/>
        <w:autoSpaceDE w:val="0"/>
        <w:autoSpaceDN w:val="0"/>
        <w:adjustRightInd w:val="0"/>
        <w:jc w:val="both"/>
        <w:rPr>
          <w:rFonts w:ascii="Abadi" w:hAnsi="Abadi" w:cs="Arial"/>
          <w:sz w:val="21"/>
          <w:szCs w:val="21"/>
        </w:rPr>
      </w:pPr>
    </w:p>
    <w:p w14:paraId="457E207E" w14:textId="77777777" w:rsidR="00374A1E" w:rsidRPr="007C2763" w:rsidRDefault="00374A1E" w:rsidP="002F3E07">
      <w:pPr>
        <w:numPr>
          <w:ilvl w:val="0"/>
          <w:numId w:val="58"/>
        </w:numPr>
        <w:tabs>
          <w:tab w:val="left" w:pos="443"/>
        </w:tabs>
        <w:kinsoku w:val="0"/>
        <w:overflowPunct w:val="0"/>
        <w:autoSpaceDE w:val="0"/>
        <w:autoSpaceDN w:val="0"/>
        <w:adjustRightInd w:val="0"/>
        <w:spacing w:before="1"/>
        <w:ind w:left="40" w:right="118" w:firstLine="0"/>
        <w:jc w:val="both"/>
        <w:rPr>
          <w:rFonts w:ascii="Abadi" w:hAnsi="Abadi" w:cs="Arial"/>
          <w:sz w:val="21"/>
          <w:szCs w:val="21"/>
        </w:rPr>
      </w:pPr>
      <w:r w:rsidRPr="007C2763">
        <w:rPr>
          <w:rFonts w:ascii="Abadi" w:hAnsi="Abadi" w:cs="Arial"/>
          <w:sz w:val="21"/>
          <w:szCs w:val="21"/>
        </w:rPr>
        <w:t>Consultar</w:t>
      </w:r>
      <w:r w:rsidRPr="007C2763">
        <w:rPr>
          <w:rFonts w:ascii="Abadi" w:hAnsi="Abadi" w:cs="Arial"/>
          <w:spacing w:val="6"/>
          <w:sz w:val="21"/>
          <w:szCs w:val="21"/>
        </w:rPr>
        <w:t xml:space="preserve"> </w:t>
      </w:r>
      <w:r w:rsidRPr="007C2763">
        <w:rPr>
          <w:rFonts w:ascii="Abadi" w:hAnsi="Abadi" w:cs="Arial"/>
          <w:sz w:val="21"/>
          <w:szCs w:val="21"/>
        </w:rPr>
        <w:t>al</w:t>
      </w:r>
      <w:r w:rsidRPr="007C2763">
        <w:rPr>
          <w:rFonts w:ascii="Abadi" w:hAnsi="Abadi" w:cs="Arial"/>
          <w:spacing w:val="3"/>
          <w:sz w:val="21"/>
          <w:szCs w:val="21"/>
        </w:rPr>
        <w:t xml:space="preserve"> </w:t>
      </w:r>
      <w:r w:rsidRPr="007C2763">
        <w:rPr>
          <w:rFonts w:ascii="Abadi" w:hAnsi="Abadi" w:cs="Arial"/>
          <w:sz w:val="21"/>
          <w:szCs w:val="21"/>
        </w:rPr>
        <w:t>Archivo</w:t>
      </w:r>
      <w:r w:rsidRPr="007C2763">
        <w:rPr>
          <w:rFonts w:ascii="Abadi" w:hAnsi="Abadi" w:cs="Arial"/>
          <w:spacing w:val="7"/>
          <w:sz w:val="21"/>
          <w:szCs w:val="21"/>
        </w:rPr>
        <w:t xml:space="preserve"> </w:t>
      </w:r>
      <w:r w:rsidRPr="007C2763">
        <w:rPr>
          <w:rFonts w:ascii="Abadi" w:hAnsi="Abadi" w:cs="Arial"/>
          <w:sz w:val="21"/>
          <w:szCs w:val="21"/>
        </w:rPr>
        <w:t>Histórico</w:t>
      </w:r>
      <w:r w:rsidRPr="007C2763">
        <w:rPr>
          <w:rFonts w:ascii="Abadi" w:hAnsi="Abadi" w:cs="Arial"/>
          <w:spacing w:val="5"/>
          <w:sz w:val="21"/>
          <w:szCs w:val="21"/>
        </w:rPr>
        <w:t xml:space="preserve"> </w:t>
      </w:r>
      <w:r w:rsidRPr="007C2763">
        <w:rPr>
          <w:rFonts w:ascii="Abadi" w:hAnsi="Abadi" w:cs="Arial"/>
          <w:sz w:val="21"/>
          <w:szCs w:val="21"/>
        </w:rPr>
        <w:t>del</w:t>
      </w:r>
      <w:r w:rsidRPr="007C2763">
        <w:rPr>
          <w:rFonts w:ascii="Abadi" w:hAnsi="Abadi" w:cs="Arial"/>
          <w:spacing w:val="3"/>
          <w:sz w:val="21"/>
          <w:szCs w:val="21"/>
        </w:rPr>
        <w:t xml:space="preserve"> </w:t>
      </w:r>
      <w:r w:rsidRPr="007C2763">
        <w:rPr>
          <w:rFonts w:ascii="Abadi" w:hAnsi="Abadi" w:cs="Arial"/>
          <w:sz w:val="21"/>
          <w:szCs w:val="21"/>
        </w:rPr>
        <w:t>Archivo</w:t>
      </w:r>
      <w:r w:rsidRPr="007C2763">
        <w:rPr>
          <w:rFonts w:ascii="Abadi" w:hAnsi="Abadi" w:cs="Arial"/>
          <w:spacing w:val="7"/>
          <w:sz w:val="21"/>
          <w:szCs w:val="21"/>
        </w:rPr>
        <w:t xml:space="preserve"> </w:t>
      </w:r>
      <w:r w:rsidRPr="007C2763">
        <w:rPr>
          <w:rFonts w:ascii="Abadi" w:hAnsi="Abadi" w:cs="Arial"/>
          <w:sz w:val="21"/>
          <w:szCs w:val="21"/>
        </w:rPr>
        <w:t>General</w:t>
      </w:r>
      <w:r w:rsidRPr="007C2763">
        <w:rPr>
          <w:rFonts w:ascii="Abadi" w:hAnsi="Abadi" w:cs="Arial"/>
          <w:spacing w:val="3"/>
          <w:sz w:val="21"/>
          <w:szCs w:val="21"/>
        </w:rPr>
        <w:t xml:space="preserve"> </w:t>
      </w:r>
      <w:r w:rsidRPr="007C2763">
        <w:rPr>
          <w:rFonts w:ascii="Abadi" w:hAnsi="Abadi" w:cs="Arial"/>
          <w:sz w:val="21"/>
          <w:szCs w:val="21"/>
        </w:rPr>
        <w:t>del</w:t>
      </w:r>
      <w:r w:rsidRPr="007C2763">
        <w:rPr>
          <w:rFonts w:ascii="Abadi" w:hAnsi="Abadi" w:cs="Arial"/>
          <w:spacing w:val="3"/>
          <w:sz w:val="21"/>
          <w:szCs w:val="21"/>
        </w:rPr>
        <w:t xml:space="preserve"> </w:t>
      </w:r>
      <w:r w:rsidRPr="007C2763">
        <w:rPr>
          <w:rFonts w:ascii="Abadi" w:hAnsi="Abadi" w:cs="Arial"/>
          <w:sz w:val="21"/>
          <w:szCs w:val="21"/>
        </w:rPr>
        <w:t>Poder</w:t>
      </w:r>
      <w:r w:rsidRPr="007C2763">
        <w:rPr>
          <w:rFonts w:ascii="Abadi" w:hAnsi="Abadi" w:cs="Arial"/>
          <w:spacing w:val="6"/>
          <w:sz w:val="21"/>
          <w:szCs w:val="21"/>
        </w:rPr>
        <w:t xml:space="preserve"> </w:t>
      </w:r>
      <w:r w:rsidRPr="007C2763">
        <w:rPr>
          <w:rFonts w:ascii="Abadi" w:hAnsi="Abadi" w:cs="Arial"/>
          <w:sz w:val="21"/>
          <w:szCs w:val="21"/>
        </w:rPr>
        <w:t>Ejecutivo</w:t>
      </w:r>
      <w:r w:rsidRPr="007C2763">
        <w:rPr>
          <w:rFonts w:ascii="Abadi" w:hAnsi="Abadi" w:cs="Arial"/>
          <w:spacing w:val="5"/>
          <w:sz w:val="21"/>
          <w:szCs w:val="21"/>
        </w:rPr>
        <w:t xml:space="preserve"> </w:t>
      </w:r>
      <w:r w:rsidRPr="007C2763">
        <w:rPr>
          <w:rFonts w:ascii="Abadi" w:hAnsi="Abadi" w:cs="Arial"/>
          <w:sz w:val="21"/>
          <w:szCs w:val="21"/>
        </w:rPr>
        <w:t>de Guanajuato.</w:t>
      </w:r>
    </w:p>
    <w:p w14:paraId="12B16462" w14:textId="77777777" w:rsidR="00374A1E" w:rsidRPr="007C2763" w:rsidRDefault="00374A1E" w:rsidP="00374A1E">
      <w:pPr>
        <w:kinsoku w:val="0"/>
        <w:overflowPunct w:val="0"/>
        <w:autoSpaceDE w:val="0"/>
        <w:autoSpaceDN w:val="0"/>
        <w:adjustRightInd w:val="0"/>
        <w:spacing w:before="11"/>
        <w:jc w:val="both"/>
        <w:rPr>
          <w:rFonts w:ascii="Abadi" w:hAnsi="Abadi" w:cs="Arial"/>
          <w:sz w:val="21"/>
          <w:szCs w:val="21"/>
        </w:rPr>
      </w:pPr>
    </w:p>
    <w:p w14:paraId="3A64B894" w14:textId="77777777" w:rsidR="00374A1E" w:rsidRPr="007C2763" w:rsidRDefault="00374A1E" w:rsidP="002F3E07">
      <w:pPr>
        <w:numPr>
          <w:ilvl w:val="0"/>
          <w:numId w:val="58"/>
        </w:numPr>
        <w:tabs>
          <w:tab w:val="left" w:pos="469"/>
        </w:tabs>
        <w:kinsoku w:val="0"/>
        <w:overflowPunct w:val="0"/>
        <w:autoSpaceDE w:val="0"/>
        <w:autoSpaceDN w:val="0"/>
        <w:adjustRightInd w:val="0"/>
        <w:ind w:left="40" w:right="117" w:firstLine="0"/>
        <w:jc w:val="both"/>
        <w:rPr>
          <w:rFonts w:ascii="Abadi" w:hAnsi="Abadi" w:cs="Arial"/>
          <w:sz w:val="21"/>
          <w:szCs w:val="21"/>
        </w:rPr>
      </w:pPr>
      <w:r w:rsidRPr="007C2763">
        <w:rPr>
          <w:rFonts w:ascii="Abadi" w:hAnsi="Abadi" w:cs="Arial"/>
          <w:sz w:val="21"/>
          <w:szCs w:val="21"/>
        </w:rPr>
        <w:t>Agotados</w:t>
      </w:r>
      <w:r w:rsidRPr="007C2763">
        <w:rPr>
          <w:rFonts w:ascii="Abadi" w:hAnsi="Abadi" w:cs="Arial"/>
          <w:spacing w:val="33"/>
          <w:sz w:val="21"/>
          <w:szCs w:val="21"/>
        </w:rPr>
        <w:t xml:space="preserve"> </w:t>
      </w:r>
      <w:r w:rsidRPr="007C2763">
        <w:rPr>
          <w:rFonts w:ascii="Abadi" w:hAnsi="Abadi" w:cs="Arial"/>
          <w:sz w:val="21"/>
          <w:szCs w:val="21"/>
        </w:rPr>
        <w:t>los</w:t>
      </w:r>
      <w:r w:rsidRPr="007C2763">
        <w:rPr>
          <w:rFonts w:ascii="Abadi" w:hAnsi="Abadi" w:cs="Arial"/>
          <w:spacing w:val="29"/>
          <w:sz w:val="21"/>
          <w:szCs w:val="21"/>
        </w:rPr>
        <w:t xml:space="preserve"> </w:t>
      </w:r>
      <w:r w:rsidRPr="007C2763">
        <w:rPr>
          <w:rFonts w:ascii="Abadi" w:hAnsi="Abadi" w:cs="Arial"/>
          <w:sz w:val="21"/>
          <w:szCs w:val="21"/>
        </w:rPr>
        <w:t>términos</w:t>
      </w:r>
      <w:r w:rsidRPr="007C2763">
        <w:rPr>
          <w:rFonts w:ascii="Abadi" w:hAnsi="Abadi" w:cs="Arial"/>
          <w:spacing w:val="29"/>
          <w:sz w:val="21"/>
          <w:szCs w:val="21"/>
        </w:rPr>
        <w:t xml:space="preserve"> </w:t>
      </w:r>
      <w:r w:rsidRPr="007C2763">
        <w:rPr>
          <w:rFonts w:ascii="Abadi" w:hAnsi="Abadi" w:cs="Arial"/>
          <w:sz w:val="21"/>
          <w:szCs w:val="21"/>
        </w:rPr>
        <w:t>señalados</w:t>
      </w:r>
      <w:r w:rsidRPr="007C2763">
        <w:rPr>
          <w:rFonts w:ascii="Abadi" w:hAnsi="Abadi" w:cs="Arial"/>
          <w:spacing w:val="29"/>
          <w:sz w:val="21"/>
          <w:szCs w:val="21"/>
        </w:rPr>
        <w:t xml:space="preserve"> </w:t>
      </w:r>
      <w:r w:rsidRPr="007C2763">
        <w:rPr>
          <w:rFonts w:ascii="Abadi" w:hAnsi="Abadi" w:cs="Arial"/>
          <w:sz w:val="21"/>
          <w:szCs w:val="21"/>
        </w:rPr>
        <w:t>en</w:t>
      </w:r>
      <w:r w:rsidRPr="007C2763">
        <w:rPr>
          <w:rFonts w:ascii="Abadi" w:hAnsi="Abadi" w:cs="Arial"/>
          <w:spacing w:val="30"/>
          <w:sz w:val="21"/>
          <w:szCs w:val="21"/>
        </w:rPr>
        <w:t xml:space="preserve"> </w:t>
      </w:r>
      <w:r w:rsidRPr="007C2763">
        <w:rPr>
          <w:rFonts w:ascii="Abadi" w:hAnsi="Abadi" w:cs="Arial"/>
          <w:sz w:val="21"/>
          <w:szCs w:val="21"/>
        </w:rPr>
        <w:t>la</w:t>
      </w:r>
      <w:r w:rsidRPr="007C2763">
        <w:rPr>
          <w:rFonts w:ascii="Abadi" w:hAnsi="Abadi" w:cs="Arial"/>
          <w:spacing w:val="30"/>
          <w:sz w:val="21"/>
          <w:szCs w:val="21"/>
        </w:rPr>
        <w:t xml:space="preserve"> </w:t>
      </w:r>
      <w:r w:rsidRPr="007C2763">
        <w:rPr>
          <w:rFonts w:ascii="Abadi" w:hAnsi="Abadi" w:cs="Arial"/>
          <w:sz w:val="21"/>
          <w:szCs w:val="21"/>
        </w:rPr>
        <w:t>metodología,</w:t>
      </w:r>
      <w:r w:rsidRPr="007C2763">
        <w:rPr>
          <w:rFonts w:ascii="Abadi" w:hAnsi="Abadi" w:cs="Arial"/>
          <w:spacing w:val="30"/>
          <w:sz w:val="21"/>
          <w:szCs w:val="21"/>
        </w:rPr>
        <w:t xml:space="preserve"> </w:t>
      </w:r>
      <w:r w:rsidRPr="007C2763">
        <w:rPr>
          <w:rFonts w:ascii="Abadi" w:hAnsi="Abadi" w:cs="Arial"/>
          <w:sz w:val="21"/>
          <w:szCs w:val="21"/>
        </w:rPr>
        <w:t>se</w:t>
      </w:r>
      <w:r w:rsidRPr="007C2763">
        <w:rPr>
          <w:rFonts w:ascii="Abadi" w:hAnsi="Abadi" w:cs="Arial"/>
          <w:spacing w:val="30"/>
          <w:sz w:val="21"/>
          <w:szCs w:val="21"/>
        </w:rPr>
        <w:t xml:space="preserve"> </w:t>
      </w:r>
      <w:r w:rsidRPr="007C2763">
        <w:rPr>
          <w:rFonts w:ascii="Abadi" w:hAnsi="Abadi" w:cs="Arial"/>
          <w:sz w:val="21"/>
          <w:szCs w:val="21"/>
        </w:rPr>
        <w:t>procederá</w:t>
      </w:r>
      <w:r w:rsidRPr="007C2763">
        <w:rPr>
          <w:rFonts w:ascii="Abadi" w:hAnsi="Abadi" w:cs="Arial"/>
          <w:spacing w:val="30"/>
          <w:sz w:val="21"/>
          <w:szCs w:val="21"/>
        </w:rPr>
        <w:t xml:space="preserve"> </w:t>
      </w:r>
      <w:r w:rsidRPr="007C2763">
        <w:rPr>
          <w:rFonts w:ascii="Abadi" w:hAnsi="Abadi" w:cs="Arial"/>
          <w:sz w:val="21"/>
          <w:szCs w:val="21"/>
        </w:rPr>
        <w:t>a</w:t>
      </w:r>
      <w:r w:rsidRPr="007C2763">
        <w:rPr>
          <w:rFonts w:ascii="Abadi" w:hAnsi="Abadi" w:cs="Arial"/>
          <w:spacing w:val="30"/>
          <w:sz w:val="21"/>
          <w:szCs w:val="21"/>
        </w:rPr>
        <w:t xml:space="preserve"> </w:t>
      </w:r>
      <w:r w:rsidRPr="007C2763">
        <w:rPr>
          <w:rFonts w:ascii="Abadi" w:hAnsi="Abadi" w:cs="Arial"/>
          <w:sz w:val="21"/>
          <w:szCs w:val="21"/>
        </w:rPr>
        <w:t>la elaboración</w:t>
      </w:r>
      <w:r w:rsidRPr="007C2763">
        <w:rPr>
          <w:rFonts w:ascii="Abadi" w:hAnsi="Abadi" w:cs="Arial"/>
          <w:spacing w:val="41"/>
          <w:sz w:val="21"/>
          <w:szCs w:val="21"/>
        </w:rPr>
        <w:t xml:space="preserve"> </w:t>
      </w:r>
      <w:r w:rsidRPr="007C2763">
        <w:rPr>
          <w:rFonts w:ascii="Abadi" w:hAnsi="Abadi" w:cs="Arial"/>
          <w:sz w:val="21"/>
          <w:szCs w:val="21"/>
        </w:rPr>
        <w:t>y</w:t>
      </w:r>
      <w:r w:rsidRPr="007C2763">
        <w:rPr>
          <w:rFonts w:ascii="Abadi" w:hAnsi="Abadi" w:cs="Arial"/>
          <w:spacing w:val="39"/>
          <w:sz w:val="21"/>
          <w:szCs w:val="21"/>
        </w:rPr>
        <w:t xml:space="preserve"> </w:t>
      </w:r>
      <w:r w:rsidRPr="007C2763">
        <w:rPr>
          <w:rFonts w:ascii="Abadi" w:hAnsi="Abadi" w:cs="Arial"/>
          <w:sz w:val="21"/>
          <w:szCs w:val="21"/>
        </w:rPr>
        <w:t>remisión</w:t>
      </w:r>
      <w:r w:rsidRPr="007C2763">
        <w:rPr>
          <w:rFonts w:ascii="Abadi" w:hAnsi="Abadi" w:cs="Arial"/>
          <w:spacing w:val="42"/>
          <w:sz w:val="21"/>
          <w:szCs w:val="21"/>
        </w:rPr>
        <w:t xml:space="preserve"> </w:t>
      </w:r>
      <w:r w:rsidRPr="007C2763">
        <w:rPr>
          <w:rFonts w:ascii="Abadi" w:hAnsi="Abadi" w:cs="Arial"/>
          <w:sz w:val="21"/>
          <w:szCs w:val="21"/>
        </w:rPr>
        <w:t>por</w:t>
      </w:r>
      <w:r w:rsidRPr="007C2763">
        <w:rPr>
          <w:rFonts w:ascii="Abadi" w:hAnsi="Abadi" w:cs="Arial"/>
          <w:spacing w:val="37"/>
          <w:sz w:val="21"/>
          <w:szCs w:val="21"/>
        </w:rPr>
        <w:t xml:space="preserve"> </w:t>
      </w:r>
      <w:r w:rsidRPr="007C2763">
        <w:rPr>
          <w:rFonts w:ascii="Abadi" w:hAnsi="Abadi" w:cs="Arial"/>
          <w:sz w:val="21"/>
          <w:szCs w:val="21"/>
        </w:rPr>
        <w:t>parte</w:t>
      </w:r>
      <w:r w:rsidRPr="007C2763">
        <w:rPr>
          <w:rFonts w:ascii="Abadi" w:hAnsi="Abadi" w:cs="Arial"/>
          <w:spacing w:val="42"/>
          <w:sz w:val="21"/>
          <w:szCs w:val="21"/>
        </w:rPr>
        <w:t xml:space="preserve"> </w:t>
      </w:r>
      <w:r w:rsidRPr="007C2763">
        <w:rPr>
          <w:rFonts w:ascii="Abadi" w:hAnsi="Abadi" w:cs="Arial"/>
          <w:sz w:val="21"/>
          <w:szCs w:val="21"/>
        </w:rPr>
        <w:t>de</w:t>
      </w:r>
      <w:r w:rsidRPr="007C2763">
        <w:rPr>
          <w:rFonts w:ascii="Abadi" w:hAnsi="Abadi" w:cs="Arial"/>
          <w:spacing w:val="42"/>
          <w:sz w:val="21"/>
          <w:szCs w:val="21"/>
        </w:rPr>
        <w:t xml:space="preserve"> </w:t>
      </w:r>
      <w:r w:rsidRPr="007C2763">
        <w:rPr>
          <w:rFonts w:ascii="Abadi" w:hAnsi="Abadi" w:cs="Arial"/>
          <w:sz w:val="21"/>
          <w:szCs w:val="21"/>
        </w:rPr>
        <w:t>la</w:t>
      </w:r>
      <w:r w:rsidRPr="007C2763">
        <w:rPr>
          <w:rFonts w:ascii="Abadi" w:hAnsi="Abadi" w:cs="Arial"/>
          <w:spacing w:val="39"/>
          <w:sz w:val="21"/>
          <w:szCs w:val="21"/>
        </w:rPr>
        <w:t xml:space="preserve"> </w:t>
      </w:r>
      <w:r w:rsidRPr="007C2763">
        <w:rPr>
          <w:rFonts w:ascii="Abadi" w:hAnsi="Abadi" w:cs="Arial"/>
          <w:sz w:val="21"/>
          <w:szCs w:val="21"/>
        </w:rPr>
        <w:t>Secretaría</w:t>
      </w:r>
      <w:r w:rsidRPr="007C2763">
        <w:rPr>
          <w:rFonts w:ascii="Abadi" w:hAnsi="Abadi" w:cs="Arial"/>
          <w:spacing w:val="42"/>
          <w:sz w:val="21"/>
          <w:szCs w:val="21"/>
        </w:rPr>
        <w:t xml:space="preserve"> </w:t>
      </w:r>
      <w:r w:rsidRPr="007C2763">
        <w:rPr>
          <w:rFonts w:ascii="Abadi" w:hAnsi="Abadi" w:cs="Arial"/>
          <w:sz w:val="21"/>
          <w:szCs w:val="21"/>
        </w:rPr>
        <w:t>Técnica</w:t>
      </w:r>
      <w:r w:rsidRPr="007C2763">
        <w:rPr>
          <w:rFonts w:ascii="Abadi" w:hAnsi="Abadi" w:cs="Arial"/>
          <w:spacing w:val="40"/>
          <w:sz w:val="21"/>
          <w:szCs w:val="21"/>
        </w:rPr>
        <w:t xml:space="preserve"> </w:t>
      </w:r>
      <w:r w:rsidRPr="007C2763">
        <w:rPr>
          <w:rFonts w:ascii="Abadi" w:hAnsi="Abadi" w:cs="Arial"/>
          <w:sz w:val="21"/>
          <w:szCs w:val="21"/>
        </w:rPr>
        <w:t>de</w:t>
      </w:r>
      <w:r w:rsidRPr="007C2763">
        <w:rPr>
          <w:rFonts w:ascii="Abadi" w:hAnsi="Abadi" w:cs="Arial"/>
          <w:spacing w:val="39"/>
          <w:sz w:val="21"/>
          <w:szCs w:val="21"/>
        </w:rPr>
        <w:t xml:space="preserve"> </w:t>
      </w:r>
      <w:r w:rsidRPr="007C2763">
        <w:rPr>
          <w:rFonts w:ascii="Abadi" w:hAnsi="Abadi" w:cs="Arial"/>
          <w:sz w:val="21"/>
          <w:szCs w:val="21"/>
        </w:rPr>
        <w:t>un</w:t>
      </w:r>
      <w:r w:rsidRPr="007C2763">
        <w:rPr>
          <w:rFonts w:ascii="Abadi" w:hAnsi="Abadi" w:cs="Arial"/>
          <w:spacing w:val="40"/>
          <w:sz w:val="21"/>
          <w:szCs w:val="21"/>
        </w:rPr>
        <w:t xml:space="preserve"> </w:t>
      </w:r>
      <w:r w:rsidRPr="007C2763">
        <w:rPr>
          <w:rFonts w:ascii="Abadi" w:hAnsi="Abadi" w:cs="Arial"/>
          <w:sz w:val="21"/>
          <w:szCs w:val="21"/>
        </w:rPr>
        <w:t>documento</w:t>
      </w:r>
      <w:r w:rsidRPr="007C2763">
        <w:rPr>
          <w:rFonts w:ascii="Abadi" w:hAnsi="Abadi" w:cs="Arial"/>
          <w:spacing w:val="42"/>
          <w:sz w:val="21"/>
          <w:szCs w:val="21"/>
        </w:rPr>
        <w:t xml:space="preserve"> </w:t>
      </w:r>
      <w:r w:rsidRPr="007C2763">
        <w:rPr>
          <w:rFonts w:ascii="Abadi" w:hAnsi="Abadi" w:cs="Arial"/>
          <w:sz w:val="21"/>
          <w:szCs w:val="21"/>
        </w:rPr>
        <w:t>de</w:t>
      </w:r>
      <w:r w:rsidRPr="007C2763">
        <w:rPr>
          <w:rFonts w:ascii="Abadi" w:hAnsi="Abadi" w:cs="Arial"/>
          <w:spacing w:val="-1"/>
          <w:sz w:val="21"/>
          <w:szCs w:val="21"/>
        </w:rPr>
        <w:t xml:space="preserve"> </w:t>
      </w:r>
      <w:r w:rsidRPr="007C2763">
        <w:rPr>
          <w:rFonts w:ascii="Abadi" w:hAnsi="Abadi" w:cs="Arial"/>
          <w:sz w:val="21"/>
          <w:szCs w:val="21"/>
        </w:rPr>
        <w:t>trabajo</w:t>
      </w:r>
      <w:r w:rsidRPr="007C2763">
        <w:rPr>
          <w:rFonts w:ascii="Abadi" w:hAnsi="Abadi" w:cs="Arial"/>
          <w:spacing w:val="8"/>
          <w:sz w:val="21"/>
          <w:szCs w:val="21"/>
        </w:rPr>
        <w:t xml:space="preserve"> </w:t>
      </w:r>
      <w:r w:rsidRPr="007C2763">
        <w:rPr>
          <w:rFonts w:ascii="Abadi" w:hAnsi="Abadi" w:cs="Arial"/>
          <w:sz w:val="21"/>
          <w:szCs w:val="21"/>
        </w:rPr>
        <w:t>en</w:t>
      </w:r>
      <w:r w:rsidRPr="007C2763">
        <w:rPr>
          <w:rFonts w:ascii="Abadi" w:hAnsi="Abadi" w:cs="Arial"/>
          <w:spacing w:val="8"/>
          <w:sz w:val="21"/>
          <w:szCs w:val="21"/>
        </w:rPr>
        <w:t xml:space="preserve"> </w:t>
      </w:r>
      <w:r w:rsidRPr="007C2763">
        <w:rPr>
          <w:rFonts w:ascii="Abadi" w:hAnsi="Abadi" w:cs="Arial"/>
          <w:sz w:val="21"/>
          <w:szCs w:val="21"/>
        </w:rPr>
        <w:t>el</w:t>
      </w:r>
      <w:r w:rsidRPr="007C2763">
        <w:rPr>
          <w:rFonts w:ascii="Abadi" w:hAnsi="Abadi" w:cs="Arial"/>
          <w:spacing w:val="9"/>
          <w:sz w:val="21"/>
          <w:szCs w:val="21"/>
        </w:rPr>
        <w:t xml:space="preserve"> </w:t>
      </w:r>
      <w:r w:rsidRPr="007C2763">
        <w:rPr>
          <w:rFonts w:ascii="Abadi" w:hAnsi="Abadi" w:cs="Arial"/>
          <w:sz w:val="21"/>
          <w:szCs w:val="21"/>
        </w:rPr>
        <w:t>cual</w:t>
      </w:r>
      <w:r w:rsidRPr="007C2763">
        <w:rPr>
          <w:rFonts w:ascii="Abadi" w:hAnsi="Abadi" w:cs="Arial"/>
          <w:spacing w:val="9"/>
          <w:sz w:val="21"/>
          <w:szCs w:val="21"/>
        </w:rPr>
        <w:t xml:space="preserve"> </w:t>
      </w:r>
      <w:r w:rsidRPr="007C2763">
        <w:rPr>
          <w:rFonts w:ascii="Abadi" w:hAnsi="Abadi" w:cs="Arial"/>
          <w:sz w:val="21"/>
          <w:szCs w:val="21"/>
        </w:rPr>
        <w:t>concentre</w:t>
      </w:r>
      <w:r w:rsidRPr="007C2763">
        <w:rPr>
          <w:rFonts w:ascii="Abadi" w:hAnsi="Abadi" w:cs="Arial"/>
          <w:spacing w:val="11"/>
          <w:sz w:val="21"/>
          <w:szCs w:val="21"/>
        </w:rPr>
        <w:t xml:space="preserve"> </w:t>
      </w:r>
      <w:r w:rsidRPr="007C2763">
        <w:rPr>
          <w:rFonts w:ascii="Abadi" w:hAnsi="Abadi" w:cs="Arial"/>
          <w:sz w:val="21"/>
          <w:szCs w:val="21"/>
        </w:rPr>
        <w:t>las</w:t>
      </w:r>
      <w:r w:rsidRPr="007C2763">
        <w:rPr>
          <w:rFonts w:ascii="Abadi" w:hAnsi="Abadi" w:cs="Arial"/>
          <w:spacing w:val="10"/>
          <w:sz w:val="21"/>
          <w:szCs w:val="21"/>
        </w:rPr>
        <w:t xml:space="preserve"> </w:t>
      </w:r>
      <w:r w:rsidRPr="007C2763">
        <w:rPr>
          <w:rFonts w:ascii="Abadi" w:hAnsi="Abadi" w:cs="Arial"/>
          <w:sz w:val="21"/>
          <w:szCs w:val="21"/>
        </w:rPr>
        <w:t>observaciones,</w:t>
      </w:r>
      <w:r w:rsidRPr="007C2763">
        <w:rPr>
          <w:rFonts w:ascii="Abadi" w:hAnsi="Abadi" w:cs="Arial"/>
          <w:spacing w:val="10"/>
          <w:sz w:val="21"/>
          <w:szCs w:val="21"/>
        </w:rPr>
        <w:t xml:space="preserve"> </w:t>
      </w:r>
      <w:r w:rsidRPr="007C2763">
        <w:rPr>
          <w:rFonts w:ascii="Abadi" w:hAnsi="Abadi" w:cs="Arial"/>
          <w:sz w:val="21"/>
          <w:szCs w:val="21"/>
        </w:rPr>
        <w:t>y</w:t>
      </w:r>
      <w:r w:rsidRPr="007C2763">
        <w:rPr>
          <w:rFonts w:ascii="Abadi" w:hAnsi="Abadi" w:cs="Arial"/>
          <w:spacing w:val="10"/>
          <w:sz w:val="21"/>
          <w:szCs w:val="21"/>
        </w:rPr>
        <w:t xml:space="preserve"> </w:t>
      </w:r>
      <w:r w:rsidRPr="007C2763">
        <w:rPr>
          <w:rFonts w:ascii="Abadi" w:hAnsi="Abadi" w:cs="Arial"/>
          <w:sz w:val="21"/>
          <w:szCs w:val="21"/>
        </w:rPr>
        <w:t>comentarios</w:t>
      </w:r>
      <w:r w:rsidRPr="007C2763">
        <w:rPr>
          <w:rFonts w:ascii="Abadi" w:hAnsi="Abadi" w:cs="Arial"/>
          <w:spacing w:val="10"/>
          <w:sz w:val="21"/>
          <w:szCs w:val="21"/>
        </w:rPr>
        <w:t xml:space="preserve"> </w:t>
      </w:r>
      <w:r w:rsidRPr="007C2763">
        <w:rPr>
          <w:rFonts w:ascii="Abadi" w:hAnsi="Abadi" w:cs="Arial"/>
          <w:sz w:val="21"/>
          <w:szCs w:val="21"/>
        </w:rPr>
        <w:t>recibidos,</w:t>
      </w:r>
      <w:r w:rsidRPr="007C2763">
        <w:rPr>
          <w:rFonts w:ascii="Abadi" w:hAnsi="Abadi" w:cs="Arial"/>
          <w:spacing w:val="8"/>
          <w:sz w:val="21"/>
          <w:szCs w:val="21"/>
        </w:rPr>
        <w:t xml:space="preserve"> </w:t>
      </w:r>
      <w:r w:rsidRPr="007C2763">
        <w:rPr>
          <w:rFonts w:ascii="Abadi" w:hAnsi="Abadi" w:cs="Arial"/>
          <w:sz w:val="21"/>
          <w:szCs w:val="21"/>
        </w:rPr>
        <w:t>dentro</w:t>
      </w:r>
      <w:r w:rsidRPr="007C2763">
        <w:rPr>
          <w:rFonts w:ascii="Abadi" w:hAnsi="Abadi" w:cs="Arial"/>
          <w:spacing w:val="8"/>
          <w:sz w:val="21"/>
          <w:szCs w:val="21"/>
        </w:rPr>
        <w:t xml:space="preserve"> </w:t>
      </w:r>
      <w:r w:rsidRPr="007C2763">
        <w:rPr>
          <w:rFonts w:ascii="Abadi" w:hAnsi="Abadi" w:cs="Arial"/>
          <w:sz w:val="21"/>
          <w:szCs w:val="21"/>
        </w:rPr>
        <w:t>de los</w:t>
      </w:r>
      <w:r w:rsidRPr="007C2763">
        <w:rPr>
          <w:rFonts w:ascii="Abadi" w:hAnsi="Abadi" w:cs="Arial"/>
          <w:spacing w:val="41"/>
          <w:sz w:val="21"/>
          <w:szCs w:val="21"/>
        </w:rPr>
        <w:t xml:space="preserve"> </w:t>
      </w:r>
      <w:r w:rsidRPr="007C2763">
        <w:rPr>
          <w:rFonts w:ascii="Abadi" w:hAnsi="Abadi" w:cs="Arial"/>
          <w:sz w:val="21"/>
          <w:szCs w:val="21"/>
        </w:rPr>
        <w:t>10</w:t>
      </w:r>
      <w:r w:rsidRPr="007C2763">
        <w:rPr>
          <w:rFonts w:ascii="Abadi" w:hAnsi="Abadi" w:cs="Arial"/>
          <w:spacing w:val="42"/>
          <w:sz w:val="21"/>
          <w:szCs w:val="21"/>
        </w:rPr>
        <w:t xml:space="preserve"> </w:t>
      </w:r>
      <w:r w:rsidRPr="007C2763">
        <w:rPr>
          <w:rFonts w:ascii="Abadi" w:hAnsi="Abadi" w:cs="Arial"/>
          <w:sz w:val="21"/>
          <w:szCs w:val="21"/>
        </w:rPr>
        <w:t>días</w:t>
      </w:r>
      <w:r w:rsidRPr="007C2763">
        <w:rPr>
          <w:rFonts w:ascii="Abadi" w:hAnsi="Abadi" w:cs="Arial"/>
          <w:spacing w:val="40"/>
          <w:sz w:val="21"/>
          <w:szCs w:val="21"/>
        </w:rPr>
        <w:t xml:space="preserve"> </w:t>
      </w:r>
      <w:r w:rsidRPr="007C2763">
        <w:rPr>
          <w:rFonts w:ascii="Abadi" w:hAnsi="Abadi" w:cs="Arial"/>
          <w:sz w:val="21"/>
          <w:szCs w:val="21"/>
        </w:rPr>
        <w:t>hábiles</w:t>
      </w:r>
      <w:r w:rsidRPr="007C2763">
        <w:rPr>
          <w:rFonts w:ascii="Abadi" w:hAnsi="Abadi" w:cs="Arial"/>
          <w:spacing w:val="41"/>
          <w:sz w:val="21"/>
          <w:szCs w:val="21"/>
        </w:rPr>
        <w:t xml:space="preserve"> </w:t>
      </w:r>
      <w:r w:rsidRPr="007C2763">
        <w:rPr>
          <w:rFonts w:ascii="Abadi" w:hAnsi="Abadi" w:cs="Arial"/>
          <w:sz w:val="21"/>
          <w:szCs w:val="21"/>
        </w:rPr>
        <w:t>posteriores</w:t>
      </w:r>
      <w:r w:rsidRPr="007C2763">
        <w:rPr>
          <w:rFonts w:ascii="Abadi" w:hAnsi="Abadi" w:cs="Arial"/>
          <w:spacing w:val="41"/>
          <w:sz w:val="21"/>
          <w:szCs w:val="21"/>
        </w:rPr>
        <w:t xml:space="preserve"> </w:t>
      </w:r>
      <w:r w:rsidRPr="007C2763">
        <w:rPr>
          <w:rFonts w:ascii="Abadi" w:hAnsi="Abadi" w:cs="Arial"/>
          <w:sz w:val="21"/>
          <w:szCs w:val="21"/>
        </w:rPr>
        <w:t>a</w:t>
      </w:r>
      <w:r w:rsidRPr="007C2763">
        <w:rPr>
          <w:rFonts w:ascii="Abadi" w:hAnsi="Abadi" w:cs="Arial"/>
          <w:spacing w:val="41"/>
          <w:sz w:val="21"/>
          <w:szCs w:val="21"/>
        </w:rPr>
        <w:t xml:space="preserve"> </w:t>
      </w:r>
      <w:r w:rsidRPr="007C2763">
        <w:rPr>
          <w:rFonts w:ascii="Abadi" w:hAnsi="Abadi" w:cs="Arial"/>
          <w:sz w:val="21"/>
          <w:szCs w:val="21"/>
        </w:rPr>
        <w:t>la</w:t>
      </w:r>
      <w:r w:rsidRPr="007C2763">
        <w:rPr>
          <w:rFonts w:ascii="Abadi" w:hAnsi="Abadi" w:cs="Arial"/>
          <w:spacing w:val="42"/>
          <w:sz w:val="21"/>
          <w:szCs w:val="21"/>
        </w:rPr>
        <w:t xml:space="preserve"> </w:t>
      </w:r>
      <w:r w:rsidRPr="007C2763">
        <w:rPr>
          <w:rFonts w:ascii="Abadi" w:hAnsi="Abadi" w:cs="Arial"/>
          <w:sz w:val="21"/>
          <w:szCs w:val="21"/>
        </w:rPr>
        <w:t>conclusión</w:t>
      </w:r>
      <w:r w:rsidRPr="007C2763">
        <w:rPr>
          <w:rFonts w:ascii="Abadi" w:hAnsi="Abadi" w:cs="Arial"/>
          <w:spacing w:val="42"/>
          <w:sz w:val="21"/>
          <w:szCs w:val="21"/>
        </w:rPr>
        <w:t xml:space="preserve"> </w:t>
      </w:r>
      <w:r w:rsidRPr="007C2763">
        <w:rPr>
          <w:rFonts w:ascii="Abadi" w:hAnsi="Abadi" w:cs="Arial"/>
          <w:sz w:val="21"/>
          <w:szCs w:val="21"/>
        </w:rPr>
        <w:t>de</w:t>
      </w:r>
      <w:r w:rsidRPr="007C2763">
        <w:rPr>
          <w:rFonts w:ascii="Abadi" w:hAnsi="Abadi" w:cs="Arial"/>
          <w:spacing w:val="41"/>
          <w:sz w:val="21"/>
          <w:szCs w:val="21"/>
        </w:rPr>
        <w:t xml:space="preserve"> </w:t>
      </w:r>
      <w:r w:rsidRPr="007C2763">
        <w:rPr>
          <w:rFonts w:ascii="Abadi" w:hAnsi="Abadi" w:cs="Arial"/>
          <w:sz w:val="21"/>
          <w:szCs w:val="21"/>
        </w:rPr>
        <w:t>los</w:t>
      </w:r>
      <w:r w:rsidRPr="007C2763">
        <w:rPr>
          <w:rFonts w:ascii="Abadi" w:hAnsi="Abadi" w:cs="Arial"/>
          <w:spacing w:val="41"/>
          <w:sz w:val="21"/>
          <w:szCs w:val="21"/>
        </w:rPr>
        <w:t xml:space="preserve"> </w:t>
      </w:r>
      <w:r w:rsidRPr="007C2763">
        <w:rPr>
          <w:rFonts w:ascii="Abadi" w:hAnsi="Abadi" w:cs="Arial"/>
          <w:sz w:val="21"/>
          <w:szCs w:val="21"/>
        </w:rPr>
        <w:t>términos</w:t>
      </w:r>
      <w:r w:rsidRPr="007C2763">
        <w:rPr>
          <w:rFonts w:ascii="Abadi" w:hAnsi="Abadi" w:cs="Arial"/>
          <w:spacing w:val="39"/>
          <w:sz w:val="21"/>
          <w:szCs w:val="21"/>
        </w:rPr>
        <w:t xml:space="preserve"> </w:t>
      </w:r>
      <w:r w:rsidRPr="007C2763">
        <w:rPr>
          <w:rFonts w:ascii="Abadi" w:hAnsi="Abadi" w:cs="Arial"/>
          <w:sz w:val="21"/>
          <w:szCs w:val="21"/>
        </w:rPr>
        <w:t>otorgados</w:t>
      </w:r>
      <w:r w:rsidRPr="007C2763">
        <w:rPr>
          <w:rFonts w:ascii="Abadi" w:hAnsi="Abadi" w:cs="Arial"/>
          <w:spacing w:val="40"/>
          <w:sz w:val="21"/>
          <w:szCs w:val="21"/>
        </w:rPr>
        <w:t xml:space="preserve"> </w:t>
      </w:r>
      <w:r w:rsidRPr="007C2763">
        <w:rPr>
          <w:rFonts w:ascii="Abadi" w:hAnsi="Abadi" w:cs="Arial"/>
          <w:sz w:val="21"/>
          <w:szCs w:val="21"/>
        </w:rPr>
        <w:t>a</w:t>
      </w:r>
      <w:r w:rsidRPr="007C2763">
        <w:rPr>
          <w:rFonts w:ascii="Abadi" w:hAnsi="Abadi" w:cs="Arial"/>
          <w:spacing w:val="42"/>
          <w:sz w:val="21"/>
          <w:szCs w:val="21"/>
        </w:rPr>
        <w:t xml:space="preserve"> </w:t>
      </w:r>
      <w:r w:rsidRPr="007C2763">
        <w:rPr>
          <w:rFonts w:ascii="Abadi" w:hAnsi="Abadi" w:cs="Arial"/>
          <w:sz w:val="21"/>
          <w:szCs w:val="21"/>
        </w:rPr>
        <w:t>las</w:t>
      </w:r>
    </w:p>
    <w:p w14:paraId="4509C95A" w14:textId="77777777" w:rsidR="00374A1E" w:rsidRPr="007C2763" w:rsidRDefault="00374A1E" w:rsidP="00374A1E">
      <w:pPr>
        <w:kinsoku w:val="0"/>
        <w:overflowPunct w:val="0"/>
        <w:autoSpaceDE w:val="0"/>
        <w:autoSpaceDN w:val="0"/>
        <w:adjustRightInd w:val="0"/>
        <w:ind w:left="40"/>
        <w:jc w:val="both"/>
        <w:rPr>
          <w:rFonts w:ascii="Abadi" w:hAnsi="Abadi" w:cs="Arial"/>
          <w:sz w:val="21"/>
          <w:szCs w:val="21"/>
        </w:rPr>
      </w:pPr>
      <w:r w:rsidRPr="007C2763">
        <w:rPr>
          <w:rFonts w:ascii="Abadi" w:hAnsi="Abadi" w:cs="Arial"/>
          <w:sz w:val="21"/>
          <w:szCs w:val="21"/>
        </w:rPr>
        <w:t>instituciones y organizaciones.</w:t>
      </w:r>
    </w:p>
    <w:p w14:paraId="237E5564" w14:textId="77777777" w:rsidR="00374A1E" w:rsidRPr="007C2763" w:rsidRDefault="00374A1E" w:rsidP="00374A1E">
      <w:pPr>
        <w:pStyle w:val="Textoindependiente"/>
        <w:kinsoku w:val="0"/>
        <w:overflowPunct w:val="0"/>
        <w:spacing w:before="3"/>
        <w:rPr>
          <w:rFonts w:ascii="Abadi" w:hAnsi="Abadi"/>
          <w:sz w:val="21"/>
          <w:szCs w:val="21"/>
        </w:rPr>
      </w:pPr>
    </w:p>
    <w:p w14:paraId="2347A568" w14:textId="513A6E1B" w:rsidR="00374A1E" w:rsidRPr="007C2763" w:rsidRDefault="00374A1E" w:rsidP="00DB1A62">
      <w:pPr>
        <w:pStyle w:val="Textoindependiente"/>
        <w:kinsoku w:val="0"/>
        <w:overflowPunct w:val="0"/>
        <w:ind w:right="116"/>
        <w:rPr>
          <w:rFonts w:ascii="Abadi" w:hAnsi="Abadi"/>
          <w:b w:val="0"/>
          <w:bCs w:val="0"/>
          <w:sz w:val="21"/>
          <w:szCs w:val="21"/>
        </w:rPr>
      </w:pPr>
      <w:r w:rsidRPr="007C2763">
        <w:rPr>
          <w:rFonts w:ascii="Abadi" w:hAnsi="Abadi"/>
          <w:b w:val="0"/>
          <w:bCs w:val="0"/>
          <w:sz w:val="21"/>
          <w:szCs w:val="21"/>
        </w:rPr>
        <w:t>9.</w:t>
      </w:r>
      <w:r w:rsidRPr="007C2763">
        <w:rPr>
          <w:rFonts w:ascii="Abadi" w:hAnsi="Abadi"/>
          <w:b w:val="0"/>
          <w:bCs w:val="0"/>
          <w:spacing w:val="43"/>
          <w:sz w:val="21"/>
          <w:szCs w:val="21"/>
        </w:rPr>
        <w:t xml:space="preserve"> </w:t>
      </w:r>
      <w:r w:rsidRPr="007C2763">
        <w:rPr>
          <w:rFonts w:ascii="Abadi" w:hAnsi="Abadi"/>
          <w:b w:val="0"/>
          <w:bCs w:val="0"/>
          <w:sz w:val="21"/>
          <w:szCs w:val="21"/>
        </w:rPr>
        <w:t>Realización</w:t>
      </w:r>
      <w:r w:rsidRPr="007C2763">
        <w:rPr>
          <w:rFonts w:ascii="Abadi" w:hAnsi="Abadi"/>
          <w:b w:val="0"/>
          <w:bCs w:val="0"/>
          <w:spacing w:val="42"/>
          <w:sz w:val="21"/>
          <w:szCs w:val="21"/>
        </w:rPr>
        <w:t xml:space="preserve"> </w:t>
      </w:r>
      <w:r w:rsidRPr="007C2763">
        <w:rPr>
          <w:rFonts w:ascii="Abadi" w:hAnsi="Abadi"/>
          <w:b w:val="0"/>
          <w:bCs w:val="0"/>
          <w:sz w:val="21"/>
          <w:szCs w:val="21"/>
        </w:rPr>
        <w:t>de</w:t>
      </w:r>
      <w:r w:rsidRPr="007C2763">
        <w:rPr>
          <w:rFonts w:ascii="Abadi" w:hAnsi="Abadi"/>
          <w:b w:val="0"/>
          <w:bCs w:val="0"/>
          <w:spacing w:val="42"/>
          <w:sz w:val="21"/>
          <w:szCs w:val="21"/>
        </w:rPr>
        <w:t xml:space="preserve"> </w:t>
      </w:r>
      <w:r w:rsidRPr="007C2763">
        <w:rPr>
          <w:rFonts w:ascii="Abadi" w:hAnsi="Abadi"/>
          <w:b w:val="0"/>
          <w:bCs w:val="0"/>
          <w:sz w:val="21"/>
          <w:szCs w:val="21"/>
        </w:rPr>
        <w:t>una</w:t>
      </w:r>
      <w:r w:rsidRPr="007C2763">
        <w:rPr>
          <w:rFonts w:ascii="Abadi" w:hAnsi="Abadi"/>
          <w:b w:val="0"/>
          <w:bCs w:val="0"/>
          <w:spacing w:val="41"/>
          <w:sz w:val="21"/>
          <w:szCs w:val="21"/>
        </w:rPr>
        <w:t xml:space="preserve"> </w:t>
      </w:r>
      <w:r w:rsidRPr="007C2763">
        <w:rPr>
          <w:rFonts w:ascii="Abadi" w:hAnsi="Abadi"/>
          <w:b w:val="0"/>
          <w:bCs w:val="0"/>
          <w:sz w:val="21"/>
          <w:szCs w:val="21"/>
        </w:rPr>
        <w:t>mesa</w:t>
      </w:r>
      <w:r w:rsidRPr="007C2763">
        <w:rPr>
          <w:rFonts w:ascii="Abadi" w:hAnsi="Abadi"/>
          <w:b w:val="0"/>
          <w:bCs w:val="0"/>
          <w:spacing w:val="44"/>
          <w:sz w:val="21"/>
          <w:szCs w:val="21"/>
        </w:rPr>
        <w:t xml:space="preserve"> </w:t>
      </w:r>
      <w:r w:rsidRPr="007C2763">
        <w:rPr>
          <w:rFonts w:ascii="Abadi" w:hAnsi="Abadi"/>
          <w:b w:val="0"/>
          <w:bCs w:val="0"/>
          <w:sz w:val="21"/>
          <w:szCs w:val="21"/>
        </w:rPr>
        <w:t>de</w:t>
      </w:r>
      <w:r w:rsidRPr="007C2763">
        <w:rPr>
          <w:rFonts w:ascii="Abadi" w:hAnsi="Abadi"/>
          <w:b w:val="0"/>
          <w:bCs w:val="0"/>
          <w:spacing w:val="44"/>
          <w:sz w:val="21"/>
          <w:szCs w:val="21"/>
        </w:rPr>
        <w:t xml:space="preserve"> </w:t>
      </w:r>
      <w:r w:rsidRPr="007C2763">
        <w:rPr>
          <w:rFonts w:ascii="Abadi" w:hAnsi="Abadi"/>
          <w:b w:val="0"/>
          <w:bCs w:val="0"/>
          <w:sz w:val="21"/>
          <w:szCs w:val="21"/>
        </w:rPr>
        <w:t>trabajo</w:t>
      </w:r>
      <w:r w:rsidRPr="007C2763">
        <w:rPr>
          <w:rFonts w:ascii="Abadi" w:hAnsi="Abadi"/>
          <w:b w:val="0"/>
          <w:bCs w:val="0"/>
          <w:spacing w:val="41"/>
          <w:sz w:val="21"/>
          <w:szCs w:val="21"/>
        </w:rPr>
        <w:t xml:space="preserve"> </w:t>
      </w:r>
      <w:r w:rsidRPr="007C2763">
        <w:rPr>
          <w:rFonts w:ascii="Abadi" w:hAnsi="Abadi"/>
          <w:b w:val="0"/>
          <w:bCs w:val="0"/>
          <w:sz w:val="21"/>
          <w:szCs w:val="21"/>
        </w:rPr>
        <w:t>permanente</w:t>
      </w:r>
      <w:r w:rsidRPr="007C2763">
        <w:rPr>
          <w:rFonts w:ascii="Abadi" w:hAnsi="Abadi"/>
          <w:b w:val="0"/>
          <w:bCs w:val="0"/>
          <w:spacing w:val="44"/>
          <w:sz w:val="21"/>
          <w:szCs w:val="21"/>
        </w:rPr>
        <w:t xml:space="preserve"> </w:t>
      </w:r>
      <w:r w:rsidRPr="007C2763">
        <w:rPr>
          <w:rFonts w:ascii="Abadi" w:hAnsi="Abadi"/>
          <w:b w:val="0"/>
          <w:bCs w:val="0"/>
          <w:sz w:val="21"/>
          <w:szCs w:val="21"/>
        </w:rPr>
        <w:t>con</w:t>
      </w:r>
      <w:r w:rsidRPr="007C2763">
        <w:rPr>
          <w:rFonts w:ascii="Abadi" w:hAnsi="Abadi"/>
          <w:b w:val="0"/>
          <w:bCs w:val="0"/>
          <w:spacing w:val="42"/>
          <w:sz w:val="21"/>
          <w:szCs w:val="21"/>
        </w:rPr>
        <w:t xml:space="preserve"> </w:t>
      </w:r>
      <w:r w:rsidRPr="007C2763">
        <w:rPr>
          <w:rFonts w:ascii="Abadi" w:hAnsi="Abadi"/>
          <w:b w:val="0"/>
          <w:bCs w:val="0"/>
          <w:sz w:val="21"/>
          <w:szCs w:val="21"/>
        </w:rPr>
        <w:t>diputadas</w:t>
      </w:r>
      <w:r w:rsidRPr="007C2763">
        <w:rPr>
          <w:rFonts w:ascii="Abadi" w:hAnsi="Abadi"/>
          <w:b w:val="0"/>
          <w:bCs w:val="0"/>
          <w:spacing w:val="43"/>
          <w:sz w:val="21"/>
          <w:szCs w:val="21"/>
        </w:rPr>
        <w:t xml:space="preserve"> </w:t>
      </w:r>
      <w:r w:rsidRPr="007C2763">
        <w:rPr>
          <w:rFonts w:ascii="Abadi" w:hAnsi="Abadi"/>
          <w:b w:val="0"/>
          <w:bCs w:val="0"/>
          <w:sz w:val="21"/>
          <w:szCs w:val="21"/>
        </w:rPr>
        <w:t>y</w:t>
      </w:r>
      <w:r w:rsidRPr="007C2763">
        <w:rPr>
          <w:rFonts w:ascii="Abadi" w:hAnsi="Abadi"/>
          <w:b w:val="0"/>
          <w:bCs w:val="0"/>
          <w:spacing w:val="44"/>
          <w:sz w:val="21"/>
          <w:szCs w:val="21"/>
        </w:rPr>
        <w:t xml:space="preserve"> </w:t>
      </w:r>
      <w:r w:rsidRPr="007C2763">
        <w:rPr>
          <w:rFonts w:ascii="Abadi" w:hAnsi="Abadi"/>
          <w:b w:val="0"/>
          <w:bCs w:val="0"/>
          <w:sz w:val="21"/>
          <w:szCs w:val="21"/>
        </w:rPr>
        <w:t>diputados, asesores</w:t>
      </w:r>
      <w:r w:rsidRPr="007C2763">
        <w:rPr>
          <w:rFonts w:ascii="Abadi" w:hAnsi="Abadi"/>
          <w:b w:val="0"/>
          <w:bCs w:val="0"/>
          <w:spacing w:val="9"/>
          <w:sz w:val="21"/>
          <w:szCs w:val="21"/>
        </w:rPr>
        <w:t xml:space="preserve"> </w:t>
      </w:r>
      <w:r w:rsidRPr="007C2763">
        <w:rPr>
          <w:rFonts w:ascii="Abadi" w:hAnsi="Abadi"/>
          <w:b w:val="0"/>
          <w:bCs w:val="0"/>
          <w:sz w:val="21"/>
          <w:szCs w:val="21"/>
        </w:rPr>
        <w:t>y,</w:t>
      </w:r>
      <w:r w:rsidRPr="007C2763">
        <w:rPr>
          <w:rFonts w:ascii="Abadi" w:hAnsi="Abadi"/>
          <w:b w:val="0"/>
          <w:bCs w:val="0"/>
          <w:spacing w:val="8"/>
          <w:sz w:val="21"/>
          <w:szCs w:val="21"/>
        </w:rPr>
        <w:t xml:space="preserve"> </w:t>
      </w:r>
      <w:r w:rsidRPr="007C2763">
        <w:rPr>
          <w:rFonts w:ascii="Abadi" w:hAnsi="Abadi"/>
          <w:b w:val="0"/>
          <w:bCs w:val="0"/>
          <w:sz w:val="21"/>
          <w:szCs w:val="21"/>
        </w:rPr>
        <w:t>personal</w:t>
      </w:r>
      <w:r w:rsidRPr="007C2763">
        <w:rPr>
          <w:rFonts w:ascii="Abadi" w:hAnsi="Abadi"/>
          <w:b w:val="0"/>
          <w:bCs w:val="0"/>
          <w:spacing w:val="7"/>
          <w:sz w:val="21"/>
          <w:szCs w:val="21"/>
        </w:rPr>
        <w:t xml:space="preserve"> </w:t>
      </w:r>
      <w:r w:rsidRPr="007C2763">
        <w:rPr>
          <w:rFonts w:ascii="Abadi" w:hAnsi="Abadi"/>
          <w:b w:val="0"/>
          <w:bCs w:val="0"/>
          <w:sz w:val="21"/>
          <w:szCs w:val="21"/>
        </w:rPr>
        <w:t>de</w:t>
      </w:r>
      <w:r w:rsidRPr="007C2763">
        <w:rPr>
          <w:rFonts w:ascii="Abadi" w:hAnsi="Abadi"/>
          <w:b w:val="0"/>
          <w:bCs w:val="0"/>
          <w:spacing w:val="9"/>
          <w:sz w:val="21"/>
          <w:szCs w:val="21"/>
        </w:rPr>
        <w:t xml:space="preserve"> </w:t>
      </w:r>
      <w:r w:rsidRPr="007C2763">
        <w:rPr>
          <w:rFonts w:ascii="Abadi" w:hAnsi="Abadi"/>
          <w:b w:val="0"/>
          <w:bCs w:val="0"/>
          <w:sz w:val="21"/>
          <w:szCs w:val="21"/>
        </w:rPr>
        <w:t>Instituto</w:t>
      </w:r>
      <w:r w:rsidRPr="007C2763">
        <w:rPr>
          <w:rFonts w:ascii="Abadi" w:hAnsi="Abadi"/>
          <w:b w:val="0"/>
          <w:bCs w:val="0"/>
          <w:spacing w:val="9"/>
          <w:sz w:val="21"/>
          <w:szCs w:val="21"/>
        </w:rPr>
        <w:t xml:space="preserve"> </w:t>
      </w:r>
      <w:r w:rsidRPr="007C2763">
        <w:rPr>
          <w:rFonts w:ascii="Abadi" w:hAnsi="Abadi"/>
          <w:b w:val="0"/>
          <w:bCs w:val="0"/>
          <w:sz w:val="21"/>
          <w:szCs w:val="21"/>
        </w:rPr>
        <w:t>de</w:t>
      </w:r>
      <w:r w:rsidRPr="007C2763">
        <w:rPr>
          <w:rFonts w:ascii="Abadi" w:hAnsi="Abadi"/>
          <w:b w:val="0"/>
          <w:bCs w:val="0"/>
          <w:spacing w:val="9"/>
          <w:sz w:val="21"/>
          <w:szCs w:val="21"/>
        </w:rPr>
        <w:t xml:space="preserve"> </w:t>
      </w:r>
      <w:r w:rsidRPr="007C2763">
        <w:rPr>
          <w:rFonts w:ascii="Abadi" w:hAnsi="Abadi"/>
          <w:b w:val="0"/>
          <w:bCs w:val="0"/>
          <w:sz w:val="21"/>
          <w:szCs w:val="21"/>
        </w:rPr>
        <w:t>Investigaciones</w:t>
      </w:r>
      <w:r w:rsidRPr="007C2763">
        <w:rPr>
          <w:rFonts w:ascii="Abadi" w:hAnsi="Abadi"/>
          <w:b w:val="0"/>
          <w:bCs w:val="0"/>
          <w:spacing w:val="8"/>
          <w:sz w:val="21"/>
          <w:szCs w:val="21"/>
        </w:rPr>
        <w:t xml:space="preserve"> </w:t>
      </w:r>
      <w:r w:rsidRPr="007C2763">
        <w:rPr>
          <w:rFonts w:ascii="Abadi" w:hAnsi="Abadi"/>
          <w:b w:val="0"/>
          <w:bCs w:val="0"/>
          <w:sz w:val="21"/>
          <w:szCs w:val="21"/>
        </w:rPr>
        <w:t>Legislativas</w:t>
      </w:r>
      <w:r w:rsidRPr="007C2763">
        <w:rPr>
          <w:rFonts w:ascii="Abadi" w:hAnsi="Abadi"/>
          <w:b w:val="0"/>
          <w:bCs w:val="0"/>
          <w:spacing w:val="8"/>
          <w:sz w:val="21"/>
          <w:szCs w:val="21"/>
        </w:rPr>
        <w:t xml:space="preserve"> </w:t>
      </w:r>
      <w:r w:rsidRPr="007C2763">
        <w:rPr>
          <w:rFonts w:ascii="Abadi" w:hAnsi="Abadi"/>
          <w:b w:val="0"/>
          <w:bCs w:val="0"/>
          <w:sz w:val="21"/>
          <w:szCs w:val="21"/>
        </w:rPr>
        <w:t>a</w:t>
      </w:r>
      <w:r w:rsidRPr="007C2763">
        <w:rPr>
          <w:rFonts w:ascii="Abadi" w:hAnsi="Abadi"/>
          <w:b w:val="0"/>
          <w:bCs w:val="0"/>
          <w:spacing w:val="9"/>
          <w:sz w:val="21"/>
          <w:szCs w:val="21"/>
        </w:rPr>
        <w:t xml:space="preserve"> </w:t>
      </w:r>
      <w:r w:rsidRPr="007C2763">
        <w:rPr>
          <w:rFonts w:ascii="Abadi" w:hAnsi="Abadi"/>
          <w:b w:val="0"/>
          <w:bCs w:val="0"/>
          <w:sz w:val="21"/>
          <w:szCs w:val="21"/>
        </w:rPr>
        <w:t>efecto</w:t>
      </w:r>
      <w:r w:rsidRPr="007C2763">
        <w:rPr>
          <w:rFonts w:ascii="Abadi" w:hAnsi="Abadi"/>
          <w:b w:val="0"/>
          <w:bCs w:val="0"/>
          <w:spacing w:val="9"/>
          <w:sz w:val="21"/>
          <w:szCs w:val="21"/>
        </w:rPr>
        <w:t xml:space="preserve"> </w:t>
      </w:r>
      <w:r w:rsidRPr="007C2763">
        <w:rPr>
          <w:rFonts w:ascii="Abadi" w:hAnsi="Abadi"/>
          <w:b w:val="0"/>
          <w:bCs w:val="0"/>
          <w:sz w:val="21"/>
          <w:szCs w:val="21"/>
        </w:rPr>
        <w:t>de desahogar</w:t>
      </w:r>
      <w:r w:rsidRPr="007C2763">
        <w:rPr>
          <w:rFonts w:ascii="Abadi" w:hAnsi="Abadi"/>
          <w:b w:val="0"/>
          <w:bCs w:val="0"/>
          <w:spacing w:val="11"/>
          <w:sz w:val="21"/>
          <w:szCs w:val="21"/>
        </w:rPr>
        <w:t xml:space="preserve"> </w:t>
      </w:r>
      <w:r w:rsidRPr="007C2763">
        <w:rPr>
          <w:rFonts w:ascii="Abadi" w:hAnsi="Abadi"/>
          <w:b w:val="0"/>
          <w:bCs w:val="0"/>
          <w:sz w:val="21"/>
          <w:szCs w:val="21"/>
        </w:rPr>
        <w:t>las</w:t>
      </w:r>
      <w:r w:rsidRPr="007C2763">
        <w:rPr>
          <w:rFonts w:ascii="Abadi" w:hAnsi="Abadi"/>
          <w:b w:val="0"/>
          <w:bCs w:val="0"/>
          <w:spacing w:val="12"/>
          <w:sz w:val="21"/>
          <w:szCs w:val="21"/>
        </w:rPr>
        <w:t xml:space="preserve"> </w:t>
      </w:r>
      <w:r w:rsidRPr="007C2763">
        <w:rPr>
          <w:rFonts w:ascii="Abadi" w:hAnsi="Abadi"/>
          <w:b w:val="0"/>
          <w:bCs w:val="0"/>
          <w:sz w:val="21"/>
          <w:szCs w:val="21"/>
        </w:rPr>
        <w:t>observaciones</w:t>
      </w:r>
      <w:r w:rsidRPr="007C2763">
        <w:rPr>
          <w:rFonts w:ascii="Abadi" w:hAnsi="Abadi"/>
          <w:b w:val="0"/>
          <w:bCs w:val="0"/>
          <w:spacing w:val="12"/>
          <w:sz w:val="21"/>
          <w:szCs w:val="21"/>
        </w:rPr>
        <w:t xml:space="preserve"> </w:t>
      </w:r>
      <w:r w:rsidRPr="007C2763">
        <w:rPr>
          <w:rFonts w:ascii="Abadi" w:hAnsi="Abadi"/>
          <w:b w:val="0"/>
          <w:bCs w:val="0"/>
          <w:sz w:val="21"/>
          <w:szCs w:val="21"/>
        </w:rPr>
        <w:t>recabadas</w:t>
      </w:r>
      <w:r w:rsidRPr="007C2763">
        <w:rPr>
          <w:rFonts w:ascii="Abadi" w:hAnsi="Abadi"/>
          <w:b w:val="0"/>
          <w:bCs w:val="0"/>
          <w:spacing w:val="12"/>
          <w:sz w:val="21"/>
          <w:szCs w:val="21"/>
        </w:rPr>
        <w:t xml:space="preserve"> </w:t>
      </w:r>
      <w:r w:rsidRPr="007C2763">
        <w:rPr>
          <w:rFonts w:ascii="Abadi" w:hAnsi="Abadi"/>
          <w:b w:val="0"/>
          <w:bCs w:val="0"/>
          <w:sz w:val="21"/>
          <w:szCs w:val="21"/>
        </w:rPr>
        <w:t>y</w:t>
      </w:r>
      <w:r w:rsidRPr="007C2763">
        <w:rPr>
          <w:rFonts w:ascii="Abadi" w:hAnsi="Abadi"/>
          <w:b w:val="0"/>
          <w:bCs w:val="0"/>
          <w:spacing w:val="12"/>
          <w:sz w:val="21"/>
          <w:szCs w:val="21"/>
        </w:rPr>
        <w:t xml:space="preserve"> </w:t>
      </w:r>
      <w:r w:rsidRPr="007C2763">
        <w:rPr>
          <w:rFonts w:ascii="Abadi" w:hAnsi="Abadi"/>
          <w:b w:val="0"/>
          <w:bCs w:val="0"/>
          <w:sz w:val="21"/>
          <w:szCs w:val="21"/>
        </w:rPr>
        <w:t>analizar</w:t>
      </w:r>
      <w:r w:rsidRPr="007C2763">
        <w:rPr>
          <w:rFonts w:ascii="Abadi" w:hAnsi="Abadi"/>
          <w:b w:val="0"/>
          <w:bCs w:val="0"/>
          <w:spacing w:val="11"/>
          <w:sz w:val="21"/>
          <w:szCs w:val="21"/>
        </w:rPr>
        <w:t xml:space="preserve"> </w:t>
      </w:r>
      <w:r w:rsidRPr="007C2763">
        <w:rPr>
          <w:rFonts w:ascii="Abadi" w:hAnsi="Abadi"/>
          <w:b w:val="0"/>
          <w:bCs w:val="0"/>
          <w:sz w:val="21"/>
          <w:szCs w:val="21"/>
        </w:rPr>
        <w:t>el</w:t>
      </w:r>
      <w:r w:rsidRPr="007C2763">
        <w:rPr>
          <w:rFonts w:ascii="Abadi" w:hAnsi="Abadi"/>
          <w:b w:val="0"/>
          <w:bCs w:val="0"/>
          <w:spacing w:val="12"/>
          <w:sz w:val="21"/>
          <w:szCs w:val="21"/>
        </w:rPr>
        <w:t xml:space="preserve"> </w:t>
      </w:r>
      <w:r w:rsidRPr="007C2763">
        <w:rPr>
          <w:rFonts w:ascii="Abadi" w:hAnsi="Abadi"/>
          <w:b w:val="0"/>
          <w:bCs w:val="0"/>
          <w:sz w:val="21"/>
          <w:szCs w:val="21"/>
        </w:rPr>
        <w:t>documento</w:t>
      </w:r>
      <w:r w:rsidRPr="007C2763">
        <w:rPr>
          <w:rFonts w:ascii="Abadi" w:hAnsi="Abadi"/>
          <w:b w:val="0"/>
          <w:bCs w:val="0"/>
          <w:spacing w:val="11"/>
          <w:sz w:val="21"/>
          <w:szCs w:val="21"/>
        </w:rPr>
        <w:t xml:space="preserve"> </w:t>
      </w:r>
      <w:r w:rsidRPr="007C2763">
        <w:rPr>
          <w:rFonts w:ascii="Abadi" w:hAnsi="Abadi"/>
          <w:b w:val="0"/>
          <w:bCs w:val="0"/>
          <w:sz w:val="21"/>
          <w:szCs w:val="21"/>
        </w:rPr>
        <w:t>elaborado</w:t>
      </w:r>
      <w:r w:rsidRPr="007C2763">
        <w:rPr>
          <w:rFonts w:ascii="Abadi" w:hAnsi="Abadi"/>
          <w:b w:val="0"/>
          <w:bCs w:val="0"/>
          <w:spacing w:val="13"/>
          <w:sz w:val="21"/>
          <w:szCs w:val="21"/>
        </w:rPr>
        <w:t xml:space="preserve"> </w:t>
      </w:r>
      <w:r w:rsidRPr="007C2763">
        <w:rPr>
          <w:rFonts w:ascii="Abadi" w:hAnsi="Abadi"/>
          <w:b w:val="0"/>
          <w:bCs w:val="0"/>
          <w:sz w:val="21"/>
          <w:szCs w:val="21"/>
        </w:rPr>
        <w:t>por</w:t>
      </w:r>
      <w:r w:rsidRPr="007C2763">
        <w:rPr>
          <w:rFonts w:ascii="Abadi" w:hAnsi="Abadi"/>
          <w:b w:val="0"/>
          <w:bCs w:val="0"/>
          <w:spacing w:val="11"/>
          <w:sz w:val="21"/>
          <w:szCs w:val="21"/>
        </w:rPr>
        <w:t xml:space="preserve"> </w:t>
      </w:r>
      <w:r w:rsidRPr="007C2763">
        <w:rPr>
          <w:rFonts w:ascii="Abadi" w:hAnsi="Abadi"/>
          <w:b w:val="0"/>
          <w:bCs w:val="0"/>
          <w:sz w:val="21"/>
          <w:szCs w:val="21"/>
        </w:rPr>
        <w:t>la</w:t>
      </w:r>
      <w:r w:rsidR="00DB1A62" w:rsidRPr="007C2763">
        <w:rPr>
          <w:rFonts w:ascii="Abadi" w:hAnsi="Abadi"/>
          <w:b w:val="0"/>
          <w:bCs w:val="0"/>
          <w:sz w:val="21"/>
          <w:szCs w:val="21"/>
        </w:rPr>
        <w:t xml:space="preserve"> </w:t>
      </w:r>
      <w:r w:rsidRPr="007C2763">
        <w:rPr>
          <w:rFonts w:ascii="Abadi" w:hAnsi="Abadi"/>
          <w:b w:val="0"/>
          <w:bCs w:val="0"/>
          <w:sz w:val="21"/>
          <w:szCs w:val="21"/>
        </w:rPr>
        <w:t>secretaría</w:t>
      </w:r>
      <w:r w:rsidRPr="007C2763">
        <w:rPr>
          <w:rFonts w:ascii="Abadi" w:hAnsi="Abadi"/>
          <w:b w:val="0"/>
          <w:bCs w:val="0"/>
          <w:spacing w:val="-1"/>
          <w:sz w:val="21"/>
          <w:szCs w:val="21"/>
        </w:rPr>
        <w:t xml:space="preserve"> </w:t>
      </w:r>
      <w:r w:rsidRPr="007C2763">
        <w:rPr>
          <w:rFonts w:ascii="Abadi" w:hAnsi="Abadi"/>
          <w:b w:val="0"/>
          <w:bCs w:val="0"/>
          <w:sz w:val="21"/>
          <w:szCs w:val="21"/>
        </w:rPr>
        <w:t>técnica.</w:t>
      </w:r>
    </w:p>
    <w:p w14:paraId="0EA15CA7" w14:textId="77777777" w:rsidR="00374A1E" w:rsidRPr="007C2763" w:rsidRDefault="00374A1E" w:rsidP="00374A1E">
      <w:pPr>
        <w:pStyle w:val="Textoindependiente"/>
        <w:kinsoku w:val="0"/>
        <w:overflowPunct w:val="0"/>
        <w:spacing w:before="3"/>
        <w:rPr>
          <w:rFonts w:ascii="Abadi" w:hAnsi="Abadi"/>
          <w:b w:val="0"/>
          <w:bCs w:val="0"/>
          <w:sz w:val="21"/>
          <w:szCs w:val="21"/>
        </w:rPr>
      </w:pPr>
    </w:p>
    <w:p w14:paraId="5F6C2C49" w14:textId="77777777" w:rsidR="00374A1E" w:rsidRPr="007C2763" w:rsidRDefault="00374A1E" w:rsidP="00374A1E">
      <w:pPr>
        <w:pStyle w:val="Textoindependiente"/>
        <w:kinsoku w:val="0"/>
        <w:overflowPunct w:val="0"/>
        <w:spacing w:line="268" w:lineRule="exact"/>
        <w:rPr>
          <w:rFonts w:ascii="Abadi" w:hAnsi="Abadi"/>
          <w:b w:val="0"/>
          <w:bCs w:val="0"/>
          <w:sz w:val="21"/>
          <w:szCs w:val="21"/>
        </w:rPr>
      </w:pPr>
      <w:r w:rsidRPr="007C2763">
        <w:rPr>
          <w:rFonts w:ascii="Abadi" w:hAnsi="Abadi"/>
          <w:b w:val="0"/>
          <w:bCs w:val="0"/>
          <w:sz w:val="21"/>
          <w:szCs w:val="21"/>
        </w:rPr>
        <w:t>10.</w:t>
      </w:r>
      <w:r w:rsidRPr="007C2763">
        <w:rPr>
          <w:rFonts w:ascii="Abadi" w:hAnsi="Abadi"/>
          <w:b w:val="0"/>
          <w:bCs w:val="0"/>
          <w:spacing w:val="2"/>
          <w:sz w:val="21"/>
          <w:szCs w:val="21"/>
        </w:rPr>
        <w:t xml:space="preserve"> </w:t>
      </w:r>
      <w:r w:rsidRPr="007C2763">
        <w:rPr>
          <w:rFonts w:ascii="Abadi" w:hAnsi="Abadi"/>
          <w:b w:val="0"/>
          <w:bCs w:val="0"/>
          <w:sz w:val="21"/>
          <w:szCs w:val="21"/>
        </w:rPr>
        <w:t>Reunión</w:t>
      </w:r>
      <w:r w:rsidRPr="007C2763">
        <w:rPr>
          <w:rFonts w:ascii="Abadi" w:hAnsi="Abadi"/>
          <w:b w:val="0"/>
          <w:bCs w:val="0"/>
          <w:spacing w:val="2"/>
          <w:sz w:val="21"/>
          <w:szCs w:val="21"/>
        </w:rPr>
        <w:t xml:space="preserve"> </w:t>
      </w:r>
      <w:r w:rsidRPr="007C2763">
        <w:rPr>
          <w:rFonts w:ascii="Abadi" w:hAnsi="Abadi"/>
          <w:b w:val="0"/>
          <w:bCs w:val="0"/>
          <w:sz w:val="21"/>
          <w:szCs w:val="21"/>
        </w:rPr>
        <w:t>de</w:t>
      </w:r>
      <w:r w:rsidRPr="007C2763">
        <w:rPr>
          <w:rFonts w:ascii="Abadi" w:hAnsi="Abadi"/>
          <w:b w:val="0"/>
          <w:bCs w:val="0"/>
          <w:spacing w:val="2"/>
          <w:sz w:val="21"/>
          <w:szCs w:val="21"/>
        </w:rPr>
        <w:t xml:space="preserve"> </w:t>
      </w:r>
      <w:r w:rsidRPr="007C2763">
        <w:rPr>
          <w:rFonts w:ascii="Abadi" w:hAnsi="Abadi"/>
          <w:b w:val="0"/>
          <w:bCs w:val="0"/>
          <w:sz w:val="21"/>
          <w:szCs w:val="21"/>
        </w:rPr>
        <w:t>Comisión</w:t>
      </w:r>
      <w:r w:rsidRPr="007C2763">
        <w:rPr>
          <w:rFonts w:ascii="Abadi" w:hAnsi="Abadi"/>
          <w:b w:val="0"/>
          <w:bCs w:val="0"/>
          <w:spacing w:val="2"/>
          <w:sz w:val="21"/>
          <w:szCs w:val="21"/>
        </w:rPr>
        <w:t xml:space="preserve"> </w:t>
      </w:r>
      <w:r w:rsidRPr="007C2763">
        <w:rPr>
          <w:rFonts w:ascii="Abadi" w:hAnsi="Abadi"/>
          <w:b w:val="0"/>
          <w:bCs w:val="0"/>
          <w:sz w:val="21"/>
          <w:szCs w:val="21"/>
        </w:rPr>
        <w:t>para</w:t>
      </w:r>
      <w:r w:rsidRPr="007C2763">
        <w:rPr>
          <w:rFonts w:ascii="Abadi" w:hAnsi="Abadi"/>
          <w:b w:val="0"/>
          <w:bCs w:val="0"/>
          <w:spacing w:val="65"/>
          <w:sz w:val="21"/>
          <w:szCs w:val="21"/>
        </w:rPr>
        <w:t xml:space="preserve"> </w:t>
      </w:r>
      <w:r w:rsidRPr="007C2763">
        <w:rPr>
          <w:rFonts w:ascii="Abadi" w:hAnsi="Abadi"/>
          <w:b w:val="0"/>
          <w:bCs w:val="0"/>
          <w:sz w:val="21"/>
          <w:szCs w:val="21"/>
        </w:rPr>
        <w:t>que</w:t>
      </w:r>
      <w:r w:rsidRPr="007C2763">
        <w:rPr>
          <w:rFonts w:ascii="Abadi" w:hAnsi="Abadi"/>
          <w:b w:val="0"/>
          <w:bCs w:val="0"/>
          <w:spacing w:val="2"/>
          <w:sz w:val="21"/>
          <w:szCs w:val="21"/>
        </w:rPr>
        <w:t xml:space="preserve"> </w:t>
      </w:r>
      <w:r w:rsidRPr="007C2763">
        <w:rPr>
          <w:rFonts w:ascii="Abadi" w:hAnsi="Abadi"/>
          <w:b w:val="0"/>
          <w:bCs w:val="0"/>
          <w:sz w:val="21"/>
          <w:szCs w:val="21"/>
        </w:rPr>
        <w:t>solicite</w:t>
      </w:r>
      <w:r w:rsidRPr="007C2763">
        <w:rPr>
          <w:rFonts w:ascii="Abadi" w:hAnsi="Abadi"/>
          <w:b w:val="0"/>
          <w:bCs w:val="0"/>
          <w:spacing w:val="2"/>
          <w:sz w:val="21"/>
          <w:szCs w:val="21"/>
        </w:rPr>
        <w:t xml:space="preserve"> </w:t>
      </w:r>
      <w:r w:rsidRPr="007C2763">
        <w:rPr>
          <w:rFonts w:ascii="Abadi" w:hAnsi="Abadi"/>
          <w:b w:val="0"/>
          <w:bCs w:val="0"/>
          <w:sz w:val="21"/>
          <w:szCs w:val="21"/>
        </w:rPr>
        <w:t>a</w:t>
      </w:r>
      <w:r w:rsidRPr="007C2763">
        <w:rPr>
          <w:rFonts w:ascii="Abadi" w:hAnsi="Abadi"/>
          <w:b w:val="0"/>
          <w:bCs w:val="0"/>
          <w:spacing w:val="2"/>
          <w:sz w:val="21"/>
          <w:szCs w:val="21"/>
        </w:rPr>
        <w:t xml:space="preserve"> </w:t>
      </w:r>
      <w:r w:rsidRPr="007C2763">
        <w:rPr>
          <w:rFonts w:ascii="Abadi" w:hAnsi="Abadi"/>
          <w:b w:val="0"/>
          <w:bCs w:val="0"/>
          <w:sz w:val="21"/>
          <w:szCs w:val="21"/>
        </w:rPr>
        <w:t>la</w:t>
      </w:r>
      <w:r w:rsidRPr="007C2763">
        <w:rPr>
          <w:rFonts w:ascii="Abadi" w:hAnsi="Abadi"/>
          <w:b w:val="0"/>
          <w:bCs w:val="0"/>
          <w:spacing w:val="66"/>
          <w:sz w:val="21"/>
          <w:szCs w:val="21"/>
        </w:rPr>
        <w:t xml:space="preserve"> </w:t>
      </w:r>
      <w:r w:rsidRPr="007C2763">
        <w:rPr>
          <w:rFonts w:ascii="Abadi" w:hAnsi="Abadi"/>
          <w:b w:val="0"/>
          <w:bCs w:val="0"/>
          <w:sz w:val="21"/>
          <w:szCs w:val="21"/>
        </w:rPr>
        <w:t>secretaría</w:t>
      </w:r>
      <w:r w:rsidRPr="007C2763">
        <w:rPr>
          <w:rFonts w:ascii="Abadi" w:hAnsi="Abadi"/>
          <w:b w:val="0"/>
          <w:bCs w:val="0"/>
          <w:spacing w:val="2"/>
          <w:sz w:val="21"/>
          <w:szCs w:val="21"/>
        </w:rPr>
        <w:t xml:space="preserve"> </w:t>
      </w:r>
      <w:r w:rsidRPr="007C2763">
        <w:rPr>
          <w:rFonts w:ascii="Abadi" w:hAnsi="Abadi"/>
          <w:b w:val="0"/>
          <w:bCs w:val="0"/>
          <w:sz w:val="21"/>
          <w:szCs w:val="21"/>
        </w:rPr>
        <w:t>técnica</w:t>
      </w:r>
      <w:r w:rsidRPr="007C2763">
        <w:rPr>
          <w:rFonts w:ascii="Abadi" w:hAnsi="Abadi"/>
          <w:b w:val="0"/>
          <w:bCs w:val="0"/>
          <w:spacing w:val="2"/>
          <w:sz w:val="21"/>
          <w:szCs w:val="21"/>
        </w:rPr>
        <w:t xml:space="preserve"> </w:t>
      </w:r>
      <w:r w:rsidRPr="007C2763">
        <w:rPr>
          <w:rFonts w:ascii="Abadi" w:hAnsi="Abadi"/>
          <w:b w:val="0"/>
          <w:bCs w:val="0"/>
          <w:sz w:val="21"/>
          <w:szCs w:val="21"/>
        </w:rPr>
        <w:t>realice</w:t>
      </w:r>
      <w:r w:rsidRPr="007C2763">
        <w:rPr>
          <w:rFonts w:ascii="Abadi" w:hAnsi="Abadi"/>
          <w:b w:val="0"/>
          <w:bCs w:val="0"/>
          <w:spacing w:val="66"/>
          <w:sz w:val="21"/>
          <w:szCs w:val="21"/>
        </w:rPr>
        <w:t xml:space="preserve"> </w:t>
      </w:r>
      <w:r w:rsidRPr="007C2763">
        <w:rPr>
          <w:rFonts w:ascii="Abadi" w:hAnsi="Abadi"/>
          <w:b w:val="0"/>
          <w:bCs w:val="0"/>
          <w:sz w:val="21"/>
          <w:szCs w:val="21"/>
        </w:rPr>
        <w:t>un</w:t>
      </w:r>
    </w:p>
    <w:p w14:paraId="53EBE082" w14:textId="77777777" w:rsidR="00374A1E" w:rsidRPr="007C2763" w:rsidRDefault="00374A1E" w:rsidP="00374A1E">
      <w:pPr>
        <w:pStyle w:val="Textoindependiente"/>
        <w:kinsoku w:val="0"/>
        <w:overflowPunct w:val="0"/>
        <w:rPr>
          <w:rFonts w:ascii="Abadi" w:hAnsi="Abadi"/>
          <w:b w:val="0"/>
          <w:bCs w:val="0"/>
          <w:sz w:val="21"/>
          <w:szCs w:val="21"/>
        </w:rPr>
      </w:pPr>
      <w:r w:rsidRPr="007C2763">
        <w:rPr>
          <w:rFonts w:ascii="Abadi" w:hAnsi="Abadi"/>
          <w:b w:val="0"/>
          <w:bCs w:val="0"/>
          <w:sz w:val="21"/>
          <w:szCs w:val="21"/>
        </w:rPr>
        <w:t>documento</w:t>
      </w:r>
      <w:r w:rsidRPr="007C2763">
        <w:rPr>
          <w:rFonts w:ascii="Abadi" w:hAnsi="Abadi"/>
          <w:b w:val="0"/>
          <w:bCs w:val="0"/>
          <w:spacing w:val="1"/>
          <w:sz w:val="21"/>
          <w:szCs w:val="21"/>
        </w:rPr>
        <w:t xml:space="preserve"> </w:t>
      </w:r>
      <w:r w:rsidRPr="007C2763">
        <w:rPr>
          <w:rFonts w:ascii="Abadi" w:hAnsi="Abadi"/>
          <w:b w:val="0"/>
          <w:bCs w:val="0"/>
          <w:sz w:val="21"/>
          <w:szCs w:val="21"/>
        </w:rPr>
        <w:t>con</w:t>
      </w:r>
      <w:r w:rsidRPr="007C2763">
        <w:rPr>
          <w:rFonts w:ascii="Abadi" w:hAnsi="Abadi"/>
          <w:b w:val="0"/>
          <w:bCs w:val="0"/>
          <w:spacing w:val="-1"/>
          <w:sz w:val="21"/>
          <w:szCs w:val="21"/>
        </w:rPr>
        <w:t xml:space="preserve"> </w:t>
      </w:r>
      <w:r w:rsidRPr="007C2763">
        <w:rPr>
          <w:rFonts w:ascii="Abadi" w:hAnsi="Abadi"/>
          <w:b w:val="0"/>
          <w:bCs w:val="0"/>
          <w:sz w:val="21"/>
          <w:szCs w:val="21"/>
        </w:rPr>
        <w:t>proyecto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dictamen.</w:t>
      </w:r>
    </w:p>
    <w:p w14:paraId="1B10BBF6" w14:textId="77777777" w:rsidR="00374A1E" w:rsidRPr="007C2763" w:rsidRDefault="00374A1E" w:rsidP="00374A1E">
      <w:pPr>
        <w:pStyle w:val="Textoindependiente"/>
        <w:kinsoku w:val="0"/>
        <w:overflowPunct w:val="0"/>
        <w:rPr>
          <w:rFonts w:ascii="Abadi" w:hAnsi="Abadi"/>
          <w:b w:val="0"/>
          <w:bCs w:val="0"/>
          <w:sz w:val="21"/>
          <w:szCs w:val="21"/>
        </w:rPr>
      </w:pPr>
    </w:p>
    <w:p w14:paraId="6C0792F3" w14:textId="31820614" w:rsidR="00374A1E" w:rsidRDefault="00374A1E" w:rsidP="00374A1E">
      <w:pPr>
        <w:pStyle w:val="Textoindependiente"/>
        <w:kinsoku w:val="0"/>
        <w:overflowPunct w:val="0"/>
        <w:spacing w:before="64"/>
        <w:rPr>
          <w:rFonts w:ascii="Abadi" w:hAnsi="Abadi"/>
          <w:b w:val="0"/>
          <w:bCs w:val="0"/>
          <w:sz w:val="21"/>
          <w:szCs w:val="21"/>
        </w:rPr>
      </w:pPr>
      <w:r w:rsidRPr="007C2763">
        <w:rPr>
          <w:rFonts w:ascii="Abadi" w:hAnsi="Abadi"/>
          <w:b w:val="0"/>
          <w:bCs w:val="0"/>
          <w:sz w:val="21"/>
          <w:szCs w:val="21"/>
        </w:rPr>
        <w:t>11. Reunión</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Comisión</w:t>
      </w:r>
      <w:r w:rsidRPr="007C2763">
        <w:rPr>
          <w:rFonts w:ascii="Abadi" w:hAnsi="Abadi"/>
          <w:b w:val="0"/>
          <w:bCs w:val="0"/>
          <w:spacing w:val="1"/>
          <w:sz w:val="21"/>
          <w:szCs w:val="21"/>
        </w:rPr>
        <w:t xml:space="preserve"> </w:t>
      </w:r>
      <w:r w:rsidRPr="007C2763">
        <w:rPr>
          <w:rFonts w:ascii="Abadi" w:hAnsi="Abadi"/>
          <w:b w:val="0"/>
          <w:bCs w:val="0"/>
          <w:sz w:val="21"/>
          <w:szCs w:val="21"/>
        </w:rPr>
        <w:t>para</w:t>
      </w:r>
      <w:r w:rsidRPr="007C2763">
        <w:rPr>
          <w:rFonts w:ascii="Abadi" w:hAnsi="Abadi"/>
          <w:b w:val="0"/>
          <w:bCs w:val="0"/>
          <w:spacing w:val="1"/>
          <w:sz w:val="21"/>
          <w:szCs w:val="21"/>
        </w:rPr>
        <w:t xml:space="preserve"> </w:t>
      </w:r>
      <w:r w:rsidRPr="007C2763">
        <w:rPr>
          <w:rFonts w:ascii="Abadi" w:hAnsi="Abadi"/>
          <w:b w:val="0"/>
          <w:bCs w:val="0"/>
          <w:sz w:val="21"/>
          <w:szCs w:val="21"/>
        </w:rPr>
        <w:t>en</w:t>
      </w:r>
      <w:r w:rsidRPr="007C2763">
        <w:rPr>
          <w:rFonts w:ascii="Abadi" w:hAnsi="Abadi"/>
          <w:b w:val="0"/>
          <w:bCs w:val="0"/>
          <w:spacing w:val="1"/>
          <w:sz w:val="21"/>
          <w:szCs w:val="21"/>
        </w:rPr>
        <w:t xml:space="preserve"> </w:t>
      </w:r>
      <w:r w:rsidRPr="007C2763">
        <w:rPr>
          <w:rFonts w:ascii="Abadi" w:hAnsi="Abadi"/>
          <w:b w:val="0"/>
          <w:bCs w:val="0"/>
          <w:sz w:val="21"/>
          <w:szCs w:val="21"/>
        </w:rPr>
        <w:t>su</w:t>
      </w:r>
      <w:r w:rsidRPr="007C2763">
        <w:rPr>
          <w:rFonts w:ascii="Abadi" w:hAnsi="Abadi"/>
          <w:b w:val="0"/>
          <w:bCs w:val="0"/>
          <w:spacing w:val="-2"/>
          <w:sz w:val="21"/>
          <w:szCs w:val="21"/>
        </w:rPr>
        <w:t xml:space="preserve"> </w:t>
      </w:r>
      <w:r w:rsidRPr="007C2763">
        <w:rPr>
          <w:rFonts w:ascii="Abadi" w:hAnsi="Abadi"/>
          <w:b w:val="0"/>
          <w:bCs w:val="0"/>
          <w:sz w:val="21"/>
          <w:szCs w:val="21"/>
        </w:rPr>
        <w:t>caso,</w:t>
      </w:r>
      <w:r w:rsidRPr="007C2763">
        <w:rPr>
          <w:rFonts w:ascii="Abadi" w:hAnsi="Abadi"/>
          <w:b w:val="0"/>
          <w:bCs w:val="0"/>
          <w:spacing w:val="1"/>
          <w:sz w:val="21"/>
          <w:szCs w:val="21"/>
        </w:rPr>
        <w:t xml:space="preserve"> </w:t>
      </w:r>
      <w:r w:rsidRPr="007C2763">
        <w:rPr>
          <w:rFonts w:ascii="Abadi" w:hAnsi="Abadi"/>
          <w:b w:val="0"/>
          <w:bCs w:val="0"/>
          <w:sz w:val="21"/>
          <w:szCs w:val="21"/>
        </w:rPr>
        <w:t>aprobar</w:t>
      </w:r>
      <w:r w:rsidRPr="007C2763">
        <w:rPr>
          <w:rFonts w:ascii="Abadi" w:hAnsi="Abadi"/>
          <w:b w:val="0"/>
          <w:bCs w:val="0"/>
          <w:spacing w:val="-1"/>
          <w:sz w:val="21"/>
          <w:szCs w:val="21"/>
        </w:rPr>
        <w:t xml:space="preserve"> </w:t>
      </w:r>
      <w:r w:rsidRPr="007C2763">
        <w:rPr>
          <w:rFonts w:ascii="Abadi" w:hAnsi="Abadi"/>
          <w:b w:val="0"/>
          <w:bCs w:val="0"/>
          <w:sz w:val="21"/>
          <w:szCs w:val="21"/>
        </w:rPr>
        <w:t>el</w:t>
      </w:r>
      <w:r w:rsidRPr="007C2763">
        <w:rPr>
          <w:rFonts w:ascii="Abadi" w:hAnsi="Abadi"/>
          <w:b w:val="0"/>
          <w:bCs w:val="0"/>
          <w:spacing w:val="-3"/>
          <w:sz w:val="21"/>
          <w:szCs w:val="21"/>
        </w:rPr>
        <w:t xml:space="preserve"> </w:t>
      </w:r>
      <w:r w:rsidRPr="007C2763">
        <w:rPr>
          <w:rFonts w:ascii="Abadi" w:hAnsi="Abadi"/>
          <w:b w:val="0"/>
          <w:bCs w:val="0"/>
          <w:sz w:val="21"/>
          <w:szCs w:val="21"/>
        </w:rPr>
        <w:t>dictamen.</w:t>
      </w:r>
    </w:p>
    <w:p w14:paraId="642FF8A4" w14:textId="77777777" w:rsidR="00991CA8" w:rsidRPr="007C2763" w:rsidRDefault="00991CA8" w:rsidP="00374A1E">
      <w:pPr>
        <w:pStyle w:val="Textoindependiente"/>
        <w:kinsoku w:val="0"/>
        <w:overflowPunct w:val="0"/>
        <w:spacing w:before="64"/>
        <w:rPr>
          <w:rFonts w:ascii="Abadi" w:hAnsi="Abadi"/>
          <w:b w:val="0"/>
          <w:bCs w:val="0"/>
          <w:sz w:val="21"/>
          <w:szCs w:val="21"/>
        </w:rPr>
      </w:pPr>
    </w:p>
    <w:p w14:paraId="16423E79" w14:textId="77777777" w:rsidR="00374A1E" w:rsidRPr="007C2763" w:rsidRDefault="00374A1E" w:rsidP="00374A1E">
      <w:pPr>
        <w:pStyle w:val="Ttulo1"/>
        <w:kinsoku w:val="0"/>
        <w:overflowPunct w:val="0"/>
        <w:jc w:val="both"/>
        <w:rPr>
          <w:rFonts w:ascii="Abadi" w:hAnsi="Abadi"/>
          <w:sz w:val="21"/>
          <w:szCs w:val="21"/>
        </w:rPr>
      </w:pPr>
      <w:r w:rsidRPr="007C2763">
        <w:rPr>
          <w:rFonts w:ascii="Abadi" w:hAnsi="Abadi"/>
          <w:sz w:val="21"/>
          <w:szCs w:val="21"/>
        </w:rPr>
        <w:t>Seguimiento a</w:t>
      </w:r>
      <w:r w:rsidRPr="007C2763">
        <w:rPr>
          <w:rFonts w:ascii="Abadi" w:hAnsi="Abadi"/>
          <w:spacing w:val="-1"/>
          <w:sz w:val="21"/>
          <w:szCs w:val="21"/>
        </w:rPr>
        <w:t xml:space="preserve"> </w:t>
      </w:r>
      <w:r w:rsidRPr="007C2763">
        <w:rPr>
          <w:rFonts w:ascii="Abadi" w:hAnsi="Abadi"/>
          <w:sz w:val="21"/>
          <w:szCs w:val="21"/>
        </w:rPr>
        <w:t>la</w:t>
      </w:r>
      <w:r w:rsidRPr="007C2763">
        <w:rPr>
          <w:rFonts w:ascii="Abadi" w:hAnsi="Abadi"/>
          <w:spacing w:val="-1"/>
          <w:sz w:val="21"/>
          <w:szCs w:val="21"/>
        </w:rPr>
        <w:t xml:space="preserve"> </w:t>
      </w:r>
      <w:r w:rsidRPr="007C2763">
        <w:rPr>
          <w:rFonts w:ascii="Abadi" w:hAnsi="Abadi"/>
          <w:sz w:val="21"/>
          <w:szCs w:val="21"/>
        </w:rPr>
        <w:t>metodología</w:t>
      </w:r>
    </w:p>
    <w:p w14:paraId="066366E7" w14:textId="77777777" w:rsidR="00374A1E" w:rsidRPr="007C2763" w:rsidRDefault="00374A1E" w:rsidP="00374A1E">
      <w:pPr>
        <w:pStyle w:val="Textoindependiente"/>
        <w:kinsoku w:val="0"/>
        <w:overflowPunct w:val="0"/>
        <w:rPr>
          <w:rFonts w:ascii="Abadi" w:hAnsi="Abadi"/>
          <w:b w:val="0"/>
          <w:bCs w:val="0"/>
          <w:sz w:val="21"/>
          <w:szCs w:val="21"/>
        </w:rPr>
      </w:pPr>
    </w:p>
    <w:p w14:paraId="2E6F4F36" w14:textId="77777777" w:rsidR="00374A1E" w:rsidRPr="007C2763" w:rsidRDefault="00374A1E" w:rsidP="00374A1E">
      <w:pPr>
        <w:pStyle w:val="Textoindependiente"/>
        <w:kinsoku w:val="0"/>
        <w:overflowPunct w:val="0"/>
        <w:ind w:left="40" w:right="116" w:firstLine="708"/>
        <w:rPr>
          <w:rFonts w:ascii="Abadi" w:hAnsi="Abadi"/>
          <w:b w:val="0"/>
          <w:bCs w:val="0"/>
          <w:sz w:val="21"/>
          <w:szCs w:val="21"/>
        </w:rPr>
      </w:pPr>
      <w:r w:rsidRPr="007C2763">
        <w:rPr>
          <w:rFonts w:ascii="Abadi" w:hAnsi="Abadi"/>
          <w:b w:val="0"/>
          <w:bCs w:val="0"/>
          <w:sz w:val="21"/>
          <w:szCs w:val="21"/>
        </w:rPr>
        <w:t>Como</w:t>
      </w:r>
      <w:r w:rsidRPr="007C2763">
        <w:rPr>
          <w:rFonts w:ascii="Abadi" w:hAnsi="Abadi"/>
          <w:b w:val="0"/>
          <w:bCs w:val="0"/>
          <w:spacing w:val="48"/>
          <w:sz w:val="21"/>
          <w:szCs w:val="21"/>
        </w:rPr>
        <w:t xml:space="preserve"> </w:t>
      </w:r>
      <w:r w:rsidRPr="007C2763">
        <w:rPr>
          <w:rFonts w:ascii="Abadi" w:hAnsi="Abadi"/>
          <w:b w:val="0"/>
          <w:bCs w:val="0"/>
          <w:sz w:val="21"/>
          <w:szCs w:val="21"/>
        </w:rPr>
        <w:t>parte</w:t>
      </w:r>
      <w:r w:rsidRPr="007C2763">
        <w:rPr>
          <w:rFonts w:ascii="Abadi" w:hAnsi="Abadi"/>
          <w:b w:val="0"/>
          <w:bCs w:val="0"/>
          <w:spacing w:val="49"/>
          <w:sz w:val="21"/>
          <w:szCs w:val="21"/>
        </w:rPr>
        <w:t xml:space="preserve"> </w:t>
      </w:r>
      <w:r w:rsidRPr="007C2763">
        <w:rPr>
          <w:rFonts w:ascii="Abadi" w:hAnsi="Abadi"/>
          <w:b w:val="0"/>
          <w:bCs w:val="0"/>
          <w:sz w:val="21"/>
          <w:szCs w:val="21"/>
        </w:rPr>
        <w:t>de</w:t>
      </w:r>
      <w:r w:rsidRPr="007C2763">
        <w:rPr>
          <w:rFonts w:ascii="Abadi" w:hAnsi="Abadi"/>
          <w:b w:val="0"/>
          <w:bCs w:val="0"/>
          <w:spacing w:val="48"/>
          <w:sz w:val="21"/>
          <w:szCs w:val="21"/>
        </w:rPr>
        <w:t xml:space="preserve"> </w:t>
      </w:r>
      <w:r w:rsidRPr="007C2763">
        <w:rPr>
          <w:rFonts w:ascii="Abadi" w:hAnsi="Abadi"/>
          <w:b w:val="0"/>
          <w:bCs w:val="0"/>
          <w:sz w:val="21"/>
          <w:szCs w:val="21"/>
        </w:rPr>
        <w:t>la</w:t>
      </w:r>
      <w:r w:rsidRPr="007C2763">
        <w:rPr>
          <w:rFonts w:ascii="Abadi" w:hAnsi="Abadi"/>
          <w:b w:val="0"/>
          <w:bCs w:val="0"/>
          <w:spacing w:val="49"/>
          <w:sz w:val="21"/>
          <w:szCs w:val="21"/>
        </w:rPr>
        <w:t xml:space="preserve"> </w:t>
      </w:r>
      <w:r w:rsidRPr="007C2763">
        <w:rPr>
          <w:rFonts w:ascii="Abadi" w:hAnsi="Abadi"/>
          <w:b w:val="0"/>
          <w:bCs w:val="0"/>
          <w:sz w:val="21"/>
          <w:szCs w:val="21"/>
        </w:rPr>
        <w:t>modificación</w:t>
      </w:r>
      <w:r w:rsidRPr="007C2763">
        <w:rPr>
          <w:rFonts w:ascii="Abadi" w:hAnsi="Abadi"/>
          <w:b w:val="0"/>
          <w:bCs w:val="0"/>
          <w:spacing w:val="49"/>
          <w:sz w:val="21"/>
          <w:szCs w:val="21"/>
        </w:rPr>
        <w:t xml:space="preserve"> </w:t>
      </w:r>
      <w:r w:rsidRPr="007C2763">
        <w:rPr>
          <w:rFonts w:ascii="Abadi" w:hAnsi="Abadi"/>
          <w:b w:val="0"/>
          <w:bCs w:val="0"/>
          <w:sz w:val="21"/>
          <w:szCs w:val="21"/>
        </w:rPr>
        <w:t>a</w:t>
      </w:r>
      <w:r w:rsidRPr="007C2763">
        <w:rPr>
          <w:rFonts w:ascii="Abadi" w:hAnsi="Abadi"/>
          <w:b w:val="0"/>
          <w:bCs w:val="0"/>
          <w:spacing w:val="48"/>
          <w:sz w:val="21"/>
          <w:szCs w:val="21"/>
        </w:rPr>
        <w:t xml:space="preserve"> </w:t>
      </w:r>
      <w:r w:rsidRPr="007C2763">
        <w:rPr>
          <w:rFonts w:ascii="Abadi" w:hAnsi="Abadi"/>
          <w:b w:val="0"/>
          <w:bCs w:val="0"/>
          <w:sz w:val="21"/>
          <w:szCs w:val="21"/>
        </w:rPr>
        <w:t>la</w:t>
      </w:r>
      <w:r w:rsidRPr="007C2763">
        <w:rPr>
          <w:rFonts w:ascii="Abadi" w:hAnsi="Abadi"/>
          <w:b w:val="0"/>
          <w:bCs w:val="0"/>
          <w:spacing w:val="49"/>
          <w:sz w:val="21"/>
          <w:szCs w:val="21"/>
        </w:rPr>
        <w:t xml:space="preserve"> </w:t>
      </w:r>
      <w:r w:rsidRPr="007C2763">
        <w:rPr>
          <w:rFonts w:ascii="Abadi" w:hAnsi="Abadi"/>
          <w:b w:val="0"/>
          <w:bCs w:val="0"/>
          <w:sz w:val="21"/>
          <w:szCs w:val="21"/>
        </w:rPr>
        <w:t>metodología,</w:t>
      </w:r>
      <w:r w:rsidRPr="007C2763">
        <w:rPr>
          <w:rFonts w:ascii="Abadi" w:hAnsi="Abadi"/>
          <w:b w:val="0"/>
          <w:bCs w:val="0"/>
          <w:spacing w:val="51"/>
          <w:sz w:val="21"/>
          <w:szCs w:val="21"/>
        </w:rPr>
        <w:t xml:space="preserve"> </w:t>
      </w:r>
      <w:r w:rsidRPr="007C2763">
        <w:rPr>
          <w:rFonts w:ascii="Abadi" w:hAnsi="Abadi"/>
          <w:b w:val="0"/>
          <w:bCs w:val="0"/>
          <w:sz w:val="21"/>
          <w:szCs w:val="21"/>
        </w:rPr>
        <w:t>y</w:t>
      </w:r>
      <w:r w:rsidRPr="007C2763">
        <w:rPr>
          <w:rFonts w:ascii="Abadi" w:hAnsi="Abadi"/>
          <w:b w:val="0"/>
          <w:bCs w:val="0"/>
          <w:spacing w:val="47"/>
          <w:sz w:val="21"/>
          <w:szCs w:val="21"/>
        </w:rPr>
        <w:t xml:space="preserve"> </w:t>
      </w:r>
      <w:r w:rsidRPr="007C2763">
        <w:rPr>
          <w:rFonts w:ascii="Abadi" w:hAnsi="Abadi"/>
          <w:b w:val="0"/>
          <w:bCs w:val="0"/>
          <w:sz w:val="21"/>
          <w:szCs w:val="21"/>
        </w:rPr>
        <w:t>una</w:t>
      </w:r>
      <w:r w:rsidRPr="007C2763">
        <w:rPr>
          <w:rFonts w:ascii="Abadi" w:hAnsi="Abadi"/>
          <w:b w:val="0"/>
          <w:bCs w:val="0"/>
          <w:spacing w:val="49"/>
          <w:sz w:val="21"/>
          <w:szCs w:val="21"/>
        </w:rPr>
        <w:t xml:space="preserve"> </w:t>
      </w:r>
      <w:r w:rsidRPr="007C2763">
        <w:rPr>
          <w:rFonts w:ascii="Abadi" w:hAnsi="Abadi"/>
          <w:b w:val="0"/>
          <w:bCs w:val="0"/>
          <w:sz w:val="21"/>
          <w:szCs w:val="21"/>
        </w:rPr>
        <w:t>vez</w:t>
      </w:r>
      <w:r w:rsidRPr="007C2763">
        <w:rPr>
          <w:rFonts w:ascii="Abadi" w:hAnsi="Abadi"/>
          <w:b w:val="0"/>
          <w:bCs w:val="0"/>
          <w:spacing w:val="48"/>
          <w:sz w:val="21"/>
          <w:szCs w:val="21"/>
        </w:rPr>
        <w:t xml:space="preserve"> </w:t>
      </w:r>
      <w:r w:rsidRPr="007C2763">
        <w:rPr>
          <w:rFonts w:ascii="Abadi" w:hAnsi="Abadi"/>
          <w:b w:val="0"/>
          <w:bCs w:val="0"/>
          <w:sz w:val="21"/>
          <w:szCs w:val="21"/>
        </w:rPr>
        <w:t>realizada</w:t>
      </w:r>
      <w:r w:rsidRPr="007C2763">
        <w:rPr>
          <w:rFonts w:ascii="Abadi" w:hAnsi="Abadi"/>
          <w:b w:val="0"/>
          <w:bCs w:val="0"/>
          <w:spacing w:val="51"/>
          <w:sz w:val="21"/>
          <w:szCs w:val="21"/>
        </w:rPr>
        <w:t xml:space="preserve"> </w:t>
      </w:r>
      <w:r w:rsidRPr="007C2763">
        <w:rPr>
          <w:rFonts w:ascii="Abadi" w:hAnsi="Abadi"/>
          <w:b w:val="0"/>
          <w:bCs w:val="0"/>
          <w:sz w:val="21"/>
          <w:szCs w:val="21"/>
        </w:rPr>
        <w:t>la consulta,</w:t>
      </w:r>
      <w:r w:rsidRPr="007C2763">
        <w:rPr>
          <w:rFonts w:ascii="Abadi" w:hAnsi="Abadi"/>
          <w:b w:val="0"/>
          <w:bCs w:val="0"/>
          <w:spacing w:val="27"/>
          <w:sz w:val="21"/>
          <w:szCs w:val="21"/>
        </w:rPr>
        <w:t xml:space="preserve"> </w:t>
      </w:r>
      <w:r w:rsidRPr="007C2763">
        <w:rPr>
          <w:rFonts w:ascii="Abadi" w:hAnsi="Abadi"/>
          <w:b w:val="0"/>
          <w:bCs w:val="0"/>
          <w:sz w:val="21"/>
          <w:szCs w:val="21"/>
        </w:rPr>
        <w:t>se</w:t>
      </w:r>
      <w:r w:rsidRPr="007C2763">
        <w:rPr>
          <w:rFonts w:ascii="Abadi" w:hAnsi="Abadi"/>
          <w:b w:val="0"/>
          <w:bCs w:val="0"/>
          <w:spacing w:val="27"/>
          <w:sz w:val="21"/>
          <w:szCs w:val="21"/>
        </w:rPr>
        <w:t xml:space="preserve"> </w:t>
      </w:r>
      <w:r w:rsidRPr="007C2763">
        <w:rPr>
          <w:rFonts w:ascii="Abadi" w:hAnsi="Abadi"/>
          <w:b w:val="0"/>
          <w:bCs w:val="0"/>
          <w:sz w:val="21"/>
          <w:szCs w:val="21"/>
        </w:rPr>
        <w:t>recibieron</w:t>
      </w:r>
      <w:r w:rsidRPr="007C2763">
        <w:rPr>
          <w:rFonts w:ascii="Abadi" w:hAnsi="Abadi"/>
          <w:b w:val="0"/>
          <w:bCs w:val="0"/>
          <w:spacing w:val="25"/>
          <w:sz w:val="21"/>
          <w:szCs w:val="21"/>
        </w:rPr>
        <w:t xml:space="preserve"> </w:t>
      </w:r>
      <w:r w:rsidRPr="007C2763">
        <w:rPr>
          <w:rFonts w:ascii="Abadi" w:hAnsi="Abadi"/>
          <w:b w:val="0"/>
          <w:bCs w:val="0"/>
          <w:sz w:val="21"/>
          <w:szCs w:val="21"/>
        </w:rPr>
        <w:t>opiniones</w:t>
      </w:r>
      <w:r w:rsidRPr="007C2763">
        <w:rPr>
          <w:rFonts w:ascii="Abadi" w:hAnsi="Abadi"/>
          <w:b w:val="0"/>
          <w:bCs w:val="0"/>
          <w:spacing w:val="26"/>
          <w:sz w:val="21"/>
          <w:szCs w:val="21"/>
        </w:rPr>
        <w:t xml:space="preserve"> </w:t>
      </w:r>
      <w:r w:rsidRPr="007C2763">
        <w:rPr>
          <w:rFonts w:ascii="Abadi" w:hAnsi="Abadi"/>
          <w:b w:val="0"/>
          <w:bCs w:val="0"/>
          <w:sz w:val="21"/>
          <w:szCs w:val="21"/>
        </w:rPr>
        <w:t>por</w:t>
      </w:r>
      <w:r w:rsidRPr="007C2763">
        <w:rPr>
          <w:rFonts w:ascii="Abadi" w:hAnsi="Abadi"/>
          <w:b w:val="0"/>
          <w:bCs w:val="0"/>
          <w:spacing w:val="26"/>
          <w:sz w:val="21"/>
          <w:szCs w:val="21"/>
        </w:rPr>
        <w:t xml:space="preserve"> </w:t>
      </w:r>
      <w:r w:rsidRPr="007C2763">
        <w:rPr>
          <w:rFonts w:ascii="Abadi" w:hAnsi="Abadi"/>
          <w:b w:val="0"/>
          <w:bCs w:val="0"/>
          <w:sz w:val="21"/>
          <w:szCs w:val="21"/>
        </w:rPr>
        <w:t>parte</w:t>
      </w:r>
      <w:r w:rsidRPr="007C2763">
        <w:rPr>
          <w:rFonts w:ascii="Abadi" w:hAnsi="Abadi"/>
          <w:b w:val="0"/>
          <w:bCs w:val="0"/>
          <w:spacing w:val="27"/>
          <w:sz w:val="21"/>
          <w:szCs w:val="21"/>
        </w:rPr>
        <w:t xml:space="preserve"> </w:t>
      </w:r>
      <w:r w:rsidRPr="007C2763">
        <w:rPr>
          <w:rFonts w:ascii="Abadi" w:hAnsi="Abadi"/>
          <w:b w:val="0"/>
          <w:bCs w:val="0"/>
          <w:sz w:val="21"/>
          <w:szCs w:val="21"/>
        </w:rPr>
        <w:t>del</w:t>
      </w:r>
      <w:r w:rsidRPr="007C2763">
        <w:rPr>
          <w:rFonts w:ascii="Abadi" w:hAnsi="Abadi"/>
          <w:b w:val="0"/>
          <w:bCs w:val="0"/>
          <w:spacing w:val="26"/>
          <w:sz w:val="21"/>
          <w:szCs w:val="21"/>
        </w:rPr>
        <w:t xml:space="preserve"> </w:t>
      </w:r>
      <w:r w:rsidRPr="007C2763">
        <w:rPr>
          <w:rFonts w:ascii="Abadi" w:hAnsi="Abadi"/>
          <w:b w:val="0"/>
          <w:bCs w:val="0"/>
          <w:sz w:val="21"/>
          <w:szCs w:val="21"/>
        </w:rPr>
        <w:t>H.</w:t>
      </w:r>
      <w:r w:rsidRPr="007C2763">
        <w:rPr>
          <w:rFonts w:ascii="Abadi" w:hAnsi="Abadi"/>
          <w:b w:val="0"/>
          <w:bCs w:val="0"/>
          <w:spacing w:val="27"/>
          <w:sz w:val="21"/>
          <w:szCs w:val="21"/>
        </w:rPr>
        <w:t xml:space="preserve"> </w:t>
      </w:r>
      <w:r w:rsidRPr="007C2763">
        <w:rPr>
          <w:rFonts w:ascii="Abadi" w:hAnsi="Abadi"/>
          <w:b w:val="0"/>
          <w:bCs w:val="0"/>
          <w:sz w:val="21"/>
          <w:szCs w:val="21"/>
        </w:rPr>
        <w:t>Ayuntamiento</w:t>
      </w:r>
      <w:r w:rsidRPr="007C2763">
        <w:rPr>
          <w:rFonts w:ascii="Abadi" w:hAnsi="Abadi"/>
          <w:b w:val="0"/>
          <w:bCs w:val="0"/>
          <w:spacing w:val="25"/>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Doctor</w:t>
      </w:r>
      <w:r w:rsidRPr="007C2763">
        <w:rPr>
          <w:rFonts w:ascii="Abadi" w:hAnsi="Abadi"/>
          <w:b w:val="0"/>
          <w:bCs w:val="0"/>
          <w:spacing w:val="26"/>
          <w:sz w:val="21"/>
          <w:szCs w:val="21"/>
        </w:rPr>
        <w:t xml:space="preserve"> </w:t>
      </w:r>
      <w:r w:rsidRPr="007C2763">
        <w:rPr>
          <w:rFonts w:ascii="Abadi" w:hAnsi="Abadi"/>
          <w:b w:val="0"/>
          <w:bCs w:val="0"/>
          <w:sz w:val="21"/>
          <w:szCs w:val="21"/>
        </w:rPr>
        <w:t>Mora, Asociación</w:t>
      </w:r>
      <w:r w:rsidRPr="007C2763">
        <w:rPr>
          <w:rFonts w:ascii="Abadi" w:hAnsi="Abadi"/>
          <w:b w:val="0"/>
          <w:bCs w:val="0"/>
          <w:spacing w:val="25"/>
          <w:sz w:val="21"/>
          <w:szCs w:val="21"/>
        </w:rPr>
        <w:t xml:space="preserve"> </w:t>
      </w:r>
      <w:r w:rsidRPr="007C2763">
        <w:rPr>
          <w:rFonts w:ascii="Abadi" w:hAnsi="Abadi"/>
          <w:b w:val="0"/>
          <w:bCs w:val="0"/>
          <w:sz w:val="21"/>
          <w:szCs w:val="21"/>
        </w:rPr>
        <w:t>de</w:t>
      </w:r>
      <w:r w:rsidRPr="007C2763">
        <w:rPr>
          <w:rFonts w:ascii="Abadi" w:hAnsi="Abadi"/>
          <w:b w:val="0"/>
          <w:bCs w:val="0"/>
          <w:spacing w:val="27"/>
          <w:sz w:val="21"/>
          <w:szCs w:val="21"/>
        </w:rPr>
        <w:t xml:space="preserve"> </w:t>
      </w:r>
      <w:r w:rsidRPr="007C2763">
        <w:rPr>
          <w:rFonts w:ascii="Abadi" w:hAnsi="Abadi"/>
          <w:b w:val="0"/>
          <w:bCs w:val="0"/>
          <w:sz w:val="21"/>
          <w:szCs w:val="21"/>
        </w:rPr>
        <w:t>Cronistas</w:t>
      </w:r>
      <w:r w:rsidRPr="007C2763">
        <w:rPr>
          <w:rFonts w:ascii="Abadi" w:hAnsi="Abadi"/>
          <w:b w:val="0"/>
          <w:bCs w:val="0"/>
          <w:spacing w:val="26"/>
          <w:sz w:val="21"/>
          <w:szCs w:val="21"/>
        </w:rPr>
        <w:t xml:space="preserve"> </w:t>
      </w:r>
      <w:r w:rsidRPr="007C2763">
        <w:rPr>
          <w:rFonts w:ascii="Abadi" w:hAnsi="Abadi"/>
          <w:b w:val="0"/>
          <w:bCs w:val="0"/>
          <w:sz w:val="21"/>
          <w:szCs w:val="21"/>
        </w:rPr>
        <w:t>del</w:t>
      </w:r>
      <w:r w:rsidRPr="007C2763">
        <w:rPr>
          <w:rFonts w:ascii="Abadi" w:hAnsi="Abadi"/>
          <w:b w:val="0"/>
          <w:bCs w:val="0"/>
          <w:spacing w:val="26"/>
          <w:sz w:val="21"/>
          <w:szCs w:val="21"/>
        </w:rPr>
        <w:t xml:space="preserve"> </w:t>
      </w:r>
      <w:r w:rsidRPr="007C2763">
        <w:rPr>
          <w:rFonts w:ascii="Abadi" w:hAnsi="Abadi"/>
          <w:b w:val="0"/>
          <w:bCs w:val="0"/>
          <w:sz w:val="21"/>
          <w:szCs w:val="21"/>
        </w:rPr>
        <w:t>Estado</w:t>
      </w:r>
      <w:r w:rsidRPr="007C2763">
        <w:rPr>
          <w:rFonts w:ascii="Abadi" w:hAnsi="Abadi"/>
          <w:b w:val="0"/>
          <w:bCs w:val="0"/>
          <w:spacing w:val="25"/>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Guanajuato</w:t>
      </w:r>
      <w:r w:rsidRPr="007C2763">
        <w:rPr>
          <w:rFonts w:ascii="Abadi" w:hAnsi="Abadi"/>
          <w:b w:val="0"/>
          <w:bCs w:val="0"/>
          <w:spacing w:val="27"/>
          <w:sz w:val="21"/>
          <w:szCs w:val="21"/>
        </w:rPr>
        <w:t xml:space="preserve"> </w:t>
      </w:r>
      <w:r w:rsidRPr="007C2763">
        <w:rPr>
          <w:rFonts w:ascii="Abadi" w:hAnsi="Abadi"/>
          <w:b w:val="0"/>
          <w:bCs w:val="0"/>
          <w:sz w:val="21"/>
          <w:szCs w:val="21"/>
        </w:rPr>
        <w:t>“Dr.</w:t>
      </w:r>
      <w:r w:rsidRPr="007C2763">
        <w:rPr>
          <w:rFonts w:ascii="Abadi" w:hAnsi="Abadi"/>
          <w:b w:val="0"/>
          <w:bCs w:val="0"/>
          <w:spacing w:val="27"/>
          <w:sz w:val="21"/>
          <w:szCs w:val="21"/>
        </w:rPr>
        <w:t xml:space="preserve"> </w:t>
      </w:r>
      <w:r w:rsidRPr="007C2763">
        <w:rPr>
          <w:rFonts w:ascii="Abadi" w:hAnsi="Abadi"/>
          <w:b w:val="0"/>
          <w:bCs w:val="0"/>
          <w:sz w:val="21"/>
          <w:szCs w:val="21"/>
        </w:rPr>
        <w:t>Isauro</w:t>
      </w:r>
      <w:r w:rsidRPr="007C2763">
        <w:rPr>
          <w:rFonts w:ascii="Abadi" w:hAnsi="Abadi"/>
          <w:b w:val="0"/>
          <w:bCs w:val="0"/>
          <w:spacing w:val="27"/>
          <w:sz w:val="21"/>
          <w:szCs w:val="21"/>
        </w:rPr>
        <w:t xml:space="preserve"> </w:t>
      </w:r>
      <w:r w:rsidRPr="007C2763">
        <w:rPr>
          <w:rFonts w:ascii="Abadi" w:hAnsi="Abadi"/>
          <w:b w:val="0"/>
          <w:bCs w:val="0"/>
          <w:sz w:val="21"/>
          <w:szCs w:val="21"/>
        </w:rPr>
        <w:t>Rionda</w:t>
      </w:r>
      <w:r w:rsidRPr="007C2763">
        <w:rPr>
          <w:rFonts w:ascii="Abadi" w:hAnsi="Abadi"/>
          <w:b w:val="0"/>
          <w:bCs w:val="0"/>
          <w:spacing w:val="27"/>
          <w:sz w:val="21"/>
          <w:szCs w:val="21"/>
        </w:rPr>
        <w:t xml:space="preserve"> </w:t>
      </w:r>
      <w:r w:rsidRPr="007C2763">
        <w:rPr>
          <w:rFonts w:ascii="Abadi" w:hAnsi="Abadi"/>
          <w:b w:val="0"/>
          <w:bCs w:val="0"/>
          <w:sz w:val="21"/>
          <w:szCs w:val="21"/>
        </w:rPr>
        <w:t>Arreguín”, A.C.,</w:t>
      </w:r>
      <w:r w:rsidRPr="007C2763">
        <w:rPr>
          <w:rFonts w:ascii="Abadi" w:hAnsi="Abadi"/>
          <w:b w:val="0"/>
          <w:bCs w:val="0"/>
          <w:spacing w:val="65"/>
          <w:sz w:val="21"/>
          <w:szCs w:val="21"/>
        </w:rPr>
        <w:t xml:space="preserve"> </w:t>
      </w:r>
      <w:r w:rsidRPr="007C2763">
        <w:rPr>
          <w:rFonts w:ascii="Abadi" w:hAnsi="Abadi"/>
          <w:b w:val="0"/>
          <w:bCs w:val="0"/>
          <w:sz w:val="21"/>
          <w:szCs w:val="21"/>
        </w:rPr>
        <w:t>Archivo</w:t>
      </w:r>
      <w:r w:rsidRPr="007C2763">
        <w:rPr>
          <w:rFonts w:ascii="Abadi" w:hAnsi="Abadi"/>
          <w:b w:val="0"/>
          <w:bCs w:val="0"/>
          <w:spacing w:val="64"/>
          <w:sz w:val="21"/>
          <w:szCs w:val="21"/>
        </w:rPr>
        <w:t xml:space="preserve"> </w:t>
      </w:r>
      <w:r w:rsidRPr="007C2763">
        <w:rPr>
          <w:rFonts w:ascii="Abadi" w:hAnsi="Abadi"/>
          <w:b w:val="0"/>
          <w:bCs w:val="0"/>
          <w:sz w:val="21"/>
          <w:szCs w:val="21"/>
        </w:rPr>
        <w:t>Histórico</w:t>
      </w:r>
      <w:r w:rsidRPr="007C2763">
        <w:rPr>
          <w:rFonts w:ascii="Abadi" w:hAnsi="Abadi"/>
          <w:b w:val="0"/>
          <w:bCs w:val="0"/>
          <w:spacing w:val="64"/>
          <w:sz w:val="21"/>
          <w:szCs w:val="21"/>
        </w:rPr>
        <w:t xml:space="preserve"> </w:t>
      </w:r>
      <w:r w:rsidRPr="007C2763">
        <w:rPr>
          <w:rFonts w:ascii="Abadi" w:hAnsi="Abadi"/>
          <w:b w:val="0"/>
          <w:bCs w:val="0"/>
          <w:sz w:val="21"/>
          <w:szCs w:val="21"/>
        </w:rPr>
        <w:t>del</w:t>
      </w:r>
      <w:r w:rsidRPr="007C2763">
        <w:rPr>
          <w:rFonts w:ascii="Abadi" w:hAnsi="Abadi"/>
          <w:b w:val="0"/>
          <w:bCs w:val="0"/>
          <w:spacing w:val="63"/>
          <w:sz w:val="21"/>
          <w:szCs w:val="21"/>
        </w:rPr>
        <w:t xml:space="preserve"> </w:t>
      </w:r>
      <w:r w:rsidRPr="007C2763">
        <w:rPr>
          <w:rFonts w:ascii="Abadi" w:hAnsi="Abadi"/>
          <w:b w:val="0"/>
          <w:bCs w:val="0"/>
          <w:sz w:val="21"/>
          <w:szCs w:val="21"/>
        </w:rPr>
        <w:t>Archivo</w:t>
      </w:r>
      <w:r w:rsidRPr="007C2763">
        <w:rPr>
          <w:rFonts w:ascii="Abadi" w:hAnsi="Abadi"/>
          <w:b w:val="0"/>
          <w:bCs w:val="0"/>
          <w:spacing w:val="62"/>
          <w:sz w:val="21"/>
          <w:szCs w:val="21"/>
        </w:rPr>
        <w:t xml:space="preserve"> </w:t>
      </w:r>
      <w:r w:rsidRPr="007C2763">
        <w:rPr>
          <w:rFonts w:ascii="Abadi" w:hAnsi="Abadi"/>
          <w:b w:val="0"/>
          <w:bCs w:val="0"/>
          <w:sz w:val="21"/>
          <w:szCs w:val="21"/>
        </w:rPr>
        <w:t>General</w:t>
      </w:r>
      <w:r w:rsidRPr="007C2763">
        <w:rPr>
          <w:rFonts w:ascii="Abadi" w:hAnsi="Abadi"/>
          <w:b w:val="0"/>
          <w:bCs w:val="0"/>
          <w:spacing w:val="63"/>
          <w:sz w:val="21"/>
          <w:szCs w:val="21"/>
        </w:rPr>
        <w:t xml:space="preserve"> </w:t>
      </w:r>
      <w:r w:rsidRPr="007C2763">
        <w:rPr>
          <w:rFonts w:ascii="Abadi" w:hAnsi="Abadi"/>
          <w:b w:val="0"/>
          <w:bCs w:val="0"/>
          <w:sz w:val="21"/>
          <w:szCs w:val="21"/>
        </w:rPr>
        <w:t>del</w:t>
      </w:r>
      <w:r w:rsidRPr="007C2763">
        <w:rPr>
          <w:rFonts w:ascii="Abadi" w:hAnsi="Abadi"/>
          <w:b w:val="0"/>
          <w:bCs w:val="0"/>
          <w:spacing w:val="63"/>
          <w:sz w:val="21"/>
          <w:szCs w:val="21"/>
        </w:rPr>
        <w:t xml:space="preserve"> </w:t>
      </w:r>
      <w:r w:rsidRPr="007C2763">
        <w:rPr>
          <w:rFonts w:ascii="Abadi" w:hAnsi="Abadi"/>
          <w:b w:val="0"/>
          <w:bCs w:val="0"/>
          <w:sz w:val="21"/>
          <w:szCs w:val="21"/>
        </w:rPr>
        <w:t>Ejecutivo</w:t>
      </w:r>
      <w:r w:rsidRPr="007C2763">
        <w:rPr>
          <w:rFonts w:ascii="Abadi" w:hAnsi="Abadi"/>
          <w:b w:val="0"/>
          <w:bCs w:val="0"/>
          <w:spacing w:val="64"/>
          <w:sz w:val="21"/>
          <w:szCs w:val="21"/>
        </w:rPr>
        <w:t xml:space="preserve"> </w:t>
      </w:r>
      <w:r w:rsidRPr="007C2763">
        <w:rPr>
          <w:rFonts w:ascii="Abadi" w:hAnsi="Abadi"/>
          <w:b w:val="0"/>
          <w:bCs w:val="0"/>
          <w:sz w:val="21"/>
          <w:szCs w:val="21"/>
        </w:rPr>
        <w:t>del</w:t>
      </w:r>
      <w:r w:rsidRPr="007C2763">
        <w:rPr>
          <w:rFonts w:ascii="Abadi" w:hAnsi="Abadi"/>
          <w:b w:val="0"/>
          <w:bCs w:val="0"/>
          <w:spacing w:val="63"/>
          <w:sz w:val="21"/>
          <w:szCs w:val="21"/>
        </w:rPr>
        <w:t xml:space="preserve"> </w:t>
      </w:r>
      <w:r w:rsidRPr="007C2763">
        <w:rPr>
          <w:rFonts w:ascii="Abadi" w:hAnsi="Abadi"/>
          <w:b w:val="0"/>
          <w:bCs w:val="0"/>
          <w:sz w:val="21"/>
          <w:szCs w:val="21"/>
        </w:rPr>
        <w:t>Estado</w:t>
      </w:r>
      <w:r w:rsidRPr="007C2763">
        <w:rPr>
          <w:rFonts w:ascii="Abadi" w:hAnsi="Abadi"/>
          <w:b w:val="0"/>
          <w:bCs w:val="0"/>
          <w:spacing w:val="64"/>
          <w:sz w:val="21"/>
          <w:szCs w:val="21"/>
        </w:rPr>
        <w:t xml:space="preserve"> </w:t>
      </w:r>
      <w:r w:rsidRPr="007C2763">
        <w:rPr>
          <w:rFonts w:ascii="Abadi" w:hAnsi="Abadi"/>
          <w:b w:val="0"/>
          <w:bCs w:val="0"/>
          <w:sz w:val="21"/>
          <w:szCs w:val="21"/>
        </w:rPr>
        <w:t>de Guanajuato, también</w:t>
      </w:r>
      <w:r w:rsidRPr="007C2763">
        <w:rPr>
          <w:rFonts w:ascii="Abadi" w:hAnsi="Abadi"/>
          <w:b w:val="0"/>
          <w:bCs w:val="0"/>
          <w:spacing w:val="1"/>
          <w:sz w:val="21"/>
          <w:szCs w:val="21"/>
        </w:rPr>
        <w:t xml:space="preserve"> </w:t>
      </w:r>
      <w:r w:rsidRPr="007C2763">
        <w:rPr>
          <w:rFonts w:ascii="Abadi" w:hAnsi="Abadi"/>
          <w:b w:val="0"/>
          <w:bCs w:val="0"/>
          <w:sz w:val="21"/>
          <w:szCs w:val="21"/>
        </w:rPr>
        <w:t>se</w:t>
      </w:r>
      <w:r w:rsidRPr="007C2763">
        <w:rPr>
          <w:rFonts w:ascii="Abadi" w:hAnsi="Abadi"/>
          <w:b w:val="0"/>
          <w:bCs w:val="0"/>
          <w:spacing w:val="1"/>
          <w:sz w:val="21"/>
          <w:szCs w:val="21"/>
        </w:rPr>
        <w:t xml:space="preserve"> </w:t>
      </w:r>
      <w:r w:rsidRPr="007C2763">
        <w:rPr>
          <w:rFonts w:ascii="Abadi" w:hAnsi="Abadi"/>
          <w:b w:val="0"/>
          <w:bCs w:val="0"/>
          <w:sz w:val="21"/>
          <w:szCs w:val="21"/>
        </w:rPr>
        <w:t>recibió</w:t>
      </w:r>
      <w:r w:rsidRPr="007C2763">
        <w:rPr>
          <w:rFonts w:ascii="Abadi" w:hAnsi="Abadi"/>
          <w:b w:val="0"/>
          <w:bCs w:val="0"/>
          <w:spacing w:val="1"/>
          <w:sz w:val="21"/>
          <w:szCs w:val="21"/>
        </w:rPr>
        <w:t xml:space="preserve"> </w:t>
      </w:r>
      <w:r w:rsidRPr="007C2763">
        <w:rPr>
          <w:rFonts w:ascii="Abadi" w:hAnsi="Abadi"/>
          <w:b w:val="0"/>
          <w:bCs w:val="0"/>
          <w:sz w:val="21"/>
          <w:szCs w:val="21"/>
        </w:rPr>
        <w:t>muestra</w:t>
      </w:r>
      <w:r w:rsidRPr="007C2763">
        <w:rPr>
          <w:rFonts w:ascii="Abadi" w:hAnsi="Abadi"/>
          <w:b w:val="0"/>
          <w:bCs w:val="0"/>
          <w:spacing w:val="1"/>
          <w:sz w:val="21"/>
          <w:szCs w:val="21"/>
        </w:rPr>
        <w:t xml:space="preserve"> </w:t>
      </w:r>
      <w:r w:rsidRPr="007C2763">
        <w:rPr>
          <w:rFonts w:ascii="Abadi" w:hAnsi="Abadi"/>
          <w:b w:val="0"/>
          <w:bCs w:val="0"/>
          <w:sz w:val="21"/>
          <w:szCs w:val="21"/>
        </w:rPr>
        <w:t>representativa</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la</w:t>
      </w:r>
      <w:r w:rsidRPr="007C2763">
        <w:rPr>
          <w:rFonts w:ascii="Abadi" w:hAnsi="Abadi"/>
          <w:b w:val="0"/>
          <w:bCs w:val="0"/>
          <w:spacing w:val="1"/>
          <w:sz w:val="21"/>
          <w:szCs w:val="21"/>
        </w:rPr>
        <w:t xml:space="preserve"> </w:t>
      </w:r>
      <w:r w:rsidRPr="007C2763">
        <w:rPr>
          <w:rFonts w:ascii="Abadi" w:hAnsi="Abadi"/>
          <w:b w:val="0"/>
          <w:bCs w:val="0"/>
          <w:sz w:val="21"/>
          <w:szCs w:val="21"/>
        </w:rPr>
        <w:t>opinión</w:t>
      </w:r>
      <w:r w:rsidRPr="007C2763">
        <w:rPr>
          <w:rFonts w:ascii="Abadi" w:hAnsi="Abadi"/>
          <w:b w:val="0"/>
          <w:bCs w:val="0"/>
          <w:spacing w:val="1"/>
          <w:sz w:val="21"/>
          <w:szCs w:val="21"/>
        </w:rPr>
        <w:t xml:space="preserve"> </w:t>
      </w:r>
      <w:r w:rsidRPr="007C2763">
        <w:rPr>
          <w:rFonts w:ascii="Abadi" w:hAnsi="Abadi"/>
          <w:b w:val="0"/>
          <w:bCs w:val="0"/>
          <w:sz w:val="21"/>
          <w:szCs w:val="21"/>
        </w:rPr>
        <w:t>ciudadana</w:t>
      </w:r>
      <w:r w:rsidRPr="007C2763">
        <w:rPr>
          <w:rFonts w:ascii="Abadi" w:hAnsi="Abadi"/>
          <w:b w:val="0"/>
          <w:bCs w:val="0"/>
          <w:spacing w:val="1"/>
          <w:sz w:val="21"/>
          <w:szCs w:val="21"/>
        </w:rPr>
        <w:t xml:space="preserve"> </w:t>
      </w:r>
      <w:r w:rsidRPr="007C2763">
        <w:rPr>
          <w:rFonts w:ascii="Abadi" w:hAnsi="Abadi"/>
          <w:b w:val="0"/>
          <w:bCs w:val="0"/>
          <w:sz w:val="21"/>
          <w:szCs w:val="21"/>
        </w:rPr>
        <w:t>del Municipio</w:t>
      </w:r>
      <w:r w:rsidRPr="007C2763">
        <w:rPr>
          <w:rFonts w:ascii="Abadi" w:hAnsi="Abadi"/>
          <w:b w:val="0"/>
          <w:bCs w:val="0"/>
          <w:spacing w:val="25"/>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Doctor</w:t>
      </w:r>
      <w:r w:rsidRPr="007C2763">
        <w:rPr>
          <w:rFonts w:ascii="Abadi" w:hAnsi="Abadi"/>
          <w:b w:val="0"/>
          <w:bCs w:val="0"/>
          <w:spacing w:val="21"/>
          <w:sz w:val="21"/>
          <w:szCs w:val="21"/>
        </w:rPr>
        <w:t xml:space="preserve"> </w:t>
      </w:r>
      <w:r w:rsidRPr="007C2763">
        <w:rPr>
          <w:rFonts w:ascii="Abadi" w:hAnsi="Abadi"/>
          <w:b w:val="0"/>
          <w:bCs w:val="0"/>
          <w:sz w:val="21"/>
          <w:szCs w:val="21"/>
        </w:rPr>
        <w:t>Mora</w:t>
      </w:r>
      <w:r w:rsidRPr="007C2763">
        <w:rPr>
          <w:rFonts w:ascii="Abadi" w:hAnsi="Abadi"/>
          <w:b w:val="0"/>
          <w:bCs w:val="0"/>
          <w:spacing w:val="25"/>
          <w:sz w:val="21"/>
          <w:szCs w:val="21"/>
        </w:rPr>
        <w:t xml:space="preserve"> </w:t>
      </w:r>
      <w:r w:rsidRPr="007C2763">
        <w:rPr>
          <w:rFonts w:ascii="Abadi" w:hAnsi="Abadi"/>
          <w:b w:val="0"/>
          <w:bCs w:val="0"/>
          <w:sz w:val="21"/>
          <w:szCs w:val="21"/>
        </w:rPr>
        <w:t>recabada</w:t>
      </w:r>
      <w:r w:rsidRPr="007C2763">
        <w:rPr>
          <w:rFonts w:ascii="Abadi" w:hAnsi="Abadi"/>
          <w:b w:val="0"/>
          <w:bCs w:val="0"/>
          <w:spacing w:val="25"/>
          <w:sz w:val="21"/>
          <w:szCs w:val="21"/>
        </w:rPr>
        <w:t xml:space="preserve"> </w:t>
      </w:r>
      <w:r w:rsidRPr="007C2763">
        <w:rPr>
          <w:rFonts w:ascii="Abadi" w:hAnsi="Abadi"/>
          <w:b w:val="0"/>
          <w:bCs w:val="0"/>
          <w:sz w:val="21"/>
          <w:szCs w:val="21"/>
        </w:rPr>
        <w:t>por</w:t>
      </w:r>
      <w:r w:rsidRPr="007C2763">
        <w:rPr>
          <w:rFonts w:ascii="Abadi" w:hAnsi="Abadi"/>
          <w:b w:val="0"/>
          <w:bCs w:val="0"/>
          <w:spacing w:val="23"/>
          <w:sz w:val="21"/>
          <w:szCs w:val="21"/>
        </w:rPr>
        <w:t xml:space="preserve"> </w:t>
      </w:r>
      <w:r w:rsidRPr="007C2763">
        <w:rPr>
          <w:rFonts w:ascii="Abadi" w:hAnsi="Abadi"/>
          <w:b w:val="0"/>
          <w:bCs w:val="0"/>
          <w:sz w:val="21"/>
          <w:szCs w:val="21"/>
        </w:rPr>
        <w:t>el</w:t>
      </w:r>
      <w:r w:rsidRPr="007C2763">
        <w:rPr>
          <w:rFonts w:ascii="Abadi" w:hAnsi="Abadi"/>
          <w:b w:val="0"/>
          <w:bCs w:val="0"/>
          <w:spacing w:val="19"/>
          <w:sz w:val="21"/>
          <w:szCs w:val="21"/>
        </w:rPr>
        <w:t xml:space="preserve"> </w:t>
      </w:r>
      <w:r w:rsidRPr="007C2763">
        <w:rPr>
          <w:rFonts w:ascii="Abadi" w:hAnsi="Abadi"/>
          <w:b w:val="0"/>
          <w:bCs w:val="0"/>
          <w:sz w:val="21"/>
          <w:szCs w:val="21"/>
        </w:rPr>
        <w:t>H.</w:t>
      </w:r>
      <w:r w:rsidRPr="007C2763">
        <w:rPr>
          <w:rFonts w:ascii="Abadi" w:hAnsi="Abadi"/>
          <w:b w:val="0"/>
          <w:bCs w:val="0"/>
          <w:spacing w:val="25"/>
          <w:sz w:val="21"/>
          <w:szCs w:val="21"/>
        </w:rPr>
        <w:t xml:space="preserve"> </w:t>
      </w:r>
      <w:r w:rsidRPr="007C2763">
        <w:rPr>
          <w:rFonts w:ascii="Abadi" w:hAnsi="Abadi"/>
          <w:b w:val="0"/>
          <w:bCs w:val="0"/>
          <w:sz w:val="21"/>
          <w:szCs w:val="21"/>
        </w:rPr>
        <w:t>Ayuntamiento,</w:t>
      </w:r>
      <w:r w:rsidRPr="007C2763">
        <w:rPr>
          <w:rFonts w:ascii="Abadi" w:hAnsi="Abadi"/>
          <w:b w:val="0"/>
          <w:bCs w:val="0"/>
          <w:spacing w:val="22"/>
          <w:sz w:val="21"/>
          <w:szCs w:val="21"/>
        </w:rPr>
        <w:t xml:space="preserve"> </w:t>
      </w:r>
      <w:r w:rsidRPr="007C2763">
        <w:rPr>
          <w:rFonts w:ascii="Abadi" w:hAnsi="Abadi"/>
          <w:b w:val="0"/>
          <w:bCs w:val="0"/>
          <w:sz w:val="21"/>
          <w:szCs w:val="21"/>
        </w:rPr>
        <w:t>contándose</w:t>
      </w:r>
      <w:r w:rsidRPr="007C2763">
        <w:rPr>
          <w:rFonts w:ascii="Abadi" w:hAnsi="Abadi"/>
          <w:b w:val="0"/>
          <w:bCs w:val="0"/>
          <w:spacing w:val="23"/>
          <w:sz w:val="21"/>
          <w:szCs w:val="21"/>
        </w:rPr>
        <w:t xml:space="preserve"> </w:t>
      </w:r>
      <w:r w:rsidRPr="007C2763">
        <w:rPr>
          <w:rFonts w:ascii="Abadi" w:hAnsi="Abadi"/>
          <w:b w:val="0"/>
          <w:bCs w:val="0"/>
          <w:sz w:val="21"/>
          <w:szCs w:val="21"/>
        </w:rPr>
        <w:t>también con</w:t>
      </w:r>
      <w:r w:rsidRPr="007C2763">
        <w:rPr>
          <w:rFonts w:ascii="Abadi" w:hAnsi="Abadi"/>
          <w:b w:val="0"/>
          <w:bCs w:val="0"/>
          <w:spacing w:val="1"/>
          <w:sz w:val="21"/>
          <w:szCs w:val="21"/>
        </w:rPr>
        <w:t xml:space="preserve"> </w:t>
      </w:r>
      <w:r w:rsidRPr="007C2763">
        <w:rPr>
          <w:rFonts w:ascii="Abadi" w:hAnsi="Abadi"/>
          <w:b w:val="0"/>
          <w:bCs w:val="0"/>
          <w:sz w:val="21"/>
          <w:szCs w:val="21"/>
        </w:rPr>
        <w:t>el</w:t>
      </w:r>
      <w:r w:rsidRPr="007C2763">
        <w:rPr>
          <w:rFonts w:ascii="Abadi" w:hAnsi="Abadi"/>
          <w:b w:val="0"/>
          <w:bCs w:val="0"/>
          <w:spacing w:val="-4"/>
          <w:sz w:val="21"/>
          <w:szCs w:val="21"/>
        </w:rPr>
        <w:t xml:space="preserve"> </w:t>
      </w:r>
      <w:r w:rsidRPr="007C2763">
        <w:rPr>
          <w:rFonts w:ascii="Abadi" w:hAnsi="Abadi"/>
          <w:b w:val="0"/>
          <w:bCs w:val="0"/>
          <w:sz w:val="21"/>
          <w:szCs w:val="21"/>
        </w:rPr>
        <w:t>estudio</w:t>
      </w:r>
      <w:r w:rsidRPr="007C2763">
        <w:rPr>
          <w:rFonts w:ascii="Abadi" w:hAnsi="Abadi"/>
          <w:b w:val="0"/>
          <w:bCs w:val="0"/>
          <w:spacing w:val="1"/>
          <w:sz w:val="21"/>
          <w:szCs w:val="21"/>
        </w:rPr>
        <w:t xml:space="preserve"> </w:t>
      </w:r>
      <w:r w:rsidRPr="007C2763">
        <w:rPr>
          <w:rFonts w:ascii="Abadi" w:hAnsi="Abadi"/>
          <w:b w:val="0"/>
          <w:bCs w:val="0"/>
          <w:sz w:val="21"/>
          <w:szCs w:val="21"/>
        </w:rPr>
        <w:t>con</w:t>
      </w:r>
      <w:r w:rsidRPr="007C2763">
        <w:rPr>
          <w:rFonts w:ascii="Abadi" w:hAnsi="Abadi"/>
          <w:b w:val="0"/>
          <w:bCs w:val="0"/>
          <w:spacing w:val="1"/>
          <w:sz w:val="21"/>
          <w:szCs w:val="21"/>
        </w:rPr>
        <w:t xml:space="preserve"> </w:t>
      </w:r>
      <w:r w:rsidRPr="007C2763">
        <w:rPr>
          <w:rFonts w:ascii="Abadi" w:hAnsi="Abadi"/>
          <w:b w:val="0"/>
          <w:bCs w:val="0"/>
          <w:sz w:val="21"/>
          <w:szCs w:val="21"/>
        </w:rPr>
        <w:t>opinión</w:t>
      </w:r>
      <w:r w:rsidRPr="007C2763">
        <w:rPr>
          <w:rFonts w:ascii="Abadi" w:hAnsi="Abadi"/>
          <w:b w:val="0"/>
          <w:bCs w:val="0"/>
          <w:spacing w:val="1"/>
          <w:sz w:val="21"/>
          <w:szCs w:val="21"/>
        </w:rPr>
        <w:t xml:space="preserve"> </w:t>
      </w:r>
      <w:r w:rsidRPr="007C2763">
        <w:rPr>
          <w:rFonts w:ascii="Abadi" w:hAnsi="Abadi"/>
          <w:b w:val="0"/>
          <w:bCs w:val="0"/>
          <w:sz w:val="21"/>
          <w:szCs w:val="21"/>
        </w:rPr>
        <w:t>por</w:t>
      </w:r>
      <w:r w:rsidRPr="007C2763">
        <w:rPr>
          <w:rFonts w:ascii="Abadi" w:hAnsi="Abadi"/>
          <w:b w:val="0"/>
          <w:bCs w:val="0"/>
          <w:spacing w:val="-1"/>
          <w:sz w:val="21"/>
          <w:szCs w:val="21"/>
        </w:rPr>
        <w:t xml:space="preserve"> </w:t>
      </w:r>
      <w:r w:rsidRPr="007C2763">
        <w:rPr>
          <w:rFonts w:ascii="Abadi" w:hAnsi="Abadi"/>
          <w:b w:val="0"/>
          <w:bCs w:val="0"/>
          <w:sz w:val="21"/>
          <w:szCs w:val="21"/>
        </w:rPr>
        <w:t>parte</w:t>
      </w:r>
      <w:r w:rsidRPr="007C2763">
        <w:rPr>
          <w:rFonts w:ascii="Abadi" w:hAnsi="Abadi"/>
          <w:b w:val="0"/>
          <w:bCs w:val="0"/>
          <w:spacing w:val="-1"/>
          <w:sz w:val="21"/>
          <w:szCs w:val="21"/>
        </w:rPr>
        <w:t xml:space="preserve"> </w:t>
      </w:r>
      <w:r w:rsidRPr="007C2763">
        <w:rPr>
          <w:rFonts w:ascii="Abadi" w:hAnsi="Abadi"/>
          <w:b w:val="0"/>
          <w:bCs w:val="0"/>
          <w:sz w:val="21"/>
          <w:szCs w:val="21"/>
        </w:rPr>
        <w:t>del</w:t>
      </w:r>
      <w:r w:rsidRPr="007C2763">
        <w:rPr>
          <w:rFonts w:ascii="Abadi" w:hAnsi="Abadi"/>
          <w:b w:val="0"/>
          <w:bCs w:val="0"/>
          <w:spacing w:val="-3"/>
          <w:sz w:val="21"/>
          <w:szCs w:val="21"/>
        </w:rPr>
        <w:t xml:space="preserve"> </w:t>
      </w:r>
      <w:r w:rsidRPr="007C2763">
        <w:rPr>
          <w:rFonts w:ascii="Abadi" w:hAnsi="Abadi"/>
          <w:b w:val="0"/>
          <w:bCs w:val="0"/>
          <w:sz w:val="21"/>
          <w:szCs w:val="21"/>
        </w:rPr>
        <w:t>Instituto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Investigaciones</w:t>
      </w:r>
      <w:r w:rsidRPr="007C2763">
        <w:rPr>
          <w:rFonts w:ascii="Abadi" w:hAnsi="Abadi"/>
          <w:b w:val="0"/>
          <w:bCs w:val="0"/>
          <w:spacing w:val="-2"/>
          <w:sz w:val="21"/>
          <w:szCs w:val="21"/>
        </w:rPr>
        <w:t xml:space="preserve"> </w:t>
      </w:r>
      <w:r w:rsidRPr="007C2763">
        <w:rPr>
          <w:rFonts w:ascii="Abadi" w:hAnsi="Abadi"/>
          <w:b w:val="0"/>
          <w:bCs w:val="0"/>
          <w:sz w:val="21"/>
          <w:szCs w:val="21"/>
        </w:rPr>
        <w:t>Legislativas.</w:t>
      </w:r>
    </w:p>
    <w:p w14:paraId="7F3E934B" w14:textId="77777777" w:rsidR="00374A1E" w:rsidRPr="007C2763" w:rsidRDefault="00374A1E" w:rsidP="00374A1E">
      <w:pPr>
        <w:pStyle w:val="Textoindependiente"/>
        <w:kinsoku w:val="0"/>
        <w:overflowPunct w:val="0"/>
        <w:rPr>
          <w:rFonts w:ascii="Abadi" w:hAnsi="Abadi"/>
          <w:b w:val="0"/>
          <w:bCs w:val="0"/>
          <w:sz w:val="21"/>
          <w:szCs w:val="21"/>
        </w:rPr>
      </w:pPr>
    </w:p>
    <w:p w14:paraId="1EA5ABCB" w14:textId="77777777" w:rsidR="00374A1E" w:rsidRPr="007C2763" w:rsidRDefault="00374A1E" w:rsidP="00374A1E">
      <w:pPr>
        <w:pStyle w:val="Textoindependiente"/>
        <w:kinsoku w:val="0"/>
        <w:overflowPunct w:val="0"/>
        <w:ind w:left="40" w:right="116" w:firstLine="708"/>
        <w:rPr>
          <w:rFonts w:ascii="Abadi" w:hAnsi="Abadi"/>
          <w:b w:val="0"/>
          <w:bCs w:val="0"/>
          <w:sz w:val="21"/>
          <w:szCs w:val="21"/>
        </w:rPr>
      </w:pPr>
      <w:r w:rsidRPr="007C2763">
        <w:rPr>
          <w:rFonts w:ascii="Abadi" w:hAnsi="Abadi"/>
          <w:b w:val="0"/>
          <w:bCs w:val="0"/>
          <w:sz w:val="21"/>
          <w:szCs w:val="21"/>
        </w:rPr>
        <w:t>La</w:t>
      </w:r>
      <w:r w:rsidRPr="007C2763">
        <w:rPr>
          <w:rFonts w:ascii="Abadi" w:hAnsi="Abadi"/>
          <w:b w:val="0"/>
          <w:bCs w:val="0"/>
          <w:spacing w:val="19"/>
          <w:sz w:val="21"/>
          <w:szCs w:val="21"/>
        </w:rPr>
        <w:t xml:space="preserve"> </w:t>
      </w:r>
      <w:r w:rsidRPr="007C2763">
        <w:rPr>
          <w:rFonts w:ascii="Abadi" w:hAnsi="Abadi"/>
          <w:b w:val="0"/>
          <w:bCs w:val="0"/>
          <w:sz w:val="21"/>
          <w:szCs w:val="21"/>
        </w:rPr>
        <w:t>información</w:t>
      </w:r>
      <w:r w:rsidRPr="007C2763">
        <w:rPr>
          <w:rFonts w:ascii="Abadi" w:hAnsi="Abadi"/>
          <w:b w:val="0"/>
          <w:bCs w:val="0"/>
          <w:spacing w:val="18"/>
          <w:sz w:val="21"/>
          <w:szCs w:val="21"/>
        </w:rPr>
        <w:t xml:space="preserve"> </w:t>
      </w:r>
      <w:r w:rsidRPr="007C2763">
        <w:rPr>
          <w:rFonts w:ascii="Abadi" w:hAnsi="Abadi"/>
          <w:b w:val="0"/>
          <w:bCs w:val="0"/>
          <w:sz w:val="21"/>
          <w:szCs w:val="21"/>
        </w:rPr>
        <w:t>recibida</w:t>
      </w:r>
      <w:r w:rsidRPr="007C2763">
        <w:rPr>
          <w:rFonts w:ascii="Abadi" w:hAnsi="Abadi"/>
          <w:b w:val="0"/>
          <w:bCs w:val="0"/>
          <w:spacing w:val="20"/>
          <w:sz w:val="21"/>
          <w:szCs w:val="21"/>
        </w:rPr>
        <w:t xml:space="preserve"> </w:t>
      </w:r>
      <w:r w:rsidRPr="007C2763">
        <w:rPr>
          <w:rFonts w:ascii="Abadi" w:hAnsi="Abadi"/>
          <w:b w:val="0"/>
          <w:bCs w:val="0"/>
          <w:sz w:val="21"/>
          <w:szCs w:val="21"/>
        </w:rPr>
        <w:t>fue</w:t>
      </w:r>
      <w:r w:rsidRPr="007C2763">
        <w:rPr>
          <w:rFonts w:ascii="Abadi" w:hAnsi="Abadi"/>
          <w:b w:val="0"/>
          <w:bCs w:val="0"/>
          <w:spacing w:val="20"/>
          <w:sz w:val="21"/>
          <w:szCs w:val="21"/>
        </w:rPr>
        <w:t xml:space="preserve"> </w:t>
      </w:r>
      <w:r w:rsidRPr="007C2763">
        <w:rPr>
          <w:rFonts w:ascii="Abadi" w:hAnsi="Abadi"/>
          <w:b w:val="0"/>
          <w:bCs w:val="0"/>
          <w:sz w:val="21"/>
          <w:szCs w:val="21"/>
        </w:rPr>
        <w:t>compilada</w:t>
      </w:r>
      <w:r w:rsidRPr="007C2763">
        <w:rPr>
          <w:rFonts w:ascii="Abadi" w:hAnsi="Abadi"/>
          <w:b w:val="0"/>
          <w:bCs w:val="0"/>
          <w:spacing w:val="18"/>
          <w:sz w:val="21"/>
          <w:szCs w:val="21"/>
        </w:rPr>
        <w:t xml:space="preserve"> </w:t>
      </w:r>
      <w:r w:rsidRPr="007C2763">
        <w:rPr>
          <w:rFonts w:ascii="Abadi" w:hAnsi="Abadi"/>
          <w:b w:val="0"/>
          <w:bCs w:val="0"/>
          <w:sz w:val="21"/>
          <w:szCs w:val="21"/>
        </w:rPr>
        <w:t>por</w:t>
      </w:r>
      <w:r w:rsidRPr="007C2763">
        <w:rPr>
          <w:rFonts w:ascii="Abadi" w:hAnsi="Abadi"/>
          <w:b w:val="0"/>
          <w:bCs w:val="0"/>
          <w:spacing w:val="19"/>
          <w:sz w:val="21"/>
          <w:szCs w:val="21"/>
        </w:rPr>
        <w:t xml:space="preserve"> </w:t>
      </w:r>
      <w:r w:rsidRPr="007C2763">
        <w:rPr>
          <w:rFonts w:ascii="Abadi" w:hAnsi="Abadi"/>
          <w:b w:val="0"/>
          <w:bCs w:val="0"/>
          <w:sz w:val="21"/>
          <w:szCs w:val="21"/>
        </w:rPr>
        <w:t>parte</w:t>
      </w:r>
      <w:r w:rsidRPr="007C2763">
        <w:rPr>
          <w:rFonts w:ascii="Abadi" w:hAnsi="Abadi"/>
          <w:b w:val="0"/>
          <w:bCs w:val="0"/>
          <w:spacing w:val="20"/>
          <w:sz w:val="21"/>
          <w:szCs w:val="21"/>
        </w:rPr>
        <w:t xml:space="preserve"> </w:t>
      </w:r>
      <w:r w:rsidRPr="007C2763">
        <w:rPr>
          <w:rFonts w:ascii="Abadi" w:hAnsi="Abadi"/>
          <w:b w:val="0"/>
          <w:bCs w:val="0"/>
          <w:sz w:val="21"/>
          <w:szCs w:val="21"/>
        </w:rPr>
        <w:t>de</w:t>
      </w:r>
      <w:r w:rsidRPr="007C2763">
        <w:rPr>
          <w:rFonts w:ascii="Abadi" w:hAnsi="Abadi"/>
          <w:b w:val="0"/>
          <w:bCs w:val="0"/>
          <w:spacing w:val="20"/>
          <w:sz w:val="21"/>
          <w:szCs w:val="21"/>
        </w:rPr>
        <w:t xml:space="preserve"> </w:t>
      </w:r>
      <w:r w:rsidRPr="007C2763">
        <w:rPr>
          <w:rFonts w:ascii="Abadi" w:hAnsi="Abadi"/>
          <w:b w:val="0"/>
          <w:bCs w:val="0"/>
          <w:sz w:val="21"/>
          <w:szCs w:val="21"/>
        </w:rPr>
        <w:t>la</w:t>
      </w:r>
      <w:r w:rsidRPr="007C2763">
        <w:rPr>
          <w:rFonts w:ascii="Abadi" w:hAnsi="Abadi"/>
          <w:b w:val="0"/>
          <w:bCs w:val="0"/>
          <w:spacing w:val="18"/>
          <w:sz w:val="21"/>
          <w:szCs w:val="21"/>
        </w:rPr>
        <w:t xml:space="preserve"> </w:t>
      </w:r>
      <w:r w:rsidRPr="007C2763">
        <w:rPr>
          <w:rFonts w:ascii="Abadi" w:hAnsi="Abadi"/>
          <w:b w:val="0"/>
          <w:bCs w:val="0"/>
          <w:sz w:val="21"/>
          <w:szCs w:val="21"/>
        </w:rPr>
        <w:t>Secretaría</w:t>
      </w:r>
      <w:r w:rsidRPr="007C2763">
        <w:rPr>
          <w:rFonts w:ascii="Abadi" w:hAnsi="Abadi"/>
          <w:b w:val="0"/>
          <w:bCs w:val="0"/>
          <w:spacing w:val="15"/>
          <w:sz w:val="21"/>
          <w:szCs w:val="21"/>
        </w:rPr>
        <w:t xml:space="preserve"> </w:t>
      </w:r>
      <w:r w:rsidRPr="007C2763">
        <w:rPr>
          <w:rFonts w:ascii="Abadi" w:hAnsi="Abadi"/>
          <w:b w:val="0"/>
          <w:bCs w:val="0"/>
          <w:sz w:val="21"/>
          <w:szCs w:val="21"/>
        </w:rPr>
        <w:t>Técnica</w:t>
      </w:r>
      <w:r w:rsidRPr="007C2763">
        <w:rPr>
          <w:rFonts w:ascii="Abadi" w:hAnsi="Abadi"/>
          <w:b w:val="0"/>
          <w:bCs w:val="0"/>
          <w:spacing w:val="18"/>
          <w:sz w:val="21"/>
          <w:szCs w:val="21"/>
        </w:rPr>
        <w:t xml:space="preserve"> </w:t>
      </w:r>
      <w:r w:rsidRPr="007C2763">
        <w:rPr>
          <w:rFonts w:ascii="Abadi" w:hAnsi="Abadi"/>
          <w:b w:val="0"/>
          <w:bCs w:val="0"/>
          <w:sz w:val="21"/>
          <w:szCs w:val="21"/>
        </w:rPr>
        <w:t>y sirvió</w:t>
      </w:r>
      <w:r w:rsidRPr="007C2763">
        <w:rPr>
          <w:rFonts w:ascii="Abadi" w:hAnsi="Abadi"/>
          <w:b w:val="0"/>
          <w:bCs w:val="0"/>
          <w:spacing w:val="8"/>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r w:rsidRPr="007C2763">
        <w:rPr>
          <w:rFonts w:ascii="Abadi" w:hAnsi="Abadi"/>
          <w:b w:val="0"/>
          <w:bCs w:val="0"/>
          <w:sz w:val="21"/>
          <w:szCs w:val="21"/>
        </w:rPr>
        <w:t>insumo</w:t>
      </w:r>
      <w:r w:rsidRPr="007C2763">
        <w:rPr>
          <w:rFonts w:ascii="Abadi" w:hAnsi="Abadi"/>
          <w:b w:val="0"/>
          <w:bCs w:val="0"/>
          <w:spacing w:val="6"/>
          <w:sz w:val="21"/>
          <w:szCs w:val="21"/>
        </w:rPr>
        <w:t xml:space="preserve"> </w:t>
      </w:r>
      <w:r w:rsidRPr="007C2763">
        <w:rPr>
          <w:rFonts w:ascii="Abadi" w:hAnsi="Abadi"/>
          <w:b w:val="0"/>
          <w:bCs w:val="0"/>
          <w:sz w:val="21"/>
          <w:szCs w:val="21"/>
        </w:rPr>
        <w:t>para</w:t>
      </w:r>
      <w:r w:rsidRPr="007C2763">
        <w:rPr>
          <w:rFonts w:ascii="Abadi" w:hAnsi="Abadi"/>
          <w:b w:val="0"/>
          <w:bCs w:val="0"/>
          <w:spacing w:val="8"/>
          <w:sz w:val="21"/>
          <w:szCs w:val="21"/>
        </w:rPr>
        <w:t xml:space="preserve"> </w:t>
      </w:r>
      <w:r w:rsidRPr="007C2763">
        <w:rPr>
          <w:rFonts w:ascii="Abadi" w:hAnsi="Abadi"/>
          <w:b w:val="0"/>
          <w:bCs w:val="0"/>
          <w:sz w:val="21"/>
          <w:szCs w:val="21"/>
        </w:rPr>
        <w:t>la</w:t>
      </w:r>
      <w:r w:rsidRPr="007C2763">
        <w:rPr>
          <w:rFonts w:ascii="Abadi" w:hAnsi="Abadi"/>
          <w:b w:val="0"/>
          <w:bCs w:val="0"/>
          <w:spacing w:val="8"/>
          <w:sz w:val="21"/>
          <w:szCs w:val="21"/>
        </w:rPr>
        <w:t xml:space="preserve"> </w:t>
      </w:r>
      <w:r w:rsidRPr="007C2763">
        <w:rPr>
          <w:rFonts w:ascii="Abadi" w:hAnsi="Abadi"/>
          <w:b w:val="0"/>
          <w:bCs w:val="0"/>
          <w:sz w:val="21"/>
          <w:szCs w:val="21"/>
        </w:rPr>
        <w:t>mesa</w:t>
      </w:r>
      <w:r w:rsidRPr="007C2763">
        <w:rPr>
          <w:rFonts w:ascii="Abadi" w:hAnsi="Abadi"/>
          <w:b w:val="0"/>
          <w:bCs w:val="0"/>
          <w:spacing w:val="8"/>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r w:rsidRPr="007C2763">
        <w:rPr>
          <w:rFonts w:ascii="Abadi" w:hAnsi="Abadi"/>
          <w:b w:val="0"/>
          <w:bCs w:val="0"/>
          <w:sz w:val="21"/>
          <w:szCs w:val="21"/>
        </w:rPr>
        <w:t>trabajo</w:t>
      </w:r>
      <w:r w:rsidRPr="007C2763">
        <w:rPr>
          <w:rFonts w:ascii="Abadi" w:hAnsi="Abadi"/>
          <w:b w:val="0"/>
          <w:bCs w:val="0"/>
          <w:spacing w:val="8"/>
          <w:sz w:val="21"/>
          <w:szCs w:val="21"/>
        </w:rPr>
        <w:t xml:space="preserve"> </w:t>
      </w:r>
      <w:r w:rsidRPr="007C2763">
        <w:rPr>
          <w:rFonts w:ascii="Abadi" w:hAnsi="Abadi"/>
          <w:b w:val="0"/>
          <w:bCs w:val="0"/>
          <w:sz w:val="21"/>
          <w:szCs w:val="21"/>
        </w:rPr>
        <w:t>la</w:t>
      </w:r>
      <w:r w:rsidRPr="007C2763">
        <w:rPr>
          <w:rFonts w:ascii="Abadi" w:hAnsi="Abadi"/>
          <w:b w:val="0"/>
          <w:bCs w:val="0"/>
          <w:spacing w:val="8"/>
          <w:sz w:val="21"/>
          <w:szCs w:val="21"/>
        </w:rPr>
        <w:t xml:space="preserve"> </w:t>
      </w:r>
      <w:r w:rsidRPr="007C2763">
        <w:rPr>
          <w:rFonts w:ascii="Abadi" w:hAnsi="Abadi"/>
          <w:b w:val="0"/>
          <w:bCs w:val="0"/>
          <w:sz w:val="21"/>
          <w:szCs w:val="21"/>
        </w:rPr>
        <w:t>cual</w:t>
      </w:r>
      <w:r w:rsidRPr="007C2763">
        <w:rPr>
          <w:rFonts w:ascii="Abadi" w:hAnsi="Abadi"/>
          <w:b w:val="0"/>
          <w:bCs w:val="0"/>
          <w:spacing w:val="7"/>
          <w:sz w:val="21"/>
          <w:szCs w:val="21"/>
        </w:rPr>
        <w:t xml:space="preserve"> </w:t>
      </w:r>
      <w:r w:rsidRPr="007C2763">
        <w:rPr>
          <w:rFonts w:ascii="Abadi" w:hAnsi="Abadi"/>
          <w:b w:val="0"/>
          <w:bCs w:val="0"/>
          <w:sz w:val="21"/>
          <w:szCs w:val="21"/>
        </w:rPr>
        <w:t>se</w:t>
      </w:r>
      <w:r w:rsidRPr="007C2763">
        <w:rPr>
          <w:rFonts w:ascii="Abadi" w:hAnsi="Abadi"/>
          <w:b w:val="0"/>
          <w:bCs w:val="0"/>
          <w:spacing w:val="8"/>
          <w:sz w:val="21"/>
          <w:szCs w:val="21"/>
        </w:rPr>
        <w:t xml:space="preserve"> </w:t>
      </w:r>
      <w:r w:rsidRPr="007C2763">
        <w:rPr>
          <w:rFonts w:ascii="Abadi" w:hAnsi="Abadi"/>
          <w:b w:val="0"/>
          <w:bCs w:val="0"/>
          <w:sz w:val="21"/>
          <w:szCs w:val="21"/>
        </w:rPr>
        <w:t>enriqueció</w:t>
      </w:r>
      <w:r w:rsidRPr="007C2763">
        <w:rPr>
          <w:rFonts w:ascii="Abadi" w:hAnsi="Abadi"/>
          <w:b w:val="0"/>
          <w:bCs w:val="0"/>
          <w:spacing w:val="8"/>
          <w:sz w:val="21"/>
          <w:szCs w:val="21"/>
        </w:rPr>
        <w:t xml:space="preserve"> </w:t>
      </w:r>
      <w:r w:rsidRPr="007C2763">
        <w:rPr>
          <w:rFonts w:ascii="Abadi" w:hAnsi="Abadi"/>
          <w:b w:val="0"/>
          <w:bCs w:val="0"/>
          <w:sz w:val="21"/>
          <w:szCs w:val="21"/>
        </w:rPr>
        <w:t>con</w:t>
      </w:r>
      <w:r w:rsidRPr="007C2763">
        <w:rPr>
          <w:rFonts w:ascii="Abadi" w:hAnsi="Abadi"/>
          <w:b w:val="0"/>
          <w:bCs w:val="0"/>
          <w:spacing w:val="6"/>
          <w:sz w:val="21"/>
          <w:szCs w:val="21"/>
        </w:rPr>
        <w:t xml:space="preserve"> </w:t>
      </w:r>
      <w:r w:rsidRPr="007C2763">
        <w:rPr>
          <w:rFonts w:ascii="Abadi" w:hAnsi="Abadi"/>
          <w:b w:val="0"/>
          <w:bCs w:val="0"/>
          <w:sz w:val="21"/>
          <w:szCs w:val="21"/>
        </w:rPr>
        <w:t>la</w:t>
      </w:r>
      <w:r w:rsidRPr="007C2763">
        <w:rPr>
          <w:rFonts w:ascii="Abadi" w:hAnsi="Abadi"/>
          <w:b w:val="0"/>
          <w:bCs w:val="0"/>
          <w:spacing w:val="8"/>
          <w:sz w:val="21"/>
          <w:szCs w:val="21"/>
        </w:rPr>
        <w:t xml:space="preserve"> </w:t>
      </w:r>
      <w:r w:rsidRPr="007C2763">
        <w:rPr>
          <w:rFonts w:ascii="Abadi" w:hAnsi="Abadi"/>
          <w:b w:val="0"/>
          <w:bCs w:val="0"/>
          <w:sz w:val="21"/>
          <w:szCs w:val="21"/>
        </w:rPr>
        <w:t>presencia</w:t>
      </w:r>
      <w:r w:rsidRPr="007C2763">
        <w:rPr>
          <w:rFonts w:ascii="Abadi" w:hAnsi="Abadi"/>
          <w:b w:val="0"/>
          <w:bCs w:val="0"/>
          <w:spacing w:val="8"/>
          <w:sz w:val="21"/>
          <w:szCs w:val="21"/>
        </w:rPr>
        <w:t xml:space="preserve"> </w:t>
      </w:r>
      <w:r w:rsidRPr="007C2763">
        <w:rPr>
          <w:rFonts w:ascii="Abadi" w:hAnsi="Abadi"/>
          <w:b w:val="0"/>
          <w:bCs w:val="0"/>
          <w:sz w:val="21"/>
          <w:szCs w:val="21"/>
        </w:rPr>
        <w:t>de diputados</w:t>
      </w:r>
      <w:r w:rsidRPr="007C2763">
        <w:rPr>
          <w:rFonts w:ascii="Abadi" w:hAnsi="Abadi"/>
          <w:b w:val="0"/>
          <w:bCs w:val="0"/>
          <w:spacing w:val="22"/>
          <w:sz w:val="21"/>
          <w:szCs w:val="21"/>
        </w:rPr>
        <w:t xml:space="preserve"> </w:t>
      </w:r>
      <w:r w:rsidRPr="007C2763">
        <w:rPr>
          <w:rFonts w:ascii="Abadi" w:hAnsi="Abadi"/>
          <w:b w:val="0"/>
          <w:bCs w:val="0"/>
          <w:sz w:val="21"/>
          <w:szCs w:val="21"/>
        </w:rPr>
        <w:t>integrantes</w:t>
      </w:r>
      <w:r w:rsidRPr="007C2763">
        <w:rPr>
          <w:rFonts w:ascii="Abadi" w:hAnsi="Abadi"/>
          <w:b w:val="0"/>
          <w:bCs w:val="0"/>
          <w:spacing w:val="22"/>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la</w:t>
      </w:r>
      <w:r w:rsidRPr="007C2763">
        <w:rPr>
          <w:rFonts w:ascii="Abadi" w:hAnsi="Abadi"/>
          <w:b w:val="0"/>
          <w:bCs w:val="0"/>
          <w:spacing w:val="23"/>
          <w:sz w:val="21"/>
          <w:szCs w:val="21"/>
        </w:rPr>
        <w:t xml:space="preserve"> </w:t>
      </w:r>
      <w:r w:rsidRPr="007C2763">
        <w:rPr>
          <w:rFonts w:ascii="Abadi" w:hAnsi="Abadi"/>
          <w:b w:val="0"/>
          <w:bCs w:val="0"/>
          <w:sz w:val="21"/>
          <w:szCs w:val="21"/>
        </w:rPr>
        <w:t>comisión</w:t>
      </w:r>
      <w:r w:rsidRPr="007C2763">
        <w:rPr>
          <w:rFonts w:ascii="Abadi" w:hAnsi="Abadi"/>
          <w:b w:val="0"/>
          <w:bCs w:val="0"/>
          <w:spacing w:val="23"/>
          <w:sz w:val="21"/>
          <w:szCs w:val="21"/>
        </w:rPr>
        <w:t xml:space="preserve"> </w:t>
      </w:r>
      <w:r w:rsidRPr="007C2763">
        <w:rPr>
          <w:rFonts w:ascii="Abadi" w:hAnsi="Abadi"/>
          <w:b w:val="0"/>
          <w:bCs w:val="0"/>
          <w:sz w:val="21"/>
          <w:szCs w:val="21"/>
        </w:rPr>
        <w:t>dictaminadora,</w:t>
      </w:r>
      <w:r w:rsidRPr="007C2763">
        <w:rPr>
          <w:rFonts w:ascii="Abadi" w:hAnsi="Abadi"/>
          <w:b w:val="0"/>
          <w:bCs w:val="0"/>
          <w:spacing w:val="23"/>
          <w:sz w:val="21"/>
          <w:szCs w:val="21"/>
        </w:rPr>
        <w:t xml:space="preserve"> </w:t>
      </w:r>
      <w:r w:rsidRPr="007C2763">
        <w:rPr>
          <w:rFonts w:ascii="Abadi" w:hAnsi="Abadi"/>
          <w:b w:val="0"/>
          <w:bCs w:val="0"/>
          <w:sz w:val="21"/>
          <w:szCs w:val="21"/>
        </w:rPr>
        <w:t>así</w:t>
      </w:r>
      <w:r w:rsidRPr="007C2763">
        <w:rPr>
          <w:rFonts w:ascii="Abadi" w:hAnsi="Abadi"/>
          <w:b w:val="0"/>
          <w:bCs w:val="0"/>
          <w:spacing w:val="25"/>
          <w:sz w:val="21"/>
          <w:szCs w:val="21"/>
        </w:rPr>
        <w:t xml:space="preserve"> </w:t>
      </w:r>
      <w:r w:rsidRPr="007C2763">
        <w:rPr>
          <w:rFonts w:ascii="Abadi" w:hAnsi="Abadi"/>
          <w:b w:val="0"/>
          <w:bCs w:val="0"/>
          <w:sz w:val="21"/>
          <w:szCs w:val="21"/>
        </w:rPr>
        <w:t>como</w:t>
      </w:r>
      <w:r w:rsidRPr="007C2763">
        <w:rPr>
          <w:rFonts w:ascii="Abadi" w:hAnsi="Abadi"/>
          <w:b w:val="0"/>
          <w:bCs w:val="0"/>
          <w:spacing w:val="25"/>
          <w:sz w:val="21"/>
          <w:szCs w:val="21"/>
        </w:rPr>
        <w:t xml:space="preserve"> </w:t>
      </w:r>
      <w:r w:rsidRPr="007C2763">
        <w:rPr>
          <w:rFonts w:ascii="Abadi" w:hAnsi="Abadi"/>
          <w:b w:val="0"/>
          <w:bCs w:val="0"/>
          <w:sz w:val="21"/>
          <w:szCs w:val="21"/>
        </w:rPr>
        <w:t>con</w:t>
      </w:r>
      <w:r w:rsidRPr="007C2763">
        <w:rPr>
          <w:rFonts w:ascii="Abadi" w:hAnsi="Abadi"/>
          <w:b w:val="0"/>
          <w:bCs w:val="0"/>
          <w:spacing w:val="23"/>
          <w:sz w:val="21"/>
          <w:szCs w:val="21"/>
        </w:rPr>
        <w:t xml:space="preserve"> </w:t>
      </w:r>
      <w:r w:rsidRPr="007C2763">
        <w:rPr>
          <w:rFonts w:ascii="Abadi" w:hAnsi="Abadi"/>
          <w:b w:val="0"/>
          <w:bCs w:val="0"/>
          <w:sz w:val="21"/>
          <w:szCs w:val="21"/>
        </w:rPr>
        <w:t>la</w:t>
      </w:r>
      <w:r w:rsidRPr="007C2763">
        <w:rPr>
          <w:rFonts w:ascii="Abadi" w:hAnsi="Abadi"/>
          <w:b w:val="0"/>
          <w:bCs w:val="0"/>
          <w:spacing w:val="25"/>
          <w:sz w:val="21"/>
          <w:szCs w:val="21"/>
        </w:rPr>
        <w:t xml:space="preserve"> </w:t>
      </w:r>
      <w:r w:rsidRPr="007C2763">
        <w:rPr>
          <w:rFonts w:ascii="Abadi" w:hAnsi="Abadi"/>
          <w:b w:val="0"/>
          <w:bCs w:val="0"/>
          <w:sz w:val="21"/>
          <w:szCs w:val="21"/>
        </w:rPr>
        <w:t>presencia</w:t>
      </w:r>
      <w:r w:rsidRPr="007C2763">
        <w:rPr>
          <w:rFonts w:ascii="Abadi" w:hAnsi="Abadi"/>
          <w:b w:val="0"/>
          <w:bCs w:val="0"/>
          <w:spacing w:val="23"/>
          <w:sz w:val="21"/>
          <w:szCs w:val="21"/>
        </w:rPr>
        <w:t xml:space="preserve"> </w:t>
      </w:r>
      <w:r w:rsidRPr="007C2763">
        <w:rPr>
          <w:rFonts w:ascii="Abadi" w:hAnsi="Abadi"/>
          <w:b w:val="0"/>
          <w:bCs w:val="0"/>
          <w:sz w:val="21"/>
          <w:szCs w:val="21"/>
        </w:rPr>
        <w:t>y participación</w:t>
      </w:r>
      <w:r w:rsidRPr="007C2763">
        <w:rPr>
          <w:rFonts w:ascii="Abadi" w:hAnsi="Abadi"/>
          <w:b w:val="0"/>
          <w:bCs w:val="0"/>
          <w:spacing w:val="68"/>
          <w:sz w:val="21"/>
          <w:szCs w:val="21"/>
        </w:rPr>
        <w:t xml:space="preserve"> </w:t>
      </w:r>
      <w:r w:rsidRPr="007C2763">
        <w:rPr>
          <w:rFonts w:ascii="Abadi" w:hAnsi="Abadi"/>
          <w:b w:val="0"/>
          <w:bCs w:val="0"/>
          <w:sz w:val="21"/>
          <w:szCs w:val="21"/>
        </w:rPr>
        <w:t>del</w:t>
      </w:r>
      <w:r w:rsidRPr="007C2763">
        <w:rPr>
          <w:rFonts w:ascii="Abadi" w:hAnsi="Abadi"/>
          <w:b w:val="0"/>
          <w:bCs w:val="0"/>
          <w:spacing w:val="65"/>
          <w:sz w:val="21"/>
          <w:szCs w:val="21"/>
        </w:rPr>
        <w:t xml:space="preserve"> </w:t>
      </w:r>
      <w:r w:rsidRPr="007C2763">
        <w:rPr>
          <w:rFonts w:ascii="Abadi" w:hAnsi="Abadi"/>
          <w:b w:val="0"/>
          <w:bCs w:val="0"/>
          <w:sz w:val="21"/>
          <w:szCs w:val="21"/>
        </w:rPr>
        <w:t>personal</w:t>
      </w:r>
      <w:r w:rsidRPr="007C2763">
        <w:rPr>
          <w:rFonts w:ascii="Abadi" w:hAnsi="Abadi"/>
          <w:b w:val="0"/>
          <w:bCs w:val="0"/>
          <w:spacing w:val="65"/>
          <w:sz w:val="21"/>
          <w:szCs w:val="21"/>
        </w:rPr>
        <w:t xml:space="preserve"> </w:t>
      </w:r>
      <w:r w:rsidRPr="007C2763">
        <w:rPr>
          <w:rFonts w:ascii="Abadi" w:hAnsi="Abadi"/>
          <w:b w:val="0"/>
          <w:bCs w:val="0"/>
          <w:sz w:val="21"/>
          <w:szCs w:val="21"/>
        </w:rPr>
        <w:t>del</w:t>
      </w:r>
      <w:r w:rsidRPr="007C2763">
        <w:rPr>
          <w:rFonts w:ascii="Abadi" w:hAnsi="Abadi"/>
          <w:b w:val="0"/>
          <w:bCs w:val="0"/>
          <w:spacing w:val="65"/>
          <w:sz w:val="21"/>
          <w:szCs w:val="21"/>
        </w:rPr>
        <w:t xml:space="preserve"> </w:t>
      </w:r>
      <w:r w:rsidRPr="007C2763">
        <w:rPr>
          <w:rFonts w:ascii="Abadi" w:hAnsi="Abadi"/>
          <w:b w:val="0"/>
          <w:bCs w:val="0"/>
          <w:sz w:val="21"/>
          <w:szCs w:val="21"/>
        </w:rPr>
        <w:t>Instituto</w:t>
      </w:r>
      <w:r w:rsidRPr="007C2763">
        <w:rPr>
          <w:rFonts w:ascii="Abadi" w:hAnsi="Abadi"/>
          <w:b w:val="0"/>
          <w:bCs w:val="0"/>
          <w:spacing w:val="64"/>
          <w:sz w:val="21"/>
          <w:szCs w:val="21"/>
        </w:rPr>
        <w:t xml:space="preserve"> </w:t>
      </w:r>
      <w:r w:rsidRPr="007C2763">
        <w:rPr>
          <w:rFonts w:ascii="Abadi" w:hAnsi="Abadi"/>
          <w:b w:val="0"/>
          <w:bCs w:val="0"/>
          <w:sz w:val="21"/>
          <w:szCs w:val="21"/>
        </w:rPr>
        <w:t>de</w:t>
      </w:r>
      <w:r w:rsidRPr="007C2763">
        <w:rPr>
          <w:rFonts w:ascii="Abadi" w:hAnsi="Abadi"/>
          <w:b w:val="0"/>
          <w:bCs w:val="0"/>
          <w:spacing w:val="67"/>
          <w:sz w:val="21"/>
          <w:szCs w:val="21"/>
        </w:rPr>
        <w:t xml:space="preserve"> </w:t>
      </w:r>
      <w:r w:rsidRPr="007C2763">
        <w:rPr>
          <w:rFonts w:ascii="Abadi" w:hAnsi="Abadi"/>
          <w:b w:val="0"/>
          <w:bCs w:val="0"/>
          <w:sz w:val="21"/>
          <w:szCs w:val="21"/>
        </w:rPr>
        <w:t>Investigaciones</w:t>
      </w:r>
      <w:r w:rsidRPr="007C2763">
        <w:rPr>
          <w:rFonts w:ascii="Abadi" w:hAnsi="Abadi"/>
          <w:b w:val="0"/>
          <w:bCs w:val="0"/>
          <w:spacing w:val="63"/>
          <w:sz w:val="21"/>
          <w:szCs w:val="21"/>
        </w:rPr>
        <w:t xml:space="preserve"> </w:t>
      </w:r>
      <w:r w:rsidRPr="007C2763">
        <w:rPr>
          <w:rFonts w:ascii="Abadi" w:hAnsi="Abadi"/>
          <w:b w:val="0"/>
          <w:bCs w:val="0"/>
          <w:sz w:val="21"/>
          <w:szCs w:val="21"/>
        </w:rPr>
        <w:t>Legislativas</w:t>
      </w:r>
      <w:r w:rsidRPr="007C2763">
        <w:rPr>
          <w:rFonts w:ascii="Abadi" w:hAnsi="Abadi"/>
          <w:b w:val="0"/>
          <w:bCs w:val="0"/>
          <w:spacing w:val="66"/>
          <w:sz w:val="21"/>
          <w:szCs w:val="21"/>
        </w:rPr>
        <w:t xml:space="preserve"> </w:t>
      </w:r>
      <w:r w:rsidRPr="007C2763">
        <w:rPr>
          <w:rFonts w:ascii="Abadi" w:hAnsi="Abadi"/>
          <w:b w:val="0"/>
          <w:bCs w:val="0"/>
          <w:sz w:val="21"/>
          <w:szCs w:val="21"/>
        </w:rPr>
        <w:t>del Congreso</w:t>
      </w:r>
      <w:r w:rsidRPr="007C2763">
        <w:rPr>
          <w:rFonts w:ascii="Abadi" w:hAnsi="Abadi"/>
          <w:b w:val="0"/>
          <w:bCs w:val="0"/>
          <w:spacing w:val="-1"/>
          <w:sz w:val="21"/>
          <w:szCs w:val="21"/>
        </w:rPr>
        <w:t xml:space="preserve"> </w:t>
      </w:r>
      <w:r w:rsidRPr="007C2763">
        <w:rPr>
          <w:rFonts w:ascii="Abadi" w:hAnsi="Abadi"/>
          <w:b w:val="0"/>
          <w:bCs w:val="0"/>
          <w:sz w:val="21"/>
          <w:szCs w:val="21"/>
        </w:rPr>
        <w:t>del</w:t>
      </w:r>
      <w:r w:rsidRPr="007C2763">
        <w:rPr>
          <w:rFonts w:ascii="Abadi" w:hAnsi="Abadi"/>
          <w:b w:val="0"/>
          <w:bCs w:val="0"/>
          <w:spacing w:val="-3"/>
          <w:sz w:val="21"/>
          <w:szCs w:val="21"/>
        </w:rPr>
        <w:t xml:space="preserve"> </w:t>
      </w:r>
      <w:r w:rsidRPr="007C2763">
        <w:rPr>
          <w:rFonts w:ascii="Abadi" w:hAnsi="Abadi"/>
          <w:b w:val="0"/>
          <w:bCs w:val="0"/>
          <w:sz w:val="21"/>
          <w:szCs w:val="21"/>
        </w:rPr>
        <w:t>Estado.</w:t>
      </w:r>
    </w:p>
    <w:p w14:paraId="54BC54D9" w14:textId="77777777" w:rsidR="00374A1E" w:rsidRPr="007C2763" w:rsidRDefault="00374A1E" w:rsidP="00374A1E">
      <w:pPr>
        <w:pStyle w:val="Textoindependiente"/>
        <w:kinsoku w:val="0"/>
        <w:overflowPunct w:val="0"/>
        <w:rPr>
          <w:rFonts w:ascii="Abadi" w:hAnsi="Abadi"/>
          <w:b w:val="0"/>
          <w:bCs w:val="0"/>
          <w:sz w:val="21"/>
          <w:szCs w:val="21"/>
        </w:rPr>
      </w:pPr>
    </w:p>
    <w:p w14:paraId="580FFB52" w14:textId="77777777" w:rsidR="00374A1E" w:rsidRPr="007C2763" w:rsidRDefault="00374A1E" w:rsidP="00374A1E">
      <w:pPr>
        <w:pStyle w:val="Textoindependiente"/>
        <w:kinsoku w:val="0"/>
        <w:overflowPunct w:val="0"/>
        <w:ind w:left="40" w:right="117" w:firstLine="708"/>
        <w:rPr>
          <w:rFonts w:ascii="Abadi" w:hAnsi="Abadi"/>
          <w:b w:val="0"/>
          <w:bCs w:val="0"/>
          <w:sz w:val="21"/>
          <w:szCs w:val="21"/>
        </w:rPr>
      </w:pPr>
      <w:r w:rsidRPr="007C2763">
        <w:rPr>
          <w:rFonts w:ascii="Abadi" w:hAnsi="Abadi"/>
          <w:b w:val="0"/>
          <w:bCs w:val="0"/>
          <w:sz w:val="21"/>
          <w:szCs w:val="21"/>
        </w:rPr>
        <w:t>Las</w:t>
      </w:r>
      <w:r w:rsidRPr="007C2763">
        <w:rPr>
          <w:rFonts w:ascii="Abadi" w:hAnsi="Abadi"/>
          <w:b w:val="0"/>
          <w:bCs w:val="0"/>
          <w:spacing w:val="43"/>
          <w:sz w:val="21"/>
          <w:szCs w:val="21"/>
        </w:rPr>
        <w:t xml:space="preserve"> </w:t>
      </w:r>
      <w:r w:rsidRPr="007C2763">
        <w:rPr>
          <w:rFonts w:ascii="Abadi" w:hAnsi="Abadi"/>
          <w:b w:val="0"/>
          <w:bCs w:val="0"/>
          <w:sz w:val="21"/>
          <w:szCs w:val="21"/>
        </w:rPr>
        <w:t>opiniones</w:t>
      </w:r>
      <w:r w:rsidRPr="007C2763">
        <w:rPr>
          <w:rFonts w:ascii="Abadi" w:hAnsi="Abadi"/>
          <w:b w:val="0"/>
          <w:bCs w:val="0"/>
          <w:spacing w:val="42"/>
          <w:sz w:val="21"/>
          <w:szCs w:val="21"/>
        </w:rPr>
        <w:t xml:space="preserve"> </w:t>
      </w:r>
      <w:r w:rsidRPr="007C2763">
        <w:rPr>
          <w:rFonts w:ascii="Abadi" w:hAnsi="Abadi"/>
          <w:b w:val="0"/>
          <w:bCs w:val="0"/>
          <w:sz w:val="21"/>
          <w:szCs w:val="21"/>
        </w:rPr>
        <w:t>del</w:t>
      </w:r>
      <w:r w:rsidRPr="007C2763">
        <w:rPr>
          <w:rFonts w:ascii="Abadi" w:hAnsi="Abadi"/>
          <w:b w:val="0"/>
          <w:bCs w:val="0"/>
          <w:spacing w:val="42"/>
          <w:sz w:val="21"/>
          <w:szCs w:val="21"/>
        </w:rPr>
        <w:t xml:space="preserve"> </w:t>
      </w:r>
      <w:r w:rsidRPr="007C2763">
        <w:rPr>
          <w:rFonts w:ascii="Abadi" w:hAnsi="Abadi"/>
          <w:b w:val="0"/>
          <w:bCs w:val="0"/>
          <w:sz w:val="21"/>
          <w:szCs w:val="21"/>
        </w:rPr>
        <w:t>H.</w:t>
      </w:r>
      <w:r w:rsidRPr="007C2763">
        <w:rPr>
          <w:rFonts w:ascii="Abadi" w:hAnsi="Abadi"/>
          <w:b w:val="0"/>
          <w:bCs w:val="0"/>
          <w:spacing w:val="45"/>
          <w:sz w:val="21"/>
          <w:szCs w:val="21"/>
        </w:rPr>
        <w:t xml:space="preserve"> </w:t>
      </w:r>
      <w:r w:rsidRPr="007C2763">
        <w:rPr>
          <w:rFonts w:ascii="Abadi" w:hAnsi="Abadi"/>
          <w:b w:val="0"/>
          <w:bCs w:val="0"/>
          <w:sz w:val="21"/>
          <w:szCs w:val="21"/>
        </w:rPr>
        <w:t>Ayuntamiento</w:t>
      </w:r>
      <w:r w:rsidRPr="007C2763">
        <w:rPr>
          <w:rFonts w:ascii="Abadi" w:hAnsi="Abadi"/>
          <w:b w:val="0"/>
          <w:bCs w:val="0"/>
          <w:spacing w:val="41"/>
          <w:sz w:val="21"/>
          <w:szCs w:val="21"/>
        </w:rPr>
        <w:t xml:space="preserve"> </w:t>
      </w:r>
      <w:r w:rsidRPr="007C2763">
        <w:rPr>
          <w:rFonts w:ascii="Abadi" w:hAnsi="Abadi"/>
          <w:b w:val="0"/>
          <w:bCs w:val="0"/>
          <w:sz w:val="21"/>
          <w:szCs w:val="21"/>
        </w:rPr>
        <w:t>de</w:t>
      </w:r>
      <w:r w:rsidRPr="007C2763">
        <w:rPr>
          <w:rFonts w:ascii="Abadi" w:hAnsi="Abadi"/>
          <w:b w:val="0"/>
          <w:bCs w:val="0"/>
          <w:spacing w:val="45"/>
          <w:sz w:val="21"/>
          <w:szCs w:val="21"/>
        </w:rPr>
        <w:t xml:space="preserve"> </w:t>
      </w:r>
      <w:r w:rsidRPr="007C2763">
        <w:rPr>
          <w:rFonts w:ascii="Abadi" w:hAnsi="Abadi"/>
          <w:b w:val="0"/>
          <w:bCs w:val="0"/>
          <w:sz w:val="21"/>
          <w:szCs w:val="21"/>
        </w:rPr>
        <w:t>Doctor</w:t>
      </w:r>
      <w:r w:rsidRPr="007C2763">
        <w:rPr>
          <w:rFonts w:ascii="Abadi" w:hAnsi="Abadi"/>
          <w:b w:val="0"/>
          <w:bCs w:val="0"/>
          <w:spacing w:val="44"/>
          <w:sz w:val="21"/>
          <w:szCs w:val="21"/>
        </w:rPr>
        <w:t xml:space="preserve"> </w:t>
      </w:r>
      <w:r w:rsidRPr="007C2763">
        <w:rPr>
          <w:rFonts w:ascii="Abadi" w:hAnsi="Abadi"/>
          <w:b w:val="0"/>
          <w:bCs w:val="0"/>
          <w:sz w:val="21"/>
          <w:szCs w:val="21"/>
        </w:rPr>
        <w:t>Mora,</w:t>
      </w:r>
      <w:r w:rsidRPr="007C2763">
        <w:rPr>
          <w:rFonts w:ascii="Abadi" w:hAnsi="Abadi"/>
          <w:b w:val="0"/>
          <w:bCs w:val="0"/>
          <w:spacing w:val="43"/>
          <w:sz w:val="21"/>
          <w:szCs w:val="21"/>
        </w:rPr>
        <w:t xml:space="preserve"> </w:t>
      </w:r>
      <w:r w:rsidRPr="007C2763">
        <w:rPr>
          <w:rFonts w:ascii="Abadi" w:hAnsi="Abadi"/>
          <w:b w:val="0"/>
          <w:bCs w:val="0"/>
          <w:sz w:val="21"/>
          <w:szCs w:val="21"/>
        </w:rPr>
        <w:t>las</w:t>
      </w:r>
      <w:r w:rsidRPr="007C2763">
        <w:rPr>
          <w:rFonts w:ascii="Abadi" w:hAnsi="Abadi"/>
          <w:b w:val="0"/>
          <w:bCs w:val="0"/>
          <w:spacing w:val="45"/>
          <w:sz w:val="21"/>
          <w:szCs w:val="21"/>
        </w:rPr>
        <w:t xml:space="preserve"> </w:t>
      </w:r>
      <w:r w:rsidRPr="007C2763">
        <w:rPr>
          <w:rFonts w:ascii="Abadi" w:hAnsi="Abadi"/>
          <w:b w:val="0"/>
          <w:bCs w:val="0"/>
          <w:sz w:val="21"/>
          <w:szCs w:val="21"/>
        </w:rPr>
        <w:t>áreas administrativas</w:t>
      </w:r>
      <w:r w:rsidRPr="007C2763">
        <w:rPr>
          <w:rFonts w:ascii="Abadi" w:hAnsi="Abadi"/>
          <w:b w:val="0"/>
          <w:bCs w:val="0"/>
          <w:spacing w:val="29"/>
          <w:sz w:val="21"/>
          <w:szCs w:val="21"/>
        </w:rPr>
        <w:t xml:space="preserve"> </w:t>
      </w:r>
      <w:r w:rsidRPr="007C2763">
        <w:rPr>
          <w:rFonts w:ascii="Abadi" w:hAnsi="Abadi"/>
          <w:b w:val="0"/>
          <w:bCs w:val="0"/>
          <w:sz w:val="21"/>
          <w:szCs w:val="21"/>
        </w:rPr>
        <w:t>y</w:t>
      </w:r>
      <w:r w:rsidRPr="007C2763">
        <w:rPr>
          <w:rFonts w:ascii="Abadi" w:hAnsi="Abadi"/>
          <w:b w:val="0"/>
          <w:bCs w:val="0"/>
          <w:spacing w:val="25"/>
          <w:sz w:val="21"/>
          <w:szCs w:val="21"/>
        </w:rPr>
        <w:t xml:space="preserve"> </w:t>
      </w:r>
      <w:r w:rsidRPr="007C2763">
        <w:rPr>
          <w:rFonts w:ascii="Abadi" w:hAnsi="Abadi"/>
          <w:b w:val="0"/>
          <w:bCs w:val="0"/>
          <w:sz w:val="21"/>
          <w:szCs w:val="21"/>
        </w:rPr>
        <w:t>organismos</w:t>
      </w:r>
      <w:r w:rsidRPr="007C2763">
        <w:rPr>
          <w:rFonts w:ascii="Abadi" w:hAnsi="Abadi"/>
          <w:b w:val="0"/>
          <w:bCs w:val="0"/>
          <w:spacing w:val="27"/>
          <w:sz w:val="21"/>
          <w:szCs w:val="21"/>
        </w:rPr>
        <w:t xml:space="preserve"> </w:t>
      </w:r>
      <w:r w:rsidRPr="007C2763">
        <w:rPr>
          <w:rFonts w:ascii="Abadi" w:hAnsi="Abadi"/>
          <w:b w:val="0"/>
          <w:bCs w:val="0"/>
          <w:sz w:val="21"/>
          <w:szCs w:val="21"/>
        </w:rPr>
        <w:t>mencionados</w:t>
      </w:r>
      <w:r w:rsidRPr="007C2763">
        <w:rPr>
          <w:rFonts w:ascii="Abadi" w:hAnsi="Abadi"/>
          <w:b w:val="0"/>
          <w:bCs w:val="0"/>
          <w:spacing w:val="26"/>
          <w:sz w:val="21"/>
          <w:szCs w:val="21"/>
        </w:rPr>
        <w:t xml:space="preserve"> </w:t>
      </w:r>
      <w:r w:rsidRPr="007C2763">
        <w:rPr>
          <w:rFonts w:ascii="Abadi" w:hAnsi="Abadi"/>
          <w:b w:val="0"/>
          <w:bCs w:val="0"/>
          <w:sz w:val="21"/>
          <w:szCs w:val="21"/>
        </w:rPr>
        <w:t>en</w:t>
      </w:r>
      <w:r w:rsidRPr="007C2763">
        <w:rPr>
          <w:rFonts w:ascii="Abadi" w:hAnsi="Abadi"/>
          <w:b w:val="0"/>
          <w:bCs w:val="0"/>
          <w:spacing w:val="30"/>
          <w:sz w:val="21"/>
          <w:szCs w:val="21"/>
        </w:rPr>
        <w:t xml:space="preserve"> </w:t>
      </w:r>
      <w:r w:rsidRPr="007C2763">
        <w:rPr>
          <w:rFonts w:ascii="Abadi" w:hAnsi="Abadi"/>
          <w:b w:val="0"/>
          <w:bCs w:val="0"/>
          <w:sz w:val="21"/>
          <w:szCs w:val="21"/>
        </w:rPr>
        <w:t>supra</w:t>
      </w:r>
      <w:r w:rsidRPr="007C2763">
        <w:rPr>
          <w:rFonts w:ascii="Abadi" w:hAnsi="Abadi"/>
          <w:b w:val="0"/>
          <w:bCs w:val="0"/>
          <w:spacing w:val="30"/>
          <w:sz w:val="21"/>
          <w:szCs w:val="21"/>
        </w:rPr>
        <w:t xml:space="preserve"> </w:t>
      </w:r>
      <w:r w:rsidRPr="007C2763">
        <w:rPr>
          <w:rFonts w:ascii="Abadi" w:hAnsi="Abadi"/>
          <w:b w:val="0"/>
          <w:bCs w:val="0"/>
          <w:sz w:val="21"/>
          <w:szCs w:val="21"/>
        </w:rPr>
        <w:t>líneas,</w:t>
      </w:r>
      <w:r w:rsidRPr="007C2763">
        <w:rPr>
          <w:rFonts w:ascii="Abadi" w:hAnsi="Abadi"/>
          <w:b w:val="0"/>
          <w:bCs w:val="0"/>
          <w:spacing w:val="29"/>
          <w:sz w:val="21"/>
          <w:szCs w:val="21"/>
        </w:rPr>
        <w:t xml:space="preserve"> </w:t>
      </w:r>
      <w:r w:rsidRPr="007C2763">
        <w:rPr>
          <w:rFonts w:ascii="Abadi" w:hAnsi="Abadi"/>
          <w:b w:val="0"/>
          <w:bCs w:val="0"/>
          <w:sz w:val="21"/>
          <w:szCs w:val="21"/>
        </w:rPr>
        <w:t>fueron</w:t>
      </w:r>
      <w:r w:rsidRPr="007C2763">
        <w:rPr>
          <w:rFonts w:ascii="Abadi" w:hAnsi="Abadi"/>
          <w:b w:val="0"/>
          <w:bCs w:val="0"/>
          <w:spacing w:val="30"/>
          <w:sz w:val="21"/>
          <w:szCs w:val="21"/>
        </w:rPr>
        <w:t xml:space="preserve"> </w:t>
      </w:r>
      <w:r w:rsidRPr="007C2763">
        <w:rPr>
          <w:rFonts w:ascii="Abadi" w:hAnsi="Abadi"/>
          <w:b w:val="0"/>
          <w:bCs w:val="0"/>
          <w:sz w:val="21"/>
          <w:szCs w:val="21"/>
        </w:rPr>
        <w:t>consideradas en</w:t>
      </w:r>
      <w:r w:rsidRPr="007C2763">
        <w:rPr>
          <w:rFonts w:ascii="Abadi" w:hAnsi="Abadi"/>
          <w:b w:val="0"/>
          <w:bCs w:val="0"/>
          <w:spacing w:val="1"/>
          <w:sz w:val="21"/>
          <w:szCs w:val="21"/>
        </w:rPr>
        <w:t xml:space="preserve"> </w:t>
      </w:r>
      <w:r w:rsidRPr="007C2763">
        <w:rPr>
          <w:rFonts w:ascii="Abadi" w:hAnsi="Abadi"/>
          <w:b w:val="0"/>
          <w:bCs w:val="0"/>
          <w:sz w:val="21"/>
          <w:szCs w:val="21"/>
        </w:rPr>
        <w:t>el</w:t>
      </w:r>
      <w:r w:rsidRPr="007C2763">
        <w:rPr>
          <w:rFonts w:ascii="Abadi" w:hAnsi="Abadi"/>
          <w:b w:val="0"/>
          <w:bCs w:val="0"/>
          <w:spacing w:val="-3"/>
          <w:sz w:val="21"/>
          <w:szCs w:val="21"/>
        </w:rPr>
        <w:t xml:space="preserve"> </w:t>
      </w:r>
      <w:r w:rsidRPr="007C2763">
        <w:rPr>
          <w:rFonts w:ascii="Abadi" w:hAnsi="Abadi"/>
          <w:b w:val="0"/>
          <w:bCs w:val="0"/>
          <w:sz w:val="21"/>
          <w:szCs w:val="21"/>
        </w:rPr>
        <w:t>análisis de</w:t>
      </w:r>
      <w:r w:rsidRPr="007C2763">
        <w:rPr>
          <w:rFonts w:ascii="Abadi" w:hAnsi="Abadi"/>
          <w:b w:val="0"/>
          <w:bCs w:val="0"/>
          <w:spacing w:val="1"/>
          <w:sz w:val="21"/>
          <w:szCs w:val="21"/>
        </w:rPr>
        <w:t xml:space="preserve"> </w:t>
      </w:r>
      <w:r w:rsidRPr="007C2763">
        <w:rPr>
          <w:rFonts w:ascii="Abadi" w:hAnsi="Abadi"/>
          <w:b w:val="0"/>
          <w:bCs w:val="0"/>
          <w:sz w:val="21"/>
          <w:szCs w:val="21"/>
        </w:rPr>
        <w:t>la</w:t>
      </w:r>
      <w:r w:rsidRPr="007C2763">
        <w:rPr>
          <w:rFonts w:ascii="Abadi" w:hAnsi="Abadi"/>
          <w:b w:val="0"/>
          <w:bCs w:val="0"/>
          <w:spacing w:val="1"/>
          <w:sz w:val="21"/>
          <w:szCs w:val="21"/>
        </w:rPr>
        <w:t xml:space="preserve"> </w:t>
      </w:r>
      <w:r w:rsidRPr="007C2763">
        <w:rPr>
          <w:rFonts w:ascii="Abadi" w:hAnsi="Abadi"/>
          <w:b w:val="0"/>
          <w:bCs w:val="0"/>
          <w:sz w:val="21"/>
          <w:szCs w:val="21"/>
        </w:rPr>
        <w:t>iniciativa.</w:t>
      </w:r>
    </w:p>
    <w:p w14:paraId="7829679B" w14:textId="77777777" w:rsidR="00374A1E" w:rsidRPr="007C2763" w:rsidRDefault="00374A1E" w:rsidP="00374A1E">
      <w:pPr>
        <w:pStyle w:val="Textoindependiente"/>
        <w:kinsoku w:val="0"/>
        <w:overflowPunct w:val="0"/>
        <w:rPr>
          <w:rFonts w:ascii="Abadi" w:hAnsi="Abadi"/>
          <w:b w:val="0"/>
          <w:bCs w:val="0"/>
          <w:sz w:val="21"/>
          <w:szCs w:val="21"/>
        </w:rPr>
      </w:pPr>
    </w:p>
    <w:p w14:paraId="677897F2" w14:textId="77777777" w:rsidR="00374A1E" w:rsidRPr="007C2763" w:rsidRDefault="00374A1E" w:rsidP="00BC6383">
      <w:pPr>
        <w:pStyle w:val="Ttulo1"/>
        <w:kinsoku w:val="0"/>
        <w:overflowPunct w:val="0"/>
        <w:spacing w:before="1"/>
        <w:jc w:val="both"/>
        <w:rPr>
          <w:rFonts w:ascii="Abadi" w:hAnsi="Abadi"/>
          <w:sz w:val="21"/>
          <w:szCs w:val="21"/>
        </w:rPr>
      </w:pPr>
      <w:r w:rsidRPr="007C2763">
        <w:rPr>
          <w:rFonts w:ascii="Abadi" w:hAnsi="Abadi"/>
          <w:sz w:val="21"/>
          <w:szCs w:val="21"/>
        </w:rPr>
        <w:t>Ayuntamiento de</w:t>
      </w:r>
      <w:r w:rsidRPr="007C2763">
        <w:rPr>
          <w:rFonts w:ascii="Abadi" w:hAnsi="Abadi"/>
          <w:spacing w:val="1"/>
          <w:sz w:val="21"/>
          <w:szCs w:val="21"/>
        </w:rPr>
        <w:t xml:space="preserve"> </w:t>
      </w:r>
      <w:r w:rsidRPr="007C2763">
        <w:rPr>
          <w:rFonts w:ascii="Abadi" w:hAnsi="Abadi"/>
          <w:sz w:val="21"/>
          <w:szCs w:val="21"/>
        </w:rPr>
        <w:t>Doctor Mora</w:t>
      </w:r>
    </w:p>
    <w:p w14:paraId="186A1BD2" w14:textId="77777777" w:rsidR="00374A1E" w:rsidRPr="007C2763" w:rsidRDefault="00374A1E" w:rsidP="00BC6383">
      <w:pPr>
        <w:pStyle w:val="Textoindependiente"/>
        <w:kinsoku w:val="0"/>
        <w:overflowPunct w:val="0"/>
        <w:spacing w:before="11"/>
        <w:rPr>
          <w:rFonts w:ascii="Abadi" w:hAnsi="Abadi"/>
          <w:b w:val="0"/>
          <w:bCs w:val="0"/>
          <w:sz w:val="21"/>
          <w:szCs w:val="21"/>
        </w:rPr>
      </w:pPr>
    </w:p>
    <w:p w14:paraId="3367EE3E" w14:textId="57C43446" w:rsidR="00374A1E" w:rsidRDefault="00374A1E" w:rsidP="00991CA8">
      <w:pPr>
        <w:pStyle w:val="Textoindependiente"/>
        <w:kinsoku w:val="0"/>
        <w:overflowPunct w:val="0"/>
        <w:ind w:left="39" w:firstLine="669"/>
        <w:rPr>
          <w:rFonts w:ascii="Abadi" w:hAnsi="Abadi"/>
          <w:b w:val="0"/>
          <w:bCs w:val="0"/>
          <w:sz w:val="21"/>
          <w:szCs w:val="21"/>
        </w:rPr>
      </w:pPr>
      <w:r w:rsidRPr="007C2763">
        <w:rPr>
          <w:rFonts w:ascii="Abadi" w:hAnsi="Abadi"/>
          <w:b w:val="0"/>
          <w:bCs w:val="0"/>
          <w:sz w:val="21"/>
          <w:szCs w:val="21"/>
        </w:rPr>
        <w:t>&lt;&lt;Si</w:t>
      </w:r>
      <w:r w:rsidRPr="007C2763">
        <w:rPr>
          <w:rFonts w:ascii="Abadi" w:hAnsi="Abadi"/>
          <w:b w:val="0"/>
          <w:bCs w:val="0"/>
          <w:spacing w:val="54"/>
          <w:sz w:val="21"/>
          <w:szCs w:val="21"/>
        </w:rPr>
        <w:t xml:space="preserve"> </w:t>
      </w:r>
      <w:r w:rsidRPr="007C2763">
        <w:rPr>
          <w:rFonts w:ascii="Abadi" w:hAnsi="Abadi"/>
          <w:b w:val="0"/>
          <w:bCs w:val="0"/>
          <w:sz w:val="21"/>
          <w:szCs w:val="21"/>
        </w:rPr>
        <w:t>bien,</w:t>
      </w:r>
      <w:r w:rsidRPr="007C2763">
        <w:rPr>
          <w:rFonts w:ascii="Abadi" w:hAnsi="Abadi"/>
          <w:b w:val="0"/>
          <w:bCs w:val="0"/>
          <w:spacing w:val="52"/>
          <w:sz w:val="21"/>
          <w:szCs w:val="21"/>
        </w:rPr>
        <w:t xml:space="preserve"> </w:t>
      </w:r>
      <w:r w:rsidRPr="007C2763">
        <w:rPr>
          <w:rFonts w:ascii="Abadi" w:hAnsi="Abadi"/>
          <w:b w:val="0"/>
          <w:bCs w:val="0"/>
          <w:sz w:val="21"/>
          <w:szCs w:val="21"/>
        </w:rPr>
        <w:t>la</w:t>
      </w:r>
      <w:r w:rsidRPr="007C2763">
        <w:rPr>
          <w:rFonts w:ascii="Abadi" w:hAnsi="Abadi"/>
          <w:b w:val="0"/>
          <w:bCs w:val="0"/>
          <w:spacing w:val="52"/>
          <w:sz w:val="21"/>
          <w:szCs w:val="21"/>
        </w:rPr>
        <w:t xml:space="preserve"> </w:t>
      </w:r>
      <w:r w:rsidRPr="007C2763">
        <w:rPr>
          <w:rFonts w:ascii="Abadi" w:hAnsi="Abadi"/>
          <w:b w:val="0"/>
          <w:bCs w:val="0"/>
          <w:sz w:val="21"/>
          <w:szCs w:val="21"/>
        </w:rPr>
        <w:t>presente</w:t>
      </w:r>
      <w:r w:rsidRPr="007C2763">
        <w:rPr>
          <w:rFonts w:ascii="Abadi" w:hAnsi="Abadi"/>
          <w:b w:val="0"/>
          <w:bCs w:val="0"/>
          <w:spacing w:val="52"/>
          <w:sz w:val="21"/>
          <w:szCs w:val="21"/>
        </w:rPr>
        <w:t xml:space="preserve"> </w:t>
      </w:r>
      <w:r w:rsidRPr="007C2763">
        <w:rPr>
          <w:rFonts w:ascii="Abadi" w:hAnsi="Abadi"/>
          <w:b w:val="0"/>
          <w:bCs w:val="0"/>
          <w:sz w:val="21"/>
          <w:szCs w:val="21"/>
        </w:rPr>
        <w:t>iniciativa,</w:t>
      </w:r>
      <w:r w:rsidRPr="007C2763">
        <w:rPr>
          <w:rFonts w:ascii="Abadi" w:hAnsi="Abadi"/>
          <w:b w:val="0"/>
          <w:bCs w:val="0"/>
          <w:spacing w:val="52"/>
          <w:sz w:val="21"/>
          <w:szCs w:val="21"/>
        </w:rPr>
        <w:t xml:space="preserve"> </w:t>
      </w:r>
      <w:r w:rsidRPr="007C2763">
        <w:rPr>
          <w:rFonts w:ascii="Abadi" w:hAnsi="Abadi"/>
          <w:b w:val="0"/>
          <w:bCs w:val="0"/>
          <w:sz w:val="21"/>
          <w:szCs w:val="21"/>
        </w:rPr>
        <w:t>así</w:t>
      </w:r>
      <w:r w:rsidRPr="007C2763">
        <w:rPr>
          <w:rFonts w:ascii="Abadi" w:hAnsi="Abadi"/>
          <w:b w:val="0"/>
          <w:bCs w:val="0"/>
          <w:spacing w:val="52"/>
          <w:sz w:val="21"/>
          <w:szCs w:val="21"/>
        </w:rPr>
        <w:t xml:space="preserve"> </w:t>
      </w:r>
      <w:r w:rsidRPr="007C2763">
        <w:rPr>
          <w:rFonts w:ascii="Abadi" w:hAnsi="Abadi"/>
          <w:b w:val="0"/>
          <w:bCs w:val="0"/>
          <w:sz w:val="21"/>
          <w:szCs w:val="21"/>
        </w:rPr>
        <w:t>como</w:t>
      </w:r>
      <w:r w:rsidRPr="007C2763">
        <w:rPr>
          <w:rFonts w:ascii="Abadi" w:hAnsi="Abadi"/>
          <w:b w:val="0"/>
          <w:bCs w:val="0"/>
          <w:spacing w:val="52"/>
          <w:sz w:val="21"/>
          <w:szCs w:val="21"/>
        </w:rPr>
        <w:t xml:space="preserve"> </w:t>
      </w:r>
      <w:r w:rsidRPr="007C2763">
        <w:rPr>
          <w:rFonts w:ascii="Abadi" w:hAnsi="Abadi"/>
          <w:b w:val="0"/>
          <w:bCs w:val="0"/>
          <w:sz w:val="21"/>
          <w:szCs w:val="21"/>
        </w:rPr>
        <w:t>su</w:t>
      </w:r>
      <w:r w:rsidRPr="007C2763">
        <w:rPr>
          <w:rFonts w:ascii="Abadi" w:hAnsi="Abadi"/>
          <w:b w:val="0"/>
          <w:bCs w:val="0"/>
          <w:spacing w:val="52"/>
          <w:sz w:val="21"/>
          <w:szCs w:val="21"/>
        </w:rPr>
        <w:t xml:space="preserve"> </w:t>
      </w:r>
      <w:r w:rsidRPr="007C2763">
        <w:rPr>
          <w:rFonts w:ascii="Abadi" w:hAnsi="Abadi"/>
          <w:b w:val="0"/>
          <w:bCs w:val="0"/>
          <w:sz w:val="21"/>
          <w:szCs w:val="21"/>
        </w:rPr>
        <w:t>proyecto</w:t>
      </w:r>
      <w:r w:rsidRPr="007C2763">
        <w:rPr>
          <w:rFonts w:ascii="Abadi" w:hAnsi="Abadi"/>
          <w:b w:val="0"/>
          <w:bCs w:val="0"/>
          <w:spacing w:val="52"/>
          <w:sz w:val="21"/>
          <w:szCs w:val="21"/>
        </w:rPr>
        <w:t xml:space="preserve"> </w:t>
      </w:r>
      <w:r w:rsidRPr="007C2763">
        <w:rPr>
          <w:rFonts w:ascii="Abadi" w:hAnsi="Abadi"/>
          <w:b w:val="0"/>
          <w:bCs w:val="0"/>
          <w:sz w:val="21"/>
          <w:szCs w:val="21"/>
        </w:rPr>
        <w:t>de</w:t>
      </w:r>
      <w:r w:rsidRPr="007C2763">
        <w:rPr>
          <w:rFonts w:ascii="Abadi" w:hAnsi="Abadi"/>
          <w:b w:val="0"/>
          <w:bCs w:val="0"/>
          <w:spacing w:val="52"/>
          <w:sz w:val="21"/>
          <w:szCs w:val="21"/>
        </w:rPr>
        <w:t xml:space="preserve"> </w:t>
      </w:r>
      <w:r w:rsidRPr="007C2763">
        <w:rPr>
          <w:rFonts w:ascii="Abadi" w:hAnsi="Abadi"/>
          <w:b w:val="0"/>
          <w:bCs w:val="0"/>
          <w:sz w:val="21"/>
          <w:szCs w:val="21"/>
        </w:rPr>
        <w:t>decreto</w:t>
      </w:r>
      <w:r w:rsidRPr="007C2763">
        <w:rPr>
          <w:rFonts w:ascii="Abadi" w:hAnsi="Abadi"/>
          <w:b w:val="0"/>
          <w:bCs w:val="0"/>
          <w:spacing w:val="-1"/>
          <w:sz w:val="21"/>
          <w:szCs w:val="21"/>
        </w:rPr>
        <w:t xml:space="preserve"> </w:t>
      </w:r>
      <w:r w:rsidRPr="007C2763">
        <w:rPr>
          <w:rFonts w:ascii="Abadi" w:hAnsi="Abadi"/>
          <w:b w:val="0"/>
          <w:bCs w:val="0"/>
          <w:sz w:val="21"/>
          <w:szCs w:val="21"/>
        </w:rPr>
        <w:t>representan</w:t>
      </w:r>
      <w:r w:rsidRPr="007C2763">
        <w:rPr>
          <w:rFonts w:ascii="Abadi" w:hAnsi="Abadi"/>
          <w:b w:val="0"/>
          <w:bCs w:val="0"/>
          <w:spacing w:val="59"/>
          <w:sz w:val="21"/>
          <w:szCs w:val="21"/>
        </w:rPr>
        <w:t xml:space="preserve"> </w:t>
      </w:r>
      <w:r w:rsidRPr="007C2763">
        <w:rPr>
          <w:rFonts w:ascii="Abadi" w:hAnsi="Abadi"/>
          <w:b w:val="0"/>
          <w:bCs w:val="0"/>
          <w:sz w:val="21"/>
          <w:szCs w:val="21"/>
        </w:rPr>
        <w:t>un</w:t>
      </w:r>
      <w:r w:rsidRPr="007C2763">
        <w:rPr>
          <w:rFonts w:ascii="Abadi" w:hAnsi="Abadi"/>
          <w:b w:val="0"/>
          <w:bCs w:val="0"/>
          <w:spacing w:val="61"/>
          <w:sz w:val="21"/>
          <w:szCs w:val="21"/>
        </w:rPr>
        <w:t xml:space="preserve"> </w:t>
      </w:r>
      <w:r w:rsidRPr="007C2763">
        <w:rPr>
          <w:rFonts w:ascii="Abadi" w:hAnsi="Abadi"/>
          <w:b w:val="0"/>
          <w:bCs w:val="0"/>
          <w:sz w:val="21"/>
          <w:szCs w:val="21"/>
        </w:rPr>
        <w:t>extraordinario</w:t>
      </w:r>
      <w:r w:rsidRPr="007C2763">
        <w:rPr>
          <w:rFonts w:ascii="Abadi" w:hAnsi="Abadi"/>
          <w:b w:val="0"/>
          <w:bCs w:val="0"/>
          <w:spacing w:val="58"/>
          <w:sz w:val="21"/>
          <w:szCs w:val="21"/>
        </w:rPr>
        <w:t xml:space="preserve"> </w:t>
      </w:r>
      <w:r w:rsidRPr="007C2763">
        <w:rPr>
          <w:rFonts w:ascii="Abadi" w:hAnsi="Abadi"/>
          <w:b w:val="0"/>
          <w:bCs w:val="0"/>
          <w:sz w:val="21"/>
          <w:szCs w:val="21"/>
        </w:rPr>
        <w:t>homenaje</w:t>
      </w:r>
      <w:r w:rsidRPr="007C2763">
        <w:rPr>
          <w:rFonts w:ascii="Abadi" w:hAnsi="Abadi"/>
          <w:b w:val="0"/>
          <w:bCs w:val="0"/>
          <w:spacing w:val="59"/>
          <w:sz w:val="21"/>
          <w:szCs w:val="21"/>
        </w:rPr>
        <w:t xml:space="preserve"> </w:t>
      </w:r>
      <w:r w:rsidRPr="007C2763">
        <w:rPr>
          <w:rFonts w:ascii="Abadi" w:hAnsi="Abadi"/>
          <w:b w:val="0"/>
          <w:bCs w:val="0"/>
          <w:sz w:val="21"/>
          <w:szCs w:val="21"/>
        </w:rPr>
        <w:t>a</w:t>
      </w:r>
      <w:r w:rsidRPr="007C2763">
        <w:rPr>
          <w:rFonts w:ascii="Abadi" w:hAnsi="Abadi"/>
          <w:b w:val="0"/>
          <w:bCs w:val="0"/>
          <w:spacing w:val="59"/>
          <w:sz w:val="21"/>
          <w:szCs w:val="21"/>
        </w:rPr>
        <w:t xml:space="preserve"> </w:t>
      </w:r>
      <w:r w:rsidRPr="007C2763">
        <w:rPr>
          <w:rFonts w:ascii="Abadi" w:hAnsi="Abadi"/>
          <w:b w:val="0"/>
          <w:bCs w:val="0"/>
          <w:sz w:val="21"/>
          <w:szCs w:val="21"/>
        </w:rPr>
        <w:t>la</w:t>
      </w:r>
      <w:r w:rsidRPr="007C2763">
        <w:rPr>
          <w:rFonts w:ascii="Abadi" w:hAnsi="Abadi"/>
          <w:b w:val="0"/>
          <w:bCs w:val="0"/>
          <w:spacing w:val="58"/>
          <w:sz w:val="21"/>
          <w:szCs w:val="21"/>
        </w:rPr>
        <w:t xml:space="preserve"> </w:t>
      </w:r>
      <w:r w:rsidRPr="007C2763">
        <w:rPr>
          <w:rFonts w:ascii="Abadi" w:hAnsi="Abadi"/>
          <w:b w:val="0"/>
          <w:bCs w:val="0"/>
          <w:sz w:val="21"/>
          <w:szCs w:val="21"/>
        </w:rPr>
        <w:t>expresión</w:t>
      </w:r>
      <w:r w:rsidRPr="007C2763">
        <w:rPr>
          <w:rFonts w:ascii="Abadi" w:hAnsi="Abadi"/>
          <w:b w:val="0"/>
          <w:bCs w:val="0"/>
          <w:spacing w:val="61"/>
          <w:sz w:val="21"/>
          <w:szCs w:val="21"/>
        </w:rPr>
        <w:t xml:space="preserve"> </w:t>
      </w:r>
      <w:r w:rsidRPr="007C2763">
        <w:rPr>
          <w:rFonts w:ascii="Abadi" w:hAnsi="Abadi"/>
          <w:b w:val="0"/>
          <w:bCs w:val="0"/>
          <w:sz w:val="21"/>
          <w:szCs w:val="21"/>
        </w:rPr>
        <w:t>y</w:t>
      </w:r>
      <w:r w:rsidRPr="007C2763">
        <w:rPr>
          <w:rFonts w:ascii="Abadi" w:hAnsi="Abadi"/>
          <w:b w:val="0"/>
          <w:bCs w:val="0"/>
          <w:spacing w:val="58"/>
          <w:sz w:val="21"/>
          <w:szCs w:val="21"/>
        </w:rPr>
        <w:t xml:space="preserve"> </w:t>
      </w:r>
      <w:r w:rsidRPr="007C2763">
        <w:rPr>
          <w:rFonts w:ascii="Abadi" w:hAnsi="Abadi"/>
          <w:b w:val="0"/>
          <w:bCs w:val="0"/>
          <w:sz w:val="21"/>
          <w:szCs w:val="21"/>
        </w:rPr>
        <w:t>consolidación</w:t>
      </w:r>
      <w:r w:rsidRPr="007C2763">
        <w:rPr>
          <w:rFonts w:ascii="Abadi" w:hAnsi="Abadi"/>
          <w:b w:val="0"/>
          <w:bCs w:val="0"/>
          <w:spacing w:val="58"/>
          <w:sz w:val="21"/>
          <w:szCs w:val="21"/>
        </w:rPr>
        <w:t xml:space="preserve"> </w:t>
      </w:r>
      <w:r w:rsidRPr="007C2763">
        <w:rPr>
          <w:rFonts w:ascii="Abadi" w:hAnsi="Abadi"/>
          <w:b w:val="0"/>
          <w:bCs w:val="0"/>
          <w:sz w:val="21"/>
          <w:szCs w:val="21"/>
        </w:rPr>
        <w:t>de</w:t>
      </w:r>
      <w:r w:rsidRPr="007C2763">
        <w:rPr>
          <w:rFonts w:ascii="Abadi" w:hAnsi="Abadi"/>
          <w:b w:val="0"/>
          <w:bCs w:val="0"/>
          <w:spacing w:val="61"/>
          <w:sz w:val="21"/>
          <w:szCs w:val="21"/>
        </w:rPr>
        <w:t xml:space="preserve"> </w:t>
      </w:r>
      <w:r w:rsidRPr="007C2763">
        <w:rPr>
          <w:rFonts w:ascii="Abadi" w:hAnsi="Abadi"/>
          <w:b w:val="0"/>
          <w:bCs w:val="0"/>
          <w:sz w:val="21"/>
          <w:szCs w:val="21"/>
        </w:rPr>
        <w:t>las ideas,</w:t>
      </w:r>
      <w:r w:rsidRPr="007C2763">
        <w:rPr>
          <w:rFonts w:ascii="Abadi" w:hAnsi="Abadi"/>
          <w:b w:val="0"/>
          <w:bCs w:val="0"/>
          <w:spacing w:val="1"/>
          <w:sz w:val="21"/>
          <w:szCs w:val="21"/>
        </w:rPr>
        <w:t xml:space="preserve"> </w:t>
      </w:r>
      <w:r w:rsidRPr="007C2763">
        <w:rPr>
          <w:rFonts w:ascii="Abadi" w:hAnsi="Abadi"/>
          <w:b w:val="0"/>
          <w:bCs w:val="0"/>
          <w:sz w:val="21"/>
          <w:szCs w:val="21"/>
        </w:rPr>
        <w:t>las que, en</w:t>
      </w:r>
      <w:r w:rsidRPr="007C2763">
        <w:rPr>
          <w:rFonts w:ascii="Abadi" w:hAnsi="Abadi"/>
          <w:b w:val="0"/>
          <w:bCs w:val="0"/>
          <w:spacing w:val="-1"/>
          <w:sz w:val="21"/>
          <w:szCs w:val="21"/>
        </w:rPr>
        <w:t xml:space="preserve"> </w:t>
      </w:r>
      <w:r w:rsidRPr="007C2763">
        <w:rPr>
          <w:rFonts w:ascii="Abadi" w:hAnsi="Abadi"/>
          <w:b w:val="0"/>
          <w:bCs w:val="0"/>
          <w:sz w:val="21"/>
          <w:szCs w:val="21"/>
        </w:rPr>
        <w:t>un</w:t>
      </w:r>
      <w:r w:rsidRPr="007C2763">
        <w:rPr>
          <w:rFonts w:ascii="Abadi" w:hAnsi="Abadi"/>
          <w:b w:val="0"/>
          <w:bCs w:val="0"/>
          <w:spacing w:val="-1"/>
          <w:sz w:val="21"/>
          <w:szCs w:val="21"/>
        </w:rPr>
        <w:t xml:space="preserve"> </w:t>
      </w:r>
      <w:r w:rsidRPr="007C2763">
        <w:rPr>
          <w:rFonts w:ascii="Abadi" w:hAnsi="Abadi"/>
          <w:b w:val="0"/>
          <w:bCs w:val="0"/>
          <w:sz w:val="21"/>
          <w:szCs w:val="21"/>
        </w:rPr>
        <w:t>mundo</w:t>
      </w:r>
      <w:r w:rsidRPr="007C2763">
        <w:rPr>
          <w:rFonts w:ascii="Abadi" w:hAnsi="Abadi"/>
          <w:b w:val="0"/>
          <w:bCs w:val="0"/>
          <w:spacing w:val="1"/>
          <w:sz w:val="21"/>
          <w:szCs w:val="21"/>
        </w:rPr>
        <w:t xml:space="preserve"> </w:t>
      </w:r>
      <w:r w:rsidRPr="007C2763">
        <w:rPr>
          <w:rFonts w:ascii="Abadi" w:hAnsi="Abadi"/>
          <w:b w:val="0"/>
          <w:bCs w:val="0"/>
          <w:sz w:val="21"/>
          <w:szCs w:val="21"/>
        </w:rPr>
        <w:t>cada</w:t>
      </w:r>
      <w:r w:rsidRPr="007C2763">
        <w:rPr>
          <w:rFonts w:ascii="Abadi" w:hAnsi="Abadi"/>
          <w:b w:val="0"/>
          <w:bCs w:val="0"/>
          <w:spacing w:val="1"/>
          <w:sz w:val="21"/>
          <w:szCs w:val="21"/>
        </w:rPr>
        <w:t xml:space="preserve"> </w:t>
      </w:r>
      <w:r w:rsidRPr="007C2763">
        <w:rPr>
          <w:rFonts w:ascii="Abadi" w:hAnsi="Abadi"/>
          <w:b w:val="0"/>
          <w:bCs w:val="0"/>
          <w:sz w:val="21"/>
          <w:szCs w:val="21"/>
        </w:rPr>
        <w:t>vez más</w:t>
      </w:r>
      <w:r w:rsidRPr="007C2763">
        <w:rPr>
          <w:rFonts w:ascii="Abadi" w:hAnsi="Abadi"/>
          <w:b w:val="0"/>
          <w:bCs w:val="0"/>
          <w:spacing w:val="-2"/>
          <w:sz w:val="21"/>
          <w:szCs w:val="21"/>
        </w:rPr>
        <w:t xml:space="preserve"> </w:t>
      </w:r>
      <w:r w:rsidRPr="007C2763">
        <w:rPr>
          <w:rFonts w:ascii="Abadi" w:hAnsi="Abadi"/>
          <w:b w:val="0"/>
          <w:bCs w:val="0"/>
          <w:sz w:val="21"/>
          <w:szCs w:val="21"/>
        </w:rPr>
        <w:t>globalizado</w:t>
      </w:r>
      <w:r w:rsidRPr="007C2763">
        <w:rPr>
          <w:rFonts w:ascii="Abadi" w:hAnsi="Abadi"/>
          <w:b w:val="0"/>
          <w:bCs w:val="0"/>
          <w:spacing w:val="1"/>
          <w:sz w:val="21"/>
          <w:szCs w:val="21"/>
        </w:rPr>
        <w:t xml:space="preserve"> </w:t>
      </w:r>
      <w:r w:rsidRPr="007C2763">
        <w:rPr>
          <w:rFonts w:ascii="Abadi" w:hAnsi="Abadi"/>
          <w:b w:val="0"/>
          <w:bCs w:val="0"/>
          <w:sz w:val="21"/>
          <w:szCs w:val="21"/>
        </w:rPr>
        <w:t>donde</w:t>
      </w:r>
      <w:r w:rsidRPr="007C2763">
        <w:rPr>
          <w:rFonts w:ascii="Abadi" w:hAnsi="Abadi"/>
          <w:b w:val="0"/>
          <w:bCs w:val="0"/>
          <w:spacing w:val="1"/>
          <w:sz w:val="21"/>
          <w:szCs w:val="21"/>
        </w:rPr>
        <w:t xml:space="preserve"> </w:t>
      </w:r>
      <w:r w:rsidRPr="007C2763">
        <w:rPr>
          <w:rFonts w:ascii="Abadi" w:hAnsi="Abadi"/>
          <w:b w:val="0"/>
          <w:bCs w:val="0"/>
          <w:sz w:val="21"/>
          <w:szCs w:val="21"/>
        </w:rPr>
        <w:t>el</w:t>
      </w:r>
      <w:r w:rsidRPr="007C2763">
        <w:rPr>
          <w:rFonts w:ascii="Abadi" w:hAnsi="Abadi"/>
          <w:b w:val="0"/>
          <w:bCs w:val="0"/>
          <w:spacing w:val="2"/>
          <w:sz w:val="21"/>
          <w:szCs w:val="21"/>
        </w:rPr>
        <w:t xml:space="preserve"> </w:t>
      </w:r>
      <w:r w:rsidRPr="007C2763">
        <w:rPr>
          <w:rFonts w:ascii="Abadi" w:hAnsi="Abadi"/>
          <w:b w:val="0"/>
          <w:bCs w:val="0"/>
          <w:sz w:val="21"/>
          <w:szCs w:val="21"/>
        </w:rPr>
        <w:t>internet</w:t>
      </w:r>
      <w:r w:rsidRPr="007C2763">
        <w:rPr>
          <w:rFonts w:ascii="Abadi" w:hAnsi="Abadi"/>
          <w:b w:val="0"/>
          <w:bCs w:val="0"/>
          <w:spacing w:val="3"/>
          <w:sz w:val="21"/>
          <w:szCs w:val="21"/>
        </w:rPr>
        <w:t xml:space="preserve"> </w:t>
      </w:r>
      <w:r w:rsidRPr="007C2763">
        <w:rPr>
          <w:rFonts w:ascii="Abadi" w:hAnsi="Abadi"/>
          <w:b w:val="0"/>
          <w:bCs w:val="0"/>
          <w:sz w:val="21"/>
          <w:szCs w:val="21"/>
        </w:rPr>
        <w:t>y la</w:t>
      </w:r>
      <w:r w:rsidRPr="007C2763">
        <w:rPr>
          <w:rFonts w:ascii="Abadi" w:hAnsi="Abadi"/>
          <w:b w:val="0"/>
          <w:bCs w:val="0"/>
          <w:spacing w:val="1"/>
          <w:sz w:val="21"/>
          <w:szCs w:val="21"/>
        </w:rPr>
        <w:t xml:space="preserve"> </w:t>
      </w:r>
      <w:r w:rsidRPr="007C2763">
        <w:rPr>
          <w:rFonts w:ascii="Abadi" w:hAnsi="Abadi"/>
          <w:b w:val="0"/>
          <w:bCs w:val="0"/>
          <w:sz w:val="21"/>
          <w:szCs w:val="21"/>
        </w:rPr>
        <w:t>forma de</w:t>
      </w:r>
      <w:r w:rsidRPr="007C2763">
        <w:rPr>
          <w:rFonts w:ascii="Abadi" w:hAnsi="Abadi"/>
          <w:b w:val="0"/>
          <w:bCs w:val="0"/>
          <w:spacing w:val="55"/>
          <w:sz w:val="21"/>
          <w:szCs w:val="21"/>
        </w:rPr>
        <w:t xml:space="preserve"> </w:t>
      </w:r>
      <w:r w:rsidRPr="007C2763">
        <w:rPr>
          <w:rFonts w:ascii="Abadi" w:hAnsi="Abadi"/>
          <w:b w:val="0"/>
          <w:bCs w:val="0"/>
          <w:sz w:val="21"/>
          <w:szCs w:val="21"/>
        </w:rPr>
        <w:t>interactuar</w:t>
      </w:r>
      <w:r w:rsidRPr="007C2763">
        <w:rPr>
          <w:rFonts w:ascii="Abadi" w:hAnsi="Abadi"/>
          <w:b w:val="0"/>
          <w:bCs w:val="0"/>
          <w:spacing w:val="53"/>
          <w:sz w:val="21"/>
          <w:szCs w:val="21"/>
        </w:rPr>
        <w:t xml:space="preserve"> </w:t>
      </w:r>
      <w:r w:rsidRPr="007C2763">
        <w:rPr>
          <w:rFonts w:ascii="Abadi" w:hAnsi="Abadi"/>
          <w:b w:val="0"/>
          <w:bCs w:val="0"/>
          <w:sz w:val="21"/>
          <w:szCs w:val="21"/>
        </w:rPr>
        <w:t>a</w:t>
      </w:r>
      <w:r w:rsidRPr="007C2763">
        <w:rPr>
          <w:rFonts w:ascii="Abadi" w:hAnsi="Abadi"/>
          <w:b w:val="0"/>
          <w:bCs w:val="0"/>
          <w:spacing w:val="55"/>
          <w:sz w:val="21"/>
          <w:szCs w:val="21"/>
        </w:rPr>
        <w:t xml:space="preserve"> </w:t>
      </w:r>
      <w:r w:rsidRPr="007C2763">
        <w:rPr>
          <w:rFonts w:ascii="Abadi" w:hAnsi="Abadi"/>
          <w:b w:val="0"/>
          <w:bCs w:val="0"/>
          <w:sz w:val="21"/>
          <w:szCs w:val="21"/>
        </w:rPr>
        <w:t>través</w:t>
      </w:r>
      <w:r w:rsidRPr="007C2763">
        <w:rPr>
          <w:rFonts w:ascii="Abadi" w:hAnsi="Abadi"/>
          <w:b w:val="0"/>
          <w:bCs w:val="0"/>
          <w:spacing w:val="54"/>
          <w:sz w:val="21"/>
          <w:szCs w:val="21"/>
        </w:rPr>
        <w:t xml:space="preserve"> </w:t>
      </w:r>
      <w:r w:rsidRPr="007C2763">
        <w:rPr>
          <w:rFonts w:ascii="Abadi" w:hAnsi="Abadi"/>
          <w:b w:val="0"/>
          <w:bCs w:val="0"/>
          <w:sz w:val="21"/>
          <w:szCs w:val="21"/>
        </w:rPr>
        <w:t>de</w:t>
      </w:r>
      <w:r w:rsidRPr="007C2763">
        <w:rPr>
          <w:rFonts w:ascii="Abadi" w:hAnsi="Abadi"/>
          <w:b w:val="0"/>
          <w:bCs w:val="0"/>
          <w:spacing w:val="55"/>
          <w:sz w:val="21"/>
          <w:szCs w:val="21"/>
        </w:rPr>
        <w:t xml:space="preserve"> </w:t>
      </w:r>
      <w:r w:rsidRPr="007C2763">
        <w:rPr>
          <w:rFonts w:ascii="Abadi" w:hAnsi="Abadi"/>
          <w:b w:val="0"/>
          <w:bCs w:val="0"/>
          <w:sz w:val="21"/>
          <w:szCs w:val="21"/>
        </w:rPr>
        <w:t>las</w:t>
      </w:r>
      <w:r w:rsidRPr="007C2763">
        <w:rPr>
          <w:rFonts w:ascii="Abadi" w:hAnsi="Abadi"/>
          <w:b w:val="0"/>
          <w:bCs w:val="0"/>
          <w:spacing w:val="54"/>
          <w:sz w:val="21"/>
          <w:szCs w:val="21"/>
        </w:rPr>
        <w:t xml:space="preserve"> </w:t>
      </w:r>
      <w:r w:rsidRPr="007C2763">
        <w:rPr>
          <w:rFonts w:ascii="Abadi" w:hAnsi="Abadi"/>
          <w:b w:val="0"/>
          <w:bCs w:val="0"/>
          <w:sz w:val="21"/>
          <w:szCs w:val="21"/>
        </w:rPr>
        <w:t>redes</w:t>
      </w:r>
      <w:r w:rsidRPr="007C2763">
        <w:rPr>
          <w:rFonts w:ascii="Abadi" w:hAnsi="Abadi"/>
          <w:b w:val="0"/>
          <w:bCs w:val="0"/>
          <w:spacing w:val="54"/>
          <w:sz w:val="21"/>
          <w:szCs w:val="21"/>
        </w:rPr>
        <w:t xml:space="preserve"> </w:t>
      </w:r>
      <w:r w:rsidRPr="007C2763">
        <w:rPr>
          <w:rFonts w:ascii="Abadi" w:hAnsi="Abadi"/>
          <w:b w:val="0"/>
          <w:bCs w:val="0"/>
          <w:sz w:val="21"/>
          <w:szCs w:val="21"/>
        </w:rPr>
        <w:t>sociales</w:t>
      </w:r>
      <w:r w:rsidRPr="007C2763">
        <w:rPr>
          <w:rFonts w:ascii="Abadi" w:hAnsi="Abadi"/>
          <w:b w:val="0"/>
          <w:bCs w:val="0"/>
          <w:spacing w:val="54"/>
          <w:sz w:val="21"/>
          <w:szCs w:val="21"/>
        </w:rPr>
        <w:t xml:space="preserve"> </w:t>
      </w:r>
      <w:r w:rsidRPr="007C2763">
        <w:rPr>
          <w:rFonts w:ascii="Abadi" w:hAnsi="Abadi"/>
          <w:b w:val="0"/>
          <w:bCs w:val="0"/>
          <w:sz w:val="21"/>
          <w:szCs w:val="21"/>
        </w:rPr>
        <w:t>han</w:t>
      </w:r>
      <w:r w:rsidRPr="007C2763">
        <w:rPr>
          <w:rFonts w:ascii="Abadi" w:hAnsi="Abadi"/>
          <w:b w:val="0"/>
          <w:bCs w:val="0"/>
          <w:spacing w:val="55"/>
          <w:sz w:val="21"/>
          <w:szCs w:val="21"/>
        </w:rPr>
        <w:t xml:space="preserve"> </w:t>
      </w:r>
      <w:r w:rsidRPr="007C2763">
        <w:rPr>
          <w:rFonts w:ascii="Abadi" w:hAnsi="Abadi"/>
          <w:b w:val="0"/>
          <w:bCs w:val="0"/>
          <w:sz w:val="21"/>
          <w:szCs w:val="21"/>
        </w:rPr>
        <w:t>abierto</w:t>
      </w:r>
      <w:r w:rsidRPr="007C2763">
        <w:rPr>
          <w:rFonts w:ascii="Abadi" w:hAnsi="Abadi"/>
          <w:b w:val="0"/>
          <w:bCs w:val="0"/>
          <w:spacing w:val="52"/>
          <w:sz w:val="21"/>
          <w:szCs w:val="21"/>
        </w:rPr>
        <w:t xml:space="preserve"> </w:t>
      </w:r>
      <w:r w:rsidRPr="007C2763">
        <w:rPr>
          <w:rFonts w:ascii="Abadi" w:hAnsi="Abadi"/>
          <w:b w:val="0"/>
          <w:bCs w:val="0"/>
          <w:sz w:val="21"/>
          <w:szCs w:val="21"/>
        </w:rPr>
        <w:t>el</w:t>
      </w:r>
      <w:r w:rsidRPr="007C2763">
        <w:rPr>
          <w:rFonts w:ascii="Abadi" w:hAnsi="Abadi"/>
          <w:b w:val="0"/>
          <w:bCs w:val="0"/>
          <w:spacing w:val="53"/>
          <w:sz w:val="21"/>
          <w:szCs w:val="21"/>
        </w:rPr>
        <w:t xml:space="preserve"> </w:t>
      </w:r>
      <w:r w:rsidRPr="007C2763">
        <w:rPr>
          <w:rFonts w:ascii="Abadi" w:hAnsi="Abadi"/>
          <w:b w:val="0"/>
          <w:bCs w:val="0"/>
          <w:sz w:val="21"/>
          <w:szCs w:val="21"/>
        </w:rPr>
        <w:t>campo del reconocimiento</w:t>
      </w:r>
      <w:r w:rsidRPr="007C2763">
        <w:rPr>
          <w:rFonts w:ascii="Abadi" w:hAnsi="Abadi"/>
          <w:b w:val="0"/>
          <w:bCs w:val="0"/>
          <w:spacing w:val="4"/>
          <w:sz w:val="21"/>
          <w:szCs w:val="21"/>
        </w:rPr>
        <w:t xml:space="preserve"> </w:t>
      </w:r>
      <w:r w:rsidRPr="007C2763">
        <w:rPr>
          <w:rFonts w:ascii="Abadi" w:hAnsi="Abadi"/>
          <w:b w:val="0"/>
          <w:bCs w:val="0"/>
          <w:sz w:val="21"/>
          <w:szCs w:val="21"/>
        </w:rPr>
        <w:t>y</w:t>
      </w:r>
      <w:r w:rsidRPr="007C2763">
        <w:rPr>
          <w:rFonts w:ascii="Abadi" w:hAnsi="Abadi"/>
          <w:b w:val="0"/>
          <w:bCs w:val="0"/>
          <w:spacing w:val="1"/>
          <w:sz w:val="21"/>
          <w:szCs w:val="21"/>
        </w:rPr>
        <w:t xml:space="preserve"> </w:t>
      </w:r>
      <w:r w:rsidRPr="007C2763">
        <w:rPr>
          <w:rFonts w:ascii="Abadi" w:hAnsi="Abadi"/>
          <w:b w:val="0"/>
          <w:bCs w:val="0"/>
          <w:sz w:val="21"/>
          <w:szCs w:val="21"/>
        </w:rPr>
        <w:t>ha</w:t>
      </w:r>
      <w:r w:rsidRPr="007C2763">
        <w:rPr>
          <w:rFonts w:ascii="Abadi" w:hAnsi="Abadi"/>
          <w:b w:val="0"/>
          <w:bCs w:val="0"/>
          <w:spacing w:val="1"/>
          <w:sz w:val="21"/>
          <w:szCs w:val="21"/>
        </w:rPr>
        <w:t xml:space="preserve"> </w:t>
      </w:r>
      <w:r w:rsidRPr="007C2763">
        <w:rPr>
          <w:rFonts w:ascii="Abadi" w:hAnsi="Abadi"/>
          <w:b w:val="0"/>
          <w:bCs w:val="0"/>
          <w:sz w:val="21"/>
          <w:szCs w:val="21"/>
        </w:rPr>
        <w:t>permitido</w:t>
      </w:r>
      <w:r w:rsidRPr="007C2763">
        <w:rPr>
          <w:rFonts w:ascii="Abadi" w:hAnsi="Abadi"/>
          <w:b w:val="0"/>
          <w:bCs w:val="0"/>
          <w:spacing w:val="1"/>
          <w:sz w:val="21"/>
          <w:szCs w:val="21"/>
        </w:rPr>
        <w:t xml:space="preserve"> </w:t>
      </w:r>
      <w:r w:rsidRPr="007C2763">
        <w:rPr>
          <w:rFonts w:ascii="Abadi" w:hAnsi="Abadi"/>
          <w:b w:val="0"/>
          <w:bCs w:val="0"/>
          <w:sz w:val="21"/>
          <w:szCs w:val="21"/>
        </w:rPr>
        <w:t>conocer</w:t>
      </w:r>
      <w:r w:rsidRPr="007C2763">
        <w:rPr>
          <w:rFonts w:ascii="Abadi" w:hAnsi="Abadi"/>
          <w:b w:val="0"/>
          <w:bCs w:val="0"/>
          <w:spacing w:val="2"/>
          <w:sz w:val="21"/>
          <w:szCs w:val="21"/>
        </w:rPr>
        <w:t xml:space="preserve"> </w:t>
      </w:r>
      <w:r w:rsidRPr="007C2763">
        <w:rPr>
          <w:rFonts w:ascii="Abadi" w:hAnsi="Abadi"/>
          <w:b w:val="0"/>
          <w:bCs w:val="0"/>
          <w:sz w:val="21"/>
          <w:szCs w:val="21"/>
        </w:rPr>
        <w:t>nuevas</w:t>
      </w:r>
      <w:r w:rsidRPr="007C2763">
        <w:rPr>
          <w:rFonts w:ascii="Abadi" w:hAnsi="Abadi"/>
          <w:b w:val="0"/>
          <w:bCs w:val="0"/>
          <w:spacing w:val="3"/>
          <w:sz w:val="21"/>
          <w:szCs w:val="21"/>
        </w:rPr>
        <w:t xml:space="preserve"> </w:t>
      </w:r>
      <w:r w:rsidRPr="007C2763">
        <w:rPr>
          <w:rFonts w:ascii="Abadi" w:hAnsi="Abadi"/>
          <w:b w:val="0"/>
          <w:bCs w:val="0"/>
          <w:sz w:val="21"/>
          <w:szCs w:val="21"/>
        </w:rPr>
        <w:t>culturas</w:t>
      </w:r>
      <w:r w:rsidRPr="007C2763">
        <w:rPr>
          <w:rFonts w:ascii="Abadi" w:hAnsi="Abadi"/>
          <w:b w:val="0"/>
          <w:bCs w:val="0"/>
          <w:spacing w:val="1"/>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sin</w:t>
      </w:r>
      <w:r w:rsidRPr="007C2763">
        <w:rPr>
          <w:rFonts w:ascii="Abadi" w:hAnsi="Abadi"/>
          <w:b w:val="0"/>
          <w:bCs w:val="0"/>
          <w:spacing w:val="1"/>
          <w:sz w:val="21"/>
          <w:szCs w:val="21"/>
        </w:rPr>
        <w:t xml:space="preserve"> </w:t>
      </w:r>
      <w:r w:rsidRPr="007C2763">
        <w:rPr>
          <w:rFonts w:ascii="Abadi" w:hAnsi="Abadi"/>
          <w:b w:val="0"/>
          <w:bCs w:val="0"/>
          <w:sz w:val="21"/>
          <w:szCs w:val="21"/>
        </w:rPr>
        <w:t>duda</w:t>
      </w:r>
      <w:r w:rsidRPr="007C2763">
        <w:rPr>
          <w:rFonts w:ascii="Abadi" w:hAnsi="Abadi"/>
          <w:b w:val="0"/>
          <w:bCs w:val="0"/>
          <w:spacing w:val="1"/>
          <w:sz w:val="21"/>
          <w:szCs w:val="21"/>
        </w:rPr>
        <w:t xml:space="preserve"> </w:t>
      </w:r>
      <w:r w:rsidRPr="007C2763">
        <w:rPr>
          <w:rFonts w:ascii="Abadi" w:hAnsi="Abadi"/>
          <w:b w:val="0"/>
          <w:bCs w:val="0"/>
          <w:sz w:val="21"/>
          <w:szCs w:val="21"/>
        </w:rPr>
        <w:t>nos</w:t>
      </w:r>
      <w:r w:rsidRPr="007C2763">
        <w:rPr>
          <w:rFonts w:ascii="Abadi" w:hAnsi="Abadi"/>
          <w:b w:val="0"/>
          <w:bCs w:val="0"/>
          <w:spacing w:val="1"/>
          <w:sz w:val="21"/>
          <w:szCs w:val="21"/>
        </w:rPr>
        <w:t xml:space="preserve"> </w:t>
      </w:r>
      <w:r w:rsidRPr="007C2763">
        <w:rPr>
          <w:rFonts w:ascii="Abadi" w:hAnsi="Abadi"/>
          <w:b w:val="0"/>
          <w:bCs w:val="0"/>
          <w:sz w:val="21"/>
          <w:szCs w:val="21"/>
        </w:rPr>
        <w:t>han enriquecido</w:t>
      </w:r>
      <w:r w:rsidRPr="007C2763">
        <w:rPr>
          <w:rFonts w:ascii="Abadi" w:hAnsi="Abadi"/>
          <w:b w:val="0"/>
          <w:bCs w:val="0"/>
          <w:spacing w:val="25"/>
          <w:sz w:val="21"/>
          <w:szCs w:val="21"/>
        </w:rPr>
        <w:t xml:space="preserve"> </w:t>
      </w:r>
      <w:r w:rsidRPr="007C2763">
        <w:rPr>
          <w:rFonts w:ascii="Abadi" w:hAnsi="Abadi"/>
          <w:b w:val="0"/>
          <w:bCs w:val="0"/>
          <w:sz w:val="21"/>
          <w:szCs w:val="21"/>
        </w:rPr>
        <w:t>tanto</w:t>
      </w:r>
      <w:r w:rsidRPr="007C2763">
        <w:rPr>
          <w:rFonts w:ascii="Abadi" w:hAnsi="Abadi"/>
          <w:b w:val="0"/>
          <w:bCs w:val="0"/>
          <w:spacing w:val="27"/>
          <w:sz w:val="21"/>
          <w:szCs w:val="21"/>
        </w:rPr>
        <w:t xml:space="preserve"> </w:t>
      </w:r>
      <w:r w:rsidRPr="007C2763">
        <w:rPr>
          <w:rFonts w:ascii="Abadi" w:hAnsi="Abadi"/>
          <w:b w:val="0"/>
          <w:bCs w:val="0"/>
          <w:sz w:val="21"/>
          <w:szCs w:val="21"/>
        </w:rPr>
        <w:t>socialmente</w:t>
      </w:r>
      <w:r w:rsidRPr="007C2763">
        <w:rPr>
          <w:rFonts w:ascii="Abadi" w:hAnsi="Abadi"/>
          <w:b w:val="0"/>
          <w:bCs w:val="0"/>
          <w:spacing w:val="25"/>
          <w:sz w:val="21"/>
          <w:szCs w:val="21"/>
        </w:rPr>
        <w:t xml:space="preserve"> </w:t>
      </w:r>
      <w:r w:rsidRPr="007C2763">
        <w:rPr>
          <w:rFonts w:ascii="Abadi" w:hAnsi="Abadi"/>
          <w:b w:val="0"/>
          <w:bCs w:val="0"/>
          <w:sz w:val="21"/>
          <w:szCs w:val="21"/>
        </w:rPr>
        <w:t>como</w:t>
      </w:r>
      <w:r w:rsidRPr="007C2763">
        <w:rPr>
          <w:rFonts w:ascii="Abadi" w:hAnsi="Abadi"/>
          <w:b w:val="0"/>
          <w:bCs w:val="0"/>
          <w:spacing w:val="25"/>
          <w:sz w:val="21"/>
          <w:szCs w:val="21"/>
        </w:rPr>
        <w:t xml:space="preserve"> </w:t>
      </w:r>
      <w:r w:rsidRPr="007C2763">
        <w:rPr>
          <w:rFonts w:ascii="Abadi" w:hAnsi="Abadi"/>
          <w:b w:val="0"/>
          <w:bCs w:val="0"/>
          <w:sz w:val="21"/>
          <w:szCs w:val="21"/>
        </w:rPr>
        <w:t>culturalmente</w:t>
      </w:r>
      <w:r w:rsidRPr="007C2763">
        <w:rPr>
          <w:rFonts w:ascii="Abadi" w:hAnsi="Abadi"/>
          <w:b w:val="0"/>
          <w:bCs w:val="0"/>
          <w:spacing w:val="25"/>
          <w:sz w:val="21"/>
          <w:szCs w:val="21"/>
        </w:rPr>
        <w:t xml:space="preserve"> </w:t>
      </w:r>
      <w:r w:rsidRPr="007C2763">
        <w:rPr>
          <w:rFonts w:ascii="Abadi" w:hAnsi="Abadi"/>
          <w:b w:val="0"/>
          <w:bCs w:val="0"/>
          <w:sz w:val="21"/>
          <w:szCs w:val="21"/>
        </w:rPr>
        <w:t>como</w:t>
      </w:r>
      <w:r w:rsidRPr="007C2763">
        <w:rPr>
          <w:rFonts w:ascii="Abadi" w:hAnsi="Abadi"/>
          <w:b w:val="0"/>
          <w:bCs w:val="0"/>
          <w:spacing w:val="25"/>
          <w:sz w:val="21"/>
          <w:szCs w:val="21"/>
        </w:rPr>
        <w:t xml:space="preserve"> </w:t>
      </w:r>
      <w:r w:rsidRPr="007C2763">
        <w:rPr>
          <w:rFonts w:ascii="Abadi" w:hAnsi="Abadi"/>
          <w:b w:val="0"/>
          <w:bCs w:val="0"/>
          <w:sz w:val="21"/>
          <w:szCs w:val="21"/>
        </w:rPr>
        <w:t>municipio,</w:t>
      </w:r>
      <w:r w:rsidRPr="007C2763">
        <w:rPr>
          <w:rFonts w:ascii="Abadi" w:hAnsi="Abadi"/>
          <w:b w:val="0"/>
          <w:bCs w:val="0"/>
          <w:spacing w:val="27"/>
          <w:sz w:val="21"/>
          <w:szCs w:val="21"/>
        </w:rPr>
        <w:t xml:space="preserve"> </w:t>
      </w:r>
      <w:r w:rsidRPr="007C2763">
        <w:rPr>
          <w:rFonts w:ascii="Abadi" w:hAnsi="Abadi"/>
          <w:b w:val="0"/>
          <w:bCs w:val="0"/>
          <w:sz w:val="21"/>
          <w:szCs w:val="21"/>
        </w:rPr>
        <w:t>reconocemos y</w:t>
      </w:r>
      <w:r w:rsidRPr="007C2763">
        <w:rPr>
          <w:rFonts w:ascii="Abadi" w:hAnsi="Abadi"/>
          <w:b w:val="0"/>
          <w:bCs w:val="0"/>
          <w:spacing w:val="19"/>
          <w:sz w:val="21"/>
          <w:szCs w:val="21"/>
        </w:rPr>
        <w:t xml:space="preserve"> </w:t>
      </w:r>
      <w:r w:rsidRPr="007C2763">
        <w:rPr>
          <w:rFonts w:ascii="Abadi" w:hAnsi="Abadi"/>
          <w:b w:val="0"/>
          <w:bCs w:val="0"/>
          <w:sz w:val="21"/>
          <w:szCs w:val="21"/>
        </w:rPr>
        <w:t>valoramos</w:t>
      </w:r>
      <w:r w:rsidRPr="007C2763">
        <w:rPr>
          <w:rFonts w:ascii="Abadi" w:hAnsi="Abadi"/>
          <w:b w:val="0"/>
          <w:bCs w:val="0"/>
          <w:spacing w:val="19"/>
          <w:sz w:val="21"/>
          <w:szCs w:val="21"/>
        </w:rPr>
        <w:t xml:space="preserve"> </w:t>
      </w:r>
      <w:r w:rsidRPr="007C2763">
        <w:rPr>
          <w:rFonts w:ascii="Abadi" w:hAnsi="Abadi"/>
          <w:b w:val="0"/>
          <w:bCs w:val="0"/>
          <w:sz w:val="21"/>
          <w:szCs w:val="21"/>
        </w:rPr>
        <w:t>su</w:t>
      </w:r>
      <w:r w:rsidRPr="007C2763">
        <w:rPr>
          <w:rFonts w:ascii="Abadi" w:hAnsi="Abadi"/>
          <w:b w:val="0"/>
          <w:bCs w:val="0"/>
          <w:spacing w:val="20"/>
          <w:sz w:val="21"/>
          <w:szCs w:val="21"/>
        </w:rPr>
        <w:t xml:space="preserve"> </w:t>
      </w:r>
      <w:r w:rsidRPr="007C2763">
        <w:rPr>
          <w:rFonts w:ascii="Abadi" w:hAnsi="Abadi"/>
          <w:b w:val="0"/>
          <w:bCs w:val="0"/>
          <w:sz w:val="21"/>
          <w:szCs w:val="21"/>
        </w:rPr>
        <w:t>alcance.</w:t>
      </w:r>
      <w:r w:rsidRPr="007C2763">
        <w:rPr>
          <w:rFonts w:ascii="Abadi" w:hAnsi="Abadi"/>
          <w:b w:val="0"/>
          <w:bCs w:val="0"/>
          <w:spacing w:val="20"/>
          <w:sz w:val="21"/>
          <w:szCs w:val="21"/>
        </w:rPr>
        <w:t xml:space="preserve"> </w:t>
      </w:r>
      <w:r w:rsidRPr="007C2763">
        <w:rPr>
          <w:rFonts w:ascii="Abadi" w:hAnsi="Abadi"/>
          <w:b w:val="0"/>
          <w:bCs w:val="0"/>
          <w:sz w:val="21"/>
          <w:szCs w:val="21"/>
        </w:rPr>
        <w:t>En</w:t>
      </w:r>
      <w:r w:rsidRPr="007C2763">
        <w:rPr>
          <w:rFonts w:ascii="Abadi" w:hAnsi="Abadi"/>
          <w:b w:val="0"/>
          <w:bCs w:val="0"/>
          <w:spacing w:val="20"/>
          <w:sz w:val="21"/>
          <w:szCs w:val="21"/>
        </w:rPr>
        <w:t xml:space="preserve"> </w:t>
      </w:r>
      <w:r w:rsidRPr="007C2763">
        <w:rPr>
          <w:rFonts w:ascii="Abadi" w:hAnsi="Abadi"/>
          <w:b w:val="0"/>
          <w:bCs w:val="0"/>
          <w:sz w:val="21"/>
          <w:szCs w:val="21"/>
        </w:rPr>
        <w:t>suma,</w:t>
      </w:r>
      <w:r w:rsidRPr="007C2763">
        <w:rPr>
          <w:rFonts w:ascii="Abadi" w:hAnsi="Abadi"/>
          <w:b w:val="0"/>
          <w:bCs w:val="0"/>
          <w:spacing w:val="20"/>
          <w:sz w:val="21"/>
          <w:szCs w:val="21"/>
        </w:rPr>
        <w:t xml:space="preserve"> </w:t>
      </w:r>
      <w:r w:rsidRPr="007C2763">
        <w:rPr>
          <w:rFonts w:ascii="Abadi" w:hAnsi="Abadi"/>
          <w:b w:val="0"/>
          <w:bCs w:val="0"/>
          <w:sz w:val="21"/>
          <w:szCs w:val="21"/>
        </w:rPr>
        <w:t>se</w:t>
      </w:r>
      <w:r w:rsidRPr="007C2763">
        <w:rPr>
          <w:rFonts w:ascii="Abadi" w:hAnsi="Abadi"/>
          <w:b w:val="0"/>
          <w:bCs w:val="0"/>
          <w:spacing w:val="20"/>
          <w:sz w:val="21"/>
          <w:szCs w:val="21"/>
        </w:rPr>
        <w:t xml:space="preserve"> </w:t>
      </w:r>
      <w:r w:rsidRPr="007C2763">
        <w:rPr>
          <w:rFonts w:ascii="Abadi" w:hAnsi="Abadi"/>
          <w:b w:val="0"/>
          <w:bCs w:val="0"/>
          <w:sz w:val="21"/>
          <w:szCs w:val="21"/>
        </w:rPr>
        <w:t>trata</w:t>
      </w:r>
      <w:r w:rsidRPr="007C2763">
        <w:rPr>
          <w:rFonts w:ascii="Abadi" w:hAnsi="Abadi"/>
          <w:b w:val="0"/>
          <w:bCs w:val="0"/>
          <w:spacing w:val="20"/>
          <w:sz w:val="21"/>
          <w:szCs w:val="21"/>
        </w:rPr>
        <w:t xml:space="preserve"> </w:t>
      </w:r>
      <w:r w:rsidRPr="007C2763">
        <w:rPr>
          <w:rFonts w:ascii="Abadi" w:hAnsi="Abadi"/>
          <w:b w:val="0"/>
          <w:bCs w:val="0"/>
          <w:sz w:val="21"/>
          <w:szCs w:val="21"/>
        </w:rPr>
        <w:t>de</w:t>
      </w:r>
      <w:r w:rsidRPr="007C2763">
        <w:rPr>
          <w:rFonts w:ascii="Abadi" w:hAnsi="Abadi"/>
          <w:b w:val="0"/>
          <w:bCs w:val="0"/>
          <w:spacing w:val="20"/>
          <w:sz w:val="21"/>
          <w:szCs w:val="21"/>
        </w:rPr>
        <w:t xml:space="preserve"> </w:t>
      </w:r>
      <w:r w:rsidRPr="007C2763">
        <w:rPr>
          <w:rFonts w:ascii="Abadi" w:hAnsi="Abadi"/>
          <w:b w:val="0"/>
          <w:bCs w:val="0"/>
          <w:sz w:val="21"/>
          <w:szCs w:val="21"/>
        </w:rPr>
        <w:t>la</w:t>
      </w:r>
      <w:r w:rsidRPr="007C2763">
        <w:rPr>
          <w:rFonts w:ascii="Abadi" w:hAnsi="Abadi"/>
          <w:b w:val="0"/>
          <w:bCs w:val="0"/>
          <w:spacing w:val="19"/>
          <w:sz w:val="21"/>
          <w:szCs w:val="21"/>
        </w:rPr>
        <w:t xml:space="preserve"> </w:t>
      </w:r>
      <w:r w:rsidRPr="007C2763">
        <w:rPr>
          <w:rFonts w:ascii="Abadi" w:hAnsi="Abadi"/>
          <w:b w:val="0"/>
          <w:bCs w:val="0"/>
          <w:sz w:val="21"/>
          <w:szCs w:val="21"/>
        </w:rPr>
        <w:t>deliberación</w:t>
      </w:r>
      <w:r w:rsidRPr="007C2763">
        <w:rPr>
          <w:rFonts w:ascii="Abadi" w:hAnsi="Abadi"/>
          <w:b w:val="0"/>
          <w:bCs w:val="0"/>
          <w:spacing w:val="20"/>
          <w:sz w:val="21"/>
          <w:szCs w:val="21"/>
        </w:rPr>
        <w:t xml:space="preserve"> </w:t>
      </w:r>
      <w:r w:rsidRPr="007C2763">
        <w:rPr>
          <w:rFonts w:ascii="Abadi" w:hAnsi="Abadi"/>
          <w:b w:val="0"/>
          <w:bCs w:val="0"/>
          <w:sz w:val="21"/>
          <w:szCs w:val="21"/>
        </w:rPr>
        <w:t>de</w:t>
      </w:r>
      <w:r w:rsidRPr="007C2763">
        <w:rPr>
          <w:rFonts w:ascii="Abadi" w:hAnsi="Abadi"/>
          <w:b w:val="0"/>
          <w:bCs w:val="0"/>
          <w:spacing w:val="20"/>
          <w:sz w:val="21"/>
          <w:szCs w:val="21"/>
        </w:rPr>
        <w:t xml:space="preserve"> </w:t>
      </w:r>
      <w:r w:rsidRPr="007C2763">
        <w:rPr>
          <w:rFonts w:ascii="Abadi" w:hAnsi="Abadi"/>
          <w:b w:val="0"/>
          <w:bCs w:val="0"/>
          <w:sz w:val="21"/>
          <w:szCs w:val="21"/>
        </w:rPr>
        <w:t>un</w:t>
      </w:r>
      <w:r w:rsidRPr="007C2763">
        <w:rPr>
          <w:rFonts w:ascii="Abadi" w:hAnsi="Abadi"/>
          <w:b w:val="0"/>
          <w:bCs w:val="0"/>
          <w:spacing w:val="20"/>
          <w:sz w:val="21"/>
          <w:szCs w:val="21"/>
        </w:rPr>
        <w:t xml:space="preserve"> </w:t>
      </w:r>
      <w:r w:rsidRPr="007C2763">
        <w:rPr>
          <w:rFonts w:ascii="Abadi" w:hAnsi="Abadi"/>
          <w:b w:val="0"/>
          <w:bCs w:val="0"/>
          <w:sz w:val="21"/>
          <w:szCs w:val="21"/>
        </w:rPr>
        <w:t>tema</w:t>
      </w:r>
      <w:r w:rsidRPr="007C2763">
        <w:rPr>
          <w:rFonts w:ascii="Abadi" w:hAnsi="Abadi"/>
          <w:b w:val="0"/>
          <w:bCs w:val="0"/>
          <w:spacing w:val="20"/>
          <w:sz w:val="21"/>
          <w:szCs w:val="21"/>
        </w:rPr>
        <w:t xml:space="preserve"> </w:t>
      </w:r>
      <w:r w:rsidRPr="007C2763">
        <w:rPr>
          <w:rFonts w:ascii="Abadi" w:hAnsi="Abadi"/>
          <w:b w:val="0"/>
          <w:bCs w:val="0"/>
          <w:sz w:val="21"/>
          <w:szCs w:val="21"/>
        </w:rPr>
        <w:t>que</w:t>
      </w:r>
      <w:r w:rsidRPr="007C2763">
        <w:rPr>
          <w:rFonts w:ascii="Abadi" w:hAnsi="Abadi"/>
          <w:b w:val="0"/>
          <w:bCs w:val="0"/>
          <w:spacing w:val="20"/>
          <w:sz w:val="21"/>
          <w:szCs w:val="21"/>
        </w:rPr>
        <w:t xml:space="preserve"> </w:t>
      </w:r>
      <w:r w:rsidRPr="007C2763">
        <w:rPr>
          <w:rFonts w:ascii="Abadi" w:hAnsi="Abadi"/>
          <w:b w:val="0"/>
          <w:bCs w:val="0"/>
          <w:sz w:val="21"/>
          <w:szCs w:val="21"/>
        </w:rPr>
        <w:t>no admite</w:t>
      </w:r>
      <w:r w:rsidRPr="007C2763">
        <w:rPr>
          <w:rFonts w:ascii="Abadi" w:hAnsi="Abadi"/>
          <w:b w:val="0"/>
          <w:bCs w:val="0"/>
          <w:spacing w:val="20"/>
          <w:sz w:val="21"/>
          <w:szCs w:val="21"/>
        </w:rPr>
        <w:t xml:space="preserve"> </w:t>
      </w:r>
      <w:r w:rsidRPr="007C2763">
        <w:rPr>
          <w:rFonts w:ascii="Abadi" w:hAnsi="Abadi"/>
          <w:b w:val="0"/>
          <w:bCs w:val="0"/>
          <w:sz w:val="21"/>
          <w:szCs w:val="21"/>
        </w:rPr>
        <w:t>una</w:t>
      </w:r>
      <w:r w:rsidRPr="007C2763">
        <w:rPr>
          <w:rFonts w:ascii="Abadi" w:hAnsi="Abadi"/>
          <w:b w:val="0"/>
          <w:bCs w:val="0"/>
          <w:spacing w:val="20"/>
          <w:sz w:val="21"/>
          <w:szCs w:val="21"/>
        </w:rPr>
        <w:t xml:space="preserve"> </w:t>
      </w:r>
      <w:r w:rsidRPr="007C2763">
        <w:rPr>
          <w:rFonts w:ascii="Abadi" w:hAnsi="Abadi"/>
          <w:b w:val="0"/>
          <w:bCs w:val="0"/>
          <w:sz w:val="21"/>
          <w:szCs w:val="21"/>
        </w:rPr>
        <w:t>cultura</w:t>
      </w:r>
      <w:r w:rsidRPr="007C2763">
        <w:rPr>
          <w:rFonts w:ascii="Abadi" w:hAnsi="Abadi"/>
          <w:b w:val="0"/>
          <w:bCs w:val="0"/>
          <w:spacing w:val="20"/>
          <w:sz w:val="21"/>
          <w:szCs w:val="21"/>
        </w:rPr>
        <w:t xml:space="preserve"> </w:t>
      </w:r>
      <w:r w:rsidRPr="007C2763">
        <w:rPr>
          <w:rFonts w:ascii="Abadi" w:hAnsi="Abadi"/>
          <w:b w:val="0"/>
          <w:bCs w:val="0"/>
          <w:sz w:val="21"/>
          <w:szCs w:val="21"/>
        </w:rPr>
        <w:t>política</w:t>
      </w:r>
      <w:r w:rsidRPr="007C2763">
        <w:rPr>
          <w:rFonts w:ascii="Abadi" w:hAnsi="Abadi"/>
          <w:b w:val="0"/>
          <w:bCs w:val="0"/>
          <w:spacing w:val="22"/>
          <w:sz w:val="21"/>
          <w:szCs w:val="21"/>
        </w:rPr>
        <w:t xml:space="preserve"> </w:t>
      </w:r>
      <w:r w:rsidRPr="007C2763">
        <w:rPr>
          <w:rFonts w:ascii="Abadi" w:hAnsi="Abadi"/>
          <w:b w:val="0"/>
          <w:bCs w:val="0"/>
          <w:sz w:val="21"/>
          <w:szCs w:val="21"/>
        </w:rPr>
        <w:t>o</w:t>
      </w:r>
      <w:r w:rsidRPr="007C2763">
        <w:rPr>
          <w:rFonts w:ascii="Abadi" w:hAnsi="Abadi"/>
          <w:b w:val="0"/>
          <w:bCs w:val="0"/>
          <w:spacing w:val="20"/>
          <w:sz w:val="21"/>
          <w:szCs w:val="21"/>
        </w:rPr>
        <w:t xml:space="preserve"> </w:t>
      </w:r>
      <w:r w:rsidRPr="007C2763">
        <w:rPr>
          <w:rFonts w:ascii="Abadi" w:hAnsi="Abadi"/>
          <w:b w:val="0"/>
          <w:bCs w:val="0"/>
          <w:sz w:val="21"/>
          <w:szCs w:val="21"/>
        </w:rPr>
        <w:t>social</w:t>
      </w:r>
      <w:r w:rsidRPr="007C2763">
        <w:rPr>
          <w:rFonts w:ascii="Abadi" w:hAnsi="Abadi"/>
          <w:b w:val="0"/>
          <w:bCs w:val="0"/>
          <w:spacing w:val="19"/>
          <w:sz w:val="21"/>
          <w:szCs w:val="21"/>
        </w:rPr>
        <w:t xml:space="preserve"> </w:t>
      </w:r>
      <w:r w:rsidRPr="007C2763">
        <w:rPr>
          <w:rFonts w:ascii="Abadi" w:hAnsi="Abadi"/>
          <w:b w:val="0"/>
          <w:bCs w:val="0"/>
          <w:sz w:val="21"/>
          <w:szCs w:val="21"/>
        </w:rPr>
        <w:t>basada</w:t>
      </w:r>
      <w:r w:rsidRPr="007C2763">
        <w:rPr>
          <w:rFonts w:ascii="Abadi" w:hAnsi="Abadi"/>
          <w:b w:val="0"/>
          <w:bCs w:val="0"/>
          <w:spacing w:val="20"/>
          <w:sz w:val="21"/>
          <w:szCs w:val="21"/>
        </w:rPr>
        <w:t xml:space="preserve"> </w:t>
      </w:r>
      <w:r w:rsidRPr="007C2763">
        <w:rPr>
          <w:rFonts w:ascii="Abadi" w:hAnsi="Abadi"/>
          <w:b w:val="0"/>
          <w:bCs w:val="0"/>
          <w:sz w:val="21"/>
          <w:szCs w:val="21"/>
        </w:rPr>
        <w:t>en</w:t>
      </w:r>
      <w:r w:rsidRPr="007C2763">
        <w:rPr>
          <w:rFonts w:ascii="Abadi" w:hAnsi="Abadi"/>
          <w:b w:val="0"/>
          <w:bCs w:val="0"/>
          <w:spacing w:val="23"/>
          <w:sz w:val="21"/>
          <w:szCs w:val="21"/>
        </w:rPr>
        <w:t xml:space="preserve"> </w:t>
      </w:r>
      <w:r w:rsidRPr="007C2763">
        <w:rPr>
          <w:rFonts w:ascii="Abadi" w:hAnsi="Abadi"/>
          <w:b w:val="0"/>
          <w:bCs w:val="0"/>
          <w:sz w:val="21"/>
          <w:szCs w:val="21"/>
        </w:rPr>
        <w:t>la</w:t>
      </w:r>
      <w:r w:rsidRPr="007C2763">
        <w:rPr>
          <w:rFonts w:ascii="Abadi" w:hAnsi="Abadi"/>
          <w:b w:val="0"/>
          <w:bCs w:val="0"/>
          <w:spacing w:val="20"/>
          <w:sz w:val="21"/>
          <w:szCs w:val="21"/>
        </w:rPr>
        <w:t xml:space="preserve"> </w:t>
      </w:r>
      <w:r w:rsidRPr="007C2763">
        <w:rPr>
          <w:rFonts w:ascii="Abadi" w:hAnsi="Abadi"/>
          <w:b w:val="0"/>
          <w:bCs w:val="0"/>
          <w:sz w:val="21"/>
          <w:szCs w:val="21"/>
        </w:rPr>
        <w:t>dominación</w:t>
      </w:r>
      <w:r w:rsidRPr="007C2763">
        <w:rPr>
          <w:rFonts w:ascii="Abadi" w:hAnsi="Abadi"/>
          <w:b w:val="0"/>
          <w:bCs w:val="0"/>
          <w:spacing w:val="20"/>
          <w:sz w:val="21"/>
          <w:szCs w:val="21"/>
        </w:rPr>
        <w:t xml:space="preserve"> </w:t>
      </w:r>
      <w:r w:rsidRPr="007C2763">
        <w:rPr>
          <w:rFonts w:ascii="Abadi" w:hAnsi="Abadi"/>
          <w:b w:val="0"/>
          <w:bCs w:val="0"/>
          <w:sz w:val="21"/>
          <w:szCs w:val="21"/>
        </w:rPr>
        <w:t>de</w:t>
      </w:r>
      <w:r w:rsidRPr="007C2763">
        <w:rPr>
          <w:rFonts w:ascii="Abadi" w:hAnsi="Abadi"/>
          <w:b w:val="0"/>
          <w:bCs w:val="0"/>
          <w:spacing w:val="21"/>
          <w:sz w:val="21"/>
          <w:szCs w:val="21"/>
        </w:rPr>
        <w:t xml:space="preserve"> </w:t>
      </w:r>
      <w:r w:rsidRPr="007C2763">
        <w:rPr>
          <w:rFonts w:ascii="Abadi" w:hAnsi="Abadi"/>
          <w:b w:val="0"/>
          <w:bCs w:val="0"/>
          <w:sz w:val="21"/>
          <w:szCs w:val="21"/>
        </w:rPr>
        <w:t>una</w:t>
      </w:r>
      <w:r w:rsidRPr="007C2763">
        <w:rPr>
          <w:rFonts w:ascii="Abadi" w:hAnsi="Abadi"/>
          <w:b w:val="0"/>
          <w:bCs w:val="0"/>
          <w:spacing w:val="23"/>
          <w:sz w:val="21"/>
          <w:szCs w:val="21"/>
        </w:rPr>
        <w:t xml:space="preserve"> </w:t>
      </w:r>
      <w:r w:rsidRPr="007C2763">
        <w:rPr>
          <w:rFonts w:ascii="Abadi" w:hAnsi="Abadi"/>
          <w:b w:val="0"/>
          <w:bCs w:val="0"/>
          <w:sz w:val="21"/>
          <w:szCs w:val="21"/>
        </w:rPr>
        <w:t>visión</w:t>
      </w:r>
      <w:r w:rsidRPr="007C2763">
        <w:rPr>
          <w:rFonts w:ascii="Abadi" w:hAnsi="Abadi"/>
          <w:b w:val="0"/>
          <w:bCs w:val="0"/>
          <w:spacing w:val="23"/>
          <w:sz w:val="21"/>
          <w:szCs w:val="21"/>
        </w:rPr>
        <w:t xml:space="preserve"> </w:t>
      </w:r>
      <w:r w:rsidRPr="007C2763">
        <w:rPr>
          <w:rFonts w:ascii="Abadi" w:hAnsi="Abadi"/>
          <w:b w:val="0"/>
          <w:bCs w:val="0"/>
          <w:sz w:val="21"/>
          <w:szCs w:val="21"/>
        </w:rPr>
        <w:t>sobre</w:t>
      </w:r>
      <w:r w:rsidR="00991CA8">
        <w:rPr>
          <w:rFonts w:ascii="Abadi" w:hAnsi="Abadi"/>
          <w:b w:val="0"/>
          <w:bCs w:val="0"/>
          <w:sz w:val="21"/>
          <w:szCs w:val="21"/>
        </w:rPr>
        <w:t xml:space="preserve"> </w:t>
      </w:r>
      <w:r w:rsidRPr="007C2763">
        <w:rPr>
          <w:rFonts w:ascii="Abadi" w:hAnsi="Abadi"/>
          <w:b w:val="0"/>
          <w:bCs w:val="0"/>
          <w:sz w:val="21"/>
          <w:szCs w:val="21"/>
        </w:rPr>
        <w:t>las demás;</w:t>
      </w:r>
    </w:p>
    <w:p w14:paraId="1D1649D8" w14:textId="77777777" w:rsidR="00991CA8" w:rsidRPr="007C2763" w:rsidRDefault="00991CA8" w:rsidP="00991CA8">
      <w:pPr>
        <w:pStyle w:val="Textoindependiente"/>
        <w:kinsoku w:val="0"/>
        <w:overflowPunct w:val="0"/>
        <w:ind w:left="39" w:firstLine="669"/>
        <w:rPr>
          <w:rFonts w:ascii="Abadi" w:hAnsi="Abadi"/>
          <w:b w:val="0"/>
          <w:bCs w:val="0"/>
          <w:sz w:val="21"/>
          <w:szCs w:val="21"/>
        </w:rPr>
      </w:pPr>
    </w:p>
    <w:p w14:paraId="352B7E44" w14:textId="77777777" w:rsidR="00374A1E" w:rsidRPr="007C2763" w:rsidRDefault="00374A1E" w:rsidP="00BC6383">
      <w:pPr>
        <w:pStyle w:val="Textoindependiente"/>
        <w:kinsoku w:val="0"/>
        <w:overflowPunct w:val="0"/>
        <w:spacing w:before="64"/>
        <w:ind w:left="40" w:right="104" w:firstLine="708"/>
        <w:rPr>
          <w:rFonts w:ascii="Abadi" w:hAnsi="Abadi"/>
          <w:b w:val="0"/>
          <w:bCs w:val="0"/>
          <w:sz w:val="21"/>
          <w:szCs w:val="21"/>
        </w:rPr>
      </w:pPr>
      <w:r w:rsidRPr="007C2763">
        <w:rPr>
          <w:rFonts w:ascii="Abadi" w:hAnsi="Abadi"/>
          <w:b w:val="0"/>
          <w:bCs w:val="0"/>
          <w:sz w:val="21"/>
          <w:szCs w:val="21"/>
        </w:rPr>
        <w:t>Exige</w:t>
      </w:r>
      <w:r w:rsidRPr="007C2763">
        <w:rPr>
          <w:rFonts w:ascii="Abadi" w:hAnsi="Abadi"/>
          <w:b w:val="0"/>
          <w:bCs w:val="0"/>
          <w:spacing w:val="1"/>
          <w:sz w:val="21"/>
          <w:szCs w:val="21"/>
        </w:rPr>
        <w:t xml:space="preserve"> </w:t>
      </w:r>
      <w:r w:rsidRPr="007C2763">
        <w:rPr>
          <w:rFonts w:ascii="Abadi" w:hAnsi="Abadi"/>
          <w:b w:val="0"/>
          <w:bCs w:val="0"/>
          <w:sz w:val="21"/>
          <w:szCs w:val="21"/>
        </w:rPr>
        <w:t>entonces la participación</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actores</w:t>
      </w:r>
      <w:r w:rsidRPr="007C2763">
        <w:rPr>
          <w:rFonts w:ascii="Abadi" w:hAnsi="Abadi"/>
          <w:b w:val="0"/>
          <w:bCs w:val="0"/>
          <w:spacing w:val="-2"/>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logren</w:t>
      </w:r>
      <w:r w:rsidRPr="007C2763">
        <w:rPr>
          <w:rFonts w:ascii="Abadi" w:hAnsi="Abadi"/>
          <w:b w:val="0"/>
          <w:bCs w:val="0"/>
          <w:spacing w:val="1"/>
          <w:sz w:val="21"/>
          <w:szCs w:val="21"/>
        </w:rPr>
        <w:t xml:space="preserve"> </w:t>
      </w:r>
      <w:r w:rsidRPr="007C2763">
        <w:rPr>
          <w:rFonts w:ascii="Abadi" w:hAnsi="Abadi"/>
          <w:b w:val="0"/>
          <w:bCs w:val="0"/>
          <w:sz w:val="21"/>
          <w:szCs w:val="21"/>
        </w:rPr>
        <w:t>generar</w:t>
      </w:r>
      <w:r w:rsidRPr="007C2763">
        <w:rPr>
          <w:rFonts w:ascii="Abadi" w:hAnsi="Abadi"/>
          <w:b w:val="0"/>
          <w:bCs w:val="0"/>
          <w:spacing w:val="-3"/>
          <w:sz w:val="21"/>
          <w:szCs w:val="21"/>
        </w:rPr>
        <w:t xml:space="preserve"> </w:t>
      </w:r>
      <w:r w:rsidRPr="007C2763">
        <w:rPr>
          <w:rFonts w:ascii="Abadi" w:hAnsi="Abadi"/>
          <w:b w:val="0"/>
          <w:bCs w:val="0"/>
          <w:sz w:val="21"/>
          <w:szCs w:val="21"/>
        </w:rPr>
        <w:t>acuerdos y que</w:t>
      </w:r>
      <w:r w:rsidRPr="007C2763">
        <w:rPr>
          <w:rFonts w:ascii="Abadi" w:hAnsi="Abadi"/>
          <w:b w:val="0"/>
          <w:bCs w:val="0"/>
          <w:spacing w:val="-1"/>
          <w:sz w:val="21"/>
          <w:szCs w:val="21"/>
        </w:rPr>
        <w:t xml:space="preserve"> </w:t>
      </w:r>
      <w:r w:rsidRPr="007C2763">
        <w:rPr>
          <w:rFonts w:ascii="Abadi" w:hAnsi="Abadi"/>
          <w:b w:val="0"/>
          <w:bCs w:val="0"/>
          <w:sz w:val="21"/>
          <w:szCs w:val="21"/>
        </w:rPr>
        <w:t>puedan</w:t>
      </w:r>
      <w:r w:rsidRPr="007C2763">
        <w:rPr>
          <w:rFonts w:ascii="Abadi" w:hAnsi="Abadi"/>
          <w:b w:val="0"/>
          <w:bCs w:val="0"/>
          <w:spacing w:val="1"/>
          <w:sz w:val="21"/>
          <w:szCs w:val="21"/>
        </w:rPr>
        <w:t xml:space="preserve"> </w:t>
      </w:r>
      <w:r w:rsidRPr="007C2763">
        <w:rPr>
          <w:rFonts w:ascii="Abadi" w:hAnsi="Abadi"/>
          <w:b w:val="0"/>
          <w:bCs w:val="0"/>
          <w:sz w:val="21"/>
          <w:szCs w:val="21"/>
        </w:rPr>
        <w:t>sintetizar</w:t>
      </w:r>
      <w:r w:rsidRPr="007C2763">
        <w:rPr>
          <w:rFonts w:ascii="Abadi" w:hAnsi="Abadi"/>
          <w:b w:val="0"/>
          <w:bCs w:val="0"/>
          <w:spacing w:val="-3"/>
          <w:sz w:val="21"/>
          <w:szCs w:val="21"/>
        </w:rPr>
        <w:t xml:space="preserve"> </w:t>
      </w:r>
      <w:r w:rsidRPr="007C2763">
        <w:rPr>
          <w:rFonts w:ascii="Abadi" w:hAnsi="Abadi"/>
          <w:b w:val="0"/>
          <w:bCs w:val="0"/>
          <w:sz w:val="21"/>
          <w:szCs w:val="21"/>
        </w:rPr>
        <w:t>en</w:t>
      </w:r>
      <w:r w:rsidRPr="007C2763">
        <w:rPr>
          <w:rFonts w:ascii="Abadi" w:hAnsi="Abadi"/>
          <w:b w:val="0"/>
          <w:bCs w:val="0"/>
          <w:spacing w:val="1"/>
          <w:sz w:val="21"/>
          <w:szCs w:val="21"/>
        </w:rPr>
        <w:t xml:space="preserve"> </w:t>
      </w:r>
      <w:r w:rsidRPr="007C2763">
        <w:rPr>
          <w:rFonts w:ascii="Abadi" w:hAnsi="Abadi"/>
          <w:b w:val="0"/>
          <w:bCs w:val="0"/>
          <w:sz w:val="21"/>
          <w:szCs w:val="21"/>
        </w:rPr>
        <w:t>el</w:t>
      </w:r>
      <w:r w:rsidRPr="007C2763">
        <w:rPr>
          <w:rFonts w:ascii="Abadi" w:hAnsi="Abadi"/>
          <w:b w:val="0"/>
          <w:bCs w:val="0"/>
          <w:spacing w:val="-1"/>
          <w:sz w:val="21"/>
          <w:szCs w:val="21"/>
        </w:rPr>
        <w:t xml:space="preserve"> </w:t>
      </w:r>
      <w:r w:rsidRPr="007C2763">
        <w:rPr>
          <w:rFonts w:ascii="Abadi" w:hAnsi="Abadi"/>
          <w:b w:val="0"/>
          <w:bCs w:val="0"/>
          <w:sz w:val="21"/>
          <w:szCs w:val="21"/>
        </w:rPr>
        <w:t>consenso</w:t>
      </w:r>
      <w:r w:rsidRPr="007C2763">
        <w:rPr>
          <w:rFonts w:ascii="Abadi" w:hAnsi="Abadi"/>
          <w:b w:val="0"/>
          <w:bCs w:val="0"/>
          <w:spacing w:val="1"/>
          <w:sz w:val="21"/>
          <w:szCs w:val="21"/>
        </w:rPr>
        <w:t xml:space="preserve"> </w:t>
      </w:r>
      <w:r w:rsidRPr="007C2763">
        <w:rPr>
          <w:rFonts w:ascii="Abadi" w:hAnsi="Abadi"/>
          <w:b w:val="0"/>
          <w:bCs w:val="0"/>
          <w:sz w:val="21"/>
          <w:szCs w:val="21"/>
        </w:rPr>
        <w:t>y</w:t>
      </w:r>
      <w:r w:rsidRPr="007C2763">
        <w:rPr>
          <w:rFonts w:ascii="Abadi" w:hAnsi="Abadi"/>
          <w:b w:val="0"/>
          <w:bCs w:val="0"/>
          <w:spacing w:val="-2"/>
          <w:sz w:val="21"/>
          <w:szCs w:val="21"/>
        </w:rPr>
        <w:t xml:space="preserve"> </w:t>
      </w:r>
      <w:r w:rsidRPr="007C2763">
        <w:rPr>
          <w:rFonts w:ascii="Abadi" w:hAnsi="Abadi"/>
          <w:b w:val="0"/>
          <w:bCs w:val="0"/>
          <w:sz w:val="21"/>
          <w:szCs w:val="21"/>
        </w:rPr>
        <w:t>en</w:t>
      </w:r>
      <w:r w:rsidRPr="007C2763">
        <w:rPr>
          <w:rFonts w:ascii="Abadi" w:hAnsi="Abadi"/>
          <w:b w:val="0"/>
          <w:bCs w:val="0"/>
          <w:spacing w:val="-1"/>
          <w:sz w:val="21"/>
          <w:szCs w:val="21"/>
        </w:rPr>
        <w:t xml:space="preserve"> </w:t>
      </w:r>
      <w:r w:rsidRPr="007C2763">
        <w:rPr>
          <w:rFonts w:ascii="Abadi" w:hAnsi="Abadi"/>
          <w:b w:val="0"/>
          <w:bCs w:val="0"/>
          <w:sz w:val="21"/>
          <w:szCs w:val="21"/>
        </w:rPr>
        <w:t>nuestra</w:t>
      </w:r>
      <w:r w:rsidRPr="007C2763">
        <w:rPr>
          <w:rFonts w:ascii="Abadi" w:hAnsi="Abadi"/>
          <w:b w:val="0"/>
          <w:bCs w:val="0"/>
          <w:spacing w:val="1"/>
          <w:sz w:val="21"/>
          <w:szCs w:val="21"/>
        </w:rPr>
        <w:t xml:space="preserve"> </w:t>
      </w:r>
      <w:r w:rsidRPr="007C2763">
        <w:rPr>
          <w:rFonts w:ascii="Abadi" w:hAnsi="Abadi"/>
          <w:b w:val="0"/>
          <w:bCs w:val="0"/>
          <w:sz w:val="21"/>
          <w:szCs w:val="21"/>
        </w:rPr>
        <w:t>compleja,</w:t>
      </w:r>
      <w:r w:rsidRPr="007C2763">
        <w:rPr>
          <w:rFonts w:ascii="Abadi" w:hAnsi="Abadi"/>
          <w:b w:val="0"/>
          <w:bCs w:val="0"/>
          <w:spacing w:val="-2"/>
          <w:sz w:val="21"/>
          <w:szCs w:val="21"/>
        </w:rPr>
        <w:t xml:space="preserve"> </w:t>
      </w:r>
      <w:r w:rsidRPr="007C2763">
        <w:rPr>
          <w:rFonts w:ascii="Abadi" w:hAnsi="Abadi"/>
          <w:b w:val="0"/>
          <w:bCs w:val="0"/>
          <w:sz w:val="21"/>
          <w:szCs w:val="21"/>
        </w:rPr>
        <w:t>pero</w:t>
      </w:r>
      <w:r w:rsidRPr="007C2763">
        <w:rPr>
          <w:rFonts w:ascii="Abadi" w:hAnsi="Abadi"/>
          <w:b w:val="0"/>
          <w:bCs w:val="0"/>
          <w:spacing w:val="-4"/>
          <w:sz w:val="21"/>
          <w:szCs w:val="21"/>
        </w:rPr>
        <w:t xml:space="preserve"> </w:t>
      </w:r>
      <w:r w:rsidRPr="007C2763">
        <w:rPr>
          <w:rFonts w:ascii="Abadi" w:hAnsi="Abadi"/>
          <w:b w:val="0"/>
          <w:bCs w:val="0"/>
          <w:sz w:val="21"/>
          <w:szCs w:val="21"/>
        </w:rPr>
        <w:t>hermosa pluralidad.</w:t>
      </w:r>
    </w:p>
    <w:p w14:paraId="6097C3F4" w14:textId="77777777" w:rsidR="00374A1E" w:rsidRPr="007C2763" w:rsidRDefault="00374A1E" w:rsidP="00BC6383">
      <w:pPr>
        <w:pStyle w:val="Textoindependiente"/>
        <w:kinsoku w:val="0"/>
        <w:overflowPunct w:val="0"/>
        <w:rPr>
          <w:rFonts w:ascii="Abadi" w:hAnsi="Abadi"/>
          <w:b w:val="0"/>
          <w:bCs w:val="0"/>
          <w:sz w:val="21"/>
          <w:szCs w:val="21"/>
        </w:rPr>
      </w:pPr>
    </w:p>
    <w:p w14:paraId="39454BE5" w14:textId="77777777" w:rsidR="00374A1E" w:rsidRPr="007C2763" w:rsidRDefault="00374A1E" w:rsidP="00BC6383">
      <w:pPr>
        <w:pStyle w:val="Textoindependiente"/>
        <w:kinsoku w:val="0"/>
        <w:overflowPunct w:val="0"/>
        <w:ind w:left="40" w:right="114" w:firstLine="708"/>
        <w:rPr>
          <w:rFonts w:ascii="Abadi" w:hAnsi="Abadi"/>
          <w:b w:val="0"/>
          <w:bCs w:val="0"/>
          <w:sz w:val="21"/>
          <w:szCs w:val="21"/>
        </w:rPr>
      </w:pPr>
      <w:r w:rsidRPr="007C2763">
        <w:rPr>
          <w:rFonts w:ascii="Abadi" w:hAnsi="Abadi"/>
          <w:b w:val="0"/>
          <w:bCs w:val="0"/>
          <w:sz w:val="21"/>
          <w:szCs w:val="21"/>
        </w:rPr>
        <w:t>En</w:t>
      </w:r>
      <w:r w:rsidRPr="007C2763">
        <w:rPr>
          <w:rFonts w:ascii="Abadi" w:hAnsi="Abadi"/>
          <w:b w:val="0"/>
          <w:bCs w:val="0"/>
          <w:spacing w:val="43"/>
          <w:sz w:val="21"/>
          <w:szCs w:val="21"/>
        </w:rPr>
        <w:t xml:space="preserve"> </w:t>
      </w:r>
      <w:r w:rsidRPr="007C2763">
        <w:rPr>
          <w:rFonts w:ascii="Abadi" w:hAnsi="Abadi"/>
          <w:b w:val="0"/>
          <w:bCs w:val="0"/>
          <w:sz w:val="21"/>
          <w:szCs w:val="21"/>
        </w:rPr>
        <w:t>conclusión,</w:t>
      </w:r>
      <w:r w:rsidRPr="007C2763">
        <w:rPr>
          <w:rFonts w:ascii="Abadi" w:hAnsi="Abadi"/>
          <w:b w:val="0"/>
          <w:bCs w:val="0"/>
          <w:spacing w:val="42"/>
          <w:sz w:val="21"/>
          <w:szCs w:val="21"/>
        </w:rPr>
        <w:t xml:space="preserve"> </w:t>
      </w:r>
      <w:r w:rsidRPr="007C2763">
        <w:rPr>
          <w:rFonts w:ascii="Abadi" w:hAnsi="Abadi"/>
          <w:b w:val="0"/>
          <w:bCs w:val="0"/>
          <w:sz w:val="21"/>
          <w:szCs w:val="21"/>
        </w:rPr>
        <w:t>queremos</w:t>
      </w:r>
      <w:r w:rsidRPr="007C2763">
        <w:rPr>
          <w:rFonts w:ascii="Abadi" w:hAnsi="Abadi"/>
          <w:b w:val="0"/>
          <w:bCs w:val="0"/>
          <w:spacing w:val="41"/>
          <w:sz w:val="21"/>
          <w:szCs w:val="21"/>
        </w:rPr>
        <w:t xml:space="preserve"> </w:t>
      </w:r>
      <w:r w:rsidRPr="007C2763">
        <w:rPr>
          <w:rFonts w:ascii="Abadi" w:hAnsi="Abadi"/>
          <w:b w:val="0"/>
          <w:bCs w:val="0"/>
          <w:sz w:val="21"/>
          <w:szCs w:val="21"/>
        </w:rPr>
        <w:t>que</w:t>
      </w:r>
      <w:r w:rsidRPr="007C2763">
        <w:rPr>
          <w:rFonts w:ascii="Abadi" w:hAnsi="Abadi"/>
          <w:b w:val="0"/>
          <w:bCs w:val="0"/>
          <w:spacing w:val="41"/>
          <w:sz w:val="21"/>
          <w:szCs w:val="21"/>
        </w:rPr>
        <w:t xml:space="preserve"> </w:t>
      </w:r>
      <w:r w:rsidRPr="007C2763">
        <w:rPr>
          <w:rFonts w:ascii="Abadi" w:hAnsi="Abadi"/>
          <w:b w:val="0"/>
          <w:bCs w:val="0"/>
          <w:sz w:val="21"/>
          <w:szCs w:val="21"/>
        </w:rPr>
        <w:t>los</w:t>
      </w:r>
      <w:r w:rsidRPr="007C2763">
        <w:rPr>
          <w:rFonts w:ascii="Abadi" w:hAnsi="Abadi"/>
          <w:b w:val="0"/>
          <w:bCs w:val="0"/>
          <w:spacing w:val="41"/>
          <w:sz w:val="21"/>
          <w:szCs w:val="21"/>
        </w:rPr>
        <w:t xml:space="preserve"> </w:t>
      </w:r>
      <w:r w:rsidRPr="007C2763">
        <w:rPr>
          <w:rFonts w:ascii="Abadi" w:hAnsi="Abadi"/>
          <w:b w:val="0"/>
          <w:bCs w:val="0"/>
          <w:sz w:val="21"/>
          <w:szCs w:val="21"/>
        </w:rPr>
        <w:t>Doctormorenses</w:t>
      </w:r>
      <w:r w:rsidRPr="007C2763">
        <w:rPr>
          <w:rFonts w:ascii="Abadi" w:hAnsi="Abadi"/>
          <w:b w:val="0"/>
          <w:bCs w:val="0"/>
          <w:spacing w:val="41"/>
          <w:sz w:val="21"/>
          <w:szCs w:val="21"/>
        </w:rPr>
        <w:t xml:space="preserve"> </w:t>
      </w:r>
      <w:r w:rsidRPr="007C2763">
        <w:rPr>
          <w:rFonts w:ascii="Abadi" w:hAnsi="Abadi"/>
          <w:b w:val="0"/>
          <w:bCs w:val="0"/>
          <w:sz w:val="21"/>
          <w:szCs w:val="21"/>
        </w:rPr>
        <w:t>se</w:t>
      </w:r>
      <w:r w:rsidRPr="007C2763">
        <w:rPr>
          <w:rFonts w:ascii="Abadi" w:hAnsi="Abadi"/>
          <w:b w:val="0"/>
          <w:bCs w:val="0"/>
          <w:spacing w:val="41"/>
          <w:sz w:val="21"/>
          <w:szCs w:val="21"/>
        </w:rPr>
        <w:t xml:space="preserve"> </w:t>
      </w:r>
      <w:r w:rsidRPr="007C2763">
        <w:rPr>
          <w:rFonts w:ascii="Abadi" w:hAnsi="Abadi"/>
          <w:b w:val="0"/>
          <w:bCs w:val="0"/>
          <w:sz w:val="21"/>
          <w:szCs w:val="21"/>
        </w:rPr>
        <w:t>identifiquen</w:t>
      </w:r>
      <w:r w:rsidRPr="007C2763">
        <w:rPr>
          <w:rFonts w:ascii="Abadi" w:hAnsi="Abadi"/>
          <w:b w:val="0"/>
          <w:bCs w:val="0"/>
          <w:spacing w:val="44"/>
          <w:sz w:val="21"/>
          <w:szCs w:val="21"/>
        </w:rPr>
        <w:t xml:space="preserve"> </w:t>
      </w:r>
      <w:r w:rsidRPr="007C2763">
        <w:rPr>
          <w:rFonts w:ascii="Abadi" w:hAnsi="Abadi"/>
          <w:b w:val="0"/>
          <w:bCs w:val="0"/>
          <w:sz w:val="21"/>
          <w:szCs w:val="21"/>
        </w:rPr>
        <w:t>y</w:t>
      </w:r>
      <w:r w:rsidRPr="007C2763">
        <w:rPr>
          <w:rFonts w:ascii="Abadi" w:hAnsi="Abadi"/>
          <w:b w:val="0"/>
          <w:bCs w:val="0"/>
          <w:spacing w:val="41"/>
          <w:sz w:val="21"/>
          <w:szCs w:val="21"/>
        </w:rPr>
        <w:t xml:space="preserve"> </w:t>
      </w:r>
      <w:r w:rsidRPr="007C2763">
        <w:rPr>
          <w:rFonts w:ascii="Abadi" w:hAnsi="Abadi"/>
          <w:b w:val="0"/>
          <w:bCs w:val="0"/>
          <w:sz w:val="21"/>
          <w:szCs w:val="21"/>
        </w:rPr>
        <w:t>sean ciudadanos</w:t>
      </w:r>
      <w:r w:rsidRPr="007C2763">
        <w:rPr>
          <w:rFonts w:ascii="Abadi" w:hAnsi="Abadi"/>
          <w:b w:val="0"/>
          <w:bCs w:val="0"/>
          <w:spacing w:val="56"/>
          <w:sz w:val="21"/>
          <w:szCs w:val="21"/>
        </w:rPr>
        <w:t xml:space="preserve"> </w:t>
      </w:r>
      <w:r w:rsidRPr="007C2763">
        <w:rPr>
          <w:rFonts w:ascii="Abadi" w:hAnsi="Abadi"/>
          <w:b w:val="0"/>
          <w:bCs w:val="0"/>
          <w:sz w:val="21"/>
          <w:szCs w:val="21"/>
        </w:rPr>
        <w:t>plenos,</w:t>
      </w:r>
      <w:r w:rsidRPr="007C2763">
        <w:rPr>
          <w:rFonts w:ascii="Abadi" w:hAnsi="Abadi"/>
          <w:b w:val="0"/>
          <w:bCs w:val="0"/>
          <w:spacing w:val="57"/>
          <w:sz w:val="21"/>
          <w:szCs w:val="21"/>
        </w:rPr>
        <w:t xml:space="preserve"> </w:t>
      </w:r>
      <w:r w:rsidRPr="007C2763">
        <w:rPr>
          <w:rFonts w:ascii="Abadi" w:hAnsi="Abadi"/>
          <w:b w:val="0"/>
          <w:bCs w:val="0"/>
          <w:sz w:val="21"/>
          <w:szCs w:val="21"/>
        </w:rPr>
        <w:t>conscientes</w:t>
      </w:r>
      <w:r w:rsidRPr="007C2763">
        <w:rPr>
          <w:rFonts w:ascii="Abadi" w:hAnsi="Abadi"/>
          <w:b w:val="0"/>
          <w:bCs w:val="0"/>
          <w:spacing w:val="58"/>
          <w:sz w:val="21"/>
          <w:szCs w:val="21"/>
        </w:rPr>
        <w:t xml:space="preserve"> </w:t>
      </w:r>
      <w:r w:rsidRPr="007C2763">
        <w:rPr>
          <w:rFonts w:ascii="Abadi" w:hAnsi="Abadi"/>
          <w:b w:val="0"/>
          <w:bCs w:val="0"/>
          <w:sz w:val="21"/>
          <w:szCs w:val="21"/>
        </w:rPr>
        <w:t>de</w:t>
      </w:r>
      <w:r w:rsidRPr="007C2763">
        <w:rPr>
          <w:rFonts w:ascii="Abadi" w:hAnsi="Abadi"/>
          <w:b w:val="0"/>
          <w:bCs w:val="0"/>
          <w:spacing w:val="59"/>
          <w:sz w:val="21"/>
          <w:szCs w:val="21"/>
        </w:rPr>
        <w:t xml:space="preserve"> </w:t>
      </w:r>
      <w:r w:rsidRPr="007C2763">
        <w:rPr>
          <w:rFonts w:ascii="Abadi" w:hAnsi="Abadi"/>
          <w:b w:val="0"/>
          <w:bCs w:val="0"/>
          <w:sz w:val="21"/>
          <w:szCs w:val="21"/>
        </w:rPr>
        <w:t>sus</w:t>
      </w:r>
      <w:r w:rsidRPr="007C2763">
        <w:rPr>
          <w:rFonts w:ascii="Abadi" w:hAnsi="Abadi"/>
          <w:b w:val="0"/>
          <w:bCs w:val="0"/>
          <w:spacing w:val="56"/>
          <w:sz w:val="21"/>
          <w:szCs w:val="21"/>
        </w:rPr>
        <w:t xml:space="preserve"> </w:t>
      </w:r>
      <w:r w:rsidRPr="007C2763">
        <w:rPr>
          <w:rFonts w:ascii="Abadi" w:hAnsi="Abadi"/>
          <w:b w:val="0"/>
          <w:bCs w:val="0"/>
          <w:sz w:val="21"/>
          <w:szCs w:val="21"/>
        </w:rPr>
        <w:t>derechos</w:t>
      </w:r>
      <w:r w:rsidRPr="007C2763">
        <w:rPr>
          <w:rFonts w:ascii="Abadi" w:hAnsi="Abadi"/>
          <w:b w:val="0"/>
          <w:bCs w:val="0"/>
          <w:spacing w:val="58"/>
          <w:sz w:val="21"/>
          <w:szCs w:val="21"/>
        </w:rPr>
        <w:t xml:space="preserve"> </w:t>
      </w:r>
      <w:r w:rsidRPr="007C2763">
        <w:rPr>
          <w:rFonts w:ascii="Abadi" w:hAnsi="Abadi"/>
          <w:b w:val="0"/>
          <w:bCs w:val="0"/>
          <w:sz w:val="21"/>
          <w:szCs w:val="21"/>
        </w:rPr>
        <w:t>y</w:t>
      </w:r>
      <w:r w:rsidRPr="007C2763">
        <w:rPr>
          <w:rFonts w:ascii="Abadi" w:hAnsi="Abadi"/>
          <w:b w:val="0"/>
          <w:bCs w:val="0"/>
          <w:spacing w:val="58"/>
          <w:sz w:val="21"/>
          <w:szCs w:val="21"/>
        </w:rPr>
        <w:t xml:space="preserve"> </w:t>
      </w:r>
      <w:r w:rsidRPr="007C2763">
        <w:rPr>
          <w:rFonts w:ascii="Abadi" w:hAnsi="Abadi"/>
          <w:b w:val="0"/>
          <w:bCs w:val="0"/>
          <w:sz w:val="21"/>
          <w:szCs w:val="21"/>
        </w:rPr>
        <w:t>con</w:t>
      </w:r>
      <w:r w:rsidRPr="007C2763">
        <w:rPr>
          <w:rFonts w:ascii="Abadi" w:hAnsi="Abadi"/>
          <w:b w:val="0"/>
          <w:bCs w:val="0"/>
          <w:spacing w:val="57"/>
          <w:sz w:val="21"/>
          <w:szCs w:val="21"/>
        </w:rPr>
        <w:t xml:space="preserve"> </w:t>
      </w:r>
      <w:r w:rsidRPr="007C2763">
        <w:rPr>
          <w:rFonts w:ascii="Abadi" w:hAnsi="Abadi"/>
          <w:b w:val="0"/>
          <w:bCs w:val="0"/>
          <w:sz w:val="21"/>
          <w:szCs w:val="21"/>
        </w:rPr>
        <w:t>las</w:t>
      </w:r>
      <w:r w:rsidRPr="007C2763">
        <w:rPr>
          <w:rFonts w:ascii="Abadi" w:hAnsi="Abadi"/>
          <w:b w:val="0"/>
          <w:bCs w:val="0"/>
          <w:spacing w:val="58"/>
          <w:sz w:val="21"/>
          <w:szCs w:val="21"/>
        </w:rPr>
        <w:t xml:space="preserve"> </w:t>
      </w:r>
      <w:r w:rsidRPr="007C2763">
        <w:rPr>
          <w:rFonts w:ascii="Abadi" w:hAnsi="Abadi"/>
          <w:b w:val="0"/>
          <w:bCs w:val="0"/>
          <w:sz w:val="21"/>
          <w:szCs w:val="21"/>
        </w:rPr>
        <w:t>herramientas necesarias para</w:t>
      </w:r>
      <w:r w:rsidRPr="007C2763">
        <w:rPr>
          <w:rFonts w:ascii="Abadi" w:hAnsi="Abadi"/>
          <w:b w:val="0"/>
          <w:bCs w:val="0"/>
          <w:spacing w:val="-1"/>
          <w:sz w:val="21"/>
          <w:szCs w:val="21"/>
        </w:rPr>
        <w:t xml:space="preserve"> </w:t>
      </w:r>
      <w:r w:rsidRPr="007C2763">
        <w:rPr>
          <w:rFonts w:ascii="Abadi" w:hAnsi="Abadi"/>
          <w:b w:val="0"/>
          <w:bCs w:val="0"/>
          <w:sz w:val="21"/>
          <w:szCs w:val="21"/>
        </w:rPr>
        <w:t>hacer</w:t>
      </w:r>
      <w:r w:rsidRPr="007C2763">
        <w:rPr>
          <w:rFonts w:ascii="Abadi" w:hAnsi="Abadi"/>
          <w:b w:val="0"/>
          <w:bCs w:val="0"/>
          <w:spacing w:val="-3"/>
          <w:sz w:val="21"/>
          <w:szCs w:val="21"/>
        </w:rPr>
        <w:t xml:space="preserve"> </w:t>
      </w:r>
      <w:r w:rsidRPr="007C2763">
        <w:rPr>
          <w:rFonts w:ascii="Abadi" w:hAnsi="Abadi"/>
          <w:b w:val="0"/>
          <w:bCs w:val="0"/>
          <w:sz w:val="21"/>
          <w:szCs w:val="21"/>
        </w:rPr>
        <w:t>valer</w:t>
      </w:r>
      <w:r w:rsidRPr="007C2763">
        <w:rPr>
          <w:rFonts w:ascii="Abadi" w:hAnsi="Abadi"/>
          <w:b w:val="0"/>
          <w:bCs w:val="0"/>
          <w:spacing w:val="-1"/>
          <w:sz w:val="21"/>
          <w:szCs w:val="21"/>
        </w:rPr>
        <w:t xml:space="preserve"> </w:t>
      </w:r>
      <w:r w:rsidRPr="007C2763">
        <w:rPr>
          <w:rFonts w:ascii="Abadi" w:hAnsi="Abadi"/>
          <w:b w:val="0"/>
          <w:bCs w:val="0"/>
          <w:sz w:val="21"/>
          <w:szCs w:val="21"/>
        </w:rPr>
        <w:t>sus intereses.</w:t>
      </w:r>
    </w:p>
    <w:p w14:paraId="327D6B61" w14:textId="77777777" w:rsidR="00374A1E" w:rsidRPr="007C2763" w:rsidRDefault="00374A1E" w:rsidP="00BC6383">
      <w:pPr>
        <w:pStyle w:val="Textoindependiente"/>
        <w:kinsoku w:val="0"/>
        <w:overflowPunct w:val="0"/>
        <w:rPr>
          <w:rFonts w:ascii="Abadi" w:hAnsi="Abadi"/>
          <w:b w:val="0"/>
          <w:bCs w:val="0"/>
          <w:sz w:val="21"/>
          <w:szCs w:val="21"/>
        </w:rPr>
      </w:pPr>
    </w:p>
    <w:p w14:paraId="108D4441" w14:textId="77777777" w:rsidR="00374A1E" w:rsidRPr="007C2763" w:rsidRDefault="00374A1E" w:rsidP="00BC6383">
      <w:pPr>
        <w:pStyle w:val="Textoindependiente"/>
        <w:kinsoku w:val="0"/>
        <w:overflowPunct w:val="0"/>
        <w:ind w:left="40" w:right="115" w:firstLine="708"/>
        <w:rPr>
          <w:rFonts w:ascii="Abadi" w:hAnsi="Abadi"/>
          <w:b w:val="0"/>
          <w:bCs w:val="0"/>
          <w:sz w:val="21"/>
          <w:szCs w:val="21"/>
        </w:rPr>
      </w:pPr>
      <w:r w:rsidRPr="007C2763">
        <w:rPr>
          <w:rFonts w:ascii="Abadi" w:hAnsi="Abadi"/>
          <w:b w:val="0"/>
          <w:bCs w:val="0"/>
          <w:sz w:val="21"/>
          <w:szCs w:val="21"/>
        </w:rPr>
        <w:t>No</w:t>
      </w:r>
      <w:r w:rsidRPr="007C2763">
        <w:rPr>
          <w:rFonts w:ascii="Abadi" w:hAnsi="Abadi"/>
          <w:b w:val="0"/>
          <w:bCs w:val="0"/>
          <w:spacing w:val="36"/>
          <w:sz w:val="21"/>
          <w:szCs w:val="21"/>
        </w:rPr>
        <w:t xml:space="preserve"> </w:t>
      </w:r>
      <w:r w:rsidRPr="007C2763">
        <w:rPr>
          <w:rFonts w:ascii="Abadi" w:hAnsi="Abadi"/>
          <w:b w:val="0"/>
          <w:bCs w:val="0"/>
          <w:sz w:val="21"/>
          <w:szCs w:val="21"/>
        </w:rPr>
        <w:t>omitimos</w:t>
      </w:r>
      <w:r w:rsidRPr="007C2763">
        <w:rPr>
          <w:rFonts w:ascii="Abadi" w:hAnsi="Abadi"/>
          <w:b w:val="0"/>
          <w:bCs w:val="0"/>
          <w:spacing w:val="34"/>
          <w:sz w:val="21"/>
          <w:szCs w:val="21"/>
        </w:rPr>
        <w:t xml:space="preserve"> </w:t>
      </w:r>
      <w:r w:rsidRPr="007C2763">
        <w:rPr>
          <w:rFonts w:ascii="Abadi" w:hAnsi="Abadi"/>
          <w:b w:val="0"/>
          <w:bCs w:val="0"/>
          <w:sz w:val="21"/>
          <w:szCs w:val="21"/>
        </w:rPr>
        <w:t>mencionar</w:t>
      </w:r>
      <w:r w:rsidRPr="007C2763">
        <w:rPr>
          <w:rFonts w:ascii="Abadi" w:hAnsi="Abadi"/>
          <w:b w:val="0"/>
          <w:bCs w:val="0"/>
          <w:spacing w:val="35"/>
          <w:sz w:val="21"/>
          <w:szCs w:val="21"/>
        </w:rPr>
        <w:t xml:space="preserve"> </w:t>
      </w:r>
      <w:r w:rsidRPr="007C2763">
        <w:rPr>
          <w:rFonts w:ascii="Abadi" w:hAnsi="Abadi"/>
          <w:b w:val="0"/>
          <w:bCs w:val="0"/>
          <w:sz w:val="21"/>
          <w:szCs w:val="21"/>
        </w:rPr>
        <w:t>que</w:t>
      </w:r>
      <w:r w:rsidRPr="007C2763">
        <w:rPr>
          <w:rFonts w:ascii="Abadi" w:hAnsi="Abadi"/>
          <w:b w:val="0"/>
          <w:bCs w:val="0"/>
          <w:spacing w:val="35"/>
          <w:sz w:val="21"/>
          <w:szCs w:val="21"/>
        </w:rPr>
        <w:t xml:space="preserve"> </w:t>
      </w:r>
      <w:r w:rsidRPr="007C2763">
        <w:rPr>
          <w:rFonts w:ascii="Abadi" w:hAnsi="Abadi"/>
          <w:b w:val="0"/>
          <w:bCs w:val="0"/>
          <w:sz w:val="21"/>
          <w:szCs w:val="21"/>
        </w:rPr>
        <w:t>este</w:t>
      </w:r>
      <w:r w:rsidRPr="007C2763">
        <w:rPr>
          <w:rFonts w:ascii="Abadi" w:hAnsi="Abadi"/>
          <w:b w:val="0"/>
          <w:bCs w:val="0"/>
          <w:spacing w:val="37"/>
          <w:sz w:val="21"/>
          <w:szCs w:val="21"/>
        </w:rPr>
        <w:t xml:space="preserve"> </w:t>
      </w:r>
      <w:r w:rsidRPr="007C2763">
        <w:rPr>
          <w:rFonts w:ascii="Abadi" w:hAnsi="Abadi"/>
          <w:b w:val="0"/>
          <w:bCs w:val="0"/>
          <w:sz w:val="21"/>
          <w:szCs w:val="21"/>
        </w:rPr>
        <w:t>posicionamiento,</w:t>
      </w:r>
      <w:r w:rsidRPr="007C2763">
        <w:rPr>
          <w:rFonts w:ascii="Abadi" w:hAnsi="Abadi"/>
          <w:b w:val="0"/>
          <w:bCs w:val="0"/>
          <w:spacing w:val="33"/>
          <w:sz w:val="21"/>
          <w:szCs w:val="21"/>
        </w:rPr>
        <w:t xml:space="preserve"> </w:t>
      </w:r>
      <w:r w:rsidRPr="007C2763">
        <w:rPr>
          <w:rFonts w:ascii="Abadi" w:hAnsi="Abadi"/>
          <w:b w:val="0"/>
          <w:bCs w:val="0"/>
          <w:sz w:val="21"/>
          <w:szCs w:val="21"/>
        </w:rPr>
        <w:t>además</w:t>
      </w:r>
      <w:r w:rsidRPr="007C2763">
        <w:rPr>
          <w:rFonts w:ascii="Abadi" w:hAnsi="Abadi"/>
          <w:b w:val="0"/>
          <w:bCs w:val="0"/>
          <w:spacing w:val="34"/>
          <w:sz w:val="21"/>
          <w:szCs w:val="21"/>
        </w:rPr>
        <w:t xml:space="preserve"> </w:t>
      </w:r>
      <w:r w:rsidRPr="007C2763">
        <w:rPr>
          <w:rFonts w:ascii="Abadi" w:hAnsi="Abadi"/>
          <w:b w:val="0"/>
          <w:bCs w:val="0"/>
          <w:sz w:val="21"/>
          <w:szCs w:val="21"/>
        </w:rPr>
        <w:t>del</w:t>
      </w:r>
      <w:r w:rsidRPr="007C2763">
        <w:rPr>
          <w:rFonts w:ascii="Abadi" w:hAnsi="Abadi"/>
          <w:b w:val="0"/>
          <w:bCs w:val="0"/>
          <w:spacing w:val="33"/>
          <w:sz w:val="21"/>
          <w:szCs w:val="21"/>
        </w:rPr>
        <w:t xml:space="preserve"> </w:t>
      </w:r>
      <w:r w:rsidRPr="007C2763">
        <w:rPr>
          <w:rFonts w:ascii="Abadi" w:hAnsi="Abadi"/>
          <w:b w:val="0"/>
          <w:bCs w:val="0"/>
          <w:sz w:val="21"/>
          <w:szCs w:val="21"/>
        </w:rPr>
        <w:t>propio,</w:t>
      </w:r>
      <w:r w:rsidRPr="007C2763">
        <w:rPr>
          <w:rFonts w:ascii="Abadi" w:hAnsi="Abadi"/>
          <w:b w:val="0"/>
          <w:bCs w:val="0"/>
          <w:spacing w:val="36"/>
          <w:sz w:val="21"/>
          <w:szCs w:val="21"/>
        </w:rPr>
        <w:t xml:space="preserve"> </w:t>
      </w:r>
      <w:r w:rsidRPr="007C2763">
        <w:rPr>
          <w:rFonts w:ascii="Abadi" w:hAnsi="Abadi"/>
          <w:b w:val="0"/>
          <w:bCs w:val="0"/>
          <w:sz w:val="21"/>
          <w:szCs w:val="21"/>
        </w:rPr>
        <w:t>se encuentra</w:t>
      </w:r>
      <w:r w:rsidRPr="007C2763">
        <w:rPr>
          <w:rFonts w:ascii="Abadi" w:hAnsi="Abadi"/>
          <w:b w:val="0"/>
          <w:bCs w:val="0"/>
          <w:spacing w:val="20"/>
          <w:sz w:val="21"/>
          <w:szCs w:val="21"/>
        </w:rPr>
        <w:t xml:space="preserve"> </w:t>
      </w:r>
      <w:r w:rsidRPr="007C2763">
        <w:rPr>
          <w:rFonts w:ascii="Abadi" w:hAnsi="Abadi"/>
          <w:b w:val="0"/>
          <w:bCs w:val="0"/>
          <w:sz w:val="21"/>
          <w:szCs w:val="21"/>
        </w:rPr>
        <w:t>sustentado</w:t>
      </w:r>
      <w:r w:rsidRPr="007C2763">
        <w:rPr>
          <w:rFonts w:ascii="Abadi" w:hAnsi="Abadi"/>
          <w:b w:val="0"/>
          <w:bCs w:val="0"/>
          <w:spacing w:val="18"/>
          <w:sz w:val="21"/>
          <w:szCs w:val="21"/>
        </w:rPr>
        <w:t xml:space="preserve"> </w:t>
      </w:r>
      <w:r w:rsidRPr="007C2763">
        <w:rPr>
          <w:rFonts w:ascii="Abadi" w:hAnsi="Abadi"/>
          <w:b w:val="0"/>
          <w:bCs w:val="0"/>
          <w:sz w:val="21"/>
          <w:szCs w:val="21"/>
        </w:rPr>
        <w:t>en</w:t>
      </w:r>
      <w:r w:rsidRPr="007C2763">
        <w:rPr>
          <w:rFonts w:ascii="Abadi" w:hAnsi="Abadi"/>
          <w:b w:val="0"/>
          <w:bCs w:val="0"/>
          <w:spacing w:val="20"/>
          <w:sz w:val="21"/>
          <w:szCs w:val="21"/>
        </w:rPr>
        <w:t xml:space="preserve"> </w:t>
      </w:r>
      <w:r w:rsidRPr="007C2763">
        <w:rPr>
          <w:rFonts w:ascii="Abadi" w:hAnsi="Abadi"/>
          <w:b w:val="0"/>
          <w:bCs w:val="0"/>
          <w:sz w:val="21"/>
          <w:szCs w:val="21"/>
        </w:rPr>
        <w:t>el</w:t>
      </w:r>
      <w:r w:rsidRPr="007C2763">
        <w:rPr>
          <w:rFonts w:ascii="Abadi" w:hAnsi="Abadi"/>
          <w:b w:val="0"/>
          <w:bCs w:val="0"/>
          <w:spacing w:val="21"/>
          <w:sz w:val="21"/>
          <w:szCs w:val="21"/>
        </w:rPr>
        <w:t xml:space="preserve"> </w:t>
      </w:r>
      <w:r w:rsidRPr="007C2763">
        <w:rPr>
          <w:rFonts w:ascii="Abadi" w:hAnsi="Abadi"/>
          <w:b w:val="0"/>
          <w:bCs w:val="0"/>
          <w:sz w:val="21"/>
          <w:szCs w:val="21"/>
        </w:rPr>
        <w:t>resultado</w:t>
      </w:r>
      <w:r w:rsidRPr="007C2763">
        <w:rPr>
          <w:rFonts w:ascii="Abadi" w:hAnsi="Abadi"/>
          <w:b w:val="0"/>
          <w:bCs w:val="0"/>
          <w:spacing w:val="20"/>
          <w:sz w:val="21"/>
          <w:szCs w:val="21"/>
        </w:rPr>
        <w:t xml:space="preserve"> </w:t>
      </w:r>
      <w:r w:rsidRPr="007C2763">
        <w:rPr>
          <w:rFonts w:ascii="Abadi" w:hAnsi="Abadi"/>
          <w:b w:val="0"/>
          <w:bCs w:val="0"/>
          <w:sz w:val="21"/>
          <w:szCs w:val="21"/>
        </w:rPr>
        <w:t>de</w:t>
      </w:r>
      <w:r w:rsidRPr="007C2763">
        <w:rPr>
          <w:rFonts w:ascii="Abadi" w:hAnsi="Abadi"/>
          <w:b w:val="0"/>
          <w:bCs w:val="0"/>
          <w:spacing w:val="23"/>
          <w:sz w:val="21"/>
          <w:szCs w:val="21"/>
        </w:rPr>
        <w:t xml:space="preserve"> </w:t>
      </w:r>
      <w:r w:rsidRPr="007C2763">
        <w:rPr>
          <w:rFonts w:ascii="Abadi" w:hAnsi="Abadi"/>
          <w:b w:val="0"/>
          <w:bCs w:val="0"/>
          <w:sz w:val="21"/>
          <w:szCs w:val="21"/>
        </w:rPr>
        <w:t>la</w:t>
      </w:r>
      <w:r w:rsidRPr="007C2763">
        <w:rPr>
          <w:rFonts w:ascii="Abadi" w:hAnsi="Abadi"/>
          <w:b w:val="0"/>
          <w:bCs w:val="0"/>
          <w:spacing w:val="18"/>
          <w:sz w:val="21"/>
          <w:szCs w:val="21"/>
        </w:rPr>
        <w:t xml:space="preserve"> </w:t>
      </w:r>
      <w:r w:rsidRPr="007C2763">
        <w:rPr>
          <w:rFonts w:ascii="Abadi" w:hAnsi="Abadi"/>
          <w:b w:val="0"/>
          <w:bCs w:val="0"/>
          <w:sz w:val="21"/>
          <w:szCs w:val="21"/>
        </w:rPr>
        <w:t>metodología</w:t>
      </w:r>
      <w:r w:rsidRPr="007C2763">
        <w:rPr>
          <w:rFonts w:ascii="Abadi" w:hAnsi="Abadi"/>
          <w:b w:val="0"/>
          <w:bCs w:val="0"/>
          <w:spacing w:val="23"/>
          <w:sz w:val="21"/>
          <w:szCs w:val="21"/>
        </w:rPr>
        <w:t xml:space="preserve"> </w:t>
      </w:r>
      <w:r w:rsidRPr="007C2763">
        <w:rPr>
          <w:rFonts w:ascii="Abadi" w:hAnsi="Abadi"/>
          <w:b w:val="0"/>
          <w:bCs w:val="0"/>
          <w:sz w:val="21"/>
          <w:szCs w:val="21"/>
        </w:rPr>
        <w:t>llevada</w:t>
      </w:r>
      <w:r w:rsidRPr="007C2763">
        <w:rPr>
          <w:rFonts w:ascii="Abadi" w:hAnsi="Abadi"/>
          <w:b w:val="0"/>
          <w:bCs w:val="0"/>
          <w:spacing w:val="20"/>
          <w:sz w:val="21"/>
          <w:szCs w:val="21"/>
        </w:rPr>
        <w:t xml:space="preserve"> </w:t>
      </w:r>
      <w:r w:rsidRPr="007C2763">
        <w:rPr>
          <w:rFonts w:ascii="Abadi" w:hAnsi="Abadi"/>
          <w:b w:val="0"/>
          <w:bCs w:val="0"/>
          <w:sz w:val="21"/>
          <w:szCs w:val="21"/>
        </w:rPr>
        <w:t>a</w:t>
      </w:r>
      <w:r w:rsidRPr="007C2763">
        <w:rPr>
          <w:rFonts w:ascii="Abadi" w:hAnsi="Abadi"/>
          <w:b w:val="0"/>
          <w:bCs w:val="0"/>
          <w:spacing w:val="20"/>
          <w:sz w:val="21"/>
          <w:szCs w:val="21"/>
        </w:rPr>
        <w:t xml:space="preserve"> </w:t>
      </w:r>
      <w:r w:rsidRPr="007C2763">
        <w:rPr>
          <w:rFonts w:ascii="Abadi" w:hAnsi="Abadi"/>
          <w:b w:val="0"/>
          <w:bCs w:val="0"/>
          <w:sz w:val="21"/>
          <w:szCs w:val="21"/>
        </w:rPr>
        <w:t>cabo</w:t>
      </w:r>
      <w:r w:rsidRPr="007C2763">
        <w:rPr>
          <w:rFonts w:ascii="Abadi" w:hAnsi="Abadi"/>
          <w:b w:val="0"/>
          <w:bCs w:val="0"/>
          <w:spacing w:val="23"/>
          <w:sz w:val="21"/>
          <w:szCs w:val="21"/>
        </w:rPr>
        <w:t xml:space="preserve"> </w:t>
      </w:r>
      <w:r w:rsidRPr="007C2763">
        <w:rPr>
          <w:rFonts w:ascii="Abadi" w:hAnsi="Abadi"/>
          <w:b w:val="0"/>
          <w:bCs w:val="0"/>
          <w:sz w:val="21"/>
          <w:szCs w:val="21"/>
        </w:rPr>
        <w:t>conforme al</w:t>
      </w:r>
      <w:r w:rsidRPr="007C2763">
        <w:rPr>
          <w:rFonts w:ascii="Abadi" w:hAnsi="Abadi"/>
          <w:b w:val="0"/>
          <w:bCs w:val="0"/>
          <w:spacing w:val="4"/>
          <w:sz w:val="21"/>
          <w:szCs w:val="21"/>
        </w:rPr>
        <w:t xml:space="preserve"> </w:t>
      </w:r>
      <w:r w:rsidRPr="007C2763">
        <w:rPr>
          <w:rFonts w:ascii="Abadi" w:hAnsi="Abadi"/>
          <w:b w:val="0"/>
          <w:bCs w:val="0"/>
          <w:sz w:val="21"/>
          <w:szCs w:val="21"/>
        </w:rPr>
        <w:t>punto</w:t>
      </w:r>
      <w:r w:rsidRPr="007C2763">
        <w:rPr>
          <w:rFonts w:ascii="Abadi" w:hAnsi="Abadi"/>
          <w:b w:val="0"/>
          <w:bCs w:val="0"/>
          <w:spacing w:val="3"/>
          <w:sz w:val="21"/>
          <w:szCs w:val="21"/>
        </w:rPr>
        <w:t xml:space="preserve"> </w:t>
      </w:r>
      <w:r w:rsidRPr="007C2763">
        <w:rPr>
          <w:rFonts w:ascii="Abadi" w:hAnsi="Abadi"/>
          <w:b w:val="0"/>
          <w:bCs w:val="0"/>
          <w:sz w:val="21"/>
          <w:szCs w:val="21"/>
        </w:rPr>
        <w:t>número</w:t>
      </w:r>
      <w:r w:rsidRPr="007C2763">
        <w:rPr>
          <w:rFonts w:ascii="Abadi" w:hAnsi="Abadi"/>
          <w:b w:val="0"/>
          <w:bCs w:val="0"/>
          <w:spacing w:val="6"/>
          <w:sz w:val="21"/>
          <w:szCs w:val="21"/>
        </w:rPr>
        <w:t xml:space="preserve"> </w:t>
      </w:r>
      <w:r w:rsidRPr="007C2763">
        <w:rPr>
          <w:rFonts w:ascii="Abadi" w:hAnsi="Abadi"/>
          <w:b w:val="0"/>
          <w:bCs w:val="0"/>
          <w:sz w:val="21"/>
          <w:szCs w:val="21"/>
        </w:rPr>
        <w:t>5</w:t>
      </w:r>
      <w:r w:rsidRPr="007C2763">
        <w:rPr>
          <w:rFonts w:ascii="Abadi" w:hAnsi="Abadi"/>
          <w:b w:val="0"/>
          <w:bCs w:val="0"/>
          <w:spacing w:val="3"/>
          <w:sz w:val="21"/>
          <w:szCs w:val="21"/>
        </w:rPr>
        <w:t xml:space="preserve"> </w:t>
      </w:r>
      <w:r w:rsidRPr="007C2763">
        <w:rPr>
          <w:rFonts w:ascii="Abadi" w:hAnsi="Abadi"/>
          <w:b w:val="0"/>
          <w:bCs w:val="0"/>
          <w:sz w:val="21"/>
          <w:szCs w:val="21"/>
        </w:rPr>
        <w:t>del</w:t>
      </w:r>
      <w:r w:rsidRPr="007C2763">
        <w:rPr>
          <w:rFonts w:ascii="Abadi" w:hAnsi="Abadi"/>
          <w:b w:val="0"/>
          <w:bCs w:val="0"/>
          <w:spacing w:val="2"/>
          <w:sz w:val="21"/>
          <w:szCs w:val="21"/>
        </w:rPr>
        <w:t xml:space="preserve"> </w:t>
      </w:r>
      <w:r w:rsidRPr="007C2763">
        <w:rPr>
          <w:rFonts w:ascii="Abadi" w:hAnsi="Abadi"/>
          <w:b w:val="0"/>
          <w:bCs w:val="0"/>
          <w:sz w:val="21"/>
          <w:szCs w:val="21"/>
        </w:rPr>
        <w:t>oficio</w:t>
      </w:r>
      <w:r w:rsidRPr="007C2763">
        <w:rPr>
          <w:rFonts w:ascii="Abadi" w:hAnsi="Abadi"/>
          <w:b w:val="0"/>
          <w:bCs w:val="0"/>
          <w:spacing w:val="6"/>
          <w:sz w:val="21"/>
          <w:szCs w:val="21"/>
        </w:rPr>
        <w:t xml:space="preserve"> </w:t>
      </w:r>
      <w:r w:rsidRPr="007C2763">
        <w:rPr>
          <w:rFonts w:ascii="Abadi" w:hAnsi="Abadi"/>
          <w:b w:val="0"/>
          <w:bCs w:val="0"/>
          <w:sz w:val="21"/>
          <w:szCs w:val="21"/>
        </w:rPr>
        <w:t>circular</w:t>
      </w:r>
      <w:r w:rsidRPr="007C2763">
        <w:rPr>
          <w:rFonts w:ascii="Abadi" w:hAnsi="Abadi"/>
          <w:b w:val="0"/>
          <w:bCs w:val="0"/>
          <w:spacing w:val="4"/>
          <w:sz w:val="21"/>
          <w:szCs w:val="21"/>
        </w:rPr>
        <w:t xml:space="preserve"> </w:t>
      </w:r>
      <w:r w:rsidRPr="007C2763">
        <w:rPr>
          <w:rFonts w:ascii="Abadi" w:hAnsi="Abadi"/>
          <w:b w:val="0"/>
          <w:bCs w:val="0"/>
          <w:sz w:val="21"/>
          <w:szCs w:val="21"/>
        </w:rPr>
        <w:t>número</w:t>
      </w:r>
      <w:r w:rsidRPr="007C2763">
        <w:rPr>
          <w:rFonts w:ascii="Abadi" w:hAnsi="Abadi"/>
          <w:b w:val="0"/>
          <w:bCs w:val="0"/>
          <w:spacing w:val="3"/>
          <w:sz w:val="21"/>
          <w:szCs w:val="21"/>
        </w:rPr>
        <w:t xml:space="preserve"> </w:t>
      </w:r>
      <w:r w:rsidRPr="007C2763">
        <w:rPr>
          <w:rFonts w:ascii="Abadi" w:hAnsi="Abadi"/>
          <w:b w:val="0"/>
          <w:bCs w:val="0"/>
          <w:sz w:val="21"/>
          <w:szCs w:val="21"/>
        </w:rPr>
        <w:t>66</w:t>
      </w:r>
      <w:r w:rsidRPr="007C2763">
        <w:rPr>
          <w:rFonts w:ascii="Abadi" w:hAnsi="Abadi"/>
          <w:b w:val="0"/>
          <w:bCs w:val="0"/>
          <w:spacing w:val="6"/>
          <w:sz w:val="21"/>
          <w:szCs w:val="21"/>
        </w:rPr>
        <w:t xml:space="preserve"> </w:t>
      </w:r>
      <w:r w:rsidRPr="007C2763">
        <w:rPr>
          <w:rFonts w:ascii="Abadi" w:hAnsi="Abadi"/>
          <w:b w:val="0"/>
          <w:bCs w:val="0"/>
          <w:sz w:val="21"/>
          <w:szCs w:val="21"/>
        </w:rPr>
        <w:t>y</w:t>
      </w:r>
      <w:r w:rsidRPr="007C2763">
        <w:rPr>
          <w:rFonts w:ascii="Abadi" w:hAnsi="Abadi"/>
          <w:b w:val="0"/>
          <w:bCs w:val="0"/>
          <w:spacing w:val="2"/>
          <w:sz w:val="21"/>
          <w:szCs w:val="21"/>
        </w:rPr>
        <w:t xml:space="preserve"> </w:t>
      </w:r>
      <w:r w:rsidRPr="007C2763">
        <w:rPr>
          <w:rFonts w:ascii="Abadi" w:hAnsi="Abadi"/>
          <w:b w:val="0"/>
          <w:bCs w:val="0"/>
          <w:sz w:val="21"/>
          <w:szCs w:val="21"/>
        </w:rPr>
        <w:t>bajo</w:t>
      </w:r>
      <w:r w:rsidRPr="007C2763">
        <w:rPr>
          <w:rFonts w:ascii="Abadi" w:hAnsi="Abadi"/>
          <w:b w:val="0"/>
          <w:bCs w:val="0"/>
          <w:spacing w:val="6"/>
          <w:sz w:val="21"/>
          <w:szCs w:val="21"/>
        </w:rPr>
        <w:t xml:space="preserve"> </w:t>
      </w:r>
      <w:r w:rsidRPr="007C2763">
        <w:rPr>
          <w:rFonts w:ascii="Abadi" w:hAnsi="Abadi"/>
          <w:b w:val="0"/>
          <w:bCs w:val="0"/>
          <w:sz w:val="21"/>
          <w:szCs w:val="21"/>
        </w:rPr>
        <w:t>la</w:t>
      </w:r>
      <w:r w:rsidRPr="007C2763">
        <w:rPr>
          <w:rFonts w:ascii="Abadi" w:hAnsi="Abadi"/>
          <w:b w:val="0"/>
          <w:bCs w:val="0"/>
          <w:spacing w:val="3"/>
          <w:sz w:val="21"/>
          <w:szCs w:val="21"/>
        </w:rPr>
        <w:t xml:space="preserve"> </w:t>
      </w:r>
      <w:r w:rsidRPr="007C2763">
        <w:rPr>
          <w:rFonts w:ascii="Abadi" w:hAnsi="Abadi"/>
          <w:b w:val="0"/>
          <w:bCs w:val="0"/>
          <w:sz w:val="21"/>
          <w:szCs w:val="21"/>
        </w:rPr>
        <w:t>cual</w:t>
      </w:r>
      <w:r w:rsidRPr="007C2763">
        <w:rPr>
          <w:rFonts w:ascii="Abadi" w:hAnsi="Abadi"/>
          <w:b w:val="0"/>
          <w:bCs w:val="0"/>
          <w:spacing w:val="2"/>
          <w:sz w:val="21"/>
          <w:szCs w:val="21"/>
        </w:rPr>
        <w:t xml:space="preserve"> </w:t>
      </w:r>
      <w:r w:rsidRPr="007C2763">
        <w:rPr>
          <w:rFonts w:ascii="Abadi" w:hAnsi="Abadi"/>
          <w:b w:val="0"/>
          <w:bCs w:val="0"/>
          <w:sz w:val="21"/>
          <w:szCs w:val="21"/>
        </w:rPr>
        <w:t>se</w:t>
      </w:r>
      <w:r w:rsidRPr="007C2763">
        <w:rPr>
          <w:rFonts w:ascii="Abadi" w:hAnsi="Abadi"/>
          <w:b w:val="0"/>
          <w:bCs w:val="0"/>
          <w:spacing w:val="3"/>
          <w:sz w:val="21"/>
          <w:szCs w:val="21"/>
        </w:rPr>
        <w:t xml:space="preserve"> </w:t>
      </w:r>
      <w:r w:rsidRPr="007C2763">
        <w:rPr>
          <w:rFonts w:ascii="Abadi" w:hAnsi="Abadi"/>
          <w:b w:val="0"/>
          <w:bCs w:val="0"/>
          <w:sz w:val="21"/>
          <w:szCs w:val="21"/>
        </w:rPr>
        <w:t>tomó</w:t>
      </w:r>
      <w:r w:rsidRPr="007C2763">
        <w:rPr>
          <w:rFonts w:ascii="Abadi" w:hAnsi="Abadi"/>
          <w:b w:val="0"/>
          <w:bCs w:val="0"/>
          <w:spacing w:val="3"/>
          <w:sz w:val="21"/>
          <w:szCs w:val="21"/>
        </w:rPr>
        <w:t xml:space="preserve"> </w:t>
      </w:r>
      <w:r w:rsidRPr="007C2763">
        <w:rPr>
          <w:rFonts w:ascii="Abadi" w:hAnsi="Abadi"/>
          <w:b w:val="0"/>
          <w:bCs w:val="0"/>
          <w:sz w:val="21"/>
          <w:szCs w:val="21"/>
        </w:rPr>
        <w:t>en</w:t>
      </w:r>
      <w:r w:rsidRPr="007C2763">
        <w:rPr>
          <w:rFonts w:ascii="Abadi" w:hAnsi="Abadi"/>
          <w:b w:val="0"/>
          <w:bCs w:val="0"/>
          <w:spacing w:val="3"/>
          <w:sz w:val="21"/>
          <w:szCs w:val="21"/>
        </w:rPr>
        <w:t xml:space="preserve"> </w:t>
      </w:r>
      <w:r w:rsidRPr="007C2763">
        <w:rPr>
          <w:rFonts w:ascii="Abadi" w:hAnsi="Abadi"/>
          <w:b w:val="0"/>
          <w:bCs w:val="0"/>
          <w:sz w:val="21"/>
          <w:szCs w:val="21"/>
        </w:rPr>
        <w:t>cuenta</w:t>
      </w:r>
      <w:r w:rsidRPr="007C2763">
        <w:rPr>
          <w:rFonts w:ascii="Abadi" w:hAnsi="Abadi"/>
          <w:b w:val="0"/>
          <w:bCs w:val="0"/>
          <w:spacing w:val="3"/>
          <w:sz w:val="21"/>
          <w:szCs w:val="21"/>
        </w:rPr>
        <w:t xml:space="preserve"> </w:t>
      </w:r>
      <w:r w:rsidRPr="007C2763">
        <w:rPr>
          <w:rFonts w:ascii="Abadi" w:hAnsi="Abadi"/>
          <w:b w:val="0"/>
          <w:bCs w:val="0"/>
          <w:sz w:val="21"/>
          <w:szCs w:val="21"/>
        </w:rPr>
        <w:t>la opinión</w:t>
      </w:r>
      <w:r w:rsidRPr="007C2763">
        <w:rPr>
          <w:rFonts w:ascii="Abadi" w:hAnsi="Abadi"/>
          <w:b w:val="0"/>
          <w:bCs w:val="0"/>
          <w:spacing w:val="11"/>
          <w:sz w:val="21"/>
          <w:szCs w:val="21"/>
        </w:rPr>
        <w:t xml:space="preserve"> </w:t>
      </w:r>
      <w:r w:rsidRPr="007C2763">
        <w:rPr>
          <w:rFonts w:ascii="Abadi" w:hAnsi="Abadi"/>
          <w:b w:val="0"/>
          <w:bCs w:val="0"/>
          <w:sz w:val="21"/>
          <w:szCs w:val="21"/>
        </w:rPr>
        <w:t>de</w:t>
      </w:r>
      <w:r w:rsidRPr="007C2763">
        <w:rPr>
          <w:rFonts w:ascii="Abadi" w:hAnsi="Abadi"/>
          <w:b w:val="0"/>
          <w:bCs w:val="0"/>
          <w:spacing w:val="13"/>
          <w:sz w:val="21"/>
          <w:szCs w:val="21"/>
        </w:rPr>
        <w:t xml:space="preserve"> </w:t>
      </w:r>
      <w:r w:rsidRPr="007C2763">
        <w:rPr>
          <w:rFonts w:ascii="Abadi" w:hAnsi="Abadi"/>
          <w:b w:val="0"/>
          <w:bCs w:val="0"/>
          <w:sz w:val="21"/>
          <w:szCs w:val="21"/>
        </w:rPr>
        <w:t>los</w:t>
      </w:r>
      <w:r w:rsidRPr="007C2763">
        <w:rPr>
          <w:rFonts w:ascii="Abadi" w:hAnsi="Abadi"/>
          <w:b w:val="0"/>
          <w:bCs w:val="0"/>
          <w:spacing w:val="12"/>
          <w:sz w:val="21"/>
          <w:szCs w:val="21"/>
        </w:rPr>
        <w:t xml:space="preserve"> </w:t>
      </w:r>
      <w:r w:rsidRPr="007C2763">
        <w:rPr>
          <w:rFonts w:ascii="Abadi" w:hAnsi="Abadi"/>
          <w:b w:val="0"/>
          <w:bCs w:val="0"/>
          <w:sz w:val="21"/>
          <w:szCs w:val="21"/>
        </w:rPr>
        <w:t>ciudadanos</w:t>
      </w:r>
      <w:r w:rsidRPr="007C2763">
        <w:rPr>
          <w:rFonts w:ascii="Abadi" w:hAnsi="Abadi"/>
          <w:b w:val="0"/>
          <w:bCs w:val="0"/>
          <w:spacing w:val="12"/>
          <w:sz w:val="21"/>
          <w:szCs w:val="21"/>
        </w:rPr>
        <w:t xml:space="preserve"> </w:t>
      </w:r>
      <w:r w:rsidRPr="007C2763">
        <w:rPr>
          <w:rFonts w:ascii="Abadi" w:hAnsi="Abadi"/>
          <w:b w:val="0"/>
          <w:bCs w:val="0"/>
          <w:sz w:val="21"/>
          <w:szCs w:val="21"/>
        </w:rPr>
        <w:t>Doctormorenses,</w:t>
      </w:r>
      <w:r w:rsidRPr="007C2763">
        <w:rPr>
          <w:rFonts w:ascii="Abadi" w:hAnsi="Abadi"/>
          <w:b w:val="0"/>
          <w:bCs w:val="0"/>
          <w:spacing w:val="10"/>
          <w:sz w:val="21"/>
          <w:szCs w:val="21"/>
        </w:rPr>
        <w:t xml:space="preserve"> </w:t>
      </w:r>
      <w:r w:rsidRPr="007C2763">
        <w:rPr>
          <w:rFonts w:ascii="Abadi" w:hAnsi="Abadi"/>
          <w:b w:val="0"/>
          <w:bCs w:val="0"/>
          <w:sz w:val="21"/>
          <w:szCs w:val="21"/>
        </w:rPr>
        <w:t>a</w:t>
      </w:r>
      <w:r w:rsidRPr="007C2763">
        <w:rPr>
          <w:rFonts w:ascii="Abadi" w:hAnsi="Abadi"/>
          <w:b w:val="0"/>
          <w:bCs w:val="0"/>
          <w:spacing w:val="13"/>
          <w:sz w:val="21"/>
          <w:szCs w:val="21"/>
        </w:rPr>
        <w:t xml:space="preserve"> </w:t>
      </w:r>
      <w:r w:rsidRPr="007C2763">
        <w:rPr>
          <w:rFonts w:ascii="Abadi" w:hAnsi="Abadi"/>
          <w:b w:val="0"/>
          <w:bCs w:val="0"/>
          <w:sz w:val="21"/>
          <w:szCs w:val="21"/>
        </w:rPr>
        <w:t>través</w:t>
      </w:r>
      <w:r w:rsidRPr="007C2763">
        <w:rPr>
          <w:rFonts w:ascii="Abadi" w:hAnsi="Abadi"/>
          <w:b w:val="0"/>
          <w:bCs w:val="0"/>
          <w:spacing w:val="12"/>
          <w:sz w:val="21"/>
          <w:szCs w:val="21"/>
        </w:rPr>
        <w:t xml:space="preserve"> </w:t>
      </w:r>
      <w:r w:rsidRPr="007C2763">
        <w:rPr>
          <w:rFonts w:ascii="Abadi" w:hAnsi="Abadi"/>
          <w:b w:val="0"/>
          <w:bCs w:val="0"/>
          <w:sz w:val="21"/>
          <w:szCs w:val="21"/>
        </w:rPr>
        <w:t>de</w:t>
      </w:r>
      <w:r w:rsidRPr="007C2763">
        <w:rPr>
          <w:rFonts w:ascii="Abadi" w:hAnsi="Abadi"/>
          <w:b w:val="0"/>
          <w:bCs w:val="0"/>
          <w:spacing w:val="13"/>
          <w:sz w:val="21"/>
          <w:szCs w:val="21"/>
        </w:rPr>
        <w:t xml:space="preserve"> </w:t>
      </w:r>
      <w:r w:rsidRPr="007C2763">
        <w:rPr>
          <w:rFonts w:ascii="Abadi" w:hAnsi="Abadi"/>
          <w:b w:val="0"/>
          <w:bCs w:val="0"/>
          <w:sz w:val="21"/>
          <w:szCs w:val="21"/>
        </w:rPr>
        <w:t>la</w:t>
      </w:r>
      <w:r w:rsidRPr="007C2763">
        <w:rPr>
          <w:rFonts w:ascii="Abadi" w:hAnsi="Abadi"/>
          <w:b w:val="0"/>
          <w:bCs w:val="0"/>
          <w:spacing w:val="13"/>
          <w:sz w:val="21"/>
          <w:szCs w:val="21"/>
        </w:rPr>
        <w:t xml:space="preserve"> </w:t>
      </w:r>
      <w:r w:rsidRPr="007C2763">
        <w:rPr>
          <w:rFonts w:ascii="Abadi" w:hAnsi="Abadi"/>
          <w:b w:val="0"/>
          <w:bCs w:val="0"/>
          <w:sz w:val="21"/>
          <w:szCs w:val="21"/>
        </w:rPr>
        <w:t>encuesta</w:t>
      </w:r>
      <w:r w:rsidRPr="007C2763">
        <w:rPr>
          <w:rFonts w:ascii="Abadi" w:hAnsi="Abadi"/>
          <w:b w:val="0"/>
          <w:bCs w:val="0"/>
          <w:spacing w:val="13"/>
          <w:sz w:val="21"/>
          <w:szCs w:val="21"/>
        </w:rPr>
        <w:t xml:space="preserve"> </w:t>
      </w:r>
      <w:r w:rsidRPr="007C2763">
        <w:rPr>
          <w:rFonts w:ascii="Abadi" w:hAnsi="Abadi"/>
          <w:b w:val="0"/>
          <w:bCs w:val="0"/>
          <w:sz w:val="21"/>
          <w:szCs w:val="21"/>
        </w:rPr>
        <w:t>como</w:t>
      </w:r>
      <w:r w:rsidRPr="007C2763">
        <w:rPr>
          <w:rFonts w:ascii="Abadi" w:hAnsi="Abadi"/>
          <w:b w:val="0"/>
          <w:bCs w:val="0"/>
          <w:spacing w:val="13"/>
          <w:sz w:val="21"/>
          <w:szCs w:val="21"/>
        </w:rPr>
        <w:t xml:space="preserve"> </w:t>
      </w:r>
      <w:r w:rsidRPr="007C2763">
        <w:rPr>
          <w:rFonts w:ascii="Abadi" w:hAnsi="Abadi"/>
          <w:b w:val="0"/>
          <w:bCs w:val="0"/>
          <w:sz w:val="21"/>
          <w:szCs w:val="21"/>
        </w:rPr>
        <w:t>técnica</w:t>
      </w:r>
      <w:r w:rsidRPr="007C2763">
        <w:rPr>
          <w:rFonts w:ascii="Abadi" w:hAnsi="Abadi"/>
          <w:b w:val="0"/>
          <w:bCs w:val="0"/>
          <w:spacing w:val="-3"/>
          <w:sz w:val="21"/>
          <w:szCs w:val="21"/>
        </w:rPr>
        <w:t xml:space="preserve"> </w:t>
      </w:r>
      <w:r w:rsidRPr="007C2763">
        <w:rPr>
          <w:rFonts w:ascii="Abadi" w:hAnsi="Abadi"/>
          <w:b w:val="0"/>
          <w:bCs w:val="0"/>
          <w:sz w:val="21"/>
          <w:szCs w:val="21"/>
        </w:rPr>
        <w:t>de</w:t>
      </w:r>
      <w:r w:rsidRPr="007C2763">
        <w:rPr>
          <w:rFonts w:ascii="Abadi" w:hAnsi="Abadi"/>
          <w:b w:val="0"/>
          <w:bCs w:val="0"/>
          <w:spacing w:val="14"/>
          <w:sz w:val="21"/>
          <w:szCs w:val="21"/>
        </w:rPr>
        <w:t xml:space="preserve"> </w:t>
      </w:r>
      <w:r w:rsidRPr="007C2763">
        <w:rPr>
          <w:rFonts w:ascii="Abadi" w:hAnsi="Abadi"/>
          <w:b w:val="0"/>
          <w:bCs w:val="0"/>
          <w:sz w:val="21"/>
          <w:szCs w:val="21"/>
        </w:rPr>
        <w:t>investigación,</w:t>
      </w:r>
      <w:r w:rsidRPr="007C2763">
        <w:rPr>
          <w:rFonts w:ascii="Abadi" w:hAnsi="Abadi"/>
          <w:b w:val="0"/>
          <w:bCs w:val="0"/>
          <w:spacing w:val="11"/>
          <w:sz w:val="21"/>
          <w:szCs w:val="21"/>
        </w:rPr>
        <w:t xml:space="preserve"> </w:t>
      </w:r>
      <w:r w:rsidRPr="007C2763">
        <w:rPr>
          <w:rFonts w:ascii="Abadi" w:hAnsi="Abadi"/>
          <w:b w:val="0"/>
          <w:bCs w:val="0"/>
          <w:sz w:val="21"/>
          <w:szCs w:val="21"/>
        </w:rPr>
        <w:t>la</w:t>
      </w:r>
      <w:r w:rsidRPr="007C2763">
        <w:rPr>
          <w:rFonts w:ascii="Abadi" w:hAnsi="Abadi"/>
          <w:b w:val="0"/>
          <w:bCs w:val="0"/>
          <w:spacing w:val="9"/>
          <w:sz w:val="21"/>
          <w:szCs w:val="21"/>
        </w:rPr>
        <w:t xml:space="preserve"> </w:t>
      </w:r>
      <w:r w:rsidRPr="007C2763">
        <w:rPr>
          <w:rFonts w:ascii="Abadi" w:hAnsi="Abadi"/>
          <w:b w:val="0"/>
          <w:bCs w:val="0"/>
          <w:sz w:val="21"/>
          <w:szCs w:val="21"/>
        </w:rPr>
        <w:t>cual</w:t>
      </w:r>
      <w:r w:rsidRPr="007C2763">
        <w:rPr>
          <w:rFonts w:ascii="Abadi" w:hAnsi="Abadi"/>
          <w:b w:val="0"/>
          <w:bCs w:val="0"/>
          <w:spacing w:val="10"/>
          <w:sz w:val="21"/>
          <w:szCs w:val="21"/>
        </w:rPr>
        <w:t xml:space="preserve"> </w:t>
      </w:r>
      <w:r w:rsidRPr="007C2763">
        <w:rPr>
          <w:rFonts w:ascii="Abadi" w:hAnsi="Abadi"/>
          <w:b w:val="0"/>
          <w:bCs w:val="0"/>
          <w:sz w:val="21"/>
          <w:szCs w:val="21"/>
        </w:rPr>
        <w:t>arrojó</w:t>
      </w:r>
      <w:r w:rsidRPr="007C2763">
        <w:rPr>
          <w:rFonts w:ascii="Abadi" w:hAnsi="Abadi"/>
          <w:b w:val="0"/>
          <w:bCs w:val="0"/>
          <w:spacing w:val="13"/>
          <w:sz w:val="21"/>
          <w:szCs w:val="21"/>
        </w:rPr>
        <w:t xml:space="preserve"> </w:t>
      </w:r>
      <w:r w:rsidRPr="007C2763">
        <w:rPr>
          <w:rFonts w:ascii="Abadi" w:hAnsi="Abadi"/>
          <w:b w:val="0"/>
          <w:bCs w:val="0"/>
          <w:sz w:val="21"/>
          <w:szCs w:val="21"/>
        </w:rPr>
        <w:t>un</w:t>
      </w:r>
      <w:r w:rsidRPr="007C2763">
        <w:rPr>
          <w:rFonts w:ascii="Abadi" w:hAnsi="Abadi"/>
          <w:b w:val="0"/>
          <w:bCs w:val="0"/>
          <w:spacing w:val="11"/>
          <w:sz w:val="21"/>
          <w:szCs w:val="21"/>
        </w:rPr>
        <w:t xml:space="preserve"> </w:t>
      </w:r>
      <w:r w:rsidRPr="007C2763">
        <w:rPr>
          <w:rFonts w:ascii="Abadi" w:hAnsi="Abadi"/>
          <w:b w:val="0"/>
          <w:bCs w:val="0"/>
          <w:sz w:val="21"/>
          <w:szCs w:val="21"/>
        </w:rPr>
        <w:t>posicionamiento</w:t>
      </w:r>
      <w:r w:rsidRPr="007C2763">
        <w:rPr>
          <w:rFonts w:ascii="Abadi" w:hAnsi="Abadi"/>
          <w:b w:val="0"/>
          <w:bCs w:val="0"/>
          <w:spacing w:val="11"/>
          <w:sz w:val="21"/>
          <w:szCs w:val="21"/>
        </w:rPr>
        <w:t xml:space="preserve"> </w:t>
      </w:r>
      <w:r w:rsidRPr="007C2763">
        <w:rPr>
          <w:rFonts w:ascii="Abadi" w:hAnsi="Abadi"/>
          <w:b w:val="0"/>
          <w:bCs w:val="0"/>
          <w:sz w:val="21"/>
          <w:szCs w:val="21"/>
        </w:rPr>
        <w:t>similar</w:t>
      </w:r>
      <w:r w:rsidRPr="007C2763">
        <w:rPr>
          <w:rFonts w:ascii="Abadi" w:hAnsi="Abadi"/>
          <w:b w:val="0"/>
          <w:bCs w:val="0"/>
          <w:spacing w:val="9"/>
          <w:sz w:val="21"/>
          <w:szCs w:val="21"/>
        </w:rPr>
        <w:t xml:space="preserve"> </w:t>
      </w:r>
      <w:r w:rsidRPr="007C2763">
        <w:rPr>
          <w:rFonts w:ascii="Abadi" w:hAnsi="Abadi"/>
          <w:b w:val="0"/>
          <w:bCs w:val="0"/>
          <w:sz w:val="21"/>
          <w:szCs w:val="21"/>
        </w:rPr>
        <w:t>al</w:t>
      </w:r>
      <w:r w:rsidRPr="007C2763">
        <w:rPr>
          <w:rFonts w:ascii="Abadi" w:hAnsi="Abadi"/>
          <w:b w:val="0"/>
          <w:bCs w:val="0"/>
          <w:spacing w:val="10"/>
          <w:sz w:val="21"/>
          <w:szCs w:val="21"/>
        </w:rPr>
        <w:t xml:space="preserve"> </w:t>
      </w:r>
      <w:r w:rsidRPr="007C2763">
        <w:rPr>
          <w:rFonts w:ascii="Abadi" w:hAnsi="Abadi"/>
          <w:b w:val="0"/>
          <w:bCs w:val="0"/>
          <w:sz w:val="21"/>
          <w:szCs w:val="21"/>
        </w:rPr>
        <w:t>nuestro,</w:t>
      </w:r>
      <w:r w:rsidRPr="007C2763">
        <w:rPr>
          <w:rFonts w:ascii="Abadi" w:hAnsi="Abadi"/>
          <w:b w:val="0"/>
          <w:bCs w:val="0"/>
          <w:spacing w:val="11"/>
          <w:sz w:val="21"/>
          <w:szCs w:val="21"/>
        </w:rPr>
        <w:t xml:space="preserve"> </w:t>
      </w:r>
      <w:r w:rsidRPr="007C2763">
        <w:rPr>
          <w:rFonts w:ascii="Abadi" w:hAnsi="Abadi"/>
          <w:b w:val="0"/>
          <w:bCs w:val="0"/>
          <w:sz w:val="21"/>
          <w:szCs w:val="21"/>
        </w:rPr>
        <w:t>en</w:t>
      </w:r>
      <w:r w:rsidRPr="007C2763">
        <w:rPr>
          <w:rFonts w:ascii="Abadi" w:hAnsi="Abadi"/>
          <w:b w:val="0"/>
          <w:bCs w:val="0"/>
          <w:spacing w:val="11"/>
          <w:sz w:val="21"/>
          <w:szCs w:val="21"/>
        </w:rPr>
        <w:t xml:space="preserve"> </w:t>
      </w:r>
      <w:r w:rsidRPr="007C2763">
        <w:rPr>
          <w:rFonts w:ascii="Abadi" w:hAnsi="Abadi"/>
          <w:b w:val="0"/>
          <w:bCs w:val="0"/>
          <w:sz w:val="21"/>
          <w:szCs w:val="21"/>
        </w:rPr>
        <w:t>un porcentaje</w:t>
      </w:r>
      <w:r w:rsidRPr="007C2763">
        <w:rPr>
          <w:rFonts w:ascii="Abadi" w:hAnsi="Abadi"/>
          <w:b w:val="0"/>
          <w:bCs w:val="0"/>
          <w:spacing w:val="1"/>
          <w:sz w:val="21"/>
          <w:szCs w:val="21"/>
        </w:rPr>
        <w:t xml:space="preserve"> </w:t>
      </w:r>
      <w:r w:rsidRPr="007C2763">
        <w:rPr>
          <w:rFonts w:ascii="Abadi" w:hAnsi="Abadi"/>
          <w:b w:val="0"/>
          <w:bCs w:val="0"/>
          <w:sz w:val="21"/>
          <w:szCs w:val="21"/>
        </w:rPr>
        <w:t>muy</w:t>
      </w:r>
      <w:r w:rsidRPr="007C2763">
        <w:rPr>
          <w:rFonts w:ascii="Abadi" w:hAnsi="Abadi"/>
          <w:b w:val="0"/>
          <w:bCs w:val="0"/>
          <w:spacing w:val="2"/>
          <w:sz w:val="21"/>
          <w:szCs w:val="21"/>
        </w:rPr>
        <w:t xml:space="preserve"> </w:t>
      </w:r>
      <w:r w:rsidRPr="007C2763">
        <w:rPr>
          <w:rFonts w:ascii="Abadi" w:hAnsi="Abadi"/>
          <w:b w:val="0"/>
          <w:bCs w:val="0"/>
          <w:sz w:val="21"/>
          <w:szCs w:val="21"/>
        </w:rPr>
        <w:t>elevado</w:t>
      </w:r>
      <w:r w:rsidRPr="007C2763">
        <w:rPr>
          <w:rFonts w:ascii="Abadi" w:hAnsi="Abadi"/>
          <w:b w:val="0"/>
          <w:bCs w:val="0"/>
          <w:spacing w:val="3"/>
          <w:sz w:val="21"/>
          <w:szCs w:val="21"/>
        </w:rPr>
        <w:t xml:space="preserve"> </w:t>
      </w:r>
      <w:r w:rsidRPr="007C2763">
        <w:rPr>
          <w:rFonts w:ascii="Abadi" w:hAnsi="Abadi"/>
          <w:b w:val="0"/>
          <w:bCs w:val="0"/>
          <w:sz w:val="21"/>
          <w:szCs w:val="21"/>
        </w:rPr>
        <w:t>y</w:t>
      </w:r>
      <w:r w:rsidRPr="007C2763">
        <w:rPr>
          <w:rFonts w:ascii="Abadi" w:hAnsi="Abadi"/>
          <w:b w:val="0"/>
          <w:bCs w:val="0"/>
          <w:spacing w:val="2"/>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no</w:t>
      </w:r>
      <w:r w:rsidRPr="007C2763">
        <w:rPr>
          <w:rFonts w:ascii="Abadi" w:hAnsi="Abadi"/>
          <w:b w:val="0"/>
          <w:bCs w:val="0"/>
          <w:spacing w:val="3"/>
          <w:sz w:val="21"/>
          <w:szCs w:val="21"/>
        </w:rPr>
        <w:t xml:space="preserve"> </w:t>
      </w:r>
      <w:r w:rsidRPr="007C2763">
        <w:rPr>
          <w:rFonts w:ascii="Abadi" w:hAnsi="Abadi"/>
          <w:b w:val="0"/>
          <w:bCs w:val="0"/>
          <w:sz w:val="21"/>
          <w:szCs w:val="21"/>
        </w:rPr>
        <w:t>dejó</w:t>
      </w:r>
      <w:r w:rsidRPr="007C2763">
        <w:rPr>
          <w:rFonts w:ascii="Abadi" w:hAnsi="Abadi"/>
          <w:b w:val="0"/>
          <w:bCs w:val="0"/>
          <w:spacing w:val="3"/>
          <w:sz w:val="21"/>
          <w:szCs w:val="21"/>
        </w:rPr>
        <w:t xml:space="preserve"> </w:t>
      </w:r>
      <w:r w:rsidRPr="007C2763">
        <w:rPr>
          <w:rFonts w:ascii="Abadi" w:hAnsi="Abadi"/>
          <w:b w:val="0"/>
          <w:bCs w:val="0"/>
          <w:sz w:val="21"/>
          <w:szCs w:val="21"/>
        </w:rPr>
        <w:t>lugar</w:t>
      </w:r>
      <w:r w:rsidRPr="007C2763">
        <w:rPr>
          <w:rFonts w:ascii="Abadi" w:hAnsi="Abadi"/>
          <w:b w:val="0"/>
          <w:bCs w:val="0"/>
          <w:spacing w:val="-1"/>
          <w:sz w:val="21"/>
          <w:szCs w:val="21"/>
        </w:rPr>
        <w:t xml:space="preserve"> </w:t>
      </w:r>
      <w:r w:rsidRPr="007C2763">
        <w:rPr>
          <w:rFonts w:ascii="Abadi" w:hAnsi="Abadi"/>
          <w:b w:val="0"/>
          <w:bCs w:val="0"/>
          <w:sz w:val="21"/>
          <w:szCs w:val="21"/>
        </w:rPr>
        <w:t>a</w:t>
      </w:r>
      <w:r w:rsidRPr="007C2763">
        <w:rPr>
          <w:rFonts w:ascii="Abadi" w:hAnsi="Abadi"/>
          <w:b w:val="0"/>
          <w:bCs w:val="0"/>
          <w:spacing w:val="3"/>
          <w:sz w:val="21"/>
          <w:szCs w:val="21"/>
        </w:rPr>
        <w:t xml:space="preserve"> </w:t>
      </w:r>
      <w:r w:rsidRPr="007C2763">
        <w:rPr>
          <w:rFonts w:ascii="Abadi" w:hAnsi="Abadi"/>
          <w:b w:val="0"/>
          <w:bCs w:val="0"/>
          <w:sz w:val="21"/>
          <w:szCs w:val="21"/>
        </w:rPr>
        <w:t>dudas</w:t>
      </w:r>
      <w:r w:rsidRPr="007C2763">
        <w:rPr>
          <w:rFonts w:ascii="Abadi" w:hAnsi="Abadi"/>
          <w:b w:val="0"/>
          <w:bCs w:val="0"/>
          <w:spacing w:val="2"/>
          <w:sz w:val="21"/>
          <w:szCs w:val="21"/>
        </w:rPr>
        <w:t xml:space="preserve"> </w:t>
      </w:r>
      <w:r w:rsidRPr="007C2763">
        <w:rPr>
          <w:rFonts w:ascii="Abadi" w:hAnsi="Abadi"/>
          <w:b w:val="0"/>
          <w:bCs w:val="0"/>
          <w:sz w:val="21"/>
          <w:szCs w:val="21"/>
        </w:rPr>
        <w:t>y</w:t>
      </w:r>
      <w:r w:rsidRPr="007C2763">
        <w:rPr>
          <w:rFonts w:ascii="Abadi" w:hAnsi="Abadi"/>
          <w:b w:val="0"/>
          <w:bCs w:val="0"/>
          <w:spacing w:val="2"/>
          <w:sz w:val="21"/>
          <w:szCs w:val="21"/>
        </w:rPr>
        <w:t xml:space="preserve"> </w:t>
      </w:r>
      <w:r w:rsidRPr="007C2763">
        <w:rPr>
          <w:rFonts w:ascii="Abadi" w:hAnsi="Abadi"/>
          <w:b w:val="0"/>
          <w:bCs w:val="0"/>
          <w:sz w:val="21"/>
          <w:szCs w:val="21"/>
        </w:rPr>
        <w:t>que</w:t>
      </w:r>
      <w:r w:rsidRPr="007C2763">
        <w:rPr>
          <w:rFonts w:ascii="Abadi" w:hAnsi="Abadi"/>
          <w:b w:val="0"/>
          <w:bCs w:val="0"/>
          <w:spacing w:val="3"/>
          <w:sz w:val="21"/>
          <w:szCs w:val="21"/>
        </w:rPr>
        <w:t xml:space="preserve"> </w:t>
      </w:r>
      <w:r w:rsidRPr="007C2763">
        <w:rPr>
          <w:rFonts w:ascii="Abadi" w:hAnsi="Abadi"/>
          <w:b w:val="0"/>
          <w:bCs w:val="0"/>
          <w:sz w:val="21"/>
          <w:szCs w:val="21"/>
        </w:rPr>
        <w:t>puede</w:t>
      </w:r>
      <w:r w:rsidRPr="007C2763">
        <w:rPr>
          <w:rFonts w:ascii="Abadi" w:hAnsi="Abadi"/>
          <w:b w:val="0"/>
          <w:bCs w:val="0"/>
          <w:spacing w:val="3"/>
          <w:sz w:val="21"/>
          <w:szCs w:val="21"/>
        </w:rPr>
        <w:t xml:space="preserve"> </w:t>
      </w:r>
      <w:r w:rsidRPr="007C2763">
        <w:rPr>
          <w:rFonts w:ascii="Abadi" w:hAnsi="Abadi"/>
          <w:b w:val="0"/>
          <w:bCs w:val="0"/>
          <w:sz w:val="21"/>
          <w:szCs w:val="21"/>
        </w:rPr>
        <w:t>ser</w:t>
      </w:r>
      <w:r w:rsidRPr="007C2763">
        <w:rPr>
          <w:rFonts w:ascii="Abadi" w:hAnsi="Abadi"/>
          <w:b w:val="0"/>
          <w:bCs w:val="0"/>
          <w:spacing w:val="2"/>
          <w:sz w:val="21"/>
          <w:szCs w:val="21"/>
        </w:rPr>
        <w:t xml:space="preserve"> </w:t>
      </w:r>
      <w:r w:rsidRPr="007C2763">
        <w:rPr>
          <w:rFonts w:ascii="Abadi" w:hAnsi="Abadi"/>
          <w:b w:val="0"/>
          <w:bCs w:val="0"/>
          <w:sz w:val="21"/>
          <w:szCs w:val="21"/>
        </w:rPr>
        <w:t>consultado</w:t>
      </w:r>
      <w:r w:rsidRPr="007C2763">
        <w:rPr>
          <w:rFonts w:ascii="Abadi" w:hAnsi="Abadi"/>
          <w:b w:val="0"/>
          <w:bCs w:val="0"/>
          <w:spacing w:val="1"/>
          <w:sz w:val="21"/>
          <w:szCs w:val="21"/>
        </w:rPr>
        <w:t xml:space="preserve"> </w:t>
      </w:r>
      <w:r w:rsidRPr="007C2763">
        <w:rPr>
          <w:rFonts w:ascii="Abadi" w:hAnsi="Abadi"/>
          <w:b w:val="0"/>
          <w:bCs w:val="0"/>
          <w:sz w:val="21"/>
          <w:szCs w:val="21"/>
        </w:rPr>
        <w:t>a través del siguiente</w:t>
      </w:r>
      <w:r w:rsidRPr="007C2763">
        <w:rPr>
          <w:rFonts w:ascii="Abadi" w:hAnsi="Abadi"/>
          <w:b w:val="0"/>
          <w:bCs w:val="0"/>
          <w:spacing w:val="-1"/>
          <w:sz w:val="21"/>
          <w:szCs w:val="21"/>
        </w:rPr>
        <w:t xml:space="preserve"> </w:t>
      </w:r>
      <w:r w:rsidRPr="007C2763">
        <w:rPr>
          <w:rFonts w:ascii="Abadi" w:hAnsi="Abadi"/>
          <w:b w:val="0"/>
          <w:bCs w:val="0"/>
          <w:sz w:val="21"/>
          <w:szCs w:val="21"/>
        </w:rPr>
        <w:t>enlace:</w:t>
      </w:r>
    </w:p>
    <w:p w14:paraId="16802731" w14:textId="77777777" w:rsidR="00374A1E" w:rsidRPr="007C2763" w:rsidRDefault="00374A1E" w:rsidP="00BC6383">
      <w:pPr>
        <w:pStyle w:val="Textoindependiente"/>
        <w:kinsoku w:val="0"/>
        <w:overflowPunct w:val="0"/>
        <w:rPr>
          <w:rFonts w:ascii="Abadi" w:hAnsi="Abadi"/>
          <w:sz w:val="21"/>
          <w:szCs w:val="21"/>
        </w:rPr>
      </w:pPr>
    </w:p>
    <w:p w14:paraId="4D6C3168" w14:textId="77777777" w:rsidR="00374A1E" w:rsidRPr="007C2763" w:rsidRDefault="00374A1E" w:rsidP="00BC6383">
      <w:pPr>
        <w:pStyle w:val="Ttulo1"/>
        <w:kinsoku w:val="0"/>
        <w:overflowPunct w:val="0"/>
        <w:jc w:val="both"/>
        <w:rPr>
          <w:rFonts w:ascii="Abadi" w:hAnsi="Abadi"/>
          <w:sz w:val="21"/>
          <w:szCs w:val="21"/>
        </w:rPr>
      </w:pPr>
      <w:r w:rsidRPr="007C2763">
        <w:rPr>
          <w:rFonts w:ascii="Abadi" w:hAnsi="Abadi"/>
          <w:sz w:val="21"/>
          <w:szCs w:val="21"/>
        </w:rPr>
        <w:t>Competencia</w:t>
      </w:r>
      <w:r w:rsidRPr="007C2763">
        <w:rPr>
          <w:rFonts w:ascii="Abadi" w:hAnsi="Abadi"/>
          <w:spacing w:val="1"/>
          <w:sz w:val="21"/>
          <w:szCs w:val="21"/>
        </w:rPr>
        <w:t xml:space="preserve"> </w:t>
      </w:r>
      <w:r w:rsidRPr="007C2763">
        <w:rPr>
          <w:rFonts w:ascii="Abadi" w:hAnsi="Abadi"/>
          <w:sz w:val="21"/>
          <w:szCs w:val="21"/>
        </w:rPr>
        <w:t>de</w:t>
      </w:r>
      <w:r w:rsidRPr="007C2763">
        <w:rPr>
          <w:rFonts w:ascii="Abadi" w:hAnsi="Abadi"/>
          <w:spacing w:val="1"/>
          <w:sz w:val="21"/>
          <w:szCs w:val="21"/>
        </w:rPr>
        <w:t xml:space="preserve"> </w:t>
      </w:r>
      <w:r w:rsidRPr="007C2763">
        <w:rPr>
          <w:rFonts w:ascii="Abadi" w:hAnsi="Abadi"/>
          <w:sz w:val="21"/>
          <w:szCs w:val="21"/>
        </w:rPr>
        <w:t>la</w:t>
      </w:r>
      <w:r w:rsidRPr="007C2763">
        <w:rPr>
          <w:rFonts w:ascii="Abadi" w:hAnsi="Abadi"/>
          <w:spacing w:val="-1"/>
          <w:sz w:val="21"/>
          <w:szCs w:val="21"/>
        </w:rPr>
        <w:t xml:space="preserve"> </w:t>
      </w:r>
      <w:r w:rsidRPr="007C2763">
        <w:rPr>
          <w:rFonts w:ascii="Abadi" w:hAnsi="Abadi"/>
          <w:sz w:val="21"/>
          <w:szCs w:val="21"/>
        </w:rPr>
        <w:t>Comisión para</w:t>
      </w:r>
      <w:r w:rsidRPr="007C2763">
        <w:rPr>
          <w:rFonts w:ascii="Abadi" w:hAnsi="Abadi"/>
          <w:spacing w:val="1"/>
          <w:sz w:val="21"/>
          <w:szCs w:val="21"/>
        </w:rPr>
        <w:t xml:space="preserve"> </w:t>
      </w:r>
      <w:r w:rsidRPr="007C2763">
        <w:rPr>
          <w:rFonts w:ascii="Abadi" w:hAnsi="Abadi"/>
          <w:sz w:val="21"/>
          <w:szCs w:val="21"/>
        </w:rPr>
        <w:t>conocer de la</w:t>
      </w:r>
      <w:r w:rsidRPr="007C2763">
        <w:rPr>
          <w:rFonts w:ascii="Abadi" w:hAnsi="Abadi"/>
          <w:spacing w:val="-1"/>
          <w:sz w:val="21"/>
          <w:szCs w:val="21"/>
        </w:rPr>
        <w:t xml:space="preserve"> </w:t>
      </w:r>
      <w:r w:rsidRPr="007C2763">
        <w:rPr>
          <w:rFonts w:ascii="Abadi" w:hAnsi="Abadi"/>
          <w:sz w:val="21"/>
          <w:szCs w:val="21"/>
        </w:rPr>
        <w:t>iniciativa.</w:t>
      </w:r>
    </w:p>
    <w:p w14:paraId="4AB03BDF" w14:textId="77777777" w:rsidR="00374A1E" w:rsidRPr="007C2763" w:rsidRDefault="00374A1E" w:rsidP="00BC6383">
      <w:pPr>
        <w:pStyle w:val="Textoindependiente"/>
        <w:kinsoku w:val="0"/>
        <w:overflowPunct w:val="0"/>
        <w:rPr>
          <w:rFonts w:ascii="Abadi" w:hAnsi="Abadi"/>
          <w:b w:val="0"/>
          <w:bCs w:val="0"/>
          <w:sz w:val="21"/>
          <w:szCs w:val="21"/>
        </w:rPr>
      </w:pPr>
    </w:p>
    <w:p w14:paraId="65F5B2BA" w14:textId="77777777" w:rsidR="00374A1E" w:rsidRPr="007C2763" w:rsidRDefault="00374A1E" w:rsidP="00BC6383">
      <w:pPr>
        <w:pStyle w:val="Textoindependiente"/>
        <w:kinsoku w:val="0"/>
        <w:overflowPunct w:val="0"/>
        <w:ind w:left="40" w:right="115" w:firstLine="708"/>
        <w:rPr>
          <w:rFonts w:ascii="Abadi" w:hAnsi="Abadi"/>
          <w:b w:val="0"/>
          <w:bCs w:val="0"/>
          <w:sz w:val="21"/>
          <w:szCs w:val="21"/>
        </w:rPr>
      </w:pPr>
      <w:r w:rsidRPr="007C2763">
        <w:rPr>
          <w:rFonts w:ascii="Abadi" w:hAnsi="Abadi"/>
          <w:b w:val="0"/>
          <w:bCs w:val="0"/>
          <w:sz w:val="21"/>
          <w:szCs w:val="21"/>
        </w:rPr>
        <w:t>El</w:t>
      </w:r>
      <w:r w:rsidRPr="007C2763">
        <w:rPr>
          <w:rFonts w:ascii="Abadi" w:hAnsi="Abadi"/>
          <w:b w:val="0"/>
          <w:bCs w:val="0"/>
          <w:spacing w:val="23"/>
          <w:sz w:val="21"/>
          <w:szCs w:val="21"/>
        </w:rPr>
        <w:t xml:space="preserve"> </w:t>
      </w:r>
      <w:r w:rsidRPr="007C2763">
        <w:rPr>
          <w:rFonts w:ascii="Abadi" w:hAnsi="Abadi"/>
          <w:b w:val="0"/>
          <w:bCs w:val="0"/>
          <w:sz w:val="21"/>
          <w:szCs w:val="21"/>
        </w:rPr>
        <w:t>Poder</w:t>
      </w:r>
      <w:r w:rsidRPr="007C2763">
        <w:rPr>
          <w:rFonts w:ascii="Abadi" w:hAnsi="Abadi"/>
          <w:b w:val="0"/>
          <w:bCs w:val="0"/>
          <w:spacing w:val="19"/>
          <w:sz w:val="21"/>
          <w:szCs w:val="21"/>
        </w:rPr>
        <w:t xml:space="preserve"> </w:t>
      </w:r>
      <w:r w:rsidRPr="007C2763">
        <w:rPr>
          <w:rFonts w:ascii="Abadi" w:hAnsi="Abadi"/>
          <w:b w:val="0"/>
          <w:bCs w:val="0"/>
          <w:sz w:val="21"/>
          <w:szCs w:val="21"/>
        </w:rPr>
        <w:t>Legislativo</w:t>
      </w:r>
      <w:r w:rsidRPr="007C2763">
        <w:rPr>
          <w:rFonts w:ascii="Abadi" w:hAnsi="Abadi"/>
          <w:b w:val="0"/>
          <w:bCs w:val="0"/>
          <w:spacing w:val="18"/>
          <w:sz w:val="21"/>
          <w:szCs w:val="21"/>
        </w:rPr>
        <w:t xml:space="preserve"> </w:t>
      </w:r>
      <w:r w:rsidRPr="007C2763">
        <w:rPr>
          <w:rFonts w:ascii="Abadi" w:hAnsi="Abadi"/>
          <w:b w:val="0"/>
          <w:bCs w:val="0"/>
          <w:sz w:val="21"/>
          <w:szCs w:val="21"/>
        </w:rPr>
        <w:t>del</w:t>
      </w:r>
      <w:r w:rsidRPr="007C2763">
        <w:rPr>
          <w:rFonts w:ascii="Abadi" w:hAnsi="Abadi"/>
          <w:b w:val="0"/>
          <w:bCs w:val="0"/>
          <w:spacing w:val="22"/>
          <w:sz w:val="21"/>
          <w:szCs w:val="21"/>
        </w:rPr>
        <w:t xml:space="preserve"> </w:t>
      </w:r>
      <w:r w:rsidRPr="007C2763">
        <w:rPr>
          <w:rFonts w:ascii="Abadi" w:hAnsi="Abadi"/>
          <w:b w:val="0"/>
          <w:bCs w:val="0"/>
          <w:sz w:val="21"/>
          <w:szCs w:val="21"/>
        </w:rPr>
        <w:t>Estado</w:t>
      </w:r>
      <w:r w:rsidRPr="007C2763">
        <w:rPr>
          <w:rFonts w:ascii="Abadi" w:hAnsi="Abadi"/>
          <w:b w:val="0"/>
          <w:bCs w:val="0"/>
          <w:spacing w:val="21"/>
          <w:sz w:val="21"/>
          <w:szCs w:val="21"/>
        </w:rPr>
        <w:t xml:space="preserve"> </w:t>
      </w:r>
      <w:r w:rsidRPr="007C2763">
        <w:rPr>
          <w:rFonts w:ascii="Abadi" w:hAnsi="Abadi"/>
          <w:b w:val="0"/>
          <w:bCs w:val="0"/>
          <w:sz w:val="21"/>
          <w:szCs w:val="21"/>
        </w:rPr>
        <w:t>a</w:t>
      </w:r>
      <w:r w:rsidRPr="007C2763">
        <w:rPr>
          <w:rFonts w:ascii="Abadi" w:hAnsi="Abadi"/>
          <w:b w:val="0"/>
          <w:bCs w:val="0"/>
          <w:spacing w:val="21"/>
          <w:sz w:val="21"/>
          <w:szCs w:val="21"/>
        </w:rPr>
        <w:t xml:space="preserve"> </w:t>
      </w:r>
      <w:r w:rsidRPr="007C2763">
        <w:rPr>
          <w:rFonts w:ascii="Abadi" w:hAnsi="Abadi"/>
          <w:b w:val="0"/>
          <w:bCs w:val="0"/>
          <w:sz w:val="21"/>
          <w:szCs w:val="21"/>
        </w:rPr>
        <w:t>través</w:t>
      </w:r>
      <w:r w:rsidRPr="007C2763">
        <w:rPr>
          <w:rFonts w:ascii="Abadi" w:hAnsi="Abadi"/>
          <w:b w:val="0"/>
          <w:bCs w:val="0"/>
          <w:spacing w:val="20"/>
          <w:sz w:val="21"/>
          <w:szCs w:val="21"/>
        </w:rPr>
        <w:t xml:space="preserve"> </w:t>
      </w:r>
      <w:r w:rsidRPr="007C2763">
        <w:rPr>
          <w:rFonts w:ascii="Abadi" w:hAnsi="Abadi"/>
          <w:b w:val="0"/>
          <w:bCs w:val="0"/>
          <w:sz w:val="21"/>
          <w:szCs w:val="21"/>
        </w:rPr>
        <w:t>de</w:t>
      </w:r>
      <w:r w:rsidRPr="007C2763">
        <w:rPr>
          <w:rFonts w:ascii="Abadi" w:hAnsi="Abadi"/>
          <w:b w:val="0"/>
          <w:bCs w:val="0"/>
          <w:spacing w:val="21"/>
          <w:sz w:val="21"/>
          <w:szCs w:val="21"/>
        </w:rPr>
        <w:t xml:space="preserve"> </w:t>
      </w:r>
      <w:r w:rsidRPr="007C2763">
        <w:rPr>
          <w:rFonts w:ascii="Abadi" w:hAnsi="Abadi"/>
          <w:b w:val="0"/>
          <w:bCs w:val="0"/>
          <w:sz w:val="21"/>
          <w:szCs w:val="21"/>
        </w:rPr>
        <w:t>la</w:t>
      </w:r>
      <w:r w:rsidRPr="007C2763">
        <w:rPr>
          <w:rFonts w:ascii="Abadi" w:hAnsi="Abadi"/>
          <w:b w:val="0"/>
          <w:bCs w:val="0"/>
          <w:spacing w:val="21"/>
          <w:sz w:val="21"/>
          <w:szCs w:val="21"/>
        </w:rPr>
        <w:t xml:space="preserve"> </w:t>
      </w:r>
      <w:r w:rsidRPr="007C2763">
        <w:rPr>
          <w:rFonts w:ascii="Abadi" w:hAnsi="Abadi"/>
          <w:b w:val="0"/>
          <w:bCs w:val="0"/>
          <w:sz w:val="21"/>
          <w:szCs w:val="21"/>
        </w:rPr>
        <w:t>Comisión</w:t>
      </w:r>
      <w:r w:rsidRPr="007C2763">
        <w:rPr>
          <w:rFonts w:ascii="Abadi" w:hAnsi="Abadi"/>
          <w:b w:val="0"/>
          <w:bCs w:val="0"/>
          <w:spacing w:val="21"/>
          <w:sz w:val="21"/>
          <w:szCs w:val="21"/>
        </w:rPr>
        <w:t xml:space="preserve"> </w:t>
      </w:r>
      <w:r w:rsidRPr="007C2763">
        <w:rPr>
          <w:rFonts w:ascii="Abadi" w:hAnsi="Abadi"/>
          <w:b w:val="0"/>
          <w:bCs w:val="0"/>
          <w:sz w:val="21"/>
          <w:szCs w:val="21"/>
        </w:rPr>
        <w:t>de</w:t>
      </w:r>
      <w:r w:rsidRPr="007C2763">
        <w:rPr>
          <w:rFonts w:ascii="Abadi" w:hAnsi="Abadi"/>
          <w:b w:val="0"/>
          <w:bCs w:val="0"/>
          <w:spacing w:val="21"/>
          <w:sz w:val="21"/>
          <w:szCs w:val="21"/>
        </w:rPr>
        <w:t xml:space="preserve"> </w:t>
      </w:r>
      <w:r w:rsidRPr="007C2763">
        <w:rPr>
          <w:rFonts w:ascii="Abadi" w:hAnsi="Abadi"/>
          <w:b w:val="0"/>
          <w:bCs w:val="0"/>
          <w:sz w:val="21"/>
          <w:szCs w:val="21"/>
        </w:rPr>
        <w:t>Asuntos</w:t>
      </w:r>
      <w:r w:rsidRPr="007C2763">
        <w:rPr>
          <w:rFonts w:ascii="Abadi" w:hAnsi="Abadi"/>
          <w:b w:val="0"/>
          <w:bCs w:val="0"/>
          <w:spacing w:val="-3"/>
          <w:sz w:val="21"/>
          <w:szCs w:val="21"/>
        </w:rPr>
        <w:t xml:space="preserve"> </w:t>
      </w:r>
      <w:r w:rsidRPr="007C2763">
        <w:rPr>
          <w:rFonts w:ascii="Abadi" w:hAnsi="Abadi"/>
          <w:b w:val="0"/>
          <w:bCs w:val="0"/>
          <w:sz w:val="21"/>
          <w:szCs w:val="21"/>
        </w:rPr>
        <w:t>Municipales,</w:t>
      </w:r>
      <w:r w:rsidRPr="007C2763">
        <w:rPr>
          <w:rFonts w:ascii="Abadi" w:hAnsi="Abadi"/>
          <w:b w:val="0"/>
          <w:bCs w:val="0"/>
          <w:spacing w:val="39"/>
          <w:sz w:val="21"/>
          <w:szCs w:val="21"/>
        </w:rPr>
        <w:t xml:space="preserve"> </w:t>
      </w:r>
      <w:r w:rsidRPr="007C2763">
        <w:rPr>
          <w:rFonts w:ascii="Abadi" w:hAnsi="Abadi"/>
          <w:b w:val="0"/>
          <w:bCs w:val="0"/>
          <w:sz w:val="21"/>
          <w:szCs w:val="21"/>
        </w:rPr>
        <w:t>resultó</w:t>
      </w:r>
      <w:r w:rsidRPr="007C2763">
        <w:rPr>
          <w:rFonts w:ascii="Abadi" w:hAnsi="Abadi"/>
          <w:b w:val="0"/>
          <w:bCs w:val="0"/>
          <w:spacing w:val="40"/>
          <w:sz w:val="21"/>
          <w:szCs w:val="21"/>
        </w:rPr>
        <w:t xml:space="preserve"> </w:t>
      </w:r>
      <w:r w:rsidRPr="007C2763">
        <w:rPr>
          <w:rFonts w:ascii="Abadi" w:hAnsi="Abadi"/>
          <w:b w:val="0"/>
          <w:bCs w:val="0"/>
          <w:sz w:val="21"/>
          <w:szCs w:val="21"/>
        </w:rPr>
        <w:t>competente</w:t>
      </w:r>
      <w:r w:rsidRPr="007C2763">
        <w:rPr>
          <w:rFonts w:ascii="Abadi" w:hAnsi="Abadi"/>
          <w:b w:val="0"/>
          <w:bCs w:val="0"/>
          <w:spacing w:val="36"/>
          <w:sz w:val="21"/>
          <w:szCs w:val="21"/>
        </w:rPr>
        <w:t xml:space="preserve"> </w:t>
      </w:r>
      <w:r w:rsidRPr="007C2763">
        <w:rPr>
          <w:rFonts w:ascii="Abadi" w:hAnsi="Abadi"/>
          <w:b w:val="0"/>
          <w:bCs w:val="0"/>
          <w:sz w:val="21"/>
          <w:szCs w:val="21"/>
        </w:rPr>
        <w:t>para</w:t>
      </w:r>
      <w:r w:rsidRPr="007C2763">
        <w:rPr>
          <w:rFonts w:ascii="Abadi" w:hAnsi="Abadi"/>
          <w:b w:val="0"/>
          <w:bCs w:val="0"/>
          <w:spacing w:val="40"/>
          <w:sz w:val="21"/>
          <w:szCs w:val="21"/>
        </w:rPr>
        <w:t xml:space="preserve"> </w:t>
      </w:r>
      <w:r w:rsidRPr="007C2763">
        <w:rPr>
          <w:rFonts w:ascii="Abadi" w:hAnsi="Abadi"/>
          <w:b w:val="0"/>
          <w:bCs w:val="0"/>
          <w:sz w:val="21"/>
          <w:szCs w:val="21"/>
        </w:rPr>
        <w:t>conocer</w:t>
      </w:r>
      <w:r w:rsidRPr="007C2763">
        <w:rPr>
          <w:rFonts w:ascii="Abadi" w:hAnsi="Abadi"/>
          <w:b w:val="0"/>
          <w:bCs w:val="0"/>
          <w:spacing w:val="38"/>
          <w:sz w:val="21"/>
          <w:szCs w:val="21"/>
        </w:rPr>
        <w:t xml:space="preserve"> </w:t>
      </w:r>
      <w:r w:rsidRPr="007C2763">
        <w:rPr>
          <w:rFonts w:ascii="Abadi" w:hAnsi="Abadi"/>
          <w:b w:val="0"/>
          <w:bCs w:val="0"/>
          <w:sz w:val="21"/>
          <w:szCs w:val="21"/>
        </w:rPr>
        <w:t>de</w:t>
      </w:r>
      <w:r w:rsidRPr="007C2763">
        <w:rPr>
          <w:rFonts w:ascii="Abadi" w:hAnsi="Abadi"/>
          <w:b w:val="0"/>
          <w:bCs w:val="0"/>
          <w:spacing w:val="39"/>
          <w:sz w:val="21"/>
          <w:szCs w:val="21"/>
        </w:rPr>
        <w:t xml:space="preserve"> </w:t>
      </w:r>
      <w:r w:rsidRPr="007C2763">
        <w:rPr>
          <w:rFonts w:ascii="Abadi" w:hAnsi="Abadi"/>
          <w:b w:val="0"/>
          <w:bCs w:val="0"/>
          <w:sz w:val="21"/>
          <w:szCs w:val="21"/>
        </w:rPr>
        <w:t>la</w:t>
      </w:r>
      <w:r w:rsidRPr="007C2763">
        <w:rPr>
          <w:rFonts w:ascii="Abadi" w:hAnsi="Abadi"/>
          <w:b w:val="0"/>
          <w:bCs w:val="0"/>
          <w:spacing w:val="40"/>
          <w:sz w:val="21"/>
          <w:szCs w:val="21"/>
        </w:rPr>
        <w:t xml:space="preserve"> </w:t>
      </w:r>
      <w:r w:rsidRPr="007C2763">
        <w:rPr>
          <w:rFonts w:ascii="Abadi" w:hAnsi="Abadi"/>
          <w:b w:val="0"/>
          <w:bCs w:val="0"/>
          <w:sz w:val="21"/>
          <w:szCs w:val="21"/>
        </w:rPr>
        <w:t>materia</w:t>
      </w:r>
      <w:r w:rsidRPr="007C2763">
        <w:rPr>
          <w:rFonts w:ascii="Abadi" w:hAnsi="Abadi"/>
          <w:b w:val="0"/>
          <w:bCs w:val="0"/>
          <w:spacing w:val="40"/>
          <w:sz w:val="21"/>
          <w:szCs w:val="21"/>
        </w:rPr>
        <w:t xml:space="preserve"> </w:t>
      </w:r>
      <w:r w:rsidRPr="007C2763">
        <w:rPr>
          <w:rFonts w:ascii="Abadi" w:hAnsi="Abadi"/>
          <w:b w:val="0"/>
          <w:bCs w:val="0"/>
          <w:sz w:val="21"/>
          <w:szCs w:val="21"/>
        </w:rPr>
        <w:t>de</w:t>
      </w:r>
      <w:r w:rsidRPr="007C2763">
        <w:rPr>
          <w:rFonts w:ascii="Abadi" w:hAnsi="Abadi"/>
          <w:b w:val="0"/>
          <w:bCs w:val="0"/>
          <w:spacing w:val="39"/>
          <w:sz w:val="21"/>
          <w:szCs w:val="21"/>
        </w:rPr>
        <w:t xml:space="preserve"> </w:t>
      </w:r>
      <w:r w:rsidRPr="007C2763">
        <w:rPr>
          <w:rFonts w:ascii="Abadi" w:hAnsi="Abadi"/>
          <w:b w:val="0"/>
          <w:bCs w:val="0"/>
          <w:sz w:val="21"/>
          <w:szCs w:val="21"/>
        </w:rPr>
        <w:t>la</w:t>
      </w:r>
      <w:r w:rsidRPr="007C2763">
        <w:rPr>
          <w:rFonts w:ascii="Abadi" w:hAnsi="Abadi"/>
          <w:b w:val="0"/>
          <w:bCs w:val="0"/>
          <w:spacing w:val="40"/>
          <w:sz w:val="21"/>
          <w:szCs w:val="21"/>
        </w:rPr>
        <w:t xml:space="preserve"> </w:t>
      </w:r>
      <w:r w:rsidRPr="007C2763">
        <w:rPr>
          <w:rFonts w:ascii="Abadi" w:hAnsi="Abadi"/>
          <w:b w:val="0"/>
          <w:bCs w:val="0"/>
          <w:sz w:val="21"/>
          <w:szCs w:val="21"/>
        </w:rPr>
        <w:t>iniciativa</w:t>
      </w:r>
      <w:r w:rsidRPr="007C2763">
        <w:rPr>
          <w:rFonts w:ascii="Abadi" w:hAnsi="Abadi"/>
          <w:b w:val="0"/>
          <w:bCs w:val="0"/>
          <w:spacing w:val="40"/>
          <w:sz w:val="21"/>
          <w:szCs w:val="21"/>
        </w:rPr>
        <w:t xml:space="preserve"> </w:t>
      </w:r>
      <w:r w:rsidRPr="007C2763">
        <w:rPr>
          <w:rFonts w:ascii="Abadi" w:hAnsi="Abadi"/>
          <w:b w:val="0"/>
          <w:bCs w:val="0"/>
          <w:sz w:val="21"/>
          <w:szCs w:val="21"/>
        </w:rPr>
        <w:t>que incide</w:t>
      </w:r>
      <w:r w:rsidRPr="007C2763">
        <w:rPr>
          <w:rFonts w:ascii="Abadi" w:hAnsi="Abadi"/>
          <w:b w:val="0"/>
          <w:bCs w:val="0"/>
          <w:spacing w:val="1"/>
          <w:sz w:val="21"/>
          <w:szCs w:val="21"/>
        </w:rPr>
        <w:t xml:space="preserve"> </w:t>
      </w:r>
      <w:r w:rsidRPr="007C2763">
        <w:rPr>
          <w:rFonts w:ascii="Abadi" w:hAnsi="Abadi"/>
          <w:b w:val="0"/>
          <w:bCs w:val="0"/>
          <w:sz w:val="21"/>
          <w:szCs w:val="21"/>
        </w:rPr>
        <w:t>en</w:t>
      </w:r>
      <w:r w:rsidRPr="007C2763">
        <w:rPr>
          <w:rFonts w:ascii="Abadi" w:hAnsi="Abadi"/>
          <w:b w:val="0"/>
          <w:bCs w:val="0"/>
          <w:spacing w:val="1"/>
          <w:sz w:val="21"/>
          <w:szCs w:val="21"/>
        </w:rPr>
        <w:t xml:space="preserve"> </w:t>
      </w:r>
      <w:r w:rsidRPr="007C2763">
        <w:rPr>
          <w:rFonts w:ascii="Abadi" w:hAnsi="Abadi"/>
          <w:b w:val="0"/>
          <w:bCs w:val="0"/>
          <w:sz w:val="21"/>
          <w:szCs w:val="21"/>
        </w:rPr>
        <w:t>la</w:t>
      </w:r>
      <w:r w:rsidRPr="007C2763">
        <w:rPr>
          <w:rFonts w:ascii="Abadi" w:hAnsi="Abadi"/>
          <w:b w:val="0"/>
          <w:bCs w:val="0"/>
          <w:spacing w:val="1"/>
          <w:sz w:val="21"/>
          <w:szCs w:val="21"/>
        </w:rPr>
        <w:t xml:space="preserve"> </w:t>
      </w:r>
      <w:r w:rsidRPr="007C2763">
        <w:rPr>
          <w:rFonts w:ascii="Abadi" w:hAnsi="Abadi"/>
          <w:b w:val="0"/>
          <w:bCs w:val="0"/>
          <w:sz w:val="21"/>
          <w:szCs w:val="21"/>
        </w:rPr>
        <w:t>Ley</w:t>
      </w:r>
      <w:r w:rsidRPr="007C2763">
        <w:rPr>
          <w:rFonts w:ascii="Abadi" w:hAnsi="Abadi"/>
          <w:b w:val="0"/>
          <w:bCs w:val="0"/>
          <w:spacing w:val="-2"/>
          <w:sz w:val="21"/>
          <w:szCs w:val="21"/>
        </w:rPr>
        <w:t xml:space="preserve"> </w:t>
      </w:r>
      <w:r w:rsidRPr="007C2763">
        <w:rPr>
          <w:rFonts w:ascii="Abadi" w:hAnsi="Abadi"/>
          <w:b w:val="0"/>
          <w:bCs w:val="0"/>
          <w:sz w:val="21"/>
          <w:szCs w:val="21"/>
        </w:rPr>
        <w:t>Orgánica</w:t>
      </w:r>
      <w:r w:rsidRPr="007C2763">
        <w:rPr>
          <w:rFonts w:ascii="Abadi" w:hAnsi="Abadi"/>
          <w:b w:val="0"/>
          <w:bCs w:val="0"/>
          <w:spacing w:val="1"/>
          <w:sz w:val="21"/>
          <w:szCs w:val="21"/>
        </w:rPr>
        <w:t xml:space="preserve"> </w:t>
      </w:r>
      <w:r w:rsidRPr="007C2763">
        <w:rPr>
          <w:rFonts w:ascii="Abadi" w:hAnsi="Abadi"/>
          <w:b w:val="0"/>
          <w:bCs w:val="0"/>
          <w:sz w:val="21"/>
          <w:szCs w:val="21"/>
        </w:rPr>
        <w:t>Municipal</w:t>
      </w:r>
      <w:r w:rsidRPr="007C2763">
        <w:rPr>
          <w:rFonts w:ascii="Abadi" w:hAnsi="Abadi"/>
          <w:b w:val="0"/>
          <w:bCs w:val="0"/>
          <w:spacing w:val="-1"/>
          <w:sz w:val="21"/>
          <w:szCs w:val="21"/>
        </w:rPr>
        <w:t xml:space="preserve"> </w:t>
      </w:r>
      <w:r w:rsidRPr="007C2763">
        <w:rPr>
          <w:rFonts w:ascii="Abadi" w:hAnsi="Abadi"/>
          <w:b w:val="0"/>
          <w:bCs w:val="0"/>
          <w:sz w:val="21"/>
          <w:szCs w:val="21"/>
        </w:rPr>
        <w:t>para</w:t>
      </w:r>
      <w:r w:rsidRPr="007C2763">
        <w:rPr>
          <w:rFonts w:ascii="Abadi" w:hAnsi="Abadi"/>
          <w:b w:val="0"/>
          <w:bCs w:val="0"/>
          <w:spacing w:val="1"/>
          <w:sz w:val="21"/>
          <w:szCs w:val="21"/>
        </w:rPr>
        <w:t xml:space="preserve"> </w:t>
      </w:r>
      <w:r w:rsidRPr="007C2763">
        <w:rPr>
          <w:rFonts w:ascii="Abadi" w:hAnsi="Abadi"/>
          <w:b w:val="0"/>
          <w:bCs w:val="0"/>
          <w:sz w:val="21"/>
          <w:szCs w:val="21"/>
        </w:rPr>
        <w:t>el Estado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Guanajuato,</w:t>
      </w:r>
      <w:r w:rsidRPr="007C2763">
        <w:rPr>
          <w:rFonts w:ascii="Abadi" w:hAnsi="Abadi"/>
          <w:b w:val="0"/>
          <w:bCs w:val="0"/>
          <w:spacing w:val="-2"/>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conformidad con</w:t>
      </w:r>
      <w:r w:rsidRPr="007C2763">
        <w:rPr>
          <w:rFonts w:ascii="Abadi" w:hAnsi="Abadi"/>
          <w:b w:val="0"/>
          <w:bCs w:val="0"/>
          <w:spacing w:val="18"/>
          <w:sz w:val="21"/>
          <w:szCs w:val="21"/>
        </w:rPr>
        <w:t xml:space="preserve"> </w:t>
      </w:r>
      <w:r w:rsidRPr="007C2763">
        <w:rPr>
          <w:rFonts w:ascii="Abadi" w:hAnsi="Abadi"/>
          <w:b w:val="0"/>
          <w:bCs w:val="0"/>
          <w:sz w:val="21"/>
          <w:szCs w:val="21"/>
        </w:rPr>
        <w:t>lo</w:t>
      </w:r>
      <w:r w:rsidRPr="007C2763">
        <w:rPr>
          <w:rFonts w:ascii="Abadi" w:hAnsi="Abadi"/>
          <w:b w:val="0"/>
          <w:bCs w:val="0"/>
          <w:spacing w:val="16"/>
          <w:sz w:val="21"/>
          <w:szCs w:val="21"/>
        </w:rPr>
        <w:t xml:space="preserve"> </w:t>
      </w:r>
      <w:r w:rsidRPr="007C2763">
        <w:rPr>
          <w:rFonts w:ascii="Abadi" w:hAnsi="Abadi"/>
          <w:b w:val="0"/>
          <w:bCs w:val="0"/>
          <w:sz w:val="21"/>
          <w:szCs w:val="21"/>
        </w:rPr>
        <w:t>previsto</w:t>
      </w:r>
      <w:r w:rsidRPr="007C2763">
        <w:rPr>
          <w:rFonts w:ascii="Abadi" w:hAnsi="Abadi"/>
          <w:b w:val="0"/>
          <w:bCs w:val="0"/>
          <w:spacing w:val="16"/>
          <w:sz w:val="21"/>
          <w:szCs w:val="21"/>
        </w:rPr>
        <w:t xml:space="preserve"> </w:t>
      </w:r>
      <w:r w:rsidRPr="007C2763">
        <w:rPr>
          <w:rFonts w:ascii="Abadi" w:hAnsi="Abadi"/>
          <w:b w:val="0"/>
          <w:bCs w:val="0"/>
          <w:sz w:val="21"/>
          <w:szCs w:val="21"/>
        </w:rPr>
        <w:t>en</w:t>
      </w:r>
      <w:r w:rsidRPr="007C2763">
        <w:rPr>
          <w:rFonts w:ascii="Abadi" w:hAnsi="Abadi"/>
          <w:b w:val="0"/>
          <w:bCs w:val="0"/>
          <w:spacing w:val="16"/>
          <w:sz w:val="21"/>
          <w:szCs w:val="21"/>
        </w:rPr>
        <w:t xml:space="preserve"> </w:t>
      </w:r>
      <w:r w:rsidRPr="007C2763">
        <w:rPr>
          <w:rFonts w:ascii="Abadi" w:hAnsi="Abadi"/>
          <w:b w:val="0"/>
          <w:bCs w:val="0"/>
          <w:sz w:val="21"/>
          <w:szCs w:val="21"/>
        </w:rPr>
        <w:t>el</w:t>
      </w:r>
      <w:r w:rsidRPr="007C2763">
        <w:rPr>
          <w:rFonts w:ascii="Abadi" w:hAnsi="Abadi"/>
          <w:b w:val="0"/>
          <w:bCs w:val="0"/>
          <w:spacing w:val="17"/>
          <w:sz w:val="21"/>
          <w:szCs w:val="21"/>
        </w:rPr>
        <w:t xml:space="preserve"> </w:t>
      </w:r>
      <w:r w:rsidRPr="007C2763">
        <w:rPr>
          <w:rFonts w:ascii="Abadi" w:hAnsi="Abadi"/>
          <w:b w:val="0"/>
          <w:bCs w:val="0"/>
          <w:sz w:val="21"/>
          <w:szCs w:val="21"/>
        </w:rPr>
        <w:t>artículo</w:t>
      </w:r>
      <w:r w:rsidRPr="007C2763">
        <w:rPr>
          <w:rFonts w:ascii="Abadi" w:hAnsi="Abadi"/>
          <w:b w:val="0"/>
          <w:bCs w:val="0"/>
          <w:spacing w:val="16"/>
          <w:sz w:val="21"/>
          <w:szCs w:val="21"/>
        </w:rPr>
        <w:t xml:space="preserve"> </w:t>
      </w:r>
      <w:r w:rsidRPr="007C2763">
        <w:rPr>
          <w:rFonts w:ascii="Abadi" w:hAnsi="Abadi"/>
          <w:b w:val="0"/>
          <w:bCs w:val="0"/>
          <w:sz w:val="21"/>
          <w:szCs w:val="21"/>
        </w:rPr>
        <w:t>104</w:t>
      </w:r>
      <w:r w:rsidRPr="007C2763">
        <w:rPr>
          <w:rFonts w:ascii="Abadi" w:hAnsi="Abadi"/>
          <w:b w:val="0"/>
          <w:bCs w:val="0"/>
          <w:spacing w:val="16"/>
          <w:sz w:val="21"/>
          <w:szCs w:val="21"/>
        </w:rPr>
        <w:t xml:space="preserve"> </w:t>
      </w:r>
      <w:r w:rsidRPr="007C2763">
        <w:rPr>
          <w:rFonts w:ascii="Abadi" w:hAnsi="Abadi"/>
          <w:b w:val="0"/>
          <w:bCs w:val="0"/>
          <w:sz w:val="21"/>
          <w:szCs w:val="21"/>
        </w:rPr>
        <w:t>fracción</w:t>
      </w:r>
      <w:r w:rsidRPr="007C2763">
        <w:rPr>
          <w:rFonts w:ascii="Abadi" w:hAnsi="Abadi"/>
          <w:b w:val="0"/>
          <w:bCs w:val="0"/>
          <w:spacing w:val="18"/>
          <w:sz w:val="21"/>
          <w:szCs w:val="21"/>
        </w:rPr>
        <w:t xml:space="preserve"> </w:t>
      </w:r>
      <w:r w:rsidRPr="007C2763">
        <w:rPr>
          <w:rFonts w:ascii="Abadi" w:hAnsi="Abadi"/>
          <w:b w:val="0"/>
          <w:bCs w:val="0"/>
          <w:sz w:val="21"/>
          <w:szCs w:val="21"/>
        </w:rPr>
        <w:t>I</w:t>
      </w:r>
      <w:r w:rsidRPr="007C2763">
        <w:rPr>
          <w:rFonts w:ascii="Abadi" w:hAnsi="Abadi"/>
          <w:b w:val="0"/>
          <w:bCs w:val="0"/>
          <w:spacing w:val="15"/>
          <w:sz w:val="21"/>
          <w:szCs w:val="21"/>
        </w:rPr>
        <w:t xml:space="preserve"> </w:t>
      </w:r>
      <w:r w:rsidRPr="007C2763">
        <w:rPr>
          <w:rFonts w:ascii="Abadi" w:hAnsi="Abadi"/>
          <w:b w:val="0"/>
          <w:bCs w:val="0"/>
          <w:sz w:val="21"/>
          <w:szCs w:val="21"/>
        </w:rPr>
        <w:t>de</w:t>
      </w:r>
      <w:r w:rsidRPr="007C2763">
        <w:rPr>
          <w:rFonts w:ascii="Abadi" w:hAnsi="Abadi"/>
          <w:b w:val="0"/>
          <w:bCs w:val="0"/>
          <w:spacing w:val="16"/>
          <w:sz w:val="21"/>
          <w:szCs w:val="21"/>
        </w:rPr>
        <w:t xml:space="preserve"> </w:t>
      </w:r>
      <w:r w:rsidRPr="007C2763">
        <w:rPr>
          <w:rFonts w:ascii="Abadi" w:hAnsi="Abadi"/>
          <w:b w:val="0"/>
          <w:bCs w:val="0"/>
          <w:sz w:val="21"/>
          <w:szCs w:val="21"/>
        </w:rPr>
        <w:t>la</w:t>
      </w:r>
      <w:r w:rsidRPr="007C2763">
        <w:rPr>
          <w:rFonts w:ascii="Abadi" w:hAnsi="Abadi"/>
          <w:b w:val="0"/>
          <w:bCs w:val="0"/>
          <w:spacing w:val="16"/>
          <w:sz w:val="21"/>
          <w:szCs w:val="21"/>
        </w:rPr>
        <w:t xml:space="preserve"> </w:t>
      </w:r>
      <w:r w:rsidRPr="007C2763">
        <w:rPr>
          <w:rFonts w:ascii="Abadi" w:hAnsi="Abadi"/>
          <w:b w:val="0"/>
          <w:bCs w:val="0"/>
          <w:sz w:val="21"/>
          <w:szCs w:val="21"/>
        </w:rPr>
        <w:t>Ley</w:t>
      </w:r>
      <w:r w:rsidRPr="007C2763">
        <w:rPr>
          <w:rFonts w:ascii="Abadi" w:hAnsi="Abadi"/>
          <w:b w:val="0"/>
          <w:bCs w:val="0"/>
          <w:spacing w:val="15"/>
          <w:sz w:val="21"/>
          <w:szCs w:val="21"/>
        </w:rPr>
        <w:t xml:space="preserve"> </w:t>
      </w:r>
      <w:r w:rsidRPr="007C2763">
        <w:rPr>
          <w:rFonts w:ascii="Abadi" w:hAnsi="Abadi"/>
          <w:b w:val="0"/>
          <w:bCs w:val="0"/>
          <w:sz w:val="21"/>
          <w:szCs w:val="21"/>
        </w:rPr>
        <w:t>Orgánica</w:t>
      </w:r>
      <w:r w:rsidRPr="007C2763">
        <w:rPr>
          <w:rFonts w:ascii="Abadi" w:hAnsi="Abadi"/>
          <w:b w:val="0"/>
          <w:bCs w:val="0"/>
          <w:spacing w:val="18"/>
          <w:sz w:val="21"/>
          <w:szCs w:val="21"/>
        </w:rPr>
        <w:t xml:space="preserve"> </w:t>
      </w:r>
      <w:r w:rsidRPr="007C2763">
        <w:rPr>
          <w:rFonts w:ascii="Abadi" w:hAnsi="Abadi"/>
          <w:b w:val="0"/>
          <w:bCs w:val="0"/>
          <w:sz w:val="21"/>
          <w:szCs w:val="21"/>
        </w:rPr>
        <w:t>del</w:t>
      </w:r>
      <w:r w:rsidRPr="007C2763">
        <w:rPr>
          <w:rFonts w:ascii="Abadi" w:hAnsi="Abadi"/>
          <w:b w:val="0"/>
          <w:bCs w:val="0"/>
          <w:spacing w:val="17"/>
          <w:sz w:val="21"/>
          <w:szCs w:val="21"/>
        </w:rPr>
        <w:t xml:space="preserve"> </w:t>
      </w:r>
      <w:r w:rsidRPr="007C2763">
        <w:rPr>
          <w:rFonts w:ascii="Abadi" w:hAnsi="Abadi"/>
          <w:b w:val="0"/>
          <w:bCs w:val="0"/>
          <w:sz w:val="21"/>
          <w:szCs w:val="21"/>
        </w:rPr>
        <w:t>Poder Legislativo</w:t>
      </w:r>
      <w:r w:rsidRPr="007C2763">
        <w:rPr>
          <w:rFonts w:ascii="Abadi" w:hAnsi="Abadi"/>
          <w:b w:val="0"/>
          <w:bCs w:val="0"/>
          <w:spacing w:val="44"/>
          <w:sz w:val="21"/>
          <w:szCs w:val="21"/>
        </w:rPr>
        <w:t xml:space="preserve"> </w:t>
      </w:r>
      <w:r w:rsidRPr="007C2763">
        <w:rPr>
          <w:rFonts w:ascii="Abadi" w:hAnsi="Abadi"/>
          <w:b w:val="0"/>
          <w:bCs w:val="0"/>
          <w:sz w:val="21"/>
          <w:szCs w:val="21"/>
        </w:rPr>
        <w:t>del</w:t>
      </w:r>
      <w:r w:rsidRPr="007C2763">
        <w:rPr>
          <w:rFonts w:ascii="Abadi" w:hAnsi="Abadi"/>
          <w:b w:val="0"/>
          <w:bCs w:val="0"/>
          <w:spacing w:val="45"/>
          <w:sz w:val="21"/>
          <w:szCs w:val="21"/>
        </w:rPr>
        <w:t xml:space="preserve"> </w:t>
      </w:r>
      <w:r w:rsidRPr="007C2763">
        <w:rPr>
          <w:rFonts w:ascii="Abadi" w:hAnsi="Abadi"/>
          <w:b w:val="0"/>
          <w:bCs w:val="0"/>
          <w:sz w:val="21"/>
          <w:szCs w:val="21"/>
        </w:rPr>
        <w:t>Estado</w:t>
      </w:r>
      <w:r w:rsidRPr="007C2763">
        <w:rPr>
          <w:rFonts w:ascii="Abadi" w:hAnsi="Abadi"/>
          <w:b w:val="0"/>
          <w:bCs w:val="0"/>
          <w:spacing w:val="44"/>
          <w:sz w:val="21"/>
          <w:szCs w:val="21"/>
        </w:rPr>
        <w:t xml:space="preserve"> </w:t>
      </w:r>
      <w:r w:rsidRPr="007C2763">
        <w:rPr>
          <w:rFonts w:ascii="Abadi" w:hAnsi="Abadi"/>
          <w:b w:val="0"/>
          <w:bCs w:val="0"/>
          <w:sz w:val="21"/>
          <w:szCs w:val="21"/>
        </w:rPr>
        <w:t>de</w:t>
      </w:r>
      <w:r w:rsidRPr="007C2763">
        <w:rPr>
          <w:rFonts w:ascii="Abadi" w:hAnsi="Abadi"/>
          <w:b w:val="0"/>
          <w:bCs w:val="0"/>
          <w:spacing w:val="43"/>
          <w:sz w:val="21"/>
          <w:szCs w:val="21"/>
        </w:rPr>
        <w:t xml:space="preserve"> </w:t>
      </w:r>
      <w:r w:rsidRPr="007C2763">
        <w:rPr>
          <w:rFonts w:ascii="Abadi" w:hAnsi="Abadi"/>
          <w:b w:val="0"/>
          <w:bCs w:val="0"/>
          <w:sz w:val="21"/>
          <w:szCs w:val="21"/>
        </w:rPr>
        <w:t>Guanajuato,</w:t>
      </w:r>
      <w:r w:rsidRPr="007C2763">
        <w:rPr>
          <w:rFonts w:ascii="Abadi" w:hAnsi="Abadi"/>
          <w:b w:val="0"/>
          <w:bCs w:val="0"/>
          <w:spacing w:val="44"/>
          <w:sz w:val="21"/>
          <w:szCs w:val="21"/>
        </w:rPr>
        <w:t xml:space="preserve"> </w:t>
      </w:r>
      <w:r w:rsidRPr="007C2763">
        <w:rPr>
          <w:rFonts w:ascii="Abadi" w:hAnsi="Abadi"/>
          <w:b w:val="0"/>
          <w:bCs w:val="0"/>
          <w:sz w:val="21"/>
          <w:szCs w:val="21"/>
        </w:rPr>
        <w:t>dicta</w:t>
      </w:r>
      <w:r w:rsidRPr="007C2763">
        <w:rPr>
          <w:rFonts w:ascii="Abadi" w:hAnsi="Abadi"/>
          <w:b w:val="0"/>
          <w:bCs w:val="0"/>
          <w:spacing w:val="44"/>
          <w:sz w:val="21"/>
          <w:szCs w:val="21"/>
        </w:rPr>
        <w:t xml:space="preserve"> </w:t>
      </w:r>
      <w:r w:rsidRPr="007C2763">
        <w:rPr>
          <w:rFonts w:ascii="Abadi" w:hAnsi="Abadi"/>
          <w:b w:val="0"/>
          <w:bCs w:val="0"/>
          <w:sz w:val="21"/>
          <w:szCs w:val="21"/>
        </w:rPr>
        <w:t>que</w:t>
      </w:r>
      <w:r w:rsidRPr="007C2763">
        <w:rPr>
          <w:rFonts w:ascii="Abadi" w:hAnsi="Abadi"/>
          <w:b w:val="0"/>
          <w:bCs w:val="0"/>
          <w:spacing w:val="43"/>
          <w:sz w:val="21"/>
          <w:szCs w:val="21"/>
        </w:rPr>
        <w:t xml:space="preserve"> </w:t>
      </w:r>
      <w:r w:rsidRPr="007C2763">
        <w:rPr>
          <w:rFonts w:ascii="Abadi" w:hAnsi="Abadi"/>
          <w:b w:val="0"/>
          <w:bCs w:val="0"/>
          <w:sz w:val="21"/>
          <w:szCs w:val="21"/>
        </w:rPr>
        <w:t>corresponde</w:t>
      </w:r>
      <w:r w:rsidRPr="007C2763">
        <w:rPr>
          <w:rFonts w:ascii="Abadi" w:hAnsi="Abadi"/>
          <w:b w:val="0"/>
          <w:bCs w:val="0"/>
          <w:spacing w:val="47"/>
          <w:sz w:val="21"/>
          <w:szCs w:val="21"/>
        </w:rPr>
        <w:t xml:space="preserve"> </w:t>
      </w:r>
      <w:r w:rsidRPr="007C2763">
        <w:rPr>
          <w:rFonts w:ascii="Abadi" w:hAnsi="Abadi"/>
          <w:b w:val="0"/>
          <w:bCs w:val="0"/>
          <w:sz w:val="21"/>
          <w:szCs w:val="21"/>
        </w:rPr>
        <w:t>a</w:t>
      </w:r>
      <w:r w:rsidRPr="007C2763">
        <w:rPr>
          <w:rFonts w:ascii="Abadi" w:hAnsi="Abadi"/>
          <w:b w:val="0"/>
          <w:bCs w:val="0"/>
          <w:spacing w:val="43"/>
          <w:sz w:val="21"/>
          <w:szCs w:val="21"/>
        </w:rPr>
        <w:t xml:space="preserve"> </w:t>
      </w:r>
      <w:r w:rsidRPr="007C2763">
        <w:rPr>
          <w:rFonts w:ascii="Abadi" w:hAnsi="Abadi"/>
          <w:b w:val="0"/>
          <w:bCs w:val="0"/>
          <w:sz w:val="21"/>
          <w:szCs w:val="21"/>
        </w:rPr>
        <w:t>la</w:t>
      </w:r>
      <w:r w:rsidRPr="007C2763">
        <w:rPr>
          <w:rFonts w:ascii="Abadi" w:hAnsi="Abadi"/>
          <w:b w:val="0"/>
          <w:bCs w:val="0"/>
          <w:spacing w:val="47"/>
          <w:sz w:val="21"/>
          <w:szCs w:val="21"/>
        </w:rPr>
        <w:t xml:space="preserve"> </w:t>
      </w:r>
      <w:r w:rsidRPr="007C2763">
        <w:rPr>
          <w:rFonts w:ascii="Abadi" w:hAnsi="Abadi"/>
          <w:b w:val="0"/>
          <w:bCs w:val="0"/>
          <w:sz w:val="21"/>
          <w:szCs w:val="21"/>
        </w:rPr>
        <w:t>Comisión</w:t>
      </w:r>
      <w:r w:rsidRPr="007C2763">
        <w:rPr>
          <w:rFonts w:ascii="Abadi" w:hAnsi="Abadi"/>
          <w:b w:val="0"/>
          <w:bCs w:val="0"/>
          <w:spacing w:val="44"/>
          <w:sz w:val="21"/>
          <w:szCs w:val="21"/>
        </w:rPr>
        <w:t xml:space="preserve"> </w:t>
      </w:r>
      <w:r w:rsidRPr="007C2763">
        <w:rPr>
          <w:rFonts w:ascii="Abadi" w:hAnsi="Abadi"/>
          <w:b w:val="0"/>
          <w:bCs w:val="0"/>
          <w:sz w:val="21"/>
          <w:szCs w:val="21"/>
        </w:rPr>
        <w:t>de Asuntos</w:t>
      </w:r>
      <w:r w:rsidRPr="007C2763">
        <w:rPr>
          <w:rFonts w:ascii="Abadi" w:hAnsi="Abadi"/>
          <w:b w:val="0"/>
          <w:bCs w:val="0"/>
          <w:spacing w:val="15"/>
          <w:sz w:val="21"/>
          <w:szCs w:val="21"/>
        </w:rPr>
        <w:t xml:space="preserve"> </w:t>
      </w:r>
      <w:r w:rsidRPr="007C2763">
        <w:rPr>
          <w:rFonts w:ascii="Abadi" w:hAnsi="Abadi"/>
          <w:b w:val="0"/>
          <w:bCs w:val="0"/>
          <w:sz w:val="21"/>
          <w:szCs w:val="21"/>
        </w:rPr>
        <w:t>Municipales,</w:t>
      </w:r>
      <w:r w:rsidRPr="007C2763">
        <w:rPr>
          <w:rFonts w:ascii="Abadi" w:hAnsi="Abadi"/>
          <w:b w:val="0"/>
          <w:bCs w:val="0"/>
          <w:spacing w:val="13"/>
          <w:sz w:val="21"/>
          <w:szCs w:val="21"/>
        </w:rPr>
        <w:t xml:space="preserve"> </w:t>
      </w:r>
      <w:r w:rsidRPr="007C2763">
        <w:rPr>
          <w:rFonts w:ascii="Abadi" w:hAnsi="Abadi"/>
          <w:b w:val="0"/>
          <w:bCs w:val="0"/>
          <w:sz w:val="21"/>
          <w:szCs w:val="21"/>
        </w:rPr>
        <w:t>el</w:t>
      </w:r>
      <w:r w:rsidRPr="007C2763">
        <w:rPr>
          <w:rFonts w:ascii="Abadi" w:hAnsi="Abadi"/>
          <w:b w:val="0"/>
          <w:bCs w:val="0"/>
          <w:spacing w:val="14"/>
          <w:sz w:val="21"/>
          <w:szCs w:val="21"/>
        </w:rPr>
        <w:t xml:space="preserve"> </w:t>
      </w:r>
      <w:r w:rsidRPr="007C2763">
        <w:rPr>
          <w:rFonts w:ascii="Abadi" w:hAnsi="Abadi"/>
          <w:b w:val="0"/>
          <w:bCs w:val="0"/>
          <w:sz w:val="21"/>
          <w:szCs w:val="21"/>
        </w:rPr>
        <w:t>conocimiento</w:t>
      </w:r>
      <w:r w:rsidRPr="007C2763">
        <w:rPr>
          <w:rFonts w:ascii="Abadi" w:hAnsi="Abadi"/>
          <w:b w:val="0"/>
          <w:bCs w:val="0"/>
          <w:spacing w:val="13"/>
          <w:sz w:val="21"/>
          <w:szCs w:val="21"/>
        </w:rPr>
        <w:t xml:space="preserve"> </w:t>
      </w:r>
      <w:r w:rsidRPr="007C2763">
        <w:rPr>
          <w:rFonts w:ascii="Abadi" w:hAnsi="Abadi"/>
          <w:b w:val="0"/>
          <w:bCs w:val="0"/>
          <w:sz w:val="21"/>
          <w:szCs w:val="21"/>
        </w:rPr>
        <w:t>y</w:t>
      </w:r>
      <w:r w:rsidRPr="007C2763">
        <w:rPr>
          <w:rFonts w:ascii="Abadi" w:hAnsi="Abadi"/>
          <w:b w:val="0"/>
          <w:bCs w:val="0"/>
          <w:spacing w:val="13"/>
          <w:sz w:val="21"/>
          <w:szCs w:val="21"/>
        </w:rPr>
        <w:t xml:space="preserve"> </w:t>
      </w:r>
      <w:r w:rsidRPr="007C2763">
        <w:rPr>
          <w:rFonts w:ascii="Abadi" w:hAnsi="Abadi"/>
          <w:b w:val="0"/>
          <w:bCs w:val="0"/>
          <w:sz w:val="21"/>
          <w:szCs w:val="21"/>
        </w:rPr>
        <w:t>dictamen</w:t>
      </w:r>
      <w:r w:rsidRPr="007C2763">
        <w:rPr>
          <w:rFonts w:ascii="Abadi" w:hAnsi="Abadi"/>
          <w:b w:val="0"/>
          <w:bCs w:val="0"/>
          <w:spacing w:val="13"/>
          <w:sz w:val="21"/>
          <w:szCs w:val="21"/>
        </w:rPr>
        <w:t xml:space="preserve"> </w:t>
      </w:r>
      <w:r w:rsidRPr="007C2763">
        <w:rPr>
          <w:rFonts w:ascii="Abadi" w:hAnsi="Abadi"/>
          <w:b w:val="0"/>
          <w:bCs w:val="0"/>
          <w:sz w:val="21"/>
          <w:szCs w:val="21"/>
        </w:rPr>
        <w:t>de</w:t>
      </w:r>
      <w:r w:rsidRPr="007C2763">
        <w:rPr>
          <w:rFonts w:ascii="Abadi" w:hAnsi="Abadi"/>
          <w:b w:val="0"/>
          <w:bCs w:val="0"/>
          <w:spacing w:val="13"/>
          <w:sz w:val="21"/>
          <w:szCs w:val="21"/>
        </w:rPr>
        <w:t xml:space="preserve"> </w:t>
      </w:r>
      <w:r w:rsidRPr="007C2763">
        <w:rPr>
          <w:rFonts w:ascii="Abadi" w:hAnsi="Abadi"/>
          <w:b w:val="0"/>
          <w:bCs w:val="0"/>
          <w:sz w:val="21"/>
          <w:szCs w:val="21"/>
        </w:rPr>
        <w:t>las</w:t>
      </w:r>
      <w:r w:rsidRPr="007C2763">
        <w:rPr>
          <w:rFonts w:ascii="Abadi" w:hAnsi="Abadi"/>
          <w:b w:val="0"/>
          <w:bCs w:val="0"/>
          <w:spacing w:val="13"/>
          <w:sz w:val="21"/>
          <w:szCs w:val="21"/>
        </w:rPr>
        <w:t xml:space="preserve"> </w:t>
      </w:r>
      <w:r w:rsidRPr="007C2763">
        <w:rPr>
          <w:rFonts w:ascii="Abadi" w:hAnsi="Abadi"/>
          <w:b w:val="0"/>
          <w:bCs w:val="0"/>
          <w:sz w:val="21"/>
          <w:szCs w:val="21"/>
        </w:rPr>
        <w:t>iniciativas</w:t>
      </w:r>
      <w:r w:rsidRPr="007C2763">
        <w:rPr>
          <w:rFonts w:ascii="Abadi" w:hAnsi="Abadi"/>
          <w:b w:val="0"/>
          <w:bCs w:val="0"/>
          <w:spacing w:val="15"/>
          <w:sz w:val="21"/>
          <w:szCs w:val="21"/>
        </w:rPr>
        <w:t xml:space="preserve"> </w:t>
      </w:r>
      <w:r w:rsidRPr="007C2763">
        <w:rPr>
          <w:rFonts w:ascii="Abadi" w:hAnsi="Abadi"/>
          <w:b w:val="0"/>
          <w:bCs w:val="0"/>
          <w:sz w:val="21"/>
          <w:szCs w:val="21"/>
        </w:rPr>
        <w:t>de</w:t>
      </w:r>
      <w:r w:rsidRPr="007C2763">
        <w:rPr>
          <w:rFonts w:ascii="Abadi" w:hAnsi="Abadi"/>
          <w:b w:val="0"/>
          <w:bCs w:val="0"/>
          <w:spacing w:val="16"/>
          <w:sz w:val="21"/>
          <w:szCs w:val="21"/>
        </w:rPr>
        <w:t xml:space="preserve"> </w:t>
      </w:r>
      <w:r w:rsidRPr="007C2763">
        <w:rPr>
          <w:rFonts w:ascii="Abadi" w:hAnsi="Abadi"/>
          <w:b w:val="0"/>
          <w:bCs w:val="0"/>
          <w:sz w:val="21"/>
          <w:szCs w:val="21"/>
        </w:rPr>
        <w:t>ley</w:t>
      </w:r>
      <w:r w:rsidRPr="007C2763">
        <w:rPr>
          <w:rFonts w:ascii="Abadi" w:hAnsi="Abadi"/>
          <w:b w:val="0"/>
          <w:bCs w:val="0"/>
          <w:spacing w:val="13"/>
          <w:sz w:val="21"/>
          <w:szCs w:val="21"/>
        </w:rPr>
        <w:t xml:space="preserve"> </w:t>
      </w:r>
      <w:r w:rsidRPr="007C2763">
        <w:rPr>
          <w:rFonts w:ascii="Abadi" w:hAnsi="Abadi"/>
          <w:b w:val="0"/>
          <w:bCs w:val="0"/>
          <w:sz w:val="21"/>
          <w:szCs w:val="21"/>
        </w:rPr>
        <w:t>o modificaciones,</w:t>
      </w:r>
      <w:r w:rsidRPr="007C2763">
        <w:rPr>
          <w:rFonts w:ascii="Abadi" w:hAnsi="Abadi"/>
          <w:b w:val="0"/>
          <w:bCs w:val="0"/>
          <w:spacing w:val="15"/>
          <w:sz w:val="21"/>
          <w:szCs w:val="21"/>
        </w:rPr>
        <w:t xml:space="preserve"> </w:t>
      </w:r>
      <w:r w:rsidRPr="007C2763">
        <w:rPr>
          <w:rFonts w:ascii="Abadi" w:hAnsi="Abadi"/>
          <w:b w:val="0"/>
          <w:bCs w:val="0"/>
          <w:sz w:val="21"/>
          <w:szCs w:val="21"/>
        </w:rPr>
        <w:t>relacionadas</w:t>
      </w:r>
      <w:r w:rsidRPr="007C2763">
        <w:rPr>
          <w:rFonts w:ascii="Abadi" w:hAnsi="Abadi"/>
          <w:b w:val="0"/>
          <w:bCs w:val="0"/>
          <w:spacing w:val="14"/>
          <w:sz w:val="21"/>
          <w:szCs w:val="21"/>
        </w:rPr>
        <w:t xml:space="preserve"> </w:t>
      </w:r>
      <w:r w:rsidRPr="007C2763">
        <w:rPr>
          <w:rFonts w:ascii="Abadi" w:hAnsi="Abadi"/>
          <w:b w:val="0"/>
          <w:bCs w:val="0"/>
          <w:sz w:val="21"/>
          <w:szCs w:val="21"/>
        </w:rPr>
        <w:t>con</w:t>
      </w:r>
      <w:r w:rsidRPr="007C2763">
        <w:rPr>
          <w:rFonts w:ascii="Abadi" w:hAnsi="Abadi"/>
          <w:b w:val="0"/>
          <w:bCs w:val="0"/>
          <w:spacing w:val="15"/>
          <w:sz w:val="21"/>
          <w:szCs w:val="21"/>
        </w:rPr>
        <w:t xml:space="preserve"> </w:t>
      </w:r>
      <w:r w:rsidRPr="007C2763">
        <w:rPr>
          <w:rFonts w:ascii="Abadi" w:hAnsi="Abadi"/>
          <w:b w:val="0"/>
          <w:bCs w:val="0"/>
          <w:sz w:val="21"/>
          <w:szCs w:val="21"/>
        </w:rPr>
        <w:t>la</w:t>
      </w:r>
      <w:r w:rsidRPr="007C2763">
        <w:rPr>
          <w:rFonts w:ascii="Abadi" w:hAnsi="Abadi"/>
          <w:b w:val="0"/>
          <w:bCs w:val="0"/>
          <w:spacing w:val="13"/>
          <w:sz w:val="21"/>
          <w:szCs w:val="21"/>
        </w:rPr>
        <w:t xml:space="preserve"> </w:t>
      </w:r>
      <w:r w:rsidRPr="007C2763">
        <w:rPr>
          <w:rFonts w:ascii="Abadi" w:hAnsi="Abadi"/>
          <w:b w:val="0"/>
          <w:bCs w:val="0"/>
          <w:sz w:val="21"/>
          <w:szCs w:val="21"/>
        </w:rPr>
        <w:t>legislación</w:t>
      </w:r>
      <w:r w:rsidRPr="007C2763">
        <w:rPr>
          <w:rFonts w:ascii="Abadi" w:hAnsi="Abadi"/>
          <w:b w:val="0"/>
          <w:bCs w:val="0"/>
          <w:spacing w:val="13"/>
          <w:sz w:val="21"/>
          <w:szCs w:val="21"/>
        </w:rPr>
        <w:t xml:space="preserve"> </w:t>
      </w:r>
      <w:r w:rsidRPr="007C2763">
        <w:rPr>
          <w:rFonts w:ascii="Abadi" w:hAnsi="Abadi"/>
          <w:b w:val="0"/>
          <w:bCs w:val="0"/>
          <w:sz w:val="21"/>
          <w:szCs w:val="21"/>
        </w:rPr>
        <w:t>orgánica</w:t>
      </w:r>
      <w:r w:rsidRPr="007C2763">
        <w:rPr>
          <w:rFonts w:ascii="Abadi" w:hAnsi="Abadi"/>
          <w:b w:val="0"/>
          <w:bCs w:val="0"/>
          <w:spacing w:val="13"/>
          <w:sz w:val="21"/>
          <w:szCs w:val="21"/>
        </w:rPr>
        <w:t xml:space="preserve"> </w:t>
      </w:r>
      <w:r w:rsidRPr="007C2763">
        <w:rPr>
          <w:rFonts w:ascii="Abadi" w:hAnsi="Abadi"/>
          <w:b w:val="0"/>
          <w:bCs w:val="0"/>
          <w:sz w:val="21"/>
          <w:szCs w:val="21"/>
        </w:rPr>
        <w:t>municipal,</w:t>
      </w:r>
      <w:r w:rsidRPr="007C2763">
        <w:rPr>
          <w:rFonts w:ascii="Abadi" w:hAnsi="Abadi"/>
          <w:b w:val="0"/>
          <w:bCs w:val="0"/>
          <w:spacing w:val="13"/>
          <w:sz w:val="21"/>
          <w:szCs w:val="21"/>
        </w:rPr>
        <w:t xml:space="preserve"> </w:t>
      </w:r>
      <w:r w:rsidRPr="007C2763">
        <w:rPr>
          <w:rFonts w:ascii="Abadi" w:hAnsi="Abadi"/>
          <w:b w:val="0"/>
          <w:bCs w:val="0"/>
          <w:sz w:val="21"/>
          <w:szCs w:val="21"/>
        </w:rPr>
        <w:t>siendo</w:t>
      </w:r>
      <w:r w:rsidRPr="007C2763">
        <w:rPr>
          <w:rFonts w:ascii="Abadi" w:hAnsi="Abadi"/>
          <w:b w:val="0"/>
          <w:bCs w:val="0"/>
          <w:spacing w:val="15"/>
          <w:sz w:val="21"/>
          <w:szCs w:val="21"/>
        </w:rPr>
        <w:t xml:space="preserve"> </w:t>
      </w:r>
      <w:r w:rsidRPr="007C2763">
        <w:rPr>
          <w:rFonts w:ascii="Abadi" w:hAnsi="Abadi"/>
          <w:b w:val="0"/>
          <w:bCs w:val="0"/>
          <w:sz w:val="21"/>
          <w:szCs w:val="21"/>
        </w:rPr>
        <w:t>el</w:t>
      </w:r>
      <w:r w:rsidRPr="007C2763">
        <w:rPr>
          <w:rFonts w:ascii="Abadi" w:hAnsi="Abadi"/>
          <w:b w:val="0"/>
          <w:bCs w:val="0"/>
          <w:spacing w:val="12"/>
          <w:sz w:val="21"/>
          <w:szCs w:val="21"/>
        </w:rPr>
        <w:t xml:space="preserve"> </w:t>
      </w:r>
      <w:r w:rsidRPr="007C2763">
        <w:rPr>
          <w:rFonts w:ascii="Abadi" w:hAnsi="Abadi"/>
          <w:b w:val="0"/>
          <w:bCs w:val="0"/>
          <w:sz w:val="21"/>
          <w:szCs w:val="21"/>
        </w:rPr>
        <w:t>caso que</w:t>
      </w:r>
      <w:r w:rsidRPr="007C2763">
        <w:rPr>
          <w:rFonts w:ascii="Abadi" w:hAnsi="Abadi"/>
          <w:b w:val="0"/>
          <w:bCs w:val="0"/>
          <w:spacing w:val="-1"/>
          <w:sz w:val="21"/>
          <w:szCs w:val="21"/>
        </w:rPr>
        <w:t xml:space="preserve"> </w:t>
      </w:r>
      <w:r w:rsidRPr="007C2763">
        <w:rPr>
          <w:rFonts w:ascii="Abadi" w:hAnsi="Abadi"/>
          <w:b w:val="0"/>
          <w:bCs w:val="0"/>
          <w:sz w:val="21"/>
          <w:szCs w:val="21"/>
        </w:rPr>
        <w:t>nos</w:t>
      </w:r>
      <w:r w:rsidRPr="007C2763">
        <w:rPr>
          <w:rFonts w:ascii="Abadi" w:hAnsi="Abadi"/>
          <w:b w:val="0"/>
          <w:bCs w:val="0"/>
          <w:spacing w:val="-2"/>
          <w:sz w:val="21"/>
          <w:szCs w:val="21"/>
        </w:rPr>
        <w:t xml:space="preserve"> </w:t>
      </w:r>
      <w:r w:rsidRPr="007C2763">
        <w:rPr>
          <w:rFonts w:ascii="Abadi" w:hAnsi="Abadi"/>
          <w:b w:val="0"/>
          <w:bCs w:val="0"/>
          <w:sz w:val="21"/>
          <w:szCs w:val="21"/>
        </w:rPr>
        <w:t>ocupa.</w:t>
      </w:r>
    </w:p>
    <w:p w14:paraId="1DD665CF" w14:textId="77777777" w:rsidR="00374A1E" w:rsidRPr="007C2763" w:rsidRDefault="00374A1E" w:rsidP="00BC6383">
      <w:pPr>
        <w:pStyle w:val="Textoindependiente"/>
        <w:kinsoku w:val="0"/>
        <w:overflowPunct w:val="0"/>
        <w:rPr>
          <w:rFonts w:ascii="Abadi" w:hAnsi="Abadi"/>
          <w:b w:val="0"/>
          <w:bCs w:val="0"/>
          <w:sz w:val="21"/>
          <w:szCs w:val="21"/>
        </w:rPr>
      </w:pPr>
    </w:p>
    <w:p w14:paraId="450C80AE" w14:textId="77777777" w:rsidR="00374A1E" w:rsidRPr="007C2763" w:rsidRDefault="00374A1E" w:rsidP="00BC6383">
      <w:pPr>
        <w:pStyle w:val="Ttulo1"/>
        <w:kinsoku w:val="0"/>
        <w:overflowPunct w:val="0"/>
        <w:jc w:val="both"/>
        <w:rPr>
          <w:rFonts w:ascii="Abadi" w:hAnsi="Abadi"/>
          <w:sz w:val="21"/>
          <w:szCs w:val="21"/>
        </w:rPr>
      </w:pPr>
      <w:r w:rsidRPr="007C2763">
        <w:rPr>
          <w:rFonts w:ascii="Abadi" w:hAnsi="Abadi"/>
          <w:sz w:val="21"/>
          <w:szCs w:val="21"/>
        </w:rPr>
        <w:t>Consideraciones</w:t>
      </w:r>
      <w:r w:rsidRPr="007C2763">
        <w:rPr>
          <w:rFonts w:ascii="Abadi" w:hAnsi="Abadi"/>
          <w:spacing w:val="1"/>
          <w:sz w:val="21"/>
          <w:szCs w:val="21"/>
        </w:rPr>
        <w:t xml:space="preserve"> </w:t>
      </w:r>
      <w:r w:rsidRPr="007C2763">
        <w:rPr>
          <w:rFonts w:ascii="Abadi" w:hAnsi="Abadi"/>
          <w:sz w:val="21"/>
          <w:szCs w:val="21"/>
        </w:rPr>
        <w:t>de</w:t>
      </w:r>
      <w:r w:rsidRPr="007C2763">
        <w:rPr>
          <w:rFonts w:ascii="Abadi" w:hAnsi="Abadi"/>
          <w:spacing w:val="1"/>
          <w:sz w:val="21"/>
          <w:szCs w:val="21"/>
        </w:rPr>
        <w:t xml:space="preserve"> </w:t>
      </w:r>
      <w:r w:rsidRPr="007C2763">
        <w:rPr>
          <w:rFonts w:ascii="Abadi" w:hAnsi="Abadi"/>
          <w:sz w:val="21"/>
          <w:szCs w:val="21"/>
        </w:rPr>
        <w:t>la</w:t>
      </w:r>
      <w:r w:rsidRPr="007C2763">
        <w:rPr>
          <w:rFonts w:ascii="Abadi" w:hAnsi="Abadi"/>
          <w:spacing w:val="1"/>
          <w:sz w:val="21"/>
          <w:szCs w:val="21"/>
        </w:rPr>
        <w:t xml:space="preserve"> </w:t>
      </w:r>
      <w:r w:rsidRPr="007C2763">
        <w:rPr>
          <w:rFonts w:ascii="Abadi" w:hAnsi="Abadi"/>
          <w:sz w:val="21"/>
          <w:szCs w:val="21"/>
        </w:rPr>
        <w:t>Comisión.</w:t>
      </w:r>
    </w:p>
    <w:p w14:paraId="0BB15BD2" w14:textId="77777777" w:rsidR="00374A1E" w:rsidRPr="007C2763" w:rsidRDefault="00374A1E" w:rsidP="00BC6383">
      <w:pPr>
        <w:pStyle w:val="Textoindependiente"/>
        <w:kinsoku w:val="0"/>
        <w:overflowPunct w:val="0"/>
        <w:rPr>
          <w:rFonts w:ascii="Abadi" w:hAnsi="Abadi"/>
          <w:b w:val="0"/>
          <w:bCs w:val="0"/>
          <w:sz w:val="21"/>
          <w:szCs w:val="21"/>
        </w:rPr>
      </w:pPr>
    </w:p>
    <w:p w14:paraId="2E1C3B24" w14:textId="77777777" w:rsidR="00374A1E" w:rsidRPr="007C2763" w:rsidRDefault="00374A1E" w:rsidP="00BC6383">
      <w:pPr>
        <w:pStyle w:val="Textoindependiente"/>
        <w:kinsoku w:val="0"/>
        <w:overflowPunct w:val="0"/>
        <w:ind w:left="40" w:right="114" w:firstLine="708"/>
        <w:rPr>
          <w:rFonts w:ascii="Abadi" w:hAnsi="Abadi"/>
          <w:b w:val="0"/>
          <w:bCs w:val="0"/>
          <w:sz w:val="21"/>
          <w:szCs w:val="21"/>
        </w:rPr>
      </w:pPr>
      <w:r w:rsidRPr="007C2763">
        <w:rPr>
          <w:rFonts w:ascii="Abadi" w:hAnsi="Abadi"/>
          <w:b w:val="0"/>
          <w:bCs w:val="0"/>
          <w:sz w:val="21"/>
          <w:szCs w:val="21"/>
        </w:rPr>
        <w:t>En</w:t>
      </w:r>
      <w:r w:rsidRPr="007C2763">
        <w:rPr>
          <w:rFonts w:ascii="Abadi" w:hAnsi="Abadi"/>
          <w:b w:val="0"/>
          <w:bCs w:val="0"/>
          <w:spacing w:val="31"/>
          <w:sz w:val="21"/>
          <w:szCs w:val="21"/>
        </w:rPr>
        <w:t xml:space="preserve"> </w:t>
      </w:r>
      <w:r w:rsidRPr="007C2763">
        <w:rPr>
          <w:rFonts w:ascii="Abadi" w:hAnsi="Abadi"/>
          <w:b w:val="0"/>
          <w:bCs w:val="0"/>
          <w:sz w:val="21"/>
          <w:szCs w:val="21"/>
        </w:rPr>
        <w:t>atención</w:t>
      </w:r>
      <w:r w:rsidRPr="007C2763">
        <w:rPr>
          <w:rFonts w:ascii="Abadi" w:hAnsi="Abadi"/>
          <w:b w:val="0"/>
          <w:bCs w:val="0"/>
          <w:spacing w:val="30"/>
          <w:sz w:val="21"/>
          <w:szCs w:val="21"/>
        </w:rPr>
        <w:t xml:space="preserve"> </w:t>
      </w:r>
      <w:r w:rsidRPr="007C2763">
        <w:rPr>
          <w:rFonts w:ascii="Abadi" w:hAnsi="Abadi"/>
          <w:b w:val="0"/>
          <w:bCs w:val="0"/>
          <w:sz w:val="21"/>
          <w:szCs w:val="21"/>
        </w:rPr>
        <w:t>a</w:t>
      </w:r>
      <w:r w:rsidRPr="007C2763">
        <w:rPr>
          <w:rFonts w:ascii="Abadi" w:hAnsi="Abadi"/>
          <w:b w:val="0"/>
          <w:bCs w:val="0"/>
          <w:spacing w:val="32"/>
          <w:sz w:val="21"/>
          <w:szCs w:val="21"/>
        </w:rPr>
        <w:t xml:space="preserve"> </w:t>
      </w:r>
      <w:r w:rsidRPr="007C2763">
        <w:rPr>
          <w:rFonts w:ascii="Abadi" w:hAnsi="Abadi"/>
          <w:b w:val="0"/>
          <w:bCs w:val="0"/>
          <w:sz w:val="21"/>
          <w:szCs w:val="21"/>
        </w:rPr>
        <w:t>las</w:t>
      </w:r>
      <w:r w:rsidRPr="007C2763">
        <w:rPr>
          <w:rFonts w:ascii="Abadi" w:hAnsi="Abadi"/>
          <w:b w:val="0"/>
          <w:bCs w:val="0"/>
          <w:spacing w:val="31"/>
          <w:sz w:val="21"/>
          <w:szCs w:val="21"/>
        </w:rPr>
        <w:t xml:space="preserve"> </w:t>
      </w:r>
      <w:r w:rsidRPr="007C2763">
        <w:rPr>
          <w:rFonts w:ascii="Abadi" w:hAnsi="Abadi"/>
          <w:b w:val="0"/>
          <w:bCs w:val="0"/>
          <w:sz w:val="21"/>
          <w:szCs w:val="21"/>
        </w:rPr>
        <w:t>reflexiones</w:t>
      </w:r>
      <w:r w:rsidRPr="007C2763">
        <w:rPr>
          <w:rFonts w:ascii="Abadi" w:hAnsi="Abadi"/>
          <w:b w:val="0"/>
          <w:bCs w:val="0"/>
          <w:spacing w:val="31"/>
          <w:sz w:val="21"/>
          <w:szCs w:val="21"/>
        </w:rPr>
        <w:t xml:space="preserve"> </w:t>
      </w:r>
      <w:r w:rsidRPr="007C2763">
        <w:rPr>
          <w:rFonts w:ascii="Abadi" w:hAnsi="Abadi"/>
          <w:b w:val="0"/>
          <w:bCs w:val="0"/>
          <w:sz w:val="21"/>
          <w:szCs w:val="21"/>
        </w:rPr>
        <w:t>vertidas</w:t>
      </w:r>
      <w:r w:rsidRPr="007C2763">
        <w:rPr>
          <w:rFonts w:ascii="Abadi" w:hAnsi="Abadi"/>
          <w:b w:val="0"/>
          <w:bCs w:val="0"/>
          <w:spacing w:val="31"/>
          <w:sz w:val="21"/>
          <w:szCs w:val="21"/>
        </w:rPr>
        <w:t xml:space="preserve"> </w:t>
      </w:r>
      <w:r w:rsidRPr="007C2763">
        <w:rPr>
          <w:rFonts w:ascii="Abadi" w:hAnsi="Abadi"/>
          <w:b w:val="0"/>
          <w:bCs w:val="0"/>
          <w:sz w:val="21"/>
          <w:szCs w:val="21"/>
        </w:rPr>
        <w:t>en</w:t>
      </w:r>
      <w:r w:rsidRPr="007C2763">
        <w:rPr>
          <w:rFonts w:ascii="Abadi" w:hAnsi="Abadi"/>
          <w:b w:val="0"/>
          <w:bCs w:val="0"/>
          <w:spacing w:val="32"/>
          <w:sz w:val="21"/>
          <w:szCs w:val="21"/>
        </w:rPr>
        <w:t xml:space="preserve"> </w:t>
      </w:r>
      <w:r w:rsidRPr="007C2763">
        <w:rPr>
          <w:rFonts w:ascii="Abadi" w:hAnsi="Abadi"/>
          <w:b w:val="0"/>
          <w:bCs w:val="0"/>
          <w:sz w:val="21"/>
          <w:szCs w:val="21"/>
        </w:rPr>
        <w:t>la</w:t>
      </w:r>
      <w:r w:rsidRPr="007C2763">
        <w:rPr>
          <w:rFonts w:ascii="Abadi" w:hAnsi="Abadi"/>
          <w:b w:val="0"/>
          <w:bCs w:val="0"/>
          <w:spacing w:val="32"/>
          <w:sz w:val="21"/>
          <w:szCs w:val="21"/>
        </w:rPr>
        <w:t xml:space="preserve"> </w:t>
      </w:r>
      <w:r w:rsidRPr="007C2763">
        <w:rPr>
          <w:rFonts w:ascii="Abadi" w:hAnsi="Abadi"/>
          <w:b w:val="0"/>
          <w:bCs w:val="0"/>
          <w:sz w:val="21"/>
          <w:szCs w:val="21"/>
        </w:rPr>
        <w:t>mesa</w:t>
      </w:r>
      <w:r w:rsidRPr="007C2763">
        <w:rPr>
          <w:rFonts w:ascii="Abadi" w:hAnsi="Abadi"/>
          <w:b w:val="0"/>
          <w:bCs w:val="0"/>
          <w:spacing w:val="32"/>
          <w:sz w:val="21"/>
          <w:szCs w:val="21"/>
        </w:rPr>
        <w:t xml:space="preserve"> </w:t>
      </w:r>
      <w:r w:rsidRPr="007C2763">
        <w:rPr>
          <w:rFonts w:ascii="Abadi" w:hAnsi="Abadi"/>
          <w:b w:val="0"/>
          <w:bCs w:val="0"/>
          <w:sz w:val="21"/>
          <w:szCs w:val="21"/>
        </w:rPr>
        <w:t>de</w:t>
      </w:r>
      <w:r w:rsidRPr="007C2763">
        <w:rPr>
          <w:rFonts w:ascii="Abadi" w:hAnsi="Abadi"/>
          <w:b w:val="0"/>
          <w:bCs w:val="0"/>
          <w:spacing w:val="32"/>
          <w:sz w:val="21"/>
          <w:szCs w:val="21"/>
        </w:rPr>
        <w:t xml:space="preserve"> </w:t>
      </w:r>
      <w:r w:rsidRPr="007C2763">
        <w:rPr>
          <w:rFonts w:ascii="Abadi" w:hAnsi="Abadi"/>
          <w:b w:val="0"/>
          <w:bCs w:val="0"/>
          <w:sz w:val="21"/>
          <w:szCs w:val="21"/>
        </w:rPr>
        <w:t>trabajo,</w:t>
      </w:r>
      <w:r w:rsidRPr="007C2763">
        <w:rPr>
          <w:rFonts w:ascii="Abadi" w:hAnsi="Abadi"/>
          <w:b w:val="0"/>
          <w:bCs w:val="0"/>
          <w:spacing w:val="32"/>
          <w:sz w:val="21"/>
          <w:szCs w:val="21"/>
        </w:rPr>
        <w:t xml:space="preserve"> </w:t>
      </w:r>
      <w:r w:rsidRPr="007C2763">
        <w:rPr>
          <w:rFonts w:ascii="Abadi" w:hAnsi="Abadi"/>
          <w:b w:val="0"/>
          <w:bCs w:val="0"/>
          <w:sz w:val="21"/>
          <w:szCs w:val="21"/>
        </w:rPr>
        <w:t>así</w:t>
      </w:r>
      <w:r w:rsidRPr="007C2763">
        <w:rPr>
          <w:rFonts w:ascii="Abadi" w:hAnsi="Abadi"/>
          <w:b w:val="0"/>
          <w:bCs w:val="0"/>
          <w:spacing w:val="29"/>
          <w:sz w:val="21"/>
          <w:szCs w:val="21"/>
        </w:rPr>
        <w:t xml:space="preserve"> </w:t>
      </w:r>
      <w:r w:rsidRPr="007C2763">
        <w:rPr>
          <w:rFonts w:ascii="Abadi" w:hAnsi="Abadi"/>
          <w:b w:val="0"/>
          <w:bCs w:val="0"/>
          <w:sz w:val="21"/>
          <w:szCs w:val="21"/>
        </w:rPr>
        <w:t>como</w:t>
      </w:r>
      <w:r w:rsidRPr="007C2763">
        <w:rPr>
          <w:rFonts w:ascii="Abadi" w:hAnsi="Abadi"/>
          <w:b w:val="0"/>
          <w:bCs w:val="0"/>
          <w:spacing w:val="30"/>
          <w:sz w:val="21"/>
          <w:szCs w:val="21"/>
        </w:rPr>
        <w:t xml:space="preserve"> </w:t>
      </w:r>
      <w:r w:rsidRPr="007C2763">
        <w:rPr>
          <w:rFonts w:ascii="Abadi" w:hAnsi="Abadi"/>
          <w:b w:val="0"/>
          <w:bCs w:val="0"/>
          <w:sz w:val="21"/>
          <w:szCs w:val="21"/>
        </w:rPr>
        <w:t>el aporte</w:t>
      </w:r>
      <w:r w:rsidRPr="007C2763">
        <w:rPr>
          <w:rFonts w:ascii="Abadi" w:hAnsi="Abadi"/>
          <w:b w:val="0"/>
          <w:bCs w:val="0"/>
          <w:spacing w:val="6"/>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r w:rsidRPr="007C2763">
        <w:rPr>
          <w:rFonts w:ascii="Abadi" w:hAnsi="Abadi"/>
          <w:b w:val="0"/>
          <w:bCs w:val="0"/>
          <w:sz w:val="21"/>
          <w:szCs w:val="21"/>
        </w:rPr>
        <w:t>las</w:t>
      </w:r>
      <w:r w:rsidRPr="007C2763">
        <w:rPr>
          <w:rFonts w:ascii="Abadi" w:hAnsi="Abadi"/>
          <w:b w:val="0"/>
          <w:bCs w:val="0"/>
          <w:spacing w:val="7"/>
          <w:sz w:val="21"/>
          <w:szCs w:val="21"/>
        </w:rPr>
        <w:t xml:space="preserve"> </w:t>
      </w:r>
      <w:r w:rsidRPr="007C2763">
        <w:rPr>
          <w:rFonts w:ascii="Abadi" w:hAnsi="Abadi"/>
          <w:b w:val="0"/>
          <w:bCs w:val="0"/>
          <w:sz w:val="21"/>
          <w:szCs w:val="21"/>
        </w:rPr>
        <w:t>instancias</w:t>
      </w:r>
      <w:r w:rsidRPr="007C2763">
        <w:rPr>
          <w:rFonts w:ascii="Abadi" w:hAnsi="Abadi"/>
          <w:b w:val="0"/>
          <w:bCs w:val="0"/>
          <w:spacing w:val="7"/>
          <w:sz w:val="21"/>
          <w:szCs w:val="21"/>
        </w:rPr>
        <w:t xml:space="preserve"> </w:t>
      </w:r>
      <w:r w:rsidRPr="007C2763">
        <w:rPr>
          <w:rFonts w:ascii="Abadi" w:hAnsi="Abadi"/>
          <w:b w:val="0"/>
          <w:bCs w:val="0"/>
          <w:sz w:val="21"/>
          <w:szCs w:val="21"/>
        </w:rPr>
        <w:t>consultadas</w:t>
      </w:r>
      <w:r w:rsidRPr="007C2763">
        <w:rPr>
          <w:rFonts w:ascii="Abadi" w:hAnsi="Abadi"/>
          <w:b w:val="0"/>
          <w:bCs w:val="0"/>
          <w:spacing w:val="5"/>
          <w:sz w:val="21"/>
          <w:szCs w:val="21"/>
        </w:rPr>
        <w:t xml:space="preserve"> </w:t>
      </w:r>
      <w:r w:rsidRPr="007C2763">
        <w:rPr>
          <w:rFonts w:ascii="Abadi" w:hAnsi="Abadi"/>
          <w:b w:val="0"/>
          <w:bCs w:val="0"/>
          <w:sz w:val="21"/>
          <w:szCs w:val="21"/>
        </w:rPr>
        <w:t>a</w:t>
      </w:r>
      <w:r w:rsidRPr="007C2763">
        <w:rPr>
          <w:rFonts w:ascii="Abadi" w:hAnsi="Abadi"/>
          <w:b w:val="0"/>
          <w:bCs w:val="0"/>
          <w:spacing w:val="8"/>
          <w:sz w:val="21"/>
          <w:szCs w:val="21"/>
        </w:rPr>
        <w:t xml:space="preserve"> </w:t>
      </w:r>
      <w:r w:rsidRPr="007C2763">
        <w:rPr>
          <w:rFonts w:ascii="Abadi" w:hAnsi="Abadi"/>
          <w:b w:val="0"/>
          <w:bCs w:val="0"/>
          <w:sz w:val="21"/>
          <w:szCs w:val="21"/>
        </w:rPr>
        <w:t>través</w:t>
      </w:r>
      <w:r w:rsidRPr="007C2763">
        <w:rPr>
          <w:rFonts w:ascii="Abadi" w:hAnsi="Abadi"/>
          <w:b w:val="0"/>
          <w:bCs w:val="0"/>
          <w:spacing w:val="5"/>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r w:rsidRPr="007C2763">
        <w:rPr>
          <w:rFonts w:ascii="Abadi" w:hAnsi="Abadi"/>
          <w:b w:val="0"/>
          <w:bCs w:val="0"/>
          <w:sz w:val="21"/>
          <w:szCs w:val="21"/>
        </w:rPr>
        <w:t>los</w:t>
      </w:r>
      <w:r w:rsidRPr="007C2763">
        <w:rPr>
          <w:rFonts w:ascii="Abadi" w:hAnsi="Abadi"/>
          <w:b w:val="0"/>
          <w:bCs w:val="0"/>
          <w:spacing w:val="7"/>
          <w:sz w:val="21"/>
          <w:szCs w:val="21"/>
        </w:rPr>
        <w:t xml:space="preserve"> </w:t>
      </w:r>
      <w:r w:rsidRPr="007C2763">
        <w:rPr>
          <w:rFonts w:ascii="Abadi" w:hAnsi="Abadi"/>
          <w:b w:val="0"/>
          <w:bCs w:val="0"/>
          <w:sz w:val="21"/>
          <w:szCs w:val="21"/>
        </w:rPr>
        <w:t>estudios</w:t>
      </w:r>
      <w:r w:rsidRPr="007C2763">
        <w:rPr>
          <w:rFonts w:ascii="Abadi" w:hAnsi="Abadi"/>
          <w:b w:val="0"/>
          <w:bCs w:val="0"/>
          <w:spacing w:val="7"/>
          <w:sz w:val="21"/>
          <w:szCs w:val="21"/>
        </w:rPr>
        <w:t xml:space="preserve"> </w:t>
      </w:r>
      <w:r w:rsidRPr="007C2763">
        <w:rPr>
          <w:rFonts w:ascii="Abadi" w:hAnsi="Abadi"/>
          <w:b w:val="0"/>
          <w:bCs w:val="0"/>
          <w:sz w:val="21"/>
          <w:szCs w:val="21"/>
        </w:rPr>
        <w:t>que</w:t>
      </w:r>
      <w:r w:rsidRPr="007C2763">
        <w:rPr>
          <w:rFonts w:ascii="Abadi" w:hAnsi="Abadi"/>
          <w:b w:val="0"/>
          <w:bCs w:val="0"/>
          <w:spacing w:val="8"/>
          <w:sz w:val="21"/>
          <w:szCs w:val="21"/>
        </w:rPr>
        <w:t xml:space="preserve"> </w:t>
      </w:r>
      <w:r w:rsidRPr="007C2763">
        <w:rPr>
          <w:rFonts w:ascii="Abadi" w:hAnsi="Abadi"/>
          <w:b w:val="0"/>
          <w:bCs w:val="0"/>
          <w:sz w:val="21"/>
          <w:szCs w:val="21"/>
        </w:rPr>
        <w:t>han</w:t>
      </w:r>
      <w:r w:rsidRPr="007C2763">
        <w:rPr>
          <w:rFonts w:ascii="Abadi" w:hAnsi="Abadi"/>
          <w:b w:val="0"/>
          <w:bCs w:val="0"/>
          <w:spacing w:val="8"/>
          <w:sz w:val="21"/>
          <w:szCs w:val="21"/>
        </w:rPr>
        <w:t xml:space="preserve"> </w:t>
      </w:r>
      <w:r w:rsidRPr="007C2763">
        <w:rPr>
          <w:rFonts w:ascii="Abadi" w:hAnsi="Abadi"/>
          <w:b w:val="0"/>
          <w:bCs w:val="0"/>
          <w:sz w:val="21"/>
          <w:szCs w:val="21"/>
        </w:rPr>
        <w:t>analizado</w:t>
      </w:r>
      <w:r w:rsidRPr="007C2763">
        <w:rPr>
          <w:rFonts w:ascii="Abadi" w:hAnsi="Abadi"/>
          <w:b w:val="0"/>
          <w:bCs w:val="0"/>
          <w:spacing w:val="8"/>
          <w:sz w:val="21"/>
          <w:szCs w:val="21"/>
        </w:rPr>
        <w:t xml:space="preserve"> </w:t>
      </w:r>
      <w:r w:rsidRPr="007C2763">
        <w:rPr>
          <w:rFonts w:ascii="Abadi" w:hAnsi="Abadi"/>
          <w:b w:val="0"/>
          <w:bCs w:val="0"/>
          <w:sz w:val="21"/>
          <w:szCs w:val="21"/>
        </w:rPr>
        <w:t>la toponimia</w:t>
      </w:r>
      <w:r w:rsidRPr="007C2763">
        <w:rPr>
          <w:rFonts w:ascii="Abadi" w:hAnsi="Abadi"/>
          <w:b w:val="0"/>
          <w:bCs w:val="0"/>
          <w:spacing w:val="5"/>
          <w:sz w:val="21"/>
          <w:szCs w:val="21"/>
        </w:rPr>
        <w:t xml:space="preserve"> </w:t>
      </w:r>
      <w:r w:rsidRPr="007C2763">
        <w:rPr>
          <w:rFonts w:ascii="Abadi" w:hAnsi="Abadi"/>
          <w:b w:val="0"/>
          <w:bCs w:val="0"/>
          <w:sz w:val="21"/>
          <w:szCs w:val="21"/>
        </w:rPr>
        <w:t>del</w:t>
      </w:r>
      <w:r w:rsidRPr="007C2763">
        <w:rPr>
          <w:rFonts w:ascii="Abadi" w:hAnsi="Abadi"/>
          <w:b w:val="0"/>
          <w:bCs w:val="0"/>
          <w:spacing w:val="2"/>
          <w:sz w:val="21"/>
          <w:szCs w:val="21"/>
        </w:rPr>
        <w:t xml:space="preserve"> </w:t>
      </w:r>
      <w:r w:rsidRPr="007C2763">
        <w:rPr>
          <w:rFonts w:ascii="Abadi" w:hAnsi="Abadi"/>
          <w:b w:val="0"/>
          <w:bCs w:val="0"/>
          <w:sz w:val="21"/>
          <w:szCs w:val="21"/>
        </w:rPr>
        <w:t>municipio,</w:t>
      </w:r>
      <w:r w:rsidRPr="007C2763">
        <w:rPr>
          <w:rFonts w:ascii="Abadi" w:hAnsi="Abadi"/>
          <w:b w:val="0"/>
          <w:bCs w:val="0"/>
          <w:spacing w:val="6"/>
          <w:sz w:val="21"/>
          <w:szCs w:val="21"/>
        </w:rPr>
        <w:t xml:space="preserve"> </w:t>
      </w:r>
      <w:r w:rsidRPr="007C2763">
        <w:rPr>
          <w:rFonts w:ascii="Abadi" w:hAnsi="Abadi"/>
          <w:b w:val="0"/>
          <w:bCs w:val="0"/>
          <w:sz w:val="21"/>
          <w:szCs w:val="21"/>
        </w:rPr>
        <w:t>esta</w:t>
      </w:r>
      <w:r w:rsidRPr="007C2763">
        <w:rPr>
          <w:rFonts w:ascii="Abadi" w:hAnsi="Abadi"/>
          <w:b w:val="0"/>
          <w:bCs w:val="0"/>
          <w:spacing w:val="6"/>
          <w:sz w:val="21"/>
          <w:szCs w:val="21"/>
        </w:rPr>
        <w:t xml:space="preserve"> </w:t>
      </w:r>
      <w:r w:rsidRPr="007C2763">
        <w:rPr>
          <w:rFonts w:ascii="Abadi" w:hAnsi="Abadi"/>
          <w:b w:val="0"/>
          <w:bCs w:val="0"/>
          <w:sz w:val="21"/>
          <w:szCs w:val="21"/>
        </w:rPr>
        <w:t>comisión</w:t>
      </w:r>
      <w:r w:rsidRPr="007C2763">
        <w:rPr>
          <w:rFonts w:ascii="Abadi" w:hAnsi="Abadi"/>
          <w:b w:val="0"/>
          <w:bCs w:val="0"/>
          <w:spacing w:val="4"/>
          <w:sz w:val="21"/>
          <w:szCs w:val="21"/>
        </w:rPr>
        <w:t xml:space="preserve"> </w:t>
      </w:r>
      <w:r w:rsidRPr="007C2763">
        <w:rPr>
          <w:rFonts w:ascii="Abadi" w:hAnsi="Abadi"/>
          <w:b w:val="0"/>
          <w:bCs w:val="0"/>
          <w:sz w:val="21"/>
          <w:szCs w:val="21"/>
        </w:rPr>
        <w:t>considera</w:t>
      </w:r>
      <w:r w:rsidRPr="007C2763">
        <w:rPr>
          <w:rFonts w:ascii="Abadi" w:hAnsi="Abadi"/>
          <w:b w:val="0"/>
          <w:bCs w:val="0"/>
          <w:spacing w:val="4"/>
          <w:sz w:val="21"/>
          <w:szCs w:val="21"/>
        </w:rPr>
        <w:t xml:space="preserve"> </w:t>
      </w:r>
      <w:r w:rsidRPr="007C2763">
        <w:rPr>
          <w:rFonts w:ascii="Abadi" w:hAnsi="Abadi"/>
          <w:b w:val="0"/>
          <w:bCs w:val="0"/>
          <w:sz w:val="21"/>
          <w:szCs w:val="21"/>
        </w:rPr>
        <w:t>que,</w:t>
      </w:r>
      <w:r w:rsidRPr="007C2763">
        <w:rPr>
          <w:rFonts w:ascii="Abadi" w:hAnsi="Abadi"/>
          <w:b w:val="0"/>
          <w:bCs w:val="0"/>
          <w:spacing w:val="6"/>
          <w:sz w:val="21"/>
          <w:szCs w:val="21"/>
        </w:rPr>
        <w:t xml:space="preserve"> </w:t>
      </w:r>
      <w:r w:rsidRPr="007C2763">
        <w:rPr>
          <w:rFonts w:ascii="Abadi" w:hAnsi="Abadi"/>
          <w:b w:val="0"/>
          <w:bCs w:val="0"/>
          <w:sz w:val="21"/>
          <w:szCs w:val="21"/>
        </w:rPr>
        <w:t>a</w:t>
      </w:r>
      <w:r w:rsidRPr="007C2763">
        <w:rPr>
          <w:rFonts w:ascii="Abadi" w:hAnsi="Abadi"/>
          <w:b w:val="0"/>
          <w:bCs w:val="0"/>
          <w:spacing w:val="4"/>
          <w:sz w:val="21"/>
          <w:szCs w:val="21"/>
        </w:rPr>
        <w:t xml:space="preserve"> </w:t>
      </w:r>
      <w:r w:rsidRPr="007C2763">
        <w:rPr>
          <w:rFonts w:ascii="Abadi" w:hAnsi="Abadi"/>
          <w:b w:val="0"/>
          <w:bCs w:val="0"/>
          <w:sz w:val="21"/>
          <w:szCs w:val="21"/>
        </w:rPr>
        <w:t>partir</w:t>
      </w:r>
      <w:r w:rsidRPr="007C2763">
        <w:rPr>
          <w:rFonts w:ascii="Abadi" w:hAnsi="Abadi"/>
          <w:b w:val="0"/>
          <w:bCs w:val="0"/>
          <w:spacing w:val="5"/>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una</w:t>
      </w:r>
      <w:r w:rsidRPr="007C2763">
        <w:rPr>
          <w:rFonts w:ascii="Abadi" w:hAnsi="Abadi"/>
          <w:b w:val="0"/>
          <w:bCs w:val="0"/>
          <w:spacing w:val="6"/>
          <w:sz w:val="21"/>
          <w:szCs w:val="21"/>
        </w:rPr>
        <w:t xml:space="preserve"> </w:t>
      </w:r>
      <w:r w:rsidRPr="007C2763">
        <w:rPr>
          <w:rFonts w:ascii="Abadi" w:hAnsi="Abadi"/>
          <w:b w:val="0"/>
          <w:bCs w:val="0"/>
          <w:sz w:val="21"/>
          <w:szCs w:val="21"/>
        </w:rPr>
        <w:t>visión globalizadora,</w:t>
      </w:r>
      <w:r w:rsidRPr="007C2763">
        <w:rPr>
          <w:rFonts w:ascii="Abadi" w:hAnsi="Abadi"/>
          <w:b w:val="0"/>
          <w:bCs w:val="0"/>
          <w:spacing w:val="32"/>
          <w:sz w:val="21"/>
          <w:szCs w:val="21"/>
        </w:rPr>
        <w:t xml:space="preserve"> </w:t>
      </w:r>
      <w:r w:rsidRPr="007C2763">
        <w:rPr>
          <w:rFonts w:ascii="Abadi" w:hAnsi="Abadi"/>
          <w:b w:val="0"/>
          <w:bCs w:val="0"/>
          <w:sz w:val="21"/>
          <w:szCs w:val="21"/>
        </w:rPr>
        <w:t>el</w:t>
      </w:r>
      <w:r w:rsidRPr="007C2763">
        <w:rPr>
          <w:rFonts w:ascii="Abadi" w:hAnsi="Abadi"/>
          <w:b w:val="0"/>
          <w:bCs w:val="0"/>
          <w:spacing w:val="33"/>
          <w:sz w:val="21"/>
          <w:szCs w:val="21"/>
        </w:rPr>
        <w:t xml:space="preserve"> </w:t>
      </w:r>
      <w:r w:rsidRPr="007C2763">
        <w:rPr>
          <w:rFonts w:ascii="Abadi" w:hAnsi="Abadi"/>
          <w:b w:val="0"/>
          <w:bCs w:val="0"/>
          <w:sz w:val="21"/>
          <w:szCs w:val="21"/>
        </w:rPr>
        <w:t>estudio</w:t>
      </w:r>
      <w:r w:rsidRPr="007C2763">
        <w:rPr>
          <w:rFonts w:ascii="Abadi" w:hAnsi="Abadi"/>
          <w:b w:val="0"/>
          <w:bCs w:val="0"/>
          <w:spacing w:val="35"/>
          <w:sz w:val="21"/>
          <w:szCs w:val="21"/>
        </w:rPr>
        <w:t xml:space="preserve"> </w:t>
      </w:r>
      <w:r w:rsidRPr="007C2763">
        <w:rPr>
          <w:rFonts w:ascii="Abadi" w:hAnsi="Abadi"/>
          <w:b w:val="0"/>
          <w:bCs w:val="0"/>
          <w:sz w:val="21"/>
          <w:szCs w:val="21"/>
        </w:rPr>
        <w:t>de</w:t>
      </w:r>
      <w:r w:rsidRPr="007C2763">
        <w:rPr>
          <w:rFonts w:ascii="Abadi" w:hAnsi="Abadi"/>
          <w:b w:val="0"/>
          <w:bCs w:val="0"/>
          <w:spacing w:val="34"/>
          <w:sz w:val="21"/>
          <w:szCs w:val="21"/>
        </w:rPr>
        <w:t xml:space="preserve"> </w:t>
      </w:r>
      <w:r w:rsidRPr="007C2763">
        <w:rPr>
          <w:rFonts w:ascii="Abadi" w:hAnsi="Abadi"/>
          <w:b w:val="0"/>
          <w:bCs w:val="0"/>
          <w:sz w:val="21"/>
          <w:szCs w:val="21"/>
        </w:rPr>
        <w:t>un</w:t>
      </w:r>
      <w:r w:rsidRPr="007C2763">
        <w:rPr>
          <w:rFonts w:ascii="Abadi" w:hAnsi="Abadi"/>
          <w:b w:val="0"/>
          <w:bCs w:val="0"/>
          <w:spacing w:val="35"/>
          <w:sz w:val="21"/>
          <w:szCs w:val="21"/>
        </w:rPr>
        <w:t xml:space="preserve"> </w:t>
      </w:r>
      <w:r w:rsidRPr="007C2763">
        <w:rPr>
          <w:rFonts w:ascii="Abadi" w:hAnsi="Abadi"/>
          <w:b w:val="0"/>
          <w:bCs w:val="0"/>
          <w:sz w:val="21"/>
          <w:szCs w:val="21"/>
        </w:rPr>
        <w:t>corpus</w:t>
      </w:r>
      <w:r w:rsidRPr="007C2763">
        <w:rPr>
          <w:rFonts w:ascii="Abadi" w:hAnsi="Abadi"/>
          <w:b w:val="0"/>
          <w:bCs w:val="0"/>
          <w:spacing w:val="34"/>
          <w:sz w:val="21"/>
          <w:szCs w:val="21"/>
        </w:rPr>
        <w:t xml:space="preserve"> </w:t>
      </w:r>
      <w:r w:rsidRPr="007C2763">
        <w:rPr>
          <w:rFonts w:ascii="Abadi" w:hAnsi="Abadi"/>
          <w:b w:val="0"/>
          <w:bCs w:val="0"/>
          <w:sz w:val="21"/>
          <w:szCs w:val="21"/>
        </w:rPr>
        <w:t>toponímico</w:t>
      </w:r>
      <w:r w:rsidRPr="007C2763">
        <w:rPr>
          <w:rFonts w:ascii="Abadi" w:hAnsi="Abadi"/>
          <w:b w:val="0"/>
          <w:bCs w:val="0"/>
          <w:spacing w:val="32"/>
          <w:sz w:val="21"/>
          <w:szCs w:val="21"/>
        </w:rPr>
        <w:t xml:space="preserve"> </w:t>
      </w:r>
      <w:r w:rsidRPr="007C2763">
        <w:rPr>
          <w:rFonts w:ascii="Abadi" w:hAnsi="Abadi"/>
          <w:b w:val="0"/>
          <w:bCs w:val="0"/>
          <w:sz w:val="21"/>
          <w:szCs w:val="21"/>
        </w:rPr>
        <w:t>exige</w:t>
      </w:r>
      <w:r w:rsidRPr="007C2763">
        <w:rPr>
          <w:rFonts w:ascii="Abadi" w:hAnsi="Abadi"/>
          <w:b w:val="0"/>
          <w:bCs w:val="0"/>
          <w:spacing w:val="34"/>
          <w:sz w:val="21"/>
          <w:szCs w:val="21"/>
        </w:rPr>
        <w:t xml:space="preserve"> </w:t>
      </w:r>
      <w:r w:rsidRPr="007C2763">
        <w:rPr>
          <w:rFonts w:ascii="Abadi" w:hAnsi="Abadi"/>
          <w:b w:val="0"/>
          <w:bCs w:val="0"/>
          <w:sz w:val="21"/>
          <w:szCs w:val="21"/>
        </w:rPr>
        <w:t>por</w:t>
      </w:r>
      <w:r w:rsidRPr="007C2763">
        <w:rPr>
          <w:rFonts w:ascii="Abadi" w:hAnsi="Abadi"/>
          <w:b w:val="0"/>
          <w:bCs w:val="0"/>
          <w:spacing w:val="33"/>
          <w:sz w:val="21"/>
          <w:szCs w:val="21"/>
        </w:rPr>
        <w:t xml:space="preserve"> </w:t>
      </w:r>
      <w:r w:rsidRPr="007C2763">
        <w:rPr>
          <w:rFonts w:ascii="Abadi" w:hAnsi="Abadi"/>
          <w:b w:val="0"/>
          <w:bCs w:val="0"/>
          <w:sz w:val="21"/>
          <w:szCs w:val="21"/>
        </w:rPr>
        <w:t>tanto</w:t>
      </w:r>
      <w:r w:rsidRPr="007C2763">
        <w:rPr>
          <w:rFonts w:ascii="Abadi" w:hAnsi="Abadi"/>
          <w:b w:val="0"/>
          <w:bCs w:val="0"/>
          <w:spacing w:val="35"/>
          <w:sz w:val="21"/>
          <w:szCs w:val="21"/>
        </w:rPr>
        <w:t xml:space="preserve"> </w:t>
      </w:r>
      <w:r w:rsidRPr="007C2763">
        <w:rPr>
          <w:rFonts w:ascii="Abadi" w:hAnsi="Abadi"/>
          <w:b w:val="0"/>
          <w:bCs w:val="0"/>
          <w:sz w:val="21"/>
          <w:szCs w:val="21"/>
        </w:rPr>
        <w:t>considerar</w:t>
      </w:r>
      <w:r w:rsidRPr="007C2763">
        <w:rPr>
          <w:rFonts w:ascii="Abadi" w:hAnsi="Abadi"/>
          <w:b w:val="0"/>
          <w:bCs w:val="0"/>
          <w:spacing w:val="32"/>
          <w:sz w:val="21"/>
          <w:szCs w:val="21"/>
        </w:rPr>
        <w:t xml:space="preserve"> </w:t>
      </w:r>
      <w:r w:rsidRPr="007C2763">
        <w:rPr>
          <w:rFonts w:ascii="Abadi" w:hAnsi="Abadi"/>
          <w:b w:val="0"/>
          <w:bCs w:val="0"/>
          <w:sz w:val="21"/>
          <w:szCs w:val="21"/>
        </w:rPr>
        <w:t>en todos</w:t>
      </w:r>
      <w:r w:rsidRPr="007C2763">
        <w:rPr>
          <w:rFonts w:ascii="Abadi" w:hAnsi="Abadi"/>
          <w:b w:val="0"/>
          <w:bCs w:val="0"/>
          <w:spacing w:val="55"/>
          <w:sz w:val="21"/>
          <w:szCs w:val="21"/>
        </w:rPr>
        <w:t xml:space="preserve"> </w:t>
      </w:r>
      <w:r w:rsidRPr="007C2763">
        <w:rPr>
          <w:rFonts w:ascii="Abadi" w:hAnsi="Abadi"/>
          <w:b w:val="0"/>
          <w:bCs w:val="0"/>
          <w:sz w:val="21"/>
          <w:szCs w:val="21"/>
        </w:rPr>
        <w:t>sus</w:t>
      </w:r>
      <w:r w:rsidRPr="007C2763">
        <w:rPr>
          <w:rFonts w:ascii="Abadi" w:hAnsi="Abadi"/>
          <w:b w:val="0"/>
          <w:bCs w:val="0"/>
          <w:spacing w:val="56"/>
          <w:sz w:val="21"/>
          <w:szCs w:val="21"/>
        </w:rPr>
        <w:t xml:space="preserve"> </w:t>
      </w:r>
      <w:r w:rsidRPr="007C2763">
        <w:rPr>
          <w:rFonts w:ascii="Abadi" w:hAnsi="Abadi"/>
          <w:b w:val="0"/>
          <w:bCs w:val="0"/>
          <w:sz w:val="21"/>
          <w:szCs w:val="21"/>
        </w:rPr>
        <w:t>extremos</w:t>
      </w:r>
      <w:r w:rsidRPr="007C2763">
        <w:rPr>
          <w:rFonts w:ascii="Abadi" w:hAnsi="Abadi"/>
          <w:b w:val="0"/>
          <w:bCs w:val="0"/>
          <w:spacing w:val="56"/>
          <w:sz w:val="21"/>
          <w:szCs w:val="21"/>
        </w:rPr>
        <w:t xml:space="preserve"> </w:t>
      </w:r>
      <w:r w:rsidRPr="007C2763">
        <w:rPr>
          <w:rFonts w:ascii="Abadi" w:hAnsi="Abadi"/>
          <w:b w:val="0"/>
          <w:bCs w:val="0"/>
          <w:sz w:val="21"/>
          <w:szCs w:val="21"/>
        </w:rPr>
        <w:t>esa</w:t>
      </w:r>
      <w:r w:rsidRPr="007C2763">
        <w:rPr>
          <w:rFonts w:ascii="Abadi" w:hAnsi="Abadi"/>
          <w:b w:val="0"/>
          <w:bCs w:val="0"/>
          <w:spacing w:val="58"/>
          <w:sz w:val="21"/>
          <w:szCs w:val="21"/>
        </w:rPr>
        <w:t xml:space="preserve"> </w:t>
      </w:r>
      <w:r w:rsidRPr="007C2763">
        <w:rPr>
          <w:rFonts w:ascii="Abadi" w:hAnsi="Abadi"/>
          <w:b w:val="0"/>
          <w:bCs w:val="0"/>
          <w:sz w:val="21"/>
          <w:szCs w:val="21"/>
        </w:rPr>
        <w:t>diversidad</w:t>
      </w:r>
      <w:r w:rsidRPr="007C2763">
        <w:rPr>
          <w:rFonts w:ascii="Abadi" w:hAnsi="Abadi"/>
          <w:b w:val="0"/>
          <w:bCs w:val="0"/>
          <w:spacing w:val="56"/>
          <w:sz w:val="21"/>
          <w:szCs w:val="21"/>
        </w:rPr>
        <w:t xml:space="preserve"> </w:t>
      </w:r>
      <w:r w:rsidRPr="007C2763">
        <w:rPr>
          <w:rFonts w:ascii="Abadi" w:hAnsi="Abadi"/>
          <w:b w:val="0"/>
          <w:bCs w:val="0"/>
          <w:sz w:val="21"/>
          <w:szCs w:val="21"/>
        </w:rPr>
        <w:t>que</w:t>
      </w:r>
      <w:r w:rsidRPr="007C2763">
        <w:rPr>
          <w:rFonts w:ascii="Abadi" w:hAnsi="Abadi"/>
          <w:b w:val="0"/>
          <w:bCs w:val="0"/>
          <w:spacing w:val="59"/>
          <w:sz w:val="21"/>
          <w:szCs w:val="21"/>
        </w:rPr>
        <w:t xml:space="preserve"> </w:t>
      </w:r>
      <w:r w:rsidRPr="007C2763">
        <w:rPr>
          <w:rFonts w:ascii="Abadi" w:hAnsi="Abadi"/>
          <w:b w:val="0"/>
          <w:bCs w:val="0"/>
          <w:sz w:val="21"/>
          <w:szCs w:val="21"/>
        </w:rPr>
        <w:t>la</w:t>
      </w:r>
      <w:r w:rsidRPr="007C2763">
        <w:rPr>
          <w:rFonts w:ascii="Abadi" w:hAnsi="Abadi"/>
          <w:b w:val="0"/>
          <w:bCs w:val="0"/>
          <w:spacing w:val="53"/>
          <w:sz w:val="21"/>
          <w:szCs w:val="21"/>
        </w:rPr>
        <w:t xml:space="preserve"> </w:t>
      </w:r>
      <w:r w:rsidRPr="007C2763">
        <w:rPr>
          <w:rFonts w:ascii="Abadi" w:hAnsi="Abadi"/>
          <w:b w:val="0"/>
          <w:bCs w:val="0"/>
          <w:sz w:val="21"/>
          <w:szCs w:val="21"/>
        </w:rPr>
        <w:t>conforma,</w:t>
      </w:r>
      <w:r w:rsidRPr="007C2763">
        <w:rPr>
          <w:rFonts w:ascii="Abadi" w:hAnsi="Abadi"/>
          <w:b w:val="0"/>
          <w:bCs w:val="0"/>
          <w:spacing w:val="56"/>
          <w:sz w:val="21"/>
          <w:szCs w:val="21"/>
        </w:rPr>
        <w:t xml:space="preserve"> </w:t>
      </w:r>
      <w:r w:rsidRPr="007C2763">
        <w:rPr>
          <w:rFonts w:ascii="Abadi" w:hAnsi="Abadi"/>
          <w:b w:val="0"/>
          <w:bCs w:val="0"/>
          <w:sz w:val="21"/>
          <w:szCs w:val="21"/>
        </w:rPr>
        <w:t>y</w:t>
      </w:r>
      <w:r w:rsidRPr="007C2763">
        <w:rPr>
          <w:rFonts w:ascii="Abadi" w:hAnsi="Abadi"/>
          <w:b w:val="0"/>
          <w:bCs w:val="0"/>
          <w:spacing w:val="56"/>
          <w:sz w:val="21"/>
          <w:szCs w:val="21"/>
        </w:rPr>
        <w:t xml:space="preserve"> </w:t>
      </w:r>
      <w:r w:rsidRPr="007C2763">
        <w:rPr>
          <w:rFonts w:ascii="Abadi" w:hAnsi="Abadi"/>
          <w:b w:val="0"/>
          <w:bCs w:val="0"/>
          <w:sz w:val="21"/>
          <w:szCs w:val="21"/>
        </w:rPr>
        <w:t>en</w:t>
      </w:r>
      <w:r w:rsidRPr="007C2763">
        <w:rPr>
          <w:rFonts w:ascii="Abadi" w:hAnsi="Abadi"/>
          <w:b w:val="0"/>
          <w:bCs w:val="0"/>
          <w:spacing w:val="55"/>
          <w:sz w:val="21"/>
          <w:szCs w:val="21"/>
        </w:rPr>
        <w:t xml:space="preserve"> </w:t>
      </w:r>
      <w:r w:rsidRPr="007C2763">
        <w:rPr>
          <w:rFonts w:ascii="Abadi" w:hAnsi="Abadi"/>
          <w:b w:val="0"/>
          <w:bCs w:val="0"/>
          <w:sz w:val="21"/>
          <w:szCs w:val="21"/>
        </w:rPr>
        <w:t>qué</w:t>
      </w:r>
      <w:r w:rsidRPr="007C2763">
        <w:rPr>
          <w:rFonts w:ascii="Abadi" w:hAnsi="Abadi"/>
          <w:b w:val="0"/>
          <w:bCs w:val="0"/>
          <w:spacing w:val="56"/>
          <w:sz w:val="21"/>
          <w:szCs w:val="21"/>
        </w:rPr>
        <w:t xml:space="preserve"> </w:t>
      </w:r>
      <w:r w:rsidRPr="007C2763">
        <w:rPr>
          <w:rFonts w:ascii="Abadi" w:hAnsi="Abadi"/>
          <w:b w:val="0"/>
          <w:bCs w:val="0"/>
          <w:sz w:val="21"/>
          <w:szCs w:val="21"/>
        </w:rPr>
        <w:t>punto</w:t>
      </w:r>
      <w:r w:rsidRPr="007C2763">
        <w:rPr>
          <w:rFonts w:ascii="Abadi" w:hAnsi="Abadi"/>
          <w:b w:val="0"/>
          <w:bCs w:val="0"/>
          <w:spacing w:val="56"/>
          <w:sz w:val="21"/>
          <w:szCs w:val="21"/>
        </w:rPr>
        <w:t xml:space="preserve"> </w:t>
      </w:r>
      <w:r w:rsidRPr="007C2763">
        <w:rPr>
          <w:rFonts w:ascii="Abadi" w:hAnsi="Abadi"/>
          <w:b w:val="0"/>
          <w:bCs w:val="0"/>
          <w:sz w:val="21"/>
          <w:szCs w:val="21"/>
        </w:rPr>
        <w:t>de</w:t>
      </w:r>
      <w:r w:rsidRPr="007C2763">
        <w:rPr>
          <w:rFonts w:ascii="Abadi" w:hAnsi="Abadi"/>
          <w:b w:val="0"/>
          <w:bCs w:val="0"/>
          <w:spacing w:val="58"/>
          <w:sz w:val="21"/>
          <w:szCs w:val="21"/>
        </w:rPr>
        <w:t xml:space="preserve"> </w:t>
      </w:r>
      <w:r w:rsidRPr="007C2763">
        <w:rPr>
          <w:rFonts w:ascii="Abadi" w:hAnsi="Abadi"/>
          <w:b w:val="0"/>
          <w:bCs w:val="0"/>
          <w:sz w:val="21"/>
          <w:szCs w:val="21"/>
        </w:rPr>
        <w:t>vista situarse</w:t>
      </w:r>
      <w:r w:rsidRPr="007C2763">
        <w:rPr>
          <w:rFonts w:ascii="Abadi" w:hAnsi="Abadi"/>
          <w:b w:val="0"/>
          <w:bCs w:val="0"/>
          <w:spacing w:val="1"/>
          <w:sz w:val="21"/>
          <w:szCs w:val="21"/>
        </w:rPr>
        <w:t xml:space="preserve"> </w:t>
      </w:r>
      <w:r w:rsidRPr="007C2763">
        <w:rPr>
          <w:rFonts w:ascii="Abadi" w:hAnsi="Abadi"/>
          <w:b w:val="0"/>
          <w:bCs w:val="0"/>
          <w:sz w:val="21"/>
          <w:szCs w:val="21"/>
        </w:rPr>
        <w:t>para</w:t>
      </w:r>
      <w:r w:rsidRPr="007C2763">
        <w:rPr>
          <w:rFonts w:ascii="Abadi" w:hAnsi="Abadi"/>
          <w:b w:val="0"/>
          <w:bCs w:val="0"/>
          <w:spacing w:val="1"/>
          <w:sz w:val="21"/>
          <w:szCs w:val="21"/>
        </w:rPr>
        <w:t xml:space="preserve"> </w:t>
      </w:r>
      <w:r w:rsidRPr="007C2763">
        <w:rPr>
          <w:rFonts w:ascii="Abadi" w:hAnsi="Abadi"/>
          <w:b w:val="0"/>
          <w:bCs w:val="0"/>
          <w:sz w:val="21"/>
          <w:szCs w:val="21"/>
        </w:rPr>
        <w:t>abordar</w:t>
      </w:r>
      <w:r w:rsidRPr="007C2763">
        <w:rPr>
          <w:rFonts w:ascii="Abadi" w:hAnsi="Abadi"/>
          <w:b w:val="0"/>
          <w:bCs w:val="0"/>
          <w:spacing w:val="-3"/>
          <w:sz w:val="21"/>
          <w:szCs w:val="21"/>
        </w:rPr>
        <w:t xml:space="preserve"> </w:t>
      </w:r>
      <w:r w:rsidRPr="007C2763">
        <w:rPr>
          <w:rFonts w:ascii="Abadi" w:hAnsi="Abadi"/>
          <w:b w:val="0"/>
          <w:bCs w:val="0"/>
          <w:sz w:val="21"/>
          <w:szCs w:val="21"/>
        </w:rPr>
        <w:t>este</w:t>
      </w:r>
      <w:r w:rsidRPr="007C2763">
        <w:rPr>
          <w:rFonts w:ascii="Abadi" w:hAnsi="Abadi"/>
          <w:b w:val="0"/>
          <w:bCs w:val="0"/>
          <w:spacing w:val="-1"/>
          <w:sz w:val="21"/>
          <w:szCs w:val="21"/>
        </w:rPr>
        <w:t xml:space="preserve"> </w:t>
      </w:r>
      <w:r w:rsidRPr="007C2763">
        <w:rPr>
          <w:rFonts w:ascii="Abadi" w:hAnsi="Abadi"/>
          <w:b w:val="0"/>
          <w:bCs w:val="0"/>
          <w:sz w:val="21"/>
          <w:szCs w:val="21"/>
        </w:rPr>
        <w:t>estudio.</w:t>
      </w:r>
    </w:p>
    <w:p w14:paraId="34FD7638" w14:textId="77777777" w:rsidR="00374A1E" w:rsidRPr="007C2763" w:rsidRDefault="00374A1E" w:rsidP="00BC6383">
      <w:pPr>
        <w:pStyle w:val="Textoindependiente"/>
        <w:kinsoku w:val="0"/>
        <w:overflowPunct w:val="0"/>
        <w:spacing w:before="1"/>
        <w:ind w:right="115" w:firstLine="708"/>
        <w:rPr>
          <w:rFonts w:ascii="Abadi" w:hAnsi="Abadi"/>
          <w:b w:val="0"/>
          <w:bCs w:val="0"/>
          <w:sz w:val="21"/>
          <w:szCs w:val="21"/>
        </w:rPr>
      </w:pPr>
      <w:r w:rsidRPr="007C2763">
        <w:rPr>
          <w:rFonts w:ascii="Abadi" w:hAnsi="Abadi"/>
          <w:b w:val="0"/>
          <w:bCs w:val="0"/>
          <w:sz w:val="21"/>
          <w:szCs w:val="21"/>
        </w:rPr>
        <w:t>Por</w:t>
      </w:r>
      <w:r w:rsidRPr="007C2763">
        <w:rPr>
          <w:rFonts w:ascii="Abadi" w:hAnsi="Abadi"/>
          <w:b w:val="0"/>
          <w:bCs w:val="0"/>
          <w:spacing w:val="44"/>
          <w:sz w:val="21"/>
          <w:szCs w:val="21"/>
        </w:rPr>
        <w:t xml:space="preserve"> </w:t>
      </w:r>
      <w:r w:rsidRPr="007C2763">
        <w:rPr>
          <w:rFonts w:ascii="Abadi" w:hAnsi="Abadi"/>
          <w:b w:val="0"/>
          <w:bCs w:val="0"/>
          <w:sz w:val="21"/>
          <w:szCs w:val="21"/>
        </w:rPr>
        <w:t>lo</w:t>
      </w:r>
      <w:r w:rsidRPr="007C2763">
        <w:rPr>
          <w:rFonts w:ascii="Abadi" w:hAnsi="Abadi"/>
          <w:b w:val="0"/>
          <w:bCs w:val="0"/>
          <w:spacing w:val="44"/>
          <w:sz w:val="21"/>
          <w:szCs w:val="21"/>
        </w:rPr>
        <w:t xml:space="preserve"> </w:t>
      </w:r>
      <w:r w:rsidRPr="007C2763">
        <w:rPr>
          <w:rFonts w:ascii="Abadi" w:hAnsi="Abadi"/>
          <w:b w:val="0"/>
          <w:bCs w:val="0"/>
          <w:sz w:val="21"/>
          <w:szCs w:val="21"/>
        </w:rPr>
        <w:t>anterior</w:t>
      </w:r>
      <w:r w:rsidRPr="007C2763">
        <w:rPr>
          <w:rFonts w:ascii="Abadi" w:hAnsi="Abadi"/>
          <w:b w:val="0"/>
          <w:bCs w:val="0"/>
          <w:spacing w:val="43"/>
          <w:sz w:val="21"/>
          <w:szCs w:val="21"/>
        </w:rPr>
        <w:t xml:space="preserve"> </w:t>
      </w:r>
      <w:r w:rsidRPr="007C2763">
        <w:rPr>
          <w:rFonts w:ascii="Abadi" w:hAnsi="Abadi"/>
          <w:b w:val="0"/>
          <w:bCs w:val="0"/>
          <w:sz w:val="21"/>
          <w:szCs w:val="21"/>
        </w:rPr>
        <w:t>es</w:t>
      </w:r>
      <w:r w:rsidRPr="007C2763">
        <w:rPr>
          <w:rFonts w:ascii="Abadi" w:hAnsi="Abadi"/>
          <w:b w:val="0"/>
          <w:bCs w:val="0"/>
          <w:spacing w:val="45"/>
          <w:sz w:val="21"/>
          <w:szCs w:val="21"/>
        </w:rPr>
        <w:t xml:space="preserve"> </w:t>
      </w:r>
      <w:r w:rsidRPr="007C2763">
        <w:rPr>
          <w:rFonts w:ascii="Abadi" w:hAnsi="Abadi"/>
          <w:b w:val="0"/>
          <w:bCs w:val="0"/>
          <w:sz w:val="21"/>
          <w:szCs w:val="21"/>
        </w:rPr>
        <w:t>conveniente</w:t>
      </w:r>
      <w:r w:rsidRPr="007C2763">
        <w:rPr>
          <w:rFonts w:ascii="Abadi" w:hAnsi="Abadi"/>
          <w:b w:val="0"/>
          <w:bCs w:val="0"/>
          <w:spacing w:val="44"/>
          <w:sz w:val="21"/>
          <w:szCs w:val="21"/>
        </w:rPr>
        <w:t xml:space="preserve"> </w:t>
      </w:r>
      <w:r w:rsidRPr="007C2763">
        <w:rPr>
          <w:rFonts w:ascii="Abadi" w:hAnsi="Abadi"/>
          <w:b w:val="0"/>
          <w:bCs w:val="0"/>
          <w:sz w:val="21"/>
          <w:szCs w:val="21"/>
        </w:rPr>
        <w:t>realizar</w:t>
      </w:r>
      <w:r w:rsidRPr="007C2763">
        <w:rPr>
          <w:rFonts w:ascii="Abadi" w:hAnsi="Abadi"/>
          <w:b w:val="0"/>
          <w:bCs w:val="0"/>
          <w:spacing w:val="42"/>
          <w:sz w:val="21"/>
          <w:szCs w:val="21"/>
        </w:rPr>
        <w:t xml:space="preserve"> </w:t>
      </w:r>
      <w:r w:rsidRPr="007C2763">
        <w:rPr>
          <w:rFonts w:ascii="Abadi" w:hAnsi="Abadi"/>
          <w:b w:val="0"/>
          <w:bCs w:val="0"/>
          <w:sz w:val="21"/>
          <w:szCs w:val="21"/>
        </w:rPr>
        <w:t>una</w:t>
      </w:r>
      <w:r w:rsidRPr="007C2763">
        <w:rPr>
          <w:rFonts w:ascii="Abadi" w:hAnsi="Abadi"/>
          <w:b w:val="0"/>
          <w:bCs w:val="0"/>
          <w:spacing w:val="45"/>
          <w:sz w:val="21"/>
          <w:szCs w:val="21"/>
        </w:rPr>
        <w:t xml:space="preserve"> </w:t>
      </w:r>
      <w:r w:rsidRPr="007C2763">
        <w:rPr>
          <w:rFonts w:ascii="Abadi" w:hAnsi="Abadi"/>
          <w:b w:val="0"/>
          <w:bCs w:val="0"/>
          <w:sz w:val="21"/>
          <w:szCs w:val="21"/>
        </w:rPr>
        <w:t>clasificación</w:t>
      </w:r>
      <w:r w:rsidRPr="007C2763">
        <w:rPr>
          <w:rFonts w:ascii="Abadi" w:hAnsi="Abadi"/>
          <w:b w:val="0"/>
          <w:bCs w:val="0"/>
          <w:spacing w:val="44"/>
          <w:sz w:val="21"/>
          <w:szCs w:val="21"/>
        </w:rPr>
        <w:t xml:space="preserve"> </w:t>
      </w:r>
      <w:r w:rsidRPr="007C2763">
        <w:rPr>
          <w:rFonts w:ascii="Abadi" w:hAnsi="Abadi"/>
          <w:b w:val="0"/>
          <w:bCs w:val="0"/>
          <w:sz w:val="21"/>
          <w:szCs w:val="21"/>
        </w:rPr>
        <w:t>más</w:t>
      </w:r>
      <w:r w:rsidRPr="007C2763">
        <w:rPr>
          <w:rFonts w:ascii="Abadi" w:hAnsi="Abadi"/>
          <w:b w:val="0"/>
          <w:bCs w:val="0"/>
          <w:spacing w:val="43"/>
          <w:sz w:val="21"/>
          <w:szCs w:val="21"/>
        </w:rPr>
        <w:t xml:space="preserve"> </w:t>
      </w:r>
      <w:r w:rsidRPr="007C2763">
        <w:rPr>
          <w:rFonts w:ascii="Abadi" w:hAnsi="Abadi"/>
          <w:b w:val="0"/>
          <w:bCs w:val="0"/>
          <w:sz w:val="21"/>
          <w:szCs w:val="21"/>
        </w:rPr>
        <w:t>completa,</w:t>
      </w:r>
      <w:r w:rsidRPr="007C2763">
        <w:rPr>
          <w:rFonts w:ascii="Abadi" w:hAnsi="Abadi"/>
          <w:b w:val="0"/>
          <w:bCs w:val="0"/>
          <w:spacing w:val="44"/>
          <w:sz w:val="21"/>
          <w:szCs w:val="21"/>
        </w:rPr>
        <w:t xml:space="preserve"> </w:t>
      </w:r>
      <w:r w:rsidRPr="007C2763">
        <w:rPr>
          <w:rFonts w:ascii="Abadi" w:hAnsi="Abadi"/>
          <w:b w:val="0"/>
          <w:bCs w:val="0"/>
          <w:sz w:val="21"/>
          <w:szCs w:val="21"/>
        </w:rPr>
        <w:t>y sobre</w:t>
      </w:r>
      <w:r w:rsidRPr="007C2763">
        <w:rPr>
          <w:rFonts w:ascii="Abadi" w:hAnsi="Abadi"/>
          <w:b w:val="0"/>
          <w:bCs w:val="0"/>
          <w:spacing w:val="40"/>
          <w:sz w:val="21"/>
          <w:szCs w:val="21"/>
        </w:rPr>
        <w:t xml:space="preserve"> </w:t>
      </w:r>
      <w:r w:rsidRPr="007C2763">
        <w:rPr>
          <w:rFonts w:ascii="Abadi" w:hAnsi="Abadi"/>
          <w:b w:val="0"/>
          <w:bCs w:val="0"/>
          <w:sz w:val="21"/>
          <w:szCs w:val="21"/>
        </w:rPr>
        <w:t>todo</w:t>
      </w:r>
      <w:r w:rsidRPr="007C2763">
        <w:rPr>
          <w:rFonts w:ascii="Abadi" w:hAnsi="Abadi"/>
          <w:b w:val="0"/>
          <w:bCs w:val="0"/>
          <w:spacing w:val="36"/>
          <w:sz w:val="21"/>
          <w:szCs w:val="21"/>
        </w:rPr>
        <w:t xml:space="preserve"> </w:t>
      </w:r>
      <w:r w:rsidRPr="007C2763">
        <w:rPr>
          <w:rFonts w:ascii="Abadi" w:hAnsi="Abadi"/>
          <w:b w:val="0"/>
          <w:bCs w:val="0"/>
          <w:sz w:val="21"/>
          <w:szCs w:val="21"/>
        </w:rPr>
        <w:t>mejor</w:t>
      </w:r>
      <w:r w:rsidRPr="007C2763">
        <w:rPr>
          <w:rFonts w:ascii="Abadi" w:hAnsi="Abadi"/>
          <w:b w:val="0"/>
          <w:bCs w:val="0"/>
          <w:spacing w:val="38"/>
          <w:sz w:val="21"/>
          <w:szCs w:val="21"/>
        </w:rPr>
        <w:t xml:space="preserve"> </w:t>
      </w:r>
      <w:r w:rsidRPr="007C2763">
        <w:rPr>
          <w:rFonts w:ascii="Abadi" w:hAnsi="Abadi"/>
          <w:b w:val="0"/>
          <w:bCs w:val="0"/>
          <w:sz w:val="21"/>
          <w:szCs w:val="21"/>
        </w:rPr>
        <w:t>desarrollada,</w:t>
      </w:r>
      <w:r w:rsidRPr="007C2763">
        <w:rPr>
          <w:rFonts w:ascii="Abadi" w:hAnsi="Abadi"/>
          <w:b w:val="0"/>
          <w:bCs w:val="0"/>
          <w:spacing w:val="39"/>
          <w:sz w:val="21"/>
          <w:szCs w:val="21"/>
        </w:rPr>
        <w:t xml:space="preserve"> </w:t>
      </w:r>
      <w:r w:rsidRPr="007C2763">
        <w:rPr>
          <w:rFonts w:ascii="Abadi" w:hAnsi="Abadi"/>
          <w:b w:val="0"/>
          <w:bCs w:val="0"/>
          <w:sz w:val="21"/>
          <w:szCs w:val="21"/>
        </w:rPr>
        <w:t>específicamente</w:t>
      </w:r>
      <w:r w:rsidRPr="007C2763">
        <w:rPr>
          <w:rFonts w:ascii="Abadi" w:hAnsi="Abadi"/>
          <w:b w:val="0"/>
          <w:bCs w:val="0"/>
          <w:spacing w:val="37"/>
          <w:sz w:val="21"/>
          <w:szCs w:val="21"/>
        </w:rPr>
        <w:t xml:space="preserve"> </w:t>
      </w:r>
      <w:r w:rsidRPr="007C2763">
        <w:rPr>
          <w:rFonts w:ascii="Abadi" w:hAnsi="Abadi"/>
          <w:b w:val="0"/>
          <w:bCs w:val="0"/>
          <w:sz w:val="21"/>
          <w:szCs w:val="21"/>
        </w:rPr>
        <w:t>a</w:t>
      </w:r>
      <w:r w:rsidRPr="007C2763">
        <w:rPr>
          <w:rFonts w:ascii="Abadi" w:hAnsi="Abadi"/>
          <w:b w:val="0"/>
          <w:bCs w:val="0"/>
          <w:spacing w:val="40"/>
          <w:sz w:val="21"/>
          <w:szCs w:val="21"/>
        </w:rPr>
        <w:t xml:space="preserve"> </w:t>
      </w:r>
      <w:r w:rsidRPr="007C2763">
        <w:rPr>
          <w:rFonts w:ascii="Abadi" w:hAnsi="Abadi"/>
          <w:b w:val="0"/>
          <w:bCs w:val="0"/>
          <w:sz w:val="21"/>
          <w:szCs w:val="21"/>
        </w:rPr>
        <w:t>la</w:t>
      </w:r>
      <w:r w:rsidRPr="007C2763">
        <w:rPr>
          <w:rFonts w:ascii="Abadi" w:hAnsi="Abadi"/>
          <w:b w:val="0"/>
          <w:bCs w:val="0"/>
          <w:spacing w:val="40"/>
          <w:sz w:val="21"/>
          <w:szCs w:val="21"/>
        </w:rPr>
        <w:t xml:space="preserve"> </w:t>
      </w:r>
      <w:r w:rsidRPr="007C2763">
        <w:rPr>
          <w:rFonts w:ascii="Abadi" w:hAnsi="Abadi"/>
          <w:b w:val="0"/>
          <w:bCs w:val="0"/>
          <w:sz w:val="21"/>
          <w:szCs w:val="21"/>
        </w:rPr>
        <w:t>clasificación</w:t>
      </w:r>
      <w:r w:rsidRPr="007C2763">
        <w:rPr>
          <w:rFonts w:ascii="Abadi" w:hAnsi="Abadi"/>
          <w:b w:val="0"/>
          <w:bCs w:val="0"/>
          <w:spacing w:val="36"/>
          <w:sz w:val="21"/>
          <w:szCs w:val="21"/>
        </w:rPr>
        <w:t xml:space="preserve"> </w:t>
      </w:r>
      <w:r w:rsidRPr="007C2763">
        <w:rPr>
          <w:rFonts w:ascii="Abadi" w:hAnsi="Abadi"/>
          <w:b w:val="0"/>
          <w:bCs w:val="0"/>
          <w:sz w:val="21"/>
          <w:szCs w:val="21"/>
        </w:rPr>
        <w:t>que</w:t>
      </w:r>
      <w:r w:rsidRPr="007C2763">
        <w:rPr>
          <w:rFonts w:ascii="Abadi" w:hAnsi="Abadi"/>
          <w:b w:val="0"/>
          <w:bCs w:val="0"/>
          <w:spacing w:val="40"/>
          <w:sz w:val="21"/>
          <w:szCs w:val="21"/>
        </w:rPr>
        <w:t xml:space="preserve"> </w:t>
      </w:r>
      <w:r w:rsidRPr="007C2763">
        <w:rPr>
          <w:rFonts w:ascii="Abadi" w:hAnsi="Abadi"/>
          <w:b w:val="0"/>
          <w:bCs w:val="0"/>
          <w:sz w:val="21"/>
          <w:szCs w:val="21"/>
        </w:rPr>
        <w:t>estudia</w:t>
      </w:r>
      <w:r w:rsidRPr="007C2763">
        <w:rPr>
          <w:rFonts w:ascii="Abadi" w:hAnsi="Abadi"/>
          <w:b w:val="0"/>
          <w:bCs w:val="0"/>
          <w:spacing w:val="40"/>
          <w:sz w:val="21"/>
          <w:szCs w:val="21"/>
        </w:rPr>
        <w:t xml:space="preserve"> </w:t>
      </w:r>
      <w:r w:rsidRPr="007C2763">
        <w:rPr>
          <w:rFonts w:ascii="Abadi" w:hAnsi="Abadi"/>
          <w:b w:val="0"/>
          <w:bCs w:val="0"/>
          <w:sz w:val="21"/>
          <w:szCs w:val="21"/>
        </w:rPr>
        <w:t>la toponimia</w:t>
      </w:r>
      <w:r w:rsidRPr="007C2763">
        <w:rPr>
          <w:rFonts w:ascii="Abadi" w:hAnsi="Abadi"/>
          <w:b w:val="0"/>
          <w:bCs w:val="0"/>
          <w:spacing w:val="-1"/>
          <w:sz w:val="21"/>
          <w:szCs w:val="21"/>
        </w:rPr>
        <w:t xml:space="preserve"> </w:t>
      </w:r>
      <w:r w:rsidRPr="007C2763">
        <w:rPr>
          <w:rFonts w:ascii="Abadi" w:hAnsi="Abadi"/>
          <w:b w:val="0"/>
          <w:bCs w:val="0"/>
          <w:sz w:val="21"/>
          <w:szCs w:val="21"/>
        </w:rPr>
        <w:t>desde</w:t>
      </w:r>
      <w:r w:rsidRPr="007C2763">
        <w:rPr>
          <w:rFonts w:ascii="Abadi" w:hAnsi="Abadi"/>
          <w:b w:val="0"/>
          <w:bCs w:val="0"/>
          <w:spacing w:val="1"/>
          <w:sz w:val="21"/>
          <w:szCs w:val="21"/>
        </w:rPr>
        <w:t xml:space="preserve"> </w:t>
      </w:r>
      <w:r w:rsidRPr="007C2763">
        <w:rPr>
          <w:rFonts w:ascii="Abadi" w:hAnsi="Abadi"/>
          <w:b w:val="0"/>
          <w:bCs w:val="0"/>
          <w:sz w:val="21"/>
          <w:szCs w:val="21"/>
        </w:rPr>
        <w:t>el</w:t>
      </w:r>
      <w:r w:rsidRPr="007C2763">
        <w:rPr>
          <w:rFonts w:ascii="Abadi" w:hAnsi="Abadi"/>
          <w:b w:val="0"/>
          <w:bCs w:val="0"/>
          <w:spacing w:val="-3"/>
          <w:sz w:val="21"/>
          <w:szCs w:val="21"/>
        </w:rPr>
        <w:t xml:space="preserve"> </w:t>
      </w:r>
      <w:r w:rsidRPr="007C2763">
        <w:rPr>
          <w:rFonts w:ascii="Abadi" w:hAnsi="Abadi"/>
          <w:b w:val="0"/>
          <w:bCs w:val="0"/>
          <w:sz w:val="21"/>
          <w:szCs w:val="21"/>
        </w:rPr>
        <w:t>punto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vista,</w:t>
      </w:r>
      <w:r w:rsidRPr="007C2763">
        <w:rPr>
          <w:rFonts w:ascii="Abadi" w:hAnsi="Abadi"/>
          <w:b w:val="0"/>
          <w:bCs w:val="0"/>
          <w:spacing w:val="-2"/>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la</w:t>
      </w:r>
      <w:r w:rsidRPr="007C2763">
        <w:rPr>
          <w:rFonts w:ascii="Abadi" w:hAnsi="Abadi"/>
          <w:b w:val="0"/>
          <w:bCs w:val="0"/>
          <w:spacing w:val="-1"/>
          <w:sz w:val="21"/>
          <w:szCs w:val="21"/>
        </w:rPr>
        <w:t xml:space="preserve"> </w:t>
      </w:r>
      <w:r w:rsidRPr="007C2763">
        <w:rPr>
          <w:rFonts w:ascii="Abadi" w:hAnsi="Abadi"/>
          <w:b w:val="0"/>
          <w:bCs w:val="0"/>
          <w:sz w:val="21"/>
          <w:szCs w:val="21"/>
        </w:rPr>
        <w:t>historia, y vidas locales y los topónimos de origen</w:t>
      </w:r>
      <w:r w:rsidRPr="007C2763">
        <w:rPr>
          <w:rFonts w:ascii="Abadi" w:hAnsi="Abadi"/>
          <w:b w:val="0"/>
          <w:bCs w:val="0"/>
          <w:spacing w:val="10"/>
          <w:sz w:val="21"/>
          <w:szCs w:val="21"/>
        </w:rPr>
        <w:t xml:space="preserve"> </w:t>
      </w:r>
      <w:r w:rsidRPr="007C2763">
        <w:rPr>
          <w:rFonts w:ascii="Abadi" w:hAnsi="Abadi"/>
          <w:b w:val="0"/>
          <w:bCs w:val="0"/>
          <w:sz w:val="21"/>
          <w:szCs w:val="21"/>
        </w:rPr>
        <w:t>antroponímico</w:t>
      </w:r>
      <w:r w:rsidRPr="007C2763">
        <w:rPr>
          <w:rFonts w:ascii="Abadi" w:hAnsi="Abadi"/>
          <w:b w:val="0"/>
          <w:bCs w:val="0"/>
          <w:spacing w:val="9"/>
          <w:sz w:val="21"/>
          <w:szCs w:val="21"/>
        </w:rPr>
        <w:t xml:space="preserve"> </w:t>
      </w:r>
      <w:r w:rsidRPr="007C2763">
        <w:rPr>
          <w:rFonts w:ascii="Abadi" w:hAnsi="Abadi"/>
          <w:b w:val="0"/>
          <w:bCs w:val="0"/>
          <w:sz w:val="21"/>
          <w:szCs w:val="21"/>
        </w:rPr>
        <w:t>(referidos</w:t>
      </w:r>
      <w:r w:rsidRPr="007C2763">
        <w:rPr>
          <w:rFonts w:ascii="Abadi" w:hAnsi="Abadi"/>
          <w:b w:val="0"/>
          <w:bCs w:val="0"/>
          <w:spacing w:val="8"/>
          <w:sz w:val="21"/>
          <w:szCs w:val="21"/>
        </w:rPr>
        <w:t xml:space="preserve"> </w:t>
      </w:r>
      <w:r w:rsidRPr="007C2763">
        <w:rPr>
          <w:rFonts w:ascii="Abadi" w:hAnsi="Abadi"/>
          <w:b w:val="0"/>
          <w:bCs w:val="0"/>
          <w:sz w:val="21"/>
          <w:szCs w:val="21"/>
        </w:rPr>
        <w:t>a</w:t>
      </w:r>
      <w:r w:rsidRPr="007C2763">
        <w:rPr>
          <w:rFonts w:ascii="Abadi" w:hAnsi="Abadi"/>
          <w:b w:val="0"/>
          <w:bCs w:val="0"/>
          <w:spacing w:val="9"/>
          <w:sz w:val="21"/>
          <w:szCs w:val="21"/>
        </w:rPr>
        <w:t xml:space="preserve"> </w:t>
      </w:r>
      <w:r w:rsidRPr="007C2763">
        <w:rPr>
          <w:rFonts w:ascii="Abadi" w:hAnsi="Abadi"/>
          <w:b w:val="0"/>
          <w:bCs w:val="0"/>
          <w:sz w:val="21"/>
          <w:szCs w:val="21"/>
        </w:rPr>
        <w:t>los</w:t>
      </w:r>
      <w:r w:rsidRPr="007C2763">
        <w:rPr>
          <w:rFonts w:ascii="Abadi" w:hAnsi="Abadi"/>
          <w:b w:val="0"/>
          <w:bCs w:val="0"/>
          <w:spacing w:val="8"/>
          <w:sz w:val="21"/>
          <w:szCs w:val="21"/>
        </w:rPr>
        <w:t xml:space="preserve"> </w:t>
      </w:r>
      <w:r w:rsidRPr="007C2763">
        <w:rPr>
          <w:rFonts w:ascii="Abadi" w:hAnsi="Abadi"/>
          <w:b w:val="0"/>
          <w:bCs w:val="0"/>
          <w:sz w:val="21"/>
          <w:szCs w:val="21"/>
        </w:rPr>
        <w:t>nombres</w:t>
      </w:r>
      <w:r w:rsidRPr="007C2763">
        <w:rPr>
          <w:rFonts w:ascii="Abadi" w:hAnsi="Abadi"/>
          <w:b w:val="0"/>
          <w:bCs w:val="0"/>
          <w:spacing w:val="8"/>
          <w:sz w:val="21"/>
          <w:szCs w:val="21"/>
        </w:rPr>
        <w:t xml:space="preserve"> </w:t>
      </w:r>
      <w:r w:rsidRPr="007C2763">
        <w:rPr>
          <w:rFonts w:ascii="Abadi" w:hAnsi="Abadi"/>
          <w:b w:val="0"/>
          <w:bCs w:val="0"/>
          <w:sz w:val="21"/>
          <w:szCs w:val="21"/>
        </w:rPr>
        <w:t>de</w:t>
      </w:r>
      <w:r w:rsidRPr="007C2763">
        <w:rPr>
          <w:rFonts w:ascii="Abadi" w:hAnsi="Abadi"/>
          <w:b w:val="0"/>
          <w:bCs w:val="0"/>
          <w:spacing w:val="9"/>
          <w:sz w:val="21"/>
          <w:szCs w:val="21"/>
        </w:rPr>
        <w:t xml:space="preserve"> </w:t>
      </w:r>
      <w:r w:rsidRPr="007C2763">
        <w:rPr>
          <w:rFonts w:ascii="Abadi" w:hAnsi="Abadi"/>
          <w:b w:val="0"/>
          <w:bCs w:val="0"/>
          <w:sz w:val="21"/>
          <w:szCs w:val="21"/>
        </w:rPr>
        <w:t>persona).</w:t>
      </w:r>
      <w:r w:rsidRPr="007C2763">
        <w:rPr>
          <w:rFonts w:ascii="Abadi" w:hAnsi="Abadi"/>
          <w:b w:val="0"/>
          <w:bCs w:val="0"/>
          <w:spacing w:val="8"/>
          <w:sz w:val="21"/>
          <w:szCs w:val="21"/>
        </w:rPr>
        <w:t xml:space="preserve"> </w:t>
      </w:r>
      <w:r w:rsidRPr="007C2763">
        <w:rPr>
          <w:rFonts w:ascii="Abadi" w:hAnsi="Abadi"/>
          <w:b w:val="0"/>
          <w:bCs w:val="0"/>
          <w:sz w:val="21"/>
          <w:szCs w:val="21"/>
        </w:rPr>
        <w:t>Por</w:t>
      </w:r>
      <w:r w:rsidRPr="007C2763">
        <w:rPr>
          <w:rFonts w:ascii="Abadi" w:hAnsi="Abadi"/>
          <w:b w:val="0"/>
          <w:bCs w:val="0"/>
          <w:spacing w:val="9"/>
          <w:sz w:val="21"/>
          <w:szCs w:val="21"/>
        </w:rPr>
        <w:t xml:space="preserve"> </w:t>
      </w:r>
      <w:r w:rsidRPr="007C2763">
        <w:rPr>
          <w:rFonts w:ascii="Abadi" w:hAnsi="Abadi"/>
          <w:b w:val="0"/>
          <w:bCs w:val="0"/>
          <w:sz w:val="21"/>
          <w:szCs w:val="21"/>
        </w:rPr>
        <w:t>ser</w:t>
      </w:r>
      <w:r w:rsidRPr="007C2763">
        <w:rPr>
          <w:rFonts w:ascii="Abadi" w:hAnsi="Abadi"/>
          <w:b w:val="0"/>
          <w:bCs w:val="0"/>
          <w:spacing w:val="7"/>
          <w:sz w:val="21"/>
          <w:szCs w:val="21"/>
        </w:rPr>
        <w:t xml:space="preserve"> </w:t>
      </w:r>
      <w:r w:rsidRPr="007C2763">
        <w:rPr>
          <w:rFonts w:ascii="Abadi" w:hAnsi="Abadi"/>
          <w:b w:val="0"/>
          <w:bCs w:val="0"/>
          <w:sz w:val="21"/>
          <w:szCs w:val="21"/>
        </w:rPr>
        <w:t>este,</w:t>
      </w:r>
      <w:r w:rsidRPr="007C2763">
        <w:rPr>
          <w:rFonts w:ascii="Abadi" w:hAnsi="Abadi"/>
          <w:b w:val="0"/>
          <w:bCs w:val="0"/>
          <w:spacing w:val="8"/>
          <w:sz w:val="21"/>
          <w:szCs w:val="21"/>
        </w:rPr>
        <w:t xml:space="preserve"> </w:t>
      </w:r>
      <w:r w:rsidRPr="007C2763">
        <w:rPr>
          <w:rFonts w:ascii="Abadi" w:hAnsi="Abadi"/>
          <w:b w:val="0"/>
          <w:bCs w:val="0"/>
          <w:sz w:val="21"/>
          <w:szCs w:val="21"/>
        </w:rPr>
        <w:t>el contexto</w:t>
      </w:r>
      <w:r w:rsidRPr="007C2763">
        <w:rPr>
          <w:rFonts w:ascii="Abadi" w:hAnsi="Abadi"/>
          <w:b w:val="0"/>
          <w:bCs w:val="0"/>
          <w:spacing w:val="28"/>
          <w:sz w:val="21"/>
          <w:szCs w:val="21"/>
        </w:rPr>
        <w:t xml:space="preserve"> </w:t>
      </w:r>
      <w:r w:rsidRPr="007C2763">
        <w:rPr>
          <w:rFonts w:ascii="Abadi" w:hAnsi="Abadi"/>
          <w:b w:val="0"/>
          <w:bCs w:val="0"/>
          <w:sz w:val="21"/>
          <w:szCs w:val="21"/>
        </w:rPr>
        <w:t>en</w:t>
      </w:r>
      <w:r w:rsidRPr="007C2763">
        <w:rPr>
          <w:rFonts w:ascii="Abadi" w:hAnsi="Abadi"/>
          <w:b w:val="0"/>
          <w:bCs w:val="0"/>
          <w:spacing w:val="28"/>
          <w:sz w:val="21"/>
          <w:szCs w:val="21"/>
        </w:rPr>
        <w:t xml:space="preserve"> </w:t>
      </w:r>
      <w:r w:rsidRPr="007C2763">
        <w:rPr>
          <w:rFonts w:ascii="Abadi" w:hAnsi="Abadi"/>
          <w:b w:val="0"/>
          <w:bCs w:val="0"/>
          <w:sz w:val="21"/>
          <w:szCs w:val="21"/>
        </w:rPr>
        <w:t>que</w:t>
      </w:r>
      <w:r w:rsidRPr="007C2763">
        <w:rPr>
          <w:rFonts w:ascii="Abadi" w:hAnsi="Abadi"/>
          <w:b w:val="0"/>
          <w:bCs w:val="0"/>
          <w:spacing w:val="28"/>
          <w:sz w:val="21"/>
          <w:szCs w:val="21"/>
        </w:rPr>
        <w:t xml:space="preserve"> </w:t>
      </w:r>
      <w:r w:rsidRPr="007C2763">
        <w:rPr>
          <w:rFonts w:ascii="Abadi" w:hAnsi="Abadi"/>
          <w:b w:val="0"/>
          <w:bCs w:val="0"/>
          <w:sz w:val="21"/>
          <w:szCs w:val="21"/>
        </w:rPr>
        <w:t>los</w:t>
      </w:r>
      <w:r w:rsidRPr="007C2763">
        <w:rPr>
          <w:rFonts w:ascii="Abadi" w:hAnsi="Abadi"/>
          <w:b w:val="0"/>
          <w:bCs w:val="0"/>
          <w:spacing w:val="25"/>
          <w:sz w:val="21"/>
          <w:szCs w:val="21"/>
        </w:rPr>
        <w:t xml:space="preserve"> </w:t>
      </w:r>
      <w:r w:rsidRPr="007C2763">
        <w:rPr>
          <w:rFonts w:ascii="Abadi" w:hAnsi="Abadi"/>
          <w:b w:val="0"/>
          <w:bCs w:val="0"/>
          <w:sz w:val="21"/>
          <w:szCs w:val="21"/>
        </w:rPr>
        <w:t>iniciantes</w:t>
      </w:r>
      <w:r w:rsidRPr="007C2763">
        <w:rPr>
          <w:rFonts w:ascii="Abadi" w:hAnsi="Abadi"/>
          <w:b w:val="0"/>
          <w:bCs w:val="0"/>
          <w:spacing w:val="25"/>
          <w:sz w:val="21"/>
          <w:szCs w:val="21"/>
        </w:rPr>
        <w:t xml:space="preserve"> </w:t>
      </w:r>
      <w:r w:rsidRPr="007C2763">
        <w:rPr>
          <w:rFonts w:ascii="Abadi" w:hAnsi="Abadi"/>
          <w:b w:val="0"/>
          <w:bCs w:val="0"/>
          <w:sz w:val="21"/>
          <w:szCs w:val="21"/>
        </w:rPr>
        <w:t>proponen</w:t>
      </w:r>
      <w:r w:rsidRPr="007C2763">
        <w:rPr>
          <w:rFonts w:ascii="Abadi" w:hAnsi="Abadi"/>
          <w:b w:val="0"/>
          <w:bCs w:val="0"/>
          <w:spacing w:val="25"/>
          <w:sz w:val="21"/>
          <w:szCs w:val="21"/>
        </w:rPr>
        <w:t xml:space="preserve"> </w:t>
      </w:r>
      <w:r w:rsidRPr="007C2763">
        <w:rPr>
          <w:rFonts w:ascii="Abadi" w:hAnsi="Abadi"/>
          <w:b w:val="0"/>
          <w:bCs w:val="0"/>
          <w:sz w:val="21"/>
          <w:szCs w:val="21"/>
        </w:rPr>
        <w:t>el</w:t>
      </w:r>
      <w:r w:rsidRPr="007C2763">
        <w:rPr>
          <w:rFonts w:ascii="Abadi" w:hAnsi="Abadi"/>
          <w:b w:val="0"/>
          <w:bCs w:val="0"/>
          <w:spacing w:val="26"/>
          <w:sz w:val="21"/>
          <w:szCs w:val="21"/>
        </w:rPr>
        <w:t xml:space="preserve"> </w:t>
      </w:r>
      <w:r w:rsidRPr="007C2763">
        <w:rPr>
          <w:rFonts w:ascii="Abadi" w:hAnsi="Abadi"/>
          <w:b w:val="0"/>
          <w:bCs w:val="0"/>
          <w:sz w:val="21"/>
          <w:szCs w:val="21"/>
        </w:rPr>
        <w:t>cambio</w:t>
      </w:r>
      <w:r w:rsidRPr="007C2763">
        <w:rPr>
          <w:rFonts w:ascii="Abadi" w:hAnsi="Abadi"/>
          <w:b w:val="0"/>
          <w:bCs w:val="0"/>
          <w:spacing w:val="28"/>
          <w:sz w:val="21"/>
          <w:szCs w:val="21"/>
        </w:rPr>
        <w:t xml:space="preserve"> </w:t>
      </w:r>
      <w:r w:rsidRPr="007C2763">
        <w:rPr>
          <w:rFonts w:ascii="Abadi" w:hAnsi="Abadi"/>
          <w:b w:val="0"/>
          <w:bCs w:val="0"/>
          <w:sz w:val="21"/>
          <w:szCs w:val="21"/>
        </w:rPr>
        <w:t>de</w:t>
      </w:r>
      <w:r w:rsidRPr="007C2763">
        <w:rPr>
          <w:rFonts w:ascii="Abadi" w:hAnsi="Abadi"/>
          <w:b w:val="0"/>
          <w:bCs w:val="0"/>
          <w:spacing w:val="28"/>
          <w:sz w:val="21"/>
          <w:szCs w:val="21"/>
        </w:rPr>
        <w:t xml:space="preserve"> </w:t>
      </w:r>
      <w:r w:rsidRPr="007C2763">
        <w:rPr>
          <w:rFonts w:ascii="Abadi" w:hAnsi="Abadi"/>
          <w:b w:val="0"/>
          <w:bCs w:val="0"/>
          <w:sz w:val="21"/>
          <w:szCs w:val="21"/>
        </w:rPr>
        <w:t>denominación</w:t>
      </w:r>
      <w:r w:rsidRPr="007C2763">
        <w:rPr>
          <w:rFonts w:ascii="Abadi" w:hAnsi="Abadi"/>
          <w:b w:val="0"/>
          <w:bCs w:val="0"/>
          <w:spacing w:val="28"/>
          <w:sz w:val="21"/>
          <w:szCs w:val="21"/>
        </w:rPr>
        <w:t xml:space="preserve"> </w:t>
      </w:r>
      <w:r w:rsidRPr="007C2763">
        <w:rPr>
          <w:rFonts w:ascii="Abadi" w:hAnsi="Abadi"/>
          <w:b w:val="0"/>
          <w:bCs w:val="0"/>
          <w:sz w:val="21"/>
          <w:szCs w:val="21"/>
        </w:rPr>
        <w:t>de</w:t>
      </w:r>
      <w:r w:rsidRPr="007C2763">
        <w:rPr>
          <w:rFonts w:ascii="Abadi" w:hAnsi="Abadi"/>
          <w:b w:val="0"/>
          <w:bCs w:val="0"/>
          <w:spacing w:val="28"/>
          <w:sz w:val="21"/>
          <w:szCs w:val="21"/>
        </w:rPr>
        <w:t xml:space="preserve"> </w:t>
      </w:r>
      <w:r w:rsidRPr="007C2763">
        <w:rPr>
          <w:rFonts w:ascii="Abadi" w:hAnsi="Abadi"/>
          <w:b w:val="0"/>
          <w:bCs w:val="0"/>
          <w:sz w:val="21"/>
          <w:szCs w:val="21"/>
        </w:rPr>
        <w:t>la cabecera</w:t>
      </w:r>
      <w:r w:rsidRPr="007C2763">
        <w:rPr>
          <w:rFonts w:ascii="Abadi" w:hAnsi="Abadi"/>
          <w:b w:val="0"/>
          <w:bCs w:val="0"/>
          <w:spacing w:val="1"/>
          <w:sz w:val="21"/>
          <w:szCs w:val="21"/>
        </w:rPr>
        <w:t xml:space="preserve"> </w:t>
      </w:r>
      <w:r w:rsidRPr="007C2763">
        <w:rPr>
          <w:rFonts w:ascii="Abadi" w:hAnsi="Abadi"/>
          <w:b w:val="0"/>
          <w:bCs w:val="0"/>
          <w:sz w:val="21"/>
          <w:szCs w:val="21"/>
        </w:rPr>
        <w:t>municipal del</w:t>
      </w:r>
      <w:r w:rsidRPr="007C2763">
        <w:rPr>
          <w:rFonts w:ascii="Abadi" w:hAnsi="Abadi"/>
          <w:b w:val="0"/>
          <w:bCs w:val="0"/>
          <w:spacing w:val="-3"/>
          <w:sz w:val="21"/>
          <w:szCs w:val="21"/>
        </w:rPr>
        <w:t xml:space="preserve"> </w:t>
      </w:r>
      <w:r w:rsidRPr="007C2763">
        <w:rPr>
          <w:rFonts w:ascii="Abadi" w:hAnsi="Abadi"/>
          <w:b w:val="0"/>
          <w:bCs w:val="0"/>
          <w:sz w:val="21"/>
          <w:szCs w:val="21"/>
        </w:rPr>
        <w:t>municipio</w:t>
      </w:r>
      <w:r w:rsidRPr="007C2763">
        <w:rPr>
          <w:rFonts w:ascii="Abadi" w:hAnsi="Abadi"/>
          <w:b w:val="0"/>
          <w:bCs w:val="0"/>
          <w:spacing w:val="1"/>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nos</w:t>
      </w:r>
      <w:r w:rsidRPr="007C2763">
        <w:rPr>
          <w:rFonts w:ascii="Abadi" w:hAnsi="Abadi"/>
          <w:b w:val="0"/>
          <w:bCs w:val="0"/>
          <w:spacing w:val="-2"/>
          <w:sz w:val="21"/>
          <w:szCs w:val="21"/>
        </w:rPr>
        <w:t xml:space="preserve"> </w:t>
      </w:r>
      <w:r w:rsidRPr="007C2763">
        <w:rPr>
          <w:rFonts w:ascii="Abadi" w:hAnsi="Abadi"/>
          <w:b w:val="0"/>
          <w:bCs w:val="0"/>
          <w:sz w:val="21"/>
          <w:szCs w:val="21"/>
        </w:rPr>
        <w:t>ocupa.</w:t>
      </w:r>
    </w:p>
    <w:p w14:paraId="7AAD1270" w14:textId="77777777" w:rsidR="00374A1E" w:rsidRPr="007C2763" w:rsidRDefault="00374A1E" w:rsidP="00BC6383">
      <w:pPr>
        <w:pStyle w:val="Textoindependiente"/>
        <w:kinsoku w:val="0"/>
        <w:overflowPunct w:val="0"/>
        <w:spacing w:before="4"/>
        <w:rPr>
          <w:rFonts w:ascii="Abadi" w:hAnsi="Abadi"/>
          <w:b w:val="0"/>
          <w:bCs w:val="0"/>
          <w:sz w:val="21"/>
          <w:szCs w:val="21"/>
        </w:rPr>
      </w:pPr>
    </w:p>
    <w:p w14:paraId="5CA9598F" w14:textId="77777777" w:rsidR="00374A1E" w:rsidRPr="007C2763" w:rsidRDefault="00374A1E" w:rsidP="00BC6383">
      <w:pPr>
        <w:pStyle w:val="Textoindependiente"/>
        <w:kinsoku w:val="0"/>
        <w:overflowPunct w:val="0"/>
        <w:spacing w:before="1"/>
        <w:ind w:right="115" w:firstLine="708"/>
        <w:rPr>
          <w:rFonts w:ascii="Abadi" w:hAnsi="Abadi"/>
          <w:b w:val="0"/>
          <w:bCs w:val="0"/>
          <w:sz w:val="21"/>
          <w:szCs w:val="21"/>
        </w:rPr>
      </w:pPr>
      <w:r w:rsidRPr="007C2763">
        <w:rPr>
          <w:rFonts w:ascii="Abadi" w:hAnsi="Abadi"/>
          <w:b w:val="0"/>
          <w:bCs w:val="0"/>
          <w:sz w:val="21"/>
          <w:szCs w:val="21"/>
        </w:rPr>
        <w:t>Se</w:t>
      </w:r>
      <w:r w:rsidRPr="007C2763">
        <w:rPr>
          <w:rFonts w:ascii="Abadi" w:hAnsi="Abadi"/>
          <w:b w:val="0"/>
          <w:bCs w:val="0"/>
          <w:spacing w:val="3"/>
          <w:sz w:val="21"/>
          <w:szCs w:val="21"/>
        </w:rPr>
        <w:t xml:space="preserve"> </w:t>
      </w:r>
      <w:r w:rsidRPr="007C2763">
        <w:rPr>
          <w:rFonts w:ascii="Abadi" w:hAnsi="Abadi"/>
          <w:b w:val="0"/>
          <w:bCs w:val="0"/>
          <w:sz w:val="21"/>
          <w:szCs w:val="21"/>
        </w:rPr>
        <w:t>estudia</w:t>
      </w:r>
      <w:r w:rsidRPr="007C2763">
        <w:rPr>
          <w:rFonts w:ascii="Abadi" w:hAnsi="Abadi"/>
          <w:b w:val="0"/>
          <w:bCs w:val="0"/>
          <w:spacing w:val="3"/>
          <w:sz w:val="21"/>
          <w:szCs w:val="21"/>
        </w:rPr>
        <w:t xml:space="preserve"> </w:t>
      </w:r>
      <w:r w:rsidRPr="007C2763">
        <w:rPr>
          <w:rFonts w:ascii="Abadi" w:hAnsi="Abadi"/>
          <w:b w:val="0"/>
          <w:bCs w:val="0"/>
          <w:sz w:val="21"/>
          <w:szCs w:val="21"/>
        </w:rPr>
        <w:t>entonces</w:t>
      </w:r>
      <w:r w:rsidRPr="007C2763">
        <w:rPr>
          <w:rFonts w:ascii="Abadi" w:hAnsi="Abadi"/>
          <w:b w:val="0"/>
          <w:bCs w:val="0"/>
          <w:spacing w:val="2"/>
          <w:sz w:val="21"/>
          <w:szCs w:val="21"/>
        </w:rPr>
        <w:t xml:space="preserve"> </w:t>
      </w:r>
      <w:r w:rsidRPr="007C2763">
        <w:rPr>
          <w:rFonts w:ascii="Abadi" w:hAnsi="Abadi"/>
          <w:b w:val="0"/>
          <w:bCs w:val="0"/>
          <w:sz w:val="21"/>
          <w:szCs w:val="21"/>
        </w:rPr>
        <w:t>la</w:t>
      </w:r>
      <w:r w:rsidRPr="007C2763">
        <w:rPr>
          <w:rFonts w:ascii="Abadi" w:hAnsi="Abadi"/>
          <w:b w:val="0"/>
          <w:bCs w:val="0"/>
          <w:spacing w:val="3"/>
          <w:sz w:val="21"/>
          <w:szCs w:val="21"/>
        </w:rPr>
        <w:t xml:space="preserve"> </w:t>
      </w:r>
      <w:r w:rsidRPr="007C2763">
        <w:rPr>
          <w:rFonts w:ascii="Abadi" w:hAnsi="Abadi"/>
          <w:b w:val="0"/>
          <w:bCs w:val="0"/>
          <w:sz w:val="21"/>
          <w:szCs w:val="21"/>
        </w:rPr>
        <w:t>propuesta</w:t>
      </w:r>
      <w:r w:rsidRPr="007C2763">
        <w:rPr>
          <w:rFonts w:ascii="Abadi" w:hAnsi="Abadi"/>
          <w:b w:val="0"/>
          <w:bCs w:val="0"/>
          <w:spacing w:val="3"/>
          <w:sz w:val="21"/>
          <w:szCs w:val="21"/>
        </w:rPr>
        <w:t xml:space="preserve"> </w:t>
      </w:r>
      <w:r w:rsidRPr="007C2763">
        <w:rPr>
          <w:rFonts w:ascii="Abadi" w:hAnsi="Abadi"/>
          <w:b w:val="0"/>
          <w:bCs w:val="0"/>
          <w:sz w:val="21"/>
          <w:szCs w:val="21"/>
        </w:rPr>
        <w:t>de</w:t>
      </w:r>
      <w:r w:rsidRPr="007C2763">
        <w:rPr>
          <w:rFonts w:ascii="Abadi" w:hAnsi="Abadi"/>
          <w:b w:val="0"/>
          <w:bCs w:val="0"/>
          <w:spacing w:val="3"/>
          <w:sz w:val="21"/>
          <w:szCs w:val="21"/>
        </w:rPr>
        <w:t xml:space="preserve"> </w:t>
      </w:r>
      <w:r w:rsidRPr="007C2763">
        <w:rPr>
          <w:rFonts w:ascii="Abadi" w:hAnsi="Abadi"/>
          <w:b w:val="0"/>
          <w:bCs w:val="0"/>
          <w:sz w:val="21"/>
          <w:szCs w:val="21"/>
        </w:rPr>
        <w:t>los</w:t>
      </w:r>
      <w:r w:rsidRPr="007C2763">
        <w:rPr>
          <w:rFonts w:ascii="Abadi" w:hAnsi="Abadi"/>
          <w:b w:val="0"/>
          <w:bCs w:val="0"/>
          <w:spacing w:val="2"/>
          <w:sz w:val="21"/>
          <w:szCs w:val="21"/>
        </w:rPr>
        <w:t xml:space="preserve"> </w:t>
      </w:r>
      <w:r w:rsidRPr="007C2763">
        <w:rPr>
          <w:rFonts w:ascii="Abadi" w:hAnsi="Abadi"/>
          <w:b w:val="0"/>
          <w:bCs w:val="0"/>
          <w:sz w:val="21"/>
          <w:szCs w:val="21"/>
        </w:rPr>
        <w:t>topónimos,</w:t>
      </w:r>
      <w:r w:rsidRPr="007C2763">
        <w:rPr>
          <w:rFonts w:ascii="Abadi" w:hAnsi="Abadi"/>
          <w:b w:val="0"/>
          <w:bCs w:val="0"/>
          <w:spacing w:val="3"/>
          <w:sz w:val="21"/>
          <w:szCs w:val="21"/>
        </w:rPr>
        <w:t xml:space="preserve"> </w:t>
      </w:r>
      <w:r w:rsidRPr="007C2763">
        <w:rPr>
          <w:rFonts w:ascii="Abadi" w:hAnsi="Abadi"/>
          <w:b w:val="0"/>
          <w:bCs w:val="0"/>
          <w:sz w:val="21"/>
          <w:szCs w:val="21"/>
        </w:rPr>
        <w:t>como</w:t>
      </w:r>
      <w:r w:rsidRPr="007C2763">
        <w:rPr>
          <w:rFonts w:ascii="Abadi" w:hAnsi="Abadi"/>
          <w:b w:val="0"/>
          <w:bCs w:val="0"/>
          <w:spacing w:val="3"/>
          <w:sz w:val="21"/>
          <w:szCs w:val="21"/>
        </w:rPr>
        <w:t xml:space="preserve"> </w:t>
      </w:r>
      <w:r w:rsidRPr="007C2763">
        <w:rPr>
          <w:rFonts w:ascii="Abadi" w:hAnsi="Abadi"/>
          <w:b w:val="0"/>
          <w:bCs w:val="0"/>
          <w:sz w:val="21"/>
          <w:szCs w:val="21"/>
        </w:rPr>
        <w:t>nombres</w:t>
      </w:r>
      <w:r w:rsidRPr="007C2763">
        <w:rPr>
          <w:rFonts w:ascii="Abadi" w:hAnsi="Abadi"/>
          <w:b w:val="0"/>
          <w:bCs w:val="0"/>
          <w:spacing w:val="2"/>
          <w:sz w:val="21"/>
          <w:szCs w:val="21"/>
        </w:rPr>
        <w:t xml:space="preserve"> </w:t>
      </w:r>
      <w:r w:rsidRPr="007C2763">
        <w:rPr>
          <w:rFonts w:ascii="Abadi" w:hAnsi="Abadi"/>
          <w:b w:val="0"/>
          <w:bCs w:val="0"/>
          <w:sz w:val="21"/>
          <w:szCs w:val="21"/>
        </w:rPr>
        <w:t>que</w:t>
      </w:r>
      <w:r w:rsidRPr="007C2763">
        <w:rPr>
          <w:rFonts w:ascii="Abadi" w:hAnsi="Abadi"/>
          <w:b w:val="0"/>
          <w:bCs w:val="0"/>
          <w:spacing w:val="3"/>
          <w:sz w:val="21"/>
          <w:szCs w:val="21"/>
        </w:rPr>
        <w:t xml:space="preserve"> </w:t>
      </w:r>
      <w:r w:rsidRPr="007C2763">
        <w:rPr>
          <w:rFonts w:ascii="Abadi" w:hAnsi="Abadi"/>
          <w:b w:val="0"/>
          <w:bCs w:val="0"/>
          <w:sz w:val="21"/>
          <w:szCs w:val="21"/>
        </w:rPr>
        <w:t>son y</w:t>
      </w:r>
      <w:r w:rsidRPr="007C2763">
        <w:rPr>
          <w:rFonts w:ascii="Abadi" w:hAnsi="Abadi"/>
          <w:b w:val="0"/>
          <w:bCs w:val="0"/>
          <w:spacing w:val="53"/>
          <w:sz w:val="21"/>
          <w:szCs w:val="21"/>
        </w:rPr>
        <w:t xml:space="preserve"> </w:t>
      </w:r>
      <w:r w:rsidRPr="007C2763">
        <w:rPr>
          <w:rFonts w:ascii="Abadi" w:hAnsi="Abadi"/>
          <w:b w:val="0"/>
          <w:bCs w:val="0"/>
          <w:sz w:val="21"/>
          <w:szCs w:val="21"/>
        </w:rPr>
        <w:t>por</w:t>
      </w:r>
      <w:r w:rsidRPr="007C2763">
        <w:rPr>
          <w:rFonts w:ascii="Abadi" w:hAnsi="Abadi"/>
          <w:b w:val="0"/>
          <w:bCs w:val="0"/>
          <w:spacing w:val="50"/>
          <w:sz w:val="21"/>
          <w:szCs w:val="21"/>
        </w:rPr>
        <w:t xml:space="preserve"> </w:t>
      </w:r>
      <w:r w:rsidRPr="007C2763">
        <w:rPr>
          <w:rFonts w:ascii="Abadi" w:hAnsi="Abadi"/>
          <w:b w:val="0"/>
          <w:bCs w:val="0"/>
          <w:sz w:val="21"/>
          <w:szCs w:val="21"/>
        </w:rPr>
        <w:t>el</w:t>
      </w:r>
      <w:r w:rsidRPr="007C2763">
        <w:rPr>
          <w:rFonts w:ascii="Abadi" w:hAnsi="Abadi"/>
          <w:b w:val="0"/>
          <w:bCs w:val="0"/>
          <w:spacing w:val="49"/>
          <w:sz w:val="21"/>
          <w:szCs w:val="21"/>
        </w:rPr>
        <w:t xml:space="preserve"> </w:t>
      </w:r>
      <w:r w:rsidRPr="007C2763">
        <w:rPr>
          <w:rFonts w:ascii="Abadi" w:hAnsi="Abadi"/>
          <w:b w:val="0"/>
          <w:bCs w:val="0"/>
          <w:sz w:val="21"/>
          <w:szCs w:val="21"/>
        </w:rPr>
        <w:t>arraigo</w:t>
      </w:r>
      <w:r w:rsidRPr="007C2763">
        <w:rPr>
          <w:rFonts w:ascii="Abadi" w:hAnsi="Abadi"/>
          <w:b w:val="0"/>
          <w:bCs w:val="0"/>
          <w:spacing w:val="52"/>
          <w:sz w:val="21"/>
          <w:szCs w:val="21"/>
        </w:rPr>
        <w:t xml:space="preserve"> </w:t>
      </w:r>
      <w:r w:rsidRPr="007C2763">
        <w:rPr>
          <w:rFonts w:ascii="Abadi" w:hAnsi="Abadi"/>
          <w:b w:val="0"/>
          <w:bCs w:val="0"/>
          <w:sz w:val="21"/>
          <w:szCs w:val="21"/>
        </w:rPr>
        <w:t>e</w:t>
      </w:r>
      <w:r w:rsidRPr="007C2763">
        <w:rPr>
          <w:rFonts w:ascii="Abadi" w:hAnsi="Abadi"/>
          <w:b w:val="0"/>
          <w:bCs w:val="0"/>
          <w:spacing w:val="52"/>
          <w:sz w:val="21"/>
          <w:szCs w:val="21"/>
        </w:rPr>
        <w:t xml:space="preserve"> </w:t>
      </w:r>
      <w:r w:rsidRPr="007C2763">
        <w:rPr>
          <w:rFonts w:ascii="Abadi" w:hAnsi="Abadi"/>
          <w:b w:val="0"/>
          <w:bCs w:val="0"/>
          <w:sz w:val="21"/>
          <w:szCs w:val="21"/>
        </w:rPr>
        <w:t>identidad</w:t>
      </w:r>
      <w:r w:rsidRPr="007C2763">
        <w:rPr>
          <w:rFonts w:ascii="Abadi" w:hAnsi="Abadi"/>
          <w:b w:val="0"/>
          <w:bCs w:val="0"/>
          <w:spacing w:val="51"/>
          <w:sz w:val="21"/>
          <w:szCs w:val="21"/>
        </w:rPr>
        <w:t xml:space="preserve"> </w:t>
      </w:r>
      <w:r w:rsidRPr="007C2763">
        <w:rPr>
          <w:rFonts w:ascii="Abadi" w:hAnsi="Abadi"/>
          <w:b w:val="0"/>
          <w:bCs w:val="0"/>
          <w:sz w:val="21"/>
          <w:szCs w:val="21"/>
        </w:rPr>
        <w:t>que</w:t>
      </w:r>
      <w:r w:rsidRPr="007C2763">
        <w:rPr>
          <w:rFonts w:ascii="Abadi" w:hAnsi="Abadi"/>
          <w:b w:val="0"/>
          <w:bCs w:val="0"/>
          <w:spacing w:val="52"/>
          <w:sz w:val="21"/>
          <w:szCs w:val="21"/>
        </w:rPr>
        <w:t xml:space="preserve"> </w:t>
      </w:r>
      <w:r w:rsidRPr="007C2763">
        <w:rPr>
          <w:rFonts w:ascii="Abadi" w:hAnsi="Abadi"/>
          <w:b w:val="0"/>
          <w:bCs w:val="0"/>
          <w:sz w:val="21"/>
          <w:szCs w:val="21"/>
        </w:rPr>
        <w:t>tienen</w:t>
      </w:r>
      <w:r w:rsidRPr="007C2763">
        <w:rPr>
          <w:rFonts w:ascii="Abadi" w:hAnsi="Abadi"/>
          <w:b w:val="0"/>
          <w:bCs w:val="0"/>
          <w:spacing w:val="52"/>
          <w:sz w:val="21"/>
          <w:szCs w:val="21"/>
        </w:rPr>
        <w:t xml:space="preserve"> </w:t>
      </w:r>
      <w:r w:rsidRPr="007C2763">
        <w:rPr>
          <w:rFonts w:ascii="Abadi" w:hAnsi="Abadi"/>
          <w:b w:val="0"/>
          <w:bCs w:val="0"/>
          <w:sz w:val="21"/>
          <w:szCs w:val="21"/>
        </w:rPr>
        <w:t>los</w:t>
      </w:r>
      <w:r w:rsidRPr="007C2763">
        <w:rPr>
          <w:rFonts w:ascii="Abadi" w:hAnsi="Abadi"/>
          <w:b w:val="0"/>
          <w:bCs w:val="0"/>
          <w:spacing w:val="51"/>
          <w:sz w:val="21"/>
          <w:szCs w:val="21"/>
        </w:rPr>
        <w:t xml:space="preserve"> </w:t>
      </w:r>
      <w:r w:rsidRPr="007C2763">
        <w:rPr>
          <w:rFonts w:ascii="Abadi" w:hAnsi="Abadi"/>
          <w:b w:val="0"/>
          <w:bCs w:val="0"/>
          <w:sz w:val="21"/>
          <w:szCs w:val="21"/>
        </w:rPr>
        <w:t>pobladores,</w:t>
      </w:r>
      <w:r w:rsidRPr="007C2763">
        <w:rPr>
          <w:rFonts w:ascii="Abadi" w:hAnsi="Abadi"/>
          <w:b w:val="0"/>
          <w:bCs w:val="0"/>
          <w:spacing w:val="50"/>
          <w:sz w:val="21"/>
          <w:szCs w:val="21"/>
        </w:rPr>
        <w:t xml:space="preserve"> </w:t>
      </w:r>
      <w:r w:rsidRPr="007C2763">
        <w:rPr>
          <w:rFonts w:ascii="Abadi" w:hAnsi="Abadi"/>
          <w:b w:val="0"/>
          <w:bCs w:val="0"/>
          <w:sz w:val="21"/>
          <w:szCs w:val="21"/>
        </w:rPr>
        <w:t>no</w:t>
      </w:r>
      <w:r w:rsidRPr="007C2763">
        <w:rPr>
          <w:rFonts w:ascii="Abadi" w:hAnsi="Abadi"/>
          <w:b w:val="0"/>
          <w:bCs w:val="0"/>
          <w:spacing w:val="52"/>
          <w:sz w:val="21"/>
          <w:szCs w:val="21"/>
        </w:rPr>
        <w:t xml:space="preserve"> </w:t>
      </w:r>
      <w:r w:rsidRPr="007C2763">
        <w:rPr>
          <w:rFonts w:ascii="Abadi" w:hAnsi="Abadi"/>
          <w:b w:val="0"/>
          <w:bCs w:val="0"/>
          <w:sz w:val="21"/>
          <w:szCs w:val="21"/>
        </w:rPr>
        <w:t>por</w:t>
      </w:r>
      <w:r w:rsidRPr="007C2763">
        <w:rPr>
          <w:rFonts w:ascii="Abadi" w:hAnsi="Abadi"/>
          <w:b w:val="0"/>
          <w:bCs w:val="0"/>
          <w:spacing w:val="50"/>
          <w:sz w:val="21"/>
          <w:szCs w:val="21"/>
        </w:rPr>
        <w:t xml:space="preserve"> </w:t>
      </w:r>
      <w:r w:rsidRPr="007C2763">
        <w:rPr>
          <w:rFonts w:ascii="Abadi" w:hAnsi="Abadi"/>
          <w:b w:val="0"/>
          <w:bCs w:val="0"/>
          <w:sz w:val="21"/>
          <w:szCs w:val="21"/>
        </w:rPr>
        <w:t>su</w:t>
      </w:r>
      <w:r w:rsidRPr="007C2763">
        <w:rPr>
          <w:rFonts w:ascii="Abadi" w:hAnsi="Abadi"/>
          <w:b w:val="0"/>
          <w:bCs w:val="0"/>
          <w:spacing w:val="53"/>
          <w:sz w:val="21"/>
          <w:szCs w:val="21"/>
        </w:rPr>
        <w:t xml:space="preserve"> </w:t>
      </w:r>
      <w:r w:rsidRPr="007C2763">
        <w:rPr>
          <w:rFonts w:ascii="Abadi" w:hAnsi="Abadi"/>
          <w:b w:val="0"/>
          <w:bCs w:val="0"/>
          <w:sz w:val="21"/>
          <w:szCs w:val="21"/>
        </w:rPr>
        <w:t>procedencia léxica, por</w:t>
      </w:r>
      <w:r w:rsidRPr="007C2763">
        <w:rPr>
          <w:rFonts w:ascii="Abadi" w:hAnsi="Abadi"/>
          <w:b w:val="0"/>
          <w:bCs w:val="0"/>
          <w:spacing w:val="-1"/>
          <w:sz w:val="21"/>
          <w:szCs w:val="21"/>
        </w:rPr>
        <w:t xml:space="preserve"> </w:t>
      </w:r>
      <w:r w:rsidRPr="007C2763">
        <w:rPr>
          <w:rFonts w:ascii="Abadi" w:hAnsi="Abadi"/>
          <w:b w:val="0"/>
          <w:bCs w:val="0"/>
          <w:sz w:val="21"/>
          <w:szCs w:val="21"/>
        </w:rPr>
        <w:t>ejemplo,</w:t>
      </w:r>
      <w:r w:rsidRPr="007C2763">
        <w:rPr>
          <w:rFonts w:ascii="Abadi" w:hAnsi="Abadi"/>
          <w:b w:val="0"/>
          <w:bCs w:val="0"/>
          <w:spacing w:val="-2"/>
          <w:sz w:val="21"/>
          <w:szCs w:val="21"/>
        </w:rPr>
        <w:t xml:space="preserve"> </w:t>
      </w:r>
      <w:r w:rsidRPr="007C2763">
        <w:rPr>
          <w:rFonts w:ascii="Abadi" w:hAnsi="Abadi"/>
          <w:b w:val="0"/>
          <w:bCs w:val="0"/>
          <w:sz w:val="21"/>
          <w:szCs w:val="21"/>
        </w:rPr>
        <w:t>ni</w:t>
      </w:r>
      <w:r w:rsidRPr="007C2763">
        <w:rPr>
          <w:rFonts w:ascii="Abadi" w:hAnsi="Abadi"/>
          <w:b w:val="0"/>
          <w:bCs w:val="0"/>
          <w:spacing w:val="-3"/>
          <w:sz w:val="21"/>
          <w:szCs w:val="21"/>
        </w:rPr>
        <w:t xml:space="preserve"> </w:t>
      </w:r>
      <w:r w:rsidRPr="007C2763">
        <w:rPr>
          <w:rFonts w:ascii="Abadi" w:hAnsi="Abadi"/>
          <w:b w:val="0"/>
          <w:bCs w:val="0"/>
          <w:sz w:val="21"/>
          <w:szCs w:val="21"/>
        </w:rPr>
        <w:t>por</w:t>
      </w:r>
      <w:r w:rsidRPr="007C2763">
        <w:rPr>
          <w:rFonts w:ascii="Abadi" w:hAnsi="Abadi"/>
          <w:b w:val="0"/>
          <w:bCs w:val="0"/>
          <w:spacing w:val="-1"/>
          <w:sz w:val="21"/>
          <w:szCs w:val="21"/>
        </w:rPr>
        <w:t xml:space="preserve"> </w:t>
      </w:r>
      <w:r w:rsidRPr="007C2763">
        <w:rPr>
          <w:rFonts w:ascii="Abadi" w:hAnsi="Abadi"/>
          <w:b w:val="0"/>
          <w:bCs w:val="0"/>
          <w:sz w:val="21"/>
          <w:szCs w:val="21"/>
        </w:rPr>
        <w:t>su</w:t>
      </w:r>
      <w:r w:rsidRPr="007C2763">
        <w:rPr>
          <w:rFonts w:ascii="Abadi" w:hAnsi="Abadi"/>
          <w:b w:val="0"/>
          <w:bCs w:val="0"/>
          <w:spacing w:val="-1"/>
          <w:sz w:val="21"/>
          <w:szCs w:val="21"/>
        </w:rPr>
        <w:t xml:space="preserve"> </w:t>
      </w:r>
      <w:r w:rsidRPr="007C2763">
        <w:rPr>
          <w:rFonts w:ascii="Abadi" w:hAnsi="Abadi"/>
          <w:b w:val="0"/>
          <w:bCs w:val="0"/>
          <w:sz w:val="21"/>
          <w:szCs w:val="21"/>
        </w:rPr>
        <w:t>estructura</w:t>
      </w:r>
      <w:r w:rsidRPr="007C2763">
        <w:rPr>
          <w:rFonts w:ascii="Abadi" w:hAnsi="Abadi"/>
          <w:b w:val="0"/>
          <w:bCs w:val="0"/>
          <w:spacing w:val="1"/>
          <w:sz w:val="21"/>
          <w:szCs w:val="21"/>
        </w:rPr>
        <w:t xml:space="preserve"> </w:t>
      </w:r>
      <w:r w:rsidRPr="007C2763">
        <w:rPr>
          <w:rFonts w:ascii="Abadi" w:hAnsi="Abadi"/>
          <w:b w:val="0"/>
          <w:bCs w:val="0"/>
          <w:sz w:val="21"/>
          <w:szCs w:val="21"/>
        </w:rPr>
        <w:t>semántica.</w:t>
      </w:r>
    </w:p>
    <w:p w14:paraId="67DD9AFD" w14:textId="77777777" w:rsidR="00374A1E" w:rsidRPr="007C2763" w:rsidRDefault="00374A1E" w:rsidP="00BC6383">
      <w:pPr>
        <w:pStyle w:val="Textoindependiente"/>
        <w:kinsoku w:val="0"/>
        <w:overflowPunct w:val="0"/>
        <w:spacing w:before="2"/>
        <w:rPr>
          <w:rFonts w:ascii="Abadi" w:hAnsi="Abadi"/>
          <w:b w:val="0"/>
          <w:bCs w:val="0"/>
          <w:sz w:val="21"/>
          <w:szCs w:val="21"/>
        </w:rPr>
      </w:pPr>
    </w:p>
    <w:p w14:paraId="3B8FC629" w14:textId="77777777" w:rsidR="00374A1E" w:rsidRPr="007C2763" w:rsidRDefault="00374A1E" w:rsidP="00BC6383">
      <w:pPr>
        <w:pStyle w:val="Textoindependiente"/>
        <w:kinsoku w:val="0"/>
        <w:overflowPunct w:val="0"/>
        <w:ind w:right="118" w:firstLine="708"/>
        <w:rPr>
          <w:rFonts w:ascii="Abadi" w:hAnsi="Abadi"/>
          <w:b w:val="0"/>
          <w:bCs w:val="0"/>
          <w:sz w:val="21"/>
          <w:szCs w:val="21"/>
        </w:rPr>
      </w:pP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tal</w:t>
      </w:r>
      <w:r w:rsidRPr="007C2763">
        <w:rPr>
          <w:rFonts w:ascii="Abadi" w:hAnsi="Abadi"/>
          <w:b w:val="0"/>
          <w:bCs w:val="0"/>
          <w:spacing w:val="4"/>
          <w:sz w:val="21"/>
          <w:szCs w:val="21"/>
        </w:rPr>
        <w:t xml:space="preserve"> </w:t>
      </w:r>
      <w:r w:rsidRPr="007C2763">
        <w:rPr>
          <w:rFonts w:ascii="Abadi" w:hAnsi="Abadi"/>
          <w:b w:val="0"/>
          <w:bCs w:val="0"/>
          <w:sz w:val="21"/>
          <w:szCs w:val="21"/>
        </w:rPr>
        <w:t>suerte,</w:t>
      </w:r>
      <w:r w:rsidRPr="007C2763">
        <w:rPr>
          <w:rFonts w:ascii="Abadi" w:hAnsi="Abadi"/>
          <w:b w:val="0"/>
          <w:bCs w:val="0"/>
          <w:spacing w:val="3"/>
          <w:sz w:val="21"/>
          <w:szCs w:val="21"/>
        </w:rPr>
        <w:t xml:space="preserve"> </w:t>
      </w:r>
      <w:r w:rsidRPr="007C2763">
        <w:rPr>
          <w:rFonts w:ascii="Abadi" w:hAnsi="Abadi"/>
          <w:b w:val="0"/>
          <w:bCs w:val="0"/>
          <w:sz w:val="21"/>
          <w:szCs w:val="21"/>
        </w:rPr>
        <w:t>de</w:t>
      </w:r>
      <w:r w:rsidRPr="007C2763">
        <w:rPr>
          <w:rFonts w:ascii="Abadi" w:hAnsi="Abadi"/>
          <w:b w:val="0"/>
          <w:bCs w:val="0"/>
          <w:spacing w:val="5"/>
          <w:sz w:val="21"/>
          <w:szCs w:val="21"/>
        </w:rPr>
        <w:t xml:space="preserve"> </w:t>
      </w:r>
      <w:r w:rsidRPr="007C2763">
        <w:rPr>
          <w:rFonts w:ascii="Abadi" w:hAnsi="Abadi"/>
          <w:b w:val="0"/>
          <w:bCs w:val="0"/>
          <w:sz w:val="21"/>
          <w:szCs w:val="21"/>
        </w:rPr>
        <w:t>los</w:t>
      </w:r>
      <w:r w:rsidRPr="007C2763">
        <w:rPr>
          <w:rFonts w:ascii="Abadi" w:hAnsi="Abadi"/>
          <w:b w:val="0"/>
          <w:bCs w:val="0"/>
          <w:spacing w:val="5"/>
          <w:sz w:val="21"/>
          <w:szCs w:val="21"/>
        </w:rPr>
        <w:t xml:space="preserve"> </w:t>
      </w:r>
      <w:r w:rsidRPr="007C2763">
        <w:rPr>
          <w:rFonts w:ascii="Abadi" w:hAnsi="Abadi"/>
          <w:b w:val="0"/>
          <w:bCs w:val="0"/>
          <w:sz w:val="21"/>
          <w:szCs w:val="21"/>
        </w:rPr>
        <w:t>entes</w:t>
      </w:r>
      <w:r w:rsidRPr="007C2763">
        <w:rPr>
          <w:rFonts w:ascii="Abadi" w:hAnsi="Abadi"/>
          <w:b w:val="0"/>
          <w:bCs w:val="0"/>
          <w:spacing w:val="5"/>
          <w:sz w:val="21"/>
          <w:szCs w:val="21"/>
        </w:rPr>
        <w:t xml:space="preserve"> </w:t>
      </w:r>
      <w:r w:rsidRPr="007C2763">
        <w:rPr>
          <w:rFonts w:ascii="Abadi" w:hAnsi="Abadi"/>
          <w:b w:val="0"/>
          <w:bCs w:val="0"/>
          <w:sz w:val="21"/>
          <w:szCs w:val="21"/>
        </w:rPr>
        <w:t>consultados,</w:t>
      </w:r>
      <w:r w:rsidRPr="007C2763">
        <w:rPr>
          <w:rFonts w:ascii="Abadi" w:hAnsi="Abadi"/>
          <w:b w:val="0"/>
          <w:bCs w:val="0"/>
          <w:spacing w:val="5"/>
          <w:sz w:val="21"/>
          <w:szCs w:val="21"/>
        </w:rPr>
        <w:t xml:space="preserve"> </w:t>
      </w:r>
      <w:r w:rsidRPr="007C2763">
        <w:rPr>
          <w:rFonts w:ascii="Abadi" w:hAnsi="Abadi"/>
          <w:b w:val="0"/>
          <w:bCs w:val="0"/>
          <w:sz w:val="21"/>
          <w:szCs w:val="21"/>
        </w:rPr>
        <w:t>se</w:t>
      </w:r>
      <w:r w:rsidRPr="007C2763">
        <w:rPr>
          <w:rFonts w:ascii="Abadi" w:hAnsi="Abadi"/>
          <w:b w:val="0"/>
          <w:bCs w:val="0"/>
          <w:spacing w:val="3"/>
          <w:sz w:val="21"/>
          <w:szCs w:val="21"/>
        </w:rPr>
        <w:t xml:space="preserve"> </w:t>
      </w:r>
      <w:r w:rsidRPr="007C2763">
        <w:rPr>
          <w:rFonts w:ascii="Abadi" w:hAnsi="Abadi"/>
          <w:b w:val="0"/>
          <w:bCs w:val="0"/>
          <w:sz w:val="21"/>
          <w:szCs w:val="21"/>
        </w:rPr>
        <w:t>desprende</w:t>
      </w:r>
      <w:r w:rsidRPr="007C2763">
        <w:rPr>
          <w:rFonts w:ascii="Abadi" w:hAnsi="Abadi"/>
          <w:b w:val="0"/>
          <w:bCs w:val="0"/>
          <w:spacing w:val="3"/>
          <w:sz w:val="21"/>
          <w:szCs w:val="21"/>
        </w:rPr>
        <w:t xml:space="preserve"> </w:t>
      </w:r>
      <w:r w:rsidRPr="007C2763">
        <w:rPr>
          <w:rFonts w:ascii="Abadi" w:hAnsi="Abadi"/>
          <w:b w:val="0"/>
          <w:bCs w:val="0"/>
          <w:sz w:val="21"/>
          <w:szCs w:val="21"/>
        </w:rPr>
        <w:t>que</w:t>
      </w:r>
      <w:r w:rsidRPr="007C2763">
        <w:rPr>
          <w:rFonts w:ascii="Abadi" w:hAnsi="Abadi"/>
          <w:b w:val="0"/>
          <w:bCs w:val="0"/>
          <w:spacing w:val="3"/>
          <w:sz w:val="21"/>
          <w:szCs w:val="21"/>
        </w:rPr>
        <w:t xml:space="preserve"> </w:t>
      </w:r>
      <w:r w:rsidRPr="007C2763">
        <w:rPr>
          <w:rFonts w:ascii="Abadi" w:hAnsi="Abadi"/>
          <w:b w:val="0"/>
          <w:bCs w:val="0"/>
          <w:sz w:val="21"/>
          <w:szCs w:val="21"/>
        </w:rPr>
        <w:t>hay</w:t>
      </w:r>
      <w:r w:rsidRPr="007C2763">
        <w:rPr>
          <w:rFonts w:ascii="Abadi" w:hAnsi="Abadi"/>
          <w:b w:val="0"/>
          <w:bCs w:val="0"/>
          <w:spacing w:val="2"/>
          <w:sz w:val="21"/>
          <w:szCs w:val="21"/>
        </w:rPr>
        <w:t xml:space="preserve"> </w:t>
      </w:r>
      <w:r w:rsidRPr="007C2763">
        <w:rPr>
          <w:rFonts w:ascii="Abadi" w:hAnsi="Abadi"/>
          <w:b w:val="0"/>
          <w:bCs w:val="0"/>
          <w:sz w:val="21"/>
          <w:szCs w:val="21"/>
        </w:rPr>
        <w:t>un</w:t>
      </w:r>
      <w:r w:rsidRPr="007C2763">
        <w:rPr>
          <w:rFonts w:ascii="Abadi" w:hAnsi="Abadi"/>
          <w:b w:val="0"/>
          <w:bCs w:val="0"/>
          <w:spacing w:val="1"/>
          <w:sz w:val="21"/>
          <w:szCs w:val="21"/>
        </w:rPr>
        <w:t xml:space="preserve"> </w:t>
      </w:r>
      <w:r w:rsidRPr="007C2763">
        <w:rPr>
          <w:rFonts w:ascii="Abadi" w:hAnsi="Abadi"/>
          <w:b w:val="0"/>
          <w:bCs w:val="0"/>
          <w:sz w:val="21"/>
          <w:szCs w:val="21"/>
        </w:rPr>
        <w:t>consenso en</w:t>
      </w:r>
      <w:r w:rsidRPr="007C2763">
        <w:rPr>
          <w:rFonts w:ascii="Abadi" w:hAnsi="Abadi"/>
          <w:b w:val="0"/>
          <w:bCs w:val="0"/>
          <w:spacing w:val="1"/>
          <w:sz w:val="21"/>
          <w:szCs w:val="21"/>
        </w:rPr>
        <w:t xml:space="preserve"> </w:t>
      </w:r>
      <w:r w:rsidRPr="007C2763">
        <w:rPr>
          <w:rFonts w:ascii="Abadi" w:hAnsi="Abadi"/>
          <w:b w:val="0"/>
          <w:bCs w:val="0"/>
          <w:sz w:val="21"/>
          <w:szCs w:val="21"/>
        </w:rPr>
        <w:t>el</w:t>
      </w:r>
      <w:r w:rsidRPr="007C2763">
        <w:rPr>
          <w:rFonts w:ascii="Abadi" w:hAnsi="Abadi"/>
          <w:b w:val="0"/>
          <w:bCs w:val="0"/>
          <w:spacing w:val="-3"/>
          <w:sz w:val="21"/>
          <w:szCs w:val="21"/>
        </w:rPr>
        <w:t xml:space="preserve"> </w:t>
      </w:r>
      <w:r w:rsidRPr="007C2763">
        <w:rPr>
          <w:rFonts w:ascii="Abadi" w:hAnsi="Abadi"/>
          <w:b w:val="0"/>
          <w:bCs w:val="0"/>
          <w:sz w:val="21"/>
          <w:szCs w:val="21"/>
        </w:rPr>
        <w:t>objeto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la</w:t>
      </w:r>
      <w:r w:rsidRPr="007C2763">
        <w:rPr>
          <w:rFonts w:ascii="Abadi" w:hAnsi="Abadi"/>
          <w:b w:val="0"/>
          <w:bCs w:val="0"/>
          <w:spacing w:val="1"/>
          <w:sz w:val="21"/>
          <w:szCs w:val="21"/>
        </w:rPr>
        <w:t xml:space="preserve"> </w:t>
      </w:r>
      <w:r w:rsidRPr="007C2763">
        <w:rPr>
          <w:rFonts w:ascii="Abadi" w:hAnsi="Abadi"/>
          <w:b w:val="0"/>
          <w:bCs w:val="0"/>
          <w:sz w:val="21"/>
          <w:szCs w:val="21"/>
        </w:rPr>
        <w:t>iniciativa, a</w:t>
      </w:r>
      <w:r w:rsidRPr="007C2763">
        <w:rPr>
          <w:rFonts w:ascii="Abadi" w:hAnsi="Abadi"/>
          <w:b w:val="0"/>
          <w:bCs w:val="0"/>
          <w:spacing w:val="1"/>
          <w:sz w:val="21"/>
          <w:szCs w:val="21"/>
        </w:rPr>
        <w:t xml:space="preserve"> </w:t>
      </w:r>
      <w:r w:rsidRPr="007C2763">
        <w:rPr>
          <w:rFonts w:ascii="Abadi" w:hAnsi="Abadi"/>
          <w:b w:val="0"/>
          <w:bCs w:val="0"/>
          <w:sz w:val="21"/>
          <w:szCs w:val="21"/>
        </w:rPr>
        <w:t>saber:</w:t>
      </w:r>
    </w:p>
    <w:p w14:paraId="15B1DC1A" w14:textId="77777777" w:rsidR="00374A1E" w:rsidRPr="007C2763" w:rsidRDefault="00374A1E" w:rsidP="00BC6383">
      <w:pPr>
        <w:pStyle w:val="Textoindependiente"/>
        <w:kinsoku w:val="0"/>
        <w:overflowPunct w:val="0"/>
        <w:spacing w:before="5"/>
        <w:rPr>
          <w:rFonts w:ascii="Abadi" w:hAnsi="Abadi"/>
          <w:b w:val="0"/>
          <w:bCs w:val="0"/>
          <w:sz w:val="21"/>
          <w:szCs w:val="21"/>
        </w:rPr>
      </w:pPr>
    </w:p>
    <w:p w14:paraId="635596AD" w14:textId="77777777" w:rsidR="00374A1E" w:rsidRPr="007C2763" w:rsidRDefault="00374A1E" w:rsidP="00BC6383">
      <w:pPr>
        <w:pStyle w:val="Textoindependiente"/>
        <w:kinsoku w:val="0"/>
        <w:overflowPunct w:val="0"/>
        <w:ind w:right="117" w:firstLine="708"/>
        <w:rPr>
          <w:rFonts w:ascii="Abadi" w:hAnsi="Abadi"/>
          <w:b w:val="0"/>
          <w:bCs w:val="0"/>
          <w:sz w:val="21"/>
          <w:szCs w:val="21"/>
        </w:rPr>
      </w:pPr>
      <w:r w:rsidRPr="007C2763">
        <w:rPr>
          <w:rFonts w:ascii="Abadi" w:hAnsi="Abadi"/>
          <w:b w:val="0"/>
          <w:bCs w:val="0"/>
          <w:sz w:val="21"/>
          <w:szCs w:val="21"/>
        </w:rPr>
        <w:t>La</w:t>
      </w:r>
      <w:r w:rsidRPr="007C2763">
        <w:rPr>
          <w:rFonts w:ascii="Abadi" w:hAnsi="Abadi"/>
          <w:b w:val="0"/>
          <w:bCs w:val="0"/>
          <w:spacing w:val="29"/>
          <w:sz w:val="21"/>
          <w:szCs w:val="21"/>
        </w:rPr>
        <w:t xml:space="preserve"> </w:t>
      </w:r>
      <w:r w:rsidRPr="007C2763">
        <w:rPr>
          <w:rFonts w:ascii="Abadi" w:hAnsi="Abadi"/>
          <w:b w:val="0"/>
          <w:bCs w:val="0"/>
          <w:sz w:val="21"/>
          <w:szCs w:val="21"/>
        </w:rPr>
        <w:t>Asociación</w:t>
      </w:r>
      <w:r w:rsidRPr="007C2763">
        <w:rPr>
          <w:rFonts w:ascii="Abadi" w:hAnsi="Abadi"/>
          <w:b w:val="0"/>
          <w:bCs w:val="0"/>
          <w:spacing w:val="27"/>
          <w:sz w:val="21"/>
          <w:szCs w:val="21"/>
        </w:rPr>
        <w:t xml:space="preserve"> </w:t>
      </w:r>
      <w:r w:rsidRPr="007C2763">
        <w:rPr>
          <w:rFonts w:ascii="Abadi" w:hAnsi="Abadi"/>
          <w:b w:val="0"/>
          <w:bCs w:val="0"/>
          <w:sz w:val="21"/>
          <w:szCs w:val="21"/>
        </w:rPr>
        <w:t>de</w:t>
      </w:r>
      <w:r w:rsidRPr="007C2763">
        <w:rPr>
          <w:rFonts w:ascii="Abadi" w:hAnsi="Abadi"/>
          <w:b w:val="0"/>
          <w:bCs w:val="0"/>
          <w:spacing w:val="30"/>
          <w:sz w:val="21"/>
          <w:szCs w:val="21"/>
        </w:rPr>
        <w:t xml:space="preserve"> </w:t>
      </w:r>
      <w:r w:rsidRPr="007C2763">
        <w:rPr>
          <w:rFonts w:ascii="Abadi" w:hAnsi="Abadi"/>
          <w:b w:val="0"/>
          <w:bCs w:val="0"/>
          <w:sz w:val="21"/>
          <w:szCs w:val="21"/>
        </w:rPr>
        <w:t>Cronistas</w:t>
      </w:r>
      <w:r w:rsidRPr="007C2763">
        <w:rPr>
          <w:rFonts w:ascii="Abadi" w:hAnsi="Abadi"/>
          <w:b w:val="0"/>
          <w:bCs w:val="0"/>
          <w:spacing w:val="29"/>
          <w:sz w:val="21"/>
          <w:szCs w:val="21"/>
        </w:rPr>
        <w:t xml:space="preserve"> </w:t>
      </w:r>
      <w:r w:rsidRPr="007C2763">
        <w:rPr>
          <w:rFonts w:ascii="Abadi" w:hAnsi="Abadi"/>
          <w:b w:val="0"/>
          <w:bCs w:val="0"/>
          <w:sz w:val="21"/>
          <w:szCs w:val="21"/>
        </w:rPr>
        <w:t>del</w:t>
      </w:r>
      <w:r w:rsidRPr="007C2763">
        <w:rPr>
          <w:rFonts w:ascii="Abadi" w:hAnsi="Abadi"/>
          <w:b w:val="0"/>
          <w:bCs w:val="0"/>
          <w:spacing w:val="28"/>
          <w:sz w:val="21"/>
          <w:szCs w:val="21"/>
        </w:rPr>
        <w:t xml:space="preserve"> </w:t>
      </w:r>
      <w:r w:rsidRPr="007C2763">
        <w:rPr>
          <w:rFonts w:ascii="Abadi" w:hAnsi="Abadi"/>
          <w:b w:val="0"/>
          <w:bCs w:val="0"/>
          <w:sz w:val="21"/>
          <w:szCs w:val="21"/>
        </w:rPr>
        <w:t>Estado</w:t>
      </w:r>
      <w:r w:rsidRPr="007C2763">
        <w:rPr>
          <w:rFonts w:ascii="Abadi" w:hAnsi="Abadi"/>
          <w:b w:val="0"/>
          <w:bCs w:val="0"/>
          <w:spacing w:val="30"/>
          <w:sz w:val="21"/>
          <w:szCs w:val="21"/>
        </w:rPr>
        <w:t xml:space="preserve"> </w:t>
      </w:r>
      <w:r w:rsidRPr="007C2763">
        <w:rPr>
          <w:rFonts w:ascii="Abadi" w:hAnsi="Abadi"/>
          <w:b w:val="0"/>
          <w:bCs w:val="0"/>
          <w:sz w:val="21"/>
          <w:szCs w:val="21"/>
        </w:rPr>
        <w:t>de</w:t>
      </w:r>
      <w:r w:rsidRPr="007C2763">
        <w:rPr>
          <w:rFonts w:ascii="Abadi" w:hAnsi="Abadi"/>
          <w:b w:val="0"/>
          <w:bCs w:val="0"/>
          <w:spacing w:val="27"/>
          <w:sz w:val="21"/>
          <w:szCs w:val="21"/>
        </w:rPr>
        <w:t xml:space="preserve"> </w:t>
      </w:r>
      <w:r w:rsidRPr="007C2763">
        <w:rPr>
          <w:rFonts w:ascii="Abadi" w:hAnsi="Abadi"/>
          <w:b w:val="0"/>
          <w:bCs w:val="0"/>
          <w:sz w:val="21"/>
          <w:szCs w:val="21"/>
        </w:rPr>
        <w:t>Guanajuato,</w:t>
      </w:r>
      <w:r w:rsidRPr="007C2763">
        <w:rPr>
          <w:rFonts w:ascii="Abadi" w:hAnsi="Abadi"/>
          <w:b w:val="0"/>
          <w:bCs w:val="0"/>
          <w:spacing w:val="29"/>
          <w:sz w:val="21"/>
          <w:szCs w:val="21"/>
        </w:rPr>
        <w:t xml:space="preserve"> </w:t>
      </w:r>
      <w:r w:rsidRPr="007C2763">
        <w:rPr>
          <w:rFonts w:ascii="Abadi" w:hAnsi="Abadi"/>
          <w:b w:val="0"/>
          <w:bCs w:val="0"/>
          <w:sz w:val="21"/>
          <w:szCs w:val="21"/>
        </w:rPr>
        <w:t>“Dr.</w:t>
      </w:r>
      <w:r w:rsidRPr="007C2763">
        <w:rPr>
          <w:rFonts w:ascii="Abadi" w:hAnsi="Abadi"/>
          <w:b w:val="0"/>
          <w:bCs w:val="0"/>
          <w:spacing w:val="29"/>
          <w:sz w:val="21"/>
          <w:szCs w:val="21"/>
        </w:rPr>
        <w:t xml:space="preserve"> </w:t>
      </w:r>
      <w:r w:rsidRPr="007C2763">
        <w:rPr>
          <w:rFonts w:ascii="Abadi" w:hAnsi="Abadi"/>
          <w:b w:val="0"/>
          <w:bCs w:val="0"/>
          <w:sz w:val="21"/>
          <w:szCs w:val="21"/>
        </w:rPr>
        <w:t>Isauro</w:t>
      </w:r>
      <w:r w:rsidRPr="007C2763">
        <w:rPr>
          <w:rFonts w:ascii="Abadi" w:hAnsi="Abadi"/>
          <w:b w:val="0"/>
          <w:bCs w:val="0"/>
          <w:spacing w:val="30"/>
          <w:sz w:val="21"/>
          <w:szCs w:val="21"/>
        </w:rPr>
        <w:t xml:space="preserve"> </w:t>
      </w:r>
      <w:r w:rsidRPr="007C2763">
        <w:rPr>
          <w:rFonts w:ascii="Abadi" w:hAnsi="Abadi"/>
          <w:b w:val="0"/>
          <w:bCs w:val="0"/>
          <w:sz w:val="21"/>
          <w:szCs w:val="21"/>
        </w:rPr>
        <w:t>Rionda Arreguín,</w:t>
      </w:r>
      <w:r w:rsidRPr="007C2763">
        <w:rPr>
          <w:rFonts w:ascii="Abadi" w:hAnsi="Abadi"/>
          <w:b w:val="0"/>
          <w:bCs w:val="0"/>
          <w:spacing w:val="34"/>
          <w:sz w:val="21"/>
          <w:szCs w:val="21"/>
        </w:rPr>
        <w:t xml:space="preserve"> </w:t>
      </w:r>
      <w:r w:rsidRPr="007C2763">
        <w:rPr>
          <w:rFonts w:ascii="Abadi" w:hAnsi="Abadi"/>
          <w:b w:val="0"/>
          <w:bCs w:val="0"/>
          <w:sz w:val="21"/>
          <w:szCs w:val="21"/>
        </w:rPr>
        <w:t>A.C.”</w:t>
      </w:r>
      <w:r w:rsidRPr="007C2763">
        <w:rPr>
          <w:rFonts w:ascii="Abadi" w:hAnsi="Abadi"/>
          <w:b w:val="0"/>
          <w:bCs w:val="0"/>
          <w:spacing w:val="33"/>
          <w:sz w:val="21"/>
          <w:szCs w:val="21"/>
        </w:rPr>
        <w:t xml:space="preserve"> </w:t>
      </w:r>
      <w:r w:rsidRPr="007C2763">
        <w:rPr>
          <w:rFonts w:ascii="Abadi" w:hAnsi="Abadi"/>
          <w:b w:val="0"/>
          <w:bCs w:val="0"/>
          <w:sz w:val="21"/>
          <w:szCs w:val="21"/>
        </w:rPr>
        <w:t>tiene</w:t>
      </w:r>
      <w:r w:rsidRPr="007C2763">
        <w:rPr>
          <w:rFonts w:ascii="Abadi" w:hAnsi="Abadi"/>
          <w:b w:val="0"/>
          <w:bCs w:val="0"/>
          <w:spacing w:val="32"/>
          <w:sz w:val="21"/>
          <w:szCs w:val="21"/>
        </w:rPr>
        <w:t xml:space="preserve"> </w:t>
      </w:r>
      <w:r w:rsidRPr="007C2763">
        <w:rPr>
          <w:rFonts w:ascii="Abadi" w:hAnsi="Abadi"/>
          <w:b w:val="0"/>
          <w:bCs w:val="0"/>
          <w:sz w:val="21"/>
          <w:szCs w:val="21"/>
        </w:rPr>
        <w:t>a</w:t>
      </w:r>
      <w:r w:rsidRPr="007C2763">
        <w:rPr>
          <w:rFonts w:ascii="Abadi" w:hAnsi="Abadi"/>
          <w:b w:val="0"/>
          <w:bCs w:val="0"/>
          <w:spacing w:val="34"/>
          <w:sz w:val="21"/>
          <w:szCs w:val="21"/>
        </w:rPr>
        <w:t xml:space="preserve"> </w:t>
      </w:r>
      <w:r w:rsidRPr="007C2763">
        <w:rPr>
          <w:rFonts w:ascii="Abadi" w:hAnsi="Abadi"/>
          <w:b w:val="0"/>
          <w:bCs w:val="0"/>
          <w:sz w:val="21"/>
          <w:szCs w:val="21"/>
        </w:rPr>
        <w:t>bien</w:t>
      </w:r>
      <w:r w:rsidRPr="007C2763">
        <w:rPr>
          <w:rFonts w:ascii="Abadi" w:hAnsi="Abadi"/>
          <w:b w:val="0"/>
          <w:bCs w:val="0"/>
          <w:spacing w:val="32"/>
          <w:sz w:val="21"/>
          <w:szCs w:val="21"/>
        </w:rPr>
        <w:t xml:space="preserve"> </w:t>
      </w:r>
      <w:r w:rsidRPr="007C2763">
        <w:rPr>
          <w:rFonts w:ascii="Abadi" w:hAnsi="Abadi"/>
          <w:b w:val="0"/>
          <w:bCs w:val="0"/>
          <w:sz w:val="21"/>
          <w:szCs w:val="21"/>
        </w:rPr>
        <w:t>manifestar</w:t>
      </w:r>
      <w:r w:rsidRPr="007C2763">
        <w:rPr>
          <w:rFonts w:ascii="Abadi" w:hAnsi="Abadi"/>
          <w:b w:val="0"/>
          <w:bCs w:val="0"/>
          <w:spacing w:val="33"/>
          <w:sz w:val="21"/>
          <w:szCs w:val="21"/>
        </w:rPr>
        <w:t xml:space="preserve"> </w:t>
      </w:r>
      <w:r w:rsidRPr="007C2763">
        <w:rPr>
          <w:rFonts w:ascii="Abadi" w:hAnsi="Abadi"/>
          <w:b w:val="0"/>
          <w:bCs w:val="0"/>
          <w:sz w:val="21"/>
          <w:szCs w:val="21"/>
        </w:rPr>
        <w:t>que</w:t>
      </w:r>
      <w:r w:rsidRPr="007C2763">
        <w:rPr>
          <w:rFonts w:ascii="Abadi" w:hAnsi="Abadi"/>
          <w:b w:val="0"/>
          <w:bCs w:val="0"/>
          <w:spacing w:val="32"/>
          <w:sz w:val="21"/>
          <w:szCs w:val="21"/>
        </w:rPr>
        <w:t xml:space="preserve"> </w:t>
      </w:r>
      <w:r w:rsidRPr="007C2763">
        <w:rPr>
          <w:rFonts w:ascii="Abadi" w:hAnsi="Abadi"/>
          <w:b w:val="0"/>
          <w:bCs w:val="0"/>
          <w:sz w:val="21"/>
          <w:szCs w:val="21"/>
        </w:rPr>
        <w:t>se</w:t>
      </w:r>
      <w:r w:rsidRPr="007C2763">
        <w:rPr>
          <w:rFonts w:ascii="Abadi" w:hAnsi="Abadi"/>
          <w:b w:val="0"/>
          <w:bCs w:val="0"/>
          <w:spacing w:val="34"/>
          <w:sz w:val="21"/>
          <w:szCs w:val="21"/>
        </w:rPr>
        <w:t xml:space="preserve"> </w:t>
      </w:r>
      <w:r w:rsidRPr="007C2763">
        <w:rPr>
          <w:rFonts w:ascii="Abadi" w:hAnsi="Abadi"/>
          <w:b w:val="0"/>
          <w:bCs w:val="0"/>
          <w:sz w:val="21"/>
          <w:szCs w:val="21"/>
        </w:rPr>
        <w:t>apoya</w:t>
      </w:r>
      <w:r w:rsidRPr="007C2763">
        <w:rPr>
          <w:rFonts w:ascii="Abadi" w:hAnsi="Abadi"/>
          <w:b w:val="0"/>
          <w:bCs w:val="0"/>
          <w:spacing w:val="35"/>
          <w:sz w:val="21"/>
          <w:szCs w:val="21"/>
        </w:rPr>
        <w:t xml:space="preserve"> </w:t>
      </w:r>
      <w:r w:rsidRPr="007C2763">
        <w:rPr>
          <w:rFonts w:ascii="Abadi" w:hAnsi="Abadi"/>
          <w:b w:val="0"/>
          <w:bCs w:val="0"/>
          <w:sz w:val="21"/>
          <w:szCs w:val="21"/>
        </w:rPr>
        <w:t>la</w:t>
      </w:r>
      <w:r w:rsidRPr="007C2763">
        <w:rPr>
          <w:rFonts w:ascii="Abadi" w:hAnsi="Abadi"/>
          <w:b w:val="0"/>
          <w:bCs w:val="0"/>
          <w:spacing w:val="35"/>
          <w:sz w:val="21"/>
          <w:szCs w:val="21"/>
        </w:rPr>
        <w:t xml:space="preserve"> </w:t>
      </w:r>
      <w:r w:rsidRPr="007C2763">
        <w:rPr>
          <w:rFonts w:ascii="Abadi" w:hAnsi="Abadi"/>
          <w:b w:val="0"/>
          <w:bCs w:val="0"/>
          <w:sz w:val="21"/>
          <w:szCs w:val="21"/>
        </w:rPr>
        <w:t>idea</w:t>
      </w:r>
      <w:r w:rsidRPr="007C2763">
        <w:rPr>
          <w:rFonts w:ascii="Abadi" w:hAnsi="Abadi"/>
          <w:b w:val="0"/>
          <w:bCs w:val="0"/>
          <w:spacing w:val="34"/>
          <w:sz w:val="21"/>
          <w:szCs w:val="21"/>
        </w:rPr>
        <w:t xml:space="preserve"> </w:t>
      </w:r>
      <w:r w:rsidRPr="007C2763">
        <w:rPr>
          <w:rFonts w:ascii="Abadi" w:hAnsi="Abadi"/>
          <w:b w:val="0"/>
          <w:bCs w:val="0"/>
          <w:sz w:val="21"/>
          <w:szCs w:val="21"/>
        </w:rPr>
        <w:t>en</w:t>
      </w:r>
      <w:r w:rsidRPr="007C2763">
        <w:rPr>
          <w:rFonts w:ascii="Abadi" w:hAnsi="Abadi"/>
          <w:b w:val="0"/>
          <w:bCs w:val="0"/>
          <w:spacing w:val="32"/>
          <w:sz w:val="21"/>
          <w:szCs w:val="21"/>
        </w:rPr>
        <w:t xml:space="preserve"> </w:t>
      </w:r>
      <w:r w:rsidRPr="007C2763">
        <w:rPr>
          <w:rFonts w:ascii="Abadi" w:hAnsi="Abadi"/>
          <w:b w:val="0"/>
          <w:bCs w:val="0"/>
          <w:sz w:val="21"/>
          <w:szCs w:val="21"/>
        </w:rPr>
        <w:t>cuestión;</w:t>
      </w:r>
      <w:r w:rsidRPr="007C2763">
        <w:rPr>
          <w:rFonts w:ascii="Abadi" w:hAnsi="Abadi"/>
          <w:b w:val="0"/>
          <w:bCs w:val="0"/>
          <w:spacing w:val="34"/>
          <w:sz w:val="21"/>
          <w:szCs w:val="21"/>
        </w:rPr>
        <w:t xml:space="preserve"> </w:t>
      </w:r>
      <w:r w:rsidRPr="007C2763">
        <w:rPr>
          <w:rFonts w:ascii="Abadi" w:hAnsi="Abadi"/>
          <w:b w:val="0"/>
          <w:bCs w:val="0"/>
          <w:sz w:val="21"/>
          <w:szCs w:val="21"/>
        </w:rPr>
        <w:t>“…Lo</w:t>
      </w:r>
      <w:r w:rsidRPr="007C2763">
        <w:rPr>
          <w:rFonts w:ascii="Abadi" w:hAnsi="Abadi"/>
          <w:b w:val="0"/>
          <w:bCs w:val="0"/>
          <w:spacing w:val="-2"/>
          <w:sz w:val="21"/>
          <w:szCs w:val="21"/>
        </w:rPr>
        <w:t xml:space="preserve"> </w:t>
      </w:r>
      <w:r w:rsidRPr="007C2763">
        <w:rPr>
          <w:rFonts w:ascii="Abadi" w:hAnsi="Abadi"/>
          <w:b w:val="0"/>
          <w:bCs w:val="0"/>
          <w:sz w:val="21"/>
          <w:szCs w:val="21"/>
        </w:rPr>
        <w:t>anterior</w:t>
      </w:r>
      <w:r w:rsidRPr="007C2763">
        <w:rPr>
          <w:rFonts w:ascii="Abadi" w:hAnsi="Abadi"/>
          <w:b w:val="0"/>
          <w:bCs w:val="0"/>
          <w:spacing w:val="21"/>
          <w:sz w:val="21"/>
          <w:szCs w:val="21"/>
        </w:rPr>
        <w:t xml:space="preserve"> </w:t>
      </w:r>
      <w:r w:rsidRPr="007C2763">
        <w:rPr>
          <w:rFonts w:ascii="Abadi" w:hAnsi="Abadi"/>
          <w:b w:val="0"/>
          <w:bCs w:val="0"/>
          <w:sz w:val="21"/>
          <w:szCs w:val="21"/>
        </w:rPr>
        <w:t>es</w:t>
      </w:r>
      <w:r w:rsidRPr="007C2763">
        <w:rPr>
          <w:rFonts w:ascii="Abadi" w:hAnsi="Abadi"/>
          <w:b w:val="0"/>
          <w:bCs w:val="0"/>
          <w:spacing w:val="22"/>
          <w:sz w:val="21"/>
          <w:szCs w:val="21"/>
        </w:rPr>
        <w:t xml:space="preserve"> </w:t>
      </w:r>
      <w:r w:rsidRPr="007C2763">
        <w:rPr>
          <w:rFonts w:ascii="Abadi" w:hAnsi="Abadi"/>
          <w:b w:val="0"/>
          <w:bCs w:val="0"/>
          <w:sz w:val="21"/>
          <w:szCs w:val="21"/>
        </w:rPr>
        <w:t>con</w:t>
      </w:r>
      <w:r w:rsidRPr="007C2763">
        <w:rPr>
          <w:rFonts w:ascii="Abadi" w:hAnsi="Abadi"/>
          <w:b w:val="0"/>
          <w:bCs w:val="0"/>
          <w:spacing w:val="23"/>
          <w:sz w:val="21"/>
          <w:szCs w:val="21"/>
        </w:rPr>
        <w:t xml:space="preserve"> </w:t>
      </w:r>
      <w:r w:rsidRPr="007C2763">
        <w:rPr>
          <w:rFonts w:ascii="Abadi" w:hAnsi="Abadi"/>
          <w:b w:val="0"/>
          <w:bCs w:val="0"/>
          <w:sz w:val="21"/>
          <w:szCs w:val="21"/>
        </w:rPr>
        <w:t>base</w:t>
      </w:r>
      <w:r w:rsidRPr="007C2763">
        <w:rPr>
          <w:rFonts w:ascii="Abadi" w:hAnsi="Abadi"/>
          <w:b w:val="0"/>
          <w:bCs w:val="0"/>
          <w:spacing w:val="20"/>
          <w:sz w:val="21"/>
          <w:szCs w:val="21"/>
        </w:rPr>
        <w:t xml:space="preserve"> </w:t>
      </w:r>
      <w:r w:rsidRPr="007C2763">
        <w:rPr>
          <w:rFonts w:ascii="Abadi" w:hAnsi="Abadi"/>
          <w:b w:val="0"/>
          <w:bCs w:val="0"/>
          <w:sz w:val="21"/>
          <w:szCs w:val="21"/>
        </w:rPr>
        <w:t>en</w:t>
      </w:r>
      <w:r w:rsidRPr="007C2763">
        <w:rPr>
          <w:rFonts w:ascii="Abadi" w:hAnsi="Abadi"/>
          <w:b w:val="0"/>
          <w:bCs w:val="0"/>
          <w:spacing w:val="23"/>
          <w:sz w:val="21"/>
          <w:szCs w:val="21"/>
        </w:rPr>
        <w:t xml:space="preserve"> </w:t>
      </w:r>
      <w:r w:rsidRPr="007C2763">
        <w:rPr>
          <w:rFonts w:ascii="Abadi" w:hAnsi="Abadi"/>
          <w:b w:val="0"/>
          <w:bCs w:val="0"/>
          <w:sz w:val="21"/>
          <w:szCs w:val="21"/>
        </w:rPr>
        <w:t>la</w:t>
      </w:r>
      <w:r w:rsidRPr="007C2763">
        <w:rPr>
          <w:rFonts w:ascii="Abadi" w:hAnsi="Abadi"/>
          <w:b w:val="0"/>
          <w:bCs w:val="0"/>
          <w:spacing w:val="23"/>
          <w:sz w:val="21"/>
          <w:szCs w:val="21"/>
        </w:rPr>
        <w:t xml:space="preserve"> </w:t>
      </w:r>
      <w:r w:rsidRPr="007C2763">
        <w:rPr>
          <w:rFonts w:ascii="Abadi" w:hAnsi="Abadi"/>
          <w:b w:val="0"/>
          <w:bCs w:val="0"/>
          <w:sz w:val="21"/>
          <w:szCs w:val="21"/>
        </w:rPr>
        <w:t>consulta</w:t>
      </w:r>
      <w:r w:rsidRPr="007C2763">
        <w:rPr>
          <w:rFonts w:ascii="Abadi" w:hAnsi="Abadi"/>
          <w:b w:val="0"/>
          <w:bCs w:val="0"/>
          <w:spacing w:val="23"/>
          <w:sz w:val="21"/>
          <w:szCs w:val="21"/>
        </w:rPr>
        <w:t xml:space="preserve"> </w:t>
      </w:r>
      <w:r w:rsidRPr="007C2763">
        <w:rPr>
          <w:rFonts w:ascii="Abadi" w:hAnsi="Abadi"/>
          <w:b w:val="0"/>
          <w:bCs w:val="0"/>
          <w:sz w:val="21"/>
          <w:szCs w:val="21"/>
        </w:rPr>
        <w:t>que</w:t>
      </w:r>
      <w:r w:rsidRPr="007C2763">
        <w:rPr>
          <w:rFonts w:ascii="Abadi" w:hAnsi="Abadi"/>
          <w:b w:val="0"/>
          <w:bCs w:val="0"/>
          <w:spacing w:val="23"/>
          <w:sz w:val="21"/>
          <w:szCs w:val="21"/>
        </w:rPr>
        <w:t xml:space="preserve"> </w:t>
      </w:r>
      <w:r w:rsidRPr="007C2763">
        <w:rPr>
          <w:rFonts w:ascii="Abadi" w:hAnsi="Abadi"/>
          <w:b w:val="0"/>
          <w:bCs w:val="0"/>
          <w:sz w:val="21"/>
          <w:szCs w:val="21"/>
        </w:rPr>
        <w:t>se</w:t>
      </w:r>
      <w:r w:rsidRPr="007C2763">
        <w:rPr>
          <w:rFonts w:ascii="Abadi" w:hAnsi="Abadi"/>
          <w:b w:val="0"/>
          <w:bCs w:val="0"/>
          <w:spacing w:val="20"/>
          <w:sz w:val="21"/>
          <w:szCs w:val="21"/>
        </w:rPr>
        <w:t xml:space="preserve"> </w:t>
      </w:r>
      <w:r w:rsidRPr="007C2763">
        <w:rPr>
          <w:rFonts w:ascii="Abadi" w:hAnsi="Abadi"/>
          <w:b w:val="0"/>
          <w:bCs w:val="0"/>
          <w:sz w:val="21"/>
          <w:szCs w:val="21"/>
        </w:rPr>
        <w:t>solicita</w:t>
      </w:r>
      <w:r w:rsidRPr="007C2763">
        <w:rPr>
          <w:rFonts w:ascii="Abadi" w:hAnsi="Abadi"/>
          <w:b w:val="0"/>
          <w:bCs w:val="0"/>
          <w:spacing w:val="23"/>
          <w:sz w:val="21"/>
          <w:szCs w:val="21"/>
        </w:rPr>
        <w:t xml:space="preserve"> </w:t>
      </w:r>
      <w:r w:rsidRPr="007C2763">
        <w:rPr>
          <w:rFonts w:ascii="Abadi" w:hAnsi="Abadi"/>
          <w:b w:val="0"/>
          <w:bCs w:val="0"/>
          <w:sz w:val="21"/>
          <w:szCs w:val="21"/>
        </w:rPr>
        <w:t>a</w:t>
      </w:r>
      <w:r w:rsidRPr="007C2763">
        <w:rPr>
          <w:rFonts w:ascii="Abadi" w:hAnsi="Abadi"/>
          <w:b w:val="0"/>
          <w:bCs w:val="0"/>
          <w:spacing w:val="23"/>
          <w:sz w:val="21"/>
          <w:szCs w:val="21"/>
        </w:rPr>
        <w:t xml:space="preserve"> </w:t>
      </w:r>
      <w:r w:rsidRPr="007C2763">
        <w:rPr>
          <w:rFonts w:ascii="Abadi" w:hAnsi="Abadi"/>
          <w:b w:val="0"/>
          <w:bCs w:val="0"/>
          <w:sz w:val="21"/>
          <w:szCs w:val="21"/>
        </w:rPr>
        <w:t>la</w:t>
      </w:r>
      <w:r w:rsidRPr="007C2763">
        <w:rPr>
          <w:rFonts w:ascii="Abadi" w:hAnsi="Abadi"/>
          <w:b w:val="0"/>
          <w:bCs w:val="0"/>
          <w:spacing w:val="23"/>
          <w:sz w:val="21"/>
          <w:szCs w:val="21"/>
        </w:rPr>
        <w:t xml:space="preserve"> </w:t>
      </w:r>
      <w:r w:rsidRPr="007C2763">
        <w:rPr>
          <w:rFonts w:ascii="Abadi" w:hAnsi="Abadi"/>
          <w:b w:val="0"/>
          <w:bCs w:val="0"/>
          <w:sz w:val="21"/>
          <w:szCs w:val="21"/>
        </w:rPr>
        <w:t>Asociación</w:t>
      </w:r>
      <w:r w:rsidRPr="007C2763">
        <w:rPr>
          <w:rFonts w:ascii="Abadi" w:hAnsi="Abadi"/>
          <w:b w:val="0"/>
          <w:bCs w:val="0"/>
          <w:spacing w:val="23"/>
          <w:sz w:val="21"/>
          <w:szCs w:val="21"/>
        </w:rPr>
        <w:t xml:space="preserve"> </w:t>
      </w:r>
      <w:r w:rsidRPr="007C2763">
        <w:rPr>
          <w:rFonts w:ascii="Abadi" w:hAnsi="Abadi"/>
          <w:b w:val="0"/>
          <w:bCs w:val="0"/>
          <w:sz w:val="21"/>
          <w:szCs w:val="21"/>
        </w:rPr>
        <w:t>y</w:t>
      </w:r>
      <w:r w:rsidRPr="007C2763">
        <w:rPr>
          <w:rFonts w:ascii="Abadi" w:hAnsi="Abadi"/>
          <w:b w:val="0"/>
          <w:bCs w:val="0"/>
          <w:spacing w:val="22"/>
          <w:sz w:val="21"/>
          <w:szCs w:val="21"/>
        </w:rPr>
        <w:t xml:space="preserve"> </w:t>
      </w:r>
      <w:r w:rsidRPr="007C2763">
        <w:rPr>
          <w:rFonts w:ascii="Abadi" w:hAnsi="Abadi"/>
          <w:b w:val="0"/>
          <w:bCs w:val="0"/>
          <w:sz w:val="21"/>
          <w:szCs w:val="21"/>
        </w:rPr>
        <w:t>conforme</w:t>
      </w:r>
      <w:r w:rsidRPr="007C2763">
        <w:rPr>
          <w:rFonts w:ascii="Abadi" w:hAnsi="Abadi"/>
          <w:b w:val="0"/>
          <w:bCs w:val="0"/>
          <w:spacing w:val="23"/>
          <w:sz w:val="21"/>
          <w:szCs w:val="21"/>
        </w:rPr>
        <w:t xml:space="preserve"> </w:t>
      </w:r>
      <w:r w:rsidRPr="007C2763">
        <w:rPr>
          <w:rFonts w:ascii="Abadi" w:hAnsi="Abadi"/>
          <w:b w:val="0"/>
          <w:bCs w:val="0"/>
          <w:sz w:val="21"/>
          <w:szCs w:val="21"/>
        </w:rPr>
        <w:t>al apoyo</w:t>
      </w:r>
      <w:r w:rsidRPr="007C2763">
        <w:rPr>
          <w:rFonts w:ascii="Abadi" w:hAnsi="Abadi"/>
          <w:b w:val="0"/>
          <w:bCs w:val="0"/>
          <w:spacing w:val="8"/>
          <w:sz w:val="21"/>
          <w:szCs w:val="21"/>
        </w:rPr>
        <w:t xml:space="preserve"> </w:t>
      </w:r>
      <w:r w:rsidRPr="007C2763">
        <w:rPr>
          <w:rFonts w:ascii="Abadi" w:hAnsi="Abadi"/>
          <w:b w:val="0"/>
          <w:bCs w:val="0"/>
          <w:sz w:val="21"/>
          <w:szCs w:val="21"/>
        </w:rPr>
        <w:t>otorgado</w:t>
      </w:r>
      <w:r w:rsidRPr="007C2763">
        <w:rPr>
          <w:rFonts w:ascii="Abadi" w:hAnsi="Abadi"/>
          <w:b w:val="0"/>
          <w:bCs w:val="0"/>
          <w:spacing w:val="6"/>
          <w:sz w:val="21"/>
          <w:szCs w:val="21"/>
        </w:rPr>
        <w:t xml:space="preserve"> </w:t>
      </w:r>
      <w:r w:rsidRPr="007C2763">
        <w:rPr>
          <w:rFonts w:ascii="Abadi" w:hAnsi="Abadi"/>
          <w:b w:val="0"/>
          <w:bCs w:val="0"/>
          <w:sz w:val="21"/>
          <w:szCs w:val="21"/>
        </w:rPr>
        <w:t>por</w:t>
      </w:r>
      <w:r w:rsidRPr="007C2763">
        <w:rPr>
          <w:rFonts w:ascii="Abadi" w:hAnsi="Abadi"/>
          <w:b w:val="0"/>
          <w:bCs w:val="0"/>
          <w:spacing w:val="6"/>
          <w:sz w:val="21"/>
          <w:szCs w:val="21"/>
        </w:rPr>
        <w:t xml:space="preserve"> </w:t>
      </w:r>
      <w:r w:rsidRPr="007C2763">
        <w:rPr>
          <w:rFonts w:ascii="Abadi" w:hAnsi="Abadi"/>
          <w:b w:val="0"/>
          <w:bCs w:val="0"/>
          <w:sz w:val="21"/>
          <w:szCs w:val="21"/>
        </w:rPr>
        <w:t>unanimidad</w:t>
      </w:r>
      <w:r w:rsidRPr="007C2763">
        <w:rPr>
          <w:rFonts w:ascii="Abadi" w:hAnsi="Abadi"/>
          <w:b w:val="0"/>
          <w:bCs w:val="0"/>
          <w:spacing w:val="8"/>
          <w:sz w:val="21"/>
          <w:szCs w:val="21"/>
        </w:rPr>
        <w:t xml:space="preserve"> </w:t>
      </w:r>
      <w:r w:rsidRPr="007C2763">
        <w:rPr>
          <w:rFonts w:ascii="Abadi" w:hAnsi="Abadi"/>
          <w:b w:val="0"/>
          <w:bCs w:val="0"/>
          <w:sz w:val="21"/>
          <w:szCs w:val="21"/>
        </w:rPr>
        <w:t>por</w:t>
      </w:r>
      <w:r w:rsidRPr="007C2763">
        <w:rPr>
          <w:rFonts w:ascii="Abadi" w:hAnsi="Abadi"/>
          <w:b w:val="0"/>
          <w:bCs w:val="0"/>
          <w:spacing w:val="6"/>
          <w:sz w:val="21"/>
          <w:szCs w:val="21"/>
        </w:rPr>
        <w:t xml:space="preserve"> </w:t>
      </w:r>
      <w:r w:rsidRPr="007C2763">
        <w:rPr>
          <w:rFonts w:ascii="Abadi" w:hAnsi="Abadi"/>
          <w:b w:val="0"/>
          <w:bCs w:val="0"/>
          <w:sz w:val="21"/>
          <w:szCs w:val="21"/>
        </w:rPr>
        <w:t>parte</w:t>
      </w:r>
      <w:r w:rsidRPr="007C2763">
        <w:rPr>
          <w:rFonts w:ascii="Abadi" w:hAnsi="Abadi"/>
          <w:b w:val="0"/>
          <w:bCs w:val="0"/>
          <w:spacing w:val="8"/>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r w:rsidRPr="007C2763">
        <w:rPr>
          <w:rFonts w:ascii="Abadi" w:hAnsi="Abadi"/>
          <w:b w:val="0"/>
          <w:bCs w:val="0"/>
          <w:sz w:val="21"/>
          <w:szCs w:val="21"/>
        </w:rPr>
        <w:t>los</w:t>
      </w:r>
      <w:r w:rsidRPr="007C2763">
        <w:rPr>
          <w:rFonts w:ascii="Abadi" w:hAnsi="Abadi"/>
          <w:b w:val="0"/>
          <w:bCs w:val="0"/>
          <w:spacing w:val="7"/>
          <w:sz w:val="21"/>
          <w:szCs w:val="21"/>
        </w:rPr>
        <w:t xml:space="preserve"> </w:t>
      </w:r>
      <w:r w:rsidRPr="007C2763">
        <w:rPr>
          <w:rFonts w:ascii="Abadi" w:hAnsi="Abadi"/>
          <w:b w:val="0"/>
          <w:bCs w:val="0"/>
          <w:sz w:val="21"/>
          <w:szCs w:val="21"/>
        </w:rPr>
        <w:t>miembros</w:t>
      </w:r>
      <w:r w:rsidRPr="007C2763">
        <w:rPr>
          <w:rFonts w:ascii="Abadi" w:hAnsi="Abadi"/>
          <w:b w:val="0"/>
          <w:bCs w:val="0"/>
          <w:spacing w:val="7"/>
          <w:sz w:val="21"/>
          <w:szCs w:val="21"/>
        </w:rPr>
        <w:t xml:space="preserve"> </w:t>
      </w:r>
      <w:r w:rsidRPr="007C2763">
        <w:rPr>
          <w:rFonts w:ascii="Abadi" w:hAnsi="Abadi"/>
          <w:b w:val="0"/>
          <w:bCs w:val="0"/>
          <w:sz w:val="21"/>
          <w:szCs w:val="21"/>
        </w:rPr>
        <w:t>respecto</w:t>
      </w:r>
      <w:r w:rsidRPr="007C2763">
        <w:rPr>
          <w:rFonts w:ascii="Abadi" w:hAnsi="Abadi"/>
          <w:b w:val="0"/>
          <w:bCs w:val="0"/>
          <w:spacing w:val="6"/>
          <w:sz w:val="21"/>
          <w:szCs w:val="21"/>
        </w:rPr>
        <w:t xml:space="preserve"> </w:t>
      </w:r>
      <w:r w:rsidRPr="007C2763">
        <w:rPr>
          <w:rFonts w:ascii="Abadi" w:hAnsi="Abadi"/>
          <w:b w:val="0"/>
          <w:bCs w:val="0"/>
          <w:sz w:val="21"/>
          <w:szCs w:val="21"/>
        </w:rPr>
        <w:t>a</w:t>
      </w:r>
      <w:r w:rsidRPr="007C2763">
        <w:rPr>
          <w:rFonts w:ascii="Abadi" w:hAnsi="Abadi"/>
          <w:b w:val="0"/>
          <w:bCs w:val="0"/>
          <w:spacing w:val="8"/>
          <w:sz w:val="21"/>
          <w:szCs w:val="21"/>
        </w:rPr>
        <w:t xml:space="preserve"> </w:t>
      </w:r>
      <w:r w:rsidRPr="007C2763">
        <w:rPr>
          <w:rFonts w:ascii="Abadi" w:hAnsi="Abadi"/>
          <w:b w:val="0"/>
          <w:bCs w:val="0"/>
          <w:sz w:val="21"/>
          <w:szCs w:val="21"/>
        </w:rPr>
        <w:t>la</w:t>
      </w:r>
      <w:r w:rsidRPr="007C2763">
        <w:rPr>
          <w:rFonts w:ascii="Abadi" w:hAnsi="Abadi"/>
          <w:b w:val="0"/>
          <w:bCs w:val="0"/>
          <w:spacing w:val="7"/>
          <w:sz w:val="21"/>
          <w:szCs w:val="21"/>
        </w:rPr>
        <w:t xml:space="preserve"> </w:t>
      </w:r>
      <w:r w:rsidRPr="007C2763">
        <w:rPr>
          <w:rFonts w:ascii="Abadi" w:hAnsi="Abadi"/>
          <w:b w:val="0"/>
          <w:bCs w:val="0"/>
          <w:sz w:val="21"/>
          <w:szCs w:val="21"/>
        </w:rPr>
        <w:t>iniciativa. Se</w:t>
      </w:r>
      <w:r w:rsidRPr="007C2763">
        <w:rPr>
          <w:rFonts w:ascii="Abadi" w:hAnsi="Abadi"/>
          <w:b w:val="0"/>
          <w:bCs w:val="0"/>
          <w:spacing w:val="18"/>
          <w:sz w:val="21"/>
          <w:szCs w:val="21"/>
        </w:rPr>
        <w:t xml:space="preserve"> </w:t>
      </w:r>
      <w:r w:rsidRPr="007C2763">
        <w:rPr>
          <w:rFonts w:ascii="Abadi" w:hAnsi="Abadi"/>
          <w:b w:val="0"/>
          <w:bCs w:val="0"/>
          <w:sz w:val="21"/>
          <w:szCs w:val="21"/>
        </w:rPr>
        <w:t>considera</w:t>
      </w:r>
      <w:r w:rsidRPr="007C2763">
        <w:rPr>
          <w:rFonts w:ascii="Abadi" w:hAnsi="Abadi"/>
          <w:b w:val="0"/>
          <w:bCs w:val="0"/>
          <w:spacing w:val="18"/>
          <w:sz w:val="21"/>
          <w:szCs w:val="21"/>
        </w:rPr>
        <w:t xml:space="preserve"> </w:t>
      </w:r>
      <w:r w:rsidRPr="007C2763">
        <w:rPr>
          <w:rFonts w:ascii="Abadi" w:hAnsi="Abadi"/>
          <w:b w:val="0"/>
          <w:bCs w:val="0"/>
          <w:sz w:val="21"/>
          <w:szCs w:val="21"/>
        </w:rPr>
        <w:t>que</w:t>
      </w:r>
      <w:r w:rsidRPr="007C2763">
        <w:rPr>
          <w:rFonts w:ascii="Abadi" w:hAnsi="Abadi"/>
          <w:b w:val="0"/>
          <w:bCs w:val="0"/>
          <w:spacing w:val="18"/>
          <w:sz w:val="21"/>
          <w:szCs w:val="21"/>
        </w:rPr>
        <w:t xml:space="preserve"> </w:t>
      </w:r>
      <w:r w:rsidRPr="007C2763">
        <w:rPr>
          <w:rFonts w:ascii="Abadi" w:hAnsi="Abadi"/>
          <w:b w:val="0"/>
          <w:bCs w:val="0"/>
          <w:sz w:val="21"/>
          <w:szCs w:val="21"/>
        </w:rPr>
        <w:t>la</w:t>
      </w:r>
      <w:r w:rsidRPr="007C2763">
        <w:rPr>
          <w:rFonts w:ascii="Abadi" w:hAnsi="Abadi"/>
          <w:b w:val="0"/>
          <w:bCs w:val="0"/>
          <w:spacing w:val="18"/>
          <w:sz w:val="21"/>
          <w:szCs w:val="21"/>
        </w:rPr>
        <w:t xml:space="preserve"> </w:t>
      </w:r>
      <w:r w:rsidRPr="007C2763">
        <w:rPr>
          <w:rFonts w:ascii="Abadi" w:hAnsi="Abadi"/>
          <w:b w:val="0"/>
          <w:bCs w:val="0"/>
          <w:sz w:val="21"/>
          <w:szCs w:val="21"/>
        </w:rPr>
        <w:t>propuesta</w:t>
      </w:r>
      <w:r w:rsidRPr="007C2763">
        <w:rPr>
          <w:rFonts w:ascii="Abadi" w:hAnsi="Abadi"/>
          <w:b w:val="0"/>
          <w:bCs w:val="0"/>
          <w:spacing w:val="18"/>
          <w:sz w:val="21"/>
          <w:szCs w:val="21"/>
        </w:rPr>
        <w:t xml:space="preserve"> </w:t>
      </w:r>
      <w:r w:rsidRPr="007C2763">
        <w:rPr>
          <w:rFonts w:ascii="Abadi" w:hAnsi="Abadi"/>
          <w:b w:val="0"/>
          <w:bCs w:val="0"/>
          <w:sz w:val="21"/>
          <w:szCs w:val="21"/>
        </w:rPr>
        <w:t>es</w:t>
      </w:r>
      <w:r w:rsidRPr="007C2763">
        <w:rPr>
          <w:rFonts w:ascii="Abadi" w:hAnsi="Abadi"/>
          <w:b w:val="0"/>
          <w:bCs w:val="0"/>
          <w:spacing w:val="17"/>
          <w:sz w:val="21"/>
          <w:szCs w:val="21"/>
        </w:rPr>
        <w:t xml:space="preserve"> </w:t>
      </w:r>
      <w:r w:rsidRPr="007C2763">
        <w:rPr>
          <w:rFonts w:ascii="Abadi" w:hAnsi="Abadi"/>
          <w:b w:val="0"/>
          <w:bCs w:val="0"/>
          <w:sz w:val="21"/>
          <w:szCs w:val="21"/>
        </w:rPr>
        <w:t>una</w:t>
      </w:r>
      <w:r w:rsidRPr="007C2763">
        <w:rPr>
          <w:rFonts w:ascii="Abadi" w:hAnsi="Abadi"/>
          <w:b w:val="0"/>
          <w:bCs w:val="0"/>
          <w:spacing w:val="18"/>
          <w:sz w:val="21"/>
          <w:szCs w:val="21"/>
        </w:rPr>
        <w:t xml:space="preserve"> </w:t>
      </w:r>
      <w:r w:rsidRPr="007C2763">
        <w:rPr>
          <w:rFonts w:ascii="Abadi" w:hAnsi="Abadi"/>
          <w:b w:val="0"/>
          <w:bCs w:val="0"/>
          <w:sz w:val="21"/>
          <w:szCs w:val="21"/>
        </w:rPr>
        <w:t>legítima</w:t>
      </w:r>
      <w:r w:rsidRPr="007C2763">
        <w:rPr>
          <w:rFonts w:ascii="Abadi" w:hAnsi="Abadi"/>
          <w:b w:val="0"/>
          <w:bCs w:val="0"/>
          <w:spacing w:val="18"/>
          <w:sz w:val="21"/>
          <w:szCs w:val="21"/>
        </w:rPr>
        <w:t xml:space="preserve"> </w:t>
      </w:r>
      <w:r w:rsidRPr="007C2763">
        <w:rPr>
          <w:rFonts w:ascii="Abadi" w:hAnsi="Abadi"/>
          <w:b w:val="0"/>
          <w:bCs w:val="0"/>
          <w:sz w:val="21"/>
          <w:szCs w:val="21"/>
        </w:rPr>
        <w:t>pretensión</w:t>
      </w:r>
      <w:r w:rsidRPr="007C2763">
        <w:rPr>
          <w:rFonts w:ascii="Abadi" w:hAnsi="Abadi"/>
          <w:b w:val="0"/>
          <w:bCs w:val="0"/>
          <w:spacing w:val="18"/>
          <w:sz w:val="21"/>
          <w:szCs w:val="21"/>
        </w:rPr>
        <w:t xml:space="preserve"> </w:t>
      </w:r>
      <w:r w:rsidRPr="007C2763">
        <w:rPr>
          <w:rFonts w:ascii="Abadi" w:hAnsi="Abadi"/>
          <w:b w:val="0"/>
          <w:bCs w:val="0"/>
          <w:sz w:val="21"/>
          <w:szCs w:val="21"/>
        </w:rPr>
        <w:t>con</w:t>
      </w:r>
      <w:r w:rsidRPr="007C2763">
        <w:rPr>
          <w:rFonts w:ascii="Abadi" w:hAnsi="Abadi"/>
          <w:b w:val="0"/>
          <w:bCs w:val="0"/>
          <w:spacing w:val="18"/>
          <w:sz w:val="21"/>
          <w:szCs w:val="21"/>
        </w:rPr>
        <w:t xml:space="preserve"> </w:t>
      </w:r>
      <w:r w:rsidRPr="007C2763">
        <w:rPr>
          <w:rFonts w:ascii="Abadi" w:hAnsi="Abadi"/>
          <w:b w:val="0"/>
          <w:bCs w:val="0"/>
          <w:sz w:val="21"/>
          <w:szCs w:val="21"/>
        </w:rPr>
        <w:t>base</w:t>
      </w:r>
      <w:r w:rsidRPr="007C2763">
        <w:rPr>
          <w:rFonts w:ascii="Abadi" w:hAnsi="Abadi"/>
          <w:b w:val="0"/>
          <w:bCs w:val="0"/>
          <w:spacing w:val="18"/>
          <w:sz w:val="21"/>
          <w:szCs w:val="21"/>
        </w:rPr>
        <w:t xml:space="preserve"> </w:t>
      </w:r>
      <w:r w:rsidRPr="007C2763">
        <w:rPr>
          <w:rFonts w:ascii="Abadi" w:hAnsi="Abadi"/>
          <w:b w:val="0"/>
          <w:bCs w:val="0"/>
          <w:sz w:val="21"/>
          <w:szCs w:val="21"/>
        </w:rPr>
        <w:t>en</w:t>
      </w:r>
      <w:r w:rsidRPr="007C2763">
        <w:rPr>
          <w:rFonts w:ascii="Abadi" w:hAnsi="Abadi"/>
          <w:b w:val="0"/>
          <w:bCs w:val="0"/>
          <w:spacing w:val="18"/>
          <w:sz w:val="21"/>
          <w:szCs w:val="21"/>
        </w:rPr>
        <w:t xml:space="preserve"> </w:t>
      </w:r>
      <w:r w:rsidRPr="007C2763">
        <w:rPr>
          <w:rFonts w:ascii="Abadi" w:hAnsi="Abadi"/>
          <w:b w:val="0"/>
          <w:bCs w:val="0"/>
          <w:sz w:val="21"/>
          <w:szCs w:val="21"/>
        </w:rPr>
        <w:t>la</w:t>
      </w:r>
      <w:r w:rsidRPr="007C2763">
        <w:rPr>
          <w:rFonts w:ascii="Abadi" w:hAnsi="Abadi"/>
          <w:b w:val="0"/>
          <w:bCs w:val="0"/>
          <w:spacing w:val="18"/>
          <w:sz w:val="21"/>
          <w:szCs w:val="21"/>
        </w:rPr>
        <w:t xml:space="preserve"> </w:t>
      </w:r>
      <w:r w:rsidRPr="007C2763">
        <w:rPr>
          <w:rFonts w:ascii="Abadi" w:hAnsi="Abadi"/>
          <w:b w:val="0"/>
          <w:bCs w:val="0"/>
          <w:sz w:val="21"/>
          <w:szCs w:val="21"/>
        </w:rPr>
        <w:t>historia</w:t>
      </w:r>
      <w:r w:rsidRPr="007C2763">
        <w:rPr>
          <w:rFonts w:ascii="Abadi" w:hAnsi="Abadi"/>
          <w:b w:val="0"/>
          <w:bCs w:val="0"/>
          <w:spacing w:val="-3"/>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la</w:t>
      </w:r>
      <w:r w:rsidRPr="007C2763">
        <w:rPr>
          <w:rFonts w:ascii="Abadi" w:hAnsi="Abadi"/>
          <w:b w:val="0"/>
          <w:bCs w:val="0"/>
          <w:spacing w:val="-1"/>
          <w:sz w:val="21"/>
          <w:szCs w:val="21"/>
        </w:rPr>
        <w:t xml:space="preserve"> </w:t>
      </w:r>
      <w:r w:rsidRPr="007C2763">
        <w:rPr>
          <w:rFonts w:ascii="Abadi" w:hAnsi="Abadi"/>
          <w:b w:val="0"/>
          <w:bCs w:val="0"/>
          <w:sz w:val="21"/>
          <w:szCs w:val="21"/>
        </w:rPr>
        <w:t>municipalidad,</w:t>
      </w:r>
      <w:r w:rsidRPr="007C2763">
        <w:rPr>
          <w:rFonts w:ascii="Abadi" w:hAnsi="Abadi"/>
          <w:b w:val="0"/>
          <w:bCs w:val="0"/>
          <w:spacing w:val="1"/>
          <w:sz w:val="21"/>
          <w:szCs w:val="21"/>
        </w:rPr>
        <w:t xml:space="preserve"> </w:t>
      </w:r>
      <w:r w:rsidRPr="007C2763">
        <w:rPr>
          <w:rFonts w:ascii="Abadi" w:hAnsi="Abadi"/>
          <w:b w:val="0"/>
          <w:bCs w:val="0"/>
          <w:sz w:val="21"/>
          <w:szCs w:val="21"/>
        </w:rPr>
        <w:t>y</w:t>
      </w:r>
      <w:r w:rsidRPr="007C2763">
        <w:rPr>
          <w:rFonts w:ascii="Abadi" w:hAnsi="Abadi"/>
          <w:b w:val="0"/>
          <w:bCs w:val="0"/>
          <w:spacing w:val="-2"/>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no</w:t>
      </w:r>
      <w:r w:rsidRPr="007C2763">
        <w:rPr>
          <w:rFonts w:ascii="Abadi" w:hAnsi="Abadi"/>
          <w:b w:val="0"/>
          <w:bCs w:val="0"/>
          <w:spacing w:val="1"/>
          <w:sz w:val="21"/>
          <w:szCs w:val="21"/>
        </w:rPr>
        <w:t xml:space="preserve"> </w:t>
      </w:r>
      <w:r w:rsidRPr="007C2763">
        <w:rPr>
          <w:rFonts w:ascii="Abadi" w:hAnsi="Abadi"/>
          <w:b w:val="0"/>
          <w:bCs w:val="0"/>
          <w:sz w:val="21"/>
          <w:szCs w:val="21"/>
        </w:rPr>
        <w:t>hay un</w:t>
      </w:r>
      <w:r w:rsidRPr="007C2763">
        <w:rPr>
          <w:rFonts w:ascii="Abadi" w:hAnsi="Abadi"/>
          <w:b w:val="0"/>
          <w:bCs w:val="0"/>
          <w:spacing w:val="1"/>
          <w:sz w:val="21"/>
          <w:szCs w:val="21"/>
        </w:rPr>
        <w:t xml:space="preserve"> </w:t>
      </w:r>
      <w:r w:rsidRPr="007C2763">
        <w:rPr>
          <w:rFonts w:ascii="Abadi" w:hAnsi="Abadi"/>
          <w:b w:val="0"/>
          <w:bCs w:val="0"/>
          <w:sz w:val="21"/>
          <w:szCs w:val="21"/>
        </w:rPr>
        <w:t>impacto</w:t>
      </w:r>
      <w:r w:rsidRPr="007C2763">
        <w:rPr>
          <w:rFonts w:ascii="Abadi" w:hAnsi="Abadi"/>
          <w:b w:val="0"/>
          <w:bCs w:val="0"/>
          <w:spacing w:val="-1"/>
          <w:sz w:val="21"/>
          <w:szCs w:val="21"/>
        </w:rPr>
        <w:t xml:space="preserve"> </w:t>
      </w:r>
      <w:r w:rsidRPr="007C2763">
        <w:rPr>
          <w:rFonts w:ascii="Abadi" w:hAnsi="Abadi"/>
          <w:b w:val="0"/>
          <w:bCs w:val="0"/>
          <w:sz w:val="21"/>
          <w:szCs w:val="21"/>
        </w:rPr>
        <w:t>adverso</w:t>
      </w:r>
      <w:r w:rsidRPr="007C2763">
        <w:rPr>
          <w:rFonts w:ascii="Abadi" w:hAnsi="Abadi"/>
          <w:b w:val="0"/>
          <w:bCs w:val="0"/>
          <w:spacing w:val="-1"/>
          <w:sz w:val="21"/>
          <w:szCs w:val="21"/>
        </w:rPr>
        <w:t xml:space="preserve"> </w:t>
      </w:r>
      <w:r w:rsidRPr="007C2763">
        <w:rPr>
          <w:rFonts w:ascii="Abadi" w:hAnsi="Abadi"/>
          <w:b w:val="0"/>
          <w:bCs w:val="0"/>
          <w:sz w:val="21"/>
          <w:szCs w:val="21"/>
        </w:rPr>
        <w:t>en</w:t>
      </w:r>
      <w:r w:rsidRPr="007C2763">
        <w:rPr>
          <w:rFonts w:ascii="Abadi" w:hAnsi="Abadi"/>
          <w:b w:val="0"/>
          <w:bCs w:val="0"/>
          <w:spacing w:val="1"/>
          <w:sz w:val="21"/>
          <w:szCs w:val="21"/>
        </w:rPr>
        <w:t xml:space="preserve"> </w:t>
      </w:r>
      <w:r w:rsidRPr="007C2763">
        <w:rPr>
          <w:rFonts w:ascii="Abadi" w:hAnsi="Abadi"/>
          <w:b w:val="0"/>
          <w:bCs w:val="0"/>
          <w:sz w:val="21"/>
          <w:szCs w:val="21"/>
        </w:rPr>
        <w:t>lo</w:t>
      </w:r>
      <w:r w:rsidRPr="007C2763">
        <w:rPr>
          <w:rFonts w:ascii="Abadi" w:hAnsi="Abadi"/>
          <w:b w:val="0"/>
          <w:bCs w:val="0"/>
          <w:spacing w:val="1"/>
          <w:sz w:val="21"/>
          <w:szCs w:val="21"/>
        </w:rPr>
        <w:t xml:space="preserve"> </w:t>
      </w:r>
      <w:r w:rsidRPr="007C2763">
        <w:rPr>
          <w:rFonts w:ascii="Abadi" w:hAnsi="Abadi"/>
          <w:b w:val="0"/>
          <w:bCs w:val="0"/>
          <w:sz w:val="21"/>
          <w:szCs w:val="21"/>
        </w:rPr>
        <w:t>jurídico,</w:t>
      </w:r>
      <w:r w:rsidRPr="007C2763">
        <w:rPr>
          <w:rFonts w:ascii="Abadi" w:hAnsi="Abadi"/>
          <w:b w:val="0"/>
          <w:bCs w:val="0"/>
          <w:spacing w:val="-2"/>
          <w:sz w:val="21"/>
          <w:szCs w:val="21"/>
        </w:rPr>
        <w:t xml:space="preserve"> </w:t>
      </w:r>
      <w:r w:rsidRPr="007C2763">
        <w:rPr>
          <w:rFonts w:ascii="Abadi" w:hAnsi="Abadi"/>
          <w:b w:val="0"/>
          <w:bCs w:val="0"/>
          <w:sz w:val="21"/>
          <w:szCs w:val="21"/>
        </w:rPr>
        <w:t>administrativo, presupuestario</w:t>
      </w:r>
      <w:r w:rsidRPr="007C2763">
        <w:rPr>
          <w:rFonts w:ascii="Abadi" w:hAnsi="Abadi"/>
          <w:b w:val="0"/>
          <w:bCs w:val="0"/>
          <w:spacing w:val="51"/>
          <w:sz w:val="21"/>
          <w:szCs w:val="21"/>
        </w:rPr>
        <w:t xml:space="preserve"> </w:t>
      </w:r>
      <w:r w:rsidRPr="007C2763">
        <w:rPr>
          <w:rFonts w:ascii="Abadi" w:hAnsi="Abadi"/>
          <w:b w:val="0"/>
          <w:bCs w:val="0"/>
          <w:sz w:val="21"/>
          <w:szCs w:val="21"/>
        </w:rPr>
        <w:t>ni</w:t>
      </w:r>
      <w:r w:rsidRPr="007C2763">
        <w:rPr>
          <w:rFonts w:ascii="Abadi" w:hAnsi="Abadi"/>
          <w:b w:val="0"/>
          <w:bCs w:val="0"/>
          <w:spacing w:val="48"/>
          <w:sz w:val="21"/>
          <w:szCs w:val="21"/>
        </w:rPr>
        <w:t xml:space="preserve"> </w:t>
      </w:r>
      <w:r w:rsidRPr="007C2763">
        <w:rPr>
          <w:rFonts w:ascii="Abadi" w:hAnsi="Abadi"/>
          <w:b w:val="0"/>
          <w:bCs w:val="0"/>
          <w:sz w:val="21"/>
          <w:szCs w:val="21"/>
        </w:rPr>
        <w:t>social,</w:t>
      </w:r>
      <w:r w:rsidRPr="007C2763">
        <w:rPr>
          <w:rFonts w:ascii="Abadi" w:hAnsi="Abadi"/>
          <w:b w:val="0"/>
          <w:bCs w:val="0"/>
          <w:spacing w:val="49"/>
          <w:sz w:val="21"/>
          <w:szCs w:val="21"/>
        </w:rPr>
        <w:t xml:space="preserve"> </w:t>
      </w:r>
      <w:r w:rsidRPr="007C2763">
        <w:rPr>
          <w:rFonts w:ascii="Abadi" w:hAnsi="Abadi"/>
          <w:b w:val="0"/>
          <w:bCs w:val="0"/>
          <w:sz w:val="21"/>
          <w:szCs w:val="21"/>
        </w:rPr>
        <w:t>buscando</w:t>
      </w:r>
      <w:r w:rsidRPr="007C2763">
        <w:rPr>
          <w:rFonts w:ascii="Abadi" w:hAnsi="Abadi"/>
          <w:b w:val="0"/>
          <w:bCs w:val="0"/>
          <w:spacing w:val="50"/>
          <w:sz w:val="21"/>
          <w:szCs w:val="21"/>
        </w:rPr>
        <w:t xml:space="preserve"> </w:t>
      </w:r>
      <w:r w:rsidRPr="007C2763">
        <w:rPr>
          <w:rFonts w:ascii="Abadi" w:hAnsi="Abadi"/>
          <w:b w:val="0"/>
          <w:bCs w:val="0"/>
          <w:sz w:val="21"/>
          <w:szCs w:val="21"/>
        </w:rPr>
        <w:t>fortalecer</w:t>
      </w:r>
      <w:r w:rsidRPr="007C2763">
        <w:rPr>
          <w:rFonts w:ascii="Abadi" w:hAnsi="Abadi"/>
          <w:b w:val="0"/>
          <w:bCs w:val="0"/>
          <w:spacing w:val="48"/>
          <w:sz w:val="21"/>
          <w:szCs w:val="21"/>
        </w:rPr>
        <w:t xml:space="preserve"> </w:t>
      </w:r>
      <w:r w:rsidRPr="007C2763">
        <w:rPr>
          <w:rFonts w:ascii="Abadi" w:hAnsi="Abadi"/>
          <w:b w:val="0"/>
          <w:bCs w:val="0"/>
          <w:sz w:val="21"/>
          <w:szCs w:val="21"/>
        </w:rPr>
        <w:t>un</w:t>
      </w:r>
      <w:r w:rsidRPr="007C2763">
        <w:rPr>
          <w:rFonts w:ascii="Abadi" w:hAnsi="Abadi"/>
          <w:b w:val="0"/>
          <w:bCs w:val="0"/>
          <w:spacing w:val="50"/>
          <w:sz w:val="21"/>
          <w:szCs w:val="21"/>
        </w:rPr>
        <w:t xml:space="preserve"> </w:t>
      </w:r>
      <w:r w:rsidRPr="007C2763">
        <w:rPr>
          <w:rFonts w:ascii="Abadi" w:hAnsi="Abadi"/>
          <w:b w:val="0"/>
          <w:bCs w:val="0"/>
          <w:sz w:val="21"/>
          <w:szCs w:val="21"/>
        </w:rPr>
        <w:t>sentido</w:t>
      </w:r>
      <w:r w:rsidRPr="007C2763">
        <w:rPr>
          <w:rFonts w:ascii="Abadi" w:hAnsi="Abadi"/>
          <w:b w:val="0"/>
          <w:bCs w:val="0"/>
          <w:spacing w:val="50"/>
          <w:sz w:val="21"/>
          <w:szCs w:val="21"/>
        </w:rPr>
        <w:t xml:space="preserve"> </w:t>
      </w:r>
      <w:r w:rsidRPr="007C2763">
        <w:rPr>
          <w:rFonts w:ascii="Abadi" w:hAnsi="Abadi"/>
          <w:b w:val="0"/>
          <w:bCs w:val="0"/>
          <w:sz w:val="21"/>
          <w:szCs w:val="21"/>
        </w:rPr>
        <w:t>de</w:t>
      </w:r>
      <w:r w:rsidRPr="007C2763">
        <w:rPr>
          <w:rFonts w:ascii="Abadi" w:hAnsi="Abadi"/>
          <w:b w:val="0"/>
          <w:bCs w:val="0"/>
          <w:spacing w:val="47"/>
          <w:sz w:val="21"/>
          <w:szCs w:val="21"/>
        </w:rPr>
        <w:t xml:space="preserve"> </w:t>
      </w:r>
      <w:r w:rsidRPr="007C2763">
        <w:rPr>
          <w:rFonts w:ascii="Abadi" w:hAnsi="Abadi"/>
          <w:b w:val="0"/>
          <w:bCs w:val="0"/>
          <w:sz w:val="21"/>
          <w:szCs w:val="21"/>
        </w:rPr>
        <w:t>pertenencia</w:t>
      </w:r>
      <w:r w:rsidRPr="007C2763">
        <w:rPr>
          <w:rFonts w:ascii="Abadi" w:hAnsi="Abadi"/>
          <w:b w:val="0"/>
          <w:bCs w:val="0"/>
          <w:spacing w:val="50"/>
          <w:sz w:val="21"/>
          <w:szCs w:val="21"/>
        </w:rPr>
        <w:t xml:space="preserve"> </w:t>
      </w:r>
      <w:r w:rsidRPr="007C2763">
        <w:rPr>
          <w:rFonts w:ascii="Abadi" w:hAnsi="Abadi"/>
          <w:b w:val="0"/>
          <w:bCs w:val="0"/>
          <w:sz w:val="21"/>
          <w:szCs w:val="21"/>
        </w:rPr>
        <w:t>e identidad.</w:t>
      </w:r>
      <w:r w:rsidRPr="007C2763">
        <w:rPr>
          <w:rFonts w:ascii="Abadi" w:hAnsi="Abadi"/>
          <w:b w:val="0"/>
          <w:bCs w:val="0"/>
          <w:spacing w:val="42"/>
          <w:sz w:val="21"/>
          <w:szCs w:val="21"/>
        </w:rPr>
        <w:t xml:space="preserve"> </w:t>
      </w:r>
      <w:r w:rsidRPr="007C2763">
        <w:rPr>
          <w:rFonts w:ascii="Abadi" w:hAnsi="Abadi"/>
          <w:b w:val="0"/>
          <w:bCs w:val="0"/>
          <w:sz w:val="21"/>
          <w:szCs w:val="21"/>
        </w:rPr>
        <w:t>Por</w:t>
      </w:r>
      <w:r w:rsidRPr="007C2763">
        <w:rPr>
          <w:rFonts w:ascii="Abadi" w:hAnsi="Abadi"/>
          <w:b w:val="0"/>
          <w:bCs w:val="0"/>
          <w:spacing w:val="39"/>
          <w:sz w:val="21"/>
          <w:szCs w:val="21"/>
        </w:rPr>
        <w:t xml:space="preserve"> </w:t>
      </w:r>
      <w:r w:rsidRPr="007C2763">
        <w:rPr>
          <w:rFonts w:ascii="Abadi" w:hAnsi="Abadi"/>
          <w:b w:val="0"/>
          <w:bCs w:val="0"/>
          <w:sz w:val="21"/>
          <w:szCs w:val="21"/>
        </w:rPr>
        <w:t>ello</w:t>
      </w:r>
      <w:r w:rsidRPr="007C2763">
        <w:rPr>
          <w:rFonts w:ascii="Abadi" w:hAnsi="Abadi"/>
          <w:b w:val="0"/>
          <w:bCs w:val="0"/>
          <w:spacing w:val="44"/>
          <w:sz w:val="21"/>
          <w:szCs w:val="21"/>
        </w:rPr>
        <w:t xml:space="preserve"> </w:t>
      </w:r>
      <w:r w:rsidRPr="007C2763">
        <w:rPr>
          <w:rFonts w:ascii="Abadi" w:hAnsi="Abadi"/>
          <w:b w:val="0"/>
          <w:bCs w:val="0"/>
          <w:sz w:val="21"/>
          <w:szCs w:val="21"/>
        </w:rPr>
        <w:t>se</w:t>
      </w:r>
      <w:r w:rsidRPr="007C2763">
        <w:rPr>
          <w:rFonts w:ascii="Abadi" w:hAnsi="Abadi"/>
          <w:b w:val="0"/>
          <w:bCs w:val="0"/>
          <w:spacing w:val="42"/>
          <w:sz w:val="21"/>
          <w:szCs w:val="21"/>
        </w:rPr>
        <w:t xml:space="preserve"> </w:t>
      </w:r>
      <w:r w:rsidRPr="007C2763">
        <w:rPr>
          <w:rFonts w:ascii="Abadi" w:hAnsi="Abadi"/>
          <w:b w:val="0"/>
          <w:bCs w:val="0"/>
          <w:sz w:val="21"/>
          <w:szCs w:val="21"/>
        </w:rPr>
        <w:t>espera</w:t>
      </w:r>
      <w:r w:rsidRPr="007C2763">
        <w:rPr>
          <w:rFonts w:ascii="Abadi" w:hAnsi="Abadi"/>
          <w:b w:val="0"/>
          <w:bCs w:val="0"/>
          <w:spacing w:val="43"/>
          <w:sz w:val="21"/>
          <w:szCs w:val="21"/>
        </w:rPr>
        <w:t xml:space="preserve"> </w:t>
      </w:r>
      <w:r w:rsidRPr="007C2763">
        <w:rPr>
          <w:rFonts w:ascii="Abadi" w:hAnsi="Abadi"/>
          <w:b w:val="0"/>
          <w:bCs w:val="0"/>
          <w:sz w:val="21"/>
          <w:szCs w:val="21"/>
        </w:rPr>
        <w:t>se</w:t>
      </w:r>
      <w:r w:rsidRPr="007C2763">
        <w:rPr>
          <w:rFonts w:ascii="Abadi" w:hAnsi="Abadi"/>
          <w:b w:val="0"/>
          <w:bCs w:val="0"/>
          <w:spacing w:val="44"/>
          <w:sz w:val="21"/>
          <w:szCs w:val="21"/>
        </w:rPr>
        <w:t xml:space="preserve"> </w:t>
      </w:r>
      <w:r w:rsidRPr="007C2763">
        <w:rPr>
          <w:rFonts w:ascii="Abadi" w:hAnsi="Abadi"/>
          <w:b w:val="0"/>
          <w:bCs w:val="0"/>
          <w:sz w:val="21"/>
          <w:szCs w:val="21"/>
        </w:rPr>
        <w:t>encuentre</w:t>
      </w:r>
      <w:r w:rsidRPr="007C2763">
        <w:rPr>
          <w:rFonts w:ascii="Abadi" w:hAnsi="Abadi"/>
          <w:b w:val="0"/>
          <w:bCs w:val="0"/>
          <w:spacing w:val="42"/>
          <w:sz w:val="21"/>
          <w:szCs w:val="21"/>
        </w:rPr>
        <w:t xml:space="preserve"> </w:t>
      </w:r>
      <w:r w:rsidRPr="007C2763">
        <w:rPr>
          <w:rFonts w:ascii="Abadi" w:hAnsi="Abadi"/>
          <w:b w:val="0"/>
          <w:bCs w:val="0"/>
          <w:sz w:val="21"/>
          <w:szCs w:val="21"/>
        </w:rPr>
        <w:t>el</w:t>
      </w:r>
      <w:r w:rsidRPr="007C2763">
        <w:rPr>
          <w:rFonts w:ascii="Abadi" w:hAnsi="Abadi"/>
          <w:b w:val="0"/>
          <w:bCs w:val="0"/>
          <w:spacing w:val="40"/>
          <w:sz w:val="21"/>
          <w:szCs w:val="21"/>
        </w:rPr>
        <w:t xml:space="preserve"> </w:t>
      </w:r>
      <w:r w:rsidRPr="007C2763">
        <w:rPr>
          <w:rFonts w:ascii="Abadi" w:hAnsi="Abadi"/>
          <w:b w:val="0"/>
          <w:bCs w:val="0"/>
          <w:sz w:val="21"/>
          <w:szCs w:val="21"/>
        </w:rPr>
        <w:t>mejor</w:t>
      </w:r>
      <w:r w:rsidRPr="007C2763">
        <w:rPr>
          <w:rFonts w:ascii="Abadi" w:hAnsi="Abadi"/>
          <w:b w:val="0"/>
          <w:bCs w:val="0"/>
          <w:spacing w:val="40"/>
          <w:sz w:val="21"/>
          <w:szCs w:val="21"/>
        </w:rPr>
        <w:t xml:space="preserve"> </w:t>
      </w:r>
      <w:r w:rsidRPr="007C2763">
        <w:rPr>
          <w:rFonts w:ascii="Abadi" w:hAnsi="Abadi"/>
          <w:b w:val="0"/>
          <w:bCs w:val="0"/>
          <w:sz w:val="21"/>
          <w:szCs w:val="21"/>
        </w:rPr>
        <w:t>cauce,</w:t>
      </w:r>
      <w:r w:rsidRPr="007C2763">
        <w:rPr>
          <w:rFonts w:ascii="Abadi" w:hAnsi="Abadi"/>
          <w:b w:val="0"/>
          <w:bCs w:val="0"/>
          <w:spacing w:val="41"/>
          <w:sz w:val="21"/>
          <w:szCs w:val="21"/>
        </w:rPr>
        <w:t xml:space="preserve"> </w:t>
      </w:r>
      <w:r w:rsidRPr="007C2763">
        <w:rPr>
          <w:rFonts w:ascii="Abadi" w:hAnsi="Abadi"/>
          <w:b w:val="0"/>
          <w:bCs w:val="0"/>
          <w:sz w:val="21"/>
          <w:szCs w:val="21"/>
        </w:rPr>
        <w:t>en</w:t>
      </w:r>
      <w:r w:rsidRPr="007C2763">
        <w:rPr>
          <w:rFonts w:ascii="Abadi" w:hAnsi="Abadi"/>
          <w:b w:val="0"/>
          <w:bCs w:val="0"/>
          <w:spacing w:val="42"/>
          <w:sz w:val="21"/>
          <w:szCs w:val="21"/>
        </w:rPr>
        <w:t xml:space="preserve"> </w:t>
      </w:r>
      <w:r w:rsidRPr="007C2763">
        <w:rPr>
          <w:rFonts w:ascii="Abadi" w:hAnsi="Abadi"/>
          <w:b w:val="0"/>
          <w:bCs w:val="0"/>
          <w:sz w:val="21"/>
          <w:szCs w:val="21"/>
        </w:rPr>
        <w:t>beneficio</w:t>
      </w:r>
      <w:r w:rsidRPr="007C2763">
        <w:rPr>
          <w:rFonts w:ascii="Abadi" w:hAnsi="Abadi"/>
          <w:b w:val="0"/>
          <w:bCs w:val="0"/>
          <w:spacing w:val="42"/>
          <w:sz w:val="21"/>
          <w:szCs w:val="21"/>
        </w:rPr>
        <w:t xml:space="preserve"> </w:t>
      </w:r>
      <w:r w:rsidRPr="007C2763">
        <w:rPr>
          <w:rFonts w:ascii="Abadi" w:hAnsi="Abadi"/>
          <w:b w:val="0"/>
          <w:bCs w:val="0"/>
          <w:sz w:val="21"/>
          <w:szCs w:val="21"/>
        </w:rPr>
        <w:t>de</w:t>
      </w:r>
      <w:r w:rsidRPr="007C2763">
        <w:rPr>
          <w:rFonts w:ascii="Abadi" w:hAnsi="Abadi"/>
          <w:b w:val="0"/>
          <w:bCs w:val="0"/>
          <w:spacing w:val="43"/>
          <w:sz w:val="21"/>
          <w:szCs w:val="21"/>
        </w:rPr>
        <w:t xml:space="preserve"> </w:t>
      </w:r>
      <w:r w:rsidRPr="007C2763">
        <w:rPr>
          <w:rFonts w:ascii="Abadi" w:hAnsi="Abadi"/>
          <w:b w:val="0"/>
          <w:bCs w:val="0"/>
          <w:sz w:val="21"/>
          <w:szCs w:val="21"/>
        </w:rPr>
        <w:t>tan digna</w:t>
      </w:r>
      <w:r w:rsidRPr="007C2763">
        <w:rPr>
          <w:rFonts w:ascii="Abadi" w:hAnsi="Abadi"/>
          <w:b w:val="0"/>
          <w:bCs w:val="0"/>
          <w:spacing w:val="-1"/>
          <w:sz w:val="21"/>
          <w:szCs w:val="21"/>
        </w:rPr>
        <w:t xml:space="preserve"> </w:t>
      </w:r>
      <w:r w:rsidRPr="007C2763">
        <w:rPr>
          <w:rFonts w:ascii="Abadi" w:hAnsi="Abadi"/>
          <w:b w:val="0"/>
          <w:bCs w:val="0"/>
          <w:sz w:val="21"/>
          <w:szCs w:val="21"/>
        </w:rPr>
        <w:t>comunidad</w:t>
      </w:r>
      <w:r w:rsidRPr="007C2763">
        <w:rPr>
          <w:rFonts w:ascii="Abadi" w:hAnsi="Abadi"/>
          <w:b w:val="0"/>
          <w:bCs w:val="0"/>
          <w:spacing w:val="-1"/>
          <w:sz w:val="21"/>
          <w:szCs w:val="21"/>
        </w:rPr>
        <w:t xml:space="preserve"> </w:t>
      </w:r>
      <w:r w:rsidRPr="007C2763">
        <w:rPr>
          <w:rFonts w:ascii="Abadi" w:hAnsi="Abadi"/>
          <w:b w:val="0"/>
          <w:bCs w:val="0"/>
          <w:sz w:val="21"/>
          <w:szCs w:val="21"/>
        </w:rPr>
        <w:t>guanajuatense...”.</w:t>
      </w:r>
    </w:p>
    <w:p w14:paraId="658264C1" w14:textId="77777777" w:rsidR="00374A1E" w:rsidRPr="007C2763" w:rsidRDefault="00374A1E" w:rsidP="00374A1E">
      <w:pPr>
        <w:pStyle w:val="Textoindependiente"/>
        <w:kinsoku w:val="0"/>
        <w:overflowPunct w:val="0"/>
        <w:spacing w:before="2"/>
        <w:rPr>
          <w:rFonts w:ascii="Abadi" w:hAnsi="Abadi"/>
          <w:b w:val="0"/>
          <w:bCs w:val="0"/>
          <w:sz w:val="21"/>
          <w:szCs w:val="21"/>
        </w:rPr>
      </w:pPr>
    </w:p>
    <w:p w14:paraId="56602E42" w14:textId="77777777" w:rsidR="00374A1E" w:rsidRPr="007C2763" w:rsidRDefault="00374A1E" w:rsidP="00374A1E">
      <w:pPr>
        <w:pStyle w:val="Textoindependiente"/>
        <w:kinsoku w:val="0"/>
        <w:overflowPunct w:val="0"/>
        <w:spacing w:before="1"/>
        <w:ind w:right="115" w:firstLine="708"/>
        <w:rPr>
          <w:rFonts w:ascii="Abadi" w:hAnsi="Abadi"/>
          <w:b w:val="0"/>
          <w:bCs w:val="0"/>
          <w:sz w:val="21"/>
          <w:szCs w:val="21"/>
        </w:rPr>
      </w:pPr>
      <w:r w:rsidRPr="007C2763">
        <w:rPr>
          <w:rFonts w:ascii="Abadi" w:hAnsi="Abadi"/>
          <w:b w:val="0"/>
          <w:bCs w:val="0"/>
          <w:sz w:val="21"/>
          <w:szCs w:val="21"/>
        </w:rPr>
        <w:t>El</w:t>
      </w:r>
      <w:r w:rsidRPr="007C2763">
        <w:rPr>
          <w:rFonts w:ascii="Abadi" w:hAnsi="Abadi"/>
          <w:b w:val="0"/>
          <w:bCs w:val="0"/>
          <w:spacing w:val="13"/>
          <w:sz w:val="21"/>
          <w:szCs w:val="21"/>
        </w:rPr>
        <w:t xml:space="preserve"> </w:t>
      </w:r>
      <w:r w:rsidRPr="007C2763">
        <w:rPr>
          <w:rFonts w:ascii="Abadi" w:hAnsi="Abadi"/>
          <w:b w:val="0"/>
          <w:bCs w:val="0"/>
          <w:sz w:val="21"/>
          <w:szCs w:val="21"/>
        </w:rPr>
        <w:t>Archivo</w:t>
      </w:r>
      <w:r w:rsidRPr="007C2763">
        <w:rPr>
          <w:rFonts w:ascii="Abadi" w:hAnsi="Abadi"/>
          <w:b w:val="0"/>
          <w:bCs w:val="0"/>
          <w:spacing w:val="15"/>
          <w:sz w:val="21"/>
          <w:szCs w:val="21"/>
        </w:rPr>
        <w:t xml:space="preserve"> </w:t>
      </w:r>
      <w:r w:rsidRPr="007C2763">
        <w:rPr>
          <w:rFonts w:ascii="Abadi" w:hAnsi="Abadi"/>
          <w:b w:val="0"/>
          <w:bCs w:val="0"/>
          <w:sz w:val="21"/>
          <w:szCs w:val="21"/>
        </w:rPr>
        <w:t>Histórico</w:t>
      </w:r>
      <w:r w:rsidRPr="007C2763">
        <w:rPr>
          <w:rFonts w:ascii="Abadi" w:hAnsi="Abadi"/>
          <w:b w:val="0"/>
          <w:bCs w:val="0"/>
          <w:spacing w:val="15"/>
          <w:sz w:val="21"/>
          <w:szCs w:val="21"/>
        </w:rPr>
        <w:t xml:space="preserve"> </w:t>
      </w:r>
      <w:r w:rsidRPr="007C2763">
        <w:rPr>
          <w:rFonts w:ascii="Abadi" w:hAnsi="Abadi"/>
          <w:b w:val="0"/>
          <w:bCs w:val="0"/>
          <w:sz w:val="21"/>
          <w:szCs w:val="21"/>
        </w:rPr>
        <w:t>del</w:t>
      </w:r>
      <w:r w:rsidRPr="007C2763">
        <w:rPr>
          <w:rFonts w:ascii="Abadi" w:hAnsi="Abadi"/>
          <w:b w:val="0"/>
          <w:bCs w:val="0"/>
          <w:spacing w:val="14"/>
          <w:sz w:val="21"/>
          <w:szCs w:val="21"/>
        </w:rPr>
        <w:t xml:space="preserve"> </w:t>
      </w:r>
      <w:r w:rsidRPr="007C2763">
        <w:rPr>
          <w:rFonts w:ascii="Abadi" w:hAnsi="Abadi"/>
          <w:b w:val="0"/>
          <w:bCs w:val="0"/>
          <w:sz w:val="21"/>
          <w:szCs w:val="21"/>
        </w:rPr>
        <w:t>Archivo</w:t>
      </w:r>
      <w:r w:rsidRPr="007C2763">
        <w:rPr>
          <w:rFonts w:ascii="Abadi" w:hAnsi="Abadi"/>
          <w:b w:val="0"/>
          <w:bCs w:val="0"/>
          <w:spacing w:val="15"/>
          <w:sz w:val="21"/>
          <w:szCs w:val="21"/>
        </w:rPr>
        <w:t xml:space="preserve"> </w:t>
      </w:r>
      <w:r w:rsidRPr="007C2763">
        <w:rPr>
          <w:rFonts w:ascii="Abadi" w:hAnsi="Abadi"/>
          <w:b w:val="0"/>
          <w:bCs w:val="0"/>
          <w:sz w:val="21"/>
          <w:szCs w:val="21"/>
        </w:rPr>
        <w:t>General</w:t>
      </w:r>
      <w:r w:rsidRPr="007C2763">
        <w:rPr>
          <w:rFonts w:ascii="Abadi" w:hAnsi="Abadi"/>
          <w:b w:val="0"/>
          <w:bCs w:val="0"/>
          <w:spacing w:val="14"/>
          <w:sz w:val="21"/>
          <w:szCs w:val="21"/>
        </w:rPr>
        <w:t xml:space="preserve"> </w:t>
      </w:r>
      <w:r w:rsidRPr="007C2763">
        <w:rPr>
          <w:rFonts w:ascii="Abadi" w:hAnsi="Abadi"/>
          <w:b w:val="0"/>
          <w:bCs w:val="0"/>
          <w:sz w:val="21"/>
          <w:szCs w:val="21"/>
        </w:rPr>
        <w:t>del</w:t>
      </w:r>
      <w:r w:rsidRPr="007C2763">
        <w:rPr>
          <w:rFonts w:ascii="Abadi" w:hAnsi="Abadi"/>
          <w:b w:val="0"/>
          <w:bCs w:val="0"/>
          <w:spacing w:val="12"/>
          <w:sz w:val="21"/>
          <w:szCs w:val="21"/>
        </w:rPr>
        <w:t xml:space="preserve"> </w:t>
      </w:r>
      <w:r w:rsidRPr="007C2763">
        <w:rPr>
          <w:rFonts w:ascii="Abadi" w:hAnsi="Abadi"/>
          <w:b w:val="0"/>
          <w:bCs w:val="0"/>
          <w:sz w:val="21"/>
          <w:szCs w:val="21"/>
        </w:rPr>
        <w:t>Poder</w:t>
      </w:r>
      <w:r w:rsidRPr="007C2763">
        <w:rPr>
          <w:rFonts w:ascii="Abadi" w:hAnsi="Abadi"/>
          <w:b w:val="0"/>
          <w:bCs w:val="0"/>
          <w:spacing w:val="11"/>
          <w:sz w:val="21"/>
          <w:szCs w:val="21"/>
        </w:rPr>
        <w:t xml:space="preserve"> </w:t>
      </w:r>
      <w:r w:rsidRPr="007C2763">
        <w:rPr>
          <w:rFonts w:ascii="Abadi" w:hAnsi="Abadi"/>
          <w:b w:val="0"/>
          <w:bCs w:val="0"/>
          <w:sz w:val="21"/>
          <w:szCs w:val="21"/>
        </w:rPr>
        <w:t>Ejecutivo</w:t>
      </w:r>
      <w:r w:rsidRPr="007C2763">
        <w:rPr>
          <w:rFonts w:ascii="Abadi" w:hAnsi="Abadi"/>
          <w:b w:val="0"/>
          <w:bCs w:val="0"/>
          <w:spacing w:val="15"/>
          <w:sz w:val="21"/>
          <w:szCs w:val="21"/>
        </w:rPr>
        <w:t xml:space="preserve"> </w:t>
      </w:r>
      <w:r w:rsidRPr="007C2763">
        <w:rPr>
          <w:rFonts w:ascii="Abadi" w:hAnsi="Abadi"/>
          <w:b w:val="0"/>
          <w:bCs w:val="0"/>
          <w:sz w:val="21"/>
          <w:szCs w:val="21"/>
        </w:rPr>
        <w:t>refirió</w:t>
      </w:r>
      <w:r w:rsidRPr="007C2763">
        <w:rPr>
          <w:rFonts w:ascii="Abadi" w:hAnsi="Abadi"/>
          <w:b w:val="0"/>
          <w:bCs w:val="0"/>
          <w:spacing w:val="13"/>
          <w:sz w:val="21"/>
          <w:szCs w:val="21"/>
        </w:rPr>
        <w:t xml:space="preserve"> </w:t>
      </w:r>
      <w:r w:rsidRPr="007C2763">
        <w:rPr>
          <w:rFonts w:ascii="Abadi" w:hAnsi="Abadi"/>
          <w:b w:val="0"/>
          <w:bCs w:val="0"/>
          <w:sz w:val="21"/>
          <w:szCs w:val="21"/>
        </w:rPr>
        <w:t>que;</w:t>
      </w:r>
      <w:r w:rsidRPr="007C2763">
        <w:rPr>
          <w:rFonts w:ascii="Abadi" w:hAnsi="Abadi"/>
          <w:b w:val="0"/>
          <w:bCs w:val="0"/>
          <w:spacing w:val="12"/>
          <w:sz w:val="21"/>
          <w:szCs w:val="21"/>
        </w:rPr>
        <w:t xml:space="preserve"> </w:t>
      </w:r>
      <w:r w:rsidRPr="007C2763">
        <w:rPr>
          <w:rFonts w:ascii="Abadi" w:hAnsi="Abadi"/>
          <w:b w:val="0"/>
          <w:bCs w:val="0"/>
          <w:sz w:val="21"/>
          <w:szCs w:val="21"/>
        </w:rPr>
        <w:t>“… se</w:t>
      </w:r>
      <w:r w:rsidRPr="007C2763">
        <w:rPr>
          <w:rFonts w:ascii="Abadi" w:hAnsi="Abadi"/>
          <w:b w:val="0"/>
          <w:bCs w:val="0"/>
          <w:spacing w:val="44"/>
          <w:sz w:val="21"/>
          <w:szCs w:val="21"/>
        </w:rPr>
        <w:t xml:space="preserve"> </w:t>
      </w:r>
      <w:r w:rsidRPr="007C2763">
        <w:rPr>
          <w:rFonts w:ascii="Abadi" w:hAnsi="Abadi"/>
          <w:b w:val="0"/>
          <w:bCs w:val="0"/>
          <w:sz w:val="21"/>
          <w:szCs w:val="21"/>
        </w:rPr>
        <w:t>pudo</w:t>
      </w:r>
      <w:r w:rsidRPr="007C2763">
        <w:rPr>
          <w:rFonts w:ascii="Abadi" w:hAnsi="Abadi"/>
          <w:b w:val="0"/>
          <w:bCs w:val="0"/>
          <w:spacing w:val="42"/>
          <w:sz w:val="21"/>
          <w:szCs w:val="21"/>
        </w:rPr>
        <w:t xml:space="preserve"> </w:t>
      </w:r>
      <w:r w:rsidRPr="007C2763">
        <w:rPr>
          <w:rFonts w:ascii="Abadi" w:hAnsi="Abadi"/>
          <w:b w:val="0"/>
          <w:bCs w:val="0"/>
          <w:sz w:val="21"/>
          <w:szCs w:val="21"/>
        </w:rPr>
        <w:t>constatar</w:t>
      </w:r>
      <w:r w:rsidRPr="007C2763">
        <w:rPr>
          <w:rFonts w:ascii="Abadi" w:hAnsi="Abadi"/>
          <w:b w:val="0"/>
          <w:bCs w:val="0"/>
          <w:spacing w:val="42"/>
          <w:sz w:val="21"/>
          <w:szCs w:val="21"/>
        </w:rPr>
        <w:t xml:space="preserve"> </w:t>
      </w:r>
      <w:r w:rsidRPr="007C2763">
        <w:rPr>
          <w:rFonts w:ascii="Abadi" w:hAnsi="Abadi"/>
          <w:b w:val="0"/>
          <w:bCs w:val="0"/>
          <w:sz w:val="21"/>
          <w:szCs w:val="21"/>
        </w:rPr>
        <w:t>el</w:t>
      </w:r>
      <w:r w:rsidRPr="007C2763">
        <w:rPr>
          <w:rFonts w:ascii="Abadi" w:hAnsi="Abadi"/>
          <w:b w:val="0"/>
          <w:bCs w:val="0"/>
          <w:spacing w:val="41"/>
          <w:sz w:val="21"/>
          <w:szCs w:val="21"/>
        </w:rPr>
        <w:t xml:space="preserve"> </w:t>
      </w:r>
      <w:r w:rsidRPr="007C2763">
        <w:rPr>
          <w:rFonts w:ascii="Abadi" w:hAnsi="Abadi"/>
          <w:b w:val="0"/>
          <w:bCs w:val="0"/>
          <w:sz w:val="21"/>
          <w:szCs w:val="21"/>
        </w:rPr>
        <w:t>antecedente</w:t>
      </w:r>
      <w:r w:rsidRPr="007C2763">
        <w:rPr>
          <w:rFonts w:ascii="Abadi" w:hAnsi="Abadi"/>
          <w:b w:val="0"/>
          <w:bCs w:val="0"/>
          <w:spacing w:val="42"/>
          <w:sz w:val="21"/>
          <w:szCs w:val="21"/>
        </w:rPr>
        <w:t xml:space="preserve"> </w:t>
      </w:r>
      <w:r w:rsidRPr="007C2763">
        <w:rPr>
          <w:rFonts w:ascii="Abadi" w:hAnsi="Abadi"/>
          <w:b w:val="0"/>
          <w:bCs w:val="0"/>
          <w:sz w:val="21"/>
          <w:szCs w:val="21"/>
        </w:rPr>
        <w:t>oficial</w:t>
      </w:r>
      <w:r w:rsidRPr="007C2763">
        <w:rPr>
          <w:rFonts w:ascii="Abadi" w:hAnsi="Abadi"/>
          <w:b w:val="0"/>
          <w:bCs w:val="0"/>
          <w:spacing w:val="40"/>
          <w:sz w:val="21"/>
          <w:szCs w:val="21"/>
        </w:rPr>
        <w:t xml:space="preserve"> </w:t>
      </w:r>
      <w:r w:rsidRPr="007C2763">
        <w:rPr>
          <w:rFonts w:ascii="Abadi" w:hAnsi="Abadi"/>
          <w:b w:val="0"/>
          <w:bCs w:val="0"/>
          <w:sz w:val="21"/>
          <w:szCs w:val="21"/>
        </w:rPr>
        <w:t>que</w:t>
      </w:r>
      <w:r w:rsidRPr="007C2763">
        <w:rPr>
          <w:rFonts w:ascii="Abadi" w:hAnsi="Abadi"/>
          <w:b w:val="0"/>
          <w:bCs w:val="0"/>
          <w:spacing w:val="44"/>
          <w:sz w:val="21"/>
          <w:szCs w:val="21"/>
        </w:rPr>
        <w:t xml:space="preserve"> </w:t>
      </w:r>
      <w:r w:rsidRPr="007C2763">
        <w:rPr>
          <w:rFonts w:ascii="Abadi" w:hAnsi="Abadi"/>
          <w:b w:val="0"/>
          <w:bCs w:val="0"/>
          <w:sz w:val="21"/>
          <w:szCs w:val="21"/>
        </w:rPr>
        <w:t>refiere</w:t>
      </w:r>
      <w:r w:rsidRPr="007C2763">
        <w:rPr>
          <w:rFonts w:ascii="Abadi" w:hAnsi="Abadi"/>
          <w:b w:val="0"/>
          <w:bCs w:val="0"/>
          <w:spacing w:val="42"/>
          <w:sz w:val="21"/>
          <w:szCs w:val="21"/>
        </w:rPr>
        <w:t xml:space="preserve"> </w:t>
      </w:r>
      <w:r w:rsidRPr="007C2763">
        <w:rPr>
          <w:rFonts w:ascii="Abadi" w:hAnsi="Abadi"/>
          <w:b w:val="0"/>
          <w:bCs w:val="0"/>
          <w:sz w:val="21"/>
          <w:szCs w:val="21"/>
        </w:rPr>
        <w:t>la</w:t>
      </w:r>
      <w:r w:rsidRPr="007C2763">
        <w:rPr>
          <w:rFonts w:ascii="Abadi" w:hAnsi="Abadi"/>
          <w:b w:val="0"/>
          <w:bCs w:val="0"/>
          <w:spacing w:val="43"/>
          <w:sz w:val="21"/>
          <w:szCs w:val="21"/>
        </w:rPr>
        <w:t xml:space="preserve"> </w:t>
      </w:r>
      <w:r w:rsidRPr="007C2763">
        <w:rPr>
          <w:rFonts w:ascii="Abadi" w:hAnsi="Abadi"/>
          <w:b w:val="0"/>
          <w:bCs w:val="0"/>
          <w:sz w:val="21"/>
          <w:szCs w:val="21"/>
        </w:rPr>
        <w:t>iniciativa,</w:t>
      </w:r>
      <w:r w:rsidRPr="007C2763">
        <w:rPr>
          <w:rFonts w:ascii="Abadi" w:hAnsi="Abadi"/>
          <w:b w:val="0"/>
          <w:bCs w:val="0"/>
          <w:spacing w:val="42"/>
          <w:sz w:val="21"/>
          <w:szCs w:val="21"/>
        </w:rPr>
        <w:t xml:space="preserve"> </w:t>
      </w:r>
      <w:r w:rsidRPr="007C2763">
        <w:rPr>
          <w:rFonts w:ascii="Abadi" w:hAnsi="Abadi"/>
          <w:b w:val="0"/>
          <w:bCs w:val="0"/>
          <w:sz w:val="21"/>
          <w:szCs w:val="21"/>
        </w:rPr>
        <w:t>respecto</w:t>
      </w:r>
      <w:r w:rsidRPr="007C2763">
        <w:rPr>
          <w:rFonts w:ascii="Abadi" w:hAnsi="Abadi"/>
          <w:b w:val="0"/>
          <w:bCs w:val="0"/>
          <w:spacing w:val="42"/>
          <w:sz w:val="21"/>
          <w:szCs w:val="21"/>
        </w:rPr>
        <w:t xml:space="preserve"> </w:t>
      </w:r>
      <w:r w:rsidRPr="007C2763">
        <w:rPr>
          <w:rFonts w:ascii="Abadi" w:hAnsi="Abadi"/>
          <w:b w:val="0"/>
          <w:bCs w:val="0"/>
          <w:sz w:val="21"/>
          <w:szCs w:val="21"/>
        </w:rPr>
        <w:t>de</w:t>
      </w:r>
      <w:r w:rsidRPr="007C2763">
        <w:rPr>
          <w:rFonts w:ascii="Abadi" w:hAnsi="Abadi"/>
          <w:b w:val="0"/>
          <w:bCs w:val="0"/>
          <w:spacing w:val="41"/>
          <w:sz w:val="21"/>
          <w:szCs w:val="21"/>
        </w:rPr>
        <w:t xml:space="preserve"> </w:t>
      </w:r>
      <w:r w:rsidRPr="007C2763">
        <w:rPr>
          <w:rFonts w:ascii="Abadi" w:hAnsi="Abadi"/>
          <w:b w:val="0"/>
          <w:bCs w:val="0"/>
          <w:sz w:val="21"/>
          <w:szCs w:val="21"/>
        </w:rPr>
        <w:t>la creación</w:t>
      </w:r>
      <w:r w:rsidRPr="007C2763">
        <w:rPr>
          <w:rFonts w:ascii="Abadi" w:hAnsi="Abadi"/>
          <w:b w:val="0"/>
          <w:bCs w:val="0"/>
          <w:spacing w:val="6"/>
          <w:sz w:val="21"/>
          <w:szCs w:val="21"/>
        </w:rPr>
        <w:t xml:space="preserve"> </w:t>
      </w:r>
      <w:r w:rsidRPr="007C2763">
        <w:rPr>
          <w:rFonts w:ascii="Abadi" w:hAnsi="Abadi"/>
          <w:b w:val="0"/>
          <w:bCs w:val="0"/>
          <w:sz w:val="21"/>
          <w:szCs w:val="21"/>
        </w:rPr>
        <w:t>del</w:t>
      </w:r>
      <w:r w:rsidRPr="007C2763">
        <w:rPr>
          <w:rFonts w:ascii="Abadi" w:hAnsi="Abadi"/>
          <w:b w:val="0"/>
          <w:bCs w:val="0"/>
          <w:spacing w:val="2"/>
          <w:sz w:val="21"/>
          <w:szCs w:val="21"/>
        </w:rPr>
        <w:t xml:space="preserve"> </w:t>
      </w:r>
      <w:r w:rsidRPr="007C2763">
        <w:rPr>
          <w:rFonts w:ascii="Abadi" w:hAnsi="Abadi"/>
          <w:b w:val="0"/>
          <w:bCs w:val="0"/>
          <w:sz w:val="21"/>
          <w:szCs w:val="21"/>
        </w:rPr>
        <w:t>municipio</w:t>
      </w:r>
      <w:r w:rsidRPr="007C2763">
        <w:rPr>
          <w:rFonts w:ascii="Abadi" w:hAnsi="Abadi"/>
          <w:b w:val="0"/>
          <w:bCs w:val="0"/>
          <w:spacing w:val="6"/>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Charcas,</w:t>
      </w:r>
      <w:r w:rsidRPr="007C2763">
        <w:rPr>
          <w:rFonts w:ascii="Abadi" w:hAnsi="Abadi"/>
          <w:b w:val="0"/>
          <w:bCs w:val="0"/>
          <w:spacing w:val="5"/>
          <w:sz w:val="21"/>
          <w:szCs w:val="21"/>
        </w:rPr>
        <w:t xml:space="preserve"> </w:t>
      </w:r>
      <w:r w:rsidRPr="007C2763">
        <w:rPr>
          <w:rFonts w:ascii="Abadi" w:hAnsi="Abadi"/>
          <w:b w:val="0"/>
          <w:bCs w:val="0"/>
          <w:sz w:val="21"/>
          <w:szCs w:val="21"/>
        </w:rPr>
        <w:t>en</w:t>
      </w:r>
      <w:r w:rsidRPr="007C2763">
        <w:rPr>
          <w:rFonts w:ascii="Abadi" w:hAnsi="Abadi"/>
          <w:b w:val="0"/>
          <w:bCs w:val="0"/>
          <w:spacing w:val="6"/>
          <w:sz w:val="21"/>
          <w:szCs w:val="21"/>
        </w:rPr>
        <w:t xml:space="preserve"> </w:t>
      </w:r>
      <w:r w:rsidRPr="007C2763">
        <w:rPr>
          <w:rFonts w:ascii="Abadi" w:hAnsi="Abadi"/>
          <w:b w:val="0"/>
          <w:bCs w:val="0"/>
          <w:sz w:val="21"/>
          <w:szCs w:val="21"/>
        </w:rPr>
        <w:t>jurisdicción</w:t>
      </w:r>
      <w:r w:rsidRPr="007C2763">
        <w:rPr>
          <w:rFonts w:ascii="Abadi" w:hAnsi="Abadi"/>
          <w:b w:val="0"/>
          <w:bCs w:val="0"/>
          <w:spacing w:val="6"/>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Álvaro</w:t>
      </w:r>
      <w:r w:rsidRPr="007C2763">
        <w:rPr>
          <w:rFonts w:ascii="Abadi" w:hAnsi="Abadi"/>
          <w:b w:val="0"/>
          <w:bCs w:val="0"/>
          <w:spacing w:val="6"/>
          <w:sz w:val="21"/>
          <w:szCs w:val="21"/>
        </w:rPr>
        <w:t xml:space="preserve"> </w:t>
      </w:r>
      <w:r w:rsidRPr="007C2763">
        <w:rPr>
          <w:rFonts w:ascii="Abadi" w:hAnsi="Abadi"/>
          <w:b w:val="0"/>
          <w:bCs w:val="0"/>
          <w:sz w:val="21"/>
          <w:szCs w:val="21"/>
        </w:rPr>
        <w:t>Obregón,</w:t>
      </w:r>
      <w:r w:rsidRPr="007C2763">
        <w:rPr>
          <w:rFonts w:ascii="Abadi" w:hAnsi="Abadi"/>
          <w:b w:val="0"/>
          <w:bCs w:val="0"/>
          <w:spacing w:val="5"/>
          <w:sz w:val="21"/>
          <w:szCs w:val="21"/>
        </w:rPr>
        <w:t xml:space="preserve"> </w:t>
      </w:r>
      <w:r w:rsidRPr="007C2763">
        <w:rPr>
          <w:rFonts w:ascii="Abadi" w:hAnsi="Abadi"/>
          <w:b w:val="0"/>
          <w:bCs w:val="0"/>
          <w:sz w:val="21"/>
          <w:szCs w:val="21"/>
        </w:rPr>
        <w:t>así</w:t>
      </w:r>
      <w:r w:rsidRPr="007C2763">
        <w:rPr>
          <w:rFonts w:ascii="Abadi" w:hAnsi="Abadi"/>
          <w:b w:val="0"/>
          <w:bCs w:val="0"/>
          <w:spacing w:val="5"/>
          <w:sz w:val="21"/>
          <w:szCs w:val="21"/>
        </w:rPr>
        <w:t xml:space="preserve"> </w:t>
      </w:r>
      <w:r w:rsidRPr="007C2763">
        <w:rPr>
          <w:rFonts w:ascii="Abadi" w:hAnsi="Abadi"/>
          <w:b w:val="0"/>
          <w:bCs w:val="0"/>
          <w:sz w:val="21"/>
          <w:szCs w:val="21"/>
        </w:rPr>
        <w:t>como</w:t>
      </w:r>
      <w:r w:rsidRPr="007C2763">
        <w:rPr>
          <w:rFonts w:ascii="Abadi" w:hAnsi="Abadi"/>
          <w:b w:val="0"/>
          <w:bCs w:val="0"/>
          <w:spacing w:val="6"/>
          <w:sz w:val="21"/>
          <w:szCs w:val="21"/>
        </w:rPr>
        <w:t xml:space="preserve"> </w:t>
      </w:r>
      <w:r w:rsidRPr="007C2763">
        <w:rPr>
          <w:rFonts w:ascii="Abadi" w:hAnsi="Abadi"/>
          <w:b w:val="0"/>
          <w:bCs w:val="0"/>
          <w:sz w:val="21"/>
          <w:szCs w:val="21"/>
        </w:rPr>
        <w:t>la posterior</w:t>
      </w:r>
      <w:r w:rsidRPr="007C2763">
        <w:rPr>
          <w:rFonts w:ascii="Abadi" w:hAnsi="Abadi"/>
          <w:b w:val="0"/>
          <w:bCs w:val="0"/>
          <w:spacing w:val="2"/>
          <w:sz w:val="21"/>
          <w:szCs w:val="21"/>
        </w:rPr>
        <w:t xml:space="preserve"> </w:t>
      </w:r>
      <w:r w:rsidRPr="007C2763">
        <w:rPr>
          <w:rFonts w:ascii="Abadi" w:hAnsi="Abadi"/>
          <w:b w:val="0"/>
          <w:bCs w:val="0"/>
          <w:sz w:val="21"/>
          <w:szCs w:val="21"/>
        </w:rPr>
        <w:t>creación</w:t>
      </w:r>
      <w:r w:rsidRPr="007C2763">
        <w:rPr>
          <w:rFonts w:ascii="Abadi" w:hAnsi="Abadi"/>
          <w:b w:val="0"/>
          <w:bCs w:val="0"/>
          <w:spacing w:val="4"/>
          <w:sz w:val="21"/>
          <w:szCs w:val="21"/>
        </w:rPr>
        <w:t xml:space="preserve"> </w:t>
      </w:r>
      <w:r w:rsidRPr="007C2763">
        <w:rPr>
          <w:rFonts w:ascii="Abadi" w:hAnsi="Abadi"/>
          <w:b w:val="0"/>
          <w:bCs w:val="0"/>
          <w:sz w:val="21"/>
          <w:szCs w:val="21"/>
        </w:rPr>
        <w:t>del</w:t>
      </w:r>
      <w:r w:rsidRPr="007C2763">
        <w:rPr>
          <w:rFonts w:ascii="Abadi" w:hAnsi="Abadi"/>
          <w:b w:val="0"/>
          <w:bCs w:val="0"/>
          <w:spacing w:val="67"/>
          <w:sz w:val="21"/>
          <w:szCs w:val="21"/>
        </w:rPr>
        <w:t xml:space="preserve"> </w:t>
      </w:r>
      <w:r w:rsidRPr="007C2763">
        <w:rPr>
          <w:rFonts w:ascii="Abadi" w:hAnsi="Abadi"/>
          <w:b w:val="0"/>
          <w:bCs w:val="0"/>
          <w:sz w:val="21"/>
          <w:szCs w:val="21"/>
        </w:rPr>
        <w:t>municipio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4"/>
          <w:sz w:val="21"/>
          <w:szCs w:val="21"/>
        </w:rPr>
        <w:t xml:space="preserve"> </w:t>
      </w:r>
      <w:r w:rsidRPr="007C2763">
        <w:rPr>
          <w:rFonts w:ascii="Abadi" w:hAnsi="Abadi"/>
          <w:b w:val="0"/>
          <w:bCs w:val="0"/>
          <w:sz w:val="21"/>
          <w:szCs w:val="21"/>
        </w:rPr>
        <w:t>Dr.</w:t>
      </w:r>
      <w:r w:rsidRPr="007C2763">
        <w:rPr>
          <w:rFonts w:ascii="Abadi" w:hAnsi="Abadi"/>
          <w:b w:val="0"/>
          <w:bCs w:val="0"/>
          <w:spacing w:val="3"/>
          <w:sz w:val="21"/>
          <w:szCs w:val="21"/>
        </w:rPr>
        <w:t xml:space="preserve"> </w:t>
      </w:r>
      <w:r w:rsidRPr="007C2763">
        <w:rPr>
          <w:rFonts w:ascii="Abadi" w:hAnsi="Abadi"/>
          <w:b w:val="0"/>
          <w:bCs w:val="0"/>
          <w:sz w:val="21"/>
          <w:szCs w:val="21"/>
        </w:rPr>
        <w:t>Mora,</w:t>
      </w:r>
      <w:r w:rsidRPr="007C2763">
        <w:rPr>
          <w:rFonts w:ascii="Abadi" w:hAnsi="Abadi"/>
          <w:b w:val="0"/>
          <w:bCs w:val="0"/>
          <w:spacing w:val="3"/>
          <w:sz w:val="21"/>
          <w:szCs w:val="21"/>
        </w:rPr>
        <w:t xml:space="preserve"> </w:t>
      </w:r>
      <w:r w:rsidRPr="007C2763">
        <w:rPr>
          <w:rFonts w:ascii="Abadi" w:hAnsi="Abadi"/>
          <w:b w:val="0"/>
          <w:bCs w:val="0"/>
          <w:sz w:val="21"/>
          <w:szCs w:val="21"/>
        </w:rPr>
        <w:t>con</w:t>
      </w:r>
      <w:r w:rsidRPr="007C2763">
        <w:rPr>
          <w:rFonts w:ascii="Abadi" w:hAnsi="Abadi"/>
          <w:b w:val="0"/>
          <w:bCs w:val="0"/>
          <w:spacing w:val="4"/>
          <w:sz w:val="21"/>
          <w:szCs w:val="21"/>
        </w:rPr>
        <w:t xml:space="preserve"> </w:t>
      </w:r>
      <w:r w:rsidRPr="007C2763">
        <w:rPr>
          <w:rFonts w:ascii="Abadi" w:hAnsi="Abadi"/>
          <w:b w:val="0"/>
          <w:bCs w:val="0"/>
          <w:sz w:val="21"/>
          <w:szCs w:val="21"/>
        </w:rPr>
        <w:t>cabecera</w:t>
      </w:r>
      <w:r w:rsidRPr="007C2763">
        <w:rPr>
          <w:rFonts w:ascii="Abadi" w:hAnsi="Abadi"/>
          <w:b w:val="0"/>
          <w:bCs w:val="0"/>
          <w:spacing w:val="4"/>
          <w:sz w:val="21"/>
          <w:szCs w:val="21"/>
        </w:rPr>
        <w:t xml:space="preserve"> </w:t>
      </w:r>
      <w:r w:rsidRPr="007C2763">
        <w:rPr>
          <w:rFonts w:ascii="Abadi" w:hAnsi="Abadi"/>
          <w:b w:val="0"/>
          <w:bCs w:val="0"/>
          <w:sz w:val="21"/>
          <w:szCs w:val="21"/>
        </w:rPr>
        <w:t>en</w:t>
      </w:r>
      <w:r w:rsidRPr="007C2763">
        <w:rPr>
          <w:rFonts w:ascii="Abadi" w:hAnsi="Abadi"/>
          <w:b w:val="0"/>
          <w:bCs w:val="0"/>
          <w:spacing w:val="4"/>
          <w:sz w:val="21"/>
          <w:szCs w:val="21"/>
        </w:rPr>
        <w:t xml:space="preserve"> </w:t>
      </w:r>
      <w:r w:rsidRPr="007C2763">
        <w:rPr>
          <w:rFonts w:ascii="Abadi" w:hAnsi="Abadi"/>
          <w:b w:val="0"/>
          <w:bCs w:val="0"/>
          <w:sz w:val="21"/>
          <w:szCs w:val="21"/>
        </w:rPr>
        <w:t>el</w:t>
      </w:r>
      <w:r w:rsidRPr="007C2763">
        <w:rPr>
          <w:rFonts w:ascii="Abadi" w:hAnsi="Abadi"/>
          <w:b w:val="0"/>
          <w:bCs w:val="0"/>
          <w:spacing w:val="2"/>
          <w:sz w:val="21"/>
          <w:szCs w:val="21"/>
        </w:rPr>
        <w:t xml:space="preserve"> </w:t>
      </w:r>
      <w:r w:rsidRPr="007C2763">
        <w:rPr>
          <w:rFonts w:ascii="Abadi" w:hAnsi="Abadi"/>
          <w:b w:val="0"/>
          <w:bCs w:val="0"/>
          <w:sz w:val="21"/>
          <w:szCs w:val="21"/>
        </w:rPr>
        <w:t>pueblo</w:t>
      </w:r>
      <w:r w:rsidRPr="007C2763">
        <w:rPr>
          <w:rFonts w:ascii="Abadi" w:hAnsi="Abadi"/>
          <w:b w:val="0"/>
          <w:bCs w:val="0"/>
          <w:spacing w:val="4"/>
          <w:sz w:val="21"/>
          <w:szCs w:val="21"/>
        </w:rPr>
        <w:t xml:space="preserve"> </w:t>
      </w:r>
      <w:r w:rsidRPr="007C2763">
        <w:rPr>
          <w:rFonts w:ascii="Abadi" w:hAnsi="Abadi"/>
          <w:b w:val="0"/>
          <w:bCs w:val="0"/>
          <w:sz w:val="21"/>
          <w:szCs w:val="21"/>
        </w:rPr>
        <w:t>de Charcas,</w:t>
      </w:r>
      <w:r w:rsidRPr="007C2763">
        <w:rPr>
          <w:rFonts w:ascii="Abadi" w:hAnsi="Abadi"/>
          <w:b w:val="0"/>
          <w:bCs w:val="0"/>
          <w:spacing w:val="15"/>
          <w:sz w:val="21"/>
          <w:szCs w:val="21"/>
        </w:rPr>
        <w:t xml:space="preserve"> </w:t>
      </w:r>
      <w:r w:rsidRPr="007C2763">
        <w:rPr>
          <w:rFonts w:ascii="Abadi" w:hAnsi="Abadi"/>
          <w:b w:val="0"/>
          <w:bCs w:val="0"/>
          <w:sz w:val="21"/>
          <w:szCs w:val="21"/>
        </w:rPr>
        <w:t>que</w:t>
      </w:r>
      <w:r w:rsidRPr="007C2763">
        <w:rPr>
          <w:rFonts w:ascii="Abadi" w:hAnsi="Abadi"/>
          <w:b w:val="0"/>
          <w:bCs w:val="0"/>
          <w:spacing w:val="18"/>
          <w:sz w:val="21"/>
          <w:szCs w:val="21"/>
        </w:rPr>
        <w:t xml:space="preserve"> </w:t>
      </w:r>
      <w:r w:rsidRPr="007C2763">
        <w:rPr>
          <w:rFonts w:ascii="Abadi" w:hAnsi="Abadi"/>
          <w:b w:val="0"/>
          <w:bCs w:val="0"/>
          <w:sz w:val="21"/>
          <w:szCs w:val="21"/>
        </w:rPr>
        <w:t>llevará</w:t>
      </w:r>
      <w:r w:rsidRPr="007C2763">
        <w:rPr>
          <w:rFonts w:ascii="Abadi" w:hAnsi="Abadi"/>
          <w:b w:val="0"/>
          <w:bCs w:val="0"/>
          <w:spacing w:val="18"/>
          <w:sz w:val="21"/>
          <w:szCs w:val="21"/>
        </w:rPr>
        <w:t xml:space="preserve"> </w:t>
      </w:r>
      <w:r w:rsidRPr="007C2763">
        <w:rPr>
          <w:rFonts w:ascii="Abadi" w:hAnsi="Abadi"/>
          <w:b w:val="0"/>
          <w:bCs w:val="0"/>
          <w:sz w:val="21"/>
          <w:szCs w:val="21"/>
        </w:rPr>
        <w:t>el</w:t>
      </w:r>
      <w:r w:rsidRPr="007C2763">
        <w:rPr>
          <w:rFonts w:ascii="Abadi" w:hAnsi="Abadi"/>
          <w:b w:val="0"/>
          <w:bCs w:val="0"/>
          <w:spacing w:val="15"/>
          <w:sz w:val="21"/>
          <w:szCs w:val="21"/>
        </w:rPr>
        <w:t xml:space="preserve"> </w:t>
      </w:r>
      <w:r w:rsidRPr="007C2763">
        <w:rPr>
          <w:rFonts w:ascii="Abadi" w:hAnsi="Abadi"/>
          <w:b w:val="0"/>
          <w:bCs w:val="0"/>
          <w:sz w:val="21"/>
          <w:szCs w:val="21"/>
        </w:rPr>
        <w:t>nombre</w:t>
      </w:r>
      <w:r w:rsidRPr="007C2763">
        <w:rPr>
          <w:rFonts w:ascii="Abadi" w:hAnsi="Abadi"/>
          <w:b w:val="0"/>
          <w:bCs w:val="0"/>
          <w:spacing w:val="15"/>
          <w:sz w:val="21"/>
          <w:szCs w:val="21"/>
        </w:rPr>
        <w:t xml:space="preserve"> </w:t>
      </w:r>
      <w:r w:rsidRPr="007C2763">
        <w:rPr>
          <w:rFonts w:ascii="Abadi" w:hAnsi="Abadi"/>
          <w:b w:val="0"/>
          <w:bCs w:val="0"/>
          <w:sz w:val="21"/>
          <w:szCs w:val="21"/>
        </w:rPr>
        <w:t>Villa</w:t>
      </w:r>
      <w:r w:rsidRPr="007C2763">
        <w:rPr>
          <w:rFonts w:ascii="Abadi" w:hAnsi="Abadi"/>
          <w:b w:val="0"/>
          <w:bCs w:val="0"/>
          <w:spacing w:val="18"/>
          <w:sz w:val="21"/>
          <w:szCs w:val="21"/>
        </w:rPr>
        <w:t xml:space="preserve"> </w:t>
      </w:r>
      <w:r w:rsidRPr="007C2763">
        <w:rPr>
          <w:rFonts w:ascii="Abadi" w:hAnsi="Abadi"/>
          <w:b w:val="0"/>
          <w:bCs w:val="0"/>
          <w:sz w:val="21"/>
          <w:szCs w:val="21"/>
        </w:rPr>
        <w:t>Dr.</w:t>
      </w:r>
      <w:r w:rsidRPr="007C2763">
        <w:rPr>
          <w:rFonts w:ascii="Abadi" w:hAnsi="Abadi"/>
          <w:b w:val="0"/>
          <w:bCs w:val="0"/>
          <w:spacing w:val="15"/>
          <w:sz w:val="21"/>
          <w:szCs w:val="21"/>
        </w:rPr>
        <w:t xml:space="preserve"> </w:t>
      </w:r>
      <w:r w:rsidRPr="007C2763">
        <w:rPr>
          <w:rFonts w:ascii="Abadi" w:hAnsi="Abadi"/>
          <w:b w:val="0"/>
          <w:bCs w:val="0"/>
          <w:sz w:val="21"/>
          <w:szCs w:val="21"/>
        </w:rPr>
        <w:t>Mora.</w:t>
      </w:r>
      <w:r w:rsidRPr="007C2763">
        <w:rPr>
          <w:rFonts w:ascii="Abadi" w:hAnsi="Abadi"/>
          <w:b w:val="0"/>
          <w:bCs w:val="0"/>
          <w:spacing w:val="15"/>
          <w:sz w:val="21"/>
          <w:szCs w:val="21"/>
        </w:rPr>
        <w:t xml:space="preserve"> </w:t>
      </w:r>
      <w:r w:rsidRPr="007C2763">
        <w:rPr>
          <w:rFonts w:ascii="Abadi" w:hAnsi="Abadi"/>
          <w:b w:val="0"/>
          <w:bCs w:val="0"/>
          <w:sz w:val="21"/>
          <w:szCs w:val="21"/>
        </w:rPr>
        <w:t>Lo</w:t>
      </w:r>
      <w:r w:rsidRPr="007C2763">
        <w:rPr>
          <w:rFonts w:ascii="Abadi" w:hAnsi="Abadi"/>
          <w:b w:val="0"/>
          <w:bCs w:val="0"/>
          <w:spacing w:val="15"/>
          <w:sz w:val="21"/>
          <w:szCs w:val="21"/>
        </w:rPr>
        <w:t xml:space="preserve"> </w:t>
      </w:r>
      <w:r w:rsidRPr="007C2763">
        <w:rPr>
          <w:rFonts w:ascii="Abadi" w:hAnsi="Abadi"/>
          <w:b w:val="0"/>
          <w:bCs w:val="0"/>
          <w:sz w:val="21"/>
          <w:szCs w:val="21"/>
        </w:rPr>
        <w:t>anterior,</w:t>
      </w:r>
      <w:r w:rsidRPr="007C2763">
        <w:rPr>
          <w:rFonts w:ascii="Abadi" w:hAnsi="Abadi"/>
          <w:b w:val="0"/>
          <w:bCs w:val="0"/>
          <w:spacing w:val="15"/>
          <w:sz w:val="21"/>
          <w:szCs w:val="21"/>
        </w:rPr>
        <w:t xml:space="preserve"> </w:t>
      </w:r>
      <w:r w:rsidRPr="007C2763">
        <w:rPr>
          <w:rFonts w:ascii="Abadi" w:hAnsi="Abadi"/>
          <w:b w:val="0"/>
          <w:bCs w:val="0"/>
          <w:sz w:val="21"/>
          <w:szCs w:val="21"/>
        </w:rPr>
        <w:t>de</w:t>
      </w:r>
      <w:r w:rsidRPr="007C2763">
        <w:rPr>
          <w:rFonts w:ascii="Abadi" w:hAnsi="Abadi"/>
          <w:b w:val="0"/>
          <w:bCs w:val="0"/>
          <w:spacing w:val="15"/>
          <w:sz w:val="21"/>
          <w:szCs w:val="21"/>
        </w:rPr>
        <w:t xml:space="preserve"> </w:t>
      </w:r>
      <w:r w:rsidRPr="007C2763">
        <w:rPr>
          <w:rFonts w:ascii="Abadi" w:hAnsi="Abadi"/>
          <w:b w:val="0"/>
          <w:bCs w:val="0"/>
          <w:sz w:val="21"/>
          <w:szCs w:val="21"/>
        </w:rPr>
        <w:t>conformidad</w:t>
      </w:r>
      <w:r w:rsidRPr="007C2763">
        <w:rPr>
          <w:rFonts w:ascii="Abadi" w:hAnsi="Abadi"/>
          <w:b w:val="0"/>
          <w:bCs w:val="0"/>
          <w:spacing w:val="18"/>
          <w:sz w:val="21"/>
          <w:szCs w:val="21"/>
        </w:rPr>
        <w:t xml:space="preserve"> </w:t>
      </w:r>
      <w:r w:rsidRPr="007C2763">
        <w:rPr>
          <w:rFonts w:ascii="Abadi" w:hAnsi="Abadi"/>
          <w:b w:val="0"/>
          <w:bCs w:val="0"/>
          <w:sz w:val="21"/>
          <w:szCs w:val="21"/>
        </w:rPr>
        <w:t>con</w:t>
      </w:r>
      <w:r w:rsidRPr="007C2763">
        <w:rPr>
          <w:rFonts w:ascii="Abadi" w:hAnsi="Abadi"/>
          <w:b w:val="0"/>
          <w:bCs w:val="0"/>
          <w:spacing w:val="15"/>
          <w:sz w:val="21"/>
          <w:szCs w:val="21"/>
        </w:rPr>
        <w:t xml:space="preserve"> </w:t>
      </w:r>
      <w:r w:rsidRPr="007C2763">
        <w:rPr>
          <w:rFonts w:ascii="Abadi" w:hAnsi="Abadi"/>
          <w:b w:val="0"/>
          <w:bCs w:val="0"/>
          <w:sz w:val="21"/>
          <w:szCs w:val="21"/>
        </w:rPr>
        <w:t>el Decreto</w:t>
      </w:r>
      <w:r w:rsidRPr="007C2763">
        <w:rPr>
          <w:rFonts w:ascii="Abadi" w:hAnsi="Abadi"/>
          <w:b w:val="0"/>
          <w:bCs w:val="0"/>
          <w:spacing w:val="13"/>
          <w:sz w:val="21"/>
          <w:szCs w:val="21"/>
        </w:rPr>
        <w:t xml:space="preserve"> </w:t>
      </w:r>
      <w:r w:rsidRPr="007C2763">
        <w:rPr>
          <w:rFonts w:ascii="Abadi" w:hAnsi="Abadi"/>
          <w:b w:val="0"/>
          <w:bCs w:val="0"/>
          <w:sz w:val="21"/>
          <w:szCs w:val="21"/>
        </w:rPr>
        <w:t>Legislativo</w:t>
      </w:r>
      <w:r w:rsidRPr="007C2763">
        <w:rPr>
          <w:rFonts w:ascii="Abadi" w:hAnsi="Abadi"/>
          <w:b w:val="0"/>
          <w:bCs w:val="0"/>
          <w:spacing w:val="11"/>
          <w:sz w:val="21"/>
          <w:szCs w:val="21"/>
        </w:rPr>
        <w:t xml:space="preserve"> </w:t>
      </w:r>
      <w:r w:rsidRPr="007C2763">
        <w:rPr>
          <w:rFonts w:ascii="Abadi" w:hAnsi="Abadi"/>
          <w:b w:val="0"/>
          <w:bCs w:val="0"/>
          <w:sz w:val="21"/>
          <w:szCs w:val="21"/>
        </w:rPr>
        <w:t>264,</w:t>
      </w:r>
      <w:r w:rsidRPr="007C2763">
        <w:rPr>
          <w:rFonts w:ascii="Abadi" w:hAnsi="Abadi"/>
          <w:b w:val="0"/>
          <w:bCs w:val="0"/>
          <w:spacing w:val="12"/>
          <w:sz w:val="21"/>
          <w:szCs w:val="21"/>
        </w:rPr>
        <w:t xml:space="preserve"> </w:t>
      </w:r>
      <w:r w:rsidRPr="007C2763">
        <w:rPr>
          <w:rFonts w:ascii="Abadi" w:hAnsi="Abadi"/>
          <w:b w:val="0"/>
          <w:bCs w:val="0"/>
          <w:sz w:val="21"/>
          <w:szCs w:val="21"/>
        </w:rPr>
        <w:t>publicado</w:t>
      </w:r>
      <w:r w:rsidRPr="007C2763">
        <w:rPr>
          <w:rFonts w:ascii="Abadi" w:hAnsi="Abadi"/>
          <w:b w:val="0"/>
          <w:bCs w:val="0"/>
          <w:spacing w:val="11"/>
          <w:sz w:val="21"/>
          <w:szCs w:val="21"/>
        </w:rPr>
        <w:t xml:space="preserve"> </w:t>
      </w:r>
      <w:r w:rsidRPr="007C2763">
        <w:rPr>
          <w:rFonts w:ascii="Abadi" w:hAnsi="Abadi"/>
          <w:b w:val="0"/>
          <w:bCs w:val="0"/>
          <w:sz w:val="21"/>
          <w:szCs w:val="21"/>
        </w:rPr>
        <w:t>en</w:t>
      </w:r>
      <w:r w:rsidRPr="007C2763">
        <w:rPr>
          <w:rFonts w:ascii="Abadi" w:hAnsi="Abadi"/>
          <w:b w:val="0"/>
          <w:bCs w:val="0"/>
          <w:spacing w:val="13"/>
          <w:sz w:val="21"/>
          <w:szCs w:val="21"/>
        </w:rPr>
        <w:t xml:space="preserve"> </w:t>
      </w:r>
      <w:r w:rsidRPr="007C2763">
        <w:rPr>
          <w:rFonts w:ascii="Abadi" w:hAnsi="Abadi"/>
          <w:b w:val="0"/>
          <w:bCs w:val="0"/>
          <w:sz w:val="21"/>
          <w:szCs w:val="21"/>
        </w:rPr>
        <w:t>el</w:t>
      </w:r>
      <w:r w:rsidRPr="007C2763">
        <w:rPr>
          <w:rFonts w:ascii="Abadi" w:hAnsi="Abadi"/>
          <w:b w:val="0"/>
          <w:bCs w:val="0"/>
          <w:spacing w:val="12"/>
          <w:sz w:val="21"/>
          <w:szCs w:val="21"/>
        </w:rPr>
        <w:t xml:space="preserve"> </w:t>
      </w:r>
      <w:r w:rsidRPr="007C2763">
        <w:rPr>
          <w:rFonts w:ascii="Abadi" w:hAnsi="Abadi"/>
          <w:b w:val="0"/>
          <w:bCs w:val="0"/>
          <w:sz w:val="21"/>
          <w:szCs w:val="21"/>
        </w:rPr>
        <w:t>Periódico</w:t>
      </w:r>
      <w:r w:rsidRPr="007C2763">
        <w:rPr>
          <w:rFonts w:ascii="Abadi" w:hAnsi="Abadi"/>
          <w:b w:val="0"/>
          <w:bCs w:val="0"/>
          <w:spacing w:val="13"/>
          <w:sz w:val="21"/>
          <w:szCs w:val="21"/>
        </w:rPr>
        <w:t xml:space="preserve"> </w:t>
      </w:r>
      <w:r w:rsidRPr="007C2763">
        <w:rPr>
          <w:rFonts w:ascii="Abadi" w:hAnsi="Abadi"/>
          <w:b w:val="0"/>
          <w:bCs w:val="0"/>
          <w:sz w:val="21"/>
          <w:szCs w:val="21"/>
        </w:rPr>
        <w:t>Oficial</w:t>
      </w:r>
      <w:r w:rsidRPr="007C2763">
        <w:rPr>
          <w:rFonts w:ascii="Abadi" w:hAnsi="Abadi"/>
          <w:b w:val="0"/>
          <w:bCs w:val="0"/>
          <w:spacing w:val="12"/>
          <w:sz w:val="21"/>
          <w:szCs w:val="21"/>
        </w:rPr>
        <w:t xml:space="preserve"> </w:t>
      </w:r>
      <w:r w:rsidRPr="007C2763">
        <w:rPr>
          <w:rFonts w:ascii="Abadi" w:hAnsi="Abadi"/>
          <w:b w:val="0"/>
          <w:bCs w:val="0"/>
          <w:sz w:val="21"/>
          <w:szCs w:val="21"/>
        </w:rPr>
        <w:t>del</w:t>
      </w:r>
      <w:r w:rsidRPr="007C2763">
        <w:rPr>
          <w:rFonts w:ascii="Abadi" w:hAnsi="Abadi"/>
          <w:b w:val="0"/>
          <w:bCs w:val="0"/>
          <w:spacing w:val="12"/>
          <w:sz w:val="21"/>
          <w:szCs w:val="21"/>
        </w:rPr>
        <w:t xml:space="preserve"> </w:t>
      </w:r>
      <w:r w:rsidRPr="007C2763">
        <w:rPr>
          <w:rFonts w:ascii="Abadi" w:hAnsi="Abadi"/>
          <w:b w:val="0"/>
          <w:bCs w:val="0"/>
          <w:sz w:val="21"/>
          <w:szCs w:val="21"/>
        </w:rPr>
        <w:t>Gobierno</w:t>
      </w:r>
      <w:r w:rsidRPr="007C2763">
        <w:rPr>
          <w:rFonts w:ascii="Abadi" w:hAnsi="Abadi"/>
          <w:b w:val="0"/>
          <w:bCs w:val="0"/>
          <w:spacing w:val="13"/>
          <w:sz w:val="21"/>
          <w:szCs w:val="21"/>
        </w:rPr>
        <w:t xml:space="preserve"> </w:t>
      </w:r>
      <w:r w:rsidRPr="007C2763">
        <w:rPr>
          <w:rFonts w:ascii="Abadi" w:hAnsi="Abadi"/>
          <w:b w:val="0"/>
          <w:bCs w:val="0"/>
          <w:sz w:val="21"/>
          <w:szCs w:val="21"/>
        </w:rPr>
        <w:t>del</w:t>
      </w:r>
      <w:r w:rsidRPr="007C2763">
        <w:rPr>
          <w:rFonts w:ascii="Abadi" w:hAnsi="Abadi"/>
          <w:b w:val="0"/>
          <w:bCs w:val="0"/>
          <w:spacing w:val="12"/>
          <w:sz w:val="21"/>
          <w:szCs w:val="21"/>
        </w:rPr>
        <w:t xml:space="preserve"> </w:t>
      </w:r>
      <w:r w:rsidRPr="007C2763">
        <w:rPr>
          <w:rFonts w:ascii="Abadi" w:hAnsi="Abadi"/>
          <w:b w:val="0"/>
          <w:bCs w:val="0"/>
          <w:sz w:val="21"/>
          <w:szCs w:val="21"/>
        </w:rPr>
        <w:t>Estado de</w:t>
      </w:r>
      <w:r w:rsidRPr="007C2763">
        <w:rPr>
          <w:rFonts w:ascii="Abadi" w:hAnsi="Abadi"/>
          <w:b w:val="0"/>
          <w:bCs w:val="0"/>
          <w:spacing w:val="25"/>
          <w:sz w:val="21"/>
          <w:szCs w:val="21"/>
        </w:rPr>
        <w:t xml:space="preserve"> </w:t>
      </w:r>
      <w:r w:rsidRPr="007C2763">
        <w:rPr>
          <w:rFonts w:ascii="Abadi" w:hAnsi="Abadi"/>
          <w:b w:val="0"/>
          <w:bCs w:val="0"/>
          <w:sz w:val="21"/>
          <w:szCs w:val="21"/>
        </w:rPr>
        <w:t>Guanajuato</w:t>
      </w:r>
      <w:r w:rsidRPr="007C2763">
        <w:rPr>
          <w:rFonts w:ascii="Abadi" w:hAnsi="Abadi"/>
          <w:b w:val="0"/>
          <w:bCs w:val="0"/>
          <w:spacing w:val="23"/>
          <w:sz w:val="21"/>
          <w:szCs w:val="21"/>
        </w:rPr>
        <w:t xml:space="preserve"> </w:t>
      </w:r>
      <w:r w:rsidRPr="007C2763">
        <w:rPr>
          <w:rFonts w:ascii="Abadi" w:hAnsi="Abadi"/>
          <w:b w:val="0"/>
          <w:bCs w:val="0"/>
          <w:sz w:val="21"/>
          <w:szCs w:val="21"/>
        </w:rPr>
        <w:t>número</w:t>
      </w:r>
      <w:r w:rsidRPr="007C2763">
        <w:rPr>
          <w:rFonts w:ascii="Abadi" w:hAnsi="Abadi"/>
          <w:b w:val="0"/>
          <w:bCs w:val="0"/>
          <w:spacing w:val="25"/>
          <w:sz w:val="21"/>
          <w:szCs w:val="21"/>
        </w:rPr>
        <w:t xml:space="preserve"> </w:t>
      </w:r>
      <w:r w:rsidRPr="007C2763">
        <w:rPr>
          <w:rFonts w:ascii="Abadi" w:hAnsi="Abadi"/>
          <w:b w:val="0"/>
          <w:bCs w:val="0"/>
          <w:sz w:val="21"/>
          <w:szCs w:val="21"/>
        </w:rPr>
        <w:t>24,</w:t>
      </w:r>
      <w:r w:rsidRPr="007C2763">
        <w:rPr>
          <w:rFonts w:ascii="Abadi" w:hAnsi="Abadi"/>
          <w:b w:val="0"/>
          <w:bCs w:val="0"/>
          <w:spacing w:val="24"/>
          <w:sz w:val="21"/>
          <w:szCs w:val="21"/>
        </w:rPr>
        <w:t xml:space="preserve"> </w:t>
      </w:r>
      <w:r w:rsidRPr="007C2763">
        <w:rPr>
          <w:rFonts w:ascii="Abadi" w:hAnsi="Abadi"/>
          <w:b w:val="0"/>
          <w:bCs w:val="0"/>
          <w:sz w:val="21"/>
          <w:szCs w:val="21"/>
        </w:rPr>
        <w:t>el</w:t>
      </w:r>
      <w:r w:rsidRPr="007C2763">
        <w:rPr>
          <w:rFonts w:ascii="Abadi" w:hAnsi="Abadi"/>
          <w:b w:val="0"/>
          <w:bCs w:val="0"/>
          <w:spacing w:val="24"/>
          <w:sz w:val="21"/>
          <w:szCs w:val="21"/>
        </w:rPr>
        <w:t xml:space="preserve"> </w:t>
      </w:r>
      <w:r w:rsidRPr="007C2763">
        <w:rPr>
          <w:rFonts w:ascii="Abadi" w:hAnsi="Abadi"/>
          <w:b w:val="0"/>
          <w:bCs w:val="0"/>
          <w:sz w:val="21"/>
          <w:szCs w:val="21"/>
        </w:rPr>
        <w:t>22</w:t>
      </w:r>
      <w:r w:rsidRPr="007C2763">
        <w:rPr>
          <w:rFonts w:ascii="Abadi" w:hAnsi="Abadi"/>
          <w:b w:val="0"/>
          <w:bCs w:val="0"/>
          <w:spacing w:val="25"/>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septiembre</w:t>
      </w:r>
      <w:r w:rsidRPr="007C2763">
        <w:rPr>
          <w:rFonts w:ascii="Abadi" w:hAnsi="Abadi"/>
          <w:b w:val="0"/>
          <w:bCs w:val="0"/>
          <w:spacing w:val="25"/>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1935</w:t>
      </w:r>
      <w:r w:rsidRPr="007C2763">
        <w:rPr>
          <w:rFonts w:ascii="Abadi" w:hAnsi="Abadi"/>
          <w:b w:val="0"/>
          <w:bCs w:val="0"/>
          <w:spacing w:val="25"/>
          <w:sz w:val="21"/>
          <w:szCs w:val="21"/>
        </w:rPr>
        <w:t xml:space="preserve"> </w:t>
      </w:r>
      <w:r w:rsidRPr="007C2763">
        <w:rPr>
          <w:rFonts w:ascii="Abadi" w:hAnsi="Abadi"/>
          <w:b w:val="0"/>
          <w:bCs w:val="0"/>
          <w:sz w:val="21"/>
          <w:szCs w:val="21"/>
        </w:rPr>
        <w:t>y</w:t>
      </w:r>
      <w:r w:rsidRPr="007C2763">
        <w:rPr>
          <w:rFonts w:ascii="Abadi" w:hAnsi="Abadi"/>
          <w:b w:val="0"/>
          <w:bCs w:val="0"/>
          <w:spacing w:val="24"/>
          <w:sz w:val="21"/>
          <w:szCs w:val="21"/>
        </w:rPr>
        <w:t xml:space="preserve"> </w:t>
      </w:r>
      <w:r w:rsidRPr="007C2763">
        <w:rPr>
          <w:rFonts w:ascii="Abadi" w:hAnsi="Abadi"/>
          <w:b w:val="0"/>
          <w:bCs w:val="0"/>
          <w:sz w:val="21"/>
          <w:szCs w:val="21"/>
        </w:rPr>
        <w:t>el</w:t>
      </w:r>
      <w:r w:rsidRPr="007C2763">
        <w:rPr>
          <w:rFonts w:ascii="Abadi" w:hAnsi="Abadi"/>
          <w:b w:val="0"/>
          <w:bCs w:val="0"/>
          <w:spacing w:val="24"/>
          <w:sz w:val="21"/>
          <w:szCs w:val="21"/>
        </w:rPr>
        <w:t xml:space="preserve"> </w:t>
      </w:r>
      <w:r w:rsidRPr="007C2763">
        <w:rPr>
          <w:rFonts w:ascii="Abadi" w:hAnsi="Abadi"/>
          <w:b w:val="0"/>
          <w:bCs w:val="0"/>
          <w:sz w:val="21"/>
          <w:szCs w:val="21"/>
        </w:rPr>
        <w:t>Decreto</w:t>
      </w:r>
      <w:r w:rsidRPr="007C2763">
        <w:rPr>
          <w:rFonts w:ascii="Abadi" w:hAnsi="Abadi"/>
          <w:b w:val="0"/>
          <w:bCs w:val="0"/>
          <w:spacing w:val="25"/>
          <w:sz w:val="21"/>
          <w:szCs w:val="21"/>
        </w:rPr>
        <w:t xml:space="preserve"> </w:t>
      </w:r>
      <w:r w:rsidRPr="007C2763">
        <w:rPr>
          <w:rFonts w:ascii="Abadi" w:hAnsi="Abadi"/>
          <w:b w:val="0"/>
          <w:bCs w:val="0"/>
          <w:sz w:val="21"/>
          <w:szCs w:val="21"/>
        </w:rPr>
        <w:t>Legislativo 253, publicado</w:t>
      </w:r>
      <w:r w:rsidRPr="007C2763">
        <w:rPr>
          <w:rFonts w:ascii="Abadi" w:hAnsi="Abadi"/>
          <w:b w:val="0"/>
          <w:bCs w:val="0"/>
          <w:spacing w:val="3"/>
          <w:sz w:val="21"/>
          <w:szCs w:val="21"/>
        </w:rPr>
        <w:t xml:space="preserve"> </w:t>
      </w:r>
      <w:r w:rsidRPr="007C2763">
        <w:rPr>
          <w:rFonts w:ascii="Abadi" w:hAnsi="Abadi"/>
          <w:b w:val="0"/>
          <w:bCs w:val="0"/>
          <w:sz w:val="21"/>
          <w:szCs w:val="21"/>
        </w:rPr>
        <w:t>en</w:t>
      </w:r>
      <w:r w:rsidRPr="007C2763">
        <w:rPr>
          <w:rFonts w:ascii="Abadi" w:hAnsi="Abadi"/>
          <w:b w:val="0"/>
          <w:bCs w:val="0"/>
          <w:spacing w:val="3"/>
          <w:sz w:val="21"/>
          <w:szCs w:val="21"/>
        </w:rPr>
        <w:t xml:space="preserve"> </w:t>
      </w:r>
      <w:r w:rsidRPr="007C2763">
        <w:rPr>
          <w:rFonts w:ascii="Abadi" w:hAnsi="Abadi"/>
          <w:b w:val="0"/>
          <w:bCs w:val="0"/>
          <w:sz w:val="21"/>
          <w:szCs w:val="21"/>
        </w:rPr>
        <w:t>el</w:t>
      </w:r>
      <w:r w:rsidRPr="007C2763">
        <w:rPr>
          <w:rFonts w:ascii="Abadi" w:hAnsi="Abadi"/>
          <w:b w:val="0"/>
          <w:bCs w:val="0"/>
          <w:spacing w:val="2"/>
          <w:sz w:val="21"/>
          <w:szCs w:val="21"/>
        </w:rPr>
        <w:t xml:space="preserve"> </w:t>
      </w:r>
      <w:r w:rsidRPr="007C2763">
        <w:rPr>
          <w:rFonts w:ascii="Abadi" w:hAnsi="Abadi"/>
          <w:b w:val="0"/>
          <w:bCs w:val="0"/>
          <w:sz w:val="21"/>
          <w:szCs w:val="21"/>
        </w:rPr>
        <w:t>mismo</w:t>
      </w:r>
      <w:r w:rsidRPr="007C2763">
        <w:rPr>
          <w:rFonts w:ascii="Abadi" w:hAnsi="Abadi"/>
          <w:b w:val="0"/>
          <w:bCs w:val="0"/>
          <w:spacing w:val="3"/>
          <w:sz w:val="21"/>
          <w:szCs w:val="21"/>
        </w:rPr>
        <w:t xml:space="preserve"> </w:t>
      </w:r>
      <w:r w:rsidRPr="007C2763">
        <w:rPr>
          <w:rFonts w:ascii="Abadi" w:hAnsi="Abadi"/>
          <w:b w:val="0"/>
          <w:bCs w:val="0"/>
          <w:sz w:val="21"/>
          <w:szCs w:val="21"/>
        </w:rPr>
        <w:t>medio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3"/>
          <w:sz w:val="21"/>
          <w:szCs w:val="21"/>
        </w:rPr>
        <w:t xml:space="preserve"> </w:t>
      </w:r>
      <w:r w:rsidRPr="007C2763">
        <w:rPr>
          <w:rFonts w:ascii="Abadi" w:hAnsi="Abadi"/>
          <w:b w:val="0"/>
          <w:bCs w:val="0"/>
          <w:sz w:val="21"/>
          <w:szCs w:val="21"/>
        </w:rPr>
        <w:t>difusión</w:t>
      </w:r>
      <w:r w:rsidRPr="007C2763">
        <w:rPr>
          <w:rFonts w:ascii="Abadi" w:hAnsi="Abadi"/>
          <w:b w:val="0"/>
          <w:bCs w:val="0"/>
          <w:spacing w:val="3"/>
          <w:sz w:val="21"/>
          <w:szCs w:val="21"/>
        </w:rPr>
        <w:t xml:space="preserve"> </w:t>
      </w:r>
      <w:r w:rsidRPr="007C2763">
        <w:rPr>
          <w:rFonts w:ascii="Abadi" w:hAnsi="Abadi"/>
          <w:b w:val="0"/>
          <w:bCs w:val="0"/>
          <w:sz w:val="21"/>
          <w:szCs w:val="21"/>
        </w:rPr>
        <w:t>oficial,</w:t>
      </w:r>
      <w:r w:rsidRPr="007C2763">
        <w:rPr>
          <w:rFonts w:ascii="Abadi" w:hAnsi="Abadi"/>
          <w:b w:val="0"/>
          <w:bCs w:val="0"/>
          <w:spacing w:val="3"/>
          <w:sz w:val="21"/>
          <w:szCs w:val="21"/>
        </w:rPr>
        <w:t xml:space="preserve"> </w:t>
      </w:r>
      <w:r w:rsidRPr="007C2763">
        <w:rPr>
          <w:rFonts w:ascii="Abadi" w:hAnsi="Abadi"/>
          <w:b w:val="0"/>
          <w:bCs w:val="0"/>
          <w:sz w:val="21"/>
          <w:szCs w:val="21"/>
        </w:rPr>
        <w:t>en</w:t>
      </w:r>
      <w:r w:rsidRPr="007C2763">
        <w:rPr>
          <w:rFonts w:ascii="Abadi" w:hAnsi="Abadi"/>
          <w:b w:val="0"/>
          <w:bCs w:val="0"/>
          <w:spacing w:val="3"/>
          <w:sz w:val="21"/>
          <w:szCs w:val="21"/>
        </w:rPr>
        <w:t xml:space="preserve"> </w:t>
      </w:r>
      <w:r w:rsidRPr="007C2763">
        <w:rPr>
          <w:rFonts w:ascii="Abadi" w:hAnsi="Abadi"/>
          <w:b w:val="0"/>
          <w:bCs w:val="0"/>
          <w:sz w:val="21"/>
          <w:szCs w:val="21"/>
        </w:rPr>
        <w:t>su</w:t>
      </w:r>
      <w:r w:rsidRPr="007C2763">
        <w:rPr>
          <w:rFonts w:ascii="Abadi" w:hAnsi="Abadi"/>
          <w:b w:val="0"/>
          <w:bCs w:val="0"/>
          <w:spacing w:val="3"/>
          <w:sz w:val="21"/>
          <w:szCs w:val="21"/>
        </w:rPr>
        <w:t xml:space="preserve"> </w:t>
      </w:r>
      <w:r w:rsidRPr="007C2763">
        <w:rPr>
          <w:rFonts w:ascii="Abadi" w:hAnsi="Abadi"/>
          <w:b w:val="0"/>
          <w:bCs w:val="0"/>
          <w:sz w:val="21"/>
          <w:szCs w:val="21"/>
        </w:rPr>
        <w:t>ejemplar</w:t>
      </w:r>
      <w:r w:rsidRPr="007C2763">
        <w:rPr>
          <w:rFonts w:ascii="Abadi" w:hAnsi="Abadi"/>
          <w:b w:val="0"/>
          <w:bCs w:val="0"/>
          <w:spacing w:val="2"/>
          <w:sz w:val="21"/>
          <w:szCs w:val="21"/>
        </w:rPr>
        <w:t xml:space="preserve"> </w:t>
      </w:r>
      <w:r w:rsidRPr="007C2763">
        <w:rPr>
          <w:rFonts w:ascii="Abadi" w:hAnsi="Abadi"/>
          <w:b w:val="0"/>
          <w:bCs w:val="0"/>
          <w:sz w:val="21"/>
          <w:szCs w:val="21"/>
        </w:rPr>
        <w:t>número</w:t>
      </w:r>
      <w:r w:rsidRPr="007C2763">
        <w:rPr>
          <w:rFonts w:ascii="Abadi" w:hAnsi="Abadi"/>
          <w:b w:val="0"/>
          <w:bCs w:val="0"/>
          <w:spacing w:val="1"/>
          <w:sz w:val="21"/>
          <w:szCs w:val="21"/>
        </w:rPr>
        <w:t xml:space="preserve"> </w:t>
      </w:r>
      <w:r w:rsidRPr="007C2763">
        <w:rPr>
          <w:rFonts w:ascii="Abadi" w:hAnsi="Abadi"/>
          <w:b w:val="0"/>
          <w:bCs w:val="0"/>
          <w:sz w:val="21"/>
          <w:szCs w:val="21"/>
        </w:rPr>
        <w:t>11,</w:t>
      </w:r>
      <w:r w:rsidRPr="007C2763">
        <w:rPr>
          <w:rFonts w:ascii="Abadi" w:hAnsi="Abadi"/>
          <w:b w:val="0"/>
          <w:bCs w:val="0"/>
          <w:spacing w:val="3"/>
          <w:sz w:val="21"/>
          <w:szCs w:val="21"/>
        </w:rPr>
        <w:t xml:space="preserve"> </w:t>
      </w:r>
      <w:r w:rsidRPr="007C2763">
        <w:rPr>
          <w:rFonts w:ascii="Abadi" w:hAnsi="Abadi"/>
          <w:b w:val="0"/>
          <w:bCs w:val="0"/>
          <w:sz w:val="21"/>
          <w:szCs w:val="21"/>
        </w:rPr>
        <w:t>el 7</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agosto</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1949…”.</w:t>
      </w:r>
    </w:p>
    <w:p w14:paraId="42DB7444" w14:textId="77777777" w:rsidR="00374A1E" w:rsidRPr="007C2763" w:rsidRDefault="00374A1E" w:rsidP="00374A1E">
      <w:pPr>
        <w:pStyle w:val="Textoindependiente"/>
        <w:kinsoku w:val="0"/>
        <w:overflowPunct w:val="0"/>
        <w:spacing w:before="4"/>
        <w:rPr>
          <w:rFonts w:ascii="Abadi" w:hAnsi="Abadi"/>
          <w:b w:val="0"/>
          <w:bCs w:val="0"/>
          <w:sz w:val="21"/>
          <w:szCs w:val="21"/>
        </w:rPr>
      </w:pPr>
    </w:p>
    <w:p w14:paraId="780829D2" w14:textId="77777777" w:rsidR="00374A1E" w:rsidRPr="007C2763" w:rsidRDefault="00374A1E" w:rsidP="00374A1E">
      <w:pPr>
        <w:pStyle w:val="Textoindependiente"/>
        <w:kinsoku w:val="0"/>
        <w:overflowPunct w:val="0"/>
        <w:spacing w:before="1"/>
        <w:ind w:right="117" w:firstLine="708"/>
        <w:rPr>
          <w:rFonts w:ascii="Abadi" w:hAnsi="Abadi"/>
          <w:b w:val="0"/>
          <w:bCs w:val="0"/>
          <w:sz w:val="21"/>
          <w:szCs w:val="21"/>
        </w:rPr>
      </w:pPr>
      <w:r w:rsidRPr="007C2763">
        <w:rPr>
          <w:rFonts w:ascii="Abadi" w:hAnsi="Abadi"/>
          <w:b w:val="0"/>
          <w:bCs w:val="0"/>
          <w:sz w:val="21"/>
          <w:szCs w:val="21"/>
        </w:rPr>
        <w:t>El</w:t>
      </w:r>
      <w:r w:rsidRPr="007C2763">
        <w:rPr>
          <w:rFonts w:ascii="Abadi" w:hAnsi="Abadi"/>
          <w:b w:val="0"/>
          <w:bCs w:val="0"/>
          <w:spacing w:val="2"/>
          <w:sz w:val="21"/>
          <w:szCs w:val="21"/>
        </w:rPr>
        <w:t xml:space="preserve"> </w:t>
      </w:r>
      <w:r w:rsidRPr="007C2763">
        <w:rPr>
          <w:rFonts w:ascii="Abadi" w:hAnsi="Abadi"/>
          <w:b w:val="0"/>
          <w:bCs w:val="0"/>
          <w:sz w:val="21"/>
          <w:szCs w:val="21"/>
        </w:rPr>
        <w:t>Instituto</w:t>
      </w:r>
      <w:r w:rsidRPr="007C2763">
        <w:rPr>
          <w:rFonts w:ascii="Abadi" w:hAnsi="Abadi"/>
          <w:b w:val="0"/>
          <w:bCs w:val="0"/>
          <w:spacing w:val="2"/>
          <w:sz w:val="21"/>
          <w:szCs w:val="21"/>
        </w:rPr>
        <w:t xml:space="preserve"> </w:t>
      </w:r>
      <w:r w:rsidRPr="007C2763">
        <w:rPr>
          <w:rFonts w:ascii="Abadi" w:hAnsi="Abadi"/>
          <w:b w:val="0"/>
          <w:bCs w:val="0"/>
          <w:sz w:val="21"/>
          <w:szCs w:val="21"/>
        </w:rPr>
        <w:t>de</w:t>
      </w:r>
      <w:r w:rsidRPr="007C2763">
        <w:rPr>
          <w:rFonts w:ascii="Abadi" w:hAnsi="Abadi"/>
          <w:b w:val="0"/>
          <w:bCs w:val="0"/>
          <w:spacing w:val="3"/>
          <w:sz w:val="21"/>
          <w:szCs w:val="21"/>
        </w:rPr>
        <w:t xml:space="preserve"> </w:t>
      </w:r>
      <w:r w:rsidRPr="007C2763">
        <w:rPr>
          <w:rFonts w:ascii="Abadi" w:hAnsi="Abadi"/>
          <w:b w:val="0"/>
          <w:bCs w:val="0"/>
          <w:sz w:val="21"/>
          <w:szCs w:val="21"/>
        </w:rPr>
        <w:t>Investigaciones Legislativas</w:t>
      </w:r>
      <w:r w:rsidRPr="007C2763">
        <w:rPr>
          <w:rFonts w:ascii="Abadi" w:hAnsi="Abadi"/>
          <w:b w:val="0"/>
          <w:bCs w:val="0"/>
          <w:spacing w:val="2"/>
          <w:sz w:val="21"/>
          <w:szCs w:val="21"/>
        </w:rPr>
        <w:t xml:space="preserve"> </w:t>
      </w:r>
      <w:r w:rsidRPr="007C2763">
        <w:rPr>
          <w:rFonts w:ascii="Abadi" w:hAnsi="Abadi"/>
          <w:b w:val="0"/>
          <w:bCs w:val="0"/>
          <w:sz w:val="21"/>
          <w:szCs w:val="21"/>
        </w:rPr>
        <w:t>refirió;</w:t>
      </w:r>
      <w:r w:rsidRPr="007C2763">
        <w:rPr>
          <w:rFonts w:ascii="Abadi" w:hAnsi="Abadi"/>
          <w:b w:val="0"/>
          <w:bCs w:val="0"/>
          <w:spacing w:val="3"/>
          <w:sz w:val="21"/>
          <w:szCs w:val="21"/>
        </w:rPr>
        <w:t xml:space="preserve"> </w:t>
      </w:r>
      <w:r w:rsidRPr="007C2763">
        <w:rPr>
          <w:rFonts w:ascii="Abadi" w:hAnsi="Abadi"/>
          <w:b w:val="0"/>
          <w:bCs w:val="0"/>
          <w:sz w:val="21"/>
          <w:szCs w:val="21"/>
        </w:rPr>
        <w:t>“…Por</w:t>
      </w:r>
      <w:r w:rsidRPr="007C2763">
        <w:rPr>
          <w:rFonts w:ascii="Abadi" w:hAnsi="Abadi"/>
          <w:b w:val="0"/>
          <w:bCs w:val="0"/>
          <w:spacing w:val="2"/>
          <w:sz w:val="21"/>
          <w:szCs w:val="21"/>
        </w:rPr>
        <w:t xml:space="preserve"> </w:t>
      </w:r>
      <w:r w:rsidRPr="007C2763">
        <w:rPr>
          <w:rFonts w:ascii="Abadi" w:hAnsi="Abadi"/>
          <w:b w:val="0"/>
          <w:bCs w:val="0"/>
          <w:sz w:val="21"/>
          <w:szCs w:val="21"/>
        </w:rPr>
        <w:t>lo</w:t>
      </w:r>
      <w:r w:rsidRPr="007C2763">
        <w:rPr>
          <w:rFonts w:ascii="Abadi" w:hAnsi="Abadi"/>
          <w:b w:val="0"/>
          <w:bCs w:val="0"/>
          <w:spacing w:val="3"/>
          <w:sz w:val="21"/>
          <w:szCs w:val="21"/>
        </w:rPr>
        <w:t xml:space="preserve"> </w:t>
      </w:r>
      <w:r w:rsidRPr="007C2763">
        <w:rPr>
          <w:rFonts w:ascii="Abadi" w:hAnsi="Abadi"/>
          <w:b w:val="0"/>
          <w:bCs w:val="0"/>
          <w:sz w:val="21"/>
          <w:szCs w:val="21"/>
        </w:rPr>
        <w:t>tanto, es</w:t>
      </w:r>
      <w:r w:rsidRPr="007C2763">
        <w:rPr>
          <w:rFonts w:ascii="Abadi" w:hAnsi="Abadi"/>
          <w:b w:val="0"/>
          <w:bCs w:val="0"/>
          <w:spacing w:val="2"/>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de lo</w:t>
      </w:r>
      <w:r w:rsidRPr="007C2763">
        <w:rPr>
          <w:rFonts w:ascii="Abadi" w:hAnsi="Abadi"/>
          <w:b w:val="0"/>
          <w:bCs w:val="0"/>
          <w:spacing w:val="3"/>
          <w:sz w:val="21"/>
          <w:szCs w:val="21"/>
        </w:rPr>
        <w:t xml:space="preserve"> </w:t>
      </w:r>
      <w:r w:rsidRPr="007C2763">
        <w:rPr>
          <w:rFonts w:ascii="Abadi" w:hAnsi="Abadi"/>
          <w:b w:val="0"/>
          <w:bCs w:val="0"/>
          <w:sz w:val="21"/>
          <w:szCs w:val="21"/>
        </w:rPr>
        <w:t>expuesto</w:t>
      </w:r>
      <w:r w:rsidRPr="007C2763">
        <w:rPr>
          <w:rFonts w:ascii="Abadi" w:hAnsi="Abadi"/>
          <w:b w:val="0"/>
          <w:bCs w:val="0"/>
          <w:spacing w:val="1"/>
          <w:sz w:val="21"/>
          <w:szCs w:val="21"/>
        </w:rPr>
        <w:t xml:space="preserve"> </w:t>
      </w:r>
      <w:r w:rsidRPr="007C2763">
        <w:rPr>
          <w:rFonts w:ascii="Abadi" w:hAnsi="Abadi"/>
          <w:b w:val="0"/>
          <w:bCs w:val="0"/>
          <w:sz w:val="21"/>
          <w:szCs w:val="21"/>
        </w:rPr>
        <w:t>en</w:t>
      </w:r>
      <w:r w:rsidRPr="007C2763">
        <w:rPr>
          <w:rFonts w:ascii="Abadi" w:hAnsi="Abadi"/>
          <w:b w:val="0"/>
          <w:bCs w:val="0"/>
          <w:spacing w:val="3"/>
          <w:sz w:val="21"/>
          <w:szCs w:val="21"/>
        </w:rPr>
        <w:t xml:space="preserve"> </w:t>
      </w:r>
      <w:r w:rsidRPr="007C2763">
        <w:rPr>
          <w:rFonts w:ascii="Abadi" w:hAnsi="Abadi"/>
          <w:b w:val="0"/>
          <w:bCs w:val="0"/>
          <w:sz w:val="21"/>
          <w:szCs w:val="21"/>
        </w:rPr>
        <w:t>la</w:t>
      </w:r>
      <w:r w:rsidRPr="007C2763">
        <w:rPr>
          <w:rFonts w:ascii="Abadi" w:hAnsi="Abadi"/>
          <w:b w:val="0"/>
          <w:bCs w:val="0"/>
          <w:spacing w:val="4"/>
          <w:sz w:val="21"/>
          <w:szCs w:val="21"/>
        </w:rPr>
        <w:t xml:space="preserve"> </w:t>
      </w:r>
      <w:r w:rsidRPr="007C2763">
        <w:rPr>
          <w:rFonts w:ascii="Abadi" w:hAnsi="Abadi"/>
          <w:b w:val="0"/>
          <w:bCs w:val="0"/>
          <w:sz w:val="21"/>
          <w:szCs w:val="21"/>
        </w:rPr>
        <w:t>iniciativa</w:t>
      </w:r>
      <w:r w:rsidRPr="007C2763">
        <w:rPr>
          <w:rFonts w:ascii="Abadi" w:hAnsi="Abadi"/>
          <w:b w:val="0"/>
          <w:bCs w:val="0"/>
          <w:spacing w:val="3"/>
          <w:sz w:val="21"/>
          <w:szCs w:val="21"/>
        </w:rPr>
        <w:t xml:space="preserve"> </w:t>
      </w:r>
      <w:r w:rsidRPr="007C2763">
        <w:rPr>
          <w:rFonts w:ascii="Abadi" w:hAnsi="Abadi"/>
          <w:b w:val="0"/>
          <w:bCs w:val="0"/>
          <w:sz w:val="21"/>
          <w:szCs w:val="21"/>
        </w:rPr>
        <w:t>del</w:t>
      </w:r>
      <w:r w:rsidRPr="007C2763">
        <w:rPr>
          <w:rFonts w:ascii="Abadi" w:hAnsi="Abadi"/>
          <w:b w:val="0"/>
          <w:bCs w:val="0"/>
          <w:spacing w:val="2"/>
          <w:sz w:val="21"/>
          <w:szCs w:val="21"/>
        </w:rPr>
        <w:t xml:space="preserve"> </w:t>
      </w:r>
      <w:r w:rsidRPr="007C2763">
        <w:rPr>
          <w:rFonts w:ascii="Abadi" w:hAnsi="Abadi"/>
          <w:b w:val="0"/>
          <w:bCs w:val="0"/>
          <w:sz w:val="21"/>
          <w:szCs w:val="21"/>
        </w:rPr>
        <w:t>Grupo</w:t>
      </w:r>
      <w:r w:rsidRPr="007C2763">
        <w:rPr>
          <w:rFonts w:ascii="Abadi" w:hAnsi="Abadi"/>
          <w:b w:val="0"/>
          <w:bCs w:val="0"/>
          <w:spacing w:val="3"/>
          <w:sz w:val="21"/>
          <w:szCs w:val="21"/>
        </w:rPr>
        <w:t xml:space="preserve"> </w:t>
      </w:r>
      <w:r w:rsidRPr="007C2763">
        <w:rPr>
          <w:rFonts w:ascii="Abadi" w:hAnsi="Abadi"/>
          <w:b w:val="0"/>
          <w:bCs w:val="0"/>
          <w:sz w:val="21"/>
          <w:szCs w:val="21"/>
        </w:rPr>
        <w:t>Parlamentario</w:t>
      </w:r>
      <w:r w:rsidRPr="007C2763">
        <w:rPr>
          <w:rFonts w:ascii="Abadi" w:hAnsi="Abadi"/>
          <w:b w:val="0"/>
          <w:bCs w:val="0"/>
          <w:spacing w:val="1"/>
          <w:sz w:val="21"/>
          <w:szCs w:val="21"/>
        </w:rPr>
        <w:t xml:space="preserve"> </w:t>
      </w:r>
      <w:r w:rsidRPr="007C2763">
        <w:rPr>
          <w:rFonts w:ascii="Abadi" w:hAnsi="Abadi"/>
          <w:b w:val="0"/>
          <w:bCs w:val="0"/>
          <w:sz w:val="21"/>
          <w:szCs w:val="21"/>
        </w:rPr>
        <w:t>del</w:t>
      </w:r>
      <w:r w:rsidRPr="007C2763">
        <w:rPr>
          <w:rFonts w:ascii="Abadi" w:hAnsi="Abadi"/>
          <w:b w:val="0"/>
          <w:bCs w:val="0"/>
          <w:spacing w:val="2"/>
          <w:sz w:val="21"/>
          <w:szCs w:val="21"/>
        </w:rPr>
        <w:t xml:space="preserve"> </w:t>
      </w:r>
      <w:r w:rsidRPr="007C2763">
        <w:rPr>
          <w:rFonts w:ascii="Abadi" w:hAnsi="Abadi"/>
          <w:b w:val="0"/>
          <w:bCs w:val="0"/>
          <w:sz w:val="21"/>
          <w:szCs w:val="21"/>
        </w:rPr>
        <w:t>Partido</w:t>
      </w:r>
      <w:r w:rsidRPr="007C2763">
        <w:rPr>
          <w:rFonts w:ascii="Abadi" w:hAnsi="Abadi"/>
          <w:b w:val="0"/>
          <w:bCs w:val="0"/>
          <w:spacing w:val="3"/>
          <w:sz w:val="21"/>
          <w:szCs w:val="21"/>
        </w:rPr>
        <w:t xml:space="preserve"> </w:t>
      </w:r>
      <w:r w:rsidRPr="007C2763">
        <w:rPr>
          <w:rFonts w:ascii="Abadi" w:hAnsi="Abadi"/>
          <w:b w:val="0"/>
          <w:bCs w:val="0"/>
          <w:sz w:val="21"/>
          <w:szCs w:val="21"/>
        </w:rPr>
        <w:t>Acción</w:t>
      </w:r>
      <w:r w:rsidRPr="007C2763">
        <w:rPr>
          <w:rFonts w:ascii="Abadi" w:hAnsi="Abadi"/>
          <w:b w:val="0"/>
          <w:bCs w:val="0"/>
          <w:spacing w:val="3"/>
          <w:sz w:val="21"/>
          <w:szCs w:val="21"/>
        </w:rPr>
        <w:t xml:space="preserve"> </w:t>
      </w:r>
      <w:r w:rsidRPr="007C2763">
        <w:rPr>
          <w:rFonts w:ascii="Abadi" w:hAnsi="Abadi"/>
          <w:b w:val="0"/>
          <w:bCs w:val="0"/>
          <w:sz w:val="21"/>
          <w:szCs w:val="21"/>
        </w:rPr>
        <w:t>Nacional,</w:t>
      </w:r>
      <w:r w:rsidRPr="007C2763">
        <w:rPr>
          <w:rFonts w:ascii="Abadi" w:hAnsi="Abadi"/>
          <w:b w:val="0"/>
          <w:bCs w:val="0"/>
          <w:spacing w:val="3"/>
          <w:sz w:val="21"/>
          <w:szCs w:val="21"/>
        </w:rPr>
        <w:t xml:space="preserve"> </w:t>
      </w:r>
      <w:r w:rsidRPr="007C2763">
        <w:rPr>
          <w:rFonts w:ascii="Abadi" w:hAnsi="Abadi"/>
          <w:b w:val="0"/>
          <w:bCs w:val="0"/>
          <w:sz w:val="21"/>
          <w:szCs w:val="21"/>
        </w:rPr>
        <w:t>al establecer</w:t>
      </w:r>
      <w:r w:rsidRPr="007C2763">
        <w:rPr>
          <w:rFonts w:ascii="Abadi" w:hAnsi="Abadi"/>
          <w:b w:val="0"/>
          <w:bCs w:val="0"/>
          <w:spacing w:val="10"/>
          <w:sz w:val="21"/>
          <w:szCs w:val="21"/>
        </w:rPr>
        <w:t xml:space="preserve"> </w:t>
      </w:r>
      <w:r w:rsidRPr="007C2763">
        <w:rPr>
          <w:rFonts w:ascii="Abadi" w:hAnsi="Abadi"/>
          <w:b w:val="0"/>
          <w:bCs w:val="0"/>
          <w:sz w:val="21"/>
          <w:szCs w:val="21"/>
        </w:rPr>
        <w:t>que</w:t>
      </w:r>
      <w:r w:rsidRPr="007C2763">
        <w:rPr>
          <w:rFonts w:ascii="Abadi" w:hAnsi="Abadi"/>
          <w:b w:val="0"/>
          <w:bCs w:val="0"/>
          <w:spacing w:val="11"/>
          <w:sz w:val="21"/>
          <w:szCs w:val="21"/>
        </w:rPr>
        <w:t xml:space="preserve"> </w:t>
      </w:r>
      <w:r w:rsidRPr="007C2763">
        <w:rPr>
          <w:rFonts w:ascii="Abadi" w:hAnsi="Abadi"/>
          <w:b w:val="0"/>
          <w:bCs w:val="0"/>
          <w:sz w:val="21"/>
          <w:szCs w:val="21"/>
        </w:rPr>
        <w:t>la</w:t>
      </w:r>
      <w:r w:rsidRPr="007C2763">
        <w:rPr>
          <w:rFonts w:ascii="Abadi" w:hAnsi="Abadi"/>
          <w:b w:val="0"/>
          <w:bCs w:val="0"/>
          <w:spacing w:val="9"/>
          <w:sz w:val="21"/>
          <w:szCs w:val="21"/>
        </w:rPr>
        <w:t xml:space="preserve"> </w:t>
      </w:r>
      <w:r w:rsidRPr="007C2763">
        <w:rPr>
          <w:rFonts w:ascii="Abadi" w:hAnsi="Abadi"/>
          <w:b w:val="0"/>
          <w:bCs w:val="0"/>
          <w:sz w:val="21"/>
          <w:szCs w:val="21"/>
        </w:rPr>
        <w:t>población</w:t>
      </w:r>
      <w:r w:rsidRPr="007C2763">
        <w:rPr>
          <w:rFonts w:ascii="Abadi" w:hAnsi="Abadi"/>
          <w:b w:val="0"/>
          <w:bCs w:val="0"/>
          <w:spacing w:val="9"/>
          <w:sz w:val="21"/>
          <w:szCs w:val="21"/>
        </w:rPr>
        <w:t xml:space="preserve"> </w:t>
      </w:r>
      <w:r w:rsidRPr="007C2763">
        <w:rPr>
          <w:rFonts w:ascii="Abadi" w:hAnsi="Abadi"/>
          <w:b w:val="0"/>
          <w:bCs w:val="0"/>
          <w:sz w:val="21"/>
          <w:szCs w:val="21"/>
        </w:rPr>
        <w:t>del</w:t>
      </w:r>
      <w:r w:rsidRPr="007C2763">
        <w:rPr>
          <w:rFonts w:ascii="Abadi" w:hAnsi="Abadi"/>
          <w:b w:val="0"/>
          <w:bCs w:val="0"/>
          <w:spacing w:val="7"/>
          <w:sz w:val="21"/>
          <w:szCs w:val="21"/>
        </w:rPr>
        <w:t xml:space="preserve"> </w:t>
      </w:r>
      <w:r w:rsidRPr="007C2763">
        <w:rPr>
          <w:rFonts w:ascii="Abadi" w:hAnsi="Abadi"/>
          <w:b w:val="0"/>
          <w:bCs w:val="0"/>
          <w:sz w:val="21"/>
          <w:szCs w:val="21"/>
        </w:rPr>
        <w:t>municipio</w:t>
      </w:r>
      <w:r w:rsidRPr="007C2763">
        <w:rPr>
          <w:rFonts w:ascii="Abadi" w:hAnsi="Abadi"/>
          <w:b w:val="0"/>
          <w:bCs w:val="0"/>
          <w:spacing w:val="9"/>
          <w:sz w:val="21"/>
          <w:szCs w:val="21"/>
        </w:rPr>
        <w:t xml:space="preserve"> </w:t>
      </w:r>
      <w:r w:rsidRPr="007C2763">
        <w:rPr>
          <w:rFonts w:ascii="Abadi" w:hAnsi="Abadi"/>
          <w:b w:val="0"/>
          <w:bCs w:val="0"/>
          <w:sz w:val="21"/>
          <w:szCs w:val="21"/>
        </w:rPr>
        <w:t>de</w:t>
      </w:r>
      <w:r w:rsidRPr="007C2763">
        <w:rPr>
          <w:rFonts w:ascii="Abadi" w:hAnsi="Abadi"/>
          <w:b w:val="0"/>
          <w:bCs w:val="0"/>
          <w:spacing w:val="11"/>
          <w:sz w:val="21"/>
          <w:szCs w:val="21"/>
        </w:rPr>
        <w:t xml:space="preserve"> </w:t>
      </w:r>
      <w:r w:rsidRPr="007C2763">
        <w:rPr>
          <w:rFonts w:ascii="Abadi" w:hAnsi="Abadi"/>
          <w:b w:val="0"/>
          <w:bCs w:val="0"/>
          <w:sz w:val="21"/>
          <w:szCs w:val="21"/>
        </w:rPr>
        <w:t>Doctor</w:t>
      </w:r>
      <w:r w:rsidRPr="007C2763">
        <w:rPr>
          <w:rFonts w:ascii="Abadi" w:hAnsi="Abadi"/>
          <w:b w:val="0"/>
          <w:bCs w:val="0"/>
          <w:spacing w:val="9"/>
          <w:sz w:val="21"/>
          <w:szCs w:val="21"/>
        </w:rPr>
        <w:t xml:space="preserve"> </w:t>
      </w:r>
      <w:r w:rsidRPr="007C2763">
        <w:rPr>
          <w:rFonts w:ascii="Abadi" w:hAnsi="Abadi"/>
          <w:b w:val="0"/>
          <w:bCs w:val="0"/>
          <w:sz w:val="21"/>
          <w:szCs w:val="21"/>
        </w:rPr>
        <w:t>Mora</w:t>
      </w:r>
      <w:r w:rsidRPr="007C2763">
        <w:rPr>
          <w:rFonts w:ascii="Abadi" w:hAnsi="Abadi"/>
          <w:b w:val="0"/>
          <w:bCs w:val="0"/>
          <w:spacing w:val="11"/>
          <w:sz w:val="21"/>
          <w:szCs w:val="21"/>
        </w:rPr>
        <w:t xml:space="preserve"> </w:t>
      </w:r>
      <w:r w:rsidRPr="007C2763">
        <w:rPr>
          <w:rFonts w:ascii="Abadi" w:hAnsi="Abadi"/>
          <w:b w:val="0"/>
          <w:bCs w:val="0"/>
          <w:sz w:val="21"/>
          <w:szCs w:val="21"/>
        </w:rPr>
        <w:t>solicita</w:t>
      </w:r>
      <w:r w:rsidRPr="007C2763">
        <w:rPr>
          <w:rFonts w:ascii="Abadi" w:hAnsi="Abadi"/>
          <w:b w:val="0"/>
          <w:bCs w:val="0"/>
          <w:spacing w:val="11"/>
          <w:sz w:val="21"/>
          <w:szCs w:val="21"/>
        </w:rPr>
        <w:t xml:space="preserve"> </w:t>
      </w:r>
      <w:r w:rsidRPr="007C2763">
        <w:rPr>
          <w:rFonts w:ascii="Abadi" w:hAnsi="Abadi"/>
          <w:b w:val="0"/>
          <w:bCs w:val="0"/>
          <w:sz w:val="21"/>
          <w:szCs w:val="21"/>
        </w:rPr>
        <w:t>que,</w:t>
      </w:r>
      <w:r w:rsidRPr="007C2763">
        <w:rPr>
          <w:rFonts w:ascii="Abadi" w:hAnsi="Abadi"/>
          <w:b w:val="0"/>
          <w:bCs w:val="0"/>
          <w:spacing w:val="11"/>
          <w:sz w:val="21"/>
          <w:szCs w:val="21"/>
        </w:rPr>
        <w:t xml:space="preserve"> </w:t>
      </w:r>
      <w:r w:rsidRPr="007C2763">
        <w:rPr>
          <w:rFonts w:ascii="Abadi" w:hAnsi="Abadi"/>
          <w:b w:val="0"/>
          <w:bCs w:val="0"/>
          <w:sz w:val="21"/>
          <w:szCs w:val="21"/>
        </w:rPr>
        <w:t>para reforzar</w:t>
      </w:r>
      <w:r w:rsidRPr="007C2763">
        <w:rPr>
          <w:rFonts w:ascii="Abadi" w:hAnsi="Abadi"/>
          <w:b w:val="0"/>
          <w:bCs w:val="0"/>
          <w:spacing w:val="44"/>
          <w:sz w:val="21"/>
          <w:szCs w:val="21"/>
        </w:rPr>
        <w:t xml:space="preserve"> </w:t>
      </w:r>
      <w:r w:rsidRPr="007C2763">
        <w:rPr>
          <w:rFonts w:ascii="Abadi" w:hAnsi="Abadi"/>
          <w:b w:val="0"/>
          <w:bCs w:val="0"/>
          <w:sz w:val="21"/>
          <w:szCs w:val="21"/>
        </w:rPr>
        <w:t>su</w:t>
      </w:r>
      <w:r w:rsidRPr="007C2763">
        <w:rPr>
          <w:rFonts w:ascii="Abadi" w:hAnsi="Abadi"/>
          <w:b w:val="0"/>
          <w:bCs w:val="0"/>
          <w:spacing w:val="44"/>
          <w:sz w:val="21"/>
          <w:szCs w:val="21"/>
        </w:rPr>
        <w:t xml:space="preserve"> </w:t>
      </w:r>
      <w:r w:rsidRPr="007C2763">
        <w:rPr>
          <w:rFonts w:ascii="Abadi" w:hAnsi="Abadi"/>
          <w:b w:val="0"/>
          <w:bCs w:val="0"/>
          <w:sz w:val="21"/>
          <w:szCs w:val="21"/>
        </w:rPr>
        <w:t>historia</w:t>
      </w:r>
      <w:r w:rsidRPr="007C2763">
        <w:rPr>
          <w:rFonts w:ascii="Abadi" w:hAnsi="Abadi"/>
          <w:b w:val="0"/>
          <w:bCs w:val="0"/>
          <w:spacing w:val="46"/>
          <w:sz w:val="21"/>
          <w:szCs w:val="21"/>
        </w:rPr>
        <w:t xml:space="preserve"> </w:t>
      </w:r>
      <w:r w:rsidRPr="007C2763">
        <w:rPr>
          <w:rFonts w:ascii="Abadi" w:hAnsi="Abadi"/>
          <w:b w:val="0"/>
          <w:bCs w:val="0"/>
          <w:sz w:val="21"/>
          <w:szCs w:val="21"/>
        </w:rPr>
        <w:t>e</w:t>
      </w:r>
      <w:r w:rsidRPr="007C2763">
        <w:rPr>
          <w:rFonts w:ascii="Abadi" w:hAnsi="Abadi"/>
          <w:b w:val="0"/>
          <w:bCs w:val="0"/>
          <w:spacing w:val="42"/>
          <w:sz w:val="21"/>
          <w:szCs w:val="21"/>
        </w:rPr>
        <w:t xml:space="preserve"> </w:t>
      </w:r>
      <w:r w:rsidRPr="007C2763">
        <w:rPr>
          <w:rFonts w:ascii="Abadi" w:hAnsi="Abadi"/>
          <w:b w:val="0"/>
          <w:bCs w:val="0"/>
          <w:sz w:val="21"/>
          <w:szCs w:val="21"/>
        </w:rPr>
        <w:t>identidad,</w:t>
      </w:r>
      <w:r w:rsidRPr="007C2763">
        <w:rPr>
          <w:rFonts w:ascii="Abadi" w:hAnsi="Abadi"/>
          <w:b w:val="0"/>
          <w:bCs w:val="0"/>
          <w:spacing w:val="44"/>
          <w:sz w:val="21"/>
          <w:szCs w:val="21"/>
        </w:rPr>
        <w:t xml:space="preserve"> </w:t>
      </w:r>
      <w:r w:rsidRPr="007C2763">
        <w:rPr>
          <w:rFonts w:ascii="Abadi" w:hAnsi="Abadi"/>
          <w:b w:val="0"/>
          <w:bCs w:val="0"/>
          <w:sz w:val="21"/>
          <w:szCs w:val="21"/>
        </w:rPr>
        <w:t>es</w:t>
      </w:r>
      <w:r w:rsidRPr="007C2763">
        <w:rPr>
          <w:rFonts w:ascii="Abadi" w:hAnsi="Abadi"/>
          <w:b w:val="0"/>
          <w:bCs w:val="0"/>
          <w:spacing w:val="43"/>
          <w:sz w:val="21"/>
          <w:szCs w:val="21"/>
        </w:rPr>
        <w:t xml:space="preserve"> </w:t>
      </w:r>
      <w:r w:rsidRPr="007C2763">
        <w:rPr>
          <w:rFonts w:ascii="Abadi" w:hAnsi="Abadi"/>
          <w:b w:val="0"/>
          <w:bCs w:val="0"/>
          <w:sz w:val="21"/>
          <w:szCs w:val="21"/>
        </w:rPr>
        <w:t>necesario</w:t>
      </w:r>
      <w:r w:rsidRPr="007C2763">
        <w:rPr>
          <w:rFonts w:ascii="Abadi" w:hAnsi="Abadi"/>
          <w:b w:val="0"/>
          <w:bCs w:val="0"/>
          <w:spacing w:val="47"/>
          <w:sz w:val="21"/>
          <w:szCs w:val="21"/>
        </w:rPr>
        <w:t xml:space="preserve"> </w:t>
      </w:r>
      <w:r w:rsidRPr="007C2763">
        <w:rPr>
          <w:rFonts w:ascii="Abadi" w:hAnsi="Abadi"/>
          <w:b w:val="0"/>
          <w:bCs w:val="0"/>
          <w:sz w:val="21"/>
          <w:szCs w:val="21"/>
        </w:rPr>
        <w:t>el</w:t>
      </w:r>
      <w:r w:rsidRPr="007C2763">
        <w:rPr>
          <w:rFonts w:ascii="Abadi" w:hAnsi="Abadi"/>
          <w:b w:val="0"/>
          <w:bCs w:val="0"/>
          <w:spacing w:val="45"/>
          <w:sz w:val="21"/>
          <w:szCs w:val="21"/>
        </w:rPr>
        <w:t xml:space="preserve"> </w:t>
      </w:r>
      <w:r w:rsidRPr="007C2763">
        <w:rPr>
          <w:rFonts w:ascii="Abadi" w:hAnsi="Abadi"/>
          <w:b w:val="0"/>
          <w:bCs w:val="0"/>
          <w:sz w:val="21"/>
          <w:szCs w:val="21"/>
        </w:rPr>
        <w:t>cambio</w:t>
      </w:r>
      <w:r w:rsidRPr="007C2763">
        <w:rPr>
          <w:rFonts w:ascii="Abadi" w:hAnsi="Abadi"/>
          <w:b w:val="0"/>
          <w:bCs w:val="0"/>
          <w:spacing w:val="43"/>
          <w:sz w:val="21"/>
          <w:szCs w:val="21"/>
        </w:rPr>
        <w:t xml:space="preserve"> </w:t>
      </w:r>
      <w:r w:rsidRPr="007C2763">
        <w:rPr>
          <w:rFonts w:ascii="Abadi" w:hAnsi="Abadi"/>
          <w:b w:val="0"/>
          <w:bCs w:val="0"/>
          <w:sz w:val="21"/>
          <w:szCs w:val="21"/>
        </w:rPr>
        <w:t>de</w:t>
      </w:r>
      <w:r w:rsidRPr="007C2763">
        <w:rPr>
          <w:rFonts w:ascii="Abadi" w:hAnsi="Abadi"/>
          <w:b w:val="0"/>
          <w:bCs w:val="0"/>
          <w:spacing w:val="44"/>
          <w:sz w:val="21"/>
          <w:szCs w:val="21"/>
        </w:rPr>
        <w:t xml:space="preserve"> </w:t>
      </w:r>
      <w:r w:rsidRPr="007C2763">
        <w:rPr>
          <w:rFonts w:ascii="Abadi" w:hAnsi="Abadi"/>
          <w:b w:val="0"/>
          <w:bCs w:val="0"/>
          <w:sz w:val="21"/>
          <w:szCs w:val="21"/>
        </w:rPr>
        <w:t>denominación</w:t>
      </w:r>
      <w:r w:rsidRPr="007C2763">
        <w:rPr>
          <w:rFonts w:ascii="Abadi" w:hAnsi="Abadi"/>
          <w:b w:val="0"/>
          <w:bCs w:val="0"/>
          <w:spacing w:val="44"/>
          <w:sz w:val="21"/>
          <w:szCs w:val="21"/>
        </w:rPr>
        <w:t xml:space="preserve"> </w:t>
      </w:r>
      <w:r w:rsidRPr="007C2763">
        <w:rPr>
          <w:rFonts w:ascii="Abadi" w:hAnsi="Abadi"/>
          <w:b w:val="0"/>
          <w:bCs w:val="0"/>
          <w:sz w:val="21"/>
          <w:szCs w:val="21"/>
        </w:rPr>
        <w:t>de</w:t>
      </w:r>
      <w:r w:rsidRPr="007C2763">
        <w:rPr>
          <w:rFonts w:ascii="Abadi" w:hAnsi="Abadi"/>
          <w:b w:val="0"/>
          <w:bCs w:val="0"/>
          <w:spacing w:val="46"/>
          <w:sz w:val="21"/>
          <w:szCs w:val="21"/>
        </w:rPr>
        <w:t xml:space="preserve"> </w:t>
      </w:r>
      <w:r w:rsidRPr="007C2763">
        <w:rPr>
          <w:rFonts w:ascii="Abadi" w:hAnsi="Abadi"/>
          <w:b w:val="0"/>
          <w:bCs w:val="0"/>
          <w:sz w:val="21"/>
          <w:szCs w:val="21"/>
        </w:rPr>
        <w:t>la cabecera</w:t>
      </w:r>
      <w:r w:rsidRPr="007C2763">
        <w:rPr>
          <w:rFonts w:ascii="Abadi" w:hAnsi="Abadi"/>
          <w:b w:val="0"/>
          <w:bCs w:val="0"/>
          <w:spacing w:val="8"/>
          <w:sz w:val="21"/>
          <w:szCs w:val="21"/>
        </w:rPr>
        <w:t xml:space="preserve"> </w:t>
      </w:r>
      <w:r w:rsidRPr="007C2763">
        <w:rPr>
          <w:rFonts w:ascii="Abadi" w:hAnsi="Abadi"/>
          <w:b w:val="0"/>
          <w:bCs w:val="0"/>
          <w:sz w:val="21"/>
          <w:szCs w:val="21"/>
        </w:rPr>
        <w:t>municipal,</w:t>
      </w:r>
      <w:r w:rsidRPr="007C2763">
        <w:rPr>
          <w:rFonts w:ascii="Abadi" w:hAnsi="Abadi"/>
          <w:b w:val="0"/>
          <w:bCs w:val="0"/>
          <w:spacing w:val="8"/>
          <w:sz w:val="21"/>
          <w:szCs w:val="21"/>
        </w:rPr>
        <w:t xml:space="preserve"> </w:t>
      </w:r>
      <w:r w:rsidRPr="007C2763">
        <w:rPr>
          <w:rFonts w:ascii="Abadi" w:hAnsi="Abadi"/>
          <w:b w:val="0"/>
          <w:bCs w:val="0"/>
          <w:sz w:val="21"/>
          <w:szCs w:val="21"/>
        </w:rPr>
        <w:t>esta</w:t>
      </w:r>
      <w:r w:rsidRPr="007C2763">
        <w:rPr>
          <w:rFonts w:ascii="Abadi" w:hAnsi="Abadi"/>
          <w:b w:val="0"/>
          <w:bCs w:val="0"/>
          <w:spacing w:val="11"/>
          <w:sz w:val="21"/>
          <w:szCs w:val="21"/>
        </w:rPr>
        <w:t xml:space="preserve"> </w:t>
      </w:r>
      <w:r w:rsidRPr="007C2763">
        <w:rPr>
          <w:rFonts w:ascii="Abadi" w:hAnsi="Abadi"/>
          <w:b w:val="0"/>
          <w:bCs w:val="0"/>
          <w:sz w:val="21"/>
          <w:szCs w:val="21"/>
        </w:rPr>
        <w:t>reforma</w:t>
      </w:r>
      <w:r w:rsidRPr="007C2763">
        <w:rPr>
          <w:rFonts w:ascii="Abadi" w:hAnsi="Abadi"/>
          <w:b w:val="0"/>
          <w:bCs w:val="0"/>
          <w:spacing w:val="8"/>
          <w:sz w:val="21"/>
          <w:szCs w:val="21"/>
        </w:rPr>
        <w:t xml:space="preserve"> </w:t>
      </w:r>
      <w:r w:rsidRPr="007C2763">
        <w:rPr>
          <w:rFonts w:ascii="Abadi" w:hAnsi="Abadi"/>
          <w:b w:val="0"/>
          <w:bCs w:val="0"/>
          <w:sz w:val="21"/>
          <w:szCs w:val="21"/>
        </w:rPr>
        <w:t>resulta</w:t>
      </w:r>
      <w:r w:rsidRPr="007C2763">
        <w:rPr>
          <w:rFonts w:ascii="Abadi" w:hAnsi="Abadi"/>
          <w:b w:val="0"/>
          <w:bCs w:val="0"/>
          <w:spacing w:val="11"/>
          <w:sz w:val="21"/>
          <w:szCs w:val="21"/>
        </w:rPr>
        <w:t xml:space="preserve"> </w:t>
      </w:r>
      <w:r w:rsidRPr="007C2763">
        <w:rPr>
          <w:rFonts w:ascii="Abadi" w:hAnsi="Abadi"/>
          <w:b w:val="0"/>
          <w:bCs w:val="0"/>
          <w:sz w:val="21"/>
          <w:szCs w:val="21"/>
        </w:rPr>
        <w:t>viable.</w:t>
      </w:r>
      <w:r w:rsidRPr="007C2763">
        <w:rPr>
          <w:rFonts w:ascii="Abadi" w:hAnsi="Abadi"/>
          <w:b w:val="0"/>
          <w:bCs w:val="0"/>
          <w:spacing w:val="10"/>
          <w:sz w:val="21"/>
          <w:szCs w:val="21"/>
        </w:rPr>
        <w:t xml:space="preserve"> </w:t>
      </w:r>
      <w:r w:rsidRPr="007C2763">
        <w:rPr>
          <w:rFonts w:ascii="Abadi" w:hAnsi="Abadi"/>
          <w:b w:val="0"/>
          <w:bCs w:val="0"/>
          <w:sz w:val="21"/>
          <w:szCs w:val="21"/>
        </w:rPr>
        <w:t>Ello</w:t>
      </w:r>
      <w:r w:rsidRPr="007C2763">
        <w:rPr>
          <w:rFonts w:ascii="Abadi" w:hAnsi="Abadi"/>
          <w:b w:val="0"/>
          <w:bCs w:val="0"/>
          <w:spacing w:val="8"/>
          <w:sz w:val="21"/>
          <w:szCs w:val="21"/>
        </w:rPr>
        <w:t xml:space="preserve"> </w:t>
      </w:r>
      <w:r w:rsidRPr="007C2763">
        <w:rPr>
          <w:rFonts w:ascii="Abadi" w:hAnsi="Abadi"/>
          <w:b w:val="0"/>
          <w:bCs w:val="0"/>
          <w:sz w:val="21"/>
          <w:szCs w:val="21"/>
        </w:rPr>
        <w:t>derivado</w:t>
      </w:r>
      <w:r w:rsidRPr="007C2763">
        <w:rPr>
          <w:rFonts w:ascii="Abadi" w:hAnsi="Abadi"/>
          <w:b w:val="0"/>
          <w:bCs w:val="0"/>
          <w:spacing w:val="8"/>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r w:rsidRPr="007C2763">
        <w:rPr>
          <w:rFonts w:ascii="Abadi" w:hAnsi="Abadi"/>
          <w:b w:val="0"/>
          <w:bCs w:val="0"/>
          <w:sz w:val="21"/>
          <w:szCs w:val="21"/>
        </w:rPr>
        <w:t>la</w:t>
      </w:r>
      <w:r w:rsidRPr="007C2763">
        <w:rPr>
          <w:rFonts w:ascii="Abadi" w:hAnsi="Abadi"/>
          <w:b w:val="0"/>
          <w:bCs w:val="0"/>
          <w:spacing w:val="11"/>
          <w:sz w:val="21"/>
          <w:szCs w:val="21"/>
        </w:rPr>
        <w:t xml:space="preserve"> </w:t>
      </w:r>
      <w:r w:rsidRPr="007C2763">
        <w:rPr>
          <w:rFonts w:ascii="Abadi" w:hAnsi="Abadi"/>
          <w:b w:val="0"/>
          <w:bCs w:val="0"/>
          <w:sz w:val="21"/>
          <w:szCs w:val="21"/>
        </w:rPr>
        <w:t>soberanía</w:t>
      </w:r>
      <w:r w:rsidRPr="007C2763">
        <w:rPr>
          <w:rFonts w:ascii="Abadi" w:hAnsi="Abadi"/>
          <w:b w:val="0"/>
          <w:bCs w:val="0"/>
          <w:spacing w:val="8"/>
          <w:sz w:val="21"/>
          <w:szCs w:val="21"/>
        </w:rPr>
        <w:t xml:space="preserve"> </w:t>
      </w:r>
      <w:r w:rsidRPr="007C2763">
        <w:rPr>
          <w:rFonts w:ascii="Abadi" w:hAnsi="Abadi"/>
          <w:b w:val="0"/>
          <w:bCs w:val="0"/>
          <w:sz w:val="21"/>
          <w:szCs w:val="21"/>
        </w:rPr>
        <w:t>que reside</w:t>
      </w:r>
      <w:r w:rsidRPr="007C2763">
        <w:rPr>
          <w:rFonts w:ascii="Abadi" w:hAnsi="Abadi"/>
          <w:b w:val="0"/>
          <w:bCs w:val="0"/>
          <w:spacing w:val="25"/>
          <w:sz w:val="21"/>
          <w:szCs w:val="21"/>
        </w:rPr>
        <w:t xml:space="preserve"> </w:t>
      </w:r>
      <w:r w:rsidRPr="007C2763">
        <w:rPr>
          <w:rFonts w:ascii="Abadi" w:hAnsi="Abadi"/>
          <w:b w:val="0"/>
          <w:bCs w:val="0"/>
          <w:sz w:val="21"/>
          <w:szCs w:val="21"/>
        </w:rPr>
        <w:t>en</w:t>
      </w:r>
      <w:r w:rsidRPr="007C2763">
        <w:rPr>
          <w:rFonts w:ascii="Abadi" w:hAnsi="Abadi"/>
          <w:b w:val="0"/>
          <w:bCs w:val="0"/>
          <w:spacing w:val="23"/>
          <w:sz w:val="21"/>
          <w:szCs w:val="21"/>
        </w:rPr>
        <w:t xml:space="preserve"> </w:t>
      </w:r>
      <w:r w:rsidRPr="007C2763">
        <w:rPr>
          <w:rFonts w:ascii="Abadi" w:hAnsi="Abadi"/>
          <w:b w:val="0"/>
          <w:bCs w:val="0"/>
          <w:sz w:val="21"/>
          <w:szCs w:val="21"/>
        </w:rPr>
        <w:t>el</w:t>
      </w:r>
      <w:r w:rsidRPr="007C2763">
        <w:rPr>
          <w:rFonts w:ascii="Abadi" w:hAnsi="Abadi"/>
          <w:b w:val="0"/>
          <w:bCs w:val="0"/>
          <w:spacing w:val="24"/>
          <w:sz w:val="21"/>
          <w:szCs w:val="21"/>
        </w:rPr>
        <w:t xml:space="preserve"> </w:t>
      </w:r>
      <w:r w:rsidRPr="007C2763">
        <w:rPr>
          <w:rFonts w:ascii="Abadi" w:hAnsi="Abadi"/>
          <w:b w:val="0"/>
          <w:bCs w:val="0"/>
          <w:sz w:val="21"/>
          <w:szCs w:val="21"/>
        </w:rPr>
        <w:t>pueblo</w:t>
      </w:r>
      <w:r w:rsidRPr="007C2763">
        <w:rPr>
          <w:rFonts w:ascii="Abadi" w:hAnsi="Abadi"/>
          <w:b w:val="0"/>
          <w:bCs w:val="0"/>
          <w:spacing w:val="25"/>
          <w:sz w:val="21"/>
          <w:szCs w:val="21"/>
        </w:rPr>
        <w:t xml:space="preserve"> </w:t>
      </w:r>
      <w:r w:rsidRPr="007C2763">
        <w:rPr>
          <w:rFonts w:ascii="Abadi" w:hAnsi="Abadi"/>
          <w:b w:val="0"/>
          <w:bCs w:val="0"/>
          <w:sz w:val="21"/>
          <w:szCs w:val="21"/>
        </w:rPr>
        <w:t>y</w:t>
      </w:r>
      <w:r w:rsidRPr="007C2763">
        <w:rPr>
          <w:rFonts w:ascii="Abadi" w:hAnsi="Abadi"/>
          <w:b w:val="0"/>
          <w:bCs w:val="0"/>
          <w:spacing w:val="22"/>
          <w:sz w:val="21"/>
          <w:szCs w:val="21"/>
        </w:rPr>
        <w:t xml:space="preserve"> </w:t>
      </w:r>
      <w:r w:rsidRPr="007C2763">
        <w:rPr>
          <w:rFonts w:ascii="Abadi" w:hAnsi="Abadi"/>
          <w:b w:val="0"/>
          <w:bCs w:val="0"/>
          <w:sz w:val="21"/>
          <w:szCs w:val="21"/>
        </w:rPr>
        <w:t>todo</w:t>
      </w:r>
      <w:r w:rsidRPr="007C2763">
        <w:rPr>
          <w:rFonts w:ascii="Abadi" w:hAnsi="Abadi"/>
          <w:b w:val="0"/>
          <w:bCs w:val="0"/>
          <w:spacing w:val="23"/>
          <w:sz w:val="21"/>
          <w:szCs w:val="21"/>
        </w:rPr>
        <w:t xml:space="preserve"> </w:t>
      </w:r>
      <w:r w:rsidRPr="007C2763">
        <w:rPr>
          <w:rFonts w:ascii="Abadi" w:hAnsi="Abadi"/>
          <w:b w:val="0"/>
          <w:bCs w:val="0"/>
          <w:sz w:val="21"/>
          <w:szCs w:val="21"/>
        </w:rPr>
        <w:t>poder</w:t>
      </w:r>
      <w:r w:rsidRPr="007C2763">
        <w:rPr>
          <w:rFonts w:ascii="Abadi" w:hAnsi="Abadi"/>
          <w:b w:val="0"/>
          <w:bCs w:val="0"/>
          <w:spacing w:val="23"/>
          <w:sz w:val="21"/>
          <w:szCs w:val="21"/>
        </w:rPr>
        <w:t xml:space="preserve"> </w:t>
      </w:r>
      <w:r w:rsidRPr="007C2763">
        <w:rPr>
          <w:rFonts w:ascii="Abadi" w:hAnsi="Abadi"/>
          <w:b w:val="0"/>
          <w:bCs w:val="0"/>
          <w:sz w:val="21"/>
          <w:szCs w:val="21"/>
        </w:rPr>
        <w:t>público</w:t>
      </w:r>
      <w:r w:rsidRPr="007C2763">
        <w:rPr>
          <w:rFonts w:ascii="Abadi" w:hAnsi="Abadi"/>
          <w:b w:val="0"/>
          <w:bCs w:val="0"/>
          <w:spacing w:val="25"/>
          <w:sz w:val="21"/>
          <w:szCs w:val="21"/>
        </w:rPr>
        <w:t xml:space="preserve"> </w:t>
      </w:r>
      <w:r w:rsidRPr="007C2763">
        <w:rPr>
          <w:rFonts w:ascii="Abadi" w:hAnsi="Abadi"/>
          <w:b w:val="0"/>
          <w:bCs w:val="0"/>
          <w:sz w:val="21"/>
          <w:szCs w:val="21"/>
        </w:rPr>
        <w:t>dimana</w:t>
      </w:r>
      <w:r w:rsidRPr="007C2763">
        <w:rPr>
          <w:rFonts w:ascii="Abadi" w:hAnsi="Abadi"/>
          <w:b w:val="0"/>
          <w:bCs w:val="0"/>
          <w:spacing w:val="25"/>
          <w:sz w:val="21"/>
          <w:szCs w:val="21"/>
        </w:rPr>
        <w:t xml:space="preserve"> </w:t>
      </w:r>
      <w:r w:rsidRPr="007C2763">
        <w:rPr>
          <w:rFonts w:ascii="Abadi" w:hAnsi="Abadi"/>
          <w:b w:val="0"/>
          <w:bCs w:val="0"/>
          <w:sz w:val="21"/>
          <w:szCs w:val="21"/>
        </w:rPr>
        <w:t>del</w:t>
      </w:r>
      <w:r w:rsidRPr="007C2763">
        <w:rPr>
          <w:rFonts w:ascii="Abadi" w:hAnsi="Abadi"/>
          <w:b w:val="0"/>
          <w:bCs w:val="0"/>
          <w:spacing w:val="24"/>
          <w:sz w:val="21"/>
          <w:szCs w:val="21"/>
        </w:rPr>
        <w:t xml:space="preserve"> </w:t>
      </w:r>
      <w:r w:rsidRPr="007C2763">
        <w:rPr>
          <w:rFonts w:ascii="Abadi" w:hAnsi="Abadi"/>
          <w:b w:val="0"/>
          <w:bCs w:val="0"/>
          <w:sz w:val="21"/>
          <w:szCs w:val="21"/>
        </w:rPr>
        <w:t>pueblo.</w:t>
      </w:r>
      <w:r w:rsidRPr="007C2763">
        <w:rPr>
          <w:rFonts w:ascii="Abadi" w:hAnsi="Abadi"/>
          <w:b w:val="0"/>
          <w:bCs w:val="0"/>
          <w:spacing w:val="25"/>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igual</w:t>
      </w:r>
      <w:r w:rsidRPr="007C2763">
        <w:rPr>
          <w:rFonts w:ascii="Abadi" w:hAnsi="Abadi"/>
          <w:b w:val="0"/>
          <w:bCs w:val="0"/>
          <w:spacing w:val="24"/>
          <w:sz w:val="21"/>
          <w:szCs w:val="21"/>
        </w:rPr>
        <w:t xml:space="preserve"> </w:t>
      </w:r>
      <w:r w:rsidRPr="007C2763">
        <w:rPr>
          <w:rFonts w:ascii="Abadi" w:hAnsi="Abadi"/>
          <w:b w:val="0"/>
          <w:bCs w:val="0"/>
          <w:sz w:val="21"/>
          <w:szCs w:val="21"/>
        </w:rPr>
        <w:t>forma</w:t>
      </w:r>
      <w:r w:rsidRPr="007C2763">
        <w:rPr>
          <w:rFonts w:ascii="Abadi" w:hAnsi="Abadi"/>
          <w:b w:val="0"/>
          <w:bCs w:val="0"/>
          <w:spacing w:val="23"/>
          <w:sz w:val="21"/>
          <w:szCs w:val="21"/>
        </w:rPr>
        <w:t xml:space="preserve"> </w:t>
      </w:r>
      <w:r w:rsidRPr="007C2763">
        <w:rPr>
          <w:rFonts w:ascii="Abadi" w:hAnsi="Abadi"/>
          <w:b w:val="0"/>
          <w:bCs w:val="0"/>
          <w:sz w:val="21"/>
          <w:szCs w:val="21"/>
        </w:rPr>
        <w:t>esta viabilidad</w:t>
      </w:r>
      <w:r w:rsidRPr="007C2763">
        <w:rPr>
          <w:rFonts w:ascii="Abadi" w:hAnsi="Abadi"/>
          <w:b w:val="0"/>
          <w:bCs w:val="0"/>
          <w:spacing w:val="5"/>
          <w:sz w:val="21"/>
          <w:szCs w:val="21"/>
        </w:rPr>
        <w:t xml:space="preserve"> </w:t>
      </w:r>
      <w:r w:rsidRPr="007C2763">
        <w:rPr>
          <w:rFonts w:ascii="Abadi" w:hAnsi="Abadi"/>
          <w:b w:val="0"/>
          <w:bCs w:val="0"/>
          <w:sz w:val="21"/>
          <w:szCs w:val="21"/>
        </w:rPr>
        <w:t>obedece</w:t>
      </w:r>
      <w:r w:rsidRPr="007C2763">
        <w:rPr>
          <w:rFonts w:ascii="Abadi" w:hAnsi="Abadi"/>
          <w:b w:val="0"/>
          <w:bCs w:val="0"/>
          <w:spacing w:val="6"/>
          <w:sz w:val="21"/>
          <w:szCs w:val="21"/>
        </w:rPr>
        <w:t xml:space="preserve"> </w:t>
      </w:r>
      <w:r w:rsidRPr="007C2763">
        <w:rPr>
          <w:rFonts w:ascii="Abadi" w:hAnsi="Abadi"/>
          <w:b w:val="0"/>
          <w:bCs w:val="0"/>
          <w:sz w:val="21"/>
          <w:szCs w:val="21"/>
        </w:rPr>
        <w:t>a</w:t>
      </w:r>
      <w:r w:rsidRPr="007C2763">
        <w:rPr>
          <w:rFonts w:ascii="Abadi" w:hAnsi="Abadi"/>
          <w:b w:val="0"/>
          <w:bCs w:val="0"/>
          <w:spacing w:val="4"/>
          <w:sz w:val="21"/>
          <w:szCs w:val="21"/>
        </w:rPr>
        <w:t xml:space="preserve"> </w:t>
      </w:r>
      <w:r w:rsidRPr="007C2763">
        <w:rPr>
          <w:rFonts w:ascii="Abadi" w:hAnsi="Abadi"/>
          <w:b w:val="0"/>
          <w:bCs w:val="0"/>
          <w:sz w:val="21"/>
          <w:szCs w:val="21"/>
        </w:rPr>
        <w:t>que</w:t>
      </w:r>
      <w:r w:rsidRPr="007C2763">
        <w:rPr>
          <w:rFonts w:ascii="Abadi" w:hAnsi="Abadi"/>
          <w:b w:val="0"/>
          <w:bCs w:val="0"/>
          <w:spacing w:val="4"/>
          <w:sz w:val="21"/>
          <w:szCs w:val="21"/>
        </w:rPr>
        <w:t xml:space="preserve"> </w:t>
      </w:r>
      <w:r w:rsidRPr="007C2763">
        <w:rPr>
          <w:rFonts w:ascii="Abadi" w:hAnsi="Abadi"/>
          <w:b w:val="0"/>
          <w:bCs w:val="0"/>
          <w:sz w:val="21"/>
          <w:szCs w:val="21"/>
        </w:rPr>
        <w:t>en</w:t>
      </w:r>
      <w:r w:rsidRPr="007C2763">
        <w:rPr>
          <w:rFonts w:ascii="Abadi" w:hAnsi="Abadi"/>
          <w:b w:val="0"/>
          <w:bCs w:val="0"/>
          <w:spacing w:val="6"/>
          <w:sz w:val="21"/>
          <w:szCs w:val="21"/>
        </w:rPr>
        <w:t xml:space="preserve"> </w:t>
      </w:r>
      <w:r w:rsidRPr="007C2763">
        <w:rPr>
          <w:rFonts w:ascii="Abadi" w:hAnsi="Abadi"/>
          <w:b w:val="0"/>
          <w:bCs w:val="0"/>
          <w:sz w:val="21"/>
          <w:szCs w:val="21"/>
        </w:rPr>
        <w:t>la</w:t>
      </w:r>
      <w:r w:rsidRPr="007C2763">
        <w:rPr>
          <w:rFonts w:ascii="Abadi" w:hAnsi="Abadi"/>
          <w:b w:val="0"/>
          <w:bCs w:val="0"/>
          <w:spacing w:val="4"/>
          <w:sz w:val="21"/>
          <w:szCs w:val="21"/>
        </w:rPr>
        <w:t xml:space="preserve"> </w:t>
      </w:r>
      <w:r w:rsidRPr="007C2763">
        <w:rPr>
          <w:rFonts w:ascii="Abadi" w:hAnsi="Abadi"/>
          <w:b w:val="0"/>
          <w:bCs w:val="0"/>
          <w:sz w:val="21"/>
          <w:szCs w:val="21"/>
        </w:rPr>
        <w:t>práctica</w:t>
      </w:r>
      <w:r w:rsidRPr="007C2763">
        <w:rPr>
          <w:rFonts w:ascii="Abadi" w:hAnsi="Abadi"/>
          <w:b w:val="0"/>
          <w:bCs w:val="0"/>
          <w:spacing w:val="1"/>
          <w:sz w:val="21"/>
          <w:szCs w:val="21"/>
        </w:rPr>
        <w:t xml:space="preserve"> </w:t>
      </w:r>
      <w:r w:rsidRPr="007C2763">
        <w:rPr>
          <w:rFonts w:ascii="Abadi" w:hAnsi="Abadi"/>
          <w:b w:val="0"/>
          <w:bCs w:val="0"/>
          <w:sz w:val="21"/>
          <w:szCs w:val="21"/>
        </w:rPr>
        <w:t>y</w:t>
      </w:r>
      <w:r w:rsidRPr="007C2763">
        <w:rPr>
          <w:rFonts w:ascii="Abadi" w:hAnsi="Abadi"/>
          <w:b w:val="0"/>
          <w:bCs w:val="0"/>
          <w:spacing w:val="5"/>
          <w:sz w:val="21"/>
          <w:szCs w:val="21"/>
        </w:rPr>
        <w:t xml:space="preserve"> </w:t>
      </w:r>
      <w:r w:rsidRPr="007C2763">
        <w:rPr>
          <w:rFonts w:ascii="Abadi" w:hAnsi="Abadi"/>
          <w:b w:val="0"/>
          <w:bCs w:val="0"/>
          <w:sz w:val="21"/>
          <w:szCs w:val="21"/>
        </w:rPr>
        <w:t>costumbre,</w:t>
      </w:r>
      <w:r w:rsidRPr="007C2763">
        <w:rPr>
          <w:rFonts w:ascii="Abadi" w:hAnsi="Abadi"/>
          <w:b w:val="0"/>
          <w:bCs w:val="0"/>
          <w:spacing w:val="6"/>
          <w:sz w:val="21"/>
          <w:szCs w:val="21"/>
        </w:rPr>
        <w:t xml:space="preserve"> </w:t>
      </w:r>
      <w:r w:rsidRPr="007C2763">
        <w:rPr>
          <w:rFonts w:ascii="Abadi" w:hAnsi="Abadi"/>
          <w:b w:val="0"/>
          <w:bCs w:val="0"/>
          <w:sz w:val="21"/>
          <w:szCs w:val="21"/>
        </w:rPr>
        <w:t>estos</w:t>
      </w:r>
      <w:r w:rsidRPr="007C2763">
        <w:rPr>
          <w:rFonts w:ascii="Abadi" w:hAnsi="Abadi"/>
          <w:b w:val="0"/>
          <w:bCs w:val="0"/>
          <w:spacing w:val="5"/>
          <w:sz w:val="21"/>
          <w:szCs w:val="21"/>
        </w:rPr>
        <w:t xml:space="preserve"> </w:t>
      </w:r>
      <w:r w:rsidRPr="007C2763">
        <w:rPr>
          <w:rFonts w:ascii="Abadi" w:hAnsi="Abadi"/>
          <w:b w:val="0"/>
          <w:bCs w:val="0"/>
          <w:sz w:val="21"/>
          <w:szCs w:val="21"/>
        </w:rPr>
        <w:t>cambios</w:t>
      </w:r>
      <w:r w:rsidRPr="007C2763">
        <w:rPr>
          <w:rFonts w:ascii="Abadi" w:hAnsi="Abadi"/>
          <w:b w:val="0"/>
          <w:bCs w:val="0"/>
          <w:spacing w:val="5"/>
          <w:sz w:val="21"/>
          <w:szCs w:val="21"/>
        </w:rPr>
        <w:t xml:space="preserve"> </w:t>
      </w:r>
      <w:r w:rsidRPr="007C2763">
        <w:rPr>
          <w:rFonts w:ascii="Abadi" w:hAnsi="Abadi"/>
          <w:b w:val="0"/>
          <w:bCs w:val="0"/>
          <w:sz w:val="21"/>
          <w:szCs w:val="21"/>
        </w:rPr>
        <w:t>se</w:t>
      </w:r>
      <w:r w:rsidRPr="007C2763">
        <w:rPr>
          <w:rFonts w:ascii="Abadi" w:hAnsi="Abadi"/>
          <w:b w:val="0"/>
          <w:bCs w:val="0"/>
          <w:spacing w:val="4"/>
          <w:sz w:val="21"/>
          <w:szCs w:val="21"/>
        </w:rPr>
        <w:t xml:space="preserve"> </w:t>
      </w:r>
      <w:r w:rsidRPr="007C2763">
        <w:rPr>
          <w:rFonts w:ascii="Abadi" w:hAnsi="Abadi"/>
          <w:b w:val="0"/>
          <w:bCs w:val="0"/>
          <w:sz w:val="21"/>
          <w:szCs w:val="21"/>
        </w:rPr>
        <w:t>han realizado</w:t>
      </w:r>
      <w:r w:rsidRPr="007C2763">
        <w:rPr>
          <w:rFonts w:ascii="Abadi" w:hAnsi="Abadi"/>
          <w:b w:val="0"/>
          <w:bCs w:val="0"/>
          <w:spacing w:val="9"/>
          <w:sz w:val="21"/>
          <w:szCs w:val="21"/>
        </w:rPr>
        <w:t xml:space="preserve"> </w:t>
      </w:r>
      <w:r w:rsidRPr="007C2763">
        <w:rPr>
          <w:rFonts w:ascii="Abadi" w:hAnsi="Abadi"/>
          <w:b w:val="0"/>
          <w:bCs w:val="0"/>
          <w:sz w:val="21"/>
          <w:szCs w:val="21"/>
        </w:rPr>
        <w:t>ya,</w:t>
      </w:r>
      <w:r w:rsidRPr="007C2763">
        <w:rPr>
          <w:rFonts w:ascii="Abadi" w:hAnsi="Abadi"/>
          <w:b w:val="0"/>
          <w:bCs w:val="0"/>
          <w:spacing w:val="8"/>
          <w:sz w:val="21"/>
          <w:szCs w:val="21"/>
        </w:rPr>
        <w:t xml:space="preserve"> </w:t>
      </w:r>
      <w:r w:rsidRPr="007C2763">
        <w:rPr>
          <w:rFonts w:ascii="Abadi" w:hAnsi="Abadi"/>
          <w:b w:val="0"/>
          <w:bCs w:val="0"/>
          <w:sz w:val="21"/>
          <w:szCs w:val="21"/>
        </w:rPr>
        <w:t>como</w:t>
      </w:r>
      <w:r w:rsidRPr="007C2763">
        <w:rPr>
          <w:rFonts w:ascii="Abadi" w:hAnsi="Abadi"/>
          <w:b w:val="0"/>
          <w:bCs w:val="0"/>
          <w:spacing w:val="9"/>
          <w:sz w:val="21"/>
          <w:szCs w:val="21"/>
        </w:rPr>
        <w:t xml:space="preserve"> </w:t>
      </w:r>
      <w:r w:rsidRPr="007C2763">
        <w:rPr>
          <w:rFonts w:ascii="Abadi" w:hAnsi="Abadi"/>
          <w:b w:val="0"/>
          <w:bCs w:val="0"/>
          <w:sz w:val="21"/>
          <w:szCs w:val="21"/>
        </w:rPr>
        <w:t>puede</w:t>
      </w:r>
      <w:r w:rsidRPr="007C2763">
        <w:rPr>
          <w:rFonts w:ascii="Abadi" w:hAnsi="Abadi"/>
          <w:b w:val="0"/>
          <w:bCs w:val="0"/>
          <w:spacing w:val="9"/>
          <w:sz w:val="21"/>
          <w:szCs w:val="21"/>
        </w:rPr>
        <w:t xml:space="preserve"> </w:t>
      </w:r>
      <w:r w:rsidRPr="007C2763">
        <w:rPr>
          <w:rFonts w:ascii="Abadi" w:hAnsi="Abadi"/>
          <w:b w:val="0"/>
          <w:bCs w:val="0"/>
          <w:sz w:val="21"/>
          <w:szCs w:val="21"/>
        </w:rPr>
        <w:t>apreciarse</w:t>
      </w:r>
      <w:r w:rsidRPr="007C2763">
        <w:rPr>
          <w:rFonts w:ascii="Abadi" w:hAnsi="Abadi"/>
          <w:b w:val="0"/>
          <w:bCs w:val="0"/>
          <w:spacing w:val="9"/>
          <w:sz w:val="21"/>
          <w:szCs w:val="21"/>
        </w:rPr>
        <w:t xml:space="preserve"> </w:t>
      </w:r>
      <w:r w:rsidRPr="007C2763">
        <w:rPr>
          <w:rFonts w:ascii="Abadi" w:hAnsi="Abadi"/>
          <w:b w:val="0"/>
          <w:bCs w:val="0"/>
          <w:sz w:val="21"/>
          <w:szCs w:val="21"/>
        </w:rPr>
        <w:t>con</w:t>
      </w:r>
      <w:r w:rsidRPr="007C2763">
        <w:rPr>
          <w:rFonts w:ascii="Abadi" w:hAnsi="Abadi"/>
          <w:b w:val="0"/>
          <w:bCs w:val="0"/>
          <w:spacing w:val="6"/>
          <w:sz w:val="21"/>
          <w:szCs w:val="21"/>
        </w:rPr>
        <w:t xml:space="preserve"> </w:t>
      </w:r>
      <w:r w:rsidRPr="007C2763">
        <w:rPr>
          <w:rFonts w:ascii="Abadi" w:hAnsi="Abadi"/>
          <w:b w:val="0"/>
          <w:bCs w:val="0"/>
          <w:sz w:val="21"/>
          <w:szCs w:val="21"/>
        </w:rPr>
        <w:t>el</w:t>
      </w:r>
      <w:r w:rsidRPr="007C2763">
        <w:rPr>
          <w:rFonts w:ascii="Abadi" w:hAnsi="Abadi"/>
          <w:b w:val="0"/>
          <w:bCs w:val="0"/>
          <w:spacing w:val="7"/>
          <w:sz w:val="21"/>
          <w:szCs w:val="21"/>
        </w:rPr>
        <w:t xml:space="preserve"> </w:t>
      </w:r>
      <w:r w:rsidRPr="007C2763">
        <w:rPr>
          <w:rFonts w:ascii="Abadi" w:hAnsi="Abadi"/>
          <w:b w:val="0"/>
          <w:bCs w:val="0"/>
          <w:sz w:val="21"/>
          <w:szCs w:val="21"/>
        </w:rPr>
        <w:t>cambio</w:t>
      </w:r>
      <w:r w:rsidRPr="007C2763">
        <w:rPr>
          <w:rFonts w:ascii="Abadi" w:hAnsi="Abadi"/>
          <w:b w:val="0"/>
          <w:bCs w:val="0"/>
          <w:spacing w:val="6"/>
          <w:sz w:val="21"/>
          <w:szCs w:val="21"/>
        </w:rPr>
        <w:t xml:space="preserve"> </w:t>
      </w:r>
      <w:r w:rsidRPr="007C2763">
        <w:rPr>
          <w:rFonts w:ascii="Abadi" w:hAnsi="Abadi"/>
          <w:b w:val="0"/>
          <w:bCs w:val="0"/>
          <w:sz w:val="21"/>
          <w:szCs w:val="21"/>
        </w:rPr>
        <w:t>de</w:t>
      </w:r>
      <w:r w:rsidRPr="007C2763">
        <w:rPr>
          <w:rFonts w:ascii="Abadi" w:hAnsi="Abadi"/>
          <w:b w:val="0"/>
          <w:bCs w:val="0"/>
          <w:spacing w:val="9"/>
          <w:sz w:val="21"/>
          <w:szCs w:val="21"/>
        </w:rPr>
        <w:t xml:space="preserve"> </w:t>
      </w:r>
      <w:r w:rsidRPr="007C2763">
        <w:rPr>
          <w:rFonts w:ascii="Abadi" w:hAnsi="Abadi"/>
          <w:b w:val="0"/>
          <w:bCs w:val="0"/>
          <w:sz w:val="21"/>
          <w:szCs w:val="21"/>
        </w:rPr>
        <w:t>la</w:t>
      </w:r>
      <w:r w:rsidRPr="007C2763">
        <w:rPr>
          <w:rFonts w:ascii="Abadi" w:hAnsi="Abadi"/>
          <w:b w:val="0"/>
          <w:bCs w:val="0"/>
          <w:spacing w:val="6"/>
          <w:sz w:val="21"/>
          <w:szCs w:val="21"/>
        </w:rPr>
        <w:t xml:space="preserve"> </w:t>
      </w:r>
      <w:r w:rsidRPr="007C2763">
        <w:rPr>
          <w:rFonts w:ascii="Abadi" w:hAnsi="Abadi"/>
          <w:b w:val="0"/>
          <w:bCs w:val="0"/>
          <w:sz w:val="21"/>
          <w:szCs w:val="21"/>
        </w:rPr>
        <w:t>denominación</w:t>
      </w:r>
      <w:r w:rsidRPr="007C2763">
        <w:rPr>
          <w:rFonts w:ascii="Abadi" w:hAnsi="Abadi"/>
          <w:b w:val="0"/>
          <w:bCs w:val="0"/>
          <w:spacing w:val="9"/>
          <w:sz w:val="21"/>
          <w:szCs w:val="21"/>
        </w:rPr>
        <w:t xml:space="preserve"> </w:t>
      </w:r>
      <w:r w:rsidRPr="007C2763">
        <w:rPr>
          <w:rFonts w:ascii="Abadi" w:hAnsi="Abadi"/>
          <w:b w:val="0"/>
          <w:bCs w:val="0"/>
          <w:sz w:val="21"/>
          <w:szCs w:val="21"/>
        </w:rPr>
        <w:t>del municipio</w:t>
      </w:r>
      <w:r w:rsidRPr="007C2763">
        <w:rPr>
          <w:rFonts w:ascii="Abadi" w:hAnsi="Abadi"/>
          <w:b w:val="0"/>
          <w:bCs w:val="0"/>
          <w:spacing w:val="6"/>
          <w:sz w:val="21"/>
          <w:szCs w:val="21"/>
        </w:rPr>
        <w:t xml:space="preserve"> </w:t>
      </w:r>
      <w:r w:rsidRPr="007C2763">
        <w:rPr>
          <w:rFonts w:ascii="Abadi" w:hAnsi="Abadi"/>
          <w:b w:val="0"/>
          <w:bCs w:val="0"/>
          <w:sz w:val="21"/>
          <w:szCs w:val="21"/>
        </w:rPr>
        <w:t>de</w:t>
      </w:r>
      <w:r w:rsidRPr="007C2763">
        <w:rPr>
          <w:rFonts w:ascii="Abadi" w:hAnsi="Abadi"/>
          <w:b w:val="0"/>
          <w:bCs w:val="0"/>
          <w:spacing w:val="3"/>
          <w:sz w:val="21"/>
          <w:szCs w:val="21"/>
        </w:rPr>
        <w:t xml:space="preserve"> </w:t>
      </w:r>
      <w:r w:rsidRPr="007C2763">
        <w:rPr>
          <w:rFonts w:ascii="Abadi" w:hAnsi="Abadi"/>
          <w:b w:val="0"/>
          <w:bCs w:val="0"/>
          <w:sz w:val="21"/>
          <w:szCs w:val="21"/>
        </w:rPr>
        <w:t>Allende</w:t>
      </w:r>
      <w:r w:rsidRPr="007C2763">
        <w:rPr>
          <w:rFonts w:ascii="Abadi" w:hAnsi="Abadi"/>
          <w:b w:val="0"/>
          <w:bCs w:val="0"/>
          <w:spacing w:val="6"/>
          <w:sz w:val="21"/>
          <w:szCs w:val="21"/>
        </w:rPr>
        <w:t xml:space="preserve"> </w:t>
      </w:r>
      <w:r w:rsidRPr="007C2763">
        <w:rPr>
          <w:rFonts w:ascii="Abadi" w:hAnsi="Abadi"/>
          <w:b w:val="0"/>
          <w:bCs w:val="0"/>
          <w:sz w:val="21"/>
          <w:szCs w:val="21"/>
        </w:rPr>
        <w:t>al</w:t>
      </w:r>
      <w:r w:rsidRPr="007C2763">
        <w:rPr>
          <w:rFonts w:ascii="Abadi" w:hAnsi="Abadi"/>
          <w:b w:val="0"/>
          <w:bCs w:val="0"/>
          <w:spacing w:val="4"/>
          <w:sz w:val="21"/>
          <w:szCs w:val="21"/>
        </w:rPr>
        <w:t xml:space="preserve"> </w:t>
      </w:r>
      <w:r w:rsidRPr="007C2763">
        <w:rPr>
          <w:rFonts w:ascii="Abadi" w:hAnsi="Abadi"/>
          <w:b w:val="0"/>
          <w:bCs w:val="0"/>
          <w:sz w:val="21"/>
          <w:szCs w:val="21"/>
        </w:rPr>
        <w:t>actual</w:t>
      </w:r>
      <w:r w:rsidRPr="007C2763">
        <w:rPr>
          <w:rFonts w:ascii="Abadi" w:hAnsi="Abadi"/>
          <w:b w:val="0"/>
          <w:bCs w:val="0"/>
          <w:spacing w:val="4"/>
          <w:sz w:val="21"/>
          <w:szCs w:val="21"/>
        </w:rPr>
        <w:t xml:space="preserve"> </w:t>
      </w:r>
      <w:r w:rsidRPr="007C2763">
        <w:rPr>
          <w:rFonts w:ascii="Abadi" w:hAnsi="Abadi"/>
          <w:b w:val="0"/>
          <w:bCs w:val="0"/>
          <w:sz w:val="21"/>
          <w:szCs w:val="21"/>
        </w:rPr>
        <w:t>San</w:t>
      </w:r>
      <w:r w:rsidRPr="007C2763">
        <w:rPr>
          <w:rFonts w:ascii="Abadi" w:hAnsi="Abadi"/>
          <w:b w:val="0"/>
          <w:bCs w:val="0"/>
          <w:spacing w:val="6"/>
          <w:sz w:val="21"/>
          <w:szCs w:val="21"/>
        </w:rPr>
        <w:t xml:space="preserve"> </w:t>
      </w:r>
      <w:r w:rsidRPr="007C2763">
        <w:rPr>
          <w:rFonts w:ascii="Abadi" w:hAnsi="Abadi"/>
          <w:b w:val="0"/>
          <w:bCs w:val="0"/>
          <w:sz w:val="21"/>
          <w:szCs w:val="21"/>
        </w:rPr>
        <w:t>Miguel</w:t>
      </w:r>
      <w:r w:rsidRPr="007C2763">
        <w:rPr>
          <w:rFonts w:ascii="Abadi" w:hAnsi="Abadi"/>
          <w:b w:val="0"/>
          <w:bCs w:val="0"/>
          <w:spacing w:val="2"/>
          <w:sz w:val="21"/>
          <w:szCs w:val="21"/>
        </w:rPr>
        <w:t xml:space="preserve"> </w:t>
      </w:r>
      <w:r w:rsidRPr="007C2763">
        <w:rPr>
          <w:rFonts w:ascii="Abadi" w:hAnsi="Abadi"/>
          <w:b w:val="0"/>
          <w:bCs w:val="0"/>
          <w:sz w:val="21"/>
          <w:szCs w:val="21"/>
        </w:rPr>
        <w:t>de</w:t>
      </w:r>
      <w:r w:rsidRPr="007C2763">
        <w:rPr>
          <w:rFonts w:ascii="Abadi" w:hAnsi="Abadi"/>
          <w:b w:val="0"/>
          <w:bCs w:val="0"/>
          <w:spacing w:val="3"/>
          <w:sz w:val="21"/>
          <w:szCs w:val="21"/>
        </w:rPr>
        <w:t xml:space="preserve"> </w:t>
      </w:r>
      <w:r w:rsidRPr="007C2763">
        <w:rPr>
          <w:rFonts w:ascii="Abadi" w:hAnsi="Abadi"/>
          <w:b w:val="0"/>
          <w:bCs w:val="0"/>
          <w:sz w:val="21"/>
          <w:szCs w:val="21"/>
        </w:rPr>
        <w:t>Allende,</w:t>
      </w:r>
      <w:r w:rsidRPr="007C2763">
        <w:rPr>
          <w:rFonts w:ascii="Abadi" w:hAnsi="Abadi"/>
          <w:b w:val="0"/>
          <w:bCs w:val="0"/>
          <w:spacing w:val="5"/>
          <w:sz w:val="21"/>
          <w:szCs w:val="21"/>
        </w:rPr>
        <w:t xml:space="preserve"> </w:t>
      </w:r>
      <w:r w:rsidRPr="007C2763">
        <w:rPr>
          <w:rFonts w:ascii="Abadi" w:hAnsi="Abadi"/>
          <w:b w:val="0"/>
          <w:bCs w:val="0"/>
          <w:sz w:val="21"/>
          <w:szCs w:val="21"/>
        </w:rPr>
        <w:t>Silao</w:t>
      </w:r>
      <w:r w:rsidRPr="007C2763">
        <w:rPr>
          <w:rFonts w:ascii="Abadi" w:hAnsi="Abadi"/>
          <w:b w:val="0"/>
          <w:bCs w:val="0"/>
          <w:spacing w:val="6"/>
          <w:sz w:val="21"/>
          <w:szCs w:val="21"/>
        </w:rPr>
        <w:t xml:space="preserve"> </w:t>
      </w:r>
      <w:r w:rsidRPr="007C2763">
        <w:rPr>
          <w:rFonts w:ascii="Abadi" w:hAnsi="Abadi"/>
          <w:b w:val="0"/>
          <w:bCs w:val="0"/>
          <w:sz w:val="21"/>
          <w:szCs w:val="21"/>
        </w:rPr>
        <w:t>por</w:t>
      </w:r>
      <w:r w:rsidRPr="007C2763">
        <w:rPr>
          <w:rFonts w:ascii="Abadi" w:hAnsi="Abadi"/>
          <w:b w:val="0"/>
          <w:bCs w:val="0"/>
          <w:spacing w:val="4"/>
          <w:sz w:val="21"/>
          <w:szCs w:val="21"/>
        </w:rPr>
        <w:t xml:space="preserve"> </w:t>
      </w:r>
      <w:r w:rsidRPr="007C2763">
        <w:rPr>
          <w:rFonts w:ascii="Abadi" w:hAnsi="Abadi"/>
          <w:b w:val="0"/>
          <w:bCs w:val="0"/>
          <w:sz w:val="21"/>
          <w:szCs w:val="21"/>
        </w:rPr>
        <w:t>Silao</w:t>
      </w:r>
      <w:r w:rsidRPr="007C2763">
        <w:rPr>
          <w:rFonts w:ascii="Abadi" w:hAnsi="Abadi"/>
          <w:b w:val="0"/>
          <w:bCs w:val="0"/>
          <w:spacing w:val="6"/>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la</w:t>
      </w:r>
      <w:r w:rsidRPr="007C2763">
        <w:rPr>
          <w:rFonts w:ascii="Abadi" w:hAnsi="Abadi"/>
          <w:b w:val="0"/>
          <w:bCs w:val="0"/>
          <w:spacing w:val="3"/>
          <w:sz w:val="21"/>
          <w:szCs w:val="21"/>
        </w:rPr>
        <w:t xml:space="preserve"> </w:t>
      </w:r>
      <w:r w:rsidRPr="007C2763">
        <w:rPr>
          <w:rFonts w:ascii="Abadi" w:hAnsi="Abadi"/>
          <w:b w:val="0"/>
          <w:bCs w:val="0"/>
          <w:sz w:val="21"/>
          <w:szCs w:val="21"/>
        </w:rPr>
        <w:t>Victoria o</w:t>
      </w:r>
      <w:r w:rsidRPr="007C2763">
        <w:rPr>
          <w:rFonts w:ascii="Abadi" w:hAnsi="Abadi"/>
          <w:b w:val="0"/>
          <w:bCs w:val="0"/>
          <w:spacing w:val="25"/>
          <w:sz w:val="21"/>
          <w:szCs w:val="21"/>
        </w:rPr>
        <w:t xml:space="preserve"> </w:t>
      </w:r>
      <w:r w:rsidRPr="007C2763">
        <w:rPr>
          <w:rFonts w:ascii="Abadi" w:hAnsi="Abadi"/>
          <w:b w:val="0"/>
          <w:bCs w:val="0"/>
          <w:sz w:val="21"/>
          <w:szCs w:val="21"/>
        </w:rPr>
        <w:t>el</w:t>
      </w:r>
      <w:r w:rsidRPr="007C2763">
        <w:rPr>
          <w:rFonts w:ascii="Abadi" w:hAnsi="Abadi"/>
          <w:b w:val="0"/>
          <w:bCs w:val="0"/>
          <w:spacing w:val="24"/>
          <w:sz w:val="21"/>
          <w:szCs w:val="21"/>
        </w:rPr>
        <w:t xml:space="preserve"> </w:t>
      </w:r>
      <w:r w:rsidRPr="007C2763">
        <w:rPr>
          <w:rFonts w:ascii="Abadi" w:hAnsi="Abadi"/>
          <w:b w:val="0"/>
          <w:bCs w:val="0"/>
          <w:sz w:val="21"/>
          <w:szCs w:val="21"/>
        </w:rPr>
        <w:t>municipio</w:t>
      </w:r>
      <w:r w:rsidRPr="007C2763">
        <w:rPr>
          <w:rFonts w:ascii="Abadi" w:hAnsi="Abadi"/>
          <w:b w:val="0"/>
          <w:bCs w:val="0"/>
          <w:spacing w:val="24"/>
          <w:sz w:val="21"/>
          <w:szCs w:val="21"/>
        </w:rPr>
        <w:t xml:space="preserve"> </w:t>
      </w:r>
      <w:r w:rsidRPr="007C2763">
        <w:rPr>
          <w:rFonts w:ascii="Abadi" w:hAnsi="Abadi"/>
          <w:b w:val="0"/>
          <w:bCs w:val="0"/>
          <w:sz w:val="21"/>
          <w:szCs w:val="21"/>
        </w:rPr>
        <w:t>histórico</w:t>
      </w:r>
      <w:r w:rsidRPr="007C2763">
        <w:rPr>
          <w:rFonts w:ascii="Abadi" w:hAnsi="Abadi"/>
          <w:b w:val="0"/>
          <w:bCs w:val="0"/>
          <w:spacing w:val="25"/>
          <w:sz w:val="21"/>
          <w:szCs w:val="21"/>
        </w:rPr>
        <w:t xml:space="preserve"> </w:t>
      </w:r>
      <w:r w:rsidRPr="007C2763">
        <w:rPr>
          <w:rFonts w:ascii="Abadi" w:hAnsi="Abadi"/>
          <w:b w:val="0"/>
          <w:bCs w:val="0"/>
          <w:sz w:val="21"/>
          <w:szCs w:val="21"/>
        </w:rPr>
        <w:t>de</w:t>
      </w:r>
      <w:r w:rsidRPr="007C2763">
        <w:rPr>
          <w:rFonts w:ascii="Abadi" w:hAnsi="Abadi"/>
          <w:b w:val="0"/>
          <w:bCs w:val="0"/>
          <w:spacing w:val="25"/>
          <w:sz w:val="21"/>
          <w:szCs w:val="21"/>
        </w:rPr>
        <w:t xml:space="preserve"> </w:t>
      </w:r>
      <w:r w:rsidRPr="007C2763">
        <w:rPr>
          <w:rFonts w:ascii="Abadi" w:hAnsi="Abadi"/>
          <w:b w:val="0"/>
          <w:bCs w:val="0"/>
          <w:sz w:val="21"/>
          <w:szCs w:val="21"/>
        </w:rPr>
        <w:t>Dolores</w:t>
      </w:r>
      <w:r w:rsidRPr="007C2763">
        <w:rPr>
          <w:rFonts w:ascii="Abadi" w:hAnsi="Abadi"/>
          <w:b w:val="0"/>
          <w:bCs w:val="0"/>
          <w:spacing w:val="24"/>
          <w:sz w:val="21"/>
          <w:szCs w:val="21"/>
        </w:rPr>
        <w:t xml:space="preserve"> </w:t>
      </w:r>
      <w:r w:rsidRPr="007C2763">
        <w:rPr>
          <w:rFonts w:ascii="Abadi" w:hAnsi="Abadi"/>
          <w:b w:val="0"/>
          <w:bCs w:val="0"/>
          <w:sz w:val="21"/>
          <w:szCs w:val="21"/>
        </w:rPr>
        <w:t>Hidalgo</w:t>
      </w:r>
      <w:r w:rsidRPr="007C2763">
        <w:rPr>
          <w:rFonts w:ascii="Abadi" w:hAnsi="Abadi"/>
          <w:b w:val="0"/>
          <w:bCs w:val="0"/>
          <w:spacing w:val="23"/>
          <w:sz w:val="21"/>
          <w:szCs w:val="21"/>
        </w:rPr>
        <w:t xml:space="preserve"> </w:t>
      </w:r>
      <w:r w:rsidRPr="007C2763">
        <w:rPr>
          <w:rFonts w:ascii="Abadi" w:hAnsi="Abadi"/>
          <w:b w:val="0"/>
          <w:bCs w:val="0"/>
          <w:sz w:val="21"/>
          <w:szCs w:val="21"/>
        </w:rPr>
        <w:t>que</w:t>
      </w:r>
      <w:r w:rsidRPr="007C2763">
        <w:rPr>
          <w:rFonts w:ascii="Abadi" w:hAnsi="Abadi"/>
          <w:b w:val="0"/>
          <w:bCs w:val="0"/>
          <w:spacing w:val="25"/>
          <w:sz w:val="21"/>
          <w:szCs w:val="21"/>
        </w:rPr>
        <w:t xml:space="preserve"> </w:t>
      </w:r>
      <w:r w:rsidRPr="007C2763">
        <w:rPr>
          <w:rFonts w:ascii="Abadi" w:hAnsi="Abadi"/>
          <w:b w:val="0"/>
          <w:bCs w:val="0"/>
          <w:sz w:val="21"/>
          <w:szCs w:val="21"/>
        </w:rPr>
        <w:t>paso</w:t>
      </w:r>
      <w:r w:rsidRPr="007C2763">
        <w:rPr>
          <w:rFonts w:ascii="Abadi" w:hAnsi="Abadi"/>
          <w:b w:val="0"/>
          <w:bCs w:val="0"/>
          <w:spacing w:val="25"/>
          <w:sz w:val="21"/>
          <w:szCs w:val="21"/>
        </w:rPr>
        <w:t xml:space="preserve"> </w:t>
      </w:r>
      <w:r w:rsidRPr="007C2763">
        <w:rPr>
          <w:rFonts w:ascii="Abadi" w:hAnsi="Abadi"/>
          <w:b w:val="0"/>
          <w:bCs w:val="0"/>
          <w:sz w:val="21"/>
          <w:szCs w:val="21"/>
        </w:rPr>
        <w:t>a</w:t>
      </w:r>
      <w:r w:rsidRPr="007C2763">
        <w:rPr>
          <w:rFonts w:ascii="Abadi" w:hAnsi="Abadi"/>
          <w:b w:val="0"/>
          <w:bCs w:val="0"/>
          <w:spacing w:val="25"/>
          <w:sz w:val="21"/>
          <w:szCs w:val="21"/>
        </w:rPr>
        <w:t xml:space="preserve"> </w:t>
      </w:r>
      <w:r w:rsidRPr="007C2763">
        <w:rPr>
          <w:rFonts w:ascii="Abadi" w:hAnsi="Abadi"/>
          <w:b w:val="0"/>
          <w:bCs w:val="0"/>
          <w:sz w:val="21"/>
          <w:szCs w:val="21"/>
        </w:rPr>
        <w:t>llamarse</w:t>
      </w:r>
      <w:r w:rsidRPr="007C2763">
        <w:rPr>
          <w:rFonts w:ascii="Abadi" w:hAnsi="Abadi"/>
          <w:b w:val="0"/>
          <w:bCs w:val="0"/>
          <w:spacing w:val="23"/>
          <w:sz w:val="21"/>
          <w:szCs w:val="21"/>
        </w:rPr>
        <w:t xml:space="preserve"> </w:t>
      </w:r>
      <w:r w:rsidRPr="007C2763">
        <w:rPr>
          <w:rFonts w:ascii="Abadi" w:hAnsi="Abadi"/>
          <w:b w:val="0"/>
          <w:bCs w:val="0"/>
          <w:sz w:val="21"/>
          <w:szCs w:val="21"/>
        </w:rPr>
        <w:t>Dolores</w:t>
      </w:r>
      <w:r w:rsidRPr="007C2763">
        <w:rPr>
          <w:rFonts w:ascii="Abadi" w:hAnsi="Abadi"/>
          <w:b w:val="0"/>
          <w:bCs w:val="0"/>
          <w:spacing w:val="24"/>
          <w:sz w:val="21"/>
          <w:szCs w:val="21"/>
        </w:rPr>
        <w:t xml:space="preserve"> </w:t>
      </w:r>
      <w:r w:rsidRPr="007C2763">
        <w:rPr>
          <w:rFonts w:ascii="Abadi" w:hAnsi="Abadi"/>
          <w:b w:val="0"/>
          <w:bCs w:val="0"/>
          <w:sz w:val="21"/>
          <w:szCs w:val="21"/>
        </w:rPr>
        <w:t>Hidalgo Cuna</w:t>
      </w:r>
      <w:r w:rsidRPr="007C2763">
        <w:rPr>
          <w:rFonts w:ascii="Abadi" w:hAnsi="Abadi"/>
          <w:b w:val="0"/>
          <w:bCs w:val="0"/>
          <w:spacing w:val="-1"/>
          <w:sz w:val="21"/>
          <w:szCs w:val="21"/>
        </w:rPr>
        <w:t xml:space="preserve"> </w:t>
      </w:r>
      <w:r w:rsidRPr="007C2763">
        <w:rPr>
          <w:rFonts w:ascii="Abadi" w:hAnsi="Abadi"/>
          <w:b w:val="0"/>
          <w:bCs w:val="0"/>
          <w:sz w:val="21"/>
          <w:szCs w:val="21"/>
        </w:rPr>
        <w:t>de</w:t>
      </w:r>
      <w:r w:rsidRPr="007C2763">
        <w:rPr>
          <w:rFonts w:ascii="Abadi" w:hAnsi="Abadi"/>
          <w:b w:val="0"/>
          <w:bCs w:val="0"/>
          <w:spacing w:val="1"/>
          <w:sz w:val="21"/>
          <w:szCs w:val="21"/>
        </w:rPr>
        <w:t xml:space="preserve"> </w:t>
      </w:r>
      <w:r w:rsidRPr="007C2763">
        <w:rPr>
          <w:rFonts w:ascii="Abadi" w:hAnsi="Abadi"/>
          <w:b w:val="0"/>
          <w:bCs w:val="0"/>
          <w:sz w:val="21"/>
          <w:szCs w:val="21"/>
        </w:rPr>
        <w:t>la</w:t>
      </w:r>
      <w:r w:rsidRPr="007C2763">
        <w:rPr>
          <w:rFonts w:ascii="Abadi" w:hAnsi="Abadi"/>
          <w:b w:val="0"/>
          <w:bCs w:val="0"/>
          <w:spacing w:val="-1"/>
          <w:sz w:val="21"/>
          <w:szCs w:val="21"/>
        </w:rPr>
        <w:t xml:space="preserve"> </w:t>
      </w:r>
      <w:r w:rsidRPr="007C2763">
        <w:rPr>
          <w:rFonts w:ascii="Abadi" w:hAnsi="Abadi"/>
          <w:b w:val="0"/>
          <w:bCs w:val="0"/>
          <w:sz w:val="21"/>
          <w:szCs w:val="21"/>
        </w:rPr>
        <w:t>Independencia</w:t>
      </w:r>
      <w:r w:rsidRPr="007C2763">
        <w:rPr>
          <w:rFonts w:ascii="Abadi" w:hAnsi="Abadi"/>
          <w:b w:val="0"/>
          <w:bCs w:val="0"/>
          <w:spacing w:val="1"/>
          <w:sz w:val="21"/>
          <w:szCs w:val="21"/>
        </w:rPr>
        <w:t xml:space="preserve"> </w:t>
      </w:r>
      <w:r w:rsidRPr="007C2763">
        <w:rPr>
          <w:rFonts w:ascii="Abadi" w:hAnsi="Abadi"/>
          <w:b w:val="0"/>
          <w:bCs w:val="0"/>
          <w:sz w:val="21"/>
          <w:szCs w:val="21"/>
        </w:rPr>
        <w:t>Nacional…”</w:t>
      </w:r>
    </w:p>
    <w:p w14:paraId="6C394450" w14:textId="77777777" w:rsidR="00374A1E" w:rsidRPr="007C2763" w:rsidRDefault="00374A1E" w:rsidP="00374A1E">
      <w:pPr>
        <w:pStyle w:val="Textoindependiente"/>
        <w:kinsoku w:val="0"/>
        <w:overflowPunct w:val="0"/>
        <w:spacing w:before="8"/>
        <w:rPr>
          <w:rFonts w:ascii="Abadi" w:hAnsi="Abadi"/>
          <w:b w:val="0"/>
          <w:bCs w:val="0"/>
          <w:sz w:val="21"/>
          <w:szCs w:val="21"/>
        </w:rPr>
      </w:pPr>
    </w:p>
    <w:p w14:paraId="6BFEA7F9" w14:textId="77777777" w:rsidR="00374A1E" w:rsidRPr="007C2763" w:rsidRDefault="00374A1E" w:rsidP="00374A1E">
      <w:pPr>
        <w:pStyle w:val="Textoindependiente"/>
        <w:kinsoku w:val="0"/>
        <w:overflowPunct w:val="0"/>
        <w:ind w:right="118" w:firstLine="708"/>
        <w:rPr>
          <w:rFonts w:ascii="Abadi" w:hAnsi="Abadi"/>
          <w:b w:val="0"/>
          <w:bCs w:val="0"/>
          <w:sz w:val="21"/>
          <w:szCs w:val="21"/>
        </w:rPr>
      </w:pPr>
      <w:r w:rsidRPr="007C2763">
        <w:rPr>
          <w:rFonts w:ascii="Abadi" w:hAnsi="Abadi"/>
          <w:b w:val="0"/>
          <w:bCs w:val="0"/>
          <w:sz w:val="21"/>
          <w:szCs w:val="21"/>
        </w:rPr>
        <w:t>Sin</w:t>
      </w:r>
      <w:r w:rsidRPr="007C2763">
        <w:rPr>
          <w:rFonts w:ascii="Abadi" w:hAnsi="Abadi"/>
          <w:b w:val="0"/>
          <w:bCs w:val="0"/>
          <w:spacing w:val="36"/>
          <w:sz w:val="21"/>
          <w:szCs w:val="21"/>
        </w:rPr>
        <w:t xml:space="preserve"> </w:t>
      </w:r>
      <w:r w:rsidRPr="007C2763">
        <w:rPr>
          <w:rFonts w:ascii="Abadi" w:hAnsi="Abadi"/>
          <w:b w:val="0"/>
          <w:bCs w:val="0"/>
          <w:sz w:val="21"/>
          <w:szCs w:val="21"/>
        </w:rPr>
        <w:t>embargo,</w:t>
      </w:r>
      <w:r w:rsidRPr="007C2763">
        <w:rPr>
          <w:rFonts w:ascii="Abadi" w:hAnsi="Abadi"/>
          <w:b w:val="0"/>
          <w:bCs w:val="0"/>
          <w:spacing w:val="37"/>
          <w:sz w:val="21"/>
          <w:szCs w:val="21"/>
        </w:rPr>
        <w:t xml:space="preserve"> </w:t>
      </w:r>
      <w:r w:rsidRPr="007C2763">
        <w:rPr>
          <w:rFonts w:ascii="Abadi" w:hAnsi="Abadi"/>
          <w:b w:val="0"/>
          <w:bCs w:val="0"/>
          <w:sz w:val="21"/>
          <w:szCs w:val="21"/>
        </w:rPr>
        <w:t>y</w:t>
      </w:r>
      <w:r w:rsidRPr="007C2763">
        <w:rPr>
          <w:rFonts w:ascii="Abadi" w:hAnsi="Abadi"/>
          <w:b w:val="0"/>
          <w:bCs w:val="0"/>
          <w:spacing w:val="36"/>
          <w:sz w:val="21"/>
          <w:szCs w:val="21"/>
        </w:rPr>
        <w:t xml:space="preserve"> </w:t>
      </w:r>
      <w:r w:rsidRPr="007C2763">
        <w:rPr>
          <w:rFonts w:ascii="Abadi" w:hAnsi="Abadi"/>
          <w:b w:val="0"/>
          <w:bCs w:val="0"/>
          <w:sz w:val="21"/>
          <w:szCs w:val="21"/>
        </w:rPr>
        <w:t>atendiendo</w:t>
      </w:r>
      <w:r w:rsidRPr="007C2763">
        <w:rPr>
          <w:rFonts w:ascii="Abadi" w:hAnsi="Abadi"/>
          <w:b w:val="0"/>
          <w:bCs w:val="0"/>
          <w:spacing w:val="36"/>
          <w:sz w:val="21"/>
          <w:szCs w:val="21"/>
        </w:rPr>
        <w:t xml:space="preserve"> </w:t>
      </w:r>
      <w:r w:rsidRPr="007C2763">
        <w:rPr>
          <w:rFonts w:ascii="Abadi" w:hAnsi="Abadi"/>
          <w:b w:val="0"/>
          <w:bCs w:val="0"/>
          <w:sz w:val="21"/>
          <w:szCs w:val="21"/>
        </w:rPr>
        <w:t>a</w:t>
      </w:r>
      <w:r w:rsidRPr="007C2763">
        <w:rPr>
          <w:rFonts w:ascii="Abadi" w:hAnsi="Abadi"/>
          <w:b w:val="0"/>
          <w:bCs w:val="0"/>
          <w:spacing w:val="37"/>
          <w:sz w:val="21"/>
          <w:szCs w:val="21"/>
        </w:rPr>
        <w:t xml:space="preserve"> </w:t>
      </w:r>
      <w:r w:rsidRPr="007C2763">
        <w:rPr>
          <w:rFonts w:ascii="Abadi" w:hAnsi="Abadi"/>
          <w:b w:val="0"/>
          <w:bCs w:val="0"/>
          <w:sz w:val="21"/>
          <w:szCs w:val="21"/>
        </w:rPr>
        <w:t>la</w:t>
      </w:r>
      <w:r w:rsidRPr="007C2763">
        <w:rPr>
          <w:rFonts w:ascii="Abadi" w:hAnsi="Abadi"/>
          <w:b w:val="0"/>
          <w:bCs w:val="0"/>
          <w:spacing w:val="37"/>
          <w:sz w:val="21"/>
          <w:szCs w:val="21"/>
        </w:rPr>
        <w:t xml:space="preserve"> </w:t>
      </w:r>
      <w:r w:rsidRPr="007C2763">
        <w:rPr>
          <w:rFonts w:ascii="Abadi" w:hAnsi="Abadi"/>
          <w:b w:val="0"/>
          <w:bCs w:val="0"/>
          <w:sz w:val="21"/>
          <w:szCs w:val="21"/>
        </w:rPr>
        <w:t>génesis</w:t>
      </w:r>
      <w:r w:rsidRPr="007C2763">
        <w:rPr>
          <w:rFonts w:ascii="Abadi" w:hAnsi="Abadi"/>
          <w:b w:val="0"/>
          <w:bCs w:val="0"/>
          <w:spacing w:val="35"/>
          <w:sz w:val="21"/>
          <w:szCs w:val="21"/>
        </w:rPr>
        <w:t xml:space="preserve"> </w:t>
      </w:r>
      <w:r w:rsidRPr="007C2763">
        <w:rPr>
          <w:rFonts w:ascii="Abadi" w:hAnsi="Abadi"/>
          <w:b w:val="0"/>
          <w:bCs w:val="0"/>
          <w:sz w:val="21"/>
          <w:szCs w:val="21"/>
        </w:rPr>
        <w:t>que</w:t>
      </w:r>
      <w:r w:rsidRPr="007C2763">
        <w:rPr>
          <w:rFonts w:ascii="Abadi" w:hAnsi="Abadi"/>
          <w:b w:val="0"/>
          <w:bCs w:val="0"/>
          <w:spacing w:val="37"/>
          <w:sz w:val="21"/>
          <w:szCs w:val="21"/>
        </w:rPr>
        <w:t xml:space="preserve"> </w:t>
      </w:r>
      <w:r w:rsidRPr="007C2763">
        <w:rPr>
          <w:rFonts w:ascii="Abadi" w:hAnsi="Abadi"/>
          <w:b w:val="0"/>
          <w:bCs w:val="0"/>
          <w:sz w:val="21"/>
          <w:szCs w:val="21"/>
        </w:rPr>
        <w:t>esta</w:t>
      </w:r>
      <w:r w:rsidRPr="007C2763">
        <w:rPr>
          <w:rFonts w:ascii="Abadi" w:hAnsi="Abadi"/>
          <w:b w:val="0"/>
          <w:bCs w:val="0"/>
          <w:spacing w:val="37"/>
          <w:sz w:val="21"/>
          <w:szCs w:val="21"/>
        </w:rPr>
        <w:t xml:space="preserve"> </w:t>
      </w:r>
      <w:r w:rsidRPr="007C2763">
        <w:rPr>
          <w:rFonts w:ascii="Abadi" w:hAnsi="Abadi"/>
          <w:b w:val="0"/>
          <w:bCs w:val="0"/>
          <w:sz w:val="21"/>
          <w:szCs w:val="21"/>
        </w:rPr>
        <w:t>comisión</w:t>
      </w:r>
      <w:r w:rsidRPr="007C2763">
        <w:rPr>
          <w:rFonts w:ascii="Abadi" w:hAnsi="Abadi"/>
          <w:b w:val="0"/>
          <w:bCs w:val="0"/>
          <w:spacing w:val="36"/>
          <w:sz w:val="21"/>
          <w:szCs w:val="21"/>
        </w:rPr>
        <w:t xml:space="preserve"> </w:t>
      </w:r>
      <w:r w:rsidRPr="007C2763">
        <w:rPr>
          <w:rFonts w:ascii="Abadi" w:hAnsi="Abadi"/>
          <w:b w:val="0"/>
          <w:bCs w:val="0"/>
          <w:sz w:val="21"/>
          <w:szCs w:val="21"/>
        </w:rPr>
        <w:t>refirió</w:t>
      </w:r>
      <w:r w:rsidRPr="007C2763">
        <w:rPr>
          <w:rFonts w:ascii="Abadi" w:hAnsi="Abadi"/>
          <w:b w:val="0"/>
          <w:bCs w:val="0"/>
          <w:spacing w:val="35"/>
          <w:sz w:val="21"/>
          <w:szCs w:val="21"/>
        </w:rPr>
        <w:t xml:space="preserve"> </w:t>
      </w:r>
      <w:r w:rsidRPr="007C2763">
        <w:rPr>
          <w:rFonts w:ascii="Abadi" w:hAnsi="Abadi"/>
          <w:b w:val="0"/>
          <w:bCs w:val="0"/>
          <w:sz w:val="21"/>
          <w:szCs w:val="21"/>
        </w:rPr>
        <w:t>para</w:t>
      </w:r>
      <w:r w:rsidRPr="007C2763">
        <w:rPr>
          <w:rFonts w:ascii="Abadi" w:hAnsi="Abadi"/>
          <w:b w:val="0"/>
          <w:bCs w:val="0"/>
          <w:spacing w:val="37"/>
          <w:sz w:val="21"/>
          <w:szCs w:val="21"/>
        </w:rPr>
        <w:t xml:space="preserve"> </w:t>
      </w:r>
      <w:r w:rsidRPr="007C2763">
        <w:rPr>
          <w:rFonts w:ascii="Abadi" w:hAnsi="Abadi"/>
          <w:b w:val="0"/>
          <w:bCs w:val="0"/>
          <w:sz w:val="21"/>
          <w:szCs w:val="21"/>
        </w:rPr>
        <w:t>la ampliación</w:t>
      </w:r>
      <w:r w:rsidRPr="007C2763">
        <w:rPr>
          <w:rFonts w:ascii="Abadi" w:hAnsi="Abadi"/>
          <w:b w:val="0"/>
          <w:bCs w:val="0"/>
          <w:spacing w:val="5"/>
          <w:sz w:val="21"/>
          <w:szCs w:val="21"/>
        </w:rPr>
        <w:t xml:space="preserve"> </w:t>
      </w:r>
      <w:r w:rsidRPr="007C2763">
        <w:rPr>
          <w:rFonts w:ascii="Abadi" w:hAnsi="Abadi"/>
          <w:b w:val="0"/>
          <w:bCs w:val="0"/>
          <w:sz w:val="21"/>
          <w:szCs w:val="21"/>
        </w:rPr>
        <w:t>de</w:t>
      </w:r>
      <w:r w:rsidRPr="007C2763">
        <w:rPr>
          <w:rFonts w:ascii="Abadi" w:hAnsi="Abadi"/>
          <w:b w:val="0"/>
          <w:bCs w:val="0"/>
          <w:spacing w:val="4"/>
          <w:sz w:val="21"/>
          <w:szCs w:val="21"/>
        </w:rPr>
        <w:t xml:space="preserve"> </w:t>
      </w:r>
      <w:r w:rsidRPr="007C2763">
        <w:rPr>
          <w:rFonts w:ascii="Abadi" w:hAnsi="Abadi"/>
          <w:b w:val="0"/>
          <w:bCs w:val="0"/>
          <w:sz w:val="21"/>
          <w:szCs w:val="21"/>
        </w:rPr>
        <w:t>la</w:t>
      </w:r>
      <w:r w:rsidRPr="007C2763">
        <w:rPr>
          <w:rFonts w:ascii="Abadi" w:hAnsi="Abadi"/>
          <w:b w:val="0"/>
          <w:bCs w:val="0"/>
          <w:spacing w:val="4"/>
          <w:sz w:val="21"/>
          <w:szCs w:val="21"/>
        </w:rPr>
        <w:t xml:space="preserve"> </w:t>
      </w:r>
      <w:r w:rsidRPr="007C2763">
        <w:rPr>
          <w:rFonts w:ascii="Abadi" w:hAnsi="Abadi"/>
          <w:b w:val="0"/>
          <w:bCs w:val="0"/>
          <w:sz w:val="21"/>
          <w:szCs w:val="21"/>
        </w:rPr>
        <w:t>metodología,</w:t>
      </w:r>
      <w:r w:rsidRPr="007C2763">
        <w:rPr>
          <w:rFonts w:ascii="Abadi" w:hAnsi="Abadi"/>
          <w:b w:val="0"/>
          <w:bCs w:val="0"/>
          <w:spacing w:val="3"/>
          <w:sz w:val="21"/>
          <w:szCs w:val="21"/>
        </w:rPr>
        <w:t xml:space="preserve"> </w:t>
      </w:r>
      <w:r w:rsidRPr="007C2763">
        <w:rPr>
          <w:rFonts w:ascii="Abadi" w:hAnsi="Abadi"/>
          <w:b w:val="0"/>
          <w:bCs w:val="0"/>
          <w:sz w:val="21"/>
          <w:szCs w:val="21"/>
        </w:rPr>
        <w:t>si</w:t>
      </w:r>
      <w:r w:rsidRPr="007C2763">
        <w:rPr>
          <w:rFonts w:ascii="Abadi" w:hAnsi="Abadi"/>
          <w:b w:val="0"/>
          <w:bCs w:val="0"/>
          <w:spacing w:val="2"/>
          <w:sz w:val="21"/>
          <w:szCs w:val="21"/>
        </w:rPr>
        <w:t xml:space="preserve"> </w:t>
      </w:r>
      <w:r w:rsidRPr="007C2763">
        <w:rPr>
          <w:rFonts w:ascii="Abadi" w:hAnsi="Abadi"/>
          <w:b w:val="0"/>
          <w:bCs w:val="0"/>
          <w:sz w:val="21"/>
          <w:szCs w:val="21"/>
        </w:rPr>
        <w:t>bien,</w:t>
      </w:r>
      <w:r w:rsidRPr="007C2763">
        <w:rPr>
          <w:rFonts w:ascii="Abadi" w:hAnsi="Abadi"/>
          <w:b w:val="0"/>
          <w:bCs w:val="0"/>
          <w:spacing w:val="3"/>
          <w:sz w:val="21"/>
          <w:szCs w:val="21"/>
        </w:rPr>
        <w:t xml:space="preserve"> </w:t>
      </w:r>
      <w:r w:rsidRPr="007C2763">
        <w:rPr>
          <w:rFonts w:ascii="Abadi" w:hAnsi="Abadi"/>
          <w:b w:val="0"/>
          <w:bCs w:val="0"/>
          <w:sz w:val="21"/>
          <w:szCs w:val="21"/>
        </w:rPr>
        <w:t>la</w:t>
      </w:r>
      <w:r w:rsidRPr="007C2763">
        <w:rPr>
          <w:rFonts w:ascii="Abadi" w:hAnsi="Abadi"/>
          <w:b w:val="0"/>
          <w:bCs w:val="0"/>
          <w:spacing w:val="1"/>
          <w:sz w:val="21"/>
          <w:szCs w:val="21"/>
        </w:rPr>
        <w:t xml:space="preserve"> </w:t>
      </w:r>
      <w:r w:rsidRPr="007C2763">
        <w:rPr>
          <w:rFonts w:ascii="Abadi" w:hAnsi="Abadi"/>
          <w:b w:val="0"/>
          <w:bCs w:val="0"/>
          <w:sz w:val="21"/>
          <w:szCs w:val="21"/>
        </w:rPr>
        <w:t>propuesta</w:t>
      </w:r>
      <w:r w:rsidRPr="007C2763">
        <w:rPr>
          <w:rFonts w:ascii="Abadi" w:hAnsi="Abadi"/>
          <w:b w:val="0"/>
          <w:bCs w:val="0"/>
          <w:spacing w:val="4"/>
          <w:sz w:val="21"/>
          <w:szCs w:val="21"/>
        </w:rPr>
        <w:t xml:space="preserve"> </w:t>
      </w:r>
      <w:r w:rsidRPr="007C2763">
        <w:rPr>
          <w:rFonts w:ascii="Abadi" w:hAnsi="Abadi"/>
          <w:b w:val="0"/>
          <w:bCs w:val="0"/>
          <w:sz w:val="21"/>
          <w:szCs w:val="21"/>
        </w:rPr>
        <w:t>encontró</w:t>
      </w:r>
      <w:r w:rsidRPr="007C2763">
        <w:rPr>
          <w:rFonts w:ascii="Abadi" w:hAnsi="Abadi"/>
          <w:b w:val="0"/>
          <w:bCs w:val="0"/>
          <w:spacing w:val="6"/>
          <w:sz w:val="21"/>
          <w:szCs w:val="21"/>
        </w:rPr>
        <w:t xml:space="preserve"> </w:t>
      </w:r>
      <w:r w:rsidRPr="007C2763">
        <w:rPr>
          <w:rFonts w:ascii="Abadi" w:hAnsi="Abadi"/>
          <w:b w:val="0"/>
          <w:bCs w:val="0"/>
          <w:sz w:val="21"/>
          <w:szCs w:val="21"/>
        </w:rPr>
        <w:t>una</w:t>
      </w:r>
      <w:r w:rsidRPr="007C2763">
        <w:rPr>
          <w:rFonts w:ascii="Abadi" w:hAnsi="Abadi"/>
          <w:b w:val="0"/>
          <w:bCs w:val="0"/>
          <w:spacing w:val="4"/>
          <w:sz w:val="21"/>
          <w:szCs w:val="21"/>
        </w:rPr>
        <w:t xml:space="preserve"> </w:t>
      </w:r>
      <w:r w:rsidRPr="007C2763">
        <w:rPr>
          <w:rFonts w:ascii="Abadi" w:hAnsi="Abadi"/>
          <w:b w:val="0"/>
          <w:bCs w:val="0"/>
          <w:sz w:val="21"/>
          <w:szCs w:val="21"/>
        </w:rPr>
        <w:t>explicación desde</w:t>
      </w:r>
      <w:r w:rsidRPr="007C2763">
        <w:rPr>
          <w:rFonts w:ascii="Abadi" w:hAnsi="Abadi"/>
          <w:b w:val="0"/>
          <w:bCs w:val="0"/>
          <w:spacing w:val="1"/>
          <w:sz w:val="21"/>
          <w:szCs w:val="21"/>
        </w:rPr>
        <w:t xml:space="preserve"> </w:t>
      </w:r>
      <w:r w:rsidRPr="007C2763">
        <w:rPr>
          <w:rFonts w:ascii="Abadi" w:hAnsi="Abadi"/>
          <w:b w:val="0"/>
          <w:bCs w:val="0"/>
          <w:sz w:val="21"/>
          <w:szCs w:val="21"/>
        </w:rPr>
        <w:t>la</w:t>
      </w:r>
      <w:r w:rsidRPr="007C2763">
        <w:rPr>
          <w:rFonts w:ascii="Abadi" w:hAnsi="Abadi"/>
          <w:b w:val="0"/>
          <w:bCs w:val="0"/>
          <w:spacing w:val="1"/>
          <w:sz w:val="21"/>
          <w:szCs w:val="21"/>
        </w:rPr>
        <w:t xml:space="preserve"> </w:t>
      </w:r>
      <w:r w:rsidRPr="007C2763">
        <w:rPr>
          <w:rFonts w:ascii="Abadi" w:hAnsi="Abadi"/>
          <w:b w:val="0"/>
          <w:bCs w:val="0"/>
          <w:sz w:val="21"/>
          <w:szCs w:val="21"/>
        </w:rPr>
        <w:t>historia</w:t>
      </w:r>
      <w:r w:rsidRPr="007C2763">
        <w:rPr>
          <w:rFonts w:ascii="Abadi" w:hAnsi="Abadi"/>
          <w:b w:val="0"/>
          <w:bCs w:val="0"/>
          <w:spacing w:val="-1"/>
          <w:sz w:val="21"/>
          <w:szCs w:val="21"/>
        </w:rPr>
        <w:t xml:space="preserve"> </w:t>
      </w:r>
      <w:r w:rsidRPr="007C2763">
        <w:rPr>
          <w:rFonts w:ascii="Abadi" w:hAnsi="Abadi"/>
          <w:b w:val="0"/>
          <w:bCs w:val="0"/>
          <w:sz w:val="21"/>
          <w:szCs w:val="21"/>
        </w:rPr>
        <w:t>misma</w:t>
      </w:r>
      <w:r w:rsidRPr="007C2763">
        <w:rPr>
          <w:rFonts w:ascii="Abadi" w:hAnsi="Abadi"/>
          <w:b w:val="0"/>
          <w:bCs w:val="0"/>
          <w:spacing w:val="1"/>
          <w:sz w:val="21"/>
          <w:szCs w:val="21"/>
        </w:rPr>
        <w:t xml:space="preserve"> </w:t>
      </w:r>
      <w:r w:rsidRPr="007C2763">
        <w:rPr>
          <w:rFonts w:ascii="Abadi" w:hAnsi="Abadi"/>
          <w:b w:val="0"/>
          <w:bCs w:val="0"/>
          <w:sz w:val="21"/>
          <w:szCs w:val="21"/>
        </w:rPr>
        <w:t>o</w:t>
      </w:r>
      <w:r w:rsidRPr="007C2763">
        <w:rPr>
          <w:rFonts w:ascii="Abadi" w:hAnsi="Abadi"/>
          <w:b w:val="0"/>
          <w:bCs w:val="0"/>
          <w:spacing w:val="-1"/>
          <w:sz w:val="21"/>
          <w:szCs w:val="21"/>
        </w:rPr>
        <w:t xml:space="preserve"> </w:t>
      </w:r>
      <w:r w:rsidRPr="007C2763">
        <w:rPr>
          <w:rFonts w:ascii="Abadi" w:hAnsi="Abadi"/>
          <w:b w:val="0"/>
          <w:bCs w:val="0"/>
          <w:sz w:val="21"/>
          <w:szCs w:val="21"/>
        </w:rPr>
        <w:t>desde</w:t>
      </w:r>
      <w:r w:rsidRPr="007C2763">
        <w:rPr>
          <w:rFonts w:ascii="Abadi" w:hAnsi="Abadi"/>
          <w:b w:val="0"/>
          <w:bCs w:val="0"/>
          <w:spacing w:val="1"/>
          <w:sz w:val="21"/>
          <w:szCs w:val="21"/>
        </w:rPr>
        <w:t xml:space="preserve"> </w:t>
      </w:r>
      <w:r w:rsidRPr="007C2763">
        <w:rPr>
          <w:rFonts w:ascii="Abadi" w:hAnsi="Abadi"/>
          <w:b w:val="0"/>
          <w:bCs w:val="0"/>
          <w:sz w:val="21"/>
          <w:szCs w:val="21"/>
        </w:rPr>
        <w:t>una</w:t>
      </w:r>
      <w:r w:rsidRPr="007C2763">
        <w:rPr>
          <w:rFonts w:ascii="Abadi" w:hAnsi="Abadi"/>
          <w:b w:val="0"/>
          <w:bCs w:val="0"/>
          <w:spacing w:val="-1"/>
          <w:sz w:val="21"/>
          <w:szCs w:val="21"/>
        </w:rPr>
        <w:t xml:space="preserve"> </w:t>
      </w:r>
      <w:r w:rsidRPr="007C2763">
        <w:rPr>
          <w:rFonts w:ascii="Abadi" w:hAnsi="Abadi"/>
          <w:b w:val="0"/>
          <w:bCs w:val="0"/>
          <w:sz w:val="21"/>
          <w:szCs w:val="21"/>
        </w:rPr>
        <w:t>perspectiva</w:t>
      </w:r>
      <w:r w:rsidRPr="007C2763">
        <w:rPr>
          <w:rFonts w:ascii="Abadi" w:hAnsi="Abadi"/>
          <w:b w:val="0"/>
          <w:bCs w:val="0"/>
          <w:spacing w:val="1"/>
          <w:sz w:val="21"/>
          <w:szCs w:val="21"/>
        </w:rPr>
        <w:t xml:space="preserve"> </w:t>
      </w:r>
      <w:r w:rsidRPr="007C2763">
        <w:rPr>
          <w:rFonts w:ascii="Abadi" w:hAnsi="Abadi"/>
          <w:b w:val="0"/>
          <w:bCs w:val="0"/>
          <w:sz w:val="21"/>
          <w:szCs w:val="21"/>
        </w:rPr>
        <w:t>histórico</w:t>
      </w:r>
      <w:r w:rsidRPr="007C2763">
        <w:rPr>
          <w:rFonts w:ascii="Abadi" w:hAnsi="Abadi"/>
          <w:b w:val="0"/>
          <w:bCs w:val="0"/>
          <w:spacing w:val="1"/>
          <w:sz w:val="21"/>
          <w:szCs w:val="21"/>
        </w:rPr>
        <w:t xml:space="preserve"> </w:t>
      </w:r>
      <w:r w:rsidRPr="007C2763">
        <w:rPr>
          <w:rFonts w:ascii="Abadi" w:hAnsi="Abadi"/>
          <w:b w:val="0"/>
          <w:bCs w:val="0"/>
          <w:sz w:val="21"/>
          <w:szCs w:val="21"/>
        </w:rPr>
        <w:t>cultural.</w:t>
      </w:r>
    </w:p>
    <w:p w14:paraId="237EDF7D" w14:textId="77777777" w:rsidR="00374A1E" w:rsidRPr="007C2763" w:rsidRDefault="00374A1E" w:rsidP="00374A1E">
      <w:pPr>
        <w:pStyle w:val="Textoindependiente"/>
        <w:kinsoku w:val="0"/>
        <w:overflowPunct w:val="0"/>
        <w:spacing w:before="5"/>
        <w:rPr>
          <w:rFonts w:ascii="Abadi" w:hAnsi="Abadi"/>
          <w:b w:val="0"/>
          <w:bCs w:val="0"/>
          <w:sz w:val="21"/>
          <w:szCs w:val="21"/>
        </w:rPr>
      </w:pPr>
    </w:p>
    <w:p w14:paraId="555084C4" w14:textId="77777777" w:rsidR="00374A1E" w:rsidRPr="007C2763" w:rsidRDefault="00374A1E" w:rsidP="00374A1E">
      <w:pPr>
        <w:pStyle w:val="Textoindependiente"/>
        <w:kinsoku w:val="0"/>
        <w:overflowPunct w:val="0"/>
        <w:ind w:right="114" w:firstLine="708"/>
        <w:rPr>
          <w:rFonts w:ascii="Abadi" w:hAnsi="Abadi"/>
          <w:b w:val="0"/>
          <w:bCs w:val="0"/>
          <w:sz w:val="21"/>
          <w:szCs w:val="21"/>
        </w:rPr>
      </w:pPr>
      <w:r w:rsidRPr="007C2763">
        <w:rPr>
          <w:rFonts w:ascii="Abadi" w:hAnsi="Abadi"/>
          <w:b w:val="0"/>
          <w:bCs w:val="0"/>
          <w:sz w:val="21"/>
          <w:szCs w:val="21"/>
        </w:rPr>
        <w:t>Se observa</w:t>
      </w:r>
      <w:r w:rsidRPr="007C2763">
        <w:rPr>
          <w:rFonts w:ascii="Abadi" w:hAnsi="Abadi"/>
          <w:b w:val="0"/>
          <w:bCs w:val="0"/>
          <w:spacing w:val="1"/>
          <w:sz w:val="21"/>
          <w:szCs w:val="21"/>
        </w:rPr>
        <w:t xml:space="preserve"> </w:t>
      </w:r>
      <w:r w:rsidRPr="007C2763">
        <w:rPr>
          <w:rFonts w:ascii="Abadi" w:hAnsi="Abadi"/>
          <w:b w:val="0"/>
          <w:bCs w:val="0"/>
          <w:sz w:val="21"/>
          <w:szCs w:val="21"/>
        </w:rPr>
        <w:t>a</w:t>
      </w:r>
      <w:r w:rsidRPr="007C2763">
        <w:rPr>
          <w:rFonts w:ascii="Abadi" w:hAnsi="Abadi"/>
          <w:b w:val="0"/>
          <w:bCs w:val="0"/>
          <w:spacing w:val="3"/>
          <w:sz w:val="21"/>
          <w:szCs w:val="21"/>
        </w:rPr>
        <w:t xml:space="preserve"> </w:t>
      </w:r>
      <w:r w:rsidRPr="007C2763">
        <w:rPr>
          <w:rFonts w:ascii="Abadi" w:hAnsi="Abadi"/>
          <w:b w:val="0"/>
          <w:bCs w:val="0"/>
          <w:sz w:val="21"/>
          <w:szCs w:val="21"/>
        </w:rPr>
        <w:t>su</w:t>
      </w:r>
      <w:r w:rsidRPr="007C2763">
        <w:rPr>
          <w:rFonts w:ascii="Abadi" w:hAnsi="Abadi"/>
          <w:b w:val="0"/>
          <w:bCs w:val="0"/>
          <w:spacing w:val="3"/>
          <w:sz w:val="21"/>
          <w:szCs w:val="21"/>
        </w:rPr>
        <w:t xml:space="preserve"> </w:t>
      </w:r>
      <w:r w:rsidRPr="007C2763">
        <w:rPr>
          <w:rFonts w:ascii="Abadi" w:hAnsi="Abadi"/>
          <w:b w:val="0"/>
          <w:bCs w:val="0"/>
          <w:sz w:val="21"/>
          <w:szCs w:val="21"/>
        </w:rPr>
        <w:t>vez que,</w:t>
      </w:r>
      <w:r w:rsidRPr="007C2763">
        <w:rPr>
          <w:rFonts w:ascii="Abadi" w:hAnsi="Abadi"/>
          <w:b w:val="0"/>
          <w:bCs w:val="0"/>
          <w:spacing w:val="1"/>
          <w:sz w:val="21"/>
          <w:szCs w:val="21"/>
        </w:rPr>
        <w:t xml:space="preserve"> </w:t>
      </w:r>
      <w:r w:rsidRPr="007C2763">
        <w:rPr>
          <w:rFonts w:ascii="Abadi" w:hAnsi="Abadi"/>
          <w:b w:val="0"/>
          <w:bCs w:val="0"/>
          <w:sz w:val="21"/>
          <w:szCs w:val="21"/>
        </w:rPr>
        <w:t>a</w:t>
      </w:r>
      <w:r w:rsidRPr="007C2763">
        <w:rPr>
          <w:rFonts w:ascii="Abadi" w:hAnsi="Abadi"/>
          <w:b w:val="0"/>
          <w:bCs w:val="0"/>
          <w:spacing w:val="1"/>
          <w:sz w:val="21"/>
          <w:szCs w:val="21"/>
        </w:rPr>
        <w:t xml:space="preserve"> </w:t>
      </w:r>
      <w:r w:rsidRPr="007C2763">
        <w:rPr>
          <w:rFonts w:ascii="Abadi" w:hAnsi="Abadi"/>
          <w:b w:val="0"/>
          <w:bCs w:val="0"/>
          <w:sz w:val="21"/>
          <w:szCs w:val="21"/>
        </w:rPr>
        <w:t>través de</w:t>
      </w:r>
      <w:r w:rsidRPr="007C2763">
        <w:rPr>
          <w:rFonts w:ascii="Abadi" w:hAnsi="Abadi"/>
          <w:b w:val="0"/>
          <w:bCs w:val="0"/>
          <w:spacing w:val="1"/>
          <w:sz w:val="21"/>
          <w:szCs w:val="21"/>
        </w:rPr>
        <w:t xml:space="preserve"> </w:t>
      </w:r>
      <w:r w:rsidRPr="007C2763">
        <w:rPr>
          <w:rFonts w:ascii="Abadi" w:hAnsi="Abadi"/>
          <w:b w:val="0"/>
          <w:bCs w:val="0"/>
          <w:sz w:val="21"/>
          <w:szCs w:val="21"/>
        </w:rPr>
        <w:t>una</w:t>
      </w:r>
      <w:r w:rsidRPr="007C2763">
        <w:rPr>
          <w:rFonts w:ascii="Abadi" w:hAnsi="Abadi"/>
          <w:b w:val="0"/>
          <w:bCs w:val="0"/>
          <w:spacing w:val="1"/>
          <w:sz w:val="21"/>
          <w:szCs w:val="21"/>
        </w:rPr>
        <w:t xml:space="preserve"> </w:t>
      </w:r>
      <w:r w:rsidRPr="007C2763">
        <w:rPr>
          <w:rFonts w:ascii="Abadi" w:hAnsi="Abadi"/>
          <w:b w:val="0"/>
          <w:bCs w:val="0"/>
          <w:sz w:val="21"/>
          <w:szCs w:val="21"/>
        </w:rPr>
        <w:t>muestra</w:t>
      </w:r>
      <w:r w:rsidRPr="007C2763">
        <w:rPr>
          <w:rFonts w:ascii="Abadi" w:hAnsi="Abadi"/>
          <w:b w:val="0"/>
          <w:bCs w:val="0"/>
          <w:spacing w:val="1"/>
          <w:sz w:val="21"/>
          <w:szCs w:val="21"/>
        </w:rPr>
        <w:t xml:space="preserve"> </w:t>
      </w:r>
      <w:r w:rsidRPr="007C2763">
        <w:rPr>
          <w:rFonts w:ascii="Abadi" w:hAnsi="Abadi"/>
          <w:b w:val="0"/>
          <w:bCs w:val="0"/>
          <w:sz w:val="21"/>
          <w:szCs w:val="21"/>
        </w:rPr>
        <w:t>representativa,</w:t>
      </w:r>
      <w:r w:rsidRPr="007C2763">
        <w:rPr>
          <w:rFonts w:ascii="Abadi" w:hAnsi="Abadi"/>
          <w:b w:val="0"/>
          <w:bCs w:val="0"/>
          <w:spacing w:val="1"/>
          <w:sz w:val="21"/>
          <w:szCs w:val="21"/>
        </w:rPr>
        <w:t xml:space="preserve"> </w:t>
      </w:r>
      <w:r w:rsidRPr="007C2763">
        <w:rPr>
          <w:rFonts w:ascii="Abadi" w:hAnsi="Abadi"/>
          <w:b w:val="0"/>
          <w:bCs w:val="0"/>
          <w:sz w:val="21"/>
          <w:szCs w:val="21"/>
        </w:rPr>
        <w:t>la</w:t>
      </w:r>
      <w:r w:rsidRPr="007C2763">
        <w:rPr>
          <w:rFonts w:ascii="Abadi" w:hAnsi="Abadi"/>
          <w:b w:val="0"/>
          <w:bCs w:val="0"/>
          <w:spacing w:val="3"/>
          <w:sz w:val="21"/>
          <w:szCs w:val="21"/>
        </w:rPr>
        <w:t xml:space="preserve"> </w:t>
      </w:r>
      <w:r w:rsidRPr="007C2763">
        <w:rPr>
          <w:rFonts w:ascii="Abadi" w:hAnsi="Abadi"/>
          <w:b w:val="0"/>
          <w:bCs w:val="0"/>
          <w:sz w:val="21"/>
          <w:szCs w:val="21"/>
        </w:rPr>
        <w:t>opinión de</w:t>
      </w:r>
      <w:r w:rsidRPr="007C2763">
        <w:rPr>
          <w:rFonts w:ascii="Abadi" w:hAnsi="Abadi"/>
          <w:b w:val="0"/>
          <w:bCs w:val="0"/>
          <w:spacing w:val="15"/>
          <w:sz w:val="21"/>
          <w:szCs w:val="21"/>
        </w:rPr>
        <w:t xml:space="preserve"> </w:t>
      </w:r>
      <w:r w:rsidRPr="007C2763">
        <w:rPr>
          <w:rFonts w:ascii="Abadi" w:hAnsi="Abadi"/>
          <w:b w:val="0"/>
          <w:bCs w:val="0"/>
          <w:sz w:val="21"/>
          <w:szCs w:val="21"/>
        </w:rPr>
        <w:t>la</w:t>
      </w:r>
      <w:r w:rsidRPr="007C2763">
        <w:rPr>
          <w:rFonts w:ascii="Abadi" w:hAnsi="Abadi"/>
          <w:b w:val="0"/>
          <w:bCs w:val="0"/>
          <w:spacing w:val="15"/>
          <w:sz w:val="21"/>
          <w:szCs w:val="21"/>
        </w:rPr>
        <w:t xml:space="preserve"> </w:t>
      </w:r>
      <w:r w:rsidRPr="007C2763">
        <w:rPr>
          <w:rFonts w:ascii="Abadi" w:hAnsi="Abadi"/>
          <w:b w:val="0"/>
          <w:bCs w:val="0"/>
          <w:sz w:val="21"/>
          <w:szCs w:val="21"/>
        </w:rPr>
        <w:t>población</w:t>
      </w:r>
      <w:r w:rsidRPr="007C2763">
        <w:rPr>
          <w:rFonts w:ascii="Abadi" w:hAnsi="Abadi"/>
          <w:b w:val="0"/>
          <w:bCs w:val="0"/>
          <w:spacing w:val="15"/>
          <w:sz w:val="21"/>
          <w:szCs w:val="21"/>
        </w:rPr>
        <w:t xml:space="preserve"> </w:t>
      </w:r>
      <w:r w:rsidRPr="007C2763">
        <w:rPr>
          <w:rFonts w:ascii="Abadi" w:hAnsi="Abadi"/>
          <w:b w:val="0"/>
          <w:bCs w:val="0"/>
          <w:sz w:val="21"/>
          <w:szCs w:val="21"/>
        </w:rPr>
        <w:t>doctormorense</w:t>
      </w:r>
      <w:r w:rsidRPr="007C2763">
        <w:rPr>
          <w:rFonts w:ascii="Abadi" w:hAnsi="Abadi"/>
          <w:b w:val="0"/>
          <w:bCs w:val="0"/>
          <w:spacing w:val="15"/>
          <w:sz w:val="21"/>
          <w:szCs w:val="21"/>
        </w:rPr>
        <w:t xml:space="preserve"> </w:t>
      </w:r>
      <w:r w:rsidRPr="007C2763">
        <w:rPr>
          <w:rFonts w:ascii="Abadi" w:hAnsi="Abadi"/>
          <w:b w:val="0"/>
          <w:bCs w:val="0"/>
          <w:sz w:val="21"/>
          <w:szCs w:val="21"/>
        </w:rPr>
        <w:t>se</w:t>
      </w:r>
      <w:r w:rsidRPr="007C2763">
        <w:rPr>
          <w:rFonts w:ascii="Abadi" w:hAnsi="Abadi"/>
          <w:b w:val="0"/>
          <w:bCs w:val="0"/>
          <w:spacing w:val="15"/>
          <w:sz w:val="21"/>
          <w:szCs w:val="21"/>
        </w:rPr>
        <w:t xml:space="preserve"> </w:t>
      </w:r>
      <w:r w:rsidRPr="007C2763">
        <w:rPr>
          <w:rFonts w:ascii="Abadi" w:hAnsi="Abadi"/>
          <w:b w:val="0"/>
          <w:bCs w:val="0"/>
          <w:sz w:val="21"/>
          <w:szCs w:val="21"/>
        </w:rPr>
        <w:t>inclina</w:t>
      </w:r>
      <w:r w:rsidRPr="007C2763">
        <w:rPr>
          <w:rFonts w:ascii="Abadi" w:hAnsi="Abadi"/>
          <w:b w:val="0"/>
          <w:bCs w:val="0"/>
          <w:spacing w:val="15"/>
          <w:sz w:val="21"/>
          <w:szCs w:val="21"/>
        </w:rPr>
        <w:t xml:space="preserve"> </w:t>
      </w:r>
      <w:r w:rsidRPr="007C2763">
        <w:rPr>
          <w:rFonts w:ascii="Abadi" w:hAnsi="Abadi"/>
          <w:b w:val="0"/>
          <w:bCs w:val="0"/>
          <w:sz w:val="21"/>
          <w:szCs w:val="21"/>
        </w:rPr>
        <w:t>a</w:t>
      </w:r>
      <w:r w:rsidRPr="007C2763">
        <w:rPr>
          <w:rFonts w:ascii="Abadi" w:hAnsi="Abadi"/>
          <w:b w:val="0"/>
          <w:bCs w:val="0"/>
          <w:spacing w:val="16"/>
          <w:sz w:val="21"/>
          <w:szCs w:val="21"/>
        </w:rPr>
        <w:t xml:space="preserve"> </w:t>
      </w:r>
      <w:r w:rsidRPr="007C2763">
        <w:rPr>
          <w:rFonts w:ascii="Abadi" w:hAnsi="Abadi"/>
          <w:b w:val="0"/>
          <w:bCs w:val="0"/>
          <w:sz w:val="21"/>
          <w:szCs w:val="21"/>
        </w:rPr>
        <w:t>conservar</w:t>
      </w:r>
      <w:r w:rsidRPr="007C2763">
        <w:rPr>
          <w:rFonts w:ascii="Abadi" w:hAnsi="Abadi"/>
          <w:b w:val="0"/>
          <w:bCs w:val="0"/>
          <w:spacing w:val="14"/>
          <w:sz w:val="21"/>
          <w:szCs w:val="21"/>
        </w:rPr>
        <w:t xml:space="preserve"> </w:t>
      </w:r>
      <w:r w:rsidRPr="007C2763">
        <w:rPr>
          <w:rFonts w:ascii="Abadi" w:hAnsi="Abadi"/>
          <w:b w:val="0"/>
          <w:bCs w:val="0"/>
          <w:sz w:val="21"/>
          <w:szCs w:val="21"/>
        </w:rPr>
        <w:t>para</w:t>
      </w:r>
      <w:r w:rsidRPr="007C2763">
        <w:rPr>
          <w:rFonts w:ascii="Abadi" w:hAnsi="Abadi"/>
          <w:b w:val="0"/>
          <w:bCs w:val="0"/>
          <w:spacing w:val="15"/>
          <w:sz w:val="21"/>
          <w:szCs w:val="21"/>
        </w:rPr>
        <w:t xml:space="preserve"> </w:t>
      </w:r>
      <w:r w:rsidRPr="007C2763">
        <w:rPr>
          <w:rFonts w:ascii="Abadi" w:hAnsi="Abadi"/>
          <w:b w:val="0"/>
          <w:bCs w:val="0"/>
          <w:sz w:val="21"/>
          <w:szCs w:val="21"/>
        </w:rPr>
        <w:t>su</w:t>
      </w:r>
      <w:r w:rsidRPr="007C2763">
        <w:rPr>
          <w:rFonts w:ascii="Abadi" w:hAnsi="Abadi"/>
          <w:b w:val="0"/>
          <w:bCs w:val="0"/>
          <w:spacing w:val="15"/>
          <w:sz w:val="21"/>
          <w:szCs w:val="21"/>
        </w:rPr>
        <w:t xml:space="preserve"> </w:t>
      </w:r>
      <w:r w:rsidRPr="007C2763">
        <w:rPr>
          <w:rFonts w:ascii="Abadi" w:hAnsi="Abadi"/>
          <w:b w:val="0"/>
          <w:bCs w:val="0"/>
          <w:sz w:val="21"/>
          <w:szCs w:val="21"/>
        </w:rPr>
        <w:t>cabecera</w:t>
      </w:r>
      <w:r w:rsidRPr="007C2763">
        <w:rPr>
          <w:rFonts w:ascii="Abadi" w:hAnsi="Abadi"/>
          <w:b w:val="0"/>
          <w:bCs w:val="0"/>
          <w:spacing w:val="15"/>
          <w:sz w:val="21"/>
          <w:szCs w:val="21"/>
        </w:rPr>
        <w:t xml:space="preserve"> </w:t>
      </w:r>
      <w:r w:rsidRPr="007C2763">
        <w:rPr>
          <w:rFonts w:ascii="Abadi" w:hAnsi="Abadi"/>
          <w:b w:val="0"/>
          <w:bCs w:val="0"/>
          <w:sz w:val="21"/>
          <w:szCs w:val="21"/>
        </w:rPr>
        <w:t>municipal la</w:t>
      </w:r>
      <w:r w:rsidRPr="007C2763">
        <w:rPr>
          <w:rFonts w:ascii="Abadi" w:hAnsi="Abadi"/>
          <w:b w:val="0"/>
          <w:bCs w:val="0"/>
          <w:spacing w:val="30"/>
          <w:sz w:val="21"/>
          <w:szCs w:val="21"/>
        </w:rPr>
        <w:t xml:space="preserve"> </w:t>
      </w:r>
      <w:r w:rsidRPr="007C2763">
        <w:rPr>
          <w:rFonts w:ascii="Abadi" w:hAnsi="Abadi"/>
          <w:b w:val="0"/>
          <w:bCs w:val="0"/>
          <w:sz w:val="21"/>
          <w:szCs w:val="21"/>
        </w:rPr>
        <w:t>toponimia</w:t>
      </w:r>
      <w:r w:rsidRPr="007C2763">
        <w:rPr>
          <w:rFonts w:ascii="Abadi" w:hAnsi="Abadi"/>
          <w:b w:val="0"/>
          <w:bCs w:val="0"/>
          <w:spacing w:val="27"/>
          <w:sz w:val="21"/>
          <w:szCs w:val="21"/>
        </w:rPr>
        <w:t xml:space="preserve"> </w:t>
      </w:r>
      <w:r w:rsidRPr="007C2763">
        <w:rPr>
          <w:rFonts w:ascii="Abadi" w:hAnsi="Abadi"/>
          <w:b w:val="0"/>
          <w:bCs w:val="0"/>
          <w:sz w:val="21"/>
          <w:szCs w:val="21"/>
        </w:rPr>
        <w:t>de</w:t>
      </w:r>
      <w:r w:rsidRPr="007C2763">
        <w:rPr>
          <w:rFonts w:ascii="Abadi" w:hAnsi="Abadi"/>
          <w:b w:val="0"/>
          <w:bCs w:val="0"/>
          <w:spacing w:val="30"/>
          <w:sz w:val="21"/>
          <w:szCs w:val="21"/>
        </w:rPr>
        <w:t xml:space="preserve"> </w:t>
      </w:r>
      <w:r w:rsidRPr="007C2763">
        <w:rPr>
          <w:rFonts w:ascii="Abadi" w:hAnsi="Abadi"/>
          <w:b w:val="0"/>
          <w:bCs w:val="0"/>
          <w:sz w:val="21"/>
          <w:szCs w:val="21"/>
        </w:rPr>
        <w:t>Doctor</w:t>
      </w:r>
      <w:r w:rsidRPr="007C2763">
        <w:rPr>
          <w:rFonts w:ascii="Abadi" w:hAnsi="Abadi"/>
          <w:b w:val="0"/>
          <w:bCs w:val="0"/>
          <w:spacing w:val="28"/>
          <w:sz w:val="21"/>
          <w:szCs w:val="21"/>
        </w:rPr>
        <w:t xml:space="preserve"> </w:t>
      </w:r>
      <w:r w:rsidRPr="007C2763">
        <w:rPr>
          <w:rFonts w:ascii="Abadi" w:hAnsi="Abadi"/>
          <w:b w:val="0"/>
          <w:bCs w:val="0"/>
          <w:sz w:val="21"/>
          <w:szCs w:val="21"/>
        </w:rPr>
        <w:t>Mora,</w:t>
      </w:r>
      <w:r w:rsidRPr="007C2763">
        <w:rPr>
          <w:rFonts w:ascii="Abadi" w:hAnsi="Abadi"/>
          <w:b w:val="0"/>
          <w:bCs w:val="0"/>
          <w:spacing w:val="29"/>
          <w:sz w:val="21"/>
          <w:szCs w:val="21"/>
        </w:rPr>
        <w:t xml:space="preserve"> </w:t>
      </w:r>
      <w:r w:rsidRPr="007C2763">
        <w:rPr>
          <w:rFonts w:ascii="Abadi" w:hAnsi="Abadi"/>
          <w:b w:val="0"/>
          <w:bCs w:val="0"/>
          <w:sz w:val="21"/>
          <w:szCs w:val="21"/>
        </w:rPr>
        <w:t>de</w:t>
      </w:r>
      <w:r w:rsidRPr="007C2763">
        <w:rPr>
          <w:rFonts w:ascii="Abadi" w:hAnsi="Abadi"/>
          <w:b w:val="0"/>
          <w:bCs w:val="0"/>
          <w:spacing w:val="30"/>
          <w:sz w:val="21"/>
          <w:szCs w:val="21"/>
        </w:rPr>
        <w:t xml:space="preserve"> </w:t>
      </w:r>
      <w:r w:rsidRPr="007C2763">
        <w:rPr>
          <w:rFonts w:ascii="Abadi" w:hAnsi="Abadi"/>
          <w:b w:val="0"/>
          <w:bCs w:val="0"/>
          <w:sz w:val="21"/>
          <w:szCs w:val="21"/>
        </w:rPr>
        <w:t>la</w:t>
      </w:r>
      <w:r w:rsidRPr="007C2763">
        <w:rPr>
          <w:rFonts w:ascii="Abadi" w:hAnsi="Abadi"/>
          <w:b w:val="0"/>
          <w:bCs w:val="0"/>
          <w:spacing w:val="27"/>
          <w:sz w:val="21"/>
          <w:szCs w:val="21"/>
        </w:rPr>
        <w:t xml:space="preserve"> </w:t>
      </w:r>
      <w:r w:rsidRPr="007C2763">
        <w:rPr>
          <w:rFonts w:ascii="Abadi" w:hAnsi="Abadi"/>
          <w:b w:val="0"/>
          <w:bCs w:val="0"/>
          <w:sz w:val="21"/>
          <w:szCs w:val="21"/>
        </w:rPr>
        <w:t>misma</w:t>
      </w:r>
      <w:r w:rsidRPr="007C2763">
        <w:rPr>
          <w:rFonts w:ascii="Abadi" w:hAnsi="Abadi"/>
          <w:b w:val="0"/>
          <w:bCs w:val="0"/>
          <w:spacing w:val="27"/>
          <w:sz w:val="21"/>
          <w:szCs w:val="21"/>
        </w:rPr>
        <w:t xml:space="preserve"> </w:t>
      </w:r>
      <w:r w:rsidRPr="007C2763">
        <w:rPr>
          <w:rFonts w:ascii="Abadi" w:hAnsi="Abadi"/>
          <w:b w:val="0"/>
          <w:bCs w:val="0"/>
          <w:sz w:val="21"/>
          <w:szCs w:val="21"/>
        </w:rPr>
        <w:t>forma</w:t>
      </w:r>
      <w:r w:rsidRPr="007C2763">
        <w:rPr>
          <w:rFonts w:ascii="Abadi" w:hAnsi="Abadi"/>
          <w:b w:val="0"/>
          <w:bCs w:val="0"/>
          <w:spacing w:val="27"/>
          <w:sz w:val="21"/>
          <w:szCs w:val="21"/>
        </w:rPr>
        <w:t xml:space="preserve"> </w:t>
      </w:r>
      <w:r w:rsidRPr="007C2763">
        <w:rPr>
          <w:rFonts w:ascii="Abadi" w:hAnsi="Abadi"/>
          <w:b w:val="0"/>
          <w:bCs w:val="0"/>
          <w:sz w:val="21"/>
          <w:szCs w:val="21"/>
        </w:rPr>
        <w:t>que</w:t>
      </w:r>
      <w:r w:rsidRPr="007C2763">
        <w:rPr>
          <w:rFonts w:ascii="Abadi" w:hAnsi="Abadi"/>
          <w:b w:val="0"/>
          <w:bCs w:val="0"/>
          <w:spacing w:val="30"/>
          <w:sz w:val="21"/>
          <w:szCs w:val="21"/>
        </w:rPr>
        <w:t xml:space="preserve"> </w:t>
      </w:r>
      <w:r w:rsidRPr="007C2763">
        <w:rPr>
          <w:rFonts w:ascii="Abadi" w:hAnsi="Abadi"/>
          <w:b w:val="0"/>
          <w:bCs w:val="0"/>
          <w:sz w:val="21"/>
          <w:szCs w:val="21"/>
        </w:rPr>
        <w:t>su</w:t>
      </w:r>
      <w:r w:rsidRPr="007C2763">
        <w:rPr>
          <w:rFonts w:ascii="Abadi" w:hAnsi="Abadi"/>
          <w:b w:val="0"/>
          <w:bCs w:val="0"/>
          <w:spacing w:val="27"/>
          <w:sz w:val="21"/>
          <w:szCs w:val="21"/>
        </w:rPr>
        <w:t xml:space="preserve"> </w:t>
      </w:r>
      <w:r w:rsidRPr="007C2763">
        <w:rPr>
          <w:rFonts w:ascii="Abadi" w:hAnsi="Abadi"/>
          <w:b w:val="0"/>
          <w:bCs w:val="0"/>
          <w:sz w:val="21"/>
          <w:szCs w:val="21"/>
        </w:rPr>
        <w:t>demarcación</w:t>
      </w:r>
      <w:r w:rsidRPr="007C2763">
        <w:rPr>
          <w:rFonts w:ascii="Abadi" w:hAnsi="Abadi"/>
          <w:b w:val="0"/>
          <w:bCs w:val="0"/>
          <w:spacing w:val="27"/>
          <w:sz w:val="21"/>
          <w:szCs w:val="21"/>
        </w:rPr>
        <w:t xml:space="preserve"> </w:t>
      </w:r>
      <w:r w:rsidRPr="007C2763">
        <w:rPr>
          <w:rFonts w:ascii="Abadi" w:hAnsi="Abadi"/>
          <w:b w:val="0"/>
          <w:bCs w:val="0"/>
          <w:sz w:val="21"/>
          <w:szCs w:val="21"/>
        </w:rPr>
        <w:t>municipal. Opinión</w:t>
      </w:r>
      <w:r w:rsidRPr="007C2763">
        <w:rPr>
          <w:rFonts w:ascii="Abadi" w:hAnsi="Abadi"/>
          <w:b w:val="0"/>
          <w:bCs w:val="0"/>
          <w:spacing w:val="11"/>
          <w:sz w:val="21"/>
          <w:szCs w:val="21"/>
        </w:rPr>
        <w:t xml:space="preserve"> </w:t>
      </w:r>
      <w:r w:rsidRPr="007C2763">
        <w:rPr>
          <w:rFonts w:ascii="Abadi" w:hAnsi="Abadi"/>
          <w:b w:val="0"/>
          <w:bCs w:val="0"/>
          <w:sz w:val="21"/>
          <w:szCs w:val="21"/>
        </w:rPr>
        <w:t>que</w:t>
      </w:r>
      <w:r w:rsidRPr="007C2763">
        <w:rPr>
          <w:rFonts w:ascii="Abadi" w:hAnsi="Abadi"/>
          <w:b w:val="0"/>
          <w:bCs w:val="0"/>
          <w:spacing w:val="11"/>
          <w:sz w:val="21"/>
          <w:szCs w:val="21"/>
        </w:rPr>
        <w:t xml:space="preserve"> </w:t>
      </w:r>
      <w:r w:rsidRPr="007C2763">
        <w:rPr>
          <w:rFonts w:ascii="Abadi" w:hAnsi="Abadi"/>
          <w:b w:val="0"/>
          <w:bCs w:val="0"/>
          <w:sz w:val="21"/>
          <w:szCs w:val="21"/>
        </w:rPr>
        <w:t>se</w:t>
      </w:r>
      <w:r w:rsidRPr="007C2763">
        <w:rPr>
          <w:rFonts w:ascii="Abadi" w:hAnsi="Abadi"/>
          <w:b w:val="0"/>
          <w:bCs w:val="0"/>
          <w:spacing w:val="11"/>
          <w:sz w:val="21"/>
          <w:szCs w:val="21"/>
        </w:rPr>
        <w:t xml:space="preserve"> </w:t>
      </w:r>
      <w:r w:rsidRPr="007C2763">
        <w:rPr>
          <w:rFonts w:ascii="Abadi" w:hAnsi="Abadi"/>
          <w:b w:val="0"/>
          <w:bCs w:val="0"/>
          <w:sz w:val="21"/>
          <w:szCs w:val="21"/>
        </w:rPr>
        <w:t>respalda</w:t>
      </w:r>
      <w:r w:rsidRPr="007C2763">
        <w:rPr>
          <w:rFonts w:ascii="Abadi" w:hAnsi="Abadi"/>
          <w:b w:val="0"/>
          <w:bCs w:val="0"/>
          <w:spacing w:val="13"/>
          <w:sz w:val="21"/>
          <w:szCs w:val="21"/>
        </w:rPr>
        <w:t xml:space="preserve"> </w:t>
      </w:r>
      <w:r w:rsidRPr="007C2763">
        <w:rPr>
          <w:rFonts w:ascii="Abadi" w:hAnsi="Abadi"/>
          <w:b w:val="0"/>
          <w:bCs w:val="0"/>
          <w:sz w:val="21"/>
          <w:szCs w:val="21"/>
        </w:rPr>
        <w:t>con</w:t>
      </w:r>
      <w:r w:rsidRPr="007C2763">
        <w:rPr>
          <w:rFonts w:ascii="Abadi" w:hAnsi="Abadi"/>
          <w:b w:val="0"/>
          <w:bCs w:val="0"/>
          <w:spacing w:val="11"/>
          <w:sz w:val="21"/>
          <w:szCs w:val="21"/>
        </w:rPr>
        <w:t xml:space="preserve"> </w:t>
      </w:r>
      <w:r w:rsidRPr="007C2763">
        <w:rPr>
          <w:rFonts w:ascii="Abadi" w:hAnsi="Abadi"/>
          <w:b w:val="0"/>
          <w:bCs w:val="0"/>
          <w:sz w:val="21"/>
          <w:szCs w:val="21"/>
        </w:rPr>
        <w:t>el</w:t>
      </w:r>
      <w:r w:rsidRPr="007C2763">
        <w:rPr>
          <w:rFonts w:ascii="Abadi" w:hAnsi="Abadi"/>
          <w:b w:val="0"/>
          <w:bCs w:val="0"/>
          <w:spacing w:val="12"/>
          <w:sz w:val="21"/>
          <w:szCs w:val="21"/>
        </w:rPr>
        <w:t xml:space="preserve"> </w:t>
      </w:r>
      <w:r w:rsidRPr="007C2763">
        <w:rPr>
          <w:rFonts w:ascii="Abadi" w:hAnsi="Abadi"/>
          <w:b w:val="0"/>
          <w:bCs w:val="0"/>
          <w:sz w:val="21"/>
          <w:szCs w:val="21"/>
        </w:rPr>
        <w:t>resultado</w:t>
      </w:r>
      <w:r w:rsidRPr="007C2763">
        <w:rPr>
          <w:rFonts w:ascii="Abadi" w:hAnsi="Abadi"/>
          <w:b w:val="0"/>
          <w:bCs w:val="0"/>
          <w:spacing w:val="11"/>
          <w:sz w:val="21"/>
          <w:szCs w:val="21"/>
        </w:rPr>
        <w:t xml:space="preserve"> </w:t>
      </w:r>
      <w:r w:rsidRPr="007C2763">
        <w:rPr>
          <w:rFonts w:ascii="Abadi" w:hAnsi="Abadi"/>
          <w:b w:val="0"/>
          <w:bCs w:val="0"/>
          <w:sz w:val="21"/>
          <w:szCs w:val="21"/>
        </w:rPr>
        <w:t>de</w:t>
      </w:r>
      <w:r w:rsidRPr="007C2763">
        <w:rPr>
          <w:rFonts w:ascii="Abadi" w:hAnsi="Abadi"/>
          <w:b w:val="0"/>
          <w:bCs w:val="0"/>
          <w:spacing w:val="11"/>
          <w:sz w:val="21"/>
          <w:szCs w:val="21"/>
        </w:rPr>
        <w:t xml:space="preserve"> </w:t>
      </w:r>
      <w:r w:rsidRPr="007C2763">
        <w:rPr>
          <w:rFonts w:ascii="Abadi" w:hAnsi="Abadi"/>
          <w:b w:val="0"/>
          <w:bCs w:val="0"/>
          <w:sz w:val="21"/>
          <w:szCs w:val="21"/>
        </w:rPr>
        <w:t>la</w:t>
      </w:r>
      <w:r w:rsidRPr="007C2763">
        <w:rPr>
          <w:rFonts w:ascii="Abadi" w:hAnsi="Abadi"/>
          <w:b w:val="0"/>
          <w:bCs w:val="0"/>
          <w:spacing w:val="11"/>
          <w:sz w:val="21"/>
          <w:szCs w:val="21"/>
        </w:rPr>
        <w:t xml:space="preserve"> </w:t>
      </w:r>
      <w:r w:rsidRPr="007C2763">
        <w:rPr>
          <w:rFonts w:ascii="Abadi" w:hAnsi="Abadi"/>
          <w:b w:val="0"/>
          <w:bCs w:val="0"/>
          <w:sz w:val="21"/>
          <w:szCs w:val="21"/>
        </w:rPr>
        <w:t>difusión</w:t>
      </w:r>
      <w:r w:rsidRPr="007C2763">
        <w:rPr>
          <w:rFonts w:ascii="Abadi" w:hAnsi="Abadi"/>
          <w:b w:val="0"/>
          <w:bCs w:val="0"/>
          <w:spacing w:val="11"/>
          <w:sz w:val="21"/>
          <w:szCs w:val="21"/>
        </w:rPr>
        <w:t xml:space="preserve"> </w:t>
      </w:r>
      <w:r w:rsidRPr="007C2763">
        <w:rPr>
          <w:rFonts w:ascii="Abadi" w:hAnsi="Abadi"/>
          <w:b w:val="0"/>
          <w:bCs w:val="0"/>
          <w:sz w:val="21"/>
          <w:szCs w:val="21"/>
        </w:rPr>
        <w:t>de</w:t>
      </w:r>
      <w:r w:rsidRPr="007C2763">
        <w:rPr>
          <w:rFonts w:ascii="Abadi" w:hAnsi="Abadi"/>
          <w:b w:val="0"/>
          <w:bCs w:val="0"/>
          <w:spacing w:val="11"/>
          <w:sz w:val="21"/>
          <w:szCs w:val="21"/>
        </w:rPr>
        <w:t xml:space="preserve"> </w:t>
      </w:r>
      <w:r w:rsidRPr="007C2763">
        <w:rPr>
          <w:rFonts w:ascii="Abadi" w:hAnsi="Abadi"/>
          <w:b w:val="0"/>
          <w:bCs w:val="0"/>
          <w:sz w:val="21"/>
          <w:szCs w:val="21"/>
        </w:rPr>
        <w:t>la</w:t>
      </w:r>
      <w:r w:rsidRPr="007C2763">
        <w:rPr>
          <w:rFonts w:ascii="Abadi" w:hAnsi="Abadi"/>
          <w:b w:val="0"/>
          <w:bCs w:val="0"/>
          <w:spacing w:val="13"/>
          <w:sz w:val="21"/>
          <w:szCs w:val="21"/>
        </w:rPr>
        <w:t xml:space="preserve"> </w:t>
      </w:r>
      <w:r w:rsidRPr="007C2763">
        <w:rPr>
          <w:rFonts w:ascii="Abadi" w:hAnsi="Abadi"/>
          <w:b w:val="0"/>
          <w:bCs w:val="0"/>
          <w:sz w:val="21"/>
          <w:szCs w:val="21"/>
        </w:rPr>
        <w:t>iniciativa</w:t>
      </w:r>
      <w:r w:rsidRPr="007C2763">
        <w:rPr>
          <w:rFonts w:ascii="Abadi" w:hAnsi="Abadi"/>
          <w:b w:val="0"/>
          <w:bCs w:val="0"/>
          <w:spacing w:val="13"/>
          <w:sz w:val="21"/>
          <w:szCs w:val="21"/>
        </w:rPr>
        <w:t xml:space="preserve"> </w:t>
      </w:r>
      <w:r w:rsidRPr="007C2763">
        <w:rPr>
          <w:rFonts w:ascii="Abadi" w:hAnsi="Abadi"/>
          <w:b w:val="0"/>
          <w:bCs w:val="0"/>
          <w:sz w:val="21"/>
          <w:szCs w:val="21"/>
        </w:rPr>
        <w:t>a</w:t>
      </w:r>
      <w:r w:rsidRPr="007C2763">
        <w:rPr>
          <w:rFonts w:ascii="Abadi" w:hAnsi="Abadi"/>
          <w:b w:val="0"/>
          <w:bCs w:val="0"/>
          <w:spacing w:val="11"/>
          <w:sz w:val="21"/>
          <w:szCs w:val="21"/>
        </w:rPr>
        <w:t xml:space="preserve"> </w:t>
      </w:r>
      <w:r w:rsidRPr="007C2763">
        <w:rPr>
          <w:rFonts w:ascii="Abadi" w:hAnsi="Abadi"/>
          <w:b w:val="0"/>
          <w:bCs w:val="0"/>
          <w:sz w:val="21"/>
          <w:szCs w:val="21"/>
        </w:rPr>
        <w:t>través</w:t>
      </w:r>
      <w:r w:rsidRPr="007C2763">
        <w:rPr>
          <w:rFonts w:ascii="Abadi" w:hAnsi="Abadi"/>
          <w:b w:val="0"/>
          <w:bCs w:val="0"/>
          <w:spacing w:val="10"/>
          <w:sz w:val="21"/>
          <w:szCs w:val="21"/>
        </w:rPr>
        <w:t xml:space="preserve"> </w:t>
      </w:r>
      <w:r w:rsidRPr="007C2763">
        <w:rPr>
          <w:rFonts w:ascii="Abadi" w:hAnsi="Abadi"/>
          <w:b w:val="0"/>
          <w:bCs w:val="0"/>
          <w:sz w:val="21"/>
          <w:szCs w:val="21"/>
        </w:rPr>
        <w:t>de</w:t>
      </w:r>
      <w:r w:rsidRPr="007C2763">
        <w:rPr>
          <w:rFonts w:ascii="Abadi" w:hAnsi="Abadi"/>
          <w:b w:val="0"/>
          <w:bCs w:val="0"/>
          <w:spacing w:val="-2"/>
          <w:sz w:val="21"/>
          <w:szCs w:val="21"/>
        </w:rPr>
        <w:t xml:space="preserve"> </w:t>
      </w:r>
      <w:r w:rsidRPr="007C2763">
        <w:rPr>
          <w:rFonts w:ascii="Abadi" w:hAnsi="Abadi"/>
          <w:b w:val="0"/>
          <w:bCs w:val="0"/>
          <w:sz w:val="21"/>
          <w:szCs w:val="21"/>
        </w:rPr>
        <w:t>un</w:t>
      </w:r>
      <w:r w:rsidRPr="007C2763">
        <w:rPr>
          <w:rFonts w:ascii="Abadi" w:hAnsi="Abadi"/>
          <w:b w:val="0"/>
          <w:bCs w:val="0"/>
          <w:spacing w:val="46"/>
          <w:sz w:val="21"/>
          <w:szCs w:val="21"/>
        </w:rPr>
        <w:t xml:space="preserve"> </w:t>
      </w:r>
      <w:r w:rsidRPr="007C2763">
        <w:rPr>
          <w:rFonts w:ascii="Abadi" w:hAnsi="Abadi"/>
          <w:b w:val="0"/>
          <w:bCs w:val="0"/>
          <w:sz w:val="21"/>
          <w:szCs w:val="21"/>
        </w:rPr>
        <w:t>mecanismo</w:t>
      </w:r>
      <w:r w:rsidRPr="007C2763">
        <w:rPr>
          <w:rFonts w:ascii="Abadi" w:hAnsi="Abadi"/>
          <w:b w:val="0"/>
          <w:bCs w:val="0"/>
          <w:spacing w:val="47"/>
          <w:sz w:val="21"/>
          <w:szCs w:val="21"/>
        </w:rPr>
        <w:t xml:space="preserve"> </w:t>
      </w:r>
      <w:r w:rsidRPr="007C2763">
        <w:rPr>
          <w:rFonts w:ascii="Abadi" w:hAnsi="Abadi"/>
          <w:b w:val="0"/>
          <w:bCs w:val="0"/>
          <w:sz w:val="21"/>
          <w:szCs w:val="21"/>
        </w:rPr>
        <w:t>de</w:t>
      </w:r>
      <w:r w:rsidRPr="007C2763">
        <w:rPr>
          <w:rFonts w:ascii="Abadi" w:hAnsi="Abadi"/>
          <w:b w:val="0"/>
          <w:bCs w:val="0"/>
          <w:spacing w:val="47"/>
          <w:sz w:val="21"/>
          <w:szCs w:val="21"/>
        </w:rPr>
        <w:t xml:space="preserve"> </w:t>
      </w:r>
      <w:r w:rsidRPr="007C2763">
        <w:rPr>
          <w:rFonts w:ascii="Abadi" w:hAnsi="Abadi"/>
          <w:b w:val="0"/>
          <w:bCs w:val="0"/>
          <w:sz w:val="21"/>
          <w:szCs w:val="21"/>
        </w:rPr>
        <w:t>consulta</w:t>
      </w:r>
      <w:r w:rsidRPr="007C2763">
        <w:rPr>
          <w:rFonts w:ascii="Abadi" w:hAnsi="Abadi"/>
          <w:b w:val="0"/>
          <w:bCs w:val="0"/>
          <w:spacing w:val="46"/>
          <w:sz w:val="21"/>
          <w:szCs w:val="21"/>
        </w:rPr>
        <w:t xml:space="preserve"> </w:t>
      </w:r>
      <w:r w:rsidRPr="007C2763">
        <w:rPr>
          <w:rFonts w:ascii="Abadi" w:hAnsi="Abadi"/>
          <w:b w:val="0"/>
          <w:bCs w:val="0"/>
          <w:sz w:val="21"/>
          <w:szCs w:val="21"/>
        </w:rPr>
        <w:t>solicitado</w:t>
      </w:r>
      <w:r w:rsidRPr="007C2763">
        <w:rPr>
          <w:rFonts w:ascii="Abadi" w:hAnsi="Abadi"/>
          <w:b w:val="0"/>
          <w:bCs w:val="0"/>
          <w:spacing w:val="47"/>
          <w:sz w:val="21"/>
          <w:szCs w:val="21"/>
        </w:rPr>
        <w:t xml:space="preserve"> </w:t>
      </w:r>
      <w:r w:rsidRPr="007C2763">
        <w:rPr>
          <w:rFonts w:ascii="Abadi" w:hAnsi="Abadi"/>
          <w:b w:val="0"/>
          <w:bCs w:val="0"/>
          <w:sz w:val="21"/>
          <w:szCs w:val="21"/>
        </w:rPr>
        <w:t>por</w:t>
      </w:r>
      <w:r w:rsidRPr="007C2763">
        <w:rPr>
          <w:rFonts w:ascii="Abadi" w:hAnsi="Abadi"/>
          <w:b w:val="0"/>
          <w:bCs w:val="0"/>
          <w:spacing w:val="45"/>
          <w:sz w:val="21"/>
          <w:szCs w:val="21"/>
        </w:rPr>
        <w:t xml:space="preserve"> </w:t>
      </w:r>
      <w:r w:rsidRPr="007C2763">
        <w:rPr>
          <w:rFonts w:ascii="Abadi" w:hAnsi="Abadi"/>
          <w:b w:val="0"/>
          <w:bCs w:val="0"/>
          <w:sz w:val="21"/>
          <w:szCs w:val="21"/>
        </w:rPr>
        <w:t>el</w:t>
      </w:r>
      <w:r w:rsidRPr="007C2763">
        <w:rPr>
          <w:rFonts w:ascii="Abadi" w:hAnsi="Abadi"/>
          <w:b w:val="0"/>
          <w:bCs w:val="0"/>
          <w:spacing w:val="44"/>
          <w:sz w:val="21"/>
          <w:szCs w:val="21"/>
        </w:rPr>
        <w:t xml:space="preserve"> </w:t>
      </w:r>
      <w:r w:rsidRPr="007C2763">
        <w:rPr>
          <w:rFonts w:ascii="Abadi" w:hAnsi="Abadi"/>
          <w:b w:val="0"/>
          <w:bCs w:val="0"/>
          <w:sz w:val="21"/>
          <w:szCs w:val="21"/>
        </w:rPr>
        <w:t>actual</w:t>
      </w:r>
      <w:r w:rsidRPr="007C2763">
        <w:rPr>
          <w:rFonts w:ascii="Abadi" w:hAnsi="Abadi"/>
          <w:b w:val="0"/>
          <w:bCs w:val="0"/>
          <w:spacing w:val="45"/>
          <w:sz w:val="21"/>
          <w:szCs w:val="21"/>
        </w:rPr>
        <w:t xml:space="preserve"> </w:t>
      </w:r>
      <w:r w:rsidRPr="007C2763">
        <w:rPr>
          <w:rFonts w:ascii="Abadi" w:hAnsi="Abadi"/>
          <w:b w:val="0"/>
          <w:bCs w:val="0"/>
          <w:sz w:val="21"/>
          <w:szCs w:val="21"/>
        </w:rPr>
        <w:t>Ayuntamiento,</w:t>
      </w:r>
      <w:r w:rsidRPr="007C2763">
        <w:rPr>
          <w:rFonts w:ascii="Abadi" w:hAnsi="Abadi"/>
          <w:b w:val="0"/>
          <w:bCs w:val="0"/>
          <w:spacing w:val="46"/>
          <w:sz w:val="21"/>
          <w:szCs w:val="21"/>
        </w:rPr>
        <w:t xml:space="preserve"> </w:t>
      </w:r>
      <w:r w:rsidRPr="007C2763">
        <w:rPr>
          <w:rFonts w:ascii="Abadi" w:hAnsi="Abadi"/>
          <w:b w:val="0"/>
          <w:bCs w:val="0"/>
          <w:sz w:val="21"/>
          <w:szCs w:val="21"/>
        </w:rPr>
        <w:t>a</w:t>
      </w:r>
      <w:r w:rsidRPr="007C2763">
        <w:rPr>
          <w:rFonts w:ascii="Abadi" w:hAnsi="Abadi"/>
          <w:b w:val="0"/>
          <w:bCs w:val="0"/>
          <w:spacing w:val="46"/>
          <w:sz w:val="21"/>
          <w:szCs w:val="21"/>
        </w:rPr>
        <w:t xml:space="preserve"> </w:t>
      </w:r>
      <w:r w:rsidRPr="007C2763">
        <w:rPr>
          <w:rFonts w:ascii="Abadi" w:hAnsi="Abadi"/>
          <w:b w:val="0"/>
          <w:bCs w:val="0"/>
          <w:sz w:val="21"/>
          <w:szCs w:val="21"/>
        </w:rPr>
        <w:t>petición</w:t>
      </w:r>
      <w:r w:rsidRPr="007C2763">
        <w:rPr>
          <w:rFonts w:ascii="Abadi" w:hAnsi="Abadi"/>
          <w:b w:val="0"/>
          <w:bCs w:val="0"/>
          <w:spacing w:val="47"/>
          <w:sz w:val="21"/>
          <w:szCs w:val="21"/>
        </w:rPr>
        <w:t xml:space="preserve"> </w:t>
      </w:r>
      <w:r w:rsidRPr="007C2763">
        <w:rPr>
          <w:rFonts w:ascii="Abadi" w:hAnsi="Abadi"/>
          <w:b w:val="0"/>
          <w:bCs w:val="0"/>
          <w:sz w:val="21"/>
          <w:szCs w:val="21"/>
        </w:rPr>
        <w:t>de esta</w:t>
      </w:r>
      <w:r w:rsidRPr="007C2763">
        <w:rPr>
          <w:rFonts w:ascii="Abadi" w:hAnsi="Abadi"/>
          <w:b w:val="0"/>
          <w:bCs w:val="0"/>
          <w:spacing w:val="1"/>
          <w:sz w:val="21"/>
          <w:szCs w:val="21"/>
        </w:rPr>
        <w:t xml:space="preserve"> </w:t>
      </w:r>
      <w:r w:rsidRPr="007C2763">
        <w:rPr>
          <w:rFonts w:ascii="Abadi" w:hAnsi="Abadi"/>
          <w:b w:val="0"/>
          <w:bCs w:val="0"/>
          <w:sz w:val="21"/>
          <w:szCs w:val="21"/>
        </w:rPr>
        <w:t>comisión,</w:t>
      </w:r>
      <w:r w:rsidRPr="007C2763">
        <w:rPr>
          <w:rFonts w:ascii="Abadi" w:hAnsi="Abadi"/>
          <w:b w:val="0"/>
          <w:bCs w:val="0"/>
          <w:spacing w:val="1"/>
          <w:sz w:val="21"/>
          <w:szCs w:val="21"/>
        </w:rPr>
        <w:t xml:space="preserve"> </w:t>
      </w:r>
      <w:r w:rsidRPr="007C2763">
        <w:rPr>
          <w:rFonts w:ascii="Abadi" w:hAnsi="Abadi"/>
          <w:b w:val="0"/>
          <w:bCs w:val="0"/>
          <w:sz w:val="21"/>
          <w:szCs w:val="21"/>
        </w:rPr>
        <w:t>y</w:t>
      </w:r>
      <w:r w:rsidRPr="007C2763">
        <w:rPr>
          <w:rFonts w:ascii="Abadi" w:hAnsi="Abadi"/>
          <w:b w:val="0"/>
          <w:bCs w:val="0"/>
          <w:spacing w:val="-2"/>
          <w:sz w:val="21"/>
          <w:szCs w:val="21"/>
        </w:rPr>
        <w:t xml:space="preserve"> </w:t>
      </w:r>
      <w:r w:rsidRPr="007C2763">
        <w:rPr>
          <w:rFonts w:ascii="Abadi" w:hAnsi="Abadi"/>
          <w:b w:val="0"/>
          <w:bCs w:val="0"/>
          <w:sz w:val="21"/>
          <w:szCs w:val="21"/>
        </w:rPr>
        <w:t>en</w:t>
      </w:r>
      <w:r w:rsidRPr="007C2763">
        <w:rPr>
          <w:rFonts w:ascii="Abadi" w:hAnsi="Abadi"/>
          <w:b w:val="0"/>
          <w:bCs w:val="0"/>
          <w:spacing w:val="-1"/>
          <w:sz w:val="21"/>
          <w:szCs w:val="21"/>
        </w:rPr>
        <w:t xml:space="preserve"> </w:t>
      </w:r>
      <w:r w:rsidRPr="007C2763">
        <w:rPr>
          <w:rFonts w:ascii="Abadi" w:hAnsi="Abadi"/>
          <w:b w:val="0"/>
          <w:bCs w:val="0"/>
          <w:sz w:val="21"/>
          <w:szCs w:val="21"/>
        </w:rPr>
        <w:t>el</w:t>
      </w:r>
      <w:r w:rsidRPr="007C2763">
        <w:rPr>
          <w:rFonts w:ascii="Abadi" w:hAnsi="Abadi"/>
          <w:b w:val="0"/>
          <w:bCs w:val="0"/>
          <w:spacing w:val="-3"/>
          <w:sz w:val="21"/>
          <w:szCs w:val="21"/>
        </w:rPr>
        <w:t xml:space="preserve"> </w:t>
      </w:r>
      <w:r w:rsidRPr="007C2763">
        <w:rPr>
          <w:rFonts w:ascii="Abadi" w:hAnsi="Abadi"/>
          <w:b w:val="0"/>
          <w:bCs w:val="0"/>
          <w:sz w:val="21"/>
          <w:szCs w:val="21"/>
        </w:rPr>
        <w:t>acuerdo</w:t>
      </w:r>
      <w:r w:rsidRPr="007C2763">
        <w:rPr>
          <w:rFonts w:ascii="Abadi" w:hAnsi="Abadi"/>
          <w:b w:val="0"/>
          <w:bCs w:val="0"/>
          <w:spacing w:val="1"/>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formaliza</w:t>
      </w:r>
      <w:r w:rsidRPr="007C2763">
        <w:rPr>
          <w:rFonts w:ascii="Abadi" w:hAnsi="Abadi"/>
          <w:b w:val="0"/>
          <w:bCs w:val="0"/>
          <w:spacing w:val="-1"/>
          <w:sz w:val="21"/>
          <w:szCs w:val="21"/>
        </w:rPr>
        <w:t xml:space="preserve"> </w:t>
      </w:r>
      <w:r w:rsidRPr="007C2763">
        <w:rPr>
          <w:rFonts w:ascii="Abadi" w:hAnsi="Abadi"/>
          <w:b w:val="0"/>
          <w:bCs w:val="0"/>
          <w:sz w:val="21"/>
          <w:szCs w:val="21"/>
        </w:rPr>
        <w:t>su</w:t>
      </w:r>
      <w:r w:rsidRPr="007C2763">
        <w:rPr>
          <w:rFonts w:ascii="Abadi" w:hAnsi="Abadi"/>
          <w:b w:val="0"/>
          <w:bCs w:val="0"/>
          <w:spacing w:val="1"/>
          <w:sz w:val="21"/>
          <w:szCs w:val="21"/>
        </w:rPr>
        <w:t xml:space="preserve"> </w:t>
      </w:r>
      <w:r w:rsidRPr="007C2763">
        <w:rPr>
          <w:rFonts w:ascii="Abadi" w:hAnsi="Abadi"/>
          <w:b w:val="0"/>
          <w:bCs w:val="0"/>
          <w:sz w:val="21"/>
          <w:szCs w:val="21"/>
        </w:rPr>
        <w:t>posición.</w:t>
      </w:r>
    </w:p>
    <w:p w14:paraId="0D02428D" w14:textId="77777777" w:rsidR="00374A1E" w:rsidRPr="007C2763" w:rsidRDefault="00374A1E" w:rsidP="00374A1E">
      <w:pPr>
        <w:pStyle w:val="Textoindependiente"/>
        <w:kinsoku w:val="0"/>
        <w:overflowPunct w:val="0"/>
        <w:spacing w:before="3"/>
        <w:rPr>
          <w:rFonts w:ascii="Abadi" w:hAnsi="Abadi"/>
          <w:b w:val="0"/>
          <w:bCs w:val="0"/>
          <w:sz w:val="21"/>
          <w:szCs w:val="21"/>
        </w:rPr>
      </w:pPr>
    </w:p>
    <w:p w14:paraId="2ABFCB8E" w14:textId="77777777" w:rsidR="00374A1E" w:rsidRPr="007C2763" w:rsidRDefault="00374A1E" w:rsidP="00374A1E">
      <w:pPr>
        <w:pStyle w:val="Textoindependiente"/>
        <w:kinsoku w:val="0"/>
        <w:overflowPunct w:val="0"/>
        <w:ind w:right="115" w:firstLine="708"/>
        <w:rPr>
          <w:rFonts w:ascii="Abadi" w:hAnsi="Abadi"/>
          <w:b w:val="0"/>
          <w:bCs w:val="0"/>
          <w:sz w:val="21"/>
          <w:szCs w:val="21"/>
        </w:rPr>
      </w:pPr>
      <w:r w:rsidRPr="007C2763">
        <w:rPr>
          <w:rFonts w:ascii="Abadi" w:hAnsi="Abadi"/>
          <w:b w:val="0"/>
          <w:bCs w:val="0"/>
          <w:sz w:val="21"/>
          <w:szCs w:val="21"/>
        </w:rPr>
        <w:t>Si</w:t>
      </w:r>
      <w:r w:rsidRPr="007C2763">
        <w:rPr>
          <w:rFonts w:ascii="Abadi" w:hAnsi="Abadi"/>
          <w:b w:val="0"/>
          <w:bCs w:val="0"/>
          <w:spacing w:val="3"/>
          <w:sz w:val="21"/>
          <w:szCs w:val="21"/>
        </w:rPr>
        <w:t xml:space="preserve"> </w:t>
      </w:r>
      <w:r w:rsidRPr="007C2763">
        <w:rPr>
          <w:rFonts w:ascii="Abadi" w:hAnsi="Abadi"/>
          <w:b w:val="0"/>
          <w:bCs w:val="0"/>
          <w:sz w:val="21"/>
          <w:szCs w:val="21"/>
        </w:rPr>
        <w:t>bien</w:t>
      </w:r>
      <w:r w:rsidRPr="007C2763">
        <w:rPr>
          <w:rFonts w:ascii="Abadi" w:hAnsi="Abadi"/>
          <w:b w:val="0"/>
          <w:bCs w:val="0"/>
          <w:spacing w:val="3"/>
          <w:sz w:val="21"/>
          <w:szCs w:val="21"/>
        </w:rPr>
        <w:t xml:space="preserve"> </w:t>
      </w:r>
      <w:r w:rsidRPr="007C2763">
        <w:rPr>
          <w:rFonts w:ascii="Abadi" w:hAnsi="Abadi"/>
          <w:b w:val="0"/>
          <w:bCs w:val="0"/>
          <w:sz w:val="21"/>
          <w:szCs w:val="21"/>
        </w:rPr>
        <w:t>es</w:t>
      </w:r>
      <w:r w:rsidRPr="007C2763">
        <w:rPr>
          <w:rFonts w:ascii="Abadi" w:hAnsi="Abadi"/>
          <w:b w:val="0"/>
          <w:bCs w:val="0"/>
          <w:spacing w:val="2"/>
          <w:sz w:val="21"/>
          <w:szCs w:val="21"/>
        </w:rPr>
        <w:t xml:space="preserve"> </w:t>
      </w:r>
      <w:r w:rsidRPr="007C2763">
        <w:rPr>
          <w:rFonts w:ascii="Abadi" w:hAnsi="Abadi"/>
          <w:b w:val="0"/>
          <w:bCs w:val="0"/>
          <w:sz w:val="21"/>
          <w:szCs w:val="21"/>
        </w:rPr>
        <w:t>cierto</w:t>
      </w:r>
      <w:r w:rsidRPr="007C2763">
        <w:rPr>
          <w:rFonts w:ascii="Abadi" w:hAnsi="Abadi"/>
          <w:b w:val="0"/>
          <w:bCs w:val="0"/>
          <w:spacing w:val="3"/>
          <w:sz w:val="21"/>
          <w:szCs w:val="21"/>
        </w:rPr>
        <w:t xml:space="preserve"> </w:t>
      </w:r>
      <w:r w:rsidRPr="007C2763">
        <w:rPr>
          <w:rFonts w:ascii="Abadi" w:hAnsi="Abadi"/>
          <w:b w:val="0"/>
          <w:bCs w:val="0"/>
          <w:sz w:val="21"/>
          <w:szCs w:val="21"/>
        </w:rPr>
        <w:t>que</w:t>
      </w:r>
      <w:r w:rsidRPr="007C2763">
        <w:rPr>
          <w:rFonts w:ascii="Abadi" w:hAnsi="Abadi"/>
          <w:b w:val="0"/>
          <w:bCs w:val="0"/>
          <w:spacing w:val="6"/>
          <w:sz w:val="21"/>
          <w:szCs w:val="21"/>
        </w:rPr>
        <w:t xml:space="preserve"> </w:t>
      </w:r>
      <w:r w:rsidRPr="007C2763">
        <w:rPr>
          <w:rFonts w:ascii="Abadi" w:hAnsi="Abadi"/>
          <w:b w:val="0"/>
          <w:bCs w:val="0"/>
          <w:sz w:val="21"/>
          <w:szCs w:val="21"/>
        </w:rPr>
        <w:t>el</w:t>
      </w:r>
      <w:r w:rsidRPr="007C2763">
        <w:rPr>
          <w:rFonts w:ascii="Abadi" w:hAnsi="Abadi"/>
          <w:b w:val="0"/>
          <w:bCs w:val="0"/>
          <w:spacing w:val="2"/>
          <w:sz w:val="21"/>
          <w:szCs w:val="21"/>
        </w:rPr>
        <w:t xml:space="preserve"> </w:t>
      </w:r>
      <w:r w:rsidRPr="007C2763">
        <w:rPr>
          <w:rFonts w:ascii="Abadi" w:hAnsi="Abadi"/>
          <w:b w:val="0"/>
          <w:bCs w:val="0"/>
          <w:sz w:val="21"/>
          <w:szCs w:val="21"/>
        </w:rPr>
        <w:t>contenido</w:t>
      </w:r>
      <w:r w:rsidRPr="007C2763">
        <w:rPr>
          <w:rFonts w:ascii="Abadi" w:hAnsi="Abadi"/>
          <w:b w:val="0"/>
          <w:bCs w:val="0"/>
          <w:spacing w:val="6"/>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la</w:t>
      </w:r>
      <w:r w:rsidRPr="007C2763">
        <w:rPr>
          <w:rFonts w:ascii="Abadi" w:hAnsi="Abadi"/>
          <w:b w:val="0"/>
          <w:bCs w:val="0"/>
          <w:spacing w:val="3"/>
          <w:sz w:val="21"/>
          <w:szCs w:val="21"/>
        </w:rPr>
        <w:t xml:space="preserve"> </w:t>
      </w:r>
      <w:r w:rsidRPr="007C2763">
        <w:rPr>
          <w:rFonts w:ascii="Abadi" w:hAnsi="Abadi"/>
          <w:b w:val="0"/>
          <w:bCs w:val="0"/>
          <w:sz w:val="21"/>
          <w:szCs w:val="21"/>
        </w:rPr>
        <w:t>propuesta</w:t>
      </w:r>
      <w:r w:rsidRPr="007C2763">
        <w:rPr>
          <w:rFonts w:ascii="Abadi" w:hAnsi="Abadi"/>
          <w:b w:val="0"/>
          <w:bCs w:val="0"/>
          <w:spacing w:val="3"/>
          <w:sz w:val="21"/>
          <w:szCs w:val="21"/>
        </w:rPr>
        <w:t xml:space="preserve"> </w:t>
      </w:r>
      <w:r w:rsidRPr="007C2763">
        <w:rPr>
          <w:rFonts w:ascii="Abadi" w:hAnsi="Abadi"/>
          <w:b w:val="0"/>
          <w:bCs w:val="0"/>
          <w:sz w:val="21"/>
          <w:szCs w:val="21"/>
        </w:rPr>
        <w:t>tiene</w:t>
      </w:r>
      <w:r w:rsidRPr="007C2763">
        <w:rPr>
          <w:rFonts w:ascii="Abadi" w:hAnsi="Abadi"/>
          <w:b w:val="0"/>
          <w:bCs w:val="0"/>
          <w:spacing w:val="3"/>
          <w:sz w:val="21"/>
          <w:szCs w:val="21"/>
        </w:rPr>
        <w:t xml:space="preserve"> </w:t>
      </w:r>
      <w:r w:rsidRPr="007C2763">
        <w:rPr>
          <w:rFonts w:ascii="Abadi" w:hAnsi="Abadi"/>
          <w:b w:val="0"/>
          <w:bCs w:val="0"/>
          <w:sz w:val="21"/>
          <w:szCs w:val="21"/>
        </w:rPr>
        <w:t>una</w:t>
      </w:r>
      <w:r w:rsidRPr="007C2763">
        <w:rPr>
          <w:rFonts w:ascii="Abadi" w:hAnsi="Abadi"/>
          <w:b w:val="0"/>
          <w:bCs w:val="0"/>
          <w:spacing w:val="6"/>
          <w:sz w:val="21"/>
          <w:szCs w:val="21"/>
        </w:rPr>
        <w:t xml:space="preserve"> </w:t>
      </w:r>
      <w:r w:rsidRPr="007C2763">
        <w:rPr>
          <w:rFonts w:ascii="Abadi" w:hAnsi="Abadi"/>
          <w:b w:val="0"/>
          <w:bCs w:val="0"/>
          <w:sz w:val="21"/>
          <w:szCs w:val="21"/>
        </w:rPr>
        <w:t>justificación</w:t>
      </w:r>
      <w:r w:rsidRPr="007C2763">
        <w:rPr>
          <w:rFonts w:ascii="Abadi" w:hAnsi="Abadi"/>
          <w:b w:val="0"/>
          <w:bCs w:val="0"/>
          <w:spacing w:val="6"/>
          <w:sz w:val="21"/>
          <w:szCs w:val="21"/>
        </w:rPr>
        <w:t xml:space="preserve"> </w:t>
      </w:r>
      <w:r w:rsidRPr="007C2763">
        <w:rPr>
          <w:rFonts w:ascii="Abadi" w:hAnsi="Abadi"/>
          <w:b w:val="0"/>
          <w:bCs w:val="0"/>
          <w:sz w:val="21"/>
          <w:szCs w:val="21"/>
        </w:rPr>
        <w:t>con soporte</w:t>
      </w:r>
      <w:r w:rsidRPr="007C2763">
        <w:rPr>
          <w:rFonts w:ascii="Abadi" w:hAnsi="Abadi"/>
          <w:b w:val="0"/>
          <w:bCs w:val="0"/>
          <w:spacing w:val="27"/>
          <w:sz w:val="21"/>
          <w:szCs w:val="21"/>
        </w:rPr>
        <w:t xml:space="preserve"> </w:t>
      </w:r>
      <w:r w:rsidRPr="007C2763">
        <w:rPr>
          <w:rFonts w:ascii="Abadi" w:hAnsi="Abadi"/>
          <w:b w:val="0"/>
          <w:bCs w:val="0"/>
          <w:sz w:val="21"/>
          <w:szCs w:val="21"/>
        </w:rPr>
        <w:t>histórico,</w:t>
      </w:r>
      <w:r w:rsidRPr="007C2763">
        <w:rPr>
          <w:rFonts w:ascii="Abadi" w:hAnsi="Abadi"/>
          <w:b w:val="0"/>
          <w:bCs w:val="0"/>
          <w:spacing w:val="27"/>
          <w:sz w:val="21"/>
          <w:szCs w:val="21"/>
        </w:rPr>
        <w:t xml:space="preserve"> </w:t>
      </w:r>
      <w:r w:rsidRPr="007C2763">
        <w:rPr>
          <w:rFonts w:ascii="Abadi" w:hAnsi="Abadi"/>
          <w:b w:val="0"/>
          <w:bCs w:val="0"/>
          <w:sz w:val="21"/>
          <w:szCs w:val="21"/>
        </w:rPr>
        <w:t>en</w:t>
      </w:r>
      <w:r w:rsidRPr="007C2763">
        <w:rPr>
          <w:rFonts w:ascii="Abadi" w:hAnsi="Abadi"/>
          <w:b w:val="0"/>
          <w:bCs w:val="0"/>
          <w:spacing w:val="30"/>
          <w:sz w:val="21"/>
          <w:szCs w:val="21"/>
        </w:rPr>
        <w:t xml:space="preserve"> </w:t>
      </w:r>
      <w:r w:rsidRPr="007C2763">
        <w:rPr>
          <w:rFonts w:ascii="Abadi" w:hAnsi="Abadi"/>
          <w:b w:val="0"/>
          <w:bCs w:val="0"/>
          <w:sz w:val="21"/>
          <w:szCs w:val="21"/>
        </w:rPr>
        <w:t>la</w:t>
      </w:r>
      <w:r w:rsidRPr="007C2763">
        <w:rPr>
          <w:rFonts w:ascii="Abadi" w:hAnsi="Abadi"/>
          <w:b w:val="0"/>
          <w:bCs w:val="0"/>
          <w:spacing w:val="30"/>
          <w:sz w:val="21"/>
          <w:szCs w:val="21"/>
        </w:rPr>
        <w:t xml:space="preserve"> </w:t>
      </w:r>
      <w:r w:rsidRPr="007C2763">
        <w:rPr>
          <w:rFonts w:ascii="Abadi" w:hAnsi="Abadi"/>
          <w:b w:val="0"/>
          <w:bCs w:val="0"/>
          <w:sz w:val="21"/>
          <w:szCs w:val="21"/>
        </w:rPr>
        <w:t>metodología</w:t>
      </w:r>
      <w:r w:rsidRPr="007C2763">
        <w:rPr>
          <w:rFonts w:ascii="Abadi" w:hAnsi="Abadi"/>
          <w:b w:val="0"/>
          <w:bCs w:val="0"/>
          <w:spacing w:val="30"/>
          <w:sz w:val="21"/>
          <w:szCs w:val="21"/>
        </w:rPr>
        <w:t xml:space="preserve"> </w:t>
      </w:r>
      <w:r w:rsidRPr="007C2763">
        <w:rPr>
          <w:rFonts w:ascii="Abadi" w:hAnsi="Abadi"/>
          <w:b w:val="0"/>
          <w:bCs w:val="0"/>
          <w:sz w:val="21"/>
          <w:szCs w:val="21"/>
        </w:rPr>
        <w:t>para</w:t>
      </w:r>
      <w:r w:rsidRPr="007C2763">
        <w:rPr>
          <w:rFonts w:ascii="Abadi" w:hAnsi="Abadi"/>
          <w:b w:val="0"/>
          <w:bCs w:val="0"/>
          <w:spacing w:val="30"/>
          <w:sz w:val="21"/>
          <w:szCs w:val="21"/>
        </w:rPr>
        <w:t xml:space="preserve"> </w:t>
      </w:r>
      <w:r w:rsidRPr="007C2763">
        <w:rPr>
          <w:rFonts w:ascii="Abadi" w:hAnsi="Abadi"/>
          <w:b w:val="0"/>
          <w:bCs w:val="0"/>
          <w:sz w:val="21"/>
          <w:szCs w:val="21"/>
        </w:rPr>
        <w:t>el</w:t>
      </w:r>
      <w:r w:rsidRPr="007C2763">
        <w:rPr>
          <w:rFonts w:ascii="Abadi" w:hAnsi="Abadi"/>
          <w:b w:val="0"/>
          <w:bCs w:val="0"/>
          <w:spacing w:val="26"/>
          <w:sz w:val="21"/>
          <w:szCs w:val="21"/>
        </w:rPr>
        <w:t xml:space="preserve"> </w:t>
      </w:r>
      <w:r w:rsidRPr="007C2763">
        <w:rPr>
          <w:rFonts w:ascii="Abadi" w:hAnsi="Abadi"/>
          <w:b w:val="0"/>
          <w:bCs w:val="0"/>
          <w:sz w:val="21"/>
          <w:szCs w:val="21"/>
        </w:rPr>
        <w:t>estudio</w:t>
      </w:r>
      <w:r w:rsidRPr="007C2763">
        <w:rPr>
          <w:rFonts w:ascii="Abadi" w:hAnsi="Abadi"/>
          <w:b w:val="0"/>
          <w:bCs w:val="0"/>
          <w:spacing w:val="30"/>
          <w:sz w:val="21"/>
          <w:szCs w:val="21"/>
        </w:rPr>
        <w:t xml:space="preserve"> </w:t>
      </w:r>
      <w:r w:rsidRPr="007C2763">
        <w:rPr>
          <w:rFonts w:ascii="Abadi" w:hAnsi="Abadi"/>
          <w:b w:val="0"/>
          <w:bCs w:val="0"/>
          <w:sz w:val="21"/>
          <w:szCs w:val="21"/>
        </w:rPr>
        <w:t>y</w:t>
      </w:r>
      <w:r w:rsidRPr="007C2763">
        <w:rPr>
          <w:rFonts w:ascii="Abadi" w:hAnsi="Abadi"/>
          <w:b w:val="0"/>
          <w:bCs w:val="0"/>
          <w:spacing w:val="29"/>
          <w:sz w:val="21"/>
          <w:szCs w:val="21"/>
        </w:rPr>
        <w:t xml:space="preserve"> </w:t>
      </w:r>
      <w:r w:rsidRPr="007C2763">
        <w:rPr>
          <w:rFonts w:ascii="Abadi" w:hAnsi="Abadi"/>
          <w:b w:val="0"/>
          <w:bCs w:val="0"/>
          <w:sz w:val="21"/>
          <w:szCs w:val="21"/>
        </w:rPr>
        <w:t>análisis</w:t>
      </w:r>
      <w:r w:rsidRPr="007C2763">
        <w:rPr>
          <w:rFonts w:ascii="Abadi" w:hAnsi="Abadi"/>
          <w:b w:val="0"/>
          <w:bCs w:val="0"/>
          <w:spacing w:val="29"/>
          <w:sz w:val="21"/>
          <w:szCs w:val="21"/>
        </w:rPr>
        <w:t xml:space="preserve"> </w:t>
      </w:r>
      <w:r w:rsidRPr="007C2763">
        <w:rPr>
          <w:rFonts w:ascii="Abadi" w:hAnsi="Abadi"/>
          <w:b w:val="0"/>
          <w:bCs w:val="0"/>
          <w:sz w:val="21"/>
          <w:szCs w:val="21"/>
        </w:rPr>
        <w:t>de</w:t>
      </w:r>
      <w:r w:rsidRPr="007C2763">
        <w:rPr>
          <w:rFonts w:ascii="Abadi" w:hAnsi="Abadi"/>
          <w:b w:val="0"/>
          <w:bCs w:val="0"/>
          <w:spacing w:val="27"/>
          <w:sz w:val="21"/>
          <w:szCs w:val="21"/>
        </w:rPr>
        <w:t xml:space="preserve"> </w:t>
      </w:r>
      <w:r w:rsidRPr="007C2763">
        <w:rPr>
          <w:rFonts w:ascii="Abadi" w:hAnsi="Abadi"/>
          <w:b w:val="0"/>
          <w:bCs w:val="0"/>
          <w:sz w:val="21"/>
          <w:szCs w:val="21"/>
        </w:rPr>
        <w:t>la</w:t>
      </w:r>
      <w:r w:rsidRPr="007C2763">
        <w:rPr>
          <w:rFonts w:ascii="Abadi" w:hAnsi="Abadi"/>
          <w:b w:val="0"/>
          <w:bCs w:val="0"/>
          <w:spacing w:val="30"/>
          <w:sz w:val="21"/>
          <w:szCs w:val="21"/>
        </w:rPr>
        <w:t xml:space="preserve"> </w:t>
      </w:r>
      <w:r w:rsidRPr="007C2763">
        <w:rPr>
          <w:rFonts w:ascii="Abadi" w:hAnsi="Abadi"/>
          <w:b w:val="0"/>
          <w:bCs w:val="0"/>
          <w:sz w:val="21"/>
          <w:szCs w:val="21"/>
        </w:rPr>
        <w:t>iniciativa,</w:t>
      </w:r>
      <w:r w:rsidRPr="007C2763">
        <w:rPr>
          <w:rFonts w:ascii="Abadi" w:hAnsi="Abadi"/>
          <w:b w:val="0"/>
          <w:bCs w:val="0"/>
          <w:spacing w:val="29"/>
          <w:sz w:val="21"/>
          <w:szCs w:val="21"/>
        </w:rPr>
        <w:t xml:space="preserve"> </w:t>
      </w:r>
      <w:r w:rsidRPr="007C2763">
        <w:rPr>
          <w:rFonts w:ascii="Abadi" w:hAnsi="Abadi"/>
          <w:b w:val="0"/>
          <w:bCs w:val="0"/>
          <w:sz w:val="21"/>
          <w:szCs w:val="21"/>
        </w:rPr>
        <w:t>se considera</w:t>
      </w:r>
      <w:r w:rsidRPr="007C2763">
        <w:rPr>
          <w:rFonts w:ascii="Abadi" w:hAnsi="Abadi"/>
          <w:b w:val="0"/>
          <w:bCs w:val="0"/>
          <w:spacing w:val="41"/>
          <w:sz w:val="21"/>
          <w:szCs w:val="21"/>
        </w:rPr>
        <w:t xml:space="preserve"> </w:t>
      </w:r>
      <w:r w:rsidRPr="007C2763">
        <w:rPr>
          <w:rFonts w:ascii="Abadi" w:hAnsi="Abadi"/>
          <w:b w:val="0"/>
          <w:bCs w:val="0"/>
          <w:sz w:val="21"/>
          <w:szCs w:val="21"/>
        </w:rPr>
        <w:t>la</w:t>
      </w:r>
      <w:r w:rsidRPr="007C2763">
        <w:rPr>
          <w:rFonts w:ascii="Abadi" w:hAnsi="Abadi"/>
          <w:b w:val="0"/>
          <w:bCs w:val="0"/>
          <w:spacing w:val="40"/>
          <w:sz w:val="21"/>
          <w:szCs w:val="21"/>
        </w:rPr>
        <w:t xml:space="preserve"> </w:t>
      </w:r>
      <w:r w:rsidRPr="007C2763">
        <w:rPr>
          <w:rFonts w:ascii="Abadi" w:hAnsi="Abadi"/>
          <w:b w:val="0"/>
          <w:bCs w:val="0"/>
          <w:sz w:val="21"/>
          <w:szCs w:val="21"/>
        </w:rPr>
        <w:t>participación</w:t>
      </w:r>
      <w:r w:rsidRPr="007C2763">
        <w:rPr>
          <w:rFonts w:ascii="Abadi" w:hAnsi="Abadi"/>
          <w:b w:val="0"/>
          <w:bCs w:val="0"/>
          <w:spacing w:val="43"/>
          <w:sz w:val="21"/>
          <w:szCs w:val="21"/>
        </w:rPr>
        <w:t xml:space="preserve"> </w:t>
      </w:r>
      <w:r w:rsidRPr="007C2763">
        <w:rPr>
          <w:rFonts w:ascii="Abadi" w:hAnsi="Abadi"/>
          <w:b w:val="0"/>
          <w:bCs w:val="0"/>
          <w:sz w:val="21"/>
          <w:szCs w:val="21"/>
        </w:rPr>
        <w:t>ciudadana</w:t>
      </w:r>
      <w:r w:rsidRPr="007C2763">
        <w:rPr>
          <w:rFonts w:ascii="Abadi" w:hAnsi="Abadi"/>
          <w:b w:val="0"/>
          <w:bCs w:val="0"/>
          <w:spacing w:val="40"/>
          <w:sz w:val="21"/>
          <w:szCs w:val="21"/>
        </w:rPr>
        <w:t xml:space="preserve"> </w:t>
      </w:r>
      <w:r w:rsidRPr="007C2763">
        <w:rPr>
          <w:rFonts w:ascii="Abadi" w:hAnsi="Abadi"/>
          <w:b w:val="0"/>
          <w:bCs w:val="0"/>
          <w:sz w:val="21"/>
          <w:szCs w:val="21"/>
        </w:rPr>
        <w:t>misma</w:t>
      </w:r>
      <w:r w:rsidRPr="007C2763">
        <w:rPr>
          <w:rFonts w:ascii="Abadi" w:hAnsi="Abadi"/>
          <w:b w:val="0"/>
          <w:bCs w:val="0"/>
          <w:spacing w:val="40"/>
          <w:sz w:val="21"/>
          <w:szCs w:val="21"/>
        </w:rPr>
        <w:t xml:space="preserve"> </w:t>
      </w:r>
      <w:r w:rsidRPr="007C2763">
        <w:rPr>
          <w:rFonts w:ascii="Abadi" w:hAnsi="Abadi"/>
          <w:b w:val="0"/>
          <w:bCs w:val="0"/>
          <w:sz w:val="21"/>
          <w:szCs w:val="21"/>
        </w:rPr>
        <w:t>que</w:t>
      </w:r>
      <w:r w:rsidRPr="007C2763">
        <w:rPr>
          <w:rFonts w:ascii="Abadi" w:hAnsi="Abadi"/>
          <w:b w:val="0"/>
          <w:bCs w:val="0"/>
          <w:spacing w:val="40"/>
          <w:sz w:val="21"/>
          <w:szCs w:val="21"/>
        </w:rPr>
        <w:t xml:space="preserve"> </w:t>
      </w:r>
      <w:r w:rsidRPr="007C2763">
        <w:rPr>
          <w:rFonts w:ascii="Abadi" w:hAnsi="Abadi"/>
          <w:b w:val="0"/>
          <w:bCs w:val="0"/>
          <w:sz w:val="21"/>
          <w:szCs w:val="21"/>
        </w:rPr>
        <w:t>aporta</w:t>
      </w:r>
      <w:r w:rsidRPr="007C2763">
        <w:rPr>
          <w:rFonts w:ascii="Abadi" w:hAnsi="Abadi"/>
          <w:b w:val="0"/>
          <w:bCs w:val="0"/>
          <w:spacing w:val="40"/>
          <w:sz w:val="21"/>
          <w:szCs w:val="21"/>
        </w:rPr>
        <w:t xml:space="preserve"> </w:t>
      </w:r>
      <w:r w:rsidRPr="007C2763">
        <w:rPr>
          <w:rFonts w:ascii="Abadi" w:hAnsi="Abadi"/>
          <w:b w:val="0"/>
          <w:bCs w:val="0"/>
          <w:sz w:val="21"/>
          <w:szCs w:val="21"/>
        </w:rPr>
        <w:t>un</w:t>
      </w:r>
      <w:r w:rsidRPr="007C2763">
        <w:rPr>
          <w:rFonts w:ascii="Abadi" w:hAnsi="Abadi"/>
          <w:b w:val="0"/>
          <w:bCs w:val="0"/>
          <w:spacing w:val="40"/>
          <w:sz w:val="21"/>
          <w:szCs w:val="21"/>
        </w:rPr>
        <w:t xml:space="preserve"> </w:t>
      </w:r>
      <w:r w:rsidRPr="007C2763">
        <w:rPr>
          <w:rFonts w:ascii="Abadi" w:hAnsi="Abadi"/>
          <w:b w:val="0"/>
          <w:bCs w:val="0"/>
          <w:sz w:val="21"/>
          <w:szCs w:val="21"/>
        </w:rPr>
        <w:t>contexto</w:t>
      </w:r>
      <w:r w:rsidRPr="007C2763">
        <w:rPr>
          <w:rFonts w:ascii="Abadi" w:hAnsi="Abadi"/>
          <w:b w:val="0"/>
          <w:bCs w:val="0"/>
          <w:spacing w:val="40"/>
          <w:sz w:val="21"/>
          <w:szCs w:val="21"/>
        </w:rPr>
        <w:t xml:space="preserve"> </w:t>
      </w:r>
      <w:r w:rsidRPr="007C2763">
        <w:rPr>
          <w:rFonts w:ascii="Abadi" w:hAnsi="Abadi"/>
          <w:b w:val="0"/>
          <w:bCs w:val="0"/>
          <w:sz w:val="21"/>
          <w:szCs w:val="21"/>
        </w:rPr>
        <w:t>en</w:t>
      </w:r>
      <w:r w:rsidRPr="007C2763">
        <w:rPr>
          <w:rFonts w:ascii="Abadi" w:hAnsi="Abadi"/>
          <w:b w:val="0"/>
          <w:bCs w:val="0"/>
          <w:spacing w:val="40"/>
          <w:sz w:val="21"/>
          <w:szCs w:val="21"/>
        </w:rPr>
        <w:t xml:space="preserve"> </w:t>
      </w:r>
      <w:r w:rsidRPr="007C2763">
        <w:rPr>
          <w:rFonts w:ascii="Abadi" w:hAnsi="Abadi"/>
          <w:b w:val="0"/>
          <w:bCs w:val="0"/>
          <w:sz w:val="21"/>
          <w:szCs w:val="21"/>
        </w:rPr>
        <w:t>la construcción</w:t>
      </w:r>
      <w:r w:rsidRPr="007C2763">
        <w:rPr>
          <w:rFonts w:ascii="Abadi" w:hAnsi="Abadi"/>
          <w:b w:val="0"/>
          <w:bCs w:val="0"/>
          <w:spacing w:val="8"/>
          <w:sz w:val="21"/>
          <w:szCs w:val="21"/>
        </w:rPr>
        <w:t xml:space="preserve"> </w:t>
      </w:r>
      <w:r w:rsidRPr="007C2763">
        <w:rPr>
          <w:rFonts w:ascii="Abadi" w:hAnsi="Abadi"/>
          <w:b w:val="0"/>
          <w:bCs w:val="0"/>
          <w:sz w:val="21"/>
          <w:szCs w:val="21"/>
        </w:rPr>
        <w:t>de</w:t>
      </w:r>
      <w:r w:rsidRPr="007C2763">
        <w:rPr>
          <w:rFonts w:ascii="Abadi" w:hAnsi="Abadi"/>
          <w:b w:val="0"/>
          <w:bCs w:val="0"/>
          <w:spacing w:val="6"/>
          <w:sz w:val="21"/>
          <w:szCs w:val="21"/>
        </w:rPr>
        <w:t xml:space="preserve"> </w:t>
      </w:r>
      <w:r w:rsidRPr="007C2763">
        <w:rPr>
          <w:rFonts w:ascii="Abadi" w:hAnsi="Abadi"/>
          <w:b w:val="0"/>
          <w:bCs w:val="0"/>
          <w:sz w:val="21"/>
          <w:szCs w:val="21"/>
        </w:rPr>
        <w:t>normas.</w:t>
      </w:r>
      <w:r w:rsidRPr="007C2763">
        <w:rPr>
          <w:rFonts w:ascii="Abadi" w:hAnsi="Abadi"/>
          <w:b w:val="0"/>
          <w:bCs w:val="0"/>
          <w:spacing w:val="8"/>
          <w:sz w:val="21"/>
          <w:szCs w:val="21"/>
        </w:rPr>
        <w:t xml:space="preserve"> </w:t>
      </w:r>
      <w:r w:rsidRPr="007C2763">
        <w:rPr>
          <w:rFonts w:ascii="Abadi" w:hAnsi="Abadi"/>
          <w:b w:val="0"/>
          <w:bCs w:val="0"/>
          <w:sz w:val="21"/>
          <w:szCs w:val="21"/>
        </w:rPr>
        <w:t>Este</w:t>
      </w:r>
      <w:r w:rsidRPr="007C2763">
        <w:rPr>
          <w:rFonts w:ascii="Abadi" w:hAnsi="Abadi"/>
          <w:b w:val="0"/>
          <w:bCs w:val="0"/>
          <w:spacing w:val="8"/>
          <w:sz w:val="21"/>
          <w:szCs w:val="21"/>
        </w:rPr>
        <w:t xml:space="preserve"> </w:t>
      </w:r>
      <w:r w:rsidRPr="007C2763">
        <w:rPr>
          <w:rFonts w:ascii="Abadi" w:hAnsi="Abadi"/>
          <w:b w:val="0"/>
          <w:bCs w:val="0"/>
          <w:sz w:val="21"/>
          <w:szCs w:val="21"/>
        </w:rPr>
        <w:t>ejercicio</w:t>
      </w:r>
      <w:r w:rsidRPr="007C2763">
        <w:rPr>
          <w:rFonts w:ascii="Abadi" w:hAnsi="Abadi"/>
          <w:b w:val="0"/>
          <w:bCs w:val="0"/>
          <w:spacing w:val="8"/>
          <w:sz w:val="21"/>
          <w:szCs w:val="21"/>
        </w:rPr>
        <w:t xml:space="preserve"> </w:t>
      </w:r>
      <w:r w:rsidRPr="007C2763">
        <w:rPr>
          <w:rFonts w:ascii="Abadi" w:hAnsi="Abadi"/>
          <w:b w:val="0"/>
          <w:bCs w:val="0"/>
          <w:sz w:val="21"/>
          <w:szCs w:val="21"/>
        </w:rPr>
        <w:t>ya</w:t>
      </w:r>
      <w:r w:rsidRPr="007C2763">
        <w:rPr>
          <w:rFonts w:ascii="Abadi" w:hAnsi="Abadi"/>
          <w:b w:val="0"/>
          <w:bCs w:val="0"/>
          <w:spacing w:val="6"/>
          <w:sz w:val="21"/>
          <w:szCs w:val="21"/>
        </w:rPr>
        <w:t xml:space="preserve"> </w:t>
      </w:r>
      <w:r w:rsidRPr="007C2763">
        <w:rPr>
          <w:rFonts w:ascii="Abadi" w:hAnsi="Abadi"/>
          <w:b w:val="0"/>
          <w:bCs w:val="0"/>
          <w:sz w:val="21"/>
          <w:szCs w:val="21"/>
        </w:rPr>
        <w:t>es</w:t>
      </w:r>
      <w:r w:rsidRPr="007C2763">
        <w:rPr>
          <w:rFonts w:ascii="Abadi" w:hAnsi="Abadi"/>
          <w:b w:val="0"/>
          <w:bCs w:val="0"/>
          <w:spacing w:val="5"/>
          <w:sz w:val="21"/>
          <w:szCs w:val="21"/>
        </w:rPr>
        <w:t xml:space="preserve"> </w:t>
      </w:r>
      <w:r w:rsidRPr="007C2763">
        <w:rPr>
          <w:rFonts w:ascii="Abadi" w:hAnsi="Abadi"/>
          <w:b w:val="0"/>
          <w:bCs w:val="0"/>
          <w:sz w:val="21"/>
          <w:szCs w:val="21"/>
        </w:rPr>
        <w:t>una</w:t>
      </w:r>
      <w:r w:rsidRPr="007C2763">
        <w:rPr>
          <w:rFonts w:ascii="Abadi" w:hAnsi="Abadi"/>
          <w:b w:val="0"/>
          <w:bCs w:val="0"/>
          <w:spacing w:val="6"/>
          <w:sz w:val="21"/>
          <w:szCs w:val="21"/>
        </w:rPr>
        <w:t xml:space="preserve"> </w:t>
      </w:r>
      <w:r w:rsidRPr="007C2763">
        <w:rPr>
          <w:rFonts w:ascii="Abadi" w:hAnsi="Abadi"/>
          <w:b w:val="0"/>
          <w:bCs w:val="0"/>
          <w:sz w:val="21"/>
          <w:szCs w:val="21"/>
        </w:rPr>
        <w:t>práctica</w:t>
      </w:r>
      <w:r w:rsidRPr="007C2763">
        <w:rPr>
          <w:rFonts w:ascii="Abadi" w:hAnsi="Abadi"/>
          <w:b w:val="0"/>
          <w:bCs w:val="0"/>
          <w:spacing w:val="6"/>
          <w:sz w:val="21"/>
          <w:szCs w:val="21"/>
        </w:rPr>
        <w:t xml:space="preserve"> </w:t>
      </w:r>
      <w:r w:rsidRPr="007C2763">
        <w:rPr>
          <w:rFonts w:ascii="Abadi" w:hAnsi="Abadi"/>
          <w:b w:val="0"/>
          <w:bCs w:val="0"/>
          <w:sz w:val="21"/>
          <w:szCs w:val="21"/>
        </w:rPr>
        <w:t>extendida</w:t>
      </w:r>
      <w:r w:rsidRPr="007C2763">
        <w:rPr>
          <w:rFonts w:ascii="Abadi" w:hAnsi="Abadi"/>
          <w:b w:val="0"/>
          <w:bCs w:val="0"/>
          <w:spacing w:val="6"/>
          <w:sz w:val="21"/>
          <w:szCs w:val="21"/>
        </w:rPr>
        <w:t xml:space="preserve"> </w:t>
      </w:r>
      <w:r w:rsidRPr="007C2763">
        <w:rPr>
          <w:rFonts w:ascii="Abadi" w:hAnsi="Abadi"/>
          <w:b w:val="0"/>
          <w:bCs w:val="0"/>
          <w:sz w:val="21"/>
          <w:szCs w:val="21"/>
        </w:rPr>
        <w:t>y</w:t>
      </w:r>
      <w:r w:rsidRPr="007C2763">
        <w:rPr>
          <w:rFonts w:ascii="Abadi" w:hAnsi="Abadi"/>
          <w:b w:val="0"/>
          <w:bCs w:val="0"/>
          <w:spacing w:val="7"/>
          <w:sz w:val="21"/>
          <w:szCs w:val="21"/>
        </w:rPr>
        <w:t xml:space="preserve"> </w:t>
      </w:r>
      <w:r w:rsidRPr="007C2763">
        <w:rPr>
          <w:rFonts w:ascii="Abadi" w:hAnsi="Abadi"/>
          <w:b w:val="0"/>
          <w:bCs w:val="0"/>
          <w:sz w:val="21"/>
          <w:szCs w:val="21"/>
        </w:rPr>
        <w:t>consolidada en</w:t>
      </w:r>
      <w:r w:rsidRPr="007C2763">
        <w:rPr>
          <w:rFonts w:ascii="Abadi" w:hAnsi="Abadi"/>
          <w:b w:val="0"/>
          <w:bCs w:val="0"/>
          <w:spacing w:val="1"/>
          <w:sz w:val="21"/>
          <w:szCs w:val="21"/>
        </w:rPr>
        <w:t xml:space="preserve"> </w:t>
      </w:r>
      <w:r w:rsidRPr="007C2763">
        <w:rPr>
          <w:rFonts w:ascii="Abadi" w:hAnsi="Abadi"/>
          <w:b w:val="0"/>
          <w:bCs w:val="0"/>
          <w:sz w:val="21"/>
          <w:szCs w:val="21"/>
        </w:rPr>
        <w:t>este</w:t>
      </w:r>
      <w:r w:rsidRPr="007C2763">
        <w:rPr>
          <w:rFonts w:ascii="Abadi" w:hAnsi="Abadi"/>
          <w:b w:val="0"/>
          <w:bCs w:val="0"/>
          <w:spacing w:val="1"/>
          <w:sz w:val="21"/>
          <w:szCs w:val="21"/>
        </w:rPr>
        <w:t xml:space="preserve"> </w:t>
      </w:r>
      <w:r w:rsidRPr="007C2763">
        <w:rPr>
          <w:rFonts w:ascii="Abadi" w:hAnsi="Abadi"/>
          <w:b w:val="0"/>
          <w:bCs w:val="0"/>
          <w:sz w:val="21"/>
          <w:szCs w:val="21"/>
        </w:rPr>
        <w:t>Congreso.</w:t>
      </w:r>
      <w:r w:rsidRPr="007C2763">
        <w:rPr>
          <w:rFonts w:ascii="Abadi" w:hAnsi="Abadi"/>
          <w:b w:val="0"/>
          <w:bCs w:val="0"/>
          <w:spacing w:val="-2"/>
          <w:sz w:val="21"/>
          <w:szCs w:val="21"/>
        </w:rPr>
        <w:t xml:space="preserve"> </w:t>
      </w:r>
      <w:r w:rsidRPr="007C2763">
        <w:rPr>
          <w:rFonts w:ascii="Abadi" w:hAnsi="Abadi"/>
          <w:b w:val="0"/>
          <w:bCs w:val="0"/>
          <w:sz w:val="21"/>
          <w:szCs w:val="21"/>
        </w:rPr>
        <w:t>Para</w:t>
      </w:r>
      <w:r w:rsidRPr="007C2763">
        <w:rPr>
          <w:rFonts w:ascii="Abadi" w:hAnsi="Abadi"/>
          <w:b w:val="0"/>
          <w:bCs w:val="0"/>
          <w:spacing w:val="1"/>
          <w:sz w:val="21"/>
          <w:szCs w:val="21"/>
        </w:rPr>
        <w:t xml:space="preserve"> </w:t>
      </w:r>
      <w:r w:rsidRPr="007C2763">
        <w:rPr>
          <w:rFonts w:ascii="Abadi" w:hAnsi="Abadi"/>
          <w:b w:val="0"/>
          <w:bCs w:val="0"/>
          <w:sz w:val="21"/>
          <w:szCs w:val="21"/>
        </w:rPr>
        <w:t>el caso</w:t>
      </w:r>
      <w:r w:rsidRPr="007C2763">
        <w:rPr>
          <w:rFonts w:ascii="Abadi" w:hAnsi="Abadi"/>
          <w:b w:val="0"/>
          <w:bCs w:val="0"/>
          <w:spacing w:val="-1"/>
          <w:sz w:val="21"/>
          <w:szCs w:val="21"/>
        </w:rPr>
        <w:t xml:space="preserve"> </w:t>
      </w:r>
      <w:r w:rsidRPr="007C2763">
        <w:rPr>
          <w:rFonts w:ascii="Abadi" w:hAnsi="Abadi"/>
          <w:b w:val="0"/>
          <w:bCs w:val="0"/>
          <w:sz w:val="21"/>
          <w:szCs w:val="21"/>
        </w:rPr>
        <w:t>que</w:t>
      </w:r>
      <w:r w:rsidRPr="007C2763">
        <w:rPr>
          <w:rFonts w:ascii="Abadi" w:hAnsi="Abadi"/>
          <w:b w:val="0"/>
          <w:bCs w:val="0"/>
          <w:spacing w:val="1"/>
          <w:sz w:val="21"/>
          <w:szCs w:val="21"/>
        </w:rPr>
        <w:t xml:space="preserve"> </w:t>
      </w:r>
      <w:r w:rsidRPr="007C2763">
        <w:rPr>
          <w:rFonts w:ascii="Abadi" w:hAnsi="Abadi"/>
          <w:b w:val="0"/>
          <w:bCs w:val="0"/>
          <w:sz w:val="21"/>
          <w:szCs w:val="21"/>
        </w:rPr>
        <w:t>nos ocupa,</w:t>
      </w:r>
      <w:r w:rsidRPr="007C2763">
        <w:rPr>
          <w:rFonts w:ascii="Abadi" w:hAnsi="Abadi"/>
          <w:b w:val="0"/>
          <w:bCs w:val="0"/>
          <w:spacing w:val="1"/>
          <w:sz w:val="21"/>
          <w:szCs w:val="21"/>
        </w:rPr>
        <w:t xml:space="preserve"> </w:t>
      </w:r>
      <w:r w:rsidRPr="007C2763">
        <w:rPr>
          <w:rFonts w:ascii="Abadi" w:hAnsi="Abadi"/>
          <w:b w:val="0"/>
          <w:bCs w:val="0"/>
          <w:sz w:val="21"/>
          <w:szCs w:val="21"/>
        </w:rPr>
        <w:t>es</w:t>
      </w:r>
      <w:r w:rsidRPr="007C2763">
        <w:rPr>
          <w:rFonts w:ascii="Abadi" w:hAnsi="Abadi"/>
          <w:b w:val="0"/>
          <w:bCs w:val="0"/>
          <w:spacing w:val="-2"/>
          <w:sz w:val="21"/>
          <w:szCs w:val="21"/>
        </w:rPr>
        <w:t xml:space="preserve"> </w:t>
      </w:r>
      <w:r w:rsidRPr="007C2763">
        <w:rPr>
          <w:rFonts w:ascii="Abadi" w:hAnsi="Abadi"/>
          <w:b w:val="0"/>
          <w:bCs w:val="0"/>
          <w:sz w:val="21"/>
          <w:szCs w:val="21"/>
        </w:rPr>
        <w:t>un</w:t>
      </w:r>
      <w:r w:rsidRPr="007C2763">
        <w:rPr>
          <w:rFonts w:ascii="Abadi" w:hAnsi="Abadi"/>
          <w:b w:val="0"/>
          <w:bCs w:val="0"/>
          <w:spacing w:val="-1"/>
          <w:sz w:val="21"/>
          <w:szCs w:val="21"/>
        </w:rPr>
        <w:t xml:space="preserve"> </w:t>
      </w:r>
      <w:r w:rsidRPr="007C2763">
        <w:rPr>
          <w:rFonts w:ascii="Abadi" w:hAnsi="Abadi"/>
          <w:b w:val="0"/>
          <w:bCs w:val="0"/>
          <w:sz w:val="21"/>
          <w:szCs w:val="21"/>
        </w:rPr>
        <w:t>deber</w:t>
      </w:r>
      <w:r w:rsidRPr="007C2763">
        <w:rPr>
          <w:rFonts w:ascii="Abadi" w:hAnsi="Abadi"/>
          <w:b w:val="0"/>
          <w:bCs w:val="0"/>
          <w:spacing w:val="-1"/>
          <w:sz w:val="21"/>
          <w:szCs w:val="21"/>
        </w:rPr>
        <w:t xml:space="preserve"> </w:t>
      </w:r>
      <w:r w:rsidRPr="007C2763">
        <w:rPr>
          <w:rFonts w:ascii="Abadi" w:hAnsi="Abadi"/>
          <w:b w:val="0"/>
          <w:bCs w:val="0"/>
          <w:sz w:val="21"/>
          <w:szCs w:val="21"/>
        </w:rPr>
        <w:t>y un</w:t>
      </w:r>
      <w:r w:rsidRPr="007C2763">
        <w:rPr>
          <w:rFonts w:ascii="Abadi" w:hAnsi="Abadi"/>
          <w:b w:val="0"/>
          <w:bCs w:val="0"/>
          <w:spacing w:val="1"/>
          <w:sz w:val="21"/>
          <w:szCs w:val="21"/>
        </w:rPr>
        <w:t xml:space="preserve"> </w:t>
      </w:r>
      <w:r w:rsidRPr="007C2763">
        <w:rPr>
          <w:rFonts w:ascii="Abadi" w:hAnsi="Abadi"/>
          <w:b w:val="0"/>
          <w:bCs w:val="0"/>
          <w:sz w:val="21"/>
          <w:szCs w:val="21"/>
        </w:rPr>
        <w:t>derecho</w:t>
      </w:r>
      <w:r w:rsidRPr="007C2763">
        <w:rPr>
          <w:rFonts w:ascii="Abadi" w:hAnsi="Abadi"/>
          <w:b w:val="0"/>
          <w:bCs w:val="0"/>
          <w:spacing w:val="-1"/>
          <w:sz w:val="21"/>
          <w:szCs w:val="21"/>
        </w:rPr>
        <w:t xml:space="preserve"> </w:t>
      </w:r>
      <w:r w:rsidRPr="007C2763">
        <w:rPr>
          <w:rFonts w:ascii="Abadi" w:hAnsi="Abadi"/>
          <w:b w:val="0"/>
          <w:bCs w:val="0"/>
          <w:sz w:val="21"/>
          <w:szCs w:val="21"/>
        </w:rPr>
        <w:t>el que</w:t>
      </w:r>
      <w:r w:rsidRPr="007C2763">
        <w:rPr>
          <w:rFonts w:ascii="Abadi" w:hAnsi="Abadi"/>
          <w:b w:val="0"/>
          <w:bCs w:val="0"/>
          <w:spacing w:val="1"/>
          <w:sz w:val="21"/>
          <w:szCs w:val="21"/>
        </w:rPr>
        <w:t xml:space="preserve"> </w:t>
      </w:r>
      <w:r w:rsidRPr="007C2763">
        <w:rPr>
          <w:rFonts w:ascii="Abadi" w:hAnsi="Abadi"/>
          <w:b w:val="0"/>
          <w:bCs w:val="0"/>
          <w:sz w:val="21"/>
          <w:szCs w:val="21"/>
        </w:rPr>
        <w:t>la ciudadanía</w:t>
      </w:r>
      <w:r w:rsidRPr="007C2763">
        <w:rPr>
          <w:rFonts w:ascii="Abadi" w:hAnsi="Abadi"/>
          <w:b w:val="0"/>
          <w:bCs w:val="0"/>
          <w:spacing w:val="3"/>
          <w:sz w:val="21"/>
          <w:szCs w:val="21"/>
        </w:rPr>
        <w:t xml:space="preserve"> </w:t>
      </w:r>
      <w:r w:rsidRPr="007C2763">
        <w:rPr>
          <w:rFonts w:ascii="Abadi" w:hAnsi="Abadi"/>
          <w:b w:val="0"/>
          <w:bCs w:val="0"/>
          <w:sz w:val="21"/>
          <w:szCs w:val="21"/>
        </w:rPr>
        <w:t>deba</w:t>
      </w:r>
      <w:r w:rsidRPr="007C2763">
        <w:rPr>
          <w:rFonts w:ascii="Abadi" w:hAnsi="Abadi"/>
          <w:b w:val="0"/>
          <w:bCs w:val="0"/>
          <w:spacing w:val="6"/>
          <w:sz w:val="21"/>
          <w:szCs w:val="21"/>
        </w:rPr>
        <w:t xml:space="preserve"> </w:t>
      </w:r>
      <w:r w:rsidRPr="007C2763">
        <w:rPr>
          <w:rFonts w:ascii="Abadi" w:hAnsi="Abadi"/>
          <w:b w:val="0"/>
          <w:bCs w:val="0"/>
          <w:sz w:val="21"/>
          <w:szCs w:val="21"/>
        </w:rPr>
        <w:t>y</w:t>
      </w:r>
      <w:r w:rsidRPr="007C2763">
        <w:rPr>
          <w:rFonts w:ascii="Abadi" w:hAnsi="Abadi"/>
          <w:b w:val="0"/>
          <w:bCs w:val="0"/>
          <w:spacing w:val="2"/>
          <w:sz w:val="21"/>
          <w:szCs w:val="21"/>
        </w:rPr>
        <w:t xml:space="preserve"> </w:t>
      </w:r>
      <w:r w:rsidRPr="007C2763">
        <w:rPr>
          <w:rFonts w:ascii="Abadi" w:hAnsi="Abadi"/>
          <w:b w:val="0"/>
          <w:bCs w:val="0"/>
          <w:sz w:val="21"/>
          <w:szCs w:val="21"/>
        </w:rPr>
        <w:t>pueda</w:t>
      </w:r>
      <w:r w:rsidRPr="007C2763">
        <w:rPr>
          <w:rFonts w:ascii="Abadi" w:hAnsi="Abadi"/>
          <w:b w:val="0"/>
          <w:bCs w:val="0"/>
          <w:spacing w:val="3"/>
          <w:sz w:val="21"/>
          <w:szCs w:val="21"/>
        </w:rPr>
        <w:t xml:space="preserve"> </w:t>
      </w:r>
      <w:r w:rsidRPr="007C2763">
        <w:rPr>
          <w:rFonts w:ascii="Abadi" w:hAnsi="Abadi"/>
          <w:b w:val="0"/>
          <w:bCs w:val="0"/>
          <w:sz w:val="21"/>
          <w:szCs w:val="21"/>
        </w:rPr>
        <w:t>participar</w:t>
      </w:r>
      <w:r w:rsidRPr="007C2763">
        <w:rPr>
          <w:rFonts w:ascii="Abadi" w:hAnsi="Abadi"/>
          <w:b w:val="0"/>
          <w:bCs w:val="0"/>
          <w:spacing w:val="2"/>
          <w:sz w:val="21"/>
          <w:szCs w:val="21"/>
        </w:rPr>
        <w:t xml:space="preserve"> </w:t>
      </w:r>
      <w:r w:rsidRPr="007C2763">
        <w:rPr>
          <w:rFonts w:ascii="Abadi" w:hAnsi="Abadi"/>
          <w:b w:val="0"/>
          <w:bCs w:val="0"/>
          <w:sz w:val="21"/>
          <w:szCs w:val="21"/>
        </w:rPr>
        <w:t>en</w:t>
      </w:r>
      <w:r w:rsidRPr="007C2763">
        <w:rPr>
          <w:rFonts w:ascii="Abadi" w:hAnsi="Abadi"/>
          <w:b w:val="0"/>
          <w:bCs w:val="0"/>
          <w:spacing w:val="3"/>
          <w:sz w:val="21"/>
          <w:szCs w:val="21"/>
        </w:rPr>
        <w:t xml:space="preserve"> </w:t>
      </w:r>
      <w:r w:rsidRPr="007C2763">
        <w:rPr>
          <w:rFonts w:ascii="Abadi" w:hAnsi="Abadi"/>
          <w:b w:val="0"/>
          <w:bCs w:val="0"/>
          <w:sz w:val="21"/>
          <w:szCs w:val="21"/>
        </w:rPr>
        <w:t>las</w:t>
      </w:r>
      <w:r w:rsidRPr="007C2763">
        <w:rPr>
          <w:rFonts w:ascii="Abadi" w:hAnsi="Abadi"/>
          <w:b w:val="0"/>
          <w:bCs w:val="0"/>
          <w:spacing w:val="2"/>
          <w:sz w:val="21"/>
          <w:szCs w:val="21"/>
        </w:rPr>
        <w:t xml:space="preserve"> </w:t>
      </w:r>
      <w:r w:rsidRPr="007C2763">
        <w:rPr>
          <w:rFonts w:ascii="Abadi" w:hAnsi="Abadi"/>
          <w:b w:val="0"/>
          <w:bCs w:val="0"/>
          <w:sz w:val="21"/>
          <w:szCs w:val="21"/>
        </w:rPr>
        <w:t>etapas</w:t>
      </w:r>
      <w:r w:rsidRPr="007C2763">
        <w:rPr>
          <w:rFonts w:ascii="Abadi" w:hAnsi="Abadi"/>
          <w:b w:val="0"/>
          <w:bCs w:val="0"/>
          <w:spacing w:val="2"/>
          <w:sz w:val="21"/>
          <w:szCs w:val="21"/>
        </w:rPr>
        <w:t xml:space="preserve"> </w:t>
      </w:r>
      <w:r w:rsidRPr="007C2763">
        <w:rPr>
          <w:rFonts w:ascii="Abadi" w:hAnsi="Abadi"/>
          <w:b w:val="0"/>
          <w:bCs w:val="0"/>
          <w:sz w:val="21"/>
          <w:szCs w:val="21"/>
        </w:rPr>
        <w:t>del</w:t>
      </w:r>
      <w:r w:rsidRPr="007C2763">
        <w:rPr>
          <w:rFonts w:ascii="Abadi" w:hAnsi="Abadi"/>
          <w:b w:val="0"/>
          <w:bCs w:val="0"/>
          <w:spacing w:val="1"/>
          <w:sz w:val="21"/>
          <w:szCs w:val="21"/>
        </w:rPr>
        <w:t xml:space="preserve"> </w:t>
      </w:r>
      <w:r w:rsidRPr="007C2763">
        <w:rPr>
          <w:rFonts w:ascii="Abadi" w:hAnsi="Abadi"/>
          <w:b w:val="0"/>
          <w:bCs w:val="0"/>
          <w:sz w:val="21"/>
          <w:szCs w:val="21"/>
        </w:rPr>
        <w:t>proceso</w:t>
      </w:r>
      <w:r w:rsidRPr="007C2763">
        <w:rPr>
          <w:rFonts w:ascii="Abadi" w:hAnsi="Abadi"/>
          <w:b w:val="0"/>
          <w:bCs w:val="0"/>
          <w:spacing w:val="6"/>
          <w:sz w:val="21"/>
          <w:szCs w:val="21"/>
        </w:rPr>
        <w:t xml:space="preserve"> </w:t>
      </w:r>
      <w:r w:rsidRPr="007C2763">
        <w:rPr>
          <w:rFonts w:ascii="Abadi" w:hAnsi="Abadi"/>
          <w:b w:val="0"/>
          <w:bCs w:val="0"/>
          <w:sz w:val="21"/>
          <w:szCs w:val="21"/>
        </w:rPr>
        <w:t>legislativo;</w:t>
      </w:r>
      <w:r w:rsidRPr="007C2763">
        <w:rPr>
          <w:rFonts w:ascii="Abadi" w:hAnsi="Abadi"/>
          <w:b w:val="0"/>
          <w:bCs w:val="0"/>
          <w:spacing w:val="3"/>
          <w:sz w:val="21"/>
          <w:szCs w:val="21"/>
        </w:rPr>
        <w:t xml:space="preserve"> </w:t>
      </w:r>
      <w:r w:rsidRPr="007C2763">
        <w:rPr>
          <w:rFonts w:ascii="Abadi" w:hAnsi="Abadi"/>
          <w:b w:val="0"/>
          <w:bCs w:val="0"/>
          <w:sz w:val="21"/>
          <w:szCs w:val="21"/>
        </w:rPr>
        <w:t>más</w:t>
      </w:r>
      <w:r w:rsidRPr="007C2763">
        <w:rPr>
          <w:rFonts w:ascii="Abadi" w:hAnsi="Abadi"/>
          <w:b w:val="0"/>
          <w:bCs w:val="0"/>
          <w:spacing w:val="2"/>
          <w:sz w:val="21"/>
          <w:szCs w:val="21"/>
        </w:rPr>
        <w:t xml:space="preserve"> </w:t>
      </w:r>
      <w:r w:rsidRPr="007C2763">
        <w:rPr>
          <w:rFonts w:ascii="Abadi" w:hAnsi="Abadi"/>
          <w:b w:val="0"/>
          <w:bCs w:val="0"/>
          <w:sz w:val="21"/>
          <w:szCs w:val="21"/>
        </w:rPr>
        <w:t>aún, en</w:t>
      </w:r>
      <w:r w:rsidRPr="007C2763">
        <w:rPr>
          <w:rFonts w:ascii="Abadi" w:hAnsi="Abadi"/>
          <w:b w:val="0"/>
          <w:bCs w:val="0"/>
          <w:spacing w:val="23"/>
          <w:sz w:val="21"/>
          <w:szCs w:val="21"/>
        </w:rPr>
        <w:t xml:space="preserve"> </w:t>
      </w:r>
      <w:r w:rsidRPr="007C2763">
        <w:rPr>
          <w:rFonts w:ascii="Abadi" w:hAnsi="Abadi"/>
          <w:b w:val="0"/>
          <w:bCs w:val="0"/>
          <w:sz w:val="21"/>
          <w:szCs w:val="21"/>
        </w:rPr>
        <w:t>aquellas</w:t>
      </w:r>
      <w:r w:rsidRPr="007C2763">
        <w:rPr>
          <w:rFonts w:ascii="Abadi" w:hAnsi="Abadi"/>
          <w:b w:val="0"/>
          <w:bCs w:val="0"/>
          <w:spacing w:val="22"/>
          <w:sz w:val="21"/>
          <w:szCs w:val="21"/>
        </w:rPr>
        <w:t xml:space="preserve"> </w:t>
      </w:r>
      <w:r w:rsidRPr="007C2763">
        <w:rPr>
          <w:rFonts w:ascii="Abadi" w:hAnsi="Abadi"/>
          <w:b w:val="0"/>
          <w:bCs w:val="0"/>
          <w:sz w:val="21"/>
          <w:szCs w:val="21"/>
        </w:rPr>
        <w:t>que</w:t>
      </w:r>
      <w:r w:rsidRPr="007C2763">
        <w:rPr>
          <w:rFonts w:ascii="Abadi" w:hAnsi="Abadi"/>
          <w:b w:val="0"/>
          <w:bCs w:val="0"/>
          <w:spacing w:val="23"/>
          <w:sz w:val="21"/>
          <w:szCs w:val="21"/>
        </w:rPr>
        <w:t xml:space="preserve"> </w:t>
      </w:r>
      <w:r w:rsidRPr="007C2763">
        <w:rPr>
          <w:rFonts w:ascii="Abadi" w:hAnsi="Abadi"/>
          <w:b w:val="0"/>
          <w:bCs w:val="0"/>
          <w:sz w:val="21"/>
          <w:szCs w:val="21"/>
        </w:rPr>
        <w:t>directamente</w:t>
      </w:r>
      <w:r w:rsidRPr="007C2763">
        <w:rPr>
          <w:rFonts w:ascii="Abadi" w:hAnsi="Abadi"/>
          <w:b w:val="0"/>
          <w:bCs w:val="0"/>
          <w:spacing w:val="23"/>
          <w:sz w:val="21"/>
          <w:szCs w:val="21"/>
        </w:rPr>
        <w:t xml:space="preserve"> </w:t>
      </w:r>
      <w:r w:rsidRPr="007C2763">
        <w:rPr>
          <w:rFonts w:ascii="Abadi" w:hAnsi="Abadi"/>
          <w:b w:val="0"/>
          <w:bCs w:val="0"/>
          <w:sz w:val="21"/>
          <w:szCs w:val="21"/>
        </w:rPr>
        <w:t>inciden</w:t>
      </w:r>
      <w:r w:rsidRPr="007C2763">
        <w:rPr>
          <w:rFonts w:ascii="Abadi" w:hAnsi="Abadi"/>
          <w:b w:val="0"/>
          <w:bCs w:val="0"/>
          <w:spacing w:val="23"/>
          <w:sz w:val="21"/>
          <w:szCs w:val="21"/>
        </w:rPr>
        <w:t xml:space="preserve"> </w:t>
      </w:r>
      <w:r w:rsidRPr="007C2763">
        <w:rPr>
          <w:rFonts w:ascii="Abadi" w:hAnsi="Abadi"/>
          <w:b w:val="0"/>
          <w:bCs w:val="0"/>
          <w:sz w:val="21"/>
          <w:szCs w:val="21"/>
        </w:rPr>
        <w:t>en</w:t>
      </w:r>
      <w:r w:rsidRPr="007C2763">
        <w:rPr>
          <w:rFonts w:ascii="Abadi" w:hAnsi="Abadi"/>
          <w:b w:val="0"/>
          <w:bCs w:val="0"/>
          <w:spacing w:val="23"/>
          <w:sz w:val="21"/>
          <w:szCs w:val="21"/>
        </w:rPr>
        <w:t xml:space="preserve"> </w:t>
      </w:r>
      <w:r w:rsidRPr="007C2763">
        <w:rPr>
          <w:rFonts w:ascii="Abadi" w:hAnsi="Abadi"/>
          <w:b w:val="0"/>
          <w:bCs w:val="0"/>
          <w:sz w:val="21"/>
          <w:szCs w:val="21"/>
        </w:rPr>
        <w:t>la</w:t>
      </w:r>
      <w:r w:rsidRPr="007C2763">
        <w:rPr>
          <w:rFonts w:ascii="Abadi" w:hAnsi="Abadi"/>
          <w:b w:val="0"/>
          <w:bCs w:val="0"/>
          <w:spacing w:val="23"/>
          <w:sz w:val="21"/>
          <w:szCs w:val="21"/>
        </w:rPr>
        <w:t xml:space="preserve"> </w:t>
      </w:r>
      <w:r w:rsidRPr="007C2763">
        <w:rPr>
          <w:rFonts w:ascii="Abadi" w:hAnsi="Abadi"/>
          <w:b w:val="0"/>
          <w:bCs w:val="0"/>
          <w:sz w:val="21"/>
          <w:szCs w:val="21"/>
        </w:rPr>
        <w:t>esfera</w:t>
      </w:r>
      <w:r w:rsidRPr="007C2763">
        <w:rPr>
          <w:rFonts w:ascii="Abadi" w:hAnsi="Abadi"/>
          <w:b w:val="0"/>
          <w:bCs w:val="0"/>
          <w:spacing w:val="23"/>
          <w:sz w:val="21"/>
          <w:szCs w:val="21"/>
        </w:rPr>
        <w:t xml:space="preserve"> </w:t>
      </w:r>
      <w:r w:rsidRPr="007C2763">
        <w:rPr>
          <w:rFonts w:ascii="Abadi" w:hAnsi="Abadi"/>
          <w:b w:val="0"/>
          <w:bCs w:val="0"/>
          <w:sz w:val="21"/>
          <w:szCs w:val="21"/>
        </w:rPr>
        <w:t>municipal,</w:t>
      </w:r>
      <w:r w:rsidRPr="007C2763">
        <w:rPr>
          <w:rFonts w:ascii="Abadi" w:hAnsi="Abadi"/>
          <w:b w:val="0"/>
          <w:bCs w:val="0"/>
          <w:spacing w:val="22"/>
          <w:sz w:val="21"/>
          <w:szCs w:val="21"/>
        </w:rPr>
        <w:t xml:space="preserve"> </w:t>
      </w:r>
      <w:r w:rsidRPr="007C2763">
        <w:rPr>
          <w:rFonts w:ascii="Abadi" w:hAnsi="Abadi"/>
          <w:b w:val="0"/>
          <w:bCs w:val="0"/>
          <w:sz w:val="21"/>
          <w:szCs w:val="21"/>
        </w:rPr>
        <w:t>por</w:t>
      </w:r>
      <w:r w:rsidRPr="007C2763">
        <w:rPr>
          <w:rFonts w:ascii="Abadi" w:hAnsi="Abadi"/>
          <w:b w:val="0"/>
          <w:bCs w:val="0"/>
          <w:spacing w:val="21"/>
          <w:sz w:val="21"/>
          <w:szCs w:val="21"/>
        </w:rPr>
        <w:t xml:space="preserve"> </w:t>
      </w:r>
      <w:r w:rsidRPr="007C2763">
        <w:rPr>
          <w:rFonts w:ascii="Abadi" w:hAnsi="Abadi"/>
          <w:b w:val="0"/>
          <w:bCs w:val="0"/>
          <w:sz w:val="21"/>
          <w:szCs w:val="21"/>
        </w:rPr>
        <w:t>la</w:t>
      </w:r>
      <w:r w:rsidRPr="007C2763">
        <w:rPr>
          <w:rFonts w:ascii="Abadi" w:hAnsi="Abadi"/>
          <w:b w:val="0"/>
          <w:bCs w:val="0"/>
          <w:spacing w:val="23"/>
          <w:sz w:val="21"/>
          <w:szCs w:val="21"/>
        </w:rPr>
        <w:t xml:space="preserve"> </w:t>
      </w:r>
      <w:r w:rsidRPr="007C2763">
        <w:rPr>
          <w:rFonts w:ascii="Abadi" w:hAnsi="Abadi"/>
          <w:b w:val="0"/>
          <w:bCs w:val="0"/>
          <w:sz w:val="21"/>
          <w:szCs w:val="21"/>
        </w:rPr>
        <w:t>cercanía</w:t>
      </w:r>
      <w:r w:rsidRPr="007C2763">
        <w:rPr>
          <w:rFonts w:ascii="Abadi" w:hAnsi="Abadi"/>
          <w:b w:val="0"/>
          <w:bCs w:val="0"/>
          <w:spacing w:val="23"/>
          <w:sz w:val="21"/>
          <w:szCs w:val="21"/>
        </w:rPr>
        <w:t xml:space="preserve"> </w:t>
      </w:r>
      <w:r w:rsidRPr="007C2763">
        <w:rPr>
          <w:rFonts w:ascii="Abadi" w:hAnsi="Abadi"/>
          <w:b w:val="0"/>
          <w:bCs w:val="0"/>
          <w:sz w:val="21"/>
          <w:szCs w:val="21"/>
        </w:rPr>
        <w:t>que se</w:t>
      </w:r>
      <w:r w:rsidRPr="007C2763">
        <w:rPr>
          <w:rFonts w:ascii="Abadi" w:hAnsi="Abadi"/>
          <w:b w:val="0"/>
          <w:bCs w:val="0"/>
          <w:spacing w:val="1"/>
          <w:sz w:val="21"/>
          <w:szCs w:val="21"/>
        </w:rPr>
        <w:t xml:space="preserve"> </w:t>
      </w:r>
      <w:r w:rsidRPr="007C2763">
        <w:rPr>
          <w:rFonts w:ascii="Abadi" w:hAnsi="Abadi"/>
          <w:b w:val="0"/>
          <w:bCs w:val="0"/>
          <w:sz w:val="21"/>
          <w:szCs w:val="21"/>
        </w:rPr>
        <w:t>tiene.</w:t>
      </w:r>
    </w:p>
    <w:p w14:paraId="1AF0C022" w14:textId="77777777" w:rsidR="00374A1E" w:rsidRPr="007C2763" w:rsidRDefault="00374A1E" w:rsidP="00374A1E">
      <w:pPr>
        <w:pStyle w:val="Textoindependiente"/>
        <w:kinsoku w:val="0"/>
        <w:overflowPunct w:val="0"/>
        <w:spacing w:before="5"/>
        <w:rPr>
          <w:rFonts w:ascii="Abadi" w:hAnsi="Abadi"/>
          <w:b w:val="0"/>
          <w:bCs w:val="0"/>
          <w:sz w:val="21"/>
          <w:szCs w:val="21"/>
        </w:rPr>
      </w:pPr>
    </w:p>
    <w:p w14:paraId="21079F03" w14:textId="77777777" w:rsidR="00374A1E" w:rsidRPr="007C2763" w:rsidRDefault="00374A1E" w:rsidP="00374A1E">
      <w:pPr>
        <w:pStyle w:val="Textoindependiente"/>
        <w:kinsoku w:val="0"/>
        <w:overflowPunct w:val="0"/>
        <w:ind w:right="117" w:firstLine="708"/>
        <w:rPr>
          <w:rFonts w:ascii="Abadi" w:hAnsi="Abadi"/>
          <w:b w:val="0"/>
          <w:bCs w:val="0"/>
          <w:sz w:val="21"/>
          <w:szCs w:val="21"/>
        </w:rPr>
      </w:pPr>
      <w:r w:rsidRPr="007C2763">
        <w:rPr>
          <w:rFonts w:ascii="Abadi" w:hAnsi="Abadi"/>
          <w:b w:val="0"/>
          <w:bCs w:val="0"/>
          <w:sz w:val="21"/>
          <w:szCs w:val="21"/>
        </w:rPr>
        <w:t>Por</w:t>
      </w:r>
      <w:r w:rsidRPr="007C2763">
        <w:rPr>
          <w:rFonts w:ascii="Abadi" w:hAnsi="Abadi"/>
          <w:b w:val="0"/>
          <w:bCs w:val="0"/>
          <w:spacing w:val="14"/>
          <w:sz w:val="21"/>
          <w:szCs w:val="21"/>
        </w:rPr>
        <w:t xml:space="preserve"> </w:t>
      </w:r>
      <w:r w:rsidRPr="007C2763">
        <w:rPr>
          <w:rFonts w:ascii="Abadi" w:hAnsi="Abadi"/>
          <w:b w:val="0"/>
          <w:bCs w:val="0"/>
          <w:sz w:val="21"/>
          <w:szCs w:val="21"/>
        </w:rPr>
        <w:t>lo</w:t>
      </w:r>
      <w:r w:rsidRPr="007C2763">
        <w:rPr>
          <w:rFonts w:ascii="Abadi" w:hAnsi="Abadi"/>
          <w:b w:val="0"/>
          <w:bCs w:val="0"/>
          <w:spacing w:val="12"/>
          <w:sz w:val="21"/>
          <w:szCs w:val="21"/>
        </w:rPr>
        <w:t xml:space="preserve"> </w:t>
      </w:r>
      <w:r w:rsidRPr="007C2763">
        <w:rPr>
          <w:rFonts w:ascii="Abadi" w:hAnsi="Abadi"/>
          <w:b w:val="0"/>
          <w:bCs w:val="0"/>
          <w:sz w:val="21"/>
          <w:szCs w:val="21"/>
        </w:rPr>
        <w:t>anterior,</w:t>
      </w:r>
      <w:r w:rsidRPr="007C2763">
        <w:rPr>
          <w:rFonts w:ascii="Abadi" w:hAnsi="Abadi"/>
          <w:b w:val="0"/>
          <w:bCs w:val="0"/>
          <w:spacing w:val="15"/>
          <w:sz w:val="21"/>
          <w:szCs w:val="21"/>
        </w:rPr>
        <w:t xml:space="preserve"> </w:t>
      </w:r>
      <w:r w:rsidRPr="007C2763">
        <w:rPr>
          <w:rFonts w:ascii="Abadi" w:hAnsi="Abadi"/>
          <w:b w:val="0"/>
          <w:bCs w:val="0"/>
          <w:sz w:val="21"/>
          <w:szCs w:val="21"/>
        </w:rPr>
        <w:t>con</w:t>
      </w:r>
      <w:r w:rsidRPr="007C2763">
        <w:rPr>
          <w:rFonts w:ascii="Abadi" w:hAnsi="Abadi"/>
          <w:b w:val="0"/>
          <w:bCs w:val="0"/>
          <w:spacing w:val="13"/>
          <w:sz w:val="21"/>
          <w:szCs w:val="21"/>
        </w:rPr>
        <w:t xml:space="preserve"> </w:t>
      </w:r>
      <w:r w:rsidRPr="007C2763">
        <w:rPr>
          <w:rFonts w:ascii="Abadi" w:hAnsi="Abadi"/>
          <w:b w:val="0"/>
          <w:bCs w:val="0"/>
          <w:sz w:val="21"/>
          <w:szCs w:val="21"/>
        </w:rPr>
        <w:t>estricto</w:t>
      </w:r>
      <w:r w:rsidRPr="007C2763">
        <w:rPr>
          <w:rFonts w:ascii="Abadi" w:hAnsi="Abadi"/>
          <w:b w:val="0"/>
          <w:bCs w:val="0"/>
          <w:spacing w:val="15"/>
          <w:sz w:val="21"/>
          <w:szCs w:val="21"/>
        </w:rPr>
        <w:t xml:space="preserve"> </w:t>
      </w:r>
      <w:r w:rsidRPr="007C2763">
        <w:rPr>
          <w:rFonts w:ascii="Abadi" w:hAnsi="Abadi"/>
          <w:b w:val="0"/>
          <w:bCs w:val="0"/>
          <w:sz w:val="21"/>
          <w:szCs w:val="21"/>
        </w:rPr>
        <w:t>respeto</w:t>
      </w:r>
      <w:r w:rsidRPr="007C2763">
        <w:rPr>
          <w:rFonts w:ascii="Abadi" w:hAnsi="Abadi"/>
          <w:b w:val="0"/>
          <w:bCs w:val="0"/>
          <w:spacing w:val="13"/>
          <w:sz w:val="21"/>
          <w:szCs w:val="21"/>
        </w:rPr>
        <w:t xml:space="preserve"> </w:t>
      </w:r>
      <w:r w:rsidRPr="007C2763">
        <w:rPr>
          <w:rFonts w:ascii="Abadi" w:hAnsi="Abadi"/>
          <w:b w:val="0"/>
          <w:bCs w:val="0"/>
          <w:sz w:val="21"/>
          <w:szCs w:val="21"/>
        </w:rPr>
        <w:t>a</w:t>
      </w:r>
      <w:r w:rsidRPr="007C2763">
        <w:rPr>
          <w:rFonts w:ascii="Abadi" w:hAnsi="Abadi"/>
          <w:b w:val="0"/>
          <w:bCs w:val="0"/>
          <w:spacing w:val="13"/>
          <w:sz w:val="21"/>
          <w:szCs w:val="21"/>
        </w:rPr>
        <w:t xml:space="preserve"> </w:t>
      </w:r>
      <w:r w:rsidRPr="007C2763">
        <w:rPr>
          <w:rFonts w:ascii="Abadi" w:hAnsi="Abadi"/>
          <w:b w:val="0"/>
          <w:bCs w:val="0"/>
          <w:sz w:val="21"/>
          <w:szCs w:val="21"/>
        </w:rPr>
        <w:t>la</w:t>
      </w:r>
      <w:r w:rsidRPr="007C2763">
        <w:rPr>
          <w:rFonts w:ascii="Abadi" w:hAnsi="Abadi"/>
          <w:b w:val="0"/>
          <w:bCs w:val="0"/>
          <w:spacing w:val="13"/>
          <w:sz w:val="21"/>
          <w:szCs w:val="21"/>
        </w:rPr>
        <w:t xml:space="preserve"> </w:t>
      </w:r>
      <w:r w:rsidRPr="007C2763">
        <w:rPr>
          <w:rFonts w:ascii="Abadi" w:hAnsi="Abadi"/>
          <w:b w:val="0"/>
          <w:bCs w:val="0"/>
          <w:sz w:val="21"/>
          <w:szCs w:val="21"/>
        </w:rPr>
        <w:t>autonomía</w:t>
      </w:r>
      <w:r w:rsidRPr="007C2763">
        <w:rPr>
          <w:rFonts w:ascii="Abadi" w:hAnsi="Abadi"/>
          <w:b w:val="0"/>
          <w:bCs w:val="0"/>
          <w:spacing w:val="13"/>
          <w:sz w:val="21"/>
          <w:szCs w:val="21"/>
        </w:rPr>
        <w:t xml:space="preserve"> </w:t>
      </w:r>
      <w:r w:rsidRPr="007C2763">
        <w:rPr>
          <w:rFonts w:ascii="Abadi" w:hAnsi="Abadi"/>
          <w:b w:val="0"/>
          <w:bCs w:val="0"/>
          <w:sz w:val="21"/>
          <w:szCs w:val="21"/>
        </w:rPr>
        <w:t>municipal</w:t>
      </w:r>
      <w:r w:rsidRPr="007C2763">
        <w:rPr>
          <w:rFonts w:ascii="Abadi" w:hAnsi="Abadi"/>
          <w:b w:val="0"/>
          <w:bCs w:val="0"/>
          <w:spacing w:val="12"/>
          <w:sz w:val="21"/>
          <w:szCs w:val="21"/>
        </w:rPr>
        <w:t xml:space="preserve"> </w:t>
      </w:r>
      <w:r w:rsidRPr="007C2763">
        <w:rPr>
          <w:rFonts w:ascii="Abadi" w:hAnsi="Abadi"/>
          <w:b w:val="0"/>
          <w:bCs w:val="0"/>
          <w:sz w:val="21"/>
          <w:szCs w:val="21"/>
        </w:rPr>
        <w:t>y</w:t>
      </w:r>
      <w:r w:rsidRPr="007C2763">
        <w:rPr>
          <w:rFonts w:ascii="Abadi" w:hAnsi="Abadi"/>
          <w:b w:val="0"/>
          <w:bCs w:val="0"/>
          <w:spacing w:val="15"/>
          <w:sz w:val="21"/>
          <w:szCs w:val="21"/>
        </w:rPr>
        <w:t xml:space="preserve"> </w:t>
      </w:r>
      <w:r w:rsidRPr="007C2763">
        <w:rPr>
          <w:rFonts w:ascii="Abadi" w:hAnsi="Abadi"/>
          <w:b w:val="0"/>
          <w:bCs w:val="0"/>
          <w:sz w:val="21"/>
          <w:szCs w:val="21"/>
        </w:rPr>
        <w:t>en</w:t>
      </w:r>
      <w:r w:rsidRPr="007C2763">
        <w:rPr>
          <w:rFonts w:ascii="Abadi" w:hAnsi="Abadi"/>
          <w:b w:val="0"/>
          <w:bCs w:val="0"/>
          <w:spacing w:val="13"/>
          <w:sz w:val="21"/>
          <w:szCs w:val="21"/>
        </w:rPr>
        <w:t xml:space="preserve"> </w:t>
      </w:r>
      <w:r w:rsidRPr="007C2763">
        <w:rPr>
          <w:rFonts w:ascii="Abadi" w:hAnsi="Abadi"/>
          <w:b w:val="0"/>
          <w:bCs w:val="0"/>
          <w:sz w:val="21"/>
          <w:szCs w:val="21"/>
        </w:rPr>
        <w:t>atención a</w:t>
      </w:r>
      <w:r w:rsidRPr="007C2763">
        <w:rPr>
          <w:rFonts w:ascii="Abadi" w:hAnsi="Abadi"/>
          <w:b w:val="0"/>
          <w:bCs w:val="0"/>
          <w:spacing w:val="36"/>
          <w:sz w:val="21"/>
          <w:szCs w:val="21"/>
        </w:rPr>
        <w:t xml:space="preserve"> </w:t>
      </w:r>
      <w:r w:rsidRPr="007C2763">
        <w:rPr>
          <w:rFonts w:ascii="Abadi" w:hAnsi="Abadi"/>
          <w:b w:val="0"/>
          <w:bCs w:val="0"/>
          <w:sz w:val="21"/>
          <w:szCs w:val="21"/>
        </w:rPr>
        <w:t>la</w:t>
      </w:r>
      <w:r w:rsidRPr="007C2763">
        <w:rPr>
          <w:rFonts w:ascii="Abadi" w:hAnsi="Abadi"/>
          <w:b w:val="0"/>
          <w:bCs w:val="0"/>
          <w:spacing w:val="35"/>
          <w:sz w:val="21"/>
          <w:szCs w:val="21"/>
        </w:rPr>
        <w:t xml:space="preserve"> </w:t>
      </w:r>
      <w:r w:rsidRPr="007C2763">
        <w:rPr>
          <w:rFonts w:ascii="Abadi" w:hAnsi="Abadi"/>
          <w:b w:val="0"/>
          <w:bCs w:val="0"/>
          <w:sz w:val="21"/>
          <w:szCs w:val="21"/>
        </w:rPr>
        <w:t>opinión</w:t>
      </w:r>
      <w:r w:rsidRPr="007C2763">
        <w:rPr>
          <w:rFonts w:ascii="Abadi" w:hAnsi="Abadi"/>
          <w:b w:val="0"/>
          <w:bCs w:val="0"/>
          <w:spacing w:val="35"/>
          <w:sz w:val="21"/>
          <w:szCs w:val="21"/>
        </w:rPr>
        <w:t xml:space="preserve"> </w:t>
      </w:r>
      <w:r w:rsidRPr="007C2763">
        <w:rPr>
          <w:rFonts w:ascii="Abadi" w:hAnsi="Abadi"/>
          <w:b w:val="0"/>
          <w:bCs w:val="0"/>
          <w:sz w:val="21"/>
          <w:szCs w:val="21"/>
        </w:rPr>
        <w:t>de</w:t>
      </w:r>
      <w:r w:rsidRPr="007C2763">
        <w:rPr>
          <w:rFonts w:ascii="Abadi" w:hAnsi="Abadi"/>
          <w:b w:val="0"/>
          <w:bCs w:val="0"/>
          <w:spacing w:val="35"/>
          <w:sz w:val="21"/>
          <w:szCs w:val="21"/>
        </w:rPr>
        <w:t xml:space="preserve"> </w:t>
      </w:r>
      <w:r w:rsidRPr="007C2763">
        <w:rPr>
          <w:rFonts w:ascii="Abadi" w:hAnsi="Abadi"/>
          <w:b w:val="0"/>
          <w:bCs w:val="0"/>
          <w:sz w:val="21"/>
          <w:szCs w:val="21"/>
        </w:rPr>
        <w:t>los</w:t>
      </w:r>
      <w:r w:rsidRPr="007C2763">
        <w:rPr>
          <w:rFonts w:ascii="Abadi" w:hAnsi="Abadi"/>
          <w:b w:val="0"/>
          <w:bCs w:val="0"/>
          <w:spacing w:val="32"/>
          <w:sz w:val="21"/>
          <w:szCs w:val="21"/>
        </w:rPr>
        <w:t xml:space="preserve"> </w:t>
      </w:r>
      <w:r w:rsidRPr="007C2763">
        <w:rPr>
          <w:rFonts w:ascii="Abadi" w:hAnsi="Abadi"/>
          <w:b w:val="0"/>
          <w:bCs w:val="0"/>
          <w:sz w:val="21"/>
          <w:szCs w:val="21"/>
        </w:rPr>
        <w:t>Doctormorenses,</w:t>
      </w:r>
      <w:r w:rsidRPr="007C2763">
        <w:rPr>
          <w:rFonts w:ascii="Abadi" w:hAnsi="Abadi"/>
          <w:b w:val="0"/>
          <w:bCs w:val="0"/>
          <w:spacing w:val="35"/>
          <w:sz w:val="21"/>
          <w:szCs w:val="21"/>
        </w:rPr>
        <w:t xml:space="preserve"> </w:t>
      </w:r>
      <w:r w:rsidRPr="007C2763">
        <w:rPr>
          <w:rFonts w:ascii="Abadi" w:hAnsi="Abadi"/>
          <w:b w:val="0"/>
          <w:bCs w:val="0"/>
          <w:sz w:val="21"/>
          <w:szCs w:val="21"/>
        </w:rPr>
        <w:t>se</w:t>
      </w:r>
      <w:r w:rsidRPr="007C2763">
        <w:rPr>
          <w:rFonts w:ascii="Abadi" w:hAnsi="Abadi"/>
          <w:b w:val="0"/>
          <w:bCs w:val="0"/>
          <w:spacing w:val="33"/>
          <w:sz w:val="21"/>
          <w:szCs w:val="21"/>
        </w:rPr>
        <w:t xml:space="preserve"> </w:t>
      </w:r>
      <w:r w:rsidRPr="007C2763">
        <w:rPr>
          <w:rFonts w:ascii="Abadi" w:hAnsi="Abadi"/>
          <w:b w:val="0"/>
          <w:bCs w:val="0"/>
          <w:sz w:val="21"/>
          <w:szCs w:val="21"/>
        </w:rPr>
        <w:t>considera</w:t>
      </w:r>
      <w:r w:rsidRPr="007C2763">
        <w:rPr>
          <w:rFonts w:ascii="Abadi" w:hAnsi="Abadi"/>
          <w:b w:val="0"/>
          <w:bCs w:val="0"/>
          <w:spacing w:val="35"/>
          <w:sz w:val="21"/>
          <w:szCs w:val="21"/>
        </w:rPr>
        <w:t xml:space="preserve"> </w:t>
      </w:r>
      <w:r w:rsidRPr="007C2763">
        <w:rPr>
          <w:rFonts w:ascii="Abadi" w:hAnsi="Abadi"/>
          <w:b w:val="0"/>
          <w:bCs w:val="0"/>
          <w:sz w:val="21"/>
          <w:szCs w:val="21"/>
        </w:rPr>
        <w:t>que</w:t>
      </w:r>
      <w:r w:rsidRPr="007C2763">
        <w:rPr>
          <w:rFonts w:ascii="Abadi" w:hAnsi="Abadi"/>
          <w:b w:val="0"/>
          <w:bCs w:val="0"/>
          <w:spacing w:val="35"/>
          <w:sz w:val="21"/>
          <w:szCs w:val="21"/>
        </w:rPr>
        <w:t xml:space="preserve"> </w:t>
      </w:r>
      <w:r w:rsidRPr="007C2763">
        <w:rPr>
          <w:rFonts w:ascii="Abadi" w:hAnsi="Abadi"/>
          <w:b w:val="0"/>
          <w:bCs w:val="0"/>
          <w:sz w:val="21"/>
          <w:szCs w:val="21"/>
        </w:rPr>
        <w:t>la</w:t>
      </w:r>
      <w:r w:rsidRPr="007C2763">
        <w:rPr>
          <w:rFonts w:ascii="Abadi" w:hAnsi="Abadi"/>
          <w:b w:val="0"/>
          <w:bCs w:val="0"/>
          <w:spacing w:val="35"/>
          <w:sz w:val="21"/>
          <w:szCs w:val="21"/>
        </w:rPr>
        <w:t xml:space="preserve"> </w:t>
      </w:r>
      <w:r w:rsidRPr="007C2763">
        <w:rPr>
          <w:rFonts w:ascii="Abadi" w:hAnsi="Abadi"/>
          <w:b w:val="0"/>
          <w:bCs w:val="0"/>
          <w:sz w:val="21"/>
          <w:szCs w:val="21"/>
        </w:rPr>
        <w:t>iniciativa</w:t>
      </w:r>
      <w:r w:rsidRPr="007C2763">
        <w:rPr>
          <w:rFonts w:ascii="Abadi" w:hAnsi="Abadi"/>
          <w:b w:val="0"/>
          <w:bCs w:val="0"/>
          <w:spacing w:val="35"/>
          <w:sz w:val="21"/>
          <w:szCs w:val="21"/>
        </w:rPr>
        <w:t xml:space="preserve"> </w:t>
      </w:r>
      <w:r w:rsidRPr="007C2763">
        <w:rPr>
          <w:rFonts w:ascii="Abadi" w:hAnsi="Abadi"/>
          <w:b w:val="0"/>
          <w:bCs w:val="0"/>
          <w:sz w:val="21"/>
          <w:szCs w:val="21"/>
        </w:rPr>
        <w:t>no</w:t>
      </w:r>
      <w:r w:rsidRPr="007C2763">
        <w:rPr>
          <w:rFonts w:ascii="Abadi" w:hAnsi="Abadi"/>
          <w:b w:val="0"/>
          <w:bCs w:val="0"/>
          <w:spacing w:val="33"/>
          <w:sz w:val="21"/>
          <w:szCs w:val="21"/>
        </w:rPr>
        <w:t xml:space="preserve"> </w:t>
      </w:r>
      <w:r w:rsidRPr="007C2763">
        <w:rPr>
          <w:rFonts w:ascii="Abadi" w:hAnsi="Abadi"/>
          <w:b w:val="0"/>
          <w:bCs w:val="0"/>
          <w:sz w:val="21"/>
          <w:szCs w:val="21"/>
        </w:rPr>
        <w:t>es procedente</w:t>
      </w:r>
      <w:r w:rsidRPr="007C2763">
        <w:rPr>
          <w:rFonts w:ascii="Abadi" w:hAnsi="Abadi"/>
          <w:b w:val="0"/>
          <w:bCs w:val="0"/>
          <w:spacing w:val="1"/>
          <w:sz w:val="21"/>
          <w:szCs w:val="21"/>
        </w:rPr>
        <w:t xml:space="preserve"> </w:t>
      </w:r>
      <w:r w:rsidRPr="007C2763">
        <w:rPr>
          <w:rFonts w:ascii="Abadi" w:hAnsi="Abadi"/>
          <w:b w:val="0"/>
          <w:bCs w:val="0"/>
          <w:sz w:val="21"/>
          <w:szCs w:val="21"/>
        </w:rPr>
        <w:t>y en</w:t>
      </w:r>
      <w:r w:rsidRPr="007C2763">
        <w:rPr>
          <w:rFonts w:ascii="Abadi" w:hAnsi="Abadi"/>
          <w:b w:val="0"/>
          <w:bCs w:val="0"/>
          <w:spacing w:val="1"/>
          <w:sz w:val="21"/>
          <w:szCs w:val="21"/>
        </w:rPr>
        <w:t xml:space="preserve"> </w:t>
      </w:r>
      <w:r w:rsidRPr="007C2763">
        <w:rPr>
          <w:rFonts w:ascii="Abadi" w:hAnsi="Abadi"/>
          <w:b w:val="0"/>
          <w:bCs w:val="0"/>
          <w:sz w:val="21"/>
          <w:szCs w:val="21"/>
        </w:rPr>
        <w:t>consecuencia</w:t>
      </w:r>
      <w:r w:rsidRPr="007C2763">
        <w:rPr>
          <w:rFonts w:ascii="Abadi" w:hAnsi="Abadi"/>
          <w:b w:val="0"/>
          <w:bCs w:val="0"/>
          <w:spacing w:val="-1"/>
          <w:sz w:val="21"/>
          <w:szCs w:val="21"/>
        </w:rPr>
        <w:t xml:space="preserve"> </w:t>
      </w:r>
      <w:r w:rsidRPr="007C2763">
        <w:rPr>
          <w:rFonts w:ascii="Abadi" w:hAnsi="Abadi"/>
          <w:b w:val="0"/>
          <w:bCs w:val="0"/>
          <w:sz w:val="21"/>
          <w:szCs w:val="21"/>
        </w:rPr>
        <w:t>el dictamen</w:t>
      </w:r>
      <w:r w:rsidRPr="007C2763">
        <w:rPr>
          <w:rFonts w:ascii="Abadi" w:hAnsi="Abadi"/>
          <w:b w:val="0"/>
          <w:bCs w:val="0"/>
          <w:spacing w:val="-1"/>
          <w:sz w:val="21"/>
          <w:szCs w:val="21"/>
        </w:rPr>
        <w:t xml:space="preserve"> </w:t>
      </w:r>
      <w:r w:rsidRPr="007C2763">
        <w:rPr>
          <w:rFonts w:ascii="Abadi" w:hAnsi="Abadi"/>
          <w:b w:val="0"/>
          <w:bCs w:val="0"/>
          <w:sz w:val="21"/>
          <w:szCs w:val="21"/>
        </w:rPr>
        <w:t>debe</w:t>
      </w:r>
      <w:r w:rsidRPr="007C2763">
        <w:rPr>
          <w:rFonts w:ascii="Abadi" w:hAnsi="Abadi"/>
          <w:b w:val="0"/>
          <w:bCs w:val="0"/>
          <w:spacing w:val="1"/>
          <w:sz w:val="21"/>
          <w:szCs w:val="21"/>
        </w:rPr>
        <w:t xml:space="preserve"> </w:t>
      </w:r>
      <w:r w:rsidRPr="007C2763">
        <w:rPr>
          <w:rFonts w:ascii="Abadi" w:hAnsi="Abadi"/>
          <w:b w:val="0"/>
          <w:bCs w:val="0"/>
          <w:sz w:val="21"/>
          <w:szCs w:val="21"/>
        </w:rPr>
        <w:t>ser</w:t>
      </w:r>
      <w:r w:rsidRPr="007C2763">
        <w:rPr>
          <w:rFonts w:ascii="Abadi" w:hAnsi="Abadi"/>
          <w:b w:val="0"/>
          <w:bCs w:val="0"/>
          <w:spacing w:val="-3"/>
          <w:sz w:val="21"/>
          <w:szCs w:val="21"/>
        </w:rPr>
        <w:t xml:space="preserve"> </w:t>
      </w:r>
      <w:r w:rsidRPr="007C2763">
        <w:rPr>
          <w:rFonts w:ascii="Abadi" w:hAnsi="Abadi"/>
          <w:b w:val="0"/>
          <w:bCs w:val="0"/>
          <w:sz w:val="21"/>
          <w:szCs w:val="21"/>
        </w:rPr>
        <w:t>en</w:t>
      </w:r>
      <w:r w:rsidRPr="007C2763">
        <w:rPr>
          <w:rFonts w:ascii="Abadi" w:hAnsi="Abadi"/>
          <w:b w:val="0"/>
          <w:bCs w:val="0"/>
          <w:spacing w:val="1"/>
          <w:sz w:val="21"/>
          <w:szCs w:val="21"/>
        </w:rPr>
        <w:t xml:space="preserve"> </w:t>
      </w:r>
      <w:r w:rsidRPr="007C2763">
        <w:rPr>
          <w:rFonts w:ascii="Abadi" w:hAnsi="Abadi"/>
          <w:b w:val="0"/>
          <w:bCs w:val="0"/>
          <w:sz w:val="21"/>
          <w:szCs w:val="21"/>
        </w:rPr>
        <w:t>sentido</w:t>
      </w:r>
      <w:r w:rsidRPr="007C2763">
        <w:rPr>
          <w:rFonts w:ascii="Abadi" w:hAnsi="Abadi"/>
          <w:b w:val="0"/>
          <w:bCs w:val="0"/>
          <w:spacing w:val="1"/>
          <w:sz w:val="21"/>
          <w:szCs w:val="21"/>
        </w:rPr>
        <w:t xml:space="preserve"> </w:t>
      </w:r>
      <w:r w:rsidRPr="007C2763">
        <w:rPr>
          <w:rFonts w:ascii="Abadi" w:hAnsi="Abadi"/>
          <w:b w:val="0"/>
          <w:bCs w:val="0"/>
          <w:sz w:val="21"/>
          <w:szCs w:val="21"/>
        </w:rPr>
        <w:t>negativo.</w:t>
      </w:r>
    </w:p>
    <w:p w14:paraId="3C6BF495" w14:textId="77777777" w:rsidR="00374A1E" w:rsidRPr="007C2763" w:rsidRDefault="00374A1E" w:rsidP="00374A1E">
      <w:pPr>
        <w:pStyle w:val="Textoindependiente"/>
        <w:kinsoku w:val="0"/>
        <w:overflowPunct w:val="0"/>
        <w:rPr>
          <w:rFonts w:ascii="Abadi" w:hAnsi="Abadi"/>
          <w:b w:val="0"/>
          <w:bCs w:val="0"/>
          <w:sz w:val="21"/>
          <w:szCs w:val="21"/>
        </w:rPr>
      </w:pPr>
    </w:p>
    <w:p w14:paraId="1492BE57" w14:textId="77777777" w:rsidR="00374A1E" w:rsidRPr="007C2763" w:rsidRDefault="00374A1E" w:rsidP="00374A1E">
      <w:pPr>
        <w:pStyle w:val="Textoindependiente"/>
        <w:kinsoku w:val="0"/>
        <w:overflowPunct w:val="0"/>
        <w:ind w:right="115" w:firstLine="708"/>
        <w:rPr>
          <w:rFonts w:ascii="Abadi" w:hAnsi="Abadi"/>
          <w:b w:val="0"/>
          <w:bCs w:val="0"/>
          <w:sz w:val="21"/>
          <w:szCs w:val="21"/>
        </w:rPr>
      </w:pPr>
      <w:r w:rsidRPr="007C2763">
        <w:rPr>
          <w:rFonts w:ascii="Abadi" w:hAnsi="Abadi"/>
          <w:b w:val="0"/>
          <w:bCs w:val="0"/>
          <w:sz w:val="21"/>
          <w:szCs w:val="21"/>
        </w:rPr>
        <w:t>Esta</w:t>
      </w:r>
      <w:r w:rsidRPr="007C2763">
        <w:rPr>
          <w:rFonts w:ascii="Abadi" w:hAnsi="Abadi"/>
          <w:b w:val="0"/>
          <w:bCs w:val="0"/>
          <w:spacing w:val="48"/>
          <w:sz w:val="21"/>
          <w:szCs w:val="21"/>
        </w:rPr>
        <w:t xml:space="preserve"> </w:t>
      </w:r>
      <w:r w:rsidRPr="007C2763">
        <w:rPr>
          <w:rFonts w:ascii="Abadi" w:hAnsi="Abadi"/>
          <w:b w:val="0"/>
          <w:bCs w:val="0"/>
          <w:sz w:val="21"/>
          <w:szCs w:val="21"/>
        </w:rPr>
        <w:t>Comisión</w:t>
      </w:r>
      <w:r w:rsidRPr="007C2763">
        <w:rPr>
          <w:rFonts w:ascii="Abadi" w:hAnsi="Abadi"/>
          <w:b w:val="0"/>
          <w:bCs w:val="0"/>
          <w:spacing w:val="49"/>
          <w:sz w:val="21"/>
          <w:szCs w:val="21"/>
        </w:rPr>
        <w:t xml:space="preserve"> </w:t>
      </w:r>
      <w:r w:rsidRPr="007C2763">
        <w:rPr>
          <w:rFonts w:ascii="Abadi" w:hAnsi="Abadi"/>
          <w:b w:val="0"/>
          <w:bCs w:val="0"/>
          <w:sz w:val="21"/>
          <w:szCs w:val="21"/>
        </w:rPr>
        <w:t>Dictaminadora</w:t>
      </w:r>
      <w:r w:rsidRPr="007C2763">
        <w:rPr>
          <w:rFonts w:ascii="Abadi" w:hAnsi="Abadi"/>
          <w:b w:val="0"/>
          <w:bCs w:val="0"/>
          <w:spacing w:val="49"/>
          <w:sz w:val="21"/>
          <w:szCs w:val="21"/>
        </w:rPr>
        <w:t xml:space="preserve"> </w:t>
      </w:r>
      <w:r w:rsidRPr="007C2763">
        <w:rPr>
          <w:rFonts w:ascii="Abadi" w:hAnsi="Abadi"/>
          <w:b w:val="0"/>
          <w:bCs w:val="0"/>
          <w:sz w:val="21"/>
          <w:szCs w:val="21"/>
        </w:rPr>
        <w:t>de</w:t>
      </w:r>
      <w:r w:rsidRPr="007C2763">
        <w:rPr>
          <w:rFonts w:ascii="Abadi" w:hAnsi="Abadi"/>
          <w:b w:val="0"/>
          <w:bCs w:val="0"/>
          <w:spacing w:val="48"/>
          <w:sz w:val="21"/>
          <w:szCs w:val="21"/>
        </w:rPr>
        <w:t xml:space="preserve"> </w:t>
      </w:r>
      <w:r w:rsidRPr="007C2763">
        <w:rPr>
          <w:rFonts w:ascii="Abadi" w:hAnsi="Abadi"/>
          <w:b w:val="0"/>
          <w:bCs w:val="0"/>
          <w:sz w:val="21"/>
          <w:szCs w:val="21"/>
        </w:rPr>
        <w:t>Asuntos</w:t>
      </w:r>
      <w:r w:rsidRPr="007C2763">
        <w:rPr>
          <w:rFonts w:ascii="Abadi" w:hAnsi="Abadi"/>
          <w:b w:val="0"/>
          <w:bCs w:val="0"/>
          <w:spacing w:val="46"/>
          <w:sz w:val="21"/>
          <w:szCs w:val="21"/>
        </w:rPr>
        <w:t xml:space="preserve"> </w:t>
      </w:r>
      <w:r w:rsidRPr="007C2763">
        <w:rPr>
          <w:rFonts w:ascii="Abadi" w:hAnsi="Abadi"/>
          <w:b w:val="0"/>
          <w:bCs w:val="0"/>
          <w:sz w:val="21"/>
          <w:szCs w:val="21"/>
        </w:rPr>
        <w:t>Municipales</w:t>
      </w:r>
      <w:r w:rsidRPr="007C2763">
        <w:rPr>
          <w:rFonts w:ascii="Abadi" w:hAnsi="Abadi"/>
          <w:b w:val="0"/>
          <w:bCs w:val="0"/>
          <w:spacing w:val="48"/>
          <w:sz w:val="21"/>
          <w:szCs w:val="21"/>
        </w:rPr>
        <w:t xml:space="preserve"> </w:t>
      </w:r>
      <w:r w:rsidRPr="007C2763">
        <w:rPr>
          <w:rFonts w:ascii="Abadi" w:hAnsi="Abadi"/>
          <w:b w:val="0"/>
          <w:bCs w:val="0"/>
          <w:sz w:val="21"/>
          <w:szCs w:val="21"/>
        </w:rPr>
        <w:t>de</w:t>
      </w:r>
      <w:r w:rsidRPr="007C2763">
        <w:rPr>
          <w:rFonts w:ascii="Abadi" w:hAnsi="Abadi"/>
          <w:b w:val="0"/>
          <w:bCs w:val="0"/>
          <w:spacing w:val="48"/>
          <w:sz w:val="21"/>
          <w:szCs w:val="21"/>
        </w:rPr>
        <w:t xml:space="preserve"> </w:t>
      </w:r>
      <w:r w:rsidRPr="007C2763">
        <w:rPr>
          <w:rFonts w:ascii="Abadi" w:hAnsi="Abadi"/>
          <w:b w:val="0"/>
          <w:bCs w:val="0"/>
          <w:sz w:val="21"/>
          <w:szCs w:val="21"/>
        </w:rPr>
        <w:t>la</w:t>
      </w:r>
      <w:r w:rsidRPr="007C2763">
        <w:rPr>
          <w:rFonts w:ascii="Abadi" w:hAnsi="Abadi"/>
          <w:b w:val="0"/>
          <w:bCs w:val="0"/>
          <w:spacing w:val="49"/>
          <w:sz w:val="21"/>
          <w:szCs w:val="21"/>
        </w:rPr>
        <w:t xml:space="preserve"> </w:t>
      </w:r>
      <w:r w:rsidRPr="007C2763">
        <w:rPr>
          <w:rFonts w:ascii="Abadi" w:hAnsi="Abadi"/>
          <w:b w:val="0"/>
          <w:bCs w:val="0"/>
          <w:sz w:val="21"/>
          <w:szCs w:val="21"/>
        </w:rPr>
        <w:t>Sexagésima Quinta</w:t>
      </w:r>
      <w:r w:rsidRPr="007C2763">
        <w:rPr>
          <w:rFonts w:ascii="Abadi" w:hAnsi="Abadi"/>
          <w:b w:val="0"/>
          <w:bCs w:val="0"/>
          <w:spacing w:val="8"/>
          <w:sz w:val="21"/>
          <w:szCs w:val="21"/>
        </w:rPr>
        <w:t xml:space="preserve"> </w:t>
      </w:r>
      <w:r w:rsidRPr="007C2763">
        <w:rPr>
          <w:rFonts w:ascii="Abadi" w:hAnsi="Abadi"/>
          <w:b w:val="0"/>
          <w:bCs w:val="0"/>
          <w:sz w:val="21"/>
          <w:szCs w:val="21"/>
        </w:rPr>
        <w:t>Legislatura</w:t>
      </w:r>
      <w:r w:rsidRPr="007C2763">
        <w:rPr>
          <w:rFonts w:ascii="Abadi" w:hAnsi="Abadi"/>
          <w:b w:val="0"/>
          <w:bCs w:val="0"/>
          <w:spacing w:val="8"/>
          <w:sz w:val="21"/>
          <w:szCs w:val="21"/>
        </w:rPr>
        <w:t xml:space="preserve"> </w:t>
      </w:r>
      <w:r w:rsidRPr="007C2763">
        <w:rPr>
          <w:rFonts w:ascii="Abadi" w:hAnsi="Abadi"/>
          <w:b w:val="0"/>
          <w:bCs w:val="0"/>
          <w:sz w:val="21"/>
          <w:szCs w:val="21"/>
        </w:rPr>
        <w:t>por</w:t>
      </w:r>
      <w:r w:rsidRPr="007C2763">
        <w:rPr>
          <w:rFonts w:ascii="Abadi" w:hAnsi="Abadi"/>
          <w:b w:val="0"/>
          <w:bCs w:val="0"/>
          <w:spacing w:val="6"/>
          <w:sz w:val="21"/>
          <w:szCs w:val="21"/>
        </w:rPr>
        <w:t xml:space="preserve"> </w:t>
      </w:r>
      <w:r w:rsidRPr="007C2763">
        <w:rPr>
          <w:rFonts w:ascii="Abadi" w:hAnsi="Abadi"/>
          <w:b w:val="0"/>
          <w:bCs w:val="0"/>
          <w:sz w:val="21"/>
          <w:szCs w:val="21"/>
        </w:rPr>
        <w:t>lo</w:t>
      </w:r>
      <w:r w:rsidRPr="007C2763">
        <w:rPr>
          <w:rFonts w:ascii="Abadi" w:hAnsi="Abadi"/>
          <w:b w:val="0"/>
          <w:bCs w:val="0"/>
          <w:spacing w:val="11"/>
          <w:sz w:val="21"/>
          <w:szCs w:val="21"/>
        </w:rPr>
        <w:t xml:space="preserve"> </w:t>
      </w:r>
      <w:r w:rsidRPr="007C2763">
        <w:rPr>
          <w:rFonts w:ascii="Abadi" w:hAnsi="Abadi"/>
          <w:b w:val="0"/>
          <w:bCs w:val="0"/>
          <w:sz w:val="21"/>
          <w:szCs w:val="21"/>
        </w:rPr>
        <w:t>expuesto</w:t>
      </w:r>
      <w:r w:rsidRPr="007C2763">
        <w:rPr>
          <w:rFonts w:ascii="Abadi" w:hAnsi="Abadi"/>
          <w:b w:val="0"/>
          <w:bCs w:val="0"/>
          <w:spacing w:val="11"/>
          <w:sz w:val="21"/>
          <w:szCs w:val="21"/>
        </w:rPr>
        <w:t xml:space="preserve"> </w:t>
      </w:r>
      <w:r w:rsidRPr="007C2763">
        <w:rPr>
          <w:rFonts w:ascii="Abadi" w:hAnsi="Abadi"/>
          <w:b w:val="0"/>
          <w:bCs w:val="0"/>
          <w:sz w:val="21"/>
          <w:szCs w:val="21"/>
        </w:rPr>
        <w:t>y</w:t>
      </w:r>
      <w:r w:rsidRPr="007C2763">
        <w:rPr>
          <w:rFonts w:ascii="Abadi" w:hAnsi="Abadi"/>
          <w:b w:val="0"/>
          <w:bCs w:val="0"/>
          <w:spacing w:val="7"/>
          <w:sz w:val="21"/>
          <w:szCs w:val="21"/>
        </w:rPr>
        <w:t xml:space="preserve"> </w:t>
      </w:r>
      <w:r w:rsidRPr="007C2763">
        <w:rPr>
          <w:rFonts w:ascii="Abadi" w:hAnsi="Abadi"/>
          <w:b w:val="0"/>
          <w:bCs w:val="0"/>
          <w:sz w:val="21"/>
          <w:szCs w:val="21"/>
        </w:rPr>
        <w:t>fundado,</w:t>
      </w:r>
      <w:r w:rsidRPr="007C2763">
        <w:rPr>
          <w:rFonts w:ascii="Abadi" w:hAnsi="Abadi"/>
          <w:b w:val="0"/>
          <w:bCs w:val="0"/>
          <w:spacing w:val="10"/>
          <w:sz w:val="21"/>
          <w:szCs w:val="21"/>
        </w:rPr>
        <w:t xml:space="preserve"> </w:t>
      </w:r>
      <w:r w:rsidRPr="007C2763">
        <w:rPr>
          <w:rFonts w:ascii="Abadi" w:hAnsi="Abadi"/>
          <w:b w:val="0"/>
          <w:bCs w:val="0"/>
          <w:sz w:val="21"/>
          <w:szCs w:val="21"/>
        </w:rPr>
        <w:t>respetuosamente</w:t>
      </w:r>
      <w:r w:rsidRPr="007C2763">
        <w:rPr>
          <w:rFonts w:ascii="Abadi" w:hAnsi="Abadi"/>
          <w:b w:val="0"/>
          <w:bCs w:val="0"/>
          <w:spacing w:val="11"/>
          <w:sz w:val="21"/>
          <w:szCs w:val="21"/>
        </w:rPr>
        <w:t xml:space="preserve"> </w:t>
      </w:r>
      <w:r w:rsidRPr="007C2763">
        <w:rPr>
          <w:rFonts w:ascii="Abadi" w:hAnsi="Abadi"/>
          <w:b w:val="0"/>
          <w:bCs w:val="0"/>
          <w:sz w:val="21"/>
          <w:szCs w:val="21"/>
        </w:rPr>
        <w:t>solicitamos</w:t>
      </w:r>
      <w:r w:rsidRPr="007C2763">
        <w:rPr>
          <w:rFonts w:ascii="Abadi" w:hAnsi="Abadi"/>
          <w:b w:val="0"/>
          <w:bCs w:val="0"/>
          <w:spacing w:val="8"/>
          <w:sz w:val="21"/>
          <w:szCs w:val="21"/>
        </w:rPr>
        <w:t xml:space="preserve"> </w:t>
      </w:r>
      <w:r w:rsidRPr="007C2763">
        <w:rPr>
          <w:rFonts w:ascii="Abadi" w:hAnsi="Abadi"/>
          <w:b w:val="0"/>
          <w:bCs w:val="0"/>
          <w:sz w:val="21"/>
          <w:szCs w:val="21"/>
        </w:rPr>
        <w:t>a</w:t>
      </w:r>
      <w:r w:rsidRPr="007C2763">
        <w:rPr>
          <w:rFonts w:ascii="Abadi" w:hAnsi="Abadi"/>
          <w:b w:val="0"/>
          <w:bCs w:val="0"/>
          <w:spacing w:val="11"/>
          <w:sz w:val="21"/>
          <w:szCs w:val="21"/>
        </w:rPr>
        <w:t xml:space="preserve"> </w:t>
      </w:r>
      <w:r w:rsidRPr="007C2763">
        <w:rPr>
          <w:rFonts w:ascii="Abadi" w:hAnsi="Abadi"/>
          <w:b w:val="0"/>
          <w:bCs w:val="0"/>
          <w:sz w:val="21"/>
          <w:szCs w:val="21"/>
        </w:rPr>
        <w:t>esta</w:t>
      </w:r>
    </w:p>
    <w:p w14:paraId="5C9CCAA6" w14:textId="77777777" w:rsidR="00374A1E" w:rsidRPr="007C2763" w:rsidRDefault="00374A1E" w:rsidP="00374A1E">
      <w:pPr>
        <w:pStyle w:val="Textoindependiente"/>
        <w:kinsoku w:val="0"/>
        <w:overflowPunct w:val="0"/>
        <w:rPr>
          <w:rFonts w:ascii="Abadi" w:hAnsi="Abadi"/>
          <w:b w:val="0"/>
          <w:bCs w:val="0"/>
          <w:sz w:val="21"/>
          <w:szCs w:val="21"/>
        </w:rPr>
      </w:pPr>
      <w:r w:rsidRPr="007C2763">
        <w:rPr>
          <w:rFonts w:ascii="Abadi" w:hAnsi="Abadi"/>
          <w:b w:val="0"/>
          <w:bCs w:val="0"/>
          <w:sz w:val="21"/>
          <w:szCs w:val="21"/>
        </w:rPr>
        <w:t>Asamblea</w:t>
      </w:r>
      <w:r w:rsidRPr="007C2763">
        <w:rPr>
          <w:rFonts w:ascii="Abadi" w:hAnsi="Abadi"/>
          <w:b w:val="0"/>
          <w:bCs w:val="0"/>
          <w:spacing w:val="-1"/>
          <w:sz w:val="21"/>
          <w:szCs w:val="21"/>
        </w:rPr>
        <w:t xml:space="preserve"> </w:t>
      </w:r>
      <w:r w:rsidRPr="007C2763">
        <w:rPr>
          <w:rFonts w:ascii="Abadi" w:hAnsi="Abadi"/>
          <w:b w:val="0"/>
          <w:bCs w:val="0"/>
          <w:sz w:val="21"/>
          <w:szCs w:val="21"/>
        </w:rPr>
        <w:t>se</w:t>
      </w:r>
      <w:r w:rsidRPr="007C2763">
        <w:rPr>
          <w:rFonts w:ascii="Abadi" w:hAnsi="Abadi"/>
          <w:b w:val="0"/>
          <w:bCs w:val="0"/>
          <w:spacing w:val="1"/>
          <w:sz w:val="21"/>
          <w:szCs w:val="21"/>
        </w:rPr>
        <w:t xml:space="preserve"> </w:t>
      </w:r>
      <w:r w:rsidRPr="007C2763">
        <w:rPr>
          <w:rFonts w:ascii="Abadi" w:hAnsi="Abadi"/>
          <w:b w:val="0"/>
          <w:bCs w:val="0"/>
          <w:sz w:val="21"/>
          <w:szCs w:val="21"/>
        </w:rPr>
        <w:t>apruebe</w:t>
      </w:r>
      <w:r w:rsidRPr="007C2763">
        <w:rPr>
          <w:rFonts w:ascii="Abadi" w:hAnsi="Abadi"/>
          <w:b w:val="0"/>
          <w:bCs w:val="0"/>
          <w:spacing w:val="-1"/>
          <w:sz w:val="21"/>
          <w:szCs w:val="21"/>
        </w:rPr>
        <w:t xml:space="preserve"> </w:t>
      </w:r>
      <w:r w:rsidRPr="007C2763">
        <w:rPr>
          <w:rFonts w:ascii="Abadi" w:hAnsi="Abadi"/>
          <w:b w:val="0"/>
          <w:bCs w:val="0"/>
          <w:sz w:val="21"/>
          <w:szCs w:val="21"/>
        </w:rPr>
        <w:t>el siguiente:</w:t>
      </w:r>
    </w:p>
    <w:p w14:paraId="16D4BA99" w14:textId="77777777" w:rsidR="00CA5486" w:rsidRDefault="00CA5486" w:rsidP="00287DD8">
      <w:pPr>
        <w:pStyle w:val="Textoindependiente"/>
        <w:kinsoku w:val="0"/>
        <w:overflowPunct w:val="0"/>
        <w:spacing w:line="268" w:lineRule="exact"/>
        <w:ind w:left="2517" w:right="419" w:hanging="1303"/>
        <w:jc w:val="left"/>
        <w:rPr>
          <w:rFonts w:ascii="Abadi" w:hAnsi="Abadi"/>
          <w:sz w:val="21"/>
          <w:szCs w:val="21"/>
        </w:rPr>
      </w:pPr>
    </w:p>
    <w:p w14:paraId="0617213E" w14:textId="5DAED2AA" w:rsidR="00374A1E" w:rsidRPr="007C2763" w:rsidRDefault="00374A1E" w:rsidP="00287DD8">
      <w:pPr>
        <w:pStyle w:val="Textoindependiente"/>
        <w:kinsoku w:val="0"/>
        <w:overflowPunct w:val="0"/>
        <w:spacing w:line="268" w:lineRule="exact"/>
        <w:ind w:left="2517" w:right="419" w:hanging="1303"/>
        <w:jc w:val="left"/>
        <w:rPr>
          <w:rFonts w:ascii="Abadi" w:hAnsi="Abadi"/>
          <w:sz w:val="21"/>
          <w:szCs w:val="21"/>
        </w:rPr>
      </w:pPr>
      <w:r w:rsidRPr="007C2763">
        <w:rPr>
          <w:rFonts w:ascii="Abadi" w:hAnsi="Abadi"/>
          <w:sz w:val="21"/>
          <w:szCs w:val="21"/>
        </w:rPr>
        <w:t>ACUERDO</w:t>
      </w:r>
    </w:p>
    <w:p w14:paraId="40630052" w14:textId="77777777" w:rsidR="00374A1E" w:rsidRPr="007C2763" w:rsidRDefault="00374A1E" w:rsidP="00374A1E">
      <w:pPr>
        <w:pStyle w:val="Textoindependiente"/>
        <w:kinsoku w:val="0"/>
        <w:overflowPunct w:val="0"/>
        <w:spacing w:line="268" w:lineRule="exact"/>
        <w:ind w:left="398" w:right="419"/>
        <w:rPr>
          <w:rFonts w:ascii="Abadi" w:hAnsi="Abadi"/>
          <w:b w:val="0"/>
          <w:bCs w:val="0"/>
          <w:sz w:val="21"/>
          <w:szCs w:val="21"/>
        </w:rPr>
      </w:pPr>
    </w:p>
    <w:p w14:paraId="3110177E" w14:textId="77777777" w:rsidR="00374A1E" w:rsidRPr="007C2763" w:rsidRDefault="00374A1E" w:rsidP="00374A1E">
      <w:pPr>
        <w:pStyle w:val="Textoindependiente"/>
        <w:kinsoku w:val="0"/>
        <w:overflowPunct w:val="0"/>
        <w:spacing w:before="68"/>
        <w:ind w:left="40" w:right="116" w:firstLine="708"/>
        <w:rPr>
          <w:rFonts w:ascii="Abadi" w:hAnsi="Abadi"/>
          <w:b w:val="0"/>
          <w:bCs w:val="0"/>
          <w:sz w:val="21"/>
          <w:szCs w:val="21"/>
        </w:rPr>
      </w:pPr>
      <w:r w:rsidRPr="007C2763">
        <w:rPr>
          <w:rFonts w:ascii="Abadi" w:hAnsi="Abadi"/>
          <w:sz w:val="21"/>
          <w:szCs w:val="21"/>
        </w:rPr>
        <w:t>Artículo</w:t>
      </w:r>
      <w:r w:rsidRPr="007C2763">
        <w:rPr>
          <w:rFonts w:ascii="Abadi" w:hAnsi="Abadi"/>
          <w:spacing w:val="9"/>
          <w:sz w:val="21"/>
          <w:szCs w:val="21"/>
        </w:rPr>
        <w:t xml:space="preserve"> </w:t>
      </w:r>
      <w:r w:rsidRPr="007C2763">
        <w:rPr>
          <w:rFonts w:ascii="Abadi" w:hAnsi="Abadi"/>
          <w:sz w:val="21"/>
          <w:szCs w:val="21"/>
        </w:rPr>
        <w:t>Único.</w:t>
      </w:r>
      <w:r w:rsidRPr="007C2763">
        <w:rPr>
          <w:rFonts w:ascii="Abadi" w:hAnsi="Abadi"/>
          <w:b w:val="0"/>
          <w:bCs w:val="0"/>
          <w:spacing w:val="7"/>
          <w:sz w:val="21"/>
          <w:szCs w:val="21"/>
        </w:rPr>
        <w:t xml:space="preserve"> </w:t>
      </w:r>
      <w:r w:rsidRPr="007C2763">
        <w:rPr>
          <w:rFonts w:ascii="Abadi" w:hAnsi="Abadi"/>
          <w:b w:val="0"/>
          <w:bCs w:val="0"/>
          <w:sz w:val="21"/>
          <w:szCs w:val="21"/>
        </w:rPr>
        <w:t>Se</w:t>
      </w:r>
      <w:r w:rsidRPr="007C2763">
        <w:rPr>
          <w:rFonts w:ascii="Abadi" w:hAnsi="Abadi"/>
          <w:b w:val="0"/>
          <w:bCs w:val="0"/>
          <w:spacing w:val="8"/>
          <w:sz w:val="21"/>
          <w:szCs w:val="21"/>
        </w:rPr>
        <w:t xml:space="preserve"> </w:t>
      </w:r>
      <w:r w:rsidRPr="007C2763">
        <w:rPr>
          <w:rFonts w:ascii="Abadi" w:hAnsi="Abadi"/>
          <w:b w:val="0"/>
          <w:bCs w:val="0"/>
          <w:sz w:val="21"/>
          <w:szCs w:val="21"/>
        </w:rPr>
        <w:t>ordena</w:t>
      </w:r>
      <w:r w:rsidRPr="007C2763">
        <w:rPr>
          <w:rFonts w:ascii="Abadi" w:hAnsi="Abadi"/>
          <w:b w:val="0"/>
          <w:bCs w:val="0"/>
          <w:spacing w:val="11"/>
          <w:sz w:val="21"/>
          <w:szCs w:val="21"/>
        </w:rPr>
        <w:t xml:space="preserve"> </w:t>
      </w:r>
      <w:r w:rsidRPr="007C2763">
        <w:rPr>
          <w:rFonts w:ascii="Abadi" w:hAnsi="Abadi"/>
          <w:b w:val="0"/>
          <w:bCs w:val="0"/>
          <w:sz w:val="21"/>
          <w:szCs w:val="21"/>
        </w:rPr>
        <w:t>el</w:t>
      </w:r>
      <w:r w:rsidRPr="007C2763">
        <w:rPr>
          <w:rFonts w:ascii="Abadi" w:hAnsi="Abadi"/>
          <w:b w:val="0"/>
          <w:bCs w:val="0"/>
          <w:spacing w:val="7"/>
          <w:sz w:val="21"/>
          <w:szCs w:val="21"/>
        </w:rPr>
        <w:t xml:space="preserve"> </w:t>
      </w:r>
      <w:r w:rsidRPr="007C2763">
        <w:rPr>
          <w:rFonts w:ascii="Abadi" w:hAnsi="Abadi"/>
          <w:b w:val="0"/>
          <w:bCs w:val="0"/>
          <w:sz w:val="21"/>
          <w:szCs w:val="21"/>
        </w:rPr>
        <w:t>archivo</w:t>
      </w:r>
      <w:r w:rsidRPr="007C2763">
        <w:rPr>
          <w:rFonts w:ascii="Abadi" w:hAnsi="Abadi"/>
          <w:b w:val="0"/>
          <w:bCs w:val="0"/>
          <w:spacing w:val="8"/>
          <w:sz w:val="21"/>
          <w:szCs w:val="21"/>
        </w:rPr>
        <w:t xml:space="preserve"> </w:t>
      </w:r>
      <w:r w:rsidRPr="007C2763">
        <w:rPr>
          <w:rFonts w:ascii="Abadi" w:hAnsi="Abadi"/>
          <w:b w:val="0"/>
          <w:bCs w:val="0"/>
          <w:sz w:val="21"/>
          <w:szCs w:val="21"/>
        </w:rPr>
        <w:t>definitivo</w:t>
      </w:r>
      <w:r w:rsidRPr="007C2763">
        <w:rPr>
          <w:rFonts w:ascii="Abadi" w:hAnsi="Abadi"/>
          <w:b w:val="0"/>
          <w:bCs w:val="0"/>
          <w:spacing w:val="11"/>
          <w:sz w:val="21"/>
          <w:szCs w:val="21"/>
        </w:rPr>
        <w:t xml:space="preserve"> </w:t>
      </w:r>
      <w:r w:rsidRPr="007C2763">
        <w:rPr>
          <w:rFonts w:ascii="Abadi" w:hAnsi="Abadi"/>
          <w:b w:val="0"/>
          <w:bCs w:val="0"/>
          <w:sz w:val="21"/>
          <w:szCs w:val="21"/>
        </w:rPr>
        <w:t>de</w:t>
      </w:r>
      <w:r w:rsidRPr="007C2763">
        <w:rPr>
          <w:rFonts w:ascii="Abadi" w:hAnsi="Abadi"/>
          <w:b w:val="0"/>
          <w:bCs w:val="0"/>
          <w:spacing w:val="11"/>
          <w:sz w:val="21"/>
          <w:szCs w:val="21"/>
        </w:rPr>
        <w:t xml:space="preserve"> </w:t>
      </w:r>
      <w:r w:rsidRPr="007C2763">
        <w:rPr>
          <w:rFonts w:ascii="Abadi" w:hAnsi="Abadi"/>
          <w:b w:val="0"/>
          <w:bCs w:val="0"/>
          <w:sz w:val="21"/>
          <w:szCs w:val="21"/>
        </w:rPr>
        <w:t>la</w:t>
      </w:r>
      <w:r w:rsidRPr="007C2763">
        <w:rPr>
          <w:rFonts w:ascii="Abadi" w:hAnsi="Abadi"/>
          <w:b w:val="0"/>
          <w:bCs w:val="0"/>
          <w:spacing w:val="8"/>
          <w:sz w:val="21"/>
          <w:szCs w:val="21"/>
        </w:rPr>
        <w:t xml:space="preserve"> </w:t>
      </w:r>
      <w:r w:rsidRPr="007C2763">
        <w:rPr>
          <w:rFonts w:ascii="Abadi" w:hAnsi="Abadi"/>
          <w:b w:val="0"/>
          <w:bCs w:val="0"/>
          <w:sz w:val="21"/>
          <w:szCs w:val="21"/>
        </w:rPr>
        <w:t>iniciativa</w:t>
      </w:r>
      <w:r w:rsidRPr="007C2763">
        <w:rPr>
          <w:rFonts w:ascii="Abadi" w:hAnsi="Abadi"/>
          <w:b w:val="0"/>
          <w:bCs w:val="0"/>
          <w:spacing w:val="8"/>
          <w:sz w:val="21"/>
          <w:szCs w:val="21"/>
        </w:rPr>
        <w:t xml:space="preserve"> </w:t>
      </w:r>
      <w:r w:rsidRPr="007C2763">
        <w:rPr>
          <w:rFonts w:ascii="Abadi" w:hAnsi="Abadi"/>
          <w:b w:val="0"/>
          <w:bCs w:val="0"/>
          <w:sz w:val="21"/>
          <w:szCs w:val="21"/>
        </w:rPr>
        <w:t>por</w:t>
      </w:r>
      <w:r w:rsidRPr="007C2763">
        <w:rPr>
          <w:rFonts w:ascii="Abadi" w:hAnsi="Abadi"/>
          <w:b w:val="0"/>
          <w:bCs w:val="0"/>
          <w:spacing w:val="9"/>
          <w:sz w:val="21"/>
          <w:szCs w:val="21"/>
        </w:rPr>
        <w:t xml:space="preserve"> </w:t>
      </w:r>
      <w:r w:rsidRPr="007C2763">
        <w:rPr>
          <w:rFonts w:ascii="Abadi" w:hAnsi="Abadi"/>
          <w:b w:val="0"/>
          <w:bCs w:val="0"/>
          <w:sz w:val="21"/>
          <w:szCs w:val="21"/>
        </w:rPr>
        <w:t>la</w:t>
      </w:r>
      <w:r w:rsidRPr="007C2763">
        <w:rPr>
          <w:rFonts w:ascii="Abadi" w:hAnsi="Abadi"/>
          <w:b w:val="0"/>
          <w:bCs w:val="0"/>
          <w:spacing w:val="11"/>
          <w:sz w:val="21"/>
          <w:szCs w:val="21"/>
        </w:rPr>
        <w:t xml:space="preserve"> </w:t>
      </w:r>
      <w:r w:rsidRPr="007C2763">
        <w:rPr>
          <w:rFonts w:ascii="Abadi" w:hAnsi="Abadi"/>
          <w:b w:val="0"/>
          <w:bCs w:val="0"/>
          <w:sz w:val="21"/>
          <w:szCs w:val="21"/>
        </w:rPr>
        <w:t>que</w:t>
      </w:r>
      <w:r w:rsidRPr="007C2763">
        <w:rPr>
          <w:rFonts w:ascii="Abadi" w:hAnsi="Abadi"/>
          <w:b w:val="0"/>
          <w:bCs w:val="0"/>
          <w:spacing w:val="8"/>
          <w:sz w:val="21"/>
          <w:szCs w:val="21"/>
        </w:rPr>
        <w:t xml:space="preserve"> </w:t>
      </w:r>
      <w:r w:rsidRPr="007C2763">
        <w:rPr>
          <w:rFonts w:ascii="Abadi" w:hAnsi="Abadi"/>
          <w:b w:val="0"/>
          <w:bCs w:val="0"/>
          <w:sz w:val="21"/>
          <w:szCs w:val="21"/>
        </w:rPr>
        <w:t>se reforma</w:t>
      </w:r>
      <w:r w:rsidRPr="007C2763">
        <w:rPr>
          <w:rFonts w:ascii="Abadi" w:hAnsi="Abadi"/>
          <w:b w:val="0"/>
          <w:bCs w:val="0"/>
          <w:spacing w:val="11"/>
          <w:sz w:val="21"/>
          <w:szCs w:val="21"/>
        </w:rPr>
        <w:t xml:space="preserve"> </w:t>
      </w:r>
      <w:r w:rsidRPr="007C2763">
        <w:rPr>
          <w:rFonts w:ascii="Abadi" w:hAnsi="Abadi"/>
          <w:b w:val="0"/>
          <w:bCs w:val="0"/>
          <w:sz w:val="21"/>
          <w:szCs w:val="21"/>
        </w:rPr>
        <w:t>el</w:t>
      </w:r>
      <w:r w:rsidRPr="007C2763">
        <w:rPr>
          <w:rFonts w:ascii="Abadi" w:hAnsi="Abadi"/>
          <w:b w:val="0"/>
          <w:bCs w:val="0"/>
          <w:spacing w:val="9"/>
          <w:sz w:val="21"/>
          <w:szCs w:val="21"/>
        </w:rPr>
        <w:t xml:space="preserve"> </w:t>
      </w:r>
      <w:r w:rsidRPr="007C2763">
        <w:rPr>
          <w:rFonts w:ascii="Abadi" w:hAnsi="Abadi"/>
          <w:b w:val="0"/>
          <w:bCs w:val="0"/>
          <w:sz w:val="21"/>
          <w:szCs w:val="21"/>
        </w:rPr>
        <w:t>artículo</w:t>
      </w:r>
      <w:r w:rsidRPr="007C2763">
        <w:rPr>
          <w:rFonts w:ascii="Abadi" w:hAnsi="Abadi"/>
          <w:b w:val="0"/>
          <w:bCs w:val="0"/>
          <w:spacing w:val="11"/>
          <w:sz w:val="21"/>
          <w:szCs w:val="21"/>
        </w:rPr>
        <w:t xml:space="preserve"> </w:t>
      </w:r>
      <w:r w:rsidRPr="007C2763">
        <w:rPr>
          <w:rFonts w:ascii="Abadi" w:hAnsi="Abadi"/>
          <w:b w:val="0"/>
          <w:bCs w:val="0"/>
          <w:sz w:val="21"/>
          <w:szCs w:val="21"/>
        </w:rPr>
        <w:t>19</w:t>
      </w:r>
      <w:r w:rsidRPr="007C2763">
        <w:rPr>
          <w:rFonts w:ascii="Abadi" w:hAnsi="Abadi"/>
          <w:b w:val="0"/>
          <w:bCs w:val="0"/>
          <w:spacing w:val="8"/>
          <w:sz w:val="21"/>
          <w:szCs w:val="21"/>
        </w:rPr>
        <w:t xml:space="preserve"> </w:t>
      </w:r>
      <w:r w:rsidRPr="007C2763">
        <w:rPr>
          <w:rFonts w:ascii="Abadi" w:hAnsi="Abadi"/>
          <w:b w:val="0"/>
          <w:bCs w:val="0"/>
          <w:sz w:val="21"/>
          <w:szCs w:val="21"/>
        </w:rPr>
        <w:t>de</w:t>
      </w:r>
      <w:r w:rsidRPr="007C2763">
        <w:rPr>
          <w:rFonts w:ascii="Abadi" w:hAnsi="Abadi"/>
          <w:b w:val="0"/>
          <w:bCs w:val="0"/>
          <w:spacing w:val="13"/>
          <w:sz w:val="21"/>
          <w:szCs w:val="21"/>
        </w:rPr>
        <w:t xml:space="preserve"> </w:t>
      </w:r>
      <w:r w:rsidRPr="007C2763">
        <w:rPr>
          <w:rFonts w:ascii="Abadi" w:hAnsi="Abadi"/>
          <w:b w:val="0"/>
          <w:bCs w:val="0"/>
          <w:sz w:val="21"/>
          <w:szCs w:val="21"/>
        </w:rPr>
        <w:t>la</w:t>
      </w:r>
      <w:r w:rsidRPr="007C2763">
        <w:rPr>
          <w:rFonts w:ascii="Abadi" w:hAnsi="Abadi"/>
          <w:b w:val="0"/>
          <w:bCs w:val="0"/>
          <w:spacing w:val="11"/>
          <w:sz w:val="21"/>
          <w:szCs w:val="21"/>
        </w:rPr>
        <w:t xml:space="preserve"> </w:t>
      </w:r>
      <w:r w:rsidRPr="007C2763">
        <w:rPr>
          <w:rFonts w:ascii="Abadi" w:hAnsi="Abadi"/>
          <w:b w:val="0"/>
          <w:bCs w:val="0"/>
          <w:sz w:val="21"/>
          <w:szCs w:val="21"/>
        </w:rPr>
        <w:t>Ley</w:t>
      </w:r>
      <w:r w:rsidRPr="007C2763">
        <w:rPr>
          <w:rFonts w:ascii="Abadi" w:hAnsi="Abadi"/>
          <w:b w:val="0"/>
          <w:bCs w:val="0"/>
          <w:spacing w:val="10"/>
          <w:sz w:val="21"/>
          <w:szCs w:val="21"/>
        </w:rPr>
        <w:t xml:space="preserve"> </w:t>
      </w:r>
      <w:r w:rsidRPr="007C2763">
        <w:rPr>
          <w:rFonts w:ascii="Abadi" w:hAnsi="Abadi"/>
          <w:b w:val="0"/>
          <w:bCs w:val="0"/>
          <w:sz w:val="21"/>
          <w:szCs w:val="21"/>
        </w:rPr>
        <w:t>Orgánica</w:t>
      </w:r>
      <w:r w:rsidRPr="007C2763">
        <w:rPr>
          <w:rFonts w:ascii="Abadi" w:hAnsi="Abadi"/>
          <w:b w:val="0"/>
          <w:bCs w:val="0"/>
          <w:spacing w:val="13"/>
          <w:sz w:val="21"/>
          <w:szCs w:val="21"/>
        </w:rPr>
        <w:t xml:space="preserve"> </w:t>
      </w:r>
      <w:r w:rsidRPr="007C2763">
        <w:rPr>
          <w:rFonts w:ascii="Abadi" w:hAnsi="Abadi"/>
          <w:b w:val="0"/>
          <w:bCs w:val="0"/>
          <w:sz w:val="21"/>
          <w:szCs w:val="21"/>
        </w:rPr>
        <w:t>Municipal</w:t>
      </w:r>
      <w:r w:rsidRPr="007C2763">
        <w:rPr>
          <w:rFonts w:ascii="Abadi" w:hAnsi="Abadi"/>
          <w:b w:val="0"/>
          <w:bCs w:val="0"/>
          <w:spacing w:val="9"/>
          <w:sz w:val="21"/>
          <w:szCs w:val="21"/>
        </w:rPr>
        <w:t xml:space="preserve"> </w:t>
      </w:r>
      <w:r w:rsidRPr="007C2763">
        <w:rPr>
          <w:rFonts w:ascii="Abadi" w:hAnsi="Abadi"/>
          <w:b w:val="0"/>
          <w:bCs w:val="0"/>
          <w:sz w:val="21"/>
          <w:szCs w:val="21"/>
        </w:rPr>
        <w:t>para</w:t>
      </w:r>
      <w:r w:rsidRPr="007C2763">
        <w:rPr>
          <w:rFonts w:ascii="Abadi" w:hAnsi="Abadi"/>
          <w:b w:val="0"/>
          <w:bCs w:val="0"/>
          <w:spacing w:val="11"/>
          <w:sz w:val="21"/>
          <w:szCs w:val="21"/>
        </w:rPr>
        <w:t xml:space="preserve"> </w:t>
      </w:r>
      <w:r w:rsidRPr="007C2763">
        <w:rPr>
          <w:rFonts w:ascii="Abadi" w:hAnsi="Abadi"/>
          <w:b w:val="0"/>
          <w:bCs w:val="0"/>
          <w:sz w:val="21"/>
          <w:szCs w:val="21"/>
        </w:rPr>
        <w:t>el</w:t>
      </w:r>
      <w:r w:rsidRPr="007C2763">
        <w:rPr>
          <w:rFonts w:ascii="Abadi" w:hAnsi="Abadi"/>
          <w:b w:val="0"/>
          <w:bCs w:val="0"/>
          <w:spacing w:val="12"/>
          <w:sz w:val="21"/>
          <w:szCs w:val="21"/>
        </w:rPr>
        <w:t xml:space="preserve"> </w:t>
      </w:r>
      <w:r w:rsidRPr="007C2763">
        <w:rPr>
          <w:rFonts w:ascii="Abadi" w:hAnsi="Abadi"/>
          <w:b w:val="0"/>
          <w:bCs w:val="0"/>
          <w:sz w:val="21"/>
          <w:szCs w:val="21"/>
        </w:rPr>
        <w:t>Estado</w:t>
      </w:r>
      <w:r w:rsidRPr="007C2763">
        <w:rPr>
          <w:rFonts w:ascii="Abadi" w:hAnsi="Abadi"/>
          <w:b w:val="0"/>
          <w:bCs w:val="0"/>
          <w:spacing w:val="13"/>
          <w:sz w:val="21"/>
          <w:szCs w:val="21"/>
        </w:rPr>
        <w:t xml:space="preserve"> </w:t>
      </w:r>
      <w:r w:rsidRPr="007C2763">
        <w:rPr>
          <w:rFonts w:ascii="Abadi" w:hAnsi="Abadi"/>
          <w:b w:val="0"/>
          <w:bCs w:val="0"/>
          <w:sz w:val="21"/>
          <w:szCs w:val="21"/>
        </w:rPr>
        <w:t>de</w:t>
      </w:r>
      <w:r w:rsidRPr="007C2763">
        <w:rPr>
          <w:rFonts w:ascii="Abadi" w:hAnsi="Abadi"/>
          <w:b w:val="0"/>
          <w:bCs w:val="0"/>
          <w:spacing w:val="11"/>
          <w:sz w:val="21"/>
          <w:szCs w:val="21"/>
        </w:rPr>
        <w:t xml:space="preserve"> </w:t>
      </w:r>
      <w:r w:rsidRPr="007C2763">
        <w:rPr>
          <w:rFonts w:ascii="Abadi" w:hAnsi="Abadi"/>
          <w:b w:val="0"/>
          <w:bCs w:val="0"/>
          <w:sz w:val="21"/>
          <w:szCs w:val="21"/>
        </w:rPr>
        <w:t>Guanajuato suscrita</w:t>
      </w:r>
      <w:r w:rsidRPr="007C2763">
        <w:rPr>
          <w:rFonts w:ascii="Abadi" w:hAnsi="Abadi"/>
          <w:b w:val="0"/>
          <w:bCs w:val="0"/>
          <w:spacing w:val="6"/>
          <w:sz w:val="21"/>
          <w:szCs w:val="21"/>
        </w:rPr>
        <w:t xml:space="preserve"> </w:t>
      </w:r>
      <w:r w:rsidRPr="007C2763">
        <w:rPr>
          <w:rFonts w:ascii="Abadi" w:hAnsi="Abadi"/>
          <w:b w:val="0"/>
          <w:bCs w:val="0"/>
          <w:sz w:val="21"/>
          <w:szCs w:val="21"/>
        </w:rPr>
        <w:t>por</w:t>
      </w:r>
      <w:r w:rsidRPr="007C2763">
        <w:rPr>
          <w:rFonts w:ascii="Abadi" w:hAnsi="Abadi"/>
          <w:b w:val="0"/>
          <w:bCs w:val="0"/>
          <w:spacing w:val="2"/>
          <w:sz w:val="21"/>
          <w:szCs w:val="21"/>
        </w:rPr>
        <w:t xml:space="preserve"> </w:t>
      </w:r>
      <w:r w:rsidRPr="007C2763">
        <w:rPr>
          <w:rFonts w:ascii="Abadi" w:hAnsi="Abadi"/>
          <w:b w:val="0"/>
          <w:bCs w:val="0"/>
          <w:sz w:val="21"/>
          <w:szCs w:val="21"/>
        </w:rPr>
        <w:t>diputadas</w:t>
      </w:r>
      <w:r w:rsidRPr="007C2763">
        <w:rPr>
          <w:rFonts w:ascii="Abadi" w:hAnsi="Abadi"/>
          <w:b w:val="0"/>
          <w:bCs w:val="0"/>
          <w:spacing w:val="2"/>
          <w:sz w:val="21"/>
          <w:szCs w:val="21"/>
        </w:rPr>
        <w:t xml:space="preserve"> </w:t>
      </w:r>
      <w:r w:rsidRPr="007C2763">
        <w:rPr>
          <w:rFonts w:ascii="Abadi" w:hAnsi="Abadi"/>
          <w:b w:val="0"/>
          <w:bCs w:val="0"/>
          <w:sz w:val="21"/>
          <w:szCs w:val="21"/>
        </w:rPr>
        <w:t>y</w:t>
      </w:r>
      <w:r w:rsidRPr="007C2763">
        <w:rPr>
          <w:rFonts w:ascii="Abadi" w:hAnsi="Abadi"/>
          <w:b w:val="0"/>
          <w:bCs w:val="0"/>
          <w:spacing w:val="5"/>
          <w:sz w:val="21"/>
          <w:szCs w:val="21"/>
        </w:rPr>
        <w:t xml:space="preserve"> </w:t>
      </w:r>
      <w:r w:rsidRPr="007C2763">
        <w:rPr>
          <w:rFonts w:ascii="Abadi" w:hAnsi="Abadi"/>
          <w:b w:val="0"/>
          <w:bCs w:val="0"/>
          <w:sz w:val="21"/>
          <w:szCs w:val="21"/>
        </w:rPr>
        <w:t>diputados</w:t>
      </w:r>
      <w:r w:rsidRPr="007C2763">
        <w:rPr>
          <w:rFonts w:ascii="Abadi" w:hAnsi="Abadi"/>
          <w:b w:val="0"/>
          <w:bCs w:val="0"/>
          <w:spacing w:val="5"/>
          <w:sz w:val="21"/>
          <w:szCs w:val="21"/>
        </w:rPr>
        <w:t xml:space="preserve"> </w:t>
      </w:r>
      <w:r w:rsidRPr="007C2763">
        <w:rPr>
          <w:rFonts w:ascii="Abadi" w:hAnsi="Abadi"/>
          <w:b w:val="0"/>
          <w:bCs w:val="0"/>
          <w:sz w:val="21"/>
          <w:szCs w:val="21"/>
        </w:rPr>
        <w:t>integrantes</w:t>
      </w:r>
      <w:r w:rsidRPr="007C2763">
        <w:rPr>
          <w:rFonts w:ascii="Abadi" w:hAnsi="Abadi"/>
          <w:b w:val="0"/>
          <w:bCs w:val="0"/>
          <w:spacing w:val="5"/>
          <w:sz w:val="21"/>
          <w:szCs w:val="21"/>
        </w:rPr>
        <w:t xml:space="preserve"> </w:t>
      </w:r>
      <w:r w:rsidRPr="007C2763">
        <w:rPr>
          <w:rFonts w:ascii="Abadi" w:hAnsi="Abadi"/>
          <w:b w:val="0"/>
          <w:bCs w:val="0"/>
          <w:sz w:val="21"/>
          <w:szCs w:val="21"/>
        </w:rPr>
        <w:t>del</w:t>
      </w:r>
      <w:r w:rsidRPr="007C2763">
        <w:rPr>
          <w:rFonts w:ascii="Abadi" w:hAnsi="Abadi"/>
          <w:b w:val="0"/>
          <w:bCs w:val="0"/>
          <w:spacing w:val="4"/>
          <w:sz w:val="21"/>
          <w:szCs w:val="21"/>
        </w:rPr>
        <w:t xml:space="preserve"> </w:t>
      </w:r>
      <w:r w:rsidRPr="007C2763">
        <w:rPr>
          <w:rFonts w:ascii="Abadi" w:hAnsi="Abadi"/>
          <w:b w:val="0"/>
          <w:bCs w:val="0"/>
          <w:sz w:val="21"/>
          <w:szCs w:val="21"/>
        </w:rPr>
        <w:t>Grupo</w:t>
      </w:r>
      <w:r w:rsidRPr="007C2763">
        <w:rPr>
          <w:rFonts w:ascii="Abadi" w:hAnsi="Abadi"/>
          <w:b w:val="0"/>
          <w:bCs w:val="0"/>
          <w:spacing w:val="3"/>
          <w:sz w:val="21"/>
          <w:szCs w:val="21"/>
        </w:rPr>
        <w:t xml:space="preserve"> </w:t>
      </w:r>
      <w:r w:rsidRPr="007C2763">
        <w:rPr>
          <w:rFonts w:ascii="Abadi" w:hAnsi="Abadi"/>
          <w:b w:val="0"/>
          <w:bCs w:val="0"/>
          <w:sz w:val="21"/>
          <w:szCs w:val="21"/>
        </w:rPr>
        <w:t>Parlamentario</w:t>
      </w:r>
      <w:r w:rsidRPr="007C2763">
        <w:rPr>
          <w:rFonts w:ascii="Abadi" w:hAnsi="Abadi"/>
          <w:b w:val="0"/>
          <w:bCs w:val="0"/>
          <w:spacing w:val="6"/>
          <w:sz w:val="21"/>
          <w:szCs w:val="21"/>
        </w:rPr>
        <w:t xml:space="preserve"> </w:t>
      </w:r>
      <w:r w:rsidRPr="007C2763">
        <w:rPr>
          <w:rFonts w:ascii="Abadi" w:hAnsi="Abadi"/>
          <w:b w:val="0"/>
          <w:bCs w:val="0"/>
          <w:sz w:val="21"/>
          <w:szCs w:val="21"/>
        </w:rPr>
        <w:t>del</w:t>
      </w:r>
      <w:r w:rsidRPr="007C2763">
        <w:rPr>
          <w:rFonts w:ascii="Abadi" w:hAnsi="Abadi"/>
          <w:b w:val="0"/>
          <w:bCs w:val="0"/>
          <w:spacing w:val="2"/>
          <w:sz w:val="21"/>
          <w:szCs w:val="21"/>
        </w:rPr>
        <w:t xml:space="preserve"> </w:t>
      </w:r>
      <w:r w:rsidRPr="007C2763">
        <w:rPr>
          <w:rFonts w:ascii="Abadi" w:hAnsi="Abadi"/>
          <w:b w:val="0"/>
          <w:bCs w:val="0"/>
          <w:sz w:val="21"/>
          <w:szCs w:val="21"/>
        </w:rPr>
        <w:t>Partido Acción</w:t>
      </w:r>
      <w:r w:rsidRPr="007C2763">
        <w:rPr>
          <w:rFonts w:ascii="Abadi" w:hAnsi="Abadi"/>
          <w:b w:val="0"/>
          <w:bCs w:val="0"/>
          <w:spacing w:val="8"/>
          <w:sz w:val="21"/>
          <w:szCs w:val="21"/>
        </w:rPr>
        <w:t xml:space="preserve"> </w:t>
      </w:r>
      <w:r w:rsidRPr="007C2763">
        <w:rPr>
          <w:rFonts w:ascii="Abadi" w:hAnsi="Abadi"/>
          <w:b w:val="0"/>
          <w:bCs w:val="0"/>
          <w:sz w:val="21"/>
          <w:szCs w:val="21"/>
        </w:rPr>
        <w:t>Nacional</w:t>
      </w:r>
      <w:r w:rsidRPr="007C2763">
        <w:rPr>
          <w:rFonts w:ascii="Abadi" w:hAnsi="Abadi"/>
          <w:b w:val="0"/>
          <w:bCs w:val="0"/>
          <w:spacing w:val="7"/>
          <w:sz w:val="21"/>
          <w:szCs w:val="21"/>
        </w:rPr>
        <w:t xml:space="preserve"> </w:t>
      </w:r>
      <w:r w:rsidRPr="007C2763">
        <w:rPr>
          <w:rFonts w:ascii="Abadi" w:hAnsi="Abadi"/>
          <w:b w:val="0"/>
          <w:bCs w:val="0"/>
          <w:sz w:val="21"/>
          <w:szCs w:val="21"/>
        </w:rPr>
        <w:t>de</w:t>
      </w:r>
      <w:r w:rsidRPr="007C2763">
        <w:rPr>
          <w:rFonts w:ascii="Abadi" w:hAnsi="Abadi"/>
          <w:b w:val="0"/>
          <w:bCs w:val="0"/>
          <w:spacing w:val="8"/>
          <w:sz w:val="21"/>
          <w:szCs w:val="21"/>
        </w:rPr>
        <w:t xml:space="preserve"> </w:t>
      </w:r>
      <w:r w:rsidRPr="007C2763">
        <w:rPr>
          <w:rFonts w:ascii="Abadi" w:hAnsi="Abadi"/>
          <w:b w:val="0"/>
          <w:bCs w:val="0"/>
          <w:sz w:val="21"/>
          <w:szCs w:val="21"/>
        </w:rPr>
        <w:t>la</w:t>
      </w:r>
      <w:r w:rsidRPr="007C2763">
        <w:rPr>
          <w:rFonts w:ascii="Abadi" w:hAnsi="Abadi"/>
          <w:b w:val="0"/>
          <w:bCs w:val="0"/>
          <w:spacing w:val="6"/>
          <w:sz w:val="21"/>
          <w:szCs w:val="21"/>
        </w:rPr>
        <w:t xml:space="preserve"> </w:t>
      </w:r>
      <w:r w:rsidRPr="007C2763">
        <w:rPr>
          <w:rFonts w:ascii="Abadi" w:hAnsi="Abadi"/>
          <w:b w:val="0"/>
          <w:bCs w:val="0"/>
          <w:sz w:val="21"/>
          <w:szCs w:val="21"/>
        </w:rPr>
        <w:t>Sexagésima</w:t>
      </w:r>
      <w:r w:rsidRPr="007C2763">
        <w:rPr>
          <w:rFonts w:ascii="Abadi" w:hAnsi="Abadi"/>
          <w:b w:val="0"/>
          <w:bCs w:val="0"/>
          <w:spacing w:val="8"/>
          <w:sz w:val="21"/>
          <w:szCs w:val="21"/>
        </w:rPr>
        <w:t xml:space="preserve"> </w:t>
      </w:r>
      <w:r w:rsidRPr="007C2763">
        <w:rPr>
          <w:rFonts w:ascii="Abadi" w:hAnsi="Abadi"/>
          <w:b w:val="0"/>
          <w:bCs w:val="0"/>
          <w:sz w:val="21"/>
          <w:szCs w:val="21"/>
        </w:rPr>
        <w:t>Cuarta</w:t>
      </w:r>
      <w:r w:rsidRPr="007C2763">
        <w:rPr>
          <w:rFonts w:ascii="Abadi" w:hAnsi="Abadi"/>
          <w:b w:val="0"/>
          <w:bCs w:val="0"/>
          <w:spacing w:val="6"/>
          <w:sz w:val="21"/>
          <w:szCs w:val="21"/>
        </w:rPr>
        <w:t xml:space="preserve"> </w:t>
      </w:r>
      <w:r w:rsidRPr="007C2763">
        <w:rPr>
          <w:rFonts w:ascii="Abadi" w:hAnsi="Abadi"/>
          <w:b w:val="0"/>
          <w:bCs w:val="0"/>
          <w:sz w:val="21"/>
          <w:szCs w:val="21"/>
        </w:rPr>
        <w:t>Legislatura</w:t>
      </w:r>
      <w:r w:rsidRPr="007C2763">
        <w:rPr>
          <w:rFonts w:ascii="Abadi" w:hAnsi="Abadi"/>
          <w:b w:val="0"/>
          <w:bCs w:val="0"/>
          <w:spacing w:val="6"/>
          <w:sz w:val="21"/>
          <w:szCs w:val="21"/>
        </w:rPr>
        <w:t xml:space="preserve"> </w:t>
      </w:r>
      <w:r w:rsidRPr="007C2763">
        <w:rPr>
          <w:rFonts w:ascii="Abadi" w:hAnsi="Abadi"/>
          <w:b w:val="0"/>
          <w:bCs w:val="0"/>
          <w:sz w:val="21"/>
          <w:szCs w:val="21"/>
        </w:rPr>
        <w:t>del</w:t>
      </w:r>
      <w:r w:rsidRPr="007C2763">
        <w:rPr>
          <w:rFonts w:ascii="Abadi" w:hAnsi="Abadi"/>
          <w:b w:val="0"/>
          <w:bCs w:val="0"/>
          <w:spacing w:val="7"/>
          <w:sz w:val="21"/>
          <w:szCs w:val="21"/>
        </w:rPr>
        <w:t xml:space="preserve"> </w:t>
      </w:r>
      <w:r w:rsidRPr="007C2763">
        <w:rPr>
          <w:rFonts w:ascii="Abadi" w:hAnsi="Abadi"/>
          <w:b w:val="0"/>
          <w:bCs w:val="0"/>
          <w:sz w:val="21"/>
          <w:szCs w:val="21"/>
        </w:rPr>
        <w:t>Congreso</w:t>
      </w:r>
      <w:r w:rsidRPr="007C2763">
        <w:rPr>
          <w:rFonts w:ascii="Abadi" w:hAnsi="Abadi"/>
          <w:b w:val="0"/>
          <w:bCs w:val="0"/>
          <w:spacing w:val="8"/>
          <w:sz w:val="21"/>
          <w:szCs w:val="21"/>
        </w:rPr>
        <w:t xml:space="preserve"> </w:t>
      </w:r>
      <w:r w:rsidRPr="007C2763">
        <w:rPr>
          <w:rFonts w:ascii="Abadi" w:hAnsi="Abadi"/>
          <w:b w:val="0"/>
          <w:bCs w:val="0"/>
          <w:sz w:val="21"/>
          <w:szCs w:val="21"/>
        </w:rPr>
        <w:t>del</w:t>
      </w:r>
      <w:r w:rsidRPr="007C2763">
        <w:rPr>
          <w:rFonts w:ascii="Abadi" w:hAnsi="Abadi"/>
          <w:b w:val="0"/>
          <w:bCs w:val="0"/>
          <w:spacing w:val="7"/>
          <w:sz w:val="21"/>
          <w:szCs w:val="21"/>
        </w:rPr>
        <w:t xml:space="preserve"> </w:t>
      </w:r>
      <w:r w:rsidRPr="007C2763">
        <w:rPr>
          <w:rFonts w:ascii="Abadi" w:hAnsi="Abadi"/>
          <w:b w:val="0"/>
          <w:bCs w:val="0"/>
          <w:sz w:val="21"/>
          <w:szCs w:val="21"/>
        </w:rPr>
        <w:t>Estado</w:t>
      </w:r>
      <w:r w:rsidRPr="007C2763">
        <w:rPr>
          <w:rFonts w:ascii="Abadi" w:hAnsi="Abadi"/>
          <w:b w:val="0"/>
          <w:bCs w:val="0"/>
          <w:spacing w:val="6"/>
          <w:sz w:val="21"/>
          <w:szCs w:val="21"/>
        </w:rPr>
        <w:t xml:space="preserve"> </w:t>
      </w:r>
      <w:r w:rsidRPr="007C2763">
        <w:rPr>
          <w:rFonts w:ascii="Abadi" w:hAnsi="Abadi"/>
          <w:b w:val="0"/>
          <w:bCs w:val="0"/>
          <w:sz w:val="21"/>
          <w:szCs w:val="21"/>
        </w:rPr>
        <w:t>de Guanajuato.</w:t>
      </w:r>
    </w:p>
    <w:p w14:paraId="5161FE1C" w14:textId="77777777" w:rsidR="00374A1E" w:rsidRPr="007C2763" w:rsidRDefault="00374A1E" w:rsidP="00374A1E">
      <w:pPr>
        <w:pStyle w:val="Textoindependiente"/>
        <w:kinsoku w:val="0"/>
        <w:overflowPunct w:val="0"/>
        <w:spacing w:before="68"/>
        <w:ind w:left="40" w:right="116" w:firstLine="708"/>
        <w:rPr>
          <w:rFonts w:ascii="Abadi" w:hAnsi="Abadi"/>
          <w:b w:val="0"/>
          <w:bCs w:val="0"/>
          <w:sz w:val="21"/>
          <w:szCs w:val="21"/>
        </w:rPr>
      </w:pPr>
    </w:p>
    <w:p w14:paraId="47E8EB6F" w14:textId="77777777" w:rsidR="00EB6C90" w:rsidRDefault="00EB6C90" w:rsidP="00804172">
      <w:pPr>
        <w:pStyle w:val="Textoindependiente"/>
        <w:kinsoku w:val="0"/>
        <w:overflowPunct w:val="0"/>
        <w:ind w:right="-922" w:hanging="284"/>
        <w:jc w:val="center"/>
        <w:rPr>
          <w:rFonts w:ascii="Abadi" w:hAnsi="Abadi"/>
          <w:sz w:val="21"/>
          <w:szCs w:val="21"/>
        </w:rPr>
      </w:pPr>
    </w:p>
    <w:p w14:paraId="57AEE25C" w14:textId="4D9CCF06" w:rsidR="00374A1E" w:rsidRPr="007C2763" w:rsidRDefault="00287DD8" w:rsidP="00804172">
      <w:pPr>
        <w:pStyle w:val="Textoindependiente"/>
        <w:kinsoku w:val="0"/>
        <w:overflowPunct w:val="0"/>
        <w:ind w:right="-922" w:hanging="284"/>
        <w:jc w:val="center"/>
        <w:rPr>
          <w:rFonts w:ascii="Abadi" w:hAnsi="Abadi"/>
          <w:sz w:val="21"/>
          <w:szCs w:val="21"/>
        </w:rPr>
      </w:pPr>
      <w:r w:rsidRPr="007C2763">
        <w:rPr>
          <w:rFonts w:ascii="Abadi" w:hAnsi="Abadi"/>
          <w:sz w:val="21"/>
          <w:szCs w:val="21"/>
        </w:rPr>
        <w:t xml:space="preserve">Guanajuato, </w:t>
      </w:r>
      <w:proofErr w:type="spellStart"/>
      <w:r w:rsidRPr="007C2763">
        <w:rPr>
          <w:rFonts w:ascii="Abadi" w:hAnsi="Abadi"/>
          <w:sz w:val="21"/>
          <w:szCs w:val="21"/>
        </w:rPr>
        <w:t>Gto</w:t>
      </w:r>
      <w:proofErr w:type="spellEnd"/>
      <w:r w:rsidR="00804172" w:rsidRPr="007C2763">
        <w:rPr>
          <w:rFonts w:ascii="Abadi" w:hAnsi="Abadi"/>
          <w:sz w:val="21"/>
          <w:szCs w:val="21"/>
        </w:rPr>
        <w:t>., 12 de mayo de 2022</w:t>
      </w:r>
    </w:p>
    <w:p w14:paraId="6B2ED636" w14:textId="0A05E2F6" w:rsidR="00374A1E" w:rsidRPr="007C2763" w:rsidRDefault="00804172" w:rsidP="00804172">
      <w:pPr>
        <w:pStyle w:val="Textoindependiente"/>
        <w:kinsoku w:val="0"/>
        <w:overflowPunct w:val="0"/>
        <w:ind w:right="-922" w:hanging="284"/>
        <w:jc w:val="center"/>
        <w:rPr>
          <w:rFonts w:ascii="Abadi" w:hAnsi="Abadi"/>
          <w:sz w:val="21"/>
          <w:szCs w:val="21"/>
        </w:rPr>
      </w:pPr>
      <w:r w:rsidRPr="007C2763">
        <w:rPr>
          <w:rFonts w:ascii="Abadi" w:hAnsi="Abadi"/>
          <w:sz w:val="21"/>
          <w:szCs w:val="21"/>
        </w:rPr>
        <w:t>La Comisión de Asuntos Municipales</w:t>
      </w:r>
    </w:p>
    <w:p w14:paraId="1EE0BDCD" w14:textId="77777777" w:rsidR="00675277" w:rsidRPr="007C2763" w:rsidRDefault="00675277" w:rsidP="00804172">
      <w:pPr>
        <w:pStyle w:val="Textoindependiente"/>
        <w:kinsoku w:val="0"/>
        <w:overflowPunct w:val="0"/>
        <w:ind w:right="-922" w:hanging="284"/>
        <w:jc w:val="center"/>
        <w:rPr>
          <w:rFonts w:ascii="Abadi" w:hAnsi="Abadi"/>
          <w:sz w:val="21"/>
          <w:szCs w:val="21"/>
        </w:rPr>
      </w:pPr>
    </w:p>
    <w:p w14:paraId="7EA50659" w14:textId="77777777" w:rsidR="00C37D05" w:rsidRPr="007C2763" w:rsidRDefault="00C37D05" w:rsidP="00C37D05">
      <w:pPr>
        <w:pStyle w:val="Textoindependiente"/>
        <w:kinsoku w:val="0"/>
        <w:overflowPunct w:val="0"/>
        <w:ind w:left="40"/>
        <w:rPr>
          <w:rFonts w:ascii="Abadi" w:hAnsi="Abadi"/>
          <w:i/>
          <w:iCs/>
          <w:sz w:val="21"/>
          <w:szCs w:val="21"/>
        </w:rPr>
      </w:pPr>
      <w:r w:rsidRPr="007C2763">
        <w:rPr>
          <w:rFonts w:ascii="Abadi" w:hAnsi="Abadi"/>
          <w:i/>
          <w:iCs/>
          <w:sz w:val="21"/>
          <w:szCs w:val="21"/>
        </w:rPr>
        <w:t>Firma</w:t>
      </w:r>
      <w:r w:rsidRPr="007C2763">
        <w:rPr>
          <w:rFonts w:ascii="Abadi" w:hAnsi="Abadi"/>
          <w:i/>
          <w:iCs/>
          <w:spacing w:val="1"/>
          <w:sz w:val="21"/>
          <w:szCs w:val="21"/>
        </w:rPr>
        <w:t xml:space="preserve"> </w:t>
      </w:r>
      <w:r w:rsidRPr="007C2763">
        <w:rPr>
          <w:rFonts w:ascii="Abadi" w:hAnsi="Abadi"/>
          <w:i/>
          <w:iCs/>
          <w:sz w:val="21"/>
          <w:szCs w:val="21"/>
        </w:rPr>
        <w:t>electrónica</w:t>
      </w:r>
    </w:p>
    <w:p w14:paraId="7A9F20F4" w14:textId="77777777" w:rsidR="00DB021F" w:rsidRDefault="00DB021F" w:rsidP="00675277">
      <w:pPr>
        <w:pStyle w:val="Textoindependiente"/>
        <w:kinsoku w:val="0"/>
        <w:overflowPunct w:val="0"/>
        <w:ind w:left="40"/>
        <w:jc w:val="left"/>
        <w:rPr>
          <w:rFonts w:ascii="Abadi" w:hAnsi="Abadi"/>
          <w:sz w:val="21"/>
          <w:szCs w:val="21"/>
        </w:rPr>
      </w:pPr>
    </w:p>
    <w:p w14:paraId="511C1475" w14:textId="4A1DF725" w:rsidR="00DB021F" w:rsidRDefault="00DA7A39" w:rsidP="00675277">
      <w:pPr>
        <w:pStyle w:val="Textoindependiente"/>
        <w:kinsoku w:val="0"/>
        <w:overflowPunct w:val="0"/>
        <w:ind w:left="40"/>
        <w:jc w:val="left"/>
        <w:rPr>
          <w:rFonts w:ascii="Abadi" w:hAnsi="Abadi"/>
          <w:sz w:val="21"/>
          <w:szCs w:val="21"/>
        </w:rPr>
      </w:pPr>
      <w:r w:rsidRPr="007C2763">
        <w:rPr>
          <w:rFonts w:ascii="Abadi" w:hAnsi="Abadi"/>
          <w:sz w:val="21"/>
          <w:szCs w:val="21"/>
        </w:rPr>
        <w:t>Bricio Balderas</w:t>
      </w:r>
      <w:r w:rsidRPr="007C2763">
        <w:rPr>
          <w:rFonts w:ascii="Abadi" w:hAnsi="Abadi"/>
          <w:spacing w:val="-1"/>
          <w:sz w:val="21"/>
          <w:szCs w:val="21"/>
        </w:rPr>
        <w:t xml:space="preserve"> </w:t>
      </w:r>
      <w:r w:rsidRPr="007C2763">
        <w:rPr>
          <w:rFonts w:ascii="Abadi" w:hAnsi="Abadi"/>
          <w:sz w:val="21"/>
          <w:szCs w:val="21"/>
        </w:rPr>
        <w:t>Álvarez</w:t>
      </w:r>
      <w:r w:rsidR="00DB021F">
        <w:rPr>
          <w:rFonts w:ascii="Abadi" w:hAnsi="Abadi"/>
          <w:sz w:val="21"/>
          <w:szCs w:val="21"/>
        </w:rPr>
        <w:t xml:space="preserve"> </w:t>
      </w:r>
    </w:p>
    <w:p w14:paraId="11BA0192" w14:textId="3D49A84B" w:rsidR="00DA7A39" w:rsidRPr="007C2763" w:rsidRDefault="00DA7A39" w:rsidP="00675277">
      <w:pPr>
        <w:pStyle w:val="Textoindependiente"/>
        <w:kinsoku w:val="0"/>
        <w:overflowPunct w:val="0"/>
        <w:ind w:left="40"/>
        <w:jc w:val="left"/>
        <w:rPr>
          <w:rFonts w:ascii="Abadi" w:hAnsi="Abadi"/>
          <w:i/>
          <w:iCs/>
          <w:sz w:val="21"/>
          <w:szCs w:val="21"/>
        </w:rPr>
      </w:pPr>
      <w:r w:rsidRPr="007C2763">
        <w:rPr>
          <w:rFonts w:ascii="Abadi" w:hAnsi="Abadi"/>
          <w:sz w:val="21"/>
          <w:szCs w:val="21"/>
        </w:rPr>
        <w:t>Diputado presidente</w:t>
      </w:r>
    </w:p>
    <w:p w14:paraId="5B45E120" w14:textId="77777777" w:rsidR="00DB021F" w:rsidRDefault="00DA7A39" w:rsidP="00DB021F">
      <w:pPr>
        <w:pStyle w:val="Textoindependiente"/>
        <w:kinsoku w:val="0"/>
        <w:overflowPunct w:val="0"/>
        <w:spacing w:before="128"/>
        <w:jc w:val="left"/>
        <w:rPr>
          <w:rFonts w:ascii="Abadi" w:hAnsi="Abadi"/>
          <w:sz w:val="21"/>
          <w:szCs w:val="21"/>
        </w:rPr>
      </w:pPr>
      <w:r w:rsidRPr="007C2763">
        <w:rPr>
          <w:rFonts w:ascii="Abadi" w:hAnsi="Abadi"/>
          <w:sz w:val="21"/>
          <w:szCs w:val="21"/>
        </w:rPr>
        <w:t>Armando Rangel</w:t>
      </w:r>
      <w:r w:rsidRPr="007C2763">
        <w:rPr>
          <w:rFonts w:ascii="Abadi" w:hAnsi="Abadi"/>
          <w:spacing w:val="1"/>
          <w:sz w:val="21"/>
          <w:szCs w:val="21"/>
        </w:rPr>
        <w:t xml:space="preserve"> </w:t>
      </w:r>
      <w:r w:rsidRPr="007C2763">
        <w:rPr>
          <w:rFonts w:ascii="Abadi" w:hAnsi="Abadi"/>
          <w:sz w:val="21"/>
          <w:szCs w:val="21"/>
        </w:rPr>
        <w:t xml:space="preserve">Hernández </w:t>
      </w:r>
    </w:p>
    <w:p w14:paraId="27DAE6E0" w14:textId="4DCA0C47" w:rsidR="00DA7A39" w:rsidRPr="007C2763" w:rsidRDefault="00DA7A39" w:rsidP="00DB021F">
      <w:pPr>
        <w:pStyle w:val="Textoindependiente"/>
        <w:kinsoku w:val="0"/>
        <w:overflowPunct w:val="0"/>
        <w:spacing w:before="128"/>
        <w:jc w:val="left"/>
        <w:rPr>
          <w:rFonts w:ascii="Abadi" w:hAnsi="Abadi"/>
          <w:sz w:val="21"/>
          <w:szCs w:val="21"/>
        </w:rPr>
      </w:pPr>
      <w:r w:rsidRPr="007C2763">
        <w:rPr>
          <w:rFonts w:ascii="Abadi" w:hAnsi="Abadi"/>
          <w:sz w:val="21"/>
          <w:szCs w:val="21"/>
        </w:rPr>
        <w:t xml:space="preserve">Diputado </w:t>
      </w:r>
      <w:r w:rsidR="002120E0" w:rsidRPr="007C2763">
        <w:rPr>
          <w:rFonts w:ascii="Abadi" w:hAnsi="Abadi"/>
          <w:sz w:val="21"/>
          <w:szCs w:val="21"/>
        </w:rPr>
        <w:t>vocal</w:t>
      </w:r>
    </w:p>
    <w:p w14:paraId="299FCD8E" w14:textId="77777777" w:rsidR="00DB021F" w:rsidRDefault="00DA7A39" w:rsidP="00675277">
      <w:pPr>
        <w:pStyle w:val="Textoindependiente"/>
        <w:kinsoku w:val="0"/>
        <w:overflowPunct w:val="0"/>
        <w:spacing w:before="128"/>
        <w:ind w:left="194" w:hanging="195"/>
        <w:jc w:val="left"/>
        <w:rPr>
          <w:rFonts w:ascii="Abadi" w:hAnsi="Abadi"/>
          <w:sz w:val="21"/>
          <w:szCs w:val="21"/>
        </w:rPr>
      </w:pPr>
      <w:r w:rsidRPr="007C2763">
        <w:rPr>
          <w:rFonts w:ascii="Abadi" w:hAnsi="Abadi"/>
          <w:sz w:val="21"/>
          <w:szCs w:val="21"/>
        </w:rPr>
        <w:t>Jorge</w:t>
      </w:r>
      <w:r w:rsidRPr="007C2763">
        <w:rPr>
          <w:rFonts w:ascii="Abadi" w:hAnsi="Abadi"/>
          <w:spacing w:val="1"/>
          <w:sz w:val="21"/>
          <w:szCs w:val="21"/>
        </w:rPr>
        <w:t xml:space="preserve"> </w:t>
      </w:r>
      <w:r w:rsidRPr="007C2763">
        <w:rPr>
          <w:rFonts w:ascii="Abadi" w:hAnsi="Abadi"/>
          <w:sz w:val="21"/>
          <w:szCs w:val="21"/>
        </w:rPr>
        <w:t>Ortiz</w:t>
      </w:r>
      <w:r w:rsidRPr="007C2763">
        <w:rPr>
          <w:rFonts w:ascii="Abadi" w:hAnsi="Abadi"/>
          <w:spacing w:val="-2"/>
          <w:sz w:val="21"/>
          <w:szCs w:val="21"/>
        </w:rPr>
        <w:t xml:space="preserve"> </w:t>
      </w:r>
      <w:r w:rsidRPr="007C2763">
        <w:rPr>
          <w:rFonts w:ascii="Abadi" w:hAnsi="Abadi"/>
          <w:sz w:val="21"/>
          <w:szCs w:val="21"/>
        </w:rPr>
        <w:t xml:space="preserve">Ortega </w:t>
      </w:r>
    </w:p>
    <w:p w14:paraId="13D7F8FE" w14:textId="1B65C0BD" w:rsidR="00DA7A39" w:rsidRPr="007C2763" w:rsidRDefault="00DA7A39" w:rsidP="00675277">
      <w:pPr>
        <w:pStyle w:val="Textoindependiente"/>
        <w:kinsoku w:val="0"/>
        <w:overflowPunct w:val="0"/>
        <w:spacing w:before="128"/>
        <w:ind w:left="194" w:hanging="195"/>
        <w:jc w:val="left"/>
        <w:rPr>
          <w:rFonts w:ascii="Abadi" w:hAnsi="Abadi"/>
          <w:sz w:val="21"/>
          <w:szCs w:val="21"/>
        </w:rPr>
      </w:pPr>
      <w:r w:rsidRPr="007C2763">
        <w:rPr>
          <w:rFonts w:ascii="Abadi" w:hAnsi="Abadi"/>
          <w:sz w:val="21"/>
          <w:szCs w:val="21"/>
        </w:rPr>
        <w:t>Diputado vocal</w:t>
      </w:r>
    </w:p>
    <w:p w14:paraId="5F77E50A" w14:textId="77777777" w:rsidR="00DA7A39" w:rsidRPr="007C2763" w:rsidRDefault="00DA7A39" w:rsidP="00675277">
      <w:pPr>
        <w:pStyle w:val="Textoindependiente"/>
        <w:kinsoku w:val="0"/>
        <w:overflowPunct w:val="0"/>
        <w:jc w:val="left"/>
        <w:rPr>
          <w:rFonts w:ascii="Abadi" w:hAnsi="Abadi"/>
          <w:sz w:val="21"/>
          <w:szCs w:val="21"/>
        </w:rPr>
      </w:pPr>
    </w:p>
    <w:p w14:paraId="21E6E888" w14:textId="77777777" w:rsidR="00DB021F" w:rsidRDefault="00DA7A39" w:rsidP="00675277">
      <w:pPr>
        <w:pStyle w:val="Textoindependiente"/>
        <w:kinsoku w:val="0"/>
        <w:overflowPunct w:val="0"/>
        <w:spacing w:before="52"/>
        <w:ind w:left="426" w:hanging="427"/>
        <w:jc w:val="left"/>
        <w:rPr>
          <w:rFonts w:ascii="Abadi" w:hAnsi="Abadi"/>
          <w:sz w:val="21"/>
          <w:szCs w:val="21"/>
        </w:rPr>
      </w:pPr>
      <w:r w:rsidRPr="007C2763">
        <w:rPr>
          <w:rFonts w:ascii="Abadi" w:hAnsi="Abadi"/>
          <w:sz w:val="21"/>
          <w:szCs w:val="21"/>
        </w:rPr>
        <w:t xml:space="preserve">Ernesto Millán Soberanes </w:t>
      </w:r>
    </w:p>
    <w:p w14:paraId="159A9663" w14:textId="729D9195" w:rsidR="00DA7A39" w:rsidRPr="007C2763" w:rsidRDefault="00DA7A39" w:rsidP="00675277">
      <w:pPr>
        <w:pStyle w:val="Textoindependiente"/>
        <w:kinsoku w:val="0"/>
        <w:overflowPunct w:val="0"/>
        <w:spacing w:before="52"/>
        <w:ind w:left="426" w:hanging="427"/>
        <w:jc w:val="left"/>
        <w:rPr>
          <w:rFonts w:ascii="Abadi" w:hAnsi="Abadi"/>
          <w:sz w:val="21"/>
          <w:szCs w:val="21"/>
        </w:rPr>
      </w:pPr>
      <w:r w:rsidRPr="007C2763">
        <w:rPr>
          <w:rFonts w:ascii="Abadi" w:hAnsi="Abadi"/>
          <w:sz w:val="21"/>
          <w:szCs w:val="21"/>
        </w:rPr>
        <w:t>Diputado vocal</w:t>
      </w:r>
    </w:p>
    <w:p w14:paraId="66882110" w14:textId="77777777" w:rsidR="00DA7A39" w:rsidRPr="007C2763" w:rsidRDefault="00DA7A39" w:rsidP="00675277">
      <w:pPr>
        <w:pStyle w:val="Textoindependiente"/>
        <w:kinsoku w:val="0"/>
        <w:overflowPunct w:val="0"/>
        <w:jc w:val="left"/>
        <w:rPr>
          <w:rFonts w:ascii="Abadi" w:hAnsi="Abadi"/>
          <w:sz w:val="21"/>
          <w:szCs w:val="21"/>
        </w:rPr>
      </w:pPr>
    </w:p>
    <w:p w14:paraId="12906FCE" w14:textId="77777777" w:rsidR="00DB021F" w:rsidRDefault="00DA7A39" w:rsidP="00675277">
      <w:pPr>
        <w:pStyle w:val="Textoindependiente"/>
        <w:kinsoku w:val="0"/>
        <w:overflowPunct w:val="0"/>
        <w:spacing w:before="52"/>
        <w:ind w:left="993" w:hanging="984"/>
        <w:jc w:val="left"/>
        <w:rPr>
          <w:rFonts w:ascii="Abadi" w:hAnsi="Abadi"/>
          <w:sz w:val="21"/>
          <w:szCs w:val="21"/>
        </w:rPr>
      </w:pPr>
      <w:r w:rsidRPr="007C2763">
        <w:rPr>
          <w:rFonts w:ascii="Abadi" w:hAnsi="Abadi"/>
          <w:sz w:val="21"/>
          <w:szCs w:val="21"/>
        </w:rPr>
        <w:t>Ruth Noemí</w:t>
      </w:r>
      <w:r w:rsidRPr="007C2763">
        <w:rPr>
          <w:rFonts w:ascii="Abadi" w:hAnsi="Abadi"/>
          <w:spacing w:val="1"/>
          <w:sz w:val="21"/>
          <w:szCs w:val="21"/>
        </w:rPr>
        <w:t xml:space="preserve"> </w:t>
      </w:r>
      <w:r w:rsidRPr="007C2763">
        <w:rPr>
          <w:rFonts w:ascii="Abadi" w:hAnsi="Abadi"/>
          <w:sz w:val="21"/>
          <w:szCs w:val="21"/>
        </w:rPr>
        <w:t xml:space="preserve">Tiscareño Agoitia </w:t>
      </w:r>
    </w:p>
    <w:p w14:paraId="28CFD7FF" w14:textId="216C1C52" w:rsidR="00DB021F" w:rsidRDefault="00DA7A39" w:rsidP="006334E0">
      <w:pPr>
        <w:pStyle w:val="Textoindependiente"/>
        <w:kinsoku w:val="0"/>
        <w:overflowPunct w:val="0"/>
        <w:spacing w:before="52"/>
        <w:ind w:left="993" w:hanging="984"/>
        <w:jc w:val="left"/>
        <w:rPr>
          <w:rFonts w:ascii="Abadi" w:hAnsi="Abadi"/>
          <w:sz w:val="21"/>
          <w:szCs w:val="21"/>
        </w:rPr>
      </w:pPr>
      <w:r w:rsidRPr="007C2763">
        <w:rPr>
          <w:rFonts w:ascii="Abadi" w:hAnsi="Abadi"/>
          <w:sz w:val="21"/>
          <w:szCs w:val="21"/>
        </w:rPr>
        <w:t>Diputada</w:t>
      </w:r>
      <w:r w:rsidRPr="007C2763">
        <w:rPr>
          <w:rFonts w:ascii="Abadi" w:hAnsi="Abadi"/>
          <w:spacing w:val="1"/>
          <w:sz w:val="21"/>
          <w:szCs w:val="21"/>
        </w:rPr>
        <w:t xml:space="preserve"> </w:t>
      </w:r>
      <w:r w:rsidRPr="007C2763">
        <w:rPr>
          <w:rFonts w:ascii="Abadi" w:hAnsi="Abadi"/>
          <w:sz w:val="21"/>
          <w:szCs w:val="21"/>
        </w:rPr>
        <w:t>secretaria</w:t>
      </w:r>
    </w:p>
    <w:p w14:paraId="71827CD6" w14:textId="09E63256" w:rsidR="001563A4" w:rsidRDefault="008619DF" w:rsidP="008619DF">
      <w:pPr>
        <w:pStyle w:val="NormalWeb"/>
        <w:ind w:firstLine="708"/>
        <w:jc w:val="both"/>
        <w:rPr>
          <w:rFonts w:ascii="Abadi" w:hAnsi="Abadi"/>
          <w:sz w:val="21"/>
          <w:szCs w:val="21"/>
        </w:rPr>
      </w:pPr>
      <w:r>
        <w:rPr>
          <w:rFonts w:ascii="Abadi" w:hAnsi="Abadi"/>
          <w:b/>
          <w:bCs/>
          <w:sz w:val="21"/>
          <w:szCs w:val="21"/>
        </w:rPr>
        <w:t xml:space="preserve">- </w:t>
      </w:r>
      <w:r w:rsidR="001563A4" w:rsidRPr="00111EBB">
        <w:rPr>
          <w:rFonts w:ascii="Abadi" w:hAnsi="Abadi"/>
          <w:b/>
          <w:bCs/>
          <w:sz w:val="21"/>
          <w:szCs w:val="21"/>
        </w:rPr>
        <w:t xml:space="preserve">La </w:t>
      </w:r>
      <w:proofErr w:type="gramStart"/>
      <w:r w:rsidR="001563A4" w:rsidRPr="00111EBB">
        <w:rPr>
          <w:rFonts w:ascii="Abadi" w:hAnsi="Abadi"/>
          <w:b/>
          <w:bCs/>
          <w:sz w:val="21"/>
          <w:szCs w:val="21"/>
        </w:rPr>
        <w:t>Presidencia.-</w:t>
      </w:r>
      <w:proofErr w:type="gramEnd"/>
      <w:r w:rsidR="001563A4">
        <w:rPr>
          <w:rFonts w:ascii="Abadi" w:hAnsi="Abadi"/>
          <w:sz w:val="21"/>
          <w:szCs w:val="21"/>
        </w:rPr>
        <w:t xml:space="preserve"> E</w:t>
      </w:r>
      <w:r w:rsidR="001563A4" w:rsidRPr="0021199F">
        <w:rPr>
          <w:rFonts w:ascii="Abadi" w:hAnsi="Abadi"/>
          <w:sz w:val="21"/>
          <w:szCs w:val="21"/>
        </w:rPr>
        <w:t>n seguida se somet</w:t>
      </w:r>
      <w:r w:rsidR="001563A4">
        <w:rPr>
          <w:rFonts w:ascii="Abadi" w:hAnsi="Abadi"/>
          <w:sz w:val="21"/>
          <w:szCs w:val="21"/>
        </w:rPr>
        <w:t>e a</w:t>
      </w:r>
      <w:r w:rsidR="001563A4" w:rsidRPr="0021199F">
        <w:rPr>
          <w:rFonts w:ascii="Abadi" w:hAnsi="Abadi"/>
          <w:sz w:val="21"/>
          <w:szCs w:val="21"/>
        </w:rPr>
        <w:t xml:space="preserve"> discusión </w:t>
      </w:r>
      <w:r w:rsidR="001563A4">
        <w:rPr>
          <w:rFonts w:ascii="Abadi" w:hAnsi="Abadi"/>
          <w:sz w:val="21"/>
          <w:szCs w:val="21"/>
        </w:rPr>
        <w:t>el dictamen</w:t>
      </w:r>
      <w:r w:rsidR="001563A4" w:rsidRPr="0021199F">
        <w:rPr>
          <w:rFonts w:ascii="Abadi" w:hAnsi="Abadi"/>
          <w:sz w:val="21"/>
          <w:szCs w:val="21"/>
        </w:rPr>
        <w:t xml:space="preserve"> presentado por la Comisión de Asuntos Municipales relativo </w:t>
      </w:r>
      <w:r w:rsidR="001563A4">
        <w:rPr>
          <w:rFonts w:ascii="Abadi" w:hAnsi="Abadi"/>
          <w:sz w:val="21"/>
          <w:szCs w:val="21"/>
        </w:rPr>
        <w:t xml:space="preserve">a </w:t>
      </w:r>
      <w:r w:rsidR="001563A4" w:rsidRPr="0021199F">
        <w:rPr>
          <w:rFonts w:ascii="Abadi" w:hAnsi="Abadi"/>
          <w:sz w:val="21"/>
          <w:szCs w:val="21"/>
        </w:rPr>
        <w:t>la iniciativa por la que se reform</w:t>
      </w:r>
      <w:r w:rsidR="001563A4">
        <w:rPr>
          <w:rFonts w:ascii="Abadi" w:hAnsi="Abadi"/>
          <w:sz w:val="21"/>
          <w:szCs w:val="21"/>
        </w:rPr>
        <w:t>a</w:t>
      </w:r>
      <w:r w:rsidR="001563A4" w:rsidRPr="0021199F">
        <w:rPr>
          <w:rFonts w:ascii="Abadi" w:hAnsi="Abadi"/>
          <w:sz w:val="21"/>
          <w:szCs w:val="21"/>
        </w:rPr>
        <w:t xml:space="preserve"> el artículo </w:t>
      </w:r>
      <w:r w:rsidR="001563A4">
        <w:rPr>
          <w:rFonts w:ascii="Abadi" w:hAnsi="Abadi"/>
          <w:sz w:val="21"/>
          <w:szCs w:val="21"/>
        </w:rPr>
        <w:t>19</w:t>
      </w:r>
      <w:r w:rsidR="001563A4" w:rsidRPr="0021199F">
        <w:rPr>
          <w:rFonts w:ascii="Abadi" w:hAnsi="Abadi"/>
          <w:sz w:val="21"/>
          <w:szCs w:val="21"/>
        </w:rPr>
        <w:t xml:space="preserve"> de la Ley Orgánica Municipal para el Estado de Guanajuato, suscrita por diputadas y diputad</w:t>
      </w:r>
      <w:r w:rsidR="001563A4">
        <w:rPr>
          <w:rFonts w:ascii="Abadi" w:hAnsi="Abadi"/>
          <w:sz w:val="21"/>
          <w:szCs w:val="21"/>
        </w:rPr>
        <w:t>o</w:t>
      </w:r>
      <w:r w:rsidR="001563A4" w:rsidRPr="0021199F">
        <w:rPr>
          <w:rFonts w:ascii="Abadi" w:hAnsi="Abadi"/>
          <w:sz w:val="21"/>
          <w:szCs w:val="21"/>
        </w:rPr>
        <w:t xml:space="preserve">s integrantes del </w:t>
      </w:r>
      <w:r w:rsidR="001563A4">
        <w:rPr>
          <w:rFonts w:ascii="Abadi" w:hAnsi="Abadi"/>
          <w:sz w:val="21"/>
          <w:szCs w:val="21"/>
        </w:rPr>
        <w:t>G</w:t>
      </w:r>
      <w:r w:rsidR="001563A4" w:rsidRPr="0021199F">
        <w:rPr>
          <w:rFonts w:ascii="Abadi" w:hAnsi="Abadi"/>
          <w:sz w:val="21"/>
          <w:szCs w:val="21"/>
        </w:rPr>
        <w:t xml:space="preserve">rupo </w:t>
      </w:r>
      <w:r w:rsidR="001563A4">
        <w:rPr>
          <w:rFonts w:ascii="Abadi" w:hAnsi="Abadi"/>
          <w:sz w:val="21"/>
          <w:szCs w:val="21"/>
        </w:rPr>
        <w:t>P</w:t>
      </w:r>
      <w:r w:rsidR="001563A4" w:rsidRPr="0021199F">
        <w:rPr>
          <w:rFonts w:ascii="Abadi" w:hAnsi="Abadi"/>
          <w:sz w:val="21"/>
          <w:szCs w:val="21"/>
        </w:rPr>
        <w:t xml:space="preserve">arlamentario del Partido Acción Nacional. </w:t>
      </w:r>
    </w:p>
    <w:p w14:paraId="35FC0BF6" w14:textId="1ABB8CD0" w:rsidR="001563A4" w:rsidRDefault="008619DF" w:rsidP="008619DF">
      <w:pPr>
        <w:pStyle w:val="NormalWeb"/>
        <w:ind w:firstLine="708"/>
        <w:jc w:val="both"/>
        <w:rPr>
          <w:rFonts w:ascii="Abadi" w:hAnsi="Abadi"/>
          <w:sz w:val="21"/>
          <w:szCs w:val="21"/>
        </w:rPr>
      </w:pPr>
      <w:r>
        <w:rPr>
          <w:rFonts w:ascii="Abadi" w:hAnsi="Abadi"/>
          <w:sz w:val="21"/>
          <w:szCs w:val="21"/>
        </w:rPr>
        <w:t xml:space="preserve">- </w:t>
      </w:r>
      <w:r w:rsidR="001563A4" w:rsidRPr="0021199F">
        <w:rPr>
          <w:rFonts w:ascii="Abadi" w:hAnsi="Abadi"/>
          <w:sz w:val="21"/>
          <w:szCs w:val="21"/>
        </w:rPr>
        <w:t xml:space="preserve">Si alguna diputada o algún diputado desea hacer uso de la palabra en pro </w:t>
      </w:r>
      <w:r w:rsidR="001563A4">
        <w:rPr>
          <w:rFonts w:ascii="Abadi" w:hAnsi="Abadi"/>
          <w:sz w:val="21"/>
          <w:szCs w:val="21"/>
        </w:rPr>
        <w:t xml:space="preserve">o </w:t>
      </w:r>
      <w:r w:rsidR="001563A4" w:rsidRPr="0021199F">
        <w:rPr>
          <w:rFonts w:ascii="Abadi" w:hAnsi="Abadi"/>
          <w:sz w:val="21"/>
          <w:szCs w:val="21"/>
        </w:rPr>
        <w:t>en contra, manifiést</w:t>
      </w:r>
      <w:r w:rsidR="001563A4">
        <w:rPr>
          <w:rFonts w:ascii="Abadi" w:hAnsi="Abadi"/>
          <w:sz w:val="21"/>
          <w:szCs w:val="21"/>
        </w:rPr>
        <w:t>enlo</w:t>
      </w:r>
      <w:r w:rsidR="001563A4" w:rsidRPr="0021199F">
        <w:rPr>
          <w:rFonts w:ascii="Abadi" w:hAnsi="Abadi"/>
          <w:sz w:val="21"/>
          <w:szCs w:val="21"/>
        </w:rPr>
        <w:t xml:space="preserve"> indicando el sentido de su participación </w:t>
      </w:r>
    </w:p>
    <w:p w14:paraId="2163BDB4" w14:textId="3DE95ED0" w:rsidR="001563A4" w:rsidRDefault="008619DF" w:rsidP="008619DF">
      <w:pPr>
        <w:pStyle w:val="NormalWeb"/>
        <w:ind w:firstLine="708"/>
        <w:jc w:val="both"/>
        <w:rPr>
          <w:rFonts w:ascii="Abadi" w:hAnsi="Abadi"/>
          <w:sz w:val="21"/>
          <w:szCs w:val="21"/>
        </w:rPr>
      </w:pPr>
      <w:r>
        <w:rPr>
          <w:rFonts w:ascii="Abadi" w:hAnsi="Abadi"/>
          <w:sz w:val="21"/>
          <w:szCs w:val="21"/>
        </w:rPr>
        <w:t xml:space="preserve">- </w:t>
      </w:r>
      <w:r w:rsidR="001563A4">
        <w:rPr>
          <w:rFonts w:ascii="Abadi" w:hAnsi="Abadi"/>
          <w:sz w:val="21"/>
          <w:szCs w:val="21"/>
        </w:rPr>
        <w:t>E</w:t>
      </w:r>
      <w:r w:rsidR="001563A4" w:rsidRPr="0021199F">
        <w:rPr>
          <w:rFonts w:ascii="Abadi" w:hAnsi="Abadi"/>
          <w:sz w:val="21"/>
          <w:szCs w:val="21"/>
        </w:rPr>
        <w:t>n virtud</w:t>
      </w:r>
      <w:r w:rsidR="001563A4">
        <w:rPr>
          <w:rFonts w:ascii="Abadi" w:hAnsi="Abadi"/>
          <w:sz w:val="21"/>
          <w:szCs w:val="21"/>
        </w:rPr>
        <w:t xml:space="preserve"> d</w:t>
      </w:r>
      <w:r w:rsidR="001563A4" w:rsidRPr="0021199F">
        <w:rPr>
          <w:rFonts w:ascii="Abadi" w:hAnsi="Abadi"/>
          <w:sz w:val="21"/>
          <w:szCs w:val="21"/>
        </w:rPr>
        <w:t xml:space="preserve">e no haber participaciones, se pide </w:t>
      </w:r>
      <w:r>
        <w:rPr>
          <w:rFonts w:ascii="Abadi" w:hAnsi="Abadi"/>
          <w:sz w:val="21"/>
          <w:szCs w:val="21"/>
        </w:rPr>
        <w:t xml:space="preserve">a </w:t>
      </w:r>
      <w:r w:rsidR="001563A4" w:rsidRPr="0021199F">
        <w:rPr>
          <w:rFonts w:ascii="Abadi" w:hAnsi="Abadi"/>
          <w:sz w:val="21"/>
          <w:szCs w:val="21"/>
        </w:rPr>
        <w:t xml:space="preserve">la </w:t>
      </w:r>
      <w:r w:rsidR="001563A4">
        <w:rPr>
          <w:rFonts w:ascii="Abadi" w:hAnsi="Abadi"/>
          <w:sz w:val="21"/>
          <w:szCs w:val="21"/>
        </w:rPr>
        <w:t>S</w:t>
      </w:r>
      <w:r w:rsidR="001563A4" w:rsidRPr="0021199F">
        <w:rPr>
          <w:rFonts w:ascii="Abadi" w:hAnsi="Abadi"/>
          <w:sz w:val="21"/>
          <w:szCs w:val="21"/>
        </w:rPr>
        <w:t>ecretar</w:t>
      </w:r>
      <w:r w:rsidR="001563A4">
        <w:rPr>
          <w:rFonts w:ascii="Abadi" w:hAnsi="Abadi"/>
          <w:sz w:val="21"/>
          <w:szCs w:val="21"/>
        </w:rPr>
        <w:t>ia</w:t>
      </w:r>
      <w:r w:rsidR="001563A4" w:rsidRPr="0021199F">
        <w:rPr>
          <w:rFonts w:ascii="Abadi" w:hAnsi="Abadi"/>
          <w:sz w:val="21"/>
          <w:szCs w:val="21"/>
        </w:rPr>
        <w:t xml:space="preserve"> que procesa </w:t>
      </w:r>
      <w:r w:rsidR="001563A4">
        <w:rPr>
          <w:rFonts w:ascii="Abadi" w:hAnsi="Abadi"/>
          <w:sz w:val="21"/>
          <w:szCs w:val="21"/>
        </w:rPr>
        <w:t xml:space="preserve">a </w:t>
      </w:r>
      <w:r w:rsidR="001563A4" w:rsidRPr="0021199F">
        <w:rPr>
          <w:rFonts w:ascii="Abadi" w:hAnsi="Abadi"/>
          <w:sz w:val="21"/>
          <w:szCs w:val="21"/>
        </w:rPr>
        <w:t>recabar votación nominal de la Asamblea a través del sistema electrónico a efecto de aprobar</w:t>
      </w:r>
      <w:r w:rsidR="001563A4">
        <w:rPr>
          <w:rFonts w:ascii="Abadi" w:hAnsi="Abadi"/>
          <w:sz w:val="21"/>
          <w:szCs w:val="21"/>
        </w:rPr>
        <w:t xml:space="preserve"> </w:t>
      </w:r>
      <w:r w:rsidR="001563A4" w:rsidRPr="0021199F">
        <w:rPr>
          <w:rFonts w:ascii="Abadi" w:hAnsi="Abadi"/>
          <w:sz w:val="21"/>
          <w:szCs w:val="21"/>
        </w:rPr>
        <w:t xml:space="preserve">o no </w:t>
      </w:r>
      <w:r w:rsidR="001563A4">
        <w:rPr>
          <w:rFonts w:ascii="Abadi" w:hAnsi="Abadi"/>
          <w:sz w:val="21"/>
          <w:szCs w:val="21"/>
        </w:rPr>
        <w:t>e</w:t>
      </w:r>
      <w:r w:rsidR="001563A4" w:rsidRPr="0021199F">
        <w:rPr>
          <w:rFonts w:ascii="Abadi" w:hAnsi="Abadi"/>
          <w:sz w:val="21"/>
          <w:szCs w:val="21"/>
        </w:rPr>
        <w:t xml:space="preserve">l </w:t>
      </w:r>
      <w:r w:rsidR="001563A4">
        <w:rPr>
          <w:rFonts w:ascii="Abadi" w:hAnsi="Abadi"/>
          <w:sz w:val="21"/>
          <w:szCs w:val="21"/>
        </w:rPr>
        <w:t>dictame</w:t>
      </w:r>
      <w:r w:rsidR="001563A4" w:rsidRPr="0021199F">
        <w:rPr>
          <w:rFonts w:ascii="Abadi" w:hAnsi="Abadi"/>
          <w:sz w:val="21"/>
          <w:szCs w:val="21"/>
        </w:rPr>
        <w:t>n puesto</w:t>
      </w:r>
      <w:r w:rsidR="001563A4">
        <w:rPr>
          <w:rFonts w:ascii="Abadi" w:hAnsi="Abadi"/>
          <w:sz w:val="21"/>
          <w:szCs w:val="21"/>
        </w:rPr>
        <w:t xml:space="preserve"> a</w:t>
      </w:r>
      <w:r w:rsidR="001563A4" w:rsidRPr="0021199F">
        <w:rPr>
          <w:rFonts w:ascii="Abadi" w:hAnsi="Abadi"/>
          <w:sz w:val="21"/>
          <w:szCs w:val="21"/>
        </w:rPr>
        <w:t xml:space="preserve"> su consideración. </w:t>
      </w:r>
    </w:p>
    <w:p w14:paraId="0A7153FF" w14:textId="2B569542" w:rsidR="001563A4" w:rsidRPr="00132C93" w:rsidRDefault="001563A4" w:rsidP="008619DF">
      <w:pPr>
        <w:pStyle w:val="NormalWeb"/>
        <w:jc w:val="center"/>
        <w:rPr>
          <w:rFonts w:ascii="Abadi" w:hAnsi="Abadi"/>
          <w:b/>
          <w:bCs/>
          <w:sz w:val="21"/>
          <w:szCs w:val="21"/>
        </w:rPr>
      </w:pPr>
      <w:r w:rsidRPr="00132C93">
        <w:rPr>
          <w:rFonts w:ascii="Abadi" w:hAnsi="Abadi"/>
          <w:b/>
          <w:bCs/>
          <w:sz w:val="21"/>
          <w:szCs w:val="21"/>
        </w:rPr>
        <w:t>(Se abre el sistema electrónico)</w:t>
      </w:r>
    </w:p>
    <w:p w14:paraId="38B01A8E" w14:textId="3B82E4D6" w:rsidR="001563A4" w:rsidRDefault="008619DF" w:rsidP="00CA5486">
      <w:pPr>
        <w:pStyle w:val="NormalWeb"/>
        <w:spacing w:before="0" w:beforeAutospacing="0" w:after="0" w:afterAutospacing="0"/>
        <w:ind w:firstLine="708"/>
        <w:jc w:val="both"/>
        <w:rPr>
          <w:rFonts w:ascii="Abadi" w:hAnsi="Abadi"/>
          <w:sz w:val="21"/>
          <w:szCs w:val="21"/>
        </w:rPr>
      </w:pPr>
      <w:r w:rsidRPr="00CA5486">
        <w:rPr>
          <w:rFonts w:ascii="Abadi" w:hAnsi="Abadi"/>
          <w:b/>
          <w:bCs/>
          <w:sz w:val="21"/>
          <w:szCs w:val="21"/>
        </w:rPr>
        <w:t xml:space="preserve">- </w:t>
      </w:r>
      <w:r w:rsidR="001563A4" w:rsidRPr="00CA5486">
        <w:rPr>
          <w:rFonts w:ascii="Abadi" w:hAnsi="Abadi"/>
          <w:b/>
          <w:bCs/>
          <w:sz w:val="21"/>
          <w:szCs w:val="21"/>
        </w:rPr>
        <w:t xml:space="preserve">La </w:t>
      </w:r>
      <w:proofErr w:type="gramStart"/>
      <w:r w:rsidR="001563A4" w:rsidRPr="00CA5486">
        <w:rPr>
          <w:rFonts w:ascii="Abadi" w:hAnsi="Abadi"/>
          <w:b/>
          <w:bCs/>
          <w:sz w:val="21"/>
          <w:szCs w:val="21"/>
        </w:rPr>
        <w:t>Secretaria.-</w:t>
      </w:r>
      <w:proofErr w:type="gramEnd"/>
      <w:r w:rsidR="001563A4" w:rsidRPr="00CA5486">
        <w:rPr>
          <w:rFonts w:ascii="Abadi" w:hAnsi="Abadi"/>
          <w:sz w:val="21"/>
          <w:szCs w:val="21"/>
        </w:rPr>
        <w:t xml:space="preserve"> En votación nominal por el sistema electrónico se pregunta a las diputadas y a los  diputados, si se aprueba el dictamen</w:t>
      </w:r>
      <w:r w:rsidR="001563A4" w:rsidRPr="0021199F">
        <w:rPr>
          <w:rFonts w:ascii="Abadi" w:hAnsi="Abadi"/>
          <w:sz w:val="21"/>
          <w:szCs w:val="21"/>
        </w:rPr>
        <w:t xml:space="preserve"> puesto a su consideración</w:t>
      </w:r>
      <w:r w:rsidR="001563A4">
        <w:rPr>
          <w:rFonts w:ascii="Abadi" w:hAnsi="Abadi"/>
          <w:sz w:val="21"/>
          <w:szCs w:val="21"/>
        </w:rPr>
        <w:t>. ¿</w:t>
      </w:r>
      <w:r w:rsidR="001563A4" w:rsidRPr="0021199F">
        <w:rPr>
          <w:rFonts w:ascii="Abadi" w:hAnsi="Abadi"/>
          <w:sz w:val="21"/>
          <w:szCs w:val="21"/>
        </w:rPr>
        <w:t>Diputado César Larrondo</w:t>
      </w:r>
      <w:r w:rsidR="001563A4">
        <w:rPr>
          <w:rFonts w:ascii="Abadi" w:hAnsi="Abadi"/>
          <w:sz w:val="21"/>
          <w:szCs w:val="21"/>
        </w:rPr>
        <w:t>?</w:t>
      </w:r>
      <w:r w:rsidR="001563A4" w:rsidRPr="0021199F">
        <w:rPr>
          <w:rFonts w:ascii="Abadi" w:hAnsi="Abadi"/>
          <w:sz w:val="21"/>
          <w:szCs w:val="21"/>
        </w:rPr>
        <w:t xml:space="preserve"> </w:t>
      </w:r>
      <w:r w:rsidR="001563A4">
        <w:rPr>
          <w:rFonts w:ascii="Abadi" w:hAnsi="Abadi"/>
          <w:sz w:val="21"/>
          <w:szCs w:val="21"/>
        </w:rPr>
        <w:t>¿</w:t>
      </w:r>
      <w:r w:rsidR="001563A4" w:rsidRPr="0021199F">
        <w:rPr>
          <w:rFonts w:ascii="Abadi" w:hAnsi="Abadi"/>
          <w:sz w:val="21"/>
          <w:szCs w:val="21"/>
        </w:rPr>
        <w:t>Diputada Ruth Noemí T</w:t>
      </w:r>
      <w:r w:rsidR="001563A4">
        <w:rPr>
          <w:rFonts w:ascii="Abadi" w:hAnsi="Abadi"/>
          <w:sz w:val="21"/>
          <w:szCs w:val="21"/>
        </w:rPr>
        <w:t>iscareño? G</w:t>
      </w:r>
      <w:r w:rsidR="001563A4" w:rsidRPr="0021199F">
        <w:rPr>
          <w:rFonts w:ascii="Abadi" w:hAnsi="Abadi"/>
          <w:sz w:val="21"/>
          <w:szCs w:val="21"/>
        </w:rPr>
        <w:t xml:space="preserve">racias, diputada. </w:t>
      </w:r>
    </w:p>
    <w:p w14:paraId="34CD426E" w14:textId="77777777" w:rsidR="00D335D1" w:rsidRDefault="00D335D1" w:rsidP="00CA5486">
      <w:pPr>
        <w:pStyle w:val="NormalWeb"/>
        <w:spacing w:before="0" w:beforeAutospacing="0" w:after="0" w:afterAutospacing="0"/>
        <w:ind w:firstLine="708"/>
        <w:jc w:val="both"/>
        <w:rPr>
          <w:rFonts w:ascii="Abadi" w:hAnsi="Abadi"/>
          <w:sz w:val="21"/>
          <w:szCs w:val="21"/>
        </w:rPr>
      </w:pPr>
    </w:p>
    <w:p w14:paraId="56F786E9" w14:textId="77777777" w:rsidR="001563A4" w:rsidRDefault="001563A4" w:rsidP="001563A4">
      <w:pPr>
        <w:pStyle w:val="NormalWeb"/>
        <w:jc w:val="both"/>
        <w:rPr>
          <w:rFonts w:ascii="Abadi" w:hAnsi="Abadi"/>
          <w:sz w:val="21"/>
          <w:szCs w:val="21"/>
        </w:rPr>
      </w:pPr>
      <w:r>
        <w:rPr>
          <w:rFonts w:ascii="Abadi" w:hAnsi="Abadi"/>
          <w:sz w:val="21"/>
          <w:szCs w:val="21"/>
        </w:rPr>
        <w:t>¿</w:t>
      </w:r>
      <w:r w:rsidRPr="0021199F">
        <w:rPr>
          <w:rFonts w:ascii="Abadi" w:hAnsi="Abadi"/>
          <w:sz w:val="21"/>
          <w:szCs w:val="21"/>
        </w:rPr>
        <w:t xml:space="preserve">Falta alguna diputada, algún diputado de emitir su voto? </w:t>
      </w:r>
    </w:p>
    <w:p w14:paraId="70FF83DD" w14:textId="3CE71AEB" w:rsidR="001563A4" w:rsidRDefault="001563A4" w:rsidP="008619DF">
      <w:pPr>
        <w:pStyle w:val="NormalWeb"/>
        <w:jc w:val="center"/>
        <w:rPr>
          <w:rFonts w:ascii="Abadi" w:hAnsi="Abadi"/>
          <w:b/>
          <w:bCs/>
          <w:sz w:val="21"/>
          <w:szCs w:val="21"/>
        </w:rPr>
      </w:pPr>
      <w:r>
        <w:rPr>
          <w:rFonts w:ascii="Abadi" w:hAnsi="Abadi"/>
          <w:b/>
          <w:sz w:val="21"/>
          <w:szCs w:val="21"/>
        </w:rPr>
        <w:t>(</w:t>
      </w:r>
      <w:r w:rsidRPr="00682102">
        <w:rPr>
          <w:rFonts w:ascii="Abadi" w:hAnsi="Abadi"/>
          <w:b/>
          <w:sz w:val="21"/>
          <w:szCs w:val="21"/>
        </w:rPr>
        <w:t>Se cierra el sistema electrónico</w:t>
      </w:r>
      <w:r w:rsidRPr="00682102">
        <w:rPr>
          <w:rFonts w:ascii="Abadi" w:hAnsi="Abadi"/>
          <w:b/>
          <w:bCs/>
          <w:sz w:val="21"/>
          <w:szCs w:val="21"/>
        </w:rPr>
        <w:t>)</w:t>
      </w:r>
    </w:p>
    <w:p w14:paraId="1572B2B8" w14:textId="77777777" w:rsidR="001563A4" w:rsidRDefault="001563A4" w:rsidP="001563A4">
      <w:pPr>
        <w:pStyle w:val="NormalWeb"/>
        <w:jc w:val="both"/>
        <w:rPr>
          <w:rFonts w:ascii="Abadi" w:hAnsi="Abadi"/>
          <w:b/>
          <w:bCs/>
          <w:sz w:val="21"/>
          <w:szCs w:val="21"/>
        </w:rPr>
      </w:pPr>
      <w:r>
        <w:rPr>
          <w:noProof/>
        </w:rPr>
        <w:drawing>
          <wp:inline distT="0" distB="0" distL="0" distR="0" wp14:anchorId="00D29CB6" wp14:editId="6529294C">
            <wp:extent cx="2068285" cy="1109263"/>
            <wp:effectExtent l="152400" t="152400" r="370205" b="358140"/>
            <wp:docPr id="51" name="Imagen 5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Tabla&#10;&#10;Descripción generada automáticamente"/>
                    <pic:cNvPicPr/>
                  </pic:nvPicPr>
                  <pic:blipFill rotWithShape="1">
                    <a:blip r:embed="rId63"/>
                    <a:srcRect b="4609"/>
                    <a:stretch/>
                  </pic:blipFill>
                  <pic:spPr bwMode="auto">
                    <a:xfrm>
                      <a:off x="0" y="0"/>
                      <a:ext cx="2085300" cy="111838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C3EF304" w14:textId="72B6ABCC" w:rsidR="001563A4" w:rsidRDefault="008619DF" w:rsidP="008619DF">
      <w:pPr>
        <w:pStyle w:val="NormalWeb"/>
        <w:ind w:firstLine="708"/>
        <w:jc w:val="both"/>
        <w:rPr>
          <w:rFonts w:ascii="Abadi" w:hAnsi="Abadi"/>
          <w:sz w:val="21"/>
          <w:szCs w:val="21"/>
        </w:rPr>
      </w:pPr>
      <w:r>
        <w:rPr>
          <w:rFonts w:ascii="Abadi" w:hAnsi="Abadi"/>
          <w:b/>
          <w:bCs/>
          <w:sz w:val="21"/>
          <w:szCs w:val="21"/>
        </w:rPr>
        <w:t xml:space="preserve">- </w:t>
      </w:r>
      <w:r w:rsidR="001563A4" w:rsidRPr="00111EBB">
        <w:rPr>
          <w:rFonts w:ascii="Abadi" w:hAnsi="Abadi"/>
          <w:b/>
          <w:bCs/>
          <w:sz w:val="21"/>
          <w:szCs w:val="21"/>
        </w:rPr>
        <w:t xml:space="preserve">La </w:t>
      </w:r>
      <w:proofErr w:type="gramStart"/>
      <w:r w:rsidR="001563A4" w:rsidRPr="00111EBB">
        <w:rPr>
          <w:rFonts w:ascii="Abadi" w:hAnsi="Abadi"/>
          <w:b/>
          <w:bCs/>
          <w:sz w:val="21"/>
          <w:szCs w:val="21"/>
        </w:rPr>
        <w:t>Presidencia.-</w:t>
      </w:r>
      <w:proofErr w:type="gramEnd"/>
      <w:r w:rsidR="001563A4">
        <w:rPr>
          <w:rFonts w:ascii="Abadi" w:hAnsi="Abadi"/>
          <w:sz w:val="21"/>
          <w:szCs w:val="21"/>
        </w:rPr>
        <w:t xml:space="preserve"> </w:t>
      </w:r>
      <w:r w:rsidR="001563A4" w:rsidRPr="0021199F">
        <w:rPr>
          <w:rFonts w:ascii="Abadi" w:hAnsi="Abadi"/>
          <w:sz w:val="21"/>
          <w:szCs w:val="21"/>
        </w:rPr>
        <w:t>El dictamen ha sido aprobado por unanimidad de voto</w:t>
      </w:r>
      <w:r w:rsidR="001563A4">
        <w:rPr>
          <w:rFonts w:ascii="Abadi" w:hAnsi="Abadi"/>
          <w:sz w:val="21"/>
          <w:szCs w:val="21"/>
        </w:rPr>
        <w:t>s.</w:t>
      </w:r>
    </w:p>
    <w:p w14:paraId="45FDC6CE" w14:textId="6058AA96" w:rsidR="001563A4" w:rsidRDefault="008619DF" w:rsidP="008619DF">
      <w:pPr>
        <w:pStyle w:val="NormalWeb"/>
        <w:ind w:firstLine="708"/>
        <w:jc w:val="both"/>
        <w:rPr>
          <w:rFonts w:ascii="Abadi" w:hAnsi="Abadi"/>
          <w:sz w:val="21"/>
          <w:szCs w:val="21"/>
        </w:rPr>
      </w:pPr>
      <w:r>
        <w:rPr>
          <w:rFonts w:ascii="Abadi" w:hAnsi="Abadi"/>
          <w:b/>
          <w:bCs/>
          <w:sz w:val="21"/>
          <w:szCs w:val="21"/>
        </w:rPr>
        <w:t xml:space="preserve">- </w:t>
      </w:r>
      <w:r w:rsidR="001563A4" w:rsidRPr="00C04648">
        <w:rPr>
          <w:rFonts w:ascii="Abadi" w:hAnsi="Abadi"/>
          <w:b/>
          <w:bCs/>
          <w:sz w:val="21"/>
          <w:szCs w:val="21"/>
        </w:rPr>
        <w:t xml:space="preserve">La </w:t>
      </w:r>
      <w:proofErr w:type="gramStart"/>
      <w:r w:rsidR="001563A4" w:rsidRPr="00C04648">
        <w:rPr>
          <w:rFonts w:ascii="Abadi" w:hAnsi="Abadi"/>
          <w:b/>
          <w:bCs/>
          <w:sz w:val="21"/>
          <w:szCs w:val="21"/>
        </w:rPr>
        <w:t>Presidencia.-</w:t>
      </w:r>
      <w:proofErr w:type="gramEnd"/>
      <w:r w:rsidR="001563A4">
        <w:rPr>
          <w:rFonts w:ascii="Abadi" w:hAnsi="Abadi"/>
          <w:sz w:val="21"/>
          <w:szCs w:val="21"/>
        </w:rPr>
        <w:t xml:space="preserve"> Se registraron 36 votos a favor. </w:t>
      </w:r>
    </w:p>
    <w:p w14:paraId="33C0AB79" w14:textId="1C7CD5A9" w:rsidR="001563A4" w:rsidRDefault="008619DF" w:rsidP="00E1671B">
      <w:pPr>
        <w:pStyle w:val="NormalWeb"/>
        <w:ind w:firstLine="708"/>
        <w:jc w:val="both"/>
        <w:rPr>
          <w:rFonts w:ascii="Abadi" w:hAnsi="Abadi"/>
          <w:sz w:val="21"/>
          <w:szCs w:val="21"/>
        </w:rPr>
      </w:pPr>
      <w:r>
        <w:rPr>
          <w:rFonts w:ascii="Abadi" w:hAnsi="Abadi"/>
          <w:sz w:val="21"/>
          <w:szCs w:val="21"/>
        </w:rPr>
        <w:t xml:space="preserve"> </w:t>
      </w:r>
      <w:r w:rsidR="00E1671B">
        <w:rPr>
          <w:rFonts w:ascii="Abadi" w:hAnsi="Abadi"/>
          <w:sz w:val="21"/>
          <w:szCs w:val="21"/>
        </w:rPr>
        <w:t xml:space="preserve">- </w:t>
      </w:r>
      <w:r w:rsidR="001563A4" w:rsidRPr="0021199F">
        <w:rPr>
          <w:rFonts w:ascii="Abadi" w:hAnsi="Abadi"/>
          <w:sz w:val="21"/>
          <w:szCs w:val="21"/>
        </w:rPr>
        <w:t>En consecuencia</w:t>
      </w:r>
      <w:r w:rsidR="001563A4">
        <w:rPr>
          <w:rFonts w:ascii="Abadi" w:hAnsi="Abadi"/>
          <w:sz w:val="21"/>
          <w:szCs w:val="21"/>
        </w:rPr>
        <w:t xml:space="preserve">. </w:t>
      </w:r>
    </w:p>
    <w:p w14:paraId="017F043F" w14:textId="77777777" w:rsidR="001563A4" w:rsidRPr="00C04648" w:rsidRDefault="001563A4" w:rsidP="008619DF">
      <w:pPr>
        <w:pStyle w:val="NormalWeb"/>
        <w:ind w:left="567" w:right="354"/>
        <w:jc w:val="both"/>
        <w:rPr>
          <w:rFonts w:ascii="Abadi" w:hAnsi="Abadi"/>
          <w:b/>
          <w:bCs/>
          <w:i/>
          <w:iCs/>
          <w:sz w:val="21"/>
          <w:szCs w:val="21"/>
          <w:u w:val="single"/>
        </w:rPr>
      </w:pPr>
      <w:r w:rsidRPr="00C04648">
        <w:rPr>
          <w:rFonts w:ascii="Abadi" w:hAnsi="Abadi"/>
          <w:b/>
          <w:bCs/>
          <w:i/>
          <w:iCs/>
          <w:sz w:val="21"/>
          <w:szCs w:val="21"/>
          <w:u w:val="single"/>
        </w:rPr>
        <w:t xml:space="preserve">Se instruye a la Secretaría General para que proceda al archivo definitivo de la iniciativa referida en el dictamen aprobado. </w:t>
      </w:r>
    </w:p>
    <w:p w14:paraId="51899E3D" w14:textId="77777777" w:rsidR="00374A1E" w:rsidRPr="007C2763" w:rsidRDefault="00374A1E" w:rsidP="00675277">
      <w:pPr>
        <w:pStyle w:val="Textoindependiente"/>
        <w:kinsoku w:val="0"/>
        <w:overflowPunct w:val="0"/>
        <w:ind w:right="114"/>
        <w:jc w:val="left"/>
        <w:rPr>
          <w:sz w:val="21"/>
          <w:szCs w:val="21"/>
        </w:rPr>
      </w:pPr>
    </w:p>
    <w:p w14:paraId="3905339F" w14:textId="32EC093A" w:rsidR="00021259" w:rsidRPr="007C2763" w:rsidRDefault="00021259" w:rsidP="00343CA9">
      <w:pPr>
        <w:pStyle w:val="Prrafodelista"/>
        <w:numPr>
          <w:ilvl w:val="0"/>
          <w:numId w:val="26"/>
        </w:numPr>
        <w:autoSpaceDE w:val="0"/>
        <w:autoSpaceDN w:val="0"/>
        <w:adjustRightInd w:val="0"/>
        <w:ind w:left="426"/>
        <w:jc w:val="both"/>
        <w:rPr>
          <w:rFonts w:ascii="Abadi" w:hAnsi="Abadi" w:cs="ArialMT"/>
          <w:b/>
          <w:bCs/>
          <w:sz w:val="21"/>
          <w:szCs w:val="21"/>
        </w:rPr>
      </w:pPr>
      <w:r w:rsidRPr="007C2763">
        <w:rPr>
          <w:rFonts w:ascii="Abadi" w:hAnsi="Abadi" w:cs="ArialMT"/>
          <w:b/>
          <w:bCs/>
          <w:sz w:val="21"/>
          <w:szCs w:val="21"/>
        </w:rPr>
        <w:t>DISCUSIÓN Y, EN SU CASO, APROBACIÓN DEL DICTAMEN SIGNADO POR LA COMISIÓN DE SEGURIDAD PÚBLICA Y COMUNICACIONES RELATIVO A LA INICIATIVA SUSCRITA POR LA DIPUTADA Y EL DIPUTADO INTEGRANTES DEL GRUPO PARLAMENTARIO DEL PARTIDO VERDE ECOLOGISTA DE MÉXICO A EFECTO DE ADICIONAR UN PÁRRAFO SEGUNDO AL</w:t>
      </w:r>
      <w:r w:rsidR="00300604" w:rsidRPr="007C2763">
        <w:rPr>
          <w:rFonts w:ascii="Abadi" w:hAnsi="Abadi" w:cs="ArialMT"/>
          <w:b/>
          <w:bCs/>
          <w:sz w:val="21"/>
          <w:szCs w:val="21"/>
        </w:rPr>
        <w:t xml:space="preserve"> </w:t>
      </w:r>
      <w:r w:rsidRPr="007C2763">
        <w:rPr>
          <w:rFonts w:ascii="Abadi" w:hAnsi="Abadi" w:cs="ArialMT"/>
          <w:b/>
          <w:bCs/>
          <w:sz w:val="21"/>
          <w:szCs w:val="21"/>
        </w:rPr>
        <w:t>ARTÍCULO 251 DE LA LEY DE MOVILIDAD DEL ESTADO DE GUANAJUATO Y SUS MUNICIPIOS.</w:t>
      </w:r>
    </w:p>
    <w:p w14:paraId="242ABCE1" w14:textId="0E650A46" w:rsidR="00DF3BF0" w:rsidRPr="007C2763" w:rsidRDefault="00DF3BF0" w:rsidP="00DF3BF0">
      <w:pPr>
        <w:autoSpaceDE w:val="0"/>
        <w:autoSpaceDN w:val="0"/>
        <w:adjustRightInd w:val="0"/>
        <w:jc w:val="both"/>
        <w:rPr>
          <w:rFonts w:ascii="Abadi" w:hAnsi="Abadi" w:cs="ArialMT"/>
          <w:b/>
          <w:bCs/>
          <w:sz w:val="21"/>
          <w:szCs w:val="21"/>
        </w:rPr>
      </w:pPr>
    </w:p>
    <w:p w14:paraId="3E75EB56" w14:textId="77777777" w:rsidR="00DF3BF0" w:rsidRPr="007C2763" w:rsidRDefault="00DF3BF0" w:rsidP="00DF3BF0">
      <w:pPr>
        <w:autoSpaceDE w:val="0"/>
        <w:autoSpaceDN w:val="0"/>
        <w:adjustRightInd w:val="0"/>
        <w:jc w:val="both"/>
        <w:rPr>
          <w:rFonts w:ascii="Abadi" w:hAnsi="Abadi" w:cs="*Calibri-Bold-3385-Identity-H"/>
          <w:b/>
          <w:bCs/>
          <w:color w:val="14121F"/>
          <w:sz w:val="21"/>
          <w:szCs w:val="21"/>
        </w:rPr>
      </w:pPr>
      <w:r w:rsidRPr="007C2763">
        <w:rPr>
          <w:rFonts w:ascii="Abadi" w:hAnsi="Abadi" w:cs="*Calibri-Bold-3385-Identity-H"/>
          <w:b/>
          <w:bCs/>
          <w:color w:val="14121F"/>
          <w:sz w:val="21"/>
          <w:szCs w:val="21"/>
        </w:rPr>
        <w:t>PRESIDENCIA DEL CONGRESO DEL ESTADO</w:t>
      </w:r>
    </w:p>
    <w:p w14:paraId="4CD206A7" w14:textId="77777777" w:rsidR="00DF3BF0" w:rsidRPr="007C2763" w:rsidRDefault="00DF3BF0" w:rsidP="00DF3BF0">
      <w:pPr>
        <w:autoSpaceDE w:val="0"/>
        <w:autoSpaceDN w:val="0"/>
        <w:adjustRightInd w:val="0"/>
        <w:jc w:val="both"/>
        <w:rPr>
          <w:rFonts w:ascii="Abadi" w:hAnsi="Abadi" w:cs="*Calibri-Bold-3385-Identity-H"/>
          <w:b/>
          <w:bCs/>
          <w:color w:val="14121F"/>
          <w:sz w:val="21"/>
          <w:szCs w:val="21"/>
        </w:rPr>
      </w:pPr>
      <w:r w:rsidRPr="007C2763">
        <w:rPr>
          <w:rFonts w:ascii="Abadi" w:hAnsi="Abadi" w:cs="*Calibri-Bold-3385-Identity-H"/>
          <w:b/>
          <w:bCs/>
          <w:color w:val="14121F"/>
          <w:sz w:val="21"/>
          <w:szCs w:val="21"/>
        </w:rPr>
        <w:t>P R E S E N T E</w:t>
      </w:r>
    </w:p>
    <w:p w14:paraId="3056084A" w14:textId="77777777" w:rsidR="00DF3BF0" w:rsidRPr="007C2763" w:rsidRDefault="00DF3BF0" w:rsidP="00DF3BF0">
      <w:pPr>
        <w:autoSpaceDE w:val="0"/>
        <w:autoSpaceDN w:val="0"/>
        <w:adjustRightInd w:val="0"/>
        <w:jc w:val="both"/>
        <w:rPr>
          <w:rFonts w:ascii="Abadi" w:hAnsi="Abadi" w:cs="*Calibri-Bold-3385-Identity-H"/>
          <w:b/>
          <w:bCs/>
          <w:color w:val="14121F"/>
          <w:sz w:val="21"/>
          <w:szCs w:val="21"/>
        </w:rPr>
      </w:pPr>
    </w:p>
    <w:p w14:paraId="6F88CDA1" w14:textId="77777777" w:rsidR="00DF3BF0" w:rsidRPr="007C2763" w:rsidRDefault="00DF3BF0" w:rsidP="00DF3BF0">
      <w:pPr>
        <w:autoSpaceDE w:val="0"/>
        <w:autoSpaceDN w:val="0"/>
        <w:adjustRightInd w:val="0"/>
        <w:ind w:firstLine="708"/>
        <w:jc w:val="both"/>
        <w:rPr>
          <w:rFonts w:ascii="Abadi" w:hAnsi="Abadi" w:cs="*Calibri-3384-Identity-H"/>
          <w:color w:val="17161D"/>
          <w:sz w:val="21"/>
          <w:szCs w:val="21"/>
        </w:rPr>
      </w:pPr>
      <w:r w:rsidRPr="007C2763">
        <w:rPr>
          <w:rFonts w:ascii="Abadi" w:hAnsi="Abadi" w:cs="*Calibri-3384-Identity-H"/>
          <w:color w:val="17161D"/>
          <w:sz w:val="21"/>
          <w:szCs w:val="21"/>
        </w:rPr>
        <w:t>La diputada y los diputados que integramos la Comisión de Seguridad Pública y Comunicaciones, recibimos para efecto de estudio y dictamen la iniciativa suscrita por la diputada y el diputado integrantes del Grupo Parlamentario del Partido Verde Ecologista de México a efecto de adicionar un párrafo segundo al artículo 251 de la Ley de Movilidad del Estado de Guanajuato y sus Municipios.</w:t>
      </w:r>
    </w:p>
    <w:p w14:paraId="6E459604" w14:textId="77777777" w:rsidR="00DF3BF0" w:rsidRPr="007C2763" w:rsidRDefault="00DF3BF0" w:rsidP="00DF3BF0">
      <w:pPr>
        <w:autoSpaceDE w:val="0"/>
        <w:autoSpaceDN w:val="0"/>
        <w:adjustRightInd w:val="0"/>
        <w:jc w:val="both"/>
        <w:rPr>
          <w:rFonts w:ascii="Abadi" w:hAnsi="Abadi" w:cs="*Calibri-3384-Identity-H"/>
          <w:color w:val="17161D"/>
          <w:sz w:val="21"/>
          <w:szCs w:val="21"/>
        </w:rPr>
      </w:pPr>
    </w:p>
    <w:p w14:paraId="7E991375" w14:textId="77777777" w:rsidR="00DF3BF0" w:rsidRPr="007C2763" w:rsidRDefault="00DF3BF0" w:rsidP="00DF3BF0">
      <w:pPr>
        <w:autoSpaceDE w:val="0"/>
        <w:autoSpaceDN w:val="0"/>
        <w:adjustRightInd w:val="0"/>
        <w:ind w:firstLine="708"/>
        <w:jc w:val="both"/>
        <w:rPr>
          <w:rFonts w:ascii="Abadi" w:hAnsi="Abadi" w:cs="*Calibri-3384-Identity-H"/>
          <w:color w:val="17161D"/>
          <w:sz w:val="21"/>
          <w:szCs w:val="21"/>
        </w:rPr>
      </w:pPr>
      <w:r w:rsidRPr="007C2763">
        <w:rPr>
          <w:rFonts w:ascii="Abadi" w:hAnsi="Abadi" w:cs="*Calibri-3384-Identity-H"/>
          <w:color w:val="17161D"/>
          <w:sz w:val="21"/>
          <w:szCs w:val="21"/>
        </w:rPr>
        <w:t xml:space="preserve">Con fundamento en los artículos 119 fracción </w:t>
      </w:r>
      <w:r w:rsidRPr="007C2763">
        <w:rPr>
          <w:rFonts w:ascii="Abadi" w:hAnsi="Abadi" w:cs="*Times New Roman-3383-Identity-"/>
          <w:color w:val="17161D"/>
          <w:sz w:val="21"/>
          <w:szCs w:val="21"/>
        </w:rPr>
        <w:t xml:space="preserve">III </w:t>
      </w:r>
      <w:r w:rsidRPr="007C2763">
        <w:rPr>
          <w:rFonts w:ascii="Abadi" w:hAnsi="Abadi" w:cs="*Calibri-3384-Identity-H"/>
          <w:color w:val="17161D"/>
          <w:sz w:val="21"/>
          <w:szCs w:val="21"/>
        </w:rPr>
        <w:t>y 171 de la Ley Orgánica del Poder Legislativo, formulamos a la Asamblea el siguiente:</w:t>
      </w:r>
    </w:p>
    <w:p w14:paraId="518C6105" w14:textId="77777777" w:rsidR="00DF3BF0" w:rsidRPr="007C2763" w:rsidRDefault="00DF3BF0" w:rsidP="00DF3BF0">
      <w:pPr>
        <w:autoSpaceDE w:val="0"/>
        <w:autoSpaceDN w:val="0"/>
        <w:adjustRightInd w:val="0"/>
        <w:jc w:val="both"/>
        <w:rPr>
          <w:rFonts w:ascii="Abadi" w:hAnsi="Abadi" w:cs="*Calibri-3384-Identity-H"/>
          <w:color w:val="17161D"/>
          <w:sz w:val="21"/>
          <w:szCs w:val="21"/>
        </w:rPr>
      </w:pPr>
    </w:p>
    <w:p w14:paraId="1172DDDA" w14:textId="77777777" w:rsidR="00DF3BF0" w:rsidRPr="007C2763" w:rsidRDefault="00DF3BF0" w:rsidP="00DF3BF0">
      <w:pPr>
        <w:autoSpaceDE w:val="0"/>
        <w:autoSpaceDN w:val="0"/>
        <w:adjustRightInd w:val="0"/>
        <w:jc w:val="both"/>
        <w:rPr>
          <w:rFonts w:ascii="Abadi" w:hAnsi="Abadi" w:cs="*Calibri-3384-Identity-H"/>
          <w:color w:val="17161D"/>
          <w:sz w:val="21"/>
          <w:szCs w:val="21"/>
        </w:rPr>
      </w:pPr>
    </w:p>
    <w:p w14:paraId="7EB5B049" w14:textId="77777777" w:rsidR="00DF3BF0" w:rsidRPr="007C2763" w:rsidRDefault="00DF3BF0" w:rsidP="00DF3BF0">
      <w:pPr>
        <w:autoSpaceDE w:val="0"/>
        <w:autoSpaceDN w:val="0"/>
        <w:adjustRightInd w:val="0"/>
        <w:jc w:val="both"/>
        <w:rPr>
          <w:rFonts w:ascii="Abadi" w:hAnsi="Abadi" w:cs="*Calibri-3384-Identity-H"/>
          <w:color w:val="17161D"/>
          <w:sz w:val="21"/>
          <w:szCs w:val="21"/>
        </w:rPr>
      </w:pPr>
    </w:p>
    <w:p w14:paraId="1B38D449" w14:textId="77777777" w:rsidR="00DF3BF0" w:rsidRPr="007C2763" w:rsidRDefault="00DF3BF0" w:rsidP="00DF3BF0">
      <w:pPr>
        <w:autoSpaceDE w:val="0"/>
        <w:autoSpaceDN w:val="0"/>
        <w:adjustRightInd w:val="0"/>
        <w:jc w:val="center"/>
        <w:rPr>
          <w:rFonts w:ascii="Abadi" w:hAnsi="Abadi" w:cs="*Calibri-3384-Identity-H"/>
          <w:b/>
          <w:bCs/>
          <w:color w:val="17161D"/>
          <w:sz w:val="21"/>
          <w:szCs w:val="21"/>
        </w:rPr>
      </w:pPr>
      <w:r w:rsidRPr="007C2763">
        <w:rPr>
          <w:rFonts w:ascii="Abadi" w:hAnsi="Abadi" w:cs="*Calibri-3384-Identity-H"/>
          <w:b/>
          <w:bCs/>
          <w:color w:val="17161D"/>
          <w:sz w:val="21"/>
          <w:szCs w:val="21"/>
        </w:rPr>
        <w:t>D I C T A M E N</w:t>
      </w:r>
    </w:p>
    <w:p w14:paraId="6E34C06B" w14:textId="77777777" w:rsidR="00DF3BF0" w:rsidRPr="007C2763" w:rsidRDefault="00DF3BF0" w:rsidP="00DF3BF0">
      <w:pPr>
        <w:autoSpaceDE w:val="0"/>
        <w:autoSpaceDN w:val="0"/>
        <w:adjustRightInd w:val="0"/>
        <w:jc w:val="both"/>
        <w:rPr>
          <w:rFonts w:ascii="Abadi" w:hAnsi="Abadi" w:cs="*Calibri-3384-Identity-H"/>
          <w:b/>
          <w:bCs/>
          <w:color w:val="17161D"/>
          <w:sz w:val="21"/>
          <w:szCs w:val="21"/>
        </w:rPr>
      </w:pPr>
    </w:p>
    <w:p w14:paraId="78C6C925" w14:textId="77777777" w:rsidR="00DF3BF0" w:rsidRPr="007C2763" w:rsidRDefault="00DF3BF0" w:rsidP="00DF3BF0">
      <w:pPr>
        <w:autoSpaceDE w:val="0"/>
        <w:autoSpaceDN w:val="0"/>
        <w:adjustRightInd w:val="0"/>
        <w:jc w:val="both"/>
        <w:rPr>
          <w:rFonts w:ascii="Abadi" w:hAnsi="Abadi" w:cs="*Calibri-3384-Identity-H"/>
          <w:b/>
          <w:bCs/>
          <w:color w:val="17161D"/>
          <w:sz w:val="21"/>
          <w:szCs w:val="21"/>
        </w:rPr>
      </w:pPr>
    </w:p>
    <w:p w14:paraId="7D1F8F71" w14:textId="77777777" w:rsidR="00DF3BF0" w:rsidRPr="007C2763" w:rsidRDefault="00DF3BF0" w:rsidP="00210305">
      <w:pPr>
        <w:pStyle w:val="Prrafodelista"/>
        <w:numPr>
          <w:ilvl w:val="0"/>
          <w:numId w:val="61"/>
        </w:numPr>
        <w:autoSpaceDE w:val="0"/>
        <w:autoSpaceDN w:val="0"/>
        <w:adjustRightInd w:val="0"/>
        <w:jc w:val="both"/>
        <w:rPr>
          <w:rFonts w:ascii="Abadi" w:hAnsi="Abadi" w:cs="*Calibri-3384-Identity-H"/>
          <w:b/>
          <w:bCs/>
          <w:color w:val="17161D"/>
          <w:sz w:val="21"/>
          <w:szCs w:val="21"/>
        </w:rPr>
      </w:pPr>
      <w:r w:rsidRPr="007C2763">
        <w:rPr>
          <w:rFonts w:ascii="Abadi" w:hAnsi="Abadi" w:cs="*Calibri-3384-Identity-H"/>
          <w:b/>
          <w:bCs/>
          <w:color w:val="17161D"/>
          <w:sz w:val="21"/>
          <w:szCs w:val="21"/>
        </w:rPr>
        <w:t xml:space="preserve">Proceso Legislativo </w:t>
      </w:r>
    </w:p>
    <w:p w14:paraId="3ECEDDC2" w14:textId="77777777" w:rsidR="00DF3BF0" w:rsidRPr="007C2763" w:rsidRDefault="00DF3BF0" w:rsidP="00DF3BF0">
      <w:pPr>
        <w:pStyle w:val="Prrafodelista"/>
        <w:ind w:left="1080"/>
        <w:jc w:val="both"/>
        <w:rPr>
          <w:rFonts w:ascii="Abadi" w:hAnsi="Abadi" w:cs="*Calibri-3384-Identity-H"/>
          <w:b/>
          <w:bCs/>
          <w:color w:val="17161D"/>
          <w:sz w:val="21"/>
          <w:szCs w:val="21"/>
        </w:rPr>
      </w:pPr>
    </w:p>
    <w:p w14:paraId="211E311F" w14:textId="77777777" w:rsidR="00DF3BF0" w:rsidRPr="007C2763" w:rsidRDefault="00DF3BF0" w:rsidP="00DF3BF0">
      <w:pPr>
        <w:autoSpaceDE w:val="0"/>
        <w:autoSpaceDN w:val="0"/>
        <w:adjustRightInd w:val="0"/>
        <w:jc w:val="both"/>
        <w:rPr>
          <w:rFonts w:ascii="Abadi" w:hAnsi="Abadi" w:cs="*Calibri-Bold-3385-Identity-H"/>
          <w:b/>
          <w:bCs/>
          <w:color w:val="131421"/>
          <w:sz w:val="21"/>
          <w:szCs w:val="21"/>
        </w:rPr>
      </w:pPr>
    </w:p>
    <w:p w14:paraId="1E4F3D58" w14:textId="77777777" w:rsidR="00DF3BF0" w:rsidRPr="007C2763" w:rsidRDefault="00DF3BF0" w:rsidP="00DF3BF0">
      <w:pPr>
        <w:autoSpaceDE w:val="0"/>
        <w:autoSpaceDN w:val="0"/>
        <w:adjustRightInd w:val="0"/>
        <w:jc w:val="both"/>
        <w:rPr>
          <w:rFonts w:ascii="Abadi" w:hAnsi="Abadi" w:cs="*Courier New-4520-Identity-H"/>
          <w:color w:val="1C1B21"/>
          <w:sz w:val="21"/>
          <w:szCs w:val="21"/>
        </w:rPr>
      </w:pPr>
      <w:r w:rsidRPr="007C2763">
        <w:rPr>
          <w:rFonts w:ascii="Abadi" w:hAnsi="Abadi" w:cs="*Calibri-3384-Identity-H"/>
          <w:color w:val="17161D"/>
          <w:sz w:val="21"/>
          <w:szCs w:val="21"/>
        </w:rPr>
        <w:t xml:space="preserve">I.1. En sesión del 26 de enero de 2022 ingresó la iniciativa suscrita por la diputada y el diputado integrantes del Grupo Parlamentario del Partido Verde Ecologista de México a efecto de adicionar un párrafo segundo al artículo 251 de la Ley de Movilidad del Estado de Guanajuato y sus Municipios. Turnándose a esta Comisión de Seguridad Pública y </w:t>
      </w:r>
      <w:r w:rsidRPr="007C2763">
        <w:rPr>
          <w:rFonts w:ascii="Abadi" w:hAnsi="Abadi" w:cs="*Courier New-4520-Identity-H"/>
          <w:color w:val="1C1B21"/>
          <w:sz w:val="21"/>
          <w:szCs w:val="21"/>
        </w:rPr>
        <w:t xml:space="preserve">Comunicaciones, con fundamento en lo dispuesto por el artículo 119 fracción </w:t>
      </w:r>
      <w:r w:rsidRPr="007C2763">
        <w:rPr>
          <w:rFonts w:ascii="Abadi" w:hAnsi="Abadi" w:cs="*Times New Roman-4518-Identity-"/>
          <w:color w:val="1C1B21"/>
          <w:sz w:val="21"/>
          <w:szCs w:val="21"/>
        </w:rPr>
        <w:t xml:space="preserve">III </w:t>
      </w:r>
      <w:r w:rsidRPr="007C2763">
        <w:rPr>
          <w:rFonts w:ascii="Abadi" w:hAnsi="Abadi" w:cs="*Courier New-4520-Identity-H"/>
          <w:color w:val="1C1B21"/>
          <w:sz w:val="21"/>
          <w:szCs w:val="21"/>
        </w:rPr>
        <w:t>de nuestra Ley Orgánica.</w:t>
      </w:r>
    </w:p>
    <w:p w14:paraId="60F10C98" w14:textId="77777777" w:rsidR="00DF3BF0" w:rsidRPr="007C2763" w:rsidRDefault="00DF3BF0" w:rsidP="00DF3BF0">
      <w:pPr>
        <w:autoSpaceDE w:val="0"/>
        <w:autoSpaceDN w:val="0"/>
        <w:adjustRightInd w:val="0"/>
        <w:jc w:val="both"/>
        <w:rPr>
          <w:rFonts w:ascii="Abadi" w:hAnsi="Abadi" w:cs="*Courier New-4520-Identity-H"/>
          <w:color w:val="1C1B21"/>
          <w:sz w:val="21"/>
          <w:szCs w:val="21"/>
        </w:rPr>
      </w:pPr>
    </w:p>
    <w:p w14:paraId="1A7D02D4" w14:textId="77777777" w:rsidR="00DF3BF0" w:rsidRPr="007C2763" w:rsidRDefault="00DF3BF0" w:rsidP="00DF3BF0">
      <w:pPr>
        <w:autoSpaceDE w:val="0"/>
        <w:autoSpaceDN w:val="0"/>
        <w:adjustRightInd w:val="0"/>
        <w:jc w:val="both"/>
        <w:rPr>
          <w:rFonts w:ascii="Abadi" w:hAnsi="Abadi" w:cs="*Courier New-4520-Identity-H"/>
          <w:color w:val="1B1A21"/>
          <w:sz w:val="21"/>
          <w:szCs w:val="21"/>
        </w:rPr>
      </w:pPr>
      <w:r w:rsidRPr="007C2763">
        <w:rPr>
          <w:rFonts w:ascii="Abadi" w:hAnsi="Abadi" w:cs="*Courier New-4520-Identity-H"/>
          <w:color w:val="1B1A21"/>
          <w:sz w:val="21"/>
          <w:szCs w:val="21"/>
        </w:rPr>
        <w:t>I.2. En sesión de la Comisión de Seguridad Pública y Comunicaciones, de fecha 3 de febrero de 2022, se radicó la iniciativa. Acordándose como metodología, en fecha 22 de febrero de 2022, lo siguiente:</w:t>
      </w:r>
    </w:p>
    <w:p w14:paraId="48E2502A" w14:textId="77777777" w:rsidR="00DF3BF0" w:rsidRPr="007C2763" w:rsidRDefault="00DF3BF0" w:rsidP="00DF3BF0">
      <w:pPr>
        <w:autoSpaceDE w:val="0"/>
        <w:autoSpaceDN w:val="0"/>
        <w:adjustRightInd w:val="0"/>
        <w:jc w:val="both"/>
        <w:rPr>
          <w:rFonts w:ascii="Abadi" w:hAnsi="Abadi" w:cs="*Courier New-4520-Identity-H"/>
          <w:color w:val="1B1A21"/>
          <w:sz w:val="21"/>
          <w:szCs w:val="21"/>
        </w:rPr>
      </w:pPr>
    </w:p>
    <w:p w14:paraId="2D2A2A3C" w14:textId="77777777" w:rsidR="00DF3BF0" w:rsidRPr="007C2763" w:rsidRDefault="00DF3BF0" w:rsidP="00DF3BF0">
      <w:pPr>
        <w:autoSpaceDE w:val="0"/>
        <w:autoSpaceDN w:val="0"/>
        <w:adjustRightInd w:val="0"/>
        <w:jc w:val="both"/>
        <w:rPr>
          <w:rFonts w:ascii="Abadi" w:hAnsi="Abadi" w:cs="*Courier New-4520-Identity-H"/>
          <w:color w:val="1B1A21"/>
          <w:sz w:val="21"/>
          <w:szCs w:val="21"/>
        </w:rPr>
      </w:pPr>
      <w:r w:rsidRPr="007C2763">
        <w:rPr>
          <w:rFonts w:ascii="Abadi" w:hAnsi="Abadi" w:cs="*Courier New-4520-Identity-H"/>
          <w:color w:val="1B1A21"/>
          <w:sz w:val="21"/>
          <w:szCs w:val="21"/>
        </w:rPr>
        <w:t>1. Enviar la iniciativa por correo electrónico a las Diputadas y los Diputados de esta Legislatura para su análisis y comentarios, otorgándoles 20 días hábiles, contados a partir de la recepción, para enviar sus comentarios.</w:t>
      </w:r>
    </w:p>
    <w:p w14:paraId="45A30482" w14:textId="77777777" w:rsidR="00DF3BF0" w:rsidRPr="007C2763" w:rsidRDefault="00DF3BF0" w:rsidP="00DF3BF0">
      <w:pPr>
        <w:autoSpaceDE w:val="0"/>
        <w:autoSpaceDN w:val="0"/>
        <w:adjustRightInd w:val="0"/>
        <w:jc w:val="both"/>
        <w:rPr>
          <w:rFonts w:ascii="Abadi" w:hAnsi="Abadi" w:cs="*Courier New-4520-Identity-H"/>
          <w:color w:val="1B1A21"/>
          <w:sz w:val="21"/>
          <w:szCs w:val="21"/>
        </w:rPr>
      </w:pPr>
    </w:p>
    <w:p w14:paraId="19F0B85C" w14:textId="77777777" w:rsidR="00DF3BF0" w:rsidRPr="007C2763" w:rsidRDefault="00DF3BF0" w:rsidP="00EB6C90">
      <w:pPr>
        <w:autoSpaceDE w:val="0"/>
        <w:autoSpaceDN w:val="0"/>
        <w:adjustRightInd w:val="0"/>
        <w:jc w:val="both"/>
        <w:rPr>
          <w:rFonts w:ascii="Abadi" w:hAnsi="Abadi" w:cs="*Courier New-4520-Identity-H"/>
          <w:color w:val="1C1C22"/>
          <w:sz w:val="21"/>
          <w:szCs w:val="21"/>
        </w:rPr>
      </w:pPr>
      <w:r w:rsidRPr="007C2763">
        <w:rPr>
          <w:rFonts w:ascii="Abadi" w:hAnsi="Abadi" w:cs="*Courier New-4520-Identity-H"/>
          <w:color w:val="1C1C22"/>
          <w:sz w:val="21"/>
          <w:szCs w:val="21"/>
        </w:rPr>
        <w:t>2. Enviar la iniciativa por firma electrónica a los ayuntamientos del estado para su análisis y comentarios, otorgándoles 20 días hábiles, contados a partir de la recepción, para enviar sus comentarios.</w:t>
      </w:r>
    </w:p>
    <w:p w14:paraId="42DD5FB0" w14:textId="77777777" w:rsidR="00DF3BF0" w:rsidRPr="007C2763" w:rsidRDefault="00DF3BF0" w:rsidP="00EB6C90">
      <w:pPr>
        <w:autoSpaceDE w:val="0"/>
        <w:autoSpaceDN w:val="0"/>
        <w:adjustRightInd w:val="0"/>
        <w:jc w:val="both"/>
        <w:rPr>
          <w:rFonts w:ascii="Abadi" w:hAnsi="Abadi" w:cs="*Courier New-4520-Identity-H"/>
          <w:color w:val="1C1C22"/>
          <w:sz w:val="21"/>
          <w:szCs w:val="21"/>
        </w:rPr>
      </w:pPr>
    </w:p>
    <w:p w14:paraId="41ACBA9B" w14:textId="77777777" w:rsidR="00DF3BF0" w:rsidRPr="007C2763" w:rsidRDefault="00DF3BF0" w:rsidP="00EB6C90">
      <w:pPr>
        <w:autoSpaceDE w:val="0"/>
        <w:autoSpaceDN w:val="0"/>
        <w:adjustRightInd w:val="0"/>
        <w:jc w:val="both"/>
        <w:rPr>
          <w:rFonts w:ascii="Abadi" w:hAnsi="Abadi" w:cs="*Courier New-4520-Identity-H"/>
          <w:color w:val="1C1A22"/>
          <w:sz w:val="21"/>
          <w:szCs w:val="21"/>
        </w:rPr>
      </w:pPr>
      <w:r w:rsidRPr="007C2763">
        <w:rPr>
          <w:rFonts w:ascii="Abadi" w:hAnsi="Abadi" w:cs="*Courier New-4520-Identity-H"/>
          <w:color w:val="1C1A22"/>
          <w:sz w:val="21"/>
          <w:szCs w:val="21"/>
        </w:rPr>
        <w:t>3. Enviar por correo electrónico la iniciativa a la Secretaria de Medio Ambiente y Ordenamiento Territorial, otorgándole 20 días hábiles, contados a partir de la recepción, para enviar sus comentarios.</w:t>
      </w:r>
    </w:p>
    <w:p w14:paraId="1A7F93B8" w14:textId="77777777" w:rsidR="00DF3BF0" w:rsidRPr="007C2763" w:rsidRDefault="00DF3BF0" w:rsidP="00EB6C90">
      <w:pPr>
        <w:autoSpaceDE w:val="0"/>
        <w:autoSpaceDN w:val="0"/>
        <w:adjustRightInd w:val="0"/>
        <w:jc w:val="both"/>
        <w:rPr>
          <w:rFonts w:ascii="Abadi" w:hAnsi="Abadi" w:cs="*Courier New-4520-Identity-H"/>
          <w:color w:val="1C1A22"/>
          <w:sz w:val="21"/>
          <w:szCs w:val="21"/>
        </w:rPr>
      </w:pPr>
    </w:p>
    <w:p w14:paraId="2B52B14B" w14:textId="77777777" w:rsidR="00DF3BF0" w:rsidRPr="007C2763" w:rsidRDefault="00DF3BF0" w:rsidP="00EB6C90">
      <w:pPr>
        <w:autoSpaceDE w:val="0"/>
        <w:autoSpaceDN w:val="0"/>
        <w:adjustRightInd w:val="0"/>
        <w:jc w:val="both"/>
        <w:rPr>
          <w:rFonts w:ascii="Abadi" w:hAnsi="Abadi" w:cs="*Courier New-4520-Identity-H"/>
          <w:color w:val="1C1B22"/>
          <w:sz w:val="21"/>
          <w:szCs w:val="21"/>
        </w:rPr>
      </w:pPr>
      <w:r w:rsidRPr="007C2763">
        <w:rPr>
          <w:rFonts w:ascii="Abadi" w:hAnsi="Abadi" w:cs="*Courier New-4520-Identity-H"/>
          <w:color w:val="1C1B22"/>
          <w:sz w:val="21"/>
          <w:szCs w:val="21"/>
        </w:rPr>
        <w:t>4. Enviar por correo electrónico la iniciativa a la Secretaría de Seguridad Pública, otorgándole 20 días hábiles, contados a partir de la recepción, para enviar sus comentarios.</w:t>
      </w:r>
    </w:p>
    <w:p w14:paraId="1E684D9C" w14:textId="77777777" w:rsidR="00DF3BF0" w:rsidRPr="007C2763" w:rsidRDefault="00DF3BF0" w:rsidP="00EB6C90">
      <w:pPr>
        <w:autoSpaceDE w:val="0"/>
        <w:autoSpaceDN w:val="0"/>
        <w:adjustRightInd w:val="0"/>
        <w:jc w:val="both"/>
        <w:rPr>
          <w:rFonts w:ascii="Abadi" w:hAnsi="Abadi" w:cs="*Courier New-4520-Identity-H"/>
          <w:color w:val="1C1B22"/>
          <w:sz w:val="21"/>
          <w:szCs w:val="21"/>
        </w:rPr>
      </w:pPr>
    </w:p>
    <w:p w14:paraId="22761877" w14:textId="77777777" w:rsidR="00DF3BF0" w:rsidRPr="007C2763" w:rsidRDefault="00DF3BF0" w:rsidP="00EB6C90">
      <w:pPr>
        <w:kinsoku w:val="0"/>
        <w:overflowPunct w:val="0"/>
        <w:autoSpaceDE w:val="0"/>
        <w:autoSpaceDN w:val="0"/>
        <w:adjustRightInd w:val="0"/>
        <w:jc w:val="both"/>
        <w:rPr>
          <w:rFonts w:ascii="Abadi" w:hAnsi="Abadi" w:cs="Calibri"/>
          <w:color w:val="1B1A20"/>
          <w:sz w:val="21"/>
          <w:szCs w:val="21"/>
        </w:rPr>
      </w:pPr>
    </w:p>
    <w:p w14:paraId="279548F3" w14:textId="77777777" w:rsidR="00DF3BF0" w:rsidRPr="007C2763" w:rsidRDefault="00DF3BF0" w:rsidP="00EB6C90">
      <w:pPr>
        <w:kinsoku w:val="0"/>
        <w:overflowPunct w:val="0"/>
        <w:autoSpaceDE w:val="0"/>
        <w:autoSpaceDN w:val="0"/>
        <w:adjustRightInd w:val="0"/>
        <w:jc w:val="both"/>
        <w:rPr>
          <w:rFonts w:ascii="Abadi" w:hAnsi="Abadi" w:cs="Calibri"/>
          <w:color w:val="1B1A20"/>
          <w:sz w:val="21"/>
          <w:szCs w:val="21"/>
        </w:rPr>
      </w:pPr>
      <w:r w:rsidRPr="007C2763">
        <w:rPr>
          <w:rFonts w:ascii="Abadi" w:hAnsi="Abadi" w:cs="Calibri"/>
          <w:color w:val="1B1A20"/>
          <w:sz w:val="21"/>
          <w:szCs w:val="21"/>
        </w:rPr>
        <w:t>5. Enviar por correo electronico la iniciativa a la Procuraduría Ambiental y de Ordenamiento Territorial, otorgándole 20 días hábiles, contados a partir de la recepción, para enviar comentarios.</w:t>
      </w:r>
    </w:p>
    <w:p w14:paraId="4D167BF6" w14:textId="77777777" w:rsidR="00DF3BF0" w:rsidRPr="007C2763" w:rsidRDefault="00DF3BF0" w:rsidP="00EB6C90">
      <w:pPr>
        <w:kinsoku w:val="0"/>
        <w:overflowPunct w:val="0"/>
        <w:autoSpaceDE w:val="0"/>
        <w:autoSpaceDN w:val="0"/>
        <w:adjustRightInd w:val="0"/>
        <w:jc w:val="both"/>
        <w:rPr>
          <w:rFonts w:ascii="Abadi" w:hAnsi="Abadi" w:cs="Calibri"/>
          <w:color w:val="1B1A20"/>
          <w:sz w:val="21"/>
          <w:szCs w:val="21"/>
        </w:rPr>
      </w:pPr>
    </w:p>
    <w:p w14:paraId="729E5D70" w14:textId="77777777" w:rsidR="00DF3BF0" w:rsidRPr="007C2763" w:rsidRDefault="00DF3BF0" w:rsidP="00EB6C90">
      <w:pPr>
        <w:kinsoku w:val="0"/>
        <w:overflowPunct w:val="0"/>
        <w:autoSpaceDE w:val="0"/>
        <w:autoSpaceDN w:val="0"/>
        <w:adjustRightInd w:val="0"/>
        <w:jc w:val="both"/>
        <w:rPr>
          <w:rFonts w:ascii="Abadi" w:hAnsi="Abadi" w:cs="Calibri"/>
          <w:color w:val="1B1A20"/>
          <w:sz w:val="21"/>
          <w:szCs w:val="21"/>
        </w:rPr>
      </w:pPr>
      <w:r w:rsidRPr="007C2763">
        <w:rPr>
          <w:rFonts w:ascii="Abadi" w:hAnsi="Abadi" w:cs="Calibri"/>
          <w:color w:val="1B1A20"/>
          <w:sz w:val="21"/>
          <w:szCs w:val="21"/>
        </w:rPr>
        <w:t>6. Difundir la iniciativa en el portal del Congreso del Estado para consultar y participación ciudadana. La cual estará disponible por 20 días.</w:t>
      </w:r>
    </w:p>
    <w:p w14:paraId="2A04885B" w14:textId="77777777" w:rsidR="00DF3BF0" w:rsidRPr="007C2763" w:rsidRDefault="00DF3BF0" w:rsidP="00EB6C90">
      <w:pPr>
        <w:kinsoku w:val="0"/>
        <w:overflowPunct w:val="0"/>
        <w:autoSpaceDE w:val="0"/>
        <w:autoSpaceDN w:val="0"/>
        <w:adjustRightInd w:val="0"/>
        <w:jc w:val="both"/>
        <w:rPr>
          <w:rFonts w:ascii="Abadi" w:hAnsi="Abadi" w:cs="Calibri"/>
          <w:color w:val="1B1A20"/>
          <w:sz w:val="21"/>
          <w:szCs w:val="21"/>
        </w:rPr>
      </w:pPr>
    </w:p>
    <w:p w14:paraId="0AEFDAC9" w14:textId="77777777" w:rsidR="00DF3BF0" w:rsidRPr="007C2763" w:rsidRDefault="00DF3BF0" w:rsidP="00EB6C90">
      <w:pPr>
        <w:kinsoku w:val="0"/>
        <w:overflowPunct w:val="0"/>
        <w:autoSpaceDE w:val="0"/>
        <w:autoSpaceDN w:val="0"/>
        <w:adjustRightInd w:val="0"/>
        <w:jc w:val="both"/>
        <w:rPr>
          <w:rFonts w:ascii="Abadi" w:hAnsi="Abadi" w:cs="Calibri"/>
          <w:color w:val="1B1A20"/>
          <w:sz w:val="21"/>
          <w:szCs w:val="21"/>
        </w:rPr>
      </w:pPr>
      <w:r w:rsidRPr="007C2763">
        <w:rPr>
          <w:rFonts w:ascii="Abadi" w:hAnsi="Abadi" w:cs="Calibri"/>
          <w:color w:val="1B1A20"/>
          <w:sz w:val="21"/>
          <w:szCs w:val="21"/>
        </w:rPr>
        <w:t>7. Elaboración y remisión, por parte de la secretaria técnica, de un documento de trabajo el cual concentre las observaciones y comentarios recibidos.</w:t>
      </w:r>
    </w:p>
    <w:p w14:paraId="26A53C39" w14:textId="77777777" w:rsidR="00DF3BF0" w:rsidRPr="007C2763" w:rsidRDefault="00DF3BF0" w:rsidP="00EB6C90">
      <w:pPr>
        <w:kinsoku w:val="0"/>
        <w:overflowPunct w:val="0"/>
        <w:autoSpaceDE w:val="0"/>
        <w:autoSpaceDN w:val="0"/>
        <w:adjustRightInd w:val="0"/>
        <w:jc w:val="both"/>
        <w:rPr>
          <w:rFonts w:ascii="Abadi" w:hAnsi="Abadi" w:cs="Calibri"/>
          <w:color w:val="1B1A20"/>
          <w:sz w:val="21"/>
          <w:szCs w:val="21"/>
        </w:rPr>
      </w:pPr>
    </w:p>
    <w:p w14:paraId="2C0418B8" w14:textId="77777777" w:rsidR="00DF3BF0" w:rsidRPr="007C2763" w:rsidRDefault="00DF3BF0" w:rsidP="00EB6C90">
      <w:pPr>
        <w:kinsoku w:val="0"/>
        <w:overflowPunct w:val="0"/>
        <w:autoSpaceDE w:val="0"/>
        <w:autoSpaceDN w:val="0"/>
        <w:adjustRightInd w:val="0"/>
        <w:jc w:val="both"/>
        <w:rPr>
          <w:rFonts w:ascii="Abadi" w:hAnsi="Abadi" w:cs="Calibri"/>
          <w:color w:val="1E1D22"/>
          <w:sz w:val="21"/>
          <w:szCs w:val="21"/>
        </w:rPr>
      </w:pPr>
      <w:r w:rsidRPr="007C2763">
        <w:rPr>
          <w:rFonts w:ascii="Abadi" w:hAnsi="Abadi" w:cs="Calibri"/>
          <w:color w:val="1B1A20"/>
          <w:sz w:val="21"/>
          <w:szCs w:val="21"/>
        </w:rPr>
        <w:t>8. Mesa</w:t>
      </w:r>
      <w:r w:rsidRPr="007C2763">
        <w:rPr>
          <w:rFonts w:ascii="Abadi" w:hAnsi="Abadi" w:cs="Calibri"/>
          <w:color w:val="1B1A20"/>
          <w:spacing w:val="16"/>
          <w:sz w:val="21"/>
          <w:szCs w:val="21"/>
        </w:rPr>
        <w:t xml:space="preserve"> </w:t>
      </w:r>
      <w:r w:rsidRPr="007C2763">
        <w:rPr>
          <w:rFonts w:ascii="Abadi" w:hAnsi="Abadi" w:cs="Calibri"/>
          <w:color w:val="1B1A20"/>
          <w:sz w:val="21"/>
          <w:szCs w:val="21"/>
        </w:rPr>
        <w:t>de</w:t>
      </w:r>
      <w:r w:rsidRPr="007C2763">
        <w:rPr>
          <w:rFonts w:ascii="Abadi" w:hAnsi="Abadi" w:cs="Calibri"/>
          <w:color w:val="1B1A20"/>
          <w:spacing w:val="29"/>
          <w:sz w:val="21"/>
          <w:szCs w:val="21"/>
        </w:rPr>
        <w:t xml:space="preserve"> </w:t>
      </w:r>
      <w:r w:rsidRPr="007C2763">
        <w:rPr>
          <w:rFonts w:ascii="Abadi" w:hAnsi="Abadi" w:cs="Calibri"/>
          <w:color w:val="1B1A20"/>
          <w:sz w:val="21"/>
          <w:szCs w:val="21"/>
        </w:rPr>
        <w:t>trabajo</w:t>
      </w:r>
      <w:r w:rsidRPr="007C2763">
        <w:rPr>
          <w:rFonts w:ascii="Abadi" w:hAnsi="Abadi" w:cs="Calibri"/>
          <w:color w:val="1B1A20"/>
          <w:spacing w:val="25"/>
          <w:sz w:val="21"/>
          <w:szCs w:val="21"/>
        </w:rPr>
        <w:t xml:space="preserve"> </w:t>
      </w:r>
      <w:r w:rsidRPr="007C2763">
        <w:rPr>
          <w:rFonts w:ascii="Abadi" w:hAnsi="Abadi" w:cs="Calibri"/>
          <w:color w:val="1B1A20"/>
          <w:sz w:val="21"/>
          <w:szCs w:val="21"/>
        </w:rPr>
        <w:t>con diputados</w:t>
      </w:r>
      <w:r w:rsidRPr="007C2763">
        <w:rPr>
          <w:rFonts w:ascii="Abadi" w:hAnsi="Abadi" w:cs="Calibri"/>
          <w:color w:val="1B1A20"/>
          <w:spacing w:val="22"/>
          <w:sz w:val="21"/>
          <w:szCs w:val="21"/>
        </w:rPr>
        <w:t xml:space="preserve"> </w:t>
      </w:r>
      <w:r w:rsidRPr="007C2763">
        <w:rPr>
          <w:rFonts w:ascii="Abadi" w:hAnsi="Abadi" w:cs="Calibri"/>
          <w:color w:val="1B1A20"/>
          <w:sz w:val="21"/>
          <w:szCs w:val="21"/>
        </w:rPr>
        <w:t>y</w:t>
      </w:r>
      <w:r w:rsidRPr="007C2763">
        <w:rPr>
          <w:rFonts w:ascii="Abadi" w:hAnsi="Abadi" w:cs="Calibri"/>
          <w:color w:val="1B1A20"/>
          <w:spacing w:val="20"/>
          <w:sz w:val="21"/>
          <w:szCs w:val="21"/>
        </w:rPr>
        <w:t xml:space="preserve"> </w:t>
      </w:r>
      <w:r w:rsidRPr="007C2763">
        <w:rPr>
          <w:rFonts w:ascii="Abadi" w:hAnsi="Abadi" w:cs="Calibri"/>
          <w:color w:val="1B1A20"/>
          <w:sz w:val="21"/>
          <w:szCs w:val="21"/>
        </w:rPr>
        <w:t>asesores,</w:t>
      </w:r>
      <w:r w:rsidRPr="007C2763">
        <w:rPr>
          <w:rFonts w:ascii="Abadi" w:hAnsi="Abadi" w:cs="Calibri"/>
          <w:color w:val="1B1A20"/>
          <w:spacing w:val="33"/>
          <w:sz w:val="21"/>
          <w:szCs w:val="21"/>
        </w:rPr>
        <w:t xml:space="preserve"> </w:t>
      </w:r>
      <w:r w:rsidRPr="007C2763">
        <w:rPr>
          <w:rFonts w:ascii="Abadi" w:hAnsi="Abadi" w:cs="Calibri"/>
          <w:color w:val="1B1A20"/>
          <w:sz w:val="21"/>
          <w:szCs w:val="21"/>
        </w:rPr>
        <w:t>en la</w:t>
      </w:r>
      <w:r w:rsidRPr="007C2763">
        <w:rPr>
          <w:rFonts w:ascii="Abadi" w:hAnsi="Abadi" w:cs="Calibri"/>
          <w:color w:val="1B1A20"/>
          <w:spacing w:val="21"/>
          <w:sz w:val="21"/>
          <w:szCs w:val="21"/>
        </w:rPr>
        <w:t xml:space="preserve"> </w:t>
      </w:r>
      <w:r w:rsidRPr="007C2763">
        <w:rPr>
          <w:rFonts w:ascii="Abadi" w:hAnsi="Abadi" w:cs="Calibri"/>
          <w:color w:val="1B1A20"/>
          <w:sz w:val="21"/>
          <w:szCs w:val="21"/>
        </w:rPr>
        <w:t>cual</w:t>
      </w:r>
      <w:r w:rsidRPr="007C2763">
        <w:rPr>
          <w:rFonts w:ascii="Abadi" w:hAnsi="Abadi" w:cs="Calibri"/>
          <w:color w:val="1B1A20"/>
          <w:spacing w:val="24"/>
          <w:sz w:val="21"/>
          <w:szCs w:val="21"/>
        </w:rPr>
        <w:t xml:space="preserve"> </w:t>
      </w:r>
      <w:r w:rsidRPr="007C2763">
        <w:rPr>
          <w:rFonts w:ascii="Abadi" w:hAnsi="Abadi" w:cs="Calibri"/>
          <w:color w:val="1B1A20"/>
          <w:sz w:val="21"/>
          <w:szCs w:val="21"/>
        </w:rPr>
        <w:t>se</w:t>
      </w:r>
      <w:r w:rsidRPr="007C2763">
        <w:rPr>
          <w:rFonts w:ascii="Abadi" w:hAnsi="Abadi" w:cs="Calibri"/>
          <w:color w:val="1B1A20"/>
          <w:spacing w:val="19"/>
          <w:sz w:val="21"/>
          <w:szCs w:val="21"/>
        </w:rPr>
        <w:t xml:space="preserve"> </w:t>
      </w:r>
      <w:r w:rsidRPr="007C2763">
        <w:rPr>
          <w:rFonts w:ascii="Abadi" w:hAnsi="Abadi" w:cs="Calibri"/>
          <w:color w:val="1B1A20"/>
          <w:sz w:val="21"/>
          <w:szCs w:val="21"/>
        </w:rPr>
        <w:t>revise</w:t>
      </w:r>
      <w:r w:rsidRPr="007C2763">
        <w:rPr>
          <w:rFonts w:ascii="Abadi" w:hAnsi="Abadi" w:cs="Calibri"/>
          <w:color w:val="1B1A20"/>
          <w:spacing w:val="24"/>
          <w:sz w:val="21"/>
          <w:szCs w:val="21"/>
        </w:rPr>
        <w:t xml:space="preserve"> </w:t>
      </w:r>
      <w:r w:rsidRPr="007C2763">
        <w:rPr>
          <w:rFonts w:ascii="Abadi" w:hAnsi="Abadi" w:cs="Calibri"/>
          <w:color w:val="1B1A20"/>
          <w:sz w:val="21"/>
          <w:szCs w:val="21"/>
        </w:rPr>
        <w:t>y</w:t>
      </w:r>
      <w:r w:rsidRPr="007C2763">
        <w:rPr>
          <w:rFonts w:ascii="Abadi" w:hAnsi="Abadi" w:cs="Calibri"/>
          <w:color w:val="1B1A20"/>
          <w:spacing w:val="24"/>
          <w:sz w:val="21"/>
          <w:szCs w:val="21"/>
        </w:rPr>
        <w:t xml:space="preserve"> </w:t>
      </w:r>
      <w:r w:rsidRPr="007C2763">
        <w:rPr>
          <w:rFonts w:ascii="Abadi" w:hAnsi="Abadi" w:cs="Calibri"/>
          <w:color w:val="1B1A20"/>
          <w:sz w:val="21"/>
          <w:szCs w:val="21"/>
        </w:rPr>
        <w:t xml:space="preserve">discuta </w:t>
      </w:r>
      <w:r w:rsidRPr="007C2763">
        <w:rPr>
          <w:rFonts w:ascii="Abadi" w:hAnsi="Abadi" w:cs="Calibri"/>
          <w:color w:val="1E1D22"/>
          <w:sz w:val="21"/>
          <w:szCs w:val="21"/>
        </w:rPr>
        <w:t>sobre las observaciones y comentarios recibidos.</w:t>
      </w:r>
    </w:p>
    <w:p w14:paraId="343525A8" w14:textId="77777777" w:rsidR="00DF3BF0" w:rsidRPr="007C2763" w:rsidRDefault="00DF3BF0" w:rsidP="00EB6C90">
      <w:pPr>
        <w:kinsoku w:val="0"/>
        <w:overflowPunct w:val="0"/>
        <w:autoSpaceDE w:val="0"/>
        <w:autoSpaceDN w:val="0"/>
        <w:adjustRightInd w:val="0"/>
        <w:spacing w:before="3"/>
        <w:jc w:val="both"/>
        <w:rPr>
          <w:rFonts w:ascii="Abadi" w:hAnsi="Abadi" w:cs="Calibri"/>
          <w:sz w:val="21"/>
          <w:szCs w:val="21"/>
        </w:rPr>
      </w:pPr>
    </w:p>
    <w:p w14:paraId="75F27D90" w14:textId="77777777" w:rsidR="00DF3BF0" w:rsidRPr="007C2763" w:rsidRDefault="00DF3BF0" w:rsidP="00EB6C90">
      <w:pPr>
        <w:kinsoku w:val="0"/>
        <w:overflowPunct w:val="0"/>
        <w:autoSpaceDE w:val="0"/>
        <w:autoSpaceDN w:val="0"/>
        <w:adjustRightInd w:val="0"/>
        <w:ind w:right="188"/>
        <w:jc w:val="both"/>
        <w:rPr>
          <w:rFonts w:ascii="Abadi" w:hAnsi="Abadi" w:cs="Calibri"/>
          <w:color w:val="1E1C22"/>
          <w:sz w:val="21"/>
          <w:szCs w:val="21"/>
        </w:rPr>
      </w:pPr>
      <w:r w:rsidRPr="007C2763">
        <w:rPr>
          <w:rFonts w:ascii="Abadi" w:hAnsi="Abadi" w:cs="Calibri"/>
          <w:color w:val="1A1A21"/>
          <w:sz w:val="21"/>
          <w:szCs w:val="21"/>
        </w:rPr>
        <w:t>9.</w:t>
      </w:r>
      <w:r w:rsidRPr="007C2763">
        <w:rPr>
          <w:rFonts w:ascii="Abadi" w:hAnsi="Abadi" w:cs="Calibri"/>
          <w:color w:val="1A1A21"/>
          <w:spacing w:val="80"/>
          <w:sz w:val="21"/>
          <w:szCs w:val="21"/>
        </w:rPr>
        <w:t xml:space="preserve"> </w:t>
      </w:r>
      <w:r w:rsidRPr="007C2763">
        <w:rPr>
          <w:rFonts w:ascii="Abadi" w:hAnsi="Abadi" w:cs="Calibri"/>
          <w:color w:val="1A1A21"/>
          <w:sz w:val="21"/>
          <w:szCs w:val="21"/>
        </w:rPr>
        <w:t>Instrucción</w:t>
      </w:r>
      <w:r w:rsidRPr="007C2763">
        <w:rPr>
          <w:rFonts w:ascii="Abadi" w:hAnsi="Abadi" w:cs="Calibri"/>
          <w:color w:val="1A1A21"/>
          <w:spacing w:val="75"/>
          <w:sz w:val="21"/>
          <w:szCs w:val="21"/>
        </w:rPr>
        <w:t xml:space="preserve"> </w:t>
      </w:r>
      <w:r w:rsidRPr="007C2763">
        <w:rPr>
          <w:rFonts w:ascii="Abadi" w:hAnsi="Abadi" w:cs="Calibri"/>
          <w:color w:val="1A1A21"/>
          <w:sz w:val="21"/>
          <w:szCs w:val="21"/>
        </w:rPr>
        <w:t>de</w:t>
      </w:r>
      <w:r w:rsidRPr="007C2763">
        <w:rPr>
          <w:rFonts w:ascii="Abadi" w:hAnsi="Abadi" w:cs="Calibri"/>
          <w:color w:val="1A1A21"/>
          <w:spacing w:val="80"/>
          <w:sz w:val="21"/>
          <w:szCs w:val="21"/>
        </w:rPr>
        <w:t xml:space="preserve"> </w:t>
      </w:r>
      <w:r w:rsidRPr="007C2763">
        <w:rPr>
          <w:rFonts w:ascii="Abadi" w:hAnsi="Abadi" w:cs="Calibri"/>
          <w:color w:val="1A1A21"/>
          <w:sz w:val="21"/>
          <w:szCs w:val="21"/>
        </w:rPr>
        <w:t>la</w:t>
      </w:r>
      <w:r w:rsidRPr="007C2763">
        <w:rPr>
          <w:rFonts w:ascii="Abadi" w:hAnsi="Abadi" w:cs="Calibri"/>
          <w:color w:val="1A1A21"/>
          <w:spacing w:val="80"/>
          <w:sz w:val="21"/>
          <w:szCs w:val="21"/>
        </w:rPr>
        <w:t xml:space="preserve"> </w:t>
      </w:r>
      <w:r w:rsidRPr="007C2763">
        <w:rPr>
          <w:rFonts w:ascii="Abadi" w:hAnsi="Abadi" w:cs="Calibri"/>
          <w:color w:val="1A1A21"/>
          <w:sz w:val="21"/>
          <w:szCs w:val="21"/>
        </w:rPr>
        <w:t>Presidencia</w:t>
      </w:r>
      <w:r w:rsidRPr="007C2763">
        <w:rPr>
          <w:rFonts w:ascii="Abadi" w:hAnsi="Abadi" w:cs="Calibri"/>
          <w:color w:val="1A1A21"/>
          <w:spacing w:val="80"/>
          <w:sz w:val="21"/>
          <w:szCs w:val="21"/>
        </w:rPr>
        <w:t xml:space="preserve"> </w:t>
      </w:r>
      <w:r w:rsidRPr="007C2763">
        <w:rPr>
          <w:rFonts w:ascii="Abadi" w:hAnsi="Abadi" w:cs="Calibri"/>
          <w:color w:val="1A1A21"/>
          <w:sz w:val="21"/>
          <w:szCs w:val="21"/>
        </w:rPr>
        <w:t>de</w:t>
      </w:r>
      <w:r w:rsidRPr="007C2763">
        <w:rPr>
          <w:rFonts w:ascii="Abadi" w:hAnsi="Abadi" w:cs="Calibri"/>
          <w:color w:val="1A1A21"/>
          <w:spacing w:val="79"/>
          <w:sz w:val="21"/>
          <w:szCs w:val="21"/>
        </w:rPr>
        <w:t xml:space="preserve"> </w:t>
      </w:r>
      <w:r w:rsidRPr="007C2763">
        <w:rPr>
          <w:rFonts w:ascii="Abadi" w:hAnsi="Abadi" w:cs="Calibri"/>
          <w:color w:val="1A1A21"/>
          <w:sz w:val="21"/>
          <w:szCs w:val="21"/>
        </w:rPr>
        <w:t>la</w:t>
      </w:r>
      <w:r w:rsidRPr="007C2763">
        <w:rPr>
          <w:rFonts w:ascii="Abadi" w:hAnsi="Abadi" w:cs="Calibri"/>
          <w:color w:val="1A1A21"/>
          <w:spacing w:val="80"/>
          <w:sz w:val="21"/>
          <w:szCs w:val="21"/>
        </w:rPr>
        <w:t xml:space="preserve"> </w:t>
      </w:r>
      <w:r w:rsidRPr="007C2763">
        <w:rPr>
          <w:rFonts w:ascii="Abadi" w:hAnsi="Abadi" w:cs="Calibri"/>
          <w:color w:val="1A1A21"/>
          <w:sz w:val="21"/>
          <w:szCs w:val="21"/>
        </w:rPr>
        <w:t>Comisión</w:t>
      </w:r>
      <w:r w:rsidRPr="007C2763">
        <w:rPr>
          <w:rFonts w:ascii="Abadi" w:hAnsi="Abadi" w:cs="Calibri"/>
          <w:color w:val="1A1A21"/>
          <w:spacing w:val="78"/>
          <w:sz w:val="21"/>
          <w:szCs w:val="21"/>
        </w:rPr>
        <w:t xml:space="preserve"> </w:t>
      </w:r>
      <w:r w:rsidRPr="007C2763">
        <w:rPr>
          <w:rFonts w:ascii="Abadi" w:hAnsi="Abadi" w:cs="Calibri"/>
          <w:color w:val="1A1A21"/>
          <w:sz w:val="21"/>
          <w:szCs w:val="21"/>
        </w:rPr>
        <w:t>para</w:t>
      </w:r>
      <w:r w:rsidRPr="007C2763">
        <w:rPr>
          <w:rFonts w:ascii="Abadi" w:hAnsi="Abadi" w:cs="Calibri"/>
          <w:color w:val="1A1A21"/>
          <w:spacing w:val="80"/>
          <w:sz w:val="21"/>
          <w:szCs w:val="21"/>
        </w:rPr>
        <w:t xml:space="preserve"> </w:t>
      </w:r>
      <w:r w:rsidRPr="007C2763">
        <w:rPr>
          <w:rFonts w:ascii="Abadi" w:hAnsi="Abadi" w:cs="Calibri"/>
          <w:color w:val="1A1A21"/>
          <w:sz w:val="21"/>
          <w:szCs w:val="21"/>
        </w:rPr>
        <w:t>la</w:t>
      </w:r>
      <w:r w:rsidRPr="007C2763">
        <w:rPr>
          <w:rFonts w:ascii="Abadi" w:hAnsi="Abadi" w:cs="Calibri"/>
          <w:color w:val="1A1A21"/>
          <w:spacing w:val="80"/>
          <w:sz w:val="21"/>
          <w:szCs w:val="21"/>
        </w:rPr>
        <w:t xml:space="preserve"> </w:t>
      </w:r>
      <w:r w:rsidRPr="007C2763">
        <w:rPr>
          <w:rFonts w:ascii="Abadi" w:hAnsi="Abadi" w:cs="Calibri"/>
          <w:color w:val="1A1A21"/>
          <w:sz w:val="21"/>
          <w:szCs w:val="21"/>
        </w:rPr>
        <w:t>elaboración</w:t>
      </w:r>
      <w:r w:rsidRPr="007C2763">
        <w:rPr>
          <w:rFonts w:ascii="Abadi" w:hAnsi="Abadi" w:cs="Calibri"/>
          <w:color w:val="1A1A21"/>
          <w:spacing w:val="75"/>
          <w:sz w:val="21"/>
          <w:szCs w:val="21"/>
        </w:rPr>
        <w:t xml:space="preserve"> </w:t>
      </w:r>
      <w:r w:rsidRPr="007C2763">
        <w:rPr>
          <w:rFonts w:ascii="Abadi" w:hAnsi="Abadi" w:cs="Calibri"/>
          <w:color w:val="1A1A21"/>
          <w:sz w:val="21"/>
          <w:szCs w:val="21"/>
        </w:rPr>
        <w:t>del</w:t>
      </w:r>
      <w:r w:rsidRPr="007C2763">
        <w:rPr>
          <w:rFonts w:ascii="Abadi" w:hAnsi="Abadi" w:cs="Calibri"/>
          <w:color w:val="1A1A21"/>
          <w:spacing w:val="14"/>
          <w:sz w:val="21"/>
          <w:szCs w:val="21"/>
        </w:rPr>
        <w:t xml:space="preserve"> </w:t>
      </w:r>
      <w:r w:rsidRPr="007C2763">
        <w:rPr>
          <w:rFonts w:ascii="Abadi" w:hAnsi="Abadi" w:cs="Calibri"/>
          <w:color w:val="1E1C22"/>
          <w:sz w:val="21"/>
          <w:szCs w:val="21"/>
        </w:rPr>
        <w:t>proyecto</w:t>
      </w:r>
      <w:r w:rsidRPr="007C2763">
        <w:rPr>
          <w:rFonts w:ascii="Abadi" w:hAnsi="Abadi" w:cs="Calibri"/>
          <w:color w:val="1E1C22"/>
          <w:spacing w:val="13"/>
          <w:sz w:val="21"/>
          <w:szCs w:val="21"/>
        </w:rPr>
        <w:t xml:space="preserve"> </w:t>
      </w:r>
      <w:r w:rsidRPr="007C2763">
        <w:rPr>
          <w:rFonts w:ascii="Abadi" w:hAnsi="Abadi" w:cs="Calibri"/>
          <w:color w:val="1E1C22"/>
          <w:sz w:val="21"/>
          <w:szCs w:val="21"/>
        </w:rPr>
        <w:t>de</w:t>
      </w:r>
      <w:r w:rsidRPr="007C2763">
        <w:rPr>
          <w:rFonts w:ascii="Abadi" w:hAnsi="Abadi" w:cs="Calibri"/>
          <w:color w:val="1E1C22"/>
          <w:spacing w:val="10"/>
          <w:sz w:val="21"/>
          <w:szCs w:val="21"/>
        </w:rPr>
        <w:t xml:space="preserve"> </w:t>
      </w:r>
      <w:r w:rsidRPr="007C2763">
        <w:rPr>
          <w:rFonts w:ascii="Abadi" w:hAnsi="Abadi" w:cs="Calibri"/>
          <w:color w:val="1E1C22"/>
          <w:sz w:val="21"/>
          <w:szCs w:val="21"/>
        </w:rPr>
        <w:t>dictamen</w:t>
      </w:r>
      <w:r w:rsidRPr="007C2763">
        <w:rPr>
          <w:rFonts w:ascii="Abadi" w:hAnsi="Abadi" w:cs="Calibri"/>
          <w:color w:val="1E1C22"/>
          <w:spacing w:val="12"/>
          <w:sz w:val="21"/>
          <w:szCs w:val="21"/>
        </w:rPr>
        <w:t xml:space="preserve"> </w:t>
      </w:r>
      <w:r w:rsidRPr="007C2763">
        <w:rPr>
          <w:rFonts w:ascii="Abadi" w:hAnsi="Abadi" w:cs="Calibri"/>
          <w:color w:val="1E1C22"/>
          <w:sz w:val="21"/>
          <w:szCs w:val="21"/>
        </w:rPr>
        <w:t>que</w:t>
      </w:r>
      <w:r w:rsidRPr="007C2763">
        <w:rPr>
          <w:rFonts w:ascii="Abadi" w:hAnsi="Abadi" w:cs="Calibri"/>
          <w:color w:val="1E1C22"/>
          <w:spacing w:val="10"/>
          <w:sz w:val="21"/>
          <w:szCs w:val="21"/>
        </w:rPr>
        <w:t xml:space="preserve"> </w:t>
      </w:r>
      <w:r w:rsidRPr="007C2763">
        <w:rPr>
          <w:rFonts w:ascii="Abadi" w:hAnsi="Abadi" w:cs="Calibri"/>
          <w:color w:val="1E1C22"/>
          <w:sz w:val="21"/>
          <w:szCs w:val="21"/>
        </w:rPr>
        <w:t>será sometido a consideración.</w:t>
      </w:r>
    </w:p>
    <w:p w14:paraId="72C7EDDA" w14:textId="77777777" w:rsidR="00DF3BF0" w:rsidRPr="007C2763" w:rsidRDefault="00DF3BF0" w:rsidP="00EB6C90">
      <w:pPr>
        <w:kinsoku w:val="0"/>
        <w:overflowPunct w:val="0"/>
        <w:autoSpaceDE w:val="0"/>
        <w:autoSpaceDN w:val="0"/>
        <w:adjustRightInd w:val="0"/>
        <w:spacing w:before="11"/>
        <w:jc w:val="both"/>
        <w:rPr>
          <w:rFonts w:ascii="Abadi" w:hAnsi="Abadi" w:cs="Calibri"/>
          <w:sz w:val="21"/>
          <w:szCs w:val="21"/>
        </w:rPr>
      </w:pPr>
    </w:p>
    <w:p w14:paraId="7AFCBDCD" w14:textId="77777777" w:rsidR="00DF3BF0" w:rsidRPr="007C2763" w:rsidRDefault="00DF3BF0" w:rsidP="00EB6C90">
      <w:pPr>
        <w:tabs>
          <w:tab w:val="left" w:pos="257"/>
        </w:tabs>
        <w:kinsoku w:val="0"/>
        <w:overflowPunct w:val="0"/>
        <w:autoSpaceDE w:val="0"/>
        <w:autoSpaceDN w:val="0"/>
        <w:adjustRightInd w:val="0"/>
        <w:jc w:val="both"/>
        <w:rPr>
          <w:rFonts w:ascii="Abadi" w:hAnsi="Abadi" w:cs="Calibri"/>
          <w:color w:val="1B1A20"/>
          <w:sz w:val="21"/>
          <w:szCs w:val="21"/>
        </w:rPr>
      </w:pPr>
      <w:r w:rsidRPr="007C2763">
        <w:rPr>
          <w:rFonts w:ascii="Abadi" w:hAnsi="Abadi" w:cs="Calibri"/>
          <w:color w:val="1B1A20"/>
          <w:sz w:val="21"/>
          <w:szCs w:val="21"/>
        </w:rPr>
        <w:t>10.</w:t>
      </w:r>
      <w:r w:rsidRPr="007C2763">
        <w:rPr>
          <w:rFonts w:ascii="Abadi" w:hAnsi="Abadi" w:cs="Calibri"/>
          <w:color w:val="1B1A20"/>
          <w:spacing w:val="80"/>
          <w:w w:val="150"/>
          <w:sz w:val="21"/>
          <w:szCs w:val="21"/>
        </w:rPr>
        <w:t xml:space="preserve">  </w:t>
      </w:r>
      <w:r w:rsidRPr="007C2763">
        <w:rPr>
          <w:rFonts w:ascii="Abadi" w:hAnsi="Abadi" w:cs="Calibri"/>
          <w:color w:val="1B1A20"/>
          <w:sz w:val="21"/>
          <w:szCs w:val="21"/>
        </w:rPr>
        <w:t>Reunión de Comisión para en su caso, discutir y aprobar el dictamen</w:t>
      </w:r>
    </w:p>
    <w:p w14:paraId="4D0A5A2F" w14:textId="77777777" w:rsidR="00DF3BF0" w:rsidRPr="007C2763" w:rsidRDefault="00DF3BF0" w:rsidP="00EB6C90">
      <w:pPr>
        <w:tabs>
          <w:tab w:val="left" w:pos="593"/>
        </w:tabs>
        <w:kinsoku w:val="0"/>
        <w:overflowPunct w:val="0"/>
        <w:autoSpaceDE w:val="0"/>
        <w:autoSpaceDN w:val="0"/>
        <w:adjustRightInd w:val="0"/>
        <w:ind w:right="166"/>
        <w:jc w:val="both"/>
        <w:rPr>
          <w:rFonts w:ascii="Abadi" w:hAnsi="Abadi" w:cs="Calibri"/>
          <w:sz w:val="21"/>
          <w:szCs w:val="21"/>
        </w:rPr>
      </w:pPr>
    </w:p>
    <w:p w14:paraId="21328887" w14:textId="77777777" w:rsidR="00DF3BF0" w:rsidRPr="007C2763" w:rsidRDefault="00DF3BF0" w:rsidP="00EB6C90">
      <w:pPr>
        <w:tabs>
          <w:tab w:val="left" w:pos="593"/>
        </w:tabs>
        <w:kinsoku w:val="0"/>
        <w:overflowPunct w:val="0"/>
        <w:autoSpaceDE w:val="0"/>
        <w:autoSpaceDN w:val="0"/>
        <w:adjustRightInd w:val="0"/>
        <w:ind w:right="166"/>
        <w:jc w:val="both"/>
        <w:rPr>
          <w:rFonts w:ascii="Abadi" w:hAnsi="Abadi" w:cs="Calibri"/>
          <w:color w:val="1B1A20"/>
          <w:w w:val="105"/>
          <w:sz w:val="21"/>
          <w:szCs w:val="21"/>
        </w:rPr>
      </w:pPr>
      <w:r w:rsidRPr="007C2763">
        <w:rPr>
          <w:rFonts w:ascii="Abadi" w:hAnsi="Abadi" w:cs="Calibri"/>
          <w:b/>
          <w:bCs/>
          <w:sz w:val="21"/>
          <w:szCs w:val="21"/>
        </w:rPr>
        <w:t>1.3.</w:t>
      </w:r>
      <w:r w:rsidRPr="007C2763">
        <w:rPr>
          <w:rFonts w:ascii="Abadi" w:hAnsi="Abadi" w:cs="Calibri"/>
          <w:sz w:val="21"/>
          <w:szCs w:val="21"/>
        </w:rPr>
        <w:t xml:space="preserve"> </w:t>
      </w:r>
      <w:r w:rsidRPr="007C2763">
        <w:rPr>
          <w:rFonts w:ascii="Abadi" w:hAnsi="Abadi" w:cs="Calibri"/>
          <w:color w:val="1B1A20"/>
          <w:w w:val="105"/>
          <w:sz w:val="21"/>
          <w:szCs w:val="21"/>
        </w:rPr>
        <w:t>En</w:t>
      </w:r>
      <w:r w:rsidRPr="007C2763">
        <w:rPr>
          <w:rFonts w:ascii="Abadi" w:hAnsi="Abadi" w:cs="Calibri"/>
          <w:color w:val="1B1A20"/>
          <w:spacing w:val="22"/>
          <w:w w:val="105"/>
          <w:sz w:val="21"/>
          <w:szCs w:val="21"/>
        </w:rPr>
        <w:t xml:space="preserve"> </w:t>
      </w:r>
      <w:r w:rsidRPr="007C2763">
        <w:rPr>
          <w:rFonts w:ascii="Abadi" w:hAnsi="Abadi" w:cs="Calibri"/>
          <w:color w:val="1B1A20"/>
          <w:w w:val="105"/>
          <w:sz w:val="21"/>
          <w:szCs w:val="21"/>
        </w:rPr>
        <w:t>atención</w:t>
      </w:r>
      <w:r w:rsidRPr="007C2763">
        <w:rPr>
          <w:rFonts w:ascii="Abadi" w:hAnsi="Abadi" w:cs="Calibri"/>
          <w:color w:val="1B1A20"/>
          <w:spacing w:val="25"/>
          <w:w w:val="105"/>
          <w:sz w:val="21"/>
          <w:szCs w:val="21"/>
        </w:rPr>
        <w:t xml:space="preserve"> </w:t>
      </w:r>
      <w:r w:rsidRPr="007C2763">
        <w:rPr>
          <w:rFonts w:ascii="Abadi" w:hAnsi="Abadi" w:cs="Calibri"/>
          <w:color w:val="1B1A20"/>
          <w:w w:val="105"/>
          <w:sz w:val="21"/>
          <w:szCs w:val="21"/>
        </w:rPr>
        <w:t>a</w:t>
      </w:r>
      <w:r w:rsidRPr="007C2763">
        <w:rPr>
          <w:rFonts w:ascii="Abadi" w:hAnsi="Abadi" w:cs="Calibri"/>
          <w:color w:val="1B1A20"/>
          <w:spacing w:val="36"/>
          <w:w w:val="105"/>
          <w:sz w:val="21"/>
          <w:szCs w:val="21"/>
        </w:rPr>
        <w:t xml:space="preserve"> </w:t>
      </w:r>
      <w:r w:rsidRPr="007C2763">
        <w:rPr>
          <w:rFonts w:ascii="Abadi" w:hAnsi="Abadi" w:cs="Calibri"/>
          <w:color w:val="1B1A20"/>
          <w:w w:val="105"/>
          <w:sz w:val="21"/>
          <w:szCs w:val="21"/>
        </w:rPr>
        <w:t>las</w:t>
      </w:r>
      <w:r w:rsidRPr="007C2763">
        <w:rPr>
          <w:rFonts w:ascii="Abadi" w:hAnsi="Abadi" w:cs="Calibri"/>
          <w:color w:val="1B1A20"/>
          <w:spacing w:val="30"/>
          <w:w w:val="105"/>
          <w:sz w:val="21"/>
          <w:szCs w:val="21"/>
        </w:rPr>
        <w:t xml:space="preserve"> </w:t>
      </w:r>
      <w:r w:rsidRPr="007C2763">
        <w:rPr>
          <w:rFonts w:ascii="Abadi" w:hAnsi="Abadi" w:cs="Calibri"/>
          <w:color w:val="1B1A20"/>
          <w:w w:val="105"/>
          <w:sz w:val="21"/>
          <w:szCs w:val="21"/>
        </w:rPr>
        <w:t>comunicaciones</w:t>
      </w:r>
      <w:r w:rsidRPr="007C2763">
        <w:rPr>
          <w:rFonts w:ascii="Abadi" w:hAnsi="Abadi" w:cs="Calibri"/>
          <w:color w:val="1B1A20"/>
          <w:spacing w:val="25"/>
          <w:w w:val="105"/>
          <w:sz w:val="21"/>
          <w:szCs w:val="21"/>
        </w:rPr>
        <w:t xml:space="preserve"> </w:t>
      </w:r>
      <w:r w:rsidRPr="007C2763">
        <w:rPr>
          <w:rFonts w:ascii="Abadi" w:hAnsi="Abadi" w:cs="Calibri"/>
          <w:color w:val="1B1A20"/>
          <w:w w:val="105"/>
          <w:sz w:val="21"/>
          <w:szCs w:val="21"/>
        </w:rPr>
        <w:t>enviadas</w:t>
      </w:r>
      <w:r w:rsidRPr="007C2763">
        <w:rPr>
          <w:rFonts w:ascii="Abadi" w:hAnsi="Abadi" w:cs="Calibri"/>
          <w:color w:val="1B1A20"/>
          <w:spacing w:val="37"/>
          <w:w w:val="105"/>
          <w:sz w:val="21"/>
          <w:szCs w:val="21"/>
        </w:rPr>
        <w:t xml:space="preserve"> </w:t>
      </w:r>
      <w:r w:rsidRPr="007C2763">
        <w:rPr>
          <w:rFonts w:ascii="Abadi" w:hAnsi="Abadi" w:cs="Calibri"/>
          <w:color w:val="1B1A20"/>
          <w:w w:val="105"/>
          <w:sz w:val="21"/>
          <w:szCs w:val="21"/>
        </w:rPr>
        <w:t>dando</w:t>
      </w:r>
      <w:r w:rsidRPr="007C2763">
        <w:rPr>
          <w:rFonts w:ascii="Abadi" w:hAnsi="Abadi" w:cs="Calibri"/>
          <w:color w:val="1B1A20"/>
          <w:spacing w:val="33"/>
          <w:w w:val="105"/>
          <w:sz w:val="21"/>
          <w:szCs w:val="21"/>
        </w:rPr>
        <w:t xml:space="preserve"> </w:t>
      </w:r>
      <w:r w:rsidRPr="007C2763">
        <w:rPr>
          <w:rFonts w:ascii="Abadi" w:hAnsi="Abadi" w:cs="Calibri"/>
          <w:color w:val="1B1A20"/>
          <w:w w:val="105"/>
          <w:sz w:val="21"/>
          <w:szCs w:val="21"/>
        </w:rPr>
        <w:t>cumplimiento</w:t>
      </w:r>
      <w:r w:rsidRPr="007C2763">
        <w:rPr>
          <w:rFonts w:ascii="Abadi" w:hAnsi="Abadi" w:cs="Calibri"/>
          <w:color w:val="1B1A20"/>
          <w:spacing w:val="26"/>
          <w:w w:val="105"/>
          <w:sz w:val="21"/>
          <w:szCs w:val="21"/>
        </w:rPr>
        <w:t xml:space="preserve"> </w:t>
      </w:r>
      <w:r w:rsidRPr="007C2763">
        <w:rPr>
          <w:rFonts w:ascii="Abadi" w:hAnsi="Abadi" w:cs="Calibri"/>
          <w:color w:val="1B1A20"/>
          <w:w w:val="105"/>
          <w:sz w:val="21"/>
          <w:szCs w:val="21"/>
        </w:rPr>
        <w:t>a</w:t>
      </w:r>
      <w:r w:rsidRPr="007C2763">
        <w:rPr>
          <w:rFonts w:ascii="Abadi" w:hAnsi="Abadi" w:cs="Calibri"/>
          <w:color w:val="1B1A20"/>
          <w:spacing w:val="34"/>
          <w:w w:val="105"/>
          <w:sz w:val="21"/>
          <w:szCs w:val="21"/>
        </w:rPr>
        <w:t xml:space="preserve"> </w:t>
      </w:r>
      <w:r w:rsidRPr="007C2763">
        <w:rPr>
          <w:rFonts w:ascii="Abadi" w:hAnsi="Abadi" w:cs="Calibri"/>
          <w:color w:val="1B1A20"/>
          <w:w w:val="105"/>
          <w:sz w:val="21"/>
          <w:szCs w:val="21"/>
        </w:rPr>
        <w:t>la</w:t>
      </w:r>
      <w:r w:rsidRPr="007C2763">
        <w:rPr>
          <w:rFonts w:ascii="Abadi" w:hAnsi="Abadi" w:cs="Calibri"/>
          <w:color w:val="1B1A20"/>
          <w:spacing w:val="-12"/>
          <w:w w:val="105"/>
          <w:sz w:val="21"/>
          <w:szCs w:val="21"/>
        </w:rPr>
        <w:t xml:space="preserve"> </w:t>
      </w:r>
      <w:r w:rsidRPr="007C2763">
        <w:rPr>
          <w:rFonts w:ascii="Abadi" w:hAnsi="Abadi" w:cs="Calibri"/>
          <w:color w:val="1B1A20"/>
          <w:w w:val="105"/>
          <w:sz w:val="21"/>
          <w:szCs w:val="21"/>
        </w:rPr>
        <w:t>referida metodología, se</w:t>
      </w:r>
      <w:r w:rsidRPr="007C2763">
        <w:rPr>
          <w:rFonts w:ascii="Abadi" w:hAnsi="Abadi" w:cs="Calibri"/>
          <w:color w:val="1B1A20"/>
          <w:spacing w:val="-3"/>
          <w:w w:val="105"/>
          <w:sz w:val="21"/>
          <w:szCs w:val="21"/>
        </w:rPr>
        <w:t xml:space="preserve"> </w:t>
      </w:r>
      <w:r w:rsidRPr="007C2763">
        <w:rPr>
          <w:rFonts w:ascii="Abadi" w:hAnsi="Abadi" w:cs="Calibri"/>
          <w:color w:val="1B1A20"/>
          <w:w w:val="105"/>
          <w:sz w:val="21"/>
          <w:szCs w:val="21"/>
        </w:rPr>
        <w:t>recibieron</w:t>
      </w:r>
      <w:r w:rsidRPr="007C2763">
        <w:rPr>
          <w:rFonts w:ascii="Abadi" w:hAnsi="Abadi" w:cs="Calibri"/>
          <w:color w:val="1B1A20"/>
          <w:spacing w:val="-5"/>
          <w:w w:val="105"/>
          <w:sz w:val="21"/>
          <w:szCs w:val="21"/>
        </w:rPr>
        <w:t xml:space="preserve"> </w:t>
      </w:r>
      <w:r w:rsidRPr="007C2763">
        <w:rPr>
          <w:rFonts w:ascii="Abadi" w:hAnsi="Abadi" w:cs="Calibri"/>
          <w:color w:val="1B1A20"/>
          <w:w w:val="105"/>
          <w:sz w:val="21"/>
          <w:szCs w:val="21"/>
        </w:rPr>
        <w:t>respuestas</w:t>
      </w:r>
      <w:r w:rsidRPr="007C2763">
        <w:rPr>
          <w:rFonts w:ascii="Abadi" w:hAnsi="Abadi" w:cs="Calibri"/>
          <w:color w:val="1B1A20"/>
          <w:spacing w:val="-5"/>
          <w:w w:val="105"/>
          <w:sz w:val="21"/>
          <w:szCs w:val="21"/>
        </w:rPr>
        <w:t xml:space="preserve"> </w:t>
      </w:r>
      <w:r w:rsidRPr="007C2763">
        <w:rPr>
          <w:rFonts w:ascii="Abadi" w:hAnsi="Abadi" w:cs="Calibri"/>
          <w:color w:val="1B1A20"/>
          <w:w w:val="105"/>
          <w:sz w:val="21"/>
          <w:szCs w:val="21"/>
        </w:rPr>
        <w:t>de</w:t>
      </w:r>
      <w:r w:rsidRPr="007C2763">
        <w:rPr>
          <w:rFonts w:ascii="Abadi" w:hAnsi="Abadi" w:cs="Calibri"/>
          <w:color w:val="1B1A20"/>
          <w:spacing w:val="-12"/>
          <w:w w:val="105"/>
          <w:sz w:val="21"/>
          <w:szCs w:val="21"/>
        </w:rPr>
        <w:t xml:space="preserve"> </w:t>
      </w:r>
      <w:r w:rsidRPr="007C2763">
        <w:rPr>
          <w:rFonts w:ascii="Abadi" w:hAnsi="Abadi" w:cs="Calibri"/>
          <w:color w:val="1B1A20"/>
          <w:w w:val="105"/>
          <w:sz w:val="21"/>
          <w:szCs w:val="21"/>
        </w:rPr>
        <w:t>los</w:t>
      </w:r>
      <w:r w:rsidRPr="007C2763">
        <w:rPr>
          <w:rFonts w:ascii="Abadi" w:hAnsi="Abadi" w:cs="Calibri"/>
          <w:color w:val="1B1A20"/>
          <w:spacing w:val="-6"/>
          <w:w w:val="105"/>
          <w:sz w:val="21"/>
          <w:szCs w:val="21"/>
        </w:rPr>
        <w:t xml:space="preserve"> </w:t>
      </w:r>
      <w:r w:rsidRPr="007C2763">
        <w:rPr>
          <w:rFonts w:ascii="Abadi" w:hAnsi="Abadi" w:cs="Calibri"/>
          <w:color w:val="1B1A20"/>
          <w:w w:val="105"/>
          <w:sz w:val="21"/>
          <w:szCs w:val="21"/>
        </w:rPr>
        <w:t>siguientes municipios:</w:t>
      </w:r>
    </w:p>
    <w:p w14:paraId="2AAC7983" w14:textId="77777777" w:rsidR="00DF3BF0" w:rsidRPr="007C2763" w:rsidRDefault="00DF3BF0" w:rsidP="00EB6C90">
      <w:pPr>
        <w:tabs>
          <w:tab w:val="left" w:pos="593"/>
        </w:tabs>
        <w:kinsoku w:val="0"/>
        <w:overflowPunct w:val="0"/>
        <w:autoSpaceDE w:val="0"/>
        <w:autoSpaceDN w:val="0"/>
        <w:adjustRightInd w:val="0"/>
        <w:ind w:right="166"/>
        <w:jc w:val="both"/>
        <w:rPr>
          <w:rFonts w:ascii="Abadi" w:hAnsi="Abadi" w:cs="Calibri"/>
          <w:color w:val="1B1A20"/>
          <w:w w:val="105"/>
          <w:sz w:val="21"/>
          <w:szCs w:val="21"/>
        </w:rPr>
      </w:pPr>
    </w:p>
    <w:p w14:paraId="35BE6198" w14:textId="77777777" w:rsidR="00DF3BF0" w:rsidRPr="007C2763" w:rsidRDefault="00DF3BF0" w:rsidP="00210305">
      <w:pPr>
        <w:pStyle w:val="Prrafodelista"/>
        <w:numPr>
          <w:ilvl w:val="0"/>
          <w:numId w:val="62"/>
        </w:numPr>
        <w:kinsoku w:val="0"/>
        <w:overflowPunct w:val="0"/>
        <w:autoSpaceDE w:val="0"/>
        <w:autoSpaceDN w:val="0"/>
        <w:adjustRightInd w:val="0"/>
        <w:spacing w:before="8"/>
        <w:jc w:val="both"/>
        <w:rPr>
          <w:rFonts w:ascii="Abadi" w:hAnsi="Abadi"/>
          <w:sz w:val="21"/>
          <w:szCs w:val="21"/>
        </w:rPr>
      </w:pPr>
      <w:r w:rsidRPr="007C2763">
        <w:rPr>
          <w:rFonts w:ascii="Abadi" w:hAnsi="Abadi"/>
          <w:sz w:val="21"/>
          <w:szCs w:val="21"/>
        </w:rPr>
        <w:t xml:space="preserve">  Celaya; manifestándose a favor, sin observaciones.</w:t>
      </w:r>
    </w:p>
    <w:p w14:paraId="63B2D73D" w14:textId="77777777" w:rsidR="00DF3BF0" w:rsidRPr="007C2763" w:rsidRDefault="00DF3BF0" w:rsidP="00210305">
      <w:pPr>
        <w:pStyle w:val="Prrafodelista"/>
        <w:numPr>
          <w:ilvl w:val="0"/>
          <w:numId w:val="62"/>
        </w:numPr>
        <w:kinsoku w:val="0"/>
        <w:overflowPunct w:val="0"/>
        <w:autoSpaceDE w:val="0"/>
        <w:autoSpaceDN w:val="0"/>
        <w:adjustRightInd w:val="0"/>
        <w:spacing w:before="8"/>
        <w:jc w:val="both"/>
        <w:rPr>
          <w:rFonts w:ascii="Abadi" w:hAnsi="Abadi"/>
          <w:sz w:val="21"/>
          <w:szCs w:val="21"/>
        </w:rPr>
      </w:pPr>
      <w:r w:rsidRPr="007C2763">
        <w:rPr>
          <w:rFonts w:ascii="Abadi" w:hAnsi="Abadi"/>
          <w:sz w:val="21"/>
          <w:szCs w:val="21"/>
        </w:rPr>
        <w:t xml:space="preserve">  Comonfort; tomaron conocimiento de la iniciativa.</w:t>
      </w:r>
    </w:p>
    <w:p w14:paraId="5EF822E3" w14:textId="77777777" w:rsidR="00DF3BF0" w:rsidRPr="007C2763" w:rsidRDefault="00DF3BF0" w:rsidP="00210305">
      <w:pPr>
        <w:pStyle w:val="Prrafodelista"/>
        <w:numPr>
          <w:ilvl w:val="0"/>
          <w:numId w:val="62"/>
        </w:numPr>
        <w:kinsoku w:val="0"/>
        <w:overflowPunct w:val="0"/>
        <w:autoSpaceDE w:val="0"/>
        <w:autoSpaceDN w:val="0"/>
        <w:adjustRightInd w:val="0"/>
        <w:spacing w:before="8"/>
        <w:jc w:val="both"/>
        <w:rPr>
          <w:rFonts w:ascii="Abadi" w:hAnsi="Abadi"/>
          <w:sz w:val="21"/>
          <w:szCs w:val="21"/>
        </w:rPr>
      </w:pPr>
      <w:r w:rsidRPr="007C2763">
        <w:rPr>
          <w:rFonts w:ascii="Abadi" w:hAnsi="Abadi"/>
          <w:sz w:val="21"/>
          <w:szCs w:val="21"/>
        </w:rPr>
        <w:t xml:space="preserve">  Coroneo; manifestándose a favor, sin observaciones.  </w:t>
      </w:r>
    </w:p>
    <w:p w14:paraId="705F5599" w14:textId="77777777" w:rsidR="00DF3BF0" w:rsidRPr="007C2763" w:rsidRDefault="00DF3BF0" w:rsidP="00210305">
      <w:pPr>
        <w:pStyle w:val="Prrafodelista"/>
        <w:numPr>
          <w:ilvl w:val="0"/>
          <w:numId w:val="62"/>
        </w:numPr>
        <w:kinsoku w:val="0"/>
        <w:overflowPunct w:val="0"/>
        <w:autoSpaceDE w:val="0"/>
        <w:autoSpaceDN w:val="0"/>
        <w:adjustRightInd w:val="0"/>
        <w:spacing w:before="8"/>
        <w:jc w:val="both"/>
        <w:rPr>
          <w:rFonts w:ascii="Abadi" w:hAnsi="Abadi"/>
          <w:sz w:val="21"/>
          <w:szCs w:val="21"/>
        </w:rPr>
      </w:pPr>
      <w:r w:rsidRPr="007C2763">
        <w:rPr>
          <w:rFonts w:ascii="Abadi" w:hAnsi="Abadi"/>
          <w:sz w:val="21"/>
          <w:szCs w:val="21"/>
        </w:rPr>
        <w:t xml:space="preserve">  Doctor Mora; no existen comentario o sugerencias.</w:t>
      </w:r>
    </w:p>
    <w:p w14:paraId="1463C772" w14:textId="77777777" w:rsidR="00DF3BF0" w:rsidRPr="007C2763" w:rsidRDefault="00DF3BF0" w:rsidP="00210305">
      <w:pPr>
        <w:pStyle w:val="Prrafodelista"/>
        <w:numPr>
          <w:ilvl w:val="0"/>
          <w:numId w:val="62"/>
        </w:numPr>
        <w:kinsoku w:val="0"/>
        <w:overflowPunct w:val="0"/>
        <w:autoSpaceDE w:val="0"/>
        <w:autoSpaceDN w:val="0"/>
        <w:adjustRightInd w:val="0"/>
        <w:ind w:left="0" w:firstLine="349"/>
        <w:jc w:val="both"/>
        <w:rPr>
          <w:rFonts w:ascii="Abadi" w:hAnsi="Abadi"/>
          <w:sz w:val="21"/>
          <w:szCs w:val="21"/>
        </w:rPr>
      </w:pPr>
      <w:r w:rsidRPr="007C2763">
        <w:rPr>
          <w:rFonts w:ascii="Abadi" w:hAnsi="Abadi"/>
          <w:sz w:val="21"/>
          <w:szCs w:val="21"/>
        </w:rPr>
        <w:t xml:space="preserve">León; indica que tanto la Ley para la Protección y Prevención del Ambiente </w:t>
      </w:r>
      <w:r w:rsidRPr="007C2763">
        <w:rPr>
          <w:rFonts w:ascii="Abadi" w:hAnsi="Abadi"/>
          <w:color w:val="17161D"/>
          <w:w w:val="105"/>
          <w:sz w:val="21"/>
          <w:szCs w:val="21"/>
        </w:rPr>
        <w:t>del</w:t>
      </w:r>
      <w:r w:rsidRPr="007C2763">
        <w:rPr>
          <w:rFonts w:ascii="Abadi" w:hAnsi="Abadi"/>
          <w:color w:val="17161D"/>
          <w:spacing w:val="40"/>
          <w:w w:val="105"/>
          <w:sz w:val="21"/>
          <w:szCs w:val="21"/>
        </w:rPr>
        <w:t xml:space="preserve"> </w:t>
      </w:r>
      <w:r w:rsidRPr="007C2763">
        <w:rPr>
          <w:rFonts w:ascii="Abadi" w:hAnsi="Abadi"/>
          <w:color w:val="17161D"/>
          <w:w w:val="105"/>
          <w:sz w:val="21"/>
          <w:szCs w:val="21"/>
        </w:rPr>
        <w:t>Estado</w:t>
      </w:r>
      <w:r w:rsidRPr="007C2763">
        <w:rPr>
          <w:rFonts w:ascii="Abadi" w:hAnsi="Abadi"/>
          <w:color w:val="17161D"/>
          <w:spacing w:val="22"/>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20"/>
          <w:w w:val="105"/>
          <w:sz w:val="21"/>
          <w:szCs w:val="21"/>
        </w:rPr>
        <w:t xml:space="preserve"> </w:t>
      </w:r>
      <w:r w:rsidRPr="007C2763">
        <w:rPr>
          <w:rFonts w:ascii="Abadi" w:hAnsi="Abadi"/>
          <w:color w:val="17161D"/>
          <w:w w:val="105"/>
          <w:sz w:val="21"/>
          <w:szCs w:val="21"/>
        </w:rPr>
        <w:t>Guanajuato</w:t>
      </w:r>
      <w:r w:rsidRPr="007C2763">
        <w:rPr>
          <w:rFonts w:ascii="Abadi" w:hAnsi="Abadi"/>
          <w:color w:val="17161D"/>
          <w:spacing w:val="13"/>
          <w:w w:val="105"/>
          <w:sz w:val="21"/>
          <w:szCs w:val="21"/>
        </w:rPr>
        <w:t xml:space="preserve"> </w:t>
      </w:r>
      <w:r w:rsidRPr="007C2763">
        <w:rPr>
          <w:rFonts w:ascii="Abadi" w:hAnsi="Abadi"/>
          <w:color w:val="17161D"/>
          <w:w w:val="105"/>
          <w:sz w:val="21"/>
          <w:szCs w:val="21"/>
        </w:rPr>
        <w:t>como</w:t>
      </w:r>
      <w:r w:rsidRPr="007C2763">
        <w:rPr>
          <w:rFonts w:ascii="Abadi" w:hAnsi="Abadi"/>
          <w:color w:val="17161D"/>
          <w:spacing w:val="27"/>
          <w:w w:val="105"/>
          <w:sz w:val="21"/>
          <w:szCs w:val="21"/>
        </w:rPr>
        <w:t xml:space="preserve"> </w:t>
      </w:r>
      <w:r w:rsidRPr="007C2763">
        <w:rPr>
          <w:rFonts w:ascii="Abadi" w:hAnsi="Abadi"/>
          <w:color w:val="17161D"/>
          <w:w w:val="105"/>
          <w:sz w:val="21"/>
          <w:szCs w:val="21"/>
        </w:rPr>
        <w:t>la</w:t>
      </w:r>
      <w:r w:rsidRPr="007C2763">
        <w:rPr>
          <w:rFonts w:ascii="Abadi" w:hAnsi="Abadi"/>
          <w:color w:val="17161D"/>
          <w:spacing w:val="31"/>
          <w:w w:val="105"/>
          <w:sz w:val="21"/>
          <w:szCs w:val="21"/>
        </w:rPr>
        <w:t xml:space="preserve"> </w:t>
      </w:r>
      <w:r w:rsidRPr="007C2763">
        <w:rPr>
          <w:rFonts w:ascii="Abadi" w:hAnsi="Abadi"/>
          <w:color w:val="17161D"/>
          <w:w w:val="105"/>
          <w:sz w:val="21"/>
          <w:szCs w:val="21"/>
        </w:rPr>
        <w:t>Ley</w:t>
      </w:r>
      <w:r w:rsidRPr="007C2763">
        <w:rPr>
          <w:rFonts w:ascii="Abadi" w:hAnsi="Abadi"/>
          <w:color w:val="17161D"/>
          <w:spacing w:val="26"/>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18"/>
          <w:w w:val="105"/>
          <w:sz w:val="21"/>
          <w:szCs w:val="21"/>
        </w:rPr>
        <w:t xml:space="preserve"> </w:t>
      </w:r>
      <w:r w:rsidRPr="007C2763">
        <w:rPr>
          <w:rFonts w:ascii="Abadi" w:hAnsi="Abadi"/>
          <w:color w:val="17161D"/>
          <w:w w:val="105"/>
          <w:sz w:val="21"/>
          <w:szCs w:val="21"/>
        </w:rPr>
        <w:t>Movilidad</w:t>
      </w:r>
      <w:r w:rsidRPr="007C2763">
        <w:rPr>
          <w:rFonts w:ascii="Abadi" w:hAnsi="Abadi"/>
          <w:color w:val="17161D"/>
          <w:spacing w:val="15"/>
          <w:w w:val="105"/>
          <w:sz w:val="21"/>
          <w:szCs w:val="21"/>
        </w:rPr>
        <w:t xml:space="preserve"> </w:t>
      </w:r>
      <w:r w:rsidRPr="007C2763">
        <w:rPr>
          <w:rFonts w:ascii="Abadi" w:hAnsi="Abadi"/>
          <w:color w:val="17161D"/>
          <w:w w:val="105"/>
          <w:sz w:val="21"/>
          <w:szCs w:val="21"/>
        </w:rPr>
        <w:t>del</w:t>
      </w:r>
      <w:r w:rsidRPr="007C2763">
        <w:rPr>
          <w:rFonts w:ascii="Abadi" w:hAnsi="Abadi"/>
          <w:color w:val="17161D"/>
          <w:spacing w:val="26"/>
          <w:w w:val="105"/>
          <w:sz w:val="21"/>
          <w:szCs w:val="21"/>
        </w:rPr>
        <w:t xml:space="preserve"> </w:t>
      </w:r>
      <w:r w:rsidRPr="007C2763">
        <w:rPr>
          <w:rFonts w:ascii="Abadi" w:hAnsi="Abadi"/>
          <w:color w:val="17161D"/>
          <w:w w:val="105"/>
          <w:sz w:val="21"/>
          <w:szCs w:val="21"/>
        </w:rPr>
        <w:t>Estado</w:t>
      </w:r>
      <w:r w:rsidRPr="007C2763">
        <w:rPr>
          <w:rFonts w:ascii="Abadi" w:hAnsi="Abadi"/>
          <w:color w:val="17161D"/>
          <w:spacing w:val="11"/>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17"/>
          <w:w w:val="105"/>
          <w:sz w:val="21"/>
          <w:szCs w:val="21"/>
        </w:rPr>
        <w:t xml:space="preserve"> </w:t>
      </w:r>
      <w:r w:rsidRPr="007C2763">
        <w:rPr>
          <w:rFonts w:ascii="Abadi" w:hAnsi="Abadi"/>
          <w:color w:val="17161D"/>
          <w:w w:val="105"/>
          <w:sz w:val="21"/>
          <w:szCs w:val="21"/>
        </w:rPr>
        <w:t>Guanajuato</w:t>
      </w:r>
      <w:r w:rsidRPr="007C2763">
        <w:rPr>
          <w:rFonts w:ascii="Abadi" w:hAnsi="Abadi"/>
          <w:color w:val="17161D"/>
          <w:spacing w:val="15"/>
          <w:w w:val="105"/>
          <w:sz w:val="21"/>
          <w:szCs w:val="21"/>
        </w:rPr>
        <w:t xml:space="preserve"> </w:t>
      </w:r>
      <w:r w:rsidRPr="007C2763">
        <w:rPr>
          <w:rFonts w:ascii="Abadi" w:hAnsi="Abadi"/>
          <w:color w:val="17161D"/>
          <w:w w:val="105"/>
          <w:sz w:val="21"/>
          <w:szCs w:val="21"/>
        </w:rPr>
        <w:t>y</w:t>
      </w:r>
      <w:r w:rsidRPr="007C2763">
        <w:rPr>
          <w:rFonts w:ascii="Abadi" w:hAnsi="Abadi"/>
          <w:color w:val="17161D"/>
          <w:spacing w:val="5"/>
          <w:w w:val="105"/>
          <w:sz w:val="21"/>
          <w:szCs w:val="21"/>
        </w:rPr>
        <w:t xml:space="preserve"> </w:t>
      </w:r>
      <w:r w:rsidRPr="007C2763">
        <w:rPr>
          <w:rFonts w:ascii="Abadi" w:hAnsi="Abadi"/>
          <w:color w:val="17161D"/>
          <w:w w:val="105"/>
          <w:sz w:val="21"/>
          <w:szCs w:val="21"/>
        </w:rPr>
        <w:t>sus</w:t>
      </w:r>
      <w:r w:rsidRPr="007C2763">
        <w:rPr>
          <w:rFonts w:ascii="Abadi" w:hAnsi="Abadi"/>
          <w:color w:val="17161D"/>
          <w:spacing w:val="75"/>
          <w:w w:val="150"/>
          <w:sz w:val="21"/>
          <w:szCs w:val="21"/>
        </w:rPr>
        <w:t xml:space="preserve"> </w:t>
      </w:r>
      <w:r w:rsidRPr="007C2763">
        <w:rPr>
          <w:rFonts w:ascii="Abadi" w:hAnsi="Abadi"/>
          <w:color w:val="17161D"/>
          <w:w w:val="105"/>
          <w:sz w:val="21"/>
          <w:szCs w:val="21"/>
        </w:rPr>
        <w:t>Municipios,</w:t>
      </w:r>
      <w:r w:rsidRPr="007C2763">
        <w:rPr>
          <w:rFonts w:ascii="Abadi" w:hAnsi="Abadi"/>
          <w:color w:val="17161D"/>
          <w:spacing w:val="27"/>
          <w:w w:val="105"/>
          <w:sz w:val="21"/>
          <w:szCs w:val="21"/>
        </w:rPr>
        <w:t xml:space="preserve">  </w:t>
      </w:r>
      <w:r w:rsidRPr="007C2763">
        <w:rPr>
          <w:rFonts w:ascii="Abadi" w:hAnsi="Abadi"/>
          <w:color w:val="17161D"/>
          <w:w w:val="105"/>
          <w:sz w:val="21"/>
          <w:szCs w:val="21"/>
        </w:rPr>
        <w:t>convergen</w:t>
      </w:r>
      <w:r w:rsidRPr="007C2763">
        <w:rPr>
          <w:rFonts w:ascii="Abadi" w:hAnsi="Abadi"/>
          <w:color w:val="17161D"/>
          <w:spacing w:val="65"/>
          <w:w w:val="150"/>
          <w:sz w:val="21"/>
          <w:szCs w:val="21"/>
        </w:rPr>
        <w:t xml:space="preserve"> </w:t>
      </w:r>
      <w:r w:rsidRPr="007C2763">
        <w:rPr>
          <w:rFonts w:ascii="Abadi" w:hAnsi="Abadi"/>
          <w:color w:val="17161D"/>
          <w:w w:val="105"/>
          <w:sz w:val="21"/>
          <w:szCs w:val="21"/>
        </w:rPr>
        <w:t>en</w:t>
      </w:r>
      <w:r w:rsidRPr="007C2763">
        <w:rPr>
          <w:rFonts w:ascii="Abadi" w:hAnsi="Abadi"/>
          <w:color w:val="17161D"/>
          <w:spacing w:val="68"/>
          <w:w w:val="150"/>
          <w:sz w:val="21"/>
          <w:szCs w:val="21"/>
        </w:rPr>
        <w:t xml:space="preserve"> </w:t>
      </w:r>
      <w:r w:rsidRPr="007C2763">
        <w:rPr>
          <w:rFonts w:ascii="Abadi" w:hAnsi="Abadi"/>
          <w:color w:val="17161D"/>
          <w:w w:val="105"/>
          <w:sz w:val="21"/>
          <w:szCs w:val="21"/>
        </w:rPr>
        <w:t>que</w:t>
      </w:r>
      <w:r w:rsidRPr="007C2763">
        <w:rPr>
          <w:rFonts w:ascii="Abadi" w:hAnsi="Abadi"/>
          <w:color w:val="17161D"/>
          <w:spacing w:val="64"/>
          <w:w w:val="150"/>
          <w:sz w:val="21"/>
          <w:szCs w:val="21"/>
        </w:rPr>
        <w:t xml:space="preserve"> </w:t>
      </w:r>
      <w:r w:rsidRPr="007C2763">
        <w:rPr>
          <w:rFonts w:ascii="Abadi" w:hAnsi="Abadi"/>
          <w:color w:val="17161D"/>
          <w:w w:val="105"/>
          <w:sz w:val="21"/>
          <w:szCs w:val="21"/>
        </w:rPr>
        <w:t>los</w:t>
      </w:r>
      <w:r w:rsidRPr="007C2763">
        <w:rPr>
          <w:rFonts w:ascii="Abadi" w:hAnsi="Abadi"/>
          <w:color w:val="17161D"/>
          <w:spacing w:val="59"/>
          <w:w w:val="150"/>
          <w:sz w:val="21"/>
          <w:szCs w:val="21"/>
        </w:rPr>
        <w:t xml:space="preserve"> </w:t>
      </w:r>
      <w:r w:rsidRPr="007C2763">
        <w:rPr>
          <w:rFonts w:ascii="Abadi" w:hAnsi="Abadi"/>
          <w:color w:val="17161D"/>
          <w:w w:val="105"/>
          <w:sz w:val="21"/>
          <w:szCs w:val="21"/>
        </w:rPr>
        <w:t>propietarios</w:t>
      </w:r>
      <w:r w:rsidRPr="007C2763">
        <w:rPr>
          <w:rFonts w:ascii="Abadi" w:hAnsi="Abadi"/>
          <w:color w:val="17161D"/>
          <w:spacing w:val="59"/>
          <w:w w:val="150"/>
          <w:sz w:val="21"/>
          <w:szCs w:val="21"/>
        </w:rPr>
        <w:t xml:space="preserve"> </w:t>
      </w:r>
      <w:r w:rsidRPr="007C2763">
        <w:rPr>
          <w:rFonts w:ascii="Abadi" w:hAnsi="Abadi"/>
          <w:color w:val="17161D"/>
          <w:w w:val="105"/>
          <w:sz w:val="21"/>
          <w:szCs w:val="21"/>
        </w:rPr>
        <w:t>o</w:t>
      </w:r>
      <w:r w:rsidRPr="007C2763">
        <w:rPr>
          <w:rFonts w:ascii="Abadi" w:hAnsi="Abadi"/>
          <w:color w:val="17161D"/>
          <w:spacing w:val="60"/>
          <w:w w:val="150"/>
          <w:sz w:val="21"/>
          <w:szCs w:val="21"/>
        </w:rPr>
        <w:t xml:space="preserve"> </w:t>
      </w:r>
      <w:r w:rsidRPr="007C2763">
        <w:rPr>
          <w:rFonts w:ascii="Abadi" w:hAnsi="Abadi"/>
          <w:color w:val="17161D"/>
          <w:w w:val="105"/>
          <w:sz w:val="21"/>
          <w:szCs w:val="21"/>
        </w:rPr>
        <w:t>poseedores</w:t>
      </w:r>
      <w:r w:rsidRPr="007C2763">
        <w:rPr>
          <w:rFonts w:ascii="Abadi" w:hAnsi="Abadi"/>
          <w:color w:val="17161D"/>
          <w:spacing w:val="64"/>
          <w:w w:val="150"/>
          <w:sz w:val="21"/>
          <w:szCs w:val="21"/>
        </w:rPr>
        <w:t xml:space="preserve"> </w:t>
      </w:r>
      <w:r w:rsidRPr="007C2763">
        <w:rPr>
          <w:rFonts w:ascii="Abadi" w:hAnsi="Abadi"/>
          <w:color w:val="17161D"/>
          <w:w w:val="105"/>
          <w:sz w:val="21"/>
          <w:szCs w:val="21"/>
        </w:rPr>
        <w:t>de</w:t>
      </w:r>
      <w:r w:rsidRPr="007C2763">
        <w:rPr>
          <w:rFonts w:ascii="Abadi" w:hAnsi="Abadi"/>
          <w:color w:val="17161D"/>
          <w:spacing w:val="65"/>
          <w:w w:val="150"/>
          <w:sz w:val="21"/>
          <w:szCs w:val="21"/>
        </w:rPr>
        <w:t xml:space="preserve"> </w:t>
      </w:r>
      <w:r w:rsidRPr="007C2763">
        <w:rPr>
          <w:rFonts w:ascii="Abadi" w:hAnsi="Abadi"/>
          <w:color w:val="17161D"/>
          <w:w w:val="105"/>
          <w:sz w:val="21"/>
          <w:szCs w:val="21"/>
        </w:rPr>
        <w:t>vehículos</w:t>
      </w:r>
      <w:r w:rsidRPr="007C2763">
        <w:rPr>
          <w:rFonts w:ascii="Abadi" w:hAnsi="Abadi"/>
          <w:color w:val="17161D"/>
          <w:spacing w:val="5"/>
          <w:w w:val="105"/>
          <w:sz w:val="21"/>
          <w:szCs w:val="21"/>
        </w:rPr>
        <w:t xml:space="preserve"> </w:t>
      </w:r>
      <w:r w:rsidRPr="007C2763">
        <w:rPr>
          <w:rFonts w:ascii="Abadi" w:hAnsi="Abadi"/>
          <w:color w:val="17161D"/>
          <w:w w:val="105"/>
          <w:sz w:val="21"/>
          <w:szCs w:val="21"/>
        </w:rPr>
        <w:t>automotores</w:t>
      </w:r>
      <w:r w:rsidRPr="007C2763">
        <w:rPr>
          <w:rFonts w:ascii="Abadi" w:hAnsi="Abadi"/>
          <w:color w:val="17161D"/>
          <w:spacing w:val="18"/>
          <w:w w:val="105"/>
          <w:sz w:val="21"/>
          <w:szCs w:val="21"/>
        </w:rPr>
        <w:t xml:space="preserve"> </w:t>
      </w:r>
      <w:r w:rsidRPr="007C2763">
        <w:rPr>
          <w:rFonts w:ascii="Abadi" w:hAnsi="Abadi"/>
          <w:color w:val="17161D"/>
          <w:w w:val="105"/>
          <w:sz w:val="21"/>
          <w:szCs w:val="21"/>
        </w:rPr>
        <w:t>que</w:t>
      </w:r>
      <w:r w:rsidRPr="007C2763">
        <w:rPr>
          <w:rFonts w:ascii="Abadi" w:hAnsi="Abadi"/>
          <w:color w:val="17161D"/>
          <w:spacing w:val="13"/>
          <w:w w:val="105"/>
          <w:sz w:val="21"/>
          <w:szCs w:val="21"/>
        </w:rPr>
        <w:t xml:space="preserve"> </w:t>
      </w:r>
      <w:r w:rsidRPr="007C2763">
        <w:rPr>
          <w:rFonts w:ascii="Abadi" w:hAnsi="Abadi"/>
          <w:color w:val="17161D"/>
          <w:w w:val="105"/>
          <w:sz w:val="21"/>
          <w:szCs w:val="21"/>
        </w:rPr>
        <w:t>circulen</w:t>
      </w:r>
      <w:r w:rsidRPr="007C2763">
        <w:rPr>
          <w:rFonts w:ascii="Abadi" w:hAnsi="Abadi"/>
          <w:color w:val="17161D"/>
          <w:spacing w:val="13"/>
          <w:w w:val="105"/>
          <w:sz w:val="21"/>
          <w:szCs w:val="21"/>
        </w:rPr>
        <w:t xml:space="preserve"> </w:t>
      </w:r>
      <w:r w:rsidRPr="007C2763">
        <w:rPr>
          <w:rFonts w:ascii="Abadi" w:hAnsi="Abadi"/>
          <w:color w:val="17161D"/>
          <w:w w:val="105"/>
          <w:sz w:val="21"/>
          <w:szCs w:val="21"/>
        </w:rPr>
        <w:t>en</w:t>
      </w:r>
      <w:r w:rsidRPr="007C2763">
        <w:rPr>
          <w:rFonts w:ascii="Abadi" w:hAnsi="Abadi"/>
          <w:color w:val="17161D"/>
          <w:spacing w:val="19"/>
          <w:w w:val="105"/>
          <w:sz w:val="21"/>
          <w:szCs w:val="21"/>
        </w:rPr>
        <w:t xml:space="preserve"> </w:t>
      </w:r>
      <w:r w:rsidRPr="007C2763">
        <w:rPr>
          <w:rFonts w:ascii="Abadi" w:hAnsi="Abadi"/>
          <w:color w:val="17161D"/>
          <w:w w:val="105"/>
          <w:sz w:val="21"/>
          <w:szCs w:val="21"/>
        </w:rPr>
        <w:t>el</w:t>
      </w:r>
      <w:r w:rsidRPr="007C2763">
        <w:rPr>
          <w:rFonts w:ascii="Abadi" w:hAnsi="Abadi"/>
          <w:color w:val="17161D"/>
          <w:spacing w:val="17"/>
          <w:w w:val="105"/>
          <w:sz w:val="21"/>
          <w:szCs w:val="21"/>
        </w:rPr>
        <w:t xml:space="preserve"> </w:t>
      </w:r>
      <w:r w:rsidRPr="007C2763">
        <w:rPr>
          <w:rFonts w:ascii="Abadi" w:hAnsi="Abadi"/>
          <w:color w:val="17161D"/>
          <w:w w:val="105"/>
          <w:sz w:val="21"/>
          <w:szCs w:val="21"/>
        </w:rPr>
        <w:t>estado</w:t>
      </w:r>
      <w:r w:rsidRPr="007C2763">
        <w:rPr>
          <w:rFonts w:ascii="Abadi" w:hAnsi="Abadi"/>
          <w:color w:val="17161D"/>
          <w:spacing w:val="11"/>
          <w:w w:val="105"/>
          <w:sz w:val="21"/>
          <w:szCs w:val="21"/>
        </w:rPr>
        <w:t xml:space="preserve"> </w:t>
      </w:r>
      <w:r w:rsidRPr="007C2763">
        <w:rPr>
          <w:rFonts w:ascii="Abadi" w:hAnsi="Abadi"/>
          <w:color w:val="17161D"/>
          <w:w w:val="105"/>
          <w:sz w:val="21"/>
          <w:szCs w:val="21"/>
        </w:rPr>
        <w:t>están</w:t>
      </w:r>
      <w:r w:rsidRPr="007C2763">
        <w:rPr>
          <w:rFonts w:ascii="Abadi" w:hAnsi="Abadi"/>
          <w:color w:val="17161D"/>
          <w:spacing w:val="25"/>
          <w:w w:val="105"/>
          <w:sz w:val="21"/>
          <w:szCs w:val="21"/>
        </w:rPr>
        <w:t xml:space="preserve"> </w:t>
      </w:r>
      <w:r w:rsidRPr="007C2763">
        <w:rPr>
          <w:rFonts w:ascii="Abadi" w:hAnsi="Abadi"/>
          <w:color w:val="17161D"/>
          <w:w w:val="105"/>
          <w:sz w:val="21"/>
          <w:szCs w:val="21"/>
        </w:rPr>
        <w:t>obligados</w:t>
      </w:r>
      <w:r w:rsidRPr="007C2763">
        <w:rPr>
          <w:rFonts w:ascii="Abadi" w:hAnsi="Abadi"/>
          <w:color w:val="17161D"/>
          <w:spacing w:val="11"/>
          <w:w w:val="105"/>
          <w:sz w:val="21"/>
          <w:szCs w:val="21"/>
        </w:rPr>
        <w:t xml:space="preserve"> </w:t>
      </w:r>
      <w:r w:rsidRPr="007C2763">
        <w:rPr>
          <w:rFonts w:ascii="Abadi" w:hAnsi="Abadi"/>
          <w:color w:val="17161D"/>
          <w:w w:val="105"/>
          <w:sz w:val="21"/>
          <w:szCs w:val="21"/>
        </w:rPr>
        <w:t>a</w:t>
      </w:r>
      <w:r w:rsidRPr="007C2763">
        <w:rPr>
          <w:rFonts w:ascii="Abadi" w:hAnsi="Abadi"/>
          <w:color w:val="17161D"/>
          <w:spacing w:val="9"/>
          <w:w w:val="105"/>
          <w:sz w:val="21"/>
          <w:szCs w:val="21"/>
        </w:rPr>
        <w:t xml:space="preserve"> </w:t>
      </w:r>
      <w:r w:rsidRPr="007C2763">
        <w:rPr>
          <w:rFonts w:ascii="Abadi" w:hAnsi="Abadi"/>
          <w:color w:val="17161D"/>
          <w:w w:val="105"/>
          <w:sz w:val="21"/>
          <w:szCs w:val="21"/>
        </w:rPr>
        <w:t>cumplir</w:t>
      </w:r>
      <w:r w:rsidRPr="007C2763">
        <w:rPr>
          <w:rFonts w:ascii="Abadi" w:hAnsi="Abadi"/>
          <w:color w:val="17161D"/>
          <w:spacing w:val="15"/>
          <w:w w:val="105"/>
          <w:sz w:val="21"/>
          <w:szCs w:val="21"/>
        </w:rPr>
        <w:t xml:space="preserve"> </w:t>
      </w:r>
      <w:r w:rsidRPr="007C2763">
        <w:rPr>
          <w:rFonts w:ascii="Abadi" w:hAnsi="Abadi"/>
          <w:color w:val="17161D"/>
          <w:w w:val="105"/>
          <w:sz w:val="21"/>
          <w:szCs w:val="21"/>
        </w:rPr>
        <w:t>con</w:t>
      </w:r>
      <w:r w:rsidRPr="007C2763">
        <w:rPr>
          <w:rFonts w:ascii="Abadi" w:hAnsi="Abadi"/>
          <w:color w:val="17161D"/>
          <w:spacing w:val="18"/>
          <w:w w:val="105"/>
          <w:sz w:val="21"/>
          <w:szCs w:val="21"/>
        </w:rPr>
        <w:t xml:space="preserve"> </w:t>
      </w:r>
      <w:r w:rsidRPr="007C2763">
        <w:rPr>
          <w:rFonts w:ascii="Abadi" w:hAnsi="Abadi"/>
          <w:color w:val="17161D"/>
          <w:w w:val="105"/>
          <w:sz w:val="21"/>
          <w:szCs w:val="21"/>
        </w:rPr>
        <w:t>los</w:t>
      </w:r>
      <w:r w:rsidRPr="007C2763">
        <w:rPr>
          <w:rFonts w:ascii="Abadi" w:hAnsi="Abadi"/>
          <w:color w:val="17161D"/>
          <w:spacing w:val="18"/>
          <w:w w:val="105"/>
          <w:sz w:val="21"/>
          <w:szCs w:val="21"/>
        </w:rPr>
        <w:t xml:space="preserve"> </w:t>
      </w:r>
      <w:r w:rsidRPr="007C2763">
        <w:rPr>
          <w:rFonts w:ascii="Abadi" w:hAnsi="Abadi"/>
          <w:color w:val="17161D"/>
          <w:w w:val="105"/>
          <w:sz w:val="21"/>
          <w:szCs w:val="21"/>
        </w:rPr>
        <w:t>límites</w:t>
      </w:r>
      <w:r w:rsidRPr="007C2763">
        <w:rPr>
          <w:rFonts w:ascii="Abadi" w:hAnsi="Abadi"/>
          <w:color w:val="17161D"/>
          <w:spacing w:val="17"/>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14"/>
          <w:w w:val="105"/>
          <w:sz w:val="21"/>
          <w:szCs w:val="21"/>
        </w:rPr>
        <w:t xml:space="preserve"> </w:t>
      </w:r>
      <w:r w:rsidRPr="007C2763">
        <w:rPr>
          <w:rFonts w:ascii="Abadi" w:hAnsi="Abadi"/>
          <w:color w:val="17161D"/>
          <w:w w:val="105"/>
          <w:sz w:val="21"/>
          <w:szCs w:val="21"/>
        </w:rPr>
        <w:t>emisiones</w:t>
      </w:r>
      <w:r w:rsidRPr="007C2763">
        <w:rPr>
          <w:rFonts w:ascii="Abadi" w:hAnsi="Abadi"/>
          <w:color w:val="17161D"/>
          <w:spacing w:val="9"/>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9"/>
          <w:w w:val="105"/>
          <w:sz w:val="21"/>
          <w:szCs w:val="21"/>
        </w:rPr>
        <w:t xml:space="preserve"> </w:t>
      </w:r>
      <w:r w:rsidRPr="007C2763">
        <w:rPr>
          <w:rFonts w:ascii="Abadi" w:hAnsi="Abadi"/>
          <w:color w:val="17161D"/>
          <w:w w:val="105"/>
          <w:sz w:val="21"/>
          <w:szCs w:val="21"/>
        </w:rPr>
        <w:t>contaminantes</w:t>
      </w:r>
      <w:r w:rsidRPr="007C2763">
        <w:rPr>
          <w:rFonts w:ascii="Abadi" w:hAnsi="Abadi"/>
          <w:color w:val="17161D"/>
          <w:spacing w:val="9"/>
          <w:w w:val="105"/>
          <w:sz w:val="21"/>
          <w:szCs w:val="21"/>
        </w:rPr>
        <w:t xml:space="preserve"> </w:t>
      </w:r>
      <w:r w:rsidRPr="007C2763">
        <w:rPr>
          <w:rFonts w:ascii="Abadi" w:hAnsi="Abadi"/>
          <w:color w:val="17161D"/>
          <w:w w:val="105"/>
          <w:sz w:val="21"/>
          <w:szCs w:val="21"/>
        </w:rPr>
        <w:t>establecidos</w:t>
      </w:r>
      <w:r w:rsidRPr="007C2763">
        <w:rPr>
          <w:rFonts w:ascii="Abadi" w:hAnsi="Abadi"/>
          <w:color w:val="17161D"/>
          <w:spacing w:val="13"/>
          <w:w w:val="105"/>
          <w:sz w:val="21"/>
          <w:szCs w:val="21"/>
        </w:rPr>
        <w:t xml:space="preserve"> </w:t>
      </w:r>
      <w:r w:rsidRPr="007C2763">
        <w:rPr>
          <w:rFonts w:ascii="Abadi" w:hAnsi="Abadi"/>
          <w:color w:val="17161D"/>
          <w:w w:val="105"/>
          <w:sz w:val="21"/>
          <w:szCs w:val="21"/>
        </w:rPr>
        <w:t>en</w:t>
      </w:r>
      <w:r w:rsidRPr="007C2763">
        <w:rPr>
          <w:rFonts w:ascii="Abadi" w:hAnsi="Abadi"/>
          <w:color w:val="17161D"/>
          <w:spacing w:val="18"/>
          <w:w w:val="105"/>
          <w:sz w:val="21"/>
          <w:szCs w:val="21"/>
        </w:rPr>
        <w:t xml:space="preserve"> </w:t>
      </w:r>
      <w:r w:rsidRPr="007C2763">
        <w:rPr>
          <w:rFonts w:ascii="Abadi" w:hAnsi="Abadi"/>
          <w:color w:val="17161D"/>
          <w:w w:val="105"/>
          <w:sz w:val="21"/>
          <w:szCs w:val="21"/>
        </w:rPr>
        <w:t>la</w:t>
      </w:r>
      <w:r w:rsidRPr="007C2763">
        <w:rPr>
          <w:rFonts w:ascii="Abadi" w:hAnsi="Abadi"/>
          <w:color w:val="17161D"/>
          <w:spacing w:val="3"/>
          <w:w w:val="105"/>
          <w:sz w:val="21"/>
          <w:szCs w:val="21"/>
        </w:rPr>
        <w:t xml:space="preserve"> </w:t>
      </w:r>
      <w:r w:rsidRPr="007C2763">
        <w:rPr>
          <w:rFonts w:ascii="Abadi" w:hAnsi="Abadi"/>
          <w:color w:val="17161D"/>
          <w:w w:val="105"/>
          <w:sz w:val="21"/>
          <w:szCs w:val="21"/>
        </w:rPr>
        <w:t>normatividad aplicable,</w:t>
      </w:r>
      <w:r w:rsidRPr="007C2763">
        <w:rPr>
          <w:rFonts w:ascii="Abadi" w:hAnsi="Abadi"/>
          <w:color w:val="17161D"/>
          <w:spacing w:val="29"/>
          <w:w w:val="105"/>
          <w:sz w:val="21"/>
          <w:szCs w:val="21"/>
        </w:rPr>
        <w:t xml:space="preserve"> </w:t>
      </w:r>
      <w:r w:rsidRPr="007C2763">
        <w:rPr>
          <w:rFonts w:ascii="Abadi" w:hAnsi="Abadi"/>
          <w:color w:val="17161D"/>
          <w:w w:val="105"/>
          <w:sz w:val="21"/>
          <w:szCs w:val="21"/>
        </w:rPr>
        <w:t>incluyendo</w:t>
      </w:r>
      <w:r w:rsidRPr="007C2763">
        <w:rPr>
          <w:rFonts w:ascii="Abadi" w:hAnsi="Abadi"/>
          <w:color w:val="17161D"/>
          <w:spacing w:val="10"/>
          <w:w w:val="105"/>
          <w:sz w:val="21"/>
          <w:szCs w:val="21"/>
        </w:rPr>
        <w:t xml:space="preserve"> </w:t>
      </w:r>
      <w:r w:rsidRPr="007C2763">
        <w:rPr>
          <w:rFonts w:ascii="Abadi" w:hAnsi="Abadi"/>
          <w:color w:val="17161D"/>
          <w:w w:val="105"/>
          <w:sz w:val="21"/>
          <w:szCs w:val="21"/>
        </w:rPr>
        <w:t>aquellos</w:t>
      </w:r>
      <w:r w:rsidRPr="007C2763">
        <w:rPr>
          <w:rFonts w:ascii="Abadi" w:hAnsi="Abadi"/>
          <w:color w:val="17161D"/>
          <w:spacing w:val="76"/>
          <w:w w:val="150"/>
          <w:sz w:val="21"/>
          <w:szCs w:val="21"/>
        </w:rPr>
        <w:t xml:space="preserve"> </w:t>
      </w:r>
      <w:r w:rsidRPr="007C2763">
        <w:rPr>
          <w:rFonts w:ascii="Abadi" w:hAnsi="Abadi"/>
          <w:color w:val="17161D"/>
          <w:w w:val="105"/>
          <w:sz w:val="21"/>
          <w:szCs w:val="21"/>
        </w:rPr>
        <w:t>vehículos</w:t>
      </w:r>
      <w:r w:rsidRPr="007C2763">
        <w:rPr>
          <w:rFonts w:ascii="Abadi" w:hAnsi="Abadi"/>
          <w:color w:val="17161D"/>
          <w:spacing w:val="64"/>
          <w:w w:val="150"/>
          <w:sz w:val="21"/>
          <w:szCs w:val="21"/>
        </w:rPr>
        <w:t xml:space="preserve"> </w:t>
      </w:r>
      <w:r w:rsidRPr="007C2763">
        <w:rPr>
          <w:rFonts w:ascii="Abadi" w:hAnsi="Abadi"/>
          <w:color w:val="17161D"/>
          <w:w w:val="105"/>
          <w:sz w:val="21"/>
          <w:szCs w:val="21"/>
        </w:rPr>
        <w:t>automotores</w:t>
      </w:r>
      <w:r w:rsidRPr="007C2763">
        <w:rPr>
          <w:rFonts w:ascii="Abadi" w:hAnsi="Abadi"/>
          <w:color w:val="17161D"/>
          <w:spacing w:val="57"/>
          <w:w w:val="150"/>
          <w:sz w:val="21"/>
          <w:szCs w:val="21"/>
        </w:rPr>
        <w:t xml:space="preserve"> </w:t>
      </w:r>
      <w:r w:rsidRPr="007C2763">
        <w:rPr>
          <w:rFonts w:ascii="Abadi" w:hAnsi="Abadi"/>
          <w:color w:val="17161D"/>
          <w:w w:val="105"/>
          <w:sz w:val="21"/>
          <w:szCs w:val="21"/>
        </w:rPr>
        <w:t>registrados</w:t>
      </w:r>
      <w:r w:rsidRPr="007C2763">
        <w:rPr>
          <w:rFonts w:ascii="Abadi" w:hAnsi="Abadi"/>
          <w:color w:val="17161D"/>
          <w:spacing w:val="66"/>
          <w:w w:val="150"/>
          <w:sz w:val="21"/>
          <w:szCs w:val="21"/>
        </w:rPr>
        <w:t xml:space="preserve"> </w:t>
      </w:r>
      <w:r w:rsidRPr="007C2763">
        <w:rPr>
          <w:rFonts w:ascii="Abadi" w:hAnsi="Abadi"/>
          <w:color w:val="17161D"/>
          <w:w w:val="105"/>
          <w:sz w:val="21"/>
          <w:szCs w:val="21"/>
        </w:rPr>
        <w:t>en</w:t>
      </w:r>
      <w:r w:rsidRPr="007C2763">
        <w:rPr>
          <w:rFonts w:ascii="Abadi" w:hAnsi="Abadi"/>
          <w:color w:val="17161D"/>
          <w:spacing w:val="75"/>
          <w:w w:val="150"/>
          <w:sz w:val="21"/>
          <w:szCs w:val="21"/>
        </w:rPr>
        <w:t xml:space="preserve"> </w:t>
      </w:r>
      <w:r w:rsidRPr="007C2763">
        <w:rPr>
          <w:rFonts w:ascii="Abadi" w:hAnsi="Abadi"/>
          <w:color w:val="17161D"/>
          <w:w w:val="105"/>
          <w:sz w:val="21"/>
          <w:szCs w:val="21"/>
        </w:rPr>
        <w:t>el</w:t>
      </w:r>
      <w:r w:rsidRPr="007C2763">
        <w:rPr>
          <w:rFonts w:ascii="Abadi" w:hAnsi="Abadi"/>
          <w:color w:val="17161D"/>
          <w:spacing w:val="69"/>
          <w:w w:val="150"/>
          <w:sz w:val="21"/>
          <w:szCs w:val="21"/>
        </w:rPr>
        <w:t xml:space="preserve"> </w:t>
      </w:r>
      <w:r w:rsidRPr="007C2763">
        <w:rPr>
          <w:rFonts w:ascii="Abadi" w:hAnsi="Abadi"/>
          <w:color w:val="17161D"/>
          <w:w w:val="105"/>
          <w:sz w:val="21"/>
          <w:szCs w:val="21"/>
        </w:rPr>
        <w:t>mismo,</w:t>
      </w:r>
      <w:r w:rsidRPr="007C2763">
        <w:rPr>
          <w:rFonts w:ascii="Abadi" w:hAnsi="Abadi"/>
          <w:color w:val="17161D"/>
          <w:spacing w:val="78"/>
          <w:w w:val="150"/>
          <w:sz w:val="21"/>
          <w:szCs w:val="21"/>
        </w:rPr>
        <w:t xml:space="preserve"> </w:t>
      </w:r>
      <w:r w:rsidRPr="007C2763">
        <w:rPr>
          <w:rFonts w:ascii="Abadi" w:hAnsi="Abadi"/>
          <w:color w:val="17161D"/>
          <w:w w:val="105"/>
          <w:sz w:val="21"/>
          <w:szCs w:val="21"/>
        </w:rPr>
        <w:t>para</w:t>
      </w:r>
      <w:r w:rsidRPr="007C2763">
        <w:rPr>
          <w:rFonts w:ascii="Abadi" w:hAnsi="Abadi"/>
          <w:color w:val="17161D"/>
          <w:spacing w:val="75"/>
          <w:w w:val="150"/>
          <w:sz w:val="21"/>
          <w:szCs w:val="21"/>
        </w:rPr>
        <w:t xml:space="preserve"> </w:t>
      </w:r>
      <w:r w:rsidRPr="007C2763">
        <w:rPr>
          <w:rFonts w:ascii="Abadi" w:hAnsi="Abadi"/>
          <w:color w:val="17161D"/>
          <w:w w:val="105"/>
          <w:sz w:val="21"/>
          <w:szCs w:val="21"/>
        </w:rPr>
        <w:t>lo</w:t>
      </w:r>
      <w:r w:rsidRPr="007C2763">
        <w:rPr>
          <w:rFonts w:ascii="Abadi" w:hAnsi="Abadi"/>
          <w:color w:val="17161D"/>
          <w:spacing w:val="74"/>
          <w:w w:val="150"/>
          <w:sz w:val="21"/>
          <w:szCs w:val="21"/>
        </w:rPr>
        <w:t xml:space="preserve"> </w:t>
      </w:r>
      <w:r w:rsidRPr="007C2763">
        <w:rPr>
          <w:rFonts w:ascii="Abadi" w:hAnsi="Abadi"/>
          <w:color w:val="17161D"/>
          <w:w w:val="105"/>
          <w:sz w:val="21"/>
          <w:szCs w:val="21"/>
        </w:rPr>
        <w:t>cual</w:t>
      </w:r>
      <w:r w:rsidRPr="007C2763">
        <w:rPr>
          <w:rFonts w:ascii="Abadi" w:hAnsi="Abadi"/>
          <w:color w:val="17161D"/>
          <w:spacing w:val="73"/>
          <w:w w:val="150"/>
          <w:sz w:val="21"/>
          <w:szCs w:val="21"/>
        </w:rPr>
        <w:t xml:space="preserve"> </w:t>
      </w:r>
      <w:r w:rsidRPr="007C2763">
        <w:rPr>
          <w:rFonts w:ascii="Abadi" w:hAnsi="Abadi"/>
          <w:color w:val="17161D"/>
          <w:w w:val="105"/>
          <w:sz w:val="21"/>
          <w:szCs w:val="21"/>
        </w:rPr>
        <w:t>deben</w:t>
      </w:r>
      <w:r w:rsidRPr="007C2763">
        <w:rPr>
          <w:rFonts w:ascii="Abadi" w:hAnsi="Abadi"/>
          <w:color w:val="17161D"/>
          <w:spacing w:val="13"/>
          <w:w w:val="105"/>
          <w:sz w:val="21"/>
          <w:szCs w:val="21"/>
        </w:rPr>
        <w:t xml:space="preserve"> </w:t>
      </w:r>
      <w:r w:rsidRPr="007C2763">
        <w:rPr>
          <w:rFonts w:ascii="Abadi" w:hAnsi="Abadi"/>
          <w:color w:val="17161D"/>
          <w:w w:val="105"/>
          <w:sz w:val="21"/>
          <w:szCs w:val="21"/>
        </w:rPr>
        <w:t>someterse</w:t>
      </w:r>
      <w:r w:rsidRPr="007C2763">
        <w:rPr>
          <w:rFonts w:ascii="Abadi" w:hAnsi="Abadi"/>
          <w:color w:val="17161D"/>
          <w:spacing w:val="52"/>
          <w:w w:val="105"/>
          <w:sz w:val="21"/>
          <w:szCs w:val="21"/>
        </w:rPr>
        <w:t xml:space="preserve"> </w:t>
      </w:r>
      <w:r w:rsidRPr="007C2763">
        <w:rPr>
          <w:rFonts w:ascii="Abadi" w:hAnsi="Abadi"/>
          <w:color w:val="17161D"/>
          <w:w w:val="105"/>
          <w:sz w:val="21"/>
          <w:szCs w:val="21"/>
        </w:rPr>
        <w:t>a</w:t>
      </w:r>
      <w:r w:rsidRPr="007C2763">
        <w:rPr>
          <w:rFonts w:ascii="Abadi" w:hAnsi="Abadi"/>
          <w:color w:val="17161D"/>
          <w:spacing w:val="49"/>
          <w:w w:val="105"/>
          <w:sz w:val="21"/>
          <w:szCs w:val="21"/>
        </w:rPr>
        <w:t xml:space="preserve"> </w:t>
      </w:r>
      <w:r w:rsidRPr="007C2763">
        <w:rPr>
          <w:rFonts w:ascii="Abadi" w:hAnsi="Abadi"/>
          <w:color w:val="17161D"/>
          <w:w w:val="105"/>
          <w:sz w:val="21"/>
          <w:szCs w:val="21"/>
        </w:rPr>
        <w:t>verificaciones</w:t>
      </w:r>
      <w:r w:rsidRPr="007C2763">
        <w:rPr>
          <w:rFonts w:ascii="Abadi" w:hAnsi="Abadi"/>
          <w:color w:val="17161D"/>
          <w:spacing w:val="48"/>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55"/>
          <w:w w:val="105"/>
          <w:sz w:val="21"/>
          <w:szCs w:val="21"/>
        </w:rPr>
        <w:t xml:space="preserve"> </w:t>
      </w:r>
      <w:r w:rsidRPr="007C2763">
        <w:rPr>
          <w:rFonts w:ascii="Abadi" w:hAnsi="Abadi"/>
          <w:color w:val="17161D"/>
          <w:w w:val="105"/>
          <w:sz w:val="21"/>
          <w:szCs w:val="21"/>
        </w:rPr>
        <w:t>emisión</w:t>
      </w:r>
      <w:r w:rsidRPr="007C2763">
        <w:rPr>
          <w:rFonts w:ascii="Abadi" w:hAnsi="Abadi"/>
          <w:color w:val="17161D"/>
          <w:spacing w:val="61"/>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56"/>
          <w:w w:val="105"/>
          <w:sz w:val="21"/>
          <w:szCs w:val="21"/>
        </w:rPr>
        <w:t xml:space="preserve"> </w:t>
      </w:r>
      <w:r w:rsidRPr="007C2763">
        <w:rPr>
          <w:rFonts w:ascii="Abadi" w:hAnsi="Abadi"/>
          <w:color w:val="17161D"/>
          <w:w w:val="105"/>
          <w:sz w:val="21"/>
          <w:szCs w:val="21"/>
        </w:rPr>
        <w:t>contaminantes</w:t>
      </w:r>
      <w:r w:rsidRPr="007C2763">
        <w:rPr>
          <w:rFonts w:ascii="Abadi" w:hAnsi="Abadi"/>
          <w:color w:val="17161D"/>
          <w:spacing w:val="46"/>
          <w:w w:val="105"/>
          <w:sz w:val="21"/>
          <w:szCs w:val="21"/>
        </w:rPr>
        <w:t xml:space="preserve"> </w:t>
      </w:r>
      <w:r w:rsidRPr="007C2763">
        <w:rPr>
          <w:rFonts w:ascii="Abadi" w:hAnsi="Abadi"/>
          <w:color w:val="17161D"/>
          <w:w w:val="105"/>
          <w:sz w:val="21"/>
          <w:szCs w:val="21"/>
        </w:rPr>
        <w:t>conforme</w:t>
      </w:r>
      <w:r w:rsidRPr="007C2763">
        <w:rPr>
          <w:rFonts w:ascii="Abadi" w:hAnsi="Abadi"/>
          <w:color w:val="17161D"/>
          <w:spacing w:val="52"/>
          <w:w w:val="105"/>
          <w:sz w:val="21"/>
          <w:szCs w:val="21"/>
        </w:rPr>
        <w:t xml:space="preserve"> </w:t>
      </w:r>
      <w:r w:rsidRPr="007C2763">
        <w:rPr>
          <w:rFonts w:ascii="Abadi" w:hAnsi="Abadi"/>
          <w:color w:val="17161D"/>
          <w:w w:val="105"/>
          <w:sz w:val="21"/>
          <w:szCs w:val="21"/>
        </w:rPr>
        <w:t>al</w:t>
      </w:r>
      <w:r w:rsidRPr="007C2763">
        <w:rPr>
          <w:rFonts w:ascii="Abadi" w:hAnsi="Abadi"/>
          <w:color w:val="17161D"/>
          <w:spacing w:val="75"/>
          <w:w w:val="105"/>
          <w:sz w:val="21"/>
          <w:szCs w:val="21"/>
        </w:rPr>
        <w:t xml:space="preserve"> </w:t>
      </w:r>
      <w:r w:rsidRPr="007C2763">
        <w:rPr>
          <w:rFonts w:ascii="Abadi" w:hAnsi="Abadi"/>
          <w:color w:val="17161D"/>
          <w:w w:val="105"/>
          <w:sz w:val="21"/>
          <w:szCs w:val="21"/>
        </w:rPr>
        <w:t>Programa</w:t>
      </w:r>
      <w:r w:rsidRPr="007C2763">
        <w:rPr>
          <w:rFonts w:ascii="Abadi" w:hAnsi="Abadi"/>
          <w:color w:val="17161D"/>
          <w:spacing w:val="6"/>
          <w:w w:val="105"/>
          <w:sz w:val="21"/>
          <w:szCs w:val="21"/>
        </w:rPr>
        <w:t xml:space="preserve"> </w:t>
      </w:r>
      <w:r w:rsidRPr="007C2763">
        <w:rPr>
          <w:rFonts w:ascii="Abadi" w:hAnsi="Abadi"/>
          <w:color w:val="17161D"/>
          <w:w w:val="105"/>
          <w:sz w:val="21"/>
          <w:szCs w:val="21"/>
        </w:rPr>
        <w:t>Estatal</w:t>
      </w:r>
      <w:r w:rsidRPr="007C2763">
        <w:rPr>
          <w:rFonts w:ascii="Abadi" w:hAnsi="Abadi"/>
          <w:color w:val="17161D"/>
          <w:spacing w:val="72"/>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72"/>
          <w:w w:val="105"/>
          <w:sz w:val="21"/>
          <w:szCs w:val="21"/>
        </w:rPr>
        <w:t xml:space="preserve"> </w:t>
      </w:r>
      <w:r w:rsidRPr="007C2763">
        <w:rPr>
          <w:rFonts w:ascii="Abadi" w:hAnsi="Abadi"/>
          <w:color w:val="17161D"/>
          <w:w w:val="105"/>
          <w:sz w:val="21"/>
          <w:szCs w:val="21"/>
        </w:rPr>
        <w:t>Verificación</w:t>
      </w:r>
      <w:r w:rsidRPr="007C2763">
        <w:rPr>
          <w:rFonts w:ascii="Abadi" w:hAnsi="Abadi"/>
          <w:color w:val="17161D"/>
          <w:spacing w:val="78"/>
          <w:w w:val="105"/>
          <w:sz w:val="21"/>
          <w:szCs w:val="21"/>
        </w:rPr>
        <w:t xml:space="preserve"> </w:t>
      </w:r>
      <w:r w:rsidRPr="007C2763">
        <w:rPr>
          <w:rFonts w:ascii="Abadi" w:hAnsi="Abadi"/>
          <w:color w:val="17161D"/>
          <w:w w:val="105"/>
          <w:sz w:val="21"/>
          <w:szCs w:val="21"/>
        </w:rPr>
        <w:t>Vehicular,</w:t>
      </w:r>
      <w:r w:rsidRPr="007C2763">
        <w:rPr>
          <w:rFonts w:ascii="Abadi" w:hAnsi="Abadi"/>
          <w:color w:val="17161D"/>
          <w:spacing w:val="80"/>
          <w:w w:val="105"/>
          <w:sz w:val="21"/>
          <w:szCs w:val="21"/>
        </w:rPr>
        <w:t xml:space="preserve"> </w:t>
      </w:r>
      <w:r w:rsidRPr="007C2763">
        <w:rPr>
          <w:rFonts w:ascii="Abadi" w:hAnsi="Abadi"/>
          <w:color w:val="17161D"/>
          <w:w w:val="105"/>
          <w:sz w:val="21"/>
          <w:szCs w:val="21"/>
        </w:rPr>
        <w:t>en</w:t>
      </w:r>
      <w:r w:rsidRPr="007C2763">
        <w:rPr>
          <w:rFonts w:ascii="Abadi" w:hAnsi="Abadi"/>
          <w:color w:val="17161D"/>
          <w:spacing w:val="76"/>
          <w:w w:val="105"/>
          <w:sz w:val="21"/>
          <w:szCs w:val="21"/>
        </w:rPr>
        <w:t xml:space="preserve"> </w:t>
      </w:r>
      <w:r w:rsidRPr="007C2763">
        <w:rPr>
          <w:rFonts w:ascii="Abadi" w:hAnsi="Abadi"/>
          <w:color w:val="17161D"/>
          <w:w w:val="105"/>
          <w:sz w:val="21"/>
          <w:szCs w:val="21"/>
        </w:rPr>
        <w:t>los</w:t>
      </w:r>
      <w:r w:rsidRPr="007C2763">
        <w:rPr>
          <w:rFonts w:ascii="Abadi" w:hAnsi="Abadi"/>
          <w:color w:val="17161D"/>
          <w:spacing w:val="67"/>
          <w:w w:val="105"/>
          <w:sz w:val="21"/>
          <w:szCs w:val="21"/>
        </w:rPr>
        <w:t xml:space="preserve"> </w:t>
      </w:r>
      <w:r w:rsidRPr="007C2763">
        <w:rPr>
          <w:rFonts w:ascii="Abadi" w:hAnsi="Abadi"/>
          <w:color w:val="17161D"/>
          <w:w w:val="105"/>
          <w:sz w:val="21"/>
          <w:szCs w:val="21"/>
        </w:rPr>
        <w:t>centros</w:t>
      </w:r>
      <w:r w:rsidRPr="007C2763">
        <w:rPr>
          <w:rFonts w:ascii="Abadi" w:hAnsi="Abadi"/>
          <w:color w:val="17161D"/>
          <w:spacing w:val="72"/>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57"/>
          <w:w w:val="105"/>
          <w:sz w:val="21"/>
          <w:szCs w:val="21"/>
        </w:rPr>
        <w:t xml:space="preserve"> </w:t>
      </w:r>
      <w:r w:rsidRPr="007C2763">
        <w:rPr>
          <w:rFonts w:ascii="Abadi" w:hAnsi="Abadi"/>
          <w:color w:val="17161D"/>
          <w:w w:val="105"/>
          <w:sz w:val="21"/>
          <w:szCs w:val="21"/>
        </w:rPr>
        <w:t>verificación</w:t>
      </w:r>
      <w:r w:rsidRPr="007C2763">
        <w:rPr>
          <w:rFonts w:ascii="Abadi" w:hAnsi="Abadi"/>
          <w:color w:val="17161D"/>
          <w:spacing w:val="65"/>
          <w:w w:val="105"/>
          <w:sz w:val="21"/>
          <w:szCs w:val="21"/>
        </w:rPr>
        <w:t xml:space="preserve"> </w:t>
      </w:r>
      <w:r w:rsidRPr="007C2763">
        <w:rPr>
          <w:rFonts w:ascii="Abadi" w:hAnsi="Abadi"/>
          <w:color w:val="17161D"/>
          <w:w w:val="105"/>
          <w:sz w:val="21"/>
          <w:szCs w:val="21"/>
        </w:rPr>
        <w:t>autorizados,</w:t>
      </w:r>
      <w:r w:rsidRPr="007C2763">
        <w:rPr>
          <w:rFonts w:ascii="Abadi" w:hAnsi="Abadi"/>
          <w:color w:val="17161D"/>
          <w:spacing w:val="59"/>
          <w:w w:val="150"/>
          <w:sz w:val="21"/>
          <w:szCs w:val="21"/>
        </w:rPr>
        <w:t xml:space="preserve"> </w:t>
      </w:r>
      <w:r w:rsidRPr="007C2763">
        <w:rPr>
          <w:rFonts w:ascii="Abadi" w:hAnsi="Abadi"/>
          <w:color w:val="17161D"/>
          <w:w w:val="105"/>
          <w:sz w:val="21"/>
          <w:szCs w:val="21"/>
        </w:rPr>
        <w:t>los</w:t>
      </w:r>
      <w:r w:rsidRPr="007C2763">
        <w:rPr>
          <w:rFonts w:ascii="Abadi" w:hAnsi="Abadi"/>
          <w:color w:val="17161D"/>
          <w:spacing w:val="-3"/>
          <w:w w:val="105"/>
          <w:sz w:val="21"/>
          <w:szCs w:val="21"/>
        </w:rPr>
        <w:t xml:space="preserve"> </w:t>
      </w:r>
      <w:r w:rsidRPr="007C2763">
        <w:rPr>
          <w:rFonts w:ascii="Abadi" w:hAnsi="Abadi"/>
          <w:color w:val="17161D"/>
          <w:w w:val="105"/>
          <w:sz w:val="21"/>
          <w:szCs w:val="21"/>
        </w:rPr>
        <w:t>cuales ante</w:t>
      </w:r>
      <w:r w:rsidRPr="007C2763">
        <w:rPr>
          <w:rFonts w:ascii="Abadi" w:hAnsi="Abadi"/>
          <w:color w:val="17161D"/>
          <w:spacing w:val="-4"/>
          <w:w w:val="105"/>
          <w:sz w:val="21"/>
          <w:szCs w:val="21"/>
        </w:rPr>
        <w:t xml:space="preserve"> </w:t>
      </w:r>
      <w:r w:rsidRPr="007C2763">
        <w:rPr>
          <w:rFonts w:ascii="Abadi" w:hAnsi="Abadi"/>
          <w:color w:val="17161D"/>
          <w:w w:val="105"/>
          <w:sz w:val="21"/>
          <w:szCs w:val="21"/>
        </w:rPr>
        <w:t>su</w:t>
      </w:r>
      <w:r w:rsidRPr="007C2763">
        <w:rPr>
          <w:rFonts w:ascii="Abadi" w:hAnsi="Abadi"/>
          <w:color w:val="17161D"/>
          <w:spacing w:val="11"/>
          <w:w w:val="105"/>
          <w:sz w:val="21"/>
          <w:szCs w:val="21"/>
        </w:rPr>
        <w:t xml:space="preserve"> </w:t>
      </w:r>
      <w:r w:rsidRPr="007C2763">
        <w:rPr>
          <w:rFonts w:ascii="Abadi" w:hAnsi="Abadi"/>
          <w:color w:val="17161D"/>
          <w:w w:val="105"/>
          <w:sz w:val="21"/>
          <w:szCs w:val="21"/>
        </w:rPr>
        <w:t>revisión</w:t>
      </w:r>
      <w:r w:rsidRPr="007C2763">
        <w:rPr>
          <w:rFonts w:ascii="Abadi" w:hAnsi="Abadi"/>
          <w:color w:val="17161D"/>
          <w:spacing w:val="9"/>
          <w:w w:val="105"/>
          <w:sz w:val="21"/>
          <w:szCs w:val="21"/>
        </w:rPr>
        <w:t xml:space="preserve"> </w:t>
      </w:r>
      <w:r w:rsidRPr="007C2763">
        <w:rPr>
          <w:rFonts w:ascii="Abadi" w:hAnsi="Abadi"/>
          <w:color w:val="17161D"/>
          <w:w w:val="105"/>
          <w:sz w:val="21"/>
          <w:szCs w:val="21"/>
        </w:rPr>
        <w:t>y</w:t>
      </w:r>
      <w:r w:rsidRPr="007C2763">
        <w:rPr>
          <w:rFonts w:ascii="Abadi" w:hAnsi="Abadi"/>
          <w:color w:val="17161D"/>
          <w:spacing w:val="-4"/>
          <w:w w:val="105"/>
          <w:sz w:val="21"/>
          <w:szCs w:val="21"/>
        </w:rPr>
        <w:t xml:space="preserve"> </w:t>
      </w:r>
      <w:r w:rsidRPr="007C2763">
        <w:rPr>
          <w:rFonts w:ascii="Abadi" w:hAnsi="Abadi"/>
          <w:color w:val="17161D"/>
          <w:w w:val="105"/>
          <w:sz w:val="21"/>
          <w:szCs w:val="21"/>
        </w:rPr>
        <w:t>aprobación</w:t>
      </w:r>
      <w:r w:rsidRPr="007C2763">
        <w:rPr>
          <w:rFonts w:ascii="Abadi" w:hAnsi="Abadi"/>
          <w:color w:val="17161D"/>
          <w:spacing w:val="2"/>
          <w:w w:val="105"/>
          <w:sz w:val="21"/>
          <w:szCs w:val="21"/>
        </w:rPr>
        <w:t xml:space="preserve"> </w:t>
      </w:r>
      <w:r w:rsidRPr="007C2763">
        <w:rPr>
          <w:rFonts w:ascii="Abadi" w:hAnsi="Abadi"/>
          <w:color w:val="17161D"/>
          <w:w w:val="105"/>
          <w:sz w:val="21"/>
          <w:szCs w:val="21"/>
        </w:rPr>
        <w:t>les</w:t>
      </w:r>
      <w:r w:rsidRPr="007C2763">
        <w:rPr>
          <w:rFonts w:ascii="Abadi" w:hAnsi="Abadi"/>
          <w:color w:val="17161D"/>
          <w:spacing w:val="3"/>
          <w:w w:val="105"/>
          <w:sz w:val="21"/>
          <w:szCs w:val="21"/>
        </w:rPr>
        <w:t xml:space="preserve"> </w:t>
      </w:r>
      <w:r w:rsidRPr="007C2763">
        <w:rPr>
          <w:rFonts w:ascii="Abadi" w:hAnsi="Abadi"/>
          <w:color w:val="17161D"/>
          <w:w w:val="105"/>
          <w:sz w:val="21"/>
          <w:szCs w:val="21"/>
        </w:rPr>
        <w:t>es</w:t>
      </w:r>
      <w:r w:rsidRPr="007C2763">
        <w:rPr>
          <w:rFonts w:ascii="Abadi" w:hAnsi="Abadi"/>
          <w:color w:val="17161D"/>
          <w:spacing w:val="-2"/>
          <w:w w:val="105"/>
          <w:sz w:val="21"/>
          <w:szCs w:val="21"/>
        </w:rPr>
        <w:t xml:space="preserve"> </w:t>
      </w:r>
      <w:r w:rsidRPr="007C2763">
        <w:rPr>
          <w:rFonts w:ascii="Abadi" w:hAnsi="Abadi"/>
          <w:color w:val="17161D"/>
          <w:w w:val="105"/>
          <w:sz w:val="21"/>
          <w:szCs w:val="21"/>
        </w:rPr>
        <w:t>otorgado un</w:t>
      </w:r>
      <w:r w:rsidRPr="007C2763">
        <w:rPr>
          <w:rFonts w:ascii="Abadi" w:hAnsi="Abadi"/>
          <w:color w:val="17161D"/>
          <w:spacing w:val="3"/>
          <w:w w:val="105"/>
          <w:sz w:val="21"/>
          <w:szCs w:val="21"/>
        </w:rPr>
        <w:t xml:space="preserve"> </w:t>
      </w:r>
      <w:r w:rsidRPr="007C2763">
        <w:rPr>
          <w:rFonts w:ascii="Abadi" w:hAnsi="Abadi"/>
          <w:color w:val="17161D"/>
          <w:w w:val="105"/>
          <w:sz w:val="21"/>
          <w:szCs w:val="21"/>
        </w:rPr>
        <w:t>distintivo</w:t>
      </w:r>
      <w:r w:rsidRPr="007C2763">
        <w:rPr>
          <w:rFonts w:ascii="Abadi" w:hAnsi="Abadi"/>
          <w:color w:val="17161D"/>
          <w:spacing w:val="-1"/>
          <w:w w:val="105"/>
          <w:sz w:val="21"/>
          <w:szCs w:val="21"/>
        </w:rPr>
        <w:t xml:space="preserve"> </w:t>
      </w:r>
      <w:r w:rsidRPr="007C2763">
        <w:rPr>
          <w:rFonts w:ascii="Abadi" w:hAnsi="Abadi"/>
          <w:color w:val="17161D"/>
          <w:w w:val="105"/>
          <w:sz w:val="21"/>
          <w:szCs w:val="21"/>
        </w:rPr>
        <w:t>que así</w:t>
      </w:r>
      <w:r w:rsidRPr="007C2763">
        <w:rPr>
          <w:rFonts w:ascii="Abadi" w:hAnsi="Abadi"/>
          <w:color w:val="17161D"/>
          <w:spacing w:val="3"/>
          <w:w w:val="105"/>
          <w:sz w:val="21"/>
          <w:szCs w:val="21"/>
        </w:rPr>
        <w:t xml:space="preserve"> </w:t>
      </w:r>
      <w:r w:rsidRPr="007C2763">
        <w:rPr>
          <w:rFonts w:ascii="Abadi" w:hAnsi="Abadi"/>
          <w:color w:val="17161D"/>
          <w:w w:val="105"/>
          <w:sz w:val="21"/>
          <w:szCs w:val="21"/>
        </w:rPr>
        <w:t>lo</w:t>
      </w:r>
      <w:r w:rsidRPr="007C2763">
        <w:rPr>
          <w:rFonts w:ascii="Abadi" w:hAnsi="Abadi"/>
          <w:color w:val="17161D"/>
          <w:spacing w:val="-7"/>
          <w:w w:val="105"/>
          <w:sz w:val="21"/>
          <w:szCs w:val="21"/>
        </w:rPr>
        <w:t xml:space="preserve"> </w:t>
      </w:r>
      <w:r w:rsidRPr="007C2763">
        <w:rPr>
          <w:rFonts w:ascii="Abadi" w:hAnsi="Abadi"/>
          <w:color w:val="17161D"/>
          <w:w w:val="105"/>
          <w:sz w:val="21"/>
          <w:szCs w:val="21"/>
        </w:rPr>
        <w:t>acredita.</w:t>
      </w:r>
    </w:p>
    <w:p w14:paraId="52E71370" w14:textId="77777777" w:rsidR="00DF3BF0" w:rsidRPr="007C2763" w:rsidRDefault="00DF3BF0" w:rsidP="00DF3BF0">
      <w:pPr>
        <w:pStyle w:val="Textoindependiente"/>
        <w:kinsoku w:val="0"/>
        <w:overflowPunct w:val="0"/>
        <w:ind w:firstLine="349"/>
        <w:rPr>
          <w:rFonts w:ascii="Abadi" w:hAnsi="Abadi"/>
          <w:sz w:val="21"/>
          <w:szCs w:val="21"/>
        </w:rPr>
      </w:pPr>
    </w:p>
    <w:p w14:paraId="05E1A448" w14:textId="77777777" w:rsidR="00DF3BF0" w:rsidRPr="007C2763" w:rsidRDefault="00DF3BF0" w:rsidP="00DF3BF0">
      <w:pPr>
        <w:pStyle w:val="Textoindependiente"/>
        <w:kinsoku w:val="0"/>
        <w:overflowPunct w:val="0"/>
        <w:ind w:left="50" w:right="158" w:firstLine="10"/>
        <w:rPr>
          <w:rFonts w:ascii="Abadi" w:hAnsi="Abadi"/>
          <w:color w:val="17161E"/>
          <w:w w:val="105"/>
          <w:sz w:val="21"/>
          <w:szCs w:val="21"/>
        </w:rPr>
      </w:pPr>
      <w:r w:rsidRPr="007C2763">
        <w:rPr>
          <w:rFonts w:ascii="Abadi" w:hAnsi="Abadi"/>
          <w:color w:val="17161E"/>
          <w:w w:val="105"/>
          <w:sz w:val="21"/>
          <w:szCs w:val="21"/>
        </w:rPr>
        <w:t>Agrega,</w:t>
      </w:r>
      <w:r w:rsidRPr="007C2763">
        <w:rPr>
          <w:rFonts w:ascii="Abadi" w:hAnsi="Abadi"/>
          <w:color w:val="17161E"/>
          <w:spacing w:val="58"/>
          <w:w w:val="150"/>
          <w:sz w:val="21"/>
          <w:szCs w:val="21"/>
        </w:rPr>
        <w:t xml:space="preserve"> </w:t>
      </w:r>
      <w:r w:rsidRPr="007C2763">
        <w:rPr>
          <w:rFonts w:ascii="Abadi" w:hAnsi="Abadi"/>
          <w:color w:val="17161E"/>
          <w:w w:val="105"/>
          <w:sz w:val="21"/>
          <w:szCs w:val="21"/>
        </w:rPr>
        <w:t>que</w:t>
      </w:r>
      <w:r w:rsidRPr="007C2763">
        <w:rPr>
          <w:rFonts w:ascii="Abadi" w:hAnsi="Abadi"/>
          <w:color w:val="17161E"/>
          <w:spacing w:val="60"/>
          <w:w w:val="105"/>
          <w:sz w:val="21"/>
          <w:szCs w:val="21"/>
        </w:rPr>
        <w:t xml:space="preserve"> </w:t>
      </w:r>
      <w:r w:rsidRPr="007C2763">
        <w:rPr>
          <w:rFonts w:ascii="Abadi" w:hAnsi="Abadi"/>
          <w:color w:val="17161E"/>
          <w:w w:val="105"/>
          <w:sz w:val="21"/>
          <w:szCs w:val="21"/>
        </w:rPr>
        <w:t>al</w:t>
      </w:r>
      <w:r w:rsidRPr="007C2763">
        <w:rPr>
          <w:rFonts w:ascii="Abadi" w:hAnsi="Abadi"/>
          <w:color w:val="17161E"/>
          <w:spacing w:val="64"/>
          <w:w w:val="105"/>
          <w:sz w:val="21"/>
          <w:szCs w:val="21"/>
        </w:rPr>
        <w:t xml:space="preserve"> </w:t>
      </w:r>
      <w:r w:rsidRPr="007C2763">
        <w:rPr>
          <w:rFonts w:ascii="Abadi" w:hAnsi="Abadi"/>
          <w:color w:val="17161E"/>
          <w:w w:val="105"/>
          <w:sz w:val="21"/>
          <w:szCs w:val="21"/>
        </w:rPr>
        <w:t>no</w:t>
      </w:r>
      <w:r w:rsidRPr="007C2763">
        <w:rPr>
          <w:rFonts w:ascii="Abadi" w:hAnsi="Abadi"/>
          <w:color w:val="17161E"/>
          <w:spacing w:val="62"/>
          <w:w w:val="105"/>
          <w:sz w:val="21"/>
          <w:szCs w:val="21"/>
        </w:rPr>
        <w:t xml:space="preserve"> </w:t>
      </w:r>
      <w:r w:rsidRPr="007C2763">
        <w:rPr>
          <w:rFonts w:ascii="Abadi" w:hAnsi="Abadi"/>
          <w:color w:val="17161E"/>
          <w:w w:val="105"/>
          <w:sz w:val="21"/>
          <w:szCs w:val="21"/>
        </w:rPr>
        <w:t>contar</w:t>
      </w:r>
      <w:r w:rsidRPr="007C2763">
        <w:rPr>
          <w:rFonts w:ascii="Abadi" w:hAnsi="Abadi"/>
          <w:color w:val="17161E"/>
          <w:spacing w:val="70"/>
          <w:w w:val="105"/>
          <w:sz w:val="21"/>
          <w:szCs w:val="21"/>
        </w:rPr>
        <w:t xml:space="preserve"> </w:t>
      </w:r>
      <w:r w:rsidRPr="007C2763">
        <w:rPr>
          <w:rFonts w:ascii="Abadi" w:hAnsi="Abadi"/>
          <w:color w:val="17161E"/>
          <w:w w:val="105"/>
          <w:sz w:val="21"/>
          <w:szCs w:val="21"/>
        </w:rPr>
        <w:t>con</w:t>
      </w:r>
      <w:r w:rsidRPr="007C2763">
        <w:rPr>
          <w:rFonts w:ascii="Abadi" w:hAnsi="Abadi"/>
          <w:color w:val="17161E"/>
          <w:spacing w:val="70"/>
          <w:w w:val="105"/>
          <w:sz w:val="21"/>
          <w:szCs w:val="21"/>
        </w:rPr>
        <w:t xml:space="preserve"> </w:t>
      </w:r>
      <w:r w:rsidRPr="007C2763">
        <w:rPr>
          <w:rFonts w:ascii="Abadi" w:hAnsi="Abadi"/>
          <w:color w:val="17161E"/>
          <w:w w:val="105"/>
          <w:sz w:val="21"/>
          <w:szCs w:val="21"/>
        </w:rPr>
        <w:t>el</w:t>
      </w:r>
      <w:r w:rsidRPr="007C2763">
        <w:rPr>
          <w:rFonts w:ascii="Abadi" w:hAnsi="Abadi"/>
          <w:color w:val="17161E"/>
          <w:spacing w:val="70"/>
          <w:w w:val="105"/>
          <w:sz w:val="21"/>
          <w:szCs w:val="21"/>
        </w:rPr>
        <w:t xml:space="preserve"> </w:t>
      </w:r>
      <w:r w:rsidRPr="007C2763">
        <w:rPr>
          <w:rFonts w:ascii="Abadi" w:hAnsi="Abadi"/>
          <w:color w:val="17161E"/>
          <w:w w:val="105"/>
          <w:sz w:val="21"/>
          <w:szCs w:val="21"/>
        </w:rPr>
        <w:t>distintivo</w:t>
      </w:r>
      <w:r w:rsidRPr="007C2763">
        <w:rPr>
          <w:rFonts w:ascii="Abadi" w:hAnsi="Abadi"/>
          <w:color w:val="17161E"/>
          <w:spacing w:val="65"/>
          <w:w w:val="105"/>
          <w:sz w:val="21"/>
          <w:szCs w:val="21"/>
        </w:rPr>
        <w:t xml:space="preserve"> </w:t>
      </w:r>
      <w:r w:rsidRPr="007C2763">
        <w:rPr>
          <w:rFonts w:ascii="Abadi" w:hAnsi="Abadi"/>
          <w:color w:val="17161E"/>
          <w:w w:val="105"/>
          <w:sz w:val="21"/>
          <w:szCs w:val="21"/>
        </w:rPr>
        <w:t>que</w:t>
      </w:r>
      <w:r w:rsidRPr="007C2763">
        <w:rPr>
          <w:rFonts w:ascii="Abadi" w:hAnsi="Abadi"/>
          <w:color w:val="17161E"/>
          <w:spacing w:val="60"/>
          <w:w w:val="105"/>
          <w:sz w:val="21"/>
          <w:szCs w:val="21"/>
        </w:rPr>
        <w:t xml:space="preserve"> </w:t>
      </w:r>
      <w:r w:rsidRPr="007C2763">
        <w:rPr>
          <w:rFonts w:ascii="Abadi" w:hAnsi="Abadi"/>
          <w:color w:val="17161E"/>
          <w:w w:val="105"/>
          <w:sz w:val="21"/>
          <w:szCs w:val="21"/>
        </w:rPr>
        <w:t>acredite</w:t>
      </w:r>
      <w:r w:rsidRPr="007C2763">
        <w:rPr>
          <w:rFonts w:ascii="Abadi" w:hAnsi="Abadi"/>
          <w:color w:val="17161E"/>
          <w:spacing w:val="63"/>
          <w:w w:val="105"/>
          <w:sz w:val="21"/>
          <w:szCs w:val="21"/>
        </w:rPr>
        <w:t xml:space="preserve"> </w:t>
      </w:r>
      <w:r w:rsidRPr="007C2763">
        <w:rPr>
          <w:rFonts w:ascii="Abadi" w:hAnsi="Abadi"/>
          <w:color w:val="17161E"/>
          <w:w w:val="105"/>
          <w:sz w:val="21"/>
          <w:szCs w:val="21"/>
        </w:rPr>
        <w:t>el</w:t>
      </w:r>
      <w:r w:rsidRPr="007C2763">
        <w:rPr>
          <w:rFonts w:ascii="Abadi" w:hAnsi="Abadi"/>
          <w:color w:val="17161E"/>
          <w:spacing w:val="70"/>
          <w:w w:val="105"/>
          <w:sz w:val="21"/>
          <w:szCs w:val="21"/>
        </w:rPr>
        <w:t xml:space="preserve"> </w:t>
      </w:r>
      <w:r w:rsidRPr="007C2763">
        <w:rPr>
          <w:rFonts w:ascii="Abadi" w:hAnsi="Abadi"/>
          <w:color w:val="17161E"/>
          <w:w w:val="105"/>
          <w:sz w:val="21"/>
          <w:szCs w:val="21"/>
        </w:rPr>
        <w:t>cumplimiento</w:t>
      </w:r>
      <w:r w:rsidRPr="007C2763">
        <w:rPr>
          <w:rFonts w:ascii="Abadi" w:hAnsi="Abadi"/>
          <w:color w:val="17161E"/>
          <w:spacing w:val="70"/>
          <w:w w:val="105"/>
          <w:sz w:val="21"/>
          <w:szCs w:val="21"/>
        </w:rPr>
        <w:t xml:space="preserve"> </w:t>
      </w:r>
      <w:r w:rsidRPr="007C2763">
        <w:rPr>
          <w:rFonts w:ascii="Abadi" w:hAnsi="Abadi"/>
          <w:color w:val="17161E"/>
          <w:w w:val="105"/>
          <w:sz w:val="21"/>
          <w:szCs w:val="21"/>
        </w:rPr>
        <w:t>de</w:t>
      </w:r>
      <w:r w:rsidRPr="007C2763">
        <w:rPr>
          <w:rFonts w:ascii="Abadi" w:hAnsi="Abadi"/>
          <w:color w:val="17161E"/>
          <w:spacing w:val="64"/>
          <w:w w:val="105"/>
          <w:sz w:val="21"/>
          <w:szCs w:val="21"/>
        </w:rPr>
        <w:t xml:space="preserve"> </w:t>
      </w:r>
      <w:r w:rsidRPr="007C2763">
        <w:rPr>
          <w:rFonts w:ascii="Abadi" w:hAnsi="Abadi"/>
          <w:color w:val="17161E"/>
          <w:w w:val="105"/>
          <w:sz w:val="21"/>
          <w:szCs w:val="21"/>
        </w:rPr>
        <w:t>la</w:t>
      </w:r>
      <w:r w:rsidRPr="007C2763">
        <w:rPr>
          <w:rFonts w:ascii="Abadi" w:hAnsi="Abadi"/>
          <w:color w:val="17161E"/>
          <w:spacing w:val="12"/>
          <w:w w:val="105"/>
          <w:sz w:val="21"/>
          <w:szCs w:val="21"/>
        </w:rPr>
        <w:t xml:space="preserve"> </w:t>
      </w:r>
      <w:r w:rsidRPr="007C2763">
        <w:rPr>
          <w:rFonts w:ascii="Abadi" w:hAnsi="Abadi"/>
          <w:color w:val="17161E"/>
          <w:w w:val="105"/>
          <w:sz w:val="21"/>
          <w:szCs w:val="21"/>
        </w:rPr>
        <w:t>norma</w:t>
      </w:r>
      <w:r w:rsidRPr="007C2763">
        <w:rPr>
          <w:rFonts w:ascii="Abadi" w:hAnsi="Abadi"/>
          <w:color w:val="17161E"/>
          <w:spacing w:val="40"/>
          <w:w w:val="105"/>
          <w:sz w:val="21"/>
          <w:szCs w:val="21"/>
        </w:rPr>
        <w:t xml:space="preserve"> </w:t>
      </w:r>
      <w:r w:rsidRPr="007C2763">
        <w:rPr>
          <w:rFonts w:ascii="Abadi" w:hAnsi="Abadi"/>
          <w:color w:val="17161E"/>
          <w:w w:val="105"/>
          <w:sz w:val="21"/>
          <w:szCs w:val="21"/>
        </w:rPr>
        <w:t>le</w:t>
      </w:r>
      <w:r w:rsidRPr="007C2763">
        <w:rPr>
          <w:rFonts w:ascii="Abadi" w:hAnsi="Abadi"/>
          <w:color w:val="17161E"/>
          <w:spacing w:val="40"/>
          <w:w w:val="105"/>
          <w:sz w:val="21"/>
          <w:szCs w:val="21"/>
        </w:rPr>
        <w:t xml:space="preserve"> </w:t>
      </w:r>
      <w:r w:rsidRPr="007C2763">
        <w:rPr>
          <w:rFonts w:ascii="Abadi" w:hAnsi="Abadi"/>
          <w:color w:val="17161E"/>
          <w:w w:val="105"/>
          <w:sz w:val="21"/>
          <w:szCs w:val="21"/>
        </w:rPr>
        <w:t>es</w:t>
      </w:r>
      <w:r w:rsidRPr="007C2763">
        <w:rPr>
          <w:rFonts w:ascii="Abadi" w:hAnsi="Abadi"/>
          <w:color w:val="17161E"/>
          <w:spacing w:val="43"/>
          <w:w w:val="105"/>
          <w:sz w:val="21"/>
          <w:szCs w:val="21"/>
        </w:rPr>
        <w:t xml:space="preserve"> </w:t>
      </w:r>
      <w:r w:rsidRPr="007C2763">
        <w:rPr>
          <w:rFonts w:ascii="Abadi" w:hAnsi="Abadi"/>
          <w:color w:val="17161E"/>
          <w:w w:val="105"/>
          <w:sz w:val="21"/>
          <w:szCs w:val="21"/>
        </w:rPr>
        <w:t>imputable</w:t>
      </w:r>
      <w:r w:rsidRPr="007C2763">
        <w:rPr>
          <w:rFonts w:ascii="Abadi" w:hAnsi="Abadi"/>
          <w:color w:val="17161E"/>
          <w:spacing w:val="46"/>
          <w:w w:val="105"/>
          <w:sz w:val="21"/>
          <w:szCs w:val="21"/>
        </w:rPr>
        <w:t xml:space="preserve"> </w:t>
      </w:r>
      <w:r w:rsidRPr="007C2763">
        <w:rPr>
          <w:rFonts w:ascii="Abadi" w:hAnsi="Abadi"/>
          <w:color w:val="17161E"/>
          <w:w w:val="105"/>
          <w:sz w:val="21"/>
          <w:szCs w:val="21"/>
        </w:rPr>
        <w:t>una</w:t>
      </w:r>
      <w:r w:rsidRPr="007C2763">
        <w:rPr>
          <w:rFonts w:ascii="Abadi" w:hAnsi="Abadi"/>
          <w:color w:val="17161E"/>
          <w:spacing w:val="46"/>
          <w:w w:val="105"/>
          <w:sz w:val="21"/>
          <w:szCs w:val="21"/>
        </w:rPr>
        <w:t xml:space="preserve"> </w:t>
      </w:r>
      <w:r w:rsidRPr="007C2763">
        <w:rPr>
          <w:rFonts w:ascii="Abadi" w:hAnsi="Abadi"/>
          <w:color w:val="17161E"/>
          <w:w w:val="105"/>
          <w:sz w:val="21"/>
          <w:szCs w:val="21"/>
        </w:rPr>
        <w:t>sanción,</w:t>
      </w:r>
      <w:r w:rsidRPr="007C2763">
        <w:rPr>
          <w:rFonts w:ascii="Abadi" w:hAnsi="Abadi"/>
          <w:color w:val="17161E"/>
          <w:spacing w:val="63"/>
          <w:w w:val="105"/>
          <w:sz w:val="21"/>
          <w:szCs w:val="21"/>
        </w:rPr>
        <w:t xml:space="preserve"> </w:t>
      </w:r>
      <w:r w:rsidRPr="007C2763">
        <w:rPr>
          <w:rFonts w:ascii="Abadi" w:hAnsi="Abadi"/>
          <w:color w:val="17161E"/>
          <w:w w:val="105"/>
          <w:sz w:val="21"/>
          <w:szCs w:val="21"/>
        </w:rPr>
        <w:t>misma</w:t>
      </w:r>
      <w:r w:rsidRPr="007C2763">
        <w:rPr>
          <w:rFonts w:ascii="Abadi" w:hAnsi="Abadi"/>
          <w:color w:val="17161E"/>
          <w:spacing w:val="46"/>
          <w:w w:val="105"/>
          <w:sz w:val="21"/>
          <w:szCs w:val="21"/>
        </w:rPr>
        <w:t xml:space="preserve"> </w:t>
      </w:r>
      <w:r w:rsidRPr="007C2763">
        <w:rPr>
          <w:rFonts w:ascii="Abadi" w:hAnsi="Abadi"/>
          <w:color w:val="17161E"/>
          <w:w w:val="105"/>
          <w:sz w:val="21"/>
          <w:szCs w:val="21"/>
        </w:rPr>
        <w:t>que,</w:t>
      </w:r>
      <w:r w:rsidRPr="007C2763">
        <w:rPr>
          <w:rFonts w:ascii="Abadi" w:hAnsi="Abadi"/>
          <w:color w:val="17161E"/>
          <w:spacing w:val="58"/>
          <w:w w:val="105"/>
          <w:sz w:val="21"/>
          <w:szCs w:val="21"/>
        </w:rPr>
        <w:t xml:space="preserve"> </w:t>
      </w:r>
      <w:r w:rsidRPr="007C2763">
        <w:rPr>
          <w:rFonts w:ascii="Abadi" w:hAnsi="Abadi"/>
          <w:color w:val="17161E"/>
          <w:w w:val="105"/>
          <w:sz w:val="21"/>
          <w:szCs w:val="21"/>
        </w:rPr>
        <w:t>salvo</w:t>
      </w:r>
      <w:r w:rsidRPr="007C2763">
        <w:rPr>
          <w:rFonts w:ascii="Abadi" w:hAnsi="Abadi"/>
          <w:color w:val="17161E"/>
          <w:spacing w:val="43"/>
          <w:w w:val="105"/>
          <w:sz w:val="21"/>
          <w:szCs w:val="21"/>
        </w:rPr>
        <w:t xml:space="preserve"> </w:t>
      </w:r>
      <w:r w:rsidRPr="007C2763">
        <w:rPr>
          <w:rFonts w:ascii="Abadi" w:hAnsi="Abadi"/>
          <w:color w:val="17161E"/>
          <w:w w:val="105"/>
          <w:sz w:val="21"/>
          <w:szCs w:val="21"/>
        </w:rPr>
        <w:t>que</w:t>
      </w:r>
      <w:r w:rsidRPr="007C2763">
        <w:rPr>
          <w:rFonts w:ascii="Abadi" w:hAnsi="Abadi"/>
          <w:color w:val="17161E"/>
          <w:spacing w:val="40"/>
          <w:w w:val="105"/>
          <w:sz w:val="21"/>
          <w:szCs w:val="21"/>
        </w:rPr>
        <w:t xml:space="preserve"> </w:t>
      </w:r>
      <w:r w:rsidRPr="007C2763">
        <w:rPr>
          <w:rFonts w:ascii="Abadi" w:hAnsi="Abadi"/>
          <w:color w:val="17161E"/>
          <w:w w:val="105"/>
          <w:sz w:val="21"/>
          <w:szCs w:val="21"/>
        </w:rPr>
        <w:t>se</w:t>
      </w:r>
      <w:r w:rsidRPr="007C2763">
        <w:rPr>
          <w:rFonts w:ascii="Abadi" w:hAnsi="Abadi"/>
          <w:color w:val="17161E"/>
          <w:spacing w:val="39"/>
          <w:w w:val="105"/>
          <w:sz w:val="21"/>
          <w:szCs w:val="21"/>
        </w:rPr>
        <w:t xml:space="preserve"> </w:t>
      </w:r>
      <w:r w:rsidRPr="007C2763">
        <w:rPr>
          <w:rFonts w:ascii="Abadi" w:hAnsi="Abadi"/>
          <w:color w:val="17161E"/>
          <w:w w:val="105"/>
          <w:sz w:val="21"/>
          <w:szCs w:val="21"/>
        </w:rPr>
        <w:t>trate</w:t>
      </w:r>
      <w:r w:rsidRPr="007C2763">
        <w:rPr>
          <w:rFonts w:ascii="Abadi" w:hAnsi="Abadi"/>
          <w:color w:val="17161E"/>
          <w:spacing w:val="40"/>
          <w:w w:val="105"/>
          <w:sz w:val="21"/>
          <w:szCs w:val="21"/>
        </w:rPr>
        <w:t xml:space="preserve"> </w:t>
      </w:r>
      <w:r w:rsidRPr="007C2763">
        <w:rPr>
          <w:rFonts w:ascii="Abadi" w:hAnsi="Abadi"/>
          <w:color w:val="17161E"/>
          <w:w w:val="105"/>
          <w:sz w:val="21"/>
          <w:szCs w:val="21"/>
        </w:rPr>
        <w:t>de</w:t>
      </w:r>
      <w:r w:rsidRPr="007C2763">
        <w:rPr>
          <w:rFonts w:ascii="Abadi" w:hAnsi="Abadi"/>
          <w:color w:val="17161E"/>
          <w:spacing w:val="40"/>
          <w:w w:val="105"/>
          <w:sz w:val="21"/>
          <w:szCs w:val="21"/>
        </w:rPr>
        <w:t xml:space="preserve"> </w:t>
      </w:r>
      <w:r w:rsidRPr="007C2763">
        <w:rPr>
          <w:rFonts w:ascii="Abadi" w:hAnsi="Abadi"/>
          <w:color w:val="17161E"/>
          <w:w w:val="105"/>
          <w:sz w:val="21"/>
          <w:szCs w:val="21"/>
        </w:rPr>
        <w:t>la</w:t>
      </w:r>
      <w:r w:rsidRPr="007C2763">
        <w:rPr>
          <w:rFonts w:ascii="Abadi" w:hAnsi="Abadi"/>
          <w:color w:val="17161E"/>
          <w:spacing w:val="45"/>
          <w:w w:val="105"/>
          <w:sz w:val="21"/>
          <w:szCs w:val="21"/>
        </w:rPr>
        <w:t xml:space="preserve"> </w:t>
      </w:r>
      <w:r w:rsidRPr="007C2763">
        <w:rPr>
          <w:rFonts w:ascii="Abadi" w:hAnsi="Abadi"/>
          <w:color w:val="17161E"/>
          <w:w w:val="105"/>
          <w:sz w:val="21"/>
          <w:szCs w:val="21"/>
        </w:rPr>
        <w:t>notoria</w:t>
      </w:r>
      <w:r w:rsidRPr="007C2763">
        <w:rPr>
          <w:rFonts w:ascii="Abadi" w:hAnsi="Abadi"/>
          <w:color w:val="17161E"/>
          <w:spacing w:val="10"/>
          <w:w w:val="105"/>
          <w:sz w:val="21"/>
          <w:szCs w:val="21"/>
        </w:rPr>
        <w:t xml:space="preserve"> </w:t>
      </w:r>
      <w:r w:rsidRPr="007C2763">
        <w:rPr>
          <w:rFonts w:ascii="Abadi" w:hAnsi="Abadi"/>
          <w:color w:val="17161E"/>
          <w:w w:val="105"/>
          <w:sz w:val="21"/>
          <w:szCs w:val="21"/>
        </w:rPr>
        <w:t>emisión</w:t>
      </w:r>
      <w:r w:rsidRPr="007C2763">
        <w:rPr>
          <w:rFonts w:ascii="Abadi" w:hAnsi="Abadi"/>
          <w:color w:val="17161E"/>
          <w:spacing w:val="26"/>
          <w:w w:val="105"/>
          <w:sz w:val="21"/>
          <w:szCs w:val="21"/>
        </w:rPr>
        <w:t xml:space="preserve"> </w:t>
      </w:r>
      <w:r w:rsidRPr="007C2763">
        <w:rPr>
          <w:rFonts w:ascii="Abadi" w:hAnsi="Abadi"/>
          <w:color w:val="17161E"/>
          <w:w w:val="105"/>
          <w:sz w:val="21"/>
          <w:szCs w:val="21"/>
        </w:rPr>
        <w:t>de</w:t>
      </w:r>
      <w:r w:rsidRPr="007C2763">
        <w:rPr>
          <w:rFonts w:ascii="Abadi" w:hAnsi="Abadi"/>
          <w:color w:val="17161E"/>
          <w:spacing w:val="20"/>
          <w:w w:val="105"/>
          <w:sz w:val="21"/>
          <w:szCs w:val="21"/>
        </w:rPr>
        <w:t xml:space="preserve"> </w:t>
      </w:r>
      <w:r w:rsidRPr="007C2763">
        <w:rPr>
          <w:rFonts w:ascii="Abadi" w:hAnsi="Abadi"/>
          <w:color w:val="17161E"/>
          <w:w w:val="105"/>
          <w:sz w:val="21"/>
          <w:szCs w:val="21"/>
        </w:rPr>
        <w:t>gases</w:t>
      </w:r>
      <w:r w:rsidRPr="007C2763">
        <w:rPr>
          <w:rFonts w:ascii="Abadi" w:hAnsi="Abadi"/>
          <w:color w:val="17161E"/>
          <w:spacing w:val="28"/>
          <w:w w:val="105"/>
          <w:sz w:val="21"/>
          <w:szCs w:val="21"/>
        </w:rPr>
        <w:t xml:space="preserve"> </w:t>
      </w:r>
      <w:r w:rsidRPr="007C2763">
        <w:rPr>
          <w:rFonts w:ascii="Abadi" w:hAnsi="Abadi"/>
          <w:color w:val="17161E"/>
          <w:w w:val="105"/>
          <w:sz w:val="21"/>
          <w:szCs w:val="21"/>
        </w:rPr>
        <w:t>contaminantes,</w:t>
      </w:r>
      <w:r w:rsidRPr="007C2763">
        <w:rPr>
          <w:rFonts w:ascii="Abadi" w:hAnsi="Abadi"/>
          <w:color w:val="17161E"/>
          <w:spacing w:val="46"/>
          <w:w w:val="105"/>
          <w:sz w:val="21"/>
          <w:szCs w:val="21"/>
        </w:rPr>
        <w:t xml:space="preserve"> </w:t>
      </w:r>
      <w:r w:rsidRPr="007C2763">
        <w:rPr>
          <w:rFonts w:ascii="Abadi" w:hAnsi="Abadi"/>
          <w:color w:val="17161E"/>
          <w:w w:val="105"/>
          <w:sz w:val="21"/>
          <w:szCs w:val="21"/>
        </w:rPr>
        <w:t>lo</w:t>
      </w:r>
      <w:r w:rsidRPr="007C2763">
        <w:rPr>
          <w:rFonts w:ascii="Abadi" w:hAnsi="Abadi"/>
          <w:color w:val="17161E"/>
          <w:spacing w:val="20"/>
          <w:w w:val="105"/>
          <w:sz w:val="21"/>
          <w:szCs w:val="21"/>
        </w:rPr>
        <w:t xml:space="preserve"> </w:t>
      </w:r>
      <w:r w:rsidRPr="007C2763">
        <w:rPr>
          <w:rFonts w:ascii="Abadi" w:hAnsi="Abadi"/>
          <w:color w:val="17161E"/>
          <w:w w:val="105"/>
          <w:sz w:val="21"/>
          <w:szCs w:val="21"/>
        </w:rPr>
        <w:t>procedente</w:t>
      </w:r>
      <w:r w:rsidRPr="007C2763">
        <w:rPr>
          <w:rFonts w:ascii="Abadi" w:hAnsi="Abadi"/>
          <w:color w:val="17161E"/>
          <w:spacing w:val="21"/>
          <w:w w:val="105"/>
          <w:sz w:val="21"/>
          <w:szCs w:val="21"/>
        </w:rPr>
        <w:t xml:space="preserve"> </w:t>
      </w:r>
      <w:r w:rsidRPr="007C2763">
        <w:rPr>
          <w:rFonts w:ascii="Abadi" w:hAnsi="Abadi"/>
          <w:color w:val="17161E"/>
          <w:w w:val="105"/>
          <w:sz w:val="21"/>
          <w:szCs w:val="21"/>
        </w:rPr>
        <w:t>es</w:t>
      </w:r>
      <w:r w:rsidRPr="007C2763">
        <w:rPr>
          <w:rFonts w:ascii="Abadi" w:hAnsi="Abadi"/>
          <w:color w:val="17161E"/>
          <w:spacing w:val="21"/>
          <w:w w:val="105"/>
          <w:sz w:val="21"/>
          <w:szCs w:val="21"/>
        </w:rPr>
        <w:t xml:space="preserve"> </w:t>
      </w:r>
      <w:r w:rsidRPr="007C2763">
        <w:rPr>
          <w:rFonts w:ascii="Abadi" w:hAnsi="Abadi"/>
          <w:color w:val="17161E"/>
          <w:w w:val="105"/>
          <w:sz w:val="21"/>
          <w:szCs w:val="21"/>
        </w:rPr>
        <w:t>la</w:t>
      </w:r>
      <w:r w:rsidRPr="007C2763">
        <w:rPr>
          <w:rFonts w:ascii="Abadi" w:hAnsi="Abadi"/>
          <w:color w:val="17161E"/>
          <w:spacing w:val="23"/>
          <w:w w:val="105"/>
          <w:sz w:val="21"/>
          <w:szCs w:val="21"/>
        </w:rPr>
        <w:t xml:space="preserve"> </w:t>
      </w:r>
      <w:r w:rsidRPr="007C2763">
        <w:rPr>
          <w:rFonts w:ascii="Abadi" w:hAnsi="Abadi"/>
          <w:color w:val="17161E"/>
          <w:w w:val="105"/>
          <w:sz w:val="21"/>
          <w:szCs w:val="21"/>
        </w:rPr>
        <w:t>imposición</w:t>
      </w:r>
      <w:r w:rsidRPr="007C2763">
        <w:rPr>
          <w:rFonts w:ascii="Abadi" w:hAnsi="Abadi"/>
          <w:color w:val="17161E"/>
          <w:spacing w:val="21"/>
          <w:w w:val="105"/>
          <w:sz w:val="21"/>
          <w:szCs w:val="21"/>
        </w:rPr>
        <w:t xml:space="preserve"> </w:t>
      </w:r>
      <w:r w:rsidRPr="007C2763">
        <w:rPr>
          <w:rFonts w:ascii="Abadi" w:hAnsi="Abadi"/>
          <w:color w:val="17161E"/>
          <w:w w:val="105"/>
          <w:sz w:val="21"/>
          <w:szCs w:val="21"/>
        </w:rPr>
        <w:t>de</w:t>
      </w:r>
      <w:r w:rsidRPr="007C2763">
        <w:rPr>
          <w:rFonts w:ascii="Abadi" w:hAnsi="Abadi"/>
          <w:color w:val="17161E"/>
          <w:spacing w:val="25"/>
          <w:w w:val="105"/>
          <w:sz w:val="21"/>
          <w:szCs w:val="21"/>
        </w:rPr>
        <w:t xml:space="preserve"> </w:t>
      </w:r>
      <w:r w:rsidRPr="007C2763">
        <w:rPr>
          <w:rFonts w:ascii="Abadi" w:hAnsi="Abadi"/>
          <w:color w:val="17161E"/>
          <w:w w:val="105"/>
          <w:sz w:val="21"/>
          <w:szCs w:val="21"/>
        </w:rPr>
        <w:t>una</w:t>
      </w:r>
      <w:r w:rsidRPr="007C2763">
        <w:rPr>
          <w:rFonts w:ascii="Abadi" w:hAnsi="Abadi"/>
          <w:color w:val="17161E"/>
          <w:spacing w:val="23"/>
          <w:w w:val="105"/>
          <w:sz w:val="21"/>
          <w:szCs w:val="21"/>
        </w:rPr>
        <w:t xml:space="preserve"> </w:t>
      </w:r>
      <w:r w:rsidRPr="007C2763">
        <w:rPr>
          <w:rFonts w:ascii="Abadi" w:hAnsi="Abadi"/>
          <w:color w:val="17161E"/>
          <w:w w:val="105"/>
          <w:sz w:val="21"/>
          <w:szCs w:val="21"/>
        </w:rPr>
        <w:t>multa</w:t>
      </w:r>
      <w:r w:rsidRPr="007C2763">
        <w:rPr>
          <w:rFonts w:ascii="Abadi" w:hAnsi="Abadi"/>
          <w:color w:val="17161E"/>
          <w:spacing w:val="16"/>
          <w:w w:val="105"/>
          <w:sz w:val="21"/>
          <w:szCs w:val="21"/>
        </w:rPr>
        <w:t xml:space="preserve"> </w:t>
      </w:r>
      <w:r w:rsidRPr="007C2763">
        <w:rPr>
          <w:rFonts w:ascii="Abadi" w:hAnsi="Abadi"/>
          <w:color w:val="17161E"/>
          <w:w w:val="105"/>
          <w:sz w:val="21"/>
          <w:szCs w:val="21"/>
        </w:rPr>
        <w:t>por</w:t>
      </w:r>
      <w:r w:rsidRPr="007C2763">
        <w:rPr>
          <w:rFonts w:ascii="Abadi" w:hAnsi="Abadi"/>
          <w:color w:val="17161E"/>
          <w:spacing w:val="13"/>
          <w:w w:val="105"/>
          <w:sz w:val="21"/>
          <w:szCs w:val="21"/>
        </w:rPr>
        <w:t xml:space="preserve"> </w:t>
      </w:r>
      <w:r w:rsidRPr="007C2763">
        <w:rPr>
          <w:rFonts w:ascii="Abadi" w:hAnsi="Abadi"/>
          <w:color w:val="17161E"/>
          <w:w w:val="105"/>
          <w:sz w:val="21"/>
          <w:szCs w:val="21"/>
        </w:rPr>
        <w:t>el</w:t>
      </w:r>
      <w:r w:rsidRPr="007C2763">
        <w:rPr>
          <w:rFonts w:ascii="Abadi" w:hAnsi="Abadi"/>
          <w:color w:val="17161E"/>
          <w:spacing w:val="62"/>
          <w:w w:val="105"/>
          <w:sz w:val="21"/>
          <w:szCs w:val="21"/>
        </w:rPr>
        <w:t xml:space="preserve"> </w:t>
      </w:r>
      <w:r w:rsidRPr="007C2763">
        <w:rPr>
          <w:rFonts w:ascii="Abadi" w:hAnsi="Abadi"/>
          <w:color w:val="17161E"/>
          <w:w w:val="105"/>
          <w:sz w:val="21"/>
          <w:szCs w:val="21"/>
        </w:rPr>
        <w:t>equivalente</w:t>
      </w:r>
      <w:r w:rsidRPr="007C2763">
        <w:rPr>
          <w:rFonts w:ascii="Abadi" w:hAnsi="Abadi"/>
          <w:color w:val="17161E"/>
          <w:spacing w:val="64"/>
          <w:w w:val="105"/>
          <w:sz w:val="21"/>
          <w:szCs w:val="21"/>
        </w:rPr>
        <w:t xml:space="preserve"> </w:t>
      </w:r>
      <w:r w:rsidRPr="007C2763">
        <w:rPr>
          <w:rFonts w:ascii="Abadi" w:hAnsi="Abadi"/>
          <w:color w:val="17161E"/>
          <w:w w:val="105"/>
          <w:sz w:val="21"/>
          <w:szCs w:val="21"/>
        </w:rPr>
        <w:t>de</w:t>
      </w:r>
      <w:r w:rsidRPr="007C2763">
        <w:rPr>
          <w:rFonts w:ascii="Abadi" w:hAnsi="Abadi"/>
          <w:color w:val="17161E"/>
          <w:spacing w:val="64"/>
          <w:w w:val="105"/>
          <w:sz w:val="21"/>
          <w:szCs w:val="21"/>
        </w:rPr>
        <w:t xml:space="preserve"> </w:t>
      </w:r>
      <w:r w:rsidRPr="007C2763">
        <w:rPr>
          <w:rFonts w:ascii="Abadi" w:hAnsi="Abadi"/>
          <w:color w:val="17161E"/>
          <w:w w:val="105"/>
          <w:sz w:val="21"/>
          <w:szCs w:val="21"/>
        </w:rPr>
        <w:t>veinte</w:t>
      </w:r>
      <w:r w:rsidRPr="007C2763">
        <w:rPr>
          <w:rFonts w:ascii="Abadi" w:hAnsi="Abadi"/>
          <w:color w:val="17161E"/>
          <w:spacing w:val="60"/>
          <w:w w:val="105"/>
          <w:sz w:val="21"/>
          <w:szCs w:val="21"/>
        </w:rPr>
        <w:t xml:space="preserve"> </w:t>
      </w:r>
      <w:r w:rsidRPr="007C2763">
        <w:rPr>
          <w:rFonts w:ascii="Abadi" w:hAnsi="Abadi"/>
          <w:color w:val="17161E"/>
          <w:w w:val="105"/>
          <w:sz w:val="21"/>
          <w:szCs w:val="21"/>
        </w:rPr>
        <w:t>a</w:t>
      </w:r>
      <w:r w:rsidRPr="007C2763">
        <w:rPr>
          <w:rFonts w:ascii="Abadi" w:hAnsi="Abadi"/>
          <w:color w:val="17161E"/>
          <w:spacing w:val="59"/>
          <w:w w:val="105"/>
          <w:sz w:val="21"/>
          <w:szCs w:val="21"/>
        </w:rPr>
        <w:t xml:space="preserve"> </w:t>
      </w:r>
      <w:r w:rsidRPr="007C2763">
        <w:rPr>
          <w:rFonts w:ascii="Abadi" w:hAnsi="Abadi"/>
          <w:color w:val="17161E"/>
          <w:w w:val="105"/>
          <w:sz w:val="21"/>
          <w:szCs w:val="21"/>
        </w:rPr>
        <w:t>veinte</w:t>
      </w:r>
      <w:r w:rsidRPr="007C2763">
        <w:rPr>
          <w:rFonts w:ascii="Abadi" w:hAnsi="Abadi"/>
          <w:color w:val="17161E"/>
          <w:spacing w:val="65"/>
          <w:w w:val="105"/>
          <w:sz w:val="21"/>
          <w:szCs w:val="21"/>
        </w:rPr>
        <w:t xml:space="preserve"> </w:t>
      </w:r>
      <w:r w:rsidRPr="007C2763">
        <w:rPr>
          <w:rFonts w:ascii="Abadi" w:hAnsi="Abadi"/>
          <w:color w:val="17161E"/>
          <w:w w:val="105"/>
          <w:sz w:val="21"/>
          <w:szCs w:val="21"/>
        </w:rPr>
        <w:t>mil</w:t>
      </w:r>
      <w:r w:rsidRPr="007C2763">
        <w:rPr>
          <w:rFonts w:ascii="Abadi" w:hAnsi="Abadi"/>
          <w:color w:val="17161E"/>
          <w:spacing w:val="67"/>
          <w:w w:val="105"/>
          <w:sz w:val="21"/>
          <w:szCs w:val="21"/>
        </w:rPr>
        <w:t xml:space="preserve"> </w:t>
      </w:r>
      <w:r w:rsidRPr="007C2763">
        <w:rPr>
          <w:rFonts w:ascii="Abadi" w:hAnsi="Abadi"/>
          <w:color w:val="17161E"/>
          <w:w w:val="105"/>
          <w:sz w:val="21"/>
          <w:szCs w:val="21"/>
        </w:rPr>
        <w:t>doscientas</w:t>
      </w:r>
      <w:r w:rsidRPr="007C2763">
        <w:rPr>
          <w:rFonts w:ascii="Abadi" w:hAnsi="Abadi"/>
          <w:color w:val="17161E"/>
          <w:spacing w:val="64"/>
          <w:w w:val="105"/>
          <w:sz w:val="21"/>
          <w:szCs w:val="21"/>
        </w:rPr>
        <w:t xml:space="preserve"> </w:t>
      </w:r>
      <w:r w:rsidRPr="007C2763">
        <w:rPr>
          <w:rFonts w:ascii="Abadi" w:hAnsi="Abadi"/>
          <w:color w:val="17161E"/>
          <w:w w:val="105"/>
          <w:sz w:val="21"/>
          <w:szCs w:val="21"/>
        </w:rPr>
        <w:t>veces</w:t>
      </w:r>
      <w:r w:rsidRPr="007C2763">
        <w:rPr>
          <w:rFonts w:ascii="Abadi" w:hAnsi="Abadi"/>
          <w:color w:val="17161E"/>
          <w:spacing w:val="57"/>
          <w:w w:val="105"/>
          <w:sz w:val="21"/>
          <w:szCs w:val="21"/>
        </w:rPr>
        <w:t xml:space="preserve"> </w:t>
      </w:r>
      <w:r w:rsidRPr="007C2763">
        <w:rPr>
          <w:rFonts w:ascii="Abadi" w:hAnsi="Abadi"/>
          <w:color w:val="17161E"/>
          <w:w w:val="105"/>
          <w:sz w:val="21"/>
          <w:szCs w:val="21"/>
        </w:rPr>
        <w:t>la</w:t>
      </w:r>
      <w:r w:rsidRPr="007C2763">
        <w:rPr>
          <w:rFonts w:ascii="Abadi" w:hAnsi="Abadi"/>
          <w:color w:val="17161E"/>
          <w:spacing w:val="75"/>
          <w:w w:val="105"/>
          <w:sz w:val="21"/>
          <w:szCs w:val="21"/>
        </w:rPr>
        <w:t xml:space="preserve"> </w:t>
      </w:r>
      <w:r w:rsidRPr="007C2763">
        <w:rPr>
          <w:rFonts w:ascii="Abadi" w:hAnsi="Abadi"/>
          <w:color w:val="17161E"/>
          <w:w w:val="105"/>
          <w:sz w:val="21"/>
          <w:szCs w:val="21"/>
        </w:rPr>
        <w:t>Unidad</w:t>
      </w:r>
      <w:r w:rsidRPr="007C2763">
        <w:rPr>
          <w:rFonts w:ascii="Abadi" w:hAnsi="Abadi"/>
          <w:color w:val="17161E"/>
          <w:spacing w:val="65"/>
          <w:w w:val="105"/>
          <w:sz w:val="21"/>
          <w:szCs w:val="21"/>
        </w:rPr>
        <w:t xml:space="preserve"> </w:t>
      </w:r>
      <w:r w:rsidRPr="007C2763">
        <w:rPr>
          <w:rFonts w:ascii="Abadi" w:hAnsi="Abadi"/>
          <w:color w:val="17161E"/>
          <w:w w:val="105"/>
          <w:sz w:val="21"/>
          <w:szCs w:val="21"/>
        </w:rPr>
        <w:t>de</w:t>
      </w:r>
      <w:r w:rsidRPr="007C2763">
        <w:rPr>
          <w:rFonts w:ascii="Abadi" w:hAnsi="Abadi"/>
          <w:color w:val="17161E"/>
          <w:spacing w:val="70"/>
          <w:w w:val="105"/>
          <w:sz w:val="21"/>
          <w:szCs w:val="21"/>
        </w:rPr>
        <w:t xml:space="preserve"> </w:t>
      </w:r>
      <w:r w:rsidRPr="007C2763">
        <w:rPr>
          <w:rFonts w:ascii="Abadi" w:hAnsi="Abadi"/>
          <w:color w:val="17161E"/>
          <w:w w:val="105"/>
          <w:sz w:val="21"/>
          <w:szCs w:val="21"/>
        </w:rPr>
        <w:t>Medida</w:t>
      </w:r>
      <w:r w:rsidRPr="007C2763">
        <w:rPr>
          <w:rFonts w:ascii="Abadi" w:hAnsi="Abadi"/>
          <w:color w:val="17161E"/>
          <w:spacing w:val="63"/>
          <w:w w:val="105"/>
          <w:sz w:val="21"/>
          <w:szCs w:val="21"/>
        </w:rPr>
        <w:t xml:space="preserve"> </w:t>
      </w:r>
      <w:r w:rsidRPr="007C2763">
        <w:rPr>
          <w:rFonts w:ascii="Abadi" w:hAnsi="Abadi"/>
          <w:color w:val="17161E"/>
          <w:w w:val="105"/>
          <w:sz w:val="21"/>
          <w:szCs w:val="21"/>
        </w:rPr>
        <w:t>y</w:t>
      </w:r>
      <w:r w:rsidRPr="007C2763">
        <w:rPr>
          <w:rFonts w:ascii="Abadi" w:hAnsi="Abadi"/>
          <w:color w:val="17161E"/>
          <w:spacing w:val="6"/>
          <w:w w:val="105"/>
          <w:sz w:val="21"/>
          <w:szCs w:val="21"/>
        </w:rPr>
        <w:t xml:space="preserve"> </w:t>
      </w:r>
      <w:r w:rsidRPr="007C2763">
        <w:rPr>
          <w:rFonts w:ascii="Abadi" w:hAnsi="Abadi"/>
          <w:color w:val="17161E"/>
          <w:w w:val="105"/>
          <w:sz w:val="21"/>
          <w:szCs w:val="21"/>
        </w:rPr>
        <w:t>Actualización</w:t>
      </w:r>
      <w:r w:rsidRPr="007C2763">
        <w:rPr>
          <w:rFonts w:ascii="Abadi" w:hAnsi="Abadi"/>
          <w:color w:val="17161E"/>
          <w:spacing w:val="54"/>
          <w:w w:val="105"/>
          <w:sz w:val="21"/>
          <w:szCs w:val="21"/>
        </w:rPr>
        <w:t xml:space="preserve"> </w:t>
      </w:r>
      <w:r w:rsidRPr="007C2763">
        <w:rPr>
          <w:rFonts w:ascii="Abadi" w:hAnsi="Abadi"/>
          <w:color w:val="17161E"/>
          <w:w w:val="105"/>
          <w:sz w:val="21"/>
          <w:szCs w:val="21"/>
        </w:rPr>
        <w:t>diaria</w:t>
      </w:r>
      <w:r w:rsidRPr="007C2763">
        <w:rPr>
          <w:rFonts w:ascii="Abadi" w:hAnsi="Abadi"/>
          <w:color w:val="17161E"/>
          <w:spacing w:val="54"/>
          <w:w w:val="105"/>
          <w:sz w:val="21"/>
          <w:szCs w:val="21"/>
        </w:rPr>
        <w:t xml:space="preserve"> </w:t>
      </w:r>
      <w:r w:rsidRPr="007C2763">
        <w:rPr>
          <w:rFonts w:ascii="Abadi" w:hAnsi="Abadi"/>
          <w:color w:val="17161E"/>
          <w:w w:val="105"/>
          <w:sz w:val="21"/>
          <w:szCs w:val="21"/>
        </w:rPr>
        <w:t>vigente</w:t>
      </w:r>
      <w:r w:rsidRPr="007C2763">
        <w:rPr>
          <w:rFonts w:ascii="Abadi" w:hAnsi="Abadi"/>
          <w:color w:val="17161E"/>
          <w:spacing w:val="47"/>
          <w:w w:val="105"/>
          <w:sz w:val="21"/>
          <w:szCs w:val="21"/>
        </w:rPr>
        <w:t xml:space="preserve"> </w:t>
      </w:r>
      <w:r w:rsidRPr="007C2763">
        <w:rPr>
          <w:rFonts w:ascii="Abadi" w:hAnsi="Abadi"/>
          <w:color w:val="17161E"/>
          <w:w w:val="105"/>
          <w:sz w:val="21"/>
          <w:szCs w:val="21"/>
        </w:rPr>
        <w:t>en</w:t>
      </w:r>
      <w:r w:rsidRPr="007C2763">
        <w:rPr>
          <w:rFonts w:ascii="Abadi" w:hAnsi="Abadi"/>
          <w:color w:val="17161E"/>
          <w:spacing w:val="53"/>
          <w:w w:val="105"/>
          <w:sz w:val="21"/>
          <w:szCs w:val="21"/>
        </w:rPr>
        <w:t xml:space="preserve"> </w:t>
      </w:r>
      <w:r w:rsidRPr="007C2763">
        <w:rPr>
          <w:rFonts w:ascii="Abadi" w:hAnsi="Abadi"/>
          <w:color w:val="17161E"/>
          <w:w w:val="105"/>
          <w:sz w:val="21"/>
          <w:szCs w:val="21"/>
        </w:rPr>
        <w:t>el</w:t>
      </w:r>
      <w:r w:rsidRPr="007C2763">
        <w:rPr>
          <w:rFonts w:ascii="Abadi" w:hAnsi="Abadi"/>
          <w:color w:val="17161E"/>
          <w:spacing w:val="53"/>
          <w:w w:val="105"/>
          <w:sz w:val="21"/>
          <w:szCs w:val="21"/>
        </w:rPr>
        <w:t xml:space="preserve"> </w:t>
      </w:r>
      <w:r w:rsidRPr="007C2763">
        <w:rPr>
          <w:rFonts w:ascii="Abadi" w:hAnsi="Abadi"/>
          <w:color w:val="17161E"/>
          <w:w w:val="105"/>
          <w:sz w:val="21"/>
          <w:szCs w:val="21"/>
        </w:rPr>
        <w:t>momento</w:t>
      </w:r>
      <w:r w:rsidRPr="007C2763">
        <w:rPr>
          <w:rFonts w:ascii="Abadi" w:hAnsi="Abadi"/>
          <w:color w:val="17161E"/>
          <w:spacing w:val="50"/>
          <w:w w:val="105"/>
          <w:sz w:val="21"/>
          <w:szCs w:val="21"/>
        </w:rPr>
        <w:t xml:space="preserve"> </w:t>
      </w:r>
      <w:r w:rsidRPr="007C2763">
        <w:rPr>
          <w:rFonts w:ascii="Abadi" w:hAnsi="Abadi"/>
          <w:color w:val="17161E"/>
          <w:w w:val="105"/>
          <w:sz w:val="21"/>
          <w:szCs w:val="21"/>
        </w:rPr>
        <w:t>de</w:t>
      </w:r>
      <w:r w:rsidRPr="007C2763">
        <w:rPr>
          <w:rFonts w:ascii="Abadi" w:hAnsi="Abadi"/>
          <w:color w:val="17161E"/>
          <w:spacing w:val="48"/>
          <w:w w:val="105"/>
          <w:sz w:val="21"/>
          <w:szCs w:val="21"/>
        </w:rPr>
        <w:t xml:space="preserve"> </w:t>
      </w:r>
      <w:r w:rsidRPr="007C2763">
        <w:rPr>
          <w:rFonts w:ascii="Abadi" w:hAnsi="Abadi"/>
          <w:color w:val="17161E"/>
          <w:w w:val="105"/>
          <w:sz w:val="21"/>
          <w:szCs w:val="21"/>
        </w:rPr>
        <w:t>imponer</w:t>
      </w:r>
      <w:r w:rsidRPr="007C2763">
        <w:rPr>
          <w:rFonts w:ascii="Abadi" w:hAnsi="Abadi"/>
          <w:color w:val="17161E"/>
          <w:spacing w:val="49"/>
          <w:w w:val="105"/>
          <w:sz w:val="21"/>
          <w:szCs w:val="21"/>
        </w:rPr>
        <w:t xml:space="preserve"> </w:t>
      </w:r>
      <w:r w:rsidRPr="007C2763">
        <w:rPr>
          <w:rFonts w:ascii="Abadi" w:hAnsi="Abadi"/>
          <w:color w:val="17161E"/>
          <w:w w:val="105"/>
          <w:sz w:val="21"/>
          <w:szCs w:val="21"/>
        </w:rPr>
        <w:t>la</w:t>
      </w:r>
      <w:r w:rsidRPr="007C2763">
        <w:rPr>
          <w:rFonts w:ascii="Abadi" w:hAnsi="Abadi"/>
          <w:color w:val="17161E"/>
          <w:spacing w:val="46"/>
          <w:w w:val="105"/>
          <w:sz w:val="21"/>
          <w:szCs w:val="21"/>
        </w:rPr>
        <w:t xml:space="preserve"> </w:t>
      </w:r>
      <w:r w:rsidRPr="007C2763">
        <w:rPr>
          <w:rFonts w:ascii="Abadi" w:hAnsi="Abadi"/>
          <w:color w:val="17161E"/>
          <w:w w:val="105"/>
          <w:sz w:val="21"/>
          <w:szCs w:val="21"/>
        </w:rPr>
        <w:t>sanción,</w:t>
      </w:r>
      <w:r w:rsidRPr="007C2763">
        <w:rPr>
          <w:rFonts w:ascii="Abadi" w:hAnsi="Abadi"/>
          <w:color w:val="17161E"/>
          <w:spacing w:val="62"/>
          <w:w w:val="105"/>
          <w:sz w:val="21"/>
          <w:szCs w:val="21"/>
        </w:rPr>
        <w:t xml:space="preserve"> </w:t>
      </w:r>
      <w:r w:rsidRPr="007C2763">
        <w:rPr>
          <w:rFonts w:ascii="Abadi" w:hAnsi="Abadi"/>
          <w:color w:val="17161E"/>
          <w:w w:val="105"/>
          <w:sz w:val="21"/>
          <w:szCs w:val="21"/>
        </w:rPr>
        <w:t>conforme</w:t>
      </w:r>
      <w:r w:rsidRPr="007C2763">
        <w:rPr>
          <w:rFonts w:ascii="Abadi" w:hAnsi="Abadi"/>
          <w:color w:val="17161E"/>
          <w:spacing w:val="51"/>
          <w:w w:val="105"/>
          <w:sz w:val="21"/>
          <w:szCs w:val="21"/>
        </w:rPr>
        <w:t xml:space="preserve"> </w:t>
      </w:r>
      <w:r w:rsidRPr="007C2763">
        <w:rPr>
          <w:rFonts w:ascii="Abadi" w:hAnsi="Abadi"/>
          <w:color w:val="17161E"/>
          <w:w w:val="105"/>
          <w:sz w:val="21"/>
          <w:szCs w:val="21"/>
        </w:rPr>
        <w:t>lo</w:t>
      </w:r>
      <w:r w:rsidRPr="007C2763">
        <w:rPr>
          <w:rFonts w:ascii="Abadi" w:hAnsi="Abadi"/>
          <w:color w:val="17161E"/>
          <w:spacing w:val="8"/>
          <w:w w:val="105"/>
          <w:sz w:val="21"/>
          <w:szCs w:val="21"/>
        </w:rPr>
        <w:t xml:space="preserve"> </w:t>
      </w:r>
      <w:r w:rsidRPr="007C2763">
        <w:rPr>
          <w:rFonts w:ascii="Abadi" w:hAnsi="Abadi"/>
          <w:color w:val="17161E"/>
          <w:w w:val="105"/>
          <w:sz w:val="21"/>
          <w:szCs w:val="21"/>
        </w:rPr>
        <w:t>establece</w:t>
      </w:r>
      <w:r w:rsidRPr="007C2763">
        <w:rPr>
          <w:rFonts w:ascii="Abadi" w:hAnsi="Abadi"/>
          <w:color w:val="17161E"/>
          <w:spacing w:val="56"/>
          <w:w w:val="105"/>
          <w:sz w:val="21"/>
          <w:szCs w:val="21"/>
        </w:rPr>
        <w:t xml:space="preserve"> </w:t>
      </w:r>
      <w:r w:rsidRPr="007C2763">
        <w:rPr>
          <w:rFonts w:ascii="Abadi" w:hAnsi="Abadi"/>
          <w:color w:val="17161E"/>
          <w:w w:val="105"/>
          <w:sz w:val="21"/>
          <w:szCs w:val="21"/>
        </w:rPr>
        <w:t>la</w:t>
      </w:r>
      <w:r w:rsidRPr="007C2763">
        <w:rPr>
          <w:rFonts w:ascii="Abadi" w:hAnsi="Abadi"/>
          <w:color w:val="17161E"/>
          <w:spacing w:val="65"/>
          <w:w w:val="105"/>
          <w:sz w:val="21"/>
          <w:szCs w:val="21"/>
        </w:rPr>
        <w:t xml:space="preserve"> </w:t>
      </w:r>
      <w:r w:rsidRPr="007C2763">
        <w:rPr>
          <w:rFonts w:ascii="Abadi" w:hAnsi="Abadi"/>
          <w:color w:val="17161E"/>
          <w:w w:val="105"/>
          <w:sz w:val="21"/>
          <w:szCs w:val="21"/>
        </w:rPr>
        <w:t>Ley</w:t>
      </w:r>
      <w:r w:rsidRPr="007C2763">
        <w:rPr>
          <w:rFonts w:ascii="Abadi" w:hAnsi="Abadi"/>
          <w:color w:val="17161E"/>
          <w:spacing w:val="54"/>
          <w:w w:val="105"/>
          <w:sz w:val="21"/>
          <w:szCs w:val="21"/>
        </w:rPr>
        <w:t xml:space="preserve"> </w:t>
      </w:r>
      <w:r w:rsidRPr="007C2763">
        <w:rPr>
          <w:rFonts w:ascii="Abadi" w:hAnsi="Abadi"/>
          <w:color w:val="17161E"/>
          <w:w w:val="105"/>
          <w:sz w:val="21"/>
          <w:szCs w:val="21"/>
        </w:rPr>
        <w:t>para</w:t>
      </w:r>
      <w:r w:rsidRPr="007C2763">
        <w:rPr>
          <w:rFonts w:ascii="Abadi" w:hAnsi="Abadi"/>
          <w:color w:val="17161E"/>
          <w:spacing w:val="58"/>
          <w:w w:val="105"/>
          <w:sz w:val="21"/>
          <w:szCs w:val="21"/>
        </w:rPr>
        <w:t xml:space="preserve"> </w:t>
      </w:r>
      <w:r w:rsidRPr="007C2763">
        <w:rPr>
          <w:rFonts w:ascii="Abadi" w:hAnsi="Abadi"/>
          <w:color w:val="17161E"/>
          <w:w w:val="105"/>
          <w:sz w:val="21"/>
          <w:szCs w:val="21"/>
        </w:rPr>
        <w:t>la</w:t>
      </w:r>
      <w:r w:rsidRPr="007C2763">
        <w:rPr>
          <w:rFonts w:ascii="Abadi" w:hAnsi="Abadi"/>
          <w:color w:val="17161E"/>
          <w:spacing w:val="65"/>
          <w:w w:val="105"/>
          <w:sz w:val="21"/>
          <w:szCs w:val="21"/>
        </w:rPr>
        <w:t xml:space="preserve"> </w:t>
      </w:r>
      <w:r w:rsidRPr="007C2763">
        <w:rPr>
          <w:rFonts w:ascii="Abadi" w:hAnsi="Abadi"/>
          <w:color w:val="17161E"/>
          <w:w w:val="105"/>
          <w:sz w:val="21"/>
          <w:szCs w:val="21"/>
        </w:rPr>
        <w:t>Protección</w:t>
      </w:r>
      <w:r w:rsidRPr="007C2763">
        <w:rPr>
          <w:rFonts w:ascii="Abadi" w:hAnsi="Abadi"/>
          <w:color w:val="17161E"/>
          <w:spacing w:val="58"/>
          <w:w w:val="105"/>
          <w:sz w:val="21"/>
          <w:szCs w:val="21"/>
        </w:rPr>
        <w:t xml:space="preserve"> </w:t>
      </w:r>
      <w:r w:rsidRPr="007C2763">
        <w:rPr>
          <w:rFonts w:ascii="Abadi" w:hAnsi="Abadi"/>
          <w:color w:val="17161E"/>
          <w:w w:val="105"/>
          <w:sz w:val="21"/>
          <w:szCs w:val="21"/>
        </w:rPr>
        <w:t>y</w:t>
      </w:r>
      <w:r w:rsidRPr="007C2763">
        <w:rPr>
          <w:rFonts w:ascii="Abadi" w:hAnsi="Abadi"/>
          <w:color w:val="17161E"/>
          <w:spacing w:val="65"/>
          <w:w w:val="105"/>
          <w:sz w:val="21"/>
          <w:szCs w:val="21"/>
        </w:rPr>
        <w:t xml:space="preserve"> </w:t>
      </w:r>
      <w:r w:rsidRPr="007C2763">
        <w:rPr>
          <w:rFonts w:ascii="Abadi" w:hAnsi="Abadi"/>
          <w:color w:val="17161E"/>
          <w:w w:val="105"/>
          <w:sz w:val="21"/>
          <w:szCs w:val="21"/>
        </w:rPr>
        <w:t>Preservación</w:t>
      </w:r>
      <w:r w:rsidRPr="007C2763">
        <w:rPr>
          <w:rFonts w:ascii="Abadi" w:hAnsi="Abadi"/>
          <w:color w:val="17161E"/>
          <w:spacing w:val="64"/>
          <w:w w:val="105"/>
          <w:sz w:val="21"/>
          <w:szCs w:val="21"/>
        </w:rPr>
        <w:t xml:space="preserve"> </w:t>
      </w:r>
      <w:r w:rsidRPr="007C2763">
        <w:rPr>
          <w:rFonts w:ascii="Abadi" w:hAnsi="Abadi"/>
          <w:color w:val="17161E"/>
          <w:w w:val="105"/>
          <w:sz w:val="21"/>
          <w:szCs w:val="21"/>
        </w:rPr>
        <w:t>del</w:t>
      </w:r>
      <w:r w:rsidRPr="007C2763">
        <w:rPr>
          <w:rFonts w:ascii="Abadi" w:hAnsi="Abadi"/>
          <w:color w:val="17161E"/>
          <w:spacing w:val="60"/>
          <w:w w:val="105"/>
          <w:sz w:val="21"/>
          <w:szCs w:val="21"/>
        </w:rPr>
        <w:t xml:space="preserve"> </w:t>
      </w:r>
      <w:r w:rsidRPr="007C2763">
        <w:rPr>
          <w:rFonts w:ascii="Abadi" w:hAnsi="Abadi"/>
          <w:color w:val="17161E"/>
          <w:w w:val="105"/>
          <w:sz w:val="21"/>
          <w:szCs w:val="21"/>
        </w:rPr>
        <w:t>Ambiente</w:t>
      </w:r>
      <w:r w:rsidRPr="007C2763">
        <w:rPr>
          <w:rFonts w:ascii="Abadi" w:hAnsi="Abadi"/>
          <w:color w:val="17161E"/>
          <w:spacing w:val="59"/>
          <w:w w:val="105"/>
          <w:sz w:val="21"/>
          <w:szCs w:val="21"/>
        </w:rPr>
        <w:t xml:space="preserve"> </w:t>
      </w:r>
      <w:r w:rsidRPr="007C2763">
        <w:rPr>
          <w:rFonts w:ascii="Abadi" w:hAnsi="Abadi"/>
          <w:color w:val="17161E"/>
          <w:w w:val="105"/>
          <w:sz w:val="21"/>
          <w:szCs w:val="21"/>
        </w:rPr>
        <w:t>del</w:t>
      </w:r>
      <w:r w:rsidRPr="007C2763">
        <w:rPr>
          <w:rFonts w:ascii="Abadi" w:hAnsi="Abadi"/>
          <w:color w:val="17161E"/>
          <w:spacing w:val="71"/>
          <w:w w:val="105"/>
          <w:sz w:val="21"/>
          <w:szCs w:val="21"/>
        </w:rPr>
        <w:t xml:space="preserve"> </w:t>
      </w:r>
      <w:r w:rsidRPr="007C2763">
        <w:rPr>
          <w:rFonts w:ascii="Abadi" w:hAnsi="Abadi"/>
          <w:color w:val="17161E"/>
          <w:w w:val="105"/>
          <w:sz w:val="21"/>
          <w:szCs w:val="21"/>
        </w:rPr>
        <w:t>Estado</w:t>
      </w:r>
      <w:r w:rsidRPr="007C2763">
        <w:rPr>
          <w:rFonts w:ascii="Abadi" w:hAnsi="Abadi"/>
          <w:color w:val="17161E"/>
          <w:spacing w:val="50"/>
          <w:w w:val="105"/>
          <w:sz w:val="21"/>
          <w:szCs w:val="21"/>
        </w:rPr>
        <w:t xml:space="preserve"> </w:t>
      </w:r>
      <w:r w:rsidRPr="007C2763">
        <w:rPr>
          <w:rFonts w:ascii="Abadi" w:hAnsi="Abadi"/>
          <w:color w:val="17161E"/>
          <w:w w:val="105"/>
          <w:sz w:val="21"/>
          <w:szCs w:val="21"/>
        </w:rPr>
        <w:t>de</w:t>
      </w:r>
      <w:r w:rsidRPr="007C2763">
        <w:rPr>
          <w:rFonts w:ascii="Abadi" w:hAnsi="Abadi"/>
          <w:color w:val="17161E"/>
          <w:spacing w:val="16"/>
          <w:w w:val="105"/>
          <w:sz w:val="21"/>
          <w:szCs w:val="21"/>
        </w:rPr>
        <w:t xml:space="preserve"> </w:t>
      </w:r>
      <w:r w:rsidRPr="007C2763">
        <w:rPr>
          <w:rFonts w:ascii="Abadi" w:hAnsi="Abadi"/>
          <w:color w:val="17161E"/>
          <w:w w:val="105"/>
          <w:sz w:val="21"/>
          <w:szCs w:val="21"/>
        </w:rPr>
        <w:t>Guanajuato,</w:t>
      </w:r>
      <w:r w:rsidRPr="007C2763">
        <w:rPr>
          <w:rFonts w:ascii="Abadi" w:hAnsi="Abadi"/>
          <w:color w:val="17161E"/>
          <w:spacing w:val="68"/>
          <w:w w:val="150"/>
          <w:sz w:val="21"/>
          <w:szCs w:val="21"/>
        </w:rPr>
        <w:t xml:space="preserve"> </w:t>
      </w:r>
      <w:r w:rsidRPr="007C2763">
        <w:rPr>
          <w:rFonts w:ascii="Abadi" w:hAnsi="Abadi"/>
          <w:color w:val="17161E"/>
          <w:w w:val="105"/>
          <w:sz w:val="21"/>
          <w:szCs w:val="21"/>
        </w:rPr>
        <w:t>misma</w:t>
      </w:r>
      <w:r w:rsidRPr="007C2763">
        <w:rPr>
          <w:rFonts w:ascii="Abadi" w:hAnsi="Abadi"/>
          <w:color w:val="17161E"/>
          <w:spacing w:val="79"/>
          <w:w w:val="105"/>
          <w:sz w:val="21"/>
          <w:szCs w:val="21"/>
        </w:rPr>
        <w:t xml:space="preserve"> </w:t>
      </w:r>
      <w:r w:rsidRPr="007C2763">
        <w:rPr>
          <w:rFonts w:ascii="Abadi" w:hAnsi="Abadi"/>
          <w:color w:val="17161E"/>
          <w:w w:val="105"/>
          <w:sz w:val="21"/>
          <w:szCs w:val="21"/>
        </w:rPr>
        <w:t>que</w:t>
      </w:r>
      <w:r w:rsidRPr="007C2763">
        <w:rPr>
          <w:rFonts w:ascii="Abadi" w:hAnsi="Abadi"/>
          <w:color w:val="17161E"/>
          <w:spacing w:val="74"/>
          <w:w w:val="105"/>
          <w:sz w:val="21"/>
          <w:szCs w:val="21"/>
        </w:rPr>
        <w:t xml:space="preserve"> </w:t>
      </w:r>
      <w:r w:rsidRPr="007C2763">
        <w:rPr>
          <w:rFonts w:ascii="Abadi" w:hAnsi="Abadi"/>
          <w:color w:val="17161E"/>
          <w:w w:val="105"/>
          <w:sz w:val="21"/>
          <w:szCs w:val="21"/>
        </w:rPr>
        <w:t>es</w:t>
      </w:r>
      <w:r w:rsidRPr="007C2763">
        <w:rPr>
          <w:rFonts w:ascii="Abadi" w:hAnsi="Abadi"/>
          <w:color w:val="17161E"/>
          <w:spacing w:val="79"/>
          <w:w w:val="105"/>
          <w:sz w:val="21"/>
          <w:szCs w:val="21"/>
        </w:rPr>
        <w:t xml:space="preserve"> </w:t>
      </w:r>
      <w:r w:rsidRPr="007C2763">
        <w:rPr>
          <w:rFonts w:ascii="Abadi" w:hAnsi="Abadi"/>
          <w:color w:val="17161E"/>
          <w:w w:val="105"/>
          <w:sz w:val="21"/>
          <w:szCs w:val="21"/>
        </w:rPr>
        <w:t>reconocida</w:t>
      </w:r>
      <w:r w:rsidRPr="007C2763">
        <w:rPr>
          <w:rFonts w:ascii="Abadi" w:hAnsi="Abadi"/>
          <w:color w:val="17161E"/>
          <w:spacing w:val="75"/>
          <w:w w:val="105"/>
          <w:sz w:val="21"/>
          <w:szCs w:val="21"/>
        </w:rPr>
        <w:t xml:space="preserve"> </w:t>
      </w:r>
      <w:r w:rsidRPr="007C2763">
        <w:rPr>
          <w:rFonts w:ascii="Abadi" w:hAnsi="Abadi"/>
          <w:color w:val="17161E"/>
          <w:w w:val="105"/>
          <w:sz w:val="21"/>
          <w:szCs w:val="21"/>
        </w:rPr>
        <w:t>para</w:t>
      </w:r>
      <w:r w:rsidRPr="007C2763">
        <w:rPr>
          <w:rFonts w:ascii="Abadi" w:hAnsi="Abadi"/>
          <w:color w:val="17161E"/>
          <w:spacing w:val="74"/>
          <w:w w:val="105"/>
          <w:sz w:val="21"/>
          <w:szCs w:val="21"/>
        </w:rPr>
        <w:t xml:space="preserve"> </w:t>
      </w:r>
      <w:r w:rsidRPr="007C2763">
        <w:rPr>
          <w:rFonts w:ascii="Abadi" w:hAnsi="Abadi"/>
          <w:color w:val="17161E"/>
          <w:w w:val="105"/>
          <w:sz w:val="21"/>
          <w:szCs w:val="21"/>
        </w:rPr>
        <w:t>el</w:t>
      </w:r>
      <w:r w:rsidRPr="007C2763">
        <w:rPr>
          <w:rFonts w:ascii="Abadi" w:hAnsi="Abadi"/>
          <w:color w:val="17161E"/>
          <w:spacing w:val="74"/>
          <w:w w:val="105"/>
          <w:sz w:val="21"/>
          <w:szCs w:val="21"/>
        </w:rPr>
        <w:t xml:space="preserve"> </w:t>
      </w:r>
      <w:r w:rsidRPr="007C2763">
        <w:rPr>
          <w:rFonts w:ascii="Abadi" w:hAnsi="Abadi"/>
          <w:color w:val="17161E"/>
          <w:w w:val="105"/>
          <w:sz w:val="21"/>
          <w:szCs w:val="21"/>
        </w:rPr>
        <w:t>mismo</w:t>
      </w:r>
      <w:r w:rsidRPr="007C2763">
        <w:rPr>
          <w:rFonts w:ascii="Abadi" w:hAnsi="Abadi"/>
          <w:color w:val="17161E"/>
          <w:spacing w:val="77"/>
          <w:w w:val="105"/>
          <w:sz w:val="21"/>
          <w:szCs w:val="21"/>
        </w:rPr>
        <w:t xml:space="preserve"> </w:t>
      </w:r>
      <w:r w:rsidRPr="007C2763">
        <w:rPr>
          <w:rFonts w:ascii="Abadi" w:hAnsi="Abadi"/>
          <w:color w:val="17161E"/>
          <w:w w:val="105"/>
          <w:sz w:val="21"/>
          <w:szCs w:val="21"/>
        </w:rPr>
        <w:t>supuesto</w:t>
      </w:r>
      <w:r w:rsidRPr="007C2763">
        <w:rPr>
          <w:rFonts w:ascii="Abadi" w:hAnsi="Abadi"/>
          <w:color w:val="17161E"/>
          <w:spacing w:val="73"/>
          <w:w w:val="105"/>
          <w:sz w:val="21"/>
          <w:szCs w:val="21"/>
        </w:rPr>
        <w:t xml:space="preserve"> </w:t>
      </w:r>
      <w:r w:rsidRPr="007C2763">
        <w:rPr>
          <w:rFonts w:ascii="Abadi" w:hAnsi="Abadi"/>
          <w:color w:val="17161E"/>
          <w:w w:val="105"/>
          <w:sz w:val="21"/>
          <w:szCs w:val="21"/>
        </w:rPr>
        <w:t>por</w:t>
      </w:r>
      <w:r w:rsidRPr="007C2763">
        <w:rPr>
          <w:rFonts w:ascii="Abadi" w:hAnsi="Abadi"/>
          <w:color w:val="17161E"/>
          <w:spacing w:val="74"/>
          <w:w w:val="105"/>
          <w:sz w:val="21"/>
          <w:szCs w:val="21"/>
        </w:rPr>
        <w:t xml:space="preserve"> </w:t>
      </w:r>
      <w:r w:rsidRPr="007C2763">
        <w:rPr>
          <w:rFonts w:ascii="Abadi" w:hAnsi="Abadi"/>
          <w:color w:val="17161E"/>
          <w:w w:val="105"/>
          <w:sz w:val="21"/>
          <w:szCs w:val="21"/>
        </w:rPr>
        <w:t>la</w:t>
      </w:r>
      <w:r w:rsidRPr="007C2763">
        <w:rPr>
          <w:rFonts w:ascii="Abadi" w:hAnsi="Abadi"/>
          <w:color w:val="17161E"/>
          <w:spacing w:val="58"/>
          <w:w w:val="150"/>
          <w:sz w:val="21"/>
          <w:szCs w:val="21"/>
        </w:rPr>
        <w:t xml:space="preserve"> </w:t>
      </w:r>
      <w:r w:rsidRPr="007C2763">
        <w:rPr>
          <w:rFonts w:ascii="Abadi" w:hAnsi="Abadi"/>
          <w:color w:val="17161E"/>
          <w:w w:val="105"/>
          <w:sz w:val="21"/>
          <w:szCs w:val="21"/>
        </w:rPr>
        <w:t>Ley</w:t>
      </w:r>
      <w:r w:rsidRPr="007C2763">
        <w:rPr>
          <w:rFonts w:ascii="Abadi" w:hAnsi="Abadi"/>
          <w:color w:val="17161E"/>
          <w:spacing w:val="75"/>
          <w:w w:val="105"/>
          <w:sz w:val="21"/>
          <w:szCs w:val="21"/>
        </w:rPr>
        <w:t xml:space="preserve"> </w:t>
      </w:r>
      <w:r w:rsidRPr="007C2763">
        <w:rPr>
          <w:rFonts w:ascii="Abadi" w:hAnsi="Abadi"/>
          <w:color w:val="17161E"/>
          <w:w w:val="105"/>
          <w:sz w:val="21"/>
          <w:szCs w:val="21"/>
        </w:rPr>
        <w:t>de</w:t>
      </w:r>
      <w:r w:rsidRPr="007C2763">
        <w:rPr>
          <w:rFonts w:ascii="Abadi" w:hAnsi="Abadi"/>
          <w:color w:val="17161E"/>
          <w:spacing w:val="16"/>
          <w:w w:val="105"/>
          <w:sz w:val="21"/>
          <w:szCs w:val="21"/>
        </w:rPr>
        <w:t xml:space="preserve"> </w:t>
      </w:r>
      <w:r w:rsidRPr="007C2763">
        <w:rPr>
          <w:rFonts w:ascii="Abadi" w:hAnsi="Abadi"/>
          <w:color w:val="17161E"/>
          <w:w w:val="105"/>
          <w:sz w:val="21"/>
          <w:szCs w:val="21"/>
        </w:rPr>
        <w:t>Movilidad en</w:t>
      </w:r>
      <w:r w:rsidRPr="007C2763">
        <w:rPr>
          <w:rFonts w:ascii="Abadi" w:hAnsi="Abadi"/>
          <w:color w:val="17161E"/>
          <w:spacing w:val="11"/>
          <w:w w:val="105"/>
          <w:sz w:val="21"/>
          <w:szCs w:val="21"/>
        </w:rPr>
        <w:t xml:space="preserve"> </w:t>
      </w:r>
      <w:r w:rsidRPr="007C2763">
        <w:rPr>
          <w:rFonts w:ascii="Abadi" w:hAnsi="Abadi"/>
          <w:color w:val="17161E"/>
          <w:w w:val="105"/>
          <w:sz w:val="21"/>
          <w:szCs w:val="21"/>
        </w:rPr>
        <w:t>el</w:t>
      </w:r>
      <w:r w:rsidRPr="007C2763">
        <w:rPr>
          <w:rFonts w:ascii="Abadi" w:hAnsi="Abadi"/>
          <w:color w:val="17161E"/>
          <w:spacing w:val="22"/>
          <w:w w:val="105"/>
          <w:sz w:val="21"/>
          <w:szCs w:val="21"/>
        </w:rPr>
        <w:t xml:space="preserve"> </w:t>
      </w:r>
      <w:r w:rsidRPr="007C2763">
        <w:rPr>
          <w:rFonts w:ascii="Abadi" w:hAnsi="Abadi"/>
          <w:color w:val="17161E"/>
          <w:w w:val="105"/>
          <w:sz w:val="21"/>
          <w:szCs w:val="21"/>
        </w:rPr>
        <w:t>Estado.</w:t>
      </w:r>
    </w:p>
    <w:p w14:paraId="3C68038C" w14:textId="77777777" w:rsidR="00DF3BF0" w:rsidRPr="007C2763" w:rsidRDefault="00DF3BF0" w:rsidP="00DF3BF0">
      <w:pPr>
        <w:pStyle w:val="Textoindependiente"/>
        <w:kinsoku w:val="0"/>
        <w:overflowPunct w:val="0"/>
        <w:rPr>
          <w:rFonts w:ascii="Abadi" w:hAnsi="Abadi"/>
          <w:sz w:val="21"/>
          <w:szCs w:val="21"/>
        </w:rPr>
      </w:pPr>
    </w:p>
    <w:p w14:paraId="7D5CDDD5" w14:textId="77777777" w:rsidR="00DF3BF0" w:rsidRPr="007C2763" w:rsidRDefault="00DF3BF0" w:rsidP="00DF3BF0">
      <w:pPr>
        <w:pStyle w:val="Textoindependiente"/>
        <w:kinsoku w:val="0"/>
        <w:overflowPunct w:val="0"/>
        <w:ind w:left="40" w:right="165" w:firstLine="16"/>
        <w:rPr>
          <w:rFonts w:ascii="Abadi" w:hAnsi="Abadi"/>
          <w:color w:val="17161D"/>
          <w:w w:val="105"/>
          <w:sz w:val="21"/>
          <w:szCs w:val="21"/>
        </w:rPr>
      </w:pPr>
      <w:r w:rsidRPr="007C2763">
        <w:rPr>
          <w:rFonts w:ascii="Abadi" w:hAnsi="Abadi"/>
          <w:color w:val="17161D"/>
          <w:w w:val="105"/>
          <w:sz w:val="21"/>
          <w:szCs w:val="21"/>
        </w:rPr>
        <w:t>Finaliza,</w:t>
      </w:r>
      <w:r w:rsidRPr="007C2763">
        <w:rPr>
          <w:rFonts w:ascii="Abadi" w:hAnsi="Abadi"/>
          <w:color w:val="17161D"/>
          <w:spacing w:val="63"/>
          <w:w w:val="150"/>
          <w:sz w:val="21"/>
          <w:szCs w:val="21"/>
        </w:rPr>
        <w:t xml:space="preserve"> </w:t>
      </w:r>
      <w:r w:rsidRPr="007C2763">
        <w:rPr>
          <w:rFonts w:ascii="Abadi" w:hAnsi="Abadi"/>
          <w:color w:val="17161D"/>
          <w:w w:val="105"/>
          <w:sz w:val="21"/>
          <w:szCs w:val="21"/>
        </w:rPr>
        <w:t>que</w:t>
      </w:r>
      <w:r w:rsidRPr="007C2763">
        <w:rPr>
          <w:rFonts w:ascii="Abadi" w:hAnsi="Abadi"/>
          <w:color w:val="17161D"/>
          <w:spacing w:val="68"/>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73"/>
          <w:w w:val="105"/>
          <w:sz w:val="21"/>
          <w:szCs w:val="21"/>
        </w:rPr>
        <w:t xml:space="preserve"> </w:t>
      </w:r>
      <w:r w:rsidRPr="007C2763">
        <w:rPr>
          <w:rFonts w:ascii="Abadi" w:hAnsi="Abadi"/>
          <w:color w:val="17161D"/>
          <w:w w:val="105"/>
          <w:sz w:val="21"/>
          <w:szCs w:val="21"/>
        </w:rPr>
        <w:t>establecer</w:t>
      </w:r>
      <w:r w:rsidRPr="007C2763">
        <w:rPr>
          <w:rFonts w:ascii="Abadi" w:hAnsi="Abadi"/>
          <w:color w:val="17161D"/>
          <w:spacing w:val="66"/>
          <w:w w:val="105"/>
          <w:sz w:val="21"/>
          <w:szCs w:val="21"/>
        </w:rPr>
        <w:t xml:space="preserve"> </w:t>
      </w:r>
      <w:r w:rsidRPr="007C2763">
        <w:rPr>
          <w:rFonts w:ascii="Abadi" w:hAnsi="Abadi"/>
          <w:color w:val="17161D"/>
          <w:w w:val="105"/>
          <w:sz w:val="21"/>
          <w:szCs w:val="21"/>
        </w:rPr>
        <w:t>una</w:t>
      </w:r>
      <w:r w:rsidRPr="007C2763">
        <w:rPr>
          <w:rFonts w:ascii="Abadi" w:hAnsi="Abadi"/>
          <w:color w:val="17161D"/>
          <w:spacing w:val="72"/>
          <w:w w:val="105"/>
          <w:sz w:val="21"/>
          <w:szCs w:val="21"/>
        </w:rPr>
        <w:t xml:space="preserve"> </w:t>
      </w:r>
      <w:r w:rsidRPr="007C2763">
        <w:rPr>
          <w:rFonts w:ascii="Abadi" w:hAnsi="Abadi"/>
          <w:color w:val="17161D"/>
          <w:w w:val="105"/>
          <w:sz w:val="21"/>
          <w:szCs w:val="21"/>
        </w:rPr>
        <w:t>sanción</w:t>
      </w:r>
      <w:r w:rsidRPr="007C2763">
        <w:rPr>
          <w:rFonts w:ascii="Abadi" w:hAnsi="Abadi"/>
          <w:color w:val="17161D"/>
          <w:spacing w:val="74"/>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75"/>
          <w:w w:val="105"/>
          <w:sz w:val="21"/>
          <w:szCs w:val="21"/>
        </w:rPr>
        <w:t xml:space="preserve"> </w:t>
      </w:r>
      <w:r w:rsidRPr="007C2763">
        <w:rPr>
          <w:rFonts w:ascii="Abadi" w:hAnsi="Abadi"/>
          <w:color w:val="17161D"/>
          <w:w w:val="105"/>
          <w:sz w:val="21"/>
          <w:szCs w:val="21"/>
        </w:rPr>
        <w:t>igual</w:t>
      </w:r>
      <w:r w:rsidRPr="007C2763">
        <w:rPr>
          <w:rFonts w:ascii="Abadi" w:hAnsi="Abadi"/>
          <w:color w:val="17161D"/>
          <w:spacing w:val="68"/>
          <w:w w:val="105"/>
          <w:sz w:val="21"/>
          <w:szCs w:val="21"/>
        </w:rPr>
        <w:t xml:space="preserve"> </w:t>
      </w:r>
      <w:r w:rsidRPr="007C2763">
        <w:rPr>
          <w:rFonts w:ascii="Abadi" w:hAnsi="Abadi"/>
          <w:color w:val="17161D"/>
          <w:w w:val="105"/>
          <w:sz w:val="21"/>
          <w:szCs w:val="21"/>
        </w:rPr>
        <w:t>naturaleza</w:t>
      </w:r>
      <w:r w:rsidRPr="007C2763">
        <w:rPr>
          <w:rFonts w:ascii="Abadi" w:hAnsi="Abadi"/>
          <w:color w:val="17161D"/>
          <w:spacing w:val="63"/>
          <w:w w:val="150"/>
          <w:sz w:val="21"/>
          <w:szCs w:val="21"/>
        </w:rPr>
        <w:t xml:space="preserve"> </w:t>
      </w:r>
      <w:r w:rsidRPr="007C2763">
        <w:rPr>
          <w:rFonts w:ascii="Abadi" w:hAnsi="Abadi"/>
          <w:color w:val="17161D"/>
          <w:w w:val="105"/>
          <w:sz w:val="21"/>
          <w:szCs w:val="21"/>
        </w:rPr>
        <w:t>(multa),</w:t>
      </w:r>
      <w:r w:rsidRPr="007C2763">
        <w:rPr>
          <w:rFonts w:ascii="Abadi" w:hAnsi="Abadi"/>
          <w:color w:val="17161D"/>
          <w:spacing w:val="63"/>
          <w:w w:val="150"/>
          <w:sz w:val="21"/>
          <w:szCs w:val="21"/>
        </w:rPr>
        <w:t xml:space="preserve"> </w:t>
      </w:r>
      <w:r w:rsidRPr="007C2763">
        <w:rPr>
          <w:rFonts w:ascii="Abadi" w:hAnsi="Abadi"/>
          <w:color w:val="17161D"/>
          <w:w w:val="105"/>
          <w:sz w:val="21"/>
          <w:szCs w:val="21"/>
        </w:rPr>
        <w:t>que</w:t>
      </w:r>
      <w:r w:rsidRPr="007C2763">
        <w:rPr>
          <w:rFonts w:ascii="Abadi" w:hAnsi="Abadi"/>
          <w:color w:val="17161D"/>
          <w:spacing w:val="73"/>
          <w:w w:val="105"/>
          <w:sz w:val="21"/>
          <w:szCs w:val="21"/>
        </w:rPr>
        <w:t xml:space="preserve"> </w:t>
      </w:r>
      <w:r w:rsidRPr="007C2763">
        <w:rPr>
          <w:rFonts w:ascii="Abadi" w:hAnsi="Abadi"/>
          <w:color w:val="17161D"/>
          <w:w w:val="105"/>
          <w:sz w:val="21"/>
          <w:szCs w:val="21"/>
        </w:rPr>
        <w:t>oscile</w:t>
      </w:r>
      <w:r w:rsidRPr="007C2763">
        <w:rPr>
          <w:rFonts w:ascii="Abadi" w:hAnsi="Abadi"/>
          <w:color w:val="17161D"/>
          <w:spacing w:val="8"/>
          <w:w w:val="105"/>
          <w:sz w:val="21"/>
          <w:szCs w:val="21"/>
        </w:rPr>
        <w:t xml:space="preserve"> </w:t>
      </w:r>
      <w:r w:rsidRPr="007C2763">
        <w:rPr>
          <w:rFonts w:ascii="Abadi" w:hAnsi="Abadi"/>
          <w:color w:val="17161D"/>
          <w:w w:val="105"/>
          <w:sz w:val="21"/>
          <w:szCs w:val="21"/>
        </w:rPr>
        <w:t>entre</w:t>
      </w:r>
      <w:r w:rsidRPr="007C2763">
        <w:rPr>
          <w:rFonts w:ascii="Abadi" w:hAnsi="Abadi"/>
          <w:color w:val="17161D"/>
          <w:spacing w:val="52"/>
          <w:w w:val="105"/>
          <w:sz w:val="21"/>
          <w:szCs w:val="21"/>
        </w:rPr>
        <w:t xml:space="preserve"> </w:t>
      </w:r>
      <w:r w:rsidRPr="007C2763">
        <w:rPr>
          <w:rFonts w:ascii="Abadi" w:hAnsi="Abadi"/>
          <w:color w:val="17161D"/>
          <w:w w:val="105"/>
          <w:sz w:val="21"/>
          <w:szCs w:val="21"/>
        </w:rPr>
        <w:t>veinte</w:t>
      </w:r>
      <w:r w:rsidRPr="007C2763">
        <w:rPr>
          <w:rFonts w:ascii="Abadi" w:hAnsi="Abadi"/>
          <w:color w:val="17161D"/>
          <w:spacing w:val="55"/>
          <w:w w:val="105"/>
          <w:sz w:val="21"/>
          <w:szCs w:val="21"/>
        </w:rPr>
        <w:t xml:space="preserve"> </w:t>
      </w:r>
      <w:r w:rsidRPr="007C2763">
        <w:rPr>
          <w:rFonts w:ascii="Abadi" w:hAnsi="Abadi"/>
          <w:color w:val="17161D"/>
          <w:w w:val="105"/>
          <w:sz w:val="21"/>
          <w:szCs w:val="21"/>
        </w:rPr>
        <w:t>y</w:t>
      </w:r>
      <w:r w:rsidRPr="007C2763">
        <w:rPr>
          <w:rFonts w:ascii="Abadi" w:hAnsi="Abadi"/>
          <w:color w:val="17161D"/>
          <w:spacing w:val="52"/>
          <w:w w:val="105"/>
          <w:sz w:val="21"/>
          <w:szCs w:val="21"/>
        </w:rPr>
        <w:t xml:space="preserve"> </w:t>
      </w:r>
      <w:r w:rsidRPr="007C2763">
        <w:rPr>
          <w:rFonts w:ascii="Abadi" w:hAnsi="Abadi"/>
          <w:color w:val="17161D"/>
          <w:w w:val="105"/>
          <w:sz w:val="21"/>
          <w:szCs w:val="21"/>
        </w:rPr>
        <w:t>cuarenta</w:t>
      </w:r>
      <w:r w:rsidRPr="007C2763">
        <w:rPr>
          <w:rFonts w:ascii="Abadi" w:hAnsi="Abadi"/>
          <w:color w:val="17161D"/>
          <w:spacing w:val="52"/>
          <w:w w:val="105"/>
          <w:sz w:val="21"/>
          <w:szCs w:val="21"/>
        </w:rPr>
        <w:t xml:space="preserve"> </w:t>
      </w:r>
      <w:r w:rsidRPr="007C2763">
        <w:rPr>
          <w:rFonts w:ascii="Abadi" w:hAnsi="Abadi"/>
          <w:color w:val="17161D"/>
          <w:w w:val="105"/>
          <w:sz w:val="21"/>
          <w:szCs w:val="21"/>
        </w:rPr>
        <w:t>veces</w:t>
      </w:r>
      <w:r w:rsidRPr="007C2763">
        <w:rPr>
          <w:rFonts w:ascii="Abadi" w:hAnsi="Abadi"/>
          <w:color w:val="17161D"/>
          <w:spacing w:val="40"/>
          <w:w w:val="105"/>
          <w:sz w:val="21"/>
          <w:szCs w:val="21"/>
        </w:rPr>
        <w:t xml:space="preserve"> </w:t>
      </w:r>
      <w:r w:rsidRPr="007C2763">
        <w:rPr>
          <w:rFonts w:ascii="Abadi" w:hAnsi="Abadi"/>
          <w:color w:val="17161D"/>
          <w:w w:val="105"/>
          <w:sz w:val="21"/>
          <w:szCs w:val="21"/>
        </w:rPr>
        <w:t>el</w:t>
      </w:r>
      <w:r w:rsidRPr="007C2763">
        <w:rPr>
          <w:rFonts w:ascii="Abadi" w:hAnsi="Abadi"/>
          <w:color w:val="17161D"/>
          <w:spacing w:val="52"/>
          <w:w w:val="105"/>
          <w:sz w:val="21"/>
          <w:szCs w:val="21"/>
        </w:rPr>
        <w:t xml:space="preserve"> </w:t>
      </w:r>
      <w:r w:rsidRPr="007C2763">
        <w:rPr>
          <w:rFonts w:ascii="Abadi" w:hAnsi="Abadi"/>
          <w:color w:val="17161D"/>
          <w:w w:val="105"/>
          <w:sz w:val="21"/>
          <w:szCs w:val="21"/>
        </w:rPr>
        <w:t>valor</w:t>
      </w:r>
      <w:r w:rsidRPr="007C2763">
        <w:rPr>
          <w:rFonts w:ascii="Abadi" w:hAnsi="Abadi"/>
          <w:color w:val="17161D"/>
          <w:spacing w:val="40"/>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48"/>
          <w:w w:val="105"/>
          <w:sz w:val="21"/>
          <w:szCs w:val="21"/>
        </w:rPr>
        <w:t xml:space="preserve"> </w:t>
      </w:r>
      <w:r w:rsidRPr="007C2763">
        <w:rPr>
          <w:rFonts w:ascii="Abadi" w:hAnsi="Abadi"/>
          <w:color w:val="17161D"/>
          <w:w w:val="105"/>
          <w:sz w:val="21"/>
          <w:szCs w:val="21"/>
        </w:rPr>
        <w:t>la</w:t>
      </w:r>
      <w:r w:rsidRPr="007C2763">
        <w:rPr>
          <w:rFonts w:ascii="Abadi" w:hAnsi="Abadi"/>
          <w:color w:val="17161D"/>
          <w:spacing w:val="63"/>
          <w:w w:val="105"/>
          <w:sz w:val="21"/>
          <w:szCs w:val="21"/>
        </w:rPr>
        <w:t xml:space="preserve"> </w:t>
      </w:r>
      <w:r w:rsidRPr="007C2763">
        <w:rPr>
          <w:rFonts w:ascii="Abadi" w:hAnsi="Abadi"/>
          <w:color w:val="17161D"/>
          <w:w w:val="105"/>
          <w:sz w:val="21"/>
          <w:szCs w:val="21"/>
        </w:rPr>
        <w:t>Unidad</w:t>
      </w:r>
      <w:r w:rsidRPr="007C2763">
        <w:rPr>
          <w:rFonts w:ascii="Abadi" w:hAnsi="Abadi"/>
          <w:color w:val="17161D"/>
          <w:spacing w:val="47"/>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52"/>
          <w:w w:val="105"/>
          <w:sz w:val="21"/>
          <w:szCs w:val="21"/>
        </w:rPr>
        <w:t xml:space="preserve"> </w:t>
      </w:r>
      <w:r w:rsidRPr="007C2763">
        <w:rPr>
          <w:rFonts w:ascii="Abadi" w:hAnsi="Abadi"/>
          <w:color w:val="17161D"/>
          <w:w w:val="105"/>
          <w:sz w:val="21"/>
          <w:szCs w:val="21"/>
        </w:rPr>
        <w:t>Medida</w:t>
      </w:r>
      <w:r w:rsidRPr="007C2763">
        <w:rPr>
          <w:rFonts w:ascii="Abadi" w:hAnsi="Abadi"/>
          <w:color w:val="17161D"/>
          <w:spacing w:val="51"/>
          <w:w w:val="105"/>
          <w:sz w:val="21"/>
          <w:szCs w:val="21"/>
        </w:rPr>
        <w:t xml:space="preserve"> </w:t>
      </w:r>
      <w:r w:rsidRPr="007C2763">
        <w:rPr>
          <w:rFonts w:ascii="Abadi" w:hAnsi="Abadi"/>
          <w:color w:val="17161D"/>
          <w:w w:val="105"/>
          <w:sz w:val="21"/>
          <w:szCs w:val="21"/>
        </w:rPr>
        <w:t>y</w:t>
      </w:r>
      <w:r w:rsidRPr="007C2763">
        <w:rPr>
          <w:rFonts w:ascii="Abadi" w:hAnsi="Abadi"/>
          <w:color w:val="17161D"/>
          <w:spacing w:val="58"/>
          <w:w w:val="105"/>
          <w:sz w:val="21"/>
          <w:szCs w:val="21"/>
        </w:rPr>
        <w:t xml:space="preserve"> </w:t>
      </w:r>
      <w:r w:rsidRPr="007C2763">
        <w:rPr>
          <w:rFonts w:ascii="Abadi" w:hAnsi="Abadi"/>
          <w:color w:val="17161D"/>
          <w:w w:val="105"/>
          <w:sz w:val="21"/>
          <w:szCs w:val="21"/>
        </w:rPr>
        <w:t>Actualización,</w:t>
      </w:r>
      <w:r w:rsidRPr="007C2763">
        <w:rPr>
          <w:rFonts w:ascii="Abadi" w:hAnsi="Abadi"/>
          <w:color w:val="17161D"/>
          <w:spacing w:val="11"/>
          <w:w w:val="105"/>
          <w:sz w:val="21"/>
          <w:szCs w:val="21"/>
        </w:rPr>
        <w:t xml:space="preserve"> </w:t>
      </w:r>
      <w:r w:rsidRPr="007C2763">
        <w:rPr>
          <w:rFonts w:ascii="Abadi" w:hAnsi="Abadi"/>
          <w:color w:val="17161D"/>
          <w:w w:val="105"/>
          <w:sz w:val="21"/>
          <w:szCs w:val="21"/>
        </w:rPr>
        <w:t>trascendería</w:t>
      </w:r>
      <w:r w:rsidRPr="007C2763">
        <w:rPr>
          <w:rFonts w:ascii="Abadi" w:hAnsi="Abadi"/>
          <w:color w:val="17161D"/>
          <w:spacing w:val="36"/>
          <w:w w:val="105"/>
          <w:sz w:val="21"/>
          <w:szCs w:val="21"/>
        </w:rPr>
        <w:t xml:space="preserve"> </w:t>
      </w:r>
      <w:r w:rsidRPr="007C2763">
        <w:rPr>
          <w:rFonts w:ascii="Abadi" w:hAnsi="Abadi"/>
          <w:color w:val="17161D"/>
          <w:w w:val="105"/>
          <w:sz w:val="21"/>
          <w:szCs w:val="21"/>
        </w:rPr>
        <w:t>en</w:t>
      </w:r>
      <w:r w:rsidRPr="007C2763">
        <w:rPr>
          <w:rFonts w:ascii="Abadi" w:hAnsi="Abadi"/>
          <w:color w:val="17161D"/>
          <w:spacing w:val="40"/>
          <w:w w:val="105"/>
          <w:sz w:val="21"/>
          <w:szCs w:val="21"/>
        </w:rPr>
        <w:t xml:space="preserve"> </w:t>
      </w:r>
      <w:r w:rsidRPr="007C2763">
        <w:rPr>
          <w:rFonts w:ascii="Abadi" w:hAnsi="Abadi"/>
          <w:color w:val="17161D"/>
          <w:w w:val="105"/>
          <w:sz w:val="21"/>
          <w:szCs w:val="21"/>
        </w:rPr>
        <w:t>una</w:t>
      </w:r>
      <w:r w:rsidRPr="007C2763">
        <w:rPr>
          <w:rFonts w:ascii="Abadi" w:hAnsi="Abadi"/>
          <w:color w:val="17161D"/>
          <w:spacing w:val="27"/>
          <w:w w:val="105"/>
          <w:sz w:val="21"/>
          <w:szCs w:val="21"/>
        </w:rPr>
        <w:t xml:space="preserve"> </w:t>
      </w:r>
      <w:r w:rsidRPr="007C2763">
        <w:rPr>
          <w:rFonts w:ascii="Abadi" w:hAnsi="Abadi"/>
          <w:color w:val="17161D"/>
          <w:w w:val="105"/>
          <w:sz w:val="21"/>
          <w:szCs w:val="21"/>
        </w:rPr>
        <w:t>antinomia</w:t>
      </w:r>
      <w:r w:rsidRPr="007C2763">
        <w:rPr>
          <w:rFonts w:ascii="Abadi" w:hAnsi="Abadi"/>
          <w:color w:val="17161D"/>
          <w:spacing w:val="34"/>
          <w:w w:val="105"/>
          <w:sz w:val="21"/>
          <w:szCs w:val="21"/>
        </w:rPr>
        <w:t xml:space="preserve"> </w:t>
      </w:r>
      <w:r w:rsidRPr="007C2763">
        <w:rPr>
          <w:rFonts w:ascii="Abadi" w:hAnsi="Abadi"/>
          <w:color w:val="17161D"/>
          <w:w w:val="105"/>
          <w:sz w:val="21"/>
          <w:szCs w:val="21"/>
        </w:rPr>
        <w:t>jurídica</w:t>
      </w:r>
      <w:r w:rsidRPr="007C2763">
        <w:rPr>
          <w:rFonts w:ascii="Abadi" w:hAnsi="Abadi"/>
          <w:color w:val="17161D"/>
          <w:spacing w:val="32"/>
          <w:w w:val="105"/>
          <w:sz w:val="21"/>
          <w:szCs w:val="21"/>
        </w:rPr>
        <w:t xml:space="preserve"> </w:t>
      </w:r>
      <w:r w:rsidRPr="007C2763">
        <w:rPr>
          <w:rFonts w:ascii="Abadi" w:hAnsi="Abadi"/>
          <w:color w:val="17161D"/>
          <w:w w:val="105"/>
          <w:sz w:val="21"/>
          <w:szCs w:val="21"/>
        </w:rPr>
        <w:t>respecto</w:t>
      </w:r>
      <w:r w:rsidRPr="007C2763">
        <w:rPr>
          <w:rFonts w:ascii="Abadi" w:hAnsi="Abadi"/>
          <w:color w:val="17161D"/>
          <w:spacing w:val="24"/>
          <w:w w:val="105"/>
          <w:sz w:val="21"/>
          <w:szCs w:val="21"/>
        </w:rPr>
        <w:t xml:space="preserve"> </w:t>
      </w:r>
      <w:r w:rsidRPr="007C2763">
        <w:rPr>
          <w:rFonts w:ascii="Abadi" w:hAnsi="Abadi"/>
          <w:color w:val="17161D"/>
          <w:w w:val="105"/>
          <w:sz w:val="21"/>
          <w:szCs w:val="21"/>
        </w:rPr>
        <w:t>a</w:t>
      </w:r>
      <w:r w:rsidRPr="007C2763">
        <w:rPr>
          <w:rFonts w:ascii="Abadi" w:hAnsi="Abadi"/>
          <w:color w:val="17161D"/>
          <w:spacing w:val="27"/>
          <w:w w:val="105"/>
          <w:sz w:val="21"/>
          <w:szCs w:val="21"/>
        </w:rPr>
        <w:t xml:space="preserve"> </w:t>
      </w:r>
      <w:r w:rsidRPr="007C2763">
        <w:rPr>
          <w:rFonts w:ascii="Abadi" w:hAnsi="Abadi"/>
          <w:color w:val="17161D"/>
          <w:w w:val="105"/>
          <w:sz w:val="21"/>
          <w:szCs w:val="21"/>
        </w:rPr>
        <w:t>aquella</w:t>
      </w:r>
      <w:r w:rsidRPr="007C2763">
        <w:rPr>
          <w:rFonts w:ascii="Abadi" w:hAnsi="Abadi"/>
          <w:color w:val="17161D"/>
          <w:spacing w:val="29"/>
          <w:w w:val="105"/>
          <w:sz w:val="21"/>
          <w:szCs w:val="21"/>
        </w:rPr>
        <w:t xml:space="preserve"> </w:t>
      </w:r>
      <w:r w:rsidRPr="007C2763">
        <w:rPr>
          <w:rFonts w:ascii="Abadi" w:hAnsi="Abadi"/>
          <w:color w:val="17161D"/>
          <w:w w:val="105"/>
          <w:sz w:val="21"/>
          <w:szCs w:val="21"/>
        </w:rPr>
        <w:t>hoy</w:t>
      </w:r>
      <w:r w:rsidRPr="007C2763">
        <w:rPr>
          <w:rFonts w:ascii="Abadi" w:hAnsi="Abadi"/>
          <w:color w:val="17161D"/>
          <w:spacing w:val="31"/>
          <w:w w:val="105"/>
          <w:sz w:val="21"/>
          <w:szCs w:val="21"/>
        </w:rPr>
        <w:t xml:space="preserve"> </w:t>
      </w:r>
      <w:r w:rsidRPr="007C2763">
        <w:rPr>
          <w:rFonts w:ascii="Abadi" w:hAnsi="Abadi"/>
          <w:color w:val="17161D"/>
          <w:w w:val="105"/>
          <w:sz w:val="21"/>
          <w:szCs w:val="21"/>
        </w:rPr>
        <w:t>determinada,</w:t>
      </w:r>
      <w:r w:rsidRPr="007C2763">
        <w:rPr>
          <w:rFonts w:ascii="Abadi" w:hAnsi="Abadi"/>
          <w:color w:val="17161D"/>
          <w:spacing w:val="40"/>
          <w:w w:val="105"/>
          <w:sz w:val="21"/>
          <w:szCs w:val="21"/>
        </w:rPr>
        <w:t xml:space="preserve"> </w:t>
      </w:r>
      <w:r w:rsidRPr="007C2763">
        <w:rPr>
          <w:rFonts w:ascii="Abadi" w:hAnsi="Abadi"/>
          <w:color w:val="17161D"/>
          <w:w w:val="105"/>
          <w:sz w:val="21"/>
          <w:szCs w:val="21"/>
        </w:rPr>
        <w:t>para</w:t>
      </w:r>
      <w:r w:rsidRPr="007C2763">
        <w:rPr>
          <w:rFonts w:ascii="Abadi" w:hAnsi="Abadi"/>
          <w:color w:val="17161D"/>
          <w:spacing w:val="18"/>
          <w:w w:val="105"/>
          <w:sz w:val="21"/>
          <w:szCs w:val="21"/>
        </w:rPr>
        <w:t xml:space="preserve"> </w:t>
      </w:r>
      <w:r w:rsidRPr="007C2763">
        <w:rPr>
          <w:rFonts w:ascii="Abadi" w:hAnsi="Abadi"/>
          <w:color w:val="17161D"/>
          <w:w w:val="105"/>
          <w:sz w:val="21"/>
          <w:szCs w:val="21"/>
        </w:rPr>
        <w:t>el</w:t>
      </w:r>
      <w:r w:rsidRPr="007C2763">
        <w:rPr>
          <w:rFonts w:ascii="Abadi" w:hAnsi="Abadi"/>
          <w:color w:val="17161D"/>
          <w:spacing w:val="14"/>
          <w:w w:val="105"/>
          <w:sz w:val="21"/>
          <w:szCs w:val="21"/>
        </w:rPr>
        <w:t xml:space="preserve"> </w:t>
      </w:r>
      <w:r w:rsidRPr="007C2763">
        <w:rPr>
          <w:rFonts w:ascii="Abadi" w:hAnsi="Abadi"/>
          <w:color w:val="17161D"/>
          <w:w w:val="105"/>
          <w:sz w:val="21"/>
          <w:szCs w:val="21"/>
        </w:rPr>
        <w:t>mismo</w:t>
      </w:r>
      <w:r w:rsidRPr="007C2763">
        <w:rPr>
          <w:rFonts w:ascii="Abadi" w:hAnsi="Abadi"/>
          <w:color w:val="17161D"/>
          <w:spacing w:val="14"/>
          <w:w w:val="105"/>
          <w:sz w:val="21"/>
          <w:szCs w:val="21"/>
        </w:rPr>
        <w:t xml:space="preserve"> </w:t>
      </w:r>
      <w:r w:rsidRPr="007C2763">
        <w:rPr>
          <w:rFonts w:ascii="Abadi" w:hAnsi="Abadi"/>
          <w:color w:val="17161D"/>
          <w:w w:val="105"/>
          <w:sz w:val="21"/>
          <w:szCs w:val="21"/>
        </w:rPr>
        <w:t>supuesto,</w:t>
      </w:r>
      <w:r w:rsidRPr="007C2763">
        <w:rPr>
          <w:rFonts w:ascii="Abadi" w:hAnsi="Abadi"/>
          <w:color w:val="17161D"/>
          <w:spacing w:val="31"/>
          <w:w w:val="105"/>
          <w:sz w:val="21"/>
          <w:szCs w:val="21"/>
        </w:rPr>
        <w:t xml:space="preserve"> </w:t>
      </w:r>
      <w:r w:rsidRPr="007C2763">
        <w:rPr>
          <w:rFonts w:ascii="Abadi" w:hAnsi="Abadi"/>
          <w:color w:val="17161D"/>
          <w:w w:val="105"/>
          <w:sz w:val="21"/>
          <w:szCs w:val="21"/>
        </w:rPr>
        <w:t>en</w:t>
      </w:r>
      <w:r w:rsidRPr="007C2763">
        <w:rPr>
          <w:rFonts w:ascii="Abadi" w:hAnsi="Abadi"/>
          <w:color w:val="17161D"/>
          <w:spacing w:val="12"/>
          <w:w w:val="105"/>
          <w:sz w:val="21"/>
          <w:szCs w:val="21"/>
        </w:rPr>
        <w:t xml:space="preserve"> </w:t>
      </w:r>
      <w:r w:rsidRPr="007C2763">
        <w:rPr>
          <w:rFonts w:ascii="Abadi" w:hAnsi="Abadi"/>
          <w:color w:val="17161D"/>
          <w:w w:val="105"/>
          <w:sz w:val="21"/>
          <w:szCs w:val="21"/>
        </w:rPr>
        <w:t>una</w:t>
      </w:r>
      <w:r w:rsidRPr="007C2763">
        <w:rPr>
          <w:rFonts w:ascii="Abadi" w:hAnsi="Abadi"/>
          <w:color w:val="17161D"/>
          <w:spacing w:val="15"/>
          <w:w w:val="105"/>
          <w:sz w:val="21"/>
          <w:szCs w:val="21"/>
        </w:rPr>
        <w:t xml:space="preserve"> </w:t>
      </w:r>
      <w:r w:rsidRPr="007C2763">
        <w:rPr>
          <w:rFonts w:ascii="Abadi" w:hAnsi="Abadi"/>
          <w:color w:val="17161D"/>
          <w:w w:val="105"/>
          <w:sz w:val="21"/>
          <w:szCs w:val="21"/>
        </w:rPr>
        <w:t>norma</w:t>
      </w:r>
      <w:r w:rsidRPr="007C2763">
        <w:rPr>
          <w:rFonts w:ascii="Abadi" w:hAnsi="Abadi"/>
          <w:color w:val="17161D"/>
          <w:spacing w:val="7"/>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8"/>
          <w:w w:val="105"/>
          <w:sz w:val="21"/>
          <w:szCs w:val="21"/>
        </w:rPr>
        <w:t xml:space="preserve"> </w:t>
      </w:r>
      <w:r w:rsidRPr="007C2763">
        <w:rPr>
          <w:rFonts w:ascii="Abadi" w:hAnsi="Abadi"/>
          <w:color w:val="17161D"/>
          <w:w w:val="105"/>
          <w:sz w:val="21"/>
          <w:szCs w:val="21"/>
        </w:rPr>
        <w:t>igual</w:t>
      </w:r>
      <w:r w:rsidRPr="007C2763">
        <w:rPr>
          <w:rFonts w:ascii="Abadi" w:hAnsi="Abadi"/>
          <w:color w:val="17161D"/>
          <w:spacing w:val="17"/>
          <w:w w:val="105"/>
          <w:sz w:val="21"/>
          <w:szCs w:val="21"/>
        </w:rPr>
        <w:t xml:space="preserve"> </w:t>
      </w:r>
      <w:r w:rsidRPr="007C2763">
        <w:rPr>
          <w:rFonts w:ascii="Abadi" w:hAnsi="Abadi"/>
          <w:color w:val="17161D"/>
          <w:w w:val="105"/>
          <w:sz w:val="21"/>
          <w:szCs w:val="21"/>
        </w:rPr>
        <w:t>jerarquía;</w:t>
      </w:r>
      <w:r w:rsidRPr="007C2763">
        <w:rPr>
          <w:rFonts w:ascii="Abadi" w:hAnsi="Abadi"/>
          <w:color w:val="17161D"/>
          <w:spacing w:val="25"/>
          <w:w w:val="105"/>
          <w:sz w:val="21"/>
          <w:szCs w:val="21"/>
        </w:rPr>
        <w:t xml:space="preserve"> </w:t>
      </w:r>
      <w:r w:rsidRPr="007C2763">
        <w:rPr>
          <w:rFonts w:ascii="Abadi" w:hAnsi="Abadi"/>
          <w:color w:val="17161D"/>
          <w:w w:val="105"/>
          <w:sz w:val="21"/>
          <w:szCs w:val="21"/>
        </w:rPr>
        <w:t>lo</w:t>
      </w:r>
      <w:r w:rsidRPr="007C2763">
        <w:rPr>
          <w:rFonts w:ascii="Abadi" w:hAnsi="Abadi"/>
          <w:color w:val="17161D"/>
          <w:spacing w:val="14"/>
          <w:w w:val="105"/>
          <w:sz w:val="21"/>
          <w:szCs w:val="21"/>
        </w:rPr>
        <w:t xml:space="preserve"> </w:t>
      </w:r>
      <w:r w:rsidRPr="007C2763">
        <w:rPr>
          <w:rFonts w:ascii="Abadi" w:hAnsi="Abadi"/>
          <w:color w:val="17161D"/>
          <w:w w:val="105"/>
          <w:sz w:val="21"/>
          <w:szCs w:val="21"/>
        </w:rPr>
        <w:t>que</w:t>
      </w:r>
      <w:r w:rsidRPr="007C2763">
        <w:rPr>
          <w:rFonts w:ascii="Abadi" w:hAnsi="Abadi"/>
          <w:color w:val="17161D"/>
          <w:spacing w:val="12"/>
          <w:w w:val="105"/>
          <w:sz w:val="21"/>
          <w:szCs w:val="21"/>
        </w:rPr>
        <w:t xml:space="preserve"> </w:t>
      </w:r>
      <w:r w:rsidRPr="007C2763">
        <w:rPr>
          <w:rFonts w:ascii="Abadi" w:hAnsi="Abadi"/>
          <w:color w:val="17161D"/>
          <w:w w:val="105"/>
          <w:sz w:val="21"/>
          <w:szCs w:val="21"/>
        </w:rPr>
        <w:t>genera</w:t>
      </w:r>
      <w:r w:rsidRPr="007C2763">
        <w:rPr>
          <w:rFonts w:ascii="Abadi" w:hAnsi="Abadi"/>
          <w:color w:val="17161D"/>
          <w:spacing w:val="5"/>
          <w:w w:val="105"/>
          <w:sz w:val="21"/>
          <w:szCs w:val="21"/>
        </w:rPr>
        <w:t xml:space="preserve"> </w:t>
      </w:r>
      <w:r w:rsidRPr="007C2763">
        <w:rPr>
          <w:rFonts w:ascii="Abadi" w:hAnsi="Abadi"/>
          <w:color w:val="17161D"/>
          <w:w w:val="105"/>
          <w:sz w:val="21"/>
          <w:szCs w:val="21"/>
        </w:rPr>
        <w:t>falta</w:t>
      </w:r>
      <w:r w:rsidRPr="007C2763">
        <w:rPr>
          <w:rFonts w:ascii="Abadi" w:hAnsi="Abadi"/>
          <w:color w:val="17161D"/>
          <w:spacing w:val="7"/>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8"/>
          <w:w w:val="105"/>
          <w:sz w:val="21"/>
          <w:szCs w:val="21"/>
        </w:rPr>
        <w:t xml:space="preserve"> </w:t>
      </w:r>
      <w:r w:rsidRPr="007C2763">
        <w:rPr>
          <w:rFonts w:ascii="Abadi" w:hAnsi="Abadi"/>
          <w:color w:val="17161D"/>
          <w:w w:val="105"/>
          <w:sz w:val="21"/>
          <w:szCs w:val="21"/>
        </w:rPr>
        <w:t>certeza</w:t>
      </w:r>
      <w:r w:rsidRPr="007C2763">
        <w:rPr>
          <w:rFonts w:ascii="Abadi" w:hAnsi="Abadi"/>
          <w:color w:val="17161D"/>
          <w:spacing w:val="14"/>
          <w:w w:val="105"/>
          <w:sz w:val="21"/>
          <w:szCs w:val="21"/>
        </w:rPr>
        <w:t xml:space="preserve"> </w:t>
      </w:r>
      <w:r w:rsidRPr="007C2763">
        <w:rPr>
          <w:rFonts w:ascii="Abadi" w:hAnsi="Abadi"/>
          <w:color w:val="17161D"/>
          <w:w w:val="105"/>
          <w:sz w:val="21"/>
          <w:szCs w:val="21"/>
        </w:rPr>
        <w:t>jurídica</w:t>
      </w:r>
      <w:r w:rsidRPr="007C2763">
        <w:rPr>
          <w:rFonts w:ascii="Abadi" w:hAnsi="Abadi"/>
          <w:color w:val="17161D"/>
          <w:spacing w:val="13"/>
          <w:w w:val="105"/>
          <w:sz w:val="21"/>
          <w:szCs w:val="21"/>
        </w:rPr>
        <w:t xml:space="preserve"> </w:t>
      </w:r>
      <w:r w:rsidRPr="007C2763">
        <w:rPr>
          <w:rFonts w:ascii="Abadi" w:hAnsi="Abadi"/>
          <w:color w:val="17161D"/>
          <w:w w:val="105"/>
          <w:sz w:val="21"/>
          <w:szCs w:val="21"/>
        </w:rPr>
        <w:t>para</w:t>
      </w:r>
      <w:r w:rsidRPr="007C2763">
        <w:rPr>
          <w:rFonts w:ascii="Abadi" w:hAnsi="Abadi"/>
          <w:color w:val="17161D"/>
          <w:spacing w:val="13"/>
          <w:w w:val="105"/>
          <w:sz w:val="21"/>
          <w:szCs w:val="21"/>
        </w:rPr>
        <w:t xml:space="preserve"> </w:t>
      </w:r>
      <w:r w:rsidRPr="007C2763">
        <w:rPr>
          <w:rFonts w:ascii="Abadi" w:hAnsi="Abadi"/>
          <w:color w:val="17161D"/>
          <w:w w:val="105"/>
          <w:sz w:val="21"/>
          <w:szCs w:val="21"/>
        </w:rPr>
        <w:t>el</w:t>
      </w:r>
      <w:r w:rsidRPr="007C2763">
        <w:rPr>
          <w:rFonts w:ascii="Abadi" w:hAnsi="Abadi"/>
          <w:color w:val="17161D"/>
          <w:spacing w:val="10"/>
          <w:w w:val="105"/>
          <w:sz w:val="21"/>
          <w:szCs w:val="21"/>
        </w:rPr>
        <w:t xml:space="preserve"> </w:t>
      </w:r>
      <w:r w:rsidRPr="007C2763">
        <w:rPr>
          <w:rFonts w:ascii="Abadi" w:hAnsi="Abadi"/>
          <w:color w:val="17161D"/>
          <w:w w:val="105"/>
          <w:sz w:val="21"/>
          <w:szCs w:val="21"/>
        </w:rPr>
        <w:t>gobernado</w:t>
      </w:r>
      <w:r w:rsidRPr="007C2763">
        <w:rPr>
          <w:rFonts w:ascii="Abadi" w:hAnsi="Abadi"/>
          <w:color w:val="17161D"/>
          <w:spacing w:val="15"/>
          <w:w w:val="105"/>
          <w:sz w:val="21"/>
          <w:szCs w:val="21"/>
        </w:rPr>
        <w:t xml:space="preserve"> </w:t>
      </w:r>
      <w:r w:rsidRPr="007C2763">
        <w:rPr>
          <w:rFonts w:ascii="Abadi" w:hAnsi="Abadi"/>
          <w:color w:val="17161D"/>
          <w:w w:val="105"/>
          <w:sz w:val="21"/>
          <w:szCs w:val="21"/>
        </w:rPr>
        <w:t>y,</w:t>
      </w:r>
      <w:r w:rsidRPr="007C2763">
        <w:rPr>
          <w:rFonts w:ascii="Abadi" w:hAnsi="Abadi"/>
          <w:color w:val="17161D"/>
          <w:spacing w:val="26"/>
          <w:w w:val="105"/>
          <w:sz w:val="21"/>
          <w:szCs w:val="21"/>
        </w:rPr>
        <w:t xml:space="preserve"> </w:t>
      </w:r>
      <w:r w:rsidRPr="007C2763">
        <w:rPr>
          <w:rFonts w:ascii="Abadi" w:hAnsi="Abadi"/>
          <w:color w:val="17161D"/>
          <w:w w:val="105"/>
          <w:sz w:val="21"/>
          <w:szCs w:val="21"/>
        </w:rPr>
        <w:t>en</w:t>
      </w:r>
      <w:r w:rsidRPr="007C2763">
        <w:rPr>
          <w:rFonts w:ascii="Abadi" w:hAnsi="Abadi"/>
          <w:color w:val="17161D"/>
          <w:spacing w:val="22"/>
          <w:w w:val="105"/>
          <w:sz w:val="21"/>
          <w:szCs w:val="21"/>
        </w:rPr>
        <w:t xml:space="preserve"> </w:t>
      </w:r>
      <w:r w:rsidRPr="007C2763">
        <w:rPr>
          <w:rFonts w:ascii="Abadi" w:hAnsi="Abadi"/>
          <w:color w:val="17161D"/>
          <w:w w:val="105"/>
          <w:sz w:val="21"/>
          <w:szCs w:val="21"/>
        </w:rPr>
        <w:t>su</w:t>
      </w:r>
      <w:r w:rsidRPr="007C2763">
        <w:rPr>
          <w:rFonts w:ascii="Abadi" w:hAnsi="Abadi"/>
          <w:color w:val="17161D"/>
          <w:spacing w:val="12"/>
          <w:w w:val="105"/>
          <w:sz w:val="21"/>
          <w:szCs w:val="21"/>
        </w:rPr>
        <w:t xml:space="preserve"> </w:t>
      </w:r>
      <w:r w:rsidRPr="007C2763">
        <w:rPr>
          <w:rFonts w:ascii="Abadi" w:hAnsi="Abadi"/>
          <w:color w:val="17161D"/>
          <w:w w:val="105"/>
          <w:sz w:val="21"/>
          <w:szCs w:val="21"/>
        </w:rPr>
        <w:t>caso,</w:t>
      </w:r>
      <w:r w:rsidRPr="007C2763">
        <w:rPr>
          <w:rFonts w:ascii="Abadi" w:hAnsi="Abadi"/>
          <w:color w:val="17161D"/>
          <w:spacing w:val="32"/>
          <w:w w:val="105"/>
          <w:sz w:val="21"/>
          <w:szCs w:val="21"/>
        </w:rPr>
        <w:t xml:space="preserve"> </w:t>
      </w:r>
      <w:r w:rsidRPr="007C2763">
        <w:rPr>
          <w:rFonts w:ascii="Abadi" w:hAnsi="Abadi"/>
          <w:color w:val="17161D"/>
          <w:w w:val="105"/>
          <w:sz w:val="21"/>
          <w:szCs w:val="21"/>
        </w:rPr>
        <w:t>la imposición</w:t>
      </w:r>
      <w:r w:rsidRPr="007C2763">
        <w:rPr>
          <w:rFonts w:ascii="Abadi" w:hAnsi="Abadi"/>
          <w:color w:val="17161D"/>
          <w:spacing w:val="18"/>
          <w:w w:val="105"/>
          <w:sz w:val="21"/>
          <w:szCs w:val="21"/>
        </w:rPr>
        <w:t xml:space="preserve"> </w:t>
      </w:r>
      <w:r w:rsidRPr="007C2763">
        <w:rPr>
          <w:rFonts w:ascii="Abadi" w:hAnsi="Abadi"/>
          <w:color w:val="17161D"/>
          <w:w w:val="105"/>
          <w:sz w:val="21"/>
          <w:szCs w:val="21"/>
        </w:rPr>
        <w:t>de</w:t>
      </w:r>
      <w:r w:rsidRPr="007C2763">
        <w:rPr>
          <w:rFonts w:ascii="Abadi" w:hAnsi="Abadi"/>
          <w:color w:val="17161D"/>
          <w:spacing w:val="11"/>
          <w:w w:val="105"/>
          <w:sz w:val="21"/>
          <w:szCs w:val="21"/>
        </w:rPr>
        <w:t xml:space="preserve"> </w:t>
      </w:r>
      <w:r w:rsidRPr="007C2763">
        <w:rPr>
          <w:rFonts w:ascii="Abadi" w:hAnsi="Abadi"/>
          <w:color w:val="17161D"/>
          <w:w w:val="105"/>
          <w:sz w:val="21"/>
          <w:szCs w:val="21"/>
        </w:rPr>
        <w:t>una</w:t>
      </w:r>
      <w:r w:rsidRPr="007C2763">
        <w:rPr>
          <w:rFonts w:ascii="Abadi" w:hAnsi="Abadi"/>
          <w:color w:val="17161D"/>
          <w:spacing w:val="13"/>
          <w:w w:val="105"/>
          <w:sz w:val="21"/>
          <w:szCs w:val="21"/>
        </w:rPr>
        <w:t xml:space="preserve"> </w:t>
      </w:r>
      <w:r w:rsidRPr="007C2763">
        <w:rPr>
          <w:rFonts w:ascii="Abadi" w:hAnsi="Abadi"/>
          <w:color w:val="17161D"/>
          <w:w w:val="105"/>
          <w:sz w:val="21"/>
          <w:szCs w:val="21"/>
        </w:rPr>
        <w:t>doble</w:t>
      </w:r>
      <w:r w:rsidRPr="007C2763">
        <w:rPr>
          <w:rFonts w:ascii="Abadi" w:hAnsi="Abadi"/>
          <w:color w:val="17161D"/>
          <w:spacing w:val="17"/>
          <w:w w:val="105"/>
          <w:sz w:val="21"/>
          <w:szCs w:val="21"/>
        </w:rPr>
        <w:t xml:space="preserve"> </w:t>
      </w:r>
      <w:r w:rsidRPr="007C2763">
        <w:rPr>
          <w:rFonts w:ascii="Abadi" w:hAnsi="Abadi"/>
          <w:color w:val="17161D"/>
          <w:w w:val="105"/>
          <w:sz w:val="21"/>
          <w:szCs w:val="21"/>
        </w:rPr>
        <w:t>sanción</w:t>
      </w:r>
      <w:r w:rsidRPr="007C2763">
        <w:rPr>
          <w:rFonts w:ascii="Abadi" w:hAnsi="Abadi"/>
          <w:color w:val="17161D"/>
          <w:spacing w:val="22"/>
          <w:w w:val="105"/>
          <w:sz w:val="21"/>
          <w:szCs w:val="21"/>
        </w:rPr>
        <w:t xml:space="preserve"> </w:t>
      </w:r>
      <w:r w:rsidRPr="007C2763">
        <w:rPr>
          <w:rFonts w:ascii="Abadi" w:hAnsi="Abadi"/>
          <w:color w:val="17161D"/>
          <w:w w:val="105"/>
          <w:sz w:val="21"/>
          <w:szCs w:val="21"/>
        </w:rPr>
        <w:t>sobre</w:t>
      </w:r>
    </w:p>
    <w:p w14:paraId="6EB73B9F" w14:textId="77777777" w:rsidR="00DF3BF0" w:rsidRPr="007C2763" w:rsidRDefault="00DF3BF0" w:rsidP="00DF3BF0">
      <w:pPr>
        <w:pStyle w:val="Textoindependiente"/>
        <w:kinsoku w:val="0"/>
        <w:overflowPunct w:val="0"/>
        <w:ind w:left="39"/>
        <w:rPr>
          <w:rFonts w:ascii="Abadi" w:hAnsi="Abadi"/>
          <w:color w:val="17161D"/>
          <w:w w:val="105"/>
          <w:sz w:val="21"/>
          <w:szCs w:val="21"/>
        </w:rPr>
      </w:pPr>
      <w:r w:rsidRPr="007C2763">
        <w:rPr>
          <w:rFonts w:ascii="Abadi" w:hAnsi="Abadi"/>
          <w:color w:val="17161D"/>
          <w:w w:val="105"/>
          <w:sz w:val="21"/>
          <w:szCs w:val="21"/>
        </w:rPr>
        <w:t>un mismo hecho.</w:t>
      </w:r>
    </w:p>
    <w:p w14:paraId="06773DB9" w14:textId="77777777" w:rsidR="00DF3BF0" w:rsidRPr="007C2763" w:rsidRDefault="00DF3BF0" w:rsidP="00DF3BF0">
      <w:pPr>
        <w:tabs>
          <w:tab w:val="left" w:pos="837"/>
        </w:tabs>
        <w:kinsoku w:val="0"/>
        <w:overflowPunct w:val="0"/>
        <w:autoSpaceDE w:val="0"/>
        <w:autoSpaceDN w:val="0"/>
        <w:adjustRightInd w:val="0"/>
        <w:spacing w:before="41"/>
        <w:jc w:val="both"/>
        <w:rPr>
          <w:rFonts w:ascii="Abadi" w:hAnsi="Abadi"/>
          <w:sz w:val="21"/>
          <w:szCs w:val="21"/>
        </w:rPr>
      </w:pPr>
    </w:p>
    <w:p w14:paraId="27879888" w14:textId="77777777" w:rsidR="00DF3BF0" w:rsidRPr="007C2763" w:rsidRDefault="00DF3BF0" w:rsidP="00210305">
      <w:pPr>
        <w:pStyle w:val="Prrafodelista"/>
        <w:numPr>
          <w:ilvl w:val="0"/>
          <w:numId w:val="63"/>
        </w:numPr>
        <w:autoSpaceDE w:val="0"/>
        <w:autoSpaceDN w:val="0"/>
        <w:adjustRightInd w:val="0"/>
        <w:ind w:left="0" w:firstLine="349"/>
        <w:jc w:val="both"/>
        <w:rPr>
          <w:rFonts w:ascii="Abadi" w:hAnsi="Abadi" w:cs="*Calibri-6756-Identity-H"/>
          <w:color w:val="1E1D23"/>
          <w:sz w:val="21"/>
          <w:szCs w:val="21"/>
        </w:rPr>
      </w:pPr>
      <w:r w:rsidRPr="007C2763">
        <w:rPr>
          <w:rFonts w:ascii="Abadi" w:hAnsi="Abadi" w:cs="*Calibri-6756-Identity-H"/>
          <w:color w:val="1E1D23"/>
          <w:sz w:val="21"/>
          <w:szCs w:val="21"/>
        </w:rPr>
        <w:t>San Felipe; se pronuncian a favor de la propuesta que representa mayores herramientas a los Municipios del Estado para poder lograr que todos los vehículos automotores que circulan en Guanajuato cumplan con la verificación vehicular, velando así por la protección del derecho a un medio ambiente sano para el desarrollo y bienestar personal.</w:t>
      </w:r>
    </w:p>
    <w:p w14:paraId="17F36756" w14:textId="77777777" w:rsidR="00DF3BF0" w:rsidRPr="007C2763" w:rsidRDefault="00DF3BF0" w:rsidP="00210305">
      <w:pPr>
        <w:pStyle w:val="Prrafodelista"/>
        <w:numPr>
          <w:ilvl w:val="0"/>
          <w:numId w:val="63"/>
        </w:numPr>
        <w:autoSpaceDE w:val="0"/>
        <w:autoSpaceDN w:val="0"/>
        <w:adjustRightInd w:val="0"/>
        <w:ind w:left="0" w:firstLine="360"/>
        <w:jc w:val="both"/>
        <w:rPr>
          <w:rFonts w:ascii="Abadi" w:hAnsi="Abadi" w:cs="*Calibri-6756-Identity-H"/>
          <w:color w:val="201F25"/>
          <w:sz w:val="21"/>
          <w:szCs w:val="21"/>
        </w:rPr>
      </w:pPr>
      <w:r w:rsidRPr="007C2763">
        <w:rPr>
          <w:rFonts w:ascii="Abadi" w:hAnsi="Abadi" w:cs="*Calibri-6756-Identity-H"/>
          <w:color w:val="201F25"/>
          <w:sz w:val="21"/>
          <w:szCs w:val="21"/>
        </w:rPr>
        <w:t>Santa Cruz de Juventino Rosas; enterados y remiten circular a su Comisión de Ecología y a la Coordinación de Ecología del Municipio.</w:t>
      </w:r>
    </w:p>
    <w:p w14:paraId="6FCFFE1E" w14:textId="77777777" w:rsidR="00DF3BF0" w:rsidRPr="007C2763" w:rsidRDefault="00DF3BF0" w:rsidP="00210305">
      <w:pPr>
        <w:pStyle w:val="Prrafodelista"/>
        <w:numPr>
          <w:ilvl w:val="0"/>
          <w:numId w:val="63"/>
        </w:numPr>
        <w:autoSpaceDE w:val="0"/>
        <w:autoSpaceDN w:val="0"/>
        <w:adjustRightInd w:val="0"/>
        <w:jc w:val="both"/>
        <w:rPr>
          <w:rFonts w:ascii="Abadi" w:hAnsi="Abadi" w:cs="*Calibri-6756-Identity-H"/>
          <w:color w:val="202025"/>
          <w:sz w:val="21"/>
          <w:szCs w:val="21"/>
        </w:rPr>
      </w:pPr>
      <w:r w:rsidRPr="007C2763">
        <w:rPr>
          <w:rFonts w:ascii="Abadi" w:hAnsi="Abadi" w:cs="*Calibri-6756-Identity-H"/>
          <w:color w:val="202025"/>
          <w:sz w:val="21"/>
          <w:szCs w:val="21"/>
        </w:rPr>
        <w:t>Tarimoro; sin propuestas y observaciones.</w:t>
      </w:r>
    </w:p>
    <w:p w14:paraId="1954C7BA" w14:textId="77777777" w:rsidR="00DF3BF0" w:rsidRPr="007C2763" w:rsidRDefault="00DF3BF0" w:rsidP="00DF3BF0">
      <w:pPr>
        <w:pStyle w:val="Prrafodelista"/>
        <w:ind w:left="720"/>
        <w:jc w:val="both"/>
        <w:rPr>
          <w:rFonts w:ascii="Abadi" w:hAnsi="Abadi" w:cs="*Calibri-6756-Identity-H"/>
          <w:color w:val="202025"/>
          <w:sz w:val="21"/>
          <w:szCs w:val="21"/>
        </w:rPr>
      </w:pPr>
    </w:p>
    <w:p w14:paraId="647EE3BD" w14:textId="77777777" w:rsidR="00DF3BF0" w:rsidRPr="007C2763" w:rsidRDefault="00DF3BF0" w:rsidP="00DF3BF0">
      <w:pPr>
        <w:autoSpaceDE w:val="0"/>
        <w:autoSpaceDN w:val="0"/>
        <w:adjustRightInd w:val="0"/>
        <w:jc w:val="both"/>
        <w:rPr>
          <w:rFonts w:ascii="Abadi" w:hAnsi="Abadi" w:cs="*Calibri-6756-Identity-H"/>
          <w:color w:val="1E1D22"/>
          <w:sz w:val="21"/>
          <w:szCs w:val="21"/>
        </w:rPr>
      </w:pPr>
      <w:r w:rsidRPr="007C2763">
        <w:rPr>
          <w:rFonts w:ascii="Abadi" w:hAnsi="Abadi" w:cs="*Calibri-6756-Identity-H"/>
          <w:color w:val="1E1D22"/>
          <w:sz w:val="21"/>
          <w:szCs w:val="21"/>
        </w:rPr>
        <w:t>Se obtuvo respuesta de la Secretaría de Seguridad Pública, misma que sugiere revisar la constitucionalidad de la propuesta, pues: (i) se fija multa administrativa que excede del importe del salario d</w:t>
      </w:r>
      <w:r w:rsidRPr="007C2763">
        <w:rPr>
          <w:rFonts w:ascii="Abadi" w:eastAsia="Abadi" w:hAnsi="Abadi" w:cs="Abadi" w:hint="eastAsia"/>
          <w:color w:val="1E1D22"/>
          <w:sz w:val="21"/>
          <w:szCs w:val="21"/>
        </w:rPr>
        <w:t>􀀾</w:t>
      </w:r>
      <w:r w:rsidRPr="007C2763">
        <w:rPr>
          <w:rFonts w:ascii="Abadi" w:hAnsi="Abadi" w:cs="*Calibri-6756-Identity-H"/>
          <w:color w:val="1E1D22"/>
          <w:sz w:val="21"/>
          <w:szCs w:val="21"/>
        </w:rPr>
        <w:t xml:space="preserve"> un día; (</w:t>
      </w:r>
      <w:proofErr w:type="spellStart"/>
      <w:r w:rsidRPr="007C2763">
        <w:rPr>
          <w:rFonts w:ascii="Abadi" w:hAnsi="Abadi" w:cs="*Calibri-6756-Identity-H"/>
          <w:color w:val="1E1D22"/>
          <w:sz w:val="21"/>
          <w:szCs w:val="21"/>
        </w:rPr>
        <w:t>ii</w:t>
      </w:r>
      <w:proofErr w:type="spellEnd"/>
      <w:r w:rsidRPr="007C2763">
        <w:rPr>
          <w:rFonts w:ascii="Abadi" w:hAnsi="Abadi" w:cs="*Calibri-6756-Identity-H"/>
          <w:color w:val="1E1D22"/>
          <w:sz w:val="21"/>
          <w:szCs w:val="21"/>
        </w:rPr>
        <w:t>) Los Ayuntamientos son las autoridades competentes para determinar el monto de las multas; y (</w:t>
      </w:r>
      <w:proofErr w:type="spellStart"/>
      <w:r w:rsidRPr="007C2763">
        <w:rPr>
          <w:rFonts w:ascii="Abadi" w:hAnsi="Abadi" w:cs="*Calibri-6756-Identity-H"/>
          <w:color w:val="1E1D22"/>
          <w:sz w:val="21"/>
          <w:szCs w:val="21"/>
        </w:rPr>
        <w:t>iii</w:t>
      </w:r>
      <w:proofErr w:type="spellEnd"/>
      <w:r w:rsidRPr="007C2763">
        <w:rPr>
          <w:rFonts w:ascii="Abadi" w:hAnsi="Abadi" w:cs="*Calibri-6756-Identity-H"/>
          <w:color w:val="1E1D22"/>
          <w:sz w:val="21"/>
          <w:szCs w:val="21"/>
        </w:rPr>
        <w:t>) la sanción que se pretende imponer ya se encuentra dentro de los parámetros referidos en el mismo numeral que se reforma.</w:t>
      </w:r>
    </w:p>
    <w:p w14:paraId="72F3BA33" w14:textId="77777777" w:rsidR="00DF3BF0" w:rsidRPr="007C2763" w:rsidRDefault="00DF3BF0" w:rsidP="00DF3BF0">
      <w:pPr>
        <w:autoSpaceDE w:val="0"/>
        <w:autoSpaceDN w:val="0"/>
        <w:adjustRightInd w:val="0"/>
        <w:jc w:val="both"/>
        <w:rPr>
          <w:rFonts w:ascii="Abadi" w:hAnsi="Abadi" w:cs="*Calibri-6756-Identity-H"/>
          <w:color w:val="1E1D22"/>
          <w:sz w:val="21"/>
          <w:szCs w:val="21"/>
        </w:rPr>
      </w:pPr>
    </w:p>
    <w:p w14:paraId="0B3B2FFD" w14:textId="77777777" w:rsidR="00DF3BF0" w:rsidRPr="007C2763" w:rsidRDefault="00DF3BF0" w:rsidP="00DF3BF0">
      <w:pPr>
        <w:autoSpaceDE w:val="0"/>
        <w:autoSpaceDN w:val="0"/>
        <w:adjustRightInd w:val="0"/>
        <w:jc w:val="both"/>
        <w:rPr>
          <w:rFonts w:ascii="Abadi" w:hAnsi="Abadi" w:cs="*Microsoft Sans Serif-6759-Iden"/>
          <w:color w:val="1C1B22"/>
          <w:sz w:val="21"/>
          <w:szCs w:val="21"/>
        </w:rPr>
      </w:pPr>
      <w:r w:rsidRPr="007C2763">
        <w:rPr>
          <w:rFonts w:ascii="Abadi" w:hAnsi="Abadi" w:cs="*Microsoft Sans Serif-6759-Iden"/>
          <w:b/>
          <w:bCs/>
          <w:color w:val="1C1B22"/>
          <w:sz w:val="21"/>
          <w:szCs w:val="21"/>
        </w:rPr>
        <w:t>1.4.</w:t>
      </w:r>
      <w:r w:rsidRPr="007C2763">
        <w:rPr>
          <w:rFonts w:ascii="Abadi" w:hAnsi="Abadi" w:cs="*Microsoft Sans Serif-6759-Iden"/>
          <w:color w:val="1C1B22"/>
          <w:sz w:val="21"/>
          <w:szCs w:val="21"/>
        </w:rPr>
        <w:t xml:space="preserve"> En seguimiento a la metodología referida, se celebró una mesa de trabajo con los integrantes de la comisión y los asesores de diversos grupos parlamentarios en fecha 20 de abril de 2022, en la que fueron compartidas las opiniones anteriormente señaladas, resultando como pronunciamientos de atención a las mismas, lo siguiente:</w:t>
      </w:r>
    </w:p>
    <w:p w14:paraId="78ACC151" w14:textId="77777777" w:rsidR="00DF3BF0" w:rsidRPr="007C2763" w:rsidRDefault="00DF3BF0" w:rsidP="00DF3BF0">
      <w:pPr>
        <w:autoSpaceDE w:val="0"/>
        <w:autoSpaceDN w:val="0"/>
        <w:adjustRightInd w:val="0"/>
        <w:jc w:val="both"/>
        <w:rPr>
          <w:rFonts w:ascii="Abadi" w:hAnsi="Abadi" w:cs="*Microsoft Sans Serif-6759-Iden"/>
          <w:color w:val="1C1B22"/>
          <w:sz w:val="21"/>
          <w:szCs w:val="21"/>
        </w:rPr>
      </w:pPr>
    </w:p>
    <w:p w14:paraId="16813A69" w14:textId="77777777" w:rsidR="00DF3BF0" w:rsidRPr="007C2763" w:rsidRDefault="00DF3BF0" w:rsidP="00210305">
      <w:pPr>
        <w:pStyle w:val="Prrafodelista"/>
        <w:numPr>
          <w:ilvl w:val="0"/>
          <w:numId w:val="64"/>
        </w:numPr>
        <w:autoSpaceDE w:val="0"/>
        <w:autoSpaceDN w:val="0"/>
        <w:adjustRightInd w:val="0"/>
        <w:jc w:val="both"/>
        <w:rPr>
          <w:rFonts w:ascii="Abadi" w:hAnsi="Abadi" w:cs="*Calibri-7506-Identity-H"/>
          <w:color w:val="18171D"/>
          <w:sz w:val="21"/>
          <w:szCs w:val="21"/>
        </w:rPr>
      </w:pPr>
      <w:r w:rsidRPr="007C2763">
        <w:rPr>
          <w:rFonts w:ascii="Abadi" w:hAnsi="Abadi" w:cs="*Calibri-6756-Identity-H"/>
          <w:color w:val="201F25"/>
          <w:sz w:val="21"/>
          <w:szCs w:val="21"/>
        </w:rPr>
        <w:t xml:space="preserve">No se coincide con la observación relativa a que la propuesta del iniciante pretende regular y en su caso imponer doble sanción sobre un mismo supuesto jurídico; ello es así pues en la distribución de atribuciones de las autoridades señaladas en la Ley de mérito y los hechos jurídicos a los que se </w:t>
      </w:r>
      <w:r w:rsidRPr="007C2763">
        <w:rPr>
          <w:rFonts w:ascii="Abadi" w:hAnsi="Abadi" w:cs="*Calibri-7506-Identity-H"/>
          <w:color w:val="18171D"/>
          <w:sz w:val="21"/>
          <w:szCs w:val="21"/>
        </w:rPr>
        <w:t>ha hecho referencia, se observa que es clara la diferencia y correspondiente Intervención entre primero, lo relativos a emitir visiblemente contaminantes y respecto de aquellos correspondiente a no contar con la constancia o distintivo que acredite el cumplimiento de la obligación de verificación, y que precisamente este último es objeto de interés y materia de la iniciativa.</w:t>
      </w:r>
    </w:p>
    <w:p w14:paraId="76AA9CE4" w14:textId="77777777" w:rsidR="00DF3BF0" w:rsidRPr="007C2763" w:rsidRDefault="00DF3BF0" w:rsidP="00210305">
      <w:pPr>
        <w:pStyle w:val="Prrafodelista"/>
        <w:numPr>
          <w:ilvl w:val="0"/>
          <w:numId w:val="64"/>
        </w:numPr>
        <w:autoSpaceDE w:val="0"/>
        <w:autoSpaceDN w:val="0"/>
        <w:adjustRightInd w:val="0"/>
        <w:jc w:val="both"/>
        <w:rPr>
          <w:rFonts w:ascii="Abadi" w:hAnsi="Abadi" w:cs="*Calibri-7506-Identity-H"/>
          <w:color w:val="18181C"/>
          <w:sz w:val="21"/>
          <w:szCs w:val="21"/>
        </w:rPr>
      </w:pPr>
      <w:r w:rsidRPr="007C2763">
        <w:rPr>
          <w:rFonts w:ascii="Abadi" w:hAnsi="Abadi" w:cs="*Calibri-7506-Identity-H"/>
          <w:color w:val="18181C"/>
          <w:sz w:val="21"/>
          <w:szCs w:val="21"/>
        </w:rPr>
        <w:t xml:space="preserve">Se complementa la anterior aseveración y además se puntualiza que, con la presente reforma, de aprobarse, se estará dotando de certeza jurídica al dejar claro cuál será el parámetro, homologado en todos los municipios de esta entidad federativa, sobre el cual los </w:t>
      </w:r>
      <w:r w:rsidRPr="007C2763">
        <w:rPr>
          <w:rFonts w:ascii="Abadi" w:hAnsi="Abadi" w:cs="*Verdana-Italic-7510-Identity-H"/>
          <w:color w:val="18181C"/>
          <w:sz w:val="21"/>
          <w:szCs w:val="21"/>
        </w:rPr>
        <w:t>ayuntamientos</w:t>
      </w:r>
      <w:r w:rsidRPr="007C2763">
        <w:rPr>
          <w:rFonts w:ascii="Abadi" w:hAnsi="Abadi" w:cs="*Verdana-Italic-7510-Identity-H"/>
          <w:i/>
          <w:iCs/>
          <w:color w:val="18181C"/>
          <w:sz w:val="21"/>
          <w:szCs w:val="21"/>
        </w:rPr>
        <w:t xml:space="preserve"> </w:t>
      </w:r>
      <w:r w:rsidRPr="007C2763">
        <w:rPr>
          <w:rFonts w:ascii="Abadi" w:hAnsi="Abadi" w:cs="*Calibri-7506-Identity-H"/>
          <w:color w:val="18181C"/>
          <w:sz w:val="21"/>
          <w:szCs w:val="21"/>
        </w:rPr>
        <w:t>deberán establecer mediante el correspondiente reglamento, y en su caso aplicar a través de la unidad administrativa municipal que determine competente, la sanción económica que corresponderá específicamente por no contar con la constancia o distintivo que acredite el cumplimiento de la obligación de verificación.</w:t>
      </w:r>
    </w:p>
    <w:p w14:paraId="0A51D35D" w14:textId="77777777" w:rsidR="00DF3BF0" w:rsidRPr="007C2763" w:rsidRDefault="00DF3BF0" w:rsidP="00DF3BF0">
      <w:pPr>
        <w:autoSpaceDE w:val="0"/>
        <w:autoSpaceDN w:val="0"/>
        <w:adjustRightInd w:val="0"/>
        <w:jc w:val="both"/>
        <w:rPr>
          <w:rFonts w:ascii="Abadi" w:hAnsi="Abadi" w:cs="*Calibri-7506-Identity-H"/>
          <w:color w:val="18181C"/>
          <w:sz w:val="21"/>
          <w:szCs w:val="21"/>
        </w:rPr>
      </w:pPr>
    </w:p>
    <w:p w14:paraId="00264612" w14:textId="77777777" w:rsidR="00DF3BF0" w:rsidRPr="007C2763" w:rsidRDefault="00DF3BF0" w:rsidP="00DF3BF0">
      <w:pPr>
        <w:autoSpaceDE w:val="0"/>
        <w:autoSpaceDN w:val="0"/>
        <w:adjustRightInd w:val="0"/>
        <w:jc w:val="both"/>
        <w:rPr>
          <w:rFonts w:ascii="Abadi" w:hAnsi="Abadi" w:cs="*Courier New-7508-Identity-H"/>
          <w:color w:val="17161E"/>
          <w:sz w:val="21"/>
          <w:szCs w:val="21"/>
        </w:rPr>
      </w:pPr>
      <w:r w:rsidRPr="007C2763">
        <w:rPr>
          <w:rFonts w:ascii="Abadi" w:hAnsi="Abadi" w:cs="*Calibri-Bold-7505-Identity-H"/>
          <w:b/>
          <w:bCs/>
          <w:color w:val="17161E"/>
          <w:sz w:val="21"/>
          <w:szCs w:val="21"/>
        </w:rPr>
        <w:t xml:space="preserve">1.5. </w:t>
      </w:r>
      <w:r w:rsidRPr="007C2763">
        <w:rPr>
          <w:rFonts w:ascii="Abadi" w:hAnsi="Abadi" w:cs="*Courier New-7508-Identity-H"/>
          <w:color w:val="17161E"/>
          <w:sz w:val="21"/>
          <w:szCs w:val="21"/>
        </w:rPr>
        <w:t>De conformidad al referido análisis y tomando en consideración lo propuesto en la mesa, la presidencia de la Comisión de Seguridad Pública y Comunicaciones instruyó a la Secretaría Técnica para que elaborara el proyecto de dictamen en sentido positivo, conforme con lo dispuesto en los artículos 94, fracción VII y 272, fracción VIII inciso e) de nuestra Ley Orgánica, mismo que fue materia de revisión por los diputados y la diputada integrantes de esta comisión dictaminadora.</w:t>
      </w:r>
    </w:p>
    <w:p w14:paraId="575AC541" w14:textId="77777777" w:rsidR="00DF3BF0" w:rsidRPr="007C2763" w:rsidRDefault="00DF3BF0" w:rsidP="00DF3BF0">
      <w:pPr>
        <w:autoSpaceDE w:val="0"/>
        <w:autoSpaceDN w:val="0"/>
        <w:adjustRightInd w:val="0"/>
        <w:jc w:val="both"/>
        <w:rPr>
          <w:rFonts w:ascii="Abadi" w:hAnsi="Abadi" w:cs="*Calibri-Bold-7505-Identity-H"/>
          <w:b/>
          <w:bCs/>
          <w:color w:val="14131F"/>
          <w:sz w:val="21"/>
          <w:szCs w:val="21"/>
        </w:rPr>
      </w:pPr>
    </w:p>
    <w:p w14:paraId="504E289A" w14:textId="77777777" w:rsidR="00DF3BF0" w:rsidRPr="007C2763" w:rsidRDefault="00DF3BF0" w:rsidP="00DF3BF0">
      <w:pPr>
        <w:autoSpaceDE w:val="0"/>
        <w:autoSpaceDN w:val="0"/>
        <w:adjustRightInd w:val="0"/>
        <w:jc w:val="both"/>
        <w:rPr>
          <w:rFonts w:ascii="Abadi" w:hAnsi="Abadi" w:cs="*Calibri-Bold-7505-Identity-H"/>
          <w:b/>
          <w:bCs/>
          <w:color w:val="14131F"/>
          <w:sz w:val="21"/>
          <w:szCs w:val="21"/>
        </w:rPr>
      </w:pPr>
      <w:r w:rsidRPr="007C2763">
        <w:rPr>
          <w:rFonts w:ascii="Abadi" w:hAnsi="Abadi" w:cs="*Calibri-Bold-7505-Identity-H"/>
          <w:b/>
          <w:bCs/>
          <w:color w:val="14131F"/>
          <w:sz w:val="21"/>
          <w:szCs w:val="21"/>
        </w:rPr>
        <w:t>II. Valoración de la iniciativa y consideraciones de la Comisión de</w:t>
      </w:r>
    </w:p>
    <w:p w14:paraId="617889F0" w14:textId="77777777" w:rsidR="00DF3BF0" w:rsidRPr="007C2763" w:rsidRDefault="00DF3BF0" w:rsidP="00DF3BF0">
      <w:pPr>
        <w:tabs>
          <w:tab w:val="left" w:pos="837"/>
        </w:tabs>
        <w:kinsoku w:val="0"/>
        <w:overflowPunct w:val="0"/>
        <w:autoSpaceDE w:val="0"/>
        <w:autoSpaceDN w:val="0"/>
        <w:adjustRightInd w:val="0"/>
        <w:spacing w:before="41"/>
        <w:jc w:val="both"/>
        <w:rPr>
          <w:rFonts w:ascii="Abadi" w:hAnsi="Abadi" w:cs="*Calibri-Bold-7505-Identity-H"/>
          <w:b/>
          <w:bCs/>
          <w:color w:val="141320"/>
          <w:sz w:val="21"/>
          <w:szCs w:val="21"/>
        </w:rPr>
      </w:pPr>
      <w:r w:rsidRPr="007C2763">
        <w:rPr>
          <w:rFonts w:ascii="Abadi" w:hAnsi="Abadi" w:cs="*Calibri-Bold-7505-Identity-H"/>
          <w:b/>
          <w:bCs/>
          <w:color w:val="141320"/>
          <w:sz w:val="21"/>
          <w:szCs w:val="21"/>
        </w:rPr>
        <w:t>Seguridad Pública y Comunicaciones.</w:t>
      </w:r>
    </w:p>
    <w:p w14:paraId="6850AEE7" w14:textId="77777777" w:rsidR="00DF3BF0" w:rsidRPr="007C2763" w:rsidRDefault="00DF3BF0" w:rsidP="00DF3BF0">
      <w:pPr>
        <w:tabs>
          <w:tab w:val="left" w:pos="837"/>
        </w:tabs>
        <w:kinsoku w:val="0"/>
        <w:overflowPunct w:val="0"/>
        <w:autoSpaceDE w:val="0"/>
        <w:autoSpaceDN w:val="0"/>
        <w:adjustRightInd w:val="0"/>
        <w:spacing w:before="41"/>
        <w:jc w:val="both"/>
        <w:rPr>
          <w:rFonts w:ascii="Abadi" w:hAnsi="Abadi" w:cs="*Calibri-Bold-7505-Identity-H"/>
          <w:b/>
          <w:bCs/>
          <w:color w:val="141320"/>
          <w:sz w:val="21"/>
          <w:szCs w:val="21"/>
        </w:rPr>
      </w:pPr>
    </w:p>
    <w:p w14:paraId="7A52B146" w14:textId="77777777" w:rsidR="00DF3BF0" w:rsidRPr="007C2763" w:rsidRDefault="00DF3BF0" w:rsidP="00DF3BF0">
      <w:pPr>
        <w:autoSpaceDE w:val="0"/>
        <w:autoSpaceDN w:val="0"/>
        <w:adjustRightInd w:val="0"/>
        <w:ind w:firstLine="708"/>
        <w:jc w:val="both"/>
        <w:rPr>
          <w:rFonts w:ascii="Abadi" w:hAnsi="Abadi" w:cs="*Verdana-6329-Identity-H"/>
          <w:color w:val="17161D"/>
          <w:sz w:val="21"/>
          <w:szCs w:val="21"/>
        </w:rPr>
      </w:pPr>
      <w:r w:rsidRPr="007C2763">
        <w:rPr>
          <w:rFonts w:ascii="Abadi" w:hAnsi="Abadi" w:cs="*Verdana-6329-Identity-H"/>
          <w:color w:val="17161D"/>
          <w:sz w:val="21"/>
          <w:szCs w:val="21"/>
        </w:rPr>
        <w:t>Se propone la adición de un segundo párrafo al artículo 251 de la Ley de Movilidad del Estado de Guanajuato y sus Municipios, a efecto de homologar el margen de las multas que deberán establecer los ayuntamientos para sancionar económicamente a quienes no cuenten con la verificación vehicular.</w:t>
      </w:r>
    </w:p>
    <w:p w14:paraId="5167D712" w14:textId="77777777" w:rsidR="00DF3BF0" w:rsidRPr="007C2763" w:rsidRDefault="00DF3BF0" w:rsidP="00DF3BF0">
      <w:pPr>
        <w:autoSpaceDE w:val="0"/>
        <w:autoSpaceDN w:val="0"/>
        <w:adjustRightInd w:val="0"/>
        <w:jc w:val="both"/>
        <w:rPr>
          <w:rFonts w:ascii="Abadi" w:hAnsi="Abadi" w:cs="*Verdana-6329-Identity-H"/>
          <w:color w:val="17161C"/>
          <w:sz w:val="21"/>
          <w:szCs w:val="21"/>
        </w:rPr>
      </w:pPr>
    </w:p>
    <w:p w14:paraId="17B2A522" w14:textId="77777777" w:rsidR="00DF3BF0" w:rsidRPr="007C2763" w:rsidRDefault="00DF3BF0" w:rsidP="00DF3BF0">
      <w:pPr>
        <w:autoSpaceDE w:val="0"/>
        <w:autoSpaceDN w:val="0"/>
        <w:adjustRightInd w:val="0"/>
        <w:ind w:firstLine="708"/>
        <w:jc w:val="both"/>
        <w:rPr>
          <w:rFonts w:ascii="Abadi" w:hAnsi="Abadi" w:cs="*Verdana-6329-Identity-H"/>
          <w:color w:val="17161C"/>
          <w:sz w:val="21"/>
          <w:szCs w:val="21"/>
        </w:rPr>
      </w:pPr>
      <w:r w:rsidRPr="007C2763">
        <w:rPr>
          <w:rFonts w:ascii="Abadi" w:hAnsi="Abadi" w:cs="*Verdana-6329-Identity-H"/>
          <w:color w:val="17161C"/>
          <w:sz w:val="21"/>
          <w:szCs w:val="21"/>
        </w:rPr>
        <w:t>La finalidad es dotar a los municipios de más herramientas para cuidar el medio ambiente.</w:t>
      </w:r>
    </w:p>
    <w:p w14:paraId="3B75C9CA" w14:textId="77777777" w:rsidR="00DF3BF0" w:rsidRPr="007C2763" w:rsidRDefault="00DF3BF0" w:rsidP="00DF3BF0">
      <w:pPr>
        <w:autoSpaceDE w:val="0"/>
        <w:autoSpaceDN w:val="0"/>
        <w:adjustRightInd w:val="0"/>
        <w:jc w:val="both"/>
        <w:rPr>
          <w:rFonts w:ascii="Abadi" w:hAnsi="Abadi" w:cs="*Verdana-6329-Identity-H"/>
          <w:color w:val="17161C"/>
          <w:sz w:val="21"/>
          <w:szCs w:val="21"/>
        </w:rPr>
      </w:pPr>
    </w:p>
    <w:p w14:paraId="30CB2C51" w14:textId="77777777" w:rsidR="00DF3BF0" w:rsidRPr="007C2763" w:rsidRDefault="00DF3BF0" w:rsidP="00DF3BF0">
      <w:pPr>
        <w:autoSpaceDE w:val="0"/>
        <w:autoSpaceDN w:val="0"/>
        <w:adjustRightInd w:val="0"/>
        <w:ind w:firstLine="708"/>
        <w:jc w:val="both"/>
        <w:rPr>
          <w:rFonts w:ascii="Abadi" w:hAnsi="Abadi" w:cs="*Verdana-6329-Identity-H"/>
          <w:color w:val="18171E"/>
          <w:sz w:val="21"/>
          <w:szCs w:val="21"/>
        </w:rPr>
      </w:pPr>
      <w:r w:rsidRPr="007C2763">
        <w:rPr>
          <w:rFonts w:ascii="Abadi" w:hAnsi="Abadi" w:cs="*Verdana-6329-Identity-H"/>
          <w:color w:val="18171E"/>
          <w:sz w:val="21"/>
          <w:szCs w:val="21"/>
        </w:rPr>
        <w:t>En dicha iniciativa, se indicó:</w:t>
      </w:r>
    </w:p>
    <w:p w14:paraId="7D6FE269" w14:textId="77777777" w:rsidR="00DF3BF0" w:rsidRPr="007C2763" w:rsidRDefault="00DF3BF0" w:rsidP="00DF3BF0">
      <w:pPr>
        <w:autoSpaceDE w:val="0"/>
        <w:autoSpaceDN w:val="0"/>
        <w:adjustRightInd w:val="0"/>
        <w:ind w:firstLine="708"/>
        <w:jc w:val="both"/>
        <w:rPr>
          <w:rFonts w:ascii="Abadi" w:hAnsi="Abadi" w:cs="*Verdana-6329-Identity-H"/>
          <w:color w:val="18171E"/>
          <w:sz w:val="21"/>
          <w:szCs w:val="21"/>
        </w:rPr>
      </w:pPr>
    </w:p>
    <w:p w14:paraId="484DBED2" w14:textId="77777777" w:rsidR="00DF3BF0" w:rsidRPr="007C2763" w:rsidRDefault="00DF3BF0" w:rsidP="00DF3BF0">
      <w:pPr>
        <w:autoSpaceDE w:val="0"/>
        <w:autoSpaceDN w:val="0"/>
        <w:adjustRightInd w:val="0"/>
        <w:ind w:firstLine="708"/>
        <w:jc w:val="both"/>
        <w:rPr>
          <w:rFonts w:ascii="Abadi" w:hAnsi="Abadi" w:cs="*Calibri-Italic-6324-Identity-H"/>
          <w:i/>
          <w:iCs/>
          <w:color w:val="1B1B1E"/>
          <w:sz w:val="21"/>
          <w:szCs w:val="21"/>
        </w:rPr>
      </w:pPr>
      <w:r w:rsidRPr="007C2763">
        <w:rPr>
          <w:rFonts w:ascii="Abadi" w:hAnsi="Abadi" w:cs="*Calibri-Italic-6324-Identity-H"/>
          <w:i/>
          <w:iCs/>
          <w:color w:val="1B1B1E"/>
          <w:sz w:val="21"/>
          <w:szCs w:val="21"/>
        </w:rPr>
        <w:t>«(. ..)</w:t>
      </w:r>
    </w:p>
    <w:p w14:paraId="699E4EAF" w14:textId="77777777" w:rsidR="00DF3BF0" w:rsidRPr="007C2763" w:rsidRDefault="00DF3BF0" w:rsidP="00DF3BF0">
      <w:pPr>
        <w:autoSpaceDE w:val="0"/>
        <w:autoSpaceDN w:val="0"/>
        <w:adjustRightInd w:val="0"/>
        <w:jc w:val="both"/>
        <w:rPr>
          <w:rFonts w:ascii="Abadi" w:hAnsi="Abadi" w:cs="*Calibri-Italic-6324-Identity-H"/>
          <w:i/>
          <w:iCs/>
          <w:color w:val="1B1B1E"/>
          <w:sz w:val="21"/>
          <w:szCs w:val="21"/>
        </w:rPr>
      </w:pPr>
    </w:p>
    <w:p w14:paraId="793D8BF4" w14:textId="77777777" w:rsidR="00DF3BF0" w:rsidRPr="007C2763" w:rsidRDefault="00DF3BF0" w:rsidP="00DF3BF0">
      <w:pPr>
        <w:autoSpaceDE w:val="0"/>
        <w:autoSpaceDN w:val="0"/>
        <w:adjustRightInd w:val="0"/>
        <w:ind w:firstLine="708"/>
        <w:jc w:val="both"/>
        <w:rPr>
          <w:rFonts w:ascii="Abadi" w:hAnsi="Abadi" w:cs="*Verdana-Italic-6328-Identity-H"/>
          <w:i/>
          <w:iCs/>
          <w:color w:val="18191F"/>
          <w:sz w:val="21"/>
          <w:szCs w:val="21"/>
        </w:rPr>
      </w:pPr>
      <w:r w:rsidRPr="007C2763">
        <w:rPr>
          <w:rFonts w:ascii="Abadi" w:hAnsi="Abadi" w:cs="*Verdana-Italic-6328-Identity-H"/>
          <w:i/>
          <w:iCs/>
          <w:color w:val="18191F"/>
          <w:sz w:val="21"/>
          <w:szCs w:val="21"/>
        </w:rPr>
        <w:t xml:space="preserve">La contaminación del aire tiene su origen en fuentes móviles, fijas y naturales. Las móviles, principalmente por automóviles, hacen emisiones al aire en trayectos </w:t>
      </w:r>
      <w:r w:rsidRPr="007C2763">
        <w:rPr>
          <w:rFonts w:ascii="Abadi" w:hAnsi="Abadi" w:cs="*Courier New-6326-Identity-H"/>
          <w:color w:val="18191F"/>
          <w:sz w:val="21"/>
          <w:szCs w:val="21"/>
        </w:rPr>
        <w:t xml:space="preserve">o </w:t>
      </w:r>
      <w:r w:rsidRPr="007C2763">
        <w:rPr>
          <w:rFonts w:ascii="Abadi" w:hAnsi="Abadi" w:cs="*Verdana-Italic-6328-Identity-H"/>
          <w:i/>
          <w:iCs/>
          <w:color w:val="18191F"/>
          <w:sz w:val="21"/>
          <w:szCs w:val="21"/>
        </w:rPr>
        <w:t xml:space="preserve">recorridos, las fijas en establecimientos, en un área </w:t>
      </w:r>
      <w:r w:rsidRPr="007C2763">
        <w:rPr>
          <w:rFonts w:ascii="Abadi" w:hAnsi="Abadi" w:cs="*Microsoft Sans Serif-6330-Iden"/>
          <w:color w:val="18191F"/>
          <w:sz w:val="21"/>
          <w:szCs w:val="21"/>
        </w:rPr>
        <w:t xml:space="preserve">o </w:t>
      </w:r>
      <w:r w:rsidRPr="007C2763">
        <w:rPr>
          <w:rFonts w:ascii="Abadi" w:hAnsi="Abadi" w:cs="*Verdana-Italic-6328-Identity-H"/>
          <w:i/>
          <w:iCs/>
          <w:color w:val="18191F"/>
          <w:sz w:val="21"/>
          <w:szCs w:val="21"/>
        </w:rPr>
        <w:t xml:space="preserve">punto y las naturales provienen </w:t>
      </w:r>
      <w:r w:rsidRPr="007C2763">
        <w:rPr>
          <w:rFonts w:ascii="Abadi" w:hAnsi="Abadi" w:cs="*Microsoft Sans Serif-6330-Iden"/>
          <w:color w:val="18191F"/>
          <w:sz w:val="21"/>
          <w:szCs w:val="21"/>
        </w:rPr>
        <w:t xml:space="preserve">de </w:t>
      </w:r>
      <w:r w:rsidRPr="007C2763">
        <w:rPr>
          <w:rFonts w:ascii="Abadi" w:hAnsi="Abadi" w:cs="*Verdana-Italic-6328-Identity-H"/>
          <w:i/>
          <w:iCs/>
          <w:color w:val="18191F"/>
          <w:sz w:val="21"/>
          <w:szCs w:val="21"/>
        </w:rPr>
        <w:t xml:space="preserve">ciclos naturales </w:t>
      </w:r>
      <w:r w:rsidRPr="007C2763">
        <w:rPr>
          <w:rFonts w:ascii="Abadi" w:hAnsi="Abadi" w:cs="*Microsoft Sans Serif-6330-Iden"/>
          <w:color w:val="18191F"/>
          <w:sz w:val="21"/>
          <w:szCs w:val="21"/>
        </w:rPr>
        <w:t xml:space="preserve">de </w:t>
      </w:r>
      <w:r w:rsidRPr="007C2763">
        <w:rPr>
          <w:rFonts w:ascii="Abadi" w:hAnsi="Abadi" w:cs="*Verdana-Italic-6328-Identity-H"/>
          <w:i/>
          <w:iCs/>
          <w:color w:val="18191F"/>
          <w:sz w:val="21"/>
          <w:szCs w:val="21"/>
        </w:rPr>
        <w:t>la tierra, por</w:t>
      </w:r>
    </w:p>
    <w:p w14:paraId="492EFD8F" w14:textId="77777777" w:rsidR="00DF3BF0" w:rsidRPr="007C2763" w:rsidRDefault="00DF3BF0" w:rsidP="00DF3BF0">
      <w:pPr>
        <w:autoSpaceDE w:val="0"/>
        <w:autoSpaceDN w:val="0"/>
        <w:adjustRightInd w:val="0"/>
        <w:jc w:val="both"/>
        <w:rPr>
          <w:rFonts w:ascii="Abadi" w:hAnsi="Abadi" w:cs="*Verdana-Italic-6328-Identity-H"/>
          <w:i/>
          <w:iCs/>
          <w:color w:val="18191F"/>
          <w:sz w:val="21"/>
          <w:szCs w:val="21"/>
        </w:rPr>
      </w:pPr>
      <w:r w:rsidRPr="007C2763">
        <w:rPr>
          <w:rFonts w:ascii="Abadi" w:hAnsi="Abadi" w:cs="*Verdana-Italic-6328-Identity-H"/>
          <w:i/>
          <w:iCs/>
          <w:color w:val="18191F"/>
          <w:sz w:val="21"/>
          <w:szCs w:val="21"/>
        </w:rPr>
        <w:t>ejemplo, polvo, incendios forestales, el metano, entre otros.</w:t>
      </w:r>
    </w:p>
    <w:p w14:paraId="2AC242C6" w14:textId="77777777" w:rsidR="00DF3BF0" w:rsidRPr="007C2763" w:rsidRDefault="00DF3BF0" w:rsidP="00DF3BF0">
      <w:pPr>
        <w:autoSpaceDE w:val="0"/>
        <w:autoSpaceDN w:val="0"/>
        <w:adjustRightInd w:val="0"/>
        <w:jc w:val="both"/>
        <w:rPr>
          <w:rFonts w:ascii="Abadi" w:hAnsi="Abadi" w:cs="*Verdana-Italic-6328-Identity-H"/>
          <w:i/>
          <w:iCs/>
          <w:color w:val="18191F"/>
          <w:sz w:val="21"/>
          <w:szCs w:val="21"/>
        </w:rPr>
      </w:pPr>
    </w:p>
    <w:p w14:paraId="79886803" w14:textId="77777777" w:rsidR="00DF3BF0" w:rsidRPr="007C2763" w:rsidRDefault="00DF3BF0" w:rsidP="00DF3BF0">
      <w:pPr>
        <w:autoSpaceDE w:val="0"/>
        <w:autoSpaceDN w:val="0"/>
        <w:adjustRightInd w:val="0"/>
        <w:jc w:val="both"/>
        <w:rPr>
          <w:rFonts w:ascii="Abadi" w:hAnsi="Abadi" w:cs="*Verdana-Italic-6328-Identity-H"/>
          <w:i/>
          <w:iCs/>
          <w:color w:val="19171E"/>
          <w:sz w:val="21"/>
          <w:szCs w:val="21"/>
        </w:rPr>
      </w:pPr>
      <w:r w:rsidRPr="007C2763">
        <w:rPr>
          <w:rFonts w:ascii="Abadi" w:hAnsi="Abadi" w:cs="*Verdana-Italic-6328-Identity-H"/>
          <w:i/>
          <w:iCs/>
          <w:color w:val="19171E"/>
          <w:sz w:val="21"/>
          <w:szCs w:val="21"/>
        </w:rPr>
        <w:t xml:space="preserve">Pero resulta alarmante </w:t>
      </w:r>
      <w:r w:rsidRPr="007C2763">
        <w:rPr>
          <w:rFonts w:ascii="Abadi" w:hAnsi="Abadi" w:cs="*Courier New-6326-Identity-H"/>
          <w:color w:val="19171E"/>
          <w:sz w:val="21"/>
          <w:szCs w:val="21"/>
        </w:rPr>
        <w:t xml:space="preserve">como </w:t>
      </w:r>
      <w:r w:rsidRPr="007C2763">
        <w:rPr>
          <w:rFonts w:ascii="Abadi" w:hAnsi="Abadi" w:cs="*Verdana-Italic-6328-Identity-H"/>
          <w:i/>
          <w:iCs/>
          <w:color w:val="19171E"/>
          <w:sz w:val="21"/>
          <w:szCs w:val="21"/>
        </w:rPr>
        <w:t>actividades particulares generan</w:t>
      </w:r>
      <w:r w:rsidRPr="007C2763">
        <w:rPr>
          <w:rFonts w:ascii="Abadi" w:hAnsi="Abadi" w:cs="*Verdana-Italic-6328-Identity-H"/>
          <w:i/>
          <w:iCs/>
          <w:color w:val="18191F"/>
          <w:sz w:val="21"/>
          <w:szCs w:val="21"/>
        </w:rPr>
        <w:t xml:space="preserve"> </w:t>
      </w:r>
      <w:r w:rsidRPr="007C2763">
        <w:rPr>
          <w:rFonts w:ascii="Abadi" w:hAnsi="Abadi" w:cs="*Verdana-Italic-6328-Identity-H"/>
          <w:i/>
          <w:iCs/>
          <w:color w:val="19171E"/>
          <w:sz w:val="21"/>
          <w:szCs w:val="21"/>
        </w:rPr>
        <w:t xml:space="preserve">resultados negativos en la contaminación del aire en el estado de Guanajuato. Hay diversos factores humanos que los provocan la quema </w:t>
      </w:r>
      <w:r w:rsidRPr="007C2763">
        <w:rPr>
          <w:rFonts w:ascii="Abadi" w:hAnsi="Abadi" w:cs="*Microsoft Sans Serif-6330-Iden"/>
          <w:color w:val="19171E"/>
          <w:sz w:val="21"/>
          <w:szCs w:val="21"/>
        </w:rPr>
        <w:t xml:space="preserve">de </w:t>
      </w:r>
      <w:r w:rsidRPr="007C2763">
        <w:rPr>
          <w:rFonts w:ascii="Abadi" w:hAnsi="Abadi" w:cs="*Verdana-Italic-6328-Identity-H"/>
          <w:i/>
          <w:iCs/>
          <w:color w:val="19171E"/>
          <w:sz w:val="21"/>
          <w:szCs w:val="21"/>
        </w:rPr>
        <w:t xml:space="preserve">esquilmos, incendios en pastizales, uso </w:t>
      </w:r>
      <w:r w:rsidRPr="007C2763">
        <w:rPr>
          <w:rFonts w:ascii="Abadi" w:hAnsi="Abadi" w:cs="*Microsoft Sans Serif-6330-Iden"/>
          <w:color w:val="19171E"/>
          <w:sz w:val="21"/>
          <w:szCs w:val="21"/>
        </w:rPr>
        <w:t xml:space="preserve">de </w:t>
      </w:r>
      <w:r w:rsidRPr="007C2763">
        <w:rPr>
          <w:rFonts w:ascii="Abadi" w:hAnsi="Abadi" w:cs="*Verdana-Italic-6328-Identity-H"/>
          <w:i/>
          <w:iCs/>
          <w:color w:val="19171E"/>
          <w:sz w:val="21"/>
          <w:szCs w:val="21"/>
        </w:rPr>
        <w:t xml:space="preserve">pirotecnia. Sin embargo, de acuerdo con el Sistema de Monitoreo </w:t>
      </w:r>
      <w:r w:rsidRPr="007C2763">
        <w:rPr>
          <w:rFonts w:ascii="Abadi" w:hAnsi="Abadi" w:cs="*Microsoft Sans Serif-6330-Iden"/>
          <w:color w:val="19171E"/>
          <w:sz w:val="21"/>
          <w:szCs w:val="21"/>
        </w:rPr>
        <w:t xml:space="preserve">de </w:t>
      </w:r>
      <w:r w:rsidRPr="007C2763">
        <w:rPr>
          <w:rFonts w:ascii="Abadi" w:hAnsi="Abadi" w:cs="*Verdana-Italic-6328-Identity-H"/>
          <w:i/>
          <w:iCs/>
          <w:color w:val="19171E"/>
          <w:sz w:val="21"/>
          <w:szCs w:val="21"/>
        </w:rPr>
        <w:t xml:space="preserve">la calidad del Aire del Estado </w:t>
      </w:r>
      <w:r w:rsidRPr="007C2763">
        <w:rPr>
          <w:rFonts w:ascii="Abadi" w:hAnsi="Abadi" w:cs="*Microsoft Sans Serif-6330-Iden"/>
          <w:color w:val="19171E"/>
          <w:sz w:val="21"/>
          <w:szCs w:val="21"/>
        </w:rPr>
        <w:t xml:space="preserve">de </w:t>
      </w:r>
      <w:r w:rsidRPr="007C2763">
        <w:rPr>
          <w:rFonts w:ascii="Abadi" w:hAnsi="Abadi" w:cs="*Verdana-Italic-6328-Identity-H"/>
          <w:i/>
          <w:iCs/>
          <w:color w:val="19171E"/>
          <w:sz w:val="21"/>
          <w:szCs w:val="21"/>
        </w:rPr>
        <w:t xml:space="preserve">Guanajuato {SIMEG}, la contaminación de los automóviles es la que </w:t>
      </w:r>
      <w:r w:rsidRPr="007C2763">
        <w:rPr>
          <w:rFonts w:ascii="Abadi" w:hAnsi="Abadi" w:cs="*Calibri-6323-Identity-H"/>
          <w:color w:val="19171E"/>
          <w:sz w:val="21"/>
          <w:szCs w:val="21"/>
        </w:rPr>
        <w:t xml:space="preserve">más </w:t>
      </w:r>
      <w:r w:rsidRPr="007C2763">
        <w:rPr>
          <w:rFonts w:ascii="Abadi" w:hAnsi="Abadi" w:cs="*Verdana-Italic-6328-Identity-H"/>
          <w:i/>
          <w:iCs/>
          <w:color w:val="19171E"/>
          <w:sz w:val="21"/>
          <w:szCs w:val="21"/>
        </w:rPr>
        <w:t xml:space="preserve">afecta la salud </w:t>
      </w:r>
      <w:r w:rsidRPr="007C2763">
        <w:rPr>
          <w:rFonts w:ascii="Abadi" w:hAnsi="Abadi" w:cs="*Microsoft Sans Serif-6330-Iden"/>
          <w:color w:val="19171E"/>
          <w:sz w:val="21"/>
          <w:szCs w:val="21"/>
        </w:rPr>
        <w:t xml:space="preserve">de </w:t>
      </w:r>
      <w:r w:rsidRPr="007C2763">
        <w:rPr>
          <w:rFonts w:ascii="Abadi" w:hAnsi="Abadi" w:cs="*Verdana-Italic-6328-Identity-H"/>
          <w:i/>
          <w:iCs/>
          <w:color w:val="19171E"/>
          <w:sz w:val="21"/>
          <w:szCs w:val="21"/>
        </w:rPr>
        <w:t>las personas.</w:t>
      </w:r>
    </w:p>
    <w:p w14:paraId="010B433D" w14:textId="77777777" w:rsidR="00DF3BF0" w:rsidRPr="007C2763" w:rsidRDefault="00DF3BF0" w:rsidP="00DF3BF0">
      <w:pPr>
        <w:tabs>
          <w:tab w:val="left" w:pos="837"/>
        </w:tabs>
        <w:kinsoku w:val="0"/>
        <w:overflowPunct w:val="0"/>
        <w:autoSpaceDE w:val="0"/>
        <w:autoSpaceDN w:val="0"/>
        <w:adjustRightInd w:val="0"/>
        <w:spacing w:before="41"/>
        <w:jc w:val="both"/>
        <w:rPr>
          <w:rFonts w:ascii="Abadi" w:hAnsi="Abadi" w:cs="*Verdana-Italic-6328-Identity-H"/>
          <w:i/>
          <w:iCs/>
          <w:color w:val="19171E"/>
          <w:sz w:val="21"/>
          <w:szCs w:val="21"/>
        </w:rPr>
      </w:pPr>
    </w:p>
    <w:p w14:paraId="281F3049" w14:textId="77777777" w:rsidR="00DF3BF0" w:rsidRPr="007C2763" w:rsidRDefault="00DF3BF0" w:rsidP="00DF3BF0">
      <w:pPr>
        <w:autoSpaceDE w:val="0"/>
        <w:autoSpaceDN w:val="0"/>
        <w:adjustRightInd w:val="0"/>
        <w:ind w:firstLine="708"/>
        <w:jc w:val="both"/>
        <w:rPr>
          <w:rFonts w:ascii="Abadi" w:hAnsi="Abadi" w:cs="*Tahoma-Italic-5942-Identity-H"/>
          <w:i/>
          <w:iCs/>
          <w:color w:val="201F24"/>
          <w:sz w:val="21"/>
          <w:szCs w:val="21"/>
        </w:rPr>
      </w:pPr>
      <w:r w:rsidRPr="007C2763">
        <w:rPr>
          <w:rFonts w:ascii="Abadi" w:hAnsi="Abadi" w:cs="*Tahoma-Italic-5942-Identity-H"/>
          <w:i/>
          <w:iCs/>
          <w:color w:val="201F24"/>
          <w:sz w:val="21"/>
          <w:szCs w:val="21"/>
        </w:rPr>
        <w:t xml:space="preserve">De acuerdo con los Datos del Padrón Vehicular del Estado de Guanajuato, al 31 de diciembre del 2021, se tenía un registro de </w:t>
      </w:r>
      <w:r w:rsidRPr="007C2763">
        <w:rPr>
          <w:rFonts w:ascii="Abadi" w:hAnsi="Abadi" w:cs="*Arial-5938-Identity-H"/>
          <w:color w:val="201F24"/>
          <w:sz w:val="21"/>
          <w:szCs w:val="21"/>
        </w:rPr>
        <w:t>2</w:t>
      </w:r>
      <w:r w:rsidRPr="007C2763">
        <w:rPr>
          <w:rFonts w:ascii="Abadi" w:hAnsi="Abadi" w:cs="*Tahoma-Italic-5942-Identity-H"/>
          <w:i/>
          <w:iCs/>
          <w:color w:val="201F24"/>
          <w:sz w:val="21"/>
          <w:szCs w:val="21"/>
        </w:rPr>
        <w:t xml:space="preserve"> millones 231.</w:t>
      </w:r>
      <w:r w:rsidRPr="007C2763">
        <w:rPr>
          <w:rFonts w:ascii="Abadi" w:hAnsi="Abadi" w:cs="*Times New Roman-5936-Identity-"/>
          <w:color w:val="949494"/>
          <w:sz w:val="21"/>
          <w:szCs w:val="21"/>
        </w:rPr>
        <w:t xml:space="preserve"> </w:t>
      </w:r>
      <w:r w:rsidRPr="007C2763">
        <w:rPr>
          <w:rFonts w:ascii="Abadi" w:hAnsi="Abadi" w:cs="*Tahoma-Italic-5942-Identity-H"/>
          <w:i/>
          <w:iCs/>
          <w:color w:val="201F24"/>
          <w:sz w:val="21"/>
          <w:szCs w:val="21"/>
        </w:rPr>
        <w:t xml:space="preserve">mil 248 vehículos, de los cuales 1 millón </w:t>
      </w:r>
      <w:r w:rsidRPr="007C2763">
        <w:rPr>
          <w:rFonts w:ascii="Abadi" w:hAnsi="Abadi" w:cs="*Arial-5938-Identity-H"/>
          <w:color w:val="201F24"/>
          <w:sz w:val="21"/>
          <w:szCs w:val="21"/>
        </w:rPr>
        <w:t xml:space="preserve">822 </w:t>
      </w:r>
      <w:r w:rsidRPr="007C2763">
        <w:rPr>
          <w:rFonts w:ascii="Abadi" w:hAnsi="Abadi" w:cs="*Tahoma-Italic-5942-Identity-H"/>
          <w:i/>
          <w:iCs/>
          <w:color w:val="201F24"/>
          <w:sz w:val="21"/>
          <w:szCs w:val="21"/>
        </w:rPr>
        <w:t>mil 794 corresponde a automóviles, autobuses y camiones públicos y privados, y el resto corresponde a motocicletas y remolques.</w:t>
      </w:r>
    </w:p>
    <w:p w14:paraId="4F8C320B" w14:textId="77777777" w:rsidR="00DF3BF0" w:rsidRPr="007C2763" w:rsidRDefault="00DF3BF0" w:rsidP="00DF3BF0">
      <w:pPr>
        <w:autoSpaceDE w:val="0"/>
        <w:autoSpaceDN w:val="0"/>
        <w:adjustRightInd w:val="0"/>
        <w:ind w:firstLine="708"/>
        <w:jc w:val="both"/>
        <w:rPr>
          <w:rFonts w:ascii="Abadi" w:hAnsi="Abadi" w:cs="*Tahoma-Italic-5942-Identity-H"/>
          <w:i/>
          <w:iCs/>
          <w:color w:val="201F24"/>
          <w:sz w:val="21"/>
          <w:szCs w:val="21"/>
        </w:rPr>
      </w:pPr>
    </w:p>
    <w:p w14:paraId="5068A6F3" w14:textId="77777777" w:rsidR="00DF3BF0" w:rsidRPr="007C2763" w:rsidRDefault="00DF3BF0" w:rsidP="00DF3BF0">
      <w:pPr>
        <w:autoSpaceDE w:val="0"/>
        <w:autoSpaceDN w:val="0"/>
        <w:adjustRightInd w:val="0"/>
        <w:ind w:firstLine="708"/>
        <w:jc w:val="both"/>
        <w:rPr>
          <w:rFonts w:ascii="Abadi" w:hAnsi="Abadi" w:cs="*Tahoma-Italic-5942-Identity-H"/>
          <w:i/>
          <w:iCs/>
          <w:color w:val="1F1E24"/>
          <w:sz w:val="21"/>
          <w:szCs w:val="21"/>
        </w:rPr>
      </w:pPr>
      <w:r w:rsidRPr="007C2763">
        <w:rPr>
          <w:rFonts w:ascii="Abadi" w:hAnsi="Abadi" w:cs="*Tahoma-Italic-5942-Identity-H"/>
          <w:i/>
          <w:iCs/>
          <w:color w:val="1F1E24"/>
          <w:sz w:val="21"/>
          <w:szCs w:val="21"/>
        </w:rPr>
        <w:t xml:space="preserve">Una de las herramientas para controlar la propagación de una mala calidad del aire, es la verificación vehicular, un proceso que busca reducir las emisiones contaminantes de los vehículos motorizados, sobre todo en áreas urbanas y </w:t>
      </w:r>
      <w:r w:rsidRPr="007C2763">
        <w:rPr>
          <w:rFonts w:ascii="Abadi" w:hAnsi="Abadi" w:cs="*Courier New-5939-Identity-H"/>
          <w:color w:val="1F1E24"/>
          <w:sz w:val="21"/>
          <w:szCs w:val="21"/>
        </w:rPr>
        <w:t xml:space="preserve">con </w:t>
      </w:r>
      <w:r w:rsidRPr="007C2763">
        <w:rPr>
          <w:rFonts w:ascii="Abadi" w:hAnsi="Abadi" w:cs="*Tahoma-Italic-5942-Identity-H"/>
          <w:i/>
          <w:iCs/>
          <w:color w:val="1F1E24"/>
          <w:sz w:val="21"/>
          <w:szCs w:val="21"/>
        </w:rPr>
        <w:t>altos índices de polución.</w:t>
      </w:r>
    </w:p>
    <w:p w14:paraId="59D99D6E" w14:textId="77777777" w:rsidR="00DF3BF0" w:rsidRPr="007C2763" w:rsidRDefault="00DF3BF0" w:rsidP="00DF3BF0">
      <w:pPr>
        <w:autoSpaceDE w:val="0"/>
        <w:autoSpaceDN w:val="0"/>
        <w:adjustRightInd w:val="0"/>
        <w:jc w:val="both"/>
        <w:rPr>
          <w:rFonts w:ascii="Abadi" w:hAnsi="Abadi" w:cs="*Tahoma-Italic-5942-Identity-H"/>
          <w:i/>
          <w:iCs/>
          <w:color w:val="201F25"/>
          <w:sz w:val="21"/>
          <w:szCs w:val="21"/>
        </w:rPr>
      </w:pPr>
    </w:p>
    <w:p w14:paraId="0C79670C" w14:textId="77777777" w:rsidR="00DF3BF0" w:rsidRPr="007C2763" w:rsidRDefault="00DF3BF0" w:rsidP="00DF3BF0">
      <w:pPr>
        <w:autoSpaceDE w:val="0"/>
        <w:autoSpaceDN w:val="0"/>
        <w:adjustRightInd w:val="0"/>
        <w:ind w:firstLine="708"/>
        <w:jc w:val="both"/>
        <w:rPr>
          <w:rFonts w:ascii="Abadi" w:hAnsi="Abadi" w:cs="*Tahoma-Italic-5942-Identity-H"/>
          <w:i/>
          <w:iCs/>
          <w:color w:val="201F25"/>
          <w:sz w:val="21"/>
          <w:szCs w:val="21"/>
        </w:rPr>
      </w:pPr>
      <w:r w:rsidRPr="007C2763">
        <w:rPr>
          <w:rFonts w:ascii="Abadi" w:hAnsi="Abadi" w:cs="*Tahoma-Italic-5942-Identity-H"/>
          <w:i/>
          <w:iCs/>
          <w:color w:val="201F25"/>
          <w:sz w:val="21"/>
          <w:szCs w:val="21"/>
        </w:rPr>
        <w:t>Ahora bien, el Programa Estatal de Verificación Vehicular es un instrumento normativo de carácter obligatorio en todo el estado a través del cual se determinan los tiempos y formas a los que se sujetaran los obligados a verificar, favoreciendo la medición y el control de las emisiones a la atmósfera provenientes de vehículos automotores.</w:t>
      </w:r>
    </w:p>
    <w:p w14:paraId="5A51D4CD" w14:textId="77777777" w:rsidR="00DF3BF0" w:rsidRPr="007C2763" w:rsidRDefault="00DF3BF0" w:rsidP="00DF3BF0">
      <w:pPr>
        <w:autoSpaceDE w:val="0"/>
        <w:autoSpaceDN w:val="0"/>
        <w:adjustRightInd w:val="0"/>
        <w:ind w:firstLine="708"/>
        <w:jc w:val="both"/>
        <w:rPr>
          <w:rFonts w:ascii="Abadi" w:hAnsi="Abadi" w:cs="*Tahoma-Italic-5942-Identity-H"/>
          <w:i/>
          <w:iCs/>
          <w:color w:val="1F1F25"/>
          <w:sz w:val="21"/>
          <w:szCs w:val="21"/>
        </w:rPr>
      </w:pPr>
      <w:r w:rsidRPr="007C2763">
        <w:rPr>
          <w:rFonts w:ascii="Abadi" w:hAnsi="Abadi" w:cs="*Tahoma-Italic-5942-Identity-H"/>
          <w:i/>
          <w:iCs/>
          <w:color w:val="1F1F25"/>
          <w:sz w:val="21"/>
          <w:szCs w:val="21"/>
        </w:rPr>
        <w:t xml:space="preserve">De conformidad </w:t>
      </w:r>
      <w:r w:rsidRPr="007C2763">
        <w:rPr>
          <w:rFonts w:ascii="Abadi" w:hAnsi="Abadi" w:cs="*Courier New-5939-Identity-H"/>
          <w:color w:val="1F1F25"/>
          <w:sz w:val="21"/>
          <w:szCs w:val="21"/>
        </w:rPr>
        <w:t xml:space="preserve">con </w:t>
      </w:r>
      <w:r w:rsidRPr="007C2763">
        <w:rPr>
          <w:rFonts w:ascii="Abadi" w:hAnsi="Abadi" w:cs="*Tahoma-Italic-5942-Identity-H"/>
          <w:i/>
          <w:iCs/>
          <w:color w:val="1F1F25"/>
          <w:sz w:val="21"/>
          <w:szCs w:val="21"/>
        </w:rPr>
        <w:t xml:space="preserve">la Ley de Movilidad del Estado de Guanajuato y sus Municipios y la Ley para la Protección y la Ley de Preservación del Ambiente del Estado de Guanajuato, la verificación vehicular resulta obligatoria para obtener la constancia y distintivos tipo usual, debiendo realizarse semestralmente, sin embargo, durante el 2021 se registró 1 millón 71 mil 546 verificaciones, es decir únicamente 535 mil </w:t>
      </w:r>
      <w:r w:rsidRPr="007C2763">
        <w:rPr>
          <w:rFonts w:ascii="Abadi" w:hAnsi="Abadi" w:cs="*Arial-5938-Identity-H"/>
          <w:color w:val="1F1F25"/>
          <w:sz w:val="21"/>
          <w:szCs w:val="21"/>
        </w:rPr>
        <w:t xml:space="preserve">773 </w:t>
      </w:r>
      <w:r w:rsidRPr="007C2763">
        <w:rPr>
          <w:rFonts w:ascii="Abadi" w:hAnsi="Abadi" w:cs="*Tahoma-Italic-5942-Identity-H"/>
          <w:i/>
          <w:iCs/>
          <w:color w:val="1F1F25"/>
          <w:sz w:val="21"/>
          <w:szCs w:val="21"/>
        </w:rPr>
        <w:t xml:space="preserve">personas cumplieron </w:t>
      </w:r>
      <w:r w:rsidRPr="007C2763">
        <w:rPr>
          <w:rFonts w:ascii="Abadi" w:hAnsi="Abadi" w:cs="*Courier New-5939-Identity-H"/>
          <w:color w:val="1F1F25"/>
          <w:sz w:val="21"/>
          <w:szCs w:val="21"/>
        </w:rPr>
        <w:t xml:space="preserve">con </w:t>
      </w:r>
      <w:r w:rsidRPr="007C2763">
        <w:rPr>
          <w:rFonts w:ascii="Abadi" w:hAnsi="Abadi" w:cs="*Tahoma-Italic-5942-Identity-H"/>
          <w:i/>
          <w:iCs/>
          <w:color w:val="1F1F25"/>
          <w:sz w:val="21"/>
          <w:szCs w:val="21"/>
        </w:rPr>
        <w:t>esta obligación.</w:t>
      </w:r>
    </w:p>
    <w:p w14:paraId="105DB3E9" w14:textId="77777777" w:rsidR="00DF3BF0" w:rsidRPr="007C2763" w:rsidRDefault="00DF3BF0" w:rsidP="00DF3BF0">
      <w:pPr>
        <w:autoSpaceDE w:val="0"/>
        <w:autoSpaceDN w:val="0"/>
        <w:adjustRightInd w:val="0"/>
        <w:jc w:val="both"/>
        <w:rPr>
          <w:rFonts w:ascii="Abadi" w:hAnsi="Abadi" w:cs="*Tahoma-Italic-5942-Identity-H"/>
          <w:i/>
          <w:iCs/>
          <w:color w:val="212026"/>
          <w:sz w:val="21"/>
          <w:szCs w:val="21"/>
        </w:rPr>
      </w:pPr>
    </w:p>
    <w:p w14:paraId="75CBB9A6" w14:textId="77777777" w:rsidR="00DF3BF0" w:rsidRPr="007C2763" w:rsidRDefault="00DF3BF0" w:rsidP="00DF3BF0">
      <w:pPr>
        <w:autoSpaceDE w:val="0"/>
        <w:autoSpaceDN w:val="0"/>
        <w:adjustRightInd w:val="0"/>
        <w:ind w:firstLine="708"/>
        <w:jc w:val="both"/>
        <w:rPr>
          <w:rFonts w:ascii="Abadi" w:hAnsi="Abadi" w:cs="*Microsoft Sans Serif-Italic-64"/>
          <w:i/>
          <w:iCs/>
          <w:color w:val="1F1F24"/>
          <w:sz w:val="21"/>
          <w:szCs w:val="21"/>
        </w:rPr>
      </w:pPr>
      <w:r w:rsidRPr="007C2763">
        <w:rPr>
          <w:rFonts w:ascii="Abadi" w:hAnsi="Abadi" w:cs="*Tahoma-Italic-5942-Identity-H"/>
          <w:i/>
          <w:iCs/>
          <w:color w:val="212026"/>
          <w:sz w:val="21"/>
          <w:szCs w:val="21"/>
        </w:rPr>
        <w:t xml:space="preserve">Pero </w:t>
      </w:r>
      <w:r w:rsidRPr="007C2763">
        <w:rPr>
          <w:rFonts w:ascii="Abadi" w:hAnsi="Abadi" w:cs="*Courier New-5939-Identity-H"/>
          <w:color w:val="212026"/>
          <w:sz w:val="21"/>
          <w:szCs w:val="21"/>
        </w:rPr>
        <w:t xml:space="preserve">como </w:t>
      </w:r>
      <w:r w:rsidRPr="007C2763">
        <w:rPr>
          <w:rFonts w:ascii="Abadi" w:hAnsi="Abadi" w:cs="*Tahoma-Italic-5942-Identity-H"/>
          <w:i/>
          <w:iCs/>
          <w:color w:val="212026"/>
          <w:sz w:val="21"/>
          <w:szCs w:val="21"/>
        </w:rPr>
        <w:t xml:space="preserve">se ha observado, existe mínima participación de la población para el cuidado de nuestro medio ambiente. Por ello, la </w:t>
      </w:r>
      <w:r w:rsidRPr="007C2763">
        <w:rPr>
          <w:rFonts w:ascii="Abadi" w:hAnsi="Abadi" w:cs="*Microsoft Sans Serif-Italic-64"/>
          <w:i/>
          <w:iCs/>
          <w:color w:val="1F1F24"/>
          <w:sz w:val="21"/>
          <w:szCs w:val="21"/>
        </w:rPr>
        <w:t xml:space="preserve">diputada y el diputado que integramos el Grupo Parlamentario del Partido Verde Ecologista de México presentamos esta iniciativa de reformas </w:t>
      </w:r>
      <w:r w:rsidRPr="007C2763">
        <w:rPr>
          <w:rFonts w:ascii="Abadi" w:hAnsi="Abadi" w:cs="*Times New Roman-6471-Identity-"/>
          <w:color w:val="1F1F24"/>
          <w:sz w:val="21"/>
          <w:szCs w:val="21"/>
        </w:rPr>
        <w:t xml:space="preserve">a </w:t>
      </w:r>
      <w:r w:rsidRPr="007C2763">
        <w:rPr>
          <w:rFonts w:ascii="Abadi" w:hAnsi="Abadi" w:cs="*Microsoft Sans Serif-Italic-64"/>
          <w:i/>
          <w:iCs/>
          <w:color w:val="1F1F24"/>
          <w:sz w:val="21"/>
          <w:szCs w:val="21"/>
        </w:rPr>
        <w:t>la Ley de Movilidad del Estado de Guanajuato y sus Municipios, para establecer una homologación en las multas por el incumplimiento de contar con el holograma que acredita la verificación vehicular.</w:t>
      </w:r>
    </w:p>
    <w:p w14:paraId="239E0480" w14:textId="77777777" w:rsidR="00DF3BF0" w:rsidRPr="007C2763" w:rsidRDefault="00DF3BF0" w:rsidP="00DF3BF0">
      <w:pPr>
        <w:autoSpaceDE w:val="0"/>
        <w:autoSpaceDN w:val="0"/>
        <w:adjustRightInd w:val="0"/>
        <w:jc w:val="both"/>
        <w:rPr>
          <w:rFonts w:ascii="Abadi" w:hAnsi="Abadi" w:cs="*Microsoft Sans Serif-Italic-64"/>
          <w:i/>
          <w:iCs/>
          <w:color w:val="1F1F24"/>
          <w:sz w:val="21"/>
          <w:szCs w:val="21"/>
        </w:rPr>
      </w:pPr>
    </w:p>
    <w:p w14:paraId="001F6B42" w14:textId="77777777" w:rsidR="00DF3BF0" w:rsidRPr="007C2763" w:rsidRDefault="00DF3BF0" w:rsidP="00DF3BF0">
      <w:pPr>
        <w:autoSpaceDE w:val="0"/>
        <w:autoSpaceDN w:val="0"/>
        <w:adjustRightInd w:val="0"/>
        <w:jc w:val="both"/>
        <w:rPr>
          <w:rFonts w:ascii="Abadi" w:hAnsi="Abadi" w:cs="*Verdana-6474-Identity-H"/>
          <w:color w:val="1F1E24"/>
          <w:sz w:val="21"/>
          <w:szCs w:val="21"/>
        </w:rPr>
      </w:pPr>
      <w:r w:rsidRPr="007C2763">
        <w:rPr>
          <w:rFonts w:ascii="Abadi" w:hAnsi="Abadi" w:cs="*Verdana-6474-Identity-H"/>
          <w:color w:val="1F1E24"/>
          <w:sz w:val="21"/>
          <w:szCs w:val="21"/>
        </w:rPr>
        <w:t>En coincidencia con las consideraciones anteriores, la diputada y los diputados que dictaminamos, nos permitimos mencionar lo siguiente:</w:t>
      </w:r>
    </w:p>
    <w:p w14:paraId="506284C3" w14:textId="77777777" w:rsidR="00DF3BF0" w:rsidRPr="007C2763" w:rsidRDefault="00DF3BF0" w:rsidP="00DF3BF0">
      <w:pPr>
        <w:autoSpaceDE w:val="0"/>
        <w:autoSpaceDN w:val="0"/>
        <w:adjustRightInd w:val="0"/>
        <w:jc w:val="both"/>
        <w:rPr>
          <w:rFonts w:ascii="Abadi" w:hAnsi="Abadi" w:cs="*Verdana-6474-Identity-H"/>
          <w:color w:val="1F1E24"/>
          <w:sz w:val="21"/>
          <w:szCs w:val="21"/>
        </w:rPr>
      </w:pPr>
    </w:p>
    <w:p w14:paraId="6E8C191C" w14:textId="77777777" w:rsidR="00DF3BF0" w:rsidRPr="007C2763" w:rsidRDefault="00DF3BF0" w:rsidP="00210305">
      <w:pPr>
        <w:pStyle w:val="Prrafodelista"/>
        <w:numPr>
          <w:ilvl w:val="0"/>
          <w:numId w:val="65"/>
        </w:numPr>
        <w:autoSpaceDE w:val="0"/>
        <w:autoSpaceDN w:val="0"/>
        <w:adjustRightInd w:val="0"/>
        <w:jc w:val="both"/>
        <w:rPr>
          <w:rFonts w:ascii="Abadi" w:hAnsi="Abadi" w:cs="*Verdana-6474-Identity-H"/>
          <w:color w:val="1F1F24"/>
          <w:sz w:val="21"/>
          <w:szCs w:val="21"/>
        </w:rPr>
      </w:pPr>
      <w:r w:rsidRPr="007C2763">
        <w:rPr>
          <w:rFonts w:ascii="Abadi" w:hAnsi="Abadi" w:cs="*Verdana-6474-Identity-H"/>
          <w:color w:val="1F1F24"/>
          <w:sz w:val="21"/>
          <w:szCs w:val="21"/>
        </w:rPr>
        <w:t>El incremento en la contaminación del medio ambiente es directamente proporcional a los costos económicos que la población y gobierno deberán absorber para atender las afectaciones y los problemas de salud derivados de la misma.</w:t>
      </w:r>
    </w:p>
    <w:p w14:paraId="0FAC4175" w14:textId="77777777" w:rsidR="00DF3BF0" w:rsidRPr="007C2763" w:rsidRDefault="00DF3BF0" w:rsidP="00DF3BF0">
      <w:pPr>
        <w:autoSpaceDE w:val="0"/>
        <w:autoSpaceDN w:val="0"/>
        <w:adjustRightInd w:val="0"/>
        <w:jc w:val="both"/>
        <w:rPr>
          <w:rFonts w:ascii="Abadi" w:hAnsi="Abadi" w:cs="*Verdana-6474-Identity-H"/>
          <w:color w:val="1F1F24"/>
          <w:sz w:val="21"/>
          <w:szCs w:val="21"/>
        </w:rPr>
      </w:pPr>
    </w:p>
    <w:p w14:paraId="5E57E9C3" w14:textId="77777777" w:rsidR="00DF3BF0" w:rsidRPr="007C2763" w:rsidRDefault="00DF3BF0" w:rsidP="00210305">
      <w:pPr>
        <w:pStyle w:val="Prrafodelista"/>
        <w:numPr>
          <w:ilvl w:val="0"/>
          <w:numId w:val="65"/>
        </w:numPr>
        <w:autoSpaceDE w:val="0"/>
        <w:autoSpaceDN w:val="0"/>
        <w:adjustRightInd w:val="0"/>
        <w:jc w:val="both"/>
        <w:rPr>
          <w:rFonts w:ascii="Abadi" w:hAnsi="Abadi" w:cs="*Verdana-6474-Identity-H"/>
          <w:color w:val="1E1D23"/>
          <w:sz w:val="21"/>
          <w:szCs w:val="21"/>
        </w:rPr>
      </w:pPr>
      <w:r w:rsidRPr="007C2763">
        <w:rPr>
          <w:rFonts w:ascii="Abadi" w:hAnsi="Abadi" w:cs="*Verdana-6474-Identity-H"/>
          <w:color w:val="1E1D23"/>
          <w:sz w:val="21"/>
          <w:szCs w:val="21"/>
        </w:rPr>
        <w:t>Es ya un tema de amplio estudio que la contaminación que se genera a partir de las emisiones emitidas por vehículos es motivo de efectos adversos en el medio ambiente y en detrimento de la ciudadanía.</w:t>
      </w:r>
    </w:p>
    <w:p w14:paraId="6DAFC9E2" w14:textId="77777777" w:rsidR="00DF3BF0" w:rsidRPr="007C2763" w:rsidRDefault="00DF3BF0" w:rsidP="00DF3BF0">
      <w:pPr>
        <w:autoSpaceDE w:val="0"/>
        <w:autoSpaceDN w:val="0"/>
        <w:adjustRightInd w:val="0"/>
        <w:jc w:val="both"/>
        <w:rPr>
          <w:rFonts w:ascii="Abadi" w:hAnsi="Abadi" w:cs="*Verdana-6474-Identity-H"/>
          <w:color w:val="1E1D23"/>
          <w:sz w:val="21"/>
          <w:szCs w:val="21"/>
        </w:rPr>
      </w:pPr>
    </w:p>
    <w:p w14:paraId="0BE0E076" w14:textId="77777777" w:rsidR="00DF3BF0" w:rsidRPr="007C2763" w:rsidRDefault="00DF3BF0" w:rsidP="00210305">
      <w:pPr>
        <w:pStyle w:val="Prrafodelista"/>
        <w:numPr>
          <w:ilvl w:val="0"/>
          <w:numId w:val="65"/>
        </w:numPr>
        <w:autoSpaceDE w:val="0"/>
        <w:autoSpaceDN w:val="0"/>
        <w:adjustRightInd w:val="0"/>
        <w:jc w:val="both"/>
        <w:rPr>
          <w:rFonts w:ascii="Abadi" w:hAnsi="Abadi" w:cs="*Verdana-6474-Identity-H"/>
          <w:color w:val="1F1F25"/>
          <w:sz w:val="21"/>
          <w:szCs w:val="21"/>
        </w:rPr>
      </w:pPr>
      <w:r w:rsidRPr="007C2763">
        <w:rPr>
          <w:rFonts w:ascii="Abadi" w:hAnsi="Abadi" w:cs="*Verdana-6474-Identity-H"/>
          <w:color w:val="1F1F25"/>
          <w:sz w:val="21"/>
          <w:szCs w:val="21"/>
        </w:rPr>
        <w:t>Creemos que, en un estudio y abordaje del tema desde una perspectiva de justicia ambiental, no debemos dejar de lado que quien padece más las consecuencias de la contaminación es generalmente la menos responsable de su generación e incremento.</w:t>
      </w:r>
    </w:p>
    <w:p w14:paraId="4D0FBDFF" w14:textId="77777777" w:rsidR="00DF3BF0" w:rsidRPr="007C2763" w:rsidRDefault="00DF3BF0" w:rsidP="00DF3BF0">
      <w:pPr>
        <w:autoSpaceDE w:val="0"/>
        <w:autoSpaceDN w:val="0"/>
        <w:adjustRightInd w:val="0"/>
        <w:jc w:val="both"/>
        <w:rPr>
          <w:rFonts w:ascii="Abadi" w:hAnsi="Abadi" w:cs="*Verdana-6474-Identity-H"/>
          <w:color w:val="1F1F25"/>
          <w:sz w:val="21"/>
          <w:szCs w:val="21"/>
        </w:rPr>
      </w:pPr>
    </w:p>
    <w:p w14:paraId="6FF8C324" w14:textId="77777777" w:rsidR="00DF3BF0" w:rsidRPr="007C2763" w:rsidRDefault="00DF3BF0" w:rsidP="00210305">
      <w:pPr>
        <w:pStyle w:val="Prrafodelista"/>
        <w:numPr>
          <w:ilvl w:val="0"/>
          <w:numId w:val="65"/>
        </w:numPr>
        <w:autoSpaceDE w:val="0"/>
        <w:autoSpaceDN w:val="0"/>
        <w:adjustRightInd w:val="0"/>
        <w:jc w:val="both"/>
        <w:rPr>
          <w:rFonts w:ascii="Abadi" w:hAnsi="Abadi" w:cs="*Calibri-6567-Identity-H"/>
          <w:color w:val="201F26"/>
          <w:sz w:val="21"/>
          <w:szCs w:val="21"/>
        </w:rPr>
      </w:pPr>
      <w:r w:rsidRPr="007C2763">
        <w:rPr>
          <w:rFonts w:ascii="Abadi" w:hAnsi="Abadi" w:cs="*Verdana-6474-Identity-H"/>
          <w:color w:val="1E1E23"/>
          <w:sz w:val="21"/>
          <w:szCs w:val="21"/>
        </w:rPr>
        <w:t xml:space="preserve">En atención a ello, atendemos nuestra responsabilidad como gobiernos locales para implementar medidas preventivas y correctivas que contribuyan a participar en la disminución, control y aplicación de mecanismos para permanentemente evaluar y evitar la emisión de contaminantes, herramientas entre las que consideramos se encuentran </w:t>
      </w:r>
      <w:r w:rsidRPr="007C2763">
        <w:rPr>
          <w:rFonts w:ascii="Abadi" w:hAnsi="Abadi" w:cs="*Verdana-6474-Identity-H"/>
          <w:color w:val="201F25"/>
          <w:sz w:val="21"/>
          <w:szCs w:val="21"/>
        </w:rPr>
        <w:t xml:space="preserve">los programas de verificación vehicular </w:t>
      </w:r>
      <w:r w:rsidRPr="007C2763">
        <w:rPr>
          <w:rFonts w:ascii="Abadi" w:hAnsi="Abadi" w:cs="*Verdana-6474-Identity-H"/>
          <w:color w:val="1F1E22"/>
          <w:sz w:val="21"/>
          <w:szCs w:val="21"/>
        </w:rPr>
        <w:t xml:space="preserve">y sobre las cuales </w:t>
      </w:r>
      <w:r w:rsidRPr="007C2763">
        <w:rPr>
          <w:rFonts w:ascii="Abadi" w:hAnsi="Abadi" w:cs="*Calibri-6567-Identity-H"/>
          <w:color w:val="201F26"/>
          <w:sz w:val="21"/>
          <w:szCs w:val="21"/>
        </w:rPr>
        <w:t>permanentemente debemos ajustar, de ser necesario, para contribuir a</w:t>
      </w:r>
      <w:r w:rsidRPr="007C2763">
        <w:rPr>
          <w:rFonts w:ascii="Abadi" w:hAnsi="Abadi" w:cs="*Verdana-6474-Identity-H"/>
          <w:color w:val="1E1E23"/>
          <w:sz w:val="21"/>
          <w:szCs w:val="21"/>
        </w:rPr>
        <w:t xml:space="preserve"> </w:t>
      </w:r>
      <w:r w:rsidRPr="007C2763">
        <w:rPr>
          <w:rFonts w:ascii="Abadi" w:hAnsi="Abadi" w:cs="*Calibri-6567-Identity-H"/>
          <w:color w:val="201F26"/>
          <w:sz w:val="21"/>
          <w:szCs w:val="21"/>
        </w:rPr>
        <w:t>su puntual implementación y cumplimiento de su objetivo.</w:t>
      </w:r>
    </w:p>
    <w:p w14:paraId="35631E4F" w14:textId="77777777" w:rsidR="00DF3BF0" w:rsidRPr="007C2763" w:rsidRDefault="00DF3BF0" w:rsidP="00DF3BF0">
      <w:pPr>
        <w:autoSpaceDE w:val="0"/>
        <w:autoSpaceDN w:val="0"/>
        <w:adjustRightInd w:val="0"/>
        <w:jc w:val="both"/>
        <w:rPr>
          <w:rFonts w:ascii="Abadi" w:hAnsi="Abadi" w:cs="*Verdana-6474-Identity-H"/>
          <w:color w:val="1E1E23"/>
          <w:sz w:val="21"/>
          <w:szCs w:val="21"/>
        </w:rPr>
      </w:pPr>
    </w:p>
    <w:p w14:paraId="368E9BA2" w14:textId="77777777" w:rsidR="00DF3BF0" w:rsidRPr="007C2763" w:rsidRDefault="00DF3BF0" w:rsidP="00210305">
      <w:pPr>
        <w:pStyle w:val="Prrafodelista"/>
        <w:numPr>
          <w:ilvl w:val="0"/>
          <w:numId w:val="65"/>
        </w:numPr>
        <w:autoSpaceDE w:val="0"/>
        <w:autoSpaceDN w:val="0"/>
        <w:adjustRightInd w:val="0"/>
        <w:jc w:val="both"/>
        <w:rPr>
          <w:rFonts w:ascii="Abadi" w:hAnsi="Abadi" w:cs="*Calibri-6567-Identity-H"/>
          <w:color w:val="1E1D23"/>
          <w:sz w:val="21"/>
          <w:szCs w:val="21"/>
        </w:rPr>
      </w:pPr>
      <w:r w:rsidRPr="007C2763">
        <w:rPr>
          <w:rFonts w:ascii="Abadi" w:hAnsi="Abadi" w:cs="*Calibri-6567-Identity-H"/>
          <w:color w:val="1E1D23"/>
          <w:sz w:val="21"/>
          <w:szCs w:val="21"/>
        </w:rPr>
        <w:t>Acorde a lo anterior, y tomando en consideración que todas las personas propietarias o poseedoras de vehículos automotores que utilicen gasolina, diésel, gas licuado de petróleo L.P. o gas natural, que se encuentren registrados y/o en circulación en el Estado, deben someter su unidad a la verificación vehicular, sujetándose a lo dispuesto en el Programa Estatal de Verificación Vehicular, es por ello que también coincidimos en que la sanción correspondiente por el incumplimiento de contar con la constancia y distintivo de verificación debe sancionarse en forma homologada en cada uno de nuestros municipios.</w:t>
      </w:r>
    </w:p>
    <w:p w14:paraId="17F57503" w14:textId="77777777" w:rsidR="00DF3BF0" w:rsidRPr="007C2763" w:rsidRDefault="00DF3BF0" w:rsidP="00DF3BF0">
      <w:pPr>
        <w:autoSpaceDE w:val="0"/>
        <w:autoSpaceDN w:val="0"/>
        <w:adjustRightInd w:val="0"/>
        <w:jc w:val="both"/>
        <w:rPr>
          <w:rFonts w:ascii="Abadi" w:hAnsi="Abadi" w:cs="*Calibri-6567-Identity-H"/>
          <w:color w:val="1E1D23"/>
          <w:sz w:val="21"/>
          <w:szCs w:val="21"/>
        </w:rPr>
      </w:pPr>
    </w:p>
    <w:p w14:paraId="3E96C1CA" w14:textId="77777777" w:rsidR="00DF3BF0" w:rsidRPr="007C2763" w:rsidRDefault="00DF3BF0" w:rsidP="00DF3BF0">
      <w:pPr>
        <w:autoSpaceDE w:val="0"/>
        <w:autoSpaceDN w:val="0"/>
        <w:adjustRightInd w:val="0"/>
        <w:jc w:val="both"/>
        <w:rPr>
          <w:rFonts w:ascii="Abadi" w:hAnsi="Abadi" w:cs="*Calibri-6567-Identity-H"/>
          <w:color w:val="1E1D23"/>
          <w:sz w:val="21"/>
          <w:szCs w:val="21"/>
        </w:rPr>
      </w:pPr>
    </w:p>
    <w:p w14:paraId="38954A16" w14:textId="77777777" w:rsidR="00DF3BF0" w:rsidRPr="007C2763" w:rsidRDefault="00DF3BF0" w:rsidP="00210305">
      <w:pPr>
        <w:pStyle w:val="Prrafodelista"/>
        <w:numPr>
          <w:ilvl w:val="0"/>
          <w:numId w:val="61"/>
        </w:numPr>
        <w:autoSpaceDE w:val="0"/>
        <w:autoSpaceDN w:val="0"/>
        <w:adjustRightInd w:val="0"/>
        <w:jc w:val="both"/>
        <w:rPr>
          <w:rFonts w:ascii="Abadi" w:hAnsi="Abadi" w:cs="*Calibri-Bold-6568-Identity-H"/>
          <w:b/>
          <w:bCs/>
          <w:color w:val="15141E"/>
          <w:sz w:val="21"/>
          <w:szCs w:val="21"/>
        </w:rPr>
      </w:pPr>
      <w:r w:rsidRPr="007C2763">
        <w:rPr>
          <w:rFonts w:ascii="Abadi" w:hAnsi="Abadi" w:cs="*Calibri-Bold-6568-Identity-H"/>
          <w:b/>
          <w:bCs/>
          <w:color w:val="15141E"/>
          <w:sz w:val="21"/>
          <w:szCs w:val="21"/>
        </w:rPr>
        <w:t>Modificaciones a la iniciativa</w:t>
      </w:r>
    </w:p>
    <w:p w14:paraId="5247F074" w14:textId="77777777" w:rsidR="00DF3BF0" w:rsidRPr="007C2763" w:rsidRDefault="00DF3BF0" w:rsidP="00DF3BF0">
      <w:pPr>
        <w:pStyle w:val="Prrafodelista"/>
        <w:ind w:left="1080"/>
        <w:jc w:val="both"/>
        <w:rPr>
          <w:rFonts w:ascii="Abadi" w:hAnsi="Abadi" w:cs="*Calibri-Bold-6568-Identity-H"/>
          <w:b/>
          <w:bCs/>
          <w:color w:val="15141E"/>
          <w:sz w:val="21"/>
          <w:szCs w:val="21"/>
        </w:rPr>
      </w:pPr>
    </w:p>
    <w:p w14:paraId="2CE07067" w14:textId="77777777" w:rsidR="00DF3BF0" w:rsidRPr="007C2763" w:rsidRDefault="00DF3BF0" w:rsidP="00DF3BF0">
      <w:pPr>
        <w:autoSpaceDE w:val="0"/>
        <w:autoSpaceDN w:val="0"/>
        <w:adjustRightInd w:val="0"/>
        <w:jc w:val="both"/>
        <w:rPr>
          <w:rFonts w:ascii="Abadi" w:hAnsi="Abadi" w:cs="*Courier New-6570-Identity-H"/>
          <w:color w:val="1B1B22"/>
          <w:sz w:val="21"/>
          <w:szCs w:val="21"/>
        </w:rPr>
      </w:pPr>
      <w:r w:rsidRPr="007C2763">
        <w:rPr>
          <w:rFonts w:ascii="Abadi" w:hAnsi="Abadi" w:cs="*Courier New-6570-Identity-H"/>
          <w:color w:val="1B1B22"/>
          <w:sz w:val="21"/>
          <w:szCs w:val="21"/>
        </w:rPr>
        <w:t>Con motivo de los trabajos y consideraciones realizadas en cumplimiento a la metodología determinada por esta comisión y considerando viable el propósito de la iniciativa en estudio, la diputada y los diputados que dictaminamos, determinamos lo siguiente:</w:t>
      </w:r>
    </w:p>
    <w:p w14:paraId="3944E63A" w14:textId="77777777" w:rsidR="00DF3BF0" w:rsidRPr="007C2763" w:rsidRDefault="00DF3BF0" w:rsidP="00DF3BF0">
      <w:pPr>
        <w:autoSpaceDE w:val="0"/>
        <w:autoSpaceDN w:val="0"/>
        <w:adjustRightInd w:val="0"/>
        <w:jc w:val="both"/>
        <w:rPr>
          <w:rFonts w:ascii="Abadi" w:hAnsi="Abadi" w:cs="*Courier New-6570-Identity-H"/>
          <w:color w:val="1B1B22"/>
          <w:sz w:val="21"/>
          <w:szCs w:val="21"/>
        </w:rPr>
      </w:pPr>
    </w:p>
    <w:p w14:paraId="1162EB78" w14:textId="0B0AB797" w:rsidR="00DF3BF0" w:rsidRPr="00536A1F" w:rsidRDefault="00DF3BF0" w:rsidP="00DF3BF0">
      <w:pPr>
        <w:pStyle w:val="Prrafodelista"/>
        <w:numPr>
          <w:ilvl w:val="0"/>
          <w:numId w:val="66"/>
        </w:numPr>
        <w:autoSpaceDE w:val="0"/>
        <w:autoSpaceDN w:val="0"/>
        <w:adjustRightInd w:val="0"/>
        <w:jc w:val="both"/>
        <w:rPr>
          <w:rFonts w:ascii="Abadi" w:hAnsi="Abadi" w:cs="*Calibri-6567-Identity-H"/>
          <w:color w:val="1E1D23"/>
          <w:sz w:val="21"/>
          <w:szCs w:val="21"/>
        </w:rPr>
      </w:pPr>
      <w:r w:rsidRPr="007C2763">
        <w:rPr>
          <w:rFonts w:ascii="Abadi" w:hAnsi="Abadi" w:cs="*Calibri-6567-Identity-H"/>
          <w:color w:val="1E1D23"/>
          <w:sz w:val="21"/>
          <w:szCs w:val="21"/>
        </w:rPr>
        <w:t>Es necesario adecuar y dar claridad en el supuesto regulado para identificar que la conducta sancionable es no contar con constancia o distintivo vigente de verificación vehicular; separando y diferenciando con claridad dicha conducta y sanción respecto de aquella correspondiente por la emisión de contaminantes.</w:t>
      </w:r>
    </w:p>
    <w:p w14:paraId="1AF01664" w14:textId="77777777" w:rsidR="00DF3BF0" w:rsidRPr="007C2763" w:rsidRDefault="00DF3BF0" w:rsidP="00DF3BF0">
      <w:pPr>
        <w:autoSpaceDE w:val="0"/>
        <w:autoSpaceDN w:val="0"/>
        <w:adjustRightInd w:val="0"/>
        <w:ind w:left="709"/>
        <w:jc w:val="both"/>
        <w:rPr>
          <w:rFonts w:ascii="Abadi" w:hAnsi="Abadi" w:cs="*Microsoft Sans Serif-7201-Iden"/>
          <w:color w:val="1F1F25"/>
          <w:sz w:val="21"/>
          <w:szCs w:val="21"/>
        </w:rPr>
      </w:pPr>
      <w:r w:rsidRPr="007C2763">
        <w:rPr>
          <w:rFonts w:ascii="Abadi" w:hAnsi="Abadi" w:cs="*Calibri-6567-Identity-H"/>
          <w:color w:val="1D1C23"/>
          <w:sz w:val="21"/>
          <w:szCs w:val="21"/>
        </w:rPr>
        <w:t xml:space="preserve">Ello para fortalecer las atribuciones de los gobiernos locales que son a quienes corresponde implementar medidas preventivas y correctivas, para </w:t>
      </w:r>
      <w:r w:rsidRPr="007C2763">
        <w:rPr>
          <w:rFonts w:ascii="Abadi" w:hAnsi="Abadi" w:cs="*Microsoft Sans Serif-7201-Iden"/>
          <w:color w:val="1F1F25"/>
          <w:sz w:val="21"/>
          <w:szCs w:val="21"/>
        </w:rPr>
        <w:t>disminuir las emisiones contaminantes, entre las que se encuentra la</w:t>
      </w:r>
      <w:r w:rsidRPr="007C2763">
        <w:rPr>
          <w:rFonts w:ascii="Abadi" w:hAnsi="Abadi" w:cs="*Calibri-6567-Identity-H"/>
          <w:color w:val="1D1C23"/>
          <w:sz w:val="21"/>
          <w:szCs w:val="21"/>
        </w:rPr>
        <w:t xml:space="preserve"> </w:t>
      </w:r>
      <w:r w:rsidRPr="007C2763">
        <w:rPr>
          <w:rFonts w:ascii="Abadi" w:hAnsi="Abadi" w:cs="*Microsoft Sans Serif-7201-Iden"/>
          <w:color w:val="1F1F25"/>
          <w:sz w:val="21"/>
          <w:szCs w:val="21"/>
        </w:rPr>
        <w:t>implementación y logro de cumplimiento del programa de verificación</w:t>
      </w:r>
      <w:r w:rsidRPr="007C2763">
        <w:rPr>
          <w:rFonts w:ascii="Abadi" w:hAnsi="Abadi" w:cs="*Calibri-6567-Identity-H"/>
          <w:color w:val="1D1C23"/>
          <w:sz w:val="21"/>
          <w:szCs w:val="21"/>
        </w:rPr>
        <w:t xml:space="preserve"> </w:t>
      </w:r>
      <w:r w:rsidRPr="007C2763">
        <w:rPr>
          <w:rFonts w:ascii="Abadi" w:hAnsi="Abadi" w:cs="*Microsoft Sans Serif-7201-Iden"/>
          <w:color w:val="1F1F25"/>
          <w:sz w:val="21"/>
          <w:szCs w:val="21"/>
        </w:rPr>
        <w:t>vehicular en el estado de Guanajuato.</w:t>
      </w:r>
    </w:p>
    <w:p w14:paraId="0797ABDC" w14:textId="77777777" w:rsidR="00DF3BF0" w:rsidRPr="007C2763" w:rsidRDefault="00DF3BF0" w:rsidP="00DF3BF0">
      <w:pPr>
        <w:autoSpaceDE w:val="0"/>
        <w:autoSpaceDN w:val="0"/>
        <w:adjustRightInd w:val="0"/>
        <w:jc w:val="both"/>
        <w:rPr>
          <w:rFonts w:ascii="Abadi" w:hAnsi="Abadi" w:cs="*Calibri-6567-Identity-H"/>
          <w:color w:val="1D1C23"/>
          <w:sz w:val="21"/>
          <w:szCs w:val="21"/>
        </w:rPr>
      </w:pPr>
    </w:p>
    <w:p w14:paraId="60A8CCDE" w14:textId="77777777" w:rsidR="00DF3BF0" w:rsidRPr="007C2763" w:rsidRDefault="00DF3BF0" w:rsidP="00210305">
      <w:pPr>
        <w:pStyle w:val="Prrafodelista"/>
        <w:numPr>
          <w:ilvl w:val="0"/>
          <w:numId w:val="67"/>
        </w:numPr>
        <w:autoSpaceDE w:val="0"/>
        <w:autoSpaceDN w:val="0"/>
        <w:adjustRightInd w:val="0"/>
        <w:jc w:val="both"/>
        <w:rPr>
          <w:rFonts w:ascii="Abadi" w:hAnsi="Abadi" w:cs="*Microsoft Sans Serif-7201-Iden"/>
          <w:color w:val="1C1B20"/>
          <w:sz w:val="21"/>
          <w:szCs w:val="21"/>
        </w:rPr>
      </w:pPr>
      <w:r w:rsidRPr="007C2763">
        <w:rPr>
          <w:rFonts w:ascii="Abadi" w:hAnsi="Abadi" w:cs="*Microsoft Sans Serif-7201-Iden"/>
          <w:color w:val="1C1B20"/>
          <w:sz w:val="21"/>
          <w:szCs w:val="21"/>
        </w:rPr>
        <w:t>Se considera pertinente</w:t>
      </w:r>
      <w:r w:rsidRPr="007C2763">
        <w:rPr>
          <w:rFonts w:ascii="Abadi" w:hAnsi="Abadi" w:cs="*Microsoft Sans Serif-7201-Iden"/>
          <w:color w:val="C5C5C5"/>
          <w:sz w:val="21"/>
          <w:szCs w:val="21"/>
        </w:rPr>
        <w:t xml:space="preserve">, </w:t>
      </w:r>
      <w:r w:rsidRPr="007C2763">
        <w:rPr>
          <w:rFonts w:ascii="Abadi" w:hAnsi="Abadi" w:cs="*Microsoft Sans Serif-7201-Iden"/>
          <w:color w:val="1C1B20"/>
          <w:sz w:val="21"/>
          <w:szCs w:val="21"/>
        </w:rPr>
        <w:t>que este Congreso, de acuerdo con su competencia, determine los parámetros conforme los cuales deberá establecerse la sanción económica que corresponderán por la infracción administrativa y señale conforme a la misma Ley que es a los ayuntamientos a quienes corresponde su establecimiento conforme el reglamento municipal de la materia; lo que permitirá además que el gobernado tenga la posibilidad de conocer la conducta prohibida y las sanciones a las que se hará acreedor por situarse en la hipótesis punitiva respectiva.</w:t>
      </w:r>
    </w:p>
    <w:p w14:paraId="46C85875" w14:textId="77777777" w:rsidR="00DF3BF0" w:rsidRPr="007C2763" w:rsidRDefault="00DF3BF0" w:rsidP="00DF3BF0">
      <w:pPr>
        <w:autoSpaceDE w:val="0"/>
        <w:autoSpaceDN w:val="0"/>
        <w:adjustRightInd w:val="0"/>
        <w:jc w:val="both"/>
        <w:rPr>
          <w:rFonts w:ascii="Abadi" w:hAnsi="Abadi" w:cs="*Microsoft Sans Serif-7201-Iden"/>
          <w:color w:val="1C1B20"/>
          <w:sz w:val="21"/>
          <w:szCs w:val="21"/>
        </w:rPr>
      </w:pPr>
    </w:p>
    <w:p w14:paraId="0EF66B5B" w14:textId="77777777" w:rsidR="00DF3BF0" w:rsidRPr="007C2763" w:rsidRDefault="00DF3BF0" w:rsidP="00DF3BF0">
      <w:pPr>
        <w:autoSpaceDE w:val="0"/>
        <w:autoSpaceDN w:val="0"/>
        <w:adjustRightInd w:val="0"/>
        <w:ind w:firstLine="360"/>
        <w:jc w:val="both"/>
        <w:rPr>
          <w:rFonts w:ascii="Abadi" w:hAnsi="Abadi" w:cs="*Courier New-7198-Identity-H"/>
          <w:color w:val="1C1B21"/>
          <w:sz w:val="21"/>
          <w:szCs w:val="21"/>
        </w:rPr>
      </w:pPr>
      <w:r w:rsidRPr="007C2763">
        <w:rPr>
          <w:rFonts w:ascii="Abadi" w:hAnsi="Abadi" w:cs="*Courier New-7198-Identity-H"/>
          <w:color w:val="1C1B21"/>
          <w:sz w:val="21"/>
          <w:szCs w:val="21"/>
        </w:rPr>
        <w:t>Debido a lo expuesto y con fundamento en lo dispuesto por el artículo 171 de la Ley Orgánica del Poder Legislativo del Estado de Guanajuato, nos permitimos someter a la aprobación de la Asamblea, el siguiente:</w:t>
      </w:r>
    </w:p>
    <w:p w14:paraId="1E813649" w14:textId="77777777" w:rsidR="00DF3BF0" w:rsidRPr="007C2763" w:rsidRDefault="00DF3BF0" w:rsidP="00DF3BF0">
      <w:pPr>
        <w:autoSpaceDE w:val="0"/>
        <w:autoSpaceDN w:val="0"/>
        <w:adjustRightInd w:val="0"/>
        <w:jc w:val="both"/>
        <w:rPr>
          <w:rFonts w:ascii="Abadi" w:hAnsi="Abadi" w:cs="*Arial-Bold-7197-Identity-H"/>
          <w:b/>
          <w:bCs/>
          <w:color w:val="151224"/>
          <w:sz w:val="21"/>
          <w:szCs w:val="21"/>
        </w:rPr>
      </w:pPr>
    </w:p>
    <w:p w14:paraId="1544C784" w14:textId="77777777" w:rsidR="002E6197" w:rsidRDefault="002E6197" w:rsidP="00DF3BF0">
      <w:pPr>
        <w:autoSpaceDE w:val="0"/>
        <w:autoSpaceDN w:val="0"/>
        <w:adjustRightInd w:val="0"/>
        <w:jc w:val="center"/>
        <w:rPr>
          <w:rFonts w:ascii="Abadi" w:hAnsi="Abadi" w:cs="*Arial-Bold-7197-Identity-H"/>
          <w:b/>
          <w:bCs/>
          <w:color w:val="151224"/>
          <w:sz w:val="21"/>
          <w:szCs w:val="21"/>
        </w:rPr>
      </w:pPr>
    </w:p>
    <w:p w14:paraId="5E0C5926" w14:textId="39232B66" w:rsidR="00DF3BF0" w:rsidRPr="007C2763" w:rsidRDefault="00DF3BF0" w:rsidP="00DF3BF0">
      <w:pPr>
        <w:autoSpaceDE w:val="0"/>
        <w:autoSpaceDN w:val="0"/>
        <w:adjustRightInd w:val="0"/>
        <w:jc w:val="center"/>
        <w:rPr>
          <w:rFonts w:ascii="Abadi" w:hAnsi="Abadi" w:cs="*Arial-Bold-7197-Identity-H"/>
          <w:b/>
          <w:bCs/>
          <w:color w:val="151224"/>
          <w:sz w:val="21"/>
          <w:szCs w:val="21"/>
        </w:rPr>
      </w:pPr>
      <w:r w:rsidRPr="007C2763">
        <w:rPr>
          <w:rFonts w:ascii="Abadi" w:hAnsi="Abadi" w:cs="*Arial-Bold-7197-Identity-H"/>
          <w:b/>
          <w:bCs/>
          <w:color w:val="151224"/>
          <w:sz w:val="21"/>
          <w:szCs w:val="21"/>
        </w:rPr>
        <w:t>DECRETO</w:t>
      </w:r>
    </w:p>
    <w:p w14:paraId="1AC4DD59" w14:textId="77777777" w:rsidR="00DF3BF0" w:rsidRPr="007C2763" w:rsidRDefault="00DF3BF0" w:rsidP="00DF3BF0">
      <w:pPr>
        <w:autoSpaceDE w:val="0"/>
        <w:autoSpaceDN w:val="0"/>
        <w:adjustRightInd w:val="0"/>
        <w:jc w:val="both"/>
        <w:rPr>
          <w:rFonts w:ascii="Abadi" w:hAnsi="Abadi" w:cs="*Arial-Bold-7197-Identity-H"/>
          <w:b/>
          <w:bCs/>
          <w:color w:val="151224"/>
          <w:sz w:val="21"/>
          <w:szCs w:val="21"/>
        </w:rPr>
      </w:pPr>
    </w:p>
    <w:p w14:paraId="0D6C714F" w14:textId="77777777" w:rsidR="00DF3BF0" w:rsidRPr="007C2763" w:rsidRDefault="00DF3BF0" w:rsidP="00DF3BF0">
      <w:pPr>
        <w:autoSpaceDE w:val="0"/>
        <w:autoSpaceDN w:val="0"/>
        <w:adjustRightInd w:val="0"/>
        <w:jc w:val="both"/>
        <w:rPr>
          <w:rFonts w:ascii="Abadi" w:hAnsi="Abadi" w:cs="*Courier New-7198-Identity-H"/>
          <w:color w:val="1B1A23"/>
          <w:sz w:val="21"/>
          <w:szCs w:val="21"/>
        </w:rPr>
      </w:pPr>
      <w:r w:rsidRPr="007C2763">
        <w:rPr>
          <w:rFonts w:ascii="Abadi" w:hAnsi="Abadi" w:cs="*Arial-Bold-7197-Identity-H"/>
          <w:b/>
          <w:bCs/>
          <w:color w:val="1B1A23"/>
          <w:sz w:val="21"/>
          <w:szCs w:val="21"/>
        </w:rPr>
        <w:t xml:space="preserve">Artículo Único. Se adiciona </w:t>
      </w:r>
      <w:r w:rsidRPr="007C2763">
        <w:rPr>
          <w:rFonts w:ascii="Abadi" w:hAnsi="Abadi" w:cs="*Courier New-7198-Identity-H"/>
          <w:color w:val="1B1A23"/>
          <w:sz w:val="21"/>
          <w:szCs w:val="21"/>
        </w:rPr>
        <w:t>un párrafo segundo, recorriéndose en su orden los subsecuentes, al artículo 251 de la Ley de Movilidad del Estado de Guanajuato y sus Municipios, para quedar en los siguientes términos:</w:t>
      </w:r>
    </w:p>
    <w:p w14:paraId="14438C3D" w14:textId="77777777" w:rsidR="00DF3BF0" w:rsidRPr="007C2763" w:rsidRDefault="00DF3BF0" w:rsidP="00DF3BF0">
      <w:pPr>
        <w:autoSpaceDE w:val="0"/>
        <w:autoSpaceDN w:val="0"/>
        <w:adjustRightInd w:val="0"/>
        <w:jc w:val="both"/>
        <w:rPr>
          <w:rFonts w:ascii="Abadi" w:hAnsi="Abadi" w:cs="*Courier New-7198-Identity-H"/>
          <w:color w:val="1B1A23"/>
          <w:sz w:val="21"/>
          <w:szCs w:val="21"/>
        </w:rPr>
      </w:pPr>
    </w:p>
    <w:p w14:paraId="7E67BDE6" w14:textId="77777777" w:rsidR="00DF3BF0" w:rsidRPr="007C2763" w:rsidRDefault="00DF3BF0" w:rsidP="00DF3BF0">
      <w:pPr>
        <w:autoSpaceDE w:val="0"/>
        <w:autoSpaceDN w:val="0"/>
        <w:adjustRightInd w:val="0"/>
        <w:rPr>
          <w:rFonts w:ascii="Abadi" w:hAnsi="Abadi" w:cs="*Arial-Bold-7197-Identity-H"/>
          <w:b/>
          <w:bCs/>
          <w:color w:val="15131F"/>
          <w:sz w:val="21"/>
          <w:szCs w:val="21"/>
        </w:rPr>
      </w:pPr>
      <w:r w:rsidRPr="007C2763">
        <w:rPr>
          <w:rFonts w:ascii="Abadi" w:hAnsi="Abadi" w:cs="*Arial-Bold-7197-Identity-H"/>
          <w:b/>
          <w:bCs/>
          <w:color w:val="15131F"/>
          <w:sz w:val="21"/>
          <w:szCs w:val="21"/>
        </w:rPr>
        <w:t>«Margen para multas</w:t>
      </w:r>
    </w:p>
    <w:p w14:paraId="6CED142B" w14:textId="77777777" w:rsidR="00DF3BF0" w:rsidRPr="007C2763" w:rsidRDefault="00DF3BF0" w:rsidP="00DF3BF0">
      <w:pPr>
        <w:autoSpaceDE w:val="0"/>
        <w:autoSpaceDN w:val="0"/>
        <w:adjustRightInd w:val="0"/>
        <w:jc w:val="both"/>
        <w:rPr>
          <w:rFonts w:ascii="Abadi" w:hAnsi="Abadi" w:cs="*Courier New-7198-Identity-H"/>
          <w:color w:val="191721"/>
          <w:sz w:val="21"/>
          <w:szCs w:val="21"/>
        </w:rPr>
      </w:pPr>
      <w:r w:rsidRPr="007C2763">
        <w:rPr>
          <w:rFonts w:ascii="Abadi" w:hAnsi="Abadi" w:cs="*Arial-Bold-7197-Identity-H"/>
          <w:b/>
          <w:bCs/>
          <w:color w:val="191721"/>
          <w:sz w:val="21"/>
          <w:szCs w:val="21"/>
        </w:rPr>
        <w:t xml:space="preserve">Artículo 251. </w:t>
      </w:r>
      <w:r w:rsidRPr="007C2763">
        <w:rPr>
          <w:rFonts w:ascii="Abadi" w:hAnsi="Abadi" w:cs="*Courier New-7198-Identity-H"/>
          <w:color w:val="191721"/>
          <w:sz w:val="21"/>
          <w:szCs w:val="21"/>
        </w:rPr>
        <w:t>La aplicación de ...</w:t>
      </w:r>
    </w:p>
    <w:p w14:paraId="5E2B99F3" w14:textId="77777777" w:rsidR="00DF3BF0" w:rsidRPr="007C2763" w:rsidRDefault="00DF3BF0" w:rsidP="00DF3BF0">
      <w:pPr>
        <w:autoSpaceDE w:val="0"/>
        <w:autoSpaceDN w:val="0"/>
        <w:adjustRightInd w:val="0"/>
        <w:jc w:val="both"/>
        <w:rPr>
          <w:rFonts w:ascii="Abadi" w:hAnsi="Abadi" w:cs="*Courier New-7198-Identity-H"/>
          <w:color w:val="1C1B22"/>
          <w:sz w:val="21"/>
          <w:szCs w:val="21"/>
        </w:rPr>
      </w:pPr>
      <w:r w:rsidRPr="007C2763">
        <w:rPr>
          <w:rFonts w:ascii="Abadi" w:hAnsi="Abadi" w:cs="*Courier New-7198-Identity-H"/>
          <w:color w:val="1C1B22"/>
          <w:sz w:val="21"/>
          <w:szCs w:val="21"/>
        </w:rPr>
        <w:t>En el caso de la multa por no contar con constancia o distintivo vigente de verificación vehicular, esta será fijada dentro de un margen de veinte a cuarenta veces el valor diario de la Unidad de Medida y Actualización.</w:t>
      </w:r>
    </w:p>
    <w:p w14:paraId="49BDE182" w14:textId="77777777" w:rsidR="00DF3BF0" w:rsidRPr="007C2763" w:rsidRDefault="00DF3BF0" w:rsidP="00DF3BF0">
      <w:pPr>
        <w:autoSpaceDE w:val="0"/>
        <w:autoSpaceDN w:val="0"/>
        <w:adjustRightInd w:val="0"/>
        <w:jc w:val="both"/>
        <w:rPr>
          <w:rFonts w:ascii="Abadi" w:hAnsi="Abadi" w:cs="*Courier New-7198-Identity-H"/>
          <w:color w:val="1C1B22"/>
          <w:sz w:val="21"/>
          <w:szCs w:val="21"/>
        </w:rPr>
      </w:pPr>
    </w:p>
    <w:p w14:paraId="14811717" w14:textId="77777777" w:rsidR="00DF3BF0" w:rsidRPr="007C2763" w:rsidRDefault="00DF3BF0" w:rsidP="00DF3BF0">
      <w:pPr>
        <w:autoSpaceDE w:val="0"/>
        <w:autoSpaceDN w:val="0"/>
        <w:adjustRightInd w:val="0"/>
        <w:jc w:val="both"/>
        <w:rPr>
          <w:rFonts w:ascii="Abadi" w:hAnsi="Abadi" w:cs="*Microsoft Sans Serif-3985-Iden"/>
          <w:color w:val="1A1820"/>
          <w:sz w:val="21"/>
          <w:szCs w:val="21"/>
        </w:rPr>
      </w:pPr>
      <w:r w:rsidRPr="007C2763">
        <w:rPr>
          <w:rFonts w:ascii="Abadi" w:hAnsi="Abadi" w:cs="*Microsoft Sans Serif-3985-Iden"/>
          <w:color w:val="1A1820"/>
          <w:sz w:val="21"/>
          <w:szCs w:val="21"/>
        </w:rPr>
        <w:t>La multa aplicable ...</w:t>
      </w:r>
    </w:p>
    <w:p w14:paraId="375F7F2F" w14:textId="77777777" w:rsidR="00DF3BF0" w:rsidRPr="007C2763" w:rsidRDefault="00DF3BF0" w:rsidP="00DF3BF0">
      <w:pPr>
        <w:autoSpaceDE w:val="0"/>
        <w:autoSpaceDN w:val="0"/>
        <w:adjustRightInd w:val="0"/>
        <w:jc w:val="both"/>
        <w:rPr>
          <w:rFonts w:ascii="Abadi" w:hAnsi="Abadi" w:cs="*Microsoft Sans Serif-3985-Iden"/>
          <w:color w:val="1A1820"/>
          <w:sz w:val="21"/>
          <w:szCs w:val="21"/>
        </w:rPr>
      </w:pPr>
    </w:p>
    <w:p w14:paraId="659EFFE5" w14:textId="77777777" w:rsidR="00DF3BF0" w:rsidRPr="007C2763" w:rsidRDefault="00DF3BF0" w:rsidP="00DF3BF0">
      <w:pPr>
        <w:autoSpaceDE w:val="0"/>
        <w:autoSpaceDN w:val="0"/>
        <w:adjustRightInd w:val="0"/>
        <w:jc w:val="both"/>
        <w:rPr>
          <w:rFonts w:ascii="Abadi" w:hAnsi="Abadi" w:cs="*Microsoft Sans Serif-3985-Iden"/>
          <w:color w:val="1C1B22"/>
          <w:sz w:val="21"/>
          <w:szCs w:val="21"/>
        </w:rPr>
      </w:pPr>
      <w:r w:rsidRPr="007C2763">
        <w:rPr>
          <w:rFonts w:ascii="Abadi" w:hAnsi="Abadi" w:cs="*Microsoft Sans Serif-3985-Iden"/>
          <w:color w:val="1C1B22"/>
          <w:sz w:val="21"/>
          <w:szCs w:val="21"/>
        </w:rPr>
        <w:t xml:space="preserve">Para el caso </w:t>
      </w:r>
      <w:proofErr w:type="gramStart"/>
      <w:r w:rsidRPr="007C2763">
        <w:rPr>
          <w:rFonts w:ascii="Abadi" w:hAnsi="Abadi" w:cs="*Microsoft Sans Serif-3985-Iden"/>
          <w:color w:val="1C1B22"/>
          <w:sz w:val="21"/>
          <w:szCs w:val="21"/>
        </w:rPr>
        <w:t>... »</w:t>
      </w:r>
      <w:proofErr w:type="gramEnd"/>
    </w:p>
    <w:p w14:paraId="1FCBDB85" w14:textId="77777777" w:rsidR="00DF3BF0" w:rsidRPr="007C2763" w:rsidRDefault="00DF3BF0" w:rsidP="00DF3BF0">
      <w:pPr>
        <w:autoSpaceDE w:val="0"/>
        <w:autoSpaceDN w:val="0"/>
        <w:adjustRightInd w:val="0"/>
        <w:jc w:val="both"/>
        <w:rPr>
          <w:rFonts w:ascii="Abadi" w:hAnsi="Abadi" w:cs="*Calibri-Bold-3982-Identity-H"/>
          <w:b/>
          <w:bCs/>
          <w:color w:val="17141F"/>
          <w:sz w:val="21"/>
          <w:szCs w:val="21"/>
        </w:rPr>
      </w:pPr>
    </w:p>
    <w:p w14:paraId="6AB1434C" w14:textId="77777777" w:rsidR="00DF3BF0" w:rsidRPr="007C2763" w:rsidRDefault="00DF3BF0" w:rsidP="00DF3BF0">
      <w:pPr>
        <w:autoSpaceDE w:val="0"/>
        <w:autoSpaceDN w:val="0"/>
        <w:adjustRightInd w:val="0"/>
        <w:jc w:val="center"/>
        <w:rPr>
          <w:rFonts w:ascii="Abadi" w:hAnsi="Abadi" w:cs="*Calibri-Bold-3982-Identity-H"/>
          <w:b/>
          <w:bCs/>
          <w:color w:val="17141F"/>
          <w:sz w:val="21"/>
          <w:szCs w:val="21"/>
        </w:rPr>
      </w:pPr>
      <w:r w:rsidRPr="007C2763">
        <w:rPr>
          <w:rFonts w:ascii="Abadi" w:hAnsi="Abadi" w:cs="*Calibri-Bold-3982-Identity-H"/>
          <w:b/>
          <w:bCs/>
          <w:color w:val="17141F"/>
          <w:sz w:val="21"/>
          <w:szCs w:val="21"/>
        </w:rPr>
        <w:t>TRANSITORIOS</w:t>
      </w:r>
    </w:p>
    <w:p w14:paraId="2D6FAD7A" w14:textId="77777777" w:rsidR="00DF3BF0" w:rsidRPr="007C2763" w:rsidRDefault="00DF3BF0" w:rsidP="00DF3BF0">
      <w:pPr>
        <w:autoSpaceDE w:val="0"/>
        <w:autoSpaceDN w:val="0"/>
        <w:adjustRightInd w:val="0"/>
        <w:jc w:val="both"/>
        <w:rPr>
          <w:rFonts w:ascii="Abadi" w:hAnsi="Abadi" w:cs="*Calibri-Bold-3982-Identity-H"/>
          <w:b/>
          <w:bCs/>
          <w:color w:val="17141F"/>
          <w:sz w:val="21"/>
          <w:szCs w:val="21"/>
        </w:rPr>
      </w:pPr>
    </w:p>
    <w:p w14:paraId="305EE641" w14:textId="77777777" w:rsidR="00DF3BF0" w:rsidRPr="007C2763" w:rsidRDefault="00DF3BF0" w:rsidP="00DF3BF0">
      <w:pPr>
        <w:autoSpaceDE w:val="0"/>
        <w:autoSpaceDN w:val="0"/>
        <w:adjustRightInd w:val="0"/>
        <w:jc w:val="both"/>
        <w:rPr>
          <w:rFonts w:ascii="Abadi" w:hAnsi="Abadi" w:cs="*Calibri-Bold-3982-Identity-H"/>
          <w:b/>
          <w:bCs/>
          <w:color w:val="181720"/>
          <w:sz w:val="21"/>
          <w:szCs w:val="21"/>
        </w:rPr>
      </w:pPr>
      <w:r w:rsidRPr="007C2763">
        <w:rPr>
          <w:rFonts w:ascii="Abadi" w:hAnsi="Abadi" w:cs="*Calibri-Bold-3982-Identity-H"/>
          <w:b/>
          <w:bCs/>
          <w:color w:val="181720"/>
          <w:sz w:val="21"/>
          <w:szCs w:val="21"/>
        </w:rPr>
        <w:t>Inicio de vigencia</w:t>
      </w:r>
    </w:p>
    <w:p w14:paraId="43B429A6" w14:textId="77777777" w:rsidR="00DF3BF0" w:rsidRPr="007C2763" w:rsidRDefault="00DF3BF0" w:rsidP="00DF3BF0">
      <w:pPr>
        <w:autoSpaceDE w:val="0"/>
        <w:autoSpaceDN w:val="0"/>
        <w:adjustRightInd w:val="0"/>
        <w:jc w:val="both"/>
        <w:rPr>
          <w:rFonts w:ascii="Abadi" w:hAnsi="Abadi" w:cs="*Calibri-Bold-3982-Identity-H"/>
          <w:b/>
          <w:bCs/>
          <w:color w:val="181720"/>
          <w:sz w:val="21"/>
          <w:szCs w:val="21"/>
        </w:rPr>
      </w:pPr>
    </w:p>
    <w:p w14:paraId="71AE9D91" w14:textId="77777777" w:rsidR="00DF3BF0" w:rsidRPr="007C2763" w:rsidRDefault="00DF3BF0" w:rsidP="00DF3BF0">
      <w:pPr>
        <w:autoSpaceDE w:val="0"/>
        <w:autoSpaceDN w:val="0"/>
        <w:adjustRightInd w:val="0"/>
        <w:jc w:val="both"/>
        <w:rPr>
          <w:rFonts w:ascii="Abadi" w:hAnsi="Abadi" w:cs="*Microsoft Sans Serif-3985-Iden"/>
          <w:color w:val="181720"/>
          <w:sz w:val="21"/>
          <w:szCs w:val="21"/>
        </w:rPr>
      </w:pPr>
      <w:r w:rsidRPr="007C2763">
        <w:rPr>
          <w:rFonts w:ascii="Abadi" w:hAnsi="Abadi" w:cs="*Calibri-Bold-3982-Identity-H"/>
          <w:b/>
          <w:bCs/>
          <w:color w:val="181720"/>
          <w:sz w:val="21"/>
          <w:szCs w:val="21"/>
        </w:rPr>
        <w:t xml:space="preserve">Artículo Único. </w:t>
      </w:r>
      <w:r w:rsidRPr="007C2763">
        <w:rPr>
          <w:rFonts w:ascii="Abadi" w:hAnsi="Abadi" w:cs="*Microsoft Sans Serif-3985-Iden"/>
          <w:color w:val="181720"/>
          <w:sz w:val="21"/>
          <w:szCs w:val="21"/>
        </w:rPr>
        <w:t>El presente Decreto entrará en vigor al día siguiente de su publicación en el Periódico Oficial del Gobierno del Estado.</w:t>
      </w:r>
    </w:p>
    <w:p w14:paraId="52DFC2D4" w14:textId="77777777" w:rsidR="00DF3BF0" w:rsidRPr="007C2763" w:rsidRDefault="00DF3BF0" w:rsidP="00DF3BF0">
      <w:pPr>
        <w:autoSpaceDE w:val="0"/>
        <w:autoSpaceDN w:val="0"/>
        <w:adjustRightInd w:val="0"/>
        <w:jc w:val="both"/>
        <w:rPr>
          <w:rFonts w:ascii="Abadi" w:hAnsi="Abadi" w:cs="*Microsoft Sans Serif-3985-Iden"/>
          <w:b/>
          <w:bCs/>
          <w:color w:val="181720"/>
          <w:sz w:val="21"/>
          <w:szCs w:val="21"/>
        </w:rPr>
      </w:pPr>
    </w:p>
    <w:p w14:paraId="6D42224B" w14:textId="77777777" w:rsidR="00DF3BF0" w:rsidRPr="007C2763" w:rsidRDefault="00DF3BF0" w:rsidP="008838F3">
      <w:pPr>
        <w:autoSpaceDE w:val="0"/>
        <w:autoSpaceDN w:val="0"/>
        <w:adjustRightInd w:val="0"/>
        <w:jc w:val="center"/>
        <w:rPr>
          <w:rFonts w:ascii="Abadi" w:hAnsi="Abadi" w:cs="*Microsoft Sans Serif-3985-Iden"/>
          <w:b/>
          <w:bCs/>
          <w:color w:val="181720"/>
          <w:sz w:val="21"/>
          <w:szCs w:val="21"/>
        </w:rPr>
      </w:pPr>
      <w:r w:rsidRPr="007C2763">
        <w:rPr>
          <w:rFonts w:ascii="Abadi" w:hAnsi="Abadi" w:cs="*Microsoft Sans Serif-3985-Iden"/>
          <w:b/>
          <w:bCs/>
          <w:color w:val="181720"/>
          <w:sz w:val="21"/>
          <w:szCs w:val="21"/>
        </w:rPr>
        <w:t xml:space="preserve">Guanajuato, </w:t>
      </w:r>
      <w:proofErr w:type="spellStart"/>
      <w:r w:rsidRPr="007C2763">
        <w:rPr>
          <w:rFonts w:ascii="Abadi" w:hAnsi="Abadi" w:cs="*Microsoft Sans Serif-3985-Iden"/>
          <w:b/>
          <w:bCs/>
          <w:color w:val="181720"/>
          <w:sz w:val="21"/>
          <w:szCs w:val="21"/>
        </w:rPr>
        <w:t>Gto</w:t>
      </w:r>
      <w:proofErr w:type="spellEnd"/>
      <w:r w:rsidRPr="007C2763">
        <w:rPr>
          <w:rFonts w:ascii="Abadi" w:hAnsi="Abadi" w:cs="*Microsoft Sans Serif-3985-Iden"/>
          <w:b/>
          <w:bCs/>
          <w:color w:val="181720"/>
          <w:sz w:val="21"/>
          <w:szCs w:val="21"/>
        </w:rPr>
        <w:t>., a 18 de mayo de 2022</w:t>
      </w:r>
    </w:p>
    <w:p w14:paraId="605E3D28" w14:textId="77777777" w:rsidR="00716159" w:rsidRDefault="00716159" w:rsidP="008838F3">
      <w:pPr>
        <w:autoSpaceDE w:val="0"/>
        <w:autoSpaceDN w:val="0"/>
        <w:adjustRightInd w:val="0"/>
        <w:jc w:val="center"/>
        <w:rPr>
          <w:rFonts w:ascii="Abadi" w:hAnsi="Abadi" w:cs="*Microsoft Sans Serif-3985-Iden"/>
          <w:b/>
          <w:bCs/>
          <w:color w:val="181720"/>
          <w:sz w:val="21"/>
          <w:szCs w:val="21"/>
        </w:rPr>
      </w:pPr>
    </w:p>
    <w:p w14:paraId="1D2A8AF0" w14:textId="0D6B1701" w:rsidR="00DF3BF0" w:rsidRPr="007C2763" w:rsidRDefault="00DF3BF0" w:rsidP="008838F3">
      <w:pPr>
        <w:autoSpaceDE w:val="0"/>
        <w:autoSpaceDN w:val="0"/>
        <w:adjustRightInd w:val="0"/>
        <w:jc w:val="center"/>
        <w:rPr>
          <w:rFonts w:ascii="Abadi" w:hAnsi="Abadi" w:cs="*Microsoft Sans Serif-3985-Iden"/>
          <w:b/>
          <w:bCs/>
          <w:color w:val="181720"/>
          <w:sz w:val="21"/>
          <w:szCs w:val="21"/>
        </w:rPr>
      </w:pPr>
      <w:r w:rsidRPr="007C2763">
        <w:rPr>
          <w:rFonts w:ascii="Abadi" w:hAnsi="Abadi" w:cs="*Microsoft Sans Serif-3985-Iden"/>
          <w:b/>
          <w:bCs/>
          <w:color w:val="181720"/>
          <w:sz w:val="21"/>
          <w:szCs w:val="21"/>
        </w:rPr>
        <w:t>La Comisión de Seguridad Pública y Comunicaciones</w:t>
      </w:r>
    </w:p>
    <w:p w14:paraId="0420DE0D" w14:textId="77777777" w:rsidR="00DF3BF0" w:rsidRPr="007C2763" w:rsidRDefault="00DF3BF0" w:rsidP="00DF3BF0">
      <w:pPr>
        <w:autoSpaceDE w:val="0"/>
        <w:autoSpaceDN w:val="0"/>
        <w:adjustRightInd w:val="0"/>
        <w:jc w:val="both"/>
        <w:rPr>
          <w:rFonts w:ascii="Abadi" w:hAnsi="Abadi" w:cs="*Microsoft Sans Serif-3985-Iden"/>
          <w:b/>
          <w:bCs/>
          <w:color w:val="181720"/>
          <w:sz w:val="21"/>
          <w:szCs w:val="21"/>
        </w:rPr>
      </w:pPr>
    </w:p>
    <w:p w14:paraId="7BF3496C" w14:textId="77777777" w:rsidR="00DF3BF0" w:rsidRPr="007C2763" w:rsidRDefault="00DF3BF0" w:rsidP="00DF3BF0">
      <w:pPr>
        <w:autoSpaceDE w:val="0"/>
        <w:autoSpaceDN w:val="0"/>
        <w:adjustRightInd w:val="0"/>
        <w:jc w:val="both"/>
        <w:rPr>
          <w:rFonts w:ascii="Abadi" w:hAnsi="Abadi" w:cs="*Microsoft Sans Serif-3985-Iden"/>
          <w:b/>
          <w:bCs/>
          <w:color w:val="181720"/>
          <w:sz w:val="21"/>
          <w:szCs w:val="21"/>
        </w:rPr>
      </w:pPr>
      <w:proofErr w:type="spellStart"/>
      <w:r w:rsidRPr="007C2763">
        <w:rPr>
          <w:rFonts w:ascii="Abadi" w:hAnsi="Abadi" w:cs="*Microsoft Sans Serif-3985-Iden"/>
          <w:b/>
          <w:bCs/>
          <w:color w:val="181720"/>
          <w:sz w:val="21"/>
          <w:szCs w:val="21"/>
        </w:rPr>
        <w:t>Dip</w:t>
      </w:r>
      <w:proofErr w:type="spellEnd"/>
      <w:r w:rsidRPr="007C2763">
        <w:rPr>
          <w:rFonts w:ascii="Abadi" w:hAnsi="Abadi" w:cs="*Microsoft Sans Serif-3985-Iden"/>
          <w:b/>
          <w:bCs/>
          <w:color w:val="181720"/>
          <w:sz w:val="21"/>
          <w:szCs w:val="21"/>
        </w:rPr>
        <w:t>. Martín López Camacho</w:t>
      </w:r>
    </w:p>
    <w:p w14:paraId="3F54B6FC" w14:textId="77777777" w:rsidR="00DF3BF0" w:rsidRPr="007C2763" w:rsidRDefault="00DF3BF0" w:rsidP="00DF3BF0">
      <w:pPr>
        <w:autoSpaceDE w:val="0"/>
        <w:autoSpaceDN w:val="0"/>
        <w:adjustRightInd w:val="0"/>
        <w:jc w:val="both"/>
        <w:rPr>
          <w:rFonts w:ascii="Abadi" w:hAnsi="Abadi" w:cs="*Microsoft Sans Serif-3985-Iden"/>
          <w:b/>
          <w:bCs/>
          <w:color w:val="181720"/>
          <w:sz w:val="21"/>
          <w:szCs w:val="21"/>
        </w:rPr>
      </w:pPr>
      <w:proofErr w:type="spellStart"/>
      <w:r w:rsidRPr="007C2763">
        <w:rPr>
          <w:rFonts w:ascii="Abadi" w:hAnsi="Abadi" w:cs="*Microsoft Sans Serif-3985-Iden"/>
          <w:b/>
          <w:bCs/>
          <w:color w:val="181720"/>
          <w:sz w:val="21"/>
          <w:szCs w:val="21"/>
        </w:rPr>
        <w:t>Dip</w:t>
      </w:r>
      <w:proofErr w:type="spellEnd"/>
      <w:r w:rsidRPr="007C2763">
        <w:rPr>
          <w:rFonts w:ascii="Abadi" w:hAnsi="Abadi" w:cs="*Microsoft Sans Serif-3985-Iden"/>
          <w:b/>
          <w:bCs/>
          <w:color w:val="181720"/>
          <w:sz w:val="21"/>
          <w:szCs w:val="21"/>
        </w:rPr>
        <w:t>. Alma Edwviges Alcaraz Hernández</w:t>
      </w:r>
    </w:p>
    <w:p w14:paraId="2FFCBA0A" w14:textId="77777777" w:rsidR="00DF3BF0" w:rsidRPr="007C2763" w:rsidRDefault="00DF3BF0" w:rsidP="00DF3BF0">
      <w:pPr>
        <w:autoSpaceDE w:val="0"/>
        <w:autoSpaceDN w:val="0"/>
        <w:adjustRightInd w:val="0"/>
        <w:jc w:val="both"/>
        <w:rPr>
          <w:rFonts w:ascii="Abadi" w:hAnsi="Abadi" w:cs="*Microsoft Sans Serif-3985-Iden"/>
          <w:b/>
          <w:bCs/>
          <w:color w:val="181720"/>
          <w:sz w:val="21"/>
          <w:szCs w:val="21"/>
        </w:rPr>
      </w:pPr>
      <w:proofErr w:type="spellStart"/>
      <w:r w:rsidRPr="007C2763">
        <w:rPr>
          <w:rFonts w:ascii="Abadi" w:hAnsi="Abadi" w:cs="*Microsoft Sans Serif-3985-Iden"/>
          <w:b/>
          <w:bCs/>
          <w:color w:val="181720"/>
          <w:sz w:val="21"/>
          <w:szCs w:val="21"/>
        </w:rPr>
        <w:t>Dip</w:t>
      </w:r>
      <w:proofErr w:type="spellEnd"/>
      <w:r w:rsidRPr="007C2763">
        <w:rPr>
          <w:rFonts w:ascii="Abadi" w:hAnsi="Abadi" w:cs="*Microsoft Sans Serif-3985-Iden"/>
          <w:b/>
          <w:bCs/>
          <w:color w:val="181720"/>
          <w:sz w:val="21"/>
          <w:szCs w:val="21"/>
        </w:rPr>
        <w:t>. Rolando Fortino Alcántar Rojas</w:t>
      </w:r>
    </w:p>
    <w:p w14:paraId="0D79D8F8" w14:textId="3E287ABF" w:rsidR="00DF3BF0" w:rsidRPr="007C2763" w:rsidRDefault="00DF3BF0" w:rsidP="00DF3BF0">
      <w:pPr>
        <w:autoSpaceDE w:val="0"/>
        <w:autoSpaceDN w:val="0"/>
        <w:adjustRightInd w:val="0"/>
        <w:jc w:val="both"/>
        <w:rPr>
          <w:rFonts w:ascii="Abadi" w:hAnsi="Abadi" w:cs="*Microsoft Sans Serif-3985-Iden"/>
          <w:b/>
          <w:bCs/>
          <w:color w:val="181720"/>
          <w:sz w:val="21"/>
          <w:szCs w:val="21"/>
        </w:rPr>
      </w:pPr>
      <w:proofErr w:type="spellStart"/>
      <w:r w:rsidRPr="007C2763">
        <w:rPr>
          <w:rFonts w:ascii="Abadi" w:hAnsi="Abadi" w:cs="*Microsoft Sans Serif-3985-Iden"/>
          <w:b/>
          <w:bCs/>
          <w:color w:val="181720"/>
          <w:sz w:val="21"/>
          <w:szCs w:val="21"/>
        </w:rPr>
        <w:t>Dip</w:t>
      </w:r>
      <w:proofErr w:type="spellEnd"/>
      <w:r w:rsidRPr="007C2763">
        <w:rPr>
          <w:rFonts w:ascii="Abadi" w:hAnsi="Abadi" w:cs="*Microsoft Sans Serif-3985-Iden"/>
          <w:b/>
          <w:bCs/>
          <w:color w:val="181720"/>
          <w:sz w:val="21"/>
          <w:szCs w:val="21"/>
        </w:rPr>
        <w:t>. Bricio Balderas Álvarez</w:t>
      </w:r>
    </w:p>
    <w:p w14:paraId="31F9D199" w14:textId="6C38A6BB" w:rsidR="00C43D09" w:rsidRDefault="00C43D09" w:rsidP="00DF3BF0">
      <w:pPr>
        <w:autoSpaceDE w:val="0"/>
        <w:autoSpaceDN w:val="0"/>
        <w:adjustRightInd w:val="0"/>
        <w:jc w:val="both"/>
        <w:rPr>
          <w:rFonts w:ascii="Abadi" w:hAnsi="Abadi" w:cs="*Microsoft Sans Serif-3985-Iden"/>
          <w:b/>
          <w:bCs/>
          <w:color w:val="181720"/>
          <w:sz w:val="21"/>
          <w:szCs w:val="21"/>
        </w:rPr>
      </w:pPr>
      <w:proofErr w:type="spellStart"/>
      <w:r w:rsidRPr="007C2763">
        <w:rPr>
          <w:rFonts w:ascii="Abadi" w:hAnsi="Abadi" w:cs="*Microsoft Sans Serif-3985-Iden"/>
          <w:b/>
          <w:bCs/>
          <w:color w:val="181720"/>
          <w:sz w:val="21"/>
          <w:szCs w:val="21"/>
        </w:rPr>
        <w:t>Dip</w:t>
      </w:r>
      <w:proofErr w:type="spellEnd"/>
      <w:r w:rsidRPr="007C2763">
        <w:rPr>
          <w:rFonts w:ascii="Abadi" w:hAnsi="Abadi" w:cs="*Microsoft Sans Serif-3985-Iden"/>
          <w:b/>
          <w:bCs/>
          <w:color w:val="181720"/>
          <w:sz w:val="21"/>
          <w:szCs w:val="21"/>
        </w:rPr>
        <w:t>. Gerardo Fernández González</w:t>
      </w:r>
    </w:p>
    <w:p w14:paraId="54613BA2" w14:textId="31399EAD" w:rsidR="00716159" w:rsidRDefault="00716159" w:rsidP="00DF3BF0">
      <w:pPr>
        <w:autoSpaceDE w:val="0"/>
        <w:autoSpaceDN w:val="0"/>
        <w:adjustRightInd w:val="0"/>
        <w:jc w:val="both"/>
        <w:rPr>
          <w:rFonts w:ascii="Abadi" w:hAnsi="Abadi" w:cs="*Microsoft Sans Serif-3985-Iden"/>
          <w:b/>
          <w:bCs/>
          <w:color w:val="181720"/>
          <w:sz w:val="21"/>
          <w:szCs w:val="21"/>
        </w:rPr>
      </w:pPr>
    </w:p>
    <w:p w14:paraId="743CA756" w14:textId="7F25B98E" w:rsidR="00262CBA" w:rsidRDefault="00474471" w:rsidP="00474471">
      <w:pPr>
        <w:pStyle w:val="NormalWeb"/>
        <w:ind w:firstLine="708"/>
        <w:jc w:val="both"/>
        <w:rPr>
          <w:rFonts w:ascii="Abadi" w:hAnsi="Abadi"/>
          <w:sz w:val="21"/>
          <w:szCs w:val="21"/>
        </w:rPr>
      </w:pPr>
      <w:r>
        <w:rPr>
          <w:rFonts w:ascii="Abadi" w:hAnsi="Abadi"/>
          <w:b/>
          <w:bCs/>
          <w:sz w:val="21"/>
          <w:szCs w:val="21"/>
        </w:rPr>
        <w:t xml:space="preserve">- </w:t>
      </w:r>
      <w:r w:rsidR="00262CBA" w:rsidRPr="00111EBB">
        <w:rPr>
          <w:rFonts w:ascii="Abadi" w:hAnsi="Abadi"/>
          <w:b/>
          <w:bCs/>
          <w:sz w:val="21"/>
          <w:szCs w:val="21"/>
        </w:rPr>
        <w:t xml:space="preserve">La </w:t>
      </w:r>
      <w:proofErr w:type="gramStart"/>
      <w:r w:rsidR="00262CBA" w:rsidRPr="00111EBB">
        <w:rPr>
          <w:rFonts w:ascii="Abadi" w:hAnsi="Abadi"/>
          <w:b/>
          <w:bCs/>
          <w:sz w:val="21"/>
          <w:szCs w:val="21"/>
        </w:rPr>
        <w:t>Presidencia.-</w:t>
      </w:r>
      <w:proofErr w:type="gramEnd"/>
      <w:r w:rsidR="00262CBA">
        <w:rPr>
          <w:rFonts w:ascii="Abadi" w:hAnsi="Abadi"/>
          <w:sz w:val="21"/>
          <w:szCs w:val="21"/>
        </w:rPr>
        <w:t xml:space="preserve"> P</w:t>
      </w:r>
      <w:r w:rsidR="00262CBA" w:rsidRPr="0021199F">
        <w:rPr>
          <w:rFonts w:ascii="Abadi" w:hAnsi="Abadi"/>
          <w:sz w:val="21"/>
          <w:szCs w:val="21"/>
        </w:rPr>
        <w:t>rocede someter a discusión el dictamen signado por la Comisión de Seguridad Pública</w:t>
      </w:r>
      <w:r w:rsidR="00262CBA">
        <w:rPr>
          <w:rFonts w:ascii="Abadi" w:hAnsi="Abadi"/>
          <w:sz w:val="21"/>
          <w:szCs w:val="21"/>
        </w:rPr>
        <w:t xml:space="preserve"> y</w:t>
      </w:r>
      <w:r w:rsidR="00262CBA" w:rsidRPr="0021199F">
        <w:rPr>
          <w:rFonts w:ascii="Abadi" w:hAnsi="Abadi"/>
          <w:sz w:val="21"/>
          <w:szCs w:val="21"/>
        </w:rPr>
        <w:t xml:space="preserve"> Comunicaciones, relativ</w:t>
      </w:r>
      <w:r w:rsidR="00262CBA">
        <w:rPr>
          <w:rFonts w:ascii="Abadi" w:hAnsi="Abadi"/>
          <w:sz w:val="21"/>
          <w:szCs w:val="21"/>
        </w:rPr>
        <w:t xml:space="preserve">o a la iniciativa </w:t>
      </w:r>
      <w:r w:rsidR="00262CBA" w:rsidRPr="0021199F">
        <w:rPr>
          <w:rFonts w:ascii="Abadi" w:hAnsi="Abadi"/>
          <w:sz w:val="21"/>
          <w:szCs w:val="21"/>
        </w:rPr>
        <w:t>su</w:t>
      </w:r>
      <w:r w:rsidR="00262CBA">
        <w:rPr>
          <w:rFonts w:ascii="Abadi" w:hAnsi="Abadi"/>
          <w:sz w:val="21"/>
          <w:szCs w:val="21"/>
        </w:rPr>
        <w:t>s</w:t>
      </w:r>
      <w:r w:rsidR="00262CBA" w:rsidRPr="0021199F">
        <w:rPr>
          <w:rFonts w:ascii="Abadi" w:hAnsi="Abadi"/>
          <w:sz w:val="21"/>
          <w:szCs w:val="21"/>
        </w:rPr>
        <w:t>c</w:t>
      </w:r>
      <w:r w:rsidR="00262CBA">
        <w:rPr>
          <w:rFonts w:ascii="Abadi" w:hAnsi="Abadi"/>
          <w:sz w:val="21"/>
          <w:szCs w:val="21"/>
        </w:rPr>
        <w:t>r</w:t>
      </w:r>
      <w:r w:rsidR="00262CBA" w:rsidRPr="0021199F">
        <w:rPr>
          <w:rFonts w:ascii="Abadi" w:hAnsi="Abadi"/>
          <w:sz w:val="21"/>
          <w:szCs w:val="21"/>
        </w:rPr>
        <w:t xml:space="preserve">ita por la diputada y el diputado, integrantes del Grupo </w:t>
      </w:r>
      <w:r w:rsidR="00262CBA">
        <w:rPr>
          <w:rFonts w:ascii="Abadi" w:hAnsi="Abadi"/>
          <w:sz w:val="21"/>
          <w:szCs w:val="21"/>
        </w:rPr>
        <w:t>P</w:t>
      </w:r>
      <w:r w:rsidR="00262CBA" w:rsidRPr="0021199F">
        <w:rPr>
          <w:rFonts w:ascii="Abadi" w:hAnsi="Abadi"/>
          <w:sz w:val="21"/>
          <w:szCs w:val="21"/>
        </w:rPr>
        <w:t xml:space="preserve">arlamentario del Partido Verde Ecologista de México, a efecto de adicionar un párrafo segundo al artículo </w:t>
      </w:r>
      <w:r w:rsidR="00262CBA">
        <w:rPr>
          <w:rFonts w:ascii="Abadi" w:hAnsi="Abadi"/>
          <w:sz w:val="21"/>
          <w:szCs w:val="21"/>
        </w:rPr>
        <w:t>251</w:t>
      </w:r>
      <w:r w:rsidR="00262CBA" w:rsidRPr="0021199F">
        <w:rPr>
          <w:rFonts w:ascii="Abadi" w:hAnsi="Abadi"/>
          <w:sz w:val="21"/>
          <w:szCs w:val="21"/>
        </w:rPr>
        <w:t xml:space="preserve"> de la Ley de Movilidad del Estado de Guanajuato y sus municipios</w:t>
      </w:r>
      <w:r w:rsidR="00262CBA">
        <w:rPr>
          <w:rFonts w:ascii="Abadi" w:hAnsi="Abadi"/>
          <w:sz w:val="21"/>
          <w:szCs w:val="21"/>
        </w:rPr>
        <w:t xml:space="preserve">. </w:t>
      </w:r>
    </w:p>
    <w:p w14:paraId="55EC8D8B" w14:textId="4B418116" w:rsidR="00262CBA" w:rsidRDefault="00474471" w:rsidP="00474471">
      <w:pPr>
        <w:pStyle w:val="NormalWeb"/>
        <w:ind w:firstLine="708"/>
        <w:jc w:val="both"/>
        <w:rPr>
          <w:rFonts w:ascii="Abadi" w:hAnsi="Abadi"/>
          <w:sz w:val="21"/>
          <w:szCs w:val="21"/>
        </w:rPr>
      </w:pPr>
      <w:r>
        <w:rPr>
          <w:rFonts w:ascii="Abadi" w:hAnsi="Abadi"/>
          <w:sz w:val="21"/>
          <w:szCs w:val="21"/>
        </w:rPr>
        <w:t xml:space="preserve">- </w:t>
      </w:r>
      <w:r w:rsidR="00262CBA">
        <w:rPr>
          <w:rFonts w:ascii="Abadi" w:hAnsi="Abadi"/>
          <w:sz w:val="21"/>
          <w:szCs w:val="21"/>
        </w:rPr>
        <w:t>M</w:t>
      </w:r>
      <w:r w:rsidR="00262CBA" w:rsidRPr="0021199F">
        <w:rPr>
          <w:rFonts w:ascii="Abadi" w:hAnsi="Abadi"/>
          <w:sz w:val="21"/>
          <w:szCs w:val="21"/>
        </w:rPr>
        <w:t>e permit</w:t>
      </w:r>
      <w:r w:rsidR="00262CBA">
        <w:rPr>
          <w:rFonts w:ascii="Abadi" w:hAnsi="Abadi"/>
          <w:sz w:val="21"/>
          <w:szCs w:val="21"/>
        </w:rPr>
        <w:t>o</w:t>
      </w:r>
      <w:r w:rsidR="00262CBA" w:rsidRPr="0021199F">
        <w:rPr>
          <w:rFonts w:ascii="Abadi" w:hAnsi="Abadi"/>
          <w:sz w:val="21"/>
          <w:szCs w:val="21"/>
        </w:rPr>
        <w:t xml:space="preserve"> informar que previamente</w:t>
      </w:r>
      <w:r w:rsidR="00262CBA">
        <w:rPr>
          <w:rFonts w:ascii="Abadi" w:hAnsi="Abadi"/>
          <w:sz w:val="21"/>
          <w:szCs w:val="21"/>
        </w:rPr>
        <w:t xml:space="preserve"> se ha inscrito</w:t>
      </w:r>
      <w:r w:rsidR="00262CBA" w:rsidRPr="0021199F">
        <w:rPr>
          <w:rFonts w:ascii="Abadi" w:hAnsi="Abadi"/>
          <w:sz w:val="21"/>
          <w:szCs w:val="21"/>
        </w:rPr>
        <w:t xml:space="preserve"> el diputado Gerardo Fernández González para hablar a favor del dictamen. </w:t>
      </w:r>
    </w:p>
    <w:p w14:paraId="6EFEFEB6" w14:textId="06CBFBB6" w:rsidR="00262CBA" w:rsidRDefault="00474471" w:rsidP="00474471">
      <w:pPr>
        <w:pStyle w:val="NormalWeb"/>
        <w:ind w:firstLine="708"/>
        <w:jc w:val="both"/>
        <w:rPr>
          <w:rFonts w:ascii="Abadi" w:hAnsi="Abadi"/>
          <w:sz w:val="21"/>
          <w:szCs w:val="21"/>
        </w:rPr>
      </w:pPr>
      <w:r>
        <w:rPr>
          <w:rFonts w:ascii="Abadi" w:hAnsi="Abadi"/>
          <w:sz w:val="21"/>
          <w:szCs w:val="21"/>
        </w:rPr>
        <w:t xml:space="preserve">- </w:t>
      </w:r>
      <w:r w:rsidR="00262CBA" w:rsidRPr="0021199F">
        <w:rPr>
          <w:rFonts w:ascii="Abadi" w:hAnsi="Abadi"/>
          <w:sz w:val="21"/>
          <w:szCs w:val="21"/>
        </w:rPr>
        <w:t>Si alguna diputada o algún diputado desea hacer uso de la palabra en pro o en contra, manifiéste</w:t>
      </w:r>
      <w:r w:rsidR="00262CBA">
        <w:rPr>
          <w:rFonts w:ascii="Abadi" w:hAnsi="Abadi"/>
          <w:sz w:val="21"/>
          <w:szCs w:val="21"/>
        </w:rPr>
        <w:t>nlo</w:t>
      </w:r>
      <w:r w:rsidR="00262CBA" w:rsidRPr="0021199F">
        <w:rPr>
          <w:rFonts w:ascii="Abadi" w:hAnsi="Abadi"/>
          <w:sz w:val="21"/>
          <w:szCs w:val="21"/>
        </w:rPr>
        <w:t xml:space="preserve"> indicando el sentido de su participación. </w:t>
      </w:r>
    </w:p>
    <w:p w14:paraId="477E7790" w14:textId="4CD7DD82" w:rsidR="00262CBA" w:rsidRDefault="00474471" w:rsidP="00474471">
      <w:pPr>
        <w:pStyle w:val="NormalWeb"/>
        <w:ind w:firstLine="708"/>
        <w:jc w:val="both"/>
        <w:rPr>
          <w:rFonts w:ascii="Abadi" w:hAnsi="Abadi"/>
          <w:sz w:val="21"/>
          <w:szCs w:val="21"/>
        </w:rPr>
      </w:pPr>
      <w:r>
        <w:rPr>
          <w:rFonts w:ascii="Abadi" w:hAnsi="Abadi"/>
          <w:b/>
          <w:bCs/>
          <w:sz w:val="21"/>
          <w:szCs w:val="21"/>
        </w:rPr>
        <w:t xml:space="preserve">- </w:t>
      </w:r>
      <w:r w:rsidR="00262CBA" w:rsidRPr="00111EBB">
        <w:rPr>
          <w:rFonts w:ascii="Abadi" w:hAnsi="Abadi"/>
          <w:b/>
          <w:bCs/>
          <w:sz w:val="21"/>
          <w:szCs w:val="21"/>
        </w:rPr>
        <w:t xml:space="preserve">La </w:t>
      </w:r>
      <w:proofErr w:type="gramStart"/>
      <w:r w:rsidR="00262CBA" w:rsidRPr="00111EBB">
        <w:rPr>
          <w:rFonts w:ascii="Abadi" w:hAnsi="Abadi"/>
          <w:b/>
          <w:bCs/>
          <w:sz w:val="21"/>
          <w:szCs w:val="21"/>
        </w:rPr>
        <w:t>Presidencia.-</w:t>
      </w:r>
      <w:proofErr w:type="gramEnd"/>
      <w:r w:rsidR="00262CBA">
        <w:rPr>
          <w:rFonts w:ascii="Abadi" w:hAnsi="Abadi"/>
          <w:sz w:val="21"/>
          <w:szCs w:val="21"/>
        </w:rPr>
        <w:t xml:space="preserve"> </w:t>
      </w:r>
      <w:r w:rsidR="00262CBA" w:rsidRPr="0021199F">
        <w:rPr>
          <w:rFonts w:ascii="Abadi" w:hAnsi="Abadi"/>
          <w:sz w:val="21"/>
          <w:szCs w:val="21"/>
        </w:rPr>
        <w:t xml:space="preserve">Se concede el uso de la palabra </w:t>
      </w:r>
      <w:r w:rsidR="00BC6383">
        <w:rPr>
          <w:rFonts w:ascii="Abadi" w:hAnsi="Abadi"/>
          <w:sz w:val="21"/>
          <w:szCs w:val="21"/>
        </w:rPr>
        <w:t>a</w:t>
      </w:r>
      <w:r w:rsidR="00262CBA" w:rsidRPr="0021199F">
        <w:rPr>
          <w:rFonts w:ascii="Abadi" w:hAnsi="Abadi"/>
          <w:sz w:val="21"/>
          <w:szCs w:val="21"/>
        </w:rPr>
        <w:t>l diputado Gerardo Fernández González</w:t>
      </w:r>
      <w:r w:rsidR="00262CBA">
        <w:rPr>
          <w:rFonts w:ascii="Abadi" w:hAnsi="Abadi"/>
          <w:sz w:val="21"/>
          <w:szCs w:val="21"/>
        </w:rPr>
        <w:t>, h</w:t>
      </w:r>
      <w:r w:rsidR="00262CBA" w:rsidRPr="0021199F">
        <w:rPr>
          <w:rFonts w:ascii="Abadi" w:hAnsi="Abadi"/>
          <w:sz w:val="21"/>
          <w:szCs w:val="21"/>
        </w:rPr>
        <w:t xml:space="preserve">asta por </w:t>
      </w:r>
      <w:r w:rsidR="00BC6383">
        <w:rPr>
          <w:rFonts w:ascii="Abadi" w:hAnsi="Abadi"/>
          <w:sz w:val="21"/>
          <w:szCs w:val="21"/>
        </w:rPr>
        <w:t>10</w:t>
      </w:r>
      <w:r w:rsidR="00262CBA" w:rsidRPr="0021199F">
        <w:rPr>
          <w:rFonts w:ascii="Abadi" w:hAnsi="Abadi"/>
          <w:sz w:val="21"/>
          <w:szCs w:val="21"/>
        </w:rPr>
        <w:t xml:space="preserve"> minutos</w:t>
      </w:r>
      <w:r w:rsidR="00262CBA">
        <w:rPr>
          <w:rFonts w:ascii="Abadi" w:hAnsi="Abadi"/>
          <w:sz w:val="21"/>
          <w:szCs w:val="21"/>
        </w:rPr>
        <w:t>.</w:t>
      </w:r>
      <w:r w:rsidR="00262CBA" w:rsidRPr="0021199F">
        <w:rPr>
          <w:rFonts w:ascii="Abadi" w:hAnsi="Abadi"/>
          <w:sz w:val="21"/>
          <w:szCs w:val="21"/>
        </w:rPr>
        <w:t xml:space="preserve"> </w:t>
      </w:r>
    </w:p>
    <w:p w14:paraId="59BDBB6F" w14:textId="7BB19790" w:rsidR="00262CBA" w:rsidRDefault="00474471" w:rsidP="00474471">
      <w:pPr>
        <w:pStyle w:val="NormalWeb"/>
        <w:ind w:firstLine="708"/>
        <w:jc w:val="both"/>
        <w:rPr>
          <w:rFonts w:ascii="Abadi" w:hAnsi="Abadi"/>
          <w:sz w:val="21"/>
          <w:szCs w:val="21"/>
        </w:rPr>
      </w:pPr>
      <w:r>
        <w:rPr>
          <w:rFonts w:ascii="Abadi" w:hAnsi="Abadi"/>
          <w:sz w:val="21"/>
          <w:szCs w:val="21"/>
        </w:rPr>
        <w:t xml:space="preserve">- </w:t>
      </w:r>
      <w:r w:rsidR="00262CBA">
        <w:rPr>
          <w:rFonts w:ascii="Abadi" w:hAnsi="Abadi"/>
          <w:sz w:val="21"/>
          <w:szCs w:val="21"/>
        </w:rPr>
        <w:t>A</w:t>
      </w:r>
      <w:r w:rsidR="00262CBA" w:rsidRPr="0021199F">
        <w:rPr>
          <w:rFonts w:ascii="Abadi" w:hAnsi="Abadi"/>
          <w:sz w:val="21"/>
          <w:szCs w:val="21"/>
        </w:rPr>
        <w:t xml:space="preserve">delante, diputado. </w:t>
      </w:r>
    </w:p>
    <w:p w14:paraId="5ECC6F48" w14:textId="2A511628" w:rsidR="00262CBA" w:rsidRDefault="00474471" w:rsidP="00262CBA">
      <w:pPr>
        <w:pStyle w:val="NormalWeb"/>
        <w:jc w:val="both"/>
        <w:rPr>
          <w:rFonts w:ascii="Abadi" w:hAnsi="Abadi"/>
          <w:b/>
          <w:bCs/>
          <w:sz w:val="21"/>
          <w:szCs w:val="21"/>
        </w:rPr>
      </w:pPr>
      <w:r>
        <w:rPr>
          <w:noProof/>
        </w:rPr>
        <w:drawing>
          <wp:anchor distT="0" distB="0" distL="114300" distR="114300" simplePos="0" relativeHeight="251658256" behindDoc="1" locked="0" layoutInCell="1" allowOverlap="1" wp14:anchorId="20D616B3" wp14:editId="771569DC">
            <wp:simplePos x="0" y="0"/>
            <wp:positionH relativeFrom="column">
              <wp:posOffset>304800</wp:posOffset>
            </wp:positionH>
            <wp:positionV relativeFrom="paragraph">
              <wp:posOffset>878840</wp:posOffset>
            </wp:positionV>
            <wp:extent cx="2017395" cy="1047750"/>
            <wp:effectExtent l="19050" t="114300" r="0" b="800100"/>
            <wp:wrapTight wrapText="bothSides">
              <wp:wrapPolygon edited="0">
                <wp:start x="204" y="-2356"/>
                <wp:lineTo x="-204" y="4713"/>
                <wp:lineTo x="408" y="37702"/>
                <wp:lineTo x="3263" y="37702"/>
                <wp:lineTo x="3467" y="36916"/>
                <wp:lineTo x="8567" y="36131"/>
                <wp:lineTo x="10810" y="36131"/>
                <wp:lineTo x="20193" y="31025"/>
                <wp:lineTo x="20193" y="-2356"/>
                <wp:lineTo x="204" y="-2356"/>
              </wp:wrapPolygon>
            </wp:wrapTight>
            <wp:docPr id="52" name="Imagen 52" descr="Un hombre en traje parado enfrente de una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Un hombre en traje parado enfrente de una pantalla&#10;&#10;Descripción generada automáticamente"/>
                    <pic:cNvPicPr/>
                  </pic:nvPicPr>
                  <pic:blipFill rotWithShape="1">
                    <a:blip r:embed="rId64" cstate="print">
                      <a:extLst>
                        <a:ext uri="{28A0092B-C50C-407E-A947-70E740481C1C}">
                          <a14:useLocalDpi xmlns:a14="http://schemas.microsoft.com/office/drawing/2010/main" val="0"/>
                        </a:ext>
                      </a:extLst>
                    </a:blip>
                    <a:srcRect b="7627"/>
                    <a:stretch/>
                  </pic:blipFill>
                  <pic:spPr bwMode="auto">
                    <a:xfrm>
                      <a:off x="0" y="0"/>
                      <a:ext cx="2017395" cy="104775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r w:rsidR="00262CBA" w:rsidRPr="00D11B90">
        <w:rPr>
          <w:rFonts w:ascii="Abadi" w:hAnsi="Abadi"/>
          <w:b/>
          <w:bCs/>
          <w:sz w:val="21"/>
          <w:szCs w:val="21"/>
        </w:rPr>
        <w:t xml:space="preserve">(Sube a tribuna </w:t>
      </w:r>
      <w:r w:rsidR="00262CBA">
        <w:rPr>
          <w:rFonts w:ascii="Abadi" w:hAnsi="Abadi"/>
          <w:b/>
          <w:bCs/>
          <w:sz w:val="21"/>
          <w:szCs w:val="21"/>
        </w:rPr>
        <w:t xml:space="preserve">el </w:t>
      </w:r>
      <w:r w:rsidR="00262CBA" w:rsidRPr="00D11B90">
        <w:rPr>
          <w:rFonts w:ascii="Abadi" w:hAnsi="Abadi"/>
          <w:b/>
          <w:bCs/>
          <w:sz w:val="21"/>
          <w:szCs w:val="21"/>
        </w:rPr>
        <w:t xml:space="preserve">Diputado Gerardo Fernández para hablar a favor del dictamen) </w:t>
      </w:r>
    </w:p>
    <w:p w14:paraId="63D614D1" w14:textId="37EF9BF3" w:rsidR="00262CBA" w:rsidRDefault="00262CBA" w:rsidP="00262CBA">
      <w:pPr>
        <w:pStyle w:val="NormalWeb"/>
        <w:jc w:val="both"/>
        <w:rPr>
          <w:rFonts w:ascii="Abadi" w:hAnsi="Abadi"/>
          <w:b/>
          <w:bCs/>
          <w:sz w:val="21"/>
          <w:szCs w:val="21"/>
        </w:rPr>
      </w:pPr>
    </w:p>
    <w:p w14:paraId="26E972D7" w14:textId="74DF01B3" w:rsidR="00262CBA" w:rsidRDefault="00262CBA" w:rsidP="00262CBA">
      <w:pPr>
        <w:pStyle w:val="NormalWeb"/>
        <w:jc w:val="both"/>
        <w:rPr>
          <w:rFonts w:ascii="Abadi" w:hAnsi="Abadi"/>
          <w:b/>
          <w:bCs/>
          <w:sz w:val="21"/>
          <w:szCs w:val="21"/>
        </w:rPr>
      </w:pPr>
    </w:p>
    <w:p w14:paraId="4DD262BE" w14:textId="77777777" w:rsidR="00262CBA" w:rsidRDefault="00262CBA" w:rsidP="00262CBA">
      <w:pPr>
        <w:pStyle w:val="NormalWeb"/>
        <w:jc w:val="both"/>
        <w:rPr>
          <w:rFonts w:ascii="Abadi" w:hAnsi="Abadi"/>
          <w:sz w:val="21"/>
          <w:szCs w:val="21"/>
        </w:rPr>
      </w:pPr>
      <w:r>
        <w:rPr>
          <w:rFonts w:ascii="Abadi" w:hAnsi="Abadi"/>
          <w:sz w:val="21"/>
          <w:szCs w:val="21"/>
        </w:rPr>
        <w:t>- C</w:t>
      </w:r>
      <w:r w:rsidRPr="0021199F">
        <w:rPr>
          <w:rFonts w:ascii="Abadi" w:hAnsi="Abadi"/>
          <w:sz w:val="21"/>
          <w:szCs w:val="21"/>
        </w:rPr>
        <w:t xml:space="preserve">on el permiso de la </w:t>
      </w:r>
      <w:r>
        <w:rPr>
          <w:rFonts w:ascii="Abadi" w:hAnsi="Abadi"/>
          <w:sz w:val="21"/>
          <w:szCs w:val="21"/>
        </w:rPr>
        <w:t>P</w:t>
      </w:r>
      <w:r w:rsidRPr="0021199F">
        <w:rPr>
          <w:rFonts w:ascii="Abadi" w:hAnsi="Abadi"/>
          <w:sz w:val="21"/>
          <w:szCs w:val="21"/>
        </w:rPr>
        <w:t>residencia</w:t>
      </w:r>
      <w:r>
        <w:rPr>
          <w:rFonts w:ascii="Abadi" w:hAnsi="Abadi"/>
          <w:sz w:val="21"/>
          <w:szCs w:val="21"/>
        </w:rPr>
        <w:t xml:space="preserve">, de </w:t>
      </w:r>
      <w:r w:rsidRPr="0021199F">
        <w:rPr>
          <w:rFonts w:ascii="Abadi" w:hAnsi="Abadi"/>
          <w:sz w:val="21"/>
          <w:szCs w:val="21"/>
        </w:rPr>
        <w:t xml:space="preserve">la </w:t>
      </w:r>
      <w:r>
        <w:rPr>
          <w:rFonts w:ascii="Abadi" w:hAnsi="Abadi"/>
          <w:sz w:val="21"/>
          <w:szCs w:val="21"/>
        </w:rPr>
        <w:t>Mesa D</w:t>
      </w:r>
      <w:r w:rsidRPr="0021199F">
        <w:rPr>
          <w:rFonts w:ascii="Abadi" w:hAnsi="Abadi"/>
          <w:sz w:val="21"/>
          <w:szCs w:val="21"/>
        </w:rPr>
        <w:t>irectiva</w:t>
      </w:r>
      <w:r>
        <w:rPr>
          <w:rFonts w:ascii="Abadi" w:hAnsi="Abadi"/>
          <w:sz w:val="21"/>
          <w:szCs w:val="21"/>
        </w:rPr>
        <w:t>,</w:t>
      </w:r>
      <w:r w:rsidRPr="0021199F">
        <w:rPr>
          <w:rFonts w:ascii="Abadi" w:hAnsi="Abadi"/>
          <w:sz w:val="21"/>
          <w:szCs w:val="21"/>
        </w:rPr>
        <w:t xml:space="preserve"> salud</w:t>
      </w:r>
      <w:r>
        <w:rPr>
          <w:rFonts w:ascii="Abadi" w:hAnsi="Abadi"/>
          <w:sz w:val="21"/>
          <w:szCs w:val="21"/>
        </w:rPr>
        <w:t>o a</w:t>
      </w:r>
      <w:r w:rsidRPr="0021199F">
        <w:rPr>
          <w:rFonts w:ascii="Abadi" w:hAnsi="Abadi"/>
          <w:sz w:val="21"/>
          <w:szCs w:val="21"/>
        </w:rPr>
        <w:t xml:space="preserve"> mis compañeras y compañeros y a los medios de comunicación que nos acompañan</w:t>
      </w:r>
      <w:r>
        <w:rPr>
          <w:rFonts w:ascii="Abadi" w:hAnsi="Abadi"/>
          <w:sz w:val="21"/>
          <w:szCs w:val="21"/>
        </w:rPr>
        <w:t xml:space="preserve"> y a</w:t>
      </w:r>
      <w:r w:rsidRPr="0021199F">
        <w:rPr>
          <w:rFonts w:ascii="Abadi" w:hAnsi="Abadi"/>
          <w:sz w:val="21"/>
          <w:szCs w:val="21"/>
        </w:rPr>
        <w:t xml:space="preserve"> </w:t>
      </w:r>
      <w:r>
        <w:rPr>
          <w:rFonts w:ascii="Abadi" w:hAnsi="Abadi"/>
          <w:sz w:val="21"/>
          <w:szCs w:val="21"/>
        </w:rPr>
        <w:t>quien</w:t>
      </w:r>
      <w:r w:rsidRPr="0021199F">
        <w:rPr>
          <w:rFonts w:ascii="Abadi" w:hAnsi="Abadi"/>
          <w:sz w:val="21"/>
          <w:szCs w:val="21"/>
        </w:rPr>
        <w:t xml:space="preserve"> nos hace favor de acompañarnos por los medios electrónicos. </w:t>
      </w:r>
    </w:p>
    <w:p w14:paraId="1B22E7D8" w14:textId="77777777" w:rsidR="00262CBA" w:rsidRDefault="00262CBA" w:rsidP="00262CBA">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Subo a esta tribuna para hablar a favor del presente dictamen</w:t>
      </w:r>
      <w:r>
        <w:rPr>
          <w:rFonts w:ascii="Abadi" w:hAnsi="Abadi"/>
          <w:sz w:val="21"/>
          <w:szCs w:val="21"/>
        </w:rPr>
        <w:t>, e</w:t>
      </w:r>
      <w:r w:rsidRPr="0021199F">
        <w:rPr>
          <w:rFonts w:ascii="Abadi" w:hAnsi="Abadi"/>
          <w:sz w:val="21"/>
          <w:szCs w:val="21"/>
        </w:rPr>
        <w:t>l desarrollo de los derechos humanos ha implicado el surgimiento de nuevas prácticas por parte de distintos actores de la sociedad para garantizar derechos como el acceso a la salud</w:t>
      </w:r>
      <w:r>
        <w:rPr>
          <w:rFonts w:ascii="Abadi" w:hAnsi="Abadi"/>
          <w:sz w:val="21"/>
          <w:szCs w:val="21"/>
        </w:rPr>
        <w:t>,</w:t>
      </w:r>
      <w:r w:rsidRPr="0021199F">
        <w:rPr>
          <w:rFonts w:ascii="Abadi" w:hAnsi="Abadi"/>
          <w:sz w:val="21"/>
          <w:szCs w:val="21"/>
        </w:rPr>
        <w:t xml:space="preserve"> a un medio ambiente sano, mismos que han obligado los Estados y municipios a cambiar la forma de gobernar, de cómo se crean las políticas públicas y de cómo deben ser ejecutadas. </w:t>
      </w:r>
    </w:p>
    <w:p w14:paraId="252514A0" w14:textId="6A92A037" w:rsidR="00262CBA" w:rsidRDefault="00262CBA" w:rsidP="00262CBA">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Como legisladores tenemos la obligación de establecer los instrumentos normativos que promuevan entornos saludables y diri</w:t>
      </w:r>
      <w:r>
        <w:rPr>
          <w:rFonts w:ascii="Abadi" w:hAnsi="Abadi"/>
          <w:sz w:val="21"/>
          <w:szCs w:val="21"/>
        </w:rPr>
        <w:t>ja</w:t>
      </w:r>
      <w:r w:rsidRPr="0021199F">
        <w:rPr>
          <w:rFonts w:ascii="Abadi" w:hAnsi="Abadi"/>
          <w:sz w:val="21"/>
          <w:szCs w:val="21"/>
        </w:rPr>
        <w:t xml:space="preserve">n estas políticas a salvaguardar la salud de todas y </w:t>
      </w:r>
      <w:r w:rsidR="009D0758" w:rsidRPr="0021199F">
        <w:rPr>
          <w:rFonts w:ascii="Abadi" w:hAnsi="Abadi"/>
          <w:sz w:val="21"/>
          <w:szCs w:val="21"/>
        </w:rPr>
        <w:t>todos los guanajuatenses</w:t>
      </w:r>
      <w:r w:rsidRPr="0021199F">
        <w:rPr>
          <w:rFonts w:ascii="Abadi" w:hAnsi="Abadi"/>
          <w:sz w:val="21"/>
          <w:szCs w:val="21"/>
        </w:rPr>
        <w:t xml:space="preserve">. Tal es el caso del presente dictamen, que tiene por objeto como lugar la sanción por no contar con constancia o distintivo vigente de verificación vehicular. De aprobar, de aprobarse por esta soberanía, estaríamos avanzando en el cuidado del medio ambiente y por </w:t>
      </w:r>
      <w:r>
        <w:rPr>
          <w:rFonts w:ascii="Abadi" w:hAnsi="Abadi"/>
          <w:sz w:val="21"/>
          <w:szCs w:val="21"/>
        </w:rPr>
        <w:t xml:space="preserve">ende </w:t>
      </w:r>
      <w:r w:rsidRPr="0021199F">
        <w:rPr>
          <w:rFonts w:ascii="Abadi" w:hAnsi="Abadi"/>
          <w:sz w:val="21"/>
          <w:szCs w:val="21"/>
        </w:rPr>
        <w:t>el cuidado de la salud</w:t>
      </w:r>
      <w:r>
        <w:rPr>
          <w:rFonts w:ascii="Abadi" w:hAnsi="Abadi"/>
          <w:sz w:val="21"/>
          <w:szCs w:val="21"/>
        </w:rPr>
        <w:t xml:space="preserve"> de los guanajuatenses.</w:t>
      </w:r>
      <w:r w:rsidRPr="0021199F">
        <w:rPr>
          <w:rFonts w:ascii="Abadi" w:hAnsi="Abadi"/>
          <w:sz w:val="21"/>
          <w:szCs w:val="21"/>
        </w:rPr>
        <w:t xml:space="preserve"> </w:t>
      </w:r>
    </w:p>
    <w:p w14:paraId="1A94F8B9" w14:textId="0426868C" w:rsidR="00262CBA" w:rsidRDefault="00262CBA" w:rsidP="00262CBA">
      <w:pPr>
        <w:pStyle w:val="NormalWeb"/>
        <w:jc w:val="both"/>
        <w:rPr>
          <w:rFonts w:ascii="Abadi" w:hAnsi="Abadi"/>
          <w:sz w:val="21"/>
          <w:szCs w:val="21"/>
        </w:rPr>
      </w:pPr>
      <w:r>
        <w:rPr>
          <w:rFonts w:ascii="Abadi" w:hAnsi="Abadi"/>
          <w:sz w:val="21"/>
          <w:szCs w:val="21"/>
        </w:rPr>
        <w:t>- Q</w:t>
      </w:r>
      <w:r w:rsidRPr="0021199F">
        <w:rPr>
          <w:rFonts w:ascii="Abadi" w:hAnsi="Abadi"/>
          <w:sz w:val="21"/>
          <w:szCs w:val="21"/>
        </w:rPr>
        <w:t>uiero darles mayor contexto</w:t>
      </w:r>
      <w:r>
        <w:rPr>
          <w:rFonts w:ascii="Abadi" w:hAnsi="Abadi"/>
          <w:sz w:val="21"/>
          <w:szCs w:val="21"/>
        </w:rPr>
        <w:t>, n</w:t>
      </w:r>
      <w:r w:rsidRPr="0021199F">
        <w:rPr>
          <w:rFonts w:ascii="Abadi" w:hAnsi="Abadi"/>
          <w:sz w:val="21"/>
          <w:szCs w:val="21"/>
        </w:rPr>
        <w:t>o es sorpresa para nadie</w:t>
      </w:r>
      <w:r>
        <w:rPr>
          <w:rFonts w:ascii="Abadi" w:hAnsi="Abadi"/>
          <w:sz w:val="21"/>
          <w:szCs w:val="21"/>
        </w:rPr>
        <w:t>, s</w:t>
      </w:r>
      <w:r w:rsidRPr="0021199F">
        <w:rPr>
          <w:rFonts w:ascii="Abadi" w:hAnsi="Abadi"/>
          <w:sz w:val="21"/>
          <w:szCs w:val="21"/>
        </w:rPr>
        <w:t xml:space="preserve">e ha hablado varias veces en esta tribuna sobre la crisis por los alarmantes niveles de contaminación en </w:t>
      </w:r>
      <w:r>
        <w:rPr>
          <w:rFonts w:ascii="Abadi" w:hAnsi="Abadi"/>
          <w:sz w:val="21"/>
          <w:szCs w:val="21"/>
        </w:rPr>
        <w:t>el aire.</w:t>
      </w:r>
      <w:r w:rsidRPr="0021199F">
        <w:rPr>
          <w:rFonts w:ascii="Abadi" w:hAnsi="Abadi"/>
          <w:sz w:val="21"/>
          <w:szCs w:val="21"/>
        </w:rPr>
        <w:t xml:space="preserve"> </w:t>
      </w:r>
      <w:r>
        <w:rPr>
          <w:rFonts w:ascii="Abadi" w:hAnsi="Abadi"/>
          <w:sz w:val="21"/>
          <w:szCs w:val="21"/>
        </w:rPr>
        <w:t>E</w:t>
      </w:r>
      <w:r w:rsidRPr="0021199F">
        <w:rPr>
          <w:rFonts w:ascii="Abadi" w:hAnsi="Abadi"/>
          <w:sz w:val="21"/>
          <w:szCs w:val="21"/>
        </w:rPr>
        <w:t>s un tema el cual ha sido tocado por varios legisladores</w:t>
      </w:r>
      <w:r>
        <w:rPr>
          <w:rFonts w:ascii="Abadi" w:hAnsi="Abadi"/>
          <w:sz w:val="21"/>
          <w:szCs w:val="21"/>
        </w:rPr>
        <w:t xml:space="preserve"> e</w:t>
      </w:r>
      <w:r w:rsidRPr="0021199F">
        <w:rPr>
          <w:rFonts w:ascii="Abadi" w:hAnsi="Abadi"/>
          <w:sz w:val="21"/>
          <w:szCs w:val="21"/>
        </w:rPr>
        <w:t>n esta tribuna</w:t>
      </w:r>
      <w:r>
        <w:rPr>
          <w:rFonts w:ascii="Abadi" w:hAnsi="Abadi"/>
          <w:sz w:val="21"/>
          <w:szCs w:val="21"/>
        </w:rPr>
        <w:t>,</w:t>
      </w:r>
      <w:r w:rsidRPr="0021199F">
        <w:rPr>
          <w:rFonts w:ascii="Abadi" w:hAnsi="Abadi"/>
          <w:sz w:val="21"/>
          <w:szCs w:val="21"/>
        </w:rPr>
        <w:t xml:space="preserve"> basta entrar </w:t>
      </w:r>
      <w:r w:rsidR="00CB1D50">
        <w:rPr>
          <w:rFonts w:ascii="Abadi" w:hAnsi="Abadi"/>
          <w:sz w:val="21"/>
          <w:szCs w:val="21"/>
        </w:rPr>
        <w:t xml:space="preserve">a </w:t>
      </w:r>
      <w:r w:rsidRPr="0021199F">
        <w:rPr>
          <w:rFonts w:ascii="Abadi" w:hAnsi="Abadi"/>
          <w:sz w:val="21"/>
          <w:szCs w:val="21"/>
        </w:rPr>
        <w:t xml:space="preserve">las páginas </w:t>
      </w:r>
      <w:r>
        <w:rPr>
          <w:rFonts w:ascii="Abadi" w:hAnsi="Abadi"/>
          <w:sz w:val="21"/>
          <w:szCs w:val="21"/>
        </w:rPr>
        <w:t xml:space="preserve">de </w:t>
      </w:r>
      <w:proofErr w:type="spellStart"/>
      <w:r>
        <w:rPr>
          <w:rFonts w:ascii="Abadi" w:hAnsi="Abadi"/>
          <w:sz w:val="21"/>
          <w:szCs w:val="21"/>
        </w:rPr>
        <w:t>esmao</w:t>
      </w:r>
      <w:r w:rsidR="009B0A91">
        <w:rPr>
          <w:rFonts w:ascii="Abadi" w:hAnsi="Abadi"/>
          <w:sz w:val="21"/>
          <w:szCs w:val="21"/>
        </w:rPr>
        <w:t>t</w:t>
      </w:r>
      <w:proofErr w:type="spellEnd"/>
      <w:r>
        <w:rPr>
          <w:rFonts w:ascii="Abadi" w:hAnsi="Abadi"/>
          <w:sz w:val="21"/>
          <w:szCs w:val="21"/>
        </w:rPr>
        <w:t xml:space="preserve"> </w:t>
      </w:r>
      <w:r w:rsidRPr="0021199F">
        <w:rPr>
          <w:rFonts w:ascii="Abadi" w:hAnsi="Abadi"/>
          <w:sz w:val="21"/>
          <w:szCs w:val="21"/>
        </w:rPr>
        <w:t>para revisar los índices de calidad del aire de los municipios y la mayor parte del año hemos tenido mala, muy mala</w:t>
      </w:r>
      <w:r>
        <w:rPr>
          <w:rFonts w:ascii="Abadi" w:hAnsi="Abadi"/>
          <w:sz w:val="21"/>
          <w:szCs w:val="21"/>
        </w:rPr>
        <w:t xml:space="preserve"> y hasta</w:t>
      </w:r>
      <w:r w:rsidRPr="0021199F">
        <w:rPr>
          <w:rFonts w:ascii="Abadi" w:hAnsi="Abadi"/>
          <w:sz w:val="21"/>
          <w:szCs w:val="21"/>
        </w:rPr>
        <w:t xml:space="preserve"> extremadamente mala</w:t>
      </w:r>
      <w:r>
        <w:rPr>
          <w:rFonts w:ascii="Abadi" w:hAnsi="Abadi"/>
          <w:sz w:val="21"/>
          <w:szCs w:val="21"/>
        </w:rPr>
        <w:t>, p</w:t>
      </w:r>
      <w:r w:rsidRPr="0021199F">
        <w:rPr>
          <w:rFonts w:ascii="Abadi" w:hAnsi="Abadi"/>
          <w:sz w:val="21"/>
          <w:szCs w:val="21"/>
        </w:rPr>
        <w:t>rincipalmente en el corredor industrial</w:t>
      </w:r>
      <w:r>
        <w:rPr>
          <w:rFonts w:ascii="Abadi" w:hAnsi="Abadi"/>
          <w:sz w:val="21"/>
          <w:szCs w:val="21"/>
        </w:rPr>
        <w:t>,</w:t>
      </w:r>
      <w:r w:rsidRPr="0021199F">
        <w:rPr>
          <w:rFonts w:ascii="Abadi" w:hAnsi="Abadi"/>
          <w:sz w:val="21"/>
          <w:szCs w:val="21"/>
        </w:rPr>
        <w:t xml:space="preserve"> provocado por diversos factores como la quema</w:t>
      </w:r>
      <w:r>
        <w:rPr>
          <w:rFonts w:ascii="Abadi" w:hAnsi="Abadi"/>
          <w:sz w:val="21"/>
          <w:szCs w:val="21"/>
        </w:rPr>
        <w:t xml:space="preserve"> de esquilmos,</w:t>
      </w:r>
      <w:r w:rsidRPr="0021199F">
        <w:rPr>
          <w:rFonts w:ascii="Abadi" w:hAnsi="Abadi"/>
          <w:sz w:val="21"/>
          <w:szCs w:val="21"/>
        </w:rPr>
        <w:t xml:space="preserve"> incendios en pastizales o incluso el uso de pi</w:t>
      </w:r>
      <w:r>
        <w:rPr>
          <w:rFonts w:ascii="Abadi" w:hAnsi="Abadi"/>
          <w:sz w:val="21"/>
          <w:szCs w:val="21"/>
        </w:rPr>
        <w:t>rotecnia</w:t>
      </w:r>
      <w:r w:rsidRPr="0021199F">
        <w:rPr>
          <w:rFonts w:ascii="Abadi" w:hAnsi="Abadi"/>
          <w:sz w:val="21"/>
          <w:szCs w:val="21"/>
        </w:rPr>
        <w:t xml:space="preserve">. </w:t>
      </w:r>
    </w:p>
    <w:p w14:paraId="60168654" w14:textId="77777777" w:rsidR="00262CBA" w:rsidRDefault="00262CBA" w:rsidP="00262CBA">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Si a eso le su</w:t>
      </w:r>
      <w:r>
        <w:rPr>
          <w:rFonts w:ascii="Abadi" w:hAnsi="Abadi"/>
          <w:sz w:val="21"/>
          <w:szCs w:val="21"/>
        </w:rPr>
        <w:t>m</w:t>
      </w:r>
      <w:r w:rsidRPr="0021199F">
        <w:rPr>
          <w:rFonts w:ascii="Abadi" w:hAnsi="Abadi"/>
          <w:sz w:val="21"/>
          <w:szCs w:val="21"/>
        </w:rPr>
        <w:t xml:space="preserve">amos que, de acuerdo a los datos del padrón vehicular del Estado, se tiene un registro de dos millones, más de dos millones y medio de automóviles, autobuses, camiones circulando en nuestro territorio y de estos menos del </w:t>
      </w:r>
      <w:r>
        <w:rPr>
          <w:rFonts w:ascii="Abadi" w:hAnsi="Abadi"/>
          <w:sz w:val="21"/>
          <w:szCs w:val="21"/>
        </w:rPr>
        <w:t>35%</w:t>
      </w:r>
      <w:r w:rsidRPr="0021199F">
        <w:rPr>
          <w:rFonts w:ascii="Abadi" w:hAnsi="Abadi"/>
          <w:sz w:val="21"/>
          <w:szCs w:val="21"/>
        </w:rPr>
        <w:t xml:space="preserve"> están verificados. Nos damos cuenta porque es que estás puentes móviles aportan más del </w:t>
      </w:r>
      <w:r>
        <w:rPr>
          <w:rFonts w:ascii="Abadi" w:hAnsi="Abadi"/>
          <w:sz w:val="21"/>
          <w:szCs w:val="21"/>
        </w:rPr>
        <w:t>30%</w:t>
      </w:r>
      <w:r w:rsidRPr="0021199F">
        <w:rPr>
          <w:rFonts w:ascii="Abadi" w:hAnsi="Abadi"/>
          <w:sz w:val="21"/>
          <w:szCs w:val="21"/>
        </w:rPr>
        <w:t xml:space="preserve"> de los contaminantes del aire en el </w:t>
      </w:r>
      <w:r>
        <w:rPr>
          <w:rFonts w:ascii="Abadi" w:hAnsi="Abadi"/>
          <w:sz w:val="21"/>
          <w:szCs w:val="21"/>
        </w:rPr>
        <w:t>estado de Guanajuato</w:t>
      </w:r>
      <w:r w:rsidRPr="0021199F">
        <w:rPr>
          <w:rFonts w:ascii="Abadi" w:hAnsi="Abadi"/>
          <w:sz w:val="21"/>
          <w:szCs w:val="21"/>
        </w:rPr>
        <w:t xml:space="preserve">. </w:t>
      </w:r>
    </w:p>
    <w:p w14:paraId="5B2C3C66" w14:textId="77777777" w:rsidR="00262CBA" w:rsidRDefault="00262CBA" w:rsidP="00262CBA">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Como </w:t>
      </w:r>
      <w:r>
        <w:rPr>
          <w:rFonts w:ascii="Abadi" w:hAnsi="Abadi"/>
          <w:sz w:val="21"/>
          <w:szCs w:val="21"/>
        </w:rPr>
        <w:t>G</w:t>
      </w:r>
      <w:r w:rsidRPr="0021199F">
        <w:rPr>
          <w:rFonts w:ascii="Abadi" w:hAnsi="Abadi"/>
          <w:sz w:val="21"/>
          <w:szCs w:val="21"/>
        </w:rPr>
        <w:t xml:space="preserve">rupo </w:t>
      </w:r>
      <w:r>
        <w:rPr>
          <w:rFonts w:ascii="Abadi" w:hAnsi="Abadi"/>
          <w:sz w:val="21"/>
          <w:szCs w:val="21"/>
        </w:rPr>
        <w:t>P</w:t>
      </w:r>
      <w:r w:rsidRPr="0021199F">
        <w:rPr>
          <w:rFonts w:ascii="Abadi" w:hAnsi="Abadi"/>
          <w:sz w:val="21"/>
          <w:szCs w:val="21"/>
        </w:rPr>
        <w:t xml:space="preserve">arlamentario propusimos fortalecer la figura de la verificación vehicular, ya que está juega un papel muy importante en la reducción de emisiones contaminantes de vehículos motorizados, sobre todo en áreas urbanas con altos índices de contaminación. </w:t>
      </w:r>
    </w:p>
    <w:p w14:paraId="4B1606DF" w14:textId="613CFC6C" w:rsidR="00262CBA" w:rsidRDefault="00262CBA" w:rsidP="00262CBA">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Es importante mencionar que </w:t>
      </w:r>
      <w:r>
        <w:rPr>
          <w:rFonts w:ascii="Abadi" w:hAnsi="Abadi"/>
          <w:sz w:val="21"/>
          <w:szCs w:val="21"/>
        </w:rPr>
        <w:t xml:space="preserve">en </w:t>
      </w:r>
      <w:r w:rsidRPr="0021199F">
        <w:rPr>
          <w:rFonts w:ascii="Abadi" w:hAnsi="Abadi"/>
          <w:sz w:val="21"/>
          <w:szCs w:val="21"/>
        </w:rPr>
        <w:t>nuestro Estado existe una disparidad importante con respecto a la imposición de sanciones por no verificar. Por un lado, tenemos municipios, como el caso del Corre</w:t>
      </w:r>
      <w:r>
        <w:rPr>
          <w:rFonts w:ascii="Abadi" w:hAnsi="Abadi"/>
          <w:sz w:val="21"/>
          <w:szCs w:val="21"/>
        </w:rPr>
        <w:t>dor</w:t>
      </w:r>
      <w:r w:rsidRPr="0021199F">
        <w:rPr>
          <w:rFonts w:ascii="Abadi" w:hAnsi="Abadi"/>
          <w:sz w:val="21"/>
          <w:szCs w:val="21"/>
        </w:rPr>
        <w:t xml:space="preserve"> Industrial </w:t>
      </w:r>
      <w:r>
        <w:rPr>
          <w:rFonts w:ascii="Abadi" w:hAnsi="Abadi"/>
          <w:sz w:val="21"/>
          <w:szCs w:val="21"/>
        </w:rPr>
        <w:t>C</w:t>
      </w:r>
      <w:r w:rsidRPr="0021199F">
        <w:rPr>
          <w:rFonts w:ascii="Abadi" w:hAnsi="Abadi"/>
          <w:sz w:val="21"/>
          <w:szCs w:val="21"/>
        </w:rPr>
        <w:t>elaya</w:t>
      </w:r>
      <w:r>
        <w:rPr>
          <w:rFonts w:ascii="Abadi" w:hAnsi="Abadi"/>
          <w:sz w:val="21"/>
          <w:szCs w:val="21"/>
        </w:rPr>
        <w:t>,</w:t>
      </w:r>
      <w:r w:rsidRPr="0021199F">
        <w:rPr>
          <w:rFonts w:ascii="Abadi" w:hAnsi="Abadi"/>
          <w:sz w:val="21"/>
          <w:szCs w:val="21"/>
        </w:rPr>
        <w:t xml:space="preserve"> Salamanca </w:t>
      </w:r>
      <w:r>
        <w:rPr>
          <w:rFonts w:ascii="Abadi" w:hAnsi="Abadi"/>
          <w:sz w:val="21"/>
          <w:szCs w:val="21"/>
        </w:rPr>
        <w:t>y Silao</w:t>
      </w:r>
      <w:r w:rsidRPr="0021199F">
        <w:rPr>
          <w:rFonts w:ascii="Abadi" w:hAnsi="Abadi"/>
          <w:sz w:val="21"/>
          <w:szCs w:val="21"/>
        </w:rPr>
        <w:t xml:space="preserve">, que establecen multas que oscilan entre los cinco y </w:t>
      </w:r>
      <w:r w:rsidR="009D0758" w:rsidRPr="0021199F">
        <w:rPr>
          <w:rFonts w:ascii="Abadi" w:hAnsi="Abadi"/>
          <w:sz w:val="21"/>
          <w:szCs w:val="21"/>
        </w:rPr>
        <w:t>las doce unidades</w:t>
      </w:r>
      <w:r w:rsidRPr="0021199F">
        <w:rPr>
          <w:rFonts w:ascii="Abadi" w:hAnsi="Abadi"/>
          <w:sz w:val="21"/>
          <w:szCs w:val="21"/>
        </w:rPr>
        <w:t xml:space="preserve"> de medida. Sin embargo, tenemos casos como el municipio de León, donde se observa la i</w:t>
      </w:r>
      <w:r>
        <w:rPr>
          <w:rFonts w:ascii="Abadi" w:hAnsi="Abadi"/>
          <w:sz w:val="21"/>
          <w:szCs w:val="21"/>
        </w:rPr>
        <w:t>mposición</w:t>
      </w:r>
      <w:r w:rsidRPr="0021199F">
        <w:rPr>
          <w:rFonts w:ascii="Abadi" w:hAnsi="Abadi"/>
          <w:sz w:val="21"/>
          <w:szCs w:val="21"/>
        </w:rPr>
        <w:t xml:space="preserve"> de multas que van entre veinte y treinta unidades de medida. </w:t>
      </w:r>
    </w:p>
    <w:p w14:paraId="27126F7B" w14:textId="77777777" w:rsidR="00262CBA" w:rsidRDefault="00262CBA" w:rsidP="00262CBA">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Por eso es que encontramos la necesidad de </w:t>
      </w:r>
      <w:r>
        <w:rPr>
          <w:rFonts w:ascii="Abadi" w:hAnsi="Abadi"/>
          <w:sz w:val="21"/>
          <w:szCs w:val="21"/>
        </w:rPr>
        <w:t>homologar</w:t>
      </w:r>
      <w:r w:rsidRPr="0021199F">
        <w:rPr>
          <w:rFonts w:ascii="Abadi" w:hAnsi="Abadi"/>
          <w:sz w:val="21"/>
          <w:szCs w:val="21"/>
        </w:rPr>
        <w:t xml:space="preserve"> el margen para establecer multas por el incumplimiento</w:t>
      </w:r>
      <w:r>
        <w:rPr>
          <w:rFonts w:ascii="Abadi" w:hAnsi="Abadi"/>
          <w:sz w:val="21"/>
          <w:szCs w:val="21"/>
        </w:rPr>
        <w:t xml:space="preserve"> de e</w:t>
      </w:r>
      <w:r w:rsidRPr="0021199F">
        <w:rPr>
          <w:rFonts w:ascii="Abadi" w:hAnsi="Abadi"/>
          <w:sz w:val="21"/>
          <w:szCs w:val="21"/>
        </w:rPr>
        <w:t>sta obligación</w:t>
      </w:r>
      <w:r>
        <w:rPr>
          <w:rFonts w:ascii="Abadi" w:hAnsi="Abadi"/>
          <w:sz w:val="21"/>
          <w:szCs w:val="21"/>
        </w:rPr>
        <w:t>,</w:t>
      </w:r>
      <w:r w:rsidRPr="0021199F">
        <w:rPr>
          <w:rFonts w:ascii="Abadi" w:hAnsi="Abadi"/>
          <w:sz w:val="21"/>
          <w:szCs w:val="21"/>
        </w:rPr>
        <w:t xml:space="preserve"> sin perder de vista</w:t>
      </w:r>
      <w:r>
        <w:rPr>
          <w:rFonts w:ascii="Abadi" w:hAnsi="Abadi"/>
          <w:sz w:val="21"/>
          <w:szCs w:val="21"/>
        </w:rPr>
        <w:t xml:space="preserve"> s</w:t>
      </w:r>
      <w:r w:rsidRPr="0021199F">
        <w:rPr>
          <w:rFonts w:ascii="Abadi" w:hAnsi="Abadi"/>
          <w:sz w:val="21"/>
          <w:szCs w:val="21"/>
        </w:rPr>
        <w:t xml:space="preserve">on los municipios </w:t>
      </w:r>
      <w:r>
        <w:rPr>
          <w:rFonts w:ascii="Abadi" w:hAnsi="Abadi"/>
          <w:sz w:val="21"/>
          <w:szCs w:val="21"/>
        </w:rPr>
        <w:t>p</w:t>
      </w:r>
      <w:r w:rsidRPr="0021199F">
        <w:rPr>
          <w:rFonts w:ascii="Abadi" w:hAnsi="Abadi"/>
          <w:sz w:val="21"/>
          <w:szCs w:val="21"/>
        </w:rPr>
        <w:t>or</w:t>
      </w:r>
      <w:r>
        <w:rPr>
          <w:rFonts w:ascii="Abadi" w:hAnsi="Abadi"/>
          <w:sz w:val="21"/>
          <w:szCs w:val="21"/>
        </w:rPr>
        <w:t xml:space="preserve"> </w:t>
      </w:r>
      <w:r w:rsidRPr="0021199F">
        <w:rPr>
          <w:rFonts w:ascii="Abadi" w:hAnsi="Abadi"/>
          <w:sz w:val="21"/>
          <w:szCs w:val="21"/>
        </w:rPr>
        <w:t>mando constitucional los que deben atender puntualmente el tema</w:t>
      </w:r>
      <w:r>
        <w:rPr>
          <w:rFonts w:ascii="Abadi" w:hAnsi="Abadi"/>
          <w:sz w:val="21"/>
          <w:szCs w:val="21"/>
        </w:rPr>
        <w:t>, n</w:t>
      </w:r>
      <w:r w:rsidRPr="0021199F">
        <w:rPr>
          <w:rFonts w:ascii="Abadi" w:hAnsi="Abadi"/>
          <w:sz w:val="21"/>
          <w:szCs w:val="21"/>
        </w:rPr>
        <w:t>osotros solamente</w:t>
      </w:r>
      <w:r>
        <w:rPr>
          <w:rFonts w:ascii="Abadi" w:hAnsi="Abadi"/>
          <w:sz w:val="21"/>
          <w:szCs w:val="21"/>
        </w:rPr>
        <w:t>,</w:t>
      </w:r>
      <w:r w:rsidRPr="0021199F">
        <w:rPr>
          <w:rFonts w:ascii="Abadi" w:hAnsi="Abadi"/>
          <w:sz w:val="21"/>
          <w:szCs w:val="21"/>
        </w:rPr>
        <w:t xml:space="preserve"> </w:t>
      </w:r>
      <w:r>
        <w:rPr>
          <w:rFonts w:ascii="Abadi" w:hAnsi="Abadi"/>
          <w:sz w:val="21"/>
          <w:szCs w:val="21"/>
        </w:rPr>
        <w:t>c</w:t>
      </w:r>
      <w:r w:rsidRPr="0021199F">
        <w:rPr>
          <w:rFonts w:ascii="Abadi" w:hAnsi="Abadi"/>
          <w:sz w:val="21"/>
          <w:szCs w:val="21"/>
        </w:rPr>
        <w:t xml:space="preserve">on esto establecemos la base con la finalidad de que sean los municipios los que establecen esta determinación. </w:t>
      </w:r>
    </w:p>
    <w:p w14:paraId="094B8CB1" w14:textId="77777777" w:rsidR="00262CBA" w:rsidRDefault="00262CBA" w:rsidP="00262CBA">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De igual forma, con esta herramienta buscamos que más guanajuatense cumplan con su obligación de verificar, representaran un doble beneficio. Primero para los municipios, ya que gran parte de lo recaudado se destinará al Fondo de Mejoramiento y Descentralización, </w:t>
      </w:r>
      <w:r>
        <w:rPr>
          <w:rFonts w:ascii="Abadi" w:hAnsi="Abadi"/>
          <w:sz w:val="21"/>
          <w:szCs w:val="21"/>
        </w:rPr>
        <w:t>FUAM</w:t>
      </w:r>
      <w:r w:rsidRPr="0021199F">
        <w:rPr>
          <w:rFonts w:ascii="Abadi" w:hAnsi="Abadi"/>
          <w:sz w:val="21"/>
          <w:szCs w:val="21"/>
        </w:rPr>
        <w:t xml:space="preserve">, lo que permitirá a los propios municipios solicitar y ejecutar proyectos orientados al uso eficiente de recursos naturales. </w:t>
      </w:r>
    </w:p>
    <w:p w14:paraId="32610EF6" w14:textId="77777777" w:rsidR="00262CBA" w:rsidRDefault="00262CBA" w:rsidP="00262CBA">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Es importante mencionar que este dictamen llega </w:t>
      </w:r>
      <w:r>
        <w:rPr>
          <w:rFonts w:ascii="Abadi" w:hAnsi="Abadi"/>
          <w:sz w:val="21"/>
          <w:szCs w:val="21"/>
        </w:rPr>
        <w:t>P</w:t>
      </w:r>
      <w:r w:rsidRPr="0021199F">
        <w:rPr>
          <w:rFonts w:ascii="Abadi" w:hAnsi="Abadi"/>
          <w:sz w:val="21"/>
          <w:szCs w:val="21"/>
        </w:rPr>
        <w:t xml:space="preserve">leno con </w:t>
      </w:r>
      <w:r>
        <w:rPr>
          <w:rFonts w:ascii="Abadi" w:hAnsi="Abadi"/>
          <w:sz w:val="21"/>
          <w:szCs w:val="21"/>
        </w:rPr>
        <w:t>apoyo</w:t>
      </w:r>
      <w:r w:rsidRPr="0021199F">
        <w:rPr>
          <w:rFonts w:ascii="Abadi" w:hAnsi="Abadi"/>
          <w:sz w:val="21"/>
          <w:szCs w:val="21"/>
        </w:rPr>
        <w:t xml:space="preserve"> y colaboración de todos los integrantes de la Comisión de Seguridad Pública y Comunicaciones. </w:t>
      </w:r>
    </w:p>
    <w:p w14:paraId="5087B0BC" w14:textId="77777777" w:rsidR="00262CBA" w:rsidRDefault="00262CBA" w:rsidP="00262CBA">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Un ejemplo más de que con diálogo, debate, trabajo y disposición se puede avanzar en favor de los </w:t>
      </w:r>
      <w:r>
        <w:rPr>
          <w:rFonts w:ascii="Abadi" w:hAnsi="Abadi"/>
          <w:sz w:val="21"/>
          <w:szCs w:val="21"/>
        </w:rPr>
        <w:t>guanajuatenses</w:t>
      </w:r>
      <w:r w:rsidRPr="0021199F">
        <w:rPr>
          <w:rFonts w:ascii="Abadi" w:hAnsi="Abadi"/>
          <w:sz w:val="21"/>
          <w:szCs w:val="21"/>
        </w:rPr>
        <w:t xml:space="preserve">. </w:t>
      </w:r>
    </w:p>
    <w:p w14:paraId="0093ED13" w14:textId="77777777" w:rsidR="00262CBA" w:rsidRDefault="00262CBA" w:rsidP="00262CBA">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Por ello, compañeras y compañeros, es que solicito su voto a favor es cuanto </w:t>
      </w:r>
      <w:r>
        <w:rPr>
          <w:rFonts w:ascii="Abadi" w:hAnsi="Abadi"/>
          <w:sz w:val="21"/>
          <w:szCs w:val="21"/>
        </w:rPr>
        <w:t>P</w:t>
      </w:r>
      <w:r w:rsidRPr="0021199F">
        <w:rPr>
          <w:rFonts w:ascii="Abadi" w:hAnsi="Abadi"/>
          <w:sz w:val="21"/>
          <w:szCs w:val="21"/>
        </w:rPr>
        <w:t>resi</w:t>
      </w:r>
      <w:r>
        <w:rPr>
          <w:rFonts w:ascii="Abadi" w:hAnsi="Abadi"/>
          <w:sz w:val="21"/>
          <w:szCs w:val="21"/>
        </w:rPr>
        <w:t>d</w:t>
      </w:r>
      <w:r w:rsidRPr="0021199F">
        <w:rPr>
          <w:rFonts w:ascii="Abadi" w:hAnsi="Abadi"/>
          <w:sz w:val="21"/>
          <w:szCs w:val="21"/>
        </w:rPr>
        <w:t>e</w:t>
      </w:r>
      <w:r>
        <w:rPr>
          <w:rFonts w:ascii="Abadi" w:hAnsi="Abadi"/>
          <w:sz w:val="21"/>
          <w:szCs w:val="21"/>
        </w:rPr>
        <w:t>n</w:t>
      </w:r>
      <w:r w:rsidRPr="0021199F">
        <w:rPr>
          <w:rFonts w:ascii="Abadi" w:hAnsi="Abadi"/>
          <w:sz w:val="21"/>
          <w:szCs w:val="21"/>
        </w:rPr>
        <w:t xml:space="preserve">ta. </w:t>
      </w:r>
    </w:p>
    <w:p w14:paraId="45FA9E09" w14:textId="2C0A1016" w:rsidR="00262CBA" w:rsidRDefault="009D0758" w:rsidP="009D0758">
      <w:pPr>
        <w:pStyle w:val="NormalWeb"/>
        <w:ind w:firstLine="708"/>
        <w:jc w:val="both"/>
        <w:rPr>
          <w:rFonts w:ascii="Abadi" w:hAnsi="Abadi"/>
          <w:sz w:val="21"/>
          <w:szCs w:val="21"/>
        </w:rPr>
      </w:pPr>
      <w:r>
        <w:rPr>
          <w:rFonts w:ascii="Abadi" w:hAnsi="Abadi"/>
          <w:b/>
          <w:bCs/>
          <w:sz w:val="21"/>
          <w:szCs w:val="21"/>
        </w:rPr>
        <w:t xml:space="preserve">- </w:t>
      </w:r>
      <w:r w:rsidR="00262CBA" w:rsidRPr="00111EBB">
        <w:rPr>
          <w:rFonts w:ascii="Abadi" w:hAnsi="Abadi"/>
          <w:b/>
          <w:bCs/>
          <w:sz w:val="21"/>
          <w:szCs w:val="21"/>
        </w:rPr>
        <w:t xml:space="preserve">La </w:t>
      </w:r>
      <w:proofErr w:type="gramStart"/>
      <w:r w:rsidR="00262CBA" w:rsidRPr="00111EBB">
        <w:rPr>
          <w:rFonts w:ascii="Abadi" w:hAnsi="Abadi"/>
          <w:b/>
          <w:bCs/>
          <w:sz w:val="21"/>
          <w:szCs w:val="21"/>
        </w:rPr>
        <w:t>Presidencia.-</w:t>
      </w:r>
      <w:proofErr w:type="gramEnd"/>
      <w:r w:rsidR="00262CBA">
        <w:rPr>
          <w:rFonts w:ascii="Abadi" w:hAnsi="Abadi"/>
          <w:sz w:val="21"/>
          <w:szCs w:val="21"/>
        </w:rPr>
        <w:t xml:space="preserve"> </w:t>
      </w:r>
      <w:r w:rsidR="00262CBA" w:rsidRPr="0021199F">
        <w:rPr>
          <w:rFonts w:ascii="Abadi" w:hAnsi="Abadi"/>
          <w:sz w:val="21"/>
          <w:szCs w:val="21"/>
        </w:rPr>
        <w:t xml:space="preserve">Muchas gracias, </w:t>
      </w:r>
      <w:r w:rsidR="00262CBA">
        <w:rPr>
          <w:rFonts w:ascii="Abadi" w:hAnsi="Abadi"/>
          <w:sz w:val="21"/>
          <w:szCs w:val="21"/>
        </w:rPr>
        <w:t>d</w:t>
      </w:r>
      <w:r w:rsidR="00262CBA" w:rsidRPr="0021199F">
        <w:rPr>
          <w:rFonts w:ascii="Abadi" w:hAnsi="Abadi"/>
          <w:sz w:val="21"/>
          <w:szCs w:val="21"/>
        </w:rPr>
        <w:t xml:space="preserve">iputado. </w:t>
      </w:r>
    </w:p>
    <w:p w14:paraId="3A8D9896" w14:textId="2A10B97D" w:rsidR="00262CBA" w:rsidRDefault="009D0758" w:rsidP="009D0758">
      <w:pPr>
        <w:pStyle w:val="NormalWeb"/>
        <w:ind w:firstLine="708"/>
        <w:jc w:val="both"/>
        <w:rPr>
          <w:rFonts w:ascii="Abadi" w:hAnsi="Abadi"/>
          <w:sz w:val="21"/>
          <w:szCs w:val="21"/>
        </w:rPr>
      </w:pPr>
      <w:r>
        <w:rPr>
          <w:rFonts w:ascii="Abadi" w:hAnsi="Abadi"/>
          <w:sz w:val="21"/>
          <w:szCs w:val="21"/>
        </w:rPr>
        <w:t xml:space="preserve">- </w:t>
      </w:r>
      <w:r w:rsidR="00262CBA" w:rsidRPr="0021199F">
        <w:rPr>
          <w:rFonts w:ascii="Abadi" w:hAnsi="Abadi"/>
          <w:sz w:val="21"/>
          <w:szCs w:val="21"/>
        </w:rPr>
        <w:t>Agotada la participación, se pide la Secretar</w:t>
      </w:r>
      <w:r w:rsidR="002E6197">
        <w:rPr>
          <w:rFonts w:ascii="Abadi" w:hAnsi="Abadi"/>
          <w:sz w:val="21"/>
          <w:szCs w:val="21"/>
        </w:rPr>
        <w:t>i</w:t>
      </w:r>
      <w:r w:rsidR="00262CBA" w:rsidRPr="0021199F">
        <w:rPr>
          <w:rFonts w:ascii="Abadi" w:hAnsi="Abadi"/>
          <w:sz w:val="21"/>
          <w:szCs w:val="21"/>
        </w:rPr>
        <w:t xml:space="preserve">a que proceda </w:t>
      </w:r>
      <w:r w:rsidR="00262CBA">
        <w:rPr>
          <w:rFonts w:ascii="Abadi" w:hAnsi="Abadi"/>
          <w:sz w:val="21"/>
          <w:szCs w:val="21"/>
        </w:rPr>
        <w:t>r</w:t>
      </w:r>
      <w:r w:rsidR="00262CBA" w:rsidRPr="0021199F">
        <w:rPr>
          <w:rFonts w:ascii="Abadi" w:hAnsi="Abadi"/>
          <w:sz w:val="21"/>
          <w:szCs w:val="21"/>
        </w:rPr>
        <w:t xml:space="preserve">ecabar votación nominal de la </w:t>
      </w:r>
      <w:r w:rsidR="00262CBA">
        <w:rPr>
          <w:rFonts w:ascii="Abadi" w:hAnsi="Abadi"/>
          <w:sz w:val="21"/>
          <w:szCs w:val="21"/>
        </w:rPr>
        <w:t>Asamblea</w:t>
      </w:r>
      <w:r w:rsidR="00262CBA" w:rsidRPr="0021199F">
        <w:rPr>
          <w:rFonts w:ascii="Abadi" w:hAnsi="Abadi"/>
          <w:sz w:val="21"/>
          <w:szCs w:val="21"/>
        </w:rPr>
        <w:t xml:space="preserve"> a</w:t>
      </w:r>
      <w:r w:rsidR="00262CBA">
        <w:rPr>
          <w:rFonts w:ascii="Abadi" w:hAnsi="Abadi"/>
          <w:sz w:val="21"/>
          <w:szCs w:val="21"/>
        </w:rPr>
        <w:t xml:space="preserve"> </w:t>
      </w:r>
      <w:r w:rsidR="00262CBA" w:rsidRPr="0021199F">
        <w:rPr>
          <w:rFonts w:ascii="Abadi" w:hAnsi="Abadi"/>
          <w:sz w:val="21"/>
          <w:szCs w:val="21"/>
        </w:rPr>
        <w:t>través del sistema electrónico a</w:t>
      </w:r>
      <w:r w:rsidR="00262CBA">
        <w:rPr>
          <w:rFonts w:ascii="Abadi" w:hAnsi="Abadi"/>
          <w:sz w:val="21"/>
          <w:szCs w:val="21"/>
        </w:rPr>
        <w:t xml:space="preserve"> efecto</w:t>
      </w:r>
      <w:r w:rsidR="00262CBA" w:rsidRPr="0021199F">
        <w:rPr>
          <w:rFonts w:ascii="Abadi" w:hAnsi="Abadi"/>
          <w:sz w:val="21"/>
          <w:szCs w:val="21"/>
        </w:rPr>
        <w:t xml:space="preserve"> de aprobar</w:t>
      </w:r>
      <w:r w:rsidR="002E6197">
        <w:rPr>
          <w:rFonts w:ascii="Abadi" w:hAnsi="Abadi"/>
          <w:sz w:val="21"/>
          <w:szCs w:val="21"/>
        </w:rPr>
        <w:t xml:space="preserve"> o no </w:t>
      </w:r>
      <w:r w:rsidR="00262CBA">
        <w:rPr>
          <w:rFonts w:ascii="Abadi" w:hAnsi="Abadi"/>
          <w:sz w:val="21"/>
          <w:szCs w:val="21"/>
        </w:rPr>
        <w:t>el dictamen</w:t>
      </w:r>
      <w:r w:rsidR="00262CBA" w:rsidRPr="0021199F">
        <w:rPr>
          <w:rFonts w:ascii="Abadi" w:hAnsi="Abadi"/>
          <w:sz w:val="21"/>
          <w:szCs w:val="21"/>
        </w:rPr>
        <w:t xml:space="preserve"> pues</w:t>
      </w:r>
      <w:r w:rsidR="00262CBA">
        <w:rPr>
          <w:rFonts w:ascii="Abadi" w:hAnsi="Abadi"/>
          <w:sz w:val="21"/>
          <w:szCs w:val="21"/>
        </w:rPr>
        <w:t>to</w:t>
      </w:r>
      <w:r w:rsidR="00262CBA" w:rsidRPr="0021199F">
        <w:rPr>
          <w:rFonts w:ascii="Abadi" w:hAnsi="Abadi"/>
          <w:sz w:val="21"/>
          <w:szCs w:val="21"/>
        </w:rPr>
        <w:t xml:space="preserve"> a su consideración </w:t>
      </w:r>
    </w:p>
    <w:p w14:paraId="65238536" w14:textId="1917E5A6" w:rsidR="00262CBA" w:rsidRPr="001D6781" w:rsidRDefault="00262CBA" w:rsidP="009D0758">
      <w:pPr>
        <w:pStyle w:val="NormalWeb"/>
        <w:jc w:val="center"/>
        <w:rPr>
          <w:rFonts w:ascii="Abadi" w:hAnsi="Abadi"/>
          <w:b/>
          <w:bCs/>
          <w:sz w:val="21"/>
          <w:szCs w:val="21"/>
        </w:rPr>
      </w:pPr>
      <w:r w:rsidRPr="001D6781">
        <w:rPr>
          <w:rFonts w:ascii="Abadi" w:hAnsi="Abadi"/>
          <w:b/>
          <w:bCs/>
          <w:sz w:val="21"/>
          <w:szCs w:val="21"/>
        </w:rPr>
        <w:t>(</w:t>
      </w:r>
      <w:r>
        <w:rPr>
          <w:rFonts w:ascii="Abadi" w:hAnsi="Abadi"/>
          <w:b/>
          <w:bCs/>
          <w:sz w:val="21"/>
          <w:szCs w:val="21"/>
        </w:rPr>
        <w:t>S</w:t>
      </w:r>
      <w:r w:rsidRPr="001D6781">
        <w:rPr>
          <w:rFonts w:ascii="Abadi" w:hAnsi="Abadi"/>
          <w:b/>
          <w:bCs/>
          <w:sz w:val="21"/>
          <w:szCs w:val="21"/>
        </w:rPr>
        <w:t>e abre el sistema electrónico)</w:t>
      </w:r>
    </w:p>
    <w:p w14:paraId="1EBA56D7" w14:textId="0A6701D1" w:rsidR="00262CBA" w:rsidRDefault="009D0758" w:rsidP="009D0758">
      <w:pPr>
        <w:pStyle w:val="NormalWeb"/>
        <w:ind w:firstLine="708"/>
        <w:jc w:val="both"/>
        <w:rPr>
          <w:rFonts w:ascii="Abadi" w:hAnsi="Abadi"/>
          <w:sz w:val="21"/>
          <w:szCs w:val="21"/>
        </w:rPr>
      </w:pPr>
      <w:r>
        <w:rPr>
          <w:rFonts w:ascii="Abadi" w:hAnsi="Abadi"/>
          <w:b/>
          <w:bCs/>
          <w:sz w:val="21"/>
          <w:szCs w:val="21"/>
        </w:rPr>
        <w:t xml:space="preserve">- </w:t>
      </w:r>
      <w:r w:rsidR="00262CBA" w:rsidRPr="001D6781">
        <w:rPr>
          <w:rFonts w:ascii="Abadi" w:hAnsi="Abadi"/>
          <w:b/>
          <w:bCs/>
          <w:sz w:val="21"/>
          <w:szCs w:val="21"/>
        </w:rPr>
        <w:t xml:space="preserve">La </w:t>
      </w:r>
      <w:proofErr w:type="gramStart"/>
      <w:r w:rsidR="00262CBA" w:rsidRPr="001D6781">
        <w:rPr>
          <w:rFonts w:ascii="Abadi" w:hAnsi="Abadi"/>
          <w:b/>
          <w:bCs/>
          <w:sz w:val="21"/>
          <w:szCs w:val="21"/>
        </w:rPr>
        <w:t>Secretar</w:t>
      </w:r>
      <w:r w:rsidR="00262CBA">
        <w:rPr>
          <w:rFonts w:ascii="Abadi" w:hAnsi="Abadi"/>
          <w:b/>
          <w:bCs/>
          <w:sz w:val="21"/>
          <w:szCs w:val="21"/>
        </w:rPr>
        <w:t>i</w:t>
      </w:r>
      <w:r w:rsidR="00262CBA" w:rsidRPr="001D6781">
        <w:rPr>
          <w:rFonts w:ascii="Abadi" w:hAnsi="Abadi"/>
          <w:b/>
          <w:bCs/>
          <w:sz w:val="21"/>
          <w:szCs w:val="21"/>
        </w:rPr>
        <w:t>a.-</w:t>
      </w:r>
      <w:proofErr w:type="gramEnd"/>
      <w:r w:rsidR="00262CBA">
        <w:rPr>
          <w:rFonts w:ascii="Abadi" w:hAnsi="Abadi"/>
          <w:sz w:val="21"/>
          <w:szCs w:val="21"/>
        </w:rPr>
        <w:t xml:space="preserve"> En v</w:t>
      </w:r>
      <w:r w:rsidR="00262CBA" w:rsidRPr="0021199F">
        <w:rPr>
          <w:rFonts w:ascii="Abadi" w:hAnsi="Abadi"/>
          <w:sz w:val="21"/>
          <w:szCs w:val="21"/>
        </w:rPr>
        <w:t xml:space="preserve">otación nominal por el sistema electrónico se pregunta a las diputadas </w:t>
      </w:r>
      <w:r w:rsidR="00262CBA">
        <w:rPr>
          <w:rFonts w:ascii="Abadi" w:hAnsi="Abadi"/>
          <w:sz w:val="21"/>
          <w:szCs w:val="21"/>
        </w:rPr>
        <w:t>y</w:t>
      </w:r>
      <w:r w:rsidR="00262CBA" w:rsidRPr="0021199F">
        <w:rPr>
          <w:rFonts w:ascii="Abadi" w:hAnsi="Abadi"/>
          <w:sz w:val="21"/>
          <w:szCs w:val="21"/>
        </w:rPr>
        <w:t xml:space="preserve"> </w:t>
      </w:r>
      <w:r w:rsidR="00262CBA">
        <w:rPr>
          <w:rFonts w:ascii="Abadi" w:hAnsi="Abadi"/>
          <w:sz w:val="21"/>
          <w:szCs w:val="21"/>
        </w:rPr>
        <w:t xml:space="preserve">a </w:t>
      </w:r>
      <w:r w:rsidR="00262CBA" w:rsidRPr="0021199F">
        <w:rPr>
          <w:rFonts w:ascii="Abadi" w:hAnsi="Abadi"/>
          <w:sz w:val="21"/>
          <w:szCs w:val="21"/>
        </w:rPr>
        <w:t>los diputados si se apr</w:t>
      </w:r>
      <w:r w:rsidR="00262CBA">
        <w:rPr>
          <w:rFonts w:ascii="Abadi" w:hAnsi="Abadi"/>
          <w:sz w:val="21"/>
          <w:szCs w:val="21"/>
        </w:rPr>
        <w:t xml:space="preserve">ueba </w:t>
      </w:r>
      <w:r w:rsidR="00262CBA" w:rsidRPr="0021199F">
        <w:rPr>
          <w:rFonts w:ascii="Abadi" w:hAnsi="Abadi"/>
          <w:sz w:val="21"/>
          <w:szCs w:val="21"/>
        </w:rPr>
        <w:t xml:space="preserve">el dictamen puesto </w:t>
      </w:r>
      <w:r w:rsidR="002E6197">
        <w:rPr>
          <w:rFonts w:ascii="Abadi" w:hAnsi="Abadi"/>
          <w:sz w:val="21"/>
          <w:szCs w:val="21"/>
        </w:rPr>
        <w:t xml:space="preserve">a </w:t>
      </w:r>
      <w:r w:rsidR="00262CBA" w:rsidRPr="0021199F">
        <w:rPr>
          <w:rFonts w:ascii="Abadi" w:hAnsi="Abadi"/>
          <w:sz w:val="21"/>
          <w:szCs w:val="21"/>
        </w:rPr>
        <w:t>su consideración</w:t>
      </w:r>
      <w:r w:rsidR="00262CBA">
        <w:rPr>
          <w:rFonts w:ascii="Abadi" w:hAnsi="Abadi"/>
          <w:sz w:val="21"/>
          <w:szCs w:val="21"/>
        </w:rPr>
        <w:t>.</w:t>
      </w:r>
      <w:r w:rsidR="00262CBA" w:rsidRPr="0021199F">
        <w:rPr>
          <w:rFonts w:ascii="Abadi" w:hAnsi="Abadi"/>
          <w:sz w:val="21"/>
          <w:szCs w:val="21"/>
        </w:rPr>
        <w:t xml:space="preserve"> </w:t>
      </w:r>
    </w:p>
    <w:p w14:paraId="6DA230FF" w14:textId="77777777" w:rsidR="00262CBA" w:rsidRDefault="00262CBA" w:rsidP="00262CBA">
      <w:pPr>
        <w:pStyle w:val="NormalWeb"/>
        <w:jc w:val="both"/>
        <w:rPr>
          <w:rFonts w:ascii="Abadi" w:hAnsi="Abadi"/>
          <w:sz w:val="21"/>
          <w:szCs w:val="21"/>
        </w:rPr>
      </w:pPr>
      <w:r>
        <w:rPr>
          <w:rFonts w:ascii="Abadi" w:hAnsi="Abadi"/>
          <w:sz w:val="21"/>
          <w:szCs w:val="21"/>
        </w:rPr>
        <w:t>¿</w:t>
      </w:r>
      <w:r w:rsidRPr="0021199F">
        <w:rPr>
          <w:rFonts w:ascii="Abadi" w:hAnsi="Abadi"/>
          <w:sz w:val="21"/>
          <w:szCs w:val="21"/>
        </w:rPr>
        <w:t>falta alguna diputada o algún diputado de emitir su voto</w:t>
      </w:r>
      <w:r>
        <w:rPr>
          <w:rFonts w:ascii="Abadi" w:hAnsi="Abadi"/>
          <w:sz w:val="21"/>
          <w:szCs w:val="21"/>
        </w:rPr>
        <w:t>?</w:t>
      </w:r>
    </w:p>
    <w:p w14:paraId="33295775" w14:textId="77777777" w:rsidR="00262CBA" w:rsidRDefault="00262CBA" w:rsidP="00262CBA">
      <w:pPr>
        <w:pStyle w:val="NormalWeb"/>
        <w:jc w:val="both"/>
        <w:rPr>
          <w:rFonts w:ascii="Abadi" w:hAnsi="Abadi"/>
          <w:b/>
          <w:bCs/>
          <w:sz w:val="21"/>
          <w:szCs w:val="21"/>
        </w:rPr>
      </w:pPr>
      <w:r>
        <w:rPr>
          <w:noProof/>
        </w:rPr>
        <w:drawing>
          <wp:inline distT="0" distB="0" distL="0" distR="0" wp14:anchorId="1758F32B" wp14:editId="3D2F9358">
            <wp:extent cx="2004991" cy="1031079"/>
            <wp:effectExtent l="152400" t="152400" r="357505" b="360045"/>
            <wp:docPr id="53" name="Imagen 5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nterfaz de usuario gráfica, Texto&#10;&#10;Descripción generada automáticamente"/>
                    <pic:cNvPicPr/>
                  </pic:nvPicPr>
                  <pic:blipFill rotWithShape="1">
                    <a:blip r:embed="rId65"/>
                    <a:srcRect b="8533"/>
                    <a:stretch/>
                  </pic:blipFill>
                  <pic:spPr bwMode="auto">
                    <a:xfrm>
                      <a:off x="0" y="0"/>
                      <a:ext cx="2024730" cy="10412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9670BF">
        <w:rPr>
          <w:rFonts w:ascii="Abadi" w:hAnsi="Abadi"/>
          <w:b/>
          <w:bCs/>
          <w:sz w:val="21"/>
          <w:szCs w:val="21"/>
        </w:rPr>
        <w:t xml:space="preserve"> </w:t>
      </w:r>
    </w:p>
    <w:p w14:paraId="11968830" w14:textId="235B3D34" w:rsidR="00262CBA" w:rsidRPr="009670BF" w:rsidRDefault="00262CBA" w:rsidP="00DB4960">
      <w:pPr>
        <w:pStyle w:val="NormalWeb"/>
        <w:jc w:val="center"/>
        <w:rPr>
          <w:rFonts w:ascii="Abadi" w:hAnsi="Abadi"/>
          <w:b/>
          <w:bCs/>
          <w:sz w:val="21"/>
          <w:szCs w:val="21"/>
        </w:rPr>
      </w:pPr>
      <w:r w:rsidRPr="009670BF">
        <w:rPr>
          <w:rFonts w:ascii="Abadi" w:hAnsi="Abadi"/>
          <w:b/>
          <w:bCs/>
          <w:sz w:val="21"/>
          <w:szCs w:val="21"/>
        </w:rPr>
        <w:t>(Se cierra el sistema electrónico)</w:t>
      </w:r>
    </w:p>
    <w:p w14:paraId="56F34AE4" w14:textId="2050E2C7" w:rsidR="00262CBA" w:rsidRDefault="00DB4960" w:rsidP="00DB4960">
      <w:pPr>
        <w:pStyle w:val="NormalWeb"/>
        <w:ind w:firstLine="426"/>
        <w:jc w:val="both"/>
        <w:rPr>
          <w:rFonts w:ascii="Abadi" w:hAnsi="Abadi"/>
          <w:sz w:val="21"/>
          <w:szCs w:val="21"/>
        </w:rPr>
      </w:pPr>
      <w:r>
        <w:rPr>
          <w:rFonts w:ascii="Abadi" w:hAnsi="Abadi"/>
          <w:b/>
          <w:bCs/>
          <w:sz w:val="21"/>
          <w:szCs w:val="21"/>
        </w:rPr>
        <w:t xml:space="preserve">- </w:t>
      </w:r>
      <w:r w:rsidR="00262CBA" w:rsidRPr="009670BF">
        <w:rPr>
          <w:rFonts w:ascii="Abadi" w:hAnsi="Abadi"/>
          <w:b/>
          <w:bCs/>
          <w:sz w:val="21"/>
          <w:szCs w:val="21"/>
        </w:rPr>
        <w:t xml:space="preserve">La </w:t>
      </w:r>
      <w:proofErr w:type="gramStart"/>
      <w:r w:rsidR="00262CBA" w:rsidRPr="009670BF">
        <w:rPr>
          <w:rFonts w:ascii="Abadi" w:hAnsi="Abadi"/>
          <w:b/>
          <w:bCs/>
          <w:sz w:val="21"/>
          <w:szCs w:val="21"/>
        </w:rPr>
        <w:t>Secretar</w:t>
      </w:r>
      <w:r w:rsidR="00262CBA">
        <w:rPr>
          <w:rFonts w:ascii="Abadi" w:hAnsi="Abadi"/>
          <w:b/>
          <w:bCs/>
          <w:sz w:val="21"/>
          <w:szCs w:val="21"/>
        </w:rPr>
        <w:t>i</w:t>
      </w:r>
      <w:r w:rsidR="00262CBA" w:rsidRPr="009670BF">
        <w:rPr>
          <w:rFonts w:ascii="Abadi" w:hAnsi="Abadi"/>
          <w:b/>
          <w:bCs/>
          <w:sz w:val="21"/>
          <w:szCs w:val="21"/>
        </w:rPr>
        <w:t>a.-</w:t>
      </w:r>
      <w:proofErr w:type="gramEnd"/>
      <w:r w:rsidR="00262CBA">
        <w:rPr>
          <w:rFonts w:ascii="Abadi" w:hAnsi="Abadi"/>
          <w:sz w:val="21"/>
          <w:szCs w:val="21"/>
        </w:rPr>
        <w:t xml:space="preserve"> </w:t>
      </w:r>
      <w:r w:rsidR="00262CBA" w:rsidRPr="0021199F">
        <w:rPr>
          <w:rFonts w:ascii="Abadi" w:hAnsi="Abadi"/>
          <w:sz w:val="21"/>
          <w:szCs w:val="21"/>
        </w:rPr>
        <w:t>S</w:t>
      </w:r>
      <w:r w:rsidR="00262CBA">
        <w:rPr>
          <w:rFonts w:ascii="Abadi" w:hAnsi="Abadi"/>
          <w:sz w:val="21"/>
          <w:szCs w:val="21"/>
        </w:rPr>
        <w:t>e</w:t>
      </w:r>
      <w:r w:rsidR="00262CBA" w:rsidRPr="0021199F">
        <w:rPr>
          <w:rFonts w:ascii="Abadi" w:hAnsi="Abadi"/>
          <w:sz w:val="21"/>
          <w:szCs w:val="21"/>
        </w:rPr>
        <w:t xml:space="preserve"> registraron </w:t>
      </w:r>
      <w:r w:rsidR="00262CBA">
        <w:rPr>
          <w:rFonts w:ascii="Abadi" w:hAnsi="Abadi"/>
          <w:sz w:val="21"/>
          <w:szCs w:val="21"/>
        </w:rPr>
        <w:t>36</w:t>
      </w:r>
      <w:r w:rsidR="00262CBA" w:rsidRPr="0021199F">
        <w:rPr>
          <w:rFonts w:ascii="Abadi" w:hAnsi="Abadi"/>
          <w:sz w:val="21"/>
          <w:szCs w:val="21"/>
        </w:rPr>
        <w:t xml:space="preserve"> votos a favor. </w:t>
      </w:r>
    </w:p>
    <w:p w14:paraId="4E8CE22C" w14:textId="3D734C4A" w:rsidR="00262CBA" w:rsidRDefault="00DB4960" w:rsidP="00DB4960">
      <w:pPr>
        <w:pStyle w:val="NormalWeb"/>
        <w:ind w:firstLine="426"/>
        <w:jc w:val="both"/>
        <w:rPr>
          <w:rFonts w:ascii="Abadi" w:hAnsi="Abadi"/>
          <w:sz w:val="21"/>
          <w:szCs w:val="21"/>
        </w:rPr>
      </w:pPr>
      <w:r>
        <w:rPr>
          <w:rFonts w:ascii="Abadi" w:hAnsi="Abadi"/>
          <w:b/>
          <w:bCs/>
          <w:sz w:val="21"/>
          <w:szCs w:val="21"/>
        </w:rPr>
        <w:t xml:space="preserve">- </w:t>
      </w:r>
      <w:r w:rsidR="00262CBA" w:rsidRPr="00111EBB">
        <w:rPr>
          <w:rFonts w:ascii="Abadi" w:hAnsi="Abadi"/>
          <w:b/>
          <w:bCs/>
          <w:sz w:val="21"/>
          <w:szCs w:val="21"/>
        </w:rPr>
        <w:t xml:space="preserve">La </w:t>
      </w:r>
      <w:proofErr w:type="gramStart"/>
      <w:r w:rsidR="00262CBA" w:rsidRPr="00111EBB">
        <w:rPr>
          <w:rFonts w:ascii="Abadi" w:hAnsi="Abadi"/>
          <w:b/>
          <w:bCs/>
          <w:sz w:val="21"/>
          <w:szCs w:val="21"/>
        </w:rPr>
        <w:t>Presidencia.-</w:t>
      </w:r>
      <w:proofErr w:type="gramEnd"/>
      <w:r w:rsidR="00262CBA">
        <w:rPr>
          <w:rFonts w:ascii="Abadi" w:hAnsi="Abadi"/>
          <w:sz w:val="21"/>
          <w:szCs w:val="21"/>
        </w:rPr>
        <w:t xml:space="preserve"> </w:t>
      </w:r>
      <w:r w:rsidR="00262CBA" w:rsidRPr="0021199F">
        <w:rPr>
          <w:rFonts w:ascii="Abadi" w:hAnsi="Abadi"/>
          <w:sz w:val="21"/>
          <w:szCs w:val="21"/>
        </w:rPr>
        <w:t xml:space="preserve">El dictamen ha sido aprobado por unanimidad de votos. </w:t>
      </w:r>
    </w:p>
    <w:p w14:paraId="0DCD878E" w14:textId="3D6A4612" w:rsidR="00262CBA" w:rsidRPr="009B5E7F" w:rsidRDefault="00262CBA" w:rsidP="00262CBA">
      <w:pPr>
        <w:pStyle w:val="NormalWeb"/>
        <w:ind w:left="426" w:right="474"/>
        <w:jc w:val="both"/>
        <w:rPr>
          <w:rFonts w:ascii="Abadi" w:hAnsi="Abadi"/>
          <w:b/>
          <w:bCs/>
          <w:i/>
          <w:iCs/>
          <w:sz w:val="21"/>
          <w:szCs w:val="21"/>
          <w:u w:val="single"/>
        </w:rPr>
      </w:pPr>
      <w:r>
        <w:rPr>
          <w:rFonts w:ascii="Abadi" w:hAnsi="Abadi"/>
          <w:b/>
          <w:bCs/>
          <w:i/>
          <w:iCs/>
          <w:sz w:val="21"/>
          <w:szCs w:val="21"/>
          <w:u w:val="single"/>
        </w:rPr>
        <w:t>R</w:t>
      </w:r>
      <w:r w:rsidRPr="009B5E7F">
        <w:rPr>
          <w:rFonts w:ascii="Abadi" w:hAnsi="Abadi"/>
          <w:b/>
          <w:bCs/>
          <w:i/>
          <w:iCs/>
          <w:sz w:val="21"/>
          <w:szCs w:val="21"/>
          <w:u w:val="single"/>
        </w:rPr>
        <w:t>emítase al Ejecutivo del Estado el decreto aprobado para los efectos constitucionales de su competencia</w:t>
      </w:r>
      <w:r w:rsidR="0051591C">
        <w:rPr>
          <w:rFonts w:ascii="Abadi" w:hAnsi="Abadi"/>
          <w:b/>
          <w:bCs/>
          <w:i/>
          <w:iCs/>
          <w:sz w:val="21"/>
          <w:szCs w:val="21"/>
          <w:u w:val="single"/>
        </w:rPr>
        <w:t>.</w:t>
      </w:r>
      <w:r w:rsidRPr="009B5E7F">
        <w:rPr>
          <w:rFonts w:ascii="Abadi" w:hAnsi="Abadi"/>
          <w:b/>
          <w:bCs/>
          <w:i/>
          <w:iCs/>
          <w:sz w:val="21"/>
          <w:szCs w:val="21"/>
          <w:u w:val="single"/>
        </w:rPr>
        <w:t xml:space="preserve"> </w:t>
      </w:r>
    </w:p>
    <w:p w14:paraId="113E8F4B" w14:textId="2D0922CB" w:rsidR="00021259" w:rsidRDefault="00021259" w:rsidP="00343CA9">
      <w:pPr>
        <w:pStyle w:val="Prrafodelista"/>
        <w:numPr>
          <w:ilvl w:val="0"/>
          <w:numId w:val="27"/>
        </w:numPr>
        <w:autoSpaceDE w:val="0"/>
        <w:autoSpaceDN w:val="0"/>
        <w:adjustRightInd w:val="0"/>
        <w:ind w:left="426"/>
        <w:jc w:val="both"/>
        <w:rPr>
          <w:rFonts w:ascii="Abadi" w:hAnsi="Abadi" w:cs="ArialMT"/>
          <w:b/>
          <w:bCs/>
          <w:sz w:val="20"/>
          <w:szCs w:val="21"/>
        </w:rPr>
      </w:pPr>
      <w:r w:rsidRPr="00300604">
        <w:rPr>
          <w:rFonts w:ascii="Abadi" w:hAnsi="Abadi" w:cs="ArialMT"/>
          <w:b/>
          <w:bCs/>
          <w:sz w:val="20"/>
          <w:szCs w:val="21"/>
        </w:rPr>
        <w:t>DISCUSIÓN Y, EN SU CASO, APROBACIÓN DEL DICTAMEN EMITIDO POR LA COMISIÓN DE SEGURIDAD PÚBLICA Y COMUNICACIONES RELATIVO A LA INICIATIVA SUSCRITA POR DIPUTADAS Y DIPUTADOS INTEGRANTES DEL GRUPO PARLAMENTARIO DEL PARTIDO ACCIÓN NACIONAL POR LA QUE SE ADICIONA UN SEGUNDO PÁRRAFO QUE CONTIENE</w:t>
      </w:r>
      <w:r w:rsidR="00300604" w:rsidRPr="00300604">
        <w:rPr>
          <w:rFonts w:ascii="Abadi" w:hAnsi="Abadi" w:cs="ArialMT"/>
          <w:b/>
          <w:bCs/>
          <w:sz w:val="20"/>
          <w:szCs w:val="21"/>
        </w:rPr>
        <w:t xml:space="preserve"> </w:t>
      </w:r>
      <w:r w:rsidRPr="00300604">
        <w:rPr>
          <w:rFonts w:ascii="Abadi" w:hAnsi="Abadi" w:cs="ArialMT"/>
          <w:b/>
          <w:bCs/>
          <w:sz w:val="20"/>
          <w:szCs w:val="21"/>
        </w:rPr>
        <w:t>LAS FRACCIONES DE LA I A LA VIII AL ARTÍCULO 18 DE LA LEY DEL SISTEMA DE SEGURIDAD PÚBLICA DEL ESTADO DE GUANAJUATO.</w:t>
      </w:r>
    </w:p>
    <w:p w14:paraId="124351A8" w14:textId="77777777" w:rsidR="006B7FC5" w:rsidRDefault="006B7FC5" w:rsidP="0025648C">
      <w:pPr>
        <w:autoSpaceDE w:val="0"/>
        <w:autoSpaceDN w:val="0"/>
        <w:adjustRightInd w:val="0"/>
        <w:jc w:val="both"/>
        <w:rPr>
          <w:rFonts w:ascii="Abadi" w:hAnsi="Abadi" w:cs="ArialMT"/>
          <w:sz w:val="20"/>
          <w:szCs w:val="21"/>
        </w:rPr>
      </w:pPr>
    </w:p>
    <w:p w14:paraId="26B9A1B9" w14:textId="77777777" w:rsidR="006A441E" w:rsidRPr="006A441E" w:rsidRDefault="006A441E" w:rsidP="006A441E">
      <w:pPr>
        <w:autoSpaceDE w:val="0"/>
        <w:autoSpaceDN w:val="0"/>
        <w:adjustRightInd w:val="0"/>
        <w:jc w:val="both"/>
        <w:rPr>
          <w:rFonts w:ascii="Abadi" w:eastAsia="Calibri" w:hAnsi="Abadi" w:cs="*Calibri-Bold-3934-Identity-H"/>
          <w:b/>
          <w:bCs/>
          <w:color w:val="15141E"/>
          <w:sz w:val="21"/>
          <w:szCs w:val="21"/>
          <w:lang w:val="es-MX" w:eastAsia="en-US"/>
        </w:rPr>
      </w:pPr>
      <w:r w:rsidRPr="006A441E">
        <w:rPr>
          <w:rFonts w:ascii="Abadi" w:eastAsia="Calibri" w:hAnsi="Abadi" w:cs="*Calibri-Bold-3934-Identity-H"/>
          <w:b/>
          <w:bCs/>
          <w:color w:val="15141E"/>
          <w:sz w:val="21"/>
          <w:szCs w:val="21"/>
          <w:lang w:val="es-MX" w:eastAsia="en-US"/>
        </w:rPr>
        <w:t>PRESIDENCIA DEL CONGRESO DEL ESTAD O</w:t>
      </w:r>
    </w:p>
    <w:p w14:paraId="3A7E0A94" w14:textId="77777777" w:rsidR="006A441E" w:rsidRPr="006A441E" w:rsidRDefault="006A441E" w:rsidP="006A441E">
      <w:pPr>
        <w:autoSpaceDE w:val="0"/>
        <w:autoSpaceDN w:val="0"/>
        <w:adjustRightInd w:val="0"/>
        <w:jc w:val="both"/>
        <w:rPr>
          <w:rFonts w:ascii="Abadi" w:eastAsia="Calibri" w:hAnsi="Abadi" w:cs="*Calibri-Bold-3934-Identity-H"/>
          <w:b/>
          <w:bCs/>
          <w:color w:val="15141E"/>
          <w:sz w:val="21"/>
          <w:szCs w:val="21"/>
          <w:lang w:val="es-MX" w:eastAsia="en-US"/>
        </w:rPr>
      </w:pPr>
      <w:r w:rsidRPr="006A441E">
        <w:rPr>
          <w:rFonts w:ascii="Abadi" w:eastAsia="Calibri" w:hAnsi="Abadi" w:cs="*Calibri-Bold-3934-Identity-H"/>
          <w:b/>
          <w:bCs/>
          <w:color w:val="15141E"/>
          <w:sz w:val="21"/>
          <w:szCs w:val="21"/>
          <w:lang w:val="es-MX" w:eastAsia="en-US"/>
        </w:rPr>
        <w:t>P R E SENTE</w:t>
      </w:r>
    </w:p>
    <w:p w14:paraId="1068977A" w14:textId="77777777" w:rsidR="006A441E" w:rsidRPr="006A441E" w:rsidRDefault="006A441E" w:rsidP="006A441E">
      <w:pPr>
        <w:autoSpaceDE w:val="0"/>
        <w:autoSpaceDN w:val="0"/>
        <w:adjustRightInd w:val="0"/>
        <w:jc w:val="both"/>
        <w:rPr>
          <w:rFonts w:ascii="Abadi" w:eastAsia="Calibri" w:hAnsi="Abadi" w:cs="*Calibri-Bold-3934-Identity-H"/>
          <w:b/>
          <w:bCs/>
          <w:color w:val="15141E"/>
          <w:sz w:val="21"/>
          <w:szCs w:val="21"/>
          <w:lang w:val="es-MX" w:eastAsia="en-US"/>
        </w:rPr>
      </w:pPr>
    </w:p>
    <w:p w14:paraId="1787D048" w14:textId="77777777" w:rsidR="006A441E" w:rsidRPr="006A441E" w:rsidRDefault="006A441E" w:rsidP="006A441E">
      <w:pPr>
        <w:autoSpaceDE w:val="0"/>
        <w:autoSpaceDN w:val="0"/>
        <w:adjustRightInd w:val="0"/>
        <w:jc w:val="both"/>
        <w:rPr>
          <w:rFonts w:ascii="Abadi" w:eastAsia="Calibri" w:hAnsi="Abadi" w:cs="*Microsoft Sans Serif-3936-Iden"/>
          <w:color w:val="1B1A21"/>
          <w:sz w:val="21"/>
          <w:szCs w:val="21"/>
          <w:lang w:val="es-MX" w:eastAsia="en-US"/>
        </w:rPr>
      </w:pPr>
      <w:r w:rsidRPr="006A441E">
        <w:rPr>
          <w:rFonts w:ascii="Abadi" w:eastAsia="Calibri" w:hAnsi="Abadi" w:cs="*Microsoft Sans Serif-3936-Iden"/>
          <w:color w:val="1B1A21"/>
          <w:sz w:val="21"/>
          <w:szCs w:val="21"/>
          <w:lang w:val="es-MX" w:eastAsia="en-US"/>
        </w:rPr>
        <w:t>La diputada y los diputados que integramos la Comisión de Seguridad Pública y Comunicaciones, recibimos para efecto de estudio y dictamen la iniciativa suscrita por diputadas y diputados integrantes del Grupo Parlamentario del Partido Acción Nacional por la que se adiciona un segundo párrafo que contiene las fracciones de la I a la VIII al artículo 18 de la Ley del Sistema de Seguridad Pública del Estado de Guanajuato.</w:t>
      </w:r>
    </w:p>
    <w:p w14:paraId="504E0D08" w14:textId="77777777" w:rsidR="006A441E" w:rsidRPr="006A441E" w:rsidRDefault="006A441E" w:rsidP="006A441E">
      <w:pPr>
        <w:autoSpaceDE w:val="0"/>
        <w:autoSpaceDN w:val="0"/>
        <w:adjustRightInd w:val="0"/>
        <w:jc w:val="both"/>
        <w:rPr>
          <w:rFonts w:ascii="Abadi" w:eastAsia="Calibri" w:hAnsi="Abadi" w:cs="*Microsoft Sans Serif-3936-Iden"/>
          <w:color w:val="1B1A21"/>
          <w:sz w:val="21"/>
          <w:szCs w:val="21"/>
          <w:lang w:val="es-MX" w:eastAsia="en-US"/>
        </w:rPr>
      </w:pPr>
    </w:p>
    <w:p w14:paraId="5D56D28E" w14:textId="77777777" w:rsidR="006A441E" w:rsidRPr="006A441E" w:rsidRDefault="006A441E" w:rsidP="006A441E">
      <w:pPr>
        <w:autoSpaceDE w:val="0"/>
        <w:autoSpaceDN w:val="0"/>
        <w:adjustRightInd w:val="0"/>
        <w:jc w:val="both"/>
        <w:rPr>
          <w:rFonts w:ascii="Abadi" w:eastAsia="Calibri" w:hAnsi="Abadi" w:cs="*Microsoft Sans Serif-3936-Iden"/>
          <w:color w:val="1B1A21"/>
          <w:sz w:val="21"/>
          <w:szCs w:val="21"/>
          <w:lang w:val="es-MX" w:eastAsia="en-US"/>
        </w:rPr>
      </w:pPr>
      <w:r w:rsidRPr="006A441E">
        <w:rPr>
          <w:rFonts w:ascii="Abadi" w:eastAsia="Calibri" w:hAnsi="Abadi" w:cs="*Microsoft Sans Serif-3936-Iden"/>
          <w:color w:val="1B1A21"/>
          <w:sz w:val="21"/>
          <w:szCs w:val="21"/>
          <w:lang w:val="es-MX" w:eastAsia="en-US"/>
        </w:rPr>
        <w:t>Con fundamento en los artículos 119 fracción I y 171 de la Ley Orgánica del Poder Legislativo, formulamos a la Asamblea el siguiente:</w:t>
      </w:r>
    </w:p>
    <w:p w14:paraId="66D88BF1" w14:textId="77777777" w:rsidR="006A441E" w:rsidRPr="006A441E" w:rsidRDefault="006A441E" w:rsidP="006A441E">
      <w:pPr>
        <w:autoSpaceDE w:val="0"/>
        <w:autoSpaceDN w:val="0"/>
        <w:adjustRightInd w:val="0"/>
        <w:jc w:val="both"/>
        <w:rPr>
          <w:rFonts w:ascii="Abadi" w:eastAsia="Calibri" w:hAnsi="Abadi" w:cs="*Calibri-Bold-3934-Identity-H"/>
          <w:b/>
          <w:bCs/>
          <w:color w:val="14151F"/>
          <w:sz w:val="21"/>
          <w:szCs w:val="21"/>
          <w:lang w:val="es-MX" w:eastAsia="en-US"/>
        </w:rPr>
      </w:pPr>
    </w:p>
    <w:p w14:paraId="5D48D3DC" w14:textId="77777777" w:rsidR="00D80B27" w:rsidRDefault="00D80B27" w:rsidP="006A441E">
      <w:pPr>
        <w:autoSpaceDE w:val="0"/>
        <w:autoSpaceDN w:val="0"/>
        <w:adjustRightInd w:val="0"/>
        <w:jc w:val="center"/>
        <w:rPr>
          <w:rFonts w:ascii="Abadi" w:eastAsia="Calibri" w:hAnsi="Abadi" w:cs="*Calibri-Bold-3934-Identity-H"/>
          <w:b/>
          <w:bCs/>
          <w:color w:val="14151F"/>
          <w:sz w:val="21"/>
          <w:szCs w:val="21"/>
          <w:lang w:val="es-MX" w:eastAsia="en-US"/>
        </w:rPr>
      </w:pPr>
    </w:p>
    <w:p w14:paraId="1C7D8E25" w14:textId="6DB7A4F0" w:rsidR="006A441E" w:rsidRPr="006A441E" w:rsidRDefault="006A441E" w:rsidP="006A441E">
      <w:pPr>
        <w:autoSpaceDE w:val="0"/>
        <w:autoSpaceDN w:val="0"/>
        <w:adjustRightInd w:val="0"/>
        <w:jc w:val="center"/>
        <w:rPr>
          <w:rFonts w:ascii="Abadi" w:eastAsia="Calibri" w:hAnsi="Abadi" w:cs="*Calibri-Bold-3934-Identity-H"/>
          <w:b/>
          <w:bCs/>
          <w:color w:val="14151F"/>
          <w:sz w:val="21"/>
          <w:szCs w:val="21"/>
          <w:lang w:val="es-MX" w:eastAsia="en-US"/>
        </w:rPr>
      </w:pPr>
      <w:r w:rsidRPr="006A441E">
        <w:rPr>
          <w:rFonts w:ascii="Abadi" w:eastAsia="Calibri" w:hAnsi="Abadi" w:cs="*Calibri-Bold-3934-Identity-H"/>
          <w:b/>
          <w:bCs/>
          <w:color w:val="14151F"/>
          <w:sz w:val="21"/>
          <w:szCs w:val="21"/>
          <w:lang w:val="es-MX" w:eastAsia="en-US"/>
        </w:rPr>
        <w:t>DICTAMEN</w:t>
      </w:r>
    </w:p>
    <w:p w14:paraId="17C2E302" w14:textId="77777777" w:rsidR="006A441E" w:rsidRPr="006A441E" w:rsidRDefault="006A441E" w:rsidP="006A441E">
      <w:pPr>
        <w:autoSpaceDE w:val="0"/>
        <w:autoSpaceDN w:val="0"/>
        <w:adjustRightInd w:val="0"/>
        <w:jc w:val="both"/>
        <w:rPr>
          <w:rFonts w:ascii="Abadi" w:eastAsia="Calibri" w:hAnsi="Abadi" w:cs="*Calibri-Bold-3933-Identity-H"/>
          <w:b/>
          <w:bCs/>
          <w:color w:val="14131F"/>
          <w:sz w:val="21"/>
          <w:szCs w:val="21"/>
          <w:lang w:val="es-MX" w:eastAsia="en-US"/>
        </w:rPr>
      </w:pPr>
    </w:p>
    <w:p w14:paraId="2A8B74BB" w14:textId="77777777" w:rsidR="006A441E" w:rsidRPr="006A441E" w:rsidRDefault="006A441E" w:rsidP="006A441E">
      <w:pPr>
        <w:autoSpaceDE w:val="0"/>
        <w:autoSpaceDN w:val="0"/>
        <w:adjustRightInd w:val="0"/>
        <w:jc w:val="both"/>
        <w:rPr>
          <w:rFonts w:ascii="Abadi" w:eastAsia="Calibri" w:hAnsi="Abadi" w:cs="*Calibri-Bold-3933-Identity-H"/>
          <w:b/>
          <w:bCs/>
          <w:color w:val="14131F"/>
          <w:sz w:val="21"/>
          <w:szCs w:val="21"/>
          <w:lang w:val="es-MX" w:eastAsia="en-US"/>
        </w:rPr>
      </w:pPr>
      <w:r w:rsidRPr="006A441E">
        <w:rPr>
          <w:rFonts w:ascii="Abadi" w:eastAsia="Calibri" w:hAnsi="Abadi" w:cs="*Calibri-Bold-3933-Identity-H"/>
          <w:b/>
          <w:bCs/>
          <w:color w:val="14131F"/>
          <w:sz w:val="21"/>
          <w:szCs w:val="21"/>
          <w:lang w:val="es-MX" w:eastAsia="en-US"/>
        </w:rPr>
        <w:t>l. Proceso Legislativo</w:t>
      </w:r>
    </w:p>
    <w:p w14:paraId="4309FBD5" w14:textId="77777777" w:rsidR="006A441E" w:rsidRPr="006A441E" w:rsidRDefault="006A441E" w:rsidP="006A441E">
      <w:pPr>
        <w:autoSpaceDE w:val="0"/>
        <w:autoSpaceDN w:val="0"/>
        <w:adjustRightInd w:val="0"/>
        <w:jc w:val="both"/>
        <w:rPr>
          <w:rFonts w:ascii="Abadi" w:eastAsia="Calibri" w:hAnsi="Abadi" w:cs="*Calibri-Bold-3933-Identity-H"/>
          <w:b/>
          <w:bCs/>
          <w:color w:val="1B1A21"/>
          <w:sz w:val="21"/>
          <w:szCs w:val="21"/>
          <w:lang w:val="es-MX" w:eastAsia="en-US"/>
        </w:rPr>
      </w:pPr>
    </w:p>
    <w:p w14:paraId="710EE24F" w14:textId="77777777" w:rsidR="006A441E" w:rsidRPr="006A441E" w:rsidRDefault="006A441E" w:rsidP="006A441E">
      <w:pPr>
        <w:autoSpaceDE w:val="0"/>
        <w:autoSpaceDN w:val="0"/>
        <w:adjustRightInd w:val="0"/>
        <w:jc w:val="both"/>
        <w:rPr>
          <w:rFonts w:ascii="Abadi" w:eastAsia="Calibri" w:hAnsi="Abadi" w:cs="*Microsoft Sans Serif-3936-Iden"/>
          <w:color w:val="1B1A21"/>
          <w:sz w:val="21"/>
          <w:szCs w:val="21"/>
          <w:lang w:val="es-MX" w:eastAsia="en-US"/>
        </w:rPr>
      </w:pPr>
      <w:r w:rsidRPr="006A441E">
        <w:rPr>
          <w:rFonts w:ascii="Abadi" w:eastAsia="Calibri" w:hAnsi="Abadi" w:cs="*Calibri-Bold-3933-Identity-H"/>
          <w:b/>
          <w:bCs/>
          <w:color w:val="1B1A21"/>
          <w:sz w:val="21"/>
          <w:szCs w:val="21"/>
          <w:lang w:val="es-MX" w:eastAsia="en-US"/>
        </w:rPr>
        <w:t>I.I.</w:t>
      </w:r>
      <w:r w:rsidRPr="006A441E">
        <w:rPr>
          <w:rFonts w:ascii="Abadi" w:eastAsia="Calibri" w:hAnsi="Abadi" w:cs="*Microsoft Sans Serif-3936-Iden"/>
          <w:color w:val="1B1A21"/>
          <w:sz w:val="21"/>
          <w:szCs w:val="21"/>
          <w:lang w:val="es-MX" w:eastAsia="en-US"/>
        </w:rPr>
        <w:t xml:space="preserve"> En sesión del 18 de noviembre de 2021 ingresó la iniciativa suscrita por diputadas y diputados integrantes del Grupo Parlamentario del Partido Acción Nacional por la que se adiciona un segundo párrafo que contiene las fracciones de la I a la VIII al artículo 18 de la Ley del Sistema de Seguridad Pública del Estado de Guanajuato. Turnándose a esta Comisión de </w:t>
      </w:r>
      <w:r w:rsidRPr="006A441E">
        <w:rPr>
          <w:rFonts w:ascii="Abadi" w:eastAsia="Calibri" w:hAnsi="Abadi" w:cs="*Courier New-5550-Identity-H"/>
          <w:color w:val="17161D"/>
          <w:sz w:val="21"/>
          <w:szCs w:val="21"/>
          <w:lang w:val="es-MX" w:eastAsia="en-US"/>
        </w:rPr>
        <w:t>Seguridad Pública y Comunicaciones, con fundamento en lo dispuesto por</w:t>
      </w:r>
      <w:r w:rsidRPr="006A441E">
        <w:rPr>
          <w:rFonts w:ascii="Abadi" w:eastAsia="Calibri" w:hAnsi="Abadi" w:cs="*Microsoft Sans Serif-3936-Iden"/>
          <w:color w:val="1B1A21"/>
          <w:sz w:val="21"/>
          <w:szCs w:val="21"/>
          <w:lang w:val="es-MX" w:eastAsia="en-US"/>
        </w:rPr>
        <w:t xml:space="preserve"> </w:t>
      </w:r>
      <w:r w:rsidRPr="006A441E">
        <w:rPr>
          <w:rFonts w:ascii="Abadi" w:eastAsia="Calibri" w:hAnsi="Abadi" w:cs="*Courier New-5550-Identity-H"/>
          <w:color w:val="17161D"/>
          <w:sz w:val="21"/>
          <w:szCs w:val="21"/>
          <w:lang w:val="es-MX" w:eastAsia="en-US"/>
        </w:rPr>
        <w:t>el artículo 119 fracción I de nuestra Ley Orgánica.</w:t>
      </w:r>
    </w:p>
    <w:p w14:paraId="630CD8EC" w14:textId="77777777" w:rsidR="006A441E" w:rsidRPr="006A441E" w:rsidRDefault="006A441E" w:rsidP="006A441E">
      <w:pPr>
        <w:autoSpaceDE w:val="0"/>
        <w:autoSpaceDN w:val="0"/>
        <w:adjustRightInd w:val="0"/>
        <w:jc w:val="both"/>
        <w:rPr>
          <w:rFonts w:ascii="Abadi" w:eastAsia="Calibri" w:hAnsi="Abadi" w:cs="*Courier New-5550-Identity-H"/>
          <w:color w:val="17161D"/>
          <w:sz w:val="21"/>
          <w:szCs w:val="21"/>
          <w:lang w:val="es-MX" w:eastAsia="en-US"/>
        </w:rPr>
      </w:pPr>
    </w:p>
    <w:p w14:paraId="7EEAC90C" w14:textId="77777777" w:rsidR="006A441E" w:rsidRPr="006A441E" w:rsidRDefault="006A441E" w:rsidP="006A441E">
      <w:pPr>
        <w:autoSpaceDE w:val="0"/>
        <w:autoSpaceDN w:val="0"/>
        <w:adjustRightInd w:val="0"/>
        <w:jc w:val="both"/>
        <w:rPr>
          <w:rFonts w:ascii="Abadi" w:eastAsia="Calibri" w:hAnsi="Abadi" w:cs="*Courier New-5550-Identity-H"/>
          <w:color w:val="17161D"/>
          <w:sz w:val="21"/>
          <w:szCs w:val="21"/>
          <w:lang w:val="es-MX" w:eastAsia="en-US"/>
        </w:rPr>
      </w:pPr>
      <w:r w:rsidRPr="006A441E">
        <w:rPr>
          <w:rFonts w:ascii="Abadi" w:eastAsia="Calibri" w:hAnsi="Abadi" w:cs="*Courier New-5550-Identity-H"/>
          <w:b/>
          <w:bCs/>
          <w:color w:val="17161D"/>
          <w:sz w:val="21"/>
          <w:szCs w:val="21"/>
          <w:lang w:val="es-MX" w:eastAsia="en-US"/>
        </w:rPr>
        <w:t>I.2</w:t>
      </w:r>
      <w:r w:rsidRPr="006A441E">
        <w:rPr>
          <w:rFonts w:ascii="Abadi" w:eastAsia="Calibri" w:hAnsi="Abadi" w:cs="*Courier New-5550-Identity-H"/>
          <w:color w:val="17161D"/>
          <w:sz w:val="21"/>
          <w:szCs w:val="21"/>
          <w:lang w:val="es-MX" w:eastAsia="en-US"/>
        </w:rPr>
        <w:t>. En sesión de la Comisión de Seguridad Pública y Comunicaciones, de fecha l O de diciembre de 2021, se radicó la iniciativa. Acordándose como metodología, en fecha 19 de enero de 2022, lo siguiente:</w:t>
      </w:r>
    </w:p>
    <w:p w14:paraId="102FC01B" w14:textId="77777777" w:rsidR="006A441E" w:rsidRPr="006A441E" w:rsidRDefault="006A441E" w:rsidP="006A441E">
      <w:pPr>
        <w:autoSpaceDE w:val="0"/>
        <w:autoSpaceDN w:val="0"/>
        <w:adjustRightInd w:val="0"/>
        <w:jc w:val="both"/>
        <w:rPr>
          <w:rFonts w:ascii="Abadi" w:eastAsia="Calibri" w:hAnsi="Abadi" w:cs="*Courier New-5550-Identity-H"/>
          <w:color w:val="18161D"/>
          <w:sz w:val="21"/>
          <w:szCs w:val="21"/>
          <w:lang w:val="es-MX" w:eastAsia="en-US"/>
        </w:rPr>
      </w:pPr>
    </w:p>
    <w:p w14:paraId="12E99145" w14:textId="77777777" w:rsidR="006A441E" w:rsidRPr="006A441E" w:rsidRDefault="006A441E" w:rsidP="002E6197">
      <w:pPr>
        <w:numPr>
          <w:ilvl w:val="0"/>
          <w:numId w:val="73"/>
        </w:numPr>
        <w:autoSpaceDE w:val="0"/>
        <w:autoSpaceDN w:val="0"/>
        <w:adjustRightInd w:val="0"/>
        <w:spacing w:line="259" w:lineRule="auto"/>
        <w:contextualSpacing/>
        <w:jc w:val="both"/>
        <w:rPr>
          <w:rFonts w:ascii="Abadi" w:eastAsia="Calibri" w:hAnsi="Abadi" w:cs="*Courier New-5550-Identity-H"/>
          <w:color w:val="18161D"/>
          <w:sz w:val="21"/>
          <w:szCs w:val="21"/>
          <w:lang w:val="es-MX" w:eastAsia="en-US"/>
        </w:rPr>
      </w:pPr>
      <w:r w:rsidRPr="006A441E">
        <w:rPr>
          <w:rFonts w:ascii="Abadi" w:eastAsia="Calibri" w:hAnsi="Abadi" w:cs="*Courier New-5550-Identity-H"/>
          <w:color w:val="18161D"/>
          <w:sz w:val="21"/>
          <w:szCs w:val="21"/>
          <w:lang w:val="es-MX" w:eastAsia="en-US"/>
        </w:rPr>
        <w:t>Enviar la iniciativa por correo electrónico a las Diputadas y los Diputados de esta Legislatura para su análisis y comentarios, otorgándoles 15 días hábiles, contados a partir de la recepción, para enviar sus comentarios.</w:t>
      </w:r>
    </w:p>
    <w:p w14:paraId="2576C628" w14:textId="77777777" w:rsidR="006A441E" w:rsidRPr="006A441E" w:rsidRDefault="006A441E" w:rsidP="002E6197">
      <w:pPr>
        <w:autoSpaceDE w:val="0"/>
        <w:autoSpaceDN w:val="0"/>
        <w:adjustRightInd w:val="0"/>
        <w:ind w:left="720"/>
        <w:contextualSpacing/>
        <w:jc w:val="both"/>
        <w:rPr>
          <w:rFonts w:ascii="Abadi" w:eastAsia="Calibri" w:hAnsi="Abadi" w:cs="*Courier New-5550-Identity-H"/>
          <w:color w:val="18161D"/>
          <w:sz w:val="21"/>
          <w:szCs w:val="21"/>
          <w:lang w:val="es-MX" w:eastAsia="en-US"/>
        </w:rPr>
      </w:pPr>
    </w:p>
    <w:p w14:paraId="589CA7F3" w14:textId="77777777" w:rsidR="006A441E" w:rsidRPr="006A441E" w:rsidRDefault="006A441E" w:rsidP="002E6197">
      <w:pPr>
        <w:numPr>
          <w:ilvl w:val="0"/>
          <w:numId w:val="73"/>
        </w:numPr>
        <w:autoSpaceDE w:val="0"/>
        <w:autoSpaceDN w:val="0"/>
        <w:adjustRightInd w:val="0"/>
        <w:spacing w:line="259" w:lineRule="auto"/>
        <w:contextualSpacing/>
        <w:jc w:val="both"/>
        <w:rPr>
          <w:rFonts w:ascii="Abadi" w:eastAsia="Calibri" w:hAnsi="Abadi" w:cs="*Courier New-5550-Identity-H"/>
          <w:color w:val="18161D"/>
          <w:sz w:val="21"/>
          <w:szCs w:val="21"/>
          <w:lang w:val="es-MX" w:eastAsia="en-US"/>
        </w:rPr>
      </w:pPr>
      <w:r w:rsidRPr="006A441E">
        <w:rPr>
          <w:rFonts w:ascii="Abadi" w:eastAsia="Calibri" w:hAnsi="Abadi" w:cs="*Courier New-5550-Identity-H"/>
          <w:color w:val="18171C"/>
          <w:sz w:val="21"/>
          <w:szCs w:val="21"/>
          <w:lang w:val="es-MX" w:eastAsia="en-US"/>
        </w:rPr>
        <w:t>Enviar la iniciativa por firma electrónica a los ayuntamientos del estado para su análisis y comentarios, otorgándoles 15 días hábiles, contados a partir de la recepción, para enviar sus comentarios.</w:t>
      </w:r>
    </w:p>
    <w:p w14:paraId="0CE3F0B1" w14:textId="77777777" w:rsidR="006A441E" w:rsidRPr="006A441E" w:rsidRDefault="006A441E" w:rsidP="002E6197">
      <w:pPr>
        <w:autoSpaceDE w:val="0"/>
        <w:autoSpaceDN w:val="0"/>
        <w:adjustRightInd w:val="0"/>
        <w:jc w:val="both"/>
        <w:rPr>
          <w:rFonts w:ascii="Abadi" w:eastAsia="Calibri" w:hAnsi="Abadi" w:cs="*Courier New-5550-Identity-H"/>
          <w:color w:val="18161D"/>
          <w:sz w:val="21"/>
          <w:szCs w:val="21"/>
          <w:lang w:val="es-MX" w:eastAsia="en-US"/>
        </w:rPr>
      </w:pPr>
    </w:p>
    <w:p w14:paraId="1F9580DB" w14:textId="77777777" w:rsidR="006A441E" w:rsidRPr="006A441E" w:rsidRDefault="006A441E" w:rsidP="002E6197">
      <w:pPr>
        <w:numPr>
          <w:ilvl w:val="0"/>
          <w:numId w:val="73"/>
        </w:numPr>
        <w:autoSpaceDE w:val="0"/>
        <w:autoSpaceDN w:val="0"/>
        <w:adjustRightInd w:val="0"/>
        <w:spacing w:line="259" w:lineRule="auto"/>
        <w:contextualSpacing/>
        <w:jc w:val="both"/>
        <w:rPr>
          <w:rFonts w:ascii="Abadi" w:eastAsia="Calibri" w:hAnsi="Abadi" w:cs="*Courier New-5550-Identity-H"/>
          <w:color w:val="18161D"/>
          <w:sz w:val="21"/>
          <w:szCs w:val="21"/>
          <w:lang w:val="es-MX" w:eastAsia="en-US"/>
        </w:rPr>
      </w:pPr>
      <w:r w:rsidRPr="006A441E">
        <w:rPr>
          <w:rFonts w:ascii="Abadi" w:eastAsia="Calibri" w:hAnsi="Abadi" w:cs="*Courier New-5550-Identity-H"/>
          <w:color w:val="17161D"/>
          <w:sz w:val="21"/>
          <w:szCs w:val="21"/>
          <w:lang w:val="es-MX" w:eastAsia="en-US"/>
        </w:rPr>
        <w:t>Enviar por correo electrónico la iniciativa a la Secretaría de Seguridad Pública, otorgándole 15 días hábiles, contados a partir de la recepción, para enviar sus comentarios.</w:t>
      </w:r>
    </w:p>
    <w:p w14:paraId="457D2122" w14:textId="77777777" w:rsidR="006A441E" w:rsidRPr="006A441E" w:rsidRDefault="006A441E" w:rsidP="002E6197">
      <w:pPr>
        <w:autoSpaceDE w:val="0"/>
        <w:autoSpaceDN w:val="0"/>
        <w:adjustRightInd w:val="0"/>
        <w:jc w:val="both"/>
        <w:rPr>
          <w:rFonts w:ascii="Abadi" w:eastAsia="Calibri" w:hAnsi="Abadi" w:cs="*Courier New-5550-Identity-H"/>
          <w:color w:val="18161D"/>
          <w:sz w:val="21"/>
          <w:szCs w:val="21"/>
          <w:lang w:val="es-MX" w:eastAsia="en-US"/>
        </w:rPr>
      </w:pPr>
    </w:p>
    <w:p w14:paraId="6C6CEB71" w14:textId="77777777" w:rsidR="006A441E" w:rsidRPr="006A441E" w:rsidRDefault="006A441E" w:rsidP="002E6197">
      <w:pPr>
        <w:numPr>
          <w:ilvl w:val="0"/>
          <w:numId w:val="73"/>
        </w:numPr>
        <w:autoSpaceDE w:val="0"/>
        <w:autoSpaceDN w:val="0"/>
        <w:adjustRightInd w:val="0"/>
        <w:spacing w:line="259" w:lineRule="auto"/>
        <w:contextualSpacing/>
        <w:jc w:val="both"/>
        <w:rPr>
          <w:rFonts w:ascii="Abadi" w:eastAsia="Calibri" w:hAnsi="Abadi" w:cs="*Courier New-5550-Identity-H"/>
          <w:color w:val="18161D"/>
          <w:sz w:val="21"/>
          <w:szCs w:val="21"/>
          <w:lang w:val="es-MX" w:eastAsia="en-US"/>
        </w:rPr>
      </w:pPr>
      <w:r w:rsidRPr="006A441E">
        <w:rPr>
          <w:rFonts w:ascii="Abadi" w:eastAsia="Calibri" w:hAnsi="Abadi" w:cs="*Courier New-5550-Identity-H"/>
          <w:color w:val="17161D"/>
          <w:sz w:val="21"/>
          <w:szCs w:val="21"/>
          <w:lang w:val="es-MX" w:eastAsia="en-US"/>
        </w:rPr>
        <w:t>Elaboración y remisión, por parte de la secretaría técnica, de un documento de trabajo el cual concentre las observaciones y comentarios recibidos.</w:t>
      </w:r>
    </w:p>
    <w:p w14:paraId="299142F1" w14:textId="77777777" w:rsidR="006A441E" w:rsidRPr="006A441E" w:rsidRDefault="006A441E" w:rsidP="002E6197">
      <w:pPr>
        <w:autoSpaceDE w:val="0"/>
        <w:autoSpaceDN w:val="0"/>
        <w:adjustRightInd w:val="0"/>
        <w:jc w:val="both"/>
        <w:rPr>
          <w:rFonts w:ascii="Abadi" w:eastAsia="Calibri" w:hAnsi="Abadi" w:cs="*Courier New-5550-Identity-H"/>
          <w:color w:val="18161D"/>
          <w:sz w:val="21"/>
          <w:szCs w:val="21"/>
          <w:lang w:val="es-MX" w:eastAsia="en-US"/>
        </w:rPr>
      </w:pPr>
    </w:p>
    <w:p w14:paraId="44C1D8D0" w14:textId="77777777" w:rsidR="006A441E" w:rsidRPr="006A441E" w:rsidRDefault="006A441E" w:rsidP="002E6197">
      <w:pPr>
        <w:numPr>
          <w:ilvl w:val="0"/>
          <w:numId w:val="73"/>
        </w:numPr>
        <w:autoSpaceDE w:val="0"/>
        <w:autoSpaceDN w:val="0"/>
        <w:adjustRightInd w:val="0"/>
        <w:spacing w:line="259" w:lineRule="auto"/>
        <w:contextualSpacing/>
        <w:jc w:val="both"/>
        <w:rPr>
          <w:rFonts w:ascii="Abadi" w:eastAsia="Calibri" w:hAnsi="Abadi" w:cs="*Courier New-5550-Identity-H"/>
          <w:color w:val="18161D"/>
          <w:sz w:val="21"/>
          <w:szCs w:val="21"/>
          <w:lang w:val="es-MX" w:eastAsia="en-US"/>
        </w:rPr>
      </w:pPr>
      <w:r w:rsidRPr="006A441E">
        <w:rPr>
          <w:rFonts w:ascii="Abadi" w:eastAsia="Calibri" w:hAnsi="Abadi" w:cs="*Courier New-6615-Identity-H"/>
          <w:color w:val="1C1A22"/>
          <w:sz w:val="21"/>
          <w:szCs w:val="21"/>
          <w:lang w:val="es-MX" w:eastAsia="en-US"/>
        </w:rPr>
        <w:t>Mesa de trabajo permanente con diputados y asesores, así como integrar un grupo de trabajo a efecto de examinar la iniciativa, con la posibilidad de invitación a funcionarios representantes del Poder Ejecutivo.</w:t>
      </w:r>
    </w:p>
    <w:p w14:paraId="5BA7856B" w14:textId="77777777" w:rsidR="006A441E" w:rsidRPr="006A441E" w:rsidRDefault="006A441E" w:rsidP="002E6197">
      <w:pPr>
        <w:autoSpaceDE w:val="0"/>
        <w:autoSpaceDN w:val="0"/>
        <w:adjustRightInd w:val="0"/>
        <w:jc w:val="both"/>
        <w:rPr>
          <w:rFonts w:ascii="Abadi" w:eastAsia="Calibri" w:hAnsi="Abadi" w:cs="*Courier New-5550-Identity-H"/>
          <w:color w:val="18161D"/>
          <w:sz w:val="21"/>
          <w:szCs w:val="21"/>
          <w:lang w:val="es-MX" w:eastAsia="en-US"/>
        </w:rPr>
      </w:pPr>
    </w:p>
    <w:p w14:paraId="44B63C41" w14:textId="77777777" w:rsidR="006A441E" w:rsidRPr="006A441E" w:rsidRDefault="006A441E" w:rsidP="002E6197">
      <w:pPr>
        <w:numPr>
          <w:ilvl w:val="0"/>
          <w:numId w:val="73"/>
        </w:numPr>
        <w:autoSpaceDE w:val="0"/>
        <w:autoSpaceDN w:val="0"/>
        <w:adjustRightInd w:val="0"/>
        <w:spacing w:line="259" w:lineRule="auto"/>
        <w:contextualSpacing/>
        <w:jc w:val="both"/>
        <w:rPr>
          <w:rFonts w:ascii="Abadi" w:eastAsia="Calibri" w:hAnsi="Abadi" w:cs="*Courier New-5550-Identity-H"/>
          <w:color w:val="18161D"/>
          <w:sz w:val="21"/>
          <w:szCs w:val="21"/>
          <w:lang w:val="es-MX" w:eastAsia="en-US"/>
        </w:rPr>
      </w:pPr>
      <w:r w:rsidRPr="006A441E">
        <w:rPr>
          <w:rFonts w:ascii="Abadi" w:eastAsia="Calibri" w:hAnsi="Abadi" w:cs="*Courier New-6615-Identity-H"/>
          <w:color w:val="1C1B22"/>
          <w:sz w:val="21"/>
          <w:szCs w:val="21"/>
          <w:lang w:val="es-MX" w:eastAsia="en-US"/>
        </w:rPr>
        <w:t>Acuerdos para la elaboración del documento con proyecto de dictamen que se remitirá a los integrantes de la Comisión, para que formulen observaciones, en su caso.</w:t>
      </w:r>
    </w:p>
    <w:p w14:paraId="1E32500C" w14:textId="77777777" w:rsidR="006A441E" w:rsidRPr="006A441E" w:rsidRDefault="006A441E" w:rsidP="002E6197">
      <w:pPr>
        <w:autoSpaceDE w:val="0"/>
        <w:autoSpaceDN w:val="0"/>
        <w:adjustRightInd w:val="0"/>
        <w:jc w:val="both"/>
        <w:rPr>
          <w:rFonts w:ascii="Abadi" w:eastAsia="Calibri" w:hAnsi="Abadi" w:cs="*Courier New-5550-Identity-H"/>
          <w:color w:val="18161D"/>
          <w:sz w:val="21"/>
          <w:szCs w:val="21"/>
          <w:lang w:val="es-MX" w:eastAsia="en-US"/>
        </w:rPr>
      </w:pPr>
    </w:p>
    <w:p w14:paraId="0B35AC50" w14:textId="77777777" w:rsidR="006A441E" w:rsidRPr="006A441E" w:rsidRDefault="006A441E" w:rsidP="002E6197">
      <w:pPr>
        <w:numPr>
          <w:ilvl w:val="0"/>
          <w:numId w:val="73"/>
        </w:numPr>
        <w:autoSpaceDE w:val="0"/>
        <w:autoSpaceDN w:val="0"/>
        <w:adjustRightInd w:val="0"/>
        <w:spacing w:line="259" w:lineRule="auto"/>
        <w:contextualSpacing/>
        <w:jc w:val="both"/>
        <w:rPr>
          <w:rFonts w:ascii="Abadi" w:eastAsia="Calibri" w:hAnsi="Abadi" w:cs="*Courier New-5550-Identity-H"/>
          <w:color w:val="18161D"/>
          <w:sz w:val="21"/>
          <w:szCs w:val="21"/>
          <w:lang w:val="es-MX" w:eastAsia="en-US"/>
        </w:rPr>
      </w:pPr>
      <w:r w:rsidRPr="006A441E">
        <w:rPr>
          <w:rFonts w:ascii="Abadi" w:eastAsia="Calibri" w:hAnsi="Abadi" w:cs="*Courier New-6615-Identity-H"/>
          <w:color w:val="1B1A21"/>
          <w:sz w:val="21"/>
          <w:szCs w:val="21"/>
          <w:lang w:val="es-MX" w:eastAsia="en-US"/>
        </w:rPr>
        <w:t>Reunión de Comisión para en su caso, discutir y aprobar el dictamen.</w:t>
      </w:r>
    </w:p>
    <w:p w14:paraId="25202546" w14:textId="77777777" w:rsidR="006A441E" w:rsidRPr="006A441E" w:rsidRDefault="006A441E" w:rsidP="002E6197">
      <w:pPr>
        <w:autoSpaceDE w:val="0"/>
        <w:autoSpaceDN w:val="0"/>
        <w:adjustRightInd w:val="0"/>
        <w:jc w:val="both"/>
        <w:rPr>
          <w:rFonts w:ascii="Abadi" w:eastAsia="Calibri" w:hAnsi="Abadi" w:cs="*Courier New-5550-Identity-H"/>
          <w:color w:val="18161D"/>
          <w:sz w:val="21"/>
          <w:szCs w:val="21"/>
          <w:lang w:val="es-MX" w:eastAsia="en-US"/>
        </w:rPr>
      </w:pPr>
    </w:p>
    <w:p w14:paraId="5D42A859" w14:textId="77777777" w:rsidR="006A441E" w:rsidRPr="006A441E" w:rsidRDefault="006A441E" w:rsidP="002E6197">
      <w:pPr>
        <w:autoSpaceDE w:val="0"/>
        <w:autoSpaceDN w:val="0"/>
        <w:adjustRightInd w:val="0"/>
        <w:jc w:val="both"/>
        <w:rPr>
          <w:rFonts w:ascii="Abadi" w:eastAsia="Calibri" w:hAnsi="Abadi" w:cs="*Courier New-6615-Identity-H"/>
          <w:color w:val="1D1C22"/>
          <w:sz w:val="21"/>
          <w:szCs w:val="21"/>
          <w:lang w:val="es-MX" w:eastAsia="en-US"/>
        </w:rPr>
      </w:pPr>
      <w:r w:rsidRPr="006A441E">
        <w:rPr>
          <w:rFonts w:ascii="Abadi" w:eastAsia="Calibri" w:hAnsi="Abadi" w:cs="*Courier New-6615-Identity-H"/>
          <w:b/>
          <w:bCs/>
          <w:color w:val="1D1C22"/>
          <w:sz w:val="21"/>
          <w:szCs w:val="21"/>
          <w:lang w:val="es-MX" w:eastAsia="en-US"/>
        </w:rPr>
        <w:t>1.3.</w:t>
      </w:r>
      <w:r w:rsidRPr="006A441E">
        <w:rPr>
          <w:rFonts w:ascii="Abadi" w:eastAsia="Calibri" w:hAnsi="Abadi" w:cs="*Courier New-6615-Identity-H"/>
          <w:color w:val="1D1C22"/>
          <w:sz w:val="21"/>
          <w:szCs w:val="21"/>
          <w:lang w:val="es-MX" w:eastAsia="en-US"/>
        </w:rPr>
        <w:t xml:space="preserve"> En atención a las comunicaciones enviadas dando cumplimiento a la referida metodología, se recibieron respuestas de los siguientes municipios:</w:t>
      </w:r>
    </w:p>
    <w:p w14:paraId="614147D4" w14:textId="77777777" w:rsidR="006A441E" w:rsidRPr="006A441E" w:rsidRDefault="006A441E" w:rsidP="002E6197">
      <w:pPr>
        <w:autoSpaceDE w:val="0"/>
        <w:autoSpaceDN w:val="0"/>
        <w:adjustRightInd w:val="0"/>
        <w:jc w:val="both"/>
        <w:rPr>
          <w:rFonts w:ascii="Abadi" w:eastAsia="Calibri" w:hAnsi="Abadi" w:cs="*Verdana-6617-Identity-H"/>
          <w:color w:val="1E1D24"/>
          <w:sz w:val="21"/>
          <w:szCs w:val="21"/>
          <w:lang w:val="es-MX" w:eastAsia="en-US"/>
        </w:rPr>
      </w:pPr>
    </w:p>
    <w:p w14:paraId="206D86A1" w14:textId="77777777" w:rsidR="006A441E" w:rsidRPr="006A441E" w:rsidRDefault="006A441E" w:rsidP="002E6197">
      <w:pPr>
        <w:numPr>
          <w:ilvl w:val="0"/>
          <w:numId w:val="74"/>
        </w:numPr>
        <w:autoSpaceDE w:val="0"/>
        <w:autoSpaceDN w:val="0"/>
        <w:adjustRightInd w:val="0"/>
        <w:spacing w:line="259" w:lineRule="auto"/>
        <w:contextualSpacing/>
        <w:jc w:val="both"/>
        <w:rPr>
          <w:rFonts w:ascii="Abadi" w:eastAsia="Calibri" w:hAnsi="Abadi" w:cs="*Verdana-6617-Identity-H"/>
          <w:color w:val="1E1D24"/>
          <w:sz w:val="21"/>
          <w:szCs w:val="21"/>
          <w:lang w:val="es-MX" w:eastAsia="en-US"/>
        </w:rPr>
      </w:pPr>
      <w:r w:rsidRPr="006A441E">
        <w:rPr>
          <w:rFonts w:ascii="Abadi" w:eastAsia="Calibri" w:hAnsi="Abadi" w:cs="*Verdana-6617-Identity-H"/>
          <w:color w:val="1E1D24"/>
          <w:sz w:val="21"/>
          <w:szCs w:val="21"/>
          <w:lang w:val="es-MX" w:eastAsia="en-US"/>
        </w:rPr>
        <w:t>Celaya; manifestándose a favor, sin observaciones.</w:t>
      </w:r>
    </w:p>
    <w:p w14:paraId="24D29692" w14:textId="77777777" w:rsidR="006A441E" w:rsidRPr="006A441E" w:rsidRDefault="006A441E" w:rsidP="002E6197">
      <w:pPr>
        <w:numPr>
          <w:ilvl w:val="0"/>
          <w:numId w:val="74"/>
        </w:numPr>
        <w:autoSpaceDE w:val="0"/>
        <w:autoSpaceDN w:val="0"/>
        <w:adjustRightInd w:val="0"/>
        <w:spacing w:line="259" w:lineRule="auto"/>
        <w:contextualSpacing/>
        <w:jc w:val="both"/>
        <w:rPr>
          <w:rFonts w:ascii="Abadi" w:eastAsia="Calibri" w:hAnsi="Abadi" w:cs="*Verdana-6617-Identity-H"/>
          <w:color w:val="1E1D24"/>
          <w:sz w:val="21"/>
          <w:szCs w:val="21"/>
          <w:lang w:val="es-MX" w:eastAsia="en-US"/>
        </w:rPr>
      </w:pPr>
      <w:r w:rsidRPr="006A441E">
        <w:rPr>
          <w:rFonts w:ascii="Abadi" w:eastAsia="Calibri" w:hAnsi="Abadi" w:cs="*Verdana-6617-Identity-H"/>
          <w:color w:val="1E1E24"/>
          <w:sz w:val="21"/>
          <w:szCs w:val="21"/>
          <w:lang w:val="es-MX" w:eastAsia="en-US"/>
        </w:rPr>
        <w:t>León; proponiendo establecer fecha o plazo límite en qué deberán rendirse los informes trimestrales para que las instancias municipales a cargo de la seguridad pública pueden concentrar los datos comprendidos. Así también, que, de la información relativa a la evaluación de la institución policial, se elimine lo relativo a la frecuencia y horas de patrullaje en el territorio, pues son datos de utilidad a las personas pertenecientes a organizaciones y o redes criminales.</w:t>
      </w:r>
    </w:p>
    <w:p w14:paraId="3DE72ED7" w14:textId="77777777" w:rsidR="006A441E" w:rsidRPr="006A441E" w:rsidRDefault="006A441E" w:rsidP="002E6197">
      <w:pPr>
        <w:numPr>
          <w:ilvl w:val="0"/>
          <w:numId w:val="74"/>
        </w:numPr>
        <w:autoSpaceDE w:val="0"/>
        <w:autoSpaceDN w:val="0"/>
        <w:adjustRightInd w:val="0"/>
        <w:spacing w:line="259" w:lineRule="auto"/>
        <w:contextualSpacing/>
        <w:jc w:val="both"/>
        <w:rPr>
          <w:rFonts w:ascii="Abadi" w:eastAsia="Calibri" w:hAnsi="Abadi" w:cs="*Verdana-6617-Identity-H"/>
          <w:color w:val="1E1D24"/>
          <w:sz w:val="21"/>
          <w:szCs w:val="21"/>
          <w:lang w:val="es-MX" w:eastAsia="en-US"/>
        </w:rPr>
      </w:pPr>
      <w:r w:rsidRPr="006A441E">
        <w:rPr>
          <w:rFonts w:ascii="Abadi" w:eastAsia="Calibri" w:hAnsi="Abadi" w:cs="*Verdana-6617-Identity-H"/>
          <w:color w:val="201F25"/>
          <w:sz w:val="21"/>
          <w:szCs w:val="21"/>
          <w:lang w:val="es-MX" w:eastAsia="en-US"/>
        </w:rPr>
        <w:t>San Felipe; pronunciándose a favor, indicando que de aceptarse la iniciativa se daría certeza jurídica a los ciudadanos.</w:t>
      </w:r>
    </w:p>
    <w:p w14:paraId="68FCB2BD" w14:textId="77777777" w:rsidR="006A441E" w:rsidRPr="006A441E" w:rsidRDefault="006A441E" w:rsidP="002E6197">
      <w:pPr>
        <w:spacing w:line="259" w:lineRule="auto"/>
        <w:jc w:val="both"/>
        <w:rPr>
          <w:rFonts w:ascii="Abadi" w:eastAsia="Calibri" w:hAnsi="Abadi" w:cs="*Verdana-6617-Identity-H"/>
          <w:color w:val="201F25"/>
          <w:sz w:val="21"/>
          <w:szCs w:val="21"/>
          <w:lang w:val="es-MX" w:eastAsia="en-US"/>
        </w:rPr>
      </w:pPr>
    </w:p>
    <w:p w14:paraId="4161E52F" w14:textId="77777777" w:rsidR="006A441E" w:rsidRPr="006A441E" w:rsidRDefault="006A441E" w:rsidP="002E6197">
      <w:pPr>
        <w:autoSpaceDE w:val="0"/>
        <w:autoSpaceDN w:val="0"/>
        <w:adjustRightInd w:val="0"/>
        <w:jc w:val="both"/>
        <w:rPr>
          <w:rFonts w:ascii="Abadi" w:eastAsia="Calibri" w:hAnsi="Abadi" w:cs="*Courier New-6940-Identity-H"/>
          <w:color w:val="1C1B21"/>
          <w:sz w:val="21"/>
          <w:szCs w:val="21"/>
          <w:lang w:val="es-MX" w:eastAsia="en-US"/>
        </w:rPr>
      </w:pPr>
      <w:r w:rsidRPr="006A441E">
        <w:rPr>
          <w:rFonts w:ascii="Abadi" w:eastAsia="Calibri" w:hAnsi="Abadi" w:cs="*Courier New-6940-Identity-H"/>
          <w:color w:val="1C1B21"/>
          <w:sz w:val="21"/>
          <w:szCs w:val="21"/>
          <w:lang w:val="es-MX" w:eastAsia="en-US"/>
        </w:rPr>
        <w:t>Se obtuvo respuesta de la Secretaría de Seguridad Pública, misma que considera viable la propuesta, pues se abona a cumplir con el objetivo y fines de la seguridad pública destacando el suministro de información que ayudaría a las autoridades en el ámbito de sus competencia a orientar y optimizar la labor de las instituciones policiales en el combate a la delincuencia, a las conductas antisociales, así como a la prevención y control del delito y la aplicación de infracciones administrativas, lo que fortalecería la realización de acciones conjuntas para abatir la incidencia delictiva en favor de la ciudadanía guanajuatense.</w:t>
      </w:r>
    </w:p>
    <w:p w14:paraId="63A224D2" w14:textId="77777777" w:rsidR="006A441E" w:rsidRPr="006A441E" w:rsidRDefault="006A441E" w:rsidP="002E6197">
      <w:pPr>
        <w:autoSpaceDE w:val="0"/>
        <w:autoSpaceDN w:val="0"/>
        <w:adjustRightInd w:val="0"/>
        <w:jc w:val="both"/>
        <w:rPr>
          <w:rFonts w:ascii="Abadi" w:eastAsia="Calibri" w:hAnsi="Abadi" w:cs="*Courier New-6940-Identity-H"/>
          <w:color w:val="1C1B21"/>
          <w:sz w:val="21"/>
          <w:szCs w:val="21"/>
          <w:lang w:val="es-MX" w:eastAsia="en-US"/>
        </w:rPr>
      </w:pPr>
    </w:p>
    <w:p w14:paraId="5E6B89F1" w14:textId="77777777" w:rsidR="006A441E" w:rsidRPr="006A441E" w:rsidRDefault="006A441E" w:rsidP="002E6197">
      <w:pPr>
        <w:autoSpaceDE w:val="0"/>
        <w:autoSpaceDN w:val="0"/>
        <w:adjustRightInd w:val="0"/>
        <w:jc w:val="both"/>
        <w:rPr>
          <w:rFonts w:ascii="Abadi" w:eastAsia="Calibri" w:hAnsi="Abadi" w:cs="*Courier New-6940-Identity-H"/>
          <w:color w:val="1C1B21"/>
          <w:sz w:val="21"/>
          <w:szCs w:val="21"/>
          <w:lang w:val="es-MX" w:eastAsia="en-US"/>
        </w:rPr>
      </w:pPr>
      <w:r w:rsidRPr="006A441E">
        <w:rPr>
          <w:rFonts w:ascii="Abadi" w:eastAsia="Calibri" w:hAnsi="Abadi" w:cs="*Courier New-6940-Identity-H"/>
          <w:b/>
          <w:bCs/>
          <w:color w:val="1C1B21"/>
          <w:sz w:val="21"/>
          <w:szCs w:val="21"/>
          <w:lang w:val="es-MX" w:eastAsia="en-US"/>
        </w:rPr>
        <w:t xml:space="preserve">1.4. </w:t>
      </w:r>
      <w:r w:rsidRPr="006A441E">
        <w:rPr>
          <w:rFonts w:ascii="Abadi" w:eastAsia="Calibri" w:hAnsi="Abadi" w:cs="*Courier New-6940-Identity-H"/>
          <w:color w:val="1C1B21"/>
          <w:sz w:val="21"/>
          <w:szCs w:val="21"/>
          <w:lang w:val="es-MX" w:eastAsia="en-US"/>
        </w:rPr>
        <w:t>En seguimiento a la metodología referida, se celebró una mesa de trabajo con los integrantes de la comisión y los asesores de los grupos parlamentarios en fecha 20 de abril de 2022, en la que fueron compartidas las opiniones anteriormente señaladas, resultando como pronunciamientos</w:t>
      </w:r>
    </w:p>
    <w:p w14:paraId="5E97D3D7" w14:textId="77777777" w:rsidR="006A441E" w:rsidRPr="006A441E" w:rsidRDefault="006A441E" w:rsidP="002E6197">
      <w:pPr>
        <w:autoSpaceDE w:val="0"/>
        <w:autoSpaceDN w:val="0"/>
        <w:adjustRightInd w:val="0"/>
        <w:jc w:val="both"/>
        <w:rPr>
          <w:rFonts w:ascii="Abadi" w:eastAsia="Calibri" w:hAnsi="Abadi" w:cs="*Courier New-6940-Identity-H"/>
          <w:color w:val="1C1B21"/>
          <w:sz w:val="21"/>
          <w:szCs w:val="21"/>
          <w:lang w:val="es-MX" w:eastAsia="en-US"/>
        </w:rPr>
      </w:pPr>
      <w:r w:rsidRPr="006A441E">
        <w:rPr>
          <w:rFonts w:ascii="Abadi" w:eastAsia="Calibri" w:hAnsi="Abadi" w:cs="*Courier New-6940-Identity-H"/>
          <w:color w:val="1C1B21"/>
          <w:sz w:val="21"/>
          <w:szCs w:val="21"/>
          <w:lang w:val="es-MX" w:eastAsia="en-US"/>
        </w:rPr>
        <w:t>de atención a las mismas, lo siguiente:</w:t>
      </w:r>
    </w:p>
    <w:p w14:paraId="01A6D186" w14:textId="77777777" w:rsidR="006A441E" w:rsidRPr="006A441E" w:rsidRDefault="006A441E" w:rsidP="002E6197">
      <w:pPr>
        <w:autoSpaceDE w:val="0"/>
        <w:autoSpaceDN w:val="0"/>
        <w:adjustRightInd w:val="0"/>
        <w:jc w:val="both"/>
        <w:rPr>
          <w:rFonts w:ascii="Abadi" w:eastAsia="Calibri" w:hAnsi="Abadi" w:cs="*Calibri-6939-Identity-H"/>
          <w:color w:val="1F1E24"/>
          <w:sz w:val="21"/>
          <w:szCs w:val="21"/>
          <w:lang w:val="es-MX" w:eastAsia="en-US"/>
        </w:rPr>
      </w:pPr>
    </w:p>
    <w:p w14:paraId="77C0C32A" w14:textId="77777777" w:rsidR="006A441E" w:rsidRPr="006A441E" w:rsidRDefault="006A441E" w:rsidP="002E6197">
      <w:pPr>
        <w:numPr>
          <w:ilvl w:val="0"/>
          <w:numId w:val="74"/>
        </w:numPr>
        <w:autoSpaceDE w:val="0"/>
        <w:autoSpaceDN w:val="0"/>
        <w:adjustRightInd w:val="0"/>
        <w:spacing w:line="259" w:lineRule="auto"/>
        <w:contextualSpacing/>
        <w:jc w:val="both"/>
        <w:rPr>
          <w:rFonts w:ascii="Abadi" w:eastAsia="Calibri" w:hAnsi="Abadi" w:cs="*Calibri-6939-Identity-H"/>
          <w:color w:val="1F1E24"/>
          <w:sz w:val="21"/>
          <w:szCs w:val="21"/>
          <w:lang w:val="es-MX" w:eastAsia="en-US"/>
        </w:rPr>
      </w:pPr>
      <w:r w:rsidRPr="006A441E">
        <w:rPr>
          <w:rFonts w:ascii="Abadi" w:eastAsia="Calibri" w:hAnsi="Abadi" w:cs="*Calibri-6939-Identity-H"/>
          <w:color w:val="1F1E24"/>
          <w:sz w:val="21"/>
          <w:szCs w:val="21"/>
          <w:lang w:val="es-MX" w:eastAsia="en-US"/>
        </w:rPr>
        <w:t xml:space="preserve">Es necesario homologar los períodos sobre los cuales deberá presentarse el informe trimestral por los directores de Seguridad Pública Municipal o su equivalente al Ayuntamiento y a la Secretaría, sobre los avances del Programa Municipal de Seguridad Pública, y el de Prevención social de la violencia y la delincuencia, así como los plazos en los cuáles deberá darse cumplimiento a su entrega y/o rendición correspondiente, pues con ello se permitirá establecer bases de datos capaces de producir diversas comparaciones estadísticas de la información, que podrán ser utilizados con diferentes propósitos entre los cuales se encuentra consolidar el desempeño de funciones coordinadas entre las instituciones policiales municipales y el </w:t>
      </w:r>
      <w:r w:rsidRPr="006A441E">
        <w:rPr>
          <w:rFonts w:ascii="Abadi" w:eastAsia="Calibri" w:hAnsi="Abadi" w:cs="*Verdana-7391-Identity-H"/>
          <w:color w:val="1F1E24"/>
          <w:sz w:val="21"/>
          <w:szCs w:val="21"/>
          <w:lang w:val="es-MX" w:eastAsia="en-US"/>
        </w:rPr>
        <w:t xml:space="preserve">Ejecutivo del Estado, así como contar con esquemas de medición y evaluación permanente en el desempeño de la multicitada función pública, particularmente en el esquema de prevención social de la violencia </w:t>
      </w:r>
      <w:r w:rsidRPr="006A441E">
        <w:rPr>
          <w:rFonts w:ascii="Abadi" w:eastAsia="Calibri" w:hAnsi="Abadi" w:cs="*Tahoma-7392-Identity-H"/>
          <w:color w:val="1F1E24"/>
          <w:sz w:val="21"/>
          <w:szCs w:val="21"/>
          <w:lang w:val="es-MX" w:eastAsia="en-US"/>
        </w:rPr>
        <w:t xml:space="preserve">y </w:t>
      </w:r>
      <w:r w:rsidRPr="006A441E">
        <w:rPr>
          <w:rFonts w:ascii="Abadi" w:eastAsia="Calibri" w:hAnsi="Abadi" w:cs="*Verdana-7391-Identity-H"/>
          <w:color w:val="1F1E24"/>
          <w:sz w:val="21"/>
          <w:szCs w:val="21"/>
          <w:lang w:val="es-MX" w:eastAsia="en-US"/>
        </w:rPr>
        <w:t>la delincuencia.</w:t>
      </w:r>
    </w:p>
    <w:p w14:paraId="390C1905" w14:textId="77777777" w:rsidR="006A441E" w:rsidRPr="006A441E" w:rsidRDefault="006A441E" w:rsidP="002E6197">
      <w:pPr>
        <w:autoSpaceDE w:val="0"/>
        <w:autoSpaceDN w:val="0"/>
        <w:adjustRightInd w:val="0"/>
        <w:ind w:left="360"/>
        <w:jc w:val="both"/>
        <w:rPr>
          <w:rFonts w:ascii="Abadi" w:eastAsia="Calibri" w:hAnsi="Abadi" w:cs="*Calibri-6939-Identity-H"/>
          <w:color w:val="1F1E24"/>
          <w:sz w:val="21"/>
          <w:szCs w:val="21"/>
          <w:lang w:val="es-MX" w:eastAsia="en-US"/>
        </w:rPr>
      </w:pPr>
    </w:p>
    <w:p w14:paraId="2028B673" w14:textId="77777777" w:rsidR="006A441E" w:rsidRPr="006A441E" w:rsidRDefault="006A441E" w:rsidP="002E6197">
      <w:pPr>
        <w:numPr>
          <w:ilvl w:val="0"/>
          <w:numId w:val="74"/>
        </w:numPr>
        <w:autoSpaceDE w:val="0"/>
        <w:autoSpaceDN w:val="0"/>
        <w:adjustRightInd w:val="0"/>
        <w:spacing w:line="259" w:lineRule="auto"/>
        <w:contextualSpacing/>
        <w:jc w:val="both"/>
        <w:rPr>
          <w:rFonts w:ascii="Abadi" w:eastAsia="Calibri" w:hAnsi="Abadi" w:cs="*Calibri-6939-Identity-H"/>
          <w:color w:val="1F1E24"/>
          <w:sz w:val="21"/>
          <w:szCs w:val="21"/>
          <w:lang w:val="es-MX" w:eastAsia="en-US"/>
        </w:rPr>
      </w:pPr>
      <w:r w:rsidRPr="006A441E">
        <w:rPr>
          <w:rFonts w:ascii="Abadi" w:eastAsia="Calibri" w:hAnsi="Abadi" w:cs="*Verdana-7391-Identity-H"/>
          <w:color w:val="1E1D23"/>
          <w:sz w:val="21"/>
          <w:szCs w:val="21"/>
          <w:lang w:val="es-MX" w:eastAsia="en-US"/>
        </w:rPr>
        <w:t>En lo relativo a la frecuencia y horas de patrullaje en el territorio se considera debe mantenerse como parte de los elementos mínimos de contenido, pues se trata de información de suma relevancia para la toma de decisiones en materia de seguridad pública. No obstante, se coincide en establecer mecanismos para que los referidos datos tengan un conocimiento, tratamiento y manejo de modo exclusivo para aquellas personas a las que corresponde la toma de decisiones y ejecución de acciones con relación a dicho tema, procurando con ello no comprometer o poner a disposición el contenido de datos de operatividad sensibles.</w:t>
      </w:r>
    </w:p>
    <w:p w14:paraId="54EC2741" w14:textId="77777777" w:rsidR="006A441E" w:rsidRPr="006A441E" w:rsidRDefault="006A441E" w:rsidP="002E6197">
      <w:pPr>
        <w:spacing w:line="259" w:lineRule="auto"/>
        <w:ind w:left="720"/>
        <w:contextualSpacing/>
        <w:rPr>
          <w:rFonts w:ascii="Abadi" w:eastAsia="Calibri" w:hAnsi="Abadi" w:cs="*Verdana-7391-Identity-H"/>
          <w:color w:val="1F1E24"/>
          <w:sz w:val="21"/>
          <w:szCs w:val="21"/>
          <w:lang w:val="es-MX" w:eastAsia="en-US"/>
        </w:rPr>
      </w:pPr>
    </w:p>
    <w:p w14:paraId="02AABB6A" w14:textId="77777777" w:rsidR="006A441E" w:rsidRPr="006A441E" w:rsidRDefault="006A441E" w:rsidP="002E6197">
      <w:pPr>
        <w:numPr>
          <w:ilvl w:val="0"/>
          <w:numId w:val="74"/>
        </w:numPr>
        <w:autoSpaceDE w:val="0"/>
        <w:autoSpaceDN w:val="0"/>
        <w:adjustRightInd w:val="0"/>
        <w:spacing w:line="259" w:lineRule="auto"/>
        <w:contextualSpacing/>
        <w:jc w:val="both"/>
        <w:rPr>
          <w:rFonts w:ascii="Abadi" w:eastAsia="Calibri" w:hAnsi="Abadi" w:cs="*Calibri-6939-Identity-H"/>
          <w:color w:val="1F1E24"/>
          <w:sz w:val="21"/>
          <w:szCs w:val="21"/>
          <w:lang w:val="es-MX" w:eastAsia="en-US"/>
        </w:rPr>
      </w:pPr>
      <w:r w:rsidRPr="006A441E">
        <w:rPr>
          <w:rFonts w:ascii="Abadi" w:eastAsia="Calibri" w:hAnsi="Abadi" w:cs="*Verdana-7391-Identity-H"/>
          <w:color w:val="1F1E24"/>
          <w:sz w:val="21"/>
          <w:szCs w:val="21"/>
          <w:lang w:val="es-MX" w:eastAsia="en-US"/>
        </w:rPr>
        <w:t xml:space="preserve">Se analizó y determinó eliminar, en la fracción V del segundo párrafo propuesto, la condición social y económica como elementos estadísticos del informe pues es evidente que se trata de una identificación y categorización que envuelve un señalamiento en contra de los miembros de un grupo </w:t>
      </w:r>
      <w:r w:rsidRPr="006A441E">
        <w:rPr>
          <w:rFonts w:ascii="Abadi" w:eastAsia="Calibri" w:hAnsi="Abadi" w:cs="*Tahoma-7392-Identity-H"/>
          <w:color w:val="1F1E24"/>
          <w:sz w:val="21"/>
          <w:szCs w:val="21"/>
          <w:lang w:val="es-MX" w:eastAsia="en-US"/>
        </w:rPr>
        <w:t xml:space="preserve">y </w:t>
      </w:r>
      <w:r w:rsidRPr="006A441E">
        <w:rPr>
          <w:rFonts w:ascii="Abadi" w:eastAsia="Calibri" w:hAnsi="Abadi" w:cs="*Verdana-7391-Identity-H"/>
          <w:color w:val="1F1E24"/>
          <w:sz w:val="21"/>
          <w:szCs w:val="21"/>
          <w:lang w:val="es-MX" w:eastAsia="en-US"/>
        </w:rPr>
        <w:t xml:space="preserve">que como consecuencia adquiere una imagen negativa; puntualmente, nuestras construcciones normativas deben estar dirigidas a evitar suscitar, difundir, generalizar </w:t>
      </w:r>
      <w:r w:rsidRPr="006A441E">
        <w:rPr>
          <w:rFonts w:ascii="Abadi" w:eastAsia="Calibri" w:hAnsi="Abadi" w:cs="*Tahoma-7392-Identity-H"/>
          <w:color w:val="1F1E24"/>
          <w:sz w:val="21"/>
          <w:szCs w:val="21"/>
          <w:lang w:val="es-MX" w:eastAsia="en-US"/>
        </w:rPr>
        <w:t xml:space="preserve">y </w:t>
      </w:r>
      <w:r w:rsidRPr="006A441E">
        <w:rPr>
          <w:rFonts w:ascii="Abadi" w:eastAsia="Calibri" w:hAnsi="Abadi" w:cs="*Verdana-7391-Identity-H"/>
          <w:color w:val="1F1E24"/>
          <w:sz w:val="21"/>
          <w:szCs w:val="21"/>
          <w:lang w:val="es-MX" w:eastAsia="en-US"/>
        </w:rPr>
        <w:t>estabilizar cualquier acto de discriminación.</w:t>
      </w:r>
    </w:p>
    <w:p w14:paraId="6AE479F8" w14:textId="77777777" w:rsidR="006A441E" w:rsidRPr="006A441E" w:rsidRDefault="006A441E" w:rsidP="002E6197">
      <w:pPr>
        <w:autoSpaceDE w:val="0"/>
        <w:autoSpaceDN w:val="0"/>
        <w:adjustRightInd w:val="0"/>
        <w:jc w:val="both"/>
        <w:rPr>
          <w:rFonts w:ascii="Abadi" w:eastAsia="Calibri" w:hAnsi="Abadi" w:cs="*Calibri-7388-Identity-H"/>
          <w:color w:val="1B1A21"/>
          <w:sz w:val="21"/>
          <w:szCs w:val="21"/>
          <w:lang w:val="es-MX" w:eastAsia="en-US"/>
        </w:rPr>
      </w:pPr>
    </w:p>
    <w:p w14:paraId="5A27FC3B" w14:textId="77777777" w:rsidR="006A441E" w:rsidRPr="006A441E" w:rsidRDefault="006A441E" w:rsidP="002E6197">
      <w:pPr>
        <w:autoSpaceDE w:val="0"/>
        <w:autoSpaceDN w:val="0"/>
        <w:adjustRightInd w:val="0"/>
        <w:jc w:val="both"/>
        <w:rPr>
          <w:rFonts w:ascii="Abadi" w:eastAsia="Calibri" w:hAnsi="Abadi" w:cs="*Calibri-7388-Identity-H"/>
          <w:color w:val="1B1A21"/>
          <w:sz w:val="21"/>
          <w:szCs w:val="21"/>
          <w:lang w:val="es-MX" w:eastAsia="en-US"/>
        </w:rPr>
      </w:pPr>
      <w:r w:rsidRPr="006A441E">
        <w:rPr>
          <w:rFonts w:ascii="Abadi" w:eastAsia="Calibri" w:hAnsi="Abadi" w:cs="*Calibri-7388-Identity-H"/>
          <w:b/>
          <w:bCs/>
          <w:color w:val="1B1A21"/>
          <w:sz w:val="21"/>
          <w:szCs w:val="21"/>
          <w:lang w:val="es-MX" w:eastAsia="en-US"/>
        </w:rPr>
        <w:t>1.5.</w:t>
      </w:r>
      <w:r w:rsidRPr="006A441E">
        <w:rPr>
          <w:rFonts w:ascii="Abadi" w:eastAsia="Calibri" w:hAnsi="Abadi" w:cs="*Calibri-7388-Identity-H"/>
          <w:color w:val="1B1A21"/>
          <w:sz w:val="21"/>
          <w:szCs w:val="21"/>
          <w:lang w:val="es-MX" w:eastAsia="en-US"/>
        </w:rPr>
        <w:t xml:space="preserve"> De conformidad al referido análisis y tomando en consideración lo propuesto en la mesa, la presidencia de la Comisión de Seguridad Pública y Comunicaciones instruyó a la Secretaría Técnica para que elaborara el proyecto de dictamen en sentido positivo, conforme con lo dispuesto en los artículos 94, fracción VII y 272, fracción VIII inciso e) de nuestra Ley Orgánica, </w:t>
      </w:r>
      <w:r w:rsidRPr="006A441E">
        <w:rPr>
          <w:rFonts w:ascii="Abadi" w:eastAsia="Calibri" w:hAnsi="Abadi" w:cs="*Courier New-5393-Identity-H"/>
          <w:color w:val="1D1C23"/>
          <w:sz w:val="21"/>
          <w:szCs w:val="21"/>
          <w:lang w:val="es-MX" w:eastAsia="en-US"/>
        </w:rPr>
        <w:t>mismo que fue materia de revisión por los diputados y la diputada</w:t>
      </w:r>
      <w:r w:rsidRPr="006A441E">
        <w:rPr>
          <w:rFonts w:ascii="Abadi" w:eastAsia="Calibri" w:hAnsi="Abadi" w:cs="*Calibri-7388-Identity-H"/>
          <w:color w:val="1B1A21"/>
          <w:sz w:val="21"/>
          <w:szCs w:val="21"/>
          <w:lang w:val="es-MX" w:eastAsia="en-US"/>
        </w:rPr>
        <w:t xml:space="preserve"> </w:t>
      </w:r>
      <w:r w:rsidRPr="006A441E">
        <w:rPr>
          <w:rFonts w:ascii="Abadi" w:eastAsia="Calibri" w:hAnsi="Abadi" w:cs="*Courier New-5393-Identity-H"/>
          <w:color w:val="1D1C23"/>
          <w:sz w:val="21"/>
          <w:szCs w:val="21"/>
          <w:lang w:val="es-MX" w:eastAsia="en-US"/>
        </w:rPr>
        <w:t>integrantes de esta comisión dictaminadora.</w:t>
      </w:r>
    </w:p>
    <w:p w14:paraId="4B044BCF" w14:textId="77777777" w:rsidR="006A441E" w:rsidRPr="006A441E" w:rsidRDefault="006A441E" w:rsidP="002E6197">
      <w:pPr>
        <w:autoSpaceDE w:val="0"/>
        <w:autoSpaceDN w:val="0"/>
        <w:adjustRightInd w:val="0"/>
        <w:jc w:val="both"/>
        <w:rPr>
          <w:rFonts w:ascii="Abadi" w:eastAsia="Calibri" w:hAnsi="Abadi" w:cs="*Courier New-5393-Identity-H"/>
          <w:color w:val="1D1C23"/>
          <w:sz w:val="21"/>
          <w:szCs w:val="21"/>
          <w:lang w:val="es-MX" w:eastAsia="en-US"/>
        </w:rPr>
      </w:pPr>
    </w:p>
    <w:p w14:paraId="7EDD1F02" w14:textId="77777777" w:rsidR="006A441E" w:rsidRPr="006A441E" w:rsidRDefault="006A441E" w:rsidP="002E6197">
      <w:pPr>
        <w:autoSpaceDE w:val="0"/>
        <w:autoSpaceDN w:val="0"/>
        <w:adjustRightInd w:val="0"/>
        <w:jc w:val="both"/>
        <w:rPr>
          <w:rFonts w:ascii="Abadi" w:eastAsia="Calibri" w:hAnsi="Abadi" w:cs="*Courier New-5393-Identity-H"/>
          <w:b/>
          <w:bCs/>
          <w:color w:val="1D1C23"/>
          <w:sz w:val="21"/>
          <w:szCs w:val="21"/>
          <w:lang w:val="es-MX" w:eastAsia="en-US"/>
        </w:rPr>
      </w:pPr>
      <w:r w:rsidRPr="006A441E">
        <w:rPr>
          <w:rFonts w:ascii="Abadi" w:eastAsia="Calibri" w:hAnsi="Abadi" w:cs="*Courier New-5393-Identity-H"/>
          <w:b/>
          <w:bCs/>
          <w:color w:val="1D1C23"/>
          <w:sz w:val="21"/>
          <w:szCs w:val="21"/>
          <w:lang w:val="es-MX" w:eastAsia="en-US"/>
        </w:rPr>
        <w:t>II. Valoración de la iniciativa y consideraciones de la Comisión de Seguridad Pública y Comunicaciones.</w:t>
      </w:r>
    </w:p>
    <w:p w14:paraId="03FB95A1" w14:textId="77777777" w:rsidR="006A441E" w:rsidRPr="006A441E" w:rsidRDefault="006A441E" w:rsidP="002E6197">
      <w:pPr>
        <w:autoSpaceDE w:val="0"/>
        <w:autoSpaceDN w:val="0"/>
        <w:adjustRightInd w:val="0"/>
        <w:jc w:val="both"/>
        <w:rPr>
          <w:rFonts w:ascii="Abadi" w:eastAsia="Calibri" w:hAnsi="Abadi" w:cs="*Courier New-5393-Identity-H"/>
          <w:color w:val="1D1C23"/>
          <w:sz w:val="21"/>
          <w:szCs w:val="21"/>
          <w:lang w:val="es-MX" w:eastAsia="en-US"/>
        </w:rPr>
      </w:pPr>
    </w:p>
    <w:p w14:paraId="65A7E561" w14:textId="77777777" w:rsidR="006A441E" w:rsidRPr="006A441E" w:rsidRDefault="006A441E" w:rsidP="002E6197">
      <w:pPr>
        <w:autoSpaceDE w:val="0"/>
        <w:autoSpaceDN w:val="0"/>
        <w:adjustRightInd w:val="0"/>
        <w:ind w:firstLine="708"/>
        <w:jc w:val="both"/>
        <w:rPr>
          <w:rFonts w:ascii="Abadi" w:eastAsia="Calibri" w:hAnsi="Abadi" w:cs="*Courier New-5393-Identity-H"/>
          <w:color w:val="1D1C23"/>
          <w:sz w:val="21"/>
          <w:szCs w:val="21"/>
          <w:lang w:val="es-MX" w:eastAsia="en-US"/>
        </w:rPr>
      </w:pPr>
      <w:r w:rsidRPr="006A441E">
        <w:rPr>
          <w:rFonts w:ascii="Abadi" w:eastAsia="Calibri" w:hAnsi="Abadi" w:cs="*Courier New-5393-Identity-H"/>
          <w:color w:val="1D1C23"/>
          <w:sz w:val="21"/>
          <w:szCs w:val="21"/>
          <w:lang w:val="es-MX" w:eastAsia="en-US"/>
        </w:rPr>
        <w:t>La iniciativa por la que se adiciona un segundo párrafo que contiene las fracciones de la I a la VIII al artículo 18 de la Ley del Sistema de Seguridad Pública del Estado de Guanajuato, tiene como propósito establecer figuras que coordinen la política transversal de prevención, así como dotar de elementos y datos que incidan en la toma de decisiones para orientar los procesos técnicos y políticos en la materia.</w:t>
      </w:r>
    </w:p>
    <w:p w14:paraId="7517944D" w14:textId="77777777" w:rsidR="006A441E" w:rsidRPr="006A441E" w:rsidRDefault="006A441E" w:rsidP="002E6197">
      <w:pPr>
        <w:autoSpaceDE w:val="0"/>
        <w:autoSpaceDN w:val="0"/>
        <w:adjustRightInd w:val="0"/>
        <w:jc w:val="both"/>
        <w:rPr>
          <w:rFonts w:ascii="Abadi" w:eastAsia="Calibri" w:hAnsi="Abadi" w:cs="*Courier New-5393-Identity-H"/>
          <w:color w:val="1D1C23"/>
          <w:sz w:val="21"/>
          <w:szCs w:val="21"/>
          <w:lang w:val="es-MX" w:eastAsia="en-US"/>
        </w:rPr>
      </w:pPr>
    </w:p>
    <w:p w14:paraId="24A1348D" w14:textId="77777777" w:rsidR="006A441E" w:rsidRPr="006A441E" w:rsidRDefault="006A441E" w:rsidP="002E6197">
      <w:pPr>
        <w:autoSpaceDE w:val="0"/>
        <w:autoSpaceDN w:val="0"/>
        <w:adjustRightInd w:val="0"/>
        <w:ind w:firstLine="708"/>
        <w:jc w:val="both"/>
        <w:rPr>
          <w:rFonts w:ascii="Abadi" w:eastAsia="Calibri" w:hAnsi="Abadi" w:cs="*Courier New-5393-Identity-H"/>
          <w:color w:val="1D1C23"/>
          <w:sz w:val="21"/>
          <w:szCs w:val="21"/>
          <w:lang w:val="es-MX" w:eastAsia="en-US"/>
        </w:rPr>
      </w:pPr>
      <w:r w:rsidRPr="006A441E">
        <w:rPr>
          <w:rFonts w:ascii="Abadi" w:eastAsia="Calibri" w:hAnsi="Abadi" w:cs="*Courier New-5393-Identity-H"/>
          <w:color w:val="1D1C23"/>
          <w:sz w:val="21"/>
          <w:szCs w:val="21"/>
          <w:lang w:val="es-MX" w:eastAsia="en-US"/>
        </w:rPr>
        <w:t>Es por lo anterior, y atendiendo a que los municipios es el primer eslabón para atender los factores de causa y dimensión que producen y se asocian con la violencia y la delincuencia, es a esta instancia a quién debe instrumentarse los insumos básicos para el desarrollo de políticas públicas, programas y acciones orientadas a reducir factores de riesgo que favorezcan la generación de violencia y delincuencia, así como a combatir las distintas causas y factores que las produce.</w:t>
      </w:r>
    </w:p>
    <w:p w14:paraId="5769D253" w14:textId="77777777" w:rsidR="006A441E" w:rsidRPr="006A441E" w:rsidRDefault="006A441E" w:rsidP="002E6197">
      <w:pPr>
        <w:autoSpaceDE w:val="0"/>
        <w:autoSpaceDN w:val="0"/>
        <w:adjustRightInd w:val="0"/>
        <w:jc w:val="both"/>
        <w:rPr>
          <w:rFonts w:ascii="Abadi" w:eastAsia="Calibri" w:hAnsi="Abadi" w:cs="*Courier New-5393-Identity-H"/>
          <w:color w:val="1D1C23"/>
          <w:sz w:val="21"/>
          <w:szCs w:val="21"/>
          <w:lang w:val="es-MX" w:eastAsia="en-US"/>
        </w:rPr>
      </w:pPr>
    </w:p>
    <w:p w14:paraId="11B69079" w14:textId="77777777" w:rsidR="006A441E" w:rsidRPr="006A441E" w:rsidRDefault="006A441E" w:rsidP="002E6197">
      <w:pPr>
        <w:autoSpaceDE w:val="0"/>
        <w:autoSpaceDN w:val="0"/>
        <w:adjustRightInd w:val="0"/>
        <w:jc w:val="both"/>
        <w:rPr>
          <w:rFonts w:ascii="Abadi" w:eastAsia="Calibri" w:hAnsi="Abadi" w:cs="*Courier New-5393-Identity-H"/>
          <w:color w:val="1D1C23"/>
          <w:sz w:val="21"/>
          <w:szCs w:val="21"/>
          <w:lang w:val="es-MX" w:eastAsia="en-US"/>
        </w:rPr>
      </w:pPr>
      <w:r w:rsidRPr="006A441E">
        <w:rPr>
          <w:rFonts w:ascii="Abadi" w:eastAsia="Calibri" w:hAnsi="Abadi" w:cs="*Courier New-5393-Identity-H"/>
          <w:color w:val="1D1C23"/>
          <w:sz w:val="21"/>
          <w:szCs w:val="21"/>
          <w:lang w:val="es-MX" w:eastAsia="en-US"/>
        </w:rPr>
        <w:t>En dicha iniciativa, se indicó:</w:t>
      </w:r>
    </w:p>
    <w:p w14:paraId="23D12F07" w14:textId="77777777" w:rsidR="006A441E" w:rsidRPr="006A441E" w:rsidRDefault="006A441E" w:rsidP="002E6197">
      <w:pPr>
        <w:autoSpaceDE w:val="0"/>
        <w:autoSpaceDN w:val="0"/>
        <w:adjustRightInd w:val="0"/>
        <w:jc w:val="both"/>
        <w:rPr>
          <w:rFonts w:ascii="Abadi" w:eastAsia="Calibri" w:hAnsi="Abadi" w:cs="*Courier New-5393-Identity-H"/>
          <w:color w:val="1D1C23"/>
          <w:sz w:val="21"/>
          <w:szCs w:val="21"/>
          <w:lang w:val="es-MX" w:eastAsia="en-US"/>
        </w:rPr>
      </w:pPr>
    </w:p>
    <w:p w14:paraId="2B05D472" w14:textId="77777777" w:rsidR="006A441E" w:rsidRPr="006A441E" w:rsidRDefault="006A441E" w:rsidP="002E6197">
      <w:pPr>
        <w:autoSpaceDE w:val="0"/>
        <w:autoSpaceDN w:val="0"/>
        <w:adjustRightInd w:val="0"/>
        <w:jc w:val="both"/>
        <w:rPr>
          <w:rFonts w:ascii="Abadi" w:eastAsia="Calibri" w:hAnsi="Abadi" w:cs="*Courier New-5393-Identity-H"/>
          <w:color w:val="1D1C23"/>
          <w:sz w:val="21"/>
          <w:szCs w:val="21"/>
          <w:lang w:val="es-MX" w:eastAsia="en-US"/>
        </w:rPr>
      </w:pPr>
      <w:r w:rsidRPr="006A441E">
        <w:rPr>
          <w:rFonts w:ascii="Abadi" w:eastAsia="Calibri" w:hAnsi="Abadi" w:cs="*Courier New-5393-Identity-H"/>
          <w:color w:val="1D1C23"/>
          <w:sz w:val="21"/>
          <w:szCs w:val="21"/>
          <w:lang w:val="es-MX" w:eastAsia="en-US"/>
        </w:rPr>
        <w:t>«(</w:t>
      </w:r>
    </w:p>
    <w:p w14:paraId="19B3D609" w14:textId="77777777" w:rsidR="006A441E" w:rsidRPr="006A441E" w:rsidRDefault="006A441E" w:rsidP="002E6197">
      <w:pPr>
        <w:autoSpaceDE w:val="0"/>
        <w:autoSpaceDN w:val="0"/>
        <w:adjustRightInd w:val="0"/>
        <w:jc w:val="both"/>
        <w:rPr>
          <w:rFonts w:ascii="Abadi" w:eastAsia="Calibri" w:hAnsi="Abadi" w:cs="*Courier New-5393-Identity-H"/>
          <w:color w:val="1D1C23"/>
          <w:sz w:val="21"/>
          <w:szCs w:val="21"/>
          <w:lang w:val="es-MX" w:eastAsia="en-US"/>
        </w:rPr>
      </w:pPr>
    </w:p>
    <w:p w14:paraId="2326C8B9" w14:textId="77777777" w:rsidR="006A441E" w:rsidRPr="006A441E" w:rsidRDefault="006A441E" w:rsidP="002E6197">
      <w:pPr>
        <w:autoSpaceDE w:val="0"/>
        <w:autoSpaceDN w:val="0"/>
        <w:adjustRightInd w:val="0"/>
        <w:jc w:val="both"/>
        <w:rPr>
          <w:rFonts w:ascii="Abadi" w:eastAsia="Calibri" w:hAnsi="Abadi" w:cs="*Verdana-Italic-5280-Identity-H"/>
          <w:i/>
          <w:iCs/>
          <w:color w:val="222028"/>
          <w:sz w:val="21"/>
          <w:szCs w:val="21"/>
          <w:lang w:val="es-MX" w:eastAsia="en-US"/>
        </w:rPr>
      </w:pPr>
      <w:r w:rsidRPr="006A441E">
        <w:rPr>
          <w:rFonts w:ascii="Abadi" w:eastAsia="Calibri" w:hAnsi="Abadi" w:cs="*Verdana-Italic-5280-Identity-H"/>
          <w:i/>
          <w:iCs/>
          <w:color w:val="222028"/>
          <w:sz w:val="21"/>
          <w:szCs w:val="21"/>
          <w:lang w:val="es-MX" w:eastAsia="en-US"/>
        </w:rPr>
        <w:t>La</w:t>
      </w:r>
      <w:r w:rsidRPr="006A441E">
        <w:rPr>
          <w:rFonts w:ascii="Abadi" w:eastAsia="Calibri" w:hAnsi="Abadi" w:cs="*Verdana-Italic-5280-Identity-H"/>
          <w:i/>
          <w:iCs/>
          <w:color w:val="A1A1A1"/>
          <w:sz w:val="21"/>
          <w:szCs w:val="21"/>
          <w:lang w:val="es-MX" w:eastAsia="en-US"/>
        </w:rPr>
        <w:t xml:space="preserve">_ </w:t>
      </w:r>
      <w:r w:rsidRPr="006A441E">
        <w:rPr>
          <w:rFonts w:ascii="Abadi" w:eastAsia="Calibri" w:hAnsi="Abadi" w:cs="*Verdana-Italic-5280-Identity-H"/>
          <w:i/>
          <w:iCs/>
          <w:color w:val="222028"/>
          <w:sz w:val="21"/>
          <w:szCs w:val="21"/>
          <w:lang w:val="es-MX" w:eastAsia="en-US"/>
        </w:rPr>
        <w:t xml:space="preserve">inseguridad se configura </w:t>
      </w:r>
      <w:r w:rsidRPr="006A441E">
        <w:rPr>
          <w:rFonts w:ascii="Abadi" w:eastAsia="Calibri" w:hAnsi="Abadi" w:cs="*Calibri-5277-Identity-H"/>
          <w:color w:val="222028"/>
          <w:sz w:val="21"/>
          <w:szCs w:val="21"/>
          <w:lang w:val="es-MX" w:eastAsia="en-US"/>
        </w:rPr>
        <w:t xml:space="preserve">como </w:t>
      </w:r>
      <w:r w:rsidRPr="006A441E">
        <w:rPr>
          <w:rFonts w:ascii="Abadi" w:eastAsia="Calibri" w:hAnsi="Abadi" w:cs="*Verdana-Italic-5280-Identity-H"/>
          <w:i/>
          <w:iCs/>
          <w:color w:val="222028"/>
          <w:sz w:val="21"/>
          <w:szCs w:val="21"/>
          <w:lang w:val="es-MX" w:eastAsia="en-US"/>
        </w:rPr>
        <w:t>un fenómeno social de naturaleza compleja y de formación multifactorial que afecta de manera directa la calidad de vida la población.</w:t>
      </w:r>
    </w:p>
    <w:p w14:paraId="21EF368D" w14:textId="77777777" w:rsidR="006A441E" w:rsidRPr="006A441E" w:rsidRDefault="006A441E" w:rsidP="002E6197">
      <w:pPr>
        <w:autoSpaceDE w:val="0"/>
        <w:autoSpaceDN w:val="0"/>
        <w:adjustRightInd w:val="0"/>
        <w:jc w:val="both"/>
        <w:rPr>
          <w:rFonts w:ascii="Abadi" w:eastAsia="Calibri" w:hAnsi="Abadi" w:cs="*Verdana-Italic-5280-Identity-H"/>
          <w:i/>
          <w:iCs/>
          <w:color w:val="222028"/>
          <w:sz w:val="21"/>
          <w:szCs w:val="21"/>
          <w:lang w:val="es-MX" w:eastAsia="en-US"/>
        </w:rPr>
      </w:pPr>
    </w:p>
    <w:p w14:paraId="710C94CA" w14:textId="77777777" w:rsidR="006A441E" w:rsidRPr="006A441E" w:rsidRDefault="006A441E" w:rsidP="002E6197">
      <w:pPr>
        <w:autoSpaceDE w:val="0"/>
        <w:autoSpaceDN w:val="0"/>
        <w:adjustRightInd w:val="0"/>
        <w:jc w:val="both"/>
        <w:rPr>
          <w:rFonts w:ascii="Abadi" w:eastAsia="Calibri" w:hAnsi="Abadi" w:cs="*Verdana-Italic-5280-Identity-H"/>
          <w:i/>
          <w:iCs/>
          <w:color w:val="1E1E23"/>
          <w:sz w:val="21"/>
          <w:szCs w:val="21"/>
          <w:lang w:val="es-MX" w:eastAsia="en-US"/>
        </w:rPr>
      </w:pPr>
      <w:r w:rsidRPr="006A441E">
        <w:rPr>
          <w:rFonts w:ascii="Abadi" w:eastAsia="Calibri" w:hAnsi="Abadi" w:cs="*Verdana-Italic-5280-Identity-H"/>
          <w:i/>
          <w:iCs/>
          <w:color w:val="1E1E23"/>
          <w:sz w:val="21"/>
          <w:szCs w:val="21"/>
          <w:lang w:val="es-MX" w:eastAsia="en-US"/>
        </w:rPr>
        <w:t xml:space="preserve">El fortalecimiento de todo Estado responde </w:t>
      </w:r>
      <w:r w:rsidRPr="006A441E">
        <w:rPr>
          <w:rFonts w:ascii="Abadi" w:eastAsia="Calibri" w:hAnsi="Abadi" w:cs="*Times New Roman-5276-Identity-"/>
          <w:color w:val="1E1E23"/>
          <w:sz w:val="21"/>
          <w:szCs w:val="21"/>
          <w:lang w:val="es-MX" w:eastAsia="en-US"/>
        </w:rPr>
        <w:t xml:space="preserve">a </w:t>
      </w:r>
      <w:r w:rsidRPr="006A441E">
        <w:rPr>
          <w:rFonts w:ascii="Abadi" w:eastAsia="Calibri" w:hAnsi="Abadi" w:cs="*Verdana-Italic-5280-Identity-H"/>
          <w:i/>
          <w:iCs/>
          <w:color w:val="1E1E23"/>
          <w:sz w:val="21"/>
          <w:szCs w:val="21"/>
          <w:lang w:val="es-MX" w:eastAsia="en-US"/>
        </w:rPr>
        <w:t xml:space="preserve">la solidez de sus instituciones, </w:t>
      </w:r>
      <w:r w:rsidRPr="006A441E">
        <w:rPr>
          <w:rFonts w:ascii="Abadi" w:eastAsia="Calibri" w:hAnsi="Abadi" w:cs="*Times New Roman-5276-Identity-"/>
          <w:color w:val="1E1E23"/>
          <w:sz w:val="21"/>
          <w:szCs w:val="21"/>
          <w:lang w:val="es-MX" w:eastAsia="en-US"/>
        </w:rPr>
        <w:t xml:space="preserve">a </w:t>
      </w:r>
      <w:r w:rsidRPr="006A441E">
        <w:rPr>
          <w:rFonts w:ascii="Abadi" w:eastAsia="Calibri" w:hAnsi="Abadi" w:cs="*Verdana-Italic-5280-Identity-H"/>
          <w:i/>
          <w:iCs/>
          <w:color w:val="1E1E23"/>
          <w:sz w:val="21"/>
          <w:szCs w:val="21"/>
          <w:lang w:val="es-MX" w:eastAsia="en-US"/>
        </w:rPr>
        <w:t xml:space="preserve">la capacidad para que el ordenamiento jurídico se respete y </w:t>
      </w:r>
      <w:r w:rsidRPr="006A441E">
        <w:rPr>
          <w:rFonts w:ascii="Abadi" w:eastAsia="Calibri" w:hAnsi="Abadi" w:cs="*Times New Roman-5276-Identity-"/>
          <w:color w:val="1E1E23"/>
          <w:sz w:val="21"/>
          <w:szCs w:val="21"/>
          <w:lang w:val="es-MX" w:eastAsia="en-US"/>
        </w:rPr>
        <w:t xml:space="preserve">a </w:t>
      </w:r>
      <w:r w:rsidRPr="006A441E">
        <w:rPr>
          <w:rFonts w:ascii="Abadi" w:eastAsia="Calibri" w:hAnsi="Abadi" w:cs="*Verdana-Italic-5280-Identity-H"/>
          <w:i/>
          <w:iCs/>
          <w:color w:val="1E1E23"/>
          <w:sz w:val="21"/>
          <w:szCs w:val="21"/>
          <w:lang w:val="es-MX" w:eastAsia="en-US"/>
        </w:rPr>
        <w:t xml:space="preserve">la garantía efectiva de protección </w:t>
      </w:r>
      <w:r w:rsidRPr="006A441E">
        <w:rPr>
          <w:rFonts w:ascii="Abadi" w:eastAsia="Calibri" w:hAnsi="Abadi" w:cs="*Times New Roman-5276-Identity-"/>
          <w:color w:val="1E1E23"/>
          <w:sz w:val="21"/>
          <w:szCs w:val="21"/>
          <w:lang w:val="es-MX" w:eastAsia="en-US"/>
        </w:rPr>
        <w:t xml:space="preserve">a </w:t>
      </w:r>
      <w:r w:rsidRPr="006A441E">
        <w:rPr>
          <w:rFonts w:ascii="Abadi" w:eastAsia="Calibri" w:hAnsi="Abadi" w:cs="*Verdana-Italic-5280-Identity-H"/>
          <w:i/>
          <w:iCs/>
          <w:color w:val="1E1E23"/>
          <w:sz w:val="21"/>
          <w:szCs w:val="21"/>
          <w:lang w:val="es-MX" w:eastAsia="en-US"/>
        </w:rPr>
        <w:t xml:space="preserve">los derechos humano, requiriéndose que las personas que tengan el liderazgo de las mismas dispongan de todas aquellas herramientas que se consideren útiles para desarrollar las acciones tendentes </w:t>
      </w:r>
      <w:r w:rsidRPr="006A441E">
        <w:rPr>
          <w:rFonts w:ascii="Abadi" w:eastAsia="Calibri" w:hAnsi="Abadi" w:cs="*Times New Roman-5276-Identity-"/>
          <w:color w:val="1E1E23"/>
          <w:sz w:val="21"/>
          <w:szCs w:val="21"/>
          <w:lang w:val="es-MX" w:eastAsia="en-US"/>
        </w:rPr>
        <w:t xml:space="preserve">a </w:t>
      </w:r>
      <w:r w:rsidRPr="006A441E">
        <w:rPr>
          <w:rFonts w:ascii="Abadi" w:eastAsia="Calibri" w:hAnsi="Abadi" w:cs="*Verdana-Italic-5280-Identity-H"/>
          <w:i/>
          <w:iCs/>
          <w:color w:val="1E1E23"/>
          <w:sz w:val="21"/>
          <w:szCs w:val="21"/>
          <w:lang w:val="es-MX" w:eastAsia="en-US"/>
        </w:rPr>
        <w:t>conseguir y conservar los niveles de seguridad que la población exige y merece.</w:t>
      </w:r>
    </w:p>
    <w:p w14:paraId="0AB4F3DC" w14:textId="77777777" w:rsidR="006A441E" w:rsidRPr="006A441E" w:rsidRDefault="006A441E" w:rsidP="002E6197">
      <w:pPr>
        <w:autoSpaceDE w:val="0"/>
        <w:autoSpaceDN w:val="0"/>
        <w:adjustRightInd w:val="0"/>
        <w:jc w:val="both"/>
        <w:rPr>
          <w:rFonts w:ascii="Abadi" w:eastAsia="Calibri" w:hAnsi="Abadi" w:cs="*Verdana-Italic-5280-Identity-H"/>
          <w:i/>
          <w:iCs/>
          <w:color w:val="1F1F24"/>
          <w:sz w:val="21"/>
          <w:szCs w:val="21"/>
          <w:lang w:val="es-MX" w:eastAsia="en-US"/>
        </w:rPr>
      </w:pPr>
    </w:p>
    <w:p w14:paraId="5AFBF6BE" w14:textId="77777777" w:rsidR="006A441E" w:rsidRPr="006A441E" w:rsidRDefault="006A441E" w:rsidP="002E6197">
      <w:pPr>
        <w:autoSpaceDE w:val="0"/>
        <w:autoSpaceDN w:val="0"/>
        <w:adjustRightInd w:val="0"/>
        <w:jc w:val="both"/>
        <w:rPr>
          <w:rFonts w:ascii="Abadi" w:eastAsia="Calibri" w:hAnsi="Abadi" w:cs="*Verdana-Italic-5280-Identity-H"/>
          <w:i/>
          <w:iCs/>
          <w:color w:val="1F1F24"/>
          <w:sz w:val="21"/>
          <w:szCs w:val="21"/>
          <w:lang w:val="es-MX" w:eastAsia="en-US"/>
        </w:rPr>
      </w:pPr>
      <w:r w:rsidRPr="006A441E">
        <w:rPr>
          <w:rFonts w:ascii="Abadi" w:eastAsia="Calibri" w:hAnsi="Abadi" w:cs="*Verdana-Italic-5280-Identity-H"/>
          <w:i/>
          <w:iCs/>
          <w:color w:val="1F1F24"/>
          <w:sz w:val="21"/>
          <w:szCs w:val="21"/>
          <w:lang w:val="es-MX" w:eastAsia="en-US"/>
        </w:rPr>
        <w:t>En este orden, la iniciativa subraya que para combatir el fenómeno de la inseguridad de manera eficiente, es imprescindible una planeación adecuada, que sirva de base para el desarrollo e implementación de las estrategias y acciones operativas desplegadas por las distintas instituciones de seguridad pública.</w:t>
      </w:r>
    </w:p>
    <w:p w14:paraId="0F35BD3B" w14:textId="77777777" w:rsidR="006A441E" w:rsidRPr="006A441E" w:rsidRDefault="006A441E" w:rsidP="002E6197">
      <w:pPr>
        <w:autoSpaceDE w:val="0"/>
        <w:autoSpaceDN w:val="0"/>
        <w:adjustRightInd w:val="0"/>
        <w:jc w:val="both"/>
        <w:rPr>
          <w:rFonts w:ascii="Abadi" w:eastAsia="Calibri" w:hAnsi="Abadi" w:cs="*Verdana-Italic-5280-Identity-H"/>
          <w:i/>
          <w:iCs/>
          <w:color w:val="201F25"/>
          <w:sz w:val="21"/>
          <w:szCs w:val="21"/>
          <w:lang w:val="es-MX" w:eastAsia="en-US"/>
        </w:rPr>
      </w:pPr>
    </w:p>
    <w:p w14:paraId="1BA92A9F" w14:textId="77777777" w:rsidR="006A441E" w:rsidRPr="006A441E" w:rsidRDefault="006A441E" w:rsidP="002E6197">
      <w:pPr>
        <w:autoSpaceDE w:val="0"/>
        <w:autoSpaceDN w:val="0"/>
        <w:adjustRightInd w:val="0"/>
        <w:jc w:val="both"/>
        <w:rPr>
          <w:rFonts w:ascii="Abadi" w:eastAsia="Calibri" w:hAnsi="Abadi" w:cs="*Verdana-Italic-5280-Identity-H"/>
          <w:i/>
          <w:iCs/>
          <w:color w:val="201F25"/>
          <w:sz w:val="21"/>
          <w:szCs w:val="21"/>
          <w:lang w:val="es-MX" w:eastAsia="en-US"/>
        </w:rPr>
      </w:pPr>
      <w:r w:rsidRPr="006A441E">
        <w:rPr>
          <w:rFonts w:ascii="Abadi" w:eastAsia="Calibri" w:hAnsi="Abadi" w:cs="*Verdana-Italic-5280-Identity-H"/>
          <w:i/>
          <w:iCs/>
          <w:color w:val="201F25"/>
          <w:sz w:val="21"/>
          <w:szCs w:val="21"/>
          <w:lang w:val="es-MX" w:eastAsia="en-US"/>
        </w:rPr>
        <w:t>Se agrega además que, conscientes de la percepción de inseguridad social generada por el incremento de la violencia y de la actividad delictiva, ha perturbado gravemente la dinámica social, surge la necesidad de implementar una mayor certeza y coordinación con los cuerpos de seguridad, para que de manera conjunta con la sociedad y gobierno garanticen mejores condiciones de seguridad para el estado y sus municipios.</w:t>
      </w:r>
    </w:p>
    <w:p w14:paraId="43D4D35A" w14:textId="77777777" w:rsidR="006A441E" w:rsidRPr="006A441E" w:rsidRDefault="006A441E" w:rsidP="002E6197">
      <w:pPr>
        <w:autoSpaceDE w:val="0"/>
        <w:autoSpaceDN w:val="0"/>
        <w:adjustRightInd w:val="0"/>
        <w:jc w:val="both"/>
        <w:rPr>
          <w:rFonts w:ascii="Abadi" w:eastAsia="Calibri" w:hAnsi="Abadi" w:cs="*Microsoft Sans Serif-Bold-5395"/>
          <w:b/>
          <w:bCs/>
          <w:color w:val="15131F"/>
          <w:sz w:val="21"/>
          <w:szCs w:val="21"/>
          <w:lang w:val="es-MX" w:eastAsia="en-US"/>
        </w:rPr>
      </w:pPr>
    </w:p>
    <w:p w14:paraId="56BD095F" w14:textId="77777777" w:rsidR="006A441E" w:rsidRPr="006A441E" w:rsidRDefault="006A441E" w:rsidP="002E6197">
      <w:pPr>
        <w:autoSpaceDE w:val="0"/>
        <w:autoSpaceDN w:val="0"/>
        <w:adjustRightInd w:val="0"/>
        <w:jc w:val="both"/>
        <w:rPr>
          <w:rFonts w:ascii="Abadi" w:eastAsia="Calibri" w:hAnsi="Abadi" w:cs="*Calibri-Bold-7937-Identity-H"/>
          <w:b/>
          <w:bCs/>
          <w:color w:val="15131E"/>
          <w:sz w:val="21"/>
          <w:szCs w:val="21"/>
          <w:lang w:val="es-MX" w:eastAsia="en-US"/>
        </w:rPr>
      </w:pPr>
      <w:r w:rsidRPr="006A441E">
        <w:rPr>
          <w:rFonts w:ascii="Abadi" w:eastAsia="Calibri" w:hAnsi="Abadi" w:cs="*Calibri-Bold-7937-Identity-H"/>
          <w:b/>
          <w:bCs/>
          <w:color w:val="15131E"/>
          <w:sz w:val="21"/>
          <w:szCs w:val="21"/>
          <w:lang w:val="es-MX" w:eastAsia="en-US"/>
        </w:rPr>
        <w:t>III. Modificaciones a la iniciativa</w:t>
      </w:r>
    </w:p>
    <w:p w14:paraId="2D1D6E02" w14:textId="77777777" w:rsidR="006A441E" w:rsidRPr="006A441E" w:rsidRDefault="006A441E" w:rsidP="002E6197">
      <w:pPr>
        <w:autoSpaceDE w:val="0"/>
        <w:autoSpaceDN w:val="0"/>
        <w:adjustRightInd w:val="0"/>
        <w:jc w:val="both"/>
        <w:rPr>
          <w:rFonts w:ascii="Abadi" w:eastAsia="Calibri" w:hAnsi="Abadi" w:cs="*Courier New-7940-Identity-H"/>
          <w:color w:val="17161D"/>
          <w:sz w:val="21"/>
          <w:szCs w:val="21"/>
          <w:lang w:val="es-MX" w:eastAsia="en-US"/>
        </w:rPr>
      </w:pPr>
    </w:p>
    <w:p w14:paraId="5D121D2A" w14:textId="77777777" w:rsidR="006A441E" w:rsidRPr="006A441E" w:rsidRDefault="006A441E" w:rsidP="002E6197">
      <w:pPr>
        <w:autoSpaceDE w:val="0"/>
        <w:autoSpaceDN w:val="0"/>
        <w:adjustRightInd w:val="0"/>
        <w:jc w:val="both"/>
        <w:rPr>
          <w:rFonts w:ascii="Abadi" w:eastAsia="Calibri" w:hAnsi="Abadi" w:cs="*Courier New-7940-Identity-H"/>
          <w:color w:val="17161D"/>
          <w:sz w:val="21"/>
          <w:szCs w:val="21"/>
          <w:lang w:val="es-MX" w:eastAsia="en-US"/>
        </w:rPr>
      </w:pPr>
      <w:r w:rsidRPr="006A441E">
        <w:rPr>
          <w:rFonts w:ascii="Abadi" w:eastAsia="Calibri" w:hAnsi="Abadi" w:cs="*Courier New-7940-Identity-H"/>
          <w:color w:val="17161D"/>
          <w:sz w:val="21"/>
          <w:szCs w:val="21"/>
          <w:lang w:val="es-MX" w:eastAsia="en-US"/>
        </w:rPr>
        <w:t xml:space="preserve">Con motivo de los trabajos </w:t>
      </w:r>
      <w:r w:rsidRPr="006A441E">
        <w:rPr>
          <w:rFonts w:ascii="Abadi" w:eastAsia="Calibri" w:hAnsi="Abadi" w:cs="*Verdana-7945-Identity-H"/>
          <w:color w:val="17161D"/>
          <w:sz w:val="21"/>
          <w:szCs w:val="21"/>
          <w:lang w:val="es-MX" w:eastAsia="en-US"/>
        </w:rPr>
        <w:t xml:space="preserve">y </w:t>
      </w:r>
      <w:r w:rsidRPr="006A441E">
        <w:rPr>
          <w:rFonts w:ascii="Abadi" w:eastAsia="Calibri" w:hAnsi="Abadi" w:cs="*Courier New-7940-Identity-H"/>
          <w:color w:val="17161D"/>
          <w:sz w:val="21"/>
          <w:szCs w:val="21"/>
          <w:lang w:val="es-MX" w:eastAsia="en-US"/>
        </w:rPr>
        <w:t xml:space="preserve">consideraciones realizadas en cumplimiento a la metodología determinada por esta comisión </w:t>
      </w:r>
      <w:r w:rsidRPr="006A441E">
        <w:rPr>
          <w:rFonts w:ascii="Abadi" w:eastAsia="Calibri" w:hAnsi="Abadi" w:cs="*Verdana-7945-Identity-H"/>
          <w:color w:val="17161D"/>
          <w:sz w:val="21"/>
          <w:szCs w:val="21"/>
          <w:lang w:val="es-MX" w:eastAsia="en-US"/>
        </w:rPr>
        <w:t>y</w:t>
      </w:r>
      <w:r w:rsidRPr="006A441E">
        <w:rPr>
          <w:rFonts w:ascii="Abadi" w:eastAsia="Calibri" w:hAnsi="Abadi" w:cs="*Courier New-7940-Identity-H"/>
          <w:color w:val="17161D"/>
          <w:sz w:val="21"/>
          <w:szCs w:val="21"/>
          <w:lang w:val="es-MX" w:eastAsia="en-US"/>
        </w:rPr>
        <w:t xml:space="preserve"> considerando viable el propósito de la iniciativa en estudio, la diputada </w:t>
      </w:r>
      <w:r w:rsidRPr="006A441E">
        <w:rPr>
          <w:rFonts w:ascii="Abadi" w:eastAsia="Calibri" w:hAnsi="Abadi" w:cs="*Verdana-7945-Identity-H"/>
          <w:color w:val="17161D"/>
          <w:sz w:val="21"/>
          <w:szCs w:val="21"/>
          <w:lang w:val="es-MX" w:eastAsia="en-US"/>
        </w:rPr>
        <w:t xml:space="preserve">y </w:t>
      </w:r>
      <w:r w:rsidRPr="006A441E">
        <w:rPr>
          <w:rFonts w:ascii="Abadi" w:eastAsia="Calibri" w:hAnsi="Abadi" w:cs="*Courier New-7940-Identity-H"/>
          <w:color w:val="17161D"/>
          <w:sz w:val="21"/>
          <w:szCs w:val="21"/>
          <w:lang w:val="es-MX" w:eastAsia="en-US"/>
        </w:rPr>
        <w:t>los diputados que dictaminamos planteamos los siguientes ajustes:</w:t>
      </w:r>
    </w:p>
    <w:p w14:paraId="1AF5B751" w14:textId="77777777" w:rsidR="006A441E" w:rsidRPr="006A441E" w:rsidRDefault="006A441E" w:rsidP="002E6197">
      <w:pPr>
        <w:autoSpaceDE w:val="0"/>
        <w:autoSpaceDN w:val="0"/>
        <w:adjustRightInd w:val="0"/>
        <w:jc w:val="both"/>
        <w:rPr>
          <w:rFonts w:ascii="Abadi" w:eastAsia="Calibri" w:hAnsi="Abadi" w:cs="*Verdana-7944-Identity-H"/>
          <w:color w:val="18171D"/>
          <w:sz w:val="21"/>
          <w:szCs w:val="21"/>
          <w:lang w:val="es-MX" w:eastAsia="en-US"/>
        </w:rPr>
      </w:pPr>
    </w:p>
    <w:p w14:paraId="5F8656D8" w14:textId="77777777" w:rsidR="006A441E" w:rsidRPr="006A441E" w:rsidRDefault="006A441E" w:rsidP="002E6197">
      <w:pPr>
        <w:numPr>
          <w:ilvl w:val="0"/>
          <w:numId w:val="74"/>
        </w:numPr>
        <w:autoSpaceDE w:val="0"/>
        <w:autoSpaceDN w:val="0"/>
        <w:adjustRightInd w:val="0"/>
        <w:spacing w:line="259" w:lineRule="auto"/>
        <w:contextualSpacing/>
        <w:jc w:val="both"/>
        <w:rPr>
          <w:rFonts w:ascii="Abadi" w:eastAsia="Calibri" w:hAnsi="Abadi" w:cs="*Verdana-7944-Identity-H"/>
          <w:color w:val="18171D"/>
          <w:sz w:val="21"/>
          <w:szCs w:val="21"/>
          <w:lang w:val="es-MX" w:eastAsia="en-US"/>
        </w:rPr>
      </w:pPr>
      <w:r w:rsidRPr="006A441E">
        <w:rPr>
          <w:rFonts w:ascii="Abadi" w:eastAsia="Calibri" w:hAnsi="Abadi" w:cs="*Verdana-7944-Identity-H"/>
          <w:color w:val="18171D"/>
          <w:sz w:val="21"/>
          <w:szCs w:val="21"/>
          <w:lang w:val="es-MX" w:eastAsia="en-US"/>
        </w:rPr>
        <w:t>Respecto el segundo párrafo propuesto en la iniciativa y con el afán de establecer bases de datos capaces de producir diversas comparaciones estadísticas de la información para consolidar el desempeño de funciones coordinadas entre las instituciones policiales municipales y el Ejecutivo del Estado, determinados que los informes trimestrales sean presentados durante la primera quincena posterior al trimestre calendario a reportar.</w:t>
      </w:r>
    </w:p>
    <w:p w14:paraId="3FBE940E" w14:textId="77777777" w:rsidR="006A441E" w:rsidRPr="006A441E" w:rsidRDefault="006A441E" w:rsidP="002E6197">
      <w:pPr>
        <w:autoSpaceDE w:val="0"/>
        <w:autoSpaceDN w:val="0"/>
        <w:adjustRightInd w:val="0"/>
        <w:jc w:val="both"/>
        <w:rPr>
          <w:rFonts w:ascii="Abadi" w:eastAsia="Calibri" w:hAnsi="Abadi" w:cs="*Verdana-7944-Identity-H"/>
          <w:color w:val="18171D"/>
          <w:sz w:val="21"/>
          <w:szCs w:val="21"/>
          <w:lang w:val="es-MX" w:eastAsia="en-US"/>
        </w:rPr>
      </w:pPr>
    </w:p>
    <w:p w14:paraId="0D42B308" w14:textId="77777777" w:rsidR="006A441E" w:rsidRPr="006A441E" w:rsidRDefault="006A441E" w:rsidP="002E6197">
      <w:pPr>
        <w:numPr>
          <w:ilvl w:val="0"/>
          <w:numId w:val="74"/>
        </w:numPr>
        <w:autoSpaceDE w:val="0"/>
        <w:autoSpaceDN w:val="0"/>
        <w:adjustRightInd w:val="0"/>
        <w:spacing w:line="259" w:lineRule="auto"/>
        <w:contextualSpacing/>
        <w:jc w:val="both"/>
        <w:rPr>
          <w:rFonts w:ascii="Abadi" w:eastAsia="Calibri" w:hAnsi="Abadi" w:cs="*Verdana-7944-Identity-H"/>
          <w:color w:val="18171D"/>
          <w:sz w:val="21"/>
          <w:szCs w:val="21"/>
          <w:lang w:val="es-MX" w:eastAsia="en-US"/>
        </w:rPr>
      </w:pPr>
      <w:r w:rsidRPr="006A441E">
        <w:rPr>
          <w:rFonts w:ascii="Abadi" w:eastAsia="Calibri" w:hAnsi="Abadi" w:cs="*Verdana-7944-Identity-H"/>
          <w:color w:val="18171D"/>
          <w:sz w:val="21"/>
          <w:szCs w:val="21"/>
          <w:lang w:val="es-MX" w:eastAsia="en-US"/>
        </w:rPr>
        <w:t>En este sentido, el contenido de las fracciones de dicho párrafo tendrá como objetivo proveer de esquemas de medición y evaluación permanente en el desempeño de la multicitada función pública.</w:t>
      </w:r>
    </w:p>
    <w:p w14:paraId="52DAFA7E" w14:textId="77777777" w:rsidR="006A441E" w:rsidRPr="006A441E" w:rsidRDefault="006A441E" w:rsidP="002E6197">
      <w:pPr>
        <w:spacing w:line="259" w:lineRule="auto"/>
        <w:ind w:left="720"/>
        <w:contextualSpacing/>
        <w:rPr>
          <w:rFonts w:ascii="Abadi" w:eastAsia="Calibri" w:hAnsi="Abadi" w:cs="*Verdana-7944-Identity-H"/>
          <w:color w:val="18171D"/>
          <w:sz w:val="21"/>
          <w:szCs w:val="21"/>
          <w:lang w:val="es-MX" w:eastAsia="en-US"/>
        </w:rPr>
      </w:pPr>
    </w:p>
    <w:p w14:paraId="35C8A3A4" w14:textId="77777777" w:rsidR="006A441E" w:rsidRPr="006A441E" w:rsidRDefault="006A441E" w:rsidP="002E6197">
      <w:pPr>
        <w:numPr>
          <w:ilvl w:val="0"/>
          <w:numId w:val="74"/>
        </w:numPr>
        <w:autoSpaceDE w:val="0"/>
        <w:autoSpaceDN w:val="0"/>
        <w:adjustRightInd w:val="0"/>
        <w:spacing w:line="259" w:lineRule="auto"/>
        <w:contextualSpacing/>
        <w:jc w:val="both"/>
        <w:rPr>
          <w:rFonts w:ascii="Abadi" w:eastAsia="Calibri" w:hAnsi="Abadi" w:cs="*Verdana-7944-Identity-H"/>
          <w:color w:val="18171D"/>
          <w:sz w:val="21"/>
          <w:szCs w:val="21"/>
          <w:lang w:val="es-MX" w:eastAsia="en-US"/>
        </w:rPr>
      </w:pPr>
      <w:r w:rsidRPr="006A441E">
        <w:rPr>
          <w:rFonts w:ascii="Abadi" w:eastAsia="Calibri" w:hAnsi="Abadi" w:cs="*Verdana-7944-Identity-H"/>
          <w:color w:val="18171D"/>
          <w:sz w:val="21"/>
          <w:szCs w:val="21"/>
          <w:lang w:val="es-MX" w:eastAsia="en-US"/>
        </w:rPr>
        <w:t>Finalmente se establece un tercer y cuarto párrafo a efecto de agregar mecanismos para que los referidos datos tengan un conocimiento, tratamiento y manejo de modo exclusivo para aquellas personas a las que corresponde la toma de decisiones y ejecución de acciones con relación a dicho tema, ello con el objeto de no comprometer o poner a disposición el contenido de datos sensibles de operatividad.</w:t>
      </w:r>
    </w:p>
    <w:p w14:paraId="6D3AABAF" w14:textId="77777777" w:rsidR="006A441E" w:rsidRPr="006A441E" w:rsidRDefault="006A441E" w:rsidP="002E6197">
      <w:pPr>
        <w:spacing w:line="259" w:lineRule="auto"/>
        <w:jc w:val="both"/>
        <w:rPr>
          <w:rFonts w:ascii="Abadi" w:eastAsia="Calibri" w:hAnsi="Abadi" w:cs="*Verdana-7944-Identity-H"/>
          <w:color w:val="18171D"/>
          <w:sz w:val="21"/>
          <w:szCs w:val="21"/>
          <w:lang w:val="es-MX" w:eastAsia="en-US"/>
        </w:rPr>
      </w:pPr>
    </w:p>
    <w:p w14:paraId="7ED941FF" w14:textId="77777777" w:rsidR="006A441E" w:rsidRPr="006A441E" w:rsidRDefault="006A441E" w:rsidP="002E6197">
      <w:pPr>
        <w:autoSpaceDE w:val="0"/>
        <w:autoSpaceDN w:val="0"/>
        <w:adjustRightInd w:val="0"/>
        <w:jc w:val="both"/>
        <w:rPr>
          <w:rFonts w:ascii="Abadi" w:eastAsia="Calibri" w:hAnsi="Abadi" w:cs="*Calibri-5835-Identity-H"/>
          <w:color w:val="17161D"/>
          <w:sz w:val="21"/>
          <w:szCs w:val="21"/>
          <w:lang w:val="es-MX" w:eastAsia="en-US"/>
        </w:rPr>
      </w:pPr>
      <w:r w:rsidRPr="006A441E">
        <w:rPr>
          <w:rFonts w:ascii="Abadi" w:eastAsia="Calibri" w:hAnsi="Abadi" w:cs="*Calibri-5835-Identity-H"/>
          <w:color w:val="17161D"/>
          <w:sz w:val="21"/>
          <w:szCs w:val="21"/>
          <w:lang w:val="es-MX" w:eastAsia="en-US"/>
        </w:rPr>
        <w:t>Debido a lo expuesto y con fundamento en lo dispuesto por el artículo 171 de la Ley Orgánica del Poder Legislativo del Estado de Guanajuato, nos permitimos someter a la aprobación de la Asamblea, el siguiente:</w:t>
      </w:r>
    </w:p>
    <w:p w14:paraId="6FC5C35A" w14:textId="77777777" w:rsidR="006A441E" w:rsidRPr="006A441E" w:rsidRDefault="006A441E" w:rsidP="002E6197">
      <w:pPr>
        <w:autoSpaceDE w:val="0"/>
        <w:autoSpaceDN w:val="0"/>
        <w:adjustRightInd w:val="0"/>
        <w:jc w:val="both"/>
        <w:rPr>
          <w:rFonts w:ascii="Abadi" w:eastAsia="Calibri" w:hAnsi="Abadi" w:cs="*Calibri-Bold-5836-Identity-H"/>
          <w:b/>
          <w:bCs/>
          <w:color w:val="14141E"/>
          <w:sz w:val="21"/>
          <w:szCs w:val="21"/>
          <w:lang w:val="es-MX" w:eastAsia="en-US"/>
        </w:rPr>
      </w:pPr>
    </w:p>
    <w:p w14:paraId="10E44D4F" w14:textId="77777777" w:rsidR="006A441E" w:rsidRPr="006A441E" w:rsidRDefault="006A441E" w:rsidP="002E6197">
      <w:pPr>
        <w:autoSpaceDE w:val="0"/>
        <w:autoSpaceDN w:val="0"/>
        <w:adjustRightInd w:val="0"/>
        <w:jc w:val="center"/>
        <w:rPr>
          <w:rFonts w:ascii="Abadi" w:eastAsia="Calibri" w:hAnsi="Abadi" w:cs="*Calibri-Bold-5836-Identity-H"/>
          <w:b/>
          <w:bCs/>
          <w:color w:val="14141E"/>
          <w:sz w:val="21"/>
          <w:szCs w:val="21"/>
          <w:lang w:val="es-MX" w:eastAsia="en-US"/>
        </w:rPr>
      </w:pPr>
      <w:r w:rsidRPr="006A441E">
        <w:rPr>
          <w:rFonts w:ascii="Abadi" w:eastAsia="Calibri" w:hAnsi="Abadi" w:cs="*Calibri-Bold-5836-Identity-H"/>
          <w:b/>
          <w:bCs/>
          <w:color w:val="14141E"/>
          <w:sz w:val="21"/>
          <w:szCs w:val="21"/>
          <w:lang w:val="es-MX" w:eastAsia="en-US"/>
        </w:rPr>
        <w:t>DECRETO</w:t>
      </w:r>
    </w:p>
    <w:p w14:paraId="21767BAF" w14:textId="77777777" w:rsidR="006A441E" w:rsidRPr="006A441E" w:rsidRDefault="006A441E" w:rsidP="002E6197">
      <w:pPr>
        <w:autoSpaceDE w:val="0"/>
        <w:autoSpaceDN w:val="0"/>
        <w:adjustRightInd w:val="0"/>
        <w:jc w:val="both"/>
        <w:rPr>
          <w:rFonts w:ascii="Abadi" w:eastAsia="Calibri" w:hAnsi="Abadi" w:cs="*Arial-Bold-5838-Identity-H"/>
          <w:b/>
          <w:bCs/>
          <w:color w:val="17161D"/>
          <w:sz w:val="21"/>
          <w:szCs w:val="21"/>
          <w:lang w:val="es-MX" w:eastAsia="en-US"/>
        </w:rPr>
      </w:pPr>
    </w:p>
    <w:p w14:paraId="5973B3F3" w14:textId="77777777" w:rsidR="006A441E" w:rsidRPr="006A441E" w:rsidRDefault="006A441E" w:rsidP="002E6197">
      <w:pPr>
        <w:autoSpaceDE w:val="0"/>
        <w:autoSpaceDN w:val="0"/>
        <w:adjustRightInd w:val="0"/>
        <w:jc w:val="both"/>
        <w:rPr>
          <w:rFonts w:ascii="Abadi" w:eastAsia="Calibri" w:hAnsi="Abadi" w:cs="*Calibri-5835-Identity-H"/>
          <w:color w:val="17161D"/>
          <w:sz w:val="21"/>
          <w:szCs w:val="21"/>
          <w:lang w:val="es-MX" w:eastAsia="en-US"/>
        </w:rPr>
      </w:pPr>
      <w:r w:rsidRPr="006A441E">
        <w:rPr>
          <w:rFonts w:ascii="Abadi" w:eastAsia="Calibri" w:hAnsi="Abadi" w:cs="*Arial-Bold-5838-Identity-H"/>
          <w:b/>
          <w:bCs/>
          <w:color w:val="17161D"/>
          <w:sz w:val="21"/>
          <w:szCs w:val="21"/>
          <w:lang w:val="es-MX" w:eastAsia="en-US"/>
        </w:rPr>
        <w:t xml:space="preserve">Artículo Único. Se modifica </w:t>
      </w:r>
      <w:r w:rsidRPr="006A441E">
        <w:rPr>
          <w:rFonts w:ascii="Abadi" w:eastAsia="Calibri" w:hAnsi="Abadi" w:cs="*Calibri-5835-Identity-H"/>
          <w:color w:val="17161D"/>
          <w:sz w:val="21"/>
          <w:szCs w:val="21"/>
          <w:lang w:val="es-MX" w:eastAsia="en-US"/>
        </w:rPr>
        <w:t>el artículo 18 de la Ley del Sistema de Seguridad Pública del Estado de Guanajuato, para quedar en los siguientes términos:</w:t>
      </w:r>
    </w:p>
    <w:p w14:paraId="46CB6724" w14:textId="77777777" w:rsidR="006A441E" w:rsidRPr="006A441E" w:rsidRDefault="006A441E" w:rsidP="002E6197">
      <w:pPr>
        <w:autoSpaceDE w:val="0"/>
        <w:autoSpaceDN w:val="0"/>
        <w:adjustRightInd w:val="0"/>
        <w:jc w:val="both"/>
        <w:rPr>
          <w:rFonts w:ascii="Abadi" w:eastAsia="Calibri" w:hAnsi="Abadi" w:cs="*Arial-Bold-5838-Identity-H"/>
          <w:b/>
          <w:bCs/>
          <w:color w:val="17161D"/>
          <w:sz w:val="21"/>
          <w:szCs w:val="21"/>
          <w:lang w:val="es-MX" w:eastAsia="en-US"/>
        </w:rPr>
      </w:pPr>
    </w:p>
    <w:p w14:paraId="04409F35" w14:textId="77777777" w:rsidR="006A441E" w:rsidRPr="006A441E" w:rsidRDefault="006A441E" w:rsidP="002E6197">
      <w:pPr>
        <w:autoSpaceDE w:val="0"/>
        <w:autoSpaceDN w:val="0"/>
        <w:adjustRightInd w:val="0"/>
        <w:jc w:val="right"/>
        <w:rPr>
          <w:rFonts w:ascii="Abadi" w:eastAsia="Calibri" w:hAnsi="Abadi" w:cs="*Arial-Bold-5838-Identity-H"/>
          <w:b/>
          <w:bCs/>
          <w:color w:val="17161D"/>
          <w:sz w:val="21"/>
          <w:szCs w:val="21"/>
          <w:lang w:val="es-MX" w:eastAsia="en-US"/>
        </w:rPr>
      </w:pPr>
      <w:r w:rsidRPr="006A441E">
        <w:rPr>
          <w:rFonts w:ascii="Abadi" w:eastAsia="Calibri" w:hAnsi="Abadi" w:cs="*Arial-Bold-5838-Identity-H"/>
          <w:b/>
          <w:bCs/>
          <w:color w:val="17161D"/>
          <w:sz w:val="21"/>
          <w:szCs w:val="21"/>
          <w:lang w:val="es-MX" w:eastAsia="en-US"/>
        </w:rPr>
        <w:t>«Informes</w:t>
      </w:r>
    </w:p>
    <w:p w14:paraId="3E286089" w14:textId="77777777" w:rsidR="006A441E" w:rsidRPr="006A441E" w:rsidRDefault="006A441E" w:rsidP="002E6197">
      <w:pPr>
        <w:autoSpaceDE w:val="0"/>
        <w:autoSpaceDN w:val="0"/>
        <w:adjustRightInd w:val="0"/>
        <w:jc w:val="both"/>
        <w:rPr>
          <w:rFonts w:ascii="Abadi" w:eastAsia="Calibri" w:hAnsi="Abadi" w:cs="*Calibri-5835-Identity-H"/>
          <w:color w:val="17161D"/>
          <w:sz w:val="21"/>
          <w:szCs w:val="21"/>
          <w:lang w:val="es-MX" w:eastAsia="en-US"/>
        </w:rPr>
      </w:pPr>
      <w:r w:rsidRPr="006A441E">
        <w:rPr>
          <w:rFonts w:ascii="Abadi" w:eastAsia="Calibri" w:hAnsi="Abadi" w:cs="*Arial-Bold-5838-Identity-H"/>
          <w:b/>
          <w:bCs/>
          <w:color w:val="17161D"/>
          <w:sz w:val="21"/>
          <w:szCs w:val="21"/>
          <w:lang w:val="es-MX" w:eastAsia="en-US"/>
        </w:rPr>
        <w:t xml:space="preserve">Artículo 18. </w:t>
      </w:r>
      <w:r w:rsidRPr="006A441E">
        <w:rPr>
          <w:rFonts w:ascii="Abadi" w:eastAsia="Calibri" w:hAnsi="Abadi" w:cs="*Calibri-5835-Identity-H"/>
          <w:color w:val="17161D"/>
          <w:sz w:val="21"/>
          <w:szCs w:val="21"/>
          <w:lang w:val="es-MX" w:eastAsia="en-US"/>
        </w:rPr>
        <w:t>El director de Seguridad Pública Municipal o su equivalente, deberá rendir trimestralmente un informe al Ayuntamiento y a la Secretaría, sobre los avances del Programa Municipal de Seguridad Pública, y el de Prevención social de la violencia y la delincuencia en los términos de la Ley de la materia, así como de la situación que prevalezca en el municipio.</w:t>
      </w:r>
    </w:p>
    <w:p w14:paraId="2E0C4F06" w14:textId="77777777" w:rsidR="006A441E" w:rsidRPr="006A441E" w:rsidRDefault="006A441E" w:rsidP="002E6197">
      <w:pPr>
        <w:autoSpaceDE w:val="0"/>
        <w:autoSpaceDN w:val="0"/>
        <w:adjustRightInd w:val="0"/>
        <w:jc w:val="both"/>
        <w:rPr>
          <w:rFonts w:ascii="Abadi" w:eastAsia="Calibri" w:hAnsi="Abadi" w:cs="*Calibri-5835-Identity-H"/>
          <w:color w:val="17161D"/>
          <w:sz w:val="21"/>
          <w:szCs w:val="21"/>
          <w:lang w:val="es-MX" w:eastAsia="en-US"/>
        </w:rPr>
      </w:pPr>
    </w:p>
    <w:p w14:paraId="29405832" w14:textId="77777777" w:rsidR="006A441E" w:rsidRPr="006A441E" w:rsidRDefault="006A441E" w:rsidP="002E6197">
      <w:pPr>
        <w:autoSpaceDE w:val="0"/>
        <w:autoSpaceDN w:val="0"/>
        <w:adjustRightInd w:val="0"/>
        <w:jc w:val="both"/>
        <w:rPr>
          <w:rFonts w:ascii="Abadi" w:eastAsia="Calibri" w:hAnsi="Abadi" w:cs="*Calibri-5835-Identity-H"/>
          <w:color w:val="17161D"/>
          <w:sz w:val="21"/>
          <w:szCs w:val="21"/>
          <w:lang w:val="es-MX" w:eastAsia="en-US"/>
        </w:rPr>
      </w:pPr>
      <w:r w:rsidRPr="006A441E">
        <w:rPr>
          <w:rFonts w:ascii="Abadi" w:eastAsia="Calibri" w:hAnsi="Abadi" w:cs="*Calibri-5835-Identity-H"/>
          <w:color w:val="17161D"/>
          <w:sz w:val="21"/>
          <w:szCs w:val="21"/>
          <w:lang w:val="es-MX" w:eastAsia="en-US"/>
        </w:rPr>
        <w:t>El informe deberá presentarse durante la primera quincena posterior al trimestre calendario a reportar y contendrá, por lo menos, los siguientes datos:</w:t>
      </w:r>
    </w:p>
    <w:p w14:paraId="248446CA" w14:textId="77777777" w:rsidR="006A441E" w:rsidRPr="006A441E" w:rsidRDefault="006A441E" w:rsidP="002E6197">
      <w:pPr>
        <w:autoSpaceDE w:val="0"/>
        <w:autoSpaceDN w:val="0"/>
        <w:adjustRightInd w:val="0"/>
        <w:jc w:val="both"/>
        <w:rPr>
          <w:rFonts w:ascii="Abadi" w:eastAsia="Calibri" w:hAnsi="Abadi" w:cs="*Calibri-5835-Identity-H"/>
          <w:color w:val="17161D"/>
          <w:sz w:val="21"/>
          <w:szCs w:val="21"/>
          <w:lang w:val="es-MX" w:eastAsia="en-US"/>
        </w:rPr>
      </w:pPr>
    </w:p>
    <w:p w14:paraId="019C77F2" w14:textId="77777777" w:rsidR="006A441E" w:rsidRPr="006A441E" w:rsidRDefault="006A441E" w:rsidP="002E6197">
      <w:pPr>
        <w:numPr>
          <w:ilvl w:val="0"/>
          <w:numId w:val="75"/>
        </w:numPr>
        <w:autoSpaceDE w:val="0"/>
        <w:autoSpaceDN w:val="0"/>
        <w:adjustRightInd w:val="0"/>
        <w:spacing w:line="259" w:lineRule="auto"/>
        <w:contextualSpacing/>
        <w:jc w:val="both"/>
        <w:rPr>
          <w:rFonts w:ascii="Abadi" w:eastAsia="Calibri" w:hAnsi="Abadi" w:cs="*Calibri-5835-Identity-H"/>
          <w:color w:val="16161D"/>
          <w:sz w:val="21"/>
          <w:szCs w:val="21"/>
          <w:lang w:val="es-MX" w:eastAsia="en-US"/>
        </w:rPr>
      </w:pPr>
      <w:r w:rsidRPr="006A441E">
        <w:rPr>
          <w:rFonts w:ascii="Abadi" w:eastAsia="Calibri" w:hAnsi="Abadi" w:cs="*Calibri-5835-Identity-H"/>
          <w:color w:val="16161D"/>
          <w:sz w:val="21"/>
          <w:szCs w:val="21"/>
          <w:lang w:val="es-MX" w:eastAsia="en-US"/>
        </w:rPr>
        <w:t>La relación de asuntos atendidos;</w:t>
      </w:r>
    </w:p>
    <w:p w14:paraId="6AB23A1B" w14:textId="77777777" w:rsidR="006A441E" w:rsidRPr="006A441E" w:rsidRDefault="006A441E" w:rsidP="002E6197">
      <w:pPr>
        <w:numPr>
          <w:ilvl w:val="0"/>
          <w:numId w:val="75"/>
        </w:numPr>
        <w:autoSpaceDE w:val="0"/>
        <w:autoSpaceDN w:val="0"/>
        <w:adjustRightInd w:val="0"/>
        <w:spacing w:line="259" w:lineRule="auto"/>
        <w:contextualSpacing/>
        <w:jc w:val="both"/>
        <w:rPr>
          <w:rFonts w:ascii="Abadi" w:eastAsia="Calibri" w:hAnsi="Abadi" w:cs="*Calibri-5835-Identity-H"/>
          <w:color w:val="16161D"/>
          <w:sz w:val="21"/>
          <w:szCs w:val="21"/>
          <w:lang w:val="es-MX" w:eastAsia="en-US"/>
        </w:rPr>
      </w:pPr>
      <w:r w:rsidRPr="006A441E">
        <w:rPr>
          <w:rFonts w:ascii="Abadi" w:eastAsia="Calibri" w:hAnsi="Abadi" w:cs="*Calibri-5835-Identity-H"/>
          <w:color w:val="17161E"/>
          <w:sz w:val="21"/>
          <w:szCs w:val="21"/>
          <w:lang w:val="es-MX" w:eastAsia="en-US"/>
        </w:rPr>
        <w:t>La estadística de comisión de delitos y faltas administrativas;</w:t>
      </w:r>
      <w:r w:rsidRPr="006A441E">
        <w:rPr>
          <w:rFonts w:ascii="Abadi" w:eastAsia="Calibri" w:hAnsi="Abadi" w:cs="*Calibri-5835-Identity-H"/>
          <w:color w:val="17161D"/>
          <w:sz w:val="21"/>
          <w:szCs w:val="21"/>
          <w:lang w:val="es-MX" w:eastAsia="en-US"/>
        </w:rPr>
        <w:t xml:space="preserve"> </w:t>
      </w:r>
    </w:p>
    <w:p w14:paraId="526C0AAE" w14:textId="77777777" w:rsidR="006A441E" w:rsidRPr="006A441E" w:rsidRDefault="006A441E" w:rsidP="002E6197">
      <w:pPr>
        <w:numPr>
          <w:ilvl w:val="0"/>
          <w:numId w:val="75"/>
        </w:numPr>
        <w:autoSpaceDE w:val="0"/>
        <w:autoSpaceDN w:val="0"/>
        <w:adjustRightInd w:val="0"/>
        <w:spacing w:line="259" w:lineRule="auto"/>
        <w:contextualSpacing/>
        <w:jc w:val="both"/>
        <w:rPr>
          <w:rFonts w:ascii="Abadi" w:eastAsia="Calibri" w:hAnsi="Abadi" w:cs="*Calibri-5835-Identity-H"/>
          <w:color w:val="16161D"/>
          <w:sz w:val="21"/>
          <w:szCs w:val="21"/>
          <w:lang w:val="es-MX" w:eastAsia="en-US"/>
        </w:rPr>
      </w:pPr>
      <w:r w:rsidRPr="006A441E">
        <w:rPr>
          <w:rFonts w:ascii="Abadi" w:eastAsia="Calibri" w:hAnsi="Abadi" w:cs="*Calibri-5835-Identity-H"/>
          <w:color w:val="17161D"/>
          <w:sz w:val="21"/>
          <w:szCs w:val="21"/>
          <w:lang w:val="es-MX" w:eastAsia="en-US"/>
        </w:rPr>
        <w:t>Reporte de las zonas de incidencia delictiva, con referencia a los días, horas y lugares en que ocurran hechos ilícitos o faltas administrativas;</w:t>
      </w:r>
    </w:p>
    <w:p w14:paraId="15E29798" w14:textId="77777777" w:rsidR="006A441E" w:rsidRPr="006A441E" w:rsidRDefault="006A441E" w:rsidP="002E6197">
      <w:pPr>
        <w:numPr>
          <w:ilvl w:val="0"/>
          <w:numId w:val="75"/>
        </w:numPr>
        <w:autoSpaceDE w:val="0"/>
        <w:autoSpaceDN w:val="0"/>
        <w:adjustRightInd w:val="0"/>
        <w:spacing w:line="259" w:lineRule="auto"/>
        <w:contextualSpacing/>
        <w:jc w:val="both"/>
        <w:rPr>
          <w:rFonts w:ascii="Abadi" w:eastAsia="Calibri" w:hAnsi="Abadi" w:cs="*Calibri-5835-Identity-H"/>
          <w:color w:val="16161D"/>
          <w:sz w:val="21"/>
          <w:szCs w:val="21"/>
          <w:lang w:val="es-MX" w:eastAsia="en-US"/>
        </w:rPr>
      </w:pPr>
      <w:r w:rsidRPr="006A441E">
        <w:rPr>
          <w:rFonts w:ascii="Abadi" w:eastAsia="Calibri" w:hAnsi="Abadi" w:cs="*Calibri-5835-Identity-H"/>
          <w:color w:val="17161D"/>
          <w:sz w:val="21"/>
          <w:szCs w:val="21"/>
          <w:lang w:val="es-MX" w:eastAsia="en-US"/>
        </w:rPr>
        <w:t>La estadística de disminución de delitos y faltas administrativas;</w:t>
      </w:r>
    </w:p>
    <w:p w14:paraId="30DE68A7" w14:textId="77777777" w:rsidR="006A441E" w:rsidRPr="006A441E" w:rsidRDefault="006A441E" w:rsidP="002E6197">
      <w:pPr>
        <w:numPr>
          <w:ilvl w:val="0"/>
          <w:numId w:val="75"/>
        </w:numPr>
        <w:autoSpaceDE w:val="0"/>
        <w:autoSpaceDN w:val="0"/>
        <w:adjustRightInd w:val="0"/>
        <w:spacing w:line="259" w:lineRule="auto"/>
        <w:contextualSpacing/>
        <w:jc w:val="both"/>
        <w:rPr>
          <w:rFonts w:ascii="Abadi" w:eastAsia="Calibri" w:hAnsi="Abadi" w:cs="*Calibri-5835-Identity-H"/>
          <w:color w:val="16161D"/>
          <w:sz w:val="21"/>
          <w:szCs w:val="21"/>
          <w:lang w:val="es-MX" w:eastAsia="en-US"/>
        </w:rPr>
      </w:pPr>
      <w:r w:rsidRPr="006A441E">
        <w:rPr>
          <w:rFonts w:ascii="Abadi" w:eastAsia="Calibri" w:hAnsi="Abadi" w:cs="*Calibri-5982-Identity-H"/>
          <w:color w:val="1D1C23"/>
          <w:sz w:val="21"/>
          <w:szCs w:val="21"/>
          <w:lang w:val="es-MX" w:eastAsia="en-US"/>
        </w:rPr>
        <w:t>Los datos estadísticos en los que se refiera la edad, el sexo, así como la ocupación de los infractores;</w:t>
      </w:r>
    </w:p>
    <w:p w14:paraId="5F619E9D" w14:textId="77777777" w:rsidR="006A441E" w:rsidRPr="006A441E" w:rsidRDefault="006A441E" w:rsidP="002E6197">
      <w:pPr>
        <w:numPr>
          <w:ilvl w:val="0"/>
          <w:numId w:val="75"/>
        </w:numPr>
        <w:autoSpaceDE w:val="0"/>
        <w:autoSpaceDN w:val="0"/>
        <w:adjustRightInd w:val="0"/>
        <w:spacing w:line="259" w:lineRule="auto"/>
        <w:contextualSpacing/>
        <w:jc w:val="both"/>
        <w:rPr>
          <w:rFonts w:ascii="Abadi" w:eastAsia="Calibri" w:hAnsi="Abadi" w:cs="*Calibri-5835-Identity-H"/>
          <w:color w:val="16161D"/>
          <w:sz w:val="21"/>
          <w:szCs w:val="21"/>
          <w:lang w:val="es-MX" w:eastAsia="en-US"/>
        </w:rPr>
      </w:pPr>
      <w:r w:rsidRPr="006A441E">
        <w:rPr>
          <w:rFonts w:ascii="Abadi" w:eastAsia="Calibri" w:hAnsi="Abadi" w:cs="*Calibri-5982-Identity-H"/>
          <w:color w:val="1A1A21"/>
          <w:sz w:val="21"/>
          <w:szCs w:val="21"/>
          <w:lang w:val="es-MX" w:eastAsia="en-US"/>
        </w:rPr>
        <w:t>La estadística sobre los infractores reincidentes;</w:t>
      </w:r>
    </w:p>
    <w:p w14:paraId="3F0EE5F8" w14:textId="77777777" w:rsidR="006A441E" w:rsidRPr="006A441E" w:rsidRDefault="006A441E" w:rsidP="002E6197">
      <w:pPr>
        <w:numPr>
          <w:ilvl w:val="0"/>
          <w:numId w:val="75"/>
        </w:numPr>
        <w:autoSpaceDE w:val="0"/>
        <w:autoSpaceDN w:val="0"/>
        <w:adjustRightInd w:val="0"/>
        <w:spacing w:line="259" w:lineRule="auto"/>
        <w:contextualSpacing/>
        <w:jc w:val="both"/>
        <w:rPr>
          <w:rFonts w:ascii="Abadi" w:eastAsia="Calibri" w:hAnsi="Abadi" w:cs="*Calibri-5835-Identity-H"/>
          <w:color w:val="16161D"/>
          <w:sz w:val="21"/>
          <w:szCs w:val="21"/>
          <w:lang w:val="es-MX" w:eastAsia="en-US"/>
        </w:rPr>
      </w:pPr>
      <w:r w:rsidRPr="006A441E">
        <w:rPr>
          <w:rFonts w:ascii="Abadi" w:eastAsia="Calibri" w:hAnsi="Abadi" w:cs="*Calibri-5982-Identity-H"/>
          <w:color w:val="1C1B23"/>
          <w:sz w:val="21"/>
          <w:szCs w:val="21"/>
          <w:lang w:val="es-MX" w:eastAsia="en-US"/>
        </w:rPr>
        <w:t>La información relativa a la evaluación de la actuación de la institución policial a su cargo, que deberá considerar lo siguiente:</w:t>
      </w:r>
    </w:p>
    <w:p w14:paraId="39993B61" w14:textId="77777777" w:rsidR="006A441E" w:rsidRPr="006A441E" w:rsidRDefault="006A441E" w:rsidP="002E6197">
      <w:pPr>
        <w:numPr>
          <w:ilvl w:val="0"/>
          <w:numId w:val="76"/>
        </w:numPr>
        <w:autoSpaceDE w:val="0"/>
        <w:autoSpaceDN w:val="0"/>
        <w:adjustRightInd w:val="0"/>
        <w:spacing w:line="259" w:lineRule="auto"/>
        <w:contextualSpacing/>
        <w:jc w:val="both"/>
        <w:rPr>
          <w:rFonts w:ascii="Abadi" w:eastAsia="Calibri" w:hAnsi="Abadi" w:cs="*Calibri-5982-Identity-H"/>
          <w:color w:val="1C1B22"/>
          <w:sz w:val="21"/>
          <w:szCs w:val="21"/>
          <w:lang w:val="es-MX" w:eastAsia="en-US"/>
        </w:rPr>
      </w:pPr>
      <w:r w:rsidRPr="006A441E">
        <w:rPr>
          <w:rFonts w:ascii="Abadi" w:eastAsia="Calibri" w:hAnsi="Abadi" w:cs="*Calibri-5982-Identity-H"/>
          <w:color w:val="1C1B22"/>
          <w:sz w:val="21"/>
          <w:szCs w:val="21"/>
          <w:lang w:val="es-MX" w:eastAsia="en-US"/>
        </w:rPr>
        <w:t xml:space="preserve">La capacidad de respuesta a los llamados para la intervención de </w:t>
      </w:r>
      <w:proofErr w:type="gramStart"/>
      <w:r w:rsidRPr="006A441E">
        <w:rPr>
          <w:rFonts w:ascii="Abadi" w:eastAsia="Calibri" w:hAnsi="Abadi" w:cs="*Calibri-5982-Identity-H"/>
          <w:color w:val="1C1B22"/>
          <w:sz w:val="21"/>
          <w:szCs w:val="21"/>
          <w:lang w:val="es-MX" w:eastAsia="en-US"/>
        </w:rPr>
        <w:t xml:space="preserve">la </w:t>
      </w:r>
      <w:r w:rsidRPr="006A441E">
        <w:rPr>
          <w:rFonts w:ascii="Abadi" w:eastAsia="Calibri" w:hAnsi="Abadi" w:cs="*Calibri-5982-Identity-H"/>
          <w:color w:val="8D8D8D"/>
          <w:sz w:val="21"/>
          <w:szCs w:val="21"/>
          <w:lang w:val="es-MX" w:eastAsia="en-US"/>
        </w:rPr>
        <w:t>.</w:t>
      </w:r>
      <w:proofErr w:type="gramEnd"/>
      <w:r w:rsidRPr="006A441E">
        <w:rPr>
          <w:rFonts w:ascii="Abadi" w:eastAsia="Calibri" w:hAnsi="Abadi" w:cs="*Calibri-5982-Identity-H"/>
          <w:color w:val="8D8D8D"/>
          <w:sz w:val="21"/>
          <w:szCs w:val="21"/>
          <w:lang w:val="es-MX" w:eastAsia="en-US"/>
        </w:rPr>
        <w:t xml:space="preserve"> </w:t>
      </w:r>
      <w:r w:rsidRPr="006A441E">
        <w:rPr>
          <w:rFonts w:ascii="Abadi" w:eastAsia="Calibri" w:hAnsi="Abadi" w:cs="*Calibri-5982-Identity-H"/>
          <w:color w:val="1B191F"/>
          <w:sz w:val="21"/>
          <w:szCs w:val="21"/>
          <w:lang w:val="es-MX" w:eastAsia="en-US"/>
        </w:rPr>
        <w:t>institución policial municipal;</w:t>
      </w:r>
    </w:p>
    <w:p w14:paraId="4687BB60" w14:textId="77777777" w:rsidR="006A441E" w:rsidRPr="006A441E" w:rsidRDefault="006A441E" w:rsidP="002E6197">
      <w:pPr>
        <w:numPr>
          <w:ilvl w:val="0"/>
          <w:numId w:val="76"/>
        </w:numPr>
        <w:autoSpaceDE w:val="0"/>
        <w:autoSpaceDN w:val="0"/>
        <w:adjustRightInd w:val="0"/>
        <w:spacing w:line="259" w:lineRule="auto"/>
        <w:contextualSpacing/>
        <w:jc w:val="both"/>
        <w:rPr>
          <w:rFonts w:ascii="Abadi" w:eastAsia="Calibri" w:hAnsi="Abadi" w:cs="*Calibri-5982-Identity-H"/>
          <w:color w:val="1C1B22"/>
          <w:sz w:val="21"/>
          <w:szCs w:val="21"/>
          <w:lang w:val="es-MX" w:eastAsia="en-US"/>
        </w:rPr>
      </w:pPr>
      <w:r w:rsidRPr="006A441E">
        <w:rPr>
          <w:rFonts w:ascii="Abadi" w:eastAsia="Calibri" w:hAnsi="Abadi" w:cs="*Calibri-5982-Identity-H"/>
          <w:color w:val="1A1920"/>
          <w:sz w:val="21"/>
          <w:szCs w:val="21"/>
          <w:lang w:val="es-MX" w:eastAsia="en-US"/>
        </w:rPr>
        <w:t>Tiempos de reacción ante las peticiones de ayuda;</w:t>
      </w:r>
    </w:p>
    <w:p w14:paraId="602C221F" w14:textId="77777777" w:rsidR="006A441E" w:rsidRPr="006A441E" w:rsidRDefault="006A441E" w:rsidP="002E6197">
      <w:pPr>
        <w:numPr>
          <w:ilvl w:val="0"/>
          <w:numId w:val="76"/>
        </w:numPr>
        <w:autoSpaceDE w:val="0"/>
        <w:autoSpaceDN w:val="0"/>
        <w:adjustRightInd w:val="0"/>
        <w:spacing w:line="259" w:lineRule="auto"/>
        <w:contextualSpacing/>
        <w:jc w:val="both"/>
        <w:rPr>
          <w:rFonts w:ascii="Abadi" w:eastAsia="Calibri" w:hAnsi="Abadi" w:cs="*Calibri-5982-Identity-H"/>
          <w:color w:val="1C1B22"/>
          <w:sz w:val="21"/>
          <w:szCs w:val="21"/>
          <w:lang w:val="es-MX" w:eastAsia="en-US"/>
        </w:rPr>
      </w:pPr>
      <w:r w:rsidRPr="006A441E">
        <w:rPr>
          <w:rFonts w:ascii="Abadi" w:eastAsia="Calibri" w:hAnsi="Abadi" w:cs="*Calibri-5982-Identity-H"/>
          <w:color w:val="1C1B21"/>
          <w:sz w:val="21"/>
          <w:szCs w:val="21"/>
          <w:lang w:val="es-MX" w:eastAsia="en-US"/>
        </w:rPr>
        <w:t>Tiempos de resolución de las peticiones de ayuda;</w:t>
      </w:r>
    </w:p>
    <w:p w14:paraId="1825EDB5" w14:textId="77777777" w:rsidR="006A441E" w:rsidRPr="006A441E" w:rsidRDefault="006A441E" w:rsidP="002E6197">
      <w:pPr>
        <w:numPr>
          <w:ilvl w:val="0"/>
          <w:numId w:val="76"/>
        </w:numPr>
        <w:autoSpaceDE w:val="0"/>
        <w:autoSpaceDN w:val="0"/>
        <w:adjustRightInd w:val="0"/>
        <w:spacing w:line="259" w:lineRule="auto"/>
        <w:contextualSpacing/>
        <w:jc w:val="both"/>
        <w:rPr>
          <w:rFonts w:ascii="Abadi" w:eastAsia="Calibri" w:hAnsi="Abadi" w:cs="*Calibri-5982-Identity-H"/>
          <w:color w:val="1C1B22"/>
          <w:sz w:val="21"/>
          <w:szCs w:val="21"/>
          <w:lang w:val="es-MX" w:eastAsia="en-US"/>
        </w:rPr>
      </w:pPr>
      <w:r w:rsidRPr="006A441E">
        <w:rPr>
          <w:rFonts w:ascii="Abadi" w:eastAsia="Calibri" w:hAnsi="Abadi" w:cs="*Calibri-5982-Identity-H"/>
          <w:color w:val="1C1B21"/>
          <w:sz w:val="21"/>
          <w:szCs w:val="21"/>
          <w:lang w:val="es-MX" w:eastAsia="en-US"/>
        </w:rPr>
        <w:t>La frecuencia de patrullaje del territorio;</w:t>
      </w:r>
    </w:p>
    <w:p w14:paraId="021D088F" w14:textId="77777777" w:rsidR="006A441E" w:rsidRPr="006A441E" w:rsidRDefault="006A441E" w:rsidP="002E6197">
      <w:pPr>
        <w:numPr>
          <w:ilvl w:val="0"/>
          <w:numId w:val="76"/>
        </w:numPr>
        <w:autoSpaceDE w:val="0"/>
        <w:autoSpaceDN w:val="0"/>
        <w:adjustRightInd w:val="0"/>
        <w:spacing w:line="259" w:lineRule="auto"/>
        <w:contextualSpacing/>
        <w:jc w:val="both"/>
        <w:rPr>
          <w:rFonts w:ascii="Abadi" w:eastAsia="Calibri" w:hAnsi="Abadi" w:cs="*Calibri-5982-Identity-H"/>
          <w:color w:val="1C1B22"/>
          <w:sz w:val="21"/>
          <w:szCs w:val="21"/>
          <w:lang w:val="es-MX" w:eastAsia="en-US"/>
        </w:rPr>
      </w:pPr>
      <w:r w:rsidRPr="006A441E">
        <w:rPr>
          <w:rFonts w:ascii="Abadi" w:eastAsia="Calibri" w:hAnsi="Abadi" w:cs="*Calibri-5982-Identity-H"/>
          <w:color w:val="1C1B21"/>
          <w:sz w:val="21"/>
          <w:szCs w:val="21"/>
          <w:lang w:val="es-MX" w:eastAsia="en-US"/>
        </w:rPr>
        <w:t>Horas de patrullaje en el territorio.</w:t>
      </w:r>
    </w:p>
    <w:p w14:paraId="2EDDF439" w14:textId="77777777" w:rsidR="006A441E" w:rsidRPr="006A441E" w:rsidRDefault="006A441E" w:rsidP="002E6197">
      <w:pPr>
        <w:autoSpaceDE w:val="0"/>
        <w:autoSpaceDN w:val="0"/>
        <w:adjustRightInd w:val="0"/>
        <w:jc w:val="both"/>
        <w:rPr>
          <w:rFonts w:ascii="Abadi" w:eastAsia="Calibri" w:hAnsi="Abadi" w:cs="*Arial-Bold-5984-Identity-H"/>
          <w:b/>
          <w:bCs/>
          <w:color w:val="1D1C21"/>
          <w:sz w:val="21"/>
          <w:szCs w:val="21"/>
          <w:lang w:val="es-MX" w:eastAsia="en-US"/>
        </w:rPr>
      </w:pPr>
    </w:p>
    <w:p w14:paraId="13EEF0E0" w14:textId="77777777" w:rsidR="006A441E" w:rsidRPr="006A441E" w:rsidRDefault="006A441E" w:rsidP="00BF2771">
      <w:pPr>
        <w:numPr>
          <w:ilvl w:val="0"/>
          <w:numId w:val="75"/>
        </w:numPr>
        <w:autoSpaceDE w:val="0"/>
        <w:autoSpaceDN w:val="0"/>
        <w:adjustRightInd w:val="0"/>
        <w:contextualSpacing/>
        <w:jc w:val="both"/>
        <w:rPr>
          <w:rFonts w:ascii="Abadi" w:eastAsia="Calibri" w:hAnsi="Abadi" w:cs="*Calibri-5982-Identity-H"/>
          <w:color w:val="1D1C21"/>
          <w:sz w:val="21"/>
          <w:szCs w:val="21"/>
          <w:lang w:val="es-MX" w:eastAsia="en-US"/>
        </w:rPr>
      </w:pPr>
      <w:r w:rsidRPr="006A441E">
        <w:rPr>
          <w:rFonts w:ascii="Abadi" w:eastAsia="Calibri" w:hAnsi="Abadi" w:cs="*Calibri-5982-Identity-H"/>
          <w:color w:val="1D1C21"/>
          <w:sz w:val="21"/>
          <w:szCs w:val="21"/>
          <w:lang w:val="es-MX" w:eastAsia="en-US"/>
        </w:rPr>
        <w:t>En general, aquellos datos que favorezcan el fortalecimiento de las labores de seguridad pública y de prevención y control del delito.</w:t>
      </w:r>
    </w:p>
    <w:p w14:paraId="509B7467" w14:textId="77777777" w:rsidR="006A441E" w:rsidRPr="006A441E" w:rsidRDefault="006A441E" w:rsidP="00BF2771">
      <w:pPr>
        <w:autoSpaceDE w:val="0"/>
        <w:autoSpaceDN w:val="0"/>
        <w:adjustRightInd w:val="0"/>
        <w:jc w:val="both"/>
        <w:rPr>
          <w:rFonts w:ascii="Abadi" w:eastAsia="Calibri" w:hAnsi="Abadi" w:cs="*Calibri-5982-Identity-H"/>
          <w:color w:val="1C1B22"/>
          <w:sz w:val="21"/>
          <w:szCs w:val="21"/>
          <w:lang w:val="es-MX" w:eastAsia="en-US"/>
        </w:rPr>
      </w:pPr>
    </w:p>
    <w:p w14:paraId="76CD61A4" w14:textId="77777777" w:rsidR="006A441E" w:rsidRPr="006A441E" w:rsidRDefault="006A441E" w:rsidP="00BF2771">
      <w:pPr>
        <w:autoSpaceDE w:val="0"/>
        <w:autoSpaceDN w:val="0"/>
        <w:adjustRightInd w:val="0"/>
        <w:jc w:val="both"/>
        <w:rPr>
          <w:rFonts w:ascii="Abadi" w:eastAsia="Calibri" w:hAnsi="Abadi" w:cs="*Calibri-5982-Identity-H"/>
          <w:color w:val="1C1B22"/>
          <w:sz w:val="21"/>
          <w:szCs w:val="21"/>
          <w:lang w:val="es-MX" w:eastAsia="en-US"/>
        </w:rPr>
      </w:pPr>
      <w:r w:rsidRPr="006A441E">
        <w:rPr>
          <w:rFonts w:ascii="Abadi" w:eastAsia="Calibri" w:hAnsi="Abadi" w:cs="*Calibri-5982-Identity-H"/>
          <w:color w:val="1C1B22"/>
          <w:sz w:val="21"/>
          <w:szCs w:val="21"/>
          <w:lang w:val="es-MX" w:eastAsia="en-US"/>
        </w:rPr>
        <w:t xml:space="preserve">La información señalada en los incisos d y </w:t>
      </w:r>
      <w:proofErr w:type="spellStart"/>
      <w:r w:rsidRPr="006A441E">
        <w:rPr>
          <w:rFonts w:ascii="Abadi" w:eastAsia="Calibri" w:hAnsi="Abadi" w:cs="*Calibri-5982-Identity-H"/>
          <w:color w:val="1C1B22"/>
          <w:sz w:val="21"/>
          <w:szCs w:val="21"/>
          <w:lang w:val="es-MX" w:eastAsia="en-US"/>
        </w:rPr>
        <w:t>e</w:t>
      </w:r>
      <w:proofErr w:type="spellEnd"/>
      <w:r w:rsidRPr="006A441E">
        <w:rPr>
          <w:rFonts w:ascii="Abadi" w:eastAsia="Calibri" w:hAnsi="Abadi" w:cs="*Calibri-5982-Identity-H"/>
          <w:color w:val="1C1B22"/>
          <w:sz w:val="21"/>
          <w:szCs w:val="21"/>
          <w:lang w:val="es-MX" w:eastAsia="en-US"/>
        </w:rPr>
        <w:t xml:space="preserve"> de la fracción VII será de carácter reservada y deberá entregarse directa y únicamente a los integrantes del ayuntamiento.</w:t>
      </w:r>
    </w:p>
    <w:p w14:paraId="4027C2B2" w14:textId="77777777" w:rsidR="006A441E" w:rsidRPr="006A441E" w:rsidRDefault="006A441E" w:rsidP="00BF2771">
      <w:pPr>
        <w:autoSpaceDE w:val="0"/>
        <w:autoSpaceDN w:val="0"/>
        <w:adjustRightInd w:val="0"/>
        <w:jc w:val="both"/>
        <w:rPr>
          <w:rFonts w:ascii="Abadi" w:eastAsia="Calibri" w:hAnsi="Abadi" w:cs="*Calibri-5982-Identity-H"/>
          <w:color w:val="1C1B22"/>
          <w:sz w:val="21"/>
          <w:szCs w:val="21"/>
          <w:lang w:val="es-MX" w:eastAsia="en-US"/>
        </w:rPr>
      </w:pPr>
    </w:p>
    <w:p w14:paraId="5064F2B7" w14:textId="77777777" w:rsidR="006A441E" w:rsidRPr="006A441E" w:rsidRDefault="006A441E" w:rsidP="00BF2771">
      <w:pPr>
        <w:autoSpaceDE w:val="0"/>
        <w:autoSpaceDN w:val="0"/>
        <w:adjustRightInd w:val="0"/>
        <w:jc w:val="both"/>
        <w:rPr>
          <w:rFonts w:ascii="Abadi" w:eastAsia="Calibri" w:hAnsi="Abadi" w:cs="*Calibri-5982-Identity-H"/>
          <w:color w:val="1C1B22"/>
          <w:sz w:val="21"/>
          <w:szCs w:val="21"/>
          <w:lang w:val="es-MX" w:eastAsia="en-US"/>
        </w:rPr>
      </w:pPr>
      <w:r w:rsidRPr="006A441E">
        <w:rPr>
          <w:rFonts w:ascii="Abadi" w:eastAsia="Calibri" w:hAnsi="Abadi" w:cs="*Calibri-5982-Identity-H"/>
          <w:color w:val="1C1B22"/>
          <w:sz w:val="21"/>
          <w:szCs w:val="21"/>
          <w:lang w:val="es-MX" w:eastAsia="en-US"/>
        </w:rPr>
        <w:t>El incumplimiento de guardar la reserva o el proporcionar información sobre la que se ha tenido acceso se sancionará conforme al procedimiento de responsabilidad administrativa o penal, según corresponda.))</w:t>
      </w:r>
    </w:p>
    <w:p w14:paraId="4BC03E55" w14:textId="77777777" w:rsidR="006A441E" w:rsidRPr="006A441E" w:rsidRDefault="006A441E" w:rsidP="00BF2771">
      <w:pPr>
        <w:autoSpaceDE w:val="0"/>
        <w:autoSpaceDN w:val="0"/>
        <w:adjustRightInd w:val="0"/>
        <w:jc w:val="both"/>
        <w:rPr>
          <w:rFonts w:ascii="Abadi" w:eastAsia="Calibri" w:hAnsi="Abadi" w:cs="*Arial-Bold-5984-Identity-H"/>
          <w:b/>
          <w:bCs/>
          <w:color w:val="161321"/>
          <w:sz w:val="21"/>
          <w:szCs w:val="21"/>
          <w:lang w:val="es-MX" w:eastAsia="en-US"/>
        </w:rPr>
      </w:pPr>
    </w:p>
    <w:p w14:paraId="29241347" w14:textId="77777777" w:rsidR="006A441E" w:rsidRPr="006A441E" w:rsidRDefault="006A441E" w:rsidP="002E6197">
      <w:pPr>
        <w:autoSpaceDE w:val="0"/>
        <w:autoSpaceDN w:val="0"/>
        <w:adjustRightInd w:val="0"/>
        <w:jc w:val="center"/>
        <w:rPr>
          <w:rFonts w:ascii="Abadi" w:eastAsia="Calibri" w:hAnsi="Abadi" w:cs="*Arial-Bold-5984-Identity-H"/>
          <w:b/>
          <w:bCs/>
          <w:color w:val="161321"/>
          <w:sz w:val="21"/>
          <w:szCs w:val="21"/>
          <w:lang w:val="es-MX" w:eastAsia="en-US"/>
        </w:rPr>
      </w:pPr>
      <w:r w:rsidRPr="006A441E">
        <w:rPr>
          <w:rFonts w:ascii="Abadi" w:eastAsia="Calibri" w:hAnsi="Abadi" w:cs="*Arial-Bold-5984-Identity-H"/>
          <w:b/>
          <w:bCs/>
          <w:color w:val="161321"/>
          <w:sz w:val="21"/>
          <w:szCs w:val="21"/>
          <w:lang w:val="es-MX" w:eastAsia="en-US"/>
        </w:rPr>
        <w:t>TRANSITORIOS</w:t>
      </w:r>
    </w:p>
    <w:p w14:paraId="680460CF" w14:textId="77777777" w:rsidR="006A441E" w:rsidRPr="006A441E" w:rsidRDefault="006A441E" w:rsidP="002E6197">
      <w:pPr>
        <w:autoSpaceDE w:val="0"/>
        <w:autoSpaceDN w:val="0"/>
        <w:adjustRightInd w:val="0"/>
        <w:jc w:val="right"/>
        <w:rPr>
          <w:rFonts w:ascii="Abadi" w:eastAsia="Calibri" w:hAnsi="Abadi" w:cs="*Arial-Bold-5983-Identity-H"/>
          <w:b/>
          <w:bCs/>
          <w:color w:val="181721"/>
          <w:sz w:val="21"/>
          <w:szCs w:val="21"/>
          <w:lang w:val="es-MX" w:eastAsia="en-US"/>
        </w:rPr>
      </w:pPr>
    </w:p>
    <w:p w14:paraId="0B02D31F" w14:textId="77777777" w:rsidR="006A441E" w:rsidRPr="006A441E" w:rsidRDefault="006A441E" w:rsidP="002E6197">
      <w:pPr>
        <w:autoSpaceDE w:val="0"/>
        <w:autoSpaceDN w:val="0"/>
        <w:adjustRightInd w:val="0"/>
        <w:jc w:val="right"/>
        <w:rPr>
          <w:rFonts w:ascii="Abadi" w:eastAsia="Calibri" w:hAnsi="Abadi" w:cs="*Arial-Bold-5983-Identity-H"/>
          <w:b/>
          <w:bCs/>
          <w:color w:val="181721"/>
          <w:sz w:val="21"/>
          <w:szCs w:val="21"/>
          <w:lang w:val="es-MX" w:eastAsia="en-US"/>
        </w:rPr>
      </w:pPr>
      <w:r w:rsidRPr="006A441E">
        <w:rPr>
          <w:rFonts w:ascii="Abadi" w:eastAsia="Calibri" w:hAnsi="Abadi" w:cs="*Arial-Bold-5983-Identity-H"/>
          <w:b/>
          <w:bCs/>
          <w:color w:val="181721"/>
          <w:sz w:val="21"/>
          <w:szCs w:val="21"/>
          <w:lang w:val="es-MX" w:eastAsia="en-US"/>
        </w:rPr>
        <w:t>Inicio de vigencia</w:t>
      </w:r>
    </w:p>
    <w:p w14:paraId="066A11A6" w14:textId="77777777" w:rsidR="006A441E" w:rsidRPr="006A441E" w:rsidRDefault="006A441E" w:rsidP="002E6197">
      <w:pPr>
        <w:autoSpaceDE w:val="0"/>
        <w:autoSpaceDN w:val="0"/>
        <w:adjustRightInd w:val="0"/>
        <w:jc w:val="both"/>
        <w:rPr>
          <w:rFonts w:ascii="Abadi" w:eastAsia="Calibri" w:hAnsi="Abadi" w:cs="*Calibri-5982-Identity-H"/>
          <w:color w:val="181721"/>
          <w:sz w:val="21"/>
          <w:szCs w:val="21"/>
          <w:lang w:val="es-MX" w:eastAsia="en-US"/>
        </w:rPr>
      </w:pPr>
      <w:r w:rsidRPr="006A441E">
        <w:rPr>
          <w:rFonts w:ascii="Abadi" w:eastAsia="Calibri" w:hAnsi="Abadi" w:cs="*Arial-Bold-5983-Identity-H"/>
          <w:b/>
          <w:bCs/>
          <w:color w:val="181721"/>
          <w:sz w:val="21"/>
          <w:szCs w:val="21"/>
          <w:lang w:val="es-MX" w:eastAsia="en-US"/>
        </w:rPr>
        <w:t xml:space="preserve">Artículo Único. </w:t>
      </w:r>
      <w:r w:rsidRPr="006A441E">
        <w:rPr>
          <w:rFonts w:ascii="Abadi" w:eastAsia="Calibri" w:hAnsi="Abadi" w:cs="*Calibri-5982-Identity-H"/>
          <w:color w:val="181721"/>
          <w:sz w:val="21"/>
          <w:szCs w:val="21"/>
          <w:lang w:val="es-MX" w:eastAsia="en-US"/>
        </w:rPr>
        <w:t>El presente Decreto entrará en vigor al día siguiente de su publicación en el Periódico Oficial del Gobierno del Estado.</w:t>
      </w:r>
    </w:p>
    <w:p w14:paraId="2E33C86D" w14:textId="77777777" w:rsidR="006A441E" w:rsidRPr="006A441E" w:rsidRDefault="006A441E" w:rsidP="006A441E">
      <w:pPr>
        <w:spacing w:after="160" w:line="259" w:lineRule="auto"/>
        <w:jc w:val="both"/>
        <w:rPr>
          <w:rFonts w:ascii="Abadi" w:eastAsia="Calibri" w:hAnsi="Abadi" w:cs="*Calibri-5982-Identity-H"/>
          <w:color w:val="181721"/>
          <w:sz w:val="21"/>
          <w:szCs w:val="21"/>
          <w:lang w:val="es-MX" w:eastAsia="en-US"/>
        </w:rPr>
      </w:pPr>
    </w:p>
    <w:p w14:paraId="139CBD24" w14:textId="77777777" w:rsidR="006A441E" w:rsidRPr="006A441E" w:rsidRDefault="006A441E" w:rsidP="006A441E">
      <w:pPr>
        <w:autoSpaceDE w:val="0"/>
        <w:autoSpaceDN w:val="0"/>
        <w:adjustRightInd w:val="0"/>
        <w:jc w:val="center"/>
        <w:rPr>
          <w:rFonts w:ascii="Abadi" w:eastAsia="Calibri" w:hAnsi="Abadi" w:cs="*Calibri-Bold-2866-Identity-H"/>
          <w:b/>
          <w:bCs/>
          <w:color w:val="15131F"/>
          <w:sz w:val="21"/>
          <w:szCs w:val="21"/>
          <w:lang w:val="es-MX" w:eastAsia="en-US"/>
        </w:rPr>
      </w:pPr>
      <w:r w:rsidRPr="006A441E">
        <w:rPr>
          <w:rFonts w:ascii="Abadi" w:eastAsia="Calibri" w:hAnsi="Abadi" w:cs="*Calibri-Bold-2866-Identity-H"/>
          <w:b/>
          <w:bCs/>
          <w:color w:val="15131F"/>
          <w:sz w:val="21"/>
          <w:szCs w:val="21"/>
          <w:lang w:val="es-MX" w:eastAsia="en-US"/>
        </w:rPr>
        <w:t xml:space="preserve">Guanajuato, </w:t>
      </w:r>
      <w:proofErr w:type="spellStart"/>
      <w:proofErr w:type="gramStart"/>
      <w:r w:rsidRPr="006A441E">
        <w:rPr>
          <w:rFonts w:ascii="Abadi" w:eastAsia="Calibri" w:hAnsi="Abadi" w:cs="*Calibri-Bold-2866-Identity-H"/>
          <w:b/>
          <w:bCs/>
          <w:color w:val="15131F"/>
          <w:sz w:val="21"/>
          <w:szCs w:val="21"/>
          <w:lang w:val="es-MX" w:eastAsia="en-US"/>
        </w:rPr>
        <w:t>Gto</w:t>
      </w:r>
      <w:proofErr w:type="spellEnd"/>
      <w:r w:rsidRPr="006A441E">
        <w:rPr>
          <w:rFonts w:ascii="Abadi" w:eastAsia="Calibri" w:hAnsi="Abadi" w:cs="*Calibri-Bold-2866-Identity-H"/>
          <w:b/>
          <w:bCs/>
          <w:color w:val="15131F"/>
          <w:sz w:val="21"/>
          <w:szCs w:val="21"/>
          <w:lang w:val="es-MX" w:eastAsia="en-US"/>
        </w:rPr>
        <w:t xml:space="preserve"> .</w:t>
      </w:r>
      <w:proofErr w:type="gramEnd"/>
      <w:r w:rsidRPr="006A441E">
        <w:rPr>
          <w:rFonts w:ascii="Abadi" w:eastAsia="Calibri" w:hAnsi="Abadi" w:cs="*Calibri-Bold-2866-Identity-H"/>
          <w:b/>
          <w:bCs/>
          <w:color w:val="15131F"/>
          <w:sz w:val="21"/>
          <w:szCs w:val="21"/>
          <w:lang w:val="es-MX" w:eastAsia="en-US"/>
        </w:rPr>
        <w:t>, a 18 de mayo de 2022</w:t>
      </w:r>
    </w:p>
    <w:p w14:paraId="7F10C2C0" w14:textId="77777777" w:rsidR="006A441E" w:rsidRPr="006A441E" w:rsidRDefault="006A441E" w:rsidP="006A441E">
      <w:pPr>
        <w:autoSpaceDE w:val="0"/>
        <w:autoSpaceDN w:val="0"/>
        <w:adjustRightInd w:val="0"/>
        <w:jc w:val="center"/>
        <w:rPr>
          <w:rFonts w:ascii="Abadi" w:eastAsia="Calibri" w:hAnsi="Abadi" w:cs="*Calibri-Bold-2866-Identity-H"/>
          <w:b/>
          <w:bCs/>
          <w:color w:val="1A182A"/>
          <w:sz w:val="21"/>
          <w:szCs w:val="21"/>
          <w:lang w:val="es-MX" w:eastAsia="en-US"/>
        </w:rPr>
      </w:pPr>
      <w:r w:rsidRPr="006A441E">
        <w:rPr>
          <w:rFonts w:ascii="Abadi" w:eastAsia="Calibri" w:hAnsi="Abadi" w:cs="*Calibri-Bold-2866-Identity-H"/>
          <w:b/>
          <w:bCs/>
          <w:color w:val="1A182A"/>
          <w:sz w:val="21"/>
          <w:szCs w:val="21"/>
          <w:lang w:val="es-MX" w:eastAsia="en-US"/>
        </w:rPr>
        <w:t>La Comisión de Seguridad Pública y Comunicaciones</w:t>
      </w:r>
    </w:p>
    <w:p w14:paraId="410C3430" w14:textId="77777777" w:rsidR="006A441E" w:rsidRPr="006A441E" w:rsidRDefault="006A441E" w:rsidP="006A441E">
      <w:pPr>
        <w:spacing w:after="160" w:line="259" w:lineRule="auto"/>
        <w:jc w:val="center"/>
        <w:rPr>
          <w:rFonts w:ascii="Abadi" w:eastAsia="Calibri" w:hAnsi="Abadi" w:cs="*Calibri-Bold-2865-Identity-H"/>
          <w:b/>
          <w:bCs/>
          <w:color w:val="14141E"/>
          <w:sz w:val="21"/>
          <w:szCs w:val="21"/>
          <w:lang w:val="es-MX" w:eastAsia="en-US"/>
        </w:rPr>
      </w:pPr>
    </w:p>
    <w:p w14:paraId="0C3AF9C5" w14:textId="77777777" w:rsidR="006A441E" w:rsidRPr="006A441E" w:rsidRDefault="006A441E" w:rsidP="006A441E">
      <w:pPr>
        <w:spacing w:after="160" w:line="259" w:lineRule="auto"/>
        <w:jc w:val="center"/>
        <w:rPr>
          <w:rFonts w:ascii="Abadi" w:eastAsia="Calibri" w:hAnsi="Abadi" w:cs="*Calibri-Bold-2865-Identity-H"/>
          <w:b/>
          <w:bCs/>
          <w:color w:val="14141E"/>
          <w:sz w:val="21"/>
          <w:szCs w:val="21"/>
          <w:lang w:val="es-MX" w:eastAsia="en-US"/>
        </w:rPr>
      </w:pPr>
      <w:proofErr w:type="spellStart"/>
      <w:r w:rsidRPr="006A441E">
        <w:rPr>
          <w:rFonts w:ascii="Abadi" w:eastAsia="Calibri" w:hAnsi="Abadi" w:cs="*Calibri-Bold-2865-Identity-H"/>
          <w:b/>
          <w:bCs/>
          <w:color w:val="14141E"/>
          <w:sz w:val="21"/>
          <w:szCs w:val="21"/>
          <w:lang w:val="es-MX" w:eastAsia="en-US"/>
        </w:rPr>
        <w:t>Dip</w:t>
      </w:r>
      <w:proofErr w:type="spellEnd"/>
      <w:r w:rsidRPr="006A441E">
        <w:rPr>
          <w:rFonts w:ascii="Abadi" w:eastAsia="Calibri" w:hAnsi="Abadi" w:cs="*Calibri-Bold-2865-Identity-H"/>
          <w:b/>
          <w:bCs/>
          <w:color w:val="14141E"/>
          <w:sz w:val="21"/>
          <w:szCs w:val="21"/>
          <w:lang w:val="es-MX" w:eastAsia="en-US"/>
        </w:rPr>
        <w:t xml:space="preserve">. Martín López Camacho </w:t>
      </w:r>
    </w:p>
    <w:p w14:paraId="4D8CB65C" w14:textId="77777777" w:rsidR="006A441E" w:rsidRPr="006A441E" w:rsidRDefault="006A441E" w:rsidP="00E6311A">
      <w:pPr>
        <w:spacing w:line="259" w:lineRule="auto"/>
        <w:rPr>
          <w:rFonts w:ascii="Abadi" w:eastAsia="Calibri" w:hAnsi="Abadi" w:cs="*Calibri-Bold-2865-Identity-H"/>
          <w:b/>
          <w:bCs/>
          <w:color w:val="14141E"/>
          <w:sz w:val="21"/>
          <w:szCs w:val="21"/>
          <w:lang w:val="es-MX" w:eastAsia="en-US"/>
        </w:rPr>
      </w:pPr>
      <w:proofErr w:type="spellStart"/>
      <w:r w:rsidRPr="006A441E">
        <w:rPr>
          <w:rFonts w:ascii="Abadi" w:eastAsia="Calibri" w:hAnsi="Abadi" w:cs="*Calibri-Bold-2865-Identity-H"/>
          <w:b/>
          <w:bCs/>
          <w:color w:val="14141E"/>
          <w:sz w:val="21"/>
          <w:szCs w:val="21"/>
          <w:lang w:val="es-MX" w:eastAsia="en-US"/>
        </w:rPr>
        <w:t>Dip</w:t>
      </w:r>
      <w:proofErr w:type="spellEnd"/>
      <w:r w:rsidRPr="006A441E">
        <w:rPr>
          <w:rFonts w:ascii="Abadi" w:eastAsia="Calibri" w:hAnsi="Abadi" w:cs="*Calibri-Bold-2865-Identity-H"/>
          <w:b/>
          <w:bCs/>
          <w:color w:val="14141E"/>
          <w:sz w:val="21"/>
          <w:szCs w:val="21"/>
          <w:lang w:val="es-MX" w:eastAsia="en-US"/>
        </w:rPr>
        <w:t xml:space="preserve">. Alma Edwviges Alcaraz Hernández </w:t>
      </w:r>
    </w:p>
    <w:p w14:paraId="2A3CBF50" w14:textId="77777777" w:rsidR="006A441E" w:rsidRPr="006A441E" w:rsidRDefault="006A441E" w:rsidP="00E6311A">
      <w:pPr>
        <w:spacing w:line="259" w:lineRule="auto"/>
        <w:rPr>
          <w:rFonts w:ascii="Abadi" w:eastAsia="Calibri" w:hAnsi="Abadi" w:cs="*Calibri-Bold-2865-Identity-H"/>
          <w:b/>
          <w:bCs/>
          <w:color w:val="14141E"/>
          <w:sz w:val="21"/>
          <w:szCs w:val="21"/>
          <w:lang w:val="es-MX" w:eastAsia="en-US"/>
        </w:rPr>
      </w:pPr>
      <w:proofErr w:type="spellStart"/>
      <w:r w:rsidRPr="006A441E">
        <w:rPr>
          <w:rFonts w:ascii="Abadi" w:eastAsia="Calibri" w:hAnsi="Abadi" w:cs="*Calibri-Bold-2865-Identity-H"/>
          <w:b/>
          <w:bCs/>
          <w:color w:val="14141E"/>
          <w:sz w:val="21"/>
          <w:szCs w:val="21"/>
          <w:lang w:val="es-MX" w:eastAsia="en-US"/>
        </w:rPr>
        <w:t>Dip</w:t>
      </w:r>
      <w:proofErr w:type="spellEnd"/>
      <w:r w:rsidRPr="006A441E">
        <w:rPr>
          <w:rFonts w:ascii="Abadi" w:eastAsia="Calibri" w:hAnsi="Abadi" w:cs="*Calibri-Bold-2865-Identity-H"/>
          <w:b/>
          <w:bCs/>
          <w:color w:val="14141E"/>
          <w:sz w:val="21"/>
          <w:szCs w:val="21"/>
          <w:lang w:val="es-MX" w:eastAsia="en-US"/>
        </w:rPr>
        <w:t xml:space="preserve">. Rolando Fortino Alcántar Rojas </w:t>
      </w:r>
    </w:p>
    <w:p w14:paraId="77843C5F" w14:textId="77777777" w:rsidR="006A441E" w:rsidRPr="006A441E" w:rsidRDefault="006A441E" w:rsidP="00E6311A">
      <w:pPr>
        <w:spacing w:line="259" w:lineRule="auto"/>
        <w:rPr>
          <w:rFonts w:ascii="Abadi" w:eastAsia="Calibri" w:hAnsi="Abadi" w:cs="*Calibri-Bold-2865-Identity-H"/>
          <w:b/>
          <w:bCs/>
          <w:color w:val="14141E"/>
          <w:sz w:val="21"/>
          <w:szCs w:val="21"/>
          <w:lang w:val="es-MX" w:eastAsia="en-US"/>
        </w:rPr>
      </w:pPr>
      <w:proofErr w:type="spellStart"/>
      <w:r w:rsidRPr="006A441E">
        <w:rPr>
          <w:rFonts w:ascii="Abadi" w:eastAsia="Calibri" w:hAnsi="Abadi" w:cs="*Calibri-Bold-2865-Identity-H"/>
          <w:b/>
          <w:bCs/>
          <w:color w:val="14141E"/>
          <w:sz w:val="21"/>
          <w:szCs w:val="21"/>
          <w:lang w:val="es-MX" w:eastAsia="en-US"/>
        </w:rPr>
        <w:t>Dip</w:t>
      </w:r>
      <w:proofErr w:type="spellEnd"/>
      <w:r w:rsidRPr="006A441E">
        <w:rPr>
          <w:rFonts w:ascii="Abadi" w:eastAsia="Calibri" w:hAnsi="Abadi" w:cs="*Calibri-Bold-2865-Identity-H"/>
          <w:b/>
          <w:bCs/>
          <w:color w:val="14141E"/>
          <w:sz w:val="21"/>
          <w:szCs w:val="21"/>
          <w:lang w:val="es-MX" w:eastAsia="en-US"/>
        </w:rPr>
        <w:t xml:space="preserve">. Bricio Balderas Álvarez </w:t>
      </w:r>
    </w:p>
    <w:p w14:paraId="2F32653B" w14:textId="44A6A167" w:rsidR="001632D9" w:rsidRDefault="006A441E" w:rsidP="00E6311A">
      <w:pPr>
        <w:spacing w:line="259" w:lineRule="auto"/>
        <w:rPr>
          <w:rFonts w:ascii="Abadi" w:eastAsia="Calibri" w:hAnsi="Abadi" w:cs="*Calibri-Bold-2865-Identity-H"/>
          <w:b/>
          <w:bCs/>
          <w:color w:val="14141E"/>
          <w:sz w:val="21"/>
          <w:szCs w:val="21"/>
          <w:lang w:val="es-MX" w:eastAsia="en-US"/>
        </w:rPr>
      </w:pPr>
      <w:proofErr w:type="spellStart"/>
      <w:r w:rsidRPr="006A441E">
        <w:rPr>
          <w:rFonts w:ascii="Abadi" w:eastAsia="Calibri" w:hAnsi="Abadi" w:cs="*Calibri-Bold-2865-Identity-H"/>
          <w:b/>
          <w:bCs/>
          <w:color w:val="14141E"/>
          <w:sz w:val="21"/>
          <w:szCs w:val="21"/>
          <w:lang w:val="es-MX" w:eastAsia="en-US"/>
        </w:rPr>
        <w:t>Dip</w:t>
      </w:r>
      <w:proofErr w:type="spellEnd"/>
      <w:r w:rsidRPr="006A441E">
        <w:rPr>
          <w:rFonts w:ascii="Abadi" w:eastAsia="Calibri" w:hAnsi="Abadi" w:cs="*Calibri-Bold-2865-Identity-H"/>
          <w:b/>
          <w:bCs/>
          <w:color w:val="14141E"/>
          <w:sz w:val="21"/>
          <w:szCs w:val="21"/>
          <w:lang w:val="es-MX" w:eastAsia="en-US"/>
        </w:rPr>
        <w:t xml:space="preserve">. Gerardo Fernández González </w:t>
      </w:r>
    </w:p>
    <w:p w14:paraId="70D706D2" w14:textId="064A5BCE" w:rsidR="001632D9" w:rsidRDefault="001632D9" w:rsidP="00BF2771">
      <w:pPr>
        <w:pStyle w:val="NormalWeb"/>
        <w:spacing w:after="0" w:afterAutospacing="0"/>
        <w:ind w:firstLine="708"/>
        <w:jc w:val="both"/>
        <w:rPr>
          <w:rFonts w:ascii="Abadi" w:hAnsi="Abadi"/>
          <w:sz w:val="21"/>
          <w:szCs w:val="21"/>
        </w:rPr>
      </w:pPr>
      <w:r>
        <w:rPr>
          <w:rFonts w:ascii="Abadi" w:hAnsi="Abadi"/>
          <w:b/>
          <w:bCs/>
          <w:sz w:val="21"/>
          <w:szCs w:val="21"/>
        </w:rPr>
        <w:t xml:space="preserve">- </w:t>
      </w:r>
      <w:r w:rsidRPr="00111EBB">
        <w:rPr>
          <w:rFonts w:ascii="Abadi" w:hAnsi="Abadi"/>
          <w:b/>
          <w:bCs/>
          <w:sz w:val="21"/>
          <w:szCs w:val="21"/>
        </w:rPr>
        <w:t xml:space="preserve">La </w:t>
      </w:r>
      <w:proofErr w:type="gramStart"/>
      <w:r w:rsidRPr="00111EBB">
        <w:rPr>
          <w:rFonts w:ascii="Abadi" w:hAnsi="Abadi"/>
          <w:b/>
          <w:bCs/>
          <w:sz w:val="21"/>
          <w:szCs w:val="21"/>
        </w:rPr>
        <w:t>Presidencia.-</w:t>
      </w:r>
      <w:proofErr w:type="gramEnd"/>
      <w:r>
        <w:rPr>
          <w:rFonts w:ascii="Abadi" w:hAnsi="Abadi"/>
          <w:sz w:val="21"/>
          <w:szCs w:val="21"/>
        </w:rPr>
        <w:t xml:space="preserve"> S</w:t>
      </w:r>
      <w:r w:rsidRPr="0021199F">
        <w:rPr>
          <w:rFonts w:ascii="Abadi" w:hAnsi="Abadi"/>
          <w:sz w:val="21"/>
          <w:szCs w:val="21"/>
        </w:rPr>
        <w:t xml:space="preserve">e somete a discusión el dictamen emitido por la Comisión de Seguridad Pública, Comunicaciones, relativo </w:t>
      </w:r>
      <w:r>
        <w:rPr>
          <w:rFonts w:ascii="Abadi" w:hAnsi="Abadi"/>
          <w:sz w:val="21"/>
          <w:szCs w:val="21"/>
        </w:rPr>
        <w:t xml:space="preserve">a la iniciativa suscrita por diputadas </w:t>
      </w:r>
      <w:r w:rsidRPr="0021199F">
        <w:rPr>
          <w:rFonts w:ascii="Abadi" w:hAnsi="Abadi"/>
          <w:sz w:val="21"/>
          <w:szCs w:val="21"/>
        </w:rPr>
        <w:t xml:space="preserve">y diputados integrantes del </w:t>
      </w:r>
      <w:r>
        <w:rPr>
          <w:rFonts w:ascii="Abadi" w:hAnsi="Abadi"/>
          <w:sz w:val="21"/>
          <w:szCs w:val="21"/>
        </w:rPr>
        <w:t>G</w:t>
      </w:r>
      <w:r w:rsidRPr="0021199F">
        <w:rPr>
          <w:rFonts w:ascii="Abadi" w:hAnsi="Abadi"/>
          <w:sz w:val="21"/>
          <w:szCs w:val="21"/>
        </w:rPr>
        <w:t xml:space="preserve">rupo </w:t>
      </w:r>
      <w:r>
        <w:rPr>
          <w:rFonts w:ascii="Abadi" w:hAnsi="Abadi"/>
          <w:sz w:val="21"/>
          <w:szCs w:val="21"/>
        </w:rPr>
        <w:t>P</w:t>
      </w:r>
      <w:r w:rsidRPr="0021199F">
        <w:rPr>
          <w:rFonts w:ascii="Abadi" w:hAnsi="Abadi"/>
          <w:sz w:val="21"/>
          <w:szCs w:val="21"/>
        </w:rPr>
        <w:t xml:space="preserve">arlamentario del Partido Acción Nacional, por lo que se adiciona un segundo párrafo </w:t>
      </w:r>
      <w:r w:rsidRPr="0095680D">
        <w:rPr>
          <w:rFonts w:ascii="Abadi" w:hAnsi="Abadi"/>
          <w:sz w:val="21"/>
          <w:szCs w:val="21"/>
        </w:rPr>
        <w:t>que contiene las fracciones de la I a la VIII al artículo 18 de la Ley del Sistema de Seguridad Pública del Estado de Guanajuato.</w:t>
      </w:r>
      <w:r>
        <w:rPr>
          <w:rFonts w:ascii="Abadi" w:hAnsi="Abadi"/>
          <w:sz w:val="21"/>
          <w:szCs w:val="21"/>
        </w:rPr>
        <w:t xml:space="preserve"> </w:t>
      </w:r>
    </w:p>
    <w:p w14:paraId="6DB099E4" w14:textId="77777777" w:rsidR="00BF2771" w:rsidRDefault="00BF2771" w:rsidP="00BF2771">
      <w:pPr>
        <w:pStyle w:val="NormalWeb"/>
        <w:spacing w:after="0" w:afterAutospacing="0"/>
        <w:ind w:firstLine="708"/>
        <w:jc w:val="both"/>
        <w:rPr>
          <w:rFonts w:ascii="Abadi" w:hAnsi="Abadi"/>
          <w:sz w:val="21"/>
          <w:szCs w:val="21"/>
        </w:rPr>
      </w:pPr>
    </w:p>
    <w:p w14:paraId="042D9616" w14:textId="77777777" w:rsidR="001632D9" w:rsidRDefault="001632D9" w:rsidP="00037026">
      <w:pPr>
        <w:pStyle w:val="NormalWeb"/>
        <w:ind w:firstLine="708"/>
        <w:jc w:val="both"/>
        <w:rPr>
          <w:rFonts w:ascii="Abadi" w:hAnsi="Abadi"/>
          <w:sz w:val="21"/>
          <w:szCs w:val="21"/>
        </w:rPr>
      </w:pPr>
      <w:r>
        <w:rPr>
          <w:rFonts w:ascii="Abadi" w:hAnsi="Abadi"/>
          <w:sz w:val="21"/>
          <w:szCs w:val="21"/>
        </w:rPr>
        <w:t xml:space="preserve">- Me permito informar que previamente se han inscrito el diputado Martín López Camacho para hablar a favor del dictamen y si alguna diputada o algún diputado desea hacer uso de la palabra en pro o en contra manifiéstelo indicando el sentido de su participación. </w:t>
      </w:r>
    </w:p>
    <w:p w14:paraId="63E37DC4" w14:textId="77777777" w:rsidR="001632D9" w:rsidRDefault="001632D9" w:rsidP="001632D9">
      <w:pPr>
        <w:pStyle w:val="NormalWeb"/>
        <w:ind w:firstLine="708"/>
        <w:jc w:val="both"/>
        <w:rPr>
          <w:rFonts w:ascii="Abadi" w:hAnsi="Abadi"/>
          <w:sz w:val="21"/>
          <w:szCs w:val="21"/>
        </w:rPr>
      </w:pPr>
      <w:r>
        <w:rPr>
          <w:rFonts w:ascii="Abadi" w:hAnsi="Abadi"/>
          <w:b/>
          <w:bCs/>
          <w:sz w:val="21"/>
          <w:szCs w:val="21"/>
        </w:rPr>
        <w:t xml:space="preserve">- </w:t>
      </w:r>
      <w:r w:rsidRPr="00111EBB">
        <w:rPr>
          <w:rFonts w:ascii="Abadi" w:hAnsi="Abadi"/>
          <w:b/>
          <w:bCs/>
          <w:sz w:val="21"/>
          <w:szCs w:val="21"/>
        </w:rPr>
        <w:t xml:space="preserve">La </w:t>
      </w:r>
      <w:proofErr w:type="gramStart"/>
      <w:r w:rsidRPr="00111EBB">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Se concede el uso de la palabra al diputado Martín López Camacho hasta por 10 minutos.</w:t>
      </w:r>
    </w:p>
    <w:p w14:paraId="295CB5C0" w14:textId="1E24C95A" w:rsidR="001632D9" w:rsidRDefault="00CA021C" w:rsidP="001632D9">
      <w:pPr>
        <w:pStyle w:val="NormalWeb"/>
        <w:jc w:val="both"/>
        <w:rPr>
          <w:rFonts w:ascii="Abadi" w:hAnsi="Abadi"/>
          <w:b/>
          <w:bCs/>
          <w:sz w:val="21"/>
          <w:szCs w:val="21"/>
        </w:rPr>
      </w:pPr>
      <w:r>
        <w:rPr>
          <w:noProof/>
        </w:rPr>
        <w:drawing>
          <wp:anchor distT="0" distB="0" distL="114300" distR="114300" simplePos="0" relativeHeight="251658257" behindDoc="1" locked="0" layoutInCell="1" allowOverlap="1" wp14:anchorId="31BF4555" wp14:editId="7D0EAE30">
            <wp:simplePos x="0" y="0"/>
            <wp:positionH relativeFrom="column">
              <wp:posOffset>217170</wp:posOffset>
            </wp:positionH>
            <wp:positionV relativeFrom="paragraph">
              <wp:posOffset>781050</wp:posOffset>
            </wp:positionV>
            <wp:extent cx="2065703" cy="1076325"/>
            <wp:effectExtent l="19050" t="114300" r="0" b="828675"/>
            <wp:wrapTight wrapText="bothSides">
              <wp:wrapPolygon edited="0">
                <wp:start x="199" y="-2294"/>
                <wp:lineTo x="-199" y="-382"/>
                <wp:lineTo x="199" y="35172"/>
                <wp:lineTo x="598" y="37848"/>
                <wp:lineTo x="1394" y="37848"/>
                <wp:lineTo x="1594" y="37083"/>
                <wp:lineTo x="14342" y="35172"/>
                <wp:lineTo x="16135" y="35172"/>
                <wp:lineTo x="20119" y="30966"/>
                <wp:lineTo x="20119" y="-2294"/>
                <wp:lineTo x="199" y="-2294"/>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b="7363"/>
                    <a:stretch/>
                  </pic:blipFill>
                  <pic:spPr bwMode="auto">
                    <a:xfrm>
                      <a:off x="0" y="0"/>
                      <a:ext cx="2065703" cy="107632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r w:rsidR="001632D9" w:rsidRPr="00932105">
        <w:rPr>
          <w:rFonts w:ascii="Abadi" w:hAnsi="Abadi"/>
          <w:b/>
          <w:bCs/>
          <w:sz w:val="21"/>
          <w:szCs w:val="21"/>
        </w:rPr>
        <w:t xml:space="preserve">(Sube a tribuna </w:t>
      </w:r>
      <w:r w:rsidR="001632D9">
        <w:rPr>
          <w:rFonts w:ascii="Abadi" w:hAnsi="Abadi"/>
          <w:b/>
          <w:bCs/>
          <w:sz w:val="21"/>
          <w:szCs w:val="21"/>
        </w:rPr>
        <w:t xml:space="preserve">el </w:t>
      </w:r>
      <w:r w:rsidR="001632D9" w:rsidRPr="00932105">
        <w:rPr>
          <w:rFonts w:ascii="Abadi" w:hAnsi="Abadi"/>
          <w:b/>
          <w:bCs/>
          <w:sz w:val="21"/>
          <w:szCs w:val="21"/>
        </w:rPr>
        <w:t>Diputado Martín López Camacho</w:t>
      </w:r>
      <w:r w:rsidR="001632D9">
        <w:rPr>
          <w:rFonts w:ascii="Abadi" w:hAnsi="Abadi"/>
          <w:b/>
          <w:bCs/>
          <w:sz w:val="21"/>
          <w:szCs w:val="21"/>
        </w:rPr>
        <w:t>,</w:t>
      </w:r>
      <w:r w:rsidR="001632D9" w:rsidRPr="00932105">
        <w:rPr>
          <w:rFonts w:ascii="Abadi" w:hAnsi="Abadi"/>
          <w:b/>
          <w:bCs/>
          <w:sz w:val="21"/>
          <w:szCs w:val="21"/>
        </w:rPr>
        <w:t xml:space="preserve"> para hablar a favor del dictamen) </w:t>
      </w:r>
    </w:p>
    <w:p w14:paraId="58ED8FEB" w14:textId="6DE25005" w:rsidR="00CA021C" w:rsidRDefault="00CA021C" w:rsidP="001632D9">
      <w:pPr>
        <w:pStyle w:val="NormalWeb"/>
        <w:jc w:val="both"/>
        <w:rPr>
          <w:rFonts w:ascii="Abadi" w:hAnsi="Abadi"/>
          <w:b/>
          <w:bCs/>
          <w:sz w:val="21"/>
          <w:szCs w:val="21"/>
        </w:rPr>
      </w:pPr>
    </w:p>
    <w:p w14:paraId="1ABDAFC2" w14:textId="01ACDAD8" w:rsidR="001632D9" w:rsidRDefault="00F91FAE" w:rsidP="001632D9">
      <w:pPr>
        <w:pStyle w:val="NormalWeb"/>
        <w:jc w:val="both"/>
        <w:rPr>
          <w:rFonts w:ascii="Abadi" w:hAnsi="Abadi"/>
          <w:sz w:val="21"/>
          <w:szCs w:val="21"/>
        </w:rPr>
      </w:pPr>
      <w:r>
        <w:rPr>
          <w:rFonts w:ascii="Abadi" w:hAnsi="Abadi"/>
          <w:sz w:val="21"/>
          <w:szCs w:val="21"/>
        </w:rPr>
        <w:t xml:space="preserve"> </w:t>
      </w:r>
      <w:r w:rsidR="001632D9">
        <w:rPr>
          <w:rFonts w:ascii="Abadi" w:hAnsi="Abadi"/>
          <w:sz w:val="21"/>
          <w:szCs w:val="21"/>
        </w:rPr>
        <w:t xml:space="preserve">- Prometo la tercera y última en este día la participación, muchas gracias, seré muy breve gracias a la Presidenta, a la Mesa de diputadas y diputados. </w:t>
      </w:r>
    </w:p>
    <w:p w14:paraId="7A0C6324" w14:textId="77777777" w:rsidR="001632D9" w:rsidRDefault="001632D9" w:rsidP="001632D9">
      <w:pPr>
        <w:pStyle w:val="NormalWeb"/>
        <w:jc w:val="both"/>
        <w:rPr>
          <w:rFonts w:ascii="Abadi" w:hAnsi="Abadi"/>
          <w:sz w:val="21"/>
          <w:szCs w:val="21"/>
        </w:rPr>
      </w:pPr>
      <w:r>
        <w:rPr>
          <w:rFonts w:ascii="Abadi" w:hAnsi="Abadi"/>
          <w:sz w:val="21"/>
          <w:szCs w:val="21"/>
        </w:rPr>
        <w:t xml:space="preserve">- El pasado 18 de </w:t>
      </w:r>
      <w:r w:rsidRPr="0021199F">
        <w:rPr>
          <w:rFonts w:ascii="Abadi" w:hAnsi="Abadi"/>
          <w:sz w:val="21"/>
          <w:szCs w:val="21"/>
        </w:rPr>
        <w:t xml:space="preserve">noviembre, el </w:t>
      </w:r>
      <w:r>
        <w:rPr>
          <w:rFonts w:ascii="Abadi" w:hAnsi="Abadi"/>
          <w:sz w:val="21"/>
          <w:szCs w:val="21"/>
        </w:rPr>
        <w:t>G</w:t>
      </w:r>
      <w:r w:rsidRPr="0021199F">
        <w:rPr>
          <w:rFonts w:ascii="Abadi" w:hAnsi="Abadi"/>
          <w:sz w:val="21"/>
          <w:szCs w:val="21"/>
        </w:rPr>
        <w:t xml:space="preserve">rupo </w:t>
      </w:r>
      <w:r>
        <w:rPr>
          <w:rFonts w:ascii="Abadi" w:hAnsi="Abadi"/>
          <w:sz w:val="21"/>
          <w:szCs w:val="21"/>
        </w:rPr>
        <w:t>P</w:t>
      </w:r>
      <w:r w:rsidRPr="0021199F">
        <w:rPr>
          <w:rFonts w:ascii="Abadi" w:hAnsi="Abadi"/>
          <w:sz w:val="21"/>
          <w:szCs w:val="21"/>
        </w:rPr>
        <w:t xml:space="preserve">arlamentario </w:t>
      </w:r>
      <w:r>
        <w:rPr>
          <w:rFonts w:ascii="Abadi" w:hAnsi="Abadi"/>
          <w:sz w:val="21"/>
          <w:szCs w:val="21"/>
        </w:rPr>
        <w:t>de A</w:t>
      </w:r>
      <w:r w:rsidRPr="0021199F">
        <w:rPr>
          <w:rFonts w:ascii="Abadi" w:hAnsi="Abadi"/>
          <w:sz w:val="21"/>
          <w:szCs w:val="21"/>
        </w:rPr>
        <w:t>cción Nacional, presentamos esta iniciativa por la que se adiciona un segundo párrafo que contiene de las fracciones</w:t>
      </w:r>
      <w:r>
        <w:rPr>
          <w:rFonts w:ascii="Abadi" w:hAnsi="Abadi"/>
          <w:sz w:val="21"/>
          <w:szCs w:val="21"/>
        </w:rPr>
        <w:t xml:space="preserve"> I a la VIII</w:t>
      </w:r>
      <w:r w:rsidRPr="0021199F">
        <w:rPr>
          <w:rFonts w:ascii="Abadi" w:hAnsi="Abadi"/>
          <w:sz w:val="21"/>
          <w:szCs w:val="21"/>
        </w:rPr>
        <w:t xml:space="preserve"> del artículo </w:t>
      </w:r>
      <w:r>
        <w:rPr>
          <w:rFonts w:ascii="Abadi" w:hAnsi="Abadi"/>
          <w:sz w:val="21"/>
          <w:szCs w:val="21"/>
        </w:rPr>
        <w:t>18</w:t>
      </w:r>
      <w:r w:rsidRPr="0021199F">
        <w:rPr>
          <w:rFonts w:ascii="Abadi" w:hAnsi="Abadi"/>
          <w:sz w:val="21"/>
          <w:szCs w:val="21"/>
        </w:rPr>
        <w:t xml:space="preserve"> de la Ley del Sistema de Seguridad Pública del Estado de Guanajuato, que tiene como propósito establecer figuras que coordinen la política transversal de prevención, así como dotar de elementos y datos que incidan en la toma de decisiones para orientar los procesos técnicos y políticos en la materia. </w:t>
      </w:r>
    </w:p>
    <w:p w14:paraId="484448B9" w14:textId="77777777" w:rsidR="001632D9" w:rsidRDefault="001632D9" w:rsidP="001632D9">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Es decir, esos informes trimestrales que tiene que rendir los titulares de Seguridad Pública municipal, tanto sus ayuntamientos como la Secretaría de Seguridad Pública del Estado con este dictamen que ponemos a su consideración y esperamos puedan dar el voto a favor. </w:t>
      </w:r>
    </w:p>
    <w:p w14:paraId="7EA6C9BA" w14:textId="77777777" w:rsidR="001632D9" w:rsidRDefault="001632D9" w:rsidP="001632D9">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Estos informes trimestrales tendrán elementos mínimos que se deben contener para qu</w:t>
      </w:r>
      <w:r>
        <w:rPr>
          <w:rFonts w:ascii="Abadi" w:hAnsi="Abadi"/>
          <w:sz w:val="21"/>
          <w:szCs w:val="21"/>
        </w:rPr>
        <w:t>e</w:t>
      </w:r>
      <w:r w:rsidRPr="0021199F">
        <w:rPr>
          <w:rFonts w:ascii="Abadi" w:hAnsi="Abadi"/>
          <w:sz w:val="21"/>
          <w:szCs w:val="21"/>
        </w:rPr>
        <w:t xml:space="preserve"> </w:t>
      </w:r>
      <w:r>
        <w:rPr>
          <w:rFonts w:ascii="Abadi" w:hAnsi="Abadi"/>
          <w:sz w:val="21"/>
          <w:szCs w:val="21"/>
        </w:rPr>
        <w:t>p</w:t>
      </w:r>
      <w:r w:rsidRPr="0021199F">
        <w:rPr>
          <w:rFonts w:ascii="Abadi" w:hAnsi="Abadi"/>
          <w:sz w:val="21"/>
          <w:szCs w:val="21"/>
        </w:rPr>
        <w:t xml:space="preserve">rincipalmente los integrantes de los ayuntamientos tengan la información suficiente para la toma de decisiones en la competencia municipal. </w:t>
      </w:r>
    </w:p>
    <w:p w14:paraId="5F95F3AF" w14:textId="77777777" w:rsidR="001632D9" w:rsidRDefault="001632D9" w:rsidP="001632D9">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Como cualquier iniciativa, se le dio el trámite, el turno y trámite legislativo a la Comisión de Seguridad Pública y Comunicaciones y también se le impuso una metodología. Quiero hacer utilizar este medio para agradecerle a los municipios de </w:t>
      </w:r>
      <w:r>
        <w:rPr>
          <w:rFonts w:ascii="Abadi" w:hAnsi="Abadi"/>
          <w:sz w:val="21"/>
          <w:szCs w:val="21"/>
        </w:rPr>
        <w:t>C</w:t>
      </w:r>
      <w:r w:rsidRPr="0021199F">
        <w:rPr>
          <w:rFonts w:ascii="Abadi" w:hAnsi="Abadi"/>
          <w:sz w:val="21"/>
          <w:szCs w:val="21"/>
        </w:rPr>
        <w:t>elaya, Le</w:t>
      </w:r>
      <w:r>
        <w:rPr>
          <w:rFonts w:ascii="Abadi" w:hAnsi="Abadi"/>
          <w:sz w:val="21"/>
          <w:szCs w:val="21"/>
        </w:rPr>
        <w:t>ó</w:t>
      </w:r>
      <w:r w:rsidRPr="0021199F">
        <w:rPr>
          <w:rFonts w:ascii="Abadi" w:hAnsi="Abadi"/>
          <w:sz w:val="21"/>
          <w:szCs w:val="21"/>
        </w:rPr>
        <w:t>n</w:t>
      </w:r>
      <w:r>
        <w:rPr>
          <w:rFonts w:ascii="Abadi" w:hAnsi="Abadi"/>
          <w:sz w:val="21"/>
          <w:szCs w:val="21"/>
        </w:rPr>
        <w:t xml:space="preserve"> y</w:t>
      </w:r>
      <w:r w:rsidRPr="0021199F">
        <w:rPr>
          <w:rFonts w:ascii="Abadi" w:hAnsi="Abadi"/>
          <w:sz w:val="21"/>
          <w:szCs w:val="21"/>
        </w:rPr>
        <w:t xml:space="preserve"> San Felipe</w:t>
      </w:r>
      <w:r>
        <w:rPr>
          <w:rFonts w:ascii="Abadi" w:hAnsi="Abadi"/>
          <w:sz w:val="21"/>
          <w:szCs w:val="21"/>
        </w:rPr>
        <w:t>,</w:t>
      </w:r>
      <w:r w:rsidRPr="0021199F">
        <w:rPr>
          <w:rFonts w:ascii="Abadi" w:hAnsi="Abadi"/>
          <w:sz w:val="21"/>
          <w:szCs w:val="21"/>
        </w:rPr>
        <w:t xml:space="preserve"> que fueron municipios que nos aportaron con sus puntos de vista en esta metodología, así como a las instancias del Poder Ejecutivo, a las cuales también se pidió su opinión. </w:t>
      </w:r>
    </w:p>
    <w:p w14:paraId="16B25805" w14:textId="77777777" w:rsidR="001632D9" w:rsidRDefault="001632D9" w:rsidP="001632D9">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Agradecerle a la diputada y diputados que integran la Comisión de Segura Pública y Comunicaciones por su apertura tanto en las mesas de trabajo como en la Comisión de Seguridad al momento de poner a consideración el dictamen, porque todas sus voces ayudaron sin duda a fortalecer esta iniciativa. </w:t>
      </w:r>
    </w:p>
    <w:p w14:paraId="52E76A51" w14:textId="77777777" w:rsidR="001632D9" w:rsidRDefault="001632D9" w:rsidP="001632D9">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Vengo a pedir su voto a favor de este dictamen porque, como ya lo he dicho en otras ocasiones, en cualquier agenda pública, hoy la seguridad es y debe ser prioridad. Con esta iniciativa atendemos el tema de seguridad desde lo local. Sin duda que los gobiernos municipales son los primeros llamados a tomar esas decisiones que abonen a la prevención y que fomenten una cultura de paz y, por </w:t>
      </w:r>
      <w:r>
        <w:rPr>
          <w:rFonts w:ascii="Abadi" w:hAnsi="Abadi"/>
          <w:sz w:val="21"/>
          <w:szCs w:val="21"/>
        </w:rPr>
        <w:t xml:space="preserve">su </w:t>
      </w:r>
      <w:r w:rsidRPr="0021199F">
        <w:rPr>
          <w:rFonts w:ascii="Abadi" w:hAnsi="Abadi"/>
          <w:sz w:val="21"/>
          <w:szCs w:val="21"/>
        </w:rPr>
        <w:t xml:space="preserve">consecuencia, que haya seguridad en cada uno de nuestros </w:t>
      </w:r>
      <w:r>
        <w:rPr>
          <w:rFonts w:ascii="Abadi" w:hAnsi="Abadi"/>
          <w:sz w:val="21"/>
          <w:szCs w:val="21"/>
        </w:rPr>
        <w:t>46 municipios</w:t>
      </w:r>
      <w:r w:rsidRPr="0021199F">
        <w:rPr>
          <w:rFonts w:ascii="Abadi" w:hAnsi="Abadi"/>
          <w:sz w:val="21"/>
          <w:szCs w:val="21"/>
        </w:rPr>
        <w:t xml:space="preserve">. </w:t>
      </w:r>
    </w:p>
    <w:p w14:paraId="12E68F9A" w14:textId="77777777" w:rsidR="001632D9" w:rsidRDefault="001632D9" w:rsidP="001632D9">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Y si bien es cierto, desde nuestra tarea legislativa podemos fortalecer a las corporaciones municipales</w:t>
      </w:r>
      <w:r>
        <w:rPr>
          <w:rFonts w:ascii="Abadi" w:hAnsi="Abadi"/>
          <w:sz w:val="21"/>
          <w:szCs w:val="21"/>
        </w:rPr>
        <w:t>, l</w:t>
      </w:r>
      <w:r w:rsidRPr="0021199F">
        <w:rPr>
          <w:rFonts w:ascii="Abadi" w:hAnsi="Abadi"/>
          <w:sz w:val="21"/>
          <w:szCs w:val="21"/>
        </w:rPr>
        <w:t>o cierto también es que hay que darles impulso a los municipios, a sus órganos de gobierno, para que, con información confiable, puedan tomar las mejores decisiones al respecto. Integrantes de ayuntamientos que, en este tema tan prioritario, tan importante que es la seguridad, no sean espectadores, sino que sean protagonistas.</w:t>
      </w:r>
    </w:p>
    <w:p w14:paraId="321FC92F" w14:textId="77777777" w:rsidR="001632D9" w:rsidRDefault="001632D9" w:rsidP="001632D9">
      <w:pPr>
        <w:pStyle w:val="NormalWeb"/>
        <w:jc w:val="both"/>
        <w:rPr>
          <w:rFonts w:ascii="Abadi" w:hAnsi="Abadi"/>
          <w:sz w:val="21"/>
          <w:szCs w:val="21"/>
        </w:rPr>
      </w:pPr>
      <w:r>
        <w:rPr>
          <w:rFonts w:ascii="Abadi" w:hAnsi="Abadi"/>
          <w:sz w:val="21"/>
          <w:szCs w:val="21"/>
        </w:rPr>
        <w:t>-</w:t>
      </w:r>
      <w:r w:rsidRPr="0021199F">
        <w:rPr>
          <w:rFonts w:ascii="Abadi" w:hAnsi="Abadi"/>
          <w:sz w:val="21"/>
          <w:szCs w:val="21"/>
        </w:rPr>
        <w:t xml:space="preserve"> En la última, una de las últimas encuestas realizadas por el INEGI a nivel nacional arrojó un dato preocupante el sesenta y </w:t>
      </w:r>
      <w:r>
        <w:rPr>
          <w:rFonts w:ascii="Abadi" w:hAnsi="Abadi"/>
          <w:sz w:val="21"/>
          <w:szCs w:val="21"/>
        </w:rPr>
        <w:t>66%</w:t>
      </w:r>
      <w:r w:rsidRPr="0021199F">
        <w:rPr>
          <w:rFonts w:ascii="Abadi" w:hAnsi="Abadi"/>
          <w:sz w:val="21"/>
          <w:szCs w:val="21"/>
        </w:rPr>
        <w:t xml:space="preserve"> de la población se siente insegura en su ciudad y sin lugar a dudas, hay muchas tareas por hacer, desde los ámbitos o desde el ámbito municipal a través de los gobiernos, los ayuntamientos. </w:t>
      </w:r>
    </w:p>
    <w:p w14:paraId="0875D96F" w14:textId="77777777" w:rsidR="001632D9" w:rsidRDefault="001632D9" w:rsidP="001632D9">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Pero sin duda ahora los directores de seguridad Pública, cuando emitan estos informes, no solamente verlo como una obligación a las muchachas que ya tienen. Es cierto que esto, primeramente ayuda los integrantes de los ayuntamientos a tomar esas decisiones pertinentes</w:t>
      </w:r>
      <w:r>
        <w:rPr>
          <w:rFonts w:ascii="Abadi" w:hAnsi="Abadi"/>
          <w:sz w:val="21"/>
          <w:szCs w:val="21"/>
        </w:rPr>
        <w:t>, a</w:t>
      </w:r>
      <w:r w:rsidRPr="0021199F">
        <w:rPr>
          <w:rFonts w:ascii="Abadi" w:hAnsi="Abadi"/>
          <w:sz w:val="21"/>
          <w:szCs w:val="21"/>
        </w:rPr>
        <w:t xml:space="preserve"> siempre tener en la tarea edilicia el tema de seguridad. Pero también le permite a los directores de seguridad pública o titulares poder con base en la información que tienen, que también sientan ese respaldo por quienes son su órgano de gobierno. Pido su voto a favor de </w:t>
      </w:r>
      <w:r>
        <w:rPr>
          <w:rFonts w:ascii="Abadi" w:hAnsi="Abadi"/>
          <w:sz w:val="21"/>
          <w:szCs w:val="21"/>
        </w:rPr>
        <w:t>este d</w:t>
      </w:r>
      <w:r w:rsidRPr="0021199F">
        <w:rPr>
          <w:rFonts w:ascii="Abadi" w:hAnsi="Abadi"/>
          <w:sz w:val="21"/>
          <w:szCs w:val="21"/>
        </w:rPr>
        <w:t>ictamen</w:t>
      </w:r>
      <w:r>
        <w:rPr>
          <w:rFonts w:ascii="Abadi" w:hAnsi="Abadi"/>
          <w:sz w:val="21"/>
          <w:szCs w:val="21"/>
        </w:rPr>
        <w:t>.</w:t>
      </w:r>
      <w:r w:rsidRPr="0021199F">
        <w:rPr>
          <w:rFonts w:ascii="Abadi" w:hAnsi="Abadi"/>
          <w:sz w:val="21"/>
          <w:szCs w:val="21"/>
        </w:rPr>
        <w:t xml:space="preserve"> </w:t>
      </w:r>
    </w:p>
    <w:p w14:paraId="2C232422" w14:textId="7976DEB9" w:rsidR="001632D9" w:rsidRDefault="001632D9" w:rsidP="001632D9">
      <w:pPr>
        <w:pStyle w:val="NormalWeb"/>
        <w:ind w:firstLine="708"/>
        <w:jc w:val="both"/>
        <w:rPr>
          <w:rFonts w:ascii="Abadi" w:hAnsi="Abadi"/>
          <w:sz w:val="21"/>
          <w:szCs w:val="21"/>
        </w:rPr>
      </w:pPr>
      <w:r>
        <w:rPr>
          <w:rFonts w:ascii="Abadi" w:hAnsi="Abadi"/>
          <w:sz w:val="21"/>
          <w:szCs w:val="21"/>
        </w:rPr>
        <w:t>- E</w:t>
      </w:r>
      <w:r w:rsidRPr="0021199F">
        <w:rPr>
          <w:rFonts w:ascii="Abadi" w:hAnsi="Abadi"/>
          <w:sz w:val="21"/>
          <w:szCs w:val="21"/>
        </w:rPr>
        <w:t>s cu</w:t>
      </w:r>
      <w:r>
        <w:rPr>
          <w:rFonts w:ascii="Abadi" w:hAnsi="Abadi"/>
          <w:sz w:val="21"/>
          <w:szCs w:val="21"/>
        </w:rPr>
        <w:t>ánto, m</w:t>
      </w:r>
      <w:r w:rsidRPr="0021199F">
        <w:rPr>
          <w:rFonts w:ascii="Abadi" w:hAnsi="Abadi"/>
          <w:sz w:val="21"/>
          <w:szCs w:val="21"/>
        </w:rPr>
        <w:t xml:space="preserve">uchas gracias. </w:t>
      </w:r>
    </w:p>
    <w:p w14:paraId="5B2DF7A7" w14:textId="430BB9C2" w:rsidR="001632D9" w:rsidRDefault="001632D9" w:rsidP="001632D9">
      <w:pPr>
        <w:pStyle w:val="NormalWeb"/>
        <w:ind w:firstLine="708"/>
        <w:jc w:val="both"/>
        <w:rPr>
          <w:rFonts w:ascii="Abadi" w:hAnsi="Abadi"/>
          <w:sz w:val="21"/>
          <w:szCs w:val="21"/>
        </w:rPr>
      </w:pPr>
      <w:r>
        <w:rPr>
          <w:rFonts w:ascii="Abadi" w:hAnsi="Abadi"/>
          <w:b/>
          <w:bCs/>
          <w:sz w:val="21"/>
          <w:szCs w:val="21"/>
        </w:rPr>
        <w:t xml:space="preserve">- </w:t>
      </w:r>
      <w:r w:rsidRPr="008E75BA">
        <w:rPr>
          <w:rFonts w:ascii="Abadi" w:hAnsi="Abadi"/>
          <w:b/>
          <w:bCs/>
          <w:sz w:val="21"/>
          <w:szCs w:val="21"/>
        </w:rPr>
        <w:t xml:space="preserve">La </w:t>
      </w:r>
      <w:proofErr w:type="gramStart"/>
      <w:r w:rsidRPr="008E75BA">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 xml:space="preserve">Muchas gracias, Diputado. </w:t>
      </w:r>
    </w:p>
    <w:p w14:paraId="0D82B091" w14:textId="38BA959C" w:rsidR="001632D9" w:rsidRDefault="001632D9" w:rsidP="001632D9">
      <w:pPr>
        <w:pStyle w:val="NormalWeb"/>
        <w:ind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Agotada la participación, se pide la Secretar</w:t>
      </w:r>
      <w:r w:rsidR="00BF2771">
        <w:rPr>
          <w:rFonts w:ascii="Abadi" w:hAnsi="Abadi"/>
          <w:sz w:val="21"/>
          <w:szCs w:val="21"/>
        </w:rPr>
        <w:t>i</w:t>
      </w:r>
      <w:r w:rsidRPr="0021199F">
        <w:rPr>
          <w:rFonts w:ascii="Abadi" w:hAnsi="Abadi"/>
          <w:sz w:val="21"/>
          <w:szCs w:val="21"/>
        </w:rPr>
        <w:t>a que proced</w:t>
      </w:r>
      <w:r>
        <w:rPr>
          <w:rFonts w:ascii="Abadi" w:hAnsi="Abadi"/>
          <w:sz w:val="21"/>
          <w:szCs w:val="21"/>
        </w:rPr>
        <w:t>a a recabar</w:t>
      </w:r>
      <w:r w:rsidRPr="0021199F">
        <w:rPr>
          <w:rFonts w:ascii="Abadi" w:hAnsi="Abadi"/>
          <w:sz w:val="21"/>
          <w:szCs w:val="21"/>
        </w:rPr>
        <w:t xml:space="preserve"> votación nominal de la </w:t>
      </w:r>
      <w:r>
        <w:rPr>
          <w:rFonts w:ascii="Abadi" w:hAnsi="Abadi"/>
          <w:sz w:val="21"/>
          <w:szCs w:val="21"/>
        </w:rPr>
        <w:t>asamblea</w:t>
      </w:r>
      <w:r w:rsidRPr="0021199F">
        <w:rPr>
          <w:rFonts w:ascii="Abadi" w:hAnsi="Abadi"/>
          <w:sz w:val="21"/>
          <w:szCs w:val="21"/>
        </w:rPr>
        <w:t xml:space="preserve"> a través del sistema electrónico a efecto de aprobar o</w:t>
      </w:r>
      <w:r>
        <w:rPr>
          <w:rFonts w:ascii="Abadi" w:hAnsi="Abadi"/>
          <w:sz w:val="21"/>
          <w:szCs w:val="21"/>
        </w:rPr>
        <w:t xml:space="preserve"> </w:t>
      </w:r>
      <w:r w:rsidRPr="0021199F">
        <w:rPr>
          <w:rFonts w:ascii="Abadi" w:hAnsi="Abadi"/>
          <w:sz w:val="21"/>
          <w:szCs w:val="21"/>
        </w:rPr>
        <w:t xml:space="preserve">no </w:t>
      </w:r>
      <w:r>
        <w:rPr>
          <w:rFonts w:ascii="Abadi" w:hAnsi="Abadi"/>
          <w:sz w:val="21"/>
          <w:szCs w:val="21"/>
        </w:rPr>
        <w:t>el dictamen puesto</w:t>
      </w:r>
      <w:r w:rsidRPr="0021199F">
        <w:rPr>
          <w:rFonts w:ascii="Abadi" w:hAnsi="Abadi"/>
          <w:sz w:val="21"/>
          <w:szCs w:val="21"/>
        </w:rPr>
        <w:t xml:space="preserve"> a su consideración</w:t>
      </w:r>
      <w:r>
        <w:rPr>
          <w:rFonts w:ascii="Abadi" w:hAnsi="Abadi"/>
          <w:sz w:val="21"/>
          <w:szCs w:val="21"/>
        </w:rPr>
        <w:t>.</w:t>
      </w:r>
      <w:r w:rsidRPr="0021199F">
        <w:rPr>
          <w:rFonts w:ascii="Abadi" w:hAnsi="Abadi"/>
          <w:sz w:val="21"/>
          <w:szCs w:val="21"/>
        </w:rPr>
        <w:t xml:space="preserve"> </w:t>
      </w:r>
    </w:p>
    <w:p w14:paraId="69BC578E" w14:textId="5FA2EA05" w:rsidR="001632D9" w:rsidRPr="008E75BA" w:rsidRDefault="001632D9" w:rsidP="001632D9">
      <w:pPr>
        <w:pStyle w:val="NormalWeb"/>
        <w:jc w:val="center"/>
        <w:rPr>
          <w:rFonts w:ascii="Abadi" w:hAnsi="Abadi"/>
          <w:b/>
          <w:bCs/>
          <w:sz w:val="21"/>
          <w:szCs w:val="21"/>
        </w:rPr>
      </w:pPr>
      <w:r w:rsidRPr="008E75BA">
        <w:rPr>
          <w:rFonts w:ascii="Abadi" w:hAnsi="Abadi"/>
          <w:b/>
          <w:bCs/>
          <w:sz w:val="21"/>
          <w:szCs w:val="21"/>
        </w:rPr>
        <w:t>(</w:t>
      </w:r>
      <w:r>
        <w:rPr>
          <w:rFonts w:ascii="Abadi" w:hAnsi="Abadi"/>
          <w:b/>
          <w:sz w:val="21"/>
          <w:szCs w:val="21"/>
        </w:rPr>
        <w:t>S</w:t>
      </w:r>
      <w:r w:rsidRPr="008E75BA">
        <w:rPr>
          <w:rFonts w:ascii="Abadi" w:hAnsi="Abadi"/>
          <w:b/>
          <w:sz w:val="21"/>
          <w:szCs w:val="21"/>
        </w:rPr>
        <w:t>e abre el sistema electrónico</w:t>
      </w:r>
      <w:r w:rsidRPr="008E75BA">
        <w:rPr>
          <w:rFonts w:ascii="Abadi" w:hAnsi="Abadi"/>
          <w:b/>
          <w:bCs/>
          <w:sz w:val="21"/>
          <w:szCs w:val="21"/>
        </w:rPr>
        <w:t>)</w:t>
      </w:r>
    </w:p>
    <w:p w14:paraId="7977DB38" w14:textId="690ABB98" w:rsidR="001632D9" w:rsidRDefault="001632D9" w:rsidP="001632D9">
      <w:pPr>
        <w:pStyle w:val="NormalWeb"/>
        <w:ind w:firstLine="708"/>
        <w:jc w:val="both"/>
        <w:rPr>
          <w:rFonts w:ascii="Abadi" w:hAnsi="Abadi"/>
          <w:sz w:val="21"/>
          <w:szCs w:val="21"/>
        </w:rPr>
      </w:pPr>
      <w:r>
        <w:rPr>
          <w:rFonts w:ascii="Abadi" w:hAnsi="Abadi"/>
          <w:b/>
          <w:bCs/>
          <w:sz w:val="21"/>
          <w:szCs w:val="21"/>
        </w:rPr>
        <w:t xml:space="preserve">- </w:t>
      </w:r>
      <w:r w:rsidRPr="008E75BA">
        <w:rPr>
          <w:rFonts w:ascii="Abadi" w:hAnsi="Abadi"/>
          <w:b/>
          <w:bCs/>
          <w:sz w:val="21"/>
          <w:szCs w:val="21"/>
        </w:rPr>
        <w:t xml:space="preserve">La </w:t>
      </w:r>
      <w:proofErr w:type="gramStart"/>
      <w:r w:rsidRPr="008E75BA">
        <w:rPr>
          <w:rFonts w:ascii="Abadi" w:hAnsi="Abadi"/>
          <w:b/>
          <w:bCs/>
          <w:sz w:val="21"/>
          <w:szCs w:val="21"/>
        </w:rPr>
        <w:t>Secretaría.-</w:t>
      </w:r>
      <w:proofErr w:type="gramEnd"/>
      <w:r>
        <w:rPr>
          <w:rFonts w:ascii="Abadi" w:hAnsi="Abadi"/>
          <w:sz w:val="21"/>
          <w:szCs w:val="21"/>
        </w:rPr>
        <w:t xml:space="preserve"> En votación</w:t>
      </w:r>
      <w:r w:rsidRPr="0021199F">
        <w:rPr>
          <w:rFonts w:ascii="Abadi" w:hAnsi="Abadi"/>
          <w:sz w:val="21"/>
          <w:szCs w:val="21"/>
        </w:rPr>
        <w:t xml:space="preserve"> nominal por el sistema electrónico</w:t>
      </w:r>
      <w:r>
        <w:rPr>
          <w:rFonts w:ascii="Abadi" w:hAnsi="Abadi"/>
          <w:sz w:val="21"/>
          <w:szCs w:val="21"/>
        </w:rPr>
        <w:t>, s</w:t>
      </w:r>
      <w:r w:rsidRPr="0021199F">
        <w:rPr>
          <w:rFonts w:ascii="Abadi" w:hAnsi="Abadi"/>
          <w:sz w:val="21"/>
          <w:szCs w:val="21"/>
        </w:rPr>
        <w:t>e pregunta a las diputadas</w:t>
      </w:r>
      <w:r>
        <w:rPr>
          <w:rFonts w:ascii="Abadi" w:hAnsi="Abadi"/>
          <w:sz w:val="21"/>
          <w:szCs w:val="21"/>
        </w:rPr>
        <w:t xml:space="preserve"> y</w:t>
      </w:r>
      <w:r w:rsidRPr="0021199F">
        <w:rPr>
          <w:rFonts w:ascii="Abadi" w:hAnsi="Abadi"/>
          <w:sz w:val="21"/>
          <w:szCs w:val="21"/>
        </w:rPr>
        <w:t xml:space="preserve"> </w:t>
      </w:r>
      <w:r>
        <w:rPr>
          <w:rFonts w:ascii="Abadi" w:hAnsi="Abadi"/>
          <w:sz w:val="21"/>
          <w:szCs w:val="21"/>
        </w:rPr>
        <w:t>l</w:t>
      </w:r>
      <w:r w:rsidRPr="0021199F">
        <w:rPr>
          <w:rFonts w:ascii="Abadi" w:hAnsi="Abadi"/>
          <w:sz w:val="21"/>
          <w:szCs w:val="21"/>
        </w:rPr>
        <w:t>os diputados, si se apr</w:t>
      </w:r>
      <w:r>
        <w:rPr>
          <w:rFonts w:ascii="Abadi" w:hAnsi="Abadi"/>
          <w:sz w:val="21"/>
          <w:szCs w:val="21"/>
        </w:rPr>
        <w:t>ueba</w:t>
      </w:r>
      <w:r w:rsidRPr="0021199F">
        <w:rPr>
          <w:rFonts w:ascii="Abadi" w:hAnsi="Abadi"/>
          <w:sz w:val="21"/>
          <w:szCs w:val="21"/>
        </w:rPr>
        <w:t xml:space="preserve"> el </w:t>
      </w:r>
      <w:r>
        <w:rPr>
          <w:rFonts w:ascii="Abadi" w:hAnsi="Abadi"/>
          <w:sz w:val="21"/>
          <w:szCs w:val="21"/>
        </w:rPr>
        <w:t>dict</w:t>
      </w:r>
      <w:r w:rsidRPr="0021199F">
        <w:rPr>
          <w:rFonts w:ascii="Abadi" w:hAnsi="Abadi"/>
          <w:sz w:val="21"/>
          <w:szCs w:val="21"/>
        </w:rPr>
        <w:t>amen puesto su consideración</w:t>
      </w:r>
      <w:r>
        <w:rPr>
          <w:rFonts w:ascii="Abadi" w:hAnsi="Abadi"/>
          <w:sz w:val="21"/>
          <w:szCs w:val="21"/>
        </w:rPr>
        <w:t>. ¿</w:t>
      </w:r>
      <w:r w:rsidRPr="0021199F">
        <w:rPr>
          <w:rFonts w:ascii="Abadi" w:hAnsi="Abadi"/>
          <w:sz w:val="21"/>
          <w:szCs w:val="21"/>
        </w:rPr>
        <w:t>Diputado Ernesto Millán</w:t>
      </w:r>
      <w:r>
        <w:rPr>
          <w:rFonts w:ascii="Abadi" w:hAnsi="Abadi"/>
          <w:sz w:val="21"/>
          <w:szCs w:val="21"/>
        </w:rPr>
        <w:t>?</w:t>
      </w:r>
      <w:r w:rsidRPr="0021199F">
        <w:rPr>
          <w:rFonts w:ascii="Abadi" w:hAnsi="Abadi"/>
          <w:sz w:val="21"/>
          <w:szCs w:val="21"/>
        </w:rPr>
        <w:t xml:space="preserve"> Gracias, diputado. </w:t>
      </w:r>
    </w:p>
    <w:p w14:paraId="0621DE1F" w14:textId="77777777" w:rsidR="001632D9" w:rsidRDefault="001632D9" w:rsidP="001632D9">
      <w:pPr>
        <w:pStyle w:val="NormalWeb"/>
        <w:jc w:val="both"/>
        <w:rPr>
          <w:rFonts w:ascii="Abadi" w:hAnsi="Abadi"/>
          <w:sz w:val="21"/>
          <w:szCs w:val="21"/>
        </w:rPr>
      </w:pPr>
      <w:r>
        <w:rPr>
          <w:rFonts w:ascii="Abadi" w:hAnsi="Abadi"/>
          <w:sz w:val="21"/>
          <w:szCs w:val="21"/>
        </w:rPr>
        <w:t>¿</w:t>
      </w:r>
      <w:r w:rsidRPr="0021199F">
        <w:rPr>
          <w:rFonts w:ascii="Abadi" w:hAnsi="Abadi"/>
          <w:sz w:val="21"/>
          <w:szCs w:val="21"/>
        </w:rPr>
        <w:t>Falta alguna diputad</w:t>
      </w:r>
      <w:r>
        <w:rPr>
          <w:rFonts w:ascii="Abadi" w:hAnsi="Abadi"/>
          <w:sz w:val="21"/>
          <w:szCs w:val="21"/>
        </w:rPr>
        <w:t>a,</w:t>
      </w:r>
      <w:r w:rsidRPr="0021199F">
        <w:rPr>
          <w:rFonts w:ascii="Abadi" w:hAnsi="Abadi"/>
          <w:sz w:val="21"/>
          <w:szCs w:val="21"/>
        </w:rPr>
        <w:t xml:space="preserve"> </w:t>
      </w:r>
      <w:r>
        <w:rPr>
          <w:rFonts w:ascii="Abadi" w:hAnsi="Abadi"/>
          <w:sz w:val="21"/>
          <w:szCs w:val="21"/>
        </w:rPr>
        <w:t>a</w:t>
      </w:r>
      <w:r w:rsidRPr="0021199F">
        <w:rPr>
          <w:rFonts w:ascii="Abadi" w:hAnsi="Abadi"/>
          <w:sz w:val="21"/>
          <w:szCs w:val="21"/>
        </w:rPr>
        <w:t xml:space="preserve">lgún diputado de emitir su voto? </w:t>
      </w:r>
    </w:p>
    <w:p w14:paraId="5C52F898" w14:textId="5CF00670" w:rsidR="001632D9" w:rsidRDefault="001632D9" w:rsidP="001632D9">
      <w:pPr>
        <w:pStyle w:val="NormalWeb"/>
        <w:jc w:val="center"/>
        <w:rPr>
          <w:rFonts w:ascii="Abadi" w:hAnsi="Abadi"/>
          <w:b/>
          <w:bCs/>
          <w:sz w:val="21"/>
          <w:szCs w:val="21"/>
        </w:rPr>
      </w:pPr>
      <w:r w:rsidRPr="008E75BA">
        <w:rPr>
          <w:rFonts w:ascii="Abadi" w:hAnsi="Abadi"/>
          <w:b/>
          <w:bCs/>
          <w:sz w:val="21"/>
          <w:szCs w:val="21"/>
        </w:rPr>
        <w:t>(</w:t>
      </w:r>
      <w:r w:rsidRPr="008E75BA">
        <w:rPr>
          <w:rFonts w:ascii="Abadi" w:hAnsi="Abadi"/>
          <w:b/>
          <w:sz w:val="21"/>
          <w:szCs w:val="21"/>
        </w:rPr>
        <w:t>Se cierra el sistema electrónico</w:t>
      </w:r>
      <w:r w:rsidRPr="008E75BA">
        <w:rPr>
          <w:rFonts w:ascii="Abadi" w:hAnsi="Abadi"/>
          <w:b/>
          <w:bCs/>
          <w:sz w:val="21"/>
          <w:szCs w:val="21"/>
        </w:rPr>
        <w:t>)</w:t>
      </w:r>
    </w:p>
    <w:p w14:paraId="7617B4EF" w14:textId="77777777" w:rsidR="001632D9" w:rsidRDefault="001632D9" w:rsidP="001632D9">
      <w:pPr>
        <w:pStyle w:val="NormalWeb"/>
        <w:jc w:val="both"/>
        <w:rPr>
          <w:rFonts w:ascii="Abadi" w:hAnsi="Abadi"/>
          <w:b/>
          <w:bCs/>
          <w:sz w:val="21"/>
          <w:szCs w:val="21"/>
        </w:rPr>
      </w:pPr>
      <w:r>
        <w:rPr>
          <w:noProof/>
        </w:rPr>
        <w:drawing>
          <wp:inline distT="0" distB="0" distL="0" distR="0" wp14:anchorId="29BF3C3E" wp14:editId="11305EAF">
            <wp:extent cx="2037644" cy="1065164"/>
            <wp:effectExtent l="152400" t="152400" r="363220" b="363855"/>
            <wp:docPr id="54" name="Imagen 5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nterfaz de usuario gráfica, Texto, Aplicación&#10;&#10;Descripción generada automáticamente"/>
                    <pic:cNvPicPr/>
                  </pic:nvPicPr>
                  <pic:blipFill rotWithShape="1">
                    <a:blip r:embed="rId67"/>
                    <a:srcRect b="7023"/>
                    <a:stretch/>
                  </pic:blipFill>
                  <pic:spPr bwMode="auto">
                    <a:xfrm>
                      <a:off x="0" y="0"/>
                      <a:ext cx="2053142" cy="107326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E252CBD" w14:textId="0C63E390" w:rsidR="001632D9" w:rsidRDefault="001632D9" w:rsidP="001632D9">
      <w:pPr>
        <w:pStyle w:val="NormalWeb"/>
        <w:ind w:firstLine="708"/>
        <w:jc w:val="both"/>
        <w:rPr>
          <w:rFonts w:ascii="Abadi" w:hAnsi="Abadi"/>
          <w:sz w:val="21"/>
          <w:szCs w:val="21"/>
        </w:rPr>
      </w:pPr>
      <w:r>
        <w:rPr>
          <w:rFonts w:ascii="Abadi" w:hAnsi="Abadi"/>
          <w:b/>
          <w:bCs/>
          <w:sz w:val="21"/>
          <w:szCs w:val="21"/>
        </w:rPr>
        <w:t xml:space="preserve">- </w:t>
      </w:r>
      <w:r w:rsidRPr="008E75BA">
        <w:rPr>
          <w:rFonts w:ascii="Abadi" w:hAnsi="Abadi"/>
          <w:b/>
          <w:bCs/>
          <w:sz w:val="21"/>
          <w:szCs w:val="21"/>
        </w:rPr>
        <w:t xml:space="preserve">La </w:t>
      </w:r>
      <w:proofErr w:type="gramStart"/>
      <w:r w:rsidRPr="008E75BA">
        <w:rPr>
          <w:rFonts w:ascii="Abadi" w:hAnsi="Abadi"/>
          <w:b/>
          <w:bCs/>
          <w:sz w:val="21"/>
          <w:szCs w:val="21"/>
        </w:rPr>
        <w:t>Secretar</w:t>
      </w:r>
      <w:r w:rsidR="00EC2827">
        <w:rPr>
          <w:rFonts w:ascii="Abadi" w:hAnsi="Abadi"/>
          <w:b/>
          <w:bCs/>
          <w:sz w:val="21"/>
          <w:szCs w:val="21"/>
        </w:rPr>
        <w:t>i</w:t>
      </w:r>
      <w:r w:rsidRPr="008E75BA">
        <w:rPr>
          <w:rFonts w:ascii="Abadi" w:hAnsi="Abadi"/>
          <w:b/>
          <w:bCs/>
          <w:sz w:val="21"/>
          <w:szCs w:val="21"/>
        </w:rPr>
        <w:t>a.-</w:t>
      </w:r>
      <w:proofErr w:type="gramEnd"/>
      <w:r w:rsidRPr="0021199F">
        <w:rPr>
          <w:rFonts w:ascii="Abadi" w:hAnsi="Abadi"/>
          <w:sz w:val="21"/>
          <w:szCs w:val="21"/>
        </w:rPr>
        <w:t xml:space="preserve"> Se registraron </w:t>
      </w:r>
      <w:r>
        <w:rPr>
          <w:rFonts w:ascii="Abadi" w:hAnsi="Abadi"/>
          <w:sz w:val="21"/>
          <w:szCs w:val="21"/>
        </w:rPr>
        <w:t>33</w:t>
      </w:r>
      <w:r w:rsidRPr="0021199F">
        <w:rPr>
          <w:rFonts w:ascii="Abadi" w:hAnsi="Abadi"/>
          <w:sz w:val="21"/>
          <w:szCs w:val="21"/>
        </w:rPr>
        <w:t xml:space="preserve"> votos a favor. </w:t>
      </w:r>
    </w:p>
    <w:p w14:paraId="3332359D" w14:textId="4A4FF974" w:rsidR="001632D9" w:rsidRDefault="001632D9" w:rsidP="001632D9">
      <w:pPr>
        <w:pStyle w:val="NormalWeb"/>
        <w:ind w:firstLine="708"/>
        <w:jc w:val="both"/>
        <w:rPr>
          <w:rFonts w:ascii="Abadi" w:hAnsi="Abadi"/>
          <w:sz w:val="21"/>
          <w:szCs w:val="21"/>
        </w:rPr>
      </w:pPr>
      <w:r>
        <w:rPr>
          <w:rFonts w:ascii="Abadi" w:hAnsi="Abadi"/>
          <w:b/>
          <w:bCs/>
          <w:sz w:val="21"/>
          <w:szCs w:val="21"/>
        </w:rPr>
        <w:t xml:space="preserve">- </w:t>
      </w:r>
      <w:r w:rsidRPr="008E75BA">
        <w:rPr>
          <w:rFonts w:ascii="Abadi" w:hAnsi="Abadi"/>
          <w:b/>
          <w:bCs/>
          <w:sz w:val="21"/>
          <w:szCs w:val="21"/>
        </w:rPr>
        <w:t xml:space="preserve">La </w:t>
      </w:r>
      <w:proofErr w:type="gramStart"/>
      <w:r w:rsidRPr="008E75BA">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 xml:space="preserve">El dictamen ha sido aprobado por unanimidad de votos. </w:t>
      </w:r>
    </w:p>
    <w:p w14:paraId="283F918B" w14:textId="77777777" w:rsidR="001632D9" w:rsidRPr="00055E63" w:rsidRDefault="001632D9" w:rsidP="001632D9">
      <w:pPr>
        <w:pStyle w:val="NormalWeb"/>
        <w:tabs>
          <w:tab w:val="left" w:pos="3402"/>
        </w:tabs>
        <w:ind w:left="567" w:right="333"/>
        <w:jc w:val="both"/>
        <w:rPr>
          <w:rFonts w:ascii="Abadi" w:hAnsi="Abadi"/>
          <w:b/>
          <w:bCs/>
          <w:i/>
          <w:iCs/>
          <w:sz w:val="21"/>
          <w:szCs w:val="21"/>
          <w:u w:val="single"/>
        </w:rPr>
      </w:pPr>
      <w:r w:rsidRPr="00055E63">
        <w:rPr>
          <w:rFonts w:ascii="Abadi" w:hAnsi="Abadi"/>
          <w:b/>
          <w:bCs/>
          <w:i/>
          <w:iCs/>
          <w:sz w:val="21"/>
          <w:szCs w:val="21"/>
          <w:u w:val="single"/>
        </w:rPr>
        <w:t xml:space="preserve">Remítase al Ejecutivo del Estado el decreto aprobado para los efectos constitucionales de su competencia. </w:t>
      </w:r>
    </w:p>
    <w:p w14:paraId="44C9127C" w14:textId="77777777" w:rsidR="001632D9" w:rsidRDefault="001632D9" w:rsidP="00E6311A">
      <w:pPr>
        <w:spacing w:line="259" w:lineRule="auto"/>
        <w:rPr>
          <w:rFonts w:ascii="Abadi" w:eastAsia="Calibri" w:hAnsi="Abadi" w:cs="*Calibri-Bold-2865-Identity-H"/>
          <w:b/>
          <w:bCs/>
          <w:color w:val="14141E"/>
          <w:sz w:val="21"/>
          <w:szCs w:val="21"/>
          <w:lang w:val="es-MX" w:eastAsia="en-US"/>
        </w:rPr>
      </w:pPr>
    </w:p>
    <w:p w14:paraId="6BCCFAA2" w14:textId="3BA05274" w:rsidR="00021259" w:rsidRDefault="00021259" w:rsidP="00343CA9">
      <w:pPr>
        <w:pStyle w:val="Prrafodelista"/>
        <w:numPr>
          <w:ilvl w:val="0"/>
          <w:numId w:val="27"/>
        </w:numPr>
        <w:autoSpaceDE w:val="0"/>
        <w:autoSpaceDN w:val="0"/>
        <w:adjustRightInd w:val="0"/>
        <w:ind w:left="426"/>
        <w:jc w:val="both"/>
        <w:rPr>
          <w:rFonts w:ascii="Abadi" w:hAnsi="Abadi" w:cs="ArialMT"/>
          <w:b/>
          <w:bCs/>
          <w:sz w:val="20"/>
          <w:szCs w:val="21"/>
        </w:rPr>
      </w:pPr>
      <w:r w:rsidRPr="00300604">
        <w:rPr>
          <w:rFonts w:ascii="Abadi" w:hAnsi="Abadi" w:cs="ArialMT"/>
          <w:b/>
          <w:bCs/>
          <w:sz w:val="20"/>
          <w:szCs w:val="21"/>
        </w:rPr>
        <w:t>DISCUSIÓN Y, EN SU CASO, APROBACIÓN DEL DICTAMEN SUSCRITO POR LA COMISIÓN DE HACIENDA Y FISCALIZACIÓN RELATIVO A LA INICIATIVA FORMULADA POR LAS DIPUTADAS Y LOS DIPUTADOS INTEGRANTES DEL GRUPO PARLAMENTARIO DEL PARTIDO REVOLUCIONARIO INSTITUCIONAL DE LA SEXAGÉSIMA CUARTA LEGISLATURA, A EFECTO DE REFORMAR EL ARTÍCULO 11 Y DEROGAR EL CAPÍTULO III DEL TÍTULO SEGUNDO DE LA LEY DE CONCESIONES DE SERVICIOS E INFRAESTRUCTURA PÚBLICA PARA EL ESTADO DE GUANAJUATO.</w:t>
      </w:r>
    </w:p>
    <w:p w14:paraId="1087FD5E" w14:textId="230C3BFF" w:rsidR="006B7FC5" w:rsidRDefault="006B7FC5" w:rsidP="006B7FC5">
      <w:pPr>
        <w:autoSpaceDE w:val="0"/>
        <w:autoSpaceDN w:val="0"/>
        <w:adjustRightInd w:val="0"/>
        <w:jc w:val="both"/>
        <w:rPr>
          <w:rFonts w:ascii="Abadi" w:hAnsi="Abadi" w:cs="ArialMT"/>
          <w:b/>
          <w:bCs/>
          <w:sz w:val="20"/>
          <w:szCs w:val="21"/>
        </w:rPr>
      </w:pPr>
    </w:p>
    <w:p w14:paraId="202A1488" w14:textId="77777777" w:rsidR="006B7FC5" w:rsidRPr="007729D2" w:rsidRDefault="006B7FC5" w:rsidP="006B7FC5">
      <w:pPr>
        <w:autoSpaceDE w:val="0"/>
        <w:autoSpaceDN w:val="0"/>
        <w:adjustRightInd w:val="0"/>
        <w:jc w:val="both"/>
        <w:rPr>
          <w:rFonts w:ascii="Abadi" w:hAnsi="Abadi" w:cs="*Verdana-Bold-8736-Identity-H"/>
          <w:b/>
          <w:bCs/>
          <w:color w:val="0E0D13"/>
          <w:sz w:val="21"/>
          <w:szCs w:val="21"/>
        </w:rPr>
      </w:pPr>
      <w:r w:rsidRPr="007729D2">
        <w:rPr>
          <w:rFonts w:ascii="Abadi" w:hAnsi="Abadi" w:cs="*Verdana-Bold-8736-Identity-H"/>
          <w:b/>
          <w:bCs/>
          <w:color w:val="0E0D13"/>
          <w:sz w:val="21"/>
          <w:szCs w:val="21"/>
        </w:rPr>
        <w:t>C. PRESIDENTA DEL CONGRESO DEL ESTADO</w:t>
      </w:r>
    </w:p>
    <w:p w14:paraId="09626D91" w14:textId="77777777" w:rsidR="006B7FC5" w:rsidRDefault="006B7FC5" w:rsidP="006B7FC5">
      <w:pPr>
        <w:autoSpaceDE w:val="0"/>
        <w:autoSpaceDN w:val="0"/>
        <w:adjustRightInd w:val="0"/>
        <w:jc w:val="both"/>
        <w:rPr>
          <w:rFonts w:ascii="Abadi" w:hAnsi="Abadi" w:cs="*Verdana-Bold-8736-Identity-H"/>
          <w:b/>
          <w:bCs/>
          <w:color w:val="0E0D13"/>
          <w:sz w:val="21"/>
          <w:szCs w:val="21"/>
        </w:rPr>
      </w:pPr>
      <w:r w:rsidRPr="007729D2">
        <w:rPr>
          <w:rFonts w:ascii="Abadi" w:hAnsi="Abadi" w:cs="*Verdana-Bold-8736-Identity-H"/>
          <w:b/>
          <w:bCs/>
          <w:color w:val="0E0D13"/>
          <w:sz w:val="21"/>
          <w:szCs w:val="21"/>
        </w:rPr>
        <w:t>P R E S</w:t>
      </w:r>
      <w:r>
        <w:rPr>
          <w:rFonts w:ascii="Abadi" w:hAnsi="Abadi" w:cs="*Verdana-Bold-8736-Identity-H"/>
          <w:b/>
          <w:bCs/>
          <w:color w:val="0E0D13"/>
          <w:sz w:val="21"/>
          <w:szCs w:val="21"/>
        </w:rPr>
        <w:t xml:space="preserve"> </w:t>
      </w:r>
      <w:r w:rsidRPr="007729D2">
        <w:rPr>
          <w:rFonts w:ascii="Abadi" w:hAnsi="Abadi" w:cs="*Verdana-Bold-8736-Identity-H"/>
          <w:b/>
          <w:bCs/>
          <w:color w:val="0E0D13"/>
          <w:sz w:val="21"/>
          <w:szCs w:val="21"/>
        </w:rPr>
        <w:t>E N T</w:t>
      </w:r>
      <w:r>
        <w:rPr>
          <w:rFonts w:ascii="Abadi" w:hAnsi="Abadi" w:cs="*Verdana-Bold-8736-Identity-H"/>
          <w:b/>
          <w:bCs/>
          <w:color w:val="0E0D13"/>
          <w:sz w:val="21"/>
          <w:szCs w:val="21"/>
        </w:rPr>
        <w:t xml:space="preserve"> </w:t>
      </w:r>
      <w:r w:rsidRPr="007729D2">
        <w:rPr>
          <w:rFonts w:ascii="Abadi" w:hAnsi="Abadi" w:cs="*Verdana-Bold-8736-Identity-H"/>
          <w:b/>
          <w:bCs/>
          <w:color w:val="0E0D13"/>
          <w:sz w:val="21"/>
          <w:szCs w:val="21"/>
        </w:rPr>
        <w:t>E.</w:t>
      </w:r>
    </w:p>
    <w:p w14:paraId="20120415" w14:textId="77777777" w:rsidR="006B7FC5" w:rsidRPr="007729D2" w:rsidRDefault="006B7FC5" w:rsidP="006B7FC5">
      <w:pPr>
        <w:autoSpaceDE w:val="0"/>
        <w:autoSpaceDN w:val="0"/>
        <w:adjustRightInd w:val="0"/>
        <w:jc w:val="both"/>
        <w:rPr>
          <w:rFonts w:ascii="Abadi" w:hAnsi="Abadi" w:cs="*Verdana-Bold-8736-Identity-H"/>
          <w:b/>
          <w:bCs/>
          <w:color w:val="0E0D13"/>
          <w:sz w:val="21"/>
          <w:szCs w:val="21"/>
        </w:rPr>
      </w:pPr>
    </w:p>
    <w:p w14:paraId="6E335A24" w14:textId="77777777" w:rsidR="006B7FC5" w:rsidRDefault="006B7FC5" w:rsidP="006B7FC5">
      <w:pPr>
        <w:autoSpaceDE w:val="0"/>
        <w:autoSpaceDN w:val="0"/>
        <w:adjustRightInd w:val="0"/>
        <w:ind w:firstLine="708"/>
        <w:jc w:val="both"/>
        <w:rPr>
          <w:rFonts w:ascii="Abadi" w:hAnsi="Abadi" w:cs="*Verdana-8734-Identity-H"/>
          <w:color w:val="121113"/>
          <w:sz w:val="21"/>
          <w:szCs w:val="21"/>
        </w:rPr>
      </w:pPr>
      <w:r w:rsidRPr="007729D2">
        <w:rPr>
          <w:rFonts w:ascii="Abadi" w:hAnsi="Abadi" w:cs="*Verdana-8734-Identity-H"/>
          <w:color w:val="121113"/>
          <w:sz w:val="21"/>
          <w:szCs w:val="21"/>
        </w:rPr>
        <w:t>A la Comisión de Hacienda y Fiscalización de la Sexagésima Cuarta Legislatura</w:t>
      </w:r>
      <w:r>
        <w:rPr>
          <w:rFonts w:ascii="Abadi" w:hAnsi="Abadi" w:cs="*Verdana-8734-Identity-H"/>
          <w:color w:val="121113"/>
          <w:sz w:val="21"/>
          <w:szCs w:val="21"/>
        </w:rPr>
        <w:t xml:space="preserve"> </w:t>
      </w:r>
      <w:r w:rsidRPr="007729D2">
        <w:rPr>
          <w:rFonts w:ascii="Abadi" w:hAnsi="Abadi" w:cs="*Verdana-8734-Identity-H"/>
          <w:color w:val="121113"/>
          <w:sz w:val="21"/>
          <w:szCs w:val="21"/>
        </w:rPr>
        <w:t>le fue turnada para efecto de estudio y dictamen, la Iniciativa formulada por las</w:t>
      </w:r>
      <w:r>
        <w:rPr>
          <w:rFonts w:ascii="Abadi" w:hAnsi="Abadi" w:cs="*Verdana-8734-Identity-H"/>
          <w:color w:val="121113"/>
          <w:sz w:val="21"/>
          <w:szCs w:val="21"/>
        </w:rPr>
        <w:t xml:space="preserve"> </w:t>
      </w:r>
      <w:r w:rsidRPr="007729D2">
        <w:rPr>
          <w:rFonts w:ascii="Abadi" w:hAnsi="Abadi" w:cs="*Verdana-8734-Identity-H"/>
          <w:color w:val="121113"/>
          <w:sz w:val="21"/>
          <w:szCs w:val="21"/>
        </w:rPr>
        <w:t>diputadas y los diputados integrantes del Grupo Parlamentario del Partido</w:t>
      </w:r>
      <w:r>
        <w:rPr>
          <w:rFonts w:ascii="Abadi" w:hAnsi="Abadi" w:cs="*Verdana-8734-Identity-H"/>
          <w:color w:val="121113"/>
          <w:sz w:val="21"/>
          <w:szCs w:val="21"/>
        </w:rPr>
        <w:t xml:space="preserve"> </w:t>
      </w:r>
      <w:r w:rsidRPr="007729D2">
        <w:rPr>
          <w:rFonts w:ascii="Abadi" w:hAnsi="Abadi" w:cs="*Verdana-8734-Identity-H"/>
          <w:color w:val="121113"/>
          <w:sz w:val="21"/>
          <w:szCs w:val="21"/>
        </w:rPr>
        <w:t>Revolucionario Institucional, a efecto de reformar el artículo 11 y derogar el Capítulo</w:t>
      </w:r>
      <w:r>
        <w:rPr>
          <w:rFonts w:ascii="Abadi" w:hAnsi="Abadi" w:cs="*Verdana-8734-Identity-H"/>
          <w:color w:val="121113"/>
          <w:sz w:val="21"/>
          <w:szCs w:val="21"/>
        </w:rPr>
        <w:t xml:space="preserve"> </w:t>
      </w:r>
      <w:r w:rsidRPr="007729D2">
        <w:rPr>
          <w:rFonts w:ascii="Abadi" w:hAnsi="Abadi" w:cs="*Verdana-8734-Identity-H"/>
          <w:color w:val="121113"/>
          <w:sz w:val="21"/>
          <w:szCs w:val="21"/>
        </w:rPr>
        <w:t>III del Título Segundo de la Ley de Concesiones de Servicios e Infraestructura Pública</w:t>
      </w:r>
      <w:r>
        <w:rPr>
          <w:rFonts w:ascii="Abadi" w:hAnsi="Abadi" w:cs="*Verdana-8734-Identity-H"/>
          <w:color w:val="121113"/>
          <w:sz w:val="21"/>
          <w:szCs w:val="21"/>
        </w:rPr>
        <w:t xml:space="preserve"> </w:t>
      </w:r>
      <w:r w:rsidRPr="007729D2">
        <w:rPr>
          <w:rFonts w:ascii="Abadi" w:hAnsi="Abadi" w:cs="*Verdana-8734-Identity-H"/>
          <w:color w:val="121113"/>
          <w:sz w:val="21"/>
          <w:szCs w:val="21"/>
        </w:rPr>
        <w:t>para el Estado de Guanajuato.</w:t>
      </w:r>
    </w:p>
    <w:p w14:paraId="4315FFFA" w14:textId="77777777" w:rsidR="006B7FC5" w:rsidRPr="007729D2" w:rsidRDefault="006B7FC5" w:rsidP="006B7FC5">
      <w:pPr>
        <w:autoSpaceDE w:val="0"/>
        <w:autoSpaceDN w:val="0"/>
        <w:adjustRightInd w:val="0"/>
        <w:jc w:val="both"/>
        <w:rPr>
          <w:rFonts w:ascii="Abadi" w:hAnsi="Abadi" w:cs="*Verdana-8734-Identity-H"/>
          <w:color w:val="121113"/>
          <w:sz w:val="21"/>
          <w:szCs w:val="21"/>
        </w:rPr>
      </w:pPr>
    </w:p>
    <w:p w14:paraId="3E09FF0D" w14:textId="77777777" w:rsidR="006B7FC5" w:rsidRPr="007729D2" w:rsidRDefault="006B7FC5" w:rsidP="006B7FC5">
      <w:pPr>
        <w:autoSpaceDE w:val="0"/>
        <w:autoSpaceDN w:val="0"/>
        <w:adjustRightInd w:val="0"/>
        <w:ind w:firstLine="708"/>
        <w:jc w:val="both"/>
        <w:rPr>
          <w:rFonts w:ascii="Abadi" w:hAnsi="Abadi" w:cs="*Verdana-8734-Identity-H"/>
          <w:color w:val="121214"/>
          <w:sz w:val="21"/>
          <w:szCs w:val="21"/>
        </w:rPr>
      </w:pPr>
      <w:r w:rsidRPr="007729D2">
        <w:rPr>
          <w:rFonts w:ascii="Abadi" w:hAnsi="Abadi" w:cs="*Verdana-8734-Identity-H"/>
          <w:color w:val="121214"/>
          <w:sz w:val="21"/>
          <w:szCs w:val="21"/>
        </w:rPr>
        <w:t xml:space="preserve">Con fundamento en los artículos 89, fracción V; 112, fracción XV; </w:t>
      </w:r>
      <w:r w:rsidRPr="007729D2">
        <w:rPr>
          <w:rFonts w:ascii="Abadi" w:hAnsi="Abadi" w:cs="*Times New Roman-Italic-8733-Id"/>
          <w:i/>
          <w:iCs/>
          <w:color w:val="121214"/>
          <w:sz w:val="21"/>
          <w:szCs w:val="21"/>
        </w:rPr>
        <w:t xml:space="preserve">y </w:t>
      </w:r>
      <w:r w:rsidRPr="007729D2">
        <w:rPr>
          <w:rFonts w:ascii="Abadi" w:hAnsi="Abadi" w:cs="*Verdana-8734-Identity-H"/>
          <w:color w:val="121214"/>
          <w:sz w:val="21"/>
          <w:szCs w:val="21"/>
        </w:rPr>
        <w:t>171 de la</w:t>
      </w:r>
      <w:r>
        <w:rPr>
          <w:rFonts w:ascii="Abadi" w:hAnsi="Abadi" w:cs="*Verdana-8734-Identity-H"/>
          <w:color w:val="121214"/>
          <w:sz w:val="21"/>
          <w:szCs w:val="21"/>
        </w:rPr>
        <w:t xml:space="preserve"> </w:t>
      </w:r>
      <w:r w:rsidRPr="007729D2">
        <w:rPr>
          <w:rFonts w:ascii="Abadi" w:hAnsi="Abadi" w:cs="*Verdana-8734-Identity-H"/>
          <w:color w:val="121214"/>
          <w:sz w:val="21"/>
          <w:szCs w:val="21"/>
        </w:rPr>
        <w:t>Ley Orgánica del Poder Legislativo del Estado de Guanajuato, analizamos la iniciativa</w:t>
      </w:r>
      <w:r>
        <w:rPr>
          <w:rFonts w:ascii="Abadi" w:hAnsi="Abadi" w:cs="*Verdana-8734-Identity-H"/>
          <w:color w:val="121214"/>
          <w:sz w:val="21"/>
          <w:szCs w:val="21"/>
        </w:rPr>
        <w:t xml:space="preserve"> </w:t>
      </w:r>
      <w:r w:rsidRPr="007729D2">
        <w:rPr>
          <w:rFonts w:ascii="Abadi" w:hAnsi="Abadi" w:cs="*Verdana-8734-Identity-H"/>
          <w:color w:val="121214"/>
          <w:sz w:val="21"/>
          <w:szCs w:val="21"/>
        </w:rPr>
        <w:t>referida, presentando a la consideración de la Asamblea el siguiente:</w:t>
      </w:r>
    </w:p>
    <w:p w14:paraId="208A5869" w14:textId="77777777" w:rsidR="006B7FC5" w:rsidRDefault="006B7FC5" w:rsidP="006B7FC5">
      <w:pPr>
        <w:autoSpaceDE w:val="0"/>
        <w:autoSpaceDN w:val="0"/>
        <w:adjustRightInd w:val="0"/>
        <w:jc w:val="center"/>
        <w:rPr>
          <w:rFonts w:ascii="Abadi" w:hAnsi="Abadi" w:cs="*Verdana-Bold-8735-Identity-H"/>
          <w:b/>
          <w:bCs/>
          <w:color w:val="111013"/>
          <w:sz w:val="21"/>
          <w:szCs w:val="21"/>
        </w:rPr>
      </w:pPr>
    </w:p>
    <w:p w14:paraId="766E80F1" w14:textId="77777777" w:rsidR="006B7FC5" w:rsidRDefault="006B7FC5" w:rsidP="006B7FC5">
      <w:pPr>
        <w:autoSpaceDE w:val="0"/>
        <w:autoSpaceDN w:val="0"/>
        <w:adjustRightInd w:val="0"/>
        <w:jc w:val="center"/>
        <w:rPr>
          <w:rFonts w:ascii="Abadi" w:hAnsi="Abadi" w:cs="*Verdana-Bold-8735-Identity-H"/>
          <w:b/>
          <w:bCs/>
          <w:color w:val="111013"/>
          <w:sz w:val="21"/>
          <w:szCs w:val="21"/>
        </w:rPr>
      </w:pPr>
      <w:r w:rsidRPr="007729D2">
        <w:rPr>
          <w:rFonts w:ascii="Abadi" w:hAnsi="Abadi" w:cs="*Verdana-Bold-8735-Identity-H"/>
          <w:b/>
          <w:bCs/>
          <w:color w:val="111013"/>
          <w:sz w:val="21"/>
          <w:szCs w:val="21"/>
        </w:rPr>
        <w:t>Dictamen</w:t>
      </w:r>
    </w:p>
    <w:p w14:paraId="0855A4BA" w14:textId="77777777" w:rsidR="006B7FC5" w:rsidRDefault="006B7FC5" w:rsidP="006B7FC5">
      <w:pPr>
        <w:autoSpaceDE w:val="0"/>
        <w:autoSpaceDN w:val="0"/>
        <w:adjustRightInd w:val="0"/>
        <w:jc w:val="both"/>
        <w:rPr>
          <w:rFonts w:ascii="Abadi" w:hAnsi="Abadi" w:cs="*Verdana-Bold-8735-Identity-H"/>
          <w:b/>
          <w:bCs/>
          <w:color w:val="121017"/>
          <w:sz w:val="21"/>
          <w:szCs w:val="21"/>
        </w:rPr>
      </w:pPr>
    </w:p>
    <w:p w14:paraId="589D1AC2" w14:textId="77777777" w:rsidR="006B7FC5" w:rsidRPr="007729D2" w:rsidRDefault="006B7FC5" w:rsidP="006B7FC5">
      <w:pPr>
        <w:autoSpaceDE w:val="0"/>
        <w:autoSpaceDN w:val="0"/>
        <w:adjustRightInd w:val="0"/>
        <w:ind w:firstLine="708"/>
        <w:jc w:val="both"/>
        <w:rPr>
          <w:rFonts w:ascii="Abadi" w:hAnsi="Abadi" w:cs="*Verdana-Bold-8735-Identity-H"/>
          <w:b/>
          <w:bCs/>
          <w:color w:val="121017"/>
          <w:sz w:val="21"/>
          <w:szCs w:val="21"/>
        </w:rPr>
      </w:pPr>
      <w:r w:rsidRPr="007729D2">
        <w:rPr>
          <w:rFonts w:ascii="Abadi" w:hAnsi="Abadi" w:cs="*Verdana-Bold-8735-Identity-H"/>
          <w:b/>
          <w:bCs/>
          <w:color w:val="121017"/>
          <w:sz w:val="21"/>
          <w:szCs w:val="21"/>
        </w:rPr>
        <w:t>I. Proceso legislativo.</w:t>
      </w:r>
    </w:p>
    <w:p w14:paraId="1E185E3E" w14:textId="77777777" w:rsidR="006B7FC5" w:rsidRDefault="006B7FC5" w:rsidP="006B7FC5">
      <w:pPr>
        <w:autoSpaceDE w:val="0"/>
        <w:autoSpaceDN w:val="0"/>
        <w:adjustRightInd w:val="0"/>
        <w:jc w:val="both"/>
        <w:rPr>
          <w:rFonts w:ascii="Abadi" w:hAnsi="Abadi" w:cs="*Verdana-Bold-8735-Identity-H"/>
          <w:b/>
          <w:bCs/>
          <w:color w:val="111013"/>
          <w:sz w:val="21"/>
          <w:szCs w:val="21"/>
        </w:rPr>
      </w:pPr>
    </w:p>
    <w:p w14:paraId="27E43B3B" w14:textId="77777777" w:rsidR="006B7FC5" w:rsidRPr="007729D2" w:rsidRDefault="006B7FC5" w:rsidP="006B7FC5">
      <w:pPr>
        <w:autoSpaceDE w:val="0"/>
        <w:autoSpaceDN w:val="0"/>
        <w:adjustRightInd w:val="0"/>
        <w:jc w:val="both"/>
        <w:rPr>
          <w:rFonts w:ascii="Abadi" w:hAnsi="Abadi" w:cs="*Verdana-Bold-8735-Identity-H"/>
          <w:b/>
          <w:bCs/>
          <w:color w:val="111013"/>
          <w:sz w:val="21"/>
          <w:szCs w:val="21"/>
        </w:rPr>
      </w:pPr>
    </w:p>
    <w:p w14:paraId="79C0FD94" w14:textId="77777777" w:rsidR="006B7FC5" w:rsidRDefault="006B7FC5" w:rsidP="006B7FC5">
      <w:pPr>
        <w:autoSpaceDE w:val="0"/>
        <w:autoSpaceDN w:val="0"/>
        <w:adjustRightInd w:val="0"/>
        <w:ind w:firstLine="708"/>
        <w:jc w:val="both"/>
        <w:rPr>
          <w:rFonts w:ascii="Abadi" w:hAnsi="Abadi" w:cs="*Verdana-8734-Identity-H"/>
          <w:color w:val="121214"/>
          <w:sz w:val="21"/>
          <w:szCs w:val="21"/>
        </w:rPr>
      </w:pPr>
      <w:r w:rsidRPr="00112669">
        <w:rPr>
          <w:rFonts w:ascii="Abadi" w:hAnsi="Abadi" w:cs="*Verdana-8734-Identity-H"/>
          <w:b/>
          <w:bCs/>
          <w:color w:val="121214"/>
          <w:sz w:val="21"/>
          <w:szCs w:val="21"/>
        </w:rPr>
        <w:t>I.1.</w:t>
      </w:r>
      <w:r w:rsidRPr="007729D2">
        <w:rPr>
          <w:rFonts w:ascii="Abadi" w:hAnsi="Abadi" w:cs="*Verdana-8734-Identity-H"/>
          <w:color w:val="121214"/>
          <w:sz w:val="21"/>
          <w:szCs w:val="21"/>
        </w:rPr>
        <w:t xml:space="preserve"> En sesión ordinaria celebrada el 22 de noviembre de 2018 se presentó la</w:t>
      </w:r>
      <w:r>
        <w:rPr>
          <w:rFonts w:ascii="Abadi" w:hAnsi="Abadi" w:cs="*Verdana-8734-Identity-H"/>
          <w:color w:val="121214"/>
          <w:sz w:val="21"/>
          <w:szCs w:val="21"/>
        </w:rPr>
        <w:t xml:space="preserve"> </w:t>
      </w:r>
      <w:r w:rsidRPr="007729D2">
        <w:rPr>
          <w:rFonts w:ascii="Abadi" w:hAnsi="Abadi" w:cs="*Verdana-8734-Identity-H"/>
          <w:color w:val="121214"/>
          <w:sz w:val="21"/>
          <w:szCs w:val="21"/>
        </w:rPr>
        <w:t>iniciativa formulada por las diputadas y los diputados Integrantes del Grupo</w:t>
      </w:r>
      <w:r>
        <w:rPr>
          <w:rFonts w:ascii="Abadi" w:hAnsi="Abadi" w:cs="*Verdana-8734-Identity-H"/>
          <w:color w:val="121214"/>
          <w:sz w:val="21"/>
          <w:szCs w:val="21"/>
        </w:rPr>
        <w:t xml:space="preserve"> </w:t>
      </w:r>
      <w:r w:rsidRPr="007729D2">
        <w:rPr>
          <w:rFonts w:ascii="Abadi" w:hAnsi="Abadi" w:cs="*Verdana-8734-Identity-H"/>
          <w:color w:val="121214"/>
          <w:sz w:val="21"/>
          <w:szCs w:val="21"/>
        </w:rPr>
        <w:t>Parlamentario del Partido Revolucionario Institucional ante la Sexagésima Cuarta</w:t>
      </w:r>
      <w:r>
        <w:rPr>
          <w:rFonts w:ascii="Abadi" w:hAnsi="Abadi" w:cs="*Verdana-8734-Identity-H"/>
          <w:color w:val="121214"/>
          <w:sz w:val="21"/>
          <w:szCs w:val="21"/>
        </w:rPr>
        <w:t xml:space="preserve"> </w:t>
      </w:r>
      <w:r w:rsidRPr="007729D2">
        <w:rPr>
          <w:rFonts w:ascii="Abadi" w:hAnsi="Abadi" w:cs="*Verdana-8734-Identity-H"/>
          <w:color w:val="121214"/>
          <w:sz w:val="21"/>
          <w:szCs w:val="21"/>
        </w:rPr>
        <w:t>Legislatura, a efecto de reformar el artículo 11 y derogar el Capítulo III del Título</w:t>
      </w:r>
      <w:r>
        <w:rPr>
          <w:rFonts w:ascii="Abadi" w:hAnsi="Abadi" w:cs="*Verdana-8734-Identity-H"/>
          <w:color w:val="121214"/>
          <w:sz w:val="21"/>
          <w:szCs w:val="21"/>
        </w:rPr>
        <w:t xml:space="preserve"> </w:t>
      </w:r>
      <w:r w:rsidRPr="007729D2">
        <w:rPr>
          <w:rFonts w:ascii="Abadi" w:hAnsi="Abadi" w:cs="*Verdana-8734-Identity-H"/>
          <w:color w:val="121214"/>
          <w:sz w:val="21"/>
          <w:szCs w:val="21"/>
        </w:rPr>
        <w:t>Segundo de la Ley de Concesiones de Servicios e Infraestructura Pública para el Estado</w:t>
      </w:r>
      <w:r>
        <w:rPr>
          <w:rFonts w:ascii="Abadi" w:hAnsi="Abadi" w:cs="*Verdana-8734-Identity-H"/>
          <w:color w:val="121214"/>
          <w:sz w:val="21"/>
          <w:szCs w:val="21"/>
        </w:rPr>
        <w:t xml:space="preserve"> </w:t>
      </w:r>
      <w:r w:rsidRPr="007729D2">
        <w:rPr>
          <w:rFonts w:ascii="Abadi" w:hAnsi="Abadi" w:cs="*Verdana-8734-Identity-H"/>
          <w:color w:val="121214"/>
          <w:sz w:val="21"/>
          <w:szCs w:val="21"/>
        </w:rPr>
        <w:t>de Guanajuato.</w:t>
      </w:r>
    </w:p>
    <w:p w14:paraId="7BCD0AFA" w14:textId="77777777" w:rsidR="006B7FC5" w:rsidRPr="007729D2" w:rsidRDefault="006B7FC5" w:rsidP="006B7FC5">
      <w:pPr>
        <w:autoSpaceDE w:val="0"/>
        <w:autoSpaceDN w:val="0"/>
        <w:adjustRightInd w:val="0"/>
        <w:jc w:val="both"/>
        <w:rPr>
          <w:rFonts w:ascii="Abadi" w:hAnsi="Abadi" w:cs="*Verdana-8734-Identity-H"/>
          <w:color w:val="121214"/>
          <w:sz w:val="21"/>
          <w:szCs w:val="21"/>
        </w:rPr>
      </w:pPr>
    </w:p>
    <w:p w14:paraId="042B0E89" w14:textId="77777777" w:rsidR="006B7FC5" w:rsidRDefault="006B7FC5" w:rsidP="006B7FC5">
      <w:pPr>
        <w:autoSpaceDE w:val="0"/>
        <w:autoSpaceDN w:val="0"/>
        <w:adjustRightInd w:val="0"/>
        <w:ind w:firstLine="708"/>
        <w:jc w:val="both"/>
        <w:rPr>
          <w:rFonts w:ascii="Abadi" w:hAnsi="Abadi" w:cs="*Verdana-8734-Identity-H"/>
          <w:color w:val="111112"/>
          <w:sz w:val="21"/>
          <w:szCs w:val="21"/>
        </w:rPr>
      </w:pPr>
      <w:r w:rsidRPr="007729D2">
        <w:rPr>
          <w:rFonts w:ascii="Abadi" w:hAnsi="Abadi" w:cs="*Verdana-8734-Identity-H"/>
          <w:color w:val="111112"/>
          <w:sz w:val="21"/>
          <w:szCs w:val="21"/>
        </w:rPr>
        <w:t>La presidencia del Congreso turnó la referida iniciativa a la Comisión de Hacienda y</w:t>
      </w:r>
      <w:r>
        <w:rPr>
          <w:rFonts w:ascii="Abadi" w:hAnsi="Abadi" w:cs="*Verdana-8734-Identity-H"/>
          <w:color w:val="111112"/>
          <w:sz w:val="21"/>
          <w:szCs w:val="21"/>
        </w:rPr>
        <w:t xml:space="preserve"> </w:t>
      </w:r>
      <w:r w:rsidRPr="007729D2">
        <w:rPr>
          <w:rFonts w:ascii="Abadi" w:hAnsi="Abadi" w:cs="*Verdana-8734-Identity-H"/>
          <w:color w:val="111112"/>
          <w:sz w:val="21"/>
          <w:szCs w:val="21"/>
        </w:rPr>
        <w:t xml:space="preserve">Fiscalización </w:t>
      </w:r>
      <w:r>
        <w:rPr>
          <w:rFonts w:ascii="Abadi" w:hAnsi="Abadi" w:cs="*Verdana-8734-Identity-H"/>
          <w:color w:val="111112"/>
          <w:sz w:val="21"/>
          <w:szCs w:val="21"/>
        </w:rPr>
        <w:t>Para</w:t>
      </w:r>
      <w:r w:rsidRPr="007729D2">
        <w:rPr>
          <w:rFonts w:ascii="Abadi" w:hAnsi="Abadi" w:cs="*Verdana-8734-Identity-H"/>
          <w:color w:val="111112"/>
          <w:sz w:val="21"/>
          <w:szCs w:val="21"/>
        </w:rPr>
        <w:t xml:space="preserve"> su estudio y dictamen, misma que la radicó el 28 de noviembre de</w:t>
      </w:r>
      <w:r>
        <w:rPr>
          <w:rFonts w:ascii="Abadi" w:hAnsi="Abadi" w:cs="*Verdana-8734-Identity-H"/>
          <w:color w:val="111112"/>
          <w:sz w:val="21"/>
          <w:szCs w:val="21"/>
        </w:rPr>
        <w:t xml:space="preserve"> </w:t>
      </w:r>
      <w:r w:rsidRPr="007729D2">
        <w:rPr>
          <w:rFonts w:ascii="Abadi" w:hAnsi="Abadi" w:cs="*Verdana-8734-Identity-H"/>
          <w:color w:val="111112"/>
          <w:sz w:val="21"/>
          <w:szCs w:val="21"/>
        </w:rPr>
        <w:t>2018.</w:t>
      </w:r>
    </w:p>
    <w:p w14:paraId="02D95F09" w14:textId="77777777" w:rsidR="006B7FC5" w:rsidRPr="007729D2" w:rsidRDefault="006B7FC5" w:rsidP="006B7FC5">
      <w:pPr>
        <w:autoSpaceDE w:val="0"/>
        <w:autoSpaceDN w:val="0"/>
        <w:adjustRightInd w:val="0"/>
        <w:jc w:val="both"/>
        <w:rPr>
          <w:rFonts w:ascii="Abadi" w:hAnsi="Abadi" w:cs="*Verdana-8734-Identity-H"/>
          <w:color w:val="111112"/>
          <w:sz w:val="21"/>
          <w:szCs w:val="21"/>
        </w:rPr>
      </w:pPr>
    </w:p>
    <w:p w14:paraId="681F97C3" w14:textId="77777777" w:rsidR="006B7FC5" w:rsidRPr="007729D2" w:rsidRDefault="006B7FC5" w:rsidP="006B7FC5">
      <w:pPr>
        <w:autoSpaceDE w:val="0"/>
        <w:autoSpaceDN w:val="0"/>
        <w:adjustRightInd w:val="0"/>
        <w:ind w:firstLine="708"/>
        <w:jc w:val="both"/>
        <w:rPr>
          <w:rFonts w:ascii="Abadi" w:hAnsi="Abadi" w:cs="*Verdana-8734-Identity-H"/>
          <w:color w:val="121214"/>
          <w:sz w:val="21"/>
          <w:szCs w:val="21"/>
        </w:rPr>
      </w:pPr>
      <w:r w:rsidRPr="00944C80">
        <w:rPr>
          <w:rFonts w:ascii="Abadi" w:hAnsi="Abadi" w:cs="*Verdana-8734-Identity-H"/>
          <w:b/>
          <w:bCs/>
          <w:color w:val="121214"/>
          <w:sz w:val="21"/>
          <w:szCs w:val="21"/>
        </w:rPr>
        <w:t>I.2.</w:t>
      </w:r>
      <w:r w:rsidRPr="007729D2">
        <w:rPr>
          <w:rFonts w:ascii="Abadi" w:hAnsi="Abadi" w:cs="*Verdana-8734-Identity-H"/>
          <w:color w:val="121214"/>
          <w:sz w:val="21"/>
          <w:szCs w:val="21"/>
        </w:rPr>
        <w:t xml:space="preserve"> En la reunión de la Comisión de Hacienda </w:t>
      </w:r>
      <w:r w:rsidRPr="007729D2">
        <w:rPr>
          <w:rFonts w:ascii="Abadi" w:hAnsi="Abadi" w:cs="*Times New Roman-Italic-8733-Id"/>
          <w:i/>
          <w:iCs/>
          <w:color w:val="121214"/>
          <w:sz w:val="21"/>
          <w:szCs w:val="21"/>
        </w:rPr>
        <w:t xml:space="preserve">y </w:t>
      </w:r>
      <w:r w:rsidRPr="007729D2">
        <w:rPr>
          <w:rFonts w:ascii="Abadi" w:hAnsi="Abadi" w:cs="*Verdana-8734-Identity-H"/>
          <w:color w:val="121214"/>
          <w:sz w:val="21"/>
          <w:szCs w:val="21"/>
        </w:rPr>
        <w:t>Fiscalización que tuvo verificativo el</w:t>
      </w:r>
      <w:r>
        <w:rPr>
          <w:rFonts w:ascii="Abadi" w:hAnsi="Abadi" w:cs="*Verdana-8734-Identity-H"/>
          <w:color w:val="121214"/>
          <w:sz w:val="21"/>
          <w:szCs w:val="21"/>
        </w:rPr>
        <w:t xml:space="preserve"> </w:t>
      </w:r>
      <w:r w:rsidRPr="007729D2">
        <w:rPr>
          <w:rFonts w:ascii="Abadi" w:hAnsi="Abadi" w:cs="*Verdana-8734-Identity-H"/>
          <w:color w:val="121214"/>
          <w:sz w:val="21"/>
          <w:szCs w:val="21"/>
        </w:rPr>
        <w:t>13 de mayo de 2019 se aprobó como metodología para el análisis y dictaminación de</w:t>
      </w:r>
      <w:r>
        <w:rPr>
          <w:rFonts w:ascii="Abadi" w:hAnsi="Abadi" w:cs="*Verdana-8734-Identity-H"/>
          <w:color w:val="121214"/>
          <w:sz w:val="21"/>
          <w:szCs w:val="21"/>
        </w:rPr>
        <w:t xml:space="preserve"> </w:t>
      </w:r>
      <w:r w:rsidRPr="007729D2">
        <w:rPr>
          <w:rFonts w:ascii="Abadi" w:hAnsi="Abadi" w:cs="*Verdana-8734-Identity-H"/>
          <w:color w:val="121214"/>
          <w:sz w:val="21"/>
          <w:szCs w:val="21"/>
        </w:rPr>
        <w:t>la iniciativa, que la misma se remitiera a las diputadas y a los diputados integrantes de</w:t>
      </w:r>
      <w:r>
        <w:rPr>
          <w:rFonts w:ascii="Abadi" w:hAnsi="Abadi" w:cs="*Verdana-8734-Identity-H"/>
          <w:color w:val="121214"/>
          <w:sz w:val="21"/>
          <w:szCs w:val="21"/>
        </w:rPr>
        <w:t xml:space="preserve"> </w:t>
      </w:r>
      <w:r w:rsidRPr="007729D2">
        <w:rPr>
          <w:rFonts w:ascii="Abadi" w:hAnsi="Abadi" w:cs="*Verdana-8734-Identity-H"/>
          <w:color w:val="121214"/>
          <w:sz w:val="21"/>
          <w:szCs w:val="21"/>
        </w:rPr>
        <w:t>la Sexagésima Cuarta Legislatura, al Comité Coordinador del Sistema Estatal</w:t>
      </w:r>
      <w:r>
        <w:rPr>
          <w:rFonts w:ascii="Abadi" w:hAnsi="Abadi" w:cs="*Verdana-8734-Identity-H"/>
          <w:color w:val="121214"/>
          <w:sz w:val="21"/>
          <w:szCs w:val="21"/>
        </w:rPr>
        <w:t xml:space="preserve"> </w:t>
      </w:r>
      <w:r w:rsidRPr="007729D2">
        <w:rPr>
          <w:rFonts w:ascii="Abadi" w:hAnsi="Abadi" w:cs="*Verdana-8734-Identity-H"/>
          <w:color w:val="121214"/>
          <w:sz w:val="21"/>
          <w:szCs w:val="21"/>
        </w:rPr>
        <w:t xml:space="preserve">Anticorrupción, a la Secretaría de Finanzas, Inversión </w:t>
      </w:r>
      <w:r w:rsidRPr="007729D2">
        <w:rPr>
          <w:rFonts w:ascii="Abadi" w:hAnsi="Abadi" w:cs="*Times New Roman-Italic-8733-Id"/>
          <w:i/>
          <w:iCs/>
          <w:color w:val="121214"/>
          <w:sz w:val="21"/>
          <w:szCs w:val="21"/>
        </w:rPr>
        <w:t xml:space="preserve">y </w:t>
      </w:r>
      <w:r w:rsidRPr="007729D2">
        <w:rPr>
          <w:rFonts w:ascii="Abadi" w:hAnsi="Abadi" w:cs="*Verdana-8734-Identity-H"/>
          <w:color w:val="121214"/>
          <w:sz w:val="21"/>
          <w:szCs w:val="21"/>
        </w:rPr>
        <w:t>Administración, a la</w:t>
      </w:r>
      <w:r>
        <w:rPr>
          <w:rFonts w:ascii="Abadi" w:hAnsi="Abadi" w:cs="*Verdana-8734-Identity-H"/>
          <w:color w:val="121214"/>
          <w:sz w:val="21"/>
          <w:szCs w:val="21"/>
        </w:rPr>
        <w:t xml:space="preserve"> </w:t>
      </w:r>
      <w:r w:rsidRPr="007729D2">
        <w:rPr>
          <w:rFonts w:ascii="Abadi" w:hAnsi="Abadi" w:cs="*Verdana-8734-Identity-H"/>
          <w:color w:val="121214"/>
          <w:sz w:val="21"/>
          <w:szCs w:val="21"/>
        </w:rPr>
        <w:t>Coordinación General Jurídica de Gobierno del Estado, a la Secretaría de</w:t>
      </w:r>
      <w:r>
        <w:rPr>
          <w:rFonts w:ascii="Abadi" w:hAnsi="Abadi" w:cs="*Verdana-8734-Identity-H"/>
          <w:color w:val="121214"/>
          <w:sz w:val="21"/>
          <w:szCs w:val="21"/>
        </w:rPr>
        <w:t xml:space="preserve"> </w:t>
      </w:r>
      <w:r w:rsidRPr="007729D2">
        <w:rPr>
          <w:rFonts w:ascii="Abadi" w:hAnsi="Abadi" w:cs="*Verdana-8734-Identity-H"/>
          <w:color w:val="121214"/>
          <w:sz w:val="21"/>
          <w:szCs w:val="21"/>
        </w:rPr>
        <w:t>Infraestructura, Conectividad y Movilidad, a la Auditoría Superior del Estado y a la</w:t>
      </w:r>
      <w:r>
        <w:rPr>
          <w:rFonts w:ascii="Abadi" w:hAnsi="Abadi" w:cs="*Verdana-8734-Identity-H"/>
          <w:color w:val="121214"/>
          <w:sz w:val="21"/>
          <w:szCs w:val="21"/>
        </w:rPr>
        <w:t xml:space="preserve"> </w:t>
      </w:r>
      <w:r w:rsidRPr="007729D2">
        <w:rPr>
          <w:rFonts w:ascii="Abadi" w:hAnsi="Abadi" w:cs="*Verdana-8734-Identity-H"/>
          <w:color w:val="121214"/>
          <w:sz w:val="21"/>
          <w:szCs w:val="21"/>
        </w:rPr>
        <w:t>Unidad de Estudios de las Finanzas Públicas del Congreso del Estado, quienes contaron</w:t>
      </w:r>
      <w:r>
        <w:rPr>
          <w:rFonts w:ascii="Abadi" w:hAnsi="Abadi" w:cs="*Verdana-8734-Identity-H"/>
          <w:color w:val="121214"/>
          <w:sz w:val="21"/>
          <w:szCs w:val="21"/>
        </w:rPr>
        <w:t xml:space="preserve"> </w:t>
      </w:r>
      <w:r w:rsidRPr="007729D2">
        <w:rPr>
          <w:rFonts w:ascii="Abadi" w:hAnsi="Abadi" w:cs="*Verdana-8734-Identity-H"/>
          <w:color w:val="121214"/>
          <w:sz w:val="21"/>
          <w:szCs w:val="21"/>
        </w:rPr>
        <w:t>con un plazo de 15 días hábiles, para remitir los comentarios y observaciones que</w:t>
      </w:r>
      <w:r>
        <w:rPr>
          <w:rFonts w:ascii="Abadi" w:hAnsi="Abadi" w:cs="*Verdana-8734-Identity-H"/>
          <w:color w:val="121214"/>
          <w:sz w:val="21"/>
          <w:szCs w:val="21"/>
        </w:rPr>
        <w:t xml:space="preserve"> </w:t>
      </w:r>
      <w:r w:rsidRPr="007729D2">
        <w:rPr>
          <w:rFonts w:ascii="Abadi" w:hAnsi="Abadi" w:cs="*Verdana-8734-Identity-H"/>
          <w:color w:val="121214"/>
          <w:sz w:val="21"/>
          <w:szCs w:val="21"/>
        </w:rPr>
        <w:t xml:space="preserve">estimaron pertinentes. Se estableció además un </w:t>
      </w:r>
      <w:proofErr w:type="gramStart"/>
      <w:r w:rsidRPr="007729D2">
        <w:rPr>
          <w:rFonts w:ascii="Abadi" w:hAnsi="Abadi" w:cs="*Verdana-8734-Identity-H"/>
          <w:color w:val="121214"/>
          <w:sz w:val="21"/>
          <w:szCs w:val="21"/>
        </w:rPr>
        <w:t>link</w:t>
      </w:r>
      <w:proofErr w:type="gramEnd"/>
      <w:r w:rsidRPr="007729D2">
        <w:rPr>
          <w:rFonts w:ascii="Abadi" w:hAnsi="Abadi" w:cs="*Verdana-8734-Identity-H"/>
          <w:color w:val="121214"/>
          <w:sz w:val="21"/>
          <w:szCs w:val="21"/>
        </w:rPr>
        <w:t xml:space="preserve"> en la página web del Congreso del</w:t>
      </w:r>
      <w:r>
        <w:rPr>
          <w:rFonts w:ascii="Abadi" w:hAnsi="Abadi" w:cs="*Verdana-8734-Identity-H"/>
          <w:color w:val="121214"/>
          <w:sz w:val="21"/>
          <w:szCs w:val="21"/>
        </w:rPr>
        <w:t xml:space="preserve"> </w:t>
      </w:r>
      <w:r w:rsidRPr="007729D2">
        <w:rPr>
          <w:rFonts w:ascii="Abadi" w:hAnsi="Abadi" w:cs="*Verdana-8734-Identity-H"/>
          <w:color w:val="121214"/>
          <w:sz w:val="21"/>
          <w:szCs w:val="21"/>
        </w:rPr>
        <w:t>Estado, para que la iniciativa pudiera ser consultada y la ciudadanía pudiera emitir</w:t>
      </w:r>
      <w:r>
        <w:rPr>
          <w:rFonts w:ascii="Abadi" w:hAnsi="Abadi" w:cs="*Verdana-8734-Identity-H"/>
          <w:color w:val="121214"/>
          <w:sz w:val="21"/>
          <w:szCs w:val="21"/>
        </w:rPr>
        <w:t xml:space="preserve"> </w:t>
      </w:r>
      <w:r w:rsidRPr="007729D2">
        <w:rPr>
          <w:rFonts w:ascii="Abadi" w:hAnsi="Abadi" w:cs="*Verdana-8734-Identity-H"/>
          <w:color w:val="121214"/>
          <w:sz w:val="21"/>
          <w:szCs w:val="21"/>
        </w:rPr>
        <w:t>observaciones en un plazo de 15 días hábiles.</w:t>
      </w:r>
    </w:p>
    <w:p w14:paraId="1F0DF63A" w14:textId="77777777" w:rsidR="006B7FC5" w:rsidRPr="007729D2" w:rsidRDefault="006B7FC5" w:rsidP="006B7FC5">
      <w:pPr>
        <w:jc w:val="both"/>
        <w:rPr>
          <w:rFonts w:ascii="Abadi" w:hAnsi="Abadi" w:cs="*Verdana-8734-Identity-H"/>
          <w:color w:val="121214"/>
          <w:sz w:val="21"/>
          <w:szCs w:val="21"/>
        </w:rPr>
      </w:pPr>
    </w:p>
    <w:p w14:paraId="75ABC624" w14:textId="77777777" w:rsidR="006B7FC5" w:rsidRDefault="006B7FC5" w:rsidP="006B7FC5">
      <w:pPr>
        <w:autoSpaceDE w:val="0"/>
        <w:autoSpaceDN w:val="0"/>
        <w:adjustRightInd w:val="0"/>
        <w:jc w:val="both"/>
        <w:rPr>
          <w:rFonts w:ascii="Abadi" w:hAnsi="Abadi" w:cs="*Verdana-14220-Identity-H"/>
          <w:color w:val="121214"/>
          <w:sz w:val="21"/>
          <w:szCs w:val="21"/>
        </w:rPr>
      </w:pPr>
      <w:r w:rsidRPr="007729D2">
        <w:rPr>
          <w:rFonts w:ascii="Abadi" w:hAnsi="Abadi" w:cs="*Verdana-14220-Identity-H"/>
          <w:color w:val="121214"/>
          <w:sz w:val="21"/>
          <w:szCs w:val="21"/>
        </w:rPr>
        <w:t>Al respecto, se recibieron observaciones, propuestas y comentarios de: la Auditoría</w:t>
      </w:r>
      <w:r>
        <w:rPr>
          <w:rFonts w:ascii="Abadi" w:hAnsi="Abadi" w:cs="*Verdana-14220-Identity-H"/>
          <w:color w:val="121214"/>
          <w:sz w:val="21"/>
          <w:szCs w:val="21"/>
        </w:rPr>
        <w:t xml:space="preserve"> </w:t>
      </w:r>
      <w:r w:rsidRPr="007729D2">
        <w:rPr>
          <w:rFonts w:ascii="Abadi" w:hAnsi="Abadi" w:cs="*Verdana-14220-Identity-H"/>
          <w:color w:val="121214"/>
          <w:sz w:val="21"/>
          <w:szCs w:val="21"/>
        </w:rPr>
        <w:t>Superior del Estado de Guanajuato; un integrante del Comité de Participación</w:t>
      </w:r>
      <w:r>
        <w:rPr>
          <w:rFonts w:ascii="Abadi" w:hAnsi="Abadi" w:cs="*Verdana-14220-Identity-H"/>
          <w:color w:val="121214"/>
          <w:sz w:val="21"/>
          <w:szCs w:val="21"/>
        </w:rPr>
        <w:t xml:space="preserve"> </w:t>
      </w:r>
      <w:r w:rsidRPr="007729D2">
        <w:rPr>
          <w:rFonts w:ascii="Abadi" w:hAnsi="Abadi" w:cs="*Verdana-14220-Identity-H"/>
          <w:color w:val="121214"/>
          <w:sz w:val="21"/>
          <w:szCs w:val="21"/>
        </w:rPr>
        <w:t>Ciudadana y del Comité Coordinador del Sistema Estatal Anticorrupción de</w:t>
      </w:r>
      <w:r>
        <w:rPr>
          <w:rFonts w:ascii="Abadi" w:hAnsi="Abadi" w:cs="*Verdana-14220-Identity-H"/>
          <w:color w:val="121214"/>
          <w:sz w:val="21"/>
          <w:szCs w:val="21"/>
        </w:rPr>
        <w:t xml:space="preserve"> </w:t>
      </w:r>
      <w:r w:rsidRPr="007729D2">
        <w:rPr>
          <w:rFonts w:ascii="Abadi" w:hAnsi="Abadi" w:cs="*Verdana-14220-Identity-H"/>
          <w:color w:val="121214"/>
          <w:sz w:val="21"/>
          <w:szCs w:val="21"/>
        </w:rPr>
        <w:t>Guanajuato; y la Unidad de Estudios de las Finanzas Públicas del Congreso del Estado.</w:t>
      </w:r>
    </w:p>
    <w:p w14:paraId="59DD4053" w14:textId="77777777" w:rsidR="006B7FC5" w:rsidRPr="007729D2" w:rsidRDefault="006B7FC5" w:rsidP="006B7FC5">
      <w:pPr>
        <w:autoSpaceDE w:val="0"/>
        <w:autoSpaceDN w:val="0"/>
        <w:adjustRightInd w:val="0"/>
        <w:jc w:val="both"/>
        <w:rPr>
          <w:rFonts w:ascii="Abadi" w:hAnsi="Abadi" w:cs="*Verdana-14220-Identity-H"/>
          <w:color w:val="121214"/>
          <w:sz w:val="21"/>
          <w:szCs w:val="21"/>
        </w:rPr>
      </w:pPr>
    </w:p>
    <w:p w14:paraId="17F983B3" w14:textId="77777777" w:rsidR="006B7FC5" w:rsidRDefault="006B7FC5" w:rsidP="006B7FC5">
      <w:pPr>
        <w:autoSpaceDE w:val="0"/>
        <w:autoSpaceDN w:val="0"/>
        <w:adjustRightInd w:val="0"/>
        <w:jc w:val="both"/>
        <w:rPr>
          <w:rFonts w:ascii="Abadi" w:hAnsi="Abadi" w:cs="*Verdana-14220-Identity-H"/>
          <w:color w:val="111013"/>
          <w:sz w:val="21"/>
          <w:szCs w:val="21"/>
        </w:rPr>
      </w:pPr>
      <w:r w:rsidRPr="007729D2">
        <w:rPr>
          <w:rFonts w:ascii="Abadi" w:hAnsi="Abadi" w:cs="*Verdana-14220-Identity-H"/>
          <w:color w:val="111013"/>
          <w:sz w:val="21"/>
          <w:szCs w:val="21"/>
        </w:rPr>
        <w:t>Se elaboró un documento con formato de comparativo, mismo que se circuló a quienes</w:t>
      </w:r>
      <w:r>
        <w:rPr>
          <w:rFonts w:ascii="Abadi" w:hAnsi="Abadi" w:cs="*Verdana-14220-Identity-H"/>
          <w:color w:val="111013"/>
          <w:sz w:val="21"/>
          <w:szCs w:val="21"/>
        </w:rPr>
        <w:t xml:space="preserve"> </w:t>
      </w:r>
      <w:r w:rsidRPr="007729D2">
        <w:rPr>
          <w:rFonts w:ascii="Abadi" w:hAnsi="Abadi" w:cs="*Verdana-14220-Identity-H"/>
          <w:color w:val="111013"/>
          <w:sz w:val="21"/>
          <w:szCs w:val="21"/>
        </w:rPr>
        <w:t>integraban la Comisión el 7 de junio de 2019.</w:t>
      </w:r>
    </w:p>
    <w:p w14:paraId="5A3E31CF" w14:textId="77777777" w:rsidR="006B7FC5" w:rsidRPr="007729D2" w:rsidRDefault="006B7FC5" w:rsidP="006B7FC5">
      <w:pPr>
        <w:autoSpaceDE w:val="0"/>
        <w:autoSpaceDN w:val="0"/>
        <w:adjustRightInd w:val="0"/>
        <w:jc w:val="both"/>
        <w:rPr>
          <w:rFonts w:ascii="Abadi" w:hAnsi="Abadi" w:cs="*Verdana-14220-Identity-H"/>
          <w:color w:val="111013"/>
          <w:sz w:val="21"/>
          <w:szCs w:val="21"/>
        </w:rPr>
      </w:pPr>
    </w:p>
    <w:p w14:paraId="1F09AC7D" w14:textId="77777777" w:rsidR="006B7FC5" w:rsidRDefault="006B7FC5" w:rsidP="006B7FC5">
      <w:pPr>
        <w:autoSpaceDE w:val="0"/>
        <w:autoSpaceDN w:val="0"/>
        <w:adjustRightInd w:val="0"/>
        <w:jc w:val="both"/>
        <w:rPr>
          <w:rFonts w:ascii="Abadi" w:hAnsi="Abadi" w:cs="*Verdana-14220-Identity-H"/>
          <w:color w:val="121214"/>
          <w:sz w:val="21"/>
          <w:szCs w:val="21"/>
        </w:rPr>
      </w:pPr>
      <w:r w:rsidRPr="00232BA5">
        <w:rPr>
          <w:rFonts w:ascii="Abadi" w:hAnsi="Abadi" w:cs="*Verdana-14220-Identity-H"/>
          <w:b/>
          <w:bCs/>
          <w:color w:val="121214"/>
          <w:sz w:val="21"/>
          <w:szCs w:val="21"/>
        </w:rPr>
        <w:t>I.3.</w:t>
      </w:r>
      <w:r w:rsidRPr="007729D2">
        <w:rPr>
          <w:rFonts w:ascii="Abadi" w:hAnsi="Abadi" w:cs="*Verdana-14220-Identity-H"/>
          <w:color w:val="121214"/>
          <w:sz w:val="21"/>
          <w:szCs w:val="21"/>
        </w:rPr>
        <w:t xml:space="preserve"> La presidencia instruyó a la secretaría técnica la elaboración del proyecto de</w:t>
      </w:r>
      <w:r>
        <w:rPr>
          <w:rFonts w:ascii="Abadi" w:hAnsi="Abadi" w:cs="*Verdana-14220-Identity-H"/>
          <w:color w:val="121214"/>
          <w:sz w:val="21"/>
          <w:szCs w:val="21"/>
        </w:rPr>
        <w:t xml:space="preserve"> </w:t>
      </w:r>
      <w:r w:rsidRPr="007729D2">
        <w:rPr>
          <w:rFonts w:ascii="Abadi" w:hAnsi="Abadi" w:cs="*Verdana-14220-Identity-H"/>
          <w:color w:val="121214"/>
          <w:sz w:val="21"/>
          <w:szCs w:val="21"/>
        </w:rPr>
        <w:t>dictamen en sentido negativo, conforme lo dispuesto en los artículos 94, fracción VII y</w:t>
      </w:r>
      <w:r>
        <w:rPr>
          <w:rFonts w:ascii="Abadi" w:hAnsi="Abadi" w:cs="*Verdana-14220-Identity-H"/>
          <w:color w:val="121214"/>
          <w:sz w:val="21"/>
          <w:szCs w:val="21"/>
        </w:rPr>
        <w:t xml:space="preserve"> </w:t>
      </w:r>
      <w:r w:rsidRPr="007729D2">
        <w:rPr>
          <w:rFonts w:ascii="Abadi" w:hAnsi="Abadi" w:cs="*Verdana-14220-Identity-H"/>
          <w:color w:val="121214"/>
          <w:sz w:val="21"/>
          <w:szCs w:val="21"/>
        </w:rPr>
        <w:t>272 fracción VIII inciso e de la Ley Orgánica del Poder Legislativo del Estado, dicho</w:t>
      </w:r>
      <w:r>
        <w:rPr>
          <w:rFonts w:ascii="Abadi" w:hAnsi="Abadi" w:cs="*Verdana-14220-Identity-H"/>
          <w:color w:val="121214"/>
          <w:sz w:val="21"/>
          <w:szCs w:val="21"/>
        </w:rPr>
        <w:t xml:space="preserve"> </w:t>
      </w:r>
      <w:r w:rsidRPr="007729D2">
        <w:rPr>
          <w:rFonts w:ascii="Abadi" w:hAnsi="Abadi" w:cs="*Verdana-14220-Identity-H"/>
          <w:color w:val="121214"/>
          <w:sz w:val="21"/>
          <w:szCs w:val="21"/>
        </w:rPr>
        <w:t>proyecto fue materia de revisión por las diputadas y el diputado integrantes de esta</w:t>
      </w:r>
      <w:r>
        <w:rPr>
          <w:rFonts w:ascii="Abadi" w:hAnsi="Abadi" w:cs="*Verdana-14220-Identity-H"/>
          <w:color w:val="121214"/>
          <w:sz w:val="21"/>
          <w:szCs w:val="21"/>
        </w:rPr>
        <w:t xml:space="preserve"> </w:t>
      </w:r>
      <w:r w:rsidRPr="007729D2">
        <w:rPr>
          <w:rFonts w:ascii="Abadi" w:hAnsi="Abadi" w:cs="*Verdana-14220-Identity-H"/>
          <w:color w:val="121214"/>
          <w:sz w:val="21"/>
          <w:szCs w:val="21"/>
        </w:rPr>
        <w:t>Comisión Dictaminadora.</w:t>
      </w:r>
    </w:p>
    <w:p w14:paraId="512B0C87" w14:textId="77777777" w:rsidR="006B7FC5" w:rsidRPr="007729D2" w:rsidRDefault="006B7FC5" w:rsidP="006B7FC5">
      <w:pPr>
        <w:autoSpaceDE w:val="0"/>
        <w:autoSpaceDN w:val="0"/>
        <w:adjustRightInd w:val="0"/>
        <w:jc w:val="both"/>
        <w:rPr>
          <w:rFonts w:ascii="Abadi" w:hAnsi="Abadi" w:cs="*Verdana-14220-Identity-H"/>
          <w:color w:val="121214"/>
          <w:sz w:val="21"/>
          <w:szCs w:val="21"/>
        </w:rPr>
      </w:pPr>
    </w:p>
    <w:p w14:paraId="7B8C7E11" w14:textId="77777777" w:rsidR="006B7FC5" w:rsidRDefault="006B7FC5" w:rsidP="006B7FC5">
      <w:pPr>
        <w:autoSpaceDE w:val="0"/>
        <w:autoSpaceDN w:val="0"/>
        <w:adjustRightInd w:val="0"/>
        <w:jc w:val="both"/>
        <w:rPr>
          <w:rFonts w:ascii="Abadi" w:hAnsi="Abadi" w:cs="*Verdana-Bold-14221-Identity-H"/>
          <w:b/>
          <w:bCs/>
          <w:color w:val="0F0E14"/>
          <w:sz w:val="21"/>
          <w:szCs w:val="21"/>
        </w:rPr>
      </w:pPr>
      <w:r w:rsidRPr="007729D2">
        <w:rPr>
          <w:rFonts w:ascii="Abadi" w:hAnsi="Abadi" w:cs="*Verdana-Bold-14221-Identity-H"/>
          <w:b/>
          <w:bCs/>
          <w:color w:val="0F0E14"/>
          <w:sz w:val="21"/>
          <w:szCs w:val="21"/>
        </w:rPr>
        <w:t>II. Consideraciones de las y los iniciantes.</w:t>
      </w:r>
      <w:r>
        <w:rPr>
          <w:rFonts w:ascii="Abadi" w:hAnsi="Abadi" w:cs="*Verdana-Bold-14221-Identity-H"/>
          <w:b/>
          <w:bCs/>
          <w:color w:val="0F0E14"/>
          <w:sz w:val="21"/>
          <w:szCs w:val="21"/>
        </w:rPr>
        <w:t xml:space="preserve"> </w:t>
      </w:r>
    </w:p>
    <w:p w14:paraId="57CD4903" w14:textId="77777777" w:rsidR="006B7FC5" w:rsidRPr="007729D2" w:rsidRDefault="006B7FC5" w:rsidP="006B7FC5">
      <w:pPr>
        <w:autoSpaceDE w:val="0"/>
        <w:autoSpaceDN w:val="0"/>
        <w:adjustRightInd w:val="0"/>
        <w:jc w:val="both"/>
        <w:rPr>
          <w:rFonts w:ascii="Abadi" w:hAnsi="Abadi" w:cs="*Verdana-Bold-14221-Identity-H"/>
          <w:b/>
          <w:bCs/>
          <w:color w:val="0F0E14"/>
          <w:sz w:val="21"/>
          <w:szCs w:val="21"/>
        </w:rPr>
      </w:pPr>
    </w:p>
    <w:p w14:paraId="7976D539" w14:textId="77777777" w:rsidR="006B7FC5" w:rsidRDefault="006B7FC5" w:rsidP="006B7FC5">
      <w:pPr>
        <w:autoSpaceDE w:val="0"/>
        <w:autoSpaceDN w:val="0"/>
        <w:adjustRightInd w:val="0"/>
        <w:ind w:left="426"/>
        <w:jc w:val="both"/>
        <w:rPr>
          <w:rFonts w:ascii="Abadi" w:hAnsi="Abadi" w:cs="*Verdana-14220-Identity-H"/>
          <w:color w:val="161618"/>
          <w:sz w:val="21"/>
          <w:szCs w:val="21"/>
        </w:rPr>
      </w:pPr>
      <w:r w:rsidRPr="007729D2">
        <w:rPr>
          <w:rFonts w:ascii="Abadi" w:hAnsi="Abadi" w:cs="*Verdana-14220-Identity-H"/>
          <w:color w:val="121214"/>
          <w:sz w:val="21"/>
          <w:szCs w:val="21"/>
        </w:rPr>
        <w:t>En la exposición de motivos de la iniciativa materia del presente dictamen, se</w:t>
      </w:r>
      <w:r>
        <w:rPr>
          <w:rFonts w:ascii="Abadi" w:hAnsi="Abadi" w:cs="*Verdana-14220-Identity-H"/>
          <w:color w:val="121214"/>
          <w:sz w:val="21"/>
          <w:szCs w:val="21"/>
        </w:rPr>
        <w:t xml:space="preserve"> </w:t>
      </w:r>
      <w:r w:rsidRPr="007729D2">
        <w:rPr>
          <w:rFonts w:ascii="Abadi" w:hAnsi="Abadi" w:cs="*Verdana-14220-Identity-H"/>
          <w:color w:val="161618"/>
          <w:sz w:val="21"/>
          <w:szCs w:val="21"/>
        </w:rPr>
        <w:t>refiere:</w:t>
      </w:r>
    </w:p>
    <w:p w14:paraId="27C84A15" w14:textId="77777777" w:rsidR="006B7FC5" w:rsidRDefault="006B7FC5" w:rsidP="006B7FC5">
      <w:pPr>
        <w:autoSpaceDE w:val="0"/>
        <w:autoSpaceDN w:val="0"/>
        <w:adjustRightInd w:val="0"/>
        <w:ind w:left="426"/>
        <w:jc w:val="both"/>
        <w:rPr>
          <w:rFonts w:ascii="Abadi" w:hAnsi="Abadi" w:cs="*Verdana-Italic-14219-Identity-"/>
          <w:i/>
          <w:iCs/>
          <w:color w:val="1B1B1D"/>
          <w:sz w:val="21"/>
          <w:szCs w:val="21"/>
        </w:rPr>
      </w:pPr>
      <w:r w:rsidRPr="007729D2">
        <w:rPr>
          <w:rFonts w:ascii="Abadi" w:hAnsi="Abadi" w:cs="*Verdana-Italic-14219-Identity-"/>
          <w:i/>
          <w:iCs/>
          <w:color w:val="1B1B1D"/>
          <w:sz w:val="21"/>
          <w:szCs w:val="21"/>
        </w:rPr>
        <w:t>La esencia del Estado de Derecho que deriva de nuestro orden constitucional radica en el</w:t>
      </w:r>
      <w:r>
        <w:rPr>
          <w:rFonts w:ascii="Abadi" w:hAnsi="Abadi" w:cs="*Verdana-Italic-14219-Identity-"/>
          <w:i/>
          <w:iCs/>
          <w:color w:val="1B1B1D"/>
          <w:sz w:val="21"/>
          <w:szCs w:val="21"/>
        </w:rPr>
        <w:t xml:space="preserve"> </w:t>
      </w:r>
      <w:r w:rsidRPr="007729D2">
        <w:rPr>
          <w:rFonts w:ascii="Abadi" w:hAnsi="Abadi" w:cs="*Verdana-Italic-14219-Identity-"/>
          <w:i/>
          <w:iCs/>
          <w:color w:val="1B1B1D"/>
          <w:sz w:val="21"/>
          <w:szCs w:val="21"/>
        </w:rPr>
        <w:t>hecho de que el ejercicio del poder público debe estar sujeto al imperio de la Ley, no</w:t>
      </w:r>
      <w:r>
        <w:rPr>
          <w:rFonts w:ascii="Abadi" w:hAnsi="Abadi" w:cs="*Verdana-Italic-14219-Identity-"/>
          <w:i/>
          <w:iCs/>
          <w:color w:val="1B1B1D"/>
          <w:sz w:val="21"/>
          <w:szCs w:val="21"/>
        </w:rPr>
        <w:t xml:space="preserve"> </w:t>
      </w:r>
      <w:r w:rsidRPr="007729D2">
        <w:rPr>
          <w:rFonts w:ascii="Abadi" w:hAnsi="Abadi" w:cs="*Verdana-Italic-14219-Identity-"/>
          <w:i/>
          <w:iCs/>
          <w:color w:val="1B1B1D"/>
          <w:sz w:val="21"/>
          <w:szCs w:val="21"/>
        </w:rPr>
        <w:t>debe existir, por tanto, ningún servidor público que tenga libertad irrestricta para ejercer</w:t>
      </w:r>
      <w:r>
        <w:rPr>
          <w:rFonts w:ascii="Abadi" w:hAnsi="Abadi" w:cs="*Verdana-Italic-14219-Identity-"/>
          <w:i/>
          <w:iCs/>
          <w:color w:val="1B1B1D"/>
          <w:sz w:val="21"/>
          <w:szCs w:val="21"/>
        </w:rPr>
        <w:t xml:space="preserve"> </w:t>
      </w:r>
      <w:r w:rsidRPr="007729D2">
        <w:rPr>
          <w:rFonts w:ascii="Abadi" w:hAnsi="Abadi" w:cs="*Verdana-Italic-14219-Identity-"/>
          <w:i/>
          <w:iCs/>
          <w:color w:val="1B1B1D"/>
          <w:sz w:val="21"/>
          <w:szCs w:val="21"/>
        </w:rPr>
        <w:t>sus funciones, las cuales deben estar perfectamente definidas por normas jurídicas.</w:t>
      </w:r>
    </w:p>
    <w:p w14:paraId="49CECDE9" w14:textId="77777777" w:rsidR="006B7FC5" w:rsidRPr="007729D2" w:rsidRDefault="006B7FC5" w:rsidP="006B7FC5">
      <w:pPr>
        <w:autoSpaceDE w:val="0"/>
        <w:autoSpaceDN w:val="0"/>
        <w:adjustRightInd w:val="0"/>
        <w:ind w:left="426"/>
        <w:jc w:val="both"/>
        <w:rPr>
          <w:rFonts w:ascii="Abadi" w:hAnsi="Abadi" w:cs="*Verdana-Italic-14219-Identity-"/>
          <w:i/>
          <w:iCs/>
          <w:color w:val="1B1B1D"/>
          <w:sz w:val="21"/>
          <w:szCs w:val="21"/>
        </w:rPr>
      </w:pPr>
    </w:p>
    <w:p w14:paraId="1DBE4C06" w14:textId="77777777" w:rsidR="006B7FC5" w:rsidRDefault="006B7FC5" w:rsidP="006B7FC5">
      <w:pPr>
        <w:autoSpaceDE w:val="0"/>
        <w:autoSpaceDN w:val="0"/>
        <w:adjustRightInd w:val="0"/>
        <w:ind w:left="426"/>
        <w:jc w:val="both"/>
        <w:rPr>
          <w:rFonts w:ascii="Abadi" w:hAnsi="Abadi" w:cs="*Verdana-Italic-14219-Identity-"/>
          <w:i/>
          <w:iCs/>
          <w:color w:val="1D1C1F"/>
          <w:sz w:val="21"/>
          <w:szCs w:val="21"/>
        </w:rPr>
      </w:pPr>
      <w:r w:rsidRPr="007729D2">
        <w:rPr>
          <w:rFonts w:ascii="Abadi" w:hAnsi="Abadi" w:cs="*Verdana-Italic-14219-Identity-"/>
          <w:i/>
          <w:iCs/>
          <w:color w:val="1D1C1F"/>
          <w:sz w:val="21"/>
          <w:szCs w:val="21"/>
        </w:rPr>
        <w:t>No obstante, en virtud de que las actividades que desempeña la administración pública</w:t>
      </w:r>
      <w:r>
        <w:rPr>
          <w:rFonts w:ascii="Abadi" w:hAnsi="Abadi" w:cs="*Verdana-Italic-14219-Identity-"/>
          <w:i/>
          <w:iCs/>
          <w:color w:val="1D1C1F"/>
          <w:sz w:val="21"/>
          <w:szCs w:val="21"/>
        </w:rPr>
        <w:t xml:space="preserve"> </w:t>
      </w:r>
      <w:r w:rsidRPr="007729D2">
        <w:rPr>
          <w:rFonts w:ascii="Abadi" w:hAnsi="Abadi" w:cs="*Verdana-Italic-14219-Identity-"/>
          <w:i/>
          <w:iCs/>
          <w:color w:val="1D1C1F"/>
          <w:sz w:val="21"/>
          <w:szCs w:val="21"/>
        </w:rPr>
        <w:t>son muy variadas, la ley no siempre logra establecer de manera determinante los límites</w:t>
      </w:r>
      <w:r>
        <w:rPr>
          <w:rFonts w:ascii="Abadi" w:hAnsi="Abadi" w:cs="*Verdana-Italic-14219-Identity-"/>
          <w:i/>
          <w:iCs/>
          <w:color w:val="1D1C1F"/>
          <w:sz w:val="21"/>
          <w:szCs w:val="21"/>
        </w:rPr>
        <w:t xml:space="preserve"> </w:t>
      </w:r>
      <w:r w:rsidRPr="007729D2">
        <w:rPr>
          <w:rFonts w:ascii="Abadi" w:hAnsi="Abadi" w:cs="*Verdana-Italic-14219-Identity-"/>
          <w:i/>
          <w:iCs/>
          <w:color w:val="1D1C1F"/>
          <w:sz w:val="21"/>
          <w:szCs w:val="21"/>
        </w:rPr>
        <w:t>precisos dentro de los cuales debe actuar ésta en sus múltiples tareas, por lo cual, el</w:t>
      </w:r>
      <w:r>
        <w:rPr>
          <w:rFonts w:ascii="Abadi" w:hAnsi="Abadi" w:cs="*Verdana-Italic-14219-Identity-"/>
          <w:i/>
          <w:iCs/>
          <w:color w:val="1D1C1F"/>
          <w:sz w:val="21"/>
          <w:szCs w:val="21"/>
        </w:rPr>
        <w:t xml:space="preserve"> </w:t>
      </w:r>
      <w:r w:rsidRPr="007729D2">
        <w:rPr>
          <w:rFonts w:ascii="Abadi" w:hAnsi="Abadi" w:cs="*Verdana-Italic-14219-Identity-"/>
          <w:i/>
          <w:iCs/>
          <w:color w:val="1D1C1F"/>
          <w:sz w:val="21"/>
          <w:szCs w:val="21"/>
        </w:rPr>
        <w:t>ordenamiento jurídico atribuye a la autoridad dos tipos de facultades administrativas: las</w:t>
      </w:r>
      <w:r>
        <w:rPr>
          <w:rFonts w:ascii="Abadi" w:hAnsi="Abadi" w:cs="*Verdana-Italic-14219-Identity-"/>
          <w:i/>
          <w:iCs/>
          <w:color w:val="1D1C1F"/>
          <w:sz w:val="21"/>
          <w:szCs w:val="21"/>
        </w:rPr>
        <w:t xml:space="preserve"> </w:t>
      </w:r>
      <w:r w:rsidRPr="007729D2">
        <w:rPr>
          <w:rFonts w:ascii="Abadi" w:hAnsi="Abadi" w:cs="*Verdana-Italic-14219-Identity-"/>
          <w:i/>
          <w:iCs/>
          <w:color w:val="1D1C1F"/>
          <w:sz w:val="21"/>
          <w:szCs w:val="21"/>
        </w:rPr>
        <w:t>regladas y las discrecionales.</w:t>
      </w:r>
    </w:p>
    <w:p w14:paraId="287736A2" w14:textId="77777777" w:rsidR="006B7FC5" w:rsidRPr="007729D2" w:rsidRDefault="006B7FC5" w:rsidP="006B7FC5">
      <w:pPr>
        <w:autoSpaceDE w:val="0"/>
        <w:autoSpaceDN w:val="0"/>
        <w:adjustRightInd w:val="0"/>
        <w:ind w:left="426"/>
        <w:jc w:val="both"/>
        <w:rPr>
          <w:rFonts w:ascii="Abadi" w:hAnsi="Abadi" w:cs="*Verdana-Italic-14219-Identity-"/>
          <w:i/>
          <w:iCs/>
          <w:color w:val="1D1C1F"/>
          <w:sz w:val="21"/>
          <w:szCs w:val="21"/>
        </w:rPr>
      </w:pPr>
    </w:p>
    <w:p w14:paraId="00779E07" w14:textId="77777777" w:rsidR="006B7FC5" w:rsidRDefault="006B7FC5" w:rsidP="006B7FC5">
      <w:pPr>
        <w:autoSpaceDE w:val="0"/>
        <w:autoSpaceDN w:val="0"/>
        <w:adjustRightInd w:val="0"/>
        <w:ind w:left="426"/>
        <w:jc w:val="both"/>
        <w:rPr>
          <w:rFonts w:ascii="Abadi" w:hAnsi="Abadi" w:cs="*Verdana-Italic-14219-Identity-"/>
          <w:i/>
          <w:iCs/>
          <w:color w:val="1A1A1D"/>
          <w:sz w:val="21"/>
          <w:szCs w:val="21"/>
        </w:rPr>
      </w:pPr>
      <w:r w:rsidRPr="007729D2">
        <w:rPr>
          <w:rFonts w:ascii="Abadi" w:hAnsi="Abadi" w:cs="*Verdana-Italic-14219-Identity-"/>
          <w:i/>
          <w:iCs/>
          <w:color w:val="1A1A1D"/>
          <w:sz w:val="21"/>
          <w:szCs w:val="21"/>
        </w:rPr>
        <w:t>La primera es aquella que se encuentra debidamente delimitada por el ordenamiento</w:t>
      </w:r>
      <w:r>
        <w:rPr>
          <w:rFonts w:ascii="Abadi" w:hAnsi="Abadi" w:cs="*Verdana-Italic-14219-Identity-"/>
          <w:i/>
          <w:iCs/>
          <w:color w:val="1A1A1D"/>
          <w:sz w:val="21"/>
          <w:szCs w:val="21"/>
        </w:rPr>
        <w:t xml:space="preserve"> </w:t>
      </w:r>
      <w:r w:rsidRPr="007729D2">
        <w:rPr>
          <w:rFonts w:ascii="Abadi" w:hAnsi="Abadi" w:cs="*Verdana-Italic-14219-Identity-"/>
          <w:i/>
          <w:iCs/>
          <w:color w:val="1A1A1D"/>
          <w:sz w:val="21"/>
          <w:szCs w:val="21"/>
        </w:rPr>
        <w:t>ju</w:t>
      </w:r>
      <w:r>
        <w:rPr>
          <w:rFonts w:ascii="Abadi" w:hAnsi="Abadi" w:cs="*Verdana-Italic-14219-Identity-"/>
          <w:i/>
          <w:iCs/>
          <w:color w:val="1A1A1D"/>
          <w:sz w:val="21"/>
          <w:szCs w:val="21"/>
        </w:rPr>
        <w:t>rídico</w:t>
      </w:r>
      <w:r w:rsidRPr="007729D2">
        <w:rPr>
          <w:rFonts w:ascii="Abadi" w:hAnsi="Abadi" w:cs="*Verdana-Italic-14219-Identity-"/>
          <w:i/>
          <w:iCs/>
          <w:color w:val="1A1A1D"/>
          <w:sz w:val="21"/>
          <w:szCs w:val="21"/>
        </w:rPr>
        <w:t>; y por lo tanto, es la propia ley la que define cuál es órgano competente; y</w:t>
      </w:r>
      <w:r>
        <w:rPr>
          <w:rFonts w:ascii="Abadi" w:hAnsi="Abadi" w:cs="*Verdana-Italic-14219-Identity-"/>
          <w:i/>
          <w:iCs/>
          <w:color w:val="1A1A1D"/>
          <w:sz w:val="21"/>
          <w:szCs w:val="21"/>
        </w:rPr>
        <w:t xml:space="preserve"> </w:t>
      </w:r>
      <w:r w:rsidRPr="007729D2">
        <w:rPr>
          <w:rFonts w:ascii="Abadi" w:hAnsi="Abadi" w:cs="*Verdana-Italic-14219-Identity-"/>
          <w:i/>
          <w:iCs/>
          <w:color w:val="1A1A1D"/>
          <w:sz w:val="21"/>
          <w:szCs w:val="21"/>
        </w:rPr>
        <w:t>cuáles son las circunstancias concretas de modo, tiempo, forma y procedimiento</w:t>
      </w:r>
      <w:r>
        <w:rPr>
          <w:rFonts w:ascii="Abadi" w:hAnsi="Abadi" w:cs="*Verdana-Italic-14219-Identity-"/>
          <w:i/>
          <w:iCs/>
          <w:color w:val="1A1A1D"/>
          <w:sz w:val="21"/>
          <w:szCs w:val="21"/>
        </w:rPr>
        <w:t xml:space="preserve"> </w:t>
      </w:r>
      <w:r w:rsidRPr="007729D2">
        <w:rPr>
          <w:rFonts w:ascii="Abadi" w:hAnsi="Abadi" w:cs="*Verdana-Italic-14219-Identity-"/>
          <w:i/>
          <w:iCs/>
          <w:color w:val="1A1A1D"/>
          <w:sz w:val="21"/>
          <w:szCs w:val="21"/>
        </w:rPr>
        <w:t>conforme a las que debe ejercer la facultad, sin margen alguno para la subjetividad.</w:t>
      </w:r>
    </w:p>
    <w:p w14:paraId="07F6165D" w14:textId="77777777" w:rsidR="006B7FC5" w:rsidRPr="007729D2" w:rsidRDefault="006B7FC5" w:rsidP="006B7FC5">
      <w:pPr>
        <w:autoSpaceDE w:val="0"/>
        <w:autoSpaceDN w:val="0"/>
        <w:adjustRightInd w:val="0"/>
        <w:ind w:left="426"/>
        <w:jc w:val="both"/>
        <w:rPr>
          <w:rFonts w:ascii="Abadi" w:hAnsi="Abadi" w:cs="*Verdana-Italic-14219-Identity-"/>
          <w:i/>
          <w:iCs/>
          <w:color w:val="1A1A1D"/>
          <w:sz w:val="21"/>
          <w:szCs w:val="21"/>
        </w:rPr>
      </w:pPr>
    </w:p>
    <w:p w14:paraId="06C49A86" w14:textId="77777777" w:rsidR="006B7FC5" w:rsidRPr="007729D2" w:rsidRDefault="006B7FC5" w:rsidP="006B7FC5">
      <w:pPr>
        <w:autoSpaceDE w:val="0"/>
        <w:autoSpaceDN w:val="0"/>
        <w:adjustRightInd w:val="0"/>
        <w:ind w:left="426"/>
        <w:jc w:val="both"/>
        <w:rPr>
          <w:rFonts w:ascii="Abadi" w:hAnsi="Abadi" w:cs="*Verdana-Italic-14219-Identity-"/>
          <w:i/>
          <w:iCs/>
          <w:color w:val="1A191C"/>
          <w:sz w:val="21"/>
          <w:szCs w:val="21"/>
        </w:rPr>
      </w:pPr>
      <w:r w:rsidRPr="007729D2">
        <w:rPr>
          <w:rFonts w:ascii="Abadi" w:hAnsi="Abadi" w:cs="*Verdana-Italic-14219-Identity-"/>
          <w:i/>
          <w:iCs/>
          <w:color w:val="1A191C"/>
          <w:sz w:val="21"/>
          <w:szCs w:val="21"/>
        </w:rPr>
        <w:t>Por su parte, la facultad discrecional concede a la autoridad un cierto espacio de</w:t>
      </w:r>
      <w:r>
        <w:rPr>
          <w:rFonts w:ascii="Abadi" w:hAnsi="Abadi" w:cs="*Verdana-Italic-14219-Identity-"/>
          <w:i/>
          <w:iCs/>
          <w:color w:val="1A191C"/>
          <w:sz w:val="21"/>
          <w:szCs w:val="21"/>
        </w:rPr>
        <w:t xml:space="preserve"> </w:t>
      </w:r>
      <w:r w:rsidRPr="007729D2">
        <w:rPr>
          <w:rFonts w:ascii="Abadi" w:hAnsi="Abadi" w:cs="*Verdana-Italic-14219-Identity-"/>
          <w:i/>
          <w:iCs/>
          <w:color w:val="1A191C"/>
          <w:sz w:val="21"/>
          <w:szCs w:val="21"/>
        </w:rPr>
        <w:t>subjetividad para que a su criterio pueda optar por varias alternativas en el ejercicio de</w:t>
      </w:r>
      <w:r>
        <w:rPr>
          <w:rFonts w:ascii="Abadi" w:hAnsi="Abadi" w:cs="*Verdana-Italic-14219-Identity-"/>
          <w:i/>
          <w:iCs/>
          <w:color w:val="1A191C"/>
          <w:sz w:val="21"/>
          <w:szCs w:val="21"/>
        </w:rPr>
        <w:t xml:space="preserve"> </w:t>
      </w:r>
      <w:r w:rsidRPr="007729D2">
        <w:rPr>
          <w:rFonts w:ascii="Abadi" w:hAnsi="Abadi" w:cs="*Verdana-Italic-14219-Identity-"/>
          <w:i/>
          <w:iCs/>
          <w:color w:val="1A191C"/>
          <w:sz w:val="21"/>
          <w:szCs w:val="21"/>
        </w:rPr>
        <w:t>su función, aunque ese margen de libertad que se confiere a la administración no debe</w:t>
      </w:r>
      <w:r>
        <w:rPr>
          <w:rFonts w:ascii="Abadi" w:hAnsi="Abadi" w:cs="*Verdana-Italic-14219-Identity-"/>
          <w:i/>
          <w:iCs/>
          <w:color w:val="1A191C"/>
          <w:sz w:val="21"/>
          <w:szCs w:val="21"/>
        </w:rPr>
        <w:t xml:space="preserve"> </w:t>
      </w:r>
      <w:r w:rsidRPr="007729D2">
        <w:rPr>
          <w:rFonts w:ascii="Abadi" w:hAnsi="Abadi" w:cs="*Verdana-Italic-14219-Identity-"/>
          <w:i/>
          <w:iCs/>
          <w:color w:val="1A191C"/>
          <w:sz w:val="21"/>
          <w:szCs w:val="21"/>
        </w:rPr>
        <w:t>ser absoluto ni caprichoso.</w:t>
      </w:r>
    </w:p>
    <w:p w14:paraId="3F68B027" w14:textId="77777777" w:rsidR="006B7FC5" w:rsidRPr="007729D2" w:rsidRDefault="006B7FC5" w:rsidP="006B7FC5">
      <w:pPr>
        <w:ind w:left="426"/>
        <w:jc w:val="both"/>
        <w:rPr>
          <w:rFonts w:ascii="Abadi" w:hAnsi="Abadi" w:cs="*Verdana-Italic-14219-Identity-"/>
          <w:i/>
          <w:iCs/>
          <w:color w:val="1A191C"/>
          <w:sz w:val="21"/>
          <w:szCs w:val="21"/>
        </w:rPr>
      </w:pPr>
    </w:p>
    <w:p w14:paraId="2E3AA378" w14:textId="77777777" w:rsidR="006B7FC5" w:rsidRDefault="006B7FC5" w:rsidP="006B7FC5">
      <w:pPr>
        <w:autoSpaceDE w:val="0"/>
        <w:autoSpaceDN w:val="0"/>
        <w:adjustRightInd w:val="0"/>
        <w:ind w:left="426"/>
        <w:jc w:val="both"/>
        <w:rPr>
          <w:rFonts w:ascii="Abadi" w:hAnsi="Abadi" w:cs="*Verdana-Italic-12076-Identity-"/>
          <w:i/>
          <w:iCs/>
          <w:color w:val="19191C"/>
          <w:sz w:val="21"/>
          <w:szCs w:val="21"/>
        </w:rPr>
      </w:pPr>
      <w:r w:rsidRPr="007729D2">
        <w:rPr>
          <w:rFonts w:ascii="Abadi" w:hAnsi="Abadi" w:cs="*Verdana-Italic-12076-Identity-"/>
          <w:i/>
          <w:iCs/>
          <w:color w:val="19191C"/>
          <w:sz w:val="21"/>
          <w:szCs w:val="21"/>
        </w:rPr>
        <w:t>La finalidad de que se hayan fijado este tipo de facultades, es el proporcionar a la</w:t>
      </w:r>
      <w:r>
        <w:rPr>
          <w:rFonts w:ascii="Abadi" w:hAnsi="Abadi" w:cs="*Verdana-Italic-12076-Identity-"/>
          <w:i/>
          <w:iCs/>
          <w:color w:val="19191C"/>
          <w:sz w:val="21"/>
          <w:szCs w:val="21"/>
        </w:rPr>
        <w:t xml:space="preserve"> </w:t>
      </w:r>
      <w:r w:rsidRPr="007729D2">
        <w:rPr>
          <w:rFonts w:ascii="Abadi" w:hAnsi="Abadi" w:cs="*Verdana-Italic-12076-Identity-"/>
          <w:i/>
          <w:iCs/>
          <w:color w:val="19191C"/>
          <w:sz w:val="21"/>
          <w:szCs w:val="21"/>
        </w:rPr>
        <w:t>autoridad administrativa los Instrumentos necesarios para que pueda resolver con</w:t>
      </w:r>
      <w:r>
        <w:rPr>
          <w:rFonts w:ascii="Abadi" w:hAnsi="Abadi" w:cs="*Verdana-Italic-12076-Identity-"/>
          <w:i/>
          <w:iCs/>
          <w:color w:val="19191C"/>
          <w:sz w:val="21"/>
          <w:szCs w:val="21"/>
        </w:rPr>
        <w:t xml:space="preserve"> </w:t>
      </w:r>
      <w:r w:rsidRPr="007729D2">
        <w:rPr>
          <w:rFonts w:ascii="Abadi" w:hAnsi="Abadi" w:cs="*Verdana-Italic-12076-Identity-"/>
          <w:i/>
          <w:iCs/>
          <w:color w:val="19191C"/>
          <w:sz w:val="21"/>
          <w:szCs w:val="21"/>
        </w:rPr>
        <w:t>celeridad, situaciones de falta de claridad que puedan lesionar el estatuto jurídico del</w:t>
      </w:r>
      <w:r>
        <w:rPr>
          <w:rFonts w:ascii="Abadi" w:hAnsi="Abadi" w:cs="*Verdana-Italic-12076-Identity-"/>
          <w:i/>
          <w:iCs/>
          <w:color w:val="19191C"/>
          <w:sz w:val="21"/>
          <w:szCs w:val="21"/>
        </w:rPr>
        <w:t xml:space="preserve"> </w:t>
      </w:r>
      <w:r w:rsidRPr="007729D2">
        <w:rPr>
          <w:rFonts w:ascii="Abadi" w:hAnsi="Abadi" w:cs="*Verdana-Italic-12076-Identity-"/>
          <w:i/>
          <w:iCs/>
          <w:color w:val="19191C"/>
          <w:sz w:val="21"/>
          <w:szCs w:val="21"/>
        </w:rPr>
        <w:t>administrado, pero no para que abuse de las mismas en beneficio del Estado y mucho</w:t>
      </w:r>
      <w:r>
        <w:rPr>
          <w:rFonts w:ascii="Abadi" w:hAnsi="Abadi" w:cs="*Verdana-Italic-12076-Identity-"/>
          <w:i/>
          <w:iCs/>
          <w:color w:val="19191C"/>
          <w:sz w:val="21"/>
          <w:szCs w:val="21"/>
        </w:rPr>
        <w:t xml:space="preserve"> </w:t>
      </w:r>
      <w:r w:rsidRPr="007729D2">
        <w:rPr>
          <w:rFonts w:ascii="Abadi" w:hAnsi="Abadi" w:cs="*Verdana-Italic-12076-Identity-"/>
          <w:i/>
          <w:iCs/>
          <w:color w:val="19191C"/>
          <w:sz w:val="21"/>
          <w:szCs w:val="21"/>
        </w:rPr>
        <w:t>menos para favorecer Ilícitamente a ciertos particulares.</w:t>
      </w:r>
    </w:p>
    <w:p w14:paraId="1A9E05EB" w14:textId="77777777" w:rsidR="006B7FC5" w:rsidRPr="007729D2" w:rsidRDefault="006B7FC5" w:rsidP="006B7FC5">
      <w:pPr>
        <w:autoSpaceDE w:val="0"/>
        <w:autoSpaceDN w:val="0"/>
        <w:adjustRightInd w:val="0"/>
        <w:ind w:left="426"/>
        <w:jc w:val="both"/>
        <w:rPr>
          <w:rFonts w:ascii="Abadi" w:hAnsi="Abadi" w:cs="*Verdana-Italic-12076-Identity-"/>
          <w:i/>
          <w:iCs/>
          <w:color w:val="19191C"/>
          <w:sz w:val="21"/>
          <w:szCs w:val="21"/>
        </w:rPr>
      </w:pPr>
    </w:p>
    <w:p w14:paraId="3B55BB3F" w14:textId="77777777" w:rsidR="006B7FC5" w:rsidRDefault="006B7FC5" w:rsidP="006B7FC5">
      <w:pPr>
        <w:autoSpaceDE w:val="0"/>
        <w:autoSpaceDN w:val="0"/>
        <w:adjustRightInd w:val="0"/>
        <w:ind w:left="426"/>
        <w:jc w:val="both"/>
        <w:rPr>
          <w:rFonts w:ascii="Abadi" w:hAnsi="Abadi" w:cs="*Verdana-Italic-12076-Identity-"/>
          <w:i/>
          <w:iCs/>
          <w:color w:val="19191C"/>
          <w:sz w:val="21"/>
          <w:szCs w:val="21"/>
        </w:rPr>
      </w:pPr>
      <w:r w:rsidRPr="007729D2">
        <w:rPr>
          <w:rFonts w:ascii="Abadi" w:hAnsi="Abadi" w:cs="*Verdana-Italic-12076-Identity-"/>
          <w:i/>
          <w:iCs/>
          <w:color w:val="19191C"/>
          <w:sz w:val="21"/>
          <w:szCs w:val="21"/>
        </w:rPr>
        <w:t>Por ello es que este tipo de atribuciones de las que eventualmente goza la</w:t>
      </w:r>
      <w:r>
        <w:rPr>
          <w:rFonts w:ascii="Abadi" w:hAnsi="Abadi" w:cs="*Verdana-Italic-12076-Identity-"/>
          <w:i/>
          <w:iCs/>
          <w:color w:val="19191C"/>
          <w:sz w:val="21"/>
          <w:szCs w:val="21"/>
        </w:rPr>
        <w:t xml:space="preserve"> </w:t>
      </w:r>
      <w:r w:rsidRPr="007729D2">
        <w:rPr>
          <w:rFonts w:ascii="Abadi" w:hAnsi="Abadi" w:cs="*Verdana-Italic-12076-Identity-"/>
          <w:i/>
          <w:iCs/>
          <w:color w:val="19191C"/>
          <w:sz w:val="21"/>
          <w:szCs w:val="21"/>
        </w:rPr>
        <w:t>administración pública, deben de estar sujetas a control ya sea por parte de la propia</w:t>
      </w:r>
      <w:r>
        <w:rPr>
          <w:rFonts w:ascii="Abadi" w:hAnsi="Abadi" w:cs="*Verdana-Italic-12076-Identity-"/>
          <w:i/>
          <w:iCs/>
          <w:color w:val="19191C"/>
          <w:sz w:val="21"/>
          <w:szCs w:val="21"/>
        </w:rPr>
        <w:t xml:space="preserve"> </w:t>
      </w:r>
      <w:r w:rsidRPr="007729D2">
        <w:rPr>
          <w:rFonts w:ascii="Abadi" w:hAnsi="Abadi" w:cs="*Verdana-Italic-12076-Identity-"/>
          <w:i/>
          <w:iCs/>
          <w:color w:val="19191C"/>
          <w:sz w:val="21"/>
          <w:szCs w:val="21"/>
        </w:rPr>
        <w:t>administración o por medio de la función Jurisdiccional para que no se conviertan en</w:t>
      </w:r>
      <w:r>
        <w:rPr>
          <w:rFonts w:ascii="Abadi" w:hAnsi="Abadi" w:cs="*Verdana-Italic-12076-Identity-"/>
          <w:i/>
          <w:iCs/>
          <w:color w:val="19191C"/>
          <w:sz w:val="21"/>
          <w:szCs w:val="21"/>
        </w:rPr>
        <w:t xml:space="preserve"> </w:t>
      </w:r>
      <w:r w:rsidRPr="007729D2">
        <w:rPr>
          <w:rFonts w:ascii="Abadi" w:hAnsi="Abadi" w:cs="*Verdana-Italic-12076-Identity-"/>
          <w:i/>
          <w:iCs/>
          <w:color w:val="19191C"/>
          <w:sz w:val="21"/>
          <w:szCs w:val="21"/>
        </w:rPr>
        <w:t>patente de corso de algunos funcionarios deshonestos.</w:t>
      </w:r>
    </w:p>
    <w:p w14:paraId="62FD4689" w14:textId="77777777" w:rsidR="006B7FC5" w:rsidRPr="007729D2" w:rsidRDefault="006B7FC5" w:rsidP="006B7FC5">
      <w:pPr>
        <w:autoSpaceDE w:val="0"/>
        <w:autoSpaceDN w:val="0"/>
        <w:adjustRightInd w:val="0"/>
        <w:ind w:left="426"/>
        <w:jc w:val="both"/>
        <w:rPr>
          <w:rFonts w:ascii="Abadi" w:hAnsi="Abadi" w:cs="*Verdana-Italic-12076-Identity-"/>
          <w:i/>
          <w:iCs/>
          <w:color w:val="19191C"/>
          <w:sz w:val="21"/>
          <w:szCs w:val="21"/>
        </w:rPr>
      </w:pPr>
    </w:p>
    <w:p w14:paraId="2987F021" w14:textId="77777777" w:rsidR="006B7FC5" w:rsidRDefault="006B7FC5" w:rsidP="006B7FC5">
      <w:pPr>
        <w:autoSpaceDE w:val="0"/>
        <w:autoSpaceDN w:val="0"/>
        <w:adjustRightInd w:val="0"/>
        <w:ind w:left="426"/>
        <w:jc w:val="both"/>
        <w:rPr>
          <w:rFonts w:ascii="Abadi" w:hAnsi="Abadi" w:cs="*Verdana-Italic-12076-Identity-"/>
          <w:i/>
          <w:iCs/>
          <w:color w:val="1A191C"/>
          <w:sz w:val="21"/>
          <w:szCs w:val="21"/>
        </w:rPr>
      </w:pPr>
      <w:r w:rsidRPr="007729D2">
        <w:rPr>
          <w:rFonts w:ascii="Abadi" w:hAnsi="Abadi" w:cs="*Verdana-Italic-12076-Identity-"/>
          <w:i/>
          <w:iCs/>
          <w:color w:val="1A191C"/>
          <w:sz w:val="21"/>
          <w:szCs w:val="21"/>
        </w:rPr>
        <w:t>Dentro de ese marco de control de dichas facultades, éstas deben de cumplir con los</w:t>
      </w:r>
      <w:r>
        <w:rPr>
          <w:rFonts w:ascii="Abadi" w:hAnsi="Abadi" w:cs="*Verdana-Italic-12076-Identity-"/>
          <w:i/>
          <w:iCs/>
          <w:color w:val="1A191C"/>
          <w:sz w:val="21"/>
          <w:szCs w:val="21"/>
        </w:rPr>
        <w:t xml:space="preserve"> </w:t>
      </w:r>
      <w:r w:rsidRPr="007729D2">
        <w:rPr>
          <w:rFonts w:ascii="Abadi" w:hAnsi="Abadi" w:cs="*Verdana-Italic-12076-Identity-"/>
          <w:i/>
          <w:iCs/>
          <w:color w:val="1A191C"/>
          <w:sz w:val="21"/>
          <w:szCs w:val="21"/>
        </w:rPr>
        <w:t>requisitos de competencia del órgano que las ejerce, fundamentación legal, motivación;</w:t>
      </w:r>
      <w:r>
        <w:rPr>
          <w:rFonts w:ascii="Abadi" w:hAnsi="Abadi" w:cs="*Verdana-Italic-12076-Identity-"/>
          <w:i/>
          <w:iCs/>
          <w:color w:val="1A191C"/>
          <w:sz w:val="21"/>
          <w:szCs w:val="21"/>
        </w:rPr>
        <w:t xml:space="preserve"> </w:t>
      </w:r>
      <w:r w:rsidRPr="007729D2">
        <w:rPr>
          <w:rFonts w:ascii="Abadi" w:hAnsi="Abadi" w:cs="*Verdana-Italic-12076-Identity-"/>
          <w:i/>
          <w:iCs/>
          <w:color w:val="1A191C"/>
          <w:sz w:val="21"/>
          <w:szCs w:val="21"/>
        </w:rPr>
        <w:t>y dentro de ésta, la indispensable expresión del Interés público que se persigue.</w:t>
      </w:r>
    </w:p>
    <w:p w14:paraId="5F13ED37" w14:textId="77777777" w:rsidR="006B7FC5" w:rsidRPr="007729D2" w:rsidRDefault="006B7FC5" w:rsidP="006B7FC5">
      <w:pPr>
        <w:autoSpaceDE w:val="0"/>
        <w:autoSpaceDN w:val="0"/>
        <w:adjustRightInd w:val="0"/>
        <w:ind w:left="426"/>
        <w:jc w:val="both"/>
        <w:rPr>
          <w:rFonts w:ascii="Abadi" w:hAnsi="Abadi" w:cs="*Verdana-Italic-12076-Identity-"/>
          <w:i/>
          <w:iCs/>
          <w:color w:val="1A191C"/>
          <w:sz w:val="21"/>
          <w:szCs w:val="21"/>
        </w:rPr>
      </w:pPr>
    </w:p>
    <w:p w14:paraId="1A803EE9" w14:textId="77777777" w:rsidR="006B7FC5" w:rsidRDefault="006B7FC5" w:rsidP="006B7FC5">
      <w:pPr>
        <w:autoSpaceDE w:val="0"/>
        <w:autoSpaceDN w:val="0"/>
        <w:adjustRightInd w:val="0"/>
        <w:ind w:left="426"/>
        <w:jc w:val="both"/>
        <w:rPr>
          <w:rFonts w:ascii="Abadi" w:hAnsi="Abadi" w:cs="*Verdana-Italic-12076-Identity-"/>
          <w:i/>
          <w:iCs/>
          <w:color w:val="19191B"/>
          <w:sz w:val="21"/>
          <w:szCs w:val="21"/>
        </w:rPr>
      </w:pPr>
      <w:r w:rsidRPr="007729D2">
        <w:rPr>
          <w:rFonts w:ascii="Abadi" w:hAnsi="Abadi" w:cs="*Verdana-Italic-12076-Identity-"/>
          <w:i/>
          <w:iCs/>
          <w:color w:val="19191B"/>
          <w:sz w:val="21"/>
          <w:szCs w:val="21"/>
        </w:rPr>
        <w:t>Procediendo, «[</w:t>
      </w:r>
      <w:proofErr w:type="gramStart"/>
      <w:r w:rsidRPr="007729D2">
        <w:rPr>
          <w:rFonts w:ascii="Abadi" w:hAnsi="Abadi" w:cs="*Verdana-Italic-12076-Identity-"/>
          <w:i/>
          <w:iCs/>
          <w:color w:val="19191B"/>
          <w:sz w:val="21"/>
          <w:szCs w:val="21"/>
        </w:rPr>
        <w:t xml:space="preserve">. </w:t>
      </w:r>
      <w:r w:rsidRPr="007729D2">
        <w:rPr>
          <w:rFonts w:ascii="Abadi" w:hAnsi="Abadi" w:cs="*Times New Roman-12069-Identity"/>
          <w:color w:val="19191B"/>
          <w:sz w:val="21"/>
          <w:szCs w:val="21"/>
        </w:rPr>
        <w:t xml:space="preserve">. </w:t>
      </w:r>
      <w:r w:rsidRPr="007729D2">
        <w:rPr>
          <w:rFonts w:ascii="Abadi" w:hAnsi="Abadi" w:cs="*Verdana-Italic-12076-Identity-"/>
          <w:i/>
          <w:iCs/>
          <w:color w:val="19191B"/>
          <w:sz w:val="21"/>
          <w:szCs w:val="21"/>
        </w:rPr>
        <w:t>. ]</w:t>
      </w:r>
      <w:proofErr w:type="gramEnd"/>
      <w:r w:rsidRPr="007729D2">
        <w:rPr>
          <w:rFonts w:ascii="Abadi" w:hAnsi="Abadi" w:cs="*Verdana-Italic-12076-Identity-"/>
          <w:i/>
          <w:iCs/>
          <w:color w:val="19191B"/>
          <w:sz w:val="21"/>
          <w:szCs w:val="21"/>
        </w:rPr>
        <w:t xml:space="preserve"> en forma objetiva, técnica y razonada, excluyendo toda posibilidad</w:t>
      </w:r>
      <w:r>
        <w:rPr>
          <w:rFonts w:ascii="Abadi" w:hAnsi="Abadi" w:cs="*Verdana-Italic-12076-Identity-"/>
          <w:i/>
          <w:iCs/>
          <w:color w:val="19191B"/>
          <w:sz w:val="21"/>
          <w:szCs w:val="21"/>
        </w:rPr>
        <w:t xml:space="preserve"> </w:t>
      </w:r>
      <w:r w:rsidRPr="007729D2">
        <w:rPr>
          <w:rFonts w:ascii="Abadi" w:hAnsi="Abadi" w:cs="*Verdana-Italic-12076-Identity-"/>
          <w:i/>
          <w:iCs/>
          <w:color w:val="19191B"/>
          <w:sz w:val="21"/>
          <w:szCs w:val="21"/>
        </w:rPr>
        <w:t>de arbitrariedad; de ahí que las facultades discrecionales deben estar enmarcadas y</w:t>
      </w:r>
      <w:r>
        <w:rPr>
          <w:rFonts w:ascii="Abadi" w:hAnsi="Abadi" w:cs="*Verdana-Italic-12076-Identity-"/>
          <w:i/>
          <w:iCs/>
          <w:color w:val="19191B"/>
          <w:sz w:val="21"/>
          <w:szCs w:val="21"/>
        </w:rPr>
        <w:t xml:space="preserve"> </w:t>
      </w:r>
      <w:r w:rsidRPr="007729D2">
        <w:rPr>
          <w:rFonts w:ascii="Abadi" w:hAnsi="Abadi" w:cs="*Verdana-Italic-12076-Identity-"/>
          <w:i/>
          <w:iCs/>
          <w:color w:val="19191B"/>
          <w:sz w:val="21"/>
          <w:szCs w:val="21"/>
        </w:rPr>
        <w:t xml:space="preserve">constreñidas a satisfacer ciertos fines y conforme a referentes elementales[ </w:t>
      </w:r>
      <w:r w:rsidRPr="007729D2">
        <w:rPr>
          <w:rFonts w:ascii="Abadi" w:hAnsi="Abadi" w:cs="*Times New Roman-12069-Identity"/>
          <w:color w:val="19191B"/>
          <w:sz w:val="21"/>
          <w:szCs w:val="21"/>
        </w:rPr>
        <w:t xml:space="preserve">. . . </w:t>
      </w:r>
      <w:r w:rsidRPr="007729D2">
        <w:rPr>
          <w:rFonts w:ascii="Abadi" w:hAnsi="Abadi" w:cs="*Verdana-Italic-12076-Identity-"/>
          <w:i/>
          <w:iCs/>
          <w:color w:val="19191B"/>
          <w:sz w:val="21"/>
          <w:szCs w:val="21"/>
        </w:rPr>
        <w:t>]» tal</w:t>
      </w:r>
      <w:r>
        <w:rPr>
          <w:rFonts w:ascii="Abadi" w:hAnsi="Abadi" w:cs="*Verdana-Italic-12076-Identity-"/>
          <w:i/>
          <w:iCs/>
          <w:color w:val="19191B"/>
          <w:sz w:val="21"/>
          <w:szCs w:val="21"/>
        </w:rPr>
        <w:t xml:space="preserve"> </w:t>
      </w:r>
      <w:r w:rsidRPr="007729D2">
        <w:rPr>
          <w:rFonts w:ascii="Abadi" w:hAnsi="Abadi" w:cs="*Verdana-Italic-12076-Identity-"/>
          <w:i/>
          <w:iCs/>
          <w:color w:val="19191B"/>
          <w:sz w:val="21"/>
          <w:szCs w:val="21"/>
        </w:rPr>
        <w:t>como lo establece la tesis sustentada por el Primer Tribunal Colegiado de Circuito en</w:t>
      </w:r>
      <w:r>
        <w:rPr>
          <w:rFonts w:ascii="Abadi" w:hAnsi="Abadi" w:cs="*Verdana-Italic-12076-Identity-"/>
          <w:i/>
          <w:iCs/>
          <w:color w:val="19191B"/>
          <w:sz w:val="21"/>
          <w:szCs w:val="21"/>
        </w:rPr>
        <w:t xml:space="preserve"> </w:t>
      </w:r>
      <w:r w:rsidRPr="007729D2">
        <w:rPr>
          <w:rFonts w:ascii="Abadi" w:hAnsi="Abadi" w:cs="*Verdana-Italic-12076-Identity-"/>
          <w:i/>
          <w:iCs/>
          <w:color w:val="19191B"/>
          <w:sz w:val="21"/>
          <w:szCs w:val="21"/>
        </w:rPr>
        <w:t>Materia administrativa especial</w:t>
      </w:r>
      <w:r>
        <w:rPr>
          <w:rFonts w:ascii="Abadi" w:hAnsi="Abadi" w:cs="*Verdana-Italic-12076-Identity-"/>
          <w:i/>
          <w:iCs/>
          <w:color w:val="19191B"/>
          <w:sz w:val="21"/>
          <w:szCs w:val="21"/>
        </w:rPr>
        <w:t>i</w:t>
      </w:r>
      <w:r w:rsidRPr="007729D2">
        <w:rPr>
          <w:rFonts w:ascii="Abadi" w:hAnsi="Abadi" w:cs="*Verdana-Italic-12076-Identity-"/>
          <w:i/>
          <w:iCs/>
          <w:color w:val="19191B"/>
          <w:sz w:val="21"/>
          <w:szCs w:val="21"/>
        </w:rPr>
        <w:t>zado en Competencia Económica, al distinguir entre</w:t>
      </w:r>
      <w:r>
        <w:rPr>
          <w:rFonts w:ascii="Abadi" w:hAnsi="Abadi" w:cs="*Verdana-Italic-12076-Identity-"/>
          <w:i/>
          <w:iCs/>
          <w:color w:val="19191B"/>
          <w:sz w:val="21"/>
          <w:szCs w:val="21"/>
        </w:rPr>
        <w:t xml:space="preserve"> </w:t>
      </w:r>
      <w:r w:rsidRPr="007729D2">
        <w:rPr>
          <w:rFonts w:ascii="Abadi" w:hAnsi="Abadi" w:cs="*Verdana-Italic-12076-Identity-"/>
          <w:i/>
          <w:iCs/>
          <w:color w:val="19191B"/>
          <w:sz w:val="21"/>
          <w:szCs w:val="21"/>
        </w:rPr>
        <w:t>ambos tipos de competencias.</w:t>
      </w:r>
    </w:p>
    <w:p w14:paraId="44FA21A6" w14:textId="77777777" w:rsidR="006B7FC5" w:rsidRPr="007729D2" w:rsidRDefault="006B7FC5" w:rsidP="006B7FC5">
      <w:pPr>
        <w:autoSpaceDE w:val="0"/>
        <w:autoSpaceDN w:val="0"/>
        <w:adjustRightInd w:val="0"/>
        <w:ind w:left="426"/>
        <w:jc w:val="both"/>
        <w:rPr>
          <w:rFonts w:ascii="Abadi" w:hAnsi="Abadi" w:cs="*Verdana-Italic-12076-Identity-"/>
          <w:i/>
          <w:iCs/>
          <w:color w:val="19191B"/>
          <w:sz w:val="21"/>
          <w:szCs w:val="21"/>
        </w:rPr>
      </w:pPr>
    </w:p>
    <w:p w14:paraId="4AE9AF33" w14:textId="6DA3DFA6" w:rsidR="006B7FC5" w:rsidRDefault="006B7FC5" w:rsidP="006B7FC5">
      <w:pPr>
        <w:autoSpaceDE w:val="0"/>
        <w:autoSpaceDN w:val="0"/>
        <w:adjustRightInd w:val="0"/>
        <w:ind w:left="426"/>
        <w:jc w:val="both"/>
        <w:rPr>
          <w:rFonts w:ascii="Abadi" w:hAnsi="Abadi" w:cs="*Verdana-Italic-12076-Identity-"/>
          <w:i/>
          <w:iCs/>
          <w:color w:val="1B1B1C"/>
          <w:sz w:val="21"/>
          <w:szCs w:val="21"/>
        </w:rPr>
      </w:pPr>
      <w:r w:rsidRPr="007729D2">
        <w:rPr>
          <w:rFonts w:ascii="Abadi" w:hAnsi="Abadi" w:cs="*Verdana-Italic-12076-Identity-"/>
          <w:i/>
          <w:iCs/>
          <w:color w:val="18181A"/>
          <w:sz w:val="21"/>
          <w:szCs w:val="21"/>
        </w:rPr>
        <w:t>¿Por qué tanta exigencia en el ejercicio de las facultades discrecionales si se distinguen</w:t>
      </w:r>
      <w:r>
        <w:rPr>
          <w:rFonts w:ascii="Abadi" w:hAnsi="Abadi" w:cs="*Verdana-Italic-12076-Identity-"/>
          <w:i/>
          <w:iCs/>
          <w:color w:val="18181A"/>
          <w:sz w:val="21"/>
          <w:szCs w:val="21"/>
        </w:rPr>
        <w:t xml:space="preserve"> </w:t>
      </w:r>
      <w:r w:rsidRPr="007729D2">
        <w:rPr>
          <w:rFonts w:ascii="Abadi" w:hAnsi="Abadi" w:cs="*Verdana-Italic-12076-Identity-"/>
          <w:i/>
          <w:iCs/>
          <w:color w:val="18181A"/>
          <w:sz w:val="21"/>
          <w:szCs w:val="21"/>
        </w:rPr>
        <w:t>por la posibilidad de que la autoridad ejerza su criterio de manera libre?</w:t>
      </w:r>
      <w:r>
        <w:rPr>
          <w:rFonts w:ascii="Abadi" w:hAnsi="Abadi" w:cs="*Verdana-Italic-12076-Identity-"/>
          <w:i/>
          <w:iCs/>
          <w:color w:val="18181A"/>
          <w:sz w:val="21"/>
          <w:szCs w:val="21"/>
        </w:rPr>
        <w:t xml:space="preserve"> </w:t>
      </w:r>
      <w:r w:rsidRPr="007729D2">
        <w:rPr>
          <w:rFonts w:ascii="Abadi" w:hAnsi="Abadi" w:cs="*Verdana-Italic-12076-Identity-"/>
          <w:i/>
          <w:iCs/>
          <w:color w:val="1B1B1C"/>
          <w:sz w:val="21"/>
          <w:szCs w:val="21"/>
        </w:rPr>
        <w:t>Por la sencilla razón de que la discrecional</w:t>
      </w:r>
      <w:r w:rsidR="00B05116">
        <w:rPr>
          <w:rFonts w:ascii="Abadi" w:hAnsi="Abadi" w:cs="*Verdana-Italic-12076-Identity-"/>
          <w:i/>
          <w:iCs/>
          <w:color w:val="1B1B1C"/>
          <w:sz w:val="21"/>
          <w:szCs w:val="21"/>
        </w:rPr>
        <w:t>i</w:t>
      </w:r>
      <w:r w:rsidRPr="007729D2">
        <w:rPr>
          <w:rFonts w:ascii="Abadi" w:hAnsi="Abadi" w:cs="*Verdana-Italic-12076-Identity-"/>
          <w:i/>
          <w:iCs/>
          <w:color w:val="1B1B1C"/>
          <w:sz w:val="21"/>
          <w:szCs w:val="21"/>
        </w:rPr>
        <w:t>dad suele estar emparentada con el ejercicio</w:t>
      </w:r>
      <w:r>
        <w:rPr>
          <w:rFonts w:ascii="Abadi" w:hAnsi="Abadi" w:cs="*Verdana-Italic-12076-Identity-"/>
          <w:i/>
          <w:iCs/>
          <w:color w:val="1B1B1C"/>
          <w:sz w:val="21"/>
          <w:szCs w:val="21"/>
        </w:rPr>
        <w:t xml:space="preserve"> </w:t>
      </w:r>
      <w:r w:rsidRPr="007729D2">
        <w:rPr>
          <w:rFonts w:ascii="Abadi" w:hAnsi="Abadi" w:cs="*Verdana-Italic-12076-Identity-"/>
          <w:i/>
          <w:iCs/>
          <w:color w:val="1B1B1C"/>
          <w:sz w:val="21"/>
          <w:szCs w:val="21"/>
        </w:rPr>
        <w:t>caprichoso y patr</w:t>
      </w:r>
      <w:r>
        <w:rPr>
          <w:rFonts w:ascii="Abadi" w:hAnsi="Abadi" w:cs="*Verdana-Italic-12076-Identity-"/>
          <w:i/>
          <w:iCs/>
          <w:color w:val="1B1B1C"/>
          <w:sz w:val="21"/>
          <w:szCs w:val="21"/>
        </w:rPr>
        <w:t>i</w:t>
      </w:r>
      <w:r w:rsidRPr="007729D2">
        <w:rPr>
          <w:rFonts w:ascii="Abadi" w:hAnsi="Abadi" w:cs="*Verdana-Italic-12076-Identity-"/>
          <w:i/>
          <w:iCs/>
          <w:color w:val="1B1B1C"/>
          <w:sz w:val="21"/>
          <w:szCs w:val="21"/>
        </w:rPr>
        <w:t>monialista del poder y puede conducir a la disposición arbitraria y</w:t>
      </w:r>
      <w:r>
        <w:rPr>
          <w:rFonts w:ascii="Abadi" w:hAnsi="Abadi" w:cs="*Verdana-Italic-12076-Identity-"/>
          <w:i/>
          <w:iCs/>
          <w:color w:val="1B1B1C"/>
          <w:sz w:val="21"/>
          <w:szCs w:val="21"/>
        </w:rPr>
        <w:t xml:space="preserve"> </w:t>
      </w:r>
      <w:r w:rsidRPr="007729D2">
        <w:rPr>
          <w:rFonts w:ascii="Abadi" w:hAnsi="Abadi" w:cs="*Verdana-Italic-12076-Identity-"/>
          <w:i/>
          <w:iCs/>
          <w:color w:val="1B1B1C"/>
          <w:sz w:val="21"/>
          <w:szCs w:val="21"/>
        </w:rPr>
        <w:t>abusiva del dinero del pueblo.</w:t>
      </w:r>
    </w:p>
    <w:p w14:paraId="01F325D3" w14:textId="77777777" w:rsidR="006B7FC5" w:rsidRPr="007729D2" w:rsidRDefault="006B7FC5" w:rsidP="006B7FC5">
      <w:pPr>
        <w:autoSpaceDE w:val="0"/>
        <w:autoSpaceDN w:val="0"/>
        <w:adjustRightInd w:val="0"/>
        <w:ind w:left="426"/>
        <w:jc w:val="both"/>
        <w:rPr>
          <w:rFonts w:ascii="Abadi" w:hAnsi="Abadi" w:cs="*Verdana-Italic-12076-Identity-"/>
          <w:i/>
          <w:iCs/>
          <w:color w:val="1B1B1C"/>
          <w:sz w:val="21"/>
          <w:szCs w:val="21"/>
        </w:rPr>
      </w:pPr>
    </w:p>
    <w:p w14:paraId="67FED183" w14:textId="2175A175" w:rsidR="006B7FC5" w:rsidRDefault="006B7FC5" w:rsidP="006B7FC5">
      <w:pPr>
        <w:autoSpaceDE w:val="0"/>
        <w:autoSpaceDN w:val="0"/>
        <w:adjustRightInd w:val="0"/>
        <w:ind w:left="426"/>
        <w:jc w:val="both"/>
        <w:rPr>
          <w:rFonts w:ascii="Abadi" w:hAnsi="Abadi" w:cs="*Verdana-Italic-12076-Identity-"/>
          <w:i/>
          <w:iCs/>
          <w:color w:val="1C1B1E"/>
          <w:sz w:val="21"/>
          <w:szCs w:val="21"/>
        </w:rPr>
      </w:pPr>
      <w:r w:rsidRPr="007729D2">
        <w:rPr>
          <w:rFonts w:ascii="Abadi" w:hAnsi="Abadi" w:cs="*Verdana-Italic-12076-Identity-"/>
          <w:i/>
          <w:iCs/>
          <w:color w:val="1C1B1E"/>
          <w:sz w:val="21"/>
          <w:szCs w:val="21"/>
        </w:rPr>
        <w:t xml:space="preserve">Y </w:t>
      </w:r>
      <w:r w:rsidRPr="007729D2">
        <w:rPr>
          <w:rFonts w:ascii="Abadi" w:hAnsi="Abadi" w:cs="*Calibri-12075-Identity-H"/>
          <w:color w:val="1C1B1E"/>
          <w:sz w:val="21"/>
          <w:szCs w:val="21"/>
        </w:rPr>
        <w:t xml:space="preserve">es </w:t>
      </w:r>
      <w:r w:rsidRPr="007729D2">
        <w:rPr>
          <w:rFonts w:ascii="Abadi" w:hAnsi="Abadi" w:cs="*Verdana-Italic-12076-Identity-"/>
          <w:i/>
          <w:iCs/>
          <w:color w:val="1C1B1E"/>
          <w:sz w:val="21"/>
          <w:szCs w:val="21"/>
        </w:rPr>
        <w:t>que ante posibilidad de actuar sin ciertas restricciones, los servidores públicos</w:t>
      </w:r>
      <w:r>
        <w:rPr>
          <w:rFonts w:ascii="Abadi" w:hAnsi="Abadi" w:cs="*Verdana-Italic-12076-Identity-"/>
          <w:i/>
          <w:iCs/>
          <w:color w:val="1C1B1E"/>
          <w:sz w:val="21"/>
          <w:szCs w:val="21"/>
        </w:rPr>
        <w:t xml:space="preserve"> </w:t>
      </w:r>
      <w:r w:rsidRPr="007729D2">
        <w:rPr>
          <w:rFonts w:ascii="Abadi" w:hAnsi="Abadi" w:cs="*Verdana-Italic-12076-Identity-"/>
          <w:i/>
          <w:iCs/>
          <w:color w:val="1C1B1E"/>
          <w:sz w:val="21"/>
          <w:szCs w:val="21"/>
        </w:rPr>
        <w:t>deshonestos, en su patrimonialista manera de pensar, pueden asumir que si están en</w:t>
      </w:r>
      <w:r>
        <w:rPr>
          <w:rFonts w:ascii="Abadi" w:hAnsi="Abadi" w:cs="*Verdana-Italic-12076-Identity-"/>
          <w:i/>
          <w:iCs/>
          <w:color w:val="1C1B1E"/>
          <w:sz w:val="21"/>
          <w:szCs w:val="21"/>
        </w:rPr>
        <w:t xml:space="preserve"> </w:t>
      </w:r>
      <w:r w:rsidRPr="007729D2">
        <w:rPr>
          <w:rFonts w:ascii="Abadi" w:hAnsi="Abadi" w:cs="*Verdana-Italic-12076-Identity-"/>
          <w:i/>
          <w:iCs/>
          <w:color w:val="1C1B1E"/>
          <w:sz w:val="21"/>
          <w:szCs w:val="21"/>
        </w:rPr>
        <w:t xml:space="preserve">posibilidad de disponer libremente del erario, éste forma parte de su </w:t>
      </w:r>
      <w:r w:rsidR="00B05116" w:rsidRPr="007729D2">
        <w:rPr>
          <w:rFonts w:ascii="Abadi" w:hAnsi="Abadi" w:cs="*Verdana-Italic-12076-Identity-"/>
          <w:i/>
          <w:iCs/>
          <w:color w:val="1C1B1E"/>
          <w:sz w:val="21"/>
          <w:szCs w:val="21"/>
        </w:rPr>
        <w:t>patrimonio</w:t>
      </w:r>
      <w:r w:rsidR="00B05116">
        <w:rPr>
          <w:rFonts w:ascii="Abadi" w:hAnsi="Abadi" w:cs="*Verdana-Italic-12076-Identity-"/>
          <w:i/>
          <w:iCs/>
          <w:color w:val="1C1B1E"/>
          <w:sz w:val="21"/>
          <w:szCs w:val="21"/>
        </w:rPr>
        <w:t xml:space="preserve"> personal</w:t>
      </w:r>
      <w:r w:rsidRPr="007729D2">
        <w:rPr>
          <w:rFonts w:ascii="Abadi" w:hAnsi="Abadi" w:cs="*Verdana-Italic-12076-Identity-"/>
          <w:i/>
          <w:iCs/>
          <w:color w:val="1C1B1E"/>
          <w:sz w:val="21"/>
          <w:szCs w:val="21"/>
        </w:rPr>
        <w:t>, o en su lógica perversa, pueden creer que caprichosamente pueden ceder a</w:t>
      </w:r>
      <w:r>
        <w:rPr>
          <w:rFonts w:ascii="Abadi" w:hAnsi="Abadi" w:cs="*Verdana-Italic-12076-Identity-"/>
          <w:i/>
          <w:iCs/>
          <w:color w:val="1C1B1E"/>
          <w:sz w:val="21"/>
          <w:szCs w:val="21"/>
        </w:rPr>
        <w:t xml:space="preserve"> </w:t>
      </w:r>
      <w:r w:rsidRPr="007729D2">
        <w:rPr>
          <w:rFonts w:ascii="Abadi" w:hAnsi="Abadi" w:cs="*Verdana-Italic-12076-Identity-"/>
          <w:i/>
          <w:iCs/>
          <w:color w:val="1C1B1E"/>
          <w:sz w:val="21"/>
          <w:szCs w:val="21"/>
        </w:rPr>
        <w:t>sus favoritos los bienes que pertenecen a todos los guanajuatenses.</w:t>
      </w:r>
    </w:p>
    <w:p w14:paraId="35B881D5" w14:textId="77777777" w:rsidR="006B7FC5" w:rsidRPr="007729D2" w:rsidRDefault="006B7FC5" w:rsidP="006B7FC5">
      <w:pPr>
        <w:autoSpaceDE w:val="0"/>
        <w:autoSpaceDN w:val="0"/>
        <w:adjustRightInd w:val="0"/>
        <w:ind w:left="426"/>
        <w:jc w:val="both"/>
        <w:rPr>
          <w:rFonts w:ascii="Abadi" w:hAnsi="Abadi" w:cs="*Verdana-Italic-12076-Identity-"/>
          <w:i/>
          <w:iCs/>
          <w:color w:val="1C1B1E"/>
          <w:sz w:val="21"/>
          <w:szCs w:val="21"/>
        </w:rPr>
      </w:pPr>
    </w:p>
    <w:p w14:paraId="0259A0CC" w14:textId="77777777" w:rsidR="006B7FC5" w:rsidRDefault="006B7FC5" w:rsidP="006B7FC5">
      <w:pPr>
        <w:autoSpaceDE w:val="0"/>
        <w:autoSpaceDN w:val="0"/>
        <w:adjustRightInd w:val="0"/>
        <w:ind w:left="426"/>
        <w:jc w:val="both"/>
        <w:rPr>
          <w:rFonts w:ascii="Abadi" w:hAnsi="Abadi" w:cs="*Verdana-Italic-12076-Identity-"/>
          <w:i/>
          <w:iCs/>
          <w:color w:val="1A1A1C"/>
          <w:sz w:val="21"/>
          <w:szCs w:val="21"/>
        </w:rPr>
      </w:pPr>
      <w:r w:rsidRPr="007729D2">
        <w:rPr>
          <w:rFonts w:ascii="Abadi" w:hAnsi="Abadi" w:cs="*Verdana-Italic-12076-Identity-"/>
          <w:i/>
          <w:iCs/>
          <w:color w:val="1A1A1C"/>
          <w:sz w:val="21"/>
          <w:szCs w:val="21"/>
        </w:rPr>
        <w:t>En un plano estrictamente preventivo de la corrupción, de la que desafortunadamente no</w:t>
      </w:r>
      <w:r>
        <w:rPr>
          <w:rFonts w:ascii="Abadi" w:hAnsi="Abadi" w:cs="*Verdana-Italic-12076-Identity-"/>
          <w:i/>
          <w:iCs/>
          <w:color w:val="1A1A1C"/>
          <w:sz w:val="21"/>
          <w:szCs w:val="21"/>
        </w:rPr>
        <w:t xml:space="preserve"> </w:t>
      </w:r>
      <w:r w:rsidRPr="007729D2">
        <w:rPr>
          <w:rFonts w:ascii="Abadi" w:hAnsi="Abadi" w:cs="*Verdana-Italic-12076-Identity-"/>
          <w:i/>
          <w:iCs/>
          <w:color w:val="1A1A1C"/>
          <w:sz w:val="21"/>
          <w:szCs w:val="21"/>
        </w:rPr>
        <w:t>hemos podido deshacernos, es deseable reducir al mínimo los márgenes de</w:t>
      </w:r>
      <w:r>
        <w:rPr>
          <w:rFonts w:ascii="Abadi" w:hAnsi="Abadi" w:cs="*Verdana-Italic-12076-Identity-"/>
          <w:i/>
          <w:iCs/>
          <w:color w:val="1A1A1C"/>
          <w:sz w:val="21"/>
          <w:szCs w:val="21"/>
        </w:rPr>
        <w:t xml:space="preserve"> </w:t>
      </w:r>
      <w:r w:rsidRPr="007729D2">
        <w:rPr>
          <w:rFonts w:ascii="Abadi" w:hAnsi="Abadi" w:cs="*Verdana-Italic-12076-Identity-"/>
          <w:i/>
          <w:iCs/>
          <w:color w:val="1A1A1C"/>
          <w:sz w:val="21"/>
          <w:szCs w:val="21"/>
        </w:rPr>
        <w:t>discrecion</w:t>
      </w:r>
      <w:r>
        <w:rPr>
          <w:rFonts w:ascii="Abadi" w:hAnsi="Abadi" w:cs="*Verdana-Italic-12076-Identity-"/>
          <w:i/>
          <w:iCs/>
          <w:color w:val="1A1A1C"/>
          <w:sz w:val="21"/>
          <w:szCs w:val="21"/>
        </w:rPr>
        <w:t>alidad</w:t>
      </w:r>
      <w:r w:rsidRPr="007729D2">
        <w:rPr>
          <w:rFonts w:ascii="Abadi" w:hAnsi="Abadi" w:cs="*Verdana-Italic-12076-Identity-"/>
          <w:i/>
          <w:iCs/>
          <w:color w:val="1A1A1C"/>
          <w:sz w:val="21"/>
          <w:szCs w:val="21"/>
        </w:rPr>
        <w:t xml:space="preserve"> en el ejercicio de la administración pública.</w:t>
      </w:r>
    </w:p>
    <w:p w14:paraId="437A7279" w14:textId="77777777" w:rsidR="006B7FC5" w:rsidRPr="007729D2" w:rsidRDefault="006B7FC5" w:rsidP="006B7FC5">
      <w:pPr>
        <w:autoSpaceDE w:val="0"/>
        <w:autoSpaceDN w:val="0"/>
        <w:adjustRightInd w:val="0"/>
        <w:ind w:left="426"/>
        <w:jc w:val="both"/>
        <w:rPr>
          <w:rFonts w:ascii="Abadi" w:hAnsi="Abadi" w:cs="*Verdana-Italic-12076-Identity-"/>
          <w:i/>
          <w:iCs/>
          <w:color w:val="1A1A1C"/>
          <w:sz w:val="21"/>
          <w:szCs w:val="21"/>
        </w:rPr>
      </w:pPr>
    </w:p>
    <w:p w14:paraId="4B8666EC" w14:textId="77777777" w:rsidR="006B7FC5" w:rsidRPr="007729D2" w:rsidRDefault="006B7FC5" w:rsidP="006B7FC5">
      <w:pPr>
        <w:autoSpaceDE w:val="0"/>
        <w:autoSpaceDN w:val="0"/>
        <w:adjustRightInd w:val="0"/>
        <w:ind w:left="426"/>
        <w:jc w:val="both"/>
        <w:rPr>
          <w:rFonts w:ascii="Abadi" w:hAnsi="Abadi" w:cs="*Verdana-Italic-12076-Identity-"/>
          <w:i/>
          <w:iCs/>
          <w:color w:val="1B1B1D"/>
          <w:sz w:val="21"/>
          <w:szCs w:val="21"/>
        </w:rPr>
      </w:pPr>
      <w:r w:rsidRPr="007729D2">
        <w:rPr>
          <w:rFonts w:ascii="Abadi" w:hAnsi="Abadi" w:cs="*Verdana-Italic-12076-Identity-"/>
          <w:i/>
          <w:iCs/>
          <w:color w:val="1B1B1D"/>
          <w:sz w:val="21"/>
          <w:szCs w:val="21"/>
        </w:rPr>
        <w:t>Queremos terminar con cualquier vestigio de una especie de subcultura que ha venido</w:t>
      </w:r>
      <w:r>
        <w:rPr>
          <w:rFonts w:ascii="Abadi" w:hAnsi="Abadi" w:cs="*Verdana-Italic-12076-Identity-"/>
          <w:i/>
          <w:iCs/>
          <w:color w:val="1B1B1D"/>
          <w:sz w:val="21"/>
          <w:szCs w:val="21"/>
        </w:rPr>
        <w:t xml:space="preserve"> </w:t>
      </w:r>
      <w:r w:rsidRPr="007729D2">
        <w:rPr>
          <w:rFonts w:ascii="Abadi" w:hAnsi="Abadi" w:cs="*Verdana-Italic-12076-Identity-"/>
          <w:i/>
          <w:iCs/>
          <w:color w:val="1B1B1D"/>
          <w:sz w:val="21"/>
          <w:szCs w:val="21"/>
        </w:rPr>
        <w:t>privando en nuestra entidad, según la cual, las concesiones eran una especie de dádivas</w:t>
      </w:r>
      <w:r>
        <w:rPr>
          <w:rFonts w:ascii="Abadi" w:hAnsi="Abadi" w:cs="*Verdana-Italic-12076-Identity-"/>
          <w:i/>
          <w:iCs/>
          <w:color w:val="1B1B1D"/>
          <w:sz w:val="21"/>
          <w:szCs w:val="21"/>
        </w:rPr>
        <w:t xml:space="preserve"> </w:t>
      </w:r>
      <w:r w:rsidRPr="007729D2">
        <w:rPr>
          <w:rFonts w:ascii="Abadi" w:hAnsi="Abadi" w:cs="*Verdana-Italic-12076-Identity-"/>
          <w:i/>
          <w:iCs/>
          <w:color w:val="1B1B1D"/>
          <w:sz w:val="21"/>
          <w:szCs w:val="21"/>
        </w:rPr>
        <w:t>graciosas que distribuía el Ejecutivo de manera incontrolada a sus compadres,</w:t>
      </w:r>
      <w:r>
        <w:rPr>
          <w:rFonts w:ascii="Abadi" w:hAnsi="Abadi" w:cs="*Verdana-Italic-12076-Identity-"/>
          <w:i/>
          <w:iCs/>
          <w:color w:val="1B1B1D"/>
          <w:sz w:val="21"/>
          <w:szCs w:val="21"/>
        </w:rPr>
        <w:t xml:space="preserve"> </w:t>
      </w:r>
      <w:r w:rsidRPr="007729D2">
        <w:rPr>
          <w:rFonts w:ascii="Abadi" w:hAnsi="Abadi" w:cs="*Verdana-Italic-12076-Identity-"/>
          <w:i/>
          <w:iCs/>
          <w:color w:val="1B1B1D"/>
          <w:sz w:val="21"/>
          <w:szCs w:val="21"/>
        </w:rPr>
        <w:t>favorecedores y quien dice si no, hasta a sus prestanombres.</w:t>
      </w:r>
    </w:p>
    <w:p w14:paraId="7E2749D7" w14:textId="77777777" w:rsidR="006B7FC5" w:rsidRPr="007729D2" w:rsidRDefault="006B7FC5" w:rsidP="006B7FC5">
      <w:pPr>
        <w:ind w:left="426"/>
        <w:jc w:val="both"/>
        <w:rPr>
          <w:rFonts w:ascii="Abadi" w:hAnsi="Abadi" w:cs="*Verdana-Italic-12076-Identity-"/>
          <w:i/>
          <w:iCs/>
          <w:color w:val="1B1B1D"/>
          <w:sz w:val="21"/>
          <w:szCs w:val="21"/>
        </w:rPr>
      </w:pPr>
    </w:p>
    <w:p w14:paraId="4448C2B4" w14:textId="77777777" w:rsidR="006B7FC5" w:rsidRDefault="006B7FC5" w:rsidP="006B7FC5">
      <w:pPr>
        <w:autoSpaceDE w:val="0"/>
        <w:autoSpaceDN w:val="0"/>
        <w:adjustRightInd w:val="0"/>
        <w:ind w:left="426"/>
        <w:jc w:val="both"/>
        <w:rPr>
          <w:rFonts w:ascii="Abadi" w:hAnsi="Abadi" w:cs="*Verdana-Italic-13496-Identity-"/>
          <w:i/>
          <w:iCs/>
          <w:color w:val="1C1B1E"/>
          <w:sz w:val="21"/>
          <w:szCs w:val="21"/>
        </w:rPr>
      </w:pPr>
      <w:r w:rsidRPr="007729D2">
        <w:rPr>
          <w:rFonts w:ascii="Abadi" w:hAnsi="Abadi" w:cs="*Verdana-Italic-13496-Identity-"/>
          <w:i/>
          <w:iCs/>
          <w:color w:val="1C1B1E"/>
          <w:sz w:val="21"/>
          <w:szCs w:val="21"/>
        </w:rPr>
        <w:t>Es del dominio público, que en fecha 29 de marzo de 2018, se publicó en el Periódico</w:t>
      </w:r>
      <w:r>
        <w:rPr>
          <w:rFonts w:ascii="Abadi" w:hAnsi="Abadi" w:cs="*Verdana-Italic-13496-Identity-"/>
          <w:i/>
          <w:iCs/>
          <w:color w:val="1C1B1E"/>
          <w:sz w:val="21"/>
          <w:szCs w:val="21"/>
        </w:rPr>
        <w:t xml:space="preserve"> </w:t>
      </w:r>
      <w:r w:rsidRPr="007729D2">
        <w:rPr>
          <w:rFonts w:ascii="Abadi" w:hAnsi="Abadi" w:cs="*Verdana-Italic-13496-Identity-"/>
          <w:i/>
          <w:iCs/>
          <w:color w:val="1C1B1E"/>
          <w:sz w:val="21"/>
          <w:szCs w:val="21"/>
        </w:rPr>
        <w:t>Oficial del Gobierno del Estado el decreto mediante el cual el Ejecutivo estatal, sin</w:t>
      </w:r>
      <w:r>
        <w:rPr>
          <w:rFonts w:ascii="Abadi" w:hAnsi="Abadi" w:cs="*Verdana-Italic-13496-Identity-"/>
          <w:i/>
          <w:iCs/>
          <w:color w:val="1C1B1E"/>
          <w:sz w:val="21"/>
          <w:szCs w:val="21"/>
        </w:rPr>
        <w:t xml:space="preserve"> </w:t>
      </w:r>
      <w:r w:rsidRPr="007729D2">
        <w:rPr>
          <w:rFonts w:ascii="Abadi" w:hAnsi="Abadi" w:cs="*Verdana-Italic-13496-Identity-"/>
          <w:i/>
          <w:iCs/>
          <w:color w:val="1C1B1E"/>
          <w:sz w:val="21"/>
          <w:szCs w:val="21"/>
        </w:rPr>
        <w:t>licitación alguna, concesiona un grupo constructor privado la construcción del libramiento</w:t>
      </w:r>
      <w:r>
        <w:rPr>
          <w:rFonts w:ascii="Abadi" w:hAnsi="Abadi" w:cs="*Verdana-Italic-13496-Identity-"/>
          <w:i/>
          <w:iCs/>
          <w:color w:val="1C1B1E"/>
          <w:sz w:val="21"/>
          <w:szCs w:val="21"/>
        </w:rPr>
        <w:t xml:space="preserve"> </w:t>
      </w:r>
      <w:r w:rsidRPr="007729D2">
        <w:rPr>
          <w:rFonts w:ascii="Abadi" w:hAnsi="Abadi" w:cs="*Verdana-Italic-13496-Identity-"/>
          <w:i/>
          <w:iCs/>
          <w:color w:val="1C1B1E"/>
          <w:sz w:val="21"/>
          <w:szCs w:val="21"/>
        </w:rPr>
        <w:t>que conectará la carretera Si</w:t>
      </w:r>
      <w:r>
        <w:rPr>
          <w:rFonts w:ascii="Abadi" w:hAnsi="Abadi" w:cs="*Verdana-Italic-13496-Identity-"/>
          <w:i/>
          <w:iCs/>
          <w:color w:val="1C1B1E"/>
          <w:sz w:val="21"/>
          <w:szCs w:val="21"/>
        </w:rPr>
        <w:t>la</w:t>
      </w:r>
      <w:r w:rsidRPr="007729D2">
        <w:rPr>
          <w:rFonts w:ascii="Abadi" w:hAnsi="Abadi" w:cs="*Verdana-Italic-13496-Identity-"/>
          <w:i/>
          <w:iCs/>
          <w:color w:val="1C1B1E"/>
          <w:sz w:val="21"/>
          <w:szCs w:val="21"/>
        </w:rPr>
        <w:t>o- San Fe</w:t>
      </w:r>
      <w:r>
        <w:rPr>
          <w:rFonts w:ascii="Abadi" w:hAnsi="Abadi" w:cs="*Verdana-Italic-13496-Identity-"/>
          <w:i/>
          <w:iCs/>
          <w:color w:val="1C1B1E"/>
          <w:sz w:val="21"/>
          <w:szCs w:val="21"/>
        </w:rPr>
        <w:t>li</w:t>
      </w:r>
      <w:r w:rsidRPr="007729D2">
        <w:rPr>
          <w:rFonts w:ascii="Abadi" w:hAnsi="Abadi" w:cs="*Verdana-Italic-13496-Identity-"/>
          <w:i/>
          <w:iCs/>
          <w:color w:val="1C1B1E"/>
          <w:sz w:val="21"/>
          <w:szCs w:val="21"/>
        </w:rPr>
        <w:t>pe y el Eje Metropolitano con la carretera Silao</w:t>
      </w:r>
      <w:r>
        <w:rPr>
          <w:rFonts w:ascii="Abadi" w:hAnsi="Abadi" w:cs="*Verdana-Italic-13496-Identity-"/>
          <w:i/>
          <w:iCs/>
          <w:color w:val="1C1B1E"/>
          <w:sz w:val="21"/>
          <w:szCs w:val="21"/>
        </w:rPr>
        <w:t xml:space="preserve"> </w:t>
      </w:r>
      <w:r w:rsidRPr="007729D2">
        <w:rPr>
          <w:rFonts w:ascii="Abadi" w:hAnsi="Abadi" w:cs="*Verdana-Italic-13496-Identity-"/>
          <w:i/>
          <w:iCs/>
          <w:color w:val="1C1B1E"/>
          <w:sz w:val="21"/>
          <w:szCs w:val="21"/>
        </w:rPr>
        <w:t>León.</w:t>
      </w:r>
    </w:p>
    <w:p w14:paraId="36624823" w14:textId="77777777" w:rsidR="006B7FC5" w:rsidRPr="007729D2" w:rsidRDefault="006B7FC5" w:rsidP="006B7FC5">
      <w:pPr>
        <w:autoSpaceDE w:val="0"/>
        <w:autoSpaceDN w:val="0"/>
        <w:adjustRightInd w:val="0"/>
        <w:ind w:left="426"/>
        <w:jc w:val="both"/>
        <w:rPr>
          <w:rFonts w:ascii="Abadi" w:hAnsi="Abadi" w:cs="*Verdana-Italic-13496-Identity-"/>
          <w:i/>
          <w:iCs/>
          <w:color w:val="1C1B1E"/>
          <w:sz w:val="21"/>
          <w:szCs w:val="21"/>
        </w:rPr>
      </w:pPr>
    </w:p>
    <w:p w14:paraId="73762AE6" w14:textId="77777777" w:rsidR="006B7FC5" w:rsidRDefault="006B7FC5" w:rsidP="006B7FC5">
      <w:pPr>
        <w:autoSpaceDE w:val="0"/>
        <w:autoSpaceDN w:val="0"/>
        <w:adjustRightInd w:val="0"/>
        <w:ind w:left="426"/>
        <w:jc w:val="both"/>
        <w:rPr>
          <w:rFonts w:ascii="Abadi" w:hAnsi="Abadi" w:cs="*Verdana-Italic-13496-Identity-"/>
          <w:i/>
          <w:iCs/>
          <w:color w:val="19181B"/>
          <w:sz w:val="21"/>
          <w:szCs w:val="21"/>
        </w:rPr>
      </w:pPr>
      <w:r w:rsidRPr="007729D2">
        <w:rPr>
          <w:rFonts w:ascii="Abadi" w:hAnsi="Abadi" w:cs="*Verdana-Italic-13496-Identity-"/>
          <w:i/>
          <w:iCs/>
          <w:color w:val="19181B"/>
          <w:sz w:val="21"/>
          <w:szCs w:val="21"/>
        </w:rPr>
        <w:t>Fue un hecho notorio que dicho acto administrativo concitó la repulsa generalizada de la</w:t>
      </w:r>
      <w:r>
        <w:rPr>
          <w:rFonts w:ascii="Abadi" w:hAnsi="Abadi" w:cs="*Verdana-Italic-13496-Identity-"/>
          <w:i/>
          <w:iCs/>
          <w:color w:val="19181B"/>
          <w:sz w:val="21"/>
          <w:szCs w:val="21"/>
        </w:rPr>
        <w:t xml:space="preserve"> </w:t>
      </w:r>
      <w:r w:rsidRPr="007729D2">
        <w:rPr>
          <w:rFonts w:ascii="Abadi" w:hAnsi="Abadi" w:cs="*Verdana-Italic-13496-Identity-"/>
          <w:i/>
          <w:iCs/>
          <w:color w:val="19181B"/>
          <w:sz w:val="21"/>
          <w:szCs w:val="21"/>
        </w:rPr>
        <w:t>población guanajuatense, porque si bien su emisión formalmente se encuentra dentro de</w:t>
      </w:r>
      <w:r>
        <w:rPr>
          <w:rFonts w:ascii="Abadi" w:hAnsi="Abadi" w:cs="*Verdana-Italic-13496-Identity-"/>
          <w:i/>
          <w:iCs/>
          <w:color w:val="19181B"/>
          <w:sz w:val="21"/>
          <w:szCs w:val="21"/>
        </w:rPr>
        <w:t xml:space="preserve"> </w:t>
      </w:r>
      <w:r w:rsidRPr="007729D2">
        <w:rPr>
          <w:rFonts w:ascii="Abadi" w:hAnsi="Abadi" w:cs="*Verdana-Italic-13496-Identity-"/>
          <w:i/>
          <w:iCs/>
          <w:color w:val="19181B"/>
          <w:sz w:val="21"/>
          <w:szCs w:val="21"/>
        </w:rPr>
        <w:t>los márgenes establecidos por la Ley de Concesiones de Servicios e Infraestructura</w:t>
      </w:r>
      <w:r>
        <w:rPr>
          <w:rFonts w:ascii="Abadi" w:hAnsi="Abadi" w:cs="*Verdana-Italic-13496-Identity-"/>
          <w:i/>
          <w:iCs/>
          <w:color w:val="19181B"/>
          <w:sz w:val="21"/>
          <w:szCs w:val="21"/>
        </w:rPr>
        <w:t xml:space="preserve"> </w:t>
      </w:r>
      <w:r w:rsidRPr="007729D2">
        <w:rPr>
          <w:rFonts w:ascii="Abadi" w:hAnsi="Abadi" w:cs="*Verdana-Italic-13496-Identity-"/>
          <w:i/>
          <w:iCs/>
          <w:color w:val="19181B"/>
          <w:sz w:val="21"/>
          <w:szCs w:val="21"/>
        </w:rPr>
        <w:t>Pública para el Estado de Guanajuato, materialmente pugna con la moral social por el</w:t>
      </w:r>
      <w:r>
        <w:rPr>
          <w:rFonts w:ascii="Abadi" w:hAnsi="Abadi" w:cs="*Verdana-Italic-13496-Identity-"/>
          <w:i/>
          <w:iCs/>
          <w:color w:val="19181B"/>
          <w:sz w:val="21"/>
          <w:szCs w:val="21"/>
        </w:rPr>
        <w:t xml:space="preserve"> </w:t>
      </w:r>
      <w:r w:rsidRPr="007729D2">
        <w:rPr>
          <w:rFonts w:ascii="Abadi" w:hAnsi="Abadi" w:cs="*Verdana-Italic-13496-Identity-"/>
          <w:i/>
          <w:iCs/>
          <w:color w:val="19181B"/>
          <w:sz w:val="21"/>
          <w:szCs w:val="21"/>
        </w:rPr>
        <w:t>muy elevado monto de la operación y porque el procedimiento se realizó de una manera</w:t>
      </w:r>
      <w:r>
        <w:rPr>
          <w:rFonts w:ascii="Abadi" w:hAnsi="Abadi" w:cs="*Verdana-Italic-13496-Identity-"/>
          <w:i/>
          <w:iCs/>
          <w:color w:val="19181B"/>
          <w:sz w:val="21"/>
          <w:szCs w:val="21"/>
        </w:rPr>
        <w:t xml:space="preserve"> </w:t>
      </w:r>
      <w:r w:rsidRPr="007729D2">
        <w:rPr>
          <w:rFonts w:ascii="Abadi" w:hAnsi="Abadi" w:cs="*Verdana-Italic-13496-Identity-"/>
          <w:i/>
          <w:iCs/>
          <w:color w:val="19181B"/>
          <w:sz w:val="21"/>
          <w:szCs w:val="21"/>
        </w:rPr>
        <w:t>en extremo sigilosa y por lo tanto, más que opaca, completamente oscura.</w:t>
      </w:r>
    </w:p>
    <w:p w14:paraId="17589EA3" w14:textId="77777777" w:rsidR="006B7FC5" w:rsidRPr="007729D2" w:rsidRDefault="006B7FC5" w:rsidP="006B7FC5">
      <w:pPr>
        <w:autoSpaceDE w:val="0"/>
        <w:autoSpaceDN w:val="0"/>
        <w:adjustRightInd w:val="0"/>
        <w:ind w:left="426"/>
        <w:jc w:val="both"/>
        <w:rPr>
          <w:rFonts w:ascii="Abadi" w:hAnsi="Abadi" w:cs="*Verdana-Italic-13496-Identity-"/>
          <w:i/>
          <w:iCs/>
          <w:color w:val="19181B"/>
          <w:sz w:val="21"/>
          <w:szCs w:val="21"/>
        </w:rPr>
      </w:pPr>
    </w:p>
    <w:p w14:paraId="3DCA880A" w14:textId="77777777" w:rsidR="006B7FC5" w:rsidRDefault="006B7FC5" w:rsidP="006B7FC5">
      <w:pPr>
        <w:autoSpaceDE w:val="0"/>
        <w:autoSpaceDN w:val="0"/>
        <w:adjustRightInd w:val="0"/>
        <w:ind w:left="426"/>
        <w:jc w:val="both"/>
        <w:rPr>
          <w:rFonts w:ascii="Abadi" w:hAnsi="Abadi" w:cs="*Verdana-Italic-13496-Identity-"/>
          <w:i/>
          <w:iCs/>
          <w:color w:val="1B1A1C"/>
          <w:sz w:val="21"/>
          <w:szCs w:val="21"/>
        </w:rPr>
      </w:pPr>
      <w:r w:rsidRPr="007729D2">
        <w:rPr>
          <w:rFonts w:ascii="Abadi" w:hAnsi="Abadi" w:cs="*Verdana-Italic-13496-Identity-"/>
          <w:i/>
          <w:iCs/>
          <w:color w:val="1B1A1C"/>
          <w:sz w:val="21"/>
          <w:szCs w:val="21"/>
        </w:rPr>
        <w:t>Varios Juristas han opinado que el articulado que autoriza al Ejecutivo estatal a</w:t>
      </w:r>
      <w:r>
        <w:rPr>
          <w:rFonts w:ascii="Abadi" w:hAnsi="Abadi" w:cs="*Verdana-Italic-13496-Identity-"/>
          <w:i/>
          <w:iCs/>
          <w:color w:val="1B1A1C"/>
          <w:sz w:val="21"/>
          <w:szCs w:val="21"/>
        </w:rPr>
        <w:t xml:space="preserve"> </w:t>
      </w:r>
      <w:r w:rsidRPr="007729D2">
        <w:rPr>
          <w:rFonts w:ascii="Abadi" w:hAnsi="Abadi" w:cs="*Verdana-Italic-13496-Identity-"/>
          <w:i/>
          <w:iCs/>
          <w:color w:val="1B1A1C"/>
          <w:sz w:val="21"/>
          <w:szCs w:val="21"/>
        </w:rPr>
        <w:t>concesionar obras de infraestructura mediante el procedimiento de la adjudicación</w:t>
      </w:r>
      <w:r>
        <w:rPr>
          <w:rFonts w:ascii="Abadi" w:hAnsi="Abadi" w:cs="*Verdana-Italic-13496-Identity-"/>
          <w:i/>
          <w:iCs/>
          <w:color w:val="1B1A1C"/>
          <w:sz w:val="21"/>
          <w:szCs w:val="21"/>
        </w:rPr>
        <w:t xml:space="preserve"> </w:t>
      </w:r>
      <w:r w:rsidRPr="007729D2">
        <w:rPr>
          <w:rFonts w:ascii="Abadi" w:hAnsi="Abadi" w:cs="*Verdana-Italic-13496-Identity-"/>
          <w:i/>
          <w:iCs/>
          <w:color w:val="1B1A1C"/>
          <w:sz w:val="21"/>
          <w:szCs w:val="21"/>
        </w:rPr>
        <w:t>directa mediante la simple presentación de un proyecto, pugna con el contenido del</w:t>
      </w:r>
      <w:r>
        <w:rPr>
          <w:rFonts w:ascii="Abadi" w:hAnsi="Abadi" w:cs="*Verdana-Italic-13496-Identity-"/>
          <w:i/>
          <w:iCs/>
          <w:color w:val="1B1A1C"/>
          <w:sz w:val="21"/>
          <w:szCs w:val="21"/>
        </w:rPr>
        <w:t xml:space="preserve"> </w:t>
      </w:r>
      <w:r w:rsidRPr="007729D2">
        <w:rPr>
          <w:rFonts w:ascii="Abadi" w:hAnsi="Abadi" w:cs="*Verdana-Italic-13496-Identity-"/>
          <w:i/>
          <w:iCs/>
          <w:color w:val="1B1A1C"/>
          <w:sz w:val="21"/>
          <w:szCs w:val="21"/>
        </w:rPr>
        <w:t>artículo 134 de la Constitución Política de los Estados Unidos Mexicanos.</w:t>
      </w:r>
    </w:p>
    <w:p w14:paraId="1DD1C3A6" w14:textId="77777777" w:rsidR="006B7FC5" w:rsidRPr="007729D2" w:rsidRDefault="006B7FC5" w:rsidP="006B7FC5">
      <w:pPr>
        <w:autoSpaceDE w:val="0"/>
        <w:autoSpaceDN w:val="0"/>
        <w:adjustRightInd w:val="0"/>
        <w:ind w:left="426"/>
        <w:jc w:val="both"/>
        <w:rPr>
          <w:rFonts w:ascii="Abadi" w:hAnsi="Abadi" w:cs="*Verdana-Italic-13496-Identity-"/>
          <w:i/>
          <w:iCs/>
          <w:color w:val="1B1A1C"/>
          <w:sz w:val="21"/>
          <w:szCs w:val="21"/>
        </w:rPr>
      </w:pPr>
    </w:p>
    <w:p w14:paraId="134B6CE2" w14:textId="77777777" w:rsidR="006B7FC5" w:rsidRDefault="006B7FC5" w:rsidP="006B7FC5">
      <w:pPr>
        <w:autoSpaceDE w:val="0"/>
        <w:autoSpaceDN w:val="0"/>
        <w:adjustRightInd w:val="0"/>
        <w:ind w:left="426"/>
        <w:jc w:val="both"/>
        <w:rPr>
          <w:rFonts w:ascii="Abadi" w:hAnsi="Abadi" w:cs="*Verdana-Italic-13496-Identity-"/>
          <w:i/>
          <w:iCs/>
          <w:color w:val="1C1C1E"/>
          <w:sz w:val="21"/>
          <w:szCs w:val="21"/>
        </w:rPr>
      </w:pPr>
      <w:r w:rsidRPr="007729D2">
        <w:rPr>
          <w:rFonts w:ascii="Abadi" w:hAnsi="Abadi" w:cs="*Verdana-Italic-13496-Identity-"/>
          <w:i/>
          <w:iCs/>
          <w:color w:val="1C1C1E"/>
          <w:sz w:val="21"/>
          <w:szCs w:val="21"/>
        </w:rPr>
        <w:t>Además, en fecha 24 de mayo de 2018, el Comité de Participación Ciudadana del</w:t>
      </w:r>
      <w:r>
        <w:rPr>
          <w:rFonts w:ascii="Abadi" w:hAnsi="Abadi" w:cs="*Verdana-Italic-13496-Identity-"/>
          <w:i/>
          <w:iCs/>
          <w:color w:val="1C1C1E"/>
          <w:sz w:val="21"/>
          <w:szCs w:val="21"/>
        </w:rPr>
        <w:t xml:space="preserve"> </w:t>
      </w:r>
      <w:r w:rsidRPr="007729D2">
        <w:rPr>
          <w:rFonts w:ascii="Abadi" w:hAnsi="Abadi" w:cs="*Verdana-Italic-13496-Identity-"/>
          <w:i/>
          <w:iCs/>
          <w:color w:val="1C1C1E"/>
          <w:sz w:val="21"/>
          <w:szCs w:val="21"/>
        </w:rPr>
        <w:t>Sistema Estatal Anticorrupción, resolvió recomendar a este Poder Legislativo "analizar,</w:t>
      </w:r>
      <w:r>
        <w:rPr>
          <w:rFonts w:ascii="Abadi" w:hAnsi="Abadi" w:cs="*Verdana-Italic-13496-Identity-"/>
          <w:i/>
          <w:iCs/>
          <w:color w:val="1C1C1E"/>
          <w:sz w:val="21"/>
          <w:szCs w:val="21"/>
        </w:rPr>
        <w:t xml:space="preserve"> </w:t>
      </w:r>
      <w:r w:rsidRPr="007729D2">
        <w:rPr>
          <w:rFonts w:ascii="Abadi" w:hAnsi="Abadi" w:cs="*Verdana-Italic-13496-Identity-"/>
          <w:i/>
          <w:iCs/>
          <w:color w:val="1C1C1E"/>
          <w:sz w:val="21"/>
          <w:szCs w:val="21"/>
        </w:rPr>
        <w:t>revisar y modificar, en su caso, la Ley de Concesiones de Servicios e Infraestructura</w:t>
      </w:r>
      <w:r>
        <w:rPr>
          <w:rFonts w:ascii="Abadi" w:hAnsi="Abadi" w:cs="*Verdana-Italic-13496-Identity-"/>
          <w:i/>
          <w:iCs/>
          <w:color w:val="1C1C1E"/>
          <w:sz w:val="21"/>
          <w:szCs w:val="21"/>
        </w:rPr>
        <w:t xml:space="preserve"> </w:t>
      </w:r>
      <w:r w:rsidRPr="007729D2">
        <w:rPr>
          <w:rFonts w:ascii="Abadi" w:hAnsi="Abadi" w:cs="*Verdana-Italic-13496-Identity-"/>
          <w:i/>
          <w:iCs/>
          <w:color w:val="1C1C1E"/>
          <w:sz w:val="21"/>
          <w:szCs w:val="21"/>
        </w:rPr>
        <w:t>Pública para el Estado de Guanajuato, adecuándola y actualizándola a los estándares de</w:t>
      </w:r>
      <w:r>
        <w:rPr>
          <w:rFonts w:ascii="Abadi" w:hAnsi="Abadi" w:cs="*Verdana-Italic-13496-Identity-"/>
          <w:i/>
          <w:iCs/>
          <w:color w:val="1C1C1E"/>
          <w:sz w:val="21"/>
          <w:szCs w:val="21"/>
        </w:rPr>
        <w:t xml:space="preserve"> </w:t>
      </w:r>
      <w:r w:rsidRPr="007729D2">
        <w:rPr>
          <w:rFonts w:ascii="Abadi" w:hAnsi="Abadi" w:cs="*Verdana-Italic-13496-Identity-"/>
          <w:i/>
          <w:iCs/>
          <w:color w:val="1C1C1E"/>
          <w:sz w:val="21"/>
          <w:szCs w:val="21"/>
        </w:rPr>
        <w:t>contrataciones abiertas y transparencia."</w:t>
      </w:r>
    </w:p>
    <w:p w14:paraId="4F9CC8B5" w14:textId="77777777" w:rsidR="006B7FC5" w:rsidRPr="007729D2" w:rsidRDefault="006B7FC5" w:rsidP="006B7FC5">
      <w:pPr>
        <w:autoSpaceDE w:val="0"/>
        <w:autoSpaceDN w:val="0"/>
        <w:adjustRightInd w:val="0"/>
        <w:ind w:left="426"/>
        <w:jc w:val="both"/>
        <w:rPr>
          <w:rFonts w:ascii="Abadi" w:hAnsi="Abadi" w:cs="*Verdana-Italic-13496-Identity-"/>
          <w:i/>
          <w:iCs/>
          <w:color w:val="1C1C1E"/>
          <w:sz w:val="21"/>
          <w:szCs w:val="21"/>
        </w:rPr>
      </w:pPr>
    </w:p>
    <w:p w14:paraId="4CCCA0D8" w14:textId="77777777" w:rsidR="006B7FC5" w:rsidRDefault="006B7FC5" w:rsidP="006B7FC5">
      <w:pPr>
        <w:autoSpaceDE w:val="0"/>
        <w:autoSpaceDN w:val="0"/>
        <w:adjustRightInd w:val="0"/>
        <w:ind w:left="426"/>
        <w:jc w:val="both"/>
        <w:rPr>
          <w:rFonts w:ascii="Abadi" w:hAnsi="Abadi" w:cs="*Verdana-Italic-13496-Identity-"/>
          <w:i/>
          <w:iCs/>
          <w:color w:val="1B1A1C"/>
          <w:sz w:val="21"/>
          <w:szCs w:val="21"/>
        </w:rPr>
      </w:pPr>
      <w:r w:rsidRPr="007729D2">
        <w:rPr>
          <w:rFonts w:ascii="Abadi" w:hAnsi="Abadi" w:cs="*Verdana-Italic-13496-Identity-"/>
          <w:i/>
          <w:iCs/>
          <w:color w:val="1B1A1C"/>
          <w:sz w:val="21"/>
          <w:szCs w:val="21"/>
        </w:rPr>
        <w:t>En mérito de todo lo anterior, es claro que para el caso de las concesiones que en</w:t>
      </w:r>
      <w:r>
        <w:rPr>
          <w:rFonts w:ascii="Abadi" w:hAnsi="Abadi" w:cs="*Verdana-Italic-13496-Identity-"/>
          <w:i/>
          <w:iCs/>
          <w:color w:val="1B1A1C"/>
          <w:sz w:val="21"/>
          <w:szCs w:val="21"/>
        </w:rPr>
        <w:t xml:space="preserve"> </w:t>
      </w:r>
      <w:r w:rsidRPr="007729D2">
        <w:rPr>
          <w:rFonts w:ascii="Abadi" w:hAnsi="Abadi" w:cs="*Verdana-Italic-13496-Identity-"/>
          <w:i/>
          <w:iCs/>
          <w:color w:val="1B1A1C"/>
          <w:sz w:val="21"/>
          <w:szCs w:val="21"/>
        </w:rPr>
        <w:t>otorgue el Gobierno del Estado de Guanajuato en materia de infraestructura, se deben</w:t>
      </w:r>
      <w:r>
        <w:rPr>
          <w:rFonts w:ascii="Abadi" w:hAnsi="Abadi" w:cs="*Verdana-Italic-13496-Identity-"/>
          <w:i/>
          <w:iCs/>
          <w:color w:val="1B1A1C"/>
          <w:sz w:val="21"/>
          <w:szCs w:val="21"/>
        </w:rPr>
        <w:t xml:space="preserve"> </w:t>
      </w:r>
      <w:r w:rsidRPr="007729D2">
        <w:rPr>
          <w:rFonts w:ascii="Abadi" w:hAnsi="Abadi" w:cs="*Verdana-Italic-13496-Identity-"/>
          <w:i/>
          <w:iCs/>
          <w:color w:val="1B1A1C"/>
          <w:sz w:val="21"/>
          <w:szCs w:val="21"/>
        </w:rPr>
        <w:t xml:space="preserve">de observar los </w:t>
      </w:r>
      <w:r>
        <w:rPr>
          <w:rFonts w:ascii="Abadi" w:hAnsi="Abadi" w:cs="*Verdana-Italic-13496-Identity-"/>
          <w:i/>
          <w:iCs/>
          <w:color w:val="1B1A1C"/>
          <w:sz w:val="21"/>
          <w:szCs w:val="21"/>
        </w:rPr>
        <w:t>li</w:t>
      </w:r>
      <w:r w:rsidRPr="007729D2">
        <w:rPr>
          <w:rFonts w:ascii="Abadi" w:hAnsi="Abadi" w:cs="*Verdana-Italic-13496-Identity-"/>
          <w:i/>
          <w:iCs/>
          <w:color w:val="1B1A1C"/>
          <w:sz w:val="21"/>
          <w:szCs w:val="21"/>
        </w:rPr>
        <w:t>neamientos generales establecidos por el referido artículo 134</w:t>
      </w:r>
      <w:r>
        <w:rPr>
          <w:rFonts w:ascii="Abadi" w:hAnsi="Abadi" w:cs="*Verdana-Italic-13496-Identity-"/>
          <w:i/>
          <w:iCs/>
          <w:color w:val="1B1A1C"/>
          <w:sz w:val="21"/>
          <w:szCs w:val="21"/>
        </w:rPr>
        <w:t xml:space="preserve"> </w:t>
      </w:r>
      <w:r w:rsidRPr="007729D2">
        <w:rPr>
          <w:rFonts w:ascii="Abadi" w:hAnsi="Abadi" w:cs="*Verdana-Italic-13496-Identity-"/>
          <w:i/>
          <w:iCs/>
          <w:color w:val="1B1A1C"/>
          <w:sz w:val="21"/>
          <w:szCs w:val="21"/>
        </w:rPr>
        <w:t>constitucional, y por lo tanto, someterse a licitación pública; que son las que se han</w:t>
      </w:r>
      <w:r>
        <w:rPr>
          <w:rFonts w:ascii="Abadi" w:hAnsi="Abadi" w:cs="*Verdana-Italic-13496-Identity-"/>
          <w:i/>
          <w:iCs/>
          <w:color w:val="1B1A1C"/>
          <w:sz w:val="21"/>
          <w:szCs w:val="21"/>
        </w:rPr>
        <w:t xml:space="preserve"> </w:t>
      </w:r>
      <w:r w:rsidRPr="007729D2">
        <w:rPr>
          <w:rFonts w:ascii="Abadi" w:hAnsi="Abadi" w:cs="*Verdana-Italic-13496-Identity-"/>
          <w:i/>
          <w:iCs/>
          <w:color w:val="1B1A1C"/>
          <w:sz w:val="21"/>
          <w:szCs w:val="21"/>
        </w:rPr>
        <w:t>establecido también para el caso de que la concesión tenga por objeto un servicio</w:t>
      </w:r>
      <w:r>
        <w:rPr>
          <w:rFonts w:ascii="Abadi" w:hAnsi="Abadi" w:cs="*Verdana-Italic-13496-Identity-"/>
          <w:i/>
          <w:iCs/>
          <w:color w:val="1B1A1C"/>
          <w:sz w:val="21"/>
          <w:szCs w:val="21"/>
        </w:rPr>
        <w:t xml:space="preserve"> </w:t>
      </w:r>
      <w:r w:rsidRPr="007729D2">
        <w:rPr>
          <w:rFonts w:ascii="Abadi" w:hAnsi="Abadi" w:cs="*Verdana-Italic-13496-Identity-"/>
          <w:i/>
          <w:iCs/>
          <w:color w:val="1B1A1C"/>
          <w:sz w:val="21"/>
          <w:szCs w:val="21"/>
        </w:rPr>
        <w:t>público.</w:t>
      </w:r>
    </w:p>
    <w:p w14:paraId="6143572F" w14:textId="77777777" w:rsidR="006B7FC5" w:rsidRPr="007729D2" w:rsidRDefault="006B7FC5" w:rsidP="006B7FC5">
      <w:pPr>
        <w:autoSpaceDE w:val="0"/>
        <w:autoSpaceDN w:val="0"/>
        <w:adjustRightInd w:val="0"/>
        <w:ind w:left="426"/>
        <w:jc w:val="both"/>
        <w:rPr>
          <w:rFonts w:ascii="Abadi" w:hAnsi="Abadi" w:cs="*Verdana-Italic-13496-Identity-"/>
          <w:i/>
          <w:iCs/>
          <w:color w:val="1B1A1C"/>
          <w:sz w:val="21"/>
          <w:szCs w:val="21"/>
        </w:rPr>
      </w:pPr>
    </w:p>
    <w:p w14:paraId="6F74824F" w14:textId="77777777" w:rsidR="006B7FC5" w:rsidRDefault="006B7FC5" w:rsidP="006B7FC5">
      <w:pPr>
        <w:autoSpaceDE w:val="0"/>
        <w:autoSpaceDN w:val="0"/>
        <w:adjustRightInd w:val="0"/>
        <w:ind w:left="426"/>
        <w:jc w:val="both"/>
        <w:rPr>
          <w:rFonts w:ascii="Abadi" w:hAnsi="Abadi" w:cs="*Verdana-Italic-13496-Identity-"/>
          <w:i/>
          <w:iCs/>
          <w:color w:val="1B1A1C"/>
          <w:sz w:val="21"/>
          <w:szCs w:val="21"/>
        </w:rPr>
      </w:pPr>
      <w:r w:rsidRPr="007729D2">
        <w:rPr>
          <w:rFonts w:ascii="Abadi" w:hAnsi="Abadi" w:cs="*Verdana-Italic-13496-Identity-"/>
          <w:i/>
          <w:iCs/>
          <w:color w:val="1B1A1C"/>
          <w:sz w:val="21"/>
          <w:szCs w:val="21"/>
        </w:rPr>
        <w:t>Así las cosas, resultaría ocioso conservar el Capítulo III del Título Segundo de dicho</w:t>
      </w:r>
      <w:r>
        <w:rPr>
          <w:rFonts w:ascii="Abadi" w:hAnsi="Abadi" w:cs="*Verdana-Italic-13496-Identity-"/>
          <w:i/>
          <w:iCs/>
          <w:color w:val="1B1A1C"/>
          <w:sz w:val="21"/>
          <w:szCs w:val="21"/>
        </w:rPr>
        <w:t xml:space="preserve"> </w:t>
      </w:r>
      <w:r w:rsidRPr="007729D2">
        <w:rPr>
          <w:rFonts w:ascii="Abadi" w:hAnsi="Abadi" w:cs="*Verdana-Italic-13496-Identity-"/>
          <w:i/>
          <w:iCs/>
          <w:color w:val="1B1A1C"/>
          <w:sz w:val="21"/>
          <w:szCs w:val="21"/>
        </w:rPr>
        <w:t>ordenamiento pues en su integridad, compuesto por los artículos 17 y 18 de la Ley a</w:t>
      </w:r>
      <w:r>
        <w:rPr>
          <w:rFonts w:ascii="Abadi" w:hAnsi="Abadi" w:cs="*Verdana-Italic-13496-Identity-"/>
          <w:i/>
          <w:iCs/>
          <w:color w:val="1B1A1C"/>
          <w:sz w:val="21"/>
          <w:szCs w:val="21"/>
        </w:rPr>
        <w:t xml:space="preserve"> </w:t>
      </w:r>
      <w:r w:rsidRPr="007729D2">
        <w:rPr>
          <w:rFonts w:ascii="Abadi" w:hAnsi="Abadi" w:cs="*Verdana-Italic-13496-Identity-"/>
          <w:i/>
          <w:iCs/>
          <w:color w:val="1B1A1C"/>
          <w:sz w:val="21"/>
          <w:szCs w:val="21"/>
        </w:rPr>
        <w:t>reformar, se refieren a la figura de la adjudicación directa; y por lo tanto procede, en</w:t>
      </w:r>
      <w:r>
        <w:rPr>
          <w:rFonts w:ascii="Abadi" w:hAnsi="Abadi" w:cs="*Verdana-Italic-13496-Identity-"/>
          <w:i/>
          <w:iCs/>
          <w:color w:val="1B1A1C"/>
          <w:sz w:val="21"/>
          <w:szCs w:val="21"/>
        </w:rPr>
        <w:t xml:space="preserve"> </w:t>
      </w:r>
      <w:r w:rsidRPr="007729D2">
        <w:rPr>
          <w:rFonts w:ascii="Abadi" w:hAnsi="Abadi" w:cs="*Verdana-Italic-13496-Identity-"/>
          <w:i/>
          <w:iCs/>
          <w:color w:val="1B1A1C"/>
          <w:sz w:val="21"/>
          <w:szCs w:val="21"/>
        </w:rPr>
        <w:t>este caso, la derogación del Título en su integridad.</w:t>
      </w:r>
    </w:p>
    <w:p w14:paraId="63B8018A" w14:textId="77777777" w:rsidR="006B7FC5" w:rsidRPr="007729D2" w:rsidRDefault="006B7FC5" w:rsidP="006B7FC5">
      <w:pPr>
        <w:autoSpaceDE w:val="0"/>
        <w:autoSpaceDN w:val="0"/>
        <w:adjustRightInd w:val="0"/>
        <w:ind w:left="426"/>
        <w:jc w:val="both"/>
        <w:rPr>
          <w:rFonts w:ascii="Abadi" w:hAnsi="Abadi" w:cs="*Verdana-Italic-13496-Identity-"/>
          <w:i/>
          <w:iCs/>
          <w:color w:val="1B1A1C"/>
          <w:sz w:val="21"/>
          <w:szCs w:val="21"/>
        </w:rPr>
      </w:pPr>
    </w:p>
    <w:p w14:paraId="251FFA41" w14:textId="77777777" w:rsidR="006B7FC5" w:rsidRDefault="006B7FC5" w:rsidP="006B7FC5">
      <w:pPr>
        <w:autoSpaceDE w:val="0"/>
        <w:autoSpaceDN w:val="0"/>
        <w:adjustRightInd w:val="0"/>
        <w:ind w:left="426"/>
        <w:jc w:val="both"/>
        <w:rPr>
          <w:rFonts w:ascii="Abadi" w:hAnsi="Abadi" w:cs="*Verdana-Italic-13496-Identity-"/>
          <w:i/>
          <w:iCs/>
          <w:color w:val="1B1B1D"/>
          <w:sz w:val="21"/>
          <w:szCs w:val="21"/>
        </w:rPr>
      </w:pPr>
      <w:r w:rsidRPr="007729D2">
        <w:rPr>
          <w:rFonts w:ascii="Abadi" w:hAnsi="Abadi" w:cs="*Verdana-Italic-13496-Identity-"/>
          <w:i/>
          <w:iCs/>
          <w:color w:val="1B1B1D"/>
          <w:sz w:val="21"/>
          <w:szCs w:val="21"/>
        </w:rPr>
        <w:t>Además, el artículo 11 de la Ley de Concesiones, en donde actualmente se vienen</w:t>
      </w:r>
      <w:r>
        <w:rPr>
          <w:rFonts w:ascii="Abadi" w:hAnsi="Abadi" w:cs="*Verdana-Italic-13496-Identity-"/>
          <w:i/>
          <w:iCs/>
          <w:color w:val="1B1B1D"/>
          <w:sz w:val="21"/>
          <w:szCs w:val="21"/>
        </w:rPr>
        <w:t xml:space="preserve"> </w:t>
      </w:r>
      <w:r w:rsidRPr="007729D2">
        <w:rPr>
          <w:rFonts w:ascii="Abadi" w:hAnsi="Abadi" w:cs="*Verdana-Italic-13496-Identity-"/>
          <w:i/>
          <w:iCs/>
          <w:color w:val="1B1B1D"/>
          <w:sz w:val="21"/>
          <w:szCs w:val="21"/>
        </w:rPr>
        <w:t>estableciendo las modalidades de procedimiento para otorgar las concesiones de</w:t>
      </w:r>
      <w:r>
        <w:rPr>
          <w:rFonts w:ascii="Abadi" w:hAnsi="Abadi" w:cs="*Verdana-Italic-13496-Identity-"/>
          <w:i/>
          <w:iCs/>
          <w:color w:val="1B1B1D"/>
          <w:sz w:val="21"/>
          <w:szCs w:val="21"/>
        </w:rPr>
        <w:t xml:space="preserve"> </w:t>
      </w:r>
      <w:r w:rsidRPr="007729D2">
        <w:rPr>
          <w:rFonts w:ascii="Abadi" w:hAnsi="Abadi" w:cs="*Verdana-Italic-13496-Identity-"/>
          <w:i/>
          <w:iCs/>
          <w:color w:val="1B1B1D"/>
          <w:sz w:val="21"/>
          <w:szCs w:val="21"/>
        </w:rPr>
        <w:t>Infraestructura pública, de manera consecuente debe ajustarse a señalar que la</w:t>
      </w:r>
      <w:r>
        <w:rPr>
          <w:rFonts w:ascii="Abadi" w:hAnsi="Abadi" w:cs="*Verdana-Italic-13496-Identity-"/>
          <w:i/>
          <w:iCs/>
          <w:color w:val="1B1B1D"/>
          <w:sz w:val="21"/>
          <w:szCs w:val="21"/>
        </w:rPr>
        <w:t xml:space="preserve"> </w:t>
      </w:r>
      <w:r w:rsidRPr="007729D2">
        <w:rPr>
          <w:rFonts w:ascii="Abadi" w:hAnsi="Abadi" w:cs="*Verdana-Italic-13496-Identity-"/>
          <w:i/>
          <w:iCs/>
          <w:color w:val="1B1B1D"/>
          <w:sz w:val="21"/>
          <w:szCs w:val="21"/>
        </w:rPr>
        <w:t>modalidad única será la licitación pública.</w:t>
      </w:r>
    </w:p>
    <w:p w14:paraId="56D05166" w14:textId="77777777" w:rsidR="006B7FC5" w:rsidRPr="007729D2" w:rsidRDefault="006B7FC5" w:rsidP="006B7FC5">
      <w:pPr>
        <w:autoSpaceDE w:val="0"/>
        <w:autoSpaceDN w:val="0"/>
        <w:adjustRightInd w:val="0"/>
        <w:ind w:left="426"/>
        <w:jc w:val="both"/>
        <w:rPr>
          <w:rFonts w:ascii="Abadi" w:hAnsi="Abadi" w:cs="*Verdana-Italic-13496-Identity-"/>
          <w:i/>
          <w:iCs/>
          <w:color w:val="1B1B1D"/>
          <w:sz w:val="21"/>
          <w:szCs w:val="21"/>
        </w:rPr>
      </w:pPr>
    </w:p>
    <w:p w14:paraId="10CFA254" w14:textId="77777777" w:rsidR="006B7FC5" w:rsidRPr="007729D2" w:rsidRDefault="006B7FC5" w:rsidP="006B7FC5">
      <w:pPr>
        <w:autoSpaceDE w:val="0"/>
        <w:autoSpaceDN w:val="0"/>
        <w:adjustRightInd w:val="0"/>
        <w:ind w:left="426"/>
        <w:jc w:val="both"/>
        <w:rPr>
          <w:rFonts w:ascii="Abadi" w:hAnsi="Abadi" w:cs="*Verdana-Italic-13496-Identity-"/>
          <w:i/>
          <w:iCs/>
          <w:color w:val="1C1B1E"/>
          <w:sz w:val="21"/>
          <w:szCs w:val="21"/>
        </w:rPr>
      </w:pPr>
      <w:r w:rsidRPr="007729D2">
        <w:rPr>
          <w:rFonts w:ascii="Abadi" w:hAnsi="Abadi" w:cs="*Verdana-Italic-13496-Identity-"/>
          <w:i/>
          <w:iCs/>
          <w:color w:val="1C1B1E"/>
          <w:sz w:val="21"/>
          <w:szCs w:val="21"/>
        </w:rPr>
        <w:t>Con esta reforma buscamos que los procedimientos relacionados con las concesiones que</w:t>
      </w:r>
      <w:r>
        <w:rPr>
          <w:rFonts w:ascii="Abadi" w:hAnsi="Abadi" w:cs="*Verdana-Italic-13496-Identity-"/>
          <w:i/>
          <w:iCs/>
          <w:color w:val="1C1B1E"/>
          <w:sz w:val="21"/>
          <w:szCs w:val="21"/>
        </w:rPr>
        <w:t xml:space="preserve"> </w:t>
      </w:r>
      <w:r w:rsidRPr="007729D2">
        <w:rPr>
          <w:rFonts w:ascii="Abadi" w:hAnsi="Abadi" w:cs="*Verdana-Italic-13496-Identity-"/>
          <w:i/>
          <w:iCs/>
          <w:color w:val="1C1B1E"/>
          <w:sz w:val="21"/>
          <w:szCs w:val="21"/>
        </w:rPr>
        <w:t xml:space="preserve">conceda el Poder Ejecutivo </w:t>
      </w:r>
      <w:r w:rsidRPr="007729D2">
        <w:rPr>
          <w:rFonts w:ascii="Abadi" w:hAnsi="Abadi" w:cs="*Verdana-13497-Identity-H"/>
          <w:color w:val="1C1B1E"/>
          <w:sz w:val="21"/>
          <w:szCs w:val="21"/>
        </w:rPr>
        <w:t xml:space="preserve">se </w:t>
      </w:r>
      <w:r w:rsidRPr="007729D2">
        <w:rPr>
          <w:rFonts w:ascii="Abadi" w:hAnsi="Abadi" w:cs="*Verdana-Italic-13496-Identity-"/>
          <w:i/>
          <w:iCs/>
          <w:color w:val="1C1B1E"/>
          <w:sz w:val="21"/>
          <w:szCs w:val="21"/>
        </w:rPr>
        <w:t>realicen dentro de un marco de buen gobierno, que tenga</w:t>
      </w:r>
      <w:r>
        <w:rPr>
          <w:rFonts w:ascii="Abadi" w:hAnsi="Abadi" w:cs="*Verdana-Italic-13496-Identity-"/>
          <w:i/>
          <w:iCs/>
          <w:color w:val="1C1B1E"/>
          <w:sz w:val="21"/>
          <w:szCs w:val="21"/>
        </w:rPr>
        <w:t xml:space="preserve"> </w:t>
      </w:r>
      <w:r w:rsidRPr="007729D2">
        <w:rPr>
          <w:rFonts w:ascii="Abadi" w:hAnsi="Abadi" w:cs="*Verdana-Italic-13496-Identity-"/>
          <w:i/>
          <w:iCs/>
          <w:color w:val="1C1B1E"/>
          <w:sz w:val="21"/>
          <w:szCs w:val="21"/>
        </w:rPr>
        <w:t>como única finalidad el servicio a la gente y que se destierre cualquier signo de</w:t>
      </w:r>
      <w:r>
        <w:rPr>
          <w:rFonts w:ascii="Abadi" w:hAnsi="Abadi" w:cs="*Verdana-Italic-13496-Identity-"/>
          <w:i/>
          <w:iCs/>
          <w:color w:val="1C1B1E"/>
          <w:sz w:val="21"/>
          <w:szCs w:val="21"/>
        </w:rPr>
        <w:t xml:space="preserve"> </w:t>
      </w:r>
      <w:r w:rsidRPr="007729D2">
        <w:rPr>
          <w:rFonts w:ascii="Abadi" w:hAnsi="Abadi" w:cs="*Verdana-Italic-13496-Identity-"/>
          <w:i/>
          <w:iCs/>
          <w:color w:val="1C1B1E"/>
          <w:sz w:val="21"/>
          <w:szCs w:val="21"/>
        </w:rPr>
        <w:t>corrupción y ejercicio abusivo, deshonesto y patrimonialista del poder.</w:t>
      </w:r>
    </w:p>
    <w:p w14:paraId="0893360E" w14:textId="77777777" w:rsidR="006B7FC5" w:rsidRPr="007729D2" w:rsidRDefault="006B7FC5" w:rsidP="006B7FC5">
      <w:pPr>
        <w:jc w:val="both"/>
        <w:rPr>
          <w:rFonts w:ascii="Abadi" w:hAnsi="Abadi" w:cs="*Verdana-Italic-13496-Identity-"/>
          <w:i/>
          <w:iCs/>
          <w:color w:val="1C1B1E"/>
          <w:sz w:val="21"/>
          <w:szCs w:val="21"/>
        </w:rPr>
      </w:pPr>
    </w:p>
    <w:p w14:paraId="225CE06E" w14:textId="77777777" w:rsidR="006B7FC5" w:rsidRDefault="006B7FC5" w:rsidP="006B7FC5">
      <w:pPr>
        <w:autoSpaceDE w:val="0"/>
        <w:autoSpaceDN w:val="0"/>
        <w:adjustRightInd w:val="0"/>
        <w:jc w:val="both"/>
        <w:rPr>
          <w:rFonts w:ascii="Abadi" w:hAnsi="Abadi" w:cs="*Tahoma-11354-Identity-H"/>
          <w:color w:val="121214"/>
          <w:sz w:val="21"/>
          <w:szCs w:val="21"/>
        </w:rPr>
      </w:pPr>
    </w:p>
    <w:p w14:paraId="601AA2FE" w14:textId="77777777" w:rsidR="006B7FC5" w:rsidRPr="00CC2FDA" w:rsidRDefault="006B7FC5" w:rsidP="006B7FC5">
      <w:pPr>
        <w:autoSpaceDE w:val="0"/>
        <w:autoSpaceDN w:val="0"/>
        <w:adjustRightInd w:val="0"/>
        <w:jc w:val="both"/>
        <w:rPr>
          <w:rFonts w:ascii="Abadi" w:hAnsi="Abadi" w:cs="*Tahoma-11354-Identity-H"/>
          <w:b/>
          <w:bCs/>
          <w:color w:val="121214"/>
          <w:sz w:val="21"/>
          <w:szCs w:val="21"/>
        </w:rPr>
      </w:pPr>
      <w:r w:rsidRPr="00CC2FDA">
        <w:rPr>
          <w:rFonts w:ascii="Abadi" w:hAnsi="Abadi" w:cs="*Tahoma-11354-Identity-H"/>
          <w:b/>
          <w:bCs/>
          <w:color w:val="121214"/>
          <w:sz w:val="21"/>
          <w:szCs w:val="21"/>
        </w:rPr>
        <w:t>III. Consideraciones de la Comisión Dictaminadora.</w:t>
      </w:r>
    </w:p>
    <w:p w14:paraId="78EBCB9A" w14:textId="77777777" w:rsidR="006B7FC5" w:rsidRDefault="006B7FC5" w:rsidP="006B7FC5">
      <w:pPr>
        <w:autoSpaceDE w:val="0"/>
        <w:autoSpaceDN w:val="0"/>
        <w:adjustRightInd w:val="0"/>
        <w:jc w:val="both"/>
        <w:rPr>
          <w:rFonts w:ascii="Abadi" w:hAnsi="Abadi" w:cs="*Tahoma-11354-Identity-H"/>
          <w:color w:val="121214"/>
          <w:sz w:val="21"/>
          <w:szCs w:val="21"/>
        </w:rPr>
      </w:pPr>
    </w:p>
    <w:p w14:paraId="08EED147" w14:textId="77777777" w:rsidR="006B7FC5" w:rsidRDefault="006B7FC5" w:rsidP="006B7FC5">
      <w:pPr>
        <w:autoSpaceDE w:val="0"/>
        <w:autoSpaceDN w:val="0"/>
        <w:adjustRightInd w:val="0"/>
        <w:ind w:firstLine="708"/>
        <w:jc w:val="both"/>
        <w:rPr>
          <w:rFonts w:ascii="Abadi" w:hAnsi="Abadi" w:cs="*Tahoma-11354-Identity-H"/>
          <w:color w:val="121214"/>
          <w:sz w:val="21"/>
          <w:szCs w:val="21"/>
        </w:rPr>
      </w:pPr>
      <w:r w:rsidRPr="007729D2">
        <w:rPr>
          <w:rFonts w:ascii="Abadi" w:hAnsi="Abadi" w:cs="*Tahoma-11354-Identity-H"/>
          <w:color w:val="121214"/>
          <w:sz w:val="21"/>
          <w:szCs w:val="21"/>
        </w:rPr>
        <w:t>El objetivo de la iniciativa materia del presente dictamen es suprimir de la ley la</w:t>
      </w:r>
      <w:r>
        <w:rPr>
          <w:rFonts w:ascii="Abadi" w:hAnsi="Abadi" w:cs="*Tahoma-11354-Identity-H"/>
          <w:color w:val="121214"/>
          <w:sz w:val="21"/>
          <w:szCs w:val="21"/>
        </w:rPr>
        <w:t xml:space="preserve"> </w:t>
      </w:r>
      <w:r w:rsidRPr="007729D2">
        <w:rPr>
          <w:rFonts w:ascii="Abadi" w:hAnsi="Abadi" w:cs="*Tahoma-11354-Identity-H"/>
          <w:color w:val="121214"/>
          <w:sz w:val="21"/>
          <w:szCs w:val="21"/>
        </w:rPr>
        <w:t>figura de adjudicación directa para el otorgamiento de concesiones, para que</w:t>
      </w:r>
      <w:r>
        <w:rPr>
          <w:rFonts w:ascii="Abadi" w:hAnsi="Abadi" w:cs="*Tahoma-11354-Identity-H"/>
          <w:color w:val="121214"/>
          <w:sz w:val="21"/>
          <w:szCs w:val="21"/>
        </w:rPr>
        <w:t xml:space="preserve"> </w:t>
      </w:r>
      <w:r w:rsidRPr="007729D2">
        <w:rPr>
          <w:rFonts w:ascii="Abadi" w:hAnsi="Abadi" w:cs="*Tahoma-11354-Identity-H"/>
          <w:color w:val="121214"/>
          <w:sz w:val="21"/>
          <w:szCs w:val="21"/>
        </w:rPr>
        <w:t>solamente se otorguen a través del procedimiento de licitación pública.</w:t>
      </w:r>
    </w:p>
    <w:p w14:paraId="4CDF4DDC" w14:textId="77777777" w:rsidR="006B7FC5" w:rsidRPr="007729D2" w:rsidRDefault="006B7FC5" w:rsidP="006B7FC5">
      <w:pPr>
        <w:autoSpaceDE w:val="0"/>
        <w:autoSpaceDN w:val="0"/>
        <w:adjustRightInd w:val="0"/>
        <w:jc w:val="both"/>
        <w:rPr>
          <w:rFonts w:ascii="Abadi" w:hAnsi="Abadi" w:cs="*Tahoma-11354-Identity-H"/>
          <w:color w:val="121214"/>
          <w:sz w:val="21"/>
          <w:szCs w:val="21"/>
        </w:rPr>
      </w:pPr>
    </w:p>
    <w:p w14:paraId="2DBACC30" w14:textId="77777777" w:rsidR="006B7FC5" w:rsidRDefault="006B7FC5" w:rsidP="006B7FC5">
      <w:pPr>
        <w:autoSpaceDE w:val="0"/>
        <w:autoSpaceDN w:val="0"/>
        <w:adjustRightInd w:val="0"/>
        <w:ind w:firstLine="708"/>
        <w:jc w:val="both"/>
        <w:rPr>
          <w:rFonts w:ascii="Abadi" w:hAnsi="Abadi" w:cs="*Tahoma-11354-Identity-H"/>
          <w:color w:val="121114"/>
          <w:sz w:val="21"/>
          <w:szCs w:val="21"/>
        </w:rPr>
      </w:pPr>
      <w:r w:rsidRPr="007729D2">
        <w:rPr>
          <w:rFonts w:ascii="Abadi" w:hAnsi="Abadi" w:cs="*Tahoma-11354-Identity-H"/>
          <w:color w:val="121114"/>
          <w:sz w:val="21"/>
          <w:szCs w:val="21"/>
        </w:rPr>
        <w:t>En tal sentido, la vigente Ley de Concesiones de Servicios e Infraestructura</w:t>
      </w:r>
      <w:r>
        <w:rPr>
          <w:rFonts w:ascii="Abadi" w:hAnsi="Abadi" w:cs="*Tahoma-11354-Identity-H"/>
          <w:color w:val="121114"/>
          <w:sz w:val="21"/>
          <w:szCs w:val="21"/>
        </w:rPr>
        <w:t xml:space="preserve"> </w:t>
      </w:r>
      <w:r w:rsidRPr="007729D2">
        <w:rPr>
          <w:rFonts w:ascii="Abadi" w:hAnsi="Abadi" w:cs="*Tahoma-11354-Identity-H"/>
          <w:color w:val="121114"/>
          <w:sz w:val="21"/>
          <w:szCs w:val="21"/>
        </w:rPr>
        <w:t>Pública para el Estado de Guanajuato tiene por objeto regular la facultad del Ejecutivo</w:t>
      </w:r>
      <w:r>
        <w:rPr>
          <w:rFonts w:ascii="Abadi" w:hAnsi="Abadi" w:cs="*Tahoma-11354-Identity-H"/>
          <w:color w:val="121114"/>
          <w:sz w:val="21"/>
          <w:szCs w:val="21"/>
        </w:rPr>
        <w:t xml:space="preserve"> </w:t>
      </w:r>
      <w:r w:rsidRPr="007729D2">
        <w:rPr>
          <w:rFonts w:ascii="Abadi" w:hAnsi="Abadi" w:cs="*Tahoma-11354-Identity-H"/>
          <w:color w:val="121114"/>
          <w:sz w:val="21"/>
          <w:szCs w:val="21"/>
        </w:rPr>
        <w:t>del Estado para otorgar a los particulares la concesión para:</w:t>
      </w:r>
    </w:p>
    <w:p w14:paraId="72380A0D" w14:textId="77777777" w:rsidR="006B7FC5" w:rsidRPr="007729D2" w:rsidRDefault="006B7FC5" w:rsidP="006B7FC5">
      <w:pPr>
        <w:autoSpaceDE w:val="0"/>
        <w:autoSpaceDN w:val="0"/>
        <w:adjustRightInd w:val="0"/>
        <w:jc w:val="both"/>
        <w:rPr>
          <w:rFonts w:ascii="Abadi" w:hAnsi="Abadi" w:cs="*Tahoma-11354-Identity-H"/>
          <w:color w:val="121114"/>
          <w:sz w:val="21"/>
          <w:szCs w:val="21"/>
        </w:rPr>
      </w:pPr>
    </w:p>
    <w:p w14:paraId="6AE692E6" w14:textId="77777777" w:rsidR="006B7FC5" w:rsidRDefault="006B7FC5" w:rsidP="006B7FC5">
      <w:pPr>
        <w:autoSpaceDE w:val="0"/>
        <w:autoSpaceDN w:val="0"/>
        <w:adjustRightInd w:val="0"/>
        <w:ind w:left="709"/>
        <w:jc w:val="both"/>
        <w:rPr>
          <w:rFonts w:ascii="Abadi" w:hAnsi="Abadi" w:cs="*Tahoma-11354-Identity-H"/>
          <w:color w:val="141316"/>
          <w:sz w:val="21"/>
          <w:szCs w:val="21"/>
        </w:rPr>
      </w:pPr>
      <w:r w:rsidRPr="007729D2">
        <w:rPr>
          <w:rFonts w:ascii="Abadi" w:hAnsi="Abadi" w:cs="*Verdana-Bold-11353-Identity-H"/>
          <w:b/>
          <w:bCs/>
          <w:color w:val="141316"/>
          <w:sz w:val="21"/>
          <w:szCs w:val="21"/>
        </w:rPr>
        <w:t xml:space="preserve">a) </w:t>
      </w:r>
      <w:r w:rsidRPr="007729D2">
        <w:rPr>
          <w:rFonts w:ascii="Abadi" w:hAnsi="Abadi" w:cs="*Tahoma-11354-Identity-H"/>
          <w:color w:val="141316"/>
          <w:sz w:val="21"/>
          <w:szCs w:val="21"/>
        </w:rPr>
        <w:t>La prestación de servicios públicos; y</w:t>
      </w:r>
    </w:p>
    <w:p w14:paraId="2A9E7D43" w14:textId="77777777" w:rsidR="006B7FC5" w:rsidRPr="007729D2" w:rsidRDefault="006B7FC5" w:rsidP="006B7FC5">
      <w:pPr>
        <w:autoSpaceDE w:val="0"/>
        <w:autoSpaceDN w:val="0"/>
        <w:adjustRightInd w:val="0"/>
        <w:ind w:left="709"/>
        <w:jc w:val="both"/>
        <w:rPr>
          <w:rFonts w:ascii="Abadi" w:hAnsi="Abadi" w:cs="*Tahoma-11354-Identity-H"/>
          <w:color w:val="141316"/>
          <w:sz w:val="21"/>
          <w:szCs w:val="21"/>
        </w:rPr>
      </w:pPr>
    </w:p>
    <w:p w14:paraId="1D3848FC" w14:textId="77777777" w:rsidR="006B7FC5" w:rsidRDefault="006B7FC5" w:rsidP="006B7FC5">
      <w:pPr>
        <w:autoSpaceDE w:val="0"/>
        <w:autoSpaceDN w:val="0"/>
        <w:adjustRightInd w:val="0"/>
        <w:ind w:left="709"/>
        <w:jc w:val="both"/>
        <w:rPr>
          <w:rFonts w:ascii="Abadi" w:hAnsi="Abadi" w:cs="*Tahoma-11354-Identity-H"/>
          <w:color w:val="100F11"/>
          <w:sz w:val="21"/>
          <w:szCs w:val="21"/>
        </w:rPr>
      </w:pPr>
      <w:r w:rsidRPr="00CC2FDA">
        <w:rPr>
          <w:rFonts w:ascii="Abadi" w:hAnsi="Abadi" w:cs="*Tahoma-11354-Identity-H"/>
          <w:b/>
          <w:bCs/>
          <w:color w:val="100F11"/>
          <w:sz w:val="21"/>
          <w:szCs w:val="21"/>
        </w:rPr>
        <w:t>b)</w:t>
      </w:r>
      <w:r w:rsidRPr="007729D2">
        <w:rPr>
          <w:rFonts w:ascii="Abadi" w:hAnsi="Abadi" w:cs="*Tahoma-11354-Identity-H"/>
          <w:color w:val="100F11"/>
          <w:sz w:val="21"/>
          <w:szCs w:val="21"/>
        </w:rPr>
        <w:t xml:space="preserve"> El diseño, construcción, conservac1on, operac1on, uso, explotación,</w:t>
      </w:r>
      <w:r>
        <w:rPr>
          <w:rFonts w:ascii="Abadi" w:hAnsi="Abadi" w:cs="*Tahoma-11354-Identity-H"/>
          <w:color w:val="100F11"/>
          <w:sz w:val="21"/>
          <w:szCs w:val="21"/>
        </w:rPr>
        <w:t xml:space="preserve"> </w:t>
      </w:r>
      <w:r w:rsidRPr="007729D2">
        <w:rPr>
          <w:rFonts w:ascii="Abadi" w:hAnsi="Abadi" w:cs="*Tahoma-11354-Identity-H"/>
          <w:color w:val="100F11"/>
          <w:sz w:val="21"/>
          <w:szCs w:val="21"/>
        </w:rPr>
        <w:t>mantenimiento o aprovechamiento de infraestructura pública.</w:t>
      </w:r>
    </w:p>
    <w:p w14:paraId="1354B6A1" w14:textId="77777777" w:rsidR="006B7FC5" w:rsidRPr="007729D2" w:rsidRDefault="006B7FC5" w:rsidP="006B7FC5">
      <w:pPr>
        <w:autoSpaceDE w:val="0"/>
        <w:autoSpaceDN w:val="0"/>
        <w:adjustRightInd w:val="0"/>
        <w:jc w:val="both"/>
        <w:rPr>
          <w:rFonts w:ascii="Abadi" w:hAnsi="Abadi" w:cs="*Tahoma-11354-Identity-H"/>
          <w:color w:val="100F11"/>
          <w:sz w:val="21"/>
          <w:szCs w:val="21"/>
        </w:rPr>
      </w:pPr>
    </w:p>
    <w:p w14:paraId="33EEF21D" w14:textId="77777777" w:rsidR="006B7FC5" w:rsidRDefault="006B7FC5" w:rsidP="006B7FC5">
      <w:pPr>
        <w:autoSpaceDE w:val="0"/>
        <w:autoSpaceDN w:val="0"/>
        <w:adjustRightInd w:val="0"/>
        <w:ind w:firstLine="708"/>
        <w:jc w:val="both"/>
        <w:rPr>
          <w:rFonts w:ascii="Abadi" w:hAnsi="Abadi" w:cs="*Tahoma-11354-Identity-H"/>
          <w:color w:val="121214"/>
          <w:sz w:val="21"/>
          <w:szCs w:val="21"/>
        </w:rPr>
      </w:pPr>
      <w:r w:rsidRPr="007729D2">
        <w:rPr>
          <w:rFonts w:ascii="Abadi" w:hAnsi="Abadi" w:cs="*Tahoma-11354-Identity-H"/>
          <w:color w:val="121214"/>
          <w:sz w:val="21"/>
          <w:szCs w:val="21"/>
        </w:rPr>
        <w:t>Tratándose de infraestructura pública, la concesión puede desarrollarse con</w:t>
      </w:r>
      <w:r>
        <w:rPr>
          <w:rFonts w:ascii="Abadi" w:hAnsi="Abadi" w:cs="*Tahoma-11354-Identity-H"/>
          <w:color w:val="121214"/>
          <w:sz w:val="21"/>
          <w:szCs w:val="21"/>
        </w:rPr>
        <w:t xml:space="preserve"> </w:t>
      </w:r>
      <w:r w:rsidRPr="007729D2">
        <w:rPr>
          <w:rFonts w:ascii="Abadi" w:hAnsi="Abadi" w:cs="*Tahoma-11354-Identity-H"/>
          <w:color w:val="121214"/>
          <w:sz w:val="21"/>
          <w:szCs w:val="21"/>
        </w:rPr>
        <w:t>inversión privada o mixta, en este último caso, a la inversión pública le son aplicables</w:t>
      </w:r>
      <w:r>
        <w:rPr>
          <w:rFonts w:ascii="Abadi" w:hAnsi="Abadi" w:cs="*Tahoma-11354-Identity-H"/>
          <w:color w:val="121214"/>
          <w:sz w:val="21"/>
          <w:szCs w:val="21"/>
        </w:rPr>
        <w:t xml:space="preserve"> </w:t>
      </w:r>
      <w:r w:rsidRPr="007729D2">
        <w:rPr>
          <w:rFonts w:ascii="Abadi" w:hAnsi="Abadi" w:cs="*Tahoma-11354-Identity-H"/>
          <w:color w:val="121214"/>
          <w:sz w:val="21"/>
          <w:szCs w:val="21"/>
        </w:rPr>
        <w:t>las disposiciones legales en materia de obra pública, adquisiciones y demás que</w:t>
      </w:r>
      <w:r>
        <w:rPr>
          <w:rFonts w:ascii="Abadi" w:hAnsi="Abadi" w:cs="*Tahoma-11354-Identity-H"/>
          <w:color w:val="121214"/>
          <w:sz w:val="21"/>
          <w:szCs w:val="21"/>
        </w:rPr>
        <w:t xml:space="preserve"> </w:t>
      </w:r>
      <w:r w:rsidRPr="007729D2">
        <w:rPr>
          <w:rFonts w:ascii="Abadi" w:hAnsi="Abadi" w:cs="*Tahoma-11354-Identity-H"/>
          <w:color w:val="121214"/>
          <w:sz w:val="21"/>
          <w:szCs w:val="21"/>
        </w:rPr>
        <w:t>correspondan al uso de recursos públicos.</w:t>
      </w:r>
    </w:p>
    <w:p w14:paraId="70CB2224" w14:textId="77777777" w:rsidR="006B7FC5" w:rsidRPr="007729D2" w:rsidRDefault="006B7FC5" w:rsidP="006B7FC5">
      <w:pPr>
        <w:autoSpaceDE w:val="0"/>
        <w:autoSpaceDN w:val="0"/>
        <w:adjustRightInd w:val="0"/>
        <w:jc w:val="both"/>
        <w:rPr>
          <w:rFonts w:ascii="Abadi" w:hAnsi="Abadi" w:cs="*Tahoma-11354-Identity-H"/>
          <w:color w:val="121214"/>
          <w:sz w:val="21"/>
          <w:szCs w:val="21"/>
        </w:rPr>
      </w:pPr>
    </w:p>
    <w:p w14:paraId="3BE9B697" w14:textId="77777777" w:rsidR="006B7FC5" w:rsidRDefault="006B7FC5" w:rsidP="006B7FC5">
      <w:pPr>
        <w:autoSpaceDE w:val="0"/>
        <w:autoSpaceDN w:val="0"/>
        <w:adjustRightInd w:val="0"/>
        <w:ind w:firstLine="708"/>
        <w:jc w:val="both"/>
        <w:rPr>
          <w:rFonts w:ascii="Abadi" w:hAnsi="Abadi" w:cs="*Tahoma-11354-Identity-H"/>
          <w:color w:val="121213"/>
          <w:sz w:val="21"/>
          <w:szCs w:val="21"/>
        </w:rPr>
      </w:pPr>
      <w:r w:rsidRPr="007729D2">
        <w:rPr>
          <w:rFonts w:ascii="Abadi" w:hAnsi="Abadi" w:cs="*Tahoma-11354-Identity-H"/>
          <w:color w:val="121213"/>
          <w:sz w:val="21"/>
          <w:szCs w:val="21"/>
        </w:rPr>
        <w:t>En tanto la concesión de un servicio público solo puede otorgarse mediante</w:t>
      </w:r>
      <w:r>
        <w:rPr>
          <w:rFonts w:ascii="Abadi" w:hAnsi="Abadi" w:cs="*Tahoma-11354-Identity-H"/>
          <w:color w:val="121213"/>
          <w:sz w:val="21"/>
          <w:szCs w:val="21"/>
        </w:rPr>
        <w:t xml:space="preserve"> </w:t>
      </w:r>
      <w:r w:rsidRPr="007729D2">
        <w:rPr>
          <w:rFonts w:ascii="Abadi" w:hAnsi="Abadi" w:cs="*Tahoma-11354-Identity-H"/>
          <w:color w:val="121213"/>
          <w:sz w:val="21"/>
          <w:szCs w:val="21"/>
        </w:rPr>
        <w:t>licitación pública, la de infraestructura pública puede serlo, además, mediante</w:t>
      </w:r>
      <w:r>
        <w:rPr>
          <w:rFonts w:ascii="Abadi" w:hAnsi="Abadi" w:cs="*Tahoma-11354-Identity-H"/>
          <w:color w:val="121213"/>
          <w:sz w:val="21"/>
          <w:szCs w:val="21"/>
        </w:rPr>
        <w:t xml:space="preserve"> </w:t>
      </w:r>
      <w:r w:rsidRPr="007729D2">
        <w:rPr>
          <w:rFonts w:ascii="Abadi" w:hAnsi="Abadi" w:cs="*Tahoma-11354-Identity-H"/>
          <w:color w:val="121213"/>
          <w:sz w:val="21"/>
          <w:szCs w:val="21"/>
        </w:rPr>
        <w:t>adjudicación directa.</w:t>
      </w:r>
    </w:p>
    <w:p w14:paraId="100E8DE8" w14:textId="77777777" w:rsidR="006B7FC5" w:rsidRPr="007729D2" w:rsidRDefault="006B7FC5" w:rsidP="006B7FC5">
      <w:pPr>
        <w:autoSpaceDE w:val="0"/>
        <w:autoSpaceDN w:val="0"/>
        <w:adjustRightInd w:val="0"/>
        <w:jc w:val="both"/>
        <w:rPr>
          <w:rFonts w:ascii="Abadi" w:hAnsi="Abadi" w:cs="*Tahoma-11354-Identity-H"/>
          <w:color w:val="121213"/>
          <w:sz w:val="21"/>
          <w:szCs w:val="21"/>
        </w:rPr>
      </w:pPr>
    </w:p>
    <w:p w14:paraId="1966C8F6" w14:textId="77777777" w:rsidR="006B7FC5" w:rsidRDefault="006B7FC5" w:rsidP="006B7FC5">
      <w:pPr>
        <w:autoSpaceDE w:val="0"/>
        <w:autoSpaceDN w:val="0"/>
        <w:adjustRightInd w:val="0"/>
        <w:ind w:firstLine="708"/>
        <w:jc w:val="both"/>
        <w:rPr>
          <w:rFonts w:ascii="Abadi" w:hAnsi="Abadi" w:cs="*Tahoma-11354-Identity-H"/>
          <w:color w:val="131314"/>
          <w:sz w:val="21"/>
          <w:szCs w:val="21"/>
        </w:rPr>
      </w:pPr>
      <w:r w:rsidRPr="007729D2">
        <w:rPr>
          <w:rFonts w:ascii="Abadi" w:hAnsi="Abadi" w:cs="*Tahoma-11354-Identity-H"/>
          <w:color w:val="131314"/>
          <w:sz w:val="21"/>
          <w:szCs w:val="21"/>
        </w:rPr>
        <w:t>La adjudicación directa procede en los siguientes supuestos:</w:t>
      </w:r>
    </w:p>
    <w:p w14:paraId="17384A61" w14:textId="77777777" w:rsidR="006B7FC5" w:rsidRPr="007729D2" w:rsidRDefault="006B7FC5" w:rsidP="006B7FC5">
      <w:pPr>
        <w:autoSpaceDE w:val="0"/>
        <w:autoSpaceDN w:val="0"/>
        <w:adjustRightInd w:val="0"/>
        <w:jc w:val="both"/>
        <w:rPr>
          <w:rFonts w:ascii="Abadi" w:hAnsi="Abadi" w:cs="*Tahoma-11354-Identity-H"/>
          <w:color w:val="131314"/>
          <w:sz w:val="21"/>
          <w:szCs w:val="21"/>
        </w:rPr>
      </w:pPr>
    </w:p>
    <w:p w14:paraId="658A29E0" w14:textId="77777777" w:rsidR="006B7FC5" w:rsidRPr="00CC2FDA" w:rsidRDefault="006B7FC5" w:rsidP="00210305">
      <w:pPr>
        <w:pStyle w:val="Prrafodelista"/>
        <w:numPr>
          <w:ilvl w:val="0"/>
          <w:numId w:val="60"/>
        </w:numPr>
        <w:autoSpaceDE w:val="0"/>
        <w:autoSpaceDN w:val="0"/>
        <w:adjustRightInd w:val="0"/>
        <w:contextualSpacing/>
        <w:jc w:val="both"/>
        <w:rPr>
          <w:rFonts w:ascii="Abadi" w:hAnsi="Abadi" w:cs="*Tahoma-11354-Identity-H"/>
          <w:color w:val="131315"/>
          <w:sz w:val="21"/>
          <w:szCs w:val="21"/>
        </w:rPr>
      </w:pPr>
      <w:r w:rsidRPr="00CC2FDA">
        <w:rPr>
          <w:rFonts w:ascii="Abadi" w:hAnsi="Abadi" w:cs="*Tahoma-11354-Identity-H"/>
          <w:color w:val="131315"/>
          <w:sz w:val="21"/>
          <w:szCs w:val="21"/>
        </w:rPr>
        <w:t>Cuando el particular presente un proyecto de infraestructura pública, siempre que a juicio del titular del Poder Ejecutivo sea de beneficio social y económico para el Estado, y reúna los requisitos exigidos en la Ley de Concesiones de Servicios e Infraestructura Pública para el Estado de Guanajuato.</w:t>
      </w:r>
    </w:p>
    <w:p w14:paraId="007570E3" w14:textId="77777777" w:rsidR="006B7FC5" w:rsidRPr="007729D2" w:rsidRDefault="006B7FC5" w:rsidP="006B7FC5">
      <w:pPr>
        <w:autoSpaceDE w:val="0"/>
        <w:autoSpaceDN w:val="0"/>
        <w:adjustRightInd w:val="0"/>
        <w:jc w:val="both"/>
        <w:rPr>
          <w:rFonts w:ascii="Abadi" w:hAnsi="Abadi" w:cs="*Tahoma-11354-Identity-H"/>
          <w:color w:val="131315"/>
          <w:sz w:val="21"/>
          <w:szCs w:val="21"/>
        </w:rPr>
      </w:pPr>
    </w:p>
    <w:p w14:paraId="34786744" w14:textId="77777777" w:rsidR="006B7FC5" w:rsidRPr="00CC2FDA" w:rsidRDefault="006B7FC5" w:rsidP="00210305">
      <w:pPr>
        <w:pStyle w:val="Prrafodelista"/>
        <w:numPr>
          <w:ilvl w:val="0"/>
          <w:numId w:val="60"/>
        </w:numPr>
        <w:autoSpaceDE w:val="0"/>
        <w:autoSpaceDN w:val="0"/>
        <w:adjustRightInd w:val="0"/>
        <w:contextualSpacing/>
        <w:jc w:val="both"/>
        <w:rPr>
          <w:rFonts w:ascii="Abadi" w:hAnsi="Abadi" w:cs="*Tahoma-11354-Identity-H"/>
          <w:color w:val="131315"/>
          <w:sz w:val="21"/>
          <w:szCs w:val="21"/>
        </w:rPr>
      </w:pPr>
      <w:r w:rsidRPr="00CC2FDA">
        <w:rPr>
          <w:rFonts w:ascii="Abadi" w:hAnsi="Abadi" w:cs="*Tahoma-11354-Identity-H"/>
          <w:color w:val="131315"/>
          <w:sz w:val="21"/>
          <w:szCs w:val="21"/>
        </w:rPr>
        <w:t>Cuando la concesión de infraestructu</w:t>
      </w:r>
      <w:r w:rsidRPr="00CC2FDA">
        <w:rPr>
          <w:rFonts w:ascii="Abadi" w:hAnsi="Abadi" w:cs="*Tahoma-11354-Identity-H"/>
          <w:color w:val="797979"/>
          <w:sz w:val="21"/>
          <w:szCs w:val="21"/>
        </w:rPr>
        <w:t>r</w:t>
      </w:r>
      <w:r w:rsidRPr="00CC2FDA">
        <w:rPr>
          <w:rFonts w:ascii="Abadi" w:hAnsi="Abadi" w:cs="*Tahoma-11354-Identity-H"/>
          <w:color w:val="131315"/>
          <w:sz w:val="21"/>
          <w:szCs w:val="21"/>
        </w:rPr>
        <w:t>a pública sea necesaria para la prestación de servicios contratados en los términos de la Ley de Proyectos de Prestación de Servicios para el Estado y los Municipios de Guanajuato, siempre y cuando la concesión sea otorgada a quien resulte adjudicatario del contrato correspondiente y se cumplan con los requisitos exigidos en la Ley de Concesiones.</w:t>
      </w:r>
    </w:p>
    <w:p w14:paraId="0A1E7B64" w14:textId="77777777" w:rsidR="006B7FC5" w:rsidRPr="007729D2" w:rsidRDefault="006B7FC5" w:rsidP="006B7FC5">
      <w:pPr>
        <w:autoSpaceDE w:val="0"/>
        <w:autoSpaceDN w:val="0"/>
        <w:adjustRightInd w:val="0"/>
        <w:jc w:val="both"/>
        <w:rPr>
          <w:rFonts w:ascii="Abadi" w:hAnsi="Abadi" w:cs="*Tahoma-11354-Identity-H"/>
          <w:color w:val="131315"/>
          <w:sz w:val="21"/>
          <w:szCs w:val="21"/>
        </w:rPr>
      </w:pPr>
    </w:p>
    <w:p w14:paraId="4E706895" w14:textId="77777777" w:rsidR="006B7FC5" w:rsidRPr="007729D2" w:rsidRDefault="006B7FC5" w:rsidP="006B7FC5">
      <w:pPr>
        <w:autoSpaceDE w:val="0"/>
        <w:autoSpaceDN w:val="0"/>
        <w:adjustRightInd w:val="0"/>
        <w:ind w:firstLine="360"/>
        <w:jc w:val="both"/>
        <w:rPr>
          <w:rFonts w:ascii="Abadi" w:hAnsi="Abadi" w:cs="*Tahoma-11354-Identity-H"/>
          <w:color w:val="141416"/>
          <w:sz w:val="21"/>
          <w:szCs w:val="21"/>
        </w:rPr>
      </w:pPr>
      <w:r w:rsidRPr="007729D2">
        <w:rPr>
          <w:rFonts w:ascii="Abadi" w:hAnsi="Abadi" w:cs="*Tahoma-11354-Identity-H"/>
          <w:color w:val="141416"/>
          <w:sz w:val="21"/>
          <w:szCs w:val="21"/>
        </w:rPr>
        <w:t>Conforme al artículo 8 de la Ley de Concesiones de Servicios e Infraestructura</w:t>
      </w:r>
      <w:r>
        <w:rPr>
          <w:rFonts w:ascii="Abadi" w:hAnsi="Abadi" w:cs="*Tahoma-11354-Identity-H"/>
          <w:color w:val="141416"/>
          <w:sz w:val="21"/>
          <w:szCs w:val="21"/>
        </w:rPr>
        <w:t xml:space="preserve"> </w:t>
      </w:r>
      <w:r w:rsidRPr="007729D2">
        <w:rPr>
          <w:rFonts w:ascii="Abadi" w:hAnsi="Abadi" w:cs="*Tahoma-11354-Identity-H"/>
          <w:color w:val="141416"/>
          <w:sz w:val="21"/>
          <w:szCs w:val="21"/>
        </w:rPr>
        <w:t>Pública para el Estado de Guanajuato las concesiones pueden cederse, gravarse o</w:t>
      </w:r>
      <w:r>
        <w:rPr>
          <w:rFonts w:ascii="Abadi" w:hAnsi="Abadi" w:cs="*Tahoma-11354-Identity-H"/>
          <w:color w:val="141416"/>
          <w:sz w:val="21"/>
          <w:szCs w:val="21"/>
        </w:rPr>
        <w:t xml:space="preserve"> </w:t>
      </w:r>
      <w:r w:rsidRPr="007729D2">
        <w:rPr>
          <w:rFonts w:ascii="Abadi" w:hAnsi="Abadi" w:cs="*Tahoma-11354-Identity-H"/>
          <w:color w:val="141416"/>
          <w:sz w:val="21"/>
          <w:szCs w:val="21"/>
        </w:rPr>
        <w:t>enajenarse, con el acuerdo previo y por escrito del titular del Poder Ejecutivo.</w:t>
      </w:r>
    </w:p>
    <w:p w14:paraId="4968F5A1" w14:textId="77777777" w:rsidR="006B7FC5" w:rsidRPr="007729D2" w:rsidRDefault="006B7FC5" w:rsidP="006B7FC5">
      <w:pPr>
        <w:jc w:val="both"/>
        <w:rPr>
          <w:rFonts w:ascii="Abadi" w:hAnsi="Abadi" w:cs="*Tahoma-11354-Identity-H"/>
          <w:color w:val="141416"/>
          <w:sz w:val="21"/>
          <w:szCs w:val="21"/>
        </w:rPr>
      </w:pPr>
    </w:p>
    <w:p w14:paraId="5AA40D62" w14:textId="77777777" w:rsidR="006B7FC5" w:rsidRDefault="006B7FC5" w:rsidP="006B7FC5">
      <w:pPr>
        <w:autoSpaceDE w:val="0"/>
        <w:autoSpaceDN w:val="0"/>
        <w:adjustRightInd w:val="0"/>
        <w:ind w:firstLine="360"/>
        <w:jc w:val="both"/>
        <w:rPr>
          <w:rFonts w:ascii="Abadi" w:hAnsi="Abadi" w:cs="*Verdana-17541-Identity-H"/>
          <w:color w:val="131215"/>
          <w:sz w:val="21"/>
          <w:szCs w:val="21"/>
        </w:rPr>
      </w:pPr>
      <w:r w:rsidRPr="007729D2">
        <w:rPr>
          <w:rFonts w:ascii="Abadi" w:hAnsi="Abadi" w:cs="*Verdana-17541-Identity-H"/>
          <w:color w:val="131215"/>
          <w:sz w:val="21"/>
          <w:szCs w:val="21"/>
        </w:rPr>
        <w:t>Como ya se ha apuntado la iniciativa busca la supresión de la modalidad de</w:t>
      </w:r>
      <w:r>
        <w:rPr>
          <w:rFonts w:ascii="Abadi" w:hAnsi="Abadi" w:cs="*Verdana-17541-Identity-H"/>
          <w:color w:val="131215"/>
          <w:sz w:val="21"/>
          <w:szCs w:val="21"/>
        </w:rPr>
        <w:t xml:space="preserve"> </w:t>
      </w:r>
      <w:r w:rsidRPr="007729D2">
        <w:rPr>
          <w:rFonts w:ascii="Abadi" w:hAnsi="Abadi" w:cs="*Verdana-17541-Identity-H"/>
          <w:color w:val="131215"/>
          <w:sz w:val="21"/>
          <w:szCs w:val="21"/>
        </w:rPr>
        <w:t>adjudicación directa para el otorgamiento de las concesiones. No obstante, no</w:t>
      </w:r>
      <w:r>
        <w:rPr>
          <w:rFonts w:ascii="Abadi" w:hAnsi="Abadi" w:cs="*Verdana-17541-Identity-H"/>
          <w:color w:val="131215"/>
          <w:sz w:val="21"/>
          <w:szCs w:val="21"/>
        </w:rPr>
        <w:t xml:space="preserve"> </w:t>
      </w:r>
      <w:r w:rsidRPr="007729D2">
        <w:rPr>
          <w:rFonts w:ascii="Abadi" w:hAnsi="Abadi" w:cs="*Verdana-17541-Identity-H"/>
          <w:color w:val="131215"/>
          <w:sz w:val="21"/>
          <w:szCs w:val="21"/>
        </w:rPr>
        <w:t>debemos perder de vista que la concesión administrativa es un acto en el que</w:t>
      </w:r>
      <w:r>
        <w:rPr>
          <w:rFonts w:ascii="Abadi" w:hAnsi="Abadi" w:cs="*Verdana-17541-Identity-H"/>
          <w:color w:val="131215"/>
          <w:sz w:val="21"/>
          <w:szCs w:val="21"/>
        </w:rPr>
        <w:t xml:space="preserve"> </w:t>
      </w:r>
      <w:r w:rsidRPr="007729D2">
        <w:rPr>
          <w:rFonts w:ascii="Abadi" w:hAnsi="Abadi" w:cs="*Verdana-17541-Identity-H"/>
          <w:color w:val="131215"/>
          <w:sz w:val="21"/>
          <w:szCs w:val="21"/>
        </w:rPr>
        <w:t>coexisten elementos reglamentarios y contractuales.</w:t>
      </w:r>
    </w:p>
    <w:p w14:paraId="62A25805" w14:textId="77777777" w:rsidR="006B7FC5" w:rsidRPr="007729D2" w:rsidRDefault="006B7FC5" w:rsidP="006B7FC5">
      <w:pPr>
        <w:autoSpaceDE w:val="0"/>
        <w:autoSpaceDN w:val="0"/>
        <w:adjustRightInd w:val="0"/>
        <w:jc w:val="both"/>
        <w:rPr>
          <w:rFonts w:ascii="Abadi" w:hAnsi="Abadi" w:cs="*Verdana-17541-Identity-H"/>
          <w:color w:val="131215"/>
          <w:sz w:val="21"/>
          <w:szCs w:val="21"/>
        </w:rPr>
      </w:pPr>
    </w:p>
    <w:p w14:paraId="0917957B" w14:textId="77777777" w:rsidR="006B7FC5" w:rsidRDefault="006B7FC5" w:rsidP="006B7FC5">
      <w:pPr>
        <w:autoSpaceDE w:val="0"/>
        <w:autoSpaceDN w:val="0"/>
        <w:adjustRightInd w:val="0"/>
        <w:ind w:firstLine="360"/>
        <w:jc w:val="both"/>
        <w:rPr>
          <w:rFonts w:ascii="Abadi" w:hAnsi="Abadi" w:cs="*Verdana-17541-Identity-H"/>
          <w:color w:val="121214"/>
          <w:sz w:val="21"/>
          <w:szCs w:val="21"/>
        </w:rPr>
      </w:pPr>
      <w:r w:rsidRPr="007729D2">
        <w:rPr>
          <w:rFonts w:ascii="Abadi" w:hAnsi="Abadi" w:cs="*Verdana-17541-Identity-H"/>
          <w:color w:val="121214"/>
          <w:sz w:val="21"/>
          <w:szCs w:val="21"/>
        </w:rPr>
        <w:t>Los primeros consisten en las normas a que han de sujetarse la organización y</w:t>
      </w:r>
      <w:r>
        <w:rPr>
          <w:rFonts w:ascii="Abadi" w:hAnsi="Abadi" w:cs="*Verdana-17541-Identity-H"/>
          <w:color w:val="121214"/>
          <w:sz w:val="21"/>
          <w:szCs w:val="21"/>
        </w:rPr>
        <w:t xml:space="preserve"> </w:t>
      </w:r>
      <w:r w:rsidRPr="007729D2">
        <w:rPr>
          <w:rFonts w:ascii="Abadi" w:hAnsi="Abadi" w:cs="*Verdana-17541-Identity-H"/>
          <w:color w:val="121214"/>
          <w:sz w:val="21"/>
          <w:szCs w:val="21"/>
        </w:rPr>
        <w:t>funcionamiento del servicio o la explotación o aprovechamiento de los bienes, las que</w:t>
      </w:r>
      <w:r>
        <w:rPr>
          <w:rFonts w:ascii="Abadi" w:hAnsi="Abadi" w:cs="*Verdana-17541-Identity-H"/>
          <w:color w:val="121214"/>
          <w:sz w:val="21"/>
          <w:szCs w:val="21"/>
        </w:rPr>
        <w:t xml:space="preserve"> </w:t>
      </w:r>
      <w:r w:rsidRPr="007729D2">
        <w:rPr>
          <w:rFonts w:ascii="Abadi" w:hAnsi="Abadi" w:cs="*Verdana-17541-Identity-H"/>
          <w:color w:val="121214"/>
          <w:sz w:val="21"/>
          <w:szCs w:val="21"/>
        </w:rPr>
        <w:t>el Estado puede modificar sin el consentimiento del concesionario considerando como</w:t>
      </w:r>
      <w:r>
        <w:rPr>
          <w:rFonts w:ascii="Abadi" w:hAnsi="Abadi" w:cs="*Verdana-17541-Identity-H"/>
          <w:color w:val="121214"/>
          <w:sz w:val="21"/>
          <w:szCs w:val="21"/>
        </w:rPr>
        <w:t xml:space="preserve"> </w:t>
      </w:r>
      <w:r w:rsidRPr="007729D2">
        <w:rPr>
          <w:rFonts w:ascii="Abadi" w:hAnsi="Abadi" w:cs="*Verdana-17541-Identity-H"/>
          <w:color w:val="121214"/>
          <w:sz w:val="21"/>
          <w:szCs w:val="21"/>
        </w:rPr>
        <w:t>principios rectores del interés general, los siguientes: continuidad, mutabilidad,</w:t>
      </w:r>
      <w:r>
        <w:rPr>
          <w:rFonts w:ascii="Abadi" w:hAnsi="Abadi" w:cs="*Verdana-17541-Identity-H"/>
          <w:color w:val="121214"/>
          <w:sz w:val="21"/>
          <w:szCs w:val="21"/>
        </w:rPr>
        <w:t xml:space="preserve"> </w:t>
      </w:r>
      <w:r w:rsidRPr="007729D2">
        <w:rPr>
          <w:rFonts w:ascii="Abadi" w:hAnsi="Abadi" w:cs="*Verdana-17541-Identity-H"/>
          <w:color w:val="121214"/>
          <w:sz w:val="21"/>
          <w:szCs w:val="21"/>
        </w:rPr>
        <w:t>igualdad, calidad y asequibilidad.</w:t>
      </w:r>
    </w:p>
    <w:p w14:paraId="68CE451B" w14:textId="77777777" w:rsidR="006B7FC5" w:rsidRPr="007729D2" w:rsidRDefault="006B7FC5" w:rsidP="006B7FC5">
      <w:pPr>
        <w:autoSpaceDE w:val="0"/>
        <w:autoSpaceDN w:val="0"/>
        <w:adjustRightInd w:val="0"/>
        <w:jc w:val="both"/>
        <w:rPr>
          <w:rFonts w:ascii="Abadi" w:hAnsi="Abadi" w:cs="*Verdana-17541-Identity-H"/>
          <w:color w:val="121214"/>
          <w:sz w:val="21"/>
          <w:szCs w:val="21"/>
        </w:rPr>
      </w:pPr>
    </w:p>
    <w:p w14:paraId="4C3E0A34" w14:textId="198E3D57" w:rsidR="006B7FC5" w:rsidRDefault="006B7FC5" w:rsidP="006B7FC5">
      <w:pPr>
        <w:autoSpaceDE w:val="0"/>
        <w:autoSpaceDN w:val="0"/>
        <w:adjustRightInd w:val="0"/>
        <w:ind w:firstLine="360"/>
        <w:jc w:val="both"/>
        <w:rPr>
          <w:rFonts w:ascii="Abadi" w:hAnsi="Abadi" w:cs="*Verdana-17541-Identity-H"/>
          <w:color w:val="131315"/>
          <w:sz w:val="21"/>
          <w:szCs w:val="21"/>
        </w:rPr>
      </w:pPr>
      <w:r w:rsidRPr="007729D2">
        <w:rPr>
          <w:rFonts w:ascii="Abadi" w:hAnsi="Abadi" w:cs="*Verdana-17541-Identity-H"/>
          <w:color w:val="131315"/>
          <w:sz w:val="21"/>
          <w:szCs w:val="21"/>
        </w:rPr>
        <w:t>Por su parte, el elemento contractual protege los intereses legítimos del</w:t>
      </w:r>
      <w:r>
        <w:rPr>
          <w:rFonts w:ascii="Abadi" w:hAnsi="Abadi" w:cs="*Verdana-17541-Identity-H"/>
          <w:color w:val="131315"/>
          <w:sz w:val="21"/>
          <w:szCs w:val="21"/>
        </w:rPr>
        <w:t xml:space="preserve"> </w:t>
      </w:r>
      <w:r w:rsidRPr="007729D2">
        <w:rPr>
          <w:rFonts w:ascii="Abadi" w:hAnsi="Abadi" w:cs="*Verdana-17541-Identity-H"/>
          <w:color w:val="131315"/>
          <w:sz w:val="21"/>
          <w:szCs w:val="21"/>
        </w:rPr>
        <w:t>concesionario, y crea a su favor una situación jurídica individual que no puede ser</w:t>
      </w:r>
      <w:r>
        <w:rPr>
          <w:rFonts w:ascii="Abadi" w:hAnsi="Abadi" w:cs="*Verdana-17541-Identity-H"/>
          <w:color w:val="131315"/>
          <w:sz w:val="21"/>
          <w:szCs w:val="21"/>
        </w:rPr>
        <w:t xml:space="preserve"> </w:t>
      </w:r>
      <w:r w:rsidRPr="007729D2">
        <w:rPr>
          <w:rFonts w:ascii="Abadi" w:hAnsi="Abadi" w:cs="*Verdana-17541-Identity-H"/>
          <w:color w:val="131315"/>
          <w:sz w:val="21"/>
          <w:szCs w:val="21"/>
        </w:rPr>
        <w:t>modificada unilateralmente por el Estado; atiende básicamente a las ventajas</w:t>
      </w:r>
      <w:r>
        <w:rPr>
          <w:rFonts w:ascii="Abadi" w:hAnsi="Abadi" w:cs="*Verdana-17541-Identity-H"/>
          <w:color w:val="131315"/>
          <w:sz w:val="21"/>
          <w:szCs w:val="21"/>
        </w:rPr>
        <w:t xml:space="preserve"> </w:t>
      </w:r>
      <w:r w:rsidRPr="007729D2">
        <w:rPr>
          <w:rFonts w:ascii="Abadi" w:hAnsi="Abadi" w:cs="*Verdana-17541-Identity-H"/>
          <w:color w:val="131315"/>
          <w:sz w:val="21"/>
          <w:szCs w:val="21"/>
        </w:rPr>
        <w:t>económicas que representen para el concesionario la garantía de sus inversiones y la</w:t>
      </w:r>
      <w:r>
        <w:rPr>
          <w:rFonts w:ascii="Abadi" w:hAnsi="Abadi" w:cs="*Verdana-17541-Identity-H"/>
          <w:color w:val="131315"/>
          <w:sz w:val="21"/>
          <w:szCs w:val="21"/>
        </w:rPr>
        <w:t xml:space="preserve"> </w:t>
      </w:r>
      <w:r w:rsidRPr="007729D2">
        <w:rPr>
          <w:rFonts w:ascii="Abadi" w:hAnsi="Abadi" w:cs="*Verdana-17541-Identity-H"/>
          <w:color w:val="131315"/>
          <w:sz w:val="21"/>
          <w:szCs w:val="21"/>
        </w:rPr>
        <w:t>posibilidad de mantener el equilibrio financiero.</w:t>
      </w:r>
      <w:r w:rsidR="0083733C">
        <w:rPr>
          <w:rStyle w:val="Refdenotaalpie"/>
          <w:rFonts w:ascii="Abadi" w:hAnsi="Abadi" w:cs="*Verdana-17541-Identity-H"/>
          <w:color w:val="131315"/>
          <w:sz w:val="21"/>
          <w:szCs w:val="21"/>
        </w:rPr>
        <w:footnoteReference w:id="42"/>
      </w:r>
    </w:p>
    <w:p w14:paraId="031A4E3A" w14:textId="77777777" w:rsidR="006B7FC5" w:rsidRPr="007729D2" w:rsidRDefault="006B7FC5" w:rsidP="006B7FC5">
      <w:pPr>
        <w:autoSpaceDE w:val="0"/>
        <w:autoSpaceDN w:val="0"/>
        <w:adjustRightInd w:val="0"/>
        <w:jc w:val="both"/>
        <w:rPr>
          <w:rFonts w:ascii="Abadi" w:hAnsi="Abadi" w:cs="*Verdana-17541-Identity-H"/>
          <w:color w:val="131315"/>
          <w:sz w:val="21"/>
          <w:szCs w:val="21"/>
        </w:rPr>
      </w:pPr>
    </w:p>
    <w:p w14:paraId="2337B8AD" w14:textId="77777777" w:rsidR="006B7FC5" w:rsidRDefault="006B7FC5" w:rsidP="006B7FC5">
      <w:pPr>
        <w:autoSpaceDE w:val="0"/>
        <w:autoSpaceDN w:val="0"/>
        <w:adjustRightInd w:val="0"/>
        <w:ind w:firstLine="360"/>
        <w:jc w:val="both"/>
        <w:rPr>
          <w:rFonts w:ascii="Abadi" w:hAnsi="Abadi" w:cs="*Verdana-17541-Identity-H"/>
          <w:color w:val="121214"/>
          <w:sz w:val="21"/>
          <w:szCs w:val="21"/>
        </w:rPr>
      </w:pPr>
      <w:r w:rsidRPr="007729D2">
        <w:rPr>
          <w:rFonts w:ascii="Abadi" w:hAnsi="Abadi" w:cs="*Verdana-17541-Identity-H"/>
          <w:color w:val="121214"/>
          <w:sz w:val="21"/>
          <w:szCs w:val="21"/>
        </w:rPr>
        <w:t>Asimismo, la ejecución de un proyecto de prestación de ser</w:t>
      </w:r>
      <w:r>
        <w:rPr>
          <w:rFonts w:ascii="Abadi" w:hAnsi="Abadi" w:cs="*Verdana-17541-Identity-H"/>
          <w:color w:val="121214"/>
          <w:sz w:val="21"/>
          <w:szCs w:val="21"/>
        </w:rPr>
        <w:t>vicios</w:t>
      </w:r>
      <w:r w:rsidRPr="007729D2">
        <w:rPr>
          <w:rFonts w:ascii="Abadi" w:hAnsi="Abadi" w:cs="*Verdana-17541-Identity-H"/>
          <w:color w:val="121214"/>
          <w:sz w:val="21"/>
          <w:szCs w:val="21"/>
        </w:rPr>
        <w:t xml:space="preserve"> consiste,</w:t>
      </w:r>
      <w:r>
        <w:rPr>
          <w:rFonts w:ascii="Abadi" w:hAnsi="Abadi" w:cs="*Verdana-17541-Identity-H"/>
          <w:color w:val="121214"/>
          <w:sz w:val="21"/>
          <w:szCs w:val="21"/>
        </w:rPr>
        <w:t xml:space="preserve"> </w:t>
      </w:r>
      <w:r w:rsidRPr="007729D2">
        <w:rPr>
          <w:rFonts w:ascii="Abadi" w:hAnsi="Abadi" w:cs="*Verdana-17541-Identity-H"/>
          <w:color w:val="121214"/>
          <w:sz w:val="21"/>
          <w:szCs w:val="21"/>
        </w:rPr>
        <w:t>necesariamente, en una asociación entre el sector privado y el sector público e implica</w:t>
      </w:r>
      <w:r>
        <w:rPr>
          <w:rFonts w:ascii="Abadi" w:hAnsi="Abadi" w:cs="*Verdana-17541-Identity-H"/>
          <w:color w:val="121214"/>
          <w:sz w:val="21"/>
          <w:szCs w:val="21"/>
        </w:rPr>
        <w:t xml:space="preserve"> </w:t>
      </w:r>
      <w:r w:rsidRPr="007729D2">
        <w:rPr>
          <w:rFonts w:ascii="Abadi" w:hAnsi="Abadi" w:cs="*Verdana-17541-Identity-H"/>
          <w:color w:val="121214"/>
          <w:sz w:val="21"/>
          <w:szCs w:val="21"/>
        </w:rPr>
        <w:t>la celebración de un contrato, cuya adjudicación puede realizarse mediante licitación</w:t>
      </w:r>
      <w:r>
        <w:rPr>
          <w:rFonts w:ascii="Abadi" w:hAnsi="Abadi" w:cs="*Verdana-17541-Identity-H"/>
          <w:color w:val="121214"/>
          <w:sz w:val="21"/>
          <w:szCs w:val="21"/>
        </w:rPr>
        <w:t xml:space="preserve"> </w:t>
      </w:r>
      <w:r w:rsidRPr="007729D2">
        <w:rPr>
          <w:rFonts w:ascii="Abadi" w:hAnsi="Abadi" w:cs="*Verdana-17541-Identity-H"/>
          <w:color w:val="121214"/>
          <w:sz w:val="21"/>
          <w:szCs w:val="21"/>
        </w:rPr>
        <w:t>pública, licitación restringida o adjudicación directa.</w:t>
      </w:r>
    </w:p>
    <w:p w14:paraId="2BB481C5" w14:textId="77777777" w:rsidR="006B7FC5" w:rsidRPr="007729D2" w:rsidRDefault="006B7FC5" w:rsidP="006B7FC5">
      <w:pPr>
        <w:autoSpaceDE w:val="0"/>
        <w:autoSpaceDN w:val="0"/>
        <w:adjustRightInd w:val="0"/>
        <w:jc w:val="both"/>
        <w:rPr>
          <w:rFonts w:ascii="Abadi" w:hAnsi="Abadi" w:cs="*Verdana-17541-Identity-H"/>
          <w:color w:val="121214"/>
          <w:sz w:val="21"/>
          <w:szCs w:val="21"/>
        </w:rPr>
      </w:pPr>
    </w:p>
    <w:p w14:paraId="46E32088" w14:textId="77777777" w:rsidR="006B7FC5" w:rsidRDefault="006B7FC5" w:rsidP="006B7FC5">
      <w:pPr>
        <w:autoSpaceDE w:val="0"/>
        <w:autoSpaceDN w:val="0"/>
        <w:adjustRightInd w:val="0"/>
        <w:ind w:firstLine="360"/>
        <w:jc w:val="both"/>
        <w:rPr>
          <w:rFonts w:ascii="Abadi" w:hAnsi="Abadi" w:cs="*Verdana-17541-Identity-H"/>
          <w:color w:val="141415"/>
          <w:sz w:val="21"/>
          <w:szCs w:val="21"/>
        </w:rPr>
      </w:pPr>
      <w:r w:rsidRPr="007729D2">
        <w:rPr>
          <w:rFonts w:ascii="Abadi" w:hAnsi="Abadi" w:cs="*Verdana-17541-Identity-H"/>
          <w:color w:val="141415"/>
          <w:sz w:val="21"/>
          <w:szCs w:val="21"/>
        </w:rPr>
        <w:t>En tal sentido, la Ley de Proyectos de Prestación de Servicios para el Estado y</w:t>
      </w:r>
      <w:r>
        <w:rPr>
          <w:rFonts w:ascii="Abadi" w:hAnsi="Abadi" w:cs="*Verdana-17541-Identity-H"/>
          <w:color w:val="141415"/>
          <w:sz w:val="21"/>
          <w:szCs w:val="21"/>
        </w:rPr>
        <w:t xml:space="preserve"> </w:t>
      </w:r>
      <w:r w:rsidRPr="007729D2">
        <w:rPr>
          <w:rFonts w:ascii="Abadi" w:hAnsi="Abadi" w:cs="*Verdana-17541-Identity-H"/>
          <w:color w:val="141415"/>
          <w:sz w:val="21"/>
          <w:szCs w:val="21"/>
        </w:rPr>
        <w:t>los Municipios de Guanajuato, en su artículo 34 establece que:</w:t>
      </w:r>
    </w:p>
    <w:p w14:paraId="1263E391" w14:textId="77777777" w:rsidR="006B7FC5" w:rsidRPr="007729D2" w:rsidRDefault="006B7FC5" w:rsidP="006B7FC5">
      <w:pPr>
        <w:autoSpaceDE w:val="0"/>
        <w:autoSpaceDN w:val="0"/>
        <w:adjustRightInd w:val="0"/>
        <w:jc w:val="both"/>
        <w:rPr>
          <w:rFonts w:ascii="Abadi" w:hAnsi="Abadi" w:cs="*Verdana-17541-Identity-H"/>
          <w:color w:val="141415"/>
          <w:sz w:val="21"/>
          <w:szCs w:val="21"/>
        </w:rPr>
      </w:pPr>
    </w:p>
    <w:p w14:paraId="1D1DE335" w14:textId="77777777" w:rsidR="006B7FC5" w:rsidRPr="007729D2" w:rsidRDefault="006B7FC5" w:rsidP="006B7FC5">
      <w:pPr>
        <w:autoSpaceDE w:val="0"/>
        <w:autoSpaceDN w:val="0"/>
        <w:adjustRightInd w:val="0"/>
        <w:ind w:left="426"/>
        <w:jc w:val="both"/>
        <w:rPr>
          <w:rFonts w:ascii="Abadi" w:hAnsi="Abadi" w:cs="*Verdana-Italic-17539-Identity-"/>
          <w:i/>
          <w:iCs/>
          <w:color w:val="1B1B1D"/>
          <w:sz w:val="21"/>
          <w:szCs w:val="21"/>
        </w:rPr>
      </w:pPr>
      <w:r w:rsidRPr="007729D2">
        <w:rPr>
          <w:rFonts w:ascii="Abadi" w:hAnsi="Abadi" w:cs="*Verdana-BoldItalic-17540-Ident"/>
          <w:b/>
          <w:bCs/>
          <w:i/>
          <w:iCs/>
          <w:color w:val="1B1B1D"/>
          <w:sz w:val="21"/>
          <w:szCs w:val="21"/>
        </w:rPr>
        <w:t xml:space="preserve">«Artículo 34. </w:t>
      </w:r>
      <w:r w:rsidRPr="007729D2">
        <w:rPr>
          <w:rFonts w:ascii="Abadi" w:hAnsi="Abadi" w:cs="*Verdana-Italic-17539-Identity-"/>
          <w:i/>
          <w:iCs/>
          <w:color w:val="1B1B1D"/>
          <w:sz w:val="21"/>
          <w:szCs w:val="21"/>
        </w:rPr>
        <w:t>La concesión que requiera cualquier inversionista proveedor para prestar</w:t>
      </w:r>
      <w:r>
        <w:rPr>
          <w:rFonts w:ascii="Abadi" w:hAnsi="Abadi" w:cs="*Verdana-Italic-17539-Identity-"/>
          <w:i/>
          <w:iCs/>
          <w:color w:val="1B1B1D"/>
          <w:sz w:val="21"/>
          <w:szCs w:val="21"/>
        </w:rPr>
        <w:t xml:space="preserve"> </w:t>
      </w:r>
      <w:r w:rsidRPr="007729D2">
        <w:rPr>
          <w:rFonts w:ascii="Abadi" w:hAnsi="Abadi" w:cs="*Verdana-Italic-17539-Identity-"/>
          <w:i/>
          <w:iCs/>
          <w:color w:val="1B1B1D"/>
          <w:sz w:val="21"/>
          <w:szCs w:val="21"/>
        </w:rPr>
        <w:t>los servicios contratados bajo un contrato de prestación de servicios en los términos de</w:t>
      </w:r>
      <w:r>
        <w:rPr>
          <w:rFonts w:ascii="Abadi" w:hAnsi="Abadi" w:cs="*Verdana-Italic-17539-Identity-"/>
          <w:i/>
          <w:iCs/>
          <w:color w:val="1B1B1D"/>
          <w:sz w:val="21"/>
          <w:szCs w:val="21"/>
        </w:rPr>
        <w:t xml:space="preserve"> </w:t>
      </w:r>
      <w:r w:rsidRPr="007729D2">
        <w:rPr>
          <w:rFonts w:ascii="Abadi" w:hAnsi="Abadi" w:cs="*Verdana-Italic-17539-Identity-"/>
          <w:i/>
          <w:iCs/>
          <w:color w:val="1B1B1D"/>
          <w:sz w:val="21"/>
          <w:szCs w:val="21"/>
        </w:rPr>
        <w:t>esta ley será otorgada por el titular del Poder Ejecutivo, a través de la modalidad de</w:t>
      </w:r>
      <w:r>
        <w:rPr>
          <w:rFonts w:ascii="Abadi" w:hAnsi="Abadi" w:cs="*Verdana-Italic-17539-Identity-"/>
          <w:i/>
          <w:iCs/>
          <w:color w:val="1B1B1D"/>
          <w:sz w:val="21"/>
          <w:szCs w:val="21"/>
        </w:rPr>
        <w:t xml:space="preserve"> </w:t>
      </w:r>
      <w:r w:rsidRPr="007729D2">
        <w:rPr>
          <w:rFonts w:ascii="Abadi" w:hAnsi="Abadi" w:cs="*Verdana-Italic-17539-Identity-"/>
          <w:i/>
          <w:iCs/>
          <w:color w:val="1B1B1D"/>
          <w:sz w:val="21"/>
          <w:szCs w:val="21"/>
        </w:rPr>
        <w:t>adjudicación directa, prevista en la Ley de Concesiones de Servicios e Infraestructura</w:t>
      </w:r>
      <w:r>
        <w:rPr>
          <w:rFonts w:ascii="Abadi" w:hAnsi="Abadi" w:cs="*Verdana-Italic-17539-Identity-"/>
          <w:i/>
          <w:iCs/>
          <w:color w:val="1B1B1D"/>
          <w:sz w:val="21"/>
          <w:szCs w:val="21"/>
        </w:rPr>
        <w:t xml:space="preserve"> </w:t>
      </w:r>
      <w:r w:rsidRPr="007729D2">
        <w:rPr>
          <w:rFonts w:ascii="Abadi" w:hAnsi="Abadi" w:cs="*Verdana-Italic-17539-Identity-"/>
          <w:i/>
          <w:iCs/>
          <w:color w:val="1B1B1D"/>
          <w:sz w:val="21"/>
          <w:szCs w:val="21"/>
        </w:rPr>
        <w:t>Pública para el Estado de Guanajuato. La concesión será otorgada a quien resulte</w:t>
      </w:r>
      <w:r>
        <w:rPr>
          <w:rFonts w:ascii="Abadi" w:hAnsi="Abadi" w:cs="*Verdana-Italic-17539-Identity-"/>
          <w:i/>
          <w:iCs/>
          <w:color w:val="1B1B1D"/>
          <w:sz w:val="21"/>
          <w:szCs w:val="21"/>
        </w:rPr>
        <w:t xml:space="preserve"> </w:t>
      </w:r>
      <w:r w:rsidRPr="007729D2">
        <w:rPr>
          <w:rFonts w:ascii="Abadi" w:hAnsi="Abadi" w:cs="*Verdana-Italic-17539-Identity-"/>
          <w:i/>
          <w:iCs/>
          <w:color w:val="1B1B1D"/>
          <w:sz w:val="21"/>
          <w:szCs w:val="21"/>
        </w:rPr>
        <w:t>adjudicatario del contrato de prestación de servicios correspondiente, conforme a los</w:t>
      </w:r>
      <w:r>
        <w:rPr>
          <w:rFonts w:ascii="Abadi" w:hAnsi="Abadi" w:cs="*Verdana-Italic-17539-Identity-"/>
          <w:i/>
          <w:iCs/>
          <w:color w:val="1B1B1D"/>
          <w:sz w:val="21"/>
          <w:szCs w:val="21"/>
        </w:rPr>
        <w:t xml:space="preserve"> </w:t>
      </w:r>
      <w:r w:rsidRPr="007729D2">
        <w:rPr>
          <w:rFonts w:ascii="Abadi" w:hAnsi="Abadi" w:cs="*Verdana-Italic-17539-Identity-"/>
          <w:i/>
          <w:iCs/>
          <w:color w:val="1B1B1D"/>
          <w:sz w:val="21"/>
          <w:szCs w:val="21"/>
        </w:rPr>
        <w:t>procedimientos de adjudicación regulados por esta ley.</w:t>
      </w:r>
    </w:p>
    <w:p w14:paraId="1EA21E34" w14:textId="77777777" w:rsidR="006B7FC5" w:rsidRPr="007729D2" w:rsidRDefault="006B7FC5" w:rsidP="006B7FC5">
      <w:pPr>
        <w:ind w:left="426"/>
        <w:jc w:val="both"/>
        <w:rPr>
          <w:rFonts w:ascii="Abadi" w:hAnsi="Abadi" w:cs="*Verdana-Italic-17539-Identity-"/>
          <w:i/>
          <w:iCs/>
          <w:color w:val="1B1B1D"/>
          <w:sz w:val="21"/>
          <w:szCs w:val="21"/>
        </w:rPr>
      </w:pPr>
    </w:p>
    <w:p w14:paraId="4C6D8256" w14:textId="77777777" w:rsidR="006B7FC5" w:rsidRDefault="006B7FC5" w:rsidP="006B7FC5">
      <w:pPr>
        <w:autoSpaceDE w:val="0"/>
        <w:autoSpaceDN w:val="0"/>
        <w:adjustRightInd w:val="0"/>
        <w:ind w:left="426"/>
        <w:jc w:val="both"/>
        <w:rPr>
          <w:rFonts w:ascii="Abadi" w:hAnsi="Abadi" w:cs="*Verdana-Italic-12770-Identity-"/>
          <w:i/>
          <w:iCs/>
          <w:color w:val="19181B"/>
          <w:sz w:val="21"/>
          <w:szCs w:val="21"/>
        </w:rPr>
      </w:pPr>
      <w:r w:rsidRPr="007729D2">
        <w:rPr>
          <w:rFonts w:ascii="Abadi" w:hAnsi="Abadi" w:cs="*Verdana-Italic-12769-Identity-"/>
          <w:i/>
          <w:iCs/>
          <w:color w:val="19181B"/>
          <w:sz w:val="21"/>
          <w:szCs w:val="21"/>
        </w:rPr>
        <w:t>El Ayuntamiento podrá otorgar al Inversionista proveedor la concesión que requiera para</w:t>
      </w:r>
      <w:r>
        <w:rPr>
          <w:rFonts w:ascii="Abadi" w:hAnsi="Abadi" w:cs="*Verdana-Italic-12769-Identity-"/>
          <w:i/>
          <w:iCs/>
          <w:color w:val="19181B"/>
          <w:sz w:val="21"/>
          <w:szCs w:val="21"/>
        </w:rPr>
        <w:t xml:space="preserve"> </w:t>
      </w:r>
      <w:r w:rsidRPr="007729D2">
        <w:rPr>
          <w:rFonts w:ascii="Abadi" w:hAnsi="Abadi" w:cs="*Verdana-Italic-12769-Identity-"/>
          <w:i/>
          <w:iCs/>
          <w:color w:val="19181B"/>
          <w:sz w:val="21"/>
          <w:szCs w:val="21"/>
        </w:rPr>
        <w:t>prestar los servicios contratados bajo un contrato de prestación de servicios, a través de</w:t>
      </w:r>
      <w:r>
        <w:rPr>
          <w:rFonts w:ascii="Abadi" w:hAnsi="Abadi" w:cs="*Verdana-Italic-12769-Identity-"/>
          <w:i/>
          <w:iCs/>
          <w:color w:val="19181B"/>
          <w:sz w:val="21"/>
          <w:szCs w:val="21"/>
        </w:rPr>
        <w:t xml:space="preserve"> </w:t>
      </w:r>
      <w:r w:rsidRPr="007729D2">
        <w:rPr>
          <w:rFonts w:ascii="Abadi" w:hAnsi="Abadi" w:cs="*Verdana-Italic-12769-Identity-"/>
          <w:i/>
          <w:iCs/>
          <w:color w:val="19181B"/>
          <w:sz w:val="21"/>
          <w:szCs w:val="21"/>
        </w:rPr>
        <w:t>la modalidad de adjudicación directa, aplicando para tal efecto lo que dispone la Ley de</w:t>
      </w:r>
      <w:r>
        <w:rPr>
          <w:rFonts w:ascii="Abadi" w:hAnsi="Abadi" w:cs="*Verdana-Italic-12769-Identity-"/>
          <w:i/>
          <w:iCs/>
          <w:color w:val="19181B"/>
          <w:sz w:val="21"/>
          <w:szCs w:val="21"/>
        </w:rPr>
        <w:t xml:space="preserve"> </w:t>
      </w:r>
      <w:r w:rsidRPr="007729D2">
        <w:rPr>
          <w:rFonts w:ascii="Abadi" w:hAnsi="Abadi" w:cs="*Verdana-Italic-12769-Identity-"/>
          <w:i/>
          <w:iCs/>
          <w:color w:val="19181B"/>
          <w:sz w:val="21"/>
          <w:szCs w:val="21"/>
        </w:rPr>
        <w:t>Concesiones de Servicios e Infraestructura Pública para el Estado de Guanajuato.</w:t>
      </w:r>
      <w:r w:rsidRPr="007729D2">
        <w:rPr>
          <w:rFonts w:ascii="Abadi" w:hAnsi="Abadi" w:cs="*Verdana-Italic-12770-Identity-"/>
          <w:i/>
          <w:iCs/>
          <w:color w:val="19181B"/>
          <w:sz w:val="21"/>
          <w:szCs w:val="21"/>
        </w:rPr>
        <w:t>»</w:t>
      </w:r>
    </w:p>
    <w:p w14:paraId="202E0818" w14:textId="77777777" w:rsidR="006B7FC5" w:rsidRPr="007729D2" w:rsidRDefault="006B7FC5" w:rsidP="006B7FC5">
      <w:pPr>
        <w:autoSpaceDE w:val="0"/>
        <w:autoSpaceDN w:val="0"/>
        <w:adjustRightInd w:val="0"/>
        <w:ind w:left="426"/>
        <w:jc w:val="both"/>
        <w:rPr>
          <w:rFonts w:ascii="Abadi" w:hAnsi="Abadi" w:cs="*Verdana-Italic-12770-Identity-"/>
          <w:i/>
          <w:iCs/>
          <w:color w:val="19181B"/>
          <w:sz w:val="21"/>
          <w:szCs w:val="21"/>
        </w:rPr>
      </w:pPr>
    </w:p>
    <w:p w14:paraId="20F934F2" w14:textId="77777777" w:rsidR="006B7FC5" w:rsidRDefault="006B7FC5" w:rsidP="006B7FC5">
      <w:pPr>
        <w:autoSpaceDE w:val="0"/>
        <w:autoSpaceDN w:val="0"/>
        <w:adjustRightInd w:val="0"/>
        <w:ind w:firstLine="426"/>
        <w:jc w:val="both"/>
        <w:rPr>
          <w:rFonts w:ascii="Abadi" w:hAnsi="Abadi" w:cs="*Verdana-12771-Identity-H"/>
          <w:color w:val="121215"/>
          <w:sz w:val="21"/>
          <w:szCs w:val="21"/>
        </w:rPr>
      </w:pPr>
      <w:r w:rsidRPr="007729D2">
        <w:rPr>
          <w:rFonts w:ascii="Abadi" w:hAnsi="Abadi" w:cs="*Verdana-12771-Identity-H"/>
          <w:color w:val="121215"/>
          <w:sz w:val="21"/>
          <w:szCs w:val="21"/>
        </w:rPr>
        <w:t>La iniciativa materia del presente dictamen prevé la supresión tajante de la</w:t>
      </w:r>
      <w:r>
        <w:rPr>
          <w:rFonts w:ascii="Abadi" w:hAnsi="Abadi" w:cs="*Verdana-12771-Identity-H"/>
          <w:color w:val="121215"/>
          <w:sz w:val="21"/>
          <w:szCs w:val="21"/>
        </w:rPr>
        <w:t xml:space="preserve"> </w:t>
      </w:r>
      <w:r w:rsidRPr="007729D2">
        <w:rPr>
          <w:rFonts w:ascii="Abadi" w:hAnsi="Abadi" w:cs="*Verdana-12771-Identity-H"/>
          <w:color w:val="121215"/>
          <w:sz w:val="21"/>
          <w:szCs w:val="21"/>
        </w:rPr>
        <w:t>modalidad de adjudicación directa para el otorgamiento de las concesiones, dando un</w:t>
      </w:r>
      <w:r>
        <w:rPr>
          <w:rFonts w:ascii="Abadi" w:hAnsi="Abadi" w:cs="*Verdana-12771-Identity-H"/>
          <w:color w:val="121215"/>
          <w:sz w:val="21"/>
          <w:szCs w:val="21"/>
        </w:rPr>
        <w:t xml:space="preserve"> </w:t>
      </w:r>
      <w:r w:rsidRPr="007729D2">
        <w:rPr>
          <w:rFonts w:ascii="Abadi" w:hAnsi="Abadi" w:cs="*Verdana-12771-Identity-H"/>
          <w:color w:val="121215"/>
          <w:sz w:val="21"/>
          <w:szCs w:val="21"/>
        </w:rPr>
        <w:t>mismo tratamiento a los dos supuestos que la Ley prevé para el efecto.</w:t>
      </w:r>
    </w:p>
    <w:p w14:paraId="1370F28C" w14:textId="77777777" w:rsidR="006B7FC5" w:rsidRPr="007729D2" w:rsidRDefault="006B7FC5" w:rsidP="006B7FC5">
      <w:pPr>
        <w:autoSpaceDE w:val="0"/>
        <w:autoSpaceDN w:val="0"/>
        <w:adjustRightInd w:val="0"/>
        <w:jc w:val="both"/>
        <w:rPr>
          <w:rFonts w:ascii="Abadi" w:hAnsi="Abadi" w:cs="*Verdana-12771-Identity-H"/>
          <w:color w:val="121215"/>
          <w:sz w:val="21"/>
          <w:szCs w:val="21"/>
        </w:rPr>
      </w:pPr>
    </w:p>
    <w:p w14:paraId="6F159509" w14:textId="77777777" w:rsidR="006B7FC5" w:rsidRDefault="006B7FC5" w:rsidP="006B7FC5">
      <w:pPr>
        <w:autoSpaceDE w:val="0"/>
        <w:autoSpaceDN w:val="0"/>
        <w:adjustRightInd w:val="0"/>
        <w:ind w:firstLine="426"/>
        <w:jc w:val="both"/>
        <w:rPr>
          <w:rFonts w:ascii="Abadi" w:hAnsi="Abadi" w:cs="*Verdana-12771-Identity-H"/>
          <w:color w:val="121214"/>
          <w:sz w:val="21"/>
          <w:szCs w:val="21"/>
        </w:rPr>
      </w:pPr>
      <w:r w:rsidRPr="007729D2">
        <w:rPr>
          <w:rFonts w:ascii="Abadi" w:hAnsi="Abadi" w:cs="*Verdana-12771-Identity-H"/>
          <w:color w:val="121214"/>
          <w:sz w:val="21"/>
          <w:szCs w:val="21"/>
        </w:rPr>
        <w:t>El primer supuesto relativo a la concesión que puede otorgarse cuando el</w:t>
      </w:r>
      <w:r>
        <w:rPr>
          <w:rFonts w:ascii="Abadi" w:hAnsi="Abadi" w:cs="*Verdana-12771-Identity-H"/>
          <w:color w:val="121214"/>
          <w:sz w:val="21"/>
          <w:szCs w:val="21"/>
        </w:rPr>
        <w:t xml:space="preserve"> </w:t>
      </w:r>
      <w:r w:rsidRPr="007729D2">
        <w:rPr>
          <w:rFonts w:ascii="Abadi" w:hAnsi="Abadi" w:cs="*Verdana-12771-Identity-H"/>
          <w:color w:val="121214"/>
          <w:sz w:val="21"/>
          <w:szCs w:val="21"/>
        </w:rPr>
        <w:t>particular presenta, por motu proprio, un proyecto de infraestructura pública; el</w:t>
      </w:r>
      <w:r>
        <w:rPr>
          <w:rFonts w:ascii="Abadi" w:hAnsi="Abadi" w:cs="*Verdana-12771-Identity-H"/>
          <w:color w:val="121214"/>
          <w:sz w:val="21"/>
          <w:szCs w:val="21"/>
        </w:rPr>
        <w:t xml:space="preserve"> </w:t>
      </w:r>
      <w:r w:rsidRPr="007729D2">
        <w:rPr>
          <w:rFonts w:ascii="Abadi" w:hAnsi="Abadi" w:cs="*Verdana-12771-Identity-H"/>
          <w:color w:val="121214"/>
          <w:sz w:val="21"/>
          <w:szCs w:val="21"/>
        </w:rPr>
        <w:t>segundo supuesto, relacionado con la prestación de servicios contratados en los</w:t>
      </w:r>
      <w:r>
        <w:rPr>
          <w:rFonts w:ascii="Abadi" w:hAnsi="Abadi" w:cs="*Verdana-12771-Identity-H"/>
          <w:color w:val="121214"/>
          <w:sz w:val="21"/>
          <w:szCs w:val="21"/>
        </w:rPr>
        <w:t xml:space="preserve"> </w:t>
      </w:r>
      <w:r w:rsidRPr="007729D2">
        <w:rPr>
          <w:rFonts w:ascii="Abadi" w:hAnsi="Abadi" w:cs="*Verdana-12771-Identity-H"/>
          <w:color w:val="121214"/>
          <w:sz w:val="21"/>
          <w:szCs w:val="21"/>
        </w:rPr>
        <w:t>términos de la Ley de proyectos de prestación de servicios ya referida.</w:t>
      </w:r>
    </w:p>
    <w:p w14:paraId="2A03729B" w14:textId="77777777" w:rsidR="006B7FC5" w:rsidRPr="007729D2" w:rsidRDefault="006B7FC5" w:rsidP="006B7FC5">
      <w:pPr>
        <w:autoSpaceDE w:val="0"/>
        <w:autoSpaceDN w:val="0"/>
        <w:adjustRightInd w:val="0"/>
        <w:jc w:val="both"/>
        <w:rPr>
          <w:rFonts w:ascii="Abadi" w:hAnsi="Abadi" w:cs="*Verdana-12771-Identity-H"/>
          <w:color w:val="121214"/>
          <w:sz w:val="21"/>
          <w:szCs w:val="21"/>
        </w:rPr>
      </w:pPr>
    </w:p>
    <w:p w14:paraId="6150735B" w14:textId="77777777" w:rsidR="006B7FC5" w:rsidRDefault="006B7FC5" w:rsidP="006B7FC5">
      <w:pPr>
        <w:autoSpaceDE w:val="0"/>
        <w:autoSpaceDN w:val="0"/>
        <w:adjustRightInd w:val="0"/>
        <w:ind w:firstLine="426"/>
        <w:jc w:val="both"/>
        <w:rPr>
          <w:rFonts w:ascii="Abadi" w:hAnsi="Abadi" w:cs="*Verdana-12771-Identity-H"/>
          <w:color w:val="121214"/>
          <w:sz w:val="21"/>
          <w:szCs w:val="21"/>
        </w:rPr>
      </w:pPr>
      <w:r w:rsidRPr="007729D2">
        <w:rPr>
          <w:rFonts w:ascii="Abadi" w:hAnsi="Abadi" w:cs="*Verdana-12771-Identity-H"/>
          <w:color w:val="121214"/>
          <w:sz w:val="21"/>
          <w:szCs w:val="21"/>
        </w:rPr>
        <w:t>Ante tal circunstancia, consideramos que la eliminación de la modalidad de la</w:t>
      </w:r>
      <w:r>
        <w:rPr>
          <w:rFonts w:ascii="Abadi" w:hAnsi="Abadi" w:cs="*Verdana-12771-Identity-H"/>
          <w:color w:val="121214"/>
          <w:sz w:val="21"/>
          <w:szCs w:val="21"/>
        </w:rPr>
        <w:t xml:space="preserve"> </w:t>
      </w:r>
      <w:r w:rsidRPr="007729D2">
        <w:rPr>
          <w:rFonts w:ascii="Abadi" w:hAnsi="Abadi" w:cs="*Verdana-12771-Identity-H"/>
          <w:color w:val="121214"/>
          <w:sz w:val="21"/>
          <w:szCs w:val="21"/>
        </w:rPr>
        <w:t>adjudicación directa de la Ley de Concesiones de Servicios e Infraestructura Pública</w:t>
      </w:r>
      <w:r>
        <w:rPr>
          <w:rFonts w:ascii="Abadi" w:hAnsi="Abadi" w:cs="*Verdana-12771-Identity-H"/>
          <w:color w:val="121214"/>
          <w:sz w:val="21"/>
          <w:szCs w:val="21"/>
        </w:rPr>
        <w:t xml:space="preserve"> </w:t>
      </w:r>
      <w:r w:rsidRPr="007729D2">
        <w:rPr>
          <w:rFonts w:ascii="Abadi" w:hAnsi="Abadi" w:cs="*Verdana-12771-Identity-H"/>
          <w:color w:val="121214"/>
          <w:sz w:val="21"/>
          <w:szCs w:val="21"/>
        </w:rPr>
        <w:t>para el Estado de Guanajuato afecta tanto los elementos reglamentarios como</w:t>
      </w:r>
      <w:r>
        <w:rPr>
          <w:rFonts w:ascii="Abadi" w:hAnsi="Abadi" w:cs="*Verdana-12771-Identity-H"/>
          <w:color w:val="121214"/>
          <w:sz w:val="21"/>
          <w:szCs w:val="21"/>
        </w:rPr>
        <w:t xml:space="preserve"> </w:t>
      </w:r>
      <w:r w:rsidRPr="007729D2">
        <w:rPr>
          <w:rFonts w:ascii="Abadi" w:hAnsi="Abadi" w:cs="*Verdana-12771-Identity-H"/>
          <w:color w:val="121214"/>
          <w:sz w:val="21"/>
          <w:szCs w:val="21"/>
        </w:rPr>
        <w:t>contractuales de la concesión, en su correlación con la Ley de Proyectos de Prestación</w:t>
      </w:r>
      <w:r>
        <w:rPr>
          <w:rFonts w:ascii="Abadi" w:hAnsi="Abadi" w:cs="*Verdana-12771-Identity-H"/>
          <w:color w:val="121214"/>
          <w:sz w:val="21"/>
          <w:szCs w:val="21"/>
        </w:rPr>
        <w:t xml:space="preserve"> </w:t>
      </w:r>
      <w:r w:rsidRPr="007729D2">
        <w:rPr>
          <w:rFonts w:ascii="Abadi" w:hAnsi="Abadi" w:cs="*Verdana-12771-Identity-H"/>
          <w:color w:val="121214"/>
          <w:sz w:val="21"/>
          <w:szCs w:val="21"/>
        </w:rPr>
        <w:t>de Servicios para el Estado y los Municipios de Guanajuato.</w:t>
      </w:r>
    </w:p>
    <w:p w14:paraId="66665C19" w14:textId="77777777" w:rsidR="006B7FC5" w:rsidRPr="007729D2" w:rsidRDefault="006B7FC5" w:rsidP="006B7FC5">
      <w:pPr>
        <w:autoSpaceDE w:val="0"/>
        <w:autoSpaceDN w:val="0"/>
        <w:adjustRightInd w:val="0"/>
        <w:jc w:val="both"/>
        <w:rPr>
          <w:rFonts w:ascii="Abadi" w:hAnsi="Abadi" w:cs="*Verdana-12771-Identity-H"/>
          <w:color w:val="121214"/>
          <w:sz w:val="21"/>
          <w:szCs w:val="21"/>
        </w:rPr>
      </w:pPr>
    </w:p>
    <w:p w14:paraId="7FE81673" w14:textId="77777777" w:rsidR="006B7FC5" w:rsidRDefault="006B7FC5" w:rsidP="006B7FC5">
      <w:pPr>
        <w:autoSpaceDE w:val="0"/>
        <w:autoSpaceDN w:val="0"/>
        <w:adjustRightInd w:val="0"/>
        <w:ind w:firstLine="426"/>
        <w:jc w:val="both"/>
        <w:rPr>
          <w:rFonts w:ascii="Abadi" w:hAnsi="Abadi" w:cs="*Verdana-12771-Identity-H"/>
          <w:color w:val="121213"/>
          <w:sz w:val="21"/>
          <w:szCs w:val="21"/>
        </w:rPr>
      </w:pPr>
      <w:r w:rsidRPr="007729D2">
        <w:rPr>
          <w:rFonts w:ascii="Abadi" w:hAnsi="Abadi" w:cs="*Verdana-12771-Identity-H"/>
          <w:color w:val="121213"/>
          <w:sz w:val="21"/>
          <w:szCs w:val="21"/>
        </w:rPr>
        <w:t>Es así que, en el primero de los elementos, la supresión total de la adjudicación</w:t>
      </w:r>
      <w:r>
        <w:rPr>
          <w:rFonts w:ascii="Abadi" w:hAnsi="Abadi" w:cs="*Verdana-12771-Identity-H"/>
          <w:color w:val="121213"/>
          <w:sz w:val="21"/>
          <w:szCs w:val="21"/>
        </w:rPr>
        <w:t xml:space="preserve"> </w:t>
      </w:r>
      <w:r w:rsidRPr="007729D2">
        <w:rPr>
          <w:rFonts w:ascii="Abadi" w:hAnsi="Abadi" w:cs="*Verdana-12771-Identity-H"/>
          <w:color w:val="121213"/>
          <w:sz w:val="21"/>
          <w:szCs w:val="21"/>
        </w:rPr>
        <w:t>directa de las concesiones generaría un notorio vacío normativo y, ante la existencia</w:t>
      </w:r>
      <w:r>
        <w:rPr>
          <w:rFonts w:ascii="Abadi" w:hAnsi="Abadi" w:cs="*Verdana-12771-Identity-H"/>
          <w:color w:val="121213"/>
          <w:sz w:val="21"/>
          <w:szCs w:val="21"/>
        </w:rPr>
        <w:t xml:space="preserve"> </w:t>
      </w:r>
      <w:r w:rsidRPr="007729D2">
        <w:rPr>
          <w:rFonts w:ascii="Abadi" w:hAnsi="Abadi" w:cs="*Verdana-12771-Identity-H"/>
          <w:color w:val="121213"/>
          <w:sz w:val="21"/>
          <w:szCs w:val="21"/>
        </w:rPr>
        <w:t>de este, puede significar un detrimento al elemento contractual para el Inversionista</w:t>
      </w:r>
      <w:r>
        <w:rPr>
          <w:rFonts w:ascii="Abadi" w:hAnsi="Abadi" w:cs="*Verdana-12771-Identity-H"/>
          <w:color w:val="121213"/>
          <w:sz w:val="21"/>
          <w:szCs w:val="21"/>
        </w:rPr>
        <w:t xml:space="preserve"> </w:t>
      </w:r>
      <w:r w:rsidRPr="007729D2">
        <w:rPr>
          <w:rFonts w:ascii="Abadi" w:hAnsi="Abadi" w:cs="*Verdana-12771-Identity-H"/>
          <w:color w:val="121213"/>
          <w:sz w:val="21"/>
          <w:szCs w:val="21"/>
        </w:rPr>
        <w:t>proveedor.</w:t>
      </w:r>
    </w:p>
    <w:p w14:paraId="05B24526" w14:textId="77777777" w:rsidR="006B7FC5" w:rsidRPr="007729D2" w:rsidRDefault="006B7FC5" w:rsidP="006B7FC5">
      <w:pPr>
        <w:autoSpaceDE w:val="0"/>
        <w:autoSpaceDN w:val="0"/>
        <w:adjustRightInd w:val="0"/>
        <w:jc w:val="both"/>
        <w:rPr>
          <w:rFonts w:ascii="Abadi" w:hAnsi="Abadi" w:cs="*Verdana-12771-Identity-H"/>
          <w:color w:val="121213"/>
          <w:sz w:val="21"/>
          <w:szCs w:val="21"/>
        </w:rPr>
      </w:pPr>
    </w:p>
    <w:p w14:paraId="23137097" w14:textId="77777777" w:rsidR="006B7FC5" w:rsidRDefault="006B7FC5" w:rsidP="006B7FC5">
      <w:pPr>
        <w:autoSpaceDE w:val="0"/>
        <w:autoSpaceDN w:val="0"/>
        <w:adjustRightInd w:val="0"/>
        <w:ind w:firstLine="426"/>
        <w:jc w:val="both"/>
        <w:rPr>
          <w:rFonts w:ascii="Abadi" w:hAnsi="Abadi" w:cs="*Verdana-12771-Identity-H"/>
          <w:color w:val="151517"/>
          <w:sz w:val="21"/>
          <w:szCs w:val="21"/>
        </w:rPr>
      </w:pPr>
      <w:r w:rsidRPr="007729D2">
        <w:rPr>
          <w:rFonts w:ascii="Abadi" w:hAnsi="Abadi" w:cs="*Verdana-12771-Identity-H"/>
          <w:color w:val="151517"/>
          <w:sz w:val="21"/>
          <w:szCs w:val="21"/>
        </w:rPr>
        <w:t>Por otra parte, como ya lo habíamos señalado el artículo 8 de la Ley de</w:t>
      </w:r>
      <w:r>
        <w:rPr>
          <w:rFonts w:ascii="Abadi" w:hAnsi="Abadi" w:cs="*Verdana-12771-Identity-H"/>
          <w:color w:val="151517"/>
          <w:sz w:val="21"/>
          <w:szCs w:val="21"/>
        </w:rPr>
        <w:t xml:space="preserve"> </w:t>
      </w:r>
      <w:r w:rsidRPr="007729D2">
        <w:rPr>
          <w:rFonts w:ascii="Abadi" w:hAnsi="Abadi" w:cs="*Verdana-12771-Identity-H"/>
          <w:color w:val="151517"/>
          <w:sz w:val="21"/>
          <w:szCs w:val="21"/>
        </w:rPr>
        <w:t>Concesiones de Servicios e Infraestructura Pública para el Estado de Guanajuato</w:t>
      </w:r>
      <w:r>
        <w:rPr>
          <w:rFonts w:ascii="Abadi" w:hAnsi="Abadi" w:cs="*Verdana-12771-Identity-H"/>
          <w:color w:val="151517"/>
          <w:sz w:val="21"/>
          <w:szCs w:val="21"/>
        </w:rPr>
        <w:t xml:space="preserve"> </w:t>
      </w:r>
      <w:r w:rsidRPr="007729D2">
        <w:rPr>
          <w:rFonts w:ascii="Abadi" w:hAnsi="Abadi" w:cs="*Verdana-12771-Identity-H"/>
          <w:color w:val="151517"/>
          <w:sz w:val="21"/>
          <w:szCs w:val="21"/>
        </w:rPr>
        <w:t>establece:</w:t>
      </w:r>
    </w:p>
    <w:p w14:paraId="3BD303A8" w14:textId="77777777" w:rsidR="006B7FC5" w:rsidRPr="007729D2" w:rsidRDefault="006B7FC5" w:rsidP="006B7FC5">
      <w:pPr>
        <w:autoSpaceDE w:val="0"/>
        <w:autoSpaceDN w:val="0"/>
        <w:adjustRightInd w:val="0"/>
        <w:jc w:val="both"/>
        <w:rPr>
          <w:rFonts w:ascii="Abadi" w:hAnsi="Abadi" w:cs="*Verdana-12771-Identity-H"/>
          <w:color w:val="151517"/>
          <w:sz w:val="21"/>
          <w:szCs w:val="21"/>
        </w:rPr>
      </w:pPr>
    </w:p>
    <w:p w14:paraId="294023B7" w14:textId="77777777" w:rsidR="006B7FC5" w:rsidRDefault="006B7FC5" w:rsidP="006B7FC5">
      <w:pPr>
        <w:autoSpaceDE w:val="0"/>
        <w:autoSpaceDN w:val="0"/>
        <w:adjustRightInd w:val="0"/>
        <w:ind w:left="426"/>
        <w:jc w:val="both"/>
        <w:rPr>
          <w:rFonts w:ascii="Abadi" w:hAnsi="Abadi" w:cs="*Verdana-Italic-12769-Identity-"/>
          <w:i/>
          <w:iCs/>
          <w:color w:val="19191A"/>
          <w:sz w:val="21"/>
          <w:szCs w:val="21"/>
        </w:rPr>
      </w:pPr>
      <w:r>
        <w:rPr>
          <w:rFonts w:ascii="Abadi" w:hAnsi="Abadi" w:cs="*Calibri-Bold-12766-Identity-H"/>
          <w:b/>
          <w:bCs/>
          <w:color w:val="19191A"/>
          <w:sz w:val="21"/>
          <w:szCs w:val="21"/>
        </w:rPr>
        <w:t xml:space="preserve"> </w:t>
      </w:r>
      <w:r w:rsidRPr="007729D2">
        <w:rPr>
          <w:rFonts w:ascii="Abadi" w:hAnsi="Abadi" w:cs="*Calibri-Bold-12766-Identity-H"/>
          <w:b/>
          <w:bCs/>
          <w:color w:val="19191A"/>
          <w:sz w:val="21"/>
          <w:szCs w:val="21"/>
        </w:rPr>
        <w:t xml:space="preserve">«Artículo 8. </w:t>
      </w:r>
      <w:r w:rsidRPr="007729D2">
        <w:rPr>
          <w:rFonts w:ascii="Abadi" w:hAnsi="Abadi" w:cs="*Verdana-Italic-12769-Identity-"/>
          <w:i/>
          <w:iCs/>
          <w:color w:val="19191A"/>
          <w:sz w:val="21"/>
          <w:szCs w:val="21"/>
        </w:rPr>
        <w:t>Las concesiones podrán cederse, gravarse o enajenarse, con el acuerdo</w:t>
      </w:r>
      <w:r>
        <w:rPr>
          <w:rFonts w:ascii="Abadi" w:hAnsi="Abadi" w:cs="*Verdana-Italic-12769-Identity-"/>
          <w:i/>
          <w:iCs/>
          <w:color w:val="19191A"/>
          <w:sz w:val="21"/>
          <w:szCs w:val="21"/>
        </w:rPr>
        <w:t xml:space="preserve"> </w:t>
      </w:r>
      <w:r w:rsidRPr="007729D2">
        <w:rPr>
          <w:rFonts w:ascii="Abadi" w:hAnsi="Abadi" w:cs="*Verdana-Italic-12769-Identity-"/>
          <w:i/>
          <w:iCs/>
          <w:color w:val="19191A"/>
          <w:sz w:val="21"/>
          <w:szCs w:val="21"/>
        </w:rPr>
        <w:t>previo y por escrito del Titular del Poder Ejecutivo.</w:t>
      </w:r>
    </w:p>
    <w:p w14:paraId="1CA6FB99" w14:textId="77777777" w:rsidR="006B7FC5" w:rsidRPr="007729D2" w:rsidRDefault="006B7FC5" w:rsidP="006B7FC5">
      <w:pPr>
        <w:autoSpaceDE w:val="0"/>
        <w:autoSpaceDN w:val="0"/>
        <w:adjustRightInd w:val="0"/>
        <w:ind w:left="426"/>
        <w:jc w:val="both"/>
        <w:rPr>
          <w:rFonts w:ascii="Abadi" w:hAnsi="Abadi" w:cs="*Verdana-Italic-12769-Identity-"/>
          <w:i/>
          <w:iCs/>
          <w:color w:val="19191A"/>
          <w:sz w:val="21"/>
          <w:szCs w:val="21"/>
        </w:rPr>
      </w:pPr>
    </w:p>
    <w:p w14:paraId="4D0EE76F" w14:textId="77777777" w:rsidR="006B7FC5" w:rsidRDefault="006B7FC5" w:rsidP="006B7FC5">
      <w:pPr>
        <w:autoSpaceDE w:val="0"/>
        <w:autoSpaceDN w:val="0"/>
        <w:adjustRightInd w:val="0"/>
        <w:ind w:left="426"/>
        <w:jc w:val="both"/>
        <w:rPr>
          <w:rFonts w:ascii="Abadi" w:hAnsi="Abadi" w:cs="*Verdana-Italic-12769-Identity-"/>
          <w:i/>
          <w:iCs/>
          <w:color w:val="161618"/>
          <w:sz w:val="21"/>
          <w:szCs w:val="21"/>
        </w:rPr>
      </w:pPr>
      <w:r w:rsidRPr="007729D2">
        <w:rPr>
          <w:rFonts w:ascii="Abadi" w:hAnsi="Abadi" w:cs="*Verdana-Italic-12769-Identity-"/>
          <w:i/>
          <w:iCs/>
          <w:color w:val="161618"/>
          <w:sz w:val="21"/>
          <w:szCs w:val="21"/>
        </w:rPr>
        <w:t>El procedimiento y requisitos para la transmisión de las concesiones se establecerán en</w:t>
      </w:r>
      <w:r>
        <w:rPr>
          <w:rFonts w:ascii="Abadi" w:hAnsi="Abadi" w:cs="*Verdana-Italic-12769-Identity-"/>
          <w:i/>
          <w:iCs/>
          <w:color w:val="161618"/>
          <w:sz w:val="21"/>
          <w:szCs w:val="21"/>
        </w:rPr>
        <w:t xml:space="preserve"> </w:t>
      </w:r>
      <w:r w:rsidRPr="007729D2">
        <w:rPr>
          <w:rFonts w:ascii="Abadi" w:hAnsi="Abadi" w:cs="*Verdana-Italic-12769-Identity-"/>
          <w:i/>
          <w:iCs/>
          <w:color w:val="161618"/>
          <w:sz w:val="21"/>
          <w:szCs w:val="21"/>
        </w:rPr>
        <w:t>el Reglamento correspondiente. La transmisión de las concesiones no modifica los</w:t>
      </w:r>
      <w:r>
        <w:rPr>
          <w:rFonts w:ascii="Abadi" w:hAnsi="Abadi" w:cs="*Verdana-Italic-12769-Identity-"/>
          <w:i/>
          <w:iCs/>
          <w:color w:val="161618"/>
          <w:sz w:val="21"/>
          <w:szCs w:val="21"/>
        </w:rPr>
        <w:t xml:space="preserve"> </w:t>
      </w:r>
      <w:r w:rsidRPr="007729D2">
        <w:rPr>
          <w:rFonts w:ascii="Abadi" w:hAnsi="Abadi" w:cs="*Verdana-Italic-12769-Identity-"/>
          <w:i/>
          <w:iCs/>
          <w:color w:val="161618"/>
          <w:sz w:val="21"/>
          <w:szCs w:val="21"/>
        </w:rPr>
        <w:t>términos originalmente establecidos y las demás condiciones en ellas estipuladas, por lo</w:t>
      </w:r>
      <w:r>
        <w:rPr>
          <w:rFonts w:ascii="Abadi" w:hAnsi="Abadi" w:cs="*Verdana-Italic-12769-Identity-"/>
          <w:i/>
          <w:iCs/>
          <w:color w:val="161618"/>
          <w:sz w:val="21"/>
          <w:szCs w:val="21"/>
        </w:rPr>
        <w:t xml:space="preserve"> </w:t>
      </w:r>
      <w:r w:rsidRPr="007729D2">
        <w:rPr>
          <w:rFonts w:ascii="Abadi" w:hAnsi="Abadi" w:cs="*Verdana-Italic-12769-Identity-"/>
          <w:i/>
          <w:iCs/>
          <w:color w:val="161618"/>
          <w:sz w:val="21"/>
          <w:szCs w:val="21"/>
        </w:rPr>
        <w:t>que el nuevo titular será responsable del cumplimiento de todas las obligaciones</w:t>
      </w:r>
      <w:r>
        <w:rPr>
          <w:rFonts w:ascii="Abadi" w:hAnsi="Abadi" w:cs="*Verdana-Italic-12769-Identity-"/>
          <w:i/>
          <w:iCs/>
          <w:color w:val="161618"/>
          <w:sz w:val="21"/>
          <w:szCs w:val="21"/>
        </w:rPr>
        <w:t xml:space="preserve"> </w:t>
      </w:r>
      <w:r w:rsidRPr="007729D2">
        <w:rPr>
          <w:rFonts w:ascii="Abadi" w:hAnsi="Abadi" w:cs="*Verdana-Italic-12769-Identity-"/>
          <w:i/>
          <w:iCs/>
          <w:color w:val="161618"/>
          <w:sz w:val="21"/>
          <w:szCs w:val="21"/>
        </w:rPr>
        <w:t>Inherentes a las mismas.</w:t>
      </w:r>
    </w:p>
    <w:p w14:paraId="4FD178C5" w14:textId="77777777" w:rsidR="006B7FC5" w:rsidRPr="007729D2" w:rsidRDefault="006B7FC5" w:rsidP="006B7FC5">
      <w:pPr>
        <w:autoSpaceDE w:val="0"/>
        <w:autoSpaceDN w:val="0"/>
        <w:adjustRightInd w:val="0"/>
        <w:ind w:left="426"/>
        <w:jc w:val="both"/>
        <w:rPr>
          <w:rFonts w:ascii="Abadi" w:hAnsi="Abadi" w:cs="*Verdana-Italic-12769-Identity-"/>
          <w:i/>
          <w:iCs/>
          <w:color w:val="161618"/>
          <w:sz w:val="21"/>
          <w:szCs w:val="21"/>
        </w:rPr>
      </w:pPr>
    </w:p>
    <w:p w14:paraId="3213098A" w14:textId="77777777" w:rsidR="006B7FC5" w:rsidRPr="007729D2" w:rsidRDefault="006B7FC5" w:rsidP="006B7FC5">
      <w:pPr>
        <w:autoSpaceDE w:val="0"/>
        <w:autoSpaceDN w:val="0"/>
        <w:adjustRightInd w:val="0"/>
        <w:ind w:left="426"/>
        <w:jc w:val="both"/>
        <w:rPr>
          <w:rFonts w:ascii="Abadi" w:hAnsi="Abadi" w:cs="*Verdana-Italic-12770-Identity-"/>
          <w:i/>
          <w:iCs/>
          <w:color w:val="1A1A1C"/>
          <w:sz w:val="21"/>
          <w:szCs w:val="21"/>
        </w:rPr>
      </w:pPr>
      <w:r w:rsidRPr="007729D2">
        <w:rPr>
          <w:rFonts w:ascii="Abadi" w:hAnsi="Abadi" w:cs="*Verdana-Italic-12769-Identity-"/>
          <w:i/>
          <w:iCs/>
          <w:color w:val="1A1A1C"/>
          <w:sz w:val="21"/>
          <w:szCs w:val="21"/>
        </w:rPr>
        <w:t>El concesionario que ceda los derechos de la concesión</w:t>
      </w:r>
      <w:r>
        <w:rPr>
          <w:rFonts w:ascii="Abadi" w:hAnsi="Abadi" w:cs="*Verdana-Italic-12769-Identity-"/>
          <w:i/>
          <w:iCs/>
          <w:color w:val="1A1A1C"/>
          <w:sz w:val="21"/>
          <w:szCs w:val="21"/>
        </w:rPr>
        <w:t xml:space="preserve">, </w:t>
      </w:r>
      <w:r w:rsidRPr="007729D2">
        <w:rPr>
          <w:rFonts w:ascii="Abadi" w:hAnsi="Abadi" w:cs="*Verdana-Italic-12769-Identity-"/>
          <w:i/>
          <w:iCs/>
          <w:color w:val="1A1A1C"/>
          <w:sz w:val="21"/>
          <w:szCs w:val="21"/>
        </w:rPr>
        <w:t>quedará impos</w:t>
      </w:r>
      <w:r>
        <w:rPr>
          <w:rFonts w:ascii="Abadi" w:hAnsi="Abadi" w:cs="*Verdana-Italic-12769-Identity-"/>
          <w:i/>
          <w:iCs/>
          <w:color w:val="1A1A1C"/>
          <w:sz w:val="21"/>
          <w:szCs w:val="21"/>
        </w:rPr>
        <w:t>ibili</w:t>
      </w:r>
      <w:r w:rsidRPr="007729D2">
        <w:rPr>
          <w:rFonts w:ascii="Abadi" w:hAnsi="Abadi" w:cs="*Verdana-Italic-12769-Identity-"/>
          <w:i/>
          <w:iCs/>
          <w:color w:val="1A1A1C"/>
          <w:sz w:val="21"/>
          <w:szCs w:val="21"/>
        </w:rPr>
        <w:t>tado para</w:t>
      </w:r>
      <w:r>
        <w:rPr>
          <w:rFonts w:ascii="Abadi" w:hAnsi="Abadi" w:cs="*Verdana-Italic-12769-Identity-"/>
          <w:i/>
          <w:iCs/>
          <w:color w:val="1A1A1C"/>
          <w:sz w:val="21"/>
          <w:szCs w:val="21"/>
        </w:rPr>
        <w:t xml:space="preserve"> </w:t>
      </w:r>
      <w:r w:rsidRPr="007729D2">
        <w:rPr>
          <w:rFonts w:ascii="Abadi" w:hAnsi="Abadi" w:cs="*Verdana-Italic-12769-Identity-"/>
          <w:i/>
          <w:iCs/>
          <w:color w:val="1A1A1C"/>
          <w:sz w:val="21"/>
          <w:szCs w:val="21"/>
        </w:rPr>
        <w:t>obtener otra en un plazo de cinco años.»</w:t>
      </w:r>
    </w:p>
    <w:p w14:paraId="1F61C329" w14:textId="77777777" w:rsidR="006B7FC5" w:rsidRPr="007729D2" w:rsidRDefault="006B7FC5" w:rsidP="006B7FC5">
      <w:pPr>
        <w:jc w:val="both"/>
        <w:rPr>
          <w:rFonts w:ascii="Abadi" w:hAnsi="Abadi" w:cs="*Verdana-Italic-12770-Identity-"/>
          <w:i/>
          <w:iCs/>
          <w:color w:val="1A1A1C"/>
          <w:sz w:val="21"/>
          <w:szCs w:val="21"/>
        </w:rPr>
      </w:pPr>
    </w:p>
    <w:p w14:paraId="0488AF13" w14:textId="77777777" w:rsidR="006B7FC5" w:rsidRDefault="006B7FC5" w:rsidP="006B7FC5">
      <w:pPr>
        <w:autoSpaceDE w:val="0"/>
        <w:autoSpaceDN w:val="0"/>
        <w:adjustRightInd w:val="0"/>
        <w:ind w:firstLine="426"/>
        <w:jc w:val="both"/>
        <w:rPr>
          <w:rFonts w:ascii="Abadi" w:hAnsi="Abadi" w:cs="*Verdana-11896-Identity-H"/>
          <w:color w:val="121214"/>
          <w:sz w:val="21"/>
          <w:szCs w:val="21"/>
        </w:rPr>
      </w:pPr>
      <w:r w:rsidRPr="007729D2">
        <w:rPr>
          <w:rFonts w:ascii="Abadi" w:hAnsi="Abadi" w:cs="*Verdana-11896-Identity-H"/>
          <w:color w:val="121214"/>
          <w:sz w:val="21"/>
          <w:szCs w:val="21"/>
        </w:rPr>
        <w:t>De acuerdo a lo manifestado por los iniciantes en la exposición de motivos de la</w:t>
      </w:r>
      <w:r>
        <w:rPr>
          <w:rFonts w:ascii="Abadi" w:hAnsi="Abadi" w:cs="*Verdana-11896-Identity-H"/>
          <w:color w:val="121214"/>
          <w:sz w:val="21"/>
          <w:szCs w:val="21"/>
        </w:rPr>
        <w:t xml:space="preserve"> </w:t>
      </w:r>
      <w:r w:rsidRPr="007729D2">
        <w:rPr>
          <w:rFonts w:ascii="Abadi" w:hAnsi="Abadi" w:cs="*Verdana-11896-Identity-H"/>
          <w:color w:val="121214"/>
          <w:sz w:val="21"/>
          <w:szCs w:val="21"/>
        </w:rPr>
        <w:t>iniciativa, la intención de eliminar la modalidad de adjudicación directa en el</w:t>
      </w:r>
      <w:r>
        <w:rPr>
          <w:rFonts w:ascii="Abadi" w:hAnsi="Abadi" w:cs="*Verdana-11896-Identity-H"/>
          <w:color w:val="121214"/>
          <w:sz w:val="21"/>
          <w:szCs w:val="21"/>
        </w:rPr>
        <w:t xml:space="preserve"> </w:t>
      </w:r>
      <w:r w:rsidRPr="007729D2">
        <w:rPr>
          <w:rFonts w:ascii="Abadi" w:hAnsi="Abadi" w:cs="*Verdana-11896-Identity-H"/>
          <w:color w:val="121214"/>
          <w:sz w:val="21"/>
          <w:szCs w:val="21"/>
        </w:rPr>
        <w:t>otorgamiento de concesiones en materia de infraestructura pública, es evitar que dicho</w:t>
      </w:r>
      <w:r>
        <w:rPr>
          <w:rFonts w:ascii="Abadi" w:hAnsi="Abadi" w:cs="*Verdana-11896-Identity-H"/>
          <w:color w:val="121214"/>
          <w:sz w:val="21"/>
          <w:szCs w:val="21"/>
        </w:rPr>
        <w:t xml:space="preserve"> </w:t>
      </w:r>
      <w:r w:rsidRPr="007729D2">
        <w:rPr>
          <w:rFonts w:ascii="Abadi" w:hAnsi="Abadi" w:cs="*Verdana-11896-Identity-H"/>
          <w:color w:val="121214"/>
          <w:sz w:val="21"/>
          <w:szCs w:val="21"/>
        </w:rPr>
        <w:t>otorgamiento quede al arbitrio de la autoridad y velar por que se privilegie el interés</w:t>
      </w:r>
      <w:r>
        <w:rPr>
          <w:rFonts w:ascii="Abadi" w:hAnsi="Abadi" w:cs="*Verdana-11896-Identity-H"/>
          <w:color w:val="121214"/>
          <w:sz w:val="21"/>
          <w:szCs w:val="21"/>
        </w:rPr>
        <w:t xml:space="preserve"> </w:t>
      </w:r>
      <w:r w:rsidRPr="007729D2">
        <w:rPr>
          <w:rFonts w:ascii="Abadi" w:hAnsi="Abadi" w:cs="*Verdana-11896-Identity-H"/>
          <w:color w:val="121214"/>
          <w:sz w:val="21"/>
          <w:szCs w:val="21"/>
        </w:rPr>
        <w:t>público, pero como ya se manifestó la iniciativa resulta improcedente en los términos</w:t>
      </w:r>
      <w:r>
        <w:rPr>
          <w:rFonts w:ascii="Abadi" w:hAnsi="Abadi" w:cs="*Verdana-11896-Identity-H"/>
          <w:color w:val="121214"/>
          <w:sz w:val="21"/>
          <w:szCs w:val="21"/>
        </w:rPr>
        <w:t xml:space="preserve"> </w:t>
      </w:r>
      <w:r w:rsidRPr="007729D2">
        <w:rPr>
          <w:rFonts w:ascii="Abadi" w:hAnsi="Abadi" w:cs="*Verdana-11896-Identity-H"/>
          <w:color w:val="121214"/>
          <w:sz w:val="21"/>
          <w:szCs w:val="21"/>
        </w:rPr>
        <w:t>planteados, considerando que en su caso, debería plantearse una figura distinta a la</w:t>
      </w:r>
      <w:r>
        <w:rPr>
          <w:rFonts w:ascii="Abadi" w:hAnsi="Abadi" w:cs="*Verdana-11896-Identity-H"/>
          <w:color w:val="121214"/>
          <w:sz w:val="21"/>
          <w:szCs w:val="21"/>
        </w:rPr>
        <w:t xml:space="preserve"> </w:t>
      </w:r>
      <w:r w:rsidRPr="007729D2">
        <w:rPr>
          <w:rFonts w:ascii="Abadi" w:hAnsi="Abadi" w:cs="*Verdana-11896-Identity-H"/>
          <w:color w:val="121214"/>
          <w:sz w:val="21"/>
          <w:szCs w:val="21"/>
        </w:rPr>
        <w:t>licitación pública para las concesiones en materia de infraestructura pública, que</w:t>
      </w:r>
      <w:r>
        <w:rPr>
          <w:rFonts w:ascii="Abadi" w:hAnsi="Abadi" w:cs="*Verdana-11896-Identity-H"/>
          <w:color w:val="121214"/>
          <w:sz w:val="21"/>
          <w:szCs w:val="21"/>
        </w:rPr>
        <w:t xml:space="preserve"> </w:t>
      </w:r>
      <w:r w:rsidRPr="007729D2">
        <w:rPr>
          <w:rFonts w:ascii="Abadi" w:hAnsi="Abadi" w:cs="*Verdana-11896-Identity-H"/>
          <w:color w:val="121214"/>
          <w:sz w:val="21"/>
          <w:szCs w:val="21"/>
        </w:rPr>
        <w:t>pudieran considerar diversos aspectos que contemplen de manera clara la falta de</w:t>
      </w:r>
      <w:r>
        <w:rPr>
          <w:rFonts w:ascii="Abadi" w:hAnsi="Abadi" w:cs="*Verdana-11896-Identity-H"/>
          <w:color w:val="121214"/>
          <w:sz w:val="21"/>
          <w:szCs w:val="21"/>
        </w:rPr>
        <w:t xml:space="preserve"> </w:t>
      </w:r>
      <w:r w:rsidRPr="007729D2">
        <w:rPr>
          <w:rFonts w:ascii="Abadi" w:hAnsi="Abadi" w:cs="*Verdana-11896-Identity-H"/>
          <w:color w:val="121214"/>
          <w:sz w:val="21"/>
          <w:szCs w:val="21"/>
        </w:rPr>
        <w:t>Idoneidad referida en el artículo 134 de nuestra Carta Magna.</w:t>
      </w:r>
    </w:p>
    <w:p w14:paraId="0AB121B4" w14:textId="77777777" w:rsidR="006B7FC5" w:rsidRPr="007729D2" w:rsidRDefault="006B7FC5" w:rsidP="006B7FC5">
      <w:pPr>
        <w:autoSpaceDE w:val="0"/>
        <w:autoSpaceDN w:val="0"/>
        <w:adjustRightInd w:val="0"/>
        <w:jc w:val="both"/>
        <w:rPr>
          <w:rFonts w:ascii="Abadi" w:hAnsi="Abadi" w:cs="*Verdana-11896-Identity-H"/>
          <w:color w:val="121214"/>
          <w:sz w:val="21"/>
          <w:szCs w:val="21"/>
        </w:rPr>
      </w:pPr>
    </w:p>
    <w:p w14:paraId="4866B9E7" w14:textId="77777777" w:rsidR="006B7FC5" w:rsidRDefault="006B7FC5" w:rsidP="006B7FC5">
      <w:pPr>
        <w:autoSpaceDE w:val="0"/>
        <w:autoSpaceDN w:val="0"/>
        <w:adjustRightInd w:val="0"/>
        <w:ind w:firstLine="426"/>
        <w:jc w:val="both"/>
        <w:rPr>
          <w:rFonts w:ascii="Abadi" w:hAnsi="Abadi" w:cs="*Verdana-11896-Identity-H"/>
          <w:color w:val="121215"/>
          <w:sz w:val="21"/>
          <w:szCs w:val="21"/>
        </w:rPr>
      </w:pPr>
      <w:r w:rsidRPr="007729D2">
        <w:rPr>
          <w:rFonts w:ascii="Abadi" w:hAnsi="Abadi" w:cs="*Verdana-11896-Identity-H"/>
          <w:color w:val="121215"/>
          <w:sz w:val="21"/>
          <w:szCs w:val="21"/>
        </w:rPr>
        <w:t>Es así, que si bien la derogación de la fracción II del artículo 11 eliminaría la</w:t>
      </w:r>
      <w:r>
        <w:rPr>
          <w:rFonts w:ascii="Abadi" w:hAnsi="Abadi" w:cs="*Verdana-11896-Identity-H"/>
          <w:color w:val="121215"/>
          <w:sz w:val="21"/>
          <w:szCs w:val="21"/>
        </w:rPr>
        <w:t xml:space="preserve"> </w:t>
      </w:r>
      <w:r w:rsidRPr="007729D2">
        <w:rPr>
          <w:rFonts w:ascii="Abadi" w:hAnsi="Abadi" w:cs="*Verdana-11896-Identity-H"/>
          <w:color w:val="121215"/>
          <w:sz w:val="21"/>
          <w:szCs w:val="21"/>
        </w:rPr>
        <w:t>discrecionalidad de la adjudicación en la Ley no se prevé una figura alterna, para los</w:t>
      </w:r>
      <w:r>
        <w:rPr>
          <w:rFonts w:ascii="Abadi" w:hAnsi="Abadi" w:cs="*Verdana-11896-Identity-H"/>
          <w:color w:val="121215"/>
          <w:sz w:val="21"/>
          <w:szCs w:val="21"/>
        </w:rPr>
        <w:t xml:space="preserve"> </w:t>
      </w:r>
      <w:r w:rsidRPr="007729D2">
        <w:rPr>
          <w:rFonts w:ascii="Abadi" w:hAnsi="Abadi" w:cs="*Verdana-11896-Identity-H"/>
          <w:color w:val="121215"/>
          <w:sz w:val="21"/>
          <w:szCs w:val="21"/>
        </w:rPr>
        <w:t>casos de aquellas concesiones en las que el costo de llevar a cabo una licitación pública</w:t>
      </w:r>
      <w:r>
        <w:rPr>
          <w:rFonts w:ascii="Abadi" w:hAnsi="Abadi" w:cs="*Verdana-11896-Identity-H"/>
          <w:color w:val="121215"/>
          <w:sz w:val="21"/>
          <w:szCs w:val="21"/>
        </w:rPr>
        <w:t xml:space="preserve"> </w:t>
      </w:r>
      <w:r w:rsidRPr="007729D2">
        <w:rPr>
          <w:rFonts w:ascii="Abadi" w:hAnsi="Abadi" w:cs="*Verdana-11896-Identity-H"/>
          <w:color w:val="121215"/>
          <w:sz w:val="21"/>
          <w:szCs w:val="21"/>
        </w:rPr>
        <w:t>podría ser mucho mayor al beneficio obtenido por el Estado en su otorgamiento,</w:t>
      </w:r>
      <w:r>
        <w:rPr>
          <w:rFonts w:ascii="Abadi" w:hAnsi="Abadi" w:cs="*Verdana-11896-Identity-H"/>
          <w:color w:val="121215"/>
          <w:sz w:val="21"/>
          <w:szCs w:val="21"/>
        </w:rPr>
        <w:t xml:space="preserve"> </w:t>
      </w:r>
      <w:r w:rsidRPr="007729D2">
        <w:rPr>
          <w:rFonts w:ascii="Abadi" w:hAnsi="Abadi" w:cs="*Verdana-11896-Identity-H"/>
          <w:color w:val="121215"/>
          <w:sz w:val="21"/>
          <w:szCs w:val="21"/>
        </w:rPr>
        <w:t>contraviniendo de esta manera el propio artículo 134 constitucional.</w:t>
      </w:r>
    </w:p>
    <w:p w14:paraId="27F69FA5" w14:textId="77777777" w:rsidR="006B7FC5" w:rsidRPr="007729D2" w:rsidRDefault="006B7FC5" w:rsidP="006B7FC5">
      <w:pPr>
        <w:autoSpaceDE w:val="0"/>
        <w:autoSpaceDN w:val="0"/>
        <w:adjustRightInd w:val="0"/>
        <w:jc w:val="both"/>
        <w:rPr>
          <w:rFonts w:ascii="Abadi" w:hAnsi="Abadi" w:cs="*Verdana-11896-Identity-H"/>
          <w:color w:val="121215"/>
          <w:sz w:val="21"/>
          <w:szCs w:val="21"/>
        </w:rPr>
      </w:pPr>
      <w:r>
        <w:rPr>
          <w:rFonts w:ascii="Abadi" w:hAnsi="Abadi" w:cs="*Verdana-11896-Identity-H"/>
          <w:color w:val="121215"/>
          <w:sz w:val="21"/>
          <w:szCs w:val="21"/>
        </w:rPr>
        <w:tab/>
      </w:r>
    </w:p>
    <w:p w14:paraId="3B5756C8" w14:textId="0C739493" w:rsidR="006B7FC5" w:rsidRDefault="006B7FC5" w:rsidP="006B7FC5">
      <w:pPr>
        <w:autoSpaceDE w:val="0"/>
        <w:autoSpaceDN w:val="0"/>
        <w:adjustRightInd w:val="0"/>
        <w:ind w:firstLine="426"/>
        <w:jc w:val="both"/>
        <w:rPr>
          <w:rFonts w:ascii="Abadi" w:hAnsi="Abadi" w:cs="*Verdana-11896-Identity-H"/>
          <w:color w:val="141416"/>
          <w:sz w:val="21"/>
          <w:szCs w:val="21"/>
        </w:rPr>
      </w:pPr>
      <w:r w:rsidRPr="007729D2">
        <w:rPr>
          <w:rFonts w:ascii="Abadi" w:hAnsi="Abadi" w:cs="*Verdana-11896-Identity-H"/>
          <w:color w:val="141416"/>
          <w:sz w:val="21"/>
          <w:szCs w:val="21"/>
        </w:rPr>
        <w:t>Finalmente, es importante destacar que la reforma planteada en los términos de</w:t>
      </w:r>
      <w:r>
        <w:rPr>
          <w:rFonts w:ascii="Abadi" w:hAnsi="Abadi" w:cs="*Verdana-11896-Identity-H"/>
          <w:color w:val="141416"/>
          <w:sz w:val="21"/>
          <w:szCs w:val="21"/>
        </w:rPr>
        <w:t xml:space="preserve"> </w:t>
      </w:r>
      <w:r w:rsidRPr="007729D2">
        <w:rPr>
          <w:rFonts w:ascii="Abadi" w:hAnsi="Abadi" w:cs="*Verdana-11896-Identity-H"/>
          <w:color w:val="141416"/>
          <w:sz w:val="21"/>
          <w:szCs w:val="21"/>
        </w:rPr>
        <w:t>la iniciativa que nos ocupa solamente resolvería en su caso la discrecionalidad en la</w:t>
      </w:r>
      <w:r>
        <w:rPr>
          <w:rFonts w:ascii="Abadi" w:hAnsi="Abadi" w:cs="*Verdana-11896-Identity-H"/>
          <w:color w:val="141416"/>
          <w:sz w:val="21"/>
          <w:szCs w:val="21"/>
        </w:rPr>
        <w:t xml:space="preserve"> </w:t>
      </w:r>
      <w:r w:rsidRPr="007729D2">
        <w:rPr>
          <w:rFonts w:ascii="Abadi" w:hAnsi="Abadi" w:cs="*Verdana-11896-Identity-H"/>
          <w:color w:val="141416"/>
          <w:sz w:val="21"/>
          <w:szCs w:val="21"/>
        </w:rPr>
        <w:t>adjudicación de las concesiones, sin embargo, no contempla que las mismas sean</w:t>
      </w:r>
      <w:r>
        <w:rPr>
          <w:rFonts w:ascii="Abadi" w:hAnsi="Abadi" w:cs="*Verdana-11896-Identity-H"/>
          <w:color w:val="141416"/>
          <w:sz w:val="21"/>
          <w:szCs w:val="21"/>
        </w:rPr>
        <w:t xml:space="preserve"> </w:t>
      </w:r>
      <w:r w:rsidRPr="007729D2">
        <w:rPr>
          <w:rFonts w:ascii="Abadi" w:hAnsi="Abadi" w:cs="*Verdana-11896-Identity-H"/>
          <w:color w:val="141416"/>
          <w:sz w:val="21"/>
          <w:szCs w:val="21"/>
        </w:rPr>
        <w:t>otorgadas bajo las mejores condiciones para el Estado y los particulares.</w:t>
      </w:r>
    </w:p>
    <w:p w14:paraId="0FB157E9" w14:textId="77777777" w:rsidR="006B7FC5" w:rsidRDefault="006B7FC5" w:rsidP="006B7FC5">
      <w:pPr>
        <w:autoSpaceDE w:val="0"/>
        <w:autoSpaceDN w:val="0"/>
        <w:adjustRightInd w:val="0"/>
        <w:ind w:firstLine="426"/>
        <w:jc w:val="both"/>
        <w:rPr>
          <w:rFonts w:ascii="Abadi" w:hAnsi="Abadi" w:cs="*Verdana-11896-Identity-H"/>
          <w:color w:val="131314"/>
          <w:sz w:val="21"/>
          <w:szCs w:val="21"/>
        </w:rPr>
      </w:pPr>
      <w:r w:rsidRPr="007729D2">
        <w:rPr>
          <w:rFonts w:ascii="Abadi" w:hAnsi="Abadi" w:cs="*Verdana-11896-Identity-H"/>
          <w:color w:val="131314"/>
          <w:sz w:val="21"/>
          <w:szCs w:val="21"/>
        </w:rPr>
        <w:t>En atención a los argumentos vertidos, determinamos improcedente la iniciativa</w:t>
      </w:r>
      <w:r>
        <w:rPr>
          <w:rFonts w:ascii="Abadi" w:hAnsi="Abadi" w:cs="*Verdana-11896-Identity-H"/>
          <w:color w:val="131314"/>
          <w:sz w:val="21"/>
          <w:szCs w:val="21"/>
        </w:rPr>
        <w:t xml:space="preserve"> </w:t>
      </w:r>
      <w:r w:rsidRPr="007729D2">
        <w:rPr>
          <w:rFonts w:ascii="Abadi" w:hAnsi="Abadi" w:cs="*Verdana-11896-Identity-H"/>
          <w:color w:val="131314"/>
          <w:sz w:val="21"/>
          <w:szCs w:val="21"/>
        </w:rPr>
        <w:t>materia del presente dictamen.</w:t>
      </w:r>
    </w:p>
    <w:p w14:paraId="21862D82" w14:textId="77777777" w:rsidR="006B7FC5" w:rsidRPr="007729D2" w:rsidRDefault="006B7FC5" w:rsidP="006B7FC5">
      <w:pPr>
        <w:autoSpaceDE w:val="0"/>
        <w:autoSpaceDN w:val="0"/>
        <w:adjustRightInd w:val="0"/>
        <w:jc w:val="both"/>
        <w:rPr>
          <w:rFonts w:ascii="Abadi" w:hAnsi="Abadi" w:cs="*Verdana-11896-Identity-H"/>
          <w:color w:val="131314"/>
          <w:sz w:val="21"/>
          <w:szCs w:val="21"/>
        </w:rPr>
      </w:pPr>
    </w:p>
    <w:p w14:paraId="338C9FFB" w14:textId="77777777" w:rsidR="006B7FC5" w:rsidRPr="007729D2" w:rsidRDefault="006B7FC5" w:rsidP="006B7FC5">
      <w:pPr>
        <w:autoSpaceDE w:val="0"/>
        <w:autoSpaceDN w:val="0"/>
        <w:adjustRightInd w:val="0"/>
        <w:ind w:firstLine="426"/>
        <w:jc w:val="both"/>
        <w:rPr>
          <w:rFonts w:ascii="Abadi" w:hAnsi="Abadi" w:cs="*Verdana-11896-Identity-H"/>
          <w:color w:val="131315"/>
          <w:sz w:val="21"/>
          <w:szCs w:val="21"/>
        </w:rPr>
      </w:pPr>
      <w:r w:rsidRPr="007729D2">
        <w:rPr>
          <w:rFonts w:ascii="Abadi" w:hAnsi="Abadi" w:cs="*Verdana-11896-Identity-H"/>
          <w:color w:val="131315"/>
          <w:sz w:val="21"/>
          <w:szCs w:val="21"/>
        </w:rPr>
        <w:t>Por lo anteriormente expuesto, y con fundamento en lo dispuesto por los</w:t>
      </w:r>
      <w:r>
        <w:rPr>
          <w:rFonts w:ascii="Abadi" w:hAnsi="Abadi" w:cs="*Verdana-11896-Identity-H"/>
          <w:color w:val="131315"/>
          <w:sz w:val="21"/>
          <w:szCs w:val="21"/>
        </w:rPr>
        <w:t xml:space="preserve"> </w:t>
      </w:r>
      <w:r w:rsidRPr="007729D2">
        <w:rPr>
          <w:rFonts w:ascii="Abadi" w:hAnsi="Abadi" w:cs="*Verdana-11896-Identity-H"/>
          <w:color w:val="131315"/>
          <w:sz w:val="21"/>
          <w:szCs w:val="21"/>
        </w:rPr>
        <w:t>artículos 171 y 204 de la Ley Orgánica del Poder Legislativo del Estado, quienes</w:t>
      </w:r>
      <w:r>
        <w:rPr>
          <w:rFonts w:ascii="Abadi" w:hAnsi="Abadi" w:cs="*Verdana-11896-Identity-H"/>
          <w:color w:val="131315"/>
          <w:sz w:val="21"/>
          <w:szCs w:val="21"/>
        </w:rPr>
        <w:t xml:space="preserve"> </w:t>
      </w:r>
      <w:r w:rsidRPr="007729D2">
        <w:rPr>
          <w:rFonts w:ascii="Abadi" w:hAnsi="Abadi" w:cs="*Verdana-11896-Identity-H"/>
          <w:color w:val="131315"/>
          <w:sz w:val="21"/>
          <w:szCs w:val="21"/>
        </w:rPr>
        <w:t>integramos la Comisión de Hacienda y Fiscalización, sometemos a la consideración de</w:t>
      </w:r>
      <w:r>
        <w:rPr>
          <w:rFonts w:ascii="Abadi" w:hAnsi="Abadi" w:cs="*Verdana-11896-Identity-H"/>
          <w:color w:val="131315"/>
          <w:sz w:val="21"/>
          <w:szCs w:val="21"/>
        </w:rPr>
        <w:t xml:space="preserve"> </w:t>
      </w:r>
      <w:r w:rsidRPr="007729D2">
        <w:rPr>
          <w:rFonts w:ascii="Abadi" w:hAnsi="Abadi" w:cs="*Verdana-11896-Identity-H"/>
          <w:color w:val="131315"/>
          <w:sz w:val="21"/>
          <w:szCs w:val="21"/>
        </w:rPr>
        <w:t>la Asamblea, la aprobación del siguiente:</w:t>
      </w:r>
    </w:p>
    <w:p w14:paraId="6533D92B" w14:textId="77777777" w:rsidR="00BF2771" w:rsidRDefault="00BF2771" w:rsidP="006B7FC5">
      <w:pPr>
        <w:autoSpaceDE w:val="0"/>
        <w:autoSpaceDN w:val="0"/>
        <w:adjustRightInd w:val="0"/>
        <w:jc w:val="center"/>
        <w:rPr>
          <w:rFonts w:ascii="Abadi" w:hAnsi="Abadi" w:cs="*Verdana-Bold-11897-Identity-H"/>
          <w:b/>
          <w:bCs/>
          <w:color w:val="101017"/>
          <w:sz w:val="21"/>
          <w:szCs w:val="21"/>
        </w:rPr>
      </w:pPr>
    </w:p>
    <w:p w14:paraId="63C501C6" w14:textId="7AF35C96" w:rsidR="006B7FC5" w:rsidRDefault="006B7FC5" w:rsidP="006B7FC5">
      <w:pPr>
        <w:autoSpaceDE w:val="0"/>
        <w:autoSpaceDN w:val="0"/>
        <w:adjustRightInd w:val="0"/>
        <w:jc w:val="center"/>
        <w:rPr>
          <w:rFonts w:ascii="Abadi" w:hAnsi="Abadi" w:cs="*Verdana-Bold-11897-Identity-H"/>
          <w:b/>
          <w:bCs/>
          <w:color w:val="101017"/>
          <w:sz w:val="21"/>
          <w:szCs w:val="21"/>
        </w:rPr>
      </w:pPr>
      <w:r w:rsidRPr="007729D2">
        <w:rPr>
          <w:rFonts w:ascii="Abadi" w:hAnsi="Abadi" w:cs="*Verdana-Bold-11897-Identity-H"/>
          <w:b/>
          <w:bCs/>
          <w:color w:val="101017"/>
          <w:sz w:val="21"/>
          <w:szCs w:val="21"/>
        </w:rPr>
        <w:t>Acuerdo</w:t>
      </w:r>
    </w:p>
    <w:p w14:paraId="17E203D1" w14:textId="77777777" w:rsidR="006B7FC5" w:rsidRPr="007729D2" w:rsidRDefault="006B7FC5" w:rsidP="006B7FC5">
      <w:pPr>
        <w:autoSpaceDE w:val="0"/>
        <w:autoSpaceDN w:val="0"/>
        <w:adjustRightInd w:val="0"/>
        <w:jc w:val="center"/>
        <w:rPr>
          <w:rFonts w:ascii="Abadi" w:hAnsi="Abadi" w:cs="*Verdana-Bold-11897-Identity-H"/>
          <w:b/>
          <w:bCs/>
          <w:color w:val="101017"/>
          <w:sz w:val="21"/>
          <w:szCs w:val="21"/>
        </w:rPr>
      </w:pPr>
    </w:p>
    <w:p w14:paraId="54B91834" w14:textId="77777777" w:rsidR="006B7FC5" w:rsidRDefault="006B7FC5" w:rsidP="006B7FC5">
      <w:pPr>
        <w:autoSpaceDE w:val="0"/>
        <w:autoSpaceDN w:val="0"/>
        <w:adjustRightInd w:val="0"/>
        <w:ind w:firstLine="708"/>
        <w:jc w:val="both"/>
        <w:rPr>
          <w:rFonts w:ascii="Abadi" w:hAnsi="Abadi" w:cs="*Verdana-11896-Identity-H"/>
          <w:color w:val="121214"/>
          <w:sz w:val="21"/>
          <w:szCs w:val="21"/>
        </w:rPr>
      </w:pPr>
      <w:r w:rsidRPr="007729D2">
        <w:rPr>
          <w:rFonts w:ascii="Abadi" w:hAnsi="Abadi" w:cs="*Verdana-Bold-11897-Identity-H"/>
          <w:b/>
          <w:bCs/>
          <w:color w:val="121214"/>
          <w:sz w:val="21"/>
          <w:szCs w:val="21"/>
        </w:rPr>
        <w:t xml:space="preserve">Artículo Único. </w:t>
      </w:r>
      <w:r w:rsidRPr="007729D2">
        <w:rPr>
          <w:rFonts w:ascii="Abadi" w:hAnsi="Abadi" w:cs="*Verdana-11896-Identity-H"/>
          <w:color w:val="121214"/>
          <w:sz w:val="21"/>
          <w:szCs w:val="21"/>
        </w:rPr>
        <w:t>Se considera improcedente la iniciativa formulada por las</w:t>
      </w:r>
      <w:r>
        <w:rPr>
          <w:rFonts w:ascii="Abadi" w:hAnsi="Abadi" w:cs="*Verdana-11896-Identity-H"/>
          <w:color w:val="121214"/>
          <w:sz w:val="21"/>
          <w:szCs w:val="21"/>
        </w:rPr>
        <w:t xml:space="preserve"> </w:t>
      </w:r>
      <w:r w:rsidRPr="007729D2">
        <w:rPr>
          <w:rFonts w:ascii="Abadi" w:hAnsi="Abadi" w:cs="*Verdana-11896-Identity-H"/>
          <w:color w:val="121214"/>
          <w:sz w:val="21"/>
          <w:szCs w:val="21"/>
        </w:rPr>
        <w:t>diputadas y los diputados integrantes del Grupo Parlamentario del Partido</w:t>
      </w:r>
      <w:r>
        <w:rPr>
          <w:rFonts w:ascii="Abadi" w:hAnsi="Abadi" w:cs="*Verdana-11896-Identity-H"/>
          <w:color w:val="121214"/>
          <w:sz w:val="21"/>
          <w:szCs w:val="21"/>
        </w:rPr>
        <w:t xml:space="preserve"> </w:t>
      </w:r>
      <w:r w:rsidRPr="007729D2">
        <w:rPr>
          <w:rFonts w:ascii="Abadi" w:hAnsi="Abadi" w:cs="*Verdana-11896-Identity-H"/>
          <w:color w:val="121214"/>
          <w:sz w:val="21"/>
          <w:szCs w:val="21"/>
        </w:rPr>
        <w:t>Revolucionarlo Institucional ante la Sexagésima Cuarta Legislatura, a efecto de</w:t>
      </w:r>
      <w:r>
        <w:rPr>
          <w:rFonts w:ascii="Abadi" w:hAnsi="Abadi" w:cs="*Verdana-11896-Identity-H"/>
          <w:color w:val="121214"/>
          <w:sz w:val="21"/>
          <w:szCs w:val="21"/>
        </w:rPr>
        <w:t xml:space="preserve"> </w:t>
      </w:r>
      <w:r w:rsidRPr="007729D2">
        <w:rPr>
          <w:rFonts w:ascii="Abadi" w:hAnsi="Abadi" w:cs="*Verdana-11896-Identity-H"/>
          <w:color w:val="121214"/>
          <w:sz w:val="21"/>
          <w:szCs w:val="21"/>
        </w:rPr>
        <w:t>reformar el artículo 11 y derogar el Capítulo III del Título Segundo de la Ley de</w:t>
      </w:r>
      <w:r>
        <w:rPr>
          <w:rFonts w:ascii="Abadi" w:hAnsi="Abadi" w:cs="*Verdana-11896-Identity-H"/>
          <w:color w:val="121214"/>
          <w:sz w:val="21"/>
          <w:szCs w:val="21"/>
        </w:rPr>
        <w:t xml:space="preserve"> </w:t>
      </w:r>
      <w:r w:rsidRPr="007729D2">
        <w:rPr>
          <w:rFonts w:ascii="Abadi" w:hAnsi="Abadi" w:cs="*Verdana-11896-Identity-H"/>
          <w:color w:val="121214"/>
          <w:sz w:val="21"/>
          <w:szCs w:val="21"/>
        </w:rPr>
        <w:t>Concesiones de Servicios e Infraestructura Pública para el Estado de Guanajuato. En</w:t>
      </w:r>
      <w:r>
        <w:rPr>
          <w:rFonts w:ascii="Abadi" w:hAnsi="Abadi" w:cs="*Verdana-11896-Identity-H"/>
          <w:color w:val="121214"/>
          <w:sz w:val="21"/>
          <w:szCs w:val="21"/>
        </w:rPr>
        <w:t xml:space="preserve"> </w:t>
      </w:r>
      <w:r w:rsidRPr="007729D2">
        <w:rPr>
          <w:rFonts w:ascii="Abadi" w:hAnsi="Abadi" w:cs="*Verdana-11896-Identity-H"/>
          <w:color w:val="121214"/>
          <w:sz w:val="21"/>
          <w:szCs w:val="21"/>
        </w:rPr>
        <w:t>consecuencia, se ordena su archivo definitivo.</w:t>
      </w:r>
    </w:p>
    <w:p w14:paraId="5BE27455" w14:textId="77777777" w:rsidR="006B7FC5" w:rsidRPr="007729D2" w:rsidRDefault="006B7FC5" w:rsidP="006B7FC5">
      <w:pPr>
        <w:autoSpaceDE w:val="0"/>
        <w:autoSpaceDN w:val="0"/>
        <w:adjustRightInd w:val="0"/>
        <w:ind w:firstLine="708"/>
        <w:jc w:val="both"/>
        <w:rPr>
          <w:rFonts w:ascii="Abadi" w:hAnsi="Abadi" w:cs="*Verdana-11896-Identity-H"/>
          <w:color w:val="121214"/>
          <w:sz w:val="21"/>
          <w:szCs w:val="21"/>
        </w:rPr>
      </w:pPr>
    </w:p>
    <w:p w14:paraId="1995BADF" w14:textId="77777777" w:rsidR="006B7FC5" w:rsidRPr="007729D2" w:rsidRDefault="006B7FC5" w:rsidP="006B7FC5">
      <w:pPr>
        <w:jc w:val="both"/>
        <w:rPr>
          <w:rFonts w:ascii="Abadi" w:hAnsi="Abadi" w:cs="*Verdana-6654-Identity-H"/>
          <w:color w:val="141316"/>
          <w:sz w:val="21"/>
          <w:szCs w:val="21"/>
        </w:rPr>
      </w:pPr>
      <w:r w:rsidRPr="007729D2">
        <w:rPr>
          <w:rFonts w:ascii="Abadi" w:hAnsi="Abadi" w:cs="*Verdana-6654-Identity-H"/>
          <w:color w:val="141316"/>
          <w:sz w:val="21"/>
          <w:szCs w:val="21"/>
        </w:rPr>
        <w:t>Comuníquese el presente acuerdo a la Secret</w:t>
      </w:r>
      <w:r>
        <w:rPr>
          <w:rFonts w:ascii="Abadi" w:hAnsi="Abadi" w:cs="*Verdana-6654-Identity-H"/>
          <w:color w:val="141316"/>
          <w:sz w:val="21"/>
          <w:szCs w:val="21"/>
        </w:rPr>
        <w:t xml:space="preserve">aría </w:t>
      </w:r>
      <w:r w:rsidRPr="007729D2">
        <w:rPr>
          <w:rFonts w:ascii="Abadi" w:hAnsi="Abadi" w:cs="*Verdana-6654-Identity-H"/>
          <w:color w:val="141316"/>
          <w:sz w:val="21"/>
          <w:szCs w:val="21"/>
        </w:rPr>
        <w:t>Ge</w:t>
      </w:r>
      <w:r>
        <w:rPr>
          <w:rFonts w:ascii="Abadi" w:hAnsi="Abadi" w:cs="*Verdana-6654-Identity-H"/>
          <w:color w:val="141316"/>
          <w:sz w:val="21"/>
          <w:szCs w:val="21"/>
        </w:rPr>
        <w:t>neral</w:t>
      </w:r>
      <w:r w:rsidRPr="007729D2">
        <w:rPr>
          <w:rFonts w:ascii="Abadi" w:hAnsi="Abadi" w:cs="*Verdana-6654-Identity-H"/>
          <w:color w:val="141316"/>
          <w:sz w:val="21"/>
          <w:szCs w:val="21"/>
        </w:rPr>
        <w:t xml:space="preserve"> del Congreso del Estado</w:t>
      </w:r>
      <w:r>
        <w:rPr>
          <w:rFonts w:ascii="Abadi" w:hAnsi="Abadi" w:cs="*Verdana-6654-Identity-H"/>
          <w:color w:val="141316"/>
          <w:sz w:val="21"/>
          <w:szCs w:val="21"/>
        </w:rPr>
        <w:t xml:space="preserve"> </w:t>
      </w:r>
      <w:r w:rsidRPr="007729D2">
        <w:rPr>
          <w:rFonts w:ascii="Abadi" w:hAnsi="Abadi" w:cs="*Verdana-6654-Identity-H"/>
          <w:color w:val="141316"/>
          <w:sz w:val="21"/>
          <w:szCs w:val="21"/>
        </w:rPr>
        <w:t>para los efectos conducentes.</w:t>
      </w:r>
    </w:p>
    <w:p w14:paraId="202EB642" w14:textId="77777777" w:rsidR="006B7FC5" w:rsidRPr="007729D2" w:rsidRDefault="006B7FC5" w:rsidP="006B7FC5">
      <w:pPr>
        <w:jc w:val="both"/>
        <w:rPr>
          <w:rFonts w:ascii="Abadi" w:hAnsi="Abadi" w:cs="*Verdana-6654-Identity-H"/>
          <w:color w:val="141316"/>
          <w:sz w:val="21"/>
          <w:szCs w:val="21"/>
        </w:rPr>
      </w:pPr>
    </w:p>
    <w:p w14:paraId="3B12D320" w14:textId="0566B421" w:rsidR="006B7FC5" w:rsidRDefault="006B7FC5" w:rsidP="006B7FC5">
      <w:pPr>
        <w:autoSpaceDE w:val="0"/>
        <w:autoSpaceDN w:val="0"/>
        <w:adjustRightInd w:val="0"/>
        <w:jc w:val="center"/>
        <w:rPr>
          <w:rFonts w:ascii="Abadi" w:hAnsi="Abadi" w:cs="*Verdana-Bold-6653-Identity-H"/>
          <w:b/>
          <w:bCs/>
          <w:color w:val="0E0D14"/>
          <w:sz w:val="21"/>
          <w:szCs w:val="21"/>
        </w:rPr>
      </w:pPr>
      <w:r w:rsidRPr="007729D2">
        <w:rPr>
          <w:rFonts w:ascii="Abadi" w:hAnsi="Abadi" w:cs="*Verdana-Bold-6653-Identity-H"/>
          <w:b/>
          <w:bCs/>
          <w:color w:val="0E0D14"/>
          <w:sz w:val="21"/>
          <w:szCs w:val="21"/>
        </w:rPr>
        <w:t xml:space="preserve">Guanajuato, </w:t>
      </w:r>
      <w:proofErr w:type="spellStart"/>
      <w:r w:rsidRPr="007729D2">
        <w:rPr>
          <w:rFonts w:ascii="Abadi" w:hAnsi="Abadi" w:cs="*Verdana-Bold-6653-Identity-H"/>
          <w:b/>
          <w:bCs/>
          <w:color w:val="0E0D14"/>
          <w:sz w:val="21"/>
          <w:szCs w:val="21"/>
        </w:rPr>
        <w:t>Gto</w:t>
      </w:r>
      <w:proofErr w:type="spellEnd"/>
      <w:r w:rsidRPr="007729D2">
        <w:rPr>
          <w:rFonts w:ascii="Abadi" w:hAnsi="Abadi" w:cs="*Verdana-Bold-6653-Identity-H"/>
          <w:b/>
          <w:bCs/>
          <w:color w:val="0E0D14"/>
          <w:sz w:val="21"/>
          <w:szCs w:val="21"/>
        </w:rPr>
        <w:t>., 12 d</w:t>
      </w:r>
      <w:r>
        <w:rPr>
          <w:rFonts w:ascii="Abadi" w:hAnsi="Abadi" w:cs="*Verdana-Bold-6653-Identity-H"/>
          <w:b/>
          <w:bCs/>
          <w:color w:val="0E0D14"/>
          <w:sz w:val="21"/>
          <w:szCs w:val="21"/>
        </w:rPr>
        <w:t>e</w:t>
      </w:r>
      <w:r w:rsidRPr="007729D2">
        <w:rPr>
          <w:rFonts w:ascii="Abadi" w:hAnsi="Abadi" w:cs="*Verdana-Bold-6653-Identity-H"/>
          <w:b/>
          <w:bCs/>
          <w:color w:val="0E0D14"/>
          <w:sz w:val="21"/>
          <w:szCs w:val="21"/>
        </w:rPr>
        <w:t xml:space="preserve"> mayo d</w:t>
      </w:r>
      <w:r>
        <w:rPr>
          <w:rFonts w:ascii="Abadi" w:hAnsi="Abadi" w:cs="*Verdana-Bold-6653-Identity-H"/>
          <w:b/>
          <w:bCs/>
          <w:color w:val="0E0D14"/>
          <w:sz w:val="21"/>
          <w:szCs w:val="21"/>
        </w:rPr>
        <w:t>e</w:t>
      </w:r>
      <w:r w:rsidRPr="007729D2">
        <w:rPr>
          <w:rFonts w:ascii="Abadi" w:hAnsi="Abadi" w:cs="*Verdana-Bold-6653-Identity-H"/>
          <w:b/>
          <w:bCs/>
          <w:color w:val="0E0D14"/>
          <w:sz w:val="21"/>
          <w:szCs w:val="21"/>
        </w:rPr>
        <w:t xml:space="preserve"> 2022</w:t>
      </w:r>
    </w:p>
    <w:p w14:paraId="5019080A" w14:textId="77777777" w:rsidR="008C44C2" w:rsidRPr="007729D2" w:rsidRDefault="008C44C2" w:rsidP="006B7FC5">
      <w:pPr>
        <w:autoSpaceDE w:val="0"/>
        <w:autoSpaceDN w:val="0"/>
        <w:adjustRightInd w:val="0"/>
        <w:jc w:val="center"/>
        <w:rPr>
          <w:rFonts w:ascii="Abadi" w:hAnsi="Abadi" w:cs="*Verdana-Bold-6653-Identity-H"/>
          <w:b/>
          <w:bCs/>
          <w:color w:val="0E0D14"/>
          <w:sz w:val="21"/>
          <w:szCs w:val="21"/>
        </w:rPr>
      </w:pPr>
    </w:p>
    <w:p w14:paraId="1D365F8F" w14:textId="77777777" w:rsidR="00ED75E4" w:rsidRDefault="00ED75E4" w:rsidP="006B7FC5">
      <w:pPr>
        <w:jc w:val="center"/>
        <w:rPr>
          <w:rFonts w:ascii="Abadi" w:hAnsi="Abadi" w:cs="*Verdana-Bold-6653-Identity-H"/>
          <w:b/>
          <w:bCs/>
          <w:color w:val="0E0D14"/>
          <w:sz w:val="21"/>
          <w:szCs w:val="21"/>
        </w:rPr>
      </w:pPr>
    </w:p>
    <w:p w14:paraId="5C3A4199" w14:textId="29CC49C2" w:rsidR="006B7FC5" w:rsidRDefault="006B7FC5" w:rsidP="006B7FC5">
      <w:pPr>
        <w:jc w:val="center"/>
        <w:rPr>
          <w:rFonts w:ascii="Abadi" w:hAnsi="Abadi" w:cs="*Verdana-Bold-6653-Identity-H"/>
          <w:b/>
          <w:bCs/>
          <w:color w:val="0E0D14"/>
          <w:sz w:val="21"/>
          <w:szCs w:val="21"/>
        </w:rPr>
      </w:pPr>
      <w:r w:rsidRPr="007729D2">
        <w:rPr>
          <w:rFonts w:ascii="Abadi" w:hAnsi="Abadi" w:cs="*Verdana-Bold-6653-Identity-H"/>
          <w:b/>
          <w:bCs/>
          <w:color w:val="0E0D14"/>
          <w:sz w:val="21"/>
          <w:szCs w:val="21"/>
        </w:rPr>
        <w:t xml:space="preserve">La Comisión de </w:t>
      </w:r>
      <w:r>
        <w:rPr>
          <w:rFonts w:ascii="Abadi" w:hAnsi="Abadi" w:cs="*Verdana-Bold-6653-Identity-H"/>
          <w:b/>
          <w:bCs/>
          <w:color w:val="0E0D14"/>
          <w:sz w:val="21"/>
          <w:szCs w:val="21"/>
        </w:rPr>
        <w:t>Hacienda y Fiscalización</w:t>
      </w:r>
    </w:p>
    <w:p w14:paraId="66B0C519" w14:textId="26863A55" w:rsidR="004C3D27" w:rsidRDefault="004C3D27" w:rsidP="006B7FC5">
      <w:pPr>
        <w:jc w:val="center"/>
        <w:rPr>
          <w:rFonts w:ascii="Abadi" w:hAnsi="Abadi" w:cs="*Verdana-Bold-6653-Identity-H"/>
          <w:b/>
          <w:bCs/>
          <w:color w:val="0E0D14"/>
          <w:sz w:val="21"/>
          <w:szCs w:val="21"/>
        </w:rPr>
      </w:pPr>
    </w:p>
    <w:p w14:paraId="683D50FF" w14:textId="77777777" w:rsidR="004C3D27" w:rsidRDefault="004C3D27" w:rsidP="004C3D27">
      <w:pPr>
        <w:jc w:val="center"/>
        <w:rPr>
          <w:rFonts w:ascii="Abadi" w:hAnsi="Abadi" w:cs="*Arial-Bold-4914-Identity-H"/>
          <w:b/>
          <w:bCs/>
          <w:color w:val="0C0B10"/>
          <w:sz w:val="21"/>
          <w:szCs w:val="21"/>
        </w:rPr>
      </w:pPr>
      <w:r>
        <w:rPr>
          <w:rFonts w:ascii="Abadi" w:hAnsi="Abadi" w:cs="*Arial-Bold-4914-Identity-H"/>
          <w:b/>
          <w:bCs/>
          <w:color w:val="0C0B10"/>
          <w:sz w:val="21"/>
          <w:szCs w:val="21"/>
        </w:rPr>
        <w:t>Diputado Víctor Manuel Zanella Huerta</w:t>
      </w:r>
    </w:p>
    <w:p w14:paraId="1359421F" w14:textId="77777777" w:rsidR="004C3D27" w:rsidRDefault="004C3D27" w:rsidP="004C3D27">
      <w:pPr>
        <w:jc w:val="both"/>
        <w:rPr>
          <w:rFonts w:ascii="Abadi" w:hAnsi="Abadi" w:cs="*Arial-Bold-4914-Identity-H"/>
          <w:b/>
          <w:bCs/>
          <w:color w:val="0C0B10"/>
          <w:sz w:val="21"/>
          <w:szCs w:val="21"/>
        </w:rPr>
      </w:pPr>
    </w:p>
    <w:p w14:paraId="624A5FEC" w14:textId="77777777" w:rsidR="004C3D27" w:rsidRDefault="004C3D27" w:rsidP="004C3D27">
      <w:pPr>
        <w:jc w:val="both"/>
        <w:rPr>
          <w:rFonts w:ascii="Abadi" w:hAnsi="Abadi" w:cs="*Arial-Bold-4914-Identity-H"/>
          <w:b/>
          <w:bCs/>
          <w:color w:val="0C0B10"/>
          <w:sz w:val="21"/>
          <w:szCs w:val="21"/>
        </w:rPr>
      </w:pPr>
      <w:r>
        <w:rPr>
          <w:rFonts w:ascii="Abadi" w:hAnsi="Abadi" w:cs="*Arial-Bold-4914-Identity-H"/>
          <w:b/>
          <w:bCs/>
          <w:color w:val="0C0B10"/>
          <w:sz w:val="21"/>
          <w:szCs w:val="21"/>
        </w:rPr>
        <w:t>Diputada Ruth Noemí Tiscareño Agoitia</w:t>
      </w:r>
    </w:p>
    <w:p w14:paraId="5A4ED792" w14:textId="77777777" w:rsidR="004C3D27" w:rsidRDefault="004C3D27" w:rsidP="004C3D27">
      <w:pPr>
        <w:jc w:val="both"/>
        <w:rPr>
          <w:rFonts w:ascii="Abadi" w:hAnsi="Abadi" w:cs="*Arial-Bold-4914-Identity-H"/>
          <w:b/>
          <w:bCs/>
          <w:color w:val="0C0B10"/>
          <w:sz w:val="21"/>
          <w:szCs w:val="21"/>
        </w:rPr>
      </w:pPr>
      <w:r>
        <w:rPr>
          <w:rFonts w:ascii="Abadi" w:hAnsi="Abadi" w:cs="*Arial-Bold-4914-Identity-H"/>
          <w:b/>
          <w:bCs/>
          <w:color w:val="0C0B10"/>
          <w:sz w:val="21"/>
          <w:szCs w:val="21"/>
        </w:rPr>
        <w:t xml:space="preserve">Diputado Miguel Ángel Salim </w:t>
      </w:r>
      <w:proofErr w:type="spellStart"/>
      <w:r>
        <w:rPr>
          <w:rFonts w:ascii="Abadi" w:hAnsi="Abadi" w:cs="*Arial-Bold-4914-Identity-H"/>
          <w:b/>
          <w:bCs/>
          <w:color w:val="0C0B10"/>
          <w:sz w:val="21"/>
          <w:szCs w:val="21"/>
        </w:rPr>
        <w:t>Alle</w:t>
      </w:r>
      <w:proofErr w:type="spellEnd"/>
    </w:p>
    <w:p w14:paraId="1DB0D907" w14:textId="77777777" w:rsidR="004C3D27" w:rsidRDefault="004C3D27" w:rsidP="004C3D27">
      <w:pPr>
        <w:jc w:val="both"/>
        <w:rPr>
          <w:rFonts w:ascii="Abadi" w:hAnsi="Abadi" w:cs="*Arial-Bold-4914-Identity-H"/>
          <w:b/>
          <w:bCs/>
          <w:color w:val="0C0B10"/>
          <w:sz w:val="21"/>
          <w:szCs w:val="21"/>
        </w:rPr>
      </w:pPr>
      <w:r>
        <w:rPr>
          <w:rFonts w:ascii="Abadi" w:hAnsi="Abadi" w:cs="*Arial-Bold-4914-Identity-H"/>
          <w:b/>
          <w:bCs/>
          <w:color w:val="0C0B10"/>
          <w:sz w:val="21"/>
          <w:szCs w:val="21"/>
        </w:rPr>
        <w:t>Diputado José Alfonso Borja Pimentel</w:t>
      </w:r>
    </w:p>
    <w:p w14:paraId="2482A4FB" w14:textId="3C7976A0" w:rsidR="004C3D27" w:rsidRDefault="004C3D27" w:rsidP="004C3D27">
      <w:pPr>
        <w:jc w:val="both"/>
        <w:rPr>
          <w:rFonts w:ascii="Abadi" w:hAnsi="Abadi" w:cs="*Arial-Bold-4914-Identity-H"/>
          <w:b/>
          <w:bCs/>
          <w:color w:val="0C0B10"/>
          <w:sz w:val="21"/>
          <w:szCs w:val="21"/>
        </w:rPr>
      </w:pPr>
      <w:r>
        <w:rPr>
          <w:rFonts w:ascii="Abadi" w:hAnsi="Abadi" w:cs="*Arial-Bold-4914-Identity-H"/>
          <w:b/>
          <w:bCs/>
          <w:color w:val="0C0B10"/>
          <w:sz w:val="21"/>
          <w:szCs w:val="21"/>
        </w:rPr>
        <w:t>Diputada Alma Edwviges Alcaraz Hernández</w:t>
      </w:r>
    </w:p>
    <w:p w14:paraId="1AC8AAB3" w14:textId="1F494EF3" w:rsidR="00ED75E4" w:rsidRDefault="00ED75E4" w:rsidP="004C3D27">
      <w:pPr>
        <w:jc w:val="both"/>
        <w:rPr>
          <w:rFonts w:ascii="Abadi" w:hAnsi="Abadi" w:cs="*Arial-Bold-4914-Identity-H"/>
          <w:b/>
          <w:bCs/>
          <w:color w:val="0C0B10"/>
          <w:sz w:val="21"/>
          <w:szCs w:val="21"/>
        </w:rPr>
      </w:pPr>
    </w:p>
    <w:p w14:paraId="49FCC0BF" w14:textId="77777777" w:rsidR="00ED75E4" w:rsidRDefault="00ED75E4" w:rsidP="00091F01">
      <w:pPr>
        <w:pStyle w:val="NormalWeb"/>
        <w:ind w:firstLine="708"/>
        <w:jc w:val="both"/>
        <w:rPr>
          <w:rFonts w:ascii="Abadi" w:hAnsi="Abadi"/>
          <w:sz w:val="21"/>
          <w:szCs w:val="21"/>
        </w:rPr>
      </w:pPr>
      <w:r>
        <w:rPr>
          <w:rFonts w:ascii="Abadi" w:hAnsi="Abadi"/>
          <w:b/>
          <w:bCs/>
          <w:sz w:val="21"/>
          <w:szCs w:val="21"/>
        </w:rPr>
        <w:t xml:space="preserve">- </w:t>
      </w:r>
      <w:r w:rsidRPr="008E75BA">
        <w:rPr>
          <w:rFonts w:ascii="Abadi" w:hAnsi="Abadi"/>
          <w:b/>
          <w:bCs/>
          <w:sz w:val="21"/>
          <w:szCs w:val="21"/>
        </w:rPr>
        <w:t xml:space="preserve">La </w:t>
      </w:r>
      <w:proofErr w:type="gramStart"/>
      <w:r w:rsidRPr="008E75BA">
        <w:rPr>
          <w:rFonts w:ascii="Abadi" w:hAnsi="Abadi"/>
          <w:b/>
          <w:bCs/>
          <w:sz w:val="21"/>
          <w:szCs w:val="21"/>
        </w:rPr>
        <w:t>Presidencia.-</w:t>
      </w:r>
      <w:proofErr w:type="gramEnd"/>
      <w:r>
        <w:rPr>
          <w:rFonts w:ascii="Abadi" w:hAnsi="Abadi"/>
          <w:sz w:val="21"/>
          <w:szCs w:val="21"/>
        </w:rPr>
        <w:t xml:space="preserve"> </w:t>
      </w:r>
      <w:r w:rsidRPr="0021199F">
        <w:rPr>
          <w:rFonts w:ascii="Abadi" w:hAnsi="Abadi"/>
          <w:sz w:val="21"/>
          <w:szCs w:val="21"/>
        </w:rPr>
        <w:t xml:space="preserve">Procede someter a discusión </w:t>
      </w:r>
      <w:r>
        <w:rPr>
          <w:rFonts w:ascii="Abadi" w:hAnsi="Abadi"/>
          <w:sz w:val="21"/>
          <w:szCs w:val="21"/>
        </w:rPr>
        <w:t>el dictamen</w:t>
      </w:r>
      <w:r w:rsidRPr="0021199F">
        <w:rPr>
          <w:rFonts w:ascii="Abadi" w:hAnsi="Abadi"/>
          <w:sz w:val="21"/>
          <w:szCs w:val="21"/>
        </w:rPr>
        <w:t xml:space="preserve"> suscitó por la Comisión de Hacienda y Fiscalización relativo a la iniciativa formulada por las diputadas y los diputados integrantes del </w:t>
      </w:r>
      <w:r>
        <w:rPr>
          <w:rFonts w:ascii="Abadi" w:hAnsi="Abadi"/>
          <w:sz w:val="21"/>
          <w:szCs w:val="21"/>
        </w:rPr>
        <w:t>G</w:t>
      </w:r>
      <w:r w:rsidRPr="0021199F">
        <w:rPr>
          <w:rFonts w:ascii="Abadi" w:hAnsi="Abadi"/>
          <w:sz w:val="21"/>
          <w:szCs w:val="21"/>
        </w:rPr>
        <w:t xml:space="preserve">rupo </w:t>
      </w:r>
      <w:r>
        <w:rPr>
          <w:rFonts w:ascii="Abadi" w:hAnsi="Abadi"/>
          <w:sz w:val="21"/>
          <w:szCs w:val="21"/>
        </w:rPr>
        <w:t>P</w:t>
      </w:r>
      <w:r w:rsidRPr="0021199F">
        <w:rPr>
          <w:rFonts w:ascii="Abadi" w:hAnsi="Abadi"/>
          <w:sz w:val="21"/>
          <w:szCs w:val="21"/>
        </w:rPr>
        <w:t xml:space="preserve">arlamentario del Partido Revolucionario Institucional de la </w:t>
      </w:r>
      <w:r>
        <w:rPr>
          <w:rFonts w:ascii="Abadi" w:hAnsi="Abadi"/>
          <w:sz w:val="21"/>
          <w:szCs w:val="21"/>
        </w:rPr>
        <w:t>S</w:t>
      </w:r>
      <w:r w:rsidRPr="0021199F">
        <w:rPr>
          <w:rFonts w:ascii="Abadi" w:hAnsi="Abadi"/>
          <w:sz w:val="21"/>
          <w:szCs w:val="21"/>
        </w:rPr>
        <w:t xml:space="preserve">exagésima </w:t>
      </w:r>
      <w:r>
        <w:rPr>
          <w:rFonts w:ascii="Abadi" w:hAnsi="Abadi"/>
          <w:sz w:val="21"/>
          <w:szCs w:val="21"/>
        </w:rPr>
        <w:t>C</w:t>
      </w:r>
      <w:r w:rsidRPr="0021199F">
        <w:rPr>
          <w:rFonts w:ascii="Abadi" w:hAnsi="Abadi"/>
          <w:sz w:val="21"/>
          <w:szCs w:val="21"/>
        </w:rPr>
        <w:t xml:space="preserve">uarta </w:t>
      </w:r>
      <w:r>
        <w:rPr>
          <w:rFonts w:ascii="Abadi" w:hAnsi="Abadi"/>
          <w:sz w:val="21"/>
          <w:szCs w:val="21"/>
        </w:rPr>
        <w:t>L</w:t>
      </w:r>
      <w:r w:rsidRPr="0021199F">
        <w:rPr>
          <w:rFonts w:ascii="Abadi" w:hAnsi="Abadi"/>
          <w:sz w:val="21"/>
          <w:szCs w:val="21"/>
        </w:rPr>
        <w:t xml:space="preserve">egislatura, </w:t>
      </w:r>
      <w:r>
        <w:rPr>
          <w:rFonts w:ascii="Abadi" w:hAnsi="Abadi"/>
          <w:sz w:val="21"/>
          <w:szCs w:val="21"/>
        </w:rPr>
        <w:t>a e</w:t>
      </w:r>
      <w:r w:rsidRPr="0021199F">
        <w:rPr>
          <w:rFonts w:ascii="Abadi" w:hAnsi="Abadi"/>
          <w:sz w:val="21"/>
          <w:szCs w:val="21"/>
        </w:rPr>
        <w:t xml:space="preserve">fecto de reformar el artículo </w:t>
      </w:r>
      <w:r>
        <w:rPr>
          <w:rFonts w:ascii="Abadi" w:hAnsi="Abadi"/>
          <w:sz w:val="21"/>
          <w:szCs w:val="21"/>
        </w:rPr>
        <w:t>11</w:t>
      </w:r>
      <w:r w:rsidRPr="0021199F">
        <w:rPr>
          <w:rFonts w:ascii="Abadi" w:hAnsi="Abadi"/>
          <w:sz w:val="21"/>
          <w:szCs w:val="21"/>
        </w:rPr>
        <w:t xml:space="preserve"> y derogar el capítulo tres de</w:t>
      </w:r>
      <w:r>
        <w:rPr>
          <w:rFonts w:ascii="Abadi" w:hAnsi="Abadi"/>
          <w:sz w:val="21"/>
          <w:szCs w:val="21"/>
        </w:rPr>
        <w:t>l</w:t>
      </w:r>
      <w:r w:rsidRPr="0021199F">
        <w:rPr>
          <w:rFonts w:ascii="Abadi" w:hAnsi="Abadi"/>
          <w:sz w:val="21"/>
          <w:szCs w:val="21"/>
        </w:rPr>
        <w:t xml:space="preserve"> título Segundo de la Ley de Concesiones de Servicios e </w:t>
      </w:r>
      <w:r>
        <w:rPr>
          <w:rFonts w:ascii="Abadi" w:hAnsi="Abadi"/>
          <w:sz w:val="21"/>
          <w:szCs w:val="21"/>
        </w:rPr>
        <w:t>Infrae</w:t>
      </w:r>
      <w:r w:rsidRPr="0021199F">
        <w:rPr>
          <w:rFonts w:ascii="Abadi" w:hAnsi="Abadi"/>
          <w:sz w:val="21"/>
          <w:szCs w:val="21"/>
        </w:rPr>
        <w:t xml:space="preserve">structura Pública para el Estado de Guanajuato. </w:t>
      </w:r>
    </w:p>
    <w:p w14:paraId="007B4A63" w14:textId="77777777" w:rsidR="00ED75E4" w:rsidRDefault="00ED75E4" w:rsidP="00091F01">
      <w:pPr>
        <w:pStyle w:val="NormalWeb"/>
        <w:ind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Si alguna diputada o algún diputado de dese</w:t>
      </w:r>
      <w:r>
        <w:rPr>
          <w:rFonts w:ascii="Abadi" w:hAnsi="Abadi"/>
          <w:sz w:val="21"/>
          <w:szCs w:val="21"/>
        </w:rPr>
        <w:t>a</w:t>
      </w:r>
      <w:r w:rsidRPr="0021199F">
        <w:rPr>
          <w:rFonts w:ascii="Abadi" w:hAnsi="Abadi"/>
          <w:sz w:val="21"/>
          <w:szCs w:val="21"/>
        </w:rPr>
        <w:t xml:space="preserve"> hacer uso de la palabra en pro o en contra manifieste lo indicando el sentido de su participación </w:t>
      </w:r>
    </w:p>
    <w:p w14:paraId="14E17A21" w14:textId="1F041702" w:rsidR="00ED75E4" w:rsidRDefault="00ED75E4" w:rsidP="00091F01">
      <w:pPr>
        <w:pStyle w:val="NormalWeb"/>
        <w:ind w:firstLine="708"/>
        <w:jc w:val="both"/>
        <w:rPr>
          <w:rFonts w:ascii="Abadi" w:hAnsi="Abadi"/>
          <w:sz w:val="21"/>
          <w:szCs w:val="21"/>
        </w:rPr>
      </w:pPr>
      <w:r>
        <w:rPr>
          <w:rFonts w:ascii="Abadi" w:hAnsi="Abadi"/>
          <w:b/>
          <w:bCs/>
          <w:sz w:val="21"/>
          <w:szCs w:val="21"/>
        </w:rPr>
        <w:t>-</w:t>
      </w:r>
      <w:r>
        <w:rPr>
          <w:rFonts w:ascii="Abadi" w:hAnsi="Abadi"/>
          <w:sz w:val="21"/>
          <w:szCs w:val="21"/>
        </w:rPr>
        <w:t xml:space="preserve"> E</w:t>
      </w:r>
      <w:r w:rsidRPr="0021199F">
        <w:rPr>
          <w:rFonts w:ascii="Abadi" w:hAnsi="Abadi"/>
          <w:sz w:val="21"/>
          <w:szCs w:val="21"/>
        </w:rPr>
        <w:t>n virtud de n</w:t>
      </w:r>
      <w:r>
        <w:rPr>
          <w:rFonts w:ascii="Abadi" w:hAnsi="Abadi"/>
          <w:sz w:val="21"/>
          <w:szCs w:val="21"/>
        </w:rPr>
        <w:t>o haber</w:t>
      </w:r>
      <w:r w:rsidRPr="0021199F">
        <w:rPr>
          <w:rFonts w:ascii="Abadi" w:hAnsi="Abadi"/>
          <w:sz w:val="21"/>
          <w:szCs w:val="21"/>
        </w:rPr>
        <w:t xml:space="preserve"> participaciones, se pide la Secreta</w:t>
      </w:r>
      <w:r w:rsidR="00BF2771">
        <w:rPr>
          <w:rFonts w:ascii="Abadi" w:hAnsi="Abadi"/>
          <w:sz w:val="21"/>
          <w:szCs w:val="21"/>
        </w:rPr>
        <w:t>ria</w:t>
      </w:r>
      <w:r w:rsidRPr="0021199F">
        <w:rPr>
          <w:rFonts w:ascii="Abadi" w:hAnsi="Abadi"/>
          <w:sz w:val="21"/>
          <w:szCs w:val="21"/>
        </w:rPr>
        <w:t xml:space="preserve"> que proceda recabar votación nominal de la Asamblea a través del sistema electrónico</w:t>
      </w:r>
      <w:r>
        <w:rPr>
          <w:rFonts w:ascii="Abadi" w:hAnsi="Abadi"/>
          <w:sz w:val="21"/>
          <w:szCs w:val="21"/>
        </w:rPr>
        <w:t xml:space="preserve"> a e</w:t>
      </w:r>
      <w:r w:rsidRPr="0021199F">
        <w:rPr>
          <w:rFonts w:ascii="Abadi" w:hAnsi="Abadi"/>
          <w:sz w:val="21"/>
          <w:szCs w:val="21"/>
        </w:rPr>
        <w:t xml:space="preserve">fecto de aprobar o no el dictamen puesto </w:t>
      </w:r>
      <w:r>
        <w:rPr>
          <w:rFonts w:ascii="Abadi" w:hAnsi="Abadi"/>
          <w:sz w:val="21"/>
          <w:szCs w:val="21"/>
        </w:rPr>
        <w:t xml:space="preserve">a </w:t>
      </w:r>
      <w:r w:rsidRPr="0021199F">
        <w:rPr>
          <w:rFonts w:ascii="Abadi" w:hAnsi="Abadi"/>
          <w:sz w:val="21"/>
          <w:szCs w:val="21"/>
        </w:rPr>
        <w:t xml:space="preserve">su consideración. </w:t>
      </w:r>
    </w:p>
    <w:p w14:paraId="29170661" w14:textId="1798FA0C" w:rsidR="00ED75E4" w:rsidRPr="008E75BA" w:rsidRDefault="00ED75E4" w:rsidP="00091F01">
      <w:pPr>
        <w:pStyle w:val="NormalWeb"/>
        <w:jc w:val="center"/>
        <w:rPr>
          <w:rFonts w:ascii="Abadi" w:hAnsi="Abadi"/>
          <w:b/>
          <w:bCs/>
          <w:sz w:val="21"/>
          <w:szCs w:val="21"/>
        </w:rPr>
      </w:pPr>
      <w:r w:rsidRPr="008E75BA">
        <w:rPr>
          <w:rFonts w:ascii="Abadi" w:hAnsi="Abadi"/>
          <w:b/>
          <w:bCs/>
          <w:sz w:val="21"/>
          <w:szCs w:val="21"/>
        </w:rPr>
        <w:t>(</w:t>
      </w:r>
      <w:r w:rsidRPr="008E75BA">
        <w:rPr>
          <w:rFonts w:ascii="Abadi" w:hAnsi="Abadi"/>
          <w:b/>
          <w:sz w:val="21"/>
          <w:szCs w:val="21"/>
        </w:rPr>
        <w:t>Se abre el sistema electrónico</w:t>
      </w:r>
      <w:r w:rsidRPr="008E75BA">
        <w:rPr>
          <w:rFonts w:ascii="Abadi" w:hAnsi="Abadi"/>
          <w:b/>
          <w:bCs/>
          <w:sz w:val="21"/>
          <w:szCs w:val="21"/>
        </w:rPr>
        <w:t>)</w:t>
      </w:r>
    </w:p>
    <w:p w14:paraId="735C73AA" w14:textId="186B9D34" w:rsidR="00ED75E4" w:rsidRDefault="00091F01" w:rsidP="00091F01">
      <w:pPr>
        <w:pStyle w:val="NormalWeb"/>
        <w:ind w:firstLine="708"/>
        <w:jc w:val="both"/>
        <w:rPr>
          <w:rFonts w:ascii="Abadi" w:hAnsi="Abadi"/>
          <w:sz w:val="21"/>
          <w:szCs w:val="21"/>
        </w:rPr>
      </w:pPr>
      <w:r>
        <w:rPr>
          <w:rFonts w:ascii="Abadi" w:hAnsi="Abadi"/>
          <w:b/>
          <w:bCs/>
          <w:sz w:val="21"/>
          <w:szCs w:val="21"/>
        </w:rPr>
        <w:t xml:space="preserve">- </w:t>
      </w:r>
      <w:r w:rsidR="00ED75E4">
        <w:rPr>
          <w:rFonts w:ascii="Abadi" w:hAnsi="Abadi"/>
          <w:b/>
          <w:bCs/>
          <w:sz w:val="21"/>
          <w:szCs w:val="21"/>
        </w:rPr>
        <w:t>L</w:t>
      </w:r>
      <w:r w:rsidR="00ED75E4" w:rsidRPr="008E75BA">
        <w:rPr>
          <w:rFonts w:ascii="Abadi" w:hAnsi="Abadi"/>
          <w:b/>
          <w:bCs/>
          <w:sz w:val="21"/>
          <w:szCs w:val="21"/>
        </w:rPr>
        <w:t xml:space="preserve">a </w:t>
      </w:r>
      <w:proofErr w:type="gramStart"/>
      <w:r w:rsidR="00ED75E4" w:rsidRPr="008E75BA">
        <w:rPr>
          <w:rFonts w:ascii="Abadi" w:hAnsi="Abadi"/>
          <w:b/>
          <w:bCs/>
          <w:sz w:val="21"/>
          <w:szCs w:val="21"/>
        </w:rPr>
        <w:t>Secretar</w:t>
      </w:r>
      <w:r w:rsidR="00ED75E4">
        <w:rPr>
          <w:rFonts w:ascii="Abadi" w:hAnsi="Abadi"/>
          <w:b/>
          <w:bCs/>
          <w:sz w:val="21"/>
          <w:szCs w:val="21"/>
        </w:rPr>
        <w:t>i</w:t>
      </w:r>
      <w:r w:rsidR="00ED75E4" w:rsidRPr="008E75BA">
        <w:rPr>
          <w:rFonts w:ascii="Abadi" w:hAnsi="Abadi"/>
          <w:b/>
          <w:bCs/>
          <w:sz w:val="21"/>
          <w:szCs w:val="21"/>
        </w:rPr>
        <w:t>a.-</w:t>
      </w:r>
      <w:proofErr w:type="gramEnd"/>
      <w:r w:rsidR="00ED75E4">
        <w:rPr>
          <w:rFonts w:ascii="Abadi" w:hAnsi="Abadi"/>
          <w:sz w:val="21"/>
          <w:szCs w:val="21"/>
        </w:rPr>
        <w:t xml:space="preserve"> E</w:t>
      </w:r>
      <w:r w:rsidR="00ED75E4" w:rsidRPr="0021199F">
        <w:rPr>
          <w:rFonts w:ascii="Abadi" w:hAnsi="Abadi"/>
          <w:sz w:val="21"/>
          <w:szCs w:val="21"/>
        </w:rPr>
        <w:t>n votación nominal por el sistema electrónico</w:t>
      </w:r>
      <w:r w:rsidR="00ED75E4">
        <w:rPr>
          <w:rFonts w:ascii="Abadi" w:hAnsi="Abadi"/>
          <w:sz w:val="21"/>
          <w:szCs w:val="21"/>
        </w:rPr>
        <w:t>, s</w:t>
      </w:r>
      <w:r w:rsidR="00ED75E4" w:rsidRPr="0021199F">
        <w:rPr>
          <w:rFonts w:ascii="Abadi" w:hAnsi="Abadi"/>
          <w:sz w:val="21"/>
          <w:szCs w:val="21"/>
        </w:rPr>
        <w:t xml:space="preserve">e pregunta a las diputadas </w:t>
      </w:r>
      <w:r w:rsidR="00ED75E4">
        <w:rPr>
          <w:rFonts w:ascii="Abadi" w:hAnsi="Abadi"/>
          <w:sz w:val="21"/>
          <w:szCs w:val="21"/>
        </w:rPr>
        <w:t xml:space="preserve">y a los </w:t>
      </w:r>
      <w:r w:rsidR="00ED75E4" w:rsidRPr="0021199F">
        <w:rPr>
          <w:rFonts w:ascii="Abadi" w:hAnsi="Abadi"/>
          <w:sz w:val="21"/>
          <w:szCs w:val="21"/>
        </w:rPr>
        <w:t xml:space="preserve"> diputados si se apr</w:t>
      </w:r>
      <w:r w:rsidR="00ED75E4">
        <w:rPr>
          <w:rFonts w:ascii="Abadi" w:hAnsi="Abadi"/>
          <w:sz w:val="21"/>
          <w:szCs w:val="21"/>
        </w:rPr>
        <w:t>ueba</w:t>
      </w:r>
      <w:r w:rsidR="00ED75E4" w:rsidRPr="0021199F">
        <w:rPr>
          <w:rFonts w:ascii="Abadi" w:hAnsi="Abadi"/>
          <w:sz w:val="21"/>
          <w:szCs w:val="21"/>
        </w:rPr>
        <w:t xml:space="preserve"> e</w:t>
      </w:r>
      <w:r w:rsidR="00ED75E4">
        <w:rPr>
          <w:rFonts w:ascii="Abadi" w:hAnsi="Abadi"/>
          <w:sz w:val="21"/>
          <w:szCs w:val="21"/>
        </w:rPr>
        <w:t>l</w:t>
      </w:r>
      <w:r w:rsidR="00ED75E4" w:rsidRPr="0021199F">
        <w:rPr>
          <w:rFonts w:ascii="Abadi" w:hAnsi="Abadi"/>
          <w:sz w:val="21"/>
          <w:szCs w:val="21"/>
        </w:rPr>
        <w:t xml:space="preserve"> </w:t>
      </w:r>
      <w:r w:rsidR="00ED75E4">
        <w:rPr>
          <w:rFonts w:ascii="Abadi" w:hAnsi="Abadi"/>
          <w:sz w:val="21"/>
          <w:szCs w:val="21"/>
        </w:rPr>
        <w:t xml:space="preserve">dictamen </w:t>
      </w:r>
      <w:r w:rsidR="00ED75E4" w:rsidRPr="0021199F">
        <w:rPr>
          <w:rFonts w:ascii="Abadi" w:hAnsi="Abadi"/>
          <w:sz w:val="21"/>
          <w:szCs w:val="21"/>
        </w:rPr>
        <w:t xml:space="preserve">puesto a su consideración. </w:t>
      </w:r>
      <w:r w:rsidR="00ED75E4">
        <w:rPr>
          <w:rFonts w:ascii="Abadi" w:hAnsi="Abadi"/>
          <w:sz w:val="21"/>
          <w:szCs w:val="21"/>
        </w:rPr>
        <w:t>¿</w:t>
      </w:r>
      <w:r w:rsidR="00ED75E4" w:rsidRPr="0021199F">
        <w:rPr>
          <w:rFonts w:ascii="Abadi" w:hAnsi="Abadi"/>
          <w:sz w:val="21"/>
          <w:szCs w:val="21"/>
        </w:rPr>
        <w:t>Diputada Alma Ed</w:t>
      </w:r>
      <w:r w:rsidR="00ED75E4">
        <w:rPr>
          <w:rFonts w:ascii="Abadi" w:hAnsi="Abadi"/>
          <w:sz w:val="21"/>
          <w:szCs w:val="21"/>
        </w:rPr>
        <w:t>wviges?</w:t>
      </w:r>
      <w:r w:rsidR="00ED75E4" w:rsidRPr="0021199F">
        <w:rPr>
          <w:rFonts w:ascii="Abadi" w:hAnsi="Abadi"/>
          <w:sz w:val="21"/>
          <w:szCs w:val="21"/>
        </w:rPr>
        <w:t xml:space="preserve"> Gracias, diputada. </w:t>
      </w:r>
    </w:p>
    <w:p w14:paraId="3CCE40B3" w14:textId="77777777" w:rsidR="00ED75E4" w:rsidRDefault="00ED75E4" w:rsidP="00ED75E4">
      <w:pPr>
        <w:pStyle w:val="NormalWeb"/>
        <w:jc w:val="both"/>
        <w:rPr>
          <w:rFonts w:ascii="Abadi" w:hAnsi="Abadi"/>
          <w:sz w:val="21"/>
          <w:szCs w:val="21"/>
        </w:rPr>
      </w:pPr>
      <w:r>
        <w:rPr>
          <w:rFonts w:ascii="Abadi" w:hAnsi="Abadi"/>
          <w:sz w:val="21"/>
          <w:szCs w:val="21"/>
        </w:rPr>
        <w:t>¿</w:t>
      </w:r>
      <w:r w:rsidRPr="0021199F">
        <w:rPr>
          <w:rFonts w:ascii="Abadi" w:hAnsi="Abadi"/>
          <w:sz w:val="21"/>
          <w:szCs w:val="21"/>
        </w:rPr>
        <w:t>Falta alguna diputad</w:t>
      </w:r>
      <w:r>
        <w:rPr>
          <w:rFonts w:ascii="Abadi" w:hAnsi="Abadi"/>
          <w:sz w:val="21"/>
          <w:szCs w:val="21"/>
        </w:rPr>
        <w:t>a</w:t>
      </w:r>
      <w:r w:rsidRPr="0021199F">
        <w:rPr>
          <w:rFonts w:ascii="Abadi" w:hAnsi="Abadi"/>
          <w:sz w:val="21"/>
          <w:szCs w:val="21"/>
        </w:rPr>
        <w:t xml:space="preserve">, algún diputado de emitir su voto? </w:t>
      </w:r>
    </w:p>
    <w:p w14:paraId="4F94DF87" w14:textId="77777777" w:rsidR="00ED75E4" w:rsidRDefault="00ED75E4" w:rsidP="00091F01">
      <w:pPr>
        <w:pStyle w:val="NormalWeb"/>
        <w:jc w:val="center"/>
        <w:rPr>
          <w:rFonts w:ascii="Abadi" w:hAnsi="Abadi"/>
          <w:b/>
          <w:bCs/>
          <w:sz w:val="21"/>
          <w:szCs w:val="21"/>
        </w:rPr>
      </w:pPr>
      <w:r w:rsidRPr="008E75BA">
        <w:rPr>
          <w:rFonts w:ascii="Abadi" w:hAnsi="Abadi"/>
          <w:b/>
          <w:bCs/>
          <w:sz w:val="21"/>
          <w:szCs w:val="21"/>
        </w:rPr>
        <w:t>(</w:t>
      </w:r>
      <w:r w:rsidRPr="008E75BA">
        <w:rPr>
          <w:rFonts w:ascii="Abadi" w:hAnsi="Abadi"/>
          <w:b/>
          <w:sz w:val="21"/>
          <w:szCs w:val="21"/>
        </w:rPr>
        <w:t>Se cierra el sistema electrónico</w:t>
      </w:r>
      <w:r w:rsidRPr="008E75BA">
        <w:rPr>
          <w:rFonts w:ascii="Abadi" w:hAnsi="Abadi"/>
          <w:b/>
          <w:bCs/>
          <w:sz w:val="21"/>
          <w:szCs w:val="21"/>
        </w:rPr>
        <w:t>)</w:t>
      </w:r>
    </w:p>
    <w:p w14:paraId="274ECCA4" w14:textId="77777777" w:rsidR="00ED75E4" w:rsidRPr="008E75BA" w:rsidRDefault="00ED75E4" w:rsidP="00ED75E4">
      <w:pPr>
        <w:pStyle w:val="NormalWeb"/>
        <w:jc w:val="both"/>
        <w:rPr>
          <w:rFonts w:ascii="Abadi" w:hAnsi="Abadi"/>
          <w:b/>
          <w:bCs/>
          <w:sz w:val="21"/>
          <w:szCs w:val="21"/>
        </w:rPr>
      </w:pPr>
      <w:r>
        <w:rPr>
          <w:noProof/>
        </w:rPr>
        <w:drawing>
          <wp:inline distT="0" distB="0" distL="0" distR="0" wp14:anchorId="2259E162" wp14:editId="6D2823E5">
            <wp:extent cx="2009775" cy="1129959"/>
            <wp:effectExtent l="152400" t="152400" r="352425" b="356235"/>
            <wp:docPr id="55" name="Imagen 55"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nterfaz de usuario gráfica, Texto, Aplicación, Chat o mensaje de texto&#10;&#10;Descripción generada automáticamente"/>
                    <pic:cNvPicPr/>
                  </pic:nvPicPr>
                  <pic:blipFill>
                    <a:blip r:embed="rId68"/>
                    <a:stretch>
                      <a:fillRect/>
                    </a:stretch>
                  </pic:blipFill>
                  <pic:spPr>
                    <a:xfrm>
                      <a:off x="0" y="0"/>
                      <a:ext cx="2023415" cy="1137628"/>
                    </a:xfrm>
                    <a:prstGeom prst="rect">
                      <a:avLst/>
                    </a:prstGeom>
                    <a:ln>
                      <a:noFill/>
                    </a:ln>
                    <a:effectLst>
                      <a:outerShdw blurRad="292100" dist="139700" dir="2700000" algn="tl" rotWithShape="0">
                        <a:srgbClr val="333333">
                          <a:alpha val="65000"/>
                        </a:srgbClr>
                      </a:outerShdw>
                    </a:effectLst>
                  </pic:spPr>
                </pic:pic>
              </a:graphicData>
            </a:graphic>
          </wp:inline>
        </w:drawing>
      </w:r>
    </w:p>
    <w:p w14:paraId="150D87D9" w14:textId="13152350" w:rsidR="00ED75E4" w:rsidRDefault="00091F01" w:rsidP="00091F01">
      <w:pPr>
        <w:pStyle w:val="NormalWeb"/>
        <w:ind w:firstLine="708"/>
        <w:jc w:val="both"/>
        <w:rPr>
          <w:rFonts w:ascii="Abadi" w:hAnsi="Abadi"/>
          <w:sz w:val="21"/>
          <w:szCs w:val="21"/>
        </w:rPr>
      </w:pPr>
      <w:r>
        <w:rPr>
          <w:rFonts w:ascii="Abadi" w:hAnsi="Abadi"/>
          <w:b/>
          <w:bCs/>
          <w:sz w:val="21"/>
          <w:szCs w:val="21"/>
        </w:rPr>
        <w:t xml:space="preserve">- </w:t>
      </w:r>
      <w:r w:rsidR="00ED75E4" w:rsidRPr="008E75BA">
        <w:rPr>
          <w:rFonts w:ascii="Abadi" w:hAnsi="Abadi"/>
          <w:b/>
          <w:bCs/>
          <w:sz w:val="21"/>
          <w:szCs w:val="21"/>
        </w:rPr>
        <w:t xml:space="preserve">La </w:t>
      </w:r>
      <w:proofErr w:type="gramStart"/>
      <w:r w:rsidR="00ED75E4" w:rsidRPr="008E75BA">
        <w:rPr>
          <w:rFonts w:ascii="Abadi" w:hAnsi="Abadi"/>
          <w:b/>
          <w:bCs/>
          <w:sz w:val="21"/>
          <w:szCs w:val="21"/>
        </w:rPr>
        <w:t>Secretar</w:t>
      </w:r>
      <w:r w:rsidR="00ED75E4">
        <w:rPr>
          <w:rFonts w:ascii="Abadi" w:hAnsi="Abadi"/>
          <w:b/>
          <w:bCs/>
          <w:sz w:val="21"/>
          <w:szCs w:val="21"/>
        </w:rPr>
        <w:t>i</w:t>
      </w:r>
      <w:r w:rsidR="00ED75E4" w:rsidRPr="008E75BA">
        <w:rPr>
          <w:rFonts w:ascii="Abadi" w:hAnsi="Abadi"/>
          <w:b/>
          <w:bCs/>
          <w:sz w:val="21"/>
          <w:szCs w:val="21"/>
        </w:rPr>
        <w:t>a.-</w:t>
      </w:r>
      <w:proofErr w:type="gramEnd"/>
      <w:r w:rsidR="00ED75E4" w:rsidRPr="0021199F">
        <w:rPr>
          <w:rFonts w:ascii="Abadi" w:hAnsi="Abadi"/>
          <w:sz w:val="21"/>
          <w:szCs w:val="21"/>
        </w:rPr>
        <w:t xml:space="preserve"> Se registraron </w:t>
      </w:r>
      <w:r w:rsidR="00ED75E4">
        <w:rPr>
          <w:rFonts w:ascii="Abadi" w:hAnsi="Abadi"/>
          <w:sz w:val="21"/>
          <w:szCs w:val="21"/>
        </w:rPr>
        <w:t>32</w:t>
      </w:r>
      <w:r w:rsidR="00ED75E4" w:rsidRPr="0021199F">
        <w:rPr>
          <w:rFonts w:ascii="Abadi" w:hAnsi="Abadi"/>
          <w:sz w:val="21"/>
          <w:szCs w:val="21"/>
        </w:rPr>
        <w:t xml:space="preserve"> votos a favor. </w:t>
      </w:r>
    </w:p>
    <w:p w14:paraId="43214242" w14:textId="4E55F2EB" w:rsidR="00ED75E4" w:rsidRDefault="00091F01" w:rsidP="00091F01">
      <w:pPr>
        <w:pStyle w:val="NormalWeb"/>
        <w:ind w:firstLine="708"/>
        <w:jc w:val="both"/>
        <w:rPr>
          <w:rFonts w:ascii="Abadi" w:hAnsi="Abadi"/>
          <w:sz w:val="21"/>
          <w:szCs w:val="21"/>
        </w:rPr>
      </w:pPr>
      <w:r>
        <w:rPr>
          <w:rFonts w:ascii="Abadi" w:hAnsi="Abadi"/>
          <w:b/>
          <w:bCs/>
          <w:sz w:val="21"/>
          <w:szCs w:val="21"/>
        </w:rPr>
        <w:t xml:space="preserve">- </w:t>
      </w:r>
      <w:r w:rsidR="00ED75E4" w:rsidRPr="008E75BA">
        <w:rPr>
          <w:rFonts w:ascii="Abadi" w:hAnsi="Abadi"/>
          <w:b/>
          <w:bCs/>
          <w:sz w:val="21"/>
          <w:szCs w:val="21"/>
        </w:rPr>
        <w:t xml:space="preserve">La </w:t>
      </w:r>
      <w:proofErr w:type="gramStart"/>
      <w:r w:rsidR="00ED75E4" w:rsidRPr="008E75BA">
        <w:rPr>
          <w:rFonts w:ascii="Abadi" w:hAnsi="Abadi"/>
          <w:b/>
          <w:bCs/>
          <w:sz w:val="21"/>
          <w:szCs w:val="21"/>
        </w:rPr>
        <w:t>Presidencia.-</w:t>
      </w:r>
      <w:proofErr w:type="gramEnd"/>
      <w:r w:rsidR="00ED75E4">
        <w:rPr>
          <w:rFonts w:ascii="Abadi" w:hAnsi="Abadi"/>
          <w:sz w:val="21"/>
          <w:szCs w:val="21"/>
        </w:rPr>
        <w:t xml:space="preserve"> </w:t>
      </w:r>
      <w:r w:rsidR="00ED75E4" w:rsidRPr="0021199F">
        <w:rPr>
          <w:rFonts w:ascii="Abadi" w:hAnsi="Abadi"/>
          <w:sz w:val="21"/>
          <w:szCs w:val="21"/>
        </w:rPr>
        <w:t xml:space="preserve">El dictamen ha sido aprobado por unanimidad de votos. </w:t>
      </w:r>
    </w:p>
    <w:p w14:paraId="1E0C9DB5" w14:textId="4835F484" w:rsidR="003C656F" w:rsidRDefault="00091F01" w:rsidP="0048400F">
      <w:pPr>
        <w:pStyle w:val="NormalWeb"/>
        <w:ind w:firstLine="426"/>
        <w:jc w:val="both"/>
        <w:rPr>
          <w:rFonts w:ascii="Abadi" w:hAnsi="Abadi"/>
          <w:b/>
          <w:bCs/>
          <w:i/>
          <w:iCs/>
          <w:sz w:val="21"/>
          <w:szCs w:val="21"/>
          <w:u w:val="single"/>
        </w:rPr>
      </w:pPr>
      <w:r>
        <w:rPr>
          <w:rFonts w:ascii="Abadi" w:hAnsi="Abadi"/>
          <w:sz w:val="21"/>
          <w:szCs w:val="21"/>
        </w:rPr>
        <w:t xml:space="preserve">- </w:t>
      </w:r>
      <w:r w:rsidR="00ED75E4" w:rsidRPr="0021199F">
        <w:rPr>
          <w:rFonts w:ascii="Abadi" w:hAnsi="Abadi"/>
          <w:sz w:val="21"/>
          <w:szCs w:val="21"/>
        </w:rPr>
        <w:t>En consecuencia</w:t>
      </w:r>
      <w:r w:rsidR="00ED75E4">
        <w:rPr>
          <w:rFonts w:ascii="Abadi" w:hAnsi="Abadi"/>
          <w:sz w:val="21"/>
          <w:szCs w:val="21"/>
        </w:rPr>
        <w:t>.</w:t>
      </w:r>
    </w:p>
    <w:p w14:paraId="54BAEE6E" w14:textId="4F983A97" w:rsidR="00ED75E4" w:rsidRPr="00F90436" w:rsidRDefault="00ED75E4" w:rsidP="00091F01">
      <w:pPr>
        <w:pStyle w:val="NormalWeb"/>
        <w:ind w:left="426" w:right="354"/>
        <w:jc w:val="both"/>
        <w:rPr>
          <w:rFonts w:ascii="Abadi" w:hAnsi="Abadi"/>
          <w:b/>
          <w:bCs/>
          <w:i/>
          <w:iCs/>
          <w:sz w:val="21"/>
          <w:szCs w:val="21"/>
          <w:u w:val="single"/>
        </w:rPr>
      </w:pPr>
      <w:r w:rsidRPr="00F90436">
        <w:rPr>
          <w:rFonts w:ascii="Abadi" w:hAnsi="Abadi"/>
          <w:b/>
          <w:bCs/>
          <w:i/>
          <w:iCs/>
          <w:sz w:val="21"/>
          <w:szCs w:val="21"/>
          <w:u w:val="single"/>
        </w:rPr>
        <w:t>Se instruye a la Secretaría General para que proceda al archivo definitivo de la iniciativa referida en el dictamen aprobado.</w:t>
      </w:r>
    </w:p>
    <w:p w14:paraId="397AA445" w14:textId="20E94B07" w:rsidR="00021259" w:rsidRDefault="00021259" w:rsidP="00343CA9">
      <w:pPr>
        <w:pStyle w:val="Prrafodelista"/>
        <w:numPr>
          <w:ilvl w:val="0"/>
          <w:numId w:val="28"/>
        </w:numPr>
        <w:autoSpaceDE w:val="0"/>
        <w:autoSpaceDN w:val="0"/>
        <w:adjustRightInd w:val="0"/>
        <w:ind w:left="426"/>
        <w:jc w:val="both"/>
        <w:rPr>
          <w:rFonts w:ascii="Abadi" w:hAnsi="Abadi" w:cs="ArialMT"/>
          <w:b/>
          <w:bCs/>
          <w:sz w:val="20"/>
          <w:szCs w:val="21"/>
        </w:rPr>
      </w:pPr>
      <w:r w:rsidRPr="00300604">
        <w:rPr>
          <w:rFonts w:ascii="Abadi" w:hAnsi="Abadi" w:cs="ArialMT"/>
          <w:b/>
          <w:bCs/>
          <w:sz w:val="20"/>
          <w:szCs w:val="21"/>
        </w:rPr>
        <w:t>DISCUSIÓN Y, EN SU CASO, APROBACIÓN DEL DICTAMEN SUSCRITO POR LA COMISIÓN DE HACIENDA Y FISCALIZACIÓN RELATIVO A LA INICIATIVA FORMULADA POR LA DIPUTADA Y EL DIPUTADO INTEGRANTES DEL GRUPO PARLAMENTARIO DEL PARTIDO VERDE ECOLOGISTA DE MÉXICO DE LA SEXAGÉSIMA CUARTA LEGISLATURA, A EFECTO</w:t>
      </w:r>
      <w:r w:rsidR="00300604" w:rsidRPr="00300604">
        <w:rPr>
          <w:rFonts w:ascii="Abadi" w:hAnsi="Abadi" w:cs="ArialMT"/>
          <w:b/>
          <w:bCs/>
          <w:sz w:val="20"/>
          <w:szCs w:val="21"/>
        </w:rPr>
        <w:t xml:space="preserve"> </w:t>
      </w:r>
      <w:r w:rsidRPr="00300604">
        <w:rPr>
          <w:rFonts w:ascii="Abadi" w:hAnsi="Abadi" w:cs="ArialMT"/>
          <w:b/>
          <w:bCs/>
          <w:sz w:val="20"/>
          <w:szCs w:val="21"/>
        </w:rPr>
        <w:t>DE REFORMAR Y ADICIONAR DIVERSOS ARTÍCULOS DE LA LEY PARA EL EJERCICIO Y CONTROL DE LOS RECURSOS PÚBLICOS PARA EL ESTADO Y LOS MUNICIPIOS DE GUANAJUATO, Y DEROGAR LA FRACCIÓN X DEL ARTÍCULO 276 DE LA LEY ORGÁNICA DEL PODER LEGISLATIVO DEL ESTADO DE GUANAJUATO.</w:t>
      </w:r>
    </w:p>
    <w:p w14:paraId="30F00218" w14:textId="60D3C280" w:rsidR="00023B8F" w:rsidRDefault="00023B8F" w:rsidP="00023B8F">
      <w:pPr>
        <w:autoSpaceDE w:val="0"/>
        <w:autoSpaceDN w:val="0"/>
        <w:adjustRightInd w:val="0"/>
        <w:jc w:val="both"/>
        <w:rPr>
          <w:rFonts w:ascii="Abadi" w:hAnsi="Abadi" w:cs="ArialMT"/>
          <w:b/>
          <w:bCs/>
          <w:sz w:val="20"/>
          <w:szCs w:val="21"/>
        </w:rPr>
      </w:pPr>
    </w:p>
    <w:p w14:paraId="36D983EA" w14:textId="51A67290" w:rsidR="00023B8F" w:rsidRDefault="00023B8F" w:rsidP="00023B8F">
      <w:pPr>
        <w:autoSpaceDE w:val="0"/>
        <w:autoSpaceDN w:val="0"/>
        <w:adjustRightInd w:val="0"/>
        <w:jc w:val="both"/>
        <w:rPr>
          <w:rFonts w:ascii="Abadi" w:hAnsi="Abadi" w:cs="ArialMT"/>
          <w:b/>
          <w:bCs/>
          <w:sz w:val="20"/>
          <w:szCs w:val="21"/>
        </w:rPr>
      </w:pPr>
    </w:p>
    <w:p w14:paraId="132B16F0" w14:textId="77777777" w:rsidR="00F91FB5" w:rsidRPr="00991A56" w:rsidRDefault="00F91FB5" w:rsidP="00F91FB5">
      <w:pPr>
        <w:autoSpaceDE w:val="0"/>
        <w:autoSpaceDN w:val="0"/>
        <w:adjustRightInd w:val="0"/>
        <w:jc w:val="both"/>
        <w:rPr>
          <w:rFonts w:ascii="Abadi" w:hAnsi="Abadi" w:cs="*Verdana-Bold-9087-Identity-H"/>
          <w:b/>
          <w:bCs/>
          <w:color w:val="0F0E13"/>
          <w:sz w:val="21"/>
          <w:szCs w:val="21"/>
        </w:rPr>
      </w:pPr>
      <w:r w:rsidRPr="00991A56">
        <w:rPr>
          <w:rFonts w:ascii="Abadi" w:hAnsi="Abadi" w:cs="*Verdana-Bold-9087-Identity-H"/>
          <w:b/>
          <w:bCs/>
          <w:color w:val="0F0E13"/>
          <w:sz w:val="21"/>
          <w:szCs w:val="21"/>
        </w:rPr>
        <w:t>C. PRESIDENTA DEL CONGRESO DEL ESTADO</w:t>
      </w:r>
    </w:p>
    <w:p w14:paraId="771BA0F1" w14:textId="77777777" w:rsidR="00F91FB5" w:rsidRDefault="00F91FB5" w:rsidP="00F91FB5">
      <w:pPr>
        <w:autoSpaceDE w:val="0"/>
        <w:autoSpaceDN w:val="0"/>
        <w:adjustRightInd w:val="0"/>
        <w:jc w:val="both"/>
        <w:rPr>
          <w:rFonts w:ascii="Abadi" w:hAnsi="Abadi" w:cs="*Verdana-Bold-9087-Identity-H"/>
          <w:b/>
          <w:bCs/>
          <w:color w:val="0F0E13"/>
          <w:sz w:val="21"/>
          <w:szCs w:val="21"/>
        </w:rPr>
      </w:pPr>
      <w:r w:rsidRPr="00991A56">
        <w:rPr>
          <w:rFonts w:ascii="Abadi" w:hAnsi="Abadi" w:cs="*Verdana-Bold-9087-Identity-H"/>
          <w:b/>
          <w:bCs/>
          <w:color w:val="0F0E13"/>
          <w:sz w:val="21"/>
          <w:szCs w:val="21"/>
        </w:rPr>
        <w:t>P R</w:t>
      </w:r>
      <w:r>
        <w:rPr>
          <w:rFonts w:ascii="Abadi" w:hAnsi="Abadi" w:cs="*Verdana-Bold-9087-Identity-H"/>
          <w:b/>
          <w:bCs/>
          <w:color w:val="0F0E13"/>
          <w:sz w:val="21"/>
          <w:szCs w:val="21"/>
        </w:rPr>
        <w:t xml:space="preserve"> </w:t>
      </w:r>
      <w:r w:rsidRPr="00991A56">
        <w:rPr>
          <w:rFonts w:ascii="Abadi" w:hAnsi="Abadi" w:cs="*Verdana-Bold-9087-Identity-H"/>
          <w:b/>
          <w:bCs/>
          <w:color w:val="0F0E13"/>
          <w:sz w:val="21"/>
          <w:szCs w:val="21"/>
        </w:rPr>
        <w:t>E</w:t>
      </w:r>
      <w:r>
        <w:rPr>
          <w:rFonts w:ascii="Abadi" w:hAnsi="Abadi" w:cs="*Verdana-Bold-9087-Identity-H"/>
          <w:b/>
          <w:bCs/>
          <w:color w:val="0F0E13"/>
          <w:sz w:val="21"/>
          <w:szCs w:val="21"/>
        </w:rPr>
        <w:t xml:space="preserve"> </w:t>
      </w:r>
      <w:r w:rsidRPr="00991A56">
        <w:rPr>
          <w:rFonts w:ascii="Abadi" w:hAnsi="Abadi" w:cs="*Verdana-Bold-9087-Identity-H"/>
          <w:b/>
          <w:bCs/>
          <w:color w:val="0F0E13"/>
          <w:sz w:val="21"/>
          <w:szCs w:val="21"/>
        </w:rPr>
        <w:t>S</w:t>
      </w:r>
      <w:r>
        <w:rPr>
          <w:rFonts w:ascii="Abadi" w:hAnsi="Abadi" w:cs="*Verdana-Bold-9087-Identity-H"/>
          <w:b/>
          <w:bCs/>
          <w:color w:val="0F0E13"/>
          <w:sz w:val="21"/>
          <w:szCs w:val="21"/>
        </w:rPr>
        <w:t xml:space="preserve"> </w:t>
      </w:r>
      <w:r w:rsidRPr="00991A56">
        <w:rPr>
          <w:rFonts w:ascii="Abadi" w:hAnsi="Abadi" w:cs="*Verdana-Bold-9087-Identity-H"/>
          <w:b/>
          <w:bCs/>
          <w:color w:val="0F0E13"/>
          <w:sz w:val="21"/>
          <w:szCs w:val="21"/>
        </w:rPr>
        <w:t>E</w:t>
      </w:r>
      <w:r>
        <w:rPr>
          <w:rFonts w:ascii="Abadi" w:hAnsi="Abadi" w:cs="*Verdana-Bold-9087-Identity-H"/>
          <w:b/>
          <w:bCs/>
          <w:color w:val="0F0E13"/>
          <w:sz w:val="21"/>
          <w:szCs w:val="21"/>
        </w:rPr>
        <w:t xml:space="preserve"> </w:t>
      </w:r>
      <w:r w:rsidRPr="00991A56">
        <w:rPr>
          <w:rFonts w:ascii="Abadi" w:hAnsi="Abadi" w:cs="*Verdana-Bold-9087-Identity-H"/>
          <w:b/>
          <w:bCs/>
          <w:color w:val="0F0E13"/>
          <w:sz w:val="21"/>
          <w:szCs w:val="21"/>
        </w:rPr>
        <w:t>N</w:t>
      </w:r>
      <w:r>
        <w:rPr>
          <w:rFonts w:ascii="Abadi" w:hAnsi="Abadi" w:cs="*Verdana-Bold-9087-Identity-H"/>
          <w:b/>
          <w:bCs/>
          <w:color w:val="0F0E13"/>
          <w:sz w:val="21"/>
          <w:szCs w:val="21"/>
        </w:rPr>
        <w:t xml:space="preserve"> </w:t>
      </w:r>
      <w:r w:rsidRPr="00991A56">
        <w:rPr>
          <w:rFonts w:ascii="Abadi" w:hAnsi="Abadi" w:cs="*Verdana-Bold-9087-Identity-H"/>
          <w:b/>
          <w:bCs/>
          <w:color w:val="0F0E13"/>
          <w:sz w:val="21"/>
          <w:szCs w:val="21"/>
        </w:rPr>
        <w:t>T</w:t>
      </w:r>
      <w:r>
        <w:rPr>
          <w:rFonts w:ascii="Abadi" w:hAnsi="Abadi" w:cs="*Verdana-Bold-9087-Identity-H"/>
          <w:b/>
          <w:bCs/>
          <w:color w:val="0F0E13"/>
          <w:sz w:val="21"/>
          <w:szCs w:val="21"/>
        </w:rPr>
        <w:t xml:space="preserve"> </w:t>
      </w:r>
      <w:r w:rsidRPr="00991A56">
        <w:rPr>
          <w:rFonts w:ascii="Abadi" w:hAnsi="Abadi" w:cs="*Verdana-Bold-9087-Identity-H"/>
          <w:b/>
          <w:bCs/>
          <w:color w:val="0F0E13"/>
          <w:sz w:val="21"/>
          <w:szCs w:val="21"/>
        </w:rPr>
        <w:t>E.</w:t>
      </w:r>
    </w:p>
    <w:p w14:paraId="79FA40BF" w14:textId="77777777" w:rsidR="00F91FB5" w:rsidRPr="00991A56" w:rsidRDefault="00F91FB5" w:rsidP="00F91FB5">
      <w:pPr>
        <w:autoSpaceDE w:val="0"/>
        <w:autoSpaceDN w:val="0"/>
        <w:adjustRightInd w:val="0"/>
        <w:jc w:val="both"/>
        <w:rPr>
          <w:rFonts w:ascii="Abadi" w:hAnsi="Abadi" w:cs="*Verdana-Bold-9087-Identity-H"/>
          <w:b/>
          <w:bCs/>
          <w:color w:val="0F0E13"/>
          <w:sz w:val="21"/>
          <w:szCs w:val="21"/>
        </w:rPr>
      </w:pPr>
    </w:p>
    <w:p w14:paraId="1092E1B1" w14:textId="77777777" w:rsidR="00F91FB5" w:rsidRDefault="00F91FB5" w:rsidP="00F91FB5">
      <w:pPr>
        <w:autoSpaceDE w:val="0"/>
        <w:autoSpaceDN w:val="0"/>
        <w:adjustRightInd w:val="0"/>
        <w:ind w:firstLine="708"/>
        <w:jc w:val="both"/>
        <w:rPr>
          <w:rFonts w:ascii="Abadi" w:hAnsi="Abadi" w:cs="*Verdana-9085-Identity-H"/>
          <w:color w:val="111113"/>
          <w:sz w:val="21"/>
          <w:szCs w:val="21"/>
        </w:rPr>
      </w:pPr>
      <w:r w:rsidRPr="00991A56">
        <w:rPr>
          <w:rFonts w:ascii="Abadi" w:hAnsi="Abadi" w:cs="*Verdana-9085-Identity-H"/>
          <w:color w:val="111113"/>
          <w:sz w:val="21"/>
          <w:szCs w:val="21"/>
        </w:rPr>
        <w:t>A la Comisión de Hacienda y Fiscalización de la Sexagésima Cuarta Legislatura</w:t>
      </w:r>
      <w:r>
        <w:rPr>
          <w:rFonts w:ascii="Abadi" w:hAnsi="Abadi" w:cs="*Verdana-9085-Identity-H"/>
          <w:color w:val="111113"/>
          <w:sz w:val="21"/>
          <w:szCs w:val="21"/>
        </w:rPr>
        <w:t xml:space="preserve"> </w:t>
      </w:r>
      <w:r w:rsidRPr="00991A56">
        <w:rPr>
          <w:rFonts w:ascii="Abadi" w:hAnsi="Abadi" w:cs="*Verdana-9085-Identity-H"/>
          <w:color w:val="111113"/>
          <w:sz w:val="21"/>
          <w:szCs w:val="21"/>
        </w:rPr>
        <w:t>le fue turnada para efecto de estudio y dictamen, la iniciativa formulada por la</w:t>
      </w:r>
      <w:r>
        <w:rPr>
          <w:rFonts w:ascii="Abadi" w:hAnsi="Abadi" w:cs="*Verdana-9085-Identity-H"/>
          <w:color w:val="111113"/>
          <w:sz w:val="21"/>
          <w:szCs w:val="21"/>
        </w:rPr>
        <w:t xml:space="preserve">  </w:t>
      </w:r>
      <w:r w:rsidRPr="00991A56">
        <w:rPr>
          <w:rFonts w:ascii="Abadi" w:hAnsi="Abadi" w:cs="*Verdana-9085-Identity-H"/>
          <w:color w:val="111113"/>
          <w:sz w:val="21"/>
          <w:szCs w:val="21"/>
        </w:rPr>
        <w:t>diputada y el diputado integrantes del Grupo Parlamentario del Partido Verde</w:t>
      </w:r>
      <w:r>
        <w:rPr>
          <w:rFonts w:ascii="Abadi" w:hAnsi="Abadi" w:cs="*Verdana-9085-Identity-H"/>
          <w:color w:val="111113"/>
          <w:sz w:val="21"/>
          <w:szCs w:val="21"/>
        </w:rPr>
        <w:t xml:space="preserve"> </w:t>
      </w:r>
      <w:r w:rsidRPr="00991A56">
        <w:rPr>
          <w:rFonts w:ascii="Abadi" w:hAnsi="Abadi" w:cs="*Verdana-9085-Identity-H"/>
          <w:color w:val="111113"/>
          <w:sz w:val="21"/>
          <w:szCs w:val="21"/>
        </w:rPr>
        <w:t>Ecologista de México a efecto de reformar y adicionar diversos artículos de la Ley para</w:t>
      </w:r>
      <w:r>
        <w:rPr>
          <w:rFonts w:ascii="Abadi" w:hAnsi="Abadi" w:cs="*Verdana-9085-Identity-H"/>
          <w:color w:val="111113"/>
          <w:sz w:val="21"/>
          <w:szCs w:val="21"/>
        </w:rPr>
        <w:t xml:space="preserve"> </w:t>
      </w:r>
      <w:r w:rsidRPr="00991A56">
        <w:rPr>
          <w:rFonts w:ascii="Abadi" w:hAnsi="Abadi" w:cs="*Verdana-9085-Identity-H"/>
          <w:color w:val="111113"/>
          <w:sz w:val="21"/>
          <w:szCs w:val="21"/>
        </w:rPr>
        <w:t>el Ejercicio y Control de los Recursos Públicos para el Estado y los Municipios de</w:t>
      </w:r>
      <w:r>
        <w:rPr>
          <w:rFonts w:ascii="Abadi" w:hAnsi="Abadi" w:cs="*Verdana-9085-Identity-H"/>
          <w:color w:val="111113"/>
          <w:sz w:val="21"/>
          <w:szCs w:val="21"/>
        </w:rPr>
        <w:t xml:space="preserve"> </w:t>
      </w:r>
      <w:r w:rsidRPr="00991A56">
        <w:rPr>
          <w:rFonts w:ascii="Abadi" w:hAnsi="Abadi" w:cs="*Verdana-9085-Identity-H"/>
          <w:color w:val="111113"/>
          <w:sz w:val="21"/>
          <w:szCs w:val="21"/>
        </w:rPr>
        <w:t>Guanajuato, y derogar la fracción X del artículo 276 de la Ley Orgánica del Poder</w:t>
      </w:r>
      <w:r>
        <w:rPr>
          <w:rFonts w:ascii="Abadi" w:hAnsi="Abadi" w:cs="*Verdana-9085-Identity-H"/>
          <w:color w:val="111113"/>
          <w:sz w:val="21"/>
          <w:szCs w:val="21"/>
        </w:rPr>
        <w:t xml:space="preserve"> </w:t>
      </w:r>
      <w:r w:rsidRPr="00991A56">
        <w:rPr>
          <w:rFonts w:ascii="Abadi" w:hAnsi="Abadi" w:cs="*Verdana-9085-Identity-H"/>
          <w:color w:val="111113"/>
          <w:sz w:val="21"/>
          <w:szCs w:val="21"/>
        </w:rPr>
        <w:t>Legislativo del Estado de Guanajuato.</w:t>
      </w:r>
    </w:p>
    <w:p w14:paraId="6DE8F1FB" w14:textId="77777777" w:rsidR="00F91FB5" w:rsidRPr="00991A56" w:rsidRDefault="00F91FB5" w:rsidP="00F91FB5">
      <w:pPr>
        <w:autoSpaceDE w:val="0"/>
        <w:autoSpaceDN w:val="0"/>
        <w:adjustRightInd w:val="0"/>
        <w:jc w:val="both"/>
        <w:rPr>
          <w:rFonts w:ascii="Abadi" w:hAnsi="Abadi" w:cs="*Verdana-9085-Identity-H"/>
          <w:color w:val="111113"/>
          <w:sz w:val="21"/>
          <w:szCs w:val="21"/>
        </w:rPr>
      </w:pPr>
    </w:p>
    <w:p w14:paraId="1C980A3F" w14:textId="77777777" w:rsidR="00F91FB5" w:rsidRDefault="00F91FB5" w:rsidP="00F91FB5">
      <w:pPr>
        <w:autoSpaceDE w:val="0"/>
        <w:autoSpaceDN w:val="0"/>
        <w:adjustRightInd w:val="0"/>
        <w:ind w:firstLine="708"/>
        <w:jc w:val="both"/>
        <w:rPr>
          <w:rFonts w:ascii="Abadi" w:hAnsi="Abadi" w:cs="*Verdana-9085-Identity-H"/>
          <w:color w:val="131215"/>
          <w:sz w:val="21"/>
          <w:szCs w:val="21"/>
        </w:rPr>
      </w:pPr>
      <w:r w:rsidRPr="00991A56">
        <w:rPr>
          <w:rFonts w:ascii="Abadi" w:hAnsi="Abadi" w:cs="*Verdana-9085-Identity-H"/>
          <w:color w:val="131215"/>
          <w:sz w:val="21"/>
          <w:szCs w:val="21"/>
        </w:rPr>
        <w:t>Con fundamento en los artículos 89, fracción V; 112, fracción XV; y 171 de la</w:t>
      </w:r>
      <w:r>
        <w:rPr>
          <w:rFonts w:ascii="Abadi" w:hAnsi="Abadi" w:cs="*Verdana-9085-Identity-H"/>
          <w:color w:val="131215"/>
          <w:sz w:val="21"/>
          <w:szCs w:val="21"/>
        </w:rPr>
        <w:t xml:space="preserve"> </w:t>
      </w:r>
      <w:r w:rsidRPr="00991A56">
        <w:rPr>
          <w:rFonts w:ascii="Abadi" w:hAnsi="Abadi" w:cs="*Verdana-9085-Identity-H"/>
          <w:color w:val="131215"/>
          <w:sz w:val="21"/>
          <w:szCs w:val="21"/>
        </w:rPr>
        <w:t>Ley Orgánica del Poder Legislativo del Estado de Guanajuato, analizamos la iniciativa</w:t>
      </w:r>
      <w:r>
        <w:rPr>
          <w:rFonts w:ascii="Abadi" w:hAnsi="Abadi" w:cs="*Verdana-9085-Identity-H"/>
          <w:color w:val="131215"/>
          <w:sz w:val="21"/>
          <w:szCs w:val="21"/>
        </w:rPr>
        <w:t xml:space="preserve"> </w:t>
      </w:r>
      <w:r w:rsidRPr="00991A56">
        <w:rPr>
          <w:rFonts w:ascii="Abadi" w:hAnsi="Abadi" w:cs="*Verdana-9085-Identity-H"/>
          <w:color w:val="131215"/>
          <w:sz w:val="21"/>
          <w:szCs w:val="21"/>
        </w:rPr>
        <w:t>referida, presentando a la consideración de la Asamblea el siguiente:</w:t>
      </w:r>
    </w:p>
    <w:p w14:paraId="0FCDC145" w14:textId="77777777" w:rsidR="00F91FB5" w:rsidRPr="00991A56" w:rsidRDefault="00F91FB5" w:rsidP="00F91FB5">
      <w:pPr>
        <w:autoSpaceDE w:val="0"/>
        <w:autoSpaceDN w:val="0"/>
        <w:adjustRightInd w:val="0"/>
        <w:ind w:firstLine="708"/>
        <w:jc w:val="both"/>
        <w:rPr>
          <w:rFonts w:ascii="Abadi" w:hAnsi="Abadi" w:cs="*Verdana-9085-Identity-H"/>
          <w:color w:val="131215"/>
          <w:sz w:val="21"/>
          <w:szCs w:val="21"/>
        </w:rPr>
      </w:pPr>
    </w:p>
    <w:p w14:paraId="637C3840" w14:textId="77777777" w:rsidR="00F91FB5" w:rsidRDefault="00F91FB5" w:rsidP="00F91FB5">
      <w:pPr>
        <w:autoSpaceDE w:val="0"/>
        <w:autoSpaceDN w:val="0"/>
        <w:adjustRightInd w:val="0"/>
        <w:jc w:val="center"/>
        <w:rPr>
          <w:rFonts w:ascii="Abadi" w:hAnsi="Abadi" w:cs="*Verdana-Bold-9086-Identity-H"/>
          <w:b/>
          <w:bCs/>
          <w:color w:val="0D0D13"/>
          <w:sz w:val="21"/>
          <w:szCs w:val="21"/>
        </w:rPr>
      </w:pPr>
      <w:r w:rsidRPr="00991A56">
        <w:rPr>
          <w:rFonts w:ascii="Abadi" w:hAnsi="Abadi" w:cs="*Verdana-Bold-9086-Identity-H"/>
          <w:b/>
          <w:bCs/>
          <w:color w:val="0D0D13"/>
          <w:sz w:val="21"/>
          <w:szCs w:val="21"/>
        </w:rPr>
        <w:t>Dictamen</w:t>
      </w:r>
    </w:p>
    <w:p w14:paraId="2F86D454" w14:textId="77777777" w:rsidR="00F91FB5" w:rsidRDefault="00F91FB5" w:rsidP="00F91FB5">
      <w:pPr>
        <w:autoSpaceDE w:val="0"/>
        <w:autoSpaceDN w:val="0"/>
        <w:adjustRightInd w:val="0"/>
        <w:jc w:val="both"/>
        <w:rPr>
          <w:rFonts w:ascii="Abadi" w:hAnsi="Abadi" w:cs="*Verdana-Bold-9086-Identity-H"/>
          <w:b/>
          <w:bCs/>
          <w:color w:val="0F0D13"/>
          <w:sz w:val="21"/>
          <w:szCs w:val="21"/>
        </w:rPr>
      </w:pPr>
    </w:p>
    <w:p w14:paraId="628C75A0" w14:textId="77777777" w:rsidR="00F91FB5" w:rsidRPr="00991A56" w:rsidRDefault="00F91FB5" w:rsidP="00F91FB5">
      <w:pPr>
        <w:autoSpaceDE w:val="0"/>
        <w:autoSpaceDN w:val="0"/>
        <w:adjustRightInd w:val="0"/>
        <w:ind w:firstLine="708"/>
        <w:jc w:val="both"/>
        <w:rPr>
          <w:rFonts w:ascii="Abadi" w:hAnsi="Abadi" w:cs="*Verdana-Bold-9086-Identity-H"/>
          <w:b/>
          <w:bCs/>
          <w:color w:val="0F0D13"/>
          <w:sz w:val="21"/>
          <w:szCs w:val="21"/>
        </w:rPr>
      </w:pPr>
      <w:r w:rsidRPr="00991A56">
        <w:rPr>
          <w:rFonts w:ascii="Abadi" w:hAnsi="Abadi" w:cs="*Verdana-Bold-9086-Identity-H"/>
          <w:b/>
          <w:bCs/>
          <w:color w:val="0F0D13"/>
          <w:sz w:val="21"/>
          <w:szCs w:val="21"/>
        </w:rPr>
        <w:t>I. Proceso legislativo.</w:t>
      </w:r>
    </w:p>
    <w:p w14:paraId="41897688" w14:textId="77777777" w:rsidR="00F91FB5" w:rsidRDefault="00F91FB5" w:rsidP="00F91FB5">
      <w:pPr>
        <w:autoSpaceDE w:val="0"/>
        <w:autoSpaceDN w:val="0"/>
        <w:adjustRightInd w:val="0"/>
        <w:jc w:val="both"/>
        <w:rPr>
          <w:rFonts w:ascii="Abadi" w:hAnsi="Abadi" w:cs="*Verdana-Bold-9086-Identity-H"/>
          <w:b/>
          <w:bCs/>
          <w:color w:val="0D0D13"/>
          <w:sz w:val="21"/>
          <w:szCs w:val="21"/>
        </w:rPr>
      </w:pPr>
    </w:p>
    <w:p w14:paraId="51951F77" w14:textId="77777777" w:rsidR="00F91FB5" w:rsidRPr="00991A56" w:rsidRDefault="00F91FB5" w:rsidP="00F91FB5">
      <w:pPr>
        <w:autoSpaceDE w:val="0"/>
        <w:autoSpaceDN w:val="0"/>
        <w:adjustRightInd w:val="0"/>
        <w:jc w:val="both"/>
        <w:rPr>
          <w:rFonts w:ascii="Abadi" w:hAnsi="Abadi" w:cs="*Verdana-Bold-9086-Identity-H"/>
          <w:b/>
          <w:bCs/>
          <w:color w:val="0D0D13"/>
          <w:sz w:val="21"/>
          <w:szCs w:val="21"/>
        </w:rPr>
      </w:pPr>
    </w:p>
    <w:p w14:paraId="60E4ECD3" w14:textId="77777777" w:rsidR="00F91FB5" w:rsidRDefault="00F91FB5" w:rsidP="00F91FB5">
      <w:pPr>
        <w:autoSpaceDE w:val="0"/>
        <w:autoSpaceDN w:val="0"/>
        <w:adjustRightInd w:val="0"/>
        <w:jc w:val="both"/>
        <w:rPr>
          <w:rFonts w:ascii="Abadi" w:hAnsi="Abadi" w:cs="*Verdana-9085-Identity-H"/>
          <w:color w:val="121214"/>
          <w:sz w:val="21"/>
          <w:szCs w:val="21"/>
        </w:rPr>
      </w:pPr>
      <w:r w:rsidRPr="002E0CED">
        <w:rPr>
          <w:rFonts w:ascii="Abadi" w:hAnsi="Abadi" w:cs="*Verdana-9085-Identity-H"/>
          <w:b/>
          <w:bCs/>
          <w:color w:val="121214"/>
          <w:sz w:val="21"/>
          <w:szCs w:val="21"/>
        </w:rPr>
        <w:t>I.1.</w:t>
      </w:r>
      <w:r w:rsidRPr="00991A56">
        <w:rPr>
          <w:rFonts w:ascii="Abadi" w:hAnsi="Abadi" w:cs="*Verdana-9085-Identity-H"/>
          <w:color w:val="121214"/>
          <w:sz w:val="21"/>
          <w:szCs w:val="21"/>
        </w:rPr>
        <w:t xml:space="preserve"> En sesión ordinaria celebrada el 30 de mayo de 2019 se presentó la iniciativa</w:t>
      </w:r>
      <w:r>
        <w:rPr>
          <w:rFonts w:ascii="Abadi" w:hAnsi="Abadi" w:cs="*Verdana-9085-Identity-H"/>
          <w:color w:val="121214"/>
          <w:sz w:val="21"/>
          <w:szCs w:val="21"/>
        </w:rPr>
        <w:t xml:space="preserve"> </w:t>
      </w:r>
      <w:r w:rsidRPr="00991A56">
        <w:rPr>
          <w:rFonts w:ascii="Abadi" w:hAnsi="Abadi" w:cs="*Verdana-9085-Identity-H"/>
          <w:color w:val="121214"/>
          <w:sz w:val="21"/>
          <w:szCs w:val="21"/>
        </w:rPr>
        <w:t>formulada por la diputada y el diputado integrantes del Grupo Parlamentario del</w:t>
      </w:r>
      <w:r>
        <w:rPr>
          <w:rFonts w:ascii="Abadi" w:hAnsi="Abadi" w:cs="*Verdana-9085-Identity-H"/>
          <w:color w:val="121214"/>
          <w:sz w:val="21"/>
          <w:szCs w:val="21"/>
        </w:rPr>
        <w:t xml:space="preserve"> </w:t>
      </w:r>
      <w:r w:rsidRPr="00991A56">
        <w:rPr>
          <w:rFonts w:ascii="Abadi" w:hAnsi="Abadi" w:cs="*Verdana-9085-Identity-H"/>
          <w:color w:val="121214"/>
          <w:sz w:val="21"/>
          <w:szCs w:val="21"/>
        </w:rPr>
        <w:t>Partido Verde Ecologista de México ante la Sexagésima Cuarta Legislatura a efecto de</w:t>
      </w:r>
      <w:r>
        <w:rPr>
          <w:rFonts w:ascii="Abadi" w:hAnsi="Abadi" w:cs="*Verdana-9085-Identity-H"/>
          <w:color w:val="121214"/>
          <w:sz w:val="21"/>
          <w:szCs w:val="21"/>
        </w:rPr>
        <w:t xml:space="preserve"> </w:t>
      </w:r>
      <w:r w:rsidRPr="00991A56">
        <w:rPr>
          <w:rFonts w:ascii="Abadi" w:hAnsi="Abadi" w:cs="*Verdana-9085-Identity-H"/>
          <w:color w:val="121214"/>
          <w:sz w:val="21"/>
          <w:szCs w:val="21"/>
        </w:rPr>
        <w:t>reformar y adicionar diversos artículos de la Ley para el Ejercicio y Control de los</w:t>
      </w:r>
      <w:r>
        <w:rPr>
          <w:rFonts w:ascii="Abadi" w:hAnsi="Abadi" w:cs="*Verdana-9085-Identity-H"/>
          <w:color w:val="121214"/>
          <w:sz w:val="21"/>
          <w:szCs w:val="21"/>
        </w:rPr>
        <w:t xml:space="preserve"> </w:t>
      </w:r>
      <w:r w:rsidRPr="00991A56">
        <w:rPr>
          <w:rFonts w:ascii="Abadi" w:hAnsi="Abadi" w:cs="*Verdana-9085-Identity-H"/>
          <w:color w:val="121214"/>
          <w:sz w:val="21"/>
          <w:szCs w:val="21"/>
        </w:rPr>
        <w:t>Recursos Públicos para el Estado y los Municipios de Guanajuato, y derogar la fracción</w:t>
      </w:r>
      <w:r>
        <w:rPr>
          <w:rFonts w:ascii="Abadi" w:hAnsi="Abadi" w:cs="*Verdana-9085-Identity-H"/>
          <w:color w:val="121214"/>
          <w:sz w:val="21"/>
          <w:szCs w:val="21"/>
        </w:rPr>
        <w:t xml:space="preserve"> </w:t>
      </w:r>
      <w:r w:rsidRPr="00991A56">
        <w:rPr>
          <w:rFonts w:ascii="Abadi" w:hAnsi="Abadi" w:cs="*Verdana-9085-Identity-H"/>
          <w:color w:val="121214"/>
          <w:sz w:val="21"/>
          <w:szCs w:val="21"/>
        </w:rPr>
        <w:t>X del artículo 276 de la Ley Orgánica del Poder Legislativo del Estado de Guanajuato.</w:t>
      </w:r>
    </w:p>
    <w:p w14:paraId="495E3743" w14:textId="77777777" w:rsidR="00F91FB5" w:rsidRPr="00991A56" w:rsidRDefault="00F91FB5" w:rsidP="00F91FB5">
      <w:pPr>
        <w:autoSpaceDE w:val="0"/>
        <w:autoSpaceDN w:val="0"/>
        <w:adjustRightInd w:val="0"/>
        <w:jc w:val="both"/>
        <w:rPr>
          <w:rFonts w:ascii="Abadi" w:hAnsi="Abadi" w:cs="*Verdana-9085-Identity-H"/>
          <w:color w:val="121214"/>
          <w:sz w:val="21"/>
          <w:szCs w:val="21"/>
        </w:rPr>
      </w:pPr>
    </w:p>
    <w:p w14:paraId="3E7AF2A9" w14:textId="77777777" w:rsidR="00F91FB5" w:rsidRDefault="00F91FB5" w:rsidP="00F91FB5">
      <w:pPr>
        <w:autoSpaceDE w:val="0"/>
        <w:autoSpaceDN w:val="0"/>
        <w:adjustRightInd w:val="0"/>
        <w:jc w:val="both"/>
        <w:rPr>
          <w:rFonts w:ascii="Abadi" w:hAnsi="Abadi" w:cs="*Verdana-9085-Identity-H"/>
          <w:color w:val="111113"/>
          <w:sz w:val="21"/>
          <w:szCs w:val="21"/>
        </w:rPr>
      </w:pPr>
      <w:r w:rsidRPr="00991A56">
        <w:rPr>
          <w:rFonts w:ascii="Abadi" w:hAnsi="Abadi" w:cs="*Verdana-9085-Identity-H"/>
          <w:color w:val="111113"/>
          <w:sz w:val="21"/>
          <w:szCs w:val="21"/>
        </w:rPr>
        <w:t>La presidencia del Congreso turnó la referida iniciativa a la Comisión de Hacienda y</w:t>
      </w:r>
      <w:r>
        <w:rPr>
          <w:rFonts w:ascii="Abadi" w:hAnsi="Abadi" w:cs="*Verdana-9085-Identity-H"/>
          <w:color w:val="111113"/>
          <w:sz w:val="21"/>
          <w:szCs w:val="21"/>
        </w:rPr>
        <w:t xml:space="preserve"> </w:t>
      </w:r>
      <w:r w:rsidRPr="00991A56">
        <w:rPr>
          <w:rFonts w:ascii="Abadi" w:hAnsi="Abadi" w:cs="*Verdana-9085-Identity-H"/>
          <w:color w:val="111113"/>
          <w:sz w:val="21"/>
          <w:szCs w:val="21"/>
        </w:rPr>
        <w:t>Fiscalización para su estudio y dictamen, misma que la radicó el 4 de junio de 2019.</w:t>
      </w:r>
    </w:p>
    <w:p w14:paraId="0DBC17C3" w14:textId="77777777" w:rsidR="00F91FB5" w:rsidRPr="00991A56" w:rsidRDefault="00F91FB5" w:rsidP="00F91FB5">
      <w:pPr>
        <w:autoSpaceDE w:val="0"/>
        <w:autoSpaceDN w:val="0"/>
        <w:adjustRightInd w:val="0"/>
        <w:jc w:val="both"/>
        <w:rPr>
          <w:rFonts w:ascii="Abadi" w:hAnsi="Abadi" w:cs="*Verdana-9085-Identity-H"/>
          <w:color w:val="111113"/>
          <w:sz w:val="21"/>
          <w:szCs w:val="21"/>
        </w:rPr>
      </w:pPr>
    </w:p>
    <w:p w14:paraId="03E84991" w14:textId="77777777" w:rsidR="00F91FB5" w:rsidRPr="00991A56" w:rsidRDefault="00F91FB5" w:rsidP="00F91FB5">
      <w:pPr>
        <w:autoSpaceDE w:val="0"/>
        <w:autoSpaceDN w:val="0"/>
        <w:adjustRightInd w:val="0"/>
        <w:jc w:val="both"/>
        <w:rPr>
          <w:rFonts w:ascii="Abadi" w:hAnsi="Abadi" w:cs="*Verdana-9085-Identity-H"/>
          <w:color w:val="121114"/>
          <w:sz w:val="21"/>
          <w:szCs w:val="21"/>
        </w:rPr>
      </w:pPr>
      <w:r w:rsidRPr="002E0CED">
        <w:rPr>
          <w:rFonts w:ascii="Abadi" w:hAnsi="Abadi" w:cs="*Verdana-9085-Identity-H"/>
          <w:b/>
          <w:bCs/>
          <w:color w:val="121114"/>
          <w:sz w:val="21"/>
          <w:szCs w:val="21"/>
        </w:rPr>
        <w:t>I.2.</w:t>
      </w:r>
      <w:r w:rsidRPr="00991A56">
        <w:rPr>
          <w:rFonts w:ascii="Abadi" w:hAnsi="Abadi" w:cs="*Verdana-9085-Identity-H"/>
          <w:color w:val="121114"/>
          <w:sz w:val="21"/>
          <w:szCs w:val="21"/>
        </w:rPr>
        <w:t xml:space="preserve"> En la reunión de la Comisión de Hacienda y Fiscalización que tuvo verificativo el</w:t>
      </w:r>
      <w:r>
        <w:rPr>
          <w:rFonts w:ascii="Abadi" w:hAnsi="Abadi" w:cs="*Verdana-9085-Identity-H"/>
          <w:color w:val="121114"/>
          <w:sz w:val="21"/>
          <w:szCs w:val="21"/>
        </w:rPr>
        <w:t xml:space="preserve"> </w:t>
      </w:r>
      <w:r w:rsidRPr="00991A56">
        <w:rPr>
          <w:rFonts w:ascii="Abadi" w:hAnsi="Abadi" w:cs="*Verdana-9085-Identity-H"/>
          <w:color w:val="121114"/>
          <w:sz w:val="21"/>
          <w:szCs w:val="21"/>
        </w:rPr>
        <w:t>10 de junio de 2019 se aprobó como metodología para el análisis y dictaminación de la</w:t>
      </w:r>
      <w:r>
        <w:rPr>
          <w:rFonts w:ascii="Abadi" w:hAnsi="Abadi" w:cs="*Verdana-9085-Identity-H"/>
          <w:color w:val="121114"/>
          <w:sz w:val="21"/>
          <w:szCs w:val="21"/>
        </w:rPr>
        <w:t xml:space="preserve"> </w:t>
      </w:r>
      <w:r w:rsidRPr="00991A56">
        <w:rPr>
          <w:rFonts w:ascii="Abadi" w:hAnsi="Abadi" w:cs="*Verdana-9085-Identity-H"/>
          <w:color w:val="121114"/>
          <w:sz w:val="21"/>
          <w:szCs w:val="21"/>
        </w:rPr>
        <w:t>iniciativa, que la misma se remitiera de manera electrónica a las diputadas y a los</w:t>
      </w:r>
      <w:r>
        <w:rPr>
          <w:rFonts w:ascii="Abadi" w:hAnsi="Abadi" w:cs="*Verdana-9085-Identity-H"/>
          <w:color w:val="121114"/>
          <w:sz w:val="21"/>
          <w:szCs w:val="21"/>
        </w:rPr>
        <w:t xml:space="preserve"> </w:t>
      </w:r>
      <w:r w:rsidRPr="00991A56">
        <w:rPr>
          <w:rFonts w:ascii="Abadi" w:hAnsi="Abadi" w:cs="*Verdana-9085-Identity-H"/>
          <w:color w:val="121114"/>
          <w:sz w:val="21"/>
          <w:szCs w:val="21"/>
        </w:rPr>
        <w:t>diputados integrantes de la Sexagésima Cuarta Legislatura, al Poder Judicial del</w:t>
      </w:r>
      <w:r>
        <w:rPr>
          <w:rFonts w:ascii="Abadi" w:hAnsi="Abadi" w:cs="*Verdana-9085-Identity-H"/>
          <w:color w:val="121114"/>
          <w:sz w:val="21"/>
          <w:szCs w:val="21"/>
        </w:rPr>
        <w:t xml:space="preserve"> </w:t>
      </w:r>
      <w:r w:rsidRPr="00991A56">
        <w:rPr>
          <w:rFonts w:ascii="Abadi" w:hAnsi="Abadi" w:cs="*Verdana-9085-Identity-H"/>
          <w:color w:val="121114"/>
          <w:sz w:val="21"/>
          <w:szCs w:val="21"/>
        </w:rPr>
        <w:t>Estado, a los organismos autónomos, a los 46 ayuntamientos, a la Secretaría de</w:t>
      </w:r>
      <w:r>
        <w:rPr>
          <w:rFonts w:ascii="Abadi" w:hAnsi="Abadi" w:cs="*Verdana-9085-Identity-H"/>
          <w:color w:val="121114"/>
          <w:sz w:val="21"/>
          <w:szCs w:val="21"/>
        </w:rPr>
        <w:t xml:space="preserve"> </w:t>
      </w:r>
      <w:r w:rsidRPr="00991A56">
        <w:rPr>
          <w:rFonts w:ascii="Abadi" w:hAnsi="Abadi" w:cs="*Verdana-9085-Identity-H"/>
          <w:color w:val="121114"/>
          <w:sz w:val="21"/>
          <w:szCs w:val="21"/>
        </w:rPr>
        <w:t>Finanzas, Inversión y Administración, a la Coordinación General Jurídica de Gobierno</w:t>
      </w:r>
      <w:r>
        <w:rPr>
          <w:rFonts w:ascii="Abadi" w:hAnsi="Abadi" w:cs="*Verdana-9085-Identity-H"/>
          <w:color w:val="121114"/>
          <w:sz w:val="21"/>
          <w:szCs w:val="21"/>
        </w:rPr>
        <w:t xml:space="preserve"> </w:t>
      </w:r>
      <w:r w:rsidRPr="00991A56">
        <w:rPr>
          <w:rFonts w:ascii="Abadi" w:hAnsi="Abadi" w:cs="*Verdana-9085-Identity-H"/>
          <w:color w:val="121114"/>
          <w:sz w:val="21"/>
          <w:szCs w:val="21"/>
        </w:rPr>
        <w:t>del Estado, al Comité de Estructuración Salarial, a la Auditoría Superior del Estado y a</w:t>
      </w:r>
      <w:r>
        <w:rPr>
          <w:rFonts w:ascii="Abadi" w:hAnsi="Abadi" w:cs="*Verdana-9085-Identity-H"/>
          <w:color w:val="121114"/>
          <w:sz w:val="21"/>
          <w:szCs w:val="21"/>
        </w:rPr>
        <w:t xml:space="preserve"> </w:t>
      </w:r>
      <w:r w:rsidRPr="00991A56">
        <w:rPr>
          <w:rFonts w:ascii="Abadi" w:hAnsi="Abadi" w:cs="*Verdana-9085-Identity-H"/>
          <w:color w:val="121114"/>
          <w:sz w:val="21"/>
          <w:szCs w:val="21"/>
        </w:rPr>
        <w:t>la Unidad de Estudios de las Finanzas Públicas del Congreso del Estado, quienes</w:t>
      </w:r>
      <w:r>
        <w:rPr>
          <w:rFonts w:ascii="Abadi" w:hAnsi="Abadi" w:cs="*Verdana-9085-Identity-H"/>
          <w:color w:val="121114"/>
          <w:sz w:val="21"/>
          <w:szCs w:val="21"/>
        </w:rPr>
        <w:t xml:space="preserve"> </w:t>
      </w:r>
      <w:r w:rsidRPr="00991A56">
        <w:rPr>
          <w:rFonts w:ascii="Abadi" w:hAnsi="Abadi" w:cs="*Verdana-9085-Identity-H"/>
          <w:color w:val="121114"/>
          <w:sz w:val="21"/>
          <w:szCs w:val="21"/>
        </w:rPr>
        <w:t>contaron con un plazo de 30 días hábiles, para remitir los comentarios y observaciones</w:t>
      </w:r>
      <w:r>
        <w:rPr>
          <w:rFonts w:ascii="Abadi" w:hAnsi="Abadi" w:cs="*Verdana-9085-Identity-H"/>
          <w:color w:val="121114"/>
          <w:sz w:val="21"/>
          <w:szCs w:val="21"/>
        </w:rPr>
        <w:t xml:space="preserve"> </w:t>
      </w:r>
      <w:r w:rsidRPr="00991A56">
        <w:rPr>
          <w:rFonts w:ascii="Abadi" w:hAnsi="Abadi" w:cs="*Verdana-9085-Identity-H"/>
          <w:color w:val="121114"/>
          <w:sz w:val="21"/>
          <w:szCs w:val="21"/>
        </w:rPr>
        <w:t xml:space="preserve">que estimaran pertinentes. Se estableció además un </w:t>
      </w:r>
      <w:proofErr w:type="gramStart"/>
      <w:r w:rsidRPr="00991A56">
        <w:rPr>
          <w:rFonts w:ascii="Abadi" w:hAnsi="Abadi" w:cs="*Verdana-9085-Identity-H"/>
          <w:color w:val="121114"/>
          <w:sz w:val="21"/>
          <w:szCs w:val="21"/>
        </w:rPr>
        <w:t>link</w:t>
      </w:r>
      <w:proofErr w:type="gramEnd"/>
      <w:r w:rsidRPr="00991A56">
        <w:rPr>
          <w:rFonts w:ascii="Abadi" w:hAnsi="Abadi" w:cs="*Verdana-9085-Identity-H"/>
          <w:color w:val="121114"/>
          <w:sz w:val="21"/>
          <w:szCs w:val="21"/>
        </w:rPr>
        <w:t xml:space="preserve"> en la página web del</w:t>
      </w:r>
      <w:r>
        <w:rPr>
          <w:rFonts w:ascii="Abadi" w:hAnsi="Abadi" w:cs="*Verdana-9085-Identity-H"/>
          <w:color w:val="121114"/>
          <w:sz w:val="21"/>
          <w:szCs w:val="21"/>
        </w:rPr>
        <w:t xml:space="preserve"> </w:t>
      </w:r>
      <w:r w:rsidRPr="00991A56">
        <w:rPr>
          <w:rFonts w:ascii="Abadi" w:hAnsi="Abadi" w:cs="*Verdana-9085-Identity-H"/>
          <w:color w:val="121114"/>
          <w:sz w:val="21"/>
          <w:szCs w:val="21"/>
        </w:rPr>
        <w:t>Congreso del Estado, para que la iniciativa pudiera ser consultada y la ciudadanía</w:t>
      </w:r>
      <w:r>
        <w:rPr>
          <w:rFonts w:ascii="Abadi" w:hAnsi="Abadi" w:cs="*Verdana-9085-Identity-H"/>
          <w:color w:val="121114"/>
          <w:sz w:val="21"/>
          <w:szCs w:val="21"/>
        </w:rPr>
        <w:t xml:space="preserve"> </w:t>
      </w:r>
      <w:r w:rsidRPr="00991A56">
        <w:rPr>
          <w:rFonts w:ascii="Abadi" w:hAnsi="Abadi" w:cs="*Verdana-9085-Identity-H"/>
          <w:color w:val="121114"/>
          <w:sz w:val="21"/>
          <w:szCs w:val="21"/>
        </w:rPr>
        <w:t>pudiera emitir observaciones en un plazo de 30 días hábiles.</w:t>
      </w:r>
    </w:p>
    <w:p w14:paraId="015AFC39" w14:textId="77777777" w:rsidR="00F91FB5" w:rsidRPr="00991A56" w:rsidRDefault="00F91FB5" w:rsidP="00F91FB5">
      <w:pPr>
        <w:jc w:val="both"/>
        <w:rPr>
          <w:rFonts w:ascii="Abadi" w:hAnsi="Abadi" w:cs="*Verdana-9085-Identity-H"/>
          <w:color w:val="121114"/>
          <w:sz w:val="21"/>
          <w:szCs w:val="21"/>
        </w:rPr>
      </w:pPr>
    </w:p>
    <w:p w14:paraId="1A8AC132" w14:textId="77777777" w:rsidR="00F91FB5" w:rsidRDefault="00F91FB5" w:rsidP="00F91FB5">
      <w:pPr>
        <w:autoSpaceDE w:val="0"/>
        <w:autoSpaceDN w:val="0"/>
        <w:adjustRightInd w:val="0"/>
        <w:jc w:val="both"/>
        <w:rPr>
          <w:rFonts w:ascii="Abadi" w:hAnsi="Abadi" w:cs="*Verdana-13030-Identity-H"/>
          <w:color w:val="131215"/>
          <w:sz w:val="21"/>
          <w:szCs w:val="21"/>
        </w:rPr>
      </w:pPr>
      <w:r w:rsidRPr="00991A56">
        <w:rPr>
          <w:rFonts w:ascii="Abadi" w:hAnsi="Abadi" w:cs="*Verdana-13030-Identity-H"/>
          <w:color w:val="131215"/>
          <w:sz w:val="21"/>
          <w:szCs w:val="21"/>
        </w:rPr>
        <w:t>Al respecto, se recibieron observaciones, propuestas y comentarios de: la Procuraduría</w:t>
      </w:r>
      <w:r>
        <w:rPr>
          <w:rFonts w:ascii="Abadi" w:hAnsi="Abadi" w:cs="*Verdana-13030-Identity-H"/>
          <w:color w:val="131215"/>
          <w:sz w:val="21"/>
          <w:szCs w:val="21"/>
        </w:rPr>
        <w:t xml:space="preserve"> </w:t>
      </w:r>
      <w:r w:rsidRPr="00991A56">
        <w:rPr>
          <w:rFonts w:ascii="Abadi" w:hAnsi="Abadi" w:cs="*Verdana-13030-Identity-H"/>
          <w:color w:val="131215"/>
          <w:sz w:val="21"/>
          <w:szCs w:val="21"/>
        </w:rPr>
        <w:t>de los Derechos Humanos del Estado de Guanajuato, el Tribunal de Justicia</w:t>
      </w:r>
      <w:r>
        <w:rPr>
          <w:rFonts w:ascii="Abadi" w:hAnsi="Abadi" w:cs="*Verdana-13030-Identity-H"/>
          <w:color w:val="131215"/>
          <w:sz w:val="21"/>
          <w:szCs w:val="21"/>
        </w:rPr>
        <w:t xml:space="preserve"> </w:t>
      </w:r>
      <w:r w:rsidRPr="00991A56">
        <w:rPr>
          <w:rFonts w:ascii="Abadi" w:hAnsi="Abadi" w:cs="*Verdana-13030-Identity-H"/>
          <w:color w:val="131215"/>
          <w:sz w:val="21"/>
          <w:szCs w:val="21"/>
        </w:rPr>
        <w:t>Administrativa del Estado, la Auditoría Superior del Estado de Guanajuato, la Unidad</w:t>
      </w:r>
      <w:r>
        <w:rPr>
          <w:rFonts w:ascii="Abadi" w:hAnsi="Abadi" w:cs="*Verdana-13030-Identity-H"/>
          <w:color w:val="131215"/>
          <w:sz w:val="21"/>
          <w:szCs w:val="21"/>
        </w:rPr>
        <w:t xml:space="preserve"> </w:t>
      </w:r>
      <w:r w:rsidRPr="00991A56">
        <w:rPr>
          <w:rFonts w:ascii="Abadi" w:hAnsi="Abadi" w:cs="*Verdana-13030-Identity-H"/>
          <w:color w:val="131215"/>
          <w:sz w:val="21"/>
          <w:szCs w:val="21"/>
        </w:rPr>
        <w:t>de Estudios de las Finanzas Públicas del Congreso del Estado y la Coordinación General</w:t>
      </w:r>
      <w:r>
        <w:rPr>
          <w:rFonts w:ascii="Abadi" w:hAnsi="Abadi" w:cs="*Verdana-13030-Identity-H"/>
          <w:color w:val="131215"/>
          <w:sz w:val="21"/>
          <w:szCs w:val="21"/>
        </w:rPr>
        <w:t xml:space="preserve"> </w:t>
      </w:r>
      <w:r w:rsidRPr="00991A56">
        <w:rPr>
          <w:rFonts w:ascii="Abadi" w:hAnsi="Abadi" w:cs="*Verdana-13030-Identity-H"/>
          <w:color w:val="131215"/>
          <w:sz w:val="21"/>
          <w:szCs w:val="21"/>
        </w:rPr>
        <w:t>Jurídica de Gobierno del Estado; así como de los ayuntamientos de Celaya, Cortázar y</w:t>
      </w:r>
      <w:r>
        <w:rPr>
          <w:rFonts w:ascii="Abadi" w:hAnsi="Abadi" w:cs="*Verdana-13030-Identity-H"/>
          <w:color w:val="131215"/>
          <w:sz w:val="21"/>
          <w:szCs w:val="21"/>
        </w:rPr>
        <w:t xml:space="preserve"> </w:t>
      </w:r>
      <w:r w:rsidRPr="00991A56">
        <w:rPr>
          <w:rFonts w:ascii="Abadi" w:hAnsi="Abadi" w:cs="*Verdana-13030-Identity-H"/>
          <w:color w:val="131215"/>
          <w:sz w:val="21"/>
          <w:szCs w:val="21"/>
        </w:rPr>
        <w:t>León.</w:t>
      </w:r>
    </w:p>
    <w:p w14:paraId="58224E44" w14:textId="77777777" w:rsidR="00F91FB5" w:rsidRPr="00991A56" w:rsidRDefault="00F91FB5" w:rsidP="00F91FB5">
      <w:pPr>
        <w:autoSpaceDE w:val="0"/>
        <w:autoSpaceDN w:val="0"/>
        <w:adjustRightInd w:val="0"/>
        <w:jc w:val="both"/>
        <w:rPr>
          <w:rFonts w:ascii="Abadi" w:hAnsi="Abadi" w:cs="*Verdana-13030-Identity-H"/>
          <w:color w:val="131215"/>
          <w:sz w:val="21"/>
          <w:szCs w:val="21"/>
        </w:rPr>
      </w:pPr>
    </w:p>
    <w:p w14:paraId="37216766" w14:textId="77777777" w:rsidR="00F91FB5" w:rsidRDefault="00F91FB5" w:rsidP="00F91FB5">
      <w:pPr>
        <w:autoSpaceDE w:val="0"/>
        <w:autoSpaceDN w:val="0"/>
        <w:adjustRightInd w:val="0"/>
        <w:jc w:val="both"/>
        <w:rPr>
          <w:rFonts w:ascii="Abadi" w:hAnsi="Abadi" w:cs="*Verdana-13030-Identity-H"/>
          <w:color w:val="121214"/>
          <w:sz w:val="21"/>
          <w:szCs w:val="21"/>
        </w:rPr>
      </w:pPr>
      <w:r w:rsidRPr="00991A56">
        <w:rPr>
          <w:rFonts w:ascii="Abadi" w:hAnsi="Abadi" w:cs="*Verdana-13030-Identity-H"/>
          <w:color w:val="121214"/>
          <w:sz w:val="21"/>
          <w:szCs w:val="21"/>
        </w:rPr>
        <w:t>El Instituto Electoral del Estado de Guanajuato manifestó que, a la luz del marco</w:t>
      </w:r>
      <w:r>
        <w:rPr>
          <w:rFonts w:ascii="Abadi" w:hAnsi="Abadi" w:cs="*Verdana-13030-Identity-H"/>
          <w:color w:val="121214"/>
          <w:sz w:val="21"/>
          <w:szCs w:val="21"/>
        </w:rPr>
        <w:t xml:space="preserve"> </w:t>
      </w:r>
      <w:r w:rsidRPr="00991A56">
        <w:rPr>
          <w:rFonts w:ascii="Abadi" w:hAnsi="Abadi" w:cs="*Verdana-13030-Identity-H"/>
          <w:color w:val="121214"/>
          <w:sz w:val="21"/>
          <w:szCs w:val="21"/>
        </w:rPr>
        <w:t>normativo electoral previsto en la Constitución Política para el Estado de Guanajuato,</w:t>
      </w:r>
      <w:r>
        <w:rPr>
          <w:rFonts w:ascii="Abadi" w:hAnsi="Abadi" w:cs="*Verdana-13030-Identity-H"/>
          <w:color w:val="121214"/>
          <w:sz w:val="21"/>
          <w:szCs w:val="21"/>
        </w:rPr>
        <w:t xml:space="preserve"> </w:t>
      </w:r>
      <w:r w:rsidRPr="00991A56">
        <w:rPr>
          <w:rFonts w:ascii="Abadi" w:hAnsi="Abadi" w:cs="*Verdana-13030-Identity-H"/>
          <w:color w:val="121214"/>
          <w:sz w:val="21"/>
          <w:szCs w:val="21"/>
        </w:rPr>
        <w:t>así como en la Ley de Instituciones y Procedimientos Electorales para el Estado de</w:t>
      </w:r>
      <w:r>
        <w:rPr>
          <w:rFonts w:ascii="Abadi" w:hAnsi="Abadi" w:cs="*Verdana-13030-Identity-H"/>
          <w:color w:val="121214"/>
          <w:sz w:val="21"/>
          <w:szCs w:val="21"/>
        </w:rPr>
        <w:t xml:space="preserve"> </w:t>
      </w:r>
      <w:r w:rsidRPr="00991A56">
        <w:rPr>
          <w:rFonts w:ascii="Abadi" w:hAnsi="Abadi" w:cs="*Verdana-13030-Identity-H"/>
          <w:color w:val="121214"/>
          <w:sz w:val="21"/>
          <w:szCs w:val="21"/>
        </w:rPr>
        <w:t>Guanajuato, se advierte que el contenido de la iniciativa no incide en materia electoral.</w:t>
      </w:r>
    </w:p>
    <w:p w14:paraId="17888A60" w14:textId="77777777" w:rsidR="00F91FB5" w:rsidRPr="00991A56" w:rsidRDefault="00F91FB5" w:rsidP="00F91FB5">
      <w:pPr>
        <w:autoSpaceDE w:val="0"/>
        <w:autoSpaceDN w:val="0"/>
        <w:adjustRightInd w:val="0"/>
        <w:jc w:val="both"/>
        <w:rPr>
          <w:rFonts w:ascii="Abadi" w:hAnsi="Abadi" w:cs="*Verdana-13030-Identity-H"/>
          <w:color w:val="121214"/>
          <w:sz w:val="21"/>
          <w:szCs w:val="21"/>
        </w:rPr>
      </w:pPr>
    </w:p>
    <w:p w14:paraId="6C3141F0" w14:textId="77777777" w:rsidR="00F91FB5" w:rsidRDefault="00F91FB5" w:rsidP="00F91FB5">
      <w:pPr>
        <w:autoSpaceDE w:val="0"/>
        <w:autoSpaceDN w:val="0"/>
        <w:adjustRightInd w:val="0"/>
        <w:jc w:val="both"/>
        <w:rPr>
          <w:rFonts w:ascii="Abadi" w:hAnsi="Abadi" w:cs="*Verdana-13030-Identity-H"/>
          <w:color w:val="121214"/>
          <w:sz w:val="21"/>
          <w:szCs w:val="21"/>
        </w:rPr>
      </w:pPr>
      <w:r w:rsidRPr="00991A56">
        <w:rPr>
          <w:rFonts w:ascii="Abadi" w:hAnsi="Abadi" w:cs="*Verdana-13030-Identity-H"/>
          <w:color w:val="121214"/>
          <w:sz w:val="21"/>
          <w:szCs w:val="21"/>
        </w:rPr>
        <w:t>Por su parte, los ayuntamientos de Coroneo, Comonfort, Moroleón, Doctor Mora,</w:t>
      </w:r>
      <w:r>
        <w:rPr>
          <w:rFonts w:ascii="Abadi" w:hAnsi="Abadi" w:cs="*Verdana-13030-Identity-H"/>
          <w:color w:val="121214"/>
          <w:sz w:val="21"/>
          <w:szCs w:val="21"/>
        </w:rPr>
        <w:t xml:space="preserve"> </w:t>
      </w:r>
      <w:r w:rsidRPr="00991A56">
        <w:rPr>
          <w:rFonts w:ascii="Abadi" w:hAnsi="Abadi" w:cs="*Verdana-13030-Identity-H"/>
          <w:color w:val="121214"/>
          <w:sz w:val="21"/>
          <w:szCs w:val="21"/>
        </w:rPr>
        <w:t>Ramita, Santiago Maravatío y Uriangato, acordaron no tener observaciones o</w:t>
      </w:r>
      <w:r>
        <w:rPr>
          <w:rFonts w:ascii="Abadi" w:hAnsi="Abadi" w:cs="*Verdana-13030-Identity-H"/>
          <w:color w:val="121214"/>
          <w:sz w:val="21"/>
          <w:szCs w:val="21"/>
        </w:rPr>
        <w:t xml:space="preserve"> </w:t>
      </w:r>
      <w:r w:rsidRPr="00991A56">
        <w:rPr>
          <w:rFonts w:ascii="Abadi" w:hAnsi="Abadi" w:cs="*Verdana-13030-Identity-H"/>
          <w:color w:val="121214"/>
          <w:sz w:val="21"/>
          <w:szCs w:val="21"/>
        </w:rPr>
        <w:t>comentarios o se dieron por enterados de la iniciativa; mientras que el ayuntamiento</w:t>
      </w:r>
      <w:r>
        <w:rPr>
          <w:rFonts w:ascii="Abadi" w:hAnsi="Abadi" w:cs="*Verdana-13030-Identity-H"/>
          <w:color w:val="121214"/>
          <w:sz w:val="21"/>
          <w:szCs w:val="21"/>
        </w:rPr>
        <w:t xml:space="preserve"> </w:t>
      </w:r>
      <w:r w:rsidRPr="00991A56">
        <w:rPr>
          <w:rFonts w:ascii="Abadi" w:hAnsi="Abadi" w:cs="*Verdana-13030-Identity-H"/>
          <w:color w:val="121214"/>
          <w:sz w:val="21"/>
          <w:szCs w:val="21"/>
        </w:rPr>
        <w:t xml:space="preserve">de San José Iturbide, </w:t>
      </w:r>
      <w:proofErr w:type="spellStart"/>
      <w:r w:rsidRPr="00991A56">
        <w:rPr>
          <w:rFonts w:ascii="Abadi" w:hAnsi="Abadi" w:cs="*Verdana-13030-Identity-H"/>
          <w:color w:val="121214"/>
          <w:sz w:val="21"/>
          <w:szCs w:val="21"/>
        </w:rPr>
        <w:t>Gto</w:t>
      </w:r>
      <w:proofErr w:type="spellEnd"/>
      <w:r w:rsidRPr="00991A56">
        <w:rPr>
          <w:rFonts w:ascii="Abadi" w:hAnsi="Abadi" w:cs="*Verdana-13030-Identity-H"/>
          <w:color w:val="121214"/>
          <w:sz w:val="21"/>
          <w:szCs w:val="21"/>
        </w:rPr>
        <w:t>., la consideró viable.</w:t>
      </w:r>
    </w:p>
    <w:p w14:paraId="38BB95D0" w14:textId="77777777" w:rsidR="00F91FB5" w:rsidRPr="00991A56" w:rsidRDefault="00F91FB5" w:rsidP="00F91FB5">
      <w:pPr>
        <w:autoSpaceDE w:val="0"/>
        <w:autoSpaceDN w:val="0"/>
        <w:adjustRightInd w:val="0"/>
        <w:jc w:val="both"/>
        <w:rPr>
          <w:rFonts w:ascii="Abadi" w:hAnsi="Abadi" w:cs="*Verdana-13030-Identity-H"/>
          <w:color w:val="121214"/>
          <w:sz w:val="21"/>
          <w:szCs w:val="21"/>
        </w:rPr>
      </w:pPr>
    </w:p>
    <w:p w14:paraId="0F6F2FB2" w14:textId="77777777" w:rsidR="00F91FB5" w:rsidRDefault="00F91FB5" w:rsidP="00F91FB5">
      <w:pPr>
        <w:autoSpaceDE w:val="0"/>
        <w:autoSpaceDN w:val="0"/>
        <w:adjustRightInd w:val="0"/>
        <w:jc w:val="both"/>
        <w:rPr>
          <w:rFonts w:ascii="Abadi" w:hAnsi="Abadi" w:cs="*Verdana-13030-Identity-H"/>
          <w:color w:val="121114"/>
          <w:sz w:val="21"/>
          <w:szCs w:val="21"/>
        </w:rPr>
      </w:pPr>
      <w:r w:rsidRPr="00991A56">
        <w:rPr>
          <w:rFonts w:ascii="Abadi" w:hAnsi="Abadi" w:cs="*Verdana-13030-Identity-H"/>
          <w:color w:val="121114"/>
          <w:sz w:val="21"/>
          <w:szCs w:val="21"/>
        </w:rPr>
        <w:t>Se elaboró un documento con formato de comparativo, mismo que se circuló a quienes</w:t>
      </w:r>
      <w:r>
        <w:rPr>
          <w:rFonts w:ascii="Abadi" w:hAnsi="Abadi" w:cs="*Verdana-13030-Identity-H"/>
          <w:color w:val="121114"/>
          <w:sz w:val="21"/>
          <w:szCs w:val="21"/>
        </w:rPr>
        <w:t xml:space="preserve"> </w:t>
      </w:r>
      <w:r w:rsidRPr="00991A56">
        <w:rPr>
          <w:rFonts w:ascii="Abadi" w:hAnsi="Abadi" w:cs="*Verdana-13030-Identity-H"/>
          <w:color w:val="121114"/>
          <w:sz w:val="21"/>
          <w:szCs w:val="21"/>
        </w:rPr>
        <w:t>integraban la Comisión el 9 de agosto de 2019.</w:t>
      </w:r>
    </w:p>
    <w:p w14:paraId="17680931" w14:textId="77777777" w:rsidR="00F91FB5" w:rsidRDefault="00F91FB5" w:rsidP="00F91FB5">
      <w:pPr>
        <w:autoSpaceDE w:val="0"/>
        <w:autoSpaceDN w:val="0"/>
        <w:adjustRightInd w:val="0"/>
        <w:jc w:val="both"/>
        <w:rPr>
          <w:rFonts w:ascii="Abadi" w:hAnsi="Abadi" w:cs="*Verdana-13030-Identity-H"/>
          <w:color w:val="121214"/>
          <w:sz w:val="21"/>
          <w:szCs w:val="21"/>
        </w:rPr>
      </w:pPr>
      <w:r w:rsidRPr="00991A56">
        <w:rPr>
          <w:rFonts w:ascii="Abadi" w:hAnsi="Abadi" w:cs="*Verdana-13030-Identity-H"/>
          <w:color w:val="121214"/>
          <w:sz w:val="21"/>
          <w:szCs w:val="21"/>
        </w:rPr>
        <w:t>El 9 de noviembre de 2020 se llevó a cabo una mesa de trabajo, en la que participaron</w:t>
      </w:r>
      <w:r>
        <w:rPr>
          <w:rFonts w:ascii="Abadi" w:hAnsi="Abadi" w:cs="*Verdana-13030-Identity-H"/>
          <w:color w:val="121214"/>
          <w:sz w:val="21"/>
          <w:szCs w:val="21"/>
        </w:rPr>
        <w:t xml:space="preserve"> </w:t>
      </w:r>
      <w:r w:rsidRPr="00991A56">
        <w:rPr>
          <w:rFonts w:ascii="Abadi" w:hAnsi="Abadi" w:cs="*Verdana-13030-Identity-H"/>
          <w:color w:val="121214"/>
          <w:sz w:val="21"/>
          <w:szCs w:val="21"/>
        </w:rPr>
        <w:t>las diputadas Alejandra Gutiérrez Campos, Celeste Gómez Fragoso y Claudia Silva</w:t>
      </w:r>
      <w:r>
        <w:rPr>
          <w:rFonts w:ascii="Abadi" w:hAnsi="Abadi" w:cs="*Verdana-13030-Identity-H"/>
          <w:color w:val="121214"/>
          <w:sz w:val="21"/>
          <w:szCs w:val="21"/>
        </w:rPr>
        <w:t xml:space="preserve"> </w:t>
      </w:r>
      <w:r w:rsidRPr="00991A56">
        <w:rPr>
          <w:rFonts w:ascii="Abadi" w:hAnsi="Abadi" w:cs="*Verdana-13030-Identity-H"/>
          <w:color w:val="121214"/>
          <w:sz w:val="21"/>
          <w:szCs w:val="21"/>
        </w:rPr>
        <w:t>Campos y el diputado Víctor Manuel Zanella Huerta, integrantes de la Comisión de</w:t>
      </w:r>
      <w:r>
        <w:rPr>
          <w:rFonts w:ascii="Abadi" w:hAnsi="Abadi" w:cs="*Verdana-13030-Identity-H"/>
          <w:color w:val="121214"/>
          <w:sz w:val="21"/>
          <w:szCs w:val="21"/>
        </w:rPr>
        <w:t xml:space="preserve"> </w:t>
      </w:r>
      <w:r w:rsidRPr="00991A56">
        <w:rPr>
          <w:rFonts w:ascii="Abadi" w:hAnsi="Abadi" w:cs="*Verdana-13030-Identity-H"/>
          <w:color w:val="121214"/>
          <w:sz w:val="21"/>
          <w:szCs w:val="21"/>
        </w:rPr>
        <w:t>Hacienda y Fiscalización de la pasada Legislatura, así como la diputada Vanessa</w:t>
      </w:r>
      <w:r>
        <w:rPr>
          <w:rFonts w:ascii="Abadi" w:hAnsi="Abadi" w:cs="*Verdana-13030-Identity-H"/>
          <w:color w:val="121214"/>
          <w:sz w:val="21"/>
          <w:szCs w:val="21"/>
        </w:rPr>
        <w:t xml:space="preserve"> </w:t>
      </w:r>
      <w:r w:rsidRPr="00991A56">
        <w:rPr>
          <w:rFonts w:ascii="Abadi" w:hAnsi="Abadi" w:cs="*Verdana-13030-Identity-H"/>
          <w:color w:val="121214"/>
          <w:sz w:val="21"/>
          <w:szCs w:val="21"/>
        </w:rPr>
        <w:t>Sánchez Cordero, integrante del Grupo Parlamentario del Partido Verde Ecologista de</w:t>
      </w:r>
      <w:r>
        <w:rPr>
          <w:rFonts w:ascii="Abadi" w:hAnsi="Abadi" w:cs="*Verdana-13030-Identity-H"/>
          <w:color w:val="121214"/>
          <w:sz w:val="21"/>
          <w:szCs w:val="21"/>
        </w:rPr>
        <w:t xml:space="preserve"> </w:t>
      </w:r>
      <w:r w:rsidRPr="00991A56">
        <w:rPr>
          <w:rFonts w:ascii="Abadi" w:hAnsi="Abadi" w:cs="*Verdana-13030-Identity-H"/>
          <w:color w:val="121214"/>
          <w:sz w:val="21"/>
          <w:szCs w:val="21"/>
        </w:rPr>
        <w:t>México, la diputada María Magdalena Rosales Cruz y los diputados Ernesto Alejandro</w:t>
      </w:r>
      <w:r>
        <w:rPr>
          <w:rFonts w:ascii="Abadi" w:hAnsi="Abadi" w:cs="*Verdana-13030-Identity-H"/>
          <w:color w:val="121214"/>
          <w:sz w:val="21"/>
          <w:szCs w:val="21"/>
        </w:rPr>
        <w:t xml:space="preserve"> </w:t>
      </w:r>
      <w:r w:rsidRPr="00991A56">
        <w:rPr>
          <w:rFonts w:ascii="Abadi" w:hAnsi="Abadi" w:cs="*Verdana-13030-Identity-H"/>
          <w:color w:val="121214"/>
          <w:sz w:val="21"/>
          <w:szCs w:val="21"/>
        </w:rPr>
        <w:t>Prieto Gallado y Raúl Humberto Márquez Albo, integrantes del Grupo Parlamentario del</w:t>
      </w:r>
      <w:r>
        <w:rPr>
          <w:rFonts w:ascii="Abadi" w:hAnsi="Abadi" w:cs="*Verdana-13030-Identity-H"/>
          <w:color w:val="121214"/>
          <w:sz w:val="21"/>
          <w:szCs w:val="21"/>
        </w:rPr>
        <w:t xml:space="preserve"> </w:t>
      </w:r>
      <w:r w:rsidRPr="00991A56">
        <w:rPr>
          <w:rFonts w:ascii="Abadi" w:hAnsi="Abadi" w:cs="*Verdana-13030-Identity-H"/>
          <w:color w:val="121214"/>
          <w:sz w:val="21"/>
          <w:szCs w:val="21"/>
        </w:rPr>
        <w:t>Partido MORENA, asesores de los grupos parlamentarios representados en la Comisión,</w:t>
      </w:r>
      <w:r>
        <w:rPr>
          <w:rFonts w:ascii="Abadi" w:hAnsi="Abadi" w:cs="*Verdana-13030-Identity-H"/>
          <w:color w:val="121214"/>
          <w:sz w:val="21"/>
          <w:szCs w:val="21"/>
        </w:rPr>
        <w:t xml:space="preserve"> </w:t>
      </w:r>
      <w:r w:rsidRPr="00991A56">
        <w:rPr>
          <w:rFonts w:ascii="Abadi" w:hAnsi="Abadi" w:cs="*Verdana-13030-Identity-H"/>
          <w:color w:val="121214"/>
          <w:sz w:val="21"/>
          <w:szCs w:val="21"/>
        </w:rPr>
        <w:t>así como de los grupos parlamentarios de los partidos Verde Ecologista de México y</w:t>
      </w:r>
      <w:r>
        <w:rPr>
          <w:rFonts w:ascii="Abadi" w:hAnsi="Abadi" w:cs="*Verdana-13030-Identity-H"/>
          <w:color w:val="121214"/>
          <w:sz w:val="21"/>
          <w:szCs w:val="21"/>
        </w:rPr>
        <w:t xml:space="preserve"> </w:t>
      </w:r>
      <w:r w:rsidRPr="00991A56">
        <w:rPr>
          <w:rFonts w:ascii="Abadi" w:hAnsi="Abadi" w:cs="*Verdana-13030-Identity-H"/>
          <w:color w:val="121214"/>
          <w:sz w:val="21"/>
          <w:szCs w:val="21"/>
        </w:rPr>
        <w:t>MORENA, funcionarios de la Coordinación General Jurídica, de la Secretaría de</w:t>
      </w:r>
      <w:r>
        <w:rPr>
          <w:rFonts w:ascii="Abadi" w:hAnsi="Abadi" w:cs="*Verdana-13030-Identity-H"/>
          <w:color w:val="121214"/>
          <w:sz w:val="21"/>
          <w:szCs w:val="21"/>
        </w:rPr>
        <w:t xml:space="preserve"> </w:t>
      </w:r>
      <w:r w:rsidRPr="00991A56">
        <w:rPr>
          <w:rFonts w:ascii="Abadi" w:hAnsi="Abadi" w:cs="*Verdana-13030-Identity-H"/>
          <w:color w:val="121214"/>
          <w:sz w:val="21"/>
          <w:szCs w:val="21"/>
        </w:rPr>
        <w:t>Finanzas, Inversión y Administración, de la Auditoría Superior del Estado y de la</w:t>
      </w:r>
      <w:r>
        <w:rPr>
          <w:rFonts w:ascii="Abadi" w:hAnsi="Abadi" w:cs="*Verdana-13030-Identity-H"/>
          <w:color w:val="121214"/>
          <w:sz w:val="21"/>
          <w:szCs w:val="21"/>
        </w:rPr>
        <w:t xml:space="preserve"> </w:t>
      </w:r>
      <w:r w:rsidRPr="00991A56">
        <w:rPr>
          <w:rFonts w:ascii="Abadi" w:hAnsi="Abadi" w:cs="*Verdana-13030-Identity-H"/>
          <w:color w:val="121214"/>
          <w:sz w:val="21"/>
          <w:szCs w:val="21"/>
        </w:rPr>
        <w:t>Unidad de Estudios de las Finanzas Públicas del Congreso del Estado y la secretaría</w:t>
      </w:r>
      <w:r>
        <w:rPr>
          <w:rFonts w:ascii="Abadi" w:hAnsi="Abadi" w:cs="*Verdana-13030-Identity-H"/>
          <w:color w:val="121214"/>
          <w:sz w:val="21"/>
          <w:szCs w:val="21"/>
        </w:rPr>
        <w:t xml:space="preserve"> </w:t>
      </w:r>
      <w:r w:rsidRPr="00991A56">
        <w:rPr>
          <w:rFonts w:ascii="Abadi" w:hAnsi="Abadi" w:cs="*Verdana-13030-Identity-H"/>
          <w:color w:val="121214"/>
          <w:sz w:val="21"/>
          <w:szCs w:val="21"/>
        </w:rPr>
        <w:t>técnica, en la que analizaron y discutieron la iniciativa.</w:t>
      </w:r>
    </w:p>
    <w:p w14:paraId="0D354CC2" w14:textId="77777777" w:rsidR="00F91FB5" w:rsidRPr="00991A56" w:rsidRDefault="00F91FB5" w:rsidP="00F91FB5">
      <w:pPr>
        <w:autoSpaceDE w:val="0"/>
        <w:autoSpaceDN w:val="0"/>
        <w:adjustRightInd w:val="0"/>
        <w:jc w:val="both"/>
        <w:rPr>
          <w:rFonts w:ascii="Abadi" w:hAnsi="Abadi" w:cs="*Verdana-13030-Identity-H"/>
          <w:color w:val="121214"/>
          <w:sz w:val="21"/>
          <w:szCs w:val="21"/>
        </w:rPr>
      </w:pPr>
    </w:p>
    <w:p w14:paraId="50CE6B8B" w14:textId="77777777" w:rsidR="00F91FB5" w:rsidRPr="00991A56" w:rsidRDefault="00F91FB5" w:rsidP="00F91FB5">
      <w:pPr>
        <w:autoSpaceDE w:val="0"/>
        <w:autoSpaceDN w:val="0"/>
        <w:adjustRightInd w:val="0"/>
        <w:jc w:val="both"/>
        <w:rPr>
          <w:rFonts w:ascii="Abadi" w:hAnsi="Abadi" w:cs="*Verdana-13030-Identity-H"/>
          <w:color w:val="121214"/>
          <w:sz w:val="21"/>
          <w:szCs w:val="21"/>
        </w:rPr>
      </w:pPr>
      <w:r w:rsidRPr="00991A56">
        <w:rPr>
          <w:rFonts w:ascii="Abadi" w:hAnsi="Abadi" w:cs="*Verdana-13030-Identity-H"/>
          <w:color w:val="121214"/>
          <w:sz w:val="21"/>
          <w:szCs w:val="21"/>
        </w:rPr>
        <w:t>En dicha mesa de trabajo, a petición de la diputada iniciante se determinó que</w:t>
      </w:r>
      <w:r>
        <w:rPr>
          <w:rFonts w:ascii="Abadi" w:hAnsi="Abadi" w:cs="*Verdana-13030-Identity-H"/>
          <w:color w:val="121214"/>
          <w:sz w:val="21"/>
          <w:szCs w:val="21"/>
        </w:rPr>
        <w:t xml:space="preserve"> </w:t>
      </w:r>
      <w:r w:rsidRPr="00991A56">
        <w:rPr>
          <w:rFonts w:ascii="Abadi" w:hAnsi="Abadi" w:cs="*Verdana-13030-Identity-H"/>
          <w:color w:val="121214"/>
          <w:sz w:val="21"/>
          <w:szCs w:val="21"/>
        </w:rPr>
        <w:t>presentarían una contrapropuesta, a fin de replantear algunos conceptos propuestos</w:t>
      </w:r>
      <w:r>
        <w:rPr>
          <w:rFonts w:ascii="Abadi" w:hAnsi="Abadi" w:cs="*Verdana-13030-Identity-H"/>
          <w:color w:val="121214"/>
          <w:sz w:val="21"/>
          <w:szCs w:val="21"/>
        </w:rPr>
        <w:t xml:space="preserve"> </w:t>
      </w:r>
      <w:r w:rsidRPr="00991A56">
        <w:rPr>
          <w:rFonts w:ascii="Abadi" w:hAnsi="Abadi" w:cs="*Verdana-13030-Identity-H"/>
          <w:color w:val="121214"/>
          <w:sz w:val="21"/>
          <w:szCs w:val="21"/>
        </w:rPr>
        <w:t>en la iniciativa. No obstante, no se presentó la referida contrapropuesta.</w:t>
      </w:r>
    </w:p>
    <w:p w14:paraId="1A008EC3" w14:textId="77777777" w:rsidR="00F91FB5" w:rsidRDefault="00F91FB5" w:rsidP="00F91FB5">
      <w:pPr>
        <w:autoSpaceDE w:val="0"/>
        <w:autoSpaceDN w:val="0"/>
        <w:adjustRightInd w:val="0"/>
        <w:jc w:val="both"/>
        <w:rPr>
          <w:rFonts w:ascii="Abadi" w:hAnsi="Abadi" w:cs="*Verdana-15238-Identity-H"/>
          <w:color w:val="111113"/>
          <w:sz w:val="21"/>
          <w:szCs w:val="21"/>
        </w:rPr>
      </w:pPr>
    </w:p>
    <w:p w14:paraId="22718B75" w14:textId="77777777" w:rsidR="00F91FB5" w:rsidRDefault="00F91FB5" w:rsidP="00F91FB5">
      <w:pPr>
        <w:autoSpaceDE w:val="0"/>
        <w:autoSpaceDN w:val="0"/>
        <w:adjustRightInd w:val="0"/>
        <w:jc w:val="both"/>
        <w:rPr>
          <w:rFonts w:ascii="Abadi" w:hAnsi="Abadi" w:cs="*Verdana-15238-Identity-H"/>
          <w:color w:val="111113"/>
          <w:sz w:val="21"/>
          <w:szCs w:val="21"/>
        </w:rPr>
      </w:pPr>
      <w:r w:rsidRPr="002E0CED">
        <w:rPr>
          <w:rFonts w:ascii="Abadi" w:hAnsi="Abadi" w:cs="*Verdana-15238-Identity-H"/>
          <w:b/>
          <w:bCs/>
          <w:color w:val="111113"/>
          <w:sz w:val="21"/>
          <w:szCs w:val="21"/>
        </w:rPr>
        <w:t>1.3.</w:t>
      </w:r>
      <w:r w:rsidRPr="00991A56">
        <w:rPr>
          <w:rFonts w:ascii="Abadi" w:hAnsi="Abadi" w:cs="*Verdana-15238-Identity-H"/>
          <w:color w:val="111113"/>
          <w:sz w:val="21"/>
          <w:szCs w:val="21"/>
        </w:rPr>
        <w:t xml:space="preserve"> La presidencia instruyó a la secretaría técnica la elaboración del proyecto de</w:t>
      </w:r>
      <w:r>
        <w:rPr>
          <w:rFonts w:ascii="Abadi" w:hAnsi="Abadi" w:cs="*Verdana-15238-Identity-H"/>
          <w:color w:val="111113"/>
          <w:sz w:val="21"/>
          <w:szCs w:val="21"/>
        </w:rPr>
        <w:t xml:space="preserve"> </w:t>
      </w:r>
      <w:r w:rsidRPr="00991A56">
        <w:rPr>
          <w:rFonts w:ascii="Abadi" w:hAnsi="Abadi" w:cs="*Verdana-15238-Identity-H"/>
          <w:color w:val="111113"/>
          <w:sz w:val="21"/>
          <w:szCs w:val="21"/>
        </w:rPr>
        <w:t>dictamen en sentido negativo, conforme lo dispuesto en los artículos 94, fracción VII y</w:t>
      </w:r>
      <w:r>
        <w:rPr>
          <w:rFonts w:ascii="Abadi" w:hAnsi="Abadi" w:cs="*Verdana-15238-Identity-H"/>
          <w:color w:val="111113"/>
          <w:sz w:val="21"/>
          <w:szCs w:val="21"/>
        </w:rPr>
        <w:t xml:space="preserve"> </w:t>
      </w:r>
      <w:r w:rsidRPr="00991A56">
        <w:rPr>
          <w:rFonts w:ascii="Abadi" w:hAnsi="Abadi" w:cs="*Verdana-15238-Identity-H"/>
          <w:color w:val="111113"/>
          <w:sz w:val="21"/>
          <w:szCs w:val="21"/>
        </w:rPr>
        <w:t>272 fracción VIII inciso e de la Ley Orgánica del Poder Legislativo del Estado, dicho</w:t>
      </w:r>
      <w:r>
        <w:rPr>
          <w:rFonts w:ascii="Abadi" w:hAnsi="Abadi" w:cs="*Verdana-15238-Identity-H"/>
          <w:color w:val="111113"/>
          <w:sz w:val="21"/>
          <w:szCs w:val="21"/>
        </w:rPr>
        <w:t xml:space="preserve"> </w:t>
      </w:r>
      <w:r w:rsidRPr="00991A56">
        <w:rPr>
          <w:rFonts w:ascii="Abadi" w:hAnsi="Abadi" w:cs="*Verdana-15238-Identity-H"/>
          <w:color w:val="111113"/>
          <w:sz w:val="21"/>
          <w:szCs w:val="21"/>
        </w:rPr>
        <w:t>proyecto fue materia de revisión por las diputadas y el diputado Integrantes de esta</w:t>
      </w:r>
      <w:r>
        <w:rPr>
          <w:rFonts w:ascii="Abadi" w:hAnsi="Abadi" w:cs="*Verdana-15238-Identity-H"/>
          <w:color w:val="111113"/>
          <w:sz w:val="21"/>
          <w:szCs w:val="21"/>
        </w:rPr>
        <w:t xml:space="preserve"> </w:t>
      </w:r>
      <w:r w:rsidRPr="00991A56">
        <w:rPr>
          <w:rFonts w:ascii="Abadi" w:hAnsi="Abadi" w:cs="*Verdana-15238-Identity-H"/>
          <w:color w:val="111113"/>
          <w:sz w:val="21"/>
          <w:szCs w:val="21"/>
        </w:rPr>
        <w:t>Comisión Dictaminadora.</w:t>
      </w:r>
    </w:p>
    <w:p w14:paraId="78FFDF51" w14:textId="77777777" w:rsidR="00F91FB5" w:rsidRPr="00991A56" w:rsidRDefault="00F91FB5" w:rsidP="00F91FB5">
      <w:pPr>
        <w:autoSpaceDE w:val="0"/>
        <w:autoSpaceDN w:val="0"/>
        <w:adjustRightInd w:val="0"/>
        <w:jc w:val="both"/>
        <w:rPr>
          <w:rFonts w:ascii="Abadi" w:hAnsi="Abadi" w:cs="*Verdana-15238-Identity-H"/>
          <w:color w:val="111113"/>
          <w:sz w:val="21"/>
          <w:szCs w:val="21"/>
        </w:rPr>
      </w:pPr>
    </w:p>
    <w:p w14:paraId="0B272223" w14:textId="77777777" w:rsidR="00F91FB5" w:rsidRDefault="00F91FB5" w:rsidP="00F91FB5">
      <w:pPr>
        <w:autoSpaceDE w:val="0"/>
        <w:autoSpaceDN w:val="0"/>
        <w:adjustRightInd w:val="0"/>
        <w:jc w:val="both"/>
        <w:rPr>
          <w:rFonts w:ascii="Abadi" w:hAnsi="Abadi" w:cs="*Tahoma-Bold-15240-Identity-H"/>
          <w:b/>
          <w:bCs/>
          <w:color w:val="0E0D13"/>
          <w:sz w:val="21"/>
          <w:szCs w:val="21"/>
        </w:rPr>
      </w:pPr>
      <w:r w:rsidRPr="00991A56">
        <w:rPr>
          <w:rFonts w:ascii="Abadi" w:hAnsi="Abadi" w:cs="*Tahoma-Bold-15240-Identity-H"/>
          <w:b/>
          <w:bCs/>
          <w:color w:val="0E0D13"/>
          <w:sz w:val="21"/>
          <w:szCs w:val="21"/>
        </w:rPr>
        <w:t>II. Consideraciones de la diputada y el diputado iniciantes.</w:t>
      </w:r>
    </w:p>
    <w:p w14:paraId="775547FE" w14:textId="77777777" w:rsidR="00F91FB5" w:rsidRPr="00991A56" w:rsidRDefault="00F91FB5" w:rsidP="00F91FB5">
      <w:pPr>
        <w:autoSpaceDE w:val="0"/>
        <w:autoSpaceDN w:val="0"/>
        <w:adjustRightInd w:val="0"/>
        <w:jc w:val="both"/>
        <w:rPr>
          <w:rFonts w:ascii="Abadi" w:hAnsi="Abadi" w:cs="*Tahoma-Bold-15240-Identity-H"/>
          <w:b/>
          <w:bCs/>
          <w:color w:val="0E0D13"/>
          <w:sz w:val="21"/>
          <w:szCs w:val="21"/>
        </w:rPr>
      </w:pPr>
    </w:p>
    <w:p w14:paraId="1DB7CCB8" w14:textId="77777777" w:rsidR="00F91FB5" w:rsidRDefault="00F91FB5" w:rsidP="00F91FB5">
      <w:pPr>
        <w:autoSpaceDE w:val="0"/>
        <w:autoSpaceDN w:val="0"/>
        <w:adjustRightInd w:val="0"/>
        <w:jc w:val="both"/>
        <w:rPr>
          <w:rFonts w:ascii="Abadi" w:hAnsi="Abadi" w:cs="*Verdana-15238-Identity-H"/>
          <w:color w:val="161619"/>
          <w:sz w:val="21"/>
          <w:szCs w:val="21"/>
        </w:rPr>
      </w:pPr>
      <w:r w:rsidRPr="00991A56">
        <w:rPr>
          <w:rFonts w:ascii="Abadi" w:hAnsi="Abadi" w:cs="*Verdana-15238-Identity-H"/>
          <w:color w:val="161619"/>
          <w:sz w:val="21"/>
          <w:szCs w:val="21"/>
        </w:rPr>
        <w:t>En la exposición de motivos de la iniciativa materia del presente dictamen, se</w:t>
      </w:r>
      <w:r>
        <w:rPr>
          <w:rFonts w:ascii="Abadi" w:hAnsi="Abadi" w:cs="*Verdana-15238-Identity-H"/>
          <w:color w:val="161619"/>
          <w:sz w:val="21"/>
          <w:szCs w:val="21"/>
        </w:rPr>
        <w:t xml:space="preserve"> </w:t>
      </w:r>
      <w:r w:rsidRPr="00991A56">
        <w:rPr>
          <w:rFonts w:ascii="Abadi" w:hAnsi="Abadi" w:cs="*Verdana-15238-Identity-H"/>
          <w:color w:val="161619"/>
          <w:sz w:val="21"/>
          <w:szCs w:val="21"/>
        </w:rPr>
        <w:t>refiere:</w:t>
      </w:r>
    </w:p>
    <w:p w14:paraId="2F35629F" w14:textId="77777777" w:rsidR="00F91FB5" w:rsidRPr="00991A56" w:rsidRDefault="00F91FB5" w:rsidP="00F91FB5">
      <w:pPr>
        <w:autoSpaceDE w:val="0"/>
        <w:autoSpaceDN w:val="0"/>
        <w:adjustRightInd w:val="0"/>
        <w:jc w:val="both"/>
        <w:rPr>
          <w:rFonts w:ascii="Abadi" w:hAnsi="Abadi" w:cs="*Verdana-15238-Identity-H"/>
          <w:color w:val="161619"/>
          <w:sz w:val="21"/>
          <w:szCs w:val="21"/>
        </w:rPr>
      </w:pPr>
    </w:p>
    <w:p w14:paraId="2E1534F2" w14:textId="6261B3A8" w:rsidR="00F91FB5" w:rsidRDefault="00F91FB5" w:rsidP="00F91FB5">
      <w:pPr>
        <w:autoSpaceDE w:val="0"/>
        <w:autoSpaceDN w:val="0"/>
        <w:adjustRightInd w:val="0"/>
        <w:ind w:left="426"/>
        <w:jc w:val="both"/>
        <w:rPr>
          <w:rFonts w:ascii="Abadi" w:hAnsi="Abadi" w:cs="*Tahoma-BoldItalic-15239-Identi"/>
          <w:b/>
          <w:bCs/>
          <w:i/>
          <w:iCs/>
          <w:color w:val="19191B"/>
          <w:sz w:val="21"/>
          <w:szCs w:val="21"/>
        </w:rPr>
      </w:pPr>
      <w:r w:rsidRPr="00991A56">
        <w:rPr>
          <w:rFonts w:ascii="Abadi" w:hAnsi="Abadi" w:cs="*Verdana-Italic-15237-Identity-"/>
          <w:i/>
          <w:iCs/>
          <w:color w:val="19191B"/>
          <w:sz w:val="21"/>
          <w:szCs w:val="21"/>
        </w:rPr>
        <w:t>"Dentro del espacio de los Indicadores económicos, el salario es uno de los de mayor</w:t>
      </w:r>
      <w:r>
        <w:rPr>
          <w:rFonts w:ascii="Abadi" w:hAnsi="Abadi" w:cs="*Verdana-Italic-15237-Identity-"/>
          <w:i/>
          <w:iCs/>
          <w:color w:val="19191B"/>
          <w:sz w:val="21"/>
          <w:szCs w:val="21"/>
        </w:rPr>
        <w:t xml:space="preserve"> </w:t>
      </w:r>
      <w:r w:rsidRPr="00991A56">
        <w:rPr>
          <w:rFonts w:ascii="Abadi" w:hAnsi="Abadi" w:cs="*Verdana-Italic-15237-Identity-"/>
          <w:i/>
          <w:iCs/>
          <w:color w:val="19191B"/>
          <w:sz w:val="21"/>
          <w:szCs w:val="21"/>
        </w:rPr>
        <w:t>relevancia. El salario tiene un papel primordial en la economía por varias razones.</w:t>
      </w:r>
      <w:r>
        <w:rPr>
          <w:rFonts w:ascii="Abadi" w:hAnsi="Abadi" w:cs="*Verdana-Italic-15237-Identity-"/>
          <w:i/>
          <w:iCs/>
          <w:color w:val="19191B"/>
          <w:sz w:val="21"/>
          <w:szCs w:val="21"/>
        </w:rPr>
        <w:t xml:space="preserve"> </w:t>
      </w:r>
      <w:r w:rsidRPr="00991A56">
        <w:rPr>
          <w:rFonts w:ascii="Abadi" w:hAnsi="Abadi" w:cs="*Verdana-Italic-15237-Identity-"/>
          <w:i/>
          <w:iCs/>
          <w:color w:val="19191B"/>
          <w:sz w:val="21"/>
          <w:szCs w:val="21"/>
        </w:rPr>
        <w:t>Primero, porque opera como referencia para el intercambio económico entre el sector</w:t>
      </w:r>
      <w:r>
        <w:rPr>
          <w:rFonts w:ascii="Abadi" w:hAnsi="Abadi" w:cs="*Verdana-Italic-15237-Identity-"/>
          <w:i/>
          <w:iCs/>
          <w:color w:val="19191B"/>
          <w:sz w:val="21"/>
          <w:szCs w:val="21"/>
        </w:rPr>
        <w:t xml:space="preserve"> </w:t>
      </w:r>
      <w:r w:rsidRPr="00991A56">
        <w:rPr>
          <w:rFonts w:ascii="Abadi" w:hAnsi="Abadi" w:cs="*Verdana-Italic-15237-Identity-"/>
          <w:i/>
          <w:iCs/>
          <w:color w:val="19191B"/>
          <w:sz w:val="21"/>
          <w:szCs w:val="21"/>
        </w:rPr>
        <w:t>laboral y el patronal. En segundo lugar, por la Influencia que ejerce sobre otras variables</w:t>
      </w:r>
      <w:r>
        <w:rPr>
          <w:rFonts w:ascii="Abadi" w:hAnsi="Abadi" w:cs="*Verdana-Italic-15237-Identity-"/>
          <w:i/>
          <w:iCs/>
          <w:color w:val="19191B"/>
          <w:sz w:val="21"/>
          <w:szCs w:val="21"/>
        </w:rPr>
        <w:t xml:space="preserve"> </w:t>
      </w:r>
      <w:r w:rsidRPr="00991A56">
        <w:rPr>
          <w:rFonts w:ascii="Abadi" w:hAnsi="Abadi" w:cs="*Verdana-Italic-15237-Identity-"/>
          <w:i/>
          <w:iCs/>
          <w:color w:val="19191B"/>
          <w:sz w:val="21"/>
          <w:szCs w:val="21"/>
        </w:rPr>
        <w:t>económicas, tales como: el n</w:t>
      </w:r>
      <w:r>
        <w:rPr>
          <w:rFonts w:ascii="Abadi" w:hAnsi="Abadi" w:cs="*Verdana-Italic-15237-Identity-"/>
          <w:i/>
          <w:iCs/>
          <w:color w:val="19191B"/>
          <w:sz w:val="21"/>
          <w:szCs w:val="21"/>
        </w:rPr>
        <w:t>ivel</w:t>
      </w:r>
      <w:r w:rsidRPr="00991A56">
        <w:rPr>
          <w:rFonts w:ascii="Abadi" w:hAnsi="Abadi" w:cs="*Verdana-Italic-15237-Identity-"/>
          <w:i/>
          <w:iCs/>
          <w:color w:val="19191B"/>
          <w:sz w:val="21"/>
          <w:szCs w:val="21"/>
        </w:rPr>
        <w:t xml:space="preserve"> de empleo, la evolución de los precios, el consumo, el</w:t>
      </w:r>
      <w:r>
        <w:rPr>
          <w:rFonts w:ascii="Abadi" w:hAnsi="Abadi" w:cs="*Verdana-Italic-15237-Identity-"/>
          <w:i/>
          <w:iCs/>
          <w:color w:val="19191B"/>
          <w:sz w:val="21"/>
          <w:szCs w:val="21"/>
        </w:rPr>
        <w:t xml:space="preserve"> </w:t>
      </w:r>
      <w:r w:rsidRPr="00991A56">
        <w:rPr>
          <w:rFonts w:ascii="Abadi" w:hAnsi="Abadi" w:cs="*Verdana-Italic-15237-Identity-"/>
          <w:i/>
          <w:iCs/>
          <w:color w:val="19191B"/>
          <w:sz w:val="21"/>
          <w:szCs w:val="21"/>
        </w:rPr>
        <w:t>ahorro y el nivel de vida. Tercero, por la importancia que tiene en la determinación de la</w:t>
      </w:r>
      <w:r>
        <w:rPr>
          <w:rFonts w:ascii="Abadi" w:hAnsi="Abadi" w:cs="*Verdana-Italic-15237-Identity-"/>
          <w:i/>
          <w:iCs/>
          <w:color w:val="19191B"/>
          <w:sz w:val="21"/>
          <w:szCs w:val="21"/>
        </w:rPr>
        <w:t xml:space="preserve"> </w:t>
      </w:r>
      <w:r w:rsidRPr="00991A56">
        <w:rPr>
          <w:rFonts w:ascii="Abadi" w:hAnsi="Abadi" w:cs="*Verdana-Italic-15237-Identity-"/>
          <w:i/>
          <w:iCs/>
          <w:color w:val="19191B"/>
          <w:sz w:val="21"/>
          <w:szCs w:val="21"/>
        </w:rPr>
        <w:t>competitividad de un país, v</w:t>
      </w:r>
      <w:r>
        <w:rPr>
          <w:rFonts w:ascii="Abadi" w:hAnsi="Abadi" w:cs="*Verdana-Italic-15237-Identity-"/>
          <w:i/>
          <w:iCs/>
          <w:color w:val="19191B"/>
          <w:sz w:val="21"/>
          <w:szCs w:val="21"/>
        </w:rPr>
        <w:t>í</w:t>
      </w:r>
      <w:r w:rsidRPr="00991A56">
        <w:rPr>
          <w:rFonts w:ascii="Abadi" w:hAnsi="Abadi" w:cs="*Verdana-Italic-15237-Identity-"/>
          <w:i/>
          <w:iCs/>
          <w:color w:val="19191B"/>
          <w:sz w:val="21"/>
          <w:szCs w:val="21"/>
        </w:rPr>
        <w:t>a los costos de producción. "</w:t>
      </w:r>
      <w:r w:rsidR="003F74F2">
        <w:rPr>
          <w:rStyle w:val="Refdenotaalpie"/>
          <w:rFonts w:ascii="Abadi" w:hAnsi="Abadi" w:cs="*Verdana-Italic-15237-Identity-"/>
          <w:i/>
          <w:iCs/>
          <w:color w:val="19191B"/>
          <w:sz w:val="21"/>
          <w:szCs w:val="21"/>
        </w:rPr>
        <w:footnoteReference w:id="43"/>
      </w:r>
    </w:p>
    <w:p w14:paraId="7E9CF0D1" w14:textId="77777777" w:rsidR="00F91FB5" w:rsidRPr="00991A56" w:rsidRDefault="00F91FB5" w:rsidP="00F91FB5">
      <w:pPr>
        <w:autoSpaceDE w:val="0"/>
        <w:autoSpaceDN w:val="0"/>
        <w:adjustRightInd w:val="0"/>
        <w:ind w:left="426"/>
        <w:jc w:val="both"/>
        <w:rPr>
          <w:rFonts w:ascii="Abadi" w:hAnsi="Abadi" w:cs="*Tahoma-BoldItalic-15239-Identi"/>
          <w:b/>
          <w:bCs/>
          <w:i/>
          <w:iCs/>
          <w:color w:val="19191B"/>
          <w:sz w:val="21"/>
          <w:szCs w:val="21"/>
        </w:rPr>
      </w:pPr>
    </w:p>
    <w:p w14:paraId="65CF7803" w14:textId="77777777" w:rsidR="00F91FB5" w:rsidRDefault="00F91FB5" w:rsidP="00F91FB5">
      <w:pPr>
        <w:autoSpaceDE w:val="0"/>
        <w:autoSpaceDN w:val="0"/>
        <w:adjustRightInd w:val="0"/>
        <w:ind w:left="426"/>
        <w:jc w:val="both"/>
        <w:rPr>
          <w:rFonts w:ascii="Abadi" w:hAnsi="Abadi" w:cs="*Verdana-Italic-15237-Identity-"/>
          <w:i/>
          <w:iCs/>
          <w:color w:val="19191A"/>
          <w:sz w:val="21"/>
          <w:szCs w:val="21"/>
        </w:rPr>
      </w:pPr>
      <w:r w:rsidRPr="00991A56">
        <w:rPr>
          <w:rFonts w:ascii="Abadi" w:hAnsi="Abadi" w:cs="*Verdana-Italic-15237-Identity-"/>
          <w:i/>
          <w:iCs/>
          <w:color w:val="19191A"/>
          <w:sz w:val="21"/>
          <w:szCs w:val="21"/>
        </w:rPr>
        <w:t>El Grupo Parlamentario del Partido Verde Ecologista de México se ha comprometido con</w:t>
      </w:r>
      <w:r>
        <w:rPr>
          <w:rFonts w:ascii="Abadi" w:hAnsi="Abadi" w:cs="*Verdana-Italic-15237-Identity-"/>
          <w:i/>
          <w:iCs/>
          <w:color w:val="19191A"/>
          <w:sz w:val="21"/>
          <w:szCs w:val="21"/>
        </w:rPr>
        <w:t xml:space="preserve"> </w:t>
      </w:r>
      <w:r w:rsidRPr="00991A56">
        <w:rPr>
          <w:rFonts w:ascii="Abadi" w:hAnsi="Abadi" w:cs="*Verdana-Italic-15237-Identity-"/>
          <w:i/>
          <w:iCs/>
          <w:color w:val="19191A"/>
          <w:sz w:val="21"/>
          <w:szCs w:val="21"/>
        </w:rPr>
        <w:t>la sociedad para generar un sano equilibrio de fas estructuras salariales de los servidores</w:t>
      </w:r>
      <w:r>
        <w:rPr>
          <w:rFonts w:ascii="Abadi" w:hAnsi="Abadi" w:cs="*Verdana-Italic-15237-Identity-"/>
          <w:i/>
          <w:iCs/>
          <w:color w:val="19191A"/>
          <w:sz w:val="21"/>
          <w:szCs w:val="21"/>
        </w:rPr>
        <w:t xml:space="preserve"> públicos</w:t>
      </w:r>
      <w:r w:rsidRPr="00991A56">
        <w:rPr>
          <w:rFonts w:ascii="Abadi" w:hAnsi="Abadi" w:cs="*Verdana-Italic-15237-Identity-"/>
          <w:i/>
          <w:iCs/>
          <w:color w:val="19191A"/>
          <w:sz w:val="21"/>
          <w:szCs w:val="21"/>
        </w:rPr>
        <w:t xml:space="preserve"> del estado. Buscando fa equidad de las remuneraciones que se perciben, pero</w:t>
      </w:r>
      <w:r>
        <w:rPr>
          <w:rFonts w:ascii="Abadi" w:hAnsi="Abadi" w:cs="*Verdana-Italic-15237-Identity-"/>
          <w:i/>
          <w:iCs/>
          <w:color w:val="19191A"/>
          <w:sz w:val="21"/>
          <w:szCs w:val="21"/>
        </w:rPr>
        <w:t xml:space="preserve"> </w:t>
      </w:r>
      <w:r w:rsidRPr="00991A56">
        <w:rPr>
          <w:rFonts w:ascii="Abadi" w:hAnsi="Abadi" w:cs="*Verdana-Italic-15237-Identity-"/>
          <w:i/>
          <w:iCs/>
          <w:color w:val="19191A"/>
          <w:sz w:val="21"/>
          <w:szCs w:val="21"/>
        </w:rPr>
        <w:t>sobre todo regulando los mecanismos y criterios que dan origen al conjunto de</w:t>
      </w:r>
      <w:r>
        <w:rPr>
          <w:rFonts w:ascii="Abadi" w:hAnsi="Abadi" w:cs="*Verdana-Italic-15237-Identity-"/>
          <w:i/>
          <w:iCs/>
          <w:color w:val="19191A"/>
          <w:sz w:val="21"/>
          <w:szCs w:val="21"/>
        </w:rPr>
        <w:t xml:space="preserve"> </w:t>
      </w:r>
      <w:r w:rsidRPr="00991A56">
        <w:rPr>
          <w:rFonts w:ascii="Abadi" w:hAnsi="Abadi" w:cs="*Verdana-Italic-15237-Identity-"/>
          <w:i/>
          <w:iCs/>
          <w:color w:val="19191A"/>
          <w:sz w:val="21"/>
          <w:szCs w:val="21"/>
        </w:rPr>
        <w:t>principios, normas y procedimientos que regulan y simplifican el pago de remuneraciones</w:t>
      </w:r>
      <w:r>
        <w:rPr>
          <w:rFonts w:ascii="Abadi" w:hAnsi="Abadi" w:cs="*Verdana-Italic-15237-Identity-"/>
          <w:i/>
          <w:iCs/>
          <w:color w:val="19191A"/>
          <w:sz w:val="21"/>
          <w:szCs w:val="21"/>
        </w:rPr>
        <w:t xml:space="preserve"> </w:t>
      </w:r>
      <w:r w:rsidRPr="00991A56">
        <w:rPr>
          <w:rFonts w:ascii="Abadi" w:hAnsi="Abadi" w:cs="*Verdana-Italic-15237-Identity-"/>
          <w:i/>
          <w:iCs/>
          <w:color w:val="19191A"/>
          <w:sz w:val="21"/>
          <w:szCs w:val="21"/>
        </w:rPr>
        <w:t>y otros conceptos de pago a los empleados públicos.</w:t>
      </w:r>
    </w:p>
    <w:p w14:paraId="633BEF1E" w14:textId="77777777" w:rsidR="00F91FB5" w:rsidRPr="00991A56" w:rsidRDefault="00F91FB5" w:rsidP="00F91FB5">
      <w:pPr>
        <w:autoSpaceDE w:val="0"/>
        <w:autoSpaceDN w:val="0"/>
        <w:adjustRightInd w:val="0"/>
        <w:ind w:left="426"/>
        <w:jc w:val="both"/>
        <w:rPr>
          <w:rFonts w:ascii="Abadi" w:hAnsi="Abadi" w:cs="*Verdana-Italic-15237-Identity-"/>
          <w:i/>
          <w:iCs/>
          <w:color w:val="19191A"/>
          <w:sz w:val="21"/>
          <w:szCs w:val="21"/>
        </w:rPr>
      </w:pPr>
    </w:p>
    <w:p w14:paraId="0D513E8C" w14:textId="77777777" w:rsidR="00F91FB5" w:rsidRDefault="00F91FB5" w:rsidP="00F91FB5">
      <w:pPr>
        <w:autoSpaceDE w:val="0"/>
        <w:autoSpaceDN w:val="0"/>
        <w:adjustRightInd w:val="0"/>
        <w:ind w:left="426"/>
        <w:jc w:val="both"/>
        <w:rPr>
          <w:rFonts w:ascii="Abadi" w:hAnsi="Abadi" w:cs="*Verdana-Italic-15237-Identity-"/>
          <w:i/>
          <w:iCs/>
          <w:color w:val="1B1B1D"/>
          <w:sz w:val="21"/>
          <w:szCs w:val="21"/>
        </w:rPr>
      </w:pPr>
      <w:r w:rsidRPr="00991A56">
        <w:rPr>
          <w:rFonts w:ascii="Abadi" w:hAnsi="Abadi" w:cs="*Verdana-Italic-15237-Identity-"/>
          <w:i/>
          <w:iCs/>
          <w:color w:val="1B1B1D"/>
          <w:sz w:val="21"/>
          <w:szCs w:val="21"/>
        </w:rPr>
        <w:t>Por ello, en la presente iniciativa se establece de manera clara, detallada y especifica, un</w:t>
      </w:r>
      <w:r>
        <w:rPr>
          <w:rFonts w:ascii="Abadi" w:hAnsi="Abadi" w:cs="*Verdana-Italic-15237-Identity-"/>
          <w:i/>
          <w:iCs/>
          <w:color w:val="1B1B1D"/>
          <w:sz w:val="21"/>
          <w:szCs w:val="21"/>
        </w:rPr>
        <w:t xml:space="preserve"> </w:t>
      </w:r>
      <w:r w:rsidRPr="00991A56">
        <w:rPr>
          <w:rFonts w:ascii="Abadi" w:hAnsi="Abadi" w:cs="*Verdana-Italic-15237-Identity-"/>
          <w:i/>
          <w:iCs/>
          <w:color w:val="1B1B1D"/>
          <w:sz w:val="21"/>
          <w:szCs w:val="21"/>
        </w:rPr>
        <w:t>mecanismo de remuneraciones a los servidores públicos del estado, con un</w:t>
      </w:r>
      <w:r>
        <w:rPr>
          <w:rFonts w:ascii="Abadi" w:hAnsi="Abadi" w:cs="*Verdana-Italic-15237-Identity-"/>
          <w:i/>
          <w:iCs/>
          <w:color w:val="1B1B1D"/>
          <w:sz w:val="21"/>
          <w:szCs w:val="21"/>
        </w:rPr>
        <w:t xml:space="preserve"> </w:t>
      </w:r>
      <w:r w:rsidRPr="00991A56">
        <w:rPr>
          <w:rFonts w:ascii="Abadi" w:hAnsi="Abadi" w:cs="*Verdana-Italic-15237-Identity-"/>
          <w:i/>
          <w:iCs/>
          <w:color w:val="1B1B1D"/>
          <w:sz w:val="21"/>
          <w:szCs w:val="21"/>
        </w:rPr>
        <w:t>procedimiento justo y equilibrado que unifica criterios, aspectos y niveles de valoración</w:t>
      </w:r>
      <w:r>
        <w:rPr>
          <w:rFonts w:ascii="Abadi" w:hAnsi="Abadi" w:cs="*Verdana-Italic-15237-Identity-"/>
          <w:i/>
          <w:iCs/>
          <w:color w:val="1B1B1D"/>
          <w:sz w:val="21"/>
          <w:szCs w:val="21"/>
        </w:rPr>
        <w:t xml:space="preserve"> </w:t>
      </w:r>
      <w:r w:rsidRPr="00991A56">
        <w:rPr>
          <w:rFonts w:ascii="Abadi" w:hAnsi="Abadi" w:cs="*Verdana-Italic-15237-Identity-"/>
          <w:i/>
          <w:iCs/>
          <w:color w:val="1B1B1D"/>
          <w:sz w:val="21"/>
          <w:szCs w:val="21"/>
        </w:rPr>
        <w:t>en la determinación de las remuneraciones salariales para cada ejercicio fiscal.</w:t>
      </w:r>
    </w:p>
    <w:p w14:paraId="00D942E0" w14:textId="77777777" w:rsidR="00F91FB5" w:rsidRPr="00991A56" w:rsidRDefault="00F91FB5" w:rsidP="00F91FB5">
      <w:pPr>
        <w:autoSpaceDE w:val="0"/>
        <w:autoSpaceDN w:val="0"/>
        <w:adjustRightInd w:val="0"/>
        <w:ind w:left="426"/>
        <w:jc w:val="both"/>
        <w:rPr>
          <w:rFonts w:ascii="Abadi" w:hAnsi="Abadi" w:cs="*Verdana-Italic-15237-Identity-"/>
          <w:i/>
          <w:iCs/>
          <w:color w:val="1B1B1D"/>
          <w:sz w:val="21"/>
          <w:szCs w:val="21"/>
        </w:rPr>
      </w:pPr>
    </w:p>
    <w:p w14:paraId="29E73FD4" w14:textId="6736E882" w:rsidR="00F91FB5" w:rsidRDefault="00F91FB5" w:rsidP="00F91FB5">
      <w:pPr>
        <w:autoSpaceDE w:val="0"/>
        <w:autoSpaceDN w:val="0"/>
        <w:adjustRightInd w:val="0"/>
        <w:ind w:left="426"/>
        <w:jc w:val="both"/>
        <w:rPr>
          <w:rFonts w:ascii="Abadi" w:hAnsi="Abadi" w:cs="*Verdana-Italic-15237-Identity-"/>
          <w:i/>
          <w:iCs/>
          <w:color w:val="1A1A1C"/>
          <w:sz w:val="21"/>
          <w:szCs w:val="21"/>
        </w:rPr>
      </w:pPr>
      <w:r w:rsidRPr="00991A56">
        <w:rPr>
          <w:rFonts w:ascii="Abadi" w:hAnsi="Abadi" w:cs="*Verdana-Italic-15237-Identity-"/>
          <w:i/>
          <w:iCs/>
          <w:color w:val="1A1A1C"/>
          <w:sz w:val="21"/>
          <w:szCs w:val="21"/>
        </w:rPr>
        <w:t>Bajo esta premisa, la presente Iniciativa que se plantea busca el</w:t>
      </w:r>
      <w:r w:rsidR="008060CC">
        <w:rPr>
          <w:rFonts w:ascii="Abadi" w:hAnsi="Abadi" w:cs="*Verdana-Italic-15237-Identity-"/>
          <w:i/>
          <w:iCs/>
          <w:color w:val="1A1A1C"/>
          <w:sz w:val="21"/>
          <w:szCs w:val="21"/>
        </w:rPr>
        <w:t>i</w:t>
      </w:r>
      <w:r w:rsidRPr="00991A56">
        <w:rPr>
          <w:rFonts w:ascii="Abadi" w:hAnsi="Abadi" w:cs="*Verdana-Italic-15237-Identity-"/>
          <w:i/>
          <w:iCs/>
          <w:color w:val="1A1A1C"/>
          <w:sz w:val="21"/>
          <w:szCs w:val="21"/>
        </w:rPr>
        <w:t>minar una serle de</w:t>
      </w:r>
      <w:r>
        <w:rPr>
          <w:rFonts w:ascii="Abadi" w:hAnsi="Abadi" w:cs="*Verdana-Italic-15237-Identity-"/>
          <w:i/>
          <w:iCs/>
          <w:color w:val="1A1A1C"/>
          <w:sz w:val="21"/>
          <w:szCs w:val="21"/>
        </w:rPr>
        <w:t xml:space="preserve"> </w:t>
      </w:r>
      <w:r w:rsidRPr="00991A56">
        <w:rPr>
          <w:rFonts w:ascii="Abadi" w:hAnsi="Abadi" w:cs="*Verdana-Italic-15237-Identity-"/>
          <w:i/>
          <w:iCs/>
          <w:color w:val="1A1A1C"/>
          <w:sz w:val="21"/>
          <w:szCs w:val="21"/>
        </w:rPr>
        <w:t>problemas que dan pauta a confusiones y malinterpretaciones con la determinación de</w:t>
      </w:r>
      <w:r>
        <w:rPr>
          <w:rFonts w:ascii="Abadi" w:hAnsi="Abadi" w:cs="*Verdana-Italic-15237-Identity-"/>
          <w:i/>
          <w:iCs/>
          <w:color w:val="1A1A1C"/>
          <w:sz w:val="21"/>
          <w:szCs w:val="21"/>
        </w:rPr>
        <w:t xml:space="preserve"> </w:t>
      </w:r>
      <w:r w:rsidRPr="00991A56">
        <w:rPr>
          <w:rFonts w:ascii="Abadi" w:hAnsi="Abadi" w:cs="*Verdana-Italic-15237-Identity-"/>
          <w:i/>
          <w:iCs/>
          <w:color w:val="1A1A1C"/>
          <w:sz w:val="21"/>
          <w:szCs w:val="21"/>
        </w:rPr>
        <w:t>fas remuneraciones de los servidores públicos del estado, tales como:</w:t>
      </w:r>
    </w:p>
    <w:p w14:paraId="27886130" w14:textId="77777777" w:rsidR="00F91FB5" w:rsidRPr="00991A56" w:rsidRDefault="00F91FB5" w:rsidP="00F91FB5">
      <w:pPr>
        <w:autoSpaceDE w:val="0"/>
        <w:autoSpaceDN w:val="0"/>
        <w:adjustRightInd w:val="0"/>
        <w:ind w:left="426"/>
        <w:jc w:val="both"/>
        <w:rPr>
          <w:rFonts w:ascii="Abadi" w:hAnsi="Abadi" w:cs="*Verdana-Italic-15237-Identity-"/>
          <w:i/>
          <w:iCs/>
          <w:color w:val="1A1A1C"/>
          <w:sz w:val="21"/>
          <w:szCs w:val="21"/>
        </w:rPr>
      </w:pPr>
    </w:p>
    <w:p w14:paraId="3605441E" w14:textId="77777777" w:rsidR="00F91FB5" w:rsidRDefault="00F91FB5" w:rsidP="00F91FB5">
      <w:pPr>
        <w:autoSpaceDE w:val="0"/>
        <w:autoSpaceDN w:val="0"/>
        <w:adjustRightInd w:val="0"/>
        <w:ind w:left="426"/>
        <w:jc w:val="both"/>
        <w:rPr>
          <w:rFonts w:ascii="Abadi" w:hAnsi="Abadi" w:cs="*Verdana-Italic-15237-Identity-"/>
          <w:i/>
          <w:iCs/>
          <w:color w:val="19191B"/>
          <w:sz w:val="21"/>
          <w:szCs w:val="21"/>
        </w:rPr>
      </w:pPr>
      <w:r w:rsidRPr="00991A56">
        <w:rPr>
          <w:rFonts w:ascii="Abadi" w:hAnsi="Abadi" w:cs="*Times New Roman-15231-Identity"/>
          <w:color w:val="19191B"/>
          <w:sz w:val="21"/>
          <w:szCs w:val="21"/>
        </w:rPr>
        <w:t xml:space="preserve">• </w:t>
      </w:r>
      <w:r w:rsidRPr="00991A56">
        <w:rPr>
          <w:rFonts w:ascii="Abadi" w:hAnsi="Abadi" w:cs="*Verdana-Italic-15237-Identity-"/>
          <w:i/>
          <w:iCs/>
          <w:color w:val="19191B"/>
          <w:sz w:val="21"/>
          <w:szCs w:val="21"/>
        </w:rPr>
        <w:t>Falta de claridad en las funciones de los órganos que emiten los criterios y</w:t>
      </w:r>
      <w:r>
        <w:rPr>
          <w:rFonts w:ascii="Abadi" w:hAnsi="Abadi" w:cs="*Verdana-Italic-15237-Identity-"/>
          <w:i/>
          <w:iCs/>
          <w:color w:val="19191B"/>
          <w:sz w:val="21"/>
          <w:szCs w:val="21"/>
        </w:rPr>
        <w:t xml:space="preserve"> </w:t>
      </w:r>
      <w:r w:rsidRPr="00991A56">
        <w:rPr>
          <w:rFonts w:ascii="Abadi" w:hAnsi="Abadi" w:cs="*Verdana-Italic-15237-Identity-"/>
          <w:i/>
          <w:iCs/>
          <w:color w:val="19191B"/>
          <w:sz w:val="21"/>
          <w:szCs w:val="21"/>
        </w:rPr>
        <w:t>remuneraciones salariales.</w:t>
      </w:r>
    </w:p>
    <w:p w14:paraId="0E0BC2BB" w14:textId="77777777" w:rsidR="00F91FB5" w:rsidRDefault="00F91FB5" w:rsidP="00F91FB5">
      <w:pPr>
        <w:autoSpaceDE w:val="0"/>
        <w:autoSpaceDN w:val="0"/>
        <w:adjustRightInd w:val="0"/>
        <w:ind w:left="426"/>
        <w:jc w:val="both"/>
        <w:rPr>
          <w:rFonts w:ascii="Abadi" w:hAnsi="Abadi" w:cs="*Verdana-Italic-15237-Identity-"/>
          <w:i/>
          <w:iCs/>
          <w:color w:val="1D1C1F"/>
          <w:sz w:val="21"/>
          <w:szCs w:val="21"/>
        </w:rPr>
      </w:pPr>
      <w:r w:rsidRPr="00991A56">
        <w:rPr>
          <w:rFonts w:ascii="Abadi" w:hAnsi="Abadi" w:cs="*Times New Roman-15231-Identity"/>
          <w:color w:val="1D1C1F"/>
          <w:sz w:val="21"/>
          <w:szCs w:val="21"/>
        </w:rPr>
        <w:t xml:space="preserve">• </w:t>
      </w:r>
      <w:r w:rsidRPr="00991A56">
        <w:rPr>
          <w:rFonts w:ascii="Abadi" w:hAnsi="Abadi" w:cs="*Verdana-Italic-15237-Identity-"/>
          <w:i/>
          <w:iCs/>
          <w:color w:val="1D1C1F"/>
          <w:sz w:val="21"/>
          <w:szCs w:val="21"/>
        </w:rPr>
        <w:t>No existe certeza sobre los argumentos técnicos, sociales, jurídicos, económicos,</w:t>
      </w:r>
      <w:r>
        <w:rPr>
          <w:rFonts w:ascii="Abadi" w:hAnsi="Abadi" w:cs="*Verdana-Italic-15237-Identity-"/>
          <w:i/>
          <w:iCs/>
          <w:color w:val="1D1C1F"/>
          <w:sz w:val="21"/>
          <w:szCs w:val="21"/>
        </w:rPr>
        <w:t xml:space="preserve"> </w:t>
      </w:r>
      <w:r w:rsidRPr="00991A56">
        <w:rPr>
          <w:rFonts w:ascii="Abadi" w:hAnsi="Abadi" w:cs="*Verdana-Italic-15237-Identity-"/>
          <w:i/>
          <w:iCs/>
          <w:color w:val="1D1C1F"/>
          <w:sz w:val="21"/>
          <w:szCs w:val="21"/>
        </w:rPr>
        <w:t>demográficos y financieros que dan sustento a los criterios de las percepciones de los</w:t>
      </w:r>
      <w:r>
        <w:rPr>
          <w:rFonts w:ascii="Abadi" w:hAnsi="Abadi" w:cs="*Verdana-Italic-15237-Identity-"/>
          <w:i/>
          <w:iCs/>
          <w:color w:val="1D1C1F"/>
          <w:sz w:val="21"/>
          <w:szCs w:val="21"/>
        </w:rPr>
        <w:t xml:space="preserve"> </w:t>
      </w:r>
      <w:r w:rsidRPr="00991A56">
        <w:rPr>
          <w:rFonts w:ascii="Abadi" w:hAnsi="Abadi" w:cs="*Verdana-Italic-15237-Identity-"/>
          <w:i/>
          <w:iCs/>
          <w:color w:val="1D1C1F"/>
          <w:sz w:val="21"/>
          <w:szCs w:val="21"/>
        </w:rPr>
        <w:t>servidores públicos.</w:t>
      </w:r>
    </w:p>
    <w:p w14:paraId="743A29AB" w14:textId="77777777" w:rsidR="00F91FB5" w:rsidRPr="00991A56" w:rsidRDefault="00F91FB5" w:rsidP="00F91FB5">
      <w:pPr>
        <w:autoSpaceDE w:val="0"/>
        <w:autoSpaceDN w:val="0"/>
        <w:adjustRightInd w:val="0"/>
        <w:ind w:left="426"/>
        <w:jc w:val="both"/>
        <w:rPr>
          <w:rFonts w:ascii="Abadi" w:hAnsi="Abadi" w:cs="*Verdana-Italic-15237-Identity-"/>
          <w:i/>
          <w:iCs/>
          <w:color w:val="1D1C1F"/>
          <w:sz w:val="21"/>
          <w:szCs w:val="21"/>
        </w:rPr>
      </w:pPr>
    </w:p>
    <w:p w14:paraId="765D7CA1" w14:textId="77777777" w:rsidR="00F91FB5" w:rsidRPr="00991A56" w:rsidRDefault="00F91FB5" w:rsidP="00F91FB5">
      <w:pPr>
        <w:ind w:left="426"/>
        <w:jc w:val="both"/>
        <w:rPr>
          <w:rFonts w:ascii="Abadi" w:hAnsi="Abadi" w:cs="*Verdana-Italic-15237-Identity-"/>
          <w:i/>
          <w:iCs/>
          <w:color w:val="1D1D1F"/>
          <w:sz w:val="21"/>
          <w:szCs w:val="21"/>
        </w:rPr>
      </w:pPr>
      <w:r w:rsidRPr="00991A56">
        <w:rPr>
          <w:rFonts w:ascii="Abadi" w:hAnsi="Abadi" w:cs="*Times New Roman-15231-Identity"/>
          <w:color w:val="1D1D1F"/>
          <w:sz w:val="21"/>
          <w:szCs w:val="21"/>
        </w:rPr>
        <w:t xml:space="preserve">• </w:t>
      </w:r>
      <w:r w:rsidRPr="00991A56">
        <w:rPr>
          <w:rFonts w:ascii="Abadi" w:hAnsi="Abadi" w:cs="*Verdana-Italic-15237-Identity-"/>
          <w:i/>
          <w:iCs/>
          <w:color w:val="1D1D1F"/>
          <w:sz w:val="21"/>
          <w:szCs w:val="21"/>
        </w:rPr>
        <w:t>Un sistema caótico y poco equitativo en las determinaciones salariales.</w:t>
      </w:r>
    </w:p>
    <w:p w14:paraId="7B8321E6" w14:textId="77777777" w:rsidR="00F91FB5" w:rsidRDefault="00F91FB5" w:rsidP="00F91FB5">
      <w:pPr>
        <w:autoSpaceDE w:val="0"/>
        <w:autoSpaceDN w:val="0"/>
        <w:adjustRightInd w:val="0"/>
        <w:ind w:left="426"/>
        <w:jc w:val="both"/>
        <w:rPr>
          <w:rFonts w:ascii="Abadi" w:hAnsi="Abadi" w:cs="*Verdana-Italic-12911-Identity-"/>
          <w:i/>
          <w:iCs/>
          <w:color w:val="1C1B1E"/>
          <w:sz w:val="21"/>
          <w:szCs w:val="21"/>
        </w:rPr>
      </w:pPr>
      <w:r w:rsidRPr="00991A56">
        <w:rPr>
          <w:rFonts w:ascii="Abadi" w:hAnsi="Abadi" w:cs="*Times New Roman-12907-Identity"/>
          <w:color w:val="1C1B1E"/>
          <w:sz w:val="21"/>
          <w:szCs w:val="21"/>
        </w:rPr>
        <w:t xml:space="preserve">• </w:t>
      </w:r>
      <w:r w:rsidRPr="00991A56">
        <w:rPr>
          <w:rFonts w:ascii="Abadi" w:hAnsi="Abadi" w:cs="*Verdana-Italic-12911-Identity-"/>
          <w:i/>
          <w:iCs/>
          <w:color w:val="1C1B1E"/>
          <w:sz w:val="21"/>
          <w:szCs w:val="21"/>
        </w:rPr>
        <w:t>Una distribución desequilibrada de los empleados públicos entre categorías, niveles,</w:t>
      </w:r>
      <w:r>
        <w:rPr>
          <w:rFonts w:ascii="Abadi" w:hAnsi="Abadi" w:cs="*Verdana-Italic-12911-Identity-"/>
          <w:i/>
          <w:iCs/>
          <w:color w:val="1C1B1E"/>
          <w:sz w:val="21"/>
          <w:szCs w:val="21"/>
        </w:rPr>
        <w:t xml:space="preserve"> </w:t>
      </w:r>
      <w:r w:rsidRPr="00991A56">
        <w:rPr>
          <w:rFonts w:ascii="Abadi" w:hAnsi="Abadi" w:cs="*Verdana-Italic-12911-Identity-"/>
          <w:i/>
          <w:iCs/>
          <w:color w:val="1C1B1E"/>
          <w:sz w:val="21"/>
          <w:szCs w:val="21"/>
        </w:rPr>
        <w:t>que además no está vinculada a los perfiles profesionales de cada uno de los empleados.</w:t>
      </w:r>
    </w:p>
    <w:p w14:paraId="70B866AB" w14:textId="77777777" w:rsidR="00F91FB5" w:rsidRPr="00991A56" w:rsidRDefault="00F91FB5" w:rsidP="00F91FB5">
      <w:pPr>
        <w:autoSpaceDE w:val="0"/>
        <w:autoSpaceDN w:val="0"/>
        <w:adjustRightInd w:val="0"/>
        <w:ind w:left="426"/>
        <w:jc w:val="both"/>
        <w:rPr>
          <w:rFonts w:ascii="Abadi" w:hAnsi="Abadi" w:cs="*Verdana-Italic-12911-Identity-"/>
          <w:i/>
          <w:iCs/>
          <w:color w:val="1C1B1E"/>
          <w:sz w:val="21"/>
          <w:szCs w:val="21"/>
        </w:rPr>
      </w:pPr>
    </w:p>
    <w:p w14:paraId="6D47A089" w14:textId="77777777" w:rsidR="00F91FB5" w:rsidRDefault="00F91FB5" w:rsidP="00F91FB5">
      <w:pPr>
        <w:autoSpaceDE w:val="0"/>
        <w:autoSpaceDN w:val="0"/>
        <w:adjustRightInd w:val="0"/>
        <w:ind w:left="426"/>
        <w:jc w:val="both"/>
        <w:rPr>
          <w:rFonts w:ascii="Abadi" w:hAnsi="Abadi" w:cs="*Verdana-Italic-12911-Identity-"/>
          <w:i/>
          <w:iCs/>
          <w:color w:val="19191B"/>
          <w:sz w:val="21"/>
          <w:szCs w:val="21"/>
        </w:rPr>
      </w:pPr>
      <w:r w:rsidRPr="00991A56">
        <w:rPr>
          <w:rFonts w:ascii="Abadi" w:hAnsi="Abadi" w:cs="*Times New Roman-12907-Identity"/>
          <w:color w:val="19191B"/>
          <w:sz w:val="21"/>
          <w:szCs w:val="21"/>
        </w:rPr>
        <w:t xml:space="preserve">• </w:t>
      </w:r>
      <w:r w:rsidRPr="00991A56">
        <w:rPr>
          <w:rFonts w:ascii="Abadi" w:hAnsi="Abadi" w:cs="*Verdana-Italic-12911-Identity-"/>
          <w:i/>
          <w:iCs/>
          <w:color w:val="19191B"/>
          <w:sz w:val="21"/>
          <w:szCs w:val="21"/>
        </w:rPr>
        <w:t>Inexistencia de una política estatal de remuneraciones, la cual debería ser un</w:t>
      </w:r>
      <w:r>
        <w:rPr>
          <w:rFonts w:ascii="Abadi" w:hAnsi="Abadi" w:cs="*Verdana-Italic-12911-Identity-"/>
          <w:i/>
          <w:iCs/>
          <w:color w:val="19191B"/>
          <w:sz w:val="21"/>
          <w:szCs w:val="21"/>
        </w:rPr>
        <w:t xml:space="preserve"> </w:t>
      </w:r>
      <w:r w:rsidRPr="00991A56">
        <w:rPr>
          <w:rFonts w:ascii="Abadi" w:hAnsi="Abadi" w:cs="*Verdana-Italic-12911-Identity-"/>
          <w:i/>
          <w:iCs/>
          <w:color w:val="19191B"/>
          <w:sz w:val="21"/>
          <w:szCs w:val="21"/>
        </w:rPr>
        <w:t>instrumento de gestión fundamental en la administración pública.</w:t>
      </w:r>
    </w:p>
    <w:p w14:paraId="6FE68FB1" w14:textId="77777777" w:rsidR="00F91FB5" w:rsidRDefault="00F91FB5" w:rsidP="00F91FB5">
      <w:pPr>
        <w:autoSpaceDE w:val="0"/>
        <w:autoSpaceDN w:val="0"/>
        <w:adjustRightInd w:val="0"/>
        <w:ind w:left="426"/>
        <w:jc w:val="both"/>
        <w:rPr>
          <w:rFonts w:ascii="Abadi" w:hAnsi="Abadi" w:cs="*Verdana-Italic-12911-Identity-"/>
          <w:i/>
          <w:iCs/>
          <w:color w:val="19191B"/>
          <w:sz w:val="21"/>
          <w:szCs w:val="21"/>
        </w:rPr>
      </w:pPr>
    </w:p>
    <w:p w14:paraId="7B23771A" w14:textId="77777777" w:rsidR="00F91FB5" w:rsidRDefault="00F91FB5" w:rsidP="00F91FB5">
      <w:pPr>
        <w:autoSpaceDE w:val="0"/>
        <w:autoSpaceDN w:val="0"/>
        <w:adjustRightInd w:val="0"/>
        <w:ind w:left="426"/>
        <w:jc w:val="both"/>
        <w:rPr>
          <w:rFonts w:ascii="Abadi" w:hAnsi="Abadi" w:cs="*Verdana-Italic-12911-Identity-"/>
          <w:i/>
          <w:iCs/>
          <w:color w:val="1A191C"/>
          <w:sz w:val="21"/>
          <w:szCs w:val="21"/>
        </w:rPr>
      </w:pPr>
      <w:r w:rsidRPr="00991A56">
        <w:rPr>
          <w:rFonts w:ascii="Abadi" w:hAnsi="Abadi" w:cs="*Times New Roman-12907-Identity"/>
          <w:color w:val="1A191C"/>
          <w:sz w:val="21"/>
          <w:szCs w:val="21"/>
        </w:rPr>
        <w:t xml:space="preserve">• </w:t>
      </w:r>
      <w:r w:rsidRPr="00991A56">
        <w:rPr>
          <w:rFonts w:ascii="Abadi" w:hAnsi="Abadi" w:cs="*Verdana-Italic-12911-Identity-"/>
          <w:i/>
          <w:iCs/>
          <w:color w:val="1A191C"/>
          <w:sz w:val="21"/>
          <w:szCs w:val="21"/>
        </w:rPr>
        <w:t>Deficiencia en la implementación de modelos de evaluación para medir el equilibrio y</w:t>
      </w:r>
      <w:r>
        <w:rPr>
          <w:rFonts w:ascii="Abadi" w:hAnsi="Abadi" w:cs="*Verdana-Italic-12911-Identity-"/>
          <w:i/>
          <w:iCs/>
          <w:color w:val="1A191C"/>
          <w:sz w:val="21"/>
          <w:szCs w:val="21"/>
        </w:rPr>
        <w:t xml:space="preserve"> </w:t>
      </w:r>
      <w:r w:rsidRPr="00991A56">
        <w:rPr>
          <w:rFonts w:ascii="Abadi" w:hAnsi="Abadi" w:cs="*Verdana-Italic-12911-Identity-"/>
          <w:i/>
          <w:iCs/>
          <w:color w:val="1A191C"/>
          <w:sz w:val="21"/>
          <w:szCs w:val="21"/>
        </w:rPr>
        <w:t>equidad de las percepciones salariales.</w:t>
      </w:r>
    </w:p>
    <w:p w14:paraId="1A9D1FC0" w14:textId="77777777" w:rsidR="00F91FB5" w:rsidRPr="00991A56" w:rsidRDefault="00F91FB5" w:rsidP="00F91FB5">
      <w:pPr>
        <w:autoSpaceDE w:val="0"/>
        <w:autoSpaceDN w:val="0"/>
        <w:adjustRightInd w:val="0"/>
        <w:ind w:left="426"/>
        <w:jc w:val="both"/>
        <w:rPr>
          <w:rFonts w:ascii="Abadi" w:hAnsi="Abadi" w:cs="*Verdana-Italic-12911-Identity-"/>
          <w:i/>
          <w:iCs/>
          <w:color w:val="1A191C"/>
          <w:sz w:val="21"/>
          <w:szCs w:val="21"/>
        </w:rPr>
      </w:pPr>
    </w:p>
    <w:p w14:paraId="18D7D39B" w14:textId="77777777" w:rsidR="00F91FB5" w:rsidRDefault="00F91FB5" w:rsidP="00F91FB5">
      <w:pPr>
        <w:autoSpaceDE w:val="0"/>
        <w:autoSpaceDN w:val="0"/>
        <w:adjustRightInd w:val="0"/>
        <w:ind w:left="426"/>
        <w:jc w:val="both"/>
        <w:rPr>
          <w:rFonts w:ascii="Abadi" w:hAnsi="Abadi" w:cs="*Verdana-Italic-12911-Identity-"/>
          <w:i/>
          <w:iCs/>
          <w:color w:val="1A1A1C"/>
          <w:sz w:val="21"/>
          <w:szCs w:val="21"/>
        </w:rPr>
      </w:pPr>
      <w:r w:rsidRPr="00991A56">
        <w:rPr>
          <w:rFonts w:ascii="Abadi" w:hAnsi="Abadi" w:cs="*Times New Roman-12907-Identity"/>
          <w:color w:val="1A1A1C"/>
          <w:sz w:val="21"/>
          <w:szCs w:val="21"/>
        </w:rPr>
        <w:t xml:space="preserve">• </w:t>
      </w:r>
      <w:r w:rsidRPr="00991A56">
        <w:rPr>
          <w:rFonts w:ascii="Abadi" w:hAnsi="Abadi" w:cs="*Verdana-Italic-12911-Identity-"/>
          <w:i/>
          <w:iCs/>
          <w:color w:val="1A1A1C"/>
          <w:sz w:val="21"/>
          <w:szCs w:val="21"/>
        </w:rPr>
        <w:t>Entre otros factores poco claros y negativos que entorpecen las decisiones de los</w:t>
      </w:r>
      <w:r>
        <w:rPr>
          <w:rFonts w:ascii="Abadi" w:hAnsi="Abadi" w:cs="*Verdana-Italic-12911-Identity-"/>
          <w:i/>
          <w:iCs/>
          <w:color w:val="1A1A1C"/>
          <w:sz w:val="21"/>
          <w:szCs w:val="21"/>
        </w:rPr>
        <w:t xml:space="preserve"> </w:t>
      </w:r>
      <w:r w:rsidRPr="00991A56">
        <w:rPr>
          <w:rFonts w:ascii="Abadi" w:hAnsi="Abadi" w:cs="*Verdana-Italic-12911-Identity-"/>
          <w:i/>
          <w:iCs/>
          <w:color w:val="1A1A1C"/>
          <w:sz w:val="21"/>
          <w:szCs w:val="21"/>
        </w:rPr>
        <w:t>órganos colegiados.</w:t>
      </w:r>
    </w:p>
    <w:p w14:paraId="2ADDA665" w14:textId="77777777" w:rsidR="00F91FB5" w:rsidRPr="00991A56" w:rsidRDefault="00F91FB5" w:rsidP="00F91FB5">
      <w:pPr>
        <w:autoSpaceDE w:val="0"/>
        <w:autoSpaceDN w:val="0"/>
        <w:adjustRightInd w:val="0"/>
        <w:ind w:left="426"/>
        <w:jc w:val="both"/>
        <w:rPr>
          <w:rFonts w:ascii="Abadi" w:hAnsi="Abadi" w:cs="*Verdana-Italic-12911-Identity-"/>
          <w:i/>
          <w:iCs/>
          <w:color w:val="1A1A1C"/>
          <w:sz w:val="21"/>
          <w:szCs w:val="21"/>
        </w:rPr>
      </w:pPr>
    </w:p>
    <w:p w14:paraId="1445364E" w14:textId="77777777" w:rsidR="00F91FB5" w:rsidRDefault="00F91FB5" w:rsidP="00F91FB5">
      <w:pPr>
        <w:autoSpaceDE w:val="0"/>
        <w:autoSpaceDN w:val="0"/>
        <w:adjustRightInd w:val="0"/>
        <w:ind w:left="426"/>
        <w:jc w:val="both"/>
        <w:rPr>
          <w:rFonts w:ascii="Abadi" w:hAnsi="Abadi" w:cs="*Verdana-Italic-12911-Identity-"/>
          <w:i/>
          <w:iCs/>
          <w:color w:val="1B1B1C"/>
          <w:sz w:val="21"/>
          <w:szCs w:val="21"/>
        </w:rPr>
      </w:pPr>
      <w:r w:rsidRPr="00991A56">
        <w:rPr>
          <w:rFonts w:ascii="Abadi" w:hAnsi="Abadi" w:cs="*Verdana-Italic-12911-Identity-"/>
          <w:i/>
          <w:iCs/>
          <w:color w:val="1B1B1C"/>
          <w:sz w:val="21"/>
          <w:szCs w:val="21"/>
        </w:rPr>
        <w:t>En este sentido, la presente Iniciativa busca establecer una armonización de los</w:t>
      </w:r>
      <w:r>
        <w:rPr>
          <w:rFonts w:ascii="Abadi" w:hAnsi="Abadi" w:cs="*Verdana-Italic-12911-Identity-"/>
          <w:i/>
          <w:iCs/>
          <w:color w:val="1B1B1C"/>
          <w:sz w:val="21"/>
          <w:szCs w:val="21"/>
        </w:rPr>
        <w:t xml:space="preserve"> </w:t>
      </w:r>
      <w:r w:rsidRPr="00991A56">
        <w:rPr>
          <w:rFonts w:ascii="Abadi" w:hAnsi="Abadi" w:cs="*Verdana-Italic-12911-Identity-"/>
          <w:i/>
          <w:iCs/>
          <w:color w:val="1B1B1C"/>
          <w:sz w:val="21"/>
          <w:szCs w:val="21"/>
        </w:rPr>
        <w:t>diferentes principios, mecanismos, órganos y procedimientos en materia de</w:t>
      </w:r>
      <w:r>
        <w:rPr>
          <w:rFonts w:ascii="Abadi" w:hAnsi="Abadi" w:cs="*Verdana-Italic-12911-Identity-"/>
          <w:i/>
          <w:iCs/>
          <w:color w:val="1B1B1C"/>
          <w:sz w:val="21"/>
          <w:szCs w:val="21"/>
        </w:rPr>
        <w:t xml:space="preserve"> </w:t>
      </w:r>
      <w:r w:rsidRPr="00991A56">
        <w:rPr>
          <w:rFonts w:ascii="Abadi" w:hAnsi="Abadi" w:cs="*Verdana-Italic-12911-Identity-"/>
          <w:i/>
          <w:iCs/>
          <w:color w:val="1B1B1C"/>
          <w:sz w:val="21"/>
          <w:szCs w:val="21"/>
        </w:rPr>
        <w:t>remuneraciones salariales en diversos artículos de la Ley para el Ejercicio y Control de</w:t>
      </w:r>
      <w:r>
        <w:rPr>
          <w:rFonts w:ascii="Abadi" w:hAnsi="Abadi" w:cs="*Verdana-Italic-12911-Identity-"/>
          <w:i/>
          <w:iCs/>
          <w:color w:val="1B1B1C"/>
          <w:sz w:val="21"/>
          <w:szCs w:val="21"/>
        </w:rPr>
        <w:t xml:space="preserve"> </w:t>
      </w:r>
      <w:r w:rsidRPr="00991A56">
        <w:rPr>
          <w:rFonts w:ascii="Abadi" w:hAnsi="Abadi" w:cs="*Verdana-Italic-12911-Identity-"/>
          <w:i/>
          <w:iCs/>
          <w:color w:val="1B1B1C"/>
          <w:sz w:val="21"/>
          <w:szCs w:val="21"/>
        </w:rPr>
        <w:t>los Recursos Públicos para el Estado y los Municipios de Guanajuato, con la finalidad de</w:t>
      </w:r>
      <w:r>
        <w:rPr>
          <w:rFonts w:ascii="Abadi" w:hAnsi="Abadi" w:cs="*Verdana-Italic-12911-Identity-"/>
          <w:i/>
          <w:iCs/>
          <w:color w:val="1B1B1C"/>
          <w:sz w:val="21"/>
          <w:szCs w:val="21"/>
        </w:rPr>
        <w:t xml:space="preserve"> </w:t>
      </w:r>
      <w:r w:rsidRPr="00991A56">
        <w:rPr>
          <w:rFonts w:ascii="Abadi" w:hAnsi="Abadi" w:cs="*Verdana-Italic-12911-Identity-"/>
          <w:i/>
          <w:iCs/>
          <w:color w:val="1B1B1C"/>
          <w:sz w:val="21"/>
          <w:szCs w:val="21"/>
        </w:rPr>
        <w:t>dar certidumbre jurídica y confiabilidad a la sociedad en la determinación de las</w:t>
      </w:r>
      <w:r>
        <w:rPr>
          <w:rFonts w:ascii="Abadi" w:hAnsi="Abadi" w:cs="*Verdana-Italic-12911-Identity-"/>
          <w:i/>
          <w:iCs/>
          <w:color w:val="1B1B1C"/>
          <w:sz w:val="21"/>
          <w:szCs w:val="21"/>
        </w:rPr>
        <w:t xml:space="preserve"> </w:t>
      </w:r>
      <w:r w:rsidRPr="00991A56">
        <w:rPr>
          <w:rFonts w:ascii="Abadi" w:hAnsi="Abadi" w:cs="*Verdana-Italic-12911-Identity-"/>
          <w:i/>
          <w:iCs/>
          <w:color w:val="1B1B1C"/>
          <w:sz w:val="21"/>
          <w:szCs w:val="21"/>
        </w:rPr>
        <w:t>percepciones de los servidores públicos.</w:t>
      </w:r>
    </w:p>
    <w:p w14:paraId="3E40F7FF" w14:textId="77777777" w:rsidR="00F91FB5" w:rsidRPr="00991A56" w:rsidRDefault="00F91FB5" w:rsidP="00F91FB5">
      <w:pPr>
        <w:autoSpaceDE w:val="0"/>
        <w:autoSpaceDN w:val="0"/>
        <w:adjustRightInd w:val="0"/>
        <w:ind w:left="426"/>
        <w:jc w:val="both"/>
        <w:rPr>
          <w:rFonts w:ascii="Abadi" w:hAnsi="Abadi" w:cs="*Verdana-Italic-12911-Identity-"/>
          <w:i/>
          <w:iCs/>
          <w:color w:val="1B1B1C"/>
          <w:sz w:val="21"/>
          <w:szCs w:val="21"/>
        </w:rPr>
      </w:pPr>
    </w:p>
    <w:p w14:paraId="5D76CB2D" w14:textId="77777777" w:rsidR="00F91FB5" w:rsidRDefault="00F91FB5" w:rsidP="00F91FB5">
      <w:pPr>
        <w:autoSpaceDE w:val="0"/>
        <w:autoSpaceDN w:val="0"/>
        <w:adjustRightInd w:val="0"/>
        <w:ind w:left="426"/>
        <w:jc w:val="both"/>
        <w:rPr>
          <w:rFonts w:ascii="Abadi" w:hAnsi="Abadi" w:cs="*Verdana-Italic-12911-Identity-"/>
          <w:i/>
          <w:iCs/>
          <w:color w:val="1A1A1B"/>
          <w:sz w:val="21"/>
          <w:szCs w:val="21"/>
        </w:rPr>
      </w:pPr>
      <w:r w:rsidRPr="00991A56">
        <w:rPr>
          <w:rFonts w:ascii="Abadi" w:hAnsi="Abadi" w:cs="*Verdana-Italic-12911-Identity-"/>
          <w:i/>
          <w:iCs/>
          <w:color w:val="1A1A1B"/>
          <w:sz w:val="21"/>
          <w:szCs w:val="21"/>
        </w:rPr>
        <w:t>Como primer elemento de la presente iniciativa, es clarificar dos órganos colegiados que</w:t>
      </w:r>
      <w:r>
        <w:rPr>
          <w:rFonts w:ascii="Abadi" w:hAnsi="Abadi" w:cs="*Verdana-Italic-12911-Identity-"/>
          <w:i/>
          <w:iCs/>
          <w:color w:val="1A1A1B"/>
          <w:sz w:val="21"/>
          <w:szCs w:val="21"/>
        </w:rPr>
        <w:t xml:space="preserve"> </w:t>
      </w:r>
      <w:r w:rsidRPr="00991A56">
        <w:rPr>
          <w:rFonts w:ascii="Abadi" w:hAnsi="Abadi" w:cs="*Verdana-Italic-12911-Identity-"/>
          <w:i/>
          <w:iCs/>
          <w:color w:val="1A1A1B"/>
          <w:sz w:val="21"/>
          <w:szCs w:val="21"/>
        </w:rPr>
        <w:t>dan directriz y certidumbre al procedimiento salarial.</w:t>
      </w:r>
    </w:p>
    <w:p w14:paraId="315D5983" w14:textId="77777777" w:rsidR="00F91FB5" w:rsidRPr="00991A56" w:rsidRDefault="00F91FB5" w:rsidP="00F91FB5">
      <w:pPr>
        <w:autoSpaceDE w:val="0"/>
        <w:autoSpaceDN w:val="0"/>
        <w:adjustRightInd w:val="0"/>
        <w:ind w:left="426"/>
        <w:jc w:val="both"/>
        <w:rPr>
          <w:rFonts w:ascii="Abadi" w:hAnsi="Abadi" w:cs="*Verdana-Italic-12911-Identity-"/>
          <w:i/>
          <w:iCs/>
          <w:color w:val="1A1A1B"/>
          <w:sz w:val="21"/>
          <w:szCs w:val="21"/>
        </w:rPr>
      </w:pPr>
    </w:p>
    <w:p w14:paraId="653FBA19" w14:textId="77777777" w:rsidR="00F91FB5" w:rsidRDefault="00F91FB5" w:rsidP="00F91FB5">
      <w:pPr>
        <w:autoSpaceDE w:val="0"/>
        <w:autoSpaceDN w:val="0"/>
        <w:adjustRightInd w:val="0"/>
        <w:ind w:left="426"/>
        <w:jc w:val="both"/>
        <w:rPr>
          <w:rFonts w:ascii="Abadi" w:hAnsi="Abadi" w:cs="*Verdana-Italic-12911-Identity-"/>
          <w:i/>
          <w:iCs/>
          <w:color w:val="1B1B1C"/>
          <w:sz w:val="21"/>
          <w:szCs w:val="21"/>
        </w:rPr>
      </w:pPr>
      <w:r w:rsidRPr="00991A56">
        <w:rPr>
          <w:rFonts w:ascii="Abadi" w:hAnsi="Abadi" w:cs="*Verdana-Italic-12911-Identity-"/>
          <w:i/>
          <w:iCs/>
          <w:color w:val="1B1B1C"/>
          <w:sz w:val="21"/>
          <w:szCs w:val="21"/>
        </w:rPr>
        <w:t>1. El Comité de Estructuración Salarial, el cual, se le da una función más activa para</w:t>
      </w:r>
      <w:r>
        <w:rPr>
          <w:rFonts w:ascii="Abadi" w:hAnsi="Abadi" w:cs="*Verdana-Italic-12911-Identity-"/>
          <w:i/>
          <w:iCs/>
          <w:color w:val="1B1B1C"/>
          <w:sz w:val="21"/>
          <w:szCs w:val="21"/>
        </w:rPr>
        <w:t xml:space="preserve"> </w:t>
      </w:r>
      <w:r w:rsidRPr="00991A56">
        <w:rPr>
          <w:rFonts w:ascii="Abadi" w:hAnsi="Abadi" w:cs="*Verdana-Italic-12911-Identity-"/>
          <w:i/>
          <w:iCs/>
          <w:color w:val="1B1B1C"/>
          <w:sz w:val="21"/>
          <w:szCs w:val="21"/>
        </w:rPr>
        <w:t>determinar las remuneraciones salariales, ya que su nueva integración plural y</w:t>
      </w:r>
      <w:r>
        <w:rPr>
          <w:rFonts w:ascii="Abadi" w:hAnsi="Abadi" w:cs="*Verdana-Italic-12911-Identity-"/>
          <w:i/>
          <w:iCs/>
          <w:color w:val="1B1B1C"/>
          <w:sz w:val="21"/>
          <w:szCs w:val="21"/>
        </w:rPr>
        <w:t xml:space="preserve"> </w:t>
      </w:r>
      <w:r w:rsidRPr="00991A56">
        <w:rPr>
          <w:rFonts w:ascii="Abadi" w:hAnsi="Abadi" w:cs="*Verdana-Italic-12911-Identity-"/>
          <w:i/>
          <w:iCs/>
          <w:color w:val="1B1B1C"/>
          <w:sz w:val="21"/>
          <w:szCs w:val="21"/>
        </w:rPr>
        <w:t>unificadora permitirá potencial/zar sus determinaciones; y,</w:t>
      </w:r>
    </w:p>
    <w:p w14:paraId="58D3442C" w14:textId="77777777" w:rsidR="00F91FB5" w:rsidRPr="00991A56" w:rsidRDefault="00F91FB5" w:rsidP="00F91FB5">
      <w:pPr>
        <w:autoSpaceDE w:val="0"/>
        <w:autoSpaceDN w:val="0"/>
        <w:adjustRightInd w:val="0"/>
        <w:ind w:left="426"/>
        <w:jc w:val="both"/>
        <w:rPr>
          <w:rFonts w:ascii="Abadi" w:hAnsi="Abadi" w:cs="*Verdana-Italic-12911-Identity-"/>
          <w:i/>
          <w:iCs/>
          <w:color w:val="1B1B1C"/>
          <w:sz w:val="21"/>
          <w:szCs w:val="21"/>
        </w:rPr>
      </w:pPr>
    </w:p>
    <w:p w14:paraId="3BEB25D3" w14:textId="77777777" w:rsidR="00F91FB5" w:rsidRPr="00991A56" w:rsidRDefault="00F91FB5" w:rsidP="00F91FB5">
      <w:pPr>
        <w:autoSpaceDE w:val="0"/>
        <w:autoSpaceDN w:val="0"/>
        <w:adjustRightInd w:val="0"/>
        <w:ind w:left="426"/>
        <w:jc w:val="both"/>
        <w:rPr>
          <w:rFonts w:ascii="Abadi" w:hAnsi="Abadi" w:cs="*Verdana-Italic-12911-Identity-"/>
          <w:i/>
          <w:iCs/>
          <w:color w:val="1B1B1E"/>
          <w:sz w:val="21"/>
          <w:szCs w:val="21"/>
        </w:rPr>
      </w:pPr>
      <w:r w:rsidRPr="00991A56">
        <w:rPr>
          <w:rFonts w:ascii="Abadi" w:hAnsi="Abadi" w:cs="*Verdana-Italic-12911-Identity-"/>
          <w:i/>
          <w:iCs/>
          <w:color w:val="1B1B1E"/>
          <w:sz w:val="21"/>
          <w:szCs w:val="21"/>
        </w:rPr>
        <w:t>2. Un Órgano Técnico de Valoración de las Remuneraciones de los Servidores Públicos</w:t>
      </w:r>
      <w:r>
        <w:rPr>
          <w:rFonts w:ascii="Abadi" w:hAnsi="Abadi" w:cs="*Verdana-Italic-12911-Identity-"/>
          <w:i/>
          <w:iCs/>
          <w:color w:val="1B1B1E"/>
          <w:sz w:val="21"/>
          <w:szCs w:val="21"/>
        </w:rPr>
        <w:t xml:space="preserve"> </w:t>
      </w:r>
      <w:r w:rsidRPr="00991A56">
        <w:rPr>
          <w:rFonts w:ascii="Abadi" w:hAnsi="Abadi" w:cs="*Verdana-Italic-12911-Identity-"/>
          <w:i/>
          <w:iCs/>
          <w:color w:val="1B1B1E"/>
          <w:sz w:val="21"/>
          <w:szCs w:val="21"/>
        </w:rPr>
        <w:t>del Estado, el cual, tiene una función meramente técnica y especia</w:t>
      </w:r>
      <w:r>
        <w:rPr>
          <w:rFonts w:ascii="Abadi" w:hAnsi="Abadi" w:cs="*Verdana-Italic-12911-Identity-"/>
          <w:i/>
          <w:iCs/>
          <w:color w:val="1B1B1E"/>
          <w:sz w:val="21"/>
          <w:szCs w:val="21"/>
        </w:rPr>
        <w:t>l</w:t>
      </w:r>
      <w:r w:rsidRPr="00991A56">
        <w:rPr>
          <w:rFonts w:ascii="Abadi" w:hAnsi="Abadi" w:cs="*Verdana-Italic-12911-Identity-"/>
          <w:i/>
          <w:iCs/>
          <w:color w:val="1B1B1E"/>
          <w:sz w:val="21"/>
          <w:szCs w:val="21"/>
        </w:rPr>
        <w:t>izada.</w:t>
      </w:r>
    </w:p>
    <w:p w14:paraId="4716E153" w14:textId="77777777" w:rsidR="00F91FB5" w:rsidRDefault="00F91FB5" w:rsidP="00F91FB5">
      <w:pPr>
        <w:autoSpaceDE w:val="0"/>
        <w:autoSpaceDN w:val="0"/>
        <w:adjustRightInd w:val="0"/>
        <w:jc w:val="both"/>
        <w:rPr>
          <w:rFonts w:ascii="Abadi" w:hAnsi="Abadi" w:cs="*Verdana-Italic-12911-Identity-"/>
          <w:i/>
          <w:iCs/>
          <w:color w:val="1B1B1E"/>
          <w:sz w:val="21"/>
          <w:szCs w:val="21"/>
        </w:rPr>
      </w:pPr>
    </w:p>
    <w:p w14:paraId="53CF068A" w14:textId="77777777" w:rsidR="00F91FB5" w:rsidRDefault="00F91FB5" w:rsidP="00F91FB5">
      <w:pPr>
        <w:autoSpaceDE w:val="0"/>
        <w:autoSpaceDN w:val="0"/>
        <w:adjustRightInd w:val="0"/>
        <w:ind w:left="426"/>
        <w:jc w:val="both"/>
        <w:rPr>
          <w:rFonts w:ascii="Abadi" w:hAnsi="Abadi" w:cs="*Verdana-Italic-12911-Identity-"/>
          <w:i/>
          <w:iCs/>
          <w:color w:val="1B1B1E"/>
          <w:sz w:val="21"/>
          <w:szCs w:val="21"/>
        </w:rPr>
      </w:pPr>
      <w:r w:rsidRPr="00991A56">
        <w:rPr>
          <w:rFonts w:ascii="Abadi" w:hAnsi="Abadi" w:cs="*Verdana-Italic-12911-Identity-"/>
          <w:i/>
          <w:iCs/>
          <w:color w:val="1B1B1E"/>
          <w:sz w:val="21"/>
          <w:szCs w:val="21"/>
        </w:rPr>
        <w:t>Encomendándole la elaboración de los criterios que son base para la deter</w:t>
      </w:r>
      <w:r>
        <w:rPr>
          <w:rFonts w:ascii="Abadi" w:hAnsi="Abadi" w:cs="*Verdana-Italic-12911-Identity-"/>
          <w:i/>
          <w:iCs/>
          <w:color w:val="1B1B1E"/>
          <w:sz w:val="21"/>
          <w:szCs w:val="21"/>
        </w:rPr>
        <w:t xml:space="preserve">minación </w:t>
      </w:r>
      <w:r w:rsidRPr="00991A56">
        <w:rPr>
          <w:rFonts w:ascii="Abadi" w:hAnsi="Abadi" w:cs="*Verdana-Italic-12911-Identity-"/>
          <w:i/>
          <w:iCs/>
          <w:color w:val="1B1B1E"/>
          <w:sz w:val="21"/>
          <w:szCs w:val="21"/>
        </w:rPr>
        <w:t>de las remuneraciones salariales de los servidores públicos del estado.</w:t>
      </w:r>
    </w:p>
    <w:p w14:paraId="483AD0B9" w14:textId="77777777" w:rsidR="00F91FB5" w:rsidRPr="00991A56" w:rsidRDefault="00F91FB5" w:rsidP="00F91FB5">
      <w:pPr>
        <w:autoSpaceDE w:val="0"/>
        <w:autoSpaceDN w:val="0"/>
        <w:adjustRightInd w:val="0"/>
        <w:ind w:left="426"/>
        <w:jc w:val="both"/>
        <w:rPr>
          <w:rFonts w:ascii="Abadi" w:hAnsi="Abadi" w:cs="*Verdana-Italic-12911-Identity-"/>
          <w:i/>
          <w:iCs/>
          <w:color w:val="1B1B1E"/>
          <w:sz w:val="21"/>
          <w:szCs w:val="21"/>
        </w:rPr>
      </w:pPr>
    </w:p>
    <w:p w14:paraId="136614F6" w14:textId="77777777" w:rsidR="00F91FB5" w:rsidRDefault="00F91FB5" w:rsidP="00F91FB5">
      <w:pPr>
        <w:autoSpaceDE w:val="0"/>
        <w:autoSpaceDN w:val="0"/>
        <w:adjustRightInd w:val="0"/>
        <w:ind w:left="426"/>
        <w:jc w:val="both"/>
        <w:rPr>
          <w:rFonts w:ascii="Abadi" w:hAnsi="Abadi" w:cs="*Verdana-Italic-12911-Identity-"/>
          <w:i/>
          <w:iCs/>
          <w:color w:val="1B1A1D"/>
          <w:sz w:val="21"/>
          <w:szCs w:val="21"/>
        </w:rPr>
      </w:pPr>
      <w:r w:rsidRPr="00991A56">
        <w:rPr>
          <w:rFonts w:ascii="Abadi" w:hAnsi="Abadi" w:cs="*Verdana-Italic-12911-Identity-"/>
          <w:i/>
          <w:iCs/>
          <w:color w:val="1B1A1D"/>
          <w:sz w:val="21"/>
          <w:szCs w:val="21"/>
        </w:rPr>
        <w:t xml:space="preserve">Bajo estos dos pilares, se proponer reformar el artículo </w:t>
      </w:r>
      <w:r w:rsidRPr="009E2FC0">
        <w:rPr>
          <w:rFonts w:ascii="Abadi" w:hAnsi="Abadi" w:cs="*Comic Sans MS-Bold-12910-Ident"/>
          <w:color w:val="1B1A1D"/>
          <w:sz w:val="21"/>
          <w:szCs w:val="21"/>
        </w:rPr>
        <w:t xml:space="preserve">79 </w:t>
      </w:r>
      <w:r w:rsidRPr="00991A56">
        <w:rPr>
          <w:rFonts w:ascii="Abadi" w:hAnsi="Abadi" w:cs="*Verdana-Italic-12911-Identity-"/>
          <w:i/>
          <w:iCs/>
          <w:color w:val="1B1A1D"/>
          <w:sz w:val="21"/>
          <w:szCs w:val="21"/>
        </w:rPr>
        <w:t>de la Ley para el Ejercicio y</w:t>
      </w:r>
      <w:r>
        <w:rPr>
          <w:rFonts w:ascii="Abadi" w:hAnsi="Abadi" w:cs="*Verdana-Italic-12911-Identity-"/>
          <w:i/>
          <w:iCs/>
          <w:color w:val="1B1A1D"/>
          <w:sz w:val="21"/>
          <w:szCs w:val="21"/>
        </w:rPr>
        <w:t xml:space="preserve"> </w:t>
      </w:r>
      <w:r w:rsidRPr="00991A56">
        <w:rPr>
          <w:rFonts w:ascii="Abadi" w:hAnsi="Abadi" w:cs="*Verdana-Italic-12911-Identity-"/>
          <w:i/>
          <w:iCs/>
          <w:color w:val="1B1A1D"/>
          <w:sz w:val="21"/>
          <w:szCs w:val="21"/>
        </w:rPr>
        <w:t>Control de los Recursos Públicos para el Estado y los Municipios de Guanajuato, para</w:t>
      </w:r>
      <w:r>
        <w:rPr>
          <w:rFonts w:ascii="Abadi" w:hAnsi="Abadi" w:cs="*Verdana-Italic-12911-Identity-"/>
          <w:i/>
          <w:iCs/>
          <w:color w:val="1B1A1D"/>
          <w:sz w:val="21"/>
          <w:szCs w:val="21"/>
        </w:rPr>
        <w:t xml:space="preserve"> </w:t>
      </w:r>
      <w:r w:rsidRPr="00991A56">
        <w:rPr>
          <w:rFonts w:ascii="Abadi" w:hAnsi="Abadi" w:cs="*Verdana-Italic-12911-Identity-"/>
          <w:i/>
          <w:iCs/>
          <w:color w:val="1B1A1D"/>
          <w:sz w:val="21"/>
          <w:szCs w:val="21"/>
        </w:rPr>
        <w:t>especificar de manera clara y contundente que el Comité de Estructuración Salarial es el</w:t>
      </w:r>
      <w:r>
        <w:rPr>
          <w:rFonts w:ascii="Abadi" w:hAnsi="Abadi" w:cs="*Verdana-Italic-12911-Identity-"/>
          <w:i/>
          <w:iCs/>
          <w:color w:val="1B1A1D"/>
          <w:sz w:val="21"/>
          <w:szCs w:val="21"/>
        </w:rPr>
        <w:t xml:space="preserve"> </w:t>
      </w:r>
      <w:r w:rsidRPr="00991A56">
        <w:rPr>
          <w:rFonts w:ascii="Abadi" w:hAnsi="Abadi" w:cs="*Verdana-Italic-12911-Identity-"/>
          <w:i/>
          <w:iCs/>
          <w:color w:val="1B1A1D"/>
          <w:sz w:val="21"/>
          <w:szCs w:val="21"/>
        </w:rPr>
        <w:t>único órgano encargado de determinar las remuneraciones salariales de los servidores</w:t>
      </w:r>
      <w:r>
        <w:rPr>
          <w:rFonts w:ascii="Abadi" w:hAnsi="Abadi" w:cs="*Verdana-Italic-12911-Identity-"/>
          <w:i/>
          <w:iCs/>
          <w:color w:val="1B1A1D"/>
          <w:sz w:val="21"/>
          <w:szCs w:val="21"/>
        </w:rPr>
        <w:t xml:space="preserve"> </w:t>
      </w:r>
      <w:r w:rsidRPr="00991A56">
        <w:rPr>
          <w:rFonts w:ascii="Abadi" w:hAnsi="Abadi" w:cs="*Verdana-Italic-12911-Identity-"/>
          <w:i/>
          <w:iCs/>
          <w:color w:val="1B1A1D"/>
          <w:sz w:val="21"/>
          <w:szCs w:val="21"/>
        </w:rPr>
        <w:t>públicos adscritos a los tres Poderes del Estado, así como emitir las recomendaciones de</w:t>
      </w:r>
      <w:r>
        <w:rPr>
          <w:rFonts w:ascii="Abadi" w:hAnsi="Abadi" w:cs="*Verdana-Italic-12911-Identity-"/>
          <w:i/>
          <w:iCs/>
          <w:color w:val="1B1A1D"/>
          <w:sz w:val="21"/>
          <w:szCs w:val="21"/>
        </w:rPr>
        <w:t xml:space="preserve"> </w:t>
      </w:r>
      <w:r w:rsidRPr="00991A56">
        <w:rPr>
          <w:rFonts w:ascii="Abadi" w:hAnsi="Abadi" w:cs="*Verdana-Italic-12911-Identity-"/>
          <w:i/>
          <w:iCs/>
          <w:color w:val="1B1A1D"/>
          <w:sz w:val="21"/>
          <w:szCs w:val="21"/>
        </w:rPr>
        <w:t>las remuneraciones salarla/es de los servidores públicos adscritos a los organismos</w:t>
      </w:r>
      <w:r>
        <w:rPr>
          <w:rFonts w:ascii="Abadi" w:hAnsi="Abadi" w:cs="*Verdana-Italic-12911-Identity-"/>
          <w:i/>
          <w:iCs/>
          <w:color w:val="1B1A1D"/>
          <w:sz w:val="21"/>
          <w:szCs w:val="21"/>
        </w:rPr>
        <w:t xml:space="preserve"> </w:t>
      </w:r>
      <w:r w:rsidRPr="00991A56">
        <w:rPr>
          <w:rFonts w:ascii="Abadi" w:hAnsi="Abadi" w:cs="*Verdana-Italic-12911-Identity-"/>
          <w:i/>
          <w:iCs/>
          <w:color w:val="1B1A1D"/>
          <w:sz w:val="21"/>
          <w:szCs w:val="21"/>
        </w:rPr>
        <w:t>autónomos y Ayuntamientos, tomando en consideración los criterios del Órgano Técnico</w:t>
      </w:r>
      <w:r>
        <w:rPr>
          <w:rFonts w:ascii="Abadi" w:hAnsi="Abadi" w:cs="*Verdana-Italic-12911-Identity-"/>
          <w:i/>
          <w:iCs/>
          <w:color w:val="1B1A1D"/>
          <w:sz w:val="21"/>
          <w:szCs w:val="21"/>
        </w:rPr>
        <w:t xml:space="preserve"> </w:t>
      </w:r>
      <w:r w:rsidRPr="00991A56">
        <w:rPr>
          <w:rFonts w:ascii="Abadi" w:hAnsi="Abadi" w:cs="*Verdana-Italic-12911-Identity-"/>
          <w:i/>
          <w:iCs/>
          <w:color w:val="1B1A1D"/>
          <w:sz w:val="21"/>
          <w:szCs w:val="21"/>
        </w:rPr>
        <w:t>de Valoración de las Remuneraciones de los Servidores Públicos del Estado.</w:t>
      </w:r>
    </w:p>
    <w:p w14:paraId="5F2429D9" w14:textId="77777777" w:rsidR="00F91FB5" w:rsidRDefault="00F91FB5" w:rsidP="00EB6D47">
      <w:pPr>
        <w:autoSpaceDE w:val="0"/>
        <w:autoSpaceDN w:val="0"/>
        <w:adjustRightInd w:val="0"/>
        <w:jc w:val="both"/>
        <w:rPr>
          <w:rFonts w:ascii="Abadi" w:hAnsi="Abadi" w:cs="*Verdana-Italic-12911-Identity-"/>
          <w:i/>
          <w:iCs/>
          <w:color w:val="1B1A1D"/>
          <w:sz w:val="21"/>
          <w:szCs w:val="21"/>
        </w:rPr>
      </w:pPr>
    </w:p>
    <w:p w14:paraId="096664B8" w14:textId="77777777" w:rsidR="00F91FB5" w:rsidRPr="00991A56" w:rsidRDefault="00F91FB5" w:rsidP="00F91FB5">
      <w:pPr>
        <w:autoSpaceDE w:val="0"/>
        <w:autoSpaceDN w:val="0"/>
        <w:adjustRightInd w:val="0"/>
        <w:ind w:left="426"/>
        <w:jc w:val="both"/>
        <w:rPr>
          <w:rFonts w:ascii="Abadi" w:hAnsi="Abadi" w:cs="*Verdana-Italic-12911-Identity-"/>
          <w:i/>
          <w:iCs/>
          <w:color w:val="1B1A1D"/>
          <w:sz w:val="21"/>
          <w:szCs w:val="21"/>
        </w:rPr>
      </w:pPr>
    </w:p>
    <w:p w14:paraId="38329620" w14:textId="77777777" w:rsidR="00F91FB5" w:rsidRPr="00991A56" w:rsidRDefault="00F91FB5" w:rsidP="00F91FB5">
      <w:pPr>
        <w:autoSpaceDE w:val="0"/>
        <w:autoSpaceDN w:val="0"/>
        <w:adjustRightInd w:val="0"/>
        <w:ind w:left="426"/>
        <w:jc w:val="both"/>
        <w:rPr>
          <w:rFonts w:ascii="Abadi" w:hAnsi="Abadi" w:cs="*Verdana-Italic-12911-Identity-"/>
          <w:i/>
          <w:iCs/>
          <w:color w:val="1A1A1C"/>
          <w:sz w:val="21"/>
          <w:szCs w:val="21"/>
        </w:rPr>
      </w:pPr>
      <w:r w:rsidRPr="00991A56">
        <w:rPr>
          <w:rFonts w:ascii="Abadi" w:hAnsi="Abadi" w:cs="*Verdana-Italic-12911-Identity-"/>
          <w:i/>
          <w:iCs/>
          <w:color w:val="1A1A1C"/>
          <w:sz w:val="21"/>
          <w:szCs w:val="21"/>
        </w:rPr>
        <w:t>Lo anterior, permite que el Comité de Estructuración Salarial mantenga su carácter y</w:t>
      </w:r>
      <w:r>
        <w:rPr>
          <w:rFonts w:ascii="Abadi" w:hAnsi="Abadi" w:cs="*Verdana-Italic-12911-Identity-"/>
          <w:i/>
          <w:iCs/>
          <w:color w:val="1A1A1C"/>
          <w:sz w:val="21"/>
          <w:szCs w:val="21"/>
        </w:rPr>
        <w:t xml:space="preserve"> </w:t>
      </w:r>
      <w:r w:rsidRPr="00991A56">
        <w:rPr>
          <w:rFonts w:ascii="Abadi" w:hAnsi="Abadi" w:cs="*Verdana-Italic-12911-Identity-"/>
          <w:i/>
          <w:iCs/>
          <w:color w:val="1A1A1C"/>
          <w:sz w:val="21"/>
          <w:szCs w:val="21"/>
        </w:rPr>
        <w:t>naturaleza integradora, y el Órgano Técnico de Valoración, sea un cuerpo colegiado</w:t>
      </w:r>
      <w:r>
        <w:rPr>
          <w:rFonts w:ascii="Abadi" w:hAnsi="Abadi" w:cs="*Verdana-Italic-12911-Identity-"/>
          <w:i/>
          <w:iCs/>
          <w:color w:val="1A1A1C"/>
          <w:sz w:val="21"/>
          <w:szCs w:val="21"/>
        </w:rPr>
        <w:t xml:space="preserve"> </w:t>
      </w:r>
      <w:r w:rsidRPr="00991A56">
        <w:rPr>
          <w:rFonts w:ascii="Abadi" w:hAnsi="Abadi" w:cs="*Verdana-Italic-12911-Identity-"/>
          <w:i/>
          <w:iCs/>
          <w:color w:val="1A1A1C"/>
          <w:sz w:val="21"/>
          <w:szCs w:val="21"/>
        </w:rPr>
        <w:t>eminentemente especialista y perito en insumos al primero de los órganos.</w:t>
      </w:r>
    </w:p>
    <w:p w14:paraId="07B614B5" w14:textId="77777777" w:rsidR="00F91FB5" w:rsidRPr="00991A56" w:rsidRDefault="00F91FB5" w:rsidP="00F91FB5">
      <w:pPr>
        <w:ind w:left="426"/>
        <w:jc w:val="both"/>
        <w:rPr>
          <w:rFonts w:ascii="Abadi" w:hAnsi="Abadi" w:cs="*Verdana-Italic-12911-Identity-"/>
          <w:i/>
          <w:iCs/>
          <w:color w:val="1A1A1C"/>
          <w:sz w:val="21"/>
          <w:szCs w:val="21"/>
        </w:rPr>
      </w:pPr>
    </w:p>
    <w:p w14:paraId="6F451760" w14:textId="77777777" w:rsidR="00F91FB5" w:rsidRPr="00991A56" w:rsidRDefault="00F91FB5" w:rsidP="00F91FB5">
      <w:pPr>
        <w:autoSpaceDE w:val="0"/>
        <w:autoSpaceDN w:val="0"/>
        <w:adjustRightInd w:val="0"/>
        <w:ind w:left="426"/>
        <w:jc w:val="both"/>
        <w:rPr>
          <w:rFonts w:ascii="Abadi" w:hAnsi="Abadi" w:cs="*Verdana-Italic-12292-Identity-"/>
          <w:i/>
          <w:iCs/>
          <w:color w:val="1B1B1D"/>
          <w:sz w:val="21"/>
          <w:szCs w:val="21"/>
        </w:rPr>
      </w:pPr>
      <w:r w:rsidRPr="00991A56">
        <w:rPr>
          <w:rFonts w:ascii="Abadi" w:hAnsi="Abadi" w:cs="*Verdana-Italic-12292-Identity-"/>
          <w:i/>
          <w:iCs/>
          <w:color w:val="1B1B1D"/>
          <w:sz w:val="21"/>
          <w:szCs w:val="21"/>
        </w:rPr>
        <w:t xml:space="preserve">Por ello, resulta necesario que en la presente Iniciativa se adicione el artículo </w:t>
      </w:r>
      <w:r w:rsidRPr="00991A56">
        <w:rPr>
          <w:rFonts w:ascii="Abadi" w:hAnsi="Abadi" w:cs="*Times New Roman-12288-Identity"/>
          <w:color w:val="1B1B1D"/>
          <w:sz w:val="21"/>
          <w:szCs w:val="21"/>
        </w:rPr>
        <w:t xml:space="preserve">79 </w:t>
      </w:r>
      <w:r w:rsidRPr="00991A56">
        <w:rPr>
          <w:rFonts w:ascii="Abadi" w:hAnsi="Abadi" w:cs="*Verdana-Italic-12292-Identity-"/>
          <w:i/>
          <w:iCs/>
          <w:color w:val="1B1B1D"/>
          <w:sz w:val="21"/>
          <w:szCs w:val="21"/>
        </w:rPr>
        <w:t>bis de la</w:t>
      </w:r>
      <w:r>
        <w:rPr>
          <w:rFonts w:ascii="Abadi" w:hAnsi="Abadi" w:cs="*Verdana-Italic-12292-Identity-"/>
          <w:i/>
          <w:iCs/>
          <w:color w:val="1B1B1D"/>
          <w:sz w:val="21"/>
          <w:szCs w:val="21"/>
        </w:rPr>
        <w:t xml:space="preserve"> </w:t>
      </w:r>
      <w:r w:rsidRPr="00991A56">
        <w:rPr>
          <w:rFonts w:ascii="Abadi" w:hAnsi="Abadi" w:cs="*Verdana-Italic-12292-Identity-"/>
          <w:i/>
          <w:iCs/>
          <w:color w:val="1B1B1D"/>
          <w:sz w:val="21"/>
          <w:szCs w:val="21"/>
        </w:rPr>
        <w:t>cita Ley, para señalar de manera expresa que el Comité de Estructuración Salarial</w:t>
      </w:r>
      <w:r>
        <w:rPr>
          <w:rFonts w:ascii="Abadi" w:hAnsi="Abadi" w:cs="*Verdana-Italic-12292-Identity-"/>
          <w:i/>
          <w:iCs/>
          <w:color w:val="1B1B1D"/>
          <w:sz w:val="21"/>
          <w:szCs w:val="21"/>
        </w:rPr>
        <w:t xml:space="preserve"> </w:t>
      </w:r>
      <w:r w:rsidRPr="00991A56">
        <w:rPr>
          <w:rFonts w:ascii="Abadi" w:hAnsi="Abadi" w:cs="*Verdana-Italic-12292-Identity-"/>
          <w:i/>
          <w:iCs/>
          <w:color w:val="1B1B1D"/>
          <w:sz w:val="21"/>
          <w:szCs w:val="21"/>
        </w:rPr>
        <w:t>contará con el apoyo de un Órgano Técnico de Valoración de las Remuneraciones de los</w:t>
      </w:r>
      <w:r>
        <w:rPr>
          <w:rFonts w:ascii="Abadi" w:hAnsi="Abadi" w:cs="*Verdana-Italic-12292-Identity-"/>
          <w:i/>
          <w:iCs/>
          <w:color w:val="1B1B1D"/>
          <w:sz w:val="21"/>
          <w:szCs w:val="21"/>
        </w:rPr>
        <w:t xml:space="preserve"> </w:t>
      </w:r>
      <w:r w:rsidRPr="00991A56">
        <w:rPr>
          <w:rFonts w:ascii="Abadi" w:hAnsi="Abadi" w:cs="*Verdana-Italic-12292-Identity-"/>
          <w:i/>
          <w:iCs/>
          <w:color w:val="1B1B1D"/>
          <w:sz w:val="21"/>
          <w:szCs w:val="21"/>
        </w:rPr>
        <w:t>Servidores Públicos del Estado, el cual deberá realizar dos acciones especializadas:</w:t>
      </w:r>
    </w:p>
    <w:p w14:paraId="489EC3D9" w14:textId="77777777" w:rsidR="00F91FB5" w:rsidRDefault="00F91FB5" w:rsidP="00F91FB5">
      <w:pPr>
        <w:autoSpaceDE w:val="0"/>
        <w:autoSpaceDN w:val="0"/>
        <w:adjustRightInd w:val="0"/>
        <w:ind w:left="426"/>
        <w:jc w:val="both"/>
        <w:rPr>
          <w:rFonts w:ascii="Abadi" w:hAnsi="Abadi" w:cs="*Times New Roman-12288-Identity"/>
          <w:color w:val="19191C"/>
          <w:sz w:val="21"/>
          <w:szCs w:val="21"/>
        </w:rPr>
      </w:pPr>
    </w:p>
    <w:p w14:paraId="0DCC2CFC" w14:textId="77777777" w:rsidR="00F91FB5" w:rsidRDefault="00F91FB5" w:rsidP="00F91FB5">
      <w:pPr>
        <w:autoSpaceDE w:val="0"/>
        <w:autoSpaceDN w:val="0"/>
        <w:adjustRightInd w:val="0"/>
        <w:ind w:left="426"/>
        <w:jc w:val="both"/>
        <w:rPr>
          <w:rFonts w:ascii="Abadi" w:hAnsi="Abadi" w:cs="*Verdana-Italic-12292-Identity-"/>
          <w:i/>
          <w:iCs/>
          <w:color w:val="19191C"/>
          <w:sz w:val="21"/>
          <w:szCs w:val="21"/>
        </w:rPr>
      </w:pPr>
      <w:r w:rsidRPr="00991A56">
        <w:rPr>
          <w:rFonts w:ascii="Abadi" w:hAnsi="Abadi" w:cs="*Times New Roman-12288-Identity"/>
          <w:color w:val="19191C"/>
          <w:sz w:val="21"/>
          <w:szCs w:val="21"/>
        </w:rPr>
        <w:t xml:space="preserve">• </w:t>
      </w:r>
      <w:r w:rsidRPr="00991A56">
        <w:rPr>
          <w:rFonts w:ascii="Abadi" w:hAnsi="Abadi" w:cs="*Verdana-Italic-12292-Identity-"/>
          <w:i/>
          <w:iCs/>
          <w:color w:val="19191C"/>
          <w:sz w:val="21"/>
          <w:szCs w:val="21"/>
        </w:rPr>
        <w:t>Realizar los estudios necesarios para la actualización de los montos máximos de las</w:t>
      </w:r>
      <w:r>
        <w:rPr>
          <w:rFonts w:ascii="Abadi" w:hAnsi="Abadi" w:cs="*Verdana-Italic-12292-Identity-"/>
          <w:i/>
          <w:iCs/>
          <w:color w:val="19191C"/>
          <w:sz w:val="21"/>
          <w:szCs w:val="21"/>
        </w:rPr>
        <w:t xml:space="preserve"> </w:t>
      </w:r>
      <w:r w:rsidRPr="00991A56">
        <w:rPr>
          <w:rFonts w:ascii="Abadi" w:hAnsi="Abadi" w:cs="*Verdana-Italic-12292-Identity-"/>
          <w:i/>
          <w:iCs/>
          <w:color w:val="19191C"/>
          <w:sz w:val="21"/>
          <w:szCs w:val="21"/>
        </w:rPr>
        <w:t>percepciones anualmente, y</w:t>
      </w:r>
    </w:p>
    <w:p w14:paraId="6CE66828" w14:textId="77777777" w:rsidR="00F91FB5" w:rsidRPr="00991A56" w:rsidRDefault="00F91FB5" w:rsidP="00F91FB5">
      <w:pPr>
        <w:autoSpaceDE w:val="0"/>
        <w:autoSpaceDN w:val="0"/>
        <w:adjustRightInd w:val="0"/>
        <w:ind w:left="426"/>
        <w:jc w:val="both"/>
        <w:rPr>
          <w:rFonts w:ascii="Abadi" w:hAnsi="Abadi" w:cs="*Verdana-Italic-12292-Identity-"/>
          <w:i/>
          <w:iCs/>
          <w:color w:val="19191C"/>
          <w:sz w:val="21"/>
          <w:szCs w:val="21"/>
        </w:rPr>
      </w:pPr>
    </w:p>
    <w:p w14:paraId="5E36B19A" w14:textId="77777777" w:rsidR="00F91FB5" w:rsidRDefault="00F91FB5" w:rsidP="00F91FB5">
      <w:pPr>
        <w:autoSpaceDE w:val="0"/>
        <w:autoSpaceDN w:val="0"/>
        <w:adjustRightInd w:val="0"/>
        <w:ind w:left="426"/>
        <w:jc w:val="both"/>
        <w:rPr>
          <w:rFonts w:ascii="Abadi" w:hAnsi="Abadi" w:cs="*Verdana-Italic-12292-Identity-"/>
          <w:i/>
          <w:iCs/>
          <w:color w:val="18181A"/>
          <w:sz w:val="21"/>
          <w:szCs w:val="21"/>
        </w:rPr>
      </w:pPr>
      <w:r w:rsidRPr="00991A56">
        <w:rPr>
          <w:rFonts w:ascii="Abadi" w:hAnsi="Abadi" w:cs="*Times New Roman-12288-Identity"/>
          <w:color w:val="18181A"/>
          <w:sz w:val="21"/>
          <w:szCs w:val="21"/>
        </w:rPr>
        <w:t xml:space="preserve">• </w:t>
      </w:r>
      <w:r w:rsidRPr="00991A56">
        <w:rPr>
          <w:rFonts w:ascii="Abadi" w:hAnsi="Abadi" w:cs="*Verdana-Italic-12292-Identity-"/>
          <w:i/>
          <w:iCs/>
          <w:color w:val="18181A"/>
          <w:sz w:val="21"/>
          <w:szCs w:val="21"/>
        </w:rPr>
        <w:t>Elaborar los criterios sobre la percepción salarial de los servidores públicos al Comité</w:t>
      </w:r>
      <w:r>
        <w:rPr>
          <w:rFonts w:ascii="Abadi" w:hAnsi="Abadi" w:cs="*Verdana-Italic-12292-Identity-"/>
          <w:i/>
          <w:iCs/>
          <w:color w:val="18181A"/>
          <w:sz w:val="21"/>
          <w:szCs w:val="21"/>
        </w:rPr>
        <w:t xml:space="preserve"> </w:t>
      </w:r>
      <w:r w:rsidRPr="00991A56">
        <w:rPr>
          <w:rFonts w:ascii="Abadi" w:hAnsi="Abadi" w:cs="*Verdana-Italic-12292-Identity-"/>
          <w:i/>
          <w:iCs/>
          <w:color w:val="18181A"/>
          <w:sz w:val="21"/>
          <w:szCs w:val="21"/>
        </w:rPr>
        <w:t>de Estructuración Salarial.</w:t>
      </w:r>
    </w:p>
    <w:p w14:paraId="73485083" w14:textId="77777777" w:rsidR="00F91FB5" w:rsidRPr="00991A56" w:rsidRDefault="00F91FB5" w:rsidP="00F91FB5">
      <w:pPr>
        <w:autoSpaceDE w:val="0"/>
        <w:autoSpaceDN w:val="0"/>
        <w:adjustRightInd w:val="0"/>
        <w:ind w:left="426"/>
        <w:jc w:val="both"/>
        <w:rPr>
          <w:rFonts w:ascii="Abadi" w:hAnsi="Abadi" w:cs="*Verdana-Italic-12292-Identity-"/>
          <w:i/>
          <w:iCs/>
          <w:color w:val="18181A"/>
          <w:sz w:val="21"/>
          <w:szCs w:val="21"/>
        </w:rPr>
      </w:pPr>
    </w:p>
    <w:p w14:paraId="38459D30" w14:textId="77777777" w:rsidR="00F91FB5" w:rsidRDefault="00F91FB5" w:rsidP="00F91FB5">
      <w:pPr>
        <w:autoSpaceDE w:val="0"/>
        <w:autoSpaceDN w:val="0"/>
        <w:adjustRightInd w:val="0"/>
        <w:ind w:left="426"/>
        <w:jc w:val="both"/>
        <w:rPr>
          <w:rFonts w:ascii="Abadi" w:hAnsi="Abadi" w:cs="*Verdana-Italic-12292-Identity-"/>
          <w:i/>
          <w:iCs/>
          <w:color w:val="18171A"/>
          <w:sz w:val="21"/>
          <w:szCs w:val="21"/>
        </w:rPr>
      </w:pPr>
      <w:r w:rsidRPr="00991A56">
        <w:rPr>
          <w:rFonts w:ascii="Abadi" w:hAnsi="Abadi" w:cs="*Verdana-Italic-12292-Identity-"/>
          <w:i/>
          <w:iCs/>
          <w:color w:val="18171A"/>
          <w:sz w:val="21"/>
          <w:szCs w:val="21"/>
        </w:rPr>
        <w:t xml:space="preserve">Ahora bien, en el presente artículo, </w:t>
      </w:r>
      <w:r w:rsidRPr="00991A56">
        <w:rPr>
          <w:rFonts w:ascii="Abadi" w:hAnsi="Abadi" w:cs="*Verdana-12293-Identity-H"/>
          <w:color w:val="18171A"/>
          <w:sz w:val="21"/>
          <w:szCs w:val="21"/>
        </w:rPr>
        <w:t xml:space="preserve">se </w:t>
      </w:r>
      <w:r w:rsidRPr="00991A56">
        <w:rPr>
          <w:rFonts w:ascii="Abadi" w:hAnsi="Abadi" w:cs="*Verdana-Italic-12292-Identity-"/>
          <w:i/>
          <w:iCs/>
          <w:color w:val="18171A"/>
          <w:sz w:val="21"/>
          <w:szCs w:val="21"/>
        </w:rPr>
        <w:t>establece la integración de dicho órgano, el cual</w:t>
      </w:r>
      <w:r>
        <w:rPr>
          <w:rFonts w:ascii="Abadi" w:hAnsi="Abadi" w:cs="*Verdana-Italic-12292-Identity-"/>
          <w:i/>
          <w:iCs/>
          <w:color w:val="18171A"/>
          <w:sz w:val="21"/>
          <w:szCs w:val="21"/>
        </w:rPr>
        <w:t xml:space="preserve"> </w:t>
      </w:r>
      <w:r w:rsidRPr="00991A56">
        <w:rPr>
          <w:rFonts w:ascii="Abadi" w:hAnsi="Abadi" w:cs="*Verdana-Italic-12292-Identity-"/>
          <w:i/>
          <w:iCs/>
          <w:color w:val="18171A"/>
          <w:sz w:val="21"/>
          <w:szCs w:val="21"/>
        </w:rPr>
        <w:t>estará integrado por especialistas en la materia: el titular de la Secretaría de Finanzas,</w:t>
      </w:r>
      <w:r>
        <w:rPr>
          <w:rFonts w:ascii="Abadi" w:hAnsi="Abadi" w:cs="*Verdana-Italic-12292-Identity-"/>
          <w:i/>
          <w:iCs/>
          <w:color w:val="18171A"/>
          <w:sz w:val="21"/>
          <w:szCs w:val="21"/>
        </w:rPr>
        <w:t xml:space="preserve"> </w:t>
      </w:r>
      <w:r w:rsidRPr="00991A56">
        <w:rPr>
          <w:rFonts w:ascii="Abadi" w:hAnsi="Abadi" w:cs="*Verdana-Italic-12292-Identity-"/>
          <w:i/>
          <w:iCs/>
          <w:color w:val="18171A"/>
          <w:sz w:val="21"/>
          <w:szCs w:val="21"/>
        </w:rPr>
        <w:t>Inversión y Administración; un representante del Consejo del Poder Judicial; un</w:t>
      </w:r>
      <w:r>
        <w:rPr>
          <w:rFonts w:ascii="Abadi" w:hAnsi="Abadi" w:cs="*Verdana-Italic-12292-Identity-"/>
          <w:i/>
          <w:iCs/>
          <w:color w:val="18171A"/>
          <w:sz w:val="21"/>
          <w:szCs w:val="21"/>
        </w:rPr>
        <w:t xml:space="preserve"> </w:t>
      </w:r>
      <w:r w:rsidRPr="00991A56">
        <w:rPr>
          <w:rFonts w:ascii="Abadi" w:hAnsi="Abadi" w:cs="*Verdana-Italic-12292-Identity-"/>
          <w:i/>
          <w:iCs/>
          <w:color w:val="18171A"/>
          <w:sz w:val="21"/>
          <w:szCs w:val="21"/>
        </w:rPr>
        <w:t>representante del Poder Legislativo, y el titular de la Auditoría Superior del Estado.</w:t>
      </w:r>
      <w:r>
        <w:rPr>
          <w:rFonts w:ascii="Abadi" w:hAnsi="Abadi" w:cs="*Verdana-Italic-12292-Identity-"/>
          <w:i/>
          <w:iCs/>
          <w:color w:val="18171A"/>
          <w:sz w:val="21"/>
          <w:szCs w:val="21"/>
        </w:rPr>
        <w:t xml:space="preserve"> </w:t>
      </w:r>
    </w:p>
    <w:p w14:paraId="61AC0DFB" w14:textId="77777777" w:rsidR="00F91FB5" w:rsidRDefault="00F91FB5" w:rsidP="00F91FB5">
      <w:pPr>
        <w:autoSpaceDE w:val="0"/>
        <w:autoSpaceDN w:val="0"/>
        <w:adjustRightInd w:val="0"/>
        <w:ind w:left="426"/>
        <w:jc w:val="both"/>
        <w:rPr>
          <w:rFonts w:ascii="Abadi" w:hAnsi="Abadi" w:cs="*Verdana-Italic-12292-Identity-"/>
          <w:i/>
          <w:iCs/>
          <w:color w:val="18171A"/>
          <w:sz w:val="21"/>
          <w:szCs w:val="21"/>
        </w:rPr>
      </w:pPr>
    </w:p>
    <w:p w14:paraId="20A14455" w14:textId="77777777" w:rsidR="00F91FB5" w:rsidRDefault="00F91FB5" w:rsidP="00F91FB5">
      <w:pPr>
        <w:autoSpaceDE w:val="0"/>
        <w:autoSpaceDN w:val="0"/>
        <w:adjustRightInd w:val="0"/>
        <w:ind w:left="426"/>
        <w:jc w:val="both"/>
        <w:rPr>
          <w:rFonts w:ascii="Abadi" w:hAnsi="Abadi" w:cs="*Verdana-Italic-12292-Identity-"/>
          <w:i/>
          <w:iCs/>
          <w:color w:val="18181A"/>
          <w:sz w:val="21"/>
          <w:szCs w:val="21"/>
        </w:rPr>
      </w:pPr>
      <w:r w:rsidRPr="00991A56">
        <w:rPr>
          <w:rFonts w:ascii="Abadi" w:hAnsi="Abadi" w:cs="*Verdana-Italic-12292-Identity-"/>
          <w:i/>
          <w:iCs/>
          <w:color w:val="18181A"/>
          <w:sz w:val="21"/>
          <w:szCs w:val="21"/>
        </w:rPr>
        <w:t>Una vez que sea planteado la naturaleza e integración de dicho órgano técnico, es</w:t>
      </w:r>
      <w:r>
        <w:rPr>
          <w:rFonts w:ascii="Abadi" w:hAnsi="Abadi" w:cs="*Verdana-Italic-12292-Identity-"/>
          <w:i/>
          <w:iCs/>
          <w:color w:val="18181A"/>
          <w:sz w:val="21"/>
          <w:szCs w:val="21"/>
        </w:rPr>
        <w:t xml:space="preserve"> </w:t>
      </w:r>
      <w:r w:rsidRPr="00991A56">
        <w:rPr>
          <w:rFonts w:ascii="Abadi" w:hAnsi="Abadi" w:cs="*Verdana-Italic-12292-Identity-"/>
          <w:i/>
          <w:iCs/>
          <w:color w:val="18181A"/>
          <w:sz w:val="21"/>
          <w:szCs w:val="21"/>
        </w:rPr>
        <w:t>necesario plasmar un elemento fundamental de la presente iniciativa, es decir, definir los</w:t>
      </w:r>
      <w:r>
        <w:rPr>
          <w:rFonts w:ascii="Abadi" w:hAnsi="Abadi" w:cs="*Verdana-Italic-12292-Identity-"/>
          <w:i/>
          <w:iCs/>
          <w:color w:val="18181A"/>
          <w:sz w:val="21"/>
          <w:szCs w:val="21"/>
        </w:rPr>
        <w:t xml:space="preserve"> </w:t>
      </w:r>
      <w:r w:rsidRPr="00991A56">
        <w:rPr>
          <w:rFonts w:ascii="Abadi" w:hAnsi="Abadi" w:cs="*Verdana-Italic-12292-Identity-"/>
          <w:i/>
          <w:iCs/>
          <w:color w:val="18181A"/>
          <w:sz w:val="21"/>
          <w:szCs w:val="21"/>
        </w:rPr>
        <w:t>elementos que dan sustento a los criterios para determinar las remuneraciones</w:t>
      </w:r>
      <w:r>
        <w:rPr>
          <w:rFonts w:ascii="Abadi" w:hAnsi="Abadi" w:cs="*Verdana-Italic-12292-Identity-"/>
          <w:i/>
          <w:iCs/>
          <w:color w:val="18181A"/>
          <w:sz w:val="21"/>
          <w:szCs w:val="21"/>
        </w:rPr>
        <w:t xml:space="preserve"> </w:t>
      </w:r>
      <w:r w:rsidRPr="00991A56">
        <w:rPr>
          <w:rFonts w:ascii="Abadi" w:hAnsi="Abadi" w:cs="*Verdana-Italic-12292-Identity-"/>
          <w:i/>
          <w:iCs/>
          <w:color w:val="18181A"/>
          <w:sz w:val="21"/>
          <w:szCs w:val="21"/>
        </w:rPr>
        <w:t xml:space="preserve">salariales. Por ello, se adiciona el articulo </w:t>
      </w:r>
      <w:r w:rsidRPr="00991A56">
        <w:rPr>
          <w:rFonts w:ascii="Abadi" w:hAnsi="Abadi" w:cs="*Times New Roman-12288-Identity"/>
          <w:color w:val="18181A"/>
          <w:sz w:val="21"/>
          <w:szCs w:val="21"/>
        </w:rPr>
        <w:t xml:space="preserve">79 </w:t>
      </w:r>
      <w:r w:rsidRPr="00991A56">
        <w:rPr>
          <w:rFonts w:ascii="Abadi" w:hAnsi="Abadi" w:cs="*Verdana-Italic-12292-Identity-"/>
          <w:i/>
          <w:iCs/>
          <w:color w:val="18181A"/>
          <w:sz w:val="21"/>
          <w:szCs w:val="21"/>
        </w:rPr>
        <w:t>ter de la citada Ley, para relacionar doce</w:t>
      </w:r>
      <w:r>
        <w:rPr>
          <w:rFonts w:ascii="Abadi" w:hAnsi="Abadi" w:cs="*Verdana-Italic-12292-Identity-"/>
          <w:i/>
          <w:iCs/>
          <w:color w:val="18181A"/>
          <w:sz w:val="21"/>
          <w:szCs w:val="21"/>
        </w:rPr>
        <w:t xml:space="preserve"> </w:t>
      </w:r>
      <w:r w:rsidRPr="00991A56">
        <w:rPr>
          <w:rFonts w:ascii="Abadi" w:hAnsi="Abadi" w:cs="*Verdana-Italic-12292-Identity-"/>
          <w:i/>
          <w:iCs/>
          <w:color w:val="18181A"/>
          <w:sz w:val="21"/>
          <w:szCs w:val="21"/>
        </w:rPr>
        <w:t>características que debe tomar en cuenta el Órgano Técnico de Valoración para emitir los</w:t>
      </w:r>
      <w:r>
        <w:rPr>
          <w:rFonts w:ascii="Abadi" w:hAnsi="Abadi" w:cs="*Verdana-Italic-12292-Identity-"/>
          <w:i/>
          <w:iCs/>
          <w:color w:val="18181A"/>
          <w:sz w:val="21"/>
          <w:szCs w:val="21"/>
        </w:rPr>
        <w:t xml:space="preserve"> </w:t>
      </w:r>
      <w:r w:rsidRPr="00991A56">
        <w:rPr>
          <w:rFonts w:ascii="Abadi" w:hAnsi="Abadi" w:cs="*Verdana-Italic-12292-Identity-"/>
          <w:i/>
          <w:iCs/>
          <w:color w:val="18181A"/>
          <w:sz w:val="21"/>
          <w:szCs w:val="21"/>
        </w:rPr>
        <w:t>criterios sobre la remuneración de los servidores públicos, las cuales son las siguientes:</w:t>
      </w:r>
    </w:p>
    <w:p w14:paraId="65C724CD" w14:textId="77777777" w:rsidR="00F91FB5" w:rsidRPr="00991A56" w:rsidRDefault="00F91FB5" w:rsidP="00F91FB5">
      <w:pPr>
        <w:autoSpaceDE w:val="0"/>
        <w:autoSpaceDN w:val="0"/>
        <w:adjustRightInd w:val="0"/>
        <w:ind w:left="426"/>
        <w:jc w:val="both"/>
        <w:rPr>
          <w:rFonts w:ascii="Abadi" w:hAnsi="Abadi" w:cs="*Verdana-Italic-12292-Identity-"/>
          <w:i/>
          <w:iCs/>
          <w:color w:val="18181A"/>
          <w:sz w:val="21"/>
          <w:szCs w:val="21"/>
        </w:rPr>
      </w:pPr>
    </w:p>
    <w:p w14:paraId="23DBC7F5" w14:textId="77777777" w:rsidR="00F91FB5" w:rsidRDefault="00F91FB5" w:rsidP="00F91FB5">
      <w:pPr>
        <w:autoSpaceDE w:val="0"/>
        <w:autoSpaceDN w:val="0"/>
        <w:adjustRightInd w:val="0"/>
        <w:ind w:left="426"/>
        <w:jc w:val="both"/>
        <w:rPr>
          <w:rFonts w:ascii="Abadi" w:hAnsi="Abadi" w:cs="*Verdana-Italic-12292-Identity-"/>
          <w:i/>
          <w:iCs/>
          <w:color w:val="1F1D20"/>
          <w:sz w:val="21"/>
          <w:szCs w:val="21"/>
        </w:rPr>
      </w:pPr>
      <w:r w:rsidRPr="00991A56">
        <w:rPr>
          <w:rFonts w:ascii="Abadi" w:hAnsi="Abadi" w:cs="*Times New Roman-12288-Identity"/>
          <w:color w:val="1F1D20"/>
          <w:sz w:val="21"/>
          <w:szCs w:val="21"/>
        </w:rPr>
        <w:t xml:space="preserve">• </w:t>
      </w:r>
      <w:r w:rsidRPr="00991A56">
        <w:rPr>
          <w:rFonts w:ascii="Abadi" w:hAnsi="Abadi" w:cs="*Verdana-Italic-12292-Identity-"/>
          <w:i/>
          <w:iCs/>
          <w:color w:val="1F1D20"/>
          <w:sz w:val="21"/>
          <w:szCs w:val="21"/>
        </w:rPr>
        <w:t>Importancia relativa al puesto;</w:t>
      </w:r>
    </w:p>
    <w:p w14:paraId="4192C2AB" w14:textId="77777777" w:rsidR="00F91FB5" w:rsidRDefault="00F91FB5" w:rsidP="00F91FB5">
      <w:pPr>
        <w:autoSpaceDE w:val="0"/>
        <w:autoSpaceDN w:val="0"/>
        <w:adjustRightInd w:val="0"/>
        <w:ind w:left="426"/>
        <w:jc w:val="both"/>
        <w:rPr>
          <w:rFonts w:ascii="Abadi" w:hAnsi="Abadi" w:cs="*Verdana-Italic-12292-Identity-"/>
          <w:i/>
          <w:iCs/>
          <w:color w:val="171719"/>
          <w:sz w:val="21"/>
          <w:szCs w:val="21"/>
        </w:rPr>
      </w:pPr>
      <w:r w:rsidRPr="00991A56">
        <w:rPr>
          <w:rFonts w:ascii="Abadi" w:hAnsi="Abadi" w:cs="*Times New Roman-12288-Identity"/>
          <w:color w:val="171719"/>
          <w:sz w:val="21"/>
          <w:szCs w:val="21"/>
        </w:rPr>
        <w:t xml:space="preserve">• </w:t>
      </w:r>
      <w:r w:rsidRPr="00991A56">
        <w:rPr>
          <w:rFonts w:ascii="Abadi" w:hAnsi="Abadi" w:cs="*Verdana-Italic-12292-Identity-"/>
          <w:i/>
          <w:iCs/>
          <w:color w:val="171719"/>
          <w:sz w:val="21"/>
          <w:szCs w:val="21"/>
        </w:rPr>
        <w:t>Poder adquisitivo del salario;</w:t>
      </w:r>
    </w:p>
    <w:p w14:paraId="3642EA98" w14:textId="77777777" w:rsidR="00F91FB5" w:rsidRDefault="00F91FB5" w:rsidP="00F91FB5">
      <w:pPr>
        <w:autoSpaceDE w:val="0"/>
        <w:autoSpaceDN w:val="0"/>
        <w:adjustRightInd w:val="0"/>
        <w:ind w:left="426"/>
        <w:jc w:val="both"/>
        <w:rPr>
          <w:rFonts w:ascii="Abadi" w:hAnsi="Abadi" w:cs="*Verdana-Italic-12292-Identity-"/>
          <w:i/>
          <w:iCs/>
          <w:color w:val="1A191C"/>
          <w:sz w:val="21"/>
          <w:szCs w:val="21"/>
        </w:rPr>
      </w:pPr>
      <w:r w:rsidRPr="00991A56">
        <w:rPr>
          <w:rFonts w:ascii="Abadi" w:hAnsi="Abadi" w:cs="*Times New Roman-12288-Identity"/>
          <w:color w:val="1A191C"/>
          <w:sz w:val="21"/>
          <w:szCs w:val="21"/>
        </w:rPr>
        <w:t xml:space="preserve">• </w:t>
      </w:r>
      <w:r w:rsidRPr="00991A56">
        <w:rPr>
          <w:rFonts w:ascii="Abadi" w:hAnsi="Abadi" w:cs="*Verdana-Italic-12292-Identity-"/>
          <w:i/>
          <w:iCs/>
          <w:color w:val="1A191C"/>
          <w:sz w:val="21"/>
          <w:szCs w:val="21"/>
        </w:rPr>
        <w:t>Competitividad del salario;</w:t>
      </w:r>
    </w:p>
    <w:p w14:paraId="402EA634" w14:textId="77777777" w:rsidR="00F91FB5" w:rsidRPr="00991A56" w:rsidRDefault="00F91FB5" w:rsidP="00F91FB5">
      <w:pPr>
        <w:autoSpaceDE w:val="0"/>
        <w:autoSpaceDN w:val="0"/>
        <w:adjustRightInd w:val="0"/>
        <w:ind w:left="426"/>
        <w:jc w:val="both"/>
        <w:rPr>
          <w:rFonts w:ascii="Abadi" w:hAnsi="Abadi" w:cs="*Verdana-Italic-12292-Identity-"/>
          <w:i/>
          <w:iCs/>
          <w:color w:val="19191B"/>
          <w:sz w:val="21"/>
          <w:szCs w:val="21"/>
        </w:rPr>
      </w:pPr>
      <w:r w:rsidRPr="00991A56">
        <w:rPr>
          <w:rFonts w:ascii="Abadi" w:hAnsi="Abadi" w:cs="*Times New Roman-12288-Identity"/>
          <w:color w:val="19191B"/>
          <w:sz w:val="21"/>
          <w:szCs w:val="21"/>
        </w:rPr>
        <w:t xml:space="preserve">• </w:t>
      </w:r>
      <w:r w:rsidRPr="00991A56">
        <w:rPr>
          <w:rFonts w:ascii="Abadi" w:hAnsi="Abadi" w:cs="*Verdana-Italic-12292-Identity-"/>
          <w:i/>
          <w:iCs/>
          <w:color w:val="19191B"/>
          <w:sz w:val="21"/>
          <w:szCs w:val="21"/>
        </w:rPr>
        <w:t>Evaluación del desempeño por nivel tabular, base de resultados e indicadores de</w:t>
      </w:r>
      <w:r>
        <w:rPr>
          <w:rFonts w:ascii="Abadi" w:hAnsi="Abadi" w:cs="*Verdana-Italic-12292-Identity-"/>
          <w:i/>
          <w:iCs/>
          <w:color w:val="19191B"/>
          <w:sz w:val="21"/>
          <w:szCs w:val="21"/>
        </w:rPr>
        <w:t xml:space="preserve"> </w:t>
      </w:r>
      <w:r w:rsidRPr="00991A56">
        <w:rPr>
          <w:rFonts w:ascii="Abadi" w:hAnsi="Abadi" w:cs="*Verdana-Italic-12292-Identity-"/>
          <w:i/>
          <w:iCs/>
          <w:color w:val="19191B"/>
          <w:sz w:val="21"/>
          <w:szCs w:val="21"/>
        </w:rPr>
        <w:t>evaluación;</w:t>
      </w:r>
    </w:p>
    <w:p w14:paraId="58AB02B0" w14:textId="77777777" w:rsidR="00F91FB5" w:rsidRDefault="00F91FB5" w:rsidP="00F91FB5">
      <w:pPr>
        <w:autoSpaceDE w:val="0"/>
        <w:autoSpaceDN w:val="0"/>
        <w:adjustRightInd w:val="0"/>
        <w:ind w:left="426"/>
        <w:jc w:val="both"/>
        <w:rPr>
          <w:rFonts w:ascii="Abadi" w:hAnsi="Abadi" w:cs="*Verdana-Italic-12292-Identity-"/>
          <w:i/>
          <w:iCs/>
          <w:color w:val="1D1C1E"/>
          <w:sz w:val="21"/>
          <w:szCs w:val="21"/>
        </w:rPr>
      </w:pPr>
      <w:r w:rsidRPr="00991A56">
        <w:rPr>
          <w:rFonts w:ascii="Abadi" w:hAnsi="Abadi" w:cs="*Times New Roman-12288-Identity"/>
          <w:color w:val="1D1C1E"/>
          <w:sz w:val="21"/>
          <w:szCs w:val="21"/>
        </w:rPr>
        <w:t xml:space="preserve">• </w:t>
      </w:r>
      <w:r w:rsidRPr="00991A56">
        <w:rPr>
          <w:rFonts w:ascii="Abadi" w:hAnsi="Abadi" w:cs="*Verdana-Italic-12292-Identity-"/>
          <w:i/>
          <w:iCs/>
          <w:color w:val="1D1C1E"/>
          <w:sz w:val="21"/>
          <w:szCs w:val="21"/>
        </w:rPr>
        <w:t>Política de transversalidad y uniformidad del salarlo entre los tres Poderes;</w:t>
      </w:r>
    </w:p>
    <w:p w14:paraId="3393060F" w14:textId="77777777" w:rsidR="00F91FB5" w:rsidRDefault="00F91FB5" w:rsidP="00F91FB5">
      <w:pPr>
        <w:autoSpaceDE w:val="0"/>
        <w:autoSpaceDN w:val="0"/>
        <w:adjustRightInd w:val="0"/>
        <w:ind w:left="426"/>
        <w:jc w:val="both"/>
        <w:rPr>
          <w:rFonts w:ascii="Abadi" w:hAnsi="Abadi" w:cs="*Verdana-Italic-12292-Identity-"/>
          <w:i/>
          <w:iCs/>
          <w:color w:val="18181A"/>
          <w:sz w:val="21"/>
          <w:szCs w:val="21"/>
        </w:rPr>
      </w:pPr>
      <w:r w:rsidRPr="00991A56">
        <w:rPr>
          <w:rFonts w:ascii="Abadi" w:hAnsi="Abadi" w:cs="*Times New Roman-12288-Identity"/>
          <w:color w:val="18181A"/>
          <w:sz w:val="21"/>
          <w:szCs w:val="21"/>
        </w:rPr>
        <w:t xml:space="preserve">• </w:t>
      </w:r>
      <w:r w:rsidRPr="00991A56">
        <w:rPr>
          <w:rFonts w:ascii="Abadi" w:hAnsi="Abadi" w:cs="*Verdana-Italic-12292-Identity-"/>
          <w:i/>
          <w:iCs/>
          <w:color w:val="18181A"/>
          <w:sz w:val="21"/>
          <w:szCs w:val="21"/>
        </w:rPr>
        <w:t>Identificación de aquellos cargos que notoriamente se encuentran desfasados o</w:t>
      </w:r>
      <w:r>
        <w:rPr>
          <w:rFonts w:ascii="Abadi" w:hAnsi="Abadi" w:cs="*Verdana-Italic-12292-Identity-"/>
          <w:i/>
          <w:iCs/>
          <w:color w:val="18181A"/>
          <w:sz w:val="21"/>
          <w:szCs w:val="21"/>
        </w:rPr>
        <w:t xml:space="preserve"> </w:t>
      </w:r>
      <w:r w:rsidRPr="00991A56">
        <w:rPr>
          <w:rFonts w:ascii="Abadi" w:hAnsi="Abadi" w:cs="*Verdana-Italic-12292-Identity-"/>
          <w:i/>
          <w:iCs/>
          <w:color w:val="18181A"/>
          <w:sz w:val="21"/>
          <w:szCs w:val="21"/>
        </w:rPr>
        <w:t>rezagados en función de la remuneración que perciben;</w:t>
      </w:r>
    </w:p>
    <w:p w14:paraId="2A5C4B69" w14:textId="77777777" w:rsidR="00F91FB5" w:rsidRDefault="00F91FB5" w:rsidP="00F91FB5">
      <w:pPr>
        <w:autoSpaceDE w:val="0"/>
        <w:autoSpaceDN w:val="0"/>
        <w:adjustRightInd w:val="0"/>
        <w:ind w:left="426"/>
        <w:jc w:val="both"/>
        <w:rPr>
          <w:rFonts w:ascii="Abadi" w:hAnsi="Abadi" w:cs="*Verdana-Italic-12292-Identity-"/>
          <w:i/>
          <w:iCs/>
          <w:color w:val="1B1A1D"/>
          <w:sz w:val="21"/>
          <w:szCs w:val="21"/>
        </w:rPr>
      </w:pPr>
      <w:r w:rsidRPr="00991A56">
        <w:rPr>
          <w:rFonts w:ascii="Abadi" w:hAnsi="Abadi" w:cs="*Times New Roman-12288-Identity"/>
          <w:color w:val="1B1A1D"/>
          <w:sz w:val="21"/>
          <w:szCs w:val="21"/>
        </w:rPr>
        <w:t xml:space="preserve">• </w:t>
      </w:r>
      <w:r w:rsidRPr="00991A56">
        <w:rPr>
          <w:rFonts w:ascii="Abadi" w:hAnsi="Abadi" w:cs="*Verdana-Italic-12292-Identity-"/>
          <w:i/>
          <w:iCs/>
          <w:color w:val="1B1A1D"/>
          <w:sz w:val="21"/>
          <w:szCs w:val="21"/>
        </w:rPr>
        <w:t>Número de habitantes, aspecto a considerarse especia</w:t>
      </w:r>
      <w:r>
        <w:rPr>
          <w:rFonts w:ascii="Abadi" w:hAnsi="Abadi" w:cs="*Verdana-Italic-12292-Identity-"/>
          <w:i/>
          <w:iCs/>
          <w:color w:val="1B1A1D"/>
          <w:sz w:val="21"/>
          <w:szCs w:val="21"/>
        </w:rPr>
        <w:t>l</w:t>
      </w:r>
      <w:r w:rsidRPr="00991A56">
        <w:rPr>
          <w:rFonts w:ascii="Abadi" w:hAnsi="Abadi" w:cs="*Verdana-Italic-12292-Identity-"/>
          <w:i/>
          <w:iCs/>
          <w:color w:val="1B1A1D"/>
          <w:sz w:val="21"/>
          <w:szCs w:val="21"/>
        </w:rPr>
        <w:t>mente para asignar un</w:t>
      </w:r>
      <w:r>
        <w:rPr>
          <w:rFonts w:ascii="Abadi" w:hAnsi="Abadi" w:cs="*Verdana-Italic-12292-Identity-"/>
          <w:i/>
          <w:iCs/>
          <w:color w:val="1B1A1D"/>
          <w:sz w:val="21"/>
          <w:szCs w:val="21"/>
        </w:rPr>
        <w:t xml:space="preserve"> </w:t>
      </w:r>
      <w:r w:rsidRPr="00991A56">
        <w:rPr>
          <w:rFonts w:ascii="Abadi" w:hAnsi="Abadi" w:cs="*Verdana-Italic-12292-Identity-"/>
          <w:i/>
          <w:iCs/>
          <w:color w:val="1B1A1D"/>
          <w:sz w:val="21"/>
          <w:szCs w:val="21"/>
        </w:rPr>
        <w:t>tabulador promedio para las administraciones municipales;</w:t>
      </w:r>
    </w:p>
    <w:p w14:paraId="31C5CC71" w14:textId="77777777" w:rsidR="00F91FB5" w:rsidRDefault="00F91FB5" w:rsidP="00F91FB5">
      <w:pPr>
        <w:autoSpaceDE w:val="0"/>
        <w:autoSpaceDN w:val="0"/>
        <w:adjustRightInd w:val="0"/>
        <w:ind w:left="426"/>
        <w:jc w:val="both"/>
        <w:rPr>
          <w:rFonts w:ascii="Abadi" w:hAnsi="Abadi" w:cs="*Verdana-Italic-12292-Identity-"/>
          <w:i/>
          <w:iCs/>
          <w:color w:val="141416"/>
          <w:sz w:val="21"/>
          <w:szCs w:val="21"/>
        </w:rPr>
      </w:pPr>
      <w:r w:rsidRPr="00991A56">
        <w:rPr>
          <w:rFonts w:ascii="Abadi" w:hAnsi="Abadi" w:cs="*Times New Roman-12288-Identity"/>
          <w:color w:val="141416"/>
          <w:sz w:val="21"/>
          <w:szCs w:val="21"/>
        </w:rPr>
        <w:t xml:space="preserve">• </w:t>
      </w:r>
      <w:r w:rsidRPr="00991A56">
        <w:rPr>
          <w:rFonts w:ascii="Abadi" w:hAnsi="Abadi" w:cs="*Verdana-Italic-12292-Identity-"/>
          <w:i/>
          <w:iCs/>
          <w:color w:val="141416"/>
          <w:sz w:val="21"/>
          <w:szCs w:val="21"/>
        </w:rPr>
        <w:t>Monto del presupuesto;</w:t>
      </w:r>
    </w:p>
    <w:p w14:paraId="0C40E7F7" w14:textId="77777777" w:rsidR="00F91FB5" w:rsidRDefault="00F91FB5" w:rsidP="00F91FB5">
      <w:pPr>
        <w:autoSpaceDE w:val="0"/>
        <w:autoSpaceDN w:val="0"/>
        <w:adjustRightInd w:val="0"/>
        <w:ind w:left="426"/>
        <w:jc w:val="both"/>
        <w:rPr>
          <w:rFonts w:ascii="Abadi" w:hAnsi="Abadi" w:cs="*Verdana-Italic-12292-Identity-"/>
          <w:i/>
          <w:iCs/>
          <w:color w:val="1B1A1C"/>
          <w:sz w:val="21"/>
          <w:szCs w:val="21"/>
        </w:rPr>
      </w:pPr>
      <w:r w:rsidRPr="00991A56">
        <w:rPr>
          <w:rFonts w:ascii="Abadi" w:hAnsi="Abadi" w:cs="*Times New Roman-12288-Identity"/>
          <w:color w:val="1B1A1C"/>
          <w:sz w:val="21"/>
          <w:szCs w:val="21"/>
        </w:rPr>
        <w:t xml:space="preserve">• </w:t>
      </w:r>
      <w:r w:rsidRPr="00991A56">
        <w:rPr>
          <w:rFonts w:ascii="Abadi" w:hAnsi="Abadi" w:cs="*Verdana-Italic-12292-Identity-"/>
          <w:i/>
          <w:iCs/>
          <w:color w:val="1B1A1C"/>
          <w:sz w:val="21"/>
          <w:szCs w:val="21"/>
        </w:rPr>
        <w:t>Dispersión de la población;</w:t>
      </w:r>
    </w:p>
    <w:p w14:paraId="310FAB33" w14:textId="77777777" w:rsidR="00F91FB5" w:rsidRDefault="00F91FB5" w:rsidP="00F91FB5">
      <w:pPr>
        <w:autoSpaceDE w:val="0"/>
        <w:autoSpaceDN w:val="0"/>
        <w:adjustRightInd w:val="0"/>
        <w:ind w:left="426"/>
        <w:jc w:val="both"/>
        <w:rPr>
          <w:rFonts w:ascii="Abadi" w:hAnsi="Abadi" w:cs="*Verdana-Italic-12292-Identity-"/>
          <w:i/>
          <w:iCs/>
          <w:color w:val="1A1A1C"/>
          <w:sz w:val="21"/>
          <w:szCs w:val="21"/>
        </w:rPr>
      </w:pPr>
      <w:r w:rsidRPr="00991A56">
        <w:rPr>
          <w:rFonts w:ascii="Abadi" w:hAnsi="Abadi" w:cs="*Times New Roman-12288-Identity"/>
          <w:color w:val="1A1A1C"/>
          <w:sz w:val="21"/>
          <w:szCs w:val="21"/>
        </w:rPr>
        <w:t xml:space="preserve">• </w:t>
      </w:r>
      <w:r w:rsidRPr="00991A56">
        <w:rPr>
          <w:rFonts w:ascii="Abadi" w:hAnsi="Abadi" w:cs="*Verdana-Italic-12292-Identity-"/>
          <w:i/>
          <w:iCs/>
          <w:color w:val="1A1A1C"/>
          <w:sz w:val="21"/>
          <w:szCs w:val="21"/>
        </w:rPr>
        <w:t>Desarrollo socioeconómico;</w:t>
      </w:r>
    </w:p>
    <w:p w14:paraId="41278D68" w14:textId="77777777" w:rsidR="00F91FB5" w:rsidRPr="00991A56" w:rsidRDefault="00F91FB5" w:rsidP="00F91FB5">
      <w:pPr>
        <w:autoSpaceDE w:val="0"/>
        <w:autoSpaceDN w:val="0"/>
        <w:adjustRightInd w:val="0"/>
        <w:ind w:left="426"/>
        <w:jc w:val="both"/>
        <w:rPr>
          <w:rFonts w:ascii="Abadi" w:hAnsi="Abadi" w:cs="*Verdana-Italic-12292-Identity-"/>
          <w:i/>
          <w:iCs/>
          <w:color w:val="1A1A1B"/>
          <w:sz w:val="21"/>
          <w:szCs w:val="21"/>
        </w:rPr>
      </w:pPr>
      <w:r w:rsidRPr="00991A56">
        <w:rPr>
          <w:rFonts w:ascii="Abadi" w:hAnsi="Abadi" w:cs="*Times New Roman-12288-Identity"/>
          <w:color w:val="1A1A1B"/>
          <w:sz w:val="21"/>
          <w:szCs w:val="21"/>
        </w:rPr>
        <w:t xml:space="preserve">• </w:t>
      </w:r>
      <w:r w:rsidRPr="00991A56">
        <w:rPr>
          <w:rFonts w:ascii="Abadi" w:hAnsi="Abadi" w:cs="*Verdana-Italic-12292-Identity-"/>
          <w:i/>
          <w:iCs/>
          <w:color w:val="1A1A1B"/>
          <w:sz w:val="21"/>
          <w:szCs w:val="21"/>
        </w:rPr>
        <w:t>Número de servidores públicos, funciones y responsabilidades</w:t>
      </w:r>
      <w:r>
        <w:rPr>
          <w:rFonts w:ascii="Abadi" w:hAnsi="Abadi" w:cs="*Verdana-Italic-12292-Identity-"/>
          <w:i/>
          <w:iCs/>
          <w:color w:val="1A1A1B"/>
          <w:sz w:val="21"/>
          <w:szCs w:val="21"/>
        </w:rPr>
        <w:t xml:space="preserve"> </w:t>
      </w:r>
      <w:r w:rsidRPr="00991A56">
        <w:rPr>
          <w:rFonts w:ascii="Abadi" w:hAnsi="Abadi" w:cs="*Verdana-Italic-12292-Identity-"/>
          <w:i/>
          <w:iCs/>
          <w:color w:val="1A1A1B"/>
          <w:sz w:val="21"/>
          <w:szCs w:val="21"/>
        </w:rPr>
        <w:t>y</w:t>
      </w:r>
    </w:p>
    <w:p w14:paraId="2568AC5E" w14:textId="77777777" w:rsidR="00F91FB5" w:rsidRDefault="00F91FB5" w:rsidP="00F91FB5">
      <w:pPr>
        <w:autoSpaceDE w:val="0"/>
        <w:autoSpaceDN w:val="0"/>
        <w:adjustRightInd w:val="0"/>
        <w:ind w:left="426"/>
        <w:jc w:val="both"/>
        <w:rPr>
          <w:rFonts w:ascii="Abadi" w:hAnsi="Abadi" w:cs="*Verdana-Italic-12292-Identity-"/>
          <w:i/>
          <w:iCs/>
          <w:color w:val="1D1D1F"/>
          <w:sz w:val="21"/>
          <w:szCs w:val="21"/>
        </w:rPr>
      </w:pPr>
      <w:r w:rsidRPr="00991A56">
        <w:rPr>
          <w:rFonts w:ascii="Abadi" w:hAnsi="Abadi" w:cs="*Times New Roman-12288-Identity"/>
          <w:color w:val="1D1D1F"/>
          <w:sz w:val="21"/>
          <w:szCs w:val="21"/>
        </w:rPr>
        <w:t xml:space="preserve">• </w:t>
      </w:r>
      <w:r w:rsidRPr="00991A56">
        <w:rPr>
          <w:rFonts w:ascii="Abadi" w:hAnsi="Abadi" w:cs="*Verdana-Italic-12292-Identity-"/>
          <w:i/>
          <w:iCs/>
          <w:color w:val="1D1D1F"/>
          <w:sz w:val="21"/>
          <w:szCs w:val="21"/>
        </w:rPr>
        <w:t>Capacidad económica de la entidad pública.</w:t>
      </w:r>
    </w:p>
    <w:p w14:paraId="3BA966F8" w14:textId="77777777" w:rsidR="00F91FB5" w:rsidRPr="00991A56" w:rsidRDefault="00F91FB5" w:rsidP="00F91FB5">
      <w:pPr>
        <w:autoSpaceDE w:val="0"/>
        <w:autoSpaceDN w:val="0"/>
        <w:adjustRightInd w:val="0"/>
        <w:ind w:left="426"/>
        <w:jc w:val="both"/>
        <w:rPr>
          <w:rFonts w:ascii="Abadi" w:hAnsi="Abadi" w:cs="*Verdana-Italic-12292-Identity-"/>
          <w:i/>
          <w:iCs/>
          <w:color w:val="1D1D1F"/>
          <w:sz w:val="21"/>
          <w:szCs w:val="21"/>
        </w:rPr>
      </w:pPr>
    </w:p>
    <w:p w14:paraId="6CE0033F" w14:textId="77777777" w:rsidR="00F91FB5" w:rsidRPr="00991A56" w:rsidRDefault="00F91FB5" w:rsidP="00F91FB5">
      <w:pPr>
        <w:autoSpaceDE w:val="0"/>
        <w:autoSpaceDN w:val="0"/>
        <w:adjustRightInd w:val="0"/>
        <w:ind w:left="426"/>
        <w:jc w:val="both"/>
        <w:rPr>
          <w:rFonts w:ascii="Abadi" w:hAnsi="Abadi" w:cs="*Verdana-Italic-12292-Identity-"/>
          <w:i/>
          <w:iCs/>
          <w:color w:val="1B1A1C"/>
          <w:sz w:val="21"/>
          <w:szCs w:val="21"/>
        </w:rPr>
      </w:pPr>
      <w:r w:rsidRPr="00991A56">
        <w:rPr>
          <w:rFonts w:ascii="Abadi" w:hAnsi="Abadi" w:cs="*Verdana-Italic-12292-Identity-"/>
          <w:i/>
          <w:iCs/>
          <w:color w:val="1B1A1C"/>
          <w:sz w:val="21"/>
          <w:szCs w:val="21"/>
        </w:rPr>
        <w:t>En dichas características encontramos un abanico de elementos económicos, técnicos,</w:t>
      </w:r>
      <w:r>
        <w:rPr>
          <w:rFonts w:ascii="Abadi" w:hAnsi="Abadi" w:cs="*Verdana-Italic-12292-Identity-"/>
          <w:i/>
          <w:iCs/>
          <w:color w:val="1B1A1C"/>
          <w:sz w:val="21"/>
          <w:szCs w:val="21"/>
        </w:rPr>
        <w:t xml:space="preserve"> </w:t>
      </w:r>
      <w:r w:rsidRPr="00991A56">
        <w:rPr>
          <w:rFonts w:ascii="Abadi" w:hAnsi="Abadi" w:cs="*Verdana-Italic-12292-Identity-"/>
          <w:i/>
          <w:iCs/>
          <w:color w:val="1B1A1C"/>
          <w:sz w:val="21"/>
          <w:szCs w:val="21"/>
        </w:rPr>
        <w:t>sociales, financieros, jurídicos, demográficos, que a través de diferentes modelos de</w:t>
      </w:r>
      <w:r>
        <w:rPr>
          <w:rFonts w:ascii="Abadi" w:hAnsi="Abadi" w:cs="*Verdana-Italic-12292-Identity-"/>
          <w:i/>
          <w:iCs/>
          <w:color w:val="1B1A1C"/>
          <w:sz w:val="21"/>
          <w:szCs w:val="21"/>
        </w:rPr>
        <w:t xml:space="preserve"> </w:t>
      </w:r>
      <w:r w:rsidRPr="00991A56">
        <w:rPr>
          <w:rFonts w:ascii="Abadi" w:hAnsi="Abadi" w:cs="*Verdana-Italic-12292-Identity-"/>
          <w:i/>
          <w:iCs/>
          <w:color w:val="1B1A1C"/>
          <w:sz w:val="21"/>
          <w:szCs w:val="21"/>
        </w:rPr>
        <w:t>integración de datos y una metodología técnica, permitirá al Órgano Técnico emitir los</w:t>
      </w:r>
      <w:r>
        <w:rPr>
          <w:rFonts w:ascii="Abadi" w:hAnsi="Abadi" w:cs="*Verdana-Italic-12292-Identity-"/>
          <w:i/>
          <w:iCs/>
          <w:color w:val="1B1A1C"/>
          <w:sz w:val="21"/>
          <w:szCs w:val="21"/>
        </w:rPr>
        <w:t xml:space="preserve"> </w:t>
      </w:r>
      <w:r w:rsidRPr="00991A56">
        <w:rPr>
          <w:rFonts w:ascii="Abadi" w:hAnsi="Abadi" w:cs="*Verdana-Italic-12292-Identity-"/>
          <w:i/>
          <w:iCs/>
          <w:color w:val="1B1A1C"/>
          <w:sz w:val="21"/>
          <w:szCs w:val="21"/>
        </w:rPr>
        <w:t>criterios de percepciones salariales de los servidores públicos.</w:t>
      </w:r>
    </w:p>
    <w:p w14:paraId="68E968D7" w14:textId="77777777" w:rsidR="00F91FB5" w:rsidRPr="00991A56" w:rsidRDefault="00F91FB5" w:rsidP="00F91FB5">
      <w:pPr>
        <w:ind w:left="426"/>
        <w:jc w:val="both"/>
        <w:rPr>
          <w:rFonts w:ascii="Abadi" w:hAnsi="Abadi" w:cs="*Verdana-Italic-12292-Identity-"/>
          <w:i/>
          <w:iCs/>
          <w:color w:val="1B1A1C"/>
          <w:sz w:val="21"/>
          <w:szCs w:val="21"/>
        </w:rPr>
      </w:pPr>
    </w:p>
    <w:p w14:paraId="5D68021B" w14:textId="77777777" w:rsidR="00F91FB5" w:rsidRDefault="00F91FB5" w:rsidP="00F91FB5">
      <w:pPr>
        <w:autoSpaceDE w:val="0"/>
        <w:autoSpaceDN w:val="0"/>
        <w:adjustRightInd w:val="0"/>
        <w:ind w:left="426"/>
        <w:jc w:val="both"/>
        <w:rPr>
          <w:rFonts w:ascii="Abadi" w:hAnsi="Abadi" w:cs="*Verdana-Italic-14418-Identity-"/>
          <w:i/>
          <w:iCs/>
          <w:color w:val="1B1A1C"/>
          <w:sz w:val="21"/>
          <w:szCs w:val="21"/>
        </w:rPr>
      </w:pPr>
      <w:r w:rsidRPr="00991A56">
        <w:rPr>
          <w:rFonts w:ascii="Abadi" w:hAnsi="Abadi" w:cs="*Verdana-Italic-14418-Identity-"/>
          <w:i/>
          <w:iCs/>
          <w:color w:val="1B1A1C"/>
          <w:sz w:val="21"/>
          <w:szCs w:val="21"/>
        </w:rPr>
        <w:t>Sin embargo, hasta aquí la presente iniciativa está Incompleta para contar con</w:t>
      </w:r>
      <w:r>
        <w:rPr>
          <w:rFonts w:ascii="Abadi" w:hAnsi="Abadi" w:cs="*Verdana-Italic-14418-Identity-"/>
          <w:i/>
          <w:iCs/>
          <w:color w:val="1B1A1C"/>
          <w:sz w:val="21"/>
          <w:szCs w:val="21"/>
        </w:rPr>
        <w:t xml:space="preserve"> </w:t>
      </w:r>
      <w:r w:rsidRPr="00991A56">
        <w:rPr>
          <w:rFonts w:ascii="Abadi" w:hAnsi="Abadi" w:cs="*Verdana-Italic-14418-Identity-"/>
          <w:i/>
          <w:iCs/>
          <w:color w:val="1B1A1C"/>
          <w:sz w:val="21"/>
          <w:szCs w:val="21"/>
        </w:rPr>
        <w:t>verdaderas remuneraciones salariales equitativas. Es necesario, complementar los</w:t>
      </w:r>
      <w:r>
        <w:rPr>
          <w:rFonts w:ascii="Abadi" w:hAnsi="Abadi" w:cs="*Verdana-Italic-14418-Identity-"/>
          <w:i/>
          <w:iCs/>
          <w:color w:val="1B1A1C"/>
          <w:sz w:val="21"/>
          <w:szCs w:val="21"/>
        </w:rPr>
        <w:t xml:space="preserve"> </w:t>
      </w:r>
      <w:r w:rsidRPr="00991A56">
        <w:rPr>
          <w:rFonts w:ascii="Abadi" w:hAnsi="Abadi" w:cs="*Verdana-Italic-14418-Identity-"/>
          <w:i/>
          <w:iCs/>
          <w:color w:val="1B1A1C"/>
          <w:sz w:val="21"/>
          <w:szCs w:val="21"/>
        </w:rPr>
        <w:t xml:space="preserve">criterios con otros elementos de índole funcionales. Por ello, se adiciona el articulo </w:t>
      </w:r>
      <w:r w:rsidRPr="006A1AB6">
        <w:rPr>
          <w:rFonts w:ascii="Abadi" w:hAnsi="Abadi" w:cs="*Minion Pro-Bold-14422-Identity"/>
          <w:color w:val="1B1A1C"/>
          <w:sz w:val="21"/>
          <w:szCs w:val="21"/>
        </w:rPr>
        <w:t xml:space="preserve">79 </w:t>
      </w:r>
      <w:proofErr w:type="spellStart"/>
      <w:r w:rsidRPr="006A1AB6">
        <w:rPr>
          <w:rFonts w:ascii="Abadi" w:hAnsi="Abadi" w:cs="*Verdana-Italic-14418-Identity-"/>
          <w:i/>
          <w:iCs/>
          <w:color w:val="1B1A1C"/>
          <w:sz w:val="21"/>
          <w:szCs w:val="21"/>
        </w:rPr>
        <w:t>q</w:t>
      </w:r>
      <w:r w:rsidRPr="00991A56">
        <w:rPr>
          <w:rFonts w:ascii="Abadi" w:hAnsi="Abadi" w:cs="*Verdana-Italic-14418-Identity-"/>
          <w:i/>
          <w:iCs/>
          <w:color w:val="1B1A1C"/>
          <w:sz w:val="21"/>
          <w:szCs w:val="21"/>
        </w:rPr>
        <w:t>uater</w:t>
      </w:r>
      <w:proofErr w:type="spellEnd"/>
      <w:r w:rsidRPr="00991A56">
        <w:rPr>
          <w:rFonts w:ascii="Abadi" w:hAnsi="Abadi" w:cs="*Verdana-Italic-14418-Identity-"/>
          <w:i/>
          <w:iCs/>
          <w:color w:val="1B1A1C"/>
          <w:sz w:val="21"/>
          <w:szCs w:val="21"/>
        </w:rPr>
        <w:t xml:space="preserve"> de la cita Ley, para establecer de manera expresa que el Comité de</w:t>
      </w:r>
      <w:r>
        <w:rPr>
          <w:rFonts w:ascii="Abadi" w:hAnsi="Abadi" w:cs="*Verdana-Italic-14418-Identity-"/>
          <w:i/>
          <w:iCs/>
          <w:color w:val="1B1A1C"/>
          <w:sz w:val="21"/>
          <w:szCs w:val="21"/>
        </w:rPr>
        <w:t xml:space="preserve"> </w:t>
      </w:r>
      <w:r w:rsidRPr="00991A56">
        <w:rPr>
          <w:rFonts w:ascii="Abadi" w:hAnsi="Abadi" w:cs="*Verdana-Italic-14418-Identity-"/>
          <w:i/>
          <w:iCs/>
          <w:color w:val="1B1A1C"/>
          <w:sz w:val="21"/>
          <w:szCs w:val="21"/>
        </w:rPr>
        <w:t>Estructuración Salarial tomará en consideración para las remuneraciones salariales, las</w:t>
      </w:r>
      <w:r>
        <w:rPr>
          <w:rFonts w:ascii="Abadi" w:hAnsi="Abadi" w:cs="*Verdana-Italic-14418-Identity-"/>
          <w:i/>
          <w:iCs/>
          <w:color w:val="1B1A1C"/>
          <w:sz w:val="21"/>
          <w:szCs w:val="21"/>
        </w:rPr>
        <w:t xml:space="preserve"> </w:t>
      </w:r>
      <w:r w:rsidRPr="00991A56">
        <w:rPr>
          <w:rFonts w:ascii="Abadi" w:hAnsi="Abadi" w:cs="*Verdana-Italic-14418-Identity-"/>
          <w:i/>
          <w:iCs/>
          <w:color w:val="1B1A1C"/>
          <w:sz w:val="21"/>
          <w:szCs w:val="21"/>
        </w:rPr>
        <w:t>siguientes disposiciones:</w:t>
      </w:r>
    </w:p>
    <w:p w14:paraId="7A25A544" w14:textId="77777777" w:rsidR="00F91FB5" w:rsidRPr="00991A56" w:rsidRDefault="00F91FB5" w:rsidP="00F91FB5">
      <w:pPr>
        <w:autoSpaceDE w:val="0"/>
        <w:autoSpaceDN w:val="0"/>
        <w:adjustRightInd w:val="0"/>
        <w:ind w:left="426"/>
        <w:jc w:val="both"/>
        <w:rPr>
          <w:rFonts w:ascii="Abadi" w:hAnsi="Abadi" w:cs="*Verdana-Italic-14418-Identity-"/>
          <w:i/>
          <w:iCs/>
          <w:color w:val="1B1A1C"/>
          <w:sz w:val="21"/>
          <w:szCs w:val="21"/>
        </w:rPr>
      </w:pPr>
    </w:p>
    <w:p w14:paraId="11420B48" w14:textId="77777777" w:rsidR="00F91FB5" w:rsidRDefault="00F91FB5" w:rsidP="00F91FB5">
      <w:pPr>
        <w:autoSpaceDE w:val="0"/>
        <w:autoSpaceDN w:val="0"/>
        <w:adjustRightInd w:val="0"/>
        <w:ind w:left="426"/>
        <w:jc w:val="both"/>
        <w:rPr>
          <w:rFonts w:ascii="Abadi" w:hAnsi="Abadi" w:cs="*Verdana-Italic-14418-Identity-"/>
          <w:i/>
          <w:iCs/>
          <w:color w:val="1B1A1C"/>
          <w:sz w:val="21"/>
          <w:szCs w:val="21"/>
        </w:rPr>
      </w:pPr>
      <w:r w:rsidRPr="00991A56">
        <w:rPr>
          <w:rFonts w:ascii="Abadi" w:hAnsi="Abadi" w:cs="*Times New Roman-14415-Identity"/>
          <w:color w:val="1B1A1C"/>
          <w:sz w:val="21"/>
          <w:szCs w:val="21"/>
        </w:rPr>
        <w:t xml:space="preserve">• </w:t>
      </w:r>
      <w:r w:rsidRPr="00991A56">
        <w:rPr>
          <w:rFonts w:ascii="Abadi" w:hAnsi="Abadi" w:cs="*Verdana-Italic-14418-Identity-"/>
          <w:i/>
          <w:iCs/>
          <w:color w:val="1B1A1C"/>
          <w:sz w:val="21"/>
          <w:szCs w:val="21"/>
        </w:rPr>
        <w:t>Con relación al Gobierno Estatal homologar la remuneración de los servidores públicos</w:t>
      </w:r>
      <w:r>
        <w:rPr>
          <w:rFonts w:ascii="Abadi" w:hAnsi="Abadi" w:cs="*Verdana-Italic-14418-Identity-"/>
          <w:i/>
          <w:iCs/>
          <w:color w:val="1B1A1C"/>
          <w:sz w:val="21"/>
          <w:szCs w:val="21"/>
        </w:rPr>
        <w:t xml:space="preserve"> </w:t>
      </w:r>
      <w:r w:rsidRPr="00991A56">
        <w:rPr>
          <w:rFonts w:ascii="Abadi" w:hAnsi="Abadi" w:cs="*Verdana-Italic-14418-Identity-"/>
          <w:i/>
          <w:iCs/>
          <w:color w:val="1B1A1C"/>
          <w:sz w:val="21"/>
          <w:szCs w:val="21"/>
        </w:rPr>
        <w:t>electos, designados, superiores, judiciales y de libre nombramiento, de acuerdo a los</w:t>
      </w:r>
      <w:r>
        <w:rPr>
          <w:rFonts w:ascii="Abadi" w:hAnsi="Abadi" w:cs="*Verdana-Italic-14418-Identity-"/>
          <w:i/>
          <w:iCs/>
          <w:color w:val="1B1A1C"/>
          <w:sz w:val="21"/>
          <w:szCs w:val="21"/>
        </w:rPr>
        <w:t xml:space="preserve"> </w:t>
      </w:r>
      <w:r w:rsidRPr="00991A56">
        <w:rPr>
          <w:rFonts w:ascii="Abadi" w:hAnsi="Abadi" w:cs="*Verdana-Italic-14418-Identity-"/>
          <w:i/>
          <w:iCs/>
          <w:color w:val="1B1A1C"/>
          <w:sz w:val="21"/>
          <w:szCs w:val="21"/>
        </w:rPr>
        <w:t xml:space="preserve">siguientes niveles: Gobernador, Diputados, Magistrados, </w:t>
      </w:r>
      <w:r>
        <w:rPr>
          <w:rFonts w:ascii="Abadi" w:hAnsi="Abadi" w:cs="*Verdana-Italic-14418-Identity-"/>
          <w:i/>
          <w:iCs/>
          <w:color w:val="1B1A1C"/>
          <w:sz w:val="21"/>
          <w:szCs w:val="21"/>
        </w:rPr>
        <w:t>S</w:t>
      </w:r>
      <w:r w:rsidRPr="00991A56">
        <w:rPr>
          <w:rFonts w:ascii="Abadi" w:hAnsi="Abadi" w:cs="*Verdana-Italic-14418-Identity-"/>
          <w:i/>
          <w:iCs/>
          <w:color w:val="1B1A1C"/>
          <w:sz w:val="21"/>
          <w:szCs w:val="21"/>
        </w:rPr>
        <w:t>ecretarios de Despacho,</w:t>
      </w:r>
      <w:r>
        <w:rPr>
          <w:rFonts w:ascii="Abadi" w:hAnsi="Abadi" w:cs="*Verdana-Italic-14418-Identity-"/>
          <w:i/>
          <w:iCs/>
          <w:color w:val="1B1A1C"/>
          <w:sz w:val="21"/>
          <w:szCs w:val="21"/>
        </w:rPr>
        <w:t xml:space="preserve"> </w:t>
      </w:r>
      <w:r w:rsidRPr="00991A56">
        <w:rPr>
          <w:rFonts w:ascii="Abadi" w:hAnsi="Abadi" w:cs="*Verdana-Italic-14418-Identity-"/>
          <w:i/>
          <w:iCs/>
          <w:color w:val="1B1A1C"/>
          <w:sz w:val="21"/>
          <w:szCs w:val="21"/>
        </w:rPr>
        <w:t>titulares de organismos públicos autónomos y auxiliares; y Directores Generales y</w:t>
      </w:r>
      <w:r>
        <w:rPr>
          <w:rFonts w:ascii="Abadi" w:hAnsi="Abadi" w:cs="*Verdana-Italic-14418-Identity-"/>
          <w:i/>
          <w:iCs/>
          <w:color w:val="1B1A1C"/>
          <w:sz w:val="21"/>
          <w:szCs w:val="21"/>
        </w:rPr>
        <w:t xml:space="preserve"> </w:t>
      </w:r>
      <w:r w:rsidRPr="00991A56">
        <w:rPr>
          <w:rFonts w:ascii="Abadi" w:hAnsi="Abadi" w:cs="*Verdana-Italic-14418-Identity-"/>
          <w:i/>
          <w:iCs/>
          <w:color w:val="1B1A1C"/>
          <w:sz w:val="21"/>
          <w:szCs w:val="21"/>
        </w:rPr>
        <w:t>órganos de gobierno de fas entidades de la administración pública estatal</w:t>
      </w:r>
      <w:r>
        <w:rPr>
          <w:rFonts w:ascii="Abadi" w:hAnsi="Abadi" w:cs="*Verdana-Italic-14418-Identity-"/>
          <w:i/>
          <w:iCs/>
          <w:color w:val="1B1A1C"/>
          <w:sz w:val="21"/>
          <w:szCs w:val="21"/>
        </w:rPr>
        <w:t xml:space="preserve"> </w:t>
      </w:r>
      <w:r w:rsidRPr="00991A56">
        <w:rPr>
          <w:rFonts w:ascii="Abadi" w:hAnsi="Abadi" w:cs="*Verdana-Italic-14418-Identity-"/>
          <w:i/>
          <w:iCs/>
          <w:color w:val="1B1A1C"/>
          <w:sz w:val="21"/>
          <w:szCs w:val="21"/>
        </w:rPr>
        <w:t>descentralizada.</w:t>
      </w:r>
    </w:p>
    <w:p w14:paraId="2DB77A16" w14:textId="77777777" w:rsidR="00F91FB5" w:rsidRPr="00991A56" w:rsidRDefault="00F91FB5" w:rsidP="00F91FB5">
      <w:pPr>
        <w:autoSpaceDE w:val="0"/>
        <w:autoSpaceDN w:val="0"/>
        <w:adjustRightInd w:val="0"/>
        <w:ind w:left="426"/>
        <w:jc w:val="both"/>
        <w:rPr>
          <w:rFonts w:ascii="Abadi" w:hAnsi="Abadi" w:cs="*Verdana-Italic-14418-Identity-"/>
          <w:i/>
          <w:iCs/>
          <w:color w:val="1B1A1C"/>
          <w:sz w:val="21"/>
          <w:szCs w:val="21"/>
        </w:rPr>
      </w:pPr>
    </w:p>
    <w:p w14:paraId="72D368EB" w14:textId="77777777" w:rsidR="00F91FB5" w:rsidRDefault="00F91FB5" w:rsidP="00F91FB5">
      <w:pPr>
        <w:autoSpaceDE w:val="0"/>
        <w:autoSpaceDN w:val="0"/>
        <w:adjustRightInd w:val="0"/>
        <w:ind w:left="426"/>
        <w:jc w:val="both"/>
        <w:rPr>
          <w:rFonts w:ascii="Abadi" w:hAnsi="Abadi" w:cs="*Verdana-Italic-14418-Identity-"/>
          <w:i/>
          <w:iCs/>
          <w:color w:val="1A1A1C"/>
          <w:sz w:val="21"/>
          <w:szCs w:val="21"/>
        </w:rPr>
      </w:pPr>
      <w:r w:rsidRPr="00991A56">
        <w:rPr>
          <w:rFonts w:ascii="Abadi" w:hAnsi="Abadi" w:cs="*Times New Roman-14415-Identity"/>
          <w:color w:val="1A1A1C"/>
          <w:sz w:val="21"/>
          <w:szCs w:val="21"/>
        </w:rPr>
        <w:t xml:space="preserve">• </w:t>
      </w:r>
      <w:r w:rsidRPr="00991A56">
        <w:rPr>
          <w:rFonts w:ascii="Abadi" w:hAnsi="Abadi" w:cs="*Verdana-Italic-14418-Identity-"/>
          <w:i/>
          <w:iCs/>
          <w:color w:val="1A1A1C"/>
          <w:sz w:val="21"/>
          <w:szCs w:val="21"/>
        </w:rPr>
        <w:t>En relación a los Ayuntamientos, homologar la remuneración de los servidores públicos</w:t>
      </w:r>
      <w:r>
        <w:rPr>
          <w:rFonts w:ascii="Abadi" w:hAnsi="Abadi" w:cs="*Verdana-Italic-14418-Identity-"/>
          <w:i/>
          <w:iCs/>
          <w:color w:val="1A1A1C"/>
          <w:sz w:val="21"/>
          <w:szCs w:val="21"/>
        </w:rPr>
        <w:t xml:space="preserve"> </w:t>
      </w:r>
      <w:r w:rsidRPr="00991A56">
        <w:rPr>
          <w:rFonts w:ascii="Abadi" w:hAnsi="Abadi" w:cs="*Verdana-Italic-14418-Identity-"/>
          <w:i/>
          <w:iCs/>
          <w:color w:val="1A1A1C"/>
          <w:sz w:val="21"/>
          <w:szCs w:val="21"/>
        </w:rPr>
        <w:t>Servidores públicos electos, designados, superiores y de libre nombramiento, de acuerdo</w:t>
      </w:r>
      <w:r>
        <w:rPr>
          <w:rFonts w:ascii="Abadi" w:hAnsi="Abadi" w:cs="*Verdana-Italic-14418-Identity-"/>
          <w:i/>
          <w:iCs/>
          <w:color w:val="1A1A1C"/>
          <w:sz w:val="21"/>
          <w:szCs w:val="21"/>
        </w:rPr>
        <w:t xml:space="preserve"> </w:t>
      </w:r>
      <w:r w:rsidRPr="00991A56">
        <w:rPr>
          <w:rFonts w:ascii="Abadi" w:hAnsi="Abadi" w:cs="*Verdana-Italic-14418-Identity-"/>
          <w:i/>
          <w:iCs/>
          <w:color w:val="1A1A1C"/>
          <w:sz w:val="21"/>
          <w:szCs w:val="21"/>
        </w:rPr>
        <w:t>a los siguientes niveles: Presidentes Municipales, Síndicos y Regidores, Tesorero,</w:t>
      </w:r>
      <w:r>
        <w:rPr>
          <w:rFonts w:ascii="Abadi" w:hAnsi="Abadi" w:cs="*Verdana-Italic-14418-Identity-"/>
          <w:i/>
          <w:iCs/>
          <w:color w:val="1A1A1C"/>
          <w:sz w:val="21"/>
          <w:szCs w:val="21"/>
        </w:rPr>
        <w:t xml:space="preserve"> </w:t>
      </w:r>
      <w:r w:rsidRPr="00991A56">
        <w:rPr>
          <w:rFonts w:ascii="Abadi" w:hAnsi="Abadi" w:cs="*Verdana-Italic-14418-Identity-"/>
          <w:i/>
          <w:iCs/>
          <w:color w:val="1A1A1C"/>
          <w:sz w:val="21"/>
          <w:szCs w:val="21"/>
        </w:rPr>
        <w:t>Secretario y Contralor; y Directores Generales y órganos de gobierno de las entidades de</w:t>
      </w:r>
      <w:r>
        <w:rPr>
          <w:rFonts w:ascii="Abadi" w:hAnsi="Abadi" w:cs="*Verdana-Italic-14418-Identity-"/>
          <w:i/>
          <w:iCs/>
          <w:color w:val="1A1A1C"/>
          <w:sz w:val="21"/>
          <w:szCs w:val="21"/>
        </w:rPr>
        <w:t xml:space="preserve"> </w:t>
      </w:r>
      <w:r w:rsidRPr="00991A56">
        <w:rPr>
          <w:rFonts w:ascii="Abadi" w:hAnsi="Abadi" w:cs="*Verdana-Italic-14418-Identity-"/>
          <w:i/>
          <w:iCs/>
          <w:color w:val="1A1A1C"/>
          <w:sz w:val="21"/>
          <w:szCs w:val="21"/>
        </w:rPr>
        <w:t>la administración pública municipal descentra</w:t>
      </w:r>
      <w:r>
        <w:rPr>
          <w:rFonts w:ascii="Abadi" w:hAnsi="Abadi" w:cs="*Verdana-Italic-14418-Identity-"/>
          <w:i/>
          <w:iCs/>
          <w:color w:val="1A1A1C"/>
          <w:sz w:val="21"/>
          <w:szCs w:val="21"/>
        </w:rPr>
        <w:t>lizada</w:t>
      </w:r>
      <w:r w:rsidRPr="00991A56">
        <w:rPr>
          <w:rFonts w:ascii="Abadi" w:hAnsi="Abadi" w:cs="*Verdana-Italic-14418-Identity-"/>
          <w:i/>
          <w:iCs/>
          <w:color w:val="1A1A1C"/>
          <w:sz w:val="21"/>
          <w:szCs w:val="21"/>
        </w:rPr>
        <w:t>.</w:t>
      </w:r>
    </w:p>
    <w:p w14:paraId="336CF1CA" w14:textId="77777777" w:rsidR="00F91FB5" w:rsidRPr="00991A56" w:rsidRDefault="00F91FB5" w:rsidP="00F91FB5">
      <w:pPr>
        <w:autoSpaceDE w:val="0"/>
        <w:autoSpaceDN w:val="0"/>
        <w:adjustRightInd w:val="0"/>
        <w:ind w:left="426"/>
        <w:jc w:val="both"/>
        <w:rPr>
          <w:rFonts w:ascii="Abadi" w:hAnsi="Abadi" w:cs="*Verdana-Italic-14418-Identity-"/>
          <w:i/>
          <w:iCs/>
          <w:color w:val="1A1A1C"/>
          <w:sz w:val="21"/>
          <w:szCs w:val="21"/>
        </w:rPr>
      </w:pPr>
    </w:p>
    <w:p w14:paraId="758493F1" w14:textId="77777777" w:rsidR="00F91FB5" w:rsidRDefault="00F91FB5" w:rsidP="00F91FB5">
      <w:pPr>
        <w:autoSpaceDE w:val="0"/>
        <w:autoSpaceDN w:val="0"/>
        <w:adjustRightInd w:val="0"/>
        <w:ind w:left="426"/>
        <w:jc w:val="both"/>
        <w:rPr>
          <w:rFonts w:ascii="Abadi" w:hAnsi="Abadi" w:cs="*Verdana-Italic-14418-Identity-"/>
          <w:i/>
          <w:iCs/>
          <w:color w:val="1B1B1D"/>
          <w:sz w:val="21"/>
          <w:szCs w:val="21"/>
        </w:rPr>
      </w:pPr>
      <w:r w:rsidRPr="00991A56">
        <w:rPr>
          <w:rFonts w:ascii="Abadi" w:hAnsi="Abadi" w:cs="*Verdana-Italic-14418-Identity-"/>
          <w:i/>
          <w:iCs/>
          <w:color w:val="1B1B1D"/>
          <w:sz w:val="21"/>
          <w:szCs w:val="21"/>
        </w:rPr>
        <w:t>Bajo este orden de ideas, en la presente iniciativa se contempla reformar el artículo 80</w:t>
      </w:r>
      <w:r>
        <w:rPr>
          <w:rFonts w:ascii="Abadi" w:hAnsi="Abadi" w:cs="*Verdana-Italic-14418-Identity-"/>
          <w:i/>
          <w:iCs/>
          <w:color w:val="1B1B1D"/>
          <w:sz w:val="21"/>
          <w:szCs w:val="21"/>
        </w:rPr>
        <w:t xml:space="preserve"> </w:t>
      </w:r>
      <w:r w:rsidRPr="00991A56">
        <w:rPr>
          <w:rFonts w:ascii="Abadi" w:hAnsi="Abadi" w:cs="*Verdana-Italic-14418-Identity-"/>
          <w:i/>
          <w:iCs/>
          <w:color w:val="1B1B1D"/>
          <w:sz w:val="21"/>
          <w:szCs w:val="21"/>
        </w:rPr>
        <w:t>de la citada Ley, para darle vida en este ordenamiento, a la integración del Comité de</w:t>
      </w:r>
      <w:r>
        <w:rPr>
          <w:rFonts w:ascii="Abadi" w:hAnsi="Abadi" w:cs="*Verdana-Italic-14418-Identity-"/>
          <w:i/>
          <w:iCs/>
          <w:color w:val="1B1B1D"/>
          <w:sz w:val="21"/>
          <w:szCs w:val="21"/>
        </w:rPr>
        <w:t xml:space="preserve"> </w:t>
      </w:r>
      <w:r w:rsidRPr="00991A56">
        <w:rPr>
          <w:rFonts w:ascii="Abadi" w:hAnsi="Abadi" w:cs="*Verdana-Italic-14418-Identity-"/>
          <w:i/>
          <w:iCs/>
          <w:color w:val="1B1B1D"/>
          <w:sz w:val="21"/>
          <w:szCs w:val="21"/>
        </w:rPr>
        <w:t>Estructuración Salarial, el cual estará integrado por representantes del Poder Ejecutivo,</w:t>
      </w:r>
      <w:r>
        <w:rPr>
          <w:rFonts w:ascii="Abadi" w:hAnsi="Abadi" w:cs="*Verdana-Italic-14418-Identity-"/>
          <w:i/>
          <w:iCs/>
          <w:color w:val="1B1B1D"/>
          <w:sz w:val="21"/>
          <w:szCs w:val="21"/>
        </w:rPr>
        <w:t xml:space="preserve"> </w:t>
      </w:r>
      <w:r w:rsidRPr="00991A56">
        <w:rPr>
          <w:rFonts w:ascii="Abadi" w:hAnsi="Abadi" w:cs="*Verdana-Italic-14418-Identity-"/>
          <w:i/>
          <w:iCs/>
          <w:color w:val="1B1B1D"/>
          <w:sz w:val="21"/>
          <w:szCs w:val="21"/>
        </w:rPr>
        <w:t>Judicial y Legislativo, así como representantes de los ayuntamientos y de la sociedad</w:t>
      </w:r>
      <w:r>
        <w:rPr>
          <w:rFonts w:ascii="Abadi" w:hAnsi="Abadi" w:cs="*Verdana-Italic-14418-Identity-"/>
          <w:i/>
          <w:iCs/>
          <w:color w:val="1B1B1D"/>
          <w:sz w:val="21"/>
          <w:szCs w:val="21"/>
        </w:rPr>
        <w:t xml:space="preserve"> </w:t>
      </w:r>
      <w:r w:rsidRPr="00991A56">
        <w:rPr>
          <w:rFonts w:ascii="Abadi" w:hAnsi="Abadi" w:cs="*Verdana-Italic-14418-Identity-"/>
          <w:i/>
          <w:iCs/>
          <w:color w:val="1B1B1D"/>
          <w:sz w:val="21"/>
          <w:szCs w:val="21"/>
        </w:rPr>
        <w:t>organizada, es decir, un órgano colegiado con presencia integradora.</w:t>
      </w:r>
    </w:p>
    <w:p w14:paraId="7A2C8247" w14:textId="77777777" w:rsidR="00F91FB5" w:rsidRPr="00991A56" w:rsidRDefault="00F91FB5" w:rsidP="00F91FB5">
      <w:pPr>
        <w:autoSpaceDE w:val="0"/>
        <w:autoSpaceDN w:val="0"/>
        <w:adjustRightInd w:val="0"/>
        <w:ind w:left="426"/>
        <w:jc w:val="both"/>
        <w:rPr>
          <w:rFonts w:ascii="Abadi" w:hAnsi="Abadi" w:cs="*Verdana-Italic-14418-Identity-"/>
          <w:i/>
          <w:iCs/>
          <w:color w:val="1B1B1D"/>
          <w:sz w:val="21"/>
          <w:szCs w:val="21"/>
        </w:rPr>
      </w:pPr>
    </w:p>
    <w:p w14:paraId="188ED635" w14:textId="77777777" w:rsidR="00F91FB5" w:rsidRDefault="00F91FB5" w:rsidP="00F91FB5">
      <w:pPr>
        <w:autoSpaceDE w:val="0"/>
        <w:autoSpaceDN w:val="0"/>
        <w:adjustRightInd w:val="0"/>
        <w:ind w:left="426"/>
        <w:jc w:val="both"/>
        <w:rPr>
          <w:rFonts w:ascii="Abadi" w:hAnsi="Abadi" w:cs="*Verdana-Italic-14418-Identity-"/>
          <w:i/>
          <w:iCs/>
          <w:color w:val="1B1B1C"/>
          <w:sz w:val="21"/>
          <w:szCs w:val="21"/>
        </w:rPr>
      </w:pPr>
      <w:r w:rsidRPr="00991A56">
        <w:rPr>
          <w:rFonts w:ascii="Abadi" w:hAnsi="Abadi" w:cs="*Verdana-Italic-14418-Identity-"/>
          <w:i/>
          <w:iCs/>
          <w:color w:val="1B1B1C"/>
          <w:sz w:val="21"/>
          <w:szCs w:val="21"/>
        </w:rPr>
        <w:t>Asimismo, se reforma el artículo 81 de la citada Ley, para señalar tres acciones</w:t>
      </w:r>
      <w:r>
        <w:rPr>
          <w:rFonts w:ascii="Abadi" w:hAnsi="Abadi" w:cs="*Verdana-Italic-14418-Identity-"/>
          <w:i/>
          <w:iCs/>
          <w:color w:val="1B1B1C"/>
          <w:sz w:val="21"/>
          <w:szCs w:val="21"/>
        </w:rPr>
        <w:t xml:space="preserve"> </w:t>
      </w:r>
      <w:r w:rsidRPr="00991A56">
        <w:rPr>
          <w:rFonts w:ascii="Abadi" w:hAnsi="Abadi" w:cs="*Verdana-Italic-14418-Identity-"/>
          <w:i/>
          <w:iCs/>
          <w:color w:val="1B1B1C"/>
          <w:sz w:val="21"/>
          <w:szCs w:val="21"/>
        </w:rPr>
        <w:t>específicas que deberá abordar de manera ordenada el Comité de Estructuración</w:t>
      </w:r>
      <w:r>
        <w:rPr>
          <w:rFonts w:ascii="Abadi" w:hAnsi="Abadi" w:cs="*Verdana-Italic-14418-Identity-"/>
          <w:i/>
          <w:iCs/>
          <w:color w:val="1B1B1C"/>
          <w:sz w:val="21"/>
          <w:szCs w:val="21"/>
        </w:rPr>
        <w:t xml:space="preserve"> </w:t>
      </w:r>
      <w:r w:rsidRPr="00991A56">
        <w:rPr>
          <w:rFonts w:ascii="Abadi" w:hAnsi="Abadi" w:cs="*Verdana-Italic-14418-Identity-"/>
          <w:i/>
          <w:iCs/>
          <w:color w:val="1B1B1C"/>
          <w:sz w:val="21"/>
          <w:szCs w:val="21"/>
        </w:rPr>
        <w:t>Salarial:</w:t>
      </w:r>
    </w:p>
    <w:p w14:paraId="3ABC5ED6" w14:textId="77777777" w:rsidR="00F91FB5" w:rsidRPr="00991A56" w:rsidRDefault="00F91FB5" w:rsidP="00F91FB5">
      <w:pPr>
        <w:autoSpaceDE w:val="0"/>
        <w:autoSpaceDN w:val="0"/>
        <w:adjustRightInd w:val="0"/>
        <w:ind w:left="426"/>
        <w:jc w:val="both"/>
        <w:rPr>
          <w:rFonts w:ascii="Abadi" w:hAnsi="Abadi" w:cs="*Verdana-Italic-14418-Identity-"/>
          <w:i/>
          <w:iCs/>
          <w:color w:val="1B1B1C"/>
          <w:sz w:val="21"/>
          <w:szCs w:val="21"/>
        </w:rPr>
      </w:pPr>
    </w:p>
    <w:p w14:paraId="678EF854" w14:textId="77777777" w:rsidR="00F91FB5" w:rsidRDefault="00F91FB5" w:rsidP="00F91FB5">
      <w:pPr>
        <w:autoSpaceDE w:val="0"/>
        <w:autoSpaceDN w:val="0"/>
        <w:adjustRightInd w:val="0"/>
        <w:ind w:left="426"/>
        <w:jc w:val="both"/>
        <w:rPr>
          <w:rFonts w:ascii="Abadi" w:hAnsi="Abadi" w:cs="*Verdana-Italic-14418-Identity-"/>
          <w:i/>
          <w:iCs/>
          <w:color w:val="1A1A1D"/>
          <w:sz w:val="21"/>
          <w:szCs w:val="21"/>
        </w:rPr>
      </w:pPr>
      <w:r w:rsidRPr="00991A56">
        <w:rPr>
          <w:rFonts w:ascii="Abadi" w:hAnsi="Abadi" w:cs="*Verdana-BoldItalic-14419-Ident"/>
          <w:b/>
          <w:bCs/>
          <w:i/>
          <w:iCs/>
          <w:color w:val="1A1A1D"/>
          <w:sz w:val="21"/>
          <w:szCs w:val="21"/>
        </w:rPr>
        <w:t xml:space="preserve">PRIMERO. </w:t>
      </w:r>
      <w:r w:rsidRPr="00991A56">
        <w:rPr>
          <w:rFonts w:ascii="Abadi" w:hAnsi="Abadi" w:cs="*Verdana-Italic-14418-Identity-"/>
          <w:i/>
          <w:iCs/>
          <w:color w:val="1A1A1D"/>
          <w:sz w:val="21"/>
          <w:szCs w:val="21"/>
        </w:rPr>
        <w:t>El Comité de Estructuración Salarial aprobará los lineamientos para</w:t>
      </w:r>
      <w:r>
        <w:rPr>
          <w:rFonts w:ascii="Abadi" w:hAnsi="Abadi" w:cs="*Verdana-Italic-14418-Identity-"/>
          <w:i/>
          <w:iCs/>
          <w:color w:val="1A1A1D"/>
          <w:sz w:val="21"/>
          <w:szCs w:val="21"/>
        </w:rPr>
        <w:t xml:space="preserve"> </w:t>
      </w:r>
      <w:r w:rsidRPr="00991A56">
        <w:rPr>
          <w:rFonts w:ascii="Abadi" w:hAnsi="Abadi" w:cs="*Verdana-Italic-14418-Identity-"/>
          <w:i/>
          <w:iCs/>
          <w:color w:val="1A1A1D"/>
          <w:sz w:val="21"/>
          <w:szCs w:val="21"/>
        </w:rPr>
        <w:t>determinar las remuneraciones salarla/es y el sistema de evaluación al desempeño</w:t>
      </w:r>
      <w:r>
        <w:rPr>
          <w:rFonts w:ascii="Abadi" w:hAnsi="Abadi" w:cs="*Verdana-Italic-14418-Identity-"/>
          <w:i/>
          <w:iCs/>
          <w:color w:val="1A1A1D"/>
          <w:sz w:val="21"/>
          <w:szCs w:val="21"/>
        </w:rPr>
        <w:t xml:space="preserve"> </w:t>
      </w:r>
      <w:r w:rsidRPr="00991A56">
        <w:rPr>
          <w:rFonts w:ascii="Abadi" w:hAnsi="Abadi" w:cs="*Verdana-Italic-14418-Identity-"/>
          <w:i/>
          <w:iCs/>
          <w:color w:val="1A1A1D"/>
          <w:sz w:val="21"/>
          <w:szCs w:val="21"/>
        </w:rPr>
        <w:t>Institucional, así como los modelos de evaluación de cada uno de los tres Poderes, de</w:t>
      </w:r>
      <w:r>
        <w:rPr>
          <w:rFonts w:ascii="Abadi" w:hAnsi="Abadi" w:cs="*Verdana-Italic-14418-Identity-"/>
          <w:i/>
          <w:iCs/>
          <w:color w:val="1A1A1D"/>
          <w:sz w:val="21"/>
          <w:szCs w:val="21"/>
        </w:rPr>
        <w:t xml:space="preserve"> </w:t>
      </w:r>
      <w:r w:rsidRPr="00991A56">
        <w:rPr>
          <w:rFonts w:ascii="Abadi" w:hAnsi="Abadi" w:cs="*Verdana-Italic-14418-Identity-"/>
          <w:i/>
          <w:iCs/>
          <w:color w:val="1A1A1D"/>
          <w:sz w:val="21"/>
          <w:szCs w:val="21"/>
        </w:rPr>
        <w:t>igual forma, aprobará los lineamientos para determinar las recomendaciones de las</w:t>
      </w:r>
      <w:r>
        <w:rPr>
          <w:rFonts w:ascii="Abadi" w:hAnsi="Abadi" w:cs="*Verdana-Italic-14418-Identity-"/>
          <w:i/>
          <w:iCs/>
          <w:color w:val="1A1A1D"/>
          <w:sz w:val="21"/>
          <w:szCs w:val="21"/>
        </w:rPr>
        <w:t xml:space="preserve"> </w:t>
      </w:r>
      <w:r w:rsidRPr="00991A56">
        <w:rPr>
          <w:rFonts w:ascii="Abadi" w:hAnsi="Abadi" w:cs="*Verdana-Italic-14418-Identity-"/>
          <w:i/>
          <w:iCs/>
          <w:color w:val="1A1A1D"/>
          <w:sz w:val="21"/>
          <w:szCs w:val="21"/>
        </w:rPr>
        <w:t>remuneraciones salariales de los organismos autónomos y Ayuntamientos.</w:t>
      </w:r>
    </w:p>
    <w:p w14:paraId="72D99E61" w14:textId="77777777" w:rsidR="00F91FB5" w:rsidRPr="00991A56" w:rsidRDefault="00F91FB5" w:rsidP="00F91FB5">
      <w:pPr>
        <w:autoSpaceDE w:val="0"/>
        <w:autoSpaceDN w:val="0"/>
        <w:adjustRightInd w:val="0"/>
        <w:ind w:left="426"/>
        <w:jc w:val="both"/>
        <w:rPr>
          <w:rFonts w:ascii="Abadi" w:hAnsi="Abadi" w:cs="*Verdana-Italic-14418-Identity-"/>
          <w:i/>
          <w:iCs/>
          <w:color w:val="1A1A1D"/>
          <w:sz w:val="21"/>
          <w:szCs w:val="21"/>
        </w:rPr>
      </w:pPr>
    </w:p>
    <w:p w14:paraId="219DF6B6" w14:textId="77777777" w:rsidR="00F91FB5" w:rsidRDefault="00F91FB5" w:rsidP="00F91FB5">
      <w:pPr>
        <w:autoSpaceDE w:val="0"/>
        <w:autoSpaceDN w:val="0"/>
        <w:adjustRightInd w:val="0"/>
        <w:ind w:left="426"/>
        <w:jc w:val="both"/>
        <w:rPr>
          <w:rFonts w:ascii="Abadi" w:hAnsi="Abadi" w:cs="*Verdana-Italic-14418-Identity-"/>
          <w:i/>
          <w:iCs/>
          <w:color w:val="1A1A1C"/>
          <w:sz w:val="21"/>
          <w:szCs w:val="21"/>
        </w:rPr>
      </w:pPr>
      <w:r w:rsidRPr="00991A56">
        <w:rPr>
          <w:rFonts w:ascii="Abadi" w:hAnsi="Abadi" w:cs="*Verdana-BoldItalic-14419-Ident"/>
          <w:b/>
          <w:bCs/>
          <w:i/>
          <w:iCs/>
          <w:color w:val="1A1A1C"/>
          <w:sz w:val="21"/>
          <w:szCs w:val="21"/>
        </w:rPr>
        <w:t xml:space="preserve">SEGUNDO. </w:t>
      </w:r>
      <w:r w:rsidRPr="00991A56">
        <w:rPr>
          <w:rFonts w:ascii="Abadi" w:hAnsi="Abadi" w:cs="*Verdana-Italic-14418-Identity-"/>
          <w:i/>
          <w:iCs/>
          <w:color w:val="1A1A1C"/>
          <w:sz w:val="21"/>
          <w:szCs w:val="21"/>
        </w:rPr>
        <w:t>El Comité de Estructuración Salarial, a más tardar el 22 de octubre de cada</w:t>
      </w:r>
      <w:r>
        <w:rPr>
          <w:rFonts w:ascii="Abadi" w:hAnsi="Abadi" w:cs="*Verdana-Italic-14418-Identity-"/>
          <w:i/>
          <w:iCs/>
          <w:color w:val="1A1A1C"/>
          <w:sz w:val="21"/>
          <w:szCs w:val="21"/>
        </w:rPr>
        <w:t xml:space="preserve"> </w:t>
      </w:r>
      <w:r w:rsidRPr="00991A56">
        <w:rPr>
          <w:rFonts w:ascii="Abadi" w:hAnsi="Abadi" w:cs="*Verdana-Italic-14418-Identity-"/>
          <w:i/>
          <w:iCs/>
          <w:color w:val="1A1A1C"/>
          <w:sz w:val="21"/>
          <w:szCs w:val="21"/>
        </w:rPr>
        <w:t>año, deberá enviar al Congreso del Estado la determinación de las remuneraciones</w:t>
      </w:r>
      <w:r>
        <w:rPr>
          <w:rFonts w:ascii="Abadi" w:hAnsi="Abadi" w:cs="*Verdana-Italic-14418-Identity-"/>
          <w:i/>
          <w:iCs/>
          <w:color w:val="1A1A1C"/>
          <w:sz w:val="21"/>
          <w:szCs w:val="21"/>
        </w:rPr>
        <w:t xml:space="preserve"> </w:t>
      </w:r>
      <w:r w:rsidRPr="00991A56">
        <w:rPr>
          <w:rFonts w:ascii="Abadi" w:hAnsi="Abadi" w:cs="*Verdana-Italic-14418-Identity-"/>
          <w:i/>
          <w:iCs/>
          <w:color w:val="1A1A1C"/>
          <w:sz w:val="21"/>
          <w:szCs w:val="21"/>
        </w:rPr>
        <w:t>salariales de los servidores públicos adscritos a los tres Poderes del Estado para efecto</w:t>
      </w:r>
      <w:r>
        <w:rPr>
          <w:rFonts w:ascii="Abadi" w:hAnsi="Abadi" w:cs="*Verdana-Italic-14418-Identity-"/>
          <w:i/>
          <w:iCs/>
          <w:color w:val="1A1A1C"/>
          <w:sz w:val="21"/>
          <w:szCs w:val="21"/>
        </w:rPr>
        <w:t xml:space="preserve"> </w:t>
      </w:r>
      <w:r w:rsidRPr="00991A56">
        <w:rPr>
          <w:rFonts w:ascii="Abadi" w:hAnsi="Abadi" w:cs="*Verdana-Italic-14418-Identity-"/>
          <w:i/>
          <w:iCs/>
          <w:color w:val="1A1A1C"/>
          <w:sz w:val="21"/>
          <w:szCs w:val="21"/>
        </w:rPr>
        <w:t>de que sea considerado en la iniciativa de Ley del Presupuesto General de Egresos del</w:t>
      </w:r>
      <w:r>
        <w:rPr>
          <w:rFonts w:ascii="Abadi" w:hAnsi="Abadi" w:cs="*Verdana-Italic-14418-Identity-"/>
          <w:i/>
          <w:iCs/>
          <w:color w:val="1A1A1C"/>
          <w:sz w:val="21"/>
          <w:szCs w:val="21"/>
        </w:rPr>
        <w:t xml:space="preserve"> </w:t>
      </w:r>
      <w:r w:rsidRPr="00991A56">
        <w:rPr>
          <w:rFonts w:ascii="Abadi" w:hAnsi="Abadi" w:cs="*Verdana-Italic-14418-Identity-"/>
          <w:i/>
          <w:iCs/>
          <w:color w:val="1A1A1C"/>
          <w:sz w:val="21"/>
          <w:szCs w:val="21"/>
        </w:rPr>
        <w:t>Estado de Guanajuato para el ejercicio fiscal que corresponda.</w:t>
      </w:r>
    </w:p>
    <w:p w14:paraId="779918FD" w14:textId="77777777" w:rsidR="00F91FB5" w:rsidRDefault="00F91FB5" w:rsidP="00F91FB5">
      <w:pPr>
        <w:autoSpaceDE w:val="0"/>
        <w:autoSpaceDN w:val="0"/>
        <w:adjustRightInd w:val="0"/>
        <w:ind w:left="426"/>
        <w:jc w:val="both"/>
        <w:rPr>
          <w:rFonts w:ascii="Abadi" w:hAnsi="Abadi" w:cs="*Verdana-Italic-15059-Identity-"/>
          <w:i/>
          <w:iCs/>
          <w:color w:val="18181B"/>
          <w:sz w:val="21"/>
          <w:szCs w:val="21"/>
        </w:rPr>
      </w:pPr>
      <w:r w:rsidRPr="00991A56">
        <w:rPr>
          <w:rFonts w:ascii="Abadi" w:hAnsi="Abadi" w:cs="*Verdana-BoldItalic-14419-Ident"/>
          <w:b/>
          <w:bCs/>
          <w:i/>
          <w:iCs/>
          <w:color w:val="1C1C1E"/>
          <w:sz w:val="21"/>
          <w:szCs w:val="21"/>
        </w:rPr>
        <w:t xml:space="preserve">TERCERO. </w:t>
      </w:r>
      <w:r w:rsidRPr="00991A56">
        <w:rPr>
          <w:rFonts w:ascii="Abadi" w:hAnsi="Abadi" w:cs="*Verdana-Italic-14418-Identity-"/>
          <w:i/>
          <w:iCs/>
          <w:color w:val="1C1C1E"/>
          <w:sz w:val="21"/>
          <w:szCs w:val="21"/>
        </w:rPr>
        <w:t>El Comité de Estructura Salarial, deberá emitir a más tardar el quince de</w:t>
      </w:r>
      <w:r>
        <w:rPr>
          <w:rFonts w:ascii="Abadi" w:hAnsi="Abadi" w:cs="*Verdana-Italic-14418-Identity-"/>
          <w:i/>
          <w:iCs/>
          <w:color w:val="1C1C1E"/>
          <w:sz w:val="21"/>
          <w:szCs w:val="21"/>
        </w:rPr>
        <w:t xml:space="preserve"> </w:t>
      </w:r>
      <w:r w:rsidRPr="00991A56">
        <w:rPr>
          <w:rFonts w:ascii="Abadi" w:hAnsi="Abadi" w:cs="*Verdana-Italic-14418-Identity-"/>
          <w:i/>
          <w:iCs/>
          <w:color w:val="1C1C1E"/>
          <w:sz w:val="21"/>
          <w:szCs w:val="21"/>
        </w:rPr>
        <w:t>octubre de cada año, las recomendaciones respecto a la determinación de las</w:t>
      </w:r>
      <w:r>
        <w:rPr>
          <w:rFonts w:ascii="Abadi" w:hAnsi="Abadi" w:cs="*Verdana-Italic-14418-Identity-"/>
          <w:i/>
          <w:iCs/>
          <w:color w:val="1C1C1E"/>
          <w:sz w:val="21"/>
          <w:szCs w:val="21"/>
        </w:rPr>
        <w:t xml:space="preserve"> </w:t>
      </w:r>
      <w:r w:rsidRPr="00991A56">
        <w:rPr>
          <w:rFonts w:ascii="Abadi" w:hAnsi="Abadi" w:cs="*Verdana-Italic-14418-Identity-"/>
          <w:i/>
          <w:iCs/>
          <w:color w:val="1C1C1E"/>
          <w:sz w:val="21"/>
          <w:szCs w:val="21"/>
        </w:rPr>
        <w:t>remuneraciones salar</w:t>
      </w:r>
      <w:r>
        <w:rPr>
          <w:rFonts w:ascii="Abadi" w:hAnsi="Abadi" w:cs="*Verdana-Italic-14418-Identity-"/>
          <w:i/>
          <w:iCs/>
          <w:color w:val="1C1C1E"/>
          <w:sz w:val="21"/>
          <w:szCs w:val="21"/>
        </w:rPr>
        <w:t>i</w:t>
      </w:r>
      <w:r w:rsidRPr="00991A56">
        <w:rPr>
          <w:rFonts w:ascii="Abadi" w:hAnsi="Abadi" w:cs="*Verdana-Italic-14418-Identity-"/>
          <w:i/>
          <w:iCs/>
          <w:color w:val="1C1C1E"/>
          <w:sz w:val="21"/>
          <w:szCs w:val="21"/>
        </w:rPr>
        <w:t>a</w:t>
      </w:r>
      <w:r>
        <w:rPr>
          <w:rFonts w:ascii="Abadi" w:hAnsi="Abadi" w:cs="*Verdana-Italic-14418-Identity-"/>
          <w:i/>
          <w:iCs/>
          <w:color w:val="1C1C1E"/>
          <w:sz w:val="21"/>
          <w:szCs w:val="21"/>
        </w:rPr>
        <w:t>les</w:t>
      </w:r>
      <w:r w:rsidRPr="00991A56">
        <w:rPr>
          <w:rFonts w:ascii="Abadi" w:hAnsi="Abadi" w:cs="*Verdana-Italic-14418-Identity-"/>
          <w:i/>
          <w:iCs/>
          <w:color w:val="1C1C1E"/>
          <w:sz w:val="21"/>
          <w:szCs w:val="21"/>
        </w:rPr>
        <w:t xml:space="preserve"> de los servidores públicos adscritos a los organismos</w:t>
      </w:r>
      <w:r>
        <w:rPr>
          <w:rFonts w:ascii="Abadi" w:hAnsi="Abadi" w:cs="*Verdana-Italic-14418-Identity-"/>
          <w:i/>
          <w:iCs/>
          <w:color w:val="1C1C1E"/>
          <w:sz w:val="21"/>
          <w:szCs w:val="21"/>
        </w:rPr>
        <w:t xml:space="preserve"> </w:t>
      </w:r>
      <w:r w:rsidRPr="00991A56">
        <w:rPr>
          <w:rFonts w:ascii="Abadi" w:hAnsi="Abadi" w:cs="*Verdana-Italic-14418-Identity-"/>
          <w:i/>
          <w:iCs/>
          <w:color w:val="1C1C1E"/>
          <w:sz w:val="21"/>
          <w:szCs w:val="21"/>
        </w:rPr>
        <w:t>autónomos y Ayuntamientos, mismas que deberá publicar en el Periódico Oficial del</w:t>
      </w:r>
      <w:r>
        <w:rPr>
          <w:rFonts w:ascii="Abadi" w:hAnsi="Abadi" w:cs="*Verdana-Italic-14418-Identity-"/>
          <w:i/>
          <w:iCs/>
          <w:color w:val="1C1C1E"/>
          <w:sz w:val="21"/>
          <w:szCs w:val="21"/>
        </w:rPr>
        <w:t xml:space="preserve"> </w:t>
      </w:r>
      <w:r w:rsidRPr="00991A56">
        <w:rPr>
          <w:rFonts w:ascii="Abadi" w:hAnsi="Abadi" w:cs="*Verdana-Italic-15059-Identity-"/>
          <w:i/>
          <w:iCs/>
          <w:color w:val="18181B"/>
          <w:sz w:val="21"/>
          <w:szCs w:val="21"/>
        </w:rPr>
        <w:t>Gobierno del Estado y en su caso, en un diario de amplia circulación en el Municipio de</w:t>
      </w:r>
      <w:r>
        <w:rPr>
          <w:rFonts w:ascii="Abadi" w:hAnsi="Abadi" w:cs="*Verdana-Italic-15059-Identity-"/>
          <w:i/>
          <w:iCs/>
          <w:color w:val="18181B"/>
          <w:sz w:val="21"/>
          <w:szCs w:val="21"/>
        </w:rPr>
        <w:t xml:space="preserve"> </w:t>
      </w:r>
      <w:r w:rsidRPr="00991A56">
        <w:rPr>
          <w:rFonts w:ascii="Abadi" w:hAnsi="Abadi" w:cs="*Verdana-Italic-15059-Identity-"/>
          <w:i/>
          <w:iCs/>
          <w:color w:val="18181B"/>
          <w:sz w:val="21"/>
          <w:szCs w:val="21"/>
        </w:rPr>
        <w:t>que se trate.</w:t>
      </w:r>
    </w:p>
    <w:p w14:paraId="4760947A" w14:textId="77777777" w:rsidR="00F91FB5" w:rsidRPr="00991A56" w:rsidRDefault="00F91FB5" w:rsidP="00F91FB5">
      <w:pPr>
        <w:autoSpaceDE w:val="0"/>
        <w:autoSpaceDN w:val="0"/>
        <w:adjustRightInd w:val="0"/>
        <w:ind w:left="426"/>
        <w:jc w:val="both"/>
        <w:rPr>
          <w:rFonts w:ascii="Abadi" w:hAnsi="Abadi" w:cs="*Verdana-Italic-15059-Identity-"/>
          <w:i/>
          <w:iCs/>
          <w:color w:val="18181B"/>
          <w:sz w:val="21"/>
          <w:szCs w:val="21"/>
        </w:rPr>
      </w:pPr>
    </w:p>
    <w:p w14:paraId="5F2CDBD1" w14:textId="77777777" w:rsidR="00F91FB5" w:rsidRDefault="00F91FB5" w:rsidP="00F91FB5">
      <w:pPr>
        <w:autoSpaceDE w:val="0"/>
        <w:autoSpaceDN w:val="0"/>
        <w:adjustRightInd w:val="0"/>
        <w:ind w:left="426"/>
        <w:jc w:val="both"/>
        <w:rPr>
          <w:rFonts w:ascii="Abadi" w:hAnsi="Abadi" w:cs="*Verdana-Italic-15059-Identity-"/>
          <w:i/>
          <w:iCs/>
          <w:color w:val="1A1A1D"/>
          <w:sz w:val="21"/>
          <w:szCs w:val="21"/>
        </w:rPr>
      </w:pPr>
      <w:r w:rsidRPr="00991A56">
        <w:rPr>
          <w:rFonts w:ascii="Abadi" w:hAnsi="Abadi" w:cs="*Verdana-Italic-15059-Identity-"/>
          <w:i/>
          <w:iCs/>
          <w:color w:val="1A1A1D"/>
          <w:sz w:val="21"/>
          <w:szCs w:val="21"/>
        </w:rPr>
        <w:t>En sintonía con la reforma del artículo 81 de la citada Ley, se propone derogar la fracción</w:t>
      </w:r>
      <w:r>
        <w:rPr>
          <w:rFonts w:ascii="Abadi" w:hAnsi="Abadi" w:cs="*Verdana-Italic-15059-Identity-"/>
          <w:i/>
          <w:iCs/>
          <w:color w:val="1A1A1D"/>
          <w:sz w:val="21"/>
          <w:szCs w:val="21"/>
        </w:rPr>
        <w:t xml:space="preserve"> </w:t>
      </w:r>
      <w:r w:rsidRPr="00991A56">
        <w:rPr>
          <w:rFonts w:ascii="Abadi" w:hAnsi="Abadi" w:cs="*Verdana-Italic-15059-Identity-"/>
          <w:i/>
          <w:iCs/>
          <w:color w:val="1A1A1D"/>
          <w:sz w:val="21"/>
          <w:szCs w:val="21"/>
        </w:rPr>
        <w:t>X del artículo 276 de la Ley Orgánica del Poder Legislativo del Estado de Guanajuato, con</w:t>
      </w:r>
      <w:r>
        <w:rPr>
          <w:rFonts w:ascii="Abadi" w:hAnsi="Abadi" w:cs="*Verdana-Italic-15059-Identity-"/>
          <w:i/>
          <w:iCs/>
          <w:color w:val="1A1A1D"/>
          <w:sz w:val="21"/>
          <w:szCs w:val="21"/>
        </w:rPr>
        <w:t xml:space="preserve"> </w:t>
      </w:r>
      <w:r w:rsidRPr="00991A56">
        <w:rPr>
          <w:rFonts w:ascii="Abadi" w:hAnsi="Abadi" w:cs="*Verdana-Italic-15059-Identity-"/>
          <w:i/>
          <w:iCs/>
          <w:color w:val="1A1A1D"/>
          <w:sz w:val="21"/>
          <w:szCs w:val="21"/>
        </w:rPr>
        <w:t>la finalidad de eliminar la atribución de la Unidad de Estudios de las Finanzas Públicas</w:t>
      </w:r>
      <w:r>
        <w:rPr>
          <w:rFonts w:ascii="Abadi" w:hAnsi="Abadi" w:cs="*Verdana-Italic-15059-Identity-"/>
          <w:i/>
          <w:iCs/>
          <w:color w:val="1A1A1D"/>
          <w:sz w:val="21"/>
          <w:szCs w:val="21"/>
        </w:rPr>
        <w:t xml:space="preserve"> </w:t>
      </w:r>
      <w:r w:rsidRPr="00991A56">
        <w:rPr>
          <w:rFonts w:ascii="Abadi" w:hAnsi="Abadi" w:cs="*Verdana-Italic-15059-Identity-"/>
          <w:i/>
          <w:iCs/>
          <w:color w:val="1A1A1D"/>
          <w:sz w:val="21"/>
          <w:szCs w:val="21"/>
        </w:rPr>
        <w:t>para elaborar y sugerir estudios sobre las remuneraciones que deben recibir los</w:t>
      </w:r>
      <w:r>
        <w:rPr>
          <w:rFonts w:ascii="Abadi" w:hAnsi="Abadi" w:cs="*Verdana-Italic-15059-Identity-"/>
          <w:i/>
          <w:iCs/>
          <w:color w:val="1A1A1D"/>
          <w:sz w:val="21"/>
          <w:szCs w:val="21"/>
        </w:rPr>
        <w:t xml:space="preserve"> </w:t>
      </w:r>
      <w:r w:rsidRPr="00991A56">
        <w:rPr>
          <w:rFonts w:ascii="Abadi" w:hAnsi="Abadi" w:cs="*Verdana-Italic-15059-Identity-"/>
          <w:i/>
          <w:iCs/>
          <w:color w:val="1A1A1D"/>
          <w:sz w:val="21"/>
          <w:szCs w:val="21"/>
        </w:rPr>
        <w:t>integrantes de los ayuntamientos.</w:t>
      </w:r>
    </w:p>
    <w:p w14:paraId="56F9D66A" w14:textId="77777777" w:rsidR="00F91FB5" w:rsidRPr="00991A56" w:rsidRDefault="00F91FB5" w:rsidP="00F91FB5">
      <w:pPr>
        <w:autoSpaceDE w:val="0"/>
        <w:autoSpaceDN w:val="0"/>
        <w:adjustRightInd w:val="0"/>
        <w:ind w:left="426"/>
        <w:jc w:val="both"/>
        <w:rPr>
          <w:rFonts w:ascii="Abadi" w:hAnsi="Abadi" w:cs="*Verdana-Italic-15059-Identity-"/>
          <w:i/>
          <w:iCs/>
          <w:color w:val="1A1A1D"/>
          <w:sz w:val="21"/>
          <w:szCs w:val="21"/>
        </w:rPr>
      </w:pPr>
    </w:p>
    <w:p w14:paraId="49A37327" w14:textId="77777777" w:rsidR="00F91FB5" w:rsidRDefault="00F91FB5" w:rsidP="00F91FB5">
      <w:pPr>
        <w:autoSpaceDE w:val="0"/>
        <w:autoSpaceDN w:val="0"/>
        <w:adjustRightInd w:val="0"/>
        <w:ind w:left="426"/>
        <w:jc w:val="both"/>
        <w:rPr>
          <w:rFonts w:ascii="Abadi" w:hAnsi="Abadi" w:cs="*Verdana-Italic-15059-Identity-"/>
          <w:i/>
          <w:iCs/>
          <w:color w:val="18181A"/>
          <w:sz w:val="21"/>
          <w:szCs w:val="21"/>
        </w:rPr>
      </w:pPr>
      <w:r w:rsidRPr="00991A56">
        <w:rPr>
          <w:rFonts w:ascii="Abadi" w:hAnsi="Abadi" w:cs="*Verdana-Italic-15059-Identity-"/>
          <w:i/>
          <w:iCs/>
          <w:color w:val="18181A"/>
          <w:sz w:val="21"/>
          <w:szCs w:val="21"/>
        </w:rPr>
        <w:t>Y por último, para complementar las reformas de la presente iniciativa, se reforman los</w:t>
      </w:r>
      <w:r>
        <w:rPr>
          <w:rFonts w:ascii="Abadi" w:hAnsi="Abadi" w:cs="*Verdana-Italic-15059-Identity-"/>
          <w:i/>
          <w:iCs/>
          <w:color w:val="18181A"/>
          <w:sz w:val="21"/>
          <w:szCs w:val="21"/>
        </w:rPr>
        <w:t xml:space="preserve"> </w:t>
      </w:r>
      <w:r w:rsidRPr="00991A56">
        <w:rPr>
          <w:rFonts w:ascii="Abadi" w:hAnsi="Abadi" w:cs="*Verdana-Italic-15059-Identity-"/>
          <w:i/>
          <w:iCs/>
          <w:color w:val="18181A"/>
          <w:sz w:val="21"/>
          <w:szCs w:val="21"/>
        </w:rPr>
        <w:t>artículos 83 y 92, párrafo segundo de la Ley para el Ejercicio y Control de los Recursos</w:t>
      </w:r>
      <w:r>
        <w:rPr>
          <w:rFonts w:ascii="Abadi" w:hAnsi="Abadi" w:cs="*Verdana-Italic-15059-Identity-"/>
          <w:i/>
          <w:iCs/>
          <w:color w:val="18181A"/>
          <w:sz w:val="21"/>
          <w:szCs w:val="21"/>
        </w:rPr>
        <w:t xml:space="preserve"> </w:t>
      </w:r>
      <w:r w:rsidRPr="00991A56">
        <w:rPr>
          <w:rFonts w:ascii="Abadi" w:hAnsi="Abadi" w:cs="*Verdana-Italic-15059-Identity-"/>
          <w:i/>
          <w:iCs/>
          <w:color w:val="18181A"/>
          <w:sz w:val="21"/>
          <w:szCs w:val="21"/>
        </w:rPr>
        <w:t>Públi</w:t>
      </w:r>
      <w:r>
        <w:rPr>
          <w:rFonts w:ascii="Abadi" w:hAnsi="Abadi" w:cs="*Verdana-Italic-15059-Identity-"/>
          <w:i/>
          <w:iCs/>
          <w:color w:val="18181A"/>
          <w:sz w:val="21"/>
          <w:szCs w:val="21"/>
        </w:rPr>
        <w:t>cos</w:t>
      </w:r>
      <w:r w:rsidRPr="00991A56">
        <w:rPr>
          <w:rFonts w:ascii="Abadi" w:hAnsi="Abadi" w:cs="*Verdana-Italic-15059-Identity-"/>
          <w:i/>
          <w:iCs/>
          <w:color w:val="18181A"/>
          <w:sz w:val="21"/>
          <w:szCs w:val="21"/>
        </w:rPr>
        <w:t xml:space="preserve"> para el Estado y los Municipios de Guanajuato, para dar claridad al desempeño</w:t>
      </w:r>
      <w:r>
        <w:rPr>
          <w:rFonts w:ascii="Abadi" w:hAnsi="Abadi" w:cs="*Verdana-Italic-15059-Identity-"/>
          <w:i/>
          <w:iCs/>
          <w:color w:val="18181A"/>
          <w:sz w:val="21"/>
          <w:szCs w:val="21"/>
        </w:rPr>
        <w:t xml:space="preserve"> </w:t>
      </w:r>
      <w:r w:rsidRPr="00991A56">
        <w:rPr>
          <w:rFonts w:ascii="Abadi" w:hAnsi="Abadi" w:cs="*Verdana-Italic-15059-Identity-"/>
          <w:i/>
          <w:iCs/>
          <w:color w:val="18181A"/>
          <w:sz w:val="21"/>
          <w:szCs w:val="21"/>
        </w:rPr>
        <w:t>del Comité de Estructuración Salarial en estímulos y montos netos de las percepciones</w:t>
      </w:r>
      <w:r>
        <w:rPr>
          <w:rFonts w:ascii="Abadi" w:hAnsi="Abadi" w:cs="*Verdana-Italic-15059-Identity-"/>
          <w:i/>
          <w:iCs/>
          <w:color w:val="18181A"/>
          <w:sz w:val="21"/>
          <w:szCs w:val="21"/>
        </w:rPr>
        <w:t xml:space="preserve"> </w:t>
      </w:r>
      <w:r w:rsidRPr="00991A56">
        <w:rPr>
          <w:rFonts w:ascii="Abadi" w:hAnsi="Abadi" w:cs="*Verdana-Italic-15059-Identity-"/>
          <w:i/>
          <w:iCs/>
          <w:color w:val="18181A"/>
          <w:sz w:val="21"/>
          <w:szCs w:val="21"/>
        </w:rPr>
        <w:t>de los servidores públicos.</w:t>
      </w:r>
    </w:p>
    <w:p w14:paraId="1E85866C" w14:textId="77777777" w:rsidR="00F91FB5" w:rsidRPr="00991A56" w:rsidRDefault="00F91FB5" w:rsidP="00F91FB5">
      <w:pPr>
        <w:autoSpaceDE w:val="0"/>
        <w:autoSpaceDN w:val="0"/>
        <w:adjustRightInd w:val="0"/>
        <w:ind w:left="426"/>
        <w:jc w:val="both"/>
        <w:rPr>
          <w:rFonts w:ascii="Abadi" w:hAnsi="Abadi" w:cs="*Verdana-Italic-15059-Identity-"/>
          <w:i/>
          <w:iCs/>
          <w:color w:val="18181A"/>
          <w:sz w:val="21"/>
          <w:szCs w:val="21"/>
        </w:rPr>
      </w:pPr>
    </w:p>
    <w:p w14:paraId="03829C41" w14:textId="77777777" w:rsidR="00F91FB5" w:rsidRPr="00991A56" w:rsidRDefault="00F91FB5" w:rsidP="00F91FB5">
      <w:pPr>
        <w:autoSpaceDE w:val="0"/>
        <w:autoSpaceDN w:val="0"/>
        <w:adjustRightInd w:val="0"/>
        <w:ind w:left="426"/>
        <w:jc w:val="both"/>
        <w:rPr>
          <w:rFonts w:ascii="Abadi" w:hAnsi="Abadi" w:cs="*Verdana-Italic-15059-Identity-"/>
          <w:i/>
          <w:iCs/>
          <w:color w:val="1B1A1D"/>
          <w:sz w:val="21"/>
          <w:szCs w:val="21"/>
        </w:rPr>
      </w:pPr>
      <w:r w:rsidRPr="00991A56">
        <w:rPr>
          <w:rFonts w:ascii="Abadi" w:hAnsi="Abadi" w:cs="*Verdana-Italic-15059-Identity-"/>
          <w:i/>
          <w:iCs/>
          <w:color w:val="1B1A1D"/>
          <w:sz w:val="21"/>
          <w:szCs w:val="21"/>
        </w:rPr>
        <w:t xml:space="preserve">Finalmente, a efecto de satisfacer lo establecido por el artículo 209 de </w:t>
      </w:r>
      <w:r>
        <w:rPr>
          <w:rFonts w:ascii="Abadi" w:hAnsi="Abadi" w:cs="*Verdana-Italic-15059-Identity-"/>
          <w:i/>
          <w:iCs/>
          <w:color w:val="1B1A1D"/>
          <w:sz w:val="21"/>
          <w:szCs w:val="21"/>
        </w:rPr>
        <w:t>la</w:t>
      </w:r>
      <w:r w:rsidRPr="00991A56">
        <w:rPr>
          <w:rFonts w:ascii="Abadi" w:hAnsi="Abadi" w:cs="*Verdana-Italic-15059-Identity-"/>
          <w:i/>
          <w:iCs/>
          <w:color w:val="1B1A1D"/>
          <w:sz w:val="21"/>
          <w:szCs w:val="21"/>
        </w:rPr>
        <w:t xml:space="preserve"> Ley Orgánica</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del Poder Legislativo, relativo a la evaluación del Impacto jurídico, administrativo,</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presupuestarlo y social, se manifiesta que -como se ha expuesto hasta aquí en las</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consideraciones de la exposición de motivos-, por lo que hace al: a) Impacto jur</w:t>
      </w:r>
      <w:r>
        <w:rPr>
          <w:rFonts w:ascii="Abadi" w:hAnsi="Abadi" w:cs="*Verdana-Italic-15059-Identity-"/>
          <w:i/>
          <w:iCs/>
          <w:color w:val="1B1A1D"/>
          <w:sz w:val="21"/>
          <w:szCs w:val="21"/>
        </w:rPr>
        <w:t>í</w:t>
      </w:r>
      <w:r w:rsidRPr="00991A56">
        <w:rPr>
          <w:rFonts w:ascii="Abadi" w:hAnsi="Abadi" w:cs="*Verdana-Italic-15059-Identity-"/>
          <w:i/>
          <w:iCs/>
          <w:color w:val="1B1A1D"/>
          <w:sz w:val="21"/>
          <w:szCs w:val="21"/>
        </w:rPr>
        <w:t>dico, se</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reforman y adicionan diversos artículos de la Ley para el Ejercicio y Control de los</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Recursos Públicos para el Estado y los Municipios de Guanajuato, y se deroga una</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fracción del artículo de la Ley Orgánica del Poder Legislativo del Estado de Guanajuato;</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b) impacto administrativo, se traduce en una reorganización interna del Comité de</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Estructuración Salarial y creación del Órgano Técnico de Valoración de las</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Remuneraciones de los Servidores Públicos del Estado, con la finalidad de contar con un</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órgano integrador y otro técnico y especializado; c) Impacto presupuestario, derivado de</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la reestructura y creación de diversos</w:t>
      </w:r>
      <w:r w:rsidRPr="00991A56">
        <w:rPr>
          <w:rFonts w:ascii="Abadi" w:hAnsi="Abadi" w:cs="*Verdana-Italic-15059-Identity-"/>
          <w:i/>
          <w:iCs/>
          <w:color w:val="A5A5A5"/>
          <w:sz w:val="21"/>
          <w:szCs w:val="21"/>
        </w:rPr>
        <w:t xml:space="preserve">· </w:t>
      </w:r>
      <w:r w:rsidRPr="00991A56">
        <w:rPr>
          <w:rFonts w:ascii="Abadi" w:hAnsi="Abadi" w:cs="*Verdana-Italic-15059-Identity-"/>
          <w:i/>
          <w:iCs/>
          <w:color w:val="1B1A1D"/>
          <w:sz w:val="21"/>
          <w:szCs w:val="21"/>
        </w:rPr>
        <w:t>órganos colegiados, es que se solicita que el</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análisis del impacto presupuesta! de la presente iniciativa sea solicitado a la Unidad de</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Estudios de las Finanzas Públicas del Congreso del Estado; y d) social, se busca</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establecer una armonización de los diferentes principios, mecanismos, órganos y</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procedimientos en materia de remuneraciones salariales, con la finalidad de dar</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certidumbre jurídica y confiabilidad en la determinación de las percepciones de los</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servidores públicos, y garantías de transparencia y rendición de cuentas a los</w:t>
      </w:r>
      <w:r>
        <w:rPr>
          <w:rFonts w:ascii="Abadi" w:hAnsi="Abadi" w:cs="*Verdana-Italic-15059-Identity-"/>
          <w:i/>
          <w:iCs/>
          <w:color w:val="1B1A1D"/>
          <w:sz w:val="21"/>
          <w:szCs w:val="21"/>
        </w:rPr>
        <w:t xml:space="preserve"> </w:t>
      </w:r>
      <w:r w:rsidRPr="00991A56">
        <w:rPr>
          <w:rFonts w:ascii="Abadi" w:hAnsi="Abadi" w:cs="*Verdana-Italic-15059-Identity-"/>
          <w:i/>
          <w:iCs/>
          <w:color w:val="1B1A1D"/>
          <w:sz w:val="21"/>
          <w:szCs w:val="21"/>
        </w:rPr>
        <w:t>guanajuatenses.</w:t>
      </w:r>
    </w:p>
    <w:p w14:paraId="44B113DF" w14:textId="77777777" w:rsidR="00F91FB5" w:rsidRDefault="00F91FB5" w:rsidP="00F91FB5">
      <w:pPr>
        <w:autoSpaceDE w:val="0"/>
        <w:autoSpaceDN w:val="0"/>
        <w:adjustRightInd w:val="0"/>
        <w:jc w:val="both"/>
        <w:rPr>
          <w:rFonts w:ascii="Abadi" w:hAnsi="Abadi" w:cs="*Verdana-Bold-15058-Identity-H"/>
          <w:b/>
          <w:bCs/>
          <w:color w:val="0F0E14"/>
          <w:sz w:val="21"/>
          <w:szCs w:val="21"/>
        </w:rPr>
      </w:pPr>
    </w:p>
    <w:p w14:paraId="58543CEF" w14:textId="77777777" w:rsidR="00F91FB5" w:rsidRDefault="00F91FB5" w:rsidP="00F91FB5">
      <w:pPr>
        <w:autoSpaceDE w:val="0"/>
        <w:autoSpaceDN w:val="0"/>
        <w:adjustRightInd w:val="0"/>
        <w:jc w:val="both"/>
        <w:rPr>
          <w:rFonts w:ascii="Abadi" w:hAnsi="Abadi" w:cs="*Verdana-Bold-15058-Identity-H"/>
          <w:b/>
          <w:bCs/>
          <w:color w:val="0F0E14"/>
          <w:sz w:val="21"/>
          <w:szCs w:val="21"/>
        </w:rPr>
      </w:pPr>
      <w:r w:rsidRPr="00991A56">
        <w:rPr>
          <w:rFonts w:ascii="Abadi" w:hAnsi="Abadi" w:cs="*Verdana-Bold-15058-Identity-H"/>
          <w:b/>
          <w:bCs/>
          <w:color w:val="0F0E14"/>
          <w:sz w:val="21"/>
          <w:szCs w:val="21"/>
        </w:rPr>
        <w:t>III</w:t>
      </w:r>
      <w:r>
        <w:rPr>
          <w:rFonts w:ascii="Abadi" w:hAnsi="Abadi" w:cs="*Verdana-Bold-15058-Identity-H"/>
          <w:b/>
          <w:bCs/>
          <w:color w:val="0F0E14"/>
          <w:sz w:val="21"/>
          <w:szCs w:val="21"/>
        </w:rPr>
        <w:t>.</w:t>
      </w:r>
      <w:r w:rsidRPr="00991A56">
        <w:rPr>
          <w:rFonts w:ascii="Abadi" w:hAnsi="Abadi" w:cs="*Verdana-Bold-15058-Identity-H"/>
          <w:b/>
          <w:bCs/>
          <w:color w:val="0F0E14"/>
          <w:sz w:val="21"/>
          <w:szCs w:val="21"/>
        </w:rPr>
        <w:t xml:space="preserve"> Consideraciones de la Comisión Dictaminadora</w:t>
      </w:r>
    </w:p>
    <w:p w14:paraId="32B27E62" w14:textId="77777777" w:rsidR="00F91FB5" w:rsidRPr="00991A56" w:rsidRDefault="00F91FB5" w:rsidP="00F91FB5">
      <w:pPr>
        <w:autoSpaceDE w:val="0"/>
        <w:autoSpaceDN w:val="0"/>
        <w:adjustRightInd w:val="0"/>
        <w:jc w:val="both"/>
        <w:rPr>
          <w:rFonts w:ascii="Abadi" w:hAnsi="Abadi" w:cs="*Verdana-Bold-15058-Identity-H"/>
          <w:b/>
          <w:bCs/>
          <w:color w:val="0F0E14"/>
          <w:sz w:val="21"/>
          <w:szCs w:val="21"/>
        </w:rPr>
      </w:pPr>
    </w:p>
    <w:p w14:paraId="04A73C1D" w14:textId="77777777" w:rsidR="00F91FB5" w:rsidRPr="00991A56" w:rsidRDefault="00F91FB5" w:rsidP="00F91FB5">
      <w:pPr>
        <w:autoSpaceDE w:val="0"/>
        <w:autoSpaceDN w:val="0"/>
        <w:adjustRightInd w:val="0"/>
        <w:ind w:firstLine="708"/>
        <w:jc w:val="both"/>
        <w:rPr>
          <w:rFonts w:ascii="Abadi" w:hAnsi="Abadi" w:cs="*Verdana-15057-Identity-H"/>
          <w:color w:val="121215"/>
          <w:sz w:val="21"/>
          <w:szCs w:val="21"/>
        </w:rPr>
      </w:pPr>
      <w:r w:rsidRPr="00991A56">
        <w:rPr>
          <w:rFonts w:ascii="Abadi" w:hAnsi="Abadi" w:cs="*Verdana-15057-Identity-H"/>
          <w:color w:val="121215"/>
          <w:sz w:val="21"/>
          <w:szCs w:val="21"/>
        </w:rPr>
        <w:t>Como podemos observar del contenido de la iniciativa materia del presente</w:t>
      </w:r>
      <w:r>
        <w:rPr>
          <w:rFonts w:ascii="Abadi" w:hAnsi="Abadi" w:cs="*Verdana-15057-Identity-H"/>
          <w:color w:val="121215"/>
          <w:sz w:val="21"/>
          <w:szCs w:val="21"/>
        </w:rPr>
        <w:t xml:space="preserve"> </w:t>
      </w:r>
      <w:r w:rsidRPr="00991A56">
        <w:rPr>
          <w:rFonts w:ascii="Abadi" w:hAnsi="Abadi" w:cs="*Verdana-15057-Identity-H"/>
          <w:color w:val="121215"/>
          <w:sz w:val="21"/>
          <w:szCs w:val="21"/>
        </w:rPr>
        <w:t>dictamen su objetivo en términos generales es establecer facultades al Comité de</w:t>
      </w:r>
      <w:r>
        <w:rPr>
          <w:rFonts w:ascii="Abadi" w:hAnsi="Abadi" w:cs="*Verdana-15057-Identity-H"/>
          <w:color w:val="121215"/>
          <w:sz w:val="21"/>
          <w:szCs w:val="21"/>
        </w:rPr>
        <w:t xml:space="preserve"> </w:t>
      </w:r>
      <w:r w:rsidRPr="00991A56">
        <w:rPr>
          <w:rFonts w:ascii="Abadi" w:hAnsi="Abadi" w:cs="*Verdana-15057-Identity-H"/>
          <w:color w:val="121215"/>
          <w:sz w:val="21"/>
          <w:szCs w:val="21"/>
        </w:rPr>
        <w:t>Estructuración Salarial para determinar directamente las remuneraciones salariales de</w:t>
      </w:r>
      <w:r>
        <w:rPr>
          <w:rFonts w:ascii="Abadi" w:hAnsi="Abadi" w:cs="*Verdana-15057-Identity-H"/>
          <w:color w:val="121215"/>
          <w:sz w:val="21"/>
          <w:szCs w:val="21"/>
        </w:rPr>
        <w:t xml:space="preserve"> </w:t>
      </w:r>
      <w:r w:rsidRPr="00991A56">
        <w:rPr>
          <w:rFonts w:ascii="Abadi" w:hAnsi="Abadi" w:cs="*Verdana-15057-Identity-H"/>
          <w:color w:val="121215"/>
          <w:sz w:val="21"/>
          <w:szCs w:val="21"/>
        </w:rPr>
        <w:t>los servidores públicos de los tres Poderes del Estado; así como emitir las</w:t>
      </w:r>
      <w:r>
        <w:rPr>
          <w:rFonts w:ascii="Abadi" w:hAnsi="Abadi" w:cs="*Verdana-15057-Identity-H"/>
          <w:color w:val="121215"/>
          <w:sz w:val="21"/>
          <w:szCs w:val="21"/>
        </w:rPr>
        <w:t xml:space="preserve"> </w:t>
      </w:r>
      <w:r w:rsidRPr="00991A56">
        <w:rPr>
          <w:rFonts w:ascii="Abadi" w:hAnsi="Abadi" w:cs="*Verdana-15057-Identity-H"/>
          <w:color w:val="121215"/>
          <w:sz w:val="21"/>
          <w:szCs w:val="21"/>
        </w:rPr>
        <w:t>recomendaciones de remuneraciones salariales de los servidores públicos de los</w:t>
      </w:r>
      <w:r>
        <w:rPr>
          <w:rFonts w:ascii="Abadi" w:hAnsi="Abadi" w:cs="*Verdana-15057-Identity-H"/>
          <w:color w:val="121215"/>
          <w:sz w:val="21"/>
          <w:szCs w:val="21"/>
        </w:rPr>
        <w:t xml:space="preserve"> </w:t>
      </w:r>
      <w:r w:rsidRPr="00991A56">
        <w:rPr>
          <w:rFonts w:ascii="Abadi" w:hAnsi="Abadi" w:cs="*Verdana-15057-Identity-H"/>
          <w:color w:val="121215"/>
          <w:sz w:val="21"/>
          <w:szCs w:val="21"/>
        </w:rPr>
        <w:t>organismos autónomos y ayuntamientos.</w:t>
      </w:r>
    </w:p>
    <w:p w14:paraId="1EB9D517" w14:textId="77777777" w:rsidR="00F91FB5" w:rsidRPr="00991A56" w:rsidRDefault="00F91FB5" w:rsidP="00F91FB5">
      <w:pPr>
        <w:jc w:val="both"/>
        <w:rPr>
          <w:rFonts w:ascii="Abadi" w:hAnsi="Abadi" w:cs="*Verdana-15057-Identity-H"/>
          <w:color w:val="121215"/>
          <w:sz w:val="21"/>
          <w:szCs w:val="21"/>
        </w:rPr>
      </w:pPr>
    </w:p>
    <w:p w14:paraId="5A30A1CE" w14:textId="77777777" w:rsidR="00F91FB5" w:rsidRDefault="00F91FB5" w:rsidP="00F91FB5">
      <w:pPr>
        <w:autoSpaceDE w:val="0"/>
        <w:autoSpaceDN w:val="0"/>
        <w:adjustRightInd w:val="0"/>
        <w:ind w:firstLine="708"/>
        <w:jc w:val="both"/>
        <w:rPr>
          <w:rFonts w:ascii="Abadi" w:hAnsi="Abadi" w:cs="*Verdana-14132-Identity-H"/>
          <w:color w:val="141316"/>
          <w:sz w:val="21"/>
          <w:szCs w:val="21"/>
        </w:rPr>
      </w:pPr>
      <w:r w:rsidRPr="00991A56">
        <w:rPr>
          <w:rFonts w:ascii="Abadi" w:hAnsi="Abadi" w:cs="*Verdana-14132-Identity-H"/>
          <w:color w:val="141316"/>
          <w:sz w:val="21"/>
          <w:szCs w:val="21"/>
        </w:rPr>
        <w:t>Al respecto, es de señalar que se coincide con los iniciantes en la importancia</w:t>
      </w:r>
      <w:r>
        <w:rPr>
          <w:rFonts w:ascii="Abadi" w:hAnsi="Abadi" w:cs="*Verdana-14132-Identity-H"/>
          <w:color w:val="141316"/>
          <w:sz w:val="21"/>
          <w:szCs w:val="21"/>
        </w:rPr>
        <w:t xml:space="preserve"> </w:t>
      </w:r>
      <w:r w:rsidRPr="00991A56">
        <w:rPr>
          <w:rFonts w:ascii="Abadi" w:hAnsi="Abadi" w:cs="*Verdana-14132-Identity-H"/>
          <w:color w:val="141316"/>
          <w:sz w:val="21"/>
          <w:szCs w:val="21"/>
        </w:rPr>
        <w:t>del salario, en la vida de los servidores públicos del Estado y los municipios, ya que</w:t>
      </w:r>
      <w:r>
        <w:rPr>
          <w:rFonts w:ascii="Abadi" w:hAnsi="Abadi" w:cs="*Verdana-14132-Identity-H"/>
          <w:color w:val="141316"/>
          <w:sz w:val="21"/>
          <w:szCs w:val="21"/>
        </w:rPr>
        <w:t xml:space="preserve"> </w:t>
      </w:r>
      <w:r w:rsidRPr="00991A56">
        <w:rPr>
          <w:rFonts w:ascii="Abadi" w:hAnsi="Abadi" w:cs="*Verdana-14132-Identity-H"/>
          <w:color w:val="141316"/>
          <w:sz w:val="21"/>
          <w:szCs w:val="21"/>
        </w:rPr>
        <w:t>sean o no de elección popular sus percepciones les deben permitir cubrir sus</w:t>
      </w:r>
      <w:r>
        <w:rPr>
          <w:rFonts w:ascii="Abadi" w:hAnsi="Abadi" w:cs="*Verdana-14132-Identity-H"/>
          <w:color w:val="141316"/>
          <w:sz w:val="21"/>
          <w:szCs w:val="21"/>
        </w:rPr>
        <w:t xml:space="preserve"> </w:t>
      </w:r>
      <w:r w:rsidRPr="00991A56">
        <w:rPr>
          <w:rFonts w:ascii="Abadi" w:hAnsi="Abadi" w:cs="*Verdana-14132-Identity-H"/>
          <w:color w:val="141316"/>
          <w:sz w:val="21"/>
          <w:szCs w:val="21"/>
        </w:rPr>
        <w:t>necesidades de alimentación, vestido, vivienda, transporte, etc., y además deben ser</w:t>
      </w:r>
      <w:r>
        <w:rPr>
          <w:rFonts w:ascii="Abadi" w:hAnsi="Abadi" w:cs="*Verdana-14132-Identity-H"/>
          <w:color w:val="141316"/>
          <w:sz w:val="21"/>
          <w:szCs w:val="21"/>
        </w:rPr>
        <w:t xml:space="preserve"> </w:t>
      </w:r>
      <w:r w:rsidRPr="00991A56">
        <w:rPr>
          <w:rFonts w:ascii="Abadi" w:hAnsi="Abadi" w:cs="*Verdana-14132-Identity-H"/>
          <w:color w:val="141316"/>
          <w:sz w:val="21"/>
          <w:szCs w:val="21"/>
        </w:rPr>
        <w:t>congruentes con las labores encomendadas y el grado de responsabilidad que</w:t>
      </w:r>
      <w:r>
        <w:rPr>
          <w:rFonts w:ascii="Abadi" w:hAnsi="Abadi" w:cs="*Verdana-14132-Identity-H"/>
          <w:color w:val="141316"/>
          <w:sz w:val="21"/>
          <w:szCs w:val="21"/>
        </w:rPr>
        <w:t xml:space="preserve"> </w:t>
      </w:r>
      <w:r w:rsidRPr="00991A56">
        <w:rPr>
          <w:rFonts w:ascii="Abadi" w:hAnsi="Abadi" w:cs="*Verdana-14132-Identity-H"/>
          <w:color w:val="141316"/>
          <w:sz w:val="21"/>
          <w:szCs w:val="21"/>
        </w:rPr>
        <w:t>representan.</w:t>
      </w:r>
    </w:p>
    <w:p w14:paraId="16BC3C7F" w14:textId="77777777" w:rsidR="00F91FB5" w:rsidRPr="00991A56" w:rsidRDefault="00F91FB5" w:rsidP="00F91FB5">
      <w:pPr>
        <w:autoSpaceDE w:val="0"/>
        <w:autoSpaceDN w:val="0"/>
        <w:adjustRightInd w:val="0"/>
        <w:jc w:val="both"/>
        <w:rPr>
          <w:rFonts w:ascii="Abadi" w:hAnsi="Abadi" w:cs="*Verdana-14132-Identity-H"/>
          <w:color w:val="141316"/>
          <w:sz w:val="21"/>
          <w:szCs w:val="21"/>
        </w:rPr>
      </w:pPr>
    </w:p>
    <w:p w14:paraId="4E6993C0" w14:textId="77777777" w:rsidR="00F91FB5" w:rsidRDefault="00F91FB5" w:rsidP="00F91FB5">
      <w:pPr>
        <w:autoSpaceDE w:val="0"/>
        <w:autoSpaceDN w:val="0"/>
        <w:adjustRightInd w:val="0"/>
        <w:ind w:firstLine="708"/>
        <w:jc w:val="both"/>
        <w:rPr>
          <w:rFonts w:ascii="Abadi" w:hAnsi="Abadi" w:cs="*Verdana-14132-Identity-H"/>
          <w:color w:val="121114"/>
          <w:sz w:val="21"/>
          <w:szCs w:val="21"/>
        </w:rPr>
      </w:pPr>
      <w:r w:rsidRPr="00991A56">
        <w:rPr>
          <w:rFonts w:ascii="Abadi" w:hAnsi="Abadi" w:cs="*Verdana-14132-Identity-H"/>
          <w:color w:val="121114"/>
          <w:sz w:val="21"/>
          <w:szCs w:val="21"/>
        </w:rPr>
        <w:t>En este orden de ideas, el servicio público debe ser remunerado de manera tal</w:t>
      </w:r>
      <w:r>
        <w:rPr>
          <w:rFonts w:ascii="Abadi" w:hAnsi="Abadi" w:cs="*Verdana-14132-Identity-H"/>
          <w:color w:val="121114"/>
          <w:sz w:val="21"/>
          <w:szCs w:val="21"/>
        </w:rPr>
        <w:t xml:space="preserve"> </w:t>
      </w:r>
      <w:r w:rsidRPr="00991A56">
        <w:rPr>
          <w:rFonts w:ascii="Abadi" w:hAnsi="Abadi" w:cs="*Verdana-14132-Identity-H"/>
          <w:color w:val="121114"/>
          <w:sz w:val="21"/>
          <w:szCs w:val="21"/>
        </w:rPr>
        <w:t>que se asegure que en el desempeño de los cargos públicos se cuente con ciudadanos</w:t>
      </w:r>
      <w:r>
        <w:rPr>
          <w:rFonts w:ascii="Abadi" w:hAnsi="Abadi" w:cs="*Verdana-14132-Identity-H"/>
          <w:color w:val="121114"/>
          <w:sz w:val="21"/>
          <w:szCs w:val="21"/>
        </w:rPr>
        <w:t xml:space="preserve"> </w:t>
      </w:r>
      <w:r w:rsidRPr="00991A56">
        <w:rPr>
          <w:rFonts w:ascii="Abadi" w:hAnsi="Abadi" w:cs="*Verdana-14132-Identity-H"/>
          <w:color w:val="121114"/>
          <w:sz w:val="21"/>
          <w:szCs w:val="21"/>
        </w:rPr>
        <w:t>que por su preparación, capacidad y honestidad, puedan desempeñar con eficacia y</w:t>
      </w:r>
      <w:r>
        <w:rPr>
          <w:rFonts w:ascii="Abadi" w:hAnsi="Abadi" w:cs="*Verdana-14132-Identity-H"/>
          <w:color w:val="121114"/>
          <w:sz w:val="21"/>
          <w:szCs w:val="21"/>
        </w:rPr>
        <w:t xml:space="preserve"> </w:t>
      </w:r>
      <w:r w:rsidRPr="00991A56">
        <w:rPr>
          <w:rFonts w:ascii="Abadi" w:hAnsi="Abadi" w:cs="*Verdana-14132-Identity-H"/>
          <w:color w:val="121114"/>
          <w:sz w:val="21"/>
          <w:szCs w:val="21"/>
        </w:rPr>
        <w:t>profesionalismo las responsabilidades que les han sido confiadas, así como obtener un</w:t>
      </w:r>
      <w:r>
        <w:rPr>
          <w:rFonts w:ascii="Abadi" w:hAnsi="Abadi" w:cs="*Verdana-14132-Identity-H"/>
          <w:color w:val="121114"/>
          <w:sz w:val="21"/>
          <w:szCs w:val="21"/>
        </w:rPr>
        <w:t xml:space="preserve"> </w:t>
      </w:r>
      <w:r w:rsidRPr="00991A56">
        <w:rPr>
          <w:rFonts w:ascii="Abadi" w:hAnsi="Abadi" w:cs="*Verdana-14132-Identity-H"/>
          <w:color w:val="121114"/>
          <w:sz w:val="21"/>
          <w:szCs w:val="21"/>
        </w:rPr>
        <w:t>ingreso digno.</w:t>
      </w:r>
    </w:p>
    <w:p w14:paraId="43560EC2" w14:textId="77777777" w:rsidR="00F91FB5" w:rsidRPr="00991A56" w:rsidRDefault="00F91FB5" w:rsidP="00F91FB5">
      <w:pPr>
        <w:autoSpaceDE w:val="0"/>
        <w:autoSpaceDN w:val="0"/>
        <w:adjustRightInd w:val="0"/>
        <w:jc w:val="both"/>
        <w:rPr>
          <w:rFonts w:ascii="Abadi" w:hAnsi="Abadi" w:cs="*Verdana-14132-Identity-H"/>
          <w:color w:val="121114"/>
          <w:sz w:val="21"/>
          <w:szCs w:val="21"/>
        </w:rPr>
      </w:pPr>
    </w:p>
    <w:p w14:paraId="5780F26E" w14:textId="77777777" w:rsidR="00F91FB5" w:rsidRDefault="00F91FB5" w:rsidP="00F91FB5">
      <w:pPr>
        <w:autoSpaceDE w:val="0"/>
        <w:autoSpaceDN w:val="0"/>
        <w:adjustRightInd w:val="0"/>
        <w:ind w:firstLine="708"/>
        <w:jc w:val="both"/>
        <w:rPr>
          <w:rFonts w:ascii="Abadi" w:hAnsi="Abadi" w:cs="*Verdana-14132-Identity-H"/>
          <w:color w:val="131315"/>
          <w:sz w:val="21"/>
          <w:szCs w:val="21"/>
        </w:rPr>
      </w:pPr>
      <w:r w:rsidRPr="00991A56">
        <w:rPr>
          <w:rFonts w:ascii="Abadi" w:hAnsi="Abadi" w:cs="*Verdana-14132-Identity-H"/>
          <w:color w:val="131315"/>
          <w:sz w:val="21"/>
          <w:szCs w:val="21"/>
        </w:rPr>
        <w:t>Sin embargo, atendiendo al alcance de la ley que se pretende reformar resulta</w:t>
      </w:r>
      <w:r>
        <w:rPr>
          <w:rFonts w:ascii="Abadi" w:hAnsi="Abadi" w:cs="*Verdana-14132-Identity-H"/>
          <w:color w:val="131315"/>
          <w:sz w:val="21"/>
          <w:szCs w:val="21"/>
        </w:rPr>
        <w:t xml:space="preserve"> </w:t>
      </w:r>
      <w:r w:rsidRPr="00991A56">
        <w:rPr>
          <w:rFonts w:ascii="Abadi" w:hAnsi="Abadi" w:cs="*Verdana-14132-Identity-H"/>
          <w:color w:val="131315"/>
          <w:sz w:val="21"/>
          <w:szCs w:val="21"/>
        </w:rPr>
        <w:t>indispensable que la misma tenga su basamento en la Constitución Política de los</w:t>
      </w:r>
      <w:r>
        <w:rPr>
          <w:rFonts w:ascii="Abadi" w:hAnsi="Abadi" w:cs="*Verdana-14132-Identity-H"/>
          <w:color w:val="131315"/>
          <w:sz w:val="21"/>
          <w:szCs w:val="21"/>
        </w:rPr>
        <w:t xml:space="preserve"> </w:t>
      </w:r>
      <w:r w:rsidRPr="00991A56">
        <w:rPr>
          <w:rFonts w:ascii="Abadi" w:hAnsi="Abadi" w:cs="*Verdana-14132-Identity-H"/>
          <w:color w:val="131315"/>
          <w:sz w:val="21"/>
          <w:szCs w:val="21"/>
        </w:rPr>
        <w:t>Estados Unidos Mexicanos y en la Constitución Política para el Estado de Guanajuato.</w:t>
      </w:r>
    </w:p>
    <w:p w14:paraId="08E14A85" w14:textId="77777777" w:rsidR="00F91FB5" w:rsidRPr="00991A56" w:rsidRDefault="00F91FB5" w:rsidP="00F91FB5">
      <w:pPr>
        <w:autoSpaceDE w:val="0"/>
        <w:autoSpaceDN w:val="0"/>
        <w:adjustRightInd w:val="0"/>
        <w:jc w:val="both"/>
        <w:rPr>
          <w:rFonts w:ascii="Abadi" w:hAnsi="Abadi" w:cs="*Verdana-14132-Identity-H"/>
          <w:color w:val="131315"/>
          <w:sz w:val="21"/>
          <w:szCs w:val="21"/>
        </w:rPr>
      </w:pPr>
    </w:p>
    <w:p w14:paraId="45F47AA7" w14:textId="77777777" w:rsidR="00F91FB5" w:rsidRPr="00991A56" w:rsidRDefault="00F91FB5" w:rsidP="00F91FB5">
      <w:pPr>
        <w:autoSpaceDE w:val="0"/>
        <w:autoSpaceDN w:val="0"/>
        <w:adjustRightInd w:val="0"/>
        <w:ind w:firstLine="708"/>
        <w:jc w:val="both"/>
        <w:rPr>
          <w:rFonts w:ascii="Abadi" w:hAnsi="Abadi" w:cs="*Verdana-Italic-14131-Identity-"/>
          <w:i/>
          <w:iCs/>
          <w:color w:val="151517"/>
          <w:sz w:val="21"/>
          <w:szCs w:val="21"/>
        </w:rPr>
      </w:pPr>
      <w:r w:rsidRPr="00991A56">
        <w:rPr>
          <w:rFonts w:ascii="Abadi" w:hAnsi="Abadi" w:cs="*Verdana-14132-Identity-H"/>
          <w:color w:val="151517"/>
          <w:sz w:val="21"/>
          <w:szCs w:val="21"/>
        </w:rPr>
        <w:t>En tal sentido, el artículo 116, fracción II, párrafo quinto de la Constitución</w:t>
      </w:r>
      <w:r>
        <w:rPr>
          <w:rFonts w:ascii="Abadi" w:hAnsi="Abadi" w:cs="*Verdana-14132-Identity-H"/>
          <w:color w:val="151517"/>
          <w:sz w:val="21"/>
          <w:szCs w:val="21"/>
        </w:rPr>
        <w:t xml:space="preserve"> </w:t>
      </w:r>
      <w:r w:rsidRPr="00991A56">
        <w:rPr>
          <w:rFonts w:ascii="Abadi" w:hAnsi="Abadi" w:cs="*Verdana-14132-Identity-H"/>
          <w:color w:val="151517"/>
          <w:sz w:val="21"/>
          <w:szCs w:val="21"/>
        </w:rPr>
        <w:t xml:space="preserve">Política de los Estados Unidos Mexicanos dispone que </w:t>
      </w:r>
      <w:r w:rsidRPr="00991A56">
        <w:rPr>
          <w:rFonts w:ascii="Abadi" w:hAnsi="Abadi" w:cs="*Verdana-Italic-14131-Identity-"/>
          <w:i/>
          <w:iCs/>
          <w:color w:val="151517"/>
          <w:sz w:val="21"/>
          <w:szCs w:val="21"/>
        </w:rPr>
        <w:t>«Los poderes estatales</w:t>
      </w:r>
      <w:r>
        <w:rPr>
          <w:rFonts w:ascii="Abadi" w:hAnsi="Abadi" w:cs="*Verdana-Italic-14131-Identity-"/>
          <w:i/>
          <w:iCs/>
          <w:color w:val="151517"/>
          <w:sz w:val="21"/>
          <w:szCs w:val="21"/>
        </w:rPr>
        <w:t xml:space="preserve"> </w:t>
      </w:r>
      <w:r w:rsidRPr="00991A56">
        <w:rPr>
          <w:rFonts w:ascii="Abadi" w:hAnsi="Abadi" w:cs="*Verdana-Italic-14131-Identity-"/>
          <w:i/>
          <w:iCs/>
          <w:color w:val="151517"/>
          <w:sz w:val="21"/>
          <w:szCs w:val="21"/>
        </w:rPr>
        <w:t>Legislativo, Ejecutivo y Judicial, así como los organismos con autonomía reconocida en</w:t>
      </w:r>
      <w:r>
        <w:rPr>
          <w:rFonts w:ascii="Abadi" w:hAnsi="Abadi" w:cs="*Verdana-Italic-14131-Identity-"/>
          <w:i/>
          <w:iCs/>
          <w:color w:val="151517"/>
          <w:sz w:val="21"/>
          <w:szCs w:val="21"/>
        </w:rPr>
        <w:t xml:space="preserve"> </w:t>
      </w:r>
      <w:r w:rsidRPr="00991A56">
        <w:rPr>
          <w:rFonts w:ascii="Abadi" w:hAnsi="Abadi" w:cs="*Verdana-Italic-14131-Identity-"/>
          <w:i/>
          <w:iCs/>
          <w:color w:val="151517"/>
          <w:sz w:val="21"/>
          <w:szCs w:val="21"/>
        </w:rPr>
        <w:t>sus constituciones locales, deberán incluir dentro de sus proyectos de presupuestos,</w:t>
      </w:r>
      <w:r>
        <w:rPr>
          <w:rFonts w:ascii="Abadi" w:hAnsi="Abadi" w:cs="*Verdana-Italic-14131-Identity-"/>
          <w:i/>
          <w:iCs/>
          <w:color w:val="151517"/>
          <w:sz w:val="21"/>
          <w:szCs w:val="21"/>
        </w:rPr>
        <w:t xml:space="preserve"> </w:t>
      </w:r>
      <w:r w:rsidRPr="00991A56">
        <w:rPr>
          <w:rFonts w:ascii="Abadi" w:hAnsi="Abadi" w:cs="*Verdana-Italic-14131-Identity-"/>
          <w:i/>
          <w:iCs/>
          <w:color w:val="151517"/>
          <w:sz w:val="21"/>
          <w:szCs w:val="21"/>
        </w:rPr>
        <w:t>los tabuladores desglosados de las remuneraciones que se propone perciban sus</w:t>
      </w:r>
      <w:r>
        <w:rPr>
          <w:rFonts w:ascii="Abadi" w:hAnsi="Abadi" w:cs="*Verdana-Italic-14131-Identity-"/>
          <w:i/>
          <w:iCs/>
          <w:color w:val="151517"/>
          <w:sz w:val="21"/>
          <w:szCs w:val="21"/>
        </w:rPr>
        <w:t xml:space="preserve"> </w:t>
      </w:r>
      <w:r w:rsidRPr="00991A56">
        <w:rPr>
          <w:rFonts w:ascii="Abadi" w:hAnsi="Abadi" w:cs="*Verdana-Italic-14131-Identity-"/>
          <w:i/>
          <w:iCs/>
          <w:color w:val="151517"/>
          <w:sz w:val="21"/>
          <w:szCs w:val="21"/>
        </w:rPr>
        <w:t>servidores públicos. Estas propuestas deberán observar el procedimiento que para la</w:t>
      </w:r>
    </w:p>
    <w:p w14:paraId="4F122432" w14:textId="77777777" w:rsidR="00F91FB5" w:rsidRDefault="00F91FB5" w:rsidP="00F91FB5">
      <w:pPr>
        <w:autoSpaceDE w:val="0"/>
        <w:autoSpaceDN w:val="0"/>
        <w:adjustRightInd w:val="0"/>
        <w:jc w:val="both"/>
        <w:rPr>
          <w:rFonts w:ascii="Abadi" w:hAnsi="Abadi" w:cs="*Verdana-Italic-14131-Identity-"/>
          <w:i/>
          <w:iCs/>
          <w:color w:val="151517"/>
          <w:sz w:val="21"/>
          <w:szCs w:val="21"/>
        </w:rPr>
      </w:pPr>
      <w:r w:rsidRPr="00991A56">
        <w:rPr>
          <w:rFonts w:ascii="Abadi" w:hAnsi="Abadi" w:cs="*Verdana-Italic-14131-Identity-"/>
          <w:i/>
          <w:iCs/>
          <w:color w:val="151517"/>
          <w:sz w:val="21"/>
          <w:szCs w:val="21"/>
        </w:rPr>
        <w:t>aprobación de los presupuestos de egresos de los Estados, establezcan las</w:t>
      </w:r>
      <w:r>
        <w:rPr>
          <w:rFonts w:ascii="Abadi" w:hAnsi="Abadi" w:cs="*Verdana-Italic-14131-Identity-"/>
          <w:i/>
          <w:iCs/>
          <w:color w:val="151517"/>
          <w:sz w:val="21"/>
          <w:szCs w:val="21"/>
        </w:rPr>
        <w:t xml:space="preserve"> </w:t>
      </w:r>
      <w:r w:rsidRPr="00991A56">
        <w:rPr>
          <w:rFonts w:ascii="Abadi" w:hAnsi="Abadi" w:cs="*Verdana-Italic-14131-Identity-"/>
          <w:i/>
          <w:iCs/>
          <w:color w:val="151517"/>
          <w:sz w:val="21"/>
          <w:szCs w:val="21"/>
        </w:rPr>
        <w:t>disposiciones constitucionales y legales aplicables».</w:t>
      </w:r>
    </w:p>
    <w:p w14:paraId="06036F9A" w14:textId="77777777" w:rsidR="00F91FB5" w:rsidRPr="00991A56" w:rsidRDefault="00F91FB5" w:rsidP="00F91FB5">
      <w:pPr>
        <w:autoSpaceDE w:val="0"/>
        <w:autoSpaceDN w:val="0"/>
        <w:adjustRightInd w:val="0"/>
        <w:jc w:val="both"/>
        <w:rPr>
          <w:rFonts w:ascii="Abadi" w:hAnsi="Abadi" w:cs="*Verdana-Italic-14131-Identity-"/>
          <w:i/>
          <w:iCs/>
          <w:color w:val="151517"/>
          <w:sz w:val="21"/>
          <w:szCs w:val="21"/>
        </w:rPr>
      </w:pPr>
    </w:p>
    <w:p w14:paraId="4CDD2DD4" w14:textId="7EF0EB0C" w:rsidR="00F91FB5" w:rsidRDefault="00F91FB5" w:rsidP="00F91FB5">
      <w:pPr>
        <w:autoSpaceDE w:val="0"/>
        <w:autoSpaceDN w:val="0"/>
        <w:adjustRightInd w:val="0"/>
        <w:ind w:firstLine="708"/>
        <w:jc w:val="both"/>
        <w:rPr>
          <w:rFonts w:ascii="Abadi" w:hAnsi="Abadi" w:cs="*Verdana-Italic-14131-Identity-"/>
          <w:i/>
          <w:iCs/>
          <w:color w:val="151518"/>
          <w:sz w:val="21"/>
          <w:szCs w:val="21"/>
        </w:rPr>
      </w:pPr>
      <w:r w:rsidRPr="00991A56">
        <w:rPr>
          <w:rFonts w:ascii="Abadi" w:hAnsi="Abadi" w:cs="*Verdana-14132-Identity-H"/>
          <w:color w:val="151518"/>
          <w:sz w:val="21"/>
          <w:szCs w:val="21"/>
        </w:rPr>
        <w:t>Por su parte, en el artículo 63, fracción XIII, último párrafo de la Constitución</w:t>
      </w:r>
      <w:r>
        <w:rPr>
          <w:rFonts w:ascii="Abadi" w:hAnsi="Abadi" w:cs="*Verdana-14132-Identity-H"/>
          <w:color w:val="151518"/>
          <w:sz w:val="21"/>
          <w:szCs w:val="21"/>
        </w:rPr>
        <w:t xml:space="preserve"> </w:t>
      </w:r>
      <w:r w:rsidRPr="00991A56">
        <w:rPr>
          <w:rFonts w:ascii="Abadi" w:hAnsi="Abadi" w:cs="*Verdana-14132-Identity-H"/>
          <w:color w:val="151518"/>
          <w:sz w:val="21"/>
          <w:szCs w:val="21"/>
        </w:rPr>
        <w:t xml:space="preserve">Política local se prevé que </w:t>
      </w:r>
      <w:r w:rsidRPr="00991A56">
        <w:rPr>
          <w:rFonts w:ascii="Abadi" w:hAnsi="Abadi" w:cs="*Verdana-Italic-14131-Identity-"/>
          <w:i/>
          <w:iCs/>
          <w:color w:val="151518"/>
          <w:sz w:val="21"/>
          <w:szCs w:val="21"/>
        </w:rPr>
        <w:t>«Los poderes del Estado</w:t>
      </w:r>
      <w:r w:rsidRPr="00991A56">
        <w:rPr>
          <w:rFonts w:ascii="Abadi" w:hAnsi="Abadi" w:cs="*Times New Roman-Italic-14128-I"/>
          <w:i/>
          <w:iCs/>
          <w:color w:val="151518"/>
          <w:sz w:val="21"/>
          <w:szCs w:val="21"/>
        </w:rPr>
        <w:t xml:space="preserve"> </w:t>
      </w:r>
      <w:r w:rsidRPr="00991A56">
        <w:rPr>
          <w:rFonts w:ascii="Abadi" w:hAnsi="Abadi" w:cs="*Verdana-Italic-14131-Identity-"/>
          <w:i/>
          <w:iCs/>
          <w:color w:val="151518"/>
          <w:sz w:val="21"/>
          <w:szCs w:val="21"/>
        </w:rPr>
        <w:t>así como los organismos</w:t>
      </w:r>
      <w:r>
        <w:rPr>
          <w:rFonts w:ascii="Abadi" w:hAnsi="Abadi" w:cs="*Verdana-Italic-14131-Identity-"/>
          <w:i/>
          <w:iCs/>
          <w:color w:val="151518"/>
          <w:sz w:val="21"/>
          <w:szCs w:val="21"/>
        </w:rPr>
        <w:t xml:space="preserve"> </w:t>
      </w:r>
      <w:r w:rsidRPr="00991A56">
        <w:rPr>
          <w:rFonts w:ascii="Abadi" w:hAnsi="Abadi" w:cs="*Verdana-Italic-14131-Identity-"/>
          <w:i/>
          <w:iCs/>
          <w:color w:val="151518"/>
          <w:sz w:val="21"/>
          <w:szCs w:val="21"/>
        </w:rPr>
        <w:t>autónomos que la Constitución o las leyes del Estado reconozcan como tales y las</w:t>
      </w:r>
      <w:r>
        <w:rPr>
          <w:rFonts w:ascii="Abadi" w:hAnsi="Abadi" w:cs="*Verdana-Italic-14131-Identity-"/>
          <w:i/>
          <w:iCs/>
          <w:color w:val="151518"/>
          <w:sz w:val="21"/>
          <w:szCs w:val="21"/>
        </w:rPr>
        <w:t xml:space="preserve"> </w:t>
      </w:r>
      <w:r w:rsidRPr="00991A56">
        <w:rPr>
          <w:rFonts w:ascii="Abadi" w:hAnsi="Abadi" w:cs="*Verdana-Italic-14131-Identity-"/>
          <w:i/>
          <w:iCs/>
          <w:color w:val="151518"/>
          <w:sz w:val="21"/>
          <w:szCs w:val="21"/>
        </w:rPr>
        <w:t>entidades de la administración pública estatal</w:t>
      </w:r>
      <w:r w:rsidRPr="00991A56">
        <w:rPr>
          <w:rFonts w:ascii="Abadi" w:hAnsi="Abadi" w:cs="*Times New Roman-Italic-14128-I"/>
          <w:i/>
          <w:iCs/>
          <w:color w:val="151518"/>
          <w:sz w:val="21"/>
          <w:szCs w:val="21"/>
        </w:rPr>
        <w:t xml:space="preserve">1 </w:t>
      </w:r>
      <w:r w:rsidRPr="00991A56">
        <w:rPr>
          <w:rFonts w:ascii="Abadi" w:hAnsi="Abadi" w:cs="*Verdana-Italic-14131-Identity-"/>
          <w:i/>
          <w:iCs/>
          <w:color w:val="151518"/>
          <w:sz w:val="21"/>
          <w:szCs w:val="21"/>
        </w:rPr>
        <w:t>deberán incluir dentro de sus proyectos</w:t>
      </w:r>
      <w:r>
        <w:rPr>
          <w:rFonts w:ascii="Abadi" w:hAnsi="Abadi" w:cs="*Verdana-Italic-14131-Identity-"/>
          <w:i/>
          <w:iCs/>
          <w:color w:val="151518"/>
          <w:sz w:val="21"/>
          <w:szCs w:val="21"/>
        </w:rPr>
        <w:t xml:space="preserve"> </w:t>
      </w:r>
      <w:r w:rsidRPr="00991A56">
        <w:rPr>
          <w:rFonts w:ascii="Abadi" w:hAnsi="Abadi" w:cs="*Verdana-Italic-14131-Identity-"/>
          <w:i/>
          <w:iCs/>
          <w:color w:val="151518"/>
          <w:sz w:val="21"/>
          <w:szCs w:val="21"/>
        </w:rPr>
        <w:t>de presupuestos, los tabuladores desglosados de las remuneraciones que se propone</w:t>
      </w:r>
      <w:r>
        <w:rPr>
          <w:rFonts w:ascii="Abadi" w:hAnsi="Abadi" w:cs="*Verdana-Italic-14131-Identity-"/>
          <w:i/>
          <w:iCs/>
          <w:color w:val="151518"/>
          <w:sz w:val="21"/>
          <w:szCs w:val="21"/>
        </w:rPr>
        <w:t xml:space="preserve"> </w:t>
      </w:r>
      <w:r w:rsidRPr="00991A56">
        <w:rPr>
          <w:rFonts w:ascii="Abadi" w:hAnsi="Abadi" w:cs="*Verdana-Italic-14131-Identity-"/>
          <w:i/>
          <w:iCs/>
          <w:color w:val="151518"/>
          <w:sz w:val="21"/>
          <w:szCs w:val="21"/>
        </w:rPr>
        <w:t>perciban sus servidores públicos».</w:t>
      </w:r>
    </w:p>
    <w:p w14:paraId="5C33F169" w14:textId="77777777" w:rsidR="00F91FB5" w:rsidRPr="00991A56" w:rsidRDefault="00F91FB5" w:rsidP="00F91FB5">
      <w:pPr>
        <w:autoSpaceDE w:val="0"/>
        <w:autoSpaceDN w:val="0"/>
        <w:adjustRightInd w:val="0"/>
        <w:jc w:val="both"/>
        <w:rPr>
          <w:rFonts w:ascii="Abadi" w:hAnsi="Abadi" w:cs="*Verdana-Italic-14131-Identity-"/>
          <w:i/>
          <w:iCs/>
          <w:color w:val="151518"/>
          <w:sz w:val="21"/>
          <w:szCs w:val="21"/>
        </w:rPr>
      </w:pPr>
    </w:p>
    <w:p w14:paraId="4FC1295A" w14:textId="77777777" w:rsidR="00F91FB5" w:rsidRPr="00991A56" w:rsidRDefault="00F91FB5" w:rsidP="00F91FB5">
      <w:pPr>
        <w:autoSpaceDE w:val="0"/>
        <w:autoSpaceDN w:val="0"/>
        <w:adjustRightInd w:val="0"/>
        <w:ind w:firstLine="708"/>
        <w:jc w:val="both"/>
        <w:rPr>
          <w:rFonts w:ascii="Abadi" w:hAnsi="Abadi" w:cs="*Verdana-Italic-14131-Identity-"/>
          <w:i/>
          <w:iCs/>
          <w:color w:val="151417"/>
          <w:sz w:val="21"/>
          <w:szCs w:val="21"/>
        </w:rPr>
      </w:pPr>
      <w:r w:rsidRPr="00991A56">
        <w:rPr>
          <w:rFonts w:ascii="Abadi" w:hAnsi="Abadi" w:cs="*Verdana-14132-Identity-H"/>
          <w:color w:val="151417"/>
          <w:sz w:val="21"/>
          <w:szCs w:val="21"/>
        </w:rPr>
        <w:t>De manera particular, el artículo 89, fracción XVII de la referida Constitución</w:t>
      </w:r>
      <w:r>
        <w:rPr>
          <w:rFonts w:ascii="Abadi" w:hAnsi="Abadi" w:cs="*Verdana-14132-Identity-H"/>
          <w:color w:val="151417"/>
          <w:sz w:val="21"/>
          <w:szCs w:val="21"/>
        </w:rPr>
        <w:t xml:space="preserve"> </w:t>
      </w:r>
      <w:r w:rsidRPr="00991A56">
        <w:rPr>
          <w:rFonts w:ascii="Abadi" w:hAnsi="Abadi" w:cs="*Verdana-14132-Identity-H"/>
          <w:color w:val="151417"/>
          <w:sz w:val="21"/>
          <w:szCs w:val="21"/>
        </w:rPr>
        <w:t xml:space="preserve">Política local establece como facultad del Consejo del Poder Judicial </w:t>
      </w:r>
      <w:r w:rsidRPr="00991A56">
        <w:rPr>
          <w:rFonts w:ascii="Abadi" w:hAnsi="Abadi" w:cs="*Verdana-Italic-14131-Identity-"/>
          <w:i/>
          <w:iCs/>
          <w:color w:val="151417"/>
          <w:sz w:val="21"/>
          <w:szCs w:val="21"/>
        </w:rPr>
        <w:t>«Formular el</w:t>
      </w:r>
      <w:r>
        <w:rPr>
          <w:rFonts w:ascii="Abadi" w:hAnsi="Abadi" w:cs="*Verdana-Italic-14131-Identity-"/>
          <w:i/>
          <w:iCs/>
          <w:color w:val="151417"/>
          <w:sz w:val="21"/>
          <w:szCs w:val="21"/>
        </w:rPr>
        <w:t xml:space="preserve"> </w:t>
      </w:r>
      <w:r w:rsidRPr="00991A56">
        <w:rPr>
          <w:rFonts w:ascii="Abadi" w:hAnsi="Abadi" w:cs="*Verdana-Italic-14131-Identity-"/>
          <w:i/>
          <w:iCs/>
          <w:color w:val="151417"/>
          <w:sz w:val="21"/>
          <w:szCs w:val="21"/>
        </w:rPr>
        <w:t>anteproyecto del presupuesto de egresos y someterlo a la aprobación del Pleno del</w:t>
      </w:r>
      <w:r>
        <w:rPr>
          <w:rFonts w:ascii="Abadi" w:hAnsi="Abadi" w:cs="*Verdana-Italic-14131-Identity-"/>
          <w:i/>
          <w:iCs/>
          <w:color w:val="151417"/>
          <w:sz w:val="21"/>
          <w:szCs w:val="21"/>
        </w:rPr>
        <w:t xml:space="preserve"> </w:t>
      </w:r>
      <w:r w:rsidRPr="00991A56">
        <w:rPr>
          <w:rFonts w:ascii="Abadi" w:hAnsi="Abadi" w:cs="*Verdana-Italic-14131-Identity-"/>
          <w:i/>
          <w:iCs/>
          <w:color w:val="151417"/>
          <w:sz w:val="21"/>
          <w:szCs w:val="21"/>
        </w:rPr>
        <w:t>Supremo Tribunal de Justicia</w:t>
      </w:r>
      <w:r w:rsidRPr="00991A56">
        <w:rPr>
          <w:rFonts w:ascii="Abadi" w:hAnsi="Abadi" w:cs="*Times New Roman-Italic-14128-I"/>
          <w:i/>
          <w:iCs/>
          <w:color w:val="151417"/>
          <w:sz w:val="21"/>
          <w:szCs w:val="21"/>
        </w:rPr>
        <w:t xml:space="preserve">1 </w:t>
      </w:r>
      <w:r w:rsidRPr="00991A56">
        <w:rPr>
          <w:rFonts w:ascii="Abadi" w:hAnsi="Abadi" w:cs="*Verdana-Italic-14131-Identity-"/>
          <w:i/>
          <w:iCs/>
          <w:color w:val="151417"/>
          <w:sz w:val="21"/>
          <w:szCs w:val="21"/>
        </w:rPr>
        <w:t>asimismo deberá incluir los tabuladores desglosados de</w:t>
      </w:r>
      <w:r>
        <w:rPr>
          <w:rFonts w:ascii="Abadi" w:hAnsi="Abadi" w:cs="*Verdana-Italic-14131-Identity-"/>
          <w:i/>
          <w:iCs/>
          <w:color w:val="151417"/>
          <w:sz w:val="21"/>
          <w:szCs w:val="21"/>
        </w:rPr>
        <w:t xml:space="preserve"> </w:t>
      </w:r>
      <w:r w:rsidRPr="00991A56">
        <w:rPr>
          <w:rFonts w:ascii="Abadi" w:hAnsi="Abadi" w:cs="*Verdana-Italic-14131-Identity-"/>
          <w:i/>
          <w:iCs/>
          <w:color w:val="151417"/>
          <w:sz w:val="21"/>
          <w:szCs w:val="21"/>
        </w:rPr>
        <w:t>las remuneraciones que se propone perciban sus servidores públicos».</w:t>
      </w:r>
    </w:p>
    <w:p w14:paraId="405C443A" w14:textId="77777777" w:rsidR="00F91FB5" w:rsidRPr="00991A56" w:rsidRDefault="00F91FB5" w:rsidP="00F91FB5">
      <w:pPr>
        <w:jc w:val="both"/>
        <w:rPr>
          <w:rFonts w:ascii="Abadi" w:hAnsi="Abadi" w:cs="*Verdana-Italic-14131-Identity-"/>
          <w:i/>
          <w:iCs/>
          <w:color w:val="151417"/>
          <w:sz w:val="21"/>
          <w:szCs w:val="21"/>
        </w:rPr>
      </w:pPr>
    </w:p>
    <w:p w14:paraId="2EB23971" w14:textId="77777777" w:rsidR="00F91FB5" w:rsidRDefault="00F91FB5" w:rsidP="00F91FB5">
      <w:pPr>
        <w:autoSpaceDE w:val="0"/>
        <w:autoSpaceDN w:val="0"/>
        <w:adjustRightInd w:val="0"/>
        <w:ind w:firstLine="708"/>
        <w:jc w:val="both"/>
        <w:rPr>
          <w:rFonts w:ascii="Abadi" w:hAnsi="Abadi" w:cs="*Verdana-Italic-12850-Identity-"/>
          <w:i/>
          <w:iCs/>
          <w:color w:val="131315"/>
          <w:sz w:val="21"/>
          <w:szCs w:val="21"/>
        </w:rPr>
      </w:pPr>
      <w:r w:rsidRPr="00991A56">
        <w:rPr>
          <w:rFonts w:ascii="Abadi" w:hAnsi="Abadi" w:cs="*Verdana-12849-Identity-H"/>
          <w:color w:val="131315"/>
          <w:sz w:val="21"/>
          <w:szCs w:val="21"/>
        </w:rPr>
        <w:t xml:space="preserve">Para el caso de los municipios, el artículo 115 fracción </w:t>
      </w:r>
      <w:r w:rsidRPr="00991A56">
        <w:rPr>
          <w:rFonts w:ascii="Abadi" w:hAnsi="Abadi" w:cs="*Calibri-12844-Identity-H"/>
          <w:color w:val="131315"/>
          <w:sz w:val="21"/>
          <w:szCs w:val="21"/>
        </w:rPr>
        <w:t xml:space="preserve">IV </w:t>
      </w:r>
      <w:r w:rsidRPr="00991A56">
        <w:rPr>
          <w:rFonts w:ascii="Abadi" w:hAnsi="Abadi" w:cs="*Verdana-12849-Identity-H"/>
          <w:color w:val="131315"/>
          <w:sz w:val="21"/>
          <w:szCs w:val="21"/>
        </w:rPr>
        <w:t>de nuestra Carta</w:t>
      </w:r>
      <w:r>
        <w:rPr>
          <w:rFonts w:ascii="Abadi" w:hAnsi="Abadi" w:cs="*Verdana-12849-Identity-H"/>
          <w:color w:val="131315"/>
          <w:sz w:val="21"/>
          <w:szCs w:val="21"/>
        </w:rPr>
        <w:t xml:space="preserve"> </w:t>
      </w:r>
      <w:r w:rsidRPr="00991A56">
        <w:rPr>
          <w:rFonts w:ascii="Abadi" w:hAnsi="Abadi" w:cs="*Verdana-12849-Identity-H"/>
          <w:color w:val="131315"/>
          <w:sz w:val="21"/>
          <w:szCs w:val="21"/>
        </w:rPr>
        <w:t xml:space="preserve">Magna establece que </w:t>
      </w:r>
      <w:r w:rsidRPr="00991A56">
        <w:rPr>
          <w:rFonts w:ascii="Abadi" w:hAnsi="Abadi" w:cs="*Verdana-Italic-12850-Identity-"/>
          <w:i/>
          <w:iCs/>
          <w:color w:val="131315"/>
          <w:sz w:val="21"/>
          <w:szCs w:val="21"/>
        </w:rPr>
        <w:t>«los municipios administrarán libremente su hacienda»;</w:t>
      </w:r>
      <w:r>
        <w:rPr>
          <w:rFonts w:ascii="Abadi" w:hAnsi="Abadi" w:cs="*Verdana-Italic-12850-Identity-"/>
          <w:i/>
          <w:iCs/>
          <w:color w:val="131315"/>
          <w:sz w:val="21"/>
          <w:szCs w:val="21"/>
        </w:rPr>
        <w:t xml:space="preserve"> </w:t>
      </w:r>
      <w:r w:rsidRPr="00991A56">
        <w:rPr>
          <w:rFonts w:ascii="Abadi" w:hAnsi="Abadi" w:cs="*Verdana-12849-Identity-H"/>
          <w:color w:val="131315"/>
          <w:sz w:val="21"/>
          <w:szCs w:val="21"/>
        </w:rPr>
        <w:t xml:space="preserve">precisando además que </w:t>
      </w:r>
      <w:r w:rsidRPr="00991A56">
        <w:rPr>
          <w:rFonts w:ascii="Abadi" w:hAnsi="Abadi" w:cs="*Verdana-Italic-12850-Identity-"/>
          <w:i/>
          <w:iCs/>
          <w:color w:val="131315"/>
          <w:sz w:val="21"/>
          <w:szCs w:val="21"/>
        </w:rPr>
        <w:t>«los recursos que integran la hacienda municipal serán</w:t>
      </w:r>
      <w:r>
        <w:rPr>
          <w:rFonts w:ascii="Abadi" w:hAnsi="Abadi" w:cs="*Verdana-Italic-12850-Identity-"/>
          <w:i/>
          <w:iCs/>
          <w:color w:val="131315"/>
          <w:sz w:val="21"/>
          <w:szCs w:val="21"/>
        </w:rPr>
        <w:t xml:space="preserve"> </w:t>
      </w:r>
      <w:r w:rsidRPr="00991A56">
        <w:rPr>
          <w:rFonts w:ascii="Abadi" w:hAnsi="Abadi" w:cs="*Verdana-Italic-12850-Identity-"/>
          <w:i/>
          <w:iCs/>
          <w:color w:val="131315"/>
          <w:sz w:val="21"/>
          <w:szCs w:val="21"/>
        </w:rPr>
        <w:t>ejercidos en forma directa por los ayuntamientos, o bien, por quien ellos autoricen,</w:t>
      </w:r>
      <w:r>
        <w:rPr>
          <w:rFonts w:ascii="Abadi" w:hAnsi="Abadi" w:cs="*Verdana-Italic-12850-Identity-"/>
          <w:i/>
          <w:iCs/>
          <w:color w:val="131315"/>
          <w:sz w:val="21"/>
          <w:szCs w:val="21"/>
        </w:rPr>
        <w:t xml:space="preserve"> </w:t>
      </w:r>
      <w:r w:rsidRPr="00991A56">
        <w:rPr>
          <w:rFonts w:ascii="Abadi" w:hAnsi="Abadi" w:cs="*Verdana-Italic-12850-Identity-"/>
          <w:i/>
          <w:iCs/>
          <w:color w:val="131315"/>
          <w:sz w:val="21"/>
          <w:szCs w:val="21"/>
        </w:rPr>
        <w:t>conforme a la ley&gt;&gt;.</w:t>
      </w:r>
    </w:p>
    <w:p w14:paraId="06526BC3" w14:textId="77777777" w:rsidR="00F91FB5" w:rsidRPr="00991A56" w:rsidRDefault="00F91FB5" w:rsidP="00F91FB5">
      <w:pPr>
        <w:autoSpaceDE w:val="0"/>
        <w:autoSpaceDN w:val="0"/>
        <w:adjustRightInd w:val="0"/>
        <w:jc w:val="both"/>
        <w:rPr>
          <w:rFonts w:ascii="Abadi" w:hAnsi="Abadi" w:cs="*Verdana-Italic-12850-Identity-"/>
          <w:i/>
          <w:iCs/>
          <w:color w:val="131315"/>
          <w:sz w:val="21"/>
          <w:szCs w:val="21"/>
        </w:rPr>
      </w:pPr>
    </w:p>
    <w:p w14:paraId="22FCC4CD" w14:textId="77777777" w:rsidR="00F91FB5" w:rsidRPr="00991A56" w:rsidRDefault="00F91FB5" w:rsidP="00F91FB5">
      <w:pPr>
        <w:autoSpaceDE w:val="0"/>
        <w:autoSpaceDN w:val="0"/>
        <w:adjustRightInd w:val="0"/>
        <w:ind w:firstLine="708"/>
        <w:jc w:val="both"/>
        <w:rPr>
          <w:rFonts w:ascii="Abadi" w:hAnsi="Abadi" w:cs="*Verdana-12849-Identity-H"/>
          <w:color w:val="111113"/>
          <w:sz w:val="21"/>
          <w:szCs w:val="21"/>
        </w:rPr>
      </w:pPr>
      <w:r w:rsidRPr="00991A56">
        <w:rPr>
          <w:rFonts w:ascii="Abadi" w:hAnsi="Abadi" w:cs="*Verdana-12849-Identity-H"/>
          <w:color w:val="111113"/>
          <w:sz w:val="21"/>
          <w:szCs w:val="21"/>
        </w:rPr>
        <w:t xml:space="preserve">De </w:t>
      </w:r>
      <w:r>
        <w:rPr>
          <w:rFonts w:ascii="Abadi" w:hAnsi="Abadi" w:cs="*Verdana-12849-Identity-H"/>
          <w:color w:val="111113"/>
          <w:sz w:val="21"/>
          <w:szCs w:val="21"/>
        </w:rPr>
        <w:t>i</w:t>
      </w:r>
      <w:r w:rsidRPr="00991A56">
        <w:rPr>
          <w:rFonts w:ascii="Abadi" w:hAnsi="Abadi" w:cs="*Verdana-12849-Identity-H"/>
          <w:color w:val="111113"/>
          <w:sz w:val="21"/>
          <w:szCs w:val="21"/>
        </w:rPr>
        <w:t>gual forma, el artículo 121 de la Constitución Política para el Estado de</w:t>
      </w:r>
      <w:r>
        <w:rPr>
          <w:rFonts w:ascii="Abadi" w:hAnsi="Abadi" w:cs="*Verdana-12849-Identity-H"/>
          <w:color w:val="111113"/>
          <w:sz w:val="21"/>
          <w:szCs w:val="21"/>
        </w:rPr>
        <w:t xml:space="preserve"> </w:t>
      </w:r>
      <w:r w:rsidRPr="00991A56">
        <w:rPr>
          <w:rFonts w:ascii="Abadi" w:hAnsi="Abadi" w:cs="*Verdana-12849-Identity-H"/>
          <w:color w:val="111113"/>
          <w:sz w:val="21"/>
          <w:szCs w:val="21"/>
        </w:rPr>
        <w:t>Guanajuato reitera las disposiciones referidas en el párrafo anterior; previéndose</w:t>
      </w:r>
      <w:r>
        <w:rPr>
          <w:rFonts w:ascii="Abadi" w:hAnsi="Abadi" w:cs="*Verdana-12849-Identity-H"/>
          <w:color w:val="111113"/>
          <w:sz w:val="21"/>
          <w:szCs w:val="21"/>
        </w:rPr>
        <w:t xml:space="preserve"> </w:t>
      </w:r>
      <w:r w:rsidRPr="00991A56">
        <w:rPr>
          <w:rFonts w:ascii="Abadi" w:hAnsi="Abadi" w:cs="*Verdana-12849-Identity-H"/>
          <w:color w:val="111113"/>
          <w:sz w:val="21"/>
          <w:szCs w:val="21"/>
        </w:rPr>
        <w:t>además en la fracción VII del artículo 117 de dicho ordenamiento constitucional la</w:t>
      </w:r>
      <w:r>
        <w:rPr>
          <w:rFonts w:ascii="Abadi" w:hAnsi="Abadi" w:cs="*Verdana-12849-Identity-H"/>
          <w:color w:val="111113"/>
          <w:sz w:val="21"/>
          <w:szCs w:val="21"/>
        </w:rPr>
        <w:t xml:space="preserve"> </w:t>
      </w:r>
      <w:r w:rsidRPr="00991A56">
        <w:rPr>
          <w:rFonts w:ascii="Abadi" w:hAnsi="Abadi" w:cs="*Verdana-12849-Identity-H"/>
          <w:color w:val="111113"/>
          <w:sz w:val="21"/>
          <w:szCs w:val="21"/>
        </w:rPr>
        <w:t>obligación de los ayuntamientos para formular y aprobar anualmente su presupuesto</w:t>
      </w:r>
      <w:r>
        <w:rPr>
          <w:rFonts w:ascii="Abadi" w:hAnsi="Abadi" w:cs="*Verdana-12849-Identity-H"/>
          <w:color w:val="111113"/>
          <w:sz w:val="21"/>
          <w:szCs w:val="21"/>
        </w:rPr>
        <w:t xml:space="preserve"> </w:t>
      </w:r>
      <w:r w:rsidRPr="00991A56">
        <w:rPr>
          <w:rFonts w:ascii="Abadi" w:hAnsi="Abadi" w:cs="*Verdana-12849-Identity-H"/>
          <w:color w:val="111113"/>
          <w:sz w:val="21"/>
          <w:szCs w:val="21"/>
        </w:rPr>
        <w:t>de egresos, con base en sus ingresos disponibles, desprendiéndose de dichas</w:t>
      </w:r>
      <w:r>
        <w:rPr>
          <w:rFonts w:ascii="Abadi" w:hAnsi="Abadi" w:cs="*Verdana-12849-Identity-H"/>
          <w:color w:val="111113"/>
          <w:sz w:val="21"/>
          <w:szCs w:val="21"/>
        </w:rPr>
        <w:t xml:space="preserve"> </w:t>
      </w:r>
      <w:r w:rsidRPr="00991A56">
        <w:rPr>
          <w:rFonts w:ascii="Abadi" w:hAnsi="Abadi" w:cs="*Verdana-12849-Identity-H"/>
          <w:color w:val="111113"/>
          <w:sz w:val="21"/>
          <w:szCs w:val="21"/>
        </w:rPr>
        <w:t>disposiciones que el único facultado para el ejercicio de los recursos que integran la</w:t>
      </w:r>
      <w:r>
        <w:rPr>
          <w:rFonts w:ascii="Abadi" w:hAnsi="Abadi" w:cs="*Verdana-12849-Identity-H"/>
          <w:color w:val="111113"/>
          <w:sz w:val="21"/>
          <w:szCs w:val="21"/>
        </w:rPr>
        <w:t xml:space="preserve"> </w:t>
      </w:r>
      <w:r w:rsidRPr="00991A56">
        <w:rPr>
          <w:rFonts w:ascii="Abadi" w:hAnsi="Abadi" w:cs="*Verdana-12849-Identity-H"/>
          <w:color w:val="111113"/>
          <w:sz w:val="21"/>
          <w:szCs w:val="21"/>
        </w:rPr>
        <w:t>hacienda pública municipal es el Ayuntamiento, encontrándose en dicho supuesto la</w:t>
      </w:r>
      <w:r>
        <w:rPr>
          <w:rFonts w:ascii="Abadi" w:hAnsi="Abadi" w:cs="*Verdana-12849-Identity-H"/>
          <w:color w:val="111113"/>
          <w:sz w:val="21"/>
          <w:szCs w:val="21"/>
        </w:rPr>
        <w:t xml:space="preserve"> </w:t>
      </w:r>
      <w:r w:rsidRPr="00991A56">
        <w:rPr>
          <w:rFonts w:ascii="Abadi" w:hAnsi="Abadi" w:cs="*Verdana-12849-Identity-H"/>
          <w:color w:val="111113"/>
          <w:sz w:val="21"/>
          <w:szCs w:val="21"/>
        </w:rPr>
        <w:t>determinación de las remuneraciones de los servidores públicos de Municipio,</w:t>
      </w:r>
      <w:r>
        <w:rPr>
          <w:rFonts w:ascii="Abadi" w:hAnsi="Abadi" w:cs="*Verdana-12849-Identity-H"/>
          <w:color w:val="111113"/>
          <w:sz w:val="21"/>
          <w:szCs w:val="21"/>
        </w:rPr>
        <w:t xml:space="preserve"> </w:t>
      </w:r>
      <w:r w:rsidRPr="00991A56">
        <w:rPr>
          <w:rFonts w:ascii="Abadi" w:hAnsi="Abadi" w:cs="*Verdana-12849-Identity-H"/>
          <w:color w:val="111113"/>
          <w:sz w:val="21"/>
          <w:szCs w:val="21"/>
        </w:rPr>
        <w:t>atendiendo a la situación y requerimientos específicos que demande el ejercicio y</w:t>
      </w:r>
      <w:r>
        <w:rPr>
          <w:rFonts w:ascii="Abadi" w:hAnsi="Abadi" w:cs="*Verdana-12849-Identity-H"/>
          <w:color w:val="111113"/>
          <w:sz w:val="21"/>
          <w:szCs w:val="21"/>
        </w:rPr>
        <w:t xml:space="preserve"> </w:t>
      </w:r>
      <w:r w:rsidRPr="00991A56">
        <w:rPr>
          <w:rFonts w:ascii="Abadi" w:hAnsi="Abadi" w:cs="*Verdana-12849-Identity-H"/>
          <w:color w:val="111113"/>
          <w:sz w:val="21"/>
          <w:szCs w:val="21"/>
        </w:rPr>
        <w:t>desarrollo de la función pública.</w:t>
      </w:r>
    </w:p>
    <w:p w14:paraId="56169F59" w14:textId="77777777" w:rsidR="00F91FB5" w:rsidRDefault="00F91FB5" w:rsidP="00F91FB5">
      <w:pPr>
        <w:autoSpaceDE w:val="0"/>
        <w:autoSpaceDN w:val="0"/>
        <w:adjustRightInd w:val="0"/>
        <w:jc w:val="both"/>
        <w:rPr>
          <w:rFonts w:ascii="Abadi" w:hAnsi="Abadi" w:cs="*Verdana-12849-Identity-H"/>
          <w:color w:val="121214"/>
          <w:sz w:val="21"/>
          <w:szCs w:val="21"/>
        </w:rPr>
      </w:pPr>
      <w:r w:rsidRPr="00991A56">
        <w:rPr>
          <w:rFonts w:ascii="Abadi" w:hAnsi="Abadi" w:cs="*Verdana-12849-Identity-H"/>
          <w:color w:val="121214"/>
          <w:sz w:val="21"/>
          <w:szCs w:val="21"/>
        </w:rPr>
        <w:t>Por otra parte, nuestra Constitución Federal, en su artículo 127 contempla que</w:t>
      </w:r>
      <w:r>
        <w:rPr>
          <w:rFonts w:ascii="Abadi" w:hAnsi="Abadi" w:cs="*Verdana-12849-Identity-H"/>
          <w:color w:val="121214"/>
          <w:sz w:val="21"/>
          <w:szCs w:val="21"/>
        </w:rPr>
        <w:t xml:space="preserve"> </w:t>
      </w:r>
      <w:r w:rsidRPr="00991A56">
        <w:rPr>
          <w:rFonts w:ascii="Abadi" w:hAnsi="Abadi" w:cs="*Verdana-12849-Identity-H"/>
          <w:color w:val="121214"/>
          <w:sz w:val="21"/>
          <w:szCs w:val="21"/>
        </w:rPr>
        <w:t>los servidores públicos de las entidades federativas, de los municipios, así como de sus</w:t>
      </w:r>
      <w:r>
        <w:rPr>
          <w:rFonts w:ascii="Abadi" w:hAnsi="Abadi" w:cs="*Verdana-12849-Identity-H"/>
          <w:color w:val="121214"/>
          <w:sz w:val="21"/>
          <w:szCs w:val="21"/>
        </w:rPr>
        <w:t xml:space="preserve"> </w:t>
      </w:r>
      <w:r w:rsidRPr="00991A56">
        <w:rPr>
          <w:rFonts w:ascii="Abadi" w:hAnsi="Abadi" w:cs="*Verdana-12849-Identity-H"/>
          <w:color w:val="121214"/>
          <w:sz w:val="21"/>
          <w:szCs w:val="21"/>
        </w:rPr>
        <w:t>administraciones paraestatales y paramunicipales, fideicomisos públicos, instituciones</w:t>
      </w:r>
      <w:r>
        <w:rPr>
          <w:rFonts w:ascii="Abadi" w:hAnsi="Abadi" w:cs="*Verdana-12849-Identity-H"/>
          <w:color w:val="121214"/>
          <w:sz w:val="21"/>
          <w:szCs w:val="21"/>
        </w:rPr>
        <w:t xml:space="preserve"> </w:t>
      </w:r>
      <w:r w:rsidRPr="00991A56">
        <w:rPr>
          <w:rFonts w:ascii="Abadi" w:hAnsi="Abadi" w:cs="*Verdana-12849-Identity-H"/>
          <w:color w:val="121214"/>
          <w:sz w:val="21"/>
          <w:szCs w:val="21"/>
        </w:rPr>
        <w:t xml:space="preserve">y organismos autónomos, </w:t>
      </w:r>
      <w:r w:rsidRPr="00991A56">
        <w:rPr>
          <w:rFonts w:ascii="Abadi" w:hAnsi="Abadi" w:cs="*Calibri-12844-Identity-H"/>
          <w:color w:val="121214"/>
          <w:sz w:val="21"/>
          <w:szCs w:val="21"/>
        </w:rPr>
        <w:t xml:space="preserve">y </w:t>
      </w:r>
      <w:r w:rsidRPr="00991A56">
        <w:rPr>
          <w:rFonts w:ascii="Abadi" w:hAnsi="Abadi" w:cs="*Verdana-12849-Identity-H"/>
          <w:color w:val="121214"/>
          <w:sz w:val="21"/>
          <w:szCs w:val="21"/>
        </w:rPr>
        <w:t>cualquier otro ente público, recibirán una remuneración</w:t>
      </w:r>
      <w:r>
        <w:rPr>
          <w:rFonts w:ascii="Abadi" w:hAnsi="Abadi" w:cs="*Verdana-12849-Identity-H"/>
          <w:color w:val="121214"/>
          <w:sz w:val="21"/>
          <w:szCs w:val="21"/>
        </w:rPr>
        <w:t xml:space="preserve"> </w:t>
      </w:r>
      <w:r w:rsidRPr="00991A56">
        <w:rPr>
          <w:rFonts w:ascii="Abadi" w:hAnsi="Abadi" w:cs="*Verdana-12849-Identity-H"/>
          <w:color w:val="121214"/>
          <w:sz w:val="21"/>
          <w:szCs w:val="21"/>
        </w:rPr>
        <w:t>adecuada e irrenunciable por el desempeño de su función, empleo, cargo o comisión,</w:t>
      </w:r>
      <w:r>
        <w:rPr>
          <w:rFonts w:ascii="Abadi" w:hAnsi="Abadi" w:cs="*Verdana-12849-Identity-H"/>
          <w:color w:val="121214"/>
          <w:sz w:val="21"/>
          <w:szCs w:val="21"/>
        </w:rPr>
        <w:t xml:space="preserve"> </w:t>
      </w:r>
      <w:r w:rsidRPr="00991A56">
        <w:rPr>
          <w:rFonts w:ascii="Abadi" w:hAnsi="Abadi" w:cs="*Verdana-12849-Identity-H"/>
          <w:color w:val="121214"/>
          <w:sz w:val="21"/>
          <w:szCs w:val="21"/>
        </w:rPr>
        <w:t>que deberá ser proporcional a sus responsabilidades; estableciendo las bases sobre las</w:t>
      </w:r>
      <w:r>
        <w:rPr>
          <w:rFonts w:ascii="Abadi" w:hAnsi="Abadi" w:cs="*Verdana-12849-Identity-H"/>
          <w:color w:val="121214"/>
          <w:sz w:val="21"/>
          <w:szCs w:val="21"/>
        </w:rPr>
        <w:t xml:space="preserve"> </w:t>
      </w:r>
      <w:r w:rsidRPr="00991A56">
        <w:rPr>
          <w:rFonts w:ascii="Abadi" w:hAnsi="Abadi" w:cs="*Verdana-12849-Identity-H"/>
          <w:color w:val="121214"/>
          <w:sz w:val="21"/>
          <w:szCs w:val="21"/>
        </w:rPr>
        <w:t>cuales dichas remuneraciones deberán ser determinadas de forma anual y</w:t>
      </w:r>
      <w:r>
        <w:rPr>
          <w:rFonts w:ascii="Abadi" w:hAnsi="Abadi" w:cs="*Verdana-12849-Identity-H"/>
          <w:color w:val="121214"/>
          <w:sz w:val="21"/>
          <w:szCs w:val="21"/>
        </w:rPr>
        <w:t xml:space="preserve"> </w:t>
      </w:r>
      <w:r w:rsidRPr="00991A56">
        <w:rPr>
          <w:rFonts w:ascii="Abadi" w:hAnsi="Abadi" w:cs="*Verdana-12849-Identity-H"/>
          <w:color w:val="121214"/>
          <w:sz w:val="21"/>
          <w:szCs w:val="21"/>
        </w:rPr>
        <w:t>equitativamente en los presupuestos de egresos correspondientes.</w:t>
      </w:r>
    </w:p>
    <w:p w14:paraId="3CEBFFFC" w14:textId="77777777" w:rsidR="00F91FB5" w:rsidRPr="00991A56" w:rsidRDefault="00F91FB5" w:rsidP="00F91FB5">
      <w:pPr>
        <w:autoSpaceDE w:val="0"/>
        <w:autoSpaceDN w:val="0"/>
        <w:adjustRightInd w:val="0"/>
        <w:jc w:val="both"/>
        <w:rPr>
          <w:rFonts w:ascii="Abadi" w:hAnsi="Abadi" w:cs="*Verdana-12849-Identity-H"/>
          <w:color w:val="121214"/>
          <w:sz w:val="21"/>
          <w:szCs w:val="21"/>
        </w:rPr>
      </w:pPr>
    </w:p>
    <w:p w14:paraId="44C83A8B" w14:textId="77777777" w:rsidR="00F91FB5" w:rsidRDefault="00F91FB5" w:rsidP="00F91FB5">
      <w:pPr>
        <w:autoSpaceDE w:val="0"/>
        <w:autoSpaceDN w:val="0"/>
        <w:adjustRightInd w:val="0"/>
        <w:ind w:firstLine="708"/>
        <w:jc w:val="both"/>
        <w:rPr>
          <w:rFonts w:ascii="Abadi" w:hAnsi="Abadi" w:cs="*Verdana-12849-Identity-H"/>
          <w:color w:val="121215"/>
          <w:sz w:val="21"/>
          <w:szCs w:val="21"/>
        </w:rPr>
      </w:pPr>
      <w:r w:rsidRPr="00991A56">
        <w:rPr>
          <w:rFonts w:ascii="Abadi" w:hAnsi="Abadi" w:cs="*Verdana-12849-Identity-H"/>
          <w:color w:val="121215"/>
          <w:sz w:val="21"/>
          <w:szCs w:val="21"/>
        </w:rPr>
        <w:t>Considerando lo establecido en nuestro marco constitucional consideramos que</w:t>
      </w:r>
      <w:r>
        <w:rPr>
          <w:rFonts w:ascii="Abadi" w:hAnsi="Abadi" w:cs="*Verdana-12849-Identity-H"/>
          <w:color w:val="121215"/>
          <w:sz w:val="21"/>
          <w:szCs w:val="21"/>
        </w:rPr>
        <w:t xml:space="preserve"> </w:t>
      </w:r>
      <w:r w:rsidRPr="00991A56">
        <w:rPr>
          <w:rFonts w:ascii="Abadi" w:hAnsi="Abadi" w:cs="*Verdana-12849-Identity-H"/>
          <w:color w:val="121215"/>
          <w:sz w:val="21"/>
          <w:szCs w:val="21"/>
        </w:rPr>
        <w:t>la iniciativa en los términos planteados resulta Improcedente pues no estaría acorde a</w:t>
      </w:r>
      <w:r>
        <w:rPr>
          <w:rFonts w:ascii="Abadi" w:hAnsi="Abadi" w:cs="*Verdana-12849-Identity-H"/>
          <w:color w:val="121215"/>
          <w:sz w:val="21"/>
          <w:szCs w:val="21"/>
        </w:rPr>
        <w:t xml:space="preserve"> </w:t>
      </w:r>
      <w:r w:rsidRPr="00991A56">
        <w:rPr>
          <w:rFonts w:ascii="Abadi" w:hAnsi="Abadi" w:cs="*Verdana-12849-Identity-H"/>
          <w:color w:val="121215"/>
          <w:sz w:val="21"/>
          <w:szCs w:val="21"/>
        </w:rPr>
        <w:t>las disposiciones constitucionales en las que ya se contemplan los principios de</w:t>
      </w:r>
      <w:r>
        <w:rPr>
          <w:rFonts w:ascii="Abadi" w:hAnsi="Abadi" w:cs="*Verdana-12849-Identity-H"/>
          <w:color w:val="121215"/>
          <w:sz w:val="21"/>
          <w:szCs w:val="21"/>
        </w:rPr>
        <w:t xml:space="preserve"> </w:t>
      </w:r>
      <w:r w:rsidRPr="00991A56">
        <w:rPr>
          <w:rFonts w:ascii="Abadi" w:hAnsi="Abadi" w:cs="*Verdana-12849-Identity-H"/>
          <w:color w:val="121215"/>
          <w:sz w:val="21"/>
          <w:szCs w:val="21"/>
        </w:rPr>
        <w:t>racionalidad, austeridad e imparcialidad para los conceptos de remuneraciones.</w:t>
      </w:r>
    </w:p>
    <w:p w14:paraId="507AB1B9" w14:textId="77777777" w:rsidR="00F91FB5" w:rsidRPr="00991A56" w:rsidRDefault="00F91FB5" w:rsidP="00F91FB5">
      <w:pPr>
        <w:autoSpaceDE w:val="0"/>
        <w:autoSpaceDN w:val="0"/>
        <w:adjustRightInd w:val="0"/>
        <w:jc w:val="both"/>
        <w:rPr>
          <w:rFonts w:ascii="Abadi" w:hAnsi="Abadi" w:cs="*Verdana-12849-Identity-H"/>
          <w:color w:val="121215"/>
          <w:sz w:val="21"/>
          <w:szCs w:val="21"/>
        </w:rPr>
      </w:pPr>
    </w:p>
    <w:p w14:paraId="0E00EE23" w14:textId="77777777" w:rsidR="00F91FB5" w:rsidRPr="00991A56" w:rsidRDefault="00F91FB5" w:rsidP="00F91FB5">
      <w:pPr>
        <w:autoSpaceDE w:val="0"/>
        <w:autoSpaceDN w:val="0"/>
        <w:adjustRightInd w:val="0"/>
        <w:ind w:firstLine="708"/>
        <w:jc w:val="both"/>
        <w:rPr>
          <w:rFonts w:ascii="Abadi" w:hAnsi="Abadi" w:cs="*Verdana-12849-Identity-H"/>
          <w:color w:val="131215"/>
          <w:sz w:val="21"/>
          <w:szCs w:val="21"/>
        </w:rPr>
      </w:pPr>
      <w:r w:rsidRPr="00991A56">
        <w:rPr>
          <w:rFonts w:ascii="Abadi" w:hAnsi="Abadi" w:cs="*Verdana-12849-Identity-H"/>
          <w:color w:val="131215"/>
          <w:sz w:val="21"/>
          <w:szCs w:val="21"/>
        </w:rPr>
        <w:t>Aunado a lo anterior, al proponerse en la iniciativa que el Comité de</w:t>
      </w:r>
      <w:r>
        <w:rPr>
          <w:rFonts w:ascii="Abadi" w:hAnsi="Abadi" w:cs="*Verdana-12849-Identity-H"/>
          <w:color w:val="131215"/>
          <w:sz w:val="21"/>
          <w:szCs w:val="21"/>
        </w:rPr>
        <w:t xml:space="preserve"> </w:t>
      </w:r>
      <w:r w:rsidRPr="00991A56">
        <w:rPr>
          <w:rFonts w:ascii="Abadi" w:hAnsi="Abadi" w:cs="*Verdana-12849-Identity-H"/>
          <w:color w:val="131215"/>
          <w:sz w:val="21"/>
          <w:szCs w:val="21"/>
        </w:rPr>
        <w:t>Estructuración Salarial además de determinar las remuneraciones de los servidores</w:t>
      </w:r>
      <w:r>
        <w:rPr>
          <w:rFonts w:ascii="Abadi" w:hAnsi="Abadi" w:cs="*Verdana-12849-Identity-H"/>
          <w:color w:val="131215"/>
          <w:sz w:val="21"/>
          <w:szCs w:val="21"/>
        </w:rPr>
        <w:t xml:space="preserve"> </w:t>
      </w:r>
      <w:r w:rsidRPr="00991A56">
        <w:rPr>
          <w:rFonts w:ascii="Abadi" w:hAnsi="Abadi" w:cs="*Verdana-12849-Identity-H"/>
          <w:color w:val="131215"/>
          <w:sz w:val="21"/>
          <w:szCs w:val="21"/>
        </w:rPr>
        <w:t>públicos de los tres poderes, las remita de manera directa al Poder Legislativo,</w:t>
      </w:r>
      <w:r>
        <w:rPr>
          <w:rFonts w:ascii="Abadi" w:hAnsi="Abadi" w:cs="*Verdana-12849-Identity-H"/>
          <w:color w:val="131215"/>
          <w:sz w:val="21"/>
          <w:szCs w:val="21"/>
        </w:rPr>
        <w:t xml:space="preserve"> </w:t>
      </w:r>
      <w:r w:rsidRPr="00991A56">
        <w:rPr>
          <w:rFonts w:ascii="Abadi" w:hAnsi="Abadi" w:cs="*Verdana-12849-Identity-H"/>
          <w:color w:val="131215"/>
          <w:sz w:val="21"/>
          <w:szCs w:val="21"/>
        </w:rPr>
        <w:t>violentaría la previsión constitucional a efecto de que los poderes sean quienes las</w:t>
      </w:r>
      <w:r>
        <w:rPr>
          <w:rFonts w:ascii="Abadi" w:hAnsi="Abadi" w:cs="*Verdana-12849-Identity-H"/>
          <w:color w:val="131215"/>
          <w:sz w:val="21"/>
          <w:szCs w:val="21"/>
        </w:rPr>
        <w:t xml:space="preserve"> </w:t>
      </w:r>
      <w:r w:rsidRPr="00991A56">
        <w:rPr>
          <w:rFonts w:ascii="Abadi" w:hAnsi="Abadi" w:cs="*Verdana-12849-Identity-H"/>
          <w:color w:val="131215"/>
          <w:sz w:val="21"/>
          <w:szCs w:val="21"/>
        </w:rPr>
        <w:t>incorporen en su proyecto de presupuesto previo a su remisión al Congreso del Estado.</w:t>
      </w:r>
    </w:p>
    <w:p w14:paraId="54BC65B8" w14:textId="77777777" w:rsidR="00F91FB5" w:rsidRPr="00991A56" w:rsidRDefault="00F91FB5" w:rsidP="00F91FB5">
      <w:pPr>
        <w:jc w:val="both"/>
        <w:rPr>
          <w:rFonts w:ascii="Abadi" w:hAnsi="Abadi" w:cs="*Verdana-12849-Identity-H"/>
          <w:color w:val="131215"/>
          <w:sz w:val="21"/>
          <w:szCs w:val="21"/>
        </w:rPr>
      </w:pPr>
    </w:p>
    <w:p w14:paraId="5A9715BD" w14:textId="77777777" w:rsidR="00F91FB5" w:rsidRDefault="00F91FB5" w:rsidP="00F91FB5">
      <w:pPr>
        <w:autoSpaceDE w:val="0"/>
        <w:autoSpaceDN w:val="0"/>
        <w:adjustRightInd w:val="0"/>
        <w:ind w:firstLine="708"/>
        <w:jc w:val="both"/>
        <w:rPr>
          <w:rFonts w:ascii="Abadi" w:hAnsi="Abadi" w:cs="*Verdana-14073-Identity-H"/>
          <w:color w:val="131215"/>
          <w:sz w:val="21"/>
          <w:szCs w:val="21"/>
        </w:rPr>
      </w:pPr>
      <w:r w:rsidRPr="00991A56">
        <w:rPr>
          <w:rFonts w:ascii="Abadi" w:hAnsi="Abadi" w:cs="*Verdana-14073-Identity-H"/>
          <w:color w:val="131215"/>
          <w:sz w:val="21"/>
          <w:szCs w:val="21"/>
        </w:rPr>
        <w:t>De igual manera es de precisar que en diversos cuerpos normativos como la Ley</w:t>
      </w:r>
      <w:r>
        <w:rPr>
          <w:rFonts w:ascii="Abadi" w:hAnsi="Abadi" w:cs="*Verdana-14073-Identity-H"/>
          <w:color w:val="131215"/>
          <w:sz w:val="21"/>
          <w:szCs w:val="21"/>
        </w:rPr>
        <w:t xml:space="preserve"> </w:t>
      </w:r>
      <w:r w:rsidRPr="00991A56">
        <w:rPr>
          <w:rFonts w:ascii="Abadi" w:hAnsi="Abadi" w:cs="*Verdana-14073-Identity-H"/>
          <w:color w:val="131215"/>
          <w:sz w:val="21"/>
          <w:szCs w:val="21"/>
        </w:rPr>
        <w:t>Federal de Presupuesto y Responsabilidad Hacendaria, la Ley de Disciplina Financiera</w:t>
      </w:r>
      <w:r>
        <w:rPr>
          <w:rFonts w:ascii="Abadi" w:hAnsi="Abadi" w:cs="*Verdana-14073-Identity-H"/>
          <w:color w:val="131215"/>
          <w:sz w:val="21"/>
          <w:szCs w:val="21"/>
        </w:rPr>
        <w:t xml:space="preserve"> </w:t>
      </w:r>
      <w:r w:rsidRPr="00991A56">
        <w:rPr>
          <w:rFonts w:ascii="Abadi" w:hAnsi="Abadi" w:cs="*Verdana-14073-Identity-H"/>
          <w:color w:val="131215"/>
          <w:sz w:val="21"/>
          <w:szCs w:val="21"/>
        </w:rPr>
        <w:t>de las Entidades Federativas los municipios y Ley para el Ejercicio y Control de los</w:t>
      </w:r>
      <w:r>
        <w:rPr>
          <w:rFonts w:ascii="Abadi" w:hAnsi="Abadi" w:cs="*Verdana-14073-Identity-H"/>
          <w:color w:val="131215"/>
          <w:sz w:val="21"/>
          <w:szCs w:val="21"/>
        </w:rPr>
        <w:t xml:space="preserve"> </w:t>
      </w:r>
      <w:r w:rsidRPr="00991A56">
        <w:rPr>
          <w:rFonts w:ascii="Abadi" w:hAnsi="Abadi" w:cs="*Verdana-14073-Identity-H"/>
          <w:color w:val="131215"/>
          <w:sz w:val="21"/>
          <w:szCs w:val="21"/>
        </w:rPr>
        <w:t>Recursos Públicos para el Estado y los Municipios de Guanajuato, por mencionar</w:t>
      </w:r>
      <w:r>
        <w:rPr>
          <w:rFonts w:ascii="Abadi" w:hAnsi="Abadi" w:cs="*Verdana-14073-Identity-H"/>
          <w:color w:val="131215"/>
          <w:sz w:val="21"/>
          <w:szCs w:val="21"/>
        </w:rPr>
        <w:t xml:space="preserve"> </w:t>
      </w:r>
      <w:r w:rsidRPr="00991A56">
        <w:rPr>
          <w:rFonts w:ascii="Abadi" w:hAnsi="Abadi" w:cs="*Verdana-14073-Identity-H"/>
          <w:color w:val="131215"/>
          <w:sz w:val="21"/>
          <w:szCs w:val="21"/>
        </w:rPr>
        <w:t>algunos se establecen disposiciones legales en materia de remuneraciones de los</w:t>
      </w:r>
      <w:r>
        <w:rPr>
          <w:rFonts w:ascii="Abadi" w:hAnsi="Abadi" w:cs="*Verdana-14073-Identity-H"/>
          <w:color w:val="131215"/>
          <w:sz w:val="21"/>
          <w:szCs w:val="21"/>
        </w:rPr>
        <w:t xml:space="preserve"> </w:t>
      </w:r>
      <w:r w:rsidRPr="00991A56">
        <w:rPr>
          <w:rFonts w:ascii="Abadi" w:hAnsi="Abadi" w:cs="*Verdana-14073-Identity-H"/>
          <w:color w:val="131215"/>
          <w:sz w:val="21"/>
          <w:szCs w:val="21"/>
        </w:rPr>
        <w:t>servidores públicos.</w:t>
      </w:r>
    </w:p>
    <w:p w14:paraId="7129E1F4" w14:textId="77777777" w:rsidR="00F91FB5" w:rsidRPr="00991A56" w:rsidRDefault="00F91FB5" w:rsidP="00F91FB5">
      <w:pPr>
        <w:autoSpaceDE w:val="0"/>
        <w:autoSpaceDN w:val="0"/>
        <w:adjustRightInd w:val="0"/>
        <w:jc w:val="both"/>
        <w:rPr>
          <w:rFonts w:ascii="Abadi" w:hAnsi="Abadi" w:cs="*Verdana-14073-Identity-H"/>
          <w:color w:val="131215"/>
          <w:sz w:val="21"/>
          <w:szCs w:val="21"/>
        </w:rPr>
      </w:pPr>
    </w:p>
    <w:p w14:paraId="6ECE35DD" w14:textId="77777777" w:rsidR="00F91FB5" w:rsidRDefault="00F91FB5" w:rsidP="00F91FB5">
      <w:pPr>
        <w:autoSpaceDE w:val="0"/>
        <w:autoSpaceDN w:val="0"/>
        <w:adjustRightInd w:val="0"/>
        <w:ind w:firstLine="708"/>
        <w:jc w:val="both"/>
        <w:rPr>
          <w:rFonts w:ascii="Abadi" w:hAnsi="Abadi" w:cs="*Verdana-14073-Identity-H"/>
          <w:color w:val="131315"/>
          <w:sz w:val="21"/>
          <w:szCs w:val="21"/>
        </w:rPr>
      </w:pPr>
      <w:r w:rsidRPr="00991A56">
        <w:rPr>
          <w:rFonts w:ascii="Abadi" w:hAnsi="Abadi" w:cs="*Verdana-14073-Identity-H"/>
          <w:color w:val="131315"/>
          <w:sz w:val="21"/>
          <w:szCs w:val="21"/>
        </w:rPr>
        <w:t>Aunado a lo anterior, actualmente ya se prevé la existencia en la Ley para el</w:t>
      </w:r>
      <w:r>
        <w:rPr>
          <w:rFonts w:ascii="Abadi" w:hAnsi="Abadi" w:cs="*Verdana-14073-Identity-H"/>
          <w:color w:val="131315"/>
          <w:sz w:val="21"/>
          <w:szCs w:val="21"/>
        </w:rPr>
        <w:t xml:space="preserve"> </w:t>
      </w:r>
      <w:r w:rsidRPr="00991A56">
        <w:rPr>
          <w:rFonts w:ascii="Abadi" w:hAnsi="Abadi" w:cs="*Verdana-14073-Identity-H"/>
          <w:color w:val="131315"/>
          <w:sz w:val="21"/>
          <w:szCs w:val="21"/>
        </w:rPr>
        <w:t>Ejercicio y Control de los Recursos Públicos para el Estado y los Municipios de</w:t>
      </w:r>
      <w:r>
        <w:rPr>
          <w:rFonts w:ascii="Abadi" w:hAnsi="Abadi" w:cs="*Verdana-14073-Identity-H"/>
          <w:color w:val="131315"/>
          <w:sz w:val="21"/>
          <w:szCs w:val="21"/>
        </w:rPr>
        <w:t xml:space="preserve"> </w:t>
      </w:r>
      <w:r w:rsidRPr="00991A56">
        <w:rPr>
          <w:rFonts w:ascii="Abadi" w:hAnsi="Abadi" w:cs="*Verdana-14073-Identity-H"/>
          <w:color w:val="131315"/>
          <w:sz w:val="21"/>
          <w:szCs w:val="21"/>
        </w:rPr>
        <w:t>Guanajuato, del Comité de Estructuración Salarial que es el encargado de proponer los</w:t>
      </w:r>
      <w:r>
        <w:rPr>
          <w:rFonts w:ascii="Abadi" w:hAnsi="Abadi" w:cs="*Verdana-14073-Identity-H"/>
          <w:color w:val="131315"/>
          <w:sz w:val="21"/>
          <w:szCs w:val="21"/>
        </w:rPr>
        <w:t xml:space="preserve"> </w:t>
      </w:r>
      <w:r w:rsidRPr="00991A56">
        <w:rPr>
          <w:rFonts w:ascii="Abadi" w:hAnsi="Abadi" w:cs="*Verdana-14073-Identity-H"/>
          <w:color w:val="131315"/>
          <w:sz w:val="21"/>
          <w:szCs w:val="21"/>
        </w:rPr>
        <w:t>criterios que servirán de base para determinar las remuneraciones salariales de los</w:t>
      </w:r>
      <w:r>
        <w:rPr>
          <w:rFonts w:ascii="Abadi" w:hAnsi="Abadi" w:cs="*Verdana-14073-Identity-H"/>
          <w:color w:val="131315"/>
          <w:sz w:val="21"/>
          <w:szCs w:val="21"/>
        </w:rPr>
        <w:t xml:space="preserve"> </w:t>
      </w:r>
      <w:r w:rsidRPr="00991A56">
        <w:rPr>
          <w:rFonts w:ascii="Abadi" w:hAnsi="Abadi" w:cs="*Verdana-14073-Identity-H"/>
          <w:color w:val="131315"/>
          <w:sz w:val="21"/>
          <w:szCs w:val="21"/>
        </w:rPr>
        <w:t>servidores públicos del Estado, es decir dicho Comité propone los criterios técnicos</w:t>
      </w:r>
      <w:r>
        <w:rPr>
          <w:rFonts w:ascii="Abadi" w:hAnsi="Abadi" w:cs="*Verdana-14073-Identity-H"/>
          <w:color w:val="131315"/>
          <w:sz w:val="21"/>
          <w:szCs w:val="21"/>
        </w:rPr>
        <w:t xml:space="preserve"> </w:t>
      </w:r>
      <w:r w:rsidRPr="00991A56">
        <w:rPr>
          <w:rFonts w:ascii="Abadi" w:hAnsi="Abadi" w:cs="*Verdana-14073-Identity-H"/>
          <w:color w:val="131315"/>
          <w:sz w:val="21"/>
          <w:szCs w:val="21"/>
        </w:rPr>
        <w:t>para la determinación de las remuneraciones de los servidores públicos del Estado,</w:t>
      </w:r>
      <w:r>
        <w:rPr>
          <w:rFonts w:ascii="Abadi" w:hAnsi="Abadi" w:cs="*Verdana-14073-Identity-H"/>
          <w:color w:val="131315"/>
          <w:sz w:val="21"/>
          <w:szCs w:val="21"/>
        </w:rPr>
        <w:t xml:space="preserve"> </w:t>
      </w:r>
      <w:r w:rsidRPr="00991A56">
        <w:rPr>
          <w:rFonts w:ascii="Abadi" w:hAnsi="Abadi" w:cs="*Verdana-14073-Identity-H"/>
          <w:color w:val="131315"/>
          <w:sz w:val="21"/>
          <w:szCs w:val="21"/>
        </w:rPr>
        <w:t>pero cada Poder y organismo autónomo determinarán las propuestas de</w:t>
      </w:r>
      <w:r>
        <w:rPr>
          <w:rFonts w:ascii="Abadi" w:hAnsi="Abadi" w:cs="*Verdana-14073-Identity-H"/>
          <w:color w:val="131315"/>
          <w:sz w:val="21"/>
          <w:szCs w:val="21"/>
        </w:rPr>
        <w:t xml:space="preserve"> </w:t>
      </w:r>
      <w:r w:rsidRPr="00991A56">
        <w:rPr>
          <w:rFonts w:ascii="Abadi" w:hAnsi="Abadi" w:cs="*Verdana-14073-Identity-H"/>
          <w:color w:val="131315"/>
          <w:sz w:val="21"/>
          <w:szCs w:val="21"/>
        </w:rPr>
        <w:t>remuneraciones de sus servidores públicos en sus respectivos proyectos de</w:t>
      </w:r>
      <w:r>
        <w:rPr>
          <w:rFonts w:ascii="Abadi" w:hAnsi="Abadi" w:cs="*Verdana-14073-Identity-H"/>
          <w:color w:val="131315"/>
          <w:sz w:val="21"/>
          <w:szCs w:val="21"/>
        </w:rPr>
        <w:t xml:space="preserve"> </w:t>
      </w:r>
      <w:r w:rsidRPr="00991A56">
        <w:rPr>
          <w:rFonts w:ascii="Abadi" w:hAnsi="Abadi" w:cs="*Verdana-14073-Identity-H"/>
          <w:color w:val="131315"/>
          <w:sz w:val="21"/>
          <w:szCs w:val="21"/>
        </w:rPr>
        <w:t>presupuestos, atendiendo a su autonomía.</w:t>
      </w:r>
    </w:p>
    <w:p w14:paraId="77F55299" w14:textId="77777777" w:rsidR="00F91FB5" w:rsidRPr="00991A56" w:rsidRDefault="00F91FB5" w:rsidP="00F91FB5">
      <w:pPr>
        <w:autoSpaceDE w:val="0"/>
        <w:autoSpaceDN w:val="0"/>
        <w:adjustRightInd w:val="0"/>
        <w:jc w:val="both"/>
        <w:rPr>
          <w:rFonts w:ascii="Abadi" w:hAnsi="Abadi" w:cs="*Verdana-14073-Identity-H"/>
          <w:color w:val="131315"/>
          <w:sz w:val="21"/>
          <w:szCs w:val="21"/>
        </w:rPr>
      </w:pPr>
    </w:p>
    <w:p w14:paraId="196EA667" w14:textId="77777777" w:rsidR="00F91FB5" w:rsidRDefault="00F91FB5" w:rsidP="00F91FB5">
      <w:pPr>
        <w:autoSpaceDE w:val="0"/>
        <w:autoSpaceDN w:val="0"/>
        <w:adjustRightInd w:val="0"/>
        <w:ind w:firstLine="708"/>
        <w:jc w:val="both"/>
        <w:rPr>
          <w:rFonts w:ascii="Abadi" w:hAnsi="Abadi" w:cs="*Verdana-14073-Identity-H"/>
          <w:color w:val="131314"/>
          <w:sz w:val="21"/>
          <w:szCs w:val="21"/>
        </w:rPr>
      </w:pPr>
      <w:r w:rsidRPr="00991A56">
        <w:rPr>
          <w:rFonts w:ascii="Abadi" w:hAnsi="Abadi" w:cs="*Verdana-14073-Identity-H"/>
          <w:color w:val="131314"/>
          <w:sz w:val="21"/>
          <w:szCs w:val="21"/>
        </w:rPr>
        <w:t>Por otra parte, no es adecuado hablar de una homologación pues no es</w:t>
      </w:r>
      <w:r>
        <w:rPr>
          <w:rFonts w:ascii="Abadi" w:hAnsi="Abadi" w:cs="*Verdana-14073-Identity-H"/>
          <w:color w:val="131314"/>
          <w:sz w:val="21"/>
          <w:szCs w:val="21"/>
        </w:rPr>
        <w:t xml:space="preserve"> </w:t>
      </w:r>
      <w:r w:rsidRPr="00991A56">
        <w:rPr>
          <w:rFonts w:ascii="Abadi" w:hAnsi="Abadi" w:cs="*Verdana-14073-Identity-H"/>
          <w:color w:val="131314"/>
          <w:sz w:val="21"/>
          <w:szCs w:val="21"/>
        </w:rPr>
        <w:t>congruente con los principios que establece nuestra Carta Magna para las</w:t>
      </w:r>
      <w:r>
        <w:rPr>
          <w:rFonts w:ascii="Abadi" w:hAnsi="Abadi" w:cs="*Verdana-14073-Identity-H"/>
          <w:color w:val="131314"/>
          <w:sz w:val="21"/>
          <w:szCs w:val="21"/>
        </w:rPr>
        <w:t xml:space="preserve"> </w:t>
      </w:r>
      <w:r w:rsidRPr="00991A56">
        <w:rPr>
          <w:rFonts w:ascii="Abadi" w:hAnsi="Abadi" w:cs="*Verdana-14073-Identity-H"/>
          <w:color w:val="131314"/>
          <w:sz w:val="21"/>
          <w:szCs w:val="21"/>
        </w:rPr>
        <w:t>remuneraciones de los servidores públicos, mismas que deben ser adecuadas al</w:t>
      </w:r>
      <w:r>
        <w:rPr>
          <w:rFonts w:ascii="Abadi" w:hAnsi="Abadi" w:cs="*Verdana-14073-Identity-H"/>
          <w:color w:val="131314"/>
          <w:sz w:val="21"/>
          <w:szCs w:val="21"/>
        </w:rPr>
        <w:t xml:space="preserve"> </w:t>
      </w:r>
      <w:r w:rsidRPr="00991A56">
        <w:rPr>
          <w:rFonts w:ascii="Abadi" w:hAnsi="Abadi" w:cs="*Verdana-14073-Identity-H"/>
          <w:color w:val="131314"/>
          <w:sz w:val="21"/>
          <w:szCs w:val="21"/>
        </w:rPr>
        <w:t>desempeño de la función, empleo, cargo o comisión y proporcionales a sus</w:t>
      </w:r>
      <w:r>
        <w:rPr>
          <w:rFonts w:ascii="Abadi" w:hAnsi="Abadi" w:cs="*Verdana-14073-Identity-H"/>
          <w:color w:val="131314"/>
          <w:sz w:val="21"/>
          <w:szCs w:val="21"/>
        </w:rPr>
        <w:t xml:space="preserve"> </w:t>
      </w:r>
      <w:r w:rsidRPr="00991A56">
        <w:rPr>
          <w:rFonts w:ascii="Abadi" w:hAnsi="Abadi" w:cs="*Verdana-14073-Identity-H"/>
          <w:color w:val="131314"/>
          <w:sz w:val="21"/>
          <w:szCs w:val="21"/>
        </w:rPr>
        <w:t>responsabilidades.</w:t>
      </w:r>
    </w:p>
    <w:p w14:paraId="44F289C5" w14:textId="77777777" w:rsidR="00F91FB5" w:rsidRPr="00991A56" w:rsidRDefault="00F91FB5" w:rsidP="00F91FB5">
      <w:pPr>
        <w:autoSpaceDE w:val="0"/>
        <w:autoSpaceDN w:val="0"/>
        <w:adjustRightInd w:val="0"/>
        <w:jc w:val="both"/>
        <w:rPr>
          <w:rFonts w:ascii="Abadi" w:hAnsi="Abadi" w:cs="*Verdana-14073-Identity-H"/>
          <w:color w:val="131314"/>
          <w:sz w:val="21"/>
          <w:szCs w:val="21"/>
        </w:rPr>
      </w:pPr>
    </w:p>
    <w:p w14:paraId="279C27EE" w14:textId="77777777" w:rsidR="00F91FB5" w:rsidRDefault="00F91FB5" w:rsidP="00F91FB5">
      <w:pPr>
        <w:autoSpaceDE w:val="0"/>
        <w:autoSpaceDN w:val="0"/>
        <w:adjustRightInd w:val="0"/>
        <w:ind w:firstLine="708"/>
        <w:jc w:val="both"/>
        <w:rPr>
          <w:rFonts w:ascii="Abadi" w:hAnsi="Abadi" w:cs="*Verdana-Italic-14074-Identity-"/>
          <w:i/>
          <w:iCs/>
          <w:color w:val="151417"/>
          <w:sz w:val="21"/>
          <w:szCs w:val="21"/>
        </w:rPr>
      </w:pPr>
      <w:r w:rsidRPr="00991A56">
        <w:rPr>
          <w:rFonts w:ascii="Abadi" w:hAnsi="Abadi" w:cs="*Verdana-14073-Identity-H"/>
          <w:color w:val="151417"/>
          <w:sz w:val="21"/>
          <w:szCs w:val="21"/>
        </w:rPr>
        <w:t>Además, es de considerarse que si se presentara una homologación de salarios</w:t>
      </w:r>
      <w:r>
        <w:rPr>
          <w:rFonts w:ascii="Abadi" w:hAnsi="Abadi" w:cs="*Verdana-14073-Identity-H"/>
          <w:color w:val="151417"/>
          <w:sz w:val="21"/>
          <w:szCs w:val="21"/>
        </w:rPr>
        <w:t xml:space="preserve"> </w:t>
      </w:r>
      <w:r w:rsidRPr="00991A56">
        <w:rPr>
          <w:rFonts w:ascii="Abadi" w:hAnsi="Abadi" w:cs="*Verdana-14073-Identity-H"/>
          <w:color w:val="151417"/>
          <w:sz w:val="21"/>
          <w:szCs w:val="21"/>
        </w:rPr>
        <w:t>a la baja se estarían violentando derechos laborales de los servidores públicos,</w:t>
      </w:r>
      <w:r>
        <w:rPr>
          <w:rFonts w:ascii="Abadi" w:hAnsi="Abadi" w:cs="*Verdana-14073-Identity-H"/>
          <w:color w:val="151417"/>
          <w:sz w:val="21"/>
          <w:szCs w:val="21"/>
        </w:rPr>
        <w:t xml:space="preserve"> </w:t>
      </w:r>
      <w:r w:rsidRPr="00991A56">
        <w:rPr>
          <w:rFonts w:ascii="Abadi" w:hAnsi="Abadi" w:cs="*Verdana-14073-Identity-H"/>
          <w:color w:val="151417"/>
          <w:sz w:val="21"/>
          <w:szCs w:val="21"/>
        </w:rPr>
        <w:t>atendiendo a lo señalado en el artículo 31 de la Ley del Trabajo de los Servidores</w:t>
      </w:r>
      <w:r>
        <w:rPr>
          <w:rFonts w:ascii="Abadi" w:hAnsi="Abadi" w:cs="*Verdana-14073-Identity-H"/>
          <w:color w:val="151417"/>
          <w:sz w:val="21"/>
          <w:szCs w:val="21"/>
        </w:rPr>
        <w:t xml:space="preserve"> </w:t>
      </w:r>
      <w:r w:rsidRPr="00991A56">
        <w:rPr>
          <w:rFonts w:ascii="Abadi" w:hAnsi="Abadi" w:cs="*Verdana-14073-Identity-H"/>
          <w:color w:val="151417"/>
          <w:sz w:val="21"/>
          <w:szCs w:val="21"/>
        </w:rPr>
        <w:t xml:space="preserve">Públicos al Servicio del Estado y de los Municipios que establece: </w:t>
      </w:r>
      <w:r w:rsidRPr="00991A56">
        <w:rPr>
          <w:rFonts w:ascii="Abadi" w:hAnsi="Abadi" w:cs="*Verdana-Italic-14074-Identity-"/>
          <w:i/>
          <w:iCs/>
          <w:color w:val="151417"/>
          <w:sz w:val="21"/>
          <w:szCs w:val="21"/>
        </w:rPr>
        <w:t>En ningún caso y por</w:t>
      </w:r>
      <w:r>
        <w:rPr>
          <w:rFonts w:ascii="Abadi" w:hAnsi="Abadi" w:cs="*Verdana-Italic-14074-Identity-"/>
          <w:i/>
          <w:iCs/>
          <w:color w:val="151417"/>
          <w:sz w:val="21"/>
          <w:szCs w:val="21"/>
        </w:rPr>
        <w:t xml:space="preserve"> </w:t>
      </w:r>
      <w:r w:rsidRPr="00991A56">
        <w:rPr>
          <w:rFonts w:ascii="Abadi" w:hAnsi="Abadi" w:cs="*Verdana-Italic-14074-Identity-"/>
          <w:i/>
          <w:iCs/>
          <w:color w:val="151417"/>
          <w:sz w:val="21"/>
          <w:szCs w:val="21"/>
        </w:rPr>
        <w:t>ningún motivo podrá reducirse el salario a un trabajador. Cuando por diversos motivos</w:t>
      </w:r>
      <w:r>
        <w:rPr>
          <w:rFonts w:ascii="Abadi" w:hAnsi="Abadi" w:cs="*Verdana-Italic-14074-Identity-"/>
          <w:i/>
          <w:iCs/>
          <w:color w:val="151417"/>
          <w:sz w:val="21"/>
          <w:szCs w:val="21"/>
        </w:rPr>
        <w:t xml:space="preserve"> </w:t>
      </w:r>
      <w:r w:rsidRPr="00991A56">
        <w:rPr>
          <w:rFonts w:ascii="Abadi" w:hAnsi="Abadi" w:cs="*Verdana-Italic-14074-Identity-"/>
          <w:i/>
          <w:iCs/>
          <w:color w:val="151417"/>
          <w:sz w:val="21"/>
          <w:szCs w:val="21"/>
        </w:rPr>
        <w:t>un trabajador desempeñe algún empleo de menor categoría seguirá gozando del</w:t>
      </w:r>
      <w:r>
        <w:rPr>
          <w:rFonts w:ascii="Abadi" w:hAnsi="Abadi" w:cs="*Verdana-Italic-14074-Identity-"/>
          <w:i/>
          <w:iCs/>
          <w:color w:val="151417"/>
          <w:sz w:val="21"/>
          <w:szCs w:val="21"/>
        </w:rPr>
        <w:t xml:space="preserve"> </w:t>
      </w:r>
      <w:r w:rsidRPr="00991A56">
        <w:rPr>
          <w:rFonts w:ascii="Abadi" w:hAnsi="Abadi" w:cs="*Verdana-Italic-14074-Identity-"/>
          <w:i/>
          <w:iCs/>
          <w:color w:val="151417"/>
          <w:sz w:val="21"/>
          <w:szCs w:val="21"/>
        </w:rPr>
        <w:t>sueldo estipulado para su empleo de base. Sin embargo. sí llegare el caso y</w:t>
      </w:r>
      <w:r>
        <w:rPr>
          <w:rFonts w:ascii="Abadi" w:hAnsi="Abadi" w:cs="*Verdana-Italic-14074-Identity-"/>
          <w:i/>
          <w:iCs/>
          <w:color w:val="151417"/>
          <w:sz w:val="21"/>
          <w:szCs w:val="21"/>
        </w:rPr>
        <w:t xml:space="preserve"> </w:t>
      </w:r>
      <w:r w:rsidRPr="00991A56">
        <w:rPr>
          <w:rFonts w:ascii="Abadi" w:hAnsi="Abadi" w:cs="*Verdana-Italic-14074-Identity-"/>
          <w:i/>
          <w:iCs/>
          <w:color w:val="151417"/>
          <w:sz w:val="21"/>
          <w:szCs w:val="21"/>
        </w:rPr>
        <w:t>desempeñare un cargo de mayor categoría, gozará del salario correspondiente a esta</w:t>
      </w:r>
      <w:r>
        <w:rPr>
          <w:rFonts w:ascii="Abadi" w:hAnsi="Abadi" w:cs="*Verdana-Italic-14074-Identity-"/>
          <w:i/>
          <w:iCs/>
          <w:color w:val="151417"/>
          <w:sz w:val="21"/>
          <w:szCs w:val="21"/>
        </w:rPr>
        <w:t xml:space="preserve"> </w:t>
      </w:r>
      <w:r w:rsidRPr="00991A56">
        <w:rPr>
          <w:rFonts w:ascii="Abadi" w:hAnsi="Abadi" w:cs="*Verdana-Italic-14074-Identity-"/>
          <w:i/>
          <w:iCs/>
          <w:color w:val="151417"/>
          <w:sz w:val="21"/>
          <w:szCs w:val="21"/>
        </w:rPr>
        <w:t>última.</w:t>
      </w:r>
    </w:p>
    <w:p w14:paraId="2CB49560" w14:textId="77777777" w:rsidR="00F91FB5" w:rsidRPr="00991A56" w:rsidRDefault="00F91FB5" w:rsidP="00F91FB5">
      <w:pPr>
        <w:autoSpaceDE w:val="0"/>
        <w:autoSpaceDN w:val="0"/>
        <w:adjustRightInd w:val="0"/>
        <w:jc w:val="both"/>
        <w:rPr>
          <w:rFonts w:ascii="Abadi" w:hAnsi="Abadi" w:cs="*Verdana-Italic-14074-Identity-"/>
          <w:i/>
          <w:iCs/>
          <w:color w:val="151417"/>
          <w:sz w:val="21"/>
          <w:szCs w:val="21"/>
        </w:rPr>
      </w:pPr>
    </w:p>
    <w:p w14:paraId="26D35B65" w14:textId="77777777" w:rsidR="00F91FB5" w:rsidRDefault="00F91FB5" w:rsidP="00F91FB5">
      <w:pPr>
        <w:autoSpaceDE w:val="0"/>
        <w:autoSpaceDN w:val="0"/>
        <w:adjustRightInd w:val="0"/>
        <w:ind w:firstLine="708"/>
        <w:jc w:val="both"/>
        <w:rPr>
          <w:rFonts w:ascii="Abadi" w:hAnsi="Abadi" w:cs="*Verdana-14073-Identity-H"/>
          <w:color w:val="121214"/>
          <w:sz w:val="21"/>
          <w:szCs w:val="21"/>
        </w:rPr>
      </w:pPr>
      <w:r w:rsidRPr="00991A56">
        <w:rPr>
          <w:rFonts w:ascii="Abadi" w:hAnsi="Abadi" w:cs="*Verdana-14073-Identity-H"/>
          <w:color w:val="121214"/>
          <w:sz w:val="21"/>
          <w:szCs w:val="21"/>
        </w:rPr>
        <w:t>En atención a los argumentos vertidos, determinamos improcedentes las</w:t>
      </w:r>
      <w:r>
        <w:rPr>
          <w:rFonts w:ascii="Abadi" w:hAnsi="Abadi" w:cs="*Verdana-14073-Identity-H"/>
          <w:color w:val="121214"/>
          <w:sz w:val="21"/>
          <w:szCs w:val="21"/>
        </w:rPr>
        <w:t xml:space="preserve"> </w:t>
      </w:r>
      <w:r w:rsidRPr="00991A56">
        <w:rPr>
          <w:rFonts w:ascii="Abadi" w:hAnsi="Abadi" w:cs="*Verdana-14073-Identity-H"/>
          <w:color w:val="121214"/>
          <w:sz w:val="21"/>
          <w:szCs w:val="21"/>
        </w:rPr>
        <w:t>reformas, adiciones y derogaciones propuestas.</w:t>
      </w:r>
    </w:p>
    <w:p w14:paraId="1565EB2A" w14:textId="77777777" w:rsidR="00F91FB5" w:rsidRPr="00991A56" w:rsidRDefault="00F91FB5" w:rsidP="00F91FB5">
      <w:pPr>
        <w:autoSpaceDE w:val="0"/>
        <w:autoSpaceDN w:val="0"/>
        <w:adjustRightInd w:val="0"/>
        <w:jc w:val="both"/>
        <w:rPr>
          <w:rFonts w:ascii="Abadi" w:hAnsi="Abadi" w:cs="*Verdana-14073-Identity-H"/>
          <w:color w:val="121214"/>
          <w:sz w:val="21"/>
          <w:szCs w:val="21"/>
        </w:rPr>
      </w:pPr>
    </w:p>
    <w:p w14:paraId="01FB69F3" w14:textId="77777777" w:rsidR="00F91FB5" w:rsidRPr="00991A56" w:rsidRDefault="00F91FB5" w:rsidP="00F91FB5">
      <w:pPr>
        <w:autoSpaceDE w:val="0"/>
        <w:autoSpaceDN w:val="0"/>
        <w:adjustRightInd w:val="0"/>
        <w:ind w:firstLine="708"/>
        <w:jc w:val="both"/>
        <w:rPr>
          <w:rFonts w:ascii="Abadi" w:hAnsi="Abadi" w:cs="*Verdana-14073-Identity-H"/>
          <w:color w:val="131315"/>
          <w:sz w:val="21"/>
          <w:szCs w:val="21"/>
        </w:rPr>
      </w:pPr>
      <w:r w:rsidRPr="00991A56">
        <w:rPr>
          <w:rFonts w:ascii="Abadi" w:hAnsi="Abadi" w:cs="*Verdana-14073-Identity-H"/>
          <w:color w:val="131315"/>
          <w:sz w:val="21"/>
          <w:szCs w:val="21"/>
        </w:rPr>
        <w:t>Por lo anteriormente expuesto, y con fundamento en lo dispuesto por los</w:t>
      </w:r>
      <w:r>
        <w:rPr>
          <w:rFonts w:ascii="Abadi" w:hAnsi="Abadi" w:cs="*Verdana-14073-Identity-H"/>
          <w:color w:val="131315"/>
          <w:sz w:val="21"/>
          <w:szCs w:val="21"/>
        </w:rPr>
        <w:t xml:space="preserve"> </w:t>
      </w:r>
      <w:r w:rsidRPr="00991A56">
        <w:rPr>
          <w:rFonts w:ascii="Abadi" w:hAnsi="Abadi" w:cs="*Verdana-14073-Identity-H"/>
          <w:color w:val="131315"/>
          <w:sz w:val="21"/>
          <w:szCs w:val="21"/>
        </w:rPr>
        <w:t>artículos 171 y 204 de la Ley Orgánica del Poder Legislativo del Estado, quienes</w:t>
      </w:r>
      <w:r>
        <w:rPr>
          <w:rFonts w:ascii="Abadi" w:hAnsi="Abadi" w:cs="*Verdana-14073-Identity-H"/>
          <w:color w:val="131315"/>
          <w:sz w:val="21"/>
          <w:szCs w:val="21"/>
        </w:rPr>
        <w:t xml:space="preserve"> </w:t>
      </w:r>
      <w:r w:rsidRPr="00991A56">
        <w:rPr>
          <w:rFonts w:ascii="Abadi" w:hAnsi="Abadi" w:cs="*Verdana-14073-Identity-H"/>
          <w:color w:val="131315"/>
          <w:sz w:val="21"/>
          <w:szCs w:val="21"/>
        </w:rPr>
        <w:t>integramos la Comisión de Hacienda y Fiscalización, sometemos a la consideración de</w:t>
      </w:r>
      <w:r>
        <w:rPr>
          <w:rFonts w:ascii="Abadi" w:hAnsi="Abadi" w:cs="*Verdana-14073-Identity-H"/>
          <w:color w:val="131315"/>
          <w:sz w:val="21"/>
          <w:szCs w:val="21"/>
        </w:rPr>
        <w:t xml:space="preserve"> </w:t>
      </w:r>
      <w:r w:rsidRPr="00991A56">
        <w:rPr>
          <w:rFonts w:ascii="Abadi" w:hAnsi="Abadi" w:cs="*Verdana-14073-Identity-H"/>
          <w:color w:val="131315"/>
          <w:sz w:val="21"/>
          <w:szCs w:val="21"/>
        </w:rPr>
        <w:t>la Asamblea, la aprobación del siguiente:</w:t>
      </w:r>
    </w:p>
    <w:p w14:paraId="251C51E4" w14:textId="77777777" w:rsidR="00F91FB5" w:rsidRPr="00991A56" w:rsidRDefault="00F91FB5" w:rsidP="00F91FB5">
      <w:pPr>
        <w:jc w:val="both"/>
        <w:rPr>
          <w:rFonts w:ascii="Abadi" w:hAnsi="Abadi" w:cs="*Verdana-14073-Identity-H"/>
          <w:color w:val="131315"/>
          <w:sz w:val="21"/>
          <w:szCs w:val="21"/>
        </w:rPr>
      </w:pPr>
    </w:p>
    <w:p w14:paraId="4A7E5DAA" w14:textId="77777777" w:rsidR="00F91FB5" w:rsidRDefault="00F91FB5" w:rsidP="00F91FB5">
      <w:pPr>
        <w:autoSpaceDE w:val="0"/>
        <w:autoSpaceDN w:val="0"/>
        <w:adjustRightInd w:val="0"/>
        <w:ind w:firstLine="708"/>
        <w:jc w:val="both"/>
        <w:rPr>
          <w:rFonts w:ascii="Abadi" w:hAnsi="Abadi" w:cs="*Verdana-9815-Identity-H"/>
          <w:color w:val="111114"/>
          <w:sz w:val="21"/>
          <w:szCs w:val="21"/>
        </w:rPr>
      </w:pPr>
      <w:r w:rsidRPr="00991A56">
        <w:rPr>
          <w:rFonts w:ascii="Abadi" w:hAnsi="Abadi" w:cs="*Verdana-Bold-9814-Identity-H"/>
          <w:b/>
          <w:bCs/>
          <w:color w:val="111114"/>
          <w:sz w:val="21"/>
          <w:szCs w:val="21"/>
        </w:rPr>
        <w:t xml:space="preserve">Artículo Único. </w:t>
      </w:r>
      <w:r w:rsidRPr="00991A56">
        <w:rPr>
          <w:rFonts w:ascii="Abadi" w:hAnsi="Abadi" w:cs="*Verdana-9815-Identity-H"/>
          <w:color w:val="111114"/>
          <w:sz w:val="21"/>
          <w:szCs w:val="21"/>
        </w:rPr>
        <w:t>Se considera improcedente la iniciativa formulada por la</w:t>
      </w:r>
      <w:r>
        <w:rPr>
          <w:rFonts w:ascii="Abadi" w:hAnsi="Abadi" w:cs="*Verdana-9815-Identity-H"/>
          <w:color w:val="111114"/>
          <w:sz w:val="21"/>
          <w:szCs w:val="21"/>
        </w:rPr>
        <w:t xml:space="preserve"> </w:t>
      </w:r>
      <w:r w:rsidRPr="00991A56">
        <w:rPr>
          <w:rFonts w:ascii="Abadi" w:hAnsi="Abadi" w:cs="*Verdana-9815-Identity-H"/>
          <w:color w:val="111114"/>
          <w:sz w:val="21"/>
          <w:szCs w:val="21"/>
        </w:rPr>
        <w:t>diputada y el diputado Integrantes del Grupo Parlamentario del Partido Verde</w:t>
      </w:r>
      <w:r>
        <w:rPr>
          <w:rFonts w:ascii="Abadi" w:hAnsi="Abadi" w:cs="*Verdana-9815-Identity-H"/>
          <w:color w:val="111114"/>
          <w:sz w:val="21"/>
          <w:szCs w:val="21"/>
        </w:rPr>
        <w:t xml:space="preserve"> </w:t>
      </w:r>
      <w:r w:rsidRPr="00991A56">
        <w:rPr>
          <w:rFonts w:ascii="Abadi" w:hAnsi="Abadi" w:cs="*Verdana-9815-Identity-H"/>
          <w:color w:val="111114"/>
          <w:sz w:val="21"/>
          <w:szCs w:val="21"/>
        </w:rPr>
        <w:t>Ecologista de México ante la Sexagésima Cuarta Legislatura a efecto de reformar y</w:t>
      </w:r>
      <w:r>
        <w:rPr>
          <w:rFonts w:ascii="Abadi" w:hAnsi="Abadi" w:cs="*Verdana-9815-Identity-H"/>
          <w:color w:val="111114"/>
          <w:sz w:val="21"/>
          <w:szCs w:val="21"/>
        </w:rPr>
        <w:t xml:space="preserve"> </w:t>
      </w:r>
      <w:r w:rsidRPr="00991A56">
        <w:rPr>
          <w:rFonts w:ascii="Abadi" w:hAnsi="Abadi" w:cs="*Verdana-9815-Identity-H"/>
          <w:color w:val="111114"/>
          <w:sz w:val="21"/>
          <w:szCs w:val="21"/>
        </w:rPr>
        <w:t>adicionar diversos artículos de la Ley para el Ejercicio y Control de los Recursos</w:t>
      </w:r>
      <w:r>
        <w:rPr>
          <w:rFonts w:ascii="Abadi" w:hAnsi="Abadi" w:cs="*Verdana-9815-Identity-H"/>
          <w:color w:val="111114"/>
          <w:sz w:val="21"/>
          <w:szCs w:val="21"/>
        </w:rPr>
        <w:t xml:space="preserve"> </w:t>
      </w:r>
      <w:r w:rsidRPr="00991A56">
        <w:rPr>
          <w:rFonts w:ascii="Abadi" w:hAnsi="Abadi" w:cs="*Verdana-9815-Identity-H"/>
          <w:color w:val="111114"/>
          <w:sz w:val="21"/>
          <w:szCs w:val="21"/>
        </w:rPr>
        <w:t>Públicos para el Estado y los Municipios de Guanajuato, y derogar la fracción X del</w:t>
      </w:r>
      <w:r>
        <w:rPr>
          <w:rFonts w:ascii="Abadi" w:hAnsi="Abadi" w:cs="*Verdana-9815-Identity-H"/>
          <w:color w:val="111114"/>
          <w:sz w:val="21"/>
          <w:szCs w:val="21"/>
        </w:rPr>
        <w:t xml:space="preserve"> </w:t>
      </w:r>
      <w:r w:rsidRPr="00991A56">
        <w:rPr>
          <w:rFonts w:ascii="Abadi" w:hAnsi="Abadi" w:cs="*Verdana-9815-Identity-H"/>
          <w:color w:val="111114"/>
          <w:sz w:val="21"/>
          <w:szCs w:val="21"/>
        </w:rPr>
        <w:t>artículo 276 de la Ley Orgánica del Poder Legislativ</w:t>
      </w:r>
      <w:r>
        <w:rPr>
          <w:rFonts w:ascii="Abadi" w:hAnsi="Abadi" w:cs="*Verdana-9815-Identity-H"/>
          <w:color w:val="111114"/>
          <w:sz w:val="21"/>
          <w:szCs w:val="21"/>
        </w:rPr>
        <w:t>o</w:t>
      </w:r>
      <w:r w:rsidRPr="00991A56">
        <w:rPr>
          <w:rFonts w:ascii="Abadi" w:hAnsi="Abadi" w:cs="*Verdana-9815-Identity-H"/>
          <w:color w:val="111114"/>
          <w:sz w:val="21"/>
          <w:szCs w:val="21"/>
        </w:rPr>
        <w:t xml:space="preserve"> Estado de Guanajuato. En</w:t>
      </w:r>
      <w:r>
        <w:rPr>
          <w:rFonts w:ascii="Abadi" w:hAnsi="Abadi" w:cs="*Verdana-9815-Identity-H"/>
          <w:color w:val="111114"/>
          <w:sz w:val="21"/>
          <w:szCs w:val="21"/>
        </w:rPr>
        <w:t xml:space="preserve"> </w:t>
      </w:r>
      <w:r w:rsidRPr="00991A56">
        <w:rPr>
          <w:rFonts w:ascii="Abadi" w:hAnsi="Abadi" w:cs="*Verdana-9815-Identity-H"/>
          <w:color w:val="111114"/>
          <w:sz w:val="21"/>
          <w:szCs w:val="21"/>
        </w:rPr>
        <w:t>consecuencia, se ordena su archivo definitivo.</w:t>
      </w:r>
    </w:p>
    <w:p w14:paraId="6CDC1853" w14:textId="77777777" w:rsidR="00F91FB5" w:rsidRPr="00991A56" w:rsidRDefault="00F91FB5" w:rsidP="00F91FB5">
      <w:pPr>
        <w:autoSpaceDE w:val="0"/>
        <w:autoSpaceDN w:val="0"/>
        <w:adjustRightInd w:val="0"/>
        <w:jc w:val="both"/>
        <w:rPr>
          <w:rFonts w:ascii="Abadi" w:hAnsi="Abadi" w:cs="*Verdana-9815-Identity-H"/>
          <w:color w:val="111114"/>
          <w:sz w:val="21"/>
          <w:szCs w:val="21"/>
        </w:rPr>
      </w:pPr>
    </w:p>
    <w:p w14:paraId="529E12A0" w14:textId="77777777" w:rsidR="00F91FB5" w:rsidRPr="00991A56" w:rsidRDefault="00F91FB5" w:rsidP="00F91FB5">
      <w:pPr>
        <w:autoSpaceDE w:val="0"/>
        <w:autoSpaceDN w:val="0"/>
        <w:adjustRightInd w:val="0"/>
        <w:jc w:val="both"/>
        <w:rPr>
          <w:rFonts w:ascii="Abadi" w:hAnsi="Abadi" w:cs="*Verdana-9815-Identity-H"/>
          <w:color w:val="141416"/>
          <w:sz w:val="21"/>
          <w:szCs w:val="21"/>
        </w:rPr>
      </w:pPr>
      <w:r w:rsidRPr="00991A56">
        <w:rPr>
          <w:rFonts w:ascii="Abadi" w:hAnsi="Abadi" w:cs="*Verdana-9815-Identity-H"/>
          <w:color w:val="141315"/>
          <w:sz w:val="21"/>
          <w:szCs w:val="21"/>
        </w:rPr>
        <w:t>Comuníquese el presente acuerdo a la Se</w:t>
      </w:r>
      <w:r>
        <w:rPr>
          <w:rFonts w:ascii="Abadi" w:hAnsi="Abadi" w:cs="*Verdana-9815-Identity-H"/>
          <w:color w:val="141315"/>
          <w:sz w:val="21"/>
          <w:szCs w:val="21"/>
        </w:rPr>
        <w:t xml:space="preserve">cretaría </w:t>
      </w:r>
      <w:r w:rsidRPr="00991A56">
        <w:rPr>
          <w:rFonts w:ascii="Abadi" w:hAnsi="Abadi" w:cs="*Verdana-9815-Identity-H"/>
          <w:color w:val="141315"/>
          <w:sz w:val="21"/>
          <w:szCs w:val="21"/>
        </w:rPr>
        <w:t>Gen</w:t>
      </w:r>
      <w:r>
        <w:rPr>
          <w:rFonts w:ascii="Abadi" w:hAnsi="Abadi" w:cs="*Verdana-9815-Identity-H"/>
          <w:color w:val="141315"/>
          <w:sz w:val="21"/>
          <w:szCs w:val="21"/>
        </w:rPr>
        <w:t>eral</w:t>
      </w:r>
      <w:r w:rsidRPr="00991A56">
        <w:rPr>
          <w:rFonts w:ascii="Abadi" w:hAnsi="Abadi" w:cs="*Verdana-9815-Identity-H"/>
          <w:color w:val="141315"/>
          <w:sz w:val="21"/>
          <w:szCs w:val="21"/>
        </w:rPr>
        <w:t xml:space="preserve"> del Congreso del Estado</w:t>
      </w:r>
      <w:r>
        <w:rPr>
          <w:rFonts w:ascii="Abadi" w:hAnsi="Abadi" w:cs="*Verdana-9815-Identity-H"/>
          <w:color w:val="141315"/>
          <w:sz w:val="21"/>
          <w:szCs w:val="21"/>
        </w:rPr>
        <w:t xml:space="preserve"> </w:t>
      </w:r>
      <w:r w:rsidRPr="00991A56">
        <w:rPr>
          <w:rFonts w:ascii="Abadi" w:hAnsi="Abadi" w:cs="*Verdana-9815-Identity-H"/>
          <w:color w:val="141416"/>
          <w:sz w:val="21"/>
          <w:szCs w:val="21"/>
        </w:rPr>
        <w:t>para los efectos conducentes.</w:t>
      </w:r>
    </w:p>
    <w:p w14:paraId="153D6250" w14:textId="77777777" w:rsidR="00F91FB5" w:rsidRPr="00991A56" w:rsidRDefault="00F91FB5" w:rsidP="00F91FB5">
      <w:pPr>
        <w:jc w:val="both"/>
        <w:rPr>
          <w:rFonts w:ascii="Abadi" w:hAnsi="Abadi" w:cs="*Verdana-9815-Identity-H"/>
          <w:color w:val="141416"/>
          <w:sz w:val="21"/>
          <w:szCs w:val="21"/>
        </w:rPr>
      </w:pPr>
    </w:p>
    <w:p w14:paraId="6EF156E6" w14:textId="77777777" w:rsidR="00F91FB5" w:rsidRDefault="00F91FB5" w:rsidP="00F91FB5">
      <w:pPr>
        <w:jc w:val="both"/>
        <w:rPr>
          <w:rFonts w:ascii="Abadi" w:hAnsi="Abadi" w:cs="*Verdana-Bold-9814-Identity-H"/>
          <w:b/>
          <w:bCs/>
          <w:color w:val="0F0E12"/>
          <w:sz w:val="21"/>
          <w:szCs w:val="21"/>
        </w:rPr>
      </w:pPr>
      <w:r w:rsidRPr="00991A56">
        <w:rPr>
          <w:rFonts w:ascii="Abadi" w:hAnsi="Abadi" w:cs="*Verdana-Bold-9814-Identity-H"/>
          <w:b/>
          <w:bCs/>
          <w:color w:val="0F0E12"/>
          <w:sz w:val="21"/>
          <w:szCs w:val="21"/>
        </w:rPr>
        <w:t xml:space="preserve">Guanajuato, </w:t>
      </w:r>
      <w:proofErr w:type="spellStart"/>
      <w:r w:rsidRPr="00991A56">
        <w:rPr>
          <w:rFonts w:ascii="Abadi" w:hAnsi="Abadi" w:cs="*Verdana-Bold-9814-Identity-H"/>
          <w:b/>
          <w:bCs/>
          <w:color w:val="0F0E12"/>
          <w:sz w:val="21"/>
          <w:szCs w:val="21"/>
        </w:rPr>
        <w:t>G</w:t>
      </w:r>
      <w:r>
        <w:rPr>
          <w:rFonts w:ascii="Abadi" w:hAnsi="Abadi" w:cs="*Verdana-Bold-9814-Identity-H"/>
          <w:b/>
          <w:bCs/>
          <w:color w:val="0F0E12"/>
          <w:sz w:val="21"/>
          <w:szCs w:val="21"/>
        </w:rPr>
        <w:t>to</w:t>
      </w:r>
      <w:proofErr w:type="spellEnd"/>
      <w:r>
        <w:rPr>
          <w:rFonts w:ascii="Abadi" w:hAnsi="Abadi" w:cs="*Verdana-Bold-9814-Identity-H"/>
          <w:b/>
          <w:bCs/>
          <w:color w:val="0F0E12"/>
          <w:sz w:val="21"/>
          <w:szCs w:val="21"/>
        </w:rPr>
        <w:t>., 12 de mayo de 2022</w:t>
      </w:r>
    </w:p>
    <w:p w14:paraId="6CC5778E" w14:textId="77777777" w:rsidR="00B97BBB" w:rsidRDefault="00B97BBB" w:rsidP="00F91FB5">
      <w:pPr>
        <w:jc w:val="both"/>
        <w:rPr>
          <w:rFonts w:ascii="Abadi" w:hAnsi="Abadi" w:cs="*Verdana-Bold-9814-Identity-H"/>
          <w:b/>
          <w:bCs/>
          <w:color w:val="0F0E12"/>
          <w:sz w:val="21"/>
          <w:szCs w:val="21"/>
        </w:rPr>
      </w:pPr>
    </w:p>
    <w:p w14:paraId="3B9FAC77" w14:textId="6D8D9CCE" w:rsidR="00F91FB5" w:rsidRDefault="00F91FB5" w:rsidP="00F91FB5">
      <w:pPr>
        <w:jc w:val="both"/>
        <w:rPr>
          <w:rFonts w:ascii="Abadi" w:hAnsi="Abadi" w:cs="*Verdana-Bold-9814-Identity-H"/>
          <w:b/>
          <w:bCs/>
          <w:color w:val="0F0E12"/>
          <w:sz w:val="21"/>
          <w:szCs w:val="21"/>
        </w:rPr>
      </w:pPr>
      <w:r>
        <w:rPr>
          <w:rFonts w:ascii="Abadi" w:hAnsi="Abadi" w:cs="*Verdana-Bold-9814-Identity-H"/>
          <w:b/>
          <w:bCs/>
          <w:color w:val="0F0E12"/>
          <w:sz w:val="21"/>
          <w:szCs w:val="21"/>
        </w:rPr>
        <w:t>La Comisión de Hacienda y Fiscalización</w:t>
      </w:r>
    </w:p>
    <w:p w14:paraId="03E996C4" w14:textId="33498CB5" w:rsidR="00452581" w:rsidRDefault="00452581" w:rsidP="00F91FB5">
      <w:pPr>
        <w:jc w:val="both"/>
        <w:rPr>
          <w:rFonts w:ascii="Abadi" w:hAnsi="Abadi" w:cs="*Verdana-Bold-9814-Identity-H"/>
          <w:b/>
          <w:bCs/>
          <w:color w:val="0F0E12"/>
          <w:sz w:val="21"/>
          <w:szCs w:val="21"/>
        </w:rPr>
      </w:pPr>
    </w:p>
    <w:p w14:paraId="65D1B3EB" w14:textId="77777777" w:rsidR="00452581" w:rsidRDefault="00452581" w:rsidP="00452581">
      <w:pPr>
        <w:jc w:val="center"/>
        <w:rPr>
          <w:rFonts w:ascii="Abadi" w:hAnsi="Abadi" w:cs="*Arial-Bold-4914-Identity-H"/>
          <w:b/>
          <w:bCs/>
          <w:color w:val="0C0B10"/>
          <w:sz w:val="21"/>
          <w:szCs w:val="21"/>
        </w:rPr>
      </w:pPr>
      <w:r>
        <w:rPr>
          <w:rFonts w:ascii="Abadi" w:hAnsi="Abadi" w:cs="*Arial-Bold-4914-Identity-H"/>
          <w:b/>
          <w:bCs/>
          <w:color w:val="0C0B10"/>
          <w:sz w:val="21"/>
          <w:szCs w:val="21"/>
        </w:rPr>
        <w:t>Diputado Víctor Manuel Zanella Huerta</w:t>
      </w:r>
    </w:p>
    <w:p w14:paraId="38F02B18" w14:textId="77777777" w:rsidR="00452581" w:rsidRDefault="00452581" w:rsidP="00452581">
      <w:pPr>
        <w:jc w:val="both"/>
        <w:rPr>
          <w:rFonts w:ascii="Abadi" w:hAnsi="Abadi" w:cs="*Arial-Bold-4914-Identity-H"/>
          <w:b/>
          <w:bCs/>
          <w:color w:val="0C0B10"/>
          <w:sz w:val="21"/>
          <w:szCs w:val="21"/>
        </w:rPr>
      </w:pPr>
    </w:p>
    <w:p w14:paraId="70B200B2" w14:textId="77777777" w:rsidR="00452581" w:rsidRDefault="00452581" w:rsidP="00452581">
      <w:pPr>
        <w:jc w:val="both"/>
        <w:rPr>
          <w:rFonts w:ascii="Abadi" w:hAnsi="Abadi" w:cs="*Arial-Bold-4914-Identity-H"/>
          <w:b/>
          <w:bCs/>
          <w:color w:val="0C0B10"/>
          <w:sz w:val="21"/>
          <w:szCs w:val="21"/>
        </w:rPr>
      </w:pPr>
      <w:r>
        <w:rPr>
          <w:rFonts w:ascii="Abadi" w:hAnsi="Abadi" w:cs="*Arial-Bold-4914-Identity-H"/>
          <w:b/>
          <w:bCs/>
          <w:color w:val="0C0B10"/>
          <w:sz w:val="21"/>
          <w:szCs w:val="21"/>
        </w:rPr>
        <w:t>Diputada Ruth Noemí Tiscareño Agoitia</w:t>
      </w:r>
    </w:p>
    <w:p w14:paraId="77D1A9B7" w14:textId="77777777" w:rsidR="00452581" w:rsidRDefault="00452581" w:rsidP="00452581">
      <w:pPr>
        <w:jc w:val="both"/>
        <w:rPr>
          <w:rFonts w:ascii="Abadi" w:hAnsi="Abadi" w:cs="*Arial-Bold-4914-Identity-H"/>
          <w:b/>
          <w:bCs/>
          <w:color w:val="0C0B10"/>
          <w:sz w:val="21"/>
          <w:szCs w:val="21"/>
        </w:rPr>
      </w:pPr>
      <w:r>
        <w:rPr>
          <w:rFonts w:ascii="Abadi" w:hAnsi="Abadi" w:cs="*Arial-Bold-4914-Identity-H"/>
          <w:b/>
          <w:bCs/>
          <w:color w:val="0C0B10"/>
          <w:sz w:val="21"/>
          <w:szCs w:val="21"/>
        </w:rPr>
        <w:t xml:space="preserve">Diputado Miguel Ángel Salim </w:t>
      </w:r>
      <w:proofErr w:type="spellStart"/>
      <w:r>
        <w:rPr>
          <w:rFonts w:ascii="Abadi" w:hAnsi="Abadi" w:cs="*Arial-Bold-4914-Identity-H"/>
          <w:b/>
          <w:bCs/>
          <w:color w:val="0C0B10"/>
          <w:sz w:val="21"/>
          <w:szCs w:val="21"/>
        </w:rPr>
        <w:t>Alle</w:t>
      </w:r>
      <w:proofErr w:type="spellEnd"/>
    </w:p>
    <w:p w14:paraId="4168D7D4" w14:textId="77777777" w:rsidR="00452581" w:rsidRDefault="00452581" w:rsidP="00452581">
      <w:pPr>
        <w:jc w:val="both"/>
        <w:rPr>
          <w:rFonts w:ascii="Abadi" w:hAnsi="Abadi" w:cs="*Arial-Bold-4914-Identity-H"/>
          <w:b/>
          <w:bCs/>
          <w:color w:val="0C0B10"/>
          <w:sz w:val="21"/>
          <w:szCs w:val="21"/>
        </w:rPr>
      </w:pPr>
      <w:r>
        <w:rPr>
          <w:rFonts w:ascii="Abadi" w:hAnsi="Abadi" w:cs="*Arial-Bold-4914-Identity-H"/>
          <w:b/>
          <w:bCs/>
          <w:color w:val="0C0B10"/>
          <w:sz w:val="21"/>
          <w:szCs w:val="21"/>
        </w:rPr>
        <w:t>Diputado José Alfonso Borja Pimentel</w:t>
      </w:r>
    </w:p>
    <w:p w14:paraId="6E2CADB7" w14:textId="265CD2F8" w:rsidR="00452581" w:rsidRDefault="00452581" w:rsidP="00452581">
      <w:pPr>
        <w:jc w:val="both"/>
        <w:rPr>
          <w:rFonts w:ascii="Abadi" w:hAnsi="Abadi" w:cs="*Arial-Bold-4914-Identity-H"/>
          <w:b/>
          <w:bCs/>
          <w:color w:val="0C0B10"/>
          <w:sz w:val="21"/>
          <w:szCs w:val="21"/>
        </w:rPr>
      </w:pPr>
      <w:r>
        <w:rPr>
          <w:rFonts w:ascii="Abadi" w:hAnsi="Abadi" w:cs="*Arial-Bold-4914-Identity-H"/>
          <w:b/>
          <w:bCs/>
          <w:color w:val="0C0B10"/>
          <w:sz w:val="21"/>
          <w:szCs w:val="21"/>
        </w:rPr>
        <w:t>Diputada Alma Edwviges Alcaraz Hernández</w:t>
      </w:r>
    </w:p>
    <w:p w14:paraId="0F5D6205" w14:textId="7A8CE083" w:rsidR="00BE4771" w:rsidRDefault="004B0A22" w:rsidP="004B0A22">
      <w:pPr>
        <w:pStyle w:val="NormalWeb"/>
        <w:ind w:firstLine="708"/>
        <w:jc w:val="both"/>
        <w:rPr>
          <w:rFonts w:ascii="Abadi" w:hAnsi="Abadi"/>
          <w:sz w:val="21"/>
          <w:szCs w:val="21"/>
        </w:rPr>
      </w:pPr>
      <w:r>
        <w:rPr>
          <w:rFonts w:ascii="Abadi" w:hAnsi="Abadi"/>
          <w:b/>
          <w:bCs/>
          <w:sz w:val="21"/>
          <w:szCs w:val="21"/>
        </w:rPr>
        <w:t xml:space="preserve">- </w:t>
      </w:r>
      <w:r w:rsidR="00BE4771" w:rsidRPr="008E75BA">
        <w:rPr>
          <w:rFonts w:ascii="Abadi" w:hAnsi="Abadi"/>
          <w:b/>
          <w:bCs/>
          <w:sz w:val="21"/>
          <w:szCs w:val="21"/>
        </w:rPr>
        <w:t>La Presidencia.-</w:t>
      </w:r>
      <w:r w:rsidR="00BE4771">
        <w:rPr>
          <w:rFonts w:ascii="Abadi" w:hAnsi="Abadi"/>
          <w:sz w:val="21"/>
          <w:szCs w:val="21"/>
        </w:rPr>
        <w:t xml:space="preserve"> E</w:t>
      </w:r>
      <w:r w:rsidR="00BE4771" w:rsidRPr="0021199F">
        <w:rPr>
          <w:rFonts w:ascii="Abadi" w:hAnsi="Abadi"/>
          <w:sz w:val="21"/>
          <w:szCs w:val="21"/>
        </w:rPr>
        <w:t>nseguida se somet</w:t>
      </w:r>
      <w:r>
        <w:rPr>
          <w:rFonts w:ascii="Abadi" w:hAnsi="Abadi"/>
          <w:sz w:val="21"/>
          <w:szCs w:val="21"/>
        </w:rPr>
        <w:t>e</w:t>
      </w:r>
      <w:r w:rsidR="00BE4771" w:rsidRPr="0021199F">
        <w:rPr>
          <w:rFonts w:ascii="Abadi" w:hAnsi="Abadi"/>
          <w:sz w:val="21"/>
          <w:szCs w:val="21"/>
        </w:rPr>
        <w:t xml:space="preserve"> </w:t>
      </w:r>
      <w:r>
        <w:rPr>
          <w:rFonts w:ascii="Abadi" w:hAnsi="Abadi"/>
          <w:sz w:val="21"/>
          <w:szCs w:val="21"/>
        </w:rPr>
        <w:t xml:space="preserve">a </w:t>
      </w:r>
      <w:r w:rsidR="00BE4771" w:rsidRPr="0021199F">
        <w:rPr>
          <w:rFonts w:ascii="Abadi" w:hAnsi="Abadi"/>
          <w:sz w:val="21"/>
          <w:szCs w:val="21"/>
        </w:rPr>
        <w:t>discusión</w:t>
      </w:r>
      <w:r w:rsidR="00BE4771">
        <w:rPr>
          <w:rFonts w:ascii="Abadi" w:hAnsi="Abadi"/>
          <w:sz w:val="21"/>
          <w:szCs w:val="21"/>
        </w:rPr>
        <w:t xml:space="preserve"> el dictamen</w:t>
      </w:r>
      <w:r w:rsidR="00BE4771" w:rsidRPr="0021199F">
        <w:rPr>
          <w:rFonts w:ascii="Abadi" w:hAnsi="Abadi"/>
          <w:sz w:val="21"/>
          <w:szCs w:val="21"/>
        </w:rPr>
        <w:t xml:space="preserve"> suscrito por la Comisión de Hacienda y Fiscalización relativo a la iniciativa formulada por la diputada y el diputado integrantes del Grupo Parlamentario del Partido Verde Ecologista de México de la </w:t>
      </w:r>
      <w:r w:rsidR="00BE4771">
        <w:rPr>
          <w:rFonts w:ascii="Abadi" w:hAnsi="Abadi"/>
          <w:sz w:val="21"/>
          <w:szCs w:val="21"/>
        </w:rPr>
        <w:t>S</w:t>
      </w:r>
      <w:r w:rsidR="00BE4771" w:rsidRPr="0021199F">
        <w:rPr>
          <w:rFonts w:ascii="Abadi" w:hAnsi="Abadi"/>
          <w:sz w:val="21"/>
          <w:szCs w:val="21"/>
        </w:rPr>
        <w:t xml:space="preserve">exagésima </w:t>
      </w:r>
      <w:r w:rsidR="00BE4771">
        <w:rPr>
          <w:rFonts w:ascii="Abadi" w:hAnsi="Abadi"/>
          <w:sz w:val="21"/>
          <w:szCs w:val="21"/>
        </w:rPr>
        <w:t>C</w:t>
      </w:r>
      <w:r w:rsidR="00BE4771" w:rsidRPr="0021199F">
        <w:rPr>
          <w:rFonts w:ascii="Abadi" w:hAnsi="Abadi"/>
          <w:sz w:val="21"/>
          <w:szCs w:val="21"/>
        </w:rPr>
        <w:t xml:space="preserve">uarta </w:t>
      </w:r>
      <w:r w:rsidR="00BE4771">
        <w:rPr>
          <w:rFonts w:ascii="Abadi" w:hAnsi="Abadi"/>
          <w:sz w:val="21"/>
          <w:szCs w:val="21"/>
        </w:rPr>
        <w:t>L</w:t>
      </w:r>
      <w:r w:rsidR="00BE4771" w:rsidRPr="0021199F">
        <w:rPr>
          <w:rFonts w:ascii="Abadi" w:hAnsi="Abadi"/>
          <w:sz w:val="21"/>
          <w:szCs w:val="21"/>
        </w:rPr>
        <w:t xml:space="preserve">egislatura a efecto de reformar y adicionar diversos artículos de la Ley para el </w:t>
      </w:r>
      <w:r w:rsidR="00BE4771">
        <w:rPr>
          <w:rFonts w:ascii="Abadi" w:hAnsi="Abadi"/>
          <w:sz w:val="21"/>
          <w:szCs w:val="21"/>
        </w:rPr>
        <w:t>E</w:t>
      </w:r>
      <w:r w:rsidR="00BE4771" w:rsidRPr="0021199F">
        <w:rPr>
          <w:rFonts w:ascii="Abadi" w:hAnsi="Abadi"/>
          <w:sz w:val="21"/>
          <w:szCs w:val="21"/>
        </w:rPr>
        <w:t xml:space="preserve">jercicio </w:t>
      </w:r>
      <w:r w:rsidR="00BE4771">
        <w:rPr>
          <w:rFonts w:ascii="Abadi" w:hAnsi="Abadi"/>
          <w:sz w:val="21"/>
          <w:szCs w:val="21"/>
        </w:rPr>
        <w:t>C</w:t>
      </w:r>
      <w:r w:rsidR="00BE4771" w:rsidRPr="0021199F">
        <w:rPr>
          <w:rFonts w:ascii="Abadi" w:hAnsi="Abadi"/>
          <w:sz w:val="21"/>
          <w:szCs w:val="21"/>
        </w:rPr>
        <w:t xml:space="preserve">ontrol de los </w:t>
      </w:r>
      <w:r w:rsidR="00BE4771">
        <w:rPr>
          <w:rFonts w:ascii="Abadi" w:hAnsi="Abadi"/>
          <w:sz w:val="21"/>
          <w:szCs w:val="21"/>
        </w:rPr>
        <w:t>R</w:t>
      </w:r>
      <w:r w:rsidR="00BE4771" w:rsidRPr="0021199F">
        <w:rPr>
          <w:rFonts w:ascii="Abadi" w:hAnsi="Abadi"/>
          <w:sz w:val="21"/>
          <w:szCs w:val="21"/>
        </w:rPr>
        <w:t xml:space="preserve">ecursos </w:t>
      </w:r>
      <w:r w:rsidR="00BE4771">
        <w:rPr>
          <w:rFonts w:ascii="Abadi" w:hAnsi="Abadi"/>
          <w:sz w:val="21"/>
          <w:szCs w:val="21"/>
        </w:rPr>
        <w:t>P</w:t>
      </w:r>
      <w:r w:rsidR="00BE4771" w:rsidRPr="0021199F">
        <w:rPr>
          <w:rFonts w:ascii="Abadi" w:hAnsi="Abadi"/>
          <w:sz w:val="21"/>
          <w:szCs w:val="21"/>
        </w:rPr>
        <w:t xml:space="preserve">úblicos para el Estado y los </w:t>
      </w:r>
      <w:r w:rsidR="00BE4771">
        <w:rPr>
          <w:rFonts w:ascii="Abadi" w:hAnsi="Abadi"/>
          <w:sz w:val="21"/>
          <w:szCs w:val="21"/>
        </w:rPr>
        <w:t>M</w:t>
      </w:r>
      <w:r w:rsidR="00BE4771" w:rsidRPr="0021199F">
        <w:rPr>
          <w:rFonts w:ascii="Abadi" w:hAnsi="Abadi"/>
          <w:sz w:val="21"/>
          <w:szCs w:val="21"/>
        </w:rPr>
        <w:t xml:space="preserve">unicipios de Guanajuato y derogar la fracción </w:t>
      </w:r>
      <w:r w:rsidR="00BE4771">
        <w:rPr>
          <w:rFonts w:ascii="Abadi" w:hAnsi="Abadi"/>
          <w:sz w:val="21"/>
          <w:szCs w:val="21"/>
        </w:rPr>
        <w:t>X</w:t>
      </w:r>
      <w:r w:rsidR="00BE4771" w:rsidRPr="0021199F">
        <w:rPr>
          <w:rFonts w:ascii="Abadi" w:hAnsi="Abadi"/>
          <w:sz w:val="21"/>
          <w:szCs w:val="21"/>
        </w:rPr>
        <w:t xml:space="preserve"> del artículo </w:t>
      </w:r>
      <w:r w:rsidR="00BE4771">
        <w:rPr>
          <w:rFonts w:ascii="Abadi" w:hAnsi="Abadi"/>
          <w:sz w:val="21"/>
          <w:szCs w:val="21"/>
        </w:rPr>
        <w:t>276</w:t>
      </w:r>
      <w:r w:rsidR="00BE4771" w:rsidRPr="0021199F">
        <w:rPr>
          <w:rFonts w:ascii="Abadi" w:hAnsi="Abadi"/>
          <w:sz w:val="21"/>
          <w:szCs w:val="21"/>
        </w:rPr>
        <w:t xml:space="preserve"> de la Ley Orgánica del Poder Legislativo del Estado de Guanajuato. </w:t>
      </w:r>
    </w:p>
    <w:p w14:paraId="0C861DB4" w14:textId="7DFC41DF" w:rsidR="00BE4771" w:rsidRDefault="004B0A22" w:rsidP="004B0A22">
      <w:pPr>
        <w:pStyle w:val="NormalWeb"/>
        <w:ind w:firstLine="708"/>
        <w:jc w:val="both"/>
        <w:rPr>
          <w:rFonts w:ascii="Abadi" w:hAnsi="Abadi"/>
          <w:sz w:val="21"/>
          <w:szCs w:val="21"/>
        </w:rPr>
      </w:pPr>
      <w:r>
        <w:rPr>
          <w:rFonts w:ascii="Abadi" w:hAnsi="Abadi"/>
          <w:sz w:val="21"/>
          <w:szCs w:val="21"/>
        </w:rPr>
        <w:t xml:space="preserve">- </w:t>
      </w:r>
      <w:r w:rsidR="00BE4771" w:rsidRPr="0021199F">
        <w:rPr>
          <w:rFonts w:ascii="Abadi" w:hAnsi="Abadi"/>
          <w:sz w:val="21"/>
          <w:szCs w:val="21"/>
        </w:rPr>
        <w:t xml:space="preserve">Sí, alguna diputada o algún diputado desea hacer uso de la palabra </w:t>
      </w:r>
      <w:r w:rsidR="00BE4771">
        <w:rPr>
          <w:rFonts w:ascii="Abadi" w:hAnsi="Abadi"/>
          <w:sz w:val="21"/>
          <w:szCs w:val="21"/>
        </w:rPr>
        <w:t>e</w:t>
      </w:r>
      <w:r w:rsidR="00BE4771" w:rsidRPr="0021199F">
        <w:rPr>
          <w:rFonts w:ascii="Abadi" w:hAnsi="Abadi"/>
          <w:sz w:val="21"/>
          <w:szCs w:val="21"/>
        </w:rPr>
        <w:t>n</w:t>
      </w:r>
      <w:r w:rsidR="00BE4771">
        <w:rPr>
          <w:rFonts w:ascii="Abadi" w:hAnsi="Abadi"/>
          <w:sz w:val="21"/>
          <w:szCs w:val="21"/>
        </w:rPr>
        <w:t xml:space="preserve"> p</w:t>
      </w:r>
      <w:r w:rsidR="00BE4771" w:rsidRPr="0021199F">
        <w:rPr>
          <w:rFonts w:ascii="Abadi" w:hAnsi="Abadi"/>
          <w:sz w:val="21"/>
          <w:szCs w:val="21"/>
        </w:rPr>
        <w:t>r</w:t>
      </w:r>
      <w:r w:rsidR="00BE4771">
        <w:rPr>
          <w:rFonts w:ascii="Abadi" w:hAnsi="Abadi"/>
          <w:sz w:val="21"/>
          <w:szCs w:val="21"/>
        </w:rPr>
        <w:t>o o</w:t>
      </w:r>
      <w:r w:rsidR="00BE4771" w:rsidRPr="0021199F">
        <w:rPr>
          <w:rFonts w:ascii="Abadi" w:hAnsi="Abadi"/>
          <w:sz w:val="21"/>
          <w:szCs w:val="21"/>
        </w:rPr>
        <w:t xml:space="preserve"> en contra, manifiéste</w:t>
      </w:r>
      <w:r w:rsidR="00BE4771">
        <w:rPr>
          <w:rFonts w:ascii="Abadi" w:hAnsi="Abadi"/>
          <w:sz w:val="21"/>
          <w:szCs w:val="21"/>
        </w:rPr>
        <w:t>nlo</w:t>
      </w:r>
      <w:r w:rsidR="00BE4771" w:rsidRPr="0021199F">
        <w:rPr>
          <w:rFonts w:ascii="Abadi" w:hAnsi="Abadi"/>
          <w:sz w:val="21"/>
          <w:szCs w:val="21"/>
        </w:rPr>
        <w:t xml:space="preserve"> indicando el sentido de su participación. </w:t>
      </w:r>
    </w:p>
    <w:p w14:paraId="102E4B99" w14:textId="5E0AECEC" w:rsidR="00BE4771" w:rsidRDefault="004B0A22" w:rsidP="004B0A22">
      <w:pPr>
        <w:pStyle w:val="NormalWeb"/>
        <w:ind w:firstLine="708"/>
        <w:jc w:val="both"/>
        <w:rPr>
          <w:rFonts w:ascii="Abadi" w:hAnsi="Abadi"/>
          <w:sz w:val="21"/>
          <w:szCs w:val="21"/>
        </w:rPr>
      </w:pPr>
      <w:r>
        <w:rPr>
          <w:rFonts w:ascii="Abadi" w:hAnsi="Abadi"/>
          <w:sz w:val="21"/>
          <w:szCs w:val="21"/>
        </w:rPr>
        <w:t xml:space="preserve">- </w:t>
      </w:r>
      <w:r w:rsidR="00BE4771">
        <w:rPr>
          <w:rFonts w:ascii="Abadi" w:hAnsi="Abadi"/>
          <w:sz w:val="21"/>
          <w:szCs w:val="21"/>
        </w:rPr>
        <w:t>E</w:t>
      </w:r>
      <w:r w:rsidR="00BE4771" w:rsidRPr="0021199F">
        <w:rPr>
          <w:rFonts w:ascii="Abadi" w:hAnsi="Abadi"/>
          <w:sz w:val="21"/>
          <w:szCs w:val="21"/>
        </w:rPr>
        <w:t>n virtud de n</w:t>
      </w:r>
      <w:r w:rsidR="00BE4771">
        <w:rPr>
          <w:rFonts w:ascii="Abadi" w:hAnsi="Abadi"/>
          <w:sz w:val="21"/>
          <w:szCs w:val="21"/>
        </w:rPr>
        <w:t>o haber</w:t>
      </w:r>
      <w:r w:rsidR="00BE4771" w:rsidRPr="0021199F">
        <w:rPr>
          <w:rFonts w:ascii="Abadi" w:hAnsi="Abadi"/>
          <w:sz w:val="21"/>
          <w:szCs w:val="21"/>
        </w:rPr>
        <w:t xml:space="preserve"> participaciones se pide </w:t>
      </w:r>
      <w:r w:rsidR="00466112">
        <w:rPr>
          <w:rFonts w:ascii="Abadi" w:hAnsi="Abadi"/>
          <w:sz w:val="21"/>
          <w:szCs w:val="21"/>
        </w:rPr>
        <w:t xml:space="preserve">a </w:t>
      </w:r>
      <w:r w:rsidR="00BE4771" w:rsidRPr="0021199F">
        <w:rPr>
          <w:rFonts w:ascii="Abadi" w:hAnsi="Abadi"/>
          <w:sz w:val="21"/>
          <w:szCs w:val="21"/>
        </w:rPr>
        <w:t>la Secretar</w:t>
      </w:r>
      <w:r w:rsidR="00466112">
        <w:rPr>
          <w:rFonts w:ascii="Abadi" w:hAnsi="Abadi"/>
          <w:sz w:val="21"/>
          <w:szCs w:val="21"/>
        </w:rPr>
        <w:t>ia</w:t>
      </w:r>
      <w:r w:rsidR="00BE4771" w:rsidRPr="0021199F">
        <w:rPr>
          <w:rFonts w:ascii="Abadi" w:hAnsi="Abadi"/>
          <w:sz w:val="21"/>
          <w:szCs w:val="21"/>
        </w:rPr>
        <w:t xml:space="preserve"> que proceda </w:t>
      </w:r>
      <w:r w:rsidR="00BE4771">
        <w:rPr>
          <w:rFonts w:ascii="Abadi" w:hAnsi="Abadi"/>
          <w:sz w:val="21"/>
          <w:szCs w:val="21"/>
        </w:rPr>
        <w:t xml:space="preserve">a </w:t>
      </w:r>
      <w:r w:rsidR="00BE4771" w:rsidRPr="0021199F">
        <w:rPr>
          <w:rFonts w:ascii="Abadi" w:hAnsi="Abadi"/>
          <w:sz w:val="21"/>
          <w:szCs w:val="21"/>
        </w:rPr>
        <w:t>recabar votación nominal de la Asamblea a través del sistema electrónico</w:t>
      </w:r>
      <w:r w:rsidR="00BE4771">
        <w:rPr>
          <w:rFonts w:ascii="Abadi" w:hAnsi="Abadi"/>
          <w:sz w:val="21"/>
          <w:szCs w:val="21"/>
        </w:rPr>
        <w:t xml:space="preserve"> a efecto</w:t>
      </w:r>
      <w:r w:rsidR="00BE4771" w:rsidRPr="0021199F">
        <w:rPr>
          <w:rFonts w:ascii="Abadi" w:hAnsi="Abadi"/>
          <w:sz w:val="21"/>
          <w:szCs w:val="21"/>
        </w:rPr>
        <w:t xml:space="preserve"> de aprobar o no el</w:t>
      </w:r>
      <w:r w:rsidR="00BE4771">
        <w:rPr>
          <w:rFonts w:ascii="Abadi" w:hAnsi="Abadi"/>
          <w:sz w:val="21"/>
          <w:szCs w:val="21"/>
        </w:rPr>
        <w:t xml:space="preserve"> dictamen</w:t>
      </w:r>
      <w:r w:rsidR="00BE4771" w:rsidRPr="0021199F">
        <w:rPr>
          <w:rFonts w:ascii="Abadi" w:hAnsi="Abadi"/>
          <w:sz w:val="21"/>
          <w:szCs w:val="21"/>
        </w:rPr>
        <w:t xml:space="preserve"> puesto </w:t>
      </w:r>
      <w:r w:rsidR="00BE4771">
        <w:rPr>
          <w:rFonts w:ascii="Abadi" w:hAnsi="Abadi"/>
          <w:sz w:val="21"/>
          <w:szCs w:val="21"/>
        </w:rPr>
        <w:t>a</w:t>
      </w:r>
      <w:r w:rsidR="00BE4771" w:rsidRPr="0021199F">
        <w:rPr>
          <w:rFonts w:ascii="Abadi" w:hAnsi="Abadi"/>
          <w:sz w:val="21"/>
          <w:szCs w:val="21"/>
        </w:rPr>
        <w:t xml:space="preserve"> su consideración.</w:t>
      </w:r>
    </w:p>
    <w:p w14:paraId="5B16F1D0" w14:textId="640CF252" w:rsidR="00BE4771" w:rsidRPr="00D3079C" w:rsidRDefault="00BE4771" w:rsidP="004B0A22">
      <w:pPr>
        <w:pStyle w:val="NormalWeb"/>
        <w:jc w:val="center"/>
        <w:rPr>
          <w:rFonts w:ascii="Abadi" w:hAnsi="Abadi"/>
          <w:b/>
          <w:bCs/>
          <w:sz w:val="21"/>
          <w:szCs w:val="21"/>
        </w:rPr>
      </w:pPr>
      <w:r w:rsidRPr="00D3079C">
        <w:rPr>
          <w:rFonts w:ascii="Abadi" w:hAnsi="Abadi"/>
          <w:b/>
          <w:bCs/>
          <w:sz w:val="21"/>
          <w:szCs w:val="21"/>
        </w:rPr>
        <w:t>(</w:t>
      </w:r>
      <w:r w:rsidRPr="00D3079C">
        <w:rPr>
          <w:rFonts w:ascii="Abadi" w:hAnsi="Abadi"/>
          <w:b/>
          <w:sz w:val="21"/>
          <w:szCs w:val="21"/>
        </w:rPr>
        <w:t>Se abre el sistema electrónico</w:t>
      </w:r>
      <w:r w:rsidRPr="00D3079C">
        <w:rPr>
          <w:rFonts w:ascii="Abadi" w:hAnsi="Abadi"/>
          <w:b/>
          <w:bCs/>
          <w:sz w:val="21"/>
          <w:szCs w:val="21"/>
        </w:rPr>
        <w:t>)</w:t>
      </w:r>
    </w:p>
    <w:p w14:paraId="1A47B279" w14:textId="5EB62CD3" w:rsidR="00BE4771" w:rsidRDefault="004B0A22" w:rsidP="004B0A22">
      <w:pPr>
        <w:pStyle w:val="NormalWeb"/>
        <w:ind w:firstLine="708"/>
        <w:jc w:val="both"/>
        <w:rPr>
          <w:rFonts w:ascii="Abadi" w:hAnsi="Abadi"/>
          <w:sz w:val="21"/>
          <w:szCs w:val="21"/>
        </w:rPr>
      </w:pPr>
      <w:r>
        <w:rPr>
          <w:rFonts w:ascii="Abadi" w:hAnsi="Abadi"/>
          <w:b/>
          <w:bCs/>
          <w:sz w:val="21"/>
          <w:szCs w:val="21"/>
        </w:rPr>
        <w:t xml:space="preserve">- </w:t>
      </w:r>
      <w:r w:rsidR="00BE4771" w:rsidRPr="00D3079C">
        <w:rPr>
          <w:rFonts w:ascii="Abadi" w:hAnsi="Abadi"/>
          <w:b/>
          <w:bCs/>
          <w:sz w:val="21"/>
          <w:szCs w:val="21"/>
        </w:rPr>
        <w:t xml:space="preserve">La </w:t>
      </w:r>
      <w:proofErr w:type="gramStart"/>
      <w:r w:rsidR="00BE4771" w:rsidRPr="00D3079C">
        <w:rPr>
          <w:rFonts w:ascii="Abadi" w:hAnsi="Abadi"/>
          <w:b/>
          <w:bCs/>
          <w:sz w:val="21"/>
          <w:szCs w:val="21"/>
        </w:rPr>
        <w:t>Secretar</w:t>
      </w:r>
      <w:r w:rsidR="00BE4771">
        <w:rPr>
          <w:rFonts w:ascii="Abadi" w:hAnsi="Abadi"/>
          <w:b/>
          <w:bCs/>
          <w:sz w:val="21"/>
          <w:szCs w:val="21"/>
        </w:rPr>
        <w:t>i</w:t>
      </w:r>
      <w:r w:rsidR="00BE4771" w:rsidRPr="00D3079C">
        <w:rPr>
          <w:rFonts w:ascii="Abadi" w:hAnsi="Abadi"/>
          <w:b/>
          <w:bCs/>
          <w:sz w:val="21"/>
          <w:szCs w:val="21"/>
        </w:rPr>
        <w:t>a.-</w:t>
      </w:r>
      <w:proofErr w:type="gramEnd"/>
      <w:r w:rsidR="00BE4771">
        <w:rPr>
          <w:rFonts w:ascii="Abadi" w:hAnsi="Abadi"/>
          <w:sz w:val="21"/>
          <w:szCs w:val="21"/>
        </w:rPr>
        <w:t xml:space="preserve"> E</w:t>
      </w:r>
      <w:r w:rsidR="00BE4771" w:rsidRPr="0021199F">
        <w:rPr>
          <w:rFonts w:ascii="Abadi" w:hAnsi="Abadi"/>
          <w:sz w:val="21"/>
          <w:szCs w:val="21"/>
        </w:rPr>
        <w:t>n votación nominal por el sistema electrónico</w:t>
      </w:r>
      <w:r w:rsidR="00BE4771">
        <w:rPr>
          <w:rFonts w:ascii="Abadi" w:hAnsi="Abadi"/>
          <w:sz w:val="21"/>
          <w:szCs w:val="21"/>
        </w:rPr>
        <w:t>, s</w:t>
      </w:r>
      <w:r w:rsidR="00BE4771" w:rsidRPr="0021199F">
        <w:rPr>
          <w:rFonts w:ascii="Abadi" w:hAnsi="Abadi"/>
          <w:sz w:val="21"/>
          <w:szCs w:val="21"/>
        </w:rPr>
        <w:t xml:space="preserve">e pregunta a las diputadas </w:t>
      </w:r>
      <w:r w:rsidR="00BE4771">
        <w:rPr>
          <w:rFonts w:ascii="Abadi" w:hAnsi="Abadi"/>
          <w:sz w:val="21"/>
          <w:szCs w:val="21"/>
        </w:rPr>
        <w:t>y</w:t>
      </w:r>
      <w:r w:rsidR="00BE4771" w:rsidRPr="0021199F">
        <w:rPr>
          <w:rFonts w:ascii="Abadi" w:hAnsi="Abadi"/>
          <w:sz w:val="21"/>
          <w:szCs w:val="21"/>
        </w:rPr>
        <w:t xml:space="preserve"> los diputados</w:t>
      </w:r>
      <w:r w:rsidR="00BE4771">
        <w:rPr>
          <w:rFonts w:ascii="Abadi" w:hAnsi="Abadi"/>
          <w:sz w:val="21"/>
          <w:szCs w:val="21"/>
        </w:rPr>
        <w:t xml:space="preserve">, </w:t>
      </w:r>
      <w:r w:rsidR="00BE4771" w:rsidRPr="0021199F">
        <w:rPr>
          <w:rFonts w:ascii="Abadi" w:hAnsi="Abadi"/>
          <w:sz w:val="21"/>
          <w:szCs w:val="21"/>
        </w:rPr>
        <w:t>si se apr</w:t>
      </w:r>
      <w:r w:rsidR="00BE4771">
        <w:rPr>
          <w:rFonts w:ascii="Abadi" w:hAnsi="Abadi"/>
          <w:sz w:val="21"/>
          <w:szCs w:val="21"/>
        </w:rPr>
        <w:t>ueba</w:t>
      </w:r>
      <w:r w:rsidR="00BE4771" w:rsidRPr="0021199F">
        <w:rPr>
          <w:rFonts w:ascii="Abadi" w:hAnsi="Abadi"/>
          <w:sz w:val="21"/>
          <w:szCs w:val="21"/>
        </w:rPr>
        <w:t xml:space="preserve"> el </w:t>
      </w:r>
      <w:r w:rsidR="00BE4771">
        <w:rPr>
          <w:rFonts w:ascii="Abadi" w:hAnsi="Abadi"/>
          <w:sz w:val="21"/>
          <w:szCs w:val="21"/>
        </w:rPr>
        <w:t>dictamen p</w:t>
      </w:r>
      <w:r w:rsidR="00BE4771" w:rsidRPr="0021199F">
        <w:rPr>
          <w:rFonts w:ascii="Abadi" w:hAnsi="Abadi"/>
          <w:sz w:val="21"/>
          <w:szCs w:val="21"/>
        </w:rPr>
        <w:t xml:space="preserve">uesto </w:t>
      </w:r>
      <w:r w:rsidR="00BE4771">
        <w:rPr>
          <w:rFonts w:ascii="Abadi" w:hAnsi="Abadi"/>
          <w:sz w:val="21"/>
          <w:szCs w:val="21"/>
        </w:rPr>
        <w:t>a</w:t>
      </w:r>
      <w:r w:rsidR="00BE4771" w:rsidRPr="0021199F">
        <w:rPr>
          <w:rFonts w:ascii="Abadi" w:hAnsi="Abadi"/>
          <w:sz w:val="21"/>
          <w:szCs w:val="21"/>
        </w:rPr>
        <w:t xml:space="preserve"> su consideración</w:t>
      </w:r>
      <w:r w:rsidR="00BE4771">
        <w:rPr>
          <w:rFonts w:ascii="Abadi" w:hAnsi="Abadi"/>
          <w:sz w:val="21"/>
          <w:szCs w:val="21"/>
        </w:rPr>
        <w:t>.</w:t>
      </w:r>
    </w:p>
    <w:p w14:paraId="4B9693BD" w14:textId="77777777" w:rsidR="00BE4771" w:rsidRDefault="00BE4771" w:rsidP="00BE4771">
      <w:pPr>
        <w:pStyle w:val="NormalWeb"/>
        <w:jc w:val="both"/>
        <w:rPr>
          <w:rFonts w:ascii="Abadi" w:hAnsi="Abadi"/>
          <w:sz w:val="21"/>
          <w:szCs w:val="21"/>
        </w:rPr>
      </w:pPr>
      <w:r>
        <w:rPr>
          <w:rFonts w:ascii="Abadi" w:hAnsi="Abadi"/>
          <w:sz w:val="21"/>
          <w:szCs w:val="21"/>
        </w:rPr>
        <w:t>¿F</w:t>
      </w:r>
      <w:r w:rsidRPr="0021199F">
        <w:rPr>
          <w:rFonts w:ascii="Abadi" w:hAnsi="Abadi"/>
          <w:sz w:val="21"/>
          <w:szCs w:val="21"/>
        </w:rPr>
        <w:t>alta alguna diputada, algún diputado de emitir su voto</w:t>
      </w:r>
      <w:r>
        <w:rPr>
          <w:rFonts w:ascii="Abadi" w:hAnsi="Abadi"/>
          <w:sz w:val="21"/>
          <w:szCs w:val="21"/>
        </w:rPr>
        <w:t>?</w:t>
      </w:r>
      <w:r w:rsidRPr="0021199F">
        <w:rPr>
          <w:rFonts w:ascii="Abadi" w:hAnsi="Abadi"/>
          <w:sz w:val="21"/>
          <w:szCs w:val="21"/>
        </w:rPr>
        <w:t xml:space="preserve"> </w:t>
      </w:r>
    </w:p>
    <w:p w14:paraId="4DF84669" w14:textId="08BB6189" w:rsidR="00BE4771" w:rsidRDefault="00BE4771" w:rsidP="004B0A22">
      <w:pPr>
        <w:pStyle w:val="NormalWeb"/>
        <w:jc w:val="center"/>
        <w:rPr>
          <w:rFonts w:ascii="Abadi" w:hAnsi="Abadi"/>
          <w:b/>
          <w:bCs/>
          <w:sz w:val="21"/>
          <w:szCs w:val="21"/>
        </w:rPr>
      </w:pPr>
      <w:r w:rsidRPr="00D3079C">
        <w:rPr>
          <w:rFonts w:ascii="Abadi" w:hAnsi="Abadi"/>
          <w:b/>
          <w:bCs/>
          <w:sz w:val="21"/>
          <w:szCs w:val="21"/>
        </w:rPr>
        <w:t>(</w:t>
      </w:r>
      <w:r w:rsidRPr="00D3079C">
        <w:rPr>
          <w:rFonts w:ascii="Abadi" w:hAnsi="Abadi"/>
          <w:b/>
          <w:sz w:val="21"/>
          <w:szCs w:val="21"/>
        </w:rPr>
        <w:t>Se cierra el sistema electrónico</w:t>
      </w:r>
      <w:r w:rsidRPr="00D3079C">
        <w:rPr>
          <w:rFonts w:ascii="Abadi" w:hAnsi="Abadi"/>
          <w:b/>
          <w:bCs/>
          <w:sz w:val="21"/>
          <w:szCs w:val="21"/>
        </w:rPr>
        <w:t>)</w:t>
      </w:r>
    </w:p>
    <w:p w14:paraId="48B21405" w14:textId="77777777" w:rsidR="00BE4771" w:rsidRDefault="00BE4771" w:rsidP="00BE4771">
      <w:pPr>
        <w:pStyle w:val="NormalWeb"/>
        <w:jc w:val="both"/>
        <w:rPr>
          <w:rFonts w:ascii="Abadi" w:hAnsi="Abadi"/>
          <w:b/>
          <w:bCs/>
          <w:sz w:val="21"/>
          <w:szCs w:val="21"/>
        </w:rPr>
      </w:pPr>
      <w:r>
        <w:rPr>
          <w:noProof/>
        </w:rPr>
        <w:drawing>
          <wp:inline distT="0" distB="0" distL="0" distR="0" wp14:anchorId="0A210D2D" wp14:editId="7834CA48">
            <wp:extent cx="1953025" cy="1007670"/>
            <wp:effectExtent l="152400" t="152400" r="352425" b="364490"/>
            <wp:docPr id="56" name="Imagen 5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nterfaz de usuario gráfica, Texto&#10;&#10;Descripción generada automáticamente"/>
                    <pic:cNvPicPr/>
                  </pic:nvPicPr>
                  <pic:blipFill rotWithShape="1">
                    <a:blip r:embed="rId69"/>
                    <a:srcRect b="8231"/>
                    <a:stretch/>
                  </pic:blipFill>
                  <pic:spPr bwMode="auto">
                    <a:xfrm>
                      <a:off x="0" y="0"/>
                      <a:ext cx="1968777" cy="101579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2B6D08A" w14:textId="0756031D" w:rsidR="00BE4771" w:rsidRDefault="006203B9" w:rsidP="006203B9">
      <w:pPr>
        <w:pStyle w:val="NormalWeb"/>
        <w:ind w:firstLine="708"/>
        <w:jc w:val="both"/>
        <w:rPr>
          <w:rFonts w:ascii="Abadi" w:hAnsi="Abadi"/>
          <w:sz w:val="21"/>
          <w:szCs w:val="21"/>
        </w:rPr>
      </w:pPr>
      <w:r>
        <w:rPr>
          <w:rFonts w:ascii="Abadi" w:hAnsi="Abadi"/>
          <w:b/>
          <w:bCs/>
          <w:sz w:val="21"/>
          <w:szCs w:val="21"/>
        </w:rPr>
        <w:t xml:space="preserve">- </w:t>
      </w:r>
      <w:r w:rsidR="00BE4771" w:rsidRPr="00D3079C">
        <w:rPr>
          <w:rFonts w:ascii="Abadi" w:hAnsi="Abadi"/>
          <w:b/>
          <w:bCs/>
          <w:sz w:val="21"/>
          <w:szCs w:val="21"/>
        </w:rPr>
        <w:t xml:space="preserve">La </w:t>
      </w:r>
      <w:proofErr w:type="gramStart"/>
      <w:r w:rsidR="00BE4771" w:rsidRPr="00D3079C">
        <w:rPr>
          <w:rFonts w:ascii="Abadi" w:hAnsi="Abadi"/>
          <w:b/>
          <w:bCs/>
          <w:sz w:val="21"/>
          <w:szCs w:val="21"/>
        </w:rPr>
        <w:t>Secretar</w:t>
      </w:r>
      <w:r w:rsidR="00BE4771">
        <w:rPr>
          <w:rFonts w:ascii="Abadi" w:hAnsi="Abadi"/>
          <w:b/>
          <w:bCs/>
          <w:sz w:val="21"/>
          <w:szCs w:val="21"/>
        </w:rPr>
        <w:t>i</w:t>
      </w:r>
      <w:r w:rsidR="00BE4771" w:rsidRPr="00D3079C">
        <w:rPr>
          <w:rFonts w:ascii="Abadi" w:hAnsi="Abadi"/>
          <w:b/>
          <w:bCs/>
          <w:sz w:val="21"/>
          <w:szCs w:val="21"/>
        </w:rPr>
        <w:t>a.-</w:t>
      </w:r>
      <w:proofErr w:type="gramEnd"/>
      <w:r w:rsidR="00BE4771">
        <w:rPr>
          <w:rFonts w:ascii="Abadi" w:hAnsi="Abadi"/>
          <w:sz w:val="21"/>
          <w:szCs w:val="21"/>
        </w:rPr>
        <w:t xml:space="preserve"> </w:t>
      </w:r>
      <w:r w:rsidR="00BE4771" w:rsidRPr="0021199F">
        <w:rPr>
          <w:rFonts w:ascii="Abadi" w:hAnsi="Abadi"/>
          <w:sz w:val="21"/>
          <w:szCs w:val="21"/>
        </w:rPr>
        <w:t xml:space="preserve">Se registraron </w:t>
      </w:r>
      <w:r w:rsidR="00BE4771">
        <w:rPr>
          <w:rFonts w:ascii="Abadi" w:hAnsi="Abadi"/>
          <w:sz w:val="21"/>
          <w:szCs w:val="21"/>
        </w:rPr>
        <w:t>25</w:t>
      </w:r>
      <w:r w:rsidR="00BE4771" w:rsidRPr="0021199F">
        <w:rPr>
          <w:rFonts w:ascii="Abadi" w:hAnsi="Abadi"/>
          <w:sz w:val="21"/>
          <w:szCs w:val="21"/>
        </w:rPr>
        <w:t xml:space="preserve"> votos a favor y </w:t>
      </w:r>
      <w:r w:rsidR="00BE4771">
        <w:rPr>
          <w:rFonts w:ascii="Abadi" w:hAnsi="Abadi"/>
          <w:sz w:val="21"/>
          <w:szCs w:val="21"/>
        </w:rPr>
        <w:t>9</w:t>
      </w:r>
      <w:r w:rsidR="00BE4771" w:rsidRPr="0021199F">
        <w:rPr>
          <w:rFonts w:ascii="Abadi" w:hAnsi="Abadi"/>
          <w:sz w:val="21"/>
          <w:szCs w:val="21"/>
        </w:rPr>
        <w:t xml:space="preserve"> votos </w:t>
      </w:r>
      <w:r w:rsidR="00BE4771">
        <w:rPr>
          <w:rFonts w:ascii="Abadi" w:hAnsi="Abadi"/>
          <w:sz w:val="21"/>
          <w:szCs w:val="21"/>
        </w:rPr>
        <w:t>e</w:t>
      </w:r>
      <w:r w:rsidR="00BE4771" w:rsidRPr="0021199F">
        <w:rPr>
          <w:rFonts w:ascii="Abadi" w:hAnsi="Abadi"/>
          <w:sz w:val="21"/>
          <w:szCs w:val="21"/>
        </w:rPr>
        <w:t>n</w:t>
      </w:r>
      <w:r w:rsidR="00BE4771">
        <w:rPr>
          <w:rFonts w:ascii="Abadi" w:hAnsi="Abadi"/>
          <w:sz w:val="21"/>
          <w:szCs w:val="21"/>
        </w:rPr>
        <w:t xml:space="preserve"> </w:t>
      </w:r>
      <w:r w:rsidR="00BE4771" w:rsidRPr="0021199F">
        <w:rPr>
          <w:rFonts w:ascii="Abadi" w:hAnsi="Abadi"/>
          <w:sz w:val="21"/>
          <w:szCs w:val="21"/>
        </w:rPr>
        <w:t xml:space="preserve">contra </w:t>
      </w:r>
    </w:p>
    <w:p w14:paraId="6A6B3E55" w14:textId="3FE91538" w:rsidR="00BE4771" w:rsidRDefault="006203B9" w:rsidP="006203B9">
      <w:pPr>
        <w:pStyle w:val="NormalWeb"/>
        <w:ind w:firstLine="708"/>
        <w:jc w:val="both"/>
        <w:rPr>
          <w:rFonts w:ascii="Abadi" w:hAnsi="Abadi"/>
          <w:sz w:val="21"/>
          <w:szCs w:val="21"/>
        </w:rPr>
      </w:pPr>
      <w:r>
        <w:rPr>
          <w:rFonts w:ascii="Abadi" w:hAnsi="Abadi"/>
          <w:b/>
          <w:bCs/>
          <w:sz w:val="21"/>
          <w:szCs w:val="21"/>
        </w:rPr>
        <w:t xml:space="preserve">- </w:t>
      </w:r>
      <w:r w:rsidR="00BE4771" w:rsidRPr="008E75BA">
        <w:rPr>
          <w:rFonts w:ascii="Abadi" w:hAnsi="Abadi"/>
          <w:b/>
          <w:bCs/>
          <w:sz w:val="21"/>
          <w:szCs w:val="21"/>
        </w:rPr>
        <w:t xml:space="preserve">La </w:t>
      </w:r>
      <w:proofErr w:type="gramStart"/>
      <w:r w:rsidR="00BE4771" w:rsidRPr="008E75BA">
        <w:rPr>
          <w:rFonts w:ascii="Abadi" w:hAnsi="Abadi"/>
          <w:b/>
          <w:bCs/>
          <w:sz w:val="21"/>
          <w:szCs w:val="21"/>
        </w:rPr>
        <w:t>Presidencia.-</w:t>
      </w:r>
      <w:proofErr w:type="gramEnd"/>
      <w:r w:rsidR="00BE4771">
        <w:rPr>
          <w:rFonts w:ascii="Abadi" w:hAnsi="Abadi"/>
          <w:sz w:val="21"/>
          <w:szCs w:val="21"/>
        </w:rPr>
        <w:t xml:space="preserve"> E</w:t>
      </w:r>
      <w:r w:rsidR="00BE4771" w:rsidRPr="0021199F">
        <w:rPr>
          <w:rFonts w:ascii="Abadi" w:hAnsi="Abadi"/>
          <w:sz w:val="21"/>
          <w:szCs w:val="21"/>
        </w:rPr>
        <w:t xml:space="preserve">l dictamen ha sido aprobado por mayoría de votos. </w:t>
      </w:r>
    </w:p>
    <w:p w14:paraId="2F433AFE" w14:textId="7AB0419D" w:rsidR="00BE4771" w:rsidRDefault="006203B9" w:rsidP="00292876">
      <w:pPr>
        <w:pStyle w:val="NormalWeb"/>
        <w:ind w:firstLine="708"/>
        <w:jc w:val="both"/>
        <w:rPr>
          <w:rFonts w:ascii="Abadi" w:hAnsi="Abadi"/>
          <w:sz w:val="21"/>
          <w:szCs w:val="21"/>
        </w:rPr>
      </w:pPr>
      <w:r>
        <w:rPr>
          <w:rFonts w:ascii="Abadi" w:hAnsi="Abadi"/>
          <w:sz w:val="21"/>
          <w:szCs w:val="21"/>
        </w:rPr>
        <w:t xml:space="preserve">- </w:t>
      </w:r>
      <w:r w:rsidR="00BE4771" w:rsidRPr="0021199F">
        <w:rPr>
          <w:rFonts w:ascii="Abadi" w:hAnsi="Abadi"/>
          <w:sz w:val="21"/>
          <w:szCs w:val="21"/>
        </w:rPr>
        <w:t>En consecuencia</w:t>
      </w:r>
      <w:r w:rsidR="00BE4771">
        <w:rPr>
          <w:rFonts w:ascii="Abadi" w:hAnsi="Abadi"/>
          <w:sz w:val="21"/>
          <w:szCs w:val="21"/>
        </w:rPr>
        <w:t>.</w:t>
      </w:r>
    </w:p>
    <w:p w14:paraId="413ADC45" w14:textId="206C4624" w:rsidR="00BE4771" w:rsidRDefault="00BE4771" w:rsidP="00BE4771">
      <w:pPr>
        <w:pStyle w:val="NormalWeb"/>
        <w:ind w:left="284" w:right="616"/>
        <w:jc w:val="both"/>
        <w:rPr>
          <w:rFonts w:ascii="Abadi" w:hAnsi="Abadi"/>
          <w:b/>
          <w:bCs/>
          <w:i/>
          <w:iCs/>
          <w:sz w:val="21"/>
          <w:szCs w:val="21"/>
          <w:u w:val="single"/>
        </w:rPr>
      </w:pPr>
      <w:r w:rsidRPr="00CB3536">
        <w:rPr>
          <w:rFonts w:ascii="Abadi" w:hAnsi="Abadi"/>
          <w:b/>
          <w:bCs/>
          <w:i/>
          <w:iCs/>
          <w:sz w:val="21"/>
          <w:szCs w:val="21"/>
          <w:u w:val="single"/>
        </w:rPr>
        <w:t>Se instruye a la Secretar</w:t>
      </w:r>
      <w:r>
        <w:rPr>
          <w:rFonts w:ascii="Abadi" w:hAnsi="Abadi"/>
          <w:b/>
          <w:bCs/>
          <w:i/>
          <w:iCs/>
          <w:sz w:val="21"/>
          <w:szCs w:val="21"/>
          <w:u w:val="single"/>
        </w:rPr>
        <w:t>í</w:t>
      </w:r>
      <w:r w:rsidRPr="00CB3536">
        <w:rPr>
          <w:rFonts w:ascii="Abadi" w:hAnsi="Abadi"/>
          <w:b/>
          <w:bCs/>
          <w:i/>
          <w:iCs/>
          <w:sz w:val="21"/>
          <w:szCs w:val="21"/>
          <w:u w:val="single"/>
        </w:rPr>
        <w:t xml:space="preserve">a General para que proceda al archivo definitivo de la iniciativa referida en el dictamen aprobado </w:t>
      </w:r>
    </w:p>
    <w:p w14:paraId="64836385" w14:textId="5C08FA22" w:rsidR="009975CC" w:rsidRDefault="00EE2CEF" w:rsidP="00EE2CEF">
      <w:pPr>
        <w:pStyle w:val="NormalWeb"/>
        <w:ind w:firstLine="284"/>
        <w:jc w:val="both"/>
        <w:rPr>
          <w:rFonts w:ascii="Abadi" w:hAnsi="Abadi"/>
          <w:sz w:val="21"/>
          <w:szCs w:val="21"/>
        </w:rPr>
      </w:pPr>
      <w:r>
        <w:rPr>
          <w:rFonts w:ascii="Abadi" w:hAnsi="Abadi"/>
          <w:b/>
          <w:bCs/>
          <w:sz w:val="21"/>
          <w:szCs w:val="21"/>
        </w:rPr>
        <w:t xml:space="preserve">- </w:t>
      </w:r>
      <w:r w:rsidR="009975CC" w:rsidRPr="008E75BA">
        <w:rPr>
          <w:rFonts w:ascii="Abadi" w:hAnsi="Abadi"/>
          <w:b/>
          <w:bCs/>
          <w:sz w:val="21"/>
          <w:szCs w:val="21"/>
        </w:rPr>
        <w:t xml:space="preserve">La </w:t>
      </w:r>
      <w:proofErr w:type="gramStart"/>
      <w:r w:rsidR="009975CC" w:rsidRPr="008E75BA">
        <w:rPr>
          <w:rFonts w:ascii="Abadi" w:hAnsi="Abadi"/>
          <w:b/>
          <w:bCs/>
          <w:sz w:val="21"/>
          <w:szCs w:val="21"/>
        </w:rPr>
        <w:t>Presidencia.-</w:t>
      </w:r>
      <w:proofErr w:type="gramEnd"/>
      <w:r w:rsidR="009975CC">
        <w:rPr>
          <w:rFonts w:ascii="Abadi" w:hAnsi="Abadi"/>
          <w:sz w:val="21"/>
          <w:szCs w:val="21"/>
        </w:rPr>
        <w:t xml:space="preserve"> P</w:t>
      </w:r>
      <w:r w:rsidR="009975CC" w:rsidRPr="0021199F">
        <w:rPr>
          <w:rFonts w:ascii="Abadi" w:hAnsi="Abadi"/>
          <w:sz w:val="21"/>
          <w:szCs w:val="21"/>
        </w:rPr>
        <w:t xml:space="preserve">rocede someter a discusión los dictámenes formulados por la Comisión de Hacienda y Fiscalización contenidos en los puntos del </w:t>
      </w:r>
      <w:r w:rsidR="009975CC">
        <w:rPr>
          <w:rFonts w:ascii="Abadi" w:hAnsi="Abadi"/>
          <w:sz w:val="21"/>
          <w:szCs w:val="21"/>
        </w:rPr>
        <w:t>27 al 34</w:t>
      </w:r>
      <w:r w:rsidR="009975CC" w:rsidRPr="0021199F">
        <w:rPr>
          <w:rFonts w:ascii="Abadi" w:hAnsi="Abadi"/>
          <w:sz w:val="21"/>
          <w:szCs w:val="21"/>
        </w:rPr>
        <w:t xml:space="preserve"> del orden del día.</w:t>
      </w:r>
    </w:p>
    <w:p w14:paraId="1F8DD2A4" w14:textId="2F3B6C44" w:rsidR="009975CC" w:rsidRDefault="00EE2CEF" w:rsidP="00EE2CEF">
      <w:pPr>
        <w:pStyle w:val="NormalWeb"/>
        <w:ind w:firstLine="284"/>
        <w:jc w:val="both"/>
        <w:rPr>
          <w:rFonts w:ascii="Abadi" w:hAnsi="Abadi"/>
          <w:sz w:val="21"/>
          <w:szCs w:val="21"/>
        </w:rPr>
      </w:pPr>
      <w:r>
        <w:rPr>
          <w:rFonts w:ascii="Abadi" w:hAnsi="Abadi"/>
          <w:sz w:val="21"/>
          <w:szCs w:val="21"/>
        </w:rPr>
        <w:t xml:space="preserve">- </w:t>
      </w:r>
      <w:r w:rsidR="009975CC" w:rsidRPr="0021199F">
        <w:rPr>
          <w:rFonts w:ascii="Abadi" w:hAnsi="Abadi"/>
          <w:sz w:val="21"/>
          <w:szCs w:val="21"/>
        </w:rPr>
        <w:t>Si alguna diputada o algún diputado desea hacer uso de la palabra en pro o en contra, manifiést</w:t>
      </w:r>
      <w:r w:rsidR="009975CC">
        <w:rPr>
          <w:rFonts w:ascii="Abadi" w:hAnsi="Abadi"/>
          <w:sz w:val="21"/>
          <w:szCs w:val="21"/>
        </w:rPr>
        <w:t>enlo</w:t>
      </w:r>
      <w:r w:rsidR="009975CC" w:rsidRPr="0021199F">
        <w:rPr>
          <w:rFonts w:ascii="Abadi" w:hAnsi="Abadi"/>
          <w:sz w:val="21"/>
          <w:szCs w:val="21"/>
        </w:rPr>
        <w:t xml:space="preserve"> indicando el sentido de su participación. </w:t>
      </w:r>
    </w:p>
    <w:p w14:paraId="1ED69195" w14:textId="093D45E0" w:rsidR="009975CC" w:rsidRDefault="00EE2CEF" w:rsidP="00EE2CEF">
      <w:pPr>
        <w:pStyle w:val="NormalWeb"/>
        <w:ind w:firstLine="284"/>
        <w:jc w:val="both"/>
        <w:rPr>
          <w:rFonts w:ascii="Abadi" w:hAnsi="Abadi"/>
          <w:sz w:val="21"/>
          <w:szCs w:val="21"/>
        </w:rPr>
      </w:pPr>
      <w:r>
        <w:rPr>
          <w:rFonts w:ascii="Abadi" w:hAnsi="Abadi"/>
          <w:sz w:val="21"/>
          <w:szCs w:val="21"/>
        </w:rPr>
        <w:t xml:space="preserve">- </w:t>
      </w:r>
      <w:r w:rsidR="009975CC" w:rsidRPr="0021199F">
        <w:rPr>
          <w:rFonts w:ascii="Abadi" w:hAnsi="Abadi"/>
          <w:sz w:val="21"/>
          <w:szCs w:val="21"/>
        </w:rPr>
        <w:t>En vi</w:t>
      </w:r>
      <w:r w:rsidR="009975CC">
        <w:rPr>
          <w:rFonts w:ascii="Abadi" w:hAnsi="Abadi"/>
          <w:sz w:val="21"/>
          <w:szCs w:val="21"/>
        </w:rPr>
        <w:t>rtud</w:t>
      </w:r>
      <w:r w:rsidR="009975CC" w:rsidRPr="0021199F">
        <w:rPr>
          <w:rFonts w:ascii="Abadi" w:hAnsi="Abadi"/>
          <w:sz w:val="21"/>
          <w:szCs w:val="21"/>
        </w:rPr>
        <w:t xml:space="preserve"> de que no se ha registrado participaciones, se pide la Secreta</w:t>
      </w:r>
      <w:r w:rsidR="00466112">
        <w:rPr>
          <w:rFonts w:ascii="Abadi" w:hAnsi="Abadi"/>
          <w:sz w:val="21"/>
          <w:szCs w:val="21"/>
        </w:rPr>
        <w:t>ri</w:t>
      </w:r>
      <w:r w:rsidR="009975CC" w:rsidRPr="0021199F">
        <w:rPr>
          <w:rFonts w:ascii="Abadi" w:hAnsi="Abadi"/>
          <w:sz w:val="21"/>
          <w:szCs w:val="21"/>
        </w:rPr>
        <w:t>a que proceda recabar votación nominal de la Asamblea a través del sistema electrónico</w:t>
      </w:r>
      <w:r w:rsidR="009975CC">
        <w:rPr>
          <w:rFonts w:ascii="Abadi" w:hAnsi="Abadi"/>
          <w:sz w:val="21"/>
          <w:szCs w:val="21"/>
        </w:rPr>
        <w:t xml:space="preserve"> a e</w:t>
      </w:r>
      <w:r w:rsidR="009975CC" w:rsidRPr="0021199F">
        <w:rPr>
          <w:rFonts w:ascii="Abadi" w:hAnsi="Abadi"/>
          <w:sz w:val="21"/>
          <w:szCs w:val="21"/>
        </w:rPr>
        <w:t xml:space="preserve">fecto de aprobar o no los dictámenes puestos a su consideración. </w:t>
      </w:r>
    </w:p>
    <w:p w14:paraId="289BB6DB" w14:textId="1F60D298" w:rsidR="009975CC" w:rsidRPr="00F31F41" w:rsidRDefault="009975CC" w:rsidP="00EE2CEF">
      <w:pPr>
        <w:pStyle w:val="NormalWeb"/>
        <w:jc w:val="center"/>
        <w:rPr>
          <w:rFonts w:ascii="Abadi" w:hAnsi="Abadi"/>
          <w:b/>
          <w:bCs/>
          <w:sz w:val="21"/>
          <w:szCs w:val="21"/>
        </w:rPr>
      </w:pPr>
      <w:r w:rsidRPr="00F31F41">
        <w:rPr>
          <w:rFonts w:ascii="Abadi" w:hAnsi="Abadi"/>
          <w:b/>
          <w:bCs/>
          <w:sz w:val="21"/>
          <w:szCs w:val="21"/>
        </w:rPr>
        <w:t>(</w:t>
      </w:r>
      <w:r w:rsidRPr="00F31F41">
        <w:rPr>
          <w:rFonts w:ascii="Abadi" w:hAnsi="Abadi"/>
          <w:b/>
          <w:sz w:val="21"/>
          <w:szCs w:val="21"/>
        </w:rPr>
        <w:t>Se abre el sistema electrónico</w:t>
      </w:r>
      <w:r w:rsidRPr="00F31F41">
        <w:rPr>
          <w:rFonts w:ascii="Abadi" w:hAnsi="Abadi"/>
          <w:b/>
          <w:bCs/>
          <w:sz w:val="21"/>
          <w:szCs w:val="21"/>
        </w:rPr>
        <w:t>)</w:t>
      </w:r>
    </w:p>
    <w:p w14:paraId="78C2AC19" w14:textId="0824479B" w:rsidR="009975CC" w:rsidRDefault="00EE2CEF" w:rsidP="00EE2CEF">
      <w:pPr>
        <w:pStyle w:val="NormalWeb"/>
        <w:ind w:firstLine="708"/>
        <w:jc w:val="both"/>
        <w:rPr>
          <w:rFonts w:ascii="Abadi" w:hAnsi="Abadi"/>
          <w:sz w:val="21"/>
          <w:szCs w:val="21"/>
        </w:rPr>
      </w:pPr>
      <w:r>
        <w:rPr>
          <w:rFonts w:ascii="Abadi" w:hAnsi="Abadi"/>
          <w:b/>
          <w:bCs/>
          <w:sz w:val="21"/>
          <w:szCs w:val="21"/>
        </w:rPr>
        <w:t xml:space="preserve">- </w:t>
      </w:r>
      <w:r w:rsidR="009975CC" w:rsidRPr="00F31F41">
        <w:rPr>
          <w:rFonts w:ascii="Abadi" w:hAnsi="Abadi"/>
          <w:b/>
          <w:bCs/>
          <w:sz w:val="21"/>
          <w:szCs w:val="21"/>
        </w:rPr>
        <w:t xml:space="preserve">La </w:t>
      </w:r>
      <w:proofErr w:type="gramStart"/>
      <w:r w:rsidR="009975CC" w:rsidRPr="00F31F41">
        <w:rPr>
          <w:rFonts w:ascii="Abadi" w:hAnsi="Abadi"/>
          <w:b/>
          <w:bCs/>
          <w:sz w:val="21"/>
          <w:szCs w:val="21"/>
        </w:rPr>
        <w:t>Secretar</w:t>
      </w:r>
      <w:r w:rsidR="009975CC">
        <w:rPr>
          <w:rFonts w:ascii="Abadi" w:hAnsi="Abadi"/>
          <w:b/>
          <w:bCs/>
          <w:sz w:val="21"/>
          <w:szCs w:val="21"/>
        </w:rPr>
        <w:t>i</w:t>
      </w:r>
      <w:r w:rsidR="009975CC" w:rsidRPr="00F31F41">
        <w:rPr>
          <w:rFonts w:ascii="Abadi" w:hAnsi="Abadi"/>
          <w:b/>
          <w:bCs/>
          <w:sz w:val="21"/>
          <w:szCs w:val="21"/>
        </w:rPr>
        <w:t>a.-</w:t>
      </w:r>
      <w:proofErr w:type="gramEnd"/>
      <w:r w:rsidR="009975CC">
        <w:rPr>
          <w:rFonts w:ascii="Abadi" w:hAnsi="Abadi"/>
          <w:sz w:val="21"/>
          <w:szCs w:val="21"/>
        </w:rPr>
        <w:t xml:space="preserve"> E</w:t>
      </w:r>
      <w:r w:rsidR="009975CC" w:rsidRPr="0021199F">
        <w:rPr>
          <w:rFonts w:ascii="Abadi" w:hAnsi="Abadi"/>
          <w:sz w:val="21"/>
          <w:szCs w:val="21"/>
        </w:rPr>
        <w:t>n votación nominal por el sistema electrónico</w:t>
      </w:r>
      <w:r w:rsidR="009975CC">
        <w:rPr>
          <w:rFonts w:ascii="Abadi" w:hAnsi="Abadi"/>
          <w:sz w:val="21"/>
          <w:szCs w:val="21"/>
        </w:rPr>
        <w:t>, s</w:t>
      </w:r>
      <w:r w:rsidR="009975CC" w:rsidRPr="0021199F">
        <w:rPr>
          <w:rFonts w:ascii="Abadi" w:hAnsi="Abadi"/>
          <w:sz w:val="21"/>
          <w:szCs w:val="21"/>
        </w:rPr>
        <w:t xml:space="preserve">e pregunta a las diputadas </w:t>
      </w:r>
      <w:r w:rsidR="009975CC">
        <w:rPr>
          <w:rFonts w:ascii="Abadi" w:hAnsi="Abadi"/>
          <w:sz w:val="21"/>
          <w:szCs w:val="21"/>
        </w:rPr>
        <w:t>y</w:t>
      </w:r>
      <w:r w:rsidR="009975CC" w:rsidRPr="0021199F">
        <w:rPr>
          <w:rFonts w:ascii="Abadi" w:hAnsi="Abadi"/>
          <w:sz w:val="21"/>
          <w:szCs w:val="21"/>
        </w:rPr>
        <w:t xml:space="preserve"> los diputados</w:t>
      </w:r>
      <w:r w:rsidR="009975CC">
        <w:rPr>
          <w:rFonts w:ascii="Abadi" w:hAnsi="Abadi"/>
          <w:sz w:val="21"/>
          <w:szCs w:val="21"/>
        </w:rPr>
        <w:t xml:space="preserve">, </w:t>
      </w:r>
      <w:r w:rsidR="009975CC" w:rsidRPr="0021199F">
        <w:rPr>
          <w:rFonts w:ascii="Abadi" w:hAnsi="Abadi"/>
          <w:sz w:val="21"/>
          <w:szCs w:val="21"/>
        </w:rPr>
        <w:t>si se aprueban los dictámenes puestos a su consideración</w:t>
      </w:r>
      <w:r w:rsidR="009975CC">
        <w:rPr>
          <w:rFonts w:ascii="Abadi" w:hAnsi="Abadi"/>
          <w:sz w:val="21"/>
          <w:szCs w:val="21"/>
        </w:rPr>
        <w:t>.</w:t>
      </w:r>
    </w:p>
    <w:p w14:paraId="5F51324B" w14:textId="3B8B15A5" w:rsidR="009975CC" w:rsidRDefault="009975CC" w:rsidP="009975CC">
      <w:pPr>
        <w:pStyle w:val="NormalWeb"/>
        <w:jc w:val="both"/>
        <w:rPr>
          <w:rFonts w:ascii="Abadi" w:hAnsi="Abadi"/>
          <w:sz w:val="21"/>
          <w:szCs w:val="21"/>
        </w:rPr>
      </w:pPr>
      <w:r>
        <w:rPr>
          <w:rFonts w:ascii="Abadi" w:hAnsi="Abadi"/>
          <w:sz w:val="21"/>
          <w:szCs w:val="21"/>
        </w:rPr>
        <w:t>¿</w:t>
      </w:r>
      <w:r w:rsidRPr="0021199F">
        <w:rPr>
          <w:rFonts w:ascii="Abadi" w:hAnsi="Abadi"/>
          <w:sz w:val="21"/>
          <w:szCs w:val="21"/>
        </w:rPr>
        <w:t>Falta alguna diputad</w:t>
      </w:r>
      <w:r w:rsidR="008E6DD9">
        <w:rPr>
          <w:rFonts w:ascii="Abadi" w:hAnsi="Abadi"/>
          <w:sz w:val="21"/>
          <w:szCs w:val="21"/>
        </w:rPr>
        <w:t>a o</w:t>
      </w:r>
      <w:r w:rsidRPr="0021199F">
        <w:rPr>
          <w:rFonts w:ascii="Abadi" w:hAnsi="Abadi"/>
          <w:sz w:val="21"/>
          <w:szCs w:val="21"/>
        </w:rPr>
        <w:t xml:space="preserve"> algún diputado de emitir su voto</w:t>
      </w:r>
      <w:r>
        <w:rPr>
          <w:rFonts w:ascii="Abadi" w:hAnsi="Abadi"/>
          <w:sz w:val="21"/>
          <w:szCs w:val="21"/>
        </w:rPr>
        <w:t>?</w:t>
      </w:r>
      <w:r w:rsidRPr="0021199F">
        <w:rPr>
          <w:rFonts w:ascii="Abadi" w:hAnsi="Abadi"/>
          <w:sz w:val="21"/>
          <w:szCs w:val="21"/>
        </w:rPr>
        <w:t xml:space="preserve"> </w:t>
      </w:r>
    </w:p>
    <w:p w14:paraId="490340C9" w14:textId="61CA1D53" w:rsidR="009975CC" w:rsidRDefault="009975CC" w:rsidP="008E6DD9">
      <w:pPr>
        <w:pStyle w:val="NormalWeb"/>
        <w:jc w:val="center"/>
        <w:rPr>
          <w:rFonts w:ascii="Abadi" w:hAnsi="Abadi"/>
          <w:b/>
          <w:bCs/>
          <w:sz w:val="21"/>
          <w:szCs w:val="21"/>
        </w:rPr>
      </w:pPr>
      <w:r w:rsidRPr="00F31F41">
        <w:rPr>
          <w:rFonts w:ascii="Abadi" w:hAnsi="Abadi"/>
          <w:b/>
          <w:bCs/>
          <w:sz w:val="21"/>
          <w:szCs w:val="21"/>
        </w:rPr>
        <w:t>(</w:t>
      </w:r>
      <w:r w:rsidRPr="00F31F41">
        <w:rPr>
          <w:rFonts w:ascii="Abadi" w:hAnsi="Abadi"/>
          <w:b/>
          <w:sz w:val="21"/>
          <w:szCs w:val="21"/>
        </w:rPr>
        <w:t>Se cierra el sistema electrónico</w:t>
      </w:r>
      <w:r w:rsidRPr="00F31F41">
        <w:rPr>
          <w:rFonts w:ascii="Abadi" w:hAnsi="Abadi"/>
          <w:b/>
          <w:bCs/>
          <w:sz w:val="21"/>
          <w:szCs w:val="21"/>
        </w:rPr>
        <w:t>)</w:t>
      </w:r>
    </w:p>
    <w:p w14:paraId="1CD93B2F" w14:textId="77777777" w:rsidR="009975CC" w:rsidRDefault="009975CC" w:rsidP="009975CC">
      <w:pPr>
        <w:pStyle w:val="NormalWeb"/>
        <w:jc w:val="both"/>
        <w:rPr>
          <w:rFonts w:ascii="Abadi" w:hAnsi="Abadi"/>
          <w:b/>
          <w:bCs/>
          <w:sz w:val="21"/>
          <w:szCs w:val="21"/>
        </w:rPr>
      </w:pPr>
      <w:r>
        <w:rPr>
          <w:noProof/>
        </w:rPr>
        <w:drawing>
          <wp:inline distT="0" distB="0" distL="0" distR="0" wp14:anchorId="2B520469" wp14:editId="047FFC47">
            <wp:extent cx="1924050" cy="999253"/>
            <wp:effectExtent l="152400" t="152400" r="361950" b="353695"/>
            <wp:docPr id="57" name="Imagen 57"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Texto&#10;&#10;Descripción generada automáticamente"/>
                    <pic:cNvPicPr/>
                  </pic:nvPicPr>
                  <pic:blipFill rotWithShape="1">
                    <a:blip r:embed="rId70"/>
                    <a:srcRect b="7627"/>
                    <a:stretch/>
                  </pic:blipFill>
                  <pic:spPr bwMode="auto">
                    <a:xfrm>
                      <a:off x="0" y="0"/>
                      <a:ext cx="1933675" cy="10042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E077037" w14:textId="0ACE6E99" w:rsidR="009975CC" w:rsidRDefault="008E6DD9" w:rsidP="008E6DD9">
      <w:pPr>
        <w:pStyle w:val="NormalWeb"/>
        <w:ind w:firstLine="708"/>
        <w:jc w:val="both"/>
        <w:rPr>
          <w:rFonts w:ascii="Abadi" w:hAnsi="Abadi"/>
          <w:sz w:val="21"/>
          <w:szCs w:val="21"/>
        </w:rPr>
      </w:pPr>
      <w:r>
        <w:rPr>
          <w:rFonts w:ascii="Abadi" w:hAnsi="Abadi"/>
          <w:b/>
          <w:bCs/>
          <w:sz w:val="21"/>
          <w:szCs w:val="21"/>
        </w:rPr>
        <w:t xml:space="preserve">- </w:t>
      </w:r>
      <w:r w:rsidR="009975CC" w:rsidRPr="00F31F41">
        <w:rPr>
          <w:rFonts w:ascii="Abadi" w:hAnsi="Abadi"/>
          <w:b/>
          <w:bCs/>
          <w:sz w:val="21"/>
          <w:szCs w:val="21"/>
        </w:rPr>
        <w:t xml:space="preserve">La </w:t>
      </w:r>
      <w:proofErr w:type="gramStart"/>
      <w:r w:rsidR="009975CC" w:rsidRPr="00F31F41">
        <w:rPr>
          <w:rFonts w:ascii="Abadi" w:hAnsi="Abadi"/>
          <w:b/>
          <w:bCs/>
          <w:sz w:val="21"/>
          <w:szCs w:val="21"/>
        </w:rPr>
        <w:t>Secretar</w:t>
      </w:r>
      <w:r w:rsidR="009975CC">
        <w:rPr>
          <w:rFonts w:ascii="Abadi" w:hAnsi="Abadi"/>
          <w:b/>
          <w:bCs/>
          <w:sz w:val="21"/>
          <w:szCs w:val="21"/>
        </w:rPr>
        <w:t>i</w:t>
      </w:r>
      <w:r w:rsidR="009975CC" w:rsidRPr="00F31F41">
        <w:rPr>
          <w:rFonts w:ascii="Abadi" w:hAnsi="Abadi"/>
          <w:b/>
          <w:bCs/>
          <w:sz w:val="21"/>
          <w:szCs w:val="21"/>
        </w:rPr>
        <w:t>a.-</w:t>
      </w:r>
      <w:proofErr w:type="gramEnd"/>
      <w:r w:rsidR="009975CC">
        <w:rPr>
          <w:rFonts w:ascii="Abadi" w:hAnsi="Abadi"/>
          <w:b/>
          <w:bCs/>
          <w:sz w:val="21"/>
          <w:szCs w:val="21"/>
        </w:rPr>
        <w:t xml:space="preserve"> </w:t>
      </w:r>
      <w:r w:rsidR="009975CC">
        <w:rPr>
          <w:rFonts w:ascii="Abadi" w:hAnsi="Abadi"/>
          <w:sz w:val="21"/>
          <w:szCs w:val="21"/>
        </w:rPr>
        <w:t>S</w:t>
      </w:r>
      <w:r w:rsidR="009975CC" w:rsidRPr="0021199F">
        <w:rPr>
          <w:rFonts w:ascii="Abadi" w:hAnsi="Abadi"/>
          <w:sz w:val="21"/>
          <w:szCs w:val="21"/>
        </w:rPr>
        <w:t xml:space="preserve">e registraron </w:t>
      </w:r>
      <w:r w:rsidR="009975CC">
        <w:rPr>
          <w:rFonts w:ascii="Abadi" w:hAnsi="Abadi"/>
          <w:sz w:val="21"/>
          <w:szCs w:val="21"/>
        </w:rPr>
        <w:t>26</w:t>
      </w:r>
      <w:r w:rsidR="009975CC" w:rsidRPr="0021199F">
        <w:rPr>
          <w:rFonts w:ascii="Abadi" w:hAnsi="Abadi"/>
          <w:sz w:val="21"/>
          <w:szCs w:val="21"/>
        </w:rPr>
        <w:t xml:space="preserve"> votos a favor y </w:t>
      </w:r>
      <w:r w:rsidR="009975CC">
        <w:rPr>
          <w:rFonts w:ascii="Abadi" w:hAnsi="Abadi"/>
          <w:sz w:val="21"/>
          <w:szCs w:val="21"/>
        </w:rPr>
        <w:t>10</w:t>
      </w:r>
      <w:r w:rsidR="009975CC" w:rsidRPr="0021199F">
        <w:rPr>
          <w:rFonts w:ascii="Abadi" w:hAnsi="Abadi"/>
          <w:sz w:val="21"/>
          <w:szCs w:val="21"/>
        </w:rPr>
        <w:t xml:space="preserve"> votos en contra. </w:t>
      </w:r>
    </w:p>
    <w:p w14:paraId="2E68EE2F" w14:textId="648CD3A0" w:rsidR="009975CC" w:rsidRDefault="001531D6" w:rsidP="001531D6">
      <w:pPr>
        <w:pStyle w:val="NormalWeb"/>
        <w:ind w:firstLine="708"/>
        <w:jc w:val="both"/>
        <w:rPr>
          <w:rFonts w:ascii="Abadi" w:hAnsi="Abadi"/>
          <w:sz w:val="21"/>
          <w:szCs w:val="21"/>
        </w:rPr>
      </w:pPr>
      <w:r>
        <w:rPr>
          <w:rFonts w:ascii="Abadi" w:hAnsi="Abadi"/>
          <w:b/>
          <w:bCs/>
          <w:sz w:val="21"/>
          <w:szCs w:val="21"/>
        </w:rPr>
        <w:t xml:space="preserve">- </w:t>
      </w:r>
      <w:r w:rsidR="009975CC" w:rsidRPr="008E75BA">
        <w:rPr>
          <w:rFonts w:ascii="Abadi" w:hAnsi="Abadi"/>
          <w:b/>
          <w:bCs/>
          <w:sz w:val="21"/>
          <w:szCs w:val="21"/>
        </w:rPr>
        <w:t xml:space="preserve">La </w:t>
      </w:r>
      <w:proofErr w:type="gramStart"/>
      <w:r w:rsidR="009975CC" w:rsidRPr="008E75BA">
        <w:rPr>
          <w:rFonts w:ascii="Abadi" w:hAnsi="Abadi"/>
          <w:b/>
          <w:bCs/>
          <w:sz w:val="21"/>
          <w:szCs w:val="21"/>
        </w:rPr>
        <w:t>Presidencia.-</w:t>
      </w:r>
      <w:proofErr w:type="gramEnd"/>
      <w:r w:rsidR="009975CC">
        <w:rPr>
          <w:rFonts w:ascii="Abadi" w:hAnsi="Abadi"/>
          <w:sz w:val="21"/>
          <w:szCs w:val="21"/>
        </w:rPr>
        <w:t xml:space="preserve"> </w:t>
      </w:r>
      <w:r w:rsidR="009975CC" w:rsidRPr="0021199F">
        <w:rPr>
          <w:rFonts w:ascii="Abadi" w:hAnsi="Abadi"/>
          <w:sz w:val="21"/>
          <w:szCs w:val="21"/>
        </w:rPr>
        <w:t xml:space="preserve">Los dictámenes han sido aprobados por mayoría de votos. </w:t>
      </w:r>
    </w:p>
    <w:p w14:paraId="0A8652D3" w14:textId="02F07E3A" w:rsidR="009975CC" w:rsidRDefault="001531D6" w:rsidP="00DE23C8">
      <w:pPr>
        <w:pStyle w:val="NormalWeb"/>
        <w:ind w:firstLine="567"/>
        <w:jc w:val="both"/>
        <w:rPr>
          <w:rFonts w:ascii="Abadi" w:hAnsi="Abadi"/>
          <w:sz w:val="21"/>
          <w:szCs w:val="21"/>
        </w:rPr>
      </w:pPr>
      <w:r>
        <w:rPr>
          <w:rFonts w:ascii="Abadi" w:hAnsi="Abadi"/>
          <w:sz w:val="21"/>
          <w:szCs w:val="21"/>
        </w:rPr>
        <w:t xml:space="preserve">- </w:t>
      </w:r>
      <w:r w:rsidR="009975CC" w:rsidRPr="0021199F">
        <w:rPr>
          <w:rFonts w:ascii="Abadi" w:hAnsi="Abadi"/>
          <w:sz w:val="21"/>
          <w:szCs w:val="21"/>
        </w:rPr>
        <w:t>En consecuencia</w:t>
      </w:r>
      <w:r w:rsidR="009975CC">
        <w:rPr>
          <w:rFonts w:ascii="Abadi" w:hAnsi="Abadi"/>
          <w:sz w:val="21"/>
          <w:szCs w:val="21"/>
        </w:rPr>
        <w:t xml:space="preserve">. </w:t>
      </w:r>
    </w:p>
    <w:p w14:paraId="5E2422A5" w14:textId="77777777" w:rsidR="009975CC" w:rsidRPr="006659AD" w:rsidRDefault="009975CC" w:rsidP="00CF4C6C">
      <w:pPr>
        <w:pStyle w:val="NormalWeb"/>
        <w:ind w:left="567" w:right="212"/>
        <w:jc w:val="both"/>
        <w:rPr>
          <w:rFonts w:ascii="Abadi" w:hAnsi="Abadi"/>
          <w:b/>
          <w:bCs/>
          <w:i/>
          <w:iCs/>
          <w:sz w:val="21"/>
          <w:szCs w:val="21"/>
          <w:u w:val="single"/>
        </w:rPr>
      </w:pPr>
      <w:r w:rsidRPr="006659AD">
        <w:rPr>
          <w:rFonts w:ascii="Abadi" w:hAnsi="Abadi"/>
          <w:b/>
          <w:bCs/>
          <w:i/>
          <w:iCs/>
          <w:sz w:val="21"/>
          <w:szCs w:val="21"/>
          <w:u w:val="single"/>
        </w:rPr>
        <w:t>Con fundamento en el artículo 37, fracción VI de la Ley de Fiscalización Superior del Estado de Guanajuato, remíta</w:t>
      </w:r>
      <w:r>
        <w:rPr>
          <w:rFonts w:ascii="Abadi" w:hAnsi="Abadi"/>
          <w:b/>
          <w:bCs/>
          <w:i/>
          <w:iCs/>
          <w:sz w:val="21"/>
          <w:szCs w:val="21"/>
          <w:u w:val="single"/>
        </w:rPr>
        <w:t>n</w:t>
      </w:r>
      <w:r w:rsidRPr="006659AD">
        <w:rPr>
          <w:rFonts w:ascii="Abadi" w:hAnsi="Abadi"/>
          <w:b/>
          <w:bCs/>
          <w:i/>
          <w:iCs/>
          <w:sz w:val="21"/>
          <w:szCs w:val="21"/>
          <w:u w:val="single"/>
        </w:rPr>
        <w:t xml:space="preserve">se los acuerdos aprobados, junto con sus dictámenes y los informes de resultados a la Auditoría Superior del Estado de Guanajuato para efectos de su notificación. </w:t>
      </w:r>
    </w:p>
    <w:p w14:paraId="54B29B5B" w14:textId="7AC71F85" w:rsidR="00021259" w:rsidRDefault="00021259" w:rsidP="00343CA9">
      <w:pPr>
        <w:pStyle w:val="Prrafodelista"/>
        <w:numPr>
          <w:ilvl w:val="0"/>
          <w:numId w:val="28"/>
        </w:numPr>
        <w:autoSpaceDE w:val="0"/>
        <w:autoSpaceDN w:val="0"/>
        <w:adjustRightInd w:val="0"/>
        <w:ind w:left="426"/>
        <w:jc w:val="both"/>
        <w:rPr>
          <w:rFonts w:ascii="Abadi" w:hAnsi="Abadi" w:cs="ArialMT"/>
          <w:b/>
          <w:bCs/>
          <w:sz w:val="20"/>
          <w:szCs w:val="21"/>
        </w:rPr>
      </w:pPr>
      <w:r w:rsidRPr="001D2CB5">
        <w:rPr>
          <w:rFonts w:ascii="Abadi" w:hAnsi="Abadi" w:cs="ArialMT"/>
          <w:b/>
          <w:bCs/>
          <w:sz w:val="20"/>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CORONEO, GTO., CON ENFOQUE A RESULTADOS DEL SERVICIO DE ALUMBRADO PÚBLICO, POR EL PERIODO COMPRENDIDO</w:t>
      </w:r>
      <w:r w:rsidR="001D2CB5" w:rsidRPr="001D2CB5">
        <w:rPr>
          <w:rFonts w:ascii="Abadi" w:hAnsi="Abadi" w:cs="ArialMT"/>
          <w:b/>
          <w:bCs/>
          <w:sz w:val="20"/>
          <w:szCs w:val="21"/>
        </w:rPr>
        <w:t xml:space="preserve"> </w:t>
      </w:r>
      <w:r w:rsidRPr="001D2CB5">
        <w:rPr>
          <w:rFonts w:ascii="Abadi" w:hAnsi="Abadi" w:cs="ArialMT"/>
          <w:b/>
          <w:bCs/>
          <w:sz w:val="20"/>
          <w:szCs w:val="21"/>
        </w:rPr>
        <w:t>DEL 1 DE ENERO AL 31 DE DICIEMBRE DEL EJERCICIO FISCAL DEL AÑO 2020.</w:t>
      </w:r>
    </w:p>
    <w:p w14:paraId="441122D5" w14:textId="0C5912F2" w:rsidR="00C273F9" w:rsidRDefault="00C273F9" w:rsidP="00C273F9">
      <w:pPr>
        <w:autoSpaceDE w:val="0"/>
        <w:autoSpaceDN w:val="0"/>
        <w:adjustRightInd w:val="0"/>
        <w:jc w:val="both"/>
        <w:rPr>
          <w:rFonts w:ascii="Abadi" w:hAnsi="Abadi" w:cs="ArialMT"/>
          <w:b/>
          <w:bCs/>
          <w:sz w:val="20"/>
          <w:szCs w:val="21"/>
        </w:rPr>
      </w:pPr>
    </w:p>
    <w:p w14:paraId="5038836A" w14:textId="69E60F47" w:rsidR="00C273F9" w:rsidRDefault="00C273F9" w:rsidP="00C273F9">
      <w:pPr>
        <w:autoSpaceDE w:val="0"/>
        <w:autoSpaceDN w:val="0"/>
        <w:adjustRightInd w:val="0"/>
        <w:jc w:val="both"/>
        <w:rPr>
          <w:rFonts w:ascii="Abadi" w:hAnsi="Abadi" w:cs="ArialMT"/>
          <w:b/>
          <w:bCs/>
          <w:sz w:val="20"/>
          <w:szCs w:val="21"/>
        </w:rPr>
      </w:pPr>
    </w:p>
    <w:p w14:paraId="09B05D4C" w14:textId="77777777" w:rsidR="000939C4" w:rsidRPr="009E34BC" w:rsidRDefault="000939C4" w:rsidP="000939C4">
      <w:pPr>
        <w:autoSpaceDE w:val="0"/>
        <w:autoSpaceDN w:val="0"/>
        <w:adjustRightInd w:val="0"/>
        <w:jc w:val="both"/>
        <w:rPr>
          <w:rFonts w:ascii="Abadi" w:hAnsi="Abadi" w:cs="*Arial-Bold-6967-Identity-H"/>
          <w:b/>
          <w:bCs/>
          <w:color w:val="0F0E12"/>
          <w:sz w:val="21"/>
          <w:szCs w:val="21"/>
        </w:rPr>
      </w:pPr>
      <w:r w:rsidRPr="009E34BC">
        <w:rPr>
          <w:rFonts w:ascii="Abadi" w:hAnsi="Abadi" w:cs="*Arial-Bold-6967-Identity-H"/>
          <w:b/>
          <w:bCs/>
          <w:color w:val="0F0E12"/>
          <w:sz w:val="21"/>
          <w:szCs w:val="21"/>
        </w:rPr>
        <w:t>C. PRESIDENTA DEL CONGRESO DEL ESTADO.</w:t>
      </w:r>
    </w:p>
    <w:p w14:paraId="4DF7DB70" w14:textId="77777777" w:rsidR="000939C4" w:rsidRDefault="000939C4" w:rsidP="000939C4">
      <w:pPr>
        <w:autoSpaceDE w:val="0"/>
        <w:autoSpaceDN w:val="0"/>
        <w:adjustRightInd w:val="0"/>
        <w:jc w:val="both"/>
        <w:rPr>
          <w:rFonts w:ascii="Abadi" w:hAnsi="Abadi" w:cs="*Arial-Bold-6967-Identity-H"/>
          <w:b/>
          <w:bCs/>
          <w:color w:val="0F0E12"/>
          <w:sz w:val="21"/>
          <w:szCs w:val="21"/>
        </w:rPr>
      </w:pPr>
      <w:r w:rsidRPr="009E34BC">
        <w:rPr>
          <w:rFonts w:ascii="Abadi" w:hAnsi="Abadi" w:cs="*Arial-Bold-6967-Identity-H"/>
          <w:b/>
          <w:bCs/>
          <w:color w:val="0F0E12"/>
          <w:sz w:val="21"/>
          <w:szCs w:val="21"/>
        </w:rPr>
        <w:t>P R</w:t>
      </w:r>
      <w:r>
        <w:rPr>
          <w:rFonts w:ascii="Abadi" w:hAnsi="Abadi" w:cs="*Arial-Bold-6967-Identity-H"/>
          <w:b/>
          <w:bCs/>
          <w:color w:val="0F0E12"/>
          <w:sz w:val="21"/>
          <w:szCs w:val="21"/>
        </w:rPr>
        <w:t xml:space="preserve"> </w:t>
      </w:r>
      <w:r w:rsidRPr="009E34BC">
        <w:rPr>
          <w:rFonts w:ascii="Abadi" w:hAnsi="Abadi" w:cs="*Arial-Bold-6967-Identity-H"/>
          <w:b/>
          <w:bCs/>
          <w:color w:val="0F0E12"/>
          <w:sz w:val="21"/>
          <w:szCs w:val="21"/>
        </w:rPr>
        <w:t>E</w:t>
      </w:r>
      <w:r>
        <w:rPr>
          <w:rFonts w:ascii="Abadi" w:hAnsi="Abadi" w:cs="*Arial-Bold-6967-Identity-H"/>
          <w:b/>
          <w:bCs/>
          <w:color w:val="0F0E12"/>
          <w:sz w:val="21"/>
          <w:szCs w:val="21"/>
        </w:rPr>
        <w:t xml:space="preserve"> </w:t>
      </w:r>
      <w:r w:rsidRPr="009E34BC">
        <w:rPr>
          <w:rFonts w:ascii="Abadi" w:hAnsi="Abadi" w:cs="*Arial-Bold-6967-Identity-H"/>
          <w:b/>
          <w:bCs/>
          <w:color w:val="0F0E12"/>
          <w:sz w:val="21"/>
          <w:szCs w:val="21"/>
        </w:rPr>
        <w:t>S</w:t>
      </w:r>
      <w:r>
        <w:rPr>
          <w:rFonts w:ascii="Abadi" w:hAnsi="Abadi" w:cs="*Arial-Bold-6967-Identity-H"/>
          <w:b/>
          <w:bCs/>
          <w:color w:val="0F0E12"/>
          <w:sz w:val="21"/>
          <w:szCs w:val="21"/>
        </w:rPr>
        <w:t xml:space="preserve"> </w:t>
      </w:r>
      <w:r w:rsidRPr="009E34BC">
        <w:rPr>
          <w:rFonts w:ascii="Abadi" w:hAnsi="Abadi" w:cs="*Arial-Bold-6967-Identity-H"/>
          <w:b/>
          <w:bCs/>
          <w:color w:val="0F0E12"/>
          <w:sz w:val="21"/>
          <w:szCs w:val="21"/>
        </w:rPr>
        <w:t>E</w:t>
      </w:r>
      <w:r>
        <w:rPr>
          <w:rFonts w:ascii="Abadi" w:hAnsi="Abadi" w:cs="*Arial-Bold-6967-Identity-H"/>
          <w:b/>
          <w:bCs/>
          <w:color w:val="0F0E12"/>
          <w:sz w:val="21"/>
          <w:szCs w:val="21"/>
        </w:rPr>
        <w:t xml:space="preserve"> </w:t>
      </w:r>
      <w:r w:rsidRPr="009E34BC">
        <w:rPr>
          <w:rFonts w:ascii="Abadi" w:hAnsi="Abadi" w:cs="*Arial-Bold-6967-Identity-H"/>
          <w:b/>
          <w:bCs/>
          <w:color w:val="0F0E12"/>
          <w:sz w:val="21"/>
          <w:szCs w:val="21"/>
        </w:rPr>
        <w:t>N T</w:t>
      </w:r>
      <w:r>
        <w:rPr>
          <w:rFonts w:ascii="Abadi" w:hAnsi="Abadi" w:cs="*Arial-Bold-6967-Identity-H"/>
          <w:b/>
          <w:bCs/>
          <w:color w:val="0F0E12"/>
          <w:sz w:val="21"/>
          <w:szCs w:val="21"/>
        </w:rPr>
        <w:t xml:space="preserve"> </w:t>
      </w:r>
      <w:r w:rsidRPr="009E34BC">
        <w:rPr>
          <w:rFonts w:ascii="Abadi" w:hAnsi="Abadi" w:cs="*Arial-Bold-6967-Identity-H"/>
          <w:b/>
          <w:bCs/>
          <w:color w:val="0F0E12"/>
          <w:sz w:val="21"/>
          <w:szCs w:val="21"/>
        </w:rPr>
        <w:t>E.</w:t>
      </w:r>
    </w:p>
    <w:p w14:paraId="38AA45AF" w14:textId="77777777" w:rsidR="000939C4" w:rsidRPr="009E34BC" w:rsidRDefault="000939C4" w:rsidP="000939C4">
      <w:pPr>
        <w:autoSpaceDE w:val="0"/>
        <w:autoSpaceDN w:val="0"/>
        <w:adjustRightInd w:val="0"/>
        <w:jc w:val="both"/>
        <w:rPr>
          <w:rFonts w:ascii="Abadi" w:hAnsi="Abadi" w:cs="*Arial-Bold-6967-Identity-H"/>
          <w:b/>
          <w:bCs/>
          <w:color w:val="0F0E12"/>
          <w:sz w:val="21"/>
          <w:szCs w:val="21"/>
        </w:rPr>
      </w:pPr>
    </w:p>
    <w:p w14:paraId="774016EC" w14:textId="77777777" w:rsidR="000939C4" w:rsidRDefault="000939C4" w:rsidP="000939C4">
      <w:pPr>
        <w:autoSpaceDE w:val="0"/>
        <w:autoSpaceDN w:val="0"/>
        <w:adjustRightInd w:val="0"/>
        <w:ind w:firstLine="708"/>
        <w:jc w:val="both"/>
        <w:rPr>
          <w:rFonts w:ascii="Abadi" w:hAnsi="Abadi" w:cs="*Arial-6965-Identity-H"/>
          <w:color w:val="0C0C0E"/>
          <w:sz w:val="21"/>
          <w:szCs w:val="21"/>
        </w:rPr>
      </w:pPr>
      <w:r w:rsidRPr="009E34BC">
        <w:rPr>
          <w:rFonts w:ascii="Abadi" w:hAnsi="Abadi" w:cs="*Arial-6965-Identity-H"/>
          <w:color w:val="0C0C0E"/>
          <w:sz w:val="21"/>
          <w:szCs w:val="21"/>
        </w:rPr>
        <w:t>A esta Comisión de Hacienda y Fiscalizaci</w:t>
      </w:r>
      <w:r>
        <w:rPr>
          <w:rFonts w:ascii="Abadi" w:hAnsi="Abadi" w:cs="*Arial-6965-Identity-H"/>
          <w:color w:val="0C0C0E"/>
          <w:sz w:val="21"/>
          <w:szCs w:val="21"/>
        </w:rPr>
        <w:t>ón</w:t>
      </w:r>
      <w:r w:rsidRPr="009E34BC">
        <w:rPr>
          <w:rFonts w:ascii="Abadi" w:hAnsi="Abadi" w:cs="*Arial-6965-Identity-H"/>
          <w:color w:val="0C0C0E"/>
          <w:sz w:val="21"/>
          <w:szCs w:val="21"/>
        </w:rPr>
        <w:t xml:space="preserve"> le fue turnado para su estudio</w:t>
      </w:r>
      <w:r>
        <w:rPr>
          <w:rFonts w:ascii="Abadi" w:hAnsi="Abadi" w:cs="*Arial-6965-Identity-H"/>
          <w:color w:val="0C0C0E"/>
          <w:sz w:val="21"/>
          <w:szCs w:val="21"/>
        </w:rPr>
        <w:t xml:space="preserve"> </w:t>
      </w:r>
      <w:r w:rsidRPr="009E34BC">
        <w:rPr>
          <w:rFonts w:ascii="Abadi" w:hAnsi="Abadi" w:cs="*Arial-6965-Identity-H"/>
          <w:color w:val="0C0C0E"/>
          <w:sz w:val="21"/>
          <w:szCs w:val="21"/>
        </w:rPr>
        <w:t>y dictamen, el informe de resultados de la auditoría de desempeño practicada por</w:t>
      </w:r>
      <w:r>
        <w:rPr>
          <w:rFonts w:ascii="Abadi" w:hAnsi="Abadi" w:cs="*Arial-6965-Identity-H"/>
          <w:color w:val="0C0C0E"/>
          <w:sz w:val="21"/>
          <w:szCs w:val="21"/>
        </w:rPr>
        <w:t xml:space="preserve"> </w:t>
      </w:r>
      <w:r w:rsidRPr="009E34BC">
        <w:rPr>
          <w:rFonts w:ascii="Abadi" w:hAnsi="Abadi" w:cs="*Arial-6965-Identity-H"/>
          <w:color w:val="0C0C0E"/>
          <w:sz w:val="21"/>
          <w:szCs w:val="21"/>
        </w:rPr>
        <w:t>la Auditoría Superior del Estado de Guanajuato a la administración municipal de</w:t>
      </w:r>
      <w:r>
        <w:rPr>
          <w:rFonts w:ascii="Abadi" w:hAnsi="Abadi" w:cs="*Arial-6965-Identity-H"/>
          <w:color w:val="0C0C0E"/>
          <w:sz w:val="21"/>
          <w:szCs w:val="21"/>
        </w:rPr>
        <w:t xml:space="preserve"> </w:t>
      </w:r>
      <w:r w:rsidRPr="009E34BC">
        <w:rPr>
          <w:rFonts w:ascii="Abadi" w:hAnsi="Abadi" w:cs="*Arial-6965-Identity-H"/>
          <w:color w:val="0C0C0E"/>
          <w:sz w:val="21"/>
          <w:szCs w:val="21"/>
        </w:rPr>
        <w:t xml:space="preserve">Coroneo, </w:t>
      </w:r>
      <w:proofErr w:type="spellStart"/>
      <w:r w:rsidRPr="009E34BC">
        <w:rPr>
          <w:rFonts w:ascii="Abadi" w:hAnsi="Abadi" w:cs="*Arial-6965-Identity-H"/>
          <w:color w:val="0C0C0E"/>
          <w:sz w:val="21"/>
          <w:szCs w:val="21"/>
        </w:rPr>
        <w:t>Gto</w:t>
      </w:r>
      <w:proofErr w:type="spellEnd"/>
      <w:r w:rsidRPr="009E34BC">
        <w:rPr>
          <w:rFonts w:ascii="Abadi" w:hAnsi="Abadi" w:cs="*Arial-6965-Identity-H"/>
          <w:color w:val="0C0C0E"/>
          <w:sz w:val="21"/>
          <w:szCs w:val="21"/>
        </w:rPr>
        <w:t>., con enfoque a resultados del servicio de alumbrado público, por el</w:t>
      </w:r>
      <w:r>
        <w:rPr>
          <w:rFonts w:ascii="Abadi" w:hAnsi="Abadi" w:cs="*Arial-6965-Identity-H"/>
          <w:color w:val="0C0C0E"/>
          <w:sz w:val="21"/>
          <w:szCs w:val="21"/>
        </w:rPr>
        <w:t xml:space="preserve"> </w:t>
      </w:r>
      <w:r w:rsidRPr="009E34BC">
        <w:rPr>
          <w:rFonts w:ascii="Abadi" w:hAnsi="Abadi" w:cs="*Arial-6965-Identity-H"/>
          <w:color w:val="0C0C0E"/>
          <w:sz w:val="21"/>
          <w:szCs w:val="21"/>
        </w:rPr>
        <w:t>periodo comprendido del 1 de enero al 31 de diciembre del ejercicio fiscal del año</w:t>
      </w:r>
      <w:r>
        <w:rPr>
          <w:rFonts w:ascii="Abadi" w:hAnsi="Abadi" w:cs="*Arial-6965-Identity-H"/>
          <w:color w:val="0C0C0E"/>
          <w:sz w:val="21"/>
          <w:szCs w:val="21"/>
        </w:rPr>
        <w:t xml:space="preserve"> </w:t>
      </w:r>
      <w:r w:rsidRPr="009E34BC">
        <w:rPr>
          <w:rFonts w:ascii="Abadi" w:hAnsi="Abadi" w:cs="*Arial-6965-Identity-H"/>
          <w:color w:val="0C0C0E"/>
          <w:sz w:val="21"/>
          <w:szCs w:val="21"/>
        </w:rPr>
        <w:t>2020.</w:t>
      </w:r>
    </w:p>
    <w:p w14:paraId="70BC5F75" w14:textId="77777777" w:rsidR="000939C4" w:rsidRPr="009E34BC" w:rsidRDefault="000939C4" w:rsidP="000939C4">
      <w:pPr>
        <w:autoSpaceDE w:val="0"/>
        <w:autoSpaceDN w:val="0"/>
        <w:adjustRightInd w:val="0"/>
        <w:jc w:val="both"/>
        <w:rPr>
          <w:rFonts w:ascii="Abadi" w:hAnsi="Abadi" w:cs="*Arial-6965-Identity-H"/>
          <w:color w:val="0C0C0E"/>
          <w:sz w:val="21"/>
          <w:szCs w:val="21"/>
        </w:rPr>
      </w:pPr>
    </w:p>
    <w:p w14:paraId="05A6F1EF" w14:textId="77777777" w:rsidR="000939C4" w:rsidRPr="009E34BC" w:rsidRDefault="000939C4" w:rsidP="000939C4">
      <w:pPr>
        <w:autoSpaceDE w:val="0"/>
        <w:autoSpaceDN w:val="0"/>
        <w:adjustRightInd w:val="0"/>
        <w:ind w:firstLine="708"/>
        <w:jc w:val="both"/>
        <w:rPr>
          <w:rFonts w:ascii="Abadi" w:hAnsi="Abadi" w:cs="*Arial-6965-Identity-H"/>
          <w:color w:val="0D0C10"/>
          <w:sz w:val="21"/>
          <w:szCs w:val="21"/>
        </w:rPr>
      </w:pPr>
      <w:r w:rsidRPr="009E34BC">
        <w:rPr>
          <w:rFonts w:ascii="Abadi" w:hAnsi="Abadi" w:cs="*Arial-6965-Identity-H"/>
          <w:color w:val="0D0C10"/>
          <w:sz w:val="21"/>
          <w:szCs w:val="21"/>
        </w:rPr>
        <w:t>Una vez analizado el referido informe de resultados, con fundamento en los</w:t>
      </w:r>
      <w:r>
        <w:rPr>
          <w:rFonts w:ascii="Abadi" w:hAnsi="Abadi" w:cs="*Arial-6965-Identity-H"/>
          <w:color w:val="0D0C10"/>
          <w:sz w:val="21"/>
          <w:szCs w:val="21"/>
        </w:rPr>
        <w:t xml:space="preserve"> </w:t>
      </w:r>
      <w:r w:rsidRPr="009E34BC">
        <w:rPr>
          <w:rFonts w:ascii="Abadi" w:hAnsi="Abadi" w:cs="*Arial-6965-Identity-H"/>
          <w:color w:val="0D0C10"/>
          <w:sz w:val="21"/>
          <w:szCs w:val="21"/>
        </w:rPr>
        <w:t>artículos 112 fracción XII, primer párrafo y 171 de la Ley Orgánica del Poder</w:t>
      </w:r>
      <w:r>
        <w:rPr>
          <w:rFonts w:ascii="Abadi" w:hAnsi="Abadi" w:cs="*Arial-6965-Identity-H"/>
          <w:color w:val="0D0C10"/>
          <w:sz w:val="21"/>
          <w:szCs w:val="21"/>
        </w:rPr>
        <w:t xml:space="preserve"> </w:t>
      </w:r>
      <w:r w:rsidRPr="009E34BC">
        <w:rPr>
          <w:rFonts w:ascii="Abadi" w:hAnsi="Abadi" w:cs="*Arial-6965-Identity-H"/>
          <w:color w:val="0D0C10"/>
          <w:sz w:val="21"/>
          <w:szCs w:val="21"/>
        </w:rPr>
        <w:t>Legislativo, nos permitimos rendir el siguiente:</w:t>
      </w:r>
    </w:p>
    <w:p w14:paraId="709C1CFC" w14:textId="77777777" w:rsidR="000939C4" w:rsidRDefault="000939C4" w:rsidP="000939C4">
      <w:pPr>
        <w:autoSpaceDE w:val="0"/>
        <w:autoSpaceDN w:val="0"/>
        <w:adjustRightInd w:val="0"/>
        <w:jc w:val="both"/>
        <w:rPr>
          <w:rFonts w:ascii="Abadi" w:hAnsi="Abadi" w:cs="*Arial-Bold-6966-Identity-H"/>
          <w:b/>
          <w:bCs/>
          <w:color w:val="0D0C12"/>
          <w:sz w:val="21"/>
          <w:szCs w:val="21"/>
        </w:rPr>
      </w:pPr>
    </w:p>
    <w:p w14:paraId="3010F479" w14:textId="77777777" w:rsidR="000939C4" w:rsidRDefault="000939C4" w:rsidP="000939C4">
      <w:pPr>
        <w:autoSpaceDE w:val="0"/>
        <w:autoSpaceDN w:val="0"/>
        <w:adjustRightInd w:val="0"/>
        <w:jc w:val="center"/>
        <w:rPr>
          <w:rFonts w:ascii="Abadi" w:hAnsi="Abadi" w:cs="*Arial-Bold-6966-Identity-H"/>
          <w:b/>
          <w:bCs/>
          <w:color w:val="0D0C12"/>
          <w:sz w:val="21"/>
          <w:szCs w:val="21"/>
        </w:rPr>
      </w:pPr>
      <w:r w:rsidRPr="009E34BC">
        <w:rPr>
          <w:rFonts w:ascii="Abadi" w:hAnsi="Abadi" w:cs="*Arial-Bold-6966-Identity-H"/>
          <w:b/>
          <w:bCs/>
          <w:color w:val="0D0C12"/>
          <w:sz w:val="21"/>
          <w:szCs w:val="21"/>
        </w:rPr>
        <w:t>Dictamen</w:t>
      </w:r>
    </w:p>
    <w:p w14:paraId="157F826D" w14:textId="77777777" w:rsidR="000939C4" w:rsidRPr="009E34BC" w:rsidRDefault="000939C4" w:rsidP="000939C4">
      <w:pPr>
        <w:autoSpaceDE w:val="0"/>
        <w:autoSpaceDN w:val="0"/>
        <w:adjustRightInd w:val="0"/>
        <w:jc w:val="both"/>
        <w:rPr>
          <w:rFonts w:ascii="Abadi" w:hAnsi="Abadi" w:cs="*Arial-Bold-6966-Identity-H"/>
          <w:b/>
          <w:bCs/>
          <w:color w:val="0D0C12"/>
          <w:sz w:val="21"/>
          <w:szCs w:val="21"/>
        </w:rPr>
      </w:pPr>
    </w:p>
    <w:p w14:paraId="57BB597A" w14:textId="77777777" w:rsidR="000939C4" w:rsidRDefault="000939C4" w:rsidP="000939C4">
      <w:pPr>
        <w:autoSpaceDE w:val="0"/>
        <w:autoSpaceDN w:val="0"/>
        <w:adjustRightInd w:val="0"/>
        <w:ind w:firstLine="708"/>
        <w:jc w:val="both"/>
        <w:rPr>
          <w:rFonts w:ascii="Abadi" w:hAnsi="Abadi" w:cs="*Arial-Bold-6966-Identity-H"/>
          <w:b/>
          <w:bCs/>
          <w:color w:val="0D0C12"/>
          <w:sz w:val="21"/>
          <w:szCs w:val="21"/>
        </w:rPr>
      </w:pPr>
      <w:r w:rsidRPr="009E34BC">
        <w:rPr>
          <w:rFonts w:ascii="Abadi" w:hAnsi="Abadi" w:cs="*Arial-Bold-6966-Identity-H"/>
          <w:b/>
          <w:bCs/>
          <w:color w:val="0D0C12"/>
          <w:sz w:val="21"/>
          <w:szCs w:val="21"/>
        </w:rPr>
        <w:t>l. Competencia:</w:t>
      </w:r>
    </w:p>
    <w:p w14:paraId="49647AE8" w14:textId="77777777" w:rsidR="000939C4" w:rsidRPr="009E34BC" w:rsidRDefault="000939C4" w:rsidP="000939C4">
      <w:pPr>
        <w:autoSpaceDE w:val="0"/>
        <w:autoSpaceDN w:val="0"/>
        <w:adjustRightInd w:val="0"/>
        <w:jc w:val="both"/>
        <w:rPr>
          <w:rFonts w:ascii="Abadi" w:hAnsi="Abadi" w:cs="*Arial-Bold-6966-Identity-H"/>
          <w:b/>
          <w:bCs/>
          <w:color w:val="0D0C12"/>
          <w:sz w:val="21"/>
          <w:szCs w:val="21"/>
        </w:rPr>
      </w:pPr>
    </w:p>
    <w:p w14:paraId="2ECBEB1A" w14:textId="77777777" w:rsidR="000939C4" w:rsidRDefault="000939C4" w:rsidP="000939C4">
      <w:pPr>
        <w:autoSpaceDE w:val="0"/>
        <w:autoSpaceDN w:val="0"/>
        <w:adjustRightInd w:val="0"/>
        <w:ind w:firstLine="708"/>
        <w:jc w:val="both"/>
        <w:rPr>
          <w:rFonts w:ascii="Abadi" w:hAnsi="Abadi" w:cs="*Arial-6965-Identity-H"/>
          <w:color w:val="0C0C0F"/>
          <w:sz w:val="21"/>
          <w:szCs w:val="21"/>
        </w:rPr>
      </w:pPr>
      <w:r w:rsidRPr="009E34BC">
        <w:rPr>
          <w:rFonts w:ascii="Abadi" w:hAnsi="Abadi" w:cs="*Arial-6965-Identity-H"/>
          <w:color w:val="0C0C0F"/>
          <w:sz w:val="21"/>
          <w:szCs w:val="21"/>
        </w:rPr>
        <w:t>Las· facultades de la legislatura local en materia de fiscalización de las</w:t>
      </w:r>
      <w:r>
        <w:rPr>
          <w:rFonts w:ascii="Abadi" w:hAnsi="Abadi" w:cs="*Arial-6965-Identity-H"/>
          <w:color w:val="0C0C0F"/>
          <w:sz w:val="21"/>
          <w:szCs w:val="21"/>
        </w:rPr>
        <w:t xml:space="preserve"> </w:t>
      </w:r>
      <w:r w:rsidRPr="009E34BC">
        <w:rPr>
          <w:rFonts w:ascii="Abadi" w:hAnsi="Abadi" w:cs="*Arial-6965-Identity-H"/>
          <w:color w:val="0C0C0F"/>
          <w:sz w:val="21"/>
          <w:szCs w:val="21"/>
        </w:rPr>
        <w:t>cuentas públicas tienen su fundamento en lo dispuesto por el artículo 63</w:t>
      </w:r>
      <w:r>
        <w:rPr>
          <w:rFonts w:ascii="Abadi" w:hAnsi="Abadi" w:cs="*Arial-6965-Identity-H"/>
          <w:color w:val="0C0C0F"/>
          <w:sz w:val="21"/>
          <w:szCs w:val="21"/>
        </w:rPr>
        <w:t xml:space="preserve"> </w:t>
      </w:r>
      <w:r w:rsidRPr="009E34BC">
        <w:rPr>
          <w:rFonts w:ascii="Abadi" w:hAnsi="Abadi" w:cs="*Arial-6965-Identity-H"/>
          <w:color w:val="0C0C0F"/>
          <w:sz w:val="21"/>
          <w:szCs w:val="21"/>
        </w:rPr>
        <w:t xml:space="preserve">fracciones </w:t>
      </w:r>
      <w:r w:rsidRPr="009E34BC">
        <w:rPr>
          <w:rFonts w:ascii="Abadi" w:hAnsi="Abadi" w:cs="*Microsoft Sans Serif-Bold-6968"/>
          <w:color w:val="0C0C0F"/>
          <w:sz w:val="21"/>
          <w:szCs w:val="21"/>
        </w:rPr>
        <w:t xml:space="preserve">XVIII, XIX </w:t>
      </w:r>
      <w:r w:rsidRPr="009E34BC">
        <w:rPr>
          <w:rFonts w:ascii="Abadi" w:hAnsi="Abadi" w:cs="*Arial-6965-Identity-H"/>
          <w:color w:val="0C0C0F"/>
          <w:sz w:val="21"/>
          <w:szCs w:val="21"/>
        </w:rPr>
        <w:t xml:space="preserve">y </w:t>
      </w:r>
      <w:r w:rsidRPr="009E34BC">
        <w:rPr>
          <w:rFonts w:ascii="Abadi" w:hAnsi="Abadi" w:cs="*Microsoft Sans Serif-Bold-6968"/>
          <w:color w:val="0C0C0F"/>
          <w:sz w:val="21"/>
          <w:szCs w:val="21"/>
        </w:rPr>
        <w:t xml:space="preserve">XXVIII </w:t>
      </w:r>
      <w:r w:rsidRPr="009E34BC">
        <w:rPr>
          <w:rFonts w:ascii="Abadi" w:hAnsi="Abadi" w:cs="*Arial-6965-Identity-H"/>
          <w:color w:val="0C0C0F"/>
          <w:sz w:val="21"/>
          <w:szCs w:val="21"/>
        </w:rPr>
        <w:t>de la Constitución Política para el Estado de</w:t>
      </w:r>
      <w:r>
        <w:rPr>
          <w:rFonts w:ascii="Abadi" w:hAnsi="Abadi" w:cs="*Arial-6965-Identity-H"/>
          <w:color w:val="0C0C0F"/>
          <w:sz w:val="21"/>
          <w:szCs w:val="21"/>
        </w:rPr>
        <w:t xml:space="preserve"> </w:t>
      </w:r>
      <w:r w:rsidRPr="009E34BC">
        <w:rPr>
          <w:rFonts w:ascii="Abadi" w:hAnsi="Abadi" w:cs="*Arial-6965-Identity-H"/>
          <w:color w:val="0C0C0F"/>
          <w:sz w:val="21"/>
          <w:szCs w:val="21"/>
        </w:rPr>
        <w:t>Guanajuato. Estos dispositivos establecen que el Congreso del Estado tiene la</w:t>
      </w:r>
      <w:r>
        <w:rPr>
          <w:rFonts w:ascii="Abadi" w:hAnsi="Abadi" w:cs="*Arial-6965-Identity-H"/>
          <w:color w:val="0C0C0F"/>
          <w:sz w:val="21"/>
          <w:szCs w:val="21"/>
        </w:rPr>
        <w:t xml:space="preserve"> </w:t>
      </w:r>
      <w:r w:rsidRPr="009E34BC">
        <w:rPr>
          <w:rFonts w:ascii="Abadi" w:hAnsi="Abadi" w:cs="*Arial-6965-Identity-H"/>
          <w:color w:val="0C0C0F"/>
          <w:sz w:val="21"/>
          <w:szCs w:val="21"/>
        </w:rPr>
        <w:t>facultad de fiscalizar la cuenta pública del Poder Ejecutivo, incluyendo las de las</w:t>
      </w:r>
      <w:r>
        <w:rPr>
          <w:rFonts w:ascii="Abadi" w:hAnsi="Abadi" w:cs="*Arial-6965-Identity-H"/>
          <w:color w:val="0C0C0F"/>
          <w:sz w:val="21"/>
          <w:szCs w:val="21"/>
        </w:rPr>
        <w:t xml:space="preserve"> </w:t>
      </w:r>
      <w:r w:rsidRPr="009E34BC">
        <w:rPr>
          <w:rFonts w:ascii="Abadi" w:hAnsi="Abadi" w:cs="*Arial-6965-Identity-H"/>
          <w:color w:val="0C0C0F"/>
          <w:sz w:val="21"/>
          <w:szCs w:val="21"/>
        </w:rPr>
        <w:t>entidades y organismos de la administración pública paraestatal, las del Poder</w:t>
      </w:r>
      <w:r>
        <w:rPr>
          <w:rFonts w:ascii="Abadi" w:hAnsi="Abadi" w:cs="*Arial-6965-Identity-H"/>
          <w:color w:val="0C0C0F"/>
          <w:sz w:val="21"/>
          <w:szCs w:val="21"/>
        </w:rPr>
        <w:t xml:space="preserve"> </w:t>
      </w:r>
      <w:r w:rsidRPr="009E34BC">
        <w:rPr>
          <w:rFonts w:ascii="Abadi" w:hAnsi="Abadi" w:cs="*Arial-6965-Identity-H"/>
          <w:color w:val="0C0C0F"/>
          <w:sz w:val="21"/>
          <w:szCs w:val="21"/>
        </w:rPr>
        <w:t>Judicial y de los organismos autónomos; así como las cuentas públicas</w:t>
      </w:r>
      <w:r>
        <w:rPr>
          <w:rFonts w:ascii="Abadi" w:hAnsi="Abadi" w:cs="*Arial-6965-Identity-H"/>
          <w:color w:val="0C0C0F"/>
          <w:sz w:val="21"/>
          <w:szCs w:val="21"/>
        </w:rPr>
        <w:t xml:space="preserve"> </w:t>
      </w:r>
      <w:r w:rsidRPr="009E34BC">
        <w:rPr>
          <w:rFonts w:ascii="Abadi" w:hAnsi="Abadi" w:cs="*Arial-6965-Identity-H"/>
          <w:color w:val="0C0C0F"/>
          <w:sz w:val="21"/>
          <w:szCs w:val="21"/>
        </w:rPr>
        <w:t>municipales, incluyendo las de las entidades y organismos de la administración</w:t>
      </w:r>
      <w:r>
        <w:rPr>
          <w:rFonts w:ascii="Abadi" w:hAnsi="Abadi" w:cs="*Arial-6965-Identity-H"/>
          <w:color w:val="0C0C0F"/>
          <w:sz w:val="21"/>
          <w:szCs w:val="21"/>
        </w:rPr>
        <w:t xml:space="preserve"> </w:t>
      </w:r>
      <w:r w:rsidRPr="009E34BC">
        <w:rPr>
          <w:rFonts w:ascii="Abadi" w:hAnsi="Abadi" w:cs="*Arial-6965-Identity-H"/>
          <w:color w:val="0C0C0F"/>
          <w:sz w:val="21"/>
          <w:szCs w:val="21"/>
        </w:rPr>
        <w:t>pública paramunicipal; y verificar el desempeño en el cumplimiento de los</w:t>
      </w:r>
      <w:r>
        <w:rPr>
          <w:rFonts w:ascii="Abadi" w:hAnsi="Abadi" w:cs="*Arial-6965-Identity-H"/>
          <w:color w:val="0C0C0F"/>
          <w:sz w:val="21"/>
          <w:szCs w:val="21"/>
        </w:rPr>
        <w:t xml:space="preserve"> </w:t>
      </w:r>
      <w:r w:rsidRPr="009E34BC">
        <w:rPr>
          <w:rFonts w:ascii="Abadi" w:hAnsi="Abadi" w:cs="*Arial-6965-Identity-H"/>
          <w:color w:val="0C0C0F"/>
          <w:sz w:val="21"/>
          <w:szCs w:val="21"/>
        </w:rPr>
        <w:t>objetivos de los programas. De igual manera, puede acordar la práctica de</w:t>
      </w:r>
      <w:r>
        <w:rPr>
          <w:rFonts w:ascii="Abadi" w:hAnsi="Abadi" w:cs="*Arial-6965-Identity-H"/>
          <w:color w:val="0C0C0F"/>
          <w:sz w:val="21"/>
          <w:szCs w:val="21"/>
        </w:rPr>
        <w:t xml:space="preserve"> </w:t>
      </w:r>
      <w:r w:rsidRPr="009E34BC">
        <w:rPr>
          <w:rFonts w:ascii="Abadi" w:hAnsi="Abadi" w:cs="*Arial-6965-Identity-H"/>
          <w:color w:val="0C0C0F"/>
          <w:sz w:val="21"/>
          <w:szCs w:val="21"/>
        </w:rPr>
        <w:t>auditorías a los sujetos de fiscalización, cuando exista causa justificada para ello,</w:t>
      </w:r>
      <w:r>
        <w:rPr>
          <w:rFonts w:ascii="Abadi" w:hAnsi="Abadi" w:cs="*Arial-6965-Identity-H"/>
          <w:color w:val="0C0C0F"/>
          <w:sz w:val="21"/>
          <w:szCs w:val="21"/>
        </w:rPr>
        <w:t xml:space="preserve"> </w:t>
      </w:r>
      <w:r w:rsidRPr="009E34BC">
        <w:rPr>
          <w:rFonts w:ascii="Abadi" w:hAnsi="Abadi" w:cs="*Arial-6965-Identity-H"/>
          <w:color w:val="0C0C0F"/>
          <w:sz w:val="21"/>
          <w:szCs w:val="21"/>
        </w:rPr>
        <w:t>auxiliándose para el cumplimiento de dichas facultades por la Auditoría Superior</w:t>
      </w:r>
      <w:r>
        <w:rPr>
          <w:rFonts w:ascii="Abadi" w:hAnsi="Abadi" w:cs="*Arial-6965-Identity-H"/>
          <w:color w:val="0C0C0F"/>
          <w:sz w:val="21"/>
          <w:szCs w:val="21"/>
        </w:rPr>
        <w:t xml:space="preserve"> </w:t>
      </w:r>
      <w:r w:rsidRPr="009E34BC">
        <w:rPr>
          <w:rFonts w:ascii="Abadi" w:hAnsi="Abadi" w:cs="*Arial-6965-Identity-H"/>
          <w:color w:val="0C0C0F"/>
          <w:sz w:val="21"/>
          <w:szCs w:val="21"/>
        </w:rPr>
        <w:t>del Estado de Guanajuato.</w:t>
      </w:r>
    </w:p>
    <w:p w14:paraId="60070F99" w14:textId="77777777" w:rsidR="000939C4" w:rsidRPr="009E34BC" w:rsidRDefault="000939C4" w:rsidP="000939C4">
      <w:pPr>
        <w:autoSpaceDE w:val="0"/>
        <w:autoSpaceDN w:val="0"/>
        <w:adjustRightInd w:val="0"/>
        <w:jc w:val="both"/>
        <w:rPr>
          <w:rFonts w:ascii="Abadi" w:hAnsi="Abadi" w:cs="*Arial-6965-Identity-H"/>
          <w:color w:val="0C0C0F"/>
          <w:sz w:val="21"/>
          <w:szCs w:val="21"/>
        </w:rPr>
      </w:pPr>
    </w:p>
    <w:p w14:paraId="09EE418B" w14:textId="77777777" w:rsidR="000939C4" w:rsidRPr="009E34BC" w:rsidRDefault="000939C4" w:rsidP="000939C4">
      <w:pPr>
        <w:autoSpaceDE w:val="0"/>
        <w:autoSpaceDN w:val="0"/>
        <w:adjustRightInd w:val="0"/>
        <w:ind w:firstLine="708"/>
        <w:jc w:val="both"/>
        <w:rPr>
          <w:rFonts w:ascii="Abadi" w:hAnsi="Abadi" w:cs="*Arial-6965-Identity-H"/>
          <w:color w:val="0B0B0E"/>
          <w:sz w:val="21"/>
          <w:szCs w:val="21"/>
        </w:rPr>
      </w:pPr>
      <w:r w:rsidRPr="009E34BC">
        <w:rPr>
          <w:rFonts w:ascii="Abadi" w:hAnsi="Abadi" w:cs="*Arial-6965-Identity-H"/>
          <w:color w:val="0B0B0E"/>
          <w:sz w:val="21"/>
          <w:szCs w:val="21"/>
        </w:rPr>
        <w:t>Asimismo, el artículo 66 fracción VIII de dicho Ordenamiento Constitucional</w:t>
      </w:r>
      <w:r>
        <w:rPr>
          <w:rFonts w:ascii="Abadi" w:hAnsi="Abadi" w:cs="*Arial-6965-Identity-H"/>
          <w:color w:val="0B0B0E"/>
          <w:sz w:val="21"/>
          <w:szCs w:val="21"/>
        </w:rPr>
        <w:t xml:space="preserve"> </w:t>
      </w:r>
      <w:r w:rsidRPr="009E34BC">
        <w:rPr>
          <w:rFonts w:ascii="Abadi" w:hAnsi="Abadi" w:cs="*Arial-6965-Identity-H"/>
          <w:color w:val="0B0B0E"/>
          <w:sz w:val="21"/>
          <w:szCs w:val="21"/>
        </w:rPr>
        <w:t>establece que la Auditoria Superior del Estado de Guanajuato deberá informar al</w:t>
      </w:r>
      <w:r>
        <w:rPr>
          <w:rFonts w:ascii="Abadi" w:hAnsi="Abadi" w:cs="*Arial-6965-Identity-H"/>
          <w:color w:val="0B0B0E"/>
          <w:sz w:val="21"/>
          <w:szCs w:val="21"/>
        </w:rPr>
        <w:t xml:space="preserve"> </w:t>
      </w:r>
      <w:r w:rsidRPr="009E34BC">
        <w:rPr>
          <w:rFonts w:ascii="Abadi" w:hAnsi="Abadi" w:cs="*Arial-6965-Identity-H"/>
          <w:color w:val="0B0B0E"/>
          <w:sz w:val="21"/>
          <w:szCs w:val="21"/>
        </w:rPr>
        <w:t>Congreso del Estado del resultado de la revisión de la cuenta pública y demás</w:t>
      </w:r>
      <w:r>
        <w:rPr>
          <w:rFonts w:ascii="Abadi" w:hAnsi="Abadi" w:cs="*Arial-6965-Identity-H"/>
          <w:color w:val="0B0B0E"/>
          <w:sz w:val="21"/>
          <w:szCs w:val="21"/>
        </w:rPr>
        <w:t xml:space="preserve"> </w:t>
      </w:r>
      <w:r w:rsidRPr="009E34BC">
        <w:rPr>
          <w:rFonts w:ascii="Abadi" w:hAnsi="Abadi" w:cs="*Arial-6965-Identity-H"/>
          <w:color w:val="0B0B0E"/>
          <w:sz w:val="21"/>
          <w:szCs w:val="21"/>
        </w:rPr>
        <w:t>asuntos derivados de la fiscalización, incluyendo los dictámenes, informes de</w:t>
      </w:r>
      <w:r>
        <w:rPr>
          <w:rFonts w:ascii="Abadi" w:hAnsi="Abadi" w:cs="*Arial-6965-Identity-H"/>
          <w:color w:val="0B0B0E"/>
          <w:sz w:val="21"/>
          <w:szCs w:val="21"/>
        </w:rPr>
        <w:t xml:space="preserve"> </w:t>
      </w:r>
      <w:r w:rsidRPr="009E34BC">
        <w:rPr>
          <w:rFonts w:ascii="Abadi" w:hAnsi="Abadi" w:cs="*Arial-6965-Identity-H"/>
          <w:color w:val="0B0B0E"/>
          <w:sz w:val="21"/>
          <w:szCs w:val="21"/>
        </w:rPr>
        <w:t>resultados, comentarios y observaciones de las auditorías, constituyendo una de</w:t>
      </w:r>
      <w:r>
        <w:rPr>
          <w:rFonts w:ascii="Abadi" w:hAnsi="Abadi" w:cs="*Arial-6965-Identity-H"/>
          <w:color w:val="0B0B0E"/>
          <w:sz w:val="21"/>
          <w:szCs w:val="21"/>
        </w:rPr>
        <w:t xml:space="preserve"> </w:t>
      </w:r>
      <w:r w:rsidRPr="009E34BC">
        <w:rPr>
          <w:rFonts w:ascii="Abadi" w:hAnsi="Abadi" w:cs="*Arial-6965-Identity-H"/>
          <w:color w:val="0B0B0E"/>
          <w:sz w:val="21"/>
          <w:szCs w:val="21"/>
        </w:rPr>
        <w:t>las fases del proceso de fiscalización.</w:t>
      </w:r>
    </w:p>
    <w:p w14:paraId="145526A0" w14:textId="77777777" w:rsidR="000939C4" w:rsidRPr="009E34BC" w:rsidRDefault="000939C4" w:rsidP="000939C4">
      <w:pPr>
        <w:jc w:val="both"/>
        <w:rPr>
          <w:rFonts w:ascii="Abadi" w:hAnsi="Abadi" w:cs="*Arial-6965-Identity-H"/>
          <w:color w:val="0B0B0E"/>
          <w:sz w:val="21"/>
          <w:szCs w:val="21"/>
        </w:rPr>
      </w:pPr>
    </w:p>
    <w:p w14:paraId="21B77349" w14:textId="77777777" w:rsidR="000939C4" w:rsidRDefault="000939C4" w:rsidP="000939C4">
      <w:pPr>
        <w:autoSpaceDE w:val="0"/>
        <w:autoSpaceDN w:val="0"/>
        <w:adjustRightInd w:val="0"/>
        <w:ind w:firstLine="708"/>
        <w:jc w:val="both"/>
        <w:rPr>
          <w:rFonts w:ascii="Abadi" w:hAnsi="Abadi" w:cs="*Arial-6971-Identity-H"/>
          <w:color w:val="0D0D0F"/>
          <w:sz w:val="21"/>
          <w:szCs w:val="21"/>
        </w:rPr>
      </w:pPr>
      <w:r w:rsidRPr="009E34BC">
        <w:rPr>
          <w:rFonts w:ascii="Abadi" w:hAnsi="Abadi" w:cs="*Arial-6971-Identity-H"/>
          <w:color w:val="0D0D0F"/>
          <w:sz w:val="21"/>
          <w:szCs w:val="21"/>
        </w:rPr>
        <w:t>De igual forma, el artículo 82, fracción XXIV de la Ley de Fiscalización</w:t>
      </w:r>
      <w:r>
        <w:rPr>
          <w:rFonts w:ascii="Abadi" w:hAnsi="Abadi" w:cs="*Arial-6971-Identity-H"/>
          <w:color w:val="0D0D0F"/>
          <w:sz w:val="21"/>
          <w:szCs w:val="21"/>
        </w:rPr>
        <w:t xml:space="preserve"> </w:t>
      </w:r>
      <w:r w:rsidRPr="009E34BC">
        <w:rPr>
          <w:rFonts w:ascii="Abadi" w:hAnsi="Abadi" w:cs="*Arial-6971-Identity-H"/>
          <w:color w:val="0D0D0F"/>
          <w:sz w:val="21"/>
          <w:szCs w:val="21"/>
        </w:rPr>
        <w:t>Superior del Estado de Guanajuato establece como atribución de la Auditoría</w:t>
      </w:r>
      <w:r>
        <w:rPr>
          <w:rFonts w:ascii="Abadi" w:hAnsi="Abadi" w:cs="*Arial-6971-Identity-H"/>
          <w:color w:val="0D0D0F"/>
          <w:sz w:val="21"/>
          <w:szCs w:val="21"/>
        </w:rPr>
        <w:t xml:space="preserve"> </w:t>
      </w:r>
      <w:r w:rsidRPr="009E34BC">
        <w:rPr>
          <w:rFonts w:ascii="Abadi" w:hAnsi="Abadi" w:cs="*Arial-6971-Identity-H"/>
          <w:color w:val="0D0D0F"/>
          <w:sz w:val="21"/>
          <w:szCs w:val="21"/>
        </w:rPr>
        <w:t>Superior del Estado, rendir al Congreso, los informes derivados del ejercicio de la</w:t>
      </w:r>
      <w:r>
        <w:rPr>
          <w:rFonts w:ascii="Abadi" w:hAnsi="Abadi" w:cs="*Arial-6971-Identity-H"/>
          <w:color w:val="0D0D0F"/>
          <w:sz w:val="21"/>
          <w:szCs w:val="21"/>
        </w:rPr>
        <w:t xml:space="preserve"> </w:t>
      </w:r>
      <w:r w:rsidRPr="009E34BC">
        <w:rPr>
          <w:rFonts w:ascii="Abadi" w:hAnsi="Abadi" w:cs="*Arial-6971-Identity-H"/>
          <w:color w:val="0D0D0F"/>
          <w:sz w:val="21"/>
          <w:szCs w:val="21"/>
        </w:rPr>
        <w:t>función de fiscalización.</w:t>
      </w:r>
    </w:p>
    <w:p w14:paraId="15CE82FA" w14:textId="77777777" w:rsidR="000939C4" w:rsidRPr="009E34BC" w:rsidRDefault="000939C4" w:rsidP="000939C4">
      <w:pPr>
        <w:autoSpaceDE w:val="0"/>
        <w:autoSpaceDN w:val="0"/>
        <w:adjustRightInd w:val="0"/>
        <w:jc w:val="both"/>
        <w:rPr>
          <w:rFonts w:ascii="Abadi" w:hAnsi="Abadi" w:cs="*Arial-6971-Identity-H"/>
          <w:color w:val="0D0D0F"/>
          <w:sz w:val="21"/>
          <w:szCs w:val="21"/>
        </w:rPr>
      </w:pPr>
    </w:p>
    <w:p w14:paraId="2E8360ED" w14:textId="77777777" w:rsidR="000939C4" w:rsidRDefault="000939C4" w:rsidP="000939C4">
      <w:pPr>
        <w:autoSpaceDE w:val="0"/>
        <w:autoSpaceDN w:val="0"/>
        <w:adjustRightInd w:val="0"/>
        <w:ind w:firstLine="708"/>
        <w:jc w:val="both"/>
        <w:rPr>
          <w:rFonts w:ascii="Abadi" w:hAnsi="Abadi" w:cs="*Arial-6971-Identity-H"/>
          <w:color w:val="0D0D0F"/>
          <w:sz w:val="21"/>
          <w:szCs w:val="21"/>
        </w:rPr>
      </w:pPr>
      <w:r w:rsidRPr="009E34BC">
        <w:rPr>
          <w:rFonts w:ascii="Abadi" w:hAnsi="Abadi" w:cs="*Arial-6971-Identity-H"/>
          <w:color w:val="0D0D0F"/>
          <w:sz w:val="21"/>
          <w:szCs w:val="21"/>
        </w:rPr>
        <w:t>En razón de lo cual, la Ley de Fiscalización Superior del Estado de</w:t>
      </w:r>
      <w:r>
        <w:rPr>
          <w:rFonts w:ascii="Abadi" w:hAnsi="Abadi" w:cs="*Arial-6971-Identity-H"/>
          <w:color w:val="0D0D0F"/>
          <w:sz w:val="21"/>
          <w:szCs w:val="21"/>
        </w:rPr>
        <w:t xml:space="preserve"> </w:t>
      </w:r>
      <w:r w:rsidRPr="009E34BC">
        <w:rPr>
          <w:rFonts w:ascii="Abadi" w:hAnsi="Abadi" w:cs="*Arial-6971-Identity-H"/>
          <w:color w:val="0D0D0F"/>
          <w:sz w:val="21"/>
          <w:szCs w:val="21"/>
        </w:rPr>
        <w:t>Guanajuato establece que la Auditoría Superior debe remitir los informes de</w:t>
      </w:r>
      <w:r>
        <w:rPr>
          <w:rFonts w:ascii="Abadi" w:hAnsi="Abadi" w:cs="*Arial-6971-Identity-H"/>
          <w:color w:val="0D0D0F"/>
          <w:sz w:val="21"/>
          <w:szCs w:val="21"/>
        </w:rPr>
        <w:t xml:space="preserve"> </w:t>
      </w:r>
      <w:r w:rsidRPr="009E34BC">
        <w:rPr>
          <w:rFonts w:ascii="Abadi" w:hAnsi="Abadi" w:cs="*Arial-6971-Identity-H"/>
          <w:color w:val="0D0D0F"/>
          <w:sz w:val="21"/>
          <w:szCs w:val="21"/>
        </w:rPr>
        <w:t>resultados al Congreso del Estado, a efecto de que éste realice la de</w:t>
      </w:r>
      <w:r>
        <w:rPr>
          <w:rFonts w:ascii="Abadi" w:hAnsi="Abadi" w:cs="*Arial-6971-Identity-H"/>
          <w:color w:val="0D0D0F"/>
          <w:sz w:val="21"/>
          <w:szCs w:val="21"/>
        </w:rPr>
        <w:t xml:space="preserve">claratoria </w:t>
      </w:r>
      <w:r w:rsidRPr="009E34BC">
        <w:rPr>
          <w:rFonts w:ascii="Abadi" w:hAnsi="Abadi" w:cs="*Arial-6971-Identity-H"/>
          <w:color w:val="0D0D0F"/>
          <w:sz w:val="21"/>
          <w:szCs w:val="21"/>
        </w:rPr>
        <w:t>correspondiente, señalándose en el artículo 38 que el informe de resultados</w:t>
      </w:r>
      <w:r>
        <w:rPr>
          <w:rFonts w:ascii="Abadi" w:hAnsi="Abadi" w:cs="*Arial-6971-Identity-H"/>
          <w:color w:val="0D0D0F"/>
          <w:sz w:val="21"/>
          <w:szCs w:val="21"/>
        </w:rPr>
        <w:t xml:space="preserve"> </w:t>
      </w:r>
      <w:r w:rsidRPr="009E34BC">
        <w:rPr>
          <w:rFonts w:ascii="Abadi" w:hAnsi="Abadi" w:cs="*Arial-6971-Identity-H"/>
          <w:color w:val="0D0D0F"/>
          <w:sz w:val="21"/>
          <w:szCs w:val="21"/>
        </w:rPr>
        <w:t>únicamente podrá ser observado por las dos terceras partes de los diputados</w:t>
      </w:r>
      <w:r>
        <w:rPr>
          <w:rFonts w:ascii="Abadi" w:hAnsi="Abadi" w:cs="*Arial-6971-Identity-H"/>
          <w:color w:val="0D0D0F"/>
          <w:sz w:val="21"/>
          <w:szCs w:val="21"/>
        </w:rPr>
        <w:t xml:space="preserve"> </w:t>
      </w:r>
      <w:r w:rsidRPr="009E34BC">
        <w:rPr>
          <w:rFonts w:ascii="Abadi" w:hAnsi="Abadi" w:cs="*Arial-6971-Identity-H"/>
          <w:color w:val="0D0D0F"/>
          <w:sz w:val="21"/>
          <w:szCs w:val="21"/>
        </w:rPr>
        <w:t>integrantes del Congreso, cuando no se observen las formalidades esenciales del</w:t>
      </w:r>
      <w:r>
        <w:rPr>
          <w:rFonts w:ascii="Abadi" w:hAnsi="Abadi" w:cs="*Arial-6971-Identity-H"/>
          <w:color w:val="0D0D0F"/>
          <w:sz w:val="21"/>
          <w:szCs w:val="21"/>
        </w:rPr>
        <w:t xml:space="preserve"> </w:t>
      </w:r>
      <w:r w:rsidRPr="009E34BC">
        <w:rPr>
          <w:rFonts w:ascii="Abadi" w:hAnsi="Abadi" w:cs="*Arial-6971-Identity-H"/>
          <w:color w:val="0D0D0F"/>
          <w:sz w:val="21"/>
          <w:szCs w:val="21"/>
        </w:rPr>
        <w:t>proceso de fiscalización.</w:t>
      </w:r>
    </w:p>
    <w:p w14:paraId="012A2F1B" w14:textId="77777777" w:rsidR="000939C4" w:rsidRPr="009E34BC" w:rsidRDefault="000939C4" w:rsidP="000939C4">
      <w:pPr>
        <w:autoSpaceDE w:val="0"/>
        <w:autoSpaceDN w:val="0"/>
        <w:adjustRightInd w:val="0"/>
        <w:jc w:val="both"/>
        <w:rPr>
          <w:rFonts w:ascii="Abadi" w:hAnsi="Abadi" w:cs="*Arial-6971-Identity-H"/>
          <w:color w:val="0D0D0F"/>
          <w:sz w:val="21"/>
          <w:szCs w:val="21"/>
        </w:rPr>
      </w:pPr>
    </w:p>
    <w:p w14:paraId="4A5DCB77" w14:textId="77777777" w:rsidR="000939C4" w:rsidRDefault="000939C4" w:rsidP="000939C4">
      <w:pPr>
        <w:autoSpaceDE w:val="0"/>
        <w:autoSpaceDN w:val="0"/>
        <w:adjustRightInd w:val="0"/>
        <w:ind w:firstLine="708"/>
        <w:jc w:val="both"/>
        <w:rPr>
          <w:rFonts w:ascii="Abadi" w:hAnsi="Abadi" w:cs="*Arial-6971-Identity-H"/>
          <w:color w:val="0C0C0F"/>
          <w:sz w:val="21"/>
          <w:szCs w:val="21"/>
        </w:rPr>
      </w:pPr>
      <w:r w:rsidRPr="009E34BC">
        <w:rPr>
          <w:rFonts w:ascii="Abadi" w:hAnsi="Abadi" w:cs="*Arial-6971-Identity-H"/>
          <w:color w:val="0C0C0F"/>
          <w:sz w:val="21"/>
          <w:szCs w:val="21"/>
        </w:rPr>
        <w:t>Con la finalidad de que el Congreso dé cumplimiento a lo señalado en el</w:t>
      </w:r>
      <w:r>
        <w:rPr>
          <w:rFonts w:ascii="Abadi" w:hAnsi="Abadi" w:cs="*Arial-6971-Identity-H"/>
          <w:color w:val="0C0C0F"/>
          <w:sz w:val="21"/>
          <w:szCs w:val="21"/>
        </w:rPr>
        <w:t xml:space="preserve"> </w:t>
      </w:r>
      <w:r w:rsidRPr="009E34BC">
        <w:rPr>
          <w:rFonts w:ascii="Abadi" w:hAnsi="Abadi" w:cs="*Arial-6971-Identity-H"/>
          <w:color w:val="0C0C0F"/>
          <w:sz w:val="21"/>
          <w:szCs w:val="21"/>
        </w:rPr>
        <w:t>párrafo anterior, la Ley Orgánica del Poder Legislativo del Estado de Guanajuato</w:t>
      </w:r>
      <w:r>
        <w:rPr>
          <w:rFonts w:ascii="Abadi" w:hAnsi="Abadi" w:cs="*Arial-6971-Identity-H"/>
          <w:color w:val="0C0C0F"/>
          <w:sz w:val="21"/>
          <w:szCs w:val="21"/>
        </w:rPr>
        <w:t xml:space="preserve"> </w:t>
      </w:r>
      <w:r w:rsidRPr="009E34BC">
        <w:rPr>
          <w:rFonts w:ascii="Abadi" w:hAnsi="Abadi" w:cs="*Arial-6971-Identity-H"/>
          <w:color w:val="0C0C0F"/>
          <w:sz w:val="21"/>
          <w:szCs w:val="21"/>
        </w:rPr>
        <w:t>establece en su artículo 112, fracción XII, primer párrafo que, a esta Comisión de</w:t>
      </w:r>
      <w:r>
        <w:rPr>
          <w:rFonts w:ascii="Abadi" w:hAnsi="Abadi" w:cs="*Arial-6971-Identity-H"/>
          <w:color w:val="0C0C0F"/>
          <w:sz w:val="21"/>
          <w:szCs w:val="21"/>
        </w:rPr>
        <w:t xml:space="preserve"> </w:t>
      </w:r>
      <w:r w:rsidRPr="009E34BC">
        <w:rPr>
          <w:rFonts w:ascii="Abadi" w:hAnsi="Abadi" w:cs="*Arial-6971-Identity-H"/>
          <w:color w:val="0C0C0F"/>
          <w:sz w:val="21"/>
          <w:szCs w:val="21"/>
        </w:rPr>
        <w:t>Hacienda y Fiscalización, le compete el conocimiento y dictamen de los asuntos</w:t>
      </w:r>
      <w:r>
        <w:rPr>
          <w:rFonts w:ascii="Abadi" w:hAnsi="Abadi" w:cs="*Arial-6971-Identity-H"/>
          <w:color w:val="0C0C0F"/>
          <w:sz w:val="21"/>
          <w:szCs w:val="21"/>
        </w:rPr>
        <w:t xml:space="preserve"> </w:t>
      </w:r>
      <w:r w:rsidRPr="009E34BC">
        <w:rPr>
          <w:rFonts w:ascii="Abadi" w:hAnsi="Abadi" w:cs="*Arial-6971-Identity-H"/>
          <w:color w:val="0C0C0F"/>
          <w:sz w:val="21"/>
          <w:szCs w:val="21"/>
        </w:rPr>
        <w:t>relativos a los informes de resultados que emita la Auditoría Superior del Estado.</w:t>
      </w:r>
    </w:p>
    <w:p w14:paraId="0B5377F7" w14:textId="77777777" w:rsidR="000939C4" w:rsidRPr="009E34BC" w:rsidRDefault="000939C4" w:rsidP="000939C4">
      <w:pPr>
        <w:autoSpaceDE w:val="0"/>
        <w:autoSpaceDN w:val="0"/>
        <w:adjustRightInd w:val="0"/>
        <w:jc w:val="both"/>
        <w:rPr>
          <w:rFonts w:ascii="Abadi" w:hAnsi="Abadi" w:cs="*Arial-6971-Identity-H"/>
          <w:color w:val="0C0C0F"/>
          <w:sz w:val="21"/>
          <w:szCs w:val="21"/>
        </w:rPr>
      </w:pPr>
    </w:p>
    <w:p w14:paraId="1C2DF49B" w14:textId="77777777" w:rsidR="000939C4" w:rsidRDefault="000939C4" w:rsidP="000939C4">
      <w:pPr>
        <w:autoSpaceDE w:val="0"/>
        <w:autoSpaceDN w:val="0"/>
        <w:adjustRightInd w:val="0"/>
        <w:ind w:firstLine="708"/>
        <w:jc w:val="both"/>
        <w:rPr>
          <w:rFonts w:ascii="Abadi" w:hAnsi="Abadi" w:cs="*Arial-6971-Identity-H"/>
          <w:color w:val="0D0D10"/>
          <w:sz w:val="21"/>
          <w:szCs w:val="21"/>
        </w:rPr>
      </w:pPr>
      <w:r w:rsidRPr="009E34BC">
        <w:rPr>
          <w:rFonts w:ascii="Abadi" w:hAnsi="Abadi" w:cs="*Arial-6971-Identity-H"/>
          <w:color w:val="0D0D10"/>
          <w:sz w:val="21"/>
          <w:szCs w:val="21"/>
        </w:rPr>
        <w:t>A efecto de cumplir con las atribuciones conferidas a esta Comisión, y en</w:t>
      </w:r>
      <w:r>
        <w:rPr>
          <w:rFonts w:ascii="Abadi" w:hAnsi="Abadi" w:cs="*Arial-6971-Identity-H"/>
          <w:color w:val="0D0D10"/>
          <w:sz w:val="21"/>
          <w:szCs w:val="21"/>
        </w:rPr>
        <w:t xml:space="preserve"> </w:t>
      </w:r>
      <w:r w:rsidRPr="009E34BC">
        <w:rPr>
          <w:rFonts w:ascii="Abadi" w:hAnsi="Abadi" w:cs="*Arial-6971-Identity-H"/>
          <w:color w:val="0D0D10"/>
          <w:sz w:val="21"/>
          <w:szCs w:val="21"/>
        </w:rPr>
        <w:t>observancia a lo que establece la Ley de Fiscalización Superior del Estado de</w:t>
      </w:r>
      <w:r>
        <w:rPr>
          <w:rFonts w:ascii="Abadi" w:hAnsi="Abadi" w:cs="*Arial-6971-Identity-H"/>
          <w:color w:val="0D0D10"/>
          <w:sz w:val="21"/>
          <w:szCs w:val="21"/>
        </w:rPr>
        <w:t xml:space="preserve"> </w:t>
      </w:r>
      <w:r w:rsidRPr="009E34BC">
        <w:rPr>
          <w:rFonts w:ascii="Abadi" w:hAnsi="Abadi" w:cs="*Arial-6971-Identity-H"/>
          <w:color w:val="0D0D10"/>
          <w:sz w:val="21"/>
          <w:szCs w:val="21"/>
        </w:rPr>
        <w:t>Guanajuato, el presente dictamen se ocupará exclusivamente del aspecto que la</w:t>
      </w:r>
      <w:r>
        <w:rPr>
          <w:rFonts w:ascii="Abadi" w:hAnsi="Abadi" w:cs="*Arial-6971-Identity-H"/>
          <w:color w:val="0D0D10"/>
          <w:sz w:val="21"/>
          <w:szCs w:val="21"/>
        </w:rPr>
        <w:t xml:space="preserve"> </w:t>
      </w:r>
      <w:r w:rsidRPr="009E34BC">
        <w:rPr>
          <w:rFonts w:ascii="Abadi" w:hAnsi="Abadi" w:cs="*Arial-6971-Identity-H"/>
          <w:color w:val="0D0D10"/>
          <w:sz w:val="21"/>
          <w:szCs w:val="21"/>
        </w:rPr>
        <w:t>propia Ley señala y por el cual podría ser observado o no, el informe de</w:t>
      </w:r>
      <w:r>
        <w:rPr>
          <w:rFonts w:ascii="Abadi" w:hAnsi="Abadi" w:cs="*Arial-6971-Identity-H"/>
          <w:color w:val="0D0D10"/>
          <w:sz w:val="21"/>
          <w:szCs w:val="21"/>
        </w:rPr>
        <w:t xml:space="preserve"> </w:t>
      </w:r>
      <w:r w:rsidRPr="009E34BC">
        <w:rPr>
          <w:rFonts w:ascii="Abadi" w:hAnsi="Abadi" w:cs="*Arial-6971-Identity-H"/>
          <w:color w:val="0D0D10"/>
          <w:sz w:val="21"/>
          <w:szCs w:val="21"/>
        </w:rPr>
        <w:t>resultados.</w:t>
      </w:r>
    </w:p>
    <w:p w14:paraId="2A0DA8CA" w14:textId="77777777" w:rsidR="000939C4" w:rsidRPr="009E34BC" w:rsidRDefault="000939C4" w:rsidP="000939C4">
      <w:pPr>
        <w:autoSpaceDE w:val="0"/>
        <w:autoSpaceDN w:val="0"/>
        <w:adjustRightInd w:val="0"/>
        <w:jc w:val="both"/>
        <w:rPr>
          <w:rFonts w:ascii="Abadi" w:hAnsi="Abadi" w:cs="*Arial-6971-Identity-H"/>
          <w:color w:val="0D0D10"/>
          <w:sz w:val="21"/>
          <w:szCs w:val="21"/>
        </w:rPr>
      </w:pPr>
    </w:p>
    <w:p w14:paraId="691115FC" w14:textId="77777777" w:rsidR="000939C4" w:rsidRDefault="000939C4" w:rsidP="000939C4">
      <w:pPr>
        <w:autoSpaceDE w:val="0"/>
        <w:autoSpaceDN w:val="0"/>
        <w:adjustRightInd w:val="0"/>
        <w:ind w:firstLine="708"/>
        <w:jc w:val="both"/>
        <w:rPr>
          <w:rFonts w:ascii="Abadi" w:hAnsi="Abadi" w:cs="*Arial-Bold-6972-Identity-H"/>
          <w:b/>
          <w:bCs/>
          <w:color w:val="0C0B11"/>
          <w:sz w:val="21"/>
          <w:szCs w:val="21"/>
        </w:rPr>
      </w:pPr>
      <w:r>
        <w:rPr>
          <w:rFonts w:ascii="Abadi" w:hAnsi="Abadi" w:cs="*Arial-Bold-6972-Identity-H"/>
          <w:b/>
          <w:bCs/>
          <w:color w:val="0C0B11"/>
          <w:sz w:val="21"/>
          <w:szCs w:val="21"/>
        </w:rPr>
        <w:t>II</w:t>
      </w:r>
      <w:r w:rsidRPr="009E34BC">
        <w:rPr>
          <w:rFonts w:ascii="Abadi" w:hAnsi="Abadi" w:cs="*Arial-Bold-6972-Identity-H"/>
          <w:b/>
          <w:bCs/>
          <w:color w:val="0C0B11"/>
          <w:sz w:val="21"/>
          <w:szCs w:val="21"/>
        </w:rPr>
        <w:t>. Antecedentes:</w:t>
      </w:r>
    </w:p>
    <w:p w14:paraId="4F856520" w14:textId="77777777" w:rsidR="000939C4" w:rsidRPr="009E34BC" w:rsidRDefault="000939C4" w:rsidP="000939C4">
      <w:pPr>
        <w:autoSpaceDE w:val="0"/>
        <w:autoSpaceDN w:val="0"/>
        <w:adjustRightInd w:val="0"/>
        <w:jc w:val="both"/>
        <w:rPr>
          <w:rFonts w:ascii="Abadi" w:hAnsi="Abadi" w:cs="*Arial-Bold-6972-Identity-H"/>
          <w:b/>
          <w:bCs/>
          <w:color w:val="0C0B11"/>
          <w:sz w:val="21"/>
          <w:szCs w:val="21"/>
        </w:rPr>
      </w:pPr>
    </w:p>
    <w:p w14:paraId="4B854AC6" w14:textId="77777777" w:rsidR="000939C4" w:rsidRDefault="000939C4" w:rsidP="000939C4">
      <w:pPr>
        <w:autoSpaceDE w:val="0"/>
        <w:autoSpaceDN w:val="0"/>
        <w:adjustRightInd w:val="0"/>
        <w:ind w:firstLine="708"/>
        <w:jc w:val="both"/>
        <w:rPr>
          <w:rFonts w:ascii="Abadi" w:hAnsi="Abadi" w:cs="*Arial-6971-Identity-H"/>
          <w:color w:val="0E0D10"/>
          <w:sz w:val="21"/>
          <w:szCs w:val="21"/>
        </w:rPr>
      </w:pPr>
      <w:r w:rsidRPr="009E34BC">
        <w:rPr>
          <w:rFonts w:ascii="Abadi" w:hAnsi="Abadi" w:cs="*Arial-6971-Identity-H"/>
          <w:color w:val="0E0D10"/>
          <w:sz w:val="21"/>
          <w:szCs w:val="21"/>
        </w:rPr>
        <w:t>De conformidad con el artículo 66, fracción I de la Constitución Política para</w:t>
      </w:r>
      <w:r>
        <w:rPr>
          <w:rFonts w:ascii="Abadi" w:hAnsi="Abadi" w:cs="*Arial-6971-Identity-H"/>
          <w:color w:val="0E0D10"/>
          <w:sz w:val="21"/>
          <w:szCs w:val="21"/>
        </w:rPr>
        <w:t xml:space="preserve"> </w:t>
      </w:r>
      <w:r w:rsidRPr="009E34BC">
        <w:rPr>
          <w:rFonts w:ascii="Abadi" w:hAnsi="Abadi" w:cs="*Arial-6971-Identity-H"/>
          <w:color w:val="0E0D10"/>
          <w:sz w:val="21"/>
          <w:szCs w:val="21"/>
        </w:rPr>
        <w:t>el Estado de Guanajuato, es atribución de la Auditoria Superior del Estado realizar</w:t>
      </w:r>
      <w:r>
        <w:rPr>
          <w:rFonts w:ascii="Abadi" w:hAnsi="Abadi" w:cs="*Arial-6971-Identity-H"/>
          <w:color w:val="0E0D10"/>
          <w:sz w:val="21"/>
          <w:szCs w:val="21"/>
        </w:rPr>
        <w:t xml:space="preserve"> </w:t>
      </w:r>
      <w:r w:rsidRPr="009E34BC">
        <w:rPr>
          <w:rFonts w:ascii="Abadi" w:hAnsi="Abadi" w:cs="*Arial-6971-Identity-H"/>
          <w:color w:val="0E0D10"/>
          <w:sz w:val="21"/>
          <w:szCs w:val="21"/>
        </w:rPr>
        <w:t>auditorías de desempeño en el cumplimiento de objetivos y metas contenidos en</w:t>
      </w:r>
      <w:r>
        <w:rPr>
          <w:rFonts w:ascii="Abadi" w:hAnsi="Abadi" w:cs="*Arial-6971-Identity-H"/>
          <w:color w:val="0E0D10"/>
          <w:sz w:val="21"/>
          <w:szCs w:val="21"/>
        </w:rPr>
        <w:t xml:space="preserve"> </w:t>
      </w:r>
      <w:r w:rsidRPr="009E34BC">
        <w:rPr>
          <w:rFonts w:ascii="Abadi" w:hAnsi="Abadi" w:cs="*Arial-6971-Identity-H"/>
          <w:color w:val="0E0D10"/>
          <w:sz w:val="21"/>
          <w:szCs w:val="21"/>
        </w:rPr>
        <w:t>los programas, de las cuales sólo podrá emitir las recomendaciones para la mejora</w:t>
      </w:r>
      <w:r>
        <w:rPr>
          <w:rFonts w:ascii="Abadi" w:hAnsi="Abadi" w:cs="*Arial-6971-Identity-H"/>
          <w:color w:val="0E0D10"/>
          <w:sz w:val="21"/>
          <w:szCs w:val="21"/>
        </w:rPr>
        <w:t xml:space="preserve"> </w:t>
      </w:r>
      <w:r w:rsidRPr="009E34BC">
        <w:rPr>
          <w:rFonts w:ascii="Abadi" w:hAnsi="Abadi" w:cs="*Arial-6971-Identity-H"/>
          <w:color w:val="0E0D10"/>
          <w:sz w:val="21"/>
          <w:szCs w:val="21"/>
        </w:rPr>
        <w:t>en el desempeño, en los términos de la Ley.</w:t>
      </w:r>
    </w:p>
    <w:p w14:paraId="53927914" w14:textId="77777777" w:rsidR="000939C4" w:rsidRPr="009E34BC" w:rsidRDefault="000939C4" w:rsidP="000939C4">
      <w:pPr>
        <w:autoSpaceDE w:val="0"/>
        <w:autoSpaceDN w:val="0"/>
        <w:adjustRightInd w:val="0"/>
        <w:jc w:val="both"/>
        <w:rPr>
          <w:rFonts w:ascii="Abadi" w:hAnsi="Abadi" w:cs="*Arial-6971-Identity-H"/>
          <w:color w:val="0E0D10"/>
          <w:sz w:val="21"/>
          <w:szCs w:val="21"/>
        </w:rPr>
      </w:pPr>
    </w:p>
    <w:p w14:paraId="353BC45D" w14:textId="77777777" w:rsidR="000939C4" w:rsidRDefault="000939C4" w:rsidP="000939C4">
      <w:pPr>
        <w:autoSpaceDE w:val="0"/>
        <w:autoSpaceDN w:val="0"/>
        <w:adjustRightInd w:val="0"/>
        <w:ind w:firstLine="708"/>
        <w:jc w:val="both"/>
        <w:rPr>
          <w:rFonts w:ascii="Abadi" w:hAnsi="Abadi" w:cs="*Arial-6971-Identity-H"/>
          <w:color w:val="0D0D0F"/>
          <w:sz w:val="21"/>
          <w:szCs w:val="21"/>
        </w:rPr>
      </w:pPr>
      <w:r w:rsidRPr="009E34BC">
        <w:rPr>
          <w:rFonts w:ascii="Abadi" w:hAnsi="Abadi" w:cs="*Arial-6971-Identity-H"/>
          <w:color w:val="0D0D0F"/>
          <w:sz w:val="21"/>
          <w:szCs w:val="21"/>
        </w:rPr>
        <w:t>Por su parte, el artículo 3, fracción V de la Ley de Fiscalización Superior del</w:t>
      </w:r>
      <w:r>
        <w:rPr>
          <w:rFonts w:ascii="Abadi" w:hAnsi="Abadi" w:cs="*Arial-6971-Identity-H"/>
          <w:color w:val="0D0D0F"/>
          <w:sz w:val="21"/>
          <w:szCs w:val="21"/>
        </w:rPr>
        <w:t xml:space="preserve"> </w:t>
      </w:r>
      <w:r w:rsidRPr="009E34BC">
        <w:rPr>
          <w:rFonts w:ascii="Abadi" w:hAnsi="Abadi" w:cs="*Arial-6971-Identity-H"/>
          <w:color w:val="0D0D0F"/>
          <w:sz w:val="21"/>
          <w:szCs w:val="21"/>
        </w:rPr>
        <w:t>Estado de Guanajuato señala que la Auditoría Superior del Estado es competente</w:t>
      </w:r>
      <w:r>
        <w:rPr>
          <w:rFonts w:ascii="Abadi" w:hAnsi="Abadi" w:cs="*Arial-6971-Identity-H"/>
          <w:color w:val="0D0D0F"/>
          <w:sz w:val="21"/>
          <w:szCs w:val="21"/>
        </w:rPr>
        <w:t xml:space="preserve"> </w:t>
      </w:r>
      <w:r w:rsidRPr="009E34BC">
        <w:rPr>
          <w:rFonts w:ascii="Abadi" w:hAnsi="Abadi" w:cs="*Arial-6971-Identity-H"/>
          <w:color w:val="0D0D0F"/>
          <w:sz w:val="21"/>
          <w:szCs w:val="21"/>
        </w:rPr>
        <w:t>para practicar auditorías de desempeño para verificar el cumplimiento de los</w:t>
      </w:r>
      <w:r>
        <w:rPr>
          <w:rFonts w:ascii="Abadi" w:hAnsi="Abadi" w:cs="*Arial-6971-Identity-H"/>
          <w:color w:val="0D0D0F"/>
          <w:sz w:val="21"/>
          <w:szCs w:val="21"/>
        </w:rPr>
        <w:t xml:space="preserve"> </w:t>
      </w:r>
      <w:r w:rsidRPr="009E34BC">
        <w:rPr>
          <w:rFonts w:ascii="Abadi" w:hAnsi="Abadi" w:cs="*Arial-6971-Identity-H"/>
          <w:color w:val="0D0D0F"/>
          <w:sz w:val="21"/>
          <w:szCs w:val="21"/>
        </w:rPr>
        <w:t>objetivos y las metas de los programas estatales y municipales.</w:t>
      </w:r>
    </w:p>
    <w:p w14:paraId="50E9044B" w14:textId="77777777" w:rsidR="000939C4" w:rsidRPr="009E34BC" w:rsidRDefault="000939C4" w:rsidP="000939C4">
      <w:pPr>
        <w:autoSpaceDE w:val="0"/>
        <w:autoSpaceDN w:val="0"/>
        <w:adjustRightInd w:val="0"/>
        <w:ind w:firstLine="708"/>
        <w:jc w:val="both"/>
        <w:rPr>
          <w:rFonts w:ascii="Abadi" w:hAnsi="Abadi" w:cs="*Arial-6971-Identity-H"/>
          <w:color w:val="0D0D0F"/>
          <w:sz w:val="21"/>
          <w:szCs w:val="21"/>
        </w:rPr>
      </w:pPr>
    </w:p>
    <w:p w14:paraId="1656894A" w14:textId="77777777" w:rsidR="000939C4" w:rsidRDefault="000939C4" w:rsidP="000939C4">
      <w:pPr>
        <w:autoSpaceDE w:val="0"/>
        <w:autoSpaceDN w:val="0"/>
        <w:adjustRightInd w:val="0"/>
        <w:ind w:firstLine="708"/>
        <w:jc w:val="both"/>
        <w:rPr>
          <w:rFonts w:ascii="Abadi" w:hAnsi="Abadi" w:cs="*Arial-6673-Identity-H"/>
          <w:color w:val="0C0C0E"/>
          <w:sz w:val="21"/>
          <w:szCs w:val="21"/>
        </w:rPr>
      </w:pPr>
      <w:r w:rsidRPr="009E34BC">
        <w:rPr>
          <w:rFonts w:ascii="Abadi" w:hAnsi="Abadi" w:cs="*Arial-6673-Identity-H"/>
          <w:color w:val="0C0C0E"/>
          <w:sz w:val="21"/>
          <w:szCs w:val="21"/>
        </w:rPr>
        <w:t>De igual forma, el artículo 56 de la Ley de Fiscalización Superior prevé que</w:t>
      </w:r>
      <w:r>
        <w:rPr>
          <w:rFonts w:ascii="Abadi" w:hAnsi="Abadi" w:cs="*Arial-6673-Identity-H"/>
          <w:color w:val="0C0C0E"/>
          <w:sz w:val="21"/>
          <w:szCs w:val="21"/>
        </w:rPr>
        <w:t xml:space="preserve"> </w:t>
      </w:r>
      <w:r w:rsidRPr="009E34BC">
        <w:rPr>
          <w:rFonts w:ascii="Abadi" w:hAnsi="Abadi" w:cs="*Arial-6673-Identity-H"/>
          <w:color w:val="0C0C0E"/>
          <w:sz w:val="21"/>
          <w:szCs w:val="21"/>
        </w:rPr>
        <w:t>las auditorías de desempeño comprenden la revisión del cumplimiento de las</w:t>
      </w:r>
      <w:r>
        <w:rPr>
          <w:rFonts w:ascii="Abadi" w:hAnsi="Abadi" w:cs="*Arial-6673-Identity-H"/>
          <w:color w:val="0C0C0E"/>
          <w:sz w:val="21"/>
          <w:szCs w:val="21"/>
        </w:rPr>
        <w:t xml:space="preserve"> </w:t>
      </w:r>
      <w:r w:rsidRPr="009E34BC">
        <w:rPr>
          <w:rFonts w:ascii="Abadi" w:hAnsi="Abadi" w:cs="*Arial-6673-Identity-H"/>
          <w:color w:val="0C0C0E"/>
          <w:sz w:val="21"/>
          <w:szCs w:val="21"/>
        </w:rPr>
        <w:t>metas y objetivos de los planes y programas, conforme a los principios de</w:t>
      </w:r>
      <w:r>
        <w:rPr>
          <w:rFonts w:ascii="Abadi" w:hAnsi="Abadi" w:cs="*Arial-6673-Identity-H"/>
          <w:color w:val="0C0C0E"/>
          <w:sz w:val="21"/>
          <w:szCs w:val="21"/>
        </w:rPr>
        <w:t xml:space="preserve"> </w:t>
      </w:r>
      <w:r w:rsidRPr="009E34BC">
        <w:rPr>
          <w:rFonts w:ascii="Abadi" w:hAnsi="Abadi" w:cs="*Arial-6673-Identity-H"/>
          <w:color w:val="0C0C0E"/>
          <w:sz w:val="21"/>
          <w:szCs w:val="21"/>
        </w:rPr>
        <w:t>eficiencia, eficacia y economía; así como la evaluación de las políticas públicas;</w:t>
      </w:r>
      <w:r>
        <w:rPr>
          <w:rFonts w:ascii="Abadi" w:hAnsi="Abadi" w:cs="*Arial-6673-Identity-H"/>
          <w:color w:val="0C0C0E"/>
          <w:sz w:val="21"/>
          <w:szCs w:val="21"/>
        </w:rPr>
        <w:t xml:space="preserve"> </w:t>
      </w:r>
      <w:r w:rsidRPr="009E34BC">
        <w:rPr>
          <w:rFonts w:ascii="Abadi" w:hAnsi="Abadi" w:cs="*Arial-6673-Identity-H"/>
          <w:color w:val="0C0C0E"/>
          <w:sz w:val="21"/>
          <w:szCs w:val="21"/>
        </w:rPr>
        <w:t>estableciendo además que la Auditoría' Superior del Estado realizará las auditorías</w:t>
      </w:r>
      <w:r>
        <w:rPr>
          <w:rFonts w:ascii="Abadi" w:hAnsi="Abadi" w:cs="*Arial-6673-Identity-H"/>
          <w:color w:val="0C0C0E"/>
          <w:sz w:val="21"/>
          <w:szCs w:val="21"/>
        </w:rPr>
        <w:t xml:space="preserve"> </w:t>
      </w:r>
      <w:r w:rsidRPr="009E34BC">
        <w:rPr>
          <w:rFonts w:ascii="Abadi" w:hAnsi="Abadi" w:cs="*Arial-6673-Identity-H"/>
          <w:color w:val="0C0C0E"/>
          <w:sz w:val="21"/>
          <w:szCs w:val="21"/>
        </w:rPr>
        <w:t>de desempeño de manera anual y únicamente formulará recomendaciones que</w:t>
      </w:r>
      <w:r>
        <w:rPr>
          <w:rFonts w:ascii="Abadi" w:hAnsi="Abadi" w:cs="*Arial-6673-Identity-H"/>
          <w:color w:val="0C0C0E"/>
          <w:sz w:val="21"/>
          <w:szCs w:val="21"/>
        </w:rPr>
        <w:t xml:space="preserve"> </w:t>
      </w:r>
      <w:r w:rsidRPr="009E34BC">
        <w:rPr>
          <w:rFonts w:ascii="Abadi" w:hAnsi="Abadi" w:cs="*Arial-6673-Identity-H"/>
          <w:color w:val="0C0C0E"/>
          <w:sz w:val="21"/>
          <w:szCs w:val="21"/>
        </w:rPr>
        <w:t>incidan en mejorar sistemáticamente el diseño, operación e impacto de los</w:t>
      </w:r>
      <w:r>
        <w:rPr>
          <w:rFonts w:ascii="Abadi" w:hAnsi="Abadi" w:cs="*Arial-6673-Identity-H"/>
          <w:color w:val="0C0C0E"/>
          <w:sz w:val="21"/>
          <w:szCs w:val="21"/>
        </w:rPr>
        <w:t xml:space="preserve"> </w:t>
      </w:r>
      <w:r w:rsidRPr="009E34BC">
        <w:rPr>
          <w:rFonts w:ascii="Abadi" w:hAnsi="Abadi" w:cs="*Arial-6673-Identity-H"/>
          <w:color w:val="0C0C0E"/>
          <w:sz w:val="21"/>
          <w:szCs w:val="21"/>
        </w:rPr>
        <w:t>presupuestos programáticos y las políticas públicas en su caso.</w:t>
      </w:r>
      <w:r>
        <w:rPr>
          <w:rFonts w:ascii="Abadi" w:hAnsi="Abadi" w:cs="*Arial-6673-Identity-H"/>
          <w:color w:val="0C0C0E"/>
          <w:sz w:val="21"/>
          <w:szCs w:val="21"/>
        </w:rPr>
        <w:t xml:space="preserve"> </w:t>
      </w:r>
    </w:p>
    <w:p w14:paraId="10DD9FC5" w14:textId="77777777" w:rsidR="000939C4" w:rsidRPr="009E34BC" w:rsidRDefault="000939C4" w:rsidP="000939C4">
      <w:pPr>
        <w:autoSpaceDE w:val="0"/>
        <w:autoSpaceDN w:val="0"/>
        <w:adjustRightInd w:val="0"/>
        <w:jc w:val="both"/>
        <w:rPr>
          <w:rFonts w:ascii="Abadi" w:hAnsi="Abadi" w:cs="*Arial-6673-Identity-H"/>
          <w:color w:val="0C0C0E"/>
          <w:sz w:val="21"/>
          <w:szCs w:val="21"/>
        </w:rPr>
      </w:pPr>
    </w:p>
    <w:p w14:paraId="214711C6" w14:textId="77777777" w:rsidR="000939C4" w:rsidRDefault="000939C4" w:rsidP="000939C4">
      <w:pPr>
        <w:autoSpaceDE w:val="0"/>
        <w:autoSpaceDN w:val="0"/>
        <w:adjustRightInd w:val="0"/>
        <w:ind w:firstLine="708"/>
        <w:jc w:val="both"/>
        <w:rPr>
          <w:rFonts w:ascii="Abadi" w:hAnsi="Abadi" w:cs="*Arial-6673-Identity-H"/>
          <w:color w:val="0D0D0F"/>
          <w:sz w:val="21"/>
          <w:szCs w:val="21"/>
        </w:rPr>
      </w:pPr>
      <w:r w:rsidRPr="009E34BC">
        <w:rPr>
          <w:rFonts w:ascii="Abadi" w:hAnsi="Abadi" w:cs="*Arial-6673-Identity-H"/>
          <w:color w:val="0D0D0F"/>
          <w:sz w:val="21"/>
          <w:szCs w:val="21"/>
        </w:rPr>
        <w:t>Por su parte, los artículos 59 y 60 de la citada Ley refieren que los informes</w:t>
      </w:r>
      <w:r>
        <w:rPr>
          <w:rFonts w:ascii="Abadi" w:hAnsi="Abadi" w:cs="*Arial-6673-Identity-H"/>
          <w:color w:val="0D0D0F"/>
          <w:sz w:val="21"/>
          <w:szCs w:val="21"/>
        </w:rPr>
        <w:t xml:space="preserve"> </w:t>
      </w:r>
      <w:r w:rsidRPr="009E34BC">
        <w:rPr>
          <w:rFonts w:ascii="Abadi" w:hAnsi="Abadi" w:cs="*Arial-6673-Identity-H"/>
          <w:color w:val="0D0D0F"/>
          <w:sz w:val="21"/>
          <w:szCs w:val="21"/>
        </w:rPr>
        <w:t>de resultados de auditorías de desempeño contendrán los requisitos señalados en</w:t>
      </w:r>
      <w:r>
        <w:rPr>
          <w:rFonts w:ascii="Abadi" w:hAnsi="Abadi" w:cs="*Arial-6673-Identity-H"/>
          <w:color w:val="0D0D0F"/>
          <w:sz w:val="21"/>
          <w:szCs w:val="21"/>
        </w:rPr>
        <w:t xml:space="preserve"> </w:t>
      </w:r>
      <w:r w:rsidRPr="009E34BC">
        <w:rPr>
          <w:rFonts w:ascii="Abadi" w:hAnsi="Abadi" w:cs="*Arial-6673-Identity-H"/>
          <w:color w:val="0D0D0F"/>
          <w:sz w:val="21"/>
          <w:szCs w:val="21"/>
        </w:rPr>
        <w:t>el Reglamento de la Ley y que la Auditoría Superior del Estado, remitirá dichos</w:t>
      </w:r>
      <w:r>
        <w:rPr>
          <w:rFonts w:ascii="Abadi" w:hAnsi="Abadi" w:cs="*Arial-6673-Identity-H"/>
          <w:color w:val="0D0D0F"/>
          <w:sz w:val="21"/>
          <w:szCs w:val="21"/>
        </w:rPr>
        <w:t xml:space="preserve"> </w:t>
      </w:r>
      <w:r w:rsidRPr="009E34BC">
        <w:rPr>
          <w:rFonts w:ascii="Abadi" w:hAnsi="Abadi" w:cs="*Arial-6673-Identity-H"/>
          <w:color w:val="0D0D0F"/>
          <w:sz w:val="21"/>
          <w:szCs w:val="21"/>
        </w:rPr>
        <w:t>informes al Congreso a más tardar el 30 de septiembre del ejercicio fiscal de que</w:t>
      </w:r>
      <w:r>
        <w:rPr>
          <w:rFonts w:ascii="Abadi" w:hAnsi="Abadi" w:cs="*Arial-6673-Identity-H"/>
          <w:color w:val="0D0D0F"/>
          <w:sz w:val="21"/>
          <w:szCs w:val="21"/>
        </w:rPr>
        <w:t xml:space="preserve"> </w:t>
      </w:r>
      <w:r w:rsidRPr="009E34BC">
        <w:rPr>
          <w:rFonts w:ascii="Abadi" w:hAnsi="Abadi" w:cs="*Arial-6673-Identity-H"/>
          <w:color w:val="0D0D0F"/>
          <w:sz w:val="21"/>
          <w:szCs w:val="21"/>
        </w:rPr>
        <w:t>se trate.</w:t>
      </w:r>
    </w:p>
    <w:p w14:paraId="3E819E2A" w14:textId="77777777" w:rsidR="000939C4" w:rsidRPr="009E34BC" w:rsidRDefault="000939C4" w:rsidP="000939C4">
      <w:pPr>
        <w:autoSpaceDE w:val="0"/>
        <w:autoSpaceDN w:val="0"/>
        <w:adjustRightInd w:val="0"/>
        <w:jc w:val="both"/>
        <w:rPr>
          <w:rFonts w:ascii="Abadi" w:hAnsi="Abadi" w:cs="*Arial-6673-Identity-H"/>
          <w:color w:val="0D0D0F"/>
          <w:sz w:val="21"/>
          <w:szCs w:val="21"/>
        </w:rPr>
      </w:pPr>
    </w:p>
    <w:p w14:paraId="0D9D84CE" w14:textId="77777777" w:rsidR="000939C4" w:rsidRDefault="000939C4" w:rsidP="000939C4">
      <w:pPr>
        <w:autoSpaceDE w:val="0"/>
        <w:autoSpaceDN w:val="0"/>
        <w:adjustRightInd w:val="0"/>
        <w:ind w:firstLine="708"/>
        <w:jc w:val="both"/>
        <w:rPr>
          <w:rFonts w:ascii="Abadi" w:hAnsi="Abadi" w:cs="*Arial-6673-Identity-H"/>
          <w:color w:val="0D0C0F"/>
          <w:sz w:val="21"/>
          <w:szCs w:val="21"/>
        </w:rPr>
      </w:pPr>
      <w:r w:rsidRPr="009E34BC">
        <w:rPr>
          <w:rFonts w:ascii="Abadi" w:hAnsi="Abadi" w:cs="*Arial-6673-Identity-H"/>
          <w:color w:val="0D0C0F"/>
          <w:sz w:val="21"/>
          <w:szCs w:val="21"/>
        </w:rPr>
        <w:t>De lo anterior podemos desprender que el Órgano Técnico realizará la</w:t>
      </w:r>
      <w:r>
        <w:rPr>
          <w:rFonts w:ascii="Abadi" w:hAnsi="Abadi" w:cs="*Arial-6673-Identity-H"/>
          <w:color w:val="0D0C0F"/>
          <w:sz w:val="21"/>
          <w:szCs w:val="21"/>
        </w:rPr>
        <w:t xml:space="preserve"> </w:t>
      </w:r>
      <w:r w:rsidRPr="009E34BC">
        <w:rPr>
          <w:rFonts w:ascii="Abadi" w:hAnsi="Abadi" w:cs="*Arial-6673-Identity-H"/>
          <w:color w:val="0D0C0F"/>
          <w:sz w:val="21"/>
          <w:szCs w:val="21"/>
        </w:rPr>
        <w:t>auditoría de desempeño de manera anual y únicamente formulará</w:t>
      </w:r>
      <w:r>
        <w:rPr>
          <w:rFonts w:ascii="Abadi" w:hAnsi="Abadi" w:cs="*Arial-6673-Identity-H"/>
          <w:color w:val="0D0C0F"/>
          <w:sz w:val="21"/>
          <w:szCs w:val="21"/>
        </w:rPr>
        <w:t xml:space="preserve"> </w:t>
      </w:r>
      <w:r w:rsidRPr="009E34BC">
        <w:rPr>
          <w:rFonts w:ascii="Abadi" w:hAnsi="Abadi" w:cs="*Arial-6673-Identity-H"/>
          <w:color w:val="0D0C0F"/>
          <w:sz w:val="21"/>
          <w:szCs w:val="21"/>
        </w:rPr>
        <w:t>recomendaciones que incidan en la mejora del diseño, operación e impacto de los</w:t>
      </w:r>
      <w:r>
        <w:rPr>
          <w:rFonts w:ascii="Abadi" w:hAnsi="Abadi" w:cs="*Arial-6673-Identity-H"/>
          <w:color w:val="0D0C0F"/>
          <w:sz w:val="21"/>
          <w:szCs w:val="21"/>
        </w:rPr>
        <w:t xml:space="preserve"> </w:t>
      </w:r>
      <w:r w:rsidRPr="009E34BC">
        <w:rPr>
          <w:rFonts w:ascii="Abadi" w:hAnsi="Abadi" w:cs="*Arial-6673-Identity-H"/>
          <w:color w:val="0D0C0F"/>
          <w:sz w:val="21"/>
          <w:szCs w:val="21"/>
        </w:rPr>
        <w:t>presupuestos programáticos y las políticas públicas en su caso.</w:t>
      </w:r>
    </w:p>
    <w:p w14:paraId="6EFC9A9D" w14:textId="77777777" w:rsidR="000939C4" w:rsidRPr="009E34BC" w:rsidRDefault="000939C4" w:rsidP="000939C4">
      <w:pPr>
        <w:autoSpaceDE w:val="0"/>
        <w:autoSpaceDN w:val="0"/>
        <w:adjustRightInd w:val="0"/>
        <w:jc w:val="both"/>
        <w:rPr>
          <w:rFonts w:ascii="Abadi" w:hAnsi="Abadi" w:cs="*Arial-6673-Identity-H"/>
          <w:color w:val="0D0C0F"/>
          <w:sz w:val="21"/>
          <w:szCs w:val="21"/>
        </w:rPr>
      </w:pPr>
    </w:p>
    <w:p w14:paraId="6BC479AF" w14:textId="77777777" w:rsidR="000939C4" w:rsidRDefault="000939C4" w:rsidP="000939C4">
      <w:pPr>
        <w:autoSpaceDE w:val="0"/>
        <w:autoSpaceDN w:val="0"/>
        <w:adjustRightInd w:val="0"/>
        <w:ind w:firstLine="708"/>
        <w:jc w:val="both"/>
        <w:rPr>
          <w:rFonts w:ascii="Abadi" w:hAnsi="Abadi" w:cs="*Arial-6673-Identity-H"/>
          <w:color w:val="0D0D0F"/>
          <w:sz w:val="21"/>
          <w:szCs w:val="21"/>
        </w:rPr>
      </w:pPr>
      <w:r w:rsidRPr="009E34BC">
        <w:rPr>
          <w:rFonts w:ascii="Abadi" w:hAnsi="Abadi" w:cs="*Arial-6673-Identity-H"/>
          <w:color w:val="0D0D0F"/>
          <w:sz w:val="21"/>
          <w:szCs w:val="21"/>
        </w:rPr>
        <w:t>Finalmente, el artículo 16 de la Ley de Fiscalización Superior del Estado de</w:t>
      </w:r>
      <w:r>
        <w:rPr>
          <w:rFonts w:ascii="Abadi" w:hAnsi="Abadi" w:cs="*Arial-6673-Identity-H"/>
          <w:color w:val="0D0D0F"/>
          <w:sz w:val="21"/>
          <w:szCs w:val="21"/>
        </w:rPr>
        <w:t xml:space="preserve"> </w:t>
      </w:r>
      <w:r w:rsidRPr="009E34BC">
        <w:rPr>
          <w:rFonts w:ascii="Abadi" w:hAnsi="Abadi" w:cs="*Arial-6673-Identity-H"/>
          <w:color w:val="0D0D0F"/>
          <w:sz w:val="21"/>
          <w:szCs w:val="21"/>
        </w:rPr>
        <w:t>Guanajuato, consigna que la Auditoría Superior establecerá un Programa General</w:t>
      </w:r>
      <w:r>
        <w:rPr>
          <w:rFonts w:ascii="Abadi" w:hAnsi="Abadi" w:cs="*Arial-6673-Identity-H"/>
          <w:color w:val="0D0D0F"/>
          <w:sz w:val="21"/>
          <w:szCs w:val="21"/>
        </w:rPr>
        <w:t xml:space="preserve"> </w:t>
      </w:r>
      <w:r w:rsidRPr="009E34BC">
        <w:rPr>
          <w:rFonts w:ascii="Abadi" w:hAnsi="Abadi" w:cs="*Arial-6673-Identity-H"/>
          <w:color w:val="0D0D0F"/>
          <w:sz w:val="21"/>
          <w:szCs w:val="21"/>
        </w:rPr>
        <w:t>de Fiscalización, señalando los actos y sujetos de fiscalización, los que serán</w:t>
      </w:r>
      <w:r>
        <w:rPr>
          <w:rFonts w:ascii="Abadi" w:hAnsi="Abadi" w:cs="*Arial-6673-Identity-H"/>
          <w:color w:val="0D0D0F"/>
          <w:sz w:val="21"/>
          <w:szCs w:val="21"/>
        </w:rPr>
        <w:t xml:space="preserve"> </w:t>
      </w:r>
      <w:r w:rsidRPr="009E34BC">
        <w:rPr>
          <w:rFonts w:ascii="Abadi" w:hAnsi="Abadi" w:cs="*Arial-6673-Identity-H"/>
          <w:color w:val="0D0D0F"/>
          <w:sz w:val="21"/>
          <w:szCs w:val="21"/>
        </w:rPr>
        <w:t>objeto de auditoría o revisión conforme a los criterios y normas que se establezcan</w:t>
      </w:r>
      <w:r>
        <w:rPr>
          <w:rFonts w:ascii="Abadi" w:hAnsi="Abadi" w:cs="*Arial-6673-Identity-H"/>
          <w:color w:val="0D0D0F"/>
          <w:sz w:val="21"/>
          <w:szCs w:val="21"/>
        </w:rPr>
        <w:t xml:space="preserve"> </w:t>
      </w:r>
      <w:r w:rsidRPr="009E34BC">
        <w:rPr>
          <w:rFonts w:ascii="Abadi" w:hAnsi="Abadi" w:cs="*Arial-6673-Identity-H"/>
          <w:color w:val="0D0D0F"/>
          <w:sz w:val="21"/>
          <w:szCs w:val="21"/>
        </w:rPr>
        <w:t>en el Reglamento de la Ley.</w:t>
      </w:r>
    </w:p>
    <w:p w14:paraId="6B7D2A21" w14:textId="77777777" w:rsidR="000939C4" w:rsidRPr="009E34BC" w:rsidRDefault="000939C4" w:rsidP="000939C4">
      <w:pPr>
        <w:autoSpaceDE w:val="0"/>
        <w:autoSpaceDN w:val="0"/>
        <w:adjustRightInd w:val="0"/>
        <w:jc w:val="both"/>
        <w:rPr>
          <w:rFonts w:ascii="Abadi" w:hAnsi="Abadi" w:cs="*Arial-6673-Identity-H"/>
          <w:color w:val="0D0D0F"/>
          <w:sz w:val="21"/>
          <w:szCs w:val="21"/>
        </w:rPr>
      </w:pPr>
    </w:p>
    <w:p w14:paraId="3BC6220F" w14:textId="77777777" w:rsidR="000939C4" w:rsidRDefault="000939C4" w:rsidP="000939C4">
      <w:pPr>
        <w:autoSpaceDE w:val="0"/>
        <w:autoSpaceDN w:val="0"/>
        <w:adjustRightInd w:val="0"/>
        <w:ind w:firstLine="708"/>
        <w:jc w:val="both"/>
        <w:rPr>
          <w:rFonts w:ascii="Abadi" w:hAnsi="Abadi" w:cs="*Arial-6673-Identity-H"/>
          <w:color w:val="0C0C0F"/>
          <w:sz w:val="21"/>
          <w:szCs w:val="21"/>
        </w:rPr>
      </w:pPr>
      <w:r w:rsidRPr="009E34BC">
        <w:rPr>
          <w:rFonts w:ascii="Abadi" w:hAnsi="Abadi" w:cs="*Arial-6673-Identity-H"/>
          <w:color w:val="0C0C0F"/>
          <w:sz w:val="21"/>
          <w:szCs w:val="21"/>
        </w:rPr>
        <w:t>En ejercicio de esta función, el Auditor Superior del Estado aprobó el</w:t>
      </w:r>
      <w:r>
        <w:rPr>
          <w:rFonts w:ascii="Abadi" w:hAnsi="Abadi" w:cs="*Arial-6673-Identity-H"/>
          <w:color w:val="0C0C0F"/>
          <w:sz w:val="21"/>
          <w:szCs w:val="21"/>
        </w:rPr>
        <w:t xml:space="preserve"> </w:t>
      </w:r>
      <w:r w:rsidRPr="009E34BC">
        <w:rPr>
          <w:rFonts w:ascii="Abadi" w:hAnsi="Abadi" w:cs="*Arial-6673-Identity-H"/>
          <w:color w:val="0C0C0F"/>
          <w:sz w:val="21"/>
          <w:szCs w:val="21"/>
        </w:rPr>
        <w:t>Programa General de Fiscalización 2021. En dicho Programa se contempló la</w:t>
      </w:r>
      <w:r>
        <w:rPr>
          <w:rFonts w:ascii="Abadi" w:hAnsi="Abadi" w:cs="*Arial-6673-Identity-H"/>
          <w:color w:val="0C0C0F"/>
          <w:sz w:val="21"/>
          <w:szCs w:val="21"/>
        </w:rPr>
        <w:t xml:space="preserve"> </w:t>
      </w:r>
      <w:r w:rsidRPr="009E34BC">
        <w:rPr>
          <w:rFonts w:ascii="Abadi" w:hAnsi="Abadi" w:cs="*Arial-6673-Identity-H"/>
          <w:color w:val="0C0C0F"/>
          <w:sz w:val="21"/>
          <w:szCs w:val="21"/>
        </w:rPr>
        <w:t>práctica de una auditoría de desempeño a la administración municipal de Coroneo,</w:t>
      </w:r>
      <w:r>
        <w:rPr>
          <w:rFonts w:ascii="Abadi" w:hAnsi="Abadi" w:cs="*Arial-6673-Identity-H"/>
          <w:color w:val="0C0C0F"/>
          <w:sz w:val="21"/>
          <w:szCs w:val="21"/>
        </w:rPr>
        <w:t xml:space="preserve"> </w:t>
      </w:r>
      <w:proofErr w:type="spellStart"/>
      <w:r w:rsidRPr="009E34BC">
        <w:rPr>
          <w:rFonts w:ascii="Abadi" w:hAnsi="Abadi" w:cs="*Arial-6673-Identity-H"/>
          <w:color w:val="0C0C0F"/>
          <w:sz w:val="21"/>
          <w:szCs w:val="21"/>
        </w:rPr>
        <w:t>Gto</w:t>
      </w:r>
      <w:proofErr w:type="spellEnd"/>
      <w:r w:rsidRPr="009E34BC">
        <w:rPr>
          <w:rFonts w:ascii="Abadi" w:hAnsi="Abadi" w:cs="*Arial-6673-Identity-H"/>
          <w:color w:val="0C0C0F"/>
          <w:sz w:val="21"/>
          <w:szCs w:val="21"/>
        </w:rPr>
        <w:t>., por el periodo comprendido del 1 de enero al 31 de diciembre del ejercicio</w:t>
      </w:r>
      <w:r>
        <w:rPr>
          <w:rFonts w:ascii="Abadi" w:hAnsi="Abadi" w:cs="*Arial-6673-Identity-H"/>
          <w:color w:val="0C0C0F"/>
          <w:sz w:val="21"/>
          <w:szCs w:val="21"/>
        </w:rPr>
        <w:t xml:space="preserve"> </w:t>
      </w:r>
      <w:r w:rsidRPr="009E34BC">
        <w:rPr>
          <w:rFonts w:ascii="Abadi" w:hAnsi="Abadi" w:cs="*Arial-6673-Identity-H"/>
          <w:color w:val="0C0C0F"/>
          <w:sz w:val="21"/>
          <w:szCs w:val="21"/>
        </w:rPr>
        <w:t>fiscal del año 2020, la cual se realizó con enfoque a resultados del servicio de</w:t>
      </w:r>
      <w:r>
        <w:rPr>
          <w:rFonts w:ascii="Abadi" w:hAnsi="Abadi" w:cs="*Arial-6673-Identity-H"/>
          <w:color w:val="0C0C0F"/>
          <w:sz w:val="21"/>
          <w:szCs w:val="21"/>
        </w:rPr>
        <w:t xml:space="preserve"> </w:t>
      </w:r>
      <w:r w:rsidRPr="009E34BC">
        <w:rPr>
          <w:rFonts w:ascii="Abadi" w:hAnsi="Abadi" w:cs="*Arial-6673-Identity-H"/>
          <w:color w:val="0C0C0F"/>
          <w:sz w:val="21"/>
          <w:szCs w:val="21"/>
        </w:rPr>
        <w:t>alumbrado público.</w:t>
      </w:r>
    </w:p>
    <w:p w14:paraId="3B156CD8" w14:textId="77777777" w:rsidR="000939C4" w:rsidRPr="009E34BC" w:rsidRDefault="000939C4" w:rsidP="000939C4">
      <w:pPr>
        <w:autoSpaceDE w:val="0"/>
        <w:autoSpaceDN w:val="0"/>
        <w:adjustRightInd w:val="0"/>
        <w:jc w:val="both"/>
        <w:rPr>
          <w:rFonts w:ascii="Abadi" w:hAnsi="Abadi" w:cs="*Arial-6673-Identity-H"/>
          <w:color w:val="0C0C0F"/>
          <w:sz w:val="21"/>
          <w:szCs w:val="21"/>
        </w:rPr>
      </w:pPr>
    </w:p>
    <w:p w14:paraId="3FFD7AAD" w14:textId="77777777" w:rsidR="000939C4" w:rsidRPr="009E34BC" w:rsidRDefault="000939C4" w:rsidP="000939C4">
      <w:pPr>
        <w:autoSpaceDE w:val="0"/>
        <w:autoSpaceDN w:val="0"/>
        <w:adjustRightInd w:val="0"/>
        <w:ind w:firstLine="708"/>
        <w:jc w:val="both"/>
        <w:rPr>
          <w:rFonts w:ascii="Abadi" w:hAnsi="Abadi" w:cs="*Arial-6673-Identity-H"/>
          <w:color w:val="0C0B0E"/>
          <w:sz w:val="21"/>
          <w:szCs w:val="21"/>
        </w:rPr>
      </w:pPr>
      <w:r w:rsidRPr="009E34BC">
        <w:rPr>
          <w:rFonts w:ascii="Abadi" w:hAnsi="Abadi" w:cs="*Arial-6673-Identity-H"/>
          <w:color w:val="0C0B0E"/>
          <w:sz w:val="21"/>
          <w:szCs w:val="21"/>
        </w:rPr>
        <w:t>El 8 de septiembre de 2021 se notificó al sujeto fiscalizado el inicio de la</w:t>
      </w:r>
      <w:r>
        <w:rPr>
          <w:rFonts w:ascii="Abadi" w:hAnsi="Abadi" w:cs="*Arial-6673-Identity-H"/>
          <w:color w:val="0C0B0E"/>
          <w:sz w:val="21"/>
          <w:szCs w:val="21"/>
        </w:rPr>
        <w:t xml:space="preserve"> </w:t>
      </w:r>
      <w:r w:rsidRPr="009E34BC">
        <w:rPr>
          <w:rFonts w:ascii="Abadi" w:hAnsi="Abadi" w:cs="*Arial-6673-Identity-H"/>
          <w:color w:val="0C0B0E"/>
          <w:sz w:val="21"/>
          <w:szCs w:val="21"/>
        </w:rPr>
        <w:t>auditoría materia del presente dictamen.</w:t>
      </w:r>
    </w:p>
    <w:p w14:paraId="7A582160" w14:textId="77777777" w:rsidR="000939C4" w:rsidRPr="009E34BC" w:rsidRDefault="000939C4" w:rsidP="000939C4">
      <w:pPr>
        <w:jc w:val="both"/>
        <w:rPr>
          <w:rFonts w:ascii="Abadi" w:hAnsi="Abadi" w:cs="*Arial-6673-Identity-H"/>
          <w:color w:val="0C0B0E"/>
          <w:sz w:val="21"/>
          <w:szCs w:val="21"/>
        </w:rPr>
      </w:pPr>
    </w:p>
    <w:p w14:paraId="22055A9C" w14:textId="77777777" w:rsidR="000939C4" w:rsidRDefault="000939C4" w:rsidP="000939C4">
      <w:pPr>
        <w:autoSpaceDE w:val="0"/>
        <w:autoSpaceDN w:val="0"/>
        <w:adjustRightInd w:val="0"/>
        <w:ind w:firstLine="708"/>
        <w:jc w:val="both"/>
        <w:rPr>
          <w:rFonts w:ascii="Abadi" w:hAnsi="Abadi" w:cs="*Arial-7090-Identity-H"/>
          <w:color w:val="0C0C0F"/>
          <w:sz w:val="21"/>
          <w:szCs w:val="21"/>
        </w:rPr>
      </w:pPr>
      <w:r w:rsidRPr="009E34BC">
        <w:rPr>
          <w:rFonts w:ascii="Abadi" w:hAnsi="Abadi" w:cs="*Arial-7090-Identity-H"/>
          <w:color w:val="0C0C0F"/>
          <w:sz w:val="21"/>
          <w:szCs w:val="21"/>
        </w:rPr>
        <w:t>Mediante oficio notificado el 27 de septiembre de 2021, la Auditoria</w:t>
      </w:r>
      <w:r>
        <w:rPr>
          <w:rFonts w:ascii="Abadi" w:hAnsi="Abadi" w:cs="*Arial-7090-Identity-H"/>
          <w:color w:val="0C0C0F"/>
          <w:sz w:val="21"/>
          <w:szCs w:val="21"/>
        </w:rPr>
        <w:t xml:space="preserve"> </w:t>
      </w:r>
      <w:r w:rsidRPr="009E34BC">
        <w:rPr>
          <w:rFonts w:ascii="Abadi" w:hAnsi="Abadi" w:cs="*Arial-7090-Identity-H"/>
          <w:color w:val="0C0C0F"/>
          <w:sz w:val="21"/>
          <w:szCs w:val="21"/>
        </w:rPr>
        <w:t>Superior del Estado requirió al sujeto de fiscalización diversa información que se</w:t>
      </w:r>
      <w:r>
        <w:rPr>
          <w:rFonts w:ascii="Abadi" w:hAnsi="Abadi" w:cs="*Arial-7090-Identity-H"/>
          <w:color w:val="0C0C0F"/>
          <w:sz w:val="21"/>
          <w:szCs w:val="21"/>
        </w:rPr>
        <w:t xml:space="preserve"> </w:t>
      </w:r>
      <w:r w:rsidRPr="009E34BC">
        <w:rPr>
          <w:rFonts w:ascii="Abadi" w:hAnsi="Abadi" w:cs="*Arial-7090-Identity-H"/>
          <w:color w:val="0C0C0F"/>
          <w:sz w:val="21"/>
          <w:szCs w:val="21"/>
        </w:rPr>
        <w:t>consideró necesaria para llevar a cabo la auditoría, al cual se dio respuesta el 1 de</w:t>
      </w:r>
      <w:r>
        <w:rPr>
          <w:rFonts w:ascii="Abadi" w:hAnsi="Abadi" w:cs="*Arial-7090-Identity-H"/>
          <w:color w:val="0C0C0F"/>
          <w:sz w:val="21"/>
          <w:szCs w:val="21"/>
        </w:rPr>
        <w:t xml:space="preserve"> </w:t>
      </w:r>
      <w:r w:rsidRPr="009E34BC">
        <w:rPr>
          <w:rFonts w:ascii="Abadi" w:hAnsi="Abadi" w:cs="*Arial-7090-Identity-H"/>
          <w:color w:val="0C0C0F"/>
          <w:sz w:val="21"/>
          <w:szCs w:val="21"/>
        </w:rPr>
        <w:t>octubre de 2021. Asimismo, el 9 de diciembre del mismo año, el Órgano Técnico</w:t>
      </w:r>
      <w:r>
        <w:rPr>
          <w:rFonts w:ascii="Abadi" w:hAnsi="Abadi" w:cs="*Arial-7090-Identity-H"/>
          <w:color w:val="0C0C0F"/>
          <w:sz w:val="21"/>
          <w:szCs w:val="21"/>
        </w:rPr>
        <w:t xml:space="preserve"> </w:t>
      </w:r>
      <w:r w:rsidRPr="009E34BC">
        <w:rPr>
          <w:rFonts w:ascii="Abadi" w:hAnsi="Abadi" w:cs="*Arial-7090-Identity-H"/>
          <w:color w:val="0C0C0F"/>
          <w:sz w:val="21"/>
          <w:szCs w:val="21"/>
        </w:rPr>
        <w:t>realizó entrevistas.</w:t>
      </w:r>
    </w:p>
    <w:p w14:paraId="4271DA87" w14:textId="77777777" w:rsidR="000939C4" w:rsidRPr="009E34BC" w:rsidRDefault="000939C4" w:rsidP="000939C4">
      <w:pPr>
        <w:autoSpaceDE w:val="0"/>
        <w:autoSpaceDN w:val="0"/>
        <w:adjustRightInd w:val="0"/>
        <w:jc w:val="both"/>
        <w:rPr>
          <w:rFonts w:ascii="Abadi" w:hAnsi="Abadi" w:cs="*Arial-7090-Identity-H"/>
          <w:color w:val="0C0C0F"/>
          <w:sz w:val="21"/>
          <w:szCs w:val="21"/>
        </w:rPr>
      </w:pPr>
    </w:p>
    <w:p w14:paraId="24D94E4D" w14:textId="77777777" w:rsidR="000939C4" w:rsidRDefault="000939C4" w:rsidP="000939C4">
      <w:pPr>
        <w:autoSpaceDE w:val="0"/>
        <w:autoSpaceDN w:val="0"/>
        <w:adjustRightInd w:val="0"/>
        <w:ind w:firstLine="708"/>
        <w:jc w:val="both"/>
        <w:rPr>
          <w:rFonts w:ascii="Abadi" w:hAnsi="Abadi" w:cs="*Arial-7090-Identity-H"/>
          <w:color w:val="0C0B0E"/>
          <w:sz w:val="21"/>
          <w:szCs w:val="21"/>
        </w:rPr>
      </w:pPr>
      <w:r w:rsidRPr="009E34BC">
        <w:rPr>
          <w:rFonts w:ascii="Abadi" w:hAnsi="Abadi" w:cs="*Arial-7090-Identity-H"/>
          <w:color w:val="0C0B0E"/>
          <w:sz w:val="21"/>
          <w:szCs w:val="21"/>
        </w:rPr>
        <w:t>Los días 27 de septiembre y 17 de diciembre de 2021 se notificó al sujeto</w:t>
      </w:r>
      <w:r>
        <w:rPr>
          <w:rFonts w:ascii="Abadi" w:hAnsi="Abadi" w:cs="*Arial-7090-Identity-H"/>
          <w:color w:val="0C0B0E"/>
          <w:sz w:val="21"/>
          <w:szCs w:val="21"/>
        </w:rPr>
        <w:t xml:space="preserve"> </w:t>
      </w:r>
      <w:r w:rsidRPr="009E34BC">
        <w:rPr>
          <w:rFonts w:ascii="Abadi" w:hAnsi="Abadi" w:cs="*Arial-7090-Identity-H"/>
          <w:color w:val="0C0B0E"/>
          <w:sz w:val="21"/>
          <w:szCs w:val="21"/>
        </w:rPr>
        <w:t>fiscalizado la suspensión del plazo de la auditoría materia del presente dictamen,</w:t>
      </w:r>
      <w:r>
        <w:rPr>
          <w:rFonts w:ascii="Abadi" w:hAnsi="Abadi" w:cs="*Arial-7090-Identity-H"/>
          <w:color w:val="0C0B0E"/>
          <w:sz w:val="21"/>
          <w:szCs w:val="21"/>
        </w:rPr>
        <w:t xml:space="preserve"> </w:t>
      </w:r>
      <w:r w:rsidRPr="009E34BC">
        <w:rPr>
          <w:rFonts w:ascii="Abadi" w:hAnsi="Abadi" w:cs="*Arial-7090-Identity-H"/>
          <w:color w:val="0C0B0E"/>
          <w:sz w:val="21"/>
          <w:szCs w:val="21"/>
        </w:rPr>
        <w:t>por los periodos comprendidos del 1 de octubre al 17 de diciembre de 2021; y del</w:t>
      </w:r>
      <w:r>
        <w:rPr>
          <w:rFonts w:ascii="Abadi" w:hAnsi="Abadi" w:cs="*Arial-7090-Identity-H"/>
          <w:color w:val="0C0B0E"/>
          <w:sz w:val="21"/>
          <w:szCs w:val="21"/>
        </w:rPr>
        <w:t xml:space="preserve"> </w:t>
      </w:r>
      <w:r w:rsidRPr="009E34BC">
        <w:rPr>
          <w:rFonts w:ascii="Abadi" w:hAnsi="Abadi" w:cs="*Arial-7090-Identity-H"/>
          <w:color w:val="0C0B0E"/>
          <w:sz w:val="21"/>
          <w:szCs w:val="21"/>
        </w:rPr>
        <w:t>3 de· enero al 11 de marzo de 2022.</w:t>
      </w:r>
    </w:p>
    <w:p w14:paraId="3F9DB0F8" w14:textId="77777777" w:rsidR="000939C4" w:rsidRPr="009E34BC" w:rsidRDefault="000939C4" w:rsidP="000939C4">
      <w:pPr>
        <w:autoSpaceDE w:val="0"/>
        <w:autoSpaceDN w:val="0"/>
        <w:adjustRightInd w:val="0"/>
        <w:jc w:val="both"/>
        <w:rPr>
          <w:rFonts w:ascii="Abadi" w:hAnsi="Abadi" w:cs="*Arial-7090-Identity-H"/>
          <w:color w:val="0C0B0E"/>
          <w:sz w:val="21"/>
          <w:szCs w:val="21"/>
        </w:rPr>
      </w:pPr>
    </w:p>
    <w:p w14:paraId="1F9B017F" w14:textId="77777777" w:rsidR="000939C4" w:rsidRDefault="000939C4" w:rsidP="000939C4">
      <w:pPr>
        <w:autoSpaceDE w:val="0"/>
        <w:autoSpaceDN w:val="0"/>
        <w:adjustRightInd w:val="0"/>
        <w:ind w:firstLine="708"/>
        <w:jc w:val="both"/>
        <w:rPr>
          <w:rFonts w:ascii="Abadi" w:hAnsi="Abadi" w:cs="*Arial-7090-Identity-H"/>
          <w:color w:val="0D0C0F"/>
          <w:sz w:val="21"/>
          <w:szCs w:val="21"/>
        </w:rPr>
      </w:pPr>
      <w:r w:rsidRPr="009E34BC">
        <w:rPr>
          <w:rFonts w:ascii="Abadi" w:hAnsi="Abadi" w:cs="*Arial-7090-Identity-H"/>
          <w:color w:val="0D0C0F"/>
          <w:sz w:val="21"/>
          <w:szCs w:val="21"/>
        </w:rPr>
        <w:t>Como parte del proceso de auditoría, el 25 de enero de 2022 se notificó al</w:t>
      </w:r>
      <w:r>
        <w:rPr>
          <w:rFonts w:ascii="Abadi" w:hAnsi="Abadi" w:cs="*Arial-7090-Identity-H"/>
          <w:color w:val="0D0C0F"/>
          <w:sz w:val="21"/>
          <w:szCs w:val="21"/>
        </w:rPr>
        <w:t xml:space="preserve"> </w:t>
      </w:r>
      <w:r w:rsidRPr="009E34BC">
        <w:rPr>
          <w:rFonts w:ascii="Abadi" w:hAnsi="Abadi" w:cs="*Arial-7090-Identity-H"/>
          <w:color w:val="0D0C0F"/>
          <w:sz w:val="21"/>
          <w:szCs w:val="21"/>
        </w:rPr>
        <w:t>sujeto fiscalizado el pliego de recomendaciones derivadas de la auditoría</w:t>
      </w:r>
      <w:r>
        <w:rPr>
          <w:rFonts w:ascii="Abadi" w:hAnsi="Abadi" w:cs="*Arial-7090-Identity-H"/>
          <w:color w:val="0D0C0F"/>
          <w:sz w:val="21"/>
          <w:szCs w:val="21"/>
        </w:rPr>
        <w:t xml:space="preserve"> </w:t>
      </w:r>
      <w:r w:rsidRPr="009E34BC">
        <w:rPr>
          <w:rFonts w:ascii="Abadi" w:hAnsi="Abadi" w:cs="*Arial-7090-Identity-H"/>
          <w:color w:val="0D0C0F"/>
          <w:sz w:val="21"/>
          <w:szCs w:val="21"/>
        </w:rPr>
        <w:t>practicada. Lo anterior, para dar cumplimiento a lo preceptuado por el artículo 58</w:t>
      </w:r>
      <w:r>
        <w:rPr>
          <w:rFonts w:ascii="Abadi" w:hAnsi="Abadi" w:cs="*Arial-7090-Identity-H"/>
          <w:color w:val="0D0C0F"/>
          <w:sz w:val="21"/>
          <w:szCs w:val="21"/>
        </w:rPr>
        <w:t xml:space="preserve"> </w:t>
      </w:r>
      <w:r w:rsidRPr="009E34BC">
        <w:rPr>
          <w:rFonts w:ascii="Abadi" w:hAnsi="Abadi" w:cs="*Arial-7090-Identity-H"/>
          <w:color w:val="0D0C0F"/>
          <w:sz w:val="21"/>
          <w:szCs w:val="21"/>
        </w:rPr>
        <w:t>de la Ley de Fiscalización Superior del Estado de Guanajuato.</w:t>
      </w:r>
    </w:p>
    <w:p w14:paraId="18953217" w14:textId="77777777" w:rsidR="000939C4" w:rsidRPr="009E34BC" w:rsidRDefault="000939C4" w:rsidP="000939C4">
      <w:pPr>
        <w:autoSpaceDE w:val="0"/>
        <w:autoSpaceDN w:val="0"/>
        <w:adjustRightInd w:val="0"/>
        <w:jc w:val="both"/>
        <w:rPr>
          <w:rFonts w:ascii="Abadi" w:hAnsi="Abadi" w:cs="*Arial-7090-Identity-H"/>
          <w:color w:val="0D0C0F"/>
          <w:sz w:val="21"/>
          <w:szCs w:val="21"/>
        </w:rPr>
      </w:pPr>
    </w:p>
    <w:p w14:paraId="2EAF64BD" w14:textId="77777777" w:rsidR="000939C4" w:rsidRDefault="000939C4" w:rsidP="000939C4">
      <w:pPr>
        <w:autoSpaceDE w:val="0"/>
        <w:autoSpaceDN w:val="0"/>
        <w:adjustRightInd w:val="0"/>
        <w:ind w:firstLine="708"/>
        <w:jc w:val="both"/>
        <w:rPr>
          <w:rFonts w:ascii="Abadi" w:hAnsi="Abadi" w:cs="*Arial-7090-Identity-H"/>
          <w:color w:val="0D0D10"/>
          <w:sz w:val="21"/>
          <w:szCs w:val="21"/>
        </w:rPr>
      </w:pPr>
      <w:r w:rsidRPr="009E34BC">
        <w:rPr>
          <w:rFonts w:ascii="Abadi" w:hAnsi="Abadi" w:cs="*Arial-7090-Identity-H"/>
          <w:color w:val="0D0D10"/>
          <w:sz w:val="21"/>
          <w:szCs w:val="21"/>
        </w:rPr>
        <w:t>El 9 de febrero de 2022, el sujeto fiscalizado dio respuesta a las</w:t>
      </w:r>
      <w:r>
        <w:rPr>
          <w:rFonts w:ascii="Abadi" w:hAnsi="Abadi" w:cs="*Arial-7090-Identity-H"/>
          <w:color w:val="0D0D10"/>
          <w:sz w:val="21"/>
          <w:szCs w:val="21"/>
        </w:rPr>
        <w:t xml:space="preserve"> </w:t>
      </w:r>
      <w:r w:rsidRPr="009E34BC">
        <w:rPr>
          <w:rFonts w:ascii="Abadi" w:hAnsi="Abadi" w:cs="*Arial-7090-Identity-H"/>
          <w:color w:val="0D0D10"/>
          <w:sz w:val="21"/>
          <w:szCs w:val="21"/>
        </w:rPr>
        <w:t>recomendaciones derivadas de la auditoría practicada, anexándose la información</w:t>
      </w:r>
      <w:r>
        <w:rPr>
          <w:rFonts w:ascii="Abadi" w:hAnsi="Abadi" w:cs="*Arial-7090-Identity-H"/>
          <w:color w:val="0D0D10"/>
          <w:sz w:val="21"/>
          <w:szCs w:val="21"/>
        </w:rPr>
        <w:t xml:space="preserve"> </w:t>
      </w:r>
      <w:r w:rsidRPr="009E34BC">
        <w:rPr>
          <w:rFonts w:ascii="Abadi" w:hAnsi="Abadi" w:cs="*Arial-7090-Identity-H"/>
          <w:color w:val="0D0D10"/>
          <w:sz w:val="21"/>
          <w:szCs w:val="21"/>
        </w:rPr>
        <w:t>y documentación que el mismo consideró suficiente para precisar las mejoras</w:t>
      </w:r>
      <w:r>
        <w:rPr>
          <w:rFonts w:ascii="Abadi" w:hAnsi="Abadi" w:cs="*Arial-7090-Identity-H"/>
          <w:color w:val="0D0D10"/>
          <w:sz w:val="21"/>
          <w:szCs w:val="21"/>
        </w:rPr>
        <w:t xml:space="preserve"> </w:t>
      </w:r>
      <w:r w:rsidRPr="009E34BC">
        <w:rPr>
          <w:rFonts w:ascii="Abadi" w:hAnsi="Abadi" w:cs="*Arial-7090-Identity-H"/>
          <w:color w:val="0D0D10"/>
          <w:sz w:val="21"/>
          <w:szCs w:val="21"/>
        </w:rPr>
        <w:t>efectuadas, las acciones a realizar o en su caso, justificar la improcedencia por la</w:t>
      </w:r>
      <w:r>
        <w:rPr>
          <w:rFonts w:ascii="Abadi" w:hAnsi="Abadi" w:cs="*Arial-7090-Identity-H"/>
          <w:color w:val="0D0D10"/>
          <w:sz w:val="21"/>
          <w:szCs w:val="21"/>
        </w:rPr>
        <w:t xml:space="preserve"> </w:t>
      </w:r>
      <w:r w:rsidRPr="009E34BC">
        <w:rPr>
          <w:rFonts w:ascii="Abadi" w:hAnsi="Abadi" w:cs="*Arial-7090-Identity-H"/>
          <w:color w:val="0D0D10"/>
          <w:sz w:val="21"/>
          <w:szCs w:val="21"/>
        </w:rPr>
        <w:t>cual no resulte factible su implementación. Una vez valorada la documentación</w:t>
      </w:r>
      <w:r>
        <w:rPr>
          <w:rFonts w:ascii="Abadi" w:hAnsi="Abadi" w:cs="*Arial-7090-Identity-H"/>
          <w:color w:val="0D0D10"/>
          <w:sz w:val="21"/>
          <w:szCs w:val="21"/>
        </w:rPr>
        <w:t xml:space="preserve"> </w:t>
      </w:r>
      <w:r w:rsidRPr="009E34BC">
        <w:rPr>
          <w:rFonts w:ascii="Abadi" w:hAnsi="Abadi" w:cs="*Arial-7090-Identity-H"/>
          <w:color w:val="0D0D10"/>
          <w:sz w:val="21"/>
          <w:szCs w:val="21"/>
        </w:rPr>
        <w:t>aportada se procedió a la elaboración del informe de resultados materia del</w:t>
      </w:r>
      <w:r>
        <w:rPr>
          <w:rFonts w:ascii="Abadi" w:hAnsi="Abadi" w:cs="*Arial-7090-Identity-H"/>
          <w:color w:val="0D0D10"/>
          <w:sz w:val="21"/>
          <w:szCs w:val="21"/>
        </w:rPr>
        <w:t xml:space="preserve"> </w:t>
      </w:r>
      <w:r w:rsidRPr="009E34BC">
        <w:rPr>
          <w:rFonts w:ascii="Abadi" w:hAnsi="Abadi" w:cs="*Arial-7090-Identity-H"/>
          <w:color w:val="0D0D10"/>
          <w:sz w:val="21"/>
          <w:szCs w:val="21"/>
        </w:rPr>
        <w:t>presente dictamen.</w:t>
      </w:r>
    </w:p>
    <w:p w14:paraId="19B86BF9" w14:textId="77777777" w:rsidR="000939C4" w:rsidRPr="009E34BC" w:rsidRDefault="000939C4" w:rsidP="000939C4">
      <w:pPr>
        <w:autoSpaceDE w:val="0"/>
        <w:autoSpaceDN w:val="0"/>
        <w:adjustRightInd w:val="0"/>
        <w:jc w:val="both"/>
        <w:rPr>
          <w:rFonts w:ascii="Abadi" w:hAnsi="Abadi" w:cs="*Arial-7090-Identity-H"/>
          <w:color w:val="0D0D10"/>
          <w:sz w:val="21"/>
          <w:szCs w:val="21"/>
        </w:rPr>
      </w:pPr>
    </w:p>
    <w:p w14:paraId="5312E39B" w14:textId="77777777" w:rsidR="000939C4" w:rsidRDefault="000939C4" w:rsidP="000939C4">
      <w:pPr>
        <w:autoSpaceDE w:val="0"/>
        <w:autoSpaceDN w:val="0"/>
        <w:adjustRightInd w:val="0"/>
        <w:ind w:firstLine="708"/>
        <w:jc w:val="both"/>
        <w:rPr>
          <w:rFonts w:ascii="Abadi" w:hAnsi="Abadi" w:cs="*Arial-7090-Identity-H"/>
          <w:color w:val="0D0D10"/>
          <w:sz w:val="21"/>
          <w:szCs w:val="21"/>
        </w:rPr>
      </w:pPr>
      <w:r w:rsidRPr="009E34BC">
        <w:rPr>
          <w:rFonts w:ascii="Abadi" w:hAnsi="Abadi" w:cs="*Arial-7090-Identity-H"/>
          <w:color w:val="0D0D10"/>
          <w:sz w:val="21"/>
          <w:szCs w:val="21"/>
        </w:rPr>
        <w:t>El informe de resultados se notificó a la presidenta municipal de Coroneo,</w:t>
      </w:r>
      <w:r>
        <w:rPr>
          <w:rFonts w:ascii="Abadi" w:hAnsi="Abadi" w:cs="*Arial-7090-Identity-H"/>
          <w:color w:val="0D0D10"/>
          <w:sz w:val="21"/>
          <w:szCs w:val="21"/>
        </w:rPr>
        <w:t xml:space="preserve"> </w:t>
      </w:r>
      <w:proofErr w:type="spellStart"/>
      <w:r w:rsidRPr="009E34BC">
        <w:rPr>
          <w:rFonts w:ascii="Abadi" w:hAnsi="Abadi" w:cs="*Arial-7090-Identity-H"/>
          <w:color w:val="0D0D10"/>
          <w:sz w:val="21"/>
          <w:szCs w:val="21"/>
        </w:rPr>
        <w:t>Gto</w:t>
      </w:r>
      <w:proofErr w:type="spellEnd"/>
      <w:r w:rsidRPr="009E34BC">
        <w:rPr>
          <w:rFonts w:ascii="Abadi" w:hAnsi="Abadi" w:cs="*Arial-7090-Identity-H"/>
          <w:color w:val="0D0D10"/>
          <w:sz w:val="21"/>
          <w:szCs w:val="21"/>
        </w:rPr>
        <w:t>., el 24 de febrero de 2022.</w:t>
      </w:r>
    </w:p>
    <w:p w14:paraId="16B29B56" w14:textId="77777777" w:rsidR="000939C4" w:rsidRPr="009E34BC" w:rsidRDefault="000939C4" w:rsidP="000939C4">
      <w:pPr>
        <w:autoSpaceDE w:val="0"/>
        <w:autoSpaceDN w:val="0"/>
        <w:adjustRightInd w:val="0"/>
        <w:jc w:val="both"/>
        <w:rPr>
          <w:rFonts w:ascii="Abadi" w:hAnsi="Abadi" w:cs="*Arial-7090-Identity-H"/>
          <w:color w:val="0D0D10"/>
          <w:sz w:val="21"/>
          <w:szCs w:val="21"/>
        </w:rPr>
      </w:pPr>
    </w:p>
    <w:p w14:paraId="5CFDE68A" w14:textId="77777777" w:rsidR="000939C4" w:rsidRDefault="000939C4" w:rsidP="000939C4">
      <w:pPr>
        <w:autoSpaceDE w:val="0"/>
        <w:autoSpaceDN w:val="0"/>
        <w:adjustRightInd w:val="0"/>
        <w:ind w:firstLine="708"/>
        <w:jc w:val="both"/>
        <w:rPr>
          <w:rFonts w:ascii="Abadi" w:hAnsi="Abadi" w:cs="*Arial-7090-Identity-H"/>
          <w:color w:val="0D0D10"/>
          <w:sz w:val="21"/>
          <w:szCs w:val="21"/>
        </w:rPr>
      </w:pPr>
      <w:r w:rsidRPr="009E34BC">
        <w:rPr>
          <w:rFonts w:ascii="Abadi" w:hAnsi="Abadi" w:cs="*Arial-7090-Identity-H"/>
          <w:color w:val="0D0D10"/>
          <w:sz w:val="21"/>
          <w:szCs w:val="21"/>
        </w:rPr>
        <w:t>Es importante señalar que de acuerdo a lo previsto en los artículos 60 de la</w:t>
      </w:r>
      <w:r>
        <w:rPr>
          <w:rFonts w:ascii="Abadi" w:hAnsi="Abadi" w:cs="*Arial-7090-Identity-H"/>
          <w:color w:val="0D0D10"/>
          <w:sz w:val="21"/>
          <w:szCs w:val="21"/>
        </w:rPr>
        <w:t xml:space="preserve"> </w:t>
      </w:r>
      <w:r w:rsidRPr="009E34BC">
        <w:rPr>
          <w:rFonts w:ascii="Abadi" w:hAnsi="Abadi" w:cs="*Arial-7090-Identity-H"/>
          <w:color w:val="0D0D10"/>
          <w:sz w:val="21"/>
          <w:szCs w:val="21"/>
        </w:rPr>
        <w:t>Ley de Fiscalización Superior del Estado de Guanajuato; y 60 del Reglamento de</w:t>
      </w:r>
      <w:r>
        <w:rPr>
          <w:rFonts w:ascii="Abadi" w:hAnsi="Abadi" w:cs="*Arial-7090-Identity-H"/>
          <w:color w:val="0D0D10"/>
          <w:sz w:val="21"/>
          <w:szCs w:val="21"/>
        </w:rPr>
        <w:t xml:space="preserve"> </w:t>
      </w:r>
      <w:r w:rsidRPr="009E34BC">
        <w:rPr>
          <w:rFonts w:ascii="Abadi" w:hAnsi="Abadi" w:cs="*Arial-7090-Identity-H"/>
          <w:color w:val="0D0D10"/>
          <w:sz w:val="21"/>
          <w:szCs w:val="21"/>
        </w:rPr>
        <w:t>la Ley de Fiscalización Superior del Estado de Guanajuato, tratándose de las</w:t>
      </w:r>
      <w:r>
        <w:rPr>
          <w:rFonts w:ascii="Abadi" w:hAnsi="Abadi" w:cs="*Arial-7090-Identity-H"/>
          <w:color w:val="0D0D10"/>
          <w:sz w:val="21"/>
          <w:szCs w:val="21"/>
        </w:rPr>
        <w:t xml:space="preserve"> </w:t>
      </w:r>
      <w:r w:rsidRPr="009E34BC">
        <w:rPr>
          <w:rFonts w:ascii="Abadi" w:hAnsi="Abadi" w:cs="*Arial-7090-Identity-H"/>
          <w:color w:val="0D0D10"/>
          <w:sz w:val="21"/>
          <w:szCs w:val="21"/>
        </w:rPr>
        <w:t>auditorías de desempeño es improcedente el recurso de reconsideración en contra</w:t>
      </w:r>
      <w:r>
        <w:rPr>
          <w:rFonts w:ascii="Abadi" w:hAnsi="Abadi" w:cs="*Arial-7090-Identity-H"/>
          <w:color w:val="0D0D10"/>
          <w:sz w:val="21"/>
          <w:szCs w:val="21"/>
        </w:rPr>
        <w:t xml:space="preserve"> </w:t>
      </w:r>
      <w:r w:rsidRPr="009E34BC">
        <w:rPr>
          <w:rFonts w:ascii="Abadi" w:hAnsi="Abadi" w:cs="*Arial-7090-Identity-H"/>
          <w:color w:val="0D0D10"/>
          <w:sz w:val="21"/>
          <w:szCs w:val="21"/>
        </w:rPr>
        <w:t>del informe de resultados, por lo que una vez notificado el mismo al sujeto de</w:t>
      </w:r>
      <w:r>
        <w:rPr>
          <w:rFonts w:ascii="Abadi" w:hAnsi="Abadi" w:cs="*Arial-7090-Identity-H"/>
          <w:color w:val="0D0D10"/>
          <w:sz w:val="21"/>
          <w:szCs w:val="21"/>
        </w:rPr>
        <w:t xml:space="preserve"> </w:t>
      </w:r>
      <w:r w:rsidRPr="009E34BC">
        <w:rPr>
          <w:rFonts w:ascii="Abadi" w:hAnsi="Abadi" w:cs="*Arial-7090-Identity-H"/>
          <w:color w:val="0D0D10"/>
          <w:sz w:val="21"/>
          <w:szCs w:val="21"/>
        </w:rPr>
        <w:t>fiscalización, se remite al Congreso para los efectos procedentes.</w:t>
      </w:r>
    </w:p>
    <w:p w14:paraId="13823419" w14:textId="77777777" w:rsidR="000939C4" w:rsidRPr="009E34BC" w:rsidRDefault="000939C4" w:rsidP="000939C4">
      <w:pPr>
        <w:autoSpaceDE w:val="0"/>
        <w:autoSpaceDN w:val="0"/>
        <w:adjustRightInd w:val="0"/>
        <w:jc w:val="both"/>
        <w:rPr>
          <w:rFonts w:ascii="Abadi" w:hAnsi="Abadi" w:cs="*Arial-7090-Identity-H"/>
          <w:color w:val="0D0D10"/>
          <w:sz w:val="21"/>
          <w:szCs w:val="21"/>
        </w:rPr>
      </w:pPr>
    </w:p>
    <w:p w14:paraId="05154F25" w14:textId="6B4B83BC" w:rsidR="000939C4" w:rsidRPr="009E34BC" w:rsidRDefault="000939C4" w:rsidP="000939C4">
      <w:pPr>
        <w:autoSpaceDE w:val="0"/>
        <w:autoSpaceDN w:val="0"/>
        <w:adjustRightInd w:val="0"/>
        <w:ind w:firstLine="708"/>
        <w:jc w:val="both"/>
        <w:rPr>
          <w:rFonts w:ascii="Abadi" w:hAnsi="Abadi" w:cs="*Arial-7090-Identity-H"/>
          <w:color w:val="0D0C0F"/>
          <w:sz w:val="21"/>
          <w:szCs w:val="21"/>
        </w:rPr>
      </w:pPr>
      <w:r w:rsidRPr="009E34BC">
        <w:rPr>
          <w:rFonts w:ascii="Abadi" w:hAnsi="Abadi" w:cs="*Arial-7090-Identity-H"/>
          <w:color w:val="0D0C0F"/>
          <w:sz w:val="21"/>
          <w:szCs w:val="21"/>
        </w:rPr>
        <w:t>En razón de lo anterior, el Auditor Superior del Estado remitió a este</w:t>
      </w:r>
      <w:r>
        <w:rPr>
          <w:rFonts w:ascii="Abadi" w:hAnsi="Abadi" w:cs="*Arial-7090-Identity-H"/>
          <w:color w:val="0D0C0F"/>
          <w:sz w:val="21"/>
          <w:szCs w:val="21"/>
        </w:rPr>
        <w:t xml:space="preserve"> </w:t>
      </w:r>
      <w:r w:rsidRPr="009E34BC">
        <w:rPr>
          <w:rFonts w:ascii="Abadi" w:hAnsi="Abadi" w:cs="*Arial-7090-Identity-H"/>
          <w:color w:val="0D0C0F"/>
          <w:sz w:val="21"/>
          <w:szCs w:val="21"/>
        </w:rPr>
        <w:t>Congreso del Estado, el informe de resultados, el cual se turnó a la Comisión de</w:t>
      </w:r>
      <w:r>
        <w:rPr>
          <w:rFonts w:ascii="Abadi" w:hAnsi="Abadi" w:cs="*Arial-7090-Identity-H"/>
          <w:color w:val="0D0C0F"/>
          <w:sz w:val="21"/>
          <w:szCs w:val="21"/>
        </w:rPr>
        <w:t xml:space="preserve"> </w:t>
      </w:r>
      <w:r w:rsidRPr="009E34BC">
        <w:rPr>
          <w:rFonts w:ascii="Abadi" w:hAnsi="Abadi" w:cs="*Arial-7090-Identity-H"/>
          <w:color w:val="0D0C0F"/>
          <w:sz w:val="21"/>
          <w:szCs w:val="21"/>
        </w:rPr>
        <w:t>Hacienda y Fiscalización el</w:t>
      </w:r>
      <w:r w:rsidR="00466112">
        <w:rPr>
          <w:rFonts w:ascii="Abadi" w:hAnsi="Abadi" w:cs="*Arial-7090-Identity-H"/>
          <w:color w:val="0D0C0F"/>
          <w:sz w:val="21"/>
          <w:szCs w:val="21"/>
        </w:rPr>
        <w:t xml:space="preserve"> 10</w:t>
      </w:r>
      <w:r w:rsidRPr="009E34BC">
        <w:rPr>
          <w:rFonts w:ascii="Abadi" w:hAnsi="Abadi" w:cs="*Arial-7090-Identity-H"/>
          <w:color w:val="0D0C0F"/>
          <w:sz w:val="21"/>
          <w:szCs w:val="21"/>
        </w:rPr>
        <w:t xml:space="preserve"> de marzo de 2022 para su estudio y dictamen,</w:t>
      </w:r>
      <w:r>
        <w:rPr>
          <w:rFonts w:ascii="Abadi" w:hAnsi="Abadi" w:cs="*Arial-7090-Identity-H"/>
          <w:color w:val="0D0C0F"/>
          <w:sz w:val="21"/>
          <w:szCs w:val="21"/>
        </w:rPr>
        <w:t xml:space="preserve"> </w:t>
      </w:r>
      <w:r w:rsidRPr="009E34BC">
        <w:rPr>
          <w:rFonts w:ascii="Abadi" w:hAnsi="Abadi" w:cs="*Arial-7090-Identity-H"/>
          <w:color w:val="0D0C0F"/>
          <w:sz w:val="21"/>
          <w:szCs w:val="21"/>
        </w:rPr>
        <w:t>siendo radicado el 15 de marzo del año en curso.</w:t>
      </w:r>
    </w:p>
    <w:p w14:paraId="1D89EA6D" w14:textId="77777777" w:rsidR="000939C4" w:rsidRPr="009E34BC" w:rsidRDefault="000939C4" w:rsidP="000939C4">
      <w:pPr>
        <w:jc w:val="both"/>
        <w:rPr>
          <w:rFonts w:ascii="Abadi" w:hAnsi="Abadi" w:cs="*Arial-7090-Identity-H"/>
          <w:color w:val="0D0C0F"/>
          <w:sz w:val="21"/>
          <w:szCs w:val="21"/>
        </w:rPr>
      </w:pPr>
    </w:p>
    <w:p w14:paraId="4EF322FA" w14:textId="77777777" w:rsidR="000939C4" w:rsidRPr="009E34BC" w:rsidRDefault="000939C4" w:rsidP="000939C4">
      <w:pPr>
        <w:autoSpaceDE w:val="0"/>
        <w:autoSpaceDN w:val="0"/>
        <w:adjustRightInd w:val="0"/>
        <w:ind w:firstLine="708"/>
        <w:jc w:val="both"/>
        <w:rPr>
          <w:rFonts w:ascii="Abadi" w:hAnsi="Abadi" w:cs="*Arial-Bold-7938-Identity-H"/>
          <w:b/>
          <w:bCs/>
          <w:color w:val="0C0B11"/>
          <w:sz w:val="21"/>
          <w:szCs w:val="21"/>
        </w:rPr>
      </w:pPr>
      <w:r w:rsidRPr="009E34BC">
        <w:rPr>
          <w:rFonts w:ascii="Abadi" w:hAnsi="Abadi" w:cs="*Arial-Bold-7938-Identity-H"/>
          <w:b/>
          <w:bCs/>
          <w:color w:val="0C0B11"/>
          <w:sz w:val="21"/>
          <w:szCs w:val="21"/>
        </w:rPr>
        <w:t>IV. Contenido del Informe de Resultados:</w:t>
      </w:r>
    </w:p>
    <w:p w14:paraId="6091A051" w14:textId="77777777" w:rsidR="000939C4" w:rsidRDefault="000939C4" w:rsidP="000939C4">
      <w:pPr>
        <w:autoSpaceDE w:val="0"/>
        <w:autoSpaceDN w:val="0"/>
        <w:adjustRightInd w:val="0"/>
        <w:jc w:val="both"/>
        <w:rPr>
          <w:rFonts w:ascii="Abadi" w:hAnsi="Abadi" w:cs="*Arial-7939-Identity-H"/>
          <w:color w:val="1A1A1A"/>
          <w:sz w:val="21"/>
          <w:szCs w:val="21"/>
        </w:rPr>
      </w:pPr>
    </w:p>
    <w:p w14:paraId="4DC038EA" w14:textId="77777777" w:rsidR="000939C4" w:rsidRPr="009E34BC" w:rsidRDefault="000939C4" w:rsidP="000939C4">
      <w:pPr>
        <w:autoSpaceDE w:val="0"/>
        <w:autoSpaceDN w:val="0"/>
        <w:adjustRightInd w:val="0"/>
        <w:jc w:val="both"/>
        <w:rPr>
          <w:rFonts w:ascii="Abadi" w:hAnsi="Abadi" w:cs="*Arial-7939-Identity-H"/>
          <w:color w:val="1A1A1A"/>
          <w:sz w:val="21"/>
          <w:szCs w:val="21"/>
        </w:rPr>
      </w:pPr>
    </w:p>
    <w:p w14:paraId="62543BA7" w14:textId="77777777" w:rsidR="000939C4" w:rsidRPr="009E34BC" w:rsidRDefault="000939C4" w:rsidP="000939C4">
      <w:pPr>
        <w:autoSpaceDE w:val="0"/>
        <w:autoSpaceDN w:val="0"/>
        <w:adjustRightInd w:val="0"/>
        <w:ind w:firstLine="708"/>
        <w:jc w:val="both"/>
        <w:rPr>
          <w:rFonts w:ascii="Abadi" w:hAnsi="Abadi" w:cs="*Arial-7937-Identity-H"/>
          <w:color w:val="0D0D0F"/>
          <w:sz w:val="21"/>
          <w:szCs w:val="21"/>
        </w:rPr>
      </w:pPr>
      <w:r w:rsidRPr="009E34BC">
        <w:rPr>
          <w:rFonts w:ascii="Abadi" w:hAnsi="Abadi" w:cs="*Arial-7937-Identity-H"/>
          <w:color w:val="0D0D0F"/>
          <w:sz w:val="21"/>
          <w:szCs w:val="21"/>
        </w:rPr>
        <w:t>Con fundamento en los artículos 59 de la Ley de Fiscalización Superior del</w:t>
      </w:r>
      <w:r>
        <w:rPr>
          <w:rFonts w:ascii="Abadi" w:hAnsi="Abadi" w:cs="*Arial-7937-Identity-H"/>
          <w:color w:val="0D0D0F"/>
          <w:sz w:val="21"/>
          <w:szCs w:val="21"/>
        </w:rPr>
        <w:t xml:space="preserve"> </w:t>
      </w:r>
      <w:r w:rsidRPr="009E34BC">
        <w:rPr>
          <w:rFonts w:ascii="Abadi" w:hAnsi="Abadi" w:cs="*Arial-7937-Identity-H"/>
          <w:color w:val="0D0D0F"/>
          <w:sz w:val="21"/>
          <w:szCs w:val="21"/>
        </w:rPr>
        <w:t>Estado de Guanajuato y 26 del Reglamento de dicha Ley, el informe de resultados</w:t>
      </w:r>
      <w:r>
        <w:rPr>
          <w:rFonts w:ascii="Abadi" w:hAnsi="Abadi" w:cs="*Arial-7937-Identity-H"/>
          <w:color w:val="0D0D0F"/>
          <w:sz w:val="21"/>
          <w:szCs w:val="21"/>
        </w:rPr>
        <w:t xml:space="preserve"> </w:t>
      </w:r>
      <w:r w:rsidRPr="009E34BC">
        <w:rPr>
          <w:rFonts w:ascii="Abadi" w:hAnsi="Abadi" w:cs="*Arial-7937-Identity-H"/>
          <w:color w:val="0D0D0F"/>
          <w:sz w:val="21"/>
          <w:szCs w:val="21"/>
        </w:rPr>
        <w:t>contiene los siguientes apartados: Introducción; Resultado del Proceso de</w:t>
      </w:r>
      <w:r>
        <w:rPr>
          <w:rFonts w:ascii="Abadi" w:hAnsi="Abadi" w:cs="*Arial-7937-Identity-H"/>
          <w:color w:val="0D0D0F"/>
          <w:sz w:val="21"/>
          <w:szCs w:val="21"/>
        </w:rPr>
        <w:t xml:space="preserve"> </w:t>
      </w:r>
      <w:r w:rsidRPr="009E34BC">
        <w:rPr>
          <w:rFonts w:ascii="Abadi" w:hAnsi="Abadi" w:cs="*Arial-7937-Identity-H"/>
          <w:color w:val="0D0D0F"/>
          <w:sz w:val="21"/>
          <w:szCs w:val="21"/>
        </w:rPr>
        <w:t>Fiscalización; Resumen de las Recomendaciones; y Conclusión General.</w:t>
      </w:r>
    </w:p>
    <w:p w14:paraId="54815CEB" w14:textId="77777777" w:rsidR="000939C4" w:rsidRDefault="000939C4" w:rsidP="000939C4">
      <w:pPr>
        <w:autoSpaceDE w:val="0"/>
        <w:autoSpaceDN w:val="0"/>
        <w:adjustRightInd w:val="0"/>
        <w:jc w:val="both"/>
        <w:rPr>
          <w:rFonts w:ascii="Abadi" w:hAnsi="Abadi" w:cs="*Arial-Bold-7938-Identity-H"/>
          <w:b/>
          <w:bCs/>
          <w:color w:val="0C0C10"/>
          <w:sz w:val="21"/>
          <w:szCs w:val="21"/>
        </w:rPr>
      </w:pPr>
    </w:p>
    <w:p w14:paraId="01D688C1" w14:textId="77777777" w:rsidR="000939C4" w:rsidRDefault="000939C4" w:rsidP="000939C4">
      <w:pPr>
        <w:autoSpaceDE w:val="0"/>
        <w:autoSpaceDN w:val="0"/>
        <w:adjustRightInd w:val="0"/>
        <w:ind w:firstLine="708"/>
        <w:jc w:val="both"/>
        <w:rPr>
          <w:rFonts w:ascii="Abadi" w:hAnsi="Abadi" w:cs="*Arial-Bold-7938-Identity-H"/>
          <w:b/>
          <w:bCs/>
          <w:color w:val="0C0C10"/>
          <w:sz w:val="21"/>
          <w:szCs w:val="21"/>
        </w:rPr>
      </w:pPr>
      <w:r w:rsidRPr="009E34BC">
        <w:rPr>
          <w:rFonts w:ascii="Abadi" w:hAnsi="Abadi" w:cs="*Arial-Bold-7938-Identity-H"/>
          <w:b/>
          <w:bCs/>
          <w:color w:val="0C0C10"/>
          <w:sz w:val="21"/>
          <w:szCs w:val="21"/>
        </w:rPr>
        <w:t>a) Introducción.</w:t>
      </w:r>
    </w:p>
    <w:p w14:paraId="1E48FE60" w14:textId="77777777" w:rsidR="000939C4" w:rsidRPr="009E34BC" w:rsidRDefault="000939C4" w:rsidP="000939C4">
      <w:pPr>
        <w:autoSpaceDE w:val="0"/>
        <w:autoSpaceDN w:val="0"/>
        <w:adjustRightInd w:val="0"/>
        <w:jc w:val="both"/>
        <w:rPr>
          <w:rFonts w:ascii="Abadi" w:hAnsi="Abadi" w:cs="*Arial-Bold-7938-Identity-H"/>
          <w:b/>
          <w:bCs/>
          <w:color w:val="0C0C10"/>
          <w:sz w:val="21"/>
          <w:szCs w:val="21"/>
        </w:rPr>
      </w:pPr>
    </w:p>
    <w:p w14:paraId="71536D6F" w14:textId="77777777" w:rsidR="000939C4" w:rsidRDefault="000939C4" w:rsidP="000939C4">
      <w:pPr>
        <w:autoSpaceDE w:val="0"/>
        <w:autoSpaceDN w:val="0"/>
        <w:adjustRightInd w:val="0"/>
        <w:ind w:firstLine="708"/>
        <w:jc w:val="both"/>
        <w:rPr>
          <w:rFonts w:ascii="Abadi" w:hAnsi="Abadi" w:cs="*Arial-7937-Identity-H"/>
          <w:color w:val="0F0E11"/>
          <w:sz w:val="21"/>
          <w:szCs w:val="21"/>
        </w:rPr>
      </w:pPr>
      <w:r w:rsidRPr="009E34BC">
        <w:rPr>
          <w:rFonts w:ascii="Abadi" w:hAnsi="Abadi" w:cs="*Arial-7937-Identity-H"/>
          <w:color w:val="0F0E11"/>
          <w:sz w:val="21"/>
          <w:szCs w:val="21"/>
        </w:rPr>
        <w:t>Por lo que se refiere a esta parte, se señala que las auditorías de</w:t>
      </w:r>
      <w:r>
        <w:rPr>
          <w:rFonts w:ascii="Abadi" w:hAnsi="Abadi" w:cs="*Arial-7937-Identity-H"/>
          <w:color w:val="0F0E11"/>
          <w:sz w:val="21"/>
          <w:szCs w:val="21"/>
        </w:rPr>
        <w:t xml:space="preserve"> </w:t>
      </w:r>
      <w:r w:rsidRPr="009E34BC">
        <w:rPr>
          <w:rFonts w:ascii="Abadi" w:hAnsi="Abadi" w:cs="*Arial-7937-Identity-H"/>
          <w:color w:val="0F0E11"/>
          <w:sz w:val="21"/>
          <w:szCs w:val="21"/>
        </w:rPr>
        <w:t>desempeño son actos de fiscalización, esa es su esencia.</w:t>
      </w:r>
    </w:p>
    <w:p w14:paraId="289A33E3" w14:textId="77777777" w:rsidR="000939C4" w:rsidRPr="009E34BC" w:rsidRDefault="000939C4" w:rsidP="000939C4">
      <w:pPr>
        <w:autoSpaceDE w:val="0"/>
        <w:autoSpaceDN w:val="0"/>
        <w:adjustRightInd w:val="0"/>
        <w:jc w:val="both"/>
        <w:rPr>
          <w:rFonts w:ascii="Abadi" w:hAnsi="Abadi" w:cs="*Arial-7937-Identity-H"/>
          <w:color w:val="0F0E11"/>
          <w:sz w:val="21"/>
          <w:szCs w:val="21"/>
        </w:rPr>
      </w:pPr>
    </w:p>
    <w:p w14:paraId="3EC548FB" w14:textId="77777777" w:rsidR="000939C4" w:rsidRDefault="000939C4" w:rsidP="000939C4">
      <w:pPr>
        <w:autoSpaceDE w:val="0"/>
        <w:autoSpaceDN w:val="0"/>
        <w:adjustRightInd w:val="0"/>
        <w:ind w:firstLine="708"/>
        <w:jc w:val="both"/>
        <w:rPr>
          <w:rFonts w:ascii="Abadi" w:hAnsi="Abadi" w:cs="*Arial-7937-Identity-H"/>
          <w:color w:val="0D0D0F"/>
          <w:sz w:val="21"/>
          <w:szCs w:val="21"/>
        </w:rPr>
      </w:pPr>
      <w:r w:rsidRPr="009E34BC">
        <w:rPr>
          <w:rFonts w:ascii="Abadi" w:hAnsi="Abadi" w:cs="*Arial-7937-Identity-H"/>
          <w:color w:val="0D0D0F"/>
          <w:sz w:val="21"/>
          <w:szCs w:val="21"/>
        </w:rPr>
        <w:t>Es así, que la naturaleza técnico-jurídica de las auditorías de desempeño</w:t>
      </w:r>
      <w:r>
        <w:rPr>
          <w:rFonts w:ascii="Abadi" w:hAnsi="Abadi" w:cs="*Arial-7937-Identity-H"/>
          <w:color w:val="0D0D0F"/>
          <w:sz w:val="21"/>
          <w:szCs w:val="21"/>
        </w:rPr>
        <w:t xml:space="preserve"> </w:t>
      </w:r>
      <w:r w:rsidRPr="009E34BC">
        <w:rPr>
          <w:rFonts w:ascii="Abadi" w:hAnsi="Abadi" w:cs="*Arial-7937-Identity-H"/>
          <w:color w:val="0D0D0F"/>
          <w:sz w:val="21"/>
          <w:szCs w:val="21"/>
        </w:rPr>
        <w:t>difiere de otras auditorías, pues el resultado se expresa con la emisión, en su</w:t>
      </w:r>
      <w:r>
        <w:rPr>
          <w:rFonts w:ascii="Abadi" w:hAnsi="Abadi" w:cs="*Arial-7937-Identity-H"/>
          <w:color w:val="0D0D0F"/>
          <w:sz w:val="21"/>
          <w:szCs w:val="21"/>
        </w:rPr>
        <w:t xml:space="preserve"> </w:t>
      </w:r>
      <w:r w:rsidRPr="009E34BC">
        <w:rPr>
          <w:rFonts w:ascii="Abadi" w:hAnsi="Abadi" w:cs="*Arial-7937-Identity-H"/>
          <w:color w:val="0D0D0F"/>
          <w:sz w:val="21"/>
          <w:szCs w:val="21"/>
        </w:rPr>
        <w:t>caso, de exclusivamente recomendaciones, distinguiéndose de otros actos de</w:t>
      </w:r>
      <w:r>
        <w:rPr>
          <w:rFonts w:ascii="Abadi" w:hAnsi="Abadi" w:cs="*Arial-7937-Identity-H"/>
          <w:color w:val="0D0D0F"/>
          <w:sz w:val="21"/>
          <w:szCs w:val="21"/>
        </w:rPr>
        <w:t xml:space="preserve"> </w:t>
      </w:r>
      <w:r w:rsidRPr="009E34BC">
        <w:rPr>
          <w:rFonts w:ascii="Abadi" w:hAnsi="Abadi" w:cs="*Arial-7937-Identity-H"/>
          <w:color w:val="0D0D0F"/>
          <w:sz w:val="21"/>
          <w:szCs w:val="21"/>
        </w:rPr>
        <w:t>fiscalización o control que pueden arrojar observaciones. Se trata de una tarea</w:t>
      </w:r>
      <w:r>
        <w:rPr>
          <w:rFonts w:ascii="Abadi" w:hAnsi="Abadi" w:cs="*Arial-7937-Identity-H"/>
          <w:color w:val="0D0D0F"/>
          <w:sz w:val="21"/>
          <w:szCs w:val="21"/>
        </w:rPr>
        <w:t xml:space="preserve"> </w:t>
      </w:r>
      <w:r w:rsidRPr="009E34BC">
        <w:rPr>
          <w:rFonts w:ascii="Abadi" w:hAnsi="Abadi" w:cs="*Arial-7937-Identity-H"/>
          <w:color w:val="0D0D0F"/>
          <w:sz w:val="21"/>
          <w:szCs w:val="21"/>
        </w:rPr>
        <w:t>reglada y sistémica de evaluación para la mejora continua, detectando</w:t>
      </w:r>
      <w:r>
        <w:rPr>
          <w:rFonts w:ascii="Abadi" w:hAnsi="Abadi" w:cs="*Arial-7937-Identity-H"/>
          <w:color w:val="0D0D0F"/>
          <w:sz w:val="21"/>
          <w:szCs w:val="21"/>
        </w:rPr>
        <w:t xml:space="preserve"> </w:t>
      </w:r>
      <w:r w:rsidRPr="009E34BC">
        <w:rPr>
          <w:rFonts w:ascii="Abadi" w:hAnsi="Abadi" w:cs="*Arial-7937-Identity-H"/>
          <w:color w:val="0D0D0F"/>
          <w:sz w:val="21"/>
          <w:szCs w:val="21"/>
        </w:rPr>
        <w:t>debilidades, áreas de oportunidad, amenazas e incluso fortalezas en el ámbito</w:t>
      </w:r>
      <w:r>
        <w:rPr>
          <w:rFonts w:ascii="Abadi" w:hAnsi="Abadi" w:cs="*Arial-7937-Identity-H"/>
          <w:color w:val="0D0D0F"/>
          <w:sz w:val="21"/>
          <w:szCs w:val="21"/>
        </w:rPr>
        <w:t xml:space="preserve"> </w:t>
      </w:r>
      <w:r w:rsidRPr="009E34BC">
        <w:rPr>
          <w:rFonts w:ascii="Abadi" w:hAnsi="Abadi" w:cs="*Arial-7937-Identity-H"/>
          <w:color w:val="0D0D0F"/>
          <w:sz w:val="21"/>
          <w:szCs w:val="21"/>
        </w:rPr>
        <w:t>público, pero promoviendo además acciones concretas que permitan superar o</w:t>
      </w:r>
      <w:r>
        <w:rPr>
          <w:rFonts w:ascii="Abadi" w:hAnsi="Abadi" w:cs="*Arial-7937-Identity-H"/>
          <w:color w:val="0D0D0F"/>
          <w:sz w:val="21"/>
          <w:szCs w:val="21"/>
        </w:rPr>
        <w:t xml:space="preserve"> </w:t>
      </w:r>
      <w:r w:rsidRPr="009E34BC">
        <w:rPr>
          <w:rFonts w:ascii="Abadi" w:hAnsi="Abadi" w:cs="*Arial-7937-Identity-H"/>
          <w:color w:val="0D0D0F"/>
          <w:sz w:val="21"/>
          <w:szCs w:val="21"/>
        </w:rPr>
        <w:t>potenciar las mismas, dando adicionalmente seguimiento a su eventual</w:t>
      </w:r>
      <w:r>
        <w:rPr>
          <w:rFonts w:ascii="Abadi" w:hAnsi="Abadi" w:cs="*Arial-7937-Identity-H"/>
          <w:color w:val="0D0D0F"/>
          <w:sz w:val="21"/>
          <w:szCs w:val="21"/>
        </w:rPr>
        <w:t xml:space="preserve"> </w:t>
      </w:r>
      <w:r w:rsidRPr="009E34BC">
        <w:rPr>
          <w:rFonts w:ascii="Abadi" w:hAnsi="Abadi" w:cs="*Arial-7937-Identity-H"/>
          <w:color w:val="0D0D0F"/>
          <w:sz w:val="21"/>
          <w:szCs w:val="21"/>
        </w:rPr>
        <w:t>implementación por los sujetos públicos responsables.</w:t>
      </w:r>
    </w:p>
    <w:p w14:paraId="318DA3E5" w14:textId="77777777" w:rsidR="000939C4" w:rsidRPr="009E34BC" w:rsidRDefault="000939C4" w:rsidP="000939C4">
      <w:pPr>
        <w:autoSpaceDE w:val="0"/>
        <w:autoSpaceDN w:val="0"/>
        <w:adjustRightInd w:val="0"/>
        <w:jc w:val="both"/>
        <w:rPr>
          <w:rFonts w:ascii="Abadi" w:hAnsi="Abadi" w:cs="*Arial-7937-Identity-H"/>
          <w:color w:val="0D0D0F"/>
          <w:sz w:val="21"/>
          <w:szCs w:val="21"/>
        </w:rPr>
      </w:pPr>
    </w:p>
    <w:p w14:paraId="21D55273" w14:textId="77777777" w:rsidR="000939C4" w:rsidRDefault="000939C4" w:rsidP="000939C4">
      <w:pPr>
        <w:autoSpaceDE w:val="0"/>
        <w:autoSpaceDN w:val="0"/>
        <w:adjustRightInd w:val="0"/>
        <w:ind w:firstLine="708"/>
        <w:jc w:val="both"/>
        <w:rPr>
          <w:rFonts w:ascii="Abadi" w:hAnsi="Abadi" w:cs="*Arial-7937-Identity-H"/>
          <w:color w:val="0C0D10"/>
          <w:sz w:val="21"/>
          <w:szCs w:val="21"/>
        </w:rPr>
      </w:pPr>
      <w:r w:rsidRPr="009E34BC">
        <w:rPr>
          <w:rFonts w:ascii="Abadi" w:hAnsi="Abadi" w:cs="*Arial-7937-Identity-H"/>
          <w:color w:val="0C0D10"/>
          <w:sz w:val="21"/>
          <w:szCs w:val="21"/>
        </w:rPr>
        <w:t>En dichas auditorias, con independencia de su enfoque, se debe planear</w:t>
      </w:r>
      <w:r>
        <w:rPr>
          <w:rFonts w:ascii="Abadi" w:hAnsi="Abadi" w:cs="*Arial-7937-Identity-H"/>
          <w:color w:val="0C0D10"/>
          <w:sz w:val="21"/>
          <w:szCs w:val="21"/>
        </w:rPr>
        <w:t xml:space="preserve"> </w:t>
      </w:r>
      <w:r w:rsidRPr="009E34BC">
        <w:rPr>
          <w:rFonts w:ascii="Abadi" w:hAnsi="Abadi" w:cs="*Arial-7937-Identity-H"/>
          <w:color w:val="0C0D10"/>
          <w:sz w:val="21"/>
          <w:szCs w:val="21"/>
        </w:rPr>
        <w:t>con toda claridad y con base en la evidencia competente, suficiente, pertinente,</w:t>
      </w:r>
      <w:r>
        <w:rPr>
          <w:rFonts w:ascii="Abadi" w:hAnsi="Abadi" w:cs="*Arial-7937-Identity-H"/>
          <w:color w:val="0C0D10"/>
          <w:sz w:val="21"/>
          <w:szCs w:val="21"/>
        </w:rPr>
        <w:t xml:space="preserve"> </w:t>
      </w:r>
      <w:r w:rsidRPr="009E34BC">
        <w:rPr>
          <w:rFonts w:ascii="Abadi" w:hAnsi="Abadi" w:cs="*Arial-7937-Identity-H"/>
          <w:color w:val="0C0D10"/>
          <w:sz w:val="21"/>
          <w:szCs w:val="21"/>
        </w:rPr>
        <w:t>relevante y oportuna, las conclusiones del proceso de fiscalización,</w:t>
      </w:r>
      <w:r>
        <w:rPr>
          <w:rFonts w:ascii="Abadi" w:hAnsi="Abadi" w:cs="*Arial-7937-Identity-H"/>
          <w:color w:val="0C0D10"/>
          <w:sz w:val="21"/>
          <w:szCs w:val="21"/>
        </w:rPr>
        <w:t xml:space="preserve"> </w:t>
      </w:r>
      <w:r w:rsidRPr="009E34BC">
        <w:rPr>
          <w:rFonts w:ascii="Abadi" w:hAnsi="Abadi" w:cs="*Arial-7937-Identity-H"/>
          <w:color w:val="0C0D10"/>
          <w:sz w:val="21"/>
          <w:szCs w:val="21"/>
        </w:rPr>
        <w:t>puntualizándose las recomendaciones formuladas en su caso.</w:t>
      </w:r>
    </w:p>
    <w:p w14:paraId="0FC8B97B" w14:textId="77777777" w:rsidR="000939C4" w:rsidRPr="009E34BC" w:rsidRDefault="000939C4" w:rsidP="000939C4">
      <w:pPr>
        <w:autoSpaceDE w:val="0"/>
        <w:autoSpaceDN w:val="0"/>
        <w:adjustRightInd w:val="0"/>
        <w:jc w:val="both"/>
        <w:rPr>
          <w:rFonts w:ascii="Abadi" w:hAnsi="Abadi" w:cs="*Arial-7937-Identity-H"/>
          <w:color w:val="0C0D10"/>
          <w:sz w:val="21"/>
          <w:szCs w:val="21"/>
        </w:rPr>
      </w:pPr>
    </w:p>
    <w:p w14:paraId="228063E6" w14:textId="77777777" w:rsidR="000939C4" w:rsidRPr="009E34BC" w:rsidRDefault="000939C4" w:rsidP="000939C4">
      <w:pPr>
        <w:autoSpaceDE w:val="0"/>
        <w:autoSpaceDN w:val="0"/>
        <w:adjustRightInd w:val="0"/>
        <w:ind w:firstLine="708"/>
        <w:jc w:val="both"/>
        <w:rPr>
          <w:rFonts w:ascii="Abadi" w:hAnsi="Abadi" w:cs="*Arial-7937-Identity-H"/>
          <w:color w:val="0C0B0E"/>
          <w:sz w:val="21"/>
          <w:szCs w:val="21"/>
        </w:rPr>
      </w:pPr>
      <w:r w:rsidRPr="009E34BC">
        <w:rPr>
          <w:rFonts w:ascii="Abadi" w:hAnsi="Abadi" w:cs="*Arial-7937-Identity-H"/>
          <w:color w:val="0C0B0E"/>
          <w:sz w:val="21"/>
          <w:szCs w:val="21"/>
        </w:rPr>
        <w:t>Respecto al marco competencia!, se pr</w:t>
      </w:r>
      <w:r>
        <w:rPr>
          <w:rFonts w:ascii="Abadi" w:eastAsia="Abadi" w:hAnsi="Abadi" w:cs="Abadi"/>
          <w:color w:val="0C0B0E"/>
          <w:sz w:val="21"/>
          <w:szCs w:val="21"/>
        </w:rPr>
        <w:t>e</w:t>
      </w:r>
      <w:r w:rsidRPr="009E34BC">
        <w:rPr>
          <w:rFonts w:ascii="Abadi" w:hAnsi="Abadi" w:cs="*Arial-7937-Identity-H"/>
          <w:color w:val="0C0B0E"/>
          <w:sz w:val="21"/>
          <w:szCs w:val="21"/>
        </w:rPr>
        <w:t>cisa la normatividad aplicable a la</w:t>
      </w:r>
      <w:r>
        <w:rPr>
          <w:rFonts w:ascii="Abadi" w:hAnsi="Abadi" w:cs="*Arial-7937-Identity-H"/>
          <w:color w:val="0C0B0E"/>
          <w:sz w:val="21"/>
          <w:szCs w:val="21"/>
        </w:rPr>
        <w:t xml:space="preserve"> </w:t>
      </w:r>
      <w:r w:rsidRPr="009E34BC">
        <w:rPr>
          <w:rFonts w:ascii="Abadi" w:hAnsi="Abadi" w:cs="*Arial-7937-Identity-H"/>
          <w:color w:val="0C0B0E"/>
          <w:sz w:val="21"/>
          <w:szCs w:val="21"/>
        </w:rPr>
        <w:t>función de fiscalización a cargo del Poder Legislativo del Estado, siendo esta:</w:t>
      </w:r>
      <w:r>
        <w:rPr>
          <w:rFonts w:ascii="Abadi" w:hAnsi="Abadi" w:cs="*Arial-7937-Identity-H"/>
          <w:color w:val="0C0B0E"/>
          <w:sz w:val="21"/>
          <w:szCs w:val="21"/>
        </w:rPr>
        <w:t xml:space="preserve"> </w:t>
      </w:r>
      <w:r w:rsidRPr="009E34BC">
        <w:rPr>
          <w:rFonts w:ascii="Abadi" w:hAnsi="Abadi" w:cs="*Arial-7937-Identity-H"/>
          <w:color w:val="0C0B0E"/>
          <w:sz w:val="21"/>
          <w:szCs w:val="21"/>
        </w:rPr>
        <w:t>articulas 116, fracción II y 134 de la Constitución Política de los Estados Unidos</w:t>
      </w:r>
      <w:r>
        <w:rPr>
          <w:rFonts w:ascii="Abadi" w:hAnsi="Abadi" w:cs="*Arial-7937-Identity-H"/>
          <w:color w:val="0C0B0E"/>
          <w:sz w:val="21"/>
          <w:szCs w:val="21"/>
        </w:rPr>
        <w:t xml:space="preserve"> </w:t>
      </w:r>
      <w:r w:rsidRPr="009E34BC">
        <w:rPr>
          <w:rFonts w:ascii="Abadi" w:hAnsi="Abadi" w:cs="*Arial-7937-Identity-H"/>
          <w:color w:val="0C0B0E"/>
          <w:sz w:val="21"/>
          <w:szCs w:val="21"/>
        </w:rPr>
        <w:t xml:space="preserve">Mexicanos; 2, párrafo primero, 63, fracción XIX y 66, fracciones </w:t>
      </w:r>
      <w:r>
        <w:rPr>
          <w:rFonts w:ascii="Abadi" w:hAnsi="Abadi" w:cs="*Arial-7937-Identity-H"/>
          <w:color w:val="0C0B0E"/>
          <w:sz w:val="21"/>
          <w:szCs w:val="21"/>
        </w:rPr>
        <w:t>I</w:t>
      </w:r>
      <w:r w:rsidRPr="009E34BC">
        <w:rPr>
          <w:rFonts w:ascii="Abadi" w:hAnsi="Abadi" w:cs="*Arial-7937-Identity-H"/>
          <w:color w:val="0C0B0E"/>
          <w:sz w:val="21"/>
          <w:szCs w:val="21"/>
        </w:rPr>
        <w:t xml:space="preserve">, </w:t>
      </w:r>
      <w:r>
        <w:rPr>
          <w:rFonts w:ascii="Abadi" w:hAnsi="Abadi" w:cs="*Arial-7937-Identity-H"/>
          <w:color w:val="0C0B0E"/>
          <w:sz w:val="21"/>
          <w:szCs w:val="21"/>
        </w:rPr>
        <w:t xml:space="preserve">II </w:t>
      </w:r>
      <w:r w:rsidRPr="009E34BC">
        <w:rPr>
          <w:rFonts w:ascii="Abadi" w:hAnsi="Abadi" w:cs="*Arial-7937-Identity-H"/>
          <w:color w:val="0C0B0E"/>
          <w:sz w:val="21"/>
          <w:szCs w:val="21"/>
        </w:rPr>
        <w:t>y IV de la</w:t>
      </w:r>
      <w:r>
        <w:rPr>
          <w:rFonts w:ascii="Abadi" w:hAnsi="Abadi" w:cs="*Arial-7937-Identity-H"/>
          <w:color w:val="0C0B0E"/>
          <w:sz w:val="21"/>
          <w:szCs w:val="21"/>
        </w:rPr>
        <w:t xml:space="preserve"> </w:t>
      </w:r>
      <w:r w:rsidRPr="009E34BC">
        <w:rPr>
          <w:rFonts w:ascii="Abadi" w:hAnsi="Abadi" w:cs="*Arial-7937-Identity-H"/>
          <w:color w:val="0C0B0E"/>
          <w:sz w:val="21"/>
          <w:szCs w:val="21"/>
        </w:rPr>
        <w:t xml:space="preserve">Constitución Política para el Estado de Guanajuato; 1, 2, fracciones II y </w:t>
      </w:r>
      <w:r>
        <w:rPr>
          <w:rFonts w:ascii="Abadi" w:hAnsi="Abadi" w:cs="*Arial-7937-Identity-H"/>
          <w:color w:val="0C0B0E"/>
          <w:sz w:val="21"/>
          <w:szCs w:val="21"/>
        </w:rPr>
        <w:t>III</w:t>
      </w:r>
      <w:r w:rsidRPr="009E34BC">
        <w:rPr>
          <w:rFonts w:ascii="Abadi" w:hAnsi="Abadi" w:cs="*Arial-7937-Identity-H"/>
          <w:color w:val="0C0B0E"/>
          <w:sz w:val="21"/>
          <w:szCs w:val="21"/>
        </w:rPr>
        <w:t>, 3,</w:t>
      </w:r>
      <w:r>
        <w:rPr>
          <w:rFonts w:ascii="Abadi" w:hAnsi="Abadi" w:cs="*Arial-7937-Identity-H"/>
          <w:color w:val="0C0B0E"/>
          <w:sz w:val="21"/>
          <w:szCs w:val="21"/>
        </w:rPr>
        <w:t xml:space="preserve"> </w:t>
      </w:r>
      <w:r w:rsidRPr="009E34BC">
        <w:rPr>
          <w:rFonts w:ascii="Abadi" w:hAnsi="Abadi" w:cs="*Arial-7937-Identity-H"/>
          <w:color w:val="0C0B0E"/>
          <w:sz w:val="21"/>
          <w:szCs w:val="21"/>
        </w:rPr>
        <w:t xml:space="preserve">fracciones </w:t>
      </w:r>
      <w:r>
        <w:rPr>
          <w:rFonts w:ascii="Abadi" w:hAnsi="Abadi" w:cs="*Arial-7937-Identity-H"/>
          <w:color w:val="0C0B0E"/>
          <w:sz w:val="21"/>
          <w:szCs w:val="21"/>
        </w:rPr>
        <w:t>I</w:t>
      </w:r>
      <w:r w:rsidRPr="009E34BC">
        <w:rPr>
          <w:rFonts w:ascii="Abadi" w:hAnsi="Abadi" w:cs="*Arial-7937-Identity-H"/>
          <w:color w:val="0C0B0E"/>
          <w:sz w:val="21"/>
          <w:szCs w:val="21"/>
        </w:rPr>
        <w:t xml:space="preserve">, </w:t>
      </w:r>
      <w:r>
        <w:rPr>
          <w:rFonts w:ascii="Abadi" w:hAnsi="Abadi" w:cs="*Arial-7937-Identity-H"/>
          <w:color w:val="0C0B0E"/>
          <w:sz w:val="21"/>
          <w:szCs w:val="21"/>
        </w:rPr>
        <w:t>II</w:t>
      </w:r>
      <w:r w:rsidRPr="009E34BC">
        <w:rPr>
          <w:rFonts w:ascii="Abadi" w:hAnsi="Abadi" w:cs="*Arial-7937-Identity-H"/>
          <w:color w:val="0C0B0E"/>
          <w:sz w:val="21"/>
          <w:szCs w:val="21"/>
        </w:rPr>
        <w:t xml:space="preserve">, V y XI, 4, 6, 7, </w:t>
      </w:r>
      <w:r>
        <w:rPr>
          <w:rFonts w:ascii="Abadi" w:hAnsi="Abadi" w:cs="*Arial-7937-Identity-H"/>
          <w:color w:val="0C0B0E"/>
          <w:sz w:val="21"/>
          <w:szCs w:val="21"/>
        </w:rPr>
        <w:t>II</w:t>
      </w:r>
      <w:r w:rsidRPr="009E34BC">
        <w:rPr>
          <w:rFonts w:ascii="Abadi" w:hAnsi="Abadi" w:cs="*Arial-7937-Identity-H"/>
          <w:color w:val="0C0B0E"/>
          <w:sz w:val="21"/>
          <w:szCs w:val="21"/>
        </w:rPr>
        <w:t xml:space="preserve">, 14, 16, 24, 25, 26, 30, 31, 37, fracción </w:t>
      </w:r>
      <w:r>
        <w:rPr>
          <w:rFonts w:ascii="Abadi" w:hAnsi="Abadi" w:cs="*Arial-7937-Identity-H"/>
          <w:color w:val="0C0B0E"/>
          <w:sz w:val="21"/>
          <w:szCs w:val="21"/>
        </w:rPr>
        <w:t>III</w:t>
      </w:r>
      <w:r w:rsidRPr="009E34BC">
        <w:rPr>
          <w:rFonts w:ascii="Abadi" w:hAnsi="Abadi" w:cs="*Arial-7937-Identity-H"/>
          <w:color w:val="0C0B0E"/>
          <w:sz w:val="21"/>
          <w:szCs w:val="21"/>
        </w:rPr>
        <w:t>, 56, 57,</w:t>
      </w:r>
      <w:r>
        <w:rPr>
          <w:rFonts w:ascii="Abadi" w:hAnsi="Abadi" w:cs="*Arial-7937-Identity-H"/>
          <w:color w:val="0C0B0E"/>
          <w:sz w:val="21"/>
          <w:szCs w:val="21"/>
        </w:rPr>
        <w:t xml:space="preserve"> </w:t>
      </w:r>
      <w:r w:rsidRPr="009E34BC">
        <w:rPr>
          <w:rFonts w:ascii="Abadi" w:hAnsi="Abadi" w:cs="*Arial-7937-Identity-H"/>
          <w:color w:val="0C0B0E"/>
          <w:sz w:val="21"/>
          <w:szCs w:val="21"/>
        </w:rPr>
        <w:t xml:space="preserve">58, 59, 60, 82, fracciones </w:t>
      </w:r>
      <w:r>
        <w:rPr>
          <w:rFonts w:ascii="Abadi" w:hAnsi="Abadi" w:cs="*Arial-7937-Identity-H"/>
          <w:color w:val="0C0B0E"/>
          <w:sz w:val="21"/>
          <w:szCs w:val="21"/>
        </w:rPr>
        <w:t>III</w:t>
      </w:r>
      <w:r w:rsidRPr="009E34BC">
        <w:rPr>
          <w:rFonts w:ascii="Abadi" w:hAnsi="Abadi" w:cs="*Arial-7937-Identity-H"/>
          <w:color w:val="0C0B0E"/>
          <w:sz w:val="21"/>
          <w:szCs w:val="21"/>
        </w:rPr>
        <w:t>, IV, XXIX, XXXII y XXXV y 87, fracciones V, XII y</w:t>
      </w:r>
      <w:r>
        <w:rPr>
          <w:rFonts w:ascii="Abadi" w:hAnsi="Abadi" w:cs="*Arial-7937-Identity-H"/>
          <w:color w:val="0C0B0E"/>
          <w:sz w:val="21"/>
          <w:szCs w:val="21"/>
        </w:rPr>
        <w:t xml:space="preserve"> </w:t>
      </w:r>
      <w:r w:rsidRPr="009E34BC">
        <w:rPr>
          <w:rFonts w:ascii="Abadi" w:hAnsi="Abadi" w:cs="*Arial-7937-Identity-H"/>
          <w:color w:val="0C0B0E"/>
          <w:sz w:val="21"/>
          <w:szCs w:val="21"/>
        </w:rPr>
        <w:t xml:space="preserve">XXVI de la Ley de Fiscalización Superior del Estado de Guanajuato; 1, 3, </w:t>
      </w:r>
      <w:r>
        <w:rPr>
          <w:rFonts w:ascii="Abadi" w:hAnsi="Abadi" w:cs="*Arial-7937-Identity-H"/>
          <w:color w:val="0C0B0E"/>
          <w:sz w:val="21"/>
          <w:szCs w:val="21"/>
        </w:rPr>
        <w:t>10</w:t>
      </w:r>
      <w:r w:rsidRPr="009E34BC">
        <w:rPr>
          <w:rFonts w:ascii="Abadi" w:hAnsi="Abadi" w:cs="*Arial-7937-Identity-H"/>
          <w:color w:val="0C0B0E"/>
          <w:sz w:val="21"/>
          <w:szCs w:val="21"/>
        </w:rPr>
        <w:t>, 13,</w:t>
      </w:r>
      <w:r>
        <w:rPr>
          <w:rFonts w:ascii="Abadi" w:hAnsi="Abadi" w:cs="*Arial-7937-Identity-H"/>
          <w:color w:val="0C0B0E"/>
          <w:sz w:val="21"/>
          <w:szCs w:val="21"/>
        </w:rPr>
        <w:t xml:space="preserve"> </w:t>
      </w:r>
      <w:r w:rsidRPr="009E34BC">
        <w:rPr>
          <w:rFonts w:ascii="Abadi" w:hAnsi="Abadi" w:cs="*Arial-7937-Identity-H"/>
          <w:color w:val="0C0B0E"/>
          <w:sz w:val="21"/>
          <w:szCs w:val="21"/>
        </w:rPr>
        <w:t>18, 20, 27, 43, 44, 45, 46, 47, 48 y 49 del Reglamento de la Ley de Fiscalización</w:t>
      </w:r>
      <w:r>
        <w:rPr>
          <w:rFonts w:ascii="Abadi" w:hAnsi="Abadi" w:cs="*Arial-7937-Identity-H"/>
          <w:color w:val="0C0B0E"/>
          <w:sz w:val="21"/>
          <w:szCs w:val="21"/>
        </w:rPr>
        <w:t xml:space="preserve"> </w:t>
      </w:r>
      <w:r w:rsidRPr="009E34BC">
        <w:rPr>
          <w:rFonts w:ascii="Abadi" w:hAnsi="Abadi" w:cs="*Arial-7937-Identity-H"/>
          <w:color w:val="0C0B0E"/>
          <w:sz w:val="21"/>
          <w:szCs w:val="21"/>
        </w:rPr>
        <w:t>Superior del Estado de Guanajuato; 1, 7, segundo párrafo, 8, fracción 1, 9, fracción</w:t>
      </w:r>
      <w:r>
        <w:rPr>
          <w:rFonts w:ascii="Abadi" w:hAnsi="Abadi" w:cs="*Arial-7937-Identity-H"/>
          <w:color w:val="0C0B0E"/>
          <w:sz w:val="21"/>
          <w:szCs w:val="21"/>
        </w:rPr>
        <w:t xml:space="preserve"> </w:t>
      </w:r>
      <w:r w:rsidRPr="009E34BC">
        <w:rPr>
          <w:rFonts w:ascii="Abadi" w:hAnsi="Abadi" w:cs="*Arial-7937-Identity-H"/>
          <w:color w:val="0C0B0E"/>
          <w:sz w:val="21"/>
          <w:szCs w:val="21"/>
        </w:rPr>
        <w:t xml:space="preserve">XVII, 10 fracciones </w:t>
      </w:r>
      <w:r>
        <w:rPr>
          <w:rFonts w:ascii="Abadi" w:hAnsi="Abadi" w:cs="*Arial-7937-Identity-H"/>
          <w:color w:val="0C0B0E"/>
          <w:sz w:val="21"/>
          <w:szCs w:val="21"/>
        </w:rPr>
        <w:t>III</w:t>
      </w:r>
      <w:r w:rsidRPr="009E34BC">
        <w:rPr>
          <w:rFonts w:ascii="Abadi" w:hAnsi="Abadi" w:cs="*Arial-7937-Identity-H"/>
          <w:color w:val="0C0B0E"/>
          <w:sz w:val="21"/>
          <w:szCs w:val="21"/>
        </w:rPr>
        <w:t>, XVII, XIX y XX, 14 y 16 del Reglamento Interior de la</w:t>
      </w:r>
      <w:r>
        <w:rPr>
          <w:rFonts w:ascii="Abadi" w:hAnsi="Abadi" w:cs="*Arial-7937-Identity-H"/>
          <w:color w:val="0C0B0E"/>
          <w:sz w:val="21"/>
          <w:szCs w:val="21"/>
        </w:rPr>
        <w:t xml:space="preserve"> </w:t>
      </w:r>
      <w:r w:rsidRPr="009E34BC">
        <w:rPr>
          <w:rFonts w:ascii="Abadi" w:hAnsi="Abadi" w:cs="*Arial-7937-Identity-H"/>
          <w:color w:val="0C0B0E"/>
          <w:sz w:val="21"/>
          <w:szCs w:val="21"/>
        </w:rPr>
        <w:t>Auditoría Superior del Estado de Guanajuato; y 42 de la Ley General del Sistema</w:t>
      </w:r>
      <w:r>
        <w:rPr>
          <w:rFonts w:ascii="Abadi" w:hAnsi="Abadi" w:cs="*Arial-7937-Identity-H"/>
          <w:color w:val="0C0B0E"/>
          <w:sz w:val="21"/>
          <w:szCs w:val="21"/>
        </w:rPr>
        <w:t xml:space="preserve"> </w:t>
      </w:r>
      <w:r w:rsidRPr="009E34BC">
        <w:rPr>
          <w:rFonts w:ascii="Abadi" w:hAnsi="Abadi" w:cs="*Arial-7937-Identity-H"/>
          <w:color w:val="0C0B0E"/>
          <w:sz w:val="21"/>
          <w:szCs w:val="21"/>
        </w:rPr>
        <w:t>Nacional Anticorrupción.</w:t>
      </w:r>
    </w:p>
    <w:p w14:paraId="32853B95" w14:textId="77777777" w:rsidR="000939C4" w:rsidRPr="009E34BC" w:rsidRDefault="000939C4" w:rsidP="000939C4">
      <w:pPr>
        <w:jc w:val="both"/>
        <w:rPr>
          <w:rFonts w:ascii="Abadi" w:hAnsi="Abadi" w:cs="*Arial-7937-Identity-H"/>
          <w:color w:val="0C0B0E"/>
          <w:sz w:val="21"/>
          <w:szCs w:val="21"/>
        </w:rPr>
      </w:pPr>
    </w:p>
    <w:p w14:paraId="3C4B927B" w14:textId="77777777" w:rsidR="000939C4" w:rsidRDefault="000939C4" w:rsidP="000939C4">
      <w:pPr>
        <w:autoSpaceDE w:val="0"/>
        <w:autoSpaceDN w:val="0"/>
        <w:adjustRightInd w:val="0"/>
        <w:ind w:firstLine="708"/>
        <w:jc w:val="both"/>
        <w:rPr>
          <w:rFonts w:ascii="Abadi" w:hAnsi="Abadi" w:cs="*Arial-7445-Identity-H"/>
          <w:color w:val="0D0C0F"/>
          <w:sz w:val="21"/>
          <w:szCs w:val="21"/>
        </w:rPr>
      </w:pPr>
      <w:r w:rsidRPr="009E34BC">
        <w:rPr>
          <w:rFonts w:ascii="Abadi" w:hAnsi="Abadi" w:cs="*Arial-7445-Identity-H"/>
          <w:color w:val="0D0C0F"/>
          <w:sz w:val="21"/>
          <w:szCs w:val="21"/>
        </w:rPr>
        <w:t>Con base en lo anterior, la auditoría de desempeño materia del presente</w:t>
      </w:r>
      <w:r>
        <w:rPr>
          <w:rFonts w:ascii="Abadi" w:hAnsi="Abadi" w:cs="*Arial-7445-Identity-H"/>
          <w:color w:val="0D0C0F"/>
          <w:sz w:val="21"/>
          <w:szCs w:val="21"/>
        </w:rPr>
        <w:t xml:space="preserve"> </w:t>
      </w:r>
      <w:r w:rsidRPr="009E34BC">
        <w:rPr>
          <w:rFonts w:ascii="Abadi" w:hAnsi="Abadi" w:cs="*Arial-7445-Identity-H"/>
          <w:color w:val="0D0C0F"/>
          <w:sz w:val="21"/>
          <w:szCs w:val="21"/>
        </w:rPr>
        <w:t>dictamen, se ejecutó bajo los principios, conceptos y directrices de las actuales</w:t>
      </w:r>
      <w:r>
        <w:rPr>
          <w:rFonts w:ascii="Abadi" w:hAnsi="Abadi" w:cs="*Arial-7445-Identity-H"/>
          <w:color w:val="0D0C0F"/>
          <w:sz w:val="21"/>
          <w:szCs w:val="21"/>
        </w:rPr>
        <w:t xml:space="preserve"> </w:t>
      </w:r>
      <w:r w:rsidRPr="009E34BC">
        <w:rPr>
          <w:rFonts w:ascii="Abadi" w:hAnsi="Abadi" w:cs="*Arial-7445-Identity-H"/>
          <w:color w:val="0D0C0F"/>
          <w:sz w:val="21"/>
          <w:szCs w:val="21"/>
        </w:rPr>
        <w:t>Normas Profesionales de Auditoría del Sistema Nacional de Fiscalización,</w:t>
      </w:r>
      <w:r>
        <w:rPr>
          <w:rFonts w:ascii="Abadi" w:hAnsi="Abadi" w:cs="*Arial-7445-Identity-H"/>
          <w:color w:val="0D0C0F"/>
          <w:sz w:val="21"/>
          <w:szCs w:val="21"/>
        </w:rPr>
        <w:t xml:space="preserve"> </w:t>
      </w:r>
      <w:r w:rsidRPr="009E34BC">
        <w:rPr>
          <w:rFonts w:ascii="Abadi" w:hAnsi="Abadi" w:cs="*Arial-7445-Identity-H"/>
          <w:color w:val="0D0C0F"/>
          <w:sz w:val="21"/>
          <w:szCs w:val="21"/>
        </w:rPr>
        <w:t>compiladas y editadas por la Auditoria Superior de la Federación, de manera</w:t>
      </w:r>
      <w:r>
        <w:rPr>
          <w:rFonts w:ascii="Abadi" w:hAnsi="Abadi" w:cs="*Arial-7445-Identity-H"/>
          <w:color w:val="0D0C0F"/>
          <w:sz w:val="21"/>
          <w:szCs w:val="21"/>
        </w:rPr>
        <w:t xml:space="preserve"> </w:t>
      </w:r>
      <w:r w:rsidRPr="009E34BC">
        <w:rPr>
          <w:rFonts w:ascii="Abadi" w:hAnsi="Abadi" w:cs="*Arial-7445-Identity-H"/>
          <w:color w:val="0D0C0F"/>
          <w:sz w:val="21"/>
          <w:szCs w:val="21"/>
        </w:rPr>
        <w:t>particular por lo que hace a sus numerales 100 y 300.</w:t>
      </w:r>
    </w:p>
    <w:p w14:paraId="3A3F39DF" w14:textId="77777777" w:rsidR="000939C4" w:rsidRPr="009E34BC" w:rsidRDefault="000939C4" w:rsidP="000939C4">
      <w:pPr>
        <w:autoSpaceDE w:val="0"/>
        <w:autoSpaceDN w:val="0"/>
        <w:adjustRightInd w:val="0"/>
        <w:jc w:val="both"/>
        <w:rPr>
          <w:rFonts w:ascii="Abadi" w:hAnsi="Abadi" w:cs="*Arial-7445-Identity-H"/>
          <w:color w:val="0D0C0F"/>
          <w:sz w:val="21"/>
          <w:szCs w:val="21"/>
        </w:rPr>
      </w:pPr>
    </w:p>
    <w:p w14:paraId="269BFAE7" w14:textId="77777777" w:rsidR="000939C4" w:rsidRDefault="000939C4" w:rsidP="000939C4">
      <w:pPr>
        <w:autoSpaceDE w:val="0"/>
        <w:autoSpaceDN w:val="0"/>
        <w:adjustRightInd w:val="0"/>
        <w:ind w:firstLine="708"/>
        <w:jc w:val="both"/>
        <w:rPr>
          <w:rFonts w:ascii="Abadi" w:hAnsi="Abadi" w:cs="*Arial-7445-Identity-H"/>
          <w:color w:val="0C0C0F"/>
          <w:sz w:val="21"/>
          <w:szCs w:val="21"/>
        </w:rPr>
      </w:pPr>
      <w:r w:rsidRPr="009E34BC">
        <w:rPr>
          <w:rFonts w:ascii="Abadi" w:hAnsi="Abadi" w:cs="*Arial-7445-Identity-H"/>
          <w:color w:val="0C0C0F"/>
          <w:sz w:val="21"/>
          <w:szCs w:val="21"/>
        </w:rPr>
        <w:t>En esta parte también se puntualiza que las auditorías de desempeño que</w:t>
      </w:r>
      <w:r>
        <w:rPr>
          <w:rFonts w:ascii="Abadi" w:hAnsi="Abadi" w:cs="*Arial-7445-Identity-H"/>
          <w:color w:val="0C0C0F"/>
          <w:sz w:val="21"/>
          <w:szCs w:val="21"/>
        </w:rPr>
        <w:t xml:space="preserve"> </w:t>
      </w:r>
      <w:r w:rsidRPr="009E34BC">
        <w:rPr>
          <w:rFonts w:ascii="Abadi" w:hAnsi="Abadi" w:cs="*Arial-7445-Identity-H"/>
          <w:color w:val="0C0C0F"/>
          <w:sz w:val="21"/>
          <w:szCs w:val="21"/>
        </w:rPr>
        <w:t>se practican por la Auditoría Superior del Estado son congruentes con las</w:t>
      </w:r>
      <w:r>
        <w:rPr>
          <w:rFonts w:ascii="Abadi" w:hAnsi="Abadi" w:cs="*Arial-7445-Identity-H"/>
          <w:color w:val="0C0C0F"/>
          <w:sz w:val="21"/>
          <w:szCs w:val="21"/>
        </w:rPr>
        <w:t xml:space="preserve"> </w:t>
      </w:r>
      <w:r w:rsidRPr="009E34BC">
        <w:rPr>
          <w:rFonts w:ascii="Abadi" w:hAnsi="Abadi" w:cs="*Arial-7445-Identity-H"/>
          <w:color w:val="0C0C0F"/>
          <w:sz w:val="21"/>
          <w:szCs w:val="21"/>
        </w:rPr>
        <w:t>metodologías señaladas en las Normas Internacionales para Entidades</w:t>
      </w:r>
      <w:r>
        <w:rPr>
          <w:rFonts w:ascii="Abadi" w:hAnsi="Abadi" w:cs="*Arial-7445-Identity-H"/>
          <w:color w:val="0C0C0F"/>
          <w:sz w:val="21"/>
          <w:szCs w:val="21"/>
        </w:rPr>
        <w:t xml:space="preserve"> </w:t>
      </w:r>
      <w:r w:rsidRPr="009E34BC">
        <w:rPr>
          <w:rFonts w:ascii="Abadi" w:hAnsi="Abadi" w:cs="*Arial-7445-Identity-H"/>
          <w:color w:val="0C0C0F"/>
          <w:sz w:val="21"/>
          <w:szCs w:val="21"/>
        </w:rPr>
        <w:t>Fiscalizadoras Superiores 100, 300, 3000 y 3200, emitidas por la Organización</w:t>
      </w:r>
      <w:r>
        <w:rPr>
          <w:rFonts w:ascii="Abadi" w:hAnsi="Abadi" w:cs="*Arial-7445-Identity-H"/>
          <w:color w:val="0C0C0F"/>
          <w:sz w:val="21"/>
          <w:szCs w:val="21"/>
        </w:rPr>
        <w:t xml:space="preserve"> </w:t>
      </w:r>
      <w:r w:rsidRPr="009E34BC">
        <w:rPr>
          <w:rFonts w:ascii="Abadi" w:hAnsi="Abadi" w:cs="*Arial-7445-Identity-H"/>
          <w:color w:val="0C0C0F"/>
          <w:sz w:val="21"/>
          <w:szCs w:val="21"/>
        </w:rPr>
        <w:t>Internacional de las Entidades Fiscalizadoras Superiores, así como con los</w:t>
      </w:r>
      <w:r>
        <w:rPr>
          <w:rFonts w:ascii="Abadi" w:hAnsi="Abadi" w:cs="*Arial-7445-Identity-H"/>
          <w:color w:val="0C0C0F"/>
          <w:sz w:val="21"/>
          <w:szCs w:val="21"/>
        </w:rPr>
        <w:t xml:space="preserve"> </w:t>
      </w:r>
      <w:r w:rsidRPr="009E34BC">
        <w:rPr>
          <w:rFonts w:ascii="Abadi" w:hAnsi="Abadi" w:cs="*Arial-7445-Identity-H"/>
          <w:color w:val="0C0C0F"/>
          <w:sz w:val="21"/>
          <w:szCs w:val="21"/>
        </w:rPr>
        <w:t>lineamientos para la construcción y diseño de indicadores de desempeño</w:t>
      </w:r>
      <w:r>
        <w:rPr>
          <w:rFonts w:ascii="Abadi" w:hAnsi="Abadi" w:cs="*Arial-7445-Identity-H"/>
          <w:color w:val="0C0C0F"/>
          <w:sz w:val="21"/>
          <w:szCs w:val="21"/>
        </w:rPr>
        <w:t xml:space="preserve"> </w:t>
      </w:r>
      <w:r w:rsidRPr="009E34BC">
        <w:rPr>
          <w:rFonts w:ascii="Abadi" w:hAnsi="Abadi" w:cs="*Arial-7445-Identity-H"/>
          <w:color w:val="0C0C0F"/>
          <w:sz w:val="21"/>
          <w:szCs w:val="21"/>
        </w:rPr>
        <w:t>mediante la Metodología del Marco Lógico, emitidos por el Consejo Nacional de</w:t>
      </w:r>
      <w:r>
        <w:rPr>
          <w:rFonts w:ascii="Abadi" w:hAnsi="Abadi" w:cs="*Arial-7445-Identity-H"/>
          <w:color w:val="0C0C0F"/>
          <w:sz w:val="21"/>
          <w:szCs w:val="21"/>
        </w:rPr>
        <w:t xml:space="preserve"> </w:t>
      </w:r>
      <w:r w:rsidRPr="009E34BC">
        <w:rPr>
          <w:rFonts w:ascii="Abadi" w:hAnsi="Abadi" w:cs="*Arial-7445-Identity-H"/>
          <w:color w:val="0C0C0F"/>
          <w:sz w:val="21"/>
          <w:szCs w:val="21"/>
        </w:rPr>
        <w:t>Armonización Contable, publicados en el Diario Oficial de la Federación el 15 de</w:t>
      </w:r>
      <w:r>
        <w:rPr>
          <w:rFonts w:ascii="Abadi" w:hAnsi="Abadi" w:cs="*Arial-7445-Identity-H"/>
          <w:color w:val="0C0C0F"/>
          <w:sz w:val="21"/>
          <w:szCs w:val="21"/>
        </w:rPr>
        <w:t xml:space="preserve"> </w:t>
      </w:r>
      <w:r w:rsidRPr="009E34BC">
        <w:rPr>
          <w:rFonts w:ascii="Abadi" w:hAnsi="Abadi" w:cs="*Arial-7445-Identity-H"/>
          <w:color w:val="0C0C0F"/>
          <w:sz w:val="21"/>
          <w:szCs w:val="21"/>
        </w:rPr>
        <w:t>mayo de 2013, entre otros.</w:t>
      </w:r>
    </w:p>
    <w:p w14:paraId="48F5300E" w14:textId="77777777" w:rsidR="000939C4" w:rsidRPr="009E34BC" w:rsidRDefault="000939C4" w:rsidP="000939C4">
      <w:pPr>
        <w:autoSpaceDE w:val="0"/>
        <w:autoSpaceDN w:val="0"/>
        <w:adjustRightInd w:val="0"/>
        <w:jc w:val="both"/>
        <w:rPr>
          <w:rFonts w:ascii="Abadi" w:hAnsi="Abadi" w:cs="*Arial-7445-Identity-H"/>
          <w:color w:val="0C0C0F"/>
          <w:sz w:val="21"/>
          <w:szCs w:val="21"/>
        </w:rPr>
      </w:pPr>
    </w:p>
    <w:p w14:paraId="01417583" w14:textId="77777777" w:rsidR="000939C4" w:rsidRDefault="000939C4" w:rsidP="000939C4">
      <w:pPr>
        <w:autoSpaceDE w:val="0"/>
        <w:autoSpaceDN w:val="0"/>
        <w:adjustRightInd w:val="0"/>
        <w:ind w:firstLine="708"/>
        <w:jc w:val="both"/>
        <w:rPr>
          <w:rFonts w:ascii="Abadi" w:hAnsi="Abadi" w:cs="*Arial-7445-Identity-H"/>
          <w:color w:val="0D0C0F"/>
          <w:sz w:val="21"/>
          <w:szCs w:val="21"/>
        </w:rPr>
      </w:pPr>
      <w:r w:rsidRPr="009E34BC">
        <w:rPr>
          <w:rFonts w:ascii="Abadi" w:hAnsi="Abadi" w:cs="*Arial-7445-Identity-H"/>
          <w:color w:val="0D0C0F"/>
          <w:sz w:val="21"/>
          <w:szCs w:val="21"/>
        </w:rPr>
        <w:t>En el punto correspondiente a estructura del informe y valoración, se señala</w:t>
      </w:r>
      <w:r>
        <w:rPr>
          <w:rFonts w:ascii="Abadi" w:hAnsi="Abadi" w:cs="*Arial-7445-Identity-H"/>
          <w:color w:val="0D0C0F"/>
          <w:sz w:val="21"/>
          <w:szCs w:val="21"/>
        </w:rPr>
        <w:t xml:space="preserve"> </w:t>
      </w:r>
      <w:r w:rsidRPr="009E34BC">
        <w:rPr>
          <w:rFonts w:ascii="Abadi" w:hAnsi="Abadi" w:cs="*Arial-7445-Identity-H"/>
          <w:color w:val="0D0C0F"/>
          <w:sz w:val="21"/>
          <w:szCs w:val="21"/>
        </w:rPr>
        <w:t>que el informe de resultados es el documento técnico en el que se presentan los</w:t>
      </w:r>
      <w:r>
        <w:rPr>
          <w:rFonts w:ascii="Abadi" w:hAnsi="Abadi" w:cs="*Arial-7445-Identity-H"/>
          <w:color w:val="0D0C0F"/>
          <w:sz w:val="21"/>
          <w:szCs w:val="21"/>
        </w:rPr>
        <w:t xml:space="preserve"> </w:t>
      </w:r>
      <w:r w:rsidRPr="009E34BC">
        <w:rPr>
          <w:rFonts w:ascii="Abadi" w:hAnsi="Abadi" w:cs="*Arial-7445-Identity-H"/>
          <w:color w:val="0D0C0F"/>
          <w:sz w:val="21"/>
          <w:szCs w:val="21"/>
        </w:rPr>
        <w:t>datos e información que identifican una revisión, las conclusiones y las</w:t>
      </w:r>
      <w:r>
        <w:rPr>
          <w:rFonts w:ascii="Abadi" w:hAnsi="Abadi" w:cs="*Arial-7445-Identity-H"/>
          <w:color w:val="0D0C0F"/>
          <w:sz w:val="21"/>
          <w:szCs w:val="21"/>
        </w:rPr>
        <w:t xml:space="preserve"> </w:t>
      </w:r>
      <w:r w:rsidRPr="009E34BC">
        <w:rPr>
          <w:rFonts w:ascii="Abadi" w:hAnsi="Abadi" w:cs="*Arial-7445-Identity-H"/>
          <w:color w:val="0D0C0F"/>
          <w:sz w:val="21"/>
          <w:szCs w:val="21"/>
        </w:rPr>
        <w:t xml:space="preserve">recomendaciones al desempeño que se propondrán al ente </w:t>
      </w:r>
      <w:proofErr w:type="spellStart"/>
      <w:r w:rsidRPr="009E34BC">
        <w:rPr>
          <w:rFonts w:ascii="Abadi" w:hAnsi="Abadi" w:cs="*Arial-7445-Identity-H"/>
          <w:color w:val="0D0C0F"/>
          <w:sz w:val="21"/>
          <w:szCs w:val="21"/>
        </w:rPr>
        <w:t>fiscalizado</w:t>
      </w:r>
      <w:proofErr w:type="spellEnd"/>
      <w:r w:rsidRPr="009E34BC">
        <w:rPr>
          <w:rFonts w:ascii="Abadi" w:hAnsi="Abadi" w:cs="*Arial-7445-Identity-H"/>
          <w:color w:val="0D0C0F"/>
          <w:sz w:val="21"/>
          <w:szCs w:val="21"/>
        </w:rPr>
        <w:t>.</w:t>
      </w:r>
      <w:r>
        <w:rPr>
          <w:rFonts w:ascii="Abadi" w:hAnsi="Abadi" w:cs="*Arial-7445-Identity-H"/>
          <w:color w:val="0D0C0F"/>
          <w:sz w:val="21"/>
          <w:szCs w:val="21"/>
        </w:rPr>
        <w:t xml:space="preserve"> </w:t>
      </w:r>
    </w:p>
    <w:p w14:paraId="4745CFB2" w14:textId="77777777" w:rsidR="000939C4" w:rsidRDefault="000939C4" w:rsidP="000939C4">
      <w:pPr>
        <w:autoSpaceDE w:val="0"/>
        <w:autoSpaceDN w:val="0"/>
        <w:adjustRightInd w:val="0"/>
        <w:ind w:firstLine="708"/>
        <w:jc w:val="both"/>
        <w:rPr>
          <w:rFonts w:ascii="Abadi" w:hAnsi="Abadi" w:cs="*Arial-7445-Identity-H"/>
          <w:color w:val="0D0C0F"/>
          <w:sz w:val="21"/>
          <w:szCs w:val="21"/>
        </w:rPr>
      </w:pPr>
    </w:p>
    <w:p w14:paraId="5C3DC6D7" w14:textId="77777777" w:rsidR="000939C4" w:rsidRDefault="000939C4" w:rsidP="000939C4">
      <w:pPr>
        <w:autoSpaceDE w:val="0"/>
        <w:autoSpaceDN w:val="0"/>
        <w:adjustRightInd w:val="0"/>
        <w:ind w:firstLine="708"/>
        <w:jc w:val="both"/>
        <w:rPr>
          <w:rFonts w:ascii="Abadi" w:hAnsi="Abadi" w:cs="*Arial-7445-Identity-H"/>
          <w:color w:val="0C0C0F"/>
          <w:sz w:val="21"/>
          <w:szCs w:val="21"/>
        </w:rPr>
      </w:pPr>
      <w:r w:rsidRPr="009E34BC">
        <w:rPr>
          <w:rFonts w:ascii="Abadi" w:hAnsi="Abadi" w:cs="*Arial-7445-Identity-H"/>
          <w:color w:val="0C0C0F"/>
          <w:sz w:val="21"/>
          <w:szCs w:val="21"/>
        </w:rPr>
        <w:t>Asimismo, se refiere que el artículo 26 del Reglamento de la Ley de</w:t>
      </w:r>
      <w:r>
        <w:rPr>
          <w:rFonts w:ascii="Abadi" w:hAnsi="Abadi" w:cs="*Arial-7445-Identity-H"/>
          <w:color w:val="0C0C0F"/>
          <w:sz w:val="21"/>
          <w:szCs w:val="21"/>
        </w:rPr>
        <w:t xml:space="preserve"> </w:t>
      </w:r>
      <w:r w:rsidRPr="009E34BC">
        <w:rPr>
          <w:rFonts w:ascii="Abadi" w:hAnsi="Abadi" w:cs="*Arial-7445-Identity-H"/>
          <w:color w:val="0C0C0F"/>
          <w:sz w:val="21"/>
          <w:szCs w:val="21"/>
        </w:rPr>
        <w:t>Fiscalización Superior del Estado de Guanajuato establece los requisitos mínimos</w:t>
      </w:r>
      <w:r>
        <w:rPr>
          <w:rFonts w:ascii="Abadi" w:hAnsi="Abadi" w:cs="*Arial-7445-Identity-H"/>
          <w:color w:val="0C0C0F"/>
          <w:sz w:val="21"/>
          <w:szCs w:val="21"/>
        </w:rPr>
        <w:t xml:space="preserve"> </w:t>
      </w:r>
      <w:r w:rsidRPr="009E34BC">
        <w:rPr>
          <w:rFonts w:ascii="Abadi" w:hAnsi="Abadi" w:cs="*Arial-7445-Identity-H"/>
          <w:color w:val="0C0C0F"/>
          <w:sz w:val="21"/>
          <w:szCs w:val="21"/>
        </w:rPr>
        <w:t>que deben contener los informes de resultados de las auditorías de desempeño,</w:t>
      </w:r>
      <w:r>
        <w:rPr>
          <w:rFonts w:ascii="Abadi" w:hAnsi="Abadi" w:cs="*Arial-7445-Identity-H"/>
          <w:color w:val="0C0C0F"/>
          <w:sz w:val="21"/>
          <w:szCs w:val="21"/>
        </w:rPr>
        <w:t xml:space="preserve"> </w:t>
      </w:r>
      <w:r w:rsidRPr="009E34BC">
        <w:rPr>
          <w:rFonts w:ascii="Abadi" w:hAnsi="Abadi" w:cs="*Arial-7445-Identity-H"/>
          <w:color w:val="0C0C0F"/>
          <w:sz w:val="21"/>
          <w:szCs w:val="21"/>
        </w:rPr>
        <w:t>los cuales se cumplieron en la formulación del informe de resultados. También se</w:t>
      </w:r>
      <w:r>
        <w:rPr>
          <w:rFonts w:ascii="Abadi" w:hAnsi="Abadi" w:cs="*Arial-7445-Identity-H"/>
          <w:color w:val="0C0C0F"/>
          <w:sz w:val="21"/>
          <w:szCs w:val="21"/>
        </w:rPr>
        <w:t xml:space="preserve"> </w:t>
      </w:r>
      <w:r w:rsidRPr="009E34BC">
        <w:rPr>
          <w:rFonts w:ascii="Abadi" w:hAnsi="Abadi" w:cs="*Arial-7445-Identity-H"/>
          <w:color w:val="0C0C0F"/>
          <w:sz w:val="21"/>
          <w:szCs w:val="21"/>
        </w:rPr>
        <w:t>precisan los datos de identificación del acto de fiscalización, como son el título o</w:t>
      </w:r>
      <w:r>
        <w:rPr>
          <w:rFonts w:ascii="Abadi" w:hAnsi="Abadi" w:cs="*Arial-7445-Identity-H"/>
          <w:color w:val="0C0C0F"/>
          <w:sz w:val="21"/>
          <w:szCs w:val="21"/>
        </w:rPr>
        <w:t xml:space="preserve"> </w:t>
      </w:r>
      <w:r w:rsidRPr="009E34BC">
        <w:rPr>
          <w:rFonts w:ascii="Abadi" w:hAnsi="Abadi" w:cs="*Arial-7445-Identity-H"/>
          <w:color w:val="0C0C0F"/>
          <w:sz w:val="21"/>
          <w:szCs w:val="21"/>
        </w:rPr>
        <w:t>enfoque de la auditoría, el sujeto fiscalizado, el periodo de revisión y el programa</w:t>
      </w:r>
      <w:r>
        <w:rPr>
          <w:rFonts w:ascii="Abadi" w:hAnsi="Abadi" w:cs="*Arial-7445-Identity-H"/>
          <w:color w:val="0C0C0F"/>
          <w:sz w:val="21"/>
          <w:szCs w:val="21"/>
        </w:rPr>
        <w:t xml:space="preserve"> </w:t>
      </w:r>
      <w:r w:rsidRPr="009E34BC">
        <w:rPr>
          <w:rFonts w:ascii="Abadi" w:hAnsi="Abadi" w:cs="*Arial-7445-Identity-H"/>
          <w:color w:val="0C0C0F"/>
          <w:sz w:val="21"/>
          <w:szCs w:val="21"/>
        </w:rPr>
        <w:t>que se fiscaliza, en función de lo autorizado en el Programa General de</w:t>
      </w:r>
      <w:r>
        <w:rPr>
          <w:rFonts w:ascii="Abadi" w:hAnsi="Abadi" w:cs="*Arial-7445-Identity-H"/>
          <w:color w:val="0C0C0F"/>
          <w:sz w:val="21"/>
          <w:szCs w:val="21"/>
        </w:rPr>
        <w:t xml:space="preserve"> </w:t>
      </w:r>
      <w:r w:rsidRPr="009E34BC">
        <w:rPr>
          <w:rFonts w:ascii="Abadi" w:hAnsi="Abadi" w:cs="*Arial-7445-Identity-H"/>
          <w:color w:val="0C0C0F"/>
          <w:sz w:val="21"/>
          <w:szCs w:val="21"/>
        </w:rPr>
        <w:t>Fiscalización respectivo.</w:t>
      </w:r>
    </w:p>
    <w:p w14:paraId="49020FFB" w14:textId="77777777" w:rsidR="000939C4" w:rsidRPr="009E34BC" w:rsidRDefault="000939C4" w:rsidP="000939C4">
      <w:pPr>
        <w:autoSpaceDE w:val="0"/>
        <w:autoSpaceDN w:val="0"/>
        <w:adjustRightInd w:val="0"/>
        <w:jc w:val="both"/>
        <w:rPr>
          <w:rFonts w:ascii="Abadi" w:hAnsi="Abadi" w:cs="*Arial-7445-Identity-H"/>
          <w:color w:val="0C0C0F"/>
          <w:sz w:val="21"/>
          <w:szCs w:val="21"/>
        </w:rPr>
      </w:pPr>
    </w:p>
    <w:p w14:paraId="6F2BDCE8" w14:textId="77777777" w:rsidR="000939C4" w:rsidRPr="009E34BC" w:rsidRDefault="000939C4" w:rsidP="000939C4">
      <w:pPr>
        <w:autoSpaceDE w:val="0"/>
        <w:autoSpaceDN w:val="0"/>
        <w:adjustRightInd w:val="0"/>
        <w:ind w:firstLine="708"/>
        <w:jc w:val="both"/>
        <w:rPr>
          <w:rFonts w:ascii="Abadi" w:hAnsi="Abadi" w:cs="*Arial-7445-Identity-H"/>
          <w:color w:val="0D0D0F"/>
          <w:sz w:val="21"/>
          <w:szCs w:val="21"/>
        </w:rPr>
      </w:pPr>
      <w:r w:rsidRPr="009E34BC">
        <w:rPr>
          <w:rFonts w:ascii="Abadi" w:hAnsi="Abadi" w:cs="*Arial-7445-Identity-H"/>
          <w:color w:val="0D0D0F"/>
          <w:sz w:val="21"/>
          <w:szCs w:val="21"/>
        </w:rPr>
        <w:t>Por lo que hace a la valoración de la respuesta del sujeto fiscalizado, el</w:t>
      </w:r>
      <w:r>
        <w:rPr>
          <w:rFonts w:ascii="Abadi" w:hAnsi="Abadi" w:cs="*Arial-7445-Identity-H"/>
          <w:color w:val="0D0D0F"/>
          <w:sz w:val="21"/>
          <w:szCs w:val="21"/>
        </w:rPr>
        <w:t xml:space="preserve"> </w:t>
      </w:r>
      <w:r w:rsidRPr="009E34BC">
        <w:rPr>
          <w:rFonts w:ascii="Abadi" w:hAnsi="Abadi" w:cs="*Arial-7445-Identity-H"/>
          <w:color w:val="0D0D0F"/>
          <w:sz w:val="21"/>
          <w:szCs w:val="21"/>
        </w:rPr>
        <w:t>órgano Técnico determinó lo conducente respecto a las recomendaciones</w:t>
      </w:r>
      <w:r>
        <w:rPr>
          <w:rFonts w:ascii="Abadi" w:hAnsi="Abadi" w:cs="*Arial-7445-Identity-H"/>
          <w:color w:val="0D0D0F"/>
          <w:sz w:val="21"/>
          <w:szCs w:val="21"/>
        </w:rPr>
        <w:t xml:space="preserve"> </w:t>
      </w:r>
      <w:r w:rsidRPr="009E34BC">
        <w:rPr>
          <w:rFonts w:ascii="Abadi" w:hAnsi="Abadi" w:cs="*Arial-7445-Identity-H"/>
          <w:color w:val="0D0D0F"/>
          <w:sz w:val="21"/>
          <w:szCs w:val="21"/>
        </w:rPr>
        <w:t>emitidas, para lo cual realizó un análisis de la documentación y evidencia</w:t>
      </w:r>
      <w:r>
        <w:rPr>
          <w:rFonts w:ascii="Abadi" w:hAnsi="Abadi" w:cs="*Arial-7445-Identity-H"/>
          <w:color w:val="0D0D0F"/>
          <w:sz w:val="21"/>
          <w:szCs w:val="21"/>
        </w:rPr>
        <w:t xml:space="preserve"> </w:t>
      </w:r>
      <w:r w:rsidRPr="009E34BC">
        <w:rPr>
          <w:rFonts w:ascii="Abadi" w:hAnsi="Abadi" w:cs="*Arial-7445-Identity-H"/>
          <w:color w:val="0D0D0F"/>
          <w:sz w:val="21"/>
          <w:szCs w:val="21"/>
        </w:rPr>
        <w:t>proporcionada por el sujeto fiscalizado, a fin de valorar si este efectuó mejoras, si</w:t>
      </w:r>
      <w:r>
        <w:rPr>
          <w:rFonts w:ascii="Abadi" w:hAnsi="Abadi" w:cs="*Arial-7445-Identity-H"/>
          <w:color w:val="0D0D0F"/>
          <w:sz w:val="21"/>
          <w:szCs w:val="21"/>
        </w:rPr>
        <w:t xml:space="preserve"> </w:t>
      </w:r>
      <w:r w:rsidRPr="009E34BC">
        <w:rPr>
          <w:rFonts w:ascii="Abadi" w:hAnsi="Abadi" w:cs="*Arial-7445-Identity-H"/>
          <w:color w:val="0D0D0F"/>
          <w:sz w:val="21"/>
          <w:szCs w:val="21"/>
        </w:rPr>
        <w:t>realizará alguna acción o emitió la justificación correspondiente sobre la</w:t>
      </w:r>
      <w:r>
        <w:rPr>
          <w:rFonts w:ascii="Abadi" w:hAnsi="Abadi" w:cs="*Arial-7445-Identity-H"/>
          <w:color w:val="0D0D0F"/>
          <w:sz w:val="21"/>
          <w:szCs w:val="21"/>
        </w:rPr>
        <w:t xml:space="preserve"> </w:t>
      </w:r>
      <w:r w:rsidRPr="009E34BC">
        <w:rPr>
          <w:rFonts w:ascii="Abadi" w:hAnsi="Abadi" w:cs="*Arial-7445-Identity-H"/>
          <w:color w:val="0D0D0F"/>
          <w:sz w:val="21"/>
          <w:szCs w:val="21"/>
        </w:rPr>
        <w:t>improcedencia por la cual no resulte factible su implementación o bien, la</w:t>
      </w:r>
      <w:r>
        <w:rPr>
          <w:rFonts w:ascii="Abadi" w:hAnsi="Abadi" w:cs="*Arial-7445-Identity-H"/>
          <w:color w:val="0D0D0F"/>
          <w:sz w:val="21"/>
          <w:szCs w:val="21"/>
        </w:rPr>
        <w:t xml:space="preserve"> </w:t>
      </w:r>
      <w:r w:rsidRPr="009E34BC">
        <w:rPr>
          <w:rFonts w:ascii="Abadi" w:hAnsi="Abadi" w:cs="*Arial-7445-Identity-H"/>
          <w:color w:val="0D0D0F"/>
          <w:sz w:val="21"/>
          <w:szCs w:val="21"/>
        </w:rPr>
        <w:t>consideración de medidas alternas que fortalezcan el desempeño de la gestión</w:t>
      </w:r>
      <w:r>
        <w:rPr>
          <w:rFonts w:ascii="Abadi" w:hAnsi="Abadi" w:cs="*Arial-7445-Identity-H"/>
          <w:color w:val="0D0D0F"/>
          <w:sz w:val="21"/>
          <w:szCs w:val="21"/>
        </w:rPr>
        <w:t xml:space="preserve"> </w:t>
      </w:r>
      <w:r w:rsidRPr="009E34BC">
        <w:rPr>
          <w:rFonts w:ascii="Abadi" w:hAnsi="Abadi" w:cs="*Arial-7445-Identity-H"/>
          <w:color w:val="0D0D0F"/>
          <w:sz w:val="21"/>
          <w:szCs w:val="21"/>
        </w:rPr>
        <w:t>pública. Asimismo, se señala que las recomendaciones efectuadas al sujeto</w:t>
      </w:r>
      <w:r>
        <w:rPr>
          <w:rFonts w:ascii="Abadi" w:hAnsi="Abadi" w:cs="*Arial-7445-Identity-H"/>
          <w:color w:val="0D0D0F"/>
          <w:sz w:val="21"/>
          <w:szCs w:val="21"/>
        </w:rPr>
        <w:t xml:space="preserve"> </w:t>
      </w:r>
      <w:r w:rsidRPr="009E34BC">
        <w:rPr>
          <w:rFonts w:ascii="Abadi" w:hAnsi="Abadi" w:cs="*Arial-7445-Identity-H"/>
          <w:color w:val="0D0D0F"/>
          <w:sz w:val="21"/>
          <w:szCs w:val="21"/>
        </w:rPr>
        <w:t>fiscalizado podrían considerarse como persistentes, cuando no sea posible</w:t>
      </w:r>
      <w:r>
        <w:rPr>
          <w:rFonts w:ascii="Abadi" w:hAnsi="Abadi" w:cs="*Arial-7445-Identity-H"/>
          <w:color w:val="0D0D0F"/>
          <w:sz w:val="21"/>
          <w:szCs w:val="21"/>
        </w:rPr>
        <w:t xml:space="preserve"> </w:t>
      </w:r>
      <w:r w:rsidRPr="009E34BC">
        <w:rPr>
          <w:rFonts w:ascii="Abadi" w:hAnsi="Abadi" w:cs="*Arial-7445-Identity-H"/>
          <w:color w:val="0D0D0F"/>
          <w:sz w:val="21"/>
          <w:szCs w:val="21"/>
        </w:rPr>
        <w:t>valorarlas en alguno de los supuestos antes referidos.</w:t>
      </w:r>
    </w:p>
    <w:p w14:paraId="00C6B07D" w14:textId="77777777" w:rsidR="000939C4" w:rsidRPr="009E34BC" w:rsidRDefault="000939C4" w:rsidP="000939C4">
      <w:pPr>
        <w:jc w:val="both"/>
        <w:rPr>
          <w:rFonts w:ascii="Abadi" w:hAnsi="Abadi" w:cs="*Arial-7445-Identity-H"/>
          <w:color w:val="0D0D0F"/>
          <w:sz w:val="21"/>
          <w:szCs w:val="21"/>
        </w:rPr>
      </w:pPr>
    </w:p>
    <w:p w14:paraId="616D56CB" w14:textId="77777777" w:rsidR="000939C4" w:rsidRDefault="000939C4" w:rsidP="000939C4">
      <w:pPr>
        <w:autoSpaceDE w:val="0"/>
        <w:autoSpaceDN w:val="0"/>
        <w:adjustRightInd w:val="0"/>
        <w:ind w:firstLine="708"/>
        <w:jc w:val="both"/>
        <w:rPr>
          <w:rFonts w:ascii="Abadi" w:hAnsi="Abadi" w:cs="*Arial-7030-Identity-H"/>
          <w:color w:val="0D0D0F"/>
          <w:sz w:val="21"/>
          <w:szCs w:val="21"/>
        </w:rPr>
      </w:pPr>
      <w:r w:rsidRPr="009E34BC">
        <w:rPr>
          <w:rFonts w:ascii="Abadi" w:hAnsi="Abadi" w:cs="*Arial-7030-Identity-H"/>
          <w:color w:val="0D0D0F"/>
          <w:sz w:val="21"/>
          <w:szCs w:val="21"/>
        </w:rPr>
        <w:t>Es así, que la valoración realizada por la Auditoría Superior del Estado</w:t>
      </w:r>
      <w:r>
        <w:rPr>
          <w:rFonts w:ascii="Abadi" w:hAnsi="Abadi" w:cs="*Arial-7030-Identity-H"/>
          <w:color w:val="0D0D0F"/>
          <w:sz w:val="21"/>
          <w:szCs w:val="21"/>
        </w:rPr>
        <w:t xml:space="preserve"> </w:t>
      </w:r>
      <w:r w:rsidRPr="009E34BC">
        <w:rPr>
          <w:rFonts w:ascii="Abadi" w:hAnsi="Abadi" w:cs="*Arial-7030-Identity-H"/>
          <w:color w:val="0D0D0F"/>
          <w:sz w:val="21"/>
          <w:szCs w:val="21"/>
        </w:rPr>
        <w:t>redunda en las manifestaciones, argumentos, acciones y evidencia presentada en</w:t>
      </w:r>
      <w:r>
        <w:rPr>
          <w:rFonts w:ascii="Abadi" w:hAnsi="Abadi" w:cs="*Arial-7030-Identity-H"/>
          <w:color w:val="0D0D0F"/>
          <w:sz w:val="21"/>
          <w:szCs w:val="21"/>
        </w:rPr>
        <w:t xml:space="preserve"> </w:t>
      </w:r>
      <w:r w:rsidRPr="009E34BC">
        <w:rPr>
          <w:rFonts w:ascii="Abadi" w:hAnsi="Abadi" w:cs="*Arial-7030-Identity-H"/>
          <w:color w:val="0D0D0F"/>
          <w:sz w:val="21"/>
          <w:szCs w:val="21"/>
        </w:rPr>
        <w:t>la respuesta al pliego de recomendaciones, para lo cual la evidencia aportada por</w:t>
      </w:r>
      <w:r>
        <w:rPr>
          <w:rFonts w:ascii="Abadi" w:hAnsi="Abadi" w:cs="*Arial-7030-Identity-H"/>
          <w:color w:val="0D0D0F"/>
          <w:sz w:val="21"/>
          <w:szCs w:val="21"/>
        </w:rPr>
        <w:t xml:space="preserve"> </w:t>
      </w:r>
      <w:r w:rsidRPr="009E34BC">
        <w:rPr>
          <w:rFonts w:ascii="Abadi" w:hAnsi="Abadi" w:cs="*Arial-7030-Identity-H"/>
          <w:color w:val="0D0D0F"/>
          <w:sz w:val="21"/>
          <w:szCs w:val="21"/>
        </w:rPr>
        <w:t>el sujeto fiscalizado debe ser competente, pertinente, suficiente y relevante.</w:t>
      </w:r>
    </w:p>
    <w:p w14:paraId="3AA78A1B" w14:textId="77777777" w:rsidR="000939C4" w:rsidRPr="009E34BC" w:rsidRDefault="000939C4" w:rsidP="000939C4">
      <w:pPr>
        <w:autoSpaceDE w:val="0"/>
        <w:autoSpaceDN w:val="0"/>
        <w:adjustRightInd w:val="0"/>
        <w:jc w:val="both"/>
        <w:rPr>
          <w:rFonts w:ascii="Abadi" w:hAnsi="Abadi" w:cs="*Arial-7030-Identity-H"/>
          <w:color w:val="0D0D0F"/>
          <w:sz w:val="21"/>
          <w:szCs w:val="21"/>
        </w:rPr>
      </w:pPr>
    </w:p>
    <w:p w14:paraId="486A0360" w14:textId="77777777" w:rsidR="000939C4" w:rsidRDefault="000939C4" w:rsidP="000939C4">
      <w:pPr>
        <w:autoSpaceDE w:val="0"/>
        <w:autoSpaceDN w:val="0"/>
        <w:adjustRightInd w:val="0"/>
        <w:ind w:firstLine="708"/>
        <w:jc w:val="both"/>
        <w:rPr>
          <w:rFonts w:ascii="Abadi" w:hAnsi="Abadi" w:cs="*Arial-7030-Identity-H"/>
          <w:color w:val="0D0D0F"/>
          <w:sz w:val="21"/>
          <w:szCs w:val="21"/>
        </w:rPr>
      </w:pPr>
      <w:r w:rsidRPr="009E34BC">
        <w:rPr>
          <w:rFonts w:ascii="Abadi" w:hAnsi="Abadi" w:cs="*Arial-7030-Identity-H"/>
          <w:color w:val="0D0D0F"/>
          <w:sz w:val="21"/>
          <w:szCs w:val="21"/>
        </w:rPr>
        <w:t>Respecto al objetivo y alcance de la auditoría se señala que de acuerdo a la</w:t>
      </w:r>
      <w:r>
        <w:rPr>
          <w:rFonts w:ascii="Abadi" w:hAnsi="Abadi" w:cs="*Arial-7030-Identity-H"/>
          <w:color w:val="0D0D0F"/>
          <w:sz w:val="21"/>
          <w:szCs w:val="21"/>
        </w:rPr>
        <w:t xml:space="preserve"> </w:t>
      </w:r>
      <w:r w:rsidRPr="009E34BC">
        <w:rPr>
          <w:rFonts w:ascii="Abadi" w:hAnsi="Abadi" w:cs="*Arial-7030-Identity-H"/>
          <w:color w:val="0D0D0F"/>
          <w:sz w:val="21"/>
          <w:szCs w:val="21"/>
        </w:rPr>
        <w:t>Organización Internacional de las Entidades Fiscalizadoras Superiores, para las</w:t>
      </w:r>
      <w:r>
        <w:rPr>
          <w:rFonts w:ascii="Abadi" w:hAnsi="Abadi" w:cs="*Arial-7030-Identity-H"/>
          <w:color w:val="0D0D0F"/>
          <w:sz w:val="21"/>
          <w:szCs w:val="21"/>
        </w:rPr>
        <w:t xml:space="preserve"> </w:t>
      </w:r>
      <w:r w:rsidRPr="009E34BC">
        <w:rPr>
          <w:rFonts w:ascii="Abadi" w:hAnsi="Abadi" w:cs="*Arial-7030-Identity-H"/>
          <w:color w:val="0D0D0F"/>
          <w:sz w:val="21"/>
          <w:szCs w:val="21"/>
        </w:rPr>
        <w:t>auditorias de desempeño existen tres enfoques que están orientados a los</w:t>
      </w:r>
      <w:r>
        <w:rPr>
          <w:rFonts w:ascii="Abadi" w:hAnsi="Abadi" w:cs="*Arial-7030-Identity-H"/>
          <w:color w:val="0D0D0F"/>
          <w:sz w:val="21"/>
          <w:szCs w:val="21"/>
        </w:rPr>
        <w:t xml:space="preserve"> </w:t>
      </w:r>
      <w:r w:rsidRPr="009E34BC">
        <w:rPr>
          <w:rFonts w:ascii="Abadi" w:hAnsi="Abadi" w:cs="*Arial-7030-Identity-H"/>
          <w:color w:val="0D0D0F"/>
          <w:sz w:val="21"/>
          <w:szCs w:val="21"/>
        </w:rPr>
        <w:t>siguientes aspectos: Al sistema, el cual examina el funcionamiento adecuado de</w:t>
      </w:r>
      <w:r>
        <w:rPr>
          <w:rFonts w:ascii="Abadi" w:hAnsi="Abadi" w:cs="*Arial-7030-Identity-H"/>
          <w:color w:val="0D0D0F"/>
          <w:sz w:val="21"/>
          <w:szCs w:val="21"/>
        </w:rPr>
        <w:t xml:space="preserve"> </w:t>
      </w:r>
      <w:r w:rsidRPr="009E34BC">
        <w:rPr>
          <w:rFonts w:ascii="Abadi" w:hAnsi="Abadi" w:cs="*Arial-7030-Identity-H"/>
          <w:color w:val="0D0D0F"/>
          <w:sz w:val="21"/>
          <w:szCs w:val="21"/>
        </w:rPr>
        <w:t>los sistemas de gestión; a los resultados, en el que se evalúa si los objetivos en</w:t>
      </w:r>
      <w:r>
        <w:rPr>
          <w:rFonts w:ascii="Abadi" w:hAnsi="Abadi" w:cs="*Arial-7030-Identity-H"/>
          <w:color w:val="0D0D0F"/>
          <w:sz w:val="21"/>
          <w:szCs w:val="21"/>
        </w:rPr>
        <w:t xml:space="preserve"> </w:t>
      </w:r>
      <w:r w:rsidRPr="009E34BC">
        <w:rPr>
          <w:rFonts w:ascii="Abadi" w:hAnsi="Abadi" w:cs="*Arial-7030-Identity-H"/>
          <w:color w:val="0D0D0F"/>
          <w:sz w:val="21"/>
          <w:szCs w:val="21"/>
        </w:rPr>
        <w:t>términos de resultados o productos han sido alcanzados como se deseaba, o si</w:t>
      </w:r>
      <w:r>
        <w:rPr>
          <w:rFonts w:ascii="Abadi" w:hAnsi="Abadi" w:cs="*Arial-7030-Identity-H"/>
          <w:color w:val="0D0D0F"/>
          <w:sz w:val="21"/>
          <w:szCs w:val="21"/>
        </w:rPr>
        <w:t xml:space="preserve">  </w:t>
      </w:r>
      <w:r w:rsidRPr="009E34BC">
        <w:rPr>
          <w:rFonts w:ascii="Abadi" w:hAnsi="Abadi" w:cs="*Arial-7030-Identity-H"/>
          <w:color w:val="0D0D0F"/>
          <w:sz w:val="21"/>
          <w:szCs w:val="21"/>
        </w:rPr>
        <w:t>los programas y servicios operan como se esperaba; y al problema, el cual</w:t>
      </w:r>
      <w:r>
        <w:rPr>
          <w:rFonts w:ascii="Abadi" w:hAnsi="Abadi" w:cs="*Arial-7030-Identity-H"/>
          <w:color w:val="0D0D0F"/>
          <w:sz w:val="21"/>
          <w:szCs w:val="21"/>
        </w:rPr>
        <w:t xml:space="preserve"> </w:t>
      </w:r>
      <w:r w:rsidRPr="009E34BC">
        <w:rPr>
          <w:rFonts w:ascii="Abadi" w:hAnsi="Abadi" w:cs="*Arial-7030-Identity-H"/>
          <w:color w:val="0D0D0F"/>
          <w:sz w:val="21"/>
          <w:szCs w:val="21"/>
        </w:rPr>
        <w:t>examina, verifica y analiza las causas de los problemas particulares o</w:t>
      </w:r>
      <w:r>
        <w:rPr>
          <w:rFonts w:ascii="Abadi" w:hAnsi="Abadi" w:cs="*Arial-7030-Identity-H"/>
          <w:color w:val="0D0D0F"/>
          <w:sz w:val="21"/>
          <w:szCs w:val="21"/>
        </w:rPr>
        <w:t xml:space="preserve"> </w:t>
      </w:r>
      <w:r w:rsidRPr="009E34BC">
        <w:rPr>
          <w:rFonts w:ascii="Abadi" w:hAnsi="Abadi" w:cs="*Arial-7030-Identity-H"/>
          <w:color w:val="0D0D0F"/>
          <w:sz w:val="21"/>
          <w:szCs w:val="21"/>
        </w:rPr>
        <w:t>desviaciones de los criterios establecidos.</w:t>
      </w:r>
    </w:p>
    <w:p w14:paraId="2610645A" w14:textId="77777777" w:rsidR="000939C4" w:rsidRPr="009E34BC" w:rsidRDefault="000939C4" w:rsidP="000939C4">
      <w:pPr>
        <w:autoSpaceDE w:val="0"/>
        <w:autoSpaceDN w:val="0"/>
        <w:adjustRightInd w:val="0"/>
        <w:jc w:val="both"/>
        <w:rPr>
          <w:rFonts w:ascii="Abadi" w:hAnsi="Abadi" w:cs="*Arial-7030-Identity-H"/>
          <w:color w:val="0D0D0F"/>
          <w:sz w:val="21"/>
          <w:szCs w:val="21"/>
        </w:rPr>
      </w:pPr>
    </w:p>
    <w:p w14:paraId="5DE68871" w14:textId="77777777" w:rsidR="000939C4" w:rsidRDefault="000939C4" w:rsidP="000939C4">
      <w:pPr>
        <w:autoSpaceDE w:val="0"/>
        <w:autoSpaceDN w:val="0"/>
        <w:adjustRightInd w:val="0"/>
        <w:ind w:firstLine="708"/>
        <w:jc w:val="both"/>
        <w:rPr>
          <w:rFonts w:ascii="Abadi" w:hAnsi="Abadi" w:cs="*Arial-7030-Identity-H"/>
          <w:color w:val="0E0E10"/>
          <w:sz w:val="21"/>
          <w:szCs w:val="21"/>
        </w:rPr>
      </w:pPr>
      <w:r w:rsidRPr="009E34BC">
        <w:rPr>
          <w:rFonts w:ascii="Abadi" w:hAnsi="Abadi" w:cs="*Arial-7030-Identity-H"/>
          <w:color w:val="0E0E10"/>
          <w:sz w:val="21"/>
          <w:szCs w:val="21"/>
        </w:rPr>
        <w:t>En las auditorías de desempeño practicadas por la Auditoría Superior del</w:t>
      </w:r>
      <w:r>
        <w:rPr>
          <w:rFonts w:ascii="Abadi" w:hAnsi="Abadi" w:cs="*Arial-7030-Identity-H"/>
          <w:color w:val="0E0E10"/>
          <w:sz w:val="21"/>
          <w:szCs w:val="21"/>
        </w:rPr>
        <w:t xml:space="preserve"> </w:t>
      </w:r>
      <w:r w:rsidRPr="009E34BC">
        <w:rPr>
          <w:rFonts w:ascii="Abadi" w:hAnsi="Abadi" w:cs="*Arial-7030-Identity-H"/>
          <w:color w:val="0E0E10"/>
          <w:sz w:val="21"/>
          <w:szCs w:val="21"/>
        </w:rPr>
        <w:t>Estado se consideran dichos enfoques, mediante las auditorias de cumplimiento</w:t>
      </w:r>
      <w:r>
        <w:rPr>
          <w:rFonts w:ascii="Abadi" w:hAnsi="Abadi" w:cs="*Arial-7030-Identity-H"/>
          <w:color w:val="0E0E10"/>
          <w:sz w:val="21"/>
          <w:szCs w:val="21"/>
        </w:rPr>
        <w:t xml:space="preserve"> </w:t>
      </w:r>
      <w:r w:rsidRPr="009E34BC">
        <w:rPr>
          <w:rFonts w:ascii="Abadi" w:hAnsi="Abadi" w:cs="*Arial-7030-Identity-H"/>
          <w:color w:val="0E0E10"/>
          <w:sz w:val="21"/>
          <w:szCs w:val="21"/>
        </w:rPr>
        <w:t>de objetivos o resultados, de diseño y de consistencia y resultados.</w:t>
      </w:r>
    </w:p>
    <w:p w14:paraId="700D3648" w14:textId="77777777" w:rsidR="000939C4" w:rsidRPr="009E34BC" w:rsidRDefault="000939C4" w:rsidP="000939C4">
      <w:pPr>
        <w:autoSpaceDE w:val="0"/>
        <w:autoSpaceDN w:val="0"/>
        <w:adjustRightInd w:val="0"/>
        <w:jc w:val="both"/>
        <w:rPr>
          <w:rFonts w:ascii="Abadi" w:hAnsi="Abadi" w:cs="*Arial-7030-Identity-H"/>
          <w:color w:val="0E0E10"/>
          <w:sz w:val="21"/>
          <w:szCs w:val="21"/>
        </w:rPr>
      </w:pPr>
    </w:p>
    <w:p w14:paraId="45E86330" w14:textId="77777777" w:rsidR="000939C4" w:rsidRDefault="000939C4" w:rsidP="000939C4">
      <w:pPr>
        <w:autoSpaceDE w:val="0"/>
        <w:autoSpaceDN w:val="0"/>
        <w:adjustRightInd w:val="0"/>
        <w:ind w:firstLine="708"/>
        <w:jc w:val="both"/>
        <w:rPr>
          <w:rFonts w:ascii="Abadi" w:hAnsi="Abadi" w:cs="*Arial-7030-Identity-H"/>
          <w:color w:val="0C0D0F"/>
          <w:sz w:val="21"/>
          <w:szCs w:val="21"/>
        </w:rPr>
      </w:pPr>
      <w:r w:rsidRPr="009E34BC">
        <w:rPr>
          <w:rFonts w:ascii="Abadi" w:hAnsi="Abadi" w:cs="*Arial-7030-Identity-H"/>
          <w:color w:val="0C0D0F"/>
          <w:sz w:val="21"/>
          <w:szCs w:val="21"/>
        </w:rPr>
        <w:t>En la auditoría que nos ocupa se aplicó un enfoque de resultados y se</w:t>
      </w:r>
      <w:r>
        <w:rPr>
          <w:rFonts w:ascii="Abadi" w:hAnsi="Abadi" w:cs="*Arial-7030-Identity-H"/>
          <w:color w:val="0C0D0F"/>
          <w:sz w:val="21"/>
          <w:szCs w:val="21"/>
        </w:rPr>
        <w:t xml:space="preserve"> </w:t>
      </w:r>
      <w:r w:rsidRPr="009E34BC">
        <w:rPr>
          <w:rFonts w:ascii="Abadi" w:hAnsi="Abadi" w:cs="*Arial-7030-Identity-H"/>
          <w:color w:val="0C0D0F"/>
          <w:sz w:val="21"/>
          <w:szCs w:val="21"/>
        </w:rPr>
        <w:t>incluyó en el Programa General de Fiscalización 202:1, considerando diversos</w:t>
      </w:r>
      <w:r>
        <w:rPr>
          <w:rFonts w:ascii="Abadi" w:hAnsi="Abadi" w:cs="*Arial-7030-Identity-H"/>
          <w:color w:val="0C0D0F"/>
          <w:sz w:val="21"/>
          <w:szCs w:val="21"/>
        </w:rPr>
        <w:t xml:space="preserve"> </w:t>
      </w:r>
      <w:r w:rsidRPr="009E34BC">
        <w:rPr>
          <w:rFonts w:ascii="Abadi" w:hAnsi="Abadi" w:cs="*Arial-7030-Identity-H"/>
          <w:color w:val="0C0D0F"/>
          <w:sz w:val="21"/>
          <w:szCs w:val="21"/>
        </w:rPr>
        <w:t>criterios metodológicos expuestos en dicho Programa.</w:t>
      </w:r>
    </w:p>
    <w:p w14:paraId="7F320C2A" w14:textId="77777777" w:rsidR="000939C4" w:rsidRPr="009E34BC" w:rsidRDefault="000939C4" w:rsidP="000939C4">
      <w:pPr>
        <w:autoSpaceDE w:val="0"/>
        <w:autoSpaceDN w:val="0"/>
        <w:adjustRightInd w:val="0"/>
        <w:jc w:val="both"/>
        <w:rPr>
          <w:rFonts w:ascii="Abadi" w:hAnsi="Abadi" w:cs="*Arial-7030-Identity-H"/>
          <w:color w:val="0C0D0F"/>
          <w:sz w:val="21"/>
          <w:szCs w:val="21"/>
        </w:rPr>
      </w:pPr>
    </w:p>
    <w:p w14:paraId="3E099E65" w14:textId="77777777" w:rsidR="000939C4" w:rsidRDefault="000939C4" w:rsidP="000939C4">
      <w:pPr>
        <w:autoSpaceDE w:val="0"/>
        <w:autoSpaceDN w:val="0"/>
        <w:adjustRightInd w:val="0"/>
        <w:ind w:firstLine="708"/>
        <w:jc w:val="both"/>
        <w:rPr>
          <w:rFonts w:ascii="Abadi" w:hAnsi="Abadi" w:cs="*Arial-7030-Identity-H"/>
          <w:color w:val="0D0C0F"/>
          <w:sz w:val="21"/>
          <w:szCs w:val="21"/>
        </w:rPr>
      </w:pPr>
      <w:r w:rsidRPr="009E34BC">
        <w:rPr>
          <w:rFonts w:ascii="Abadi" w:hAnsi="Abadi" w:cs="*Arial-7030-Identity-H"/>
          <w:color w:val="0D0C0F"/>
          <w:sz w:val="21"/>
          <w:szCs w:val="21"/>
        </w:rPr>
        <w:t>Dicha auditoría tuvo como objetivo general verificar la capacidad del</w:t>
      </w:r>
      <w:r>
        <w:rPr>
          <w:rFonts w:ascii="Abadi" w:hAnsi="Abadi" w:cs="*Arial-7030-Identity-H"/>
          <w:color w:val="0D0C0F"/>
          <w:sz w:val="21"/>
          <w:szCs w:val="21"/>
        </w:rPr>
        <w:t xml:space="preserve"> </w:t>
      </w:r>
      <w:r w:rsidRPr="009E34BC">
        <w:rPr>
          <w:rFonts w:ascii="Abadi" w:hAnsi="Abadi" w:cs="*Arial-7030-Identity-H"/>
          <w:color w:val="0D0C0F"/>
          <w:sz w:val="21"/>
          <w:szCs w:val="21"/>
        </w:rPr>
        <w:t>Municipio para la prestación eficaz del servicio de alumbrado público y la eficiencia</w:t>
      </w:r>
      <w:r>
        <w:rPr>
          <w:rFonts w:ascii="Abadi" w:hAnsi="Abadi" w:cs="*Arial-7030-Identity-H"/>
          <w:color w:val="0D0C0F"/>
          <w:sz w:val="21"/>
          <w:szCs w:val="21"/>
        </w:rPr>
        <w:t xml:space="preserve"> </w:t>
      </w:r>
      <w:r w:rsidRPr="009E34BC">
        <w:rPr>
          <w:rFonts w:ascii="Abadi" w:hAnsi="Abadi" w:cs="*Arial-7030-Identity-H"/>
          <w:color w:val="0D0C0F"/>
          <w:sz w:val="21"/>
          <w:szCs w:val="21"/>
        </w:rPr>
        <w:t>en sus funciones de planificación, operación y seguimiento.</w:t>
      </w:r>
    </w:p>
    <w:p w14:paraId="120E5B57" w14:textId="77777777" w:rsidR="000939C4" w:rsidRPr="009E34BC" w:rsidRDefault="000939C4" w:rsidP="000939C4">
      <w:pPr>
        <w:autoSpaceDE w:val="0"/>
        <w:autoSpaceDN w:val="0"/>
        <w:adjustRightInd w:val="0"/>
        <w:jc w:val="both"/>
        <w:rPr>
          <w:rFonts w:ascii="Abadi" w:hAnsi="Abadi" w:cs="*Arial-7030-Identity-H"/>
          <w:color w:val="0D0C0F"/>
          <w:sz w:val="21"/>
          <w:szCs w:val="21"/>
        </w:rPr>
      </w:pPr>
    </w:p>
    <w:p w14:paraId="72EE9C26" w14:textId="2169BEE1" w:rsidR="000939C4" w:rsidRDefault="000939C4" w:rsidP="00EB740B">
      <w:pPr>
        <w:autoSpaceDE w:val="0"/>
        <w:autoSpaceDN w:val="0"/>
        <w:adjustRightInd w:val="0"/>
        <w:ind w:firstLine="708"/>
        <w:jc w:val="both"/>
        <w:rPr>
          <w:rFonts w:ascii="Abadi" w:hAnsi="Abadi" w:cs="*Arial-9979-Identity-H"/>
          <w:color w:val="0D0C0F"/>
          <w:sz w:val="21"/>
          <w:szCs w:val="21"/>
        </w:rPr>
      </w:pPr>
      <w:r w:rsidRPr="009E34BC">
        <w:rPr>
          <w:rFonts w:ascii="Abadi" w:hAnsi="Abadi" w:cs="*Arial-7030-Identity-H"/>
          <w:color w:val="0C0B0E"/>
          <w:sz w:val="21"/>
          <w:szCs w:val="21"/>
        </w:rPr>
        <w:t>En cuanto a la temporalidad, el alcance de la auditoría abarcó el periodo</w:t>
      </w:r>
      <w:r>
        <w:rPr>
          <w:rFonts w:ascii="Abadi" w:hAnsi="Abadi" w:cs="*Arial-7030-Identity-H"/>
          <w:color w:val="0C0B0E"/>
          <w:sz w:val="21"/>
          <w:szCs w:val="21"/>
        </w:rPr>
        <w:t xml:space="preserve"> </w:t>
      </w:r>
      <w:r w:rsidRPr="009E34BC">
        <w:rPr>
          <w:rFonts w:ascii="Abadi" w:hAnsi="Abadi" w:cs="*Arial-7030-Identity-H"/>
          <w:color w:val="0C0B0E"/>
          <w:sz w:val="21"/>
          <w:szCs w:val="21"/>
        </w:rPr>
        <w:t>comprendido de enero a diciembre del ejercicio fiscal 2020; asimismo, respecto a</w:t>
      </w:r>
      <w:r>
        <w:rPr>
          <w:rFonts w:ascii="Abadi" w:hAnsi="Abadi" w:cs="*Arial-7030-Identity-H"/>
          <w:color w:val="0C0B0E"/>
          <w:sz w:val="21"/>
          <w:szCs w:val="21"/>
        </w:rPr>
        <w:t xml:space="preserve"> </w:t>
      </w:r>
      <w:r w:rsidRPr="009E34BC">
        <w:rPr>
          <w:rFonts w:ascii="Abadi" w:hAnsi="Abadi" w:cs="*Arial-7030-Identity-H"/>
          <w:color w:val="0C0B0E"/>
          <w:sz w:val="21"/>
          <w:szCs w:val="21"/>
        </w:rPr>
        <w:t>la profundidad temática se revisó la eficiencia en la gestión de la información que</w:t>
      </w:r>
      <w:r>
        <w:rPr>
          <w:rFonts w:ascii="Abadi" w:hAnsi="Abadi" w:cs="*Arial-7030-Identity-H"/>
          <w:color w:val="0C0B0E"/>
          <w:sz w:val="21"/>
          <w:szCs w:val="21"/>
        </w:rPr>
        <w:t xml:space="preserve"> </w:t>
      </w:r>
      <w:r w:rsidRPr="009E34BC">
        <w:rPr>
          <w:rFonts w:ascii="Abadi" w:hAnsi="Abadi" w:cs="*Arial-7030-Identity-H"/>
          <w:color w:val="0C0B0E"/>
          <w:sz w:val="21"/>
          <w:szCs w:val="21"/>
        </w:rPr>
        <w:t>dispone el Municipio para identificar la estimación tanto de la oferta del servicio de</w:t>
      </w:r>
      <w:r>
        <w:rPr>
          <w:rFonts w:ascii="Abadi" w:hAnsi="Abadi" w:cs="*Arial-7030-Identity-H"/>
          <w:color w:val="0C0B0E"/>
          <w:sz w:val="21"/>
          <w:szCs w:val="21"/>
        </w:rPr>
        <w:t xml:space="preserve"> </w:t>
      </w:r>
      <w:r w:rsidRPr="009E34BC">
        <w:rPr>
          <w:rFonts w:ascii="Abadi" w:hAnsi="Abadi" w:cs="*Arial-7030-Identity-H"/>
          <w:color w:val="0C0B0E"/>
          <w:sz w:val="21"/>
          <w:szCs w:val="21"/>
        </w:rPr>
        <w:t>alumbrado público como de los recursos necesarios para su implementación;</w:t>
      </w:r>
      <w:r>
        <w:rPr>
          <w:rFonts w:ascii="Abadi" w:hAnsi="Abadi" w:cs="*Arial-7030-Identity-H"/>
          <w:color w:val="0C0B0E"/>
          <w:sz w:val="21"/>
          <w:szCs w:val="21"/>
        </w:rPr>
        <w:t xml:space="preserve"> </w:t>
      </w:r>
      <w:r w:rsidRPr="009E34BC">
        <w:rPr>
          <w:rFonts w:ascii="Abadi" w:hAnsi="Abadi" w:cs="*Arial-7030-Identity-H"/>
          <w:color w:val="0C0B0E"/>
          <w:sz w:val="21"/>
          <w:szCs w:val="21"/>
        </w:rPr>
        <w:t>sobre el estado que guarda la organización del Municipio para brindar el servicio</w:t>
      </w:r>
      <w:r w:rsidR="00EB740B">
        <w:rPr>
          <w:rFonts w:ascii="Abadi" w:hAnsi="Abadi" w:cs="*Arial-7030-Identity-H"/>
          <w:color w:val="0C0B0E"/>
          <w:sz w:val="21"/>
          <w:szCs w:val="21"/>
        </w:rPr>
        <w:t xml:space="preserve"> </w:t>
      </w:r>
      <w:r w:rsidRPr="009E34BC">
        <w:rPr>
          <w:rFonts w:ascii="Abadi" w:hAnsi="Abadi" w:cs="*Arial-7030-Identity-H"/>
          <w:color w:val="0C0B0E"/>
          <w:sz w:val="21"/>
          <w:szCs w:val="21"/>
        </w:rPr>
        <w:t>de alumbrado público y la gestión de la calidad sobre sus procesos clave; y el uso</w:t>
      </w:r>
      <w:r>
        <w:rPr>
          <w:rFonts w:ascii="Abadi" w:hAnsi="Abadi" w:cs="*Arial-7030-Identity-H"/>
          <w:color w:val="0C0B0E"/>
          <w:sz w:val="21"/>
          <w:szCs w:val="21"/>
        </w:rPr>
        <w:t xml:space="preserve"> </w:t>
      </w:r>
      <w:r w:rsidRPr="009E34BC">
        <w:rPr>
          <w:rFonts w:ascii="Abadi" w:hAnsi="Abadi" w:cs="*Arial-7030-Identity-H"/>
          <w:color w:val="0C0B0E"/>
          <w:sz w:val="21"/>
          <w:szCs w:val="21"/>
        </w:rPr>
        <w:t>de herramientas para la planificación operativa y el seguimiento de las actividades</w:t>
      </w:r>
      <w:r>
        <w:rPr>
          <w:rFonts w:ascii="Abadi" w:hAnsi="Abadi" w:cs="*Arial-7030-Identity-H"/>
          <w:color w:val="0C0B0E"/>
          <w:sz w:val="21"/>
          <w:szCs w:val="21"/>
        </w:rPr>
        <w:t xml:space="preserve"> </w:t>
      </w:r>
      <w:r w:rsidRPr="009E34BC">
        <w:rPr>
          <w:rFonts w:ascii="Abadi" w:hAnsi="Abadi" w:cs="*Arial-7030-Identity-H"/>
          <w:color w:val="0C0B0E"/>
          <w:sz w:val="21"/>
          <w:szCs w:val="21"/>
        </w:rPr>
        <w:t>vinculadas a la atención de reportes por fallas en el servicio. Así como, la eficacia</w:t>
      </w:r>
      <w:r>
        <w:rPr>
          <w:rFonts w:ascii="Abadi" w:hAnsi="Abadi" w:cs="*Arial-7030-Identity-H"/>
          <w:color w:val="0C0B0E"/>
          <w:sz w:val="21"/>
          <w:szCs w:val="21"/>
        </w:rPr>
        <w:t xml:space="preserve"> </w:t>
      </w:r>
      <w:r w:rsidRPr="009E34BC">
        <w:rPr>
          <w:rFonts w:ascii="Abadi" w:hAnsi="Abadi" w:cs="*Arial-7030-Identity-H"/>
          <w:color w:val="0C0B0E"/>
          <w:sz w:val="21"/>
          <w:szCs w:val="21"/>
        </w:rPr>
        <w:t>en los resultados de la capacidad municipal en la prestación del servicio de</w:t>
      </w:r>
      <w:r>
        <w:rPr>
          <w:rFonts w:ascii="Abadi" w:hAnsi="Abadi" w:cs="*Arial-7030-Identity-H"/>
          <w:color w:val="0C0B0E"/>
          <w:sz w:val="21"/>
          <w:szCs w:val="21"/>
        </w:rPr>
        <w:t xml:space="preserve"> </w:t>
      </w:r>
      <w:r w:rsidRPr="009E34BC">
        <w:rPr>
          <w:rFonts w:ascii="Abadi" w:hAnsi="Abadi" w:cs="*Arial-7030-Identity-H"/>
          <w:color w:val="0C0B0E"/>
          <w:sz w:val="21"/>
          <w:szCs w:val="21"/>
        </w:rPr>
        <w:t>alumbrado público en el ejercicio 2020 a partir del grado de funcionamiento de las</w:t>
      </w:r>
      <w:r>
        <w:rPr>
          <w:rFonts w:ascii="Abadi" w:hAnsi="Abadi" w:cs="*Arial-7030-Identity-H"/>
          <w:color w:val="0C0B0E"/>
          <w:sz w:val="21"/>
          <w:szCs w:val="21"/>
        </w:rPr>
        <w:t xml:space="preserve"> </w:t>
      </w:r>
      <w:r w:rsidRPr="009E34BC">
        <w:rPr>
          <w:rFonts w:ascii="Abadi" w:hAnsi="Abadi" w:cs="*Arial-7030-Identity-H"/>
          <w:color w:val="0C0B0E"/>
          <w:sz w:val="21"/>
          <w:szCs w:val="21"/>
        </w:rPr>
        <w:t xml:space="preserve">luminarias que lo conforman, la cobertura lograda y la satisfacción ciudadana </w:t>
      </w:r>
      <w:r w:rsidRPr="009E34BC">
        <w:rPr>
          <w:rFonts w:ascii="Abadi" w:hAnsi="Abadi" w:cs="*Arial-9979-Identity-H"/>
          <w:color w:val="0D0C0F"/>
          <w:sz w:val="21"/>
          <w:szCs w:val="21"/>
        </w:rPr>
        <w:t>sobre el servicio, y de la relevancia y suficiencia de los mecanismos que permiten</w:t>
      </w:r>
      <w:r>
        <w:rPr>
          <w:rFonts w:ascii="Abadi" w:hAnsi="Abadi" w:cs="*Arial-9979-Identity-H"/>
          <w:color w:val="0D0C0F"/>
          <w:sz w:val="21"/>
          <w:szCs w:val="21"/>
        </w:rPr>
        <w:t xml:space="preserve"> </w:t>
      </w:r>
      <w:r w:rsidRPr="009E34BC">
        <w:rPr>
          <w:rFonts w:ascii="Abadi" w:hAnsi="Abadi" w:cs="*Arial-9979-Identity-H"/>
          <w:color w:val="0D0C0F"/>
          <w:sz w:val="21"/>
          <w:szCs w:val="21"/>
        </w:rPr>
        <w:t>monitorear el desempeño y los resultados del servicio.</w:t>
      </w:r>
    </w:p>
    <w:p w14:paraId="46E954CA" w14:textId="77777777" w:rsidR="000939C4" w:rsidRPr="009E34BC" w:rsidRDefault="000939C4" w:rsidP="000939C4">
      <w:pPr>
        <w:autoSpaceDE w:val="0"/>
        <w:autoSpaceDN w:val="0"/>
        <w:adjustRightInd w:val="0"/>
        <w:jc w:val="both"/>
        <w:rPr>
          <w:rFonts w:ascii="Abadi" w:hAnsi="Abadi" w:cs="*Arial-9979-Identity-H"/>
          <w:color w:val="0D0C0F"/>
          <w:sz w:val="21"/>
          <w:szCs w:val="21"/>
        </w:rPr>
      </w:pPr>
    </w:p>
    <w:p w14:paraId="0066B44F" w14:textId="77777777" w:rsidR="000939C4" w:rsidRDefault="000939C4" w:rsidP="000939C4">
      <w:pPr>
        <w:autoSpaceDE w:val="0"/>
        <w:autoSpaceDN w:val="0"/>
        <w:adjustRightInd w:val="0"/>
        <w:ind w:firstLine="708"/>
        <w:jc w:val="both"/>
        <w:rPr>
          <w:rFonts w:ascii="Abadi" w:hAnsi="Abadi" w:cs="*Arial-9979-Identity-H"/>
          <w:color w:val="0E0E11"/>
          <w:sz w:val="21"/>
          <w:szCs w:val="21"/>
        </w:rPr>
      </w:pPr>
      <w:r w:rsidRPr="009E34BC">
        <w:rPr>
          <w:rFonts w:ascii="Abadi" w:hAnsi="Abadi" w:cs="*Arial-9979-Identity-H"/>
          <w:color w:val="0E0E11"/>
          <w:sz w:val="21"/>
          <w:szCs w:val="21"/>
        </w:rPr>
        <w:t>Respecto a los antecedentes del proceso de fiscalización, estos ya se</w:t>
      </w:r>
      <w:r>
        <w:rPr>
          <w:rFonts w:ascii="Abadi" w:hAnsi="Abadi" w:cs="*Arial-9979-Identity-H"/>
          <w:color w:val="0E0E11"/>
          <w:sz w:val="21"/>
          <w:szCs w:val="21"/>
        </w:rPr>
        <w:t xml:space="preserve"> </w:t>
      </w:r>
      <w:r w:rsidRPr="009E34BC">
        <w:rPr>
          <w:rFonts w:ascii="Abadi" w:hAnsi="Abadi" w:cs="*Arial-9979-Identity-H"/>
          <w:color w:val="0E0E11"/>
          <w:sz w:val="21"/>
          <w:szCs w:val="21"/>
        </w:rPr>
        <w:t>detallaron en el apartado correspondiente.</w:t>
      </w:r>
    </w:p>
    <w:p w14:paraId="7F1FF5E4" w14:textId="77777777" w:rsidR="000939C4" w:rsidRPr="009E34BC" w:rsidRDefault="000939C4" w:rsidP="000939C4">
      <w:pPr>
        <w:autoSpaceDE w:val="0"/>
        <w:autoSpaceDN w:val="0"/>
        <w:adjustRightInd w:val="0"/>
        <w:jc w:val="both"/>
        <w:rPr>
          <w:rFonts w:ascii="Abadi" w:hAnsi="Abadi" w:cs="*Arial-9979-Identity-H"/>
          <w:color w:val="0E0E11"/>
          <w:sz w:val="21"/>
          <w:szCs w:val="21"/>
        </w:rPr>
      </w:pPr>
    </w:p>
    <w:p w14:paraId="082918B4" w14:textId="77777777" w:rsidR="000939C4" w:rsidRDefault="000939C4" w:rsidP="000939C4">
      <w:pPr>
        <w:autoSpaceDE w:val="0"/>
        <w:autoSpaceDN w:val="0"/>
        <w:adjustRightInd w:val="0"/>
        <w:ind w:firstLine="708"/>
        <w:jc w:val="both"/>
        <w:rPr>
          <w:rFonts w:ascii="Abadi" w:hAnsi="Abadi" w:cs="*Arial-9979-Identity-H"/>
          <w:color w:val="0B0B0E"/>
          <w:sz w:val="21"/>
          <w:szCs w:val="21"/>
        </w:rPr>
      </w:pPr>
      <w:r w:rsidRPr="009E34BC">
        <w:rPr>
          <w:rFonts w:ascii="Abadi" w:hAnsi="Abadi" w:cs="*Arial-9979-Identity-H"/>
          <w:color w:val="0B0B0E"/>
          <w:sz w:val="21"/>
          <w:szCs w:val="21"/>
        </w:rPr>
        <w:t>En cuanto al contexto de la política pública de la materia a auditar, se</w:t>
      </w:r>
      <w:r>
        <w:rPr>
          <w:rFonts w:ascii="Abadi" w:hAnsi="Abadi" w:cs="*Arial-9979-Identity-H"/>
          <w:color w:val="0B0B0E"/>
          <w:sz w:val="21"/>
          <w:szCs w:val="21"/>
        </w:rPr>
        <w:t xml:space="preserve"> </w:t>
      </w:r>
      <w:r w:rsidRPr="009E34BC">
        <w:rPr>
          <w:rFonts w:ascii="Abadi" w:hAnsi="Abadi" w:cs="*Arial-9979-Identity-H"/>
          <w:color w:val="0B0B0E"/>
          <w:sz w:val="21"/>
          <w:szCs w:val="21"/>
        </w:rPr>
        <w:t>refiere que el Municipio libre es la base de la división territorial del Estado, de su</w:t>
      </w:r>
      <w:r>
        <w:rPr>
          <w:rFonts w:ascii="Abadi" w:hAnsi="Abadi" w:cs="*Arial-9979-Identity-H"/>
          <w:color w:val="0B0B0E"/>
          <w:sz w:val="21"/>
          <w:szCs w:val="21"/>
        </w:rPr>
        <w:t xml:space="preserve"> organización</w:t>
      </w:r>
      <w:r w:rsidRPr="009E34BC">
        <w:rPr>
          <w:rFonts w:ascii="Abadi" w:hAnsi="Abadi" w:cs="*Arial-9979-Identity-H"/>
          <w:color w:val="0B0B0E"/>
          <w:sz w:val="21"/>
          <w:szCs w:val="21"/>
        </w:rPr>
        <w:t xml:space="preserve"> política y administrativa, y como principio de legalidad la autoridad</w:t>
      </w:r>
      <w:r>
        <w:rPr>
          <w:rFonts w:ascii="Abadi" w:hAnsi="Abadi" w:cs="*Arial-9979-Identity-H"/>
          <w:color w:val="0B0B0E"/>
          <w:sz w:val="21"/>
          <w:szCs w:val="21"/>
        </w:rPr>
        <w:t xml:space="preserve"> </w:t>
      </w:r>
      <w:r w:rsidRPr="009E34BC">
        <w:rPr>
          <w:rFonts w:ascii="Abadi" w:hAnsi="Abadi" w:cs="*Arial-9979-Identity-H"/>
          <w:color w:val="0B0B0E"/>
          <w:sz w:val="21"/>
          <w:szCs w:val="21"/>
        </w:rPr>
        <w:t>municipal puede hacer únicamente lo que la ley le concede, encontrándose dentro</w:t>
      </w:r>
      <w:r>
        <w:rPr>
          <w:rFonts w:ascii="Abadi" w:hAnsi="Abadi" w:cs="*Arial-9979-Identity-H"/>
          <w:color w:val="0B0B0E"/>
          <w:sz w:val="21"/>
          <w:szCs w:val="21"/>
        </w:rPr>
        <w:t xml:space="preserve"> </w:t>
      </w:r>
      <w:r w:rsidRPr="009E34BC">
        <w:rPr>
          <w:rFonts w:ascii="Abadi" w:hAnsi="Abadi" w:cs="*Arial-9979-Identity-H"/>
          <w:color w:val="0B0B0E"/>
          <w:sz w:val="21"/>
          <w:szCs w:val="21"/>
        </w:rPr>
        <w:t>de sus atribuciones la de otorgar los servicios públicos al Municipio.</w:t>
      </w:r>
    </w:p>
    <w:p w14:paraId="04D61668" w14:textId="184D3D2D" w:rsidR="000939C4" w:rsidRDefault="000939C4" w:rsidP="000939C4">
      <w:pPr>
        <w:autoSpaceDE w:val="0"/>
        <w:autoSpaceDN w:val="0"/>
        <w:adjustRightInd w:val="0"/>
        <w:ind w:firstLine="708"/>
        <w:jc w:val="both"/>
        <w:rPr>
          <w:rFonts w:ascii="Abadi" w:hAnsi="Abadi" w:cs="*Arial-9980-Identity-H"/>
          <w:color w:val="0D0C0F"/>
          <w:sz w:val="21"/>
          <w:szCs w:val="21"/>
        </w:rPr>
      </w:pPr>
      <w:r w:rsidRPr="009E34BC">
        <w:rPr>
          <w:rFonts w:ascii="Abadi" w:hAnsi="Abadi" w:cs="*Arial-9979-Identity-H"/>
          <w:color w:val="0D0C0F"/>
          <w:sz w:val="21"/>
          <w:szCs w:val="21"/>
        </w:rPr>
        <w:t xml:space="preserve">También se precisa que el servicio público </w:t>
      </w:r>
      <w:r w:rsidRPr="009E34BC">
        <w:rPr>
          <w:rFonts w:ascii="Abadi" w:hAnsi="Abadi" w:cs="*Arial-Italic-9981-Identity-H"/>
          <w:i/>
          <w:iCs/>
          <w:color w:val="0D0C0F"/>
          <w:sz w:val="21"/>
          <w:szCs w:val="21"/>
        </w:rPr>
        <w:t>«es la institución jurídica</w:t>
      </w:r>
      <w:r>
        <w:rPr>
          <w:rFonts w:ascii="Abadi" w:hAnsi="Abadi" w:cs="*Arial-Italic-9981-Identity-H"/>
          <w:i/>
          <w:iCs/>
          <w:color w:val="0D0C0F"/>
          <w:sz w:val="21"/>
          <w:szCs w:val="21"/>
        </w:rPr>
        <w:t xml:space="preserve"> </w:t>
      </w:r>
      <w:r w:rsidRPr="009E34BC">
        <w:rPr>
          <w:rFonts w:ascii="Abadi" w:hAnsi="Abadi" w:cs="*Arial-Italic-9981-Identity-H"/>
          <w:i/>
          <w:iCs/>
          <w:color w:val="0D0C0F"/>
          <w:sz w:val="21"/>
          <w:szCs w:val="21"/>
        </w:rPr>
        <w:t>administrativa en la que el titular es el Estado (municipio) y cuya única finalidad</w:t>
      </w:r>
      <w:r>
        <w:rPr>
          <w:rFonts w:ascii="Abadi" w:hAnsi="Abadi" w:cs="*Arial-Italic-9981-Identity-H"/>
          <w:i/>
          <w:iCs/>
          <w:color w:val="0D0C0F"/>
          <w:sz w:val="21"/>
          <w:szCs w:val="21"/>
        </w:rPr>
        <w:t xml:space="preserve"> </w:t>
      </w:r>
      <w:r w:rsidRPr="009E34BC">
        <w:rPr>
          <w:rFonts w:ascii="Abadi" w:hAnsi="Abadi" w:cs="*Arial-Italic-9981-Identity-H"/>
          <w:i/>
          <w:iCs/>
          <w:color w:val="0D0C0F"/>
          <w:sz w:val="21"/>
          <w:szCs w:val="21"/>
        </w:rPr>
        <w:t>consiste en satisfacer de manera regular, continua y uniforme necesidades</w:t>
      </w:r>
      <w:r>
        <w:rPr>
          <w:rFonts w:ascii="Abadi" w:hAnsi="Abadi" w:cs="*Arial-Italic-9981-Identity-H"/>
          <w:i/>
          <w:iCs/>
          <w:color w:val="0D0C0F"/>
          <w:sz w:val="21"/>
          <w:szCs w:val="21"/>
        </w:rPr>
        <w:t xml:space="preserve"> </w:t>
      </w:r>
      <w:r w:rsidRPr="009E34BC">
        <w:rPr>
          <w:rFonts w:ascii="Abadi" w:hAnsi="Abadi" w:cs="*Arial-Italic-9981-Identity-H"/>
          <w:i/>
          <w:iCs/>
          <w:color w:val="0D0C0F"/>
          <w:sz w:val="21"/>
          <w:szCs w:val="21"/>
        </w:rPr>
        <w:t xml:space="preserve">públicas de carácter esencial, básico </w:t>
      </w:r>
      <w:r w:rsidRPr="009E34BC">
        <w:rPr>
          <w:rFonts w:ascii="Abadi" w:hAnsi="Abadi" w:cs="*Arial-9979-Identity-H"/>
          <w:color w:val="0D0C0F"/>
          <w:sz w:val="21"/>
          <w:szCs w:val="21"/>
        </w:rPr>
        <w:t xml:space="preserve">o </w:t>
      </w:r>
      <w:r w:rsidRPr="009E34BC">
        <w:rPr>
          <w:rFonts w:ascii="Abadi" w:hAnsi="Abadi" w:cs="*Arial-Italic-9981-Identity-H"/>
          <w:i/>
          <w:iCs/>
          <w:color w:val="0D0C0F"/>
          <w:sz w:val="21"/>
          <w:szCs w:val="21"/>
        </w:rPr>
        <w:t xml:space="preserve">fundamental; se concreta </w:t>
      </w:r>
      <w:r w:rsidRPr="009E34BC">
        <w:rPr>
          <w:rFonts w:ascii="Abadi" w:hAnsi="Abadi" w:cs="*Arial-9979-Identity-H"/>
          <w:color w:val="0D0C0F"/>
          <w:sz w:val="21"/>
          <w:szCs w:val="21"/>
        </w:rPr>
        <w:t xml:space="preserve">a </w:t>
      </w:r>
      <w:r w:rsidRPr="009E34BC">
        <w:rPr>
          <w:rFonts w:ascii="Abadi" w:hAnsi="Abadi" w:cs="*Arial-Italic-9981-Identity-H"/>
          <w:i/>
          <w:iCs/>
          <w:color w:val="0D0C0F"/>
          <w:sz w:val="21"/>
          <w:szCs w:val="21"/>
        </w:rPr>
        <w:t>través de las</w:t>
      </w:r>
      <w:r>
        <w:rPr>
          <w:rFonts w:ascii="Abadi" w:hAnsi="Abadi" w:cs="*Arial-Italic-9981-Identity-H"/>
          <w:i/>
          <w:iCs/>
          <w:color w:val="0D0C0F"/>
          <w:sz w:val="21"/>
          <w:szCs w:val="21"/>
        </w:rPr>
        <w:t xml:space="preserve"> prestaciones</w:t>
      </w:r>
      <w:r w:rsidRPr="009E34BC">
        <w:rPr>
          <w:rFonts w:ascii="Abadi" w:hAnsi="Abadi" w:cs="*Arial-Italic-9981-Identity-H"/>
          <w:i/>
          <w:iCs/>
          <w:color w:val="0D0C0F"/>
          <w:sz w:val="21"/>
          <w:szCs w:val="21"/>
        </w:rPr>
        <w:t xml:space="preserve"> individua/izadas las cuales podrán ser suministradas directamente</w:t>
      </w:r>
      <w:r>
        <w:rPr>
          <w:rFonts w:ascii="Abadi" w:hAnsi="Abadi" w:cs="*Arial-Italic-9981-Identity-H"/>
          <w:i/>
          <w:iCs/>
          <w:color w:val="0D0C0F"/>
          <w:sz w:val="21"/>
          <w:szCs w:val="21"/>
        </w:rPr>
        <w:t xml:space="preserve"> </w:t>
      </w:r>
      <w:r w:rsidRPr="009E34BC">
        <w:rPr>
          <w:rFonts w:ascii="Abadi" w:hAnsi="Abadi" w:cs="*Arial-Italic-9981-Identity-H"/>
          <w:i/>
          <w:iCs/>
          <w:color w:val="0D0C0F"/>
          <w:sz w:val="21"/>
          <w:szCs w:val="21"/>
        </w:rPr>
        <w:t>por el Estado (municipio) o por los particulares mediante concesión. Por su</w:t>
      </w:r>
      <w:r>
        <w:rPr>
          <w:rFonts w:ascii="Abadi" w:hAnsi="Abadi" w:cs="*Arial-Italic-9981-Identity-H"/>
          <w:i/>
          <w:iCs/>
          <w:color w:val="0D0C0F"/>
          <w:sz w:val="21"/>
          <w:szCs w:val="21"/>
        </w:rPr>
        <w:t xml:space="preserve"> </w:t>
      </w:r>
      <w:r w:rsidRPr="009E34BC">
        <w:rPr>
          <w:rFonts w:ascii="Abadi" w:hAnsi="Abadi" w:cs="*Arial-Italic-9981-Identity-H"/>
          <w:i/>
          <w:iCs/>
          <w:color w:val="0D0C0F"/>
          <w:sz w:val="21"/>
          <w:szCs w:val="21"/>
        </w:rPr>
        <w:t>naturaleza, estará sujeta a normas y principios de derecho público».</w:t>
      </w:r>
      <w:r w:rsidRPr="009E34BC">
        <w:rPr>
          <w:rFonts w:ascii="Abadi" w:hAnsi="Abadi" w:cs="*Arial-9979-Identity-H"/>
          <w:color w:val="0D0C0F"/>
          <w:sz w:val="21"/>
          <w:szCs w:val="21"/>
        </w:rPr>
        <w:t xml:space="preserve"> </w:t>
      </w:r>
      <w:r w:rsidR="00BF1EC4">
        <w:rPr>
          <w:rStyle w:val="Refdenotaalpie"/>
          <w:rFonts w:ascii="Abadi" w:hAnsi="Abadi" w:cs="*Arial-9979-Identity-H"/>
          <w:color w:val="0D0C0F"/>
          <w:sz w:val="21"/>
          <w:szCs w:val="21"/>
        </w:rPr>
        <w:footnoteReference w:id="44"/>
      </w:r>
    </w:p>
    <w:p w14:paraId="24265858" w14:textId="77777777" w:rsidR="000939C4" w:rsidRPr="009E34BC" w:rsidRDefault="000939C4" w:rsidP="000939C4">
      <w:pPr>
        <w:autoSpaceDE w:val="0"/>
        <w:autoSpaceDN w:val="0"/>
        <w:adjustRightInd w:val="0"/>
        <w:jc w:val="both"/>
        <w:rPr>
          <w:rFonts w:ascii="Abadi" w:hAnsi="Abadi" w:cs="*Arial-9980-Identity-H"/>
          <w:color w:val="0D0C0F"/>
          <w:sz w:val="21"/>
          <w:szCs w:val="21"/>
        </w:rPr>
      </w:pPr>
    </w:p>
    <w:p w14:paraId="6E17E329" w14:textId="77777777" w:rsidR="000939C4" w:rsidRDefault="000939C4" w:rsidP="000939C4">
      <w:pPr>
        <w:autoSpaceDE w:val="0"/>
        <w:autoSpaceDN w:val="0"/>
        <w:adjustRightInd w:val="0"/>
        <w:ind w:firstLine="708"/>
        <w:jc w:val="both"/>
        <w:rPr>
          <w:rFonts w:ascii="Abadi" w:hAnsi="Abadi" w:cs="*Arial-9979-Identity-H"/>
          <w:color w:val="0B0C0E"/>
          <w:sz w:val="21"/>
          <w:szCs w:val="21"/>
        </w:rPr>
      </w:pPr>
      <w:r w:rsidRPr="009E34BC">
        <w:rPr>
          <w:rFonts w:ascii="Abadi" w:hAnsi="Abadi" w:cs="*Arial-9979-Identity-H"/>
          <w:color w:val="0B0C0E"/>
          <w:sz w:val="21"/>
          <w:szCs w:val="21"/>
        </w:rPr>
        <w:t>Por su parte, la Constitución Política de los Estados Unidos Mexicanos</w:t>
      </w:r>
      <w:r>
        <w:rPr>
          <w:rFonts w:ascii="Abadi" w:hAnsi="Abadi" w:cs="*Arial-9979-Identity-H"/>
          <w:color w:val="0B0C0E"/>
          <w:sz w:val="21"/>
          <w:szCs w:val="21"/>
        </w:rPr>
        <w:t xml:space="preserve"> </w:t>
      </w:r>
      <w:r w:rsidRPr="009E34BC">
        <w:rPr>
          <w:rFonts w:ascii="Abadi" w:hAnsi="Abadi" w:cs="*Arial-9979-Identity-H"/>
          <w:color w:val="0B0C0E"/>
          <w:sz w:val="21"/>
          <w:szCs w:val="21"/>
        </w:rPr>
        <w:t>establece en términos generales en su artículo 115 la base del municipio a través</w:t>
      </w:r>
      <w:r>
        <w:rPr>
          <w:rFonts w:ascii="Abadi" w:hAnsi="Abadi" w:cs="*Arial-9979-Identity-H"/>
          <w:color w:val="0B0C0E"/>
          <w:sz w:val="21"/>
          <w:szCs w:val="21"/>
        </w:rPr>
        <w:t xml:space="preserve"> </w:t>
      </w:r>
      <w:r w:rsidRPr="009E34BC">
        <w:rPr>
          <w:rFonts w:ascii="Abadi" w:hAnsi="Abadi" w:cs="*Arial-9979-Identity-H"/>
          <w:color w:val="0B0C0E"/>
          <w:sz w:val="21"/>
          <w:szCs w:val="21"/>
        </w:rPr>
        <w:t>de una organización política</w:t>
      </w:r>
      <w:r w:rsidRPr="009E34BC">
        <w:rPr>
          <w:rFonts w:ascii="Abadi" w:hAnsi="Abadi" w:cs="*Arial-9979-Identity-H"/>
          <w:color w:val="A5A1A5"/>
          <w:sz w:val="21"/>
          <w:szCs w:val="21"/>
        </w:rPr>
        <w:t xml:space="preserve">· </w:t>
      </w:r>
      <w:r w:rsidRPr="009E34BC">
        <w:rPr>
          <w:rFonts w:ascii="Abadi" w:hAnsi="Abadi" w:cs="*Arial-9979-Identity-H"/>
          <w:color w:val="0B0C0E"/>
          <w:sz w:val="21"/>
          <w:szCs w:val="21"/>
        </w:rPr>
        <w:t>y administrativa, para lo cual ejercerá funciones</w:t>
      </w:r>
      <w:r>
        <w:rPr>
          <w:rFonts w:ascii="Abadi" w:hAnsi="Abadi" w:cs="*Arial-9979-Identity-H"/>
          <w:color w:val="0B0C0E"/>
          <w:sz w:val="21"/>
          <w:szCs w:val="21"/>
        </w:rPr>
        <w:t xml:space="preserve"> </w:t>
      </w:r>
      <w:r w:rsidRPr="009E34BC">
        <w:rPr>
          <w:rFonts w:ascii="Abadi" w:hAnsi="Abadi" w:cs="*Arial-9979-Identity-H"/>
          <w:color w:val="0B0C0E"/>
          <w:sz w:val="21"/>
          <w:szCs w:val="21"/>
        </w:rPr>
        <w:t>jurisdiccionales, legislativas y administrativas, contando con personalidad jurídica y</w:t>
      </w:r>
      <w:r>
        <w:rPr>
          <w:rFonts w:ascii="Abadi" w:hAnsi="Abadi" w:cs="*Arial-9979-Identity-H"/>
          <w:color w:val="0B0C0E"/>
          <w:sz w:val="21"/>
          <w:szCs w:val="21"/>
        </w:rPr>
        <w:t xml:space="preserve"> </w:t>
      </w:r>
      <w:r w:rsidRPr="009E34BC">
        <w:rPr>
          <w:rFonts w:ascii="Abadi" w:hAnsi="Abadi" w:cs="*Arial-9979-Identity-H"/>
          <w:color w:val="0B0C0E"/>
          <w:sz w:val="21"/>
          <w:szCs w:val="21"/>
        </w:rPr>
        <w:t>con facultades para manejar su patrimonio conforme a las leyes de la materia. En</w:t>
      </w:r>
      <w:r>
        <w:rPr>
          <w:rFonts w:ascii="Abadi" w:hAnsi="Abadi" w:cs="*Arial-9979-Identity-H"/>
          <w:color w:val="0B0C0E"/>
          <w:sz w:val="21"/>
          <w:szCs w:val="21"/>
        </w:rPr>
        <w:t xml:space="preserve"> </w:t>
      </w:r>
      <w:r w:rsidRPr="009E34BC">
        <w:rPr>
          <w:rFonts w:ascii="Abadi" w:hAnsi="Abadi" w:cs="*Arial-9979-Identity-H"/>
          <w:color w:val="0B0C0E"/>
          <w:sz w:val="21"/>
          <w:szCs w:val="21"/>
        </w:rPr>
        <w:t>este sentido, respecto a la prestación de los servicios públicos, el Municipio está</w:t>
      </w:r>
      <w:r>
        <w:rPr>
          <w:rFonts w:ascii="Abadi" w:hAnsi="Abadi" w:cs="*Arial-9979-Identity-H"/>
          <w:color w:val="0B0C0E"/>
          <w:sz w:val="21"/>
          <w:szCs w:val="21"/>
        </w:rPr>
        <w:t xml:space="preserve"> </w:t>
      </w:r>
      <w:r w:rsidRPr="009E34BC">
        <w:rPr>
          <w:rFonts w:ascii="Abadi" w:hAnsi="Abadi" w:cs="*Arial-9979-Identity-H"/>
          <w:color w:val="0B0C0E"/>
          <w:sz w:val="21"/>
          <w:szCs w:val="21"/>
        </w:rPr>
        <w:t>facultado para expedir reglamentos, circulares y disposiciones administrativas de</w:t>
      </w:r>
      <w:r>
        <w:rPr>
          <w:rFonts w:ascii="Abadi" w:hAnsi="Abadi" w:cs="*Arial-9979-Identity-H"/>
          <w:color w:val="0B0C0E"/>
          <w:sz w:val="21"/>
          <w:szCs w:val="21"/>
        </w:rPr>
        <w:t xml:space="preserve"> </w:t>
      </w:r>
      <w:r w:rsidRPr="009E34BC">
        <w:rPr>
          <w:rFonts w:ascii="Abadi" w:hAnsi="Abadi" w:cs="*Arial-9979-Identity-H"/>
          <w:color w:val="0B0C0E"/>
          <w:sz w:val="21"/>
          <w:szCs w:val="21"/>
        </w:rPr>
        <w:t>observancia general dentro de su jurisdicción, que organicen la administración</w:t>
      </w:r>
      <w:r>
        <w:rPr>
          <w:rFonts w:ascii="Abadi" w:hAnsi="Abadi" w:cs="*Arial-9979-Identity-H"/>
          <w:color w:val="0B0C0E"/>
          <w:sz w:val="21"/>
          <w:szCs w:val="21"/>
        </w:rPr>
        <w:t xml:space="preserve"> </w:t>
      </w:r>
      <w:r w:rsidRPr="009E34BC">
        <w:rPr>
          <w:rFonts w:ascii="Abadi" w:hAnsi="Abadi" w:cs="*Arial-9979-Identity-H"/>
          <w:color w:val="0B0C0E"/>
          <w:sz w:val="21"/>
          <w:szCs w:val="21"/>
        </w:rPr>
        <w:t>pública, regulen las materias, procedimiento, funciones y servicios públicos de su</w:t>
      </w:r>
      <w:r>
        <w:rPr>
          <w:rFonts w:ascii="Abadi" w:hAnsi="Abadi" w:cs="*Arial-9979-Identity-H"/>
          <w:color w:val="0B0C0E"/>
          <w:sz w:val="21"/>
          <w:szCs w:val="21"/>
        </w:rPr>
        <w:t xml:space="preserve"> </w:t>
      </w:r>
      <w:r w:rsidRPr="009E34BC">
        <w:rPr>
          <w:rFonts w:ascii="Abadi" w:hAnsi="Abadi" w:cs="*Arial-9979-Identity-H"/>
          <w:color w:val="0B0C0E"/>
          <w:sz w:val="21"/>
          <w:szCs w:val="21"/>
        </w:rPr>
        <w:t>competencia.</w:t>
      </w:r>
    </w:p>
    <w:p w14:paraId="257288C4" w14:textId="77777777" w:rsidR="000939C4" w:rsidRPr="009E34BC" w:rsidRDefault="000939C4" w:rsidP="000939C4">
      <w:pPr>
        <w:autoSpaceDE w:val="0"/>
        <w:autoSpaceDN w:val="0"/>
        <w:adjustRightInd w:val="0"/>
        <w:jc w:val="both"/>
        <w:rPr>
          <w:rFonts w:ascii="Abadi" w:hAnsi="Abadi" w:cs="*Arial-9979-Identity-H"/>
          <w:color w:val="0B0C0E"/>
          <w:sz w:val="21"/>
          <w:szCs w:val="21"/>
        </w:rPr>
      </w:pPr>
    </w:p>
    <w:p w14:paraId="35F59E32" w14:textId="77777777" w:rsidR="000939C4" w:rsidRPr="009E34BC" w:rsidRDefault="000939C4" w:rsidP="000939C4">
      <w:pPr>
        <w:autoSpaceDE w:val="0"/>
        <w:autoSpaceDN w:val="0"/>
        <w:adjustRightInd w:val="0"/>
        <w:ind w:firstLine="708"/>
        <w:jc w:val="both"/>
        <w:rPr>
          <w:rFonts w:ascii="Abadi" w:hAnsi="Abadi" w:cs="*Arial-9979-Identity-H"/>
          <w:color w:val="0C0B0E"/>
          <w:sz w:val="21"/>
          <w:szCs w:val="21"/>
        </w:rPr>
      </w:pPr>
      <w:r w:rsidRPr="009E34BC">
        <w:rPr>
          <w:rFonts w:ascii="Abadi" w:hAnsi="Abadi" w:cs="*Arial-9979-Identity-H"/>
          <w:color w:val="0C0B0E"/>
          <w:sz w:val="21"/>
          <w:szCs w:val="21"/>
        </w:rPr>
        <w:t>De manera específica, el artículo 115 de la Constitución Política de los</w:t>
      </w:r>
      <w:r>
        <w:rPr>
          <w:rFonts w:ascii="Abadi" w:hAnsi="Abadi" w:cs="*Arial-9979-Identity-H"/>
          <w:color w:val="0C0B0E"/>
          <w:sz w:val="21"/>
          <w:szCs w:val="21"/>
        </w:rPr>
        <w:t xml:space="preserve"> </w:t>
      </w:r>
      <w:r w:rsidRPr="009E34BC">
        <w:rPr>
          <w:rFonts w:ascii="Abadi" w:hAnsi="Abadi" w:cs="*Arial-9979-Identity-H"/>
          <w:color w:val="0C0B0E"/>
          <w:sz w:val="21"/>
          <w:szCs w:val="21"/>
        </w:rPr>
        <w:t>Estados Unidos Mexicanos, en su fracción 111 consigna que los municipios tendrán</w:t>
      </w:r>
      <w:r>
        <w:rPr>
          <w:rFonts w:ascii="Abadi" w:hAnsi="Abadi" w:cs="*Arial-9979-Identity-H"/>
          <w:color w:val="0C0B0E"/>
          <w:sz w:val="21"/>
          <w:szCs w:val="21"/>
        </w:rPr>
        <w:t xml:space="preserve"> </w:t>
      </w:r>
      <w:r w:rsidRPr="009E34BC">
        <w:rPr>
          <w:rFonts w:ascii="Abadi" w:hAnsi="Abadi" w:cs="*Arial-9979-Identity-H"/>
          <w:color w:val="0C0B0E"/>
          <w:sz w:val="21"/>
          <w:szCs w:val="21"/>
        </w:rPr>
        <w:t>a su cargo las funciones y servicios públicos, entre los que señala en el inciso b, el</w:t>
      </w:r>
      <w:r>
        <w:rPr>
          <w:rFonts w:ascii="Abadi" w:hAnsi="Abadi" w:cs="*Arial-9979-Identity-H"/>
          <w:color w:val="0C0B0E"/>
          <w:sz w:val="21"/>
          <w:szCs w:val="21"/>
        </w:rPr>
        <w:t xml:space="preserve"> </w:t>
      </w:r>
      <w:r w:rsidRPr="009E34BC">
        <w:rPr>
          <w:rFonts w:ascii="Abadi" w:hAnsi="Abadi" w:cs="*Arial-9979-Identity-H"/>
          <w:color w:val="0C0B0E"/>
          <w:sz w:val="21"/>
          <w:szCs w:val="21"/>
        </w:rPr>
        <w:t>alumbrado público. Atribución ratificada en la Constitución Política Local en su</w:t>
      </w:r>
      <w:r>
        <w:rPr>
          <w:rFonts w:ascii="Abadi" w:hAnsi="Abadi" w:cs="*Arial-9979-Identity-H"/>
          <w:color w:val="0C0B0E"/>
          <w:sz w:val="21"/>
          <w:szCs w:val="21"/>
        </w:rPr>
        <w:t xml:space="preserve"> </w:t>
      </w:r>
      <w:r w:rsidRPr="009E34BC">
        <w:rPr>
          <w:rFonts w:ascii="Abadi" w:hAnsi="Abadi" w:cs="*Arial-9979-Identity-H"/>
          <w:color w:val="0C0B0E"/>
          <w:sz w:val="21"/>
          <w:szCs w:val="21"/>
        </w:rPr>
        <w:t xml:space="preserve">artículo 117, fracción </w:t>
      </w:r>
      <w:r>
        <w:rPr>
          <w:rFonts w:ascii="Abadi" w:hAnsi="Abadi" w:cs="*Arial-9979-Identity-H"/>
          <w:color w:val="0C0B0E"/>
          <w:sz w:val="21"/>
          <w:szCs w:val="21"/>
        </w:rPr>
        <w:t>III</w:t>
      </w:r>
      <w:r w:rsidRPr="009E34BC">
        <w:rPr>
          <w:rFonts w:ascii="Abadi" w:hAnsi="Abadi" w:cs="*Arial-9979-Identity-H"/>
          <w:color w:val="0C0B0E"/>
          <w:sz w:val="21"/>
          <w:szCs w:val="21"/>
        </w:rPr>
        <w:t>, inciso b.</w:t>
      </w:r>
    </w:p>
    <w:p w14:paraId="2AC2B995" w14:textId="77777777" w:rsidR="000939C4" w:rsidRPr="009E34BC" w:rsidRDefault="000939C4" w:rsidP="000939C4">
      <w:pPr>
        <w:jc w:val="both"/>
        <w:rPr>
          <w:rFonts w:ascii="Abadi" w:hAnsi="Abadi" w:cs="*Arial-9979-Identity-H"/>
          <w:color w:val="0C0B0E"/>
          <w:sz w:val="21"/>
          <w:szCs w:val="21"/>
        </w:rPr>
      </w:pPr>
    </w:p>
    <w:p w14:paraId="0B5665AB" w14:textId="77777777" w:rsidR="000939C4" w:rsidRDefault="000939C4" w:rsidP="000939C4">
      <w:pPr>
        <w:autoSpaceDE w:val="0"/>
        <w:autoSpaceDN w:val="0"/>
        <w:adjustRightInd w:val="0"/>
        <w:ind w:firstLine="708"/>
        <w:jc w:val="both"/>
        <w:rPr>
          <w:rFonts w:ascii="Abadi" w:hAnsi="Abadi" w:cs="*Arial-6926-Identity-H"/>
          <w:color w:val="0B0B0D"/>
          <w:sz w:val="21"/>
          <w:szCs w:val="21"/>
        </w:rPr>
      </w:pPr>
      <w:r w:rsidRPr="009E34BC">
        <w:rPr>
          <w:rFonts w:ascii="Abadi" w:hAnsi="Abadi" w:cs="*Arial-6926-Identity-H"/>
          <w:color w:val="0B0B0D"/>
          <w:sz w:val="21"/>
          <w:szCs w:val="21"/>
        </w:rPr>
        <w:t>La Ley Orgánica Municipal para el Estado de Guanajuato prevé que el</w:t>
      </w:r>
      <w:r>
        <w:rPr>
          <w:rFonts w:ascii="Abadi" w:hAnsi="Abadi" w:cs="*Arial-6926-Identity-H"/>
          <w:color w:val="0B0B0D"/>
          <w:sz w:val="21"/>
          <w:szCs w:val="21"/>
        </w:rPr>
        <w:t xml:space="preserve"> </w:t>
      </w:r>
      <w:r w:rsidRPr="009E34BC">
        <w:rPr>
          <w:rFonts w:ascii="Abadi" w:hAnsi="Abadi" w:cs="*Arial-6926-Identity-H"/>
          <w:color w:val="0B0B0D"/>
          <w:sz w:val="21"/>
          <w:szCs w:val="21"/>
        </w:rPr>
        <w:t>Ayuntamiento deberá otorgar el servicio de alumbrado público a los habitantes del</w:t>
      </w:r>
      <w:r>
        <w:rPr>
          <w:rFonts w:ascii="Abadi" w:hAnsi="Abadi" w:cs="*Arial-6926-Identity-H"/>
          <w:color w:val="0B0B0D"/>
          <w:sz w:val="21"/>
          <w:szCs w:val="21"/>
        </w:rPr>
        <w:t xml:space="preserve"> </w:t>
      </w:r>
      <w:r w:rsidRPr="009E34BC">
        <w:rPr>
          <w:rFonts w:ascii="Abadi" w:hAnsi="Abadi" w:cs="*Arial-6926-Identity-H"/>
          <w:color w:val="0B0B0D"/>
          <w:sz w:val="21"/>
          <w:szCs w:val="21"/>
        </w:rPr>
        <w:t>Municipio e instrumentará los mecanismos necesarios para ampliar la cobertura y</w:t>
      </w:r>
      <w:r>
        <w:rPr>
          <w:rFonts w:ascii="Abadi" w:hAnsi="Abadi" w:cs="*Arial-6926-Identity-H"/>
          <w:color w:val="0B0B0D"/>
          <w:sz w:val="21"/>
          <w:szCs w:val="21"/>
        </w:rPr>
        <w:t xml:space="preserve"> </w:t>
      </w:r>
      <w:r w:rsidRPr="009E34BC">
        <w:rPr>
          <w:rFonts w:ascii="Abadi" w:hAnsi="Abadi" w:cs="*Arial-6926-Identity-H"/>
          <w:color w:val="0B0B0D"/>
          <w:sz w:val="21"/>
          <w:szCs w:val="21"/>
        </w:rPr>
        <w:t>mejorar la prestación de dicho servicio.</w:t>
      </w:r>
    </w:p>
    <w:p w14:paraId="34A83DA8" w14:textId="77777777" w:rsidR="000939C4" w:rsidRDefault="000939C4" w:rsidP="000939C4">
      <w:pPr>
        <w:autoSpaceDE w:val="0"/>
        <w:autoSpaceDN w:val="0"/>
        <w:adjustRightInd w:val="0"/>
        <w:ind w:firstLine="708"/>
        <w:jc w:val="both"/>
        <w:rPr>
          <w:rFonts w:ascii="Abadi" w:hAnsi="Abadi" w:cs="*Arial-6926-Identity-H"/>
          <w:color w:val="0D0C0F"/>
          <w:sz w:val="21"/>
          <w:szCs w:val="21"/>
        </w:rPr>
      </w:pPr>
      <w:r w:rsidRPr="009E34BC">
        <w:rPr>
          <w:rFonts w:ascii="Abadi" w:hAnsi="Abadi" w:cs="*Arial-6926-Identity-H"/>
          <w:color w:val="0D0C0F"/>
          <w:sz w:val="21"/>
          <w:szCs w:val="21"/>
        </w:rPr>
        <w:t>De igual forma, la referida ley en el artículo 83 establece que el</w:t>
      </w:r>
      <w:r>
        <w:rPr>
          <w:rFonts w:ascii="Abadi" w:hAnsi="Abadi" w:cs="*Arial-6926-Identity-H"/>
          <w:color w:val="0D0C0F"/>
          <w:sz w:val="21"/>
          <w:szCs w:val="21"/>
        </w:rPr>
        <w:t xml:space="preserve"> </w:t>
      </w:r>
      <w:r w:rsidRPr="009E34BC">
        <w:rPr>
          <w:rFonts w:ascii="Abadi" w:hAnsi="Abadi" w:cs="*Arial-6926-Identity-H"/>
          <w:color w:val="0D0C0F"/>
          <w:sz w:val="21"/>
          <w:szCs w:val="21"/>
        </w:rPr>
        <w:t>Ayuntamiento contará con una Comisión de Obra y Servicios Públicos, misma que</w:t>
      </w:r>
      <w:r>
        <w:rPr>
          <w:rFonts w:ascii="Abadi" w:hAnsi="Abadi" w:cs="*Arial-6926-Identity-H"/>
          <w:color w:val="0D0C0F"/>
          <w:sz w:val="21"/>
          <w:szCs w:val="21"/>
        </w:rPr>
        <w:t xml:space="preserve"> </w:t>
      </w:r>
      <w:r w:rsidRPr="009E34BC">
        <w:rPr>
          <w:rFonts w:ascii="Abadi" w:hAnsi="Abadi" w:cs="*Arial-6926-Identity-H"/>
          <w:color w:val="0D0C0F"/>
          <w:sz w:val="21"/>
          <w:szCs w:val="21"/>
        </w:rPr>
        <w:t>tendrá dentro de sus atribuciones la de promover la prestación puntual, oportuna y</w:t>
      </w:r>
      <w:r>
        <w:rPr>
          <w:rFonts w:ascii="Abadi" w:hAnsi="Abadi" w:cs="*Arial-6926-Identity-H"/>
          <w:color w:val="0D0C0F"/>
          <w:sz w:val="21"/>
          <w:szCs w:val="21"/>
        </w:rPr>
        <w:t xml:space="preserve"> </w:t>
      </w:r>
      <w:r w:rsidRPr="009E34BC">
        <w:rPr>
          <w:rFonts w:ascii="Abadi" w:hAnsi="Abadi" w:cs="*Arial-6926-Identity-H"/>
          <w:color w:val="0D0C0F"/>
          <w:sz w:val="21"/>
          <w:szCs w:val="21"/>
        </w:rPr>
        <w:t>eficiente de los servicios públicos municipales, de conformidad con las</w:t>
      </w:r>
      <w:r>
        <w:rPr>
          <w:rFonts w:ascii="Abadi" w:hAnsi="Abadi" w:cs="*Arial-6926-Identity-H"/>
          <w:color w:val="0D0C0F"/>
          <w:sz w:val="21"/>
          <w:szCs w:val="21"/>
        </w:rPr>
        <w:t xml:space="preserve"> </w:t>
      </w:r>
      <w:r w:rsidRPr="009E34BC">
        <w:rPr>
          <w:rFonts w:ascii="Abadi" w:hAnsi="Abadi" w:cs="*Arial-6926-Identity-H"/>
          <w:color w:val="0D0C0F"/>
          <w:sz w:val="21"/>
          <w:szCs w:val="21"/>
        </w:rPr>
        <w:t>disposiciones aplicables. En este sentido, la dependencia de Servicios Municipales</w:t>
      </w:r>
      <w:r>
        <w:rPr>
          <w:rFonts w:ascii="Abadi" w:hAnsi="Abadi" w:cs="*Arial-6926-Identity-H"/>
          <w:color w:val="0D0C0F"/>
          <w:sz w:val="21"/>
          <w:szCs w:val="21"/>
        </w:rPr>
        <w:t xml:space="preserve"> </w:t>
      </w:r>
      <w:r w:rsidRPr="009E34BC">
        <w:rPr>
          <w:rFonts w:ascii="Abadi" w:hAnsi="Abadi" w:cs="*Arial-6926-Identity-H"/>
          <w:color w:val="0D0C0F"/>
          <w:sz w:val="21"/>
          <w:szCs w:val="21"/>
        </w:rPr>
        <w:t>será la encargada de llevar a cabo la prestación del servicio de alumbrado público</w:t>
      </w:r>
      <w:r>
        <w:rPr>
          <w:rFonts w:ascii="Abadi" w:hAnsi="Abadi" w:cs="*Arial-6926-Identity-H"/>
          <w:color w:val="0D0C0F"/>
          <w:sz w:val="21"/>
          <w:szCs w:val="21"/>
        </w:rPr>
        <w:t xml:space="preserve"> </w:t>
      </w:r>
      <w:r w:rsidRPr="009E34BC">
        <w:rPr>
          <w:rFonts w:ascii="Abadi" w:hAnsi="Abadi" w:cs="*Arial-6926-Identity-H"/>
          <w:color w:val="0D0C0F"/>
          <w:sz w:val="21"/>
          <w:szCs w:val="21"/>
        </w:rPr>
        <w:t>en el Municipio, de acuerdo a lo establecido en la fracción V del artículo 124 de la</w:t>
      </w:r>
      <w:r>
        <w:rPr>
          <w:rFonts w:ascii="Abadi" w:hAnsi="Abadi" w:cs="*Arial-6926-Identity-H"/>
          <w:color w:val="0D0C0F"/>
          <w:sz w:val="21"/>
          <w:szCs w:val="21"/>
        </w:rPr>
        <w:t xml:space="preserve"> </w:t>
      </w:r>
      <w:r w:rsidRPr="009E34BC">
        <w:rPr>
          <w:rFonts w:ascii="Abadi" w:hAnsi="Abadi" w:cs="*Arial-6926-Identity-H"/>
          <w:color w:val="0D0C0F"/>
          <w:sz w:val="21"/>
          <w:szCs w:val="21"/>
        </w:rPr>
        <w:t>citada ley.</w:t>
      </w:r>
    </w:p>
    <w:p w14:paraId="355231BF" w14:textId="77777777" w:rsidR="000939C4" w:rsidRPr="009E34BC" w:rsidRDefault="000939C4" w:rsidP="000939C4">
      <w:pPr>
        <w:autoSpaceDE w:val="0"/>
        <w:autoSpaceDN w:val="0"/>
        <w:adjustRightInd w:val="0"/>
        <w:jc w:val="both"/>
        <w:rPr>
          <w:rFonts w:ascii="Abadi" w:hAnsi="Abadi" w:cs="*Arial-6926-Identity-H"/>
          <w:color w:val="0D0C0F"/>
          <w:sz w:val="21"/>
          <w:szCs w:val="21"/>
        </w:rPr>
      </w:pPr>
    </w:p>
    <w:p w14:paraId="2D4B2C74" w14:textId="77777777" w:rsidR="000939C4" w:rsidRDefault="000939C4" w:rsidP="000939C4">
      <w:pPr>
        <w:autoSpaceDE w:val="0"/>
        <w:autoSpaceDN w:val="0"/>
        <w:adjustRightInd w:val="0"/>
        <w:ind w:firstLine="708"/>
        <w:jc w:val="both"/>
        <w:rPr>
          <w:rFonts w:ascii="Abadi" w:hAnsi="Abadi" w:cs="*Arial-Italic-6927-Identity-H"/>
          <w:i/>
          <w:iCs/>
          <w:color w:val="0C0B0E"/>
          <w:sz w:val="21"/>
          <w:szCs w:val="21"/>
        </w:rPr>
      </w:pPr>
      <w:r w:rsidRPr="009E34BC">
        <w:rPr>
          <w:rFonts w:ascii="Abadi" w:hAnsi="Abadi" w:cs="*Arial-6926-Identity-H"/>
          <w:color w:val="0C0B0E"/>
          <w:sz w:val="21"/>
          <w:szCs w:val="21"/>
        </w:rPr>
        <w:t xml:space="preserve">También la referida Ley Orgánica Municipal prevé que: </w:t>
      </w:r>
      <w:r w:rsidRPr="009E34BC">
        <w:rPr>
          <w:rFonts w:ascii="Abadi" w:hAnsi="Abadi" w:cs="*Arial-Italic-6927-Identity-H"/>
          <w:i/>
          <w:iCs/>
          <w:color w:val="0C0B0E"/>
          <w:sz w:val="21"/>
          <w:szCs w:val="21"/>
        </w:rPr>
        <w:t>«Los ayuntamientos</w:t>
      </w:r>
      <w:r>
        <w:rPr>
          <w:rFonts w:ascii="Abadi" w:hAnsi="Abadi" w:cs="*Arial-Italic-6927-Identity-H"/>
          <w:i/>
          <w:iCs/>
          <w:color w:val="0C0B0E"/>
          <w:sz w:val="21"/>
          <w:szCs w:val="21"/>
        </w:rPr>
        <w:t xml:space="preserve"> </w:t>
      </w:r>
      <w:r w:rsidRPr="009E34BC">
        <w:rPr>
          <w:rFonts w:ascii="Abadi" w:hAnsi="Abadi" w:cs="*Arial-Italic-6927-Identity-H"/>
          <w:i/>
          <w:iCs/>
          <w:color w:val="0C0B0E"/>
          <w:sz w:val="21"/>
          <w:szCs w:val="21"/>
        </w:rPr>
        <w:t>prestarán los servicios públicos, en igualdad de condiciones a todos los habitantes</w:t>
      </w:r>
      <w:r>
        <w:rPr>
          <w:rFonts w:ascii="Abadi" w:hAnsi="Abadi" w:cs="*Arial-Italic-6927-Identity-H"/>
          <w:i/>
          <w:iCs/>
          <w:color w:val="0C0B0E"/>
          <w:sz w:val="21"/>
          <w:szCs w:val="21"/>
        </w:rPr>
        <w:t xml:space="preserve"> </w:t>
      </w:r>
      <w:r w:rsidRPr="009E34BC">
        <w:rPr>
          <w:rFonts w:ascii="Abadi" w:hAnsi="Abadi" w:cs="*Arial-Italic-6927-Identity-H"/>
          <w:i/>
          <w:iCs/>
          <w:color w:val="0C0B0E"/>
          <w:sz w:val="21"/>
          <w:szCs w:val="21"/>
        </w:rPr>
        <w:t>del municipio, en forma permanente, general, uniforme, continua y de acuerdo con</w:t>
      </w:r>
      <w:r>
        <w:rPr>
          <w:rFonts w:ascii="Abadi" w:hAnsi="Abadi" w:cs="*Arial-Italic-6927-Identity-H"/>
          <w:i/>
          <w:iCs/>
          <w:color w:val="0C0B0E"/>
          <w:sz w:val="21"/>
          <w:szCs w:val="21"/>
        </w:rPr>
        <w:t xml:space="preserve"> </w:t>
      </w:r>
      <w:r w:rsidRPr="009E34BC">
        <w:rPr>
          <w:rFonts w:ascii="Abadi" w:hAnsi="Abadi" w:cs="*Arial-Italic-6927-Identity-H"/>
          <w:i/>
          <w:iCs/>
          <w:color w:val="0C0B0E"/>
          <w:sz w:val="21"/>
          <w:szCs w:val="21"/>
        </w:rPr>
        <w:t>el Programa de Gobierno Municipal».</w:t>
      </w:r>
    </w:p>
    <w:p w14:paraId="37F51D3B" w14:textId="77777777" w:rsidR="000939C4" w:rsidRPr="009E34BC" w:rsidRDefault="000939C4" w:rsidP="000939C4">
      <w:pPr>
        <w:autoSpaceDE w:val="0"/>
        <w:autoSpaceDN w:val="0"/>
        <w:adjustRightInd w:val="0"/>
        <w:jc w:val="both"/>
        <w:rPr>
          <w:rFonts w:ascii="Abadi" w:hAnsi="Abadi" w:cs="*Arial-Italic-6927-Identity-H"/>
          <w:i/>
          <w:iCs/>
          <w:color w:val="0C0B0E"/>
          <w:sz w:val="21"/>
          <w:szCs w:val="21"/>
        </w:rPr>
      </w:pPr>
    </w:p>
    <w:p w14:paraId="516F3806" w14:textId="77777777" w:rsidR="000939C4" w:rsidRDefault="000939C4" w:rsidP="000939C4">
      <w:pPr>
        <w:autoSpaceDE w:val="0"/>
        <w:autoSpaceDN w:val="0"/>
        <w:adjustRightInd w:val="0"/>
        <w:ind w:firstLine="708"/>
        <w:jc w:val="both"/>
        <w:rPr>
          <w:rFonts w:ascii="Abadi" w:hAnsi="Abadi" w:cs="*Arial-6926-Identity-H"/>
          <w:color w:val="0C0D0F"/>
          <w:sz w:val="21"/>
          <w:szCs w:val="21"/>
        </w:rPr>
      </w:pPr>
      <w:r w:rsidRPr="009E34BC">
        <w:rPr>
          <w:rFonts w:ascii="Abadi" w:hAnsi="Abadi" w:cs="*Arial-6926-Identity-H"/>
          <w:color w:val="0C0D0F"/>
          <w:sz w:val="21"/>
          <w:szCs w:val="21"/>
        </w:rPr>
        <w:t xml:space="preserve">En el Capítulo denominado </w:t>
      </w:r>
      <w:r w:rsidRPr="009E34BC">
        <w:rPr>
          <w:rFonts w:ascii="Abadi" w:hAnsi="Abadi" w:cs="*Arial-Italic-6927-Identity-H"/>
          <w:i/>
          <w:iCs/>
          <w:color w:val="0C0D0F"/>
          <w:sz w:val="21"/>
          <w:szCs w:val="21"/>
        </w:rPr>
        <w:t xml:space="preserve">«De los Servicios Públicos Municipales» </w:t>
      </w:r>
      <w:r w:rsidRPr="009E34BC">
        <w:rPr>
          <w:rFonts w:ascii="Abadi" w:hAnsi="Abadi" w:cs="*Arial-6926-Identity-H"/>
          <w:color w:val="0C0D0F"/>
          <w:sz w:val="21"/>
          <w:szCs w:val="21"/>
        </w:rPr>
        <w:t>se</w:t>
      </w:r>
      <w:r>
        <w:rPr>
          <w:rFonts w:ascii="Abadi" w:hAnsi="Abadi" w:cs="*Arial-6926-Identity-H"/>
          <w:color w:val="0C0D0F"/>
          <w:sz w:val="21"/>
          <w:szCs w:val="21"/>
        </w:rPr>
        <w:t xml:space="preserve"> </w:t>
      </w:r>
      <w:r w:rsidRPr="009E34BC">
        <w:rPr>
          <w:rFonts w:ascii="Abadi" w:hAnsi="Abadi" w:cs="*Arial-6926-Identity-H"/>
          <w:color w:val="0C0D0F"/>
          <w:sz w:val="21"/>
          <w:szCs w:val="21"/>
        </w:rPr>
        <w:t>refiere que en el presupuesto de egresos deben preverse los recursos materiales y</w:t>
      </w:r>
      <w:r>
        <w:rPr>
          <w:rFonts w:ascii="Abadi" w:hAnsi="Abadi" w:cs="*Arial-6926-Identity-H"/>
          <w:color w:val="0C0D0F"/>
          <w:sz w:val="21"/>
          <w:szCs w:val="21"/>
        </w:rPr>
        <w:t xml:space="preserve"> </w:t>
      </w:r>
      <w:r w:rsidRPr="009E34BC">
        <w:rPr>
          <w:rFonts w:ascii="Abadi" w:hAnsi="Abadi" w:cs="*Arial-6926-Identity-H"/>
          <w:color w:val="0C0D0F"/>
          <w:sz w:val="21"/>
          <w:szCs w:val="21"/>
        </w:rPr>
        <w:t>humanos, necesarios y suficientes, para la prestación eficiente y oportuna de los</w:t>
      </w:r>
      <w:r>
        <w:rPr>
          <w:rFonts w:ascii="Abadi" w:hAnsi="Abadi" w:cs="*Arial-6926-Identity-H"/>
          <w:color w:val="0C0D0F"/>
          <w:sz w:val="21"/>
          <w:szCs w:val="21"/>
        </w:rPr>
        <w:t xml:space="preserve"> </w:t>
      </w:r>
      <w:r w:rsidRPr="009E34BC">
        <w:rPr>
          <w:rFonts w:ascii="Abadi" w:hAnsi="Abadi" w:cs="*Arial-6926-Identity-H"/>
          <w:color w:val="0C0D0F"/>
          <w:sz w:val="21"/>
          <w:szCs w:val="21"/>
        </w:rPr>
        <w:t>servicios públicos; asimismo, se consigna la obligatoriedad del Ayuntamiento de</w:t>
      </w:r>
      <w:r>
        <w:rPr>
          <w:rFonts w:ascii="Abadi" w:hAnsi="Abadi" w:cs="*Arial-6926-Identity-H"/>
          <w:color w:val="0C0D0F"/>
          <w:sz w:val="21"/>
          <w:szCs w:val="21"/>
        </w:rPr>
        <w:t xml:space="preserve"> </w:t>
      </w:r>
      <w:r w:rsidRPr="009E34BC">
        <w:rPr>
          <w:rFonts w:ascii="Abadi" w:hAnsi="Abadi" w:cs="*Arial-6926-Identity-H"/>
          <w:color w:val="0C0D0F"/>
          <w:sz w:val="21"/>
          <w:szCs w:val="21"/>
        </w:rPr>
        <w:t>otorgar el servicio de alumbrado público, señalando que podrá otorgarlo de</w:t>
      </w:r>
      <w:r>
        <w:rPr>
          <w:rFonts w:ascii="Abadi" w:hAnsi="Abadi" w:cs="*Arial-6926-Identity-H"/>
          <w:color w:val="0C0D0F"/>
          <w:sz w:val="21"/>
          <w:szCs w:val="21"/>
        </w:rPr>
        <w:t xml:space="preserve"> </w:t>
      </w:r>
      <w:r w:rsidRPr="009E34BC">
        <w:rPr>
          <w:rFonts w:ascii="Abadi" w:hAnsi="Abadi" w:cs="*Arial-6926-Identity-H"/>
          <w:color w:val="0C0D0F"/>
          <w:sz w:val="21"/>
          <w:szCs w:val="21"/>
        </w:rPr>
        <w:t>manera directa a través de sus propias dependencias, o bien por un medio</w:t>
      </w:r>
      <w:r>
        <w:rPr>
          <w:rFonts w:ascii="Abadi" w:hAnsi="Abadi" w:cs="*Arial-6926-Identity-H"/>
          <w:color w:val="0C0D0F"/>
          <w:sz w:val="21"/>
          <w:szCs w:val="21"/>
        </w:rPr>
        <w:t xml:space="preserve"> </w:t>
      </w:r>
      <w:r w:rsidRPr="009E34BC">
        <w:rPr>
          <w:rFonts w:ascii="Abadi" w:hAnsi="Abadi" w:cs="*Arial-6926-Identity-H"/>
          <w:color w:val="0C0D0F"/>
          <w:sz w:val="21"/>
          <w:szCs w:val="21"/>
        </w:rPr>
        <w:t>indirecto.</w:t>
      </w:r>
    </w:p>
    <w:p w14:paraId="32C524FC" w14:textId="77777777" w:rsidR="000939C4" w:rsidRPr="009E34BC" w:rsidRDefault="000939C4" w:rsidP="000939C4">
      <w:pPr>
        <w:autoSpaceDE w:val="0"/>
        <w:autoSpaceDN w:val="0"/>
        <w:adjustRightInd w:val="0"/>
        <w:jc w:val="both"/>
        <w:rPr>
          <w:rFonts w:ascii="Abadi" w:hAnsi="Abadi" w:cs="*Arial-6926-Identity-H"/>
          <w:color w:val="0C0D0F"/>
          <w:sz w:val="21"/>
          <w:szCs w:val="21"/>
        </w:rPr>
      </w:pPr>
    </w:p>
    <w:p w14:paraId="5028931D" w14:textId="77777777" w:rsidR="000939C4" w:rsidRPr="009E34BC" w:rsidRDefault="000939C4" w:rsidP="000939C4">
      <w:pPr>
        <w:autoSpaceDE w:val="0"/>
        <w:autoSpaceDN w:val="0"/>
        <w:adjustRightInd w:val="0"/>
        <w:ind w:firstLine="708"/>
        <w:jc w:val="both"/>
        <w:rPr>
          <w:rFonts w:ascii="Abadi" w:hAnsi="Abadi" w:cs="*Arial-6926-Identity-H"/>
          <w:color w:val="0B0B0D"/>
          <w:sz w:val="21"/>
          <w:szCs w:val="21"/>
        </w:rPr>
      </w:pPr>
      <w:r w:rsidRPr="009E34BC">
        <w:rPr>
          <w:rFonts w:ascii="Abadi" w:hAnsi="Abadi" w:cs="*Arial-6926-Identity-H"/>
          <w:color w:val="0B0B0D"/>
          <w:sz w:val="21"/>
          <w:szCs w:val="21"/>
        </w:rPr>
        <w:t>De conformidad con el artículo 169 de la referida Ley Orgánica Municipal, la</w:t>
      </w:r>
      <w:r>
        <w:rPr>
          <w:rFonts w:ascii="Abadi" w:hAnsi="Abadi" w:cs="*Arial-6926-Identity-H"/>
          <w:color w:val="0B0B0D"/>
          <w:sz w:val="21"/>
          <w:szCs w:val="21"/>
        </w:rPr>
        <w:t xml:space="preserve"> </w:t>
      </w:r>
      <w:r w:rsidRPr="009E34BC">
        <w:rPr>
          <w:rFonts w:ascii="Abadi" w:hAnsi="Abadi" w:cs="*Arial-6926-Identity-H"/>
          <w:color w:val="0B0B0D"/>
          <w:sz w:val="21"/>
          <w:szCs w:val="21"/>
        </w:rPr>
        <w:t>prestación de los servicios públicos municipales será supervisada por la comisión</w:t>
      </w:r>
      <w:r>
        <w:rPr>
          <w:rFonts w:ascii="Abadi" w:hAnsi="Abadi" w:cs="*Arial-6926-Identity-H"/>
          <w:color w:val="0B0B0D"/>
          <w:sz w:val="21"/>
          <w:szCs w:val="21"/>
        </w:rPr>
        <w:t xml:space="preserve"> </w:t>
      </w:r>
      <w:r w:rsidRPr="009E34BC">
        <w:rPr>
          <w:rFonts w:ascii="Abadi" w:hAnsi="Abadi" w:cs="*Arial-6926-Identity-H"/>
          <w:color w:val="0B0B0D"/>
          <w:sz w:val="21"/>
          <w:szCs w:val="21"/>
        </w:rPr>
        <w:t>correspondiente del Ayuntamiento y auditada por la Contraloría Municipal.</w:t>
      </w:r>
    </w:p>
    <w:p w14:paraId="3FA0A8E2" w14:textId="77777777" w:rsidR="000939C4" w:rsidRPr="009E34BC" w:rsidRDefault="000939C4" w:rsidP="000939C4">
      <w:pPr>
        <w:jc w:val="both"/>
        <w:rPr>
          <w:rFonts w:ascii="Abadi" w:hAnsi="Abadi" w:cs="*Arial-6926-Identity-H"/>
          <w:color w:val="0B0B0D"/>
          <w:sz w:val="21"/>
          <w:szCs w:val="21"/>
        </w:rPr>
      </w:pPr>
    </w:p>
    <w:p w14:paraId="117BCEC8" w14:textId="77777777" w:rsidR="000939C4" w:rsidRDefault="000939C4" w:rsidP="000939C4">
      <w:pPr>
        <w:autoSpaceDE w:val="0"/>
        <w:autoSpaceDN w:val="0"/>
        <w:adjustRightInd w:val="0"/>
        <w:ind w:firstLine="708"/>
        <w:jc w:val="both"/>
        <w:rPr>
          <w:rFonts w:ascii="Abadi" w:hAnsi="Abadi" w:cs="*Arial-6838-Identity-H"/>
          <w:color w:val="0B0B0E"/>
          <w:sz w:val="21"/>
          <w:szCs w:val="21"/>
        </w:rPr>
      </w:pPr>
      <w:r w:rsidRPr="009E34BC">
        <w:rPr>
          <w:rFonts w:ascii="Abadi" w:hAnsi="Abadi" w:cs="*Arial-6838-Identity-H"/>
          <w:color w:val="0B0B0E"/>
          <w:sz w:val="21"/>
          <w:szCs w:val="21"/>
        </w:rPr>
        <w:t>Es así que, se desprende la intervención estratégica del Ayuntamiento y de</w:t>
      </w:r>
      <w:r>
        <w:rPr>
          <w:rFonts w:ascii="Abadi" w:hAnsi="Abadi" w:cs="*Arial-6838-Identity-H"/>
          <w:color w:val="0B0B0E"/>
          <w:sz w:val="21"/>
          <w:szCs w:val="21"/>
        </w:rPr>
        <w:t xml:space="preserve"> </w:t>
      </w:r>
      <w:r w:rsidRPr="009E34BC">
        <w:rPr>
          <w:rFonts w:ascii="Abadi" w:hAnsi="Abadi" w:cs="*Arial-6838-Identity-H"/>
          <w:color w:val="0B0B0E"/>
          <w:sz w:val="21"/>
          <w:szCs w:val="21"/>
        </w:rPr>
        <w:t>la Dirección de Servicios Públicos Municipales para otorgar la prestación del</w:t>
      </w:r>
      <w:r>
        <w:rPr>
          <w:rFonts w:ascii="Abadi" w:hAnsi="Abadi" w:cs="*Arial-6838-Identity-H"/>
          <w:color w:val="0B0B0E"/>
          <w:sz w:val="21"/>
          <w:szCs w:val="21"/>
        </w:rPr>
        <w:t xml:space="preserve"> </w:t>
      </w:r>
      <w:r w:rsidRPr="009E34BC">
        <w:rPr>
          <w:rFonts w:ascii="Abadi" w:hAnsi="Abadi" w:cs="*Arial-6838-Identity-H"/>
          <w:color w:val="0B0B0E"/>
          <w:sz w:val="21"/>
          <w:szCs w:val="21"/>
        </w:rPr>
        <w:t>servicio de alumbrado público a los habitantes del Municipio, a través del</w:t>
      </w:r>
      <w:r>
        <w:rPr>
          <w:rFonts w:ascii="Abadi" w:hAnsi="Abadi" w:cs="*Arial-6838-Identity-H"/>
          <w:color w:val="0B0B0E"/>
          <w:sz w:val="21"/>
          <w:szCs w:val="21"/>
        </w:rPr>
        <w:t xml:space="preserve"> </w:t>
      </w:r>
      <w:r w:rsidRPr="009E34BC">
        <w:rPr>
          <w:rFonts w:ascii="Abadi" w:hAnsi="Abadi" w:cs="*Arial-6838-Identity-H"/>
          <w:color w:val="0B0B0E"/>
          <w:sz w:val="21"/>
          <w:szCs w:val="21"/>
        </w:rPr>
        <w:t>conocimiento de la situación de oferta del servicio, de su presupuestación, de un</w:t>
      </w:r>
      <w:r>
        <w:rPr>
          <w:rFonts w:ascii="Abadi" w:hAnsi="Abadi" w:cs="*Arial-6838-Identity-H"/>
          <w:color w:val="0B0B0E"/>
          <w:sz w:val="21"/>
          <w:szCs w:val="21"/>
        </w:rPr>
        <w:t xml:space="preserve"> </w:t>
      </w:r>
      <w:r w:rsidRPr="009E34BC">
        <w:rPr>
          <w:rFonts w:ascii="Abadi" w:hAnsi="Abadi" w:cs="*Arial-6838-Identity-H"/>
          <w:color w:val="0B0B0E"/>
          <w:sz w:val="21"/>
          <w:szCs w:val="21"/>
        </w:rPr>
        <w:t>marco normativo de operación, de una debida planeación a corto plazo, de la</w:t>
      </w:r>
      <w:r>
        <w:rPr>
          <w:rFonts w:ascii="Abadi" w:hAnsi="Abadi" w:cs="*Arial-6838-Identity-H"/>
          <w:color w:val="0B0B0E"/>
          <w:sz w:val="21"/>
          <w:szCs w:val="21"/>
        </w:rPr>
        <w:t xml:space="preserve">  </w:t>
      </w:r>
      <w:r w:rsidRPr="009E34BC">
        <w:rPr>
          <w:rFonts w:ascii="Abadi" w:hAnsi="Abadi" w:cs="*Arial-6838-Identity-H"/>
          <w:color w:val="0B0B0E"/>
          <w:sz w:val="21"/>
          <w:szCs w:val="21"/>
        </w:rPr>
        <w:t>participación ciudadana en el reporte de fallas del servicio, así como de los</w:t>
      </w:r>
      <w:r>
        <w:rPr>
          <w:rFonts w:ascii="Abadi" w:hAnsi="Abadi" w:cs="*Arial-6838-Identity-H"/>
          <w:color w:val="0B0B0E"/>
          <w:sz w:val="21"/>
          <w:szCs w:val="21"/>
        </w:rPr>
        <w:t xml:space="preserve"> </w:t>
      </w:r>
      <w:r w:rsidRPr="009E34BC">
        <w:rPr>
          <w:rFonts w:ascii="Abadi" w:hAnsi="Abadi" w:cs="*Arial-6838-Identity-H"/>
          <w:color w:val="0B0B0E"/>
          <w:sz w:val="21"/>
          <w:szCs w:val="21"/>
        </w:rPr>
        <w:t>mecanismos de monitoreo y evaluación para el logro de resultados. Lo anterior,</w:t>
      </w:r>
      <w:r>
        <w:rPr>
          <w:rFonts w:ascii="Abadi" w:hAnsi="Abadi" w:cs="*Arial-6838-Identity-H"/>
          <w:color w:val="0B0B0E"/>
          <w:sz w:val="21"/>
          <w:szCs w:val="21"/>
        </w:rPr>
        <w:t xml:space="preserve"> </w:t>
      </w:r>
      <w:r w:rsidRPr="009E34BC">
        <w:rPr>
          <w:rFonts w:ascii="Abadi" w:hAnsi="Abadi" w:cs="*Arial-6838-Identity-H"/>
          <w:color w:val="0B0B0E"/>
          <w:sz w:val="21"/>
          <w:szCs w:val="21"/>
        </w:rPr>
        <w:t>con el objetivo de otorgar un servicio público eficaz en el mantenimiento, cobertura</w:t>
      </w:r>
      <w:r>
        <w:rPr>
          <w:rFonts w:ascii="Abadi" w:hAnsi="Abadi" w:cs="*Arial-6838-Identity-H"/>
          <w:color w:val="0B0B0E"/>
          <w:sz w:val="21"/>
          <w:szCs w:val="21"/>
        </w:rPr>
        <w:t xml:space="preserve"> </w:t>
      </w:r>
      <w:r w:rsidRPr="009E34BC">
        <w:rPr>
          <w:rFonts w:ascii="Abadi" w:hAnsi="Abadi" w:cs="*Arial-6838-Identity-H"/>
          <w:color w:val="0B0B0E"/>
          <w:sz w:val="21"/>
          <w:szCs w:val="21"/>
        </w:rPr>
        <w:t>y satisfacción del servicio.</w:t>
      </w:r>
    </w:p>
    <w:p w14:paraId="55B8789D" w14:textId="77777777" w:rsidR="000939C4" w:rsidRPr="009E34BC" w:rsidRDefault="000939C4" w:rsidP="000939C4">
      <w:pPr>
        <w:autoSpaceDE w:val="0"/>
        <w:autoSpaceDN w:val="0"/>
        <w:adjustRightInd w:val="0"/>
        <w:jc w:val="both"/>
        <w:rPr>
          <w:rFonts w:ascii="Abadi" w:hAnsi="Abadi" w:cs="*Arial-6838-Identity-H"/>
          <w:color w:val="0B0B0E"/>
          <w:sz w:val="21"/>
          <w:szCs w:val="21"/>
        </w:rPr>
      </w:pPr>
    </w:p>
    <w:p w14:paraId="20F81473" w14:textId="77777777" w:rsidR="000939C4" w:rsidRDefault="000939C4" w:rsidP="000939C4">
      <w:pPr>
        <w:autoSpaceDE w:val="0"/>
        <w:autoSpaceDN w:val="0"/>
        <w:adjustRightInd w:val="0"/>
        <w:ind w:firstLine="708"/>
        <w:jc w:val="both"/>
        <w:rPr>
          <w:rFonts w:ascii="Abadi" w:hAnsi="Abadi" w:cs="*Arial-6838-Identity-H"/>
          <w:color w:val="0C0B0E"/>
          <w:sz w:val="21"/>
          <w:szCs w:val="21"/>
        </w:rPr>
      </w:pPr>
      <w:r w:rsidRPr="009E34BC">
        <w:rPr>
          <w:rFonts w:ascii="Abadi" w:hAnsi="Abadi" w:cs="*Arial-6838-Identity-H"/>
          <w:color w:val="0C0B0E"/>
          <w:sz w:val="21"/>
          <w:szCs w:val="21"/>
        </w:rPr>
        <w:t>En congruencia con lo antes señalado, se planteó como objetivo general de</w:t>
      </w:r>
      <w:r>
        <w:rPr>
          <w:rFonts w:ascii="Abadi" w:hAnsi="Abadi" w:cs="*Arial-6838-Identity-H"/>
          <w:color w:val="0C0B0E"/>
          <w:sz w:val="21"/>
          <w:szCs w:val="21"/>
        </w:rPr>
        <w:t xml:space="preserve"> </w:t>
      </w:r>
      <w:r w:rsidRPr="009E34BC">
        <w:rPr>
          <w:rFonts w:ascii="Abadi" w:hAnsi="Abadi" w:cs="*Arial-6838-Identity-H"/>
          <w:color w:val="0C0B0E"/>
          <w:sz w:val="21"/>
          <w:szCs w:val="21"/>
        </w:rPr>
        <w:t>la auditoria el de verificar la capacidad del Municipio para la prestación eficaz del</w:t>
      </w:r>
      <w:r>
        <w:rPr>
          <w:rFonts w:ascii="Abadi" w:hAnsi="Abadi" w:cs="*Arial-6838-Identity-H"/>
          <w:color w:val="0C0B0E"/>
          <w:sz w:val="21"/>
          <w:szCs w:val="21"/>
        </w:rPr>
        <w:t xml:space="preserve"> </w:t>
      </w:r>
      <w:r w:rsidRPr="009E34BC">
        <w:rPr>
          <w:rFonts w:ascii="Abadi" w:hAnsi="Abadi" w:cs="*Arial-6838-Identity-H"/>
          <w:color w:val="0C0B0E"/>
          <w:sz w:val="21"/>
          <w:szCs w:val="21"/>
        </w:rPr>
        <w:t>servicio de alumbrado público y la eficiencia en sus funciones de planificación,</w:t>
      </w:r>
      <w:r>
        <w:rPr>
          <w:rFonts w:ascii="Abadi" w:hAnsi="Abadi" w:cs="*Arial-6838-Identity-H"/>
          <w:color w:val="0C0B0E"/>
          <w:sz w:val="21"/>
          <w:szCs w:val="21"/>
        </w:rPr>
        <w:t xml:space="preserve"> </w:t>
      </w:r>
      <w:r w:rsidRPr="009E34BC">
        <w:rPr>
          <w:rFonts w:ascii="Abadi" w:hAnsi="Abadi" w:cs="*Arial-6838-Identity-H"/>
          <w:color w:val="0C0B0E"/>
          <w:sz w:val="21"/>
          <w:szCs w:val="21"/>
        </w:rPr>
        <w:t>operación y seguimiento en el ejercicio 2020.</w:t>
      </w:r>
    </w:p>
    <w:p w14:paraId="68354B74" w14:textId="77777777" w:rsidR="000939C4" w:rsidRPr="009E34BC" w:rsidRDefault="000939C4" w:rsidP="000939C4">
      <w:pPr>
        <w:autoSpaceDE w:val="0"/>
        <w:autoSpaceDN w:val="0"/>
        <w:adjustRightInd w:val="0"/>
        <w:jc w:val="both"/>
        <w:rPr>
          <w:rFonts w:ascii="Abadi" w:hAnsi="Abadi" w:cs="*Arial-6838-Identity-H"/>
          <w:color w:val="0C0B0E"/>
          <w:sz w:val="21"/>
          <w:szCs w:val="21"/>
        </w:rPr>
      </w:pPr>
    </w:p>
    <w:p w14:paraId="5F9C8C83" w14:textId="77777777" w:rsidR="000939C4" w:rsidRDefault="000939C4" w:rsidP="000939C4">
      <w:pPr>
        <w:autoSpaceDE w:val="0"/>
        <w:autoSpaceDN w:val="0"/>
        <w:adjustRightInd w:val="0"/>
        <w:ind w:firstLine="708"/>
        <w:jc w:val="both"/>
        <w:rPr>
          <w:rFonts w:ascii="Abadi" w:hAnsi="Abadi" w:cs="*Arial-6838-Identity-H"/>
          <w:color w:val="0C0C0F"/>
          <w:sz w:val="21"/>
          <w:szCs w:val="21"/>
        </w:rPr>
      </w:pPr>
      <w:r w:rsidRPr="009E34BC">
        <w:rPr>
          <w:rFonts w:ascii="Abadi" w:hAnsi="Abadi" w:cs="*Arial-6838-Identity-H"/>
          <w:color w:val="0C0C0F"/>
          <w:sz w:val="21"/>
          <w:szCs w:val="21"/>
        </w:rPr>
        <w:t>En el apartado correspondiente a la unidad responsable de la materia por</w:t>
      </w:r>
      <w:r>
        <w:rPr>
          <w:rFonts w:ascii="Abadi" w:hAnsi="Abadi" w:cs="*Arial-6838-Identity-H"/>
          <w:color w:val="0C0C0F"/>
          <w:sz w:val="21"/>
          <w:szCs w:val="21"/>
        </w:rPr>
        <w:t xml:space="preserve"> </w:t>
      </w:r>
      <w:r w:rsidRPr="009E34BC">
        <w:rPr>
          <w:rFonts w:ascii="Abadi" w:hAnsi="Abadi" w:cs="*Arial-6838-Identity-H"/>
          <w:color w:val="0C0C0F"/>
          <w:sz w:val="21"/>
          <w:szCs w:val="21"/>
        </w:rPr>
        <w:t>auditar se refiere que el artículo 124 de la Ley Orgánica Municipal para el Estado</w:t>
      </w:r>
      <w:r>
        <w:rPr>
          <w:rFonts w:ascii="Abadi" w:hAnsi="Abadi" w:cs="*Arial-6838-Identity-H"/>
          <w:color w:val="0C0C0F"/>
          <w:sz w:val="21"/>
          <w:szCs w:val="21"/>
        </w:rPr>
        <w:t xml:space="preserve"> </w:t>
      </w:r>
      <w:r w:rsidRPr="009E34BC">
        <w:rPr>
          <w:rFonts w:ascii="Abadi" w:hAnsi="Abadi" w:cs="*Arial-6838-Identity-H"/>
          <w:color w:val="0C0C0F"/>
          <w:sz w:val="21"/>
          <w:szCs w:val="21"/>
        </w:rPr>
        <w:t>de Guanajuato prevé que la dependencia de Servicios Municipales será la</w:t>
      </w:r>
      <w:r>
        <w:rPr>
          <w:rFonts w:ascii="Abadi" w:hAnsi="Abadi" w:cs="*Arial-6838-Identity-H"/>
          <w:color w:val="0C0C0F"/>
          <w:sz w:val="21"/>
          <w:szCs w:val="21"/>
        </w:rPr>
        <w:t xml:space="preserve"> </w:t>
      </w:r>
      <w:r w:rsidRPr="009E34BC">
        <w:rPr>
          <w:rFonts w:ascii="Abadi" w:hAnsi="Abadi" w:cs="*Arial-6838-Identity-H"/>
          <w:color w:val="0C0C0F"/>
          <w:sz w:val="21"/>
          <w:szCs w:val="21"/>
        </w:rPr>
        <w:t>encargada de llevar a cabo la prestación del servicio de alumbrado público en el</w:t>
      </w:r>
      <w:r>
        <w:rPr>
          <w:rFonts w:ascii="Abadi" w:hAnsi="Abadi" w:cs="*Arial-6838-Identity-H"/>
          <w:color w:val="0C0C0F"/>
          <w:sz w:val="21"/>
          <w:szCs w:val="21"/>
        </w:rPr>
        <w:t xml:space="preserve"> </w:t>
      </w:r>
      <w:r w:rsidRPr="009E34BC">
        <w:rPr>
          <w:rFonts w:ascii="Abadi" w:hAnsi="Abadi" w:cs="*Arial-6838-Identity-H"/>
          <w:color w:val="0C0C0F"/>
          <w:sz w:val="21"/>
          <w:szCs w:val="21"/>
        </w:rPr>
        <w:t>Municipio. Asimismo, los artículos 83 y 83-3 de la citada ley establecen que, el</w:t>
      </w:r>
      <w:r>
        <w:rPr>
          <w:rFonts w:ascii="Abadi" w:hAnsi="Abadi" w:cs="*Arial-6838-Identity-H"/>
          <w:color w:val="0C0C0F"/>
          <w:sz w:val="21"/>
          <w:szCs w:val="21"/>
        </w:rPr>
        <w:t xml:space="preserve"> </w:t>
      </w:r>
      <w:r w:rsidRPr="009E34BC">
        <w:rPr>
          <w:rFonts w:ascii="Abadi" w:hAnsi="Abadi" w:cs="*Arial-6838-Identity-H"/>
          <w:color w:val="0C0C0F"/>
          <w:sz w:val="21"/>
          <w:szCs w:val="21"/>
        </w:rPr>
        <w:t>Ayuntamiento contará con una Comisión de Obra y Servicios Públicos, la que</w:t>
      </w:r>
      <w:r>
        <w:rPr>
          <w:rFonts w:ascii="Abadi" w:hAnsi="Abadi" w:cs="*Arial-6838-Identity-H"/>
          <w:color w:val="0C0C0F"/>
          <w:sz w:val="21"/>
          <w:szCs w:val="21"/>
        </w:rPr>
        <w:t xml:space="preserve"> </w:t>
      </w:r>
      <w:r w:rsidRPr="009E34BC">
        <w:rPr>
          <w:rFonts w:ascii="Abadi" w:hAnsi="Abadi" w:cs="*Arial-6838-Identity-H"/>
          <w:color w:val="0C0C0F"/>
          <w:sz w:val="21"/>
          <w:szCs w:val="21"/>
        </w:rPr>
        <w:t>tendrá dentro de sus atribuciones la de promover la prestación puntual, oportuna y</w:t>
      </w:r>
      <w:r>
        <w:rPr>
          <w:rFonts w:ascii="Abadi" w:hAnsi="Abadi" w:cs="*Arial-6838-Identity-H"/>
          <w:color w:val="0C0C0F"/>
          <w:sz w:val="21"/>
          <w:szCs w:val="21"/>
        </w:rPr>
        <w:t xml:space="preserve"> </w:t>
      </w:r>
      <w:r w:rsidRPr="009E34BC">
        <w:rPr>
          <w:rFonts w:ascii="Abadi" w:hAnsi="Abadi" w:cs="*Arial-6838-Identity-H"/>
          <w:color w:val="0C0C0F"/>
          <w:sz w:val="21"/>
          <w:szCs w:val="21"/>
        </w:rPr>
        <w:t>eficiente de los servicios públicos municipales, de conformidad con las</w:t>
      </w:r>
      <w:r>
        <w:rPr>
          <w:rFonts w:ascii="Abadi" w:hAnsi="Abadi" w:cs="*Arial-6838-Identity-H"/>
          <w:color w:val="0C0C0F"/>
          <w:sz w:val="21"/>
          <w:szCs w:val="21"/>
        </w:rPr>
        <w:t xml:space="preserve"> </w:t>
      </w:r>
      <w:r w:rsidRPr="009E34BC">
        <w:rPr>
          <w:rFonts w:ascii="Abadi" w:hAnsi="Abadi" w:cs="*Arial-6838-Identity-H"/>
          <w:color w:val="0C0C0F"/>
          <w:sz w:val="21"/>
          <w:szCs w:val="21"/>
        </w:rPr>
        <w:t>disposiciones aplicables.</w:t>
      </w:r>
    </w:p>
    <w:p w14:paraId="13C76299" w14:textId="77777777" w:rsidR="000939C4" w:rsidRPr="009E34BC" w:rsidRDefault="000939C4" w:rsidP="000939C4">
      <w:pPr>
        <w:autoSpaceDE w:val="0"/>
        <w:autoSpaceDN w:val="0"/>
        <w:adjustRightInd w:val="0"/>
        <w:jc w:val="both"/>
        <w:rPr>
          <w:rFonts w:ascii="Abadi" w:hAnsi="Abadi" w:cs="*Arial-6838-Identity-H"/>
          <w:color w:val="0C0C0F"/>
          <w:sz w:val="21"/>
          <w:szCs w:val="21"/>
        </w:rPr>
      </w:pPr>
    </w:p>
    <w:p w14:paraId="631E355D" w14:textId="77777777" w:rsidR="000939C4" w:rsidRDefault="000939C4" w:rsidP="000939C4">
      <w:pPr>
        <w:autoSpaceDE w:val="0"/>
        <w:autoSpaceDN w:val="0"/>
        <w:adjustRightInd w:val="0"/>
        <w:ind w:firstLine="708"/>
        <w:jc w:val="both"/>
        <w:rPr>
          <w:rFonts w:ascii="Abadi" w:hAnsi="Abadi" w:cs="*Arial-6838-Identity-H"/>
          <w:color w:val="0B0B0E"/>
          <w:sz w:val="21"/>
          <w:szCs w:val="21"/>
        </w:rPr>
      </w:pPr>
      <w:r w:rsidRPr="009E34BC">
        <w:rPr>
          <w:rFonts w:ascii="Abadi" w:hAnsi="Abadi" w:cs="*Arial-6838-Identity-H"/>
          <w:color w:val="0B0B0E"/>
          <w:sz w:val="21"/>
          <w:szCs w:val="21"/>
        </w:rPr>
        <w:t>Es así que, para el ejercicio 2020, la unidad responsable de otorgar el</w:t>
      </w:r>
      <w:r>
        <w:rPr>
          <w:rFonts w:ascii="Abadi" w:hAnsi="Abadi" w:cs="*Arial-6838-Identity-H"/>
          <w:color w:val="0B0B0E"/>
          <w:sz w:val="21"/>
          <w:szCs w:val="21"/>
        </w:rPr>
        <w:t xml:space="preserve"> </w:t>
      </w:r>
      <w:r w:rsidRPr="009E34BC">
        <w:rPr>
          <w:rFonts w:ascii="Abadi" w:hAnsi="Abadi" w:cs="*Arial-6838-Identity-H"/>
          <w:color w:val="0B0B0E"/>
          <w:sz w:val="21"/>
          <w:szCs w:val="21"/>
        </w:rPr>
        <w:t xml:space="preserve">servicio de alumbrado público en el municipio de Coroneo, </w:t>
      </w:r>
      <w:proofErr w:type="spellStart"/>
      <w:r w:rsidRPr="009E34BC">
        <w:rPr>
          <w:rFonts w:ascii="Abadi" w:hAnsi="Abadi" w:cs="*Arial-6838-Identity-H"/>
          <w:color w:val="0B0B0E"/>
          <w:sz w:val="21"/>
          <w:szCs w:val="21"/>
        </w:rPr>
        <w:t>Gto</w:t>
      </w:r>
      <w:proofErr w:type="spellEnd"/>
      <w:r w:rsidRPr="009E34BC">
        <w:rPr>
          <w:rFonts w:ascii="Abadi" w:hAnsi="Abadi" w:cs="*Arial-6838-Identity-H"/>
          <w:color w:val="0B0B0E"/>
          <w:sz w:val="21"/>
          <w:szCs w:val="21"/>
        </w:rPr>
        <w:t>., fue la Dirección</w:t>
      </w:r>
      <w:r>
        <w:rPr>
          <w:rFonts w:ascii="Abadi" w:hAnsi="Abadi" w:cs="*Arial-6838-Identity-H"/>
          <w:color w:val="0B0B0E"/>
          <w:sz w:val="21"/>
          <w:szCs w:val="21"/>
        </w:rPr>
        <w:t xml:space="preserve"> </w:t>
      </w:r>
      <w:r w:rsidRPr="009E34BC">
        <w:rPr>
          <w:rFonts w:ascii="Abadi" w:hAnsi="Abadi" w:cs="*Arial-6838-Identity-H"/>
          <w:color w:val="0B0B0E"/>
          <w:sz w:val="21"/>
          <w:szCs w:val="21"/>
        </w:rPr>
        <w:t>de Servicios Públicos Municipales.</w:t>
      </w:r>
    </w:p>
    <w:p w14:paraId="18F209F4" w14:textId="77777777" w:rsidR="000939C4" w:rsidRPr="009E34BC" w:rsidRDefault="000939C4" w:rsidP="000939C4">
      <w:pPr>
        <w:autoSpaceDE w:val="0"/>
        <w:autoSpaceDN w:val="0"/>
        <w:adjustRightInd w:val="0"/>
        <w:jc w:val="both"/>
        <w:rPr>
          <w:rFonts w:ascii="Abadi" w:hAnsi="Abadi" w:cs="*Arial-6838-Identity-H"/>
          <w:color w:val="0B0B0E"/>
          <w:sz w:val="21"/>
          <w:szCs w:val="21"/>
        </w:rPr>
      </w:pPr>
    </w:p>
    <w:p w14:paraId="18748EF7" w14:textId="77777777" w:rsidR="000939C4" w:rsidRDefault="000939C4" w:rsidP="000939C4">
      <w:pPr>
        <w:autoSpaceDE w:val="0"/>
        <w:autoSpaceDN w:val="0"/>
        <w:adjustRightInd w:val="0"/>
        <w:ind w:firstLine="708"/>
        <w:jc w:val="both"/>
        <w:rPr>
          <w:rFonts w:ascii="Abadi" w:hAnsi="Abadi" w:cs="*Arial-Bold-6839-Identity-H"/>
          <w:b/>
          <w:bCs/>
          <w:color w:val="0D0C12"/>
          <w:sz w:val="21"/>
          <w:szCs w:val="21"/>
        </w:rPr>
      </w:pPr>
      <w:r w:rsidRPr="009E34BC">
        <w:rPr>
          <w:rFonts w:ascii="Abadi" w:hAnsi="Abadi" w:cs="*Arial-Bold-6839-Identity-H"/>
          <w:b/>
          <w:bCs/>
          <w:color w:val="0D0C12"/>
          <w:sz w:val="21"/>
          <w:szCs w:val="21"/>
        </w:rPr>
        <w:t>b) Resultado del proceso de fiscalización.</w:t>
      </w:r>
    </w:p>
    <w:p w14:paraId="4A9D4B7C" w14:textId="77777777" w:rsidR="000939C4" w:rsidRPr="009E34BC" w:rsidRDefault="000939C4" w:rsidP="000939C4">
      <w:pPr>
        <w:autoSpaceDE w:val="0"/>
        <w:autoSpaceDN w:val="0"/>
        <w:adjustRightInd w:val="0"/>
        <w:jc w:val="both"/>
        <w:rPr>
          <w:rFonts w:ascii="Abadi" w:hAnsi="Abadi" w:cs="*Arial-Bold-6839-Identity-H"/>
          <w:b/>
          <w:bCs/>
          <w:color w:val="0D0C12"/>
          <w:sz w:val="21"/>
          <w:szCs w:val="21"/>
        </w:rPr>
      </w:pPr>
    </w:p>
    <w:p w14:paraId="0F659EE7" w14:textId="77777777" w:rsidR="000939C4" w:rsidRPr="009E34BC" w:rsidRDefault="000939C4" w:rsidP="000939C4">
      <w:pPr>
        <w:autoSpaceDE w:val="0"/>
        <w:autoSpaceDN w:val="0"/>
        <w:adjustRightInd w:val="0"/>
        <w:ind w:firstLine="708"/>
        <w:jc w:val="both"/>
        <w:rPr>
          <w:rFonts w:ascii="Abadi" w:hAnsi="Abadi" w:cs="*Arial-6838-Identity-H"/>
          <w:color w:val="0E0E11"/>
          <w:sz w:val="21"/>
          <w:szCs w:val="21"/>
        </w:rPr>
      </w:pPr>
      <w:r w:rsidRPr="009E34BC">
        <w:rPr>
          <w:rFonts w:ascii="Abadi" w:hAnsi="Abadi" w:cs="*Arial-6838-Identity-H"/>
          <w:color w:val="0E0E11"/>
          <w:sz w:val="21"/>
          <w:szCs w:val="21"/>
        </w:rPr>
        <w:t>En esta parte se señala que los objetivos específicos se desarrollaron en la</w:t>
      </w:r>
      <w:r>
        <w:rPr>
          <w:rFonts w:ascii="Abadi" w:hAnsi="Abadi" w:cs="*Arial-6838-Identity-H"/>
          <w:color w:val="0E0E11"/>
          <w:sz w:val="21"/>
          <w:szCs w:val="21"/>
        </w:rPr>
        <w:t xml:space="preserve"> </w:t>
      </w:r>
      <w:r w:rsidRPr="009E34BC">
        <w:rPr>
          <w:rFonts w:ascii="Abadi" w:hAnsi="Abadi" w:cs="*Arial-6838-Identity-H"/>
          <w:color w:val="0E0E11"/>
          <w:sz w:val="21"/>
          <w:szCs w:val="21"/>
        </w:rPr>
        <w:t>auditoría en siete procedimientos, con los siguientes resultados:</w:t>
      </w:r>
    </w:p>
    <w:p w14:paraId="488DC900" w14:textId="77777777" w:rsidR="000939C4" w:rsidRDefault="000939C4" w:rsidP="000939C4">
      <w:pPr>
        <w:autoSpaceDE w:val="0"/>
        <w:autoSpaceDN w:val="0"/>
        <w:adjustRightInd w:val="0"/>
        <w:jc w:val="both"/>
        <w:rPr>
          <w:rFonts w:ascii="Abadi" w:hAnsi="Abadi" w:cs="*Arial-Bold-6839-Identity-H"/>
          <w:b/>
          <w:bCs/>
          <w:color w:val="0D0D13"/>
          <w:sz w:val="21"/>
          <w:szCs w:val="21"/>
        </w:rPr>
      </w:pPr>
    </w:p>
    <w:p w14:paraId="0264F0FA" w14:textId="77777777" w:rsidR="000939C4" w:rsidRPr="009E34BC" w:rsidRDefault="000939C4" w:rsidP="000939C4">
      <w:pPr>
        <w:autoSpaceDE w:val="0"/>
        <w:autoSpaceDN w:val="0"/>
        <w:adjustRightInd w:val="0"/>
        <w:jc w:val="both"/>
        <w:rPr>
          <w:rFonts w:ascii="Abadi" w:hAnsi="Abadi" w:cs="*Arial-Bold-6839-Identity-H"/>
          <w:b/>
          <w:bCs/>
          <w:color w:val="0D0D13"/>
          <w:sz w:val="21"/>
          <w:szCs w:val="21"/>
        </w:rPr>
      </w:pPr>
      <w:r w:rsidRPr="009E34BC">
        <w:rPr>
          <w:rFonts w:ascii="Abadi" w:hAnsi="Abadi" w:cs="*Arial-Bold-6839-Identity-H"/>
          <w:b/>
          <w:bCs/>
          <w:color w:val="0D0D13"/>
          <w:sz w:val="21"/>
          <w:szCs w:val="21"/>
        </w:rPr>
        <w:t>Eficiencia:</w:t>
      </w:r>
    </w:p>
    <w:p w14:paraId="757D507A" w14:textId="77777777" w:rsidR="000939C4" w:rsidRPr="009E34BC" w:rsidRDefault="000939C4" w:rsidP="000939C4">
      <w:pPr>
        <w:autoSpaceDE w:val="0"/>
        <w:autoSpaceDN w:val="0"/>
        <w:adjustRightInd w:val="0"/>
        <w:ind w:left="284"/>
        <w:jc w:val="both"/>
        <w:rPr>
          <w:rFonts w:ascii="Abadi" w:hAnsi="Abadi" w:cs="*Arial-6838-Identity-H"/>
          <w:color w:val="0B0B0D"/>
          <w:sz w:val="21"/>
          <w:szCs w:val="21"/>
        </w:rPr>
      </w:pPr>
      <w:r w:rsidRPr="00273228">
        <w:rPr>
          <w:rFonts w:ascii="Abadi" w:hAnsi="Abadi" w:cs="*Arial-6838-Identity-H"/>
          <w:b/>
          <w:bCs/>
          <w:color w:val="0B0B0D"/>
          <w:sz w:val="21"/>
          <w:szCs w:val="21"/>
        </w:rPr>
        <w:t>1.</w:t>
      </w:r>
      <w:r w:rsidRPr="009E34BC">
        <w:rPr>
          <w:rFonts w:ascii="Abadi" w:hAnsi="Abadi" w:cs="*Arial-6838-Identity-H"/>
          <w:color w:val="0B0B0D"/>
          <w:sz w:val="21"/>
          <w:szCs w:val="21"/>
        </w:rPr>
        <w:t xml:space="preserve"> Oferta del servicio de alumbrado público.</w:t>
      </w:r>
    </w:p>
    <w:p w14:paraId="63855839" w14:textId="77777777" w:rsidR="000939C4" w:rsidRDefault="000939C4" w:rsidP="000939C4">
      <w:pPr>
        <w:ind w:left="284"/>
        <w:jc w:val="both"/>
        <w:rPr>
          <w:rFonts w:ascii="Abadi" w:hAnsi="Abadi" w:cs="*Arial-6838-Identity-H"/>
          <w:color w:val="0D0C0F"/>
          <w:sz w:val="21"/>
          <w:szCs w:val="21"/>
        </w:rPr>
      </w:pPr>
      <w:r w:rsidRPr="00273228">
        <w:rPr>
          <w:rFonts w:ascii="Abadi" w:hAnsi="Abadi" w:cs="*Arial-6838-Identity-H"/>
          <w:b/>
          <w:bCs/>
          <w:color w:val="0D0C0F"/>
          <w:sz w:val="21"/>
          <w:szCs w:val="21"/>
        </w:rPr>
        <w:t>2.</w:t>
      </w:r>
      <w:r w:rsidRPr="009E34BC">
        <w:rPr>
          <w:rFonts w:ascii="Abadi" w:hAnsi="Abadi" w:cs="*Arial-6838-Identity-H"/>
          <w:color w:val="0D0C0F"/>
          <w:sz w:val="21"/>
          <w:szCs w:val="21"/>
        </w:rPr>
        <w:t xml:space="preserve"> Presupuestación del servicio.</w:t>
      </w:r>
    </w:p>
    <w:p w14:paraId="0D9675E0" w14:textId="77777777" w:rsidR="000939C4" w:rsidRPr="009E34BC" w:rsidRDefault="000939C4" w:rsidP="000939C4">
      <w:pPr>
        <w:spacing w:after="160" w:line="259" w:lineRule="auto"/>
        <w:ind w:left="284"/>
        <w:jc w:val="both"/>
        <w:rPr>
          <w:rFonts w:ascii="Abadi" w:hAnsi="Abadi" w:cs="*Arial-7129-Identity-H"/>
          <w:color w:val="0E0D10"/>
          <w:sz w:val="21"/>
          <w:szCs w:val="21"/>
        </w:rPr>
      </w:pPr>
      <w:r w:rsidRPr="009E34BC">
        <w:rPr>
          <w:rFonts w:ascii="Abadi" w:hAnsi="Abadi" w:cs="*Arial-Bold-7131-Identity-H"/>
          <w:b/>
          <w:bCs/>
          <w:color w:val="0E0D10"/>
          <w:sz w:val="21"/>
          <w:szCs w:val="21"/>
        </w:rPr>
        <w:t xml:space="preserve">3. </w:t>
      </w:r>
      <w:r w:rsidRPr="009E34BC">
        <w:rPr>
          <w:rFonts w:ascii="Abadi" w:hAnsi="Abadi" w:cs="*Arial-7129-Identity-H"/>
          <w:color w:val="0E0D10"/>
          <w:sz w:val="21"/>
          <w:szCs w:val="21"/>
        </w:rPr>
        <w:t>Marco normativo para la prestación del servicio.</w:t>
      </w:r>
    </w:p>
    <w:p w14:paraId="6034CCD1" w14:textId="77777777" w:rsidR="000939C4" w:rsidRPr="009E34BC" w:rsidRDefault="000939C4" w:rsidP="000939C4">
      <w:pPr>
        <w:autoSpaceDE w:val="0"/>
        <w:autoSpaceDN w:val="0"/>
        <w:adjustRightInd w:val="0"/>
        <w:ind w:left="284"/>
        <w:jc w:val="both"/>
        <w:rPr>
          <w:rFonts w:ascii="Abadi" w:hAnsi="Abadi" w:cs="*Arial-7129-Identity-H"/>
          <w:color w:val="0D0D0F"/>
          <w:sz w:val="21"/>
          <w:szCs w:val="21"/>
        </w:rPr>
      </w:pPr>
      <w:r w:rsidRPr="009E34BC">
        <w:rPr>
          <w:rFonts w:ascii="Abadi" w:hAnsi="Abadi" w:cs="*Arial-Bold-7131-Identity-H"/>
          <w:b/>
          <w:bCs/>
          <w:color w:val="0D0D0F"/>
          <w:sz w:val="21"/>
          <w:szCs w:val="21"/>
        </w:rPr>
        <w:t xml:space="preserve">4. </w:t>
      </w:r>
      <w:r w:rsidRPr="009E34BC">
        <w:rPr>
          <w:rFonts w:ascii="Abadi" w:hAnsi="Abadi" w:cs="*Arial-7129-Identity-H"/>
          <w:color w:val="0D0D0F"/>
          <w:sz w:val="21"/>
          <w:szCs w:val="21"/>
        </w:rPr>
        <w:t>Planeación del servicio de alumbrado público en el corto plazo.</w:t>
      </w:r>
    </w:p>
    <w:p w14:paraId="64A261D7" w14:textId="77777777" w:rsidR="000939C4" w:rsidRPr="009E34BC" w:rsidRDefault="000939C4" w:rsidP="000939C4">
      <w:pPr>
        <w:autoSpaceDE w:val="0"/>
        <w:autoSpaceDN w:val="0"/>
        <w:adjustRightInd w:val="0"/>
        <w:ind w:left="284"/>
        <w:jc w:val="both"/>
        <w:rPr>
          <w:rFonts w:ascii="Abadi" w:hAnsi="Abadi" w:cs="*Arial-7129-Identity-H"/>
          <w:color w:val="0D0D10"/>
          <w:sz w:val="21"/>
          <w:szCs w:val="21"/>
        </w:rPr>
      </w:pPr>
      <w:r w:rsidRPr="009E34BC">
        <w:rPr>
          <w:rFonts w:ascii="Abadi" w:hAnsi="Abadi" w:cs="*Arial-Bold-7131-Identity-H"/>
          <w:b/>
          <w:bCs/>
          <w:color w:val="0D0D10"/>
          <w:sz w:val="21"/>
          <w:szCs w:val="21"/>
        </w:rPr>
        <w:t xml:space="preserve">5. </w:t>
      </w:r>
      <w:r w:rsidRPr="009E34BC">
        <w:rPr>
          <w:rFonts w:ascii="Abadi" w:hAnsi="Abadi" w:cs="*Arial-7129-Identity-H"/>
          <w:color w:val="0D0D10"/>
          <w:sz w:val="21"/>
          <w:szCs w:val="21"/>
        </w:rPr>
        <w:t>Participación ciudadana en el reporte de fallas del servicio.</w:t>
      </w:r>
    </w:p>
    <w:p w14:paraId="44904EDF" w14:textId="77777777" w:rsidR="000939C4" w:rsidRDefault="000939C4" w:rsidP="000939C4">
      <w:pPr>
        <w:autoSpaceDE w:val="0"/>
        <w:autoSpaceDN w:val="0"/>
        <w:adjustRightInd w:val="0"/>
        <w:jc w:val="both"/>
        <w:rPr>
          <w:rFonts w:ascii="Abadi" w:hAnsi="Abadi" w:cs="*Arial-Bold-7131-Identity-H"/>
          <w:b/>
          <w:bCs/>
          <w:color w:val="0E0D13"/>
          <w:sz w:val="21"/>
          <w:szCs w:val="21"/>
        </w:rPr>
      </w:pPr>
    </w:p>
    <w:p w14:paraId="6F2E8BB6" w14:textId="77777777" w:rsidR="000939C4" w:rsidRPr="009E34BC" w:rsidRDefault="000939C4" w:rsidP="000939C4">
      <w:pPr>
        <w:autoSpaceDE w:val="0"/>
        <w:autoSpaceDN w:val="0"/>
        <w:adjustRightInd w:val="0"/>
        <w:jc w:val="both"/>
        <w:rPr>
          <w:rFonts w:ascii="Abadi" w:hAnsi="Abadi" w:cs="*Arial-Bold-7131-Identity-H"/>
          <w:b/>
          <w:bCs/>
          <w:color w:val="0E0D13"/>
          <w:sz w:val="21"/>
          <w:szCs w:val="21"/>
        </w:rPr>
      </w:pPr>
      <w:r w:rsidRPr="009E34BC">
        <w:rPr>
          <w:rFonts w:ascii="Abadi" w:hAnsi="Abadi" w:cs="*Arial-Bold-7131-Identity-H"/>
          <w:b/>
          <w:bCs/>
          <w:color w:val="0E0D13"/>
          <w:sz w:val="21"/>
          <w:szCs w:val="21"/>
        </w:rPr>
        <w:t>Eficacia:</w:t>
      </w:r>
    </w:p>
    <w:p w14:paraId="67B2C8FD" w14:textId="77777777" w:rsidR="000939C4" w:rsidRPr="009E34BC" w:rsidRDefault="000939C4" w:rsidP="000939C4">
      <w:pPr>
        <w:autoSpaceDE w:val="0"/>
        <w:autoSpaceDN w:val="0"/>
        <w:adjustRightInd w:val="0"/>
        <w:ind w:left="567"/>
        <w:jc w:val="both"/>
        <w:rPr>
          <w:rFonts w:ascii="Abadi" w:hAnsi="Abadi" w:cs="*Arial-7129-Identity-H"/>
          <w:color w:val="0D0D10"/>
          <w:sz w:val="21"/>
          <w:szCs w:val="21"/>
        </w:rPr>
      </w:pPr>
      <w:r w:rsidRPr="009E34BC">
        <w:rPr>
          <w:rFonts w:ascii="Abadi" w:hAnsi="Abadi" w:cs="*Arial-Bold-7131-Identity-H"/>
          <w:b/>
          <w:bCs/>
          <w:color w:val="0D0D10"/>
          <w:sz w:val="21"/>
          <w:szCs w:val="21"/>
        </w:rPr>
        <w:t xml:space="preserve">6. </w:t>
      </w:r>
      <w:r w:rsidRPr="009E34BC">
        <w:rPr>
          <w:rFonts w:ascii="Abadi" w:hAnsi="Abadi" w:cs="*Arial-7129-Identity-H"/>
          <w:color w:val="0D0D10"/>
          <w:sz w:val="21"/>
          <w:szCs w:val="21"/>
        </w:rPr>
        <w:t>Eficacia del servicio de alumbrado público.</w:t>
      </w:r>
    </w:p>
    <w:p w14:paraId="50D58620" w14:textId="77777777" w:rsidR="000939C4" w:rsidRDefault="000939C4" w:rsidP="000939C4">
      <w:pPr>
        <w:autoSpaceDE w:val="0"/>
        <w:autoSpaceDN w:val="0"/>
        <w:adjustRightInd w:val="0"/>
        <w:ind w:left="567"/>
        <w:jc w:val="both"/>
        <w:rPr>
          <w:rFonts w:ascii="Abadi" w:hAnsi="Abadi" w:cs="*Arial-7129-Identity-H"/>
          <w:color w:val="0B0A0D"/>
          <w:sz w:val="21"/>
          <w:szCs w:val="21"/>
        </w:rPr>
      </w:pPr>
      <w:r w:rsidRPr="009E34BC">
        <w:rPr>
          <w:rFonts w:ascii="Abadi" w:hAnsi="Abadi" w:cs="*Arial-Bold-7131-Identity-H"/>
          <w:b/>
          <w:bCs/>
          <w:color w:val="0B0A0D"/>
          <w:sz w:val="21"/>
          <w:szCs w:val="21"/>
        </w:rPr>
        <w:t xml:space="preserve">7. </w:t>
      </w:r>
      <w:r w:rsidRPr="009E34BC">
        <w:rPr>
          <w:rFonts w:ascii="Abadi" w:hAnsi="Abadi" w:cs="*Arial-7129-Identity-H"/>
          <w:color w:val="0B0A0D"/>
          <w:sz w:val="21"/>
          <w:szCs w:val="21"/>
        </w:rPr>
        <w:t>Monitoreo y evaluación de resultados.</w:t>
      </w:r>
    </w:p>
    <w:p w14:paraId="2A8748E7" w14:textId="77777777" w:rsidR="000939C4" w:rsidRPr="00273228" w:rsidRDefault="000939C4" w:rsidP="000939C4">
      <w:pPr>
        <w:autoSpaceDE w:val="0"/>
        <w:autoSpaceDN w:val="0"/>
        <w:adjustRightInd w:val="0"/>
        <w:jc w:val="both"/>
        <w:rPr>
          <w:rFonts w:ascii="Abadi" w:hAnsi="Abadi" w:cs="*Arial-7129-Identity-H"/>
          <w:color w:val="0B0A0D"/>
          <w:sz w:val="21"/>
          <w:szCs w:val="21"/>
        </w:rPr>
      </w:pPr>
    </w:p>
    <w:p w14:paraId="23048024" w14:textId="77777777" w:rsidR="000939C4" w:rsidRDefault="000939C4" w:rsidP="000939C4">
      <w:pPr>
        <w:autoSpaceDE w:val="0"/>
        <w:autoSpaceDN w:val="0"/>
        <w:adjustRightInd w:val="0"/>
        <w:ind w:firstLine="567"/>
        <w:jc w:val="both"/>
        <w:rPr>
          <w:rFonts w:ascii="Abadi" w:hAnsi="Abadi" w:cs="*Arial-7129-Identity-H"/>
          <w:color w:val="0E0E10"/>
          <w:sz w:val="21"/>
          <w:szCs w:val="21"/>
        </w:rPr>
      </w:pPr>
      <w:r w:rsidRPr="009E34BC">
        <w:rPr>
          <w:rFonts w:ascii="Abadi" w:hAnsi="Abadi" w:cs="*Arial-7129-Identity-H"/>
          <w:color w:val="0E0E10"/>
          <w:sz w:val="21"/>
          <w:szCs w:val="21"/>
        </w:rPr>
        <w:t>Es así, que se presentan los resultados de la auditoría realizada,</w:t>
      </w:r>
      <w:r>
        <w:rPr>
          <w:rFonts w:ascii="Abadi" w:hAnsi="Abadi" w:cs="*Arial-7129-Identity-H"/>
          <w:color w:val="0E0E10"/>
          <w:sz w:val="21"/>
          <w:szCs w:val="21"/>
        </w:rPr>
        <w:t xml:space="preserve"> </w:t>
      </w:r>
      <w:r w:rsidRPr="009E34BC">
        <w:rPr>
          <w:rFonts w:ascii="Abadi" w:hAnsi="Abadi" w:cs="*Arial-7129-Identity-H"/>
          <w:color w:val="0E0E10"/>
          <w:sz w:val="21"/>
          <w:szCs w:val="21"/>
        </w:rPr>
        <w:t>estableciendo las recomendaciones formuladas al sujeto fiscalizado, plasmando</w:t>
      </w:r>
      <w:r>
        <w:rPr>
          <w:rFonts w:ascii="Abadi" w:hAnsi="Abadi" w:cs="*Arial-7129-Identity-H"/>
          <w:color w:val="0E0E10"/>
          <w:sz w:val="21"/>
          <w:szCs w:val="21"/>
        </w:rPr>
        <w:t xml:space="preserve"> </w:t>
      </w:r>
      <w:r w:rsidRPr="009E34BC">
        <w:rPr>
          <w:rFonts w:ascii="Abadi" w:hAnsi="Abadi" w:cs="*Arial-7129-Identity-H"/>
          <w:color w:val="0E0E10"/>
          <w:sz w:val="21"/>
          <w:szCs w:val="21"/>
        </w:rPr>
        <w:t>en cada una las acciones preventivas y correctivas que se deben llevar a cabo</w:t>
      </w:r>
      <w:r>
        <w:rPr>
          <w:rFonts w:ascii="Abadi" w:hAnsi="Abadi" w:cs="*Arial-7129-Identity-H"/>
          <w:color w:val="0E0E10"/>
          <w:sz w:val="21"/>
          <w:szCs w:val="21"/>
        </w:rPr>
        <w:t xml:space="preserve"> </w:t>
      </w:r>
      <w:r w:rsidRPr="009E34BC">
        <w:rPr>
          <w:rFonts w:ascii="Abadi" w:hAnsi="Abadi" w:cs="*Arial-7129-Identity-H"/>
          <w:color w:val="0E0E10"/>
          <w:sz w:val="21"/>
          <w:szCs w:val="21"/>
        </w:rPr>
        <w:t>para subsanar las situaciones detectadas durante el proceso de auditoría.</w:t>
      </w:r>
    </w:p>
    <w:p w14:paraId="7EB49DB8" w14:textId="77777777" w:rsidR="000939C4" w:rsidRPr="009E34BC" w:rsidRDefault="000939C4" w:rsidP="000939C4">
      <w:pPr>
        <w:autoSpaceDE w:val="0"/>
        <w:autoSpaceDN w:val="0"/>
        <w:adjustRightInd w:val="0"/>
        <w:jc w:val="both"/>
        <w:rPr>
          <w:rFonts w:ascii="Abadi" w:hAnsi="Abadi" w:cs="*Arial-7129-Identity-H"/>
          <w:color w:val="0E0E10"/>
          <w:sz w:val="21"/>
          <w:szCs w:val="21"/>
        </w:rPr>
      </w:pPr>
    </w:p>
    <w:p w14:paraId="7213A855" w14:textId="77777777" w:rsidR="000939C4" w:rsidRDefault="000939C4" w:rsidP="000939C4">
      <w:pPr>
        <w:autoSpaceDE w:val="0"/>
        <w:autoSpaceDN w:val="0"/>
        <w:adjustRightInd w:val="0"/>
        <w:ind w:firstLine="567"/>
        <w:jc w:val="both"/>
        <w:rPr>
          <w:rFonts w:ascii="Abadi" w:hAnsi="Abadi" w:cs="*Arial-7129-Identity-H"/>
          <w:color w:val="0D0C0F"/>
          <w:sz w:val="21"/>
          <w:szCs w:val="21"/>
        </w:rPr>
      </w:pPr>
      <w:r w:rsidRPr="009E34BC">
        <w:rPr>
          <w:rFonts w:ascii="Abadi" w:hAnsi="Abadi" w:cs="*Arial-7129-Identity-H"/>
          <w:color w:val="0D0C0F"/>
          <w:sz w:val="21"/>
          <w:szCs w:val="21"/>
        </w:rPr>
        <w:t>Derivado de lo anterior, se formulan los resultados y recomendaciones</w:t>
      </w:r>
      <w:r>
        <w:rPr>
          <w:rFonts w:ascii="Abadi" w:hAnsi="Abadi" w:cs="*Arial-7129-Identity-H"/>
          <w:color w:val="0D0C0F"/>
          <w:sz w:val="21"/>
          <w:szCs w:val="21"/>
        </w:rPr>
        <w:t xml:space="preserve"> </w:t>
      </w:r>
      <w:r w:rsidRPr="009E34BC">
        <w:rPr>
          <w:rFonts w:ascii="Abadi" w:hAnsi="Abadi" w:cs="*Arial-7129-Identity-H"/>
          <w:color w:val="0D0C0F"/>
          <w:sz w:val="21"/>
          <w:szCs w:val="21"/>
        </w:rPr>
        <w:t>contenidos en los rubros de Eficiencia y Eficacia.</w:t>
      </w:r>
    </w:p>
    <w:p w14:paraId="772DB4E5" w14:textId="77777777" w:rsidR="000939C4" w:rsidRPr="009E34BC" w:rsidRDefault="000939C4" w:rsidP="000939C4">
      <w:pPr>
        <w:autoSpaceDE w:val="0"/>
        <w:autoSpaceDN w:val="0"/>
        <w:adjustRightInd w:val="0"/>
        <w:jc w:val="both"/>
        <w:rPr>
          <w:rFonts w:ascii="Abadi" w:hAnsi="Abadi" w:cs="*Arial-7129-Identity-H"/>
          <w:color w:val="0D0C0F"/>
          <w:sz w:val="21"/>
          <w:szCs w:val="21"/>
        </w:rPr>
      </w:pPr>
    </w:p>
    <w:p w14:paraId="2F81A450" w14:textId="77777777" w:rsidR="000939C4" w:rsidRDefault="000939C4" w:rsidP="000939C4">
      <w:pPr>
        <w:autoSpaceDE w:val="0"/>
        <w:autoSpaceDN w:val="0"/>
        <w:adjustRightInd w:val="0"/>
        <w:ind w:firstLine="567"/>
        <w:jc w:val="both"/>
        <w:rPr>
          <w:rFonts w:ascii="Abadi" w:hAnsi="Abadi" w:cs="*Arial-7129-Identity-H"/>
          <w:color w:val="0C0B0E"/>
          <w:sz w:val="21"/>
          <w:szCs w:val="21"/>
        </w:rPr>
      </w:pPr>
      <w:r w:rsidRPr="009E34BC">
        <w:rPr>
          <w:rFonts w:ascii="Abadi" w:hAnsi="Abadi" w:cs="*Arial-7129-Identity-H"/>
          <w:color w:val="0C0B0E"/>
          <w:sz w:val="21"/>
          <w:szCs w:val="21"/>
        </w:rPr>
        <w:t>En tal sentido, en el rubro de Eficiencia, se formularon las recomendaciones</w:t>
      </w:r>
      <w:r>
        <w:rPr>
          <w:rFonts w:ascii="Abadi" w:hAnsi="Abadi" w:cs="*Arial-7129-Identity-H"/>
          <w:color w:val="0C0B0E"/>
          <w:sz w:val="21"/>
          <w:szCs w:val="21"/>
        </w:rPr>
        <w:t xml:space="preserve"> </w:t>
      </w:r>
      <w:r w:rsidRPr="009E34BC">
        <w:rPr>
          <w:rFonts w:ascii="Abadi" w:hAnsi="Abadi" w:cs="*Arial-7129-Identity-H"/>
          <w:color w:val="0C0B0E"/>
          <w:sz w:val="21"/>
          <w:szCs w:val="21"/>
        </w:rPr>
        <w:t>plasmadas en los puntos 01 y 02 del resultado número 1, referente a oferta del</w:t>
      </w:r>
      <w:r>
        <w:rPr>
          <w:rFonts w:ascii="Abadi" w:hAnsi="Abadi" w:cs="*Arial-7129-Identity-H"/>
          <w:color w:val="0C0B0E"/>
          <w:sz w:val="21"/>
          <w:szCs w:val="21"/>
        </w:rPr>
        <w:t xml:space="preserve"> </w:t>
      </w:r>
      <w:r w:rsidRPr="009E34BC">
        <w:rPr>
          <w:rFonts w:ascii="Abadi" w:hAnsi="Abadi" w:cs="*Arial-7129-Identity-H"/>
          <w:color w:val="0C0B0E"/>
          <w:sz w:val="21"/>
          <w:szCs w:val="21"/>
        </w:rPr>
        <w:t>servicio de alumbrado público; 03 y 04 del resultado número 2, correspondiente a</w:t>
      </w:r>
      <w:r>
        <w:rPr>
          <w:rFonts w:ascii="Abadi" w:hAnsi="Abadi" w:cs="*Arial-7129-Identity-H"/>
          <w:color w:val="0C0B0E"/>
          <w:sz w:val="21"/>
          <w:szCs w:val="21"/>
        </w:rPr>
        <w:t xml:space="preserve"> </w:t>
      </w:r>
      <w:r w:rsidRPr="009E34BC">
        <w:rPr>
          <w:rFonts w:ascii="Abadi" w:hAnsi="Abadi" w:cs="*Arial-7129-Identity-H"/>
          <w:color w:val="0C0B0E"/>
          <w:sz w:val="21"/>
          <w:szCs w:val="21"/>
        </w:rPr>
        <w:t>presupuestación del servicio; 05 y 06 del resultado número 3, relativo a marco</w:t>
      </w:r>
      <w:r>
        <w:rPr>
          <w:rFonts w:ascii="Abadi" w:hAnsi="Abadi" w:cs="*Arial-7129-Identity-H"/>
          <w:color w:val="0C0B0E"/>
          <w:sz w:val="21"/>
          <w:szCs w:val="21"/>
        </w:rPr>
        <w:t xml:space="preserve"> </w:t>
      </w:r>
      <w:r w:rsidRPr="009E34BC">
        <w:rPr>
          <w:rFonts w:ascii="Abadi" w:hAnsi="Abadi" w:cs="*Arial-7129-Identity-H"/>
          <w:color w:val="0C0B0E"/>
          <w:sz w:val="21"/>
          <w:szCs w:val="21"/>
        </w:rPr>
        <w:t>normativo para la prestación del servicio; 07 del resultado número 4, referido a</w:t>
      </w:r>
      <w:r>
        <w:rPr>
          <w:rFonts w:ascii="Abadi" w:hAnsi="Abadi" w:cs="*Arial-7129-Identity-H"/>
          <w:color w:val="0C0B0E"/>
          <w:sz w:val="21"/>
          <w:szCs w:val="21"/>
        </w:rPr>
        <w:t xml:space="preserve"> </w:t>
      </w:r>
      <w:r w:rsidRPr="009E34BC">
        <w:rPr>
          <w:rFonts w:ascii="Abadi" w:hAnsi="Abadi" w:cs="*Arial-7129-Identity-H"/>
          <w:color w:val="0C0B0E"/>
          <w:sz w:val="21"/>
          <w:szCs w:val="21"/>
        </w:rPr>
        <w:t>planeación del servicio de alumbrado público en el corto plazo; 08 y 09 del</w:t>
      </w:r>
      <w:r>
        <w:rPr>
          <w:rFonts w:ascii="Abadi" w:hAnsi="Abadi" w:cs="*Arial-7129-Identity-H"/>
          <w:color w:val="0C0B0E"/>
          <w:sz w:val="21"/>
          <w:szCs w:val="21"/>
        </w:rPr>
        <w:t xml:space="preserve"> </w:t>
      </w:r>
      <w:r w:rsidRPr="009E34BC">
        <w:rPr>
          <w:rFonts w:ascii="Abadi" w:hAnsi="Abadi" w:cs="*Arial-7129-Identity-H"/>
          <w:color w:val="0C0B0E"/>
          <w:sz w:val="21"/>
          <w:szCs w:val="21"/>
        </w:rPr>
        <w:t>resultado número 5, referente a participación ciudadana en el reporte de fallas del</w:t>
      </w:r>
      <w:r>
        <w:rPr>
          <w:rFonts w:ascii="Abadi" w:hAnsi="Abadi" w:cs="*Arial-7129-Identity-H"/>
          <w:color w:val="0C0B0E"/>
          <w:sz w:val="21"/>
          <w:szCs w:val="21"/>
        </w:rPr>
        <w:t xml:space="preserve"> </w:t>
      </w:r>
      <w:r w:rsidRPr="009E34BC">
        <w:rPr>
          <w:rFonts w:ascii="Abadi" w:hAnsi="Abadi" w:cs="*Arial-7129-Identity-H"/>
          <w:color w:val="0C0B0E"/>
          <w:sz w:val="21"/>
          <w:szCs w:val="21"/>
        </w:rPr>
        <w:t>servicio. En el apartado de Eficacia, se formularon las recomendaciones</w:t>
      </w:r>
      <w:r>
        <w:rPr>
          <w:rFonts w:ascii="Abadi" w:hAnsi="Abadi" w:cs="*Arial-7129-Identity-H"/>
          <w:color w:val="0C0B0E"/>
          <w:sz w:val="21"/>
          <w:szCs w:val="21"/>
        </w:rPr>
        <w:t xml:space="preserve"> </w:t>
      </w:r>
      <w:r w:rsidRPr="009E34BC">
        <w:rPr>
          <w:rFonts w:ascii="Abadi" w:hAnsi="Abadi" w:cs="*Arial-7129-Identity-H"/>
          <w:color w:val="0C0B0E"/>
          <w:sz w:val="21"/>
          <w:szCs w:val="21"/>
        </w:rPr>
        <w:t xml:space="preserve">consignadas en los puntos </w:t>
      </w:r>
      <w:r>
        <w:rPr>
          <w:rFonts w:ascii="Abadi" w:hAnsi="Abadi" w:cs="*Arial-7129-Identity-H"/>
          <w:color w:val="0C0B0E"/>
          <w:sz w:val="21"/>
          <w:szCs w:val="21"/>
        </w:rPr>
        <w:t>10</w:t>
      </w:r>
      <w:r w:rsidRPr="009E34BC">
        <w:rPr>
          <w:rFonts w:ascii="Abadi" w:hAnsi="Abadi" w:cs="*Arial-7129-Identity-H"/>
          <w:color w:val="0C0B0E"/>
          <w:sz w:val="21"/>
          <w:szCs w:val="21"/>
        </w:rPr>
        <w:t xml:space="preserve"> y 11 del resultado número 6, correspondiente a</w:t>
      </w:r>
      <w:r>
        <w:rPr>
          <w:rFonts w:ascii="Abadi" w:hAnsi="Abadi" w:cs="*Arial-7129-Identity-H"/>
          <w:color w:val="0C0B0E"/>
          <w:sz w:val="21"/>
          <w:szCs w:val="21"/>
        </w:rPr>
        <w:t xml:space="preserve"> </w:t>
      </w:r>
      <w:r w:rsidRPr="009E34BC">
        <w:rPr>
          <w:rFonts w:ascii="Abadi" w:hAnsi="Abadi" w:cs="*Arial-7129-Identity-H"/>
          <w:color w:val="0C0B0E"/>
          <w:sz w:val="21"/>
          <w:szCs w:val="21"/>
        </w:rPr>
        <w:t>mecanismos de monitoreo y evaluación de resultados; y 12 del resultado número</w:t>
      </w:r>
      <w:r>
        <w:rPr>
          <w:rFonts w:ascii="Abadi" w:hAnsi="Abadi" w:cs="*Arial-7129-Identity-H"/>
          <w:color w:val="0C0B0E"/>
          <w:sz w:val="21"/>
          <w:szCs w:val="21"/>
        </w:rPr>
        <w:t xml:space="preserve"> </w:t>
      </w:r>
      <w:r w:rsidRPr="009E34BC">
        <w:rPr>
          <w:rFonts w:ascii="Abadi" w:hAnsi="Abadi" w:cs="*Arial-7129-Identity-H"/>
          <w:color w:val="0C0B0E"/>
          <w:sz w:val="21"/>
          <w:szCs w:val="21"/>
        </w:rPr>
        <w:t>7, relativo a monitoreo y evaluación de resultados.</w:t>
      </w:r>
    </w:p>
    <w:p w14:paraId="1B8952ED" w14:textId="77777777" w:rsidR="000939C4" w:rsidRPr="009E34BC" w:rsidRDefault="000939C4" w:rsidP="000939C4">
      <w:pPr>
        <w:autoSpaceDE w:val="0"/>
        <w:autoSpaceDN w:val="0"/>
        <w:adjustRightInd w:val="0"/>
        <w:jc w:val="both"/>
        <w:rPr>
          <w:rFonts w:ascii="Abadi" w:hAnsi="Abadi" w:cs="*Arial-7129-Identity-H"/>
          <w:color w:val="0C0B0E"/>
          <w:sz w:val="21"/>
          <w:szCs w:val="21"/>
        </w:rPr>
      </w:pPr>
    </w:p>
    <w:p w14:paraId="7E3F1AF8" w14:textId="77777777" w:rsidR="000939C4" w:rsidRDefault="000939C4" w:rsidP="000939C4">
      <w:pPr>
        <w:autoSpaceDE w:val="0"/>
        <w:autoSpaceDN w:val="0"/>
        <w:adjustRightInd w:val="0"/>
        <w:ind w:firstLine="567"/>
        <w:jc w:val="both"/>
        <w:rPr>
          <w:rFonts w:ascii="Abadi" w:hAnsi="Abadi" w:cs="*Arial-5891-Identity-H"/>
          <w:color w:val="0C0C0E"/>
          <w:sz w:val="21"/>
          <w:szCs w:val="21"/>
        </w:rPr>
      </w:pPr>
      <w:r w:rsidRPr="009E34BC">
        <w:rPr>
          <w:rFonts w:ascii="Abadi" w:hAnsi="Abadi" w:cs="*Arial-7129-Identity-H"/>
          <w:color w:val="0C0C0E"/>
          <w:sz w:val="21"/>
          <w:szCs w:val="21"/>
        </w:rPr>
        <w:t xml:space="preserve">Finalmente, se establece un apartado denominado </w:t>
      </w:r>
      <w:r w:rsidRPr="009E34BC">
        <w:rPr>
          <w:rFonts w:ascii="Abadi" w:hAnsi="Abadi" w:cs="*Arial-Italic-7130-Identity-H"/>
          <w:i/>
          <w:iCs/>
          <w:color w:val="0C0C0E"/>
          <w:sz w:val="21"/>
          <w:szCs w:val="21"/>
        </w:rPr>
        <w:t>Cuestiones clave de la</w:t>
      </w:r>
      <w:r>
        <w:rPr>
          <w:rFonts w:ascii="Abadi" w:hAnsi="Abadi" w:cs="*Arial-Italic-7130-Identity-H"/>
          <w:i/>
          <w:iCs/>
          <w:color w:val="0C0C0E"/>
          <w:sz w:val="21"/>
          <w:szCs w:val="21"/>
        </w:rPr>
        <w:t xml:space="preserve"> </w:t>
      </w:r>
      <w:r w:rsidRPr="009E34BC">
        <w:rPr>
          <w:rFonts w:ascii="Abadi" w:hAnsi="Abadi" w:cs="*Arial-Italic-7130-Identity-H"/>
          <w:i/>
          <w:iCs/>
          <w:color w:val="0C0C0E"/>
          <w:sz w:val="21"/>
          <w:szCs w:val="21"/>
        </w:rPr>
        <w:t xml:space="preserve">auditoría en contexto de la pandemia del virus SARS-Co V2 </w:t>
      </w:r>
      <w:r w:rsidRPr="009E34BC">
        <w:rPr>
          <w:rFonts w:ascii="Abadi" w:hAnsi="Abadi" w:cs="*Arial-7129-Identity-H"/>
          <w:color w:val="0C0C0E"/>
          <w:sz w:val="21"/>
          <w:szCs w:val="21"/>
        </w:rPr>
        <w:t>en el que se señala</w:t>
      </w:r>
      <w:r>
        <w:rPr>
          <w:rFonts w:ascii="Abadi" w:hAnsi="Abadi" w:cs="*Arial-7129-Identity-H"/>
          <w:color w:val="0C0C0E"/>
          <w:sz w:val="21"/>
          <w:szCs w:val="21"/>
        </w:rPr>
        <w:t xml:space="preserve"> </w:t>
      </w:r>
      <w:r w:rsidRPr="009E34BC">
        <w:rPr>
          <w:rFonts w:ascii="Abadi" w:hAnsi="Abadi" w:cs="*Arial-7129-Identity-H"/>
          <w:color w:val="0C0C0E"/>
          <w:sz w:val="21"/>
          <w:szCs w:val="21"/>
        </w:rPr>
        <w:t>que con motivo de la emergencia sanitaria provocada por dicha pandemia y en</w:t>
      </w:r>
      <w:r>
        <w:rPr>
          <w:rFonts w:ascii="Abadi" w:hAnsi="Abadi" w:cs="*Arial-7129-Identity-H"/>
          <w:color w:val="0C0C0E"/>
          <w:sz w:val="21"/>
          <w:szCs w:val="21"/>
        </w:rPr>
        <w:t xml:space="preserve"> </w:t>
      </w:r>
      <w:r w:rsidRPr="009E34BC">
        <w:rPr>
          <w:rFonts w:ascii="Abadi" w:hAnsi="Abadi" w:cs="*Arial-7129-Identity-H"/>
          <w:color w:val="0C0C0E"/>
          <w:sz w:val="21"/>
          <w:szCs w:val="21"/>
        </w:rPr>
        <w:t>atención a diversas disposiciones en salud pública emitidas por las autoridades</w:t>
      </w:r>
      <w:r>
        <w:rPr>
          <w:rFonts w:ascii="Abadi" w:hAnsi="Abadi" w:cs="*Arial-7129-Identity-H"/>
          <w:color w:val="0C0C0E"/>
          <w:sz w:val="21"/>
          <w:szCs w:val="21"/>
        </w:rPr>
        <w:t xml:space="preserve"> </w:t>
      </w:r>
      <w:r w:rsidRPr="009E34BC">
        <w:rPr>
          <w:rFonts w:ascii="Abadi" w:hAnsi="Abadi" w:cs="*Arial-7129-Identity-H"/>
          <w:color w:val="0C0C0E"/>
          <w:sz w:val="21"/>
          <w:szCs w:val="21"/>
        </w:rPr>
        <w:t>federales y estatales competentes en la materia, se generaron cambios en el</w:t>
      </w:r>
      <w:r>
        <w:rPr>
          <w:rFonts w:ascii="Abadi" w:hAnsi="Abadi" w:cs="*Arial-7129-Identity-H"/>
          <w:color w:val="0C0C0E"/>
          <w:sz w:val="21"/>
          <w:szCs w:val="21"/>
        </w:rPr>
        <w:t xml:space="preserve"> </w:t>
      </w:r>
      <w:r w:rsidRPr="009E34BC">
        <w:rPr>
          <w:rFonts w:ascii="Abadi" w:hAnsi="Abadi" w:cs="*Arial-7129-Identity-H"/>
          <w:color w:val="0C0C0E"/>
          <w:sz w:val="21"/>
          <w:szCs w:val="21"/>
        </w:rPr>
        <w:t>desarrollo de los asuntos competencia de la Auditoría Superior del Estado de</w:t>
      </w:r>
      <w:r>
        <w:rPr>
          <w:rFonts w:ascii="Abadi" w:hAnsi="Abadi" w:cs="*Arial-7129-Identity-H"/>
          <w:color w:val="0C0C0E"/>
          <w:sz w:val="21"/>
          <w:szCs w:val="21"/>
        </w:rPr>
        <w:t xml:space="preserve"> </w:t>
      </w:r>
      <w:r w:rsidRPr="009E34BC">
        <w:rPr>
          <w:rFonts w:ascii="Abadi" w:hAnsi="Abadi" w:cs="*Arial-7129-Identity-H"/>
          <w:color w:val="0C0C0E"/>
          <w:sz w:val="21"/>
          <w:szCs w:val="21"/>
        </w:rPr>
        <w:t xml:space="preserve">Guanajuato, atendiendo al </w:t>
      </w:r>
      <w:r w:rsidRPr="009E34BC">
        <w:rPr>
          <w:rFonts w:ascii="Abadi" w:hAnsi="Abadi" w:cs="*Arial-Italic-7130-Identity-H"/>
          <w:i/>
          <w:iCs/>
          <w:color w:val="0C0C0E"/>
          <w:sz w:val="21"/>
          <w:szCs w:val="21"/>
        </w:rPr>
        <w:t xml:space="preserve">Acuerdo relativo al trabajo </w:t>
      </w:r>
      <w:r w:rsidRPr="009E34BC">
        <w:rPr>
          <w:rFonts w:ascii="Abadi" w:hAnsi="Abadi" w:cs="*Arial-7129-Identity-H"/>
          <w:color w:val="0C0C0E"/>
          <w:sz w:val="21"/>
          <w:szCs w:val="21"/>
        </w:rPr>
        <w:t xml:space="preserve">a </w:t>
      </w:r>
      <w:r w:rsidRPr="009E34BC">
        <w:rPr>
          <w:rFonts w:ascii="Abadi" w:hAnsi="Abadi" w:cs="*Arial-Italic-7130-Identity-H"/>
          <w:i/>
          <w:iCs/>
          <w:color w:val="0C0C0E"/>
          <w:sz w:val="21"/>
          <w:szCs w:val="21"/>
        </w:rPr>
        <w:t xml:space="preserve">distancia </w:t>
      </w:r>
      <w:r w:rsidRPr="009E34BC">
        <w:rPr>
          <w:rFonts w:ascii="Abadi" w:hAnsi="Abadi" w:cs="*Arial-7129-Identity-H"/>
          <w:color w:val="0C0C0E"/>
          <w:sz w:val="21"/>
          <w:szCs w:val="21"/>
        </w:rPr>
        <w:t>de fecha 17 de</w:t>
      </w:r>
      <w:r>
        <w:rPr>
          <w:rFonts w:ascii="Abadi" w:hAnsi="Abadi" w:cs="*Arial-7129-Identity-H"/>
          <w:color w:val="0C0C0E"/>
          <w:sz w:val="21"/>
          <w:szCs w:val="21"/>
        </w:rPr>
        <w:t xml:space="preserve"> </w:t>
      </w:r>
      <w:r w:rsidRPr="009E34BC">
        <w:rPr>
          <w:rFonts w:ascii="Abadi" w:hAnsi="Abadi" w:cs="*Arial-5891-Identity-H"/>
          <w:color w:val="0C0C0E"/>
          <w:sz w:val="21"/>
          <w:szCs w:val="21"/>
        </w:rPr>
        <w:t>marzo de 2020 y su décimo sexto acuerdo modificatorio, aprovechando las</w:t>
      </w:r>
      <w:r>
        <w:rPr>
          <w:rFonts w:ascii="Abadi" w:hAnsi="Abadi" w:cs="*Arial-5891-Identity-H"/>
          <w:color w:val="0C0C0E"/>
          <w:sz w:val="21"/>
          <w:szCs w:val="21"/>
        </w:rPr>
        <w:t xml:space="preserve"> </w:t>
      </w:r>
      <w:r w:rsidRPr="009E34BC">
        <w:rPr>
          <w:rFonts w:ascii="Abadi" w:hAnsi="Abadi" w:cs="*Arial-5891-Identity-H"/>
          <w:color w:val="0C0C0E"/>
          <w:sz w:val="21"/>
          <w:szCs w:val="21"/>
        </w:rPr>
        <w:t>herramientas tecnológicas de que dispone, así como la colaboración de los sujetos</w:t>
      </w:r>
      <w:r>
        <w:rPr>
          <w:rFonts w:ascii="Abadi" w:hAnsi="Abadi" w:cs="*Arial-5891-Identity-H"/>
          <w:color w:val="0C0C0E"/>
          <w:sz w:val="21"/>
          <w:szCs w:val="21"/>
        </w:rPr>
        <w:t xml:space="preserve"> </w:t>
      </w:r>
      <w:r w:rsidRPr="009E34BC">
        <w:rPr>
          <w:rFonts w:ascii="Abadi" w:hAnsi="Abadi" w:cs="*Arial-5891-Identity-H"/>
          <w:color w:val="0C0C0E"/>
          <w:sz w:val="21"/>
          <w:szCs w:val="21"/>
        </w:rPr>
        <w:t>de fiscalización.</w:t>
      </w:r>
    </w:p>
    <w:p w14:paraId="55FAAA3B" w14:textId="77777777" w:rsidR="000939C4" w:rsidRPr="009E34BC" w:rsidRDefault="000939C4" w:rsidP="000939C4">
      <w:pPr>
        <w:autoSpaceDE w:val="0"/>
        <w:autoSpaceDN w:val="0"/>
        <w:adjustRightInd w:val="0"/>
        <w:jc w:val="both"/>
        <w:rPr>
          <w:rFonts w:ascii="Abadi" w:hAnsi="Abadi" w:cs="*Arial-5891-Identity-H"/>
          <w:color w:val="0C0C0E"/>
          <w:sz w:val="21"/>
          <w:szCs w:val="21"/>
        </w:rPr>
      </w:pPr>
    </w:p>
    <w:p w14:paraId="0C61894E" w14:textId="77777777" w:rsidR="000939C4" w:rsidRDefault="000939C4" w:rsidP="000939C4">
      <w:pPr>
        <w:autoSpaceDE w:val="0"/>
        <w:autoSpaceDN w:val="0"/>
        <w:adjustRightInd w:val="0"/>
        <w:ind w:firstLine="567"/>
        <w:jc w:val="both"/>
        <w:rPr>
          <w:rFonts w:ascii="Abadi" w:hAnsi="Abadi" w:cs="*Arial-5891-Identity-H"/>
          <w:color w:val="0C0C0E"/>
          <w:sz w:val="21"/>
          <w:szCs w:val="21"/>
        </w:rPr>
      </w:pPr>
      <w:r w:rsidRPr="009E34BC">
        <w:rPr>
          <w:rFonts w:ascii="Abadi" w:hAnsi="Abadi" w:cs="*Arial-5891-Identity-H"/>
          <w:color w:val="0C0C0E"/>
          <w:sz w:val="21"/>
          <w:szCs w:val="21"/>
        </w:rPr>
        <w:t>Es así, que si bien, el proceso de fiscalización ha continuado observando</w:t>
      </w:r>
      <w:r>
        <w:rPr>
          <w:rFonts w:ascii="Abadi" w:hAnsi="Abadi" w:cs="*Arial-5891-Identity-H"/>
          <w:color w:val="0C0C0E"/>
          <w:sz w:val="21"/>
          <w:szCs w:val="21"/>
        </w:rPr>
        <w:t xml:space="preserve"> </w:t>
      </w:r>
      <w:r w:rsidRPr="009E34BC">
        <w:rPr>
          <w:rFonts w:ascii="Abadi" w:hAnsi="Abadi" w:cs="*Arial-5891-Identity-H"/>
          <w:color w:val="0C0C0E"/>
          <w:sz w:val="21"/>
          <w:szCs w:val="21"/>
        </w:rPr>
        <w:t>las medidas de confinamiento que las autoridades de salud han determinado y con</w:t>
      </w:r>
      <w:r>
        <w:rPr>
          <w:rFonts w:ascii="Abadi" w:hAnsi="Abadi" w:cs="*Arial-5891-Identity-H"/>
          <w:color w:val="0C0C0E"/>
          <w:sz w:val="21"/>
          <w:szCs w:val="21"/>
        </w:rPr>
        <w:t xml:space="preserve"> </w:t>
      </w:r>
      <w:r w:rsidRPr="009E34BC">
        <w:rPr>
          <w:rFonts w:ascii="Abadi" w:hAnsi="Abadi" w:cs="*Arial-5891-Identity-H"/>
          <w:color w:val="0C0C0E"/>
          <w:sz w:val="21"/>
          <w:szCs w:val="21"/>
        </w:rPr>
        <w:t>el uso de las tecnologías de la información, por la propia naturaleza de la</w:t>
      </w:r>
      <w:r>
        <w:rPr>
          <w:rFonts w:ascii="Abadi" w:hAnsi="Abadi" w:cs="*Arial-5891-Identity-H"/>
          <w:color w:val="0C0C0E"/>
          <w:sz w:val="21"/>
          <w:szCs w:val="21"/>
        </w:rPr>
        <w:t xml:space="preserve"> </w:t>
      </w:r>
      <w:r w:rsidRPr="009E34BC">
        <w:rPr>
          <w:rFonts w:ascii="Abadi" w:hAnsi="Abadi" w:cs="*Arial-5891-Identity-H"/>
          <w:color w:val="0C0C0E"/>
          <w:sz w:val="21"/>
          <w:szCs w:val="21"/>
        </w:rPr>
        <w:t>pandemia se generaron limitantes en la aplicación de los procedimientos de</w:t>
      </w:r>
      <w:r>
        <w:rPr>
          <w:rFonts w:ascii="Abadi" w:hAnsi="Abadi" w:cs="*Arial-5891-Identity-H"/>
          <w:color w:val="0C0C0E"/>
          <w:sz w:val="21"/>
          <w:szCs w:val="21"/>
        </w:rPr>
        <w:t xml:space="preserve"> </w:t>
      </w:r>
      <w:r w:rsidRPr="009E34BC">
        <w:rPr>
          <w:rFonts w:ascii="Abadi" w:hAnsi="Abadi" w:cs="*Arial-5891-Identity-H"/>
          <w:color w:val="0C0C0E"/>
          <w:sz w:val="21"/>
          <w:szCs w:val="21"/>
        </w:rPr>
        <w:t>auditoría.</w:t>
      </w:r>
    </w:p>
    <w:p w14:paraId="14DD3015" w14:textId="77777777" w:rsidR="000939C4" w:rsidRPr="009E34BC" w:rsidRDefault="000939C4" w:rsidP="000939C4">
      <w:pPr>
        <w:autoSpaceDE w:val="0"/>
        <w:autoSpaceDN w:val="0"/>
        <w:adjustRightInd w:val="0"/>
        <w:jc w:val="both"/>
        <w:rPr>
          <w:rFonts w:ascii="Abadi" w:hAnsi="Abadi" w:cs="*Arial-5891-Identity-H"/>
          <w:color w:val="0C0C0E"/>
          <w:sz w:val="21"/>
          <w:szCs w:val="21"/>
        </w:rPr>
      </w:pPr>
    </w:p>
    <w:p w14:paraId="048A58B2" w14:textId="77777777" w:rsidR="000939C4" w:rsidRPr="009E34BC" w:rsidRDefault="000939C4" w:rsidP="000939C4">
      <w:pPr>
        <w:autoSpaceDE w:val="0"/>
        <w:autoSpaceDN w:val="0"/>
        <w:adjustRightInd w:val="0"/>
        <w:ind w:firstLine="567"/>
        <w:jc w:val="both"/>
        <w:rPr>
          <w:rFonts w:ascii="Abadi" w:hAnsi="Abadi" w:cs="*Arial-5891-Identity-H"/>
          <w:color w:val="0D0D0F"/>
          <w:sz w:val="21"/>
          <w:szCs w:val="21"/>
        </w:rPr>
      </w:pPr>
      <w:r w:rsidRPr="009E34BC">
        <w:rPr>
          <w:rFonts w:ascii="Abadi" w:hAnsi="Abadi" w:cs="*Arial-5891-Identity-H"/>
          <w:color w:val="0D0D0F"/>
          <w:sz w:val="21"/>
          <w:szCs w:val="21"/>
        </w:rPr>
        <w:t>En tal sentido se priorizó el enfoque de derechos humanos, velando por la</w:t>
      </w:r>
      <w:r>
        <w:rPr>
          <w:rFonts w:ascii="Abadi" w:hAnsi="Abadi" w:cs="*Arial-5891-Identity-H"/>
          <w:color w:val="0D0D0F"/>
          <w:sz w:val="21"/>
          <w:szCs w:val="21"/>
        </w:rPr>
        <w:t xml:space="preserve"> </w:t>
      </w:r>
      <w:r w:rsidRPr="009E34BC">
        <w:rPr>
          <w:rFonts w:ascii="Abadi" w:hAnsi="Abadi" w:cs="*Arial-5891-Identity-H"/>
          <w:color w:val="0D0D0F"/>
          <w:sz w:val="21"/>
          <w:szCs w:val="21"/>
        </w:rPr>
        <w:t>protección del derecho humano a la salud, respetando las limitaciones y</w:t>
      </w:r>
      <w:r>
        <w:rPr>
          <w:rFonts w:ascii="Abadi" w:hAnsi="Abadi" w:cs="*Arial-5891-Identity-H"/>
          <w:color w:val="0D0D0F"/>
          <w:sz w:val="21"/>
          <w:szCs w:val="21"/>
        </w:rPr>
        <w:t xml:space="preserve"> </w:t>
      </w:r>
      <w:r w:rsidRPr="009E34BC">
        <w:rPr>
          <w:rFonts w:ascii="Abadi" w:hAnsi="Abadi" w:cs="*Arial-5891-Identity-H"/>
          <w:color w:val="0D0D0F"/>
          <w:sz w:val="21"/>
          <w:szCs w:val="21"/>
        </w:rPr>
        <w:t>restricciones a los derechos humanos establecidas en la propia Constitución.</w:t>
      </w:r>
    </w:p>
    <w:p w14:paraId="4A794795" w14:textId="77777777" w:rsidR="000939C4" w:rsidRDefault="000939C4" w:rsidP="000939C4">
      <w:pPr>
        <w:autoSpaceDE w:val="0"/>
        <w:autoSpaceDN w:val="0"/>
        <w:adjustRightInd w:val="0"/>
        <w:jc w:val="both"/>
        <w:rPr>
          <w:rFonts w:ascii="Abadi" w:hAnsi="Abadi" w:cs="*Arial-Bold-5892-Identity-H"/>
          <w:b/>
          <w:bCs/>
          <w:color w:val="0D0D12"/>
          <w:sz w:val="21"/>
          <w:szCs w:val="21"/>
        </w:rPr>
      </w:pPr>
    </w:p>
    <w:p w14:paraId="29BBEB55" w14:textId="77777777" w:rsidR="000939C4" w:rsidRDefault="000939C4" w:rsidP="000939C4">
      <w:pPr>
        <w:autoSpaceDE w:val="0"/>
        <w:autoSpaceDN w:val="0"/>
        <w:adjustRightInd w:val="0"/>
        <w:ind w:firstLine="567"/>
        <w:jc w:val="both"/>
        <w:rPr>
          <w:rFonts w:ascii="Abadi" w:hAnsi="Abadi" w:cs="*Arial-Bold-5892-Identity-H"/>
          <w:b/>
          <w:bCs/>
          <w:color w:val="0D0D12"/>
          <w:sz w:val="21"/>
          <w:szCs w:val="21"/>
        </w:rPr>
      </w:pPr>
      <w:r w:rsidRPr="009E34BC">
        <w:rPr>
          <w:rFonts w:ascii="Abadi" w:hAnsi="Abadi" w:cs="*Arial-Bold-5892-Identity-H"/>
          <w:b/>
          <w:bCs/>
          <w:color w:val="0D0D12"/>
          <w:sz w:val="21"/>
          <w:szCs w:val="21"/>
        </w:rPr>
        <w:t>e) Resumen de las recomendaciones.</w:t>
      </w:r>
    </w:p>
    <w:p w14:paraId="293FEB4E" w14:textId="77777777" w:rsidR="000939C4" w:rsidRPr="009E34BC" w:rsidRDefault="000939C4" w:rsidP="000939C4">
      <w:pPr>
        <w:autoSpaceDE w:val="0"/>
        <w:autoSpaceDN w:val="0"/>
        <w:adjustRightInd w:val="0"/>
        <w:jc w:val="both"/>
        <w:rPr>
          <w:rFonts w:ascii="Abadi" w:hAnsi="Abadi" w:cs="*Arial-Bold-5892-Identity-H"/>
          <w:b/>
          <w:bCs/>
          <w:color w:val="0D0D12"/>
          <w:sz w:val="21"/>
          <w:szCs w:val="21"/>
        </w:rPr>
      </w:pPr>
    </w:p>
    <w:p w14:paraId="1432D77F" w14:textId="77777777" w:rsidR="000939C4" w:rsidRPr="009E34BC" w:rsidRDefault="000939C4" w:rsidP="000939C4">
      <w:pPr>
        <w:autoSpaceDE w:val="0"/>
        <w:autoSpaceDN w:val="0"/>
        <w:adjustRightInd w:val="0"/>
        <w:ind w:firstLine="567"/>
        <w:jc w:val="both"/>
        <w:rPr>
          <w:rFonts w:ascii="Abadi" w:hAnsi="Abadi" w:cs="*Arial-5891-Identity-H"/>
          <w:color w:val="0D0D0F"/>
          <w:sz w:val="21"/>
          <w:szCs w:val="21"/>
        </w:rPr>
      </w:pPr>
      <w:r w:rsidRPr="009E34BC">
        <w:rPr>
          <w:rFonts w:ascii="Abadi" w:hAnsi="Abadi" w:cs="*Arial-5891-Identity-H"/>
          <w:color w:val="0D0D0F"/>
          <w:sz w:val="21"/>
          <w:szCs w:val="21"/>
        </w:rPr>
        <w:t>En este punto se establece un resumen exclusivamente de los resultados</w:t>
      </w:r>
      <w:r>
        <w:rPr>
          <w:rFonts w:ascii="Abadi" w:hAnsi="Abadi" w:cs="*Arial-5891-Identity-H"/>
          <w:color w:val="0D0D0F"/>
          <w:sz w:val="21"/>
          <w:szCs w:val="21"/>
        </w:rPr>
        <w:t xml:space="preserve"> </w:t>
      </w:r>
      <w:r w:rsidRPr="009E34BC">
        <w:rPr>
          <w:rFonts w:ascii="Abadi" w:hAnsi="Abadi" w:cs="*Arial-5891-Identity-H"/>
          <w:color w:val="0D0D0F"/>
          <w:sz w:val="21"/>
          <w:szCs w:val="21"/>
        </w:rPr>
        <w:t>que generaron recomendación producto de un área de oportunidad o mejora</w:t>
      </w:r>
      <w:r>
        <w:rPr>
          <w:rFonts w:ascii="Abadi" w:hAnsi="Abadi" w:cs="*Arial-5891-Identity-H"/>
          <w:color w:val="0D0D0F"/>
          <w:sz w:val="21"/>
          <w:szCs w:val="21"/>
        </w:rPr>
        <w:t xml:space="preserve"> </w:t>
      </w:r>
      <w:r w:rsidRPr="009E34BC">
        <w:rPr>
          <w:rFonts w:ascii="Abadi" w:hAnsi="Abadi" w:cs="*Arial-5891-Identity-H"/>
          <w:color w:val="0D0D0F"/>
          <w:sz w:val="21"/>
          <w:szCs w:val="21"/>
        </w:rPr>
        <w:t>sugerida por el Órgano Técnico, agrupados bajo su respectiva vertiente, con su</w:t>
      </w:r>
      <w:r>
        <w:rPr>
          <w:rFonts w:ascii="Abadi" w:hAnsi="Abadi" w:cs="*Arial-5891-Identity-H"/>
          <w:color w:val="0D0D0F"/>
          <w:sz w:val="21"/>
          <w:szCs w:val="21"/>
        </w:rPr>
        <w:t xml:space="preserve"> </w:t>
      </w:r>
      <w:r w:rsidRPr="009E34BC">
        <w:rPr>
          <w:rFonts w:ascii="Abadi" w:hAnsi="Abadi" w:cs="*Arial-5891-Identity-H"/>
          <w:color w:val="0D0D0F"/>
          <w:sz w:val="21"/>
          <w:szCs w:val="21"/>
        </w:rPr>
        <w:t>síntesis de la valoración efectuada, precisando que del análisis a la respuesta del</w:t>
      </w:r>
      <w:r>
        <w:rPr>
          <w:rFonts w:ascii="Abadi" w:hAnsi="Abadi" w:cs="*Arial-5891-Identity-H"/>
          <w:color w:val="0D0D0F"/>
          <w:sz w:val="21"/>
          <w:szCs w:val="21"/>
        </w:rPr>
        <w:t xml:space="preserve"> </w:t>
      </w:r>
      <w:r w:rsidRPr="009E34BC">
        <w:rPr>
          <w:rFonts w:ascii="Abadi" w:hAnsi="Abadi" w:cs="*Arial-5891-Identity-H"/>
          <w:color w:val="0D0D0F"/>
          <w:sz w:val="21"/>
          <w:szCs w:val="21"/>
        </w:rPr>
        <w:t xml:space="preserve">pliego de recomendaciones se desprende que el sujeto fiscalizado en </w:t>
      </w:r>
    </w:p>
    <w:p w14:paraId="7D81D389" w14:textId="77777777" w:rsidR="000939C4" w:rsidRPr="009E34BC" w:rsidRDefault="000939C4" w:rsidP="000939C4">
      <w:pPr>
        <w:autoSpaceDE w:val="0"/>
        <w:autoSpaceDN w:val="0"/>
        <w:adjustRightInd w:val="0"/>
        <w:jc w:val="both"/>
        <w:rPr>
          <w:rFonts w:ascii="Abadi" w:hAnsi="Abadi" w:cs="*Arial-5891-Identity-H"/>
          <w:color w:val="0D0D0F"/>
          <w:sz w:val="21"/>
          <w:szCs w:val="21"/>
        </w:rPr>
      </w:pPr>
      <w:r w:rsidRPr="009E34BC">
        <w:rPr>
          <w:rFonts w:ascii="Abadi" w:hAnsi="Abadi" w:cs="*Arial-5891-Identity-H"/>
          <w:color w:val="0D0D0F"/>
          <w:sz w:val="21"/>
          <w:szCs w:val="21"/>
        </w:rPr>
        <w:t>recomendación realizó acciones de mejora; y en las 11 restantes se comprometió</w:t>
      </w:r>
      <w:r>
        <w:rPr>
          <w:rFonts w:ascii="Abadi" w:hAnsi="Abadi" w:cs="*Arial-5891-Identity-H"/>
          <w:color w:val="0D0D0F"/>
          <w:sz w:val="21"/>
          <w:szCs w:val="21"/>
        </w:rPr>
        <w:t xml:space="preserve"> </w:t>
      </w:r>
      <w:r w:rsidRPr="009E34BC">
        <w:rPr>
          <w:rFonts w:ascii="Abadi" w:hAnsi="Abadi" w:cs="*Arial-5891-Identity-H"/>
          <w:color w:val="0D0D0F"/>
          <w:sz w:val="21"/>
          <w:szCs w:val="21"/>
        </w:rPr>
        <w:t>a realizar acciones en un plazo futuro para su atención. A dichas</w:t>
      </w:r>
      <w:r>
        <w:rPr>
          <w:rFonts w:ascii="Abadi" w:hAnsi="Abadi" w:cs="*Arial-5891-Identity-H"/>
          <w:color w:val="0D0D0F"/>
          <w:sz w:val="21"/>
          <w:szCs w:val="21"/>
        </w:rPr>
        <w:t xml:space="preserve"> </w:t>
      </w:r>
      <w:r w:rsidRPr="009E34BC">
        <w:rPr>
          <w:rFonts w:ascii="Abadi" w:hAnsi="Abadi" w:cs="*Arial-5891-Identity-H"/>
          <w:color w:val="0D0D0F"/>
          <w:sz w:val="21"/>
          <w:szCs w:val="21"/>
        </w:rPr>
        <w:t>recomendaciones dará seguimiento el Órgano Técnico en la etapa</w:t>
      </w:r>
      <w:r>
        <w:rPr>
          <w:rFonts w:ascii="Abadi" w:hAnsi="Abadi" w:cs="*Arial-5891-Identity-H"/>
          <w:color w:val="0D0D0F"/>
          <w:sz w:val="21"/>
          <w:szCs w:val="21"/>
        </w:rPr>
        <w:t xml:space="preserve"> </w:t>
      </w:r>
      <w:r w:rsidRPr="009E34BC">
        <w:rPr>
          <w:rFonts w:ascii="Abadi" w:hAnsi="Abadi" w:cs="*Arial-5891-Identity-H"/>
          <w:color w:val="0D0D0F"/>
          <w:sz w:val="21"/>
          <w:szCs w:val="21"/>
        </w:rPr>
        <w:t>correspondiente, de conformidad con el ordenamiento legal. respectivo.</w:t>
      </w:r>
    </w:p>
    <w:p w14:paraId="789D3C02" w14:textId="77777777" w:rsidR="000939C4" w:rsidRDefault="000939C4" w:rsidP="000939C4">
      <w:pPr>
        <w:autoSpaceDE w:val="0"/>
        <w:autoSpaceDN w:val="0"/>
        <w:adjustRightInd w:val="0"/>
        <w:jc w:val="both"/>
        <w:rPr>
          <w:rFonts w:ascii="Abadi" w:hAnsi="Abadi" w:cs="*Arial-Bold-5892-Identity-H"/>
          <w:b/>
          <w:bCs/>
          <w:color w:val="0B0B0F"/>
          <w:sz w:val="21"/>
          <w:szCs w:val="21"/>
        </w:rPr>
      </w:pPr>
    </w:p>
    <w:p w14:paraId="431401B4" w14:textId="77777777" w:rsidR="000939C4" w:rsidRDefault="000939C4" w:rsidP="000939C4">
      <w:pPr>
        <w:autoSpaceDE w:val="0"/>
        <w:autoSpaceDN w:val="0"/>
        <w:adjustRightInd w:val="0"/>
        <w:ind w:firstLine="708"/>
        <w:jc w:val="both"/>
        <w:rPr>
          <w:rFonts w:ascii="Abadi" w:hAnsi="Abadi" w:cs="*Arial-Bold-5892-Identity-H"/>
          <w:b/>
          <w:bCs/>
          <w:color w:val="0B0B0F"/>
          <w:sz w:val="21"/>
          <w:szCs w:val="21"/>
        </w:rPr>
      </w:pPr>
      <w:r w:rsidRPr="009E34BC">
        <w:rPr>
          <w:rFonts w:ascii="Abadi" w:hAnsi="Abadi" w:cs="*Arial-Bold-5892-Identity-H"/>
          <w:b/>
          <w:bCs/>
          <w:color w:val="0B0B0F"/>
          <w:sz w:val="21"/>
          <w:szCs w:val="21"/>
        </w:rPr>
        <w:t>d) Conclusión General.</w:t>
      </w:r>
    </w:p>
    <w:p w14:paraId="71921C4C" w14:textId="77777777" w:rsidR="000939C4" w:rsidRPr="009E34BC" w:rsidRDefault="000939C4" w:rsidP="000939C4">
      <w:pPr>
        <w:autoSpaceDE w:val="0"/>
        <w:autoSpaceDN w:val="0"/>
        <w:adjustRightInd w:val="0"/>
        <w:jc w:val="both"/>
        <w:rPr>
          <w:rFonts w:ascii="Abadi" w:hAnsi="Abadi" w:cs="*Arial-Bold-5892-Identity-H"/>
          <w:b/>
          <w:bCs/>
          <w:color w:val="0B0B0F"/>
          <w:sz w:val="21"/>
          <w:szCs w:val="21"/>
        </w:rPr>
      </w:pPr>
    </w:p>
    <w:p w14:paraId="0D547B82" w14:textId="77777777" w:rsidR="000939C4" w:rsidRDefault="000939C4" w:rsidP="000939C4">
      <w:pPr>
        <w:autoSpaceDE w:val="0"/>
        <w:autoSpaceDN w:val="0"/>
        <w:adjustRightInd w:val="0"/>
        <w:ind w:firstLine="708"/>
        <w:jc w:val="both"/>
        <w:rPr>
          <w:rFonts w:ascii="Abadi" w:hAnsi="Abadi" w:cs="*Arial-5891-Identity-H"/>
          <w:color w:val="0E0D10"/>
          <w:sz w:val="21"/>
          <w:szCs w:val="21"/>
        </w:rPr>
      </w:pPr>
      <w:r w:rsidRPr="009E34BC">
        <w:rPr>
          <w:rFonts w:ascii="Abadi" w:hAnsi="Abadi" w:cs="*Arial-5891-Identity-H"/>
          <w:color w:val="0E0D10"/>
          <w:sz w:val="21"/>
          <w:szCs w:val="21"/>
        </w:rPr>
        <w:t>La Auditoría Superior del Estado concluyó que los serv</w:t>
      </w:r>
      <w:r>
        <w:rPr>
          <w:rFonts w:ascii="Abadi" w:hAnsi="Abadi" w:cs="*Arial-5891-Identity-H"/>
          <w:color w:val="0E0D10"/>
          <w:sz w:val="21"/>
          <w:szCs w:val="21"/>
        </w:rPr>
        <w:t>icios</w:t>
      </w:r>
      <w:r w:rsidRPr="009E34BC">
        <w:rPr>
          <w:rFonts w:ascii="Abadi" w:hAnsi="Abadi" w:cs="*Arial-5891-Identity-H"/>
          <w:color w:val="0E0D10"/>
          <w:sz w:val="21"/>
          <w:szCs w:val="21"/>
        </w:rPr>
        <w:t xml:space="preserve"> públicos se</w:t>
      </w:r>
      <w:r>
        <w:rPr>
          <w:rFonts w:ascii="Abadi" w:hAnsi="Abadi" w:cs="*Arial-5891-Identity-H"/>
          <w:color w:val="0E0D10"/>
          <w:sz w:val="21"/>
          <w:szCs w:val="21"/>
        </w:rPr>
        <w:t xml:space="preserve"> </w:t>
      </w:r>
      <w:r w:rsidRPr="009E34BC">
        <w:rPr>
          <w:rFonts w:ascii="Abadi" w:hAnsi="Abadi" w:cs="*Arial-5891-Identity-H"/>
          <w:color w:val="0E0D10"/>
          <w:sz w:val="21"/>
          <w:szCs w:val="21"/>
        </w:rPr>
        <w:t>pueden entender como toda prestación concreta que tienda a satisfacer, de</w:t>
      </w:r>
      <w:r>
        <w:rPr>
          <w:rFonts w:ascii="Abadi" w:hAnsi="Abadi" w:cs="*Arial-5891-Identity-H"/>
          <w:color w:val="0E0D10"/>
          <w:sz w:val="21"/>
          <w:szCs w:val="21"/>
        </w:rPr>
        <w:t xml:space="preserve"> </w:t>
      </w:r>
      <w:r w:rsidRPr="009E34BC">
        <w:rPr>
          <w:rFonts w:ascii="Abadi" w:hAnsi="Abadi" w:cs="*Arial-5891-Identity-H"/>
          <w:color w:val="0E0D10"/>
          <w:sz w:val="21"/>
          <w:szCs w:val="21"/>
        </w:rPr>
        <w:t>manera regular, continua y uniforme, las necesidades sociales de carácter</w:t>
      </w:r>
      <w:r>
        <w:rPr>
          <w:rFonts w:ascii="Abadi" w:hAnsi="Abadi" w:cs="*Arial-5891-Identity-H"/>
          <w:color w:val="0E0D10"/>
          <w:sz w:val="21"/>
          <w:szCs w:val="21"/>
        </w:rPr>
        <w:t xml:space="preserve"> </w:t>
      </w:r>
      <w:r w:rsidRPr="009E34BC">
        <w:rPr>
          <w:rFonts w:ascii="Abadi" w:hAnsi="Abadi" w:cs="*Arial-5891-Identity-H"/>
          <w:color w:val="0E0D10"/>
          <w:sz w:val="21"/>
          <w:szCs w:val="21"/>
        </w:rPr>
        <w:t>general, básico o fundamental, en beneficio indiscriminado de toda la ciudadanía.</w:t>
      </w:r>
    </w:p>
    <w:p w14:paraId="7D12F347" w14:textId="77777777" w:rsidR="000939C4" w:rsidRPr="009E34BC" w:rsidRDefault="000939C4" w:rsidP="000939C4">
      <w:pPr>
        <w:autoSpaceDE w:val="0"/>
        <w:autoSpaceDN w:val="0"/>
        <w:adjustRightInd w:val="0"/>
        <w:jc w:val="both"/>
        <w:rPr>
          <w:rFonts w:ascii="Abadi" w:hAnsi="Abadi" w:cs="*Arial-5891-Identity-H"/>
          <w:color w:val="0E0D10"/>
          <w:sz w:val="21"/>
          <w:szCs w:val="21"/>
        </w:rPr>
      </w:pPr>
    </w:p>
    <w:p w14:paraId="5B0BEED1" w14:textId="77777777" w:rsidR="000939C4" w:rsidRPr="009E34BC" w:rsidRDefault="000939C4" w:rsidP="000939C4">
      <w:pPr>
        <w:autoSpaceDE w:val="0"/>
        <w:autoSpaceDN w:val="0"/>
        <w:adjustRightInd w:val="0"/>
        <w:ind w:firstLine="708"/>
        <w:jc w:val="both"/>
        <w:rPr>
          <w:rFonts w:ascii="Abadi" w:hAnsi="Abadi" w:cs="*Arial-5891-Identity-H"/>
          <w:color w:val="0E0D10"/>
          <w:sz w:val="21"/>
          <w:szCs w:val="21"/>
        </w:rPr>
      </w:pPr>
      <w:r w:rsidRPr="009E34BC">
        <w:rPr>
          <w:rFonts w:ascii="Abadi" w:hAnsi="Abadi" w:cs="*Arial-5891-Identity-H"/>
          <w:color w:val="0E0D10"/>
          <w:sz w:val="21"/>
          <w:szCs w:val="21"/>
        </w:rPr>
        <w:t>De su adecuada prestación depende, en cierta medida, la calidad de vida de las</w:t>
      </w:r>
      <w:r>
        <w:rPr>
          <w:rFonts w:ascii="Abadi" w:hAnsi="Abadi" w:cs="*Arial-5891-Identity-H"/>
          <w:color w:val="0E0D10"/>
          <w:sz w:val="21"/>
          <w:szCs w:val="21"/>
        </w:rPr>
        <w:t xml:space="preserve"> </w:t>
      </w:r>
      <w:r w:rsidRPr="009E34BC">
        <w:rPr>
          <w:rFonts w:ascii="Abadi" w:hAnsi="Abadi" w:cs="*Arial-5891-Identity-H"/>
          <w:color w:val="0E0D10"/>
          <w:sz w:val="21"/>
          <w:szCs w:val="21"/>
        </w:rPr>
        <w:t>personas.</w:t>
      </w:r>
    </w:p>
    <w:p w14:paraId="73D5A3DC" w14:textId="77777777" w:rsidR="000939C4" w:rsidRPr="009E34BC" w:rsidRDefault="000939C4" w:rsidP="000939C4">
      <w:pPr>
        <w:jc w:val="both"/>
        <w:rPr>
          <w:rFonts w:ascii="Abadi" w:hAnsi="Abadi" w:cs="*Arial-5891-Identity-H"/>
          <w:color w:val="0E0D10"/>
          <w:sz w:val="21"/>
          <w:szCs w:val="21"/>
        </w:rPr>
      </w:pPr>
    </w:p>
    <w:p w14:paraId="65FC2A40" w14:textId="77777777" w:rsidR="000939C4" w:rsidRDefault="000939C4" w:rsidP="000939C4">
      <w:pPr>
        <w:autoSpaceDE w:val="0"/>
        <w:autoSpaceDN w:val="0"/>
        <w:adjustRightInd w:val="0"/>
        <w:ind w:firstLine="708"/>
        <w:jc w:val="both"/>
        <w:rPr>
          <w:rFonts w:ascii="Abadi" w:hAnsi="Abadi" w:cs="*Arial-7230-Identity-H"/>
          <w:color w:val="0C0B0E"/>
          <w:sz w:val="21"/>
          <w:szCs w:val="21"/>
        </w:rPr>
      </w:pPr>
      <w:r w:rsidRPr="009E34BC">
        <w:rPr>
          <w:rFonts w:ascii="Abadi" w:hAnsi="Abadi" w:cs="*Arial-7230-Identity-H"/>
          <w:color w:val="0C0B0E"/>
          <w:sz w:val="21"/>
          <w:szCs w:val="21"/>
        </w:rPr>
        <w:t xml:space="preserve">De igual forma, se refiere que el artículo 115, fracción </w:t>
      </w:r>
      <w:r>
        <w:rPr>
          <w:rFonts w:ascii="Abadi" w:hAnsi="Abadi" w:cs="*Arial-7230-Identity-H"/>
          <w:color w:val="0C0B0E"/>
          <w:sz w:val="21"/>
          <w:szCs w:val="21"/>
        </w:rPr>
        <w:t>III</w:t>
      </w:r>
      <w:r w:rsidRPr="009E34BC">
        <w:rPr>
          <w:rFonts w:ascii="Abadi" w:hAnsi="Abadi" w:cs="*Arial-7230-Identity-H"/>
          <w:color w:val="0C0B0E"/>
          <w:sz w:val="21"/>
          <w:szCs w:val="21"/>
        </w:rPr>
        <w:t>, inciso b, de la</w:t>
      </w:r>
      <w:r>
        <w:rPr>
          <w:rFonts w:ascii="Abadi" w:hAnsi="Abadi" w:cs="*Arial-7230-Identity-H"/>
          <w:color w:val="0C0B0E"/>
          <w:sz w:val="21"/>
          <w:szCs w:val="21"/>
        </w:rPr>
        <w:t xml:space="preserve"> </w:t>
      </w:r>
      <w:r w:rsidRPr="009E34BC">
        <w:rPr>
          <w:rFonts w:ascii="Abadi" w:hAnsi="Abadi" w:cs="*Arial-7230-Identity-H"/>
          <w:color w:val="0C0B0E"/>
          <w:sz w:val="21"/>
          <w:szCs w:val="21"/>
        </w:rPr>
        <w:t>Constitución Política de los Estados Unidos Mexicanos establece al alumbrado</w:t>
      </w:r>
      <w:r>
        <w:rPr>
          <w:rFonts w:ascii="Abadi" w:hAnsi="Abadi" w:cs="*Arial-7230-Identity-H"/>
          <w:color w:val="0C0B0E"/>
          <w:sz w:val="21"/>
          <w:szCs w:val="21"/>
        </w:rPr>
        <w:t xml:space="preserve"> </w:t>
      </w:r>
      <w:r w:rsidRPr="009E34BC">
        <w:rPr>
          <w:rFonts w:ascii="Abadi" w:hAnsi="Abadi" w:cs="*Arial-7230-Identity-H"/>
          <w:color w:val="0C0B0E"/>
          <w:sz w:val="21"/>
          <w:szCs w:val="21"/>
        </w:rPr>
        <w:t>público como uno de los servicios públicos que los municipios tienen a su cargo.</w:t>
      </w:r>
    </w:p>
    <w:p w14:paraId="15EDD8DB" w14:textId="77777777" w:rsidR="000939C4" w:rsidRPr="009E34BC" w:rsidRDefault="000939C4" w:rsidP="000939C4">
      <w:pPr>
        <w:autoSpaceDE w:val="0"/>
        <w:autoSpaceDN w:val="0"/>
        <w:adjustRightInd w:val="0"/>
        <w:jc w:val="both"/>
        <w:rPr>
          <w:rFonts w:ascii="Abadi" w:hAnsi="Abadi" w:cs="*Arial-7230-Identity-H"/>
          <w:color w:val="0C0B0E"/>
          <w:sz w:val="21"/>
          <w:szCs w:val="21"/>
        </w:rPr>
      </w:pPr>
    </w:p>
    <w:p w14:paraId="60A509D8" w14:textId="77777777" w:rsidR="000939C4" w:rsidRDefault="000939C4" w:rsidP="000939C4">
      <w:pPr>
        <w:autoSpaceDE w:val="0"/>
        <w:autoSpaceDN w:val="0"/>
        <w:adjustRightInd w:val="0"/>
        <w:ind w:firstLine="708"/>
        <w:jc w:val="both"/>
        <w:rPr>
          <w:rFonts w:ascii="Abadi" w:hAnsi="Abadi" w:cs="*Arial-7230-Identity-H"/>
          <w:color w:val="0C0B0E"/>
          <w:sz w:val="21"/>
          <w:szCs w:val="21"/>
        </w:rPr>
      </w:pPr>
      <w:r w:rsidRPr="009E34BC">
        <w:rPr>
          <w:rFonts w:ascii="Abadi" w:hAnsi="Abadi" w:cs="*Arial-7230-Identity-H"/>
          <w:color w:val="0C0B0E"/>
          <w:sz w:val="21"/>
          <w:szCs w:val="21"/>
        </w:rPr>
        <w:t>Por su parte, a nivel local, en el artículo 117 de la Constitución Política para el</w:t>
      </w:r>
      <w:r>
        <w:rPr>
          <w:rFonts w:ascii="Abadi" w:hAnsi="Abadi" w:cs="*Arial-7230-Identity-H"/>
          <w:color w:val="0C0B0E"/>
          <w:sz w:val="21"/>
          <w:szCs w:val="21"/>
        </w:rPr>
        <w:t xml:space="preserve"> </w:t>
      </w:r>
      <w:r w:rsidRPr="009E34BC">
        <w:rPr>
          <w:rFonts w:ascii="Abadi" w:hAnsi="Abadi" w:cs="*Arial-7230-Identity-H"/>
          <w:color w:val="0C0B0E"/>
          <w:sz w:val="21"/>
          <w:szCs w:val="21"/>
        </w:rPr>
        <w:t>Estado de Guanajuato se dispone la misma responsabilidad para este ámbito de</w:t>
      </w:r>
      <w:r>
        <w:rPr>
          <w:rFonts w:ascii="Abadi" w:hAnsi="Abadi" w:cs="*Arial-7230-Identity-H"/>
          <w:color w:val="0C0B0E"/>
          <w:sz w:val="21"/>
          <w:szCs w:val="21"/>
        </w:rPr>
        <w:t xml:space="preserve"> </w:t>
      </w:r>
      <w:r w:rsidRPr="009E34BC">
        <w:rPr>
          <w:rFonts w:ascii="Abadi" w:hAnsi="Abadi" w:cs="*Arial-7230-Identity-H"/>
          <w:color w:val="0C0B0E"/>
          <w:sz w:val="21"/>
          <w:szCs w:val="21"/>
        </w:rPr>
        <w:t>gobierno.</w:t>
      </w:r>
    </w:p>
    <w:p w14:paraId="36779DD4" w14:textId="77777777" w:rsidR="000939C4" w:rsidRPr="009E34BC" w:rsidRDefault="000939C4" w:rsidP="000939C4">
      <w:pPr>
        <w:autoSpaceDE w:val="0"/>
        <w:autoSpaceDN w:val="0"/>
        <w:adjustRightInd w:val="0"/>
        <w:jc w:val="both"/>
        <w:rPr>
          <w:rFonts w:ascii="Abadi" w:hAnsi="Abadi" w:cs="*Arial-7230-Identity-H"/>
          <w:color w:val="0C0B0E"/>
          <w:sz w:val="21"/>
          <w:szCs w:val="21"/>
        </w:rPr>
      </w:pPr>
    </w:p>
    <w:p w14:paraId="25EE993F" w14:textId="77777777" w:rsidR="000939C4" w:rsidRDefault="000939C4" w:rsidP="000939C4">
      <w:pPr>
        <w:autoSpaceDE w:val="0"/>
        <w:autoSpaceDN w:val="0"/>
        <w:adjustRightInd w:val="0"/>
        <w:ind w:firstLine="708"/>
        <w:jc w:val="both"/>
        <w:rPr>
          <w:rFonts w:ascii="Abadi" w:hAnsi="Abadi" w:cs="*Arial-7230-Identity-H"/>
          <w:color w:val="0B0B0E"/>
          <w:sz w:val="21"/>
          <w:szCs w:val="21"/>
        </w:rPr>
      </w:pPr>
      <w:r w:rsidRPr="009E34BC">
        <w:rPr>
          <w:rFonts w:ascii="Abadi" w:hAnsi="Abadi" w:cs="*Arial-7230-Identity-H"/>
          <w:color w:val="0B0B0E"/>
          <w:sz w:val="21"/>
          <w:szCs w:val="21"/>
        </w:rPr>
        <w:t>En este sentido, el alumbrado público es un serv1c10 que tiene como</w:t>
      </w:r>
      <w:r>
        <w:rPr>
          <w:rFonts w:ascii="Abadi" w:hAnsi="Abadi" w:cs="*Arial-7230-Identity-H"/>
          <w:color w:val="0B0B0E"/>
          <w:sz w:val="21"/>
          <w:szCs w:val="21"/>
        </w:rPr>
        <w:t xml:space="preserve"> </w:t>
      </w:r>
      <w:r w:rsidRPr="009E34BC">
        <w:rPr>
          <w:rFonts w:ascii="Abadi" w:hAnsi="Abadi" w:cs="*Arial-7230-Identity-H"/>
          <w:color w:val="0B0B0E"/>
          <w:sz w:val="21"/>
          <w:szCs w:val="21"/>
        </w:rPr>
        <w:t>objetivo el desarrollo de un entorno cómodo y seguro para facilitar la movilidad de</w:t>
      </w:r>
      <w:r>
        <w:rPr>
          <w:rFonts w:ascii="Abadi" w:hAnsi="Abadi" w:cs="*Arial-7230-Identity-H"/>
          <w:color w:val="0B0B0E"/>
          <w:sz w:val="21"/>
          <w:szCs w:val="21"/>
        </w:rPr>
        <w:t xml:space="preserve"> </w:t>
      </w:r>
      <w:r w:rsidRPr="009E34BC">
        <w:rPr>
          <w:rFonts w:ascii="Abadi" w:hAnsi="Abadi" w:cs="*Arial-7230-Identity-H"/>
          <w:color w:val="0B0B0E"/>
          <w:sz w:val="21"/>
          <w:szCs w:val="21"/>
        </w:rPr>
        <w:t>la población, el disfrute de la ciudad, del patrimonio cultural y de los espacios</w:t>
      </w:r>
      <w:r>
        <w:rPr>
          <w:rFonts w:ascii="Abadi" w:hAnsi="Abadi" w:cs="*Arial-7230-Identity-H"/>
          <w:color w:val="0B0B0E"/>
          <w:sz w:val="21"/>
          <w:szCs w:val="21"/>
        </w:rPr>
        <w:t xml:space="preserve"> </w:t>
      </w:r>
      <w:r w:rsidRPr="009E34BC">
        <w:rPr>
          <w:rFonts w:ascii="Abadi" w:hAnsi="Abadi" w:cs="*Arial-7230-Identity-H"/>
          <w:color w:val="0B0B0E"/>
          <w:sz w:val="21"/>
          <w:szCs w:val="21"/>
        </w:rPr>
        <w:t>públicos; a su vez, mantiene una estrecha relación con la creación de condiciones</w:t>
      </w:r>
      <w:r>
        <w:rPr>
          <w:rFonts w:ascii="Abadi" w:hAnsi="Abadi" w:cs="*Arial-7230-Identity-H"/>
          <w:color w:val="0B0B0E"/>
          <w:sz w:val="21"/>
          <w:szCs w:val="21"/>
        </w:rPr>
        <w:t xml:space="preserve"> </w:t>
      </w:r>
      <w:r w:rsidRPr="009E34BC">
        <w:rPr>
          <w:rFonts w:ascii="Abadi" w:hAnsi="Abadi" w:cs="*Arial-7230-Identity-H"/>
          <w:color w:val="0B0B0E"/>
          <w:sz w:val="21"/>
          <w:szCs w:val="21"/>
        </w:rPr>
        <w:t>de seguridad en la vida cotidiana de la población, esto último por considerase un</w:t>
      </w:r>
      <w:r>
        <w:rPr>
          <w:rFonts w:ascii="Abadi" w:hAnsi="Abadi" w:cs="*Arial-7230-Identity-H"/>
          <w:color w:val="0B0B0E"/>
          <w:sz w:val="21"/>
          <w:szCs w:val="21"/>
        </w:rPr>
        <w:t xml:space="preserve"> </w:t>
      </w:r>
      <w:r w:rsidRPr="009E34BC">
        <w:rPr>
          <w:rFonts w:ascii="Abadi" w:hAnsi="Abadi" w:cs="*Arial-7230-Identity-H"/>
          <w:color w:val="0B0B0E"/>
          <w:sz w:val="21"/>
          <w:szCs w:val="21"/>
        </w:rPr>
        <w:t>factor que contribuye a reducir la percepción de inseguridad.</w:t>
      </w:r>
    </w:p>
    <w:p w14:paraId="4D79C773" w14:textId="77777777" w:rsidR="000939C4" w:rsidRPr="009E34BC" w:rsidRDefault="000939C4" w:rsidP="000939C4">
      <w:pPr>
        <w:autoSpaceDE w:val="0"/>
        <w:autoSpaceDN w:val="0"/>
        <w:adjustRightInd w:val="0"/>
        <w:jc w:val="both"/>
        <w:rPr>
          <w:rFonts w:ascii="Abadi" w:hAnsi="Abadi" w:cs="*Arial-7230-Identity-H"/>
          <w:color w:val="0B0B0E"/>
          <w:sz w:val="21"/>
          <w:szCs w:val="21"/>
        </w:rPr>
      </w:pPr>
    </w:p>
    <w:p w14:paraId="53E55E25" w14:textId="77777777" w:rsidR="000939C4" w:rsidRDefault="000939C4" w:rsidP="000939C4">
      <w:pPr>
        <w:autoSpaceDE w:val="0"/>
        <w:autoSpaceDN w:val="0"/>
        <w:adjustRightInd w:val="0"/>
        <w:ind w:firstLine="708"/>
        <w:jc w:val="both"/>
        <w:rPr>
          <w:rFonts w:ascii="Abadi" w:hAnsi="Abadi" w:cs="*Arial-7230-Identity-H"/>
          <w:color w:val="0C0B0E"/>
          <w:sz w:val="21"/>
          <w:szCs w:val="21"/>
        </w:rPr>
      </w:pPr>
      <w:r w:rsidRPr="009E34BC">
        <w:rPr>
          <w:rFonts w:ascii="Abadi" w:hAnsi="Abadi" w:cs="*Arial-7230-Identity-H"/>
          <w:color w:val="0C0B0E"/>
          <w:sz w:val="21"/>
          <w:szCs w:val="21"/>
        </w:rPr>
        <w:t>Derivado de lo anterior, el adecuado desempeño de los servicios públicos</w:t>
      </w:r>
      <w:r>
        <w:rPr>
          <w:rFonts w:ascii="Abadi" w:hAnsi="Abadi" w:cs="*Arial-7230-Identity-H"/>
          <w:color w:val="0C0B0E"/>
          <w:sz w:val="21"/>
          <w:szCs w:val="21"/>
        </w:rPr>
        <w:t xml:space="preserve"> </w:t>
      </w:r>
      <w:r w:rsidRPr="009E34BC">
        <w:rPr>
          <w:rFonts w:ascii="Abadi" w:hAnsi="Abadi" w:cs="*Arial-7230-Identity-H"/>
          <w:color w:val="0C0B0E"/>
          <w:sz w:val="21"/>
          <w:szCs w:val="21"/>
        </w:rPr>
        <w:t>incide en la calidad de vida de los habitantes y, por ello, es conveniente que se</w:t>
      </w:r>
      <w:r>
        <w:rPr>
          <w:rFonts w:ascii="Abadi" w:hAnsi="Abadi" w:cs="*Arial-7230-Identity-H"/>
          <w:color w:val="0C0B0E"/>
          <w:sz w:val="21"/>
          <w:szCs w:val="21"/>
        </w:rPr>
        <w:t xml:space="preserve"> </w:t>
      </w:r>
      <w:r w:rsidRPr="009E34BC">
        <w:rPr>
          <w:rFonts w:ascii="Abadi" w:hAnsi="Abadi" w:cs="*Arial-7230-Identity-H"/>
          <w:color w:val="0C0B0E"/>
          <w:sz w:val="21"/>
          <w:szCs w:val="21"/>
        </w:rPr>
        <w:t>administre bajo modelos de gestión orientados a los resultados que garanticen su</w:t>
      </w:r>
      <w:r>
        <w:rPr>
          <w:rFonts w:ascii="Abadi" w:hAnsi="Abadi" w:cs="*Arial-7230-Identity-H"/>
          <w:color w:val="0C0B0E"/>
          <w:sz w:val="21"/>
          <w:szCs w:val="21"/>
        </w:rPr>
        <w:t xml:space="preserve"> </w:t>
      </w:r>
      <w:r w:rsidRPr="009E34BC">
        <w:rPr>
          <w:rFonts w:ascii="Abadi" w:hAnsi="Abadi" w:cs="*Arial-7230-Identity-H"/>
          <w:color w:val="0C0B0E"/>
          <w:sz w:val="21"/>
          <w:szCs w:val="21"/>
        </w:rPr>
        <w:t>adecuada operación, permanencia, continuidad, uniformidad e igualdad ante los</w:t>
      </w:r>
      <w:r>
        <w:rPr>
          <w:rFonts w:ascii="Abadi" w:hAnsi="Abadi" w:cs="*Arial-7230-Identity-H"/>
          <w:color w:val="0C0B0E"/>
          <w:sz w:val="21"/>
          <w:szCs w:val="21"/>
        </w:rPr>
        <w:t xml:space="preserve"> </w:t>
      </w:r>
      <w:r w:rsidRPr="009E34BC">
        <w:rPr>
          <w:rFonts w:ascii="Abadi" w:hAnsi="Abadi" w:cs="*Arial-7230-Identity-H"/>
          <w:color w:val="0C0B0E"/>
          <w:sz w:val="21"/>
          <w:szCs w:val="21"/>
        </w:rPr>
        <w:t>usuarios, asegurando una cobertura integral y una oferta al alcance de la</w:t>
      </w:r>
      <w:r>
        <w:rPr>
          <w:rFonts w:ascii="Abadi" w:hAnsi="Abadi" w:cs="*Arial-7230-Identity-H"/>
          <w:color w:val="0C0B0E"/>
          <w:sz w:val="21"/>
          <w:szCs w:val="21"/>
        </w:rPr>
        <w:t xml:space="preserve"> </w:t>
      </w:r>
      <w:r w:rsidRPr="009E34BC">
        <w:rPr>
          <w:rFonts w:ascii="Abadi" w:hAnsi="Abadi" w:cs="*Arial-7230-Identity-H"/>
          <w:color w:val="0C0B0E"/>
          <w:sz w:val="21"/>
          <w:szCs w:val="21"/>
        </w:rPr>
        <w:t>población municipal que lo requiera.</w:t>
      </w:r>
    </w:p>
    <w:p w14:paraId="0210688A" w14:textId="6D5F97F3" w:rsidR="000939C4" w:rsidRDefault="000939C4" w:rsidP="000939C4">
      <w:pPr>
        <w:autoSpaceDE w:val="0"/>
        <w:autoSpaceDN w:val="0"/>
        <w:adjustRightInd w:val="0"/>
        <w:ind w:firstLine="708"/>
        <w:jc w:val="both"/>
        <w:rPr>
          <w:rFonts w:ascii="Abadi" w:hAnsi="Abadi" w:cs="*Arial-7230-Identity-H"/>
          <w:color w:val="0D0D10"/>
          <w:sz w:val="21"/>
          <w:szCs w:val="21"/>
        </w:rPr>
      </w:pPr>
      <w:r w:rsidRPr="009E34BC">
        <w:rPr>
          <w:rFonts w:ascii="Abadi" w:hAnsi="Abadi" w:cs="*Arial-7230-Identity-H"/>
          <w:color w:val="0D0D10"/>
          <w:sz w:val="21"/>
          <w:szCs w:val="21"/>
        </w:rPr>
        <w:t>Es así que en el caso que nos ocupa, se definió el objetivo general de la</w:t>
      </w:r>
      <w:r>
        <w:rPr>
          <w:rFonts w:ascii="Abadi" w:hAnsi="Abadi" w:cs="*Arial-7230-Identity-H"/>
          <w:color w:val="0D0D10"/>
          <w:sz w:val="21"/>
          <w:szCs w:val="21"/>
        </w:rPr>
        <w:t xml:space="preserve"> </w:t>
      </w:r>
      <w:r w:rsidRPr="009E34BC">
        <w:rPr>
          <w:rFonts w:ascii="Abadi" w:hAnsi="Abadi" w:cs="*Arial-7230-Identity-H"/>
          <w:color w:val="0D0D10"/>
          <w:sz w:val="21"/>
          <w:szCs w:val="21"/>
        </w:rPr>
        <w:t xml:space="preserve">auditoría con el propósito de verificar la capacidad del municipio de Coroneo, </w:t>
      </w:r>
      <w:proofErr w:type="spellStart"/>
      <w:r w:rsidRPr="009E34BC">
        <w:rPr>
          <w:rFonts w:ascii="Abadi" w:hAnsi="Abadi" w:cs="*Arial-7230-Identity-H"/>
          <w:color w:val="0D0D10"/>
          <w:sz w:val="21"/>
          <w:szCs w:val="21"/>
        </w:rPr>
        <w:t>Gto</w:t>
      </w:r>
      <w:proofErr w:type="spellEnd"/>
      <w:r w:rsidRPr="009E34BC">
        <w:rPr>
          <w:rFonts w:ascii="Abadi" w:hAnsi="Abadi" w:cs="*Arial-7230-Identity-H"/>
          <w:color w:val="0D0D10"/>
          <w:sz w:val="21"/>
          <w:szCs w:val="21"/>
        </w:rPr>
        <w:t>.,</w:t>
      </w:r>
      <w:r>
        <w:rPr>
          <w:rFonts w:ascii="Abadi" w:hAnsi="Abadi" w:cs="*Arial-7230-Identity-H"/>
          <w:color w:val="0D0D10"/>
          <w:sz w:val="21"/>
          <w:szCs w:val="21"/>
        </w:rPr>
        <w:t xml:space="preserve"> </w:t>
      </w:r>
      <w:r w:rsidRPr="009E34BC">
        <w:rPr>
          <w:rFonts w:ascii="Abadi" w:hAnsi="Abadi" w:cs="*Arial-7230-Identity-H"/>
          <w:color w:val="0D0D10"/>
          <w:sz w:val="21"/>
          <w:szCs w:val="21"/>
        </w:rPr>
        <w:t xml:space="preserve">para lograr una prestación eficaz del servicio de alumbrado público a su </w:t>
      </w:r>
      <w:r w:rsidR="009D1682" w:rsidRPr="009E34BC">
        <w:rPr>
          <w:rFonts w:ascii="Abadi" w:hAnsi="Abadi" w:cs="*Arial-7230-Identity-H"/>
          <w:color w:val="0D0D10"/>
          <w:sz w:val="21"/>
          <w:szCs w:val="21"/>
        </w:rPr>
        <w:t>población,</w:t>
      </w:r>
      <w:r w:rsidR="009D1682">
        <w:rPr>
          <w:rFonts w:ascii="Abadi" w:hAnsi="Abadi" w:cs="*Arial-7230-Identity-H"/>
          <w:color w:val="0D0D10"/>
          <w:sz w:val="21"/>
          <w:szCs w:val="21"/>
        </w:rPr>
        <w:t xml:space="preserve"> así</w:t>
      </w:r>
      <w:r w:rsidRPr="009E34BC">
        <w:rPr>
          <w:rFonts w:ascii="Abadi" w:hAnsi="Abadi" w:cs="*Arial-7230-Identity-H"/>
          <w:color w:val="0D0D10"/>
          <w:sz w:val="21"/>
          <w:szCs w:val="21"/>
        </w:rPr>
        <w:t xml:space="preserve"> como de conocer si las funciones de planificación, operación y seguimiento se</w:t>
      </w:r>
      <w:r>
        <w:rPr>
          <w:rFonts w:ascii="Abadi" w:hAnsi="Abadi" w:cs="*Arial-7230-Identity-H"/>
          <w:color w:val="0D0D10"/>
          <w:sz w:val="21"/>
          <w:szCs w:val="21"/>
        </w:rPr>
        <w:t xml:space="preserve"> </w:t>
      </w:r>
      <w:r w:rsidRPr="009E34BC">
        <w:rPr>
          <w:rFonts w:ascii="Abadi" w:hAnsi="Abadi" w:cs="*Arial-7230-Identity-H"/>
          <w:color w:val="0D0D10"/>
          <w:sz w:val="21"/>
          <w:szCs w:val="21"/>
        </w:rPr>
        <w:t>desarrollaron bajo el principio de eficiencia, ya que de ello depende el grado de</w:t>
      </w:r>
      <w:r>
        <w:rPr>
          <w:rFonts w:ascii="Abadi" w:hAnsi="Abadi" w:cs="*Arial-7230-Identity-H"/>
          <w:color w:val="0D0D10"/>
          <w:sz w:val="21"/>
          <w:szCs w:val="21"/>
        </w:rPr>
        <w:t xml:space="preserve"> </w:t>
      </w:r>
      <w:r w:rsidRPr="009E34BC">
        <w:rPr>
          <w:rFonts w:ascii="Abadi" w:hAnsi="Abadi" w:cs="*Arial-7230-Identity-H"/>
          <w:color w:val="0D0D10"/>
          <w:sz w:val="21"/>
          <w:szCs w:val="21"/>
        </w:rPr>
        <w:t>satisfacción de la comunidad.</w:t>
      </w:r>
    </w:p>
    <w:p w14:paraId="4A8737FF" w14:textId="77777777" w:rsidR="000939C4" w:rsidRPr="009E34BC" w:rsidRDefault="000939C4" w:rsidP="000939C4">
      <w:pPr>
        <w:autoSpaceDE w:val="0"/>
        <w:autoSpaceDN w:val="0"/>
        <w:adjustRightInd w:val="0"/>
        <w:jc w:val="both"/>
        <w:rPr>
          <w:rFonts w:ascii="Abadi" w:hAnsi="Abadi" w:cs="*Arial-7230-Identity-H"/>
          <w:color w:val="0D0D10"/>
          <w:sz w:val="21"/>
          <w:szCs w:val="21"/>
        </w:rPr>
      </w:pPr>
    </w:p>
    <w:p w14:paraId="407BFE84" w14:textId="77777777" w:rsidR="000939C4" w:rsidRPr="009E34BC" w:rsidRDefault="000939C4" w:rsidP="000939C4">
      <w:pPr>
        <w:autoSpaceDE w:val="0"/>
        <w:autoSpaceDN w:val="0"/>
        <w:adjustRightInd w:val="0"/>
        <w:ind w:firstLine="708"/>
        <w:jc w:val="both"/>
        <w:rPr>
          <w:rFonts w:ascii="Abadi" w:hAnsi="Abadi" w:cs="*Arial-7230-Identity-H"/>
          <w:color w:val="0C0C0F"/>
          <w:sz w:val="21"/>
          <w:szCs w:val="21"/>
        </w:rPr>
      </w:pPr>
      <w:r w:rsidRPr="009E34BC">
        <w:rPr>
          <w:rFonts w:ascii="Abadi" w:hAnsi="Abadi" w:cs="*Arial-7230-Identity-H"/>
          <w:color w:val="0C0C0F"/>
          <w:sz w:val="21"/>
          <w:szCs w:val="21"/>
        </w:rPr>
        <w:t>Para su consecución, las labores de la Auditoría Superior del Estado</w:t>
      </w:r>
      <w:r>
        <w:rPr>
          <w:rFonts w:ascii="Abadi" w:hAnsi="Abadi" w:cs="*Arial-7230-Identity-H"/>
          <w:color w:val="0C0C0F"/>
          <w:sz w:val="21"/>
          <w:szCs w:val="21"/>
        </w:rPr>
        <w:t xml:space="preserve"> </w:t>
      </w:r>
      <w:r w:rsidRPr="009E34BC">
        <w:rPr>
          <w:rFonts w:ascii="Abadi" w:hAnsi="Abadi" w:cs="*Arial-7230-Identity-H"/>
          <w:color w:val="0C0C0F"/>
          <w:sz w:val="21"/>
          <w:szCs w:val="21"/>
        </w:rPr>
        <w:t>consideraron la verificación de la existencia de procesos diagnósticos o de</w:t>
      </w:r>
      <w:r>
        <w:rPr>
          <w:rFonts w:ascii="Abadi" w:hAnsi="Abadi" w:cs="*Arial-7230-Identity-H"/>
          <w:color w:val="0C0C0F"/>
          <w:sz w:val="21"/>
          <w:szCs w:val="21"/>
        </w:rPr>
        <w:t xml:space="preserve"> </w:t>
      </w:r>
      <w:r w:rsidRPr="009E34BC">
        <w:rPr>
          <w:rFonts w:ascii="Abadi" w:hAnsi="Abadi" w:cs="*Arial-7230-Identity-H"/>
          <w:color w:val="0C0C0F"/>
          <w:sz w:val="21"/>
          <w:szCs w:val="21"/>
        </w:rPr>
        <w:t>planificación que permitieran a la administración municipal conocer la oferta del</w:t>
      </w:r>
      <w:r>
        <w:rPr>
          <w:rFonts w:ascii="Abadi" w:hAnsi="Abadi" w:cs="*Arial-7230-Identity-H"/>
          <w:color w:val="0C0C0F"/>
          <w:sz w:val="21"/>
          <w:szCs w:val="21"/>
        </w:rPr>
        <w:t xml:space="preserve"> </w:t>
      </w:r>
      <w:r w:rsidRPr="009E34BC">
        <w:rPr>
          <w:rFonts w:ascii="Abadi" w:hAnsi="Abadi" w:cs="*Arial-7230-Identity-H"/>
          <w:color w:val="0C0C0F"/>
          <w:sz w:val="21"/>
          <w:szCs w:val="21"/>
        </w:rPr>
        <w:t>servicio y las brechas por cubrir, definir la estimación de recursos para una</w:t>
      </w:r>
      <w:r>
        <w:rPr>
          <w:rFonts w:ascii="Abadi" w:hAnsi="Abadi" w:cs="*Arial-7230-Identity-H"/>
          <w:color w:val="0C0C0F"/>
          <w:sz w:val="21"/>
          <w:szCs w:val="21"/>
        </w:rPr>
        <w:t xml:space="preserve"> </w:t>
      </w:r>
      <w:r w:rsidRPr="009E34BC">
        <w:rPr>
          <w:rFonts w:ascii="Abadi" w:hAnsi="Abadi" w:cs="*Arial-7230-Identity-H"/>
          <w:color w:val="0C0C0F"/>
          <w:sz w:val="21"/>
          <w:szCs w:val="21"/>
        </w:rPr>
        <w:t>adecuada operación y la definición de metas y objetivos orientados a la mejora del</w:t>
      </w:r>
      <w:r>
        <w:rPr>
          <w:rFonts w:ascii="Abadi" w:hAnsi="Abadi" w:cs="*Arial-7230-Identity-H"/>
          <w:color w:val="0C0C0F"/>
          <w:sz w:val="21"/>
          <w:szCs w:val="21"/>
        </w:rPr>
        <w:t xml:space="preserve"> </w:t>
      </w:r>
      <w:r w:rsidRPr="009E34BC">
        <w:rPr>
          <w:rFonts w:ascii="Abadi" w:hAnsi="Abadi" w:cs="*Arial-7230-Identity-H"/>
          <w:color w:val="0C0C0F"/>
          <w:sz w:val="21"/>
          <w:szCs w:val="21"/>
        </w:rPr>
        <w:t>servicio; respecto de la operación, se consideró la verificación del establecimiento</w:t>
      </w:r>
      <w:r>
        <w:rPr>
          <w:rFonts w:ascii="Abadi" w:hAnsi="Abadi" w:cs="*Arial-7230-Identity-H"/>
          <w:color w:val="0C0C0F"/>
          <w:sz w:val="21"/>
          <w:szCs w:val="21"/>
        </w:rPr>
        <w:t xml:space="preserve"> </w:t>
      </w:r>
      <w:r w:rsidRPr="009E34BC">
        <w:rPr>
          <w:rFonts w:ascii="Abadi" w:hAnsi="Abadi" w:cs="*Arial-7230-Identity-H"/>
          <w:color w:val="0C0C0F"/>
          <w:sz w:val="21"/>
          <w:szCs w:val="21"/>
        </w:rPr>
        <w:t>de un marco normativo adecuado y vigente, la programación de actividades y su</w:t>
      </w:r>
      <w:r>
        <w:rPr>
          <w:rFonts w:ascii="Abadi" w:hAnsi="Abadi" w:cs="*Arial-7230-Identity-H"/>
          <w:color w:val="0C0C0F"/>
          <w:sz w:val="21"/>
          <w:szCs w:val="21"/>
        </w:rPr>
        <w:t xml:space="preserve"> </w:t>
      </w:r>
      <w:r w:rsidRPr="009E34BC">
        <w:rPr>
          <w:rFonts w:ascii="Abadi" w:hAnsi="Abadi" w:cs="*Arial-7230-Identity-H"/>
          <w:color w:val="0C0C0F"/>
          <w:sz w:val="21"/>
          <w:szCs w:val="21"/>
        </w:rPr>
        <w:t>consecución, los mecanismos de atención ciudadana para el reporte de fallas y los</w:t>
      </w:r>
      <w:r>
        <w:rPr>
          <w:rFonts w:ascii="Abadi" w:hAnsi="Abadi" w:cs="*Arial-7230-Identity-H"/>
          <w:color w:val="0C0C0F"/>
          <w:sz w:val="21"/>
          <w:szCs w:val="21"/>
        </w:rPr>
        <w:t xml:space="preserve"> </w:t>
      </w:r>
      <w:r w:rsidRPr="009E34BC">
        <w:rPr>
          <w:rFonts w:ascii="Abadi" w:hAnsi="Abadi" w:cs="*Arial-7230-Identity-H"/>
          <w:color w:val="0C0C0F"/>
          <w:sz w:val="21"/>
          <w:szCs w:val="21"/>
        </w:rPr>
        <w:t>resultados en la cobertura, mantenimiento y satisfacción. También se revisaron los</w:t>
      </w:r>
      <w:r>
        <w:rPr>
          <w:rFonts w:ascii="Abadi" w:hAnsi="Abadi" w:cs="*Arial-7230-Identity-H"/>
          <w:color w:val="0C0C0F"/>
          <w:sz w:val="21"/>
          <w:szCs w:val="21"/>
        </w:rPr>
        <w:t xml:space="preserve"> </w:t>
      </w:r>
      <w:r w:rsidRPr="009E34BC">
        <w:rPr>
          <w:rFonts w:ascii="Abadi" w:hAnsi="Abadi" w:cs="*Arial-7230-Identity-H"/>
          <w:color w:val="0C0C0F"/>
          <w:sz w:val="21"/>
          <w:szCs w:val="21"/>
        </w:rPr>
        <w:t>mecanismos de monitoreo y evaluación, con el objetivo de analizar el desempeño</w:t>
      </w:r>
      <w:r>
        <w:rPr>
          <w:rFonts w:ascii="Abadi" w:hAnsi="Abadi" w:cs="*Arial-7230-Identity-H"/>
          <w:color w:val="0C0C0F"/>
          <w:sz w:val="21"/>
          <w:szCs w:val="21"/>
        </w:rPr>
        <w:t xml:space="preserve"> </w:t>
      </w:r>
      <w:r w:rsidRPr="009E34BC">
        <w:rPr>
          <w:rFonts w:ascii="Abadi" w:hAnsi="Abadi" w:cs="*Arial-7230-Identity-H"/>
          <w:color w:val="0C0C0F"/>
          <w:sz w:val="21"/>
          <w:szCs w:val="21"/>
        </w:rPr>
        <w:t>del Municipio en el otorgamiento del servicio, y verificar la eficiencia y la eficacia</w:t>
      </w:r>
      <w:r>
        <w:rPr>
          <w:rFonts w:ascii="Abadi" w:hAnsi="Abadi" w:cs="*Arial-7230-Identity-H"/>
          <w:color w:val="0C0C0F"/>
          <w:sz w:val="21"/>
          <w:szCs w:val="21"/>
        </w:rPr>
        <w:t xml:space="preserve"> </w:t>
      </w:r>
      <w:r w:rsidRPr="009E34BC">
        <w:rPr>
          <w:rFonts w:ascii="Abadi" w:hAnsi="Abadi" w:cs="*Arial-7230-Identity-H"/>
          <w:color w:val="0C0C0F"/>
          <w:sz w:val="21"/>
          <w:szCs w:val="21"/>
        </w:rPr>
        <w:t>del alumbrado público municipal en beneficio de la ciudadanía.</w:t>
      </w:r>
    </w:p>
    <w:p w14:paraId="6FDFE65E" w14:textId="77777777" w:rsidR="000939C4" w:rsidRPr="009E34BC" w:rsidRDefault="000939C4" w:rsidP="000939C4">
      <w:pPr>
        <w:jc w:val="both"/>
        <w:rPr>
          <w:rFonts w:ascii="Abadi" w:hAnsi="Abadi" w:cs="*Arial-7230-Identity-H"/>
          <w:color w:val="0C0C0F"/>
          <w:sz w:val="21"/>
          <w:szCs w:val="21"/>
        </w:rPr>
      </w:pPr>
    </w:p>
    <w:p w14:paraId="7B958ADF" w14:textId="77777777" w:rsidR="000939C4" w:rsidRDefault="000939C4" w:rsidP="000939C4">
      <w:pPr>
        <w:autoSpaceDE w:val="0"/>
        <w:autoSpaceDN w:val="0"/>
        <w:adjustRightInd w:val="0"/>
        <w:ind w:firstLine="708"/>
        <w:jc w:val="both"/>
        <w:rPr>
          <w:rFonts w:ascii="Abadi" w:hAnsi="Abadi" w:cs="*Arial-7199-Identity-H"/>
          <w:color w:val="0C0C0E"/>
          <w:sz w:val="21"/>
          <w:szCs w:val="21"/>
        </w:rPr>
      </w:pPr>
      <w:r w:rsidRPr="009E34BC">
        <w:rPr>
          <w:rFonts w:ascii="Abadi" w:hAnsi="Abadi" w:cs="*Arial-7199-Identity-H"/>
          <w:color w:val="0C0C0E"/>
          <w:sz w:val="21"/>
          <w:szCs w:val="21"/>
        </w:rPr>
        <w:t>Asimismo, se hace constar que la administración pública municipal de</w:t>
      </w:r>
      <w:r>
        <w:rPr>
          <w:rFonts w:ascii="Abadi" w:hAnsi="Abadi" w:cs="*Arial-7199-Identity-H"/>
          <w:color w:val="0C0C0E"/>
          <w:sz w:val="21"/>
          <w:szCs w:val="21"/>
        </w:rPr>
        <w:t xml:space="preserve"> </w:t>
      </w:r>
      <w:r w:rsidRPr="009E34BC">
        <w:rPr>
          <w:rFonts w:ascii="Abadi" w:hAnsi="Abadi" w:cs="*Arial-7199-Identity-H"/>
          <w:color w:val="0C0C0E"/>
          <w:sz w:val="21"/>
          <w:szCs w:val="21"/>
        </w:rPr>
        <w:t xml:space="preserve">Coroneo, </w:t>
      </w:r>
      <w:proofErr w:type="spellStart"/>
      <w:r w:rsidRPr="009E34BC">
        <w:rPr>
          <w:rFonts w:ascii="Abadi" w:hAnsi="Abadi" w:cs="*Arial-7199-Identity-H"/>
          <w:color w:val="0C0C0E"/>
          <w:sz w:val="21"/>
          <w:szCs w:val="21"/>
        </w:rPr>
        <w:t>Gto</w:t>
      </w:r>
      <w:proofErr w:type="spellEnd"/>
      <w:r w:rsidRPr="009E34BC">
        <w:rPr>
          <w:rFonts w:ascii="Abadi" w:hAnsi="Abadi" w:cs="*Arial-7199-Identity-H"/>
          <w:color w:val="0C0C0E"/>
          <w:sz w:val="21"/>
          <w:szCs w:val="21"/>
        </w:rPr>
        <w:t>., implementó acciones para otorgar el servicio de alumbrado público</w:t>
      </w:r>
      <w:r>
        <w:rPr>
          <w:rFonts w:ascii="Abadi" w:hAnsi="Abadi" w:cs="*Arial-7199-Identity-H"/>
          <w:color w:val="0C0C0E"/>
          <w:sz w:val="21"/>
          <w:szCs w:val="21"/>
        </w:rPr>
        <w:t xml:space="preserve"> </w:t>
      </w:r>
      <w:r w:rsidRPr="009E34BC">
        <w:rPr>
          <w:rFonts w:ascii="Abadi" w:hAnsi="Abadi" w:cs="*Arial-7199-Identity-H"/>
          <w:color w:val="0C0C0E"/>
          <w:sz w:val="21"/>
          <w:szCs w:val="21"/>
        </w:rPr>
        <w:t>a la población, destacando que entre sus fortalezas se encontró que el servicio de</w:t>
      </w:r>
      <w:r>
        <w:rPr>
          <w:rFonts w:ascii="Abadi" w:hAnsi="Abadi" w:cs="*Arial-7199-Identity-H"/>
          <w:color w:val="0C0C0E"/>
          <w:sz w:val="21"/>
          <w:szCs w:val="21"/>
        </w:rPr>
        <w:t xml:space="preserve"> </w:t>
      </w:r>
      <w:r w:rsidRPr="009E34BC">
        <w:rPr>
          <w:rFonts w:ascii="Abadi" w:hAnsi="Abadi" w:cs="*Arial-7199-Identity-H"/>
          <w:color w:val="0C0C0E"/>
          <w:sz w:val="21"/>
          <w:szCs w:val="21"/>
        </w:rPr>
        <w:t>alumbrado público está en las prioridades de su Programa de Gobierno Municipal,</w:t>
      </w:r>
      <w:r>
        <w:rPr>
          <w:rFonts w:ascii="Abadi" w:hAnsi="Abadi" w:cs="*Arial-7199-Identity-H"/>
          <w:color w:val="0C0C0E"/>
          <w:sz w:val="21"/>
          <w:szCs w:val="21"/>
        </w:rPr>
        <w:t xml:space="preserve"> </w:t>
      </w:r>
      <w:r w:rsidRPr="009E34BC">
        <w:rPr>
          <w:rFonts w:ascii="Abadi" w:hAnsi="Abadi" w:cs="*Arial-7199-Identity-H"/>
          <w:color w:val="0C0C0E"/>
          <w:sz w:val="21"/>
          <w:szCs w:val="21"/>
        </w:rPr>
        <w:t>cuya estrategia es reducir el consumo y gasto de energía eléctrica para el</w:t>
      </w:r>
      <w:r>
        <w:rPr>
          <w:rFonts w:ascii="Abadi" w:hAnsi="Abadi" w:cs="*Arial-7199-Identity-H"/>
          <w:color w:val="0C0C0E"/>
          <w:sz w:val="21"/>
          <w:szCs w:val="21"/>
        </w:rPr>
        <w:t xml:space="preserve"> </w:t>
      </w:r>
      <w:r w:rsidRPr="009E34BC">
        <w:rPr>
          <w:rFonts w:ascii="Abadi" w:hAnsi="Abadi" w:cs="*Arial-7199-Identity-H"/>
          <w:color w:val="0C0C0E"/>
          <w:sz w:val="21"/>
          <w:szCs w:val="21"/>
        </w:rPr>
        <w:t>Municipio, para ello, elaboró el censo de las luminarias disponibles con</w:t>
      </w:r>
      <w:r>
        <w:rPr>
          <w:rFonts w:ascii="Abadi" w:hAnsi="Abadi" w:cs="*Arial-7199-Identity-H"/>
          <w:color w:val="0C0C0E"/>
          <w:sz w:val="21"/>
          <w:szCs w:val="21"/>
        </w:rPr>
        <w:t xml:space="preserve">  </w:t>
      </w:r>
      <w:r w:rsidRPr="009E34BC">
        <w:rPr>
          <w:rFonts w:ascii="Abadi" w:hAnsi="Abadi" w:cs="*Arial-7199-Identity-H"/>
          <w:color w:val="0C0C0E"/>
          <w:sz w:val="21"/>
          <w:szCs w:val="21"/>
        </w:rPr>
        <w:t>información detallada de la oferta del servicio de alumbrado, asimismo proporcionó</w:t>
      </w:r>
      <w:r>
        <w:rPr>
          <w:rFonts w:ascii="Abadi" w:hAnsi="Abadi" w:cs="*Arial-7199-Identity-H"/>
          <w:color w:val="0C0C0E"/>
          <w:sz w:val="21"/>
          <w:szCs w:val="21"/>
        </w:rPr>
        <w:t xml:space="preserve"> </w:t>
      </w:r>
      <w:r w:rsidRPr="009E34BC">
        <w:rPr>
          <w:rFonts w:ascii="Abadi" w:hAnsi="Abadi" w:cs="*Arial-7199-Identity-H"/>
          <w:color w:val="0C0C0E"/>
          <w:sz w:val="21"/>
          <w:szCs w:val="21"/>
        </w:rPr>
        <w:t>un Programa de Eficiencia Energética para el Municipio, que incluye una</w:t>
      </w:r>
      <w:r>
        <w:rPr>
          <w:rFonts w:ascii="Abadi" w:hAnsi="Abadi" w:cs="*Arial-7199-Identity-H"/>
          <w:color w:val="0C0C0E"/>
          <w:sz w:val="21"/>
          <w:szCs w:val="21"/>
        </w:rPr>
        <w:t xml:space="preserve"> </w:t>
      </w:r>
      <w:r w:rsidRPr="009E34BC">
        <w:rPr>
          <w:rFonts w:ascii="Abadi" w:hAnsi="Abadi" w:cs="*Arial-7199-Identity-H"/>
          <w:color w:val="0C0C0E"/>
          <w:sz w:val="21"/>
          <w:szCs w:val="21"/>
        </w:rPr>
        <w:t>propuesta de reemplazo de luminarias obsoletas por tecnología que consuman</w:t>
      </w:r>
      <w:r>
        <w:rPr>
          <w:rFonts w:ascii="Abadi" w:hAnsi="Abadi" w:cs="*Arial-7199-Identity-H"/>
          <w:color w:val="0C0C0E"/>
          <w:sz w:val="21"/>
          <w:szCs w:val="21"/>
        </w:rPr>
        <w:t xml:space="preserve"> </w:t>
      </w:r>
      <w:r w:rsidRPr="009E34BC">
        <w:rPr>
          <w:rFonts w:ascii="Abadi" w:hAnsi="Abadi" w:cs="*Arial-7199-Identity-H"/>
          <w:color w:val="0C0C0E"/>
          <w:sz w:val="21"/>
          <w:szCs w:val="21"/>
        </w:rPr>
        <w:t>menor cantidad de energía pero mayor iluminación; adicionalmente, la</w:t>
      </w:r>
      <w:r>
        <w:rPr>
          <w:rFonts w:ascii="Abadi" w:hAnsi="Abadi" w:cs="*Arial-7199-Identity-H"/>
          <w:color w:val="0C0C0E"/>
          <w:sz w:val="21"/>
          <w:szCs w:val="21"/>
        </w:rPr>
        <w:t xml:space="preserve"> </w:t>
      </w:r>
      <w:r w:rsidRPr="009E34BC">
        <w:rPr>
          <w:rFonts w:ascii="Abadi" w:hAnsi="Abadi" w:cs="*Arial-7199-Identity-H"/>
          <w:color w:val="0C0C0E"/>
          <w:sz w:val="21"/>
          <w:szCs w:val="21"/>
        </w:rPr>
        <w:t>administración pública municipal contó con un marco normativo que regula el</w:t>
      </w:r>
      <w:r>
        <w:rPr>
          <w:rFonts w:ascii="Abadi" w:hAnsi="Abadi" w:cs="*Arial-7199-Identity-H"/>
          <w:color w:val="0C0C0E"/>
          <w:sz w:val="21"/>
          <w:szCs w:val="21"/>
        </w:rPr>
        <w:t xml:space="preserve"> </w:t>
      </w:r>
      <w:r w:rsidRPr="009E34BC">
        <w:rPr>
          <w:rFonts w:ascii="Abadi" w:hAnsi="Abadi" w:cs="*Arial-7199-Identity-H"/>
          <w:color w:val="0C0C0E"/>
          <w:sz w:val="21"/>
          <w:szCs w:val="21"/>
        </w:rPr>
        <w:t>servicio de alumbrado y un manual de procesos para su operación. No obstante,</w:t>
      </w:r>
      <w:r>
        <w:rPr>
          <w:rFonts w:ascii="Abadi" w:hAnsi="Abadi" w:cs="*Arial-7199-Identity-H"/>
          <w:color w:val="0C0C0E"/>
          <w:sz w:val="21"/>
          <w:szCs w:val="21"/>
        </w:rPr>
        <w:t xml:space="preserve"> </w:t>
      </w:r>
      <w:r w:rsidRPr="009E34BC">
        <w:rPr>
          <w:rFonts w:ascii="Abadi" w:hAnsi="Abadi" w:cs="*Arial-7199-Identity-H"/>
          <w:color w:val="0C0C0E"/>
          <w:sz w:val="21"/>
          <w:szCs w:val="21"/>
        </w:rPr>
        <w:t>existe evidencia de que la gestión del servicio presentó áreas de oportunidad.</w:t>
      </w:r>
    </w:p>
    <w:p w14:paraId="32FD8E6A" w14:textId="77777777" w:rsidR="000939C4" w:rsidRPr="009E34BC" w:rsidRDefault="000939C4" w:rsidP="000939C4">
      <w:pPr>
        <w:autoSpaceDE w:val="0"/>
        <w:autoSpaceDN w:val="0"/>
        <w:adjustRightInd w:val="0"/>
        <w:jc w:val="both"/>
        <w:rPr>
          <w:rFonts w:ascii="Abadi" w:hAnsi="Abadi" w:cs="*Arial-7199-Identity-H"/>
          <w:color w:val="0C0C0E"/>
          <w:sz w:val="21"/>
          <w:szCs w:val="21"/>
        </w:rPr>
      </w:pPr>
    </w:p>
    <w:p w14:paraId="444D46A8" w14:textId="77777777" w:rsidR="000939C4" w:rsidRDefault="000939C4" w:rsidP="000939C4">
      <w:pPr>
        <w:autoSpaceDE w:val="0"/>
        <w:autoSpaceDN w:val="0"/>
        <w:adjustRightInd w:val="0"/>
        <w:ind w:firstLine="708"/>
        <w:jc w:val="both"/>
        <w:rPr>
          <w:rFonts w:ascii="Abadi" w:hAnsi="Abadi" w:cs="*Arial-7199-Identity-H"/>
          <w:color w:val="0C0C0F"/>
          <w:sz w:val="21"/>
          <w:szCs w:val="21"/>
        </w:rPr>
      </w:pPr>
      <w:r w:rsidRPr="009E34BC">
        <w:rPr>
          <w:rFonts w:ascii="Abadi" w:hAnsi="Abadi" w:cs="*Arial-7199-Identity-H"/>
          <w:color w:val="0C0C0F"/>
          <w:sz w:val="21"/>
          <w:szCs w:val="21"/>
        </w:rPr>
        <w:t>En cuanto a la gestión de la planificación se verificó que en las actividades</w:t>
      </w:r>
      <w:r>
        <w:rPr>
          <w:rFonts w:ascii="Abadi" w:hAnsi="Abadi" w:cs="*Arial-7199-Identity-H"/>
          <w:color w:val="0C0C0F"/>
          <w:sz w:val="21"/>
          <w:szCs w:val="21"/>
        </w:rPr>
        <w:t xml:space="preserve"> </w:t>
      </w:r>
      <w:r w:rsidRPr="009E34BC">
        <w:rPr>
          <w:rFonts w:ascii="Abadi" w:hAnsi="Abadi" w:cs="*Arial-7199-Identity-H"/>
          <w:color w:val="0C0C0F"/>
          <w:sz w:val="21"/>
          <w:szCs w:val="21"/>
        </w:rPr>
        <w:t>llevadas a cabo por el sujeto fiscalizado en el 2020 priorizó la modernización de la</w:t>
      </w:r>
      <w:r>
        <w:rPr>
          <w:rFonts w:ascii="Abadi" w:hAnsi="Abadi" w:cs="*Arial-7199-Identity-H"/>
          <w:color w:val="0C0C0F"/>
          <w:sz w:val="21"/>
          <w:szCs w:val="21"/>
        </w:rPr>
        <w:t xml:space="preserve"> </w:t>
      </w:r>
      <w:r w:rsidRPr="009E34BC">
        <w:rPr>
          <w:rFonts w:ascii="Abadi" w:hAnsi="Abadi" w:cs="*Arial-7199-Identity-H"/>
          <w:color w:val="0C0C0F"/>
          <w:sz w:val="21"/>
          <w:szCs w:val="21"/>
        </w:rPr>
        <w:t>oferta del servicio, sin embargo, no fue posible identificar la articulación de sus</w:t>
      </w:r>
      <w:r>
        <w:rPr>
          <w:rFonts w:ascii="Abadi" w:hAnsi="Abadi" w:cs="*Arial-7199-Identity-H"/>
          <w:color w:val="0C0C0F"/>
          <w:sz w:val="21"/>
          <w:szCs w:val="21"/>
        </w:rPr>
        <w:t xml:space="preserve"> </w:t>
      </w:r>
      <w:r w:rsidRPr="009E34BC">
        <w:rPr>
          <w:rFonts w:ascii="Abadi" w:hAnsi="Abadi" w:cs="*Arial-7199-Identity-H"/>
          <w:color w:val="0C0C0F"/>
          <w:sz w:val="21"/>
          <w:szCs w:val="21"/>
        </w:rPr>
        <w:t>objetivos con otras agendas para el desarrollo, como por ejemplo los Objetivos de</w:t>
      </w:r>
      <w:r>
        <w:rPr>
          <w:rFonts w:ascii="Abadi" w:hAnsi="Abadi" w:cs="*Arial-7199-Identity-H"/>
          <w:color w:val="0C0C0F"/>
          <w:sz w:val="21"/>
          <w:szCs w:val="21"/>
        </w:rPr>
        <w:t xml:space="preserve"> </w:t>
      </w:r>
      <w:r w:rsidRPr="009E34BC">
        <w:rPr>
          <w:rFonts w:ascii="Abadi" w:hAnsi="Abadi" w:cs="*Arial-7199-Identity-H"/>
          <w:color w:val="0C0C0F"/>
          <w:sz w:val="21"/>
          <w:szCs w:val="21"/>
        </w:rPr>
        <w:t>Desarrollo Sostenible, dicha situación influye en cómo el Municipio contribuye en</w:t>
      </w:r>
      <w:r>
        <w:rPr>
          <w:rFonts w:ascii="Abadi" w:hAnsi="Abadi" w:cs="*Arial-7199-Identity-H"/>
          <w:color w:val="0C0C0F"/>
          <w:sz w:val="21"/>
          <w:szCs w:val="21"/>
        </w:rPr>
        <w:t xml:space="preserve"> </w:t>
      </w:r>
      <w:r w:rsidRPr="009E34BC">
        <w:rPr>
          <w:rFonts w:ascii="Abadi" w:hAnsi="Abadi" w:cs="*Arial-7199-Identity-H"/>
          <w:color w:val="0C0C0F"/>
          <w:sz w:val="21"/>
          <w:szCs w:val="21"/>
        </w:rPr>
        <w:t>el logro de objetivos comunes para todos; adicionalmente, la ausencia de</w:t>
      </w:r>
      <w:r>
        <w:rPr>
          <w:rFonts w:ascii="Abadi" w:hAnsi="Abadi" w:cs="*Arial-7199-Identity-H"/>
          <w:color w:val="0C0C0F"/>
          <w:sz w:val="21"/>
          <w:szCs w:val="21"/>
        </w:rPr>
        <w:t xml:space="preserve"> </w:t>
      </w:r>
      <w:r w:rsidRPr="009E34BC">
        <w:rPr>
          <w:rFonts w:ascii="Abadi" w:hAnsi="Abadi" w:cs="*Arial-7199-Identity-H"/>
          <w:color w:val="0C0C0F"/>
          <w:sz w:val="21"/>
          <w:szCs w:val="21"/>
        </w:rPr>
        <w:t>indicadores no permitió medir el desempeño del servicio de alumbrado público, de</w:t>
      </w:r>
      <w:r>
        <w:rPr>
          <w:rFonts w:ascii="Abadi" w:hAnsi="Abadi" w:cs="*Arial-7199-Identity-H"/>
          <w:color w:val="0C0C0F"/>
          <w:sz w:val="21"/>
          <w:szCs w:val="21"/>
        </w:rPr>
        <w:t xml:space="preserve"> </w:t>
      </w:r>
      <w:r w:rsidRPr="009E34BC">
        <w:rPr>
          <w:rFonts w:ascii="Abadi" w:hAnsi="Abadi" w:cs="*Arial-7199-Identity-H"/>
          <w:color w:val="0C0C0F"/>
          <w:sz w:val="21"/>
          <w:szCs w:val="21"/>
        </w:rPr>
        <w:t>tal forma que estos referentes cuantitativos influyan en la toma de decisiones que</w:t>
      </w:r>
      <w:r>
        <w:rPr>
          <w:rFonts w:ascii="Abadi" w:hAnsi="Abadi" w:cs="*Arial-7199-Identity-H"/>
          <w:color w:val="0C0C0F"/>
          <w:sz w:val="21"/>
          <w:szCs w:val="21"/>
        </w:rPr>
        <w:t xml:space="preserve"> </w:t>
      </w:r>
      <w:r w:rsidRPr="009E34BC">
        <w:rPr>
          <w:rFonts w:ascii="Abadi" w:hAnsi="Abadi" w:cs="*Arial-7199-Identity-H"/>
          <w:color w:val="0C0C0F"/>
          <w:sz w:val="21"/>
          <w:szCs w:val="21"/>
        </w:rPr>
        <w:t>generen e incentiven cambios favorables para la población.</w:t>
      </w:r>
    </w:p>
    <w:p w14:paraId="639C862D" w14:textId="77777777" w:rsidR="000939C4" w:rsidRPr="009E34BC" w:rsidRDefault="000939C4" w:rsidP="000939C4">
      <w:pPr>
        <w:autoSpaceDE w:val="0"/>
        <w:autoSpaceDN w:val="0"/>
        <w:adjustRightInd w:val="0"/>
        <w:jc w:val="both"/>
        <w:rPr>
          <w:rFonts w:ascii="Abadi" w:hAnsi="Abadi" w:cs="*Arial-7199-Identity-H"/>
          <w:color w:val="0C0C0F"/>
          <w:sz w:val="21"/>
          <w:szCs w:val="21"/>
        </w:rPr>
      </w:pPr>
    </w:p>
    <w:p w14:paraId="06D462D0" w14:textId="77777777" w:rsidR="000939C4" w:rsidRDefault="000939C4" w:rsidP="000939C4">
      <w:pPr>
        <w:autoSpaceDE w:val="0"/>
        <w:autoSpaceDN w:val="0"/>
        <w:adjustRightInd w:val="0"/>
        <w:ind w:firstLine="708"/>
        <w:jc w:val="both"/>
        <w:rPr>
          <w:rFonts w:ascii="Abadi" w:hAnsi="Abadi" w:cs="*Arial-7199-Identity-H"/>
          <w:color w:val="0D0C0F"/>
          <w:sz w:val="21"/>
          <w:szCs w:val="21"/>
        </w:rPr>
      </w:pPr>
      <w:r w:rsidRPr="009E34BC">
        <w:rPr>
          <w:rFonts w:ascii="Abadi" w:hAnsi="Abadi" w:cs="*Arial-7199-Identity-H"/>
          <w:color w:val="0D0C0F"/>
          <w:sz w:val="21"/>
          <w:szCs w:val="21"/>
        </w:rPr>
        <w:t>En lo que corresponde a función de la operación del servicio de alumbrado</w:t>
      </w:r>
      <w:r>
        <w:rPr>
          <w:rFonts w:ascii="Abadi" w:hAnsi="Abadi" w:cs="*Arial-7199-Identity-H"/>
          <w:color w:val="0D0C0F"/>
          <w:sz w:val="21"/>
          <w:szCs w:val="21"/>
        </w:rPr>
        <w:t xml:space="preserve"> </w:t>
      </w:r>
      <w:r w:rsidRPr="009E34BC">
        <w:rPr>
          <w:rFonts w:ascii="Abadi" w:hAnsi="Abadi" w:cs="*Arial-7199-Identity-H"/>
          <w:color w:val="0D0C0F"/>
          <w:sz w:val="21"/>
          <w:szCs w:val="21"/>
        </w:rPr>
        <w:t>público se reconoce que su finalidad es su eficiente y eficaz funcionamiento, lo</w:t>
      </w:r>
      <w:r>
        <w:rPr>
          <w:rFonts w:ascii="Abadi" w:hAnsi="Abadi" w:cs="*Arial-7199-Identity-H"/>
          <w:color w:val="0D0C0F"/>
          <w:sz w:val="21"/>
          <w:szCs w:val="21"/>
        </w:rPr>
        <w:t xml:space="preserve"> </w:t>
      </w:r>
      <w:r w:rsidRPr="009E34BC">
        <w:rPr>
          <w:rFonts w:ascii="Abadi" w:hAnsi="Abadi" w:cs="*Arial-7199-Identity-H"/>
          <w:color w:val="0D0C0F"/>
          <w:sz w:val="21"/>
          <w:szCs w:val="21"/>
        </w:rPr>
        <w:t>cual depende de la definición clara de procesos clave y documentos normativos</w:t>
      </w:r>
      <w:r>
        <w:rPr>
          <w:rFonts w:ascii="Abadi" w:hAnsi="Abadi" w:cs="*Arial-7199-Identity-H"/>
          <w:color w:val="0D0C0F"/>
          <w:sz w:val="21"/>
          <w:szCs w:val="21"/>
        </w:rPr>
        <w:t xml:space="preserve"> </w:t>
      </w:r>
      <w:r w:rsidRPr="009E34BC">
        <w:rPr>
          <w:rFonts w:ascii="Abadi" w:hAnsi="Abadi" w:cs="*Arial-7199-Identity-H"/>
          <w:color w:val="0D0C0F"/>
          <w:sz w:val="21"/>
          <w:szCs w:val="21"/>
        </w:rPr>
        <w:t>que garanticen su operatividad; de contar con programas anuales orientados a la</w:t>
      </w:r>
      <w:r>
        <w:rPr>
          <w:rFonts w:ascii="Abadi" w:hAnsi="Abadi" w:cs="*Arial-7199-Identity-H"/>
          <w:color w:val="0D0C0F"/>
          <w:sz w:val="21"/>
          <w:szCs w:val="21"/>
        </w:rPr>
        <w:t xml:space="preserve"> </w:t>
      </w:r>
      <w:r w:rsidRPr="009E34BC">
        <w:rPr>
          <w:rFonts w:ascii="Abadi" w:hAnsi="Abadi" w:cs="*Arial-7199-Identity-H"/>
          <w:color w:val="0D0C0F"/>
          <w:sz w:val="21"/>
          <w:szCs w:val="21"/>
        </w:rPr>
        <w:t xml:space="preserve">mejora, y de brindar un servicio y una atención de calidad a la población. </w:t>
      </w:r>
    </w:p>
    <w:p w14:paraId="1CDF7FB6" w14:textId="77777777" w:rsidR="000939C4" w:rsidRDefault="000939C4" w:rsidP="000939C4">
      <w:pPr>
        <w:autoSpaceDE w:val="0"/>
        <w:autoSpaceDN w:val="0"/>
        <w:adjustRightInd w:val="0"/>
        <w:jc w:val="both"/>
        <w:rPr>
          <w:rFonts w:ascii="Abadi" w:hAnsi="Abadi" w:cs="*Arial-7199-Identity-H"/>
          <w:color w:val="0D0C0F"/>
          <w:sz w:val="21"/>
          <w:szCs w:val="21"/>
        </w:rPr>
      </w:pPr>
    </w:p>
    <w:p w14:paraId="45331ACB" w14:textId="77777777" w:rsidR="000939C4" w:rsidRPr="009E34BC" w:rsidRDefault="000939C4" w:rsidP="000939C4">
      <w:pPr>
        <w:autoSpaceDE w:val="0"/>
        <w:autoSpaceDN w:val="0"/>
        <w:adjustRightInd w:val="0"/>
        <w:ind w:firstLine="708"/>
        <w:jc w:val="both"/>
        <w:rPr>
          <w:rFonts w:ascii="Abadi" w:hAnsi="Abadi" w:cs="*Arial-7199-Identity-H"/>
          <w:color w:val="0D0C0F"/>
          <w:sz w:val="21"/>
          <w:szCs w:val="21"/>
        </w:rPr>
      </w:pPr>
      <w:r w:rsidRPr="009E34BC">
        <w:rPr>
          <w:rFonts w:ascii="Abadi" w:hAnsi="Abadi" w:cs="*Arial-7199-Identity-H"/>
          <w:color w:val="0D0C0F"/>
          <w:sz w:val="21"/>
          <w:szCs w:val="21"/>
        </w:rPr>
        <w:t>En tal</w:t>
      </w:r>
      <w:r>
        <w:rPr>
          <w:rFonts w:ascii="Abadi" w:hAnsi="Abadi" w:cs="*Arial-7199-Identity-H"/>
          <w:color w:val="0D0C0F"/>
          <w:sz w:val="21"/>
          <w:szCs w:val="21"/>
        </w:rPr>
        <w:t xml:space="preserve"> </w:t>
      </w:r>
      <w:r w:rsidRPr="009E34BC">
        <w:rPr>
          <w:rFonts w:ascii="Abadi" w:hAnsi="Abadi" w:cs="*Arial-7199-Identity-H"/>
          <w:color w:val="0D0C0F"/>
          <w:sz w:val="21"/>
          <w:szCs w:val="21"/>
        </w:rPr>
        <w:t>sentido, de la situación observada en la operación del servicio en el municipio de</w:t>
      </w:r>
      <w:r>
        <w:rPr>
          <w:rFonts w:ascii="Abadi" w:hAnsi="Abadi" w:cs="*Arial-7199-Identity-H"/>
          <w:color w:val="0D0C0F"/>
          <w:sz w:val="21"/>
          <w:szCs w:val="21"/>
        </w:rPr>
        <w:t xml:space="preserve"> </w:t>
      </w:r>
      <w:r w:rsidRPr="009E34BC">
        <w:rPr>
          <w:rFonts w:ascii="Abadi" w:hAnsi="Abadi" w:cs="*Arial-7199-Identity-H"/>
          <w:color w:val="0D0C0F"/>
          <w:sz w:val="21"/>
          <w:szCs w:val="21"/>
        </w:rPr>
        <w:t xml:space="preserve">Coroneo, </w:t>
      </w:r>
      <w:proofErr w:type="spellStart"/>
      <w:r w:rsidRPr="009E34BC">
        <w:rPr>
          <w:rFonts w:ascii="Abadi" w:hAnsi="Abadi" w:cs="*Arial-7199-Identity-H"/>
          <w:color w:val="0D0C0F"/>
          <w:sz w:val="21"/>
          <w:szCs w:val="21"/>
        </w:rPr>
        <w:t>Gto</w:t>
      </w:r>
      <w:proofErr w:type="spellEnd"/>
      <w:r w:rsidRPr="009E34BC">
        <w:rPr>
          <w:rFonts w:ascii="Abadi" w:hAnsi="Abadi" w:cs="*Arial-7199-Identity-H"/>
          <w:color w:val="0D0C0F"/>
          <w:sz w:val="21"/>
          <w:szCs w:val="21"/>
        </w:rPr>
        <w:t>., se constató que su marco normativo presenta áreas de</w:t>
      </w:r>
      <w:r>
        <w:rPr>
          <w:rFonts w:ascii="Abadi" w:hAnsi="Abadi" w:cs="*Arial-7199-Identity-H"/>
          <w:color w:val="0D0C0F"/>
          <w:sz w:val="21"/>
          <w:szCs w:val="21"/>
        </w:rPr>
        <w:t xml:space="preserve"> </w:t>
      </w:r>
      <w:r w:rsidRPr="009E34BC">
        <w:rPr>
          <w:rFonts w:ascii="Abadi" w:hAnsi="Abadi" w:cs="*Arial-7199-Identity-H"/>
          <w:color w:val="0D0C0F"/>
          <w:sz w:val="21"/>
          <w:szCs w:val="21"/>
        </w:rPr>
        <w:t>oportunidad asociadas al cumplimiento de los elementos mínimos para una</w:t>
      </w:r>
      <w:r>
        <w:rPr>
          <w:rFonts w:ascii="Abadi" w:hAnsi="Abadi" w:cs="*Arial-7199-Identity-H"/>
          <w:color w:val="0D0C0F"/>
          <w:sz w:val="21"/>
          <w:szCs w:val="21"/>
        </w:rPr>
        <w:t xml:space="preserve"> </w:t>
      </w:r>
      <w:r w:rsidRPr="009E34BC">
        <w:rPr>
          <w:rFonts w:ascii="Abadi" w:hAnsi="Abadi" w:cs="*Arial-7199-Identity-H"/>
          <w:color w:val="0D0C0F"/>
          <w:sz w:val="21"/>
          <w:szCs w:val="21"/>
        </w:rPr>
        <w:t>adecuada organización y operación del servicio; de igual manera, en la planeación</w:t>
      </w:r>
      <w:r>
        <w:rPr>
          <w:rFonts w:ascii="Abadi" w:hAnsi="Abadi" w:cs="*Arial-7199-Identity-H"/>
          <w:color w:val="0D0C0F"/>
          <w:sz w:val="21"/>
          <w:szCs w:val="21"/>
        </w:rPr>
        <w:t xml:space="preserve"> </w:t>
      </w:r>
      <w:r w:rsidRPr="009E34BC">
        <w:rPr>
          <w:rFonts w:ascii="Abadi" w:hAnsi="Abadi" w:cs="*Arial-7199-Identity-H"/>
          <w:color w:val="0D0C0F"/>
          <w:sz w:val="21"/>
          <w:szCs w:val="21"/>
        </w:rPr>
        <w:t>operativa del servicio, la cual se realiza mediante un Plan de Trabajo, se localizó</w:t>
      </w:r>
      <w:r>
        <w:rPr>
          <w:rFonts w:ascii="Abadi" w:hAnsi="Abadi" w:cs="*Arial-7199-Identity-H"/>
          <w:color w:val="0D0C0F"/>
          <w:sz w:val="21"/>
          <w:szCs w:val="21"/>
        </w:rPr>
        <w:t xml:space="preserve"> </w:t>
      </w:r>
      <w:r w:rsidRPr="009E34BC">
        <w:rPr>
          <w:rFonts w:ascii="Abadi" w:hAnsi="Abadi" w:cs="*Arial-7199-Identity-H"/>
          <w:color w:val="0D0C0F"/>
          <w:sz w:val="21"/>
          <w:szCs w:val="21"/>
        </w:rPr>
        <w:t>que esta herramienta presenta omisiones en sus elementos mínimos, como el</w:t>
      </w:r>
      <w:r>
        <w:rPr>
          <w:rFonts w:ascii="Abadi" w:hAnsi="Abadi" w:cs="*Arial-7199-Identity-H"/>
          <w:color w:val="0D0C0F"/>
          <w:sz w:val="21"/>
          <w:szCs w:val="21"/>
        </w:rPr>
        <w:t xml:space="preserve"> </w:t>
      </w:r>
      <w:r w:rsidRPr="009E34BC">
        <w:rPr>
          <w:rFonts w:ascii="Abadi" w:hAnsi="Abadi" w:cs="*Arial-7199-Identity-H"/>
          <w:color w:val="0D0C0F"/>
          <w:sz w:val="21"/>
          <w:szCs w:val="21"/>
        </w:rPr>
        <w:t>establecimiento de indicadores, la definición de metas operativas y la</w:t>
      </w:r>
      <w:r>
        <w:rPr>
          <w:rFonts w:ascii="Abadi" w:hAnsi="Abadi" w:cs="*Arial-7199-Identity-H"/>
          <w:color w:val="0D0C0F"/>
          <w:sz w:val="21"/>
          <w:szCs w:val="21"/>
        </w:rPr>
        <w:t xml:space="preserve"> </w:t>
      </w:r>
      <w:r w:rsidRPr="009E34BC">
        <w:rPr>
          <w:rFonts w:ascii="Abadi" w:hAnsi="Abadi" w:cs="*Arial-7199-Identity-H"/>
          <w:color w:val="0D0C0F"/>
          <w:sz w:val="21"/>
          <w:szCs w:val="21"/>
        </w:rPr>
        <w:t>programación de actividades, lo que afecta su funcionalidad y confiabilidad.</w:t>
      </w:r>
    </w:p>
    <w:p w14:paraId="5497C7FE" w14:textId="77777777" w:rsidR="000939C4" w:rsidRPr="009E34BC" w:rsidRDefault="000939C4" w:rsidP="000939C4">
      <w:pPr>
        <w:jc w:val="both"/>
        <w:rPr>
          <w:rFonts w:ascii="Abadi" w:hAnsi="Abadi" w:cs="*Arial-7199-Identity-H"/>
          <w:color w:val="0D0C0F"/>
          <w:sz w:val="21"/>
          <w:szCs w:val="21"/>
        </w:rPr>
      </w:pPr>
    </w:p>
    <w:p w14:paraId="5DE04AD7" w14:textId="77777777" w:rsidR="000939C4" w:rsidRDefault="000939C4" w:rsidP="000939C4">
      <w:pPr>
        <w:autoSpaceDE w:val="0"/>
        <w:autoSpaceDN w:val="0"/>
        <w:adjustRightInd w:val="0"/>
        <w:ind w:firstLine="708"/>
        <w:jc w:val="both"/>
        <w:rPr>
          <w:rFonts w:ascii="Abadi" w:hAnsi="Abadi" w:cs="*Arial-6474-Identity-H"/>
          <w:color w:val="0C0C0F"/>
          <w:sz w:val="21"/>
          <w:szCs w:val="21"/>
        </w:rPr>
      </w:pPr>
      <w:r w:rsidRPr="009E34BC">
        <w:rPr>
          <w:rFonts w:ascii="Abadi" w:hAnsi="Abadi" w:cs="*Arial-6474-Identity-H"/>
          <w:color w:val="0C0C0F"/>
          <w:sz w:val="21"/>
          <w:szCs w:val="21"/>
        </w:rPr>
        <w:t>Por lo que hace a la capacidad del sujeto fiscalizado para garantizar una</w:t>
      </w:r>
      <w:r>
        <w:rPr>
          <w:rFonts w:ascii="Abadi" w:hAnsi="Abadi" w:cs="*Arial-6474-Identity-H"/>
          <w:color w:val="0C0C0F"/>
          <w:sz w:val="21"/>
          <w:szCs w:val="21"/>
        </w:rPr>
        <w:t xml:space="preserve"> </w:t>
      </w:r>
      <w:r w:rsidRPr="009E34BC">
        <w:rPr>
          <w:rFonts w:ascii="Abadi" w:hAnsi="Abadi" w:cs="*Arial-6474-Identity-H"/>
          <w:color w:val="0C0C0F"/>
          <w:sz w:val="21"/>
          <w:szCs w:val="21"/>
        </w:rPr>
        <w:t>prestación permanente y efectiva del servicio de alumbrado público, se analizó la</w:t>
      </w:r>
      <w:r>
        <w:rPr>
          <w:rFonts w:ascii="Abadi" w:hAnsi="Abadi" w:cs="*Arial-6474-Identity-H"/>
          <w:color w:val="0C0C0F"/>
          <w:sz w:val="21"/>
          <w:szCs w:val="21"/>
        </w:rPr>
        <w:t xml:space="preserve"> </w:t>
      </w:r>
      <w:r w:rsidRPr="009E34BC">
        <w:rPr>
          <w:rFonts w:ascii="Abadi" w:hAnsi="Abadi" w:cs="*Arial-6474-Identity-H"/>
          <w:color w:val="0C0C0F"/>
          <w:sz w:val="21"/>
          <w:szCs w:val="21"/>
        </w:rPr>
        <w:t>calidad de la información relativa a los logros en materia de mantenimiento, así</w:t>
      </w:r>
      <w:r>
        <w:rPr>
          <w:rFonts w:ascii="Abadi" w:hAnsi="Abadi" w:cs="*Arial-6474-Identity-H"/>
          <w:color w:val="0C0C0F"/>
          <w:sz w:val="21"/>
          <w:szCs w:val="21"/>
        </w:rPr>
        <w:t xml:space="preserve"> </w:t>
      </w:r>
      <w:r w:rsidRPr="009E34BC">
        <w:rPr>
          <w:rFonts w:ascii="Abadi" w:hAnsi="Abadi" w:cs="*Arial-6474-Identity-H"/>
          <w:color w:val="0C0C0F"/>
          <w:sz w:val="21"/>
          <w:szCs w:val="21"/>
        </w:rPr>
        <w:t>como lo correspondiente a la cobertura y satisfacción ciudadana, observándose</w:t>
      </w:r>
      <w:r>
        <w:rPr>
          <w:rFonts w:ascii="Abadi" w:hAnsi="Abadi" w:cs="*Arial-6474-Identity-H"/>
          <w:color w:val="0C0C0F"/>
          <w:sz w:val="21"/>
          <w:szCs w:val="21"/>
        </w:rPr>
        <w:t xml:space="preserve"> </w:t>
      </w:r>
      <w:r w:rsidRPr="009E34BC">
        <w:rPr>
          <w:rFonts w:ascii="Abadi" w:hAnsi="Abadi" w:cs="*Arial-6474-Identity-H"/>
          <w:color w:val="0C0C0F"/>
          <w:sz w:val="21"/>
          <w:szCs w:val="21"/>
        </w:rPr>
        <w:t>que el sujeto fiscalizado genera datos sobre la atención de las fallas reportadas</w:t>
      </w:r>
      <w:r>
        <w:rPr>
          <w:rFonts w:ascii="Abadi" w:hAnsi="Abadi" w:cs="*Arial-6474-Identity-H"/>
          <w:color w:val="0C0C0F"/>
          <w:sz w:val="21"/>
          <w:szCs w:val="21"/>
        </w:rPr>
        <w:t xml:space="preserve"> </w:t>
      </w:r>
      <w:r w:rsidRPr="009E34BC">
        <w:rPr>
          <w:rFonts w:ascii="Abadi" w:hAnsi="Abadi" w:cs="*Arial-6474-Identity-H"/>
          <w:color w:val="0C0C0F"/>
          <w:sz w:val="21"/>
          <w:szCs w:val="21"/>
        </w:rPr>
        <w:t>mediante la participación ciudadana sobre el servicio de alumbrado, sin embargo,</w:t>
      </w:r>
      <w:r>
        <w:rPr>
          <w:rFonts w:ascii="Abadi" w:hAnsi="Abadi" w:cs="*Arial-6474-Identity-H"/>
          <w:color w:val="0C0C0F"/>
          <w:sz w:val="21"/>
          <w:szCs w:val="21"/>
        </w:rPr>
        <w:t xml:space="preserve"> </w:t>
      </w:r>
      <w:r w:rsidRPr="009E34BC">
        <w:rPr>
          <w:rFonts w:ascii="Abadi" w:hAnsi="Abadi" w:cs="*Arial-6474-Identity-H"/>
          <w:color w:val="0C0C0F"/>
          <w:sz w:val="21"/>
          <w:szCs w:val="21"/>
        </w:rPr>
        <w:t>se omite su procesamiento como herramienta que genera información para los</w:t>
      </w:r>
      <w:r>
        <w:rPr>
          <w:rFonts w:ascii="Abadi" w:hAnsi="Abadi" w:cs="*Arial-6474-Identity-H"/>
          <w:color w:val="0C0C0F"/>
          <w:sz w:val="21"/>
          <w:szCs w:val="21"/>
        </w:rPr>
        <w:t xml:space="preserve"> </w:t>
      </w:r>
      <w:r w:rsidRPr="009E34BC">
        <w:rPr>
          <w:rFonts w:ascii="Abadi" w:hAnsi="Abadi" w:cs="*Arial-6474-Identity-H"/>
          <w:color w:val="0C0C0F"/>
          <w:sz w:val="21"/>
          <w:szCs w:val="21"/>
        </w:rPr>
        <w:t>indicadores de desempeño, por lo que se reconoce la existencia de limitaciones</w:t>
      </w:r>
      <w:r>
        <w:rPr>
          <w:rFonts w:ascii="Abadi" w:hAnsi="Abadi" w:cs="*Arial-6474-Identity-H"/>
          <w:color w:val="0C0C0F"/>
          <w:sz w:val="21"/>
          <w:szCs w:val="21"/>
        </w:rPr>
        <w:t xml:space="preserve"> </w:t>
      </w:r>
      <w:r w:rsidRPr="009E34BC">
        <w:rPr>
          <w:rFonts w:ascii="Abadi" w:hAnsi="Abadi" w:cs="*Arial-6474-Identity-H"/>
          <w:color w:val="0C0C0F"/>
          <w:sz w:val="21"/>
          <w:szCs w:val="21"/>
        </w:rPr>
        <w:t>que permitan una valoración confiable sobre la efectividad de los servicios de</w:t>
      </w:r>
      <w:r>
        <w:rPr>
          <w:rFonts w:ascii="Abadi" w:hAnsi="Abadi" w:cs="*Arial-6474-Identity-H"/>
          <w:color w:val="0C0C0F"/>
          <w:sz w:val="21"/>
          <w:szCs w:val="21"/>
        </w:rPr>
        <w:t xml:space="preserve"> </w:t>
      </w:r>
      <w:r w:rsidRPr="009E34BC">
        <w:rPr>
          <w:rFonts w:ascii="Abadi" w:hAnsi="Abadi" w:cs="*Arial-6474-Identity-H"/>
          <w:color w:val="0C0C0F"/>
          <w:sz w:val="21"/>
          <w:szCs w:val="21"/>
        </w:rPr>
        <w:t>mantenimiento, cobertura y satisfacción ciudadana con el servicio.</w:t>
      </w:r>
    </w:p>
    <w:p w14:paraId="00A405B5" w14:textId="77777777" w:rsidR="000939C4" w:rsidRPr="009E34BC" w:rsidRDefault="000939C4" w:rsidP="000939C4">
      <w:pPr>
        <w:autoSpaceDE w:val="0"/>
        <w:autoSpaceDN w:val="0"/>
        <w:adjustRightInd w:val="0"/>
        <w:jc w:val="both"/>
        <w:rPr>
          <w:rFonts w:ascii="Abadi" w:hAnsi="Abadi" w:cs="*Arial-6474-Identity-H"/>
          <w:color w:val="0C0C0F"/>
          <w:sz w:val="21"/>
          <w:szCs w:val="21"/>
        </w:rPr>
      </w:pPr>
    </w:p>
    <w:p w14:paraId="2F7B9DF0" w14:textId="77777777" w:rsidR="000939C4" w:rsidRPr="009E34BC" w:rsidRDefault="000939C4" w:rsidP="000939C4">
      <w:pPr>
        <w:autoSpaceDE w:val="0"/>
        <w:autoSpaceDN w:val="0"/>
        <w:adjustRightInd w:val="0"/>
        <w:ind w:firstLine="708"/>
        <w:jc w:val="both"/>
        <w:rPr>
          <w:rFonts w:ascii="Abadi" w:hAnsi="Abadi" w:cs="*Arial-6474-Identity-H"/>
          <w:color w:val="0C0C0E"/>
          <w:sz w:val="21"/>
          <w:szCs w:val="21"/>
        </w:rPr>
      </w:pPr>
      <w:r w:rsidRPr="009E34BC">
        <w:rPr>
          <w:rFonts w:ascii="Abadi" w:hAnsi="Abadi" w:cs="*Arial-6474-Identity-H"/>
          <w:color w:val="0C0C0E"/>
          <w:sz w:val="21"/>
          <w:szCs w:val="21"/>
        </w:rPr>
        <w:t>En razón de lo anterior, se concluye que la principal limitante para</w:t>
      </w:r>
      <w:r>
        <w:rPr>
          <w:rFonts w:ascii="Abadi" w:hAnsi="Abadi" w:cs="*Arial-6474-Identity-H"/>
          <w:color w:val="0C0C0E"/>
          <w:sz w:val="21"/>
          <w:szCs w:val="21"/>
        </w:rPr>
        <w:t xml:space="preserve"> </w:t>
      </w:r>
      <w:r w:rsidRPr="009E34BC">
        <w:rPr>
          <w:rFonts w:ascii="Abadi" w:hAnsi="Abadi" w:cs="*Arial-6474-Identity-H"/>
          <w:color w:val="0C0C0E"/>
          <w:sz w:val="21"/>
          <w:szCs w:val="21"/>
        </w:rPr>
        <w:t>determinar la eficacia en el otorgamiento del servicio de alumbrado público en el</w:t>
      </w:r>
      <w:r>
        <w:rPr>
          <w:rFonts w:ascii="Abadi" w:hAnsi="Abadi" w:cs="*Arial-6474-Identity-H"/>
          <w:color w:val="0C0C0E"/>
          <w:sz w:val="21"/>
          <w:szCs w:val="21"/>
        </w:rPr>
        <w:t xml:space="preserve"> </w:t>
      </w:r>
      <w:r w:rsidRPr="009E34BC">
        <w:rPr>
          <w:rFonts w:ascii="Abadi" w:hAnsi="Abadi" w:cs="*Arial-6474-Identity-H"/>
          <w:color w:val="0C0C0E"/>
          <w:sz w:val="21"/>
          <w:szCs w:val="21"/>
        </w:rPr>
        <w:t xml:space="preserve">municipio de Coroneo </w:t>
      </w:r>
      <w:proofErr w:type="spellStart"/>
      <w:r w:rsidRPr="009E34BC">
        <w:rPr>
          <w:rFonts w:ascii="Abadi" w:hAnsi="Abadi" w:cs="*Arial-6474-Identity-H"/>
          <w:color w:val="0C0C0E"/>
          <w:sz w:val="21"/>
          <w:szCs w:val="21"/>
        </w:rPr>
        <w:t>Gto</w:t>
      </w:r>
      <w:proofErr w:type="spellEnd"/>
      <w:r w:rsidRPr="009E34BC">
        <w:rPr>
          <w:rFonts w:ascii="Abadi" w:hAnsi="Abadi" w:cs="*Arial-6474-Identity-H"/>
          <w:color w:val="0C0C0E"/>
          <w:sz w:val="21"/>
          <w:szCs w:val="21"/>
        </w:rPr>
        <w:t>., es la actitud inercial en su prestación por parte del</w:t>
      </w:r>
      <w:r>
        <w:rPr>
          <w:rFonts w:ascii="Abadi" w:hAnsi="Abadi" w:cs="*Arial-6474-Identity-H"/>
          <w:color w:val="0C0C0E"/>
          <w:sz w:val="21"/>
          <w:szCs w:val="21"/>
        </w:rPr>
        <w:t xml:space="preserve"> </w:t>
      </w:r>
      <w:r w:rsidRPr="009E34BC">
        <w:rPr>
          <w:rFonts w:ascii="Abadi" w:hAnsi="Abadi" w:cs="*Arial-6474-Identity-H"/>
          <w:color w:val="0C0C0E"/>
          <w:sz w:val="21"/>
          <w:szCs w:val="21"/>
        </w:rPr>
        <w:t>sujeto fiscalizado, expresada en el poco avance de proyectos e iniciativas que</w:t>
      </w:r>
      <w:r>
        <w:rPr>
          <w:rFonts w:ascii="Abadi" w:hAnsi="Abadi" w:cs="*Arial-6474-Identity-H"/>
          <w:color w:val="0C0C0E"/>
          <w:sz w:val="21"/>
          <w:szCs w:val="21"/>
        </w:rPr>
        <w:t xml:space="preserve"> </w:t>
      </w:r>
      <w:r w:rsidRPr="009E34BC">
        <w:rPr>
          <w:rFonts w:ascii="Abadi" w:hAnsi="Abadi" w:cs="*Arial-6474-Identity-H"/>
          <w:color w:val="0C0C0E"/>
          <w:sz w:val="21"/>
          <w:szCs w:val="21"/>
        </w:rPr>
        <w:t>buscan mejorar la eficiencia energética y financiera del servicio, la formulación de</w:t>
      </w:r>
    </w:p>
    <w:p w14:paraId="3466C7F9" w14:textId="77777777" w:rsidR="000939C4" w:rsidRDefault="000939C4" w:rsidP="000939C4">
      <w:pPr>
        <w:autoSpaceDE w:val="0"/>
        <w:autoSpaceDN w:val="0"/>
        <w:adjustRightInd w:val="0"/>
        <w:jc w:val="both"/>
        <w:rPr>
          <w:rFonts w:ascii="Abadi" w:hAnsi="Abadi" w:cs="*Arial-6474-Identity-H"/>
          <w:color w:val="0C0C0E"/>
          <w:sz w:val="21"/>
          <w:szCs w:val="21"/>
        </w:rPr>
      </w:pPr>
      <w:r w:rsidRPr="009E34BC">
        <w:rPr>
          <w:rFonts w:ascii="Abadi" w:hAnsi="Abadi" w:cs="*Arial-6474-Identity-H"/>
          <w:color w:val="0C0C0E"/>
          <w:sz w:val="21"/>
          <w:szCs w:val="21"/>
        </w:rPr>
        <w:t>objetivos concretos y alcanzables considerando la implementación de indicadores</w:t>
      </w:r>
      <w:r>
        <w:rPr>
          <w:rFonts w:ascii="Abadi" w:hAnsi="Abadi" w:cs="*Arial-6474-Identity-H"/>
          <w:color w:val="0C0C0E"/>
          <w:sz w:val="21"/>
          <w:szCs w:val="21"/>
        </w:rPr>
        <w:t xml:space="preserve"> </w:t>
      </w:r>
      <w:r w:rsidRPr="009E34BC">
        <w:rPr>
          <w:rFonts w:ascii="Abadi" w:hAnsi="Abadi" w:cs="*Arial-6474-Identity-H"/>
          <w:color w:val="0C0C0E"/>
          <w:sz w:val="21"/>
          <w:szCs w:val="21"/>
        </w:rPr>
        <w:t>que midan sus resultados y cambios en la población derivado de la prestación del</w:t>
      </w:r>
      <w:r>
        <w:rPr>
          <w:rFonts w:ascii="Abadi" w:hAnsi="Abadi" w:cs="*Arial-6474-Identity-H"/>
          <w:color w:val="0C0C0E"/>
          <w:sz w:val="21"/>
          <w:szCs w:val="21"/>
        </w:rPr>
        <w:t xml:space="preserve"> </w:t>
      </w:r>
      <w:r w:rsidRPr="009E34BC">
        <w:rPr>
          <w:rFonts w:ascii="Abadi" w:hAnsi="Abadi" w:cs="*Arial-6474-Identity-H"/>
          <w:color w:val="0C0C0E"/>
          <w:sz w:val="21"/>
          <w:szCs w:val="21"/>
        </w:rPr>
        <w:t>servicio, el uso limitado de herramientas y controles, así como la actualización de</w:t>
      </w:r>
      <w:r>
        <w:rPr>
          <w:rFonts w:ascii="Abadi" w:hAnsi="Abadi" w:cs="*Arial-6474-Identity-H"/>
          <w:color w:val="0C0C0E"/>
          <w:sz w:val="21"/>
          <w:szCs w:val="21"/>
        </w:rPr>
        <w:t xml:space="preserve"> </w:t>
      </w:r>
      <w:r w:rsidRPr="009E34BC">
        <w:rPr>
          <w:rFonts w:ascii="Abadi" w:hAnsi="Abadi" w:cs="*Arial-6474-Identity-H"/>
          <w:color w:val="0C0C0E"/>
          <w:sz w:val="21"/>
          <w:szCs w:val="21"/>
        </w:rPr>
        <w:t>su marco normativo.</w:t>
      </w:r>
    </w:p>
    <w:p w14:paraId="66125AE2" w14:textId="77777777" w:rsidR="000939C4" w:rsidRPr="009E34BC" w:rsidRDefault="000939C4" w:rsidP="000939C4">
      <w:pPr>
        <w:autoSpaceDE w:val="0"/>
        <w:autoSpaceDN w:val="0"/>
        <w:adjustRightInd w:val="0"/>
        <w:jc w:val="both"/>
        <w:rPr>
          <w:rFonts w:ascii="Abadi" w:hAnsi="Abadi" w:cs="*Arial-6474-Identity-H"/>
          <w:color w:val="0C0C0E"/>
          <w:sz w:val="21"/>
          <w:szCs w:val="21"/>
        </w:rPr>
      </w:pPr>
    </w:p>
    <w:p w14:paraId="693573DE" w14:textId="77777777" w:rsidR="000939C4" w:rsidRDefault="000939C4" w:rsidP="000939C4">
      <w:pPr>
        <w:autoSpaceDE w:val="0"/>
        <w:autoSpaceDN w:val="0"/>
        <w:adjustRightInd w:val="0"/>
        <w:ind w:firstLine="708"/>
        <w:jc w:val="both"/>
        <w:rPr>
          <w:rFonts w:ascii="Abadi" w:hAnsi="Abadi" w:cs="*Arial-6474-Identity-H"/>
          <w:color w:val="0D0D10"/>
          <w:sz w:val="21"/>
          <w:szCs w:val="21"/>
        </w:rPr>
      </w:pPr>
      <w:r w:rsidRPr="009E34BC">
        <w:rPr>
          <w:rFonts w:ascii="Abadi" w:hAnsi="Abadi" w:cs="*Arial-6474-Identity-H"/>
          <w:color w:val="0D0D10"/>
          <w:sz w:val="21"/>
          <w:szCs w:val="21"/>
        </w:rPr>
        <w:t>Derivado de las oportunidades referidas, se reconoce que la administración</w:t>
      </w:r>
      <w:r>
        <w:rPr>
          <w:rFonts w:ascii="Abadi" w:hAnsi="Abadi" w:cs="*Arial-6474-Identity-H"/>
          <w:color w:val="0D0D10"/>
          <w:sz w:val="21"/>
          <w:szCs w:val="21"/>
        </w:rPr>
        <w:t xml:space="preserve"> </w:t>
      </w:r>
      <w:r w:rsidRPr="009E34BC">
        <w:rPr>
          <w:rFonts w:ascii="Abadi" w:hAnsi="Abadi" w:cs="*Arial-6474-Identity-H"/>
          <w:color w:val="0D0D10"/>
          <w:sz w:val="21"/>
          <w:szCs w:val="21"/>
        </w:rPr>
        <w:t xml:space="preserve">pública municipal de Coroneo, </w:t>
      </w:r>
      <w:proofErr w:type="spellStart"/>
      <w:r w:rsidRPr="009E34BC">
        <w:rPr>
          <w:rFonts w:ascii="Abadi" w:hAnsi="Abadi" w:cs="*Arial-6474-Identity-H"/>
          <w:color w:val="0D0D10"/>
          <w:sz w:val="21"/>
          <w:szCs w:val="21"/>
        </w:rPr>
        <w:t>Gto</w:t>
      </w:r>
      <w:proofErr w:type="spellEnd"/>
      <w:r w:rsidRPr="009E34BC">
        <w:rPr>
          <w:rFonts w:ascii="Abadi" w:hAnsi="Abadi" w:cs="*Arial-6474-Identity-H"/>
          <w:color w:val="0D0D10"/>
          <w:sz w:val="21"/>
          <w:szCs w:val="21"/>
        </w:rPr>
        <w:t>., muestra una postura tendiente a corregir el</w:t>
      </w:r>
      <w:r>
        <w:rPr>
          <w:rFonts w:ascii="Abadi" w:hAnsi="Abadi" w:cs="*Arial-6474-Identity-H"/>
          <w:color w:val="0D0D10"/>
          <w:sz w:val="21"/>
          <w:szCs w:val="21"/>
        </w:rPr>
        <w:t xml:space="preserve"> </w:t>
      </w:r>
      <w:r w:rsidRPr="009E34BC">
        <w:rPr>
          <w:rFonts w:ascii="Abadi" w:hAnsi="Abadi" w:cs="*Arial-6474-Identity-H"/>
          <w:color w:val="0D0D10"/>
          <w:sz w:val="21"/>
          <w:szCs w:val="21"/>
        </w:rPr>
        <w:t>entorno de la planificación, operación y control de la prestación del servicio de</w:t>
      </w:r>
      <w:r>
        <w:rPr>
          <w:rFonts w:ascii="Abadi" w:hAnsi="Abadi" w:cs="*Arial-6474-Identity-H"/>
          <w:color w:val="0D0D10"/>
          <w:sz w:val="21"/>
          <w:szCs w:val="21"/>
        </w:rPr>
        <w:t xml:space="preserve"> </w:t>
      </w:r>
      <w:r w:rsidRPr="009E34BC">
        <w:rPr>
          <w:rFonts w:ascii="Abadi" w:hAnsi="Abadi" w:cs="*Arial-6474-Identity-H"/>
          <w:color w:val="0D0D10"/>
          <w:sz w:val="21"/>
          <w:szCs w:val="21"/>
        </w:rPr>
        <w:t>alumbrado público, debido a que se presentaron planes de acción para incidir en</w:t>
      </w:r>
      <w:r>
        <w:rPr>
          <w:rFonts w:ascii="Abadi" w:hAnsi="Abadi" w:cs="*Arial-6474-Identity-H"/>
          <w:color w:val="0D0D10"/>
          <w:sz w:val="21"/>
          <w:szCs w:val="21"/>
        </w:rPr>
        <w:t xml:space="preserve"> </w:t>
      </w:r>
      <w:r w:rsidRPr="009E34BC">
        <w:rPr>
          <w:rFonts w:ascii="Abadi" w:hAnsi="Abadi" w:cs="*Arial-6474-Identity-H"/>
          <w:color w:val="0D0D10"/>
          <w:sz w:val="21"/>
          <w:szCs w:val="21"/>
        </w:rPr>
        <w:t>la mejora de las brechas identificadas. En consecuencia, de atenderse las</w:t>
      </w:r>
      <w:r>
        <w:rPr>
          <w:rFonts w:ascii="Abadi" w:hAnsi="Abadi" w:cs="*Arial-6474-Identity-H"/>
          <w:color w:val="0D0D10"/>
          <w:sz w:val="21"/>
          <w:szCs w:val="21"/>
        </w:rPr>
        <w:t xml:space="preserve"> </w:t>
      </w:r>
      <w:r w:rsidRPr="009E34BC">
        <w:rPr>
          <w:rFonts w:ascii="Abadi" w:hAnsi="Abadi" w:cs="*Arial-6474-Identity-H"/>
          <w:color w:val="0D0D10"/>
          <w:sz w:val="21"/>
          <w:szCs w:val="21"/>
        </w:rPr>
        <w:t>recomendaciones formuladas, el sujeto fiscalizado estará en condiciones de</w:t>
      </w:r>
      <w:r>
        <w:rPr>
          <w:rFonts w:ascii="Abadi" w:hAnsi="Abadi" w:cs="*Arial-6474-Identity-H"/>
          <w:color w:val="0D0D10"/>
          <w:sz w:val="21"/>
          <w:szCs w:val="21"/>
        </w:rPr>
        <w:t xml:space="preserve"> </w:t>
      </w:r>
      <w:r w:rsidRPr="009E34BC">
        <w:rPr>
          <w:rFonts w:ascii="Abadi" w:hAnsi="Abadi" w:cs="*Arial-6474-Identity-H"/>
          <w:color w:val="0D0D10"/>
          <w:sz w:val="21"/>
          <w:szCs w:val="21"/>
        </w:rPr>
        <w:t>optimizar la gestión pública para asegurar que el otorgamiento del servicio de</w:t>
      </w:r>
      <w:r>
        <w:rPr>
          <w:rFonts w:ascii="Abadi" w:hAnsi="Abadi" w:cs="*Arial-6474-Identity-H"/>
          <w:color w:val="0D0D10"/>
          <w:sz w:val="21"/>
          <w:szCs w:val="21"/>
        </w:rPr>
        <w:t xml:space="preserve"> </w:t>
      </w:r>
      <w:r w:rsidRPr="009E34BC">
        <w:rPr>
          <w:rFonts w:ascii="Abadi" w:hAnsi="Abadi" w:cs="*Arial-6474-Identity-H"/>
          <w:color w:val="0D0D10"/>
          <w:sz w:val="21"/>
          <w:szCs w:val="21"/>
        </w:rPr>
        <w:t>alumbrado público se efectúe de manera eficaz y eficiente.</w:t>
      </w:r>
    </w:p>
    <w:p w14:paraId="42AAF30D" w14:textId="77777777" w:rsidR="000939C4" w:rsidRPr="009E34BC" w:rsidRDefault="000939C4" w:rsidP="000939C4">
      <w:pPr>
        <w:autoSpaceDE w:val="0"/>
        <w:autoSpaceDN w:val="0"/>
        <w:adjustRightInd w:val="0"/>
        <w:jc w:val="both"/>
        <w:rPr>
          <w:rFonts w:ascii="Abadi" w:hAnsi="Abadi" w:cs="*Arial-6474-Identity-H"/>
          <w:color w:val="0D0D10"/>
          <w:sz w:val="21"/>
          <w:szCs w:val="21"/>
        </w:rPr>
      </w:pPr>
    </w:p>
    <w:p w14:paraId="333B06AD" w14:textId="77777777" w:rsidR="000939C4" w:rsidRPr="009E34BC" w:rsidRDefault="000939C4" w:rsidP="000939C4">
      <w:pPr>
        <w:autoSpaceDE w:val="0"/>
        <w:autoSpaceDN w:val="0"/>
        <w:adjustRightInd w:val="0"/>
        <w:ind w:firstLine="708"/>
        <w:jc w:val="both"/>
        <w:rPr>
          <w:rFonts w:ascii="Abadi" w:hAnsi="Abadi" w:cs="*Arial-6474-Identity-H"/>
          <w:color w:val="0D0C0F"/>
          <w:sz w:val="21"/>
          <w:szCs w:val="21"/>
        </w:rPr>
      </w:pPr>
      <w:r w:rsidRPr="009E34BC">
        <w:rPr>
          <w:rFonts w:ascii="Abadi" w:hAnsi="Abadi" w:cs="*Arial-6474-Identity-H"/>
          <w:color w:val="0D0C0F"/>
          <w:sz w:val="21"/>
          <w:szCs w:val="21"/>
        </w:rPr>
        <w:t>El seguimiento de dichos compromisos se realizará por la Auditoría</w:t>
      </w:r>
      <w:r>
        <w:rPr>
          <w:rFonts w:ascii="Abadi" w:hAnsi="Abadi" w:cs="*Arial-6474-Identity-H"/>
          <w:color w:val="0D0C0F"/>
          <w:sz w:val="21"/>
          <w:szCs w:val="21"/>
        </w:rPr>
        <w:t xml:space="preserve"> </w:t>
      </w:r>
      <w:r w:rsidRPr="009E34BC">
        <w:rPr>
          <w:rFonts w:ascii="Abadi" w:hAnsi="Abadi" w:cs="*Arial-6474-Identity-H"/>
          <w:color w:val="0D0C0F"/>
          <w:sz w:val="21"/>
          <w:szCs w:val="21"/>
        </w:rPr>
        <w:t>Superior del Estado, respecto de las recomendaciones donde se valora que el</w:t>
      </w:r>
      <w:r>
        <w:rPr>
          <w:rFonts w:ascii="Abadi" w:hAnsi="Abadi" w:cs="*Arial-6474-Identity-H"/>
          <w:color w:val="0D0C0F"/>
          <w:sz w:val="21"/>
          <w:szCs w:val="21"/>
        </w:rPr>
        <w:t xml:space="preserve"> </w:t>
      </w:r>
      <w:r w:rsidRPr="009E34BC">
        <w:rPr>
          <w:rFonts w:ascii="Abadi" w:hAnsi="Abadi" w:cs="*Arial-6474-Identity-H"/>
          <w:color w:val="0D0C0F"/>
          <w:sz w:val="21"/>
          <w:szCs w:val="21"/>
        </w:rPr>
        <w:t>sujeto fiscalizado realizará acciones de mejora en un plazo determinado hasta su</w:t>
      </w:r>
      <w:r>
        <w:rPr>
          <w:rFonts w:ascii="Abadi" w:hAnsi="Abadi" w:cs="*Arial-6474-Identity-H"/>
          <w:color w:val="0D0C0F"/>
          <w:sz w:val="21"/>
          <w:szCs w:val="21"/>
        </w:rPr>
        <w:t xml:space="preserve"> </w:t>
      </w:r>
      <w:r w:rsidRPr="009E34BC">
        <w:rPr>
          <w:rFonts w:ascii="Abadi" w:hAnsi="Abadi" w:cs="*Arial-6474-Identity-H"/>
          <w:color w:val="0D0C0F"/>
          <w:sz w:val="21"/>
          <w:szCs w:val="21"/>
        </w:rPr>
        <w:t>total implementación, acorde a la normativa aplicable.</w:t>
      </w:r>
    </w:p>
    <w:p w14:paraId="7A7BE33A" w14:textId="77777777" w:rsidR="000939C4" w:rsidRPr="009E34BC" w:rsidRDefault="000939C4" w:rsidP="000939C4">
      <w:pPr>
        <w:jc w:val="both"/>
        <w:rPr>
          <w:rFonts w:ascii="Abadi" w:hAnsi="Abadi" w:cs="*Arial-6474-Identity-H"/>
          <w:color w:val="0D0C0F"/>
          <w:sz w:val="21"/>
          <w:szCs w:val="21"/>
        </w:rPr>
      </w:pPr>
    </w:p>
    <w:p w14:paraId="7DC913BD" w14:textId="77777777" w:rsidR="000939C4" w:rsidRPr="009E34BC" w:rsidRDefault="000939C4" w:rsidP="000939C4">
      <w:pPr>
        <w:autoSpaceDE w:val="0"/>
        <w:autoSpaceDN w:val="0"/>
        <w:adjustRightInd w:val="0"/>
        <w:ind w:firstLine="708"/>
        <w:jc w:val="both"/>
        <w:rPr>
          <w:rFonts w:ascii="Abadi" w:hAnsi="Abadi" w:cs="*Arial-Bold-6489-Identity-H"/>
          <w:b/>
          <w:bCs/>
          <w:color w:val="0C0C11"/>
          <w:sz w:val="21"/>
          <w:szCs w:val="21"/>
        </w:rPr>
      </w:pPr>
      <w:r w:rsidRPr="009E34BC">
        <w:rPr>
          <w:rFonts w:ascii="Abadi" w:hAnsi="Abadi" w:cs="*Arial-Bold-6489-Identity-H"/>
          <w:b/>
          <w:bCs/>
          <w:color w:val="0C0C11"/>
          <w:sz w:val="21"/>
          <w:szCs w:val="21"/>
        </w:rPr>
        <w:t>V. Conclusiones:</w:t>
      </w:r>
    </w:p>
    <w:p w14:paraId="26073A9D" w14:textId="77777777" w:rsidR="000939C4" w:rsidRPr="009E34BC" w:rsidRDefault="000939C4" w:rsidP="000939C4">
      <w:pPr>
        <w:autoSpaceDE w:val="0"/>
        <w:autoSpaceDN w:val="0"/>
        <w:adjustRightInd w:val="0"/>
        <w:jc w:val="both"/>
        <w:rPr>
          <w:rFonts w:ascii="Abadi" w:hAnsi="Abadi" w:cs="*Arial-6490-Identity-H"/>
          <w:color w:val="161616"/>
          <w:sz w:val="21"/>
          <w:szCs w:val="21"/>
        </w:rPr>
      </w:pPr>
    </w:p>
    <w:p w14:paraId="7E6063BC" w14:textId="77777777" w:rsidR="000939C4" w:rsidRDefault="000939C4" w:rsidP="000939C4">
      <w:pPr>
        <w:autoSpaceDE w:val="0"/>
        <w:autoSpaceDN w:val="0"/>
        <w:adjustRightInd w:val="0"/>
        <w:ind w:firstLine="708"/>
        <w:jc w:val="both"/>
        <w:rPr>
          <w:rFonts w:ascii="Abadi" w:hAnsi="Abadi" w:cs="*Arial-6488-Identity-H"/>
          <w:color w:val="0D0C0F"/>
          <w:sz w:val="21"/>
          <w:szCs w:val="21"/>
        </w:rPr>
      </w:pPr>
      <w:r w:rsidRPr="009E34BC">
        <w:rPr>
          <w:rFonts w:ascii="Abadi" w:hAnsi="Abadi" w:cs="*Arial-6488-Identity-H"/>
          <w:color w:val="0D0C0F"/>
          <w:sz w:val="21"/>
          <w:szCs w:val="21"/>
        </w:rPr>
        <w:t>Como ya lo habíamos señalado en párrafos anteriores, el artículo 38 de la</w:t>
      </w:r>
      <w:r>
        <w:rPr>
          <w:rFonts w:ascii="Abadi" w:hAnsi="Abadi" w:cs="*Arial-6488-Identity-H"/>
          <w:color w:val="0D0C0F"/>
          <w:sz w:val="21"/>
          <w:szCs w:val="21"/>
        </w:rPr>
        <w:t xml:space="preserve"> </w:t>
      </w:r>
      <w:r w:rsidRPr="009E34BC">
        <w:rPr>
          <w:rFonts w:ascii="Abadi" w:hAnsi="Abadi" w:cs="*Arial-6488-Identity-H"/>
          <w:color w:val="0D0C0F"/>
          <w:sz w:val="21"/>
          <w:szCs w:val="21"/>
        </w:rPr>
        <w:t>Ley de Fiscalización Superior del Estado de Guanajuato establece que los</w:t>
      </w:r>
      <w:r>
        <w:rPr>
          <w:rFonts w:ascii="Abadi" w:hAnsi="Abadi" w:cs="*Arial-6488-Identity-H"/>
          <w:color w:val="0D0C0F"/>
          <w:sz w:val="21"/>
          <w:szCs w:val="21"/>
        </w:rPr>
        <w:t xml:space="preserve"> </w:t>
      </w:r>
      <w:r w:rsidRPr="009E34BC">
        <w:rPr>
          <w:rFonts w:ascii="Abadi" w:hAnsi="Abadi" w:cs="*Arial-6488-Identity-H"/>
          <w:color w:val="0D0C0F"/>
          <w:sz w:val="21"/>
          <w:szCs w:val="21"/>
        </w:rPr>
        <w:t>informes de resultados únicamente podrán ser observados por las dos terceras</w:t>
      </w:r>
      <w:r>
        <w:rPr>
          <w:rFonts w:ascii="Abadi" w:hAnsi="Abadi" w:cs="*Arial-6488-Identity-H"/>
          <w:color w:val="0D0C0F"/>
          <w:sz w:val="21"/>
          <w:szCs w:val="21"/>
        </w:rPr>
        <w:t xml:space="preserve"> </w:t>
      </w:r>
      <w:r w:rsidRPr="009E34BC">
        <w:rPr>
          <w:rFonts w:ascii="Abadi" w:hAnsi="Abadi" w:cs="*Arial-6488-Identity-H"/>
          <w:color w:val="0D0C0F"/>
          <w:sz w:val="21"/>
          <w:szCs w:val="21"/>
        </w:rPr>
        <w:t>partes de los diputados integrantes del Congreso, cuando no se observen las</w:t>
      </w:r>
      <w:r>
        <w:rPr>
          <w:rFonts w:ascii="Abadi" w:hAnsi="Abadi" w:cs="*Arial-6488-Identity-H"/>
          <w:color w:val="0D0C0F"/>
          <w:sz w:val="21"/>
          <w:szCs w:val="21"/>
        </w:rPr>
        <w:t xml:space="preserve"> </w:t>
      </w:r>
      <w:r w:rsidRPr="009E34BC">
        <w:rPr>
          <w:rFonts w:ascii="Abadi" w:hAnsi="Abadi" w:cs="*Arial-6488-Identity-H"/>
          <w:color w:val="0D0C0F"/>
          <w:sz w:val="21"/>
          <w:szCs w:val="21"/>
        </w:rPr>
        <w:t>formalidades esenciales del proceso de fiscalización.</w:t>
      </w:r>
    </w:p>
    <w:p w14:paraId="52DF272B" w14:textId="77777777" w:rsidR="000939C4" w:rsidRPr="009E34BC" w:rsidRDefault="000939C4" w:rsidP="000939C4">
      <w:pPr>
        <w:autoSpaceDE w:val="0"/>
        <w:autoSpaceDN w:val="0"/>
        <w:adjustRightInd w:val="0"/>
        <w:jc w:val="both"/>
        <w:rPr>
          <w:rFonts w:ascii="Abadi" w:hAnsi="Abadi" w:cs="*Arial-6488-Identity-H"/>
          <w:color w:val="0D0C0F"/>
          <w:sz w:val="21"/>
          <w:szCs w:val="21"/>
        </w:rPr>
      </w:pPr>
    </w:p>
    <w:p w14:paraId="55EE90D5" w14:textId="77777777" w:rsidR="000939C4" w:rsidRDefault="000939C4" w:rsidP="000939C4">
      <w:pPr>
        <w:autoSpaceDE w:val="0"/>
        <w:autoSpaceDN w:val="0"/>
        <w:adjustRightInd w:val="0"/>
        <w:ind w:firstLine="708"/>
        <w:jc w:val="both"/>
        <w:rPr>
          <w:rFonts w:ascii="Abadi" w:hAnsi="Abadi" w:cs="*Arial-6488-Identity-H"/>
          <w:color w:val="0E0D10"/>
          <w:sz w:val="21"/>
          <w:szCs w:val="21"/>
        </w:rPr>
      </w:pPr>
      <w:r w:rsidRPr="009E34BC">
        <w:rPr>
          <w:rFonts w:ascii="Abadi" w:hAnsi="Abadi" w:cs="*Arial-6488-Identity-H"/>
          <w:color w:val="0E0D10"/>
          <w:sz w:val="21"/>
          <w:szCs w:val="21"/>
        </w:rPr>
        <w:t>En este sentido, quienes integramos esta Comisión analizamos el informe</w:t>
      </w:r>
      <w:r>
        <w:rPr>
          <w:rFonts w:ascii="Abadi" w:hAnsi="Abadi" w:cs="*Arial-6488-Identity-H"/>
          <w:color w:val="0E0D10"/>
          <w:sz w:val="21"/>
          <w:szCs w:val="21"/>
        </w:rPr>
        <w:t xml:space="preserve"> </w:t>
      </w:r>
      <w:r w:rsidRPr="009E34BC">
        <w:rPr>
          <w:rFonts w:ascii="Abadi" w:hAnsi="Abadi" w:cs="*Arial-6488-Identity-H"/>
          <w:color w:val="0E0D10"/>
          <w:sz w:val="21"/>
          <w:szCs w:val="21"/>
        </w:rPr>
        <w:t>de resultados materia del presente dictamen, considerando la hipótesis referida en</w:t>
      </w:r>
      <w:r>
        <w:rPr>
          <w:rFonts w:ascii="Abadi" w:hAnsi="Abadi" w:cs="*Arial-6488-Identity-H"/>
          <w:color w:val="0E0D10"/>
          <w:sz w:val="21"/>
          <w:szCs w:val="21"/>
        </w:rPr>
        <w:t xml:space="preserve"> </w:t>
      </w:r>
      <w:r w:rsidRPr="009E34BC">
        <w:rPr>
          <w:rFonts w:ascii="Abadi" w:hAnsi="Abadi" w:cs="*Arial-6488-Identity-H"/>
          <w:color w:val="0E0D10"/>
          <w:sz w:val="21"/>
          <w:szCs w:val="21"/>
        </w:rPr>
        <w:t>el precepto anteriormente señalado.</w:t>
      </w:r>
    </w:p>
    <w:p w14:paraId="3C373104" w14:textId="77777777" w:rsidR="000939C4" w:rsidRPr="009E34BC" w:rsidRDefault="000939C4" w:rsidP="000939C4">
      <w:pPr>
        <w:autoSpaceDE w:val="0"/>
        <w:autoSpaceDN w:val="0"/>
        <w:adjustRightInd w:val="0"/>
        <w:jc w:val="both"/>
        <w:rPr>
          <w:rFonts w:ascii="Abadi" w:hAnsi="Abadi" w:cs="*Arial-6488-Identity-H"/>
          <w:color w:val="0E0D10"/>
          <w:sz w:val="21"/>
          <w:szCs w:val="21"/>
        </w:rPr>
      </w:pPr>
    </w:p>
    <w:p w14:paraId="2C60470A" w14:textId="77777777" w:rsidR="000939C4" w:rsidRDefault="000939C4" w:rsidP="000939C4">
      <w:pPr>
        <w:autoSpaceDE w:val="0"/>
        <w:autoSpaceDN w:val="0"/>
        <w:adjustRightInd w:val="0"/>
        <w:ind w:firstLine="708"/>
        <w:jc w:val="both"/>
        <w:rPr>
          <w:rFonts w:ascii="Abadi" w:hAnsi="Abadi" w:cs="*Arial-6488-Identity-H"/>
          <w:color w:val="0D0D10"/>
          <w:sz w:val="21"/>
          <w:szCs w:val="21"/>
        </w:rPr>
      </w:pPr>
      <w:r w:rsidRPr="009E34BC">
        <w:rPr>
          <w:rFonts w:ascii="Abadi" w:hAnsi="Abadi" w:cs="*Arial-6488-Identity-H"/>
          <w:color w:val="0D0D10"/>
          <w:sz w:val="21"/>
          <w:szCs w:val="21"/>
        </w:rPr>
        <w:t>Como se desprende del informe de resultados, el Órgano Técnico dio</w:t>
      </w:r>
      <w:r>
        <w:rPr>
          <w:rFonts w:ascii="Abadi" w:hAnsi="Abadi" w:cs="*Arial-6488-Identity-H"/>
          <w:color w:val="0D0D10"/>
          <w:sz w:val="21"/>
          <w:szCs w:val="21"/>
        </w:rPr>
        <w:t xml:space="preserve"> </w:t>
      </w:r>
      <w:r w:rsidRPr="009E34BC">
        <w:rPr>
          <w:rFonts w:ascii="Abadi" w:hAnsi="Abadi" w:cs="*Arial-6488-Identity-H"/>
          <w:color w:val="0D0D10"/>
          <w:sz w:val="21"/>
          <w:szCs w:val="21"/>
        </w:rPr>
        <w:t>cumplimiento al artículo 58 de la Ley de Fiscalización Superior del Estado de</w:t>
      </w:r>
      <w:r>
        <w:rPr>
          <w:rFonts w:ascii="Abadi" w:hAnsi="Abadi" w:cs="*Arial-6488-Identity-H"/>
          <w:color w:val="0D0D10"/>
          <w:sz w:val="21"/>
          <w:szCs w:val="21"/>
        </w:rPr>
        <w:t xml:space="preserve"> </w:t>
      </w:r>
      <w:r w:rsidRPr="009E34BC">
        <w:rPr>
          <w:rFonts w:ascii="Abadi" w:hAnsi="Abadi" w:cs="*Arial-6488-Identity-H"/>
          <w:color w:val="0D0D10"/>
          <w:sz w:val="21"/>
          <w:szCs w:val="21"/>
        </w:rPr>
        <w:t>Guanajuato, al haberse notificado las recomendaciones derivadas de la auditoría</w:t>
      </w:r>
      <w:r>
        <w:rPr>
          <w:rFonts w:ascii="Abadi" w:hAnsi="Abadi" w:cs="*Arial-6488-Identity-H"/>
          <w:color w:val="0D0D10"/>
          <w:sz w:val="21"/>
          <w:szCs w:val="21"/>
        </w:rPr>
        <w:t xml:space="preserve"> </w:t>
      </w:r>
      <w:r w:rsidRPr="009E34BC">
        <w:rPr>
          <w:rFonts w:ascii="Abadi" w:hAnsi="Abadi" w:cs="*Arial-6488-Identity-H"/>
          <w:color w:val="0D0D10"/>
          <w:sz w:val="21"/>
          <w:szCs w:val="21"/>
        </w:rPr>
        <w:t>al sujeto fiscalizado, concediéndole el plazo que establece la Ley para atender las</w:t>
      </w:r>
      <w:r>
        <w:rPr>
          <w:rFonts w:ascii="Abadi" w:hAnsi="Abadi" w:cs="*Arial-6488-Identity-H"/>
          <w:color w:val="0D0D10"/>
          <w:sz w:val="21"/>
          <w:szCs w:val="21"/>
        </w:rPr>
        <w:t xml:space="preserve"> </w:t>
      </w:r>
      <w:r w:rsidRPr="009E34BC">
        <w:rPr>
          <w:rFonts w:ascii="Abadi" w:hAnsi="Abadi" w:cs="*Arial-6488-Identity-H"/>
          <w:color w:val="0D0D10"/>
          <w:sz w:val="21"/>
          <w:szCs w:val="21"/>
        </w:rPr>
        <w:t>recomendaciones formuladas por el Órgano Técnico. Al respecto, se presentó la</w:t>
      </w:r>
      <w:r>
        <w:rPr>
          <w:rFonts w:ascii="Abadi" w:hAnsi="Abadi" w:cs="*Arial-6488-Identity-H"/>
          <w:color w:val="0D0D10"/>
          <w:sz w:val="21"/>
          <w:szCs w:val="21"/>
        </w:rPr>
        <w:t xml:space="preserve"> </w:t>
      </w:r>
      <w:r w:rsidRPr="009E34BC">
        <w:rPr>
          <w:rFonts w:ascii="Abadi" w:hAnsi="Abadi" w:cs="*Arial-6488-Identity-H"/>
          <w:color w:val="0D0D10"/>
          <w:sz w:val="21"/>
          <w:szCs w:val="21"/>
        </w:rPr>
        <w:t>información y documentación que se consideró suficiente para atender las</w:t>
      </w:r>
      <w:r>
        <w:rPr>
          <w:rFonts w:ascii="Abadi" w:hAnsi="Abadi" w:cs="*Arial-6488-Identity-H"/>
          <w:color w:val="0D0D10"/>
          <w:sz w:val="21"/>
          <w:szCs w:val="21"/>
        </w:rPr>
        <w:t xml:space="preserve"> </w:t>
      </w:r>
      <w:r w:rsidRPr="009E34BC">
        <w:rPr>
          <w:rFonts w:ascii="Abadi" w:hAnsi="Abadi" w:cs="*Arial-6488-Identity-H"/>
          <w:color w:val="0D0D10"/>
          <w:sz w:val="21"/>
          <w:szCs w:val="21"/>
        </w:rPr>
        <w:t>recomendaciones efectuadas.</w:t>
      </w:r>
    </w:p>
    <w:p w14:paraId="04920348" w14:textId="77777777" w:rsidR="000939C4" w:rsidRPr="009E34BC" w:rsidRDefault="000939C4" w:rsidP="000939C4">
      <w:pPr>
        <w:autoSpaceDE w:val="0"/>
        <w:autoSpaceDN w:val="0"/>
        <w:adjustRightInd w:val="0"/>
        <w:jc w:val="both"/>
        <w:rPr>
          <w:rFonts w:ascii="Abadi" w:hAnsi="Abadi" w:cs="*Arial-6488-Identity-H"/>
          <w:color w:val="0D0D10"/>
          <w:sz w:val="21"/>
          <w:szCs w:val="21"/>
        </w:rPr>
      </w:pPr>
    </w:p>
    <w:p w14:paraId="7094A0EB" w14:textId="77777777" w:rsidR="000939C4" w:rsidRDefault="000939C4" w:rsidP="000939C4">
      <w:pPr>
        <w:autoSpaceDE w:val="0"/>
        <w:autoSpaceDN w:val="0"/>
        <w:adjustRightInd w:val="0"/>
        <w:ind w:firstLine="708"/>
        <w:jc w:val="both"/>
        <w:rPr>
          <w:rFonts w:ascii="Abadi" w:hAnsi="Abadi" w:cs="*Arial-6488-Identity-H"/>
          <w:color w:val="0D0D10"/>
          <w:sz w:val="21"/>
          <w:szCs w:val="21"/>
        </w:rPr>
      </w:pPr>
      <w:r w:rsidRPr="009E34BC">
        <w:rPr>
          <w:rFonts w:ascii="Abadi" w:hAnsi="Abadi" w:cs="*Arial-6488-Identity-H"/>
          <w:color w:val="0D0D10"/>
          <w:sz w:val="21"/>
          <w:szCs w:val="21"/>
        </w:rPr>
        <w:t>De igual manera, existe en el informe de resultados la constancia de que</w:t>
      </w:r>
      <w:r>
        <w:rPr>
          <w:rFonts w:ascii="Abadi" w:hAnsi="Abadi" w:cs="*Arial-6488-Identity-H"/>
          <w:color w:val="0D0D10"/>
          <w:sz w:val="21"/>
          <w:szCs w:val="21"/>
        </w:rPr>
        <w:t xml:space="preserve"> </w:t>
      </w:r>
      <w:r w:rsidRPr="009E34BC">
        <w:rPr>
          <w:rFonts w:ascii="Abadi" w:hAnsi="Abadi" w:cs="*Arial-6488-Identity-H"/>
          <w:color w:val="0D0D10"/>
          <w:sz w:val="21"/>
          <w:szCs w:val="21"/>
        </w:rPr>
        <w:t>este se notificó al sujeto fiscalizado. En tal virtud, se considera que fue respetado</w:t>
      </w:r>
      <w:r>
        <w:rPr>
          <w:rFonts w:ascii="Abadi" w:hAnsi="Abadi" w:cs="*Arial-6488-Identity-H"/>
          <w:color w:val="0D0D10"/>
          <w:sz w:val="21"/>
          <w:szCs w:val="21"/>
        </w:rPr>
        <w:t xml:space="preserve"> </w:t>
      </w:r>
      <w:r w:rsidRPr="009E34BC">
        <w:rPr>
          <w:rFonts w:ascii="Abadi" w:hAnsi="Abadi" w:cs="*Arial-6488-Identity-H"/>
          <w:color w:val="0D0D10"/>
          <w:sz w:val="21"/>
          <w:szCs w:val="21"/>
        </w:rPr>
        <w:t>el derecho de audiencia o defensa por parte del Órgano Técnico.</w:t>
      </w:r>
    </w:p>
    <w:p w14:paraId="10EE4751" w14:textId="77777777" w:rsidR="000939C4" w:rsidRPr="009E34BC" w:rsidRDefault="000939C4" w:rsidP="000939C4">
      <w:pPr>
        <w:autoSpaceDE w:val="0"/>
        <w:autoSpaceDN w:val="0"/>
        <w:adjustRightInd w:val="0"/>
        <w:jc w:val="both"/>
        <w:rPr>
          <w:rFonts w:ascii="Abadi" w:hAnsi="Abadi" w:cs="*Arial-6488-Identity-H"/>
          <w:color w:val="0D0D10"/>
          <w:sz w:val="21"/>
          <w:szCs w:val="21"/>
        </w:rPr>
      </w:pPr>
    </w:p>
    <w:p w14:paraId="53A1D3C2" w14:textId="46773935" w:rsidR="000939C4" w:rsidRPr="009E34BC" w:rsidRDefault="000939C4" w:rsidP="007815F2">
      <w:pPr>
        <w:autoSpaceDE w:val="0"/>
        <w:autoSpaceDN w:val="0"/>
        <w:adjustRightInd w:val="0"/>
        <w:ind w:firstLine="708"/>
        <w:jc w:val="both"/>
        <w:rPr>
          <w:rFonts w:ascii="Abadi" w:hAnsi="Abadi" w:cs="*Arial-6488-Identity-H"/>
          <w:color w:val="0C0C0F"/>
          <w:sz w:val="21"/>
          <w:szCs w:val="21"/>
        </w:rPr>
      </w:pPr>
      <w:r w:rsidRPr="009E34BC">
        <w:rPr>
          <w:rFonts w:ascii="Abadi" w:hAnsi="Abadi" w:cs="*Arial-6488-Identity-H"/>
          <w:color w:val="0C0C0F"/>
          <w:sz w:val="21"/>
          <w:szCs w:val="21"/>
        </w:rPr>
        <w:t>Asimismo, del informe de resultados podemos inferir que el Órgano Técnico</w:t>
      </w:r>
      <w:r>
        <w:rPr>
          <w:rFonts w:ascii="Abadi" w:hAnsi="Abadi" w:cs="*Arial-6488-Identity-H"/>
          <w:color w:val="0C0C0F"/>
          <w:sz w:val="21"/>
          <w:szCs w:val="21"/>
        </w:rPr>
        <w:t xml:space="preserve"> </w:t>
      </w:r>
      <w:r w:rsidRPr="009E34BC">
        <w:rPr>
          <w:rFonts w:ascii="Abadi" w:hAnsi="Abadi" w:cs="*Arial-6488-Identity-H"/>
          <w:color w:val="0C0C0F"/>
          <w:sz w:val="21"/>
          <w:szCs w:val="21"/>
        </w:rPr>
        <w:t>en el desarrollo del procedimiento de auditoría, dio cumplimiento a las</w:t>
      </w:r>
      <w:r>
        <w:rPr>
          <w:rFonts w:ascii="Abadi" w:hAnsi="Abadi" w:cs="*Arial-6488-Identity-H"/>
          <w:color w:val="0C0C0F"/>
          <w:sz w:val="21"/>
          <w:szCs w:val="21"/>
        </w:rPr>
        <w:t xml:space="preserve"> </w:t>
      </w:r>
      <w:r w:rsidRPr="009E34BC">
        <w:rPr>
          <w:rFonts w:ascii="Abadi" w:hAnsi="Abadi" w:cs="*Arial-6488-Identity-H"/>
          <w:color w:val="0C0C0F"/>
          <w:sz w:val="21"/>
          <w:szCs w:val="21"/>
        </w:rPr>
        <w:t>formalidades esenciales que la misma Ley establece para el proceso de</w:t>
      </w:r>
      <w:r>
        <w:rPr>
          <w:rFonts w:ascii="Abadi" w:hAnsi="Abadi" w:cs="*Arial-6488-Identity-H"/>
          <w:color w:val="0C0C0F"/>
          <w:sz w:val="21"/>
          <w:szCs w:val="21"/>
        </w:rPr>
        <w:t xml:space="preserve"> </w:t>
      </w:r>
      <w:r w:rsidRPr="009E34BC">
        <w:rPr>
          <w:rFonts w:ascii="Abadi" w:hAnsi="Abadi" w:cs="*Arial-6488-Identity-H"/>
          <w:color w:val="0C0C0F"/>
          <w:sz w:val="21"/>
          <w:szCs w:val="21"/>
        </w:rPr>
        <w:t>fiscalización, al haberse practicado la auditoría que estaba contemplada en el</w:t>
      </w:r>
      <w:r>
        <w:rPr>
          <w:rFonts w:ascii="Abadi" w:hAnsi="Abadi" w:cs="*Arial-6488-Identity-H"/>
          <w:color w:val="0C0C0F"/>
          <w:sz w:val="21"/>
          <w:szCs w:val="21"/>
        </w:rPr>
        <w:t xml:space="preserve"> </w:t>
      </w:r>
      <w:r w:rsidRPr="009E34BC">
        <w:rPr>
          <w:rFonts w:ascii="Abadi" w:hAnsi="Abadi" w:cs="*Arial-6488-Identity-H"/>
          <w:color w:val="0C0C0F"/>
          <w:sz w:val="21"/>
          <w:szCs w:val="21"/>
        </w:rPr>
        <w:t>Programa General de Fiscalización 2021, aprobado por el Auditor Superior del</w:t>
      </w:r>
      <w:r w:rsidR="007815F2">
        <w:rPr>
          <w:rFonts w:ascii="Abadi" w:hAnsi="Abadi" w:cs="*Arial-6488-Identity-H"/>
          <w:color w:val="0C0C0F"/>
          <w:sz w:val="21"/>
          <w:szCs w:val="21"/>
        </w:rPr>
        <w:t xml:space="preserve"> </w:t>
      </w:r>
      <w:r w:rsidRPr="009E34BC">
        <w:rPr>
          <w:rFonts w:ascii="Abadi" w:hAnsi="Abadi" w:cs="*Arial-6488-Identity-H"/>
          <w:color w:val="0C0C0F"/>
          <w:sz w:val="21"/>
          <w:szCs w:val="21"/>
        </w:rPr>
        <w:t>Estado. Asimismo, la auditoría se efectuó atendiendo a lo establecido en la</w:t>
      </w:r>
      <w:r>
        <w:rPr>
          <w:rFonts w:ascii="Abadi" w:hAnsi="Abadi" w:cs="*Arial-6488-Identity-H"/>
          <w:color w:val="0C0C0F"/>
          <w:sz w:val="21"/>
          <w:szCs w:val="21"/>
        </w:rPr>
        <w:t xml:space="preserve"> </w:t>
      </w:r>
      <w:r w:rsidRPr="009E34BC">
        <w:rPr>
          <w:rFonts w:ascii="Abadi" w:hAnsi="Abadi" w:cs="*Arial-6488-Identity-H"/>
          <w:color w:val="0C0C0F"/>
          <w:sz w:val="21"/>
          <w:szCs w:val="21"/>
        </w:rPr>
        <w:t>normatividad aplicable en la materia, cumpliendo lo estipulado por el articulo 3 y el</w:t>
      </w:r>
      <w:r>
        <w:rPr>
          <w:rFonts w:ascii="Abadi" w:hAnsi="Abadi" w:cs="*Arial-6488-Identity-H"/>
          <w:color w:val="0C0C0F"/>
          <w:sz w:val="21"/>
          <w:szCs w:val="21"/>
        </w:rPr>
        <w:t xml:space="preserve"> </w:t>
      </w:r>
      <w:r w:rsidRPr="009E34BC">
        <w:rPr>
          <w:rFonts w:ascii="Abadi" w:hAnsi="Abadi" w:cs="*Arial-6488-Identity-H"/>
          <w:color w:val="0C0C0F"/>
          <w:sz w:val="21"/>
          <w:szCs w:val="21"/>
        </w:rPr>
        <w:t>Capítulo VI del Título Segundo de la Ley de Fiscalización Superior del Estado de</w:t>
      </w:r>
      <w:r>
        <w:rPr>
          <w:rFonts w:ascii="Abadi" w:hAnsi="Abadi" w:cs="*Arial-6488-Identity-H"/>
          <w:color w:val="0C0C0F"/>
          <w:sz w:val="21"/>
          <w:szCs w:val="21"/>
        </w:rPr>
        <w:t xml:space="preserve"> </w:t>
      </w:r>
      <w:r w:rsidRPr="009E34BC">
        <w:rPr>
          <w:rFonts w:ascii="Abadi" w:hAnsi="Abadi" w:cs="*Arial-6488-Identity-H"/>
          <w:color w:val="0C0C0F"/>
          <w:sz w:val="21"/>
          <w:szCs w:val="21"/>
        </w:rPr>
        <w:t>Guanajuato, así como el artículo 28 del Reglamento de dicha Ley.</w:t>
      </w:r>
    </w:p>
    <w:p w14:paraId="0245A142" w14:textId="77777777" w:rsidR="000939C4" w:rsidRPr="009E34BC" w:rsidRDefault="000939C4" w:rsidP="000939C4">
      <w:pPr>
        <w:jc w:val="both"/>
        <w:rPr>
          <w:rFonts w:ascii="Abadi" w:hAnsi="Abadi" w:cs="*Arial-6488-Identity-H"/>
          <w:color w:val="0C0C0F"/>
          <w:sz w:val="21"/>
          <w:szCs w:val="21"/>
        </w:rPr>
      </w:pPr>
    </w:p>
    <w:p w14:paraId="4448040B" w14:textId="77777777" w:rsidR="000939C4" w:rsidRDefault="000939C4" w:rsidP="000939C4">
      <w:pPr>
        <w:autoSpaceDE w:val="0"/>
        <w:autoSpaceDN w:val="0"/>
        <w:adjustRightInd w:val="0"/>
        <w:ind w:firstLine="708"/>
        <w:jc w:val="both"/>
        <w:rPr>
          <w:rFonts w:ascii="Abadi" w:hAnsi="Abadi" w:cs="*Arial-7534-Identity-H"/>
          <w:color w:val="0C0B0E"/>
          <w:sz w:val="21"/>
          <w:szCs w:val="21"/>
        </w:rPr>
      </w:pPr>
      <w:r w:rsidRPr="009E34BC">
        <w:rPr>
          <w:rFonts w:ascii="Abadi" w:hAnsi="Abadi" w:cs="*Arial-7534-Identity-H"/>
          <w:color w:val="0C0B0E"/>
          <w:sz w:val="21"/>
          <w:szCs w:val="21"/>
        </w:rPr>
        <w:t>Finalmente, es de destacar que el cumplimiento de los Objetivos del</w:t>
      </w:r>
      <w:r>
        <w:rPr>
          <w:rFonts w:ascii="Abadi" w:hAnsi="Abadi" w:cs="*Arial-7534-Identity-H"/>
          <w:color w:val="0C0B0E"/>
          <w:sz w:val="21"/>
          <w:szCs w:val="21"/>
        </w:rPr>
        <w:t xml:space="preserve"> </w:t>
      </w:r>
      <w:r w:rsidRPr="009E34BC">
        <w:rPr>
          <w:rFonts w:ascii="Abadi" w:hAnsi="Abadi" w:cs="*Arial-7534-Identity-H"/>
          <w:color w:val="0C0B0E"/>
          <w:sz w:val="21"/>
          <w:szCs w:val="21"/>
        </w:rPr>
        <w:t>Desarrollo Sostenible de la Agenda 2030 está presente</w:t>
      </w:r>
      <w:r w:rsidRPr="009E34BC">
        <w:rPr>
          <w:rFonts w:ascii="Abadi" w:hAnsi="Abadi" w:cs="*Arial-7534-Identity-H"/>
          <w:color w:val="999999"/>
          <w:sz w:val="21"/>
          <w:szCs w:val="21"/>
        </w:rPr>
        <w:t xml:space="preserve">. </w:t>
      </w:r>
      <w:r w:rsidRPr="009E34BC">
        <w:rPr>
          <w:rFonts w:ascii="Abadi" w:hAnsi="Abadi" w:cs="*Arial-7534-Identity-H"/>
          <w:color w:val="0C0B0E"/>
          <w:sz w:val="21"/>
          <w:szCs w:val="21"/>
        </w:rPr>
        <w:t>en el dictamen puesto a su</w:t>
      </w:r>
      <w:r>
        <w:rPr>
          <w:rFonts w:ascii="Abadi" w:hAnsi="Abadi" w:cs="*Arial-7534-Identity-H"/>
          <w:color w:val="0C0B0E"/>
          <w:sz w:val="21"/>
          <w:szCs w:val="21"/>
        </w:rPr>
        <w:t xml:space="preserve"> </w:t>
      </w:r>
      <w:r w:rsidRPr="009E34BC">
        <w:rPr>
          <w:rFonts w:ascii="Abadi" w:hAnsi="Abadi" w:cs="*Arial-7534-Identity-H"/>
          <w:color w:val="0C0B0E"/>
          <w:sz w:val="21"/>
          <w:szCs w:val="21"/>
        </w:rPr>
        <w:t>consideración, pues el mismo incide de manera directa en el Objetivo 16</w:t>
      </w:r>
      <w:r>
        <w:rPr>
          <w:rFonts w:ascii="Abadi" w:hAnsi="Abadi" w:cs="*Arial-7534-Identity-H"/>
          <w:color w:val="0C0B0E"/>
          <w:sz w:val="21"/>
          <w:szCs w:val="21"/>
        </w:rPr>
        <w:t xml:space="preserve"> </w:t>
      </w:r>
      <w:r w:rsidRPr="009E34BC">
        <w:rPr>
          <w:rFonts w:ascii="Abadi" w:hAnsi="Abadi" w:cs="*Arial-7534-Identity-H"/>
          <w:color w:val="0C0B0E"/>
          <w:sz w:val="21"/>
          <w:szCs w:val="21"/>
        </w:rPr>
        <w:t>denominado Paz, Justicia e Instituciones Sólidas. Promover sociedades justas,</w:t>
      </w:r>
      <w:r>
        <w:rPr>
          <w:rFonts w:ascii="Abadi" w:hAnsi="Abadi" w:cs="*Arial-7534-Identity-H"/>
          <w:color w:val="0C0B0E"/>
          <w:sz w:val="21"/>
          <w:szCs w:val="21"/>
        </w:rPr>
        <w:t xml:space="preserve"> </w:t>
      </w:r>
      <w:r w:rsidRPr="009E34BC">
        <w:rPr>
          <w:rFonts w:ascii="Abadi" w:hAnsi="Abadi" w:cs="*Arial-7534-Identity-H"/>
          <w:color w:val="0C0B0E"/>
          <w:sz w:val="21"/>
          <w:szCs w:val="21"/>
        </w:rPr>
        <w:t>pacíficas e inclusivas, respecto a la meta 16.6 Crear a todos los niveles</w:t>
      </w:r>
      <w:r>
        <w:rPr>
          <w:rFonts w:ascii="Abadi" w:hAnsi="Abadi" w:cs="*Arial-7534-Identity-H"/>
          <w:color w:val="0C0B0E"/>
          <w:sz w:val="21"/>
          <w:szCs w:val="21"/>
        </w:rPr>
        <w:t xml:space="preserve"> </w:t>
      </w:r>
      <w:r w:rsidRPr="009E34BC">
        <w:rPr>
          <w:rFonts w:ascii="Abadi" w:hAnsi="Abadi" w:cs="*Arial-7534-Identity-H"/>
          <w:color w:val="0C0B0E"/>
          <w:sz w:val="21"/>
          <w:szCs w:val="21"/>
        </w:rPr>
        <w:t>instituciones eficaces y transparentes, al abonar a la transparencia y rendición de</w:t>
      </w:r>
      <w:r>
        <w:rPr>
          <w:rFonts w:ascii="Abadi" w:hAnsi="Abadi" w:cs="*Arial-7534-Identity-H"/>
          <w:color w:val="0C0B0E"/>
          <w:sz w:val="21"/>
          <w:szCs w:val="21"/>
        </w:rPr>
        <w:t xml:space="preserve"> </w:t>
      </w:r>
      <w:r w:rsidRPr="009E34BC">
        <w:rPr>
          <w:rFonts w:ascii="Abadi" w:hAnsi="Abadi" w:cs="*Arial-7534-Identity-H"/>
          <w:color w:val="0C0B0E"/>
          <w:sz w:val="21"/>
          <w:szCs w:val="21"/>
        </w:rPr>
        <w:t>cuentas.</w:t>
      </w:r>
    </w:p>
    <w:p w14:paraId="19CFF424" w14:textId="77777777" w:rsidR="000939C4" w:rsidRPr="009E34BC" w:rsidRDefault="000939C4" w:rsidP="000939C4">
      <w:pPr>
        <w:autoSpaceDE w:val="0"/>
        <w:autoSpaceDN w:val="0"/>
        <w:adjustRightInd w:val="0"/>
        <w:jc w:val="both"/>
        <w:rPr>
          <w:rFonts w:ascii="Abadi" w:hAnsi="Abadi" w:cs="*Arial-7534-Identity-H"/>
          <w:color w:val="0C0B0E"/>
          <w:sz w:val="21"/>
          <w:szCs w:val="21"/>
        </w:rPr>
      </w:pPr>
    </w:p>
    <w:p w14:paraId="78561DC1" w14:textId="5C034301" w:rsidR="000939C4" w:rsidRDefault="000939C4" w:rsidP="007815F2">
      <w:pPr>
        <w:autoSpaceDE w:val="0"/>
        <w:autoSpaceDN w:val="0"/>
        <w:adjustRightInd w:val="0"/>
        <w:ind w:firstLine="708"/>
        <w:jc w:val="both"/>
        <w:rPr>
          <w:rFonts w:ascii="Abadi" w:hAnsi="Abadi" w:cs="*Arial-7534-Identity-H"/>
          <w:color w:val="0C0C0F"/>
          <w:sz w:val="21"/>
          <w:szCs w:val="21"/>
        </w:rPr>
      </w:pPr>
      <w:r w:rsidRPr="009E34BC">
        <w:rPr>
          <w:rFonts w:ascii="Abadi" w:hAnsi="Abadi" w:cs="*Arial-7534-Identity-H"/>
          <w:color w:val="0C0C0F"/>
          <w:sz w:val="21"/>
          <w:szCs w:val="21"/>
        </w:rPr>
        <w:t>En razón de lo anteriormente señalado, concluimos que el informe de</w:t>
      </w:r>
      <w:r>
        <w:rPr>
          <w:rFonts w:ascii="Abadi" w:hAnsi="Abadi" w:cs="*Arial-7534-Identity-H"/>
          <w:color w:val="0C0C0F"/>
          <w:sz w:val="21"/>
          <w:szCs w:val="21"/>
        </w:rPr>
        <w:t xml:space="preserve"> </w:t>
      </w:r>
      <w:r w:rsidRPr="009E34BC">
        <w:rPr>
          <w:rFonts w:ascii="Abadi" w:hAnsi="Abadi" w:cs="*Arial-7534-Identity-H"/>
          <w:color w:val="0C0C0F"/>
          <w:sz w:val="21"/>
          <w:szCs w:val="21"/>
        </w:rPr>
        <w:t>resultados de la auditoria de desempeño practicada a la administración municipal</w:t>
      </w:r>
      <w:r>
        <w:rPr>
          <w:rFonts w:ascii="Abadi" w:hAnsi="Abadi" w:cs="*Arial-7534-Identity-H"/>
          <w:color w:val="0C0C0F"/>
          <w:sz w:val="21"/>
          <w:szCs w:val="21"/>
        </w:rPr>
        <w:t xml:space="preserve"> </w:t>
      </w:r>
      <w:r w:rsidRPr="009E34BC">
        <w:rPr>
          <w:rFonts w:ascii="Abadi" w:hAnsi="Abadi" w:cs="*Arial-7534-Identity-H"/>
          <w:color w:val="0C0C0F"/>
          <w:sz w:val="21"/>
          <w:szCs w:val="21"/>
        </w:rPr>
        <w:t xml:space="preserve">de Coroneo, </w:t>
      </w:r>
      <w:proofErr w:type="spellStart"/>
      <w:r w:rsidRPr="009E34BC">
        <w:rPr>
          <w:rFonts w:ascii="Abadi" w:hAnsi="Abadi" w:cs="*Arial-7534-Identity-H"/>
          <w:color w:val="0C0C0F"/>
          <w:sz w:val="21"/>
          <w:szCs w:val="21"/>
        </w:rPr>
        <w:t>Gto</w:t>
      </w:r>
      <w:proofErr w:type="spellEnd"/>
      <w:r w:rsidRPr="009E34BC">
        <w:rPr>
          <w:rFonts w:ascii="Abadi" w:hAnsi="Abadi" w:cs="*Arial-7534-Identity-H"/>
          <w:color w:val="0C0C0F"/>
          <w:sz w:val="21"/>
          <w:szCs w:val="21"/>
        </w:rPr>
        <w:t>., con enfoque a resultados del servicio de alumbrado público, por</w:t>
      </w:r>
      <w:r>
        <w:rPr>
          <w:rFonts w:ascii="Abadi" w:hAnsi="Abadi" w:cs="*Arial-7534-Identity-H"/>
          <w:color w:val="0C0C0F"/>
          <w:sz w:val="21"/>
          <w:szCs w:val="21"/>
        </w:rPr>
        <w:t xml:space="preserve"> </w:t>
      </w:r>
      <w:r w:rsidRPr="009E34BC">
        <w:rPr>
          <w:rFonts w:ascii="Abadi" w:hAnsi="Abadi" w:cs="*Arial-7534-Identity-H"/>
          <w:color w:val="0C0C0F"/>
          <w:sz w:val="21"/>
          <w:szCs w:val="21"/>
        </w:rPr>
        <w:t>el ejercicio fiscal del año 2020, debe sancionarse por el Congreso en los términos</w:t>
      </w:r>
      <w:r>
        <w:rPr>
          <w:rFonts w:ascii="Abadi" w:hAnsi="Abadi" w:cs="*Arial-7534-Identity-H"/>
          <w:color w:val="0C0C0F"/>
          <w:sz w:val="21"/>
          <w:szCs w:val="21"/>
        </w:rPr>
        <w:t xml:space="preserve"> </w:t>
      </w:r>
      <w:r w:rsidRPr="009E34BC">
        <w:rPr>
          <w:rFonts w:ascii="Abadi" w:hAnsi="Abadi" w:cs="*Arial-7534-Identity-H"/>
          <w:color w:val="0C0C0F"/>
          <w:sz w:val="21"/>
          <w:szCs w:val="21"/>
        </w:rPr>
        <w:t>presentados por la Auditoria Superior del Estado y proceder a su aprobación,</w:t>
      </w:r>
      <w:r>
        <w:rPr>
          <w:rFonts w:ascii="Abadi" w:hAnsi="Abadi" w:cs="*Arial-7534-Identity-H"/>
          <w:color w:val="0C0C0F"/>
          <w:sz w:val="21"/>
          <w:szCs w:val="21"/>
        </w:rPr>
        <w:t xml:space="preserve"> </w:t>
      </w:r>
      <w:r w:rsidRPr="009E34BC">
        <w:rPr>
          <w:rFonts w:ascii="Abadi" w:hAnsi="Abadi" w:cs="*Arial-7534-Identity-H"/>
          <w:color w:val="0C0C0F"/>
          <w:sz w:val="21"/>
          <w:szCs w:val="21"/>
        </w:rPr>
        <w:t>considerando que no se presenta el supuesto co</w:t>
      </w:r>
      <w:r w:rsidR="007815F2">
        <w:rPr>
          <w:rFonts w:ascii="Abadi" w:hAnsi="Abadi" w:cs="*Arial-7534-Identity-H"/>
          <w:color w:val="0C0C0F"/>
          <w:sz w:val="21"/>
          <w:szCs w:val="21"/>
        </w:rPr>
        <w:t>ntenido</w:t>
      </w:r>
      <w:r w:rsidRPr="009E34BC">
        <w:rPr>
          <w:rFonts w:ascii="Abadi" w:hAnsi="Abadi" w:cs="*Arial-7534-Identity-H"/>
          <w:color w:val="0C0C0F"/>
          <w:sz w:val="21"/>
          <w:szCs w:val="21"/>
        </w:rPr>
        <w:t xml:space="preserve"> en el artículo 38 de la Ley</w:t>
      </w:r>
      <w:r w:rsidR="007815F2">
        <w:rPr>
          <w:rFonts w:ascii="Abadi" w:hAnsi="Abadi" w:cs="*Arial-7534-Identity-H"/>
          <w:color w:val="0C0C0F"/>
          <w:sz w:val="21"/>
          <w:szCs w:val="21"/>
        </w:rPr>
        <w:t xml:space="preserve"> </w:t>
      </w:r>
      <w:r w:rsidRPr="009E34BC">
        <w:rPr>
          <w:rFonts w:ascii="Abadi" w:hAnsi="Abadi" w:cs="*Arial-7534-Identity-H"/>
          <w:color w:val="0C0C0F"/>
          <w:sz w:val="21"/>
          <w:szCs w:val="21"/>
        </w:rPr>
        <w:t>de Fiscalización Superior del Estado de Guanajuato, razón por la cual no podría</w:t>
      </w:r>
      <w:r>
        <w:rPr>
          <w:rFonts w:ascii="Abadi" w:hAnsi="Abadi" w:cs="*Arial-7534-Identity-H"/>
          <w:color w:val="0C0C0F"/>
          <w:sz w:val="21"/>
          <w:szCs w:val="21"/>
        </w:rPr>
        <w:t xml:space="preserve"> </w:t>
      </w:r>
      <w:r w:rsidRPr="009E34BC">
        <w:rPr>
          <w:rFonts w:ascii="Abadi" w:hAnsi="Abadi" w:cs="*Arial-7534-Identity-H"/>
          <w:color w:val="0C0C0F"/>
          <w:sz w:val="21"/>
          <w:szCs w:val="21"/>
        </w:rPr>
        <w:t>ser observado por el Pleno del Congreso</w:t>
      </w:r>
      <w:r>
        <w:rPr>
          <w:rFonts w:ascii="Abadi" w:hAnsi="Abadi" w:cs="*Arial-7534-Identity-H"/>
          <w:color w:val="0C0C0F"/>
          <w:sz w:val="21"/>
          <w:szCs w:val="21"/>
        </w:rPr>
        <w:t>.</w:t>
      </w:r>
    </w:p>
    <w:p w14:paraId="1AC06C07" w14:textId="77777777" w:rsidR="000939C4" w:rsidRPr="009E34BC" w:rsidRDefault="000939C4" w:rsidP="000939C4">
      <w:pPr>
        <w:autoSpaceDE w:val="0"/>
        <w:autoSpaceDN w:val="0"/>
        <w:adjustRightInd w:val="0"/>
        <w:jc w:val="both"/>
        <w:rPr>
          <w:rFonts w:ascii="Abadi" w:hAnsi="Abadi" w:cs="*Arial-7534-Identity-H"/>
          <w:color w:val="0C0C0F"/>
          <w:sz w:val="21"/>
          <w:szCs w:val="21"/>
        </w:rPr>
      </w:pPr>
    </w:p>
    <w:p w14:paraId="62FD0635" w14:textId="77777777" w:rsidR="000939C4" w:rsidRPr="009E34BC" w:rsidRDefault="000939C4" w:rsidP="000939C4">
      <w:pPr>
        <w:autoSpaceDE w:val="0"/>
        <w:autoSpaceDN w:val="0"/>
        <w:adjustRightInd w:val="0"/>
        <w:ind w:firstLine="708"/>
        <w:jc w:val="both"/>
        <w:rPr>
          <w:rFonts w:ascii="Abadi" w:hAnsi="Abadi" w:cs="*Arial-7534-Identity-H"/>
          <w:color w:val="0C0C0F"/>
          <w:sz w:val="21"/>
          <w:szCs w:val="21"/>
        </w:rPr>
      </w:pPr>
      <w:r w:rsidRPr="009E34BC">
        <w:rPr>
          <w:rFonts w:ascii="Abadi" w:hAnsi="Abadi" w:cs="*Arial-7534-Identity-H"/>
          <w:color w:val="0C0C0F"/>
          <w:sz w:val="21"/>
          <w:szCs w:val="21"/>
        </w:rPr>
        <w:t>Por lo expuesto, con fundamento en el artículo 204 de la Ley Orgánica del</w:t>
      </w:r>
      <w:r>
        <w:rPr>
          <w:rFonts w:ascii="Abadi" w:hAnsi="Abadi" w:cs="*Arial-7534-Identity-H"/>
          <w:color w:val="0C0C0F"/>
          <w:sz w:val="21"/>
          <w:szCs w:val="21"/>
        </w:rPr>
        <w:t xml:space="preserve"> </w:t>
      </w:r>
      <w:r w:rsidRPr="009E34BC">
        <w:rPr>
          <w:rFonts w:ascii="Abadi" w:hAnsi="Abadi" w:cs="*Arial-7534-Identity-H"/>
          <w:color w:val="0C0C0F"/>
          <w:sz w:val="21"/>
          <w:szCs w:val="21"/>
        </w:rPr>
        <w:t>Poder Legislativo, nos permitimos someter a la consideración de la Asamblea, la</w:t>
      </w:r>
      <w:r>
        <w:rPr>
          <w:rFonts w:ascii="Abadi" w:hAnsi="Abadi" w:cs="*Arial-7534-Identity-H"/>
          <w:color w:val="0C0C0F"/>
          <w:sz w:val="21"/>
          <w:szCs w:val="21"/>
        </w:rPr>
        <w:t xml:space="preserve"> </w:t>
      </w:r>
      <w:r w:rsidRPr="009E34BC">
        <w:rPr>
          <w:rFonts w:ascii="Abadi" w:hAnsi="Abadi" w:cs="*Arial-7534-Identity-H"/>
          <w:color w:val="0C0C0F"/>
          <w:sz w:val="21"/>
          <w:szCs w:val="21"/>
        </w:rPr>
        <w:t>aprobación del siguiente:</w:t>
      </w:r>
    </w:p>
    <w:p w14:paraId="1FE40BE7" w14:textId="77777777" w:rsidR="000939C4" w:rsidRDefault="000939C4" w:rsidP="000939C4">
      <w:pPr>
        <w:autoSpaceDE w:val="0"/>
        <w:autoSpaceDN w:val="0"/>
        <w:adjustRightInd w:val="0"/>
        <w:jc w:val="both"/>
        <w:rPr>
          <w:rFonts w:ascii="Abadi" w:hAnsi="Abadi" w:cs="*Arial-Bold-7535-Identity-H"/>
          <w:b/>
          <w:bCs/>
          <w:color w:val="111018"/>
          <w:sz w:val="21"/>
          <w:szCs w:val="21"/>
        </w:rPr>
      </w:pPr>
    </w:p>
    <w:p w14:paraId="0AA95EEF" w14:textId="77777777" w:rsidR="000939C4" w:rsidRDefault="000939C4" w:rsidP="000939C4">
      <w:pPr>
        <w:autoSpaceDE w:val="0"/>
        <w:autoSpaceDN w:val="0"/>
        <w:adjustRightInd w:val="0"/>
        <w:jc w:val="center"/>
        <w:rPr>
          <w:rFonts w:ascii="Abadi" w:hAnsi="Abadi" w:cs="*Arial-Bold-7535-Identity-H"/>
          <w:b/>
          <w:bCs/>
          <w:color w:val="111018"/>
          <w:sz w:val="21"/>
          <w:szCs w:val="21"/>
        </w:rPr>
      </w:pPr>
      <w:r w:rsidRPr="009E34BC">
        <w:rPr>
          <w:rFonts w:ascii="Abadi" w:hAnsi="Abadi" w:cs="*Arial-Bold-7535-Identity-H"/>
          <w:b/>
          <w:bCs/>
          <w:color w:val="111018"/>
          <w:sz w:val="21"/>
          <w:szCs w:val="21"/>
        </w:rPr>
        <w:t>ACUERDO</w:t>
      </w:r>
    </w:p>
    <w:p w14:paraId="1EABAB47" w14:textId="77777777" w:rsidR="000939C4" w:rsidRPr="009E34BC" w:rsidRDefault="000939C4" w:rsidP="000939C4">
      <w:pPr>
        <w:autoSpaceDE w:val="0"/>
        <w:autoSpaceDN w:val="0"/>
        <w:adjustRightInd w:val="0"/>
        <w:jc w:val="both"/>
        <w:rPr>
          <w:rFonts w:ascii="Abadi" w:hAnsi="Abadi" w:cs="*Arial-Bold-7535-Identity-H"/>
          <w:b/>
          <w:bCs/>
          <w:color w:val="111018"/>
          <w:sz w:val="21"/>
          <w:szCs w:val="21"/>
        </w:rPr>
      </w:pPr>
    </w:p>
    <w:p w14:paraId="3AD67BF7" w14:textId="77777777" w:rsidR="000939C4" w:rsidRDefault="000939C4" w:rsidP="000939C4">
      <w:pPr>
        <w:autoSpaceDE w:val="0"/>
        <w:autoSpaceDN w:val="0"/>
        <w:adjustRightInd w:val="0"/>
        <w:ind w:firstLine="708"/>
        <w:jc w:val="both"/>
        <w:rPr>
          <w:rFonts w:ascii="Abadi" w:hAnsi="Abadi" w:cs="*Arial-7534-Identity-H"/>
          <w:color w:val="0C0B0E"/>
          <w:sz w:val="21"/>
          <w:szCs w:val="21"/>
        </w:rPr>
      </w:pPr>
      <w:r w:rsidRPr="009E34BC">
        <w:rPr>
          <w:rFonts w:ascii="Abadi" w:hAnsi="Abadi" w:cs="*Arial-Bold-7535-Identity-H"/>
          <w:b/>
          <w:bCs/>
          <w:color w:val="0C0B0E"/>
          <w:sz w:val="21"/>
          <w:szCs w:val="21"/>
        </w:rPr>
        <w:t xml:space="preserve">Único. </w:t>
      </w:r>
      <w:r w:rsidRPr="009E34BC">
        <w:rPr>
          <w:rFonts w:ascii="Abadi" w:hAnsi="Abadi" w:cs="*Arial-7534-Identity-H"/>
          <w:color w:val="0C0B0E"/>
          <w:sz w:val="21"/>
          <w:szCs w:val="21"/>
        </w:rPr>
        <w:t>Con fundamento en el artículo 63 fracción XIX de la Constitución</w:t>
      </w:r>
      <w:r>
        <w:rPr>
          <w:rFonts w:ascii="Abadi" w:hAnsi="Abadi" w:cs="*Arial-7534-Identity-H"/>
          <w:color w:val="0C0B0E"/>
          <w:sz w:val="21"/>
          <w:szCs w:val="21"/>
        </w:rPr>
        <w:t xml:space="preserve"> </w:t>
      </w:r>
      <w:r w:rsidRPr="009E34BC">
        <w:rPr>
          <w:rFonts w:ascii="Abadi" w:hAnsi="Abadi" w:cs="*Arial-7534-Identity-H"/>
          <w:color w:val="0C0B0E"/>
          <w:sz w:val="21"/>
          <w:szCs w:val="21"/>
        </w:rPr>
        <w:t>Política para el Estado, en relación con los artículos 3, fracción V, 5, fracción IV,</w:t>
      </w:r>
      <w:r>
        <w:rPr>
          <w:rFonts w:ascii="Abadi" w:hAnsi="Abadi" w:cs="*Arial-7534-Identity-H"/>
          <w:color w:val="0C0B0E"/>
          <w:sz w:val="21"/>
          <w:szCs w:val="21"/>
        </w:rPr>
        <w:t xml:space="preserve"> </w:t>
      </w:r>
      <w:r w:rsidRPr="009E34BC">
        <w:rPr>
          <w:rFonts w:ascii="Abadi" w:hAnsi="Abadi" w:cs="*Arial-7534-Identity-H"/>
          <w:color w:val="0C0B0E"/>
          <w:sz w:val="21"/>
          <w:szCs w:val="21"/>
        </w:rPr>
        <w:t>56, 59 y 60 de la Ley de Fiscalización Superior del Estado de Guanajuato y 28 del</w:t>
      </w:r>
      <w:r>
        <w:rPr>
          <w:rFonts w:ascii="Abadi" w:hAnsi="Abadi" w:cs="*Arial-7534-Identity-H"/>
          <w:color w:val="0C0B0E"/>
          <w:sz w:val="21"/>
          <w:szCs w:val="21"/>
        </w:rPr>
        <w:t xml:space="preserve"> </w:t>
      </w:r>
      <w:r w:rsidRPr="009E34BC">
        <w:rPr>
          <w:rFonts w:ascii="Abadi" w:hAnsi="Abadi" w:cs="*Arial-7534-Identity-H"/>
          <w:color w:val="0C0B0E"/>
          <w:sz w:val="21"/>
          <w:szCs w:val="21"/>
        </w:rPr>
        <w:t>Reglamento de la Ley de Fiscalización Superior del Estado de Guanajuato, se</w:t>
      </w:r>
      <w:r>
        <w:rPr>
          <w:rFonts w:ascii="Abadi" w:hAnsi="Abadi" w:cs="*Arial-7534-Identity-H"/>
          <w:color w:val="0C0B0E"/>
          <w:sz w:val="21"/>
          <w:szCs w:val="21"/>
        </w:rPr>
        <w:t xml:space="preserve"> </w:t>
      </w:r>
      <w:r w:rsidRPr="009E34BC">
        <w:rPr>
          <w:rFonts w:ascii="Abadi" w:hAnsi="Abadi" w:cs="*Arial-7534-Identity-H"/>
          <w:color w:val="0C0B0E"/>
          <w:sz w:val="21"/>
          <w:szCs w:val="21"/>
        </w:rPr>
        <w:t>aprueba el informe de resultados formulado por la Auditoría Superior del Estado</w:t>
      </w:r>
      <w:r>
        <w:rPr>
          <w:rFonts w:ascii="Abadi" w:hAnsi="Abadi" w:cs="*Arial-7534-Identity-H"/>
          <w:color w:val="0C0B0E"/>
          <w:sz w:val="21"/>
          <w:szCs w:val="21"/>
        </w:rPr>
        <w:t xml:space="preserve"> </w:t>
      </w:r>
      <w:r w:rsidRPr="009E34BC">
        <w:rPr>
          <w:rFonts w:ascii="Abadi" w:hAnsi="Abadi" w:cs="*Arial-7534-Identity-H"/>
          <w:color w:val="0C0B0E"/>
          <w:sz w:val="21"/>
          <w:szCs w:val="21"/>
        </w:rPr>
        <w:t>de Guanajuato, de la auditoría de desempeño practicada a la administración</w:t>
      </w:r>
      <w:r>
        <w:rPr>
          <w:rFonts w:ascii="Abadi" w:hAnsi="Abadi" w:cs="*Arial-7534-Identity-H"/>
          <w:color w:val="0C0B0E"/>
          <w:sz w:val="21"/>
          <w:szCs w:val="21"/>
        </w:rPr>
        <w:t xml:space="preserve"> </w:t>
      </w:r>
      <w:r w:rsidRPr="009E34BC">
        <w:rPr>
          <w:rFonts w:ascii="Abadi" w:hAnsi="Abadi" w:cs="*Arial-7534-Identity-H"/>
          <w:color w:val="0C0B0E"/>
          <w:sz w:val="21"/>
          <w:szCs w:val="21"/>
        </w:rPr>
        <w:t xml:space="preserve">municipal de Coroneo, </w:t>
      </w:r>
      <w:proofErr w:type="spellStart"/>
      <w:r w:rsidRPr="009E34BC">
        <w:rPr>
          <w:rFonts w:ascii="Abadi" w:hAnsi="Abadi" w:cs="*Arial-7534-Identity-H"/>
          <w:color w:val="0C0B0E"/>
          <w:sz w:val="21"/>
          <w:szCs w:val="21"/>
        </w:rPr>
        <w:t>Gto</w:t>
      </w:r>
      <w:proofErr w:type="spellEnd"/>
      <w:r w:rsidRPr="009E34BC">
        <w:rPr>
          <w:rFonts w:ascii="Abadi" w:hAnsi="Abadi" w:cs="*Arial-7534-Identity-H"/>
          <w:color w:val="0C0B0E"/>
          <w:sz w:val="21"/>
          <w:szCs w:val="21"/>
        </w:rPr>
        <w:t>., con enfoque a resultados del servicio de alumbrado</w:t>
      </w:r>
      <w:r>
        <w:rPr>
          <w:rFonts w:ascii="Abadi" w:hAnsi="Abadi" w:cs="*Arial-7534-Identity-H"/>
          <w:color w:val="0C0B0E"/>
          <w:sz w:val="21"/>
          <w:szCs w:val="21"/>
        </w:rPr>
        <w:t xml:space="preserve"> </w:t>
      </w:r>
      <w:r w:rsidRPr="009E34BC">
        <w:rPr>
          <w:rFonts w:ascii="Abadi" w:hAnsi="Abadi" w:cs="*Arial-7534-Identity-H"/>
          <w:color w:val="0C0B0E"/>
          <w:sz w:val="21"/>
          <w:szCs w:val="21"/>
        </w:rPr>
        <w:t>público, por el periodo comprendido del 1 de enero al 31 de diciembre del ejercicio</w:t>
      </w:r>
      <w:r>
        <w:rPr>
          <w:rFonts w:ascii="Abadi" w:hAnsi="Abadi" w:cs="*Arial-7534-Identity-H"/>
          <w:color w:val="0C0B0E"/>
          <w:sz w:val="21"/>
          <w:szCs w:val="21"/>
        </w:rPr>
        <w:t xml:space="preserve"> </w:t>
      </w:r>
      <w:r w:rsidRPr="009E34BC">
        <w:rPr>
          <w:rFonts w:ascii="Abadi" w:hAnsi="Abadi" w:cs="*Arial-7534-Identity-H"/>
          <w:color w:val="0C0B0E"/>
          <w:sz w:val="21"/>
          <w:szCs w:val="21"/>
        </w:rPr>
        <w:t>fiscal del año 2020.</w:t>
      </w:r>
    </w:p>
    <w:p w14:paraId="515E7CE9" w14:textId="77777777" w:rsidR="000939C4" w:rsidRPr="009E34BC" w:rsidRDefault="000939C4" w:rsidP="000939C4">
      <w:pPr>
        <w:autoSpaceDE w:val="0"/>
        <w:autoSpaceDN w:val="0"/>
        <w:adjustRightInd w:val="0"/>
        <w:jc w:val="both"/>
        <w:rPr>
          <w:rFonts w:ascii="Abadi" w:hAnsi="Abadi" w:cs="*Arial-7534-Identity-H"/>
          <w:color w:val="0C0B0E"/>
          <w:sz w:val="21"/>
          <w:szCs w:val="21"/>
        </w:rPr>
      </w:pPr>
    </w:p>
    <w:p w14:paraId="30EAC9BE" w14:textId="77777777" w:rsidR="000939C4" w:rsidRPr="009E34BC" w:rsidRDefault="000939C4" w:rsidP="000939C4">
      <w:pPr>
        <w:autoSpaceDE w:val="0"/>
        <w:autoSpaceDN w:val="0"/>
        <w:adjustRightInd w:val="0"/>
        <w:ind w:firstLine="708"/>
        <w:jc w:val="both"/>
        <w:rPr>
          <w:rFonts w:ascii="Abadi" w:hAnsi="Abadi" w:cs="*Arial-7534-Identity-H"/>
          <w:color w:val="0C0C0F"/>
          <w:sz w:val="21"/>
          <w:szCs w:val="21"/>
        </w:rPr>
      </w:pPr>
      <w:r w:rsidRPr="009E34BC">
        <w:rPr>
          <w:rFonts w:ascii="Abadi" w:hAnsi="Abadi" w:cs="*Arial-7534-Identity-H"/>
          <w:color w:val="0C0C0F"/>
          <w:sz w:val="21"/>
          <w:szCs w:val="21"/>
        </w:rPr>
        <w:t>Se ordena dar vista del informe de resultados al ayuntamiento del municipio</w:t>
      </w:r>
      <w:r>
        <w:rPr>
          <w:rFonts w:ascii="Abadi" w:hAnsi="Abadi" w:cs="*Arial-7534-Identity-H"/>
          <w:color w:val="0C0C0F"/>
          <w:sz w:val="21"/>
          <w:szCs w:val="21"/>
        </w:rPr>
        <w:t xml:space="preserve"> </w:t>
      </w:r>
      <w:r w:rsidRPr="009E34BC">
        <w:rPr>
          <w:rFonts w:ascii="Abadi" w:hAnsi="Abadi" w:cs="*Arial-7534-Identity-H"/>
          <w:color w:val="0C0C0F"/>
          <w:sz w:val="21"/>
          <w:szCs w:val="21"/>
        </w:rPr>
        <w:t xml:space="preserve">de Coroneo, </w:t>
      </w:r>
      <w:proofErr w:type="spellStart"/>
      <w:r w:rsidRPr="009E34BC">
        <w:rPr>
          <w:rFonts w:ascii="Abadi" w:hAnsi="Abadi" w:cs="*Arial-7534-Identity-H"/>
          <w:color w:val="0C0C0F"/>
          <w:sz w:val="21"/>
          <w:szCs w:val="21"/>
        </w:rPr>
        <w:t>Gto</w:t>
      </w:r>
      <w:proofErr w:type="spellEnd"/>
      <w:r w:rsidRPr="009E34BC">
        <w:rPr>
          <w:rFonts w:ascii="Abadi" w:hAnsi="Abadi" w:cs="*Arial-7534-Identity-H"/>
          <w:color w:val="0C0C0F"/>
          <w:sz w:val="21"/>
          <w:szCs w:val="21"/>
        </w:rPr>
        <w:t>., a efecto de que se atiendan las recomendaciones contenidas en</w:t>
      </w:r>
      <w:r>
        <w:rPr>
          <w:rFonts w:ascii="Abadi" w:hAnsi="Abadi" w:cs="*Arial-7534-Identity-H"/>
          <w:color w:val="0C0C0F"/>
          <w:sz w:val="21"/>
          <w:szCs w:val="21"/>
        </w:rPr>
        <w:t xml:space="preserve"> </w:t>
      </w:r>
      <w:r w:rsidRPr="009E34BC">
        <w:rPr>
          <w:rFonts w:ascii="Abadi" w:hAnsi="Abadi" w:cs="*Arial-7534-Identity-H"/>
          <w:color w:val="0C0C0F"/>
          <w:sz w:val="21"/>
          <w:szCs w:val="21"/>
        </w:rPr>
        <w:t>el informe de resultados, informando a la Auditoría Superior del Estado de las</w:t>
      </w:r>
      <w:r>
        <w:rPr>
          <w:rFonts w:ascii="Abadi" w:hAnsi="Abadi" w:cs="*Arial-7534-Identity-H"/>
          <w:color w:val="0C0C0F"/>
          <w:sz w:val="21"/>
          <w:szCs w:val="21"/>
        </w:rPr>
        <w:t xml:space="preserve"> </w:t>
      </w:r>
      <w:r w:rsidRPr="009E34BC">
        <w:rPr>
          <w:rFonts w:ascii="Abadi" w:hAnsi="Abadi" w:cs="*Arial-7534-Identity-H"/>
          <w:color w:val="0C0C0F"/>
          <w:sz w:val="21"/>
          <w:szCs w:val="21"/>
        </w:rPr>
        <w:t>acciones realizadas para ello, con objeto de que esta última realice el seguimiento</w:t>
      </w:r>
      <w:r>
        <w:rPr>
          <w:rFonts w:ascii="Abadi" w:hAnsi="Abadi" w:cs="*Arial-7534-Identity-H"/>
          <w:color w:val="0C0C0F"/>
          <w:sz w:val="21"/>
          <w:szCs w:val="21"/>
        </w:rPr>
        <w:t xml:space="preserve"> </w:t>
      </w:r>
      <w:r w:rsidRPr="009E34BC">
        <w:rPr>
          <w:rFonts w:ascii="Abadi" w:hAnsi="Abadi" w:cs="*Arial-7534-Identity-H"/>
          <w:color w:val="0C0C0F"/>
          <w:sz w:val="21"/>
          <w:szCs w:val="21"/>
        </w:rPr>
        <w:t>correspondiente, previsto en los artículos 37, fracción VII, 65 y 66 de la Ley de</w:t>
      </w:r>
      <w:r>
        <w:rPr>
          <w:rFonts w:ascii="Abadi" w:hAnsi="Abadi" w:cs="*Arial-7534-Identity-H"/>
          <w:color w:val="0C0C0F"/>
          <w:sz w:val="21"/>
          <w:szCs w:val="21"/>
        </w:rPr>
        <w:t xml:space="preserve"> </w:t>
      </w:r>
      <w:r w:rsidRPr="009E34BC">
        <w:rPr>
          <w:rFonts w:ascii="Abadi" w:hAnsi="Abadi" w:cs="*Arial-7534-Identity-H"/>
          <w:color w:val="0C0C0F"/>
          <w:sz w:val="21"/>
          <w:szCs w:val="21"/>
        </w:rPr>
        <w:t>Fiscalización Superior del Estado de Guanajuato y 77 del Reglamento de dicha</w:t>
      </w:r>
      <w:r>
        <w:rPr>
          <w:rFonts w:ascii="Abadi" w:hAnsi="Abadi" w:cs="*Arial-7534-Identity-H"/>
          <w:color w:val="0C0C0F"/>
          <w:sz w:val="21"/>
          <w:szCs w:val="21"/>
        </w:rPr>
        <w:t xml:space="preserve"> </w:t>
      </w:r>
      <w:r w:rsidRPr="009E34BC">
        <w:rPr>
          <w:rFonts w:ascii="Abadi" w:hAnsi="Abadi" w:cs="*Arial-7534-Identity-H"/>
          <w:color w:val="0C0C0F"/>
          <w:sz w:val="21"/>
          <w:szCs w:val="21"/>
        </w:rPr>
        <w:t>Ley.</w:t>
      </w:r>
    </w:p>
    <w:p w14:paraId="3A4A425C" w14:textId="77777777" w:rsidR="000939C4" w:rsidRPr="009E34BC" w:rsidRDefault="000939C4" w:rsidP="000939C4">
      <w:pPr>
        <w:jc w:val="both"/>
        <w:rPr>
          <w:rFonts w:ascii="Abadi" w:hAnsi="Abadi" w:cs="*Arial-7534-Identity-H"/>
          <w:color w:val="0C0C0F"/>
          <w:sz w:val="21"/>
          <w:szCs w:val="21"/>
        </w:rPr>
      </w:pPr>
    </w:p>
    <w:p w14:paraId="4DE09013" w14:textId="77777777" w:rsidR="000939C4" w:rsidRPr="009E34BC" w:rsidRDefault="000939C4" w:rsidP="000939C4">
      <w:pPr>
        <w:autoSpaceDE w:val="0"/>
        <w:autoSpaceDN w:val="0"/>
        <w:adjustRightInd w:val="0"/>
        <w:ind w:firstLine="708"/>
        <w:jc w:val="both"/>
        <w:rPr>
          <w:rFonts w:ascii="Abadi" w:hAnsi="Abadi" w:cs="*Arial-4915-Identity-H"/>
          <w:color w:val="0C0C0F"/>
          <w:sz w:val="21"/>
          <w:szCs w:val="21"/>
        </w:rPr>
      </w:pPr>
      <w:r w:rsidRPr="009E34BC">
        <w:rPr>
          <w:rFonts w:ascii="Abadi" w:hAnsi="Abadi" w:cs="*Arial-4915-Identity-H"/>
          <w:color w:val="0D0C0F"/>
          <w:sz w:val="21"/>
          <w:szCs w:val="21"/>
        </w:rPr>
        <w:t>De conformidad con el artículo 37, fracción VI de la Ley de Fiscalización</w:t>
      </w:r>
      <w:r>
        <w:rPr>
          <w:rFonts w:ascii="Abadi" w:hAnsi="Abadi" w:cs="*Arial-4915-Identity-H"/>
          <w:color w:val="0D0C0F"/>
          <w:sz w:val="21"/>
          <w:szCs w:val="21"/>
        </w:rPr>
        <w:t xml:space="preserve"> </w:t>
      </w:r>
      <w:r w:rsidRPr="009E34BC">
        <w:rPr>
          <w:rFonts w:ascii="Abadi" w:hAnsi="Abadi" w:cs="*Arial-4915-Identity-H"/>
          <w:color w:val="0D0C0F"/>
          <w:sz w:val="21"/>
          <w:szCs w:val="21"/>
        </w:rPr>
        <w:t>Superior del Estado de Guanajuato, remítase el presente acuerdo junto con su</w:t>
      </w:r>
      <w:r>
        <w:rPr>
          <w:rFonts w:ascii="Abadi" w:hAnsi="Abadi" w:cs="*Arial-4915-Identity-H"/>
          <w:color w:val="0D0C0F"/>
          <w:sz w:val="21"/>
          <w:szCs w:val="21"/>
        </w:rPr>
        <w:t xml:space="preserve"> </w:t>
      </w:r>
      <w:r w:rsidRPr="009E34BC">
        <w:rPr>
          <w:rFonts w:ascii="Abadi" w:hAnsi="Abadi" w:cs="*Arial-4915-Identity-H"/>
          <w:color w:val="0D0C0F"/>
          <w:sz w:val="21"/>
          <w:szCs w:val="21"/>
        </w:rPr>
        <w:t>dictamen y el informe de resultados a la Auditor</w:t>
      </w:r>
      <w:r>
        <w:rPr>
          <w:rFonts w:ascii="Abadi" w:hAnsi="Abadi" w:cs="*Arial-4915-Identity-H"/>
          <w:color w:val="0D0C0F"/>
          <w:sz w:val="21"/>
          <w:szCs w:val="21"/>
        </w:rPr>
        <w:t>ia Superior</w:t>
      </w:r>
      <w:r w:rsidRPr="009E34BC">
        <w:rPr>
          <w:rFonts w:ascii="Abadi" w:hAnsi="Abadi" w:cs="*Arial-4915-Identity-H"/>
          <w:color w:val="0D0C0F"/>
          <w:sz w:val="21"/>
          <w:szCs w:val="21"/>
        </w:rPr>
        <w:t xml:space="preserve"> del Estado, para</w:t>
      </w:r>
      <w:r>
        <w:rPr>
          <w:rFonts w:ascii="Abadi" w:hAnsi="Abadi" w:cs="*Arial-4915-Identity-H"/>
          <w:color w:val="0D0C0F"/>
          <w:sz w:val="21"/>
          <w:szCs w:val="21"/>
        </w:rPr>
        <w:t xml:space="preserve"> </w:t>
      </w:r>
      <w:r w:rsidRPr="009E34BC">
        <w:rPr>
          <w:rFonts w:ascii="Abadi" w:hAnsi="Abadi" w:cs="*Arial-4915-Identity-H"/>
          <w:color w:val="0C0C0F"/>
          <w:sz w:val="21"/>
          <w:szCs w:val="21"/>
        </w:rPr>
        <w:t>efectos de su notificación.</w:t>
      </w:r>
    </w:p>
    <w:p w14:paraId="3B03FBC6" w14:textId="77777777" w:rsidR="000939C4" w:rsidRDefault="000939C4" w:rsidP="000939C4">
      <w:pPr>
        <w:autoSpaceDE w:val="0"/>
        <w:autoSpaceDN w:val="0"/>
        <w:adjustRightInd w:val="0"/>
        <w:jc w:val="both"/>
        <w:rPr>
          <w:rFonts w:ascii="Abadi" w:hAnsi="Abadi" w:cs="*Arial-Bold-4914-Identity-H"/>
          <w:b/>
          <w:bCs/>
          <w:color w:val="0E0D12"/>
          <w:sz w:val="21"/>
          <w:szCs w:val="21"/>
        </w:rPr>
      </w:pPr>
    </w:p>
    <w:p w14:paraId="22DEB0BA" w14:textId="77777777" w:rsidR="000939C4" w:rsidRPr="009E34BC" w:rsidRDefault="000939C4" w:rsidP="000939C4">
      <w:pPr>
        <w:autoSpaceDE w:val="0"/>
        <w:autoSpaceDN w:val="0"/>
        <w:adjustRightInd w:val="0"/>
        <w:jc w:val="center"/>
        <w:rPr>
          <w:rFonts w:ascii="Abadi" w:hAnsi="Abadi" w:cs="*Arial-Bold-4914-Identity-H"/>
          <w:b/>
          <w:bCs/>
          <w:color w:val="0E0D12"/>
          <w:sz w:val="21"/>
          <w:szCs w:val="21"/>
        </w:rPr>
      </w:pPr>
      <w:r w:rsidRPr="009E34BC">
        <w:rPr>
          <w:rFonts w:ascii="Abadi" w:hAnsi="Abadi" w:cs="*Arial-Bold-4914-Identity-H"/>
          <w:b/>
          <w:bCs/>
          <w:color w:val="0E0D12"/>
          <w:sz w:val="21"/>
          <w:szCs w:val="21"/>
        </w:rPr>
        <w:t xml:space="preserve">Guanajuato, </w:t>
      </w:r>
      <w:proofErr w:type="spellStart"/>
      <w:r w:rsidRPr="009E34BC">
        <w:rPr>
          <w:rFonts w:ascii="Abadi" w:hAnsi="Abadi" w:cs="*Arial-Bold-4914-Identity-H"/>
          <w:b/>
          <w:bCs/>
          <w:color w:val="0E0D12"/>
          <w:sz w:val="21"/>
          <w:szCs w:val="21"/>
        </w:rPr>
        <w:t>Gto</w:t>
      </w:r>
      <w:proofErr w:type="spellEnd"/>
      <w:r w:rsidRPr="009E34BC">
        <w:rPr>
          <w:rFonts w:ascii="Abadi" w:hAnsi="Abadi" w:cs="*Arial-Bold-4914-Identity-H"/>
          <w:b/>
          <w:bCs/>
          <w:color w:val="0E0D12"/>
          <w:sz w:val="21"/>
          <w:szCs w:val="21"/>
        </w:rPr>
        <w:t>., 19 d</w:t>
      </w:r>
      <w:r>
        <w:rPr>
          <w:rFonts w:ascii="Abadi" w:hAnsi="Abadi" w:cs="*Arial-Bold-4914-Identity-H"/>
          <w:b/>
          <w:bCs/>
          <w:color w:val="0E0D12"/>
          <w:sz w:val="21"/>
          <w:szCs w:val="21"/>
        </w:rPr>
        <w:t>e abril de 2022</w:t>
      </w:r>
    </w:p>
    <w:p w14:paraId="146DF976" w14:textId="77777777" w:rsidR="00950714" w:rsidRDefault="00950714" w:rsidP="000939C4">
      <w:pPr>
        <w:jc w:val="center"/>
        <w:rPr>
          <w:rFonts w:ascii="Abadi" w:hAnsi="Abadi" w:cs="*Arial-Bold-4914-Identity-H"/>
          <w:b/>
          <w:bCs/>
          <w:color w:val="0C0B10"/>
          <w:sz w:val="21"/>
          <w:szCs w:val="21"/>
        </w:rPr>
      </w:pPr>
    </w:p>
    <w:p w14:paraId="542E8239" w14:textId="32F24C83" w:rsidR="000939C4" w:rsidRDefault="000939C4" w:rsidP="000939C4">
      <w:pPr>
        <w:jc w:val="center"/>
        <w:rPr>
          <w:rFonts w:ascii="Abadi" w:hAnsi="Abadi" w:cs="*Arial-Bold-4914-Identity-H"/>
          <w:b/>
          <w:bCs/>
          <w:color w:val="0C0B10"/>
          <w:sz w:val="21"/>
          <w:szCs w:val="21"/>
        </w:rPr>
      </w:pPr>
      <w:r w:rsidRPr="009E34BC">
        <w:rPr>
          <w:rFonts w:ascii="Abadi" w:hAnsi="Abadi" w:cs="*Arial-Bold-4914-Identity-H"/>
          <w:b/>
          <w:bCs/>
          <w:color w:val="0C0B10"/>
          <w:sz w:val="21"/>
          <w:szCs w:val="21"/>
        </w:rPr>
        <w:t>La Comisión de</w:t>
      </w:r>
      <w:r>
        <w:rPr>
          <w:rFonts w:ascii="Abadi" w:hAnsi="Abadi" w:cs="*Arial-Bold-4914-Identity-H"/>
          <w:b/>
          <w:bCs/>
          <w:color w:val="0C0B10"/>
          <w:sz w:val="21"/>
          <w:szCs w:val="21"/>
        </w:rPr>
        <w:t xml:space="preserve"> Hacienda y Fiscalización</w:t>
      </w:r>
    </w:p>
    <w:p w14:paraId="17469675" w14:textId="77777777" w:rsidR="000939C4" w:rsidRDefault="000939C4" w:rsidP="000939C4">
      <w:pPr>
        <w:jc w:val="both"/>
        <w:rPr>
          <w:rFonts w:ascii="Abadi" w:hAnsi="Abadi" w:cs="*Arial-Bold-4914-Identity-H"/>
          <w:b/>
          <w:bCs/>
          <w:color w:val="0C0B10"/>
          <w:sz w:val="21"/>
          <w:szCs w:val="21"/>
        </w:rPr>
      </w:pPr>
    </w:p>
    <w:p w14:paraId="0A06C081" w14:textId="77777777" w:rsidR="000939C4" w:rsidRDefault="000939C4" w:rsidP="000939C4">
      <w:pPr>
        <w:jc w:val="center"/>
        <w:rPr>
          <w:rFonts w:ascii="Abadi" w:hAnsi="Abadi" w:cs="*Arial-Bold-4914-Identity-H"/>
          <w:b/>
          <w:bCs/>
          <w:color w:val="0C0B10"/>
          <w:sz w:val="21"/>
          <w:szCs w:val="21"/>
        </w:rPr>
      </w:pPr>
      <w:r>
        <w:rPr>
          <w:rFonts w:ascii="Abadi" w:hAnsi="Abadi" w:cs="*Arial-Bold-4914-Identity-H"/>
          <w:b/>
          <w:bCs/>
          <w:color w:val="0C0B10"/>
          <w:sz w:val="21"/>
          <w:szCs w:val="21"/>
        </w:rPr>
        <w:t>Diputado Víctor Manuel Zanella Huerta</w:t>
      </w:r>
    </w:p>
    <w:p w14:paraId="4013B89B" w14:textId="77777777" w:rsidR="000939C4" w:rsidRDefault="000939C4" w:rsidP="000939C4">
      <w:pPr>
        <w:jc w:val="both"/>
        <w:rPr>
          <w:rFonts w:ascii="Abadi" w:hAnsi="Abadi" w:cs="*Arial-Bold-4914-Identity-H"/>
          <w:b/>
          <w:bCs/>
          <w:color w:val="0C0B10"/>
          <w:sz w:val="21"/>
          <w:szCs w:val="21"/>
        </w:rPr>
      </w:pPr>
    </w:p>
    <w:p w14:paraId="4F9DDE6F" w14:textId="77777777" w:rsidR="000939C4" w:rsidRDefault="000939C4" w:rsidP="000939C4">
      <w:pPr>
        <w:jc w:val="both"/>
        <w:rPr>
          <w:rFonts w:ascii="Abadi" w:hAnsi="Abadi" w:cs="*Arial-Bold-4914-Identity-H"/>
          <w:b/>
          <w:bCs/>
          <w:color w:val="0C0B10"/>
          <w:sz w:val="21"/>
          <w:szCs w:val="21"/>
        </w:rPr>
      </w:pPr>
      <w:r>
        <w:rPr>
          <w:rFonts w:ascii="Abadi" w:hAnsi="Abadi" w:cs="*Arial-Bold-4914-Identity-H"/>
          <w:b/>
          <w:bCs/>
          <w:color w:val="0C0B10"/>
          <w:sz w:val="21"/>
          <w:szCs w:val="21"/>
        </w:rPr>
        <w:t>Diputada Ruth Noemí Tiscareño Agoitia</w:t>
      </w:r>
    </w:p>
    <w:p w14:paraId="766B3724" w14:textId="77777777" w:rsidR="000939C4" w:rsidRDefault="000939C4" w:rsidP="000939C4">
      <w:pPr>
        <w:jc w:val="both"/>
        <w:rPr>
          <w:rFonts w:ascii="Abadi" w:hAnsi="Abadi" w:cs="*Arial-Bold-4914-Identity-H"/>
          <w:b/>
          <w:bCs/>
          <w:color w:val="0C0B10"/>
          <w:sz w:val="21"/>
          <w:szCs w:val="21"/>
        </w:rPr>
      </w:pPr>
      <w:r>
        <w:rPr>
          <w:rFonts w:ascii="Abadi" w:hAnsi="Abadi" w:cs="*Arial-Bold-4914-Identity-H"/>
          <w:b/>
          <w:bCs/>
          <w:color w:val="0C0B10"/>
          <w:sz w:val="21"/>
          <w:szCs w:val="21"/>
        </w:rPr>
        <w:t xml:space="preserve">Diputado Miguel Ángel Salim </w:t>
      </w:r>
      <w:proofErr w:type="spellStart"/>
      <w:r>
        <w:rPr>
          <w:rFonts w:ascii="Abadi" w:hAnsi="Abadi" w:cs="*Arial-Bold-4914-Identity-H"/>
          <w:b/>
          <w:bCs/>
          <w:color w:val="0C0B10"/>
          <w:sz w:val="21"/>
          <w:szCs w:val="21"/>
        </w:rPr>
        <w:t>Alle</w:t>
      </w:r>
      <w:proofErr w:type="spellEnd"/>
    </w:p>
    <w:p w14:paraId="0A2F52B9" w14:textId="77777777" w:rsidR="000939C4" w:rsidRDefault="000939C4" w:rsidP="000939C4">
      <w:pPr>
        <w:jc w:val="both"/>
        <w:rPr>
          <w:rFonts w:ascii="Abadi" w:hAnsi="Abadi" w:cs="*Arial-Bold-4914-Identity-H"/>
          <w:b/>
          <w:bCs/>
          <w:color w:val="0C0B10"/>
          <w:sz w:val="21"/>
          <w:szCs w:val="21"/>
        </w:rPr>
      </w:pPr>
      <w:r>
        <w:rPr>
          <w:rFonts w:ascii="Abadi" w:hAnsi="Abadi" w:cs="*Arial-Bold-4914-Identity-H"/>
          <w:b/>
          <w:bCs/>
          <w:color w:val="0C0B10"/>
          <w:sz w:val="21"/>
          <w:szCs w:val="21"/>
        </w:rPr>
        <w:t>Diputado José Alfonso Borja Pimentel</w:t>
      </w:r>
    </w:p>
    <w:p w14:paraId="54853363" w14:textId="77777777" w:rsidR="000939C4" w:rsidRDefault="000939C4" w:rsidP="000939C4">
      <w:pPr>
        <w:jc w:val="both"/>
        <w:rPr>
          <w:rFonts w:ascii="Abadi" w:hAnsi="Abadi" w:cs="*Arial-Bold-4914-Identity-H"/>
          <w:b/>
          <w:bCs/>
          <w:color w:val="0C0B10"/>
          <w:sz w:val="21"/>
          <w:szCs w:val="21"/>
        </w:rPr>
      </w:pPr>
      <w:r>
        <w:rPr>
          <w:rFonts w:ascii="Abadi" w:hAnsi="Abadi" w:cs="*Arial-Bold-4914-Identity-H"/>
          <w:b/>
          <w:bCs/>
          <w:color w:val="0C0B10"/>
          <w:sz w:val="21"/>
          <w:szCs w:val="21"/>
        </w:rPr>
        <w:t>Diputada Alma Edwviges Alcaraz Hernández</w:t>
      </w:r>
    </w:p>
    <w:p w14:paraId="15112EF0" w14:textId="41AFB537" w:rsidR="000939C4" w:rsidRDefault="000939C4" w:rsidP="000939C4">
      <w:pPr>
        <w:jc w:val="both"/>
        <w:rPr>
          <w:rFonts w:ascii="Abadi" w:hAnsi="Abadi" w:cs="*Arial-Bold-4914-Identity-H"/>
          <w:b/>
          <w:bCs/>
          <w:color w:val="0C0B10"/>
          <w:sz w:val="21"/>
          <w:szCs w:val="21"/>
        </w:rPr>
      </w:pPr>
    </w:p>
    <w:p w14:paraId="0CC7D394" w14:textId="690C8B03" w:rsidR="00A95C00" w:rsidRDefault="00A95C00" w:rsidP="000939C4">
      <w:pPr>
        <w:jc w:val="both"/>
        <w:rPr>
          <w:rFonts w:ascii="Abadi" w:hAnsi="Abadi" w:cs="*Arial-Bold-4914-Identity-H"/>
          <w:b/>
          <w:bCs/>
          <w:color w:val="0C0B10"/>
          <w:sz w:val="21"/>
          <w:szCs w:val="21"/>
        </w:rPr>
      </w:pPr>
    </w:p>
    <w:p w14:paraId="213DDF6A" w14:textId="77777777" w:rsidR="00A95C00" w:rsidRDefault="00A95C00" w:rsidP="000939C4">
      <w:pPr>
        <w:jc w:val="both"/>
        <w:rPr>
          <w:rFonts w:ascii="Abadi" w:hAnsi="Abadi" w:cs="*Arial-Bold-4914-Identity-H"/>
          <w:b/>
          <w:bCs/>
          <w:color w:val="0C0B10"/>
          <w:sz w:val="21"/>
          <w:szCs w:val="21"/>
        </w:rPr>
      </w:pPr>
    </w:p>
    <w:p w14:paraId="62FED8C9" w14:textId="77777777" w:rsidR="00021259" w:rsidRPr="00396F30" w:rsidRDefault="00021259" w:rsidP="00021259">
      <w:pPr>
        <w:autoSpaceDE w:val="0"/>
        <w:autoSpaceDN w:val="0"/>
        <w:adjustRightInd w:val="0"/>
        <w:jc w:val="both"/>
        <w:rPr>
          <w:rFonts w:ascii="Abadi" w:hAnsi="Abadi" w:cs="ArialMT"/>
          <w:b/>
          <w:bCs/>
          <w:sz w:val="20"/>
          <w:szCs w:val="21"/>
        </w:rPr>
      </w:pPr>
    </w:p>
    <w:p w14:paraId="65CF71FB" w14:textId="67099A69" w:rsidR="00021259" w:rsidRDefault="00021259" w:rsidP="00343CA9">
      <w:pPr>
        <w:pStyle w:val="Prrafodelista"/>
        <w:numPr>
          <w:ilvl w:val="0"/>
          <w:numId w:val="29"/>
        </w:numPr>
        <w:autoSpaceDE w:val="0"/>
        <w:autoSpaceDN w:val="0"/>
        <w:adjustRightInd w:val="0"/>
        <w:ind w:left="426"/>
        <w:jc w:val="both"/>
        <w:rPr>
          <w:rFonts w:ascii="Abadi" w:hAnsi="Abadi" w:cs="ArialMT"/>
          <w:b/>
          <w:bCs/>
          <w:sz w:val="20"/>
          <w:szCs w:val="21"/>
        </w:rPr>
      </w:pPr>
      <w:r w:rsidRPr="001D2CB5">
        <w:rPr>
          <w:rFonts w:ascii="Abadi" w:hAnsi="Abadi" w:cs="ArialMT"/>
          <w:b/>
          <w:bCs/>
          <w:sz w:val="20"/>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PUEBLO NUEVO, GTO., CON ENFOQUE A RESULTADOS DEL SERVICIO DE ALUMBRADO PÚBLICO, POR EL PERIODO COMPRENDIDO DEL 1 DE ENERO AL 31 DE DICIEMBRE DEL EJERCICIO FISCAL DEL AÑO 2020.</w:t>
      </w:r>
    </w:p>
    <w:p w14:paraId="7675A5CD" w14:textId="709912C7" w:rsidR="004A6831" w:rsidRDefault="004A6831" w:rsidP="004A6831">
      <w:pPr>
        <w:autoSpaceDE w:val="0"/>
        <w:autoSpaceDN w:val="0"/>
        <w:adjustRightInd w:val="0"/>
        <w:jc w:val="both"/>
        <w:rPr>
          <w:rFonts w:ascii="Abadi" w:hAnsi="Abadi" w:cs="ArialMT"/>
          <w:b/>
          <w:bCs/>
          <w:sz w:val="20"/>
          <w:szCs w:val="21"/>
        </w:rPr>
      </w:pPr>
    </w:p>
    <w:p w14:paraId="3B726317" w14:textId="2E503A81" w:rsidR="004A6831" w:rsidRDefault="004A6831" w:rsidP="004A6831">
      <w:pPr>
        <w:autoSpaceDE w:val="0"/>
        <w:autoSpaceDN w:val="0"/>
        <w:adjustRightInd w:val="0"/>
        <w:jc w:val="both"/>
        <w:rPr>
          <w:rFonts w:ascii="Abadi" w:hAnsi="Abadi" w:cs="ArialMT"/>
          <w:b/>
          <w:bCs/>
          <w:sz w:val="20"/>
          <w:szCs w:val="21"/>
        </w:rPr>
      </w:pPr>
    </w:p>
    <w:p w14:paraId="18DB3DD1" w14:textId="77777777" w:rsidR="004A6831" w:rsidRPr="00360EC2" w:rsidRDefault="004A6831" w:rsidP="004A6831">
      <w:pPr>
        <w:autoSpaceDE w:val="0"/>
        <w:autoSpaceDN w:val="0"/>
        <w:adjustRightInd w:val="0"/>
        <w:jc w:val="both"/>
        <w:rPr>
          <w:rFonts w:ascii="Abadi" w:hAnsi="Abadi" w:cs="*Arial-Bold-7070-Identity-H"/>
          <w:b/>
          <w:bCs/>
          <w:color w:val="0D0D11"/>
          <w:sz w:val="21"/>
          <w:szCs w:val="21"/>
        </w:rPr>
      </w:pPr>
      <w:r w:rsidRPr="00360EC2">
        <w:rPr>
          <w:rFonts w:ascii="Abadi" w:hAnsi="Abadi" w:cs="*Arial-Bold-7070-Identity-H"/>
          <w:b/>
          <w:bCs/>
          <w:color w:val="0D0D11"/>
          <w:sz w:val="21"/>
          <w:szCs w:val="21"/>
        </w:rPr>
        <w:t>C. PRESIDENTA DEL CONGRESO DEL ESTADO.</w:t>
      </w:r>
    </w:p>
    <w:p w14:paraId="2DDF440F" w14:textId="77777777" w:rsidR="004A6831" w:rsidRDefault="004A6831" w:rsidP="004A6831">
      <w:pPr>
        <w:autoSpaceDE w:val="0"/>
        <w:autoSpaceDN w:val="0"/>
        <w:adjustRightInd w:val="0"/>
        <w:jc w:val="both"/>
        <w:rPr>
          <w:rFonts w:ascii="Abadi" w:hAnsi="Abadi" w:cs="*Arial-Bold-7070-Identity-H"/>
          <w:b/>
          <w:bCs/>
          <w:color w:val="0D0D11"/>
          <w:sz w:val="21"/>
          <w:szCs w:val="21"/>
        </w:rPr>
      </w:pPr>
      <w:r w:rsidRPr="00360EC2">
        <w:rPr>
          <w:rFonts w:ascii="Abadi" w:hAnsi="Abadi" w:cs="*Arial-Bold-7070-Identity-H"/>
          <w:b/>
          <w:bCs/>
          <w:color w:val="0D0D11"/>
          <w:sz w:val="21"/>
          <w:szCs w:val="21"/>
        </w:rPr>
        <w:t>PRESENTE.</w:t>
      </w:r>
    </w:p>
    <w:p w14:paraId="6942B1B6" w14:textId="77777777" w:rsidR="004A6831" w:rsidRPr="00360EC2" w:rsidRDefault="004A6831" w:rsidP="004A6831">
      <w:pPr>
        <w:autoSpaceDE w:val="0"/>
        <w:autoSpaceDN w:val="0"/>
        <w:adjustRightInd w:val="0"/>
        <w:jc w:val="both"/>
        <w:rPr>
          <w:rFonts w:ascii="Abadi" w:hAnsi="Abadi" w:cs="*Arial-Bold-7070-Identity-H"/>
          <w:b/>
          <w:bCs/>
          <w:color w:val="0D0D11"/>
          <w:sz w:val="21"/>
          <w:szCs w:val="21"/>
        </w:rPr>
      </w:pPr>
    </w:p>
    <w:p w14:paraId="3EA89126" w14:textId="77777777" w:rsidR="004A6831" w:rsidRDefault="004A6831" w:rsidP="004A6831">
      <w:pPr>
        <w:autoSpaceDE w:val="0"/>
        <w:autoSpaceDN w:val="0"/>
        <w:adjustRightInd w:val="0"/>
        <w:ind w:firstLine="708"/>
        <w:jc w:val="both"/>
        <w:rPr>
          <w:rFonts w:ascii="Abadi" w:hAnsi="Abadi" w:cs="*Arial-7068-Identity-H"/>
          <w:color w:val="0D0C0F"/>
          <w:sz w:val="21"/>
          <w:szCs w:val="21"/>
        </w:rPr>
      </w:pPr>
      <w:r w:rsidRPr="00360EC2">
        <w:rPr>
          <w:rFonts w:ascii="Abadi" w:hAnsi="Abadi" w:cs="*Arial-7068-Identity-H"/>
          <w:color w:val="0D0C0F"/>
          <w:sz w:val="21"/>
          <w:szCs w:val="21"/>
        </w:rPr>
        <w:t>A esta Comisión de Hacienda y Fiscalización le fue turnado para su estudio</w:t>
      </w:r>
      <w:r>
        <w:rPr>
          <w:rFonts w:ascii="Abadi" w:hAnsi="Abadi" w:cs="*Arial-7068-Identity-H"/>
          <w:color w:val="0D0C0F"/>
          <w:sz w:val="21"/>
          <w:szCs w:val="21"/>
        </w:rPr>
        <w:t xml:space="preserve"> </w:t>
      </w:r>
      <w:r w:rsidRPr="00360EC2">
        <w:rPr>
          <w:rFonts w:ascii="Abadi" w:hAnsi="Abadi" w:cs="*Arial-7068-Identity-H"/>
          <w:color w:val="0D0C0F"/>
          <w:sz w:val="21"/>
          <w:szCs w:val="21"/>
        </w:rPr>
        <w:t>y dictamen, el informe de resultados de la auditoría de desempeño practicada por</w:t>
      </w:r>
      <w:r>
        <w:rPr>
          <w:rFonts w:ascii="Abadi" w:hAnsi="Abadi" w:cs="*Arial-7068-Identity-H"/>
          <w:color w:val="0D0C0F"/>
          <w:sz w:val="21"/>
          <w:szCs w:val="21"/>
        </w:rPr>
        <w:t xml:space="preserve"> </w:t>
      </w:r>
      <w:r w:rsidRPr="00360EC2">
        <w:rPr>
          <w:rFonts w:ascii="Abadi" w:hAnsi="Abadi" w:cs="*Arial-7068-Identity-H"/>
          <w:color w:val="0D0C0F"/>
          <w:sz w:val="21"/>
          <w:szCs w:val="21"/>
        </w:rPr>
        <w:t>la Auditoría Superior del Estado de Guanajuato a la administración municipal de</w:t>
      </w:r>
      <w:r>
        <w:rPr>
          <w:rFonts w:ascii="Abadi" w:hAnsi="Abadi" w:cs="*Arial-7068-Identity-H"/>
          <w:color w:val="0D0C0F"/>
          <w:sz w:val="21"/>
          <w:szCs w:val="21"/>
        </w:rPr>
        <w:t xml:space="preserve"> </w:t>
      </w:r>
      <w:r w:rsidRPr="00360EC2">
        <w:rPr>
          <w:rFonts w:ascii="Abadi" w:hAnsi="Abadi" w:cs="*Arial-7068-Identity-H"/>
          <w:color w:val="0D0C0F"/>
          <w:sz w:val="21"/>
          <w:szCs w:val="21"/>
        </w:rPr>
        <w:t xml:space="preserve">Pueblo Nuevo, </w:t>
      </w:r>
      <w:proofErr w:type="spellStart"/>
      <w:r w:rsidRPr="00360EC2">
        <w:rPr>
          <w:rFonts w:ascii="Abadi" w:hAnsi="Abadi" w:cs="*Arial-7068-Identity-H"/>
          <w:color w:val="0D0C0F"/>
          <w:sz w:val="21"/>
          <w:szCs w:val="21"/>
        </w:rPr>
        <w:t>Gto</w:t>
      </w:r>
      <w:proofErr w:type="spellEnd"/>
      <w:r w:rsidRPr="00360EC2">
        <w:rPr>
          <w:rFonts w:ascii="Abadi" w:hAnsi="Abadi" w:cs="*Arial-7068-Identity-H"/>
          <w:color w:val="0D0C0F"/>
          <w:sz w:val="21"/>
          <w:szCs w:val="21"/>
        </w:rPr>
        <w:t>., con enfoque a resultados del servicio de alumbrado público,</w:t>
      </w:r>
      <w:r>
        <w:rPr>
          <w:rFonts w:ascii="Abadi" w:hAnsi="Abadi" w:cs="*Arial-7068-Identity-H"/>
          <w:color w:val="0D0C0F"/>
          <w:sz w:val="21"/>
          <w:szCs w:val="21"/>
        </w:rPr>
        <w:t xml:space="preserve"> </w:t>
      </w:r>
      <w:r w:rsidRPr="00360EC2">
        <w:rPr>
          <w:rFonts w:ascii="Abadi" w:hAnsi="Abadi" w:cs="*Arial-7068-Identity-H"/>
          <w:color w:val="0D0C0F"/>
          <w:sz w:val="21"/>
          <w:szCs w:val="21"/>
        </w:rPr>
        <w:t>por el periodo comprendido del 1 de enero al 31 de diciembre del ejercicio fiscal</w:t>
      </w:r>
      <w:r>
        <w:rPr>
          <w:rFonts w:ascii="Abadi" w:hAnsi="Abadi" w:cs="*Arial-7068-Identity-H"/>
          <w:color w:val="0D0C0F"/>
          <w:sz w:val="21"/>
          <w:szCs w:val="21"/>
        </w:rPr>
        <w:t xml:space="preserve"> </w:t>
      </w:r>
      <w:r w:rsidRPr="00360EC2">
        <w:rPr>
          <w:rFonts w:ascii="Abadi" w:hAnsi="Abadi" w:cs="*Arial-7068-Identity-H"/>
          <w:color w:val="0D0C0F"/>
          <w:sz w:val="21"/>
          <w:szCs w:val="21"/>
        </w:rPr>
        <w:t>del año 2020.</w:t>
      </w:r>
    </w:p>
    <w:p w14:paraId="63D52636" w14:textId="77777777" w:rsidR="004A6831" w:rsidRPr="00360EC2" w:rsidRDefault="004A6831" w:rsidP="004A6831">
      <w:pPr>
        <w:autoSpaceDE w:val="0"/>
        <w:autoSpaceDN w:val="0"/>
        <w:adjustRightInd w:val="0"/>
        <w:jc w:val="both"/>
        <w:rPr>
          <w:rFonts w:ascii="Abadi" w:hAnsi="Abadi" w:cs="*Arial-7068-Identity-H"/>
          <w:color w:val="0D0C0F"/>
          <w:sz w:val="21"/>
          <w:szCs w:val="21"/>
        </w:rPr>
      </w:pPr>
    </w:p>
    <w:p w14:paraId="0327C36E" w14:textId="77777777" w:rsidR="004A6831" w:rsidRPr="00360EC2" w:rsidRDefault="004A6831" w:rsidP="004A6831">
      <w:pPr>
        <w:autoSpaceDE w:val="0"/>
        <w:autoSpaceDN w:val="0"/>
        <w:adjustRightInd w:val="0"/>
        <w:ind w:firstLine="708"/>
        <w:jc w:val="both"/>
        <w:rPr>
          <w:rFonts w:ascii="Abadi" w:hAnsi="Abadi" w:cs="*Arial-7068-Identity-H"/>
          <w:color w:val="0D0C0F"/>
          <w:sz w:val="21"/>
          <w:szCs w:val="21"/>
        </w:rPr>
      </w:pPr>
      <w:r w:rsidRPr="00360EC2">
        <w:rPr>
          <w:rFonts w:ascii="Abadi" w:hAnsi="Abadi" w:cs="*Arial-7068-Identity-H"/>
          <w:color w:val="0D0C0F"/>
          <w:sz w:val="21"/>
          <w:szCs w:val="21"/>
        </w:rPr>
        <w:t>Una vez analizado el referido informe de resultados, con fundamento en los</w:t>
      </w:r>
      <w:r>
        <w:rPr>
          <w:rFonts w:ascii="Abadi" w:hAnsi="Abadi" w:cs="*Arial-7068-Identity-H"/>
          <w:color w:val="0D0C0F"/>
          <w:sz w:val="21"/>
          <w:szCs w:val="21"/>
        </w:rPr>
        <w:t xml:space="preserve"> </w:t>
      </w:r>
      <w:r w:rsidRPr="00360EC2">
        <w:rPr>
          <w:rFonts w:ascii="Abadi" w:hAnsi="Abadi" w:cs="*Arial-7068-Identity-H"/>
          <w:color w:val="0D0C0F"/>
          <w:sz w:val="21"/>
          <w:szCs w:val="21"/>
        </w:rPr>
        <w:t>artículos 112 fracción XI 1, primer párrafo y 171 de la Ley Orgánica del Poder</w:t>
      </w:r>
      <w:r>
        <w:rPr>
          <w:rFonts w:ascii="Abadi" w:hAnsi="Abadi" w:cs="*Arial-7068-Identity-H"/>
          <w:color w:val="0D0C0F"/>
          <w:sz w:val="21"/>
          <w:szCs w:val="21"/>
        </w:rPr>
        <w:t xml:space="preserve"> </w:t>
      </w:r>
      <w:r w:rsidRPr="00360EC2">
        <w:rPr>
          <w:rFonts w:ascii="Abadi" w:hAnsi="Abadi" w:cs="*Arial-7068-Identity-H"/>
          <w:color w:val="0D0C0F"/>
          <w:sz w:val="21"/>
          <w:szCs w:val="21"/>
        </w:rPr>
        <w:t>Legislativo, nos permitimos rendir el siguiente:</w:t>
      </w:r>
    </w:p>
    <w:p w14:paraId="27811653" w14:textId="77777777" w:rsidR="004A6831" w:rsidRDefault="004A6831" w:rsidP="004A6831">
      <w:pPr>
        <w:autoSpaceDE w:val="0"/>
        <w:autoSpaceDN w:val="0"/>
        <w:adjustRightInd w:val="0"/>
        <w:jc w:val="both"/>
        <w:rPr>
          <w:rFonts w:ascii="Abadi" w:hAnsi="Abadi" w:cs="*Arial-Bold-7069-Identity-H"/>
          <w:b/>
          <w:bCs/>
          <w:color w:val="0C0B11"/>
          <w:sz w:val="21"/>
          <w:szCs w:val="21"/>
        </w:rPr>
      </w:pPr>
    </w:p>
    <w:p w14:paraId="1E422CF2" w14:textId="77777777" w:rsidR="004A6831" w:rsidRDefault="004A6831" w:rsidP="004A6831">
      <w:pPr>
        <w:autoSpaceDE w:val="0"/>
        <w:autoSpaceDN w:val="0"/>
        <w:adjustRightInd w:val="0"/>
        <w:jc w:val="center"/>
        <w:rPr>
          <w:rFonts w:ascii="Abadi" w:hAnsi="Abadi" w:cs="*Arial-Bold-7069-Identity-H"/>
          <w:b/>
          <w:bCs/>
          <w:color w:val="0C0B11"/>
          <w:sz w:val="21"/>
          <w:szCs w:val="21"/>
        </w:rPr>
      </w:pPr>
      <w:r w:rsidRPr="00360EC2">
        <w:rPr>
          <w:rFonts w:ascii="Abadi" w:hAnsi="Abadi" w:cs="*Arial-Bold-7069-Identity-H"/>
          <w:b/>
          <w:bCs/>
          <w:color w:val="0C0B11"/>
          <w:sz w:val="21"/>
          <w:szCs w:val="21"/>
        </w:rPr>
        <w:t>Dictamen</w:t>
      </w:r>
    </w:p>
    <w:p w14:paraId="20EF49F2" w14:textId="77777777" w:rsidR="00A95C00" w:rsidRDefault="00A95C00" w:rsidP="004A6831">
      <w:pPr>
        <w:autoSpaceDE w:val="0"/>
        <w:autoSpaceDN w:val="0"/>
        <w:adjustRightInd w:val="0"/>
        <w:ind w:firstLine="708"/>
        <w:jc w:val="both"/>
        <w:rPr>
          <w:rFonts w:ascii="Abadi" w:hAnsi="Abadi" w:cs="*Arial-Bold-7069-Identity-H"/>
          <w:b/>
          <w:bCs/>
          <w:color w:val="0C0B11"/>
          <w:sz w:val="21"/>
          <w:szCs w:val="21"/>
        </w:rPr>
      </w:pPr>
    </w:p>
    <w:p w14:paraId="35AEBF12" w14:textId="5A5F9BF7" w:rsidR="004A6831" w:rsidRDefault="004A6831" w:rsidP="004A6831">
      <w:pPr>
        <w:autoSpaceDE w:val="0"/>
        <w:autoSpaceDN w:val="0"/>
        <w:adjustRightInd w:val="0"/>
        <w:ind w:firstLine="708"/>
        <w:jc w:val="both"/>
        <w:rPr>
          <w:rFonts w:ascii="Abadi" w:hAnsi="Abadi" w:cs="*Arial-Bold-7069-Identity-H"/>
          <w:b/>
          <w:bCs/>
          <w:color w:val="0C0B11"/>
          <w:sz w:val="21"/>
          <w:szCs w:val="21"/>
        </w:rPr>
      </w:pPr>
      <w:r w:rsidRPr="00360EC2">
        <w:rPr>
          <w:rFonts w:ascii="Abadi" w:hAnsi="Abadi" w:cs="*Arial-Bold-7069-Identity-H"/>
          <w:b/>
          <w:bCs/>
          <w:color w:val="0C0B11"/>
          <w:sz w:val="21"/>
          <w:szCs w:val="21"/>
        </w:rPr>
        <w:t>l. Competencia:</w:t>
      </w:r>
    </w:p>
    <w:p w14:paraId="0BE4F6E0" w14:textId="77777777" w:rsidR="004A6831" w:rsidRPr="00360EC2" w:rsidRDefault="004A6831" w:rsidP="004A6831">
      <w:pPr>
        <w:autoSpaceDE w:val="0"/>
        <w:autoSpaceDN w:val="0"/>
        <w:adjustRightInd w:val="0"/>
        <w:ind w:firstLine="708"/>
        <w:jc w:val="both"/>
        <w:rPr>
          <w:rFonts w:ascii="Abadi" w:hAnsi="Abadi" w:cs="*Arial-Bold-7069-Identity-H"/>
          <w:b/>
          <w:bCs/>
          <w:color w:val="0C0B11"/>
          <w:sz w:val="21"/>
          <w:szCs w:val="21"/>
        </w:rPr>
      </w:pPr>
    </w:p>
    <w:p w14:paraId="69DFA0FA" w14:textId="5DB09982" w:rsidR="004A6831" w:rsidRDefault="004A6831" w:rsidP="004A6831">
      <w:pPr>
        <w:autoSpaceDE w:val="0"/>
        <w:autoSpaceDN w:val="0"/>
        <w:adjustRightInd w:val="0"/>
        <w:ind w:firstLine="708"/>
        <w:jc w:val="both"/>
        <w:rPr>
          <w:rFonts w:ascii="Abadi" w:hAnsi="Abadi" w:cs="*Arial-7068-Identity-H"/>
          <w:color w:val="0C0C0F"/>
          <w:sz w:val="21"/>
          <w:szCs w:val="21"/>
        </w:rPr>
      </w:pPr>
      <w:r w:rsidRPr="00360EC2">
        <w:rPr>
          <w:rFonts w:ascii="Abadi" w:hAnsi="Abadi" w:cs="*Arial-7068-Identity-H"/>
          <w:color w:val="0C0C0F"/>
          <w:sz w:val="21"/>
          <w:szCs w:val="21"/>
        </w:rPr>
        <w:t>Las facultades de la legislatura local en materia de fiscalización de las</w:t>
      </w:r>
      <w:r>
        <w:rPr>
          <w:rFonts w:ascii="Abadi" w:hAnsi="Abadi" w:cs="*Arial-7068-Identity-H"/>
          <w:color w:val="0C0C0F"/>
          <w:sz w:val="21"/>
          <w:szCs w:val="21"/>
        </w:rPr>
        <w:t xml:space="preserve"> </w:t>
      </w:r>
      <w:r w:rsidRPr="00360EC2">
        <w:rPr>
          <w:rFonts w:ascii="Abadi" w:hAnsi="Abadi" w:cs="*Arial-7068-Identity-H"/>
          <w:color w:val="0C0C0F"/>
          <w:sz w:val="21"/>
          <w:szCs w:val="21"/>
        </w:rPr>
        <w:t>cuentas públicas tienen su fundamento en lo dispuesto por el artículo 63</w:t>
      </w:r>
      <w:r>
        <w:rPr>
          <w:rFonts w:ascii="Abadi" w:hAnsi="Abadi" w:cs="*Arial-7068-Identity-H"/>
          <w:color w:val="0C0C0F"/>
          <w:sz w:val="21"/>
          <w:szCs w:val="21"/>
        </w:rPr>
        <w:t xml:space="preserve"> </w:t>
      </w:r>
      <w:r w:rsidRPr="00360EC2">
        <w:rPr>
          <w:rFonts w:ascii="Abadi" w:hAnsi="Abadi" w:cs="*Arial-7068-Identity-H"/>
          <w:color w:val="0C0C0F"/>
          <w:sz w:val="21"/>
          <w:szCs w:val="21"/>
        </w:rPr>
        <w:t>fracciones XVIII, XIX y XXVIII de la Constitución política para el Estado de</w:t>
      </w:r>
      <w:r>
        <w:rPr>
          <w:rFonts w:ascii="Abadi" w:hAnsi="Abadi" w:cs="*Arial-7068-Identity-H"/>
          <w:color w:val="0C0C0F"/>
          <w:sz w:val="21"/>
          <w:szCs w:val="21"/>
        </w:rPr>
        <w:t xml:space="preserve"> </w:t>
      </w:r>
      <w:r w:rsidRPr="00360EC2">
        <w:rPr>
          <w:rFonts w:ascii="Abadi" w:hAnsi="Abadi" w:cs="*Arial-7068-Identity-H"/>
          <w:color w:val="0C0C0F"/>
          <w:sz w:val="21"/>
          <w:szCs w:val="21"/>
        </w:rPr>
        <w:t>Guanajuato. Estos dispositivos establecen que el Congreso del Estado tiene la</w:t>
      </w:r>
      <w:r>
        <w:rPr>
          <w:rFonts w:ascii="Abadi" w:hAnsi="Abadi" w:cs="*Arial-7068-Identity-H"/>
          <w:color w:val="0C0C0F"/>
          <w:sz w:val="21"/>
          <w:szCs w:val="21"/>
        </w:rPr>
        <w:t xml:space="preserve"> </w:t>
      </w:r>
      <w:r w:rsidRPr="00360EC2">
        <w:rPr>
          <w:rFonts w:ascii="Abadi" w:hAnsi="Abadi" w:cs="*Arial-7068-Identity-H"/>
          <w:color w:val="0C0C0F"/>
          <w:sz w:val="21"/>
          <w:szCs w:val="21"/>
        </w:rPr>
        <w:t>facultad de fiscalizar la cuenta pública del Poder Ejecutivo, incluyendo las de las</w:t>
      </w:r>
      <w:r>
        <w:rPr>
          <w:rFonts w:ascii="Abadi" w:hAnsi="Abadi" w:cs="*Arial-7068-Identity-H"/>
          <w:color w:val="0C0C0F"/>
          <w:sz w:val="21"/>
          <w:szCs w:val="21"/>
        </w:rPr>
        <w:t xml:space="preserve"> </w:t>
      </w:r>
      <w:r w:rsidRPr="00360EC2">
        <w:rPr>
          <w:rFonts w:ascii="Abadi" w:hAnsi="Abadi" w:cs="*Arial-7068-Identity-H"/>
          <w:color w:val="0C0C0F"/>
          <w:sz w:val="21"/>
          <w:szCs w:val="21"/>
        </w:rPr>
        <w:t>entidades y organismos de la administración pública paraestatal, las del Poder</w:t>
      </w:r>
      <w:r>
        <w:rPr>
          <w:rFonts w:ascii="Abadi" w:hAnsi="Abadi" w:cs="*Arial-7068-Identity-H"/>
          <w:color w:val="0C0C0F"/>
          <w:sz w:val="21"/>
          <w:szCs w:val="21"/>
        </w:rPr>
        <w:t xml:space="preserve"> </w:t>
      </w:r>
      <w:r w:rsidRPr="00360EC2">
        <w:rPr>
          <w:rFonts w:ascii="Abadi" w:hAnsi="Abadi" w:cs="*Arial-7068-Identity-H"/>
          <w:color w:val="0C0C0F"/>
          <w:sz w:val="21"/>
          <w:szCs w:val="21"/>
        </w:rPr>
        <w:t>Judicial y de los organismos autónomos; así como las cuentas públicas</w:t>
      </w:r>
      <w:r>
        <w:rPr>
          <w:rFonts w:ascii="Abadi" w:hAnsi="Abadi" w:cs="*Arial-7068-Identity-H"/>
          <w:color w:val="0C0C0F"/>
          <w:sz w:val="21"/>
          <w:szCs w:val="21"/>
        </w:rPr>
        <w:t xml:space="preserve"> </w:t>
      </w:r>
      <w:r w:rsidRPr="00360EC2">
        <w:rPr>
          <w:rFonts w:ascii="Abadi" w:hAnsi="Abadi" w:cs="*Arial-7068-Identity-H"/>
          <w:color w:val="0C0C0F"/>
          <w:sz w:val="21"/>
          <w:szCs w:val="21"/>
        </w:rPr>
        <w:t>municipales, incluyendo las de las entidades y organismos de la administración</w:t>
      </w:r>
      <w:r>
        <w:rPr>
          <w:rFonts w:ascii="Abadi" w:hAnsi="Abadi" w:cs="*Arial-7068-Identity-H"/>
          <w:color w:val="0C0C0F"/>
          <w:sz w:val="21"/>
          <w:szCs w:val="21"/>
        </w:rPr>
        <w:t xml:space="preserve"> </w:t>
      </w:r>
      <w:r w:rsidRPr="00360EC2">
        <w:rPr>
          <w:rFonts w:ascii="Abadi" w:hAnsi="Abadi" w:cs="*Arial-7068-Identity-H"/>
          <w:color w:val="0C0C0F"/>
          <w:sz w:val="21"/>
          <w:szCs w:val="21"/>
        </w:rPr>
        <w:t>pública paramunicipal; y verificar el desempeño en el cumplimiento de los</w:t>
      </w:r>
      <w:r>
        <w:rPr>
          <w:rFonts w:ascii="Abadi" w:hAnsi="Abadi" w:cs="*Arial-7068-Identity-H"/>
          <w:color w:val="0C0C0F"/>
          <w:sz w:val="21"/>
          <w:szCs w:val="21"/>
        </w:rPr>
        <w:t xml:space="preserve"> </w:t>
      </w:r>
      <w:r w:rsidRPr="00360EC2">
        <w:rPr>
          <w:rFonts w:ascii="Abadi" w:hAnsi="Abadi" w:cs="*Arial-7068-Identity-H"/>
          <w:color w:val="0C0C0F"/>
          <w:sz w:val="21"/>
          <w:szCs w:val="21"/>
        </w:rPr>
        <w:t>objetivos de los programas. De igual manera, puede acordar la práctica de</w:t>
      </w:r>
      <w:r>
        <w:rPr>
          <w:rFonts w:ascii="Abadi" w:hAnsi="Abadi" w:cs="*Arial-7068-Identity-H"/>
          <w:color w:val="0C0C0F"/>
          <w:sz w:val="21"/>
          <w:szCs w:val="21"/>
        </w:rPr>
        <w:t xml:space="preserve"> </w:t>
      </w:r>
      <w:r w:rsidRPr="00360EC2">
        <w:rPr>
          <w:rFonts w:ascii="Abadi" w:hAnsi="Abadi" w:cs="*Arial-7068-Identity-H"/>
          <w:color w:val="0C0C0F"/>
          <w:sz w:val="21"/>
          <w:szCs w:val="21"/>
        </w:rPr>
        <w:t>auditorías a los sujetos de fiscalización, cuando exista causa justificada para ello,</w:t>
      </w:r>
      <w:r>
        <w:rPr>
          <w:rFonts w:ascii="Abadi" w:hAnsi="Abadi" w:cs="*Arial-7068-Identity-H"/>
          <w:color w:val="0C0C0F"/>
          <w:sz w:val="21"/>
          <w:szCs w:val="21"/>
        </w:rPr>
        <w:t xml:space="preserve"> </w:t>
      </w:r>
      <w:r w:rsidRPr="00360EC2">
        <w:rPr>
          <w:rFonts w:ascii="Abadi" w:hAnsi="Abadi" w:cs="*Arial-7068-Identity-H"/>
          <w:color w:val="0C0C0F"/>
          <w:sz w:val="21"/>
          <w:szCs w:val="21"/>
        </w:rPr>
        <w:t>auxiliándose para el cumplimiento de dichas facultades por la Auditoría Superior</w:t>
      </w:r>
      <w:r>
        <w:rPr>
          <w:rFonts w:ascii="Abadi" w:hAnsi="Abadi" w:cs="*Arial-7068-Identity-H"/>
          <w:color w:val="0C0C0F"/>
          <w:sz w:val="21"/>
          <w:szCs w:val="21"/>
        </w:rPr>
        <w:t xml:space="preserve"> </w:t>
      </w:r>
      <w:r w:rsidRPr="00360EC2">
        <w:rPr>
          <w:rFonts w:ascii="Abadi" w:hAnsi="Abadi" w:cs="*Arial-7068-Identity-H"/>
          <w:color w:val="0C0C0F"/>
          <w:sz w:val="21"/>
          <w:szCs w:val="21"/>
        </w:rPr>
        <w:t>del Estado de Guanajuato.</w:t>
      </w:r>
    </w:p>
    <w:p w14:paraId="5AFDEC50" w14:textId="77777777" w:rsidR="00A95C00" w:rsidRDefault="00A95C00" w:rsidP="004A6831">
      <w:pPr>
        <w:autoSpaceDE w:val="0"/>
        <w:autoSpaceDN w:val="0"/>
        <w:adjustRightInd w:val="0"/>
        <w:ind w:firstLine="708"/>
        <w:jc w:val="both"/>
        <w:rPr>
          <w:rFonts w:ascii="Abadi" w:hAnsi="Abadi" w:cs="*Arial-7068-Identity-H"/>
          <w:color w:val="0C0C0F"/>
          <w:sz w:val="21"/>
          <w:szCs w:val="21"/>
        </w:rPr>
      </w:pPr>
    </w:p>
    <w:p w14:paraId="0F6C04C6" w14:textId="77777777" w:rsidR="004A6831" w:rsidRPr="00360EC2" w:rsidRDefault="004A6831" w:rsidP="004A6831">
      <w:pPr>
        <w:autoSpaceDE w:val="0"/>
        <w:autoSpaceDN w:val="0"/>
        <w:adjustRightInd w:val="0"/>
        <w:ind w:firstLine="708"/>
        <w:jc w:val="both"/>
        <w:rPr>
          <w:rFonts w:ascii="Abadi" w:hAnsi="Abadi" w:cs="*Arial-7068-Identity-H"/>
          <w:color w:val="0C0C0F"/>
          <w:sz w:val="21"/>
          <w:szCs w:val="21"/>
        </w:rPr>
      </w:pPr>
      <w:r w:rsidRPr="00360EC2">
        <w:rPr>
          <w:rFonts w:ascii="Abadi" w:hAnsi="Abadi" w:cs="*Arial-7068-Identity-H"/>
          <w:color w:val="0C0C0F"/>
          <w:sz w:val="21"/>
          <w:szCs w:val="21"/>
        </w:rPr>
        <w:t>Asimismo, el artículo 66 fracción VIII de dicho Ordenamiento Constitucional</w:t>
      </w:r>
      <w:r>
        <w:rPr>
          <w:rFonts w:ascii="Abadi" w:hAnsi="Abadi" w:cs="*Arial-7068-Identity-H"/>
          <w:color w:val="0C0C0F"/>
          <w:sz w:val="21"/>
          <w:szCs w:val="21"/>
        </w:rPr>
        <w:t xml:space="preserve"> </w:t>
      </w:r>
      <w:r w:rsidRPr="00360EC2">
        <w:rPr>
          <w:rFonts w:ascii="Abadi" w:hAnsi="Abadi" w:cs="*Arial-7068-Identity-H"/>
          <w:color w:val="0C0C0F"/>
          <w:sz w:val="21"/>
          <w:szCs w:val="21"/>
        </w:rPr>
        <w:t>establece que la Auditoría Superior del Estado de Guanajuato deberá informar al</w:t>
      </w:r>
      <w:r>
        <w:rPr>
          <w:rFonts w:ascii="Abadi" w:hAnsi="Abadi" w:cs="*Arial-7068-Identity-H"/>
          <w:color w:val="0C0C0F"/>
          <w:sz w:val="21"/>
          <w:szCs w:val="21"/>
        </w:rPr>
        <w:t xml:space="preserve"> </w:t>
      </w:r>
      <w:r w:rsidRPr="00360EC2">
        <w:rPr>
          <w:rFonts w:ascii="Abadi" w:hAnsi="Abadi" w:cs="*Arial-7068-Identity-H"/>
          <w:color w:val="0C0C0F"/>
          <w:sz w:val="21"/>
          <w:szCs w:val="21"/>
        </w:rPr>
        <w:t>Congreso del Estado del resultado de la revisión de la cuenta pública y demás</w:t>
      </w:r>
      <w:r>
        <w:rPr>
          <w:rFonts w:ascii="Abadi" w:hAnsi="Abadi" w:cs="*Arial-7068-Identity-H"/>
          <w:color w:val="0C0C0F"/>
          <w:sz w:val="21"/>
          <w:szCs w:val="21"/>
        </w:rPr>
        <w:t xml:space="preserve"> </w:t>
      </w:r>
      <w:r w:rsidRPr="00360EC2">
        <w:rPr>
          <w:rFonts w:ascii="Abadi" w:hAnsi="Abadi" w:cs="*Arial-7068-Identity-H"/>
          <w:color w:val="0C0C0F"/>
          <w:sz w:val="21"/>
          <w:szCs w:val="21"/>
        </w:rPr>
        <w:t>asuntos derivados de la fiscalización, incluyendo los dictámenes, informes de</w:t>
      </w:r>
      <w:r>
        <w:rPr>
          <w:rFonts w:ascii="Abadi" w:hAnsi="Abadi" w:cs="*Arial-7068-Identity-H"/>
          <w:color w:val="0C0C0F"/>
          <w:sz w:val="21"/>
          <w:szCs w:val="21"/>
        </w:rPr>
        <w:t xml:space="preserve"> </w:t>
      </w:r>
      <w:r w:rsidRPr="00360EC2">
        <w:rPr>
          <w:rFonts w:ascii="Abadi" w:hAnsi="Abadi" w:cs="*Arial-7068-Identity-H"/>
          <w:color w:val="0C0C0F"/>
          <w:sz w:val="21"/>
          <w:szCs w:val="21"/>
        </w:rPr>
        <w:t>resultados, comentarios y observaciones de las auditorías, constituyen do una de</w:t>
      </w:r>
      <w:r>
        <w:rPr>
          <w:rFonts w:ascii="Abadi" w:hAnsi="Abadi" w:cs="*Arial-7068-Identity-H"/>
          <w:color w:val="0C0C0F"/>
          <w:sz w:val="21"/>
          <w:szCs w:val="21"/>
        </w:rPr>
        <w:t xml:space="preserve"> </w:t>
      </w:r>
      <w:r w:rsidRPr="00360EC2">
        <w:rPr>
          <w:rFonts w:ascii="Abadi" w:hAnsi="Abadi" w:cs="*Arial-7068-Identity-H"/>
          <w:color w:val="0C0C0F"/>
          <w:sz w:val="21"/>
          <w:szCs w:val="21"/>
        </w:rPr>
        <w:t>las fases del proceso de fiscalización.</w:t>
      </w:r>
    </w:p>
    <w:p w14:paraId="3DFFE4CA" w14:textId="77777777" w:rsidR="004A6831" w:rsidRDefault="004A6831" w:rsidP="004A6831">
      <w:pPr>
        <w:autoSpaceDE w:val="0"/>
        <w:autoSpaceDN w:val="0"/>
        <w:adjustRightInd w:val="0"/>
        <w:jc w:val="both"/>
        <w:rPr>
          <w:rFonts w:ascii="Abadi" w:hAnsi="Abadi" w:cs="*Times New Roman-Bold-6357-Iden"/>
          <w:b/>
          <w:bCs/>
          <w:color w:val="292931"/>
          <w:sz w:val="21"/>
          <w:szCs w:val="21"/>
        </w:rPr>
      </w:pPr>
    </w:p>
    <w:p w14:paraId="1CF8F074" w14:textId="77777777" w:rsidR="004A6831" w:rsidRDefault="004A6831" w:rsidP="004A6831">
      <w:pPr>
        <w:autoSpaceDE w:val="0"/>
        <w:autoSpaceDN w:val="0"/>
        <w:adjustRightInd w:val="0"/>
        <w:ind w:firstLine="708"/>
        <w:jc w:val="both"/>
        <w:rPr>
          <w:rFonts w:ascii="Abadi" w:hAnsi="Abadi" w:cs="*Arial-6358-Identity-H"/>
          <w:color w:val="0C0C0E"/>
          <w:sz w:val="21"/>
          <w:szCs w:val="21"/>
        </w:rPr>
      </w:pPr>
      <w:r w:rsidRPr="00360EC2">
        <w:rPr>
          <w:rFonts w:ascii="Abadi" w:hAnsi="Abadi" w:cs="*Arial-6358-Identity-H"/>
          <w:color w:val="0C0C0E"/>
          <w:sz w:val="21"/>
          <w:szCs w:val="21"/>
        </w:rPr>
        <w:t>De igual forma, el artículo 82, fracción XXIV de la Ley de Fiscalización</w:t>
      </w:r>
      <w:r>
        <w:rPr>
          <w:rFonts w:ascii="Abadi" w:hAnsi="Abadi" w:cs="*Arial-6358-Identity-H"/>
          <w:color w:val="0C0C0E"/>
          <w:sz w:val="21"/>
          <w:szCs w:val="21"/>
        </w:rPr>
        <w:t xml:space="preserve"> </w:t>
      </w:r>
      <w:r w:rsidRPr="00360EC2">
        <w:rPr>
          <w:rFonts w:ascii="Abadi" w:hAnsi="Abadi" w:cs="*Arial-6358-Identity-H"/>
          <w:color w:val="0C0C0E"/>
          <w:sz w:val="21"/>
          <w:szCs w:val="21"/>
        </w:rPr>
        <w:t>Superior del Estado de Guanajuato establece como atribución de la Auditoría</w:t>
      </w:r>
      <w:r>
        <w:rPr>
          <w:rFonts w:ascii="Abadi" w:hAnsi="Abadi" w:cs="*Arial-6358-Identity-H"/>
          <w:color w:val="0C0C0E"/>
          <w:sz w:val="21"/>
          <w:szCs w:val="21"/>
        </w:rPr>
        <w:t xml:space="preserve"> </w:t>
      </w:r>
      <w:r w:rsidRPr="00360EC2">
        <w:rPr>
          <w:rFonts w:ascii="Abadi" w:hAnsi="Abadi" w:cs="*Arial-6358-Identity-H"/>
          <w:color w:val="0C0C0E"/>
          <w:sz w:val="21"/>
          <w:szCs w:val="21"/>
        </w:rPr>
        <w:t>Superior del Estado, rendir al Congreso, los informes derivados del ejercicio de la</w:t>
      </w:r>
      <w:r>
        <w:rPr>
          <w:rFonts w:ascii="Abadi" w:hAnsi="Abadi" w:cs="*Arial-6358-Identity-H"/>
          <w:color w:val="0C0C0E"/>
          <w:sz w:val="21"/>
          <w:szCs w:val="21"/>
        </w:rPr>
        <w:t xml:space="preserve"> </w:t>
      </w:r>
      <w:r w:rsidRPr="00360EC2">
        <w:rPr>
          <w:rFonts w:ascii="Abadi" w:hAnsi="Abadi" w:cs="*Arial-6358-Identity-H"/>
          <w:color w:val="0C0C0E"/>
          <w:sz w:val="21"/>
          <w:szCs w:val="21"/>
        </w:rPr>
        <w:t>función de fiscalización.</w:t>
      </w:r>
    </w:p>
    <w:p w14:paraId="152D482B" w14:textId="77777777" w:rsidR="004A6831" w:rsidRPr="00360EC2" w:rsidRDefault="004A6831" w:rsidP="004A6831">
      <w:pPr>
        <w:autoSpaceDE w:val="0"/>
        <w:autoSpaceDN w:val="0"/>
        <w:adjustRightInd w:val="0"/>
        <w:jc w:val="both"/>
        <w:rPr>
          <w:rFonts w:ascii="Abadi" w:hAnsi="Abadi" w:cs="*Arial-6358-Identity-H"/>
          <w:color w:val="0C0C0E"/>
          <w:sz w:val="21"/>
          <w:szCs w:val="21"/>
        </w:rPr>
      </w:pPr>
    </w:p>
    <w:p w14:paraId="05364BAD" w14:textId="77777777" w:rsidR="004A6831" w:rsidRDefault="004A6831" w:rsidP="004A6831">
      <w:pPr>
        <w:autoSpaceDE w:val="0"/>
        <w:autoSpaceDN w:val="0"/>
        <w:adjustRightInd w:val="0"/>
        <w:ind w:firstLine="708"/>
        <w:jc w:val="both"/>
        <w:rPr>
          <w:rFonts w:ascii="Abadi" w:hAnsi="Abadi" w:cs="*Arial-6358-Identity-H"/>
          <w:color w:val="0C0C0E"/>
          <w:sz w:val="21"/>
          <w:szCs w:val="21"/>
        </w:rPr>
      </w:pPr>
      <w:r w:rsidRPr="00360EC2">
        <w:rPr>
          <w:rFonts w:ascii="Abadi" w:hAnsi="Abadi" w:cs="*Arial-6358-Identity-H"/>
          <w:color w:val="0C0C0E"/>
          <w:sz w:val="21"/>
          <w:szCs w:val="21"/>
        </w:rPr>
        <w:t>En razón de lo cual, la Ley de Fiscalización Superior del Estado de</w:t>
      </w:r>
      <w:r>
        <w:rPr>
          <w:rFonts w:ascii="Abadi" w:hAnsi="Abadi" w:cs="*Arial-6358-Identity-H"/>
          <w:color w:val="0C0C0E"/>
          <w:sz w:val="21"/>
          <w:szCs w:val="21"/>
        </w:rPr>
        <w:t xml:space="preserve"> </w:t>
      </w:r>
      <w:r w:rsidRPr="00360EC2">
        <w:rPr>
          <w:rFonts w:ascii="Abadi" w:hAnsi="Abadi" w:cs="*Arial-6358-Identity-H"/>
          <w:color w:val="0C0C0E"/>
          <w:sz w:val="21"/>
          <w:szCs w:val="21"/>
        </w:rPr>
        <w:t>Guanajuato establece que la Auditoría Superior debe remitir los informes de</w:t>
      </w:r>
      <w:r>
        <w:rPr>
          <w:rFonts w:ascii="Abadi" w:hAnsi="Abadi" w:cs="*Arial-6358-Identity-H"/>
          <w:color w:val="0C0C0E"/>
          <w:sz w:val="21"/>
          <w:szCs w:val="21"/>
        </w:rPr>
        <w:t xml:space="preserve"> </w:t>
      </w:r>
      <w:r w:rsidRPr="00360EC2">
        <w:rPr>
          <w:rFonts w:ascii="Abadi" w:hAnsi="Abadi" w:cs="*Arial-6358-Identity-H"/>
          <w:color w:val="0C0C0E"/>
          <w:sz w:val="21"/>
          <w:szCs w:val="21"/>
        </w:rPr>
        <w:t>resultados al Congreso del Estado, a efecto de que éste realice la declaratoria</w:t>
      </w:r>
      <w:r>
        <w:rPr>
          <w:rFonts w:ascii="Abadi" w:hAnsi="Abadi" w:cs="*Arial-6358-Identity-H"/>
          <w:color w:val="0C0C0E"/>
          <w:sz w:val="21"/>
          <w:szCs w:val="21"/>
        </w:rPr>
        <w:t xml:space="preserve"> </w:t>
      </w:r>
      <w:r w:rsidRPr="00360EC2">
        <w:rPr>
          <w:rFonts w:ascii="Abadi" w:hAnsi="Abadi" w:cs="*Arial-6358-Identity-H"/>
          <w:color w:val="0C0C0E"/>
          <w:sz w:val="21"/>
          <w:szCs w:val="21"/>
        </w:rPr>
        <w:t>correspondiente, señalándose en el artículo 38 que el informe de resultados</w:t>
      </w:r>
      <w:r>
        <w:rPr>
          <w:rFonts w:ascii="Abadi" w:hAnsi="Abadi" w:cs="*Arial-6358-Identity-H"/>
          <w:color w:val="0C0C0E"/>
          <w:sz w:val="21"/>
          <w:szCs w:val="21"/>
        </w:rPr>
        <w:t xml:space="preserve"> </w:t>
      </w:r>
      <w:r w:rsidRPr="00360EC2">
        <w:rPr>
          <w:rFonts w:ascii="Abadi" w:hAnsi="Abadi" w:cs="*Arial-6358-Identity-H"/>
          <w:color w:val="0C0C0E"/>
          <w:sz w:val="21"/>
          <w:szCs w:val="21"/>
        </w:rPr>
        <w:t>únicamente podrá ser observado por las dos terceras partes de los diputados</w:t>
      </w:r>
      <w:r>
        <w:rPr>
          <w:rFonts w:ascii="Abadi" w:hAnsi="Abadi" w:cs="*Arial-6358-Identity-H"/>
          <w:color w:val="0C0C0E"/>
          <w:sz w:val="21"/>
          <w:szCs w:val="21"/>
        </w:rPr>
        <w:t xml:space="preserve"> </w:t>
      </w:r>
      <w:r w:rsidRPr="00360EC2">
        <w:rPr>
          <w:rFonts w:ascii="Abadi" w:hAnsi="Abadi" w:cs="*Arial-6358-Identity-H"/>
          <w:color w:val="0C0C0E"/>
          <w:sz w:val="21"/>
          <w:szCs w:val="21"/>
        </w:rPr>
        <w:t>integrantes del Congreso, cuando no se observen las formalidades esenciales del</w:t>
      </w:r>
      <w:r>
        <w:rPr>
          <w:rFonts w:ascii="Abadi" w:hAnsi="Abadi" w:cs="*Arial-6358-Identity-H"/>
          <w:color w:val="0C0C0E"/>
          <w:sz w:val="21"/>
          <w:szCs w:val="21"/>
        </w:rPr>
        <w:t xml:space="preserve"> </w:t>
      </w:r>
      <w:r w:rsidRPr="00360EC2">
        <w:rPr>
          <w:rFonts w:ascii="Abadi" w:hAnsi="Abadi" w:cs="*Arial-6358-Identity-H"/>
          <w:color w:val="0C0C0E"/>
          <w:sz w:val="21"/>
          <w:szCs w:val="21"/>
        </w:rPr>
        <w:t>proceso de fiscalización.</w:t>
      </w:r>
    </w:p>
    <w:p w14:paraId="0F01EC37" w14:textId="77777777" w:rsidR="004A6831" w:rsidRPr="00360EC2" w:rsidRDefault="004A6831" w:rsidP="004A6831">
      <w:pPr>
        <w:autoSpaceDE w:val="0"/>
        <w:autoSpaceDN w:val="0"/>
        <w:adjustRightInd w:val="0"/>
        <w:jc w:val="both"/>
        <w:rPr>
          <w:rFonts w:ascii="Abadi" w:hAnsi="Abadi" w:cs="*Arial-6358-Identity-H"/>
          <w:color w:val="0C0C0E"/>
          <w:sz w:val="21"/>
          <w:szCs w:val="21"/>
        </w:rPr>
      </w:pPr>
    </w:p>
    <w:p w14:paraId="57CFAE94" w14:textId="77777777" w:rsidR="004A6831" w:rsidRDefault="004A6831" w:rsidP="004A6831">
      <w:pPr>
        <w:autoSpaceDE w:val="0"/>
        <w:autoSpaceDN w:val="0"/>
        <w:adjustRightInd w:val="0"/>
        <w:ind w:firstLine="708"/>
        <w:jc w:val="both"/>
        <w:rPr>
          <w:rFonts w:ascii="Abadi" w:hAnsi="Abadi" w:cs="*Arial-6358-Identity-H"/>
          <w:color w:val="0D0C0F"/>
          <w:sz w:val="21"/>
          <w:szCs w:val="21"/>
        </w:rPr>
      </w:pPr>
      <w:r w:rsidRPr="00360EC2">
        <w:rPr>
          <w:rFonts w:ascii="Abadi" w:hAnsi="Abadi" w:cs="*Arial-6358-Identity-H"/>
          <w:color w:val="0D0C0F"/>
          <w:sz w:val="21"/>
          <w:szCs w:val="21"/>
        </w:rPr>
        <w:t>Con la finalidad de que el Congreso dé cumplimiento a lo señalado en el</w:t>
      </w:r>
      <w:r>
        <w:rPr>
          <w:rFonts w:ascii="Abadi" w:hAnsi="Abadi" w:cs="*Arial-6358-Identity-H"/>
          <w:color w:val="0D0C0F"/>
          <w:sz w:val="21"/>
          <w:szCs w:val="21"/>
        </w:rPr>
        <w:t xml:space="preserve"> </w:t>
      </w:r>
      <w:r w:rsidRPr="00360EC2">
        <w:rPr>
          <w:rFonts w:ascii="Abadi" w:hAnsi="Abadi" w:cs="*Arial-6358-Identity-H"/>
          <w:color w:val="0D0C0F"/>
          <w:sz w:val="21"/>
          <w:szCs w:val="21"/>
        </w:rPr>
        <w:t>párrafo anterior, la Ley Orgánica del Poder Legislativo del Estado de Guanajuato</w:t>
      </w:r>
      <w:r>
        <w:rPr>
          <w:rFonts w:ascii="Abadi" w:hAnsi="Abadi" w:cs="*Arial-6358-Identity-H"/>
          <w:color w:val="0D0C0F"/>
          <w:sz w:val="21"/>
          <w:szCs w:val="21"/>
        </w:rPr>
        <w:t xml:space="preserve"> </w:t>
      </w:r>
      <w:r w:rsidRPr="00360EC2">
        <w:rPr>
          <w:rFonts w:ascii="Abadi" w:hAnsi="Abadi" w:cs="*Arial-6358-Identity-H"/>
          <w:color w:val="0D0C0F"/>
          <w:sz w:val="21"/>
          <w:szCs w:val="21"/>
        </w:rPr>
        <w:t>establece en su artículo 112, fracción XII, primer párrafo que, a esta Comisión de</w:t>
      </w:r>
      <w:r>
        <w:rPr>
          <w:rFonts w:ascii="Abadi" w:hAnsi="Abadi" w:cs="*Arial-6358-Identity-H"/>
          <w:color w:val="0D0C0F"/>
          <w:sz w:val="21"/>
          <w:szCs w:val="21"/>
        </w:rPr>
        <w:t xml:space="preserve"> </w:t>
      </w:r>
      <w:r w:rsidRPr="00360EC2">
        <w:rPr>
          <w:rFonts w:ascii="Abadi" w:hAnsi="Abadi" w:cs="*Arial-6358-Identity-H"/>
          <w:color w:val="0D0C0F"/>
          <w:sz w:val="21"/>
          <w:szCs w:val="21"/>
        </w:rPr>
        <w:t>Hacienda y Fiscalización, le compete el conocimiento y dictamen de los asuntos</w:t>
      </w:r>
      <w:r>
        <w:rPr>
          <w:rFonts w:ascii="Abadi" w:hAnsi="Abadi" w:cs="*Arial-6358-Identity-H"/>
          <w:color w:val="0D0C0F"/>
          <w:sz w:val="21"/>
          <w:szCs w:val="21"/>
        </w:rPr>
        <w:t xml:space="preserve"> </w:t>
      </w:r>
      <w:r w:rsidRPr="00360EC2">
        <w:rPr>
          <w:rFonts w:ascii="Abadi" w:hAnsi="Abadi" w:cs="*Arial-6358-Identity-H"/>
          <w:color w:val="0D0C0F"/>
          <w:sz w:val="21"/>
          <w:szCs w:val="21"/>
        </w:rPr>
        <w:t>relativos a los informes de resultados que emita la Auditoría Superior del Estado.</w:t>
      </w:r>
    </w:p>
    <w:p w14:paraId="5569513C" w14:textId="77777777" w:rsidR="004A6831" w:rsidRPr="00360EC2" w:rsidRDefault="004A6831" w:rsidP="004A6831">
      <w:pPr>
        <w:autoSpaceDE w:val="0"/>
        <w:autoSpaceDN w:val="0"/>
        <w:adjustRightInd w:val="0"/>
        <w:jc w:val="both"/>
        <w:rPr>
          <w:rFonts w:ascii="Abadi" w:hAnsi="Abadi" w:cs="*Arial-6358-Identity-H"/>
          <w:color w:val="0D0C0F"/>
          <w:sz w:val="21"/>
          <w:szCs w:val="21"/>
        </w:rPr>
      </w:pPr>
    </w:p>
    <w:p w14:paraId="445E5319" w14:textId="4BE29770" w:rsidR="004A6831" w:rsidRDefault="004A6831" w:rsidP="004A6831">
      <w:pPr>
        <w:autoSpaceDE w:val="0"/>
        <w:autoSpaceDN w:val="0"/>
        <w:adjustRightInd w:val="0"/>
        <w:ind w:firstLine="708"/>
        <w:jc w:val="both"/>
        <w:rPr>
          <w:rFonts w:ascii="Abadi" w:hAnsi="Abadi" w:cs="*Arial-6358-Identity-H"/>
          <w:color w:val="0E0E11"/>
          <w:sz w:val="21"/>
          <w:szCs w:val="21"/>
        </w:rPr>
      </w:pPr>
      <w:r w:rsidRPr="00360EC2">
        <w:rPr>
          <w:rFonts w:ascii="Abadi" w:hAnsi="Abadi" w:cs="*Arial-6358-Identity-H"/>
          <w:color w:val="0E0E11"/>
          <w:sz w:val="21"/>
          <w:szCs w:val="21"/>
        </w:rPr>
        <w:t>A efecto de cumplir con las atribuciones conferidas a esta Comisión, y en</w:t>
      </w:r>
      <w:r>
        <w:rPr>
          <w:rFonts w:ascii="Abadi" w:hAnsi="Abadi" w:cs="*Arial-6358-Identity-H"/>
          <w:color w:val="0E0E11"/>
          <w:sz w:val="21"/>
          <w:szCs w:val="21"/>
        </w:rPr>
        <w:t xml:space="preserve"> </w:t>
      </w:r>
      <w:r w:rsidRPr="00360EC2">
        <w:rPr>
          <w:rFonts w:ascii="Abadi" w:hAnsi="Abadi" w:cs="*Arial-6358-Identity-H"/>
          <w:color w:val="0E0E11"/>
          <w:sz w:val="21"/>
          <w:szCs w:val="21"/>
        </w:rPr>
        <w:t>observancia a lo que establece la Ley de Fiscalización Superior del Estado de</w:t>
      </w:r>
      <w:r>
        <w:rPr>
          <w:rFonts w:ascii="Abadi" w:hAnsi="Abadi" w:cs="*Arial-6358-Identity-H"/>
          <w:color w:val="0E0E11"/>
          <w:sz w:val="21"/>
          <w:szCs w:val="21"/>
        </w:rPr>
        <w:t xml:space="preserve"> </w:t>
      </w:r>
      <w:r w:rsidRPr="00360EC2">
        <w:rPr>
          <w:rFonts w:ascii="Abadi" w:hAnsi="Abadi" w:cs="*Arial-6358-Identity-H"/>
          <w:color w:val="0E0E11"/>
          <w:sz w:val="21"/>
          <w:szCs w:val="21"/>
        </w:rPr>
        <w:t>Guanajuato, el presente dictamen se ocupará exclusivamente del aspecto que la</w:t>
      </w:r>
      <w:r>
        <w:rPr>
          <w:rFonts w:ascii="Abadi" w:hAnsi="Abadi" w:cs="*Arial-6358-Identity-H"/>
          <w:color w:val="0E0E11"/>
          <w:sz w:val="21"/>
          <w:szCs w:val="21"/>
        </w:rPr>
        <w:t xml:space="preserve"> </w:t>
      </w:r>
      <w:r w:rsidRPr="00360EC2">
        <w:rPr>
          <w:rFonts w:ascii="Abadi" w:hAnsi="Abadi" w:cs="*Arial-6358-Identity-H"/>
          <w:color w:val="0E0E11"/>
          <w:sz w:val="21"/>
          <w:szCs w:val="21"/>
        </w:rPr>
        <w:t>propia Ley señala y por el cual podría ser observado o no, el informe de</w:t>
      </w:r>
      <w:r>
        <w:rPr>
          <w:rFonts w:ascii="Abadi" w:hAnsi="Abadi" w:cs="*Arial-6358-Identity-H"/>
          <w:color w:val="0E0E11"/>
          <w:sz w:val="21"/>
          <w:szCs w:val="21"/>
        </w:rPr>
        <w:t xml:space="preserve"> </w:t>
      </w:r>
      <w:r w:rsidRPr="00360EC2">
        <w:rPr>
          <w:rFonts w:ascii="Abadi" w:hAnsi="Abadi" w:cs="*Arial-6358-Identity-H"/>
          <w:color w:val="0E0E11"/>
          <w:sz w:val="21"/>
          <w:szCs w:val="21"/>
        </w:rPr>
        <w:t>resultados.</w:t>
      </w:r>
    </w:p>
    <w:p w14:paraId="4ED882EC" w14:textId="77777777" w:rsidR="00EA3B68" w:rsidRDefault="00EA3B68" w:rsidP="004A6831">
      <w:pPr>
        <w:autoSpaceDE w:val="0"/>
        <w:autoSpaceDN w:val="0"/>
        <w:adjustRightInd w:val="0"/>
        <w:ind w:firstLine="708"/>
        <w:jc w:val="both"/>
        <w:rPr>
          <w:rFonts w:ascii="Abadi" w:hAnsi="Abadi" w:cs="*Arial-6358-Identity-H"/>
          <w:color w:val="0E0E11"/>
          <w:sz w:val="21"/>
          <w:szCs w:val="21"/>
        </w:rPr>
      </w:pPr>
    </w:p>
    <w:p w14:paraId="24379CC1" w14:textId="77777777" w:rsidR="004A6831" w:rsidRDefault="004A6831" w:rsidP="004A6831">
      <w:pPr>
        <w:autoSpaceDE w:val="0"/>
        <w:autoSpaceDN w:val="0"/>
        <w:adjustRightInd w:val="0"/>
        <w:ind w:firstLine="708"/>
        <w:jc w:val="both"/>
        <w:rPr>
          <w:rFonts w:ascii="Abadi" w:hAnsi="Abadi" w:cs="*Arial-Bold-6359-Identity-H"/>
          <w:b/>
          <w:bCs/>
          <w:color w:val="0D0D11"/>
          <w:sz w:val="21"/>
          <w:szCs w:val="21"/>
        </w:rPr>
      </w:pPr>
      <w:r>
        <w:rPr>
          <w:rFonts w:ascii="Abadi" w:hAnsi="Abadi" w:cs="*Arial-Bold-6359-Identity-H"/>
          <w:b/>
          <w:bCs/>
          <w:color w:val="0D0D11"/>
          <w:sz w:val="21"/>
          <w:szCs w:val="21"/>
        </w:rPr>
        <w:t>II</w:t>
      </w:r>
      <w:r w:rsidRPr="00360EC2">
        <w:rPr>
          <w:rFonts w:ascii="Abadi" w:hAnsi="Abadi" w:cs="*Arial-Bold-6359-Identity-H"/>
          <w:b/>
          <w:bCs/>
          <w:color w:val="0D0D11"/>
          <w:sz w:val="21"/>
          <w:szCs w:val="21"/>
        </w:rPr>
        <w:t>. Antecedentes:</w:t>
      </w:r>
    </w:p>
    <w:p w14:paraId="04856212" w14:textId="77777777" w:rsidR="004A6831" w:rsidRPr="00360EC2" w:rsidRDefault="004A6831" w:rsidP="004A6831">
      <w:pPr>
        <w:autoSpaceDE w:val="0"/>
        <w:autoSpaceDN w:val="0"/>
        <w:adjustRightInd w:val="0"/>
        <w:ind w:firstLine="708"/>
        <w:jc w:val="both"/>
        <w:rPr>
          <w:rFonts w:ascii="Abadi" w:hAnsi="Abadi" w:cs="*Arial-Bold-6359-Identity-H"/>
          <w:b/>
          <w:bCs/>
          <w:color w:val="0D0D11"/>
          <w:sz w:val="21"/>
          <w:szCs w:val="21"/>
        </w:rPr>
      </w:pPr>
    </w:p>
    <w:p w14:paraId="0C100ABC" w14:textId="77777777" w:rsidR="004A6831" w:rsidRDefault="004A6831" w:rsidP="004A6831">
      <w:pPr>
        <w:autoSpaceDE w:val="0"/>
        <w:autoSpaceDN w:val="0"/>
        <w:adjustRightInd w:val="0"/>
        <w:ind w:firstLine="708"/>
        <w:jc w:val="both"/>
        <w:rPr>
          <w:rFonts w:ascii="Abadi" w:hAnsi="Abadi" w:cs="*Arial-6358-Identity-H"/>
          <w:color w:val="0C0C0F"/>
          <w:sz w:val="21"/>
          <w:szCs w:val="21"/>
        </w:rPr>
      </w:pPr>
      <w:r w:rsidRPr="00360EC2">
        <w:rPr>
          <w:rFonts w:ascii="Abadi" w:hAnsi="Abadi" w:cs="*Arial-6358-Identity-H"/>
          <w:color w:val="0C0C0F"/>
          <w:sz w:val="21"/>
          <w:szCs w:val="21"/>
        </w:rPr>
        <w:t>De conformidad con el artículo 66, fracción I de la Constitución Política para</w:t>
      </w:r>
      <w:r>
        <w:rPr>
          <w:rFonts w:ascii="Abadi" w:hAnsi="Abadi" w:cs="*Arial-6358-Identity-H"/>
          <w:color w:val="0C0C0F"/>
          <w:sz w:val="21"/>
          <w:szCs w:val="21"/>
        </w:rPr>
        <w:t xml:space="preserve"> </w:t>
      </w:r>
      <w:r w:rsidRPr="00360EC2">
        <w:rPr>
          <w:rFonts w:ascii="Abadi" w:hAnsi="Abadi" w:cs="*Arial-6358-Identity-H"/>
          <w:color w:val="0C0C0F"/>
          <w:sz w:val="21"/>
          <w:szCs w:val="21"/>
        </w:rPr>
        <w:t>el Estado de Guanajuato, es atribución de la Auditoría Superior del Estado realizar</w:t>
      </w:r>
      <w:r>
        <w:rPr>
          <w:rFonts w:ascii="Abadi" w:hAnsi="Abadi" w:cs="*Arial-6358-Identity-H"/>
          <w:color w:val="0C0C0F"/>
          <w:sz w:val="21"/>
          <w:szCs w:val="21"/>
        </w:rPr>
        <w:t xml:space="preserve"> </w:t>
      </w:r>
      <w:r w:rsidRPr="00360EC2">
        <w:rPr>
          <w:rFonts w:ascii="Abadi" w:hAnsi="Abadi" w:cs="*Arial-6358-Identity-H"/>
          <w:color w:val="0C0C0F"/>
          <w:sz w:val="21"/>
          <w:szCs w:val="21"/>
        </w:rPr>
        <w:t>auditorías de desempeño en el cumplimiento de objetivos y metas contenidos en</w:t>
      </w:r>
      <w:r>
        <w:rPr>
          <w:rFonts w:ascii="Abadi" w:hAnsi="Abadi" w:cs="*Arial-6358-Identity-H"/>
          <w:color w:val="0C0C0F"/>
          <w:sz w:val="21"/>
          <w:szCs w:val="21"/>
        </w:rPr>
        <w:t xml:space="preserve"> </w:t>
      </w:r>
      <w:r w:rsidRPr="00360EC2">
        <w:rPr>
          <w:rFonts w:ascii="Abadi" w:hAnsi="Abadi" w:cs="*Arial-6358-Identity-H"/>
          <w:color w:val="0C0C0F"/>
          <w:sz w:val="21"/>
          <w:szCs w:val="21"/>
        </w:rPr>
        <w:t>los programas, de las cuales sólo podrá emitir las recomendaciones para la mejora</w:t>
      </w:r>
      <w:r>
        <w:rPr>
          <w:rFonts w:ascii="Abadi" w:hAnsi="Abadi" w:cs="*Arial-6358-Identity-H"/>
          <w:color w:val="0C0C0F"/>
          <w:sz w:val="21"/>
          <w:szCs w:val="21"/>
        </w:rPr>
        <w:t xml:space="preserve"> </w:t>
      </w:r>
      <w:r w:rsidRPr="00360EC2">
        <w:rPr>
          <w:rFonts w:ascii="Abadi" w:hAnsi="Abadi" w:cs="*Arial-6358-Identity-H"/>
          <w:color w:val="0C0C0F"/>
          <w:sz w:val="21"/>
          <w:szCs w:val="21"/>
        </w:rPr>
        <w:t>en el desempeño, en los términos de la Ley.</w:t>
      </w:r>
    </w:p>
    <w:p w14:paraId="5E7878A1" w14:textId="77777777" w:rsidR="004A6831" w:rsidRPr="00360EC2" w:rsidRDefault="004A6831" w:rsidP="004A6831">
      <w:pPr>
        <w:autoSpaceDE w:val="0"/>
        <w:autoSpaceDN w:val="0"/>
        <w:adjustRightInd w:val="0"/>
        <w:jc w:val="both"/>
        <w:rPr>
          <w:rFonts w:ascii="Abadi" w:hAnsi="Abadi" w:cs="*Arial-6358-Identity-H"/>
          <w:color w:val="0C0C0F"/>
          <w:sz w:val="21"/>
          <w:szCs w:val="21"/>
        </w:rPr>
      </w:pPr>
    </w:p>
    <w:p w14:paraId="4EB8AA61" w14:textId="77777777" w:rsidR="004A6831" w:rsidRPr="00360EC2" w:rsidRDefault="004A6831" w:rsidP="004A6831">
      <w:pPr>
        <w:autoSpaceDE w:val="0"/>
        <w:autoSpaceDN w:val="0"/>
        <w:adjustRightInd w:val="0"/>
        <w:ind w:firstLine="708"/>
        <w:jc w:val="both"/>
        <w:rPr>
          <w:rFonts w:ascii="Abadi" w:hAnsi="Abadi" w:cs="*Arial-6358-Identity-H"/>
          <w:color w:val="0C0B0E"/>
          <w:sz w:val="21"/>
          <w:szCs w:val="21"/>
        </w:rPr>
      </w:pPr>
      <w:r w:rsidRPr="00360EC2">
        <w:rPr>
          <w:rFonts w:ascii="Abadi" w:hAnsi="Abadi" w:cs="*Arial-6358-Identity-H"/>
          <w:color w:val="0C0B0E"/>
          <w:sz w:val="21"/>
          <w:szCs w:val="21"/>
        </w:rPr>
        <w:t>Por su parte, el artículo 3, fracción V de la Ley de Fiscalización Superior del</w:t>
      </w:r>
      <w:r>
        <w:rPr>
          <w:rFonts w:ascii="Abadi" w:hAnsi="Abadi" w:cs="*Arial-6358-Identity-H"/>
          <w:color w:val="0C0B0E"/>
          <w:sz w:val="21"/>
          <w:szCs w:val="21"/>
        </w:rPr>
        <w:t xml:space="preserve"> </w:t>
      </w:r>
      <w:r w:rsidRPr="00360EC2">
        <w:rPr>
          <w:rFonts w:ascii="Abadi" w:hAnsi="Abadi" w:cs="*Arial-6358-Identity-H"/>
          <w:color w:val="0C0B0E"/>
          <w:sz w:val="21"/>
          <w:szCs w:val="21"/>
        </w:rPr>
        <w:t>Estado de Guanajuato señala que la Auditoria Superior del Estado es competente</w:t>
      </w:r>
      <w:r>
        <w:rPr>
          <w:rFonts w:ascii="Abadi" w:hAnsi="Abadi" w:cs="*Arial-6358-Identity-H"/>
          <w:color w:val="0C0B0E"/>
          <w:sz w:val="21"/>
          <w:szCs w:val="21"/>
        </w:rPr>
        <w:t xml:space="preserve"> </w:t>
      </w:r>
      <w:r w:rsidRPr="00360EC2">
        <w:rPr>
          <w:rFonts w:ascii="Abadi" w:hAnsi="Abadi" w:cs="*Arial-6358-Identity-H"/>
          <w:color w:val="0C0B0E"/>
          <w:sz w:val="21"/>
          <w:szCs w:val="21"/>
        </w:rPr>
        <w:t>para practicar auditorías de desempeño para verificar el cumplimiento de los</w:t>
      </w:r>
      <w:r>
        <w:rPr>
          <w:rFonts w:ascii="Abadi" w:hAnsi="Abadi" w:cs="*Arial-6358-Identity-H"/>
          <w:color w:val="0C0B0E"/>
          <w:sz w:val="21"/>
          <w:szCs w:val="21"/>
        </w:rPr>
        <w:t xml:space="preserve"> </w:t>
      </w:r>
      <w:r w:rsidRPr="00360EC2">
        <w:rPr>
          <w:rFonts w:ascii="Abadi" w:hAnsi="Abadi" w:cs="*Arial-6358-Identity-H"/>
          <w:color w:val="0C0B0E"/>
          <w:sz w:val="21"/>
          <w:szCs w:val="21"/>
        </w:rPr>
        <w:t>objetivos y las metas de los programas estatales y municipales.</w:t>
      </w:r>
    </w:p>
    <w:p w14:paraId="1D6D28AD" w14:textId="77777777" w:rsidR="004A6831" w:rsidRDefault="004A6831" w:rsidP="004A6831">
      <w:pPr>
        <w:autoSpaceDE w:val="0"/>
        <w:autoSpaceDN w:val="0"/>
        <w:adjustRightInd w:val="0"/>
        <w:jc w:val="both"/>
        <w:rPr>
          <w:rFonts w:ascii="Abadi" w:hAnsi="Abadi" w:cs="*Arial-6616-Identity-H"/>
          <w:color w:val="0C0C0F"/>
          <w:sz w:val="21"/>
          <w:szCs w:val="21"/>
        </w:rPr>
      </w:pPr>
    </w:p>
    <w:p w14:paraId="7FBE3BBA" w14:textId="7F426830" w:rsidR="004A6831" w:rsidRDefault="004A6831" w:rsidP="004A6831">
      <w:pPr>
        <w:autoSpaceDE w:val="0"/>
        <w:autoSpaceDN w:val="0"/>
        <w:adjustRightInd w:val="0"/>
        <w:ind w:firstLine="708"/>
        <w:jc w:val="both"/>
        <w:rPr>
          <w:rFonts w:ascii="Abadi" w:hAnsi="Abadi" w:cs="*Arial-6616-Identity-H"/>
          <w:color w:val="0C0C0F"/>
          <w:sz w:val="21"/>
          <w:szCs w:val="21"/>
        </w:rPr>
      </w:pPr>
      <w:r w:rsidRPr="00360EC2">
        <w:rPr>
          <w:rFonts w:ascii="Abadi" w:hAnsi="Abadi" w:cs="*Arial-6616-Identity-H"/>
          <w:color w:val="0C0C0F"/>
          <w:sz w:val="21"/>
          <w:szCs w:val="21"/>
        </w:rPr>
        <w:t>De igual forma, el artículo 56 de la Ley de Fiscalización Superior prevé que</w:t>
      </w:r>
      <w:r>
        <w:rPr>
          <w:rFonts w:ascii="Abadi" w:hAnsi="Abadi" w:cs="*Arial-6616-Identity-H"/>
          <w:color w:val="0C0C0F"/>
          <w:sz w:val="21"/>
          <w:szCs w:val="21"/>
        </w:rPr>
        <w:t xml:space="preserve"> </w:t>
      </w:r>
      <w:r w:rsidRPr="00360EC2">
        <w:rPr>
          <w:rFonts w:ascii="Abadi" w:hAnsi="Abadi" w:cs="*Arial-6616-Identity-H"/>
          <w:color w:val="0C0C0F"/>
          <w:sz w:val="21"/>
          <w:szCs w:val="21"/>
        </w:rPr>
        <w:t>las auditorías de desempeño comprenden la revisión del cumplimiento de las</w:t>
      </w:r>
      <w:r>
        <w:rPr>
          <w:rFonts w:ascii="Abadi" w:hAnsi="Abadi" w:cs="*Arial-6616-Identity-H"/>
          <w:color w:val="0C0C0F"/>
          <w:sz w:val="21"/>
          <w:szCs w:val="21"/>
        </w:rPr>
        <w:t xml:space="preserve"> </w:t>
      </w:r>
      <w:r w:rsidRPr="00360EC2">
        <w:rPr>
          <w:rFonts w:ascii="Abadi" w:hAnsi="Abadi" w:cs="*Arial-6616-Identity-H"/>
          <w:color w:val="0C0C0F"/>
          <w:sz w:val="21"/>
          <w:szCs w:val="21"/>
        </w:rPr>
        <w:t>metas y objetivos de los planes y programas, conforme a los principios de</w:t>
      </w:r>
      <w:r>
        <w:rPr>
          <w:rFonts w:ascii="Abadi" w:hAnsi="Abadi" w:cs="*Arial-6616-Identity-H"/>
          <w:color w:val="0C0C0F"/>
          <w:sz w:val="21"/>
          <w:szCs w:val="21"/>
        </w:rPr>
        <w:t xml:space="preserve"> </w:t>
      </w:r>
      <w:r w:rsidRPr="00360EC2">
        <w:rPr>
          <w:rFonts w:ascii="Abadi" w:hAnsi="Abadi" w:cs="*Arial-6616-Identity-H"/>
          <w:color w:val="0C0C0F"/>
          <w:sz w:val="21"/>
          <w:szCs w:val="21"/>
        </w:rPr>
        <w:t>eficiencia, eficacia y economía; as</w:t>
      </w:r>
      <w:r w:rsidR="00135054">
        <w:rPr>
          <w:rFonts w:ascii="Abadi" w:hAnsi="Abadi" w:cs="*Arial-6616-Identity-H"/>
          <w:color w:val="0C0C0F"/>
          <w:sz w:val="21"/>
          <w:szCs w:val="21"/>
        </w:rPr>
        <w:t>í</w:t>
      </w:r>
      <w:r w:rsidRPr="00360EC2">
        <w:rPr>
          <w:rFonts w:ascii="Abadi" w:hAnsi="Abadi" w:cs="*Arial-6616-Identity-H"/>
          <w:color w:val="0C0C0F"/>
          <w:sz w:val="21"/>
          <w:szCs w:val="21"/>
        </w:rPr>
        <w:t xml:space="preserve"> como la evaluación de las políticas públicas;</w:t>
      </w:r>
      <w:r>
        <w:rPr>
          <w:rFonts w:ascii="Abadi" w:hAnsi="Abadi" w:cs="*Arial-6616-Identity-H"/>
          <w:color w:val="0C0C0F"/>
          <w:sz w:val="21"/>
          <w:szCs w:val="21"/>
        </w:rPr>
        <w:t xml:space="preserve"> </w:t>
      </w:r>
      <w:r w:rsidRPr="00360EC2">
        <w:rPr>
          <w:rFonts w:ascii="Abadi" w:hAnsi="Abadi" w:cs="*Arial-6616-Identity-H"/>
          <w:color w:val="0C0C0F"/>
          <w:sz w:val="21"/>
          <w:szCs w:val="21"/>
        </w:rPr>
        <w:t>estableciendo además que la Auditoría Superior del Estado realizará las auditorías</w:t>
      </w:r>
      <w:r>
        <w:rPr>
          <w:rFonts w:ascii="Abadi" w:hAnsi="Abadi" w:cs="*Arial-6616-Identity-H"/>
          <w:color w:val="0C0C0F"/>
          <w:sz w:val="21"/>
          <w:szCs w:val="21"/>
        </w:rPr>
        <w:t xml:space="preserve">  </w:t>
      </w:r>
      <w:r w:rsidRPr="00360EC2">
        <w:rPr>
          <w:rFonts w:ascii="Abadi" w:hAnsi="Abadi" w:cs="*Arial-6616-Identity-H"/>
          <w:color w:val="0C0C0F"/>
          <w:sz w:val="21"/>
          <w:szCs w:val="21"/>
        </w:rPr>
        <w:t>de desempeño de manera anual y únicamente formulará recomendaciones que</w:t>
      </w:r>
      <w:r>
        <w:rPr>
          <w:rFonts w:ascii="Abadi" w:hAnsi="Abadi" w:cs="*Arial-6616-Identity-H"/>
          <w:color w:val="0C0C0F"/>
          <w:sz w:val="21"/>
          <w:szCs w:val="21"/>
        </w:rPr>
        <w:t xml:space="preserve"> </w:t>
      </w:r>
      <w:r w:rsidRPr="00360EC2">
        <w:rPr>
          <w:rFonts w:ascii="Abadi" w:hAnsi="Abadi" w:cs="*Arial-6616-Identity-H"/>
          <w:color w:val="0C0C0F"/>
          <w:sz w:val="21"/>
          <w:szCs w:val="21"/>
        </w:rPr>
        <w:t>incidan en mejorar sistemáticamente el diseño, operación e impacto de los</w:t>
      </w:r>
      <w:r>
        <w:rPr>
          <w:rFonts w:ascii="Abadi" w:hAnsi="Abadi" w:cs="*Arial-6616-Identity-H"/>
          <w:color w:val="0C0C0F"/>
          <w:sz w:val="21"/>
          <w:szCs w:val="21"/>
        </w:rPr>
        <w:t xml:space="preserve"> </w:t>
      </w:r>
      <w:r w:rsidRPr="00360EC2">
        <w:rPr>
          <w:rFonts w:ascii="Abadi" w:hAnsi="Abadi" w:cs="*Arial-6616-Identity-H"/>
          <w:color w:val="0C0C0F"/>
          <w:sz w:val="21"/>
          <w:szCs w:val="21"/>
        </w:rPr>
        <w:t>presupuestos programáticos y las políticas públicas en su caso.</w:t>
      </w:r>
    </w:p>
    <w:p w14:paraId="40064854" w14:textId="77777777" w:rsidR="004A6831" w:rsidRPr="00360EC2" w:rsidRDefault="004A6831" w:rsidP="004A6831">
      <w:pPr>
        <w:autoSpaceDE w:val="0"/>
        <w:autoSpaceDN w:val="0"/>
        <w:adjustRightInd w:val="0"/>
        <w:jc w:val="both"/>
        <w:rPr>
          <w:rFonts w:ascii="Abadi" w:hAnsi="Abadi" w:cs="*Arial-6616-Identity-H"/>
          <w:color w:val="0C0C0F"/>
          <w:sz w:val="21"/>
          <w:szCs w:val="21"/>
        </w:rPr>
      </w:pPr>
    </w:p>
    <w:p w14:paraId="4C119ECC" w14:textId="77777777" w:rsidR="004A6831" w:rsidRDefault="004A6831" w:rsidP="004A6831">
      <w:pPr>
        <w:autoSpaceDE w:val="0"/>
        <w:autoSpaceDN w:val="0"/>
        <w:adjustRightInd w:val="0"/>
        <w:ind w:firstLine="708"/>
        <w:jc w:val="both"/>
        <w:rPr>
          <w:rFonts w:ascii="Abadi" w:hAnsi="Abadi" w:cs="*Arial-6616-Identity-H"/>
          <w:color w:val="0E0D10"/>
          <w:sz w:val="21"/>
          <w:szCs w:val="21"/>
        </w:rPr>
      </w:pPr>
      <w:r w:rsidRPr="00360EC2">
        <w:rPr>
          <w:rFonts w:ascii="Abadi" w:hAnsi="Abadi" w:cs="*Arial-6616-Identity-H"/>
          <w:color w:val="0E0D10"/>
          <w:sz w:val="21"/>
          <w:szCs w:val="21"/>
        </w:rPr>
        <w:t>Por su parte, los artículos 59 y 60 de la citada Ley refieren que los informes</w:t>
      </w:r>
      <w:r>
        <w:rPr>
          <w:rFonts w:ascii="Abadi" w:hAnsi="Abadi" w:cs="*Arial-6616-Identity-H"/>
          <w:color w:val="0E0D10"/>
          <w:sz w:val="21"/>
          <w:szCs w:val="21"/>
        </w:rPr>
        <w:t xml:space="preserve"> </w:t>
      </w:r>
      <w:r w:rsidRPr="00360EC2">
        <w:rPr>
          <w:rFonts w:ascii="Abadi" w:hAnsi="Abadi" w:cs="*Arial-6616-Identity-H"/>
          <w:color w:val="0E0D10"/>
          <w:sz w:val="21"/>
          <w:szCs w:val="21"/>
        </w:rPr>
        <w:t>de resultados de auditorías de desempeño contendrán los requisitos señalados en</w:t>
      </w:r>
      <w:r>
        <w:rPr>
          <w:rFonts w:ascii="Abadi" w:hAnsi="Abadi" w:cs="*Arial-6616-Identity-H"/>
          <w:color w:val="0E0D10"/>
          <w:sz w:val="21"/>
          <w:szCs w:val="21"/>
        </w:rPr>
        <w:t xml:space="preserve"> </w:t>
      </w:r>
      <w:r w:rsidRPr="00360EC2">
        <w:rPr>
          <w:rFonts w:ascii="Abadi" w:hAnsi="Abadi" w:cs="*Arial-6616-Identity-H"/>
          <w:color w:val="0E0D10"/>
          <w:sz w:val="21"/>
          <w:szCs w:val="21"/>
        </w:rPr>
        <w:t>el Reglamento de la Ley y que la Auditoria Superior del Estado, remitirá dichos</w:t>
      </w:r>
      <w:r>
        <w:rPr>
          <w:rFonts w:ascii="Abadi" w:hAnsi="Abadi" w:cs="*Arial-6616-Identity-H"/>
          <w:color w:val="0E0D10"/>
          <w:sz w:val="21"/>
          <w:szCs w:val="21"/>
        </w:rPr>
        <w:t xml:space="preserve"> </w:t>
      </w:r>
      <w:r w:rsidRPr="00360EC2">
        <w:rPr>
          <w:rFonts w:ascii="Abadi" w:hAnsi="Abadi" w:cs="*Arial-6616-Identity-H"/>
          <w:color w:val="0E0D10"/>
          <w:sz w:val="21"/>
          <w:szCs w:val="21"/>
        </w:rPr>
        <w:t>informes al Congreso a más tardar el 30 de septiembre del ejercicio fiscal de que</w:t>
      </w:r>
      <w:r>
        <w:rPr>
          <w:rFonts w:ascii="Abadi" w:hAnsi="Abadi" w:cs="*Arial-6616-Identity-H"/>
          <w:color w:val="0E0D10"/>
          <w:sz w:val="21"/>
          <w:szCs w:val="21"/>
        </w:rPr>
        <w:t xml:space="preserve"> </w:t>
      </w:r>
      <w:r w:rsidRPr="00360EC2">
        <w:rPr>
          <w:rFonts w:ascii="Abadi" w:hAnsi="Abadi" w:cs="*Arial-6616-Identity-H"/>
          <w:color w:val="0E0D10"/>
          <w:sz w:val="21"/>
          <w:szCs w:val="21"/>
        </w:rPr>
        <w:t>se trate.</w:t>
      </w:r>
    </w:p>
    <w:p w14:paraId="5B05E19B" w14:textId="77777777" w:rsidR="004A6831" w:rsidRPr="00360EC2" w:rsidRDefault="004A6831" w:rsidP="004A6831">
      <w:pPr>
        <w:autoSpaceDE w:val="0"/>
        <w:autoSpaceDN w:val="0"/>
        <w:adjustRightInd w:val="0"/>
        <w:jc w:val="both"/>
        <w:rPr>
          <w:rFonts w:ascii="Abadi" w:hAnsi="Abadi" w:cs="*Arial-6616-Identity-H"/>
          <w:color w:val="0E0D10"/>
          <w:sz w:val="21"/>
          <w:szCs w:val="21"/>
        </w:rPr>
      </w:pPr>
    </w:p>
    <w:p w14:paraId="0BACEDEC" w14:textId="77777777" w:rsidR="004A6831" w:rsidRDefault="004A6831" w:rsidP="004A6831">
      <w:pPr>
        <w:autoSpaceDE w:val="0"/>
        <w:autoSpaceDN w:val="0"/>
        <w:adjustRightInd w:val="0"/>
        <w:ind w:firstLine="708"/>
        <w:jc w:val="both"/>
        <w:rPr>
          <w:rFonts w:ascii="Abadi" w:hAnsi="Abadi" w:cs="*Arial-6616-Identity-H"/>
          <w:color w:val="0C0C0F"/>
          <w:sz w:val="21"/>
          <w:szCs w:val="21"/>
        </w:rPr>
      </w:pPr>
      <w:r w:rsidRPr="00360EC2">
        <w:rPr>
          <w:rFonts w:ascii="Abadi" w:hAnsi="Abadi" w:cs="*Arial-6616-Identity-H"/>
          <w:color w:val="0C0C0F"/>
          <w:sz w:val="21"/>
          <w:szCs w:val="21"/>
        </w:rPr>
        <w:t>De lo anterior podemos desprender que el Órgano Técnico realizará la</w:t>
      </w:r>
      <w:r>
        <w:rPr>
          <w:rFonts w:ascii="Abadi" w:hAnsi="Abadi" w:cs="*Arial-6616-Identity-H"/>
          <w:color w:val="0C0C0F"/>
          <w:sz w:val="21"/>
          <w:szCs w:val="21"/>
        </w:rPr>
        <w:t xml:space="preserve"> </w:t>
      </w:r>
      <w:r w:rsidRPr="00360EC2">
        <w:rPr>
          <w:rFonts w:ascii="Abadi" w:hAnsi="Abadi" w:cs="*Arial-6616-Identity-H"/>
          <w:color w:val="0C0C0F"/>
          <w:sz w:val="21"/>
          <w:szCs w:val="21"/>
        </w:rPr>
        <w:t>auditoría de desempeño de manera anual y únicamente formulará</w:t>
      </w:r>
      <w:r>
        <w:rPr>
          <w:rFonts w:ascii="Abadi" w:hAnsi="Abadi" w:cs="*Arial-6616-Identity-H"/>
          <w:color w:val="0C0C0F"/>
          <w:sz w:val="21"/>
          <w:szCs w:val="21"/>
        </w:rPr>
        <w:t xml:space="preserve"> </w:t>
      </w:r>
      <w:r w:rsidRPr="00360EC2">
        <w:rPr>
          <w:rFonts w:ascii="Abadi" w:hAnsi="Abadi" w:cs="*Arial-6616-Identity-H"/>
          <w:color w:val="0C0C0F"/>
          <w:sz w:val="21"/>
          <w:szCs w:val="21"/>
        </w:rPr>
        <w:t>recomendaciones que incidan en la mejora del diseño, operación e impacto de los</w:t>
      </w:r>
      <w:r>
        <w:rPr>
          <w:rFonts w:ascii="Abadi" w:hAnsi="Abadi" w:cs="*Arial-6616-Identity-H"/>
          <w:color w:val="0C0C0F"/>
          <w:sz w:val="21"/>
          <w:szCs w:val="21"/>
        </w:rPr>
        <w:t xml:space="preserve"> </w:t>
      </w:r>
      <w:r w:rsidRPr="00360EC2">
        <w:rPr>
          <w:rFonts w:ascii="Abadi" w:hAnsi="Abadi" w:cs="*Arial-6616-Identity-H"/>
          <w:color w:val="0C0C0F"/>
          <w:sz w:val="21"/>
          <w:szCs w:val="21"/>
        </w:rPr>
        <w:t>presupuestos programáticos y las políticas públicas en su caso.</w:t>
      </w:r>
    </w:p>
    <w:p w14:paraId="04303ED2" w14:textId="77777777" w:rsidR="004A6831" w:rsidRPr="00360EC2" w:rsidRDefault="004A6831" w:rsidP="004A6831">
      <w:pPr>
        <w:autoSpaceDE w:val="0"/>
        <w:autoSpaceDN w:val="0"/>
        <w:adjustRightInd w:val="0"/>
        <w:jc w:val="both"/>
        <w:rPr>
          <w:rFonts w:ascii="Abadi" w:hAnsi="Abadi" w:cs="*Arial-6616-Identity-H"/>
          <w:color w:val="0C0C0F"/>
          <w:sz w:val="21"/>
          <w:szCs w:val="21"/>
        </w:rPr>
      </w:pPr>
    </w:p>
    <w:p w14:paraId="49E6A7B9" w14:textId="77777777" w:rsidR="004A6831" w:rsidRDefault="004A6831" w:rsidP="004A6831">
      <w:pPr>
        <w:autoSpaceDE w:val="0"/>
        <w:autoSpaceDN w:val="0"/>
        <w:adjustRightInd w:val="0"/>
        <w:ind w:firstLine="708"/>
        <w:jc w:val="both"/>
        <w:rPr>
          <w:rFonts w:ascii="Abadi" w:hAnsi="Abadi" w:cs="*Arial-6616-Identity-H"/>
          <w:color w:val="0D0D10"/>
          <w:sz w:val="21"/>
          <w:szCs w:val="21"/>
        </w:rPr>
      </w:pPr>
      <w:r w:rsidRPr="00360EC2">
        <w:rPr>
          <w:rFonts w:ascii="Abadi" w:hAnsi="Abadi" w:cs="*Arial-6616-Identity-H"/>
          <w:color w:val="0D0D10"/>
          <w:sz w:val="21"/>
          <w:szCs w:val="21"/>
        </w:rPr>
        <w:t>Finalmente, el artículo 16 de la Ley de Fiscalización Superior del Estado de</w:t>
      </w:r>
      <w:r>
        <w:rPr>
          <w:rFonts w:ascii="Abadi" w:hAnsi="Abadi" w:cs="*Arial-6616-Identity-H"/>
          <w:color w:val="0D0D10"/>
          <w:sz w:val="21"/>
          <w:szCs w:val="21"/>
        </w:rPr>
        <w:t xml:space="preserve"> </w:t>
      </w:r>
      <w:r w:rsidRPr="00360EC2">
        <w:rPr>
          <w:rFonts w:ascii="Abadi" w:hAnsi="Abadi" w:cs="*Arial-6616-Identity-H"/>
          <w:color w:val="0D0D10"/>
          <w:sz w:val="21"/>
          <w:szCs w:val="21"/>
        </w:rPr>
        <w:t>Guanajuato, consigna que la Auditoría Superior establecerá un Programa General</w:t>
      </w:r>
      <w:r>
        <w:rPr>
          <w:rFonts w:ascii="Abadi" w:hAnsi="Abadi" w:cs="*Arial-6616-Identity-H"/>
          <w:color w:val="0D0D10"/>
          <w:sz w:val="21"/>
          <w:szCs w:val="21"/>
        </w:rPr>
        <w:t xml:space="preserve"> </w:t>
      </w:r>
      <w:r w:rsidRPr="00360EC2">
        <w:rPr>
          <w:rFonts w:ascii="Abadi" w:hAnsi="Abadi" w:cs="*Arial-6616-Identity-H"/>
          <w:color w:val="0D0D10"/>
          <w:sz w:val="21"/>
          <w:szCs w:val="21"/>
        </w:rPr>
        <w:t>de Fiscalización, señalando los actos y sujetos de fiscalización, los que serán</w:t>
      </w:r>
      <w:r>
        <w:rPr>
          <w:rFonts w:ascii="Abadi" w:hAnsi="Abadi" w:cs="*Arial-6616-Identity-H"/>
          <w:color w:val="0D0D10"/>
          <w:sz w:val="21"/>
          <w:szCs w:val="21"/>
        </w:rPr>
        <w:t xml:space="preserve"> </w:t>
      </w:r>
      <w:r w:rsidRPr="00360EC2">
        <w:rPr>
          <w:rFonts w:ascii="Abadi" w:hAnsi="Abadi" w:cs="*Arial-6616-Identity-H"/>
          <w:color w:val="0D0D10"/>
          <w:sz w:val="21"/>
          <w:szCs w:val="21"/>
        </w:rPr>
        <w:t>objeto de auditoría o revisión conforme a los criterios y normas que se establezcan</w:t>
      </w:r>
      <w:r>
        <w:rPr>
          <w:rFonts w:ascii="Abadi" w:hAnsi="Abadi" w:cs="*Arial-6616-Identity-H"/>
          <w:color w:val="0D0D10"/>
          <w:sz w:val="21"/>
          <w:szCs w:val="21"/>
        </w:rPr>
        <w:t xml:space="preserve"> </w:t>
      </w:r>
      <w:r w:rsidRPr="00360EC2">
        <w:rPr>
          <w:rFonts w:ascii="Abadi" w:hAnsi="Abadi" w:cs="*Arial-6616-Identity-H"/>
          <w:color w:val="0D0D10"/>
          <w:sz w:val="21"/>
          <w:szCs w:val="21"/>
        </w:rPr>
        <w:t>en el Reglamento de la Ley.</w:t>
      </w:r>
    </w:p>
    <w:p w14:paraId="30BD4F35" w14:textId="77777777" w:rsidR="004A6831" w:rsidRPr="00360EC2" w:rsidRDefault="004A6831" w:rsidP="004A6831">
      <w:pPr>
        <w:autoSpaceDE w:val="0"/>
        <w:autoSpaceDN w:val="0"/>
        <w:adjustRightInd w:val="0"/>
        <w:jc w:val="both"/>
        <w:rPr>
          <w:rFonts w:ascii="Abadi" w:hAnsi="Abadi" w:cs="*Arial-6616-Identity-H"/>
          <w:color w:val="0D0D10"/>
          <w:sz w:val="21"/>
          <w:szCs w:val="21"/>
        </w:rPr>
      </w:pPr>
    </w:p>
    <w:p w14:paraId="7D29D941" w14:textId="16F47C05" w:rsidR="004A6831" w:rsidRDefault="004A6831" w:rsidP="00A95C00">
      <w:pPr>
        <w:autoSpaceDE w:val="0"/>
        <w:autoSpaceDN w:val="0"/>
        <w:adjustRightInd w:val="0"/>
        <w:ind w:firstLine="708"/>
        <w:jc w:val="both"/>
        <w:rPr>
          <w:rFonts w:ascii="Abadi" w:hAnsi="Abadi" w:cs="*Arial-6616-Identity-H"/>
          <w:color w:val="0C0C0F"/>
          <w:sz w:val="21"/>
          <w:szCs w:val="21"/>
        </w:rPr>
      </w:pPr>
      <w:r w:rsidRPr="00360EC2">
        <w:rPr>
          <w:rFonts w:ascii="Abadi" w:hAnsi="Abadi" w:cs="*Arial-6616-Identity-H"/>
          <w:color w:val="0C0C0F"/>
          <w:sz w:val="21"/>
          <w:szCs w:val="21"/>
        </w:rPr>
        <w:t>En ejercicio de esta función, el Auditor Superior del Estado aprobó el</w:t>
      </w:r>
      <w:r>
        <w:rPr>
          <w:rFonts w:ascii="Abadi" w:hAnsi="Abadi" w:cs="*Arial-6616-Identity-H"/>
          <w:color w:val="0C0C0F"/>
          <w:sz w:val="21"/>
          <w:szCs w:val="21"/>
        </w:rPr>
        <w:t xml:space="preserve"> </w:t>
      </w:r>
      <w:r w:rsidRPr="00360EC2">
        <w:rPr>
          <w:rFonts w:ascii="Abadi" w:hAnsi="Abadi" w:cs="*Arial-6616-Identity-H"/>
          <w:color w:val="0C0C0F"/>
          <w:sz w:val="21"/>
          <w:szCs w:val="21"/>
        </w:rPr>
        <w:t>Programa General de Fiscalización 2021. En dicho Programa se contempló la</w:t>
      </w:r>
      <w:r>
        <w:rPr>
          <w:rFonts w:ascii="Abadi" w:hAnsi="Abadi" w:cs="*Arial-6616-Identity-H"/>
          <w:color w:val="0C0C0F"/>
          <w:sz w:val="21"/>
          <w:szCs w:val="21"/>
        </w:rPr>
        <w:t xml:space="preserve"> </w:t>
      </w:r>
      <w:r w:rsidRPr="00360EC2">
        <w:rPr>
          <w:rFonts w:ascii="Abadi" w:hAnsi="Abadi" w:cs="*Arial-6616-Identity-H"/>
          <w:color w:val="0C0C0F"/>
          <w:sz w:val="21"/>
          <w:szCs w:val="21"/>
        </w:rPr>
        <w:t>práctica de una auditoria de desempeño a la administración municipal de Pueblo</w:t>
      </w:r>
      <w:r>
        <w:rPr>
          <w:rFonts w:ascii="Abadi" w:hAnsi="Abadi" w:cs="*Arial-6616-Identity-H"/>
          <w:color w:val="0C0C0F"/>
          <w:sz w:val="21"/>
          <w:szCs w:val="21"/>
        </w:rPr>
        <w:t xml:space="preserve"> </w:t>
      </w:r>
      <w:r w:rsidRPr="00360EC2">
        <w:rPr>
          <w:rFonts w:ascii="Abadi" w:hAnsi="Abadi" w:cs="*Arial-6616-Identity-H"/>
          <w:color w:val="0C0C0F"/>
          <w:sz w:val="21"/>
          <w:szCs w:val="21"/>
        </w:rPr>
        <w:t xml:space="preserve">Nuevo, </w:t>
      </w:r>
      <w:proofErr w:type="spellStart"/>
      <w:r w:rsidRPr="00360EC2">
        <w:rPr>
          <w:rFonts w:ascii="Abadi" w:hAnsi="Abadi" w:cs="*Arial-6616-Identity-H"/>
          <w:color w:val="0C0C0F"/>
          <w:sz w:val="21"/>
          <w:szCs w:val="21"/>
        </w:rPr>
        <w:t>Gto</w:t>
      </w:r>
      <w:proofErr w:type="spellEnd"/>
      <w:r w:rsidRPr="00360EC2">
        <w:rPr>
          <w:rFonts w:ascii="Abadi" w:hAnsi="Abadi" w:cs="*Arial-6616-Identity-H"/>
          <w:color w:val="0C0C0F"/>
          <w:sz w:val="21"/>
          <w:szCs w:val="21"/>
        </w:rPr>
        <w:t>., por el periodo comprendido del 1 de enero al 31 de diciembre del</w:t>
      </w:r>
      <w:r>
        <w:rPr>
          <w:rFonts w:ascii="Abadi" w:hAnsi="Abadi" w:cs="*Arial-6616-Identity-H"/>
          <w:color w:val="0C0C0F"/>
          <w:sz w:val="21"/>
          <w:szCs w:val="21"/>
        </w:rPr>
        <w:t xml:space="preserve"> </w:t>
      </w:r>
      <w:r w:rsidRPr="00360EC2">
        <w:rPr>
          <w:rFonts w:ascii="Abadi" w:hAnsi="Abadi" w:cs="*Arial-6616-Identity-H"/>
          <w:color w:val="0C0C0F"/>
          <w:sz w:val="21"/>
          <w:szCs w:val="21"/>
        </w:rPr>
        <w:t xml:space="preserve">ejercicio fiscal del año 2020, la cual se realizó con enfoque a resultados </w:t>
      </w:r>
      <w:proofErr w:type="spellStart"/>
      <w:r w:rsidRPr="00360EC2">
        <w:rPr>
          <w:rFonts w:ascii="Abadi" w:hAnsi="Abadi" w:cs="*Arial-6616-Identity-H"/>
          <w:color w:val="0C0C0F"/>
          <w:sz w:val="21"/>
          <w:szCs w:val="21"/>
        </w:rPr>
        <w:t>delservicio</w:t>
      </w:r>
      <w:proofErr w:type="spellEnd"/>
      <w:r w:rsidRPr="00360EC2">
        <w:rPr>
          <w:rFonts w:ascii="Abadi" w:hAnsi="Abadi" w:cs="*Arial-6616-Identity-H"/>
          <w:color w:val="0C0C0F"/>
          <w:sz w:val="21"/>
          <w:szCs w:val="21"/>
        </w:rPr>
        <w:t xml:space="preserve"> de alumbrado público.</w:t>
      </w:r>
    </w:p>
    <w:p w14:paraId="49809045" w14:textId="77777777" w:rsidR="004A6831" w:rsidRPr="00360EC2" w:rsidRDefault="004A6831" w:rsidP="004A6831">
      <w:pPr>
        <w:autoSpaceDE w:val="0"/>
        <w:autoSpaceDN w:val="0"/>
        <w:adjustRightInd w:val="0"/>
        <w:jc w:val="both"/>
        <w:rPr>
          <w:rFonts w:ascii="Abadi" w:hAnsi="Abadi" w:cs="*Arial-6616-Identity-H"/>
          <w:color w:val="0C0C0F"/>
          <w:sz w:val="21"/>
          <w:szCs w:val="21"/>
        </w:rPr>
      </w:pPr>
    </w:p>
    <w:p w14:paraId="642B7211" w14:textId="77777777" w:rsidR="004A6831" w:rsidRPr="00360EC2" w:rsidRDefault="004A6831" w:rsidP="004A6831">
      <w:pPr>
        <w:autoSpaceDE w:val="0"/>
        <w:autoSpaceDN w:val="0"/>
        <w:adjustRightInd w:val="0"/>
        <w:ind w:firstLine="708"/>
        <w:jc w:val="both"/>
        <w:rPr>
          <w:rFonts w:ascii="Abadi" w:hAnsi="Abadi" w:cs="*Arial-6616-Identity-H"/>
          <w:color w:val="0D0D10"/>
          <w:sz w:val="21"/>
          <w:szCs w:val="21"/>
        </w:rPr>
      </w:pPr>
      <w:r w:rsidRPr="00360EC2">
        <w:rPr>
          <w:rFonts w:ascii="Abadi" w:hAnsi="Abadi" w:cs="*Arial-6616-Identity-H"/>
          <w:color w:val="0D0D10"/>
          <w:sz w:val="21"/>
          <w:szCs w:val="21"/>
        </w:rPr>
        <w:t>El 3 de septiembre de 2021 se notificó al sujeto fiscalizado el inicio de la</w:t>
      </w:r>
      <w:r>
        <w:rPr>
          <w:rFonts w:ascii="Abadi" w:hAnsi="Abadi" w:cs="*Arial-6616-Identity-H"/>
          <w:color w:val="0D0D10"/>
          <w:sz w:val="21"/>
          <w:szCs w:val="21"/>
        </w:rPr>
        <w:t xml:space="preserve"> </w:t>
      </w:r>
      <w:r w:rsidRPr="00360EC2">
        <w:rPr>
          <w:rFonts w:ascii="Abadi" w:hAnsi="Abadi" w:cs="*Arial-6616-Identity-H"/>
          <w:color w:val="0D0D10"/>
          <w:sz w:val="21"/>
          <w:szCs w:val="21"/>
        </w:rPr>
        <w:t>auditoría materia del presente dictamen.</w:t>
      </w:r>
    </w:p>
    <w:p w14:paraId="71C3EF8F" w14:textId="77777777" w:rsidR="004A6831" w:rsidRPr="00360EC2" w:rsidRDefault="004A6831" w:rsidP="004A6831">
      <w:pPr>
        <w:autoSpaceDE w:val="0"/>
        <w:autoSpaceDN w:val="0"/>
        <w:adjustRightInd w:val="0"/>
        <w:jc w:val="both"/>
        <w:rPr>
          <w:rFonts w:ascii="Abadi" w:hAnsi="Abadi" w:cs="*Microsoft Sans Serif-Bold-6207"/>
          <w:b/>
          <w:bCs/>
          <w:color w:val="181818"/>
          <w:sz w:val="21"/>
          <w:szCs w:val="21"/>
        </w:rPr>
      </w:pPr>
    </w:p>
    <w:p w14:paraId="04CA24AF" w14:textId="77777777" w:rsidR="004A6831" w:rsidRDefault="004A6831" w:rsidP="004A6831">
      <w:pPr>
        <w:autoSpaceDE w:val="0"/>
        <w:autoSpaceDN w:val="0"/>
        <w:adjustRightInd w:val="0"/>
        <w:ind w:firstLine="708"/>
        <w:jc w:val="both"/>
        <w:rPr>
          <w:rFonts w:ascii="Abadi" w:hAnsi="Abadi" w:cs="*Arial-6206-Identity-H"/>
          <w:color w:val="0D0D0F"/>
          <w:sz w:val="21"/>
          <w:szCs w:val="21"/>
        </w:rPr>
      </w:pPr>
      <w:r w:rsidRPr="00360EC2">
        <w:rPr>
          <w:rFonts w:ascii="Abadi" w:hAnsi="Abadi" w:cs="*Arial-6206-Identity-H"/>
          <w:color w:val="0D0D0F"/>
          <w:sz w:val="21"/>
          <w:szCs w:val="21"/>
        </w:rPr>
        <w:t>Mediante oficio notificado el 27 de septiembre de 2021, la Auditoría</w:t>
      </w:r>
      <w:r>
        <w:rPr>
          <w:rFonts w:ascii="Abadi" w:hAnsi="Abadi" w:cs="*Arial-6206-Identity-H"/>
          <w:color w:val="0D0D0F"/>
          <w:sz w:val="21"/>
          <w:szCs w:val="21"/>
        </w:rPr>
        <w:t xml:space="preserve"> </w:t>
      </w:r>
      <w:r w:rsidRPr="00360EC2">
        <w:rPr>
          <w:rFonts w:ascii="Abadi" w:hAnsi="Abadi" w:cs="*Arial-6206-Identity-H"/>
          <w:color w:val="0D0D0F"/>
          <w:sz w:val="21"/>
          <w:szCs w:val="21"/>
        </w:rPr>
        <w:t>Superior del Estado requirió al sujeto de fiscalización diversa información que se</w:t>
      </w:r>
      <w:r>
        <w:rPr>
          <w:rFonts w:ascii="Abadi" w:hAnsi="Abadi" w:cs="*Arial-6206-Identity-H"/>
          <w:color w:val="0D0D0F"/>
          <w:sz w:val="21"/>
          <w:szCs w:val="21"/>
        </w:rPr>
        <w:t xml:space="preserve"> </w:t>
      </w:r>
      <w:r w:rsidRPr="00360EC2">
        <w:rPr>
          <w:rFonts w:ascii="Abadi" w:hAnsi="Abadi" w:cs="*Arial-6206-Identity-H"/>
          <w:color w:val="0D0D0F"/>
          <w:sz w:val="21"/>
          <w:szCs w:val="21"/>
        </w:rPr>
        <w:t>consideró necesaria para llevar a cabo la auditoría, al cual se dio respuesta el 27</w:t>
      </w:r>
      <w:r>
        <w:rPr>
          <w:rFonts w:ascii="Abadi" w:hAnsi="Abadi" w:cs="*Arial-6206-Identity-H"/>
          <w:color w:val="0D0D0F"/>
          <w:sz w:val="21"/>
          <w:szCs w:val="21"/>
        </w:rPr>
        <w:t xml:space="preserve"> </w:t>
      </w:r>
      <w:r w:rsidRPr="00360EC2">
        <w:rPr>
          <w:rFonts w:ascii="Abadi" w:hAnsi="Abadi" w:cs="*Arial-6206-Identity-H"/>
          <w:color w:val="0D0D0F"/>
          <w:sz w:val="21"/>
          <w:szCs w:val="21"/>
        </w:rPr>
        <w:t>de octubre de 2021. Asimismo, el 12 de enero de 2022, el Órgano Técnico realizó</w:t>
      </w:r>
      <w:r>
        <w:rPr>
          <w:rFonts w:ascii="Abadi" w:hAnsi="Abadi" w:cs="*Arial-6206-Identity-H"/>
          <w:color w:val="0D0D0F"/>
          <w:sz w:val="21"/>
          <w:szCs w:val="21"/>
        </w:rPr>
        <w:t xml:space="preserve"> </w:t>
      </w:r>
      <w:r w:rsidRPr="00360EC2">
        <w:rPr>
          <w:rFonts w:ascii="Abadi" w:hAnsi="Abadi" w:cs="*Arial-6206-Identity-H"/>
          <w:color w:val="0D0D0F"/>
          <w:sz w:val="21"/>
          <w:szCs w:val="21"/>
        </w:rPr>
        <w:t>entrevistas.</w:t>
      </w:r>
    </w:p>
    <w:p w14:paraId="59EDF80F" w14:textId="77777777" w:rsidR="004A6831" w:rsidRPr="00360EC2" w:rsidRDefault="004A6831" w:rsidP="004A6831">
      <w:pPr>
        <w:autoSpaceDE w:val="0"/>
        <w:autoSpaceDN w:val="0"/>
        <w:adjustRightInd w:val="0"/>
        <w:jc w:val="both"/>
        <w:rPr>
          <w:rFonts w:ascii="Abadi" w:hAnsi="Abadi" w:cs="*Arial-6206-Identity-H"/>
          <w:color w:val="0D0D0F"/>
          <w:sz w:val="21"/>
          <w:szCs w:val="21"/>
        </w:rPr>
      </w:pPr>
    </w:p>
    <w:p w14:paraId="195230EB" w14:textId="77777777" w:rsidR="004A6831" w:rsidRDefault="004A6831" w:rsidP="004A6831">
      <w:pPr>
        <w:autoSpaceDE w:val="0"/>
        <w:autoSpaceDN w:val="0"/>
        <w:adjustRightInd w:val="0"/>
        <w:ind w:firstLine="708"/>
        <w:jc w:val="both"/>
        <w:rPr>
          <w:rFonts w:ascii="Abadi" w:hAnsi="Abadi" w:cs="*Arial-6206-Identity-H"/>
          <w:color w:val="0D0D0F"/>
          <w:sz w:val="21"/>
          <w:szCs w:val="21"/>
        </w:rPr>
      </w:pPr>
      <w:r w:rsidRPr="00360EC2">
        <w:rPr>
          <w:rFonts w:ascii="Abadi" w:hAnsi="Abadi" w:cs="*Arial-6206-Identity-H"/>
          <w:color w:val="0D0D0F"/>
          <w:sz w:val="21"/>
          <w:szCs w:val="21"/>
        </w:rPr>
        <w:t>En fechas 27 de septiembre de 2021 y 3 de enero de 2022 se notificó al</w:t>
      </w:r>
      <w:r>
        <w:rPr>
          <w:rFonts w:ascii="Abadi" w:hAnsi="Abadi" w:cs="*Arial-6206-Identity-H"/>
          <w:color w:val="0D0D0F"/>
          <w:sz w:val="21"/>
          <w:szCs w:val="21"/>
        </w:rPr>
        <w:t xml:space="preserve"> </w:t>
      </w:r>
      <w:r w:rsidRPr="00360EC2">
        <w:rPr>
          <w:rFonts w:ascii="Abadi" w:hAnsi="Abadi" w:cs="*Arial-6206-Identity-H"/>
          <w:color w:val="0D0D0F"/>
          <w:sz w:val="21"/>
          <w:szCs w:val="21"/>
        </w:rPr>
        <w:t>sujeto fiscalizado la suspensión del plazo de la auditoría materia del presente</w:t>
      </w:r>
      <w:r>
        <w:rPr>
          <w:rFonts w:ascii="Abadi" w:hAnsi="Abadi" w:cs="*Arial-6206-Identity-H"/>
          <w:color w:val="0D0D0F"/>
          <w:sz w:val="21"/>
          <w:szCs w:val="21"/>
        </w:rPr>
        <w:t xml:space="preserve"> </w:t>
      </w:r>
      <w:r w:rsidRPr="00360EC2">
        <w:rPr>
          <w:rFonts w:ascii="Abadi" w:hAnsi="Abadi" w:cs="*Arial-6206-Identity-H"/>
          <w:color w:val="0D0D0F"/>
          <w:sz w:val="21"/>
          <w:szCs w:val="21"/>
        </w:rPr>
        <w:t>dictamen, por los periodos comprendidos del 1 de octubre al 17 de diciembre de</w:t>
      </w:r>
      <w:r>
        <w:rPr>
          <w:rFonts w:ascii="Abadi" w:hAnsi="Abadi" w:cs="*Arial-6206-Identity-H"/>
          <w:color w:val="0D0D0F"/>
          <w:sz w:val="21"/>
          <w:szCs w:val="21"/>
        </w:rPr>
        <w:t xml:space="preserve"> </w:t>
      </w:r>
      <w:r w:rsidRPr="00360EC2">
        <w:rPr>
          <w:rFonts w:ascii="Abadi" w:hAnsi="Abadi" w:cs="*Arial-6206-Identity-H"/>
          <w:color w:val="0D0D0F"/>
          <w:sz w:val="21"/>
          <w:szCs w:val="21"/>
        </w:rPr>
        <w:t>2021; y del 3 de enero al 11 de marzo de 2022.</w:t>
      </w:r>
    </w:p>
    <w:p w14:paraId="012B5635" w14:textId="77777777" w:rsidR="004A6831" w:rsidRPr="00360EC2" w:rsidRDefault="004A6831" w:rsidP="004A6831">
      <w:pPr>
        <w:autoSpaceDE w:val="0"/>
        <w:autoSpaceDN w:val="0"/>
        <w:adjustRightInd w:val="0"/>
        <w:jc w:val="both"/>
        <w:rPr>
          <w:rFonts w:ascii="Abadi" w:hAnsi="Abadi" w:cs="*Arial-6206-Identity-H"/>
          <w:color w:val="0D0D0F"/>
          <w:sz w:val="21"/>
          <w:szCs w:val="21"/>
        </w:rPr>
      </w:pPr>
    </w:p>
    <w:p w14:paraId="7696D085" w14:textId="77777777" w:rsidR="004A6831" w:rsidRDefault="004A6831" w:rsidP="004A6831">
      <w:pPr>
        <w:autoSpaceDE w:val="0"/>
        <w:autoSpaceDN w:val="0"/>
        <w:adjustRightInd w:val="0"/>
        <w:ind w:firstLine="708"/>
        <w:jc w:val="both"/>
        <w:rPr>
          <w:rFonts w:ascii="Abadi" w:hAnsi="Abadi" w:cs="*Arial-6206-Identity-H"/>
          <w:color w:val="0D0D0F"/>
          <w:sz w:val="21"/>
          <w:szCs w:val="21"/>
        </w:rPr>
      </w:pPr>
      <w:r w:rsidRPr="00360EC2">
        <w:rPr>
          <w:rFonts w:ascii="Abadi" w:hAnsi="Abadi" w:cs="*Arial-6206-Identity-H"/>
          <w:color w:val="0D0D0F"/>
          <w:sz w:val="21"/>
          <w:szCs w:val="21"/>
        </w:rPr>
        <w:t>Como parte del proceso de auditoría, el 20 de enero de 2022 se notificó al</w:t>
      </w:r>
      <w:r>
        <w:rPr>
          <w:rFonts w:ascii="Abadi" w:hAnsi="Abadi" w:cs="*Arial-6206-Identity-H"/>
          <w:color w:val="0D0D0F"/>
          <w:sz w:val="21"/>
          <w:szCs w:val="21"/>
        </w:rPr>
        <w:t xml:space="preserve"> </w:t>
      </w:r>
      <w:r w:rsidRPr="00360EC2">
        <w:rPr>
          <w:rFonts w:ascii="Abadi" w:hAnsi="Abadi" w:cs="*Arial-6206-Identity-H"/>
          <w:color w:val="0D0D0F"/>
          <w:sz w:val="21"/>
          <w:szCs w:val="21"/>
        </w:rPr>
        <w:t>sujeto fiscalizado el pliego de recomendaciones derivadas de la auditoría</w:t>
      </w:r>
      <w:r>
        <w:rPr>
          <w:rFonts w:ascii="Abadi" w:hAnsi="Abadi" w:cs="*Arial-6206-Identity-H"/>
          <w:color w:val="0D0D0F"/>
          <w:sz w:val="21"/>
          <w:szCs w:val="21"/>
        </w:rPr>
        <w:t xml:space="preserve"> </w:t>
      </w:r>
      <w:r w:rsidRPr="00360EC2">
        <w:rPr>
          <w:rFonts w:ascii="Abadi" w:hAnsi="Abadi" w:cs="*Arial-6206-Identity-H"/>
          <w:color w:val="0D0D0F"/>
          <w:sz w:val="21"/>
          <w:szCs w:val="21"/>
        </w:rPr>
        <w:t>practicada. Lo anterior, para dar cumplimiento a lo preceptuado por el artículo 58</w:t>
      </w:r>
      <w:r>
        <w:rPr>
          <w:rFonts w:ascii="Abadi" w:hAnsi="Abadi" w:cs="*Arial-6206-Identity-H"/>
          <w:color w:val="0D0D0F"/>
          <w:sz w:val="21"/>
          <w:szCs w:val="21"/>
        </w:rPr>
        <w:t xml:space="preserve"> </w:t>
      </w:r>
      <w:r w:rsidRPr="00360EC2">
        <w:rPr>
          <w:rFonts w:ascii="Abadi" w:hAnsi="Abadi" w:cs="*Arial-6206-Identity-H"/>
          <w:color w:val="0D0D0F"/>
          <w:sz w:val="21"/>
          <w:szCs w:val="21"/>
        </w:rPr>
        <w:t>de la Ley de Fiscalización Superior del Estado de Guanajuato, al cual no se dio</w:t>
      </w:r>
      <w:r>
        <w:rPr>
          <w:rFonts w:ascii="Abadi" w:hAnsi="Abadi" w:cs="*Arial-6206-Identity-H"/>
          <w:color w:val="0D0D0F"/>
          <w:sz w:val="21"/>
          <w:szCs w:val="21"/>
        </w:rPr>
        <w:t xml:space="preserve"> </w:t>
      </w:r>
      <w:r w:rsidRPr="00360EC2">
        <w:rPr>
          <w:rFonts w:ascii="Abadi" w:hAnsi="Abadi" w:cs="*Arial-6206-Identity-H"/>
          <w:color w:val="0D0D0F"/>
          <w:sz w:val="21"/>
          <w:szCs w:val="21"/>
        </w:rPr>
        <w:t>respuesta.</w:t>
      </w:r>
    </w:p>
    <w:p w14:paraId="12CA7109" w14:textId="77777777" w:rsidR="004A6831" w:rsidRPr="00360EC2" w:rsidRDefault="004A6831" w:rsidP="004A6831">
      <w:pPr>
        <w:autoSpaceDE w:val="0"/>
        <w:autoSpaceDN w:val="0"/>
        <w:adjustRightInd w:val="0"/>
        <w:ind w:firstLine="708"/>
        <w:jc w:val="both"/>
        <w:rPr>
          <w:rFonts w:ascii="Abadi" w:hAnsi="Abadi" w:cs="*Arial-6206-Identity-H"/>
          <w:color w:val="0D0D0F"/>
          <w:sz w:val="21"/>
          <w:szCs w:val="21"/>
        </w:rPr>
      </w:pPr>
    </w:p>
    <w:p w14:paraId="7B5F28E1" w14:textId="77777777" w:rsidR="004A6831" w:rsidRDefault="004A6831" w:rsidP="004A6831">
      <w:pPr>
        <w:autoSpaceDE w:val="0"/>
        <w:autoSpaceDN w:val="0"/>
        <w:adjustRightInd w:val="0"/>
        <w:ind w:firstLine="708"/>
        <w:jc w:val="both"/>
        <w:rPr>
          <w:rFonts w:ascii="Abadi" w:hAnsi="Abadi" w:cs="*Arial-6206-Identity-H"/>
          <w:color w:val="0D0C0F"/>
          <w:sz w:val="21"/>
          <w:szCs w:val="21"/>
        </w:rPr>
      </w:pPr>
      <w:r w:rsidRPr="00360EC2">
        <w:rPr>
          <w:rFonts w:ascii="Abadi" w:hAnsi="Abadi" w:cs="*Arial-6206-Identity-H"/>
          <w:color w:val="0C0C0F"/>
          <w:sz w:val="21"/>
          <w:szCs w:val="21"/>
        </w:rPr>
        <w:t>Agotado el plazo referido en el párrafo anterior, se procedió a la elaboración</w:t>
      </w:r>
      <w:r>
        <w:rPr>
          <w:rFonts w:ascii="Abadi" w:hAnsi="Abadi" w:cs="*Arial-6206-Identity-H"/>
          <w:color w:val="0C0C0F"/>
          <w:sz w:val="21"/>
          <w:szCs w:val="21"/>
        </w:rPr>
        <w:t xml:space="preserve"> </w:t>
      </w:r>
      <w:r w:rsidRPr="00360EC2">
        <w:rPr>
          <w:rFonts w:ascii="Abadi" w:hAnsi="Abadi" w:cs="*Arial-6206-Identity-H"/>
          <w:color w:val="0C0C0F"/>
          <w:sz w:val="21"/>
          <w:szCs w:val="21"/>
        </w:rPr>
        <w:t>del informe de resultados materia del presente dictamen.</w:t>
      </w:r>
      <w:r>
        <w:rPr>
          <w:rFonts w:ascii="Abadi" w:hAnsi="Abadi" w:cs="*Arial-6206-Identity-H"/>
          <w:color w:val="0C0C0F"/>
          <w:sz w:val="21"/>
          <w:szCs w:val="21"/>
        </w:rPr>
        <w:t xml:space="preserve"> </w:t>
      </w:r>
      <w:r w:rsidRPr="00360EC2">
        <w:rPr>
          <w:rFonts w:ascii="Abadi" w:hAnsi="Abadi" w:cs="*Arial-6206-Identity-H"/>
          <w:color w:val="0D0C0F"/>
          <w:sz w:val="21"/>
          <w:szCs w:val="21"/>
        </w:rPr>
        <w:t>El informe de resultados se notificó al presidente municipal de Pueblo</w:t>
      </w:r>
      <w:r>
        <w:rPr>
          <w:rFonts w:ascii="Abadi" w:hAnsi="Abadi" w:cs="*Arial-6206-Identity-H"/>
          <w:color w:val="0D0C0F"/>
          <w:sz w:val="21"/>
          <w:szCs w:val="21"/>
        </w:rPr>
        <w:t xml:space="preserve"> </w:t>
      </w:r>
      <w:r w:rsidRPr="00360EC2">
        <w:rPr>
          <w:rFonts w:ascii="Abadi" w:hAnsi="Abadi" w:cs="*Arial-6206-Identity-H"/>
          <w:color w:val="0D0C0F"/>
          <w:sz w:val="21"/>
          <w:szCs w:val="21"/>
        </w:rPr>
        <w:t xml:space="preserve">Nuevo, </w:t>
      </w:r>
      <w:proofErr w:type="spellStart"/>
      <w:r w:rsidRPr="00360EC2">
        <w:rPr>
          <w:rFonts w:ascii="Abadi" w:hAnsi="Abadi" w:cs="*Arial-6206-Identity-H"/>
          <w:color w:val="0D0C0F"/>
          <w:sz w:val="21"/>
          <w:szCs w:val="21"/>
        </w:rPr>
        <w:t>Gto</w:t>
      </w:r>
      <w:proofErr w:type="spellEnd"/>
      <w:r w:rsidRPr="00360EC2">
        <w:rPr>
          <w:rFonts w:ascii="Abadi" w:hAnsi="Abadi" w:cs="*Arial-6206-Identity-H"/>
          <w:color w:val="0D0C0F"/>
          <w:sz w:val="21"/>
          <w:szCs w:val="21"/>
        </w:rPr>
        <w:t>., el 11 de febrero de 2022.</w:t>
      </w:r>
    </w:p>
    <w:p w14:paraId="0CB02BF0" w14:textId="77777777" w:rsidR="004A6831" w:rsidRPr="00360EC2" w:rsidRDefault="004A6831" w:rsidP="004A6831">
      <w:pPr>
        <w:autoSpaceDE w:val="0"/>
        <w:autoSpaceDN w:val="0"/>
        <w:adjustRightInd w:val="0"/>
        <w:jc w:val="both"/>
        <w:rPr>
          <w:rFonts w:ascii="Abadi" w:hAnsi="Abadi" w:cs="*Arial-6206-Identity-H"/>
          <w:color w:val="0D0C0F"/>
          <w:sz w:val="21"/>
          <w:szCs w:val="21"/>
        </w:rPr>
      </w:pPr>
    </w:p>
    <w:p w14:paraId="5D9254C0" w14:textId="77777777" w:rsidR="004A6831" w:rsidRDefault="004A6831" w:rsidP="004A6831">
      <w:pPr>
        <w:autoSpaceDE w:val="0"/>
        <w:autoSpaceDN w:val="0"/>
        <w:adjustRightInd w:val="0"/>
        <w:ind w:firstLine="708"/>
        <w:jc w:val="both"/>
        <w:rPr>
          <w:rFonts w:ascii="Abadi" w:hAnsi="Abadi" w:cs="*Arial-6206-Identity-H"/>
          <w:color w:val="0D0C0F"/>
          <w:sz w:val="21"/>
          <w:szCs w:val="21"/>
        </w:rPr>
      </w:pPr>
      <w:r w:rsidRPr="00360EC2">
        <w:rPr>
          <w:rFonts w:ascii="Abadi" w:hAnsi="Abadi" w:cs="*Arial-6206-Identity-H"/>
          <w:color w:val="0D0C0F"/>
          <w:sz w:val="21"/>
          <w:szCs w:val="21"/>
        </w:rPr>
        <w:t>Es importante señalar que de acuerdo a lo previsto en los artículos 60 de la</w:t>
      </w:r>
      <w:r>
        <w:rPr>
          <w:rFonts w:ascii="Abadi" w:hAnsi="Abadi" w:cs="*Arial-6206-Identity-H"/>
          <w:color w:val="0D0C0F"/>
          <w:sz w:val="21"/>
          <w:szCs w:val="21"/>
        </w:rPr>
        <w:t xml:space="preserve"> </w:t>
      </w:r>
      <w:r w:rsidRPr="00360EC2">
        <w:rPr>
          <w:rFonts w:ascii="Abadi" w:hAnsi="Abadi" w:cs="*Arial-6206-Identity-H"/>
          <w:color w:val="0D0C0F"/>
          <w:sz w:val="21"/>
          <w:szCs w:val="21"/>
        </w:rPr>
        <w:t>Ley de Fiscalización Superior del Estado de Guanajuato; y 60 del Reglamento de</w:t>
      </w:r>
      <w:r>
        <w:rPr>
          <w:rFonts w:ascii="Abadi" w:hAnsi="Abadi" w:cs="*Arial-6206-Identity-H"/>
          <w:color w:val="0D0C0F"/>
          <w:sz w:val="21"/>
          <w:szCs w:val="21"/>
        </w:rPr>
        <w:t xml:space="preserve"> </w:t>
      </w:r>
      <w:r w:rsidRPr="00360EC2">
        <w:rPr>
          <w:rFonts w:ascii="Abadi" w:hAnsi="Abadi" w:cs="*Arial-6206-Identity-H"/>
          <w:color w:val="0D0C0F"/>
          <w:sz w:val="21"/>
          <w:szCs w:val="21"/>
        </w:rPr>
        <w:t>la Ley de Fiscalización Superior del Estado de Guanajuato, tratándose de las</w:t>
      </w:r>
      <w:r>
        <w:rPr>
          <w:rFonts w:ascii="Abadi" w:hAnsi="Abadi" w:cs="*Arial-6206-Identity-H"/>
          <w:color w:val="0D0C0F"/>
          <w:sz w:val="21"/>
          <w:szCs w:val="21"/>
        </w:rPr>
        <w:t xml:space="preserve"> </w:t>
      </w:r>
      <w:r w:rsidRPr="00360EC2">
        <w:rPr>
          <w:rFonts w:ascii="Abadi" w:hAnsi="Abadi" w:cs="*Arial-6206-Identity-H"/>
          <w:color w:val="0D0C0F"/>
          <w:sz w:val="21"/>
          <w:szCs w:val="21"/>
        </w:rPr>
        <w:t>auditorías de desempeño es improcedente el recurso de reconsideración en contra</w:t>
      </w:r>
      <w:r>
        <w:rPr>
          <w:rFonts w:ascii="Abadi" w:hAnsi="Abadi" w:cs="*Arial-6206-Identity-H"/>
          <w:color w:val="0D0C0F"/>
          <w:sz w:val="21"/>
          <w:szCs w:val="21"/>
        </w:rPr>
        <w:t xml:space="preserve"> </w:t>
      </w:r>
      <w:r w:rsidRPr="00360EC2">
        <w:rPr>
          <w:rFonts w:ascii="Abadi" w:hAnsi="Abadi" w:cs="*Arial-6206-Identity-H"/>
          <w:color w:val="0D0C0F"/>
          <w:sz w:val="21"/>
          <w:szCs w:val="21"/>
        </w:rPr>
        <w:t>del informe de resultados, por lo que una vez notificado el mismo al sujeto de</w:t>
      </w:r>
      <w:r>
        <w:rPr>
          <w:rFonts w:ascii="Abadi" w:hAnsi="Abadi" w:cs="*Arial-6206-Identity-H"/>
          <w:color w:val="0D0C0F"/>
          <w:sz w:val="21"/>
          <w:szCs w:val="21"/>
        </w:rPr>
        <w:t xml:space="preserve"> </w:t>
      </w:r>
      <w:r w:rsidRPr="00360EC2">
        <w:rPr>
          <w:rFonts w:ascii="Abadi" w:hAnsi="Abadi" w:cs="*Arial-6206-Identity-H"/>
          <w:color w:val="0D0C0F"/>
          <w:sz w:val="21"/>
          <w:szCs w:val="21"/>
        </w:rPr>
        <w:t>fiscalización, se remite al Congreso para los efectos procedentes.</w:t>
      </w:r>
    </w:p>
    <w:p w14:paraId="51CA3D4A" w14:textId="77777777" w:rsidR="004A6831" w:rsidRPr="00360EC2" w:rsidRDefault="004A6831" w:rsidP="004A6831">
      <w:pPr>
        <w:autoSpaceDE w:val="0"/>
        <w:autoSpaceDN w:val="0"/>
        <w:adjustRightInd w:val="0"/>
        <w:jc w:val="both"/>
        <w:rPr>
          <w:rFonts w:ascii="Abadi" w:hAnsi="Abadi" w:cs="*Arial-6206-Identity-H"/>
          <w:color w:val="0D0C0F"/>
          <w:sz w:val="21"/>
          <w:szCs w:val="21"/>
        </w:rPr>
      </w:pPr>
    </w:p>
    <w:p w14:paraId="569E1D2B" w14:textId="2F081EFF" w:rsidR="004A6831" w:rsidRPr="00360EC2" w:rsidRDefault="004A6831" w:rsidP="004A6831">
      <w:pPr>
        <w:autoSpaceDE w:val="0"/>
        <w:autoSpaceDN w:val="0"/>
        <w:adjustRightInd w:val="0"/>
        <w:ind w:firstLine="708"/>
        <w:jc w:val="both"/>
        <w:rPr>
          <w:rFonts w:ascii="Abadi" w:hAnsi="Abadi" w:cs="*Arial-6206-Identity-H"/>
          <w:color w:val="0C0C0F"/>
          <w:sz w:val="21"/>
          <w:szCs w:val="21"/>
        </w:rPr>
      </w:pPr>
      <w:r w:rsidRPr="00360EC2">
        <w:rPr>
          <w:rFonts w:ascii="Abadi" w:hAnsi="Abadi" w:cs="*Arial-6206-Identity-H"/>
          <w:color w:val="0C0C0F"/>
          <w:sz w:val="21"/>
          <w:szCs w:val="21"/>
        </w:rPr>
        <w:t>En razón de lo anterior, el Auditor Superior del Estado remitió a este</w:t>
      </w:r>
      <w:r>
        <w:rPr>
          <w:rFonts w:ascii="Abadi" w:hAnsi="Abadi" w:cs="*Arial-6206-Identity-H"/>
          <w:color w:val="0C0C0F"/>
          <w:sz w:val="21"/>
          <w:szCs w:val="21"/>
        </w:rPr>
        <w:t xml:space="preserve"> </w:t>
      </w:r>
      <w:r w:rsidRPr="00360EC2">
        <w:rPr>
          <w:rFonts w:ascii="Abadi" w:hAnsi="Abadi" w:cs="*Arial-6206-Identity-H"/>
          <w:color w:val="0C0C0F"/>
          <w:sz w:val="21"/>
          <w:szCs w:val="21"/>
        </w:rPr>
        <w:t>Congreso del Estado, el informe de resultados, el cual se turnó a la Comisión de</w:t>
      </w:r>
      <w:r>
        <w:rPr>
          <w:rFonts w:ascii="Abadi" w:hAnsi="Abadi" w:cs="*Arial-6206-Identity-H"/>
          <w:color w:val="0C0C0F"/>
          <w:sz w:val="21"/>
          <w:szCs w:val="21"/>
        </w:rPr>
        <w:t xml:space="preserve"> </w:t>
      </w:r>
      <w:r w:rsidRPr="00360EC2">
        <w:rPr>
          <w:rFonts w:ascii="Abadi" w:hAnsi="Abadi" w:cs="*Arial-6206-Identity-H"/>
          <w:color w:val="0C0C0F"/>
          <w:sz w:val="21"/>
          <w:szCs w:val="21"/>
        </w:rPr>
        <w:t xml:space="preserve">Hacienda y Fiscalización el </w:t>
      </w:r>
      <w:r w:rsidR="00A95C00">
        <w:rPr>
          <w:rFonts w:ascii="Abadi" w:hAnsi="Abadi" w:cs="*Arial-6206-Identity-H"/>
          <w:color w:val="0C0C0F"/>
          <w:sz w:val="21"/>
          <w:szCs w:val="21"/>
        </w:rPr>
        <w:t>10</w:t>
      </w:r>
      <w:r w:rsidRPr="00360EC2">
        <w:rPr>
          <w:rFonts w:ascii="Abadi" w:hAnsi="Abadi" w:cs="*Arial-6206-Identity-H"/>
          <w:color w:val="0C0C0F"/>
          <w:sz w:val="21"/>
          <w:szCs w:val="21"/>
        </w:rPr>
        <w:t xml:space="preserve"> de marzo de 2022 para su estudio y dictamen,</w:t>
      </w:r>
      <w:r>
        <w:rPr>
          <w:rFonts w:ascii="Abadi" w:hAnsi="Abadi" w:cs="*Arial-6206-Identity-H"/>
          <w:color w:val="0C0C0F"/>
          <w:sz w:val="21"/>
          <w:szCs w:val="21"/>
        </w:rPr>
        <w:t xml:space="preserve"> </w:t>
      </w:r>
      <w:r w:rsidRPr="00360EC2">
        <w:rPr>
          <w:rFonts w:ascii="Abadi" w:hAnsi="Abadi" w:cs="*Arial-6206-Identity-H"/>
          <w:color w:val="0C0C0F"/>
          <w:sz w:val="21"/>
          <w:szCs w:val="21"/>
        </w:rPr>
        <w:t>siendo radicado el 15 de marzo del año en curso.</w:t>
      </w:r>
    </w:p>
    <w:p w14:paraId="0AD1D9EF" w14:textId="77777777" w:rsidR="004A6831" w:rsidRDefault="004A6831" w:rsidP="004A6831">
      <w:pPr>
        <w:autoSpaceDE w:val="0"/>
        <w:autoSpaceDN w:val="0"/>
        <w:adjustRightInd w:val="0"/>
        <w:jc w:val="both"/>
        <w:rPr>
          <w:rFonts w:ascii="Abadi" w:hAnsi="Abadi" w:cs="*Arial-7951-Identity-H"/>
          <w:color w:val="0D0C0F"/>
          <w:sz w:val="21"/>
          <w:szCs w:val="21"/>
        </w:rPr>
      </w:pPr>
    </w:p>
    <w:p w14:paraId="2FA25B19" w14:textId="77777777" w:rsidR="004A6831" w:rsidRPr="00360EC2" w:rsidRDefault="004A6831" w:rsidP="004A6831">
      <w:pPr>
        <w:autoSpaceDE w:val="0"/>
        <w:autoSpaceDN w:val="0"/>
        <w:adjustRightInd w:val="0"/>
        <w:ind w:firstLine="708"/>
        <w:jc w:val="both"/>
        <w:rPr>
          <w:rFonts w:ascii="Abadi" w:hAnsi="Abadi" w:cs="*Arial-7951-Identity-H"/>
          <w:color w:val="0D0C0F"/>
          <w:sz w:val="21"/>
          <w:szCs w:val="21"/>
        </w:rPr>
      </w:pPr>
      <w:r w:rsidRPr="00360EC2">
        <w:rPr>
          <w:rFonts w:ascii="Abadi" w:hAnsi="Abadi" w:cs="*Arial-7951-Identity-H"/>
          <w:color w:val="0D0C0F"/>
          <w:sz w:val="21"/>
          <w:szCs w:val="21"/>
        </w:rPr>
        <w:t>Con fundamento en los artículos 59 de la Ley de Fiscalización Superior del</w:t>
      </w:r>
      <w:r>
        <w:rPr>
          <w:rFonts w:ascii="Abadi" w:hAnsi="Abadi" w:cs="*Arial-7951-Identity-H"/>
          <w:color w:val="0D0C0F"/>
          <w:sz w:val="21"/>
          <w:szCs w:val="21"/>
        </w:rPr>
        <w:t xml:space="preserve"> </w:t>
      </w:r>
      <w:r w:rsidRPr="00360EC2">
        <w:rPr>
          <w:rFonts w:ascii="Abadi" w:hAnsi="Abadi" w:cs="*Arial-7951-Identity-H"/>
          <w:color w:val="0D0C0F"/>
          <w:sz w:val="21"/>
          <w:szCs w:val="21"/>
        </w:rPr>
        <w:t>Estado de Guanajuato y 26 del Reglamento de dicha Ley, el informe de resultados</w:t>
      </w:r>
      <w:r>
        <w:rPr>
          <w:rFonts w:ascii="Abadi" w:hAnsi="Abadi" w:cs="*Arial-7951-Identity-H"/>
          <w:color w:val="0D0C0F"/>
          <w:sz w:val="21"/>
          <w:szCs w:val="21"/>
        </w:rPr>
        <w:t xml:space="preserve"> </w:t>
      </w:r>
      <w:r w:rsidRPr="00360EC2">
        <w:rPr>
          <w:rFonts w:ascii="Abadi" w:hAnsi="Abadi" w:cs="*Arial-7951-Identity-H"/>
          <w:color w:val="0D0C0F"/>
          <w:sz w:val="21"/>
          <w:szCs w:val="21"/>
        </w:rPr>
        <w:t>contiene los siguientes apartados: Introducción; Resultado del Proceso de</w:t>
      </w:r>
      <w:r>
        <w:rPr>
          <w:rFonts w:ascii="Abadi" w:hAnsi="Abadi" w:cs="*Arial-7951-Identity-H"/>
          <w:color w:val="0D0C0F"/>
          <w:sz w:val="21"/>
          <w:szCs w:val="21"/>
        </w:rPr>
        <w:t xml:space="preserve"> </w:t>
      </w:r>
      <w:r w:rsidRPr="00360EC2">
        <w:rPr>
          <w:rFonts w:ascii="Abadi" w:hAnsi="Abadi" w:cs="*Arial-7951-Identity-H"/>
          <w:color w:val="0D0C0F"/>
          <w:sz w:val="21"/>
          <w:szCs w:val="21"/>
        </w:rPr>
        <w:t>Fiscalización; Resumen de las Recomendaciones; y Conclusión General.</w:t>
      </w:r>
    </w:p>
    <w:p w14:paraId="028DAD8B" w14:textId="77777777" w:rsidR="004A6831" w:rsidRDefault="004A6831" w:rsidP="004A6831">
      <w:pPr>
        <w:autoSpaceDE w:val="0"/>
        <w:autoSpaceDN w:val="0"/>
        <w:adjustRightInd w:val="0"/>
        <w:jc w:val="both"/>
        <w:rPr>
          <w:rFonts w:ascii="Abadi" w:hAnsi="Abadi" w:cs="*Arial-Bold-7952-Identity-H"/>
          <w:b/>
          <w:bCs/>
          <w:color w:val="0C0B10"/>
          <w:sz w:val="21"/>
          <w:szCs w:val="21"/>
        </w:rPr>
      </w:pPr>
    </w:p>
    <w:p w14:paraId="104770B6" w14:textId="77777777" w:rsidR="004A6831" w:rsidRDefault="004A6831" w:rsidP="004A6831">
      <w:pPr>
        <w:autoSpaceDE w:val="0"/>
        <w:autoSpaceDN w:val="0"/>
        <w:adjustRightInd w:val="0"/>
        <w:ind w:firstLine="708"/>
        <w:jc w:val="both"/>
        <w:rPr>
          <w:rFonts w:ascii="Abadi" w:hAnsi="Abadi" w:cs="*Arial-Bold-7952-Identity-H"/>
          <w:b/>
          <w:bCs/>
          <w:color w:val="0C0B10"/>
          <w:sz w:val="21"/>
          <w:szCs w:val="21"/>
        </w:rPr>
      </w:pPr>
      <w:r w:rsidRPr="00360EC2">
        <w:rPr>
          <w:rFonts w:ascii="Abadi" w:hAnsi="Abadi" w:cs="*Arial-Bold-7952-Identity-H"/>
          <w:b/>
          <w:bCs/>
          <w:color w:val="0C0B10"/>
          <w:sz w:val="21"/>
          <w:szCs w:val="21"/>
        </w:rPr>
        <w:t>a) Introducción.</w:t>
      </w:r>
    </w:p>
    <w:p w14:paraId="1FBBA6FA" w14:textId="77777777" w:rsidR="004A6831" w:rsidRPr="00360EC2" w:rsidRDefault="004A6831" w:rsidP="004A6831">
      <w:pPr>
        <w:autoSpaceDE w:val="0"/>
        <w:autoSpaceDN w:val="0"/>
        <w:adjustRightInd w:val="0"/>
        <w:jc w:val="both"/>
        <w:rPr>
          <w:rFonts w:ascii="Abadi" w:hAnsi="Abadi" w:cs="*Arial-Bold-7952-Identity-H"/>
          <w:b/>
          <w:bCs/>
          <w:color w:val="0C0B10"/>
          <w:sz w:val="21"/>
          <w:szCs w:val="21"/>
        </w:rPr>
      </w:pPr>
    </w:p>
    <w:p w14:paraId="7D01796B" w14:textId="77777777" w:rsidR="004A6831" w:rsidRDefault="004A6831" w:rsidP="004A6831">
      <w:pPr>
        <w:autoSpaceDE w:val="0"/>
        <w:autoSpaceDN w:val="0"/>
        <w:adjustRightInd w:val="0"/>
        <w:ind w:firstLine="708"/>
        <w:jc w:val="both"/>
        <w:rPr>
          <w:rFonts w:ascii="Abadi" w:hAnsi="Abadi" w:cs="*Arial-7951-Identity-H"/>
          <w:color w:val="0C0C0E"/>
          <w:sz w:val="21"/>
          <w:szCs w:val="21"/>
        </w:rPr>
      </w:pPr>
      <w:r w:rsidRPr="00360EC2">
        <w:rPr>
          <w:rFonts w:ascii="Abadi" w:hAnsi="Abadi" w:cs="*Arial-7951-Identity-H"/>
          <w:color w:val="0C0C0E"/>
          <w:sz w:val="21"/>
          <w:szCs w:val="21"/>
        </w:rPr>
        <w:t>Por lo que se refiere a esta parte, se señala que las auditorias de</w:t>
      </w:r>
      <w:r>
        <w:rPr>
          <w:rFonts w:ascii="Abadi" w:hAnsi="Abadi" w:cs="*Arial-7951-Identity-H"/>
          <w:color w:val="0C0C0E"/>
          <w:sz w:val="21"/>
          <w:szCs w:val="21"/>
        </w:rPr>
        <w:t xml:space="preserve"> </w:t>
      </w:r>
      <w:r w:rsidRPr="00360EC2">
        <w:rPr>
          <w:rFonts w:ascii="Abadi" w:hAnsi="Abadi" w:cs="*Arial-7951-Identity-H"/>
          <w:color w:val="0C0C0E"/>
          <w:sz w:val="21"/>
          <w:szCs w:val="21"/>
        </w:rPr>
        <w:t>desempeño son actos de fiscalización, esa es su esencia.</w:t>
      </w:r>
    </w:p>
    <w:p w14:paraId="3C9BEB58" w14:textId="77777777" w:rsidR="004A6831" w:rsidRPr="00360EC2" w:rsidRDefault="004A6831" w:rsidP="004A6831">
      <w:pPr>
        <w:autoSpaceDE w:val="0"/>
        <w:autoSpaceDN w:val="0"/>
        <w:adjustRightInd w:val="0"/>
        <w:jc w:val="both"/>
        <w:rPr>
          <w:rFonts w:ascii="Abadi" w:hAnsi="Abadi" w:cs="*Arial-7951-Identity-H"/>
          <w:color w:val="0C0C0E"/>
          <w:sz w:val="21"/>
          <w:szCs w:val="21"/>
        </w:rPr>
      </w:pPr>
    </w:p>
    <w:p w14:paraId="44A050FB" w14:textId="77777777" w:rsidR="004A6831" w:rsidRDefault="004A6831" w:rsidP="004A6831">
      <w:pPr>
        <w:autoSpaceDE w:val="0"/>
        <w:autoSpaceDN w:val="0"/>
        <w:adjustRightInd w:val="0"/>
        <w:ind w:firstLine="708"/>
        <w:jc w:val="both"/>
        <w:rPr>
          <w:rFonts w:ascii="Abadi" w:hAnsi="Abadi" w:cs="*Arial-7951-Identity-H"/>
          <w:color w:val="0C0C0F"/>
          <w:sz w:val="21"/>
          <w:szCs w:val="21"/>
        </w:rPr>
      </w:pPr>
      <w:r w:rsidRPr="00360EC2">
        <w:rPr>
          <w:rFonts w:ascii="Abadi" w:hAnsi="Abadi" w:cs="*Arial-7951-Identity-H"/>
          <w:color w:val="0C0C0F"/>
          <w:sz w:val="21"/>
          <w:szCs w:val="21"/>
        </w:rPr>
        <w:t>Es así, que la naturaleza técnico</w:t>
      </w:r>
      <w:r w:rsidRPr="00360EC2">
        <w:rPr>
          <w:rFonts w:ascii="Abadi" w:hAnsi="Abadi" w:cs="*Arial-7951-Identity-H"/>
          <w:color w:val="2B282F"/>
          <w:sz w:val="21"/>
          <w:szCs w:val="21"/>
        </w:rPr>
        <w:t>-</w:t>
      </w:r>
      <w:r w:rsidRPr="00360EC2">
        <w:rPr>
          <w:rFonts w:ascii="Abadi" w:hAnsi="Abadi" w:cs="*Arial-7951-Identity-H"/>
          <w:color w:val="0C0C0F"/>
          <w:sz w:val="21"/>
          <w:szCs w:val="21"/>
        </w:rPr>
        <w:t>jurídica</w:t>
      </w:r>
      <w:r w:rsidRPr="00360EC2">
        <w:rPr>
          <w:rFonts w:ascii="Abadi" w:hAnsi="Abadi" w:cs="*Arial-7951-Identity-H"/>
          <w:color w:val="6C6C6C"/>
          <w:sz w:val="21"/>
          <w:szCs w:val="21"/>
        </w:rPr>
        <w:t xml:space="preserve">· </w:t>
      </w:r>
      <w:r w:rsidRPr="00360EC2">
        <w:rPr>
          <w:rFonts w:ascii="Abadi" w:hAnsi="Abadi" w:cs="*Arial-7951-Identity-H"/>
          <w:color w:val="0C0C0F"/>
          <w:sz w:val="21"/>
          <w:szCs w:val="21"/>
        </w:rPr>
        <w:t>de las auditorias de desempeño</w:t>
      </w:r>
      <w:r>
        <w:rPr>
          <w:rFonts w:ascii="Abadi" w:hAnsi="Abadi" w:cs="*Arial-7951-Identity-H"/>
          <w:color w:val="0C0C0F"/>
          <w:sz w:val="21"/>
          <w:szCs w:val="21"/>
        </w:rPr>
        <w:t xml:space="preserve"> </w:t>
      </w:r>
      <w:r w:rsidRPr="00360EC2">
        <w:rPr>
          <w:rFonts w:ascii="Abadi" w:hAnsi="Abadi" w:cs="*Arial-7951-Identity-H"/>
          <w:color w:val="0C0C0F"/>
          <w:sz w:val="21"/>
          <w:szCs w:val="21"/>
        </w:rPr>
        <w:t>difiere de otras auditorías, pues el resultado se expresa con la emisión, en su</w:t>
      </w:r>
      <w:r>
        <w:rPr>
          <w:rFonts w:ascii="Abadi" w:hAnsi="Abadi" w:cs="*Arial-7951-Identity-H"/>
          <w:color w:val="0C0C0F"/>
          <w:sz w:val="21"/>
          <w:szCs w:val="21"/>
        </w:rPr>
        <w:t xml:space="preserve"> </w:t>
      </w:r>
      <w:r w:rsidRPr="00360EC2">
        <w:rPr>
          <w:rFonts w:ascii="Abadi" w:hAnsi="Abadi" w:cs="*Arial-7951-Identity-H"/>
          <w:color w:val="0C0C0F"/>
          <w:sz w:val="21"/>
          <w:szCs w:val="21"/>
        </w:rPr>
        <w:t>caso, de exclusivamente recomendaciones, distinguiéndose de otros actos de</w:t>
      </w:r>
      <w:r>
        <w:rPr>
          <w:rFonts w:ascii="Abadi" w:hAnsi="Abadi" w:cs="*Arial-7951-Identity-H"/>
          <w:color w:val="0C0C0F"/>
          <w:sz w:val="21"/>
          <w:szCs w:val="21"/>
        </w:rPr>
        <w:t xml:space="preserve"> </w:t>
      </w:r>
      <w:r w:rsidRPr="00360EC2">
        <w:rPr>
          <w:rFonts w:ascii="Abadi" w:hAnsi="Abadi" w:cs="*Arial-7951-Identity-H"/>
          <w:color w:val="0C0C0F"/>
          <w:sz w:val="21"/>
          <w:szCs w:val="21"/>
        </w:rPr>
        <w:t>fiscalización o control que pueden arrojar observaciones. Se trata de una tarea</w:t>
      </w:r>
      <w:r>
        <w:rPr>
          <w:rFonts w:ascii="Abadi" w:hAnsi="Abadi" w:cs="*Arial-7951-Identity-H"/>
          <w:color w:val="0C0C0F"/>
          <w:sz w:val="21"/>
          <w:szCs w:val="21"/>
        </w:rPr>
        <w:t xml:space="preserve"> </w:t>
      </w:r>
      <w:r w:rsidRPr="00360EC2">
        <w:rPr>
          <w:rFonts w:ascii="Abadi" w:hAnsi="Abadi" w:cs="*Arial-7951-Identity-H"/>
          <w:color w:val="0C0C0F"/>
          <w:sz w:val="21"/>
          <w:szCs w:val="21"/>
        </w:rPr>
        <w:t>reglada y sistémica de evaluación para la mejora continua, detectando</w:t>
      </w:r>
      <w:r>
        <w:rPr>
          <w:rFonts w:ascii="Abadi" w:hAnsi="Abadi" w:cs="*Arial-7951-Identity-H"/>
          <w:color w:val="0C0C0F"/>
          <w:sz w:val="21"/>
          <w:szCs w:val="21"/>
        </w:rPr>
        <w:t xml:space="preserve"> </w:t>
      </w:r>
      <w:r w:rsidRPr="00360EC2">
        <w:rPr>
          <w:rFonts w:ascii="Abadi" w:hAnsi="Abadi" w:cs="*Arial-7951-Identity-H"/>
          <w:color w:val="0C0C0F"/>
          <w:sz w:val="21"/>
          <w:szCs w:val="21"/>
        </w:rPr>
        <w:t>debilidades, áreas de oportunidad, amenaz</w:t>
      </w:r>
      <w:r>
        <w:rPr>
          <w:rFonts w:ascii="Abadi" w:eastAsia="Abadi" w:hAnsi="Abadi" w:cs="Abadi"/>
          <w:color w:val="0C0C0F"/>
          <w:sz w:val="21"/>
          <w:szCs w:val="21"/>
        </w:rPr>
        <w:t>a</w:t>
      </w:r>
      <w:r w:rsidRPr="00360EC2">
        <w:rPr>
          <w:rFonts w:ascii="Abadi" w:hAnsi="Abadi" w:cs="*Arial-7951-Identity-H"/>
          <w:color w:val="0C0C0F"/>
          <w:sz w:val="21"/>
          <w:szCs w:val="21"/>
        </w:rPr>
        <w:t>s e incluso fortalezas en el ámbito</w:t>
      </w:r>
      <w:r>
        <w:rPr>
          <w:rFonts w:ascii="Abadi" w:hAnsi="Abadi" w:cs="*Arial-7951-Identity-H"/>
          <w:color w:val="0C0C0F"/>
          <w:sz w:val="21"/>
          <w:szCs w:val="21"/>
        </w:rPr>
        <w:t xml:space="preserve"> </w:t>
      </w:r>
      <w:r w:rsidRPr="00360EC2">
        <w:rPr>
          <w:rFonts w:ascii="Abadi" w:hAnsi="Abadi" w:cs="*Arial-7951-Identity-H"/>
          <w:color w:val="0C0C0F"/>
          <w:sz w:val="21"/>
          <w:szCs w:val="21"/>
        </w:rPr>
        <w:t>público, pero promoviendo además acciones concretas que permitan superar o</w:t>
      </w:r>
      <w:r>
        <w:rPr>
          <w:rFonts w:ascii="Abadi" w:hAnsi="Abadi" w:cs="*Arial-7951-Identity-H"/>
          <w:color w:val="0C0C0F"/>
          <w:sz w:val="21"/>
          <w:szCs w:val="21"/>
        </w:rPr>
        <w:t xml:space="preserve"> </w:t>
      </w:r>
      <w:r w:rsidRPr="00360EC2">
        <w:rPr>
          <w:rFonts w:ascii="Abadi" w:hAnsi="Abadi" w:cs="*Arial-7951-Identity-H"/>
          <w:color w:val="0C0C0F"/>
          <w:sz w:val="21"/>
          <w:szCs w:val="21"/>
        </w:rPr>
        <w:t>potenciar las mismas, dando adicionalmente seguimiento a su eventual</w:t>
      </w:r>
      <w:r>
        <w:rPr>
          <w:rFonts w:ascii="Abadi" w:hAnsi="Abadi" w:cs="*Arial-7951-Identity-H"/>
          <w:color w:val="0C0C0F"/>
          <w:sz w:val="21"/>
          <w:szCs w:val="21"/>
        </w:rPr>
        <w:t xml:space="preserve"> </w:t>
      </w:r>
      <w:r w:rsidRPr="00360EC2">
        <w:rPr>
          <w:rFonts w:ascii="Abadi" w:hAnsi="Abadi" w:cs="*Arial-7951-Identity-H"/>
          <w:color w:val="0C0C0F"/>
          <w:sz w:val="21"/>
          <w:szCs w:val="21"/>
        </w:rPr>
        <w:t>implementación por los sujetos públicos responsables.</w:t>
      </w:r>
    </w:p>
    <w:p w14:paraId="554F87FF" w14:textId="77777777" w:rsidR="004A6831" w:rsidRPr="00360EC2" w:rsidRDefault="004A6831" w:rsidP="004A6831">
      <w:pPr>
        <w:autoSpaceDE w:val="0"/>
        <w:autoSpaceDN w:val="0"/>
        <w:adjustRightInd w:val="0"/>
        <w:jc w:val="both"/>
        <w:rPr>
          <w:rFonts w:ascii="Abadi" w:hAnsi="Abadi" w:cs="*Arial-7951-Identity-H"/>
          <w:color w:val="0C0C0F"/>
          <w:sz w:val="21"/>
          <w:szCs w:val="21"/>
        </w:rPr>
      </w:pPr>
    </w:p>
    <w:p w14:paraId="6721212B" w14:textId="77777777" w:rsidR="004A6831" w:rsidRDefault="004A6831" w:rsidP="004A6831">
      <w:pPr>
        <w:autoSpaceDE w:val="0"/>
        <w:autoSpaceDN w:val="0"/>
        <w:adjustRightInd w:val="0"/>
        <w:ind w:firstLine="708"/>
        <w:jc w:val="both"/>
        <w:rPr>
          <w:rFonts w:ascii="Abadi" w:hAnsi="Abadi" w:cs="*Arial-7951-Identity-H"/>
          <w:color w:val="0D0D10"/>
          <w:sz w:val="21"/>
          <w:szCs w:val="21"/>
        </w:rPr>
      </w:pPr>
      <w:r w:rsidRPr="00360EC2">
        <w:rPr>
          <w:rFonts w:ascii="Abadi" w:hAnsi="Abadi" w:cs="*Arial-7951-Identity-H"/>
          <w:color w:val="0D0D10"/>
          <w:sz w:val="21"/>
          <w:szCs w:val="21"/>
        </w:rPr>
        <w:t>En dichas auditorias, con independencia de su enfoque, se debe planear</w:t>
      </w:r>
      <w:r>
        <w:rPr>
          <w:rFonts w:ascii="Abadi" w:hAnsi="Abadi" w:cs="*Arial-7951-Identity-H"/>
          <w:color w:val="0D0D10"/>
          <w:sz w:val="21"/>
          <w:szCs w:val="21"/>
        </w:rPr>
        <w:t xml:space="preserve"> </w:t>
      </w:r>
      <w:r w:rsidRPr="00360EC2">
        <w:rPr>
          <w:rFonts w:ascii="Abadi" w:hAnsi="Abadi" w:cs="*Arial-7951-Identity-H"/>
          <w:color w:val="0D0D10"/>
          <w:sz w:val="21"/>
          <w:szCs w:val="21"/>
        </w:rPr>
        <w:t>con toda claridad y con base en la evidencia competente, suficiente, pertinente,</w:t>
      </w:r>
      <w:r>
        <w:rPr>
          <w:rFonts w:ascii="Abadi" w:hAnsi="Abadi" w:cs="*Arial-7951-Identity-H"/>
          <w:color w:val="0D0D10"/>
          <w:sz w:val="21"/>
          <w:szCs w:val="21"/>
        </w:rPr>
        <w:t xml:space="preserve"> </w:t>
      </w:r>
      <w:r w:rsidRPr="00360EC2">
        <w:rPr>
          <w:rFonts w:ascii="Abadi" w:hAnsi="Abadi" w:cs="*Arial-7951-Identity-H"/>
          <w:color w:val="0D0D10"/>
          <w:sz w:val="21"/>
          <w:szCs w:val="21"/>
        </w:rPr>
        <w:t>relevante y oportuna, las conclusiones del proceso de fiscalización,</w:t>
      </w:r>
      <w:r>
        <w:rPr>
          <w:rFonts w:ascii="Abadi" w:hAnsi="Abadi" w:cs="*Arial-7951-Identity-H"/>
          <w:color w:val="0D0D10"/>
          <w:sz w:val="21"/>
          <w:szCs w:val="21"/>
        </w:rPr>
        <w:t xml:space="preserve"> </w:t>
      </w:r>
      <w:r w:rsidRPr="00360EC2">
        <w:rPr>
          <w:rFonts w:ascii="Abadi" w:hAnsi="Abadi" w:cs="*Arial-7951-Identity-H"/>
          <w:color w:val="0D0D10"/>
          <w:sz w:val="21"/>
          <w:szCs w:val="21"/>
        </w:rPr>
        <w:t>puntualizándose las recomendaciones formuladas en su caso.</w:t>
      </w:r>
    </w:p>
    <w:p w14:paraId="7D025F29" w14:textId="77777777" w:rsidR="004A6831" w:rsidRPr="00360EC2" w:rsidRDefault="004A6831" w:rsidP="004A6831">
      <w:pPr>
        <w:autoSpaceDE w:val="0"/>
        <w:autoSpaceDN w:val="0"/>
        <w:adjustRightInd w:val="0"/>
        <w:jc w:val="both"/>
        <w:rPr>
          <w:rFonts w:ascii="Abadi" w:hAnsi="Abadi" w:cs="*Arial-7951-Identity-H"/>
          <w:color w:val="0D0D10"/>
          <w:sz w:val="21"/>
          <w:szCs w:val="21"/>
        </w:rPr>
      </w:pPr>
    </w:p>
    <w:p w14:paraId="5F09A15A" w14:textId="77777777" w:rsidR="004A6831" w:rsidRPr="00360EC2" w:rsidRDefault="004A6831" w:rsidP="004A6831">
      <w:pPr>
        <w:autoSpaceDE w:val="0"/>
        <w:autoSpaceDN w:val="0"/>
        <w:adjustRightInd w:val="0"/>
        <w:ind w:firstLine="708"/>
        <w:jc w:val="both"/>
        <w:rPr>
          <w:rFonts w:ascii="Abadi" w:hAnsi="Abadi" w:cs="*Arial-7951-Identity-H"/>
          <w:color w:val="0C0C0E"/>
          <w:sz w:val="21"/>
          <w:szCs w:val="21"/>
        </w:rPr>
      </w:pPr>
      <w:r w:rsidRPr="00360EC2">
        <w:rPr>
          <w:rFonts w:ascii="Abadi" w:hAnsi="Abadi" w:cs="*Arial-7951-Identity-H"/>
          <w:color w:val="0C0C0E"/>
          <w:sz w:val="21"/>
          <w:szCs w:val="21"/>
        </w:rPr>
        <w:t>Respecto al marco competencia!, se precisa la normatividad aplicable a la</w:t>
      </w:r>
      <w:r>
        <w:rPr>
          <w:rFonts w:ascii="Abadi" w:hAnsi="Abadi" w:cs="*Arial-7951-Identity-H"/>
          <w:color w:val="0C0C0E"/>
          <w:sz w:val="21"/>
          <w:szCs w:val="21"/>
        </w:rPr>
        <w:t xml:space="preserve"> </w:t>
      </w:r>
      <w:r w:rsidRPr="00360EC2">
        <w:rPr>
          <w:rFonts w:ascii="Abadi" w:hAnsi="Abadi" w:cs="*Arial-7951-Identity-H"/>
          <w:color w:val="0C0C0E"/>
          <w:sz w:val="21"/>
          <w:szCs w:val="21"/>
        </w:rPr>
        <w:t>función de fiscalización a cargo del Poder Legislativo del Estado, siendo esta:</w:t>
      </w:r>
      <w:r>
        <w:rPr>
          <w:rFonts w:ascii="Abadi" w:hAnsi="Abadi" w:cs="*Arial-7951-Identity-H"/>
          <w:color w:val="0C0C0E"/>
          <w:sz w:val="21"/>
          <w:szCs w:val="21"/>
        </w:rPr>
        <w:t xml:space="preserve"> </w:t>
      </w:r>
      <w:r w:rsidRPr="00360EC2">
        <w:rPr>
          <w:rFonts w:ascii="Abadi" w:hAnsi="Abadi" w:cs="*Arial-7951-Identity-H"/>
          <w:color w:val="0C0C0E"/>
          <w:sz w:val="21"/>
          <w:szCs w:val="21"/>
        </w:rPr>
        <w:t xml:space="preserve">artículos 116, fracción </w:t>
      </w:r>
      <w:r>
        <w:rPr>
          <w:rFonts w:ascii="Abadi" w:hAnsi="Abadi" w:cs="*Arial-7951-Identity-H"/>
          <w:color w:val="0C0C0E"/>
          <w:sz w:val="21"/>
          <w:szCs w:val="21"/>
        </w:rPr>
        <w:t>II</w:t>
      </w:r>
      <w:r w:rsidRPr="00360EC2">
        <w:rPr>
          <w:rFonts w:ascii="Abadi" w:hAnsi="Abadi" w:cs="*Arial-7951-Identity-H"/>
          <w:color w:val="0C0C0E"/>
          <w:sz w:val="21"/>
          <w:szCs w:val="21"/>
        </w:rPr>
        <w:t xml:space="preserve"> y 134 de la Constitución Política de los Estados Unidos</w:t>
      </w:r>
      <w:r>
        <w:rPr>
          <w:rFonts w:ascii="Abadi" w:hAnsi="Abadi" w:cs="*Arial-7951-Identity-H"/>
          <w:color w:val="0C0C0E"/>
          <w:sz w:val="21"/>
          <w:szCs w:val="21"/>
        </w:rPr>
        <w:t xml:space="preserve"> </w:t>
      </w:r>
      <w:r w:rsidRPr="00360EC2">
        <w:rPr>
          <w:rFonts w:ascii="Abadi" w:hAnsi="Abadi" w:cs="*Arial-7951-Identity-H"/>
          <w:color w:val="0C0C0E"/>
          <w:sz w:val="21"/>
          <w:szCs w:val="21"/>
        </w:rPr>
        <w:t xml:space="preserve">Mexicanos; 2, párrafo primero, 63, fracción XIX y 66, fracciones </w:t>
      </w:r>
      <w:r>
        <w:rPr>
          <w:rFonts w:ascii="Abadi" w:hAnsi="Abadi" w:cs="*Arial-7951-Identity-H"/>
          <w:color w:val="0C0C0E"/>
          <w:sz w:val="21"/>
          <w:szCs w:val="21"/>
        </w:rPr>
        <w:t>I</w:t>
      </w:r>
      <w:r w:rsidRPr="00360EC2">
        <w:rPr>
          <w:rFonts w:ascii="Abadi" w:hAnsi="Abadi" w:cs="*Arial-7951-Identity-H"/>
          <w:color w:val="0C0C0E"/>
          <w:sz w:val="21"/>
          <w:szCs w:val="21"/>
        </w:rPr>
        <w:t xml:space="preserve">, </w:t>
      </w:r>
      <w:r>
        <w:rPr>
          <w:rFonts w:ascii="Abadi" w:hAnsi="Abadi" w:cs="*Arial-7951-Identity-H"/>
          <w:color w:val="0C0C0E"/>
          <w:sz w:val="21"/>
          <w:szCs w:val="21"/>
        </w:rPr>
        <w:t>II</w:t>
      </w:r>
      <w:r w:rsidRPr="00360EC2">
        <w:rPr>
          <w:rFonts w:ascii="Abadi" w:hAnsi="Abadi" w:cs="*Arial-7951-Identity-H"/>
          <w:color w:val="0C0C0E"/>
          <w:sz w:val="21"/>
          <w:szCs w:val="21"/>
        </w:rPr>
        <w:t xml:space="preserve"> y IV de la</w:t>
      </w:r>
      <w:r>
        <w:rPr>
          <w:rFonts w:ascii="Abadi" w:hAnsi="Abadi" w:cs="*Arial-7951-Identity-H"/>
          <w:color w:val="0C0C0E"/>
          <w:sz w:val="21"/>
          <w:szCs w:val="21"/>
        </w:rPr>
        <w:t xml:space="preserve"> </w:t>
      </w:r>
      <w:r w:rsidRPr="00360EC2">
        <w:rPr>
          <w:rFonts w:ascii="Abadi" w:hAnsi="Abadi" w:cs="*Arial-7951-Identity-H"/>
          <w:color w:val="0C0C0E"/>
          <w:sz w:val="21"/>
          <w:szCs w:val="21"/>
        </w:rPr>
        <w:t xml:space="preserve">Constitución </w:t>
      </w:r>
      <w:r>
        <w:rPr>
          <w:rFonts w:ascii="Abadi" w:hAnsi="Abadi" w:cs="*Arial-7951-Identity-H"/>
          <w:color w:val="0C0C0E"/>
          <w:sz w:val="21"/>
          <w:szCs w:val="21"/>
        </w:rPr>
        <w:t>P</w:t>
      </w:r>
      <w:r w:rsidRPr="00360EC2">
        <w:rPr>
          <w:rFonts w:ascii="Abadi" w:hAnsi="Abadi" w:cs="*Arial-7951-Identity-H"/>
          <w:color w:val="0C0C0E"/>
          <w:sz w:val="21"/>
          <w:szCs w:val="21"/>
        </w:rPr>
        <w:t xml:space="preserve">olítica para el Estado de Guanajuato; 1, 2, fracciones II y </w:t>
      </w:r>
      <w:r>
        <w:rPr>
          <w:rFonts w:ascii="Abadi" w:hAnsi="Abadi" w:cs="*Arial-7951-Identity-H"/>
          <w:color w:val="0C0C0E"/>
          <w:sz w:val="21"/>
          <w:szCs w:val="21"/>
        </w:rPr>
        <w:t>III</w:t>
      </w:r>
      <w:r w:rsidRPr="00360EC2">
        <w:rPr>
          <w:rFonts w:ascii="Abadi" w:hAnsi="Abadi" w:cs="*Arial-7951-Identity-H"/>
          <w:color w:val="0C0C0E"/>
          <w:sz w:val="21"/>
          <w:szCs w:val="21"/>
        </w:rPr>
        <w:t>, 3,</w:t>
      </w:r>
      <w:r>
        <w:rPr>
          <w:rFonts w:ascii="Abadi" w:hAnsi="Abadi" w:cs="*Arial-7951-Identity-H"/>
          <w:color w:val="0C0C0E"/>
          <w:sz w:val="21"/>
          <w:szCs w:val="21"/>
        </w:rPr>
        <w:t xml:space="preserve"> </w:t>
      </w:r>
      <w:r w:rsidRPr="00360EC2">
        <w:rPr>
          <w:rFonts w:ascii="Abadi" w:hAnsi="Abadi" w:cs="*Arial-7951-Identity-H"/>
          <w:color w:val="0C0C0E"/>
          <w:sz w:val="21"/>
          <w:szCs w:val="21"/>
        </w:rPr>
        <w:t xml:space="preserve">fracciones </w:t>
      </w:r>
      <w:r>
        <w:rPr>
          <w:rFonts w:ascii="Abadi" w:hAnsi="Abadi" w:cs="*Arial-7951-Identity-H"/>
          <w:color w:val="0C0C0E"/>
          <w:sz w:val="21"/>
          <w:szCs w:val="21"/>
        </w:rPr>
        <w:t>I</w:t>
      </w:r>
      <w:r w:rsidRPr="00360EC2">
        <w:rPr>
          <w:rFonts w:ascii="Abadi" w:hAnsi="Abadi" w:cs="*Arial-7951-Identity-H"/>
          <w:color w:val="0C0C0E"/>
          <w:sz w:val="21"/>
          <w:szCs w:val="21"/>
        </w:rPr>
        <w:t xml:space="preserve">, </w:t>
      </w:r>
      <w:r>
        <w:rPr>
          <w:rFonts w:ascii="Abadi" w:hAnsi="Abadi" w:cs="*Arial-7951-Identity-H"/>
          <w:color w:val="0C0C0E"/>
          <w:sz w:val="21"/>
          <w:szCs w:val="21"/>
        </w:rPr>
        <w:t>II</w:t>
      </w:r>
      <w:r w:rsidRPr="00360EC2">
        <w:rPr>
          <w:rFonts w:ascii="Abadi" w:hAnsi="Abadi" w:cs="*Arial-7951-Identity-H"/>
          <w:color w:val="0C0C0E"/>
          <w:sz w:val="21"/>
          <w:szCs w:val="21"/>
        </w:rPr>
        <w:t xml:space="preserve">, V y XI, 4, 6, 7, 11, 14, 16, 24, 25, 26, 30, 31, 37, fracción </w:t>
      </w:r>
      <w:r>
        <w:rPr>
          <w:rFonts w:ascii="Abadi" w:hAnsi="Abadi" w:cs="*Arial-7951-Identity-H"/>
          <w:color w:val="0C0C0E"/>
          <w:sz w:val="21"/>
          <w:szCs w:val="21"/>
        </w:rPr>
        <w:t>III</w:t>
      </w:r>
      <w:r w:rsidRPr="00360EC2">
        <w:rPr>
          <w:rFonts w:ascii="Abadi" w:hAnsi="Abadi" w:cs="*Arial-7951-Identity-H"/>
          <w:color w:val="0C0C0E"/>
          <w:sz w:val="21"/>
          <w:szCs w:val="21"/>
        </w:rPr>
        <w:t>, 56, 57,</w:t>
      </w:r>
      <w:r>
        <w:rPr>
          <w:rFonts w:ascii="Abadi" w:hAnsi="Abadi" w:cs="*Arial-7951-Identity-H"/>
          <w:color w:val="0C0C0E"/>
          <w:sz w:val="21"/>
          <w:szCs w:val="21"/>
        </w:rPr>
        <w:t xml:space="preserve"> </w:t>
      </w:r>
      <w:r w:rsidRPr="00360EC2">
        <w:rPr>
          <w:rFonts w:ascii="Abadi" w:hAnsi="Abadi" w:cs="*Arial-7951-Identity-H"/>
          <w:color w:val="0C0C0E"/>
          <w:sz w:val="21"/>
          <w:szCs w:val="21"/>
        </w:rPr>
        <w:t xml:space="preserve">58, 59, 60, 82, fracciones </w:t>
      </w:r>
      <w:r>
        <w:rPr>
          <w:rFonts w:ascii="Abadi" w:hAnsi="Abadi" w:cs="*Arial-7951-Identity-H"/>
          <w:color w:val="0C0C0E"/>
          <w:sz w:val="21"/>
          <w:szCs w:val="21"/>
        </w:rPr>
        <w:t>III</w:t>
      </w:r>
      <w:r w:rsidRPr="00360EC2">
        <w:rPr>
          <w:rFonts w:ascii="Abadi" w:hAnsi="Abadi" w:cs="*Arial-7951-Identity-H"/>
          <w:color w:val="0C0C0E"/>
          <w:sz w:val="21"/>
          <w:szCs w:val="21"/>
        </w:rPr>
        <w:t xml:space="preserve">, IV, </w:t>
      </w:r>
      <w:r w:rsidRPr="00360EC2">
        <w:rPr>
          <w:rFonts w:ascii="Abadi" w:hAnsi="Abadi" w:cs="*Microsoft Sans Serif-Bold-7954"/>
          <w:color w:val="0C0C0E"/>
          <w:sz w:val="21"/>
          <w:szCs w:val="21"/>
        </w:rPr>
        <w:t xml:space="preserve">XXIX, XXXII </w:t>
      </w:r>
      <w:r w:rsidRPr="00360EC2">
        <w:rPr>
          <w:rFonts w:ascii="Abadi" w:hAnsi="Abadi" w:cs="*Arial-7951-Identity-H"/>
          <w:color w:val="0C0C0E"/>
          <w:sz w:val="21"/>
          <w:szCs w:val="21"/>
        </w:rPr>
        <w:t xml:space="preserve">y </w:t>
      </w:r>
      <w:r w:rsidRPr="00360EC2">
        <w:rPr>
          <w:rFonts w:ascii="Abadi" w:hAnsi="Abadi" w:cs="*Microsoft Sans Serif-Bold-7954"/>
          <w:color w:val="0C0C0E"/>
          <w:sz w:val="21"/>
          <w:szCs w:val="21"/>
        </w:rPr>
        <w:t xml:space="preserve">XXXV </w:t>
      </w:r>
      <w:r w:rsidRPr="00360EC2">
        <w:rPr>
          <w:rFonts w:ascii="Abadi" w:hAnsi="Abadi" w:cs="*Arial-7951-Identity-H"/>
          <w:color w:val="0C0C0E"/>
          <w:sz w:val="21"/>
          <w:szCs w:val="21"/>
        </w:rPr>
        <w:t>y 87, fracciones V, XII y</w:t>
      </w:r>
      <w:r>
        <w:rPr>
          <w:rFonts w:ascii="Abadi" w:hAnsi="Abadi" w:cs="*Arial-7951-Identity-H"/>
          <w:color w:val="0C0C0E"/>
          <w:sz w:val="21"/>
          <w:szCs w:val="21"/>
        </w:rPr>
        <w:t xml:space="preserve"> </w:t>
      </w:r>
      <w:r w:rsidRPr="00360EC2">
        <w:rPr>
          <w:rFonts w:ascii="Abadi" w:hAnsi="Abadi" w:cs="*Arial-7951-Identity-H"/>
          <w:color w:val="0C0C0E"/>
          <w:sz w:val="21"/>
          <w:szCs w:val="21"/>
        </w:rPr>
        <w:t xml:space="preserve">XXVI de la Ley de Fiscalización Superior del Estado de Guanajuato; 1, 3, </w:t>
      </w:r>
      <w:r>
        <w:rPr>
          <w:rFonts w:ascii="Abadi" w:hAnsi="Abadi" w:cs="*Arial-7951-Identity-H"/>
          <w:color w:val="0C0C0E"/>
          <w:sz w:val="21"/>
          <w:szCs w:val="21"/>
        </w:rPr>
        <w:t>10</w:t>
      </w:r>
      <w:r w:rsidRPr="00360EC2">
        <w:rPr>
          <w:rFonts w:ascii="Abadi" w:hAnsi="Abadi" w:cs="*Arial-7951-Identity-H"/>
          <w:color w:val="0C0C0E"/>
          <w:sz w:val="21"/>
          <w:szCs w:val="21"/>
        </w:rPr>
        <w:t>, 13,</w:t>
      </w:r>
      <w:r>
        <w:rPr>
          <w:rFonts w:ascii="Abadi" w:hAnsi="Abadi" w:cs="*Arial-7951-Identity-H"/>
          <w:color w:val="0C0C0E"/>
          <w:sz w:val="21"/>
          <w:szCs w:val="21"/>
        </w:rPr>
        <w:t xml:space="preserve"> </w:t>
      </w:r>
      <w:r w:rsidRPr="00360EC2">
        <w:rPr>
          <w:rFonts w:ascii="Abadi" w:hAnsi="Abadi" w:cs="*Arial-7951-Identity-H"/>
          <w:color w:val="0C0C0E"/>
          <w:sz w:val="21"/>
          <w:szCs w:val="21"/>
        </w:rPr>
        <w:t>18, 20, 27, 43, 44, 45, 46, 47, 48 y 49 del Reglamento de la Ley de Fiscalización</w:t>
      </w:r>
      <w:r>
        <w:rPr>
          <w:rFonts w:ascii="Abadi" w:hAnsi="Abadi" w:cs="*Arial-7951-Identity-H"/>
          <w:color w:val="0C0C0E"/>
          <w:sz w:val="21"/>
          <w:szCs w:val="21"/>
        </w:rPr>
        <w:t xml:space="preserve"> </w:t>
      </w:r>
      <w:r w:rsidRPr="00360EC2">
        <w:rPr>
          <w:rFonts w:ascii="Abadi" w:hAnsi="Abadi" w:cs="*Arial-7951-Identity-H"/>
          <w:color w:val="0C0C0E"/>
          <w:sz w:val="21"/>
          <w:szCs w:val="21"/>
        </w:rPr>
        <w:t xml:space="preserve">Superior del Estado de Guanajuato; 1, 7, segundo párrafo, 8, fracción </w:t>
      </w:r>
      <w:r>
        <w:rPr>
          <w:rFonts w:ascii="Abadi" w:hAnsi="Abadi" w:cs="*Arial-7951-Identity-H"/>
          <w:color w:val="0C0C0E"/>
          <w:sz w:val="21"/>
          <w:szCs w:val="21"/>
        </w:rPr>
        <w:t>I</w:t>
      </w:r>
      <w:r w:rsidRPr="00360EC2">
        <w:rPr>
          <w:rFonts w:ascii="Abadi" w:hAnsi="Abadi" w:cs="*Arial-7951-Identity-H"/>
          <w:color w:val="0C0C0E"/>
          <w:sz w:val="21"/>
          <w:szCs w:val="21"/>
        </w:rPr>
        <w:t>, 9, fracción</w:t>
      </w:r>
      <w:r>
        <w:rPr>
          <w:rFonts w:ascii="Abadi" w:hAnsi="Abadi" w:cs="*Arial-7951-Identity-H"/>
          <w:color w:val="0C0C0E"/>
          <w:sz w:val="21"/>
          <w:szCs w:val="21"/>
        </w:rPr>
        <w:t xml:space="preserve"> </w:t>
      </w:r>
      <w:r w:rsidRPr="00360EC2">
        <w:rPr>
          <w:rFonts w:ascii="Abadi" w:hAnsi="Abadi" w:cs="*Arial-7951-Identity-H"/>
          <w:color w:val="0C0C0E"/>
          <w:sz w:val="21"/>
          <w:szCs w:val="21"/>
        </w:rPr>
        <w:t xml:space="preserve">XVII, 10 fracciones </w:t>
      </w:r>
      <w:r>
        <w:rPr>
          <w:rFonts w:ascii="Abadi" w:hAnsi="Abadi" w:cs="*Arial-7951-Identity-H"/>
          <w:color w:val="0C0C0E"/>
          <w:sz w:val="21"/>
          <w:szCs w:val="21"/>
        </w:rPr>
        <w:t>III</w:t>
      </w:r>
      <w:r w:rsidRPr="00360EC2">
        <w:rPr>
          <w:rFonts w:ascii="Abadi" w:hAnsi="Abadi" w:cs="*Arial-7951-Identity-H"/>
          <w:color w:val="0C0C0E"/>
          <w:sz w:val="21"/>
          <w:szCs w:val="21"/>
        </w:rPr>
        <w:t xml:space="preserve"> XVII, XIX y XX, 14 y 16 del Reglamento Interior de la</w:t>
      </w:r>
      <w:r>
        <w:rPr>
          <w:rFonts w:ascii="Abadi" w:hAnsi="Abadi" w:cs="*Arial-7951-Identity-H"/>
          <w:color w:val="0C0C0E"/>
          <w:sz w:val="21"/>
          <w:szCs w:val="21"/>
        </w:rPr>
        <w:t xml:space="preserve"> </w:t>
      </w:r>
      <w:r w:rsidRPr="00360EC2">
        <w:rPr>
          <w:rFonts w:ascii="Abadi" w:hAnsi="Abadi" w:cs="*Arial-7951-Identity-H"/>
          <w:color w:val="0C0C0E"/>
          <w:sz w:val="21"/>
          <w:szCs w:val="21"/>
        </w:rPr>
        <w:t>Auditoria Superior del Estado de Guanajuato; y 42 de la Ley General del Sistema</w:t>
      </w:r>
      <w:r>
        <w:rPr>
          <w:rFonts w:ascii="Abadi" w:hAnsi="Abadi" w:cs="*Arial-7951-Identity-H"/>
          <w:color w:val="0C0C0E"/>
          <w:sz w:val="21"/>
          <w:szCs w:val="21"/>
        </w:rPr>
        <w:t xml:space="preserve"> </w:t>
      </w:r>
      <w:r w:rsidRPr="00360EC2">
        <w:rPr>
          <w:rFonts w:ascii="Abadi" w:hAnsi="Abadi" w:cs="*Arial-7951-Identity-H"/>
          <w:color w:val="0C0C0E"/>
          <w:sz w:val="21"/>
          <w:szCs w:val="21"/>
        </w:rPr>
        <w:t>Nacional Anticorrupción.</w:t>
      </w:r>
    </w:p>
    <w:p w14:paraId="0F7FE479" w14:textId="77777777" w:rsidR="004A6831" w:rsidRDefault="004A6831" w:rsidP="004A6831">
      <w:pPr>
        <w:autoSpaceDE w:val="0"/>
        <w:autoSpaceDN w:val="0"/>
        <w:adjustRightInd w:val="0"/>
        <w:jc w:val="both"/>
        <w:rPr>
          <w:rFonts w:ascii="Abadi" w:hAnsi="Abadi" w:cs="*Arial-7305-Identity-H"/>
          <w:color w:val="0D0C0F"/>
          <w:sz w:val="21"/>
          <w:szCs w:val="21"/>
        </w:rPr>
      </w:pPr>
    </w:p>
    <w:p w14:paraId="386CA337" w14:textId="77777777" w:rsidR="004A6831" w:rsidRDefault="004A6831" w:rsidP="004A6831">
      <w:pPr>
        <w:autoSpaceDE w:val="0"/>
        <w:autoSpaceDN w:val="0"/>
        <w:adjustRightInd w:val="0"/>
        <w:ind w:firstLine="708"/>
        <w:jc w:val="both"/>
        <w:rPr>
          <w:rFonts w:ascii="Abadi" w:hAnsi="Abadi" w:cs="*Arial-7305-Identity-H"/>
          <w:color w:val="0D0C0F"/>
          <w:sz w:val="21"/>
          <w:szCs w:val="21"/>
        </w:rPr>
      </w:pPr>
      <w:r w:rsidRPr="00360EC2">
        <w:rPr>
          <w:rFonts w:ascii="Abadi" w:hAnsi="Abadi" w:cs="*Arial-7305-Identity-H"/>
          <w:color w:val="0D0C0F"/>
          <w:sz w:val="21"/>
          <w:szCs w:val="21"/>
        </w:rPr>
        <w:t>Con base en lo anterior, la auditoría de desempeño materia del presente</w:t>
      </w:r>
      <w:r>
        <w:rPr>
          <w:rFonts w:ascii="Abadi" w:hAnsi="Abadi" w:cs="*Arial-7305-Identity-H"/>
          <w:color w:val="0D0C0F"/>
          <w:sz w:val="21"/>
          <w:szCs w:val="21"/>
        </w:rPr>
        <w:t xml:space="preserve"> </w:t>
      </w:r>
      <w:r w:rsidRPr="00360EC2">
        <w:rPr>
          <w:rFonts w:ascii="Abadi" w:hAnsi="Abadi" w:cs="*Arial-7305-Identity-H"/>
          <w:color w:val="0D0C0F"/>
          <w:sz w:val="21"/>
          <w:szCs w:val="21"/>
        </w:rPr>
        <w:t>dictamen, se ejecutó bajo los principios, conceptos y directrices de las actuales</w:t>
      </w:r>
      <w:r>
        <w:rPr>
          <w:rFonts w:ascii="Abadi" w:hAnsi="Abadi" w:cs="*Arial-7305-Identity-H"/>
          <w:color w:val="0D0C0F"/>
          <w:sz w:val="21"/>
          <w:szCs w:val="21"/>
        </w:rPr>
        <w:t xml:space="preserve"> </w:t>
      </w:r>
      <w:r w:rsidRPr="00360EC2">
        <w:rPr>
          <w:rFonts w:ascii="Abadi" w:hAnsi="Abadi" w:cs="*Arial-7305-Identity-H"/>
          <w:color w:val="0D0C0F"/>
          <w:sz w:val="21"/>
          <w:szCs w:val="21"/>
        </w:rPr>
        <w:t>Normas Profesionales de Auditoría del Sistema Nacional de Fiscalización,</w:t>
      </w:r>
      <w:r>
        <w:rPr>
          <w:rFonts w:ascii="Abadi" w:hAnsi="Abadi" w:cs="*Arial-7305-Identity-H"/>
          <w:color w:val="0D0C0F"/>
          <w:sz w:val="21"/>
          <w:szCs w:val="21"/>
        </w:rPr>
        <w:t xml:space="preserve"> </w:t>
      </w:r>
      <w:r w:rsidRPr="00360EC2">
        <w:rPr>
          <w:rFonts w:ascii="Abadi" w:hAnsi="Abadi" w:cs="*Arial-7305-Identity-H"/>
          <w:color w:val="0D0C0F"/>
          <w:sz w:val="21"/>
          <w:szCs w:val="21"/>
        </w:rPr>
        <w:t>compiladas y editadas por la Auditoría Superior de la Federación, de manera</w:t>
      </w:r>
      <w:r>
        <w:rPr>
          <w:rFonts w:ascii="Abadi" w:hAnsi="Abadi" w:cs="*Arial-7305-Identity-H"/>
          <w:color w:val="0D0C0F"/>
          <w:sz w:val="21"/>
          <w:szCs w:val="21"/>
        </w:rPr>
        <w:t xml:space="preserve"> </w:t>
      </w:r>
      <w:r w:rsidRPr="00360EC2">
        <w:rPr>
          <w:rFonts w:ascii="Abadi" w:hAnsi="Abadi" w:cs="*Arial-7305-Identity-H"/>
          <w:color w:val="0D0C0F"/>
          <w:sz w:val="21"/>
          <w:szCs w:val="21"/>
        </w:rPr>
        <w:t>particular por lo que hace a sus numerales 100 y 300.</w:t>
      </w:r>
    </w:p>
    <w:p w14:paraId="3ABE43BB" w14:textId="77777777" w:rsidR="004A6831" w:rsidRPr="00360EC2" w:rsidRDefault="004A6831" w:rsidP="004A6831">
      <w:pPr>
        <w:autoSpaceDE w:val="0"/>
        <w:autoSpaceDN w:val="0"/>
        <w:adjustRightInd w:val="0"/>
        <w:jc w:val="both"/>
        <w:rPr>
          <w:rFonts w:ascii="Abadi" w:hAnsi="Abadi" w:cs="*Arial-7305-Identity-H"/>
          <w:color w:val="0D0C0F"/>
          <w:sz w:val="21"/>
          <w:szCs w:val="21"/>
        </w:rPr>
      </w:pPr>
    </w:p>
    <w:p w14:paraId="3039331A" w14:textId="77777777" w:rsidR="004A6831" w:rsidRDefault="004A6831" w:rsidP="004A6831">
      <w:pPr>
        <w:autoSpaceDE w:val="0"/>
        <w:autoSpaceDN w:val="0"/>
        <w:adjustRightInd w:val="0"/>
        <w:ind w:firstLine="708"/>
        <w:jc w:val="both"/>
        <w:rPr>
          <w:rFonts w:ascii="Abadi" w:hAnsi="Abadi" w:cs="*Arial-7305-Identity-H"/>
          <w:color w:val="0C0C0F"/>
          <w:sz w:val="21"/>
          <w:szCs w:val="21"/>
        </w:rPr>
      </w:pPr>
      <w:r w:rsidRPr="00360EC2">
        <w:rPr>
          <w:rFonts w:ascii="Abadi" w:hAnsi="Abadi" w:cs="*Arial-7305-Identity-H"/>
          <w:color w:val="0C0C0F"/>
          <w:sz w:val="21"/>
          <w:szCs w:val="21"/>
        </w:rPr>
        <w:t>En esta parte también se puntualiza que las auditorías de desempeño que</w:t>
      </w:r>
      <w:r>
        <w:rPr>
          <w:rFonts w:ascii="Abadi" w:hAnsi="Abadi" w:cs="*Arial-7305-Identity-H"/>
          <w:color w:val="0C0C0F"/>
          <w:sz w:val="21"/>
          <w:szCs w:val="21"/>
        </w:rPr>
        <w:t xml:space="preserve"> </w:t>
      </w:r>
      <w:r w:rsidRPr="00360EC2">
        <w:rPr>
          <w:rFonts w:ascii="Abadi" w:hAnsi="Abadi" w:cs="*Arial-7305-Identity-H"/>
          <w:color w:val="0C0C0F"/>
          <w:sz w:val="21"/>
          <w:szCs w:val="21"/>
        </w:rPr>
        <w:t>se practican por la Auditoria Superior del Estado son congruentes con las</w:t>
      </w:r>
      <w:r>
        <w:rPr>
          <w:rFonts w:ascii="Abadi" w:hAnsi="Abadi" w:cs="*Arial-7305-Identity-H"/>
          <w:color w:val="0C0C0F"/>
          <w:sz w:val="21"/>
          <w:szCs w:val="21"/>
        </w:rPr>
        <w:t xml:space="preserve"> </w:t>
      </w:r>
      <w:r w:rsidRPr="00360EC2">
        <w:rPr>
          <w:rFonts w:ascii="Abadi" w:hAnsi="Abadi" w:cs="*Arial-7305-Identity-H"/>
          <w:color w:val="0C0C0F"/>
          <w:sz w:val="21"/>
          <w:szCs w:val="21"/>
        </w:rPr>
        <w:t>metodologías señaladas en las Normas Internacionales para Entidades</w:t>
      </w:r>
      <w:r>
        <w:rPr>
          <w:rFonts w:ascii="Abadi" w:hAnsi="Abadi" w:cs="*Arial-7305-Identity-H"/>
          <w:color w:val="0C0C0F"/>
          <w:sz w:val="21"/>
          <w:szCs w:val="21"/>
        </w:rPr>
        <w:t xml:space="preserve"> </w:t>
      </w:r>
      <w:r w:rsidRPr="00360EC2">
        <w:rPr>
          <w:rFonts w:ascii="Abadi" w:hAnsi="Abadi" w:cs="*Arial-7305-Identity-H"/>
          <w:color w:val="0C0C0F"/>
          <w:sz w:val="21"/>
          <w:szCs w:val="21"/>
        </w:rPr>
        <w:t>Fiscalizadoras Superiores 100, 300, 3000 y 3200, emitidas por la Organización</w:t>
      </w:r>
      <w:r>
        <w:rPr>
          <w:rFonts w:ascii="Abadi" w:hAnsi="Abadi" w:cs="*Arial-7305-Identity-H"/>
          <w:color w:val="0C0C0F"/>
          <w:sz w:val="21"/>
          <w:szCs w:val="21"/>
        </w:rPr>
        <w:t xml:space="preserve"> </w:t>
      </w:r>
      <w:r w:rsidRPr="00360EC2">
        <w:rPr>
          <w:rFonts w:ascii="Abadi" w:hAnsi="Abadi" w:cs="*Arial-7305-Identity-H"/>
          <w:color w:val="0C0C0F"/>
          <w:sz w:val="21"/>
          <w:szCs w:val="21"/>
        </w:rPr>
        <w:t>Internacional de las Entidades Fiscalizadoras Superiores, así como con los</w:t>
      </w:r>
      <w:r>
        <w:rPr>
          <w:rFonts w:ascii="Abadi" w:hAnsi="Abadi" w:cs="*Arial-7305-Identity-H"/>
          <w:color w:val="0C0C0F"/>
          <w:sz w:val="21"/>
          <w:szCs w:val="21"/>
        </w:rPr>
        <w:t xml:space="preserve"> </w:t>
      </w:r>
      <w:r w:rsidRPr="00360EC2">
        <w:rPr>
          <w:rFonts w:ascii="Abadi" w:hAnsi="Abadi" w:cs="*Arial-7305-Identity-H"/>
          <w:color w:val="0C0C0F"/>
          <w:sz w:val="21"/>
          <w:szCs w:val="21"/>
        </w:rPr>
        <w:t>lineamientos para la construcción y diseño de indicadores de desempeño</w:t>
      </w:r>
      <w:r>
        <w:rPr>
          <w:rFonts w:ascii="Abadi" w:hAnsi="Abadi" w:cs="*Arial-7305-Identity-H"/>
          <w:color w:val="0C0C0F"/>
          <w:sz w:val="21"/>
          <w:szCs w:val="21"/>
        </w:rPr>
        <w:t xml:space="preserve"> </w:t>
      </w:r>
      <w:r w:rsidRPr="00360EC2">
        <w:rPr>
          <w:rFonts w:ascii="Abadi" w:hAnsi="Abadi" w:cs="*Arial-7305-Identity-H"/>
          <w:color w:val="0C0C0F"/>
          <w:sz w:val="21"/>
          <w:szCs w:val="21"/>
        </w:rPr>
        <w:t>mediante la Metodología del Marco Lógico, emitidos por el Consejo Nacional de</w:t>
      </w:r>
      <w:r>
        <w:rPr>
          <w:rFonts w:ascii="Abadi" w:hAnsi="Abadi" w:cs="*Arial-7305-Identity-H"/>
          <w:color w:val="0C0C0F"/>
          <w:sz w:val="21"/>
          <w:szCs w:val="21"/>
        </w:rPr>
        <w:t xml:space="preserve"> </w:t>
      </w:r>
      <w:r w:rsidRPr="00360EC2">
        <w:rPr>
          <w:rFonts w:ascii="Abadi" w:hAnsi="Abadi" w:cs="*Arial-7305-Identity-H"/>
          <w:color w:val="0C0C0F"/>
          <w:sz w:val="21"/>
          <w:szCs w:val="21"/>
        </w:rPr>
        <w:t>Armonización Contable, publicados en el Diario Oficial de la Federación el 15 de</w:t>
      </w:r>
      <w:r>
        <w:rPr>
          <w:rFonts w:ascii="Abadi" w:hAnsi="Abadi" w:cs="*Arial-7305-Identity-H"/>
          <w:color w:val="0C0C0F"/>
          <w:sz w:val="21"/>
          <w:szCs w:val="21"/>
        </w:rPr>
        <w:t xml:space="preserve"> </w:t>
      </w:r>
      <w:r w:rsidRPr="00360EC2">
        <w:rPr>
          <w:rFonts w:ascii="Abadi" w:hAnsi="Abadi" w:cs="*Arial-7305-Identity-H"/>
          <w:color w:val="0C0C0F"/>
          <w:sz w:val="21"/>
          <w:szCs w:val="21"/>
        </w:rPr>
        <w:t>mayo de 2013, entre otros.</w:t>
      </w:r>
    </w:p>
    <w:p w14:paraId="1D6A41F1" w14:textId="77777777" w:rsidR="004A6831" w:rsidRPr="00360EC2" w:rsidRDefault="004A6831" w:rsidP="004A6831">
      <w:pPr>
        <w:autoSpaceDE w:val="0"/>
        <w:autoSpaceDN w:val="0"/>
        <w:adjustRightInd w:val="0"/>
        <w:jc w:val="both"/>
        <w:rPr>
          <w:rFonts w:ascii="Abadi" w:hAnsi="Abadi" w:cs="*Arial-7305-Identity-H"/>
          <w:color w:val="0C0C0F"/>
          <w:sz w:val="21"/>
          <w:szCs w:val="21"/>
        </w:rPr>
      </w:pPr>
    </w:p>
    <w:p w14:paraId="107077B2" w14:textId="77777777" w:rsidR="004A6831" w:rsidRPr="00360EC2" w:rsidRDefault="004A6831" w:rsidP="004A6831">
      <w:pPr>
        <w:autoSpaceDE w:val="0"/>
        <w:autoSpaceDN w:val="0"/>
        <w:adjustRightInd w:val="0"/>
        <w:ind w:firstLine="708"/>
        <w:jc w:val="both"/>
        <w:rPr>
          <w:rFonts w:ascii="Abadi" w:hAnsi="Abadi" w:cs="*Arial-7305-Identity-H"/>
          <w:color w:val="0C0C0F"/>
          <w:sz w:val="21"/>
          <w:szCs w:val="21"/>
        </w:rPr>
      </w:pPr>
      <w:r w:rsidRPr="00360EC2">
        <w:rPr>
          <w:rFonts w:ascii="Abadi" w:hAnsi="Abadi" w:cs="*Arial-7305-Identity-H"/>
          <w:color w:val="0C0C0F"/>
          <w:sz w:val="21"/>
          <w:szCs w:val="21"/>
        </w:rPr>
        <w:t>En el punto correspondiente a estructura del informe y valoración, se señala</w:t>
      </w:r>
      <w:r>
        <w:rPr>
          <w:rFonts w:ascii="Abadi" w:hAnsi="Abadi" w:cs="*Arial-7305-Identity-H"/>
          <w:color w:val="0C0C0F"/>
          <w:sz w:val="21"/>
          <w:szCs w:val="21"/>
        </w:rPr>
        <w:t xml:space="preserve"> </w:t>
      </w:r>
      <w:r w:rsidRPr="00360EC2">
        <w:rPr>
          <w:rFonts w:ascii="Abadi" w:hAnsi="Abadi" w:cs="*Arial-7305-Identity-H"/>
          <w:color w:val="0C0C0F"/>
          <w:sz w:val="21"/>
          <w:szCs w:val="21"/>
        </w:rPr>
        <w:t>que el informe de resultados es el documento técnico en el que se presentan los</w:t>
      </w:r>
      <w:r>
        <w:rPr>
          <w:rFonts w:ascii="Abadi" w:hAnsi="Abadi" w:cs="*Arial-7305-Identity-H"/>
          <w:color w:val="0C0C0F"/>
          <w:sz w:val="21"/>
          <w:szCs w:val="21"/>
        </w:rPr>
        <w:t xml:space="preserve"> </w:t>
      </w:r>
      <w:r w:rsidRPr="00360EC2">
        <w:rPr>
          <w:rFonts w:ascii="Abadi" w:hAnsi="Abadi" w:cs="*Arial-7305-Identity-H"/>
          <w:color w:val="0C0C0F"/>
          <w:sz w:val="21"/>
          <w:szCs w:val="21"/>
        </w:rPr>
        <w:t>datos e información que identifican una revisión, las conclusiones y las</w:t>
      </w:r>
      <w:r>
        <w:rPr>
          <w:rFonts w:ascii="Abadi" w:hAnsi="Abadi" w:cs="*Arial-7305-Identity-H"/>
          <w:color w:val="0C0C0F"/>
          <w:sz w:val="21"/>
          <w:szCs w:val="21"/>
        </w:rPr>
        <w:t xml:space="preserve"> </w:t>
      </w:r>
      <w:r w:rsidRPr="00360EC2">
        <w:rPr>
          <w:rFonts w:ascii="Abadi" w:hAnsi="Abadi" w:cs="*Arial-7305-Identity-H"/>
          <w:color w:val="0C0C0F"/>
          <w:sz w:val="21"/>
          <w:szCs w:val="21"/>
        </w:rPr>
        <w:t xml:space="preserve">recomendaciones al desempeño que se propondrán al ente </w:t>
      </w:r>
      <w:proofErr w:type="spellStart"/>
      <w:r w:rsidRPr="00360EC2">
        <w:rPr>
          <w:rFonts w:ascii="Abadi" w:hAnsi="Abadi" w:cs="*Arial-7305-Identity-H"/>
          <w:color w:val="0C0C0F"/>
          <w:sz w:val="21"/>
          <w:szCs w:val="21"/>
        </w:rPr>
        <w:t>fiscalizado</w:t>
      </w:r>
      <w:proofErr w:type="spellEnd"/>
      <w:r w:rsidRPr="00360EC2">
        <w:rPr>
          <w:rFonts w:ascii="Abadi" w:hAnsi="Abadi" w:cs="*Arial-7305-Identity-H"/>
          <w:color w:val="0C0C0F"/>
          <w:sz w:val="21"/>
          <w:szCs w:val="21"/>
        </w:rPr>
        <w:t>.</w:t>
      </w:r>
    </w:p>
    <w:p w14:paraId="45ACA388" w14:textId="77777777" w:rsidR="004A6831" w:rsidRDefault="004A6831" w:rsidP="004A6831">
      <w:pPr>
        <w:autoSpaceDE w:val="0"/>
        <w:autoSpaceDN w:val="0"/>
        <w:adjustRightInd w:val="0"/>
        <w:jc w:val="both"/>
        <w:rPr>
          <w:rFonts w:ascii="Abadi" w:hAnsi="Abadi" w:cs="*Arial-7305-Identity-H"/>
          <w:color w:val="0D0D10"/>
          <w:sz w:val="21"/>
          <w:szCs w:val="21"/>
        </w:rPr>
      </w:pPr>
    </w:p>
    <w:p w14:paraId="0B0A7745" w14:textId="77777777" w:rsidR="004A6831" w:rsidRDefault="004A6831" w:rsidP="004A6831">
      <w:pPr>
        <w:autoSpaceDE w:val="0"/>
        <w:autoSpaceDN w:val="0"/>
        <w:adjustRightInd w:val="0"/>
        <w:ind w:firstLine="708"/>
        <w:jc w:val="both"/>
        <w:rPr>
          <w:rFonts w:ascii="Abadi" w:hAnsi="Abadi" w:cs="*Arial-7305-Identity-H"/>
          <w:color w:val="0D0D10"/>
          <w:sz w:val="21"/>
          <w:szCs w:val="21"/>
        </w:rPr>
      </w:pPr>
      <w:r w:rsidRPr="00360EC2">
        <w:rPr>
          <w:rFonts w:ascii="Abadi" w:hAnsi="Abadi" w:cs="*Arial-7305-Identity-H"/>
          <w:color w:val="0D0D10"/>
          <w:sz w:val="21"/>
          <w:szCs w:val="21"/>
        </w:rPr>
        <w:t>Asimismo, se refiere que el artículo 26 del Reglamento de la Ley de</w:t>
      </w:r>
      <w:r>
        <w:rPr>
          <w:rFonts w:ascii="Abadi" w:hAnsi="Abadi" w:cs="*Arial-7305-Identity-H"/>
          <w:color w:val="0D0D10"/>
          <w:sz w:val="21"/>
          <w:szCs w:val="21"/>
        </w:rPr>
        <w:t xml:space="preserve"> </w:t>
      </w:r>
      <w:r w:rsidRPr="00360EC2">
        <w:rPr>
          <w:rFonts w:ascii="Abadi" w:hAnsi="Abadi" w:cs="*Arial-7305-Identity-H"/>
          <w:color w:val="0D0D10"/>
          <w:sz w:val="21"/>
          <w:szCs w:val="21"/>
        </w:rPr>
        <w:t>Fiscalización Superior del Estado de Guanajuato establece los requisitos mínimos</w:t>
      </w:r>
      <w:r>
        <w:rPr>
          <w:rFonts w:ascii="Abadi" w:hAnsi="Abadi" w:cs="*Arial-7305-Identity-H"/>
          <w:color w:val="0D0D10"/>
          <w:sz w:val="21"/>
          <w:szCs w:val="21"/>
        </w:rPr>
        <w:t xml:space="preserve"> </w:t>
      </w:r>
      <w:r w:rsidRPr="00360EC2">
        <w:rPr>
          <w:rFonts w:ascii="Abadi" w:hAnsi="Abadi" w:cs="*Arial-7305-Identity-H"/>
          <w:color w:val="0D0D10"/>
          <w:sz w:val="21"/>
          <w:szCs w:val="21"/>
        </w:rPr>
        <w:t>que deben contener los informes de resultados de las auditorías de desempeño,</w:t>
      </w:r>
      <w:r>
        <w:rPr>
          <w:rFonts w:ascii="Abadi" w:hAnsi="Abadi" w:cs="*Arial-7305-Identity-H"/>
          <w:color w:val="0D0D10"/>
          <w:sz w:val="21"/>
          <w:szCs w:val="21"/>
        </w:rPr>
        <w:t xml:space="preserve"> </w:t>
      </w:r>
      <w:r w:rsidRPr="00360EC2">
        <w:rPr>
          <w:rFonts w:ascii="Abadi" w:hAnsi="Abadi" w:cs="*Arial-7305-Identity-H"/>
          <w:color w:val="0D0D10"/>
          <w:sz w:val="21"/>
          <w:szCs w:val="21"/>
        </w:rPr>
        <w:t>los cuales se cumplieron en la formulación del informe de resultados. También se</w:t>
      </w:r>
      <w:r>
        <w:rPr>
          <w:rFonts w:ascii="Abadi" w:hAnsi="Abadi" w:cs="*Arial-7305-Identity-H"/>
          <w:color w:val="0D0D10"/>
          <w:sz w:val="21"/>
          <w:szCs w:val="21"/>
        </w:rPr>
        <w:t xml:space="preserve"> </w:t>
      </w:r>
      <w:r w:rsidRPr="00360EC2">
        <w:rPr>
          <w:rFonts w:ascii="Abadi" w:hAnsi="Abadi" w:cs="*Arial-7305-Identity-H"/>
          <w:color w:val="0D0D10"/>
          <w:sz w:val="21"/>
          <w:szCs w:val="21"/>
        </w:rPr>
        <w:t>precisan los datos de identificación del acto de fiscalización, como son el título o</w:t>
      </w:r>
      <w:r>
        <w:rPr>
          <w:rFonts w:ascii="Abadi" w:hAnsi="Abadi" w:cs="*Arial-7305-Identity-H"/>
          <w:color w:val="0D0D10"/>
          <w:sz w:val="21"/>
          <w:szCs w:val="21"/>
        </w:rPr>
        <w:t xml:space="preserve"> </w:t>
      </w:r>
      <w:r w:rsidRPr="00360EC2">
        <w:rPr>
          <w:rFonts w:ascii="Abadi" w:hAnsi="Abadi" w:cs="*Arial-7305-Identity-H"/>
          <w:color w:val="0D0D10"/>
          <w:sz w:val="21"/>
          <w:szCs w:val="21"/>
        </w:rPr>
        <w:t>enfoque de la auditoría, el sujeto fiscalizado, el periodo de revisión y el programa</w:t>
      </w:r>
      <w:r>
        <w:rPr>
          <w:rFonts w:ascii="Abadi" w:hAnsi="Abadi" w:cs="*Arial-7305-Identity-H"/>
          <w:color w:val="0D0D10"/>
          <w:sz w:val="21"/>
          <w:szCs w:val="21"/>
        </w:rPr>
        <w:t xml:space="preserve"> </w:t>
      </w:r>
      <w:r w:rsidRPr="00360EC2">
        <w:rPr>
          <w:rFonts w:ascii="Abadi" w:hAnsi="Abadi" w:cs="*Arial-7305-Identity-H"/>
          <w:color w:val="0D0D10"/>
          <w:sz w:val="21"/>
          <w:szCs w:val="21"/>
        </w:rPr>
        <w:t>que se fiscaliza, en función de lo autorizado en el Programa General de</w:t>
      </w:r>
      <w:r>
        <w:rPr>
          <w:rFonts w:ascii="Abadi" w:hAnsi="Abadi" w:cs="*Arial-7305-Identity-H"/>
          <w:color w:val="0D0D10"/>
          <w:sz w:val="21"/>
          <w:szCs w:val="21"/>
        </w:rPr>
        <w:t xml:space="preserve"> </w:t>
      </w:r>
      <w:r w:rsidRPr="00360EC2">
        <w:rPr>
          <w:rFonts w:ascii="Abadi" w:hAnsi="Abadi" w:cs="*Arial-7305-Identity-H"/>
          <w:color w:val="0D0D10"/>
          <w:sz w:val="21"/>
          <w:szCs w:val="21"/>
        </w:rPr>
        <w:t>Fiscalización respectivo.</w:t>
      </w:r>
    </w:p>
    <w:p w14:paraId="2B8E43E5" w14:textId="77777777" w:rsidR="004A6831" w:rsidRPr="00360EC2" w:rsidRDefault="004A6831" w:rsidP="004A6831">
      <w:pPr>
        <w:autoSpaceDE w:val="0"/>
        <w:autoSpaceDN w:val="0"/>
        <w:adjustRightInd w:val="0"/>
        <w:jc w:val="both"/>
        <w:rPr>
          <w:rFonts w:ascii="Abadi" w:hAnsi="Abadi" w:cs="*Arial-7305-Identity-H"/>
          <w:color w:val="0D0D10"/>
          <w:sz w:val="21"/>
          <w:szCs w:val="21"/>
        </w:rPr>
      </w:pPr>
    </w:p>
    <w:p w14:paraId="0BCF7A04" w14:textId="77777777" w:rsidR="004A6831" w:rsidRDefault="004A6831" w:rsidP="004A6831">
      <w:pPr>
        <w:autoSpaceDE w:val="0"/>
        <w:autoSpaceDN w:val="0"/>
        <w:adjustRightInd w:val="0"/>
        <w:ind w:firstLine="708"/>
        <w:jc w:val="both"/>
        <w:rPr>
          <w:rFonts w:ascii="Abadi" w:hAnsi="Abadi" w:cs="*Arial-7305-Identity-H"/>
          <w:color w:val="0D0C0F"/>
          <w:sz w:val="21"/>
          <w:szCs w:val="21"/>
        </w:rPr>
      </w:pPr>
      <w:r w:rsidRPr="00360EC2">
        <w:rPr>
          <w:rFonts w:ascii="Abadi" w:hAnsi="Abadi" w:cs="*Arial-7305-Identity-H"/>
          <w:color w:val="0D0C0F"/>
          <w:sz w:val="21"/>
          <w:szCs w:val="21"/>
        </w:rPr>
        <w:t>Por lo que hace a la valoración de la respuesta del sujeto fiscalizado, el</w:t>
      </w:r>
      <w:r>
        <w:rPr>
          <w:rFonts w:ascii="Abadi" w:hAnsi="Abadi" w:cs="*Arial-7305-Identity-H"/>
          <w:color w:val="0D0C0F"/>
          <w:sz w:val="21"/>
          <w:szCs w:val="21"/>
        </w:rPr>
        <w:t xml:space="preserve"> </w:t>
      </w:r>
      <w:r w:rsidRPr="00360EC2">
        <w:rPr>
          <w:rFonts w:ascii="Abadi" w:hAnsi="Abadi" w:cs="*Arial-7305-Identity-H"/>
          <w:color w:val="0D0C0F"/>
          <w:sz w:val="21"/>
          <w:szCs w:val="21"/>
        </w:rPr>
        <w:t>Órgano Técnico determinó lo conducente respecto a las recomendaciones</w:t>
      </w:r>
      <w:r>
        <w:rPr>
          <w:rFonts w:ascii="Abadi" w:hAnsi="Abadi" w:cs="*Arial-7305-Identity-H"/>
          <w:color w:val="0D0C0F"/>
          <w:sz w:val="21"/>
          <w:szCs w:val="21"/>
        </w:rPr>
        <w:t xml:space="preserve"> </w:t>
      </w:r>
      <w:r w:rsidRPr="00360EC2">
        <w:rPr>
          <w:rFonts w:ascii="Abadi" w:hAnsi="Abadi" w:cs="*Arial-7305-Identity-H"/>
          <w:color w:val="0D0C0F"/>
          <w:sz w:val="21"/>
          <w:szCs w:val="21"/>
        </w:rPr>
        <w:t>emitidas, para lo cual realizó un análisis de la documentación y evidencia</w:t>
      </w:r>
      <w:r>
        <w:rPr>
          <w:rFonts w:ascii="Abadi" w:hAnsi="Abadi" w:cs="*Arial-7305-Identity-H"/>
          <w:color w:val="0D0C0F"/>
          <w:sz w:val="21"/>
          <w:szCs w:val="21"/>
        </w:rPr>
        <w:t xml:space="preserve"> </w:t>
      </w:r>
      <w:r w:rsidRPr="00360EC2">
        <w:rPr>
          <w:rFonts w:ascii="Abadi" w:hAnsi="Abadi" w:cs="*Arial-7305-Identity-H"/>
          <w:color w:val="0D0C0F"/>
          <w:sz w:val="21"/>
          <w:szCs w:val="21"/>
        </w:rPr>
        <w:t>proporcionada por el sujeto fiscalizado, a fin de valorar si este efectuó mejoras, si</w:t>
      </w:r>
      <w:r>
        <w:rPr>
          <w:rFonts w:ascii="Abadi" w:hAnsi="Abadi" w:cs="*Arial-7305-Identity-H"/>
          <w:color w:val="0D0C0F"/>
          <w:sz w:val="21"/>
          <w:szCs w:val="21"/>
        </w:rPr>
        <w:t xml:space="preserve"> </w:t>
      </w:r>
      <w:r w:rsidRPr="00360EC2">
        <w:rPr>
          <w:rFonts w:ascii="Abadi" w:hAnsi="Abadi" w:cs="*Arial-7305-Identity-H"/>
          <w:color w:val="0D0C0F"/>
          <w:sz w:val="21"/>
          <w:szCs w:val="21"/>
        </w:rPr>
        <w:t>realizará alguna acción o emitió la justificación correspondiente sobre la</w:t>
      </w:r>
      <w:r>
        <w:rPr>
          <w:rFonts w:ascii="Abadi" w:hAnsi="Abadi" w:cs="*Arial-7305-Identity-H"/>
          <w:color w:val="0D0C0F"/>
          <w:sz w:val="21"/>
          <w:szCs w:val="21"/>
        </w:rPr>
        <w:t xml:space="preserve"> </w:t>
      </w:r>
      <w:r w:rsidRPr="00360EC2">
        <w:rPr>
          <w:rFonts w:ascii="Abadi" w:hAnsi="Abadi" w:cs="*Arial-7305-Identity-H"/>
          <w:color w:val="0D0C0F"/>
          <w:sz w:val="21"/>
          <w:szCs w:val="21"/>
        </w:rPr>
        <w:t>improcedencia por la cual no r</w:t>
      </w:r>
      <w:r>
        <w:rPr>
          <w:rFonts w:ascii="Abadi" w:eastAsia="Abadi" w:hAnsi="Abadi" w:cs="Abadi"/>
          <w:color w:val="0D0C0F"/>
          <w:sz w:val="21"/>
          <w:szCs w:val="21"/>
        </w:rPr>
        <w:t>e</w:t>
      </w:r>
      <w:r w:rsidRPr="00360EC2">
        <w:rPr>
          <w:rFonts w:ascii="Abadi" w:hAnsi="Abadi" w:cs="*Arial-7305-Identity-H"/>
          <w:color w:val="0D0C0F"/>
          <w:sz w:val="21"/>
          <w:szCs w:val="21"/>
        </w:rPr>
        <w:t>sulte factible su implementación o bien, la</w:t>
      </w:r>
      <w:r>
        <w:rPr>
          <w:rFonts w:ascii="Abadi" w:hAnsi="Abadi" w:cs="*Arial-7305-Identity-H"/>
          <w:color w:val="0D0C0F"/>
          <w:sz w:val="21"/>
          <w:szCs w:val="21"/>
        </w:rPr>
        <w:t xml:space="preserve"> </w:t>
      </w:r>
      <w:r w:rsidRPr="00360EC2">
        <w:rPr>
          <w:rFonts w:ascii="Abadi" w:hAnsi="Abadi" w:cs="*Arial-7305-Identity-H"/>
          <w:color w:val="0D0C0F"/>
          <w:sz w:val="21"/>
          <w:szCs w:val="21"/>
        </w:rPr>
        <w:t>consideración de medidas alternas que fortalezcan el desempeño de la gestión</w:t>
      </w:r>
      <w:r>
        <w:rPr>
          <w:rFonts w:ascii="Abadi" w:hAnsi="Abadi" w:cs="*Arial-7305-Identity-H"/>
          <w:color w:val="0D0C0F"/>
          <w:sz w:val="21"/>
          <w:szCs w:val="21"/>
        </w:rPr>
        <w:t xml:space="preserve"> </w:t>
      </w:r>
      <w:r w:rsidRPr="00360EC2">
        <w:rPr>
          <w:rFonts w:ascii="Abadi" w:hAnsi="Abadi" w:cs="*Arial-7305-Identity-H"/>
          <w:color w:val="0D0C0F"/>
          <w:sz w:val="21"/>
          <w:szCs w:val="21"/>
        </w:rPr>
        <w:t>pública. Asimismo, se señala que las recomendaciones efectuadas al sujeto</w:t>
      </w:r>
      <w:r>
        <w:rPr>
          <w:rFonts w:ascii="Abadi" w:hAnsi="Abadi" w:cs="*Arial-7305-Identity-H"/>
          <w:color w:val="0D0C0F"/>
          <w:sz w:val="21"/>
          <w:szCs w:val="21"/>
        </w:rPr>
        <w:t xml:space="preserve"> </w:t>
      </w:r>
      <w:r w:rsidRPr="00360EC2">
        <w:rPr>
          <w:rFonts w:ascii="Abadi" w:hAnsi="Abadi" w:cs="*Arial-7305-Identity-H"/>
          <w:color w:val="0D0C0F"/>
          <w:sz w:val="21"/>
          <w:szCs w:val="21"/>
        </w:rPr>
        <w:t>fiscalizado podrían considerarse como persistentes, cuando no sea posible</w:t>
      </w:r>
      <w:r>
        <w:rPr>
          <w:rFonts w:ascii="Abadi" w:hAnsi="Abadi" w:cs="*Arial-7305-Identity-H"/>
          <w:color w:val="0D0C0F"/>
          <w:sz w:val="21"/>
          <w:szCs w:val="21"/>
        </w:rPr>
        <w:t xml:space="preserve"> </w:t>
      </w:r>
      <w:r w:rsidRPr="00360EC2">
        <w:rPr>
          <w:rFonts w:ascii="Abadi" w:hAnsi="Abadi" w:cs="*Arial-7305-Identity-H"/>
          <w:color w:val="0D0C0F"/>
          <w:sz w:val="21"/>
          <w:szCs w:val="21"/>
        </w:rPr>
        <w:t>valorarlas en alguno de los supuestos antes referidos.</w:t>
      </w:r>
    </w:p>
    <w:p w14:paraId="3188AC6B" w14:textId="77777777" w:rsidR="004A6831" w:rsidRPr="00360EC2" w:rsidRDefault="004A6831" w:rsidP="004A6831">
      <w:pPr>
        <w:autoSpaceDE w:val="0"/>
        <w:autoSpaceDN w:val="0"/>
        <w:adjustRightInd w:val="0"/>
        <w:jc w:val="both"/>
        <w:rPr>
          <w:rFonts w:ascii="Abadi" w:hAnsi="Abadi" w:cs="*Arial-7305-Identity-H"/>
          <w:color w:val="0D0C0F"/>
          <w:sz w:val="21"/>
          <w:szCs w:val="21"/>
        </w:rPr>
      </w:pPr>
    </w:p>
    <w:p w14:paraId="634B4ADA" w14:textId="77777777" w:rsidR="004A6831" w:rsidRDefault="004A6831" w:rsidP="004A6831">
      <w:pPr>
        <w:autoSpaceDE w:val="0"/>
        <w:autoSpaceDN w:val="0"/>
        <w:adjustRightInd w:val="0"/>
        <w:ind w:firstLine="708"/>
        <w:jc w:val="both"/>
        <w:rPr>
          <w:rFonts w:ascii="Abadi" w:hAnsi="Abadi" w:cs="*Arial-7091-Identity-H"/>
          <w:color w:val="0D0D0F"/>
          <w:sz w:val="21"/>
          <w:szCs w:val="21"/>
        </w:rPr>
      </w:pPr>
      <w:r w:rsidRPr="00360EC2">
        <w:rPr>
          <w:rFonts w:ascii="Abadi" w:hAnsi="Abadi" w:cs="*Arial-7091-Identity-H"/>
          <w:color w:val="0D0D0F"/>
          <w:sz w:val="21"/>
          <w:szCs w:val="21"/>
        </w:rPr>
        <w:t>Es así, que la valoración realizada por la Auditoria Superior del Estado</w:t>
      </w:r>
      <w:r>
        <w:rPr>
          <w:rFonts w:ascii="Abadi" w:hAnsi="Abadi" w:cs="*Arial-7091-Identity-H"/>
          <w:color w:val="0D0D0F"/>
          <w:sz w:val="21"/>
          <w:szCs w:val="21"/>
        </w:rPr>
        <w:t xml:space="preserve"> </w:t>
      </w:r>
      <w:r w:rsidRPr="00360EC2">
        <w:rPr>
          <w:rFonts w:ascii="Abadi" w:hAnsi="Abadi" w:cs="*Arial-7091-Identity-H"/>
          <w:color w:val="0D0D0F"/>
          <w:sz w:val="21"/>
          <w:szCs w:val="21"/>
        </w:rPr>
        <w:t>redunda en las manifestaciones, argumentos, acciones y evidencia presentada en</w:t>
      </w:r>
      <w:r>
        <w:rPr>
          <w:rFonts w:ascii="Abadi" w:hAnsi="Abadi" w:cs="*Arial-7091-Identity-H"/>
          <w:color w:val="0D0D0F"/>
          <w:sz w:val="21"/>
          <w:szCs w:val="21"/>
        </w:rPr>
        <w:t xml:space="preserve"> </w:t>
      </w:r>
      <w:r w:rsidRPr="00360EC2">
        <w:rPr>
          <w:rFonts w:ascii="Abadi" w:hAnsi="Abadi" w:cs="*Arial-7091-Identity-H"/>
          <w:color w:val="0D0D0F"/>
          <w:sz w:val="21"/>
          <w:szCs w:val="21"/>
        </w:rPr>
        <w:t>la respuesta al pliego de recomendaciones, para lo cual la evidencia aportada por</w:t>
      </w:r>
      <w:r>
        <w:rPr>
          <w:rFonts w:ascii="Abadi" w:hAnsi="Abadi" w:cs="*Arial-7091-Identity-H"/>
          <w:color w:val="0D0D0F"/>
          <w:sz w:val="21"/>
          <w:szCs w:val="21"/>
        </w:rPr>
        <w:t xml:space="preserve"> </w:t>
      </w:r>
      <w:r w:rsidRPr="00360EC2">
        <w:rPr>
          <w:rFonts w:ascii="Abadi" w:hAnsi="Abadi" w:cs="*Arial-7091-Identity-H"/>
          <w:color w:val="0D0D0F"/>
          <w:sz w:val="21"/>
          <w:szCs w:val="21"/>
        </w:rPr>
        <w:t>el sujeto fiscalizado debe ser competente, pertinente, suficiente y relevante.</w:t>
      </w:r>
    </w:p>
    <w:p w14:paraId="5A83800F" w14:textId="77777777" w:rsidR="004A6831" w:rsidRPr="00360EC2" w:rsidRDefault="004A6831" w:rsidP="004A6831">
      <w:pPr>
        <w:autoSpaceDE w:val="0"/>
        <w:autoSpaceDN w:val="0"/>
        <w:adjustRightInd w:val="0"/>
        <w:jc w:val="both"/>
        <w:rPr>
          <w:rFonts w:ascii="Abadi" w:hAnsi="Abadi" w:cs="*Arial-7091-Identity-H"/>
          <w:color w:val="0D0D0F"/>
          <w:sz w:val="21"/>
          <w:szCs w:val="21"/>
        </w:rPr>
      </w:pPr>
    </w:p>
    <w:p w14:paraId="01D4AAC0" w14:textId="77777777" w:rsidR="004A6831" w:rsidRDefault="004A6831" w:rsidP="004A6831">
      <w:pPr>
        <w:autoSpaceDE w:val="0"/>
        <w:autoSpaceDN w:val="0"/>
        <w:adjustRightInd w:val="0"/>
        <w:ind w:firstLine="708"/>
        <w:jc w:val="both"/>
        <w:rPr>
          <w:rFonts w:ascii="Abadi" w:hAnsi="Abadi" w:cs="*Arial-7091-Identity-H"/>
          <w:color w:val="0D0D10"/>
          <w:sz w:val="21"/>
          <w:szCs w:val="21"/>
        </w:rPr>
      </w:pPr>
      <w:r w:rsidRPr="00360EC2">
        <w:rPr>
          <w:rFonts w:ascii="Abadi" w:hAnsi="Abadi" w:cs="*Arial-7091-Identity-H"/>
          <w:color w:val="0D0D10"/>
          <w:sz w:val="21"/>
          <w:szCs w:val="21"/>
        </w:rPr>
        <w:t>Respecto al objetivo y alcance de la auditoría se señala que de acuerdo a la</w:t>
      </w:r>
      <w:r>
        <w:rPr>
          <w:rFonts w:ascii="Abadi" w:hAnsi="Abadi" w:cs="*Arial-7091-Identity-H"/>
          <w:color w:val="0D0D10"/>
          <w:sz w:val="21"/>
          <w:szCs w:val="21"/>
        </w:rPr>
        <w:t xml:space="preserve"> </w:t>
      </w:r>
      <w:r w:rsidRPr="00360EC2">
        <w:rPr>
          <w:rFonts w:ascii="Abadi" w:hAnsi="Abadi" w:cs="*Arial-7091-Identity-H"/>
          <w:color w:val="0D0D10"/>
          <w:sz w:val="21"/>
          <w:szCs w:val="21"/>
        </w:rPr>
        <w:t>Organización Internacional de las Entidades Fiscalizadoras Superiores, para las</w:t>
      </w:r>
      <w:r>
        <w:rPr>
          <w:rFonts w:ascii="Abadi" w:hAnsi="Abadi" w:cs="*Arial-7091-Identity-H"/>
          <w:color w:val="0D0D10"/>
          <w:sz w:val="21"/>
          <w:szCs w:val="21"/>
        </w:rPr>
        <w:t xml:space="preserve"> </w:t>
      </w:r>
      <w:r w:rsidRPr="00360EC2">
        <w:rPr>
          <w:rFonts w:ascii="Abadi" w:hAnsi="Abadi" w:cs="*Arial-7091-Identity-H"/>
          <w:color w:val="0D0D10"/>
          <w:sz w:val="21"/>
          <w:szCs w:val="21"/>
        </w:rPr>
        <w:t>auditorias de desempeño existen tres enfoques que están orientados a los</w:t>
      </w:r>
      <w:r>
        <w:rPr>
          <w:rFonts w:ascii="Abadi" w:hAnsi="Abadi" w:cs="*Arial-7091-Identity-H"/>
          <w:color w:val="0D0D10"/>
          <w:sz w:val="21"/>
          <w:szCs w:val="21"/>
        </w:rPr>
        <w:t xml:space="preserve"> </w:t>
      </w:r>
      <w:r w:rsidRPr="00360EC2">
        <w:rPr>
          <w:rFonts w:ascii="Abadi" w:hAnsi="Abadi" w:cs="*Arial-7091-Identity-H"/>
          <w:color w:val="0D0D10"/>
          <w:sz w:val="21"/>
          <w:szCs w:val="21"/>
        </w:rPr>
        <w:t>siguientes aspectos: Al sistema, el cual examina el funcionamiento adecuado de</w:t>
      </w:r>
      <w:r>
        <w:rPr>
          <w:rFonts w:ascii="Abadi" w:hAnsi="Abadi" w:cs="*Arial-7091-Identity-H"/>
          <w:color w:val="0D0D10"/>
          <w:sz w:val="21"/>
          <w:szCs w:val="21"/>
        </w:rPr>
        <w:t xml:space="preserve"> </w:t>
      </w:r>
      <w:r w:rsidRPr="00360EC2">
        <w:rPr>
          <w:rFonts w:ascii="Abadi" w:hAnsi="Abadi" w:cs="*Arial-7091-Identity-H"/>
          <w:color w:val="0D0D10"/>
          <w:sz w:val="21"/>
          <w:szCs w:val="21"/>
        </w:rPr>
        <w:t>los sistemas de gestión; a los resultados, en el que se evalúa si los objetivos en</w:t>
      </w:r>
      <w:r>
        <w:rPr>
          <w:rFonts w:ascii="Abadi" w:hAnsi="Abadi" w:cs="*Arial-7091-Identity-H"/>
          <w:color w:val="0D0D10"/>
          <w:sz w:val="21"/>
          <w:szCs w:val="21"/>
        </w:rPr>
        <w:t xml:space="preserve"> </w:t>
      </w:r>
      <w:r w:rsidRPr="00360EC2">
        <w:rPr>
          <w:rFonts w:ascii="Abadi" w:hAnsi="Abadi" w:cs="*Arial-7091-Identity-H"/>
          <w:color w:val="0D0D10"/>
          <w:sz w:val="21"/>
          <w:szCs w:val="21"/>
        </w:rPr>
        <w:t>términos de resultados o productos han sido alcanzados como se deseaba, o si</w:t>
      </w:r>
      <w:r>
        <w:rPr>
          <w:rFonts w:ascii="Abadi" w:hAnsi="Abadi" w:cs="*Arial-7091-Identity-H"/>
          <w:color w:val="0D0D10"/>
          <w:sz w:val="21"/>
          <w:szCs w:val="21"/>
        </w:rPr>
        <w:t xml:space="preserve"> </w:t>
      </w:r>
      <w:r w:rsidRPr="00360EC2">
        <w:rPr>
          <w:rFonts w:ascii="Abadi" w:hAnsi="Abadi" w:cs="*Arial-7091-Identity-H"/>
          <w:color w:val="0D0D10"/>
          <w:sz w:val="21"/>
          <w:szCs w:val="21"/>
        </w:rPr>
        <w:t>los programas y servicios operan como se esperaba; y al problema, el cual</w:t>
      </w:r>
      <w:r>
        <w:rPr>
          <w:rFonts w:ascii="Abadi" w:hAnsi="Abadi" w:cs="*Arial-7091-Identity-H"/>
          <w:color w:val="0D0D10"/>
          <w:sz w:val="21"/>
          <w:szCs w:val="21"/>
        </w:rPr>
        <w:t xml:space="preserve"> </w:t>
      </w:r>
      <w:r w:rsidRPr="00360EC2">
        <w:rPr>
          <w:rFonts w:ascii="Abadi" w:hAnsi="Abadi" w:cs="*Arial-7091-Identity-H"/>
          <w:color w:val="0D0D10"/>
          <w:sz w:val="21"/>
          <w:szCs w:val="21"/>
        </w:rPr>
        <w:t>examina, verifica y analiza las causas de los problemas particulares o</w:t>
      </w:r>
      <w:r>
        <w:rPr>
          <w:rFonts w:ascii="Abadi" w:hAnsi="Abadi" w:cs="*Arial-7091-Identity-H"/>
          <w:color w:val="0D0D10"/>
          <w:sz w:val="21"/>
          <w:szCs w:val="21"/>
        </w:rPr>
        <w:t xml:space="preserve"> </w:t>
      </w:r>
      <w:r w:rsidRPr="00360EC2">
        <w:rPr>
          <w:rFonts w:ascii="Abadi" w:hAnsi="Abadi" w:cs="*Arial-7091-Identity-H"/>
          <w:color w:val="0D0D10"/>
          <w:sz w:val="21"/>
          <w:szCs w:val="21"/>
        </w:rPr>
        <w:t>desviaciones de los criterios establecidos.</w:t>
      </w:r>
    </w:p>
    <w:p w14:paraId="56A73F6C" w14:textId="77777777" w:rsidR="004A6831" w:rsidRPr="00360EC2" w:rsidRDefault="004A6831" w:rsidP="004A6831">
      <w:pPr>
        <w:autoSpaceDE w:val="0"/>
        <w:autoSpaceDN w:val="0"/>
        <w:adjustRightInd w:val="0"/>
        <w:jc w:val="both"/>
        <w:rPr>
          <w:rFonts w:ascii="Abadi" w:hAnsi="Abadi" w:cs="*Arial-7091-Identity-H"/>
          <w:color w:val="0D0D10"/>
          <w:sz w:val="21"/>
          <w:szCs w:val="21"/>
        </w:rPr>
      </w:pPr>
    </w:p>
    <w:p w14:paraId="6938EA80" w14:textId="77777777" w:rsidR="004A6831" w:rsidRDefault="004A6831" w:rsidP="004A6831">
      <w:pPr>
        <w:autoSpaceDE w:val="0"/>
        <w:autoSpaceDN w:val="0"/>
        <w:adjustRightInd w:val="0"/>
        <w:ind w:firstLine="708"/>
        <w:jc w:val="both"/>
        <w:rPr>
          <w:rFonts w:ascii="Abadi" w:hAnsi="Abadi" w:cs="*Arial-7091-Identity-H"/>
          <w:color w:val="0C0C0F"/>
          <w:sz w:val="21"/>
          <w:szCs w:val="21"/>
        </w:rPr>
      </w:pPr>
      <w:r w:rsidRPr="00360EC2">
        <w:rPr>
          <w:rFonts w:ascii="Abadi" w:hAnsi="Abadi" w:cs="*Arial-7091-Identity-H"/>
          <w:color w:val="0C0C0F"/>
          <w:sz w:val="21"/>
          <w:szCs w:val="21"/>
        </w:rPr>
        <w:t>En las auditorías de desempeño practicadas por la Auditoría Superior del</w:t>
      </w:r>
      <w:r>
        <w:rPr>
          <w:rFonts w:ascii="Abadi" w:hAnsi="Abadi" w:cs="*Arial-7091-Identity-H"/>
          <w:color w:val="0C0C0F"/>
          <w:sz w:val="21"/>
          <w:szCs w:val="21"/>
        </w:rPr>
        <w:t xml:space="preserve"> </w:t>
      </w:r>
      <w:r w:rsidRPr="00360EC2">
        <w:rPr>
          <w:rFonts w:ascii="Abadi" w:hAnsi="Abadi" w:cs="*Arial-7091-Identity-H"/>
          <w:color w:val="0C0C0F"/>
          <w:sz w:val="21"/>
          <w:szCs w:val="21"/>
        </w:rPr>
        <w:t>Estado se consideran dichos enfoques, mediante las auditorías de cumplimiento</w:t>
      </w:r>
      <w:r>
        <w:rPr>
          <w:rFonts w:ascii="Abadi" w:hAnsi="Abadi" w:cs="*Arial-7091-Identity-H"/>
          <w:color w:val="0C0C0F"/>
          <w:sz w:val="21"/>
          <w:szCs w:val="21"/>
        </w:rPr>
        <w:t xml:space="preserve"> </w:t>
      </w:r>
      <w:r w:rsidRPr="00360EC2">
        <w:rPr>
          <w:rFonts w:ascii="Abadi" w:hAnsi="Abadi" w:cs="*Arial-7091-Identity-H"/>
          <w:color w:val="0C0C0F"/>
          <w:sz w:val="21"/>
          <w:szCs w:val="21"/>
        </w:rPr>
        <w:t>de objetivos o resultados, de diseño y de consistencia y resultados.</w:t>
      </w:r>
    </w:p>
    <w:p w14:paraId="4789204B" w14:textId="77777777" w:rsidR="004A6831" w:rsidRPr="00360EC2" w:rsidRDefault="004A6831" w:rsidP="004A6831">
      <w:pPr>
        <w:autoSpaceDE w:val="0"/>
        <w:autoSpaceDN w:val="0"/>
        <w:adjustRightInd w:val="0"/>
        <w:jc w:val="both"/>
        <w:rPr>
          <w:rFonts w:ascii="Abadi" w:hAnsi="Abadi" w:cs="*Arial-7091-Identity-H"/>
          <w:color w:val="0C0C0F"/>
          <w:sz w:val="21"/>
          <w:szCs w:val="21"/>
        </w:rPr>
      </w:pPr>
    </w:p>
    <w:p w14:paraId="72A8B762" w14:textId="77777777" w:rsidR="004A6831" w:rsidRDefault="004A6831" w:rsidP="004A6831">
      <w:pPr>
        <w:autoSpaceDE w:val="0"/>
        <w:autoSpaceDN w:val="0"/>
        <w:adjustRightInd w:val="0"/>
        <w:ind w:firstLine="708"/>
        <w:jc w:val="both"/>
        <w:rPr>
          <w:rFonts w:ascii="Abadi" w:hAnsi="Abadi" w:cs="*Arial-7091-Identity-H"/>
          <w:color w:val="0C0C0E"/>
          <w:sz w:val="21"/>
          <w:szCs w:val="21"/>
        </w:rPr>
      </w:pPr>
      <w:r w:rsidRPr="00360EC2">
        <w:rPr>
          <w:rFonts w:ascii="Abadi" w:hAnsi="Abadi" w:cs="*Arial-7091-Identity-H"/>
          <w:color w:val="0C0C0E"/>
          <w:sz w:val="21"/>
          <w:szCs w:val="21"/>
        </w:rPr>
        <w:t>En la auditoría que nos ocupa se aplicó un enfoque de resultados y se</w:t>
      </w:r>
      <w:r>
        <w:rPr>
          <w:rFonts w:ascii="Abadi" w:hAnsi="Abadi" w:cs="*Arial-7091-Identity-H"/>
          <w:color w:val="0C0C0E"/>
          <w:sz w:val="21"/>
          <w:szCs w:val="21"/>
        </w:rPr>
        <w:t xml:space="preserve"> </w:t>
      </w:r>
      <w:r w:rsidRPr="00360EC2">
        <w:rPr>
          <w:rFonts w:ascii="Abadi" w:hAnsi="Abadi" w:cs="*Arial-7091-Identity-H"/>
          <w:color w:val="0C0C0E"/>
          <w:sz w:val="21"/>
          <w:szCs w:val="21"/>
        </w:rPr>
        <w:t>incluyó en el Programa General de Fiscalización 2021, considerando diversos</w:t>
      </w:r>
      <w:r>
        <w:rPr>
          <w:rFonts w:ascii="Abadi" w:hAnsi="Abadi" w:cs="*Arial-7091-Identity-H"/>
          <w:color w:val="0C0C0E"/>
          <w:sz w:val="21"/>
          <w:szCs w:val="21"/>
        </w:rPr>
        <w:t xml:space="preserve"> </w:t>
      </w:r>
      <w:r w:rsidRPr="00360EC2">
        <w:rPr>
          <w:rFonts w:ascii="Abadi" w:hAnsi="Abadi" w:cs="*Arial-7091-Identity-H"/>
          <w:color w:val="0C0C0E"/>
          <w:sz w:val="21"/>
          <w:szCs w:val="21"/>
        </w:rPr>
        <w:t>criterios metodológicos expuestos en dicho Programa.</w:t>
      </w:r>
    </w:p>
    <w:p w14:paraId="4D901825" w14:textId="77777777" w:rsidR="004A6831" w:rsidRPr="00360EC2" w:rsidRDefault="004A6831" w:rsidP="004A6831">
      <w:pPr>
        <w:autoSpaceDE w:val="0"/>
        <w:autoSpaceDN w:val="0"/>
        <w:adjustRightInd w:val="0"/>
        <w:jc w:val="both"/>
        <w:rPr>
          <w:rFonts w:ascii="Abadi" w:hAnsi="Abadi" w:cs="*Arial-7091-Identity-H"/>
          <w:color w:val="0C0C0E"/>
          <w:sz w:val="21"/>
          <w:szCs w:val="21"/>
        </w:rPr>
      </w:pPr>
    </w:p>
    <w:p w14:paraId="2BFB32DC" w14:textId="77777777" w:rsidR="004A6831" w:rsidRDefault="004A6831" w:rsidP="004A6831">
      <w:pPr>
        <w:autoSpaceDE w:val="0"/>
        <w:autoSpaceDN w:val="0"/>
        <w:adjustRightInd w:val="0"/>
        <w:ind w:firstLine="708"/>
        <w:jc w:val="both"/>
        <w:rPr>
          <w:rFonts w:ascii="Abadi" w:hAnsi="Abadi" w:cs="*Arial-7091-Identity-H"/>
          <w:color w:val="0C0C0F"/>
          <w:sz w:val="21"/>
          <w:szCs w:val="21"/>
        </w:rPr>
      </w:pPr>
      <w:r w:rsidRPr="00360EC2">
        <w:rPr>
          <w:rFonts w:ascii="Abadi" w:hAnsi="Abadi" w:cs="*Arial-7091-Identity-H"/>
          <w:color w:val="0C0C0F"/>
          <w:sz w:val="21"/>
          <w:szCs w:val="21"/>
        </w:rPr>
        <w:t>Dicha auditoria tuvo como objetivo general verificar la capacidad del</w:t>
      </w:r>
      <w:r>
        <w:rPr>
          <w:rFonts w:ascii="Abadi" w:hAnsi="Abadi" w:cs="*Arial-7091-Identity-H"/>
          <w:color w:val="0C0C0F"/>
          <w:sz w:val="21"/>
          <w:szCs w:val="21"/>
        </w:rPr>
        <w:t xml:space="preserve"> </w:t>
      </w:r>
      <w:r w:rsidRPr="00360EC2">
        <w:rPr>
          <w:rFonts w:ascii="Abadi" w:hAnsi="Abadi" w:cs="*Arial-7091-Identity-H"/>
          <w:color w:val="0C0C0F"/>
          <w:sz w:val="21"/>
          <w:szCs w:val="21"/>
        </w:rPr>
        <w:t>Municipio para la prestación eficaz del servicio de alumbrado público y la eficiencia</w:t>
      </w:r>
      <w:r>
        <w:rPr>
          <w:rFonts w:ascii="Abadi" w:hAnsi="Abadi" w:cs="*Arial-7091-Identity-H"/>
          <w:color w:val="0C0C0F"/>
          <w:sz w:val="21"/>
          <w:szCs w:val="21"/>
        </w:rPr>
        <w:t xml:space="preserve"> </w:t>
      </w:r>
      <w:r w:rsidRPr="00360EC2">
        <w:rPr>
          <w:rFonts w:ascii="Abadi" w:hAnsi="Abadi" w:cs="*Arial-7091-Identity-H"/>
          <w:color w:val="0C0C0F"/>
          <w:sz w:val="21"/>
          <w:szCs w:val="21"/>
        </w:rPr>
        <w:t>en sus funciones de planificación, operación y seguimiento.</w:t>
      </w:r>
    </w:p>
    <w:p w14:paraId="5EDAFF95" w14:textId="77777777" w:rsidR="004A6831" w:rsidRPr="00360EC2" w:rsidRDefault="004A6831" w:rsidP="004A6831">
      <w:pPr>
        <w:autoSpaceDE w:val="0"/>
        <w:autoSpaceDN w:val="0"/>
        <w:adjustRightInd w:val="0"/>
        <w:jc w:val="both"/>
        <w:rPr>
          <w:rFonts w:ascii="Abadi" w:hAnsi="Abadi" w:cs="*Arial-7091-Identity-H"/>
          <w:color w:val="0C0C0F"/>
          <w:sz w:val="21"/>
          <w:szCs w:val="21"/>
        </w:rPr>
      </w:pPr>
    </w:p>
    <w:p w14:paraId="19274868" w14:textId="4032F6A0" w:rsidR="004A6831" w:rsidRDefault="004A6831" w:rsidP="00F77E8C">
      <w:pPr>
        <w:autoSpaceDE w:val="0"/>
        <w:autoSpaceDN w:val="0"/>
        <w:adjustRightInd w:val="0"/>
        <w:ind w:firstLine="708"/>
        <w:jc w:val="both"/>
        <w:rPr>
          <w:rFonts w:ascii="Abadi" w:hAnsi="Abadi" w:cs="*Arial-7091-Identity-H"/>
          <w:color w:val="0C0C0F"/>
          <w:sz w:val="21"/>
          <w:szCs w:val="21"/>
        </w:rPr>
      </w:pPr>
      <w:r w:rsidRPr="00360EC2">
        <w:rPr>
          <w:rFonts w:ascii="Abadi" w:hAnsi="Abadi" w:cs="*Arial-7091-Identity-H"/>
          <w:color w:val="0C0C0F"/>
          <w:sz w:val="21"/>
          <w:szCs w:val="21"/>
        </w:rPr>
        <w:t>En cuanto a la temporalidad, el alcance de la auditoría abarcó el periodo</w:t>
      </w:r>
      <w:r>
        <w:rPr>
          <w:rFonts w:ascii="Abadi" w:hAnsi="Abadi" w:cs="*Arial-7091-Identity-H"/>
          <w:color w:val="0C0C0F"/>
          <w:sz w:val="21"/>
          <w:szCs w:val="21"/>
        </w:rPr>
        <w:t xml:space="preserve"> </w:t>
      </w:r>
      <w:r w:rsidRPr="00360EC2">
        <w:rPr>
          <w:rFonts w:ascii="Abadi" w:hAnsi="Abadi" w:cs="*Arial-7091-Identity-H"/>
          <w:color w:val="0C0C0F"/>
          <w:sz w:val="21"/>
          <w:szCs w:val="21"/>
        </w:rPr>
        <w:t>comprendido de enero a diciembre del ejercicio fiscal 2020; asimismo, respecto a</w:t>
      </w:r>
      <w:r>
        <w:rPr>
          <w:rFonts w:ascii="Abadi" w:hAnsi="Abadi" w:cs="*Arial-7091-Identity-H"/>
          <w:color w:val="0C0C0F"/>
          <w:sz w:val="21"/>
          <w:szCs w:val="21"/>
        </w:rPr>
        <w:t xml:space="preserve"> </w:t>
      </w:r>
      <w:r w:rsidRPr="00360EC2">
        <w:rPr>
          <w:rFonts w:ascii="Abadi" w:hAnsi="Abadi" w:cs="*Arial-7091-Identity-H"/>
          <w:color w:val="0C0C0F"/>
          <w:sz w:val="21"/>
          <w:szCs w:val="21"/>
        </w:rPr>
        <w:t>la profundidad temática se revisó la eficiencia en la gestión de la información que</w:t>
      </w:r>
      <w:r>
        <w:rPr>
          <w:rFonts w:ascii="Abadi" w:hAnsi="Abadi" w:cs="*Arial-7091-Identity-H"/>
          <w:color w:val="0C0C0F"/>
          <w:sz w:val="21"/>
          <w:szCs w:val="21"/>
        </w:rPr>
        <w:t xml:space="preserve"> </w:t>
      </w:r>
      <w:r w:rsidRPr="00360EC2">
        <w:rPr>
          <w:rFonts w:ascii="Abadi" w:hAnsi="Abadi" w:cs="*Arial-7091-Identity-H"/>
          <w:color w:val="0C0C0F"/>
          <w:sz w:val="21"/>
          <w:szCs w:val="21"/>
        </w:rPr>
        <w:t>dispone el Municipio para identificar la estimación tanto de la oferta del servicio de</w:t>
      </w:r>
      <w:r>
        <w:rPr>
          <w:rFonts w:ascii="Abadi" w:hAnsi="Abadi" w:cs="*Arial-7091-Identity-H"/>
          <w:color w:val="0C0C0F"/>
          <w:sz w:val="21"/>
          <w:szCs w:val="21"/>
        </w:rPr>
        <w:t xml:space="preserve"> </w:t>
      </w:r>
      <w:r w:rsidRPr="00360EC2">
        <w:rPr>
          <w:rFonts w:ascii="Abadi" w:hAnsi="Abadi" w:cs="*Arial-7091-Identity-H"/>
          <w:color w:val="0C0C0F"/>
          <w:sz w:val="21"/>
          <w:szCs w:val="21"/>
        </w:rPr>
        <w:t>alumbrado público como de los recursos necesarios para su implementación;</w:t>
      </w:r>
      <w:r>
        <w:rPr>
          <w:rFonts w:ascii="Abadi" w:hAnsi="Abadi" w:cs="*Arial-7091-Identity-H"/>
          <w:color w:val="0C0C0F"/>
          <w:sz w:val="21"/>
          <w:szCs w:val="21"/>
        </w:rPr>
        <w:t xml:space="preserve"> </w:t>
      </w:r>
      <w:r w:rsidRPr="00360EC2">
        <w:rPr>
          <w:rFonts w:ascii="Abadi" w:hAnsi="Abadi" w:cs="*Arial-7091-Identity-H"/>
          <w:color w:val="0C0C0F"/>
          <w:sz w:val="21"/>
          <w:szCs w:val="21"/>
        </w:rPr>
        <w:t>sobre el estado que guarda la organización del Municipio para brindar el servicio</w:t>
      </w:r>
      <w:r w:rsidR="00F77E8C">
        <w:rPr>
          <w:rFonts w:ascii="Abadi" w:hAnsi="Abadi" w:cs="*Arial-7091-Identity-H"/>
          <w:color w:val="0C0C0F"/>
          <w:sz w:val="21"/>
          <w:szCs w:val="21"/>
        </w:rPr>
        <w:t xml:space="preserve"> </w:t>
      </w:r>
      <w:r w:rsidRPr="00360EC2">
        <w:rPr>
          <w:rFonts w:ascii="Abadi" w:hAnsi="Abadi" w:cs="*Arial-7091-Identity-H"/>
          <w:color w:val="0C0C0F"/>
          <w:sz w:val="21"/>
          <w:szCs w:val="21"/>
        </w:rPr>
        <w:t>de alumbrado público y la gestión de la calidad sobre sus procesos clave; y el uso</w:t>
      </w:r>
      <w:r>
        <w:rPr>
          <w:rFonts w:ascii="Abadi" w:hAnsi="Abadi" w:cs="*Arial-7091-Identity-H"/>
          <w:color w:val="0C0C0F"/>
          <w:sz w:val="21"/>
          <w:szCs w:val="21"/>
        </w:rPr>
        <w:t xml:space="preserve"> </w:t>
      </w:r>
      <w:r w:rsidRPr="00360EC2">
        <w:rPr>
          <w:rFonts w:ascii="Abadi" w:hAnsi="Abadi" w:cs="*Arial-7091-Identity-H"/>
          <w:color w:val="0C0C0F"/>
          <w:sz w:val="21"/>
          <w:szCs w:val="21"/>
        </w:rPr>
        <w:t>de herramientas para la planificación operativa y el seguimiento de las actividades</w:t>
      </w:r>
      <w:r>
        <w:rPr>
          <w:rFonts w:ascii="Abadi" w:hAnsi="Abadi" w:cs="*Arial-7091-Identity-H"/>
          <w:color w:val="0C0C0F"/>
          <w:sz w:val="21"/>
          <w:szCs w:val="21"/>
        </w:rPr>
        <w:t xml:space="preserve"> </w:t>
      </w:r>
      <w:r w:rsidRPr="00360EC2">
        <w:rPr>
          <w:rFonts w:ascii="Abadi" w:hAnsi="Abadi" w:cs="*Arial-7091-Identity-H"/>
          <w:color w:val="0C0C0F"/>
          <w:sz w:val="21"/>
          <w:szCs w:val="21"/>
        </w:rPr>
        <w:t>vinculadas a la atención de reportes por fallas en el servicio.</w:t>
      </w:r>
    </w:p>
    <w:p w14:paraId="131178C1" w14:textId="77777777" w:rsidR="004A6831" w:rsidRDefault="004A6831" w:rsidP="004A6831">
      <w:pPr>
        <w:autoSpaceDE w:val="0"/>
        <w:autoSpaceDN w:val="0"/>
        <w:adjustRightInd w:val="0"/>
        <w:jc w:val="both"/>
        <w:rPr>
          <w:rFonts w:ascii="Abadi" w:hAnsi="Abadi" w:cs="*Arial-7091-Identity-H"/>
          <w:color w:val="0C0C0F"/>
          <w:sz w:val="21"/>
          <w:szCs w:val="21"/>
        </w:rPr>
      </w:pPr>
    </w:p>
    <w:p w14:paraId="205235B8" w14:textId="77777777" w:rsidR="004A6831" w:rsidRDefault="004A6831" w:rsidP="004A6831">
      <w:pPr>
        <w:autoSpaceDE w:val="0"/>
        <w:autoSpaceDN w:val="0"/>
        <w:adjustRightInd w:val="0"/>
        <w:ind w:firstLine="708"/>
        <w:jc w:val="both"/>
        <w:rPr>
          <w:rFonts w:ascii="Abadi" w:hAnsi="Abadi" w:cs="*Arial-10133-Identity-H"/>
          <w:color w:val="0D0D0F"/>
          <w:sz w:val="21"/>
          <w:szCs w:val="21"/>
        </w:rPr>
      </w:pPr>
      <w:r w:rsidRPr="00360EC2">
        <w:rPr>
          <w:rFonts w:ascii="Abadi" w:hAnsi="Abadi" w:cs="*Arial-7091-Identity-H"/>
          <w:color w:val="0C0C0F"/>
          <w:sz w:val="21"/>
          <w:szCs w:val="21"/>
        </w:rPr>
        <w:t>Así como, la eficacia</w:t>
      </w:r>
      <w:r>
        <w:rPr>
          <w:rFonts w:ascii="Abadi" w:hAnsi="Abadi" w:cs="*Arial-7091-Identity-H"/>
          <w:color w:val="0C0C0F"/>
          <w:sz w:val="21"/>
          <w:szCs w:val="21"/>
        </w:rPr>
        <w:t xml:space="preserve"> </w:t>
      </w:r>
      <w:r w:rsidRPr="00360EC2">
        <w:rPr>
          <w:rFonts w:ascii="Abadi" w:hAnsi="Abadi" w:cs="*Arial-7091-Identity-H"/>
          <w:color w:val="0C0C0F"/>
          <w:sz w:val="21"/>
          <w:szCs w:val="21"/>
        </w:rPr>
        <w:t>en los resultados de la capacidad municipal en la prestación del servicio de</w:t>
      </w:r>
      <w:r>
        <w:rPr>
          <w:rFonts w:ascii="Abadi" w:hAnsi="Abadi" w:cs="*Arial-7091-Identity-H"/>
          <w:color w:val="0C0C0F"/>
          <w:sz w:val="21"/>
          <w:szCs w:val="21"/>
        </w:rPr>
        <w:t xml:space="preserve"> </w:t>
      </w:r>
      <w:r w:rsidRPr="00360EC2">
        <w:rPr>
          <w:rFonts w:ascii="Abadi" w:hAnsi="Abadi" w:cs="*Arial-7091-Identity-H"/>
          <w:color w:val="0C0C0F"/>
          <w:sz w:val="21"/>
          <w:szCs w:val="21"/>
        </w:rPr>
        <w:t>alumbrado público en el ejercicio 2020 a partir del grado de funcionamiento de las</w:t>
      </w:r>
      <w:r>
        <w:rPr>
          <w:rFonts w:ascii="Abadi" w:hAnsi="Abadi" w:cs="*Arial-7091-Identity-H"/>
          <w:color w:val="0C0C0F"/>
          <w:sz w:val="21"/>
          <w:szCs w:val="21"/>
        </w:rPr>
        <w:t xml:space="preserve"> </w:t>
      </w:r>
      <w:r w:rsidRPr="00360EC2">
        <w:rPr>
          <w:rFonts w:ascii="Abadi" w:hAnsi="Abadi" w:cs="*Arial-7091-Identity-H"/>
          <w:color w:val="0C0C0F"/>
          <w:sz w:val="21"/>
          <w:szCs w:val="21"/>
        </w:rPr>
        <w:t>luminarias que lo conforman, la cobertura lograda y la satisfacción ciudadana</w:t>
      </w:r>
      <w:r>
        <w:rPr>
          <w:rFonts w:ascii="Abadi" w:hAnsi="Abadi" w:cs="*Arial-7091-Identity-H"/>
          <w:color w:val="0C0C0F"/>
          <w:sz w:val="21"/>
          <w:szCs w:val="21"/>
        </w:rPr>
        <w:t xml:space="preserve"> </w:t>
      </w:r>
      <w:r w:rsidRPr="00360EC2">
        <w:rPr>
          <w:rFonts w:ascii="Abadi" w:hAnsi="Abadi" w:cs="*Arial-10133-Identity-H"/>
          <w:color w:val="0D0D0F"/>
          <w:sz w:val="21"/>
          <w:szCs w:val="21"/>
        </w:rPr>
        <w:t>sobre el servicio, y de la relevancia y suficiencia de los mecanismos que permiten</w:t>
      </w:r>
      <w:r>
        <w:rPr>
          <w:rFonts w:ascii="Abadi" w:hAnsi="Abadi" w:cs="*Arial-10133-Identity-H"/>
          <w:color w:val="0D0D0F"/>
          <w:sz w:val="21"/>
          <w:szCs w:val="21"/>
        </w:rPr>
        <w:t xml:space="preserve"> </w:t>
      </w:r>
      <w:r w:rsidRPr="00360EC2">
        <w:rPr>
          <w:rFonts w:ascii="Abadi" w:hAnsi="Abadi" w:cs="*Arial-10133-Identity-H"/>
          <w:color w:val="0D0D0F"/>
          <w:sz w:val="21"/>
          <w:szCs w:val="21"/>
        </w:rPr>
        <w:t>monitorear el desempeño y los resultados del servicio.</w:t>
      </w:r>
    </w:p>
    <w:p w14:paraId="0CE390C4" w14:textId="77777777" w:rsidR="004A6831" w:rsidRPr="00360EC2" w:rsidRDefault="004A6831" w:rsidP="004A6831">
      <w:pPr>
        <w:autoSpaceDE w:val="0"/>
        <w:autoSpaceDN w:val="0"/>
        <w:adjustRightInd w:val="0"/>
        <w:jc w:val="both"/>
        <w:rPr>
          <w:rFonts w:ascii="Abadi" w:hAnsi="Abadi" w:cs="*Arial-10133-Identity-H"/>
          <w:color w:val="0D0D0F"/>
          <w:sz w:val="21"/>
          <w:szCs w:val="21"/>
        </w:rPr>
      </w:pPr>
    </w:p>
    <w:p w14:paraId="1135562B" w14:textId="77777777" w:rsidR="004A6831" w:rsidRDefault="004A6831" w:rsidP="004A6831">
      <w:pPr>
        <w:autoSpaceDE w:val="0"/>
        <w:autoSpaceDN w:val="0"/>
        <w:adjustRightInd w:val="0"/>
        <w:ind w:firstLine="708"/>
        <w:jc w:val="both"/>
        <w:rPr>
          <w:rFonts w:ascii="Abadi" w:hAnsi="Abadi" w:cs="*Arial-10133-Identity-H"/>
          <w:color w:val="0D0D10"/>
          <w:sz w:val="21"/>
          <w:szCs w:val="21"/>
        </w:rPr>
      </w:pPr>
      <w:r w:rsidRPr="00360EC2">
        <w:rPr>
          <w:rFonts w:ascii="Abadi" w:hAnsi="Abadi" w:cs="*Arial-10133-Identity-H"/>
          <w:color w:val="0D0D10"/>
          <w:sz w:val="21"/>
          <w:szCs w:val="21"/>
        </w:rPr>
        <w:t>Respecto a los antecedentes del proceso de fiscalización, estos ya se</w:t>
      </w:r>
      <w:r>
        <w:rPr>
          <w:rFonts w:ascii="Abadi" w:hAnsi="Abadi" w:cs="*Arial-10133-Identity-H"/>
          <w:color w:val="0D0D10"/>
          <w:sz w:val="21"/>
          <w:szCs w:val="21"/>
        </w:rPr>
        <w:t xml:space="preserve"> </w:t>
      </w:r>
      <w:r w:rsidRPr="00360EC2">
        <w:rPr>
          <w:rFonts w:ascii="Abadi" w:hAnsi="Abadi" w:cs="*Arial-10133-Identity-H"/>
          <w:color w:val="0D0D10"/>
          <w:sz w:val="21"/>
          <w:szCs w:val="21"/>
        </w:rPr>
        <w:t>detallaron en el apartado correspondiente.</w:t>
      </w:r>
    </w:p>
    <w:p w14:paraId="4637747B" w14:textId="77777777" w:rsidR="004A6831" w:rsidRPr="00360EC2" w:rsidRDefault="004A6831" w:rsidP="004A6831">
      <w:pPr>
        <w:autoSpaceDE w:val="0"/>
        <w:autoSpaceDN w:val="0"/>
        <w:adjustRightInd w:val="0"/>
        <w:jc w:val="both"/>
        <w:rPr>
          <w:rFonts w:ascii="Abadi" w:hAnsi="Abadi" w:cs="*Arial-10133-Identity-H"/>
          <w:color w:val="0D0D10"/>
          <w:sz w:val="21"/>
          <w:szCs w:val="21"/>
        </w:rPr>
      </w:pPr>
    </w:p>
    <w:p w14:paraId="587C69C0" w14:textId="6599F700" w:rsidR="004A6831" w:rsidRDefault="004A6831" w:rsidP="004A6831">
      <w:pPr>
        <w:autoSpaceDE w:val="0"/>
        <w:autoSpaceDN w:val="0"/>
        <w:adjustRightInd w:val="0"/>
        <w:ind w:firstLine="708"/>
        <w:jc w:val="both"/>
        <w:rPr>
          <w:rFonts w:ascii="Abadi" w:hAnsi="Abadi" w:cs="*Arial-10133-Identity-H"/>
          <w:color w:val="0C0B0E"/>
          <w:sz w:val="21"/>
          <w:szCs w:val="21"/>
        </w:rPr>
      </w:pPr>
      <w:r w:rsidRPr="00360EC2">
        <w:rPr>
          <w:rFonts w:ascii="Abadi" w:hAnsi="Abadi" w:cs="*Arial-10133-Identity-H"/>
          <w:color w:val="0C0B0E"/>
          <w:sz w:val="21"/>
          <w:szCs w:val="21"/>
        </w:rPr>
        <w:t>En cuanto al contexto de la política pública de la materia a auditar, se</w:t>
      </w:r>
      <w:r>
        <w:rPr>
          <w:rFonts w:ascii="Abadi" w:hAnsi="Abadi" w:cs="*Arial-10133-Identity-H"/>
          <w:color w:val="0C0B0E"/>
          <w:sz w:val="21"/>
          <w:szCs w:val="21"/>
        </w:rPr>
        <w:t xml:space="preserve"> </w:t>
      </w:r>
      <w:r w:rsidRPr="00360EC2">
        <w:rPr>
          <w:rFonts w:ascii="Abadi" w:hAnsi="Abadi" w:cs="*Arial-10133-Identity-H"/>
          <w:color w:val="0C0B0E"/>
          <w:sz w:val="21"/>
          <w:szCs w:val="21"/>
        </w:rPr>
        <w:t>refiere que el Municipio libre es la base de la división territorial del Estado, de su</w:t>
      </w:r>
      <w:r>
        <w:rPr>
          <w:rFonts w:ascii="Abadi" w:hAnsi="Abadi" w:cs="*Arial-10133-Identity-H"/>
          <w:color w:val="0C0B0E"/>
          <w:sz w:val="21"/>
          <w:szCs w:val="21"/>
        </w:rPr>
        <w:t xml:space="preserve"> </w:t>
      </w:r>
      <w:r w:rsidRPr="00360EC2">
        <w:rPr>
          <w:rFonts w:ascii="Abadi" w:hAnsi="Abadi" w:cs="*Arial-10133-Identity-H"/>
          <w:color w:val="0C0B0E"/>
          <w:sz w:val="21"/>
          <w:szCs w:val="21"/>
        </w:rPr>
        <w:t>organización política y administrativa, y como principio de legalidad la autoridad</w:t>
      </w:r>
      <w:r>
        <w:rPr>
          <w:rFonts w:ascii="Abadi" w:hAnsi="Abadi" w:cs="*Arial-10133-Identity-H"/>
          <w:color w:val="0C0B0E"/>
          <w:sz w:val="21"/>
          <w:szCs w:val="21"/>
        </w:rPr>
        <w:t xml:space="preserve"> </w:t>
      </w:r>
      <w:r w:rsidRPr="00360EC2">
        <w:rPr>
          <w:rFonts w:ascii="Abadi" w:hAnsi="Abadi" w:cs="*Arial-10133-Identity-H"/>
          <w:color w:val="0C0B0E"/>
          <w:sz w:val="21"/>
          <w:szCs w:val="21"/>
        </w:rPr>
        <w:t>municipal puede hacer únicamente lo que la ley le concede, encontrándose dentro</w:t>
      </w:r>
      <w:r>
        <w:rPr>
          <w:rFonts w:ascii="Abadi" w:hAnsi="Abadi" w:cs="*Arial-10133-Identity-H"/>
          <w:color w:val="0C0B0E"/>
          <w:sz w:val="21"/>
          <w:szCs w:val="21"/>
        </w:rPr>
        <w:t xml:space="preserve"> </w:t>
      </w:r>
      <w:r w:rsidRPr="00360EC2">
        <w:rPr>
          <w:rFonts w:ascii="Abadi" w:hAnsi="Abadi" w:cs="*Arial-10133-Identity-H"/>
          <w:color w:val="0C0B0E"/>
          <w:sz w:val="21"/>
          <w:szCs w:val="21"/>
        </w:rPr>
        <w:t>de sus atribuciones la de otorgar los servicios públicos al Municipio.</w:t>
      </w:r>
    </w:p>
    <w:p w14:paraId="5EA59716" w14:textId="77777777" w:rsidR="00A95C00" w:rsidRDefault="00A95C00" w:rsidP="004A6831">
      <w:pPr>
        <w:autoSpaceDE w:val="0"/>
        <w:autoSpaceDN w:val="0"/>
        <w:adjustRightInd w:val="0"/>
        <w:ind w:firstLine="708"/>
        <w:jc w:val="both"/>
        <w:rPr>
          <w:rFonts w:ascii="Abadi" w:hAnsi="Abadi" w:cs="*Arial-10133-Identity-H"/>
          <w:color w:val="0C0B0E"/>
          <w:sz w:val="21"/>
          <w:szCs w:val="21"/>
        </w:rPr>
      </w:pPr>
    </w:p>
    <w:p w14:paraId="51716221" w14:textId="05C1E6F0" w:rsidR="004A6831" w:rsidRDefault="004A6831" w:rsidP="004A6831">
      <w:pPr>
        <w:autoSpaceDE w:val="0"/>
        <w:autoSpaceDN w:val="0"/>
        <w:adjustRightInd w:val="0"/>
        <w:ind w:firstLine="708"/>
        <w:jc w:val="both"/>
        <w:rPr>
          <w:rFonts w:ascii="Abadi" w:hAnsi="Abadi" w:cs="*Microsoft Sans Serif-Bold-1013"/>
          <w:b/>
          <w:bCs/>
          <w:color w:val="0D0D0F"/>
          <w:sz w:val="21"/>
          <w:szCs w:val="21"/>
        </w:rPr>
      </w:pPr>
      <w:r w:rsidRPr="00360EC2">
        <w:rPr>
          <w:rFonts w:ascii="Abadi" w:hAnsi="Abadi" w:cs="*Arial-10133-Identity-H"/>
          <w:color w:val="0D0D0F"/>
          <w:sz w:val="21"/>
          <w:szCs w:val="21"/>
        </w:rPr>
        <w:t xml:space="preserve">También se precisa que el servicio público </w:t>
      </w:r>
      <w:r w:rsidRPr="00360EC2">
        <w:rPr>
          <w:rFonts w:ascii="Abadi" w:hAnsi="Abadi" w:cs="*Arial-Italic-10134-Identity-H"/>
          <w:i/>
          <w:iCs/>
          <w:color w:val="0D0D0F"/>
          <w:sz w:val="21"/>
          <w:szCs w:val="21"/>
        </w:rPr>
        <w:t>«es la institución jurídica</w:t>
      </w:r>
      <w:r>
        <w:rPr>
          <w:rFonts w:ascii="Abadi" w:hAnsi="Abadi" w:cs="*Arial-Italic-10134-Identity-H"/>
          <w:i/>
          <w:iCs/>
          <w:color w:val="0D0D0F"/>
          <w:sz w:val="21"/>
          <w:szCs w:val="21"/>
        </w:rPr>
        <w:t xml:space="preserve"> </w:t>
      </w:r>
      <w:r w:rsidRPr="00360EC2">
        <w:rPr>
          <w:rFonts w:ascii="Abadi" w:hAnsi="Abadi" w:cs="*Arial-Italic-10134-Identity-H"/>
          <w:i/>
          <w:iCs/>
          <w:color w:val="0D0D0F"/>
          <w:sz w:val="21"/>
          <w:szCs w:val="21"/>
        </w:rPr>
        <w:t>administrativa en la que el titular es el Estado (municipio) y cuya única finalidad</w:t>
      </w:r>
      <w:r>
        <w:rPr>
          <w:rFonts w:ascii="Abadi" w:hAnsi="Abadi" w:cs="*Arial-Italic-10134-Identity-H"/>
          <w:i/>
          <w:iCs/>
          <w:color w:val="0D0D0F"/>
          <w:sz w:val="21"/>
          <w:szCs w:val="21"/>
        </w:rPr>
        <w:t xml:space="preserve"> </w:t>
      </w:r>
      <w:r w:rsidRPr="00360EC2">
        <w:rPr>
          <w:rFonts w:ascii="Abadi" w:hAnsi="Abadi" w:cs="*Arial-Italic-10134-Identity-H"/>
          <w:i/>
          <w:iCs/>
          <w:color w:val="0D0D0F"/>
          <w:sz w:val="21"/>
          <w:szCs w:val="21"/>
        </w:rPr>
        <w:t>consiste en satisfacer de manera regular, continua y uniforme necesidades</w:t>
      </w:r>
      <w:r>
        <w:rPr>
          <w:rFonts w:ascii="Abadi" w:hAnsi="Abadi" w:cs="*Arial-Italic-10134-Identity-H"/>
          <w:i/>
          <w:iCs/>
          <w:color w:val="0D0D0F"/>
          <w:sz w:val="21"/>
          <w:szCs w:val="21"/>
        </w:rPr>
        <w:t xml:space="preserve"> </w:t>
      </w:r>
      <w:r w:rsidRPr="00360EC2">
        <w:rPr>
          <w:rFonts w:ascii="Abadi" w:hAnsi="Abadi" w:cs="*Arial-Italic-10134-Identity-H"/>
          <w:i/>
          <w:iCs/>
          <w:color w:val="0D0D0F"/>
          <w:sz w:val="21"/>
          <w:szCs w:val="21"/>
        </w:rPr>
        <w:t xml:space="preserve">públicas de carácter esencial, básico o fundamental; se concreta </w:t>
      </w:r>
      <w:r w:rsidRPr="00360EC2">
        <w:rPr>
          <w:rFonts w:ascii="Abadi" w:hAnsi="Abadi" w:cs="*Arial-10133-Identity-H"/>
          <w:color w:val="0D0D0F"/>
          <w:sz w:val="21"/>
          <w:szCs w:val="21"/>
        </w:rPr>
        <w:t xml:space="preserve">a </w:t>
      </w:r>
      <w:r w:rsidRPr="00360EC2">
        <w:rPr>
          <w:rFonts w:ascii="Abadi" w:hAnsi="Abadi" w:cs="*Arial-Italic-10134-Identity-H"/>
          <w:i/>
          <w:iCs/>
          <w:color w:val="0D0D0F"/>
          <w:sz w:val="21"/>
          <w:szCs w:val="21"/>
        </w:rPr>
        <w:t xml:space="preserve">través de </w:t>
      </w:r>
      <w:r w:rsidRPr="00360EC2">
        <w:rPr>
          <w:rFonts w:ascii="Abadi" w:hAnsi="Abadi" w:cs="*Arial-10133-Identity-H"/>
          <w:color w:val="0D0D0F"/>
          <w:sz w:val="21"/>
          <w:szCs w:val="21"/>
        </w:rPr>
        <w:t>las</w:t>
      </w:r>
      <w:r>
        <w:rPr>
          <w:rFonts w:ascii="Abadi" w:hAnsi="Abadi" w:cs="*Arial-10133-Identity-H"/>
          <w:color w:val="0D0D0F"/>
          <w:sz w:val="21"/>
          <w:szCs w:val="21"/>
        </w:rPr>
        <w:t xml:space="preserve"> </w:t>
      </w:r>
      <w:r w:rsidRPr="00360EC2">
        <w:rPr>
          <w:rFonts w:ascii="Abadi" w:hAnsi="Abadi" w:cs="*Arial-Italic-10134-Identity-H"/>
          <w:i/>
          <w:iCs/>
          <w:color w:val="0D0D0F"/>
          <w:sz w:val="21"/>
          <w:szCs w:val="21"/>
        </w:rPr>
        <w:t>prestaciones individualizadas las cuales podrán ser suministradas directamente</w:t>
      </w:r>
      <w:r>
        <w:rPr>
          <w:rFonts w:ascii="Abadi" w:hAnsi="Abadi" w:cs="*Arial-Italic-10134-Identity-H"/>
          <w:i/>
          <w:iCs/>
          <w:color w:val="0D0D0F"/>
          <w:sz w:val="21"/>
          <w:szCs w:val="21"/>
        </w:rPr>
        <w:t xml:space="preserve"> </w:t>
      </w:r>
      <w:r w:rsidRPr="00360EC2">
        <w:rPr>
          <w:rFonts w:ascii="Abadi" w:hAnsi="Abadi" w:cs="*Arial-Italic-10134-Identity-H"/>
          <w:i/>
          <w:iCs/>
          <w:color w:val="0D0D0F"/>
          <w:sz w:val="21"/>
          <w:szCs w:val="21"/>
        </w:rPr>
        <w:t xml:space="preserve">por el Estado (municipio) </w:t>
      </w:r>
      <w:r w:rsidRPr="00360EC2">
        <w:rPr>
          <w:rFonts w:ascii="Abadi" w:hAnsi="Abadi" w:cs="*Arial-10133-Identity-H"/>
          <w:color w:val="0D0D0F"/>
          <w:sz w:val="21"/>
          <w:szCs w:val="21"/>
        </w:rPr>
        <w:t xml:space="preserve">o </w:t>
      </w:r>
      <w:r w:rsidRPr="00360EC2">
        <w:rPr>
          <w:rFonts w:ascii="Abadi" w:hAnsi="Abadi" w:cs="*Arial-Italic-10134-Identity-H"/>
          <w:i/>
          <w:iCs/>
          <w:color w:val="0D0D0F"/>
          <w:sz w:val="21"/>
          <w:szCs w:val="21"/>
        </w:rPr>
        <w:t>por los particulares mediante concesión. Por su</w:t>
      </w:r>
      <w:r>
        <w:rPr>
          <w:rFonts w:ascii="Abadi" w:hAnsi="Abadi" w:cs="*Arial-Italic-10134-Identity-H"/>
          <w:i/>
          <w:iCs/>
          <w:color w:val="0D0D0F"/>
          <w:sz w:val="21"/>
          <w:szCs w:val="21"/>
        </w:rPr>
        <w:t xml:space="preserve"> </w:t>
      </w:r>
      <w:r w:rsidRPr="00360EC2">
        <w:rPr>
          <w:rFonts w:ascii="Abadi" w:hAnsi="Abadi" w:cs="*Arial-Italic-10134-Identity-H"/>
          <w:i/>
          <w:iCs/>
          <w:color w:val="0D0D0F"/>
          <w:sz w:val="21"/>
          <w:szCs w:val="21"/>
        </w:rPr>
        <w:t xml:space="preserve">naturaleza, estará sujeta </w:t>
      </w:r>
      <w:r w:rsidRPr="00360EC2">
        <w:rPr>
          <w:rFonts w:ascii="Abadi" w:hAnsi="Abadi" w:cs="*Arial-10133-Identity-H"/>
          <w:color w:val="0D0D0F"/>
          <w:sz w:val="21"/>
          <w:szCs w:val="21"/>
        </w:rPr>
        <w:t xml:space="preserve">a </w:t>
      </w:r>
      <w:r w:rsidRPr="00360EC2">
        <w:rPr>
          <w:rFonts w:ascii="Abadi" w:hAnsi="Abadi" w:cs="*Arial-Italic-10134-Identity-H"/>
          <w:i/>
          <w:iCs/>
          <w:color w:val="0D0D0F"/>
          <w:sz w:val="21"/>
          <w:szCs w:val="21"/>
        </w:rPr>
        <w:t xml:space="preserve">normas </w:t>
      </w:r>
      <w:r w:rsidRPr="00360EC2">
        <w:rPr>
          <w:rFonts w:ascii="Abadi" w:hAnsi="Abadi" w:cs="*Arial-Italic-10135-Identity-H"/>
          <w:i/>
          <w:iCs/>
          <w:color w:val="0D0D0F"/>
          <w:sz w:val="21"/>
          <w:szCs w:val="21"/>
        </w:rPr>
        <w:t xml:space="preserve">y </w:t>
      </w:r>
      <w:r w:rsidRPr="00360EC2">
        <w:rPr>
          <w:rFonts w:ascii="Abadi" w:hAnsi="Abadi" w:cs="*Arial-Italic-10134-Identity-H"/>
          <w:i/>
          <w:iCs/>
          <w:color w:val="0D0D0F"/>
          <w:sz w:val="21"/>
          <w:szCs w:val="21"/>
        </w:rPr>
        <w:t>principios de derecho público</w:t>
      </w:r>
      <w:proofErr w:type="gramStart"/>
      <w:r w:rsidRPr="00360EC2">
        <w:rPr>
          <w:rFonts w:ascii="Abadi" w:hAnsi="Abadi" w:cs="*Arial-Italic-10134-Identity-H"/>
          <w:i/>
          <w:iCs/>
          <w:color w:val="0D0D0F"/>
          <w:sz w:val="21"/>
          <w:szCs w:val="21"/>
        </w:rPr>
        <w:t xml:space="preserve">» </w:t>
      </w:r>
      <w:r w:rsidRPr="00360EC2">
        <w:rPr>
          <w:rFonts w:ascii="Abadi" w:hAnsi="Abadi" w:cs="*Arial-10133-Identity-H"/>
          <w:color w:val="0D0D0F"/>
          <w:sz w:val="21"/>
          <w:szCs w:val="21"/>
        </w:rPr>
        <w:t>.</w:t>
      </w:r>
      <w:proofErr w:type="gramEnd"/>
      <w:r w:rsidRPr="00360EC2">
        <w:rPr>
          <w:rFonts w:ascii="Abadi" w:hAnsi="Abadi" w:cs="*Arial-10133-Identity-H"/>
          <w:color w:val="0D0D0F"/>
          <w:sz w:val="21"/>
          <w:szCs w:val="21"/>
        </w:rPr>
        <w:t xml:space="preserve"> </w:t>
      </w:r>
      <w:r w:rsidR="00812A75">
        <w:rPr>
          <w:rStyle w:val="Refdenotaalpie"/>
          <w:rFonts w:ascii="Abadi" w:hAnsi="Abadi" w:cs="*Arial-10133-Identity-H"/>
          <w:color w:val="0D0D0F"/>
          <w:sz w:val="21"/>
          <w:szCs w:val="21"/>
        </w:rPr>
        <w:footnoteReference w:id="45"/>
      </w:r>
    </w:p>
    <w:p w14:paraId="05CE72B8" w14:textId="77777777" w:rsidR="004A6831" w:rsidRPr="00360EC2" w:rsidRDefault="004A6831" w:rsidP="004A6831">
      <w:pPr>
        <w:autoSpaceDE w:val="0"/>
        <w:autoSpaceDN w:val="0"/>
        <w:adjustRightInd w:val="0"/>
        <w:jc w:val="both"/>
        <w:rPr>
          <w:rFonts w:ascii="Abadi" w:hAnsi="Abadi" w:cs="*Microsoft Sans Serif-Bold-1013"/>
          <w:b/>
          <w:bCs/>
          <w:color w:val="0D0D0F"/>
          <w:sz w:val="21"/>
          <w:szCs w:val="21"/>
        </w:rPr>
      </w:pPr>
    </w:p>
    <w:p w14:paraId="5C13B171" w14:textId="77777777" w:rsidR="004A6831" w:rsidRDefault="004A6831" w:rsidP="004A6831">
      <w:pPr>
        <w:autoSpaceDE w:val="0"/>
        <w:autoSpaceDN w:val="0"/>
        <w:adjustRightInd w:val="0"/>
        <w:ind w:firstLine="708"/>
        <w:jc w:val="both"/>
        <w:rPr>
          <w:rFonts w:ascii="Abadi" w:hAnsi="Abadi" w:cs="*Arial-10133-Identity-H"/>
          <w:color w:val="0D0D10"/>
          <w:sz w:val="21"/>
          <w:szCs w:val="21"/>
        </w:rPr>
      </w:pPr>
      <w:r w:rsidRPr="00360EC2">
        <w:rPr>
          <w:rFonts w:ascii="Abadi" w:hAnsi="Abadi" w:cs="*Arial-10133-Identity-H"/>
          <w:color w:val="0D0D10"/>
          <w:sz w:val="21"/>
          <w:szCs w:val="21"/>
        </w:rPr>
        <w:t>Por su parte, la Constitución Política de los Estados Unidos Mexicanos</w:t>
      </w:r>
      <w:r>
        <w:rPr>
          <w:rFonts w:ascii="Abadi" w:hAnsi="Abadi" w:cs="*Arial-10133-Identity-H"/>
          <w:color w:val="0D0D10"/>
          <w:sz w:val="21"/>
          <w:szCs w:val="21"/>
        </w:rPr>
        <w:t xml:space="preserve"> </w:t>
      </w:r>
      <w:r w:rsidRPr="00360EC2">
        <w:rPr>
          <w:rFonts w:ascii="Abadi" w:hAnsi="Abadi" w:cs="*Arial-10133-Identity-H"/>
          <w:color w:val="0D0D10"/>
          <w:sz w:val="21"/>
          <w:szCs w:val="21"/>
        </w:rPr>
        <w:t>establece en términos generales en su artículo 115 la base del municipio a través</w:t>
      </w:r>
      <w:r>
        <w:rPr>
          <w:rFonts w:ascii="Abadi" w:hAnsi="Abadi" w:cs="*Arial-10133-Identity-H"/>
          <w:color w:val="0D0D10"/>
          <w:sz w:val="21"/>
          <w:szCs w:val="21"/>
        </w:rPr>
        <w:t xml:space="preserve"> </w:t>
      </w:r>
      <w:r w:rsidRPr="00360EC2">
        <w:rPr>
          <w:rFonts w:ascii="Abadi" w:hAnsi="Abadi" w:cs="*Arial-10133-Identity-H"/>
          <w:color w:val="0D0D10"/>
          <w:sz w:val="21"/>
          <w:szCs w:val="21"/>
        </w:rPr>
        <w:t>de una organización política y administrativa, para lo cual ejercerá funciones</w:t>
      </w:r>
      <w:r>
        <w:rPr>
          <w:rFonts w:ascii="Abadi" w:hAnsi="Abadi" w:cs="*Arial-10133-Identity-H"/>
          <w:color w:val="0D0D10"/>
          <w:sz w:val="21"/>
          <w:szCs w:val="21"/>
        </w:rPr>
        <w:t xml:space="preserve"> </w:t>
      </w:r>
      <w:r w:rsidRPr="00360EC2">
        <w:rPr>
          <w:rFonts w:ascii="Abadi" w:hAnsi="Abadi" w:cs="*Arial-10133-Identity-H"/>
          <w:color w:val="0D0D10"/>
          <w:sz w:val="21"/>
          <w:szCs w:val="21"/>
        </w:rPr>
        <w:t>jurisdiccionales, legislativas y administrativas, contando con personalidad jurídica y</w:t>
      </w:r>
      <w:r>
        <w:rPr>
          <w:rFonts w:ascii="Abadi" w:hAnsi="Abadi" w:cs="*Arial-10133-Identity-H"/>
          <w:color w:val="0D0D10"/>
          <w:sz w:val="21"/>
          <w:szCs w:val="21"/>
        </w:rPr>
        <w:t xml:space="preserve"> </w:t>
      </w:r>
      <w:r w:rsidRPr="00360EC2">
        <w:rPr>
          <w:rFonts w:ascii="Abadi" w:hAnsi="Abadi" w:cs="*Arial-10133-Identity-H"/>
          <w:color w:val="0D0D10"/>
          <w:sz w:val="21"/>
          <w:szCs w:val="21"/>
        </w:rPr>
        <w:t>con facultades para manejar su patrimonio conforme a las leyes de la materia. En</w:t>
      </w:r>
      <w:r>
        <w:rPr>
          <w:rFonts w:ascii="Abadi" w:hAnsi="Abadi" w:cs="*Arial-10133-Identity-H"/>
          <w:color w:val="0D0D10"/>
          <w:sz w:val="21"/>
          <w:szCs w:val="21"/>
        </w:rPr>
        <w:t xml:space="preserve"> </w:t>
      </w:r>
      <w:r w:rsidRPr="00360EC2">
        <w:rPr>
          <w:rFonts w:ascii="Abadi" w:hAnsi="Abadi" w:cs="*Arial-10133-Identity-H"/>
          <w:color w:val="0D0D10"/>
          <w:sz w:val="21"/>
          <w:szCs w:val="21"/>
        </w:rPr>
        <w:t>este sentido, respecto a la prestación de los servicios públicos, el Municipio está</w:t>
      </w:r>
      <w:r>
        <w:rPr>
          <w:rFonts w:ascii="Abadi" w:hAnsi="Abadi" w:cs="*Arial-10133-Identity-H"/>
          <w:color w:val="0D0D10"/>
          <w:sz w:val="21"/>
          <w:szCs w:val="21"/>
        </w:rPr>
        <w:t xml:space="preserve"> </w:t>
      </w:r>
      <w:r w:rsidRPr="00360EC2">
        <w:rPr>
          <w:rFonts w:ascii="Abadi" w:hAnsi="Abadi" w:cs="*Arial-10133-Identity-H"/>
          <w:color w:val="0D0D10"/>
          <w:sz w:val="21"/>
          <w:szCs w:val="21"/>
        </w:rPr>
        <w:t>facultado para expedir reglamentos, circulares y disposiciones administrativas de</w:t>
      </w:r>
      <w:r>
        <w:rPr>
          <w:rFonts w:ascii="Abadi" w:hAnsi="Abadi" w:cs="*Arial-10133-Identity-H"/>
          <w:color w:val="0D0D10"/>
          <w:sz w:val="21"/>
          <w:szCs w:val="21"/>
        </w:rPr>
        <w:t xml:space="preserve"> observancia</w:t>
      </w:r>
      <w:r w:rsidRPr="00360EC2">
        <w:rPr>
          <w:rFonts w:ascii="Abadi" w:hAnsi="Abadi" w:cs="*Arial-10133-Identity-H"/>
          <w:color w:val="0D0D10"/>
          <w:sz w:val="21"/>
          <w:szCs w:val="21"/>
        </w:rPr>
        <w:t xml:space="preserve"> general dentro de su jurisdicción, que organicen la administración</w:t>
      </w:r>
      <w:r>
        <w:rPr>
          <w:rFonts w:ascii="Abadi" w:hAnsi="Abadi" w:cs="*Arial-10133-Identity-H"/>
          <w:color w:val="0D0D10"/>
          <w:sz w:val="21"/>
          <w:szCs w:val="21"/>
        </w:rPr>
        <w:t xml:space="preserve"> </w:t>
      </w:r>
      <w:r w:rsidRPr="00360EC2">
        <w:rPr>
          <w:rFonts w:ascii="Abadi" w:hAnsi="Abadi" w:cs="*Arial-10133-Identity-H"/>
          <w:color w:val="0D0D10"/>
          <w:sz w:val="21"/>
          <w:szCs w:val="21"/>
        </w:rPr>
        <w:t>pública, regulen las materias, procedimiento, funciones y servicios públicos de su</w:t>
      </w:r>
      <w:r>
        <w:rPr>
          <w:rFonts w:ascii="Abadi" w:hAnsi="Abadi" w:cs="*Arial-10133-Identity-H"/>
          <w:color w:val="0D0D10"/>
          <w:sz w:val="21"/>
          <w:szCs w:val="21"/>
        </w:rPr>
        <w:t xml:space="preserve"> </w:t>
      </w:r>
      <w:r w:rsidRPr="00360EC2">
        <w:rPr>
          <w:rFonts w:ascii="Abadi" w:hAnsi="Abadi" w:cs="*Arial-10133-Identity-H"/>
          <w:color w:val="0D0D10"/>
          <w:sz w:val="21"/>
          <w:szCs w:val="21"/>
        </w:rPr>
        <w:t>competencia.</w:t>
      </w:r>
    </w:p>
    <w:p w14:paraId="7A8B2985" w14:textId="77777777" w:rsidR="004A6831" w:rsidRPr="00360EC2" w:rsidRDefault="004A6831" w:rsidP="004A6831">
      <w:pPr>
        <w:autoSpaceDE w:val="0"/>
        <w:autoSpaceDN w:val="0"/>
        <w:adjustRightInd w:val="0"/>
        <w:jc w:val="both"/>
        <w:rPr>
          <w:rFonts w:ascii="Abadi" w:hAnsi="Abadi" w:cs="*Arial-10133-Identity-H"/>
          <w:color w:val="0D0D10"/>
          <w:sz w:val="21"/>
          <w:szCs w:val="21"/>
        </w:rPr>
      </w:pPr>
    </w:p>
    <w:p w14:paraId="47C4BB9E" w14:textId="77777777" w:rsidR="004A6831" w:rsidRPr="00360EC2" w:rsidRDefault="004A6831" w:rsidP="004A6831">
      <w:pPr>
        <w:autoSpaceDE w:val="0"/>
        <w:autoSpaceDN w:val="0"/>
        <w:adjustRightInd w:val="0"/>
        <w:ind w:firstLine="708"/>
        <w:jc w:val="both"/>
        <w:rPr>
          <w:rFonts w:ascii="Abadi" w:hAnsi="Abadi" w:cs="*Arial-8284-Identity-H"/>
          <w:color w:val="1C1C1C"/>
          <w:sz w:val="21"/>
          <w:szCs w:val="21"/>
        </w:rPr>
      </w:pPr>
      <w:r w:rsidRPr="00360EC2">
        <w:rPr>
          <w:rFonts w:ascii="Abadi" w:hAnsi="Abadi" w:cs="*Arial-10133-Identity-H"/>
          <w:color w:val="0C0B0E"/>
          <w:sz w:val="21"/>
          <w:szCs w:val="21"/>
        </w:rPr>
        <w:t xml:space="preserve">De manera específica, el artículo 115 de la Constitución </w:t>
      </w:r>
      <w:r>
        <w:rPr>
          <w:rFonts w:ascii="Abadi" w:hAnsi="Abadi" w:cs="*Arial-10133-Identity-H"/>
          <w:color w:val="0C0B0E"/>
          <w:sz w:val="21"/>
          <w:szCs w:val="21"/>
        </w:rPr>
        <w:t>P</w:t>
      </w:r>
      <w:r w:rsidRPr="00360EC2">
        <w:rPr>
          <w:rFonts w:ascii="Abadi" w:hAnsi="Abadi" w:cs="*Arial-10133-Identity-H"/>
          <w:color w:val="0C0B0E"/>
          <w:sz w:val="21"/>
          <w:szCs w:val="21"/>
        </w:rPr>
        <w:t>olítica de los</w:t>
      </w:r>
      <w:r>
        <w:rPr>
          <w:rFonts w:ascii="Abadi" w:hAnsi="Abadi" w:cs="*Arial-10133-Identity-H"/>
          <w:color w:val="0C0B0E"/>
          <w:sz w:val="21"/>
          <w:szCs w:val="21"/>
        </w:rPr>
        <w:t xml:space="preserve"> </w:t>
      </w:r>
      <w:r w:rsidRPr="00360EC2">
        <w:rPr>
          <w:rFonts w:ascii="Abadi" w:hAnsi="Abadi" w:cs="*Arial-10133-Identity-H"/>
          <w:color w:val="0C0B0E"/>
          <w:sz w:val="21"/>
          <w:szCs w:val="21"/>
        </w:rPr>
        <w:t xml:space="preserve">Estados Unidos Mexicanos, en su fracción </w:t>
      </w:r>
      <w:r>
        <w:rPr>
          <w:rFonts w:ascii="Abadi" w:hAnsi="Abadi" w:cs="*Arial-10133-Identity-H"/>
          <w:color w:val="0C0B0E"/>
          <w:sz w:val="21"/>
          <w:szCs w:val="21"/>
        </w:rPr>
        <w:t>III</w:t>
      </w:r>
      <w:r w:rsidRPr="00360EC2">
        <w:rPr>
          <w:rFonts w:ascii="Abadi" w:hAnsi="Abadi" w:cs="*Arial-10133-Identity-H"/>
          <w:color w:val="0C0B0E"/>
          <w:sz w:val="21"/>
          <w:szCs w:val="21"/>
        </w:rPr>
        <w:t xml:space="preserve"> consigna que los municipios tendrán</w:t>
      </w:r>
      <w:r>
        <w:rPr>
          <w:rFonts w:ascii="Abadi" w:hAnsi="Abadi" w:cs="*Arial-10133-Identity-H"/>
          <w:color w:val="0C0B0E"/>
          <w:sz w:val="21"/>
          <w:szCs w:val="21"/>
        </w:rPr>
        <w:t xml:space="preserve"> </w:t>
      </w:r>
      <w:r w:rsidRPr="00360EC2">
        <w:rPr>
          <w:rFonts w:ascii="Abadi" w:hAnsi="Abadi" w:cs="*Arial-10133-Identity-H"/>
          <w:color w:val="0C0B0E"/>
          <w:sz w:val="21"/>
          <w:szCs w:val="21"/>
        </w:rPr>
        <w:t>a su cargo las funciones y servicios públicos, entre los que señala en el inciso b, el</w:t>
      </w:r>
      <w:r>
        <w:rPr>
          <w:rFonts w:ascii="Abadi" w:hAnsi="Abadi" w:cs="*Arial-10133-Identity-H"/>
          <w:color w:val="0C0B0E"/>
          <w:sz w:val="21"/>
          <w:szCs w:val="21"/>
        </w:rPr>
        <w:t xml:space="preserve"> </w:t>
      </w:r>
      <w:r w:rsidRPr="00360EC2">
        <w:rPr>
          <w:rFonts w:ascii="Abadi" w:hAnsi="Abadi" w:cs="*Arial-10133-Identity-H"/>
          <w:color w:val="0C0B0E"/>
          <w:sz w:val="21"/>
          <w:szCs w:val="21"/>
        </w:rPr>
        <w:t>alumbrado público. Atribución ratificada en la Constitución Política Local en su</w:t>
      </w:r>
      <w:r>
        <w:rPr>
          <w:rFonts w:ascii="Abadi" w:hAnsi="Abadi" w:cs="*Arial-10133-Identity-H"/>
          <w:color w:val="0C0B0E"/>
          <w:sz w:val="21"/>
          <w:szCs w:val="21"/>
        </w:rPr>
        <w:t xml:space="preserve"> </w:t>
      </w:r>
      <w:r w:rsidRPr="00360EC2">
        <w:rPr>
          <w:rFonts w:ascii="Abadi" w:hAnsi="Abadi" w:cs="*Arial-10133-Identity-H"/>
          <w:color w:val="0C0B0E"/>
          <w:sz w:val="21"/>
          <w:szCs w:val="21"/>
        </w:rPr>
        <w:t xml:space="preserve">artículo 117, fracción </w:t>
      </w:r>
      <w:r>
        <w:rPr>
          <w:rFonts w:ascii="Abadi" w:hAnsi="Abadi" w:cs="*Arial-10133-Identity-H"/>
          <w:color w:val="0C0B0E"/>
          <w:sz w:val="21"/>
          <w:szCs w:val="21"/>
        </w:rPr>
        <w:t>III</w:t>
      </w:r>
      <w:r w:rsidRPr="00360EC2">
        <w:rPr>
          <w:rFonts w:ascii="Abadi" w:hAnsi="Abadi" w:cs="*Arial-10133-Identity-H"/>
          <w:color w:val="0C0B0E"/>
          <w:sz w:val="21"/>
          <w:szCs w:val="21"/>
        </w:rPr>
        <w:t>, inciso b.</w:t>
      </w:r>
      <w:r>
        <w:rPr>
          <w:rFonts w:ascii="Abadi" w:hAnsi="Abadi" w:cs="*Arial-10133-Identity-H"/>
          <w:color w:val="0C0B0E"/>
          <w:sz w:val="21"/>
          <w:szCs w:val="21"/>
        </w:rPr>
        <w:t xml:space="preserve"> </w:t>
      </w:r>
      <w:r w:rsidRPr="00360EC2">
        <w:rPr>
          <w:rFonts w:ascii="Abadi" w:hAnsi="Abadi" w:cs="*Arial-10132-Identity-H"/>
          <w:color w:val="111113"/>
          <w:sz w:val="21"/>
          <w:szCs w:val="21"/>
        </w:rPr>
        <w:t xml:space="preserve">1 Diccionario Jurídico Mexicano, Instituto de </w:t>
      </w:r>
    </w:p>
    <w:p w14:paraId="615E703E" w14:textId="7C569B0E" w:rsidR="004A6831" w:rsidRDefault="0056426E" w:rsidP="0056426E">
      <w:pPr>
        <w:autoSpaceDE w:val="0"/>
        <w:autoSpaceDN w:val="0"/>
        <w:adjustRightInd w:val="0"/>
        <w:jc w:val="both"/>
        <w:rPr>
          <w:rFonts w:ascii="Abadi" w:hAnsi="Abadi" w:cs="*Arial-8282-Identity-H"/>
          <w:color w:val="0C0C0E"/>
          <w:sz w:val="21"/>
          <w:szCs w:val="21"/>
        </w:rPr>
      </w:pPr>
      <w:r>
        <w:rPr>
          <w:rFonts w:ascii="Abadi" w:hAnsi="Abadi" w:cs="*Arial-8282-Identity-H"/>
          <w:color w:val="0C0C0E"/>
          <w:sz w:val="21"/>
          <w:szCs w:val="21"/>
        </w:rPr>
        <w:t>l</w:t>
      </w:r>
      <w:r w:rsidR="004A6831" w:rsidRPr="00360EC2">
        <w:rPr>
          <w:rFonts w:ascii="Abadi" w:hAnsi="Abadi" w:cs="*Arial-8282-Identity-H"/>
          <w:color w:val="0C0C0E"/>
          <w:sz w:val="21"/>
          <w:szCs w:val="21"/>
        </w:rPr>
        <w:t>a Ley Orgánica Municipal para el Estado de Guanajuato prevé que el</w:t>
      </w:r>
      <w:r w:rsidR="004A6831">
        <w:rPr>
          <w:rFonts w:ascii="Abadi" w:hAnsi="Abadi" w:cs="*Arial-8282-Identity-H"/>
          <w:color w:val="0C0C0E"/>
          <w:sz w:val="21"/>
          <w:szCs w:val="21"/>
        </w:rPr>
        <w:t xml:space="preserve"> </w:t>
      </w:r>
      <w:r w:rsidR="004A6831" w:rsidRPr="00360EC2">
        <w:rPr>
          <w:rFonts w:ascii="Abadi" w:hAnsi="Abadi" w:cs="*Arial-8282-Identity-H"/>
          <w:color w:val="0C0C0E"/>
          <w:sz w:val="21"/>
          <w:szCs w:val="21"/>
        </w:rPr>
        <w:t>Ayuntamiento deberá otorgar el servicio de alumbrado público a los habitantes del</w:t>
      </w:r>
      <w:r w:rsidR="004A6831">
        <w:rPr>
          <w:rFonts w:ascii="Abadi" w:hAnsi="Abadi" w:cs="*Arial-8282-Identity-H"/>
          <w:color w:val="0C0C0E"/>
          <w:sz w:val="21"/>
          <w:szCs w:val="21"/>
        </w:rPr>
        <w:t xml:space="preserve"> </w:t>
      </w:r>
      <w:r w:rsidR="004A6831" w:rsidRPr="00360EC2">
        <w:rPr>
          <w:rFonts w:ascii="Abadi" w:hAnsi="Abadi" w:cs="*Arial-8282-Identity-H"/>
          <w:color w:val="0C0C0E"/>
          <w:sz w:val="21"/>
          <w:szCs w:val="21"/>
        </w:rPr>
        <w:t>Municipio e instrumentará los mecanismos necesarios para ampliar la cobertura y</w:t>
      </w:r>
      <w:r w:rsidR="004A6831">
        <w:rPr>
          <w:rFonts w:ascii="Abadi" w:hAnsi="Abadi" w:cs="*Arial-8282-Identity-H"/>
          <w:color w:val="0C0C0E"/>
          <w:sz w:val="21"/>
          <w:szCs w:val="21"/>
        </w:rPr>
        <w:t xml:space="preserve"> </w:t>
      </w:r>
      <w:r w:rsidR="004A6831" w:rsidRPr="00360EC2">
        <w:rPr>
          <w:rFonts w:ascii="Abadi" w:hAnsi="Abadi" w:cs="*Arial-8282-Identity-H"/>
          <w:color w:val="0C0C0E"/>
          <w:sz w:val="21"/>
          <w:szCs w:val="21"/>
        </w:rPr>
        <w:t>mejorar la prestación de dicho servicio.</w:t>
      </w:r>
    </w:p>
    <w:p w14:paraId="7F04DE2D" w14:textId="77777777" w:rsidR="004A6831" w:rsidRPr="00360EC2" w:rsidRDefault="004A6831" w:rsidP="004A6831">
      <w:pPr>
        <w:autoSpaceDE w:val="0"/>
        <w:autoSpaceDN w:val="0"/>
        <w:adjustRightInd w:val="0"/>
        <w:jc w:val="both"/>
        <w:rPr>
          <w:rFonts w:ascii="Abadi" w:hAnsi="Abadi" w:cs="*Arial-8282-Identity-H"/>
          <w:color w:val="0C0C0E"/>
          <w:sz w:val="21"/>
          <w:szCs w:val="21"/>
        </w:rPr>
      </w:pPr>
    </w:p>
    <w:p w14:paraId="78CC5483" w14:textId="77777777" w:rsidR="004A6831" w:rsidRDefault="004A6831" w:rsidP="004A6831">
      <w:pPr>
        <w:autoSpaceDE w:val="0"/>
        <w:autoSpaceDN w:val="0"/>
        <w:adjustRightInd w:val="0"/>
        <w:ind w:firstLine="708"/>
        <w:jc w:val="both"/>
        <w:rPr>
          <w:rFonts w:ascii="Abadi" w:hAnsi="Abadi" w:cs="*Arial-8282-Identity-H"/>
          <w:color w:val="0C0B0E"/>
          <w:sz w:val="21"/>
          <w:szCs w:val="21"/>
        </w:rPr>
      </w:pPr>
      <w:r w:rsidRPr="00360EC2">
        <w:rPr>
          <w:rFonts w:ascii="Abadi" w:hAnsi="Abadi" w:cs="*Arial-8282-Identity-H"/>
          <w:color w:val="0C0B0E"/>
          <w:sz w:val="21"/>
          <w:szCs w:val="21"/>
        </w:rPr>
        <w:t>De igual forma, la referida ley en el artículo 83 establece que el</w:t>
      </w:r>
      <w:r>
        <w:rPr>
          <w:rFonts w:ascii="Abadi" w:hAnsi="Abadi" w:cs="*Arial-8282-Identity-H"/>
          <w:color w:val="0C0B0E"/>
          <w:sz w:val="21"/>
          <w:szCs w:val="21"/>
        </w:rPr>
        <w:t xml:space="preserve"> </w:t>
      </w:r>
      <w:r w:rsidRPr="00360EC2">
        <w:rPr>
          <w:rFonts w:ascii="Abadi" w:hAnsi="Abadi" w:cs="*Arial-8282-Identity-H"/>
          <w:color w:val="0C0B0E"/>
          <w:sz w:val="21"/>
          <w:szCs w:val="21"/>
        </w:rPr>
        <w:t>Ayuntamiento contará con una Comisión de Obra y Servicios Públicos, misma que</w:t>
      </w:r>
      <w:r>
        <w:rPr>
          <w:rFonts w:ascii="Abadi" w:hAnsi="Abadi" w:cs="*Arial-8282-Identity-H"/>
          <w:color w:val="0C0B0E"/>
          <w:sz w:val="21"/>
          <w:szCs w:val="21"/>
        </w:rPr>
        <w:t xml:space="preserve"> </w:t>
      </w:r>
      <w:r w:rsidRPr="00360EC2">
        <w:rPr>
          <w:rFonts w:ascii="Abadi" w:hAnsi="Abadi" w:cs="*Arial-8282-Identity-H"/>
          <w:color w:val="0C0B0E"/>
          <w:sz w:val="21"/>
          <w:szCs w:val="21"/>
        </w:rPr>
        <w:t>tendrá dentro de sus atribuciones la de promover la prestación puntual, oportuna y</w:t>
      </w:r>
      <w:r>
        <w:rPr>
          <w:rFonts w:ascii="Abadi" w:hAnsi="Abadi" w:cs="*Arial-8282-Identity-H"/>
          <w:color w:val="0C0B0E"/>
          <w:sz w:val="21"/>
          <w:szCs w:val="21"/>
        </w:rPr>
        <w:t xml:space="preserve"> </w:t>
      </w:r>
      <w:r w:rsidRPr="00360EC2">
        <w:rPr>
          <w:rFonts w:ascii="Abadi" w:hAnsi="Abadi" w:cs="*Arial-8282-Identity-H"/>
          <w:color w:val="0C0B0E"/>
          <w:sz w:val="21"/>
          <w:szCs w:val="21"/>
        </w:rPr>
        <w:t>eficiente de los servicios públicos municipales, de conformidad con las</w:t>
      </w:r>
      <w:r>
        <w:rPr>
          <w:rFonts w:ascii="Abadi" w:hAnsi="Abadi" w:cs="*Arial-8282-Identity-H"/>
          <w:color w:val="0C0B0E"/>
          <w:sz w:val="21"/>
          <w:szCs w:val="21"/>
        </w:rPr>
        <w:t xml:space="preserve"> </w:t>
      </w:r>
      <w:r w:rsidRPr="00360EC2">
        <w:rPr>
          <w:rFonts w:ascii="Abadi" w:hAnsi="Abadi" w:cs="*Arial-8282-Identity-H"/>
          <w:color w:val="0C0B0E"/>
          <w:sz w:val="21"/>
          <w:szCs w:val="21"/>
        </w:rPr>
        <w:t>disposiciones aplicables. En este sentido, la dependencia de Servicios Municipales</w:t>
      </w:r>
      <w:r>
        <w:rPr>
          <w:rFonts w:ascii="Abadi" w:hAnsi="Abadi" w:cs="*Arial-8282-Identity-H"/>
          <w:color w:val="0C0B0E"/>
          <w:sz w:val="21"/>
          <w:szCs w:val="21"/>
        </w:rPr>
        <w:t xml:space="preserve"> </w:t>
      </w:r>
      <w:r w:rsidRPr="00360EC2">
        <w:rPr>
          <w:rFonts w:ascii="Abadi" w:hAnsi="Abadi" w:cs="*Arial-8282-Identity-H"/>
          <w:color w:val="0C0B0E"/>
          <w:sz w:val="21"/>
          <w:szCs w:val="21"/>
        </w:rPr>
        <w:t>será la encargada de llevar a cabo la prestación del servicio de alumbrado público</w:t>
      </w:r>
      <w:r>
        <w:rPr>
          <w:rFonts w:ascii="Abadi" w:hAnsi="Abadi" w:cs="*Arial-8282-Identity-H"/>
          <w:color w:val="0C0B0E"/>
          <w:sz w:val="21"/>
          <w:szCs w:val="21"/>
        </w:rPr>
        <w:t xml:space="preserve"> </w:t>
      </w:r>
      <w:r w:rsidRPr="00360EC2">
        <w:rPr>
          <w:rFonts w:ascii="Abadi" w:hAnsi="Abadi" w:cs="*Arial-8282-Identity-H"/>
          <w:color w:val="0C0B0E"/>
          <w:sz w:val="21"/>
          <w:szCs w:val="21"/>
        </w:rPr>
        <w:t>en el Municipio, de acuerdo a lo establecido en la fracción V del artículo 124 de la</w:t>
      </w:r>
      <w:r>
        <w:rPr>
          <w:rFonts w:ascii="Abadi" w:hAnsi="Abadi" w:cs="*Arial-8282-Identity-H"/>
          <w:color w:val="0C0B0E"/>
          <w:sz w:val="21"/>
          <w:szCs w:val="21"/>
        </w:rPr>
        <w:t xml:space="preserve"> </w:t>
      </w:r>
      <w:r w:rsidRPr="00360EC2">
        <w:rPr>
          <w:rFonts w:ascii="Abadi" w:hAnsi="Abadi" w:cs="*Arial-8282-Identity-H"/>
          <w:color w:val="0C0B0E"/>
          <w:sz w:val="21"/>
          <w:szCs w:val="21"/>
        </w:rPr>
        <w:t>citada ley.</w:t>
      </w:r>
    </w:p>
    <w:p w14:paraId="51D322A5" w14:textId="77777777" w:rsidR="004A6831" w:rsidRPr="00360EC2" w:rsidRDefault="004A6831" w:rsidP="004A6831">
      <w:pPr>
        <w:autoSpaceDE w:val="0"/>
        <w:autoSpaceDN w:val="0"/>
        <w:adjustRightInd w:val="0"/>
        <w:jc w:val="both"/>
        <w:rPr>
          <w:rFonts w:ascii="Abadi" w:hAnsi="Abadi" w:cs="*Arial-8282-Identity-H"/>
          <w:color w:val="0C0B0E"/>
          <w:sz w:val="21"/>
          <w:szCs w:val="21"/>
        </w:rPr>
      </w:pPr>
    </w:p>
    <w:p w14:paraId="2BE4F3ED" w14:textId="77777777" w:rsidR="004A6831" w:rsidRDefault="004A6831" w:rsidP="004A6831">
      <w:pPr>
        <w:autoSpaceDE w:val="0"/>
        <w:autoSpaceDN w:val="0"/>
        <w:adjustRightInd w:val="0"/>
        <w:ind w:firstLine="708"/>
        <w:jc w:val="both"/>
        <w:rPr>
          <w:rFonts w:ascii="Abadi" w:hAnsi="Abadi" w:cs="*Arial-8282-Identity-H"/>
          <w:color w:val="0C0C0E"/>
          <w:sz w:val="21"/>
          <w:szCs w:val="21"/>
        </w:rPr>
      </w:pPr>
      <w:r w:rsidRPr="00360EC2">
        <w:rPr>
          <w:rFonts w:ascii="Abadi" w:hAnsi="Abadi" w:cs="*Arial-8282-Identity-H"/>
          <w:color w:val="0C0C0E"/>
          <w:sz w:val="21"/>
          <w:szCs w:val="21"/>
        </w:rPr>
        <w:t>También el artículo 165 de la referida Ley Orgánica Municipal prevé que:</w:t>
      </w:r>
    </w:p>
    <w:p w14:paraId="096E98BA" w14:textId="77777777" w:rsidR="004A6831" w:rsidRPr="00360EC2" w:rsidRDefault="004A6831" w:rsidP="004A6831">
      <w:pPr>
        <w:autoSpaceDE w:val="0"/>
        <w:autoSpaceDN w:val="0"/>
        <w:adjustRightInd w:val="0"/>
        <w:jc w:val="both"/>
        <w:rPr>
          <w:rFonts w:ascii="Abadi" w:hAnsi="Abadi" w:cs="*Arial-8282-Identity-H"/>
          <w:color w:val="0C0C0E"/>
          <w:sz w:val="21"/>
          <w:szCs w:val="21"/>
        </w:rPr>
      </w:pPr>
    </w:p>
    <w:p w14:paraId="72E5D1F0" w14:textId="77777777" w:rsidR="004A6831" w:rsidRDefault="004A6831" w:rsidP="004A6831">
      <w:pPr>
        <w:autoSpaceDE w:val="0"/>
        <w:autoSpaceDN w:val="0"/>
        <w:adjustRightInd w:val="0"/>
        <w:ind w:firstLine="708"/>
        <w:jc w:val="both"/>
        <w:rPr>
          <w:rFonts w:ascii="Abadi" w:hAnsi="Abadi" w:cs="*Arial-Italic-8283-Identity-H"/>
          <w:i/>
          <w:iCs/>
          <w:color w:val="0C0C0E"/>
          <w:sz w:val="21"/>
          <w:szCs w:val="21"/>
        </w:rPr>
      </w:pPr>
      <w:r w:rsidRPr="00360EC2">
        <w:rPr>
          <w:rFonts w:ascii="Abadi" w:hAnsi="Abadi" w:cs="*Arial-Italic-8283-Identity-H"/>
          <w:i/>
          <w:iCs/>
          <w:color w:val="0C0C0E"/>
          <w:sz w:val="21"/>
          <w:szCs w:val="21"/>
        </w:rPr>
        <w:t xml:space="preserve">«Los ayuntamientos prestarán los servicios públicos, en igualdad de condiciones </w:t>
      </w:r>
      <w:r w:rsidRPr="00360EC2">
        <w:rPr>
          <w:rFonts w:ascii="Abadi" w:hAnsi="Abadi" w:cs="*Arial-8282-Identity-H"/>
          <w:color w:val="0C0C0E"/>
          <w:sz w:val="21"/>
          <w:szCs w:val="21"/>
        </w:rPr>
        <w:t>a</w:t>
      </w:r>
      <w:r>
        <w:rPr>
          <w:rFonts w:ascii="Abadi" w:hAnsi="Abadi" w:cs="*Arial-8282-Identity-H"/>
          <w:color w:val="0C0C0E"/>
          <w:sz w:val="21"/>
          <w:szCs w:val="21"/>
        </w:rPr>
        <w:t xml:space="preserve"> </w:t>
      </w:r>
      <w:r w:rsidRPr="00360EC2">
        <w:rPr>
          <w:rFonts w:ascii="Abadi" w:hAnsi="Abadi" w:cs="*Arial-Italic-8283-Identity-H"/>
          <w:i/>
          <w:iCs/>
          <w:color w:val="0C0C0E"/>
          <w:sz w:val="21"/>
          <w:szCs w:val="21"/>
        </w:rPr>
        <w:t>todos los habitantes del municipio, en forma permanente, general, uniforme,</w:t>
      </w:r>
      <w:r>
        <w:rPr>
          <w:rFonts w:ascii="Abadi" w:hAnsi="Abadi" w:cs="*Arial-Italic-8283-Identity-H"/>
          <w:i/>
          <w:iCs/>
          <w:color w:val="0C0C0E"/>
          <w:sz w:val="21"/>
          <w:szCs w:val="21"/>
        </w:rPr>
        <w:t xml:space="preserve"> </w:t>
      </w:r>
      <w:r w:rsidRPr="00360EC2">
        <w:rPr>
          <w:rFonts w:ascii="Abadi" w:hAnsi="Abadi" w:cs="*Arial-Italic-8283-Identity-H"/>
          <w:i/>
          <w:iCs/>
          <w:color w:val="0C0C0E"/>
          <w:sz w:val="21"/>
          <w:szCs w:val="21"/>
        </w:rPr>
        <w:t>continua y de acuerdo con el Programa de Gobierno Municipal».</w:t>
      </w:r>
    </w:p>
    <w:p w14:paraId="75B3D121" w14:textId="77777777" w:rsidR="004A6831" w:rsidRPr="00360EC2" w:rsidRDefault="004A6831" w:rsidP="004A6831">
      <w:pPr>
        <w:autoSpaceDE w:val="0"/>
        <w:autoSpaceDN w:val="0"/>
        <w:adjustRightInd w:val="0"/>
        <w:jc w:val="both"/>
        <w:rPr>
          <w:rFonts w:ascii="Abadi" w:hAnsi="Abadi" w:cs="*Arial-Italic-8283-Identity-H"/>
          <w:i/>
          <w:iCs/>
          <w:color w:val="0C0C0E"/>
          <w:sz w:val="21"/>
          <w:szCs w:val="21"/>
        </w:rPr>
      </w:pPr>
    </w:p>
    <w:p w14:paraId="0E6AE364" w14:textId="77777777" w:rsidR="004A6831" w:rsidRDefault="004A6831" w:rsidP="004A6831">
      <w:pPr>
        <w:autoSpaceDE w:val="0"/>
        <w:autoSpaceDN w:val="0"/>
        <w:adjustRightInd w:val="0"/>
        <w:ind w:firstLine="708"/>
        <w:jc w:val="both"/>
        <w:rPr>
          <w:rFonts w:ascii="Abadi" w:hAnsi="Abadi" w:cs="*Arial-8282-Identity-H"/>
          <w:color w:val="0C0C0F"/>
          <w:sz w:val="21"/>
          <w:szCs w:val="21"/>
        </w:rPr>
      </w:pPr>
      <w:r w:rsidRPr="00360EC2">
        <w:rPr>
          <w:rFonts w:ascii="Abadi" w:hAnsi="Abadi" w:cs="*Arial-8282-Identity-H"/>
          <w:color w:val="0C0C0F"/>
          <w:sz w:val="21"/>
          <w:szCs w:val="21"/>
        </w:rPr>
        <w:t xml:space="preserve">Asimismo, en el Capítulo denominado </w:t>
      </w:r>
      <w:r w:rsidRPr="00360EC2">
        <w:rPr>
          <w:rFonts w:ascii="Abadi" w:hAnsi="Abadi" w:cs="*Arial-Italic-8283-Identity-H"/>
          <w:i/>
          <w:iCs/>
          <w:color w:val="0C0C0F"/>
          <w:sz w:val="21"/>
          <w:szCs w:val="21"/>
        </w:rPr>
        <w:t>«De los Servicios Públicos</w:t>
      </w:r>
      <w:r>
        <w:rPr>
          <w:rFonts w:ascii="Abadi" w:hAnsi="Abadi" w:cs="*Arial-Italic-8283-Identity-H"/>
          <w:i/>
          <w:iCs/>
          <w:color w:val="0C0C0F"/>
          <w:sz w:val="21"/>
          <w:szCs w:val="21"/>
        </w:rPr>
        <w:t xml:space="preserve"> </w:t>
      </w:r>
      <w:r w:rsidRPr="00360EC2">
        <w:rPr>
          <w:rFonts w:ascii="Abadi" w:hAnsi="Abadi" w:cs="*Arial-Italic-8283-Identity-H"/>
          <w:i/>
          <w:iCs/>
          <w:color w:val="0C0C0F"/>
          <w:sz w:val="21"/>
          <w:szCs w:val="21"/>
        </w:rPr>
        <w:t xml:space="preserve">Municipales» </w:t>
      </w:r>
      <w:r w:rsidRPr="00360EC2">
        <w:rPr>
          <w:rFonts w:ascii="Abadi" w:hAnsi="Abadi" w:cs="*Arial-8282-Identity-H"/>
          <w:color w:val="0C0C0F"/>
          <w:sz w:val="21"/>
          <w:szCs w:val="21"/>
        </w:rPr>
        <w:t>se refiere que en el presupuesto de egresos deben preverse los</w:t>
      </w:r>
      <w:r>
        <w:rPr>
          <w:rFonts w:ascii="Abadi" w:hAnsi="Abadi" w:cs="*Arial-8282-Identity-H"/>
          <w:color w:val="0C0C0F"/>
          <w:sz w:val="21"/>
          <w:szCs w:val="21"/>
        </w:rPr>
        <w:t xml:space="preserve"> </w:t>
      </w:r>
      <w:r w:rsidRPr="00360EC2">
        <w:rPr>
          <w:rFonts w:ascii="Abadi" w:hAnsi="Abadi" w:cs="*Arial-8282-Identity-H"/>
          <w:color w:val="0C0C0F"/>
          <w:sz w:val="21"/>
          <w:szCs w:val="21"/>
        </w:rPr>
        <w:t>recursos materiales y humanos, necesarios y suficientes, para la prestación</w:t>
      </w:r>
      <w:r>
        <w:rPr>
          <w:rFonts w:ascii="Abadi" w:hAnsi="Abadi" w:cs="*Arial-8282-Identity-H"/>
          <w:color w:val="0C0C0F"/>
          <w:sz w:val="21"/>
          <w:szCs w:val="21"/>
        </w:rPr>
        <w:t xml:space="preserve"> </w:t>
      </w:r>
      <w:r w:rsidRPr="00360EC2">
        <w:rPr>
          <w:rFonts w:ascii="Abadi" w:hAnsi="Abadi" w:cs="*Arial-8282-Identity-H"/>
          <w:color w:val="0C0C0F"/>
          <w:sz w:val="21"/>
          <w:szCs w:val="21"/>
        </w:rPr>
        <w:t>eficiente y oportuna de los servicios públicos; asimismo, se consigna la</w:t>
      </w:r>
      <w:r>
        <w:rPr>
          <w:rFonts w:ascii="Abadi" w:hAnsi="Abadi" w:cs="*Arial-8282-Identity-H"/>
          <w:color w:val="0C0C0F"/>
          <w:sz w:val="21"/>
          <w:szCs w:val="21"/>
        </w:rPr>
        <w:t xml:space="preserve"> </w:t>
      </w:r>
      <w:r w:rsidRPr="00360EC2">
        <w:rPr>
          <w:rFonts w:ascii="Abadi" w:hAnsi="Abadi" w:cs="*Arial-8282-Identity-H"/>
          <w:color w:val="0C0C0F"/>
          <w:sz w:val="21"/>
          <w:szCs w:val="21"/>
        </w:rPr>
        <w:t>obligatoriedad del Ayuntamiento de otorgar el servicio de alumbrado público,</w:t>
      </w:r>
      <w:r>
        <w:rPr>
          <w:rFonts w:ascii="Abadi" w:hAnsi="Abadi" w:cs="*Arial-8282-Identity-H"/>
          <w:color w:val="0C0C0F"/>
          <w:sz w:val="21"/>
          <w:szCs w:val="21"/>
        </w:rPr>
        <w:t xml:space="preserve"> </w:t>
      </w:r>
      <w:r w:rsidRPr="00360EC2">
        <w:rPr>
          <w:rFonts w:ascii="Abadi" w:hAnsi="Abadi" w:cs="*Arial-8282-Identity-H"/>
          <w:color w:val="0C0C0F"/>
          <w:sz w:val="21"/>
          <w:szCs w:val="21"/>
        </w:rPr>
        <w:t>señalando que podrá otorgarlo de manera directa a través de sus propias</w:t>
      </w:r>
      <w:r>
        <w:rPr>
          <w:rFonts w:ascii="Abadi" w:hAnsi="Abadi" w:cs="*Arial-8282-Identity-H"/>
          <w:color w:val="0C0C0F"/>
          <w:sz w:val="21"/>
          <w:szCs w:val="21"/>
        </w:rPr>
        <w:t xml:space="preserve"> </w:t>
      </w:r>
      <w:r w:rsidRPr="00360EC2">
        <w:rPr>
          <w:rFonts w:ascii="Abadi" w:hAnsi="Abadi" w:cs="*Arial-8282-Identity-H"/>
          <w:color w:val="0C0C0F"/>
          <w:sz w:val="21"/>
          <w:szCs w:val="21"/>
        </w:rPr>
        <w:t>dependencias, o bien por un medio indirecto.</w:t>
      </w:r>
    </w:p>
    <w:p w14:paraId="287E0119" w14:textId="77777777" w:rsidR="004A6831" w:rsidRDefault="004A6831" w:rsidP="004A6831">
      <w:pPr>
        <w:autoSpaceDE w:val="0"/>
        <w:autoSpaceDN w:val="0"/>
        <w:adjustRightInd w:val="0"/>
        <w:ind w:firstLine="708"/>
        <w:jc w:val="both"/>
        <w:rPr>
          <w:rFonts w:ascii="Abadi" w:hAnsi="Abadi" w:cs="*Arial-8282-Identity-H"/>
          <w:color w:val="0B0B0E"/>
          <w:sz w:val="21"/>
          <w:szCs w:val="21"/>
        </w:rPr>
      </w:pPr>
      <w:r w:rsidRPr="00360EC2">
        <w:rPr>
          <w:rFonts w:ascii="Abadi" w:hAnsi="Abadi" w:cs="*Arial-8282-Identity-H"/>
          <w:color w:val="0B0B0E"/>
          <w:sz w:val="21"/>
          <w:szCs w:val="21"/>
        </w:rPr>
        <w:t>De conformidad con el artículo 169 de la referida Ley Orgánica Municipal, la</w:t>
      </w:r>
      <w:r>
        <w:rPr>
          <w:rFonts w:ascii="Abadi" w:hAnsi="Abadi" w:cs="*Arial-8282-Identity-H"/>
          <w:color w:val="0B0B0E"/>
          <w:sz w:val="21"/>
          <w:szCs w:val="21"/>
        </w:rPr>
        <w:t xml:space="preserve"> </w:t>
      </w:r>
      <w:r w:rsidRPr="00360EC2">
        <w:rPr>
          <w:rFonts w:ascii="Abadi" w:hAnsi="Abadi" w:cs="*Arial-8282-Identity-H"/>
          <w:color w:val="0B0B0E"/>
          <w:sz w:val="21"/>
          <w:szCs w:val="21"/>
        </w:rPr>
        <w:t>prestación de los servicios públicos municipales será supervisada por la comisión</w:t>
      </w:r>
      <w:r>
        <w:rPr>
          <w:rFonts w:ascii="Abadi" w:hAnsi="Abadi" w:cs="*Arial-8282-Identity-H"/>
          <w:color w:val="0B0B0E"/>
          <w:sz w:val="21"/>
          <w:szCs w:val="21"/>
        </w:rPr>
        <w:t xml:space="preserve"> </w:t>
      </w:r>
      <w:r w:rsidRPr="00360EC2">
        <w:rPr>
          <w:rFonts w:ascii="Abadi" w:hAnsi="Abadi" w:cs="*Arial-8282-Identity-H"/>
          <w:color w:val="0B0B0E"/>
          <w:sz w:val="21"/>
          <w:szCs w:val="21"/>
        </w:rPr>
        <w:t>correspondiente del Ayuntamiento y auditada por la Contraloría Municipal.</w:t>
      </w:r>
    </w:p>
    <w:p w14:paraId="04FCD4CF" w14:textId="77777777" w:rsidR="004A6831" w:rsidRPr="00360EC2" w:rsidRDefault="004A6831" w:rsidP="004A6831">
      <w:pPr>
        <w:autoSpaceDE w:val="0"/>
        <w:autoSpaceDN w:val="0"/>
        <w:adjustRightInd w:val="0"/>
        <w:jc w:val="both"/>
        <w:rPr>
          <w:rFonts w:ascii="Abadi" w:hAnsi="Abadi" w:cs="*Arial-8282-Identity-H"/>
          <w:color w:val="0B0B0E"/>
          <w:sz w:val="21"/>
          <w:szCs w:val="21"/>
        </w:rPr>
      </w:pPr>
    </w:p>
    <w:p w14:paraId="727CA991" w14:textId="77777777" w:rsidR="004A6831" w:rsidRPr="00360EC2" w:rsidRDefault="004A6831" w:rsidP="004A6831">
      <w:pPr>
        <w:autoSpaceDE w:val="0"/>
        <w:autoSpaceDN w:val="0"/>
        <w:adjustRightInd w:val="0"/>
        <w:ind w:firstLine="708"/>
        <w:jc w:val="both"/>
        <w:rPr>
          <w:rFonts w:ascii="Abadi" w:hAnsi="Abadi" w:cs="*Arial-8282-Identity-H"/>
          <w:color w:val="0C0C0E"/>
          <w:sz w:val="21"/>
          <w:szCs w:val="21"/>
        </w:rPr>
      </w:pPr>
      <w:r w:rsidRPr="00360EC2">
        <w:rPr>
          <w:rFonts w:ascii="Abadi" w:hAnsi="Abadi" w:cs="*Arial-8282-Identity-H"/>
          <w:color w:val="0C0C0E"/>
          <w:sz w:val="21"/>
          <w:szCs w:val="21"/>
        </w:rPr>
        <w:t>Es así que, se desprende la intervención estratégica del Ayuntamiento y de</w:t>
      </w:r>
      <w:r>
        <w:rPr>
          <w:rFonts w:ascii="Abadi" w:hAnsi="Abadi" w:cs="*Arial-8282-Identity-H"/>
          <w:color w:val="0C0C0E"/>
          <w:sz w:val="21"/>
          <w:szCs w:val="21"/>
        </w:rPr>
        <w:t xml:space="preserve"> </w:t>
      </w:r>
      <w:r w:rsidRPr="00360EC2">
        <w:rPr>
          <w:rFonts w:ascii="Abadi" w:hAnsi="Abadi" w:cs="*Arial-8282-Identity-H"/>
          <w:color w:val="0C0C0E"/>
          <w:sz w:val="21"/>
          <w:szCs w:val="21"/>
        </w:rPr>
        <w:t>la Dirección de Servicios Municipales para la prestación del servicio de alumbrado</w:t>
      </w:r>
      <w:r>
        <w:rPr>
          <w:rFonts w:ascii="Abadi" w:hAnsi="Abadi" w:cs="*Arial-8282-Identity-H"/>
          <w:color w:val="0C0C0E"/>
          <w:sz w:val="21"/>
          <w:szCs w:val="21"/>
        </w:rPr>
        <w:t xml:space="preserve"> </w:t>
      </w:r>
      <w:r w:rsidRPr="00360EC2">
        <w:rPr>
          <w:rFonts w:ascii="Abadi" w:hAnsi="Abadi" w:cs="*Arial-8282-Identity-H"/>
          <w:color w:val="0C0C0E"/>
          <w:sz w:val="21"/>
          <w:szCs w:val="21"/>
        </w:rPr>
        <w:t>público a los habitantes del Municipio, a través del conocimiento de la situación de</w:t>
      </w:r>
      <w:r>
        <w:rPr>
          <w:rFonts w:ascii="Abadi" w:hAnsi="Abadi" w:cs="*Arial-8282-Identity-H"/>
          <w:color w:val="0C0C0E"/>
          <w:sz w:val="21"/>
          <w:szCs w:val="21"/>
        </w:rPr>
        <w:t xml:space="preserve"> </w:t>
      </w:r>
      <w:r w:rsidRPr="00360EC2">
        <w:rPr>
          <w:rFonts w:ascii="Abadi" w:hAnsi="Abadi" w:cs="*Arial-8282-Identity-H"/>
          <w:color w:val="0C0C0E"/>
          <w:sz w:val="21"/>
          <w:szCs w:val="21"/>
        </w:rPr>
        <w:t>oferta del servicio, de su presupuestación, de un marco normativo de operación,</w:t>
      </w:r>
      <w:r>
        <w:rPr>
          <w:rFonts w:ascii="Abadi" w:hAnsi="Abadi" w:cs="*Arial-8282-Identity-H"/>
          <w:color w:val="0C0C0E"/>
          <w:sz w:val="21"/>
          <w:szCs w:val="21"/>
        </w:rPr>
        <w:t xml:space="preserve"> </w:t>
      </w:r>
      <w:r w:rsidRPr="00360EC2">
        <w:rPr>
          <w:rFonts w:ascii="Abadi" w:hAnsi="Abadi" w:cs="*Arial-8282-Identity-H"/>
          <w:color w:val="0C0C0E"/>
          <w:sz w:val="21"/>
          <w:szCs w:val="21"/>
        </w:rPr>
        <w:t>de una debida planeación a corto plazo, de la participación ciudadana en el</w:t>
      </w:r>
      <w:r>
        <w:rPr>
          <w:rFonts w:ascii="Abadi" w:hAnsi="Abadi" w:cs="*Arial-8282-Identity-H"/>
          <w:color w:val="0C0C0E"/>
          <w:sz w:val="21"/>
          <w:szCs w:val="21"/>
        </w:rPr>
        <w:t xml:space="preserve"> </w:t>
      </w:r>
      <w:r w:rsidRPr="00360EC2">
        <w:rPr>
          <w:rFonts w:ascii="Abadi" w:hAnsi="Abadi" w:cs="*Arial-8282-Identity-H"/>
          <w:color w:val="0C0C0E"/>
          <w:sz w:val="21"/>
          <w:szCs w:val="21"/>
        </w:rPr>
        <w:t>reporte de fallas del servicio, así como de los mecanismos de monitoreo y</w:t>
      </w:r>
      <w:r>
        <w:rPr>
          <w:rFonts w:ascii="Abadi" w:hAnsi="Abadi" w:cs="*Arial-8282-Identity-H"/>
          <w:color w:val="0C0C0E"/>
          <w:sz w:val="21"/>
          <w:szCs w:val="21"/>
        </w:rPr>
        <w:t xml:space="preserve"> </w:t>
      </w:r>
      <w:r w:rsidRPr="00360EC2">
        <w:rPr>
          <w:rFonts w:ascii="Abadi" w:hAnsi="Abadi" w:cs="*Arial-8282-Identity-H"/>
          <w:color w:val="0C0C0E"/>
          <w:sz w:val="21"/>
          <w:szCs w:val="21"/>
        </w:rPr>
        <w:t>evaluación para el logro de resultados. Lo anterior, con el objetivo de otorgar un</w:t>
      </w:r>
      <w:r>
        <w:rPr>
          <w:rFonts w:ascii="Abadi" w:hAnsi="Abadi" w:cs="*Arial-8282-Identity-H"/>
          <w:color w:val="0C0C0E"/>
          <w:sz w:val="21"/>
          <w:szCs w:val="21"/>
        </w:rPr>
        <w:t xml:space="preserve"> </w:t>
      </w:r>
      <w:r w:rsidRPr="00360EC2">
        <w:rPr>
          <w:rFonts w:ascii="Abadi" w:hAnsi="Abadi" w:cs="*Arial-8282-Identity-H"/>
          <w:color w:val="0C0C0E"/>
          <w:sz w:val="21"/>
          <w:szCs w:val="21"/>
        </w:rPr>
        <w:t>servicio público eficaz en el mantenimiento, cobertura y satisfacción del servicio.</w:t>
      </w:r>
    </w:p>
    <w:p w14:paraId="33820B80" w14:textId="77777777" w:rsidR="004A6831" w:rsidRDefault="004A6831" w:rsidP="004A6831">
      <w:pPr>
        <w:autoSpaceDE w:val="0"/>
        <w:autoSpaceDN w:val="0"/>
        <w:adjustRightInd w:val="0"/>
        <w:jc w:val="both"/>
        <w:rPr>
          <w:rFonts w:ascii="Abadi" w:hAnsi="Abadi" w:cs="*Arial-7932-Identity-H"/>
          <w:color w:val="0C0B0E"/>
          <w:sz w:val="21"/>
          <w:szCs w:val="21"/>
        </w:rPr>
      </w:pPr>
    </w:p>
    <w:p w14:paraId="5B9A0F25" w14:textId="47550C38" w:rsidR="004A6831" w:rsidRDefault="004A6831" w:rsidP="004A6831">
      <w:pPr>
        <w:autoSpaceDE w:val="0"/>
        <w:autoSpaceDN w:val="0"/>
        <w:adjustRightInd w:val="0"/>
        <w:jc w:val="both"/>
        <w:rPr>
          <w:rFonts w:ascii="Abadi" w:hAnsi="Abadi" w:cs="*Arial-7932-Identity-H"/>
          <w:color w:val="0C0B0E"/>
          <w:sz w:val="21"/>
          <w:szCs w:val="21"/>
        </w:rPr>
      </w:pPr>
      <w:r w:rsidRPr="00360EC2">
        <w:rPr>
          <w:rFonts w:ascii="Abadi" w:hAnsi="Abadi" w:cs="*Arial-7932-Identity-H"/>
          <w:color w:val="0C0B0E"/>
          <w:sz w:val="21"/>
          <w:szCs w:val="21"/>
        </w:rPr>
        <w:t>Respecto a los instrumentos de planeación de corto, mediano y largo plazo,</w:t>
      </w:r>
      <w:r>
        <w:rPr>
          <w:rFonts w:ascii="Abadi" w:hAnsi="Abadi" w:cs="*Arial-7932-Identity-H"/>
          <w:color w:val="0C0B0E"/>
          <w:sz w:val="21"/>
          <w:szCs w:val="21"/>
        </w:rPr>
        <w:t xml:space="preserve"> </w:t>
      </w:r>
      <w:r w:rsidRPr="00360EC2">
        <w:rPr>
          <w:rFonts w:ascii="Abadi" w:hAnsi="Abadi" w:cs="*Arial-7932-Identity-H"/>
          <w:color w:val="0C0B0E"/>
          <w:sz w:val="21"/>
          <w:szCs w:val="21"/>
        </w:rPr>
        <w:t>el sujeto fiscalizado para el ejercicio 2020, no contó con dichos instrumentos;</w:t>
      </w:r>
      <w:r>
        <w:rPr>
          <w:rFonts w:ascii="Abadi" w:hAnsi="Abadi" w:cs="*Arial-7932-Identity-H"/>
          <w:color w:val="0C0B0E"/>
          <w:sz w:val="21"/>
          <w:szCs w:val="21"/>
        </w:rPr>
        <w:t xml:space="preserve"> </w:t>
      </w:r>
      <w:r w:rsidRPr="00360EC2">
        <w:rPr>
          <w:rFonts w:ascii="Abadi" w:hAnsi="Abadi" w:cs="*Arial-7932-Identity-H"/>
          <w:color w:val="0C0B0E"/>
          <w:sz w:val="21"/>
          <w:szCs w:val="21"/>
        </w:rPr>
        <w:t>tampoco contó con un programa presupuestario elaborado bajo la metodología del</w:t>
      </w:r>
      <w:r>
        <w:rPr>
          <w:rFonts w:ascii="Abadi" w:hAnsi="Abadi" w:cs="*Arial-7932-Identity-H"/>
          <w:color w:val="0C0B0E"/>
          <w:sz w:val="21"/>
          <w:szCs w:val="21"/>
        </w:rPr>
        <w:t xml:space="preserve"> </w:t>
      </w:r>
      <w:r w:rsidRPr="00360EC2">
        <w:rPr>
          <w:rFonts w:ascii="Abadi" w:hAnsi="Abadi" w:cs="*Arial-7932-Identity-H"/>
          <w:color w:val="0C0B0E"/>
          <w:sz w:val="21"/>
          <w:szCs w:val="21"/>
        </w:rPr>
        <w:t>Marco Lógico, para la prestación del servicio de alumbrado público; precisando</w:t>
      </w:r>
      <w:r>
        <w:rPr>
          <w:rFonts w:ascii="Abadi" w:hAnsi="Abadi" w:cs="*Arial-7932-Identity-H"/>
          <w:color w:val="0C0B0E"/>
          <w:sz w:val="21"/>
          <w:szCs w:val="21"/>
        </w:rPr>
        <w:t xml:space="preserve"> </w:t>
      </w:r>
      <w:r w:rsidRPr="00360EC2">
        <w:rPr>
          <w:rFonts w:ascii="Abadi" w:hAnsi="Abadi" w:cs="*Arial-7932-Identity-H"/>
          <w:color w:val="0C0B0E"/>
          <w:sz w:val="21"/>
          <w:szCs w:val="21"/>
        </w:rPr>
        <w:t>que en el presupuesto de egresos municipal del ejercicio 2020 se consideró un</w:t>
      </w:r>
      <w:r>
        <w:rPr>
          <w:rFonts w:ascii="Abadi" w:hAnsi="Abadi" w:cs="*Arial-7932-Identity-H"/>
          <w:color w:val="0C0B0E"/>
          <w:sz w:val="21"/>
          <w:szCs w:val="21"/>
        </w:rPr>
        <w:t xml:space="preserve"> </w:t>
      </w:r>
      <w:r w:rsidRPr="00360EC2">
        <w:rPr>
          <w:rFonts w:ascii="Abadi" w:hAnsi="Abadi" w:cs="*Arial-7932-Identity-H"/>
          <w:color w:val="0C0B0E"/>
          <w:sz w:val="21"/>
          <w:szCs w:val="21"/>
        </w:rPr>
        <w:t xml:space="preserve">programa de </w:t>
      </w:r>
      <w:r w:rsidRPr="00360EC2">
        <w:rPr>
          <w:rFonts w:ascii="Abadi" w:hAnsi="Abadi" w:cs="*Arial-Italic-7934-Identity-H"/>
          <w:i/>
          <w:iCs/>
          <w:color w:val="0C0B0E"/>
          <w:sz w:val="21"/>
          <w:szCs w:val="21"/>
        </w:rPr>
        <w:t xml:space="preserve">Alumbrado Público, </w:t>
      </w:r>
      <w:r w:rsidRPr="00360EC2">
        <w:rPr>
          <w:rFonts w:ascii="Abadi" w:hAnsi="Abadi" w:cs="*Arial-7932-Identity-H"/>
          <w:color w:val="0C0B0E"/>
          <w:sz w:val="21"/>
          <w:szCs w:val="21"/>
        </w:rPr>
        <w:t>al que se le asignó presupuesto, sin embargo, no</w:t>
      </w:r>
      <w:r w:rsidR="00152457">
        <w:rPr>
          <w:rFonts w:ascii="Abadi" w:hAnsi="Abadi" w:cs="*Arial-7932-Identity-H"/>
          <w:color w:val="0C0B0E"/>
          <w:sz w:val="21"/>
          <w:szCs w:val="21"/>
        </w:rPr>
        <w:t xml:space="preserve"> </w:t>
      </w:r>
      <w:r w:rsidRPr="00360EC2">
        <w:rPr>
          <w:rFonts w:ascii="Abadi" w:hAnsi="Abadi" w:cs="*Arial-7932-Identity-H"/>
          <w:color w:val="0C0B0E"/>
          <w:sz w:val="21"/>
          <w:szCs w:val="21"/>
        </w:rPr>
        <w:t>contiene objetivos y metas.</w:t>
      </w:r>
    </w:p>
    <w:p w14:paraId="4043D5BC" w14:textId="77777777" w:rsidR="004A6831" w:rsidRPr="00360EC2" w:rsidRDefault="004A6831" w:rsidP="004A6831">
      <w:pPr>
        <w:autoSpaceDE w:val="0"/>
        <w:autoSpaceDN w:val="0"/>
        <w:adjustRightInd w:val="0"/>
        <w:jc w:val="both"/>
        <w:rPr>
          <w:rFonts w:ascii="Abadi" w:hAnsi="Abadi" w:cs="*Arial-7932-Identity-H"/>
          <w:color w:val="0C0B0E"/>
          <w:sz w:val="21"/>
          <w:szCs w:val="21"/>
        </w:rPr>
      </w:pPr>
    </w:p>
    <w:p w14:paraId="056B583B" w14:textId="77777777" w:rsidR="004A6831" w:rsidRDefault="004A6831" w:rsidP="004A6831">
      <w:pPr>
        <w:autoSpaceDE w:val="0"/>
        <w:autoSpaceDN w:val="0"/>
        <w:adjustRightInd w:val="0"/>
        <w:ind w:firstLine="708"/>
        <w:jc w:val="both"/>
        <w:rPr>
          <w:rFonts w:ascii="Abadi" w:hAnsi="Abadi" w:cs="*Arial-7932-Identity-H"/>
          <w:color w:val="0D0D0F"/>
          <w:sz w:val="21"/>
          <w:szCs w:val="21"/>
        </w:rPr>
      </w:pPr>
      <w:r w:rsidRPr="00360EC2">
        <w:rPr>
          <w:rFonts w:ascii="Abadi" w:hAnsi="Abadi" w:cs="*Arial-7932-Identity-H"/>
          <w:color w:val="0D0D0F"/>
          <w:sz w:val="21"/>
          <w:szCs w:val="21"/>
        </w:rPr>
        <w:t>Es así, que se planteó como objetivo general de la auditoria, verificar la</w:t>
      </w:r>
      <w:r>
        <w:rPr>
          <w:rFonts w:ascii="Abadi" w:hAnsi="Abadi" w:cs="*Arial-7932-Identity-H"/>
          <w:color w:val="0D0D0F"/>
          <w:sz w:val="21"/>
          <w:szCs w:val="21"/>
        </w:rPr>
        <w:t xml:space="preserve"> </w:t>
      </w:r>
      <w:r w:rsidRPr="00360EC2">
        <w:rPr>
          <w:rFonts w:ascii="Abadi" w:hAnsi="Abadi" w:cs="*Arial-7932-Identity-H"/>
          <w:color w:val="0D0D0F"/>
          <w:sz w:val="21"/>
          <w:szCs w:val="21"/>
        </w:rPr>
        <w:t>capacidad del sujeto fiscalizado para la prestación eficaz del servicio de</w:t>
      </w:r>
      <w:r>
        <w:rPr>
          <w:rFonts w:ascii="Abadi" w:hAnsi="Abadi" w:cs="*Arial-7932-Identity-H"/>
          <w:color w:val="0D0D0F"/>
          <w:sz w:val="21"/>
          <w:szCs w:val="21"/>
        </w:rPr>
        <w:t xml:space="preserve"> </w:t>
      </w:r>
      <w:r w:rsidRPr="00360EC2">
        <w:rPr>
          <w:rFonts w:ascii="Abadi" w:hAnsi="Abadi" w:cs="*Arial-7932-Identity-H"/>
          <w:color w:val="0D0D0F"/>
          <w:sz w:val="21"/>
          <w:szCs w:val="21"/>
        </w:rPr>
        <w:t>alumbrado público y la eficiencia en sus funciones de planificación, operación y</w:t>
      </w:r>
      <w:r>
        <w:rPr>
          <w:rFonts w:ascii="Abadi" w:hAnsi="Abadi" w:cs="*Arial-7932-Identity-H"/>
          <w:color w:val="0D0D0F"/>
          <w:sz w:val="21"/>
          <w:szCs w:val="21"/>
        </w:rPr>
        <w:t xml:space="preserve"> </w:t>
      </w:r>
      <w:r w:rsidRPr="00360EC2">
        <w:rPr>
          <w:rFonts w:ascii="Abadi" w:hAnsi="Abadi" w:cs="*Arial-7932-Identity-H"/>
          <w:color w:val="0D0D0F"/>
          <w:sz w:val="21"/>
          <w:szCs w:val="21"/>
        </w:rPr>
        <w:t>seguimiento, en el ejercicio 2020.</w:t>
      </w:r>
    </w:p>
    <w:p w14:paraId="02247520" w14:textId="77777777" w:rsidR="004A6831" w:rsidRPr="00360EC2" w:rsidRDefault="004A6831" w:rsidP="004A6831">
      <w:pPr>
        <w:autoSpaceDE w:val="0"/>
        <w:autoSpaceDN w:val="0"/>
        <w:adjustRightInd w:val="0"/>
        <w:jc w:val="both"/>
        <w:rPr>
          <w:rFonts w:ascii="Abadi" w:hAnsi="Abadi" w:cs="*Arial-7932-Identity-H"/>
          <w:color w:val="0D0D0F"/>
          <w:sz w:val="21"/>
          <w:szCs w:val="21"/>
        </w:rPr>
      </w:pPr>
    </w:p>
    <w:p w14:paraId="4BAE0E1D" w14:textId="77777777" w:rsidR="004A6831" w:rsidRDefault="004A6831" w:rsidP="004A6831">
      <w:pPr>
        <w:autoSpaceDE w:val="0"/>
        <w:autoSpaceDN w:val="0"/>
        <w:adjustRightInd w:val="0"/>
        <w:ind w:firstLine="708"/>
        <w:jc w:val="both"/>
        <w:rPr>
          <w:rFonts w:ascii="Abadi" w:hAnsi="Abadi" w:cs="*Arial-7932-Identity-H"/>
          <w:color w:val="0D0C0F"/>
          <w:sz w:val="21"/>
          <w:szCs w:val="21"/>
        </w:rPr>
      </w:pPr>
      <w:r w:rsidRPr="00360EC2">
        <w:rPr>
          <w:rFonts w:ascii="Abadi" w:hAnsi="Abadi" w:cs="*Arial-7932-Identity-H"/>
          <w:color w:val="0D0C0F"/>
          <w:sz w:val="21"/>
          <w:szCs w:val="21"/>
        </w:rPr>
        <w:t>En el apartado correspondiente a la unidad responsable de la materia por</w:t>
      </w:r>
      <w:r>
        <w:rPr>
          <w:rFonts w:ascii="Abadi" w:hAnsi="Abadi" w:cs="*Arial-7932-Identity-H"/>
          <w:color w:val="0D0C0F"/>
          <w:sz w:val="21"/>
          <w:szCs w:val="21"/>
        </w:rPr>
        <w:t xml:space="preserve"> </w:t>
      </w:r>
      <w:r w:rsidRPr="00360EC2">
        <w:rPr>
          <w:rFonts w:ascii="Abadi" w:hAnsi="Abadi" w:cs="*Arial-7932-Identity-H"/>
          <w:color w:val="0D0C0F"/>
          <w:sz w:val="21"/>
          <w:szCs w:val="21"/>
        </w:rPr>
        <w:t>auditar se refiere que el artículo 124 de la Ley Orgánica Municipal para el Estado</w:t>
      </w:r>
      <w:r>
        <w:rPr>
          <w:rFonts w:ascii="Abadi" w:hAnsi="Abadi" w:cs="*Arial-7932-Identity-H"/>
          <w:color w:val="0D0C0F"/>
          <w:sz w:val="21"/>
          <w:szCs w:val="21"/>
        </w:rPr>
        <w:t xml:space="preserve"> </w:t>
      </w:r>
      <w:r w:rsidRPr="00360EC2">
        <w:rPr>
          <w:rFonts w:ascii="Abadi" w:hAnsi="Abadi" w:cs="*Arial-7932-Identity-H"/>
          <w:color w:val="0D0C0F"/>
          <w:sz w:val="21"/>
          <w:szCs w:val="21"/>
        </w:rPr>
        <w:t>de Guanajuato prevé que la dependencia de Servicios Municipales será la</w:t>
      </w:r>
      <w:r>
        <w:rPr>
          <w:rFonts w:ascii="Abadi" w:hAnsi="Abadi" w:cs="*Arial-7932-Identity-H"/>
          <w:color w:val="0D0C0F"/>
          <w:sz w:val="21"/>
          <w:szCs w:val="21"/>
        </w:rPr>
        <w:t xml:space="preserve"> </w:t>
      </w:r>
      <w:r w:rsidRPr="00360EC2">
        <w:rPr>
          <w:rFonts w:ascii="Abadi" w:hAnsi="Abadi" w:cs="*Arial-7932-Identity-H"/>
          <w:color w:val="0D0C0F"/>
          <w:sz w:val="21"/>
          <w:szCs w:val="21"/>
        </w:rPr>
        <w:t>encargada de llevar a cabo la prestación del servicio de alumbrado público en el</w:t>
      </w:r>
      <w:r>
        <w:rPr>
          <w:rFonts w:ascii="Abadi" w:hAnsi="Abadi" w:cs="*Arial-7932-Identity-H"/>
          <w:color w:val="0D0C0F"/>
          <w:sz w:val="21"/>
          <w:szCs w:val="21"/>
        </w:rPr>
        <w:t xml:space="preserve"> </w:t>
      </w:r>
      <w:r w:rsidRPr="00360EC2">
        <w:rPr>
          <w:rFonts w:ascii="Abadi" w:hAnsi="Abadi" w:cs="*Arial-7932-Identity-H"/>
          <w:color w:val="0D0C0F"/>
          <w:sz w:val="21"/>
          <w:szCs w:val="21"/>
        </w:rPr>
        <w:t>Municipio. Asimismo, los artículos 83 y 83-3 de la citada ley establecen que, el</w:t>
      </w:r>
      <w:r>
        <w:rPr>
          <w:rFonts w:ascii="Abadi" w:hAnsi="Abadi" w:cs="*Arial-7932-Identity-H"/>
          <w:color w:val="0D0C0F"/>
          <w:sz w:val="21"/>
          <w:szCs w:val="21"/>
        </w:rPr>
        <w:t xml:space="preserve"> </w:t>
      </w:r>
      <w:r w:rsidRPr="00360EC2">
        <w:rPr>
          <w:rFonts w:ascii="Abadi" w:hAnsi="Abadi" w:cs="*Arial-7932-Identity-H"/>
          <w:color w:val="0D0C0F"/>
          <w:sz w:val="21"/>
          <w:szCs w:val="21"/>
        </w:rPr>
        <w:t>Ayuntamiento contará con una Comisión de Obra y Servicios Públicos, la que</w:t>
      </w:r>
      <w:r>
        <w:rPr>
          <w:rFonts w:ascii="Abadi" w:hAnsi="Abadi" w:cs="*Arial-7932-Identity-H"/>
          <w:color w:val="0D0C0F"/>
          <w:sz w:val="21"/>
          <w:szCs w:val="21"/>
        </w:rPr>
        <w:t xml:space="preserve"> </w:t>
      </w:r>
      <w:r w:rsidRPr="00360EC2">
        <w:rPr>
          <w:rFonts w:ascii="Abadi" w:hAnsi="Abadi" w:cs="*Arial-7932-Identity-H"/>
          <w:color w:val="0D0C0F"/>
          <w:sz w:val="21"/>
          <w:szCs w:val="21"/>
        </w:rPr>
        <w:t>tendrá dentro de sus atribuciones la de promover la prestación puntual, oportuna y</w:t>
      </w:r>
      <w:r>
        <w:rPr>
          <w:rFonts w:ascii="Abadi" w:hAnsi="Abadi" w:cs="*Arial-7932-Identity-H"/>
          <w:color w:val="0D0C0F"/>
          <w:sz w:val="21"/>
          <w:szCs w:val="21"/>
        </w:rPr>
        <w:t xml:space="preserve"> </w:t>
      </w:r>
      <w:r w:rsidRPr="00360EC2">
        <w:rPr>
          <w:rFonts w:ascii="Abadi" w:hAnsi="Abadi" w:cs="*Arial-7932-Identity-H"/>
          <w:color w:val="0D0C0F"/>
          <w:sz w:val="21"/>
          <w:szCs w:val="21"/>
        </w:rPr>
        <w:t>eficiente de los servicios públicos municipales, de conformidad con las</w:t>
      </w:r>
      <w:r>
        <w:rPr>
          <w:rFonts w:ascii="Abadi" w:hAnsi="Abadi" w:cs="*Arial-7932-Identity-H"/>
          <w:color w:val="0D0C0F"/>
          <w:sz w:val="21"/>
          <w:szCs w:val="21"/>
        </w:rPr>
        <w:t xml:space="preserve"> </w:t>
      </w:r>
      <w:r w:rsidRPr="00360EC2">
        <w:rPr>
          <w:rFonts w:ascii="Abadi" w:hAnsi="Abadi" w:cs="*Arial-7932-Identity-H"/>
          <w:color w:val="0D0C0F"/>
          <w:sz w:val="21"/>
          <w:szCs w:val="21"/>
        </w:rPr>
        <w:t>disposiciones aplicables.</w:t>
      </w:r>
    </w:p>
    <w:p w14:paraId="6F603EEF" w14:textId="77777777" w:rsidR="004A6831" w:rsidRPr="00360EC2" w:rsidRDefault="004A6831" w:rsidP="004A6831">
      <w:pPr>
        <w:autoSpaceDE w:val="0"/>
        <w:autoSpaceDN w:val="0"/>
        <w:adjustRightInd w:val="0"/>
        <w:jc w:val="both"/>
        <w:rPr>
          <w:rFonts w:ascii="Abadi" w:hAnsi="Abadi" w:cs="*Arial-7932-Identity-H"/>
          <w:color w:val="0D0C0F"/>
          <w:sz w:val="21"/>
          <w:szCs w:val="21"/>
        </w:rPr>
      </w:pPr>
    </w:p>
    <w:p w14:paraId="5A5B43D8" w14:textId="55E73DD1" w:rsidR="004A6831" w:rsidRPr="00360EC2" w:rsidRDefault="004A6831" w:rsidP="004A6831">
      <w:pPr>
        <w:autoSpaceDE w:val="0"/>
        <w:autoSpaceDN w:val="0"/>
        <w:adjustRightInd w:val="0"/>
        <w:ind w:firstLine="708"/>
        <w:jc w:val="both"/>
        <w:rPr>
          <w:rFonts w:ascii="Abadi" w:hAnsi="Abadi" w:cs="*Arial-7932-Identity-H"/>
          <w:color w:val="0D0D0F"/>
          <w:sz w:val="21"/>
          <w:szCs w:val="21"/>
        </w:rPr>
      </w:pPr>
      <w:r w:rsidRPr="00360EC2">
        <w:rPr>
          <w:rFonts w:ascii="Abadi" w:hAnsi="Abadi" w:cs="*Arial-7932-Identity-H"/>
          <w:color w:val="0D0D0F"/>
          <w:sz w:val="21"/>
          <w:szCs w:val="21"/>
        </w:rPr>
        <w:t>En virtud de lo anterior, y de conformidad a lo establecido en el artículo 32</w:t>
      </w:r>
      <w:r>
        <w:rPr>
          <w:rFonts w:ascii="Abadi" w:hAnsi="Abadi" w:cs="*Arial-7932-Identity-H"/>
          <w:color w:val="0D0D0F"/>
          <w:sz w:val="21"/>
          <w:szCs w:val="21"/>
        </w:rPr>
        <w:t xml:space="preserve"> </w:t>
      </w:r>
      <w:r w:rsidRPr="00360EC2">
        <w:rPr>
          <w:rFonts w:ascii="Abadi" w:hAnsi="Abadi" w:cs="*Arial-7932-Identity-H"/>
          <w:color w:val="0D0D0F"/>
          <w:sz w:val="21"/>
          <w:szCs w:val="21"/>
        </w:rPr>
        <w:t>del Reglamento Orgánico del Municipio de Pueblo Nuevo, Guanajuato, el</w:t>
      </w:r>
      <w:r>
        <w:rPr>
          <w:rFonts w:ascii="Abadi" w:hAnsi="Abadi" w:cs="*Arial-7932-Identity-H"/>
          <w:color w:val="0D0D0F"/>
          <w:sz w:val="21"/>
          <w:szCs w:val="21"/>
        </w:rPr>
        <w:t xml:space="preserve"> </w:t>
      </w:r>
      <w:r w:rsidRPr="00360EC2">
        <w:rPr>
          <w:rFonts w:ascii="Abadi" w:hAnsi="Abadi" w:cs="*Arial-7932-Identity-H"/>
          <w:color w:val="0D0D0F"/>
          <w:sz w:val="21"/>
          <w:szCs w:val="21"/>
        </w:rPr>
        <w:t>Ayuntamiento tiene a su cargo los servicios públicos. Asimismo, los articules 58,</w:t>
      </w:r>
      <w:r>
        <w:rPr>
          <w:rFonts w:ascii="Abadi" w:hAnsi="Abadi" w:cs="*Arial-7932-Identity-H"/>
          <w:color w:val="0D0D0F"/>
          <w:sz w:val="21"/>
          <w:szCs w:val="21"/>
        </w:rPr>
        <w:t xml:space="preserve"> </w:t>
      </w:r>
      <w:r w:rsidRPr="00360EC2">
        <w:rPr>
          <w:rFonts w:ascii="Abadi" w:hAnsi="Abadi" w:cs="*Arial-7932-Identity-H"/>
          <w:color w:val="0D0D0F"/>
          <w:sz w:val="21"/>
          <w:szCs w:val="21"/>
        </w:rPr>
        <w:t xml:space="preserve">fracción IX, 78, fracción </w:t>
      </w:r>
      <w:r>
        <w:rPr>
          <w:rFonts w:ascii="Abadi" w:hAnsi="Abadi" w:cs="*Arial-7932-Identity-H"/>
          <w:color w:val="0D0D0F"/>
          <w:sz w:val="21"/>
          <w:szCs w:val="21"/>
        </w:rPr>
        <w:t>I</w:t>
      </w:r>
      <w:r w:rsidRPr="00360EC2">
        <w:rPr>
          <w:rFonts w:ascii="Abadi" w:hAnsi="Abadi" w:cs="*Arial-7932-Identity-H"/>
          <w:color w:val="0D0D0F"/>
          <w:sz w:val="21"/>
          <w:szCs w:val="21"/>
        </w:rPr>
        <w:t xml:space="preserve">, 90 y 91 fracción </w:t>
      </w:r>
      <w:r w:rsidR="00152457">
        <w:rPr>
          <w:rFonts w:ascii="Abadi" w:hAnsi="Abadi" w:cs="*Arial-7932-Identity-H"/>
          <w:color w:val="0D0D0F"/>
          <w:sz w:val="21"/>
          <w:szCs w:val="21"/>
        </w:rPr>
        <w:t>II</w:t>
      </w:r>
      <w:r w:rsidRPr="00360EC2">
        <w:rPr>
          <w:rFonts w:ascii="Abadi" w:hAnsi="Abadi" w:cs="*Arial-7932-Identity-H"/>
          <w:color w:val="0D0D0F"/>
          <w:sz w:val="21"/>
          <w:szCs w:val="21"/>
        </w:rPr>
        <w:t>, establecen que para el ejercicio de</w:t>
      </w:r>
      <w:r>
        <w:rPr>
          <w:rFonts w:ascii="Abadi" w:hAnsi="Abadi" w:cs="*Arial-7932-Identity-H"/>
          <w:color w:val="0D0D0F"/>
          <w:sz w:val="21"/>
          <w:szCs w:val="21"/>
        </w:rPr>
        <w:t xml:space="preserve"> </w:t>
      </w:r>
      <w:r w:rsidRPr="00360EC2">
        <w:rPr>
          <w:rFonts w:ascii="Abadi" w:hAnsi="Abadi" w:cs="*Arial-7932-Identity-H"/>
          <w:color w:val="0D0D0F"/>
          <w:sz w:val="21"/>
          <w:szCs w:val="21"/>
        </w:rPr>
        <w:t>las funciones el Ayuntamiento contará con diversas dependencias, entre las que</w:t>
      </w:r>
    </w:p>
    <w:p w14:paraId="7A469A65" w14:textId="77777777" w:rsidR="004A6831" w:rsidRDefault="004A6831" w:rsidP="004A6831">
      <w:pPr>
        <w:autoSpaceDE w:val="0"/>
        <w:autoSpaceDN w:val="0"/>
        <w:adjustRightInd w:val="0"/>
        <w:jc w:val="both"/>
        <w:rPr>
          <w:rFonts w:ascii="Abadi" w:hAnsi="Abadi" w:cs="*Arial-Italic-7934-Identity-H"/>
          <w:i/>
          <w:iCs/>
          <w:color w:val="0D0D0F"/>
          <w:sz w:val="21"/>
          <w:szCs w:val="21"/>
        </w:rPr>
      </w:pPr>
      <w:r w:rsidRPr="00360EC2">
        <w:rPr>
          <w:rFonts w:ascii="Abadi" w:hAnsi="Abadi" w:cs="*Arial-7932-Identity-H"/>
          <w:color w:val="0D0D0F"/>
          <w:sz w:val="21"/>
          <w:szCs w:val="21"/>
        </w:rPr>
        <w:t xml:space="preserve">se encuentra Servicios Municipales, que tiene la atribución de </w:t>
      </w:r>
      <w:r w:rsidRPr="00360EC2">
        <w:rPr>
          <w:rFonts w:ascii="Abadi" w:hAnsi="Abadi" w:cs="*Arial-Italic-7934-Identity-H"/>
          <w:i/>
          <w:iCs/>
          <w:color w:val="0D0D0F"/>
          <w:sz w:val="21"/>
          <w:szCs w:val="21"/>
        </w:rPr>
        <w:t>velar por la eficiente</w:t>
      </w:r>
      <w:r>
        <w:rPr>
          <w:rFonts w:ascii="Abadi" w:hAnsi="Abadi" w:cs="*Arial-Italic-7934-Identity-H"/>
          <w:i/>
          <w:iCs/>
          <w:color w:val="0D0D0F"/>
          <w:sz w:val="21"/>
          <w:szCs w:val="21"/>
        </w:rPr>
        <w:t xml:space="preserve"> </w:t>
      </w:r>
      <w:r w:rsidRPr="00360EC2">
        <w:rPr>
          <w:rFonts w:ascii="Abadi" w:hAnsi="Abadi" w:cs="*Arial-Italic-7934-Identity-H"/>
          <w:i/>
          <w:iCs/>
          <w:color w:val="0D0D0F"/>
          <w:sz w:val="21"/>
          <w:szCs w:val="21"/>
        </w:rPr>
        <w:t xml:space="preserve">prestación de los servicios </w:t>
      </w:r>
      <w:r w:rsidRPr="00360EC2">
        <w:rPr>
          <w:rFonts w:ascii="Abadi" w:hAnsi="Abadi" w:cs="*Arial-7932-Identity-H"/>
          <w:color w:val="0D0D0F"/>
          <w:sz w:val="21"/>
          <w:szCs w:val="21"/>
        </w:rPr>
        <w:t xml:space="preserve">a </w:t>
      </w:r>
      <w:r w:rsidRPr="00360EC2">
        <w:rPr>
          <w:rFonts w:ascii="Abadi" w:hAnsi="Abadi" w:cs="*Arial-Italic-7934-Identity-H"/>
          <w:i/>
          <w:iCs/>
          <w:color w:val="0D0D0F"/>
          <w:sz w:val="21"/>
          <w:szCs w:val="21"/>
        </w:rPr>
        <w:t>su cargo.</w:t>
      </w:r>
    </w:p>
    <w:p w14:paraId="019E083C" w14:textId="77777777" w:rsidR="004A6831" w:rsidRPr="00360EC2" w:rsidRDefault="004A6831" w:rsidP="004A6831">
      <w:pPr>
        <w:autoSpaceDE w:val="0"/>
        <w:autoSpaceDN w:val="0"/>
        <w:adjustRightInd w:val="0"/>
        <w:jc w:val="both"/>
        <w:rPr>
          <w:rFonts w:ascii="Abadi" w:hAnsi="Abadi" w:cs="*Arial-Italic-7934-Identity-H"/>
          <w:i/>
          <w:iCs/>
          <w:color w:val="0D0D0F"/>
          <w:sz w:val="21"/>
          <w:szCs w:val="21"/>
        </w:rPr>
      </w:pPr>
    </w:p>
    <w:p w14:paraId="26AE9CDF" w14:textId="77777777" w:rsidR="004A6831" w:rsidRDefault="004A6831" w:rsidP="004A6831">
      <w:pPr>
        <w:autoSpaceDE w:val="0"/>
        <w:autoSpaceDN w:val="0"/>
        <w:adjustRightInd w:val="0"/>
        <w:ind w:firstLine="708"/>
        <w:jc w:val="both"/>
        <w:rPr>
          <w:rFonts w:ascii="Abadi" w:hAnsi="Abadi" w:cs="*Arial-Bold-7933-Identity-H"/>
          <w:b/>
          <w:bCs/>
          <w:color w:val="0C0B10"/>
          <w:sz w:val="21"/>
          <w:szCs w:val="21"/>
        </w:rPr>
      </w:pPr>
      <w:r w:rsidRPr="00360EC2">
        <w:rPr>
          <w:rFonts w:ascii="Abadi" w:hAnsi="Abadi" w:cs="*Arial-Bold-7933-Identity-H"/>
          <w:b/>
          <w:bCs/>
          <w:color w:val="0C0B10"/>
          <w:sz w:val="21"/>
          <w:szCs w:val="21"/>
        </w:rPr>
        <w:t>b) Resultado del proceso de fiscalización.</w:t>
      </w:r>
    </w:p>
    <w:p w14:paraId="13C4DDE6" w14:textId="77777777" w:rsidR="004A6831" w:rsidRPr="00360EC2" w:rsidRDefault="004A6831" w:rsidP="004A6831">
      <w:pPr>
        <w:autoSpaceDE w:val="0"/>
        <w:autoSpaceDN w:val="0"/>
        <w:adjustRightInd w:val="0"/>
        <w:jc w:val="both"/>
        <w:rPr>
          <w:rFonts w:ascii="Abadi" w:hAnsi="Abadi" w:cs="*Arial-Bold-7933-Identity-H"/>
          <w:b/>
          <w:bCs/>
          <w:color w:val="0C0B10"/>
          <w:sz w:val="21"/>
          <w:szCs w:val="21"/>
        </w:rPr>
      </w:pPr>
    </w:p>
    <w:p w14:paraId="02817918" w14:textId="2677826E" w:rsidR="004A6831" w:rsidRDefault="004A6831" w:rsidP="004A6831">
      <w:pPr>
        <w:autoSpaceDE w:val="0"/>
        <w:autoSpaceDN w:val="0"/>
        <w:adjustRightInd w:val="0"/>
        <w:jc w:val="both"/>
        <w:rPr>
          <w:rFonts w:ascii="Abadi" w:hAnsi="Abadi" w:cs="*Arial-7932-Identity-H"/>
          <w:color w:val="0D0D0F"/>
          <w:sz w:val="21"/>
          <w:szCs w:val="21"/>
        </w:rPr>
      </w:pPr>
      <w:r w:rsidRPr="00360EC2">
        <w:rPr>
          <w:rFonts w:ascii="Abadi" w:hAnsi="Abadi" w:cs="*Arial-7932-Identity-H"/>
          <w:color w:val="0D0D0F"/>
          <w:sz w:val="21"/>
          <w:szCs w:val="21"/>
        </w:rPr>
        <w:t>En esta parte se señala que los objetivos específicos se desarrollaron en la</w:t>
      </w:r>
      <w:r>
        <w:rPr>
          <w:rFonts w:ascii="Abadi" w:hAnsi="Abadi" w:cs="*Arial-7932-Identity-H"/>
          <w:color w:val="0D0D0F"/>
          <w:sz w:val="21"/>
          <w:szCs w:val="21"/>
        </w:rPr>
        <w:t xml:space="preserve"> </w:t>
      </w:r>
      <w:r w:rsidRPr="00360EC2">
        <w:rPr>
          <w:rFonts w:ascii="Abadi" w:hAnsi="Abadi" w:cs="*Arial-7932-Identity-H"/>
          <w:color w:val="0D0D0F"/>
          <w:sz w:val="21"/>
          <w:szCs w:val="21"/>
        </w:rPr>
        <w:t>auditoría en siete procedimientos, con los siguientes resultados:</w:t>
      </w:r>
    </w:p>
    <w:p w14:paraId="51D3749A" w14:textId="77777777" w:rsidR="00EA3B68" w:rsidRPr="00360EC2" w:rsidRDefault="00EA3B68" w:rsidP="004A6831">
      <w:pPr>
        <w:autoSpaceDE w:val="0"/>
        <w:autoSpaceDN w:val="0"/>
        <w:adjustRightInd w:val="0"/>
        <w:jc w:val="both"/>
        <w:rPr>
          <w:rFonts w:ascii="Abadi" w:hAnsi="Abadi" w:cs="*Arial-7932-Identity-H"/>
          <w:color w:val="0D0D0F"/>
          <w:sz w:val="21"/>
          <w:szCs w:val="21"/>
        </w:rPr>
      </w:pPr>
    </w:p>
    <w:p w14:paraId="3C0F2FD9" w14:textId="77777777" w:rsidR="004A6831" w:rsidRPr="00360EC2" w:rsidRDefault="004A6831" w:rsidP="004A6831">
      <w:pPr>
        <w:autoSpaceDE w:val="0"/>
        <w:autoSpaceDN w:val="0"/>
        <w:adjustRightInd w:val="0"/>
        <w:jc w:val="both"/>
        <w:rPr>
          <w:rFonts w:ascii="Abadi" w:hAnsi="Abadi" w:cs="*Arial-Bold-7933-Identity-H"/>
          <w:b/>
          <w:bCs/>
          <w:color w:val="0F0D11"/>
          <w:sz w:val="21"/>
          <w:szCs w:val="21"/>
        </w:rPr>
      </w:pPr>
      <w:r w:rsidRPr="00360EC2">
        <w:rPr>
          <w:rFonts w:ascii="Abadi" w:hAnsi="Abadi" w:cs="*Arial-Bold-7933-Identity-H"/>
          <w:b/>
          <w:bCs/>
          <w:color w:val="0F0D11"/>
          <w:sz w:val="21"/>
          <w:szCs w:val="21"/>
        </w:rPr>
        <w:t>Eficiencia:</w:t>
      </w:r>
    </w:p>
    <w:p w14:paraId="2DAB7AC7" w14:textId="77777777" w:rsidR="004A6831" w:rsidRPr="00360EC2" w:rsidRDefault="004A6831" w:rsidP="004A6831">
      <w:pPr>
        <w:autoSpaceDE w:val="0"/>
        <w:autoSpaceDN w:val="0"/>
        <w:adjustRightInd w:val="0"/>
        <w:ind w:left="426"/>
        <w:jc w:val="both"/>
        <w:rPr>
          <w:rFonts w:ascii="Abadi" w:hAnsi="Abadi" w:cs="*Arial-7932-Identity-H"/>
          <w:color w:val="0B0B0E"/>
          <w:sz w:val="21"/>
          <w:szCs w:val="21"/>
        </w:rPr>
      </w:pPr>
      <w:r w:rsidRPr="00714DAA">
        <w:rPr>
          <w:rFonts w:ascii="Abadi" w:hAnsi="Abadi" w:cs="*Arial-7932-Identity-H"/>
          <w:b/>
          <w:bCs/>
          <w:color w:val="0B0B0E"/>
          <w:sz w:val="21"/>
          <w:szCs w:val="21"/>
        </w:rPr>
        <w:t>1.</w:t>
      </w:r>
      <w:r w:rsidRPr="00360EC2">
        <w:rPr>
          <w:rFonts w:ascii="Abadi" w:hAnsi="Abadi" w:cs="*Arial-7932-Identity-H"/>
          <w:color w:val="0B0B0E"/>
          <w:sz w:val="21"/>
          <w:szCs w:val="21"/>
        </w:rPr>
        <w:t xml:space="preserve"> Oferta del servicio de alumbrado público.</w:t>
      </w:r>
    </w:p>
    <w:p w14:paraId="2691FC69" w14:textId="77777777" w:rsidR="004A6831" w:rsidRPr="00360EC2" w:rsidRDefault="004A6831" w:rsidP="004A6831">
      <w:pPr>
        <w:autoSpaceDE w:val="0"/>
        <w:autoSpaceDN w:val="0"/>
        <w:adjustRightInd w:val="0"/>
        <w:ind w:left="426"/>
        <w:jc w:val="both"/>
        <w:rPr>
          <w:rFonts w:ascii="Abadi" w:hAnsi="Abadi" w:cs="*Arial-5567-Identity-H"/>
          <w:color w:val="0F0D12"/>
          <w:sz w:val="21"/>
          <w:szCs w:val="21"/>
        </w:rPr>
      </w:pPr>
      <w:r w:rsidRPr="004E7A8B">
        <w:rPr>
          <w:rFonts w:ascii="Abadi" w:hAnsi="Abadi" w:cs="*Arial-5567-Identity-H"/>
          <w:b/>
          <w:bCs/>
          <w:color w:val="0F0D12"/>
          <w:sz w:val="21"/>
          <w:szCs w:val="21"/>
        </w:rPr>
        <w:t>2.</w:t>
      </w:r>
      <w:r w:rsidRPr="00360EC2">
        <w:rPr>
          <w:rFonts w:ascii="Abadi" w:hAnsi="Abadi" w:cs="*Arial-5567-Identity-H"/>
          <w:color w:val="0F0D12"/>
          <w:sz w:val="21"/>
          <w:szCs w:val="21"/>
        </w:rPr>
        <w:t xml:space="preserve"> Presupuestación del servicio.</w:t>
      </w:r>
    </w:p>
    <w:p w14:paraId="498D12FF" w14:textId="77777777" w:rsidR="004A6831" w:rsidRPr="00360EC2" w:rsidRDefault="004A6831" w:rsidP="004A6831">
      <w:pPr>
        <w:autoSpaceDE w:val="0"/>
        <w:autoSpaceDN w:val="0"/>
        <w:adjustRightInd w:val="0"/>
        <w:ind w:left="426"/>
        <w:jc w:val="both"/>
        <w:rPr>
          <w:rFonts w:ascii="Abadi" w:hAnsi="Abadi" w:cs="*Arial-5567-Identity-H"/>
          <w:color w:val="0C0C0E"/>
          <w:sz w:val="21"/>
          <w:szCs w:val="21"/>
        </w:rPr>
      </w:pPr>
      <w:r w:rsidRPr="004E7A8B">
        <w:rPr>
          <w:rFonts w:ascii="Abadi" w:hAnsi="Abadi" w:cs="*Arial-5567-Identity-H"/>
          <w:b/>
          <w:bCs/>
          <w:color w:val="0C0C0E"/>
          <w:sz w:val="21"/>
          <w:szCs w:val="21"/>
        </w:rPr>
        <w:t>3.</w:t>
      </w:r>
      <w:r w:rsidRPr="00360EC2">
        <w:rPr>
          <w:rFonts w:ascii="Abadi" w:hAnsi="Abadi" w:cs="*Arial-5567-Identity-H"/>
          <w:color w:val="0C0C0E"/>
          <w:sz w:val="21"/>
          <w:szCs w:val="21"/>
        </w:rPr>
        <w:t xml:space="preserve"> Marco normativo para la prestación del servicio.</w:t>
      </w:r>
    </w:p>
    <w:p w14:paraId="441EAC15" w14:textId="77777777" w:rsidR="004A6831" w:rsidRPr="00360EC2" w:rsidRDefault="004A6831" w:rsidP="004A6831">
      <w:pPr>
        <w:autoSpaceDE w:val="0"/>
        <w:autoSpaceDN w:val="0"/>
        <w:adjustRightInd w:val="0"/>
        <w:ind w:left="426"/>
        <w:jc w:val="both"/>
        <w:rPr>
          <w:rFonts w:ascii="Abadi" w:hAnsi="Abadi" w:cs="*Arial-5567-Identity-H"/>
          <w:color w:val="0C0B0E"/>
          <w:sz w:val="21"/>
          <w:szCs w:val="21"/>
        </w:rPr>
      </w:pPr>
      <w:r w:rsidRPr="00360EC2">
        <w:rPr>
          <w:rFonts w:ascii="Abadi" w:hAnsi="Abadi" w:cs="*Arial-Bold-5568-Identity-H"/>
          <w:b/>
          <w:bCs/>
          <w:color w:val="0C0B0E"/>
          <w:sz w:val="21"/>
          <w:szCs w:val="21"/>
        </w:rPr>
        <w:t xml:space="preserve">4. </w:t>
      </w:r>
      <w:r w:rsidRPr="00360EC2">
        <w:rPr>
          <w:rFonts w:ascii="Abadi" w:hAnsi="Abadi" w:cs="*Arial-5567-Identity-H"/>
          <w:color w:val="0C0B0E"/>
          <w:sz w:val="21"/>
          <w:szCs w:val="21"/>
        </w:rPr>
        <w:t>Planeación del servicio de alumbrado público en el corto plazo.</w:t>
      </w:r>
    </w:p>
    <w:p w14:paraId="67BC8D99" w14:textId="77777777" w:rsidR="004A6831" w:rsidRPr="00360EC2" w:rsidRDefault="004A6831" w:rsidP="004A6831">
      <w:pPr>
        <w:autoSpaceDE w:val="0"/>
        <w:autoSpaceDN w:val="0"/>
        <w:adjustRightInd w:val="0"/>
        <w:ind w:left="426"/>
        <w:jc w:val="both"/>
        <w:rPr>
          <w:rFonts w:ascii="Abadi" w:hAnsi="Abadi" w:cs="*Arial-5567-Identity-H"/>
          <w:color w:val="0D0C0F"/>
          <w:sz w:val="21"/>
          <w:szCs w:val="21"/>
        </w:rPr>
      </w:pPr>
      <w:r w:rsidRPr="00360EC2">
        <w:rPr>
          <w:rFonts w:ascii="Abadi" w:hAnsi="Abadi" w:cs="*Arial-Bold-5568-Identity-H"/>
          <w:b/>
          <w:bCs/>
          <w:color w:val="0D0C0F"/>
          <w:sz w:val="21"/>
          <w:szCs w:val="21"/>
        </w:rPr>
        <w:t xml:space="preserve">5. </w:t>
      </w:r>
      <w:r w:rsidRPr="00360EC2">
        <w:rPr>
          <w:rFonts w:ascii="Abadi" w:hAnsi="Abadi" w:cs="*Arial-5567-Identity-H"/>
          <w:color w:val="0D0C0F"/>
          <w:sz w:val="21"/>
          <w:szCs w:val="21"/>
        </w:rPr>
        <w:t>Participación ciudadana en el reporte de fallas del servicio.</w:t>
      </w:r>
    </w:p>
    <w:p w14:paraId="25112FA3" w14:textId="77777777" w:rsidR="004A6831" w:rsidRDefault="004A6831" w:rsidP="004A6831">
      <w:pPr>
        <w:autoSpaceDE w:val="0"/>
        <w:autoSpaceDN w:val="0"/>
        <w:adjustRightInd w:val="0"/>
        <w:jc w:val="both"/>
        <w:rPr>
          <w:rFonts w:ascii="Abadi" w:hAnsi="Abadi" w:cs="*Arial-Bold-5568-Identity-H"/>
          <w:b/>
          <w:bCs/>
          <w:color w:val="0E0E12"/>
          <w:sz w:val="21"/>
          <w:szCs w:val="21"/>
        </w:rPr>
      </w:pPr>
      <w:r w:rsidRPr="00360EC2">
        <w:rPr>
          <w:rFonts w:ascii="Abadi" w:hAnsi="Abadi" w:cs="*Arial-Bold-5568-Identity-H"/>
          <w:b/>
          <w:bCs/>
          <w:color w:val="0E0E12"/>
          <w:sz w:val="21"/>
          <w:szCs w:val="21"/>
        </w:rPr>
        <w:t>Eficacia:</w:t>
      </w:r>
    </w:p>
    <w:p w14:paraId="1F5D3604" w14:textId="77777777" w:rsidR="004A6831" w:rsidRPr="00360EC2" w:rsidRDefault="004A6831" w:rsidP="004A6831">
      <w:pPr>
        <w:autoSpaceDE w:val="0"/>
        <w:autoSpaceDN w:val="0"/>
        <w:adjustRightInd w:val="0"/>
        <w:jc w:val="both"/>
        <w:rPr>
          <w:rFonts w:ascii="Abadi" w:hAnsi="Abadi" w:cs="*Arial-Bold-5568-Identity-H"/>
          <w:b/>
          <w:bCs/>
          <w:color w:val="0E0E12"/>
          <w:sz w:val="21"/>
          <w:szCs w:val="21"/>
        </w:rPr>
      </w:pPr>
    </w:p>
    <w:p w14:paraId="55EDFAF6" w14:textId="77777777" w:rsidR="004A6831" w:rsidRPr="00360EC2" w:rsidRDefault="004A6831" w:rsidP="004A6831">
      <w:pPr>
        <w:autoSpaceDE w:val="0"/>
        <w:autoSpaceDN w:val="0"/>
        <w:adjustRightInd w:val="0"/>
        <w:ind w:left="426"/>
        <w:jc w:val="both"/>
        <w:rPr>
          <w:rFonts w:ascii="Abadi" w:hAnsi="Abadi" w:cs="*Arial-5567-Identity-H"/>
          <w:color w:val="0C0C0E"/>
          <w:sz w:val="21"/>
          <w:szCs w:val="21"/>
        </w:rPr>
      </w:pPr>
      <w:r w:rsidRPr="00360EC2">
        <w:rPr>
          <w:rFonts w:ascii="Abadi" w:hAnsi="Abadi" w:cs="*Arial-Bold-5568-Identity-H"/>
          <w:b/>
          <w:bCs/>
          <w:color w:val="0C0C0E"/>
          <w:sz w:val="21"/>
          <w:szCs w:val="21"/>
        </w:rPr>
        <w:t xml:space="preserve">6. </w:t>
      </w:r>
      <w:r w:rsidRPr="00360EC2">
        <w:rPr>
          <w:rFonts w:ascii="Abadi" w:hAnsi="Abadi" w:cs="*Arial-5567-Identity-H"/>
          <w:color w:val="0C0C0E"/>
          <w:sz w:val="21"/>
          <w:szCs w:val="21"/>
        </w:rPr>
        <w:t>Eficacia del servicio de alumbrado público.</w:t>
      </w:r>
    </w:p>
    <w:p w14:paraId="25C1A275" w14:textId="77777777" w:rsidR="004A6831" w:rsidRDefault="004A6831" w:rsidP="004A6831">
      <w:pPr>
        <w:autoSpaceDE w:val="0"/>
        <w:autoSpaceDN w:val="0"/>
        <w:adjustRightInd w:val="0"/>
        <w:ind w:left="426"/>
        <w:jc w:val="both"/>
        <w:rPr>
          <w:rFonts w:ascii="Abadi" w:hAnsi="Abadi" w:cs="*Arial-5567-Identity-H"/>
          <w:color w:val="0C0B0E"/>
          <w:sz w:val="21"/>
          <w:szCs w:val="21"/>
        </w:rPr>
      </w:pPr>
      <w:r w:rsidRPr="00360EC2">
        <w:rPr>
          <w:rFonts w:ascii="Abadi" w:hAnsi="Abadi" w:cs="*Arial-Bold-5568-Identity-H"/>
          <w:b/>
          <w:bCs/>
          <w:color w:val="0C0B0E"/>
          <w:sz w:val="21"/>
          <w:szCs w:val="21"/>
        </w:rPr>
        <w:t xml:space="preserve">7. </w:t>
      </w:r>
      <w:r w:rsidRPr="00360EC2">
        <w:rPr>
          <w:rFonts w:ascii="Abadi" w:hAnsi="Abadi" w:cs="*Arial-5567-Identity-H"/>
          <w:color w:val="0C0B0E"/>
          <w:sz w:val="21"/>
          <w:szCs w:val="21"/>
        </w:rPr>
        <w:t>Monitoreo y evaluación de resultados.</w:t>
      </w:r>
    </w:p>
    <w:p w14:paraId="10823C59" w14:textId="77777777" w:rsidR="004A6831" w:rsidRPr="00360EC2" w:rsidRDefault="004A6831" w:rsidP="004A6831">
      <w:pPr>
        <w:autoSpaceDE w:val="0"/>
        <w:autoSpaceDN w:val="0"/>
        <w:adjustRightInd w:val="0"/>
        <w:ind w:left="426"/>
        <w:jc w:val="both"/>
        <w:rPr>
          <w:rFonts w:ascii="Abadi" w:hAnsi="Abadi" w:cs="*Arial-5567-Identity-H"/>
          <w:color w:val="0C0B0E"/>
          <w:sz w:val="21"/>
          <w:szCs w:val="21"/>
        </w:rPr>
      </w:pPr>
    </w:p>
    <w:p w14:paraId="6F51CDA3" w14:textId="77777777" w:rsidR="004A6831" w:rsidRDefault="004A6831" w:rsidP="004A6831">
      <w:pPr>
        <w:autoSpaceDE w:val="0"/>
        <w:autoSpaceDN w:val="0"/>
        <w:adjustRightInd w:val="0"/>
        <w:ind w:firstLine="426"/>
        <w:jc w:val="both"/>
        <w:rPr>
          <w:rFonts w:ascii="Abadi" w:hAnsi="Abadi" w:cs="*Arial-5567-Identity-H"/>
          <w:color w:val="0D0D10"/>
          <w:sz w:val="21"/>
          <w:szCs w:val="21"/>
        </w:rPr>
      </w:pPr>
      <w:r w:rsidRPr="00360EC2">
        <w:rPr>
          <w:rFonts w:ascii="Abadi" w:hAnsi="Abadi" w:cs="*Arial-5567-Identity-H"/>
          <w:color w:val="0D0D10"/>
          <w:sz w:val="21"/>
          <w:szCs w:val="21"/>
        </w:rPr>
        <w:t>Es así, que se presentan los resultados de la auditoría realizada,</w:t>
      </w:r>
      <w:r>
        <w:rPr>
          <w:rFonts w:ascii="Abadi" w:hAnsi="Abadi" w:cs="*Arial-5567-Identity-H"/>
          <w:color w:val="0D0D10"/>
          <w:sz w:val="21"/>
          <w:szCs w:val="21"/>
        </w:rPr>
        <w:t xml:space="preserve"> </w:t>
      </w:r>
      <w:r w:rsidRPr="00360EC2">
        <w:rPr>
          <w:rFonts w:ascii="Abadi" w:hAnsi="Abadi" w:cs="*Arial-5567-Identity-H"/>
          <w:color w:val="0D0D10"/>
          <w:sz w:val="21"/>
          <w:szCs w:val="21"/>
        </w:rPr>
        <w:t>estableciendo las recomendaciones formuladas al sujeto fiscalizado, plasmando</w:t>
      </w:r>
      <w:r>
        <w:rPr>
          <w:rFonts w:ascii="Abadi" w:hAnsi="Abadi" w:cs="*Arial-5567-Identity-H"/>
          <w:color w:val="0D0D10"/>
          <w:sz w:val="21"/>
          <w:szCs w:val="21"/>
        </w:rPr>
        <w:t xml:space="preserve"> </w:t>
      </w:r>
      <w:r w:rsidRPr="00360EC2">
        <w:rPr>
          <w:rFonts w:ascii="Abadi" w:hAnsi="Abadi" w:cs="*Arial-5567-Identity-H"/>
          <w:color w:val="0D0D10"/>
          <w:sz w:val="21"/>
          <w:szCs w:val="21"/>
        </w:rPr>
        <w:t>en cada una las acciones preventivas y correctivas que se deben llevar a cabo</w:t>
      </w:r>
      <w:r>
        <w:rPr>
          <w:rFonts w:ascii="Abadi" w:hAnsi="Abadi" w:cs="*Arial-5567-Identity-H"/>
          <w:color w:val="0D0D10"/>
          <w:sz w:val="21"/>
          <w:szCs w:val="21"/>
        </w:rPr>
        <w:t xml:space="preserve"> </w:t>
      </w:r>
      <w:r w:rsidRPr="00360EC2">
        <w:rPr>
          <w:rFonts w:ascii="Abadi" w:hAnsi="Abadi" w:cs="*Arial-5567-Identity-H"/>
          <w:color w:val="0D0D10"/>
          <w:sz w:val="21"/>
          <w:szCs w:val="21"/>
        </w:rPr>
        <w:t>para subsanar las situaciones detectadas durante el proceso de auditoría.</w:t>
      </w:r>
    </w:p>
    <w:p w14:paraId="304AE5F8" w14:textId="77777777" w:rsidR="004A6831" w:rsidRPr="00360EC2" w:rsidRDefault="004A6831" w:rsidP="004A6831">
      <w:pPr>
        <w:autoSpaceDE w:val="0"/>
        <w:autoSpaceDN w:val="0"/>
        <w:adjustRightInd w:val="0"/>
        <w:jc w:val="both"/>
        <w:rPr>
          <w:rFonts w:ascii="Abadi" w:hAnsi="Abadi" w:cs="*Arial-5567-Identity-H"/>
          <w:color w:val="0D0D10"/>
          <w:sz w:val="21"/>
          <w:szCs w:val="21"/>
        </w:rPr>
      </w:pPr>
    </w:p>
    <w:p w14:paraId="44652965" w14:textId="77777777" w:rsidR="004A6831" w:rsidRDefault="004A6831" w:rsidP="004A6831">
      <w:pPr>
        <w:autoSpaceDE w:val="0"/>
        <w:autoSpaceDN w:val="0"/>
        <w:adjustRightInd w:val="0"/>
        <w:ind w:firstLine="426"/>
        <w:jc w:val="both"/>
        <w:rPr>
          <w:rFonts w:ascii="Abadi" w:hAnsi="Abadi" w:cs="*Arial-5567-Identity-H"/>
          <w:color w:val="0D0C0F"/>
          <w:sz w:val="21"/>
          <w:szCs w:val="21"/>
        </w:rPr>
      </w:pPr>
      <w:r w:rsidRPr="00360EC2">
        <w:rPr>
          <w:rFonts w:ascii="Abadi" w:hAnsi="Abadi" w:cs="*Arial-5567-Identity-H"/>
          <w:color w:val="0D0C0F"/>
          <w:sz w:val="21"/>
          <w:szCs w:val="21"/>
        </w:rPr>
        <w:t>Derivado de lo anterior, se formulan los resultados y recomendaciones</w:t>
      </w:r>
      <w:r>
        <w:rPr>
          <w:rFonts w:ascii="Abadi" w:hAnsi="Abadi" w:cs="*Arial-5567-Identity-H"/>
          <w:color w:val="0D0C0F"/>
          <w:sz w:val="21"/>
          <w:szCs w:val="21"/>
        </w:rPr>
        <w:t xml:space="preserve"> </w:t>
      </w:r>
      <w:r w:rsidRPr="00360EC2">
        <w:rPr>
          <w:rFonts w:ascii="Abadi" w:hAnsi="Abadi" w:cs="*Arial-5567-Identity-H"/>
          <w:color w:val="0D0C0F"/>
          <w:sz w:val="21"/>
          <w:szCs w:val="21"/>
        </w:rPr>
        <w:t>contenidos en los rubros de Eficiencia y Eficacia.</w:t>
      </w:r>
    </w:p>
    <w:p w14:paraId="77F1DA69" w14:textId="77777777" w:rsidR="004A6831" w:rsidRPr="00360EC2" w:rsidRDefault="004A6831" w:rsidP="004A6831">
      <w:pPr>
        <w:autoSpaceDE w:val="0"/>
        <w:autoSpaceDN w:val="0"/>
        <w:adjustRightInd w:val="0"/>
        <w:jc w:val="both"/>
        <w:rPr>
          <w:rFonts w:ascii="Abadi" w:hAnsi="Abadi" w:cs="*Arial-5567-Identity-H"/>
          <w:color w:val="0D0C0F"/>
          <w:sz w:val="21"/>
          <w:szCs w:val="21"/>
        </w:rPr>
      </w:pPr>
    </w:p>
    <w:p w14:paraId="1454DC5E" w14:textId="77777777" w:rsidR="004A6831" w:rsidRDefault="004A6831" w:rsidP="004A6831">
      <w:pPr>
        <w:autoSpaceDE w:val="0"/>
        <w:autoSpaceDN w:val="0"/>
        <w:adjustRightInd w:val="0"/>
        <w:ind w:firstLine="426"/>
        <w:jc w:val="both"/>
        <w:rPr>
          <w:rFonts w:ascii="Abadi" w:hAnsi="Abadi" w:cs="*Arial-5567-Identity-H"/>
          <w:color w:val="0C0C0F"/>
          <w:sz w:val="21"/>
          <w:szCs w:val="21"/>
        </w:rPr>
      </w:pPr>
      <w:r w:rsidRPr="00360EC2">
        <w:rPr>
          <w:rFonts w:ascii="Abadi" w:hAnsi="Abadi" w:cs="*Arial-5567-Identity-H"/>
          <w:color w:val="0C0C0F"/>
          <w:sz w:val="21"/>
          <w:szCs w:val="21"/>
        </w:rPr>
        <w:t>En tal sentido, en el rubro de Eficiencia, se formularon las recomendaciones</w:t>
      </w:r>
      <w:r>
        <w:rPr>
          <w:rFonts w:ascii="Abadi" w:hAnsi="Abadi" w:cs="*Arial-5567-Identity-H"/>
          <w:color w:val="0C0C0F"/>
          <w:sz w:val="21"/>
          <w:szCs w:val="21"/>
        </w:rPr>
        <w:t xml:space="preserve"> </w:t>
      </w:r>
      <w:r w:rsidRPr="00360EC2">
        <w:rPr>
          <w:rFonts w:ascii="Abadi" w:hAnsi="Abadi" w:cs="*Arial-5567-Identity-H"/>
          <w:color w:val="0C0C0F"/>
          <w:sz w:val="21"/>
          <w:szCs w:val="21"/>
        </w:rPr>
        <w:t>plasmadas en los puntos 01 y 02 del resultado número 1, referente a oferta del</w:t>
      </w:r>
      <w:r>
        <w:rPr>
          <w:rFonts w:ascii="Abadi" w:hAnsi="Abadi" w:cs="*Arial-5567-Identity-H"/>
          <w:color w:val="0C0C0F"/>
          <w:sz w:val="21"/>
          <w:szCs w:val="21"/>
        </w:rPr>
        <w:t xml:space="preserve"> </w:t>
      </w:r>
      <w:r w:rsidRPr="00360EC2">
        <w:rPr>
          <w:rFonts w:ascii="Abadi" w:hAnsi="Abadi" w:cs="*Arial-5567-Identity-H"/>
          <w:color w:val="0C0C0F"/>
          <w:sz w:val="21"/>
          <w:szCs w:val="21"/>
        </w:rPr>
        <w:t>servicio de alumbrado público; 03 y 04 del resultado número 2, correspondiente a</w:t>
      </w:r>
      <w:r>
        <w:rPr>
          <w:rFonts w:ascii="Abadi" w:hAnsi="Abadi" w:cs="*Arial-5567-Identity-H"/>
          <w:color w:val="0C0C0F"/>
          <w:sz w:val="21"/>
          <w:szCs w:val="21"/>
        </w:rPr>
        <w:t xml:space="preserve"> </w:t>
      </w:r>
      <w:r w:rsidRPr="00360EC2">
        <w:rPr>
          <w:rFonts w:ascii="Abadi" w:hAnsi="Abadi" w:cs="*Arial-5567-Identity-H"/>
          <w:color w:val="0C0C0F"/>
          <w:sz w:val="21"/>
          <w:szCs w:val="21"/>
        </w:rPr>
        <w:t>presupuestación del servicio; 05 y 06 del resultado número 3, relativo a marco</w:t>
      </w:r>
      <w:r>
        <w:rPr>
          <w:rFonts w:ascii="Abadi" w:hAnsi="Abadi" w:cs="*Arial-5567-Identity-H"/>
          <w:color w:val="0C0C0F"/>
          <w:sz w:val="21"/>
          <w:szCs w:val="21"/>
        </w:rPr>
        <w:t xml:space="preserve"> </w:t>
      </w:r>
      <w:r w:rsidRPr="00360EC2">
        <w:rPr>
          <w:rFonts w:ascii="Abadi" w:hAnsi="Abadi" w:cs="*Arial-5567-Identity-H"/>
          <w:color w:val="0C0C0F"/>
          <w:sz w:val="21"/>
          <w:szCs w:val="21"/>
        </w:rPr>
        <w:t>normativo para la prestación del servicio; 07 del resultado número 4, referido a</w:t>
      </w:r>
      <w:r>
        <w:rPr>
          <w:rFonts w:ascii="Abadi" w:hAnsi="Abadi" w:cs="*Arial-5567-Identity-H"/>
          <w:color w:val="0C0C0F"/>
          <w:sz w:val="21"/>
          <w:szCs w:val="21"/>
        </w:rPr>
        <w:t xml:space="preserve"> </w:t>
      </w:r>
      <w:r w:rsidRPr="00360EC2">
        <w:rPr>
          <w:rFonts w:ascii="Abadi" w:hAnsi="Abadi" w:cs="*Arial-5567-Identity-H"/>
          <w:color w:val="0C0C0F"/>
          <w:sz w:val="21"/>
          <w:szCs w:val="21"/>
        </w:rPr>
        <w:t>planeación del servicio de alumbrado público en el corto plazo; y 08 del resultado</w:t>
      </w:r>
      <w:r>
        <w:rPr>
          <w:rFonts w:ascii="Abadi" w:hAnsi="Abadi" w:cs="*Arial-5567-Identity-H"/>
          <w:color w:val="0C0C0F"/>
          <w:sz w:val="21"/>
          <w:szCs w:val="21"/>
        </w:rPr>
        <w:t xml:space="preserve"> </w:t>
      </w:r>
      <w:r w:rsidRPr="00360EC2">
        <w:rPr>
          <w:rFonts w:ascii="Abadi" w:hAnsi="Abadi" w:cs="*Arial-5567-Identity-H"/>
          <w:color w:val="0C0C0F"/>
          <w:sz w:val="21"/>
          <w:szCs w:val="21"/>
        </w:rPr>
        <w:t>número 5, referente a participación ciudadana en el reporte de fallas del servicio.</w:t>
      </w:r>
    </w:p>
    <w:p w14:paraId="1696BD1F" w14:textId="77777777" w:rsidR="004A6831" w:rsidRPr="00360EC2" w:rsidRDefault="004A6831" w:rsidP="004A6831">
      <w:pPr>
        <w:autoSpaceDE w:val="0"/>
        <w:autoSpaceDN w:val="0"/>
        <w:adjustRightInd w:val="0"/>
        <w:jc w:val="both"/>
        <w:rPr>
          <w:rFonts w:ascii="Abadi" w:hAnsi="Abadi" w:cs="*Arial-5567-Identity-H"/>
          <w:color w:val="0C0C0F"/>
          <w:sz w:val="21"/>
          <w:szCs w:val="21"/>
        </w:rPr>
      </w:pPr>
    </w:p>
    <w:p w14:paraId="2FE1FFDE" w14:textId="233B615B" w:rsidR="004A6831" w:rsidRPr="00360EC2" w:rsidRDefault="004A6831" w:rsidP="004A6831">
      <w:pPr>
        <w:autoSpaceDE w:val="0"/>
        <w:autoSpaceDN w:val="0"/>
        <w:adjustRightInd w:val="0"/>
        <w:ind w:firstLine="426"/>
        <w:jc w:val="both"/>
        <w:rPr>
          <w:rFonts w:ascii="Abadi" w:hAnsi="Abadi" w:cs="*Arial-5567-Identity-H"/>
          <w:color w:val="0C0C0F"/>
          <w:sz w:val="21"/>
          <w:szCs w:val="21"/>
        </w:rPr>
      </w:pPr>
      <w:r w:rsidRPr="00360EC2">
        <w:rPr>
          <w:rFonts w:ascii="Abadi" w:hAnsi="Abadi" w:cs="*Arial-5567-Identity-H"/>
          <w:color w:val="0C0C0F"/>
          <w:sz w:val="21"/>
          <w:szCs w:val="21"/>
        </w:rPr>
        <w:t>En el apartado de Eficacia, se formularon las recomendaciones consignadas en</w:t>
      </w:r>
      <w:r>
        <w:rPr>
          <w:rFonts w:ascii="Abadi" w:hAnsi="Abadi" w:cs="*Arial-5567-Identity-H"/>
          <w:color w:val="0C0C0F"/>
          <w:sz w:val="21"/>
          <w:szCs w:val="21"/>
        </w:rPr>
        <w:t xml:space="preserve"> </w:t>
      </w:r>
      <w:r w:rsidRPr="00360EC2">
        <w:rPr>
          <w:rFonts w:ascii="Abadi" w:hAnsi="Abadi" w:cs="*Arial-5567-Identity-H"/>
          <w:color w:val="0C0C0F"/>
          <w:sz w:val="21"/>
          <w:szCs w:val="21"/>
        </w:rPr>
        <w:t xml:space="preserve">los puntos 09 y </w:t>
      </w:r>
      <w:r>
        <w:rPr>
          <w:rFonts w:ascii="Abadi" w:hAnsi="Abadi" w:cs="*Arial-5567-Identity-H"/>
          <w:color w:val="0C0C0F"/>
          <w:sz w:val="21"/>
          <w:szCs w:val="21"/>
        </w:rPr>
        <w:t>10</w:t>
      </w:r>
      <w:r w:rsidRPr="00360EC2">
        <w:rPr>
          <w:rFonts w:ascii="Abadi" w:hAnsi="Abadi" w:cs="*Arial-5567-Identity-H"/>
          <w:color w:val="0C0C0F"/>
          <w:sz w:val="21"/>
          <w:szCs w:val="21"/>
        </w:rPr>
        <w:t xml:space="preserve"> del resultado número 6, correspondiente a eficacia del servicio</w:t>
      </w:r>
      <w:r>
        <w:rPr>
          <w:rFonts w:ascii="Abadi" w:hAnsi="Abadi" w:cs="*Arial-5567-Identity-H"/>
          <w:color w:val="0C0C0F"/>
          <w:sz w:val="21"/>
          <w:szCs w:val="21"/>
        </w:rPr>
        <w:t xml:space="preserve"> </w:t>
      </w:r>
      <w:r w:rsidRPr="00360EC2">
        <w:rPr>
          <w:rFonts w:ascii="Abadi" w:hAnsi="Abadi" w:cs="*Arial-5567-Identity-H"/>
          <w:color w:val="0C0C0F"/>
          <w:sz w:val="21"/>
          <w:szCs w:val="21"/>
        </w:rPr>
        <w:t>de alumbrado público; y 11 del resultado número 7, relativo a monitoreo y</w:t>
      </w:r>
      <w:r>
        <w:rPr>
          <w:rFonts w:ascii="Abadi" w:hAnsi="Abadi" w:cs="*Arial-5567-Identity-H"/>
          <w:color w:val="0C0C0F"/>
          <w:sz w:val="21"/>
          <w:szCs w:val="21"/>
        </w:rPr>
        <w:t xml:space="preserve"> </w:t>
      </w:r>
      <w:r w:rsidRPr="00360EC2">
        <w:rPr>
          <w:rFonts w:ascii="Abadi" w:hAnsi="Abadi" w:cs="*Arial-5567-Identity-H"/>
          <w:color w:val="0C0C0F"/>
          <w:sz w:val="21"/>
          <w:szCs w:val="21"/>
        </w:rPr>
        <w:t>evaluación de resultados.</w:t>
      </w:r>
    </w:p>
    <w:p w14:paraId="0C21A492" w14:textId="77777777" w:rsidR="004A6831" w:rsidRPr="00360EC2" w:rsidRDefault="004A6831" w:rsidP="004A6831">
      <w:pPr>
        <w:autoSpaceDE w:val="0"/>
        <w:autoSpaceDN w:val="0"/>
        <w:adjustRightInd w:val="0"/>
        <w:jc w:val="both"/>
        <w:rPr>
          <w:rFonts w:ascii="Abadi" w:hAnsi="Abadi" w:cs="*Arial-7646-Identity-H"/>
          <w:color w:val="191919"/>
          <w:sz w:val="21"/>
          <w:szCs w:val="21"/>
        </w:rPr>
      </w:pPr>
    </w:p>
    <w:p w14:paraId="01B31C02" w14:textId="77777777" w:rsidR="004A6831" w:rsidRDefault="004A6831" w:rsidP="004A6831">
      <w:pPr>
        <w:autoSpaceDE w:val="0"/>
        <w:autoSpaceDN w:val="0"/>
        <w:adjustRightInd w:val="0"/>
        <w:ind w:firstLine="426"/>
        <w:jc w:val="both"/>
        <w:rPr>
          <w:rFonts w:ascii="Abadi" w:hAnsi="Abadi" w:cs="*Arial-7644-Identity-H"/>
          <w:color w:val="0D0D10"/>
          <w:sz w:val="21"/>
          <w:szCs w:val="21"/>
        </w:rPr>
      </w:pPr>
      <w:r w:rsidRPr="00360EC2">
        <w:rPr>
          <w:rFonts w:ascii="Abadi" w:hAnsi="Abadi" w:cs="*Arial-7644-Identity-H"/>
          <w:color w:val="0D0D10"/>
          <w:sz w:val="21"/>
          <w:szCs w:val="21"/>
        </w:rPr>
        <w:t xml:space="preserve">Finalmente, se establece un apartado denominado </w:t>
      </w:r>
      <w:r w:rsidRPr="00360EC2">
        <w:rPr>
          <w:rFonts w:ascii="Abadi" w:hAnsi="Abadi" w:cs="*Arial-Italic-7645-Identity-H"/>
          <w:i/>
          <w:iCs/>
          <w:color w:val="0D0D10"/>
          <w:sz w:val="21"/>
          <w:szCs w:val="21"/>
        </w:rPr>
        <w:t>Cuestiones clave de la</w:t>
      </w:r>
      <w:r>
        <w:rPr>
          <w:rFonts w:ascii="Abadi" w:hAnsi="Abadi" w:cs="*Arial-Italic-7645-Identity-H"/>
          <w:i/>
          <w:iCs/>
          <w:color w:val="0D0D10"/>
          <w:sz w:val="21"/>
          <w:szCs w:val="21"/>
        </w:rPr>
        <w:t xml:space="preserve"> </w:t>
      </w:r>
      <w:r w:rsidRPr="00360EC2">
        <w:rPr>
          <w:rFonts w:ascii="Abadi" w:hAnsi="Abadi" w:cs="*Arial-Italic-7645-Identity-H"/>
          <w:i/>
          <w:iCs/>
          <w:color w:val="0D0D10"/>
          <w:sz w:val="21"/>
          <w:szCs w:val="21"/>
        </w:rPr>
        <w:t xml:space="preserve">auditoría en contexto de la pandemia del virus SARS-CoV2 </w:t>
      </w:r>
      <w:r w:rsidRPr="00360EC2">
        <w:rPr>
          <w:rFonts w:ascii="Abadi" w:hAnsi="Abadi" w:cs="*Arial-7644-Identity-H"/>
          <w:color w:val="0D0D10"/>
          <w:sz w:val="21"/>
          <w:szCs w:val="21"/>
        </w:rPr>
        <w:t>en el que se señala</w:t>
      </w:r>
      <w:r>
        <w:rPr>
          <w:rFonts w:ascii="Abadi" w:hAnsi="Abadi" w:cs="*Arial-7644-Identity-H"/>
          <w:color w:val="0D0D10"/>
          <w:sz w:val="21"/>
          <w:szCs w:val="21"/>
        </w:rPr>
        <w:t xml:space="preserve"> </w:t>
      </w:r>
      <w:r w:rsidRPr="00360EC2">
        <w:rPr>
          <w:rFonts w:ascii="Abadi" w:hAnsi="Abadi" w:cs="*Arial-7644-Identity-H"/>
          <w:color w:val="0D0D10"/>
          <w:sz w:val="21"/>
          <w:szCs w:val="21"/>
        </w:rPr>
        <w:t>que con motivo de la emergencia sanitaria provocada por dicha pandemia y en</w:t>
      </w:r>
      <w:r>
        <w:rPr>
          <w:rFonts w:ascii="Abadi" w:hAnsi="Abadi" w:cs="*Arial-7644-Identity-H"/>
          <w:color w:val="0D0D10"/>
          <w:sz w:val="21"/>
          <w:szCs w:val="21"/>
        </w:rPr>
        <w:t xml:space="preserve"> </w:t>
      </w:r>
      <w:r w:rsidRPr="00360EC2">
        <w:rPr>
          <w:rFonts w:ascii="Abadi" w:hAnsi="Abadi" w:cs="*Arial-7644-Identity-H"/>
          <w:color w:val="0D0D10"/>
          <w:sz w:val="21"/>
          <w:szCs w:val="21"/>
        </w:rPr>
        <w:t>atención a diversas disposiciones en salud pública emitidas por las autoridades</w:t>
      </w:r>
      <w:r>
        <w:rPr>
          <w:rFonts w:ascii="Abadi" w:hAnsi="Abadi" w:cs="*Arial-7644-Identity-H"/>
          <w:color w:val="0D0D10"/>
          <w:sz w:val="21"/>
          <w:szCs w:val="21"/>
        </w:rPr>
        <w:t xml:space="preserve"> </w:t>
      </w:r>
      <w:r w:rsidRPr="00360EC2">
        <w:rPr>
          <w:rFonts w:ascii="Abadi" w:hAnsi="Abadi" w:cs="*Arial-7644-Identity-H"/>
          <w:color w:val="0D0D10"/>
          <w:sz w:val="21"/>
          <w:szCs w:val="21"/>
        </w:rPr>
        <w:t>federales y estatales competentes en la materia, se generaron cambios en el</w:t>
      </w:r>
      <w:r>
        <w:rPr>
          <w:rFonts w:ascii="Abadi" w:hAnsi="Abadi" w:cs="*Arial-7644-Identity-H"/>
          <w:color w:val="0D0D10"/>
          <w:sz w:val="21"/>
          <w:szCs w:val="21"/>
        </w:rPr>
        <w:t xml:space="preserve"> </w:t>
      </w:r>
      <w:r w:rsidRPr="00360EC2">
        <w:rPr>
          <w:rFonts w:ascii="Abadi" w:hAnsi="Abadi" w:cs="*Arial-7644-Identity-H"/>
          <w:color w:val="0D0D10"/>
          <w:sz w:val="21"/>
          <w:szCs w:val="21"/>
        </w:rPr>
        <w:t>desarrollo de los asuntos competencia de la Auditor</w:t>
      </w:r>
      <w:r>
        <w:rPr>
          <w:rFonts w:ascii="Abadi" w:hAnsi="Abadi" w:cs="*Arial-7644-Identity-H"/>
          <w:color w:val="0D0D10"/>
          <w:sz w:val="21"/>
          <w:szCs w:val="21"/>
        </w:rPr>
        <w:t>ía</w:t>
      </w:r>
      <w:r w:rsidRPr="00360EC2">
        <w:rPr>
          <w:rFonts w:ascii="Abadi" w:hAnsi="Abadi" w:cs="*Arial-7644-Identity-H"/>
          <w:color w:val="0D0D10"/>
          <w:sz w:val="21"/>
          <w:szCs w:val="21"/>
        </w:rPr>
        <w:t xml:space="preserve"> Superior del Estado de</w:t>
      </w:r>
      <w:r>
        <w:rPr>
          <w:rFonts w:ascii="Abadi" w:hAnsi="Abadi" w:cs="*Arial-7644-Identity-H"/>
          <w:color w:val="0D0D10"/>
          <w:sz w:val="21"/>
          <w:szCs w:val="21"/>
        </w:rPr>
        <w:t xml:space="preserve"> </w:t>
      </w:r>
      <w:r w:rsidRPr="00360EC2">
        <w:rPr>
          <w:rFonts w:ascii="Abadi" w:hAnsi="Abadi" w:cs="*Arial-7644-Identity-H"/>
          <w:color w:val="0D0D10"/>
          <w:sz w:val="21"/>
          <w:szCs w:val="21"/>
        </w:rPr>
        <w:t xml:space="preserve">Guanajuato, atendiendo al </w:t>
      </w:r>
      <w:r w:rsidRPr="00360EC2">
        <w:rPr>
          <w:rFonts w:ascii="Abadi" w:hAnsi="Abadi" w:cs="*Arial-Italic-7645-Identity-H"/>
          <w:i/>
          <w:iCs/>
          <w:color w:val="0D0D10"/>
          <w:sz w:val="21"/>
          <w:szCs w:val="21"/>
        </w:rPr>
        <w:t xml:space="preserve">Acuerdo relativo al trabajo </w:t>
      </w:r>
      <w:r w:rsidRPr="00360EC2">
        <w:rPr>
          <w:rFonts w:ascii="Abadi" w:hAnsi="Abadi" w:cs="*Arial-7644-Identity-H"/>
          <w:color w:val="0D0D10"/>
          <w:sz w:val="21"/>
          <w:szCs w:val="21"/>
        </w:rPr>
        <w:t xml:space="preserve">a </w:t>
      </w:r>
      <w:r w:rsidRPr="00360EC2">
        <w:rPr>
          <w:rFonts w:ascii="Abadi" w:hAnsi="Abadi" w:cs="*Arial-Italic-7645-Identity-H"/>
          <w:i/>
          <w:iCs/>
          <w:color w:val="0D0D10"/>
          <w:sz w:val="21"/>
          <w:szCs w:val="21"/>
        </w:rPr>
        <w:t xml:space="preserve">distancia </w:t>
      </w:r>
      <w:r w:rsidRPr="00360EC2">
        <w:rPr>
          <w:rFonts w:ascii="Abadi" w:hAnsi="Abadi" w:cs="*Arial-7644-Identity-H"/>
          <w:color w:val="0D0D10"/>
          <w:sz w:val="21"/>
          <w:szCs w:val="21"/>
        </w:rPr>
        <w:t>de fecha 17 de</w:t>
      </w:r>
      <w:r>
        <w:rPr>
          <w:rFonts w:ascii="Abadi" w:hAnsi="Abadi" w:cs="*Arial-7644-Identity-H"/>
          <w:color w:val="0D0D10"/>
          <w:sz w:val="21"/>
          <w:szCs w:val="21"/>
        </w:rPr>
        <w:t xml:space="preserve"> </w:t>
      </w:r>
      <w:r w:rsidRPr="00360EC2">
        <w:rPr>
          <w:rFonts w:ascii="Abadi" w:hAnsi="Abadi" w:cs="*Arial-7644-Identity-H"/>
          <w:color w:val="0D0D10"/>
          <w:sz w:val="21"/>
          <w:szCs w:val="21"/>
        </w:rPr>
        <w:t>marzo de 2020 y su décimo sexto acuerdo modificatorio, aprovechando las</w:t>
      </w:r>
      <w:r>
        <w:rPr>
          <w:rFonts w:ascii="Abadi" w:hAnsi="Abadi" w:cs="*Arial-7644-Identity-H"/>
          <w:color w:val="0D0D10"/>
          <w:sz w:val="21"/>
          <w:szCs w:val="21"/>
        </w:rPr>
        <w:t xml:space="preserve"> </w:t>
      </w:r>
      <w:r w:rsidRPr="00360EC2">
        <w:rPr>
          <w:rFonts w:ascii="Abadi" w:hAnsi="Abadi" w:cs="*Arial-7644-Identity-H"/>
          <w:color w:val="0D0D10"/>
          <w:sz w:val="21"/>
          <w:szCs w:val="21"/>
        </w:rPr>
        <w:t>herramientas tecnológicas de que dispone, así como la colaboración de los sujetos</w:t>
      </w:r>
      <w:r>
        <w:rPr>
          <w:rFonts w:ascii="Abadi" w:hAnsi="Abadi" w:cs="*Arial-7644-Identity-H"/>
          <w:color w:val="0D0D10"/>
          <w:sz w:val="21"/>
          <w:szCs w:val="21"/>
        </w:rPr>
        <w:t xml:space="preserve"> </w:t>
      </w:r>
      <w:r w:rsidRPr="00360EC2">
        <w:rPr>
          <w:rFonts w:ascii="Abadi" w:hAnsi="Abadi" w:cs="*Arial-7644-Identity-H"/>
          <w:color w:val="0D0D10"/>
          <w:sz w:val="21"/>
          <w:szCs w:val="21"/>
        </w:rPr>
        <w:t>de fiscalización.</w:t>
      </w:r>
    </w:p>
    <w:p w14:paraId="4F461739" w14:textId="77777777" w:rsidR="004A6831" w:rsidRPr="00360EC2" w:rsidRDefault="004A6831" w:rsidP="004A6831">
      <w:pPr>
        <w:autoSpaceDE w:val="0"/>
        <w:autoSpaceDN w:val="0"/>
        <w:adjustRightInd w:val="0"/>
        <w:jc w:val="both"/>
        <w:rPr>
          <w:rFonts w:ascii="Abadi" w:hAnsi="Abadi" w:cs="*Arial-7644-Identity-H"/>
          <w:color w:val="0D0D10"/>
          <w:sz w:val="21"/>
          <w:szCs w:val="21"/>
        </w:rPr>
      </w:pPr>
    </w:p>
    <w:p w14:paraId="4EF5BCC7" w14:textId="77777777" w:rsidR="004A6831" w:rsidRPr="00360EC2" w:rsidRDefault="004A6831" w:rsidP="004A6831">
      <w:pPr>
        <w:autoSpaceDE w:val="0"/>
        <w:autoSpaceDN w:val="0"/>
        <w:adjustRightInd w:val="0"/>
        <w:ind w:firstLine="426"/>
        <w:jc w:val="both"/>
        <w:rPr>
          <w:rFonts w:ascii="Abadi" w:hAnsi="Abadi" w:cs="*Arial-7644-Identity-H"/>
          <w:color w:val="0D0D0F"/>
          <w:sz w:val="21"/>
          <w:szCs w:val="21"/>
        </w:rPr>
      </w:pPr>
      <w:r w:rsidRPr="00360EC2">
        <w:rPr>
          <w:rFonts w:ascii="Abadi" w:hAnsi="Abadi" w:cs="*Arial-7644-Identity-H"/>
          <w:color w:val="0D0D0F"/>
          <w:sz w:val="21"/>
          <w:szCs w:val="21"/>
        </w:rPr>
        <w:t>Es así, que si bien, el proceso de fiscalización ha continuado observando</w:t>
      </w:r>
      <w:r>
        <w:rPr>
          <w:rFonts w:ascii="Abadi" w:hAnsi="Abadi" w:cs="*Arial-7644-Identity-H"/>
          <w:color w:val="0D0D0F"/>
          <w:sz w:val="21"/>
          <w:szCs w:val="21"/>
        </w:rPr>
        <w:t xml:space="preserve"> </w:t>
      </w:r>
      <w:r w:rsidRPr="00360EC2">
        <w:rPr>
          <w:rFonts w:ascii="Abadi" w:hAnsi="Abadi" w:cs="*Arial-7644-Identity-H"/>
          <w:color w:val="0D0D0F"/>
          <w:sz w:val="21"/>
          <w:szCs w:val="21"/>
        </w:rPr>
        <w:t>las medidas de confinamiento que las autoridades de salud han determinado y con</w:t>
      </w:r>
      <w:r>
        <w:rPr>
          <w:rFonts w:ascii="Abadi" w:hAnsi="Abadi" w:cs="*Arial-7644-Identity-H"/>
          <w:color w:val="0D0D0F"/>
          <w:sz w:val="21"/>
          <w:szCs w:val="21"/>
        </w:rPr>
        <w:t xml:space="preserve"> </w:t>
      </w:r>
      <w:r w:rsidRPr="00360EC2">
        <w:rPr>
          <w:rFonts w:ascii="Abadi" w:hAnsi="Abadi" w:cs="*Arial-7644-Identity-H"/>
          <w:color w:val="0D0D0F"/>
          <w:sz w:val="21"/>
          <w:szCs w:val="21"/>
        </w:rPr>
        <w:t>el uso de las tecnologías de la información, por la propia naturaleza de la</w:t>
      </w:r>
      <w:r>
        <w:rPr>
          <w:rFonts w:ascii="Abadi" w:hAnsi="Abadi" w:cs="*Arial-7644-Identity-H"/>
          <w:color w:val="0D0D0F"/>
          <w:sz w:val="21"/>
          <w:szCs w:val="21"/>
        </w:rPr>
        <w:t xml:space="preserve"> </w:t>
      </w:r>
      <w:r w:rsidRPr="00360EC2">
        <w:rPr>
          <w:rFonts w:ascii="Abadi" w:hAnsi="Abadi" w:cs="*Arial-7644-Identity-H"/>
          <w:color w:val="0D0D0F"/>
          <w:sz w:val="21"/>
          <w:szCs w:val="21"/>
        </w:rPr>
        <w:t>pandemia se generaron limitantes en la aplicación de los procedimientos de</w:t>
      </w:r>
    </w:p>
    <w:p w14:paraId="4457EB52" w14:textId="77777777" w:rsidR="004A6831" w:rsidRDefault="004A6831" w:rsidP="004A6831">
      <w:pPr>
        <w:autoSpaceDE w:val="0"/>
        <w:autoSpaceDN w:val="0"/>
        <w:adjustRightInd w:val="0"/>
        <w:jc w:val="both"/>
        <w:rPr>
          <w:rFonts w:ascii="Abadi" w:hAnsi="Abadi" w:cs="*Arial-7644-Identity-H"/>
          <w:color w:val="0D0D0F"/>
          <w:sz w:val="21"/>
          <w:szCs w:val="21"/>
        </w:rPr>
      </w:pPr>
      <w:r w:rsidRPr="00360EC2">
        <w:rPr>
          <w:rFonts w:ascii="Abadi" w:hAnsi="Abadi" w:cs="*Arial-7644-Identity-H"/>
          <w:color w:val="0D0D0F"/>
          <w:sz w:val="21"/>
          <w:szCs w:val="21"/>
        </w:rPr>
        <w:t>auditoría.</w:t>
      </w:r>
    </w:p>
    <w:p w14:paraId="7BEB7823" w14:textId="77777777" w:rsidR="004A6831" w:rsidRPr="00360EC2" w:rsidRDefault="004A6831" w:rsidP="004A6831">
      <w:pPr>
        <w:autoSpaceDE w:val="0"/>
        <w:autoSpaceDN w:val="0"/>
        <w:adjustRightInd w:val="0"/>
        <w:jc w:val="both"/>
        <w:rPr>
          <w:rFonts w:ascii="Abadi" w:hAnsi="Abadi" w:cs="*Arial-7644-Identity-H"/>
          <w:color w:val="0D0D0F"/>
          <w:sz w:val="21"/>
          <w:szCs w:val="21"/>
        </w:rPr>
      </w:pPr>
    </w:p>
    <w:p w14:paraId="136CBE45" w14:textId="77777777" w:rsidR="004A6831" w:rsidRPr="00360EC2" w:rsidRDefault="004A6831" w:rsidP="004A6831">
      <w:pPr>
        <w:autoSpaceDE w:val="0"/>
        <w:autoSpaceDN w:val="0"/>
        <w:adjustRightInd w:val="0"/>
        <w:ind w:firstLine="708"/>
        <w:jc w:val="both"/>
        <w:rPr>
          <w:rFonts w:ascii="Abadi" w:hAnsi="Abadi" w:cs="*Arial-7644-Identity-H"/>
          <w:color w:val="0C0C0F"/>
          <w:sz w:val="21"/>
          <w:szCs w:val="21"/>
        </w:rPr>
      </w:pPr>
      <w:r w:rsidRPr="00360EC2">
        <w:rPr>
          <w:rFonts w:ascii="Abadi" w:hAnsi="Abadi" w:cs="*Arial-7644-Identity-H"/>
          <w:color w:val="0C0C0F"/>
          <w:sz w:val="21"/>
          <w:szCs w:val="21"/>
        </w:rPr>
        <w:t>En tal sentido se priorizó el enfoque de derechos humanos, velando por la</w:t>
      </w:r>
      <w:r>
        <w:rPr>
          <w:rFonts w:ascii="Abadi" w:hAnsi="Abadi" w:cs="*Arial-7644-Identity-H"/>
          <w:color w:val="0C0C0F"/>
          <w:sz w:val="21"/>
          <w:szCs w:val="21"/>
        </w:rPr>
        <w:t xml:space="preserve"> </w:t>
      </w:r>
      <w:r w:rsidRPr="00360EC2">
        <w:rPr>
          <w:rFonts w:ascii="Abadi" w:hAnsi="Abadi" w:cs="*Arial-7644-Identity-H"/>
          <w:color w:val="0C0C0F"/>
          <w:sz w:val="21"/>
          <w:szCs w:val="21"/>
        </w:rPr>
        <w:t>protección del derecho humano a la salud, respetando las limitaciones y</w:t>
      </w:r>
      <w:r>
        <w:rPr>
          <w:rFonts w:ascii="Abadi" w:hAnsi="Abadi" w:cs="*Arial-7644-Identity-H"/>
          <w:color w:val="0C0C0F"/>
          <w:sz w:val="21"/>
          <w:szCs w:val="21"/>
        </w:rPr>
        <w:t xml:space="preserve"> </w:t>
      </w:r>
      <w:r w:rsidRPr="00360EC2">
        <w:rPr>
          <w:rFonts w:ascii="Abadi" w:hAnsi="Abadi" w:cs="*Arial-7644-Identity-H"/>
          <w:color w:val="0C0C0F"/>
          <w:sz w:val="21"/>
          <w:szCs w:val="21"/>
        </w:rPr>
        <w:t>restricciones a los derechos humanos establecidas en la propia Constitución.</w:t>
      </w:r>
    </w:p>
    <w:p w14:paraId="4DCC11BE" w14:textId="77777777" w:rsidR="004A6831" w:rsidRDefault="004A6831" w:rsidP="004A6831">
      <w:pPr>
        <w:autoSpaceDE w:val="0"/>
        <w:autoSpaceDN w:val="0"/>
        <w:adjustRightInd w:val="0"/>
        <w:jc w:val="both"/>
        <w:rPr>
          <w:rFonts w:ascii="Abadi" w:hAnsi="Abadi" w:cs="*Microsoft Sans Serif-Bold-7647"/>
          <w:b/>
          <w:bCs/>
          <w:color w:val="0C0B10"/>
          <w:sz w:val="21"/>
          <w:szCs w:val="21"/>
        </w:rPr>
      </w:pPr>
    </w:p>
    <w:p w14:paraId="28D1741A" w14:textId="77777777" w:rsidR="004A6831" w:rsidRDefault="004A6831" w:rsidP="004A6831">
      <w:pPr>
        <w:autoSpaceDE w:val="0"/>
        <w:autoSpaceDN w:val="0"/>
        <w:adjustRightInd w:val="0"/>
        <w:ind w:firstLine="708"/>
        <w:jc w:val="both"/>
        <w:rPr>
          <w:rFonts w:ascii="Abadi" w:hAnsi="Abadi" w:cs="*Microsoft Sans Serif-Bold-7647"/>
          <w:b/>
          <w:bCs/>
          <w:color w:val="0C0B10"/>
          <w:sz w:val="21"/>
          <w:szCs w:val="21"/>
        </w:rPr>
      </w:pPr>
      <w:r w:rsidRPr="00360EC2">
        <w:rPr>
          <w:rFonts w:ascii="Abadi" w:hAnsi="Abadi" w:cs="*Microsoft Sans Serif-Bold-7647"/>
          <w:b/>
          <w:bCs/>
          <w:color w:val="0C0B10"/>
          <w:sz w:val="21"/>
          <w:szCs w:val="21"/>
        </w:rPr>
        <w:t>e) Resumen de las recomendaciones.</w:t>
      </w:r>
    </w:p>
    <w:p w14:paraId="065FC744" w14:textId="77777777" w:rsidR="004A6831" w:rsidRDefault="004A6831" w:rsidP="004A6831">
      <w:pPr>
        <w:autoSpaceDE w:val="0"/>
        <w:autoSpaceDN w:val="0"/>
        <w:adjustRightInd w:val="0"/>
        <w:jc w:val="both"/>
        <w:rPr>
          <w:rFonts w:ascii="Abadi" w:hAnsi="Abadi" w:cs="*Microsoft Sans Serif-Bold-7647"/>
          <w:b/>
          <w:bCs/>
          <w:color w:val="0C0B10"/>
          <w:sz w:val="21"/>
          <w:szCs w:val="21"/>
        </w:rPr>
      </w:pPr>
    </w:p>
    <w:p w14:paraId="236C2990" w14:textId="77777777" w:rsidR="004A6831" w:rsidRDefault="004A6831" w:rsidP="004A6831">
      <w:pPr>
        <w:autoSpaceDE w:val="0"/>
        <w:autoSpaceDN w:val="0"/>
        <w:adjustRightInd w:val="0"/>
        <w:ind w:firstLine="708"/>
        <w:jc w:val="both"/>
        <w:rPr>
          <w:rFonts w:ascii="Abadi" w:hAnsi="Abadi" w:cs="*Arial-7644-Identity-H"/>
          <w:color w:val="0D0C0F"/>
          <w:sz w:val="21"/>
          <w:szCs w:val="21"/>
        </w:rPr>
      </w:pPr>
      <w:r w:rsidRPr="00360EC2">
        <w:rPr>
          <w:rFonts w:ascii="Abadi" w:hAnsi="Abadi" w:cs="*Arial-7644-Identity-H"/>
          <w:color w:val="0D0C0F"/>
          <w:sz w:val="21"/>
          <w:szCs w:val="21"/>
        </w:rPr>
        <w:t>En este punto se establece un resumen exclusivamente de los resultados</w:t>
      </w:r>
      <w:r>
        <w:rPr>
          <w:rFonts w:ascii="Abadi" w:hAnsi="Abadi" w:cs="*Arial-7644-Identity-H"/>
          <w:color w:val="0D0C0F"/>
          <w:sz w:val="21"/>
          <w:szCs w:val="21"/>
        </w:rPr>
        <w:t xml:space="preserve"> </w:t>
      </w:r>
      <w:r w:rsidRPr="00360EC2">
        <w:rPr>
          <w:rFonts w:ascii="Abadi" w:hAnsi="Abadi" w:cs="*Arial-7644-Identity-H"/>
          <w:color w:val="0D0C0F"/>
          <w:sz w:val="21"/>
          <w:szCs w:val="21"/>
        </w:rPr>
        <w:t>que generaron recomendación producto de un área de oportunidad o mejora</w:t>
      </w:r>
      <w:r>
        <w:rPr>
          <w:rFonts w:ascii="Abadi" w:hAnsi="Abadi" w:cs="*Arial-7644-Identity-H"/>
          <w:color w:val="0D0C0F"/>
          <w:sz w:val="21"/>
          <w:szCs w:val="21"/>
        </w:rPr>
        <w:t xml:space="preserve"> </w:t>
      </w:r>
      <w:r w:rsidRPr="00360EC2">
        <w:rPr>
          <w:rFonts w:ascii="Abadi" w:hAnsi="Abadi" w:cs="*Arial-7644-Identity-H"/>
          <w:color w:val="0D0C0F"/>
          <w:sz w:val="21"/>
          <w:szCs w:val="21"/>
        </w:rPr>
        <w:t>sugerida por el Órgano Técnico, agrupados bajo su respectiva vertiente, con su</w:t>
      </w:r>
      <w:r>
        <w:rPr>
          <w:rFonts w:ascii="Abadi" w:hAnsi="Abadi" w:cs="*Arial-7644-Identity-H"/>
          <w:color w:val="0D0C0F"/>
          <w:sz w:val="21"/>
          <w:szCs w:val="21"/>
        </w:rPr>
        <w:t xml:space="preserve"> </w:t>
      </w:r>
      <w:r w:rsidRPr="00360EC2">
        <w:rPr>
          <w:rFonts w:ascii="Abadi" w:hAnsi="Abadi" w:cs="*Arial-7644-Identity-H"/>
          <w:color w:val="0D0C0F"/>
          <w:sz w:val="21"/>
          <w:szCs w:val="21"/>
        </w:rPr>
        <w:t>síntesis de la valoración efectuada, precisando que en las 11 recomendaciones</w:t>
      </w:r>
      <w:r>
        <w:rPr>
          <w:rFonts w:ascii="Abadi" w:hAnsi="Abadi" w:cs="*Arial-7644-Identity-H"/>
          <w:color w:val="0D0C0F"/>
          <w:sz w:val="21"/>
          <w:szCs w:val="21"/>
        </w:rPr>
        <w:t xml:space="preserve"> </w:t>
      </w:r>
      <w:r w:rsidRPr="00360EC2">
        <w:rPr>
          <w:rFonts w:ascii="Abadi" w:hAnsi="Abadi" w:cs="*Arial-7644-Identity-H"/>
          <w:color w:val="0D0C0F"/>
          <w:sz w:val="21"/>
          <w:szCs w:val="21"/>
        </w:rPr>
        <w:t>formuladas persistió lo recomendado, en razón de que el sujeto fiscalizado no dio</w:t>
      </w:r>
      <w:r>
        <w:rPr>
          <w:rFonts w:ascii="Abadi" w:hAnsi="Abadi" w:cs="*Arial-7644-Identity-H"/>
          <w:color w:val="0D0C0F"/>
          <w:sz w:val="21"/>
          <w:szCs w:val="21"/>
        </w:rPr>
        <w:t xml:space="preserve"> </w:t>
      </w:r>
      <w:r w:rsidRPr="00360EC2">
        <w:rPr>
          <w:rFonts w:ascii="Abadi" w:hAnsi="Abadi" w:cs="*Arial-7644-Identity-H"/>
          <w:color w:val="0D0C0F"/>
          <w:sz w:val="21"/>
          <w:szCs w:val="21"/>
        </w:rPr>
        <w:t xml:space="preserve">respuesta </w:t>
      </w:r>
      <w:r w:rsidRPr="00360EC2">
        <w:rPr>
          <w:rFonts w:ascii="Abadi" w:hAnsi="Abadi" w:cs="*Arial-7644-Identity-H"/>
          <w:color w:val="7C7C7C"/>
          <w:sz w:val="21"/>
          <w:szCs w:val="21"/>
        </w:rPr>
        <w:t xml:space="preserve">· </w:t>
      </w:r>
      <w:r w:rsidRPr="00360EC2">
        <w:rPr>
          <w:rFonts w:ascii="Abadi" w:hAnsi="Abadi" w:cs="*Arial-7644-Identity-H"/>
          <w:color w:val="0D0C0F"/>
          <w:sz w:val="21"/>
          <w:szCs w:val="21"/>
        </w:rPr>
        <w:t>al pliego de recomendaciones. A dichas recomendaciones dará</w:t>
      </w:r>
      <w:r>
        <w:rPr>
          <w:rFonts w:ascii="Abadi" w:hAnsi="Abadi" w:cs="*Arial-7644-Identity-H"/>
          <w:color w:val="0D0C0F"/>
          <w:sz w:val="21"/>
          <w:szCs w:val="21"/>
        </w:rPr>
        <w:t xml:space="preserve"> </w:t>
      </w:r>
      <w:r w:rsidRPr="00360EC2">
        <w:rPr>
          <w:rFonts w:ascii="Abadi" w:hAnsi="Abadi" w:cs="*Arial-7644-Identity-H"/>
          <w:color w:val="0D0C0F"/>
          <w:sz w:val="21"/>
          <w:szCs w:val="21"/>
        </w:rPr>
        <w:t>seguimiento el Órgano Técnico en la etapa correspondiente, de conformidad con</w:t>
      </w:r>
      <w:r>
        <w:rPr>
          <w:rFonts w:ascii="Abadi" w:hAnsi="Abadi" w:cs="*Arial-7644-Identity-H"/>
          <w:color w:val="0D0C0F"/>
          <w:sz w:val="21"/>
          <w:szCs w:val="21"/>
        </w:rPr>
        <w:t xml:space="preserve"> </w:t>
      </w:r>
      <w:r w:rsidRPr="00360EC2">
        <w:rPr>
          <w:rFonts w:ascii="Abadi" w:hAnsi="Abadi" w:cs="*Arial-7644-Identity-H"/>
          <w:color w:val="0D0C0F"/>
          <w:sz w:val="21"/>
          <w:szCs w:val="21"/>
        </w:rPr>
        <w:t>el ordenamiento legal respectivo.</w:t>
      </w:r>
    </w:p>
    <w:p w14:paraId="07833316" w14:textId="77777777" w:rsidR="004A6831" w:rsidRPr="00360EC2" w:rsidRDefault="004A6831" w:rsidP="004A6831">
      <w:pPr>
        <w:autoSpaceDE w:val="0"/>
        <w:autoSpaceDN w:val="0"/>
        <w:adjustRightInd w:val="0"/>
        <w:jc w:val="both"/>
        <w:rPr>
          <w:rFonts w:ascii="Abadi" w:hAnsi="Abadi" w:cs="*Arial-7644-Identity-H"/>
          <w:color w:val="0D0C0F"/>
          <w:sz w:val="21"/>
          <w:szCs w:val="21"/>
        </w:rPr>
      </w:pPr>
    </w:p>
    <w:p w14:paraId="4F4B8831" w14:textId="77777777" w:rsidR="004A6831" w:rsidRDefault="004A6831" w:rsidP="004A6831">
      <w:pPr>
        <w:autoSpaceDE w:val="0"/>
        <w:autoSpaceDN w:val="0"/>
        <w:adjustRightInd w:val="0"/>
        <w:ind w:firstLine="708"/>
        <w:jc w:val="both"/>
        <w:rPr>
          <w:rFonts w:ascii="Abadi" w:hAnsi="Abadi" w:cs="*Microsoft Sans Serif-Bold-7647"/>
          <w:b/>
          <w:bCs/>
          <w:color w:val="0D0D11"/>
          <w:sz w:val="21"/>
          <w:szCs w:val="21"/>
        </w:rPr>
      </w:pPr>
      <w:r w:rsidRPr="00360EC2">
        <w:rPr>
          <w:rFonts w:ascii="Abadi" w:hAnsi="Abadi" w:cs="*Microsoft Sans Serif-Bold-7647"/>
          <w:b/>
          <w:bCs/>
          <w:color w:val="0D0D11"/>
          <w:sz w:val="21"/>
          <w:szCs w:val="21"/>
        </w:rPr>
        <w:t>d) Conclusión General.</w:t>
      </w:r>
    </w:p>
    <w:p w14:paraId="1FB4984B" w14:textId="77777777" w:rsidR="004A6831" w:rsidRPr="00360EC2" w:rsidRDefault="004A6831" w:rsidP="004A6831">
      <w:pPr>
        <w:autoSpaceDE w:val="0"/>
        <w:autoSpaceDN w:val="0"/>
        <w:adjustRightInd w:val="0"/>
        <w:jc w:val="both"/>
        <w:rPr>
          <w:rFonts w:ascii="Abadi" w:hAnsi="Abadi" w:cs="*Microsoft Sans Serif-Bold-7647"/>
          <w:b/>
          <w:bCs/>
          <w:color w:val="0D0D11"/>
          <w:sz w:val="21"/>
          <w:szCs w:val="21"/>
        </w:rPr>
      </w:pPr>
    </w:p>
    <w:p w14:paraId="6E433C93" w14:textId="77777777" w:rsidR="004A6831" w:rsidRDefault="004A6831" w:rsidP="004A6831">
      <w:pPr>
        <w:autoSpaceDE w:val="0"/>
        <w:autoSpaceDN w:val="0"/>
        <w:adjustRightInd w:val="0"/>
        <w:ind w:firstLine="708"/>
        <w:jc w:val="both"/>
        <w:rPr>
          <w:rFonts w:ascii="Abadi" w:hAnsi="Abadi" w:cs="*Arial-7644-Identity-H"/>
          <w:color w:val="0E0D10"/>
          <w:sz w:val="21"/>
          <w:szCs w:val="21"/>
        </w:rPr>
      </w:pPr>
      <w:r w:rsidRPr="00360EC2">
        <w:rPr>
          <w:rFonts w:ascii="Abadi" w:hAnsi="Abadi" w:cs="*Arial-7644-Identity-H"/>
          <w:color w:val="0E0D10"/>
          <w:sz w:val="21"/>
          <w:szCs w:val="21"/>
        </w:rPr>
        <w:t>La Auditoría Superior del Estado concluyó que los serv</w:t>
      </w:r>
      <w:r>
        <w:rPr>
          <w:rFonts w:ascii="Abadi" w:hAnsi="Abadi" w:cs="*Arial-7644-Identity-H"/>
          <w:color w:val="0E0D10"/>
          <w:sz w:val="21"/>
          <w:szCs w:val="21"/>
        </w:rPr>
        <w:t>icios</w:t>
      </w:r>
      <w:r w:rsidRPr="00360EC2">
        <w:rPr>
          <w:rFonts w:ascii="Abadi" w:hAnsi="Abadi" w:cs="*Arial-7644-Identity-H"/>
          <w:color w:val="0E0D10"/>
          <w:sz w:val="21"/>
          <w:szCs w:val="21"/>
        </w:rPr>
        <w:t xml:space="preserve"> públicos se</w:t>
      </w:r>
      <w:r>
        <w:rPr>
          <w:rFonts w:ascii="Abadi" w:hAnsi="Abadi" w:cs="*Arial-7644-Identity-H"/>
          <w:color w:val="0E0D10"/>
          <w:sz w:val="21"/>
          <w:szCs w:val="21"/>
        </w:rPr>
        <w:t xml:space="preserve"> </w:t>
      </w:r>
      <w:r w:rsidRPr="00360EC2">
        <w:rPr>
          <w:rFonts w:ascii="Abadi" w:hAnsi="Abadi" w:cs="*Arial-7644-Identity-H"/>
          <w:color w:val="0E0D10"/>
          <w:sz w:val="21"/>
          <w:szCs w:val="21"/>
        </w:rPr>
        <w:t>pueden entender como toda prestación concreta que tienda a satisfacer, de</w:t>
      </w:r>
      <w:r>
        <w:rPr>
          <w:rFonts w:ascii="Abadi" w:hAnsi="Abadi" w:cs="*Arial-7644-Identity-H"/>
          <w:color w:val="0E0D10"/>
          <w:sz w:val="21"/>
          <w:szCs w:val="21"/>
        </w:rPr>
        <w:t xml:space="preserve"> </w:t>
      </w:r>
      <w:r w:rsidRPr="00360EC2">
        <w:rPr>
          <w:rFonts w:ascii="Abadi" w:hAnsi="Abadi" w:cs="*Arial-7644-Identity-H"/>
          <w:color w:val="0E0D10"/>
          <w:sz w:val="21"/>
          <w:szCs w:val="21"/>
        </w:rPr>
        <w:t>manera regular, continua y uniforme, las necesidades sociales de carácter</w:t>
      </w:r>
      <w:r>
        <w:rPr>
          <w:rFonts w:ascii="Abadi" w:hAnsi="Abadi" w:cs="*Arial-7644-Identity-H"/>
          <w:color w:val="0E0D10"/>
          <w:sz w:val="21"/>
          <w:szCs w:val="21"/>
        </w:rPr>
        <w:t xml:space="preserve"> </w:t>
      </w:r>
      <w:r w:rsidRPr="00360EC2">
        <w:rPr>
          <w:rFonts w:ascii="Abadi" w:hAnsi="Abadi" w:cs="*Arial-7644-Identity-H"/>
          <w:color w:val="0E0D10"/>
          <w:sz w:val="21"/>
          <w:szCs w:val="21"/>
        </w:rPr>
        <w:t>general, básico o fundamental, en beneficio indiscriminado de toda la ciudadanía.</w:t>
      </w:r>
    </w:p>
    <w:p w14:paraId="2477D09C" w14:textId="77777777" w:rsidR="004A6831" w:rsidRPr="00360EC2" w:rsidRDefault="004A6831" w:rsidP="004A6831">
      <w:pPr>
        <w:autoSpaceDE w:val="0"/>
        <w:autoSpaceDN w:val="0"/>
        <w:adjustRightInd w:val="0"/>
        <w:jc w:val="both"/>
        <w:rPr>
          <w:rFonts w:ascii="Abadi" w:hAnsi="Abadi" w:cs="*Arial-7644-Identity-H"/>
          <w:color w:val="0E0D10"/>
          <w:sz w:val="21"/>
          <w:szCs w:val="21"/>
        </w:rPr>
      </w:pPr>
    </w:p>
    <w:p w14:paraId="238AB83B" w14:textId="77777777" w:rsidR="004A6831" w:rsidRDefault="004A6831" w:rsidP="004A6831">
      <w:pPr>
        <w:autoSpaceDE w:val="0"/>
        <w:autoSpaceDN w:val="0"/>
        <w:adjustRightInd w:val="0"/>
        <w:ind w:firstLine="708"/>
        <w:jc w:val="both"/>
        <w:rPr>
          <w:rFonts w:ascii="Abadi" w:hAnsi="Abadi" w:cs="*Arial-7644-Identity-H"/>
          <w:color w:val="0E0D10"/>
          <w:sz w:val="21"/>
          <w:szCs w:val="21"/>
        </w:rPr>
      </w:pPr>
      <w:r w:rsidRPr="00360EC2">
        <w:rPr>
          <w:rFonts w:ascii="Abadi" w:hAnsi="Abadi" w:cs="*Arial-7644-Identity-H"/>
          <w:color w:val="0E0D10"/>
          <w:sz w:val="21"/>
          <w:szCs w:val="21"/>
        </w:rPr>
        <w:t>De su adecuada prestación depende, en cierta medida, la calidad de vida de las</w:t>
      </w:r>
      <w:r>
        <w:rPr>
          <w:rFonts w:ascii="Abadi" w:hAnsi="Abadi" w:cs="*Arial-7644-Identity-H"/>
          <w:color w:val="0E0D10"/>
          <w:sz w:val="21"/>
          <w:szCs w:val="21"/>
        </w:rPr>
        <w:t xml:space="preserve"> </w:t>
      </w:r>
      <w:r w:rsidRPr="00360EC2">
        <w:rPr>
          <w:rFonts w:ascii="Abadi" w:hAnsi="Abadi" w:cs="*Arial-7644-Identity-H"/>
          <w:color w:val="0E0D10"/>
          <w:sz w:val="21"/>
          <w:szCs w:val="21"/>
        </w:rPr>
        <w:t>personas.</w:t>
      </w:r>
    </w:p>
    <w:p w14:paraId="1BCA74D2" w14:textId="77777777" w:rsidR="004A6831" w:rsidRPr="00360EC2" w:rsidRDefault="004A6831" w:rsidP="004A6831">
      <w:pPr>
        <w:autoSpaceDE w:val="0"/>
        <w:autoSpaceDN w:val="0"/>
        <w:adjustRightInd w:val="0"/>
        <w:jc w:val="both"/>
        <w:rPr>
          <w:rFonts w:ascii="Abadi" w:hAnsi="Abadi" w:cs="*Arial-7644-Identity-H"/>
          <w:color w:val="0E0D10"/>
          <w:sz w:val="21"/>
          <w:szCs w:val="21"/>
        </w:rPr>
      </w:pPr>
    </w:p>
    <w:p w14:paraId="40F05768" w14:textId="77777777" w:rsidR="004A6831" w:rsidRDefault="004A6831" w:rsidP="004A6831">
      <w:pPr>
        <w:autoSpaceDE w:val="0"/>
        <w:autoSpaceDN w:val="0"/>
        <w:adjustRightInd w:val="0"/>
        <w:ind w:firstLine="708"/>
        <w:jc w:val="both"/>
        <w:rPr>
          <w:rFonts w:ascii="Abadi" w:hAnsi="Abadi" w:cs="*Arial-7432-Identity-H"/>
          <w:color w:val="0C0B0E"/>
          <w:sz w:val="21"/>
          <w:szCs w:val="21"/>
        </w:rPr>
      </w:pPr>
      <w:r w:rsidRPr="00360EC2">
        <w:rPr>
          <w:rFonts w:ascii="Abadi" w:hAnsi="Abadi" w:cs="*Arial-7432-Identity-H"/>
          <w:color w:val="0C0B0E"/>
          <w:sz w:val="21"/>
          <w:szCs w:val="21"/>
        </w:rPr>
        <w:t xml:space="preserve">De igual forma, se refiere que el artículo 115, fracción </w:t>
      </w:r>
      <w:r>
        <w:rPr>
          <w:rFonts w:ascii="Abadi" w:hAnsi="Abadi" w:cs="*Arial-7432-Identity-H"/>
          <w:color w:val="0C0B0E"/>
          <w:sz w:val="21"/>
          <w:szCs w:val="21"/>
        </w:rPr>
        <w:t>III</w:t>
      </w:r>
      <w:r w:rsidRPr="00360EC2">
        <w:rPr>
          <w:rFonts w:ascii="Abadi" w:hAnsi="Abadi" w:cs="*Arial-7432-Identity-H"/>
          <w:color w:val="0C0B0E"/>
          <w:sz w:val="21"/>
          <w:szCs w:val="21"/>
        </w:rPr>
        <w:t>, inciso b, de la</w:t>
      </w:r>
      <w:r>
        <w:rPr>
          <w:rFonts w:ascii="Abadi" w:hAnsi="Abadi" w:cs="*Arial-7432-Identity-H"/>
          <w:color w:val="0C0B0E"/>
          <w:sz w:val="21"/>
          <w:szCs w:val="21"/>
        </w:rPr>
        <w:t xml:space="preserve"> </w:t>
      </w:r>
      <w:r w:rsidRPr="00360EC2">
        <w:rPr>
          <w:rFonts w:ascii="Abadi" w:hAnsi="Abadi" w:cs="*Arial-7432-Identity-H"/>
          <w:color w:val="0C0B0E"/>
          <w:sz w:val="21"/>
          <w:szCs w:val="21"/>
        </w:rPr>
        <w:t>Constitución Política de los Estados Unidos Mexicanos establece al alumbrado</w:t>
      </w:r>
      <w:r>
        <w:rPr>
          <w:rFonts w:ascii="Abadi" w:hAnsi="Abadi" w:cs="*Arial-7432-Identity-H"/>
          <w:color w:val="0C0B0E"/>
          <w:sz w:val="21"/>
          <w:szCs w:val="21"/>
        </w:rPr>
        <w:t xml:space="preserve"> </w:t>
      </w:r>
      <w:r w:rsidRPr="00360EC2">
        <w:rPr>
          <w:rFonts w:ascii="Abadi" w:hAnsi="Abadi" w:cs="*Arial-7432-Identity-H"/>
          <w:color w:val="0C0B0E"/>
          <w:sz w:val="21"/>
          <w:szCs w:val="21"/>
        </w:rPr>
        <w:t>público como uno de los servicios públicos que los municipios tienen a su cargo.</w:t>
      </w:r>
    </w:p>
    <w:p w14:paraId="5F5616AF" w14:textId="77777777" w:rsidR="004A6831" w:rsidRPr="00360EC2" w:rsidRDefault="004A6831" w:rsidP="004A6831">
      <w:pPr>
        <w:autoSpaceDE w:val="0"/>
        <w:autoSpaceDN w:val="0"/>
        <w:adjustRightInd w:val="0"/>
        <w:jc w:val="both"/>
        <w:rPr>
          <w:rFonts w:ascii="Abadi" w:hAnsi="Abadi" w:cs="*Arial-7432-Identity-H"/>
          <w:color w:val="0C0B0E"/>
          <w:sz w:val="21"/>
          <w:szCs w:val="21"/>
        </w:rPr>
      </w:pPr>
    </w:p>
    <w:p w14:paraId="04B1129E" w14:textId="77777777" w:rsidR="004A6831" w:rsidRDefault="004A6831" w:rsidP="004A6831">
      <w:pPr>
        <w:autoSpaceDE w:val="0"/>
        <w:autoSpaceDN w:val="0"/>
        <w:adjustRightInd w:val="0"/>
        <w:ind w:firstLine="708"/>
        <w:jc w:val="both"/>
        <w:rPr>
          <w:rFonts w:ascii="Abadi" w:hAnsi="Abadi" w:cs="*Arial-7432-Identity-H"/>
          <w:color w:val="0C0B0E"/>
          <w:sz w:val="21"/>
          <w:szCs w:val="21"/>
        </w:rPr>
      </w:pPr>
      <w:r w:rsidRPr="00360EC2">
        <w:rPr>
          <w:rFonts w:ascii="Abadi" w:hAnsi="Abadi" w:cs="*Arial-7432-Identity-H"/>
          <w:color w:val="0C0B0E"/>
          <w:sz w:val="21"/>
          <w:szCs w:val="21"/>
        </w:rPr>
        <w:t>Por su parte, a nivel local, en el artículo 117 de la Constitución Política para el</w:t>
      </w:r>
      <w:r>
        <w:rPr>
          <w:rFonts w:ascii="Abadi" w:hAnsi="Abadi" w:cs="*Arial-7432-Identity-H"/>
          <w:color w:val="0C0B0E"/>
          <w:sz w:val="21"/>
          <w:szCs w:val="21"/>
        </w:rPr>
        <w:t xml:space="preserve"> </w:t>
      </w:r>
      <w:r w:rsidRPr="00360EC2">
        <w:rPr>
          <w:rFonts w:ascii="Abadi" w:hAnsi="Abadi" w:cs="*Arial-7432-Identity-H"/>
          <w:color w:val="0C0B0E"/>
          <w:sz w:val="21"/>
          <w:szCs w:val="21"/>
        </w:rPr>
        <w:t>Estado de Guanajuato se dispone la misma responsabilidad para este ámbito de</w:t>
      </w:r>
      <w:r>
        <w:rPr>
          <w:rFonts w:ascii="Abadi" w:hAnsi="Abadi" w:cs="*Arial-7432-Identity-H"/>
          <w:color w:val="0C0B0E"/>
          <w:sz w:val="21"/>
          <w:szCs w:val="21"/>
        </w:rPr>
        <w:t xml:space="preserve"> </w:t>
      </w:r>
      <w:r w:rsidRPr="00360EC2">
        <w:rPr>
          <w:rFonts w:ascii="Abadi" w:hAnsi="Abadi" w:cs="*Arial-7432-Identity-H"/>
          <w:color w:val="0C0B0E"/>
          <w:sz w:val="21"/>
          <w:szCs w:val="21"/>
        </w:rPr>
        <w:t>gobierno.</w:t>
      </w:r>
    </w:p>
    <w:p w14:paraId="1823DF1D" w14:textId="77777777" w:rsidR="004A6831" w:rsidRPr="00360EC2" w:rsidRDefault="004A6831" w:rsidP="004A6831">
      <w:pPr>
        <w:autoSpaceDE w:val="0"/>
        <w:autoSpaceDN w:val="0"/>
        <w:adjustRightInd w:val="0"/>
        <w:jc w:val="both"/>
        <w:rPr>
          <w:rFonts w:ascii="Abadi" w:hAnsi="Abadi" w:cs="*Arial-7432-Identity-H"/>
          <w:color w:val="0C0B0E"/>
          <w:sz w:val="21"/>
          <w:szCs w:val="21"/>
        </w:rPr>
      </w:pPr>
    </w:p>
    <w:p w14:paraId="3333195A" w14:textId="77777777" w:rsidR="004A6831" w:rsidRDefault="004A6831" w:rsidP="004A6831">
      <w:pPr>
        <w:autoSpaceDE w:val="0"/>
        <w:autoSpaceDN w:val="0"/>
        <w:adjustRightInd w:val="0"/>
        <w:ind w:firstLine="708"/>
        <w:jc w:val="both"/>
        <w:rPr>
          <w:rFonts w:ascii="Abadi" w:hAnsi="Abadi" w:cs="*Arial-7432-Identity-H"/>
          <w:color w:val="0C0C0F"/>
          <w:sz w:val="21"/>
          <w:szCs w:val="21"/>
        </w:rPr>
      </w:pPr>
      <w:r w:rsidRPr="00360EC2">
        <w:rPr>
          <w:rFonts w:ascii="Abadi" w:hAnsi="Abadi" w:cs="*Arial-7432-Identity-H"/>
          <w:color w:val="0C0C0F"/>
          <w:sz w:val="21"/>
          <w:szCs w:val="21"/>
        </w:rPr>
        <w:t>En este sentido, el alumbrado público es un serv</w:t>
      </w:r>
      <w:r>
        <w:rPr>
          <w:rFonts w:ascii="Abadi" w:hAnsi="Abadi" w:cs="*Arial-7432-Identity-H"/>
          <w:color w:val="0C0C0F"/>
          <w:sz w:val="21"/>
          <w:szCs w:val="21"/>
        </w:rPr>
        <w:t xml:space="preserve">icio </w:t>
      </w:r>
      <w:r w:rsidRPr="00360EC2">
        <w:rPr>
          <w:rFonts w:ascii="Abadi" w:hAnsi="Abadi" w:cs="*Arial-7432-Identity-H"/>
          <w:color w:val="0C0C0F"/>
          <w:sz w:val="21"/>
          <w:szCs w:val="21"/>
        </w:rPr>
        <w:t>que tiene como</w:t>
      </w:r>
      <w:r>
        <w:rPr>
          <w:rFonts w:ascii="Abadi" w:hAnsi="Abadi" w:cs="*Arial-7432-Identity-H"/>
          <w:color w:val="0C0C0F"/>
          <w:sz w:val="21"/>
          <w:szCs w:val="21"/>
        </w:rPr>
        <w:t xml:space="preserve"> </w:t>
      </w:r>
      <w:r w:rsidRPr="00360EC2">
        <w:rPr>
          <w:rFonts w:ascii="Abadi" w:hAnsi="Abadi" w:cs="*Arial-7432-Identity-H"/>
          <w:color w:val="0C0C0F"/>
          <w:sz w:val="21"/>
          <w:szCs w:val="21"/>
        </w:rPr>
        <w:t>objetivo el desarrollo de un entorno cómodo y seguro para facilitar la movilidad de</w:t>
      </w:r>
      <w:r>
        <w:rPr>
          <w:rFonts w:ascii="Abadi" w:hAnsi="Abadi" w:cs="*Arial-7432-Identity-H"/>
          <w:color w:val="0C0C0F"/>
          <w:sz w:val="21"/>
          <w:szCs w:val="21"/>
        </w:rPr>
        <w:t xml:space="preserve"> </w:t>
      </w:r>
      <w:r w:rsidRPr="00360EC2">
        <w:rPr>
          <w:rFonts w:ascii="Abadi" w:hAnsi="Abadi" w:cs="*Arial-7432-Identity-H"/>
          <w:color w:val="0C0C0F"/>
          <w:sz w:val="21"/>
          <w:szCs w:val="21"/>
        </w:rPr>
        <w:t>la población, el disfrute de la ciudad, del patrimonio cultural y de los espacios</w:t>
      </w:r>
      <w:r>
        <w:rPr>
          <w:rFonts w:ascii="Abadi" w:hAnsi="Abadi" w:cs="*Arial-7432-Identity-H"/>
          <w:color w:val="0C0C0F"/>
          <w:sz w:val="21"/>
          <w:szCs w:val="21"/>
        </w:rPr>
        <w:t xml:space="preserve"> </w:t>
      </w:r>
      <w:r w:rsidRPr="00360EC2">
        <w:rPr>
          <w:rFonts w:ascii="Abadi" w:hAnsi="Abadi" w:cs="*Arial-7432-Identity-H"/>
          <w:color w:val="0C0C0F"/>
          <w:sz w:val="21"/>
          <w:szCs w:val="21"/>
        </w:rPr>
        <w:t>públicos; a su vez, mantiene una estrecha relación con la creación de condiciones</w:t>
      </w:r>
      <w:r>
        <w:rPr>
          <w:rFonts w:ascii="Abadi" w:hAnsi="Abadi" w:cs="*Arial-7432-Identity-H"/>
          <w:color w:val="0C0C0F"/>
          <w:sz w:val="21"/>
          <w:szCs w:val="21"/>
        </w:rPr>
        <w:t xml:space="preserve"> </w:t>
      </w:r>
      <w:r w:rsidRPr="00360EC2">
        <w:rPr>
          <w:rFonts w:ascii="Abadi" w:hAnsi="Abadi" w:cs="*Arial-7432-Identity-H"/>
          <w:color w:val="0C0C0F"/>
          <w:sz w:val="21"/>
          <w:szCs w:val="21"/>
        </w:rPr>
        <w:t>de seguridad en la vida cotidiana de la población, esto último por considerase un</w:t>
      </w:r>
      <w:r>
        <w:rPr>
          <w:rFonts w:ascii="Abadi" w:hAnsi="Abadi" w:cs="*Arial-7432-Identity-H"/>
          <w:color w:val="0C0C0F"/>
          <w:sz w:val="21"/>
          <w:szCs w:val="21"/>
        </w:rPr>
        <w:t xml:space="preserve"> </w:t>
      </w:r>
      <w:r w:rsidRPr="00360EC2">
        <w:rPr>
          <w:rFonts w:ascii="Abadi" w:hAnsi="Abadi" w:cs="*Arial-7432-Identity-H"/>
          <w:color w:val="0C0C0F"/>
          <w:sz w:val="21"/>
          <w:szCs w:val="21"/>
        </w:rPr>
        <w:t>factor que contribuye a reducir la percepción de inseguridad.</w:t>
      </w:r>
    </w:p>
    <w:p w14:paraId="4A6065EA" w14:textId="77777777" w:rsidR="004A6831" w:rsidRPr="00360EC2" w:rsidRDefault="004A6831" w:rsidP="004A6831">
      <w:pPr>
        <w:autoSpaceDE w:val="0"/>
        <w:autoSpaceDN w:val="0"/>
        <w:adjustRightInd w:val="0"/>
        <w:jc w:val="both"/>
        <w:rPr>
          <w:rFonts w:ascii="Abadi" w:hAnsi="Abadi" w:cs="*Arial-7432-Identity-H"/>
          <w:color w:val="0C0C0F"/>
          <w:sz w:val="21"/>
          <w:szCs w:val="21"/>
        </w:rPr>
      </w:pPr>
    </w:p>
    <w:p w14:paraId="6F32A223" w14:textId="77777777" w:rsidR="004A6831" w:rsidRDefault="004A6831" w:rsidP="004A6831">
      <w:pPr>
        <w:autoSpaceDE w:val="0"/>
        <w:autoSpaceDN w:val="0"/>
        <w:adjustRightInd w:val="0"/>
        <w:ind w:firstLine="708"/>
        <w:jc w:val="both"/>
        <w:rPr>
          <w:rFonts w:ascii="Abadi" w:hAnsi="Abadi" w:cs="*Arial-7432-Identity-H"/>
          <w:color w:val="0C0B0F"/>
          <w:sz w:val="21"/>
          <w:szCs w:val="21"/>
        </w:rPr>
      </w:pPr>
      <w:r w:rsidRPr="00360EC2">
        <w:rPr>
          <w:rFonts w:ascii="Abadi" w:hAnsi="Abadi" w:cs="*Arial-7432-Identity-H"/>
          <w:color w:val="0C0B0F"/>
          <w:sz w:val="21"/>
          <w:szCs w:val="21"/>
        </w:rPr>
        <w:t>Derivado de lo anterior, el adecuado desempeño de los servicios públicos</w:t>
      </w:r>
      <w:r>
        <w:rPr>
          <w:rFonts w:ascii="Abadi" w:hAnsi="Abadi" w:cs="*Arial-7432-Identity-H"/>
          <w:color w:val="0C0B0F"/>
          <w:sz w:val="21"/>
          <w:szCs w:val="21"/>
        </w:rPr>
        <w:t xml:space="preserve"> </w:t>
      </w:r>
      <w:r w:rsidRPr="00360EC2">
        <w:rPr>
          <w:rFonts w:ascii="Abadi" w:hAnsi="Abadi" w:cs="*Arial-7432-Identity-H"/>
          <w:color w:val="0C0B0F"/>
          <w:sz w:val="21"/>
          <w:szCs w:val="21"/>
        </w:rPr>
        <w:t>incide en la calidad de vida de los habitantes y, por ello, es conveniente que se</w:t>
      </w:r>
      <w:r>
        <w:rPr>
          <w:rFonts w:ascii="Abadi" w:hAnsi="Abadi" w:cs="*Arial-7432-Identity-H"/>
          <w:color w:val="0C0B0F"/>
          <w:sz w:val="21"/>
          <w:szCs w:val="21"/>
        </w:rPr>
        <w:t xml:space="preserve"> </w:t>
      </w:r>
      <w:r w:rsidRPr="00360EC2">
        <w:rPr>
          <w:rFonts w:ascii="Abadi" w:hAnsi="Abadi" w:cs="*Arial-7432-Identity-H"/>
          <w:color w:val="0C0B0F"/>
          <w:sz w:val="21"/>
          <w:szCs w:val="21"/>
        </w:rPr>
        <w:t>administre bajo modelos de gestión orientados a los resultados que garanticen su</w:t>
      </w:r>
      <w:r>
        <w:rPr>
          <w:rFonts w:ascii="Abadi" w:hAnsi="Abadi" w:cs="*Arial-7432-Identity-H"/>
          <w:color w:val="0C0B0F"/>
          <w:sz w:val="21"/>
          <w:szCs w:val="21"/>
        </w:rPr>
        <w:t xml:space="preserve"> </w:t>
      </w:r>
      <w:r w:rsidRPr="00360EC2">
        <w:rPr>
          <w:rFonts w:ascii="Abadi" w:hAnsi="Abadi" w:cs="*Arial-7432-Identity-H"/>
          <w:color w:val="0C0B0F"/>
          <w:sz w:val="21"/>
          <w:szCs w:val="21"/>
        </w:rPr>
        <w:t>adecuada operación, permanencia, continuidad, uniformidad e igualdad ante los</w:t>
      </w:r>
      <w:r>
        <w:rPr>
          <w:rFonts w:ascii="Abadi" w:hAnsi="Abadi" w:cs="*Arial-7432-Identity-H"/>
          <w:color w:val="0C0B0F"/>
          <w:sz w:val="21"/>
          <w:szCs w:val="21"/>
        </w:rPr>
        <w:t xml:space="preserve"> </w:t>
      </w:r>
      <w:r w:rsidRPr="00360EC2">
        <w:rPr>
          <w:rFonts w:ascii="Abadi" w:hAnsi="Abadi" w:cs="*Arial-7432-Identity-H"/>
          <w:color w:val="0C0B0F"/>
          <w:sz w:val="21"/>
          <w:szCs w:val="21"/>
        </w:rPr>
        <w:t>usuarios, asegurando una cobertura integral y una oferta al alcance de la</w:t>
      </w:r>
      <w:r>
        <w:rPr>
          <w:rFonts w:ascii="Abadi" w:hAnsi="Abadi" w:cs="*Arial-7432-Identity-H"/>
          <w:color w:val="0C0B0F"/>
          <w:sz w:val="21"/>
          <w:szCs w:val="21"/>
        </w:rPr>
        <w:t xml:space="preserve"> </w:t>
      </w:r>
      <w:r w:rsidRPr="00360EC2">
        <w:rPr>
          <w:rFonts w:ascii="Abadi" w:hAnsi="Abadi" w:cs="*Arial-7432-Identity-H"/>
          <w:color w:val="0C0B0F"/>
          <w:sz w:val="21"/>
          <w:szCs w:val="21"/>
        </w:rPr>
        <w:t>población municipal que lo requiera.</w:t>
      </w:r>
    </w:p>
    <w:p w14:paraId="04831AA5" w14:textId="77777777" w:rsidR="004A6831" w:rsidRPr="00360EC2" w:rsidRDefault="004A6831" w:rsidP="004A6831">
      <w:pPr>
        <w:autoSpaceDE w:val="0"/>
        <w:autoSpaceDN w:val="0"/>
        <w:adjustRightInd w:val="0"/>
        <w:jc w:val="both"/>
        <w:rPr>
          <w:rFonts w:ascii="Abadi" w:hAnsi="Abadi" w:cs="*Arial-7432-Identity-H"/>
          <w:color w:val="0C0B0F"/>
          <w:sz w:val="21"/>
          <w:szCs w:val="21"/>
        </w:rPr>
      </w:pPr>
    </w:p>
    <w:p w14:paraId="34A1DE38" w14:textId="77777777" w:rsidR="004A6831" w:rsidRDefault="004A6831" w:rsidP="004A6831">
      <w:pPr>
        <w:autoSpaceDE w:val="0"/>
        <w:autoSpaceDN w:val="0"/>
        <w:adjustRightInd w:val="0"/>
        <w:ind w:firstLine="708"/>
        <w:jc w:val="both"/>
        <w:rPr>
          <w:rFonts w:ascii="Abadi" w:hAnsi="Abadi" w:cs="*Arial-7432-Identity-H"/>
          <w:color w:val="0C0C0F"/>
          <w:sz w:val="21"/>
          <w:szCs w:val="21"/>
        </w:rPr>
      </w:pPr>
      <w:r w:rsidRPr="00360EC2">
        <w:rPr>
          <w:rFonts w:ascii="Abadi" w:hAnsi="Abadi" w:cs="*Arial-7432-Identity-H"/>
          <w:color w:val="0C0C0F"/>
          <w:sz w:val="21"/>
          <w:szCs w:val="21"/>
        </w:rPr>
        <w:t>Es así que en el caso que nos ocupa, se definió el objetivo general de la</w:t>
      </w:r>
      <w:r>
        <w:rPr>
          <w:rFonts w:ascii="Abadi" w:hAnsi="Abadi" w:cs="*Arial-7432-Identity-H"/>
          <w:color w:val="0C0C0F"/>
          <w:sz w:val="21"/>
          <w:szCs w:val="21"/>
        </w:rPr>
        <w:t xml:space="preserve"> </w:t>
      </w:r>
      <w:r w:rsidRPr="00360EC2">
        <w:rPr>
          <w:rFonts w:ascii="Abadi" w:hAnsi="Abadi" w:cs="*Arial-7432-Identity-H"/>
          <w:color w:val="0C0C0F"/>
          <w:sz w:val="21"/>
          <w:szCs w:val="21"/>
        </w:rPr>
        <w:t>auditoría con el propósito de verificar la capacidad del municipio de Pueblo Nuevo,</w:t>
      </w:r>
      <w:r>
        <w:rPr>
          <w:rFonts w:ascii="Abadi" w:hAnsi="Abadi" w:cs="*Arial-7432-Identity-H"/>
          <w:color w:val="0C0C0F"/>
          <w:sz w:val="21"/>
          <w:szCs w:val="21"/>
        </w:rPr>
        <w:t xml:space="preserve"> </w:t>
      </w:r>
      <w:proofErr w:type="spellStart"/>
      <w:r w:rsidRPr="00360EC2">
        <w:rPr>
          <w:rFonts w:ascii="Abadi" w:hAnsi="Abadi" w:cs="*Arial-7432-Identity-H"/>
          <w:color w:val="0C0C0F"/>
          <w:sz w:val="21"/>
          <w:szCs w:val="21"/>
        </w:rPr>
        <w:t>Gto</w:t>
      </w:r>
      <w:proofErr w:type="spellEnd"/>
      <w:r w:rsidRPr="00360EC2">
        <w:rPr>
          <w:rFonts w:ascii="Abadi" w:hAnsi="Abadi" w:cs="*Arial-7432-Identity-H"/>
          <w:color w:val="0C0C0F"/>
          <w:sz w:val="21"/>
          <w:szCs w:val="21"/>
        </w:rPr>
        <w:t>., para lograr una prestación eficaz del servicio de alumbrado público a su</w:t>
      </w:r>
      <w:r>
        <w:rPr>
          <w:rFonts w:ascii="Abadi" w:hAnsi="Abadi" w:cs="*Arial-7432-Identity-H"/>
          <w:color w:val="0C0C0F"/>
          <w:sz w:val="21"/>
          <w:szCs w:val="21"/>
        </w:rPr>
        <w:t xml:space="preserve"> </w:t>
      </w:r>
      <w:r w:rsidRPr="00360EC2">
        <w:rPr>
          <w:rFonts w:ascii="Abadi" w:hAnsi="Abadi" w:cs="*Arial-7432-Identity-H"/>
          <w:color w:val="0C0C0F"/>
          <w:sz w:val="21"/>
          <w:szCs w:val="21"/>
        </w:rPr>
        <w:t>población, así como de conocer si las funciones de planificación, operación y</w:t>
      </w:r>
      <w:r>
        <w:rPr>
          <w:rFonts w:ascii="Abadi" w:hAnsi="Abadi" w:cs="*Arial-7432-Identity-H"/>
          <w:color w:val="0C0C0F"/>
          <w:sz w:val="21"/>
          <w:szCs w:val="21"/>
        </w:rPr>
        <w:t xml:space="preserve"> </w:t>
      </w:r>
      <w:r w:rsidRPr="00360EC2">
        <w:rPr>
          <w:rFonts w:ascii="Abadi" w:hAnsi="Abadi" w:cs="*Arial-7432-Identity-H"/>
          <w:color w:val="0C0C0F"/>
          <w:sz w:val="21"/>
          <w:szCs w:val="21"/>
        </w:rPr>
        <w:t>seguimiento se desarrollaron bajo el principio de eficiencia, ya que de ello</w:t>
      </w:r>
      <w:r>
        <w:rPr>
          <w:rFonts w:ascii="Abadi" w:hAnsi="Abadi" w:cs="*Arial-7432-Identity-H"/>
          <w:color w:val="0C0C0F"/>
          <w:sz w:val="21"/>
          <w:szCs w:val="21"/>
        </w:rPr>
        <w:t xml:space="preserve"> </w:t>
      </w:r>
      <w:r w:rsidRPr="00360EC2">
        <w:rPr>
          <w:rFonts w:ascii="Abadi" w:hAnsi="Abadi" w:cs="*Arial-7432-Identity-H"/>
          <w:color w:val="0C0C0F"/>
          <w:sz w:val="21"/>
          <w:szCs w:val="21"/>
        </w:rPr>
        <w:t>depende el grado de satisfacción de la comunidad.</w:t>
      </w:r>
    </w:p>
    <w:p w14:paraId="40D6DF9D" w14:textId="77777777" w:rsidR="004A6831" w:rsidRPr="00360EC2" w:rsidRDefault="004A6831" w:rsidP="004A6831">
      <w:pPr>
        <w:autoSpaceDE w:val="0"/>
        <w:autoSpaceDN w:val="0"/>
        <w:adjustRightInd w:val="0"/>
        <w:jc w:val="both"/>
        <w:rPr>
          <w:rFonts w:ascii="Abadi" w:hAnsi="Abadi" w:cs="*Arial-7432-Identity-H"/>
          <w:color w:val="0C0C0F"/>
          <w:sz w:val="21"/>
          <w:szCs w:val="21"/>
        </w:rPr>
      </w:pPr>
    </w:p>
    <w:p w14:paraId="0E4D58A3" w14:textId="77777777" w:rsidR="004A6831" w:rsidRDefault="004A6831" w:rsidP="004A6831">
      <w:pPr>
        <w:autoSpaceDE w:val="0"/>
        <w:autoSpaceDN w:val="0"/>
        <w:adjustRightInd w:val="0"/>
        <w:ind w:firstLine="708"/>
        <w:jc w:val="both"/>
        <w:rPr>
          <w:rFonts w:ascii="Abadi" w:hAnsi="Abadi" w:cs="*Arial-7432-Identity-H"/>
          <w:color w:val="0C0C0E"/>
          <w:sz w:val="21"/>
          <w:szCs w:val="21"/>
        </w:rPr>
      </w:pPr>
      <w:r w:rsidRPr="00360EC2">
        <w:rPr>
          <w:rFonts w:ascii="Abadi" w:hAnsi="Abadi" w:cs="*Arial-7432-Identity-H"/>
          <w:color w:val="0C0C0E"/>
          <w:sz w:val="21"/>
          <w:szCs w:val="21"/>
        </w:rPr>
        <w:t>Para su consecución, las labores de la Auditoria Superior del Estado</w:t>
      </w:r>
      <w:r>
        <w:rPr>
          <w:rFonts w:ascii="Abadi" w:hAnsi="Abadi" w:cs="*Arial-7432-Identity-H"/>
          <w:color w:val="0C0C0E"/>
          <w:sz w:val="21"/>
          <w:szCs w:val="21"/>
        </w:rPr>
        <w:t xml:space="preserve"> </w:t>
      </w:r>
      <w:r w:rsidRPr="00360EC2">
        <w:rPr>
          <w:rFonts w:ascii="Abadi" w:hAnsi="Abadi" w:cs="*Arial-7432-Identity-H"/>
          <w:color w:val="0C0C0E"/>
          <w:sz w:val="21"/>
          <w:szCs w:val="21"/>
        </w:rPr>
        <w:t>consideraron la verificación de la existencia de procesos diagnósticos o de</w:t>
      </w:r>
      <w:r>
        <w:rPr>
          <w:rFonts w:ascii="Abadi" w:hAnsi="Abadi" w:cs="*Arial-7432-Identity-H"/>
          <w:color w:val="0C0C0E"/>
          <w:sz w:val="21"/>
          <w:szCs w:val="21"/>
        </w:rPr>
        <w:t xml:space="preserve"> </w:t>
      </w:r>
      <w:r w:rsidRPr="00360EC2">
        <w:rPr>
          <w:rFonts w:ascii="Abadi" w:hAnsi="Abadi" w:cs="*Arial-7432-Identity-H"/>
          <w:color w:val="0C0C0E"/>
          <w:sz w:val="21"/>
          <w:szCs w:val="21"/>
        </w:rPr>
        <w:t>planificación que permitieran a la administración municipal conocer la oferta del</w:t>
      </w:r>
      <w:r>
        <w:rPr>
          <w:rFonts w:ascii="Abadi" w:hAnsi="Abadi" w:cs="*Arial-7432-Identity-H"/>
          <w:color w:val="0C0C0E"/>
          <w:sz w:val="21"/>
          <w:szCs w:val="21"/>
        </w:rPr>
        <w:t xml:space="preserve"> </w:t>
      </w:r>
      <w:r w:rsidRPr="00360EC2">
        <w:rPr>
          <w:rFonts w:ascii="Abadi" w:hAnsi="Abadi" w:cs="*Arial-7432-Identity-H"/>
          <w:color w:val="0C0C0E"/>
          <w:sz w:val="21"/>
          <w:szCs w:val="21"/>
        </w:rPr>
        <w:t>servicio y las brechas por cubrir, definir la estimación de recursos para una</w:t>
      </w:r>
      <w:r>
        <w:rPr>
          <w:rFonts w:ascii="Abadi" w:hAnsi="Abadi" w:cs="*Arial-7432-Identity-H"/>
          <w:color w:val="0C0C0E"/>
          <w:sz w:val="21"/>
          <w:szCs w:val="21"/>
        </w:rPr>
        <w:t xml:space="preserve"> </w:t>
      </w:r>
      <w:r w:rsidRPr="00360EC2">
        <w:rPr>
          <w:rFonts w:ascii="Abadi" w:hAnsi="Abadi" w:cs="*Arial-7432-Identity-H"/>
          <w:color w:val="0C0C0E"/>
          <w:sz w:val="21"/>
          <w:szCs w:val="21"/>
        </w:rPr>
        <w:t>adecuada operación y la definición de metas y objetivos orientados a la mejora del</w:t>
      </w:r>
      <w:r>
        <w:rPr>
          <w:rFonts w:ascii="Abadi" w:hAnsi="Abadi" w:cs="*Arial-7432-Identity-H"/>
          <w:color w:val="0C0C0E"/>
          <w:sz w:val="21"/>
          <w:szCs w:val="21"/>
        </w:rPr>
        <w:t xml:space="preserve"> </w:t>
      </w:r>
      <w:r w:rsidRPr="00360EC2">
        <w:rPr>
          <w:rFonts w:ascii="Abadi" w:hAnsi="Abadi" w:cs="*Arial-7432-Identity-H"/>
          <w:color w:val="0C0C0E"/>
          <w:sz w:val="21"/>
          <w:szCs w:val="21"/>
        </w:rPr>
        <w:t>servicio; respecto de la operación, se consideró la verificación del establecimiento</w:t>
      </w:r>
      <w:r>
        <w:rPr>
          <w:rFonts w:ascii="Abadi" w:hAnsi="Abadi" w:cs="*Arial-7432-Identity-H"/>
          <w:color w:val="0C0C0E"/>
          <w:sz w:val="21"/>
          <w:szCs w:val="21"/>
        </w:rPr>
        <w:t xml:space="preserve"> </w:t>
      </w:r>
      <w:r w:rsidRPr="00360EC2">
        <w:rPr>
          <w:rFonts w:ascii="Abadi" w:hAnsi="Abadi" w:cs="*Arial-7432-Identity-H"/>
          <w:color w:val="0C0C0E"/>
          <w:sz w:val="21"/>
          <w:szCs w:val="21"/>
        </w:rPr>
        <w:t>de un marco normativo adecuado y vigente, la programación de actividades y su</w:t>
      </w:r>
      <w:r>
        <w:rPr>
          <w:rFonts w:ascii="Abadi" w:hAnsi="Abadi" w:cs="*Arial-7432-Identity-H"/>
          <w:color w:val="0C0C0E"/>
          <w:sz w:val="21"/>
          <w:szCs w:val="21"/>
        </w:rPr>
        <w:t xml:space="preserve"> </w:t>
      </w:r>
      <w:r w:rsidRPr="00360EC2">
        <w:rPr>
          <w:rFonts w:ascii="Abadi" w:hAnsi="Abadi" w:cs="*Arial-7432-Identity-H"/>
          <w:color w:val="0C0C0E"/>
          <w:sz w:val="21"/>
          <w:szCs w:val="21"/>
        </w:rPr>
        <w:t>consecución, los mecanismos de atención ciudadana para el reporte de fallas y los</w:t>
      </w:r>
      <w:r>
        <w:rPr>
          <w:rFonts w:ascii="Abadi" w:hAnsi="Abadi" w:cs="*Arial-7432-Identity-H"/>
          <w:color w:val="0C0C0E"/>
          <w:sz w:val="21"/>
          <w:szCs w:val="21"/>
        </w:rPr>
        <w:t xml:space="preserve"> </w:t>
      </w:r>
      <w:r w:rsidRPr="00360EC2">
        <w:rPr>
          <w:rFonts w:ascii="Abadi" w:hAnsi="Abadi" w:cs="*Arial-7432-Identity-H"/>
          <w:color w:val="0C0C0E"/>
          <w:sz w:val="21"/>
          <w:szCs w:val="21"/>
        </w:rPr>
        <w:t>resultados en la cobertura, mantenimiento y satisfacción. También se revisaron los</w:t>
      </w:r>
      <w:r>
        <w:rPr>
          <w:rFonts w:ascii="Abadi" w:hAnsi="Abadi" w:cs="*Arial-7432-Identity-H"/>
          <w:color w:val="0C0C0E"/>
          <w:sz w:val="21"/>
          <w:szCs w:val="21"/>
        </w:rPr>
        <w:t xml:space="preserve"> </w:t>
      </w:r>
      <w:r w:rsidRPr="00360EC2">
        <w:rPr>
          <w:rFonts w:ascii="Abadi" w:hAnsi="Abadi" w:cs="*Arial-7432-Identity-H"/>
          <w:color w:val="0C0C0E"/>
          <w:sz w:val="21"/>
          <w:szCs w:val="21"/>
        </w:rPr>
        <w:t>mecanismos de monitoreo y evaluación, con el objetivo de analizar el desempeño</w:t>
      </w:r>
      <w:r>
        <w:rPr>
          <w:rFonts w:ascii="Abadi" w:hAnsi="Abadi" w:cs="*Arial-7432-Identity-H"/>
          <w:color w:val="0C0C0E"/>
          <w:sz w:val="21"/>
          <w:szCs w:val="21"/>
        </w:rPr>
        <w:t xml:space="preserve"> </w:t>
      </w:r>
      <w:r w:rsidRPr="00360EC2">
        <w:rPr>
          <w:rFonts w:ascii="Abadi" w:hAnsi="Abadi" w:cs="*Arial-7432-Identity-H"/>
          <w:color w:val="0C0C0E"/>
          <w:sz w:val="21"/>
          <w:szCs w:val="21"/>
        </w:rPr>
        <w:t>del Municipio en el otorgamiento del servicio, y verificar la eficiencia y la eficacia</w:t>
      </w:r>
      <w:r>
        <w:rPr>
          <w:rFonts w:ascii="Abadi" w:hAnsi="Abadi" w:cs="*Arial-7432-Identity-H"/>
          <w:color w:val="0C0C0E"/>
          <w:sz w:val="21"/>
          <w:szCs w:val="21"/>
        </w:rPr>
        <w:t xml:space="preserve"> </w:t>
      </w:r>
      <w:r w:rsidRPr="00360EC2">
        <w:rPr>
          <w:rFonts w:ascii="Abadi" w:hAnsi="Abadi" w:cs="*Arial-7432-Identity-H"/>
          <w:color w:val="0C0C0E"/>
          <w:sz w:val="21"/>
          <w:szCs w:val="21"/>
        </w:rPr>
        <w:t>del alumbrado público municipal en beneficio de la ciudadanía.</w:t>
      </w:r>
    </w:p>
    <w:p w14:paraId="484E2D72" w14:textId="77777777" w:rsidR="004A6831" w:rsidRPr="00360EC2" w:rsidRDefault="004A6831" w:rsidP="004A6831">
      <w:pPr>
        <w:autoSpaceDE w:val="0"/>
        <w:autoSpaceDN w:val="0"/>
        <w:adjustRightInd w:val="0"/>
        <w:jc w:val="both"/>
        <w:rPr>
          <w:rFonts w:ascii="Abadi" w:hAnsi="Abadi" w:cs="*Arial-7432-Identity-H"/>
          <w:color w:val="0C0C0E"/>
          <w:sz w:val="21"/>
          <w:szCs w:val="21"/>
        </w:rPr>
      </w:pPr>
    </w:p>
    <w:p w14:paraId="7A324C25" w14:textId="77777777" w:rsidR="004A6831" w:rsidRDefault="004A6831" w:rsidP="004A6831">
      <w:pPr>
        <w:autoSpaceDE w:val="0"/>
        <w:autoSpaceDN w:val="0"/>
        <w:adjustRightInd w:val="0"/>
        <w:ind w:firstLine="708"/>
        <w:jc w:val="both"/>
        <w:rPr>
          <w:rFonts w:ascii="Abadi" w:hAnsi="Abadi" w:cs="*Arial-7359-Identity-H"/>
          <w:color w:val="0C0B0E"/>
          <w:sz w:val="21"/>
          <w:szCs w:val="21"/>
        </w:rPr>
      </w:pPr>
      <w:r w:rsidRPr="00360EC2">
        <w:rPr>
          <w:rFonts w:ascii="Abadi" w:hAnsi="Abadi" w:cs="*Arial-7359-Identity-H"/>
          <w:color w:val="0C0B0E"/>
          <w:sz w:val="21"/>
          <w:szCs w:val="21"/>
        </w:rPr>
        <w:t>Asimismo, se hace constar que la administración pública municipal de</w:t>
      </w:r>
      <w:r>
        <w:rPr>
          <w:rFonts w:ascii="Abadi" w:hAnsi="Abadi" w:cs="*Arial-7359-Identity-H"/>
          <w:color w:val="0C0B0E"/>
          <w:sz w:val="21"/>
          <w:szCs w:val="21"/>
        </w:rPr>
        <w:t xml:space="preserve"> </w:t>
      </w:r>
      <w:r w:rsidRPr="00360EC2">
        <w:rPr>
          <w:rFonts w:ascii="Abadi" w:hAnsi="Abadi" w:cs="*Arial-7359-Identity-H"/>
          <w:color w:val="0C0B0E"/>
          <w:sz w:val="21"/>
          <w:szCs w:val="21"/>
        </w:rPr>
        <w:t xml:space="preserve">Pueblo Nuevo, </w:t>
      </w:r>
      <w:proofErr w:type="spellStart"/>
      <w:r w:rsidRPr="00360EC2">
        <w:rPr>
          <w:rFonts w:ascii="Abadi" w:hAnsi="Abadi" w:cs="*Arial-7359-Identity-H"/>
          <w:color w:val="0C0B0E"/>
          <w:sz w:val="21"/>
          <w:szCs w:val="21"/>
        </w:rPr>
        <w:t>Gto</w:t>
      </w:r>
      <w:proofErr w:type="spellEnd"/>
      <w:r w:rsidRPr="00360EC2">
        <w:rPr>
          <w:rFonts w:ascii="Abadi" w:hAnsi="Abadi" w:cs="*Arial-7359-Identity-H"/>
          <w:color w:val="0C0B0E"/>
          <w:sz w:val="21"/>
          <w:szCs w:val="21"/>
        </w:rPr>
        <w:t>., realizó acciones para otorgar el servicio de alumbrado público</w:t>
      </w:r>
      <w:r>
        <w:rPr>
          <w:rFonts w:ascii="Abadi" w:hAnsi="Abadi" w:cs="*Arial-7359-Identity-H"/>
          <w:color w:val="0C0B0E"/>
          <w:sz w:val="21"/>
          <w:szCs w:val="21"/>
        </w:rPr>
        <w:t xml:space="preserve"> </w:t>
      </w:r>
      <w:r w:rsidRPr="00360EC2">
        <w:rPr>
          <w:rFonts w:ascii="Abadi" w:hAnsi="Abadi" w:cs="*Arial-7359-Identity-H"/>
          <w:color w:val="0C0B0E"/>
          <w:sz w:val="21"/>
          <w:szCs w:val="21"/>
        </w:rPr>
        <w:t>a la población. No obstante, existe evidencia que la gestión del servicio presentó</w:t>
      </w:r>
      <w:r>
        <w:rPr>
          <w:rFonts w:ascii="Abadi" w:hAnsi="Abadi" w:cs="*Arial-7359-Identity-H"/>
          <w:color w:val="0C0B0E"/>
          <w:sz w:val="21"/>
          <w:szCs w:val="21"/>
        </w:rPr>
        <w:t xml:space="preserve"> </w:t>
      </w:r>
      <w:r w:rsidRPr="00360EC2">
        <w:rPr>
          <w:rFonts w:ascii="Abadi" w:hAnsi="Abadi" w:cs="*Arial-7359-Identity-H"/>
          <w:color w:val="0C0B0E"/>
          <w:sz w:val="21"/>
          <w:szCs w:val="21"/>
        </w:rPr>
        <w:t>áreas de oportunidad.</w:t>
      </w:r>
    </w:p>
    <w:p w14:paraId="76A0308F" w14:textId="77777777" w:rsidR="004A6831" w:rsidRPr="00360EC2" w:rsidRDefault="004A6831" w:rsidP="004A6831">
      <w:pPr>
        <w:autoSpaceDE w:val="0"/>
        <w:autoSpaceDN w:val="0"/>
        <w:adjustRightInd w:val="0"/>
        <w:jc w:val="both"/>
        <w:rPr>
          <w:rFonts w:ascii="Abadi" w:hAnsi="Abadi" w:cs="*Arial-7359-Identity-H"/>
          <w:color w:val="0C0B0E"/>
          <w:sz w:val="21"/>
          <w:szCs w:val="21"/>
        </w:rPr>
      </w:pPr>
    </w:p>
    <w:p w14:paraId="7A73C75F" w14:textId="71DD46BD" w:rsidR="004A6831" w:rsidRDefault="004A6831" w:rsidP="004A6831">
      <w:pPr>
        <w:autoSpaceDE w:val="0"/>
        <w:autoSpaceDN w:val="0"/>
        <w:adjustRightInd w:val="0"/>
        <w:ind w:firstLine="708"/>
        <w:jc w:val="both"/>
        <w:rPr>
          <w:rFonts w:ascii="Abadi" w:hAnsi="Abadi" w:cs="*Arial-7359-Identity-H"/>
          <w:color w:val="0B0B0E"/>
          <w:sz w:val="21"/>
          <w:szCs w:val="21"/>
        </w:rPr>
      </w:pPr>
      <w:r w:rsidRPr="00360EC2">
        <w:rPr>
          <w:rFonts w:ascii="Abadi" w:hAnsi="Abadi" w:cs="*Arial-7359-Identity-H"/>
          <w:color w:val="0B0B0E"/>
          <w:sz w:val="21"/>
          <w:szCs w:val="21"/>
        </w:rPr>
        <w:t>En cuanto a la gestión de la planificación se verificó que las actividades</w:t>
      </w:r>
      <w:r>
        <w:rPr>
          <w:rFonts w:ascii="Abadi" w:hAnsi="Abadi" w:cs="*Arial-7359-Identity-H"/>
          <w:color w:val="0B0B0E"/>
          <w:sz w:val="21"/>
          <w:szCs w:val="21"/>
        </w:rPr>
        <w:t xml:space="preserve"> </w:t>
      </w:r>
      <w:r w:rsidRPr="00360EC2">
        <w:rPr>
          <w:rFonts w:ascii="Abadi" w:hAnsi="Abadi" w:cs="*Arial-7359-Identity-H"/>
          <w:color w:val="0B0B0E"/>
          <w:sz w:val="21"/>
          <w:szCs w:val="21"/>
        </w:rPr>
        <w:t>llevadas a cabo por el sujeto fiscalizado tuvieron como punto de partida la</w:t>
      </w:r>
      <w:r>
        <w:rPr>
          <w:rFonts w:ascii="Abadi" w:hAnsi="Abadi" w:cs="*Arial-7359-Identity-H"/>
          <w:color w:val="0B0B0E"/>
          <w:sz w:val="21"/>
          <w:szCs w:val="21"/>
        </w:rPr>
        <w:t xml:space="preserve"> </w:t>
      </w:r>
      <w:r w:rsidRPr="00360EC2">
        <w:rPr>
          <w:rFonts w:ascii="Abadi" w:hAnsi="Abadi" w:cs="*Arial-7359-Identity-H"/>
          <w:color w:val="0B0B0E"/>
          <w:sz w:val="21"/>
          <w:szCs w:val="21"/>
        </w:rPr>
        <w:t>información censal de lámparas y luminarias para el ejercicio 2020, la cual permitió</w:t>
      </w:r>
      <w:r>
        <w:rPr>
          <w:rFonts w:ascii="Abadi" w:hAnsi="Abadi" w:cs="*Arial-7359-Identity-H"/>
          <w:color w:val="0B0B0E"/>
          <w:sz w:val="21"/>
          <w:szCs w:val="21"/>
        </w:rPr>
        <w:t xml:space="preserve"> </w:t>
      </w:r>
      <w:r w:rsidRPr="00360EC2">
        <w:rPr>
          <w:rFonts w:ascii="Abadi" w:hAnsi="Abadi" w:cs="*Arial-7359-Identity-H"/>
          <w:color w:val="0B0B0E"/>
          <w:sz w:val="21"/>
          <w:szCs w:val="21"/>
        </w:rPr>
        <w:t>identificar un total de 1,097 lámparas por zona (rural y urbana) y por tipo de</w:t>
      </w:r>
      <w:r>
        <w:rPr>
          <w:rFonts w:ascii="Abadi" w:hAnsi="Abadi" w:cs="*Arial-7359-Identity-H"/>
          <w:color w:val="0B0B0E"/>
          <w:sz w:val="21"/>
          <w:szCs w:val="21"/>
        </w:rPr>
        <w:t xml:space="preserve"> </w:t>
      </w:r>
      <w:r w:rsidRPr="00360EC2">
        <w:rPr>
          <w:rFonts w:ascii="Abadi" w:hAnsi="Abadi" w:cs="*Arial-7359-Identity-H"/>
          <w:color w:val="0B0B0E"/>
          <w:sz w:val="21"/>
          <w:szCs w:val="21"/>
        </w:rPr>
        <w:t>tecnología; sin embargo, el censo no incluyó información que divulgara el estado</w:t>
      </w:r>
      <w:r>
        <w:rPr>
          <w:rFonts w:ascii="Abadi" w:hAnsi="Abadi" w:cs="*Arial-7359-Identity-H"/>
          <w:color w:val="0B0B0E"/>
          <w:sz w:val="21"/>
          <w:szCs w:val="21"/>
        </w:rPr>
        <w:t xml:space="preserve"> </w:t>
      </w:r>
      <w:r w:rsidRPr="00360EC2">
        <w:rPr>
          <w:rFonts w:ascii="Abadi" w:hAnsi="Abadi" w:cs="*Arial-7359-Identity-H"/>
          <w:color w:val="0B0B0E"/>
          <w:sz w:val="21"/>
          <w:szCs w:val="21"/>
        </w:rPr>
        <w:t>de funcionamiento, su ubicación, las condiciones físicas y operativas en las que se</w:t>
      </w:r>
      <w:r>
        <w:rPr>
          <w:rFonts w:ascii="Abadi" w:hAnsi="Abadi" w:cs="*Arial-7359-Identity-H"/>
          <w:color w:val="0B0B0E"/>
          <w:sz w:val="21"/>
          <w:szCs w:val="21"/>
        </w:rPr>
        <w:t xml:space="preserve"> </w:t>
      </w:r>
      <w:r w:rsidRPr="00360EC2">
        <w:rPr>
          <w:rFonts w:ascii="Abadi" w:hAnsi="Abadi" w:cs="*Arial-7359-Identity-H"/>
          <w:color w:val="0B0B0E"/>
          <w:sz w:val="21"/>
          <w:szCs w:val="21"/>
        </w:rPr>
        <w:t>encontraba cada dispositivo; por lo que se determinó que cuenta con un área de</w:t>
      </w:r>
      <w:r>
        <w:rPr>
          <w:rFonts w:ascii="Abadi" w:hAnsi="Abadi" w:cs="*Arial-7359-Identity-H"/>
          <w:color w:val="0B0B0E"/>
          <w:sz w:val="21"/>
          <w:szCs w:val="21"/>
        </w:rPr>
        <w:t xml:space="preserve"> </w:t>
      </w:r>
      <w:r w:rsidRPr="00360EC2">
        <w:rPr>
          <w:rFonts w:ascii="Abadi" w:hAnsi="Abadi" w:cs="*Arial-7359-Identity-H"/>
          <w:color w:val="0B0B0E"/>
          <w:sz w:val="21"/>
          <w:szCs w:val="21"/>
        </w:rPr>
        <w:t>oportunidad para generar datos que le permitan conocer la situación real del</w:t>
      </w:r>
      <w:r>
        <w:rPr>
          <w:rFonts w:ascii="Abadi" w:hAnsi="Abadi" w:cs="*Arial-7359-Identity-H"/>
          <w:color w:val="0B0B0E"/>
          <w:sz w:val="21"/>
          <w:szCs w:val="21"/>
        </w:rPr>
        <w:t xml:space="preserve"> </w:t>
      </w:r>
      <w:r w:rsidRPr="00360EC2">
        <w:rPr>
          <w:rFonts w:ascii="Abadi" w:hAnsi="Abadi" w:cs="*Arial-7359-Identity-H"/>
          <w:color w:val="0B0B0E"/>
          <w:sz w:val="21"/>
          <w:szCs w:val="21"/>
        </w:rPr>
        <w:t>Municipio de forma integral, a fin de definir estrategias que le permitan brindar un</w:t>
      </w:r>
      <w:r>
        <w:rPr>
          <w:rFonts w:ascii="Abadi" w:hAnsi="Abadi" w:cs="*Arial-7359-Identity-H"/>
          <w:color w:val="0B0B0E"/>
          <w:sz w:val="21"/>
          <w:szCs w:val="21"/>
        </w:rPr>
        <w:t xml:space="preserve"> </w:t>
      </w:r>
      <w:r w:rsidRPr="00360EC2">
        <w:rPr>
          <w:rFonts w:ascii="Abadi" w:hAnsi="Abadi" w:cs="*Arial-7359-Identity-H"/>
          <w:color w:val="0B0B0E"/>
          <w:sz w:val="21"/>
          <w:szCs w:val="21"/>
        </w:rPr>
        <w:t>mejor servicio a la población.</w:t>
      </w:r>
    </w:p>
    <w:p w14:paraId="50EFA97C" w14:textId="77777777" w:rsidR="00152457" w:rsidRDefault="00152457" w:rsidP="004A6831">
      <w:pPr>
        <w:autoSpaceDE w:val="0"/>
        <w:autoSpaceDN w:val="0"/>
        <w:adjustRightInd w:val="0"/>
        <w:ind w:firstLine="708"/>
        <w:jc w:val="both"/>
        <w:rPr>
          <w:rFonts w:ascii="Abadi" w:hAnsi="Abadi" w:cs="*Arial-7359-Identity-H"/>
          <w:color w:val="0B0B0E"/>
          <w:sz w:val="21"/>
          <w:szCs w:val="21"/>
        </w:rPr>
      </w:pPr>
    </w:p>
    <w:p w14:paraId="31CE167C" w14:textId="3D704C65" w:rsidR="004A6831" w:rsidRDefault="004A6831" w:rsidP="00152457">
      <w:pPr>
        <w:autoSpaceDE w:val="0"/>
        <w:autoSpaceDN w:val="0"/>
        <w:adjustRightInd w:val="0"/>
        <w:ind w:firstLine="708"/>
        <w:jc w:val="both"/>
        <w:rPr>
          <w:rFonts w:ascii="Abadi" w:hAnsi="Abadi" w:cs="*Arial-7359-Identity-H"/>
          <w:color w:val="0C0C0E"/>
          <w:sz w:val="21"/>
          <w:szCs w:val="21"/>
        </w:rPr>
      </w:pPr>
      <w:r w:rsidRPr="00360EC2">
        <w:rPr>
          <w:rFonts w:ascii="Abadi" w:hAnsi="Abadi" w:cs="*Arial-7359-Identity-H"/>
          <w:color w:val="0C0C0E"/>
          <w:sz w:val="21"/>
          <w:szCs w:val="21"/>
        </w:rPr>
        <w:t>De igual forma, se identificó que en el ejer</w:t>
      </w:r>
      <w:r>
        <w:rPr>
          <w:rFonts w:ascii="Abadi" w:hAnsi="Abadi" w:cs="*Arial-7359-Identity-H"/>
          <w:color w:val="0C0C0E"/>
          <w:sz w:val="21"/>
          <w:szCs w:val="21"/>
        </w:rPr>
        <w:t xml:space="preserve">cicio </w:t>
      </w:r>
      <w:r w:rsidRPr="00360EC2">
        <w:rPr>
          <w:rFonts w:ascii="Abadi" w:hAnsi="Abadi" w:cs="*Arial-7359-Identity-H"/>
          <w:color w:val="0C0C0E"/>
          <w:sz w:val="21"/>
          <w:szCs w:val="21"/>
        </w:rPr>
        <w:t>2020 la administración</w:t>
      </w:r>
      <w:r>
        <w:rPr>
          <w:rFonts w:ascii="Abadi" w:hAnsi="Abadi" w:cs="*Arial-7359-Identity-H"/>
          <w:color w:val="0C0C0E"/>
          <w:sz w:val="21"/>
          <w:szCs w:val="21"/>
        </w:rPr>
        <w:t xml:space="preserve"> </w:t>
      </w:r>
      <w:r w:rsidRPr="00360EC2">
        <w:rPr>
          <w:rFonts w:ascii="Abadi" w:hAnsi="Abadi" w:cs="*Arial-7359-Identity-H"/>
          <w:color w:val="0C0C0E"/>
          <w:sz w:val="21"/>
          <w:szCs w:val="21"/>
        </w:rPr>
        <w:t xml:space="preserve">pública municipal de Pueblo Nuevo, </w:t>
      </w:r>
      <w:proofErr w:type="spellStart"/>
      <w:r w:rsidRPr="00360EC2">
        <w:rPr>
          <w:rFonts w:ascii="Abadi" w:hAnsi="Abadi" w:cs="*Arial-7359-Identity-H"/>
          <w:color w:val="0C0C0E"/>
          <w:sz w:val="21"/>
          <w:szCs w:val="21"/>
        </w:rPr>
        <w:t>Gto</w:t>
      </w:r>
      <w:proofErr w:type="spellEnd"/>
      <w:r w:rsidRPr="00360EC2">
        <w:rPr>
          <w:rFonts w:ascii="Abadi" w:hAnsi="Abadi" w:cs="*Arial-7359-Identity-H"/>
          <w:color w:val="0C0C0E"/>
          <w:sz w:val="21"/>
          <w:szCs w:val="21"/>
        </w:rPr>
        <w:t>., no contó con los instrumentos de</w:t>
      </w:r>
      <w:r>
        <w:rPr>
          <w:rFonts w:ascii="Abadi" w:hAnsi="Abadi" w:cs="*Arial-7359-Identity-H"/>
          <w:color w:val="0C0C0E"/>
          <w:sz w:val="21"/>
          <w:szCs w:val="21"/>
        </w:rPr>
        <w:t xml:space="preserve"> </w:t>
      </w:r>
      <w:r w:rsidRPr="00360EC2">
        <w:rPr>
          <w:rFonts w:ascii="Abadi" w:hAnsi="Abadi" w:cs="*Arial-7359-Identity-H"/>
          <w:color w:val="0C0C0E"/>
          <w:sz w:val="21"/>
          <w:szCs w:val="21"/>
        </w:rPr>
        <w:t>planeación de largo, mediano y corto plazo para la prestación del servicio de</w:t>
      </w:r>
      <w:r>
        <w:rPr>
          <w:rFonts w:ascii="Abadi" w:hAnsi="Abadi" w:cs="*Arial-7359-Identity-H"/>
          <w:color w:val="0C0C0E"/>
          <w:sz w:val="21"/>
          <w:szCs w:val="21"/>
        </w:rPr>
        <w:t xml:space="preserve"> </w:t>
      </w:r>
      <w:r w:rsidRPr="00360EC2">
        <w:rPr>
          <w:rFonts w:ascii="Abadi" w:hAnsi="Abadi" w:cs="*Arial-7359-Identity-H"/>
          <w:color w:val="0C0C0E"/>
          <w:sz w:val="21"/>
          <w:szCs w:val="21"/>
        </w:rPr>
        <w:t>alumbrado público, teniendo como efecto que no se contara con objetivos,</w:t>
      </w:r>
      <w:r>
        <w:rPr>
          <w:rFonts w:ascii="Abadi" w:hAnsi="Abadi" w:cs="*Arial-7359-Identity-H"/>
          <w:color w:val="0C0C0E"/>
          <w:sz w:val="21"/>
          <w:szCs w:val="21"/>
        </w:rPr>
        <w:t xml:space="preserve"> </w:t>
      </w:r>
      <w:r w:rsidRPr="00360EC2">
        <w:rPr>
          <w:rFonts w:ascii="Abadi" w:hAnsi="Abadi" w:cs="*Arial-7359-Identity-H"/>
          <w:color w:val="0C0C0E"/>
          <w:sz w:val="21"/>
          <w:szCs w:val="21"/>
        </w:rPr>
        <w:t>estrategias y líneas de acción, en un tiempo determinado, respecto a la cobertura</w:t>
      </w:r>
      <w:r>
        <w:rPr>
          <w:rFonts w:ascii="Abadi" w:hAnsi="Abadi" w:cs="*Arial-7359-Identity-H"/>
          <w:color w:val="0C0C0E"/>
          <w:sz w:val="21"/>
          <w:szCs w:val="21"/>
        </w:rPr>
        <w:t xml:space="preserve"> </w:t>
      </w:r>
      <w:r w:rsidRPr="00360EC2">
        <w:rPr>
          <w:rFonts w:ascii="Abadi" w:hAnsi="Abadi" w:cs="*Arial-7359-Identity-H"/>
          <w:color w:val="0C0C0E"/>
          <w:sz w:val="21"/>
          <w:szCs w:val="21"/>
        </w:rPr>
        <w:t>y mantenimiento (preventivo y correctivo) del servicio de alumbrado público en</w:t>
      </w:r>
      <w:r>
        <w:rPr>
          <w:rFonts w:ascii="Abadi" w:hAnsi="Abadi" w:cs="*Arial-7359-Identity-H"/>
          <w:color w:val="0C0C0E"/>
          <w:sz w:val="21"/>
          <w:szCs w:val="21"/>
        </w:rPr>
        <w:t xml:space="preserve"> </w:t>
      </w:r>
      <w:r w:rsidRPr="00360EC2">
        <w:rPr>
          <w:rFonts w:ascii="Abadi" w:hAnsi="Abadi" w:cs="*Arial-7359-Identity-H"/>
          <w:color w:val="0C0C0E"/>
          <w:sz w:val="21"/>
          <w:szCs w:val="21"/>
        </w:rPr>
        <w:t>beneficio de los habitantes del Municipio, por lo que se consideró que, el servicio</w:t>
      </w:r>
      <w:r>
        <w:rPr>
          <w:rFonts w:ascii="Abadi" w:hAnsi="Abadi" w:cs="*Arial-7359-Identity-H"/>
          <w:color w:val="0C0C0E"/>
          <w:sz w:val="21"/>
          <w:szCs w:val="21"/>
        </w:rPr>
        <w:t xml:space="preserve"> </w:t>
      </w:r>
      <w:r w:rsidRPr="00360EC2">
        <w:rPr>
          <w:rFonts w:ascii="Abadi" w:hAnsi="Abadi" w:cs="*Arial-7359-Identity-H"/>
          <w:color w:val="0C0C0E"/>
          <w:sz w:val="21"/>
          <w:szCs w:val="21"/>
        </w:rPr>
        <w:t>de alumbrado público no fue un tema prioritario para la administración pública</w:t>
      </w:r>
      <w:r>
        <w:rPr>
          <w:rFonts w:ascii="Abadi" w:hAnsi="Abadi" w:cs="*Arial-7359-Identity-H"/>
          <w:color w:val="0C0C0E"/>
          <w:sz w:val="21"/>
          <w:szCs w:val="21"/>
        </w:rPr>
        <w:t xml:space="preserve"> </w:t>
      </w:r>
      <w:r w:rsidRPr="00360EC2">
        <w:rPr>
          <w:rFonts w:ascii="Abadi" w:hAnsi="Abadi" w:cs="*Arial-7359-Identity-H"/>
          <w:color w:val="0C0C0E"/>
          <w:sz w:val="21"/>
          <w:szCs w:val="21"/>
        </w:rPr>
        <w:t>municipal. Por lo que tampoco fue posible identificar su contribución con los</w:t>
      </w:r>
      <w:r>
        <w:rPr>
          <w:rFonts w:ascii="Abadi" w:hAnsi="Abadi" w:cs="*Arial-7359-Identity-H"/>
          <w:color w:val="0C0C0E"/>
          <w:sz w:val="21"/>
          <w:szCs w:val="21"/>
        </w:rPr>
        <w:t xml:space="preserve"> </w:t>
      </w:r>
      <w:r w:rsidRPr="00360EC2">
        <w:rPr>
          <w:rFonts w:ascii="Abadi" w:hAnsi="Abadi" w:cs="*Arial-7359-Identity-H"/>
          <w:color w:val="0C0C0E"/>
          <w:sz w:val="21"/>
          <w:szCs w:val="21"/>
        </w:rPr>
        <w:t>Objetivos de Desarrollo Sostenible de la Agenda 2030, reconocida por el</w:t>
      </w:r>
      <w:r w:rsidR="00152457">
        <w:rPr>
          <w:rFonts w:ascii="Abadi" w:hAnsi="Abadi" w:cs="*Arial-7359-Identity-H"/>
          <w:color w:val="0C0C0E"/>
          <w:sz w:val="21"/>
          <w:szCs w:val="21"/>
        </w:rPr>
        <w:t xml:space="preserve"> </w:t>
      </w:r>
      <w:r w:rsidRPr="00360EC2">
        <w:rPr>
          <w:rFonts w:ascii="Abadi" w:hAnsi="Abadi" w:cs="*Arial-7359-Identity-H"/>
          <w:color w:val="0C0C0E"/>
          <w:sz w:val="21"/>
          <w:szCs w:val="21"/>
        </w:rPr>
        <w:t>Programa Nacional de las Naciones Unidas y la Secretaría de Gobernación.</w:t>
      </w:r>
    </w:p>
    <w:p w14:paraId="4A415775" w14:textId="77777777" w:rsidR="004A6831" w:rsidRPr="00360EC2" w:rsidRDefault="004A6831" w:rsidP="004A6831">
      <w:pPr>
        <w:autoSpaceDE w:val="0"/>
        <w:autoSpaceDN w:val="0"/>
        <w:adjustRightInd w:val="0"/>
        <w:jc w:val="both"/>
        <w:rPr>
          <w:rFonts w:ascii="Abadi" w:hAnsi="Abadi" w:cs="*Arial-7359-Identity-H"/>
          <w:color w:val="0C0C0E"/>
          <w:sz w:val="21"/>
          <w:szCs w:val="21"/>
        </w:rPr>
      </w:pPr>
    </w:p>
    <w:p w14:paraId="47C4F720" w14:textId="77777777" w:rsidR="004A6831" w:rsidRDefault="004A6831" w:rsidP="004A6831">
      <w:pPr>
        <w:autoSpaceDE w:val="0"/>
        <w:autoSpaceDN w:val="0"/>
        <w:adjustRightInd w:val="0"/>
        <w:ind w:firstLine="708"/>
        <w:jc w:val="both"/>
        <w:rPr>
          <w:rFonts w:ascii="Abadi" w:hAnsi="Abadi" w:cs="*Arial-7359-Identity-H"/>
          <w:color w:val="0B0B0E"/>
          <w:sz w:val="21"/>
          <w:szCs w:val="21"/>
        </w:rPr>
      </w:pPr>
      <w:r w:rsidRPr="00360EC2">
        <w:rPr>
          <w:rFonts w:ascii="Abadi" w:hAnsi="Abadi" w:cs="*Arial-7359-Identity-H"/>
          <w:color w:val="0B0B0E"/>
          <w:sz w:val="21"/>
          <w:szCs w:val="21"/>
        </w:rPr>
        <w:t>Adicionalmente, se constató que el sujeto fiscalizado no elaboró un</w:t>
      </w:r>
      <w:r>
        <w:rPr>
          <w:rFonts w:ascii="Abadi" w:hAnsi="Abadi" w:cs="*Arial-7359-Identity-H"/>
          <w:color w:val="0B0B0E"/>
          <w:sz w:val="21"/>
          <w:szCs w:val="21"/>
        </w:rPr>
        <w:t xml:space="preserve"> </w:t>
      </w:r>
      <w:r w:rsidRPr="00360EC2">
        <w:rPr>
          <w:rFonts w:ascii="Abadi" w:hAnsi="Abadi" w:cs="*Arial-7359-Identity-H"/>
          <w:color w:val="0B0B0E"/>
          <w:sz w:val="21"/>
          <w:szCs w:val="21"/>
        </w:rPr>
        <w:t>Programa Operativo Anual como instrumento de planeación-programación a corto</w:t>
      </w:r>
      <w:r>
        <w:rPr>
          <w:rFonts w:ascii="Abadi" w:hAnsi="Abadi" w:cs="*Arial-7359-Identity-H"/>
          <w:color w:val="0B0B0E"/>
          <w:sz w:val="21"/>
          <w:szCs w:val="21"/>
        </w:rPr>
        <w:t xml:space="preserve"> </w:t>
      </w:r>
      <w:r w:rsidRPr="00360EC2">
        <w:rPr>
          <w:rFonts w:ascii="Abadi" w:hAnsi="Abadi" w:cs="*Arial-7359-Identity-H"/>
          <w:color w:val="0B0B0E"/>
          <w:sz w:val="21"/>
          <w:szCs w:val="21"/>
        </w:rPr>
        <w:t>plazo, teniendo como área de oportunidad implementar una herramienta de</w:t>
      </w:r>
      <w:r>
        <w:rPr>
          <w:rFonts w:ascii="Abadi" w:hAnsi="Abadi" w:cs="*Arial-7359-Identity-H"/>
          <w:color w:val="0B0B0E"/>
          <w:sz w:val="21"/>
          <w:szCs w:val="21"/>
        </w:rPr>
        <w:t xml:space="preserve"> </w:t>
      </w:r>
      <w:r w:rsidRPr="00360EC2">
        <w:rPr>
          <w:rFonts w:ascii="Abadi" w:hAnsi="Abadi" w:cs="*Arial-7359-Identity-H"/>
          <w:color w:val="0B0B0E"/>
          <w:sz w:val="21"/>
          <w:szCs w:val="21"/>
        </w:rPr>
        <w:t>planeación, monitoreo y control de los procesos estratégicos y claves para la</w:t>
      </w:r>
      <w:r>
        <w:rPr>
          <w:rFonts w:ascii="Abadi" w:hAnsi="Abadi" w:cs="*Arial-7359-Identity-H"/>
          <w:color w:val="0B0B0E"/>
          <w:sz w:val="21"/>
          <w:szCs w:val="21"/>
        </w:rPr>
        <w:t xml:space="preserve"> </w:t>
      </w:r>
      <w:r w:rsidRPr="00360EC2">
        <w:rPr>
          <w:rFonts w:ascii="Abadi" w:hAnsi="Abadi" w:cs="*Arial-7359-Identity-H"/>
          <w:color w:val="0B0B0E"/>
          <w:sz w:val="21"/>
          <w:szCs w:val="21"/>
        </w:rPr>
        <w:t>administración, conservación, rehabilitación y mejoramiento del servicio de</w:t>
      </w:r>
      <w:r>
        <w:rPr>
          <w:rFonts w:ascii="Abadi" w:hAnsi="Abadi" w:cs="*Arial-7359-Identity-H"/>
          <w:color w:val="0B0B0E"/>
          <w:sz w:val="21"/>
          <w:szCs w:val="21"/>
        </w:rPr>
        <w:t xml:space="preserve"> </w:t>
      </w:r>
      <w:r w:rsidRPr="00360EC2">
        <w:rPr>
          <w:rFonts w:ascii="Abadi" w:hAnsi="Abadi" w:cs="*Arial-7359-Identity-H"/>
          <w:color w:val="0B0B0E"/>
          <w:sz w:val="21"/>
          <w:szCs w:val="21"/>
        </w:rPr>
        <w:t>alumbrado público en un ejercicio presupuesta!, el cual contribuirá al cumplimiento</w:t>
      </w:r>
      <w:r>
        <w:rPr>
          <w:rFonts w:ascii="Abadi" w:hAnsi="Abadi" w:cs="*Arial-7359-Identity-H"/>
          <w:color w:val="0B0B0E"/>
          <w:sz w:val="21"/>
          <w:szCs w:val="21"/>
        </w:rPr>
        <w:t xml:space="preserve"> </w:t>
      </w:r>
      <w:r w:rsidRPr="00360EC2">
        <w:rPr>
          <w:rFonts w:ascii="Abadi" w:hAnsi="Abadi" w:cs="*Arial-7359-Identity-H"/>
          <w:color w:val="0B0B0E"/>
          <w:sz w:val="21"/>
          <w:szCs w:val="21"/>
        </w:rPr>
        <w:t>de los objetivos y estrategias que se deben establecer en el Programa de</w:t>
      </w:r>
      <w:r>
        <w:rPr>
          <w:rFonts w:ascii="Abadi" w:hAnsi="Abadi" w:cs="*Arial-7359-Identity-H"/>
          <w:color w:val="0B0B0E"/>
          <w:sz w:val="21"/>
          <w:szCs w:val="21"/>
        </w:rPr>
        <w:t xml:space="preserve"> </w:t>
      </w:r>
      <w:r w:rsidRPr="00360EC2">
        <w:rPr>
          <w:rFonts w:ascii="Abadi" w:hAnsi="Abadi" w:cs="*Arial-7359-Identity-H"/>
          <w:color w:val="0B0B0E"/>
          <w:sz w:val="21"/>
          <w:szCs w:val="21"/>
        </w:rPr>
        <w:t>Gobierno Municipal, con lo cual se busca otorgar un servicio eficiente.</w:t>
      </w:r>
    </w:p>
    <w:p w14:paraId="6A49555F" w14:textId="77777777" w:rsidR="004A6831" w:rsidRPr="00360EC2" w:rsidRDefault="004A6831" w:rsidP="004A6831">
      <w:pPr>
        <w:autoSpaceDE w:val="0"/>
        <w:autoSpaceDN w:val="0"/>
        <w:adjustRightInd w:val="0"/>
        <w:jc w:val="both"/>
        <w:rPr>
          <w:rFonts w:ascii="Abadi" w:hAnsi="Abadi" w:cs="*Arial-7359-Identity-H"/>
          <w:color w:val="0B0B0E"/>
          <w:sz w:val="21"/>
          <w:szCs w:val="21"/>
        </w:rPr>
      </w:pPr>
    </w:p>
    <w:p w14:paraId="1A5D1A0C" w14:textId="77777777" w:rsidR="004A6831" w:rsidRDefault="004A6831" w:rsidP="004A6831">
      <w:pPr>
        <w:autoSpaceDE w:val="0"/>
        <w:autoSpaceDN w:val="0"/>
        <w:adjustRightInd w:val="0"/>
        <w:ind w:firstLine="708"/>
        <w:jc w:val="both"/>
        <w:rPr>
          <w:rFonts w:ascii="Abadi" w:hAnsi="Abadi" w:cs="*Arial-7409-Identity-H"/>
          <w:color w:val="0C0B0E"/>
          <w:sz w:val="21"/>
          <w:szCs w:val="21"/>
        </w:rPr>
      </w:pPr>
      <w:r w:rsidRPr="00360EC2">
        <w:rPr>
          <w:rFonts w:ascii="Abadi" w:hAnsi="Abadi" w:cs="*Arial-7409-Identity-H"/>
          <w:color w:val="0C0B0E"/>
          <w:sz w:val="21"/>
          <w:szCs w:val="21"/>
        </w:rPr>
        <w:t>No obstante, el sujeto fiscalizado presupuestó recursos para la prestación</w:t>
      </w:r>
      <w:r>
        <w:rPr>
          <w:rFonts w:ascii="Abadi" w:hAnsi="Abadi" w:cs="*Arial-7409-Identity-H"/>
          <w:color w:val="0C0B0E"/>
          <w:sz w:val="21"/>
          <w:szCs w:val="21"/>
        </w:rPr>
        <w:t xml:space="preserve"> </w:t>
      </w:r>
      <w:r w:rsidRPr="00360EC2">
        <w:rPr>
          <w:rFonts w:ascii="Abadi" w:hAnsi="Abadi" w:cs="*Arial-7409-Identity-H"/>
          <w:color w:val="0C0B0E"/>
          <w:sz w:val="21"/>
          <w:szCs w:val="21"/>
        </w:rPr>
        <w:t xml:space="preserve">del servicio de alumbrado público bajo el </w:t>
      </w:r>
      <w:r w:rsidRPr="00360EC2">
        <w:rPr>
          <w:rFonts w:ascii="Abadi" w:hAnsi="Abadi" w:cs="*Arial-Italic-7410-Identity-H"/>
          <w:i/>
          <w:iCs/>
          <w:color w:val="0C0B0E"/>
          <w:sz w:val="21"/>
          <w:szCs w:val="21"/>
        </w:rPr>
        <w:t xml:space="preserve">Programa de Alumbrado Público, </w:t>
      </w:r>
      <w:r w:rsidRPr="00360EC2">
        <w:rPr>
          <w:rFonts w:ascii="Abadi" w:hAnsi="Abadi" w:cs="*Arial-7409-Identity-H"/>
          <w:color w:val="0C0B0E"/>
          <w:sz w:val="21"/>
          <w:szCs w:val="21"/>
        </w:rPr>
        <w:t>sin</w:t>
      </w:r>
      <w:r>
        <w:rPr>
          <w:rFonts w:ascii="Abadi" w:hAnsi="Abadi" w:cs="*Arial-7409-Identity-H"/>
          <w:color w:val="0C0B0E"/>
          <w:sz w:val="21"/>
          <w:szCs w:val="21"/>
        </w:rPr>
        <w:t xml:space="preserve"> </w:t>
      </w:r>
      <w:r w:rsidRPr="00360EC2">
        <w:rPr>
          <w:rFonts w:ascii="Abadi" w:hAnsi="Abadi" w:cs="*Arial-7409-Identity-H"/>
          <w:color w:val="0C0B0E"/>
          <w:sz w:val="21"/>
          <w:szCs w:val="21"/>
        </w:rPr>
        <w:t>disponer de un proceso documentado para dicha presupuestación.</w:t>
      </w:r>
    </w:p>
    <w:p w14:paraId="00BCED7E" w14:textId="77777777" w:rsidR="004A6831" w:rsidRPr="00360EC2" w:rsidRDefault="004A6831" w:rsidP="004A6831">
      <w:pPr>
        <w:autoSpaceDE w:val="0"/>
        <w:autoSpaceDN w:val="0"/>
        <w:adjustRightInd w:val="0"/>
        <w:jc w:val="both"/>
        <w:rPr>
          <w:rFonts w:ascii="Abadi" w:hAnsi="Abadi" w:cs="*Arial-7409-Identity-H"/>
          <w:color w:val="0C0B0E"/>
          <w:sz w:val="21"/>
          <w:szCs w:val="21"/>
        </w:rPr>
      </w:pPr>
    </w:p>
    <w:p w14:paraId="096F6E3E" w14:textId="76ECB4B4" w:rsidR="004A6831" w:rsidRDefault="004A6831" w:rsidP="004A6831">
      <w:pPr>
        <w:autoSpaceDE w:val="0"/>
        <w:autoSpaceDN w:val="0"/>
        <w:adjustRightInd w:val="0"/>
        <w:jc w:val="both"/>
        <w:rPr>
          <w:rFonts w:ascii="Abadi" w:hAnsi="Abadi" w:cs="*Arial-7409-Identity-H"/>
          <w:color w:val="0B0B0E"/>
          <w:sz w:val="21"/>
          <w:szCs w:val="21"/>
        </w:rPr>
      </w:pPr>
      <w:r w:rsidRPr="00360EC2">
        <w:rPr>
          <w:rFonts w:ascii="Abadi" w:hAnsi="Abadi" w:cs="*Arial-7409-Identity-H"/>
          <w:color w:val="0B0B0E"/>
          <w:sz w:val="21"/>
          <w:szCs w:val="21"/>
        </w:rPr>
        <w:t>Por lo que hace a la función de la operación del servicio de alumbrado</w:t>
      </w:r>
      <w:r>
        <w:rPr>
          <w:rFonts w:ascii="Abadi" w:hAnsi="Abadi" w:cs="*Arial-7409-Identity-H"/>
          <w:color w:val="0B0B0E"/>
          <w:sz w:val="21"/>
          <w:szCs w:val="21"/>
        </w:rPr>
        <w:t xml:space="preserve"> </w:t>
      </w:r>
      <w:r w:rsidRPr="00360EC2">
        <w:rPr>
          <w:rFonts w:ascii="Abadi" w:hAnsi="Abadi" w:cs="*Arial-7409-Identity-H"/>
          <w:color w:val="0B0B0E"/>
          <w:sz w:val="21"/>
          <w:szCs w:val="21"/>
        </w:rPr>
        <w:t>público, se reconoce que su finalidad es su eficiente y eficaz funcionamiento, lo</w:t>
      </w:r>
      <w:r>
        <w:rPr>
          <w:rFonts w:ascii="Abadi" w:hAnsi="Abadi" w:cs="*Arial-7409-Identity-H"/>
          <w:color w:val="0B0B0E"/>
          <w:sz w:val="21"/>
          <w:szCs w:val="21"/>
        </w:rPr>
        <w:t xml:space="preserve"> </w:t>
      </w:r>
      <w:r w:rsidRPr="00360EC2">
        <w:rPr>
          <w:rFonts w:ascii="Abadi" w:hAnsi="Abadi" w:cs="*Arial-7409-Identity-H"/>
          <w:color w:val="0B0B0E"/>
          <w:sz w:val="21"/>
          <w:szCs w:val="21"/>
        </w:rPr>
        <w:t>cual depende de los documentos normativos y de la definición clara de procesos</w:t>
      </w:r>
      <w:r>
        <w:rPr>
          <w:rFonts w:ascii="Abadi" w:hAnsi="Abadi" w:cs="*Arial-7409-Identity-H"/>
          <w:color w:val="0B0B0E"/>
          <w:sz w:val="21"/>
          <w:szCs w:val="21"/>
        </w:rPr>
        <w:t xml:space="preserve"> </w:t>
      </w:r>
      <w:r w:rsidRPr="00360EC2">
        <w:rPr>
          <w:rFonts w:ascii="Abadi" w:hAnsi="Abadi" w:cs="*Arial-7409-Identity-H"/>
          <w:color w:val="0B0B0E"/>
          <w:sz w:val="21"/>
          <w:szCs w:val="21"/>
        </w:rPr>
        <w:t>clave que garanticen su operatividad; así como de contar con programas anuales</w:t>
      </w:r>
      <w:r>
        <w:rPr>
          <w:rFonts w:ascii="Abadi" w:hAnsi="Abadi" w:cs="*Arial-7409-Identity-H"/>
          <w:color w:val="0B0B0E"/>
          <w:sz w:val="21"/>
          <w:szCs w:val="21"/>
        </w:rPr>
        <w:t xml:space="preserve"> </w:t>
      </w:r>
      <w:r w:rsidRPr="00360EC2">
        <w:rPr>
          <w:rFonts w:ascii="Abadi" w:hAnsi="Abadi" w:cs="*Arial-7409-Identity-H"/>
          <w:color w:val="0B0B0E"/>
          <w:sz w:val="21"/>
          <w:szCs w:val="21"/>
        </w:rPr>
        <w:t>orientados a la mejora, y de brindar un servicio y una atención de calidad a la</w:t>
      </w:r>
      <w:r w:rsidR="00152457">
        <w:rPr>
          <w:rFonts w:ascii="Abadi" w:hAnsi="Abadi" w:cs="*Arial-7409-Identity-H"/>
          <w:color w:val="0B0B0E"/>
          <w:sz w:val="21"/>
          <w:szCs w:val="21"/>
        </w:rPr>
        <w:t xml:space="preserve"> </w:t>
      </w:r>
      <w:r w:rsidRPr="00360EC2">
        <w:rPr>
          <w:rFonts w:ascii="Abadi" w:hAnsi="Abadi" w:cs="*Arial-7409-Identity-H"/>
          <w:color w:val="0B0B0E"/>
          <w:sz w:val="21"/>
          <w:szCs w:val="21"/>
        </w:rPr>
        <w:t>población.</w:t>
      </w:r>
    </w:p>
    <w:p w14:paraId="12E504A3" w14:textId="77777777" w:rsidR="004A6831" w:rsidRPr="00360EC2" w:rsidRDefault="004A6831" w:rsidP="004A6831">
      <w:pPr>
        <w:autoSpaceDE w:val="0"/>
        <w:autoSpaceDN w:val="0"/>
        <w:adjustRightInd w:val="0"/>
        <w:jc w:val="both"/>
        <w:rPr>
          <w:rFonts w:ascii="Abadi" w:hAnsi="Abadi" w:cs="*Arial-7409-Identity-H"/>
          <w:color w:val="0B0B0E"/>
          <w:sz w:val="21"/>
          <w:szCs w:val="21"/>
        </w:rPr>
      </w:pPr>
    </w:p>
    <w:p w14:paraId="76EF98F5" w14:textId="77777777" w:rsidR="004A6831" w:rsidRDefault="004A6831" w:rsidP="004A6831">
      <w:pPr>
        <w:autoSpaceDE w:val="0"/>
        <w:autoSpaceDN w:val="0"/>
        <w:adjustRightInd w:val="0"/>
        <w:ind w:firstLine="708"/>
        <w:jc w:val="both"/>
        <w:rPr>
          <w:rFonts w:ascii="Abadi" w:hAnsi="Abadi" w:cs="*Arial-7409-Identity-H"/>
          <w:color w:val="0C0C0F"/>
          <w:sz w:val="21"/>
          <w:szCs w:val="21"/>
        </w:rPr>
      </w:pPr>
      <w:r w:rsidRPr="00360EC2">
        <w:rPr>
          <w:rFonts w:ascii="Abadi" w:hAnsi="Abadi" w:cs="*Arial-7409-Identity-H"/>
          <w:color w:val="0C0C0F"/>
          <w:sz w:val="21"/>
          <w:szCs w:val="21"/>
        </w:rPr>
        <w:t>En este sentido, en relación a los documentos normativos, el sujeto</w:t>
      </w:r>
      <w:r>
        <w:rPr>
          <w:rFonts w:ascii="Abadi" w:hAnsi="Abadi" w:cs="*Arial-7409-Identity-H"/>
          <w:color w:val="0C0C0F"/>
          <w:sz w:val="21"/>
          <w:szCs w:val="21"/>
        </w:rPr>
        <w:t xml:space="preserve"> </w:t>
      </w:r>
      <w:r w:rsidRPr="00360EC2">
        <w:rPr>
          <w:rFonts w:ascii="Abadi" w:hAnsi="Abadi" w:cs="*Arial-7409-Identity-H"/>
          <w:color w:val="0C0C0F"/>
          <w:sz w:val="21"/>
          <w:szCs w:val="21"/>
        </w:rPr>
        <w:t>fiscalizado para el ejercicio 2020, dispuso del Reglamento Orgánico del Municipio</w:t>
      </w:r>
      <w:r>
        <w:rPr>
          <w:rFonts w:ascii="Abadi" w:hAnsi="Abadi" w:cs="*Arial-7409-Identity-H"/>
          <w:color w:val="0C0C0F"/>
          <w:sz w:val="21"/>
          <w:szCs w:val="21"/>
        </w:rPr>
        <w:t xml:space="preserve"> </w:t>
      </w:r>
      <w:r w:rsidRPr="00360EC2">
        <w:rPr>
          <w:rFonts w:ascii="Abadi" w:hAnsi="Abadi" w:cs="*Arial-7409-Identity-H"/>
          <w:color w:val="0C0C0F"/>
          <w:sz w:val="21"/>
          <w:szCs w:val="21"/>
        </w:rPr>
        <w:t>de Pueblo Nuevo, Guanajuato, sin embargo, en el mismo únicamente se detallan</w:t>
      </w:r>
      <w:r>
        <w:rPr>
          <w:rFonts w:ascii="Abadi" w:hAnsi="Abadi" w:cs="*Arial-7409-Identity-H"/>
          <w:color w:val="0C0C0F"/>
          <w:sz w:val="21"/>
          <w:szCs w:val="21"/>
        </w:rPr>
        <w:t xml:space="preserve"> </w:t>
      </w:r>
      <w:r w:rsidRPr="00360EC2">
        <w:rPr>
          <w:rFonts w:ascii="Abadi" w:hAnsi="Abadi" w:cs="*Arial-7409-Identity-H"/>
          <w:color w:val="0C0C0F"/>
          <w:sz w:val="21"/>
          <w:szCs w:val="21"/>
        </w:rPr>
        <w:t>de manera general, las atribuciones de la Dirección de Servicios Municipales,</w:t>
      </w:r>
      <w:r>
        <w:rPr>
          <w:rFonts w:ascii="Abadi" w:hAnsi="Abadi" w:cs="*Arial-7409-Identity-H"/>
          <w:color w:val="0C0C0F"/>
          <w:sz w:val="21"/>
          <w:szCs w:val="21"/>
        </w:rPr>
        <w:t xml:space="preserve"> </w:t>
      </w:r>
      <w:r w:rsidRPr="00360EC2">
        <w:rPr>
          <w:rFonts w:ascii="Abadi" w:hAnsi="Abadi" w:cs="*Arial-7409-Identity-H"/>
          <w:color w:val="0C0C0F"/>
          <w:sz w:val="21"/>
          <w:szCs w:val="21"/>
        </w:rPr>
        <w:t>presentando un área de oportunidad para su fortalecimiento estableciendo las</w:t>
      </w:r>
      <w:r>
        <w:rPr>
          <w:rFonts w:ascii="Abadi" w:hAnsi="Abadi" w:cs="*Arial-7409-Identity-H"/>
          <w:color w:val="0C0C0F"/>
          <w:sz w:val="21"/>
          <w:szCs w:val="21"/>
        </w:rPr>
        <w:t xml:space="preserve"> </w:t>
      </w:r>
      <w:r w:rsidRPr="00360EC2">
        <w:rPr>
          <w:rFonts w:ascii="Abadi" w:hAnsi="Abadi" w:cs="*Arial-7409-Identity-H"/>
          <w:color w:val="0C0C0F"/>
          <w:sz w:val="21"/>
          <w:szCs w:val="21"/>
        </w:rPr>
        <w:t>bases para la regulación del servicio de alumbrado público, su organización y</w:t>
      </w:r>
      <w:r>
        <w:rPr>
          <w:rFonts w:ascii="Abadi" w:hAnsi="Abadi" w:cs="*Arial-7409-Identity-H"/>
          <w:color w:val="0C0C0F"/>
          <w:sz w:val="21"/>
          <w:szCs w:val="21"/>
        </w:rPr>
        <w:t xml:space="preserve"> </w:t>
      </w:r>
      <w:r w:rsidRPr="00360EC2">
        <w:rPr>
          <w:rFonts w:ascii="Abadi" w:hAnsi="Abadi" w:cs="*Arial-7409-Identity-H"/>
          <w:color w:val="0C0C0F"/>
          <w:sz w:val="21"/>
          <w:szCs w:val="21"/>
        </w:rPr>
        <w:t>estructura, garantizando su prestación desde la planeación, ejecución, monitoreo,</w:t>
      </w:r>
      <w:r>
        <w:rPr>
          <w:rFonts w:ascii="Abadi" w:hAnsi="Abadi" w:cs="*Arial-7409-Identity-H"/>
          <w:color w:val="0C0C0F"/>
          <w:sz w:val="21"/>
          <w:szCs w:val="21"/>
        </w:rPr>
        <w:t xml:space="preserve"> </w:t>
      </w:r>
      <w:r w:rsidRPr="00360EC2">
        <w:rPr>
          <w:rFonts w:ascii="Abadi" w:hAnsi="Abadi" w:cs="*Arial-7409-Identity-H"/>
          <w:color w:val="0C0C0F"/>
          <w:sz w:val="21"/>
          <w:szCs w:val="21"/>
        </w:rPr>
        <w:t>mantenimiento y modernización.</w:t>
      </w:r>
    </w:p>
    <w:p w14:paraId="60CBF499" w14:textId="77777777" w:rsidR="004A6831" w:rsidRPr="00360EC2" w:rsidRDefault="004A6831" w:rsidP="004A6831">
      <w:pPr>
        <w:autoSpaceDE w:val="0"/>
        <w:autoSpaceDN w:val="0"/>
        <w:adjustRightInd w:val="0"/>
        <w:jc w:val="both"/>
        <w:rPr>
          <w:rFonts w:ascii="Abadi" w:hAnsi="Abadi" w:cs="*Arial-7409-Identity-H"/>
          <w:color w:val="0C0C0F"/>
          <w:sz w:val="21"/>
          <w:szCs w:val="21"/>
        </w:rPr>
      </w:pPr>
    </w:p>
    <w:p w14:paraId="0B738CB1" w14:textId="77777777" w:rsidR="004A6831" w:rsidRDefault="004A6831" w:rsidP="004A6831">
      <w:pPr>
        <w:autoSpaceDE w:val="0"/>
        <w:autoSpaceDN w:val="0"/>
        <w:adjustRightInd w:val="0"/>
        <w:ind w:firstLine="708"/>
        <w:jc w:val="both"/>
        <w:rPr>
          <w:rFonts w:ascii="Abadi" w:hAnsi="Abadi" w:cs="*Arial-7409-Identity-H"/>
          <w:color w:val="0D0D10"/>
          <w:sz w:val="21"/>
          <w:szCs w:val="21"/>
        </w:rPr>
      </w:pPr>
      <w:r w:rsidRPr="00360EC2">
        <w:rPr>
          <w:rFonts w:ascii="Abadi" w:hAnsi="Abadi" w:cs="*Arial-7409-Identity-H"/>
          <w:color w:val="0D0D10"/>
          <w:sz w:val="21"/>
          <w:szCs w:val="21"/>
        </w:rPr>
        <w:t>De igual forma, contó con el Manual de Funciones del Servicio de</w:t>
      </w:r>
      <w:r>
        <w:rPr>
          <w:rFonts w:ascii="Abadi" w:hAnsi="Abadi" w:cs="*Arial-7409-Identity-H"/>
          <w:color w:val="0D0D10"/>
          <w:sz w:val="21"/>
          <w:szCs w:val="21"/>
        </w:rPr>
        <w:t xml:space="preserve"> </w:t>
      </w:r>
      <w:r w:rsidRPr="00360EC2">
        <w:rPr>
          <w:rFonts w:ascii="Abadi" w:hAnsi="Abadi" w:cs="*Arial-7409-Identity-H"/>
          <w:color w:val="0D0D10"/>
          <w:sz w:val="21"/>
          <w:szCs w:val="21"/>
        </w:rPr>
        <w:t>Alumbrado Público; sin embargo, este careció del marco jurídico para darle</w:t>
      </w:r>
      <w:r>
        <w:rPr>
          <w:rFonts w:ascii="Abadi" w:hAnsi="Abadi" w:cs="*Arial-7409-Identity-H"/>
          <w:color w:val="0D0D10"/>
          <w:sz w:val="21"/>
          <w:szCs w:val="21"/>
        </w:rPr>
        <w:t xml:space="preserve"> </w:t>
      </w:r>
      <w:r w:rsidRPr="00360EC2">
        <w:rPr>
          <w:rFonts w:ascii="Abadi" w:hAnsi="Abadi" w:cs="*Arial-7409-Identity-H"/>
          <w:color w:val="0D0D10"/>
          <w:sz w:val="21"/>
          <w:szCs w:val="21"/>
        </w:rPr>
        <w:t>sustento; de las atribuciones de los puestos que integran el área; y de la</w:t>
      </w:r>
      <w:r>
        <w:rPr>
          <w:rFonts w:ascii="Abadi" w:hAnsi="Abadi" w:cs="*Arial-7409-Identity-H"/>
          <w:color w:val="0D0D10"/>
          <w:sz w:val="21"/>
          <w:szCs w:val="21"/>
        </w:rPr>
        <w:t xml:space="preserve"> </w:t>
      </w:r>
      <w:r w:rsidRPr="00360EC2">
        <w:rPr>
          <w:rFonts w:ascii="Abadi" w:hAnsi="Abadi" w:cs="*Arial-7409-Identity-H"/>
          <w:color w:val="0D0D10"/>
          <w:sz w:val="21"/>
          <w:szCs w:val="21"/>
        </w:rPr>
        <w:t>autorización y vigencia; asimismo, no precisó los procesos clave del servicio y de</w:t>
      </w:r>
      <w:r>
        <w:rPr>
          <w:rFonts w:ascii="Abadi" w:hAnsi="Abadi" w:cs="*Arial-7409-Identity-H"/>
          <w:color w:val="0D0D10"/>
          <w:sz w:val="21"/>
          <w:szCs w:val="21"/>
        </w:rPr>
        <w:t xml:space="preserve"> </w:t>
      </w:r>
      <w:r w:rsidRPr="00360EC2">
        <w:rPr>
          <w:rFonts w:ascii="Abadi" w:hAnsi="Abadi" w:cs="*Arial-7409-Identity-H"/>
          <w:color w:val="0D0D10"/>
          <w:sz w:val="21"/>
          <w:szCs w:val="21"/>
        </w:rPr>
        <w:t>estos no se estableció su diagramación, formatos o instructivos, lo que puede</w:t>
      </w:r>
      <w:r>
        <w:rPr>
          <w:rFonts w:ascii="Abadi" w:hAnsi="Abadi" w:cs="*Arial-7409-Identity-H"/>
          <w:color w:val="0D0D10"/>
          <w:sz w:val="21"/>
          <w:szCs w:val="21"/>
        </w:rPr>
        <w:t xml:space="preserve"> </w:t>
      </w:r>
      <w:r w:rsidRPr="00360EC2">
        <w:rPr>
          <w:rFonts w:ascii="Abadi" w:hAnsi="Abadi" w:cs="*Arial-7409-Identity-H"/>
          <w:color w:val="0D0D10"/>
          <w:sz w:val="21"/>
          <w:szCs w:val="21"/>
        </w:rPr>
        <w:t>poner en riesgo la operación del servicio, al desconocer de manera específica, las</w:t>
      </w:r>
      <w:r>
        <w:rPr>
          <w:rFonts w:ascii="Abadi" w:hAnsi="Abadi" w:cs="*Arial-7409-Identity-H"/>
          <w:color w:val="0D0D10"/>
          <w:sz w:val="21"/>
          <w:szCs w:val="21"/>
        </w:rPr>
        <w:t xml:space="preserve"> </w:t>
      </w:r>
      <w:r w:rsidRPr="00360EC2">
        <w:rPr>
          <w:rFonts w:ascii="Abadi" w:hAnsi="Abadi" w:cs="*Arial-7409-Identity-H"/>
          <w:color w:val="0D0D10"/>
          <w:sz w:val="21"/>
          <w:szCs w:val="21"/>
        </w:rPr>
        <w:t>atribuciones, las facultades, la organización, el alcance y la mecánica operativa</w:t>
      </w:r>
      <w:r>
        <w:rPr>
          <w:rFonts w:ascii="Abadi" w:hAnsi="Abadi" w:cs="*Arial-7409-Identity-H"/>
          <w:color w:val="0D0D10"/>
          <w:sz w:val="21"/>
          <w:szCs w:val="21"/>
        </w:rPr>
        <w:t xml:space="preserve"> </w:t>
      </w:r>
      <w:r w:rsidRPr="00360EC2">
        <w:rPr>
          <w:rFonts w:ascii="Abadi" w:hAnsi="Abadi" w:cs="*Arial-7409-Identity-H"/>
          <w:color w:val="0D0D10"/>
          <w:sz w:val="21"/>
          <w:szCs w:val="21"/>
        </w:rPr>
        <w:t>para prestar el servicio público.</w:t>
      </w:r>
    </w:p>
    <w:p w14:paraId="6AE9267C" w14:textId="77777777" w:rsidR="004A6831" w:rsidRPr="00360EC2" w:rsidRDefault="004A6831" w:rsidP="004A6831">
      <w:pPr>
        <w:autoSpaceDE w:val="0"/>
        <w:autoSpaceDN w:val="0"/>
        <w:adjustRightInd w:val="0"/>
        <w:jc w:val="both"/>
        <w:rPr>
          <w:rFonts w:ascii="Abadi" w:hAnsi="Abadi" w:cs="*Arial-7409-Identity-H"/>
          <w:color w:val="0D0D10"/>
          <w:sz w:val="21"/>
          <w:szCs w:val="21"/>
        </w:rPr>
      </w:pPr>
    </w:p>
    <w:p w14:paraId="0D764821" w14:textId="77777777" w:rsidR="004A6831" w:rsidRDefault="004A6831" w:rsidP="004A6831">
      <w:pPr>
        <w:autoSpaceDE w:val="0"/>
        <w:autoSpaceDN w:val="0"/>
        <w:adjustRightInd w:val="0"/>
        <w:ind w:firstLine="708"/>
        <w:jc w:val="both"/>
        <w:rPr>
          <w:rFonts w:ascii="Abadi" w:hAnsi="Abadi" w:cs="*Arial-7409-Identity-H"/>
          <w:color w:val="0D0C10"/>
          <w:sz w:val="21"/>
          <w:szCs w:val="21"/>
        </w:rPr>
      </w:pPr>
      <w:r w:rsidRPr="00360EC2">
        <w:rPr>
          <w:rFonts w:ascii="Abadi" w:hAnsi="Abadi" w:cs="*Arial-7409-Identity-H"/>
          <w:color w:val="0D0C10"/>
          <w:sz w:val="21"/>
          <w:szCs w:val="21"/>
        </w:rPr>
        <w:t>Por lo que hace a la capacidad del sujeto fiscalizado para garantizar una</w:t>
      </w:r>
      <w:r>
        <w:rPr>
          <w:rFonts w:ascii="Abadi" w:hAnsi="Abadi" w:cs="*Arial-7409-Identity-H"/>
          <w:color w:val="0D0C10"/>
          <w:sz w:val="21"/>
          <w:szCs w:val="21"/>
        </w:rPr>
        <w:t xml:space="preserve"> </w:t>
      </w:r>
      <w:r w:rsidRPr="00360EC2">
        <w:rPr>
          <w:rFonts w:ascii="Abadi" w:hAnsi="Abadi" w:cs="*Arial-7409-Identity-H"/>
          <w:color w:val="0D0C10"/>
          <w:sz w:val="21"/>
          <w:szCs w:val="21"/>
        </w:rPr>
        <w:t>prestación permanente y efectiva del servicio de alumbrado público, se analizó la</w:t>
      </w:r>
      <w:r>
        <w:rPr>
          <w:rFonts w:ascii="Abadi" w:hAnsi="Abadi" w:cs="*Arial-7409-Identity-H"/>
          <w:color w:val="0D0C10"/>
          <w:sz w:val="21"/>
          <w:szCs w:val="21"/>
        </w:rPr>
        <w:t xml:space="preserve"> </w:t>
      </w:r>
      <w:r w:rsidRPr="00360EC2">
        <w:rPr>
          <w:rFonts w:ascii="Abadi" w:hAnsi="Abadi" w:cs="*Arial-7409-Identity-H"/>
          <w:color w:val="0D0C10"/>
          <w:sz w:val="21"/>
          <w:szCs w:val="21"/>
        </w:rPr>
        <w:t>calidad de la información relativa a los logros en materia de mantenimiento, así</w:t>
      </w:r>
      <w:r>
        <w:rPr>
          <w:rFonts w:ascii="Abadi" w:hAnsi="Abadi" w:cs="*Arial-7409-Identity-H"/>
          <w:color w:val="0D0C10"/>
          <w:sz w:val="21"/>
          <w:szCs w:val="21"/>
        </w:rPr>
        <w:t xml:space="preserve"> </w:t>
      </w:r>
      <w:r w:rsidRPr="00360EC2">
        <w:rPr>
          <w:rFonts w:ascii="Abadi" w:hAnsi="Abadi" w:cs="*Arial-7409-Identity-H"/>
          <w:color w:val="0D0C10"/>
          <w:sz w:val="21"/>
          <w:szCs w:val="21"/>
        </w:rPr>
        <w:t>como la correspondiente a la cobertura y satisfacción ciudadana.</w:t>
      </w:r>
    </w:p>
    <w:p w14:paraId="0DB9CED1" w14:textId="77777777" w:rsidR="004A6831" w:rsidRPr="00360EC2" w:rsidRDefault="004A6831" w:rsidP="004A6831">
      <w:pPr>
        <w:autoSpaceDE w:val="0"/>
        <w:autoSpaceDN w:val="0"/>
        <w:adjustRightInd w:val="0"/>
        <w:jc w:val="both"/>
        <w:rPr>
          <w:rFonts w:ascii="Abadi" w:hAnsi="Abadi" w:cs="*Arial-7409-Identity-H"/>
          <w:color w:val="0D0C10"/>
          <w:sz w:val="21"/>
          <w:szCs w:val="21"/>
        </w:rPr>
      </w:pPr>
    </w:p>
    <w:p w14:paraId="2C3FDD93" w14:textId="77777777" w:rsidR="004A6831" w:rsidRDefault="004A6831" w:rsidP="004A6831">
      <w:pPr>
        <w:autoSpaceDE w:val="0"/>
        <w:autoSpaceDN w:val="0"/>
        <w:adjustRightInd w:val="0"/>
        <w:ind w:firstLine="708"/>
        <w:jc w:val="both"/>
        <w:rPr>
          <w:rFonts w:ascii="Abadi" w:hAnsi="Abadi" w:cs="*Arial-7224-Identity-H"/>
          <w:color w:val="0C0B0E"/>
          <w:sz w:val="21"/>
          <w:szCs w:val="21"/>
        </w:rPr>
      </w:pPr>
      <w:r w:rsidRPr="00360EC2">
        <w:rPr>
          <w:rFonts w:ascii="Abadi" w:hAnsi="Abadi" w:cs="*Arial-7409-Identity-H"/>
          <w:color w:val="0D0C10"/>
          <w:sz w:val="21"/>
          <w:szCs w:val="21"/>
        </w:rPr>
        <w:t>Respecto a las acciones de mantenimiento, el sujeto fiscalizado contó con</w:t>
      </w:r>
      <w:r>
        <w:rPr>
          <w:rFonts w:ascii="Abadi" w:hAnsi="Abadi" w:cs="*Arial-7409-Identity-H"/>
          <w:color w:val="0D0C10"/>
          <w:sz w:val="21"/>
          <w:szCs w:val="21"/>
        </w:rPr>
        <w:t xml:space="preserve"> </w:t>
      </w:r>
      <w:r w:rsidRPr="00360EC2">
        <w:rPr>
          <w:rFonts w:ascii="Abadi" w:hAnsi="Abadi" w:cs="*Arial-7409-Identity-H"/>
          <w:color w:val="0D0C10"/>
          <w:sz w:val="21"/>
          <w:szCs w:val="21"/>
        </w:rPr>
        <w:t>un proceso documentado para la atención de reportes ciudadanos por fallas en el</w:t>
      </w:r>
      <w:r>
        <w:rPr>
          <w:rFonts w:ascii="Abadi" w:hAnsi="Abadi" w:cs="*Arial-7409-Identity-H"/>
          <w:color w:val="0D0C10"/>
          <w:sz w:val="21"/>
          <w:szCs w:val="21"/>
        </w:rPr>
        <w:t xml:space="preserve"> </w:t>
      </w:r>
      <w:r w:rsidRPr="00360EC2">
        <w:rPr>
          <w:rFonts w:ascii="Abadi" w:hAnsi="Abadi" w:cs="*Arial-7409-Identity-H"/>
          <w:color w:val="0D0C10"/>
          <w:sz w:val="21"/>
          <w:szCs w:val="21"/>
        </w:rPr>
        <w:t>servicio de alumbrado público, las cuales, según manifestación del propio sujeto</w:t>
      </w:r>
      <w:r>
        <w:rPr>
          <w:rFonts w:ascii="Abadi" w:hAnsi="Abadi" w:cs="*Arial-7409-Identity-H"/>
          <w:color w:val="0D0C10"/>
          <w:sz w:val="21"/>
          <w:szCs w:val="21"/>
        </w:rPr>
        <w:t xml:space="preserve"> </w:t>
      </w:r>
      <w:r w:rsidRPr="00360EC2">
        <w:rPr>
          <w:rFonts w:ascii="Abadi" w:hAnsi="Abadi" w:cs="*Arial-7409-Identity-H"/>
          <w:color w:val="0D0C10"/>
          <w:sz w:val="21"/>
          <w:szCs w:val="21"/>
        </w:rPr>
        <w:t>fiscalizado, se atienden en un plazo de dos días; asimismo, se contó con una base</w:t>
      </w:r>
      <w:r>
        <w:rPr>
          <w:rFonts w:ascii="Abadi" w:hAnsi="Abadi" w:cs="*Arial-7409-Identity-H"/>
          <w:color w:val="0D0C10"/>
          <w:sz w:val="21"/>
          <w:szCs w:val="21"/>
        </w:rPr>
        <w:t xml:space="preserve"> </w:t>
      </w:r>
      <w:r w:rsidRPr="00360EC2">
        <w:rPr>
          <w:rFonts w:ascii="Abadi" w:hAnsi="Abadi" w:cs="*Arial-7409-Identity-H"/>
          <w:color w:val="0D0C10"/>
          <w:sz w:val="21"/>
          <w:szCs w:val="21"/>
        </w:rPr>
        <w:t>de datos para la gestión de los reportes; sin embargo, la base de datos no permitió</w:t>
      </w:r>
      <w:r>
        <w:rPr>
          <w:rFonts w:ascii="Abadi" w:hAnsi="Abadi" w:cs="*Arial-7409-Identity-H"/>
          <w:color w:val="0D0C10"/>
          <w:sz w:val="21"/>
          <w:szCs w:val="21"/>
        </w:rPr>
        <w:t xml:space="preserve"> </w:t>
      </w:r>
      <w:r w:rsidRPr="00360EC2">
        <w:rPr>
          <w:rFonts w:ascii="Abadi" w:hAnsi="Abadi" w:cs="*Arial-7409-Identity-H"/>
          <w:color w:val="0D0C10"/>
          <w:sz w:val="21"/>
          <w:szCs w:val="21"/>
        </w:rPr>
        <w:t>identificar la fecha de la elaboración del reporte, el estatus del reporte (atendido</w:t>
      </w:r>
      <w:r>
        <w:rPr>
          <w:rFonts w:ascii="Abadi" w:hAnsi="Abadi" w:cs="*Arial-7409-Identity-H"/>
          <w:color w:val="0D0C10"/>
          <w:sz w:val="21"/>
          <w:szCs w:val="21"/>
        </w:rPr>
        <w:t xml:space="preserve"> el </w:t>
      </w:r>
      <w:r>
        <w:rPr>
          <w:rFonts w:ascii="Abadi" w:hAnsi="Abadi" w:cs="*Arial-7224-Identity-H"/>
          <w:color w:val="0C0B0E"/>
          <w:sz w:val="21"/>
          <w:szCs w:val="21"/>
        </w:rPr>
        <w:t>a</w:t>
      </w:r>
      <w:r w:rsidRPr="00360EC2">
        <w:rPr>
          <w:rFonts w:ascii="Abadi" w:hAnsi="Abadi" w:cs="*Arial-7224-Identity-H"/>
          <w:color w:val="0C0B0E"/>
          <w:sz w:val="21"/>
          <w:szCs w:val="21"/>
        </w:rPr>
        <w:t>tendido</w:t>
      </w:r>
      <w:r>
        <w:rPr>
          <w:rFonts w:ascii="Abadi" w:hAnsi="Abadi" w:cs="*Arial-7224-Identity-H"/>
          <w:color w:val="0C0B0E"/>
          <w:sz w:val="21"/>
          <w:szCs w:val="21"/>
        </w:rPr>
        <w:t xml:space="preserve"> el </w:t>
      </w:r>
      <w:r w:rsidRPr="00360EC2">
        <w:rPr>
          <w:rFonts w:ascii="Abadi" w:hAnsi="Abadi" w:cs="*Arial-7224-Identity-H"/>
          <w:color w:val="0C0B0E"/>
          <w:sz w:val="21"/>
          <w:szCs w:val="21"/>
        </w:rPr>
        <w:t>en trámite) y, en su caso, la fecha de atención de la falla, razón por la</w:t>
      </w:r>
      <w:r>
        <w:rPr>
          <w:rFonts w:ascii="Abadi" w:hAnsi="Abadi" w:cs="*Arial-7224-Identity-H"/>
          <w:color w:val="0C0B0E"/>
          <w:sz w:val="21"/>
          <w:szCs w:val="21"/>
        </w:rPr>
        <w:t xml:space="preserve"> </w:t>
      </w:r>
      <w:r w:rsidRPr="00360EC2">
        <w:rPr>
          <w:rFonts w:ascii="Abadi" w:hAnsi="Abadi" w:cs="*Arial-7224-Identity-H"/>
          <w:color w:val="0C0B0E"/>
          <w:sz w:val="21"/>
          <w:szCs w:val="21"/>
        </w:rPr>
        <w:t>cual no fue posible conocer el número de reportes atendidos y el tiempo</w:t>
      </w:r>
      <w:r>
        <w:rPr>
          <w:rFonts w:ascii="Abadi" w:hAnsi="Abadi" w:cs="*Arial-7224-Identity-H"/>
          <w:color w:val="0C0B0E"/>
          <w:sz w:val="21"/>
          <w:szCs w:val="21"/>
        </w:rPr>
        <w:t xml:space="preserve"> </w:t>
      </w:r>
      <w:r w:rsidRPr="00360EC2">
        <w:rPr>
          <w:rFonts w:ascii="Abadi" w:hAnsi="Abadi" w:cs="*Arial-7224-Identity-H"/>
          <w:color w:val="0C0B0E"/>
          <w:sz w:val="21"/>
          <w:szCs w:val="21"/>
        </w:rPr>
        <w:t>transcurrido desde el reporte hasta su atención, por lo que se reconoce un área de</w:t>
      </w:r>
      <w:r>
        <w:rPr>
          <w:rFonts w:ascii="Abadi" w:hAnsi="Abadi" w:cs="*Arial-7224-Identity-H"/>
          <w:color w:val="0C0B0E"/>
          <w:sz w:val="21"/>
          <w:szCs w:val="21"/>
        </w:rPr>
        <w:t xml:space="preserve"> </w:t>
      </w:r>
      <w:r w:rsidRPr="00360EC2">
        <w:rPr>
          <w:rFonts w:ascii="Abadi" w:hAnsi="Abadi" w:cs="*Arial-7224-Identity-H"/>
          <w:color w:val="0C0B0E"/>
          <w:sz w:val="21"/>
          <w:szCs w:val="21"/>
        </w:rPr>
        <w:t>oportunidad en la recopilación y sistematización de la información, a fin de que la</w:t>
      </w:r>
      <w:r>
        <w:rPr>
          <w:rFonts w:ascii="Abadi" w:hAnsi="Abadi" w:cs="*Arial-7224-Identity-H"/>
          <w:color w:val="0C0B0E"/>
          <w:sz w:val="21"/>
          <w:szCs w:val="21"/>
        </w:rPr>
        <w:t xml:space="preserve"> </w:t>
      </w:r>
      <w:r w:rsidRPr="00360EC2">
        <w:rPr>
          <w:rFonts w:ascii="Abadi" w:hAnsi="Abadi" w:cs="*Arial-7224-Identity-H"/>
          <w:color w:val="0C0B0E"/>
          <w:sz w:val="21"/>
          <w:szCs w:val="21"/>
        </w:rPr>
        <w:t>base de datos genere información útil para el seguimiento oportuno de los reportes</w:t>
      </w:r>
      <w:r>
        <w:rPr>
          <w:rFonts w:ascii="Abadi" w:hAnsi="Abadi" w:cs="*Arial-7224-Identity-H"/>
          <w:color w:val="0C0B0E"/>
          <w:sz w:val="21"/>
          <w:szCs w:val="21"/>
        </w:rPr>
        <w:t xml:space="preserve"> </w:t>
      </w:r>
      <w:r w:rsidRPr="00360EC2">
        <w:rPr>
          <w:rFonts w:ascii="Abadi" w:hAnsi="Abadi" w:cs="*Arial-7224-Identity-H"/>
          <w:color w:val="0C0B0E"/>
          <w:sz w:val="21"/>
          <w:szCs w:val="21"/>
        </w:rPr>
        <w:t>y la toma de decisiones. Asimismo, no contó con un programa de mantenimiento</w:t>
      </w:r>
      <w:r>
        <w:rPr>
          <w:rFonts w:ascii="Abadi" w:hAnsi="Abadi" w:cs="*Arial-7224-Identity-H"/>
          <w:color w:val="0C0B0E"/>
          <w:sz w:val="21"/>
          <w:szCs w:val="21"/>
        </w:rPr>
        <w:t xml:space="preserve"> </w:t>
      </w:r>
      <w:r w:rsidRPr="00360EC2">
        <w:rPr>
          <w:rFonts w:ascii="Abadi" w:hAnsi="Abadi" w:cs="*Arial-7224-Identity-H"/>
          <w:color w:val="0C0B0E"/>
          <w:sz w:val="21"/>
          <w:szCs w:val="21"/>
        </w:rPr>
        <w:t>preventivo del sistema de alumbrado público en el ejercicio objeto de revisión.</w:t>
      </w:r>
    </w:p>
    <w:p w14:paraId="29242C57" w14:textId="77777777" w:rsidR="004A6831" w:rsidRPr="00360EC2" w:rsidRDefault="004A6831" w:rsidP="004A6831">
      <w:pPr>
        <w:autoSpaceDE w:val="0"/>
        <w:autoSpaceDN w:val="0"/>
        <w:adjustRightInd w:val="0"/>
        <w:jc w:val="both"/>
        <w:rPr>
          <w:rFonts w:ascii="Abadi" w:hAnsi="Abadi" w:cs="*Arial-7224-Identity-H"/>
          <w:color w:val="0C0B0E"/>
          <w:sz w:val="21"/>
          <w:szCs w:val="21"/>
        </w:rPr>
      </w:pPr>
    </w:p>
    <w:p w14:paraId="6BC5DA92" w14:textId="77777777" w:rsidR="004A6831" w:rsidRDefault="004A6831" w:rsidP="004A6831">
      <w:pPr>
        <w:autoSpaceDE w:val="0"/>
        <w:autoSpaceDN w:val="0"/>
        <w:adjustRightInd w:val="0"/>
        <w:ind w:firstLine="708"/>
        <w:jc w:val="both"/>
        <w:rPr>
          <w:rFonts w:ascii="Abadi" w:hAnsi="Abadi" w:cs="*Arial-7224-Identity-H"/>
          <w:color w:val="0C0B0E"/>
          <w:sz w:val="21"/>
          <w:szCs w:val="21"/>
        </w:rPr>
      </w:pPr>
      <w:r w:rsidRPr="00360EC2">
        <w:rPr>
          <w:rFonts w:ascii="Abadi" w:hAnsi="Abadi" w:cs="*Arial-7224-Identity-H"/>
          <w:color w:val="0C0B0E"/>
          <w:sz w:val="21"/>
          <w:szCs w:val="21"/>
        </w:rPr>
        <w:t>En cuanto a la cobertura del servicio de alumbrado público, si bien se contó</w:t>
      </w:r>
      <w:r>
        <w:rPr>
          <w:rFonts w:ascii="Abadi" w:hAnsi="Abadi" w:cs="*Arial-7224-Identity-H"/>
          <w:color w:val="0C0B0E"/>
          <w:sz w:val="21"/>
          <w:szCs w:val="21"/>
        </w:rPr>
        <w:t xml:space="preserve"> </w:t>
      </w:r>
      <w:r w:rsidRPr="00360EC2">
        <w:rPr>
          <w:rFonts w:ascii="Abadi" w:hAnsi="Abadi" w:cs="*Arial-7224-Identity-H"/>
          <w:color w:val="0C0B0E"/>
          <w:sz w:val="21"/>
          <w:szCs w:val="21"/>
        </w:rPr>
        <w:t>con un censo en el ejercicio 2020, donde se identificó la cantidad de lámparas y</w:t>
      </w:r>
      <w:r>
        <w:rPr>
          <w:rFonts w:ascii="Abadi" w:hAnsi="Abadi" w:cs="*Arial-7224-Identity-H"/>
          <w:color w:val="0C0B0E"/>
          <w:sz w:val="21"/>
          <w:szCs w:val="21"/>
        </w:rPr>
        <w:t xml:space="preserve"> </w:t>
      </w:r>
      <w:r w:rsidRPr="00360EC2">
        <w:rPr>
          <w:rFonts w:ascii="Abadi" w:hAnsi="Abadi" w:cs="*Arial-7224-Identity-H"/>
          <w:color w:val="0C0B0E"/>
          <w:sz w:val="21"/>
          <w:szCs w:val="21"/>
        </w:rPr>
        <w:t>luminarias que formaron parte del servicio de alumbrado público, no contó con</w:t>
      </w:r>
      <w:r>
        <w:rPr>
          <w:rFonts w:ascii="Abadi" w:hAnsi="Abadi" w:cs="*Arial-7224-Identity-H"/>
          <w:color w:val="0C0B0E"/>
          <w:sz w:val="21"/>
          <w:szCs w:val="21"/>
        </w:rPr>
        <w:t xml:space="preserve"> </w:t>
      </w:r>
      <w:r w:rsidRPr="00360EC2">
        <w:rPr>
          <w:rFonts w:ascii="Abadi" w:hAnsi="Abadi" w:cs="*Arial-7224-Identity-H"/>
          <w:color w:val="0C0B0E"/>
          <w:sz w:val="21"/>
          <w:szCs w:val="21"/>
        </w:rPr>
        <w:t>información relativa al estado de su funcionamiento. Asimismo, el sujeto</w:t>
      </w:r>
      <w:r>
        <w:rPr>
          <w:rFonts w:ascii="Abadi" w:hAnsi="Abadi" w:cs="*Arial-7224-Identity-H"/>
          <w:color w:val="0C0B0E"/>
          <w:sz w:val="21"/>
          <w:szCs w:val="21"/>
        </w:rPr>
        <w:t xml:space="preserve"> </w:t>
      </w:r>
      <w:r w:rsidRPr="00360EC2">
        <w:rPr>
          <w:rFonts w:ascii="Abadi" w:hAnsi="Abadi" w:cs="*Arial-7224-Identity-H"/>
          <w:color w:val="0C0B0E"/>
          <w:sz w:val="21"/>
          <w:szCs w:val="21"/>
        </w:rPr>
        <w:t>fiscalizado no contó con una metodología ni un indicador para medirla, teniendo</w:t>
      </w:r>
      <w:r>
        <w:rPr>
          <w:rFonts w:ascii="Abadi" w:hAnsi="Abadi" w:cs="*Arial-7224-Identity-H"/>
          <w:color w:val="0C0B0E"/>
          <w:sz w:val="21"/>
          <w:szCs w:val="21"/>
        </w:rPr>
        <w:t xml:space="preserve"> </w:t>
      </w:r>
      <w:r w:rsidRPr="00360EC2">
        <w:rPr>
          <w:rFonts w:ascii="Abadi" w:hAnsi="Abadi" w:cs="*Arial-7224-Identity-H"/>
          <w:color w:val="0C0B0E"/>
          <w:sz w:val="21"/>
          <w:szCs w:val="21"/>
        </w:rPr>
        <w:t>como efecto que la administración pública desconociera su contribución a</w:t>
      </w:r>
      <w:r>
        <w:rPr>
          <w:rFonts w:ascii="Abadi" w:hAnsi="Abadi" w:cs="*Arial-7224-Identity-H"/>
          <w:color w:val="0C0B0E"/>
          <w:sz w:val="21"/>
          <w:szCs w:val="21"/>
        </w:rPr>
        <w:t xml:space="preserve"> </w:t>
      </w:r>
      <w:r w:rsidRPr="00360EC2">
        <w:rPr>
          <w:rFonts w:ascii="Abadi" w:hAnsi="Abadi" w:cs="*Arial-7224-Identity-H"/>
          <w:color w:val="0C0B0E"/>
          <w:sz w:val="21"/>
          <w:szCs w:val="21"/>
        </w:rPr>
        <w:t>garantizar el servicio en igualdad de condiciones a todos los habitantes del</w:t>
      </w:r>
      <w:r>
        <w:rPr>
          <w:rFonts w:ascii="Abadi" w:hAnsi="Abadi" w:cs="*Arial-7224-Identity-H"/>
          <w:color w:val="0C0B0E"/>
          <w:sz w:val="21"/>
          <w:szCs w:val="21"/>
        </w:rPr>
        <w:t xml:space="preserve"> </w:t>
      </w:r>
      <w:r w:rsidRPr="00360EC2">
        <w:rPr>
          <w:rFonts w:ascii="Abadi" w:hAnsi="Abadi" w:cs="*Arial-7224-Identity-H"/>
          <w:color w:val="0C0B0E"/>
          <w:sz w:val="21"/>
          <w:szCs w:val="21"/>
        </w:rPr>
        <w:t>Municipio de manera permanente, general, uniforme y continua.</w:t>
      </w:r>
    </w:p>
    <w:p w14:paraId="205F127F" w14:textId="77777777" w:rsidR="004A6831" w:rsidRPr="00360EC2" w:rsidRDefault="004A6831" w:rsidP="004A6831">
      <w:pPr>
        <w:autoSpaceDE w:val="0"/>
        <w:autoSpaceDN w:val="0"/>
        <w:adjustRightInd w:val="0"/>
        <w:jc w:val="both"/>
        <w:rPr>
          <w:rFonts w:ascii="Abadi" w:hAnsi="Abadi" w:cs="*Arial-7224-Identity-H"/>
          <w:color w:val="0C0B0E"/>
          <w:sz w:val="21"/>
          <w:szCs w:val="21"/>
        </w:rPr>
      </w:pPr>
    </w:p>
    <w:p w14:paraId="7A55448F" w14:textId="77777777" w:rsidR="004A6831" w:rsidRDefault="004A6831" w:rsidP="004A6831">
      <w:pPr>
        <w:autoSpaceDE w:val="0"/>
        <w:autoSpaceDN w:val="0"/>
        <w:adjustRightInd w:val="0"/>
        <w:ind w:firstLine="708"/>
        <w:jc w:val="both"/>
        <w:rPr>
          <w:rFonts w:ascii="Abadi" w:hAnsi="Abadi" w:cs="*Arial-7224-Identity-H"/>
          <w:color w:val="0D0D10"/>
          <w:sz w:val="21"/>
          <w:szCs w:val="21"/>
        </w:rPr>
      </w:pPr>
      <w:r w:rsidRPr="00360EC2">
        <w:rPr>
          <w:rFonts w:ascii="Abadi" w:hAnsi="Abadi" w:cs="*Arial-7224-Identity-H"/>
          <w:color w:val="0D0D10"/>
          <w:sz w:val="21"/>
          <w:szCs w:val="21"/>
        </w:rPr>
        <w:t>En materia de satisfacción del ciudadano usuario, en el ejercicio 2020, se</w:t>
      </w:r>
      <w:r>
        <w:rPr>
          <w:rFonts w:ascii="Abadi" w:hAnsi="Abadi" w:cs="*Arial-7224-Identity-H"/>
          <w:color w:val="0D0D10"/>
          <w:sz w:val="21"/>
          <w:szCs w:val="21"/>
        </w:rPr>
        <w:t xml:space="preserve"> </w:t>
      </w:r>
      <w:r w:rsidRPr="00360EC2">
        <w:rPr>
          <w:rFonts w:ascii="Abadi" w:hAnsi="Abadi" w:cs="*Arial-7224-Identity-H"/>
          <w:color w:val="0D0D10"/>
          <w:sz w:val="21"/>
          <w:szCs w:val="21"/>
        </w:rPr>
        <w:t>establece que el sujeto fiscalizado no contó con un mecanismo de medición para</w:t>
      </w:r>
      <w:r>
        <w:rPr>
          <w:rFonts w:ascii="Abadi" w:hAnsi="Abadi" w:cs="*Arial-7224-Identity-H"/>
          <w:color w:val="0D0D10"/>
          <w:sz w:val="21"/>
          <w:szCs w:val="21"/>
        </w:rPr>
        <w:t xml:space="preserve"> </w:t>
      </w:r>
      <w:r w:rsidRPr="00360EC2">
        <w:rPr>
          <w:rFonts w:ascii="Abadi" w:hAnsi="Abadi" w:cs="*Arial-7224-Identity-H"/>
          <w:color w:val="0D0D10"/>
          <w:sz w:val="21"/>
          <w:szCs w:val="21"/>
        </w:rPr>
        <w:t>evaluar el grado de satisfacción de los usuarios del servicio de alumbrado público</w:t>
      </w:r>
      <w:r>
        <w:rPr>
          <w:rFonts w:ascii="Abadi" w:hAnsi="Abadi" w:cs="*Arial-7224-Identity-H"/>
          <w:color w:val="0D0D10"/>
          <w:sz w:val="21"/>
          <w:szCs w:val="21"/>
        </w:rPr>
        <w:t xml:space="preserve"> </w:t>
      </w:r>
      <w:r w:rsidRPr="00360EC2">
        <w:rPr>
          <w:rFonts w:ascii="Abadi" w:hAnsi="Abadi" w:cs="*Arial-7224-Identity-H"/>
          <w:color w:val="0D0D10"/>
          <w:sz w:val="21"/>
          <w:szCs w:val="21"/>
        </w:rPr>
        <w:t>y conocer en qué medida este contribuye a mejorar las condiciones de sus</w:t>
      </w:r>
      <w:r>
        <w:rPr>
          <w:rFonts w:ascii="Abadi" w:hAnsi="Abadi" w:cs="*Arial-7224-Identity-H"/>
          <w:color w:val="0D0D10"/>
          <w:sz w:val="21"/>
          <w:szCs w:val="21"/>
        </w:rPr>
        <w:t xml:space="preserve"> </w:t>
      </w:r>
      <w:r w:rsidRPr="00360EC2">
        <w:rPr>
          <w:rFonts w:ascii="Abadi" w:hAnsi="Abadi" w:cs="*Arial-7224-Identity-H"/>
          <w:color w:val="0D0D10"/>
          <w:sz w:val="21"/>
          <w:szCs w:val="21"/>
        </w:rPr>
        <w:t>habitantes, por lo que cuenta con un área de oportunidad para implementarlo,</w:t>
      </w:r>
      <w:r>
        <w:rPr>
          <w:rFonts w:ascii="Abadi" w:hAnsi="Abadi" w:cs="*Arial-7224-Identity-H"/>
          <w:color w:val="0D0D10"/>
          <w:sz w:val="21"/>
          <w:szCs w:val="21"/>
        </w:rPr>
        <w:t xml:space="preserve"> </w:t>
      </w:r>
      <w:r w:rsidRPr="00360EC2">
        <w:rPr>
          <w:rFonts w:ascii="Abadi" w:hAnsi="Abadi" w:cs="*Arial-7224-Identity-H"/>
          <w:color w:val="0D0D10"/>
          <w:sz w:val="21"/>
          <w:szCs w:val="21"/>
        </w:rPr>
        <w:t>considerando que el beneficiario es el mejor referente para conocer la calidad con</w:t>
      </w:r>
      <w:r>
        <w:rPr>
          <w:rFonts w:ascii="Abadi" w:hAnsi="Abadi" w:cs="*Arial-7224-Identity-H"/>
          <w:color w:val="0D0D10"/>
          <w:sz w:val="21"/>
          <w:szCs w:val="21"/>
        </w:rPr>
        <w:t xml:space="preserve"> </w:t>
      </w:r>
      <w:r w:rsidRPr="00360EC2">
        <w:rPr>
          <w:rFonts w:ascii="Abadi" w:hAnsi="Abadi" w:cs="*Arial-7224-Identity-H"/>
          <w:color w:val="0D0D10"/>
          <w:sz w:val="21"/>
          <w:szCs w:val="21"/>
        </w:rPr>
        <w:t>que se otorga el servicio.</w:t>
      </w:r>
    </w:p>
    <w:p w14:paraId="34342B85" w14:textId="77777777" w:rsidR="004A6831" w:rsidRPr="00360EC2" w:rsidRDefault="004A6831" w:rsidP="004A6831">
      <w:pPr>
        <w:autoSpaceDE w:val="0"/>
        <w:autoSpaceDN w:val="0"/>
        <w:adjustRightInd w:val="0"/>
        <w:jc w:val="both"/>
        <w:rPr>
          <w:rFonts w:ascii="Abadi" w:hAnsi="Abadi" w:cs="*Arial-7224-Identity-H"/>
          <w:color w:val="0D0D10"/>
          <w:sz w:val="21"/>
          <w:szCs w:val="21"/>
        </w:rPr>
      </w:pPr>
    </w:p>
    <w:p w14:paraId="507653AC" w14:textId="77777777" w:rsidR="004A6831" w:rsidRPr="00360EC2" w:rsidRDefault="004A6831" w:rsidP="004A6831">
      <w:pPr>
        <w:autoSpaceDE w:val="0"/>
        <w:autoSpaceDN w:val="0"/>
        <w:adjustRightInd w:val="0"/>
        <w:ind w:firstLine="708"/>
        <w:jc w:val="both"/>
        <w:rPr>
          <w:rFonts w:ascii="Abadi" w:hAnsi="Abadi" w:cs="*Arial-7224-Identity-H"/>
          <w:color w:val="0C0C0F"/>
          <w:sz w:val="21"/>
          <w:szCs w:val="21"/>
        </w:rPr>
      </w:pPr>
      <w:r w:rsidRPr="00360EC2">
        <w:rPr>
          <w:rFonts w:ascii="Abadi" w:hAnsi="Abadi" w:cs="*Arial-7224-Identity-H"/>
          <w:color w:val="0C0C0F"/>
          <w:sz w:val="21"/>
          <w:szCs w:val="21"/>
        </w:rPr>
        <w:t>En el caso de la función de seguimiento, la revisión se enfocó en constatar</w:t>
      </w:r>
      <w:r>
        <w:rPr>
          <w:rFonts w:ascii="Abadi" w:hAnsi="Abadi" w:cs="*Arial-7224-Identity-H"/>
          <w:color w:val="0C0C0F"/>
          <w:sz w:val="21"/>
          <w:szCs w:val="21"/>
        </w:rPr>
        <w:t xml:space="preserve"> </w:t>
      </w:r>
      <w:r w:rsidRPr="00360EC2">
        <w:rPr>
          <w:rFonts w:ascii="Abadi" w:hAnsi="Abadi" w:cs="*Arial-7224-Identity-H"/>
          <w:color w:val="0C0C0F"/>
          <w:sz w:val="21"/>
          <w:szCs w:val="21"/>
        </w:rPr>
        <w:t>si el sujeto fiscalizado contó con mecanismos que permitieran medir el desempeño</w:t>
      </w:r>
      <w:r>
        <w:rPr>
          <w:rFonts w:ascii="Abadi" w:hAnsi="Abadi" w:cs="*Arial-7224-Identity-H"/>
          <w:color w:val="0C0C0F"/>
          <w:sz w:val="21"/>
          <w:szCs w:val="21"/>
        </w:rPr>
        <w:t xml:space="preserve"> </w:t>
      </w:r>
      <w:r w:rsidRPr="00360EC2">
        <w:rPr>
          <w:rFonts w:ascii="Abadi" w:hAnsi="Abadi" w:cs="*Arial-7224-Identity-H"/>
          <w:color w:val="0C0C0F"/>
          <w:sz w:val="21"/>
          <w:szCs w:val="21"/>
        </w:rPr>
        <w:t>y los resultados del servicio de alumbrado público, obteniendo como principal</w:t>
      </w:r>
      <w:r>
        <w:rPr>
          <w:rFonts w:ascii="Abadi" w:hAnsi="Abadi" w:cs="*Arial-7224-Identity-H"/>
          <w:color w:val="0C0C0F"/>
          <w:sz w:val="21"/>
          <w:szCs w:val="21"/>
        </w:rPr>
        <w:t xml:space="preserve"> </w:t>
      </w:r>
      <w:r w:rsidRPr="00360EC2">
        <w:rPr>
          <w:rFonts w:ascii="Abadi" w:hAnsi="Abadi" w:cs="*Arial-7224-Identity-H"/>
          <w:color w:val="0C0C0F"/>
          <w:sz w:val="21"/>
          <w:szCs w:val="21"/>
        </w:rPr>
        <w:t>hallazgo que la instancia responsable, si bien, dispuso de un proyecto de Matriz de</w:t>
      </w:r>
      <w:r>
        <w:rPr>
          <w:rFonts w:ascii="Abadi" w:hAnsi="Abadi" w:cs="*Arial-7224-Identity-H"/>
          <w:color w:val="0C0C0F"/>
          <w:sz w:val="21"/>
          <w:szCs w:val="21"/>
        </w:rPr>
        <w:t xml:space="preserve"> </w:t>
      </w:r>
      <w:r w:rsidRPr="00360EC2">
        <w:rPr>
          <w:rFonts w:ascii="Abadi" w:hAnsi="Abadi" w:cs="*Arial-7224-Identity-H"/>
          <w:color w:val="0C0C0F"/>
          <w:sz w:val="21"/>
          <w:szCs w:val="21"/>
        </w:rPr>
        <w:t xml:space="preserve">Indicadores para Resultados del programa </w:t>
      </w:r>
      <w:r w:rsidRPr="00360EC2">
        <w:rPr>
          <w:rFonts w:ascii="Abadi" w:hAnsi="Abadi" w:cs="*Arial-Italic-7225-Identity-H"/>
          <w:i/>
          <w:iCs/>
          <w:color w:val="0C0C0F"/>
          <w:sz w:val="21"/>
          <w:szCs w:val="21"/>
        </w:rPr>
        <w:t>Mantenimiento de la red del alumbrado</w:t>
      </w:r>
      <w:r>
        <w:rPr>
          <w:rFonts w:ascii="Abadi" w:hAnsi="Abadi" w:cs="*Arial-Italic-7225-Identity-H"/>
          <w:i/>
          <w:iCs/>
          <w:color w:val="0C0C0F"/>
          <w:sz w:val="21"/>
          <w:szCs w:val="21"/>
        </w:rPr>
        <w:t xml:space="preserve"> </w:t>
      </w:r>
      <w:r w:rsidRPr="00360EC2">
        <w:rPr>
          <w:rFonts w:ascii="Abadi" w:hAnsi="Abadi" w:cs="*Arial-Italic-7225-Identity-H"/>
          <w:i/>
          <w:iCs/>
          <w:color w:val="0C0C0F"/>
          <w:sz w:val="21"/>
          <w:szCs w:val="21"/>
        </w:rPr>
        <w:t xml:space="preserve">público en óptimo funcionamiento, </w:t>
      </w:r>
      <w:r w:rsidRPr="00360EC2">
        <w:rPr>
          <w:rFonts w:ascii="Abadi" w:hAnsi="Abadi" w:cs="*Arial-7224-Identity-H"/>
          <w:color w:val="0C0C0F"/>
          <w:sz w:val="21"/>
          <w:szCs w:val="21"/>
        </w:rPr>
        <w:t>esta no fue aprobada por el Ayuntamiento, ni</w:t>
      </w:r>
      <w:r>
        <w:rPr>
          <w:rFonts w:ascii="Abadi" w:hAnsi="Abadi" w:cs="*Arial-7224-Identity-H"/>
          <w:color w:val="0C0C0F"/>
          <w:sz w:val="21"/>
          <w:szCs w:val="21"/>
        </w:rPr>
        <w:t xml:space="preserve"> </w:t>
      </w:r>
      <w:r w:rsidRPr="00360EC2">
        <w:rPr>
          <w:rFonts w:ascii="Abadi" w:hAnsi="Abadi" w:cs="*Arial-7224-Identity-H"/>
          <w:color w:val="0C0C0F"/>
          <w:sz w:val="21"/>
          <w:szCs w:val="21"/>
        </w:rPr>
        <w:t>incluida en el presupuesto; asimismo, de los indicadores que reportó el proyecto</w:t>
      </w:r>
      <w:r>
        <w:rPr>
          <w:rFonts w:ascii="Abadi" w:hAnsi="Abadi" w:cs="*Arial-7224-Identity-H"/>
          <w:color w:val="0C0C0F"/>
          <w:sz w:val="21"/>
          <w:szCs w:val="21"/>
        </w:rPr>
        <w:t xml:space="preserve"> </w:t>
      </w:r>
      <w:r w:rsidRPr="00360EC2">
        <w:rPr>
          <w:rFonts w:ascii="Abadi" w:hAnsi="Abadi" w:cs="*Arial-7224-Identity-H"/>
          <w:color w:val="0C0C0F"/>
          <w:sz w:val="21"/>
          <w:szCs w:val="21"/>
        </w:rPr>
        <w:t>de la referida matriz no se contó con las fichas técnicas y tampoco con metas</w:t>
      </w:r>
      <w:r>
        <w:rPr>
          <w:rFonts w:ascii="Abadi" w:hAnsi="Abadi" w:cs="*Arial-7224-Identity-H"/>
          <w:color w:val="0C0C0F"/>
          <w:sz w:val="21"/>
          <w:szCs w:val="21"/>
        </w:rPr>
        <w:t xml:space="preserve"> </w:t>
      </w:r>
      <w:r w:rsidRPr="00360EC2">
        <w:rPr>
          <w:rFonts w:ascii="Abadi" w:hAnsi="Abadi" w:cs="*Arial-7224-Identity-H"/>
          <w:color w:val="0C0C0F"/>
          <w:sz w:val="21"/>
          <w:szCs w:val="21"/>
        </w:rPr>
        <w:t>programadas, modificadas y alcanzadas así como un mecanismo o herramienta</w:t>
      </w:r>
      <w:r>
        <w:rPr>
          <w:rFonts w:ascii="Abadi" w:hAnsi="Abadi" w:cs="*Arial-7224-Identity-H"/>
          <w:color w:val="0C0C0F"/>
          <w:sz w:val="21"/>
          <w:szCs w:val="21"/>
        </w:rPr>
        <w:t xml:space="preserve"> </w:t>
      </w:r>
      <w:r w:rsidRPr="00360EC2">
        <w:rPr>
          <w:rFonts w:ascii="Abadi" w:hAnsi="Abadi" w:cs="*Arial-7224-Identity-H"/>
          <w:color w:val="0C0C0F"/>
          <w:sz w:val="21"/>
          <w:szCs w:val="21"/>
        </w:rPr>
        <w:t>para su monitoreo o seguimiento.</w:t>
      </w:r>
    </w:p>
    <w:p w14:paraId="2C4887B6" w14:textId="77777777" w:rsidR="004A6831" w:rsidRDefault="004A6831" w:rsidP="004A6831">
      <w:pPr>
        <w:autoSpaceDE w:val="0"/>
        <w:autoSpaceDN w:val="0"/>
        <w:adjustRightInd w:val="0"/>
        <w:ind w:firstLine="708"/>
        <w:jc w:val="both"/>
        <w:rPr>
          <w:rFonts w:ascii="Abadi" w:hAnsi="Abadi" w:cs="*Arial-6238-Identity-H"/>
          <w:color w:val="0C0C0F"/>
          <w:sz w:val="21"/>
          <w:szCs w:val="21"/>
        </w:rPr>
      </w:pPr>
      <w:r w:rsidRPr="00360EC2">
        <w:rPr>
          <w:rFonts w:ascii="Abadi" w:hAnsi="Abadi" w:cs="*Arial-6238-Identity-H"/>
          <w:color w:val="0C0C0F"/>
          <w:sz w:val="21"/>
          <w:szCs w:val="21"/>
        </w:rPr>
        <w:t>Lo antes señalado fue impedimento para lograr conocer la eficacia de la</w:t>
      </w:r>
      <w:r>
        <w:rPr>
          <w:rFonts w:ascii="Abadi" w:hAnsi="Abadi" w:cs="*Arial-6238-Identity-H"/>
          <w:color w:val="0C0C0F"/>
          <w:sz w:val="21"/>
          <w:szCs w:val="21"/>
        </w:rPr>
        <w:t xml:space="preserve"> </w:t>
      </w:r>
      <w:r w:rsidRPr="00360EC2">
        <w:rPr>
          <w:rFonts w:ascii="Abadi" w:hAnsi="Abadi" w:cs="*Arial-6238-Identity-H"/>
          <w:color w:val="0C0C0F"/>
          <w:sz w:val="21"/>
          <w:szCs w:val="21"/>
        </w:rPr>
        <w:t>prestación del servicio de alumbrado público por parte del sujeto fiscalizado debido</w:t>
      </w:r>
      <w:r>
        <w:rPr>
          <w:rFonts w:ascii="Abadi" w:hAnsi="Abadi" w:cs="*Arial-6238-Identity-H"/>
          <w:color w:val="0C0C0F"/>
          <w:sz w:val="21"/>
          <w:szCs w:val="21"/>
        </w:rPr>
        <w:t xml:space="preserve"> </w:t>
      </w:r>
      <w:r w:rsidRPr="00360EC2">
        <w:rPr>
          <w:rFonts w:ascii="Abadi" w:hAnsi="Abadi" w:cs="*Arial-6238-Identity-H"/>
          <w:color w:val="0C0C0F"/>
          <w:sz w:val="21"/>
          <w:szCs w:val="21"/>
        </w:rPr>
        <w:t>principalmente, a que se desconoció la suficiencia y el número de lámparas en</w:t>
      </w:r>
      <w:r>
        <w:rPr>
          <w:rFonts w:ascii="Abadi" w:hAnsi="Abadi" w:cs="*Arial-6238-Identity-H"/>
          <w:color w:val="0C0C0F"/>
          <w:sz w:val="21"/>
          <w:szCs w:val="21"/>
        </w:rPr>
        <w:t xml:space="preserve"> </w:t>
      </w:r>
      <w:r w:rsidRPr="00360EC2">
        <w:rPr>
          <w:rFonts w:ascii="Abadi" w:hAnsi="Abadi" w:cs="*Arial-6238-Identity-H"/>
          <w:color w:val="0C0C0F"/>
          <w:sz w:val="21"/>
          <w:szCs w:val="21"/>
        </w:rPr>
        <w:t>funcionamiento en todo su territorio; a la carencia de una estrategia concreta para</w:t>
      </w:r>
      <w:r>
        <w:rPr>
          <w:rFonts w:ascii="Abadi" w:hAnsi="Abadi" w:cs="*Arial-6238-Identity-H"/>
          <w:color w:val="0C0C0F"/>
          <w:sz w:val="21"/>
          <w:szCs w:val="21"/>
        </w:rPr>
        <w:t xml:space="preserve"> </w:t>
      </w:r>
      <w:r w:rsidRPr="00360EC2">
        <w:rPr>
          <w:rFonts w:ascii="Abadi" w:hAnsi="Abadi" w:cs="*Arial-6238-Identity-H"/>
          <w:color w:val="0C0C0F"/>
          <w:sz w:val="21"/>
          <w:szCs w:val="21"/>
        </w:rPr>
        <w:t>programar y efectuar el mantenimiento en su fase correctiva y preventiva; a la</w:t>
      </w:r>
      <w:r>
        <w:rPr>
          <w:rFonts w:ascii="Abadi" w:hAnsi="Abadi" w:cs="*Arial-6238-Identity-H"/>
          <w:color w:val="0C0C0F"/>
          <w:sz w:val="21"/>
          <w:szCs w:val="21"/>
        </w:rPr>
        <w:t xml:space="preserve"> </w:t>
      </w:r>
      <w:r w:rsidRPr="00360EC2">
        <w:rPr>
          <w:rFonts w:ascii="Abadi" w:hAnsi="Abadi" w:cs="*Arial-6238-Identity-H"/>
          <w:color w:val="0C0C0F"/>
          <w:sz w:val="21"/>
          <w:szCs w:val="21"/>
        </w:rPr>
        <w:t>ausencia de un sistema que permita almacenar, organizar y administrar la</w:t>
      </w:r>
      <w:r>
        <w:rPr>
          <w:rFonts w:ascii="Abadi" w:hAnsi="Abadi" w:cs="*Arial-6238-Identity-H"/>
          <w:color w:val="0C0C0F"/>
          <w:sz w:val="21"/>
          <w:szCs w:val="21"/>
        </w:rPr>
        <w:t xml:space="preserve"> </w:t>
      </w:r>
      <w:r w:rsidRPr="00360EC2">
        <w:rPr>
          <w:rFonts w:ascii="Abadi" w:hAnsi="Abadi" w:cs="*Arial-6238-Identity-H"/>
          <w:color w:val="0C0C0F"/>
          <w:sz w:val="21"/>
          <w:szCs w:val="21"/>
        </w:rPr>
        <w:t>información que se genere derivado de los procesos de planeación, ejecución,</w:t>
      </w:r>
      <w:r>
        <w:rPr>
          <w:rFonts w:ascii="Abadi" w:hAnsi="Abadi" w:cs="*Arial-6238-Identity-H"/>
          <w:color w:val="0C0C0F"/>
          <w:sz w:val="21"/>
          <w:szCs w:val="21"/>
        </w:rPr>
        <w:t xml:space="preserve"> </w:t>
      </w:r>
      <w:r w:rsidRPr="00360EC2">
        <w:rPr>
          <w:rFonts w:ascii="Abadi" w:hAnsi="Abadi" w:cs="*Arial-6238-Identity-H"/>
          <w:color w:val="0C0C0F"/>
          <w:sz w:val="21"/>
          <w:szCs w:val="21"/>
        </w:rPr>
        <w:t>operación y mantenimiento del servicio; así como a la carencia de indicadores y de</w:t>
      </w:r>
      <w:r>
        <w:rPr>
          <w:rFonts w:ascii="Abadi" w:hAnsi="Abadi" w:cs="*Arial-6238-Identity-H"/>
          <w:color w:val="0C0C0F"/>
          <w:sz w:val="21"/>
          <w:szCs w:val="21"/>
        </w:rPr>
        <w:t xml:space="preserve"> </w:t>
      </w:r>
      <w:r w:rsidRPr="00360EC2">
        <w:rPr>
          <w:rFonts w:ascii="Abadi" w:hAnsi="Abadi" w:cs="*Arial-6238-Identity-H"/>
          <w:color w:val="0C0C0F"/>
          <w:sz w:val="21"/>
          <w:szCs w:val="21"/>
        </w:rPr>
        <w:t>un mecanismo de seguimiento y monitoreo a los resultados de estos.</w:t>
      </w:r>
    </w:p>
    <w:p w14:paraId="758B0AA9" w14:textId="77777777" w:rsidR="004A6831" w:rsidRPr="00360EC2" w:rsidRDefault="004A6831" w:rsidP="004A6831">
      <w:pPr>
        <w:autoSpaceDE w:val="0"/>
        <w:autoSpaceDN w:val="0"/>
        <w:adjustRightInd w:val="0"/>
        <w:jc w:val="both"/>
        <w:rPr>
          <w:rFonts w:ascii="Abadi" w:hAnsi="Abadi" w:cs="*Arial-6238-Identity-H"/>
          <w:color w:val="0C0C0F"/>
          <w:sz w:val="21"/>
          <w:szCs w:val="21"/>
        </w:rPr>
      </w:pPr>
    </w:p>
    <w:p w14:paraId="7224E26A" w14:textId="77777777" w:rsidR="004A6831" w:rsidRDefault="004A6831" w:rsidP="004A6831">
      <w:pPr>
        <w:autoSpaceDE w:val="0"/>
        <w:autoSpaceDN w:val="0"/>
        <w:adjustRightInd w:val="0"/>
        <w:ind w:firstLine="708"/>
        <w:jc w:val="both"/>
        <w:rPr>
          <w:rFonts w:ascii="Abadi" w:hAnsi="Abadi" w:cs="*Arial-6238-Identity-H"/>
          <w:color w:val="0B0B0E"/>
          <w:sz w:val="21"/>
          <w:szCs w:val="21"/>
        </w:rPr>
      </w:pPr>
      <w:r w:rsidRPr="00360EC2">
        <w:rPr>
          <w:rFonts w:ascii="Abadi" w:hAnsi="Abadi" w:cs="*Arial-6238-Identity-H"/>
          <w:color w:val="0B0B0E"/>
          <w:sz w:val="21"/>
          <w:szCs w:val="21"/>
        </w:rPr>
        <w:t>Derivado de las oportunidades referidas, la administración pública municipal</w:t>
      </w:r>
      <w:r>
        <w:rPr>
          <w:rFonts w:ascii="Abadi" w:hAnsi="Abadi" w:cs="*Arial-6238-Identity-H"/>
          <w:color w:val="0B0B0E"/>
          <w:sz w:val="21"/>
          <w:szCs w:val="21"/>
        </w:rPr>
        <w:t xml:space="preserve"> </w:t>
      </w:r>
      <w:r w:rsidRPr="00360EC2">
        <w:rPr>
          <w:rFonts w:ascii="Abadi" w:hAnsi="Abadi" w:cs="*Arial-6238-Identity-H"/>
          <w:color w:val="0B0B0E"/>
          <w:sz w:val="21"/>
          <w:szCs w:val="21"/>
        </w:rPr>
        <w:t xml:space="preserve">de Pueblo Nuevo, </w:t>
      </w:r>
      <w:proofErr w:type="spellStart"/>
      <w:r w:rsidRPr="00360EC2">
        <w:rPr>
          <w:rFonts w:ascii="Abadi" w:hAnsi="Abadi" w:cs="*Arial-6238-Identity-H"/>
          <w:color w:val="0B0B0E"/>
          <w:sz w:val="21"/>
          <w:szCs w:val="21"/>
        </w:rPr>
        <w:t>Gto</w:t>
      </w:r>
      <w:proofErr w:type="spellEnd"/>
      <w:r w:rsidRPr="00360EC2">
        <w:rPr>
          <w:rFonts w:ascii="Abadi" w:hAnsi="Abadi" w:cs="*Arial-6238-Identity-H"/>
          <w:color w:val="0B0B0E"/>
          <w:sz w:val="21"/>
          <w:szCs w:val="21"/>
        </w:rPr>
        <w:t>., no mostró una postura tendiente mejorar el entorno de la</w:t>
      </w:r>
      <w:r>
        <w:rPr>
          <w:rFonts w:ascii="Abadi" w:hAnsi="Abadi" w:cs="*Arial-6238-Identity-H"/>
          <w:color w:val="0B0B0E"/>
          <w:sz w:val="21"/>
          <w:szCs w:val="21"/>
        </w:rPr>
        <w:t xml:space="preserve"> </w:t>
      </w:r>
      <w:r w:rsidRPr="00360EC2">
        <w:rPr>
          <w:rFonts w:ascii="Abadi" w:hAnsi="Abadi" w:cs="*Arial-6238-Identity-H"/>
          <w:color w:val="0B0B0E"/>
          <w:sz w:val="21"/>
          <w:szCs w:val="21"/>
        </w:rPr>
        <w:t>planificación, operación y control de la prestación del servicio de alumbrado</w:t>
      </w:r>
      <w:r>
        <w:rPr>
          <w:rFonts w:ascii="Abadi" w:hAnsi="Abadi" w:cs="*Arial-6238-Identity-H"/>
          <w:color w:val="0B0B0E"/>
          <w:sz w:val="21"/>
          <w:szCs w:val="21"/>
        </w:rPr>
        <w:t xml:space="preserve"> </w:t>
      </w:r>
      <w:r w:rsidRPr="00360EC2">
        <w:rPr>
          <w:rFonts w:ascii="Abadi" w:hAnsi="Abadi" w:cs="*Arial-6238-Identity-H"/>
          <w:color w:val="0B0B0E"/>
          <w:sz w:val="21"/>
          <w:szCs w:val="21"/>
        </w:rPr>
        <w:t>público, al no dar respuesta al pliego de recomendaciones.</w:t>
      </w:r>
    </w:p>
    <w:p w14:paraId="0C0EE171" w14:textId="77777777" w:rsidR="004A6831" w:rsidRPr="00360EC2" w:rsidRDefault="004A6831" w:rsidP="004A6831">
      <w:pPr>
        <w:autoSpaceDE w:val="0"/>
        <w:autoSpaceDN w:val="0"/>
        <w:adjustRightInd w:val="0"/>
        <w:jc w:val="both"/>
        <w:rPr>
          <w:rFonts w:ascii="Abadi" w:hAnsi="Abadi" w:cs="*Arial-6238-Identity-H"/>
          <w:color w:val="0B0B0E"/>
          <w:sz w:val="21"/>
          <w:szCs w:val="21"/>
        </w:rPr>
      </w:pPr>
    </w:p>
    <w:p w14:paraId="31EB52F1" w14:textId="77777777" w:rsidR="004A6831" w:rsidRPr="00360EC2" w:rsidRDefault="004A6831" w:rsidP="004A6831">
      <w:pPr>
        <w:autoSpaceDE w:val="0"/>
        <w:autoSpaceDN w:val="0"/>
        <w:adjustRightInd w:val="0"/>
        <w:ind w:firstLine="708"/>
        <w:jc w:val="both"/>
        <w:rPr>
          <w:rFonts w:ascii="Abadi" w:hAnsi="Abadi" w:cs="*Arial-6238-Identity-H"/>
          <w:color w:val="0D0C0F"/>
          <w:sz w:val="21"/>
          <w:szCs w:val="21"/>
        </w:rPr>
      </w:pPr>
      <w:r w:rsidRPr="00360EC2">
        <w:rPr>
          <w:rFonts w:ascii="Abadi" w:hAnsi="Abadi" w:cs="*Arial-6238-Identity-H"/>
          <w:color w:val="0D0C0F"/>
          <w:sz w:val="21"/>
          <w:szCs w:val="21"/>
        </w:rPr>
        <w:t>El seguimiento de las recomendaciones que persisten se realizará por la</w:t>
      </w:r>
      <w:r>
        <w:rPr>
          <w:rFonts w:ascii="Abadi" w:hAnsi="Abadi" w:cs="*Arial-6238-Identity-H"/>
          <w:color w:val="0D0C0F"/>
          <w:sz w:val="21"/>
          <w:szCs w:val="21"/>
        </w:rPr>
        <w:t xml:space="preserve"> </w:t>
      </w:r>
      <w:r w:rsidRPr="00360EC2">
        <w:rPr>
          <w:rFonts w:ascii="Abadi" w:hAnsi="Abadi" w:cs="*Arial-6238-Identity-H"/>
          <w:color w:val="0D0C0F"/>
          <w:sz w:val="21"/>
          <w:szCs w:val="21"/>
        </w:rPr>
        <w:t>Auditoría Superior del Estado, hasta su total implementación, acorde a la</w:t>
      </w:r>
      <w:r>
        <w:rPr>
          <w:rFonts w:ascii="Abadi" w:hAnsi="Abadi" w:cs="*Arial-6238-Identity-H"/>
          <w:color w:val="0D0C0F"/>
          <w:sz w:val="21"/>
          <w:szCs w:val="21"/>
        </w:rPr>
        <w:t xml:space="preserve"> </w:t>
      </w:r>
      <w:r w:rsidRPr="00360EC2">
        <w:rPr>
          <w:rFonts w:ascii="Abadi" w:hAnsi="Abadi" w:cs="*Arial-6238-Identity-H"/>
          <w:color w:val="0D0C0F"/>
          <w:sz w:val="21"/>
          <w:szCs w:val="21"/>
        </w:rPr>
        <w:t>normativa aplicable.</w:t>
      </w:r>
    </w:p>
    <w:p w14:paraId="2BD9A571" w14:textId="77777777" w:rsidR="004A6831" w:rsidRDefault="004A6831" w:rsidP="004A6831">
      <w:pPr>
        <w:autoSpaceDE w:val="0"/>
        <w:autoSpaceDN w:val="0"/>
        <w:adjustRightInd w:val="0"/>
        <w:jc w:val="both"/>
        <w:rPr>
          <w:rFonts w:ascii="Abadi" w:hAnsi="Abadi" w:cs="*Calibri-Bold-6237-Identity-H"/>
          <w:b/>
          <w:bCs/>
          <w:color w:val="0C0C10"/>
          <w:sz w:val="21"/>
          <w:szCs w:val="21"/>
        </w:rPr>
      </w:pPr>
    </w:p>
    <w:p w14:paraId="57ACBB3D" w14:textId="77777777" w:rsidR="004A6831" w:rsidRDefault="004A6831" w:rsidP="004A6831">
      <w:pPr>
        <w:autoSpaceDE w:val="0"/>
        <w:autoSpaceDN w:val="0"/>
        <w:adjustRightInd w:val="0"/>
        <w:ind w:firstLine="708"/>
        <w:jc w:val="both"/>
        <w:rPr>
          <w:rFonts w:ascii="Abadi" w:hAnsi="Abadi" w:cs="*Calibri-Bold-6237-Identity-H"/>
          <w:b/>
          <w:bCs/>
          <w:color w:val="0C0C10"/>
          <w:sz w:val="21"/>
          <w:szCs w:val="21"/>
        </w:rPr>
      </w:pPr>
      <w:r w:rsidRPr="00360EC2">
        <w:rPr>
          <w:rFonts w:ascii="Abadi" w:hAnsi="Abadi" w:cs="*Calibri-Bold-6237-Identity-H"/>
          <w:b/>
          <w:bCs/>
          <w:color w:val="0C0C10"/>
          <w:sz w:val="21"/>
          <w:szCs w:val="21"/>
        </w:rPr>
        <w:t>V. Conclusiones:</w:t>
      </w:r>
    </w:p>
    <w:p w14:paraId="1897EF2D" w14:textId="77777777" w:rsidR="004A6831" w:rsidRPr="00360EC2" w:rsidRDefault="004A6831" w:rsidP="004A6831">
      <w:pPr>
        <w:autoSpaceDE w:val="0"/>
        <w:autoSpaceDN w:val="0"/>
        <w:adjustRightInd w:val="0"/>
        <w:jc w:val="both"/>
        <w:rPr>
          <w:rFonts w:ascii="Abadi" w:hAnsi="Abadi" w:cs="*Calibri-Bold-6237-Identity-H"/>
          <w:b/>
          <w:bCs/>
          <w:color w:val="0C0C10"/>
          <w:sz w:val="21"/>
          <w:szCs w:val="21"/>
        </w:rPr>
      </w:pPr>
    </w:p>
    <w:p w14:paraId="17BF46ED" w14:textId="77777777" w:rsidR="004A6831" w:rsidRDefault="004A6831" w:rsidP="004A6831">
      <w:pPr>
        <w:autoSpaceDE w:val="0"/>
        <w:autoSpaceDN w:val="0"/>
        <w:adjustRightInd w:val="0"/>
        <w:ind w:firstLine="708"/>
        <w:jc w:val="both"/>
        <w:rPr>
          <w:rFonts w:ascii="Abadi" w:hAnsi="Abadi" w:cs="*Arial-6238-Identity-H"/>
          <w:color w:val="0E0E11"/>
          <w:sz w:val="21"/>
          <w:szCs w:val="21"/>
        </w:rPr>
      </w:pPr>
      <w:r w:rsidRPr="00360EC2">
        <w:rPr>
          <w:rFonts w:ascii="Abadi" w:hAnsi="Abadi" w:cs="*Arial-6238-Identity-H"/>
          <w:color w:val="0E0E11"/>
          <w:sz w:val="21"/>
          <w:szCs w:val="21"/>
        </w:rPr>
        <w:t>Como ya lo habíamos señalado en párrafos anteriores, el artículo 38 de la</w:t>
      </w:r>
      <w:r>
        <w:rPr>
          <w:rFonts w:ascii="Abadi" w:hAnsi="Abadi" w:cs="*Arial-6238-Identity-H"/>
          <w:color w:val="0E0E11"/>
          <w:sz w:val="21"/>
          <w:szCs w:val="21"/>
        </w:rPr>
        <w:t xml:space="preserve"> </w:t>
      </w:r>
      <w:r w:rsidRPr="00360EC2">
        <w:rPr>
          <w:rFonts w:ascii="Abadi" w:hAnsi="Abadi" w:cs="*Arial-6238-Identity-H"/>
          <w:color w:val="0E0E11"/>
          <w:sz w:val="21"/>
          <w:szCs w:val="21"/>
        </w:rPr>
        <w:t>Ley de Fiscalización Superior del Estado de Guanajuato establece que los</w:t>
      </w:r>
      <w:r>
        <w:rPr>
          <w:rFonts w:ascii="Abadi" w:hAnsi="Abadi" w:cs="*Arial-6238-Identity-H"/>
          <w:color w:val="0E0E11"/>
          <w:sz w:val="21"/>
          <w:szCs w:val="21"/>
        </w:rPr>
        <w:t xml:space="preserve"> </w:t>
      </w:r>
      <w:r w:rsidRPr="00360EC2">
        <w:rPr>
          <w:rFonts w:ascii="Abadi" w:hAnsi="Abadi" w:cs="*Arial-6238-Identity-H"/>
          <w:color w:val="0E0E11"/>
          <w:sz w:val="21"/>
          <w:szCs w:val="21"/>
        </w:rPr>
        <w:t>informes de resultados únicamente podrán ser observados por las dos terceras</w:t>
      </w:r>
      <w:r>
        <w:rPr>
          <w:rFonts w:ascii="Abadi" w:hAnsi="Abadi" w:cs="*Arial-6238-Identity-H"/>
          <w:color w:val="0E0E11"/>
          <w:sz w:val="21"/>
          <w:szCs w:val="21"/>
        </w:rPr>
        <w:t xml:space="preserve"> </w:t>
      </w:r>
      <w:r w:rsidRPr="00360EC2">
        <w:rPr>
          <w:rFonts w:ascii="Abadi" w:hAnsi="Abadi" w:cs="*Arial-6238-Identity-H"/>
          <w:color w:val="0E0E11"/>
          <w:sz w:val="21"/>
          <w:szCs w:val="21"/>
        </w:rPr>
        <w:t>partes de los diputados integrantes del Congreso, cuando no se observen las</w:t>
      </w:r>
      <w:r>
        <w:rPr>
          <w:rFonts w:ascii="Abadi" w:hAnsi="Abadi" w:cs="*Arial-6238-Identity-H"/>
          <w:color w:val="0E0E11"/>
          <w:sz w:val="21"/>
          <w:szCs w:val="21"/>
        </w:rPr>
        <w:t xml:space="preserve"> </w:t>
      </w:r>
      <w:r w:rsidRPr="00360EC2">
        <w:rPr>
          <w:rFonts w:ascii="Abadi" w:hAnsi="Abadi" w:cs="*Arial-6238-Identity-H"/>
          <w:color w:val="0E0E11"/>
          <w:sz w:val="21"/>
          <w:szCs w:val="21"/>
        </w:rPr>
        <w:t>formalidades esenciales del proceso de fiscalización.</w:t>
      </w:r>
    </w:p>
    <w:p w14:paraId="2010A0B5" w14:textId="77777777" w:rsidR="004A6831" w:rsidRPr="00360EC2" w:rsidRDefault="004A6831" w:rsidP="004A6831">
      <w:pPr>
        <w:autoSpaceDE w:val="0"/>
        <w:autoSpaceDN w:val="0"/>
        <w:adjustRightInd w:val="0"/>
        <w:jc w:val="both"/>
        <w:rPr>
          <w:rFonts w:ascii="Abadi" w:hAnsi="Abadi" w:cs="*Arial-6238-Identity-H"/>
          <w:color w:val="0E0E11"/>
          <w:sz w:val="21"/>
          <w:szCs w:val="21"/>
        </w:rPr>
      </w:pPr>
    </w:p>
    <w:p w14:paraId="38F1F27B" w14:textId="77777777" w:rsidR="004A6831" w:rsidRDefault="004A6831" w:rsidP="004A6831">
      <w:pPr>
        <w:autoSpaceDE w:val="0"/>
        <w:autoSpaceDN w:val="0"/>
        <w:adjustRightInd w:val="0"/>
        <w:ind w:firstLine="708"/>
        <w:jc w:val="both"/>
        <w:rPr>
          <w:rFonts w:ascii="Abadi" w:hAnsi="Abadi" w:cs="*Arial-6238-Identity-H"/>
          <w:color w:val="0E0D11"/>
          <w:sz w:val="21"/>
          <w:szCs w:val="21"/>
        </w:rPr>
      </w:pPr>
      <w:r w:rsidRPr="00360EC2">
        <w:rPr>
          <w:rFonts w:ascii="Abadi" w:hAnsi="Abadi" w:cs="*Arial-6238-Identity-H"/>
          <w:color w:val="0E0D11"/>
          <w:sz w:val="21"/>
          <w:szCs w:val="21"/>
        </w:rPr>
        <w:t>En este sentido, quienes integramos esta Comisión analizamos el informe</w:t>
      </w:r>
      <w:r>
        <w:rPr>
          <w:rFonts w:ascii="Abadi" w:hAnsi="Abadi" w:cs="*Arial-6238-Identity-H"/>
          <w:color w:val="0E0D11"/>
          <w:sz w:val="21"/>
          <w:szCs w:val="21"/>
        </w:rPr>
        <w:t xml:space="preserve"> </w:t>
      </w:r>
      <w:r w:rsidRPr="00360EC2">
        <w:rPr>
          <w:rFonts w:ascii="Abadi" w:hAnsi="Abadi" w:cs="*Arial-6238-Identity-H"/>
          <w:color w:val="0E0D11"/>
          <w:sz w:val="21"/>
          <w:szCs w:val="21"/>
        </w:rPr>
        <w:t>de resultados materia del presente dictamen, considerando la hipótesis referida en</w:t>
      </w:r>
      <w:r>
        <w:rPr>
          <w:rFonts w:ascii="Abadi" w:hAnsi="Abadi" w:cs="*Arial-6238-Identity-H"/>
          <w:color w:val="0E0D11"/>
          <w:sz w:val="21"/>
          <w:szCs w:val="21"/>
        </w:rPr>
        <w:t xml:space="preserve"> </w:t>
      </w:r>
      <w:r w:rsidRPr="00360EC2">
        <w:rPr>
          <w:rFonts w:ascii="Abadi" w:hAnsi="Abadi" w:cs="*Arial-6238-Identity-H"/>
          <w:color w:val="0E0D11"/>
          <w:sz w:val="21"/>
          <w:szCs w:val="21"/>
        </w:rPr>
        <w:t>el precepto anteriormente señalado.</w:t>
      </w:r>
    </w:p>
    <w:p w14:paraId="34F03166" w14:textId="77777777" w:rsidR="004A6831" w:rsidRPr="00360EC2" w:rsidRDefault="004A6831" w:rsidP="004A6831">
      <w:pPr>
        <w:autoSpaceDE w:val="0"/>
        <w:autoSpaceDN w:val="0"/>
        <w:adjustRightInd w:val="0"/>
        <w:jc w:val="both"/>
        <w:rPr>
          <w:rFonts w:ascii="Abadi" w:hAnsi="Abadi" w:cs="*Arial-6238-Identity-H"/>
          <w:color w:val="0E0D11"/>
          <w:sz w:val="21"/>
          <w:szCs w:val="21"/>
        </w:rPr>
      </w:pPr>
    </w:p>
    <w:p w14:paraId="7DA3F24A" w14:textId="77777777" w:rsidR="004A6831" w:rsidRPr="00360EC2" w:rsidRDefault="004A6831" w:rsidP="004A6831">
      <w:pPr>
        <w:autoSpaceDE w:val="0"/>
        <w:autoSpaceDN w:val="0"/>
        <w:adjustRightInd w:val="0"/>
        <w:ind w:firstLine="708"/>
        <w:jc w:val="both"/>
        <w:rPr>
          <w:rFonts w:ascii="Abadi" w:hAnsi="Abadi" w:cs="*Arial-6238-Identity-H"/>
          <w:color w:val="0D0D0F"/>
          <w:sz w:val="21"/>
          <w:szCs w:val="21"/>
        </w:rPr>
      </w:pPr>
      <w:r w:rsidRPr="00360EC2">
        <w:rPr>
          <w:rFonts w:ascii="Abadi" w:hAnsi="Abadi" w:cs="*Arial-6238-Identity-H"/>
          <w:color w:val="0D0D0F"/>
          <w:sz w:val="21"/>
          <w:szCs w:val="21"/>
        </w:rPr>
        <w:t>Como se desprende del informe de resultados, el Órgano Técnico dio</w:t>
      </w:r>
      <w:r>
        <w:rPr>
          <w:rFonts w:ascii="Abadi" w:hAnsi="Abadi" w:cs="*Arial-6238-Identity-H"/>
          <w:color w:val="0D0D0F"/>
          <w:sz w:val="21"/>
          <w:szCs w:val="21"/>
        </w:rPr>
        <w:t xml:space="preserve"> </w:t>
      </w:r>
      <w:r w:rsidRPr="00360EC2">
        <w:rPr>
          <w:rFonts w:ascii="Abadi" w:hAnsi="Abadi" w:cs="*Arial-6238-Identity-H"/>
          <w:color w:val="0D0D0F"/>
          <w:sz w:val="21"/>
          <w:szCs w:val="21"/>
        </w:rPr>
        <w:t>cumplimiento al artículo 58 de la Ley de Fiscalización Superior del Estado de</w:t>
      </w:r>
      <w:r>
        <w:rPr>
          <w:rFonts w:ascii="Abadi" w:hAnsi="Abadi" w:cs="*Arial-6238-Identity-H"/>
          <w:color w:val="0D0D0F"/>
          <w:sz w:val="21"/>
          <w:szCs w:val="21"/>
        </w:rPr>
        <w:t xml:space="preserve"> </w:t>
      </w:r>
      <w:r w:rsidRPr="00360EC2">
        <w:rPr>
          <w:rFonts w:ascii="Abadi" w:hAnsi="Abadi" w:cs="*Arial-6238-Identity-H"/>
          <w:color w:val="0D0D0F"/>
          <w:sz w:val="21"/>
          <w:szCs w:val="21"/>
        </w:rPr>
        <w:t>Guanajuato, al haberse notificado las recomendaciones derivadas de la auditoría</w:t>
      </w:r>
      <w:r>
        <w:rPr>
          <w:rFonts w:ascii="Abadi" w:hAnsi="Abadi" w:cs="*Arial-6238-Identity-H"/>
          <w:color w:val="0D0D0F"/>
          <w:sz w:val="21"/>
          <w:szCs w:val="21"/>
        </w:rPr>
        <w:t xml:space="preserve"> </w:t>
      </w:r>
      <w:r w:rsidRPr="00360EC2">
        <w:rPr>
          <w:rFonts w:ascii="Abadi" w:hAnsi="Abadi" w:cs="*Arial-6238-Identity-H"/>
          <w:color w:val="0D0D0F"/>
          <w:sz w:val="21"/>
          <w:szCs w:val="21"/>
        </w:rPr>
        <w:t>al sujeto fiscalizado, concediéndole el plazo que establece la Ley para atender las</w:t>
      </w:r>
      <w:r>
        <w:rPr>
          <w:rFonts w:ascii="Abadi" w:hAnsi="Abadi" w:cs="*Arial-6238-Identity-H"/>
          <w:color w:val="0D0D0F"/>
          <w:sz w:val="21"/>
          <w:szCs w:val="21"/>
        </w:rPr>
        <w:t xml:space="preserve"> </w:t>
      </w:r>
      <w:r w:rsidRPr="00360EC2">
        <w:rPr>
          <w:rFonts w:ascii="Abadi" w:hAnsi="Abadi" w:cs="*Arial-6238-Identity-H"/>
          <w:color w:val="0D0D0F"/>
          <w:sz w:val="21"/>
          <w:szCs w:val="21"/>
        </w:rPr>
        <w:t>recomendaciones formuladas por el Órgano Técnico. Al respecto, el sujeto</w:t>
      </w:r>
      <w:r>
        <w:rPr>
          <w:rFonts w:ascii="Abadi" w:hAnsi="Abadi" w:cs="*Arial-6238-Identity-H"/>
          <w:color w:val="0D0D0F"/>
          <w:sz w:val="21"/>
          <w:szCs w:val="21"/>
        </w:rPr>
        <w:t xml:space="preserve"> </w:t>
      </w:r>
      <w:r w:rsidRPr="00360EC2">
        <w:rPr>
          <w:rFonts w:ascii="Abadi" w:hAnsi="Abadi" w:cs="*Arial-6238-Identity-H"/>
          <w:color w:val="0D0D0F"/>
          <w:sz w:val="21"/>
          <w:szCs w:val="21"/>
        </w:rPr>
        <w:t>fiscalizado no dio respuesta al pliego de recomendaciones.</w:t>
      </w:r>
    </w:p>
    <w:p w14:paraId="1592F1BA" w14:textId="77777777" w:rsidR="004A6831" w:rsidRDefault="004A6831" w:rsidP="004A6831">
      <w:pPr>
        <w:autoSpaceDE w:val="0"/>
        <w:autoSpaceDN w:val="0"/>
        <w:adjustRightInd w:val="0"/>
        <w:jc w:val="both"/>
        <w:rPr>
          <w:rFonts w:ascii="Abadi" w:hAnsi="Abadi" w:cs="*Arial-6322-Identity-H"/>
          <w:color w:val="0D0D0F"/>
          <w:sz w:val="21"/>
          <w:szCs w:val="21"/>
        </w:rPr>
      </w:pPr>
    </w:p>
    <w:p w14:paraId="3D1A994E" w14:textId="338AF561" w:rsidR="004A6831" w:rsidRDefault="004A6831" w:rsidP="00152457">
      <w:pPr>
        <w:autoSpaceDE w:val="0"/>
        <w:autoSpaceDN w:val="0"/>
        <w:adjustRightInd w:val="0"/>
        <w:ind w:firstLine="708"/>
        <w:jc w:val="both"/>
        <w:rPr>
          <w:rFonts w:ascii="Abadi" w:hAnsi="Abadi" w:cs="*Arial-6322-Identity-H"/>
          <w:color w:val="0C0B0E"/>
          <w:sz w:val="21"/>
          <w:szCs w:val="21"/>
        </w:rPr>
      </w:pPr>
      <w:r w:rsidRPr="00360EC2">
        <w:rPr>
          <w:rFonts w:ascii="Abadi" w:hAnsi="Abadi" w:cs="*Arial-6322-Identity-H"/>
          <w:color w:val="0D0D0F"/>
          <w:sz w:val="21"/>
          <w:szCs w:val="21"/>
        </w:rPr>
        <w:t>De igual manera, existe en el informe de resultados la constancia de que</w:t>
      </w:r>
      <w:r>
        <w:rPr>
          <w:rFonts w:ascii="Abadi" w:hAnsi="Abadi" w:cs="*Arial-6322-Identity-H"/>
          <w:color w:val="0D0D0F"/>
          <w:sz w:val="21"/>
          <w:szCs w:val="21"/>
        </w:rPr>
        <w:t xml:space="preserve"> </w:t>
      </w:r>
      <w:r w:rsidRPr="00360EC2">
        <w:rPr>
          <w:rFonts w:ascii="Abadi" w:hAnsi="Abadi" w:cs="*Arial-6322-Identity-H"/>
          <w:color w:val="0D0D0F"/>
          <w:sz w:val="21"/>
          <w:szCs w:val="21"/>
        </w:rPr>
        <w:t>este se notificó al sujeto fiscalizado. En tal virtud, se considera que fue respetado</w:t>
      </w:r>
      <w:r>
        <w:rPr>
          <w:rFonts w:ascii="Abadi" w:hAnsi="Abadi" w:cs="*Arial-6322-Identity-H"/>
          <w:color w:val="0D0D0F"/>
          <w:sz w:val="21"/>
          <w:szCs w:val="21"/>
        </w:rPr>
        <w:t xml:space="preserve"> </w:t>
      </w:r>
      <w:r w:rsidRPr="00360EC2">
        <w:rPr>
          <w:rFonts w:ascii="Abadi" w:hAnsi="Abadi" w:cs="*Arial-6322-Identity-H"/>
          <w:color w:val="0D0D0F"/>
          <w:sz w:val="21"/>
          <w:szCs w:val="21"/>
        </w:rPr>
        <w:t>el derecho de audiencia o defensa por parte del Órgano Técnico.</w:t>
      </w:r>
      <w:r>
        <w:rPr>
          <w:rFonts w:ascii="Abadi" w:hAnsi="Abadi" w:cs="*Arial-6322-Identity-H"/>
          <w:color w:val="0D0D0F"/>
          <w:sz w:val="21"/>
          <w:szCs w:val="21"/>
        </w:rPr>
        <w:t xml:space="preserve"> </w:t>
      </w:r>
      <w:r w:rsidRPr="00360EC2">
        <w:rPr>
          <w:rFonts w:ascii="Abadi" w:hAnsi="Abadi" w:cs="*Arial-6322-Identity-H"/>
          <w:color w:val="0C0B0E"/>
          <w:sz w:val="21"/>
          <w:szCs w:val="21"/>
        </w:rPr>
        <w:t>Asimismo, del informe de resultados podemos inferir que el Órgano Técnico</w:t>
      </w:r>
      <w:r>
        <w:rPr>
          <w:rFonts w:ascii="Abadi" w:hAnsi="Abadi" w:cs="*Arial-6322-Identity-H"/>
          <w:color w:val="0C0B0E"/>
          <w:sz w:val="21"/>
          <w:szCs w:val="21"/>
        </w:rPr>
        <w:t xml:space="preserve"> </w:t>
      </w:r>
      <w:r w:rsidRPr="00360EC2">
        <w:rPr>
          <w:rFonts w:ascii="Abadi" w:hAnsi="Abadi" w:cs="*Arial-6322-Identity-H"/>
          <w:color w:val="0C0B0E"/>
          <w:sz w:val="21"/>
          <w:szCs w:val="21"/>
        </w:rPr>
        <w:t>en el desarrollo del procedimiento de auditoría, dio cumplimiento a las</w:t>
      </w:r>
      <w:r>
        <w:rPr>
          <w:rFonts w:ascii="Abadi" w:hAnsi="Abadi" w:cs="*Arial-6322-Identity-H"/>
          <w:color w:val="0C0B0E"/>
          <w:sz w:val="21"/>
          <w:szCs w:val="21"/>
        </w:rPr>
        <w:t xml:space="preserve"> </w:t>
      </w:r>
      <w:r w:rsidRPr="00360EC2">
        <w:rPr>
          <w:rFonts w:ascii="Abadi" w:hAnsi="Abadi" w:cs="*Arial-6322-Identity-H"/>
          <w:color w:val="0C0B0E"/>
          <w:sz w:val="21"/>
          <w:szCs w:val="21"/>
        </w:rPr>
        <w:t>formalidades esenciales que la misma Ley establece para el proceso de</w:t>
      </w:r>
      <w:r>
        <w:rPr>
          <w:rFonts w:ascii="Abadi" w:hAnsi="Abadi" w:cs="*Arial-6322-Identity-H"/>
          <w:color w:val="0C0B0E"/>
          <w:sz w:val="21"/>
          <w:szCs w:val="21"/>
        </w:rPr>
        <w:t xml:space="preserve"> </w:t>
      </w:r>
      <w:r w:rsidRPr="00360EC2">
        <w:rPr>
          <w:rFonts w:ascii="Abadi" w:hAnsi="Abadi" w:cs="*Arial-6322-Identity-H"/>
          <w:color w:val="0C0B0E"/>
          <w:sz w:val="21"/>
          <w:szCs w:val="21"/>
        </w:rPr>
        <w:t>fiscalización, al haberse practicado la auditoría que estaba contemplada en el</w:t>
      </w:r>
      <w:r>
        <w:rPr>
          <w:rFonts w:ascii="Abadi" w:hAnsi="Abadi" w:cs="*Arial-6322-Identity-H"/>
          <w:color w:val="0C0B0E"/>
          <w:sz w:val="21"/>
          <w:szCs w:val="21"/>
        </w:rPr>
        <w:t xml:space="preserve"> </w:t>
      </w:r>
      <w:r w:rsidRPr="00360EC2">
        <w:rPr>
          <w:rFonts w:ascii="Abadi" w:hAnsi="Abadi" w:cs="*Arial-6322-Identity-H"/>
          <w:color w:val="0C0B0E"/>
          <w:sz w:val="21"/>
          <w:szCs w:val="21"/>
        </w:rPr>
        <w:t>Programa General de Fiscalización 2021, aprobado por el Auditor Superior del</w:t>
      </w:r>
      <w:r>
        <w:rPr>
          <w:rFonts w:ascii="Abadi" w:hAnsi="Abadi" w:cs="*Arial-6322-Identity-H"/>
          <w:color w:val="0C0B0E"/>
          <w:sz w:val="21"/>
          <w:szCs w:val="21"/>
        </w:rPr>
        <w:t xml:space="preserve"> </w:t>
      </w:r>
      <w:r w:rsidRPr="00360EC2">
        <w:rPr>
          <w:rFonts w:ascii="Abadi" w:hAnsi="Abadi" w:cs="*Arial-6322-Identity-H"/>
          <w:color w:val="0C0B0E"/>
          <w:sz w:val="21"/>
          <w:szCs w:val="21"/>
        </w:rPr>
        <w:t>Estado. Asimismo, la auditoría se efectuó atendiendo a lo establecido en la</w:t>
      </w:r>
      <w:r w:rsidR="00152457">
        <w:rPr>
          <w:rFonts w:ascii="Abadi" w:hAnsi="Abadi" w:cs="*Arial-6322-Identity-H"/>
          <w:color w:val="0C0B0E"/>
          <w:sz w:val="21"/>
          <w:szCs w:val="21"/>
        </w:rPr>
        <w:t xml:space="preserve"> </w:t>
      </w:r>
      <w:r w:rsidRPr="00360EC2">
        <w:rPr>
          <w:rFonts w:ascii="Abadi" w:hAnsi="Abadi" w:cs="*Arial-6322-Identity-H"/>
          <w:color w:val="0C0B0E"/>
          <w:sz w:val="21"/>
          <w:szCs w:val="21"/>
        </w:rPr>
        <w:t>normatividad aplicable en la materia, cumpliendo lo estipulado por el artículo 3 y el</w:t>
      </w:r>
      <w:r>
        <w:rPr>
          <w:rFonts w:ascii="Abadi" w:hAnsi="Abadi" w:cs="*Arial-6322-Identity-H"/>
          <w:color w:val="0C0B0E"/>
          <w:sz w:val="21"/>
          <w:szCs w:val="21"/>
        </w:rPr>
        <w:t xml:space="preserve"> </w:t>
      </w:r>
      <w:r w:rsidRPr="00360EC2">
        <w:rPr>
          <w:rFonts w:ascii="Abadi" w:hAnsi="Abadi" w:cs="*Arial-6322-Identity-H"/>
          <w:color w:val="0C0B0E"/>
          <w:sz w:val="21"/>
          <w:szCs w:val="21"/>
        </w:rPr>
        <w:t>Capítulo VI del Título Segundo de la Ley de Fiscalización Superior del Estado de</w:t>
      </w:r>
      <w:r>
        <w:rPr>
          <w:rFonts w:ascii="Abadi" w:hAnsi="Abadi" w:cs="*Arial-6322-Identity-H"/>
          <w:color w:val="0C0B0E"/>
          <w:sz w:val="21"/>
          <w:szCs w:val="21"/>
        </w:rPr>
        <w:t xml:space="preserve"> </w:t>
      </w:r>
      <w:r w:rsidRPr="00360EC2">
        <w:rPr>
          <w:rFonts w:ascii="Abadi" w:hAnsi="Abadi" w:cs="*Arial-6322-Identity-H"/>
          <w:color w:val="0C0B0E"/>
          <w:sz w:val="21"/>
          <w:szCs w:val="21"/>
        </w:rPr>
        <w:t>Guanajuato, así como el artículo 28 del Reglamento de dicha Ley.</w:t>
      </w:r>
    </w:p>
    <w:p w14:paraId="40780B3F" w14:textId="77777777" w:rsidR="004A6831" w:rsidRPr="00360EC2" w:rsidRDefault="004A6831" w:rsidP="004A6831">
      <w:pPr>
        <w:autoSpaceDE w:val="0"/>
        <w:autoSpaceDN w:val="0"/>
        <w:adjustRightInd w:val="0"/>
        <w:jc w:val="both"/>
        <w:rPr>
          <w:rFonts w:ascii="Abadi" w:hAnsi="Abadi" w:cs="*Arial-6322-Identity-H"/>
          <w:color w:val="0C0B0E"/>
          <w:sz w:val="21"/>
          <w:szCs w:val="21"/>
        </w:rPr>
      </w:pPr>
    </w:p>
    <w:p w14:paraId="5854356B" w14:textId="77777777" w:rsidR="004A6831" w:rsidRDefault="004A6831" w:rsidP="004A6831">
      <w:pPr>
        <w:autoSpaceDE w:val="0"/>
        <w:autoSpaceDN w:val="0"/>
        <w:adjustRightInd w:val="0"/>
        <w:ind w:firstLine="708"/>
        <w:jc w:val="both"/>
        <w:rPr>
          <w:rFonts w:ascii="Abadi" w:hAnsi="Abadi" w:cs="*Arial-6322-Identity-H"/>
          <w:color w:val="0D0D0F"/>
          <w:sz w:val="21"/>
          <w:szCs w:val="21"/>
        </w:rPr>
      </w:pPr>
      <w:r w:rsidRPr="00360EC2">
        <w:rPr>
          <w:rFonts w:ascii="Abadi" w:hAnsi="Abadi" w:cs="*Arial-6322-Identity-H"/>
          <w:color w:val="0D0D0F"/>
          <w:sz w:val="21"/>
          <w:szCs w:val="21"/>
        </w:rPr>
        <w:t>Finalmente, es de destacar que el cumplimiento de los Objetivos del</w:t>
      </w:r>
      <w:r>
        <w:rPr>
          <w:rFonts w:ascii="Abadi" w:hAnsi="Abadi" w:cs="*Arial-6322-Identity-H"/>
          <w:color w:val="0D0D0F"/>
          <w:sz w:val="21"/>
          <w:szCs w:val="21"/>
        </w:rPr>
        <w:t xml:space="preserve"> </w:t>
      </w:r>
      <w:r w:rsidRPr="00360EC2">
        <w:rPr>
          <w:rFonts w:ascii="Abadi" w:hAnsi="Abadi" w:cs="*Arial-6322-Identity-H"/>
          <w:color w:val="0D0D0F"/>
          <w:sz w:val="21"/>
          <w:szCs w:val="21"/>
        </w:rPr>
        <w:t>Desarrollo Sostenible de la Agenda 2030 está presente en el dictamen puesto a su</w:t>
      </w:r>
      <w:r>
        <w:rPr>
          <w:rFonts w:ascii="Abadi" w:hAnsi="Abadi" w:cs="*Arial-6322-Identity-H"/>
          <w:color w:val="0D0D0F"/>
          <w:sz w:val="21"/>
          <w:szCs w:val="21"/>
        </w:rPr>
        <w:t xml:space="preserve"> </w:t>
      </w:r>
      <w:r w:rsidRPr="00360EC2">
        <w:rPr>
          <w:rFonts w:ascii="Abadi" w:hAnsi="Abadi" w:cs="*Arial-6322-Identity-H"/>
          <w:color w:val="0D0D0F"/>
          <w:sz w:val="21"/>
          <w:szCs w:val="21"/>
        </w:rPr>
        <w:t>consideración, pues el mismo incide de manera directa en el Objetivo 16</w:t>
      </w:r>
      <w:r>
        <w:rPr>
          <w:rFonts w:ascii="Abadi" w:hAnsi="Abadi" w:cs="*Arial-6322-Identity-H"/>
          <w:color w:val="0D0D0F"/>
          <w:sz w:val="21"/>
          <w:szCs w:val="21"/>
        </w:rPr>
        <w:t xml:space="preserve"> </w:t>
      </w:r>
      <w:r w:rsidRPr="00360EC2">
        <w:rPr>
          <w:rFonts w:ascii="Abadi" w:hAnsi="Abadi" w:cs="*Arial-6322-Identity-H"/>
          <w:color w:val="0D0D0F"/>
          <w:sz w:val="21"/>
          <w:szCs w:val="21"/>
        </w:rPr>
        <w:t>denominado Paz, Justicia e Instituciones Sólidas. Promover sociedades justas,</w:t>
      </w:r>
      <w:r>
        <w:rPr>
          <w:rFonts w:ascii="Abadi" w:hAnsi="Abadi" w:cs="*Arial-6322-Identity-H"/>
          <w:color w:val="0D0D0F"/>
          <w:sz w:val="21"/>
          <w:szCs w:val="21"/>
        </w:rPr>
        <w:t xml:space="preserve"> </w:t>
      </w:r>
      <w:r w:rsidRPr="00360EC2">
        <w:rPr>
          <w:rFonts w:ascii="Abadi" w:hAnsi="Abadi" w:cs="*Arial-6322-Identity-H"/>
          <w:color w:val="0D0D0F"/>
          <w:sz w:val="21"/>
          <w:szCs w:val="21"/>
        </w:rPr>
        <w:t>pacíficas e inclusivas, respecto a la meta 16.6 Crear a todos los niveles</w:t>
      </w:r>
      <w:r>
        <w:rPr>
          <w:rFonts w:ascii="Abadi" w:hAnsi="Abadi" w:cs="*Arial-6322-Identity-H"/>
          <w:color w:val="0D0D0F"/>
          <w:sz w:val="21"/>
          <w:szCs w:val="21"/>
        </w:rPr>
        <w:t xml:space="preserve"> </w:t>
      </w:r>
      <w:r w:rsidRPr="00360EC2">
        <w:rPr>
          <w:rFonts w:ascii="Abadi" w:hAnsi="Abadi" w:cs="*Arial-6322-Identity-H"/>
          <w:color w:val="0D0D0F"/>
          <w:sz w:val="21"/>
          <w:szCs w:val="21"/>
        </w:rPr>
        <w:t>instituciones eficaces y transparentes, al abonar a la transparencia y rendición de</w:t>
      </w:r>
      <w:r>
        <w:rPr>
          <w:rFonts w:ascii="Abadi" w:hAnsi="Abadi" w:cs="*Arial-6322-Identity-H"/>
          <w:color w:val="0D0D0F"/>
          <w:sz w:val="21"/>
          <w:szCs w:val="21"/>
        </w:rPr>
        <w:t xml:space="preserve"> </w:t>
      </w:r>
      <w:r w:rsidRPr="00360EC2">
        <w:rPr>
          <w:rFonts w:ascii="Abadi" w:hAnsi="Abadi" w:cs="*Arial-6322-Identity-H"/>
          <w:color w:val="0D0D0F"/>
          <w:sz w:val="21"/>
          <w:szCs w:val="21"/>
        </w:rPr>
        <w:t>cuentas.</w:t>
      </w:r>
    </w:p>
    <w:p w14:paraId="3192394A" w14:textId="77777777" w:rsidR="004A6831" w:rsidRPr="00360EC2" w:rsidRDefault="004A6831" w:rsidP="004A6831">
      <w:pPr>
        <w:autoSpaceDE w:val="0"/>
        <w:autoSpaceDN w:val="0"/>
        <w:adjustRightInd w:val="0"/>
        <w:jc w:val="both"/>
        <w:rPr>
          <w:rFonts w:ascii="Abadi" w:hAnsi="Abadi" w:cs="*Arial-6322-Identity-H"/>
          <w:color w:val="0D0D0F"/>
          <w:sz w:val="21"/>
          <w:szCs w:val="21"/>
        </w:rPr>
      </w:pPr>
    </w:p>
    <w:p w14:paraId="67F11548" w14:textId="095C7EF5" w:rsidR="004A6831" w:rsidRPr="00360EC2" w:rsidRDefault="004A6831" w:rsidP="00D92C68">
      <w:pPr>
        <w:autoSpaceDE w:val="0"/>
        <w:autoSpaceDN w:val="0"/>
        <w:adjustRightInd w:val="0"/>
        <w:ind w:firstLine="708"/>
        <w:jc w:val="both"/>
        <w:rPr>
          <w:rFonts w:ascii="Abadi" w:hAnsi="Abadi" w:cs="*Arial-6322-Identity-H"/>
          <w:color w:val="0C0C0F"/>
          <w:sz w:val="21"/>
          <w:szCs w:val="21"/>
        </w:rPr>
      </w:pPr>
      <w:r w:rsidRPr="00360EC2">
        <w:rPr>
          <w:rFonts w:ascii="Abadi" w:hAnsi="Abadi" w:cs="*Arial-6322-Identity-H"/>
          <w:color w:val="0C0C0F"/>
          <w:sz w:val="21"/>
          <w:szCs w:val="21"/>
        </w:rPr>
        <w:t>En- razón de lo anteriormente señalado, concluimos que el informe de</w:t>
      </w:r>
      <w:r>
        <w:rPr>
          <w:rFonts w:ascii="Abadi" w:hAnsi="Abadi" w:cs="*Arial-6322-Identity-H"/>
          <w:color w:val="0C0C0F"/>
          <w:sz w:val="21"/>
          <w:szCs w:val="21"/>
        </w:rPr>
        <w:t xml:space="preserve"> </w:t>
      </w:r>
      <w:r w:rsidRPr="00360EC2">
        <w:rPr>
          <w:rFonts w:ascii="Abadi" w:hAnsi="Abadi" w:cs="*Arial-6322-Identity-H"/>
          <w:color w:val="0C0C0F"/>
          <w:sz w:val="21"/>
          <w:szCs w:val="21"/>
        </w:rPr>
        <w:t>resultados de la auditoría de desempeño practicada a la administración municipal</w:t>
      </w:r>
      <w:r>
        <w:rPr>
          <w:rFonts w:ascii="Abadi" w:hAnsi="Abadi" w:cs="*Arial-6322-Identity-H"/>
          <w:color w:val="0C0C0F"/>
          <w:sz w:val="21"/>
          <w:szCs w:val="21"/>
        </w:rPr>
        <w:t xml:space="preserve"> </w:t>
      </w:r>
      <w:r w:rsidRPr="00360EC2">
        <w:rPr>
          <w:rFonts w:ascii="Abadi" w:hAnsi="Abadi" w:cs="*Arial-6322-Identity-H"/>
          <w:color w:val="0C0C0F"/>
          <w:sz w:val="21"/>
          <w:szCs w:val="21"/>
        </w:rPr>
        <w:t xml:space="preserve">de Pueblo Nuevo, </w:t>
      </w:r>
      <w:proofErr w:type="spellStart"/>
      <w:r w:rsidRPr="00360EC2">
        <w:rPr>
          <w:rFonts w:ascii="Abadi" w:hAnsi="Abadi" w:cs="*Arial-6322-Identity-H"/>
          <w:color w:val="0C0C0F"/>
          <w:sz w:val="21"/>
          <w:szCs w:val="21"/>
        </w:rPr>
        <w:t>Gto</w:t>
      </w:r>
      <w:proofErr w:type="spellEnd"/>
      <w:r w:rsidRPr="00360EC2">
        <w:rPr>
          <w:rFonts w:ascii="Abadi" w:hAnsi="Abadi" w:cs="*Arial-6322-Identity-H"/>
          <w:color w:val="0C0C0F"/>
          <w:sz w:val="21"/>
          <w:szCs w:val="21"/>
        </w:rPr>
        <w:t>., con enfoque a resultados del servicio de alumbrado</w:t>
      </w:r>
      <w:r>
        <w:rPr>
          <w:rFonts w:ascii="Abadi" w:hAnsi="Abadi" w:cs="*Arial-6322-Identity-H"/>
          <w:color w:val="0C0C0F"/>
          <w:sz w:val="21"/>
          <w:szCs w:val="21"/>
        </w:rPr>
        <w:t xml:space="preserve"> </w:t>
      </w:r>
      <w:r w:rsidRPr="00360EC2">
        <w:rPr>
          <w:rFonts w:ascii="Abadi" w:hAnsi="Abadi" w:cs="*Arial-6322-Identity-H"/>
          <w:color w:val="0C0C0F"/>
          <w:sz w:val="21"/>
          <w:szCs w:val="21"/>
        </w:rPr>
        <w:t>público, por el ejercicio fiscal del año 2020, debe sancionarse por el Congreso en</w:t>
      </w:r>
      <w:r>
        <w:rPr>
          <w:rFonts w:ascii="Abadi" w:hAnsi="Abadi" w:cs="*Arial-6322-Identity-H"/>
          <w:color w:val="0C0C0F"/>
          <w:sz w:val="21"/>
          <w:szCs w:val="21"/>
        </w:rPr>
        <w:t xml:space="preserve"> </w:t>
      </w:r>
      <w:r w:rsidRPr="00360EC2">
        <w:rPr>
          <w:rFonts w:ascii="Abadi" w:hAnsi="Abadi" w:cs="*Arial-6322-Identity-H"/>
          <w:color w:val="0C0C0F"/>
          <w:sz w:val="21"/>
          <w:szCs w:val="21"/>
        </w:rPr>
        <w:t>los términos presentados por la Auditoria Superior del Estado y proceder a su</w:t>
      </w:r>
      <w:r w:rsidR="00D92C68">
        <w:rPr>
          <w:rFonts w:ascii="Abadi" w:hAnsi="Abadi" w:cs="*Arial-6322-Identity-H"/>
          <w:color w:val="0C0C0F"/>
          <w:sz w:val="21"/>
          <w:szCs w:val="21"/>
        </w:rPr>
        <w:t xml:space="preserve"> </w:t>
      </w:r>
      <w:r w:rsidRPr="00360EC2">
        <w:rPr>
          <w:rFonts w:ascii="Abadi" w:hAnsi="Abadi" w:cs="*Arial-6322-Identity-H"/>
          <w:color w:val="0C0C0F"/>
          <w:sz w:val="21"/>
          <w:szCs w:val="21"/>
        </w:rPr>
        <w:t>aprobación, considerando que no se presenta el supuesto contenido en el artículo</w:t>
      </w:r>
      <w:r>
        <w:rPr>
          <w:rFonts w:ascii="Abadi" w:hAnsi="Abadi" w:cs="*Arial-6322-Identity-H"/>
          <w:color w:val="0C0C0F"/>
          <w:sz w:val="21"/>
          <w:szCs w:val="21"/>
        </w:rPr>
        <w:t xml:space="preserve"> </w:t>
      </w:r>
      <w:r w:rsidRPr="00360EC2">
        <w:rPr>
          <w:rFonts w:ascii="Abadi" w:hAnsi="Abadi" w:cs="*Arial-6322-Identity-H"/>
          <w:color w:val="0C0C0F"/>
          <w:sz w:val="21"/>
          <w:szCs w:val="21"/>
        </w:rPr>
        <w:t>38 de la Ley de Fiscalización Superior del Estado de Guanajuato, razón por la cual</w:t>
      </w:r>
      <w:r>
        <w:rPr>
          <w:rFonts w:ascii="Abadi" w:hAnsi="Abadi" w:cs="*Arial-6322-Identity-H"/>
          <w:color w:val="0C0C0F"/>
          <w:sz w:val="21"/>
          <w:szCs w:val="21"/>
        </w:rPr>
        <w:t xml:space="preserve"> </w:t>
      </w:r>
      <w:r w:rsidRPr="00360EC2">
        <w:rPr>
          <w:rFonts w:ascii="Abadi" w:hAnsi="Abadi" w:cs="*Arial-6322-Identity-H"/>
          <w:color w:val="0C0C0F"/>
          <w:sz w:val="21"/>
          <w:szCs w:val="21"/>
        </w:rPr>
        <w:t>no podría ser observado por el Pleno del Congreso.</w:t>
      </w:r>
    </w:p>
    <w:p w14:paraId="26CA588E" w14:textId="77777777" w:rsidR="004A6831" w:rsidRPr="00360EC2" w:rsidRDefault="004A6831" w:rsidP="004A6831">
      <w:pPr>
        <w:autoSpaceDE w:val="0"/>
        <w:autoSpaceDN w:val="0"/>
        <w:adjustRightInd w:val="0"/>
        <w:jc w:val="both"/>
        <w:rPr>
          <w:rFonts w:ascii="Abadi" w:hAnsi="Abadi" w:cs="*Arial-5325-Identity-H"/>
          <w:color w:val="1A1A1E"/>
          <w:sz w:val="21"/>
          <w:szCs w:val="21"/>
        </w:rPr>
      </w:pPr>
    </w:p>
    <w:p w14:paraId="3BB3FA8E" w14:textId="77777777" w:rsidR="004A6831" w:rsidRPr="00360EC2" w:rsidRDefault="004A6831" w:rsidP="004A6831">
      <w:pPr>
        <w:autoSpaceDE w:val="0"/>
        <w:autoSpaceDN w:val="0"/>
        <w:adjustRightInd w:val="0"/>
        <w:ind w:firstLine="708"/>
        <w:jc w:val="both"/>
        <w:rPr>
          <w:rFonts w:ascii="Abadi" w:hAnsi="Abadi" w:cs="*Arial-5323-Identity-H"/>
          <w:color w:val="0C0C0E"/>
          <w:sz w:val="21"/>
          <w:szCs w:val="21"/>
        </w:rPr>
      </w:pPr>
      <w:r w:rsidRPr="00360EC2">
        <w:rPr>
          <w:rFonts w:ascii="Abadi" w:hAnsi="Abadi" w:cs="*Arial-5323-Identity-H"/>
          <w:color w:val="0C0C0E"/>
          <w:sz w:val="21"/>
          <w:szCs w:val="21"/>
        </w:rPr>
        <w:t>Por lo expuesto, con fundamento en el artículo 204 de la Ley Orgánica del</w:t>
      </w:r>
      <w:r>
        <w:rPr>
          <w:rFonts w:ascii="Abadi" w:hAnsi="Abadi" w:cs="*Arial-5323-Identity-H"/>
          <w:color w:val="0C0C0E"/>
          <w:sz w:val="21"/>
          <w:szCs w:val="21"/>
        </w:rPr>
        <w:t xml:space="preserve"> </w:t>
      </w:r>
      <w:r w:rsidRPr="00360EC2">
        <w:rPr>
          <w:rFonts w:ascii="Abadi" w:hAnsi="Abadi" w:cs="*Arial-5323-Identity-H"/>
          <w:color w:val="0C0C0E"/>
          <w:sz w:val="21"/>
          <w:szCs w:val="21"/>
        </w:rPr>
        <w:t>Poder Legislativo, nos permitimos someter a la consideración de la Asamblea, la</w:t>
      </w:r>
      <w:r>
        <w:rPr>
          <w:rFonts w:ascii="Abadi" w:hAnsi="Abadi" w:cs="*Arial-5323-Identity-H"/>
          <w:color w:val="0C0C0E"/>
          <w:sz w:val="21"/>
          <w:szCs w:val="21"/>
        </w:rPr>
        <w:t xml:space="preserve"> </w:t>
      </w:r>
      <w:r w:rsidRPr="00360EC2">
        <w:rPr>
          <w:rFonts w:ascii="Abadi" w:hAnsi="Abadi" w:cs="*Arial-5323-Identity-H"/>
          <w:color w:val="0C0C0E"/>
          <w:sz w:val="21"/>
          <w:szCs w:val="21"/>
        </w:rPr>
        <w:t>aprobación del siguiente:</w:t>
      </w:r>
    </w:p>
    <w:p w14:paraId="029FF18E" w14:textId="77777777" w:rsidR="004A6831" w:rsidRDefault="004A6831" w:rsidP="004A6831">
      <w:pPr>
        <w:autoSpaceDE w:val="0"/>
        <w:autoSpaceDN w:val="0"/>
        <w:adjustRightInd w:val="0"/>
        <w:jc w:val="both"/>
        <w:rPr>
          <w:rFonts w:ascii="Abadi" w:hAnsi="Abadi" w:cs="*Arial-Bold-5324-Identity-H"/>
          <w:b/>
          <w:bCs/>
          <w:color w:val="0D0C13"/>
          <w:sz w:val="21"/>
          <w:szCs w:val="21"/>
        </w:rPr>
      </w:pPr>
    </w:p>
    <w:p w14:paraId="4D029181" w14:textId="77777777" w:rsidR="004A6831" w:rsidRDefault="004A6831" w:rsidP="004A6831">
      <w:pPr>
        <w:autoSpaceDE w:val="0"/>
        <w:autoSpaceDN w:val="0"/>
        <w:adjustRightInd w:val="0"/>
        <w:jc w:val="center"/>
        <w:rPr>
          <w:rFonts w:ascii="Abadi" w:hAnsi="Abadi" w:cs="*Arial-Bold-5324-Identity-H"/>
          <w:b/>
          <w:bCs/>
          <w:color w:val="0D0C13"/>
          <w:sz w:val="21"/>
          <w:szCs w:val="21"/>
        </w:rPr>
      </w:pPr>
      <w:r w:rsidRPr="00360EC2">
        <w:rPr>
          <w:rFonts w:ascii="Abadi" w:hAnsi="Abadi" w:cs="*Arial-Bold-5324-Identity-H"/>
          <w:b/>
          <w:bCs/>
          <w:color w:val="0D0C13"/>
          <w:sz w:val="21"/>
          <w:szCs w:val="21"/>
        </w:rPr>
        <w:t>ACUERDO</w:t>
      </w:r>
    </w:p>
    <w:p w14:paraId="7694CF30" w14:textId="77777777" w:rsidR="004A6831" w:rsidRPr="00360EC2" w:rsidRDefault="004A6831" w:rsidP="004A6831">
      <w:pPr>
        <w:autoSpaceDE w:val="0"/>
        <w:autoSpaceDN w:val="0"/>
        <w:adjustRightInd w:val="0"/>
        <w:jc w:val="both"/>
        <w:rPr>
          <w:rFonts w:ascii="Abadi" w:hAnsi="Abadi" w:cs="*Arial-Bold-5324-Identity-H"/>
          <w:b/>
          <w:bCs/>
          <w:color w:val="0D0C13"/>
          <w:sz w:val="21"/>
          <w:szCs w:val="21"/>
        </w:rPr>
      </w:pPr>
    </w:p>
    <w:p w14:paraId="45DD66AA" w14:textId="77777777" w:rsidR="004A6831" w:rsidRDefault="004A6831" w:rsidP="004A6831">
      <w:pPr>
        <w:autoSpaceDE w:val="0"/>
        <w:autoSpaceDN w:val="0"/>
        <w:adjustRightInd w:val="0"/>
        <w:ind w:firstLine="708"/>
        <w:jc w:val="both"/>
        <w:rPr>
          <w:rFonts w:ascii="Abadi" w:hAnsi="Abadi" w:cs="*Arial-5323-Identity-H"/>
          <w:color w:val="0C0C0F"/>
          <w:sz w:val="21"/>
          <w:szCs w:val="21"/>
        </w:rPr>
      </w:pPr>
      <w:r w:rsidRPr="00360EC2">
        <w:rPr>
          <w:rFonts w:ascii="Abadi" w:hAnsi="Abadi" w:cs="*Arial-Bold-5324-Identity-H"/>
          <w:b/>
          <w:bCs/>
          <w:color w:val="0D0C0F"/>
          <w:sz w:val="21"/>
          <w:szCs w:val="21"/>
        </w:rPr>
        <w:t xml:space="preserve">Único. </w:t>
      </w:r>
      <w:r w:rsidRPr="00360EC2">
        <w:rPr>
          <w:rFonts w:ascii="Abadi" w:hAnsi="Abadi" w:cs="*Arial-5323-Identity-H"/>
          <w:color w:val="0D0C0F"/>
          <w:sz w:val="21"/>
          <w:szCs w:val="21"/>
        </w:rPr>
        <w:t>Con fundamento en el artículo 63 fracción XIX de la Constitución</w:t>
      </w:r>
      <w:r>
        <w:rPr>
          <w:rFonts w:ascii="Abadi" w:hAnsi="Abadi" w:cs="*Arial-5323-Identity-H"/>
          <w:color w:val="0D0C0F"/>
          <w:sz w:val="21"/>
          <w:szCs w:val="21"/>
        </w:rPr>
        <w:t xml:space="preserve"> </w:t>
      </w:r>
      <w:r w:rsidRPr="00360EC2">
        <w:rPr>
          <w:rFonts w:ascii="Abadi" w:hAnsi="Abadi" w:cs="*Arial-5323-Identity-H"/>
          <w:color w:val="0D0C0F"/>
          <w:sz w:val="21"/>
          <w:szCs w:val="21"/>
        </w:rPr>
        <w:t>Política para el Estado, en relación con los artículos 3, fracción V, 5, fracción IV,</w:t>
      </w:r>
      <w:r>
        <w:rPr>
          <w:rFonts w:ascii="Abadi" w:hAnsi="Abadi" w:cs="*Arial-5323-Identity-H"/>
          <w:color w:val="0D0C0F"/>
          <w:sz w:val="21"/>
          <w:szCs w:val="21"/>
        </w:rPr>
        <w:t xml:space="preserve"> </w:t>
      </w:r>
      <w:r w:rsidRPr="00360EC2">
        <w:rPr>
          <w:rFonts w:ascii="Abadi" w:hAnsi="Abadi" w:cs="*Arial-5323-Identity-H"/>
          <w:color w:val="0D0C0F"/>
          <w:sz w:val="21"/>
          <w:szCs w:val="21"/>
        </w:rPr>
        <w:t>56, 59 y 60 de la Ley de Fiscalización Superior del Estado de Guanajuato y 28 del</w:t>
      </w:r>
      <w:r>
        <w:rPr>
          <w:rFonts w:ascii="Abadi" w:hAnsi="Abadi" w:cs="*Arial-5323-Identity-H"/>
          <w:color w:val="0D0C0F"/>
          <w:sz w:val="21"/>
          <w:szCs w:val="21"/>
        </w:rPr>
        <w:t xml:space="preserve"> </w:t>
      </w:r>
      <w:r w:rsidRPr="00360EC2">
        <w:rPr>
          <w:rFonts w:ascii="Abadi" w:hAnsi="Abadi" w:cs="*Arial-5323-Identity-H"/>
          <w:color w:val="0D0C0F"/>
          <w:sz w:val="21"/>
          <w:szCs w:val="21"/>
        </w:rPr>
        <w:t>Reglamento de la Ley de Fiscalización Superior del Estado de Guanajuato, se</w:t>
      </w:r>
      <w:r>
        <w:rPr>
          <w:rFonts w:ascii="Abadi" w:hAnsi="Abadi" w:cs="*Arial-5323-Identity-H"/>
          <w:color w:val="0D0C0F"/>
          <w:sz w:val="21"/>
          <w:szCs w:val="21"/>
        </w:rPr>
        <w:t xml:space="preserve"> </w:t>
      </w:r>
      <w:r w:rsidRPr="00360EC2">
        <w:rPr>
          <w:rFonts w:ascii="Abadi" w:hAnsi="Abadi" w:cs="*Arial-5323-Identity-H"/>
          <w:color w:val="0D0C0F"/>
          <w:sz w:val="21"/>
          <w:szCs w:val="21"/>
        </w:rPr>
        <w:t>aprueba el informe de resultados formulado por la Auditoría Superior del Estado</w:t>
      </w:r>
      <w:r>
        <w:rPr>
          <w:rFonts w:ascii="Abadi" w:hAnsi="Abadi" w:cs="*Arial-5323-Identity-H"/>
          <w:color w:val="0D0C0F"/>
          <w:sz w:val="21"/>
          <w:szCs w:val="21"/>
        </w:rPr>
        <w:t xml:space="preserve"> </w:t>
      </w:r>
      <w:r w:rsidRPr="00360EC2">
        <w:rPr>
          <w:rFonts w:ascii="Abadi" w:hAnsi="Abadi" w:cs="*Arial-5323-Identity-H"/>
          <w:color w:val="0D0C0F"/>
          <w:sz w:val="21"/>
          <w:szCs w:val="21"/>
        </w:rPr>
        <w:t>de Guanajuato, de la auditoría de desempeño practicada a la administración</w:t>
      </w:r>
      <w:r>
        <w:rPr>
          <w:rFonts w:ascii="Abadi" w:hAnsi="Abadi" w:cs="*Arial-5323-Identity-H"/>
          <w:color w:val="0D0C0F"/>
          <w:sz w:val="21"/>
          <w:szCs w:val="21"/>
        </w:rPr>
        <w:t xml:space="preserve"> </w:t>
      </w:r>
      <w:r w:rsidRPr="00360EC2">
        <w:rPr>
          <w:rFonts w:ascii="Abadi" w:hAnsi="Abadi" w:cs="*Arial-5323-Identity-H"/>
          <w:color w:val="0D0C0F"/>
          <w:sz w:val="21"/>
          <w:szCs w:val="21"/>
        </w:rPr>
        <w:t xml:space="preserve">municipal de Pueblo Nuevo, </w:t>
      </w:r>
      <w:proofErr w:type="spellStart"/>
      <w:r w:rsidRPr="00360EC2">
        <w:rPr>
          <w:rFonts w:ascii="Abadi" w:hAnsi="Abadi" w:cs="*Arial-5323-Identity-H"/>
          <w:color w:val="0D0C0F"/>
          <w:sz w:val="21"/>
          <w:szCs w:val="21"/>
        </w:rPr>
        <w:t>Gto</w:t>
      </w:r>
      <w:proofErr w:type="spellEnd"/>
      <w:r w:rsidRPr="00360EC2">
        <w:rPr>
          <w:rFonts w:ascii="Abadi" w:hAnsi="Abadi" w:cs="*Arial-5323-Identity-H"/>
          <w:color w:val="0D0C0F"/>
          <w:sz w:val="21"/>
          <w:szCs w:val="21"/>
        </w:rPr>
        <w:t>., con enfoque a resultados del servicio de</w:t>
      </w:r>
      <w:r>
        <w:rPr>
          <w:rFonts w:ascii="Abadi" w:hAnsi="Abadi" w:cs="*Arial-5323-Identity-H"/>
          <w:color w:val="0D0C0F"/>
          <w:sz w:val="21"/>
          <w:szCs w:val="21"/>
        </w:rPr>
        <w:t xml:space="preserve"> </w:t>
      </w:r>
      <w:r w:rsidRPr="00360EC2">
        <w:rPr>
          <w:rFonts w:ascii="Abadi" w:hAnsi="Abadi" w:cs="*Arial-5323-Identity-H"/>
          <w:color w:val="0D0C0F"/>
          <w:sz w:val="21"/>
          <w:szCs w:val="21"/>
        </w:rPr>
        <w:t>alumbrado público, por el periodo comprendido del 1 de enero al 31 de diciembre</w:t>
      </w:r>
      <w:r>
        <w:rPr>
          <w:rFonts w:ascii="Abadi" w:hAnsi="Abadi" w:cs="*Arial-5323-Identity-H"/>
          <w:color w:val="0D0C0F"/>
          <w:sz w:val="21"/>
          <w:szCs w:val="21"/>
        </w:rPr>
        <w:t xml:space="preserve"> </w:t>
      </w:r>
      <w:r w:rsidRPr="00360EC2">
        <w:rPr>
          <w:rFonts w:ascii="Abadi" w:hAnsi="Abadi" w:cs="*Arial-5323-Identity-H"/>
          <w:color w:val="0D0C0F"/>
          <w:sz w:val="21"/>
          <w:szCs w:val="21"/>
        </w:rPr>
        <w:t>del ejercicio fiscal del año 2020.</w:t>
      </w:r>
      <w:r>
        <w:rPr>
          <w:rFonts w:ascii="Abadi" w:hAnsi="Abadi" w:cs="*Arial-5323-Identity-H"/>
          <w:color w:val="0D0C0F"/>
          <w:sz w:val="21"/>
          <w:szCs w:val="21"/>
        </w:rPr>
        <w:t xml:space="preserve"> </w:t>
      </w:r>
      <w:r w:rsidRPr="00360EC2">
        <w:rPr>
          <w:rFonts w:ascii="Abadi" w:hAnsi="Abadi" w:cs="*Arial-5323-Identity-H"/>
          <w:color w:val="0C0C0F"/>
          <w:sz w:val="21"/>
          <w:szCs w:val="21"/>
        </w:rPr>
        <w:t>Se ordena dar vista del informe de resultados al ayuntamiento del municipio</w:t>
      </w:r>
      <w:r>
        <w:rPr>
          <w:rFonts w:ascii="Abadi" w:hAnsi="Abadi" w:cs="*Arial-5323-Identity-H"/>
          <w:color w:val="0C0C0F"/>
          <w:sz w:val="21"/>
          <w:szCs w:val="21"/>
        </w:rPr>
        <w:t xml:space="preserve"> </w:t>
      </w:r>
      <w:r w:rsidRPr="00360EC2">
        <w:rPr>
          <w:rFonts w:ascii="Abadi" w:hAnsi="Abadi" w:cs="*Arial-5323-Identity-H"/>
          <w:color w:val="0C0C0F"/>
          <w:sz w:val="21"/>
          <w:szCs w:val="21"/>
        </w:rPr>
        <w:t xml:space="preserve">de Pueblo Nuevo, </w:t>
      </w:r>
      <w:proofErr w:type="spellStart"/>
      <w:r w:rsidRPr="00360EC2">
        <w:rPr>
          <w:rFonts w:ascii="Abadi" w:hAnsi="Abadi" w:cs="*Arial-5323-Identity-H"/>
          <w:color w:val="0C0C0F"/>
          <w:sz w:val="21"/>
          <w:szCs w:val="21"/>
        </w:rPr>
        <w:t>Gto</w:t>
      </w:r>
      <w:proofErr w:type="spellEnd"/>
      <w:r w:rsidRPr="00360EC2">
        <w:rPr>
          <w:rFonts w:ascii="Abadi" w:hAnsi="Abadi" w:cs="*Arial-5323-Identity-H"/>
          <w:color w:val="0C0C0F"/>
          <w:sz w:val="21"/>
          <w:szCs w:val="21"/>
        </w:rPr>
        <w:t>., a efecto de que se atiendan las recomendaciones</w:t>
      </w:r>
      <w:r>
        <w:rPr>
          <w:rFonts w:ascii="Abadi" w:hAnsi="Abadi" w:cs="*Arial-5323-Identity-H"/>
          <w:color w:val="0C0C0F"/>
          <w:sz w:val="21"/>
          <w:szCs w:val="21"/>
        </w:rPr>
        <w:t xml:space="preserve"> </w:t>
      </w:r>
      <w:r w:rsidRPr="00360EC2">
        <w:rPr>
          <w:rFonts w:ascii="Abadi" w:hAnsi="Abadi" w:cs="*Arial-5323-Identity-H"/>
          <w:color w:val="0C0C0F"/>
          <w:sz w:val="21"/>
          <w:szCs w:val="21"/>
        </w:rPr>
        <w:t>contenidas en el informe de resultados, informando a la Auditoría Superior del</w:t>
      </w:r>
      <w:r>
        <w:rPr>
          <w:rFonts w:ascii="Abadi" w:hAnsi="Abadi" w:cs="*Arial-5323-Identity-H"/>
          <w:color w:val="0C0C0F"/>
          <w:sz w:val="21"/>
          <w:szCs w:val="21"/>
        </w:rPr>
        <w:t xml:space="preserve"> </w:t>
      </w:r>
      <w:r w:rsidRPr="00360EC2">
        <w:rPr>
          <w:rFonts w:ascii="Abadi" w:hAnsi="Abadi" w:cs="*Arial-5323-Identity-H"/>
          <w:color w:val="0C0C0F"/>
          <w:sz w:val="21"/>
          <w:szCs w:val="21"/>
        </w:rPr>
        <w:t>Estado de las acciones realizadas para ello, con objeto de que esta última realice</w:t>
      </w:r>
      <w:r>
        <w:rPr>
          <w:rFonts w:ascii="Abadi" w:hAnsi="Abadi" w:cs="*Arial-5323-Identity-H"/>
          <w:color w:val="0C0C0F"/>
          <w:sz w:val="21"/>
          <w:szCs w:val="21"/>
        </w:rPr>
        <w:t xml:space="preserve"> </w:t>
      </w:r>
      <w:r w:rsidRPr="00360EC2">
        <w:rPr>
          <w:rFonts w:ascii="Abadi" w:hAnsi="Abadi" w:cs="*Arial-5323-Identity-H"/>
          <w:color w:val="0C0C0F"/>
          <w:sz w:val="21"/>
          <w:szCs w:val="21"/>
        </w:rPr>
        <w:t>el seguimiento correspondiente, previsto en los artículos 37, fracción VII, 65 y 66</w:t>
      </w:r>
      <w:r>
        <w:rPr>
          <w:rFonts w:ascii="Abadi" w:hAnsi="Abadi" w:cs="*Arial-5323-Identity-H"/>
          <w:color w:val="0C0C0F"/>
          <w:sz w:val="21"/>
          <w:szCs w:val="21"/>
        </w:rPr>
        <w:t xml:space="preserve"> </w:t>
      </w:r>
      <w:r w:rsidRPr="00360EC2">
        <w:rPr>
          <w:rFonts w:ascii="Abadi" w:hAnsi="Abadi" w:cs="*Arial-5323-Identity-H"/>
          <w:color w:val="0C0C0F"/>
          <w:sz w:val="21"/>
          <w:szCs w:val="21"/>
        </w:rPr>
        <w:t>de la Ley de Fiscalización Superior del Estado de Guanajuato y 77 del Reglamento</w:t>
      </w:r>
      <w:r>
        <w:rPr>
          <w:rFonts w:ascii="Abadi" w:hAnsi="Abadi" w:cs="*Arial-5323-Identity-H"/>
          <w:color w:val="0C0C0F"/>
          <w:sz w:val="21"/>
          <w:szCs w:val="21"/>
        </w:rPr>
        <w:t xml:space="preserve"> </w:t>
      </w:r>
      <w:r w:rsidRPr="00360EC2">
        <w:rPr>
          <w:rFonts w:ascii="Abadi" w:hAnsi="Abadi" w:cs="*Arial-5323-Identity-H"/>
          <w:color w:val="0C0C0F"/>
          <w:sz w:val="21"/>
          <w:szCs w:val="21"/>
        </w:rPr>
        <w:t>de dicha Ley.</w:t>
      </w:r>
    </w:p>
    <w:p w14:paraId="59B855E8" w14:textId="77777777" w:rsidR="004A6831" w:rsidRPr="00360EC2" w:rsidRDefault="004A6831" w:rsidP="004A6831">
      <w:pPr>
        <w:autoSpaceDE w:val="0"/>
        <w:autoSpaceDN w:val="0"/>
        <w:adjustRightInd w:val="0"/>
        <w:jc w:val="both"/>
        <w:rPr>
          <w:rFonts w:ascii="Abadi" w:hAnsi="Abadi" w:cs="*Arial-5323-Identity-H"/>
          <w:color w:val="0C0C0F"/>
          <w:sz w:val="21"/>
          <w:szCs w:val="21"/>
        </w:rPr>
      </w:pPr>
    </w:p>
    <w:p w14:paraId="0FC4906F" w14:textId="7433E43A" w:rsidR="004A6831" w:rsidRDefault="004A6831" w:rsidP="004A6831">
      <w:pPr>
        <w:autoSpaceDE w:val="0"/>
        <w:autoSpaceDN w:val="0"/>
        <w:adjustRightInd w:val="0"/>
        <w:ind w:firstLine="708"/>
        <w:jc w:val="both"/>
        <w:rPr>
          <w:rFonts w:ascii="Abadi" w:hAnsi="Abadi" w:cs="*Arial-5265-Identity-H"/>
          <w:color w:val="0E0E10"/>
          <w:sz w:val="21"/>
          <w:szCs w:val="21"/>
        </w:rPr>
      </w:pPr>
      <w:r w:rsidRPr="00360EC2">
        <w:rPr>
          <w:rFonts w:ascii="Abadi" w:hAnsi="Abadi" w:cs="*Arial-5265-Identity-H"/>
          <w:color w:val="0E0E0F"/>
          <w:sz w:val="21"/>
          <w:szCs w:val="21"/>
        </w:rPr>
        <w:t>De conformidad con el artículo 37, fracción VI de la Ley de Fiscalización</w:t>
      </w:r>
      <w:r>
        <w:rPr>
          <w:rFonts w:ascii="Abadi" w:hAnsi="Abadi" w:cs="*Arial-5265-Identity-H"/>
          <w:color w:val="0E0E0F"/>
          <w:sz w:val="21"/>
          <w:szCs w:val="21"/>
        </w:rPr>
        <w:t xml:space="preserve"> </w:t>
      </w:r>
      <w:r w:rsidRPr="00360EC2">
        <w:rPr>
          <w:rFonts w:ascii="Abadi" w:hAnsi="Abadi" w:cs="*Arial-5265-Identity-H"/>
          <w:color w:val="0E0E0F"/>
          <w:sz w:val="21"/>
          <w:szCs w:val="21"/>
        </w:rPr>
        <w:t>Superior del Estado de Guanajuato, remítase el p</w:t>
      </w:r>
      <w:r>
        <w:rPr>
          <w:rFonts w:ascii="Abadi" w:hAnsi="Abadi" w:cs="*Arial-5265-Identity-H"/>
          <w:color w:val="0E0E0F"/>
          <w:sz w:val="21"/>
          <w:szCs w:val="21"/>
        </w:rPr>
        <w:t>resente</w:t>
      </w:r>
      <w:r w:rsidRPr="00360EC2">
        <w:rPr>
          <w:rFonts w:ascii="Abadi" w:hAnsi="Abadi" w:cs="*Arial-5265-Identity-H"/>
          <w:color w:val="0E0E0F"/>
          <w:sz w:val="21"/>
          <w:szCs w:val="21"/>
        </w:rPr>
        <w:t xml:space="preserve"> acuerdo junto con su</w:t>
      </w:r>
      <w:r>
        <w:rPr>
          <w:rFonts w:ascii="Abadi" w:hAnsi="Abadi" w:cs="*Arial-5265-Identity-H"/>
          <w:color w:val="0E0E0F"/>
          <w:sz w:val="21"/>
          <w:szCs w:val="21"/>
        </w:rPr>
        <w:t xml:space="preserve"> </w:t>
      </w:r>
      <w:r w:rsidRPr="00360EC2">
        <w:rPr>
          <w:rFonts w:ascii="Abadi" w:hAnsi="Abadi" w:cs="*Arial-5265-Identity-H"/>
          <w:color w:val="0E0E0F"/>
          <w:sz w:val="21"/>
          <w:szCs w:val="21"/>
        </w:rPr>
        <w:t>dictamen y el informe de resultados a la Audi</w:t>
      </w:r>
      <w:r>
        <w:rPr>
          <w:rFonts w:ascii="Abadi" w:hAnsi="Abadi" w:cs="*Arial-5265-Identity-H"/>
          <w:color w:val="0E0E0F"/>
          <w:sz w:val="21"/>
          <w:szCs w:val="21"/>
        </w:rPr>
        <w:t>toría</w:t>
      </w:r>
      <w:r w:rsidRPr="00360EC2">
        <w:rPr>
          <w:rFonts w:ascii="Abadi" w:hAnsi="Abadi" w:cs="*Arial-5265-Identity-H"/>
          <w:color w:val="0E0E0F"/>
          <w:sz w:val="21"/>
          <w:szCs w:val="21"/>
        </w:rPr>
        <w:t xml:space="preserve"> Superior del Estado, para</w:t>
      </w:r>
      <w:r>
        <w:rPr>
          <w:rFonts w:ascii="Abadi" w:hAnsi="Abadi" w:cs="*Arial-5265-Identity-H"/>
          <w:color w:val="0E0E0F"/>
          <w:sz w:val="21"/>
          <w:szCs w:val="21"/>
        </w:rPr>
        <w:t xml:space="preserve"> </w:t>
      </w:r>
      <w:r w:rsidRPr="00360EC2">
        <w:rPr>
          <w:rFonts w:ascii="Abadi" w:hAnsi="Abadi" w:cs="*Arial-5265-Identity-H"/>
          <w:color w:val="0E0E10"/>
          <w:sz w:val="21"/>
          <w:szCs w:val="21"/>
        </w:rPr>
        <w:t>efectos de su notificación.</w:t>
      </w:r>
    </w:p>
    <w:p w14:paraId="05C7758B" w14:textId="2D902547" w:rsidR="004A6831" w:rsidRDefault="004A6831" w:rsidP="004A6831">
      <w:pPr>
        <w:autoSpaceDE w:val="0"/>
        <w:autoSpaceDN w:val="0"/>
        <w:adjustRightInd w:val="0"/>
        <w:ind w:firstLine="708"/>
        <w:jc w:val="both"/>
        <w:rPr>
          <w:rFonts w:ascii="Abadi" w:hAnsi="Abadi" w:cs="*Arial-5265-Identity-H"/>
          <w:color w:val="0E0E10"/>
          <w:sz w:val="21"/>
          <w:szCs w:val="21"/>
        </w:rPr>
      </w:pPr>
    </w:p>
    <w:p w14:paraId="3B43B3D4" w14:textId="77777777" w:rsidR="004A6831" w:rsidRPr="009E34BC" w:rsidRDefault="004A6831" w:rsidP="004A6831">
      <w:pPr>
        <w:autoSpaceDE w:val="0"/>
        <w:autoSpaceDN w:val="0"/>
        <w:adjustRightInd w:val="0"/>
        <w:jc w:val="center"/>
        <w:rPr>
          <w:rFonts w:ascii="Abadi" w:hAnsi="Abadi" w:cs="*Arial-Bold-4914-Identity-H"/>
          <w:b/>
          <w:bCs/>
          <w:color w:val="0E0D12"/>
          <w:sz w:val="21"/>
          <w:szCs w:val="21"/>
        </w:rPr>
      </w:pPr>
      <w:r w:rsidRPr="009E34BC">
        <w:rPr>
          <w:rFonts w:ascii="Abadi" w:hAnsi="Abadi" w:cs="*Arial-Bold-4914-Identity-H"/>
          <w:b/>
          <w:bCs/>
          <w:color w:val="0E0D12"/>
          <w:sz w:val="21"/>
          <w:szCs w:val="21"/>
        </w:rPr>
        <w:t xml:space="preserve">Guanajuato, </w:t>
      </w:r>
      <w:proofErr w:type="spellStart"/>
      <w:r w:rsidRPr="009E34BC">
        <w:rPr>
          <w:rFonts w:ascii="Abadi" w:hAnsi="Abadi" w:cs="*Arial-Bold-4914-Identity-H"/>
          <w:b/>
          <w:bCs/>
          <w:color w:val="0E0D12"/>
          <w:sz w:val="21"/>
          <w:szCs w:val="21"/>
        </w:rPr>
        <w:t>Gto</w:t>
      </w:r>
      <w:proofErr w:type="spellEnd"/>
      <w:r w:rsidRPr="009E34BC">
        <w:rPr>
          <w:rFonts w:ascii="Abadi" w:hAnsi="Abadi" w:cs="*Arial-Bold-4914-Identity-H"/>
          <w:b/>
          <w:bCs/>
          <w:color w:val="0E0D12"/>
          <w:sz w:val="21"/>
          <w:szCs w:val="21"/>
        </w:rPr>
        <w:t>., 19 d</w:t>
      </w:r>
      <w:r>
        <w:rPr>
          <w:rFonts w:ascii="Abadi" w:hAnsi="Abadi" w:cs="*Arial-Bold-4914-Identity-H"/>
          <w:b/>
          <w:bCs/>
          <w:color w:val="0E0D12"/>
          <w:sz w:val="21"/>
          <w:szCs w:val="21"/>
        </w:rPr>
        <w:t>e abril de 2022</w:t>
      </w:r>
    </w:p>
    <w:p w14:paraId="2F568E8E" w14:textId="77777777" w:rsidR="004A6831" w:rsidRDefault="004A6831" w:rsidP="004A6831">
      <w:pPr>
        <w:jc w:val="center"/>
        <w:rPr>
          <w:rFonts w:ascii="Abadi" w:hAnsi="Abadi" w:cs="*Arial-Bold-4914-Identity-H"/>
          <w:b/>
          <w:bCs/>
          <w:color w:val="0C0B10"/>
          <w:sz w:val="21"/>
          <w:szCs w:val="21"/>
        </w:rPr>
      </w:pPr>
      <w:r w:rsidRPr="009E34BC">
        <w:rPr>
          <w:rFonts w:ascii="Abadi" w:hAnsi="Abadi" w:cs="*Arial-Bold-4914-Identity-H"/>
          <w:b/>
          <w:bCs/>
          <w:color w:val="0C0B10"/>
          <w:sz w:val="21"/>
          <w:szCs w:val="21"/>
        </w:rPr>
        <w:t>La Comisión de</w:t>
      </w:r>
      <w:r>
        <w:rPr>
          <w:rFonts w:ascii="Abadi" w:hAnsi="Abadi" w:cs="*Arial-Bold-4914-Identity-H"/>
          <w:b/>
          <w:bCs/>
          <w:color w:val="0C0B10"/>
          <w:sz w:val="21"/>
          <w:szCs w:val="21"/>
        </w:rPr>
        <w:t xml:space="preserve"> Hacienda y Fiscalización</w:t>
      </w:r>
    </w:p>
    <w:p w14:paraId="26A79C74" w14:textId="77777777" w:rsidR="004A6831" w:rsidRDefault="004A6831" w:rsidP="004A6831">
      <w:pPr>
        <w:jc w:val="both"/>
        <w:rPr>
          <w:rFonts w:ascii="Abadi" w:hAnsi="Abadi" w:cs="*Arial-Bold-4914-Identity-H"/>
          <w:b/>
          <w:bCs/>
          <w:color w:val="0C0B10"/>
          <w:sz w:val="21"/>
          <w:szCs w:val="21"/>
        </w:rPr>
      </w:pPr>
    </w:p>
    <w:p w14:paraId="0729D0D5" w14:textId="77777777" w:rsidR="004A6831" w:rsidRDefault="004A6831" w:rsidP="004A6831">
      <w:pPr>
        <w:jc w:val="center"/>
        <w:rPr>
          <w:rFonts w:ascii="Abadi" w:hAnsi="Abadi" w:cs="*Arial-Bold-4914-Identity-H"/>
          <w:b/>
          <w:bCs/>
          <w:color w:val="0C0B10"/>
          <w:sz w:val="21"/>
          <w:szCs w:val="21"/>
        </w:rPr>
      </w:pPr>
      <w:r>
        <w:rPr>
          <w:rFonts w:ascii="Abadi" w:hAnsi="Abadi" w:cs="*Arial-Bold-4914-Identity-H"/>
          <w:b/>
          <w:bCs/>
          <w:color w:val="0C0B10"/>
          <w:sz w:val="21"/>
          <w:szCs w:val="21"/>
        </w:rPr>
        <w:t>Diputado Víctor Manuel Zanella Huerta</w:t>
      </w:r>
    </w:p>
    <w:p w14:paraId="6A3D21D1" w14:textId="77777777" w:rsidR="004A6831" w:rsidRDefault="004A6831" w:rsidP="004A6831">
      <w:pPr>
        <w:jc w:val="both"/>
        <w:rPr>
          <w:rFonts w:ascii="Abadi" w:hAnsi="Abadi" w:cs="*Arial-Bold-4914-Identity-H"/>
          <w:b/>
          <w:bCs/>
          <w:color w:val="0C0B10"/>
          <w:sz w:val="21"/>
          <w:szCs w:val="21"/>
        </w:rPr>
      </w:pPr>
    </w:p>
    <w:p w14:paraId="46472FBC" w14:textId="77777777" w:rsidR="004A6831" w:rsidRDefault="004A6831" w:rsidP="004A6831">
      <w:pPr>
        <w:jc w:val="both"/>
        <w:rPr>
          <w:rFonts w:ascii="Abadi" w:hAnsi="Abadi" w:cs="*Arial-Bold-4914-Identity-H"/>
          <w:b/>
          <w:bCs/>
          <w:color w:val="0C0B10"/>
          <w:sz w:val="21"/>
          <w:szCs w:val="21"/>
        </w:rPr>
      </w:pPr>
      <w:r>
        <w:rPr>
          <w:rFonts w:ascii="Abadi" w:hAnsi="Abadi" w:cs="*Arial-Bold-4914-Identity-H"/>
          <w:b/>
          <w:bCs/>
          <w:color w:val="0C0B10"/>
          <w:sz w:val="21"/>
          <w:szCs w:val="21"/>
        </w:rPr>
        <w:t>Diputada Ruth Noemí Tiscareño Agoitia</w:t>
      </w:r>
    </w:p>
    <w:p w14:paraId="33FF0CD9" w14:textId="77777777" w:rsidR="004A6831" w:rsidRDefault="004A6831" w:rsidP="004A6831">
      <w:pPr>
        <w:jc w:val="both"/>
        <w:rPr>
          <w:rFonts w:ascii="Abadi" w:hAnsi="Abadi" w:cs="*Arial-Bold-4914-Identity-H"/>
          <w:b/>
          <w:bCs/>
          <w:color w:val="0C0B10"/>
          <w:sz w:val="21"/>
          <w:szCs w:val="21"/>
        </w:rPr>
      </w:pPr>
      <w:r>
        <w:rPr>
          <w:rFonts w:ascii="Abadi" w:hAnsi="Abadi" w:cs="*Arial-Bold-4914-Identity-H"/>
          <w:b/>
          <w:bCs/>
          <w:color w:val="0C0B10"/>
          <w:sz w:val="21"/>
          <w:szCs w:val="21"/>
        </w:rPr>
        <w:t xml:space="preserve">Diputado Miguel Ángel Salim </w:t>
      </w:r>
      <w:proofErr w:type="spellStart"/>
      <w:r>
        <w:rPr>
          <w:rFonts w:ascii="Abadi" w:hAnsi="Abadi" w:cs="*Arial-Bold-4914-Identity-H"/>
          <w:b/>
          <w:bCs/>
          <w:color w:val="0C0B10"/>
          <w:sz w:val="21"/>
          <w:szCs w:val="21"/>
        </w:rPr>
        <w:t>Alle</w:t>
      </w:r>
      <w:proofErr w:type="spellEnd"/>
    </w:p>
    <w:p w14:paraId="5A9CBA98" w14:textId="77777777" w:rsidR="004A6831" w:rsidRDefault="004A6831" w:rsidP="004A6831">
      <w:pPr>
        <w:jc w:val="both"/>
        <w:rPr>
          <w:rFonts w:ascii="Abadi" w:hAnsi="Abadi" w:cs="*Arial-Bold-4914-Identity-H"/>
          <w:b/>
          <w:bCs/>
          <w:color w:val="0C0B10"/>
          <w:sz w:val="21"/>
          <w:szCs w:val="21"/>
        </w:rPr>
      </w:pPr>
      <w:r>
        <w:rPr>
          <w:rFonts w:ascii="Abadi" w:hAnsi="Abadi" w:cs="*Arial-Bold-4914-Identity-H"/>
          <w:b/>
          <w:bCs/>
          <w:color w:val="0C0B10"/>
          <w:sz w:val="21"/>
          <w:szCs w:val="21"/>
        </w:rPr>
        <w:t>Diputado José Alfonso Borja Pimentel</w:t>
      </w:r>
    </w:p>
    <w:p w14:paraId="49AF4A49" w14:textId="77777777" w:rsidR="004A6831" w:rsidRDefault="004A6831" w:rsidP="004A6831">
      <w:pPr>
        <w:jc w:val="both"/>
        <w:rPr>
          <w:rFonts w:ascii="Abadi" w:hAnsi="Abadi" w:cs="*Arial-Bold-4914-Identity-H"/>
          <w:b/>
          <w:bCs/>
          <w:color w:val="0C0B10"/>
          <w:sz w:val="21"/>
          <w:szCs w:val="21"/>
        </w:rPr>
      </w:pPr>
      <w:r>
        <w:rPr>
          <w:rFonts w:ascii="Abadi" w:hAnsi="Abadi" w:cs="*Arial-Bold-4914-Identity-H"/>
          <w:b/>
          <w:bCs/>
          <w:color w:val="0C0B10"/>
          <w:sz w:val="21"/>
          <w:szCs w:val="21"/>
        </w:rPr>
        <w:t>Diputada Alma Edwviges Alcaraz Hernández</w:t>
      </w:r>
    </w:p>
    <w:p w14:paraId="0DF2EB90" w14:textId="77777777" w:rsidR="004A6831" w:rsidRPr="00360EC2" w:rsidRDefault="004A6831" w:rsidP="004A6831">
      <w:pPr>
        <w:autoSpaceDE w:val="0"/>
        <w:autoSpaceDN w:val="0"/>
        <w:adjustRightInd w:val="0"/>
        <w:ind w:firstLine="708"/>
        <w:jc w:val="both"/>
        <w:rPr>
          <w:rFonts w:ascii="Abadi" w:hAnsi="Abadi" w:cs="*Arial-5265-Identity-H"/>
          <w:color w:val="0E0E10"/>
          <w:sz w:val="21"/>
          <w:szCs w:val="21"/>
        </w:rPr>
      </w:pPr>
    </w:p>
    <w:p w14:paraId="02E59C10" w14:textId="77777777" w:rsidR="004A6831" w:rsidRDefault="004A6831" w:rsidP="004A6831">
      <w:pPr>
        <w:jc w:val="both"/>
        <w:rPr>
          <w:rFonts w:ascii="Abadi" w:hAnsi="Abadi" w:cs="*Arial-Bold-5263-Identity-H"/>
          <w:b/>
          <w:bCs/>
          <w:color w:val="0C0B10"/>
          <w:sz w:val="21"/>
          <w:szCs w:val="21"/>
        </w:rPr>
      </w:pPr>
    </w:p>
    <w:p w14:paraId="624AC9F7" w14:textId="77777777" w:rsidR="00021259" w:rsidRDefault="00021259" w:rsidP="00343CA9">
      <w:pPr>
        <w:pStyle w:val="Prrafodelista"/>
        <w:numPr>
          <w:ilvl w:val="0"/>
          <w:numId w:val="30"/>
        </w:numPr>
        <w:autoSpaceDE w:val="0"/>
        <w:autoSpaceDN w:val="0"/>
        <w:adjustRightInd w:val="0"/>
        <w:ind w:left="426"/>
        <w:jc w:val="both"/>
        <w:rPr>
          <w:rFonts w:ascii="Abadi" w:hAnsi="Abadi" w:cs="ArialMT"/>
          <w:b/>
          <w:bCs/>
          <w:sz w:val="20"/>
          <w:szCs w:val="21"/>
        </w:rPr>
      </w:pPr>
      <w:r w:rsidRPr="001D2CB5">
        <w:rPr>
          <w:rFonts w:ascii="Abadi" w:hAnsi="Abadi" w:cs="ArialMT"/>
          <w:b/>
          <w:bCs/>
          <w:sz w:val="20"/>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PURÍSIMA DEL RINCÓN, GTO., CON ENFOQUE A RESULTADOS DEL SERVICIO DE ALUMBRADO PÚBLICO, POR EL PERIODO COMPRENDIDO DEL 1 DE ENERO AL 31 DE DICIEMBRE DEL EJERCICIO FISCAL DEL AÑO 2020.</w:t>
      </w:r>
    </w:p>
    <w:p w14:paraId="3748B0EB" w14:textId="77777777" w:rsidR="00A668BC" w:rsidRDefault="00A668BC" w:rsidP="00A668BC">
      <w:pPr>
        <w:autoSpaceDE w:val="0"/>
        <w:autoSpaceDN w:val="0"/>
        <w:adjustRightInd w:val="0"/>
        <w:jc w:val="both"/>
        <w:rPr>
          <w:rFonts w:ascii="Abadi" w:hAnsi="Abadi" w:cs="ArialMT"/>
          <w:b/>
          <w:bCs/>
          <w:sz w:val="20"/>
          <w:szCs w:val="21"/>
        </w:rPr>
      </w:pPr>
    </w:p>
    <w:p w14:paraId="20C0FB76" w14:textId="77777777" w:rsidR="0016773C" w:rsidRPr="003D0AE7" w:rsidRDefault="0016773C" w:rsidP="0016773C">
      <w:pPr>
        <w:autoSpaceDE w:val="0"/>
        <w:autoSpaceDN w:val="0"/>
        <w:adjustRightInd w:val="0"/>
        <w:jc w:val="both"/>
        <w:rPr>
          <w:rFonts w:ascii="Abadi" w:hAnsi="Abadi" w:cs="*Arial-Bold-7048-Identity-H"/>
          <w:b/>
          <w:bCs/>
          <w:color w:val="0C0C11"/>
          <w:sz w:val="21"/>
          <w:szCs w:val="21"/>
        </w:rPr>
      </w:pPr>
    </w:p>
    <w:p w14:paraId="267BAA39" w14:textId="77777777" w:rsidR="0016773C" w:rsidRPr="003D0AE7" w:rsidRDefault="0016773C" w:rsidP="0016773C">
      <w:pPr>
        <w:autoSpaceDE w:val="0"/>
        <w:autoSpaceDN w:val="0"/>
        <w:adjustRightInd w:val="0"/>
        <w:jc w:val="both"/>
        <w:rPr>
          <w:rFonts w:ascii="Abadi" w:hAnsi="Abadi" w:cs="*Arial-Bold-7048-Identity-H"/>
          <w:b/>
          <w:bCs/>
          <w:color w:val="0C0C11"/>
          <w:sz w:val="21"/>
          <w:szCs w:val="21"/>
        </w:rPr>
      </w:pPr>
      <w:r w:rsidRPr="003D0AE7">
        <w:rPr>
          <w:rFonts w:ascii="Abadi" w:hAnsi="Abadi" w:cs="*Arial-Bold-7048-Identity-H"/>
          <w:b/>
          <w:bCs/>
          <w:color w:val="0C0C11"/>
          <w:sz w:val="21"/>
          <w:szCs w:val="21"/>
        </w:rPr>
        <w:t>C. PRESIDENTA DEL CONGRESO DEL ESTADO.</w:t>
      </w:r>
    </w:p>
    <w:p w14:paraId="713E03B4" w14:textId="77777777" w:rsidR="0016773C" w:rsidRPr="003D0AE7" w:rsidRDefault="0016773C" w:rsidP="0016773C">
      <w:pPr>
        <w:autoSpaceDE w:val="0"/>
        <w:autoSpaceDN w:val="0"/>
        <w:adjustRightInd w:val="0"/>
        <w:jc w:val="both"/>
        <w:rPr>
          <w:rFonts w:ascii="Abadi" w:hAnsi="Abadi" w:cs="*Arial-Bold-7048-Identity-H"/>
          <w:b/>
          <w:bCs/>
          <w:color w:val="0C0C11"/>
          <w:sz w:val="21"/>
          <w:szCs w:val="21"/>
        </w:rPr>
      </w:pPr>
      <w:r w:rsidRPr="003D0AE7">
        <w:rPr>
          <w:rFonts w:ascii="Abadi" w:hAnsi="Abadi" w:cs="*Arial-Bold-7048-Identity-H"/>
          <w:b/>
          <w:bCs/>
          <w:color w:val="0C0C11"/>
          <w:sz w:val="21"/>
          <w:szCs w:val="21"/>
        </w:rPr>
        <w:t>P R E S E N T E.</w:t>
      </w:r>
    </w:p>
    <w:p w14:paraId="7320F6AA" w14:textId="77777777" w:rsidR="0016773C" w:rsidRPr="003D0AE7" w:rsidRDefault="0016773C" w:rsidP="0016773C">
      <w:pPr>
        <w:autoSpaceDE w:val="0"/>
        <w:autoSpaceDN w:val="0"/>
        <w:adjustRightInd w:val="0"/>
        <w:jc w:val="both"/>
        <w:rPr>
          <w:rFonts w:ascii="Abadi" w:hAnsi="Abadi" w:cs="*Arial-Bold-7048-Identity-H"/>
          <w:b/>
          <w:bCs/>
          <w:color w:val="0C0C11"/>
          <w:sz w:val="21"/>
          <w:szCs w:val="21"/>
        </w:rPr>
      </w:pPr>
    </w:p>
    <w:p w14:paraId="52A3D5B6" w14:textId="77777777" w:rsidR="0016773C" w:rsidRPr="003D0AE7" w:rsidRDefault="0016773C" w:rsidP="0016773C">
      <w:pPr>
        <w:autoSpaceDE w:val="0"/>
        <w:autoSpaceDN w:val="0"/>
        <w:adjustRightInd w:val="0"/>
        <w:ind w:firstLine="708"/>
        <w:jc w:val="both"/>
        <w:rPr>
          <w:rFonts w:ascii="Abadi" w:hAnsi="Abadi" w:cs="*Arial-7046-Identity-H"/>
          <w:color w:val="0C0B0E"/>
          <w:sz w:val="21"/>
          <w:szCs w:val="21"/>
        </w:rPr>
      </w:pPr>
      <w:r w:rsidRPr="003D0AE7">
        <w:rPr>
          <w:rFonts w:ascii="Abadi" w:hAnsi="Abadi" w:cs="*Arial-7046-Identity-H"/>
          <w:color w:val="0C0B0E"/>
          <w:sz w:val="21"/>
          <w:szCs w:val="21"/>
        </w:rPr>
        <w:t>A esta Comisión de Hacienda y Fiscalización le fue turnado para su estudio</w:t>
      </w:r>
      <w:r>
        <w:rPr>
          <w:rFonts w:ascii="Abadi" w:hAnsi="Abadi" w:cs="*Arial-7046-Identity-H"/>
          <w:color w:val="0C0B0E"/>
          <w:sz w:val="21"/>
          <w:szCs w:val="21"/>
        </w:rPr>
        <w:t xml:space="preserve"> </w:t>
      </w:r>
      <w:r w:rsidRPr="003D0AE7">
        <w:rPr>
          <w:rFonts w:ascii="Abadi" w:hAnsi="Abadi" w:cs="*Arial-7046-Identity-H"/>
          <w:color w:val="0C0B0E"/>
          <w:sz w:val="21"/>
          <w:szCs w:val="21"/>
        </w:rPr>
        <w:t>y dictamen, el informe de resultados de la auditoría de desempeño practicada por</w:t>
      </w:r>
      <w:r>
        <w:rPr>
          <w:rFonts w:ascii="Abadi" w:hAnsi="Abadi" w:cs="*Arial-7046-Identity-H"/>
          <w:color w:val="0C0B0E"/>
          <w:sz w:val="21"/>
          <w:szCs w:val="21"/>
        </w:rPr>
        <w:t xml:space="preserve"> </w:t>
      </w:r>
      <w:r w:rsidRPr="003D0AE7">
        <w:rPr>
          <w:rFonts w:ascii="Abadi" w:hAnsi="Abadi" w:cs="*Arial-7046-Identity-H"/>
          <w:color w:val="0C0B0E"/>
          <w:sz w:val="21"/>
          <w:szCs w:val="21"/>
        </w:rPr>
        <w:t>la Auditoria Superior del Estado de Guanajuato a la administración municipal de</w:t>
      </w:r>
      <w:r>
        <w:rPr>
          <w:rFonts w:ascii="Abadi" w:hAnsi="Abadi" w:cs="*Arial-7046-Identity-H"/>
          <w:color w:val="0C0B0E"/>
          <w:sz w:val="21"/>
          <w:szCs w:val="21"/>
        </w:rPr>
        <w:t xml:space="preserve"> </w:t>
      </w:r>
      <w:r w:rsidRPr="003D0AE7">
        <w:rPr>
          <w:rFonts w:ascii="Abadi" w:hAnsi="Abadi" w:cs="*Arial-7046-Identity-H"/>
          <w:color w:val="0C0B0E"/>
          <w:sz w:val="21"/>
          <w:szCs w:val="21"/>
        </w:rPr>
        <w:t xml:space="preserve">Purísima del Rincón, </w:t>
      </w:r>
      <w:proofErr w:type="spellStart"/>
      <w:r w:rsidRPr="003D0AE7">
        <w:rPr>
          <w:rFonts w:ascii="Abadi" w:hAnsi="Abadi" w:cs="*Arial-7046-Identity-H"/>
          <w:color w:val="0C0B0E"/>
          <w:sz w:val="21"/>
          <w:szCs w:val="21"/>
        </w:rPr>
        <w:t>Gto</w:t>
      </w:r>
      <w:proofErr w:type="spellEnd"/>
      <w:r w:rsidRPr="003D0AE7">
        <w:rPr>
          <w:rFonts w:ascii="Abadi" w:hAnsi="Abadi" w:cs="*Arial-7046-Identity-H"/>
          <w:color w:val="0C0B0E"/>
          <w:sz w:val="21"/>
          <w:szCs w:val="21"/>
        </w:rPr>
        <w:t>., con enfoque a resultados del servicio de alumbrado</w:t>
      </w:r>
      <w:r>
        <w:rPr>
          <w:rFonts w:ascii="Abadi" w:hAnsi="Abadi" w:cs="*Arial-7046-Identity-H"/>
          <w:color w:val="0C0B0E"/>
          <w:sz w:val="21"/>
          <w:szCs w:val="21"/>
        </w:rPr>
        <w:t xml:space="preserve"> </w:t>
      </w:r>
      <w:r w:rsidRPr="003D0AE7">
        <w:rPr>
          <w:rFonts w:ascii="Abadi" w:hAnsi="Abadi" w:cs="*Arial-7046-Identity-H"/>
          <w:color w:val="0C0B0E"/>
          <w:sz w:val="21"/>
          <w:szCs w:val="21"/>
        </w:rPr>
        <w:t>público, por el periodo comprendido del 1 de enero al 31 de diciembre del ejercicio</w:t>
      </w:r>
      <w:r>
        <w:rPr>
          <w:rFonts w:ascii="Abadi" w:hAnsi="Abadi" w:cs="*Arial-7046-Identity-H"/>
          <w:color w:val="0C0B0E"/>
          <w:sz w:val="21"/>
          <w:szCs w:val="21"/>
        </w:rPr>
        <w:t xml:space="preserve"> </w:t>
      </w:r>
      <w:r w:rsidRPr="003D0AE7">
        <w:rPr>
          <w:rFonts w:ascii="Abadi" w:hAnsi="Abadi" w:cs="*Arial-7046-Identity-H"/>
          <w:color w:val="0C0B0E"/>
          <w:sz w:val="21"/>
          <w:szCs w:val="21"/>
        </w:rPr>
        <w:t>fiscal del año 2020.</w:t>
      </w:r>
    </w:p>
    <w:p w14:paraId="724A8DFE" w14:textId="77777777" w:rsidR="0016773C" w:rsidRPr="003D0AE7" w:rsidRDefault="0016773C" w:rsidP="0016773C">
      <w:pPr>
        <w:autoSpaceDE w:val="0"/>
        <w:autoSpaceDN w:val="0"/>
        <w:adjustRightInd w:val="0"/>
        <w:jc w:val="both"/>
        <w:rPr>
          <w:rFonts w:ascii="Abadi" w:hAnsi="Abadi" w:cs="*Arial-7046-Identity-H"/>
          <w:color w:val="0C0B0E"/>
          <w:sz w:val="21"/>
          <w:szCs w:val="21"/>
        </w:rPr>
      </w:pPr>
    </w:p>
    <w:p w14:paraId="3136322D" w14:textId="77777777" w:rsidR="0016773C" w:rsidRPr="003D0AE7" w:rsidRDefault="0016773C" w:rsidP="0016773C">
      <w:pPr>
        <w:autoSpaceDE w:val="0"/>
        <w:autoSpaceDN w:val="0"/>
        <w:adjustRightInd w:val="0"/>
        <w:ind w:firstLine="708"/>
        <w:jc w:val="both"/>
        <w:rPr>
          <w:rFonts w:ascii="Abadi" w:hAnsi="Abadi" w:cs="*Arial-7046-Identity-H"/>
          <w:color w:val="0D0C0F"/>
          <w:sz w:val="21"/>
          <w:szCs w:val="21"/>
        </w:rPr>
      </w:pPr>
      <w:r w:rsidRPr="003D0AE7">
        <w:rPr>
          <w:rFonts w:ascii="Abadi" w:hAnsi="Abadi" w:cs="*Arial-7046-Identity-H"/>
          <w:color w:val="0D0C0F"/>
          <w:sz w:val="21"/>
          <w:szCs w:val="21"/>
        </w:rPr>
        <w:t>Una vez analizado el referido informe de resultados, con fundamento en los</w:t>
      </w:r>
      <w:r>
        <w:rPr>
          <w:rFonts w:ascii="Abadi" w:hAnsi="Abadi" w:cs="*Arial-7046-Identity-H"/>
          <w:color w:val="0D0C0F"/>
          <w:sz w:val="21"/>
          <w:szCs w:val="21"/>
        </w:rPr>
        <w:t xml:space="preserve"> </w:t>
      </w:r>
      <w:r w:rsidRPr="003D0AE7">
        <w:rPr>
          <w:rFonts w:ascii="Abadi" w:hAnsi="Abadi" w:cs="*Arial-7046-Identity-H"/>
          <w:color w:val="0D0C0F"/>
          <w:sz w:val="21"/>
          <w:szCs w:val="21"/>
        </w:rPr>
        <w:t xml:space="preserve">artículos 112 fracción </w:t>
      </w:r>
      <w:r w:rsidRPr="00D95D32">
        <w:rPr>
          <w:rFonts w:ascii="Abadi" w:hAnsi="Abadi" w:cs="*Microsoft Sans Serif-Bold-7049"/>
          <w:color w:val="0D0C0F"/>
          <w:sz w:val="21"/>
          <w:szCs w:val="21"/>
        </w:rPr>
        <w:t>XII,</w:t>
      </w:r>
      <w:r w:rsidRPr="003D0AE7">
        <w:rPr>
          <w:rFonts w:ascii="Abadi" w:hAnsi="Abadi" w:cs="*Microsoft Sans Serif-Bold-7049"/>
          <w:b/>
          <w:bCs/>
          <w:color w:val="0D0C0F"/>
          <w:sz w:val="21"/>
          <w:szCs w:val="21"/>
        </w:rPr>
        <w:t xml:space="preserve"> </w:t>
      </w:r>
      <w:r w:rsidRPr="003D0AE7">
        <w:rPr>
          <w:rFonts w:ascii="Abadi" w:hAnsi="Abadi" w:cs="*Arial-7046-Identity-H"/>
          <w:color w:val="0D0C0F"/>
          <w:sz w:val="21"/>
          <w:szCs w:val="21"/>
        </w:rPr>
        <w:t>primer párrafo y 171 de la Ley Orgánica del Poder</w:t>
      </w:r>
      <w:r>
        <w:rPr>
          <w:rFonts w:ascii="Abadi" w:hAnsi="Abadi" w:cs="*Arial-7046-Identity-H"/>
          <w:color w:val="0D0C0F"/>
          <w:sz w:val="21"/>
          <w:szCs w:val="21"/>
        </w:rPr>
        <w:t xml:space="preserve"> </w:t>
      </w:r>
      <w:r w:rsidRPr="003D0AE7">
        <w:rPr>
          <w:rFonts w:ascii="Abadi" w:hAnsi="Abadi" w:cs="*Arial-7046-Identity-H"/>
          <w:color w:val="0D0C0F"/>
          <w:sz w:val="21"/>
          <w:szCs w:val="21"/>
        </w:rPr>
        <w:t>Legislativo, nos permitimos rendir el siguiente:</w:t>
      </w:r>
      <w:r>
        <w:rPr>
          <w:rFonts w:ascii="Abadi" w:hAnsi="Abadi" w:cs="*Arial-7046-Identity-H"/>
          <w:color w:val="0D0C0F"/>
          <w:sz w:val="21"/>
          <w:szCs w:val="21"/>
        </w:rPr>
        <w:t xml:space="preserve"> </w:t>
      </w:r>
    </w:p>
    <w:p w14:paraId="4A2EABAB" w14:textId="77777777" w:rsidR="0016773C" w:rsidRPr="003D0AE7" w:rsidRDefault="0016773C" w:rsidP="0016773C">
      <w:pPr>
        <w:autoSpaceDE w:val="0"/>
        <w:autoSpaceDN w:val="0"/>
        <w:adjustRightInd w:val="0"/>
        <w:jc w:val="center"/>
        <w:rPr>
          <w:rFonts w:ascii="Abadi" w:hAnsi="Abadi" w:cs="*Arial-Bold-7047-Identity-H"/>
          <w:b/>
          <w:bCs/>
          <w:color w:val="0A0A0F"/>
          <w:sz w:val="21"/>
          <w:szCs w:val="21"/>
        </w:rPr>
      </w:pPr>
      <w:r w:rsidRPr="003D0AE7">
        <w:rPr>
          <w:rFonts w:ascii="Abadi" w:hAnsi="Abadi" w:cs="*Arial-Bold-7047-Identity-H"/>
          <w:b/>
          <w:bCs/>
          <w:color w:val="0A0A0F"/>
          <w:sz w:val="21"/>
          <w:szCs w:val="21"/>
        </w:rPr>
        <w:t>Dictamen</w:t>
      </w:r>
    </w:p>
    <w:p w14:paraId="7B7C8BEB" w14:textId="77777777" w:rsidR="0016773C" w:rsidRPr="003D0AE7" w:rsidRDefault="0016773C" w:rsidP="0016773C">
      <w:pPr>
        <w:autoSpaceDE w:val="0"/>
        <w:autoSpaceDN w:val="0"/>
        <w:adjustRightInd w:val="0"/>
        <w:jc w:val="both"/>
        <w:rPr>
          <w:rFonts w:ascii="Abadi" w:hAnsi="Abadi" w:cs="*Arial-Bold-7047-Identity-H"/>
          <w:b/>
          <w:bCs/>
          <w:color w:val="0A0A0F"/>
          <w:sz w:val="21"/>
          <w:szCs w:val="21"/>
        </w:rPr>
      </w:pPr>
    </w:p>
    <w:p w14:paraId="7410BD8A" w14:textId="77777777" w:rsidR="0016773C" w:rsidRDefault="0016773C" w:rsidP="0016773C">
      <w:pPr>
        <w:autoSpaceDE w:val="0"/>
        <w:autoSpaceDN w:val="0"/>
        <w:adjustRightInd w:val="0"/>
        <w:ind w:firstLine="708"/>
        <w:jc w:val="both"/>
        <w:rPr>
          <w:rFonts w:ascii="Abadi" w:hAnsi="Abadi" w:cs="*Arial-Bold-7047-Identity-H"/>
          <w:b/>
          <w:bCs/>
          <w:color w:val="0A0A0F"/>
          <w:sz w:val="21"/>
          <w:szCs w:val="21"/>
        </w:rPr>
      </w:pPr>
      <w:r w:rsidRPr="003D0AE7">
        <w:rPr>
          <w:rFonts w:ascii="Abadi" w:hAnsi="Abadi" w:cs="*Arial-Bold-7047-Identity-H"/>
          <w:b/>
          <w:bCs/>
          <w:color w:val="0A0A0F"/>
          <w:sz w:val="21"/>
          <w:szCs w:val="21"/>
        </w:rPr>
        <w:t>l. Competencia:</w:t>
      </w:r>
    </w:p>
    <w:p w14:paraId="41444B0C" w14:textId="77777777" w:rsidR="0016773C" w:rsidRDefault="0016773C" w:rsidP="0016773C">
      <w:pPr>
        <w:autoSpaceDE w:val="0"/>
        <w:autoSpaceDN w:val="0"/>
        <w:adjustRightInd w:val="0"/>
        <w:jc w:val="both"/>
        <w:rPr>
          <w:rFonts w:ascii="Abadi" w:hAnsi="Abadi" w:cs="*Arial-7046-Identity-H"/>
          <w:color w:val="0C0C0F"/>
          <w:sz w:val="21"/>
          <w:szCs w:val="21"/>
        </w:rPr>
      </w:pPr>
    </w:p>
    <w:p w14:paraId="73FFE532" w14:textId="77777777" w:rsidR="0016773C" w:rsidRDefault="0016773C" w:rsidP="0016773C">
      <w:pPr>
        <w:autoSpaceDE w:val="0"/>
        <w:autoSpaceDN w:val="0"/>
        <w:adjustRightInd w:val="0"/>
        <w:ind w:firstLine="708"/>
        <w:jc w:val="both"/>
        <w:rPr>
          <w:rFonts w:ascii="Abadi" w:hAnsi="Abadi" w:cs="*Arial-7046-Identity-H"/>
          <w:color w:val="0C0C0F"/>
          <w:sz w:val="21"/>
          <w:szCs w:val="21"/>
        </w:rPr>
      </w:pPr>
      <w:r w:rsidRPr="003D0AE7">
        <w:rPr>
          <w:rFonts w:ascii="Abadi" w:hAnsi="Abadi" w:cs="*Arial-7046-Identity-H"/>
          <w:color w:val="0C0C0F"/>
          <w:sz w:val="21"/>
          <w:szCs w:val="21"/>
        </w:rPr>
        <w:t>Las facultades de la legislatura local en materia de fiscalización de las</w:t>
      </w:r>
      <w:r>
        <w:rPr>
          <w:rFonts w:ascii="Abadi" w:hAnsi="Abadi" w:cs="*Arial-7046-Identity-H"/>
          <w:color w:val="0C0C0F"/>
          <w:sz w:val="21"/>
          <w:szCs w:val="21"/>
        </w:rPr>
        <w:t xml:space="preserve"> </w:t>
      </w:r>
      <w:r w:rsidRPr="003D0AE7">
        <w:rPr>
          <w:rFonts w:ascii="Abadi" w:hAnsi="Abadi" w:cs="*Arial-7046-Identity-H"/>
          <w:color w:val="0C0C0F"/>
          <w:sz w:val="21"/>
          <w:szCs w:val="21"/>
        </w:rPr>
        <w:t>cuentas públicas tienen su fundamento en lo dispuesto por el artículo 63</w:t>
      </w:r>
      <w:r>
        <w:rPr>
          <w:rFonts w:ascii="Abadi" w:hAnsi="Abadi" w:cs="*Arial-7046-Identity-H"/>
          <w:color w:val="0C0C0F"/>
          <w:sz w:val="21"/>
          <w:szCs w:val="21"/>
        </w:rPr>
        <w:t xml:space="preserve"> </w:t>
      </w:r>
      <w:r w:rsidRPr="003D0AE7">
        <w:rPr>
          <w:rFonts w:ascii="Abadi" w:hAnsi="Abadi" w:cs="*Arial-7046-Identity-H"/>
          <w:color w:val="0C0C0F"/>
          <w:sz w:val="21"/>
          <w:szCs w:val="21"/>
        </w:rPr>
        <w:t>fracciones XVIII, XIX y XXVIII de la Constitución Política para el Estado de</w:t>
      </w:r>
      <w:r>
        <w:rPr>
          <w:rFonts w:ascii="Abadi" w:hAnsi="Abadi" w:cs="*Arial-7046-Identity-H"/>
          <w:color w:val="0C0C0F"/>
          <w:sz w:val="21"/>
          <w:szCs w:val="21"/>
        </w:rPr>
        <w:t xml:space="preserve"> </w:t>
      </w:r>
      <w:r w:rsidRPr="003D0AE7">
        <w:rPr>
          <w:rFonts w:ascii="Abadi" w:hAnsi="Abadi" w:cs="*Arial-7046-Identity-H"/>
          <w:color w:val="0C0C0F"/>
          <w:sz w:val="21"/>
          <w:szCs w:val="21"/>
        </w:rPr>
        <w:t>Guanajuato. Estos dispositivos establecen que el Congreso del Estado tiene la</w:t>
      </w:r>
      <w:r>
        <w:rPr>
          <w:rFonts w:ascii="Abadi" w:hAnsi="Abadi" w:cs="*Arial-7046-Identity-H"/>
          <w:color w:val="0C0C0F"/>
          <w:sz w:val="21"/>
          <w:szCs w:val="21"/>
        </w:rPr>
        <w:t xml:space="preserve"> </w:t>
      </w:r>
      <w:r w:rsidRPr="003D0AE7">
        <w:rPr>
          <w:rFonts w:ascii="Abadi" w:hAnsi="Abadi" w:cs="*Arial-7046-Identity-H"/>
          <w:color w:val="0C0C0F"/>
          <w:sz w:val="21"/>
          <w:szCs w:val="21"/>
        </w:rPr>
        <w:t>facultad de fiscaliz</w:t>
      </w:r>
      <w:r>
        <w:rPr>
          <w:rFonts w:ascii="Abadi" w:hAnsi="Abadi" w:cs="*Arial-7046-Identity-H"/>
          <w:color w:val="0C0C0F"/>
          <w:sz w:val="21"/>
          <w:szCs w:val="21"/>
        </w:rPr>
        <w:t>a</w:t>
      </w:r>
      <w:r w:rsidRPr="003D0AE7">
        <w:rPr>
          <w:rFonts w:ascii="Abadi" w:hAnsi="Abadi" w:cs="*Arial-7046-Identity-H"/>
          <w:color w:val="0C0C0F"/>
          <w:sz w:val="21"/>
          <w:szCs w:val="21"/>
        </w:rPr>
        <w:t>r la cuenta pública del Poder Ejecutivo, incluyendo las de las</w:t>
      </w:r>
      <w:r>
        <w:rPr>
          <w:rFonts w:ascii="Abadi" w:hAnsi="Abadi" w:cs="*Arial-7046-Identity-H"/>
          <w:color w:val="0C0C0F"/>
          <w:sz w:val="21"/>
          <w:szCs w:val="21"/>
        </w:rPr>
        <w:t xml:space="preserve"> </w:t>
      </w:r>
      <w:r w:rsidRPr="003D0AE7">
        <w:rPr>
          <w:rFonts w:ascii="Abadi" w:hAnsi="Abadi" w:cs="*Arial-7046-Identity-H"/>
          <w:color w:val="0C0C0F"/>
          <w:sz w:val="21"/>
          <w:szCs w:val="21"/>
        </w:rPr>
        <w:t>entidades y organismos de la administración pública paraestatal, las del Poder</w:t>
      </w:r>
      <w:r>
        <w:rPr>
          <w:rFonts w:ascii="Abadi" w:hAnsi="Abadi" w:cs="*Arial-7046-Identity-H"/>
          <w:color w:val="0C0C0F"/>
          <w:sz w:val="21"/>
          <w:szCs w:val="21"/>
        </w:rPr>
        <w:t xml:space="preserve"> </w:t>
      </w:r>
      <w:r w:rsidRPr="003D0AE7">
        <w:rPr>
          <w:rFonts w:ascii="Abadi" w:hAnsi="Abadi" w:cs="*Arial-7046-Identity-H"/>
          <w:color w:val="0C0C0F"/>
          <w:sz w:val="21"/>
          <w:szCs w:val="21"/>
        </w:rPr>
        <w:t>Judicial y de los organismos autónomos; así como las cuentas públicas</w:t>
      </w:r>
      <w:r>
        <w:rPr>
          <w:rFonts w:ascii="Abadi" w:hAnsi="Abadi" w:cs="*Arial-7046-Identity-H"/>
          <w:color w:val="0C0C0F"/>
          <w:sz w:val="21"/>
          <w:szCs w:val="21"/>
        </w:rPr>
        <w:t xml:space="preserve"> </w:t>
      </w:r>
      <w:r w:rsidRPr="003D0AE7">
        <w:rPr>
          <w:rFonts w:ascii="Abadi" w:hAnsi="Abadi" w:cs="*Arial-7046-Identity-H"/>
          <w:color w:val="0C0C0F"/>
          <w:sz w:val="21"/>
          <w:szCs w:val="21"/>
        </w:rPr>
        <w:t>municipales, incluyendo las de las entidades y organismos de la administración</w:t>
      </w:r>
      <w:r>
        <w:rPr>
          <w:rFonts w:ascii="Abadi" w:hAnsi="Abadi" w:cs="*Arial-7046-Identity-H"/>
          <w:color w:val="0C0C0F"/>
          <w:sz w:val="21"/>
          <w:szCs w:val="21"/>
        </w:rPr>
        <w:t xml:space="preserve"> </w:t>
      </w:r>
      <w:r w:rsidRPr="003D0AE7">
        <w:rPr>
          <w:rFonts w:ascii="Abadi" w:hAnsi="Abadi" w:cs="*Arial-7046-Identity-H"/>
          <w:color w:val="0C0C0F"/>
          <w:sz w:val="21"/>
          <w:szCs w:val="21"/>
        </w:rPr>
        <w:t>pública paramunicipal; y verificar el desempeño en el cumplimiento de los</w:t>
      </w:r>
      <w:r>
        <w:rPr>
          <w:rFonts w:ascii="Abadi" w:hAnsi="Abadi" w:cs="*Arial-7046-Identity-H"/>
          <w:color w:val="0C0C0F"/>
          <w:sz w:val="21"/>
          <w:szCs w:val="21"/>
        </w:rPr>
        <w:t xml:space="preserve"> </w:t>
      </w:r>
      <w:r w:rsidRPr="003D0AE7">
        <w:rPr>
          <w:rFonts w:ascii="Abadi" w:hAnsi="Abadi" w:cs="*Arial-7046-Identity-H"/>
          <w:color w:val="0C0C0F"/>
          <w:sz w:val="21"/>
          <w:szCs w:val="21"/>
        </w:rPr>
        <w:t>objetivos de los programas. De igual manera, puede acordar la práctica de</w:t>
      </w:r>
      <w:r>
        <w:rPr>
          <w:rFonts w:ascii="Abadi" w:hAnsi="Abadi" w:cs="*Arial-7046-Identity-H"/>
          <w:color w:val="0C0C0F"/>
          <w:sz w:val="21"/>
          <w:szCs w:val="21"/>
        </w:rPr>
        <w:t xml:space="preserve"> </w:t>
      </w:r>
      <w:r w:rsidRPr="003D0AE7">
        <w:rPr>
          <w:rFonts w:ascii="Abadi" w:hAnsi="Abadi" w:cs="*Arial-7046-Identity-H"/>
          <w:color w:val="0C0C0F"/>
          <w:sz w:val="21"/>
          <w:szCs w:val="21"/>
        </w:rPr>
        <w:t>auditorías a los sujetos de fiscalización, cuando exista causa justificada para ello,</w:t>
      </w:r>
      <w:r>
        <w:rPr>
          <w:rFonts w:ascii="Abadi" w:hAnsi="Abadi" w:cs="*Arial-7046-Identity-H"/>
          <w:color w:val="0C0C0F"/>
          <w:sz w:val="21"/>
          <w:szCs w:val="21"/>
        </w:rPr>
        <w:t xml:space="preserve"> </w:t>
      </w:r>
      <w:r w:rsidRPr="003D0AE7">
        <w:rPr>
          <w:rFonts w:ascii="Abadi" w:hAnsi="Abadi" w:cs="*Arial-7046-Identity-H"/>
          <w:color w:val="0C0C0F"/>
          <w:sz w:val="21"/>
          <w:szCs w:val="21"/>
        </w:rPr>
        <w:t>auxiliándose para el cumplimiento de dichas facultades por la Auditoría Superior</w:t>
      </w:r>
      <w:r>
        <w:rPr>
          <w:rFonts w:ascii="Abadi" w:hAnsi="Abadi" w:cs="*Arial-7046-Identity-H"/>
          <w:color w:val="0C0C0F"/>
          <w:sz w:val="21"/>
          <w:szCs w:val="21"/>
        </w:rPr>
        <w:t xml:space="preserve"> </w:t>
      </w:r>
      <w:r w:rsidRPr="003D0AE7">
        <w:rPr>
          <w:rFonts w:ascii="Abadi" w:hAnsi="Abadi" w:cs="*Arial-7046-Identity-H"/>
          <w:color w:val="0C0C0F"/>
          <w:sz w:val="21"/>
          <w:szCs w:val="21"/>
        </w:rPr>
        <w:t>del Estado de Guanajuato.</w:t>
      </w:r>
    </w:p>
    <w:p w14:paraId="3B08A733" w14:textId="77777777" w:rsidR="0016773C" w:rsidRPr="003D0AE7" w:rsidRDefault="0016773C" w:rsidP="0016773C">
      <w:pPr>
        <w:autoSpaceDE w:val="0"/>
        <w:autoSpaceDN w:val="0"/>
        <w:adjustRightInd w:val="0"/>
        <w:jc w:val="both"/>
        <w:rPr>
          <w:rFonts w:ascii="Abadi" w:hAnsi="Abadi" w:cs="*Arial-7046-Identity-H"/>
          <w:color w:val="0C0C0F"/>
          <w:sz w:val="21"/>
          <w:szCs w:val="21"/>
        </w:rPr>
      </w:pPr>
    </w:p>
    <w:p w14:paraId="56032911" w14:textId="77777777" w:rsidR="0016773C" w:rsidRPr="003D0AE7" w:rsidRDefault="0016773C" w:rsidP="0016773C">
      <w:pPr>
        <w:autoSpaceDE w:val="0"/>
        <w:autoSpaceDN w:val="0"/>
        <w:adjustRightInd w:val="0"/>
        <w:ind w:firstLine="708"/>
        <w:jc w:val="both"/>
        <w:rPr>
          <w:rFonts w:ascii="Abadi" w:hAnsi="Abadi" w:cs="*Arial-7046-Identity-H"/>
          <w:color w:val="0D0D10"/>
          <w:sz w:val="21"/>
          <w:szCs w:val="21"/>
        </w:rPr>
      </w:pPr>
      <w:r w:rsidRPr="003D0AE7">
        <w:rPr>
          <w:rFonts w:ascii="Abadi" w:hAnsi="Abadi" w:cs="*Arial-7046-Identity-H"/>
          <w:color w:val="0D0D10"/>
          <w:sz w:val="21"/>
          <w:szCs w:val="21"/>
        </w:rPr>
        <w:t>Asimismo, el artículo 66 fracción VIII de dicho Ordenamiento Constitucional</w:t>
      </w:r>
      <w:r>
        <w:rPr>
          <w:rFonts w:ascii="Abadi" w:hAnsi="Abadi" w:cs="*Arial-7046-Identity-H"/>
          <w:color w:val="0D0D10"/>
          <w:sz w:val="21"/>
          <w:szCs w:val="21"/>
        </w:rPr>
        <w:t xml:space="preserve"> </w:t>
      </w:r>
      <w:r w:rsidRPr="003D0AE7">
        <w:rPr>
          <w:rFonts w:ascii="Abadi" w:hAnsi="Abadi" w:cs="*Arial-7046-Identity-H"/>
          <w:color w:val="0D0D10"/>
          <w:sz w:val="21"/>
          <w:szCs w:val="21"/>
        </w:rPr>
        <w:t>establece que la Auditoría Superior del Estado de Guanajuato deberá informar al</w:t>
      </w:r>
      <w:r>
        <w:rPr>
          <w:rFonts w:ascii="Abadi" w:hAnsi="Abadi" w:cs="*Arial-7046-Identity-H"/>
          <w:color w:val="0D0D10"/>
          <w:sz w:val="21"/>
          <w:szCs w:val="21"/>
        </w:rPr>
        <w:t xml:space="preserve"> </w:t>
      </w:r>
      <w:r w:rsidRPr="003D0AE7">
        <w:rPr>
          <w:rFonts w:ascii="Abadi" w:hAnsi="Abadi" w:cs="*Arial-7046-Identity-H"/>
          <w:color w:val="0D0D10"/>
          <w:sz w:val="21"/>
          <w:szCs w:val="21"/>
        </w:rPr>
        <w:t>Congreso del Estado del resultado de la revisión de la cuenta pública y demás</w:t>
      </w:r>
      <w:r>
        <w:rPr>
          <w:rFonts w:ascii="Abadi" w:hAnsi="Abadi" w:cs="*Arial-7046-Identity-H"/>
          <w:color w:val="0D0D10"/>
          <w:sz w:val="21"/>
          <w:szCs w:val="21"/>
        </w:rPr>
        <w:t xml:space="preserve"> </w:t>
      </w:r>
      <w:r w:rsidRPr="003D0AE7">
        <w:rPr>
          <w:rFonts w:ascii="Abadi" w:hAnsi="Abadi" w:cs="*Arial-7046-Identity-H"/>
          <w:color w:val="0D0D10"/>
          <w:sz w:val="21"/>
          <w:szCs w:val="21"/>
        </w:rPr>
        <w:t>asuntos derivados de la fiscalización, incluyendo los dictámenes, informes de</w:t>
      </w:r>
      <w:r>
        <w:rPr>
          <w:rFonts w:ascii="Abadi" w:hAnsi="Abadi" w:cs="*Arial-7046-Identity-H"/>
          <w:color w:val="0D0D10"/>
          <w:sz w:val="21"/>
          <w:szCs w:val="21"/>
        </w:rPr>
        <w:t xml:space="preserve"> </w:t>
      </w:r>
      <w:r w:rsidRPr="003D0AE7">
        <w:rPr>
          <w:rFonts w:ascii="Abadi" w:hAnsi="Abadi" w:cs="*Arial-7046-Identity-H"/>
          <w:color w:val="0D0D10"/>
          <w:sz w:val="21"/>
          <w:szCs w:val="21"/>
        </w:rPr>
        <w:t>resultados, comentarios y observaciones de las auditorías, constituyendo una de</w:t>
      </w:r>
      <w:r>
        <w:rPr>
          <w:rFonts w:ascii="Abadi" w:hAnsi="Abadi" w:cs="*Arial-7046-Identity-H"/>
          <w:color w:val="0D0D10"/>
          <w:sz w:val="21"/>
          <w:szCs w:val="21"/>
        </w:rPr>
        <w:t xml:space="preserve"> </w:t>
      </w:r>
      <w:r w:rsidRPr="003D0AE7">
        <w:rPr>
          <w:rFonts w:ascii="Abadi" w:hAnsi="Abadi" w:cs="*Arial-7046-Identity-H"/>
          <w:color w:val="0D0D10"/>
          <w:sz w:val="21"/>
          <w:szCs w:val="21"/>
        </w:rPr>
        <w:t>las fases del proceso de fiscalización.</w:t>
      </w:r>
    </w:p>
    <w:p w14:paraId="524B4D56" w14:textId="77777777" w:rsidR="0016773C" w:rsidRPr="003D0AE7" w:rsidRDefault="0016773C" w:rsidP="0016773C">
      <w:pPr>
        <w:autoSpaceDE w:val="0"/>
        <w:autoSpaceDN w:val="0"/>
        <w:adjustRightInd w:val="0"/>
        <w:jc w:val="both"/>
        <w:rPr>
          <w:rFonts w:ascii="Abadi" w:hAnsi="Abadi" w:cs="*Arial-6711-Identity-H"/>
          <w:color w:val="1A1A1E"/>
          <w:sz w:val="21"/>
          <w:szCs w:val="21"/>
        </w:rPr>
      </w:pPr>
    </w:p>
    <w:p w14:paraId="2DE2C61E" w14:textId="77777777" w:rsidR="0016773C" w:rsidRDefault="0016773C" w:rsidP="0016773C">
      <w:pPr>
        <w:autoSpaceDE w:val="0"/>
        <w:autoSpaceDN w:val="0"/>
        <w:adjustRightInd w:val="0"/>
        <w:ind w:firstLine="708"/>
        <w:jc w:val="both"/>
        <w:rPr>
          <w:rFonts w:ascii="Abadi" w:hAnsi="Abadi" w:cs="*Arial-6709-Identity-H"/>
          <w:color w:val="0B0B0D"/>
          <w:sz w:val="21"/>
          <w:szCs w:val="21"/>
        </w:rPr>
      </w:pPr>
      <w:r w:rsidRPr="003D0AE7">
        <w:rPr>
          <w:rFonts w:ascii="Abadi" w:hAnsi="Abadi" w:cs="*Arial-6709-Identity-H"/>
          <w:color w:val="0B0B0D"/>
          <w:sz w:val="21"/>
          <w:szCs w:val="21"/>
        </w:rPr>
        <w:t>De igual forma, el artículo 82, fracción XXIV de la Ley de Fiscalización</w:t>
      </w:r>
      <w:r>
        <w:rPr>
          <w:rFonts w:ascii="Abadi" w:hAnsi="Abadi" w:cs="*Arial-6709-Identity-H"/>
          <w:color w:val="0B0B0D"/>
          <w:sz w:val="21"/>
          <w:szCs w:val="21"/>
        </w:rPr>
        <w:t xml:space="preserve"> </w:t>
      </w:r>
      <w:r w:rsidRPr="003D0AE7">
        <w:rPr>
          <w:rFonts w:ascii="Abadi" w:hAnsi="Abadi" w:cs="*Arial-6709-Identity-H"/>
          <w:color w:val="0B0B0D"/>
          <w:sz w:val="21"/>
          <w:szCs w:val="21"/>
        </w:rPr>
        <w:t>Superior del Estado de Guanajuato establece como atribución de la Auditoría</w:t>
      </w:r>
      <w:r>
        <w:rPr>
          <w:rFonts w:ascii="Abadi" w:hAnsi="Abadi" w:cs="*Arial-6709-Identity-H"/>
          <w:color w:val="0B0B0D"/>
          <w:sz w:val="21"/>
          <w:szCs w:val="21"/>
        </w:rPr>
        <w:t xml:space="preserve"> </w:t>
      </w:r>
      <w:r w:rsidRPr="003D0AE7">
        <w:rPr>
          <w:rFonts w:ascii="Abadi" w:hAnsi="Abadi" w:cs="*Arial-6709-Identity-H"/>
          <w:color w:val="0B0B0D"/>
          <w:sz w:val="21"/>
          <w:szCs w:val="21"/>
        </w:rPr>
        <w:t>Superior del Estado, rendir al Congreso, los informes derivados del ejercicio de la</w:t>
      </w:r>
      <w:r w:rsidRPr="003D0AE7">
        <w:rPr>
          <w:rFonts w:ascii="Abadi" w:hAnsi="Abadi" w:cs="*Arial-6709-Identity-H"/>
          <w:color w:val="B5B5B5"/>
          <w:sz w:val="21"/>
          <w:szCs w:val="21"/>
        </w:rPr>
        <w:t>·</w:t>
      </w:r>
      <w:r>
        <w:rPr>
          <w:rFonts w:ascii="Abadi" w:hAnsi="Abadi" w:cs="*Arial-6709-Identity-H"/>
          <w:color w:val="B5B5B5"/>
          <w:sz w:val="21"/>
          <w:szCs w:val="21"/>
        </w:rPr>
        <w:t xml:space="preserve"> </w:t>
      </w:r>
      <w:r w:rsidRPr="003D0AE7">
        <w:rPr>
          <w:rFonts w:ascii="Abadi" w:hAnsi="Abadi" w:cs="*Arial-6709-Identity-H"/>
          <w:color w:val="0B0B0D"/>
          <w:sz w:val="21"/>
          <w:szCs w:val="21"/>
        </w:rPr>
        <w:t>función de fiscalización.</w:t>
      </w:r>
    </w:p>
    <w:p w14:paraId="6FD7399F" w14:textId="77777777" w:rsidR="0016773C" w:rsidRPr="003D0AE7" w:rsidRDefault="0016773C" w:rsidP="0016773C">
      <w:pPr>
        <w:autoSpaceDE w:val="0"/>
        <w:autoSpaceDN w:val="0"/>
        <w:adjustRightInd w:val="0"/>
        <w:jc w:val="both"/>
        <w:rPr>
          <w:rFonts w:ascii="Abadi" w:hAnsi="Abadi" w:cs="*Arial-6709-Identity-H"/>
          <w:color w:val="0B0B0D"/>
          <w:sz w:val="21"/>
          <w:szCs w:val="21"/>
        </w:rPr>
      </w:pPr>
    </w:p>
    <w:p w14:paraId="2ECA88F7" w14:textId="77777777" w:rsidR="0016773C" w:rsidRDefault="0016773C" w:rsidP="0016773C">
      <w:pPr>
        <w:autoSpaceDE w:val="0"/>
        <w:autoSpaceDN w:val="0"/>
        <w:adjustRightInd w:val="0"/>
        <w:ind w:firstLine="708"/>
        <w:jc w:val="both"/>
        <w:rPr>
          <w:rFonts w:ascii="Abadi" w:hAnsi="Abadi" w:cs="*Arial-6709-Identity-H"/>
          <w:color w:val="0D0C0F"/>
          <w:sz w:val="21"/>
          <w:szCs w:val="21"/>
        </w:rPr>
      </w:pPr>
      <w:r w:rsidRPr="003D0AE7">
        <w:rPr>
          <w:rFonts w:ascii="Abadi" w:hAnsi="Abadi" w:cs="*Arial-6709-Identity-H"/>
          <w:color w:val="0D0C0F"/>
          <w:sz w:val="21"/>
          <w:szCs w:val="21"/>
        </w:rPr>
        <w:t>En razón de lo cual, la Ley de Fiscalización Superior del Estado de</w:t>
      </w:r>
      <w:r>
        <w:rPr>
          <w:rFonts w:ascii="Abadi" w:hAnsi="Abadi" w:cs="*Arial-6709-Identity-H"/>
          <w:color w:val="0D0C0F"/>
          <w:sz w:val="21"/>
          <w:szCs w:val="21"/>
        </w:rPr>
        <w:t xml:space="preserve"> </w:t>
      </w:r>
      <w:r w:rsidRPr="003D0AE7">
        <w:rPr>
          <w:rFonts w:ascii="Abadi" w:hAnsi="Abadi" w:cs="*Arial-6709-Identity-H"/>
          <w:color w:val="0D0C0F"/>
          <w:sz w:val="21"/>
          <w:szCs w:val="21"/>
        </w:rPr>
        <w:t>Guanajuato establece que la Auditoría Superior debe remitir los informes de</w:t>
      </w:r>
      <w:r>
        <w:rPr>
          <w:rFonts w:ascii="Abadi" w:hAnsi="Abadi" w:cs="*Arial-6709-Identity-H"/>
          <w:color w:val="0D0C0F"/>
          <w:sz w:val="21"/>
          <w:szCs w:val="21"/>
        </w:rPr>
        <w:t xml:space="preserve"> </w:t>
      </w:r>
      <w:r w:rsidRPr="003D0AE7">
        <w:rPr>
          <w:rFonts w:ascii="Abadi" w:hAnsi="Abadi" w:cs="*Arial-6709-Identity-H"/>
          <w:color w:val="0D0C0F"/>
          <w:sz w:val="21"/>
          <w:szCs w:val="21"/>
        </w:rPr>
        <w:t>resultados al Congreso del Estado, a efecto de que éste realice la declaratoria</w:t>
      </w:r>
      <w:r>
        <w:rPr>
          <w:rFonts w:ascii="Abadi" w:hAnsi="Abadi" w:cs="*Arial-6709-Identity-H"/>
          <w:color w:val="0D0C0F"/>
          <w:sz w:val="21"/>
          <w:szCs w:val="21"/>
        </w:rPr>
        <w:t xml:space="preserve"> </w:t>
      </w:r>
      <w:r w:rsidRPr="003D0AE7">
        <w:rPr>
          <w:rFonts w:ascii="Abadi" w:hAnsi="Abadi" w:cs="*Arial-6709-Identity-H"/>
          <w:color w:val="0D0C0F"/>
          <w:sz w:val="21"/>
          <w:szCs w:val="21"/>
        </w:rPr>
        <w:t>correspondiente, señalándose en el artículo 38 que el informe de resultados</w:t>
      </w:r>
      <w:r>
        <w:rPr>
          <w:rFonts w:ascii="Abadi" w:hAnsi="Abadi" w:cs="*Arial-6709-Identity-H"/>
          <w:color w:val="0D0C0F"/>
          <w:sz w:val="21"/>
          <w:szCs w:val="21"/>
        </w:rPr>
        <w:t xml:space="preserve"> </w:t>
      </w:r>
      <w:r w:rsidRPr="003D0AE7">
        <w:rPr>
          <w:rFonts w:ascii="Abadi" w:hAnsi="Abadi" w:cs="*Arial-6709-Identity-H"/>
          <w:color w:val="0D0C0F"/>
          <w:sz w:val="21"/>
          <w:szCs w:val="21"/>
        </w:rPr>
        <w:t>únicamente podrá ser observado por las dos terceras partes de los diputados</w:t>
      </w:r>
      <w:r>
        <w:rPr>
          <w:rFonts w:ascii="Abadi" w:hAnsi="Abadi" w:cs="*Arial-6709-Identity-H"/>
          <w:color w:val="0D0C0F"/>
          <w:sz w:val="21"/>
          <w:szCs w:val="21"/>
        </w:rPr>
        <w:t xml:space="preserve"> </w:t>
      </w:r>
      <w:r w:rsidRPr="003D0AE7">
        <w:rPr>
          <w:rFonts w:ascii="Abadi" w:hAnsi="Abadi" w:cs="*Arial-6709-Identity-H"/>
          <w:color w:val="0D0C0F"/>
          <w:sz w:val="21"/>
          <w:szCs w:val="21"/>
        </w:rPr>
        <w:t>integrantes del Congreso, cuando no se observen las formalidades esenciales del</w:t>
      </w:r>
      <w:r>
        <w:rPr>
          <w:rFonts w:ascii="Abadi" w:hAnsi="Abadi" w:cs="*Arial-6709-Identity-H"/>
          <w:color w:val="0D0C0F"/>
          <w:sz w:val="21"/>
          <w:szCs w:val="21"/>
        </w:rPr>
        <w:t xml:space="preserve"> </w:t>
      </w:r>
      <w:r w:rsidRPr="003D0AE7">
        <w:rPr>
          <w:rFonts w:ascii="Abadi" w:hAnsi="Abadi" w:cs="*Arial-6709-Identity-H"/>
          <w:color w:val="0D0C0F"/>
          <w:sz w:val="21"/>
          <w:szCs w:val="21"/>
        </w:rPr>
        <w:t>proceso de fiscalización.</w:t>
      </w:r>
    </w:p>
    <w:p w14:paraId="2AF53D7B" w14:textId="77777777" w:rsidR="0016773C" w:rsidRPr="003D0AE7" w:rsidRDefault="0016773C" w:rsidP="0016773C">
      <w:pPr>
        <w:autoSpaceDE w:val="0"/>
        <w:autoSpaceDN w:val="0"/>
        <w:adjustRightInd w:val="0"/>
        <w:jc w:val="both"/>
        <w:rPr>
          <w:rFonts w:ascii="Abadi" w:hAnsi="Abadi" w:cs="*Arial-6709-Identity-H"/>
          <w:color w:val="0D0C0F"/>
          <w:sz w:val="21"/>
          <w:szCs w:val="21"/>
        </w:rPr>
      </w:pPr>
    </w:p>
    <w:p w14:paraId="1D4451AE" w14:textId="77777777" w:rsidR="0016773C" w:rsidRPr="003D0AE7" w:rsidRDefault="0016773C" w:rsidP="0016773C">
      <w:pPr>
        <w:autoSpaceDE w:val="0"/>
        <w:autoSpaceDN w:val="0"/>
        <w:adjustRightInd w:val="0"/>
        <w:ind w:firstLine="708"/>
        <w:jc w:val="both"/>
        <w:rPr>
          <w:rFonts w:ascii="Abadi" w:hAnsi="Abadi" w:cs="*Arial-6709-Identity-H"/>
          <w:color w:val="0B0C0E"/>
          <w:sz w:val="21"/>
          <w:szCs w:val="21"/>
        </w:rPr>
      </w:pPr>
      <w:r w:rsidRPr="003D0AE7">
        <w:rPr>
          <w:rFonts w:ascii="Abadi" w:hAnsi="Abadi" w:cs="*Arial-6709-Identity-H"/>
          <w:color w:val="0D0C0F"/>
          <w:sz w:val="21"/>
          <w:szCs w:val="21"/>
        </w:rPr>
        <w:t>Con la finalidad de que el Congreso dé cumplimiento a lo señalado en el</w:t>
      </w:r>
      <w:r>
        <w:rPr>
          <w:rFonts w:ascii="Abadi" w:hAnsi="Abadi" w:cs="*Arial-6709-Identity-H"/>
          <w:color w:val="0D0C0F"/>
          <w:sz w:val="21"/>
          <w:szCs w:val="21"/>
        </w:rPr>
        <w:t xml:space="preserve"> </w:t>
      </w:r>
      <w:r w:rsidRPr="003D0AE7">
        <w:rPr>
          <w:rFonts w:ascii="Abadi" w:hAnsi="Abadi" w:cs="*Arial-6709-Identity-H"/>
          <w:color w:val="0D0C0F"/>
          <w:sz w:val="21"/>
          <w:szCs w:val="21"/>
        </w:rPr>
        <w:t>párrafo anterior, la Ley Orgánica del Poder Legislativo del Estado de Guanajuato</w:t>
      </w:r>
      <w:r>
        <w:rPr>
          <w:rFonts w:ascii="Abadi" w:hAnsi="Abadi" w:cs="*Arial-6709-Identity-H"/>
          <w:color w:val="0D0C0F"/>
          <w:sz w:val="21"/>
          <w:szCs w:val="21"/>
        </w:rPr>
        <w:t xml:space="preserve"> </w:t>
      </w:r>
      <w:r w:rsidRPr="003D0AE7">
        <w:rPr>
          <w:rFonts w:ascii="Abadi" w:hAnsi="Abadi" w:cs="*Arial-6709-Identity-H"/>
          <w:color w:val="0D0C0F"/>
          <w:sz w:val="21"/>
          <w:szCs w:val="21"/>
        </w:rPr>
        <w:t>establece en su artículo 112, fracción XII, primer párrafo que, a esta Comisión de</w:t>
      </w:r>
      <w:r>
        <w:rPr>
          <w:rFonts w:ascii="Abadi" w:hAnsi="Abadi" w:cs="*Arial-6709-Identity-H"/>
          <w:color w:val="0D0C0F"/>
          <w:sz w:val="21"/>
          <w:szCs w:val="21"/>
        </w:rPr>
        <w:t xml:space="preserve"> </w:t>
      </w:r>
      <w:r w:rsidRPr="003D0AE7">
        <w:rPr>
          <w:rFonts w:ascii="Abadi" w:hAnsi="Abadi" w:cs="*Arial-6709-Identity-H"/>
          <w:color w:val="0D0C0F"/>
          <w:sz w:val="21"/>
          <w:szCs w:val="21"/>
        </w:rPr>
        <w:t>Hacienda y Fiscalización, le compete el conocimiento y dictamen de los asuntos</w:t>
      </w:r>
      <w:r>
        <w:rPr>
          <w:rFonts w:ascii="Abadi" w:hAnsi="Abadi" w:cs="*Arial-6709-Identity-H"/>
          <w:color w:val="0D0C0F"/>
          <w:sz w:val="21"/>
          <w:szCs w:val="21"/>
        </w:rPr>
        <w:t xml:space="preserve"> </w:t>
      </w:r>
      <w:r w:rsidRPr="003D0AE7">
        <w:rPr>
          <w:rFonts w:ascii="Abadi" w:hAnsi="Abadi" w:cs="*Arial-6709-Identity-H"/>
          <w:color w:val="0D0C0F"/>
          <w:sz w:val="21"/>
          <w:szCs w:val="21"/>
        </w:rPr>
        <w:t>relativos a los informes de resultados que emita la Auditoría Superior del Estado.</w:t>
      </w:r>
      <w:r>
        <w:rPr>
          <w:rFonts w:ascii="Abadi" w:hAnsi="Abadi" w:cs="*Arial-6709-Identity-H"/>
          <w:color w:val="0D0C0F"/>
          <w:sz w:val="21"/>
          <w:szCs w:val="21"/>
        </w:rPr>
        <w:t xml:space="preserve"> </w:t>
      </w:r>
      <w:r w:rsidRPr="003D0AE7">
        <w:rPr>
          <w:rFonts w:ascii="Abadi" w:hAnsi="Abadi" w:cs="*Arial-6709-Identity-H"/>
          <w:color w:val="0B0C0E"/>
          <w:sz w:val="21"/>
          <w:szCs w:val="21"/>
        </w:rPr>
        <w:t>A efecto de cumplir con las atribuciones conferidas a esta Comisión, y en</w:t>
      </w:r>
      <w:r>
        <w:rPr>
          <w:rFonts w:ascii="Abadi" w:hAnsi="Abadi" w:cs="*Arial-6709-Identity-H"/>
          <w:color w:val="0B0C0E"/>
          <w:sz w:val="21"/>
          <w:szCs w:val="21"/>
        </w:rPr>
        <w:t xml:space="preserve"> </w:t>
      </w:r>
      <w:r w:rsidRPr="003D0AE7">
        <w:rPr>
          <w:rFonts w:ascii="Abadi" w:hAnsi="Abadi" w:cs="*Arial-6709-Identity-H"/>
          <w:color w:val="0B0C0E"/>
          <w:sz w:val="21"/>
          <w:szCs w:val="21"/>
        </w:rPr>
        <w:t>observancia a lo que establece la Ley de Fiscalización Superior del Estado de</w:t>
      </w:r>
      <w:r>
        <w:rPr>
          <w:rFonts w:ascii="Abadi" w:hAnsi="Abadi" w:cs="*Arial-6709-Identity-H"/>
          <w:color w:val="0B0C0E"/>
          <w:sz w:val="21"/>
          <w:szCs w:val="21"/>
        </w:rPr>
        <w:t xml:space="preserve"> </w:t>
      </w:r>
      <w:r w:rsidRPr="003D0AE7">
        <w:rPr>
          <w:rFonts w:ascii="Abadi" w:hAnsi="Abadi" w:cs="*Arial-6709-Identity-H"/>
          <w:color w:val="0B0C0E"/>
          <w:sz w:val="21"/>
          <w:szCs w:val="21"/>
        </w:rPr>
        <w:t>Guanajuato, el presente dictamen se ocupará exclusivamente del aspecto que la</w:t>
      </w:r>
      <w:r>
        <w:rPr>
          <w:rFonts w:ascii="Abadi" w:hAnsi="Abadi" w:cs="*Arial-6709-Identity-H"/>
          <w:color w:val="0B0C0E"/>
          <w:sz w:val="21"/>
          <w:szCs w:val="21"/>
        </w:rPr>
        <w:t xml:space="preserve"> </w:t>
      </w:r>
      <w:r w:rsidRPr="003D0AE7">
        <w:rPr>
          <w:rFonts w:ascii="Abadi" w:hAnsi="Abadi" w:cs="*Arial-6709-Identity-H"/>
          <w:color w:val="0B0C0E"/>
          <w:sz w:val="21"/>
          <w:szCs w:val="21"/>
        </w:rPr>
        <w:t xml:space="preserve">propia Ley señala </w:t>
      </w:r>
      <w:r w:rsidRPr="003D0AE7">
        <w:rPr>
          <w:rFonts w:ascii="Abadi" w:hAnsi="Abadi" w:cs="*Arial-6709-Identity-H"/>
          <w:color w:val="A1A1A1"/>
          <w:sz w:val="21"/>
          <w:szCs w:val="21"/>
        </w:rPr>
        <w:t>·</w:t>
      </w:r>
      <w:r w:rsidRPr="003D0AE7">
        <w:rPr>
          <w:rFonts w:ascii="Abadi" w:hAnsi="Abadi" w:cs="*Arial-6709-Identity-H"/>
          <w:color w:val="0B0C0E"/>
          <w:sz w:val="21"/>
          <w:szCs w:val="21"/>
        </w:rPr>
        <w:t>y por el cual podría ser observado o no, el informe de</w:t>
      </w:r>
      <w:r>
        <w:rPr>
          <w:rFonts w:ascii="Abadi" w:hAnsi="Abadi" w:cs="*Arial-6709-Identity-H"/>
          <w:color w:val="0B0C0E"/>
          <w:sz w:val="21"/>
          <w:szCs w:val="21"/>
        </w:rPr>
        <w:t xml:space="preserve"> </w:t>
      </w:r>
      <w:r w:rsidRPr="003D0AE7">
        <w:rPr>
          <w:rFonts w:ascii="Abadi" w:hAnsi="Abadi" w:cs="*Arial-6709-Identity-H"/>
          <w:color w:val="0B0C0E"/>
          <w:sz w:val="21"/>
          <w:szCs w:val="21"/>
        </w:rPr>
        <w:t>resultados.</w:t>
      </w:r>
    </w:p>
    <w:p w14:paraId="60FE4A50" w14:textId="77777777" w:rsidR="0016773C" w:rsidRDefault="0016773C" w:rsidP="0016773C">
      <w:pPr>
        <w:autoSpaceDE w:val="0"/>
        <w:autoSpaceDN w:val="0"/>
        <w:adjustRightInd w:val="0"/>
        <w:jc w:val="both"/>
        <w:rPr>
          <w:rFonts w:ascii="Abadi" w:hAnsi="Abadi" w:cs="*Arial-Bold-6710-Identity-H"/>
          <w:b/>
          <w:bCs/>
          <w:color w:val="0B0B10"/>
          <w:sz w:val="21"/>
          <w:szCs w:val="21"/>
        </w:rPr>
      </w:pPr>
    </w:p>
    <w:p w14:paraId="1675D18E" w14:textId="77777777" w:rsidR="0016773C" w:rsidRDefault="0016773C" w:rsidP="0016773C">
      <w:pPr>
        <w:autoSpaceDE w:val="0"/>
        <w:autoSpaceDN w:val="0"/>
        <w:adjustRightInd w:val="0"/>
        <w:ind w:firstLine="708"/>
        <w:jc w:val="both"/>
        <w:rPr>
          <w:rFonts w:ascii="Abadi" w:hAnsi="Abadi" w:cs="*Arial-Bold-6710-Identity-H"/>
          <w:b/>
          <w:bCs/>
          <w:color w:val="0B0B10"/>
          <w:sz w:val="21"/>
          <w:szCs w:val="21"/>
        </w:rPr>
      </w:pPr>
      <w:r>
        <w:rPr>
          <w:rFonts w:ascii="Abadi" w:hAnsi="Abadi" w:cs="*Arial-Bold-6710-Identity-H"/>
          <w:b/>
          <w:bCs/>
          <w:color w:val="0B0B10"/>
          <w:sz w:val="21"/>
          <w:szCs w:val="21"/>
        </w:rPr>
        <w:t>II</w:t>
      </w:r>
      <w:r w:rsidRPr="003D0AE7">
        <w:rPr>
          <w:rFonts w:ascii="Abadi" w:hAnsi="Abadi" w:cs="*Arial-Bold-6710-Identity-H"/>
          <w:b/>
          <w:bCs/>
          <w:color w:val="0B0B10"/>
          <w:sz w:val="21"/>
          <w:szCs w:val="21"/>
        </w:rPr>
        <w:t>. Antecedentes:</w:t>
      </w:r>
    </w:p>
    <w:p w14:paraId="40F4FD0B" w14:textId="77777777" w:rsidR="0016773C" w:rsidRPr="003D0AE7" w:rsidRDefault="0016773C" w:rsidP="0016773C">
      <w:pPr>
        <w:autoSpaceDE w:val="0"/>
        <w:autoSpaceDN w:val="0"/>
        <w:adjustRightInd w:val="0"/>
        <w:jc w:val="both"/>
        <w:rPr>
          <w:rFonts w:ascii="Abadi" w:hAnsi="Abadi" w:cs="*Arial-Bold-6710-Identity-H"/>
          <w:b/>
          <w:bCs/>
          <w:color w:val="0B0B10"/>
          <w:sz w:val="21"/>
          <w:szCs w:val="21"/>
        </w:rPr>
      </w:pPr>
    </w:p>
    <w:p w14:paraId="119C5B47" w14:textId="77777777" w:rsidR="0016773C" w:rsidRDefault="0016773C" w:rsidP="0016773C">
      <w:pPr>
        <w:autoSpaceDE w:val="0"/>
        <w:autoSpaceDN w:val="0"/>
        <w:adjustRightInd w:val="0"/>
        <w:ind w:firstLine="708"/>
        <w:jc w:val="both"/>
        <w:rPr>
          <w:rFonts w:ascii="Abadi" w:hAnsi="Abadi" w:cs="*Arial-6709-Identity-H"/>
          <w:color w:val="0C0B0E"/>
          <w:sz w:val="21"/>
          <w:szCs w:val="21"/>
        </w:rPr>
      </w:pPr>
      <w:r w:rsidRPr="003D0AE7">
        <w:rPr>
          <w:rFonts w:ascii="Abadi" w:hAnsi="Abadi" w:cs="*Arial-6709-Identity-H"/>
          <w:color w:val="0C0B0E"/>
          <w:sz w:val="21"/>
          <w:szCs w:val="21"/>
        </w:rPr>
        <w:t>De conformidad con el artículo 66, fracción I de la Constitución Política para</w:t>
      </w:r>
      <w:r>
        <w:rPr>
          <w:rFonts w:ascii="Abadi" w:hAnsi="Abadi" w:cs="*Arial-6709-Identity-H"/>
          <w:color w:val="0C0B0E"/>
          <w:sz w:val="21"/>
          <w:szCs w:val="21"/>
        </w:rPr>
        <w:t xml:space="preserve"> </w:t>
      </w:r>
      <w:r w:rsidRPr="003D0AE7">
        <w:rPr>
          <w:rFonts w:ascii="Abadi" w:hAnsi="Abadi" w:cs="*Arial-6709-Identity-H"/>
          <w:color w:val="0C0B0E"/>
          <w:sz w:val="21"/>
          <w:szCs w:val="21"/>
        </w:rPr>
        <w:t>el Estado de Guanajuato, es atribución de la Auditoria Superior del Estado realizar</w:t>
      </w:r>
      <w:r>
        <w:rPr>
          <w:rFonts w:ascii="Abadi" w:hAnsi="Abadi" w:cs="*Arial-6709-Identity-H"/>
          <w:color w:val="0C0B0E"/>
          <w:sz w:val="21"/>
          <w:szCs w:val="21"/>
        </w:rPr>
        <w:t xml:space="preserve"> </w:t>
      </w:r>
      <w:r w:rsidRPr="003D0AE7">
        <w:rPr>
          <w:rFonts w:ascii="Abadi" w:hAnsi="Abadi" w:cs="*Arial-6709-Identity-H"/>
          <w:color w:val="0C0B0E"/>
          <w:sz w:val="21"/>
          <w:szCs w:val="21"/>
        </w:rPr>
        <w:t>auditorías de desempeño en el cumplimiento de objetivos y metas contenidos en</w:t>
      </w:r>
      <w:r>
        <w:rPr>
          <w:rFonts w:ascii="Abadi" w:hAnsi="Abadi" w:cs="*Arial-6709-Identity-H"/>
          <w:color w:val="0C0B0E"/>
          <w:sz w:val="21"/>
          <w:szCs w:val="21"/>
        </w:rPr>
        <w:t xml:space="preserve"> </w:t>
      </w:r>
      <w:r w:rsidRPr="003D0AE7">
        <w:rPr>
          <w:rFonts w:ascii="Abadi" w:hAnsi="Abadi" w:cs="*Arial-6709-Identity-H"/>
          <w:color w:val="0C0B0E"/>
          <w:sz w:val="21"/>
          <w:szCs w:val="21"/>
        </w:rPr>
        <w:t>los programas, de las cuales sólo podrá emitir las recomendaciones para la mejora</w:t>
      </w:r>
      <w:r>
        <w:rPr>
          <w:rFonts w:ascii="Abadi" w:hAnsi="Abadi" w:cs="*Arial-6709-Identity-H"/>
          <w:color w:val="0C0B0E"/>
          <w:sz w:val="21"/>
          <w:szCs w:val="21"/>
        </w:rPr>
        <w:t xml:space="preserve"> </w:t>
      </w:r>
      <w:r w:rsidRPr="003D0AE7">
        <w:rPr>
          <w:rFonts w:ascii="Abadi" w:hAnsi="Abadi" w:cs="*Arial-6709-Identity-H"/>
          <w:color w:val="0C0B0E"/>
          <w:sz w:val="21"/>
          <w:szCs w:val="21"/>
        </w:rPr>
        <w:t>en el desempeño, en los términos de la Ley.</w:t>
      </w:r>
    </w:p>
    <w:p w14:paraId="366662D3" w14:textId="77777777" w:rsidR="0016773C" w:rsidRPr="003D0AE7" w:rsidRDefault="0016773C" w:rsidP="0016773C">
      <w:pPr>
        <w:autoSpaceDE w:val="0"/>
        <w:autoSpaceDN w:val="0"/>
        <w:adjustRightInd w:val="0"/>
        <w:jc w:val="both"/>
        <w:rPr>
          <w:rFonts w:ascii="Abadi" w:hAnsi="Abadi" w:cs="*Arial-6709-Identity-H"/>
          <w:color w:val="0C0B0E"/>
          <w:sz w:val="21"/>
          <w:szCs w:val="21"/>
        </w:rPr>
      </w:pPr>
    </w:p>
    <w:p w14:paraId="10E9FCB1" w14:textId="77777777" w:rsidR="0016773C" w:rsidRPr="003D0AE7" w:rsidRDefault="0016773C" w:rsidP="0016773C">
      <w:pPr>
        <w:autoSpaceDE w:val="0"/>
        <w:autoSpaceDN w:val="0"/>
        <w:adjustRightInd w:val="0"/>
        <w:ind w:firstLine="708"/>
        <w:jc w:val="both"/>
        <w:rPr>
          <w:rFonts w:ascii="Abadi" w:hAnsi="Abadi" w:cs="*Arial-6709-Identity-H"/>
          <w:color w:val="0D0C0F"/>
          <w:sz w:val="21"/>
          <w:szCs w:val="21"/>
        </w:rPr>
      </w:pPr>
      <w:r w:rsidRPr="003D0AE7">
        <w:rPr>
          <w:rFonts w:ascii="Abadi" w:hAnsi="Abadi" w:cs="*Arial-6709-Identity-H"/>
          <w:color w:val="0D0C0F"/>
          <w:sz w:val="21"/>
          <w:szCs w:val="21"/>
        </w:rPr>
        <w:t>Por su parte, el artículo 3, fracción V de la Ley de Fiscalización Superior del</w:t>
      </w:r>
      <w:r>
        <w:rPr>
          <w:rFonts w:ascii="Abadi" w:hAnsi="Abadi" w:cs="*Arial-6709-Identity-H"/>
          <w:color w:val="0D0C0F"/>
          <w:sz w:val="21"/>
          <w:szCs w:val="21"/>
        </w:rPr>
        <w:t xml:space="preserve"> </w:t>
      </w:r>
      <w:r w:rsidRPr="003D0AE7">
        <w:rPr>
          <w:rFonts w:ascii="Abadi" w:hAnsi="Abadi" w:cs="*Arial-6709-Identity-H"/>
          <w:color w:val="0D0C0F"/>
          <w:sz w:val="21"/>
          <w:szCs w:val="21"/>
        </w:rPr>
        <w:t>Estado de Guanajuato señala que la Auditoría Superior del Estado es competente</w:t>
      </w:r>
      <w:r>
        <w:rPr>
          <w:rFonts w:ascii="Abadi" w:hAnsi="Abadi" w:cs="*Arial-6709-Identity-H"/>
          <w:color w:val="0D0C0F"/>
          <w:sz w:val="21"/>
          <w:szCs w:val="21"/>
        </w:rPr>
        <w:t xml:space="preserve"> </w:t>
      </w:r>
      <w:r w:rsidRPr="003D0AE7">
        <w:rPr>
          <w:rFonts w:ascii="Abadi" w:hAnsi="Abadi" w:cs="*Arial-6709-Identity-H"/>
          <w:color w:val="0D0C0F"/>
          <w:sz w:val="21"/>
          <w:szCs w:val="21"/>
        </w:rPr>
        <w:t>para practicar auditorías de desempeño para verificar el cumplimiento de los</w:t>
      </w:r>
      <w:r>
        <w:rPr>
          <w:rFonts w:ascii="Abadi" w:hAnsi="Abadi" w:cs="*Arial-6709-Identity-H"/>
          <w:color w:val="0D0C0F"/>
          <w:sz w:val="21"/>
          <w:szCs w:val="21"/>
        </w:rPr>
        <w:t xml:space="preserve"> </w:t>
      </w:r>
      <w:r w:rsidRPr="003D0AE7">
        <w:rPr>
          <w:rFonts w:ascii="Abadi" w:hAnsi="Abadi" w:cs="*Arial-6709-Identity-H"/>
          <w:color w:val="0D0C0F"/>
          <w:sz w:val="21"/>
          <w:szCs w:val="21"/>
        </w:rPr>
        <w:t>objetivos y las metas de los programas estatales y municipales.</w:t>
      </w:r>
    </w:p>
    <w:p w14:paraId="7B8FC313" w14:textId="77777777" w:rsidR="0016773C" w:rsidRPr="003D0AE7" w:rsidRDefault="0016773C" w:rsidP="0016773C">
      <w:pPr>
        <w:autoSpaceDE w:val="0"/>
        <w:autoSpaceDN w:val="0"/>
        <w:adjustRightInd w:val="0"/>
        <w:jc w:val="both"/>
        <w:rPr>
          <w:rFonts w:ascii="Abadi" w:hAnsi="Abadi" w:cs="*Arial-6889-Identity-H"/>
          <w:color w:val="202020"/>
          <w:sz w:val="21"/>
          <w:szCs w:val="21"/>
        </w:rPr>
      </w:pPr>
    </w:p>
    <w:p w14:paraId="553BB99F" w14:textId="77777777" w:rsidR="0016773C" w:rsidRDefault="0016773C" w:rsidP="0016773C">
      <w:pPr>
        <w:autoSpaceDE w:val="0"/>
        <w:autoSpaceDN w:val="0"/>
        <w:adjustRightInd w:val="0"/>
        <w:ind w:firstLine="708"/>
        <w:jc w:val="both"/>
        <w:rPr>
          <w:rFonts w:ascii="Abadi" w:hAnsi="Abadi" w:cs="*Arial-6888-Identity-H"/>
          <w:color w:val="0D0C0F"/>
          <w:sz w:val="21"/>
          <w:szCs w:val="21"/>
        </w:rPr>
      </w:pPr>
      <w:r w:rsidRPr="003D0AE7">
        <w:rPr>
          <w:rFonts w:ascii="Abadi" w:hAnsi="Abadi" w:cs="*Arial-6888-Identity-H"/>
          <w:color w:val="0D0C0F"/>
          <w:sz w:val="21"/>
          <w:szCs w:val="21"/>
        </w:rPr>
        <w:t>De igual forma, el artículo 56 de la Ley de Fiscalización Superior prevé que</w:t>
      </w:r>
      <w:r>
        <w:rPr>
          <w:rFonts w:ascii="Abadi" w:hAnsi="Abadi" w:cs="*Arial-6888-Identity-H"/>
          <w:color w:val="0D0C0F"/>
          <w:sz w:val="21"/>
          <w:szCs w:val="21"/>
        </w:rPr>
        <w:t xml:space="preserve"> </w:t>
      </w:r>
      <w:r w:rsidRPr="003D0AE7">
        <w:rPr>
          <w:rFonts w:ascii="Abadi" w:hAnsi="Abadi" w:cs="*Arial-6888-Identity-H"/>
          <w:color w:val="0D0C0F"/>
          <w:sz w:val="21"/>
          <w:szCs w:val="21"/>
        </w:rPr>
        <w:t>las auditorías de desempeño comprenden la revisión del cumplimiento de las</w:t>
      </w:r>
      <w:r>
        <w:rPr>
          <w:rFonts w:ascii="Abadi" w:hAnsi="Abadi" w:cs="*Arial-6888-Identity-H"/>
          <w:color w:val="0D0C0F"/>
          <w:sz w:val="21"/>
          <w:szCs w:val="21"/>
        </w:rPr>
        <w:t xml:space="preserve"> </w:t>
      </w:r>
      <w:r w:rsidRPr="003D0AE7">
        <w:rPr>
          <w:rFonts w:ascii="Abadi" w:hAnsi="Abadi" w:cs="*Arial-6888-Identity-H"/>
          <w:color w:val="0D0C0F"/>
          <w:sz w:val="21"/>
          <w:szCs w:val="21"/>
        </w:rPr>
        <w:t>metas y objetivos de los planes y programas, conforme a los principios de</w:t>
      </w:r>
      <w:r>
        <w:rPr>
          <w:rFonts w:ascii="Abadi" w:hAnsi="Abadi" w:cs="*Arial-6888-Identity-H"/>
          <w:color w:val="0D0C0F"/>
          <w:sz w:val="21"/>
          <w:szCs w:val="21"/>
        </w:rPr>
        <w:t xml:space="preserve"> </w:t>
      </w:r>
      <w:r w:rsidRPr="003D0AE7">
        <w:rPr>
          <w:rFonts w:ascii="Abadi" w:hAnsi="Abadi" w:cs="*Arial-6888-Identity-H"/>
          <w:color w:val="0D0C0F"/>
          <w:sz w:val="21"/>
          <w:szCs w:val="21"/>
        </w:rPr>
        <w:t>eficiencia, eficacia y economía; así como la evaluación de las políticas públicas;</w:t>
      </w:r>
      <w:r>
        <w:rPr>
          <w:rFonts w:ascii="Abadi" w:hAnsi="Abadi" w:cs="*Arial-6888-Identity-H"/>
          <w:color w:val="0D0C0F"/>
          <w:sz w:val="21"/>
          <w:szCs w:val="21"/>
        </w:rPr>
        <w:t xml:space="preserve"> </w:t>
      </w:r>
      <w:r w:rsidRPr="003D0AE7">
        <w:rPr>
          <w:rFonts w:ascii="Abadi" w:hAnsi="Abadi" w:cs="*Arial-6888-Identity-H"/>
          <w:color w:val="0D0C0F"/>
          <w:sz w:val="21"/>
          <w:szCs w:val="21"/>
        </w:rPr>
        <w:t>estableciendo además que la Auditoría Superior del Estado realizará las auditorías</w:t>
      </w:r>
      <w:r>
        <w:rPr>
          <w:rFonts w:ascii="Abadi" w:hAnsi="Abadi" w:cs="*Arial-6888-Identity-H"/>
          <w:color w:val="0D0C0F"/>
          <w:sz w:val="21"/>
          <w:szCs w:val="21"/>
        </w:rPr>
        <w:t xml:space="preserve"> </w:t>
      </w:r>
      <w:r w:rsidRPr="003D0AE7">
        <w:rPr>
          <w:rFonts w:ascii="Abadi" w:hAnsi="Abadi" w:cs="*Arial-6888-Identity-H"/>
          <w:color w:val="0D0C0F"/>
          <w:sz w:val="21"/>
          <w:szCs w:val="21"/>
        </w:rPr>
        <w:t>de desempeño de manera anual y únicamente formulará recomendaciones que</w:t>
      </w:r>
      <w:r>
        <w:rPr>
          <w:rFonts w:ascii="Abadi" w:hAnsi="Abadi" w:cs="*Arial-6888-Identity-H"/>
          <w:color w:val="0D0C0F"/>
          <w:sz w:val="21"/>
          <w:szCs w:val="21"/>
        </w:rPr>
        <w:t xml:space="preserve"> </w:t>
      </w:r>
      <w:r w:rsidRPr="003D0AE7">
        <w:rPr>
          <w:rFonts w:ascii="Abadi" w:hAnsi="Abadi" w:cs="*Arial-6888-Identity-H"/>
          <w:color w:val="0D0C0F"/>
          <w:sz w:val="21"/>
          <w:szCs w:val="21"/>
        </w:rPr>
        <w:t>incidan en mejorar sistemáticamente el diseño, operación e impacto de los</w:t>
      </w:r>
      <w:r>
        <w:rPr>
          <w:rFonts w:ascii="Abadi" w:hAnsi="Abadi" w:cs="*Arial-6888-Identity-H"/>
          <w:color w:val="0D0C0F"/>
          <w:sz w:val="21"/>
          <w:szCs w:val="21"/>
        </w:rPr>
        <w:t xml:space="preserve"> </w:t>
      </w:r>
      <w:r w:rsidRPr="003D0AE7">
        <w:rPr>
          <w:rFonts w:ascii="Abadi" w:hAnsi="Abadi" w:cs="*Arial-6888-Identity-H"/>
          <w:color w:val="0D0C0F"/>
          <w:sz w:val="21"/>
          <w:szCs w:val="21"/>
        </w:rPr>
        <w:t>presupuestos programáticos y las políticas públicas en su caso.</w:t>
      </w:r>
    </w:p>
    <w:p w14:paraId="6F4CDD34" w14:textId="77777777" w:rsidR="0016773C" w:rsidRPr="003D0AE7" w:rsidRDefault="0016773C" w:rsidP="0016773C">
      <w:pPr>
        <w:autoSpaceDE w:val="0"/>
        <w:autoSpaceDN w:val="0"/>
        <w:adjustRightInd w:val="0"/>
        <w:jc w:val="both"/>
        <w:rPr>
          <w:rFonts w:ascii="Abadi" w:hAnsi="Abadi" w:cs="*Arial-6888-Identity-H"/>
          <w:color w:val="0D0C0F"/>
          <w:sz w:val="21"/>
          <w:szCs w:val="21"/>
        </w:rPr>
      </w:pPr>
    </w:p>
    <w:p w14:paraId="72CF08ED" w14:textId="77777777" w:rsidR="0016773C" w:rsidRDefault="0016773C" w:rsidP="0016773C">
      <w:pPr>
        <w:autoSpaceDE w:val="0"/>
        <w:autoSpaceDN w:val="0"/>
        <w:adjustRightInd w:val="0"/>
        <w:ind w:firstLine="708"/>
        <w:jc w:val="both"/>
        <w:rPr>
          <w:rFonts w:ascii="Abadi" w:hAnsi="Abadi" w:cs="*Arial-6888-Identity-H"/>
          <w:color w:val="0D0D10"/>
          <w:sz w:val="21"/>
          <w:szCs w:val="21"/>
        </w:rPr>
      </w:pPr>
      <w:r w:rsidRPr="003D0AE7">
        <w:rPr>
          <w:rFonts w:ascii="Abadi" w:hAnsi="Abadi" w:cs="*Arial-6888-Identity-H"/>
          <w:color w:val="0D0D10"/>
          <w:sz w:val="21"/>
          <w:szCs w:val="21"/>
        </w:rPr>
        <w:t>Por su parte, los artículos 59 y 60 de la citada Ley refieren que los informes</w:t>
      </w:r>
      <w:r>
        <w:rPr>
          <w:rFonts w:ascii="Abadi" w:hAnsi="Abadi" w:cs="*Arial-6888-Identity-H"/>
          <w:color w:val="0D0D10"/>
          <w:sz w:val="21"/>
          <w:szCs w:val="21"/>
        </w:rPr>
        <w:t xml:space="preserve"> </w:t>
      </w:r>
      <w:r w:rsidRPr="003D0AE7">
        <w:rPr>
          <w:rFonts w:ascii="Abadi" w:hAnsi="Abadi" w:cs="*Arial-6888-Identity-H"/>
          <w:color w:val="0D0D10"/>
          <w:sz w:val="21"/>
          <w:szCs w:val="21"/>
        </w:rPr>
        <w:t>de resultados de auditorías de desempeño contendrán los requisitos señalados en</w:t>
      </w:r>
      <w:r>
        <w:rPr>
          <w:rFonts w:ascii="Abadi" w:hAnsi="Abadi" w:cs="*Arial-6888-Identity-H"/>
          <w:color w:val="0D0D10"/>
          <w:sz w:val="21"/>
          <w:szCs w:val="21"/>
        </w:rPr>
        <w:t xml:space="preserve"> </w:t>
      </w:r>
      <w:r w:rsidRPr="003D0AE7">
        <w:rPr>
          <w:rFonts w:ascii="Abadi" w:hAnsi="Abadi" w:cs="*Arial-6888-Identity-H"/>
          <w:color w:val="0D0D10"/>
          <w:sz w:val="21"/>
          <w:szCs w:val="21"/>
        </w:rPr>
        <w:t>el Reglamento de la Ley y que la Auditoría Superior del Estado, remitirá dichos</w:t>
      </w:r>
      <w:r>
        <w:rPr>
          <w:rFonts w:ascii="Abadi" w:hAnsi="Abadi" w:cs="*Arial-6888-Identity-H"/>
          <w:color w:val="0D0D10"/>
          <w:sz w:val="21"/>
          <w:szCs w:val="21"/>
        </w:rPr>
        <w:t xml:space="preserve"> </w:t>
      </w:r>
      <w:r w:rsidRPr="003D0AE7">
        <w:rPr>
          <w:rFonts w:ascii="Abadi" w:hAnsi="Abadi" w:cs="*Arial-6888-Identity-H"/>
          <w:color w:val="0D0D10"/>
          <w:sz w:val="21"/>
          <w:szCs w:val="21"/>
        </w:rPr>
        <w:t>informes al Congreso a más tardar el 30 de septiembre del ejercicio fiscal de que</w:t>
      </w:r>
      <w:r>
        <w:rPr>
          <w:rFonts w:ascii="Abadi" w:hAnsi="Abadi" w:cs="*Arial-6888-Identity-H"/>
          <w:color w:val="0D0D10"/>
          <w:sz w:val="21"/>
          <w:szCs w:val="21"/>
        </w:rPr>
        <w:t xml:space="preserve"> </w:t>
      </w:r>
      <w:r w:rsidRPr="003D0AE7">
        <w:rPr>
          <w:rFonts w:ascii="Abadi" w:hAnsi="Abadi" w:cs="*Arial-6888-Identity-H"/>
          <w:color w:val="0D0D10"/>
          <w:sz w:val="21"/>
          <w:szCs w:val="21"/>
        </w:rPr>
        <w:t>se trate.</w:t>
      </w:r>
    </w:p>
    <w:p w14:paraId="0B9661D0" w14:textId="77777777" w:rsidR="0016773C" w:rsidRPr="003D0AE7" w:rsidRDefault="0016773C" w:rsidP="0016773C">
      <w:pPr>
        <w:autoSpaceDE w:val="0"/>
        <w:autoSpaceDN w:val="0"/>
        <w:adjustRightInd w:val="0"/>
        <w:jc w:val="both"/>
        <w:rPr>
          <w:rFonts w:ascii="Abadi" w:hAnsi="Abadi" w:cs="*Arial-6888-Identity-H"/>
          <w:color w:val="0D0D10"/>
          <w:sz w:val="21"/>
          <w:szCs w:val="21"/>
        </w:rPr>
      </w:pPr>
    </w:p>
    <w:p w14:paraId="233329D4" w14:textId="77777777" w:rsidR="0016773C" w:rsidRDefault="0016773C" w:rsidP="0016773C">
      <w:pPr>
        <w:autoSpaceDE w:val="0"/>
        <w:autoSpaceDN w:val="0"/>
        <w:adjustRightInd w:val="0"/>
        <w:ind w:firstLine="708"/>
        <w:jc w:val="both"/>
        <w:rPr>
          <w:rFonts w:ascii="Abadi" w:hAnsi="Abadi" w:cs="*Arial-6888-Identity-H"/>
          <w:color w:val="0D0D0F"/>
          <w:sz w:val="21"/>
          <w:szCs w:val="21"/>
        </w:rPr>
      </w:pPr>
      <w:r w:rsidRPr="003D0AE7">
        <w:rPr>
          <w:rFonts w:ascii="Abadi" w:hAnsi="Abadi" w:cs="*Arial-6888-Identity-H"/>
          <w:color w:val="0D0D0F"/>
          <w:sz w:val="21"/>
          <w:szCs w:val="21"/>
        </w:rPr>
        <w:t>De lo anterior podemos desprender que el Órgano Técnico realizará la</w:t>
      </w:r>
      <w:r>
        <w:rPr>
          <w:rFonts w:ascii="Abadi" w:hAnsi="Abadi" w:cs="*Arial-6888-Identity-H"/>
          <w:color w:val="0D0D0F"/>
          <w:sz w:val="21"/>
          <w:szCs w:val="21"/>
        </w:rPr>
        <w:t xml:space="preserve"> </w:t>
      </w:r>
      <w:r w:rsidRPr="003D0AE7">
        <w:rPr>
          <w:rFonts w:ascii="Abadi" w:hAnsi="Abadi" w:cs="*Arial-6888-Identity-H"/>
          <w:color w:val="0D0D0F"/>
          <w:sz w:val="21"/>
          <w:szCs w:val="21"/>
        </w:rPr>
        <w:t>auditoría de desempeño de manera anual y únicamente formulará</w:t>
      </w:r>
      <w:r>
        <w:rPr>
          <w:rFonts w:ascii="Abadi" w:hAnsi="Abadi" w:cs="*Arial-6888-Identity-H"/>
          <w:color w:val="0D0D0F"/>
          <w:sz w:val="21"/>
          <w:szCs w:val="21"/>
        </w:rPr>
        <w:t xml:space="preserve"> </w:t>
      </w:r>
      <w:r w:rsidRPr="003D0AE7">
        <w:rPr>
          <w:rFonts w:ascii="Abadi" w:hAnsi="Abadi" w:cs="*Arial-6888-Identity-H"/>
          <w:color w:val="0D0D0F"/>
          <w:sz w:val="21"/>
          <w:szCs w:val="21"/>
        </w:rPr>
        <w:t>recomendaciones que incidan en la mejora del diseño, operación e impacto de los</w:t>
      </w:r>
      <w:r>
        <w:rPr>
          <w:rFonts w:ascii="Abadi" w:hAnsi="Abadi" w:cs="*Arial-6888-Identity-H"/>
          <w:color w:val="0D0D0F"/>
          <w:sz w:val="21"/>
          <w:szCs w:val="21"/>
        </w:rPr>
        <w:t xml:space="preserve"> </w:t>
      </w:r>
      <w:r w:rsidRPr="003D0AE7">
        <w:rPr>
          <w:rFonts w:ascii="Abadi" w:hAnsi="Abadi" w:cs="*Arial-6888-Identity-H"/>
          <w:color w:val="0D0D0F"/>
          <w:sz w:val="21"/>
          <w:szCs w:val="21"/>
        </w:rPr>
        <w:t>presupuestos programáticos y las políticas públicas en su caso.</w:t>
      </w:r>
    </w:p>
    <w:p w14:paraId="7CD86581" w14:textId="77777777" w:rsidR="0016773C" w:rsidRPr="003D0AE7" w:rsidRDefault="0016773C" w:rsidP="0016773C">
      <w:pPr>
        <w:autoSpaceDE w:val="0"/>
        <w:autoSpaceDN w:val="0"/>
        <w:adjustRightInd w:val="0"/>
        <w:jc w:val="both"/>
        <w:rPr>
          <w:rFonts w:ascii="Abadi" w:hAnsi="Abadi" w:cs="*Arial-6888-Identity-H"/>
          <w:color w:val="0D0D0F"/>
          <w:sz w:val="21"/>
          <w:szCs w:val="21"/>
        </w:rPr>
      </w:pPr>
    </w:p>
    <w:p w14:paraId="14BB0E9C" w14:textId="77777777" w:rsidR="0016773C" w:rsidRDefault="0016773C" w:rsidP="0016773C">
      <w:pPr>
        <w:autoSpaceDE w:val="0"/>
        <w:autoSpaceDN w:val="0"/>
        <w:adjustRightInd w:val="0"/>
        <w:ind w:firstLine="708"/>
        <w:jc w:val="both"/>
        <w:rPr>
          <w:rFonts w:ascii="Abadi" w:hAnsi="Abadi" w:cs="*Arial-6888-Identity-H"/>
          <w:color w:val="0C0D0F"/>
          <w:sz w:val="21"/>
          <w:szCs w:val="21"/>
        </w:rPr>
      </w:pPr>
      <w:r w:rsidRPr="003D0AE7">
        <w:rPr>
          <w:rFonts w:ascii="Abadi" w:hAnsi="Abadi" w:cs="*Arial-6888-Identity-H"/>
          <w:color w:val="0C0D0F"/>
          <w:sz w:val="21"/>
          <w:szCs w:val="21"/>
        </w:rPr>
        <w:t>Finalmente, el artículo 16 de la Ley de Fiscalización Superior del Estado de</w:t>
      </w:r>
      <w:r>
        <w:rPr>
          <w:rFonts w:ascii="Abadi" w:hAnsi="Abadi" w:cs="*Arial-6888-Identity-H"/>
          <w:color w:val="0C0D0F"/>
          <w:sz w:val="21"/>
          <w:szCs w:val="21"/>
        </w:rPr>
        <w:t xml:space="preserve"> </w:t>
      </w:r>
      <w:r w:rsidRPr="003D0AE7">
        <w:rPr>
          <w:rFonts w:ascii="Abadi" w:hAnsi="Abadi" w:cs="*Arial-6888-Identity-H"/>
          <w:color w:val="0C0D0F"/>
          <w:sz w:val="21"/>
          <w:szCs w:val="21"/>
        </w:rPr>
        <w:t>Guanajuato, consigna que la Auditoría Superior establecerá un Programa General</w:t>
      </w:r>
      <w:r>
        <w:rPr>
          <w:rFonts w:ascii="Abadi" w:hAnsi="Abadi" w:cs="*Arial-6888-Identity-H"/>
          <w:color w:val="0C0D0F"/>
          <w:sz w:val="21"/>
          <w:szCs w:val="21"/>
        </w:rPr>
        <w:t xml:space="preserve"> </w:t>
      </w:r>
      <w:r w:rsidRPr="003D0AE7">
        <w:rPr>
          <w:rFonts w:ascii="Abadi" w:hAnsi="Abadi" w:cs="*Arial-6888-Identity-H"/>
          <w:color w:val="0C0D0F"/>
          <w:sz w:val="21"/>
          <w:szCs w:val="21"/>
        </w:rPr>
        <w:t>de Fiscalización, señalando los actos y sujetos de fiscalización, los que serán</w:t>
      </w:r>
      <w:r>
        <w:rPr>
          <w:rFonts w:ascii="Abadi" w:hAnsi="Abadi" w:cs="*Arial-6888-Identity-H"/>
          <w:color w:val="0C0D0F"/>
          <w:sz w:val="21"/>
          <w:szCs w:val="21"/>
        </w:rPr>
        <w:t xml:space="preserve"> </w:t>
      </w:r>
      <w:r w:rsidRPr="003D0AE7">
        <w:rPr>
          <w:rFonts w:ascii="Abadi" w:hAnsi="Abadi" w:cs="*Arial-6888-Identity-H"/>
          <w:color w:val="0C0D0F"/>
          <w:sz w:val="21"/>
          <w:szCs w:val="21"/>
        </w:rPr>
        <w:t>objeto de auditoria o revisión conforme a los criterios y normas que se establezcan</w:t>
      </w:r>
      <w:r>
        <w:rPr>
          <w:rFonts w:ascii="Abadi" w:hAnsi="Abadi" w:cs="*Arial-6888-Identity-H"/>
          <w:color w:val="0C0D0F"/>
          <w:sz w:val="21"/>
          <w:szCs w:val="21"/>
        </w:rPr>
        <w:t xml:space="preserve"> </w:t>
      </w:r>
      <w:r w:rsidRPr="003D0AE7">
        <w:rPr>
          <w:rFonts w:ascii="Abadi" w:hAnsi="Abadi" w:cs="*Arial-6888-Identity-H"/>
          <w:color w:val="0C0D0F"/>
          <w:sz w:val="21"/>
          <w:szCs w:val="21"/>
        </w:rPr>
        <w:t>en el Reglamento de la Ley.</w:t>
      </w:r>
    </w:p>
    <w:p w14:paraId="672C3D2D" w14:textId="77777777" w:rsidR="0016773C" w:rsidRPr="003D0AE7" w:rsidRDefault="0016773C" w:rsidP="0016773C">
      <w:pPr>
        <w:autoSpaceDE w:val="0"/>
        <w:autoSpaceDN w:val="0"/>
        <w:adjustRightInd w:val="0"/>
        <w:jc w:val="both"/>
        <w:rPr>
          <w:rFonts w:ascii="Abadi" w:hAnsi="Abadi" w:cs="*Arial-6888-Identity-H"/>
          <w:color w:val="0C0D0F"/>
          <w:sz w:val="21"/>
          <w:szCs w:val="21"/>
        </w:rPr>
      </w:pPr>
    </w:p>
    <w:p w14:paraId="2733E4A1" w14:textId="77777777" w:rsidR="0016773C" w:rsidRDefault="0016773C" w:rsidP="0016773C">
      <w:pPr>
        <w:autoSpaceDE w:val="0"/>
        <w:autoSpaceDN w:val="0"/>
        <w:adjustRightInd w:val="0"/>
        <w:ind w:firstLine="708"/>
        <w:jc w:val="both"/>
        <w:rPr>
          <w:rFonts w:ascii="Abadi" w:hAnsi="Abadi" w:cs="*Arial-6888-Identity-H"/>
          <w:color w:val="0C0C0E"/>
          <w:sz w:val="21"/>
          <w:szCs w:val="21"/>
        </w:rPr>
      </w:pPr>
      <w:r w:rsidRPr="003D0AE7">
        <w:rPr>
          <w:rFonts w:ascii="Abadi" w:hAnsi="Abadi" w:cs="*Arial-6888-Identity-H"/>
          <w:color w:val="0C0C0E"/>
          <w:sz w:val="21"/>
          <w:szCs w:val="21"/>
        </w:rPr>
        <w:t>En ejercicio de esta función, el Auditor Superior del Estado aprobó el</w:t>
      </w:r>
      <w:r>
        <w:rPr>
          <w:rFonts w:ascii="Abadi" w:hAnsi="Abadi" w:cs="*Arial-6888-Identity-H"/>
          <w:color w:val="0C0C0E"/>
          <w:sz w:val="21"/>
          <w:szCs w:val="21"/>
        </w:rPr>
        <w:t xml:space="preserve"> </w:t>
      </w:r>
      <w:r w:rsidRPr="003D0AE7">
        <w:rPr>
          <w:rFonts w:ascii="Abadi" w:hAnsi="Abadi" w:cs="*Arial-6888-Identity-H"/>
          <w:color w:val="0C0C0E"/>
          <w:sz w:val="21"/>
          <w:szCs w:val="21"/>
        </w:rPr>
        <w:t>Programa General de Fiscalización 2021. En dicho Programa se contempló la</w:t>
      </w:r>
      <w:r>
        <w:rPr>
          <w:rFonts w:ascii="Abadi" w:hAnsi="Abadi" w:cs="*Arial-6888-Identity-H"/>
          <w:color w:val="0C0C0E"/>
          <w:sz w:val="21"/>
          <w:szCs w:val="21"/>
        </w:rPr>
        <w:t xml:space="preserve"> </w:t>
      </w:r>
      <w:r w:rsidRPr="003D0AE7">
        <w:rPr>
          <w:rFonts w:ascii="Abadi" w:hAnsi="Abadi" w:cs="*Arial-6888-Identity-H"/>
          <w:color w:val="0C0C0E"/>
          <w:sz w:val="21"/>
          <w:szCs w:val="21"/>
        </w:rPr>
        <w:t>práctica de una auditoría de desempeño a la administración municipal de Purísima</w:t>
      </w:r>
      <w:r>
        <w:rPr>
          <w:rFonts w:ascii="Abadi" w:hAnsi="Abadi" w:cs="*Arial-6888-Identity-H"/>
          <w:color w:val="0C0C0E"/>
          <w:sz w:val="21"/>
          <w:szCs w:val="21"/>
        </w:rPr>
        <w:t xml:space="preserve"> </w:t>
      </w:r>
      <w:r w:rsidRPr="003D0AE7">
        <w:rPr>
          <w:rFonts w:ascii="Abadi" w:hAnsi="Abadi" w:cs="*Arial-6888-Identity-H"/>
          <w:color w:val="0C0C0E"/>
          <w:sz w:val="21"/>
          <w:szCs w:val="21"/>
        </w:rPr>
        <w:t xml:space="preserve">del Rincón, </w:t>
      </w:r>
      <w:proofErr w:type="spellStart"/>
      <w:r w:rsidRPr="003D0AE7">
        <w:rPr>
          <w:rFonts w:ascii="Abadi" w:hAnsi="Abadi" w:cs="*Arial-6888-Identity-H"/>
          <w:color w:val="0C0C0E"/>
          <w:sz w:val="21"/>
          <w:szCs w:val="21"/>
        </w:rPr>
        <w:t>Gto</w:t>
      </w:r>
      <w:proofErr w:type="spellEnd"/>
      <w:r w:rsidRPr="003D0AE7">
        <w:rPr>
          <w:rFonts w:ascii="Abadi" w:hAnsi="Abadi" w:cs="*Arial-6888-Identity-H"/>
          <w:color w:val="0C0C0E"/>
          <w:sz w:val="21"/>
          <w:szCs w:val="21"/>
        </w:rPr>
        <w:t>., por el periodo comprendido del 1 de enero al 31 de diciembre del</w:t>
      </w:r>
      <w:r>
        <w:rPr>
          <w:rFonts w:ascii="Abadi" w:hAnsi="Abadi" w:cs="*Arial-6888-Identity-H"/>
          <w:color w:val="0C0C0E"/>
          <w:sz w:val="21"/>
          <w:szCs w:val="21"/>
        </w:rPr>
        <w:t xml:space="preserve"> </w:t>
      </w:r>
      <w:r w:rsidRPr="003D0AE7">
        <w:rPr>
          <w:rFonts w:ascii="Abadi" w:hAnsi="Abadi" w:cs="*Arial-6888-Identity-H"/>
          <w:color w:val="0C0C0E"/>
          <w:sz w:val="21"/>
          <w:szCs w:val="21"/>
        </w:rPr>
        <w:t>ejercicio fiscal del año 2020, la cual se realizó con enfoque a resultados del</w:t>
      </w:r>
      <w:r>
        <w:rPr>
          <w:rFonts w:ascii="Abadi" w:hAnsi="Abadi" w:cs="*Arial-6888-Identity-H"/>
          <w:color w:val="0C0C0E"/>
          <w:sz w:val="21"/>
          <w:szCs w:val="21"/>
        </w:rPr>
        <w:t xml:space="preserve"> </w:t>
      </w:r>
      <w:r w:rsidRPr="003D0AE7">
        <w:rPr>
          <w:rFonts w:ascii="Abadi" w:hAnsi="Abadi" w:cs="*Arial-6888-Identity-H"/>
          <w:color w:val="0C0C0E"/>
          <w:sz w:val="21"/>
          <w:szCs w:val="21"/>
        </w:rPr>
        <w:t>servicio de alumbrado público.</w:t>
      </w:r>
    </w:p>
    <w:p w14:paraId="0CD6C2F1" w14:textId="77777777" w:rsidR="0016773C" w:rsidRPr="003D0AE7" w:rsidRDefault="0016773C" w:rsidP="0016773C">
      <w:pPr>
        <w:autoSpaceDE w:val="0"/>
        <w:autoSpaceDN w:val="0"/>
        <w:adjustRightInd w:val="0"/>
        <w:jc w:val="both"/>
        <w:rPr>
          <w:rFonts w:ascii="Abadi" w:hAnsi="Abadi" w:cs="*Arial-6888-Identity-H"/>
          <w:color w:val="0C0C0E"/>
          <w:sz w:val="21"/>
          <w:szCs w:val="21"/>
        </w:rPr>
      </w:pPr>
    </w:p>
    <w:p w14:paraId="260151D9" w14:textId="77777777" w:rsidR="0016773C" w:rsidRPr="003D0AE7" w:rsidRDefault="0016773C" w:rsidP="0016773C">
      <w:pPr>
        <w:autoSpaceDE w:val="0"/>
        <w:autoSpaceDN w:val="0"/>
        <w:adjustRightInd w:val="0"/>
        <w:ind w:firstLine="708"/>
        <w:jc w:val="both"/>
        <w:rPr>
          <w:rFonts w:ascii="Abadi" w:hAnsi="Abadi" w:cs="*Arial-6888-Identity-H"/>
          <w:color w:val="0D0C0F"/>
          <w:sz w:val="21"/>
          <w:szCs w:val="21"/>
        </w:rPr>
      </w:pPr>
      <w:r w:rsidRPr="003D0AE7">
        <w:rPr>
          <w:rFonts w:ascii="Abadi" w:hAnsi="Abadi" w:cs="*Arial-6888-Identity-H"/>
          <w:color w:val="0D0C0F"/>
          <w:sz w:val="21"/>
          <w:szCs w:val="21"/>
        </w:rPr>
        <w:t>El 8 de septiembre de 2021 se notificó al sujeto fiscalizado el inicio de la</w:t>
      </w:r>
      <w:r>
        <w:rPr>
          <w:rFonts w:ascii="Abadi" w:hAnsi="Abadi" w:cs="*Arial-6888-Identity-H"/>
          <w:color w:val="0D0C0F"/>
          <w:sz w:val="21"/>
          <w:szCs w:val="21"/>
        </w:rPr>
        <w:t xml:space="preserve"> </w:t>
      </w:r>
      <w:r w:rsidRPr="003D0AE7">
        <w:rPr>
          <w:rFonts w:ascii="Abadi" w:hAnsi="Abadi" w:cs="*Arial-6888-Identity-H"/>
          <w:color w:val="0D0C0F"/>
          <w:sz w:val="21"/>
          <w:szCs w:val="21"/>
        </w:rPr>
        <w:t>auditoría materia del presente dictamen.</w:t>
      </w:r>
    </w:p>
    <w:p w14:paraId="1BADB173" w14:textId="77777777" w:rsidR="0016773C" w:rsidRPr="003D0AE7" w:rsidRDefault="0016773C" w:rsidP="0016773C">
      <w:pPr>
        <w:autoSpaceDE w:val="0"/>
        <w:autoSpaceDN w:val="0"/>
        <w:adjustRightInd w:val="0"/>
        <w:jc w:val="both"/>
        <w:rPr>
          <w:rFonts w:ascii="Abadi" w:hAnsi="Abadi" w:cs="*Arial-6666-Identity-H"/>
          <w:color w:val="0A0A0A"/>
          <w:sz w:val="21"/>
          <w:szCs w:val="21"/>
        </w:rPr>
      </w:pPr>
    </w:p>
    <w:p w14:paraId="717D446B" w14:textId="77777777" w:rsidR="0016773C" w:rsidRDefault="0016773C" w:rsidP="0016773C">
      <w:pPr>
        <w:autoSpaceDE w:val="0"/>
        <w:autoSpaceDN w:val="0"/>
        <w:adjustRightInd w:val="0"/>
        <w:ind w:firstLine="708"/>
        <w:jc w:val="both"/>
        <w:rPr>
          <w:rFonts w:ascii="Abadi" w:hAnsi="Abadi" w:cs="*Arial-6664-Identity-H"/>
          <w:color w:val="0C0C0E"/>
          <w:sz w:val="21"/>
          <w:szCs w:val="21"/>
        </w:rPr>
      </w:pPr>
      <w:r w:rsidRPr="003D0AE7">
        <w:rPr>
          <w:rFonts w:ascii="Abadi" w:hAnsi="Abadi" w:cs="*Arial-6664-Identity-H"/>
          <w:color w:val="0C0C0E"/>
          <w:sz w:val="21"/>
          <w:szCs w:val="21"/>
        </w:rPr>
        <w:t>Mediante oficio notificado el 24 de septiembre de 2021, la Auditoría</w:t>
      </w:r>
      <w:r>
        <w:rPr>
          <w:rFonts w:ascii="Abadi" w:hAnsi="Abadi" w:cs="*Arial-6664-Identity-H"/>
          <w:color w:val="0C0C0E"/>
          <w:sz w:val="21"/>
          <w:szCs w:val="21"/>
        </w:rPr>
        <w:t xml:space="preserve"> </w:t>
      </w:r>
      <w:r w:rsidRPr="003D0AE7">
        <w:rPr>
          <w:rFonts w:ascii="Abadi" w:hAnsi="Abadi" w:cs="*Arial-6664-Identity-H"/>
          <w:color w:val="0C0C0E"/>
          <w:sz w:val="21"/>
          <w:szCs w:val="21"/>
        </w:rPr>
        <w:t>Superior del Estado requirió al sujeto de fiscalización diversa información que se</w:t>
      </w:r>
      <w:r>
        <w:rPr>
          <w:rFonts w:ascii="Abadi" w:hAnsi="Abadi" w:cs="*Arial-6664-Identity-H"/>
          <w:color w:val="0C0C0E"/>
          <w:sz w:val="21"/>
          <w:szCs w:val="21"/>
        </w:rPr>
        <w:t xml:space="preserve"> </w:t>
      </w:r>
      <w:r w:rsidRPr="003D0AE7">
        <w:rPr>
          <w:rFonts w:ascii="Abadi" w:hAnsi="Abadi" w:cs="*Arial-6664-Identity-H"/>
          <w:color w:val="0C0C0E"/>
          <w:sz w:val="21"/>
          <w:szCs w:val="21"/>
        </w:rPr>
        <w:t>consideró necesaria para llevar a cabo la auditoría, al cual se dio respuesta el 8 de</w:t>
      </w:r>
      <w:r>
        <w:rPr>
          <w:rFonts w:ascii="Abadi" w:hAnsi="Abadi" w:cs="*Arial-6664-Identity-H"/>
          <w:color w:val="0C0C0E"/>
          <w:sz w:val="21"/>
          <w:szCs w:val="21"/>
        </w:rPr>
        <w:t xml:space="preserve"> </w:t>
      </w:r>
      <w:r w:rsidRPr="003D0AE7">
        <w:rPr>
          <w:rFonts w:ascii="Abadi" w:hAnsi="Abadi" w:cs="*Arial-6664-Identity-H"/>
          <w:color w:val="0C0C0E"/>
          <w:sz w:val="21"/>
          <w:szCs w:val="21"/>
        </w:rPr>
        <w:t>octubre de 2021. Asimismo, el 29 de noviembre de 2021, el Órgano Técnico</w:t>
      </w:r>
      <w:r>
        <w:rPr>
          <w:rFonts w:ascii="Abadi" w:hAnsi="Abadi" w:cs="*Arial-6664-Identity-H"/>
          <w:color w:val="0C0C0E"/>
          <w:sz w:val="21"/>
          <w:szCs w:val="21"/>
        </w:rPr>
        <w:t xml:space="preserve"> </w:t>
      </w:r>
      <w:r w:rsidRPr="003D0AE7">
        <w:rPr>
          <w:rFonts w:ascii="Abadi" w:hAnsi="Abadi" w:cs="*Arial-6664-Identity-H"/>
          <w:color w:val="0C0C0E"/>
          <w:sz w:val="21"/>
          <w:szCs w:val="21"/>
        </w:rPr>
        <w:t>realizó entrevistas.</w:t>
      </w:r>
    </w:p>
    <w:p w14:paraId="6DB6AD30" w14:textId="77777777" w:rsidR="0016773C" w:rsidRPr="003D0AE7" w:rsidRDefault="0016773C" w:rsidP="0016773C">
      <w:pPr>
        <w:autoSpaceDE w:val="0"/>
        <w:autoSpaceDN w:val="0"/>
        <w:adjustRightInd w:val="0"/>
        <w:jc w:val="both"/>
        <w:rPr>
          <w:rFonts w:ascii="Abadi" w:hAnsi="Abadi" w:cs="*Arial-6664-Identity-H"/>
          <w:color w:val="0C0C0E"/>
          <w:sz w:val="21"/>
          <w:szCs w:val="21"/>
        </w:rPr>
      </w:pPr>
    </w:p>
    <w:p w14:paraId="141EEF12" w14:textId="77777777" w:rsidR="0016773C" w:rsidRDefault="0016773C" w:rsidP="0016773C">
      <w:pPr>
        <w:autoSpaceDE w:val="0"/>
        <w:autoSpaceDN w:val="0"/>
        <w:adjustRightInd w:val="0"/>
        <w:ind w:firstLine="708"/>
        <w:jc w:val="both"/>
        <w:rPr>
          <w:rFonts w:ascii="Abadi" w:hAnsi="Abadi" w:cs="*Arial-6664-Identity-H"/>
          <w:color w:val="0D0D10"/>
          <w:sz w:val="21"/>
          <w:szCs w:val="21"/>
        </w:rPr>
      </w:pPr>
      <w:r w:rsidRPr="003D0AE7">
        <w:rPr>
          <w:rFonts w:ascii="Abadi" w:hAnsi="Abadi" w:cs="*Arial-6664-Identity-H"/>
          <w:color w:val="0D0D10"/>
          <w:sz w:val="21"/>
          <w:szCs w:val="21"/>
        </w:rPr>
        <w:t>En fechas 24 de septiembre y 16 de diciembre de 2021 se notificó al sujeto</w:t>
      </w:r>
      <w:r>
        <w:rPr>
          <w:rFonts w:ascii="Abadi" w:hAnsi="Abadi" w:cs="*Arial-6664-Identity-H"/>
          <w:color w:val="0D0D10"/>
          <w:sz w:val="21"/>
          <w:szCs w:val="21"/>
        </w:rPr>
        <w:t xml:space="preserve"> </w:t>
      </w:r>
      <w:r w:rsidRPr="003D0AE7">
        <w:rPr>
          <w:rFonts w:ascii="Abadi" w:hAnsi="Abadi" w:cs="*Arial-6664-Identity-H"/>
          <w:color w:val="0D0D10"/>
          <w:sz w:val="21"/>
          <w:szCs w:val="21"/>
        </w:rPr>
        <w:t>fiscalizado la suspensión del plazo de la auditoria materia del presente dictamen,</w:t>
      </w:r>
      <w:r>
        <w:rPr>
          <w:rFonts w:ascii="Abadi" w:hAnsi="Abadi" w:cs="*Arial-6664-Identity-H"/>
          <w:color w:val="0D0D10"/>
          <w:sz w:val="21"/>
          <w:szCs w:val="21"/>
        </w:rPr>
        <w:t xml:space="preserve"> </w:t>
      </w:r>
      <w:r w:rsidRPr="003D0AE7">
        <w:rPr>
          <w:rFonts w:ascii="Abadi" w:hAnsi="Abadi" w:cs="*Arial-6664-Identity-H"/>
          <w:color w:val="0D0D10"/>
          <w:sz w:val="21"/>
          <w:szCs w:val="21"/>
        </w:rPr>
        <w:t>por los periodos comprendidos del 1 de octubre al 17 de diciembre de 2021; y del</w:t>
      </w:r>
      <w:r>
        <w:rPr>
          <w:rFonts w:ascii="Abadi" w:hAnsi="Abadi" w:cs="*Arial-6664-Identity-H"/>
          <w:color w:val="0D0D10"/>
          <w:sz w:val="21"/>
          <w:szCs w:val="21"/>
        </w:rPr>
        <w:t xml:space="preserve"> </w:t>
      </w:r>
      <w:r w:rsidRPr="003D0AE7">
        <w:rPr>
          <w:rFonts w:ascii="Abadi" w:hAnsi="Abadi" w:cs="*Arial-6664-Identity-H"/>
          <w:color w:val="0D0D10"/>
          <w:sz w:val="21"/>
          <w:szCs w:val="21"/>
        </w:rPr>
        <w:t>3 de enero al 11 de marzo de 2022.</w:t>
      </w:r>
    </w:p>
    <w:p w14:paraId="01C636EC" w14:textId="77777777" w:rsidR="0016773C" w:rsidRPr="003D0AE7" w:rsidRDefault="0016773C" w:rsidP="0016773C">
      <w:pPr>
        <w:autoSpaceDE w:val="0"/>
        <w:autoSpaceDN w:val="0"/>
        <w:adjustRightInd w:val="0"/>
        <w:jc w:val="both"/>
        <w:rPr>
          <w:rFonts w:ascii="Abadi" w:hAnsi="Abadi" w:cs="*Arial-6664-Identity-H"/>
          <w:color w:val="0D0D10"/>
          <w:sz w:val="21"/>
          <w:szCs w:val="21"/>
        </w:rPr>
      </w:pPr>
    </w:p>
    <w:p w14:paraId="2C35A3BF" w14:textId="77777777" w:rsidR="0016773C" w:rsidRDefault="0016773C" w:rsidP="0016773C">
      <w:pPr>
        <w:autoSpaceDE w:val="0"/>
        <w:autoSpaceDN w:val="0"/>
        <w:adjustRightInd w:val="0"/>
        <w:ind w:firstLine="708"/>
        <w:jc w:val="both"/>
        <w:rPr>
          <w:rFonts w:ascii="Abadi" w:hAnsi="Abadi" w:cs="*Arial-6664-Identity-H"/>
          <w:color w:val="0C0C0E"/>
          <w:sz w:val="21"/>
          <w:szCs w:val="21"/>
        </w:rPr>
      </w:pPr>
      <w:r w:rsidRPr="003D0AE7">
        <w:rPr>
          <w:rFonts w:ascii="Abadi" w:hAnsi="Abadi" w:cs="*Arial-6664-Identity-H"/>
          <w:color w:val="0D0C10"/>
          <w:sz w:val="21"/>
          <w:szCs w:val="21"/>
        </w:rPr>
        <w:t>Como parte del proceso de auditoría, el 12 de enero de 2022 se notificó al</w:t>
      </w:r>
      <w:r>
        <w:rPr>
          <w:rFonts w:ascii="Abadi" w:hAnsi="Abadi" w:cs="*Arial-6664-Identity-H"/>
          <w:color w:val="0D0C10"/>
          <w:sz w:val="21"/>
          <w:szCs w:val="21"/>
        </w:rPr>
        <w:t xml:space="preserve"> </w:t>
      </w:r>
      <w:r w:rsidRPr="003D0AE7">
        <w:rPr>
          <w:rFonts w:ascii="Abadi" w:hAnsi="Abadi" w:cs="*Arial-6664-Identity-H"/>
          <w:color w:val="0D0C10"/>
          <w:sz w:val="21"/>
          <w:szCs w:val="21"/>
        </w:rPr>
        <w:t>sujeto fiscalizado el pliego de recomendaciones derivadas de la auditoría</w:t>
      </w:r>
      <w:r>
        <w:rPr>
          <w:rFonts w:ascii="Abadi" w:hAnsi="Abadi" w:cs="*Arial-6664-Identity-H"/>
          <w:color w:val="0D0C10"/>
          <w:sz w:val="21"/>
          <w:szCs w:val="21"/>
        </w:rPr>
        <w:t xml:space="preserve"> </w:t>
      </w:r>
      <w:r w:rsidRPr="003D0AE7">
        <w:rPr>
          <w:rFonts w:ascii="Abadi" w:hAnsi="Abadi" w:cs="*Arial-6664-Identity-H"/>
          <w:color w:val="0D0C10"/>
          <w:sz w:val="21"/>
          <w:szCs w:val="21"/>
        </w:rPr>
        <w:t>practicada. Lo anterior, para dar cumplimiento a lo preceptuado por el artículo 58</w:t>
      </w:r>
      <w:r>
        <w:rPr>
          <w:rFonts w:ascii="Abadi" w:hAnsi="Abadi" w:cs="*Arial-6664-Identity-H"/>
          <w:color w:val="0D0C10"/>
          <w:sz w:val="21"/>
          <w:szCs w:val="21"/>
        </w:rPr>
        <w:t xml:space="preserve"> </w:t>
      </w:r>
      <w:r w:rsidRPr="003D0AE7">
        <w:rPr>
          <w:rFonts w:ascii="Abadi" w:hAnsi="Abadi" w:cs="*Arial-6664-Identity-H"/>
          <w:color w:val="0D0C10"/>
          <w:sz w:val="21"/>
          <w:szCs w:val="21"/>
        </w:rPr>
        <w:t>de la Ley de Fiscalización Superior del Estado de Guanajuato.</w:t>
      </w:r>
      <w:r>
        <w:rPr>
          <w:rFonts w:ascii="Abadi" w:hAnsi="Abadi" w:cs="*Arial-6664-Identity-H"/>
          <w:color w:val="0D0C10"/>
          <w:sz w:val="21"/>
          <w:szCs w:val="21"/>
        </w:rPr>
        <w:t xml:space="preserve"> </w:t>
      </w:r>
      <w:r w:rsidRPr="003D0AE7">
        <w:rPr>
          <w:rFonts w:ascii="Abadi" w:hAnsi="Abadi" w:cs="*Arial-6664-Identity-H"/>
          <w:color w:val="0C0C0E"/>
          <w:sz w:val="21"/>
          <w:szCs w:val="21"/>
        </w:rPr>
        <w:t>El 26 de er</w:t>
      </w:r>
      <w:r w:rsidRPr="003D0AE7">
        <w:rPr>
          <w:rFonts w:ascii="Abadi" w:hAnsi="Abadi" w:cs="*Arial-6665-Identity-H"/>
          <w:color w:val="0C0C0E"/>
          <w:sz w:val="21"/>
          <w:szCs w:val="21"/>
        </w:rPr>
        <w:t>1</w:t>
      </w:r>
      <w:r w:rsidRPr="003D0AE7">
        <w:rPr>
          <w:rFonts w:ascii="Abadi" w:hAnsi="Abadi" w:cs="*Arial-6664-Identity-H"/>
          <w:color w:val="0C0C0E"/>
          <w:sz w:val="21"/>
          <w:szCs w:val="21"/>
        </w:rPr>
        <w:t xml:space="preserve">ero de 2022, el sujeto </w:t>
      </w:r>
      <w:r>
        <w:rPr>
          <w:rFonts w:ascii="Abadi" w:hAnsi="Abadi" w:cs="*Arial-6664-Identity-H"/>
          <w:color w:val="0C0C0E"/>
          <w:sz w:val="21"/>
          <w:szCs w:val="21"/>
        </w:rPr>
        <w:t>fiscalizado</w:t>
      </w:r>
      <w:r w:rsidRPr="003D0AE7">
        <w:rPr>
          <w:rFonts w:ascii="Abadi" w:hAnsi="Abadi" w:cs="*Arial-6664-Identity-H"/>
          <w:color w:val="0C0C0E"/>
          <w:sz w:val="21"/>
          <w:szCs w:val="21"/>
        </w:rPr>
        <w:t xml:space="preserve"> dio respuesta a las</w:t>
      </w:r>
      <w:r>
        <w:rPr>
          <w:rFonts w:ascii="Abadi" w:hAnsi="Abadi" w:cs="*Arial-6664-Identity-H"/>
          <w:color w:val="0C0C0E"/>
          <w:sz w:val="21"/>
          <w:szCs w:val="21"/>
        </w:rPr>
        <w:t xml:space="preserve"> </w:t>
      </w:r>
      <w:r w:rsidRPr="003D0AE7">
        <w:rPr>
          <w:rFonts w:ascii="Abadi" w:hAnsi="Abadi" w:cs="*Arial-6664-Identity-H"/>
          <w:color w:val="0C0C0E"/>
          <w:sz w:val="21"/>
          <w:szCs w:val="21"/>
        </w:rPr>
        <w:t>recomendaciones derivadas de la auditoría practicada, anexándose la información</w:t>
      </w:r>
      <w:r>
        <w:rPr>
          <w:rFonts w:ascii="Abadi" w:hAnsi="Abadi" w:cs="*Arial-6664-Identity-H"/>
          <w:color w:val="0C0C0E"/>
          <w:sz w:val="21"/>
          <w:szCs w:val="21"/>
        </w:rPr>
        <w:t xml:space="preserve"> </w:t>
      </w:r>
      <w:r w:rsidRPr="003D0AE7">
        <w:rPr>
          <w:rFonts w:ascii="Abadi" w:hAnsi="Abadi" w:cs="*Arial-6664-Identity-H"/>
          <w:color w:val="0C0C0E"/>
          <w:sz w:val="21"/>
          <w:szCs w:val="21"/>
        </w:rPr>
        <w:t>y documentación que el mismo consideró suficiente para precisar las mejoras</w:t>
      </w:r>
      <w:r>
        <w:rPr>
          <w:rFonts w:ascii="Abadi" w:hAnsi="Abadi" w:cs="*Arial-6664-Identity-H"/>
          <w:color w:val="0C0C0E"/>
          <w:sz w:val="21"/>
          <w:szCs w:val="21"/>
        </w:rPr>
        <w:t xml:space="preserve"> </w:t>
      </w:r>
      <w:r w:rsidRPr="003D0AE7">
        <w:rPr>
          <w:rFonts w:ascii="Abadi" w:hAnsi="Abadi" w:cs="*Arial-6664-Identity-H"/>
          <w:color w:val="0C0C0E"/>
          <w:sz w:val="21"/>
          <w:szCs w:val="21"/>
        </w:rPr>
        <w:t>efectuadas, las</w:t>
      </w:r>
      <w:r>
        <w:rPr>
          <w:rFonts w:ascii="Abadi" w:hAnsi="Abadi" w:cs="*Arial-6664-Identity-H"/>
          <w:color w:val="0C0C0E"/>
          <w:sz w:val="21"/>
          <w:szCs w:val="21"/>
        </w:rPr>
        <w:t xml:space="preserve"> </w:t>
      </w:r>
      <w:r w:rsidRPr="003D0AE7">
        <w:rPr>
          <w:rFonts w:ascii="Abadi" w:hAnsi="Abadi" w:cs="*Arial-6664-Identity-H"/>
          <w:color w:val="0C0C0E"/>
          <w:sz w:val="21"/>
          <w:szCs w:val="21"/>
        </w:rPr>
        <w:t>acciones a realizar o en su caso, justificar la improcedencia por la</w:t>
      </w:r>
      <w:r>
        <w:rPr>
          <w:rFonts w:ascii="Abadi" w:hAnsi="Abadi" w:cs="*Arial-6664-Identity-H"/>
          <w:color w:val="0C0C0E"/>
          <w:sz w:val="21"/>
          <w:szCs w:val="21"/>
        </w:rPr>
        <w:t xml:space="preserve"> </w:t>
      </w:r>
      <w:r w:rsidRPr="003D0AE7">
        <w:rPr>
          <w:rFonts w:ascii="Abadi" w:hAnsi="Abadi" w:cs="*Arial-6664-Identity-H"/>
          <w:color w:val="0C0C0E"/>
          <w:sz w:val="21"/>
          <w:szCs w:val="21"/>
        </w:rPr>
        <w:t>cual no resulte factible su implementación. Una vez valorada la documentación</w:t>
      </w:r>
      <w:r>
        <w:rPr>
          <w:rFonts w:ascii="Abadi" w:hAnsi="Abadi" w:cs="*Arial-6664-Identity-H"/>
          <w:color w:val="0C0C0E"/>
          <w:sz w:val="21"/>
          <w:szCs w:val="21"/>
        </w:rPr>
        <w:t xml:space="preserve"> </w:t>
      </w:r>
      <w:r w:rsidRPr="003D0AE7">
        <w:rPr>
          <w:rFonts w:ascii="Abadi" w:hAnsi="Abadi" w:cs="*Arial-6664-Identity-H"/>
          <w:color w:val="0C0C0E"/>
          <w:sz w:val="21"/>
          <w:szCs w:val="21"/>
        </w:rPr>
        <w:t>aportada se procedió a la elaboración del informe de resultados materia del</w:t>
      </w:r>
      <w:r>
        <w:rPr>
          <w:rFonts w:ascii="Abadi" w:hAnsi="Abadi" w:cs="*Arial-6664-Identity-H"/>
          <w:color w:val="0C0C0E"/>
          <w:sz w:val="21"/>
          <w:szCs w:val="21"/>
        </w:rPr>
        <w:t xml:space="preserve"> </w:t>
      </w:r>
      <w:r w:rsidRPr="003D0AE7">
        <w:rPr>
          <w:rFonts w:ascii="Abadi" w:hAnsi="Abadi" w:cs="*Arial-6664-Identity-H"/>
          <w:color w:val="0C0C0E"/>
          <w:sz w:val="21"/>
          <w:szCs w:val="21"/>
        </w:rPr>
        <w:t>presente dictamen.</w:t>
      </w:r>
    </w:p>
    <w:p w14:paraId="0D8ACA02" w14:textId="77777777" w:rsidR="0016773C" w:rsidRDefault="0016773C" w:rsidP="0016773C">
      <w:pPr>
        <w:autoSpaceDE w:val="0"/>
        <w:autoSpaceDN w:val="0"/>
        <w:adjustRightInd w:val="0"/>
        <w:ind w:firstLine="708"/>
        <w:jc w:val="both"/>
        <w:rPr>
          <w:rFonts w:ascii="Abadi" w:hAnsi="Abadi" w:cs="*Arial-6664-Identity-H"/>
          <w:color w:val="0D0D10"/>
          <w:sz w:val="21"/>
          <w:szCs w:val="21"/>
        </w:rPr>
      </w:pPr>
      <w:r w:rsidRPr="003D0AE7">
        <w:rPr>
          <w:rFonts w:ascii="Abadi" w:hAnsi="Abadi" w:cs="*Arial-6664-Identity-H"/>
          <w:color w:val="0D0D10"/>
          <w:sz w:val="21"/>
          <w:szCs w:val="21"/>
        </w:rPr>
        <w:t>El informe de resultados se notificó al presidente municipal de Purísima del</w:t>
      </w:r>
      <w:r>
        <w:rPr>
          <w:rFonts w:ascii="Abadi" w:hAnsi="Abadi" w:cs="*Arial-6664-Identity-H"/>
          <w:color w:val="0D0D10"/>
          <w:sz w:val="21"/>
          <w:szCs w:val="21"/>
        </w:rPr>
        <w:t xml:space="preserve"> </w:t>
      </w:r>
      <w:r w:rsidRPr="003D0AE7">
        <w:rPr>
          <w:rFonts w:ascii="Abadi" w:hAnsi="Abadi" w:cs="*Arial-6664-Identity-H"/>
          <w:color w:val="0D0D10"/>
          <w:sz w:val="21"/>
          <w:szCs w:val="21"/>
        </w:rPr>
        <w:t xml:space="preserve">Rincón, </w:t>
      </w:r>
      <w:proofErr w:type="spellStart"/>
      <w:r w:rsidRPr="003D0AE7">
        <w:rPr>
          <w:rFonts w:ascii="Abadi" w:hAnsi="Abadi" w:cs="*Arial-6664-Identity-H"/>
          <w:color w:val="0D0D10"/>
          <w:sz w:val="21"/>
          <w:szCs w:val="21"/>
        </w:rPr>
        <w:t>Gto</w:t>
      </w:r>
      <w:proofErr w:type="spellEnd"/>
      <w:r w:rsidRPr="003D0AE7">
        <w:rPr>
          <w:rFonts w:ascii="Abadi" w:hAnsi="Abadi" w:cs="*Arial-6664-Identity-H"/>
          <w:color w:val="0D0D10"/>
          <w:sz w:val="21"/>
          <w:szCs w:val="21"/>
        </w:rPr>
        <w:t>., el 18 de febrero de 2022.</w:t>
      </w:r>
    </w:p>
    <w:p w14:paraId="207460EE" w14:textId="77777777" w:rsidR="0016773C" w:rsidRPr="003D0AE7" w:rsidRDefault="0016773C" w:rsidP="0016773C">
      <w:pPr>
        <w:autoSpaceDE w:val="0"/>
        <w:autoSpaceDN w:val="0"/>
        <w:adjustRightInd w:val="0"/>
        <w:jc w:val="both"/>
        <w:rPr>
          <w:rFonts w:ascii="Abadi" w:hAnsi="Abadi" w:cs="*Arial-6664-Identity-H"/>
          <w:color w:val="0D0D10"/>
          <w:sz w:val="21"/>
          <w:szCs w:val="21"/>
        </w:rPr>
      </w:pPr>
    </w:p>
    <w:p w14:paraId="2BB758C3" w14:textId="77777777" w:rsidR="0016773C" w:rsidRDefault="0016773C" w:rsidP="0016773C">
      <w:pPr>
        <w:autoSpaceDE w:val="0"/>
        <w:autoSpaceDN w:val="0"/>
        <w:adjustRightInd w:val="0"/>
        <w:ind w:firstLine="708"/>
        <w:jc w:val="both"/>
        <w:rPr>
          <w:rFonts w:ascii="Abadi" w:hAnsi="Abadi" w:cs="*Arial-6664-Identity-H"/>
          <w:color w:val="0D0C0F"/>
          <w:sz w:val="21"/>
          <w:szCs w:val="21"/>
        </w:rPr>
      </w:pPr>
      <w:r w:rsidRPr="003D0AE7">
        <w:rPr>
          <w:rFonts w:ascii="Abadi" w:hAnsi="Abadi" w:cs="*Arial-6664-Identity-H"/>
          <w:color w:val="0D0C0F"/>
          <w:sz w:val="21"/>
          <w:szCs w:val="21"/>
        </w:rPr>
        <w:t>Es importante señalar que de acuerdo a lo previsto en los artículos 60 de la</w:t>
      </w:r>
      <w:r>
        <w:rPr>
          <w:rFonts w:ascii="Abadi" w:hAnsi="Abadi" w:cs="*Arial-6664-Identity-H"/>
          <w:color w:val="0D0C0F"/>
          <w:sz w:val="21"/>
          <w:szCs w:val="21"/>
        </w:rPr>
        <w:t xml:space="preserve"> </w:t>
      </w:r>
      <w:r w:rsidRPr="003D0AE7">
        <w:rPr>
          <w:rFonts w:ascii="Abadi" w:hAnsi="Abadi" w:cs="*Arial-6664-Identity-H"/>
          <w:color w:val="0D0C0F"/>
          <w:sz w:val="21"/>
          <w:szCs w:val="21"/>
        </w:rPr>
        <w:t>Ley de Fiscalización Superior del Estado de Guanajuato; y 60 del Reglamento de</w:t>
      </w:r>
      <w:r>
        <w:rPr>
          <w:rFonts w:ascii="Abadi" w:hAnsi="Abadi" w:cs="*Arial-6664-Identity-H"/>
          <w:color w:val="0D0C0F"/>
          <w:sz w:val="21"/>
          <w:szCs w:val="21"/>
        </w:rPr>
        <w:t xml:space="preserve"> </w:t>
      </w:r>
      <w:r w:rsidRPr="003D0AE7">
        <w:rPr>
          <w:rFonts w:ascii="Abadi" w:hAnsi="Abadi" w:cs="*Arial-6664-Identity-H"/>
          <w:color w:val="0D0C0F"/>
          <w:sz w:val="21"/>
          <w:szCs w:val="21"/>
        </w:rPr>
        <w:t>la Ley de Fiscalización Superior del Estado de Guanajuato, tratándose de las</w:t>
      </w:r>
      <w:r>
        <w:rPr>
          <w:rFonts w:ascii="Abadi" w:hAnsi="Abadi" w:cs="*Arial-6664-Identity-H"/>
          <w:color w:val="0D0C0F"/>
          <w:sz w:val="21"/>
          <w:szCs w:val="21"/>
        </w:rPr>
        <w:t xml:space="preserve"> </w:t>
      </w:r>
      <w:r w:rsidRPr="003D0AE7">
        <w:rPr>
          <w:rFonts w:ascii="Abadi" w:hAnsi="Abadi" w:cs="*Arial-6664-Identity-H"/>
          <w:color w:val="0D0C0F"/>
          <w:sz w:val="21"/>
          <w:szCs w:val="21"/>
        </w:rPr>
        <w:t>auditorias de desempeño es improcedente el recurso de reconsideración en contra</w:t>
      </w:r>
      <w:r>
        <w:rPr>
          <w:rFonts w:ascii="Abadi" w:hAnsi="Abadi" w:cs="*Arial-6664-Identity-H"/>
          <w:color w:val="0D0C0F"/>
          <w:sz w:val="21"/>
          <w:szCs w:val="21"/>
        </w:rPr>
        <w:t xml:space="preserve"> </w:t>
      </w:r>
      <w:r w:rsidRPr="003D0AE7">
        <w:rPr>
          <w:rFonts w:ascii="Abadi" w:hAnsi="Abadi" w:cs="*Arial-6664-Identity-H"/>
          <w:color w:val="0D0C0F"/>
          <w:sz w:val="21"/>
          <w:szCs w:val="21"/>
        </w:rPr>
        <w:t>del informe de resultados, por lo que una vez notificado el mismo al sujeto de</w:t>
      </w:r>
      <w:r>
        <w:rPr>
          <w:rFonts w:ascii="Abadi" w:hAnsi="Abadi" w:cs="*Arial-6664-Identity-H"/>
          <w:color w:val="0D0C0F"/>
          <w:sz w:val="21"/>
          <w:szCs w:val="21"/>
        </w:rPr>
        <w:t xml:space="preserve"> </w:t>
      </w:r>
      <w:r w:rsidRPr="003D0AE7">
        <w:rPr>
          <w:rFonts w:ascii="Abadi" w:hAnsi="Abadi" w:cs="*Arial-6664-Identity-H"/>
          <w:color w:val="0D0C0F"/>
          <w:sz w:val="21"/>
          <w:szCs w:val="21"/>
        </w:rPr>
        <w:t>fiscalización, se remite al Congreso para los efectos procedentes.</w:t>
      </w:r>
    </w:p>
    <w:p w14:paraId="33D50390" w14:textId="77777777" w:rsidR="0016773C" w:rsidRPr="003D0AE7" w:rsidRDefault="0016773C" w:rsidP="0016773C">
      <w:pPr>
        <w:autoSpaceDE w:val="0"/>
        <w:autoSpaceDN w:val="0"/>
        <w:adjustRightInd w:val="0"/>
        <w:jc w:val="both"/>
        <w:rPr>
          <w:rFonts w:ascii="Abadi" w:hAnsi="Abadi" w:cs="*Arial-6664-Identity-H"/>
          <w:color w:val="0D0C0F"/>
          <w:sz w:val="21"/>
          <w:szCs w:val="21"/>
        </w:rPr>
      </w:pPr>
    </w:p>
    <w:p w14:paraId="0DF6732C" w14:textId="77777777" w:rsidR="0016773C" w:rsidRPr="003D0AE7" w:rsidRDefault="0016773C" w:rsidP="0016773C">
      <w:pPr>
        <w:autoSpaceDE w:val="0"/>
        <w:autoSpaceDN w:val="0"/>
        <w:adjustRightInd w:val="0"/>
        <w:ind w:firstLine="708"/>
        <w:jc w:val="both"/>
        <w:rPr>
          <w:rFonts w:ascii="Abadi" w:hAnsi="Abadi" w:cs="*Arial-6664-Identity-H"/>
          <w:color w:val="0D0D10"/>
          <w:sz w:val="21"/>
          <w:szCs w:val="21"/>
        </w:rPr>
      </w:pPr>
      <w:r w:rsidRPr="003D0AE7">
        <w:rPr>
          <w:rFonts w:ascii="Abadi" w:hAnsi="Abadi" w:cs="*Arial-6664-Identity-H"/>
          <w:color w:val="0D0D10"/>
          <w:sz w:val="21"/>
          <w:szCs w:val="21"/>
        </w:rPr>
        <w:t>En razón de lo anterior, el Auditor Superior del Estado remitió a este</w:t>
      </w:r>
      <w:r>
        <w:rPr>
          <w:rFonts w:ascii="Abadi" w:hAnsi="Abadi" w:cs="*Arial-6664-Identity-H"/>
          <w:color w:val="0D0D10"/>
          <w:sz w:val="21"/>
          <w:szCs w:val="21"/>
        </w:rPr>
        <w:t xml:space="preserve"> </w:t>
      </w:r>
      <w:r w:rsidRPr="003D0AE7">
        <w:rPr>
          <w:rFonts w:ascii="Abadi" w:hAnsi="Abadi" w:cs="*Arial-6664-Identity-H"/>
          <w:color w:val="0D0D10"/>
          <w:sz w:val="21"/>
          <w:szCs w:val="21"/>
        </w:rPr>
        <w:t>Congreso del Estado, el informe de resultados, el cual se turnó a la Comisión de</w:t>
      </w:r>
      <w:r>
        <w:rPr>
          <w:rFonts w:ascii="Abadi" w:hAnsi="Abadi" w:cs="*Arial-6664-Identity-H"/>
          <w:color w:val="0D0D10"/>
          <w:sz w:val="21"/>
          <w:szCs w:val="21"/>
        </w:rPr>
        <w:t xml:space="preserve"> </w:t>
      </w:r>
      <w:r w:rsidRPr="003D0AE7">
        <w:rPr>
          <w:rFonts w:ascii="Abadi" w:hAnsi="Abadi" w:cs="*Arial-6664-Identity-H"/>
          <w:color w:val="0D0D10"/>
          <w:sz w:val="21"/>
          <w:szCs w:val="21"/>
        </w:rPr>
        <w:t>Hacienda y Fiscalización el 1 O de marzo de 2022 para su estudio y dictamen,</w:t>
      </w:r>
      <w:r>
        <w:rPr>
          <w:rFonts w:ascii="Abadi" w:hAnsi="Abadi" w:cs="*Arial-6664-Identity-H"/>
          <w:color w:val="0D0D10"/>
          <w:sz w:val="21"/>
          <w:szCs w:val="21"/>
        </w:rPr>
        <w:t xml:space="preserve"> </w:t>
      </w:r>
      <w:r w:rsidRPr="003D0AE7">
        <w:rPr>
          <w:rFonts w:ascii="Abadi" w:hAnsi="Abadi" w:cs="*Arial-6664-Identity-H"/>
          <w:color w:val="0D0D10"/>
          <w:sz w:val="21"/>
          <w:szCs w:val="21"/>
        </w:rPr>
        <w:t>siendo radicado el 15 de marzo del año en curso.</w:t>
      </w:r>
    </w:p>
    <w:p w14:paraId="42AD19E1" w14:textId="77777777" w:rsidR="0016773C" w:rsidRPr="003D0AE7" w:rsidRDefault="0016773C" w:rsidP="0016773C">
      <w:pPr>
        <w:autoSpaceDE w:val="0"/>
        <w:autoSpaceDN w:val="0"/>
        <w:adjustRightInd w:val="0"/>
        <w:jc w:val="both"/>
        <w:rPr>
          <w:rFonts w:ascii="Abadi" w:hAnsi="Abadi" w:cs="*Arial-7755-Identity-H"/>
          <w:color w:val="1C1C1C"/>
          <w:sz w:val="21"/>
          <w:szCs w:val="21"/>
        </w:rPr>
      </w:pPr>
    </w:p>
    <w:p w14:paraId="05C69DBD" w14:textId="77777777" w:rsidR="0016773C" w:rsidRPr="003D0AE7" w:rsidRDefault="0016773C" w:rsidP="0016773C">
      <w:pPr>
        <w:autoSpaceDE w:val="0"/>
        <w:autoSpaceDN w:val="0"/>
        <w:adjustRightInd w:val="0"/>
        <w:ind w:firstLine="708"/>
        <w:jc w:val="both"/>
        <w:rPr>
          <w:rFonts w:ascii="Abadi" w:hAnsi="Abadi" w:cs="*Arial-7752-Identity-H"/>
          <w:color w:val="0C0C0F"/>
          <w:sz w:val="21"/>
          <w:szCs w:val="21"/>
        </w:rPr>
      </w:pPr>
      <w:r w:rsidRPr="003D0AE7">
        <w:rPr>
          <w:rFonts w:ascii="Abadi" w:hAnsi="Abadi" w:cs="*Arial-7752-Identity-H"/>
          <w:color w:val="0C0C0F"/>
          <w:sz w:val="21"/>
          <w:szCs w:val="21"/>
        </w:rPr>
        <w:t>Con fundamento en los artículos 59 de la Ley de Fiscalización Superior del</w:t>
      </w:r>
      <w:r>
        <w:rPr>
          <w:rFonts w:ascii="Abadi" w:hAnsi="Abadi" w:cs="*Arial-7752-Identity-H"/>
          <w:color w:val="0C0C0F"/>
          <w:sz w:val="21"/>
          <w:szCs w:val="21"/>
        </w:rPr>
        <w:t xml:space="preserve"> </w:t>
      </w:r>
      <w:r w:rsidRPr="003D0AE7">
        <w:rPr>
          <w:rFonts w:ascii="Abadi" w:hAnsi="Abadi" w:cs="*Arial-7752-Identity-H"/>
          <w:color w:val="0C0C0F"/>
          <w:sz w:val="21"/>
          <w:szCs w:val="21"/>
        </w:rPr>
        <w:t>Estado de Guanajuato y 26 del Reglamento de dicha Ley, el informe de resultados</w:t>
      </w:r>
      <w:r>
        <w:rPr>
          <w:rFonts w:ascii="Abadi" w:hAnsi="Abadi" w:cs="*Arial-7752-Identity-H"/>
          <w:color w:val="0C0C0F"/>
          <w:sz w:val="21"/>
          <w:szCs w:val="21"/>
        </w:rPr>
        <w:t xml:space="preserve"> </w:t>
      </w:r>
      <w:r w:rsidRPr="003D0AE7">
        <w:rPr>
          <w:rFonts w:ascii="Abadi" w:hAnsi="Abadi" w:cs="*Arial-7752-Identity-H"/>
          <w:color w:val="0C0C0F"/>
          <w:sz w:val="21"/>
          <w:szCs w:val="21"/>
        </w:rPr>
        <w:t>contiene los siguientes apartados: Introducción; Resultado del Proceso de</w:t>
      </w:r>
      <w:r>
        <w:rPr>
          <w:rFonts w:ascii="Abadi" w:hAnsi="Abadi" w:cs="*Arial-7752-Identity-H"/>
          <w:color w:val="0C0C0F"/>
          <w:sz w:val="21"/>
          <w:szCs w:val="21"/>
        </w:rPr>
        <w:t xml:space="preserve"> </w:t>
      </w:r>
      <w:r w:rsidRPr="003D0AE7">
        <w:rPr>
          <w:rFonts w:ascii="Abadi" w:hAnsi="Abadi" w:cs="*Arial-7752-Identity-H"/>
          <w:color w:val="0C0C0F"/>
          <w:sz w:val="21"/>
          <w:szCs w:val="21"/>
        </w:rPr>
        <w:t>Fiscalización; Resumen de las Recomendaciones; y Conclusión General.</w:t>
      </w:r>
      <w:r>
        <w:rPr>
          <w:rFonts w:ascii="Abadi" w:hAnsi="Abadi" w:cs="*Arial-7752-Identity-H"/>
          <w:color w:val="0C0C0F"/>
          <w:sz w:val="21"/>
          <w:szCs w:val="21"/>
        </w:rPr>
        <w:t xml:space="preserve"> </w:t>
      </w:r>
    </w:p>
    <w:p w14:paraId="2F9E1CB3" w14:textId="77777777" w:rsidR="0016773C" w:rsidRDefault="0016773C" w:rsidP="0016773C">
      <w:pPr>
        <w:autoSpaceDE w:val="0"/>
        <w:autoSpaceDN w:val="0"/>
        <w:adjustRightInd w:val="0"/>
        <w:jc w:val="both"/>
        <w:rPr>
          <w:rFonts w:ascii="Abadi" w:hAnsi="Abadi" w:cs="*Arial-Bold-7754-Identity-H"/>
          <w:b/>
          <w:bCs/>
          <w:color w:val="0D0C12"/>
          <w:sz w:val="21"/>
          <w:szCs w:val="21"/>
        </w:rPr>
      </w:pPr>
    </w:p>
    <w:p w14:paraId="5FBFCBFA" w14:textId="77777777" w:rsidR="0016773C" w:rsidRDefault="0016773C" w:rsidP="0016773C">
      <w:pPr>
        <w:autoSpaceDE w:val="0"/>
        <w:autoSpaceDN w:val="0"/>
        <w:adjustRightInd w:val="0"/>
        <w:ind w:firstLine="708"/>
        <w:jc w:val="both"/>
        <w:rPr>
          <w:rFonts w:ascii="Abadi" w:hAnsi="Abadi" w:cs="*Arial-Bold-7754-Identity-H"/>
          <w:b/>
          <w:bCs/>
          <w:color w:val="0D0C12"/>
          <w:sz w:val="21"/>
          <w:szCs w:val="21"/>
        </w:rPr>
      </w:pPr>
      <w:r w:rsidRPr="003D0AE7">
        <w:rPr>
          <w:rFonts w:ascii="Abadi" w:hAnsi="Abadi" w:cs="*Arial-Bold-7754-Identity-H"/>
          <w:b/>
          <w:bCs/>
          <w:color w:val="0D0C12"/>
          <w:sz w:val="21"/>
          <w:szCs w:val="21"/>
        </w:rPr>
        <w:t>a) Introducción.</w:t>
      </w:r>
    </w:p>
    <w:p w14:paraId="5C012490" w14:textId="77777777" w:rsidR="0016773C" w:rsidRPr="003D0AE7" w:rsidRDefault="0016773C" w:rsidP="0016773C">
      <w:pPr>
        <w:autoSpaceDE w:val="0"/>
        <w:autoSpaceDN w:val="0"/>
        <w:adjustRightInd w:val="0"/>
        <w:jc w:val="both"/>
        <w:rPr>
          <w:rFonts w:ascii="Abadi" w:hAnsi="Abadi" w:cs="*Arial-Bold-7754-Identity-H"/>
          <w:b/>
          <w:bCs/>
          <w:color w:val="0D0C12"/>
          <w:sz w:val="21"/>
          <w:szCs w:val="21"/>
        </w:rPr>
      </w:pPr>
    </w:p>
    <w:p w14:paraId="32E493FC" w14:textId="77777777" w:rsidR="0016773C" w:rsidRDefault="0016773C" w:rsidP="0016773C">
      <w:pPr>
        <w:autoSpaceDE w:val="0"/>
        <w:autoSpaceDN w:val="0"/>
        <w:adjustRightInd w:val="0"/>
        <w:ind w:firstLine="708"/>
        <w:jc w:val="both"/>
        <w:rPr>
          <w:rFonts w:ascii="Abadi" w:hAnsi="Abadi" w:cs="*Arial-7752-Identity-H"/>
          <w:color w:val="100F12"/>
          <w:sz w:val="21"/>
          <w:szCs w:val="21"/>
        </w:rPr>
      </w:pPr>
      <w:r w:rsidRPr="003D0AE7">
        <w:rPr>
          <w:rFonts w:ascii="Abadi" w:hAnsi="Abadi" w:cs="*Arial-7752-Identity-H"/>
          <w:color w:val="100F12"/>
          <w:sz w:val="21"/>
          <w:szCs w:val="21"/>
        </w:rPr>
        <w:t>Por lo que se refiere a esta parte, se señala que las auditorías de</w:t>
      </w:r>
      <w:r>
        <w:rPr>
          <w:rFonts w:ascii="Abadi" w:hAnsi="Abadi" w:cs="*Arial-7752-Identity-H"/>
          <w:color w:val="100F12"/>
          <w:sz w:val="21"/>
          <w:szCs w:val="21"/>
        </w:rPr>
        <w:t xml:space="preserve"> </w:t>
      </w:r>
      <w:r w:rsidRPr="003D0AE7">
        <w:rPr>
          <w:rFonts w:ascii="Abadi" w:hAnsi="Abadi" w:cs="*Arial-7752-Identity-H"/>
          <w:color w:val="100F12"/>
          <w:sz w:val="21"/>
          <w:szCs w:val="21"/>
        </w:rPr>
        <w:t>desempeño son actos de fiscalización, esa es su esencia.</w:t>
      </w:r>
    </w:p>
    <w:p w14:paraId="060E0510" w14:textId="77777777" w:rsidR="0016773C" w:rsidRPr="003D0AE7" w:rsidRDefault="0016773C" w:rsidP="0016773C">
      <w:pPr>
        <w:autoSpaceDE w:val="0"/>
        <w:autoSpaceDN w:val="0"/>
        <w:adjustRightInd w:val="0"/>
        <w:jc w:val="both"/>
        <w:rPr>
          <w:rFonts w:ascii="Abadi" w:hAnsi="Abadi" w:cs="*Arial-7752-Identity-H"/>
          <w:color w:val="100F12"/>
          <w:sz w:val="21"/>
          <w:szCs w:val="21"/>
        </w:rPr>
      </w:pPr>
    </w:p>
    <w:p w14:paraId="62E4FA79" w14:textId="77777777" w:rsidR="0016773C" w:rsidRDefault="0016773C" w:rsidP="0016773C">
      <w:pPr>
        <w:autoSpaceDE w:val="0"/>
        <w:autoSpaceDN w:val="0"/>
        <w:adjustRightInd w:val="0"/>
        <w:ind w:firstLine="708"/>
        <w:jc w:val="both"/>
        <w:rPr>
          <w:rFonts w:ascii="Abadi" w:hAnsi="Abadi" w:cs="*Arial-7752-Identity-H"/>
          <w:color w:val="0D0D0F"/>
          <w:sz w:val="21"/>
          <w:szCs w:val="21"/>
        </w:rPr>
      </w:pPr>
      <w:r w:rsidRPr="003D0AE7">
        <w:rPr>
          <w:rFonts w:ascii="Abadi" w:hAnsi="Abadi" w:cs="*Arial-7752-Identity-H"/>
          <w:color w:val="0D0D0F"/>
          <w:sz w:val="21"/>
          <w:szCs w:val="21"/>
        </w:rPr>
        <w:t>Es así, que la naturaleza técnico-jurídica de las auditorias de desempeño</w:t>
      </w:r>
      <w:r>
        <w:rPr>
          <w:rFonts w:ascii="Abadi" w:hAnsi="Abadi" w:cs="*Arial-7752-Identity-H"/>
          <w:color w:val="0D0D0F"/>
          <w:sz w:val="21"/>
          <w:szCs w:val="21"/>
        </w:rPr>
        <w:t xml:space="preserve"> </w:t>
      </w:r>
      <w:r w:rsidRPr="003D0AE7">
        <w:rPr>
          <w:rFonts w:ascii="Abadi" w:hAnsi="Abadi" w:cs="*Arial-7752-Identity-H"/>
          <w:color w:val="0D0D0F"/>
          <w:sz w:val="21"/>
          <w:szCs w:val="21"/>
        </w:rPr>
        <w:t>difiere de otras auditorias, pues el resultado se expresa con la emisión, en su</w:t>
      </w:r>
      <w:r>
        <w:rPr>
          <w:rFonts w:ascii="Abadi" w:hAnsi="Abadi" w:cs="*Arial-7752-Identity-H"/>
          <w:color w:val="0D0D0F"/>
          <w:sz w:val="21"/>
          <w:szCs w:val="21"/>
        </w:rPr>
        <w:t xml:space="preserve"> </w:t>
      </w:r>
      <w:r w:rsidRPr="003D0AE7">
        <w:rPr>
          <w:rFonts w:ascii="Abadi" w:hAnsi="Abadi" w:cs="*Arial-7752-Identity-H"/>
          <w:color w:val="0D0D0F"/>
          <w:sz w:val="21"/>
          <w:szCs w:val="21"/>
        </w:rPr>
        <w:t>caso, de exclusivamente recomendaciones, distinguiéndose de otros actos de</w:t>
      </w:r>
      <w:r>
        <w:rPr>
          <w:rFonts w:ascii="Abadi" w:hAnsi="Abadi" w:cs="*Arial-7752-Identity-H"/>
          <w:color w:val="0D0D0F"/>
          <w:sz w:val="21"/>
          <w:szCs w:val="21"/>
        </w:rPr>
        <w:t xml:space="preserve"> </w:t>
      </w:r>
      <w:r w:rsidRPr="003D0AE7">
        <w:rPr>
          <w:rFonts w:ascii="Abadi" w:hAnsi="Abadi" w:cs="*Arial-7752-Identity-H"/>
          <w:color w:val="0D0D0F"/>
          <w:sz w:val="21"/>
          <w:szCs w:val="21"/>
        </w:rPr>
        <w:t>fiscalización o control que pueden arrojar observaciones. Se trata de una tarea</w:t>
      </w:r>
      <w:r>
        <w:rPr>
          <w:rFonts w:ascii="Abadi" w:hAnsi="Abadi" w:cs="*Arial-7752-Identity-H"/>
          <w:color w:val="0D0D0F"/>
          <w:sz w:val="21"/>
          <w:szCs w:val="21"/>
        </w:rPr>
        <w:t xml:space="preserve"> </w:t>
      </w:r>
      <w:r w:rsidRPr="003D0AE7">
        <w:rPr>
          <w:rFonts w:ascii="Abadi" w:hAnsi="Abadi" w:cs="*Arial-7752-Identity-H"/>
          <w:color w:val="0D0D0F"/>
          <w:sz w:val="21"/>
          <w:szCs w:val="21"/>
        </w:rPr>
        <w:t>reglada y sistémica de evaluación para la mejora continua, detectando</w:t>
      </w:r>
      <w:r>
        <w:rPr>
          <w:rFonts w:ascii="Abadi" w:hAnsi="Abadi" w:cs="*Arial-7752-Identity-H"/>
          <w:color w:val="0D0D0F"/>
          <w:sz w:val="21"/>
          <w:szCs w:val="21"/>
        </w:rPr>
        <w:t xml:space="preserve"> </w:t>
      </w:r>
      <w:r w:rsidRPr="003D0AE7">
        <w:rPr>
          <w:rFonts w:ascii="Abadi" w:hAnsi="Abadi" w:cs="*Arial-7752-Identity-H"/>
          <w:color w:val="0D0D0F"/>
          <w:sz w:val="21"/>
          <w:szCs w:val="21"/>
        </w:rPr>
        <w:t>debilidades, áreas de oportunidad, amenazas e incluso fortalezas en el ámbito</w:t>
      </w:r>
      <w:r>
        <w:rPr>
          <w:rFonts w:ascii="Abadi" w:hAnsi="Abadi" w:cs="*Arial-7752-Identity-H"/>
          <w:color w:val="0D0D0F"/>
          <w:sz w:val="21"/>
          <w:szCs w:val="21"/>
        </w:rPr>
        <w:t xml:space="preserve"> </w:t>
      </w:r>
      <w:r w:rsidRPr="003D0AE7">
        <w:rPr>
          <w:rFonts w:ascii="Abadi" w:hAnsi="Abadi" w:cs="*Arial-7752-Identity-H"/>
          <w:color w:val="0D0D0F"/>
          <w:sz w:val="21"/>
          <w:szCs w:val="21"/>
        </w:rPr>
        <w:t>público, pero promoviendo además acciones concretas que permitan superar o</w:t>
      </w:r>
      <w:r>
        <w:rPr>
          <w:rFonts w:ascii="Abadi" w:hAnsi="Abadi" w:cs="*Arial-7752-Identity-H"/>
          <w:color w:val="0D0D0F"/>
          <w:sz w:val="21"/>
          <w:szCs w:val="21"/>
        </w:rPr>
        <w:t xml:space="preserve"> </w:t>
      </w:r>
      <w:r w:rsidRPr="003D0AE7">
        <w:rPr>
          <w:rFonts w:ascii="Abadi" w:hAnsi="Abadi" w:cs="*Arial-7752-Identity-H"/>
          <w:color w:val="0D0D0F"/>
          <w:sz w:val="21"/>
          <w:szCs w:val="21"/>
        </w:rPr>
        <w:t>potenciar las mismas, dando adicionalmente seguimiento a su eventual</w:t>
      </w:r>
      <w:r>
        <w:rPr>
          <w:rFonts w:ascii="Abadi" w:hAnsi="Abadi" w:cs="*Arial-7752-Identity-H"/>
          <w:color w:val="0D0D0F"/>
          <w:sz w:val="21"/>
          <w:szCs w:val="21"/>
        </w:rPr>
        <w:t xml:space="preserve"> </w:t>
      </w:r>
      <w:r w:rsidRPr="003D0AE7">
        <w:rPr>
          <w:rFonts w:ascii="Abadi" w:hAnsi="Abadi" w:cs="*Arial-7752-Identity-H"/>
          <w:color w:val="0D0D0F"/>
          <w:sz w:val="21"/>
          <w:szCs w:val="21"/>
        </w:rPr>
        <w:t>implementación por los sujetos públicos responsables.</w:t>
      </w:r>
    </w:p>
    <w:p w14:paraId="0569CEA0" w14:textId="77777777" w:rsidR="0016773C" w:rsidRPr="003D0AE7" w:rsidRDefault="0016773C" w:rsidP="0016773C">
      <w:pPr>
        <w:autoSpaceDE w:val="0"/>
        <w:autoSpaceDN w:val="0"/>
        <w:adjustRightInd w:val="0"/>
        <w:jc w:val="both"/>
        <w:rPr>
          <w:rFonts w:ascii="Abadi" w:hAnsi="Abadi" w:cs="*Arial-7752-Identity-H"/>
          <w:color w:val="0D0D0F"/>
          <w:sz w:val="21"/>
          <w:szCs w:val="21"/>
        </w:rPr>
      </w:pPr>
    </w:p>
    <w:p w14:paraId="47287B5C" w14:textId="77777777" w:rsidR="0016773C" w:rsidRDefault="0016773C" w:rsidP="0016773C">
      <w:pPr>
        <w:autoSpaceDE w:val="0"/>
        <w:autoSpaceDN w:val="0"/>
        <w:adjustRightInd w:val="0"/>
        <w:ind w:firstLine="708"/>
        <w:jc w:val="both"/>
        <w:rPr>
          <w:rFonts w:ascii="Abadi" w:hAnsi="Abadi" w:cs="*Arial-7752-Identity-H"/>
          <w:color w:val="0E0E11"/>
          <w:sz w:val="21"/>
          <w:szCs w:val="21"/>
        </w:rPr>
      </w:pPr>
      <w:r w:rsidRPr="003D0AE7">
        <w:rPr>
          <w:rFonts w:ascii="Abadi" w:hAnsi="Abadi" w:cs="*Arial-7752-Identity-H"/>
          <w:color w:val="0E0E11"/>
          <w:sz w:val="21"/>
          <w:szCs w:val="21"/>
        </w:rPr>
        <w:t>En dichas auditorías, con independencia de su enfoque, se debe planear</w:t>
      </w:r>
      <w:r>
        <w:rPr>
          <w:rFonts w:ascii="Abadi" w:hAnsi="Abadi" w:cs="*Arial-7752-Identity-H"/>
          <w:color w:val="0E0E11"/>
          <w:sz w:val="21"/>
          <w:szCs w:val="21"/>
        </w:rPr>
        <w:t xml:space="preserve"> </w:t>
      </w:r>
      <w:r w:rsidRPr="003D0AE7">
        <w:rPr>
          <w:rFonts w:ascii="Abadi" w:hAnsi="Abadi" w:cs="*Arial-7752-Identity-H"/>
          <w:color w:val="0E0E11"/>
          <w:sz w:val="21"/>
          <w:szCs w:val="21"/>
        </w:rPr>
        <w:t>con toda claridad y con base en la evidencia competente, suficiente, pertinente,</w:t>
      </w:r>
      <w:r>
        <w:rPr>
          <w:rFonts w:ascii="Abadi" w:hAnsi="Abadi" w:cs="*Arial-7752-Identity-H"/>
          <w:color w:val="0E0E11"/>
          <w:sz w:val="21"/>
          <w:szCs w:val="21"/>
        </w:rPr>
        <w:t xml:space="preserve"> </w:t>
      </w:r>
      <w:r w:rsidRPr="003D0AE7">
        <w:rPr>
          <w:rFonts w:ascii="Abadi" w:hAnsi="Abadi" w:cs="*Arial-7752-Identity-H"/>
          <w:color w:val="0E0E11"/>
          <w:sz w:val="21"/>
          <w:szCs w:val="21"/>
        </w:rPr>
        <w:t>relevante y oportuna, las conclusiones del proceso de fiscalización,</w:t>
      </w:r>
      <w:r>
        <w:rPr>
          <w:rFonts w:ascii="Abadi" w:hAnsi="Abadi" w:cs="*Arial-7752-Identity-H"/>
          <w:color w:val="0E0E11"/>
          <w:sz w:val="21"/>
          <w:szCs w:val="21"/>
        </w:rPr>
        <w:t xml:space="preserve"> </w:t>
      </w:r>
      <w:r w:rsidRPr="003D0AE7">
        <w:rPr>
          <w:rFonts w:ascii="Abadi" w:hAnsi="Abadi" w:cs="*Arial-7752-Identity-H"/>
          <w:color w:val="0E0E11"/>
          <w:sz w:val="21"/>
          <w:szCs w:val="21"/>
        </w:rPr>
        <w:t>puntualizándose las recomendaciones formuladas en su caso.</w:t>
      </w:r>
    </w:p>
    <w:p w14:paraId="77114AD7" w14:textId="77777777" w:rsidR="0016773C" w:rsidRPr="003D0AE7" w:rsidRDefault="0016773C" w:rsidP="0016773C">
      <w:pPr>
        <w:autoSpaceDE w:val="0"/>
        <w:autoSpaceDN w:val="0"/>
        <w:adjustRightInd w:val="0"/>
        <w:jc w:val="both"/>
        <w:rPr>
          <w:rFonts w:ascii="Abadi" w:hAnsi="Abadi" w:cs="*Arial-7752-Identity-H"/>
          <w:color w:val="0E0E11"/>
          <w:sz w:val="21"/>
          <w:szCs w:val="21"/>
        </w:rPr>
      </w:pPr>
    </w:p>
    <w:p w14:paraId="6D7112D0" w14:textId="77777777" w:rsidR="0016773C" w:rsidRPr="003D0AE7" w:rsidRDefault="0016773C" w:rsidP="0016773C">
      <w:pPr>
        <w:autoSpaceDE w:val="0"/>
        <w:autoSpaceDN w:val="0"/>
        <w:adjustRightInd w:val="0"/>
        <w:ind w:firstLine="708"/>
        <w:jc w:val="both"/>
        <w:rPr>
          <w:rFonts w:ascii="Abadi" w:hAnsi="Abadi" w:cs="*Arial-7752-Identity-H"/>
          <w:color w:val="0C0C0E"/>
          <w:sz w:val="21"/>
          <w:szCs w:val="21"/>
        </w:rPr>
      </w:pPr>
      <w:r w:rsidRPr="003D0AE7">
        <w:rPr>
          <w:rFonts w:ascii="Abadi" w:hAnsi="Abadi" w:cs="*Arial-7752-Identity-H"/>
          <w:color w:val="0C0C0E"/>
          <w:sz w:val="21"/>
          <w:szCs w:val="21"/>
        </w:rPr>
        <w:t>Respecto al marco competencia!, se precisa la normatividad aplicable a la</w:t>
      </w:r>
      <w:r>
        <w:rPr>
          <w:rFonts w:ascii="Abadi" w:hAnsi="Abadi" w:cs="*Arial-7752-Identity-H"/>
          <w:color w:val="0C0C0E"/>
          <w:sz w:val="21"/>
          <w:szCs w:val="21"/>
        </w:rPr>
        <w:t xml:space="preserve"> </w:t>
      </w:r>
      <w:r w:rsidRPr="003D0AE7">
        <w:rPr>
          <w:rFonts w:ascii="Abadi" w:hAnsi="Abadi" w:cs="*Arial-7752-Identity-H"/>
          <w:color w:val="0C0C0E"/>
          <w:sz w:val="21"/>
          <w:szCs w:val="21"/>
        </w:rPr>
        <w:t>función de fiscalización a cargo del Poder Legislativo del Estado, siendo esta:</w:t>
      </w:r>
      <w:r>
        <w:rPr>
          <w:rFonts w:ascii="Abadi" w:hAnsi="Abadi" w:cs="*Arial-7752-Identity-H"/>
          <w:color w:val="0C0C0E"/>
          <w:sz w:val="21"/>
          <w:szCs w:val="21"/>
        </w:rPr>
        <w:t xml:space="preserve"> </w:t>
      </w:r>
      <w:r w:rsidRPr="003D0AE7">
        <w:rPr>
          <w:rFonts w:ascii="Abadi" w:hAnsi="Abadi" w:cs="*Arial-7752-Identity-H"/>
          <w:color w:val="0C0C0E"/>
          <w:sz w:val="21"/>
          <w:szCs w:val="21"/>
        </w:rPr>
        <w:t>artículos 116, fracción II y 134 de la Constitución Política de los Estados Unidos</w:t>
      </w:r>
      <w:r>
        <w:rPr>
          <w:rFonts w:ascii="Abadi" w:hAnsi="Abadi" w:cs="*Arial-7752-Identity-H"/>
          <w:color w:val="0C0C0E"/>
          <w:sz w:val="21"/>
          <w:szCs w:val="21"/>
        </w:rPr>
        <w:t xml:space="preserve"> </w:t>
      </w:r>
      <w:r w:rsidRPr="003D0AE7">
        <w:rPr>
          <w:rFonts w:ascii="Abadi" w:hAnsi="Abadi" w:cs="*Arial-7752-Identity-H"/>
          <w:color w:val="0C0C0E"/>
          <w:sz w:val="21"/>
          <w:szCs w:val="21"/>
        </w:rPr>
        <w:t xml:space="preserve">Mexicanos; 2, párrafo primero, 63, fracción XIX y 66, fracciones </w:t>
      </w:r>
      <w:r>
        <w:rPr>
          <w:rFonts w:ascii="Abadi" w:hAnsi="Abadi" w:cs="*Arial-7752-Identity-H"/>
          <w:color w:val="0C0C0E"/>
          <w:sz w:val="21"/>
          <w:szCs w:val="21"/>
        </w:rPr>
        <w:t>I</w:t>
      </w:r>
      <w:r w:rsidRPr="003D0AE7">
        <w:rPr>
          <w:rFonts w:ascii="Abadi" w:hAnsi="Abadi" w:cs="*Arial-7752-Identity-H"/>
          <w:color w:val="0C0C0E"/>
          <w:sz w:val="21"/>
          <w:szCs w:val="21"/>
        </w:rPr>
        <w:t xml:space="preserve">, </w:t>
      </w:r>
      <w:r>
        <w:rPr>
          <w:rFonts w:ascii="Abadi" w:hAnsi="Abadi" w:cs="*Arial-7752-Identity-H"/>
          <w:color w:val="0C0C0E"/>
          <w:sz w:val="21"/>
          <w:szCs w:val="21"/>
        </w:rPr>
        <w:t>II</w:t>
      </w:r>
      <w:r w:rsidRPr="003D0AE7">
        <w:rPr>
          <w:rFonts w:ascii="Abadi" w:hAnsi="Abadi" w:cs="*Arial-7752-Identity-H"/>
          <w:color w:val="0C0C0E"/>
          <w:sz w:val="21"/>
          <w:szCs w:val="21"/>
        </w:rPr>
        <w:t xml:space="preserve"> y IV de la</w:t>
      </w:r>
      <w:r>
        <w:rPr>
          <w:rFonts w:ascii="Abadi" w:hAnsi="Abadi" w:cs="*Arial-7752-Identity-H"/>
          <w:color w:val="0C0C0E"/>
          <w:sz w:val="21"/>
          <w:szCs w:val="21"/>
        </w:rPr>
        <w:t xml:space="preserve"> </w:t>
      </w:r>
      <w:r w:rsidRPr="003D0AE7">
        <w:rPr>
          <w:rFonts w:ascii="Abadi" w:hAnsi="Abadi" w:cs="*Arial-7752-Identity-H"/>
          <w:color w:val="0C0C0E"/>
          <w:sz w:val="21"/>
          <w:szCs w:val="21"/>
        </w:rPr>
        <w:t xml:space="preserve">Constitución Política para el Estado de Guanajuato; 1, 2, fracciones </w:t>
      </w:r>
      <w:r>
        <w:rPr>
          <w:rFonts w:ascii="Abadi" w:hAnsi="Abadi" w:cs="*Arial-7752-Identity-H"/>
          <w:color w:val="0C0C0E"/>
          <w:sz w:val="21"/>
          <w:szCs w:val="21"/>
        </w:rPr>
        <w:t>II</w:t>
      </w:r>
      <w:r w:rsidRPr="003D0AE7">
        <w:rPr>
          <w:rFonts w:ascii="Abadi" w:hAnsi="Abadi" w:cs="*Arial-7752-Identity-H"/>
          <w:color w:val="0C0C0E"/>
          <w:sz w:val="21"/>
          <w:szCs w:val="21"/>
        </w:rPr>
        <w:t xml:space="preserve"> y </w:t>
      </w:r>
      <w:r>
        <w:rPr>
          <w:rFonts w:ascii="Abadi" w:hAnsi="Abadi" w:cs="*Arial-7752-Identity-H"/>
          <w:color w:val="0C0C0E"/>
          <w:sz w:val="21"/>
          <w:szCs w:val="21"/>
        </w:rPr>
        <w:t>III</w:t>
      </w:r>
      <w:r w:rsidRPr="003D0AE7">
        <w:rPr>
          <w:rFonts w:ascii="Abadi" w:hAnsi="Abadi" w:cs="*Arial-7752-Identity-H"/>
          <w:color w:val="0C0C0E"/>
          <w:sz w:val="21"/>
          <w:szCs w:val="21"/>
        </w:rPr>
        <w:t>, 3,</w:t>
      </w:r>
      <w:r>
        <w:rPr>
          <w:rFonts w:ascii="Abadi" w:hAnsi="Abadi" w:cs="*Arial-7752-Identity-H"/>
          <w:color w:val="0C0C0E"/>
          <w:sz w:val="21"/>
          <w:szCs w:val="21"/>
        </w:rPr>
        <w:t xml:space="preserve"> </w:t>
      </w:r>
      <w:r w:rsidRPr="003D0AE7">
        <w:rPr>
          <w:rFonts w:ascii="Abadi" w:hAnsi="Abadi" w:cs="*Arial-7752-Identity-H"/>
          <w:color w:val="0C0C0E"/>
          <w:sz w:val="21"/>
          <w:szCs w:val="21"/>
        </w:rPr>
        <w:t xml:space="preserve">fracciones </w:t>
      </w:r>
      <w:r>
        <w:rPr>
          <w:rFonts w:ascii="Abadi" w:hAnsi="Abadi" w:cs="*Arial-7752-Identity-H"/>
          <w:color w:val="0C0C0E"/>
          <w:sz w:val="21"/>
          <w:szCs w:val="21"/>
        </w:rPr>
        <w:t>I</w:t>
      </w:r>
      <w:r w:rsidRPr="003D0AE7">
        <w:rPr>
          <w:rFonts w:ascii="Abadi" w:hAnsi="Abadi" w:cs="*Arial-7752-Identity-H"/>
          <w:color w:val="0C0C0E"/>
          <w:sz w:val="21"/>
          <w:szCs w:val="21"/>
        </w:rPr>
        <w:t xml:space="preserve">, </w:t>
      </w:r>
      <w:r>
        <w:rPr>
          <w:rFonts w:ascii="Abadi" w:hAnsi="Abadi" w:cs="*Arial-7752-Identity-H"/>
          <w:color w:val="0C0C0E"/>
          <w:sz w:val="21"/>
          <w:szCs w:val="21"/>
        </w:rPr>
        <w:t>II</w:t>
      </w:r>
      <w:r w:rsidRPr="003D0AE7">
        <w:rPr>
          <w:rFonts w:ascii="Abadi" w:hAnsi="Abadi" w:cs="*Arial-7752-Identity-H"/>
          <w:color w:val="0C0C0E"/>
          <w:sz w:val="21"/>
          <w:szCs w:val="21"/>
        </w:rPr>
        <w:t xml:space="preserve">, V y XI, 4, 6, 7, 11, 14, 16, 24, 25, 26, 30, 31, 37, fracción </w:t>
      </w:r>
      <w:r>
        <w:rPr>
          <w:rFonts w:ascii="Abadi" w:hAnsi="Abadi" w:cs="*Arial-7752-Identity-H"/>
          <w:color w:val="0C0C0E"/>
          <w:sz w:val="21"/>
          <w:szCs w:val="21"/>
        </w:rPr>
        <w:t>III</w:t>
      </w:r>
      <w:r w:rsidRPr="003D0AE7">
        <w:rPr>
          <w:rFonts w:ascii="Abadi" w:hAnsi="Abadi" w:cs="*Arial-7752-Identity-H"/>
          <w:color w:val="0C0C0E"/>
          <w:sz w:val="21"/>
          <w:szCs w:val="21"/>
        </w:rPr>
        <w:t>, 56, 57,</w:t>
      </w:r>
      <w:r>
        <w:rPr>
          <w:rFonts w:ascii="Abadi" w:hAnsi="Abadi" w:cs="*Arial-7752-Identity-H"/>
          <w:color w:val="0C0C0E"/>
          <w:sz w:val="21"/>
          <w:szCs w:val="21"/>
        </w:rPr>
        <w:t xml:space="preserve"> </w:t>
      </w:r>
      <w:r w:rsidRPr="003D0AE7">
        <w:rPr>
          <w:rFonts w:ascii="Abadi" w:hAnsi="Abadi" w:cs="*Arial-7752-Identity-H"/>
          <w:color w:val="0C0C0E"/>
          <w:sz w:val="21"/>
          <w:szCs w:val="21"/>
        </w:rPr>
        <w:t xml:space="preserve">58, 59, 60, 82, </w:t>
      </w:r>
      <w:r w:rsidRPr="00D95D32">
        <w:rPr>
          <w:rFonts w:ascii="Abadi" w:hAnsi="Abadi" w:cs="*Arial-7752-Identity-H"/>
          <w:color w:val="0C0C0E"/>
          <w:sz w:val="21"/>
          <w:szCs w:val="21"/>
        </w:rPr>
        <w:t xml:space="preserve">fracciones III, IV, </w:t>
      </w:r>
      <w:r w:rsidRPr="00D95D32">
        <w:rPr>
          <w:rFonts w:ascii="Abadi" w:hAnsi="Abadi" w:cs="*Arial-Bold-7753-Identity-H"/>
          <w:color w:val="0C0C0E"/>
          <w:sz w:val="21"/>
          <w:szCs w:val="21"/>
        </w:rPr>
        <w:t xml:space="preserve">XXIX, XXXII </w:t>
      </w:r>
      <w:r w:rsidRPr="00D95D32">
        <w:rPr>
          <w:rFonts w:ascii="Abadi" w:hAnsi="Abadi" w:cs="*Arial-7752-Identity-H"/>
          <w:color w:val="0C0C0E"/>
          <w:sz w:val="21"/>
          <w:szCs w:val="21"/>
        </w:rPr>
        <w:t xml:space="preserve">y </w:t>
      </w:r>
      <w:r w:rsidRPr="00D95D32">
        <w:rPr>
          <w:rFonts w:ascii="Abadi" w:hAnsi="Abadi" w:cs="*Arial-Bold-7753-Identity-H"/>
          <w:color w:val="0C0C0E"/>
          <w:sz w:val="21"/>
          <w:szCs w:val="21"/>
        </w:rPr>
        <w:t>XXXV</w:t>
      </w:r>
      <w:r w:rsidRPr="003D0AE7">
        <w:rPr>
          <w:rFonts w:ascii="Abadi" w:hAnsi="Abadi" w:cs="*Arial-Bold-7753-Identity-H"/>
          <w:b/>
          <w:bCs/>
          <w:color w:val="0C0C0E"/>
          <w:sz w:val="21"/>
          <w:szCs w:val="21"/>
        </w:rPr>
        <w:t xml:space="preserve"> </w:t>
      </w:r>
      <w:r w:rsidRPr="003D0AE7">
        <w:rPr>
          <w:rFonts w:ascii="Abadi" w:hAnsi="Abadi" w:cs="*Arial-7752-Identity-H"/>
          <w:color w:val="0C0C0E"/>
          <w:sz w:val="21"/>
          <w:szCs w:val="21"/>
        </w:rPr>
        <w:t>y 87, fracciones V, XII y</w:t>
      </w:r>
      <w:r>
        <w:rPr>
          <w:rFonts w:ascii="Abadi" w:hAnsi="Abadi" w:cs="*Arial-7752-Identity-H"/>
          <w:color w:val="0C0C0E"/>
          <w:sz w:val="21"/>
          <w:szCs w:val="21"/>
        </w:rPr>
        <w:t xml:space="preserve"> </w:t>
      </w:r>
      <w:r w:rsidRPr="003D0AE7">
        <w:rPr>
          <w:rFonts w:ascii="Abadi" w:hAnsi="Abadi" w:cs="*Arial-7752-Identity-H"/>
          <w:color w:val="0C0C0E"/>
          <w:sz w:val="21"/>
          <w:szCs w:val="21"/>
        </w:rPr>
        <w:t xml:space="preserve">XXVI de la Ley de Fiscalización Superior del Estado de Guanajuato; 1, 3, </w:t>
      </w:r>
      <w:r>
        <w:rPr>
          <w:rFonts w:ascii="Abadi" w:hAnsi="Abadi" w:cs="*Arial-7752-Identity-H"/>
          <w:color w:val="0C0C0E"/>
          <w:sz w:val="21"/>
          <w:szCs w:val="21"/>
        </w:rPr>
        <w:t>10</w:t>
      </w:r>
      <w:r w:rsidRPr="003D0AE7">
        <w:rPr>
          <w:rFonts w:ascii="Abadi" w:hAnsi="Abadi" w:cs="*Arial-7752-Identity-H"/>
          <w:color w:val="0C0C0E"/>
          <w:sz w:val="21"/>
          <w:szCs w:val="21"/>
        </w:rPr>
        <w:t xml:space="preserve"> 13,</w:t>
      </w:r>
      <w:r>
        <w:rPr>
          <w:rFonts w:ascii="Abadi" w:hAnsi="Abadi" w:cs="*Arial-7752-Identity-H"/>
          <w:color w:val="0C0C0E"/>
          <w:sz w:val="21"/>
          <w:szCs w:val="21"/>
        </w:rPr>
        <w:t xml:space="preserve"> </w:t>
      </w:r>
      <w:r w:rsidRPr="003D0AE7">
        <w:rPr>
          <w:rFonts w:ascii="Abadi" w:hAnsi="Abadi" w:cs="*Arial-7752-Identity-H"/>
          <w:color w:val="0C0C0E"/>
          <w:sz w:val="21"/>
          <w:szCs w:val="21"/>
        </w:rPr>
        <w:t>18, 20, 27, 43, 44, 45, 46, 47, 48 y 49 del Reglamento de la Ley de Fiscalización</w:t>
      </w:r>
      <w:r>
        <w:rPr>
          <w:rFonts w:ascii="Abadi" w:hAnsi="Abadi" w:cs="*Arial-7752-Identity-H"/>
          <w:color w:val="0C0C0E"/>
          <w:sz w:val="21"/>
          <w:szCs w:val="21"/>
        </w:rPr>
        <w:t xml:space="preserve"> </w:t>
      </w:r>
      <w:r w:rsidRPr="003D0AE7">
        <w:rPr>
          <w:rFonts w:ascii="Abadi" w:hAnsi="Abadi" w:cs="*Arial-7752-Identity-H"/>
          <w:color w:val="0C0C0E"/>
          <w:sz w:val="21"/>
          <w:szCs w:val="21"/>
        </w:rPr>
        <w:t xml:space="preserve">Superior del Estado de Guanajuato; 1, 7, segundo párrafo, 8, fracción </w:t>
      </w:r>
      <w:r>
        <w:rPr>
          <w:rFonts w:ascii="Abadi" w:hAnsi="Abadi" w:cs="*Arial-7752-Identity-H"/>
          <w:color w:val="0C0C0E"/>
          <w:sz w:val="21"/>
          <w:szCs w:val="21"/>
        </w:rPr>
        <w:t>I</w:t>
      </w:r>
      <w:r w:rsidRPr="003D0AE7">
        <w:rPr>
          <w:rFonts w:ascii="Abadi" w:hAnsi="Abadi" w:cs="*Arial-7752-Identity-H"/>
          <w:color w:val="0C0C0E"/>
          <w:sz w:val="21"/>
          <w:szCs w:val="21"/>
        </w:rPr>
        <w:t>, 9, fracción</w:t>
      </w:r>
      <w:r>
        <w:rPr>
          <w:rFonts w:ascii="Abadi" w:hAnsi="Abadi" w:cs="*Arial-7752-Identity-H"/>
          <w:color w:val="0C0C0E"/>
          <w:sz w:val="21"/>
          <w:szCs w:val="21"/>
        </w:rPr>
        <w:t xml:space="preserve"> </w:t>
      </w:r>
      <w:r w:rsidRPr="003D0AE7">
        <w:rPr>
          <w:rFonts w:ascii="Abadi" w:hAnsi="Abadi" w:cs="*Arial-7752-Identity-H"/>
          <w:color w:val="0C0C0E"/>
          <w:sz w:val="21"/>
          <w:szCs w:val="21"/>
        </w:rPr>
        <w:t xml:space="preserve">XVII, 10 fracciones </w:t>
      </w:r>
      <w:r>
        <w:rPr>
          <w:rFonts w:ascii="Abadi" w:hAnsi="Abadi" w:cs="*Arial-7752-Identity-H"/>
          <w:color w:val="0C0C0E"/>
          <w:sz w:val="21"/>
          <w:szCs w:val="21"/>
        </w:rPr>
        <w:t>III</w:t>
      </w:r>
      <w:r w:rsidRPr="003D0AE7">
        <w:rPr>
          <w:rFonts w:ascii="Abadi" w:hAnsi="Abadi" w:cs="*Arial-7752-Identity-H"/>
          <w:color w:val="0C0C0E"/>
          <w:sz w:val="21"/>
          <w:szCs w:val="21"/>
        </w:rPr>
        <w:t>, XVII, XIX y XX, 14 y 16 del Reglamento Interior de la</w:t>
      </w:r>
      <w:r>
        <w:rPr>
          <w:rFonts w:ascii="Abadi" w:hAnsi="Abadi" w:cs="*Arial-7752-Identity-H"/>
          <w:color w:val="0C0C0E"/>
          <w:sz w:val="21"/>
          <w:szCs w:val="21"/>
        </w:rPr>
        <w:t xml:space="preserve"> </w:t>
      </w:r>
      <w:r w:rsidRPr="003D0AE7">
        <w:rPr>
          <w:rFonts w:ascii="Abadi" w:hAnsi="Abadi" w:cs="*Arial-7752-Identity-H"/>
          <w:color w:val="0C0C0E"/>
          <w:sz w:val="21"/>
          <w:szCs w:val="21"/>
        </w:rPr>
        <w:t>Auditoría Superior del Estado de Guanajuato; y 42 de la Ley General del Sistema</w:t>
      </w:r>
    </w:p>
    <w:p w14:paraId="25EBA761" w14:textId="77777777" w:rsidR="0016773C" w:rsidRDefault="0016773C" w:rsidP="0016773C">
      <w:pPr>
        <w:autoSpaceDE w:val="0"/>
        <w:autoSpaceDN w:val="0"/>
        <w:adjustRightInd w:val="0"/>
        <w:jc w:val="both"/>
        <w:rPr>
          <w:rFonts w:ascii="Abadi" w:hAnsi="Abadi" w:cs="*Arial-7752-Identity-H"/>
          <w:color w:val="0C0C0E"/>
          <w:sz w:val="21"/>
          <w:szCs w:val="21"/>
        </w:rPr>
      </w:pPr>
      <w:r w:rsidRPr="003D0AE7">
        <w:rPr>
          <w:rFonts w:ascii="Abadi" w:hAnsi="Abadi" w:cs="*Arial-7752-Identity-H"/>
          <w:color w:val="0C0C0E"/>
          <w:sz w:val="21"/>
          <w:szCs w:val="21"/>
        </w:rPr>
        <w:t>Nacional Anticorrupción.</w:t>
      </w:r>
    </w:p>
    <w:p w14:paraId="5C810AC7" w14:textId="77777777" w:rsidR="0016773C" w:rsidRPr="003D0AE7" w:rsidRDefault="0016773C" w:rsidP="0016773C">
      <w:pPr>
        <w:autoSpaceDE w:val="0"/>
        <w:autoSpaceDN w:val="0"/>
        <w:adjustRightInd w:val="0"/>
        <w:jc w:val="both"/>
        <w:rPr>
          <w:rFonts w:ascii="Abadi" w:hAnsi="Abadi" w:cs="*Arial-7752-Identity-H"/>
          <w:color w:val="0C0C0E"/>
          <w:sz w:val="21"/>
          <w:szCs w:val="21"/>
        </w:rPr>
      </w:pPr>
    </w:p>
    <w:p w14:paraId="5D876CA0" w14:textId="77777777" w:rsidR="0016773C" w:rsidRDefault="0016773C" w:rsidP="0016773C">
      <w:pPr>
        <w:autoSpaceDE w:val="0"/>
        <w:autoSpaceDN w:val="0"/>
        <w:adjustRightInd w:val="0"/>
        <w:ind w:firstLine="708"/>
        <w:jc w:val="both"/>
        <w:rPr>
          <w:rFonts w:ascii="Abadi" w:hAnsi="Abadi" w:cs="*Arial-7264-Identity-H"/>
          <w:color w:val="0D0D10"/>
          <w:sz w:val="21"/>
          <w:szCs w:val="21"/>
        </w:rPr>
      </w:pPr>
      <w:r w:rsidRPr="003D0AE7">
        <w:rPr>
          <w:rFonts w:ascii="Abadi" w:hAnsi="Abadi" w:cs="*Arial-7264-Identity-H"/>
          <w:color w:val="0D0D10"/>
          <w:sz w:val="21"/>
          <w:szCs w:val="21"/>
        </w:rPr>
        <w:t>Con base en lo anterior, la auditoría de desempeño materia del presente</w:t>
      </w:r>
      <w:r>
        <w:rPr>
          <w:rFonts w:ascii="Abadi" w:hAnsi="Abadi" w:cs="*Arial-7264-Identity-H"/>
          <w:color w:val="0D0D10"/>
          <w:sz w:val="21"/>
          <w:szCs w:val="21"/>
        </w:rPr>
        <w:t xml:space="preserve"> </w:t>
      </w:r>
      <w:r w:rsidRPr="003D0AE7">
        <w:rPr>
          <w:rFonts w:ascii="Abadi" w:hAnsi="Abadi" w:cs="*Arial-7264-Identity-H"/>
          <w:color w:val="0D0D10"/>
          <w:sz w:val="21"/>
          <w:szCs w:val="21"/>
        </w:rPr>
        <w:t>dictamen, se ejecutó bajo los principios, conceptos y directrices de las actuales</w:t>
      </w:r>
      <w:r>
        <w:rPr>
          <w:rFonts w:ascii="Abadi" w:hAnsi="Abadi" w:cs="*Arial-7264-Identity-H"/>
          <w:color w:val="0D0D10"/>
          <w:sz w:val="21"/>
          <w:szCs w:val="21"/>
        </w:rPr>
        <w:t xml:space="preserve"> </w:t>
      </w:r>
      <w:r w:rsidRPr="003D0AE7">
        <w:rPr>
          <w:rFonts w:ascii="Abadi" w:hAnsi="Abadi" w:cs="*Arial-7264-Identity-H"/>
          <w:color w:val="0D0D10"/>
          <w:sz w:val="21"/>
          <w:szCs w:val="21"/>
        </w:rPr>
        <w:t>Normas Profesionales de Auditor</w:t>
      </w:r>
      <w:r>
        <w:rPr>
          <w:rFonts w:ascii="Abadi" w:hAnsi="Abadi" w:cs="*Arial-7264-Identity-H"/>
          <w:color w:val="0D0D10"/>
          <w:sz w:val="21"/>
          <w:szCs w:val="21"/>
        </w:rPr>
        <w:t>í</w:t>
      </w:r>
      <w:r w:rsidRPr="003D0AE7">
        <w:rPr>
          <w:rFonts w:ascii="Abadi" w:hAnsi="Abadi" w:cs="*Arial-7264-Identity-H"/>
          <w:color w:val="0D0D10"/>
          <w:sz w:val="21"/>
          <w:szCs w:val="21"/>
        </w:rPr>
        <w:t>a del Sistema Nacional de Fiscalización,</w:t>
      </w:r>
      <w:r>
        <w:rPr>
          <w:rFonts w:ascii="Abadi" w:hAnsi="Abadi" w:cs="*Arial-7264-Identity-H"/>
          <w:color w:val="0D0D10"/>
          <w:sz w:val="21"/>
          <w:szCs w:val="21"/>
        </w:rPr>
        <w:t xml:space="preserve"> </w:t>
      </w:r>
      <w:r w:rsidRPr="003D0AE7">
        <w:rPr>
          <w:rFonts w:ascii="Abadi" w:hAnsi="Abadi" w:cs="*Arial-7264-Identity-H"/>
          <w:color w:val="0D0D10"/>
          <w:sz w:val="21"/>
          <w:szCs w:val="21"/>
        </w:rPr>
        <w:t>compiladas y editadas por la Auditoría Superior de la Federación, de manera</w:t>
      </w:r>
      <w:r>
        <w:rPr>
          <w:rFonts w:ascii="Abadi" w:hAnsi="Abadi" w:cs="*Arial-7264-Identity-H"/>
          <w:color w:val="0D0D10"/>
          <w:sz w:val="21"/>
          <w:szCs w:val="21"/>
        </w:rPr>
        <w:t xml:space="preserve"> </w:t>
      </w:r>
      <w:r w:rsidRPr="003D0AE7">
        <w:rPr>
          <w:rFonts w:ascii="Abadi" w:hAnsi="Abadi" w:cs="*Arial-7264-Identity-H"/>
          <w:color w:val="0D0D10"/>
          <w:sz w:val="21"/>
          <w:szCs w:val="21"/>
        </w:rPr>
        <w:t>particular por lo que hace a sus numerales 100 y 300.</w:t>
      </w:r>
    </w:p>
    <w:p w14:paraId="2F5F2B64" w14:textId="77777777" w:rsidR="0016773C" w:rsidRPr="003D0AE7" w:rsidRDefault="0016773C" w:rsidP="0016773C">
      <w:pPr>
        <w:autoSpaceDE w:val="0"/>
        <w:autoSpaceDN w:val="0"/>
        <w:adjustRightInd w:val="0"/>
        <w:jc w:val="both"/>
        <w:rPr>
          <w:rFonts w:ascii="Abadi" w:hAnsi="Abadi" w:cs="*Arial-7264-Identity-H"/>
          <w:color w:val="0D0D10"/>
          <w:sz w:val="21"/>
          <w:szCs w:val="21"/>
        </w:rPr>
      </w:pPr>
    </w:p>
    <w:p w14:paraId="71105911" w14:textId="77777777" w:rsidR="0016773C" w:rsidRDefault="0016773C" w:rsidP="0016773C">
      <w:pPr>
        <w:autoSpaceDE w:val="0"/>
        <w:autoSpaceDN w:val="0"/>
        <w:adjustRightInd w:val="0"/>
        <w:ind w:firstLine="708"/>
        <w:jc w:val="both"/>
        <w:rPr>
          <w:rFonts w:ascii="Abadi" w:hAnsi="Abadi" w:cs="*Arial-7264-Identity-H"/>
          <w:color w:val="0C0C0F"/>
          <w:sz w:val="21"/>
          <w:szCs w:val="21"/>
        </w:rPr>
      </w:pPr>
      <w:r w:rsidRPr="003D0AE7">
        <w:rPr>
          <w:rFonts w:ascii="Abadi" w:hAnsi="Abadi" w:cs="*Arial-7264-Identity-H"/>
          <w:color w:val="0C0C0F"/>
          <w:sz w:val="21"/>
          <w:szCs w:val="21"/>
        </w:rPr>
        <w:t>En esta parte también se puntualiza que las auditorías de desempeño que</w:t>
      </w:r>
      <w:r>
        <w:rPr>
          <w:rFonts w:ascii="Abadi" w:hAnsi="Abadi" w:cs="*Arial-7264-Identity-H"/>
          <w:color w:val="0C0C0F"/>
          <w:sz w:val="21"/>
          <w:szCs w:val="21"/>
        </w:rPr>
        <w:t xml:space="preserve"> </w:t>
      </w:r>
      <w:r w:rsidRPr="003D0AE7">
        <w:rPr>
          <w:rFonts w:ascii="Abadi" w:hAnsi="Abadi" w:cs="*Arial-7264-Identity-H"/>
          <w:color w:val="0C0C0F"/>
          <w:sz w:val="21"/>
          <w:szCs w:val="21"/>
        </w:rPr>
        <w:t>se practican por la Auditoría Superior del Estado son congruentes con las</w:t>
      </w:r>
      <w:r>
        <w:rPr>
          <w:rFonts w:ascii="Abadi" w:hAnsi="Abadi" w:cs="*Arial-7264-Identity-H"/>
          <w:color w:val="0C0C0F"/>
          <w:sz w:val="21"/>
          <w:szCs w:val="21"/>
        </w:rPr>
        <w:t xml:space="preserve"> </w:t>
      </w:r>
      <w:r w:rsidRPr="003D0AE7">
        <w:rPr>
          <w:rFonts w:ascii="Abadi" w:hAnsi="Abadi" w:cs="*Arial-7264-Identity-H"/>
          <w:color w:val="0C0C0F"/>
          <w:sz w:val="21"/>
          <w:szCs w:val="21"/>
        </w:rPr>
        <w:t>metodologías señaladas en las Normas Internacionales para Entidades</w:t>
      </w:r>
      <w:r>
        <w:rPr>
          <w:rFonts w:ascii="Abadi" w:hAnsi="Abadi" w:cs="*Arial-7264-Identity-H"/>
          <w:color w:val="0C0C0F"/>
          <w:sz w:val="21"/>
          <w:szCs w:val="21"/>
        </w:rPr>
        <w:t xml:space="preserve"> </w:t>
      </w:r>
      <w:r w:rsidRPr="003D0AE7">
        <w:rPr>
          <w:rFonts w:ascii="Abadi" w:hAnsi="Abadi" w:cs="*Arial-7264-Identity-H"/>
          <w:color w:val="0C0C0F"/>
          <w:sz w:val="21"/>
          <w:szCs w:val="21"/>
        </w:rPr>
        <w:t>Fiscalizadoras Superiores 100, 300, 3000 y 3200, emitidas por la Organización</w:t>
      </w:r>
      <w:r>
        <w:rPr>
          <w:rFonts w:ascii="Abadi" w:hAnsi="Abadi" w:cs="*Arial-7264-Identity-H"/>
          <w:color w:val="0C0C0F"/>
          <w:sz w:val="21"/>
          <w:szCs w:val="21"/>
        </w:rPr>
        <w:t xml:space="preserve"> </w:t>
      </w:r>
      <w:r w:rsidRPr="003D0AE7">
        <w:rPr>
          <w:rFonts w:ascii="Abadi" w:hAnsi="Abadi" w:cs="*Arial-7264-Identity-H"/>
          <w:color w:val="0C0C0F"/>
          <w:sz w:val="21"/>
          <w:szCs w:val="21"/>
        </w:rPr>
        <w:t>Internacional de las Entidades Fiscalizadoras Superiores, así como con los</w:t>
      </w:r>
      <w:r>
        <w:rPr>
          <w:rFonts w:ascii="Abadi" w:hAnsi="Abadi" w:cs="*Arial-7264-Identity-H"/>
          <w:color w:val="0C0C0F"/>
          <w:sz w:val="21"/>
          <w:szCs w:val="21"/>
        </w:rPr>
        <w:t xml:space="preserve"> </w:t>
      </w:r>
      <w:r w:rsidRPr="003D0AE7">
        <w:rPr>
          <w:rFonts w:ascii="Abadi" w:hAnsi="Abadi" w:cs="*Arial-7264-Identity-H"/>
          <w:color w:val="0C0C0F"/>
          <w:sz w:val="21"/>
          <w:szCs w:val="21"/>
        </w:rPr>
        <w:t>lineamientos para la construcción y diseño de indicadores de desempeño</w:t>
      </w:r>
      <w:r>
        <w:rPr>
          <w:rFonts w:ascii="Abadi" w:hAnsi="Abadi" w:cs="*Arial-7264-Identity-H"/>
          <w:color w:val="0C0C0F"/>
          <w:sz w:val="21"/>
          <w:szCs w:val="21"/>
        </w:rPr>
        <w:t xml:space="preserve"> </w:t>
      </w:r>
      <w:r w:rsidRPr="003D0AE7">
        <w:rPr>
          <w:rFonts w:ascii="Abadi" w:hAnsi="Abadi" w:cs="*Arial-7264-Identity-H"/>
          <w:color w:val="0C0C0F"/>
          <w:sz w:val="21"/>
          <w:szCs w:val="21"/>
        </w:rPr>
        <w:t>mediante la Metodología del Marco Lógico, emitidos por el Consejo Nacional de</w:t>
      </w:r>
      <w:r>
        <w:rPr>
          <w:rFonts w:ascii="Abadi" w:hAnsi="Abadi" w:cs="*Arial-7264-Identity-H"/>
          <w:color w:val="0C0C0F"/>
          <w:sz w:val="21"/>
          <w:szCs w:val="21"/>
        </w:rPr>
        <w:t xml:space="preserve"> </w:t>
      </w:r>
      <w:r w:rsidRPr="003D0AE7">
        <w:rPr>
          <w:rFonts w:ascii="Abadi" w:hAnsi="Abadi" w:cs="*Arial-7264-Identity-H"/>
          <w:color w:val="0C0C0F"/>
          <w:sz w:val="21"/>
          <w:szCs w:val="21"/>
        </w:rPr>
        <w:t>Armonización Contable, publicados en el Diario Oficial de la Federación el 15 de</w:t>
      </w:r>
      <w:r>
        <w:rPr>
          <w:rFonts w:ascii="Abadi" w:hAnsi="Abadi" w:cs="*Arial-7264-Identity-H"/>
          <w:color w:val="0C0C0F"/>
          <w:sz w:val="21"/>
          <w:szCs w:val="21"/>
        </w:rPr>
        <w:t xml:space="preserve"> </w:t>
      </w:r>
      <w:r w:rsidRPr="003D0AE7">
        <w:rPr>
          <w:rFonts w:ascii="Abadi" w:hAnsi="Abadi" w:cs="*Arial-7264-Identity-H"/>
          <w:color w:val="0C0C0F"/>
          <w:sz w:val="21"/>
          <w:szCs w:val="21"/>
        </w:rPr>
        <w:t>mayo de 2013, entre otros.</w:t>
      </w:r>
    </w:p>
    <w:p w14:paraId="1B35D4CB" w14:textId="77777777" w:rsidR="0016773C" w:rsidRPr="003D0AE7" w:rsidRDefault="0016773C" w:rsidP="0016773C">
      <w:pPr>
        <w:autoSpaceDE w:val="0"/>
        <w:autoSpaceDN w:val="0"/>
        <w:adjustRightInd w:val="0"/>
        <w:jc w:val="both"/>
        <w:rPr>
          <w:rFonts w:ascii="Abadi" w:hAnsi="Abadi" w:cs="*Arial-7264-Identity-H"/>
          <w:color w:val="0C0C0F"/>
          <w:sz w:val="21"/>
          <w:szCs w:val="21"/>
        </w:rPr>
      </w:pPr>
    </w:p>
    <w:p w14:paraId="7B312DB5" w14:textId="77777777" w:rsidR="0016773C" w:rsidRDefault="0016773C" w:rsidP="0016773C">
      <w:pPr>
        <w:autoSpaceDE w:val="0"/>
        <w:autoSpaceDN w:val="0"/>
        <w:adjustRightInd w:val="0"/>
        <w:ind w:firstLine="708"/>
        <w:jc w:val="both"/>
        <w:rPr>
          <w:rFonts w:ascii="Abadi" w:hAnsi="Abadi" w:cs="*Arial-7264-Identity-H"/>
          <w:color w:val="0D0D10"/>
          <w:sz w:val="21"/>
          <w:szCs w:val="21"/>
        </w:rPr>
      </w:pPr>
      <w:r w:rsidRPr="003D0AE7">
        <w:rPr>
          <w:rFonts w:ascii="Abadi" w:hAnsi="Abadi" w:cs="*Arial-7264-Identity-H"/>
          <w:color w:val="0D0D10"/>
          <w:sz w:val="21"/>
          <w:szCs w:val="21"/>
        </w:rPr>
        <w:t>En el punto correspondiente a estructura del informe y valoración, se señala</w:t>
      </w:r>
      <w:r>
        <w:rPr>
          <w:rFonts w:ascii="Abadi" w:hAnsi="Abadi" w:cs="*Arial-7264-Identity-H"/>
          <w:color w:val="0D0D10"/>
          <w:sz w:val="21"/>
          <w:szCs w:val="21"/>
        </w:rPr>
        <w:t xml:space="preserve"> </w:t>
      </w:r>
      <w:r w:rsidRPr="003D0AE7">
        <w:rPr>
          <w:rFonts w:ascii="Abadi" w:hAnsi="Abadi" w:cs="*Arial-7264-Identity-H"/>
          <w:color w:val="0D0D10"/>
          <w:sz w:val="21"/>
          <w:szCs w:val="21"/>
        </w:rPr>
        <w:t>que el informe de resultados es el documento técnico en el que se presentan los</w:t>
      </w:r>
      <w:r>
        <w:rPr>
          <w:rFonts w:ascii="Abadi" w:hAnsi="Abadi" w:cs="*Arial-7264-Identity-H"/>
          <w:color w:val="0D0D10"/>
          <w:sz w:val="21"/>
          <w:szCs w:val="21"/>
        </w:rPr>
        <w:t xml:space="preserve"> </w:t>
      </w:r>
      <w:r w:rsidRPr="003D0AE7">
        <w:rPr>
          <w:rFonts w:ascii="Abadi" w:hAnsi="Abadi" w:cs="*Arial-7264-Identity-H"/>
          <w:color w:val="0D0D10"/>
          <w:sz w:val="21"/>
          <w:szCs w:val="21"/>
        </w:rPr>
        <w:t>datos e información que identifican una revisión, las conclusiones y las</w:t>
      </w:r>
      <w:r>
        <w:rPr>
          <w:rFonts w:ascii="Abadi" w:hAnsi="Abadi" w:cs="*Arial-7264-Identity-H"/>
          <w:color w:val="0D0D10"/>
          <w:sz w:val="21"/>
          <w:szCs w:val="21"/>
        </w:rPr>
        <w:t xml:space="preserve"> </w:t>
      </w:r>
      <w:r w:rsidRPr="003D0AE7">
        <w:rPr>
          <w:rFonts w:ascii="Abadi" w:hAnsi="Abadi" w:cs="*Arial-7264-Identity-H"/>
          <w:color w:val="0D0D10"/>
          <w:sz w:val="21"/>
          <w:szCs w:val="21"/>
        </w:rPr>
        <w:t xml:space="preserve">recomendaciones al desempeño que se propondrán al ente </w:t>
      </w:r>
      <w:proofErr w:type="spellStart"/>
      <w:r w:rsidRPr="003D0AE7">
        <w:rPr>
          <w:rFonts w:ascii="Abadi" w:hAnsi="Abadi" w:cs="*Arial-7264-Identity-H"/>
          <w:color w:val="0D0D10"/>
          <w:sz w:val="21"/>
          <w:szCs w:val="21"/>
        </w:rPr>
        <w:t>fiscalizado</w:t>
      </w:r>
      <w:proofErr w:type="spellEnd"/>
      <w:r w:rsidRPr="003D0AE7">
        <w:rPr>
          <w:rFonts w:ascii="Abadi" w:hAnsi="Abadi" w:cs="*Arial-7264-Identity-H"/>
          <w:color w:val="0D0D10"/>
          <w:sz w:val="21"/>
          <w:szCs w:val="21"/>
        </w:rPr>
        <w:t>.</w:t>
      </w:r>
    </w:p>
    <w:p w14:paraId="28B38146" w14:textId="77777777" w:rsidR="0016773C" w:rsidRPr="003D0AE7" w:rsidRDefault="0016773C" w:rsidP="0016773C">
      <w:pPr>
        <w:autoSpaceDE w:val="0"/>
        <w:autoSpaceDN w:val="0"/>
        <w:adjustRightInd w:val="0"/>
        <w:jc w:val="both"/>
        <w:rPr>
          <w:rFonts w:ascii="Abadi" w:hAnsi="Abadi" w:cs="*Arial-7264-Identity-H"/>
          <w:color w:val="0D0D10"/>
          <w:sz w:val="21"/>
          <w:szCs w:val="21"/>
        </w:rPr>
      </w:pPr>
    </w:p>
    <w:p w14:paraId="09733279" w14:textId="77777777" w:rsidR="0016773C" w:rsidRDefault="0016773C" w:rsidP="0016773C">
      <w:pPr>
        <w:autoSpaceDE w:val="0"/>
        <w:autoSpaceDN w:val="0"/>
        <w:adjustRightInd w:val="0"/>
        <w:ind w:firstLine="708"/>
        <w:jc w:val="both"/>
        <w:rPr>
          <w:rFonts w:ascii="Abadi" w:hAnsi="Abadi" w:cs="*Arial-7264-Identity-H"/>
          <w:color w:val="0D0D0F"/>
          <w:sz w:val="21"/>
          <w:szCs w:val="21"/>
        </w:rPr>
      </w:pPr>
      <w:r w:rsidRPr="003D0AE7">
        <w:rPr>
          <w:rFonts w:ascii="Abadi" w:hAnsi="Abadi" w:cs="*Arial-7264-Identity-H"/>
          <w:color w:val="0D0D0F"/>
          <w:sz w:val="21"/>
          <w:szCs w:val="21"/>
        </w:rPr>
        <w:t>Asimismo, se refiere que el artículo 26 del Reglamento de la Ley de</w:t>
      </w:r>
      <w:r>
        <w:rPr>
          <w:rFonts w:ascii="Abadi" w:hAnsi="Abadi" w:cs="*Arial-7264-Identity-H"/>
          <w:color w:val="0D0D0F"/>
          <w:sz w:val="21"/>
          <w:szCs w:val="21"/>
        </w:rPr>
        <w:t xml:space="preserve"> </w:t>
      </w:r>
      <w:r w:rsidRPr="003D0AE7">
        <w:rPr>
          <w:rFonts w:ascii="Abadi" w:hAnsi="Abadi" w:cs="*Arial-7264-Identity-H"/>
          <w:color w:val="0D0D0F"/>
          <w:sz w:val="21"/>
          <w:szCs w:val="21"/>
        </w:rPr>
        <w:t>Fiscalización Superior del Estado de Guanajuato establece los requisitos mínimos</w:t>
      </w:r>
      <w:r>
        <w:rPr>
          <w:rFonts w:ascii="Abadi" w:hAnsi="Abadi" w:cs="*Arial-7264-Identity-H"/>
          <w:color w:val="0D0D0F"/>
          <w:sz w:val="21"/>
          <w:szCs w:val="21"/>
        </w:rPr>
        <w:t xml:space="preserve"> </w:t>
      </w:r>
      <w:r w:rsidRPr="003D0AE7">
        <w:rPr>
          <w:rFonts w:ascii="Abadi" w:hAnsi="Abadi" w:cs="*Arial-7264-Identity-H"/>
          <w:color w:val="0D0D0F"/>
          <w:sz w:val="21"/>
          <w:szCs w:val="21"/>
        </w:rPr>
        <w:t>que deben contener los informes de resultados de las auditorias de desempeño,</w:t>
      </w:r>
      <w:r>
        <w:rPr>
          <w:rFonts w:ascii="Abadi" w:hAnsi="Abadi" w:cs="*Arial-7264-Identity-H"/>
          <w:color w:val="0D0D0F"/>
          <w:sz w:val="21"/>
          <w:szCs w:val="21"/>
        </w:rPr>
        <w:t xml:space="preserve"> </w:t>
      </w:r>
      <w:r w:rsidRPr="003D0AE7">
        <w:rPr>
          <w:rFonts w:ascii="Abadi" w:hAnsi="Abadi" w:cs="*Arial-7264-Identity-H"/>
          <w:color w:val="0D0D0F"/>
          <w:sz w:val="21"/>
          <w:szCs w:val="21"/>
        </w:rPr>
        <w:t>los cuales se cumplieron en la formulación del informe de resultados. También se</w:t>
      </w:r>
      <w:r>
        <w:rPr>
          <w:rFonts w:ascii="Abadi" w:hAnsi="Abadi" w:cs="*Arial-7264-Identity-H"/>
          <w:color w:val="0D0D0F"/>
          <w:sz w:val="21"/>
          <w:szCs w:val="21"/>
        </w:rPr>
        <w:t xml:space="preserve"> </w:t>
      </w:r>
      <w:r w:rsidRPr="003D0AE7">
        <w:rPr>
          <w:rFonts w:ascii="Abadi" w:hAnsi="Abadi" w:cs="*Arial-7264-Identity-H"/>
          <w:color w:val="0D0D0F"/>
          <w:sz w:val="21"/>
          <w:szCs w:val="21"/>
        </w:rPr>
        <w:t>precisan los datos de identificación del acto de fiscalización, como son el título o</w:t>
      </w:r>
      <w:r>
        <w:rPr>
          <w:rFonts w:ascii="Abadi" w:hAnsi="Abadi" w:cs="*Arial-7264-Identity-H"/>
          <w:color w:val="0D0D0F"/>
          <w:sz w:val="21"/>
          <w:szCs w:val="21"/>
        </w:rPr>
        <w:t xml:space="preserve"> </w:t>
      </w:r>
      <w:r w:rsidRPr="003D0AE7">
        <w:rPr>
          <w:rFonts w:ascii="Abadi" w:hAnsi="Abadi" w:cs="*Arial-7264-Identity-H"/>
          <w:color w:val="0D0D0F"/>
          <w:sz w:val="21"/>
          <w:szCs w:val="21"/>
        </w:rPr>
        <w:t>enfoque de la auditoría, el sujeto fiscalizado, el periodo de revisión y el programa</w:t>
      </w:r>
      <w:r>
        <w:rPr>
          <w:rFonts w:ascii="Abadi" w:hAnsi="Abadi" w:cs="*Arial-7264-Identity-H"/>
          <w:color w:val="0D0D0F"/>
          <w:sz w:val="21"/>
          <w:szCs w:val="21"/>
        </w:rPr>
        <w:t xml:space="preserve"> </w:t>
      </w:r>
      <w:r w:rsidRPr="003D0AE7">
        <w:rPr>
          <w:rFonts w:ascii="Abadi" w:hAnsi="Abadi" w:cs="*Arial-7264-Identity-H"/>
          <w:color w:val="0D0D0F"/>
          <w:sz w:val="21"/>
          <w:szCs w:val="21"/>
        </w:rPr>
        <w:t>que se fiscaliza, en función de lo autorizado en el Programa General de</w:t>
      </w:r>
      <w:r>
        <w:rPr>
          <w:rFonts w:ascii="Abadi" w:hAnsi="Abadi" w:cs="*Arial-7264-Identity-H"/>
          <w:color w:val="0D0D0F"/>
          <w:sz w:val="21"/>
          <w:szCs w:val="21"/>
        </w:rPr>
        <w:t xml:space="preserve"> </w:t>
      </w:r>
      <w:r w:rsidRPr="003D0AE7">
        <w:rPr>
          <w:rFonts w:ascii="Abadi" w:hAnsi="Abadi" w:cs="*Arial-7264-Identity-H"/>
          <w:color w:val="0D0D0F"/>
          <w:sz w:val="21"/>
          <w:szCs w:val="21"/>
        </w:rPr>
        <w:t>Fiscalización respectivo.</w:t>
      </w:r>
    </w:p>
    <w:p w14:paraId="23640FD8" w14:textId="77777777" w:rsidR="0016773C" w:rsidRPr="003D0AE7" w:rsidRDefault="0016773C" w:rsidP="0016773C">
      <w:pPr>
        <w:autoSpaceDE w:val="0"/>
        <w:autoSpaceDN w:val="0"/>
        <w:adjustRightInd w:val="0"/>
        <w:jc w:val="both"/>
        <w:rPr>
          <w:rFonts w:ascii="Abadi" w:hAnsi="Abadi" w:cs="*Arial-7264-Identity-H"/>
          <w:color w:val="0D0D0F"/>
          <w:sz w:val="21"/>
          <w:szCs w:val="21"/>
        </w:rPr>
      </w:pPr>
    </w:p>
    <w:p w14:paraId="50C09AAC" w14:textId="77777777" w:rsidR="0016773C" w:rsidRPr="003D0AE7" w:rsidRDefault="0016773C" w:rsidP="0016773C">
      <w:pPr>
        <w:autoSpaceDE w:val="0"/>
        <w:autoSpaceDN w:val="0"/>
        <w:adjustRightInd w:val="0"/>
        <w:ind w:firstLine="708"/>
        <w:jc w:val="both"/>
        <w:rPr>
          <w:rFonts w:ascii="Abadi" w:hAnsi="Abadi" w:cs="*Arial-7264-Identity-H"/>
          <w:color w:val="0D0C10"/>
          <w:sz w:val="21"/>
          <w:szCs w:val="21"/>
        </w:rPr>
      </w:pPr>
      <w:r w:rsidRPr="003D0AE7">
        <w:rPr>
          <w:rFonts w:ascii="Abadi" w:hAnsi="Abadi" w:cs="*Arial-7264-Identity-H"/>
          <w:color w:val="0D0C10"/>
          <w:sz w:val="21"/>
          <w:szCs w:val="21"/>
        </w:rPr>
        <w:t>Por lo que hace a la valoración de la respuesta del sujeto fiscalizado, el</w:t>
      </w:r>
      <w:r>
        <w:rPr>
          <w:rFonts w:ascii="Abadi" w:hAnsi="Abadi" w:cs="*Arial-7264-Identity-H"/>
          <w:color w:val="0D0C10"/>
          <w:sz w:val="21"/>
          <w:szCs w:val="21"/>
        </w:rPr>
        <w:t xml:space="preserve"> </w:t>
      </w:r>
      <w:r w:rsidRPr="003D0AE7">
        <w:rPr>
          <w:rFonts w:ascii="Abadi" w:hAnsi="Abadi" w:cs="*Arial-7264-Identity-H"/>
          <w:color w:val="0D0C10"/>
          <w:sz w:val="21"/>
          <w:szCs w:val="21"/>
        </w:rPr>
        <w:t>Órgano Técnico determinó lo conducente respecto a las recomendaciones</w:t>
      </w:r>
      <w:r>
        <w:rPr>
          <w:rFonts w:ascii="Abadi" w:hAnsi="Abadi" w:cs="*Arial-7264-Identity-H"/>
          <w:color w:val="0D0C10"/>
          <w:sz w:val="21"/>
          <w:szCs w:val="21"/>
        </w:rPr>
        <w:t xml:space="preserve"> </w:t>
      </w:r>
      <w:r w:rsidRPr="003D0AE7">
        <w:rPr>
          <w:rFonts w:ascii="Abadi" w:hAnsi="Abadi" w:cs="*Arial-7264-Identity-H"/>
          <w:color w:val="0D0C10"/>
          <w:sz w:val="21"/>
          <w:szCs w:val="21"/>
        </w:rPr>
        <w:t>emitidas, para lo cual realizó un análisis de la documentación y evidencia</w:t>
      </w:r>
      <w:r>
        <w:rPr>
          <w:rFonts w:ascii="Abadi" w:hAnsi="Abadi" w:cs="*Arial-7264-Identity-H"/>
          <w:color w:val="0D0C10"/>
          <w:sz w:val="21"/>
          <w:szCs w:val="21"/>
        </w:rPr>
        <w:t xml:space="preserve"> </w:t>
      </w:r>
      <w:r w:rsidRPr="003D0AE7">
        <w:rPr>
          <w:rFonts w:ascii="Abadi" w:hAnsi="Abadi" w:cs="*Arial-7264-Identity-H"/>
          <w:color w:val="0D0C10"/>
          <w:sz w:val="21"/>
          <w:szCs w:val="21"/>
        </w:rPr>
        <w:t>proporcionada por el sujeto fiscalizado, a fin de valorar si este efectuó mejoras, si</w:t>
      </w:r>
      <w:r>
        <w:rPr>
          <w:rFonts w:ascii="Abadi" w:hAnsi="Abadi" w:cs="*Arial-7264-Identity-H"/>
          <w:color w:val="0D0C10"/>
          <w:sz w:val="21"/>
          <w:szCs w:val="21"/>
        </w:rPr>
        <w:t xml:space="preserve"> </w:t>
      </w:r>
      <w:r w:rsidRPr="003D0AE7">
        <w:rPr>
          <w:rFonts w:ascii="Abadi" w:hAnsi="Abadi" w:cs="*Arial-7264-Identity-H"/>
          <w:color w:val="0D0C10"/>
          <w:sz w:val="21"/>
          <w:szCs w:val="21"/>
        </w:rPr>
        <w:t>realizará alguna acción o emitió la justificación correspondiente sobre la</w:t>
      </w:r>
      <w:r>
        <w:rPr>
          <w:rFonts w:ascii="Abadi" w:hAnsi="Abadi" w:cs="*Arial-7264-Identity-H"/>
          <w:color w:val="0D0C10"/>
          <w:sz w:val="21"/>
          <w:szCs w:val="21"/>
        </w:rPr>
        <w:t xml:space="preserve"> </w:t>
      </w:r>
      <w:r w:rsidRPr="003D0AE7">
        <w:rPr>
          <w:rFonts w:ascii="Abadi" w:hAnsi="Abadi" w:cs="*Arial-7264-Identity-H"/>
          <w:color w:val="0D0C10"/>
          <w:sz w:val="21"/>
          <w:szCs w:val="21"/>
        </w:rPr>
        <w:t>improcedencia por la cual no resulte factible su implementación o bien, la</w:t>
      </w:r>
      <w:r>
        <w:rPr>
          <w:rFonts w:ascii="Abadi" w:hAnsi="Abadi" w:cs="*Arial-7264-Identity-H"/>
          <w:color w:val="0D0C10"/>
          <w:sz w:val="21"/>
          <w:szCs w:val="21"/>
        </w:rPr>
        <w:t xml:space="preserve"> </w:t>
      </w:r>
      <w:r w:rsidRPr="003D0AE7">
        <w:rPr>
          <w:rFonts w:ascii="Abadi" w:hAnsi="Abadi" w:cs="*Arial-7264-Identity-H"/>
          <w:color w:val="0D0C10"/>
          <w:sz w:val="21"/>
          <w:szCs w:val="21"/>
        </w:rPr>
        <w:t>consideración de medidas alternas que fortalezcan el desempeño de la gestión</w:t>
      </w:r>
      <w:r>
        <w:rPr>
          <w:rFonts w:ascii="Abadi" w:hAnsi="Abadi" w:cs="*Arial-7264-Identity-H"/>
          <w:color w:val="0D0C10"/>
          <w:sz w:val="21"/>
          <w:szCs w:val="21"/>
        </w:rPr>
        <w:t xml:space="preserve"> </w:t>
      </w:r>
      <w:r w:rsidRPr="003D0AE7">
        <w:rPr>
          <w:rFonts w:ascii="Abadi" w:hAnsi="Abadi" w:cs="*Arial-7264-Identity-H"/>
          <w:color w:val="0D0C10"/>
          <w:sz w:val="21"/>
          <w:szCs w:val="21"/>
        </w:rPr>
        <w:t>pública. Asimismo, se señala que las recomendaciones efectuadas al sujeto</w:t>
      </w:r>
      <w:r>
        <w:rPr>
          <w:rFonts w:ascii="Abadi" w:hAnsi="Abadi" w:cs="*Arial-7264-Identity-H"/>
          <w:color w:val="0D0C10"/>
          <w:sz w:val="21"/>
          <w:szCs w:val="21"/>
        </w:rPr>
        <w:t xml:space="preserve"> </w:t>
      </w:r>
      <w:r w:rsidRPr="003D0AE7">
        <w:rPr>
          <w:rFonts w:ascii="Abadi" w:hAnsi="Abadi" w:cs="*Arial-7264-Identity-H"/>
          <w:color w:val="0D0C10"/>
          <w:sz w:val="21"/>
          <w:szCs w:val="21"/>
        </w:rPr>
        <w:t>fiscalizado podrían considerarse como persistentes, cuando no sea posible</w:t>
      </w:r>
      <w:r>
        <w:rPr>
          <w:rFonts w:ascii="Abadi" w:hAnsi="Abadi" w:cs="*Arial-7264-Identity-H"/>
          <w:color w:val="0D0C10"/>
          <w:sz w:val="21"/>
          <w:szCs w:val="21"/>
        </w:rPr>
        <w:t xml:space="preserve"> </w:t>
      </w:r>
      <w:r w:rsidRPr="003D0AE7">
        <w:rPr>
          <w:rFonts w:ascii="Abadi" w:hAnsi="Abadi" w:cs="*Arial-7264-Identity-H"/>
          <w:color w:val="0D0C10"/>
          <w:sz w:val="21"/>
          <w:szCs w:val="21"/>
        </w:rPr>
        <w:t>valorarlas en alguno de los supuestos antes referidos.</w:t>
      </w:r>
    </w:p>
    <w:p w14:paraId="07FAA416" w14:textId="77777777" w:rsidR="0016773C" w:rsidRDefault="0016773C" w:rsidP="0016773C">
      <w:pPr>
        <w:autoSpaceDE w:val="0"/>
        <w:autoSpaceDN w:val="0"/>
        <w:adjustRightInd w:val="0"/>
        <w:jc w:val="both"/>
        <w:rPr>
          <w:rFonts w:ascii="Abadi" w:hAnsi="Abadi" w:cs="*Calibri-Bold-7122-Identity-H"/>
          <w:b/>
          <w:bCs/>
          <w:color w:val="25232A"/>
          <w:sz w:val="21"/>
          <w:szCs w:val="21"/>
        </w:rPr>
      </w:pPr>
    </w:p>
    <w:p w14:paraId="35758D2D" w14:textId="77777777" w:rsidR="0016773C" w:rsidRDefault="0016773C" w:rsidP="0016773C">
      <w:pPr>
        <w:autoSpaceDE w:val="0"/>
        <w:autoSpaceDN w:val="0"/>
        <w:adjustRightInd w:val="0"/>
        <w:ind w:firstLine="708"/>
        <w:jc w:val="both"/>
        <w:rPr>
          <w:rFonts w:ascii="Abadi" w:hAnsi="Abadi" w:cs="*Arial-7123-Identity-H"/>
          <w:color w:val="0E0E10"/>
          <w:sz w:val="21"/>
          <w:szCs w:val="21"/>
        </w:rPr>
      </w:pPr>
      <w:r w:rsidRPr="003D0AE7">
        <w:rPr>
          <w:rFonts w:ascii="Abadi" w:hAnsi="Abadi" w:cs="*Arial-7123-Identity-H"/>
          <w:color w:val="0E0E10"/>
          <w:sz w:val="21"/>
          <w:szCs w:val="21"/>
        </w:rPr>
        <w:t>Es así, que la valoración realizada por la Auditoría Superior del Estado</w:t>
      </w:r>
      <w:r>
        <w:rPr>
          <w:rFonts w:ascii="Abadi" w:hAnsi="Abadi" w:cs="*Arial-7123-Identity-H"/>
          <w:color w:val="0E0E10"/>
          <w:sz w:val="21"/>
          <w:szCs w:val="21"/>
        </w:rPr>
        <w:t xml:space="preserve"> </w:t>
      </w:r>
      <w:r w:rsidRPr="003D0AE7">
        <w:rPr>
          <w:rFonts w:ascii="Abadi" w:hAnsi="Abadi" w:cs="*Arial-7123-Identity-H"/>
          <w:color w:val="0E0E10"/>
          <w:sz w:val="21"/>
          <w:szCs w:val="21"/>
        </w:rPr>
        <w:t>redunda en las manifestaciones, argumentos, acciones y evidencia presentada en</w:t>
      </w:r>
      <w:r>
        <w:rPr>
          <w:rFonts w:ascii="Abadi" w:hAnsi="Abadi" w:cs="*Arial-7123-Identity-H"/>
          <w:color w:val="0E0E10"/>
          <w:sz w:val="21"/>
          <w:szCs w:val="21"/>
        </w:rPr>
        <w:t xml:space="preserve"> </w:t>
      </w:r>
      <w:r w:rsidRPr="003D0AE7">
        <w:rPr>
          <w:rFonts w:ascii="Abadi" w:hAnsi="Abadi" w:cs="*Arial-7123-Identity-H"/>
          <w:color w:val="0E0E10"/>
          <w:sz w:val="21"/>
          <w:szCs w:val="21"/>
        </w:rPr>
        <w:t>la respuesta al pliego de recomendaciones, para lo cual la evidencia aportada por</w:t>
      </w:r>
      <w:r>
        <w:rPr>
          <w:rFonts w:ascii="Abadi" w:hAnsi="Abadi" w:cs="*Arial-7123-Identity-H"/>
          <w:color w:val="0E0E10"/>
          <w:sz w:val="21"/>
          <w:szCs w:val="21"/>
        </w:rPr>
        <w:t xml:space="preserve"> </w:t>
      </w:r>
      <w:r w:rsidRPr="003D0AE7">
        <w:rPr>
          <w:rFonts w:ascii="Abadi" w:hAnsi="Abadi" w:cs="*Arial-7123-Identity-H"/>
          <w:color w:val="0E0E10"/>
          <w:sz w:val="21"/>
          <w:szCs w:val="21"/>
        </w:rPr>
        <w:t>el sujeto fiscalizado debe ser competente, pertinente, suficiente y relevante.</w:t>
      </w:r>
      <w:r>
        <w:rPr>
          <w:rFonts w:ascii="Abadi" w:hAnsi="Abadi" w:cs="*Arial-7123-Identity-H"/>
          <w:color w:val="0E0E10"/>
          <w:sz w:val="21"/>
          <w:szCs w:val="21"/>
        </w:rPr>
        <w:t xml:space="preserve"> </w:t>
      </w:r>
    </w:p>
    <w:p w14:paraId="4C722F47" w14:textId="77777777" w:rsidR="0016773C" w:rsidRDefault="0016773C" w:rsidP="0016773C">
      <w:pPr>
        <w:autoSpaceDE w:val="0"/>
        <w:autoSpaceDN w:val="0"/>
        <w:adjustRightInd w:val="0"/>
        <w:ind w:firstLine="708"/>
        <w:jc w:val="both"/>
        <w:rPr>
          <w:rFonts w:ascii="Abadi" w:hAnsi="Abadi" w:cs="*Arial-7123-Identity-H"/>
          <w:color w:val="0D0C0F"/>
          <w:sz w:val="21"/>
          <w:szCs w:val="21"/>
        </w:rPr>
      </w:pPr>
      <w:r w:rsidRPr="003D0AE7">
        <w:rPr>
          <w:rFonts w:ascii="Abadi" w:hAnsi="Abadi" w:cs="*Arial-7123-Identity-H"/>
          <w:color w:val="0D0C0F"/>
          <w:sz w:val="21"/>
          <w:szCs w:val="21"/>
        </w:rPr>
        <w:t>Respecto al objetivo y alcance de la auditoría se señala que de acuerdo a la</w:t>
      </w:r>
      <w:r>
        <w:rPr>
          <w:rFonts w:ascii="Abadi" w:hAnsi="Abadi" w:cs="*Arial-7123-Identity-H"/>
          <w:color w:val="0D0C0F"/>
          <w:sz w:val="21"/>
          <w:szCs w:val="21"/>
        </w:rPr>
        <w:t xml:space="preserve"> </w:t>
      </w:r>
      <w:r w:rsidRPr="003D0AE7">
        <w:rPr>
          <w:rFonts w:ascii="Abadi" w:hAnsi="Abadi" w:cs="*Arial-7123-Identity-H"/>
          <w:color w:val="0D0C0F"/>
          <w:sz w:val="21"/>
          <w:szCs w:val="21"/>
        </w:rPr>
        <w:t>Organización Internacional de las Entidades Fiscalizadoras Superiores, para las</w:t>
      </w:r>
      <w:r>
        <w:rPr>
          <w:rFonts w:ascii="Abadi" w:hAnsi="Abadi" w:cs="*Arial-7123-Identity-H"/>
          <w:color w:val="0D0C0F"/>
          <w:sz w:val="21"/>
          <w:szCs w:val="21"/>
        </w:rPr>
        <w:t xml:space="preserve"> </w:t>
      </w:r>
      <w:r w:rsidRPr="003D0AE7">
        <w:rPr>
          <w:rFonts w:ascii="Abadi" w:hAnsi="Abadi" w:cs="*Arial-7123-Identity-H"/>
          <w:color w:val="0D0C0F"/>
          <w:sz w:val="21"/>
          <w:szCs w:val="21"/>
        </w:rPr>
        <w:t>auditorías de desempeño existen tres enfoques que están orientados a los</w:t>
      </w:r>
      <w:r>
        <w:rPr>
          <w:rFonts w:ascii="Abadi" w:hAnsi="Abadi" w:cs="*Arial-7123-Identity-H"/>
          <w:color w:val="0D0C0F"/>
          <w:sz w:val="21"/>
          <w:szCs w:val="21"/>
        </w:rPr>
        <w:t xml:space="preserve"> </w:t>
      </w:r>
      <w:r w:rsidRPr="003D0AE7">
        <w:rPr>
          <w:rFonts w:ascii="Abadi" w:hAnsi="Abadi" w:cs="*Arial-7123-Identity-H"/>
          <w:color w:val="0D0C0F"/>
          <w:sz w:val="21"/>
          <w:szCs w:val="21"/>
        </w:rPr>
        <w:t>siguientes aspectos: Al sistema, el cual examina el funcionamiento adecuado de</w:t>
      </w:r>
      <w:r>
        <w:rPr>
          <w:rFonts w:ascii="Abadi" w:hAnsi="Abadi" w:cs="*Arial-7123-Identity-H"/>
          <w:color w:val="0D0C0F"/>
          <w:sz w:val="21"/>
          <w:szCs w:val="21"/>
        </w:rPr>
        <w:t xml:space="preserve"> </w:t>
      </w:r>
      <w:r w:rsidRPr="003D0AE7">
        <w:rPr>
          <w:rFonts w:ascii="Abadi" w:hAnsi="Abadi" w:cs="*Arial-7123-Identity-H"/>
          <w:color w:val="0D0C0F"/>
          <w:sz w:val="21"/>
          <w:szCs w:val="21"/>
        </w:rPr>
        <w:t>los sistemas de gestión; a los resultados, en el que se evalúa si los objetivos en</w:t>
      </w:r>
      <w:r>
        <w:rPr>
          <w:rFonts w:ascii="Abadi" w:hAnsi="Abadi" w:cs="*Arial-7123-Identity-H"/>
          <w:color w:val="0D0C0F"/>
          <w:sz w:val="21"/>
          <w:szCs w:val="21"/>
        </w:rPr>
        <w:t xml:space="preserve"> </w:t>
      </w:r>
      <w:r w:rsidRPr="003D0AE7">
        <w:rPr>
          <w:rFonts w:ascii="Abadi" w:hAnsi="Abadi" w:cs="*Arial-7123-Identity-H"/>
          <w:color w:val="0D0C0F"/>
          <w:sz w:val="21"/>
          <w:szCs w:val="21"/>
        </w:rPr>
        <w:t>términos de resultados o productos han sido alcanzados como se deseaba, o si</w:t>
      </w:r>
      <w:r>
        <w:rPr>
          <w:rFonts w:ascii="Abadi" w:hAnsi="Abadi" w:cs="*Arial-7123-Identity-H"/>
          <w:color w:val="0D0C0F"/>
          <w:sz w:val="21"/>
          <w:szCs w:val="21"/>
        </w:rPr>
        <w:t xml:space="preserve"> </w:t>
      </w:r>
      <w:r w:rsidRPr="003D0AE7">
        <w:rPr>
          <w:rFonts w:ascii="Abadi" w:hAnsi="Abadi" w:cs="*Arial-7123-Identity-H"/>
          <w:color w:val="0D0C0F"/>
          <w:sz w:val="21"/>
          <w:szCs w:val="21"/>
        </w:rPr>
        <w:t>los programas y servicios operan como se esperaba; y al problema, el cual</w:t>
      </w:r>
      <w:r>
        <w:rPr>
          <w:rFonts w:ascii="Abadi" w:hAnsi="Abadi" w:cs="*Arial-7123-Identity-H"/>
          <w:color w:val="0D0C0F"/>
          <w:sz w:val="21"/>
          <w:szCs w:val="21"/>
        </w:rPr>
        <w:t xml:space="preserve"> </w:t>
      </w:r>
      <w:r w:rsidRPr="003D0AE7">
        <w:rPr>
          <w:rFonts w:ascii="Abadi" w:hAnsi="Abadi" w:cs="*Arial-7123-Identity-H"/>
          <w:color w:val="0D0C0F"/>
          <w:sz w:val="21"/>
          <w:szCs w:val="21"/>
        </w:rPr>
        <w:t>examina, verifica y analiza las causas de los problemas particulares o</w:t>
      </w:r>
      <w:r>
        <w:rPr>
          <w:rFonts w:ascii="Abadi" w:hAnsi="Abadi" w:cs="*Arial-7123-Identity-H"/>
          <w:color w:val="0D0C0F"/>
          <w:sz w:val="21"/>
          <w:szCs w:val="21"/>
        </w:rPr>
        <w:t xml:space="preserve"> </w:t>
      </w:r>
      <w:r w:rsidRPr="003D0AE7">
        <w:rPr>
          <w:rFonts w:ascii="Abadi" w:hAnsi="Abadi" w:cs="*Arial-7123-Identity-H"/>
          <w:color w:val="0D0C0F"/>
          <w:sz w:val="21"/>
          <w:szCs w:val="21"/>
        </w:rPr>
        <w:t>desviaciones de los criterios establecidos.</w:t>
      </w:r>
    </w:p>
    <w:p w14:paraId="538C8BFC" w14:textId="77777777" w:rsidR="0016773C" w:rsidRPr="003D0AE7" w:rsidRDefault="0016773C" w:rsidP="0016773C">
      <w:pPr>
        <w:autoSpaceDE w:val="0"/>
        <w:autoSpaceDN w:val="0"/>
        <w:adjustRightInd w:val="0"/>
        <w:jc w:val="both"/>
        <w:rPr>
          <w:rFonts w:ascii="Abadi" w:hAnsi="Abadi" w:cs="*Arial-7123-Identity-H"/>
          <w:color w:val="0D0C0F"/>
          <w:sz w:val="21"/>
          <w:szCs w:val="21"/>
        </w:rPr>
      </w:pPr>
    </w:p>
    <w:p w14:paraId="51E3308A" w14:textId="77777777" w:rsidR="0016773C" w:rsidRDefault="0016773C" w:rsidP="0016773C">
      <w:pPr>
        <w:autoSpaceDE w:val="0"/>
        <w:autoSpaceDN w:val="0"/>
        <w:adjustRightInd w:val="0"/>
        <w:ind w:firstLine="708"/>
        <w:jc w:val="both"/>
        <w:rPr>
          <w:rFonts w:ascii="Abadi" w:hAnsi="Abadi" w:cs="*Arial-7123-Identity-H"/>
          <w:color w:val="0E0D10"/>
          <w:sz w:val="21"/>
          <w:szCs w:val="21"/>
        </w:rPr>
      </w:pPr>
      <w:r w:rsidRPr="003D0AE7">
        <w:rPr>
          <w:rFonts w:ascii="Abadi" w:hAnsi="Abadi" w:cs="*Arial-7123-Identity-H"/>
          <w:color w:val="0E0D10"/>
          <w:sz w:val="21"/>
          <w:szCs w:val="21"/>
        </w:rPr>
        <w:t>En las auditorías de desempeño practicadas por la Auditoría Superior del</w:t>
      </w:r>
      <w:r>
        <w:rPr>
          <w:rFonts w:ascii="Abadi" w:hAnsi="Abadi" w:cs="*Arial-7123-Identity-H"/>
          <w:color w:val="0E0D10"/>
          <w:sz w:val="21"/>
          <w:szCs w:val="21"/>
        </w:rPr>
        <w:t xml:space="preserve"> </w:t>
      </w:r>
      <w:r w:rsidRPr="003D0AE7">
        <w:rPr>
          <w:rFonts w:ascii="Abadi" w:hAnsi="Abadi" w:cs="*Arial-7123-Identity-H"/>
          <w:color w:val="0E0D10"/>
          <w:sz w:val="21"/>
          <w:szCs w:val="21"/>
        </w:rPr>
        <w:t>Estado se consideran dichos enfoques, mediante las auditorías de cumplimiento</w:t>
      </w:r>
      <w:r>
        <w:rPr>
          <w:rFonts w:ascii="Abadi" w:hAnsi="Abadi" w:cs="*Arial-7123-Identity-H"/>
          <w:color w:val="0E0D10"/>
          <w:sz w:val="21"/>
          <w:szCs w:val="21"/>
        </w:rPr>
        <w:t xml:space="preserve"> </w:t>
      </w:r>
      <w:r w:rsidRPr="003D0AE7">
        <w:rPr>
          <w:rFonts w:ascii="Abadi" w:hAnsi="Abadi" w:cs="*Arial-7123-Identity-H"/>
          <w:color w:val="0E0D10"/>
          <w:sz w:val="21"/>
          <w:szCs w:val="21"/>
        </w:rPr>
        <w:t>de objetivos o resultados, de diseño y de consistencia y resultados.</w:t>
      </w:r>
    </w:p>
    <w:p w14:paraId="13CA10DA" w14:textId="77777777" w:rsidR="0016773C" w:rsidRPr="003D0AE7" w:rsidRDefault="0016773C" w:rsidP="0016773C">
      <w:pPr>
        <w:autoSpaceDE w:val="0"/>
        <w:autoSpaceDN w:val="0"/>
        <w:adjustRightInd w:val="0"/>
        <w:jc w:val="both"/>
        <w:rPr>
          <w:rFonts w:ascii="Abadi" w:hAnsi="Abadi" w:cs="*Arial-7123-Identity-H"/>
          <w:color w:val="0E0D10"/>
          <w:sz w:val="21"/>
          <w:szCs w:val="21"/>
        </w:rPr>
      </w:pPr>
    </w:p>
    <w:p w14:paraId="49F53231" w14:textId="77777777" w:rsidR="0016773C" w:rsidRDefault="0016773C" w:rsidP="0016773C">
      <w:pPr>
        <w:autoSpaceDE w:val="0"/>
        <w:autoSpaceDN w:val="0"/>
        <w:adjustRightInd w:val="0"/>
        <w:ind w:firstLine="708"/>
        <w:jc w:val="both"/>
        <w:rPr>
          <w:rFonts w:ascii="Abadi" w:hAnsi="Abadi" w:cs="*Arial-7123-Identity-H"/>
          <w:color w:val="0C0C0F"/>
          <w:sz w:val="21"/>
          <w:szCs w:val="21"/>
        </w:rPr>
      </w:pPr>
      <w:r w:rsidRPr="003D0AE7">
        <w:rPr>
          <w:rFonts w:ascii="Abadi" w:hAnsi="Abadi" w:cs="*Arial-7123-Identity-H"/>
          <w:color w:val="0C0C0F"/>
          <w:sz w:val="21"/>
          <w:szCs w:val="21"/>
        </w:rPr>
        <w:t>En la auditoría que nos ocupa se aplicó un enfoque de resultados y se</w:t>
      </w:r>
      <w:r>
        <w:rPr>
          <w:rFonts w:ascii="Abadi" w:hAnsi="Abadi" w:cs="*Arial-7123-Identity-H"/>
          <w:color w:val="0C0C0F"/>
          <w:sz w:val="21"/>
          <w:szCs w:val="21"/>
        </w:rPr>
        <w:t xml:space="preserve"> </w:t>
      </w:r>
      <w:r w:rsidRPr="003D0AE7">
        <w:rPr>
          <w:rFonts w:ascii="Abadi" w:hAnsi="Abadi" w:cs="*Arial-7123-Identity-H"/>
          <w:color w:val="0C0C0F"/>
          <w:sz w:val="21"/>
          <w:szCs w:val="21"/>
        </w:rPr>
        <w:t>incluyó en el Programa General de Fiscalización 2021, considerando diversos</w:t>
      </w:r>
      <w:r>
        <w:rPr>
          <w:rFonts w:ascii="Abadi" w:hAnsi="Abadi" w:cs="*Arial-7123-Identity-H"/>
          <w:color w:val="0C0C0F"/>
          <w:sz w:val="21"/>
          <w:szCs w:val="21"/>
        </w:rPr>
        <w:t xml:space="preserve"> </w:t>
      </w:r>
      <w:r w:rsidRPr="003D0AE7">
        <w:rPr>
          <w:rFonts w:ascii="Abadi" w:hAnsi="Abadi" w:cs="*Arial-7123-Identity-H"/>
          <w:color w:val="0C0C0F"/>
          <w:sz w:val="21"/>
          <w:szCs w:val="21"/>
        </w:rPr>
        <w:t>criterios metodológicos expuestos en dicho Programa.</w:t>
      </w:r>
    </w:p>
    <w:p w14:paraId="5E936814" w14:textId="77777777" w:rsidR="0016773C" w:rsidRPr="003D0AE7" w:rsidRDefault="0016773C" w:rsidP="0016773C">
      <w:pPr>
        <w:autoSpaceDE w:val="0"/>
        <w:autoSpaceDN w:val="0"/>
        <w:adjustRightInd w:val="0"/>
        <w:jc w:val="both"/>
        <w:rPr>
          <w:rFonts w:ascii="Abadi" w:hAnsi="Abadi" w:cs="*Arial-7123-Identity-H"/>
          <w:color w:val="0C0C0F"/>
          <w:sz w:val="21"/>
          <w:szCs w:val="21"/>
        </w:rPr>
      </w:pPr>
    </w:p>
    <w:p w14:paraId="580C9EC8" w14:textId="77777777" w:rsidR="0016773C" w:rsidRDefault="0016773C" w:rsidP="0016773C">
      <w:pPr>
        <w:autoSpaceDE w:val="0"/>
        <w:autoSpaceDN w:val="0"/>
        <w:adjustRightInd w:val="0"/>
        <w:ind w:firstLine="708"/>
        <w:jc w:val="both"/>
        <w:rPr>
          <w:rFonts w:ascii="Abadi" w:hAnsi="Abadi" w:cs="*Arial-7123-Identity-H"/>
          <w:color w:val="0B0B0E"/>
          <w:sz w:val="21"/>
          <w:szCs w:val="21"/>
        </w:rPr>
      </w:pPr>
      <w:r w:rsidRPr="003D0AE7">
        <w:rPr>
          <w:rFonts w:ascii="Abadi" w:hAnsi="Abadi" w:cs="*Arial-7123-Identity-H"/>
          <w:color w:val="0B0B0E"/>
          <w:sz w:val="21"/>
          <w:szCs w:val="21"/>
        </w:rPr>
        <w:t>Dicha auditoria tuvo como objetivo general verificar la capacidad del</w:t>
      </w:r>
      <w:r>
        <w:rPr>
          <w:rFonts w:ascii="Abadi" w:hAnsi="Abadi" w:cs="*Arial-7123-Identity-H"/>
          <w:color w:val="0B0B0E"/>
          <w:sz w:val="21"/>
          <w:szCs w:val="21"/>
        </w:rPr>
        <w:t xml:space="preserve"> </w:t>
      </w:r>
      <w:r w:rsidRPr="003D0AE7">
        <w:rPr>
          <w:rFonts w:ascii="Abadi" w:hAnsi="Abadi" w:cs="*Arial-7123-Identity-H"/>
          <w:color w:val="0B0B0E"/>
          <w:sz w:val="21"/>
          <w:szCs w:val="21"/>
        </w:rPr>
        <w:t>Municipio para la prestación eficaz del servicio de alumbrado público y la eficiencia</w:t>
      </w:r>
      <w:r>
        <w:rPr>
          <w:rFonts w:ascii="Abadi" w:hAnsi="Abadi" w:cs="*Arial-7123-Identity-H"/>
          <w:color w:val="0B0B0E"/>
          <w:sz w:val="21"/>
          <w:szCs w:val="21"/>
        </w:rPr>
        <w:t xml:space="preserve"> </w:t>
      </w:r>
      <w:r w:rsidRPr="003D0AE7">
        <w:rPr>
          <w:rFonts w:ascii="Abadi" w:hAnsi="Abadi" w:cs="*Arial-7123-Identity-H"/>
          <w:color w:val="0B0B0E"/>
          <w:sz w:val="21"/>
          <w:szCs w:val="21"/>
        </w:rPr>
        <w:t>en sus funciones de planificación, operación y seguimiento.</w:t>
      </w:r>
      <w:r>
        <w:rPr>
          <w:rFonts w:ascii="Abadi" w:hAnsi="Abadi" w:cs="*Arial-7123-Identity-H"/>
          <w:color w:val="0B0B0E"/>
          <w:sz w:val="21"/>
          <w:szCs w:val="21"/>
        </w:rPr>
        <w:t xml:space="preserve"> </w:t>
      </w:r>
    </w:p>
    <w:p w14:paraId="77343E7D" w14:textId="77777777" w:rsidR="0016773C" w:rsidRDefault="0016773C" w:rsidP="0016773C">
      <w:pPr>
        <w:autoSpaceDE w:val="0"/>
        <w:autoSpaceDN w:val="0"/>
        <w:adjustRightInd w:val="0"/>
        <w:jc w:val="both"/>
        <w:rPr>
          <w:rFonts w:ascii="Abadi" w:hAnsi="Abadi" w:cs="*Arial-7123-Identity-H"/>
          <w:color w:val="0B0B0E"/>
          <w:sz w:val="21"/>
          <w:szCs w:val="21"/>
        </w:rPr>
      </w:pPr>
    </w:p>
    <w:p w14:paraId="02E15E0C" w14:textId="36C2B32E" w:rsidR="0016773C" w:rsidRDefault="0016773C" w:rsidP="00AC15DD">
      <w:pPr>
        <w:autoSpaceDE w:val="0"/>
        <w:autoSpaceDN w:val="0"/>
        <w:adjustRightInd w:val="0"/>
        <w:ind w:firstLine="708"/>
        <w:jc w:val="both"/>
        <w:rPr>
          <w:rFonts w:ascii="Abadi" w:hAnsi="Abadi" w:cs="*Arial-10456-Identity-H"/>
          <w:color w:val="0D0D10"/>
          <w:sz w:val="21"/>
          <w:szCs w:val="21"/>
        </w:rPr>
      </w:pPr>
      <w:r w:rsidRPr="003D0AE7">
        <w:rPr>
          <w:rFonts w:ascii="Abadi" w:hAnsi="Abadi" w:cs="*Arial-7123-Identity-H"/>
          <w:color w:val="0B0B0E"/>
          <w:sz w:val="21"/>
          <w:szCs w:val="21"/>
        </w:rPr>
        <w:t>En cuanto a la temporalidad, el alcance de la auditoría abarcó el periodo</w:t>
      </w:r>
      <w:r>
        <w:rPr>
          <w:rFonts w:ascii="Abadi" w:hAnsi="Abadi" w:cs="*Arial-7123-Identity-H"/>
          <w:color w:val="0B0B0E"/>
          <w:sz w:val="21"/>
          <w:szCs w:val="21"/>
        </w:rPr>
        <w:t xml:space="preserve"> </w:t>
      </w:r>
      <w:r w:rsidRPr="003D0AE7">
        <w:rPr>
          <w:rFonts w:ascii="Abadi" w:hAnsi="Abadi" w:cs="*Arial-7123-Identity-H"/>
          <w:color w:val="0B0B0E"/>
          <w:sz w:val="21"/>
          <w:szCs w:val="21"/>
        </w:rPr>
        <w:t>comprendido de enero a diciembre del ejercicio fiscal 2020; asimismo, respecto a</w:t>
      </w:r>
      <w:r>
        <w:rPr>
          <w:rFonts w:ascii="Abadi" w:hAnsi="Abadi" w:cs="*Arial-7123-Identity-H"/>
          <w:color w:val="0B0B0E"/>
          <w:sz w:val="21"/>
          <w:szCs w:val="21"/>
        </w:rPr>
        <w:t xml:space="preserve"> </w:t>
      </w:r>
      <w:r w:rsidRPr="003D0AE7">
        <w:rPr>
          <w:rFonts w:ascii="Abadi" w:hAnsi="Abadi" w:cs="*Arial-7123-Identity-H"/>
          <w:color w:val="0B0B0E"/>
          <w:sz w:val="21"/>
          <w:szCs w:val="21"/>
        </w:rPr>
        <w:t>la profundidad temática se revisó la eficiencia en la gestión de la información que</w:t>
      </w:r>
      <w:r>
        <w:rPr>
          <w:rFonts w:ascii="Abadi" w:hAnsi="Abadi" w:cs="*Arial-7123-Identity-H"/>
          <w:color w:val="0B0B0E"/>
          <w:sz w:val="21"/>
          <w:szCs w:val="21"/>
        </w:rPr>
        <w:t xml:space="preserve"> </w:t>
      </w:r>
      <w:r w:rsidRPr="003D0AE7">
        <w:rPr>
          <w:rFonts w:ascii="Abadi" w:hAnsi="Abadi" w:cs="*Arial-7123-Identity-H"/>
          <w:color w:val="0B0B0E"/>
          <w:sz w:val="21"/>
          <w:szCs w:val="21"/>
        </w:rPr>
        <w:t>dispone el Municipio para identificar la estimación tanto de la oferta del servicio de</w:t>
      </w:r>
      <w:r>
        <w:rPr>
          <w:rFonts w:ascii="Abadi" w:hAnsi="Abadi" w:cs="*Arial-7123-Identity-H"/>
          <w:color w:val="0B0B0E"/>
          <w:sz w:val="21"/>
          <w:szCs w:val="21"/>
        </w:rPr>
        <w:t xml:space="preserve"> </w:t>
      </w:r>
      <w:r w:rsidRPr="003D0AE7">
        <w:rPr>
          <w:rFonts w:ascii="Abadi" w:hAnsi="Abadi" w:cs="*Arial-7123-Identity-H"/>
          <w:color w:val="0B0B0E"/>
          <w:sz w:val="21"/>
          <w:szCs w:val="21"/>
        </w:rPr>
        <w:t>alumbrado público como de los recursos necesarios para su implementación;</w:t>
      </w:r>
      <w:r>
        <w:rPr>
          <w:rFonts w:ascii="Abadi" w:hAnsi="Abadi" w:cs="*Arial-7123-Identity-H"/>
          <w:color w:val="0B0B0E"/>
          <w:sz w:val="21"/>
          <w:szCs w:val="21"/>
        </w:rPr>
        <w:t xml:space="preserve"> </w:t>
      </w:r>
      <w:r w:rsidRPr="003D0AE7">
        <w:rPr>
          <w:rFonts w:ascii="Abadi" w:hAnsi="Abadi" w:cs="*Arial-7123-Identity-H"/>
          <w:color w:val="0B0B0E"/>
          <w:sz w:val="21"/>
          <w:szCs w:val="21"/>
        </w:rPr>
        <w:t>sobre el estado que guarda la organización del Municipio para brindar el servicio</w:t>
      </w:r>
      <w:r>
        <w:rPr>
          <w:rFonts w:ascii="Abadi" w:hAnsi="Abadi" w:cs="*Arial-7123-Identity-H"/>
          <w:color w:val="0B0B0E"/>
          <w:sz w:val="21"/>
          <w:szCs w:val="21"/>
        </w:rPr>
        <w:t xml:space="preserve"> </w:t>
      </w:r>
      <w:r w:rsidRPr="003D0AE7">
        <w:rPr>
          <w:rFonts w:ascii="Abadi" w:hAnsi="Abadi" w:cs="*Arial-7123-Identity-H"/>
          <w:color w:val="0B0B0E"/>
          <w:sz w:val="21"/>
          <w:szCs w:val="21"/>
        </w:rPr>
        <w:t>de alumbrado público y la gestión de la calidad sobre sus procesos clave; y el uso</w:t>
      </w:r>
      <w:r>
        <w:rPr>
          <w:rFonts w:ascii="Abadi" w:hAnsi="Abadi" w:cs="*Arial-7123-Identity-H"/>
          <w:color w:val="0B0B0E"/>
          <w:sz w:val="21"/>
          <w:szCs w:val="21"/>
        </w:rPr>
        <w:t xml:space="preserve"> </w:t>
      </w:r>
      <w:r w:rsidRPr="003D0AE7">
        <w:rPr>
          <w:rFonts w:ascii="Abadi" w:hAnsi="Abadi" w:cs="*Arial-7123-Identity-H"/>
          <w:color w:val="0B0B0E"/>
          <w:sz w:val="21"/>
          <w:szCs w:val="21"/>
        </w:rPr>
        <w:t>de herramientas para la planificación operativa y el seguimiento de las actividades</w:t>
      </w:r>
      <w:r>
        <w:rPr>
          <w:rFonts w:ascii="Abadi" w:hAnsi="Abadi" w:cs="*Arial-7123-Identity-H"/>
          <w:color w:val="0B0B0E"/>
          <w:sz w:val="21"/>
          <w:szCs w:val="21"/>
        </w:rPr>
        <w:t xml:space="preserve"> </w:t>
      </w:r>
      <w:r w:rsidRPr="003D0AE7">
        <w:rPr>
          <w:rFonts w:ascii="Abadi" w:hAnsi="Abadi" w:cs="*Arial-7123-Identity-H"/>
          <w:color w:val="0B0B0E"/>
          <w:sz w:val="21"/>
          <w:szCs w:val="21"/>
        </w:rPr>
        <w:t xml:space="preserve">vinculadas a la atención de reportes por fallas en el servicio. </w:t>
      </w:r>
      <w:r w:rsidR="00EA3B68" w:rsidRPr="003D0AE7">
        <w:rPr>
          <w:rFonts w:ascii="Abadi" w:hAnsi="Abadi" w:cs="*Arial-7123-Identity-H"/>
          <w:color w:val="0B0B0E"/>
          <w:sz w:val="21"/>
          <w:szCs w:val="21"/>
        </w:rPr>
        <w:t>Así</w:t>
      </w:r>
      <w:r w:rsidRPr="003D0AE7">
        <w:rPr>
          <w:rFonts w:ascii="Abadi" w:hAnsi="Abadi" w:cs="*Arial-7123-Identity-H"/>
          <w:color w:val="0B0B0E"/>
          <w:sz w:val="21"/>
          <w:szCs w:val="21"/>
        </w:rPr>
        <w:t xml:space="preserve"> como, la eficacia</w:t>
      </w:r>
      <w:r>
        <w:rPr>
          <w:rFonts w:ascii="Abadi" w:hAnsi="Abadi" w:cs="*Arial-7123-Identity-H"/>
          <w:color w:val="0B0B0E"/>
          <w:sz w:val="21"/>
          <w:szCs w:val="21"/>
        </w:rPr>
        <w:t xml:space="preserve"> </w:t>
      </w:r>
      <w:r w:rsidRPr="003D0AE7">
        <w:rPr>
          <w:rFonts w:ascii="Abadi" w:hAnsi="Abadi" w:cs="*Arial-7123-Identity-H"/>
          <w:color w:val="0B0B0E"/>
          <w:sz w:val="21"/>
          <w:szCs w:val="21"/>
        </w:rPr>
        <w:t>en los resultados de la capacidad municipal en la prestación del servicio de</w:t>
      </w:r>
      <w:r>
        <w:rPr>
          <w:rFonts w:ascii="Abadi" w:hAnsi="Abadi" w:cs="*Arial-7123-Identity-H"/>
          <w:color w:val="0B0B0E"/>
          <w:sz w:val="21"/>
          <w:szCs w:val="21"/>
        </w:rPr>
        <w:t xml:space="preserve"> </w:t>
      </w:r>
      <w:r w:rsidRPr="003D0AE7">
        <w:rPr>
          <w:rFonts w:ascii="Abadi" w:hAnsi="Abadi" w:cs="*Arial-7123-Identity-H"/>
          <w:color w:val="0B0B0E"/>
          <w:sz w:val="21"/>
          <w:szCs w:val="21"/>
        </w:rPr>
        <w:t>alumbrado público en el ejercicio 2020 a partir del grado de funcionamiento de las</w:t>
      </w:r>
      <w:r>
        <w:rPr>
          <w:rFonts w:ascii="Abadi" w:hAnsi="Abadi" w:cs="*Arial-7123-Identity-H"/>
          <w:color w:val="0B0B0E"/>
          <w:sz w:val="21"/>
          <w:szCs w:val="21"/>
        </w:rPr>
        <w:t xml:space="preserve"> </w:t>
      </w:r>
      <w:r w:rsidRPr="003D0AE7">
        <w:rPr>
          <w:rFonts w:ascii="Abadi" w:hAnsi="Abadi" w:cs="*Arial-7123-Identity-H"/>
          <w:color w:val="0B0B0E"/>
          <w:sz w:val="21"/>
          <w:szCs w:val="21"/>
        </w:rPr>
        <w:t>luminarias que lo conforman, la cobertura lograda y la satisfacción ciudadana</w:t>
      </w:r>
      <w:r w:rsidR="00AC15DD">
        <w:rPr>
          <w:rFonts w:ascii="Abadi" w:hAnsi="Abadi" w:cs="*Arial-7123-Identity-H"/>
          <w:color w:val="0B0B0E"/>
          <w:sz w:val="21"/>
          <w:szCs w:val="21"/>
        </w:rPr>
        <w:t xml:space="preserve"> </w:t>
      </w:r>
      <w:r w:rsidRPr="003D0AE7">
        <w:rPr>
          <w:rFonts w:ascii="Abadi" w:hAnsi="Abadi" w:cs="*Arial-10456-Identity-H"/>
          <w:color w:val="0D0D10"/>
          <w:sz w:val="21"/>
          <w:szCs w:val="21"/>
        </w:rPr>
        <w:t>sobre el servicio, y de la relevancia y suficiencia de los mecanismos que permiten</w:t>
      </w:r>
      <w:r>
        <w:rPr>
          <w:rFonts w:ascii="Abadi" w:hAnsi="Abadi" w:cs="*Arial-10456-Identity-H"/>
          <w:color w:val="0D0D10"/>
          <w:sz w:val="21"/>
          <w:szCs w:val="21"/>
        </w:rPr>
        <w:t xml:space="preserve"> </w:t>
      </w:r>
      <w:r w:rsidRPr="003D0AE7">
        <w:rPr>
          <w:rFonts w:ascii="Abadi" w:hAnsi="Abadi" w:cs="*Arial-10456-Identity-H"/>
          <w:color w:val="0D0D10"/>
          <w:sz w:val="21"/>
          <w:szCs w:val="21"/>
        </w:rPr>
        <w:t>monitorear el desempeño y los resultados del servicio.</w:t>
      </w:r>
      <w:r>
        <w:rPr>
          <w:rFonts w:ascii="Abadi" w:hAnsi="Abadi" w:cs="*Arial-10456-Identity-H"/>
          <w:color w:val="0D0D10"/>
          <w:sz w:val="21"/>
          <w:szCs w:val="21"/>
        </w:rPr>
        <w:t xml:space="preserve"> </w:t>
      </w:r>
    </w:p>
    <w:p w14:paraId="1AE1A8AF" w14:textId="77777777" w:rsidR="0016773C" w:rsidRDefault="0016773C" w:rsidP="0016773C">
      <w:pPr>
        <w:autoSpaceDE w:val="0"/>
        <w:autoSpaceDN w:val="0"/>
        <w:adjustRightInd w:val="0"/>
        <w:jc w:val="both"/>
        <w:rPr>
          <w:rFonts w:ascii="Abadi" w:hAnsi="Abadi" w:cs="*Arial-10456-Identity-H"/>
          <w:color w:val="0D0D10"/>
          <w:sz w:val="21"/>
          <w:szCs w:val="21"/>
        </w:rPr>
      </w:pPr>
    </w:p>
    <w:p w14:paraId="5E110F80" w14:textId="77777777" w:rsidR="0016773C" w:rsidRDefault="0016773C" w:rsidP="0016773C">
      <w:pPr>
        <w:autoSpaceDE w:val="0"/>
        <w:autoSpaceDN w:val="0"/>
        <w:adjustRightInd w:val="0"/>
        <w:ind w:firstLine="708"/>
        <w:jc w:val="both"/>
        <w:rPr>
          <w:rFonts w:ascii="Abadi" w:hAnsi="Abadi" w:cs="*Arial-10456-Identity-H"/>
          <w:color w:val="0D0D10"/>
          <w:sz w:val="21"/>
          <w:szCs w:val="21"/>
        </w:rPr>
      </w:pPr>
      <w:r w:rsidRPr="003D0AE7">
        <w:rPr>
          <w:rFonts w:ascii="Abadi" w:hAnsi="Abadi" w:cs="*Arial-10456-Identity-H"/>
          <w:color w:val="0D0D10"/>
          <w:sz w:val="21"/>
          <w:szCs w:val="21"/>
        </w:rPr>
        <w:t>Respecto a los antecedentes del proceso de fiscalización, estos ya se</w:t>
      </w:r>
      <w:r>
        <w:rPr>
          <w:rFonts w:ascii="Abadi" w:hAnsi="Abadi" w:cs="*Arial-10456-Identity-H"/>
          <w:color w:val="0D0D10"/>
          <w:sz w:val="21"/>
          <w:szCs w:val="21"/>
        </w:rPr>
        <w:t xml:space="preserve"> </w:t>
      </w:r>
      <w:r w:rsidRPr="003D0AE7">
        <w:rPr>
          <w:rFonts w:ascii="Abadi" w:hAnsi="Abadi" w:cs="*Arial-10456-Identity-H"/>
          <w:color w:val="0D0D10"/>
          <w:sz w:val="21"/>
          <w:szCs w:val="21"/>
        </w:rPr>
        <w:t>detallaron en el apartado correspondiente.</w:t>
      </w:r>
    </w:p>
    <w:p w14:paraId="4F8C8EBF" w14:textId="77777777" w:rsidR="0016773C" w:rsidRPr="003D0AE7" w:rsidRDefault="0016773C" w:rsidP="0016773C">
      <w:pPr>
        <w:autoSpaceDE w:val="0"/>
        <w:autoSpaceDN w:val="0"/>
        <w:adjustRightInd w:val="0"/>
        <w:jc w:val="both"/>
        <w:rPr>
          <w:rFonts w:ascii="Abadi" w:hAnsi="Abadi" w:cs="*Arial-10456-Identity-H"/>
          <w:color w:val="0D0D10"/>
          <w:sz w:val="21"/>
          <w:szCs w:val="21"/>
        </w:rPr>
      </w:pPr>
    </w:p>
    <w:p w14:paraId="5E4D08C8" w14:textId="77777777" w:rsidR="0016773C" w:rsidRDefault="0016773C" w:rsidP="0016773C">
      <w:pPr>
        <w:autoSpaceDE w:val="0"/>
        <w:autoSpaceDN w:val="0"/>
        <w:adjustRightInd w:val="0"/>
        <w:ind w:firstLine="708"/>
        <w:jc w:val="both"/>
        <w:rPr>
          <w:rFonts w:ascii="Abadi" w:hAnsi="Abadi" w:cs="*Arial-10456-Identity-H"/>
          <w:color w:val="0D0C0F"/>
          <w:sz w:val="21"/>
          <w:szCs w:val="21"/>
        </w:rPr>
      </w:pPr>
      <w:r w:rsidRPr="003D0AE7">
        <w:rPr>
          <w:rFonts w:ascii="Abadi" w:hAnsi="Abadi" w:cs="*Arial-10456-Identity-H"/>
          <w:color w:val="0D0C0F"/>
          <w:sz w:val="21"/>
          <w:szCs w:val="21"/>
        </w:rPr>
        <w:t>En cuanto al contexto de la política pública de la materia a auditar, se</w:t>
      </w:r>
      <w:r>
        <w:rPr>
          <w:rFonts w:ascii="Abadi" w:hAnsi="Abadi" w:cs="*Arial-10456-Identity-H"/>
          <w:color w:val="0D0C0F"/>
          <w:sz w:val="21"/>
          <w:szCs w:val="21"/>
        </w:rPr>
        <w:t xml:space="preserve"> </w:t>
      </w:r>
      <w:r w:rsidRPr="003D0AE7">
        <w:rPr>
          <w:rFonts w:ascii="Abadi" w:hAnsi="Abadi" w:cs="*Arial-10456-Identity-H"/>
          <w:color w:val="0D0C0F"/>
          <w:sz w:val="21"/>
          <w:szCs w:val="21"/>
        </w:rPr>
        <w:t>refiere que el Municipio libre es la base de la división territorial del Estado, de su</w:t>
      </w:r>
      <w:r>
        <w:rPr>
          <w:rFonts w:ascii="Abadi" w:hAnsi="Abadi" w:cs="*Arial-10456-Identity-H"/>
          <w:color w:val="0D0C0F"/>
          <w:sz w:val="21"/>
          <w:szCs w:val="21"/>
        </w:rPr>
        <w:t xml:space="preserve"> </w:t>
      </w:r>
      <w:r w:rsidRPr="003D0AE7">
        <w:rPr>
          <w:rFonts w:ascii="Abadi" w:hAnsi="Abadi" w:cs="*Arial-10456-Identity-H"/>
          <w:color w:val="0D0C0F"/>
          <w:sz w:val="21"/>
          <w:szCs w:val="21"/>
        </w:rPr>
        <w:t>organización política y administrativa, y como principio de legalidad la autoridad</w:t>
      </w:r>
      <w:r>
        <w:rPr>
          <w:rFonts w:ascii="Abadi" w:hAnsi="Abadi" w:cs="*Arial-10456-Identity-H"/>
          <w:color w:val="0D0C0F"/>
          <w:sz w:val="21"/>
          <w:szCs w:val="21"/>
        </w:rPr>
        <w:t xml:space="preserve"> </w:t>
      </w:r>
      <w:r w:rsidRPr="003D0AE7">
        <w:rPr>
          <w:rFonts w:ascii="Abadi" w:hAnsi="Abadi" w:cs="*Arial-10456-Identity-H"/>
          <w:color w:val="0D0C0F"/>
          <w:sz w:val="21"/>
          <w:szCs w:val="21"/>
        </w:rPr>
        <w:t>municipal puede hacer únicamente lo que la ley le concede, encontrándose dentro</w:t>
      </w:r>
      <w:r>
        <w:rPr>
          <w:rFonts w:ascii="Abadi" w:hAnsi="Abadi" w:cs="*Arial-10456-Identity-H"/>
          <w:color w:val="0D0C0F"/>
          <w:sz w:val="21"/>
          <w:szCs w:val="21"/>
        </w:rPr>
        <w:t xml:space="preserve"> </w:t>
      </w:r>
      <w:r w:rsidRPr="003D0AE7">
        <w:rPr>
          <w:rFonts w:ascii="Abadi" w:hAnsi="Abadi" w:cs="*Arial-10456-Identity-H"/>
          <w:color w:val="0D0C0F"/>
          <w:sz w:val="21"/>
          <w:szCs w:val="21"/>
        </w:rPr>
        <w:t>de sus atribuciones la de otorgar los servicios públicos al Municipio.</w:t>
      </w:r>
    </w:p>
    <w:p w14:paraId="4C56C0DD" w14:textId="77777777" w:rsidR="0016773C" w:rsidRPr="003D0AE7" w:rsidRDefault="0016773C" w:rsidP="0016773C">
      <w:pPr>
        <w:autoSpaceDE w:val="0"/>
        <w:autoSpaceDN w:val="0"/>
        <w:adjustRightInd w:val="0"/>
        <w:jc w:val="both"/>
        <w:rPr>
          <w:rFonts w:ascii="Abadi" w:hAnsi="Abadi" w:cs="*Arial-10456-Identity-H"/>
          <w:color w:val="0D0C0F"/>
          <w:sz w:val="21"/>
          <w:szCs w:val="21"/>
        </w:rPr>
      </w:pPr>
    </w:p>
    <w:p w14:paraId="3731C0D1" w14:textId="22746832" w:rsidR="0016773C" w:rsidRDefault="0016773C" w:rsidP="0016773C">
      <w:pPr>
        <w:autoSpaceDE w:val="0"/>
        <w:autoSpaceDN w:val="0"/>
        <w:adjustRightInd w:val="0"/>
        <w:ind w:firstLine="708"/>
        <w:jc w:val="both"/>
        <w:rPr>
          <w:rFonts w:ascii="Abadi" w:hAnsi="Abadi" w:cs="*Times New Roman-Italic-10454-I"/>
          <w:i/>
          <w:iCs/>
          <w:color w:val="0D0D0F"/>
          <w:sz w:val="21"/>
          <w:szCs w:val="21"/>
        </w:rPr>
      </w:pPr>
      <w:r w:rsidRPr="003D0AE7">
        <w:rPr>
          <w:rFonts w:ascii="Abadi" w:hAnsi="Abadi" w:cs="*Arial-10456-Identity-H"/>
          <w:color w:val="0D0D0F"/>
          <w:sz w:val="21"/>
          <w:szCs w:val="21"/>
        </w:rPr>
        <w:t xml:space="preserve">También se precisa que el servicio público </w:t>
      </w:r>
      <w:r w:rsidRPr="003D0AE7">
        <w:rPr>
          <w:rFonts w:ascii="Abadi" w:hAnsi="Abadi" w:cs="*Arial-Italic-10457-Identity-H"/>
          <w:i/>
          <w:iCs/>
          <w:color w:val="0D0D0F"/>
          <w:sz w:val="21"/>
          <w:szCs w:val="21"/>
        </w:rPr>
        <w:t>«es la institución jurídica</w:t>
      </w:r>
      <w:r>
        <w:rPr>
          <w:rFonts w:ascii="Abadi" w:hAnsi="Abadi" w:cs="*Arial-Italic-10457-Identity-H"/>
          <w:i/>
          <w:iCs/>
          <w:color w:val="0D0D0F"/>
          <w:sz w:val="21"/>
          <w:szCs w:val="21"/>
        </w:rPr>
        <w:t xml:space="preserve"> </w:t>
      </w:r>
      <w:r w:rsidRPr="003D0AE7">
        <w:rPr>
          <w:rFonts w:ascii="Abadi" w:hAnsi="Abadi" w:cs="*Arial-Italic-10457-Identity-H"/>
          <w:i/>
          <w:iCs/>
          <w:color w:val="0D0D0F"/>
          <w:sz w:val="21"/>
          <w:szCs w:val="21"/>
        </w:rPr>
        <w:t>administrativa en la que el titular es el Estado (municipio) y cuya única finalidad</w:t>
      </w:r>
      <w:r>
        <w:rPr>
          <w:rFonts w:ascii="Abadi" w:hAnsi="Abadi" w:cs="*Arial-Italic-10457-Identity-H"/>
          <w:i/>
          <w:iCs/>
          <w:color w:val="0D0D0F"/>
          <w:sz w:val="21"/>
          <w:szCs w:val="21"/>
        </w:rPr>
        <w:t xml:space="preserve"> </w:t>
      </w:r>
      <w:r w:rsidRPr="003D0AE7">
        <w:rPr>
          <w:rFonts w:ascii="Abadi" w:hAnsi="Abadi" w:cs="*Arial-Italic-10457-Identity-H"/>
          <w:i/>
          <w:iCs/>
          <w:color w:val="0D0D0F"/>
          <w:sz w:val="21"/>
          <w:szCs w:val="21"/>
        </w:rPr>
        <w:t>consiste en satisfacer de manera regular, continua y uniforme necesidades</w:t>
      </w:r>
      <w:r>
        <w:rPr>
          <w:rFonts w:ascii="Abadi" w:hAnsi="Abadi" w:cs="*Arial-Italic-10457-Identity-H"/>
          <w:i/>
          <w:iCs/>
          <w:color w:val="0D0D0F"/>
          <w:sz w:val="21"/>
          <w:szCs w:val="21"/>
        </w:rPr>
        <w:t xml:space="preserve"> </w:t>
      </w:r>
      <w:r w:rsidRPr="003D0AE7">
        <w:rPr>
          <w:rFonts w:ascii="Abadi" w:hAnsi="Abadi" w:cs="*Arial-Italic-10457-Identity-H"/>
          <w:i/>
          <w:iCs/>
          <w:color w:val="0D0D0F"/>
          <w:sz w:val="21"/>
          <w:szCs w:val="21"/>
        </w:rPr>
        <w:t xml:space="preserve">públicas de carácter esencial, básico o fundamental; se concreta </w:t>
      </w:r>
      <w:r w:rsidRPr="003D0AE7">
        <w:rPr>
          <w:rFonts w:ascii="Abadi" w:hAnsi="Abadi" w:cs="*Arial-10456-Identity-H"/>
          <w:color w:val="0D0D0F"/>
          <w:sz w:val="21"/>
          <w:szCs w:val="21"/>
        </w:rPr>
        <w:t xml:space="preserve">a </w:t>
      </w:r>
      <w:r w:rsidRPr="003D0AE7">
        <w:rPr>
          <w:rFonts w:ascii="Abadi" w:hAnsi="Abadi" w:cs="*Arial-Italic-10457-Identity-H"/>
          <w:i/>
          <w:iCs/>
          <w:color w:val="0D0D0F"/>
          <w:sz w:val="21"/>
          <w:szCs w:val="21"/>
        </w:rPr>
        <w:t>través de las</w:t>
      </w:r>
      <w:r>
        <w:rPr>
          <w:rFonts w:ascii="Abadi" w:hAnsi="Abadi" w:cs="*Arial-Italic-10457-Identity-H"/>
          <w:i/>
          <w:iCs/>
          <w:color w:val="0D0D0F"/>
          <w:sz w:val="21"/>
          <w:szCs w:val="21"/>
        </w:rPr>
        <w:t xml:space="preserve"> </w:t>
      </w:r>
      <w:r w:rsidRPr="003D0AE7">
        <w:rPr>
          <w:rFonts w:ascii="Abadi" w:hAnsi="Abadi" w:cs="*Arial-Italic-10457-Identity-H"/>
          <w:i/>
          <w:iCs/>
          <w:color w:val="0D0D0F"/>
          <w:sz w:val="21"/>
          <w:szCs w:val="21"/>
        </w:rPr>
        <w:t>prestaciones individualizadas las cuales podrán ser suministradas directamente</w:t>
      </w:r>
      <w:r>
        <w:rPr>
          <w:rFonts w:ascii="Abadi" w:hAnsi="Abadi" w:cs="*Arial-Italic-10457-Identity-H"/>
          <w:i/>
          <w:iCs/>
          <w:color w:val="0D0D0F"/>
          <w:sz w:val="21"/>
          <w:szCs w:val="21"/>
        </w:rPr>
        <w:t xml:space="preserve"> </w:t>
      </w:r>
      <w:r w:rsidRPr="003D0AE7">
        <w:rPr>
          <w:rFonts w:ascii="Abadi" w:hAnsi="Abadi" w:cs="*Arial-Italic-10457-Identity-H"/>
          <w:i/>
          <w:iCs/>
          <w:color w:val="0D0D0F"/>
          <w:sz w:val="21"/>
          <w:szCs w:val="21"/>
        </w:rPr>
        <w:t>por el Estado (municipio) o por los particulares mediante concesión. Por su</w:t>
      </w:r>
      <w:r>
        <w:rPr>
          <w:rFonts w:ascii="Abadi" w:hAnsi="Abadi" w:cs="*Arial-Italic-10457-Identity-H"/>
          <w:i/>
          <w:iCs/>
          <w:color w:val="0D0D0F"/>
          <w:sz w:val="21"/>
          <w:szCs w:val="21"/>
        </w:rPr>
        <w:t xml:space="preserve"> </w:t>
      </w:r>
      <w:r w:rsidRPr="003D0AE7">
        <w:rPr>
          <w:rFonts w:ascii="Abadi" w:hAnsi="Abadi" w:cs="*Arial-Italic-10457-Identity-H"/>
          <w:i/>
          <w:iCs/>
          <w:color w:val="0D0D0F"/>
          <w:sz w:val="21"/>
          <w:szCs w:val="21"/>
        </w:rPr>
        <w:t xml:space="preserve">naturaleza, estará sujeta a normas </w:t>
      </w:r>
      <w:r w:rsidRPr="003D0AE7">
        <w:rPr>
          <w:rFonts w:ascii="Abadi" w:hAnsi="Abadi" w:cs="*Arial-Italic-10458-Identity-H"/>
          <w:i/>
          <w:iCs/>
          <w:color w:val="0D0D0F"/>
          <w:sz w:val="21"/>
          <w:szCs w:val="21"/>
        </w:rPr>
        <w:t xml:space="preserve">y </w:t>
      </w:r>
      <w:r w:rsidRPr="003D0AE7">
        <w:rPr>
          <w:rFonts w:ascii="Abadi" w:hAnsi="Abadi" w:cs="*Arial-Italic-10457-Identity-H"/>
          <w:i/>
          <w:iCs/>
          <w:color w:val="0D0D0F"/>
          <w:sz w:val="21"/>
          <w:szCs w:val="21"/>
        </w:rPr>
        <w:t xml:space="preserve">principios de derecho público». </w:t>
      </w:r>
      <w:r w:rsidR="00DD078E">
        <w:rPr>
          <w:rStyle w:val="Refdenotaalpie"/>
          <w:rFonts w:ascii="Abadi" w:hAnsi="Abadi" w:cs="*Arial-Italic-10457-Identity-H"/>
          <w:i/>
          <w:iCs/>
          <w:color w:val="0D0D0F"/>
          <w:sz w:val="21"/>
          <w:szCs w:val="21"/>
        </w:rPr>
        <w:footnoteReference w:id="46"/>
      </w:r>
    </w:p>
    <w:p w14:paraId="0ABEE64C" w14:textId="77777777" w:rsidR="0016773C" w:rsidRPr="003D0AE7" w:rsidRDefault="0016773C" w:rsidP="0016773C">
      <w:pPr>
        <w:autoSpaceDE w:val="0"/>
        <w:autoSpaceDN w:val="0"/>
        <w:adjustRightInd w:val="0"/>
        <w:jc w:val="both"/>
        <w:rPr>
          <w:rFonts w:ascii="Abadi" w:hAnsi="Abadi" w:cs="*Times New Roman-Italic-10454-I"/>
          <w:i/>
          <w:iCs/>
          <w:color w:val="0D0D0F"/>
          <w:sz w:val="21"/>
          <w:szCs w:val="21"/>
        </w:rPr>
      </w:pPr>
    </w:p>
    <w:p w14:paraId="5895B951" w14:textId="77777777" w:rsidR="0016773C" w:rsidRDefault="0016773C" w:rsidP="0016773C">
      <w:pPr>
        <w:autoSpaceDE w:val="0"/>
        <w:autoSpaceDN w:val="0"/>
        <w:adjustRightInd w:val="0"/>
        <w:ind w:firstLine="708"/>
        <w:jc w:val="both"/>
        <w:rPr>
          <w:rFonts w:ascii="Abadi" w:hAnsi="Abadi" w:cs="*Arial-10456-Identity-H"/>
          <w:color w:val="0C0C0F"/>
          <w:sz w:val="21"/>
          <w:szCs w:val="21"/>
        </w:rPr>
      </w:pPr>
      <w:r w:rsidRPr="003D0AE7">
        <w:rPr>
          <w:rFonts w:ascii="Abadi" w:hAnsi="Abadi" w:cs="*Arial-10456-Identity-H"/>
          <w:color w:val="0C0C0F"/>
          <w:sz w:val="21"/>
          <w:szCs w:val="21"/>
        </w:rPr>
        <w:t>Por su parte, la Constitución Política de los Estados Unidos Mexicanos</w:t>
      </w:r>
      <w:r>
        <w:rPr>
          <w:rFonts w:ascii="Abadi" w:hAnsi="Abadi" w:cs="*Arial-10456-Identity-H"/>
          <w:color w:val="0C0C0F"/>
          <w:sz w:val="21"/>
          <w:szCs w:val="21"/>
        </w:rPr>
        <w:t xml:space="preserve"> </w:t>
      </w:r>
      <w:r w:rsidRPr="003D0AE7">
        <w:rPr>
          <w:rFonts w:ascii="Abadi" w:hAnsi="Abadi" w:cs="*Arial-10456-Identity-H"/>
          <w:color w:val="0C0C0F"/>
          <w:sz w:val="21"/>
          <w:szCs w:val="21"/>
        </w:rPr>
        <w:t>establece en términos generales en su artículo 115 la base del municipio a través</w:t>
      </w:r>
      <w:r>
        <w:rPr>
          <w:rFonts w:ascii="Abadi" w:hAnsi="Abadi" w:cs="*Arial-10456-Identity-H"/>
          <w:color w:val="0C0C0F"/>
          <w:sz w:val="21"/>
          <w:szCs w:val="21"/>
        </w:rPr>
        <w:t xml:space="preserve"> </w:t>
      </w:r>
      <w:r w:rsidRPr="003D0AE7">
        <w:rPr>
          <w:rFonts w:ascii="Abadi" w:hAnsi="Abadi" w:cs="*Arial-10456-Identity-H"/>
          <w:color w:val="0C0C0F"/>
          <w:sz w:val="21"/>
          <w:szCs w:val="21"/>
        </w:rPr>
        <w:t>de una organización política y administrativa, para lo cual ejercerá funciones</w:t>
      </w:r>
      <w:r>
        <w:rPr>
          <w:rFonts w:ascii="Abadi" w:hAnsi="Abadi" w:cs="*Arial-10456-Identity-H"/>
          <w:color w:val="0C0C0F"/>
          <w:sz w:val="21"/>
          <w:szCs w:val="21"/>
        </w:rPr>
        <w:t xml:space="preserve"> </w:t>
      </w:r>
      <w:r w:rsidRPr="003D0AE7">
        <w:rPr>
          <w:rFonts w:ascii="Abadi" w:hAnsi="Abadi" w:cs="*Arial-10456-Identity-H"/>
          <w:color w:val="0C0C0F"/>
          <w:sz w:val="21"/>
          <w:szCs w:val="21"/>
        </w:rPr>
        <w:t>jurisdiccionales, legislativas y administrativas, contando con personalidad jurídica y</w:t>
      </w:r>
      <w:r>
        <w:rPr>
          <w:rFonts w:ascii="Abadi" w:hAnsi="Abadi" w:cs="*Arial-10456-Identity-H"/>
          <w:color w:val="0C0C0F"/>
          <w:sz w:val="21"/>
          <w:szCs w:val="21"/>
        </w:rPr>
        <w:t xml:space="preserve"> </w:t>
      </w:r>
      <w:r w:rsidRPr="003D0AE7">
        <w:rPr>
          <w:rFonts w:ascii="Abadi" w:hAnsi="Abadi" w:cs="*Arial-10456-Identity-H"/>
          <w:color w:val="0C0C0F"/>
          <w:sz w:val="21"/>
          <w:szCs w:val="21"/>
        </w:rPr>
        <w:t>con facultades para manejar su patrimonio conforme a las leyes de la materia. En</w:t>
      </w:r>
      <w:r>
        <w:rPr>
          <w:rFonts w:ascii="Abadi" w:hAnsi="Abadi" w:cs="*Arial-10456-Identity-H"/>
          <w:color w:val="0C0C0F"/>
          <w:sz w:val="21"/>
          <w:szCs w:val="21"/>
        </w:rPr>
        <w:t xml:space="preserve"> </w:t>
      </w:r>
      <w:r w:rsidRPr="003D0AE7">
        <w:rPr>
          <w:rFonts w:ascii="Abadi" w:hAnsi="Abadi" w:cs="*Arial-10456-Identity-H"/>
          <w:color w:val="0C0C0F"/>
          <w:sz w:val="21"/>
          <w:szCs w:val="21"/>
        </w:rPr>
        <w:t>este sentido, respecto a la prestación de los servicios públicos, el Municipio está</w:t>
      </w:r>
      <w:r>
        <w:rPr>
          <w:rFonts w:ascii="Abadi" w:hAnsi="Abadi" w:cs="*Arial-10456-Identity-H"/>
          <w:color w:val="0C0C0F"/>
          <w:sz w:val="21"/>
          <w:szCs w:val="21"/>
        </w:rPr>
        <w:t xml:space="preserve"> </w:t>
      </w:r>
      <w:r w:rsidRPr="003D0AE7">
        <w:rPr>
          <w:rFonts w:ascii="Abadi" w:hAnsi="Abadi" w:cs="*Arial-10456-Identity-H"/>
          <w:color w:val="0C0C0F"/>
          <w:sz w:val="21"/>
          <w:szCs w:val="21"/>
        </w:rPr>
        <w:t>facultado para expedir reglamentos, circulares y disposiciones administrativas de</w:t>
      </w:r>
      <w:r>
        <w:rPr>
          <w:rFonts w:ascii="Abadi" w:hAnsi="Abadi" w:cs="*Arial-10456-Identity-H"/>
          <w:color w:val="0C0C0F"/>
          <w:sz w:val="21"/>
          <w:szCs w:val="21"/>
        </w:rPr>
        <w:t xml:space="preserve"> </w:t>
      </w:r>
      <w:r w:rsidRPr="003D0AE7">
        <w:rPr>
          <w:rFonts w:ascii="Abadi" w:hAnsi="Abadi" w:cs="*Arial-10456-Identity-H"/>
          <w:color w:val="0C0C0F"/>
          <w:sz w:val="21"/>
          <w:szCs w:val="21"/>
        </w:rPr>
        <w:t>observancia general dentro de su jurisdicción, que organicen la administración</w:t>
      </w:r>
      <w:r>
        <w:rPr>
          <w:rFonts w:ascii="Abadi" w:hAnsi="Abadi" w:cs="*Arial-10456-Identity-H"/>
          <w:color w:val="0C0C0F"/>
          <w:sz w:val="21"/>
          <w:szCs w:val="21"/>
        </w:rPr>
        <w:t xml:space="preserve"> </w:t>
      </w:r>
      <w:r w:rsidRPr="003D0AE7">
        <w:rPr>
          <w:rFonts w:ascii="Abadi" w:hAnsi="Abadi" w:cs="*Arial-10456-Identity-H"/>
          <w:color w:val="0C0C0F"/>
          <w:sz w:val="21"/>
          <w:szCs w:val="21"/>
        </w:rPr>
        <w:t>pública, regulen las materias, procedimiento, funciones y servicios públicos de su</w:t>
      </w:r>
      <w:r>
        <w:rPr>
          <w:rFonts w:ascii="Abadi" w:hAnsi="Abadi" w:cs="*Arial-10456-Identity-H"/>
          <w:color w:val="0C0C0F"/>
          <w:sz w:val="21"/>
          <w:szCs w:val="21"/>
        </w:rPr>
        <w:t xml:space="preserve"> </w:t>
      </w:r>
      <w:r w:rsidRPr="003D0AE7">
        <w:rPr>
          <w:rFonts w:ascii="Abadi" w:hAnsi="Abadi" w:cs="*Arial-10456-Identity-H"/>
          <w:color w:val="0C0C0F"/>
          <w:sz w:val="21"/>
          <w:szCs w:val="21"/>
        </w:rPr>
        <w:t>competencia.</w:t>
      </w:r>
    </w:p>
    <w:p w14:paraId="02F32BC0" w14:textId="77777777" w:rsidR="0016773C" w:rsidRPr="003D0AE7" w:rsidRDefault="0016773C" w:rsidP="0016773C">
      <w:pPr>
        <w:autoSpaceDE w:val="0"/>
        <w:autoSpaceDN w:val="0"/>
        <w:adjustRightInd w:val="0"/>
        <w:jc w:val="both"/>
        <w:rPr>
          <w:rFonts w:ascii="Abadi" w:hAnsi="Abadi" w:cs="*Arial-10456-Identity-H"/>
          <w:color w:val="0C0C0F"/>
          <w:sz w:val="21"/>
          <w:szCs w:val="21"/>
        </w:rPr>
      </w:pPr>
    </w:p>
    <w:p w14:paraId="45E217A0" w14:textId="77777777" w:rsidR="0016773C" w:rsidRPr="003D0AE7" w:rsidRDefault="0016773C" w:rsidP="0016773C">
      <w:pPr>
        <w:autoSpaceDE w:val="0"/>
        <w:autoSpaceDN w:val="0"/>
        <w:adjustRightInd w:val="0"/>
        <w:ind w:firstLine="708"/>
        <w:jc w:val="both"/>
        <w:rPr>
          <w:rFonts w:ascii="Abadi" w:hAnsi="Abadi" w:cs="*Arial-10456-Identity-H"/>
          <w:color w:val="0C0C0E"/>
          <w:sz w:val="21"/>
          <w:szCs w:val="21"/>
        </w:rPr>
      </w:pPr>
      <w:r w:rsidRPr="003D0AE7">
        <w:rPr>
          <w:rFonts w:ascii="Abadi" w:hAnsi="Abadi" w:cs="*Arial-10456-Identity-H"/>
          <w:color w:val="0C0C0E"/>
          <w:sz w:val="21"/>
          <w:szCs w:val="21"/>
        </w:rPr>
        <w:t>De manera específica, el artículo 115 de la Constitución Política de los</w:t>
      </w:r>
      <w:r>
        <w:rPr>
          <w:rFonts w:ascii="Abadi" w:hAnsi="Abadi" w:cs="*Arial-10456-Identity-H"/>
          <w:color w:val="0C0C0E"/>
          <w:sz w:val="21"/>
          <w:szCs w:val="21"/>
        </w:rPr>
        <w:t xml:space="preserve"> </w:t>
      </w:r>
      <w:r w:rsidRPr="003D0AE7">
        <w:rPr>
          <w:rFonts w:ascii="Abadi" w:hAnsi="Abadi" w:cs="*Arial-10456-Identity-H"/>
          <w:color w:val="0C0C0E"/>
          <w:sz w:val="21"/>
          <w:szCs w:val="21"/>
        </w:rPr>
        <w:t xml:space="preserve">Estados Unidos Mexicanos, en su fracción </w:t>
      </w:r>
      <w:r>
        <w:rPr>
          <w:rFonts w:ascii="Abadi" w:hAnsi="Abadi" w:cs="*Arial-10456-Identity-H"/>
          <w:color w:val="0C0C0E"/>
          <w:sz w:val="21"/>
          <w:szCs w:val="21"/>
        </w:rPr>
        <w:t>III</w:t>
      </w:r>
      <w:r w:rsidRPr="003D0AE7">
        <w:rPr>
          <w:rFonts w:ascii="Abadi" w:hAnsi="Abadi" w:cs="*Arial-10456-Identity-H"/>
          <w:color w:val="0C0C0E"/>
          <w:sz w:val="21"/>
          <w:szCs w:val="21"/>
        </w:rPr>
        <w:t xml:space="preserve"> consigna que los municipios tendrán</w:t>
      </w:r>
      <w:r>
        <w:rPr>
          <w:rFonts w:ascii="Abadi" w:hAnsi="Abadi" w:cs="*Arial-10456-Identity-H"/>
          <w:color w:val="0C0C0E"/>
          <w:sz w:val="21"/>
          <w:szCs w:val="21"/>
        </w:rPr>
        <w:t xml:space="preserve"> </w:t>
      </w:r>
      <w:r w:rsidRPr="003D0AE7">
        <w:rPr>
          <w:rFonts w:ascii="Abadi" w:hAnsi="Abadi" w:cs="*Arial-10456-Identity-H"/>
          <w:color w:val="0C0C0E"/>
          <w:sz w:val="21"/>
          <w:szCs w:val="21"/>
        </w:rPr>
        <w:t>a su cargo las funciones y servicios públicos, entre los que señala en el inciso b, el</w:t>
      </w:r>
      <w:r>
        <w:rPr>
          <w:rFonts w:ascii="Abadi" w:hAnsi="Abadi" w:cs="*Arial-10456-Identity-H"/>
          <w:color w:val="0C0C0E"/>
          <w:sz w:val="21"/>
          <w:szCs w:val="21"/>
        </w:rPr>
        <w:t xml:space="preserve"> </w:t>
      </w:r>
      <w:r w:rsidRPr="003D0AE7">
        <w:rPr>
          <w:rFonts w:ascii="Abadi" w:hAnsi="Abadi" w:cs="*Arial-10456-Identity-H"/>
          <w:color w:val="0C0C0E"/>
          <w:sz w:val="21"/>
          <w:szCs w:val="21"/>
        </w:rPr>
        <w:t>alumbrado público. Atribución ratificada en la Constitución Política Local en su</w:t>
      </w:r>
      <w:r>
        <w:rPr>
          <w:rFonts w:ascii="Abadi" w:hAnsi="Abadi" w:cs="*Arial-10456-Identity-H"/>
          <w:color w:val="0C0C0E"/>
          <w:sz w:val="21"/>
          <w:szCs w:val="21"/>
        </w:rPr>
        <w:t xml:space="preserve"> </w:t>
      </w:r>
      <w:r w:rsidRPr="003D0AE7">
        <w:rPr>
          <w:rFonts w:ascii="Abadi" w:hAnsi="Abadi" w:cs="*Arial-10456-Identity-H"/>
          <w:color w:val="0C0C0E"/>
          <w:sz w:val="21"/>
          <w:szCs w:val="21"/>
        </w:rPr>
        <w:t xml:space="preserve">artículo 117, fracción </w:t>
      </w:r>
      <w:r>
        <w:rPr>
          <w:rFonts w:ascii="Abadi" w:hAnsi="Abadi" w:cs="*Arial-10456-Identity-H"/>
          <w:color w:val="0C0C0E"/>
          <w:sz w:val="21"/>
          <w:szCs w:val="21"/>
        </w:rPr>
        <w:t>III</w:t>
      </w:r>
      <w:r w:rsidRPr="003D0AE7">
        <w:rPr>
          <w:rFonts w:ascii="Abadi" w:hAnsi="Abadi" w:cs="*Arial-10456-Identity-H"/>
          <w:color w:val="0C0C0E"/>
          <w:sz w:val="21"/>
          <w:szCs w:val="21"/>
        </w:rPr>
        <w:t>, inciso b.</w:t>
      </w:r>
    </w:p>
    <w:p w14:paraId="0DB13BC8" w14:textId="77777777" w:rsidR="0016773C" w:rsidRPr="003D0AE7" w:rsidRDefault="0016773C" w:rsidP="0016773C">
      <w:pPr>
        <w:autoSpaceDE w:val="0"/>
        <w:autoSpaceDN w:val="0"/>
        <w:adjustRightInd w:val="0"/>
        <w:jc w:val="both"/>
        <w:rPr>
          <w:rFonts w:ascii="Abadi" w:hAnsi="Abadi" w:cs="*Arial-8863-Identity-H"/>
          <w:color w:val="1A1A1A"/>
          <w:sz w:val="21"/>
          <w:szCs w:val="21"/>
        </w:rPr>
      </w:pPr>
    </w:p>
    <w:p w14:paraId="634F2C4A" w14:textId="77777777" w:rsidR="0016773C" w:rsidRDefault="0016773C" w:rsidP="0016773C">
      <w:pPr>
        <w:autoSpaceDE w:val="0"/>
        <w:autoSpaceDN w:val="0"/>
        <w:adjustRightInd w:val="0"/>
        <w:ind w:firstLine="708"/>
        <w:jc w:val="both"/>
        <w:rPr>
          <w:rFonts w:ascii="Abadi" w:hAnsi="Abadi" w:cs="*Arial-8861-Identity-H"/>
          <w:color w:val="0C0C0E"/>
          <w:sz w:val="21"/>
          <w:szCs w:val="21"/>
        </w:rPr>
      </w:pPr>
      <w:r w:rsidRPr="003D0AE7">
        <w:rPr>
          <w:rFonts w:ascii="Abadi" w:hAnsi="Abadi" w:cs="*Arial-8861-Identity-H"/>
          <w:color w:val="0C0C0E"/>
          <w:sz w:val="21"/>
          <w:szCs w:val="21"/>
        </w:rPr>
        <w:t>La Ley Orgánica Municipal para el Estado de Guanajuato prevé que el</w:t>
      </w:r>
      <w:r>
        <w:rPr>
          <w:rFonts w:ascii="Abadi" w:hAnsi="Abadi" w:cs="*Arial-8861-Identity-H"/>
          <w:color w:val="0C0C0E"/>
          <w:sz w:val="21"/>
          <w:szCs w:val="21"/>
        </w:rPr>
        <w:t xml:space="preserve"> </w:t>
      </w:r>
      <w:r w:rsidRPr="003D0AE7">
        <w:rPr>
          <w:rFonts w:ascii="Abadi" w:hAnsi="Abadi" w:cs="*Arial-8861-Identity-H"/>
          <w:color w:val="0C0C0E"/>
          <w:sz w:val="21"/>
          <w:szCs w:val="21"/>
        </w:rPr>
        <w:t>Ayuntamiento deberá otorgar el servicio de alumbrado público a los habitantes del</w:t>
      </w:r>
      <w:r>
        <w:rPr>
          <w:rFonts w:ascii="Abadi" w:hAnsi="Abadi" w:cs="*Arial-8861-Identity-H"/>
          <w:color w:val="0C0C0E"/>
          <w:sz w:val="21"/>
          <w:szCs w:val="21"/>
        </w:rPr>
        <w:t xml:space="preserve"> </w:t>
      </w:r>
      <w:r w:rsidRPr="003D0AE7">
        <w:rPr>
          <w:rFonts w:ascii="Abadi" w:hAnsi="Abadi" w:cs="*Arial-8861-Identity-H"/>
          <w:color w:val="0C0C0E"/>
          <w:sz w:val="21"/>
          <w:szCs w:val="21"/>
        </w:rPr>
        <w:t>Municipio e instrumentará los mecanismos necesarios para ampliar la cobertura y</w:t>
      </w:r>
      <w:r>
        <w:rPr>
          <w:rFonts w:ascii="Abadi" w:hAnsi="Abadi" w:cs="*Arial-8861-Identity-H"/>
          <w:color w:val="0C0C0E"/>
          <w:sz w:val="21"/>
          <w:szCs w:val="21"/>
        </w:rPr>
        <w:t xml:space="preserve"> </w:t>
      </w:r>
      <w:r w:rsidRPr="003D0AE7">
        <w:rPr>
          <w:rFonts w:ascii="Abadi" w:hAnsi="Abadi" w:cs="*Arial-8861-Identity-H"/>
          <w:color w:val="0C0C0E"/>
          <w:sz w:val="21"/>
          <w:szCs w:val="21"/>
        </w:rPr>
        <w:t>mejorar la prestación de dicho servicio.</w:t>
      </w:r>
    </w:p>
    <w:p w14:paraId="6F62FB68" w14:textId="77777777" w:rsidR="0016773C" w:rsidRPr="003D0AE7" w:rsidRDefault="0016773C" w:rsidP="0016773C">
      <w:pPr>
        <w:autoSpaceDE w:val="0"/>
        <w:autoSpaceDN w:val="0"/>
        <w:adjustRightInd w:val="0"/>
        <w:jc w:val="both"/>
        <w:rPr>
          <w:rFonts w:ascii="Abadi" w:hAnsi="Abadi" w:cs="*Arial-8861-Identity-H"/>
          <w:color w:val="0C0C0E"/>
          <w:sz w:val="21"/>
          <w:szCs w:val="21"/>
        </w:rPr>
      </w:pPr>
    </w:p>
    <w:p w14:paraId="4353AD88" w14:textId="77777777" w:rsidR="0016773C" w:rsidRDefault="0016773C" w:rsidP="0016773C">
      <w:pPr>
        <w:autoSpaceDE w:val="0"/>
        <w:autoSpaceDN w:val="0"/>
        <w:adjustRightInd w:val="0"/>
        <w:ind w:firstLine="708"/>
        <w:jc w:val="both"/>
        <w:rPr>
          <w:rFonts w:ascii="Abadi" w:hAnsi="Abadi" w:cs="*Arial-8861-Identity-H"/>
          <w:color w:val="0C0C0F"/>
          <w:sz w:val="21"/>
          <w:szCs w:val="21"/>
        </w:rPr>
      </w:pPr>
      <w:r w:rsidRPr="003D0AE7">
        <w:rPr>
          <w:rFonts w:ascii="Abadi" w:hAnsi="Abadi" w:cs="*Arial-8861-Identity-H"/>
          <w:color w:val="0C0C0F"/>
          <w:sz w:val="21"/>
          <w:szCs w:val="21"/>
        </w:rPr>
        <w:t>De igual forma, la referida ley en el artículo 83 establece que el</w:t>
      </w:r>
      <w:r>
        <w:rPr>
          <w:rFonts w:ascii="Abadi" w:hAnsi="Abadi" w:cs="*Arial-8861-Identity-H"/>
          <w:color w:val="0C0C0F"/>
          <w:sz w:val="21"/>
          <w:szCs w:val="21"/>
        </w:rPr>
        <w:t xml:space="preserve"> </w:t>
      </w:r>
      <w:r w:rsidRPr="003D0AE7">
        <w:rPr>
          <w:rFonts w:ascii="Abadi" w:hAnsi="Abadi" w:cs="*Arial-8861-Identity-H"/>
          <w:color w:val="0C0C0F"/>
          <w:sz w:val="21"/>
          <w:szCs w:val="21"/>
        </w:rPr>
        <w:t>Ayuntamiento contará con una Comisión de Obra y Servicios Públicos, misma que</w:t>
      </w:r>
      <w:r>
        <w:rPr>
          <w:rFonts w:ascii="Abadi" w:hAnsi="Abadi" w:cs="*Arial-8861-Identity-H"/>
          <w:color w:val="0C0C0F"/>
          <w:sz w:val="21"/>
          <w:szCs w:val="21"/>
        </w:rPr>
        <w:t xml:space="preserve"> </w:t>
      </w:r>
      <w:r w:rsidRPr="003D0AE7">
        <w:rPr>
          <w:rFonts w:ascii="Abadi" w:hAnsi="Abadi" w:cs="*Arial-8861-Identity-H"/>
          <w:color w:val="0C0C0F"/>
          <w:sz w:val="21"/>
          <w:szCs w:val="21"/>
        </w:rPr>
        <w:t>tendrá dentro de sus atribuciones la de promover la prestación puntual, oportuna y</w:t>
      </w:r>
      <w:r>
        <w:rPr>
          <w:rFonts w:ascii="Abadi" w:hAnsi="Abadi" w:cs="*Arial-8861-Identity-H"/>
          <w:color w:val="0C0C0F"/>
          <w:sz w:val="21"/>
          <w:szCs w:val="21"/>
        </w:rPr>
        <w:t xml:space="preserve"> </w:t>
      </w:r>
      <w:r w:rsidRPr="003D0AE7">
        <w:rPr>
          <w:rFonts w:ascii="Abadi" w:hAnsi="Abadi" w:cs="*Arial-8861-Identity-H"/>
          <w:color w:val="0C0C0F"/>
          <w:sz w:val="21"/>
          <w:szCs w:val="21"/>
        </w:rPr>
        <w:t>eficiente de los servicios públicos municipales, de conformidad con las</w:t>
      </w:r>
      <w:r>
        <w:rPr>
          <w:rFonts w:ascii="Abadi" w:hAnsi="Abadi" w:cs="*Arial-8861-Identity-H"/>
          <w:color w:val="0C0C0F"/>
          <w:sz w:val="21"/>
          <w:szCs w:val="21"/>
        </w:rPr>
        <w:t xml:space="preserve"> </w:t>
      </w:r>
      <w:r w:rsidRPr="003D0AE7">
        <w:rPr>
          <w:rFonts w:ascii="Abadi" w:hAnsi="Abadi" w:cs="*Arial-8861-Identity-H"/>
          <w:color w:val="0C0C0F"/>
          <w:sz w:val="21"/>
          <w:szCs w:val="21"/>
        </w:rPr>
        <w:t>disposiciones aplicables. En este sentido, la dependencia de Servicios Municipales</w:t>
      </w:r>
      <w:r>
        <w:rPr>
          <w:rFonts w:ascii="Abadi" w:hAnsi="Abadi" w:cs="*Arial-8861-Identity-H"/>
          <w:color w:val="0C0C0F"/>
          <w:sz w:val="21"/>
          <w:szCs w:val="21"/>
        </w:rPr>
        <w:t xml:space="preserve"> </w:t>
      </w:r>
      <w:r w:rsidRPr="003D0AE7">
        <w:rPr>
          <w:rFonts w:ascii="Abadi" w:hAnsi="Abadi" w:cs="*Arial-8861-Identity-H"/>
          <w:color w:val="0C0C0F"/>
          <w:sz w:val="21"/>
          <w:szCs w:val="21"/>
        </w:rPr>
        <w:t>será la encargada de llevar a cabo la prestación del servicio de alumbrado público</w:t>
      </w:r>
      <w:r>
        <w:rPr>
          <w:rFonts w:ascii="Abadi" w:hAnsi="Abadi" w:cs="*Arial-8861-Identity-H"/>
          <w:color w:val="0C0C0F"/>
          <w:sz w:val="21"/>
          <w:szCs w:val="21"/>
        </w:rPr>
        <w:t xml:space="preserve"> </w:t>
      </w:r>
      <w:r w:rsidRPr="003D0AE7">
        <w:rPr>
          <w:rFonts w:ascii="Abadi" w:hAnsi="Abadi" w:cs="*Arial-8861-Identity-H"/>
          <w:color w:val="0C0C0F"/>
          <w:sz w:val="21"/>
          <w:szCs w:val="21"/>
        </w:rPr>
        <w:t>en el Municipio, de acuerdo a lo establecido en la fracción V del artículo 124 de la</w:t>
      </w:r>
      <w:r>
        <w:rPr>
          <w:rFonts w:ascii="Abadi" w:hAnsi="Abadi" w:cs="*Arial-8861-Identity-H"/>
          <w:color w:val="0C0C0F"/>
          <w:sz w:val="21"/>
          <w:szCs w:val="21"/>
        </w:rPr>
        <w:t xml:space="preserve"> </w:t>
      </w:r>
      <w:r w:rsidRPr="003D0AE7">
        <w:rPr>
          <w:rFonts w:ascii="Abadi" w:hAnsi="Abadi" w:cs="*Arial-8861-Identity-H"/>
          <w:color w:val="0C0C0F"/>
          <w:sz w:val="21"/>
          <w:szCs w:val="21"/>
        </w:rPr>
        <w:t>citada ley.</w:t>
      </w:r>
    </w:p>
    <w:p w14:paraId="7C3511D8" w14:textId="77777777" w:rsidR="0016773C" w:rsidRPr="003D0AE7" w:rsidRDefault="0016773C" w:rsidP="0016773C">
      <w:pPr>
        <w:autoSpaceDE w:val="0"/>
        <w:autoSpaceDN w:val="0"/>
        <w:adjustRightInd w:val="0"/>
        <w:jc w:val="both"/>
        <w:rPr>
          <w:rFonts w:ascii="Abadi" w:hAnsi="Abadi" w:cs="*Arial-8861-Identity-H"/>
          <w:color w:val="0C0C0F"/>
          <w:sz w:val="21"/>
          <w:szCs w:val="21"/>
        </w:rPr>
      </w:pPr>
    </w:p>
    <w:p w14:paraId="1AFA8AB3" w14:textId="77777777" w:rsidR="0016773C" w:rsidRDefault="0016773C" w:rsidP="0016773C">
      <w:pPr>
        <w:autoSpaceDE w:val="0"/>
        <w:autoSpaceDN w:val="0"/>
        <w:adjustRightInd w:val="0"/>
        <w:ind w:firstLine="708"/>
        <w:jc w:val="both"/>
        <w:rPr>
          <w:rFonts w:ascii="Abadi" w:hAnsi="Abadi" w:cs="*Arial-8861-Identity-H"/>
          <w:color w:val="0D0C0E"/>
          <w:sz w:val="21"/>
          <w:szCs w:val="21"/>
        </w:rPr>
      </w:pPr>
      <w:r w:rsidRPr="003D0AE7">
        <w:rPr>
          <w:rFonts w:ascii="Abadi" w:hAnsi="Abadi" w:cs="*Arial-8861-Identity-H"/>
          <w:color w:val="0D0C0E"/>
          <w:sz w:val="21"/>
          <w:szCs w:val="21"/>
        </w:rPr>
        <w:t>También el artículo 165 de la referida Ley Orgánica Municipal prevé que:</w:t>
      </w:r>
    </w:p>
    <w:p w14:paraId="18A7B8FD" w14:textId="77777777" w:rsidR="0016773C" w:rsidRPr="003D0AE7" w:rsidRDefault="0016773C" w:rsidP="0016773C">
      <w:pPr>
        <w:autoSpaceDE w:val="0"/>
        <w:autoSpaceDN w:val="0"/>
        <w:adjustRightInd w:val="0"/>
        <w:jc w:val="both"/>
        <w:rPr>
          <w:rFonts w:ascii="Abadi" w:hAnsi="Abadi" w:cs="*Arial-8861-Identity-H"/>
          <w:color w:val="0D0C0E"/>
          <w:sz w:val="21"/>
          <w:szCs w:val="21"/>
        </w:rPr>
      </w:pPr>
    </w:p>
    <w:p w14:paraId="75709215" w14:textId="77777777" w:rsidR="0016773C" w:rsidRDefault="0016773C" w:rsidP="0016773C">
      <w:pPr>
        <w:autoSpaceDE w:val="0"/>
        <w:autoSpaceDN w:val="0"/>
        <w:adjustRightInd w:val="0"/>
        <w:ind w:firstLine="708"/>
        <w:jc w:val="both"/>
        <w:rPr>
          <w:rFonts w:ascii="Abadi" w:hAnsi="Abadi" w:cs="*Arial-8861-Identity-H"/>
          <w:color w:val="0C0B0E"/>
          <w:sz w:val="21"/>
          <w:szCs w:val="21"/>
        </w:rPr>
      </w:pPr>
      <w:r w:rsidRPr="003D0AE7">
        <w:rPr>
          <w:rFonts w:ascii="Abadi" w:hAnsi="Abadi" w:cs="*Arial-Italic-8862-Identity-H"/>
          <w:i/>
          <w:iCs/>
          <w:color w:val="0D0C0E"/>
          <w:sz w:val="21"/>
          <w:szCs w:val="21"/>
        </w:rPr>
        <w:t xml:space="preserve">«Los ayuntamientos prestarán los servicios públicos, en igualdad de condiciones </w:t>
      </w:r>
      <w:r w:rsidRPr="003D0AE7">
        <w:rPr>
          <w:rFonts w:ascii="Abadi" w:hAnsi="Abadi" w:cs="*Arial-8861-Identity-H"/>
          <w:color w:val="0D0C0E"/>
          <w:sz w:val="21"/>
          <w:szCs w:val="21"/>
        </w:rPr>
        <w:t>a</w:t>
      </w:r>
      <w:r>
        <w:rPr>
          <w:rFonts w:ascii="Abadi" w:hAnsi="Abadi" w:cs="*Arial-8861-Identity-H"/>
          <w:color w:val="0D0C0E"/>
          <w:sz w:val="21"/>
          <w:szCs w:val="21"/>
        </w:rPr>
        <w:t xml:space="preserve"> </w:t>
      </w:r>
      <w:r w:rsidRPr="003D0AE7">
        <w:rPr>
          <w:rFonts w:ascii="Abadi" w:hAnsi="Abadi" w:cs="*Arial-Italic-8862-Identity-H"/>
          <w:i/>
          <w:iCs/>
          <w:color w:val="0D0C0E"/>
          <w:sz w:val="21"/>
          <w:szCs w:val="21"/>
        </w:rPr>
        <w:t xml:space="preserve">todos </w:t>
      </w:r>
      <w:r w:rsidRPr="003D0AE7">
        <w:rPr>
          <w:rFonts w:ascii="Abadi" w:hAnsi="Abadi" w:cs="*Arial-8861-Identity-H"/>
          <w:color w:val="0D0C0E"/>
          <w:sz w:val="21"/>
          <w:szCs w:val="21"/>
        </w:rPr>
        <w:t xml:space="preserve">/os </w:t>
      </w:r>
      <w:r w:rsidRPr="003D0AE7">
        <w:rPr>
          <w:rFonts w:ascii="Abadi" w:hAnsi="Abadi" w:cs="*Arial-Italic-8862-Identity-H"/>
          <w:i/>
          <w:iCs/>
          <w:color w:val="0D0C0E"/>
          <w:sz w:val="21"/>
          <w:szCs w:val="21"/>
        </w:rPr>
        <w:t>habitantes del municipio, en forma permanente, general, uniforme,</w:t>
      </w:r>
      <w:r>
        <w:rPr>
          <w:rFonts w:ascii="Abadi" w:hAnsi="Abadi" w:cs="*Arial-Italic-8862-Identity-H"/>
          <w:i/>
          <w:iCs/>
          <w:color w:val="0D0C0E"/>
          <w:sz w:val="21"/>
          <w:szCs w:val="21"/>
        </w:rPr>
        <w:t xml:space="preserve"> </w:t>
      </w:r>
      <w:r w:rsidRPr="003D0AE7">
        <w:rPr>
          <w:rFonts w:ascii="Abadi" w:hAnsi="Abadi" w:cs="*Arial-Italic-8862-Identity-H"/>
          <w:i/>
          <w:iCs/>
          <w:color w:val="0D0C0E"/>
          <w:sz w:val="21"/>
          <w:szCs w:val="21"/>
        </w:rPr>
        <w:t>continua y de acuerdo con el Programa de Gobierno Municipal».</w:t>
      </w:r>
      <w:r>
        <w:rPr>
          <w:rFonts w:ascii="Abadi" w:hAnsi="Abadi" w:cs="*Arial-Italic-8862-Identity-H"/>
          <w:i/>
          <w:iCs/>
          <w:color w:val="0D0C0E"/>
          <w:sz w:val="21"/>
          <w:szCs w:val="21"/>
        </w:rPr>
        <w:t xml:space="preserve"> </w:t>
      </w:r>
      <w:r w:rsidRPr="003D0AE7">
        <w:rPr>
          <w:rFonts w:ascii="Abadi" w:hAnsi="Abadi" w:cs="*Arial-8861-Identity-H"/>
          <w:color w:val="0C0B0E"/>
          <w:sz w:val="21"/>
          <w:szCs w:val="21"/>
        </w:rPr>
        <w:t xml:space="preserve">Asimismo, en el Capítulo denominado </w:t>
      </w:r>
      <w:r w:rsidRPr="003D0AE7">
        <w:rPr>
          <w:rFonts w:ascii="Abadi" w:hAnsi="Abadi" w:cs="*Arial-Italic-8862-Identity-H"/>
          <w:i/>
          <w:iCs/>
          <w:color w:val="0C0B0E"/>
          <w:sz w:val="21"/>
          <w:szCs w:val="21"/>
        </w:rPr>
        <w:t>«De los Servicios Públicos</w:t>
      </w:r>
      <w:r>
        <w:rPr>
          <w:rFonts w:ascii="Abadi" w:hAnsi="Abadi" w:cs="*Arial-Italic-8862-Identity-H"/>
          <w:i/>
          <w:iCs/>
          <w:color w:val="0C0B0E"/>
          <w:sz w:val="21"/>
          <w:szCs w:val="21"/>
        </w:rPr>
        <w:t xml:space="preserve"> </w:t>
      </w:r>
      <w:r w:rsidRPr="003D0AE7">
        <w:rPr>
          <w:rFonts w:ascii="Abadi" w:hAnsi="Abadi" w:cs="*Arial-Italic-8862-Identity-H"/>
          <w:i/>
          <w:iCs/>
          <w:color w:val="0C0B0E"/>
          <w:sz w:val="21"/>
          <w:szCs w:val="21"/>
        </w:rPr>
        <w:t xml:space="preserve">Municipales» </w:t>
      </w:r>
      <w:r w:rsidRPr="003D0AE7">
        <w:rPr>
          <w:rFonts w:ascii="Abadi" w:hAnsi="Abadi" w:cs="*Arial-8861-Identity-H"/>
          <w:color w:val="0C0B0E"/>
          <w:sz w:val="21"/>
          <w:szCs w:val="21"/>
        </w:rPr>
        <w:t>se refiere que en el presupuesto de egresos deben preverse los</w:t>
      </w:r>
      <w:r>
        <w:rPr>
          <w:rFonts w:ascii="Abadi" w:hAnsi="Abadi" w:cs="*Arial-8861-Identity-H"/>
          <w:color w:val="0C0B0E"/>
          <w:sz w:val="21"/>
          <w:szCs w:val="21"/>
        </w:rPr>
        <w:t xml:space="preserve"> </w:t>
      </w:r>
      <w:r w:rsidRPr="003D0AE7">
        <w:rPr>
          <w:rFonts w:ascii="Abadi" w:hAnsi="Abadi" w:cs="*Arial-8861-Identity-H"/>
          <w:color w:val="0C0B0E"/>
          <w:sz w:val="21"/>
          <w:szCs w:val="21"/>
        </w:rPr>
        <w:t>recursos materiales y humanos, necesarios y suficientes, para la prestación</w:t>
      </w:r>
      <w:r>
        <w:rPr>
          <w:rFonts w:ascii="Abadi" w:hAnsi="Abadi" w:cs="*Arial-8861-Identity-H"/>
          <w:color w:val="0C0B0E"/>
          <w:sz w:val="21"/>
          <w:szCs w:val="21"/>
        </w:rPr>
        <w:t xml:space="preserve"> </w:t>
      </w:r>
      <w:r w:rsidRPr="003D0AE7">
        <w:rPr>
          <w:rFonts w:ascii="Abadi" w:hAnsi="Abadi" w:cs="*Arial-8861-Identity-H"/>
          <w:color w:val="0C0B0E"/>
          <w:sz w:val="21"/>
          <w:szCs w:val="21"/>
        </w:rPr>
        <w:t>eficiente y oportuna de los servicios públicos; asimismo, se consigna la</w:t>
      </w:r>
      <w:r>
        <w:rPr>
          <w:rFonts w:ascii="Abadi" w:hAnsi="Abadi" w:cs="*Arial-8861-Identity-H"/>
          <w:color w:val="0C0B0E"/>
          <w:sz w:val="21"/>
          <w:szCs w:val="21"/>
        </w:rPr>
        <w:t xml:space="preserve"> </w:t>
      </w:r>
      <w:r w:rsidRPr="003D0AE7">
        <w:rPr>
          <w:rFonts w:ascii="Abadi" w:hAnsi="Abadi" w:cs="*Arial-8861-Identity-H"/>
          <w:color w:val="0C0B0E"/>
          <w:sz w:val="21"/>
          <w:szCs w:val="21"/>
        </w:rPr>
        <w:t>obligatorie dad del Ayuntamiento de otorgar el servicio de alumbrado público,</w:t>
      </w:r>
      <w:r>
        <w:rPr>
          <w:rFonts w:ascii="Abadi" w:hAnsi="Abadi" w:cs="*Arial-8861-Identity-H"/>
          <w:color w:val="0C0B0E"/>
          <w:sz w:val="21"/>
          <w:szCs w:val="21"/>
        </w:rPr>
        <w:t xml:space="preserve"> </w:t>
      </w:r>
      <w:r w:rsidRPr="003D0AE7">
        <w:rPr>
          <w:rFonts w:ascii="Abadi" w:hAnsi="Abadi" w:cs="*Arial-8861-Identity-H"/>
          <w:color w:val="0C0B0E"/>
          <w:sz w:val="21"/>
          <w:szCs w:val="21"/>
        </w:rPr>
        <w:t>señalando que podrá otorgarlo de manera directa a través de sus propias</w:t>
      </w:r>
      <w:r>
        <w:rPr>
          <w:rFonts w:ascii="Abadi" w:hAnsi="Abadi" w:cs="*Arial-8861-Identity-H"/>
          <w:color w:val="0C0B0E"/>
          <w:sz w:val="21"/>
          <w:szCs w:val="21"/>
        </w:rPr>
        <w:t xml:space="preserve"> </w:t>
      </w:r>
      <w:r w:rsidRPr="003D0AE7">
        <w:rPr>
          <w:rFonts w:ascii="Abadi" w:hAnsi="Abadi" w:cs="*Arial-8861-Identity-H"/>
          <w:color w:val="0C0B0E"/>
          <w:sz w:val="21"/>
          <w:szCs w:val="21"/>
        </w:rPr>
        <w:t>dependencias, o bien por un medio indirecto.</w:t>
      </w:r>
    </w:p>
    <w:p w14:paraId="7AA1171A" w14:textId="77777777" w:rsidR="0016773C" w:rsidRPr="003D0AE7" w:rsidRDefault="0016773C" w:rsidP="0016773C">
      <w:pPr>
        <w:autoSpaceDE w:val="0"/>
        <w:autoSpaceDN w:val="0"/>
        <w:adjustRightInd w:val="0"/>
        <w:jc w:val="both"/>
        <w:rPr>
          <w:rFonts w:ascii="Abadi" w:hAnsi="Abadi" w:cs="*Arial-8861-Identity-H"/>
          <w:color w:val="0C0B0E"/>
          <w:sz w:val="21"/>
          <w:szCs w:val="21"/>
        </w:rPr>
      </w:pPr>
    </w:p>
    <w:p w14:paraId="11003ACE" w14:textId="77777777" w:rsidR="0016773C" w:rsidRPr="003D0AE7" w:rsidRDefault="0016773C" w:rsidP="0016773C">
      <w:pPr>
        <w:autoSpaceDE w:val="0"/>
        <w:autoSpaceDN w:val="0"/>
        <w:adjustRightInd w:val="0"/>
        <w:ind w:firstLine="708"/>
        <w:jc w:val="both"/>
        <w:rPr>
          <w:rFonts w:ascii="Abadi" w:hAnsi="Abadi" w:cs="*Arial-8861-Identity-H"/>
          <w:color w:val="0C0C0F"/>
          <w:sz w:val="21"/>
          <w:szCs w:val="21"/>
        </w:rPr>
      </w:pPr>
      <w:r w:rsidRPr="003D0AE7">
        <w:rPr>
          <w:rFonts w:ascii="Abadi" w:hAnsi="Abadi" w:cs="*Arial-8861-Identity-H"/>
          <w:color w:val="0B0B0E"/>
          <w:sz w:val="21"/>
          <w:szCs w:val="21"/>
        </w:rPr>
        <w:t>De conformidad con el artículo 169 de la referida Ley Orgánica Municipal, la</w:t>
      </w:r>
      <w:r>
        <w:rPr>
          <w:rFonts w:ascii="Abadi" w:hAnsi="Abadi" w:cs="*Arial-8861-Identity-H"/>
          <w:color w:val="0B0B0E"/>
          <w:sz w:val="21"/>
          <w:szCs w:val="21"/>
        </w:rPr>
        <w:t xml:space="preserve"> </w:t>
      </w:r>
      <w:r w:rsidRPr="003D0AE7">
        <w:rPr>
          <w:rFonts w:ascii="Abadi" w:hAnsi="Abadi" w:cs="*Arial-8861-Identity-H"/>
          <w:color w:val="0B0B0E"/>
          <w:sz w:val="21"/>
          <w:szCs w:val="21"/>
        </w:rPr>
        <w:t>prestación de los servicios públicos municipales será supervisada por la comisión</w:t>
      </w:r>
      <w:r>
        <w:rPr>
          <w:rFonts w:ascii="Abadi" w:hAnsi="Abadi" w:cs="*Arial-8861-Identity-H"/>
          <w:color w:val="0B0B0E"/>
          <w:sz w:val="21"/>
          <w:szCs w:val="21"/>
        </w:rPr>
        <w:t xml:space="preserve"> </w:t>
      </w:r>
      <w:r w:rsidRPr="003D0AE7">
        <w:rPr>
          <w:rFonts w:ascii="Abadi" w:hAnsi="Abadi" w:cs="*Arial-8861-Identity-H"/>
          <w:color w:val="0B0B0E"/>
          <w:sz w:val="21"/>
          <w:szCs w:val="21"/>
        </w:rPr>
        <w:t>correspondiente del Ayuntamiento y auditada por la Contraloría Municipal.</w:t>
      </w:r>
      <w:r>
        <w:rPr>
          <w:rFonts w:ascii="Abadi" w:hAnsi="Abadi" w:cs="*Arial-8861-Identity-H"/>
          <w:color w:val="0B0B0E"/>
          <w:sz w:val="21"/>
          <w:szCs w:val="21"/>
        </w:rPr>
        <w:t xml:space="preserve"> </w:t>
      </w:r>
      <w:r w:rsidRPr="003D0AE7">
        <w:rPr>
          <w:rFonts w:ascii="Abadi" w:hAnsi="Abadi" w:cs="*Arial-8861-Identity-H"/>
          <w:color w:val="0C0C0F"/>
          <w:sz w:val="21"/>
          <w:szCs w:val="21"/>
        </w:rPr>
        <w:t>Es así que, se desprende la intervención estratégica del Ayuntamiento y de</w:t>
      </w:r>
      <w:r>
        <w:rPr>
          <w:rFonts w:ascii="Abadi" w:hAnsi="Abadi" w:cs="*Arial-8861-Identity-H"/>
          <w:color w:val="0C0C0F"/>
          <w:sz w:val="21"/>
          <w:szCs w:val="21"/>
        </w:rPr>
        <w:t xml:space="preserve"> </w:t>
      </w:r>
      <w:r w:rsidRPr="003D0AE7">
        <w:rPr>
          <w:rFonts w:ascii="Abadi" w:hAnsi="Abadi" w:cs="*Arial-8861-Identity-H"/>
          <w:color w:val="0C0C0F"/>
          <w:sz w:val="21"/>
          <w:szCs w:val="21"/>
        </w:rPr>
        <w:t>la Dirección de Servicios Públicos Municipales para otorgar la prestación del</w:t>
      </w:r>
      <w:r>
        <w:rPr>
          <w:rFonts w:ascii="Abadi" w:hAnsi="Abadi" w:cs="*Arial-8861-Identity-H"/>
          <w:color w:val="0C0C0F"/>
          <w:sz w:val="21"/>
          <w:szCs w:val="21"/>
        </w:rPr>
        <w:t xml:space="preserve"> </w:t>
      </w:r>
      <w:r w:rsidRPr="003D0AE7">
        <w:rPr>
          <w:rFonts w:ascii="Abadi" w:hAnsi="Abadi" w:cs="*Arial-8861-Identity-H"/>
          <w:color w:val="0C0C0F"/>
          <w:sz w:val="21"/>
          <w:szCs w:val="21"/>
        </w:rPr>
        <w:t>servicio de alumbrado público a los habitantes del Municipio, a través del</w:t>
      </w:r>
      <w:r>
        <w:rPr>
          <w:rFonts w:ascii="Abadi" w:hAnsi="Abadi" w:cs="*Arial-8861-Identity-H"/>
          <w:color w:val="0C0C0F"/>
          <w:sz w:val="21"/>
          <w:szCs w:val="21"/>
        </w:rPr>
        <w:t xml:space="preserve"> </w:t>
      </w:r>
      <w:r w:rsidRPr="003D0AE7">
        <w:rPr>
          <w:rFonts w:ascii="Abadi" w:hAnsi="Abadi" w:cs="*Arial-8861-Identity-H"/>
          <w:color w:val="0C0C0F"/>
          <w:sz w:val="21"/>
          <w:szCs w:val="21"/>
        </w:rPr>
        <w:t>conocimiento de la situación de oferta del servicio, de su presupuestación, de un</w:t>
      </w:r>
      <w:r>
        <w:rPr>
          <w:rFonts w:ascii="Abadi" w:hAnsi="Abadi" w:cs="*Arial-8861-Identity-H"/>
          <w:color w:val="0C0C0F"/>
          <w:sz w:val="21"/>
          <w:szCs w:val="21"/>
        </w:rPr>
        <w:t xml:space="preserve"> </w:t>
      </w:r>
      <w:r w:rsidRPr="003D0AE7">
        <w:rPr>
          <w:rFonts w:ascii="Abadi" w:hAnsi="Abadi" w:cs="*Arial-8861-Identity-H"/>
          <w:color w:val="0C0C0F"/>
          <w:sz w:val="21"/>
          <w:szCs w:val="21"/>
        </w:rPr>
        <w:t>marco normativo de operación, de una debida planeación a corto plazo, de la</w:t>
      </w:r>
      <w:r>
        <w:rPr>
          <w:rFonts w:ascii="Abadi" w:hAnsi="Abadi" w:cs="*Arial-8861-Identity-H"/>
          <w:color w:val="0C0C0F"/>
          <w:sz w:val="21"/>
          <w:szCs w:val="21"/>
        </w:rPr>
        <w:t xml:space="preserve"> </w:t>
      </w:r>
      <w:r w:rsidRPr="003D0AE7">
        <w:rPr>
          <w:rFonts w:ascii="Abadi" w:hAnsi="Abadi" w:cs="*Arial-8861-Identity-H"/>
          <w:color w:val="0C0C0F"/>
          <w:sz w:val="21"/>
          <w:szCs w:val="21"/>
        </w:rPr>
        <w:t>participación ciudadana en el reporte de fallas del servicio, así como de los</w:t>
      </w:r>
      <w:r>
        <w:rPr>
          <w:rFonts w:ascii="Abadi" w:hAnsi="Abadi" w:cs="*Arial-8861-Identity-H"/>
          <w:color w:val="0C0C0F"/>
          <w:sz w:val="21"/>
          <w:szCs w:val="21"/>
        </w:rPr>
        <w:t xml:space="preserve"> </w:t>
      </w:r>
      <w:r w:rsidRPr="003D0AE7">
        <w:rPr>
          <w:rFonts w:ascii="Abadi" w:hAnsi="Abadi" w:cs="*Arial-8861-Identity-H"/>
          <w:color w:val="0C0C0F"/>
          <w:sz w:val="21"/>
          <w:szCs w:val="21"/>
        </w:rPr>
        <w:t>mecanismos de monitoreo y evaluación para el logro de resultados. Lo anterior,</w:t>
      </w:r>
      <w:r>
        <w:rPr>
          <w:rFonts w:ascii="Abadi" w:hAnsi="Abadi" w:cs="*Arial-8861-Identity-H"/>
          <w:color w:val="0C0C0F"/>
          <w:sz w:val="21"/>
          <w:szCs w:val="21"/>
        </w:rPr>
        <w:t xml:space="preserve"> </w:t>
      </w:r>
      <w:r w:rsidRPr="003D0AE7">
        <w:rPr>
          <w:rFonts w:ascii="Abadi" w:hAnsi="Abadi" w:cs="*Arial-8861-Identity-H"/>
          <w:color w:val="0C0C0F"/>
          <w:sz w:val="21"/>
          <w:szCs w:val="21"/>
        </w:rPr>
        <w:t>con el objetivo de otorgar un servicio público eficaz en el mantenimiento, cobertura</w:t>
      </w:r>
      <w:r>
        <w:rPr>
          <w:rFonts w:ascii="Abadi" w:hAnsi="Abadi" w:cs="*Arial-8861-Identity-H"/>
          <w:color w:val="0C0C0F"/>
          <w:sz w:val="21"/>
          <w:szCs w:val="21"/>
        </w:rPr>
        <w:t xml:space="preserve"> </w:t>
      </w:r>
      <w:r w:rsidRPr="003D0AE7">
        <w:rPr>
          <w:rFonts w:ascii="Abadi" w:hAnsi="Abadi" w:cs="*Arial-8861-Identity-H"/>
          <w:color w:val="0C0C0F"/>
          <w:sz w:val="21"/>
          <w:szCs w:val="21"/>
        </w:rPr>
        <w:t>y satisfacción del servicio.</w:t>
      </w:r>
    </w:p>
    <w:p w14:paraId="50DCBC23" w14:textId="77777777" w:rsidR="0016773C" w:rsidRPr="003D0AE7" w:rsidRDefault="0016773C" w:rsidP="0016773C">
      <w:pPr>
        <w:autoSpaceDE w:val="0"/>
        <w:autoSpaceDN w:val="0"/>
        <w:adjustRightInd w:val="0"/>
        <w:jc w:val="both"/>
        <w:rPr>
          <w:rFonts w:ascii="Abadi" w:hAnsi="Abadi" w:cs="*Calibri-9440-Identity-H"/>
          <w:color w:val="121212"/>
          <w:sz w:val="21"/>
          <w:szCs w:val="21"/>
        </w:rPr>
      </w:pPr>
    </w:p>
    <w:p w14:paraId="3F2A799C" w14:textId="77777777" w:rsidR="0016773C" w:rsidRDefault="0016773C" w:rsidP="0016773C">
      <w:pPr>
        <w:autoSpaceDE w:val="0"/>
        <w:autoSpaceDN w:val="0"/>
        <w:adjustRightInd w:val="0"/>
        <w:ind w:firstLine="708"/>
        <w:jc w:val="both"/>
        <w:rPr>
          <w:rFonts w:ascii="Abadi" w:hAnsi="Abadi" w:cs="*Arial-9441-Identity-H"/>
          <w:color w:val="0C0C0F"/>
          <w:sz w:val="21"/>
          <w:szCs w:val="21"/>
        </w:rPr>
      </w:pPr>
      <w:r w:rsidRPr="003D0AE7">
        <w:rPr>
          <w:rFonts w:ascii="Abadi" w:hAnsi="Abadi" w:cs="*Arial-9441-Identity-H"/>
          <w:color w:val="0C0C0F"/>
          <w:sz w:val="21"/>
          <w:szCs w:val="21"/>
        </w:rPr>
        <w:t>En este orden de ideas, el Programa de Gobierno Municipal de Purísima del</w:t>
      </w:r>
      <w:r>
        <w:rPr>
          <w:rFonts w:ascii="Abadi" w:hAnsi="Abadi" w:cs="*Arial-9441-Identity-H"/>
          <w:color w:val="0C0C0F"/>
          <w:sz w:val="21"/>
          <w:szCs w:val="21"/>
        </w:rPr>
        <w:t xml:space="preserve"> </w:t>
      </w:r>
      <w:r w:rsidRPr="003D0AE7">
        <w:rPr>
          <w:rFonts w:ascii="Abadi" w:hAnsi="Abadi" w:cs="*Arial-9441-Identity-H"/>
          <w:color w:val="0C0C0F"/>
          <w:sz w:val="21"/>
          <w:szCs w:val="21"/>
        </w:rPr>
        <w:t xml:space="preserve">Rincón, </w:t>
      </w:r>
      <w:proofErr w:type="spellStart"/>
      <w:r w:rsidRPr="003D0AE7">
        <w:rPr>
          <w:rFonts w:ascii="Abadi" w:hAnsi="Abadi" w:cs="*Arial-9441-Identity-H"/>
          <w:color w:val="0C0C0F"/>
          <w:sz w:val="21"/>
          <w:szCs w:val="21"/>
        </w:rPr>
        <w:t>Gto</w:t>
      </w:r>
      <w:proofErr w:type="spellEnd"/>
      <w:r w:rsidRPr="003D0AE7">
        <w:rPr>
          <w:rFonts w:ascii="Abadi" w:hAnsi="Abadi" w:cs="*Arial-9441-Identity-H"/>
          <w:color w:val="0C0C0F"/>
          <w:sz w:val="21"/>
          <w:szCs w:val="21"/>
        </w:rPr>
        <w:t xml:space="preserve">, 2018-2021 estableció en el Eje </w:t>
      </w:r>
      <w:r w:rsidRPr="003D0AE7">
        <w:rPr>
          <w:rFonts w:ascii="Abadi" w:hAnsi="Abadi" w:cs="*Arial-Italic-9442-Identity-H"/>
          <w:i/>
          <w:iCs/>
          <w:color w:val="0C0C0F"/>
          <w:sz w:val="21"/>
          <w:szCs w:val="21"/>
        </w:rPr>
        <w:t>Vl.1.3. Nuestra grandeza es el</w:t>
      </w:r>
      <w:r>
        <w:rPr>
          <w:rFonts w:ascii="Abadi" w:hAnsi="Abadi" w:cs="*Arial-Italic-9442-Identity-H"/>
          <w:i/>
          <w:iCs/>
          <w:color w:val="0C0C0F"/>
          <w:sz w:val="21"/>
          <w:szCs w:val="21"/>
        </w:rPr>
        <w:t xml:space="preserve"> </w:t>
      </w:r>
      <w:r w:rsidRPr="003D0AE7">
        <w:rPr>
          <w:rFonts w:ascii="Abadi" w:hAnsi="Abadi" w:cs="*Arial-Italic-9442-Identity-H"/>
          <w:i/>
          <w:iCs/>
          <w:color w:val="0C0C0F"/>
          <w:sz w:val="21"/>
          <w:szCs w:val="21"/>
        </w:rPr>
        <w:t xml:space="preserve">desarrollo ordenado y sustentable, </w:t>
      </w:r>
      <w:r w:rsidRPr="003D0AE7">
        <w:rPr>
          <w:rFonts w:ascii="Abadi" w:hAnsi="Abadi" w:cs="*Arial-9441-Identity-H"/>
          <w:color w:val="0C0C0F"/>
          <w:sz w:val="21"/>
          <w:szCs w:val="21"/>
        </w:rPr>
        <w:t xml:space="preserve">la estrategia de </w:t>
      </w:r>
      <w:r w:rsidRPr="003D0AE7">
        <w:rPr>
          <w:rFonts w:ascii="Abadi" w:hAnsi="Abadi" w:cs="*Arial-Italic-9442-Identity-H"/>
          <w:i/>
          <w:iCs/>
          <w:color w:val="0C0C0F"/>
          <w:sz w:val="21"/>
          <w:szCs w:val="21"/>
        </w:rPr>
        <w:t>«Articular una política de</w:t>
      </w:r>
      <w:r>
        <w:rPr>
          <w:rFonts w:ascii="Abadi" w:hAnsi="Abadi" w:cs="*Arial-Italic-9442-Identity-H"/>
          <w:i/>
          <w:iCs/>
          <w:color w:val="0C0C0F"/>
          <w:sz w:val="21"/>
          <w:szCs w:val="21"/>
        </w:rPr>
        <w:t xml:space="preserve"> </w:t>
      </w:r>
      <w:r w:rsidRPr="003D0AE7">
        <w:rPr>
          <w:rFonts w:ascii="Abadi" w:hAnsi="Abadi" w:cs="*Arial-Italic-9442-Identity-H"/>
          <w:i/>
          <w:iCs/>
          <w:color w:val="0C0C0F"/>
          <w:sz w:val="21"/>
          <w:szCs w:val="21"/>
        </w:rPr>
        <w:t>desarrollo ordenado y sustentable del territorio para mejorar la calidad de vida de</w:t>
      </w:r>
      <w:r>
        <w:rPr>
          <w:rFonts w:ascii="Abadi" w:hAnsi="Abadi" w:cs="*Arial-Italic-9442-Identity-H"/>
          <w:i/>
          <w:iCs/>
          <w:color w:val="0C0C0F"/>
          <w:sz w:val="21"/>
          <w:szCs w:val="21"/>
        </w:rPr>
        <w:t xml:space="preserve"> </w:t>
      </w:r>
      <w:r w:rsidRPr="003D0AE7">
        <w:rPr>
          <w:rFonts w:ascii="Abadi" w:hAnsi="Abadi" w:cs="*Arial-Italic-9442-Identity-H"/>
          <w:i/>
          <w:iCs/>
          <w:color w:val="0C0C0F"/>
          <w:sz w:val="21"/>
          <w:szCs w:val="21"/>
        </w:rPr>
        <w:t xml:space="preserve">la población», </w:t>
      </w:r>
      <w:r w:rsidRPr="003D0AE7">
        <w:rPr>
          <w:rFonts w:ascii="Abadi" w:hAnsi="Abadi" w:cs="*Arial-9441-Identity-H"/>
          <w:color w:val="0C0C0F"/>
          <w:sz w:val="21"/>
          <w:szCs w:val="21"/>
        </w:rPr>
        <w:t xml:space="preserve">misma que en el subcomponente </w:t>
      </w:r>
      <w:r w:rsidRPr="003D0AE7">
        <w:rPr>
          <w:rFonts w:ascii="Abadi" w:hAnsi="Abadi" w:cs="*Arial-Italic-9442-Identity-H"/>
          <w:i/>
          <w:iCs/>
          <w:color w:val="0C0C0F"/>
          <w:sz w:val="21"/>
          <w:szCs w:val="21"/>
        </w:rPr>
        <w:t>«Equipamiento y Servicios</w:t>
      </w:r>
      <w:r>
        <w:rPr>
          <w:rFonts w:ascii="Abadi" w:hAnsi="Abadi" w:cs="*Arial-Italic-9442-Identity-H"/>
          <w:i/>
          <w:iCs/>
          <w:color w:val="0C0C0F"/>
          <w:sz w:val="21"/>
          <w:szCs w:val="21"/>
        </w:rPr>
        <w:t xml:space="preserve"> </w:t>
      </w:r>
      <w:r w:rsidRPr="003D0AE7">
        <w:rPr>
          <w:rFonts w:ascii="Abadi" w:hAnsi="Abadi" w:cs="*Arial-Italic-9442-Identity-H"/>
          <w:i/>
          <w:iCs/>
          <w:color w:val="0C0C0F"/>
          <w:sz w:val="21"/>
          <w:szCs w:val="21"/>
        </w:rPr>
        <w:t xml:space="preserve">Públicos Urbanos. 3.1.4», </w:t>
      </w:r>
      <w:r w:rsidRPr="003D0AE7">
        <w:rPr>
          <w:rFonts w:ascii="Abadi" w:hAnsi="Abadi" w:cs="*Arial-9441-Identity-H"/>
          <w:color w:val="0C0C0F"/>
          <w:sz w:val="21"/>
          <w:szCs w:val="21"/>
        </w:rPr>
        <w:t xml:space="preserve">a través del programa </w:t>
      </w:r>
      <w:r w:rsidRPr="003D0AE7">
        <w:rPr>
          <w:rFonts w:ascii="Abadi" w:hAnsi="Abadi" w:cs="*Arial-Italic-9442-Identity-H"/>
          <w:i/>
          <w:iCs/>
          <w:color w:val="0C0C0F"/>
          <w:sz w:val="21"/>
          <w:szCs w:val="21"/>
        </w:rPr>
        <w:t>Mejorar las Condiciones del</w:t>
      </w:r>
      <w:r>
        <w:rPr>
          <w:rFonts w:ascii="Abadi" w:hAnsi="Abadi" w:cs="*Arial-Italic-9442-Identity-H"/>
          <w:i/>
          <w:iCs/>
          <w:color w:val="0C0C0F"/>
          <w:sz w:val="21"/>
          <w:szCs w:val="21"/>
        </w:rPr>
        <w:t xml:space="preserve"> </w:t>
      </w:r>
      <w:r w:rsidRPr="003D0AE7">
        <w:rPr>
          <w:rFonts w:ascii="Abadi" w:hAnsi="Abadi" w:cs="*Arial-Italic-9442-Identity-H"/>
          <w:i/>
          <w:iCs/>
          <w:color w:val="0C0C0F"/>
          <w:sz w:val="21"/>
          <w:szCs w:val="21"/>
        </w:rPr>
        <w:t xml:space="preserve">Equipamiento y los Servicios Públicos, </w:t>
      </w:r>
      <w:r w:rsidRPr="003D0AE7">
        <w:rPr>
          <w:rFonts w:ascii="Abadi" w:hAnsi="Abadi" w:cs="*Arial-9441-Identity-H"/>
          <w:color w:val="0C0C0F"/>
          <w:sz w:val="21"/>
          <w:szCs w:val="21"/>
        </w:rPr>
        <w:t xml:space="preserve">considera en su línea de acción </w:t>
      </w:r>
      <w:r w:rsidRPr="003D0AE7">
        <w:rPr>
          <w:rFonts w:ascii="Abadi" w:hAnsi="Abadi" w:cs="*Arial-Italic-9442-Identity-H"/>
          <w:i/>
          <w:iCs/>
          <w:color w:val="0C0C0F"/>
          <w:sz w:val="21"/>
          <w:szCs w:val="21"/>
        </w:rPr>
        <w:t>3.1.4.3</w:t>
      </w:r>
      <w:r>
        <w:rPr>
          <w:rFonts w:ascii="Abadi" w:hAnsi="Abadi" w:cs="*Arial-Italic-9442-Identity-H"/>
          <w:i/>
          <w:iCs/>
          <w:color w:val="0C0C0F"/>
          <w:sz w:val="21"/>
          <w:szCs w:val="21"/>
        </w:rPr>
        <w:t xml:space="preserve"> </w:t>
      </w:r>
      <w:r w:rsidRPr="003D0AE7">
        <w:rPr>
          <w:rFonts w:ascii="Abadi" w:hAnsi="Abadi" w:cs="*Arial-Italic-9442-Identity-H"/>
          <w:i/>
          <w:iCs/>
          <w:color w:val="0C0C0F"/>
          <w:sz w:val="21"/>
          <w:szCs w:val="21"/>
        </w:rPr>
        <w:t>Ampliar la capacidad de atención a la demanda de mantenimiento de alumbrado</w:t>
      </w:r>
      <w:r>
        <w:rPr>
          <w:rFonts w:ascii="Abadi" w:hAnsi="Abadi" w:cs="*Arial-Italic-9442-Identity-H"/>
          <w:i/>
          <w:iCs/>
          <w:color w:val="0C0C0F"/>
          <w:sz w:val="21"/>
          <w:szCs w:val="21"/>
        </w:rPr>
        <w:t xml:space="preserve"> </w:t>
      </w:r>
      <w:r w:rsidRPr="003D0AE7">
        <w:rPr>
          <w:rFonts w:ascii="Abadi" w:hAnsi="Abadi" w:cs="*Arial-Italic-9442-Identity-H"/>
          <w:i/>
          <w:iCs/>
          <w:color w:val="0C0C0F"/>
          <w:sz w:val="21"/>
          <w:szCs w:val="21"/>
        </w:rPr>
        <w:t xml:space="preserve">público y trabajos relacionados con el mismo, </w:t>
      </w:r>
      <w:r w:rsidRPr="003D0AE7">
        <w:rPr>
          <w:rFonts w:ascii="Abadi" w:hAnsi="Abadi" w:cs="*Arial-9441-Identity-H"/>
          <w:color w:val="0C0C0F"/>
          <w:sz w:val="21"/>
          <w:szCs w:val="21"/>
        </w:rPr>
        <w:t>el cual establece como unidad</w:t>
      </w:r>
      <w:r>
        <w:rPr>
          <w:rFonts w:ascii="Abadi" w:hAnsi="Abadi" w:cs="*Arial-9441-Identity-H"/>
          <w:color w:val="0C0C0F"/>
          <w:sz w:val="21"/>
          <w:szCs w:val="21"/>
        </w:rPr>
        <w:t xml:space="preserve"> </w:t>
      </w:r>
      <w:r w:rsidRPr="003D0AE7">
        <w:rPr>
          <w:rFonts w:ascii="Abadi" w:hAnsi="Abadi" w:cs="*Arial-9441-Identity-H"/>
          <w:color w:val="0C0C0F"/>
          <w:sz w:val="21"/>
          <w:szCs w:val="21"/>
        </w:rPr>
        <w:t>responsable a Servicios Públicos Municipales, estableciendo como meta crear el</w:t>
      </w:r>
      <w:r>
        <w:rPr>
          <w:rFonts w:ascii="Abadi" w:hAnsi="Abadi" w:cs="*Arial-9441-Identity-H"/>
          <w:color w:val="0C0C0F"/>
          <w:sz w:val="21"/>
          <w:szCs w:val="21"/>
        </w:rPr>
        <w:t xml:space="preserve"> </w:t>
      </w:r>
      <w:r w:rsidRPr="003D0AE7">
        <w:rPr>
          <w:rFonts w:ascii="Abadi" w:hAnsi="Abadi" w:cs="*Arial-9441-Identity-H"/>
          <w:color w:val="0C0C0F"/>
          <w:sz w:val="21"/>
          <w:szCs w:val="21"/>
        </w:rPr>
        <w:t xml:space="preserve">turno vespertino de atención; asimismo, se ubica el programa </w:t>
      </w:r>
      <w:r w:rsidRPr="003D0AE7">
        <w:rPr>
          <w:rFonts w:ascii="Abadi" w:hAnsi="Abadi" w:cs="*Arial-Italic-9442-Identity-H"/>
          <w:i/>
          <w:iCs/>
          <w:color w:val="0C0C0F"/>
          <w:sz w:val="21"/>
          <w:szCs w:val="21"/>
        </w:rPr>
        <w:t>Purísima Iluminado,</w:t>
      </w:r>
      <w:r>
        <w:rPr>
          <w:rFonts w:ascii="Abadi" w:hAnsi="Abadi" w:cs="*Arial-Italic-9442-Identity-H"/>
          <w:i/>
          <w:iCs/>
          <w:color w:val="0C0C0F"/>
          <w:sz w:val="21"/>
          <w:szCs w:val="21"/>
        </w:rPr>
        <w:t xml:space="preserve"> </w:t>
      </w:r>
      <w:r w:rsidRPr="003D0AE7">
        <w:rPr>
          <w:rFonts w:ascii="Abadi" w:hAnsi="Abadi" w:cs="*Arial-9441-Identity-H"/>
          <w:color w:val="0C0C0F"/>
          <w:sz w:val="21"/>
          <w:szCs w:val="21"/>
        </w:rPr>
        <w:t>cuyo objetivo es mejorar la imagen de la ciudad mediante la atención y renovación</w:t>
      </w:r>
      <w:r>
        <w:rPr>
          <w:rFonts w:ascii="Abadi" w:hAnsi="Abadi" w:cs="*Arial-9441-Identity-H"/>
          <w:color w:val="0C0C0F"/>
          <w:sz w:val="21"/>
          <w:szCs w:val="21"/>
        </w:rPr>
        <w:t xml:space="preserve"> </w:t>
      </w:r>
      <w:r w:rsidRPr="003D0AE7">
        <w:rPr>
          <w:rFonts w:ascii="Abadi" w:hAnsi="Abadi" w:cs="*Arial-9441-Identity-H"/>
          <w:color w:val="0C0C0F"/>
          <w:sz w:val="21"/>
          <w:szCs w:val="21"/>
        </w:rPr>
        <w:t>del alumbrado público, con las líneas de acción 3.1.4.8 Reemplazar luminarias</w:t>
      </w:r>
      <w:r>
        <w:rPr>
          <w:rFonts w:ascii="Abadi" w:hAnsi="Abadi" w:cs="*Arial-9441-Identity-H"/>
          <w:color w:val="0C0C0F"/>
          <w:sz w:val="21"/>
          <w:szCs w:val="21"/>
        </w:rPr>
        <w:t xml:space="preserve"> </w:t>
      </w:r>
      <w:r w:rsidRPr="003D0AE7">
        <w:rPr>
          <w:rFonts w:ascii="Abadi" w:hAnsi="Abadi" w:cs="*Arial-9441-Identity-H"/>
          <w:color w:val="0C0C0F"/>
          <w:sz w:val="21"/>
          <w:szCs w:val="21"/>
        </w:rPr>
        <w:t>convencionales con tecnología LED, de la que es responsable Servicios Públicos</w:t>
      </w:r>
      <w:r>
        <w:rPr>
          <w:rFonts w:ascii="Abadi" w:hAnsi="Abadi" w:cs="*Arial-9441-Identity-H"/>
          <w:color w:val="0C0C0F"/>
          <w:sz w:val="21"/>
          <w:szCs w:val="21"/>
        </w:rPr>
        <w:t xml:space="preserve"> </w:t>
      </w:r>
      <w:r w:rsidRPr="003D0AE7">
        <w:rPr>
          <w:rFonts w:ascii="Abadi" w:hAnsi="Abadi" w:cs="*Arial-9441-Identity-H"/>
          <w:color w:val="0C0C0F"/>
          <w:sz w:val="21"/>
          <w:szCs w:val="21"/>
        </w:rPr>
        <w:t xml:space="preserve">Municipales, con una meta de 300 luminarias nuevas con el indicador </w:t>
      </w:r>
      <w:r w:rsidRPr="003D0AE7">
        <w:rPr>
          <w:rFonts w:ascii="Abadi" w:hAnsi="Abadi" w:cs="*Arial-Italic-9442-Identity-H"/>
          <w:i/>
          <w:iCs/>
          <w:color w:val="0C0C0F"/>
          <w:sz w:val="21"/>
          <w:szCs w:val="21"/>
        </w:rPr>
        <w:t>porcentaje</w:t>
      </w:r>
      <w:r>
        <w:rPr>
          <w:rFonts w:ascii="Abadi" w:hAnsi="Abadi" w:cs="*Arial-Italic-9442-Identity-H"/>
          <w:i/>
          <w:iCs/>
          <w:color w:val="0C0C0F"/>
          <w:sz w:val="21"/>
          <w:szCs w:val="21"/>
        </w:rPr>
        <w:t xml:space="preserve"> </w:t>
      </w:r>
      <w:r w:rsidRPr="003D0AE7">
        <w:rPr>
          <w:rFonts w:ascii="Abadi" w:hAnsi="Abadi" w:cs="*Arial-Italic-9442-Identity-H"/>
          <w:i/>
          <w:iCs/>
          <w:color w:val="0C0C0F"/>
          <w:sz w:val="21"/>
          <w:szCs w:val="21"/>
        </w:rPr>
        <w:t xml:space="preserve">de colonias con luminarias LEO. </w:t>
      </w:r>
      <w:r w:rsidRPr="003D0AE7">
        <w:rPr>
          <w:rFonts w:ascii="Abadi" w:hAnsi="Abadi" w:cs="*Arial-9441-Identity-H"/>
          <w:color w:val="0C0C0F"/>
          <w:sz w:val="21"/>
          <w:szCs w:val="21"/>
        </w:rPr>
        <w:t>De lo anterior, se desprende que, para la</w:t>
      </w:r>
      <w:r>
        <w:rPr>
          <w:rFonts w:ascii="Abadi" w:hAnsi="Abadi" w:cs="*Arial-9441-Identity-H"/>
          <w:color w:val="0C0C0F"/>
          <w:sz w:val="21"/>
          <w:szCs w:val="21"/>
        </w:rPr>
        <w:t xml:space="preserve"> </w:t>
      </w:r>
      <w:r w:rsidRPr="003D0AE7">
        <w:rPr>
          <w:rFonts w:ascii="Abadi" w:hAnsi="Abadi" w:cs="*Arial-9441-Identity-H"/>
          <w:color w:val="0C0C0F"/>
          <w:sz w:val="21"/>
          <w:szCs w:val="21"/>
        </w:rPr>
        <w:t xml:space="preserve">administración pública municipal de Purísima del Rincón, </w:t>
      </w:r>
      <w:proofErr w:type="spellStart"/>
      <w:r w:rsidRPr="003D0AE7">
        <w:rPr>
          <w:rFonts w:ascii="Abadi" w:hAnsi="Abadi" w:cs="*Arial-9441-Identity-H"/>
          <w:color w:val="0C0C0F"/>
          <w:sz w:val="21"/>
          <w:szCs w:val="21"/>
        </w:rPr>
        <w:t>Gto</w:t>
      </w:r>
      <w:proofErr w:type="spellEnd"/>
      <w:r w:rsidRPr="003D0AE7">
        <w:rPr>
          <w:rFonts w:ascii="Abadi" w:hAnsi="Abadi" w:cs="*Arial-9441-Identity-H"/>
          <w:color w:val="0C0C0F"/>
          <w:sz w:val="21"/>
          <w:szCs w:val="21"/>
        </w:rPr>
        <w:t>., el servicio de</w:t>
      </w:r>
      <w:r>
        <w:rPr>
          <w:rFonts w:ascii="Abadi" w:hAnsi="Abadi" w:cs="*Arial-9441-Identity-H"/>
          <w:color w:val="0C0C0F"/>
          <w:sz w:val="21"/>
          <w:szCs w:val="21"/>
        </w:rPr>
        <w:t xml:space="preserve"> </w:t>
      </w:r>
      <w:r w:rsidRPr="003D0AE7">
        <w:rPr>
          <w:rFonts w:ascii="Abadi" w:hAnsi="Abadi" w:cs="*Arial-9441-Identity-H"/>
          <w:color w:val="0C0C0F"/>
          <w:sz w:val="21"/>
          <w:szCs w:val="21"/>
        </w:rPr>
        <w:t>alumbrado público fue un tema prioritario.</w:t>
      </w:r>
    </w:p>
    <w:p w14:paraId="5B8828EA" w14:textId="77777777" w:rsidR="0016773C" w:rsidRPr="003D0AE7" w:rsidRDefault="0016773C" w:rsidP="0016773C">
      <w:pPr>
        <w:autoSpaceDE w:val="0"/>
        <w:autoSpaceDN w:val="0"/>
        <w:adjustRightInd w:val="0"/>
        <w:jc w:val="both"/>
        <w:rPr>
          <w:rFonts w:ascii="Abadi" w:hAnsi="Abadi" w:cs="*Arial-9441-Identity-H"/>
          <w:color w:val="0C0C0F"/>
          <w:sz w:val="21"/>
          <w:szCs w:val="21"/>
        </w:rPr>
      </w:pPr>
    </w:p>
    <w:p w14:paraId="119691A5" w14:textId="77777777" w:rsidR="0016773C" w:rsidRDefault="0016773C" w:rsidP="0016773C">
      <w:pPr>
        <w:autoSpaceDE w:val="0"/>
        <w:autoSpaceDN w:val="0"/>
        <w:adjustRightInd w:val="0"/>
        <w:ind w:firstLine="708"/>
        <w:jc w:val="both"/>
        <w:rPr>
          <w:rFonts w:ascii="Abadi" w:hAnsi="Abadi" w:cs="*Arial-Italic-9442-Identity-H"/>
          <w:i/>
          <w:iCs/>
          <w:color w:val="0C0C0E"/>
          <w:sz w:val="21"/>
          <w:szCs w:val="21"/>
        </w:rPr>
      </w:pPr>
      <w:r w:rsidRPr="003D0AE7">
        <w:rPr>
          <w:rFonts w:ascii="Abadi" w:hAnsi="Abadi" w:cs="*Arial-9441-Identity-H"/>
          <w:color w:val="0C0C0E"/>
          <w:sz w:val="21"/>
          <w:szCs w:val="21"/>
        </w:rPr>
        <w:t>Es así, que el sujeto fiscalizado para contribuir a las metas y objetivos del</w:t>
      </w:r>
      <w:r>
        <w:rPr>
          <w:rFonts w:ascii="Abadi" w:hAnsi="Abadi" w:cs="*Arial-9441-Identity-H"/>
          <w:color w:val="0C0C0E"/>
          <w:sz w:val="21"/>
          <w:szCs w:val="21"/>
        </w:rPr>
        <w:t xml:space="preserve"> </w:t>
      </w:r>
      <w:r w:rsidRPr="003D0AE7">
        <w:rPr>
          <w:rFonts w:ascii="Abadi" w:hAnsi="Abadi" w:cs="*Arial-9441-Identity-H"/>
          <w:color w:val="0C0C0E"/>
          <w:sz w:val="21"/>
          <w:szCs w:val="21"/>
        </w:rPr>
        <w:t>Programa de Gobierno Municipal incluyó, para el ejercicio 2020, el programa</w:t>
      </w:r>
      <w:r>
        <w:rPr>
          <w:rFonts w:ascii="Abadi" w:hAnsi="Abadi" w:cs="*Arial-9441-Identity-H"/>
          <w:color w:val="0C0C0E"/>
          <w:sz w:val="21"/>
          <w:szCs w:val="21"/>
        </w:rPr>
        <w:t xml:space="preserve"> </w:t>
      </w:r>
      <w:r w:rsidRPr="003D0AE7">
        <w:rPr>
          <w:rFonts w:ascii="Abadi" w:hAnsi="Abadi" w:cs="*Arial-9441-Identity-H"/>
          <w:color w:val="0C0C0E"/>
          <w:sz w:val="21"/>
          <w:szCs w:val="21"/>
        </w:rPr>
        <w:t xml:space="preserve">presupuestario </w:t>
      </w:r>
      <w:r w:rsidRPr="003D0AE7">
        <w:rPr>
          <w:rFonts w:ascii="Abadi" w:hAnsi="Abadi" w:cs="*Arial-Italic-9442-Identity-H"/>
          <w:i/>
          <w:iCs/>
          <w:color w:val="0C0C0E"/>
          <w:sz w:val="21"/>
          <w:szCs w:val="21"/>
        </w:rPr>
        <w:t xml:space="preserve">E0032 Servicio de Alumbrado Público, </w:t>
      </w:r>
      <w:r w:rsidRPr="003D0AE7">
        <w:rPr>
          <w:rFonts w:ascii="Abadi" w:hAnsi="Abadi" w:cs="*Arial-9441-Identity-H"/>
          <w:color w:val="0C0C0E"/>
          <w:sz w:val="21"/>
          <w:szCs w:val="21"/>
        </w:rPr>
        <w:t>mismo que se identificó en</w:t>
      </w:r>
      <w:r>
        <w:rPr>
          <w:rFonts w:ascii="Abadi" w:hAnsi="Abadi" w:cs="*Arial-9441-Identity-H"/>
          <w:color w:val="0C0C0E"/>
          <w:sz w:val="21"/>
          <w:szCs w:val="21"/>
        </w:rPr>
        <w:t xml:space="preserve"> </w:t>
      </w:r>
      <w:r w:rsidRPr="003D0AE7">
        <w:rPr>
          <w:rFonts w:ascii="Abadi" w:hAnsi="Abadi" w:cs="*Arial-9441-Identity-H"/>
          <w:color w:val="0C0C0E"/>
          <w:sz w:val="21"/>
          <w:szCs w:val="21"/>
        </w:rPr>
        <w:t xml:space="preserve">la cuenta pública del ejercicio 2020, y el cual establece como Fin </w:t>
      </w:r>
      <w:r w:rsidRPr="003D0AE7">
        <w:rPr>
          <w:rFonts w:ascii="Abadi" w:hAnsi="Abadi" w:cs="*Arial-Italic-9442-Identity-H"/>
          <w:i/>
          <w:iCs/>
          <w:color w:val="0C0C0E"/>
          <w:sz w:val="21"/>
          <w:szCs w:val="21"/>
        </w:rPr>
        <w:t xml:space="preserve">Contribuir </w:t>
      </w:r>
      <w:r w:rsidRPr="003D0AE7">
        <w:rPr>
          <w:rFonts w:ascii="Abadi" w:hAnsi="Abadi" w:cs="*Arial-9441-Identity-H"/>
          <w:color w:val="0C0C0E"/>
          <w:sz w:val="21"/>
          <w:szCs w:val="21"/>
        </w:rPr>
        <w:t xml:space="preserve">a </w:t>
      </w:r>
      <w:r w:rsidRPr="003D0AE7">
        <w:rPr>
          <w:rFonts w:ascii="Abadi" w:hAnsi="Abadi" w:cs="*Arial-Italic-9442-Identity-H"/>
          <w:i/>
          <w:iCs/>
          <w:color w:val="0C0C0E"/>
          <w:sz w:val="21"/>
          <w:szCs w:val="21"/>
        </w:rPr>
        <w:t>una</w:t>
      </w:r>
      <w:r>
        <w:rPr>
          <w:rFonts w:ascii="Abadi" w:hAnsi="Abadi" w:cs="*Arial-Italic-9442-Identity-H"/>
          <w:i/>
          <w:iCs/>
          <w:color w:val="0C0C0E"/>
          <w:sz w:val="21"/>
          <w:szCs w:val="21"/>
        </w:rPr>
        <w:t xml:space="preserve"> </w:t>
      </w:r>
      <w:r w:rsidRPr="003D0AE7">
        <w:rPr>
          <w:rFonts w:ascii="Abadi" w:hAnsi="Abadi" w:cs="*Arial-Italic-9442-Identity-H"/>
          <w:i/>
          <w:iCs/>
          <w:color w:val="0C0C0E"/>
          <w:sz w:val="21"/>
          <w:szCs w:val="21"/>
        </w:rPr>
        <w:t xml:space="preserve">mayor seguridad en el Municipio, a través de brindar </w:t>
      </w:r>
      <w:r w:rsidRPr="003D0AE7">
        <w:rPr>
          <w:rFonts w:ascii="Abadi" w:hAnsi="Abadi" w:cs="*Arial-9441-Identity-H"/>
          <w:color w:val="0C0C0E"/>
          <w:sz w:val="21"/>
          <w:szCs w:val="21"/>
        </w:rPr>
        <w:t xml:space="preserve">a </w:t>
      </w:r>
      <w:r w:rsidRPr="003D0AE7">
        <w:rPr>
          <w:rFonts w:ascii="Abadi" w:hAnsi="Abadi" w:cs="*Arial-Italic-9442-Identity-H"/>
          <w:i/>
          <w:iCs/>
          <w:color w:val="0C0C0E"/>
          <w:sz w:val="21"/>
          <w:szCs w:val="21"/>
        </w:rPr>
        <w:t>la ciudadanía un adecuado</w:t>
      </w:r>
      <w:r>
        <w:rPr>
          <w:rFonts w:ascii="Abadi" w:hAnsi="Abadi" w:cs="*Arial-Italic-9442-Identity-H"/>
          <w:i/>
          <w:iCs/>
          <w:color w:val="0C0C0E"/>
          <w:sz w:val="21"/>
          <w:szCs w:val="21"/>
        </w:rPr>
        <w:t xml:space="preserve"> </w:t>
      </w:r>
      <w:r w:rsidRPr="003D0AE7">
        <w:rPr>
          <w:rFonts w:ascii="Abadi" w:hAnsi="Abadi" w:cs="*Arial-Italic-9442-Identity-H"/>
          <w:i/>
          <w:iCs/>
          <w:color w:val="0C0C0E"/>
          <w:sz w:val="21"/>
          <w:szCs w:val="21"/>
        </w:rPr>
        <w:t xml:space="preserve">alumbrado público, </w:t>
      </w:r>
      <w:r w:rsidRPr="003D0AE7">
        <w:rPr>
          <w:rFonts w:ascii="Abadi" w:hAnsi="Abadi" w:cs="*Arial-9441-Identity-H"/>
          <w:color w:val="0C0C0E"/>
          <w:sz w:val="21"/>
          <w:szCs w:val="21"/>
        </w:rPr>
        <w:t xml:space="preserve">y como Propósito </w:t>
      </w:r>
      <w:r w:rsidRPr="003D0AE7">
        <w:rPr>
          <w:rFonts w:ascii="Abadi" w:hAnsi="Abadi" w:cs="*Arial-Italic-9442-Identity-H"/>
          <w:i/>
          <w:iCs/>
          <w:color w:val="0C0C0E"/>
          <w:sz w:val="21"/>
          <w:szCs w:val="21"/>
        </w:rPr>
        <w:t>La ciudadanía cuenta con un adecuado</w:t>
      </w:r>
      <w:r>
        <w:rPr>
          <w:rFonts w:ascii="Abadi" w:hAnsi="Abadi" w:cs="*Arial-Italic-9442-Identity-H"/>
          <w:i/>
          <w:iCs/>
          <w:color w:val="0C0C0E"/>
          <w:sz w:val="21"/>
          <w:szCs w:val="21"/>
        </w:rPr>
        <w:t xml:space="preserve"> </w:t>
      </w:r>
      <w:r w:rsidRPr="003D0AE7">
        <w:rPr>
          <w:rFonts w:ascii="Abadi" w:hAnsi="Abadi" w:cs="*Arial-Italic-9442-Identity-H"/>
          <w:i/>
          <w:iCs/>
          <w:color w:val="0C0C0E"/>
          <w:sz w:val="21"/>
          <w:szCs w:val="21"/>
        </w:rPr>
        <w:t>servicio de alumbrado público.</w:t>
      </w:r>
    </w:p>
    <w:p w14:paraId="585E2B5A" w14:textId="77777777" w:rsidR="0016773C" w:rsidRPr="003D0AE7" w:rsidRDefault="0016773C" w:rsidP="0016773C">
      <w:pPr>
        <w:autoSpaceDE w:val="0"/>
        <w:autoSpaceDN w:val="0"/>
        <w:adjustRightInd w:val="0"/>
        <w:jc w:val="both"/>
        <w:rPr>
          <w:rFonts w:ascii="Abadi" w:hAnsi="Abadi" w:cs="*Arial-Italic-9442-Identity-H"/>
          <w:i/>
          <w:iCs/>
          <w:color w:val="0C0C0E"/>
          <w:sz w:val="21"/>
          <w:szCs w:val="21"/>
        </w:rPr>
      </w:pPr>
    </w:p>
    <w:p w14:paraId="2FB1EF51" w14:textId="77777777" w:rsidR="0016773C" w:rsidRDefault="0016773C" w:rsidP="0016773C">
      <w:pPr>
        <w:autoSpaceDE w:val="0"/>
        <w:autoSpaceDN w:val="0"/>
        <w:adjustRightInd w:val="0"/>
        <w:ind w:firstLine="708"/>
        <w:jc w:val="both"/>
        <w:rPr>
          <w:rFonts w:ascii="Abadi" w:hAnsi="Abadi" w:cs="*Arial-9441-Identity-H"/>
          <w:color w:val="0C0B0E"/>
          <w:sz w:val="21"/>
          <w:szCs w:val="21"/>
        </w:rPr>
      </w:pPr>
      <w:r w:rsidRPr="003D0AE7">
        <w:rPr>
          <w:rFonts w:ascii="Abadi" w:hAnsi="Abadi" w:cs="*Arial-9441-Identity-H"/>
          <w:color w:val="0C0B0E"/>
          <w:sz w:val="21"/>
          <w:szCs w:val="21"/>
        </w:rPr>
        <w:t>En razón de lo anterior, se planteó como objetivo general de la auditoría</w:t>
      </w:r>
      <w:r>
        <w:rPr>
          <w:rFonts w:ascii="Abadi" w:hAnsi="Abadi" w:cs="*Arial-9441-Identity-H"/>
          <w:color w:val="0C0B0E"/>
          <w:sz w:val="21"/>
          <w:szCs w:val="21"/>
        </w:rPr>
        <w:t xml:space="preserve"> </w:t>
      </w:r>
      <w:r w:rsidRPr="003D0AE7">
        <w:rPr>
          <w:rFonts w:ascii="Abadi" w:hAnsi="Abadi" w:cs="*Arial-9441-Identity-H"/>
          <w:color w:val="0C0B0E"/>
          <w:sz w:val="21"/>
          <w:szCs w:val="21"/>
        </w:rPr>
        <w:t>verificar la capacidad del Municipio para la prestación eficaz del servicio de</w:t>
      </w:r>
      <w:r>
        <w:rPr>
          <w:rFonts w:ascii="Abadi" w:hAnsi="Abadi" w:cs="*Arial-9441-Identity-H"/>
          <w:color w:val="0C0B0E"/>
          <w:sz w:val="21"/>
          <w:szCs w:val="21"/>
        </w:rPr>
        <w:t xml:space="preserve"> </w:t>
      </w:r>
      <w:r w:rsidRPr="003D0AE7">
        <w:rPr>
          <w:rFonts w:ascii="Abadi" w:hAnsi="Abadi" w:cs="*Arial-9441-Identity-H"/>
          <w:color w:val="0C0B0E"/>
          <w:sz w:val="21"/>
          <w:szCs w:val="21"/>
        </w:rPr>
        <w:t>alumbrado público y la eficiencia en sus funciones de planificación, operación y</w:t>
      </w:r>
      <w:r>
        <w:rPr>
          <w:rFonts w:ascii="Abadi" w:hAnsi="Abadi" w:cs="*Arial-9441-Identity-H"/>
          <w:color w:val="0C0B0E"/>
          <w:sz w:val="21"/>
          <w:szCs w:val="21"/>
        </w:rPr>
        <w:t xml:space="preserve"> </w:t>
      </w:r>
      <w:r w:rsidRPr="003D0AE7">
        <w:rPr>
          <w:rFonts w:ascii="Abadi" w:hAnsi="Abadi" w:cs="*Arial-9441-Identity-H"/>
          <w:color w:val="0C0B0E"/>
          <w:sz w:val="21"/>
          <w:szCs w:val="21"/>
        </w:rPr>
        <w:t>seguimiento, en el ejercicio 2020.</w:t>
      </w:r>
    </w:p>
    <w:p w14:paraId="5836C52D" w14:textId="77777777" w:rsidR="0016773C" w:rsidRPr="003D0AE7" w:rsidRDefault="0016773C" w:rsidP="0016773C">
      <w:pPr>
        <w:autoSpaceDE w:val="0"/>
        <w:autoSpaceDN w:val="0"/>
        <w:adjustRightInd w:val="0"/>
        <w:jc w:val="both"/>
        <w:rPr>
          <w:rFonts w:ascii="Abadi" w:hAnsi="Abadi" w:cs="*Arial-9441-Identity-H"/>
          <w:color w:val="0C0B0E"/>
          <w:sz w:val="21"/>
          <w:szCs w:val="21"/>
        </w:rPr>
      </w:pPr>
    </w:p>
    <w:p w14:paraId="48372584" w14:textId="77777777" w:rsidR="0016773C" w:rsidRDefault="0016773C" w:rsidP="0016773C">
      <w:pPr>
        <w:autoSpaceDE w:val="0"/>
        <w:autoSpaceDN w:val="0"/>
        <w:adjustRightInd w:val="0"/>
        <w:ind w:firstLine="708"/>
        <w:jc w:val="both"/>
        <w:rPr>
          <w:rFonts w:ascii="Abadi" w:hAnsi="Abadi" w:cs="*Arial-5621-Identity-H"/>
          <w:color w:val="0B0A0E"/>
          <w:sz w:val="21"/>
          <w:szCs w:val="21"/>
        </w:rPr>
      </w:pPr>
      <w:r w:rsidRPr="003D0AE7">
        <w:rPr>
          <w:rFonts w:ascii="Abadi" w:hAnsi="Abadi" w:cs="*Arial-9441-Identity-H"/>
          <w:color w:val="0C0C0E"/>
          <w:sz w:val="21"/>
          <w:szCs w:val="21"/>
        </w:rPr>
        <w:t>En el apartado correspondiente a la unidad responsable de la materia por</w:t>
      </w:r>
      <w:r>
        <w:rPr>
          <w:rFonts w:ascii="Abadi" w:hAnsi="Abadi" w:cs="*Arial-9441-Identity-H"/>
          <w:color w:val="0C0C0E"/>
          <w:sz w:val="21"/>
          <w:szCs w:val="21"/>
        </w:rPr>
        <w:t xml:space="preserve"> </w:t>
      </w:r>
      <w:r w:rsidRPr="003D0AE7">
        <w:rPr>
          <w:rFonts w:ascii="Abadi" w:hAnsi="Abadi" w:cs="*Arial-9441-Identity-H"/>
          <w:color w:val="0C0C0E"/>
          <w:sz w:val="21"/>
          <w:szCs w:val="21"/>
        </w:rPr>
        <w:t>auditar se refiere que el artículo 124 de la Ley Orgánica Municipal para el Estado</w:t>
      </w:r>
      <w:r>
        <w:rPr>
          <w:rFonts w:ascii="Abadi" w:hAnsi="Abadi" w:cs="*Arial-9441-Identity-H"/>
          <w:color w:val="0C0C0E"/>
          <w:sz w:val="21"/>
          <w:szCs w:val="21"/>
        </w:rPr>
        <w:t xml:space="preserve"> </w:t>
      </w:r>
      <w:r w:rsidRPr="003D0AE7">
        <w:rPr>
          <w:rFonts w:ascii="Abadi" w:hAnsi="Abadi" w:cs="*Arial-9441-Identity-H"/>
          <w:color w:val="0C0C0E"/>
          <w:sz w:val="21"/>
          <w:szCs w:val="21"/>
        </w:rPr>
        <w:t>de Guanajuato prevé que la dependencia de Servicios Municipales será la</w:t>
      </w:r>
      <w:r>
        <w:rPr>
          <w:rFonts w:ascii="Abadi" w:hAnsi="Abadi" w:cs="*Arial-9441-Identity-H"/>
          <w:color w:val="0C0C0E"/>
          <w:sz w:val="21"/>
          <w:szCs w:val="21"/>
        </w:rPr>
        <w:t xml:space="preserve"> </w:t>
      </w:r>
      <w:r w:rsidRPr="003D0AE7">
        <w:rPr>
          <w:rFonts w:ascii="Abadi" w:hAnsi="Abadi" w:cs="*Arial-9441-Identity-H"/>
          <w:color w:val="0C0C0E"/>
          <w:sz w:val="21"/>
          <w:szCs w:val="21"/>
        </w:rPr>
        <w:t>encargada de llevar a cabo la prestación del servicio de alumbrado público en el</w:t>
      </w:r>
      <w:r>
        <w:rPr>
          <w:rFonts w:ascii="Abadi" w:hAnsi="Abadi" w:cs="*Arial-9441-Identity-H"/>
          <w:color w:val="0C0C0E"/>
          <w:sz w:val="21"/>
          <w:szCs w:val="21"/>
        </w:rPr>
        <w:t xml:space="preserve"> </w:t>
      </w:r>
      <w:r w:rsidRPr="003D0AE7">
        <w:rPr>
          <w:rFonts w:ascii="Abadi" w:hAnsi="Abadi" w:cs="*Arial-9441-Identity-H"/>
          <w:color w:val="0C0C0E"/>
          <w:sz w:val="21"/>
          <w:szCs w:val="21"/>
        </w:rPr>
        <w:t>Municipio. Asimismo, los artículos 83 y 83-3 de la citada ley establecen que, el</w:t>
      </w:r>
      <w:r>
        <w:rPr>
          <w:rFonts w:ascii="Abadi" w:hAnsi="Abadi" w:cs="*Arial-9441-Identity-H"/>
          <w:color w:val="0C0C0E"/>
          <w:sz w:val="21"/>
          <w:szCs w:val="21"/>
        </w:rPr>
        <w:t xml:space="preserve"> </w:t>
      </w:r>
      <w:r w:rsidRPr="003D0AE7">
        <w:rPr>
          <w:rFonts w:ascii="Abadi" w:hAnsi="Abadi" w:cs="*Arial-9441-Identity-H"/>
          <w:color w:val="0C0C0E"/>
          <w:sz w:val="21"/>
          <w:szCs w:val="21"/>
        </w:rPr>
        <w:t>Ayuntamiento contará con una Comisión de Obra y Servicios Públicos, la que</w:t>
      </w:r>
      <w:r>
        <w:rPr>
          <w:rFonts w:ascii="Abadi" w:hAnsi="Abadi" w:cs="*Arial-9441-Identity-H"/>
          <w:color w:val="0C0C0E"/>
          <w:sz w:val="21"/>
          <w:szCs w:val="21"/>
        </w:rPr>
        <w:t xml:space="preserve"> </w:t>
      </w:r>
      <w:r w:rsidRPr="003D0AE7">
        <w:rPr>
          <w:rFonts w:ascii="Abadi" w:hAnsi="Abadi" w:cs="*Arial-9441-Identity-H"/>
          <w:color w:val="0C0C0E"/>
          <w:sz w:val="21"/>
          <w:szCs w:val="21"/>
        </w:rPr>
        <w:t>tendrá dentro de sus atribuciones la de promover la prestación puntual, oportuna y</w:t>
      </w:r>
      <w:r>
        <w:rPr>
          <w:rFonts w:ascii="Abadi" w:hAnsi="Abadi" w:cs="*Arial-9441-Identity-H"/>
          <w:color w:val="0C0C0E"/>
          <w:sz w:val="21"/>
          <w:szCs w:val="21"/>
        </w:rPr>
        <w:t xml:space="preserve"> </w:t>
      </w:r>
      <w:r w:rsidRPr="003D0AE7">
        <w:rPr>
          <w:rFonts w:ascii="Abadi" w:hAnsi="Abadi" w:cs="*Arial-5621-Identity-H"/>
          <w:color w:val="0B0A0E"/>
          <w:sz w:val="21"/>
          <w:szCs w:val="21"/>
        </w:rPr>
        <w:t>eficiente de los serv1c1os públicos municipales, de conformidad con las</w:t>
      </w:r>
      <w:r>
        <w:rPr>
          <w:rFonts w:ascii="Abadi" w:hAnsi="Abadi" w:cs="*Arial-5621-Identity-H"/>
          <w:color w:val="0B0A0E"/>
          <w:sz w:val="21"/>
          <w:szCs w:val="21"/>
        </w:rPr>
        <w:t xml:space="preserve"> </w:t>
      </w:r>
      <w:r w:rsidRPr="003D0AE7">
        <w:rPr>
          <w:rFonts w:ascii="Abadi" w:hAnsi="Abadi" w:cs="*Arial-5621-Identity-H"/>
          <w:color w:val="0B0A0E"/>
          <w:sz w:val="21"/>
          <w:szCs w:val="21"/>
        </w:rPr>
        <w:t>disposiciones aplicables.</w:t>
      </w:r>
    </w:p>
    <w:p w14:paraId="06A70E73" w14:textId="77777777" w:rsidR="0016773C" w:rsidRPr="003D0AE7" w:rsidRDefault="0016773C" w:rsidP="0016773C">
      <w:pPr>
        <w:autoSpaceDE w:val="0"/>
        <w:autoSpaceDN w:val="0"/>
        <w:adjustRightInd w:val="0"/>
        <w:jc w:val="both"/>
        <w:rPr>
          <w:rFonts w:ascii="Abadi" w:hAnsi="Abadi" w:cs="*Arial-5621-Identity-H"/>
          <w:color w:val="0B0A0E"/>
          <w:sz w:val="21"/>
          <w:szCs w:val="21"/>
        </w:rPr>
      </w:pPr>
    </w:p>
    <w:p w14:paraId="51E20EEB" w14:textId="77777777" w:rsidR="0016773C" w:rsidRDefault="0016773C" w:rsidP="0016773C">
      <w:pPr>
        <w:autoSpaceDE w:val="0"/>
        <w:autoSpaceDN w:val="0"/>
        <w:adjustRightInd w:val="0"/>
        <w:ind w:firstLine="708"/>
        <w:jc w:val="both"/>
        <w:rPr>
          <w:rFonts w:ascii="Abadi" w:hAnsi="Abadi" w:cs="*Arial-5621-Identity-H"/>
          <w:color w:val="0B0A0D"/>
          <w:sz w:val="21"/>
          <w:szCs w:val="21"/>
        </w:rPr>
      </w:pPr>
      <w:r w:rsidRPr="003D0AE7">
        <w:rPr>
          <w:rFonts w:ascii="Abadi" w:hAnsi="Abadi" w:cs="*Arial-5621-Identity-H"/>
          <w:color w:val="0B0A0D"/>
          <w:sz w:val="21"/>
          <w:szCs w:val="21"/>
        </w:rPr>
        <w:t xml:space="preserve">En virtud de lo anterior, de conformidad a lo establecido en los artículos </w:t>
      </w:r>
      <w:r>
        <w:rPr>
          <w:rFonts w:ascii="Abadi" w:hAnsi="Abadi" w:cs="*Arial-5621-Identity-H"/>
          <w:color w:val="0B0A0D"/>
          <w:sz w:val="21"/>
          <w:szCs w:val="21"/>
        </w:rPr>
        <w:t>10</w:t>
      </w:r>
      <w:r w:rsidRPr="003D0AE7">
        <w:rPr>
          <w:rFonts w:ascii="Abadi" w:hAnsi="Abadi" w:cs="*Arial-5621-Identity-H"/>
          <w:color w:val="0B0A0D"/>
          <w:sz w:val="21"/>
          <w:szCs w:val="21"/>
        </w:rPr>
        <w:t>,</w:t>
      </w:r>
      <w:r>
        <w:rPr>
          <w:rFonts w:ascii="Abadi" w:hAnsi="Abadi" w:cs="*Arial-5621-Identity-H"/>
          <w:color w:val="0B0A0D"/>
          <w:sz w:val="21"/>
          <w:szCs w:val="21"/>
        </w:rPr>
        <w:t xml:space="preserve"> </w:t>
      </w:r>
      <w:r w:rsidRPr="003D0AE7">
        <w:rPr>
          <w:rFonts w:ascii="Abadi" w:hAnsi="Abadi" w:cs="*Arial-5621-Identity-H"/>
          <w:color w:val="0B0A0D"/>
          <w:sz w:val="21"/>
          <w:szCs w:val="21"/>
        </w:rPr>
        <w:t>fracción XI y 29, fracciones, VII, X y XII del Reglamento Orgánico de la</w:t>
      </w:r>
      <w:r>
        <w:rPr>
          <w:rFonts w:ascii="Abadi" w:hAnsi="Abadi" w:cs="*Arial-5621-Identity-H"/>
          <w:color w:val="0B0A0D"/>
          <w:sz w:val="21"/>
          <w:szCs w:val="21"/>
        </w:rPr>
        <w:t xml:space="preserve"> </w:t>
      </w:r>
      <w:r w:rsidRPr="003D0AE7">
        <w:rPr>
          <w:rFonts w:ascii="Abadi" w:hAnsi="Abadi" w:cs="*Arial-5621-Identity-H"/>
          <w:color w:val="0B0A0D"/>
          <w:sz w:val="21"/>
          <w:szCs w:val="21"/>
        </w:rPr>
        <w:t>Administración Pública del municipio de Purísima del Rincón, Guanajuato, la</w:t>
      </w:r>
      <w:r>
        <w:rPr>
          <w:rFonts w:ascii="Abadi" w:hAnsi="Abadi" w:cs="*Arial-5621-Identity-H"/>
          <w:color w:val="0B0A0D"/>
          <w:sz w:val="21"/>
          <w:szCs w:val="21"/>
        </w:rPr>
        <w:t xml:space="preserve"> </w:t>
      </w:r>
      <w:r w:rsidRPr="003D0AE7">
        <w:rPr>
          <w:rFonts w:ascii="Abadi" w:hAnsi="Abadi" w:cs="*Arial-5621-Identity-H"/>
          <w:color w:val="0B0A0D"/>
          <w:sz w:val="21"/>
          <w:szCs w:val="21"/>
        </w:rPr>
        <w:t>unidad responsable del servicio de alumbrado público es la Dirección de Servicios</w:t>
      </w:r>
      <w:r>
        <w:rPr>
          <w:rFonts w:ascii="Abadi" w:hAnsi="Abadi" w:cs="*Arial-5621-Identity-H"/>
          <w:color w:val="0B0A0D"/>
          <w:sz w:val="21"/>
          <w:szCs w:val="21"/>
        </w:rPr>
        <w:t xml:space="preserve"> </w:t>
      </w:r>
      <w:r w:rsidRPr="003D0AE7">
        <w:rPr>
          <w:rFonts w:ascii="Abadi" w:hAnsi="Abadi" w:cs="*Arial-5621-Identity-H"/>
          <w:color w:val="0B0A0D"/>
          <w:sz w:val="21"/>
          <w:szCs w:val="21"/>
        </w:rPr>
        <w:t>Públicos Municipales.</w:t>
      </w:r>
    </w:p>
    <w:p w14:paraId="68632F9A" w14:textId="77777777" w:rsidR="0016773C" w:rsidRPr="003D0AE7" w:rsidRDefault="0016773C" w:rsidP="0016773C">
      <w:pPr>
        <w:autoSpaceDE w:val="0"/>
        <w:autoSpaceDN w:val="0"/>
        <w:adjustRightInd w:val="0"/>
        <w:jc w:val="both"/>
        <w:rPr>
          <w:rFonts w:ascii="Abadi" w:hAnsi="Abadi" w:cs="*Arial-5621-Identity-H"/>
          <w:color w:val="0B0A0D"/>
          <w:sz w:val="21"/>
          <w:szCs w:val="21"/>
        </w:rPr>
      </w:pPr>
    </w:p>
    <w:p w14:paraId="402605CE" w14:textId="77777777" w:rsidR="0016773C" w:rsidRPr="003D0AE7" w:rsidRDefault="0016773C" w:rsidP="0016773C">
      <w:pPr>
        <w:autoSpaceDE w:val="0"/>
        <w:autoSpaceDN w:val="0"/>
        <w:adjustRightInd w:val="0"/>
        <w:jc w:val="both"/>
        <w:rPr>
          <w:rFonts w:ascii="Abadi" w:hAnsi="Abadi" w:cs="*Arial-Bold-5622-Identity-H"/>
          <w:b/>
          <w:bCs/>
          <w:color w:val="0C0C10"/>
          <w:sz w:val="21"/>
          <w:szCs w:val="21"/>
        </w:rPr>
      </w:pPr>
      <w:r w:rsidRPr="003D0AE7">
        <w:rPr>
          <w:rFonts w:ascii="Abadi" w:hAnsi="Abadi" w:cs="*Arial-Bold-5622-Identity-H"/>
          <w:b/>
          <w:bCs/>
          <w:color w:val="0C0C10"/>
          <w:sz w:val="21"/>
          <w:szCs w:val="21"/>
        </w:rPr>
        <w:t>b) Resultado del proceso de fiscalización.</w:t>
      </w:r>
    </w:p>
    <w:p w14:paraId="0DB98808" w14:textId="77777777" w:rsidR="0016773C" w:rsidRPr="003D0AE7" w:rsidRDefault="0016773C" w:rsidP="0016773C">
      <w:pPr>
        <w:autoSpaceDE w:val="0"/>
        <w:autoSpaceDN w:val="0"/>
        <w:adjustRightInd w:val="0"/>
        <w:jc w:val="both"/>
        <w:rPr>
          <w:rFonts w:ascii="Abadi" w:hAnsi="Abadi" w:cs="*Arial-5621-Identity-H"/>
          <w:color w:val="0C0B0F"/>
          <w:sz w:val="21"/>
          <w:szCs w:val="21"/>
        </w:rPr>
      </w:pPr>
      <w:r w:rsidRPr="003D0AE7">
        <w:rPr>
          <w:rFonts w:ascii="Abadi" w:hAnsi="Abadi" w:cs="*Arial-5621-Identity-H"/>
          <w:color w:val="0C0B0F"/>
          <w:sz w:val="21"/>
          <w:szCs w:val="21"/>
        </w:rPr>
        <w:t>En esta parte se señala que los objetivos especificas se desarrollaron en la</w:t>
      </w:r>
      <w:r>
        <w:rPr>
          <w:rFonts w:ascii="Abadi" w:hAnsi="Abadi" w:cs="*Arial-5621-Identity-H"/>
          <w:color w:val="0C0B0F"/>
          <w:sz w:val="21"/>
          <w:szCs w:val="21"/>
        </w:rPr>
        <w:t xml:space="preserve"> </w:t>
      </w:r>
      <w:r w:rsidRPr="003D0AE7">
        <w:rPr>
          <w:rFonts w:ascii="Abadi" w:hAnsi="Abadi" w:cs="*Arial-5621-Identity-H"/>
          <w:color w:val="0C0B0F"/>
          <w:sz w:val="21"/>
          <w:szCs w:val="21"/>
        </w:rPr>
        <w:t>auditoría en siete procedimientos, con los siguientes resultados:</w:t>
      </w:r>
    </w:p>
    <w:p w14:paraId="21A4465E" w14:textId="77777777" w:rsidR="0016773C" w:rsidRDefault="0016773C" w:rsidP="0016773C">
      <w:pPr>
        <w:autoSpaceDE w:val="0"/>
        <w:autoSpaceDN w:val="0"/>
        <w:adjustRightInd w:val="0"/>
        <w:jc w:val="both"/>
        <w:rPr>
          <w:rFonts w:ascii="Abadi" w:hAnsi="Abadi" w:cs="*Arial-Bold-5622-Identity-H"/>
          <w:b/>
          <w:bCs/>
          <w:color w:val="0D0D12"/>
          <w:sz w:val="21"/>
          <w:szCs w:val="21"/>
        </w:rPr>
      </w:pPr>
    </w:p>
    <w:p w14:paraId="362C451D" w14:textId="77777777" w:rsidR="0016773C" w:rsidRPr="003D0AE7" w:rsidRDefault="0016773C" w:rsidP="0016773C">
      <w:pPr>
        <w:autoSpaceDE w:val="0"/>
        <w:autoSpaceDN w:val="0"/>
        <w:adjustRightInd w:val="0"/>
        <w:jc w:val="both"/>
        <w:rPr>
          <w:rFonts w:ascii="Abadi" w:hAnsi="Abadi" w:cs="*Arial-Bold-5622-Identity-H"/>
          <w:b/>
          <w:bCs/>
          <w:color w:val="0D0D12"/>
          <w:sz w:val="21"/>
          <w:szCs w:val="21"/>
        </w:rPr>
      </w:pPr>
      <w:r w:rsidRPr="003D0AE7">
        <w:rPr>
          <w:rFonts w:ascii="Abadi" w:hAnsi="Abadi" w:cs="*Arial-Bold-5622-Identity-H"/>
          <w:b/>
          <w:bCs/>
          <w:color w:val="0D0D12"/>
          <w:sz w:val="21"/>
          <w:szCs w:val="21"/>
        </w:rPr>
        <w:t>Eficiencia:</w:t>
      </w:r>
    </w:p>
    <w:p w14:paraId="5B642F84" w14:textId="77777777" w:rsidR="0016773C" w:rsidRPr="003D0AE7" w:rsidRDefault="0016773C" w:rsidP="0016773C">
      <w:pPr>
        <w:autoSpaceDE w:val="0"/>
        <w:autoSpaceDN w:val="0"/>
        <w:adjustRightInd w:val="0"/>
        <w:ind w:left="426"/>
        <w:jc w:val="both"/>
        <w:rPr>
          <w:rFonts w:ascii="Abadi" w:hAnsi="Abadi" w:cs="*Arial-5621-Identity-H"/>
          <w:color w:val="0B0A0D"/>
          <w:sz w:val="21"/>
          <w:szCs w:val="21"/>
        </w:rPr>
      </w:pPr>
      <w:r w:rsidRPr="003D0AE7">
        <w:rPr>
          <w:rFonts w:ascii="Abadi" w:hAnsi="Abadi" w:cs="*Arial-Bold-5622-Identity-H"/>
          <w:b/>
          <w:bCs/>
          <w:color w:val="0B0A0D"/>
          <w:sz w:val="21"/>
          <w:szCs w:val="21"/>
        </w:rPr>
        <w:t xml:space="preserve">1. </w:t>
      </w:r>
      <w:r w:rsidRPr="003D0AE7">
        <w:rPr>
          <w:rFonts w:ascii="Abadi" w:hAnsi="Abadi" w:cs="*Arial-5621-Identity-H"/>
          <w:color w:val="0B0A0D"/>
          <w:sz w:val="21"/>
          <w:szCs w:val="21"/>
        </w:rPr>
        <w:t>Oferta del servicio de alumbrado público.</w:t>
      </w:r>
    </w:p>
    <w:p w14:paraId="2D7FCDD2" w14:textId="77777777" w:rsidR="0016773C" w:rsidRPr="003D0AE7" w:rsidRDefault="0016773C" w:rsidP="0016773C">
      <w:pPr>
        <w:autoSpaceDE w:val="0"/>
        <w:autoSpaceDN w:val="0"/>
        <w:adjustRightInd w:val="0"/>
        <w:ind w:left="426"/>
        <w:jc w:val="both"/>
        <w:rPr>
          <w:rFonts w:ascii="Abadi" w:hAnsi="Abadi" w:cs="*Arial-5621-Identity-H"/>
          <w:color w:val="0D0D0F"/>
          <w:sz w:val="21"/>
          <w:szCs w:val="21"/>
        </w:rPr>
      </w:pPr>
      <w:r w:rsidRPr="003D0AE7">
        <w:rPr>
          <w:rFonts w:ascii="Abadi" w:hAnsi="Abadi" w:cs="*Arial-Bold-5622-Identity-H"/>
          <w:b/>
          <w:bCs/>
          <w:color w:val="0D0D0F"/>
          <w:sz w:val="21"/>
          <w:szCs w:val="21"/>
        </w:rPr>
        <w:t xml:space="preserve">2. </w:t>
      </w:r>
      <w:r w:rsidRPr="003D0AE7">
        <w:rPr>
          <w:rFonts w:ascii="Abadi" w:hAnsi="Abadi" w:cs="*Arial-5621-Identity-H"/>
          <w:color w:val="0D0D0F"/>
          <w:sz w:val="21"/>
          <w:szCs w:val="21"/>
        </w:rPr>
        <w:t>Presupuestación del servicio.</w:t>
      </w:r>
    </w:p>
    <w:p w14:paraId="1B07B63A" w14:textId="77777777" w:rsidR="0016773C" w:rsidRPr="003D0AE7" w:rsidRDefault="0016773C" w:rsidP="0016773C">
      <w:pPr>
        <w:autoSpaceDE w:val="0"/>
        <w:autoSpaceDN w:val="0"/>
        <w:adjustRightInd w:val="0"/>
        <w:ind w:left="426"/>
        <w:jc w:val="both"/>
        <w:rPr>
          <w:rFonts w:ascii="Abadi" w:hAnsi="Abadi" w:cs="*Arial-5621-Identity-H"/>
          <w:color w:val="0B0B0D"/>
          <w:sz w:val="21"/>
          <w:szCs w:val="21"/>
        </w:rPr>
      </w:pPr>
      <w:r w:rsidRPr="003D0AE7">
        <w:rPr>
          <w:rFonts w:ascii="Abadi" w:hAnsi="Abadi" w:cs="*Arial-5621-Identity-H"/>
          <w:color w:val="0B0B0D"/>
          <w:sz w:val="21"/>
          <w:szCs w:val="21"/>
        </w:rPr>
        <w:t>3. Marco normativo para la prestación del servicio.</w:t>
      </w:r>
    </w:p>
    <w:p w14:paraId="11E686BF" w14:textId="77777777" w:rsidR="0016773C" w:rsidRPr="003D0AE7" w:rsidRDefault="0016773C" w:rsidP="0016773C">
      <w:pPr>
        <w:autoSpaceDE w:val="0"/>
        <w:autoSpaceDN w:val="0"/>
        <w:adjustRightInd w:val="0"/>
        <w:ind w:left="426"/>
        <w:jc w:val="both"/>
        <w:rPr>
          <w:rFonts w:ascii="Abadi" w:hAnsi="Abadi" w:cs="*Arial-5621-Identity-H"/>
          <w:color w:val="0E0F12"/>
          <w:sz w:val="21"/>
          <w:szCs w:val="21"/>
        </w:rPr>
      </w:pPr>
      <w:r w:rsidRPr="003D0AE7">
        <w:rPr>
          <w:rFonts w:ascii="Abadi" w:hAnsi="Abadi" w:cs="*Arial-Bold-5622-Identity-H"/>
          <w:b/>
          <w:bCs/>
          <w:color w:val="0E0F12"/>
          <w:sz w:val="21"/>
          <w:szCs w:val="21"/>
        </w:rPr>
        <w:t xml:space="preserve">4. </w:t>
      </w:r>
      <w:r w:rsidRPr="003D0AE7">
        <w:rPr>
          <w:rFonts w:ascii="Abadi" w:hAnsi="Abadi" w:cs="*Arial-5621-Identity-H"/>
          <w:color w:val="0E0F12"/>
          <w:sz w:val="21"/>
          <w:szCs w:val="21"/>
        </w:rPr>
        <w:t>Planeación del servicio de alumbrado público en el corto plazo.</w:t>
      </w:r>
    </w:p>
    <w:p w14:paraId="53CBFF4A" w14:textId="77777777" w:rsidR="0016773C" w:rsidRPr="003D0AE7" w:rsidRDefault="0016773C" w:rsidP="0016773C">
      <w:pPr>
        <w:autoSpaceDE w:val="0"/>
        <w:autoSpaceDN w:val="0"/>
        <w:adjustRightInd w:val="0"/>
        <w:ind w:left="426"/>
        <w:jc w:val="both"/>
        <w:rPr>
          <w:rFonts w:ascii="Abadi" w:hAnsi="Abadi" w:cs="*Arial-5621-Identity-H"/>
          <w:color w:val="0D0C10"/>
          <w:sz w:val="21"/>
          <w:szCs w:val="21"/>
        </w:rPr>
      </w:pPr>
      <w:r w:rsidRPr="00026B99">
        <w:rPr>
          <w:rFonts w:ascii="Abadi" w:hAnsi="Abadi" w:cs="*Arial-5621-Identity-H"/>
          <w:b/>
          <w:bCs/>
          <w:color w:val="0D0C10"/>
          <w:sz w:val="21"/>
          <w:szCs w:val="21"/>
        </w:rPr>
        <w:t>5.</w:t>
      </w:r>
      <w:r w:rsidRPr="003D0AE7">
        <w:rPr>
          <w:rFonts w:ascii="Abadi" w:hAnsi="Abadi" w:cs="*Arial-5621-Identity-H"/>
          <w:color w:val="0D0C10"/>
          <w:sz w:val="21"/>
          <w:szCs w:val="21"/>
        </w:rPr>
        <w:t xml:space="preserve"> Participación ciudadana en el reporte de fallas del servicio.</w:t>
      </w:r>
    </w:p>
    <w:p w14:paraId="540D92AC" w14:textId="77777777" w:rsidR="0016773C" w:rsidRPr="003D0AE7" w:rsidRDefault="0016773C" w:rsidP="0016773C">
      <w:pPr>
        <w:autoSpaceDE w:val="0"/>
        <w:autoSpaceDN w:val="0"/>
        <w:adjustRightInd w:val="0"/>
        <w:jc w:val="both"/>
        <w:rPr>
          <w:rFonts w:ascii="Abadi" w:hAnsi="Abadi" w:cs="*Arial-Bold-5622-Identity-H"/>
          <w:b/>
          <w:bCs/>
          <w:color w:val="0D0C12"/>
          <w:sz w:val="21"/>
          <w:szCs w:val="21"/>
        </w:rPr>
      </w:pPr>
      <w:r w:rsidRPr="003D0AE7">
        <w:rPr>
          <w:rFonts w:ascii="Abadi" w:hAnsi="Abadi" w:cs="*Arial-Bold-5622-Identity-H"/>
          <w:b/>
          <w:bCs/>
          <w:color w:val="0D0C12"/>
          <w:sz w:val="21"/>
          <w:szCs w:val="21"/>
        </w:rPr>
        <w:t>Eficacia:</w:t>
      </w:r>
    </w:p>
    <w:p w14:paraId="27C0B3B1" w14:textId="77777777" w:rsidR="0016773C" w:rsidRPr="003D0AE7" w:rsidRDefault="0016773C" w:rsidP="0016773C">
      <w:pPr>
        <w:autoSpaceDE w:val="0"/>
        <w:autoSpaceDN w:val="0"/>
        <w:adjustRightInd w:val="0"/>
        <w:ind w:left="426"/>
        <w:jc w:val="both"/>
        <w:rPr>
          <w:rFonts w:ascii="Abadi" w:hAnsi="Abadi" w:cs="*Arial-5621-Identity-H"/>
          <w:color w:val="0D0D0F"/>
          <w:sz w:val="21"/>
          <w:szCs w:val="21"/>
        </w:rPr>
      </w:pPr>
      <w:r w:rsidRPr="00026B99">
        <w:rPr>
          <w:rFonts w:ascii="Abadi" w:hAnsi="Abadi" w:cs="*Arial-5621-Identity-H"/>
          <w:b/>
          <w:bCs/>
          <w:color w:val="0D0D0F"/>
          <w:sz w:val="21"/>
          <w:szCs w:val="21"/>
        </w:rPr>
        <w:t>6.</w:t>
      </w:r>
      <w:r w:rsidRPr="003D0AE7">
        <w:rPr>
          <w:rFonts w:ascii="Abadi" w:hAnsi="Abadi" w:cs="*Arial-5621-Identity-H"/>
          <w:color w:val="0D0D0F"/>
          <w:sz w:val="21"/>
          <w:szCs w:val="21"/>
        </w:rPr>
        <w:t xml:space="preserve"> Eficacia del servicio de alumbrado público.</w:t>
      </w:r>
    </w:p>
    <w:p w14:paraId="26BA53A9" w14:textId="77777777" w:rsidR="0016773C" w:rsidRDefault="0016773C" w:rsidP="0016773C">
      <w:pPr>
        <w:autoSpaceDE w:val="0"/>
        <w:autoSpaceDN w:val="0"/>
        <w:adjustRightInd w:val="0"/>
        <w:ind w:left="426"/>
        <w:jc w:val="both"/>
        <w:rPr>
          <w:rFonts w:ascii="Abadi" w:hAnsi="Abadi" w:cs="*Arial-5621-Identity-H"/>
          <w:color w:val="0C0C0E"/>
          <w:sz w:val="21"/>
          <w:szCs w:val="21"/>
        </w:rPr>
      </w:pPr>
      <w:r w:rsidRPr="00026B99">
        <w:rPr>
          <w:rFonts w:ascii="Abadi" w:hAnsi="Abadi" w:cs="*Arial-5621-Identity-H"/>
          <w:b/>
          <w:bCs/>
          <w:color w:val="0C0C0E"/>
          <w:sz w:val="21"/>
          <w:szCs w:val="21"/>
        </w:rPr>
        <w:t>7.</w:t>
      </w:r>
      <w:r w:rsidRPr="003D0AE7">
        <w:rPr>
          <w:rFonts w:ascii="Abadi" w:hAnsi="Abadi" w:cs="*Arial-5621-Identity-H"/>
          <w:color w:val="0C0C0E"/>
          <w:sz w:val="21"/>
          <w:szCs w:val="21"/>
        </w:rPr>
        <w:t xml:space="preserve"> Monitoreo y evaluación de resultados.</w:t>
      </w:r>
    </w:p>
    <w:p w14:paraId="55284360" w14:textId="77777777" w:rsidR="0016773C" w:rsidRPr="003D0AE7" w:rsidRDefault="0016773C" w:rsidP="0016773C">
      <w:pPr>
        <w:autoSpaceDE w:val="0"/>
        <w:autoSpaceDN w:val="0"/>
        <w:adjustRightInd w:val="0"/>
        <w:ind w:left="426"/>
        <w:jc w:val="both"/>
        <w:rPr>
          <w:rFonts w:ascii="Abadi" w:hAnsi="Abadi" w:cs="*Arial-5621-Identity-H"/>
          <w:color w:val="0C0C0E"/>
          <w:sz w:val="21"/>
          <w:szCs w:val="21"/>
        </w:rPr>
      </w:pPr>
    </w:p>
    <w:p w14:paraId="04AD9092" w14:textId="77777777" w:rsidR="0016773C" w:rsidRDefault="0016773C" w:rsidP="0016773C">
      <w:pPr>
        <w:autoSpaceDE w:val="0"/>
        <w:autoSpaceDN w:val="0"/>
        <w:adjustRightInd w:val="0"/>
        <w:ind w:firstLine="426"/>
        <w:jc w:val="both"/>
        <w:rPr>
          <w:rFonts w:ascii="Abadi" w:hAnsi="Abadi" w:cs="*Arial-5621-Identity-H"/>
          <w:color w:val="0E0E11"/>
          <w:sz w:val="21"/>
          <w:szCs w:val="21"/>
        </w:rPr>
      </w:pPr>
      <w:r w:rsidRPr="003D0AE7">
        <w:rPr>
          <w:rFonts w:ascii="Abadi" w:hAnsi="Abadi" w:cs="*Arial-5621-Identity-H"/>
          <w:color w:val="0E0E11"/>
          <w:sz w:val="21"/>
          <w:szCs w:val="21"/>
        </w:rPr>
        <w:t>Es así, que se presentan los resultados de la auditoría realizada,</w:t>
      </w:r>
      <w:r>
        <w:rPr>
          <w:rFonts w:ascii="Abadi" w:hAnsi="Abadi" w:cs="*Arial-5621-Identity-H"/>
          <w:color w:val="0E0E11"/>
          <w:sz w:val="21"/>
          <w:szCs w:val="21"/>
        </w:rPr>
        <w:t xml:space="preserve"> </w:t>
      </w:r>
      <w:r w:rsidRPr="003D0AE7">
        <w:rPr>
          <w:rFonts w:ascii="Abadi" w:hAnsi="Abadi" w:cs="*Arial-5621-Identity-H"/>
          <w:color w:val="0E0E11"/>
          <w:sz w:val="21"/>
          <w:szCs w:val="21"/>
        </w:rPr>
        <w:t>estableciendo las recomendaciones formuladas al sujeto fiscalizado, plasmando</w:t>
      </w:r>
      <w:r>
        <w:rPr>
          <w:rFonts w:ascii="Abadi" w:hAnsi="Abadi" w:cs="*Arial-5621-Identity-H"/>
          <w:color w:val="0E0E11"/>
          <w:sz w:val="21"/>
          <w:szCs w:val="21"/>
        </w:rPr>
        <w:t xml:space="preserve"> </w:t>
      </w:r>
      <w:r w:rsidRPr="003D0AE7">
        <w:rPr>
          <w:rFonts w:ascii="Abadi" w:hAnsi="Abadi" w:cs="*Arial-5621-Identity-H"/>
          <w:color w:val="0E0E11"/>
          <w:sz w:val="21"/>
          <w:szCs w:val="21"/>
        </w:rPr>
        <w:t>en cada una las acciones preventivas y correctivas que se deben llevar a cabo</w:t>
      </w:r>
      <w:r>
        <w:rPr>
          <w:rFonts w:ascii="Abadi" w:hAnsi="Abadi" w:cs="*Arial-5621-Identity-H"/>
          <w:color w:val="0E0E11"/>
          <w:sz w:val="21"/>
          <w:szCs w:val="21"/>
        </w:rPr>
        <w:t xml:space="preserve"> </w:t>
      </w:r>
      <w:r w:rsidRPr="003D0AE7">
        <w:rPr>
          <w:rFonts w:ascii="Abadi" w:hAnsi="Abadi" w:cs="*Arial-5621-Identity-H"/>
          <w:color w:val="0E0E11"/>
          <w:sz w:val="21"/>
          <w:szCs w:val="21"/>
        </w:rPr>
        <w:t>para subsanar las situaciones detectadas durante el proceso de auditoría.</w:t>
      </w:r>
    </w:p>
    <w:p w14:paraId="118FEA96" w14:textId="77777777" w:rsidR="0016773C" w:rsidRPr="003D0AE7" w:rsidRDefault="0016773C" w:rsidP="0016773C">
      <w:pPr>
        <w:autoSpaceDE w:val="0"/>
        <w:autoSpaceDN w:val="0"/>
        <w:adjustRightInd w:val="0"/>
        <w:ind w:firstLine="426"/>
        <w:jc w:val="both"/>
        <w:rPr>
          <w:rFonts w:ascii="Abadi" w:hAnsi="Abadi" w:cs="*Arial-5621-Identity-H"/>
          <w:color w:val="0E0E11"/>
          <w:sz w:val="21"/>
          <w:szCs w:val="21"/>
        </w:rPr>
      </w:pPr>
    </w:p>
    <w:p w14:paraId="59274326" w14:textId="77777777" w:rsidR="0016773C" w:rsidRPr="003D0AE7" w:rsidRDefault="0016773C" w:rsidP="0016773C">
      <w:pPr>
        <w:autoSpaceDE w:val="0"/>
        <w:autoSpaceDN w:val="0"/>
        <w:adjustRightInd w:val="0"/>
        <w:ind w:firstLine="426"/>
        <w:jc w:val="both"/>
        <w:rPr>
          <w:rFonts w:ascii="Abadi" w:hAnsi="Abadi" w:cs="*Arial-5621-Identity-H"/>
          <w:color w:val="0E0D10"/>
          <w:sz w:val="21"/>
          <w:szCs w:val="21"/>
        </w:rPr>
      </w:pPr>
      <w:r w:rsidRPr="003D0AE7">
        <w:rPr>
          <w:rFonts w:ascii="Abadi" w:hAnsi="Abadi" w:cs="*Arial-5621-Identity-H"/>
          <w:color w:val="0E0D10"/>
          <w:sz w:val="21"/>
          <w:szCs w:val="21"/>
        </w:rPr>
        <w:t>Derivado de lo anterior, se formulan los resultados y recomendaciones</w:t>
      </w:r>
      <w:r>
        <w:rPr>
          <w:rFonts w:ascii="Abadi" w:hAnsi="Abadi" w:cs="*Arial-5621-Identity-H"/>
          <w:color w:val="0E0D10"/>
          <w:sz w:val="21"/>
          <w:szCs w:val="21"/>
        </w:rPr>
        <w:t xml:space="preserve"> </w:t>
      </w:r>
      <w:r w:rsidRPr="003D0AE7">
        <w:rPr>
          <w:rFonts w:ascii="Abadi" w:hAnsi="Abadi" w:cs="*Arial-5621-Identity-H"/>
          <w:color w:val="0E0D10"/>
          <w:sz w:val="21"/>
          <w:szCs w:val="21"/>
        </w:rPr>
        <w:t>contenidos en los rubros de Eficiencia y Eficacia.</w:t>
      </w:r>
    </w:p>
    <w:p w14:paraId="5247EDA8" w14:textId="77777777" w:rsidR="0016773C" w:rsidRPr="003D0AE7" w:rsidRDefault="0016773C" w:rsidP="0016773C">
      <w:pPr>
        <w:autoSpaceDE w:val="0"/>
        <w:autoSpaceDN w:val="0"/>
        <w:adjustRightInd w:val="0"/>
        <w:jc w:val="both"/>
        <w:rPr>
          <w:rFonts w:ascii="Abadi" w:hAnsi="Abadi" w:cs="*Arial-7820-Identity-H"/>
          <w:color w:val="1F1F1F"/>
          <w:sz w:val="21"/>
          <w:szCs w:val="21"/>
        </w:rPr>
      </w:pPr>
    </w:p>
    <w:p w14:paraId="2C75329B" w14:textId="77777777" w:rsidR="0016773C" w:rsidRDefault="0016773C" w:rsidP="0016773C">
      <w:pPr>
        <w:autoSpaceDE w:val="0"/>
        <w:autoSpaceDN w:val="0"/>
        <w:adjustRightInd w:val="0"/>
        <w:ind w:firstLine="426"/>
        <w:jc w:val="both"/>
        <w:rPr>
          <w:rFonts w:ascii="Abadi" w:hAnsi="Abadi" w:cs="*Arial-7818-Identity-H"/>
          <w:color w:val="0C0C0F"/>
          <w:sz w:val="21"/>
          <w:szCs w:val="21"/>
        </w:rPr>
      </w:pPr>
      <w:r w:rsidRPr="003D0AE7">
        <w:rPr>
          <w:rFonts w:ascii="Abadi" w:hAnsi="Abadi" w:cs="*Arial-7818-Identity-H"/>
          <w:color w:val="0C0C0F"/>
          <w:sz w:val="21"/>
          <w:szCs w:val="21"/>
        </w:rPr>
        <w:t>En tal sentido, en el rubro de Eficiencia, se formularon las recomendaciones</w:t>
      </w:r>
      <w:r>
        <w:rPr>
          <w:rFonts w:ascii="Abadi" w:hAnsi="Abadi" w:cs="*Arial-7818-Identity-H"/>
          <w:color w:val="0C0C0F"/>
          <w:sz w:val="21"/>
          <w:szCs w:val="21"/>
        </w:rPr>
        <w:t xml:space="preserve"> </w:t>
      </w:r>
      <w:r w:rsidRPr="003D0AE7">
        <w:rPr>
          <w:rFonts w:ascii="Abadi" w:hAnsi="Abadi" w:cs="*Arial-7818-Identity-H"/>
          <w:color w:val="0C0C0F"/>
          <w:sz w:val="21"/>
          <w:szCs w:val="21"/>
        </w:rPr>
        <w:t>plasmadas en los puntos 01 del resultado número 1, referente a oferta del servicio</w:t>
      </w:r>
      <w:r>
        <w:rPr>
          <w:rFonts w:ascii="Abadi" w:hAnsi="Abadi" w:cs="*Arial-7818-Identity-H"/>
          <w:color w:val="0C0C0F"/>
          <w:sz w:val="21"/>
          <w:szCs w:val="21"/>
        </w:rPr>
        <w:t xml:space="preserve"> </w:t>
      </w:r>
      <w:r w:rsidRPr="003D0AE7">
        <w:rPr>
          <w:rFonts w:ascii="Abadi" w:hAnsi="Abadi" w:cs="*Arial-7818-Identity-H"/>
          <w:color w:val="0C0C0F"/>
          <w:sz w:val="21"/>
          <w:szCs w:val="21"/>
        </w:rPr>
        <w:t>de alumbrado público; 02 del resultado número 2, correspondiente a</w:t>
      </w:r>
      <w:r>
        <w:rPr>
          <w:rFonts w:ascii="Abadi" w:hAnsi="Abadi" w:cs="*Arial-7818-Identity-H"/>
          <w:color w:val="0C0C0F"/>
          <w:sz w:val="21"/>
          <w:szCs w:val="21"/>
        </w:rPr>
        <w:t xml:space="preserve"> </w:t>
      </w:r>
      <w:r w:rsidRPr="003D0AE7">
        <w:rPr>
          <w:rFonts w:ascii="Abadi" w:hAnsi="Abadi" w:cs="*Arial-7818-Identity-H"/>
          <w:color w:val="0C0C0F"/>
          <w:sz w:val="21"/>
          <w:szCs w:val="21"/>
        </w:rPr>
        <w:t>presupuestación del servicio; 03 y 04 del resultado número 3, relativo a marco</w:t>
      </w:r>
      <w:r>
        <w:rPr>
          <w:rFonts w:ascii="Abadi" w:hAnsi="Abadi" w:cs="*Arial-7818-Identity-H"/>
          <w:color w:val="0C0C0F"/>
          <w:sz w:val="21"/>
          <w:szCs w:val="21"/>
        </w:rPr>
        <w:t xml:space="preserve"> </w:t>
      </w:r>
      <w:r w:rsidRPr="003D0AE7">
        <w:rPr>
          <w:rFonts w:ascii="Abadi" w:hAnsi="Abadi" w:cs="*Arial-7818-Identity-H"/>
          <w:color w:val="0C0C0F"/>
          <w:sz w:val="21"/>
          <w:szCs w:val="21"/>
        </w:rPr>
        <w:t>normativo para la prestación del servicio; 05 del resultado número 4, referido a</w:t>
      </w:r>
      <w:r>
        <w:rPr>
          <w:rFonts w:ascii="Abadi" w:hAnsi="Abadi" w:cs="*Arial-7818-Identity-H"/>
          <w:color w:val="0C0C0F"/>
          <w:sz w:val="21"/>
          <w:szCs w:val="21"/>
        </w:rPr>
        <w:t xml:space="preserve"> </w:t>
      </w:r>
      <w:r w:rsidRPr="003D0AE7">
        <w:rPr>
          <w:rFonts w:ascii="Abadi" w:hAnsi="Abadi" w:cs="*Arial-7818-Identity-H"/>
          <w:color w:val="0C0C0F"/>
          <w:sz w:val="21"/>
          <w:szCs w:val="21"/>
        </w:rPr>
        <w:t>planeación del servicio de alumbrado público en el corto plazo; y 06 del resultado</w:t>
      </w:r>
      <w:r>
        <w:rPr>
          <w:rFonts w:ascii="Abadi" w:hAnsi="Abadi" w:cs="*Arial-7818-Identity-H"/>
          <w:color w:val="0C0C0F"/>
          <w:sz w:val="21"/>
          <w:szCs w:val="21"/>
        </w:rPr>
        <w:t xml:space="preserve"> </w:t>
      </w:r>
      <w:r w:rsidRPr="003D0AE7">
        <w:rPr>
          <w:rFonts w:ascii="Abadi" w:hAnsi="Abadi" w:cs="*Arial-7818-Identity-H"/>
          <w:color w:val="0C0C0F"/>
          <w:sz w:val="21"/>
          <w:szCs w:val="21"/>
        </w:rPr>
        <w:t>número 5, referente a participación ciudadana en el reporte de fallas en el servicio.</w:t>
      </w:r>
    </w:p>
    <w:p w14:paraId="27231F5B" w14:textId="77777777" w:rsidR="0016773C" w:rsidRPr="003D0AE7" w:rsidRDefault="0016773C" w:rsidP="0016773C">
      <w:pPr>
        <w:autoSpaceDE w:val="0"/>
        <w:autoSpaceDN w:val="0"/>
        <w:adjustRightInd w:val="0"/>
        <w:jc w:val="both"/>
        <w:rPr>
          <w:rFonts w:ascii="Abadi" w:hAnsi="Abadi" w:cs="*Arial-7818-Identity-H"/>
          <w:color w:val="0C0C0F"/>
          <w:sz w:val="21"/>
          <w:szCs w:val="21"/>
        </w:rPr>
      </w:pPr>
    </w:p>
    <w:p w14:paraId="09769EA2" w14:textId="77777777" w:rsidR="0016773C" w:rsidRDefault="0016773C" w:rsidP="0016773C">
      <w:pPr>
        <w:autoSpaceDE w:val="0"/>
        <w:autoSpaceDN w:val="0"/>
        <w:adjustRightInd w:val="0"/>
        <w:ind w:firstLine="426"/>
        <w:jc w:val="both"/>
        <w:rPr>
          <w:rFonts w:ascii="Abadi" w:hAnsi="Abadi" w:cs="*Arial-7818-Identity-H"/>
          <w:color w:val="0C0C0F"/>
          <w:sz w:val="21"/>
          <w:szCs w:val="21"/>
        </w:rPr>
      </w:pPr>
      <w:r w:rsidRPr="003D0AE7">
        <w:rPr>
          <w:rFonts w:ascii="Abadi" w:hAnsi="Abadi" w:cs="*Arial-7818-Identity-H"/>
          <w:color w:val="0C0C0F"/>
          <w:sz w:val="21"/>
          <w:szCs w:val="21"/>
        </w:rPr>
        <w:t>En el apartado de Eficacia, se formularon las recomendaciones consignadas en</w:t>
      </w:r>
      <w:r>
        <w:rPr>
          <w:rFonts w:ascii="Abadi" w:hAnsi="Abadi" w:cs="*Arial-7818-Identity-H"/>
          <w:color w:val="0C0C0F"/>
          <w:sz w:val="21"/>
          <w:szCs w:val="21"/>
        </w:rPr>
        <w:t xml:space="preserve"> </w:t>
      </w:r>
      <w:r w:rsidRPr="003D0AE7">
        <w:rPr>
          <w:rFonts w:ascii="Abadi" w:hAnsi="Abadi" w:cs="*Arial-7818-Identity-H"/>
          <w:color w:val="0C0C0F"/>
          <w:sz w:val="21"/>
          <w:szCs w:val="21"/>
        </w:rPr>
        <w:t>los puntos 07 del resultado número 6, correspondiente a eficacia del servicio de</w:t>
      </w:r>
      <w:r>
        <w:rPr>
          <w:rFonts w:ascii="Abadi" w:hAnsi="Abadi" w:cs="*Arial-7818-Identity-H"/>
          <w:color w:val="0C0C0F"/>
          <w:sz w:val="21"/>
          <w:szCs w:val="21"/>
        </w:rPr>
        <w:t xml:space="preserve"> </w:t>
      </w:r>
      <w:r w:rsidRPr="003D0AE7">
        <w:rPr>
          <w:rFonts w:ascii="Abadi" w:hAnsi="Abadi" w:cs="*Arial-7818-Identity-H"/>
          <w:color w:val="0C0C0F"/>
          <w:sz w:val="21"/>
          <w:szCs w:val="21"/>
        </w:rPr>
        <w:t>alumbrado público; 08 y 09 del resultado número 7, relativo a monitoreo y</w:t>
      </w:r>
      <w:r>
        <w:rPr>
          <w:rFonts w:ascii="Abadi" w:hAnsi="Abadi" w:cs="*Arial-7818-Identity-H"/>
          <w:color w:val="0C0C0F"/>
          <w:sz w:val="21"/>
          <w:szCs w:val="21"/>
        </w:rPr>
        <w:t xml:space="preserve"> </w:t>
      </w:r>
      <w:r w:rsidRPr="003D0AE7">
        <w:rPr>
          <w:rFonts w:ascii="Abadi" w:hAnsi="Abadi" w:cs="*Arial-7818-Identity-H"/>
          <w:color w:val="0C0C0F"/>
          <w:sz w:val="21"/>
          <w:szCs w:val="21"/>
        </w:rPr>
        <w:t>evaluación de resultados.</w:t>
      </w:r>
    </w:p>
    <w:p w14:paraId="26B065A6" w14:textId="77777777" w:rsidR="0016773C" w:rsidRPr="003D0AE7" w:rsidRDefault="0016773C" w:rsidP="0016773C">
      <w:pPr>
        <w:autoSpaceDE w:val="0"/>
        <w:autoSpaceDN w:val="0"/>
        <w:adjustRightInd w:val="0"/>
        <w:jc w:val="both"/>
        <w:rPr>
          <w:rFonts w:ascii="Abadi" w:hAnsi="Abadi" w:cs="*Arial-7818-Identity-H"/>
          <w:color w:val="0C0C0F"/>
          <w:sz w:val="21"/>
          <w:szCs w:val="21"/>
        </w:rPr>
      </w:pPr>
    </w:p>
    <w:p w14:paraId="58385F01" w14:textId="77777777" w:rsidR="0016773C" w:rsidRDefault="0016773C" w:rsidP="0016773C">
      <w:pPr>
        <w:autoSpaceDE w:val="0"/>
        <w:autoSpaceDN w:val="0"/>
        <w:adjustRightInd w:val="0"/>
        <w:ind w:firstLine="426"/>
        <w:jc w:val="both"/>
        <w:rPr>
          <w:rFonts w:ascii="Abadi" w:hAnsi="Abadi" w:cs="*Arial-7818-Identity-H"/>
          <w:color w:val="0D0D10"/>
          <w:sz w:val="21"/>
          <w:szCs w:val="21"/>
        </w:rPr>
      </w:pPr>
      <w:r w:rsidRPr="003D0AE7">
        <w:rPr>
          <w:rFonts w:ascii="Abadi" w:hAnsi="Abadi" w:cs="*Arial-7818-Identity-H"/>
          <w:color w:val="0D0D10"/>
          <w:sz w:val="21"/>
          <w:szCs w:val="21"/>
        </w:rPr>
        <w:t xml:space="preserve">Finalmente, se establece un apartado denominado </w:t>
      </w:r>
      <w:r w:rsidRPr="003D0AE7">
        <w:rPr>
          <w:rFonts w:ascii="Abadi" w:hAnsi="Abadi" w:cs="*Microsoft Sans Serif-Italic-78"/>
          <w:i/>
          <w:iCs/>
          <w:color w:val="0D0D10"/>
          <w:sz w:val="21"/>
          <w:szCs w:val="21"/>
        </w:rPr>
        <w:t>Cuestiones clave de la</w:t>
      </w:r>
      <w:r>
        <w:rPr>
          <w:rFonts w:ascii="Abadi" w:hAnsi="Abadi" w:cs="*Microsoft Sans Serif-Italic-78"/>
          <w:i/>
          <w:iCs/>
          <w:color w:val="0D0D10"/>
          <w:sz w:val="21"/>
          <w:szCs w:val="21"/>
        </w:rPr>
        <w:t xml:space="preserve"> </w:t>
      </w:r>
      <w:r w:rsidRPr="003D0AE7">
        <w:rPr>
          <w:rFonts w:ascii="Abadi" w:hAnsi="Abadi" w:cs="*Microsoft Sans Serif-Italic-78"/>
          <w:i/>
          <w:iCs/>
          <w:color w:val="0D0D10"/>
          <w:sz w:val="21"/>
          <w:szCs w:val="21"/>
        </w:rPr>
        <w:t>auditoría en contexto de la pandemia del virus SARS</w:t>
      </w:r>
      <w:r>
        <w:rPr>
          <w:rFonts w:ascii="Abadi" w:eastAsia="Abadi" w:hAnsi="Abadi" w:cs="Abadi"/>
          <w:i/>
          <w:iCs/>
          <w:color w:val="0D0D10"/>
          <w:sz w:val="21"/>
          <w:szCs w:val="21"/>
        </w:rPr>
        <w:t>CO</w:t>
      </w:r>
      <w:r w:rsidRPr="003D0AE7">
        <w:rPr>
          <w:rFonts w:ascii="Abadi" w:hAnsi="Abadi" w:cs="*Microsoft Sans Serif-Italic-78"/>
          <w:i/>
          <w:iCs/>
          <w:color w:val="0D0D10"/>
          <w:sz w:val="21"/>
          <w:szCs w:val="21"/>
        </w:rPr>
        <w:t xml:space="preserve">V2 </w:t>
      </w:r>
      <w:r w:rsidRPr="003D0AE7">
        <w:rPr>
          <w:rFonts w:ascii="Abadi" w:hAnsi="Abadi" w:cs="*Arial-7818-Identity-H"/>
          <w:color w:val="0D0D10"/>
          <w:sz w:val="21"/>
          <w:szCs w:val="21"/>
        </w:rPr>
        <w:t>en el que se señala</w:t>
      </w:r>
      <w:r>
        <w:rPr>
          <w:rFonts w:ascii="Abadi" w:hAnsi="Abadi" w:cs="*Arial-7818-Identity-H"/>
          <w:color w:val="0D0D10"/>
          <w:sz w:val="21"/>
          <w:szCs w:val="21"/>
        </w:rPr>
        <w:t xml:space="preserve"> </w:t>
      </w:r>
      <w:r w:rsidRPr="003D0AE7">
        <w:rPr>
          <w:rFonts w:ascii="Abadi" w:hAnsi="Abadi" w:cs="*Arial-7818-Identity-H"/>
          <w:color w:val="0D0D10"/>
          <w:sz w:val="21"/>
          <w:szCs w:val="21"/>
        </w:rPr>
        <w:t>que con motivo de la emergencia sanitaria provocada por dicha pandemia y en</w:t>
      </w:r>
      <w:r>
        <w:rPr>
          <w:rFonts w:ascii="Abadi" w:hAnsi="Abadi" w:cs="*Arial-7818-Identity-H"/>
          <w:color w:val="0D0D10"/>
          <w:sz w:val="21"/>
          <w:szCs w:val="21"/>
        </w:rPr>
        <w:t xml:space="preserve"> </w:t>
      </w:r>
      <w:r w:rsidRPr="003D0AE7">
        <w:rPr>
          <w:rFonts w:ascii="Abadi" w:hAnsi="Abadi" w:cs="*Arial-7818-Identity-H"/>
          <w:color w:val="0D0D10"/>
          <w:sz w:val="21"/>
          <w:szCs w:val="21"/>
        </w:rPr>
        <w:t>atención a diversas disposiciones en salud pública emitidas por las autoridades</w:t>
      </w:r>
      <w:r>
        <w:rPr>
          <w:rFonts w:ascii="Abadi" w:hAnsi="Abadi" w:cs="*Arial-7818-Identity-H"/>
          <w:color w:val="0D0D10"/>
          <w:sz w:val="21"/>
          <w:szCs w:val="21"/>
        </w:rPr>
        <w:t xml:space="preserve"> </w:t>
      </w:r>
      <w:r w:rsidRPr="003D0AE7">
        <w:rPr>
          <w:rFonts w:ascii="Abadi" w:hAnsi="Abadi" w:cs="*Arial-7818-Identity-H"/>
          <w:color w:val="0D0D10"/>
          <w:sz w:val="21"/>
          <w:szCs w:val="21"/>
        </w:rPr>
        <w:t>federales y estatales competentes en la materia, se generaron cambios en el</w:t>
      </w:r>
      <w:r>
        <w:rPr>
          <w:rFonts w:ascii="Abadi" w:hAnsi="Abadi" w:cs="*Arial-7818-Identity-H"/>
          <w:color w:val="0D0D10"/>
          <w:sz w:val="21"/>
          <w:szCs w:val="21"/>
        </w:rPr>
        <w:t xml:space="preserve"> </w:t>
      </w:r>
      <w:r w:rsidRPr="003D0AE7">
        <w:rPr>
          <w:rFonts w:ascii="Abadi" w:hAnsi="Abadi" w:cs="*Arial-7818-Identity-H"/>
          <w:color w:val="0D0D10"/>
          <w:sz w:val="21"/>
          <w:szCs w:val="21"/>
        </w:rPr>
        <w:t>desarrollo de los asuntos competencia de la Auditoría Superior del Estado de</w:t>
      </w:r>
      <w:r>
        <w:rPr>
          <w:rFonts w:ascii="Abadi" w:hAnsi="Abadi" w:cs="*Arial-7818-Identity-H"/>
          <w:color w:val="0D0D10"/>
          <w:sz w:val="21"/>
          <w:szCs w:val="21"/>
        </w:rPr>
        <w:t xml:space="preserve"> </w:t>
      </w:r>
      <w:r w:rsidRPr="003D0AE7">
        <w:rPr>
          <w:rFonts w:ascii="Abadi" w:hAnsi="Abadi" w:cs="*Arial-7818-Identity-H"/>
          <w:color w:val="0D0D10"/>
          <w:sz w:val="21"/>
          <w:szCs w:val="21"/>
        </w:rPr>
        <w:t xml:space="preserve">Guanajuato, atendiendo al </w:t>
      </w:r>
      <w:r w:rsidRPr="003D0AE7">
        <w:rPr>
          <w:rFonts w:ascii="Abadi" w:hAnsi="Abadi" w:cs="*Microsoft Sans Serif-Italic-78"/>
          <w:i/>
          <w:iCs/>
          <w:color w:val="0D0D10"/>
          <w:sz w:val="21"/>
          <w:szCs w:val="21"/>
        </w:rPr>
        <w:t xml:space="preserve">Acuerdo relativo al trabajo a distancia </w:t>
      </w:r>
      <w:r w:rsidRPr="003D0AE7">
        <w:rPr>
          <w:rFonts w:ascii="Abadi" w:hAnsi="Abadi" w:cs="*Arial-7818-Identity-H"/>
          <w:color w:val="0D0D10"/>
          <w:sz w:val="21"/>
          <w:szCs w:val="21"/>
        </w:rPr>
        <w:t>de fecha 17 de</w:t>
      </w:r>
      <w:r>
        <w:rPr>
          <w:rFonts w:ascii="Abadi" w:hAnsi="Abadi" w:cs="*Arial-7818-Identity-H"/>
          <w:color w:val="0D0D10"/>
          <w:sz w:val="21"/>
          <w:szCs w:val="21"/>
        </w:rPr>
        <w:t xml:space="preserve"> </w:t>
      </w:r>
      <w:r w:rsidRPr="003D0AE7">
        <w:rPr>
          <w:rFonts w:ascii="Abadi" w:hAnsi="Abadi" w:cs="*Arial-7818-Identity-H"/>
          <w:color w:val="0D0D10"/>
          <w:sz w:val="21"/>
          <w:szCs w:val="21"/>
        </w:rPr>
        <w:t>marzo de 2020 y su décimo sexto acuerdo modificatorio, aprovechando las</w:t>
      </w:r>
      <w:r>
        <w:rPr>
          <w:rFonts w:ascii="Abadi" w:hAnsi="Abadi" w:cs="*Arial-7818-Identity-H"/>
          <w:color w:val="0D0D10"/>
          <w:sz w:val="21"/>
          <w:szCs w:val="21"/>
        </w:rPr>
        <w:t xml:space="preserve"> </w:t>
      </w:r>
      <w:r w:rsidRPr="003D0AE7">
        <w:rPr>
          <w:rFonts w:ascii="Abadi" w:hAnsi="Abadi" w:cs="*Arial-7818-Identity-H"/>
          <w:color w:val="0D0D10"/>
          <w:sz w:val="21"/>
          <w:szCs w:val="21"/>
        </w:rPr>
        <w:t>herramientas tecnológicas de que dispone, así como la colaboración de los sujetos</w:t>
      </w:r>
      <w:r>
        <w:rPr>
          <w:rFonts w:ascii="Abadi" w:hAnsi="Abadi" w:cs="*Arial-7818-Identity-H"/>
          <w:color w:val="0D0D10"/>
          <w:sz w:val="21"/>
          <w:szCs w:val="21"/>
        </w:rPr>
        <w:t xml:space="preserve"> </w:t>
      </w:r>
      <w:r w:rsidRPr="003D0AE7">
        <w:rPr>
          <w:rFonts w:ascii="Abadi" w:hAnsi="Abadi" w:cs="*Arial-7818-Identity-H"/>
          <w:color w:val="0D0D10"/>
          <w:sz w:val="21"/>
          <w:szCs w:val="21"/>
        </w:rPr>
        <w:t>de fiscalización.</w:t>
      </w:r>
    </w:p>
    <w:p w14:paraId="05A19111" w14:textId="77777777" w:rsidR="0016773C" w:rsidRPr="003D0AE7" w:rsidRDefault="0016773C" w:rsidP="0016773C">
      <w:pPr>
        <w:autoSpaceDE w:val="0"/>
        <w:autoSpaceDN w:val="0"/>
        <w:adjustRightInd w:val="0"/>
        <w:jc w:val="both"/>
        <w:rPr>
          <w:rFonts w:ascii="Abadi" w:hAnsi="Abadi" w:cs="*Arial-7818-Identity-H"/>
          <w:color w:val="0D0D10"/>
          <w:sz w:val="21"/>
          <w:szCs w:val="21"/>
        </w:rPr>
      </w:pPr>
    </w:p>
    <w:p w14:paraId="2246FBA4" w14:textId="77777777" w:rsidR="0016773C" w:rsidRPr="003D0AE7" w:rsidRDefault="0016773C" w:rsidP="0016773C">
      <w:pPr>
        <w:autoSpaceDE w:val="0"/>
        <w:autoSpaceDN w:val="0"/>
        <w:adjustRightInd w:val="0"/>
        <w:ind w:firstLine="426"/>
        <w:jc w:val="both"/>
        <w:rPr>
          <w:rFonts w:ascii="Abadi" w:hAnsi="Abadi" w:cs="*Arial-7818-Identity-H"/>
          <w:color w:val="0D0D10"/>
          <w:sz w:val="21"/>
          <w:szCs w:val="21"/>
        </w:rPr>
      </w:pPr>
      <w:r w:rsidRPr="003D0AE7">
        <w:rPr>
          <w:rFonts w:ascii="Abadi" w:hAnsi="Abadi" w:cs="*Arial-7818-Identity-H"/>
          <w:color w:val="0D0D10"/>
          <w:sz w:val="21"/>
          <w:szCs w:val="21"/>
        </w:rPr>
        <w:t>Es así, que si bien, el proceso de fiscalización ha continuado observando</w:t>
      </w:r>
      <w:r>
        <w:rPr>
          <w:rFonts w:ascii="Abadi" w:hAnsi="Abadi" w:cs="*Arial-7818-Identity-H"/>
          <w:color w:val="0D0D10"/>
          <w:sz w:val="21"/>
          <w:szCs w:val="21"/>
        </w:rPr>
        <w:t xml:space="preserve"> </w:t>
      </w:r>
      <w:r w:rsidRPr="003D0AE7">
        <w:rPr>
          <w:rFonts w:ascii="Abadi" w:hAnsi="Abadi" w:cs="*Arial-7818-Identity-H"/>
          <w:color w:val="0D0D10"/>
          <w:sz w:val="21"/>
          <w:szCs w:val="21"/>
        </w:rPr>
        <w:t>las medidas de confinamiento que las autoridades de salud han determinado y con</w:t>
      </w:r>
      <w:r>
        <w:rPr>
          <w:rFonts w:ascii="Abadi" w:hAnsi="Abadi" w:cs="*Arial-7818-Identity-H"/>
          <w:color w:val="0D0D10"/>
          <w:sz w:val="21"/>
          <w:szCs w:val="21"/>
        </w:rPr>
        <w:t xml:space="preserve"> </w:t>
      </w:r>
      <w:r w:rsidRPr="003D0AE7">
        <w:rPr>
          <w:rFonts w:ascii="Abadi" w:hAnsi="Abadi" w:cs="*Arial-7818-Identity-H"/>
          <w:color w:val="0D0D10"/>
          <w:sz w:val="21"/>
          <w:szCs w:val="21"/>
        </w:rPr>
        <w:t>el uso de las tecnologías de la información, por la propia naturaleza de la</w:t>
      </w:r>
      <w:r>
        <w:rPr>
          <w:rFonts w:ascii="Abadi" w:hAnsi="Abadi" w:cs="*Arial-7818-Identity-H"/>
          <w:color w:val="0D0D10"/>
          <w:sz w:val="21"/>
          <w:szCs w:val="21"/>
        </w:rPr>
        <w:t xml:space="preserve"> </w:t>
      </w:r>
      <w:r w:rsidRPr="003D0AE7">
        <w:rPr>
          <w:rFonts w:ascii="Abadi" w:hAnsi="Abadi" w:cs="*Arial-7818-Identity-H"/>
          <w:color w:val="0D0D10"/>
          <w:sz w:val="21"/>
          <w:szCs w:val="21"/>
        </w:rPr>
        <w:t>pandemia se generaron limitantes en la aplicación de los procedimientos de</w:t>
      </w:r>
    </w:p>
    <w:p w14:paraId="18307A7A" w14:textId="77777777" w:rsidR="0016773C" w:rsidRDefault="0016773C" w:rsidP="0016773C">
      <w:pPr>
        <w:autoSpaceDE w:val="0"/>
        <w:autoSpaceDN w:val="0"/>
        <w:adjustRightInd w:val="0"/>
        <w:jc w:val="both"/>
        <w:rPr>
          <w:rFonts w:ascii="Abadi" w:hAnsi="Abadi" w:cs="*Arial-7818-Identity-H"/>
          <w:color w:val="0D0D10"/>
          <w:sz w:val="21"/>
          <w:szCs w:val="21"/>
        </w:rPr>
      </w:pPr>
      <w:r w:rsidRPr="003D0AE7">
        <w:rPr>
          <w:rFonts w:ascii="Abadi" w:hAnsi="Abadi" w:cs="*Arial-7818-Identity-H"/>
          <w:color w:val="0D0D10"/>
          <w:sz w:val="21"/>
          <w:szCs w:val="21"/>
        </w:rPr>
        <w:t>auditoría.</w:t>
      </w:r>
    </w:p>
    <w:p w14:paraId="16D76121" w14:textId="77777777" w:rsidR="0016773C" w:rsidRPr="003D0AE7" w:rsidRDefault="0016773C" w:rsidP="0016773C">
      <w:pPr>
        <w:autoSpaceDE w:val="0"/>
        <w:autoSpaceDN w:val="0"/>
        <w:adjustRightInd w:val="0"/>
        <w:jc w:val="both"/>
        <w:rPr>
          <w:rFonts w:ascii="Abadi" w:hAnsi="Abadi" w:cs="*Arial-7818-Identity-H"/>
          <w:color w:val="0D0D10"/>
          <w:sz w:val="21"/>
          <w:szCs w:val="21"/>
        </w:rPr>
      </w:pPr>
    </w:p>
    <w:p w14:paraId="5FB5FB6A" w14:textId="77777777" w:rsidR="0016773C" w:rsidRDefault="0016773C" w:rsidP="0016773C">
      <w:pPr>
        <w:autoSpaceDE w:val="0"/>
        <w:autoSpaceDN w:val="0"/>
        <w:adjustRightInd w:val="0"/>
        <w:ind w:firstLine="708"/>
        <w:jc w:val="both"/>
        <w:rPr>
          <w:rFonts w:ascii="Abadi" w:hAnsi="Abadi" w:cs="*Arial-7818-Identity-H"/>
          <w:color w:val="0D0C0F"/>
          <w:sz w:val="21"/>
          <w:szCs w:val="21"/>
        </w:rPr>
      </w:pPr>
      <w:r w:rsidRPr="003D0AE7">
        <w:rPr>
          <w:rFonts w:ascii="Abadi" w:hAnsi="Abadi" w:cs="*Arial-7818-Identity-H"/>
          <w:color w:val="0D0C0F"/>
          <w:sz w:val="21"/>
          <w:szCs w:val="21"/>
        </w:rPr>
        <w:t>En tal sentido se priorizó el enfoque de derechos humanos, velando por la</w:t>
      </w:r>
      <w:r>
        <w:rPr>
          <w:rFonts w:ascii="Abadi" w:hAnsi="Abadi" w:cs="*Arial-7818-Identity-H"/>
          <w:color w:val="0D0C0F"/>
          <w:sz w:val="21"/>
          <w:szCs w:val="21"/>
        </w:rPr>
        <w:t xml:space="preserve"> </w:t>
      </w:r>
      <w:r w:rsidRPr="003D0AE7">
        <w:rPr>
          <w:rFonts w:ascii="Abadi" w:hAnsi="Abadi" w:cs="*Arial-7818-Identity-H"/>
          <w:color w:val="0D0C0F"/>
          <w:sz w:val="21"/>
          <w:szCs w:val="21"/>
        </w:rPr>
        <w:t>protección del derecho humano a la salud, respetando las limitaciones y</w:t>
      </w:r>
      <w:r>
        <w:rPr>
          <w:rFonts w:ascii="Abadi" w:hAnsi="Abadi" w:cs="*Arial-7818-Identity-H"/>
          <w:color w:val="0D0C0F"/>
          <w:sz w:val="21"/>
          <w:szCs w:val="21"/>
        </w:rPr>
        <w:t xml:space="preserve"> </w:t>
      </w:r>
      <w:r w:rsidRPr="003D0AE7">
        <w:rPr>
          <w:rFonts w:ascii="Abadi" w:hAnsi="Abadi" w:cs="*Arial-7818-Identity-H"/>
          <w:color w:val="0D0C0F"/>
          <w:sz w:val="21"/>
          <w:szCs w:val="21"/>
        </w:rPr>
        <w:t>restricciones a los derechos humanos establecidas en la propia Constitución.</w:t>
      </w:r>
    </w:p>
    <w:p w14:paraId="637AF5D6" w14:textId="77777777" w:rsidR="0016773C" w:rsidRPr="003D0AE7" w:rsidRDefault="0016773C" w:rsidP="0016773C">
      <w:pPr>
        <w:autoSpaceDE w:val="0"/>
        <w:autoSpaceDN w:val="0"/>
        <w:adjustRightInd w:val="0"/>
        <w:jc w:val="both"/>
        <w:rPr>
          <w:rFonts w:ascii="Abadi" w:hAnsi="Abadi" w:cs="*Arial-7818-Identity-H"/>
          <w:color w:val="0D0C0F"/>
          <w:sz w:val="21"/>
          <w:szCs w:val="21"/>
        </w:rPr>
      </w:pPr>
    </w:p>
    <w:p w14:paraId="7F35F4E5" w14:textId="77777777" w:rsidR="0016773C" w:rsidRDefault="0016773C" w:rsidP="0016773C">
      <w:pPr>
        <w:autoSpaceDE w:val="0"/>
        <w:autoSpaceDN w:val="0"/>
        <w:adjustRightInd w:val="0"/>
        <w:ind w:firstLine="708"/>
        <w:jc w:val="both"/>
        <w:rPr>
          <w:rFonts w:ascii="Abadi" w:hAnsi="Abadi" w:cs="*Arial-Bold-7819-Identity-H"/>
          <w:b/>
          <w:bCs/>
          <w:color w:val="0D0D12"/>
          <w:sz w:val="21"/>
          <w:szCs w:val="21"/>
        </w:rPr>
      </w:pPr>
      <w:r w:rsidRPr="003D0AE7">
        <w:rPr>
          <w:rFonts w:ascii="Abadi" w:hAnsi="Abadi" w:cs="*Arial-Bold-7819-Identity-H"/>
          <w:b/>
          <w:bCs/>
          <w:color w:val="0D0D12"/>
          <w:sz w:val="21"/>
          <w:szCs w:val="21"/>
        </w:rPr>
        <w:t>c) Resumen de las recomendaciones.</w:t>
      </w:r>
    </w:p>
    <w:p w14:paraId="5400F372" w14:textId="77777777" w:rsidR="0016773C" w:rsidRPr="003D0AE7" w:rsidRDefault="0016773C" w:rsidP="0016773C">
      <w:pPr>
        <w:autoSpaceDE w:val="0"/>
        <w:autoSpaceDN w:val="0"/>
        <w:adjustRightInd w:val="0"/>
        <w:jc w:val="both"/>
        <w:rPr>
          <w:rFonts w:ascii="Abadi" w:hAnsi="Abadi" w:cs="*Arial-Bold-7819-Identity-H"/>
          <w:b/>
          <w:bCs/>
          <w:color w:val="0D0D12"/>
          <w:sz w:val="21"/>
          <w:szCs w:val="21"/>
        </w:rPr>
      </w:pPr>
    </w:p>
    <w:p w14:paraId="438838CD" w14:textId="77777777" w:rsidR="0016773C" w:rsidRPr="003D0AE7" w:rsidRDefault="0016773C" w:rsidP="0016773C">
      <w:pPr>
        <w:autoSpaceDE w:val="0"/>
        <w:autoSpaceDN w:val="0"/>
        <w:adjustRightInd w:val="0"/>
        <w:ind w:firstLine="708"/>
        <w:jc w:val="both"/>
        <w:rPr>
          <w:rFonts w:ascii="Abadi" w:hAnsi="Abadi" w:cs="*Arial-6631-Identity-H"/>
          <w:color w:val="0D0C0F"/>
          <w:sz w:val="21"/>
          <w:szCs w:val="21"/>
        </w:rPr>
      </w:pPr>
      <w:r w:rsidRPr="003D0AE7">
        <w:rPr>
          <w:rFonts w:ascii="Abadi" w:hAnsi="Abadi" w:cs="*Arial-7818-Identity-H"/>
          <w:color w:val="0D0C0F"/>
          <w:sz w:val="21"/>
          <w:szCs w:val="21"/>
        </w:rPr>
        <w:t>En este punto se establece un resumen exclusivamente de los resultados</w:t>
      </w:r>
      <w:r>
        <w:rPr>
          <w:rFonts w:ascii="Abadi" w:hAnsi="Abadi" w:cs="*Arial-7818-Identity-H"/>
          <w:color w:val="0D0C0F"/>
          <w:sz w:val="21"/>
          <w:szCs w:val="21"/>
        </w:rPr>
        <w:t xml:space="preserve"> </w:t>
      </w:r>
      <w:r w:rsidRPr="003D0AE7">
        <w:rPr>
          <w:rFonts w:ascii="Abadi" w:hAnsi="Abadi" w:cs="*Arial-7818-Identity-H"/>
          <w:color w:val="0D0C0F"/>
          <w:sz w:val="21"/>
          <w:szCs w:val="21"/>
        </w:rPr>
        <w:t>que generaron recomendación producto de un área de oportunidad o mejora</w:t>
      </w:r>
      <w:r>
        <w:rPr>
          <w:rFonts w:ascii="Abadi" w:hAnsi="Abadi" w:cs="*Arial-7818-Identity-H"/>
          <w:color w:val="0D0C0F"/>
          <w:sz w:val="21"/>
          <w:szCs w:val="21"/>
        </w:rPr>
        <w:t xml:space="preserve"> </w:t>
      </w:r>
      <w:r w:rsidRPr="003D0AE7">
        <w:rPr>
          <w:rFonts w:ascii="Abadi" w:hAnsi="Abadi" w:cs="*Arial-7818-Identity-H"/>
          <w:color w:val="0D0C0F"/>
          <w:sz w:val="21"/>
          <w:szCs w:val="21"/>
        </w:rPr>
        <w:t>sugerida por el Órgano Técnico, agrupados bajo su respectiva vertiente, con su</w:t>
      </w:r>
      <w:r>
        <w:rPr>
          <w:rFonts w:ascii="Abadi" w:hAnsi="Abadi" w:cs="*Arial-7818-Identity-H"/>
          <w:color w:val="0D0C0F"/>
          <w:sz w:val="21"/>
          <w:szCs w:val="21"/>
        </w:rPr>
        <w:t xml:space="preserve"> </w:t>
      </w:r>
      <w:r w:rsidRPr="003D0AE7">
        <w:rPr>
          <w:rFonts w:ascii="Abadi" w:hAnsi="Abadi" w:cs="*Arial-7818-Identity-H"/>
          <w:color w:val="0D0C0F"/>
          <w:sz w:val="21"/>
          <w:szCs w:val="21"/>
        </w:rPr>
        <w:t>síntesis de la valoración efectuada, precisando que del análisis a la respuesta del</w:t>
      </w:r>
      <w:r>
        <w:rPr>
          <w:rFonts w:ascii="Abadi" w:hAnsi="Abadi" w:cs="*Arial-7818-Identity-H"/>
          <w:color w:val="0D0C0F"/>
          <w:sz w:val="21"/>
          <w:szCs w:val="21"/>
        </w:rPr>
        <w:t xml:space="preserve"> </w:t>
      </w:r>
      <w:r w:rsidRPr="003D0AE7">
        <w:rPr>
          <w:rFonts w:ascii="Abadi" w:hAnsi="Abadi" w:cs="*Arial-7818-Identity-H"/>
          <w:color w:val="0D0C0F"/>
          <w:sz w:val="21"/>
          <w:szCs w:val="21"/>
        </w:rPr>
        <w:t>pliego de recomendaciones se desprende que el sujeto fiscalizado en 1</w:t>
      </w:r>
      <w:r>
        <w:rPr>
          <w:rFonts w:ascii="Abadi" w:hAnsi="Abadi" w:cs="*Arial-7818-Identity-H"/>
          <w:color w:val="0D0C0F"/>
          <w:sz w:val="21"/>
          <w:szCs w:val="21"/>
        </w:rPr>
        <w:t xml:space="preserve"> </w:t>
      </w:r>
      <w:r w:rsidRPr="003D0AE7">
        <w:rPr>
          <w:rFonts w:ascii="Abadi" w:hAnsi="Abadi" w:cs="*Arial-6631-Identity-H"/>
          <w:color w:val="0D0C0F"/>
          <w:sz w:val="21"/>
          <w:szCs w:val="21"/>
        </w:rPr>
        <w:t>recomendación se comprometió a realizar acciones en un plazo futuro para su</w:t>
      </w:r>
      <w:r>
        <w:rPr>
          <w:rFonts w:ascii="Abadi" w:hAnsi="Abadi" w:cs="*Arial-6631-Identity-H"/>
          <w:color w:val="0D0C0F"/>
          <w:sz w:val="21"/>
          <w:szCs w:val="21"/>
        </w:rPr>
        <w:t xml:space="preserve"> </w:t>
      </w:r>
      <w:r w:rsidRPr="003D0AE7">
        <w:rPr>
          <w:rFonts w:ascii="Abadi" w:hAnsi="Abadi" w:cs="*Arial-6631-Identity-H"/>
          <w:color w:val="0D0C0F"/>
          <w:sz w:val="21"/>
          <w:szCs w:val="21"/>
        </w:rPr>
        <w:t>atención; mientras que en 8 recomendaciones persistió lo recomendado, debido a</w:t>
      </w:r>
      <w:r>
        <w:rPr>
          <w:rFonts w:ascii="Abadi" w:hAnsi="Abadi" w:cs="*Arial-6631-Identity-H"/>
          <w:color w:val="0D0C0F"/>
          <w:sz w:val="21"/>
          <w:szCs w:val="21"/>
        </w:rPr>
        <w:t xml:space="preserve"> </w:t>
      </w:r>
      <w:r w:rsidRPr="003D0AE7">
        <w:rPr>
          <w:rFonts w:ascii="Abadi" w:hAnsi="Abadi" w:cs="*Arial-6631-Identity-H"/>
          <w:color w:val="0D0C0F"/>
          <w:sz w:val="21"/>
          <w:szCs w:val="21"/>
        </w:rPr>
        <w:t>que en su mayoría si bien, señaló las acciones a realizar, no especificó un plazo</w:t>
      </w:r>
      <w:r>
        <w:rPr>
          <w:rFonts w:ascii="Abadi" w:hAnsi="Abadi" w:cs="*Arial-6631-Identity-H"/>
          <w:color w:val="0D0C0F"/>
          <w:sz w:val="21"/>
          <w:szCs w:val="21"/>
        </w:rPr>
        <w:t xml:space="preserve"> </w:t>
      </w:r>
      <w:r w:rsidRPr="003D0AE7">
        <w:rPr>
          <w:rFonts w:ascii="Abadi" w:hAnsi="Abadi" w:cs="*Arial-6631-Identity-H"/>
          <w:color w:val="0D0C0F"/>
          <w:sz w:val="21"/>
          <w:szCs w:val="21"/>
        </w:rPr>
        <w:t>futuro cierto para su implementación. A dichas recomendaciones dará seguimiento</w:t>
      </w:r>
      <w:r>
        <w:rPr>
          <w:rFonts w:ascii="Abadi" w:hAnsi="Abadi" w:cs="*Arial-6631-Identity-H"/>
          <w:color w:val="0D0C0F"/>
          <w:sz w:val="21"/>
          <w:szCs w:val="21"/>
        </w:rPr>
        <w:t xml:space="preserve"> </w:t>
      </w:r>
      <w:r w:rsidRPr="003D0AE7">
        <w:rPr>
          <w:rFonts w:ascii="Abadi" w:hAnsi="Abadi" w:cs="*Arial-6631-Identity-H"/>
          <w:color w:val="0D0C0F"/>
          <w:sz w:val="21"/>
          <w:szCs w:val="21"/>
        </w:rPr>
        <w:t>el Órgano Técnico en la etapa correspondiente, de conformidad con el</w:t>
      </w:r>
      <w:r>
        <w:rPr>
          <w:rFonts w:ascii="Abadi" w:hAnsi="Abadi" w:cs="*Arial-6631-Identity-H"/>
          <w:color w:val="0D0C0F"/>
          <w:sz w:val="21"/>
          <w:szCs w:val="21"/>
        </w:rPr>
        <w:t xml:space="preserve"> </w:t>
      </w:r>
      <w:r w:rsidRPr="003D0AE7">
        <w:rPr>
          <w:rFonts w:ascii="Abadi" w:hAnsi="Abadi" w:cs="*Arial-6631-Identity-H"/>
          <w:color w:val="0D0C0F"/>
          <w:sz w:val="21"/>
          <w:szCs w:val="21"/>
        </w:rPr>
        <w:t>ordenamiento legal respectivo:</w:t>
      </w:r>
    </w:p>
    <w:p w14:paraId="5BF7E8E3" w14:textId="77777777" w:rsidR="0016773C" w:rsidRDefault="0016773C" w:rsidP="0016773C">
      <w:pPr>
        <w:autoSpaceDE w:val="0"/>
        <w:autoSpaceDN w:val="0"/>
        <w:adjustRightInd w:val="0"/>
        <w:jc w:val="both"/>
        <w:rPr>
          <w:rFonts w:ascii="Abadi" w:hAnsi="Abadi" w:cs="*Arial-Bold-6632-Identity-H"/>
          <w:b/>
          <w:bCs/>
          <w:color w:val="0C0C10"/>
          <w:sz w:val="21"/>
          <w:szCs w:val="21"/>
        </w:rPr>
      </w:pPr>
    </w:p>
    <w:p w14:paraId="50AE3331" w14:textId="77777777" w:rsidR="0016773C" w:rsidRDefault="0016773C" w:rsidP="0016773C">
      <w:pPr>
        <w:autoSpaceDE w:val="0"/>
        <w:autoSpaceDN w:val="0"/>
        <w:adjustRightInd w:val="0"/>
        <w:ind w:firstLine="708"/>
        <w:jc w:val="both"/>
        <w:rPr>
          <w:rFonts w:ascii="Abadi" w:hAnsi="Abadi" w:cs="*Arial-Bold-6632-Identity-H"/>
          <w:b/>
          <w:bCs/>
          <w:color w:val="0C0C10"/>
          <w:sz w:val="21"/>
          <w:szCs w:val="21"/>
        </w:rPr>
      </w:pPr>
      <w:r w:rsidRPr="003D0AE7">
        <w:rPr>
          <w:rFonts w:ascii="Abadi" w:hAnsi="Abadi" w:cs="*Arial-Bold-6632-Identity-H"/>
          <w:b/>
          <w:bCs/>
          <w:color w:val="0C0C10"/>
          <w:sz w:val="21"/>
          <w:szCs w:val="21"/>
        </w:rPr>
        <w:t>d) Conclusión General.</w:t>
      </w:r>
    </w:p>
    <w:p w14:paraId="45EEB9C4" w14:textId="77777777" w:rsidR="0016773C" w:rsidRPr="003D0AE7" w:rsidRDefault="0016773C" w:rsidP="0016773C">
      <w:pPr>
        <w:autoSpaceDE w:val="0"/>
        <w:autoSpaceDN w:val="0"/>
        <w:adjustRightInd w:val="0"/>
        <w:jc w:val="both"/>
        <w:rPr>
          <w:rFonts w:ascii="Abadi" w:hAnsi="Abadi" w:cs="*Arial-Bold-6632-Identity-H"/>
          <w:b/>
          <w:bCs/>
          <w:color w:val="0C0C10"/>
          <w:sz w:val="21"/>
          <w:szCs w:val="21"/>
        </w:rPr>
      </w:pPr>
    </w:p>
    <w:p w14:paraId="72595B4F" w14:textId="77777777" w:rsidR="0016773C" w:rsidRDefault="0016773C" w:rsidP="0016773C">
      <w:pPr>
        <w:autoSpaceDE w:val="0"/>
        <w:autoSpaceDN w:val="0"/>
        <w:adjustRightInd w:val="0"/>
        <w:ind w:firstLine="708"/>
        <w:jc w:val="both"/>
        <w:rPr>
          <w:rFonts w:ascii="Abadi" w:hAnsi="Abadi" w:cs="*Arial-6631-Identity-H"/>
          <w:color w:val="0C0C0F"/>
          <w:sz w:val="21"/>
          <w:szCs w:val="21"/>
        </w:rPr>
      </w:pPr>
      <w:r w:rsidRPr="003D0AE7">
        <w:rPr>
          <w:rFonts w:ascii="Abadi" w:hAnsi="Abadi" w:cs="*Arial-6631-Identity-H"/>
          <w:color w:val="0C0C0F"/>
          <w:sz w:val="21"/>
          <w:szCs w:val="21"/>
        </w:rPr>
        <w:t>La Auditoría Superior del Estado concluyó que los servicios públicos se</w:t>
      </w:r>
      <w:r>
        <w:rPr>
          <w:rFonts w:ascii="Abadi" w:hAnsi="Abadi" w:cs="*Arial-6631-Identity-H"/>
          <w:color w:val="0C0C0F"/>
          <w:sz w:val="21"/>
          <w:szCs w:val="21"/>
        </w:rPr>
        <w:t xml:space="preserve"> </w:t>
      </w:r>
      <w:r w:rsidRPr="003D0AE7">
        <w:rPr>
          <w:rFonts w:ascii="Abadi" w:hAnsi="Abadi" w:cs="*Arial-6631-Identity-H"/>
          <w:color w:val="0C0C0F"/>
          <w:sz w:val="21"/>
          <w:szCs w:val="21"/>
        </w:rPr>
        <w:t>pueden entender como toda prestación concreta que tienda a satisfacer, de</w:t>
      </w:r>
      <w:r>
        <w:rPr>
          <w:rFonts w:ascii="Abadi" w:hAnsi="Abadi" w:cs="*Arial-6631-Identity-H"/>
          <w:color w:val="0C0C0F"/>
          <w:sz w:val="21"/>
          <w:szCs w:val="21"/>
        </w:rPr>
        <w:t xml:space="preserve"> </w:t>
      </w:r>
      <w:r w:rsidRPr="003D0AE7">
        <w:rPr>
          <w:rFonts w:ascii="Abadi" w:hAnsi="Abadi" w:cs="*Arial-6631-Identity-H"/>
          <w:color w:val="0C0C0F"/>
          <w:sz w:val="21"/>
          <w:szCs w:val="21"/>
        </w:rPr>
        <w:t xml:space="preserve">manera regular, continua y uniforme, las necesidades sociales </w:t>
      </w:r>
      <w:r>
        <w:rPr>
          <w:rFonts w:ascii="Abadi" w:eastAsia="Abadi" w:hAnsi="Abadi" w:cs="Abadi"/>
          <w:color w:val="0C0C0F"/>
          <w:sz w:val="21"/>
          <w:szCs w:val="21"/>
        </w:rPr>
        <w:t>d</w:t>
      </w:r>
      <w:r w:rsidRPr="003D0AE7">
        <w:rPr>
          <w:rFonts w:ascii="Abadi" w:hAnsi="Abadi" w:cs="*Arial-6631-Identity-H"/>
          <w:color w:val="0C0C0F"/>
          <w:sz w:val="21"/>
          <w:szCs w:val="21"/>
        </w:rPr>
        <w:t>e carácter</w:t>
      </w:r>
      <w:r>
        <w:rPr>
          <w:rFonts w:ascii="Abadi" w:hAnsi="Abadi" w:cs="*Arial-6631-Identity-H"/>
          <w:color w:val="0C0C0F"/>
          <w:sz w:val="21"/>
          <w:szCs w:val="21"/>
        </w:rPr>
        <w:t xml:space="preserve"> </w:t>
      </w:r>
      <w:r w:rsidRPr="003D0AE7">
        <w:rPr>
          <w:rFonts w:ascii="Abadi" w:hAnsi="Abadi" w:cs="*Arial-6631-Identity-H"/>
          <w:color w:val="0C0C0F"/>
          <w:sz w:val="21"/>
          <w:szCs w:val="21"/>
        </w:rPr>
        <w:t>general, básico o fundamental, en beneficio indiscriminado de toda la ciudadanía.</w:t>
      </w:r>
    </w:p>
    <w:p w14:paraId="6910CDFF" w14:textId="77777777" w:rsidR="0016773C" w:rsidRPr="003D0AE7" w:rsidRDefault="0016773C" w:rsidP="0016773C">
      <w:pPr>
        <w:autoSpaceDE w:val="0"/>
        <w:autoSpaceDN w:val="0"/>
        <w:adjustRightInd w:val="0"/>
        <w:jc w:val="both"/>
        <w:rPr>
          <w:rFonts w:ascii="Abadi" w:hAnsi="Abadi" w:cs="*Arial-6631-Identity-H"/>
          <w:color w:val="0C0C0F"/>
          <w:sz w:val="21"/>
          <w:szCs w:val="21"/>
        </w:rPr>
      </w:pPr>
    </w:p>
    <w:p w14:paraId="44BBA9D8" w14:textId="77777777" w:rsidR="0016773C" w:rsidRDefault="0016773C" w:rsidP="0016773C">
      <w:pPr>
        <w:autoSpaceDE w:val="0"/>
        <w:autoSpaceDN w:val="0"/>
        <w:adjustRightInd w:val="0"/>
        <w:ind w:firstLine="708"/>
        <w:jc w:val="both"/>
        <w:rPr>
          <w:rFonts w:ascii="Abadi" w:hAnsi="Abadi" w:cs="*Arial-6631-Identity-H"/>
          <w:color w:val="0C0C0F"/>
          <w:sz w:val="21"/>
          <w:szCs w:val="21"/>
        </w:rPr>
      </w:pPr>
      <w:r w:rsidRPr="003D0AE7">
        <w:rPr>
          <w:rFonts w:ascii="Abadi" w:hAnsi="Abadi" w:cs="*Arial-6631-Identity-H"/>
          <w:color w:val="0C0C0F"/>
          <w:sz w:val="21"/>
          <w:szCs w:val="21"/>
        </w:rPr>
        <w:t>De su adecuada prestación depende, en cierta medida, la calidad de vida de las</w:t>
      </w:r>
      <w:r>
        <w:rPr>
          <w:rFonts w:ascii="Abadi" w:hAnsi="Abadi" w:cs="*Arial-6631-Identity-H"/>
          <w:color w:val="0C0C0F"/>
          <w:sz w:val="21"/>
          <w:szCs w:val="21"/>
        </w:rPr>
        <w:t xml:space="preserve"> </w:t>
      </w:r>
      <w:r w:rsidRPr="003D0AE7">
        <w:rPr>
          <w:rFonts w:ascii="Abadi" w:hAnsi="Abadi" w:cs="*Arial-6631-Identity-H"/>
          <w:color w:val="0C0C0F"/>
          <w:sz w:val="21"/>
          <w:szCs w:val="21"/>
        </w:rPr>
        <w:t>personas.</w:t>
      </w:r>
    </w:p>
    <w:p w14:paraId="6E6FA71F" w14:textId="77777777" w:rsidR="0016773C" w:rsidRPr="003D0AE7" w:rsidRDefault="0016773C" w:rsidP="0016773C">
      <w:pPr>
        <w:autoSpaceDE w:val="0"/>
        <w:autoSpaceDN w:val="0"/>
        <w:adjustRightInd w:val="0"/>
        <w:jc w:val="both"/>
        <w:rPr>
          <w:rFonts w:ascii="Abadi" w:hAnsi="Abadi" w:cs="*Arial-6631-Identity-H"/>
          <w:color w:val="0C0C0F"/>
          <w:sz w:val="21"/>
          <w:szCs w:val="21"/>
        </w:rPr>
      </w:pPr>
    </w:p>
    <w:p w14:paraId="4C6B406E" w14:textId="77777777" w:rsidR="0016773C" w:rsidRDefault="0016773C" w:rsidP="0016773C">
      <w:pPr>
        <w:autoSpaceDE w:val="0"/>
        <w:autoSpaceDN w:val="0"/>
        <w:adjustRightInd w:val="0"/>
        <w:ind w:firstLine="708"/>
        <w:jc w:val="both"/>
        <w:rPr>
          <w:rFonts w:ascii="Abadi" w:hAnsi="Abadi" w:cs="*Arial-6631-Identity-H"/>
          <w:color w:val="0D0C0E"/>
          <w:sz w:val="21"/>
          <w:szCs w:val="21"/>
        </w:rPr>
      </w:pPr>
      <w:r w:rsidRPr="003D0AE7">
        <w:rPr>
          <w:rFonts w:ascii="Abadi" w:hAnsi="Abadi" w:cs="*Arial-6631-Identity-H"/>
          <w:color w:val="0D0C0E"/>
          <w:sz w:val="21"/>
          <w:szCs w:val="21"/>
        </w:rPr>
        <w:t xml:space="preserve">De igual forma, se refiere que el artículo 115, fracción </w:t>
      </w:r>
      <w:r>
        <w:rPr>
          <w:rFonts w:ascii="Abadi" w:hAnsi="Abadi" w:cs="*Arial-6631-Identity-H"/>
          <w:color w:val="0D0C0E"/>
          <w:sz w:val="21"/>
          <w:szCs w:val="21"/>
        </w:rPr>
        <w:t>III</w:t>
      </w:r>
      <w:r w:rsidRPr="003D0AE7">
        <w:rPr>
          <w:rFonts w:ascii="Abadi" w:hAnsi="Abadi" w:cs="*Arial-6631-Identity-H"/>
          <w:color w:val="0D0C0E"/>
          <w:sz w:val="21"/>
          <w:szCs w:val="21"/>
        </w:rPr>
        <w:t>, inciso b, de la</w:t>
      </w:r>
      <w:r>
        <w:rPr>
          <w:rFonts w:ascii="Abadi" w:hAnsi="Abadi" w:cs="*Arial-6631-Identity-H"/>
          <w:color w:val="0D0C0E"/>
          <w:sz w:val="21"/>
          <w:szCs w:val="21"/>
        </w:rPr>
        <w:t xml:space="preserve"> </w:t>
      </w:r>
      <w:r w:rsidRPr="003D0AE7">
        <w:rPr>
          <w:rFonts w:ascii="Abadi" w:hAnsi="Abadi" w:cs="*Arial-6631-Identity-H"/>
          <w:color w:val="0D0C0E"/>
          <w:sz w:val="21"/>
          <w:szCs w:val="21"/>
        </w:rPr>
        <w:t>Constitución Política de los Estados Unidos Mexicanos establece al alumbrado</w:t>
      </w:r>
      <w:r>
        <w:rPr>
          <w:rFonts w:ascii="Abadi" w:hAnsi="Abadi" w:cs="*Arial-6631-Identity-H"/>
          <w:color w:val="0D0C0E"/>
          <w:sz w:val="21"/>
          <w:szCs w:val="21"/>
        </w:rPr>
        <w:t xml:space="preserve"> </w:t>
      </w:r>
      <w:r w:rsidRPr="003D0AE7">
        <w:rPr>
          <w:rFonts w:ascii="Abadi" w:hAnsi="Abadi" w:cs="*Arial-6631-Identity-H"/>
          <w:color w:val="0D0C0E"/>
          <w:sz w:val="21"/>
          <w:szCs w:val="21"/>
        </w:rPr>
        <w:t>público como uno de los servicios públicos que los municipios tienen a su cargo.</w:t>
      </w:r>
    </w:p>
    <w:p w14:paraId="499392A7" w14:textId="77777777" w:rsidR="0016773C" w:rsidRPr="003D0AE7" w:rsidRDefault="0016773C" w:rsidP="0016773C">
      <w:pPr>
        <w:autoSpaceDE w:val="0"/>
        <w:autoSpaceDN w:val="0"/>
        <w:adjustRightInd w:val="0"/>
        <w:jc w:val="both"/>
        <w:rPr>
          <w:rFonts w:ascii="Abadi" w:hAnsi="Abadi" w:cs="*Arial-6631-Identity-H"/>
          <w:color w:val="0D0C0E"/>
          <w:sz w:val="21"/>
          <w:szCs w:val="21"/>
        </w:rPr>
      </w:pPr>
    </w:p>
    <w:p w14:paraId="3D6DF094" w14:textId="77777777" w:rsidR="0016773C" w:rsidRDefault="0016773C" w:rsidP="0016773C">
      <w:pPr>
        <w:autoSpaceDE w:val="0"/>
        <w:autoSpaceDN w:val="0"/>
        <w:adjustRightInd w:val="0"/>
        <w:ind w:firstLine="708"/>
        <w:jc w:val="both"/>
        <w:rPr>
          <w:rFonts w:ascii="Abadi" w:hAnsi="Abadi" w:cs="*Arial-6631-Identity-H"/>
          <w:color w:val="0D0C0E"/>
          <w:sz w:val="21"/>
          <w:szCs w:val="21"/>
        </w:rPr>
      </w:pPr>
      <w:r w:rsidRPr="003D0AE7">
        <w:rPr>
          <w:rFonts w:ascii="Abadi" w:hAnsi="Abadi" w:cs="*Arial-6631-Identity-H"/>
          <w:color w:val="0D0C0E"/>
          <w:sz w:val="21"/>
          <w:szCs w:val="21"/>
        </w:rPr>
        <w:t>Por su parte, a nivel local, en el artículo 117 de la Constitución Política para el</w:t>
      </w:r>
      <w:r>
        <w:rPr>
          <w:rFonts w:ascii="Abadi" w:hAnsi="Abadi" w:cs="*Arial-6631-Identity-H"/>
          <w:color w:val="0D0C0E"/>
          <w:sz w:val="21"/>
          <w:szCs w:val="21"/>
        </w:rPr>
        <w:t xml:space="preserve"> </w:t>
      </w:r>
      <w:r w:rsidRPr="003D0AE7">
        <w:rPr>
          <w:rFonts w:ascii="Abadi" w:hAnsi="Abadi" w:cs="*Arial-6631-Identity-H"/>
          <w:color w:val="0D0C0E"/>
          <w:sz w:val="21"/>
          <w:szCs w:val="21"/>
        </w:rPr>
        <w:t>Estado de Guanajuato se dispone la misma responsabilidad para este ámbito de</w:t>
      </w:r>
      <w:r>
        <w:rPr>
          <w:rFonts w:ascii="Abadi" w:hAnsi="Abadi" w:cs="*Arial-6631-Identity-H"/>
          <w:color w:val="0D0C0E"/>
          <w:sz w:val="21"/>
          <w:szCs w:val="21"/>
        </w:rPr>
        <w:t xml:space="preserve"> </w:t>
      </w:r>
      <w:r w:rsidRPr="003D0AE7">
        <w:rPr>
          <w:rFonts w:ascii="Abadi" w:hAnsi="Abadi" w:cs="*Arial-6631-Identity-H"/>
          <w:color w:val="0D0C0E"/>
          <w:sz w:val="21"/>
          <w:szCs w:val="21"/>
        </w:rPr>
        <w:t>gobierno.</w:t>
      </w:r>
    </w:p>
    <w:p w14:paraId="3DB3246C" w14:textId="77777777" w:rsidR="0016773C" w:rsidRPr="003D0AE7" w:rsidRDefault="0016773C" w:rsidP="0016773C">
      <w:pPr>
        <w:autoSpaceDE w:val="0"/>
        <w:autoSpaceDN w:val="0"/>
        <w:adjustRightInd w:val="0"/>
        <w:jc w:val="both"/>
        <w:rPr>
          <w:rFonts w:ascii="Abadi" w:hAnsi="Abadi" w:cs="*Arial-6631-Identity-H"/>
          <w:color w:val="0D0C0E"/>
          <w:sz w:val="21"/>
          <w:szCs w:val="21"/>
        </w:rPr>
      </w:pPr>
    </w:p>
    <w:p w14:paraId="1C892817" w14:textId="77777777" w:rsidR="0016773C" w:rsidRDefault="0016773C" w:rsidP="0016773C">
      <w:pPr>
        <w:autoSpaceDE w:val="0"/>
        <w:autoSpaceDN w:val="0"/>
        <w:adjustRightInd w:val="0"/>
        <w:ind w:firstLine="708"/>
        <w:jc w:val="both"/>
        <w:rPr>
          <w:rFonts w:ascii="Abadi" w:hAnsi="Abadi" w:cs="*Arial-6631-Identity-H"/>
          <w:color w:val="0C0C0F"/>
          <w:sz w:val="21"/>
          <w:szCs w:val="21"/>
        </w:rPr>
      </w:pPr>
      <w:r w:rsidRPr="003D0AE7">
        <w:rPr>
          <w:rFonts w:ascii="Abadi" w:hAnsi="Abadi" w:cs="*Arial-6631-Identity-H"/>
          <w:color w:val="0C0C0F"/>
          <w:sz w:val="21"/>
          <w:szCs w:val="21"/>
        </w:rPr>
        <w:t>En este sentido, el alumbrado público es un serv</w:t>
      </w:r>
      <w:r>
        <w:rPr>
          <w:rFonts w:ascii="Abadi" w:hAnsi="Abadi" w:cs="*Arial-6631-Identity-H"/>
          <w:color w:val="0C0C0F"/>
          <w:sz w:val="21"/>
          <w:szCs w:val="21"/>
        </w:rPr>
        <w:t>icio</w:t>
      </w:r>
      <w:r w:rsidRPr="003D0AE7">
        <w:rPr>
          <w:rFonts w:ascii="Abadi" w:hAnsi="Abadi" w:cs="*Arial-6631-Identity-H"/>
          <w:color w:val="0C0C0F"/>
          <w:sz w:val="21"/>
          <w:szCs w:val="21"/>
        </w:rPr>
        <w:t xml:space="preserve"> que tiene como</w:t>
      </w:r>
      <w:r>
        <w:rPr>
          <w:rFonts w:ascii="Abadi" w:hAnsi="Abadi" w:cs="*Arial-6631-Identity-H"/>
          <w:color w:val="0C0C0F"/>
          <w:sz w:val="21"/>
          <w:szCs w:val="21"/>
        </w:rPr>
        <w:t xml:space="preserve"> </w:t>
      </w:r>
      <w:r w:rsidRPr="003D0AE7">
        <w:rPr>
          <w:rFonts w:ascii="Abadi" w:hAnsi="Abadi" w:cs="*Arial-6631-Identity-H"/>
          <w:color w:val="0C0C0F"/>
          <w:sz w:val="21"/>
          <w:szCs w:val="21"/>
        </w:rPr>
        <w:t>objetivo el desarrollo de un entorno cómodo y seguro para facilitar la movilidad de</w:t>
      </w:r>
      <w:r>
        <w:rPr>
          <w:rFonts w:ascii="Abadi" w:hAnsi="Abadi" w:cs="*Arial-6631-Identity-H"/>
          <w:color w:val="0C0C0F"/>
          <w:sz w:val="21"/>
          <w:szCs w:val="21"/>
        </w:rPr>
        <w:t xml:space="preserve"> </w:t>
      </w:r>
      <w:r w:rsidRPr="003D0AE7">
        <w:rPr>
          <w:rFonts w:ascii="Abadi" w:hAnsi="Abadi" w:cs="*Arial-6631-Identity-H"/>
          <w:color w:val="0C0C0F"/>
          <w:sz w:val="21"/>
          <w:szCs w:val="21"/>
        </w:rPr>
        <w:t>la población, el disfrute de la ciudad, del patrimonio cultural y de los espacios</w:t>
      </w:r>
      <w:r>
        <w:rPr>
          <w:rFonts w:ascii="Abadi" w:hAnsi="Abadi" w:cs="*Arial-6631-Identity-H"/>
          <w:color w:val="0C0C0F"/>
          <w:sz w:val="21"/>
          <w:szCs w:val="21"/>
        </w:rPr>
        <w:t xml:space="preserve"> </w:t>
      </w:r>
      <w:r w:rsidRPr="003D0AE7">
        <w:rPr>
          <w:rFonts w:ascii="Abadi" w:hAnsi="Abadi" w:cs="*Arial-6631-Identity-H"/>
          <w:color w:val="0C0C0F"/>
          <w:sz w:val="21"/>
          <w:szCs w:val="21"/>
        </w:rPr>
        <w:t>públicos; a su vez, mantiene una estrecha relación con la creación de condiciones</w:t>
      </w:r>
      <w:r>
        <w:rPr>
          <w:rFonts w:ascii="Abadi" w:hAnsi="Abadi" w:cs="*Arial-6631-Identity-H"/>
          <w:color w:val="0C0C0F"/>
          <w:sz w:val="21"/>
          <w:szCs w:val="21"/>
        </w:rPr>
        <w:t xml:space="preserve"> </w:t>
      </w:r>
      <w:r w:rsidRPr="003D0AE7">
        <w:rPr>
          <w:rFonts w:ascii="Abadi" w:hAnsi="Abadi" w:cs="*Arial-6631-Identity-H"/>
          <w:color w:val="0C0C0F"/>
          <w:sz w:val="21"/>
          <w:szCs w:val="21"/>
        </w:rPr>
        <w:t>de seguridad en la vida cotidiana de la población, esto último por considerase un</w:t>
      </w:r>
      <w:r>
        <w:rPr>
          <w:rFonts w:ascii="Abadi" w:hAnsi="Abadi" w:cs="*Arial-6631-Identity-H"/>
          <w:color w:val="0C0C0F"/>
          <w:sz w:val="21"/>
          <w:szCs w:val="21"/>
        </w:rPr>
        <w:t xml:space="preserve"> </w:t>
      </w:r>
      <w:r w:rsidRPr="003D0AE7">
        <w:rPr>
          <w:rFonts w:ascii="Abadi" w:hAnsi="Abadi" w:cs="*Arial-6631-Identity-H"/>
          <w:color w:val="0C0C0F"/>
          <w:sz w:val="21"/>
          <w:szCs w:val="21"/>
        </w:rPr>
        <w:t>factor que contribuye a reducir la percepción de inseguridad.</w:t>
      </w:r>
    </w:p>
    <w:p w14:paraId="54D3C090" w14:textId="77777777" w:rsidR="0016773C" w:rsidRPr="003D0AE7" w:rsidRDefault="0016773C" w:rsidP="0016773C">
      <w:pPr>
        <w:autoSpaceDE w:val="0"/>
        <w:autoSpaceDN w:val="0"/>
        <w:adjustRightInd w:val="0"/>
        <w:jc w:val="both"/>
        <w:rPr>
          <w:rFonts w:ascii="Abadi" w:hAnsi="Abadi" w:cs="*Arial-6631-Identity-H"/>
          <w:color w:val="0C0C0F"/>
          <w:sz w:val="21"/>
          <w:szCs w:val="21"/>
        </w:rPr>
      </w:pPr>
    </w:p>
    <w:p w14:paraId="5A8F35B8" w14:textId="77777777" w:rsidR="0016773C" w:rsidRPr="003D0AE7" w:rsidRDefault="0016773C" w:rsidP="0016773C">
      <w:pPr>
        <w:autoSpaceDE w:val="0"/>
        <w:autoSpaceDN w:val="0"/>
        <w:adjustRightInd w:val="0"/>
        <w:ind w:firstLine="708"/>
        <w:jc w:val="both"/>
        <w:rPr>
          <w:rFonts w:ascii="Abadi" w:hAnsi="Abadi" w:cs="*Arial-6631-Identity-H"/>
          <w:color w:val="0C0C0E"/>
          <w:sz w:val="21"/>
          <w:szCs w:val="21"/>
        </w:rPr>
      </w:pPr>
      <w:r w:rsidRPr="003D0AE7">
        <w:rPr>
          <w:rFonts w:ascii="Abadi" w:hAnsi="Abadi" w:cs="*Arial-6631-Identity-H"/>
          <w:color w:val="0C0C0E"/>
          <w:sz w:val="21"/>
          <w:szCs w:val="21"/>
        </w:rPr>
        <w:t>Derivado de lo anterior, el adecuado desempeño de los servicios públicos</w:t>
      </w:r>
      <w:r>
        <w:rPr>
          <w:rFonts w:ascii="Abadi" w:hAnsi="Abadi" w:cs="*Arial-6631-Identity-H"/>
          <w:color w:val="0C0C0E"/>
          <w:sz w:val="21"/>
          <w:szCs w:val="21"/>
        </w:rPr>
        <w:t xml:space="preserve"> </w:t>
      </w:r>
      <w:r w:rsidRPr="003D0AE7">
        <w:rPr>
          <w:rFonts w:ascii="Abadi" w:hAnsi="Abadi" w:cs="*Arial-6631-Identity-H"/>
          <w:color w:val="0C0C0E"/>
          <w:sz w:val="21"/>
          <w:szCs w:val="21"/>
        </w:rPr>
        <w:t>incide en la calidad de vida de los habitantes y, por ello, es conveniente que se</w:t>
      </w:r>
      <w:r>
        <w:rPr>
          <w:rFonts w:ascii="Abadi" w:hAnsi="Abadi" w:cs="*Arial-6631-Identity-H"/>
          <w:color w:val="0C0C0E"/>
          <w:sz w:val="21"/>
          <w:szCs w:val="21"/>
        </w:rPr>
        <w:t xml:space="preserve"> </w:t>
      </w:r>
      <w:r w:rsidRPr="003D0AE7">
        <w:rPr>
          <w:rFonts w:ascii="Abadi" w:hAnsi="Abadi" w:cs="*Arial-6631-Identity-H"/>
          <w:color w:val="0C0C0E"/>
          <w:sz w:val="21"/>
          <w:szCs w:val="21"/>
        </w:rPr>
        <w:t>administre bajo modelos de gestión orientados a los resultados que garanticen su</w:t>
      </w:r>
      <w:r>
        <w:rPr>
          <w:rFonts w:ascii="Abadi" w:hAnsi="Abadi" w:cs="*Arial-6631-Identity-H"/>
          <w:color w:val="0C0C0E"/>
          <w:sz w:val="21"/>
          <w:szCs w:val="21"/>
        </w:rPr>
        <w:t xml:space="preserve"> </w:t>
      </w:r>
      <w:r w:rsidRPr="003D0AE7">
        <w:rPr>
          <w:rFonts w:ascii="Abadi" w:hAnsi="Abadi" w:cs="*Arial-6631-Identity-H"/>
          <w:color w:val="0C0C0E"/>
          <w:sz w:val="21"/>
          <w:szCs w:val="21"/>
        </w:rPr>
        <w:t>adecuada operación, permanencia, continuidad, uniformidad e igualdad ante los</w:t>
      </w:r>
      <w:r>
        <w:rPr>
          <w:rFonts w:ascii="Abadi" w:hAnsi="Abadi" w:cs="*Arial-6631-Identity-H"/>
          <w:color w:val="0C0C0E"/>
          <w:sz w:val="21"/>
          <w:szCs w:val="21"/>
        </w:rPr>
        <w:t xml:space="preserve"> </w:t>
      </w:r>
      <w:r w:rsidRPr="003D0AE7">
        <w:rPr>
          <w:rFonts w:ascii="Abadi" w:hAnsi="Abadi" w:cs="*Arial-6631-Identity-H"/>
          <w:color w:val="0C0C0E"/>
          <w:sz w:val="21"/>
          <w:szCs w:val="21"/>
        </w:rPr>
        <w:t>usuarios, asegurando una cobertura integral y una oferta al alcance de la</w:t>
      </w:r>
      <w:r>
        <w:rPr>
          <w:rFonts w:ascii="Abadi" w:hAnsi="Abadi" w:cs="*Arial-6631-Identity-H"/>
          <w:color w:val="0C0C0E"/>
          <w:sz w:val="21"/>
          <w:szCs w:val="21"/>
        </w:rPr>
        <w:t xml:space="preserve"> </w:t>
      </w:r>
      <w:r w:rsidRPr="003D0AE7">
        <w:rPr>
          <w:rFonts w:ascii="Abadi" w:hAnsi="Abadi" w:cs="*Arial-6631-Identity-H"/>
          <w:color w:val="0C0C0E"/>
          <w:sz w:val="21"/>
          <w:szCs w:val="21"/>
        </w:rPr>
        <w:t>población municipal que lo requiera.</w:t>
      </w:r>
    </w:p>
    <w:p w14:paraId="430CB2C7" w14:textId="77777777" w:rsidR="0016773C" w:rsidRPr="003D0AE7" w:rsidRDefault="0016773C" w:rsidP="0016773C">
      <w:pPr>
        <w:autoSpaceDE w:val="0"/>
        <w:autoSpaceDN w:val="0"/>
        <w:adjustRightInd w:val="0"/>
        <w:jc w:val="both"/>
        <w:rPr>
          <w:rFonts w:ascii="Abadi" w:hAnsi="Abadi" w:cs="*Arial-7775-Identity-H"/>
          <w:color w:val="171717"/>
          <w:sz w:val="21"/>
          <w:szCs w:val="21"/>
        </w:rPr>
      </w:pPr>
    </w:p>
    <w:p w14:paraId="59335B73" w14:textId="77777777" w:rsidR="0016773C" w:rsidRDefault="0016773C" w:rsidP="0016773C">
      <w:pPr>
        <w:autoSpaceDE w:val="0"/>
        <w:autoSpaceDN w:val="0"/>
        <w:adjustRightInd w:val="0"/>
        <w:ind w:firstLine="708"/>
        <w:jc w:val="both"/>
        <w:rPr>
          <w:rFonts w:ascii="Abadi" w:hAnsi="Abadi" w:cs="*Arial-7773-Identity-H"/>
          <w:color w:val="0D0C0F"/>
          <w:sz w:val="21"/>
          <w:szCs w:val="21"/>
        </w:rPr>
      </w:pPr>
      <w:r w:rsidRPr="003D0AE7">
        <w:rPr>
          <w:rFonts w:ascii="Abadi" w:hAnsi="Abadi" w:cs="*Arial-7773-Identity-H"/>
          <w:color w:val="0D0C0F"/>
          <w:sz w:val="21"/>
          <w:szCs w:val="21"/>
        </w:rPr>
        <w:t>Es así que en el caso que nos ocupa, se definió el objetivo general de la</w:t>
      </w:r>
      <w:r>
        <w:rPr>
          <w:rFonts w:ascii="Abadi" w:hAnsi="Abadi" w:cs="*Arial-7773-Identity-H"/>
          <w:color w:val="0D0C0F"/>
          <w:sz w:val="21"/>
          <w:szCs w:val="21"/>
        </w:rPr>
        <w:t xml:space="preserve"> </w:t>
      </w:r>
      <w:r w:rsidRPr="003D0AE7">
        <w:rPr>
          <w:rFonts w:ascii="Abadi" w:hAnsi="Abadi" w:cs="*Arial-7773-Identity-H"/>
          <w:color w:val="0D0C0F"/>
          <w:sz w:val="21"/>
          <w:szCs w:val="21"/>
        </w:rPr>
        <w:t>auditoria con el propósito de verificar la capacidad del municipio de Purísima del</w:t>
      </w:r>
      <w:r>
        <w:rPr>
          <w:rFonts w:ascii="Abadi" w:hAnsi="Abadi" w:cs="*Arial-7773-Identity-H"/>
          <w:color w:val="0D0C0F"/>
          <w:sz w:val="21"/>
          <w:szCs w:val="21"/>
        </w:rPr>
        <w:t xml:space="preserve"> </w:t>
      </w:r>
      <w:r w:rsidRPr="003D0AE7">
        <w:rPr>
          <w:rFonts w:ascii="Abadi" w:hAnsi="Abadi" w:cs="*Arial-7773-Identity-H"/>
          <w:color w:val="0D0C0F"/>
          <w:sz w:val="21"/>
          <w:szCs w:val="21"/>
        </w:rPr>
        <w:t xml:space="preserve">Rincón, </w:t>
      </w:r>
      <w:proofErr w:type="spellStart"/>
      <w:r w:rsidRPr="003D0AE7">
        <w:rPr>
          <w:rFonts w:ascii="Abadi" w:hAnsi="Abadi" w:cs="*Arial-7773-Identity-H"/>
          <w:color w:val="0D0C0F"/>
          <w:sz w:val="21"/>
          <w:szCs w:val="21"/>
        </w:rPr>
        <w:t>Gto</w:t>
      </w:r>
      <w:proofErr w:type="spellEnd"/>
      <w:r w:rsidRPr="003D0AE7">
        <w:rPr>
          <w:rFonts w:ascii="Abadi" w:hAnsi="Abadi" w:cs="*Arial-7773-Identity-H"/>
          <w:color w:val="0D0C0F"/>
          <w:sz w:val="21"/>
          <w:szCs w:val="21"/>
        </w:rPr>
        <w:t>., para lograr una prestación eficaz del servicio de alumbrado público a</w:t>
      </w:r>
      <w:r>
        <w:rPr>
          <w:rFonts w:ascii="Abadi" w:hAnsi="Abadi" w:cs="*Arial-7773-Identity-H"/>
          <w:color w:val="0D0C0F"/>
          <w:sz w:val="21"/>
          <w:szCs w:val="21"/>
        </w:rPr>
        <w:t xml:space="preserve"> </w:t>
      </w:r>
      <w:r w:rsidRPr="003D0AE7">
        <w:rPr>
          <w:rFonts w:ascii="Abadi" w:hAnsi="Abadi" w:cs="*Arial-7773-Identity-H"/>
          <w:color w:val="0D0C0F"/>
          <w:sz w:val="21"/>
          <w:szCs w:val="21"/>
        </w:rPr>
        <w:t>su población, así como de conocer si las funciones de planificación, operación y</w:t>
      </w:r>
      <w:r>
        <w:rPr>
          <w:rFonts w:ascii="Abadi" w:hAnsi="Abadi" w:cs="*Arial-7773-Identity-H"/>
          <w:color w:val="0D0C0F"/>
          <w:sz w:val="21"/>
          <w:szCs w:val="21"/>
        </w:rPr>
        <w:t xml:space="preserve"> </w:t>
      </w:r>
      <w:r w:rsidRPr="003D0AE7">
        <w:rPr>
          <w:rFonts w:ascii="Abadi" w:hAnsi="Abadi" w:cs="*Arial-7773-Identity-H"/>
          <w:color w:val="0D0C0F"/>
          <w:sz w:val="21"/>
          <w:szCs w:val="21"/>
        </w:rPr>
        <w:t>seguimiento se desarrollaron bajo el principio de eficiencia, ya que de ello</w:t>
      </w:r>
      <w:r>
        <w:rPr>
          <w:rFonts w:ascii="Abadi" w:hAnsi="Abadi" w:cs="*Arial-7773-Identity-H"/>
          <w:color w:val="0D0C0F"/>
          <w:sz w:val="21"/>
          <w:szCs w:val="21"/>
        </w:rPr>
        <w:t xml:space="preserve"> </w:t>
      </w:r>
      <w:r w:rsidRPr="003D0AE7">
        <w:rPr>
          <w:rFonts w:ascii="Abadi" w:hAnsi="Abadi" w:cs="*Arial-7773-Identity-H"/>
          <w:color w:val="0D0C0F"/>
          <w:sz w:val="21"/>
          <w:szCs w:val="21"/>
        </w:rPr>
        <w:t>depende el grado de satisfacción de la comunidad.</w:t>
      </w:r>
    </w:p>
    <w:p w14:paraId="22483ED8" w14:textId="77777777" w:rsidR="0016773C" w:rsidRDefault="0016773C" w:rsidP="0016773C">
      <w:pPr>
        <w:autoSpaceDE w:val="0"/>
        <w:autoSpaceDN w:val="0"/>
        <w:adjustRightInd w:val="0"/>
        <w:jc w:val="both"/>
        <w:rPr>
          <w:rFonts w:ascii="Abadi" w:hAnsi="Abadi" w:cs="*Arial-7773-Identity-H"/>
          <w:color w:val="0D0C0F"/>
          <w:sz w:val="21"/>
          <w:szCs w:val="21"/>
        </w:rPr>
      </w:pPr>
    </w:p>
    <w:p w14:paraId="489FA5CE" w14:textId="77777777" w:rsidR="0016773C" w:rsidRPr="003D0AE7" w:rsidRDefault="0016773C" w:rsidP="0016773C">
      <w:pPr>
        <w:autoSpaceDE w:val="0"/>
        <w:autoSpaceDN w:val="0"/>
        <w:adjustRightInd w:val="0"/>
        <w:jc w:val="both"/>
        <w:rPr>
          <w:rFonts w:ascii="Abadi" w:hAnsi="Abadi" w:cs="*Arial-7773-Identity-H"/>
          <w:color w:val="0D0C0F"/>
          <w:sz w:val="21"/>
          <w:szCs w:val="21"/>
        </w:rPr>
      </w:pPr>
    </w:p>
    <w:p w14:paraId="2FA8B8A9" w14:textId="77777777" w:rsidR="0016773C" w:rsidRDefault="0016773C" w:rsidP="0016773C">
      <w:pPr>
        <w:autoSpaceDE w:val="0"/>
        <w:autoSpaceDN w:val="0"/>
        <w:adjustRightInd w:val="0"/>
        <w:ind w:firstLine="708"/>
        <w:jc w:val="both"/>
        <w:rPr>
          <w:rFonts w:ascii="Abadi" w:hAnsi="Abadi" w:cs="*Arial-7773-Identity-H"/>
          <w:color w:val="0C0C0F"/>
          <w:sz w:val="21"/>
          <w:szCs w:val="21"/>
        </w:rPr>
      </w:pPr>
      <w:r w:rsidRPr="003D0AE7">
        <w:rPr>
          <w:rFonts w:ascii="Abadi" w:hAnsi="Abadi" w:cs="*Arial-7773-Identity-H"/>
          <w:color w:val="0C0C0F"/>
          <w:sz w:val="21"/>
          <w:szCs w:val="21"/>
        </w:rPr>
        <w:t>Para su consecución, las labores de la Auditoría Superior del Estado</w:t>
      </w:r>
      <w:r>
        <w:rPr>
          <w:rFonts w:ascii="Abadi" w:hAnsi="Abadi" w:cs="*Arial-7773-Identity-H"/>
          <w:color w:val="0C0C0F"/>
          <w:sz w:val="21"/>
          <w:szCs w:val="21"/>
        </w:rPr>
        <w:t xml:space="preserve"> </w:t>
      </w:r>
      <w:r w:rsidRPr="003D0AE7">
        <w:rPr>
          <w:rFonts w:ascii="Abadi" w:hAnsi="Abadi" w:cs="*Arial-7773-Identity-H"/>
          <w:color w:val="0C0C0F"/>
          <w:sz w:val="21"/>
          <w:szCs w:val="21"/>
        </w:rPr>
        <w:t>consideraron la verificación de la existencia de procesos diagnósticos o de</w:t>
      </w:r>
      <w:r>
        <w:rPr>
          <w:rFonts w:ascii="Abadi" w:hAnsi="Abadi" w:cs="*Arial-7773-Identity-H"/>
          <w:color w:val="0C0C0F"/>
          <w:sz w:val="21"/>
          <w:szCs w:val="21"/>
        </w:rPr>
        <w:t xml:space="preserve"> </w:t>
      </w:r>
      <w:r w:rsidRPr="003D0AE7">
        <w:rPr>
          <w:rFonts w:ascii="Abadi" w:hAnsi="Abadi" w:cs="*Arial-7773-Identity-H"/>
          <w:color w:val="0C0C0F"/>
          <w:sz w:val="21"/>
          <w:szCs w:val="21"/>
        </w:rPr>
        <w:t>planificación que permitieran a la administración municipal conocer la oferta del</w:t>
      </w:r>
      <w:r>
        <w:rPr>
          <w:rFonts w:ascii="Abadi" w:hAnsi="Abadi" w:cs="*Arial-7773-Identity-H"/>
          <w:color w:val="0C0C0F"/>
          <w:sz w:val="21"/>
          <w:szCs w:val="21"/>
        </w:rPr>
        <w:t xml:space="preserve"> </w:t>
      </w:r>
      <w:r w:rsidRPr="003D0AE7">
        <w:rPr>
          <w:rFonts w:ascii="Abadi" w:hAnsi="Abadi" w:cs="*Arial-7773-Identity-H"/>
          <w:color w:val="0C0C0F"/>
          <w:sz w:val="21"/>
          <w:szCs w:val="21"/>
        </w:rPr>
        <w:t>servicio y las brechas por cubrir, definir la estimación de recursos para una</w:t>
      </w:r>
      <w:r>
        <w:rPr>
          <w:rFonts w:ascii="Abadi" w:hAnsi="Abadi" w:cs="*Arial-7773-Identity-H"/>
          <w:color w:val="0C0C0F"/>
          <w:sz w:val="21"/>
          <w:szCs w:val="21"/>
        </w:rPr>
        <w:t xml:space="preserve"> </w:t>
      </w:r>
      <w:r w:rsidRPr="003D0AE7">
        <w:rPr>
          <w:rFonts w:ascii="Abadi" w:hAnsi="Abadi" w:cs="*Arial-7773-Identity-H"/>
          <w:color w:val="0C0C0F"/>
          <w:sz w:val="21"/>
          <w:szCs w:val="21"/>
        </w:rPr>
        <w:t>adecuada operación y la definición de metas y objetivos orientados a la mejora del</w:t>
      </w:r>
      <w:r>
        <w:rPr>
          <w:rFonts w:ascii="Abadi" w:hAnsi="Abadi" w:cs="*Arial-7773-Identity-H"/>
          <w:color w:val="0C0C0F"/>
          <w:sz w:val="21"/>
          <w:szCs w:val="21"/>
        </w:rPr>
        <w:t xml:space="preserve"> </w:t>
      </w:r>
      <w:r w:rsidRPr="003D0AE7">
        <w:rPr>
          <w:rFonts w:ascii="Abadi" w:hAnsi="Abadi" w:cs="*Arial-7773-Identity-H"/>
          <w:color w:val="0C0C0F"/>
          <w:sz w:val="21"/>
          <w:szCs w:val="21"/>
        </w:rPr>
        <w:t>servicio; respecto de la operación, se consideró la verificación del establecimiento</w:t>
      </w:r>
      <w:r>
        <w:rPr>
          <w:rFonts w:ascii="Abadi" w:hAnsi="Abadi" w:cs="*Arial-7773-Identity-H"/>
          <w:color w:val="0C0C0F"/>
          <w:sz w:val="21"/>
          <w:szCs w:val="21"/>
        </w:rPr>
        <w:t xml:space="preserve"> </w:t>
      </w:r>
      <w:r w:rsidRPr="003D0AE7">
        <w:rPr>
          <w:rFonts w:ascii="Abadi" w:hAnsi="Abadi" w:cs="*Arial-7773-Identity-H"/>
          <w:color w:val="0C0C0F"/>
          <w:sz w:val="21"/>
          <w:szCs w:val="21"/>
        </w:rPr>
        <w:t>de un marco normativo adecuado y vigente, la programación de actividades y su</w:t>
      </w:r>
      <w:r>
        <w:rPr>
          <w:rFonts w:ascii="Abadi" w:hAnsi="Abadi" w:cs="*Arial-7773-Identity-H"/>
          <w:color w:val="0C0C0F"/>
          <w:sz w:val="21"/>
          <w:szCs w:val="21"/>
        </w:rPr>
        <w:t xml:space="preserve"> </w:t>
      </w:r>
      <w:r w:rsidRPr="003D0AE7">
        <w:rPr>
          <w:rFonts w:ascii="Abadi" w:hAnsi="Abadi" w:cs="*Arial-7773-Identity-H"/>
          <w:color w:val="0C0C0F"/>
          <w:sz w:val="21"/>
          <w:szCs w:val="21"/>
        </w:rPr>
        <w:t>consecución, los mecanismos de atención ciudadana para el reporte de fallas y los</w:t>
      </w:r>
      <w:r>
        <w:rPr>
          <w:rFonts w:ascii="Abadi" w:hAnsi="Abadi" w:cs="*Arial-7773-Identity-H"/>
          <w:color w:val="0C0C0F"/>
          <w:sz w:val="21"/>
          <w:szCs w:val="21"/>
        </w:rPr>
        <w:t xml:space="preserve"> </w:t>
      </w:r>
      <w:r w:rsidRPr="003D0AE7">
        <w:rPr>
          <w:rFonts w:ascii="Abadi" w:hAnsi="Abadi" w:cs="*Arial-7773-Identity-H"/>
          <w:color w:val="0C0C0F"/>
          <w:sz w:val="21"/>
          <w:szCs w:val="21"/>
        </w:rPr>
        <w:t>resultados en la cobertura, mantenimiento y satisfacción. También se revisaron los</w:t>
      </w:r>
      <w:r>
        <w:rPr>
          <w:rFonts w:ascii="Abadi" w:hAnsi="Abadi" w:cs="*Arial-7773-Identity-H"/>
          <w:color w:val="0C0C0F"/>
          <w:sz w:val="21"/>
          <w:szCs w:val="21"/>
        </w:rPr>
        <w:t xml:space="preserve"> </w:t>
      </w:r>
      <w:r w:rsidRPr="003D0AE7">
        <w:rPr>
          <w:rFonts w:ascii="Abadi" w:hAnsi="Abadi" w:cs="*Arial-7773-Identity-H"/>
          <w:color w:val="0C0C0F"/>
          <w:sz w:val="21"/>
          <w:szCs w:val="21"/>
        </w:rPr>
        <w:t>mecanismos de monitoreo y evaluación, con el objetivo de analizar el desempeño</w:t>
      </w:r>
      <w:r>
        <w:rPr>
          <w:rFonts w:ascii="Abadi" w:hAnsi="Abadi" w:cs="*Arial-7773-Identity-H"/>
          <w:color w:val="0C0C0F"/>
          <w:sz w:val="21"/>
          <w:szCs w:val="21"/>
        </w:rPr>
        <w:t xml:space="preserve"> </w:t>
      </w:r>
      <w:r w:rsidRPr="003D0AE7">
        <w:rPr>
          <w:rFonts w:ascii="Abadi" w:hAnsi="Abadi" w:cs="*Arial-7773-Identity-H"/>
          <w:color w:val="0C0C0F"/>
          <w:sz w:val="21"/>
          <w:szCs w:val="21"/>
        </w:rPr>
        <w:t>del Municipio en el otorgamiento del servicio, y verificar la eficiencia y la eficacia</w:t>
      </w:r>
      <w:r>
        <w:rPr>
          <w:rFonts w:ascii="Abadi" w:hAnsi="Abadi" w:cs="*Arial-7773-Identity-H"/>
          <w:color w:val="0C0C0F"/>
          <w:sz w:val="21"/>
          <w:szCs w:val="21"/>
        </w:rPr>
        <w:t xml:space="preserve"> </w:t>
      </w:r>
      <w:r w:rsidRPr="003D0AE7">
        <w:rPr>
          <w:rFonts w:ascii="Abadi" w:hAnsi="Abadi" w:cs="*Arial-7773-Identity-H"/>
          <w:color w:val="0C0C0F"/>
          <w:sz w:val="21"/>
          <w:szCs w:val="21"/>
        </w:rPr>
        <w:t>del alumbrado público municipal en beneficio de la ciudadanía.</w:t>
      </w:r>
    </w:p>
    <w:p w14:paraId="76C109A7" w14:textId="77777777" w:rsidR="0016773C" w:rsidRPr="003D0AE7" w:rsidRDefault="0016773C" w:rsidP="0016773C">
      <w:pPr>
        <w:autoSpaceDE w:val="0"/>
        <w:autoSpaceDN w:val="0"/>
        <w:adjustRightInd w:val="0"/>
        <w:jc w:val="both"/>
        <w:rPr>
          <w:rFonts w:ascii="Abadi" w:hAnsi="Abadi" w:cs="*Arial-7773-Identity-H"/>
          <w:color w:val="0C0C0F"/>
          <w:sz w:val="21"/>
          <w:szCs w:val="21"/>
        </w:rPr>
      </w:pPr>
    </w:p>
    <w:p w14:paraId="669C38D6" w14:textId="77777777" w:rsidR="0016773C" w:rsidRPr="003D0AE7" w:rsidRDefault="0016773C" w:rsidP="0016773C">
      <w:pPr>
        <w:autoSpaceDE w:val="0"/>
        <w:autoSpaceDN w:val="0"/>
        <w:adjustRightInd w:val="0"/>
        <w:ind w:firstLine="708"/>
        <w:jc w:val="both"/>
        <w:rPr>
          <w:rFonts w:ascii="Abadi" w:hAnsi="Abadi" w:cs="*Arial-7773-Identity-H"/>
          <w:color w:val="0C0C0F"/>
          <w:sz w:val="21"/>
          <w:szCs w:val="21"/>
        </w:rPr>
      </w:pPr>
      <w:r w:rsidRPr="003D0AE7">
        <w:rPr>
          <w:rFonts w:ascii="Abadi" w:hAnsi="Abadi" w:cs="*Arial-7773-Identity-H"/>
          <w:color w:val="0C0C0F"/>
          <w:sz w:val="21"/>
          <w:szCs w:val="21"/>
        </w:rPr>
        <w:t>Asimismo, se hace constar que la administración pública municipal de</w:t>
      </w:r>
      <w:r>
        <w:rPr>
          <w:rFonts w:ascii="Abadi" w:hAnsi="Abadi" w:cs="*Arial-7773-Identity-H"/>
          <w:color w:val="0C0C0F"/>
          <w:sz w:val="21"/>
          <w:szCs w:val="21"/>
        </w:rPr>
        <w:t xml:space="preserve"> </w:t>
      </w:r>
      <w:r w:rsidRPr="003D0AE7">
        <w:rPr>
          <w:rFonts w:ascii="Abadi" w:hAnsi="Abadi" w:cs="*Arial-7773-Identity-H"/>
          <w:color w:val="0C0C0F"/>
          <w:sz w:val="21"/>
          <w:szCs w:val="21"/>
        </w:rPr>
        <w:t xml:space="preserve">Purísima del Rincón, </w:t>
      </w:r>
      <w:proofErr w:type="spellStart"/>
      <w:r w:rsidRPr="003D0AE7">
        <w:rPr>
          <w:rFonts w:ascii="Abadi" w:hAnsi="Abadi" w:cs="*Arial-7773-Identity-H"/>
          <w:color w:val="0C0C0F"/>
          <w:sz w:val="21"/>
          <w:szCs w:val="21"/>
        </w:rPr>
        <w:t>Gto</w:t>
      </w:r>
      <w:proofErr w:type="spellEnd"/>
      <w:r w:rsidRPr="003D0AE7">
        <w:rPr>
          <w:rFonts w:ascii="Abadi" w:hAnsi="Abadi" w:cs="*Arial-7773-Identity-H"/>
          <w:color w:val="0C0C0F"/>
          <w:sz w:val="21"/>
          <w:szCs w:val="21"/>
        </w:rPr>
        <w:t>., en la planeación de mediano y largo plazo consideró el</w:t>
      </w:r>
      <w:r>
        <w:rPr>
          <w:rFonts w:ascii="Abadi" w:hAnsi="Abadi" w:cs="*Arial-7773-Identity-H"/>
          <w:color w:val="0C0C0F"/>
          <w:sz w:val="21"/>
          <w:szCs w:val="21"/>
        </w:rPr>
        <w:t xml:space="preserve"> </w:t>
      </w:r>
      <w:r w:rsidRPr="003D0AE7">
        <w:rPr>
          <w:rFonts w:ascii="Abadi" w:hAnsi="Abadi" w:cs="*Arial-7773-Identity-H"/>
          <w:color w:val="0C0C0F"/>
          <w:sz w:val="21"/>
          <w:szCs w:val="21"/>
        </w:rPr>
        <w:t>tema de alumbrado público como un asunto prioritario y de atención inmediata</w:t>
      </w:r>
      <w:r>
        <w:rPr>
          <w:rFonts w:ascii="Abadi" w:hAnsi="Abadi" w:cs="*Arial-7773-Identity-H"/>
          <w:color w:val="0C0C0F"/>
          <w:sz w:val="21"/>
          <w:szCs w:val="21"/>
        </w:rPr>
        <w:t xml:space="preserve"> </w:t>
      </w:r>
      <w:r w:rsidRPr="003D0AE7">
        <w:rPr>
          <w:rFonts w:ascii="Abadi" w:hAnsi="Abadi" w:cs="*Arial-7773-Identity-H"/>
          <w:color w:val="0C0C0F"/>
          <w:sz w:val="21"/>
          <w:szCs w:val="21"/>
        </w:rPr>
        <w:t>para el Municipio, al considerar el incremento de la cobertura de la infraestructura</w:t>
      </w:r>
      <w:r>
        <w:rPr>
          <w:rFonts w:ascii="Abadi" w:hAnsi="Abadi" w:cs="*Arial-7773-Identity-H"/>
          <w:color w:val="0C0C0F"/>
          <w:sz w:val="21"/>
          <w:szCs w:val="21"/>
        </w:rPr>
        <w:t xml:space="preserve"> </w:t>
      </w:r>
      <w:r w:rsidRPr="003D0AE7">
        <w:rPr>
          <w:rFonts w:ascii="Abadi" w:hAnsi="Abadi" w:cs="*Arial-7773-Identity-H"/>
          <w:color w:val="0C0C0F"/>
          <w:sz w:val="21"/>
          <w:szCs w:val="21"/>
        </w:rPr>
        <w:t>municipal, la capacidad de atención a la demanda de mantenimiento de alumbrado</w:t>
      </w:r>
      <w:r>
        <w:rPr>
          <w:rFonts w:ascii="Abadi" w:hAnsi="Abadi" w:cs="*Arial-7773-Identity-H"/>
          <w:color w:val="0C0C0F"/>
          <w:sz w:val="21"/>
          <w:szCs w:val="21"/>
        </w:rPr>
        <w:t xml:space="preserve"> </w:t>
      </w:r>
      <w:r w:rsidRPr="003D0AE7">
        <w:rPr>
          <w:rFonts w:ascii="Abadi" w:hAnsi="Abadi" w:cs="*Arial-7773-Identity-H"/>
          <w:color w:val="0C0C0F"/>
          <w:sz w:val="21"/>
          <w:szCs w:val="21"/>
        </w:rPr>
        <w:t>público, así como el reemplazo de luminarias convencionales por luminarias con</w:t>
      </w:r>
      <w:r>
        <w:rPr>
          <w:rFonts w:ascii="Abadi" w:hAnsi="Abadi" w:cs="*Arial-7773-Identity-H"/>
          <w:color w:val="0C0C0F"/>
          <w:sz w:val="21"/>
          <w:szCs w:val="21"/>
        </w:rPr>
        <w:t xml:space="preserve"> </w:t>
      </w:r>
      <w:r w:rsidRPr="003D0AE7">
        <w:rPr>
          <w:rFonts w:ascii="Abadi" w:hAnsi="Abadi" w:cs="*Arial-7773-Identity-H"/>
          <w:color w:val="0C0C0F"/>
          <w:sz w:val="21"/>
          <w:szCs w:val="21"/>
        </w:rPr>
        <w:t xml:space="preserve">tecnología LEO. Además de estar vinculados con el objetivo 7 </w:t>
      </w:r>
      <w:r w:rsidRPr="003D0AE7">
        <w:rPr>
          <w:rFonts w:ascii="Abadi" w:hAnsi="Abadi" w:cs="*Arial-Italic-7774-Identity-H"/>
          <w:i/>
          <w:iCs/>
          <w:color w:val="0C0C0F"/>
          <w:sz w:val="21"/>
          <w:szCs w:val="21"/>
        </w:rPr>
        <w:t>Energía asequible y</w:t>
      </w:r>
      <w:r>
        <w:rPr>
          <w:rFonts w:ascii="Abadi" w:hAnsi="Abadi" w:cs="*Arial-Italic-7774-Identity-H"/>
          <w:i/>
          <w:iCs/>
          <w:color w:val="0C0C0F"/>
          <w:sz w:val="21"/>
          <w:szCs w:val="21"/>
        </w:rPr>
        <w:t xml:space="preserve"> </w:t>
      </w:r>
      <w:r w:rsidRPr="003D0AE7">
        <w:rPr>
          <w:rFonts w:ascii="Abadi" w:hAnsi="Abadi" w:cs="*Arial-Italic-7774-Identity-H"/>
          <w:i/>
          <w:iCs/>
          <w:color w:val="0C0C0F"/>
          <w:sz w:val="21"/>
          <w:szCs w:val="21"/>
        </w:rPr>
        <w:t xml:space="preserve">no contaminante </w:t>
      </w:r>
      <w:r w:rsidRPr="003D0AE7">
        <w:rPr>
          <w:rFonts w:ascii="Abadi" w:hAnsi="Abadi" w:cs="*Arial-7773-Identity-H"/>
          <w:color w:val="0C0C0F"/>
          <w:sz w:val="21"/>
          <w:szCs w:val="21"/>
        </w:rPr>
        <w:t>de la Agenda 2030, reconocida por el Programa de las Naciones</w:t>
      </w:r>
      <w:r>
        <w:rPr>
          <w:rFonts w:ascii="Abadi" w:hAnsi="Abadi" w:cs="*Arial-7773-Identity-H"/>
          <w:color w:val="0C0C0F"/>
          <w:sz w:val="21"/>
          <w:szCs w:val="21"/>
        </w:rPr>
        <w:t xml:space="preserve"> </w:t>
      </w:r>
      <w:r w:rsidRPr="003D0AE7">
        <w:rPr>
          <w:rFonts w:ascii="Abadi" w:hAnsi="Abadi" w:cs="*Arial-7773-Identity-H"/>
          <w:color w:val="0C0C0F"/>
          <w:sz w:val="21"/>
          <w:szCs w:val="21"/>
        </w:rPr>
        <w:t>Unidas y la Secretaría de Gobernación. Sin embargo, se identificó una</w:t>
      </w:r>
      <w:r>
        <w:rPr>
          <w:rFonts w:ascii="Abadi" w:hAnsi="Abadi" w:cs="*Arial-7773-Identity-H"/>
          <w:color w:val="0C0C0F"/>
          <w:sz w:val="21"/>
          <w:szCs w:val="21"/>
        </w:rPr>
        <w:t xml:space="preserve"> </w:t>
      </w:r>
      <w:r w:rsidRPr="003D0AE7">
        <w:rPr>
          <w:rFonts w:ascii="Abadi" w:hAnsi="Abadi" w:cs="*Arial-7773-Identity-H"/>
          <w:color w:val="0C0C0F"/>
          <w:sz w:val="21"/>
          <w:szCs w:val="21"/>
        </w:rPr>
        <w:t>desarticulación entre dichos instrumentos debido a que el Plan Municipal de</w:t>
      </w:r>
      <w:r>
        <w:rPr>
          <w:rFonts w:ascii="Abadi" w:hAnsi="Abadi" w:cs="*Arial-7773-Identity-H"/>
          <w:color w:val="0C0C0F"/>
          <w:sz w:val="21"/>
          <w:szCs w:val="21"/>
        </w:rPr>
        <w:t xml:space="preserve"> </w:t>
      </w:r>
      <w:r w:rsidRPr="003D0AE7">
        <w:rPr>
          <w:rFonts w:ascii="Abadi" w:hAnsi="Abadi" w:cs="*Arial-7773-Identity-H"/>
          <w:color w:val="0C0C0F"/>
          <w:sz w:val="21"/>
          <w:szCs w:val="21"/>
        </w:rPr>
        <w:t>Desarrollo refiere al incremento en la cobertura de la infraestructura, por su parte</w:t>
      </w:r>
      <w:r>
        <w:rPr>
          <w:rFonts w:ascii="Abadi" w:hAnsi="Abadi" w:cs="*Arial-7773-Identity-H"/>
          <w:color w:val="0C0C0F"/>
          <w:sz w:val="21"/>
          <w:szCs w:val="21"/>
        </w:rPr>
        <w:t xml:space="preserve"> </w:t>
      </w:r>
      <w:r w:rsidRPr="003D0AE7">
        <w:rPr>
          <w:rFonts w:ascii="Abadi" w:hAnsi="Abadi" w:cs="*Arial-7773-Identity-H"/>
          <w:color w:val="0C0C0F"/>
          <w:sz w:val="21"/>
          <w:szCs w:val="21"/>
        </w:rPr>
        <w:t>el Programa de Gobierno Municipal se enfoca en la atención a la demanda de</w:t>
      </w:r>
      <w:r>
        <w:rPr>
          <w:rFonts w:ascii="Abadi" w:hAnsi="Abadi" w:cs="*Arial-7773-Identity-H"/>
          <w:color w:val="0C0C0F"/>
          <w:sz w:val="21"/>
          <w:szCs w:val="21"/>
        </w:rPr>
        <w:t xml:space="preserve"> </w:t>
      </w:r>
      <w:r w:rsidRPr="003D0AE7">
        <w:rPr>
          <w:rFonts w:ascii="Abadi" w:hAnsi="Abadi" w:cs="*Arial-7773-Identity-H"/>
          <w:color w:val="0C0C0F"/>
          <w:sz w:val="21"/>
          <w:szCs w:val="21"/>
        </w:rPr>
        <w:t>mantenimiento de alumbrado público, lo cual no se consideró en el Plan Municipal</w:t>
      </w:r>
      <w:r>
        <w:rPr>
          <w:rFonts w:ascii="Abadi" w:hAnsi="Abadi" w:cs="*Arial-7773-Identity-H"/>
          <w:color w:val="0C0C0F"/>
          <w:sz w:val="21"/>
          <w:szCs w:val="21"/>
        </w:rPr>
        <w:t xml:space="preserve"> </w:t>
      </w:r>
      <w:r w:rsidRPr="003D0AE7">
        <w:rPr>
          <w:rFonts w:ascii="Abadi" w:hAnsi="Abadi" w:cs="*Arial-7773-Identity-H"/>
          <w:color w:val="0C0C0F"/>
          <w:sz w:val="21"/>
          <w:szCs w:val="21"/>
        </w:rPr>
        <w:t>de Desarrollo. Asimismo, en el caso del Programa Municipal de Desarrollo Urbano</w:t>
      </w:r>
      <w:r>
        <w:rPr>
          <w:rFonts w:ascii="Abadi" w:hAnsi="Abadi" w:cs="*Arial-7773-Identity-H"/>
          <w:color w:val="0C0C0F"/>
          <w:sz w:val="21"/>
          <w:szCs w:val="21"/>
        </w:rPr>
        <w:t xml:space="preserve"> </w:t>
      </w:r>
      <w:r w:rsidRPr="003D0AE7">
        <w:rPr>
          <w:rFonts w:ascii="Abadi" w:hAnsi="Abadi" w:cs="*Arial-7773-Identity-H"/>
          <w:color w:val="0C0C0F"/>
          <w:sz w:val="21"/>
          <w:szCs w:val="21"/>
        </w:rPr>
        <w:t>y Ordenamiento Ecológico Territorial, este se enfocó en el tema de ahorro de</w:t>
      </w:r>
      <w:r>
        <w:rPr>
          <w:rFonts w:ascii="Abadi" w:hAnsi="Abadi" w:cs="*Arial-7773-Identity-H"/>
          <w:color w:val="0C0C0F"/>
          <w:sz w:val="21"/>
          <w:szCs w:val="21"/>
        </w:rPr>
        <w:t xml:space="preserve"> </w:t>
      </w:r>
      <w:r w:rsidRPr="003D0AE7">
        <w:rPr>
          <w:rFonts w:ascii="Abadi" w:hAnsi="Abadi" w:cs="*Arial-7773-Identity-H"/>
          <w:color w:val="0C0C0F"/>
          <w:sz w:val="21"/>
          <w:szCs w:val="21"/>
        </w:rPr>
        <w:t>energía.</w:t>
      </w:r>
    </w:p>
    <w:p w14:paraId="123D5C9C" w14:textId="77777777" w:rsidR="0016773C" w:rsidRPr="003D0AE7" w:rsidRDefault="0016773C" w:rsidP="0016773C">
      <w:pPr>
        <w:autoSpaceDE w:val="0"/>
        <w:autoSpaceDN w:val="0"/>
        <w:adjustRightInd w:val="0"/>
        <w:jc w:val="both"/>
        <w:rPr>
          <w:rFonts w:ascii="Abadi" w:hAnsi="Abadi" w:cs="*Arial-8255-Identity-H"/>
          <w:color w:val="1E1E1E"/>
          <w:sz w:val="21"/>
          <w:szCs w:val="21"/>
        </w:rPr>
      </w:pPr>
    </w:p>
    <w:p w14:paraId="5716919B" w14:textId="77777777" w:rsidR="0016773C" w:rsidRDefault="0016773C" w:rsidP="0016773C">
      <w:pPr>
        <w:autoSpaceDE w:val="0"/>
        <w:autoSpaceDN w:val="0"/>
        <w:adjustRightInd w:val="0"/>
        <w:ind w:firstLine="708"/>
        <w:jc w:val="both"/>
        <w:rPr>
          <w:rFonts w:ascii="Abadi" w:hAnsi="Abadi" w:cs="*Arial-8253-Identity-H"/>
          <w:color w:val="0C0B0E"/>
          <w:sz w:val="21"/>
          <w:szCs w:val="21"/>
        </w:rPr>
      </w:pPr>
      <w:r w:rsidRPr="003D0AE7">
        <w:rPr>
          <w:rFonts w:ascii="Abadi" w:hAnsi="Abadi" w:cs="*Arial-8253-Identity-H"/>
          <w:color w:val="0C0B0E"/>
          <w:sz w:val="21"/>
          <w:szCs w:val="21"/>
        </w:rPr>
        <w:t>En este orden de ideas, para el cumplimiento de sus objetivos, el sujeto</w:t>
      </w:r>
      <w:r>
        <w:rPr>
          <w:rFonts w:ascii="Abadi" w:hAnsi="Abadi" w:cs="*Arial-8253-Identity-H"/>
          <w:color w:val="0C0B0E"/>
          <w:sz w:val="21"/>
          <w:szCs w:val="21"/>
        </w:rPr>
        <w:t xml:space="preserve"> </w:t>
      </w:r>
      <w:r w:rsidRPr="003D0AE7">
        <w:rPr>
          <w:rFonts w:ascii="Abadi" w:hAnsi="Abadi" w:cs="*Arial-8253-Identity-H"/>
          <w:color w:val="0C0B0E"/>
          <w:sz w:val="21"/>
          <w:szCs w:val="21"/>
        </w:rPr>
        <w:t xml:space="preserve">fiscalizado contó con el programa presupuestario </w:t>
      </w:r>
      <w:r w:rsidRPr="003D0AE7">
        <w:rPr>
          <w:rFonts w:ascii="Abadi" w:hAnsi="Abadi" w:cs="*Arial-Italic-8254-Identity-H"/>
          <w:i/>
          <w:iCs/>
          <w:color w:val="0C0B0E"/>
          <w:sz w:val="21"/>
          <w:szCs w:val="21"/>
        </w:rPr>
        <w:t>E0032 Servicio de Alumbrado</w:t>
      </w:r>
      <w:r>
        <w:rPr>
          <w:rFonts w:ascii="Abadi" w:hAnsi="Abadi" w:cs="*Arial-Italic-8254-Identity-H"/>
          <w:i/>
          <w:iCs/>
          <w:color w:val="0C0B0E"/>
          <w:sz w:val="21"/>
          <w:szCs w:val="21"/>
        </w:rPr>
        <w:t xml:space="preserve"> </w:t>
      </w:r>
      <w:r w:rsidRPr="003D0AE7">
        <w:rPr>
          <w:rFonts w:ascii="Abadi" w:hAnsi="Abadi" w:cs="*Arial-Italic-8254-Identity-H"/>
          <w:i/>
          <w:iCs/>
          <w:color w:val="0C0B0E"/>
          <w:sz w:val="21"/>
          <w:szCs w:val="21"/>
        </w:rPr>
        <w:t xml:space="preserve">Público, </w:t>
      </w:r>
      <w:r w:rsidRPr="003D0AE7">
        <w:rPr>
          <w:rFonts w:ascii="Abadi" w:hAnsi="Abadi" w:cs="*Arial-8253-Identity-H"/>
          <w:color w:val="0C0B0E"/>
          <w:sz w:val="21"/>
          <w:szCs w:val="21"/>
        </w:rPr>
        <w:t xml:space="preserve">cuyo fin se definió como </w:t>
      </w:r>
      <w:r w:rsidRPr="003D0AE7">
        <w:rPr>
          <w:rFonts w:ascii="Abadi" w:hAnsi="Abadi" w:cs="*Arial-Italic-8254-Identity-H"/>
          <w:i/>
          <w:iCs/>
          <w:color w:val="0C0B0E"/>
          <w:sz w:val="21"/>
          <w:szCs w:val="21"/>
        </w:rPr>
        <w:t xml:space="preserve">contribuir </w:t>
      </w:r>
      <w:r w:rsidRPr="003D0AE7">
        <w:rPr>
          <w:rFonts w:ascii="Abadi" w:hAnsi="Abadi" w:cs="*Arial-8253-Identity-H"/>
          <w:color w:val="0C0B0E"/>
          <w:sz w:val="21"/>
          <w:szCs w:val="21"/>
        </w:rPr>
        <w:t xml:space="preserve">a </w:t>
      </w:r>
      <w:r w:rsidRPr="003D0AE7">
        <w:rPr>
          <w:rFonts w:ascii="Abadi" w:hAnsi="Abadi" w:cs="*Arial-Italic-8254-Identity-H"/>
          <w:i/>
          <w:iCs/>
          <w:color w:val="0C0B0E"/>
          <w:sz w:val="21"/>
          <w:szCs w:val="21"/>
        </w:rPr>
        <w:t>una mayor seguridad en el Municipio,</w:t>
      </w:r>
      <w:r>
        <w:rPr>
          <w:rFonts w:ascii="Abadi" w:hAnsi="Abadi" w:cs="*Arial-Italic-8254-Identity-H"/>
          <w:i/>
          <w:iCs/>
          <w:color w:val="0C0B0E"/>
          <w:sz w:val="21"/>
          <w:szCs w:val="21"/>
        </w:rPr>
        <w:t xml:space="preserve"> </w:t>
      </w:r>
      <w:r w:rsidRPr="003D0AE7">
        <w:rPr>
          <w:rFonts w:ascii="Abadi" w:hAnsi="Abadi" w:cs="*Arial-8253-Identity-H"/>
          <w:color w:val="0C0B0E"/>
          <w:sz w:val="21"/>
          <w:szCs w:val="21"/>
        </w:rPr>
        <w:t xml:space="preserve">a </w:t>
      </w:r>
      <w:r w:rsidRPr="003D0AE7">
        <w:rPr>
          <w:rFonts w:ascii="Abadi" w:hAnsi="Abadi" w:cs="*Arial-Italic-8254-Identity-H"/>
          <w:i/>
          <w:iCs/>
          <w:color w:val="0C0B0E"/>
          <w:sz w:val="21"/>
          <w:szCs w:val="21"/>
        </w:rPr>
        <w:t xml:space="preserve">través de brindar </w:t>
      </w:r>
      <w:r w:rsidRPr="003D0AE7">
        <w:rPr>
          <w:rFonts w:ascii="Abadi" w:hAnsi="Abadi" w:cs="*Arial-8253-Identity-H"/>
          <w:color w:val="0C0B0E"/>
          <w:sz w:val="21"/>
          <w:szCs w:val="21"/>
        </w:rPr>
        <w:t xml:space="preserve">a </w:t>
      </w:r>
      <w:r w:rsidRPr="003D0AE7">
        <w:rPr>
          <w:rFonts w:ascii="Abadi" w:hAnsi="Abadi" w:cs="*Arial-Italic-8254-Identity-H"/>
          <w:i/>
          <w:iCs/>
          <w:color w:val="0C0B0E"/>
          <w:sz w:val="21"/>
          <w:szCs w:val="21"/>
        </w:rPr>
        <w:t xml:space="preserve">la ciudadanía un adecuado alumbrado público, </w:t>
      </w:r>
      <w:r w:rsidRPr="003D0AE7">
        <w:rPr>
          <w:rFonts w:ascii="Abadi" w:hAnsi="Abadi" w:cs="*Arial-8253-Identity-H"/>
          <w:color w:val="0C0B0E"/>
          <w:sz w:val="21"/>
          <w:szCs w:val="21"/>
        </w:rPr>
        <w:t>y cuyo</w:t>
      </w:r>
      <w:r>
        <w:rPr>
          <w:rFonts w:ascii="Abadi" w:hAnsi="Abadi" w:cs="*Arial-8253-Identity-H"/>
          <w:color w:val="0C0B0E"/>
          <w:sz w:val="21"/>
          <w:szCs w:val="21"/>
        </w:rPr>
        <w:t xml:space="preserve"> </w:t>
      </w:r>
      <w:r w:rsidRPr="003D0AE7">
        <w:rPr>
          <w:rFonts w:ascii="Abadi" w:hAnsi="Abadi" w:cs="*Arial-8253-Identity-H"/>
          <w:color w:val="0C0B0E"/>
          <w:sz w:val="21"/>
          <w:szCs w:val="21"/>
        </w:rPr>
        <w:t xml:space="preserve">propósito establece que </w:t>
      </w:r>
      <w:r w:rsidRPr="003D0AE7">
        <w:rPr>
          <w:rFonts w:ascii="Abadi" w:hAnsi="Abadi" w:cs="*Arial-Italic-8254-Identity-H"/>
          <w:i/>
          <w:iCs/>
          <w:color w:val="0C0B0E"/>
          <w:sz w:val="21"/>
          <w:szCs w:val="21"/>
        </w:rPr>
        <w:t>la ciudadanía cuenta con un adecuado servicio de</w:t>
      </w:r>
      <w:r>
        <w:rPr>
          <w:rFonts w:ascii="Abadi" w:hAnsi="Abadi" w:cs="*Arial-Italic-8254-Identity-H"/>
          <w:i/>
          <w:iCs/>
          <w:color w:val="0C0B0E"/>
          <w:sz w:val="21"/>
          <w:szCs w:val="21"/>
        </w:rPr>
        <w:t xml:space="preserve"> </w:t>
      </w:r>
      <w:r w:rsidRPr="003D0AE7">
        <w:rPr>
          <w:rFonts w:ascii="Abadi" w:hAnsi="Abadi" w:cs="*Arial-Italic-8254-Identity-H"/>
          <w:i/>
          <w:iCs/>
          <w:color w:val="0C0B0E"/>
          <w:sz w:val="21"/>
          <w:szCs w:val="21"/>
        </w:rPr>
        <w:t xml:space="preserve">alumbrado público; </w:t>
      </w:r>
      <w:r w:rsidRPr="003D0AE7">
        <w:rPr>
          <w:rFonts w:ascii="Abadi" w:hAnsi="Abadi" w:cs="*Arial-8253-Identity-H"/>
          <w:color w:val="0C0B0E"/>
          <w:sz w:val="21"/>
          <w:szCs w:val="21"/>
        </w:rPr>
        <w:t>no obstante, la gestión del servicio presentó áreas de</w:t>
      </w:r>
      <w:r>
        <w:rPr>
          <w:rFonts w:ascii="Abadi" w:hAnsi="Abadi" w:cs="*Arial-8253-Identity-H"/>
          <w:color w:val="0C0B0E"/>
          <w:sz w:val="21"/>
          <w:szCs w:val="21"/>
        </w:rPr>
        <w:t xml:space="preserve"> </w:t>
      </w:r>
      <w:r w:rsidRPr="003D0AE7">
        <w:rPr>
          <w:rFonts w:ascii="Abadi" w:hAnsi="Abadi" w:cs="*Arial-8253-Identity-H"/>
          <w:color w:val="0C0B0E"/>
          <w:sz w:val="21"/>
          <w:szCs w:val="21"/>
        </w:rPr>
        <w:t>oportunidad.</w:t>
      </w:r>
    </w:p>
    <w:p w14:paraId="17DCC559" w14:textId="77777777" w:rsidR="0016773C" w:rsidRPr="003D0AE7" w:rsidRDefault="0016773C" w:rsidP="0016773C">
      <w:pPr>
        <w:autoSpaceDE w:val="0"/>
        <w:autoSpaceDN w:val="0"/>
        <w:adjustRightInd w:val="0"/>
        <w:jc w:val="both"/>
        <w:rPr>
          <w:rFonts w:ascii="Abadi" w:hAnsi="Abadi" w:cs="*Arial-8253-Identity-H"/>
          <w:color w:val="0C0B0E"/>
          <w:sz w:val="21"/>
          <w:szCs w:val="21"/>
        </w:rPr>
      </w:pPr>
    </w:p>
    <w:p w14:paraId="0B8B993D" w14:textId="77777777" w:rsidR="0016773C" w:rsidRDefault="0016773C" w:rsidP="0016773C">
      <w:pPr>
        <w:autoSpaceDE w:val="0"/>
        <w:autoSpaceDN w:val="0"/>
        <w:adjustRightInd w:val="0"/>
        <w:ind w:firstLine="708"/>
        <w:jc w:val="both"/>
        <w:rPr>
          <w:rFonts w:ascii="Abadi" w:hAnsi="Abadi" w:cs="*Arial-8253-Identity-H"/>
          <w:color w:val="0C0B0E"/>
          <w:sz w:val="21"/>
          <w:szCs w:val="21"/>
        </w:rPr>
      </w:pPr>
      <w:r w:rsidRPr="003D0AE7">
        <w:rPr>
          <w:rFonts w:ascii="Abadi" w:hAnsi="Abadi" w:cs="*Arial-8253-Identity-H"/>
          <w:color w:val="0C0B0E"/>
          <w:sz w:val="21"/>
          <w:szCs w:val="21"/>
        </w:rPr>
        <w:t>En cuanto a la gestión de la planificación se verificó que las actividades</w:t>
      </w:r>
      <w:r>
        <w:rPr>
          <w:rFonts w:ascii="Abadi" w:hAnsi="Abadi" w:cs="*Arial-8253-Identity-H"/>
          <w:color w:val="0C0B0E"/>
          <w:sz w:val="21"/>
          <w:szCs w:val="21"/>
        </w:rPr>
        <w:t xml:space="preserve"> </w:t>
      </w:r>
      <w:r w:rsidRPr="003D0AE7">
        <w:rPr>
          <w:rFonts w:ascii="Abadi" w:hAnsi="Abadi" w:cs="*Arial-8253-Identity-H"/>
          <w:color w:val="0C0B0E"/>
          <w:sz w:val="21"/>
          <w:szCs w:val="21"/>
        </w:rPr>
        <w:t>llevadas a cabo por el sujeto fiscalizado tuvieron como punto de partida el</w:t>
      </w:r>
      <w:r>
        <w:rPr>
          <w:rFonts w:ascii="Abadi" w:hAnsi="Abadi" w:cs="*Arial-8253-Identity-H"/>
          <w:color w:val="0C0B0E"/>
          <w:sz w:val="21"/>
          <w:szCs w:val="21"/>
        </w:rPr>
        <w:t xml:space="preserve"> </w:t>
      </w:r>
      <w:r w:rsidRPr="003D0AE7">
        <w:rPr>
          <w:rFonts w:ascii="Abadi" w:hAnsi="Abadi" w:cs="*Arial-8253-Identity-H"/>
          <w:color w:val="0C0B0E"/>
          <w:sz w:val="21"/>
          <w:szCs w:val="21"/>
        </w:rPr>
        <w:t>inventario de luminarias para el ejercicio 2020, el cual permitió identificar el</w:t>
      </w:r>
      <w:r>
        <w:rPr>
          <w:rFonts w:ascii="Abadi" w:hAnsi="Abadi" w:cs="*Arial-8253-Identity-H"/>
          <w:color w:val="0C0B0E"/>
          <w:sz w:val="21"/>
          <w:szCs w:val="21"/>
        </w:rPr>
        <w:t xml:space="preserve"> </w:t>
      </w:r>
      <w:r w:rsidRPr="003D0AE7">
        <w:rPr>
          <w:rFonts w:ascii="Abadi" w:hAnsi="Abadi" w:cs="*Arial-8253-Identity-H"/>
          <w:color w:val="0C0B0E"/>
          <w:sz w:val="21"/>
          <w:szCs w:val="21"/>
        </w:rPr>
        <w:t>número de lámparas por colonia, población o boulevard que formaron parte del</w:t>
      </w:r>
      <w:r>
        <w:rPr>
          <w:rFonts w:ascii="Abadi" w:hAnsi="Abadi" w:cs="*Arial-8253-Identity-H"/>
          <w:color w:val="0C0B0E"/>
          <w:sz w:val="21"/>
          <w:szCs w:val="21"/>
        </w:rPr>
        <w:t xml:space="preserve"> </w:t>
      </w:r>
      <w:r w:rsidRPr="003D0AE7">
        <w:rPr>
          <w:rFonts w:ascii="Abadi" w:hAnsi="Abadi" w:cs="*Arial-8253-Identity-H"/>
          <w:color w:val="0C0B0E"/>
          <w:sz w:val="21"/>
          <w:szCs w:val="21"/>
        </w:rPr>
        <w:t>servicio de alumbrado público brindado; sin embargo, el inventario no incluyó</w:t>
      </w:r>
      <w:r>
        <w:rPr>
          <w:rFonts w:ascii="Abadi" w:hAnsi="Abadi" w:cs="*Arial-8253-Identity-H"/>
          <w:color w:val="0C0B0E"/>
          <w:sz w:val="21"/>
          <w:szCs w:val="21"/>
        </w:rPr>
        <w:t xml:space="preserve"> </w:t>
      </w:r>
      <w:r w:rsidRPr="003D0AE7">
        <w:rPr>
          <w:rFonts w:ascii="Abadi" w:hAnsi="Abadi" w:cs="*Arial-8253-Identity-H"/>
          <w:color w:val="0C0B0E"/>
          <w:sz w:val="21"/>
          <w:szCs w:val="21"/>
        </w:rPr>
        <w:t>información que divulgara el estado de funcionamiento, las condiciones físicas y</w:t>
      </w:r>
      <w:r>
        <w:rPr>
          <w:rFonts w:ascii="Abadi" w:hAnsi="Abadi" w:cs="*Arial-8253-Identity-H"/>
          <w:color w:val="0C0B0E"/>
          <w:sz w:val="21"/>
          <w:szCs w:val="21"/>
        </w:rPr>
        <w:t xml:space="preserve"> </w:t>
      </w:r>
      <w:r w:rsidRPr="003D0AE7">
        <w:rPr>
          <w:rFonts w:ascii="Abadi" w:hAnsi="Abadi" w:cs="*Arial-8253-Identity-H"/>
          <w:color w:val="0C0B0E"/>
          <w:sz w:val="21"/>
          <w:szCs w:val="21"/>
        </w:rPr>
        <w:t>operativas en las que se encontraba cada dispositivo; por lo que se determinó que</w:t>
      </w:r>
      <w:r>
        <w:rPr>
          <w:rFonts w:ascii="Abadi" w:hAnsi="Abadi" w:cs="*Arial-8253-Identity-H"/>
          <w:color w:val="0C0B0E"/>
          <w:sz w:val="21"/>
          <w:szCs w:val="21"/>
        </w:rPr>
        <w:t xml:space="preserve"> </w:t>
      </w:r>
      <w:r w:rsidRPr="003D0AE7">
        <w:rPr>
          <w:rFonts w:ascii="Abadi" w:hAnsi="Abadi" w:cs="*Arial-8253-Identity-H"/>
          <w:color w:val="0C0B0E"/>
          <w:sz w:val="21"/>
          <w:szCs w:val="21"/>
        </w:rPr>
        <w:t>cuenta con un área de oportunidad para generar datos que le permitan conocer la</w:t>
      </w:r>
      <w:r>
        <w:rPr>
          <w:rFonts w:ascii="Abadi" w:hAnsi="Abadi" w:cs="*Arial-8253-Identity-H"/>
          <w:color w:val="0C0B0E"/>
          <w:sz w:val="21"/>
          <w:szCs w:val="21"/>
        </w:rPr>
        <w:t xml:space="preserve"> </w:t>
      </w:r>
      <w:r w:rsidRPr="003D0AE7">
        <w:rPr>
          <w:rFonts w:ascii="Abadi" w:hAnsi="Abadi" w:cs="*Arial-8253-Identity-H"/>
          <w:color w:val="0C0B0E"/>
          <w:sz w:val="21"/>
          <w:szCs w:val="21"/>
        </w:rPr>
        <w:t>situación del Municipio de forma integral, a fin de definir estrategias que le</w:t>
      </w:r>
      <w:r>
        <w:rPr>
          <w:rFonts w:ascii="Abadi" w:hAnsi="Abadi" w:cs="*Arial-8253-Identity-H"/>
          <w:color w:val="0C0B0E"/>
          <w:sz w:val="21"/>
          <w:szCs w:val="21"/>
        </w:rPr>
        <w:t xml:space="preserve"> </w:t>
      </w:r>
      <w:r w:rsidRPr="003D0AE7">
        <w:rPr>
          <w:rFonts w:ascii="Abadi" w:hAnsi="Abadi" w:cs="*Arial-8253-Identity-H"/>
          <w:color w:val="0C0B0E"/>
          <w:sz w:val="21"/>
          <w:szCs w:val="21"/>
        </w:rPr>
        <w:t>permitan brindar un mejor servicio a la población.</w:t>
      </w:r>
    </w:p>
    <w:p w14:paraId="05826B97" w14:textId="77777777" w:rsidR="0016773C" w:rsidRPr="003D0AE7" w:rsidRDefault="0016773C" w:rsidP="0016773C">
      <w:pPr>
        <w:autoSpaceDE w:val="0"/>
        <w:autoSpaceDN w:val="0"/>
        <w:adjustRightInd w:val="0"/>
        <w:jc w:val="both"/>
        <w:rPr>
          <w:rFonts w:ascii="Abadi" w:hAnsi="Abadi" w:cs="*Arial-8253-Identity-H"/>
          <w:color w:val="0C0B0E"/>
          <w:sz w:val="21"/>
          <w:szCs w:val="21"/>
        </w:rPr>
      </w:pPr>
    </w:p>
    <w:p w14:paraId="77663CB2" w14:textId="77777777" w:rsidR="0016773C" w:rsidRDefault="0016773C" w:rsidP="0016773C">
      <w:pPr>
        <w:autoSpaceDE w:val="0"/>
        <w:autoSpaceDN w:val="0"/>
        <w:adjustRightInd w:val="0"/>
        <w:ind w:firstLine="708"/>
        <w:jc w:val="both"/>
        <w:rPr>
          <w:rFonts w:ascii="Abadi" w:hAnsi="Abadi" w:cs="*Arial-8253-Identity-H"/>
          <w:color w:val="0C0C0F"/>
          <w:sz w:val="21"/>
          <w:szCs w:val="21"/>
        </w:rPr>
      </w:pPr>
      <w:r w:rsidRPr="003D0AE7">
        <w:rPr>
          <w:rFonts w:ascii="Abadi" w:hAnsi="Abadi" w:cs="*Arial-8253-Identity-H"/>
          <w:color w:val="0C0C0F"/>
          <w:sz w:val="21"/>
          <w:szCs w:val="21"/>
        </w:rPr>
        <w:t>Por lo que hace a la función de la operación del servicio de alumbrado</w:t>
      </w:r>
      <w:r>
        <w:rPr>
          <w:rFonts w:ascii="Abadi" w:hAnsi="Abadi" w:cs="*Arial-8253-Identity-H"/>
          <w:color w:val="0C0C0F"/>
          <w:sz w:val="21"/>
          <w:szCs w:val="21"/>
        </w:rPr>
        <w:t xml:space="preserve"> </w:t>
      </w:r>
      <w:r w:rsidRPr="003D0AE7">
        <w:rPr>
          <w:rFonts w:ascii="Abadi" w:hAnsi="Abadi" w:cs="*Arial-8253-Identity-H"/>
          <w:color w:val="0C0C0F"/>
          <w:sz w:val="21"/>
          <w:szCs w:val="21"/>
        </w:rPr>
        <w:t>público, se reconoce que su finalidad es su eficiente y eficaz funcionamiento, de lo</w:t>
      </w:r>
      <w:r>
        <w:rPr>
          <w:rFonts w:ascii="Abadi" w:hAnsi="Abadi" w:cs="*Arial-8253-Identity-H"/>
          <w:color w:val="0C0C0F"/>
          <w:sz w:val="21"/>
          <w:szCs w:val="21"/>
        </w:rPr>
        <w:t xml:space="preserve"> </w:t>
      </w:r>
      <w:r w:rsidRPr="003D0AE7">
        <w:rPr>
          <w:rFonts w:ascii="Abadi" w:hAnsi="Abadi" w:cs="*Arial-8253-Identity-H"/>
          <w:color w:val="0C0C0F"/>
          <w:sz w:val="21"/>
          <w:szCs w:val="21"/>
        </w:rPr>
        <w:t>cual depende la definición clara de procesos clave y documentos normativos que</w:t>
      </w:r>
      <w:r>
        <w:rPr>
          <w:rFonts w:ascii="Abadi" w:hAnsi="Abadi" w:cs="*Arial-8253-Identity-H"/>
          <w:color w:val="0C0C0F"/>
          <w:sz w:val="21"/>
          <w:szCs w:val="21"/>
        </w:rPr>
        <w:t xml:space="preserve"> </w:t>
      </w:r>
      <w:r w:rsidRPr="003D0AE7">
        <w:rPr>
          <w:rFonts w:ascii="Abadi" w:hAnsi="Abadi" w:cs="*Arial-8253-Identity-H"/>
          <w:color w:val="0C0C0F"/>
          <w:sz w:val="21"/>
          <w:szCs w:val="21"/>
        </w:rPr>
        <w:t>garanticen su operatividad; de contar con programas anuales orientados a la</w:t>
      </w:r>
      <w:r>
        <w:rPr>
          <w:rFonts w:ascii="Abadi" w:hAnsi="Abadi" w:cs="*Arial-8253-Identity-H"/>
          <w:color w:val="0C0C0F"/>
          <w:sz w:val="21"/>
          <w:szCs w:val="21"/>
        </w:rPr>
        <w:t xml:space="preserve"> </w:t>
      </w:r>
      <w:r w:rsidRPr="003D0AE7">
        <w:rPr>
          <w:rFonts w:ascii="Abadi" w:hAnsi="Abadi" w:cs="*Arial-8253-Identity-H"/>
          <w:color w:val="0C0C0F"/>
          <w:sz w:val="21"/>
          <w:szCs w:val="21"/>
        </w:rPr>
        <w:t>mejora y de brindar un servicio y una atención de calidad a la población.</w:t>
      </w:r>
    </w:p>
    <w:p w14:paraId="28336563" w14:textId="77777777" w:rsidR="0016773C" w:rsidRPr="003D0AE7" w:rsidRDefault="0016773C" w:rsidP="0016773C">
      <w:pPr>
        <w:autoSpaceDE w:val="0"/>
        <w:autoSpaceDN w:val="0"/>
        <w:adjustRightInd w:val="0"/>
        <w:jc w:val="both"/>
        <w:rPr>
          <w:rFonts w:ascii="Abadi" w:hAnsi="Abadi" w:cs="*Arial-8253-Identity-H"/>
          <w:color w:val="0C0C0F"/>
          <w:sz w:val="21"/>
          <w:szCs w:val="21"/>
        </w:rPr>
      </w:pPr>
    </w:p>
    <w:p w14:paraId="56C55005" w14:textId="77777777" w:rsidR="0016773C" w:rsidRDefault="0016773C" w:rsidP="0016773C">
      <w:pPr>
        <w:autoSpaceDE w:val="0"/>
        <w:autoSpaceDN w:val="0"/>
        <w:adjustRightInd w:val="0"/>
        <w:ind w:firstLine="708"/>
        <w:jc w:val="both"/>
        <w:rPr>
          <w:rFonts w:ascii="Abadi" w:hAnsi="Abadi" w:cs="*Arial-8178-Identity-H"/>
          <w:color w:val="0B0A0D"/>
          <w:sz w:val="21"/>
          <w:szCs w:val="21"/>
        </w:rPr>
      </w:pPr>
      <w:r w:rsidRPr="003D0AE7">
        <w:rPr>
          <w:rFonts w:ascii="Abadi" w:hAnsi="Abadi" w:cs="*Arial-8253-Identity-H"/>
          <w:color w:val="0C0C0F"/>
          <w:sz w:val="21"/>
          <w:szCs w:val="21"/>
        </w:rPr>
        <w:t>En relación a los documentos normativos, el sujeto fiscalizado para el</w:t>
      </w:r>
      <w:r>
        <w:rPr>
          <w:rFonts w:ascii="Abadi" w:hAnsi="Abadi" w:cs="*Arial-8253-Identity-H"/>
          <w:color w:val="0C0C0F"/>
          <w:sz w:val="21"/>
          <w:szCs w:val="21"/>
        </w:rPr>
        <w:t xml:space="preserve"> </w:t>
      </w:r>
      <w:r w:rsidRPr="003D0AE7">
        <w:rPr>
          <w:rFonts w:ascii="Abadi" w:hAnsi="Abadi" w:cs="*Arial-8253-Identity-H"/>
          <w:color w:val="0C0C0F"/>
          <w:sz w:val="21"/>
          <w:szCs w:val="21"/>
        </w:rPr>
        <w:t>ejercicio 2020 dispuso de un Reglamento Orgánico de la Administración Pública</w:t>
      </w:r>
      <w:r>
        <w:rPr>
          <w:rFonts w:ascii="Abadi" w:hAnsi="Abadi" w:cs="*Arial-8253-Identity-H"/>
          <w:color w:val="0C0C0F"/>
          <w:sz w:val="21"/>
          <w:szCs w:val="21"/>
        </w:rPr>
        <w:t xml:space="preserve"> </w:t>
      </w:r>
      <w:r w:rsidRPr="003D0AE7">
        <w:rPr>
          <w:rFonts w:ascii="Abadi" w:hAnsi="Abadi" w:cs="*Arial-8253-Identity-H"/>
          <w:color w:val="0C0C0F"/>
          <w:sz w:val="21"/>
          <w:szCs w:val="21"/>
        </w:rPr>
        <w:t>del Municipio de Purísima del Rincón, Guanajuato, el cual únicamente detalla de</w:t>
      </w:r>
      <w:r>
        <w:rPr>
          <w:rFonts w:ascii="Abadi" w:hAnsi="Abadi" w:cs="*Arial-8253-Identity-H"/>
          <w:color w:val="0C0C0F"/>
          <w:sz w:val="21"/>
          <w:szCs w:val="21"/>
        </w:rPr>
        <w:t xml:space="preserve"> </w:t>
      </w:r>
      <w:r w:rsidRPr="003D0AE7">
        <w:rPr>
          <w:rFonts w:ascii="Abadi" w:hAnsi="Abadi" w:cs="*Arial-8253-Identity-H"/>
          <w:color w:val="0C0C0F"/>
          <w:sz w:val="21"/>
          <w:szCs w:val="21"/>
        </w:rPr>
        <w:t>manera general, las atribuciones de la Dirección de Servicios Públicos</w:t>
      </w:r>
      <w:r>
        <w:rPr>
          <w:rFonts w:ascii="Abadi" w:hAnsi="Abadi" w:cs="*Arial-8253-Identity-H"/>
          <w:color w:val="0C0C0F"/>
          <w:sz w:val="21"/>
          <w:szCs w:val="21"/>
        </w:rPr>
        <w:t xml:space="preserve"> </w:t>
      </w:r>
      <w:r w:rsidRPr="003D0AE7">
        <w:rPr>
          <w:rFonts w:ascii="Abadi" w:hAnsi="Abadi" w:cs="*Arial-8253-Identity-H"/>
          <w:color w:val="0C0C0F"/>
          <w:sz w:val="21"/>
          <w:szCs w:val="21"/>
        </w:rPr>
        <w:t>Municipales, lo que puede poner en riesgo la adecuada organización y operación</w:t>
      </w:r>
      <w:r>
        <w:rPr>
          <w:rFonts w:ascii="Abadi" w:hAnsi="Abadi" w:cs="*Arial-8253-Identity-H"/>
          <w:color w:val="0C0C0F"/>
          <w:sz w:val="21"/>
          <w:szCs w:val="21"/>
        </w:rPr>
        <w:t xml:space="preserve"> </w:t>
      </w:r>
      <w:r w:rsidRPr="003D0AE7">
        <w:rPr>
          <w:rFonts w:ascii="Abadi" w:hAnsi="Abadi" w:cs="*Arial-8253-Identity-H"/>
          <w:color w:val="0C0C0F"/>
          <w:sz w:val="21"/>
          <w:szCs w:val="21"/>
        </w:rPr>
        <w:t>del servicio. Asimismo, el sujeto fiscalizado acreditó contar con un Manual de</w:t>
      </w:r>
      <w:r>
        <w:rPr>
          <w:rFonts w:ascii="Abadi" w:hAnsi="Abadi" w:cs="*Arial-8253-Identity-H"/>
          <w:color w:val="0C0C0F"/>
          <w:sz w:val="21"/>
          <w:szCs w:val="21"/>
        </w:rPr>
        <w:t xml:space="preserve"> </w:t>
      </w:r>
      <w:r w:rsidRPr="003D0AE7">
        <w:rPr>
          <w:rFonts w:ascii="Abadi" w:hAnsi="Abadi" w:cs="*Arial-8253-Identity-H"/>
          <w:color w:val="0C0C0F"/>
          <w:sz w:val="21"/>
          <w:szCs w:val="21"/>
        </w:rPr>
        <w:t>Organización y Funciones de la Dirección de Servicios Municipales y con el</w:t>
      </w:r>
      <w:r>
        <w:rPr>
          <w:rFonts w:ascii="Abadi" w:hAnsi="Abadi" w:cs="*Arial-8253-Identity-H"/>
          <w:color w:val="0C0C0F"/>
          <w:sz w:val="21"/>
          <w:szCs w:val="21"/>
        </w:rPr>
        <w:t xml:space="preserve"> </w:t>
      </w:r>
      <w:r w:rsidRPr="003D0AE7">
        <w:rPr>
          <w:rFonts w:ascii="Abadi" w:hAnsi="Abadi" w:cs="*Arial-8253-Identity-H"/>
          <w:color w:val="0C0C0F"/>
          <w:sz w:val="21"/>
          <w:szCs w:val="21"/>
        </w:rPr>
        <w:t>Manual de Procesos de la Dirección de Servicios Municipales, los cuales no</w:t>
      </w:r>
      <w:r>
        <w:rPr>
          <w:rFonts w:ascii="Abadi" w:hAnsi="Abadi" w:cs="*Arial-8253-Identity-H"/>
          <w:color w:val="0C0C0F"/>
          <w:sz w:val="21"/>
          <w:szCs w:val="21"/>
        </w:rPr>
        <w:t xml:space="preserve"> </w:t>
      </w:r>
      <w:r w:rsidRPr="003D0AE7">
        <w:rPr>
          <w:rFonts w:ascii="Abadi" w:hAnsi="Abadi" w:cs="*Arial-8253-Identity-H"/>
          <w:color w:val="0C0C0F"/>
          <w:sz w:val="21"/>
          <w:szCs w:val="21"/>
        </w:rPr>
        <w:t>precisaron los procesos clave del servicio, y carecieron del marco jurídico, las</w:t>
      </w:r>
      <w:r>
        <w:rPr>
          <w:rFonts w:ascii="Abadi" w:hAnsi="Abadi" w:cs="*Arial-8253-Identity-H"/>
          <w:color w:val="0C0C0F"/>
          <w:sz w:val="21"/>
          <w:szCs w:val="21"/>
        </w:rPr>
        <w:t xml:space="preserve"> </w:t>
      </w:r>
      <w:r w:rsidRPr="003D0AE7">
        <w:rPr>
          <w:rFonts w:ascii="Abadi" w:hAnsi="Abadi" w:cs="*Arial-8253-Identity-H"/>
          <w:color w:val="0C0C0F"/>
          <w:sz w:val="21"/>
          <w:szCs w:val="21"/>
        </w:rPr>
        <w:t>atribuciones, la estructura orgánica, el objetivo general de los mismos, la relación</w:t>
      </w:r>
      <w:r>
        <w:rPr>
          <w:rFonts w:ascii="Abadi" w:hAnsi="Abadi" w:cs="*Arial-8253-Identity-H"/>
          <w:color w:val="0C0C0F"/>
          <w:sz w:val="21"/>
          <w:szCs w:val="21"/>
        </w:rPr>
        <w:t xml:space="preserve"> </w:t>
      </w:r>
      <w:r w:rsidRPr="003D0AE7">
        <w:rPr>
          <w:rFonts w:ascii="Abadi" w:hAnsi="Abadi" w:cs="*Arial-8253-Identity-H"/>
          <w:color w:val="0C0C0F"/>
          <w:sz w:val="21"/>
          <w:szCs w:val="21"/>
        </w:rPr>
        <w:t>de los procesos y procedimientos; además del objetivo de cada uno de los</w:t>
      </w:r>
      <w:r>
        <w:rPr>
          <w:rFonts w:ascii="Abadi" w:hAnsi="Abadi" w:cs="*Arial-8253-Identity-H"/>
          <w:color w:val="0C0C0F"/>
          <w:sz w:val="21"/>
          <w:szCs w:val="21"/>
        </w:rPr>
        <w:t xml:space="preserve"> </w:t>
      </w:r>
      <w:r w:rsidRPr="003D0AE7">
        <w:rPr>
          <w:rFonts w:ascii="Abadi" w:hAnsi="Abadi" w:cs="*Arial-8253-Identity-H"/>
          <w:color w:val="0C0C0F"/>
          <w:sz w:val="21"/>
          <w:szCs w:val="21"/>
        </w:rPr>
        <w:t>procesos, su responsable, la diagramación, los formatos o instructivos y la</w:t>
      </w:r>
      <w:r>
        <w:rPr>
          <w:rFonts w:ascii="Abadi" w:hAnsi="Abadi" w:cs="*Arial-8253-Identity-H"/>
          <w:color w:val="0C0C0F"/>
          <w:sz w:val="21"/>
          <w:szCs w:val="21"/>
        </w:rPr>
        <w:t xml:space="preserve"> </w:t>
      </w:r>
      <w:r w:rsidRPr="003D0AE7">
        <w:rPr>
          <w:rFonts w:ascii="Abadi" w:hAnsi="Abadi" w:cs="*Arial-8253-Identity-H"/>
          <w:color w:val="0C0C0F"/>
          <w:sz w:val="21"/>
          <w:szCs w:val="21"/>
        </w:rPr>
        <w:t>autorización y vigencia, concluyendo que lo anterior puede poner en riesgo la</w:t>
      </w:r>
      <w:r>
        <w:rPr>
          <w:rFonts w:ascii="Abadi" w:hAnsi="Abadi" w:cs="*Arial-8253-Identity-H"/>
          <w:color w:val="0C0C0F"/>
          <w:sz w:val="21"/>
          <w:szCs w:val="21"/>
        </w:rPr>
        <w:t xml:space="preserve"> </w:t>
      </w:r>
      <w:r w:rsidRPr="003D0AE7">
        <w:rPr>
          <w:rFonts w:ascii="Abadi" w:hAnsi="Abadi" w:cs="*Arial-8253-Identity-H"/>
          <w:color w:val="0C0C0F"/>
          <w:sz w:val="21"/>
          <w:szCs w:val="21"/>
        </w:rPr>
        <w:t>operación del servicio, al desconocer, de manera específica, las atribuciones, las</w:t>
      </w:r>
      <w:r>
        <w:rPr>
          <w:rFonts w:ascii="Abadi" w:hAnsi="Abadi" w:cs="*Arial-8253-Identity-H"/>
          <w:color w:val="0C0C0F"/>
          <w:sz w:val="21"/>
          <w:szCs w:val="21"/>
        </w:rPr>
        <w:t xml:space="preserve"> </w:t>
      </w:r>
      <w:r w:rsidRPr="003D0AE7">
        <w:rPr>
          <w:rFonts w:ascii="Abadi" w:hAnsi="Abadi" w:cs="*Arial-8178-Identity-H"/>
          <w:color w:val="0B0A0D"/>
          <w:sz w:val="21"/>
          <w:szCs w:val="21"/>
        </w:rPr>
        <w:t>facultades, la organización, el alcance y la mecánica operativa para prestar el</w:t>
      </w:r>
      <w:r>
        <w:rPr>
          <w:rFonts w:ascii="Abadi" w:hAnsi="Abadi" w:cs="*Arial-8178-Identity-H"/>
          <w:color w:val="0B0A0D"/>
          <w:sz w:val="21"/>
          <w:szCs w:val="21"/>
        </w:rPr>
        <w:t xml:space="preserve"> </w:t>
      </w:r>
      <w:r w:rsidRPr="003D0AE7">
        <w:rPr>
          <w:rFonts w:ascii="Abadi" w:hAnsi="Abadi" w:cs="*Arial-8178-Identity-H"/>
          <w:color w:val="0B0A0D"/>
          <w:sz w:val="21"/>
          <w:szCs w:val="21"/>
        </w:rPr>
        <w:t>servicio público.</w:t>
      </w:r>
    </w:p>
    <w:p w14:paraId="6A9BAD79" w14:textId="77777777" w:rsidR="0016773C" w:rsidRDefault="0016773C" w:rsidP="0016773C">
      <w:pPr>
        <w:autoSpaceDE w:val="0"/>
        <w:autoSpaceDN w:val="0"/>
        <w:adjustRightInd w:val="0"/>
        <w:jc w:val="both"/>
        <w:rPr>
          <w:rFonts w:ascii="Abadi" w:hAnsi="Abadi" w:cs="*Arial-8178-Identity-H"/>
          <w:color w:val="0B0A0D"/>
          <w:sz w:val="21"/>
          <w:szCs w:val="21"/>
        </w:rPr>
      </w:pPr>
    </w:p>
    <w:p w14:paraId="715AFD1B" w14:textId="77777777" w:rsidR="0016773C" w:rsidRDefault="0016773C" w:rsidP="0016773C">
      <w:pPr>
        <w:autoSpaceDE w:val="0"/>
        <w:autoSpaceDN w:val="0"/>
        <w:adjustRightInd w:val="0"/>
        <w:ind w:firstLine="708"/>
        <w:jc w:val="both"/>
        <w:rPr>
          <w:rFonts w:ascii="Abadi" w:hAnsi="Abadi" w:cs="*Arial-8178-Identity-H"/>
          <w:color w:val="0E0E10"/>
          <w:sz w:val="21"/>
          <w:szCs w:val="21"/>
        </w:rPr>
      </w:pPr>
      <w:r w:rsidRPr="003D0AE7">
        <w:rPr>
          <w:rFonts w:ascii="Abadi" w:hAnsi="Abadi" w:cs="*Arial-8178-Identity-H"/>
          <w:color w:val="0E0E10"/>
          <w:sz w:val="21"/>
          <w:szCs w:val="21"/>
        </w:rPr>
        <w:t>Respecto a los recursos para la prestación del servicio, el sujeto fiscalizado</w:t>
      </w:r>
      <w:r>
        <w:rPr>
          <w:rFonts w:ascii="Abadi" w:hAnsi="Abadi" w:cs="*Arial-8178-Identity-H"/>
          <w:color w:val="0E0E10"/>
          <w:sz w:val="21"/>
          <w:szCs w:val="21"/>
        </w:rPr>
        <w:t xml:space="preserve"> </w:t>
      </w:r>
      <w:r w:rsidRPr="003D0AE7">
        <w:rPr>
          <w:rFonts w:ascii="Abadi" w:hAnsi="Abadi" w:cs="*Arial-8178-Identity-H"/>
          <w:color w:val="0E0E10"/>
          <w:sz w:val="21"/>
          <w:szCs w:val="21"/>
        </w:rPr>
        <w:t xml:space="preserve">definió en su presupuesto el programa </w:t>
      </w:r>
      <w:r w:rsidRPr="003D0AE7">
        <w:rPr>
          <w:rFonts w:ascii="Abadi" w:hAnsi="Abadi" w:cs="*Microsoft Sans Serif-Italic-81"/>
          <w:i/>
          <w:iCs/>
          <w:color w:val="0E0E10"/>
          <w:sz w:val="21"/>
          <w:szCs w:val="21"/>
        </w:rPr>
        <w:t xml:space="preserve">E0032 Servicio de Alumbrado Público, </w:t>
      </w:r>
      <w:r w:rsidRPr="003D0AE7">
        <w:rPr>
          <w:rFonts w:ascii="Abadi" w:hAnsi="Abadi" w:cs="*Arial-8178-Identity-H"/>
          <w:color w:val="0E0E10"/>
          <w:sz w:val="21"/>
          <w:szCs w:val="21"/>
        </w:rPr>
        <w:t>en</w:t>
      </w:r>
      <w:r>
        <w:rPr>
          <w:rFonts w:ascii="Abadi" w:hAnsi="Abadi" w:cs="*Arial-8178-Identity-H"/>
          <w:color w:val="0E0E10"/>
          <w:sz w:val="21"/>
          <w:szCs w:val="21"/>
        </w:rPr>
        <w:t xml:space="preserve"> </w:t>
      </w:r>
      <w:r w:rsidRPr="003D0AE7">
        <w:rPr>
          <w:rFonts w:ascii="Abadi" w:hAnsi="Abadi" w:cs="*Arial-8178-Identity-H"/>
          <w:color w:val="0E0E10"/>
          <w:sz w:val="21"/>
          <w:szCs w:val="21"/>
        </w:rPr>
        <w:t>el cual se administraron los recursos para la ejecución de acciones relacionadas</w:t>
      </w:r>
      <w:r>
        <w:rPr>
          <w:rFonts w:ascii="Abadi" w:hAnsi="Abadi" w:cs="*Arial-8178-Identity-H"/>
          <w:color w:val="0E0E10"/>
          <w:sz w:val="21"/>
          <w:szCs w:val="21"/>
        </w:rPr>
        <w:t xml:space="preserve"> </w:t>
      </w:r>
      <w:r w:rsidRPr="003D0AE7">
        <w:rPr>
          <w:rFonts w:ascii="Abadi" w:hAnsi="Abadi" w:cs="*Arial-8178-Identity-H"/>
          <w:color w:val="0E0E10"/>
          <w:sz w:val="21"/>
          <w:szCs w:val="21"/>
        </w:rPr>
        <w:t>con la prestación del servicio. Adicionalmente, se constató que el sujeto fiscalizado</w:t>
      </w:r>
      <w:r>
        <w:rPr>
          <w:rFonts w:ascii="Abadi" w:hAnsi="Abadi" w:cs="*Arial-8178-Identity-H"/>
          <w:color w:val="0E0E10"/>
          <w:sz w:val="21"/>
          <w:szCs w:val="21"/>
        </w:rPr>
        <w:t xml:space="preserve"> </w:t>
      </w:r>
      <w:r w:rsidRPr="003D0AE7">
        <w:rPr>
          <w:rFonts w:ascii="Abadi" w:hAnsi="Abadi" w:cs="*Arial-8178-Identity-H"/>
          <w:color w:val="0E0E10"/>
          <w:sz w:val="21"/>
          <w:szCs w:val="21"/>
        </w:rPr>
        <w:t>no contó con un Programa Operativo Anual como instrumento de planeación</w:t>
      </w:r>
      <w:r>
        <w:rPr>
          <w:rFonts w:ascii="Abadi" w:hAnsi="Abadi" w:cs="*Arial-8178-Identity-H"/>
          <w:color w:val="0E0E10"/>
          <w:sz w:val="21"/>
          <w:szCs w:val="21"/>
        </w:rPr>
        <w:t xml:space="preserve"> </w:t>
      </w:r>
      <w:r w:rsidRPr="003D0AE7">
        <w:rPr>
          <w:rFonts w:ascii="Abadi" w:hAnsi="Abadi" w:cs="*Arial-8178-Identity-H"/>
          <w:color w:val="0E0E10"/>
          <w:sz w:val="21"/>
          <w:szCs w:val="21"/>
        </w:rPr>
        <w:t>programación</w:t>
      </w:r>
      <w:r>
        <w:rPr>
          <w:rFonts w:ascii="Abadi" w:hAnsi="Abadi" w:cs="*Arial-8178-Identity-H"/>
          <w:color w:val="0E0E10"/>
          <w:sz w:val="21"/>
          <w:szCs w:val="21"/>
        </w:rPr>
        <w:t xml:space="preserve"> </w:t>
      </w:r>
      <w:r w:rsidRPr="003D0AE7">
        <w:rPr>
          <w:rFonts w:ascii="Abadi" w:hAnsi="Abadi" w:cs="*Arial-8178-Identity-H"/>
          <w:color w:val="0E0E10"/>
          <w:sz w:val="21"/>
          <w:szCs w:val="21"/>
        </w:rPr>
        <w:t>a corto plazo, teniendo como área de oportunidad el implementar</w:t>
      </w:r>
      <w:r>
        <w:rPr>
          <w:rFonts w:ascii="Abadi" w:hAnsi="Abadi" w:cs="*Arial-8178-Identity-H"/>
          <w:color w:val="0E0E10"/>
          <w:sz w:val="21"/>
          <w:szCs w:val="21"/>
        </w:rPr>
        <w:t xml:space="preserve"> </w:t>
      </w:r>
      <w:r w:rsidRPr="003D0AE7">
        <w:rPr>
          <w:rFonts w:ascii="Abadi" w:hAnsi="Abadi" w:cs="*Arial-8178-Identity-H"/>
          <w:color w:val="0E0E10"/>
          <w:sz w:val="21"/>
          <w:szCs w:val="21"/>
        </w:rPr>
        <w:t>una herramienta de planeación, monitoreo y control de los procesos estratégicos y</w:t>
      </w:r>
      <w:r>
        <w:rPr>
          <w:rFonts w:ascii="Abadi" w:hAnsi="Abadi" w:cs="*Arial-8178-Identity-H"/>
          <w:color w:val="0E0E10"/>
          <w:sz w:val="21"/>
          <w:szCs w:val="21"/>
        </w:rPr>
        <w:t xml:space="preserve"> </w:t>
      </w:r>
      <w:r w:rsidRPr="003D0AE7">
        <w:rPr>
          <w:rFonts w:ascii="Abadi" w:hAnsi="Abadi" w:cs="*Arial-8178-Identity-H"/>
          <w:color w:val="0E0E10"/>
          <w:sz w:val="21"/>
          <w:szCs w:val="21"/>
        </w:rPr>
        <w:t>claves para la administración, conservación, rehabilitación y mejoramiento del</w:t>
      </w:r>
      <w:r>
        <w:rPr>
          <w:rFonts w:ascii="Abadi" w:hAnsi="Abadi" w:cs="*Arial-8178-Identity-H"/>
          <w:color w:val="0E0E10"/>
          <w:sz w:val="21"/>
          <w:szCs w:val="21"/>
        </w:rPr>
        <w:t xml:space="preserve"> </w:t>
      </w:r>
      <w:r w:rsidRPr="003D0AE7">
        <w:rPr>
          <w:rFonts w:ascii="Abadi" w:hAnsi="Abadi" w:cs="*Arial-8178-Identity-H"/>
          <w:color w:val="0E0E10"/>
          <w:sz w:val="21"/>
          <w:szCs w:val="21"/>
        </w:rPr>
        <w:t>servicio de alumbrado público en un ejercicio presupuestal.</w:t>
      </w:r>
      <w:r>
        <w:rPr>
          <w:rFonts w:ascii="Abadi" w:hAnsi="Abadi" w:cs="*Arial-8178-Identity-H"/>
          <w:color w:val="0E0E10"/>
          <w:sz w:val="21"/>
          <w:szCs w:val="21"/>
        </w:rPr>
        <w:t xml:space="preserve"> </w:t>
      </w:r>
    </w:p>
    <w:p w14:paraId="4AACE234" w14:textId="77777777" w:rsidR="0016773C" w:rsidRDefault="0016773C" w:rsidP="0016773C">
      <w:pPr>
        <w:autoSpaceDE w:val="0"/>
        <w:autoSpaceDN w:val="0"/>
        <w:adjustRightInd w:val="0"/>
        <w:jc w:val="both"/>
        <w:rPr>
          <w:rFonts w:ascii="Abadi" w:hAnsi="Abadi" w:cs="*Arial-8178-Identity-H"/>
          <w:color w:val="0E0E10"/>
          <w:sz w:val="21"/>
          <w:szCs w:val="21"/>
        </w:rPr>
      </w:pPr>
    </w:p>
    <w:p w14:paraId="656EC638" w14:textId="77777777" w:rsidR="0016773C" w:rsidRPr="003D0AE7" w:rsidRDefault="0016773C" w:rsidP="0016773C">
      <w:pPr>
        <w:autoSpaceDE w:val="0"/>
        <w:autoSpaceDN w:val="0"/>
        <w:adjustRightInd w:val="0"/>
        <w:ind w:firstLine="708"/>
        <w:jc w:val="both"/>
        <w:rPr>
          <w:rFonts w:ascii="Abadi" w:hAnsi="Abadi" w:cs="*Arial-8178-Identity-H"/>
          <w:color w:val="0C0C0F"/>
          <w:sz w:val="21"/>
          <w:szCs w:val="21"/>
        </w:rPr>
      </w:pPr>
      <w:r w:rsidRPr="003D0AE7">
        <w:rPr>
          <w:rFonts w:ascii="Abadi" w:hAnsi="Abadi" w:cs="*Arial-8178-Identity-H"/>
          <w:color w:val="0C0C0F"/>
          <w:sz w:val="21"/>
          <w:szCs w:val="21"/>
        </w:rPr>
        <w:t>Por lo que hace a la capacidad del sujeto fiscalizado para garantizar una</w:t>
      </w:r>
      <w:r>
        <w:rPr>
          <w:rFonts w:ascii="Abadi" w:hAnsi="Abadi" w:cs="*Arial-8178-Identity-H"/>
          <w:color w:val="0C0C0F"/>
          <w:sz w:val="21"/>
          <w:szCs w:val="21"/>
        </w:rPr>
        <w:t xml:space="preserve"> </w:t>
      </w:r>
      <w:r w:rsidRPr="003D0AE7">
        <w:rPr>
          <w:rFonts w:ascii="Abadi" w:hAnsi="Abadi" w:cs="*Arial-8178-Identity-H"/>
          <w:color w:val="0C0C0F"/>
          <w:sz w:val="21"/>
          <w:szCs w:val="21"/>
        </w:rPr>
        <w:t>prestación permanente y efectiva del servicio de alumbrado público, se analizó la</w:t>
      </w:r>
      <w:r>
        <w:rPr>
          <w:rFonts w:ascii="Abadi" w:hAnsi="Abadi" w:cs="*Arial-8178-Identity-H"/>
          <w:color w:val="0C0C0F"/>
          <w:sz w:val="21"/>
          <w:szCs w:val="21"/>
        </w:rPr>
        <w:t xml:space="preserve"> </w:t>
      </w:r>
      <w:r w:rsidRPr="003D0AE7">
        <w:rPr>
          <w:rFonts w:ascii="Abadi" w:hAnsi="Abadi" w:cs="*Arial-8178-Identity-H"/>
          <w:color w:val="0C0C0F"/>
          <w:sz w:val="21"/>
          <w:szCs w:val="21"/>
        </w:rPr>
        <w:t>calidad de la información relativa a los logros en materia de mantenimiento, así</w:t>
      </w:r>
      <w:r>
        <w:rPr>
          <w:rFonts w:ascii="Abadi" w:hAnsi="Abadi" w:cs="*Arial-8178-Identity-H"/>
          <w:color w:val="0C0C0F"/>
          <w:sz w:val="21"/>
          <w:szCs w:val="21"/>
        </w:rPr>
        <w:t xml:space="preserve"> </w:t>
      </w:r>
      <w:r w:rsidRPr="003D0AE7">
        <w:rPr>
          <w:rFonts w:ascii="Abadi" w:hAnsi="Abadi" w:cs="*Arial-8178-Identity-H"/>
          <w:color w:val="0C0C0F"/>
          <w:sz w:val="21"/>
          <w:szCs w:val="21"/>
        </w:rPr>
        <w:t>como la correspondiente a la cobertura y satisfacción ciudadana observándose en</w:t>
      </w:r>
      <w:r>
        <w:rPr>
          <w:rFonts w:ascii="Abadi" w:hAnsi="Abadi" w:cs="*Arial-8178-Identity-H"/>
          <w:color w:val="0C0C0F"/>
          <w:sz w:val="21"/>
          <w:szCs w:val="21"/>
        </w:rPr>
        <w:t xml:space="preserve"> </w:t>
      </w:r>
      <w:r w:rsidRPr="003D0AE7">
        <w:rPr>
          <w:rFonts w:ascii="Abadi" w:hAnsi="Abadi" w:cs="*Arial-8178-Identity-H"/>
          <w:color w:val="0C0C0F"/>
          <w:sz w:val="21"/>
          <w:szCs w:val="21"/>
        </w:rPr>
        <w:t>relación a las acciones de mantenimiento, que el sujeto fiscalizado contó con un</w:t>
      </w:r>
      <w:r>
        <w:rPr>
          <w:rFonts w:ascii="Abadi" w:hAnsi="Abadi" w:cs="*Arial-8178-Identity-H"/>
          <w:color w:val="0C0C0F"/>
          <w:sz w:val="21"/>
          <w:szCs w:val="21"/>
        </w:rPr>
        <w:t xml:space="preserve"> </w:t>
      </w:r>
      <w:r w:rsidRPr="003D0AE7">
        <w:rPr>
          <w:rFonts w:ascii="Abadi" w:hAnsi="Abadi" w:cs="*Arial-8178-Identity-H"/>
          <w:color w:val="0C0C0F"/>
          <w:sz w:val="21"/>
          <w:szCs w:val="21"/>
        </w:rPr>
        <w:t xml:space="preserve">proceso documentado, denominado </w:t>
      </w:r>
      <w:r w:rsidRPr="003D0AE7">
        <w:rPr>
          <w:rFonts w:ascii="Abadi" w:hAnsi="Abadi" w:cs="*Microsoft Sans Serif-Italic-81"/>
          <w:i/>
          <w:iCs/>
          <w:color w:val="0C0C0F"/>
          <w:sz w:val="21"/>
          <w:szCs w:val="21"/>
        </w:rPr>
        <w:t>Reparación de lámparas fundidas, quebradas</w:t>
      </w:r>
      <w:r>
        <w:rPr>
          <w:rFonts w:ascii="Abadi" w:hAnsi="Abadi" w:cs="*Microsoft Sans Serif-Italic-81"/>
          <w:i/>
          <w:iCs/>
          <w:color w:val="0C0C0F"/>
          <w:sz w:val="21"/>
          <w:szCs w:val="21"/>
        </w:rPr>
        <w:t xml:space="preserve"> </w:t>
      </w:r>
      <w:r w:rsidRPr="003D0AE7">
        <w:rPr>
          <w:rFonts w:ascii="Abadi" w:hAnsi="Abadi" w:cs="*Microsoft Sans Serif-Italic-81"/>
          <w:i/>
          <w:iCs/>
          <w:color w:val="0C0C0F"/>
          <w:sz w:val="21"/>
          <w:szCs w:val="21"/>
        </w:rPr>
        <w:t xml:space="preserve">o que presentan algún problema de funcionamiento, </w:t>
      </w:r>
      <w:r w:rsidRPr="003D0AE7">
        <w:rPr>
          <w:rFonts w:ascii="Abadi" w:hAnsi="Abadi" w:cs="*Arial-8178-Identity-H"/>
          <w:color w:val="0C0C0F"/>
          <w:sz w:val="21"/>
          <w:szCs w:val="21"/>
        </w:rPr>
        <w:t>en el que se estableció un</w:t>
      </w:r>
      <w:r>
        <w:rPr>
          <w:rFonts w:ascii="Abadi" w:hAnsi="Abadi" w:cs="*Arial-8178-Identity-H"/>
          <w:color w:val="0C0C0F"/>
          <w:sz w:val="21"/>
          <w:szCs w:val="21"/>
        </w:rPr>
        <w:t xml:space="preserve"> </w:t>
      </w:r>
      <w:r w:rsidRPr="003D0AE7">
        <w:rPr>
          <w:rFonts w:ascii="Abadi" w:hAnsi="Abadi" w:cs="*Arial-8178-Identity-H"/>
          <w:color w:val="0C0C0F"/>
          <w:sz w:val="21"/>
          <w:szCs w:val="21"/>
        </w:rPr>
        <w:t>plazo no mayor a 8 días para atender los reportes de fallas, asimismo, presentó</w:t>
      </w:r>
      <w:r>
        <w:rPr>
          <w:rFonts w:ascii="Abadi" w:hAnsi="Abadi" w:cs="*Arial-8178-Identity-H"/>
          <w:color w:val="0C0C0F"/>
          <w:sz w:val="21"/>
          <w:szCs w:val="21"/>
        </w:rPr>
        <w:t xml:space="preserve"> </w:t>
      </w:r>
      <w:r w:rsidRPr="003D0AE7">
        <w:rPr>
          <w:rFonts w:ascii="Abadi" w:hAnsi="Abadi" w:cs="*Arial-8178-Identity-H"/>
          <w:color w:val="0C0C0F"/>
          <w:sz w:val="21"/>
          <w:szCs w:val="21"/>
        </w:rPr>
        <w:t>evidencia de contar con una herramienta sistematizada para el seguimiento de los</w:t>
      </w:r>
      <w:r>
        <w:rPr>
          <w:rFonts w:ascii="Abadi" w:hAnsi="Abadi" w:cs="*Arial-8178-Identity-H"/>
          <w:color w:val="0C0C0F"/>
          <w:sz w:val="21"/>
          <w:szCs w:val="21"/>
        </w:rPr>
        <w:t xml:space="preserve"> </w:t>
      </w:r>
      <w:r w:rsidRPr="003D0AE7">
        <w:rPr>
          <w:rFonts w:ascii="Abadi" w:hAnsi="Abadi" w:cs="*Arial-8178-Identity-H"/>
          <w:color w:val="0C0C0F"/>
          <w:sz w:val="21"/>
          <w:szCs w:val="21"/>
        </w:rPr>
        <w:t>reportes, la cual presentó deficiencias que limitaron que los reportes pudieran ser</w:t>
      </w:r>
      <w:r>
        <w:rPr>
          <w:rFonts w:ascii="Abadi" w:hAnsi="Abadi" w:cs="*Arial-8178-Identity-H"/>
          <w:color w:val="0C0C0F"/>
          <w:sz w:val="21"/>
          <w:szCs w:val="21"/>
        </w:rPr>
        <w:t xml:space="preserve"> </w:t>
      </w:r>
      <w:r w:rsidRPr="003D0AE7">
        <w:rPr>
          <w:rFonts w:ascii="Abadi" w:hAnsi="Abadi" w:cs="*Arial-8178-Identity-H"/>
          <w:color w:val="0C0C0F"/>
          <w:sz w:val="21"/>
          <w:szCs w:val="21"/>
        </w:rPr>
        <w:t>atendidos con oportunidad, por lo que existe un área de mejora en la recopilación</w:t>
      </w:r>
      <w:r>
        <w:rPr>
          <w:rFonts w:ascii="Abadi" w:hAnsi="Abadi" w:cs="*Arial-8178-Identity-H"/>
          <w:color w:val="0C0C0F"/>
          <w:sz w:val="21"/>
          <w:szCs w:val="21"/>
        </w:rPr>
        <w:t xml:space="preserve"> </w:t>
      </w:r>
      <w:r w:rsidRPr="003D0AE7">
        <w:rPr>
          <w:rFonts w:ascii="Abadi" w:hAnsi="Abadi" w:cs="*Arial-8178-Identity-H"/>
          <w:color w:val="0C0C0F"/>
          <w:sz w:val="21"/>
          <w:szCs w:val="21"/>
        </w:rPr>
        <w:t>y sistematización de la información a fin de que los mecanismos llevados a cabo</w:t>
      </w:r>
      <w:r>
        <w:rPr>
          <w:rFonts w:ascii="Abadi" w:hAnsi="Abadi" w:cs="*Arial-8178-Identity-H"/>
          <w:color w:val="0C0C0F"/>
          <w:sz w:val="21"/>
          <w:szCs w:val="21"/>
        </w:rPr>
        <w:t xml:space="preserve"> </w:t>
      </w:r>
      <w:r w:rsidRPr="003D0AE7">
        <w:rPr>
          <w:rFonts w:ascii="Abadi" w:hAnsi="Abadi" w:cs="*Arial-8178-Identity-H"/>
          <w:color w:val="0C0C0F"/>
          <w:sz w:val="21"/>
          <w:szCs w:val="21"/>
        </w:rPr>
        <w:t>generen información útil para el seguimiento oportuno de los reportes ciudadanos</w:t>
      </w:r>
    </w:p>
    <w:p w14:paraId="65B750AC" w14:textId="77777777" w:rsidR="0016773C" w:rsidRDefault="0016773C" w:rsidP="0016773C">
      <w:pPr>
        <w:autoSpaceDE w:val="0"/>
        <w:autoSpaceDN w:val="0"/>
        <w:adjustRightInd w:val="0"/>
        <w:jc w:val="both"/>
        <w:rPr>
          <w:rFonts w:ascii="Abadi" w:hAnsi="Abadi" w:cs="*Arial-8178-Identity-H"/>
          <w:color w:val="0C0C0F"/>
          <w:sz w:val="21"/>
          <w:szCs w:val="21"/>
        </w:rPr>
      </w:pPr>
      <w:r w:rsidRPr="003D0AE7">
        <w:rPr>
          <w:rFonts w:ascii="Abadi" w:hAnsi="Abadi" w:cs="*Arial-8178-Identity-H"/>
          <w:color w:val="0C0C0F"/>
          <w:sz w:val="21"/>
          <w:szCs w:val="21"/>
        </w:rPr>
        <w:t>y la toma de decisiones.</w:t>
      </w:r>
    </w:p>
    <w:p w14:paraId="449EB9C4" w14:textId="77777777" w:rsidR="0016773C" w:rsidRPr="003D0AE7" w:rsidRDefault="0016773C" w:rsidP="0016773C">
      <w:pPr>
        <w:autoSpaceDE w:val="0"/>
        <w:autoSpaceDN w:val="0"/>
        <w:adjustRightInd w:val="0"/>
        <w:jc w:val="both"/>
        <w:rPr>
          <w:rFonts w:ascii="Abadi" w:hAnsi="Abadi" w:cs="*Arial-8178-Identity-H"/>
          <w:color w:val="0C0C0F"/>
          <w:sz w:val="21"/>
          <w:szCs w:val="21"/>
        </w:rPr>
      </w:pPr>
    </w:p>
    <w:p w14:paraId="18496188" w14:textId="77777777" w:rsidR="0016773C" w:rsidRDefault="0016773C" w:rsidP="0016773C">
      <w:pPr>
        <w:autoSpaceDE w:val="0"/>
        <w:autoSpaceDN w:val="0"/>
        <w:adjustRightInd w:val="0"/>
        <w:ind w:firstLine="708"/>
        <w:jc w:val="both"/>
        <w:rPr>
          <w:rFonts w:ascii="Abadi" w:hAnsi="Abadi" w:cs="*Arial-7680-Identity-H"/>
          <w:color w:val="0D0C0F"/>
          <w:sz w:val="21"/>
          <w:szCs w:val="21"/>
        </w:rPr>
      </w:pPr>
      <w:r w:rsidRPr="003D0AE7">
        <w:rPr>
          <w:rFonts w:ascii="Abadi" w:hAnsi="Abadi" w:cs="*Arial-8178-Identity-H"/>
          <w:color w:val="0D0D0F"/>
          <w:sz w:val="21"/>
          <w:szCs w:val="21"/>
        </w:rPr>
        <w:t>En el caso de la cobertura, se refiere que el sujeto fiscalizado, si bien contó</w:t>
      </w:r>
      <w:r>
        <w:rPr>
          <w:rFonts w:ascii="Abadi" w:hAnsi="Abadi" w:cs="*Arial-8178-Identity-H"/>
          <w:color w:val="0D0D0F"/>
          <w:sz w:val="21"/>
          <w:szCs w:val="21"/>
        </w:rPr>
        <w:t xml:space="preserve"> </w:t>
      </w:r>
      <w:r w:rsidRPr="003D0AE7">
        <w:rPr>
          <w:rFonts w:ascii="Abadi" w:hAnsi="Abadi" w:cs="*Arial-8178-Identity-H"/>
          <w:color w:val="0D0D0F"/>
          <w:sz w:val="21"/>
          <w:szCs w:val="21"/>
        </w:rPr>
        <w:t>con un inventario en el ejercicio 2020, el cual contiene la cantidad de lámparas y</w:t>
      </w:r>
      <w:r>
        <w:rPr>
          <w:rFonts w:ascii="Abadi" w:hAnsi="Abadi" w:cs="*Arial-8178-Identity-H"/>
          <w:color w:val="0D0D0F"/>
          <w:sz w:val="21"/>
          <w:szCs w:val="21"/>
        </w:rPr>
        <w:t xml:space="preserve"> </w:t>
      </w:r>
      <w:r w:rsidRPr="003D0AE7">
        <w:rPr>
          <w:rFonts w:ascii="Abadi" w:hAnsi="Abadi" w:cs="*Arial-8178-Identity-H"/>
          <w:color w:val="0D0D0F"/>
          <w:sz w:val="21"/>
          <w:szCs w:val="21"/>
        </w:rPr>
        <w:t>luminarias que formaron parte del servicio de alumbrado público, no se incluyó</w:t>
      </w:r>
      <w:r>
        <w:rPr>
          <w:rFonts w:ascii="Abadi" w:hAnsi="Abadi" w:cs="*Arial-8178-Identity-H"/>
          <w:color w:val="0D0D0F"/>
          <w:sz w:val="21"/>
          <w:szCs w:val="21"/>
        </w:rPr>
        <w:t xml:space="preserve"> </w:t>
      </w:r>
      <w:r w:rsidRPr="003D0AE7">
        <w:rPr>
          <w:rFonts w:ascii="Abadi" w:hAnsi="Abadi" w:cs="*Arial-8178-Identity-H"/>
          <w:color w:val="0D0D0F"/>
          <w:sz w:val="21"/>
          <w:szCs w:val="21"/>
        </w:rPr>
        <w:t>información que divulgara el estado de funcionamiento en las que se encontraba</w:t>
      </w:r>
      <w:r>
        <w:rPr>
          <w:rFonts w:ascii="Abadi" w:hAnsi="Abadi" w:cs="*Arial-8178-Identity-H"/>
          <w:color w:val="0D0D0F"/>
          <w:sz w:val="21"/>
          <w:szCs w:val="21"/>
        </w:rPr>
        <w:t xml:space="preserve"> </w:t>
      </w:r>
      <w:r w:rsidRPr="003D0AE7">
        <w:rPr>
          <w:rFonts w:ascii="Abadi" w:hAnsi="Abadi" w:cs="*Arial-8178-Identity-H"/>
          <w:color w:val="0D0D0F"/>
          <w:sz w:val="21"/>
          <w:szCs w:val="21"/>
        </w:rPr>
        <w:t>cada dispositivo, por lo que se cuenta con un área de oportunidad para generar</w:t>
      </w:r>
      <w:r>
        <w:rPr>
          <w:rFonts w:ascii="Abadi" w:hAnsi="Abadi" w:cs="*Arial-8178-Identity-H"/>
          <w:color w:val="0D0D0F"/>
          <w:sz w:val="21"/>
          <w:szCs w:val="21"/>
        </w:rPr>
        <w:t xml:space="preserve"> </w:t>
      </w:r>
      <w:r w:rsidRPr="003D0AE7">
        <w:rPr>
          <w:rFonts w:ascii="Abadi" w:hAnsi="Abadi" w:cs="*Arial-8178-Identity-H"/>
          <w:color w:val="0D0D0F"/>
          <w:sz w:val="21"/>
          <w:szCs w:val="21"/>
        </w:rPr>
        <w:t>dicha información, a efecto</w:t>
      </w:r>
      <w:r>
        <w:rPr>
          <w:rFonts w:ascii="Abadi" w:hAnsi="Abadi" w:cs="*Arial-8178-Identity-H"/>
          <w:color w:val="747479"/>
          <w:sz w:val="21"/>
          <w:szCs w:val="21"/>
        </w:rPr>
        <w:t xml:space="preserve"> </w:t>
      </w:r>
      <w:r w:rsidRPr="003D0AE7">
        <w:rPr>
          <w:rFonts w:ascii="Abadi" w:hAnsi="Abadi" w:cs="*Arial-8178-Identity-H"/>
          <w:color w:val="0D0D0F"/>
          <w:sz w:val="21"/>
          <w:szCs w:val="21"/>
        </w:rPr>
        <w:t>de que la misma sea utilizada para conocer la situación</w:t>
      </w:r>
      <w:r>
        <w:rPr>
          <w:rFonts w:ascii="Abadi" w:hAnsi="Abadi" w:cs="*Arial-8178-Identity-H"/>
          <w:color w:val="0D0D0F"/>
          <w:sz w:val="21"/>
          <w:szCs w:val="21"/>
        </w:rPr>
        <w:t xml:space="preserve"> </w:t>
      </w:r>
      <w:r w:rsidRPr="003D0AE7">
        <w:rPr>
          <w:rFonts w:ascii="Abadi" w:hAnsi="Abadi" w:cs="*Arial-8178-Identity-H"/>
          <w:color w:val="0D0D0F"/>
          <w:sz w:val="21"/>
          <w:szCs w:val="21"/>
        </w:rPr>
        <w:t>real del Municipio y que le permita otorgar un servicio eficiente de alumbrado</w:t>
      </w:r>
      <w:r>
        <w:rPr>
          <w:rFonts w:ascii="Abadi" w:hAnsi="Abadi" w:cs="*Arial-8178-Identity-H"/>
          <w:color w:val="0D0D0F"/>
          <w:sz w:val="21"/>
          <w:szCs w:val="21"/>
        </w:rPr>
        <w:t xml:space="preserve"> </w:t>
      </w:r>
      <w:r w:rsidRPr="003D0AE7">
        <w:rPr>
          <w:rFonts w:ascii="Abadi" w:hAnsi="Abadi" w:cs="*Arial-8178-Identity-H"/>
          <w:color w:val="0D0D0F"/>
          <w:sz w:val="21"/>
          <w:szCs w:val="21"/>
        </w:rPr>
        <w:t>público a la población. Destacando en esta parte que, la Matriz de Indicadores</w:t>
      </w:r>
      <w:r>
        <w:rPr>
          <w:rFonts w:ascii="Abadi" w:hAnsi="Abadi" w:cs="*Arial-8178-Identity-H"/>
          <w:color w:val="0D0D0F"/>
          <w:sz w:val="21"/>
          <w:szCs w:val="21"/>
        </w:rPr>
        <w:t xml:space="preserve"> </w:t>
      </w:r>
      <w:r w:rsidRPr="003D0AE7">
        <w:rPr>
          <w:rFonts w:ascii="Abadi" w:hAnsi="Abadi" w:cs="*Arial-8178-Identity-H"/>
          <w:color w:val="0D0D0F"/>
          <w:sz w:val="21"/>
          <w:szCs w:val="21"/>
        </w:rPr>
        <w:t xml:space="preserve">para Resultados del programa </w:t>
      </w:r>
      <w:r w:rsidRPr="003D0AE7">
        <w:rPr>
          <w:rFonts w:ascii="Abadi" w:hAnsi="Abadi" w:cs="*Microsoft Sans Serif-Italic-81"/>
          <w:i/>
          <w:iCs/>
          <w:color w:val="0D0D0F"/>
          <w:sz w:val="21"/>
          <w:szCs w:val="21"/>
        </w:rPr>
        <w:t xml:space="preserve">E0032 Servicio de Alumbrado Público </w:t>
      </w:r>
      <w:r w:rsidRPr="003D0AE7">
        <w:rPr>
          <w:rFonts w:ascii="Abadi" w:hAnsi="Abadi" w:cs="*Arial-8178-Identity-H"/>
          <w:color w:val="0D0D0F"/>
          <w:sz w:val="21"/>
          <w:szCs w:val="21"/>
        </w:rPr>
        <w:t>dispuso de</w:t>
      </w:r>
      <w:r>
        <w:rPr>
          <w:rFonts w:ascii="Abadi" w:hAnsi="Abadi" w:cs="*Arial-8178-Identity-H"/>
          <w:color w:val="0D0D0F"/>
          <w:sz w:val="21"/>
          <w:szCs w:val="21"/>
        </w:rPr>
        <w:t xml:space="preserve"> </w:t>
      </w:r>
      <w:r w:rsidRPr="003D0AE7">
        <w:rPr>
          <w:rFonts w:ascii="Abadi" w:hAnsi="Abadi" w:cs="*Arial-8178-Identity-H"/>
          <w:color w:val="0D0D0F"/>
          <w:sz w:val="21"/>
          <w:szCs w:val="21"/>
        </w:rPr>
        <w:t xml:space="preserve">un indicador denominado </w:t>
      </w:r>
      <w:r w:rsidRPr="003D0AE7">
        <w:rPr>
          <w:rFonts w:ascii="Abadi" w:hAnsi="Abadi" w:cs="*Microsoft Sans Serif-Italic-81"/>
          <w:i/>
          <w:iCs/>
          <w:color w:val="0D0D0F"/>
          <w:sz w:val="21"/>
          <w:szCs w:val="21"/>
        </w:rPr>
        <w:t>Tasa de variación en el número de luminarias en el</w:t>
      </w:r>
      <w:r>
        <w:rPr>
          <w:rFonts w:ascii="Abadi" w:hAnsi="Abadi" w:cs="*Microsoft Sans Serif-Italic-81"/>
          <w:i/>
          <w:iCs/>
          <w:color w:val="0D0D0F"/>
          <w:sz w:val="21"/>
          <w:szCs w:val="21"/>
        </w:rPr>
        <w:t xml:space="preserve"> </w:t>
      </w:r>
      <w:r w:rsidRPr="003D0AE7">
        <w:rPr>
          <w:rFonts w:ascii="Abadi" w:hAnsi="Abadi" w:cs="*Microsoft Sans Serif-Italic-81"/>
          <w:i/>
          <w:iCs/>
          <w:color w:val="0D0D0F"/>
          <w:sz w:val="21"/>
          <w:szCs w:val="21"/>
        </w:rPr>
        <w:t xml:space="preserve">Municipio», </w:t>
      </w:r>
      <w:r w:rsidRPr="003D0AE7">
        <w:rPr>
          <w:rFonts w:ascii="Abadi" w:hAnsi="Abadi" w:cs="*Arial-8178-Identity-H"/>
          <w:color w:val="0D0D0F"/>
          <w:sz w:val="21"/>
          <w:szCs w:val="21"/>
        </w:rPr>
        <w:t>sin embargo, dicho indicador no mide la cobertura de la prestación del</w:t>
      </w:r>
      <w:r>
        <w:rPr>
          <w:rFonts w:ascii="Abadi" w:hAnsi="Abadi" w:cs="*Arial-8178-Identity-H"/>
          <w:color w:val="0D0D0F"/>
          <w:sz w:val="21"/>
          <w:szCs w:val="21"/>
        </w:rPr>
        <w:t xml:space="preserve"> </w:t>
      </w:r>
      <w:r w:rsidRPr="003D0AE7">
        <w:rPr>
          <w:rFonts w:ascii="Abadi" w:hAnsi="Abadi" w:cs="*Arial-7680-Identity-H"/>
          <w:color w:val="0D0C0F"/>
          <w:sz w:val="21"/>
          <w:szCs w:val="21"/>
        </w:rPr>
        <w:t>servicio de alumbrado público en el Municipio, al solo reflejar el incremento en la</w:t>
      </w:r>
      <w:r>
        <w:rPr>
          <w:rFonts w:ascii="Abadi" w:hAnsi="Abadi" w:cs="*Arial-7680-Identity-H"/>
          <w:color w:val="0D0C0F"/>
          <w:sz w:val="21"/>
          <w:szCs w:val="21"/>
        </w:rPr>
        <w:t xml:space="preserve"> </w:t>
      </w:r>
      <w:r w:rsidRPr="003D0AE7">
        <w:rPr>
          <w:rFonts w:ascii="Abadi" w:hAnsi="Abadi" w:cs="*Arial-7680-Identity-H"/>
          <w:color w:val="0D0C0F"/>
          <w:sz w:val="21"/>
          <w:szCs w:val="21"/>
        </w:rPr>
        <w:t>instalación de luminarias respecto del ejercicio anterior.</w:t>
      </w:r>
    </w:p>
    <w:p w14:paraId="522F6344" w14:textId="77777777" w:rsidR="0016773C" w:rsidRPr="003D0AE7" w:rsidRDefault="0016773C" w:rsidP="0016773C">
      <w:pPr>
        <w:autoSpaceDE w:val="0"/>
        <w:autoSpaceDN w:val="0"/>
        <w:adjustRightInd w:val="0"/>
        <w:jc w:val="both"/>
        <w:rPr>
          <w:rFonts w:ascii="Abadi" w:hAnsi="Abadi" w:cs="*Arial-7680-Identity-H"/>
          <w:color w:val="0D0C0F"/>
          <w:sz w:val="21"/>
          <w:szCs w:val="21"/>
        </w:rPr>
      </w:pPr>
    </w:p>
    <w:p w14:paraId="7EFFFEC4" w14:textId="77777777" w:rsidR="0016773C" w:rsidRDefault="0016773C" w:rsidP="0016773C">
      <w:pPr>
        <w:autoSpaceDE w:val="0"/>
        <w:autoSpaceDN w:val="0"/>
        <w:adjustRightInd w:val="0"/>
        <w:jc w:val="both"/>
        <w:rPr>
          <w:rFonts w:ascii="Abadi" w:hAnsi="Abadi" w:cs="*Arial-7680-Identity-H"/>
          <w:color w:val="0D0C0F"/>
          <w:sz w:val="21"/>
          <w:szCs w:val="21"/>
        </w:rPr>
      </w:pPr>
      <w:r w:rsidRPr="003D0AE7">
        <w:rPr>
          <w:rFonts w:ascii="Abadi" w:hAnsi="Abadi" w:cs="*Arial-7680-Identity-H"/>
          <w:color w:val="0D0C0F"/>
          <w:sz w:val="21"/>
          <w:szCs w:val="21"/>
        </w:rPr>
        <w:t>En cuanto a la medición de la calidad del servicio se reconoce que el sujeto</w:t>
      </w:r>
      <w:r>
        <w:rPr>
          <w:rFonts w:ascii="Abadi" w:hAnsi="Abadi" w:cs="*Arial-7680-Identity-H"/>
          <w:color w:val="0D0C0F"/>
          <w:sz w:val="21"/>
          <w:szCs w:val="21"/>
        </w:rPr>
        <w:t xml:space="preserve"> </w:t>
      </w:r>
      <w:r w:rsidRPr="003D0AE7">
        <w:rPr>
          <w:rFonts w:ascii="Abadi" w:hAnsi="Abadi" w:cs="*Arial-7680-Identity-H"/>
          <w:color w:val="0D0C0F"/>
          <w:sz w:val="21"/>
          <w:szCs w:val="21"/>
        </w:rPr>
        <w:t>fiscalizado incorporó medidas para conocer la percepción ciudadana sobre el</w:t>
      </w:r>
      <w:r>
        <w:rPr>
          <w:rFonts w:ascii="Abadi" w:hAnsi="Abadi" w:cs="*Arial-7680-Identity-H"/>
          <w:color w:val="0D0C0F"/>
          <w:sz w:val="21"/>
          <w:szCs w:val="21"/>
        </w:rPr>
        <w:t xml:space="preserve"> </w:t>
      </w:r>
      <w:r w:rsidRPr="003D0AE7">
        <w:rPr>
          <w:rFonts w:ascii="Abadi" w:hAnsi="Abadi" w:cs="*Arial-7680-Identity-H"/>
          <w:color w:val="0D0C0F"/>
          <w:sz w:val="21"/>
          <w:szCs w:val="21"/>
        </w:rPr>
        <w:t>servicio de alumbrado público, a fin de identificar su contribución al mejoramiento</w:t>
      </w:r>
      <w:r>
        <w:rPr>
          <w:rFonts w:ascii="Abadi" w:hAnsi="Abadi" w:cs="*Arial-7680-Identity-H"/>
          <w:color w:val="0D0C0F"/>
          <w:sz w:val="21"/>
          <w:szCs w:val="21"/>
        </w:rPr>
        <w:t xml:space="preserve"> </w:t>
      </w:r>
      <w:r w:rsidRPr="003D0AE7">
        <w:rPr>
          <w:rFonts w:ascii="Abadi" w:hAnsi="Abadi" w:cs="*Arial-7680-Identity-H"/>
          <w:color w:val="0D0C0F"/>
          <w:sz w:val="21"/>
          <w:szCs w:val="21"/>
        </w:rPr>
        <w:t>de las condiciones de vida, a través de encuestas cara a cara a un total de 365</w:t>
      </w:r>
      <w:r>
        <w:rPr>
          <w:rFonts w:ascii="Abadi" w:hAnsi="Abadi" w:cs="*Arial-7680-Identity-H"/>
          <w:color w:val="0D0C0F"/>
          <w:sz w:val="21"/>
          <w:szCs w:val="21"/>
        </w:rPr>
        <w:t xml:space="preserve"> </w:t>
      </w:r>
      <w:r w:rsidRPr="003D0AE7">
        <w:rPr>
          <w:rFonts w:ascii="Abadi" w:hAnsi="Abadi" w:cs="*Arial-7680-Identity-H"/>
          <w:color w:val="0D0C0F"/>
          <w:sz w:val="21"/>
          <w:szCs w:val="21"/>
        </w:rPr>
        <w:t>personas; sin embargo, se prevén oportunidades de mejora para utilizar dicha</w:t>
      </w:r>
      <w:r>
        <w:rPr>
          <w:rFonts w:ascii="Abadi" w:hAnsi="Abadi" w:cs="*Arial-7680-Identity-H"/>
          <w:color w:val="0D0C0F"/>
          <w:sz w:val="21"/>
          <w:szCs w:val="21"/>
        </w:rPr>
        <w:t xml:space="preserve"> </w:t>
      </w:r>
      <w:r w:rsidRPr="003D0AE7">
        <w:rPr>
          <w:rFonts w:ascii="Abadi" w:hAnsi="Abadi" w:cs="*Arial-7680-Identity-H"/>
          <w:color w:val="0D0C0F"/>
          <w:sz w:val="21"/>
          <w:szCs w:val="21"/>
        </w:rPr>
        <w:t>información, pudiendo ampliar la cobertura de las encuestas a mayor número de</w:t>
      </w:r>
      <w:r>
        <w:rPr>
          <w:rFonts w:ascii="Abadi" w:hAnsi="Abadi" w:cs="*Arial-7680-Identity-H"/>
          <w:color w:val="0D0C0F"/>
          <w:sz w:val="21"/>
          <w:szCs w:val="21"/>
        </w:rPr>
        <w:t xml:space="preserve"> </w:t>
      </w:r>
      <w:r w:rsidRPr="003D0AE7">
        <w:rPr>
          <w:rFonts w:ascii="Abadi" w:hAnsi="Abadi" w:cs="*Arial-7680-Identity-H"/>
          <w:color w:val="0D0C0F"/>
          <w:sz w:val="21"/>
          <w:szCs w:val="21"/>
        </w:rPr>
        <w:t>habitantes, así como incorporar preguntas más específicas relacionadas con el</w:t>
      </w:r>
      <w:r>
        <w:rPr>
          <w:rFonts w:ascii="Abadi" w:hAnsi="Abadi" w:cs="*Arial-7680-Identity-H"/>
          <w:color w:val="0D0C0F"/>
          <w:sz w:val="21"/>
          <w:szCs w:val="21"/>
        </w:rPr>
        <w:t xml:space="preserve"> </w:t>
      </w:r>
      <w:r w:rsidRPr="003D0AE7">
        <w:rPr>
          <w:rFonts w:ascii="Abadi" w:hAnsi="Abadi" w:cs="*Arial-7680-Identity-H"/>
          <w:color w:val="0D0C0F"/>
          <w:sz w:val="21"/>
          <w:szCs w:val="21"/>
        </w:rPr>
        <w:t>mantenimiento, la iluminación, la cobertura, entre otros.</w:t>
      </w:r>
    </w:p>
    <w:p w14:paraId="3DDDA7F4" w14:textId="77777777" w:rsidR="0016773C" w:rsidRPr="003D0AE7" w:rsidRDefault="0016773C" w:rsidP="0016773C">
      <w:pPr>
        <w:autoSpaceDE w:val="0"/>
        <w:autoSpaceDN w:val="0"/>
        <w:adjustRightInd w:val="0"/>
        <w:jc w:val="both"/>
        <w:rPr>
          <w:rFonts w:ascii="Abadi" w:hAnsi="Abadi" w:cs="*Arial-7680-Identity-H"/>
          <w:color w:val="0D0C0F"/>
          <w:sz w:val="21"/>
          <w:szCs w:val="21"/>
        </w:rPr>
      </w:pPr>
    </w:p>
    <w:p w14:paraId="7B811421" w14:textId="77777777" w:rsidR="0016773C" w:rsidRDefault="0016773C" w:rsidP="0016773C">
      <w:pPr>
        <w:autoSpaceDE w:val="0"/>
        <w:autoSpaceDN w:val="0"/>
        <w:adjustRightInd w:val="0"/>
        <w:ind w:firstLine="708"/>
        <w:jc w:val="both"/>
        <w:rPr>
          <w:rFonts w:ascii="Abadi" w:hAnsi="Abadi" w:cs="*Arial-7680-Identity-H"/>
          <w:color w:val="0D0C0F"/>
          <w:sz w:val="21"/>
          <w:szCs w:val="21"/>
        </w:rPr>
      </w:pPr>
      <w:r w:rsidRPr="003D0AE7">
        <w:rPr>
          <w:rFonts w:ascii="Abadi" w:hAnsi="Abadi" w:cs="*Arial-7680-Identity-H"/>
          <w:color w:val="0D0C0F"/>
          <w:sz w:val="21"/>
          <w:szCs w:val="21"/>
        </w:rPr>
        <w:t>En el caso de la función de seguimiento, la revisión se enfocó en constatar</w:t>
      </w:r>
      <w:r>
        <w:rPr>
          <w:rFonts w:ascii="Abadi" w:hAnsi="Abadi" w:cs="*Arial-7680-Identity-H"/>
          <w:color w:val="0D0C0F"/>
          <w:sz w:val="21"/>
          <w:szCs w:val="21"/>
        </w:rPr>
        <w:t xml:space="preserve"> </w:t>
      </w:r>
      <w:r w:rsidRPr="003D0AE7">
        <w:rPr>
          <w:rFonts w:ascii="Abadi" w:hAnsi="Abadi" w:cs="*Arial-7680-Identity-H"/>
          <w:color w:val="0D0C0F"/>
          <w:sz w:val="21"/>
          <w:szCs w:val="21"/>
        </w:rPr>
        <w:t>si el sujeto fiscalizado contó con mecanismos que permitieran medir el desempeño</w:t>
      </w:r>
      <w:r>
        <w:rPr>
          <w:rFonts w:ascii="Abadi" w:hAnsi="Abadi" w:cs="*Arial-7680-Identity-H"/>
          <w:color w:val="0D0C0F"/>
          <w:sz w:val="21"/>
          <w:szCs w:val="21"/>
        </w:rPr>
        <w:t xml:space="preserve"> </w:t>
      </w:r>
      <w:r w:rsidRPr="003D0AE7">
        <w:rPr>
          <w:rFonts w:ascii="Abadi" w:hAnsi="Abadi" w:cs="*Arial-7680-Identity-H"/>
          <w:color w:val="0D0C0F"/>
          <w:sz w:val="21"/>
          <w:szCs w:val="21"/>
        </w:rPr>
        <w:t>y los resultados del servicio de alumbrado público, obteniendo que diseñó e</w:t>
      </w:r>
      <w:r>
        <w:rPr>
          <w:rFonts w:ascii="Abadi" w:hAnsi="Abadi" w:cs="*Arial-7680-Identity-H"/>
          <w:color w:val="0D0C0F"/>
          <w:sz w:val="21"/>
          <w:szCs w:val="21"/>
        </w:rPr>
        <w:t xml:space="preserve"> </w:t>
      </w:r>
      <w:r w:rsidRPr="003D0AE7">
        <w:rPr>
          <w:rFonts w:ascii="Abadi" w:hAnsi="Abadi" w:cs="*Arial-7680-Identity-H"/>
          <w:color w:val="0D0C0F"/>
          <w:sz w:val="21"/>
          <w:szCs w:val="21"/>
        </w:rPr>
        <w:t>implemento una Matriz de Indicadores para Resultados para el programa</w:t>
      </w:r>
      <w:r>
        <w:rPr>
          <w:rFonts w:ascii="Abadi" w:hAnsi="Abadi" w:cs="*Arial-7680-Identity-H"/>
          <w:color w:val="0D0C0F"/>
          <w:sz w:val="21"/>
          <w:szCs w:val="21"/>
        </w:rPr>
        <w:t xml:space="preserve"> </w:t>
      </w:r>
      <w:r w:rsidRPr="003D0AE7">
        <w:rPr>
          <w:rFonts w:ascii="Abadi" w:hAnsi="Abadi" w:cs="*Arial-7680-Identity-H"/>
          <w:color w:val="0D0C0F"/>
          <w:sz w:val="21"/>
          <w:szCs w:val="21"/>
        </w:rPr>
        <w:t xml:space="preserve">presupuestario </w:t>
      </w:r>
      <w:r w:rsidRPr="003D0AE7">
        <w:rPr>
          <w:rFonts w:ascii="Abadi" w:hAnsi="Abadi" w:cs="*Arial-Italic-7681-Identity-H"/>
          <w:i/>
          <w:iCs/>
          <w:color w:val="0D0C0F"/>
          <w:sz w:val="21"/>
          <w:szCs w:val="21"/>
        </w:rPr>
        <w:t xml:space="preserve">E0032 Servicio de Alumbrado Público, </w:t>
      </w:r>
      <w:r w:rsidRPr="003D0AE7">
        <w:rPr>
          <w:rFonts w:ascii="Abadi" w:hAnsi="Abadi" w:cs="*Arial-7680-Identity-H"/>
          <w:color w:val="0D0C0F"/>
          <w:sz w:val="21"/>
          <w:szCs w:val="21"/>
        </w:rPr>
        <w:t>en la que se identificaron</w:t>
      </w:r>
      <w:r>
        <w:rPr>
          <w:rFonts w:ascii="Abadi" w:hAnsi="Abadi" w:cs="*Arial-7680-Identity-H"/>
          <w:color w:val="0D0C0F"/>
          <w:sz w:val="21"/>
          <w:szCs w:val="21"/>
        </w:rPr>
        <w:t xml:space="preserve"> </w:t>
      </w:r>
      <w:r w:rsidRPr="003D0AE7">
        <w:rPr>
          <w:rFonts w:ascii="Abadi" w:hAnsi="Abadi" w:cs="*Arial-7680-Identity-H"/>
          <w:color w:val="0D0C0F"/>
          <w:sz w:val="21"/>
          <w:szCs w:val="21"/>
        </w:rPr>
        <w:t>seis indicadores relacionados con el servicio de alumbrado público, lo cual se</w:t>
      </w:r>
      <w:r>
        <w:rPr>
          <w:rFonts w:ascii="Abadi" w:hAnsi="Abadi" w:cs="*Arial-7680-Identity-H"/>
          <w:color w:val="0D0C0F"/>
          <w:sz w:val="21"/>
          <w:szCs w:val="21"/>
        </w:rPr>
        <w:t xml:space="preserve"> </w:t>
      </w:r>
      <w:r w:rsidRPr="003D0AE7">
        <w:rPr>
          <w:rFonts w:ascii="Abadi" w:hAnsi="Abadi" w:cs="*Arial-7680-Identity-H"/>
          <w:color w:val="0D0C0F"/>
          <w:sz w:val="21"/>
          <w:szCs w:val="21"/>
        </w:rPr>
        <w:t>reconoce como un avance en la medición de sus resultados; no obstante, se</w:t>
      </w:r>
      <w:r>
        <w:rPr>
          <w:rFonts w:ascii="Abadi" w:hAnsi="Abadi" w:cs="*Arial-7680-Identity-H"/>
          <w:color w:val="0D0C0F"/>
          <w:sz w:val="21"/>
          <w:szCs w:val="21"/>
        </w:rPr>
        <w:t xml:space="preserve"> </w:t>
      </w:r>
      <w:r w:rsidRPr="003D0AE7">
        <w:rPr>
          <w:rFonts w:ascii="Abadi" w:hAnsi="Abadi" w:cs="*Arial-7680-Identity-H"/>
          <w:color w:val="0D0C0F"/>
          <w:sz w:val="21"/>
          <w:szCs w:val="21"/>
        </w:rPr>
        <w:t>presentan áreas de mejora para este instrumento las cuales consisten en</w:t>
      </w:r>
      <w:r>
        <w:rPr>
          <w:rFonts w:ascii="Abadi" w:hAnsi="Abadi" w:cs="*Arial-7680-Identity-H"/>
          <w:color w:val="0D0C0F"/>
          <w:sz w:val="21"/>
          <w:szCs w:val="21"/>
        </w:rPr>
        <w:t xml:space="preserve"> </w:t>
      </w:r>
      <w:r w:rsidRPr="003D0AE7">
        <w:rPr>
          <w:rFonts w:ascii="Abadi" w:hAnsi="Abadi" w:cs="*Arial-7680-Identity-H"/>
          <w:color w:val="0D0C0F"/>
          <w:sz w:val="21"/>
          <w:szCs w:val="21"/>
        </w:rPr>
        <w:t>incorporar cada uno de los elementos de las fichas de los indicadores,</w:t>
      </w:r>
      <w:r>
        <w:rPr>
          <w:rFonts w:ascii="Abadi" w:hAnsi="Abadi" w:cs="*Arial-7680-Identity-H"/>
          <w:color w:val="0D0C0F"/>
          <w:sz w:val="21"/>
          <w:szCs w:val="21"/>
        </w:rPr>
        <w:t xml:space="preserve"> </w:t>
      </w:r>
      <w:r w:rsidRPr="003D0AE7">
        <w:rPr>
          <w:rFonts w:ascii="Abadi" w:hAnsi="Abadi" w:cs="*Arial-7680-Identity-H"/>
          <w:color w:val="0D0C0F"/>
          <w:sz w:val="21"/>
          <w:szCs w:val="21"/>
        </w:rPr>
        <w:t>específicamente las metas que se esperan cumplir y especificar el tipo &lt;te</w:t>
      </w:r>
      <w:r>
        <w:rPr>
          <w:rFonts w:ascii="Abadi" w:hAnsi="Abadi" w:cs="*Arial-7680-Identity-H"/>
          <w:color w:val="0D0C0F"/>
          <w:sz w:val="21"/>
          <w:szCs w:val="21"/>
        </w:rPr>
        <w:t xml:space="preserve"> </w:t>
      </w:r>
      <w:r w:rsidRPr="003D0AE7">
        <w:rPr>
          <w:rFonts w:ascii="Abadi" w:hAnsi="Abadi" w:cs="*Arial-7680-Identity-H"/>
          <w:color w:val="0D0C0F"/>
          <w:sz w:val="21"/>
          <w:szCs w:val="21"/>
        </w:rPr>
        <w:t>indicador para cada nivel de la Matriz de Indicadores para Resultados (gestión o</w:t>
      </w:r>
      <w:r>
        <w:rPr>
          <w:rFonts w:ascii="Abadi" w:hAnsi="Abadi" w:cs="*Arial-7680-Identity-H"/>
          <w:color w:val="0D0C0F"/>
          <w:sz w:val="21"/>
          <w:szCs w:val="21"/>
        </w:rPr>
        <w:t xml:space="preserve"> </w:t>
      </w:r>
      <w:r w:rsidRPr="003D0AE7">
        <w:rPr>
          <w:rFonts w:ascii="Abadi" w:hAnsi="Abadi" w:cs="*Arial-7680-Identity-H"/>
          <w:color w:val="0D0C0F"/>
          <w:sz w:val="21"/>
          <w:szCs w:val="21"/>
        </w:rPr>
        <w:t>estratégico), y con ello, dar cumplimiento a lo establecido en la Metodología del</w:t>
      </w:r>
      <w:r>
        <w:rPr>
          <w:rFonts w:ascii="Abadi" w:hAnsi="Abadi" w:cs="*Arial-7680-Identity-H"/>
          <w:color w:val="0D0C0F"/>
          <w:sz w:val="21"/>
          <w:szCs w:val="21"/>
        </w:rPr>
        <w:t xml:space="preserve"> </w:t>
      </w:r>
      <w:r w:rsidRPr="003D0AE7">
        <w:rPr>
          <w:rFonts w:ascii="Abadi" w:hAnsi="Abadi" w:cs="*Arial-7680-Identity-H"/>
          <w:color w:val="0D0C0F"/>
          <w:sz w:val="21"/>
          <w:szCs w:val="21"/>
        </w:rPr>
        <w:t>Marco Lógico y los Lineamientos para la Construcción y Diseño de Indicadores de</w:t>
      </w:r>
      <w:r>
        <w:rPr>
          <w:rFonts w:ascii="Abadi" w:hAnsi="Abadi" w:cs="*Arial-7680-Identity-H"/>
          <w:color w:val="0D0C0F"/>
          <w:sz w:val="21"/>
          <w:szCs w:val="21"/>
        </w:rPr>
        <w:t xml:space="preserve"> </w:t>
      </w:r>
      <w:r w:rsidRPr="003D0AE7">
        <w:rPr>
          <w:rFonts w:ascii="Abadi" w:hAnsi="Abadi" w:cs="*Arial-7680-Identity-H"/>
          <w:color w:val="0D0C0F"/>
          <w:sz w:val="21"/>
          <w:szCs w:val="21"/>
        </w:rPr>
        <w:t>Desempeño, emitidos por el Consejo Nacional de Armonización Contable.</w:t>
      </w:r>
    </w:p>
    <w:p w14:paraId="21EE23AF" w14:textId="77777777" w:rsidR="0016773C" w:rsidRPr="003D0AE7" w:rsidRDefault="0016773C" w:rsidP="0016773C">
      <w:pPr>
        <w:autoSpaceDE w:val="0"/>
        <w:autoSpaceDN w:val="0"/>
        <w:adjustRightInd w:val="0"/>
        <w:jc w:val="both"/>
        <w:rPr>
          <w:rFonts w:ascii="Abadi" w:hAnsi="Abadi" w:cs="*Arial-7680-Identity-H"/>
          <w:color w:val="0D0C0F"/>
          <w:sz w:val="21"/>
          <w:szCs w:val="21"/>
        </w:rPr>
      </w:pPr>
    </w:p>
    <w:p w14:paraId="47DBC76A" w14:textId="77777777" w:rsidR="0016773C" w:rsidRDefault="0016773C" w:rsidP="0016773C">
      <w:pPr>
        <w:autoSpaceDE w:val="0"/>
        <w:autoSpaceDN w:val="0"/>
        <w:adjustRightInd w:val="0"/>
        <w:ind w:firstLine="708"/>
        <w:jc w:val="both"/>
        <w:rPr>
          <w:rFonts w:ascii="Abadi" w:hAnsi="Abadi" w:cs="*Arial-7680-Identity-H"/>
          <w:color w:val="0D0C0F"/>
          <w:sz w:val="21"/>
          <w:szCs w:val="21"/>
        </w:rPr>
      </w:pPr>
      <w:r w:rsidRPr="003D0AE7">
        <w:rPr>
          <w:rFonts w:ascii="Abadi" w:hAnsi="Abadi" w:cs="*Arial-7680-Identity-H"/>
          <w:color w:val="0D0C0F"/>
          <w:sz w:val="21"/>
          <w:szCs w:val="21"/>
        </w:rPr>
        <w:t>Derivado de lo anterior, se establece que no fue posible determinar la</w:t>
      </w:r>
      <w:r>
        <w:rPr>
          <w:rFonts w:ascii="Abadi" w:hAnsi="Abadi" w:cs="*Arial-7680-Identity-H"/>
          <w:color w:val="0D0C0F"/>
          <w:sz w:val="21"/>
          <w:szCs w:val="21"/>
        </w:rPr>
        <w:t xml:space="preserve"> </w:t>
      </w:r>
      <w:r w:rsidRPr="003D0AE7">
        <w:rPr>
          <w:rFonts w:ascii="Abadi" w:hAnsi="Abadi" w:cs="*Arial-7680-Identity-H"/>
          <w:color w:val="0D0C0F"/>
          <w:sz w:val="21"/>
          <w:szCs w:val="21"/>
        </w:rPr>
        <w:t>eficacia en el otorgamiento del servicio de alumbrado público en el municipio de</w:t>
      </w:r>
      <w:r>
        <w:rPr>
          <w:rFonts w:ascii="Abadi" w:hAnsi="Abadi" w:cs="*Arial-7680-Identity-H"/>
          <w:color w:val="0D0C0F"/>
          <w:sz w:val="21"/>
          <w:szCs w:val="21"/>
        </w:rPr>
        <w:t xml:space="preserve"> </w:t>
      </w:r>
      <w:r w:rsidRPr="003D0AE7">
        <w:rPr>
          <w:rFonts w:ascii="Abadi" w:hAnsi="Abadi" w:cs="*Arial-7680-Identity-H"/>
          <w:color w:val="0D0C0F"/>
          <w:sz w:val="21"/>
          <w:szCs w:val="21"/>
        </w:rPr>
        <w:t xml:space="preserve">Purísima del Rincón, </w:t>
      </w:r>
      <w:proofErr w:type="spellStart"/>
      <w:r w:rsidRPr="003D0AE7">
        <w:rPr>
          <w:rFonts w:ascii="Abadi" w:hAnsi="Abadi" w:cs="*Arial-7680-Identity-H"/>
          <w:color w:val="0D0C0F"/>
          <w:sz w:val="21"/>
          <w:szCs w:val="21"/>
        </w:rPr>
        <w:t>Gto</w:t>
      </w:r>
      <w:proofErr w:type="spellEnd"/>
      <w:r w:rsidRPr="003D0AE7">
        <w:rPr>
          <w:rFonts w:ascii="Abadi" w:hAnsi="Abadi" w:cs="*Arial-7680-Identity-H"/>
          <w:color w:val="0D0C0F"/>
          <w:sz w:val="21"/>
          <w:szCs w:val="21"/>
        </w:rPr>
        <w:t>. Sin embargo, ante las oportunidades señaladas, se</w:t>
      </w:r>
      <w:r>
        <w:rPr>
          <w:rFonts w:ascii="Abadi" w:hAnsi="Abadi" w:cs="*Arial-7680-Identity-H"/>
          <w:color w:val="0D0C0F"/>
          <w:sz w:val="21"/>
          <w:szCs w:val="21"/>
        </w:rPr>
        <w:t xml:space="preserve"> </w:t>
      </w:r>
      <w:r w:rsidRPr="003D0AE7">
        <w:rPr>
          <w:rFonts w:ascii="Abadi" w:hAnsi="Abadi" w:cs="*Arial-7680-Identity-H"/>
          <w:color w:val="0D0C0F"/>
          <w:sz w:val="21"/>
          <w:szCs w:val="21"/>
        </w:rPr>
        <w:t>reconoce que el sujeto fiscalizado muestra una postura tendiente a mejorar el</w:t>
      </w:r>
      <w:r>
        <w:rPr>
          <w:rFonts w:ascii="Abadi" w:hAnsi="Abadi" w:cs="*Arial-7680-Identity-H"/>
          <w:color w:val="0D0C0F"/>
          <w:sz w:val="21"/>
          <w:szCs w:val="21"/>
        </w:rPr>
        <w:t xml:space="preserve"> </w:t>
      </w:r>
      <w:r w:rsidRPr="003D0AE7">
        <w:rPr>
          <w:rFonts w:ascii="Abadi" w:hAnsi="Abadi" w:cs="*Arial-7680-Identity-H"/>
          <w:color w:val="0D0C0F"/>
          <w:sz w:val="21"/>
          <w:szCs w:val="21"/>
        </w:rPr>
        <w:t>entorno de la planificación, operación y control de la prestación del servicio de</w:t>
      </w:r>
      <w:r>
        <w:rPr>
          <w:rFonts w:ascii="Abadi" w:hAnsi="Abadi" w:cs="*Arial-7680-Identity-H"/>
          <w:color w:val="0D0C0F"/>
          <w:sz w:val="21"/>
          <w:szCs w:val="21"/>
        </w:rPr>
        <w:t xml:space="preserve"> </w:t>
      </w:r>
      <w:r w:rsidRPr="003D0AE7">
        <w:rPr>
          <w:rFonts w:ascii="Abadi" w:hAnsi="Abadi" w:cs="*Arial-7680-Identity-H"/>
          <w:color w:val="0D0C0F"/>
          <w:sz w:val="21"/>
          <w:szCs w:val="21"/>
        </w:rPr>
        <w:t>alumbrado público, al presentar acciones para incidir en la mejora de las brechas</w:t>
      </w:r>
      <w:r>
        <w:rPr>
          <w:rFonts w:ascii="Abadi" w:hAnsi="Abadi" w:cs="*Arial-7680-Identity-H"/>
          <w:color w:val="0D0C0F"/>
          <w:sz w:val="21"/>
          <w:szCs w:val="21"/>
        </w:rPr>
        <w:t xml:space="preserve"> </w:t>
      </w:r>
      <w:r w:rsidRPr="003D0AE7">
        <w:rPr>
          <w:rFonts w:ascii="Abadi" w:hAnsi="Abadi" w:cs="*Arial-7680-Identity-H"/>
          <w:color w:val="0D0C0F"/>
          <w:sz w:val="21"/>
          <w:szCs w:val="21"/>
        </w:rPr>
        <w:t>identificadas.</w:t>
      </w:r>
    </w:p>
    <w:p w14:paraId="557E1B5A" w14:textId="77777777" w:rsidR="0016773C" w:rsidRPr="003D0AE7" w:rsidRDefault="0016773C" w:rsidP="0016773C">
      <w:pPr>
        <w:autoSpaceDE w:val="0"/>
        <w:autoSpaceDN w:val="0"/>
        <w:adjustRightInd w:val="0"/>
        <w:jc w:val="both"/>
        <w:rPr>
          <w:rFonts w:ascii="Abadi" w:hAnsi="Abadi" w:cs="*Arial-7680-Identity-H"/>
          <w:color w:val="0D0C0F"/>
          <w:sz w:val="21"/>
          <w:szCs w:val="21"/>
        </w:rPr>
      </w:pPr>
    </w:p>
    <w:p w14:paraId="61EC3079" w14:textId="77777777" w:rsidR="0016773C" w:rsidRDefault="0016773C" w:rsidP="0016773C">
      <w:pPr>
        <w:autoSpaceDE w:val="0"/>
        <w:autoSpaceDN w:val="0"/>
        <w:adjustRightInd w:val="0"/>
        <w:ind w:firstLine="708"/>
        <w:jc w:val="both"/>
        <w:rPr>
          <w:rFonts w:ascii="Abadi" w:hAnsi="Abadi" w:cs="*Arial-7680-Identity-H"/>
          <w:color w:val="0D0D0F"/>
          <w:sz w:val="21"/>
          <w:szCs w:val="21"/>
        </w:rPr>
      </w:pPr>
      <w:r w:rsidRPr="003D0AE7">
        <w:rPr>
          <w:rFonts w:ascii="Abadi" w:hAnsi="Abadi" w:cs="*Arial-7680-Identity-H"/>
          <w:color w:val="0D0D0F"/>
          <w:sz w:val="21"/>
          <w:szCs w:val="21"/>
        </w:rPr>
        <w:t>Finalmente, se señala que el seguimiento de dichos compromisos se</w:t>
      </w:r>
      <w:r>
        <w:rPr>
          <w:rFonts w:ascii="Abadi" w:hAnsi="Abadi" w:cs="*Arial-7680-Identity-H"/>
          <w:color w:val="0D0D0F"/>
          <w:sz w:val="21"/>
          <w:szCs w:val="21"/>
        </w:rPr>
        <w:t xml:space="preserve"> </w:t>
      </w:r>
      <w:r w:rsidRPr="003D0AE7">
        <w:rPr>
          <w:rFonts w:ascii="Abadi" w:hAnsi="Abadi" w:cs="*Arial-7680-Identity-H"/>
          <w:color w:val="0D0D0F"/>
          <w:sz w:val="21"/>
          <w:szCs w:val="21"/>
        </w:rPr>
        <w:t>realizará por la Auditoría Superior del Estado, respecto de las recomendaciones</w:t>
      </w:r>
      <w:r>
        <w:rPr>
          <w:rFonts w:ascii="Abadi" w:hAnsi="Abadi" w:cs="*Arial-7680-Identity-H"/>
          <w:color w:val="0D0D0F"/>
          <w:sz w:val="21"/>
          <w:szCs w:val="21"/>
        </w:rPr>
        <w:t xml:space="preserve"> </w:t>
      </w:r>
      <w:r w:rsidRPr="003D0AE7">
        <w:rPr>
          <w:rFonts w:ascii="Abadi" w:hAnsi="Abadi" w:cs="*Arial-7680-Identity-H"/>
          <w:color w:val="0D0D0F"/>
          <w:sz w:val="21"/>
          <w:szCs w:val="21"/>
        </w:rPr>
        <w:t>donde se valora que el sujeto fiscalizado realizará acciones de mejora en un plazo</w:t>
      </w:r>
      <w:r>
        <w:rPr>
          <w:rFonts w:ascii="Abadi" w:hAnsi="Abadi" w:cs="*Arial-7680-Identity-H"/>
          <w:color w:val="0D0D0F"/>
          <w:sz w:val="21"/>
          <w:szCs w:val="21"/>
        </w:rPr>
        <w:t xml:space="preserve"> </w:t>
      </w:r>
      <w:r w:rsidRPr="003D0AE7">
        <w:rPr>
          <w:rFonts w:ascii="Abadi" w:hAnsi="Abadi" w:cs="*Arial-7680-Identity-H"/>
          <w:color w:val="0D0D0F"/>
          <w:sz w:val="21"/>
          <w:szCs w:val="21"/>
        </w:rPr>
        <w:t>determinado hasta su total implementación o en su caso, aquellas valoradas como</w:t>
      </w:r>
      <w:r>
        <w:rPr>
          <w:rFonts w:ascii="Abadi" w:hAnsi="Abadi" w:cs="*Arial-7680-Identity-H"/>
          <w:color w:val="0D0D0F"/>
          <w:sz w:val="21"/>
          <w:szCs w:val="21"/>
        </w:rPr>
        <w:t xml:space="preserve"> </w:t>
      </w:r>
      <w:r w:rsidRPr="003D0AE7">
        <w:rPr>
          <w:rFonts w:ascii="Abadi" w:hAnsi="Abadi" w:cs="*Arial-7680-Identity-H"/>
          <w:color w:val="0D0D0F"/>
          <w:sz w:val="21"/>
          <w:szCs w:val="21"/>
        </w:rPr>
        <w:t>persiste, acorde a la normativa aplicable.</w:t>
      </w:r>
    </w:p>
    <w:p w14:paraId="3D0C778F" w14:textId="77777777" w:rsidR="0016773C" w:rsidRPr="003D0AE7" w:rsidRDefault="0016773C" w:rsidP="0016773C">
      <w:pPr>
        <w:autoSpaceDE w:val="0"/>
        <w:autoSpaceDN w:val="0"/>
        <w:adjustRightInd w:val="0"/>
        <w:jc w:val="both"/>
        <w:rPr>
          <w:rFonts w:ascii="Abadi" w:hAnsi="Abadi" w:cs="*Arial-7680-Identity-H"/>
          <w:color w:val="0D0D0F"/>
          <w:sz w:val="21"/>
          <w:szCs w:val="21"/>
        </w:rPr>
      </w:pPr>
    </w:p>
    <w:p w14:paraId="22538E7B" w14:textId="77777777" w:rsidR="0016773C" w:rsidRDefault="0016773C" w:rsidP="0016773C">
      <w:pPr>
        <w:autoSpaceDE w:val="0"/>
        <w:autoSpaceDN w:val="0"/>
        <w:adjustRightInd w:val="0"/>
        <w:ind w:firstLine="708"/>
        <w:jc w:val="both"/>
        <w:rPr>
          <w:rFonts w:ascii="Abadi" w:hAnsi="Abadi" w:cs="*Arial-6339-Identity-H"/>
          <w:color w:val="0D0D10"/>
          <w:sz w:val="21"/>
          <w:szCs w:val="21"/>
        </w:rPr>
      </w:pPr>
      <w:r w:rsidRPr="003D0AE7">
        <w:rPr>
          <w:rFonts w:ascii="Abadi" w:hAnsi="Abadi" w:cs="*Arial-6339-Identity-H"/>
          <w:color w:val="0D0D10"/>
          <w:sz w:val="21"/>
          <w:szCs w:val="21"/>
        </w:rPr>
        <w:t>Como ya lo habíamos señalado en párrafos anteriores, el artículo 38 de la</w:t>
      </w:r>
      <w:r>
        <w:rPr>
          <w:rFonts w:ascii="Abadi" w:hAnsi="Abadi" w:cs="*Arial-6339-Identity-H"/>
          <w:color w:val="0D0D10"/>
          <w:sz w:val="21"/>
          <w:szCs w:val="21"/>
        </w:rPr>
        <w:t xml:space="preserve"> </w:t>
      </w:r>
      <w:r w:rsidRPr="003D0AE7">
        <w:rPr>
          <w:rFonts w:ascii="Abadi" w:hAnsi="Abadi" w:cs="*Arial-6339-Identity-H"/>
          <w:color w:val="0D0D10"/>
          <w:sz w:val="21"/>
          <w:szCs w:val="21"/>
        </w:rPr>
        <w:t>Ley de Fiscalización Superior del Estado de Guanajuato establece que los</w:t>
      </w:r>
      <w:r>
        <w:rPr>
          <w:rFonts w:ascii="Abadi" w:hAnsi="Abadi" w:cs="*Arial-6339-Identity-H"/>
          <w:color w:val="0D0D10"/>
          <w:sz w:val="21"/>
          <w:szCs w:val="21"/>
        </w:rPr>
        <w:t xml:space="preserve"> </w:t>
      </w:r>
      <w:r w:rsidRPr="003D0AE7">
        <w:rPr>
          <w:rFonts w:ascii="Abadi" w:hAnsi="Abadi" w:cs="*Arial-6339-Identity-H"/>
          <w:color w:val="0D0D10"/>
          <w:sz w:val="21"/>
          <w:szCs w:val="21"/>
        </w:rPr>
        <w:t>informes de resultados únicamente podrán ser observados por las dos terceras</w:t>
      </w:r>
      <w:r>
        <w:rPr>
          <w:rFonts w:ascii="Abadi" w:hAnsi="Abadi" w:cs="*Arial-6339-Identity-H"/>
          <w:color w:val="0D0D10"/>
          <w:sz w:val="21"/>
          <w:szCs w:val="21"/>
        </w:rPr>
        <w:t xml:space="preserve"> </w:t>
      </w:r>
      <w:r w:rsidRPr="003D0AE7">
        <w:rPr>
          <w:rFonts w:ascii="Abadi" w:hAnsi="Abadi" w:cs="*Arial-6339-Identity-H"/>
          <w:color w:val="0D0D10"/>
          <w:sz w:val="21"/>
          <w:szCs w:val="21"/>
        </w:rPr>
        <w:t>partes de los diputados integrantes del Congreso, cuando no se observen las</w:t>
      </w:r>
      <w:r>
        <w:rPr>
          <w:rFonts w:ascii="Abadi" w:hAnsi="Abadi" w:cs="*Arial-6339-Identity-H"/>
          <w:color w:val="0D0D10"/>
          <w:sz w:val="21"/>
          <w:szCs w:val="21"/>
        </w:rPr>
        <w:t xml:space="preserve"> </w:t>
      </w:r>
      <w:r w:rsidRPr="003D0AE7">
        <w:rPr>
          <w:rFonts w:ascii="Abadi" w:hAnsi="Abadi" w:cs="*Arial-6339-Identity-H"/>
          <w:color w:val="0D0D10"/>
          <w:sz w:val="21"/>
          <w:szCs w:val="21"/>
        </w:rPr>
        <w:t>formalidades esenciales del proceso de fiscalización.</w:t>
      </w:r>
    </w:p>
    <w:p w14:paraId="7A8DBCE0" w14:textId="77777777" w:rsidR="0016773C" w:rsidRPr="003D0AE7" w:rsidRDefault="0016773C" w:rsidP="0016773C">
      <w:pPr>
        <w:autoSpaceDE w:val="0"/>
        <w:autoSpaceDN w:val="0"/>
        <w:adjustRightInd w:val="0"/>
        <w:jc w:val="both"/>
        <w:rPr>
          <w:rFonts w:ascii="Abadi" w:hAnsi="Abadi" w:cs="*Arial-6339-Identity-H"/>
          <w:color w:val="0D0D10"/>
          <w:sz w:val="21"/>
          <w:szCs w:val="21"/>
        </w:rPr>
      </w:pPr>
    </w:p>
    <w:p w14:paraId="2A93E66C" w14:textId="77777777" w:rsidR="0016773C" w:rsidRDefault="0016773C" w:rsidP="0016773C">
      <w:pPr>
        <w:autoSpaceDE w:val="0"/>
        <w:autoSpaceDN w:val="0"/>
        <w:adjustRightInd w:val="0"/>
        <w:ind w:firstLine="708"/>
        <w:jc w:val="both"/>
        <w:rPr>
          <w:rFonts w:ascii="Abadi" w:hAnsi="Abadi" w:cs="*Arial-6339-Identity-H"/>
          <w:color w:val="0D0C0F"/>
          <w:sz w:val="21"/>
          <w:szCs w:val="21"/>
        </w:rPr>
      </w:pPr>
      <w:r w:rsidRPr="003D0AE7">
        <w:rPr>
          <w:rFonts w:ascii="Abadi" w:hAnsi="Abadi" w:cs="*Arial-6339-Identity-H"/>
          <w:color w:val="0D0C0F"/>
          <w:sz w:val="21"/>
          <w:szCs w:val="21"/>
        </w:rPr>
        <w:t>En este sentido, quienes integramos esta Comisión analizamos el informe</w:t>
      </w:r>
      <w:r>
        <w:rPr>
          <w:rFonts w:ascii="Abadi" w:hAnsi="Abadi" w:cs="*Arial-6339-Identity-H"/>
          <w:color w:val="0D0C0F"/>
          <w:sz w:val="21"/>
          <w:szCs w:val="21"/>
        </w:rPr>
        <w:t xml:space="preserve"> </w:t>
      </w:r>
      <w:r w:rsidRPr="003D0AE7">
        <w:rPr>
          <w:rFonts w:ascii="Abadi" w:hAnsi="Abadi" w:cs="*Arial-6339-Identity-H"/>
          <w:color w:val="0D0C0F"/>
          <w:sz w:val="21"/>
          <w:szCs w:val="21"/>
        </w:rPr>
        <w:t>de resultados materia del presente dictamen, considerando la hipótesis referida en</w:t>
      </w:r>
      <w:r>
        <w:rPr>
          <w:rFonts w:ascii="Abadi" w:hAnsi="Abadi" w:cs="*Arial-6339-Identity-H"/>
          <w:color w:val="0D0C0F"/>
          <w:sz w:val="21"/>
          <w:szCs w:val="21"/>
        </w:rPr>
        <w:t xml:space="preserve"> </w:t>
      </w:r>
      <w:r w:rsidRPr="003D0AE7">
        <w:rPr>
          <w:rFonts w:ascii="Abadi" w:hAnsi="Abadi" w:cs="*Arial-6339-Identity-H"/>
          <w:color w:val="0D0C0F"/>
          <w:sz w:val="21"/>
          <w:szCs w:val="21"/>
        </w:rPr>
        <w:t>el precepto anteriormente señalado.</w:t>
      </w:r>
    </w:p>
    <w:p w14:paraId="06FB7941" w14:textId="77777777" w:rsidR="0016773C" w:rsidRPr="003D0AE7" w:rsidRDefault="0016773C" w:rsidP="0016773C">
      <w:pPr>
        <w:autoSpaceDE w:val="0"/>
        <w:autoSpaceDN w:val="0"/>
        <w:adjustRightInd w:val="0"/>
        <w:jc w:val="both"/>
        <w:rPr>
          <w:rFonts w:ascii="Abadi" w:hAnsi="Abadi" w:cs="*Arial-6339-Identity-H"/>
          <w:color w:val="0D0C0F"/>
          <w:sz w:val="21"/>
          <w:szCs w:val="21"/>
        </w:rPr>
      </w:pPr>
    </w:p>
    <w:p w14:paraId="349B914F" w14:textId="1C639AC1" w:rsidR="0016773C" w:rsidRDefault="0016773C" w:rsidP="000A25F5">
      <w:pPr>
        <w:autoSpaceDE w:val="0"/>
        <w:autoSpaceDN w:val="0"/>
        <w:adjustRightInd w:val="0"/>
        <w:ind w:firstLine="708"/>
        <w:jc w:val="both"/>
        <w:rPr>
          <w:rFonts w:ascii="Abadi" w:hAnsi="Abadi" w:cs="*Arial-6339-Identity-H"/>
          <w:color w:val="0D0D10"/>
          <w:sz w:val="21"/>
          <w:szCs w:val="21"/>
        </w:rPr>
      </w:pPr>
      <w:r w:rsidRPr="003D0AE7">
        <w:rPr>
          <w:rFonts w:ascii="Abadi" w:hAnsi="Abadi" w:cs="*Arial-6339-Identity-H"/>
          <w:color w:val="0D0D10"/>
          <w:sz w:val="21"/>
          <w:szCs w:val="21"/>
        </w:rPr>
        <w:t>Como se desprende del informe de resultados, el Órgano Técnico dio</w:t>
      </w:r>
      <w:r>
        <w:rPr>
          <w:rFonts w:ascii="Abadi" w:hAnsi="Abadi" w:cs="*Arial-6339-Identity-H"/>
          <w:color w:val="0D0D10"/>
          <w:sz w:val="21"/>
          <w:szCs w:val="21"/>
        </w:rPr>
        <w:t xml:space="preserve"> </w:t>
      </w:r>
      <w:r w:rsidRPr="003D0AE7">
        <w:rPr>
          <w:rFonts w:ascii="Abadi" w:hAnsi="Abadi" w:cs="*Arial-6339-Identity-H"/>
          <w:color w:val="0D0D10"/>
          <w:sz w:val="21"/>
          <w:szCs w:val="21"/>
        </w:rPr>
        <w:t>cumplimiento al artículo 58 de la Ley de Fiscalización Superior del Estado de</w:t>
      </w:r>
      <w:r>
        <w:rPr>
          <w:rFonts w:ascii="Abadi" w:hAnsi="Abadi" w:cs="*Arial-6339-Identity-H"/>
          <w:color w:val="0D0D10"/>
          <w:sz w:val="21"/>
          <w:szCs w:val="21"/>
        </w:rPr>
        <w:t xml:space="preserve"> </w:t>
      </w:r>
      <w:r w:rsidRPr="003D0AE7">
        <w:rPr>
          <w:rFonts w:ascii="Abadi" w:hAnsi="Abadi" w:cs="*Arial-6339-Identity-H"/>
          <w:color w:val="0D0D10"/>
          <w:sz w:val="21"/>
          <w:szCs w:val="21"/>
        </w:rPr>
        <w:t>Guanajuato, al haberse notificado las recomendaciones derivadas de la auditoría</w:t>
      </w:r>
      <w:r>
        <w:rPr>
          <w:rFonts w:ascii="Abadi" w:hAnsi="Abadi" w:cs="*Arial-6339-Identity-H"/>
          <w:color w:val="0D0D10"/>
          <w:sz w:val="21"/>
          <w:szCs w:val="21"/>
        </w:rPr>
        <w:t xml:space="preserve"> </w:t>
      </w:r>
      <w:r w:rsidRPr="003D0AE7">
        <w:rPr>
          <w:rFonts w:ascii="Abadi" w:hAnsi="Abadi" w:cs="*Arial-6339-Identity-H"/>
          <w:color w:val="0D0D10"/>
          <w:sz w:val="21"/>
          <w:szCs w:val="21"/>
        </w:rPr>
        <w:t>al sujeto fiscalizado, concediéndole el plazo que establece la Ley para atender las</w:t>
      </w:r>
      <w:r>
        <w:rPr>
          <w:rFonts w:ascii="Abadi" w:hAnsi="Abadi" w:cs="*Arial-6339-Identity-H"/>
          <w:color w:val="0D0D10"/>
          <w:sz w:val="21"/>
          <w:szCs w:val="21"/>
        </w:rPr>
        <w:t xml:space="preserve"> </w:t>
      </w:r>
      <w:r w:rsidRPr="003D0AE7">
        <w:rPr>
          <w:rFonts w:ascii="Abadi" w:hAnsi="Abadi" w:cs="*Arial-6339-Identity-H"/>
          <w:color w:val="0D0D10"/>
          <w:sz w:val="21"/>
          <w:szCs w:val="21"/>
        </w:rPr>
        <w:t>recomendaciones formuladas por el Órgano Técnico. Al respecto, se presentó la</w:t>
      </w:r>
      <w:r>
        <w:rPr>
          <w:rFonts w:ascii="Abadi" w:hAnsi="Abadi" w:cs="*Arial-6339-Identity-H"/>
          <w:color w:val="0D0D10"/>
          <w:sz w:val="21"/>
          <w:szCs w:val="21"/>
        </w:rPr>
        <w:t xml:space="preserve"> </w:t>
      </w:r>
      <w:r w:rsidRPr="003D0AE7">
        <w:rPr>
          <w:rFonts w:ascii="Abadi" w:hAnsi="Abadi" w:cs="*Arial-6339-Identity-H"/>
          <w:color w:val="0D0D10"/>
          <w:sz w:val="21"/>
          <w:szCs w:val="21"/>
        </w:rPr>
        <w:t>información y documentación que se consideró suficiente para atender las</w:t>
      </w:r>
      <w:r w:rsidR="000A25F5">
        <w:rPr>
          <w:rFonts w:ascii="Abadi" w:hAnsi="Abadi" w:cs="*Arial-6339-Identity-H"/>
          <w:color w:val="0D0D10"/>
          <w:sz w:val="21"/>
          <w:szCs w:val="21"/>
        </w:rPr>
        <w:t xml:space="preserve"> r</w:t>
      </w:r>
      <w:r>
        <w:rPr>
          <w:rFonts w:ascii="Abadi" w:hAnsi="Abadi" w:cs="*Arial-6339-Identity-H"/>
          <w:color w:val="0D0D10"/>
          <w:sz w:val="21"/>
          <w:szCs w:val="21"/>
        </w:rPr>
        <w:t>ecomendacion</w:t>
      </w:r>
      <w:r w:rsidRPr="003D0AE7">
        <w:rPr>
          <w:rFonts w:ascii="Abadi" w:hAnsi="Abadi" w:cs="*Arial-6339-Identity-H"/>
          <w:color w:val="0D0D10"/>
          <w:sz w:val="21"/>
          <w:szCs w:val="21"/>
        </w:rPr>
        <w:t>es efectuadas.</w:t>
      </w:r>
    </w:p>
    <w:p w14:paraId="4F225658" w14:textId="77777777" w:rsidR="0016773C" w:rsidRPr="003D0AE7" w:rsidRDefault="0016773C" w:rsidP="0016773C">
      <w:pPr>
        <w:autoSpaceDE w:val="0"/>
        <w:autoSpaceDN w:val="0"/>
        <w:adjustRightInd w:val="0"/>
        <w:jc w:val="both"/>
        <w:rPr>
          <w:rFonts w:ascii="Abadi" w:hAnsi="Abadi" w:cs="*Arial-6339-Identity-H"/>
          <w:color w:val="0D0D10"/>
          <w:sz w:val="21"/>
          <w:szCs w:val="21"/>
        </w:rPr>
      </w:pPr>
    </w:p>
    <w:p w14:paraId="6251820A" w14:textId="77777777" w:rsidR="000A25F5" w:rsidRDefault="0016773C" w:rsidP="0016773C">
      <w:pPr>
        <w:autoSpaceDE w:val="0"/>
        <w:autoSpaceDN w:val="0"/>
        <w:adjustRightInd w:val="0"/>
        <w:ind w:firstLine="708"/>
        <w:jc w:val="both"/>
        <w:rPr>
          <w:rFonts w:ascii="Abadi" w:hAnsi="Abadi" w:cs="*Arial-6339-Identity-H"/>
          <w:color w:val="0D0E10"/>
          <w:sz w:val="21"/>
          <w:szCs w:val="21"/>
        </w:rPr>
      </w:pPr>
      <w:r w:rsidRPr="003D0AE7">
        <w:rPr>
          <w:rFonts w:ascii="Abadi" w:hAnsi="Abadi" w:cs="*Arial-6339-Identity-H"/>
          <w:color w:val="0D0E10"/>
          <w:sz w:val="21"/>
          <w:szCs w:val="21"/>
        </w:rPr>
        <w:t>De igual manera, existe en el informe de resultados la constancia de que</w:t>
      </w:r>
      <w:r>
        <w:rPr>
          <w:rFonts w:ascii="Abadi" w:hAnsi="Abadi" w:cs="*Arial-6339-Identity-H"/>
          <w:color w:val="0D0E10"/>
          <w:sz w:val="21"/>
          <w:szCs w:val="21"/>
        </w:rPr>
        <w:t xml:space="preserve"> </w:t>
      </w:r>
      <w:r w:rsidRPr="003D0AE7">
        <w:rPr>
          <w:rFonts w:ascii="Abadi" w:hAnsi="Abadi" w:cs="*Arial-6339-Identity-H"/>
          <w:color w:val="0D0E10"/>
          <w:sz w:val="21"/>
          <w:szCs w:val="21"/>
        </w:rPr>
        <w:t xml:space="preserve">este se notificó al sujeto fiscalizado. </w:t>
      </w:r>
    </w:p>
    <w:p w14:paraId="705E79C7" w14:textId="77777777" w:rsidR="000A25F5" w:rsidRDefault="000A25F5" w:rsidP="0016773C">
      <w:pPr>
        <w:autoSpaceDE w:val="0"/>
        <w:autoSpaceDN w:val="0"/>
        <w:adjustRightInd w:val="0"/>
        <w:ind w:firstLine="708"/>
        <w:jc w:val="both"/>
        <w:rPr>
          <w:rFonts w:ascii="Abadi" w:hAnsi="Abadi" w:cs="*Arial-6339-Identity-H"/>
          <w:color w:val="0D0E10"/>
          <w:sz w:val="21"/>
          <w:szCs w:val="21"/>
        </w:rPr>
      </w:pPr>
    </w:p>
    <w:p w14:paraId="73575538" w14:textId="6BF6A680" w:rsidR="0016773C" w:rsidRDefault="0016773C" w:rsidP="0016773C">
      <w:pPr>
        <w:autoSpaceDE w:val="0"/>
        <w:autoSpaceDN w:val="0"/>
        <w:adjustRightInd w:val="0"/>
        <w:ind w:firstLine="708"/>
        <w:jc w:val="both"/>
        <w:rPr>
          <w:rFonts w:ascii="Abadi" w:hAnsi="Abadi" w:cs="*Arial-6339-Identity-H"/>
          <w:color w:val="0D0E10"/>
          <w:sz w:val="21"/>
          <w:szCs w:val="21"/>
        </w:rPr>
      </w:pPr>
      <w:r w:rsidRPr="003D0AE7">
        <w:rPr>
          <w:rFonts w:ascii="Abadi" w:hAnsi="Abadi" w:cs="*Arial-6339-Identity-H"/>
          <w:color w:val="0D0E10"/>
          <w:sz w:val="21"/>
          <w:szCs w:val="21"/>
        </w:rPr>
        <w:t>En tal virtud, se considera que fue respetado</w:t>
      </w:r>
      <w:r>
        <w:rPr>
          <w:rFonts w:ascii="Abadi" w:hAnsi="Abadi" w:cs="*Arial-6339-Identity-H"/>
          <w:color w:val="0D0E10"/>
          <w:sz w:val="21"/>
          <w:szCs w:val="21"/>
        </w:rPr>
        <w:t xml:space="preserve"> </w:t>
      </w:r>
      <w:r w:rsidRPr="003D0AE7">
        <w:rPr>
          <w:rFonts w:ascii="Abadi" w:hAnsi="Abadi" w:cs="*Arial-6339-Identity-H"/>
          <w:color w:val="0D0E10"/>
          <w:sz w:val="21"/>
          <w:szCs w:val="21"/>
        </w:rPr>
        <w:t>el derecho de audiencia o defensa por parte del Órgano Técnico.</w:t>
      </w:r>
    </w:p>
    <w:p w14:paraId="786D2AB8" w14:textId="77777777" w:rsidR="0016773C" w:rsidRPr="003D0AE7" w:rsidRDefault="0016773C" w:rsidP="0016773C">
      <w:pPr>
        <w:autoSpaceDE w:val="0"/>
        <w:autoSpaceDN w:val="0"/>
        <w:adjustRightInd w:val="0"/>
        <w:jc w:val="both"/>
        <w:rPr>
          <w:rFonts w:ascii="Abadi" w:hAnsi="Abadi" w:cs="*Arial-6339-Identity-H"/>
          <w:color w:val="0D0E10"/>
          <w:sz w:val="21"/>
          <w:szCs w:val="21"/>
        </w:rPr>
      </w:pPr>
    </w:p>
    <w:p w14:paraId="78F74EE1" w14:textId="13A7388B" w:rsidR="0016773C" w:rsidRDefault="0016773C" w:rsidP="000A25F5">
      <w:pPr>
        <w:autoSpaceDE w:val="0"/>
        <w:autoSpaceDN w:val="0"/>
        <w:adjustRightInd w:val="0"/>
        <w:ind w:firstLine="708"/>
        <w:jc w:val="both"/>
        <w:rPr>
          <w:rFonts w:ascii="Abadi" w:hAnsi="Abadi" w:cs="*Arial-6339-Identity-H"/>
          <w:color w:val="0C0C0F"/>
          <w:sz w:val="21"/>
          <w:szCs w:val="21"/>
        </w:rPr>
      </w:pPr>
      <w:r w:rsidRPr="003D0AE7">
        <w:rPr>
          <w:rFonts w:ascii="Abadi" w:hAnsi="Abadi" w:cs="*Arial-6339-Identity-H"/>
          <w:color w:val="0C0C0F"/>
          <w:sz w:val="21"/>
          <w:szCs w:val="21"/>
        </w:rPr>
        <w:t>Asimismo, del informe de resultados podemos inferir que el Órgano Técnico</w:t>
      </w:r>
      <w:r>
        <w:rPr>
          <w:rFonts w:ascii="Abadi" w:hAnsi="Abadi" w:cs="*Arial-6339-Identity-H"/>
          <w:color w:val="0C0C0F"/>
          <w:sz w:val="21"/>
          <w:szCs w:val="21"/>
        </w:rPr>
        <w:t xml:space="preserve"> </w:t>
      </w:r>
      <w:r w:rsidRPr="003D0AE7">
        <w:rPr>
          <w:rFonts w:ascii="Abadi" w:hAnsi="Abadi" w:cs="*Arial-6339-Identity-H"/>
          <w:color w:val="0C0C0F"/>
          <w:sz w:val="21"/>
          <w:szCs w:val="21"/>
        </w:rPr>
        <w:t>en el desarrollo del procedimiento de auditoría, dio cumplimiento a las</w:t>
      </w:r>
      <w:r>
        <w:rPr>
          <w:rFonts w:ascii="Abadi" w:hAnsi="Abadi" w:cs="*Arial-6339-Identity-H"/>
          <w:color w:val="0C0C0F"/>
          <w:sz w:val="21"/>
          <w:szCs w:val="21"/>
        </w:rPr>
        <w:t xml:space="preserve"> </w:t>
      </w:r>
      <w:r w:rsidRPr="003D0AE7">
        <w:rPr>
          <w:rFonts w:ascii="Abadi" w:hAnsi="Abadi" w:cs="*Arial-6339-Identity-H"/>
          <w:color w:val="0C0C0F"/>
          <w:sz w:val="21"/>
          <w:szCs w:val="21"/>
        </w:rPr>
        <w:t>formalidades esenciales que la misma Ley establece para el proceso de</w:t>
      </w:r>
      <w:r>
        <w:rPr>
          <w:rFonts w:ascii="Abadi" w:hAnsi="Abadi" w:cs="*Arial-6339-Identity-H"/>
          <w:color w:val="0C0C0F"/>
          <w:sz w:val="21"/>
          <w:szCs w:val="21"/>
        </w:rPr>
        <w:t xml:space="preserve"> </w:t>
      </w:r>
      <w:r w:rsidRPr="003D0AE7">
        <w:rPr>
          <w:rFonts w:ascii="Abadi" w:hAnsi="Abadi" w:cs="*Arial-6339-Identity-H"/>
          <w:color w:val="0C0C0F"/>
          <w:sz w:val="21"/>
          <w:szCs w:val="21"/>
        </w:rPr>
        <w:t>fiscalización, al haberse practicado la auditoría que estaba contemplada en el</w:t>
      </w:r>
      <w:r>
        <w:rPr>
          <w:rFonts w:ascii="Abadi" w:hAnsi="Abadi" w:cs="*Arial-6339-Identity-H"/>
          <w:color w:val="0C0C0F"/>
          <w:sz w:val="21"/>
          <w:szCs w:val="21"/>
        </w:rPr>
        <w:t xml:space="preserve"> </w:t>
      </w:r>
      <w:r w:rsidRPr="003D0AE7">
        <w:rPr>
          <w:rFonts w:ascii="Abadi" w:hAnsi="Abadi" w:cs="*Arial-6339-Identity-H"/>
          <w:color w:val="0C0C0F"/>
          <w:sz w:val="21"/>
          <w:szCs w:val="21"/>
        </w:rPr>
        <w:t>Programa General de Fiscalización 2021, aprobado por el Auditor Superior del</w:t>
      </w:r>
      <w:r w:rsidR="000A25F5">
        <w:rPr>
          <w:rFonts w:ascii="Abadi" w:hAnsi="Abadi" w:cs="*Arial-6339-Identity-H"/>
          <w:color w:val="0C0C0F"/>
          <w:sz w:val="21"/>
          <w:szCs w:val="21"/>
        </w:rPr>
        <w:t xml:space="preserve"> </w:t>
      </w:r>
      <w:r w:rsidRPr="003D0AE7">
        <w:rPr>
          <w:rFonts w:ascii="Abadi" w:hAnsi="Abadi" w:cs="*Arial-6339-Identity-H"/>
          <w:color w:val="0C0C0F"/>
          <w:sz w:val="21"/>
          <w:szCs w:val="21"/>
        </w:rPr>
        <w:t>Estado. Asimismo, la auditoría se efectuó atendiendo a lo establecido en la</w:t>
      </w:r>
      <w:r>
        <w:rPr>
          <w:rFonts w:ascii="Abadi" w:hAnsi="Abadi" w:cs="*Arial-6339-Identity-H"/>
          <w:color w:val="0C0C0F"/>
          <w:sz w:val="21"/>
          <w:szCs w:val="21"/>
        </w:rPr>
        <w:t xml:space="preserve"> </w:t>
      </w:r>
      <w:r w:rsidRPr="003D0AE7">
        <w:rPr>
          <w:rFonts w:ascii="Abadi" w:hAnsi="Abadi" w:cs="*Arial-6339-Identity-H"/>
          <w:color w:val="0C0C0F"/>
          <w:sz w:val="21"/>
          <w:szCs w:val="21"/>
        </w:rPr>
        <w:t>normatividad aplicable en la materia, cumpliendo lo estipulado por el artículo 3 y el</w:t>
      </w:r>
      <w:r>
        <w:rPr>
          <w:rFonts w:ascii="Abadi" w:hAnsi="Abadi" w:cs="*Arial-6339-Identity-H"/>
          <w:color w:val="0C0C0F"/>
          <w:sz w:val="21"/>
          <w:szCs w:val="21"/>
        </w:rPr>
        <w:t xml:space="preserve"> </w:t>
      </w:r>
      <w:r w:rsidRPr="003D0AE7">
        <w:rPr>
          <w:rFonts w:ascii="Abadi" w:hAnsi="Abadi" w:cs="*Arial-6339-Identity-H"/>
          <w:color w:val="0C0C0F"/>
          <w:sz w:val="21"/>
          <w:szCs w:val="21"/>
        </w:rPr>
        <w:t>Capítulo VI del Título Segundo de la Ley de Fiscalización Superior del Estado de</w:t>
      </w:r>
      <w:r>
        <w:rPr>
          <w:rFonts w:ascii="Abadi" w:hAnsi="Abadi" w:cs="*Arial-6339-Identity-H"/>
          <w:color w:val="0C0C0F"/>
          <w:sz w:val="21"/>
          <w:szCs w:val="21"/>
        </w:rPr>
        <w:t xml:space="preserve"> </w:t>
      </w:r>
      <w:r w:rsidRPr="003D0AE7">
        <w:rPr>
          <w:rFonts w:ascii="Abadi" w:hAnsi="Abadi" w:cs="*Arial-6339-Identity-H"/>
          <w:color w:val="0C0C0F"/>
          <w:sz w:val="21"/>
          <w:szCs w:val="21"/>
        </w:rPr>
        <w:t>Guanajuato, así como el artículo 28 del Reglamento de dicha Ley.</w:t>
      </w:r>
    </w:p>
    <w:p w14:paraId="429A1881" w14:textId="77777777" w:rsidR="0016773C" w:rsidRPr="003D0AE7" w:rsidRDefault="0016773C" w:rsidP="0016773C">
      <w:pPr>
        <w:autoSpaceDE w:val="0"/>
        <w:autoSpaceDN w:val="0"/>
        <w:adjustRightInd w:val="0"/>
        <w:jc w:val="both"/>
        <w:rPr>
          <w:rFonts w:ascii="Abadi" w:hAnsi="Abadi" w:cs="*Arial-6339-Identity-H"/>
          <w:color w:val="0C0C0F"/>
          <w:sz w:val="21"/>
          <w:szCs w:val="21"/>
        </w:rPr>
      </w:pPr>
    </w:p>
    <w:p w14:paraId="2CAAF5FD" w14:textId="77777777" w:rsidR="0016773C" w:rsidRDefault="0016773C" w:rsidP="0016773C">
      <w:pPr>
        <w:autoSpaceDE w:val="0"/>
        <w:autoSpaceDN w:val="0"/>
        <w:adjustRightInd w:val="0"/>
        <w:ind w:firstLine="708"/>
        <w:jc w:val="both"/>
        <w:rPr>
          <w:rFonts w:ascii="Abadi" w:hAnsi="Abadi" w:cs="*Arial-7423-Identity-H"/>
          <w:color w:val="0D0D0F"/>
          <w:sz w:val="21"/>
          <w:szCs w:val="21"/>
        </w:rPr>
      </w:pPr>
      <w:r w:rsidRPr="003D0AE7">
        <w:rPr>
          <w:rFonts w:ascii="Abadi" w:hAnsi="Abadi" w:cs="*Arial-7423-Identity-H"/>
          <w:color w:val="0D0D0F"/>
          <w:sz w:val="21"/>
          <w:szCs w:val="21"/>
        </w:rPr>
        <w:t>Finalmente, es de destacar que el cumplimiento de los Objetivos del</w:t>
      </w:r>
      <w:r>
        <w:rPr>
          <w:rFonts w:ascii="Abadi" w:hAnsi="Abadi" w:cs="*Arial-7423-Identity-H"/>
          <w:color w:val="0D0D0F"/>
          <w:sz w:val="21"/>
          <w:szCs w:val="21"/>
        </w:rPr>
        <w:t xml:space="preserve"> </w:t>
      </w:r>
      <w:r w:rsidRPr="003D0AE7">
        <w:rPr>
          <w:rFonts w:ascii="Abadi" w:hAnsi="Abadi" w:cs="*Arial-7423-Identity-H"/>
          <w:color w:val="0D0D0F"/>
          <w:sz w:val="21"/>
          <w:szCs w:val="21"/>
        </w:rPr>
        <w:t>Desarrollo Sostenible de la Agenda 2030 está presente en el dictamen puesto a su</w:t>
      </w:r>
      <w:r>
        <w:rPr>
          <w:rFonts w:ascii="Abadi" w:hAnsi="Abadi" w:cs="*Arial-7423-Identity-H"/>
          <w:color w:val="0D0D0F"/>
          <w:sz w:val="21"/>
          <w:szCs w:val="21"/>
        </w:rPr>
        <w:t xml:space="preserve"> </w:t>
      </w:r>
      <w:r w:rsidRPr="003D0AE7">
        <w:rPr>
          <w:rFonts w:ascii="Abadi" w:hAnsi="Abadi" w:cs="*Arial-7423-Identity-H"/>
          <w:color w:val="0D0D0F"/>
          <w:sz w:val="21"/>
          <w:szCs w:val="21"/>
        </w:rPr>
        <w:t>consideración, pues el mismo incide de manera directa en el Objetivo 16</w:t>
      </w:r>
      <w:r>
        <w:rPr>
          <w:rFonts w:ascii="Abadi" w:hAnsi="Abadi" w:cs="*Arial-7423-Identity-H"/>
          <w:color w:val="0D0D0F"/>
          <w:sz w:val="21"/>
          <w:szCs w:val="21"/>
        </w:rPr>
        <w:t xml:space="preserve"> </w:t>
      </w:r>
      <w:r w:rsidRPr="003D0AE7">
        <w:rPr>
          <w:rFonts w:ascii="Abadi" w:hAnsi="Abadi" w:cs="*Arial-7423-Identity-H"/>
          <w:color w:val="0D0D0F"/>
          <w:sz w:val="21"/>
          <w:szCs w:val="21"/>
        </w:rPr>
        <w:t>denominado Paz, Justicia e Instituciones Sólidas. Promover sociedades justas,</w:t>
      </w:r>
      <w:r>
        <w:rPr>
          <w:rFonts w:ascii="Abadi" w:hAnsi="Abadi" w:cs="*Arial-7423-Identity-H"/>
          <w:color w:val="0D0D0F"/>
          <w:sz w:val="21"/>
          <w:szCs w:val="21"/>
        </w:rPr>
        <w:t xml:space="preserve"> </w:t>
      </w:r>
      <w:r w:rsidRPr="003D0AE7">
        <w:rPr>
          <w:rFonts w:ascii="Abadi" w:hAnsi="Abadi" w:cs="*Arial-7423-Identity-H"/>
          <w:color w:val="0D0D0F"/>
          <w:sz w:val="21"/>
          <w:szCs w:val="21"/>
        </w:rPr>
        <w:t>pacíficas e inclusivas, respecto a la meta 16.6 Crear a todos los niveles</w:t>
      </w:r>
      <w:r>
        <w:rPr>
          <w:rFonts w:ascii="Abadi" w:hAnsi="Abadi" w:cs="*Arial-7423-Identity-H"/>
          <w:color w:val="0D0D0F"/>
          <w:sz w:val="21"/>
          <w:szCs w:val="21"/>
        </w:rPr>
        <w:t xml:space="preserve"> </w:t>
      </w:r>
      <w:r w:rsidRPr="003D0AE7">
        <w:rPr>
          <w:rFonts w:ascii="Abadi" w:hAnsi="Abadi" w:cs="*Arial-7423-Identity-H"/>
          <w:color w:val="0D0D0F"/>
          <w:sz w:val="21"/>
          <w:szCs w:val="21"/>
        </w:rPr>
        <w:t>instituciones eficaces y transparentes, al abonar a la transparencia y rendición de</w:t>
      </w:r>
      <w:r>
        <w:rPr>
          <w:rFonts w:ascii="Abadi" w:hAnsi="Abadi" w:cs="*Arial-7423-Identity-H"/>
          <w:color w:val="0D0D0F"/>
          <w:sz w:val="21"/>
          <w:szCs w:val="21"/>
        </w:rPr>
        <w:t xml:space="preserve"> </w:t>
      </w:r>
      <w:r w:rsidRPr="003D0AE7">
        <w:rPr>
          <w:rFonts w:ascii="Abadi" w:hAnsi="Abadi" w:cs="*Arial-7423-Identity-H"/>
          <w:color w:val="0D0D0F"/>
          <w:sz w:val="21"/>
          <w:szCs w:val="21"/>
        </w:rPr>
        <w:t>cuentas.</w:t>
      </w:r>
    </w:p>
    <w:p w14:paraId="35ABBEAE" w14:textId="77777777" w:rsidR="0016773C" w:rsidRPr="003D0AE7" w:rsidRDefault="0016773C" w:rsidP="0016773C">
      <w:pPr>
        <w:autoSpaceDE w:val="0"/>
        <w:autoSpaceDN w:val="0"/>
        <w:adjustRightInd w:val="0"/>
        <w:jc w:val="both"/>
        <w:rPr>
          <w:rFonts w:ascii="Abadi" w:hAnsi="Abadi" w:cs="*Arial-7423-Identity-H"/>
          <w:color w:val="0D0D0F"/>
          <w:sz w:val="21"/>
          <w:szCs w:val="21"/>
        </w:rPr>
      </w:pPr>
    </w:p>
    <w:p w14:paraId="18BEF5E6" w14:textId="77777777" w:rsidR="0016773C" w:rsidRDefault="0016773C" w:rsidP="0016773C">
      <w:pPr>
        <w:autoSpaceDE w:val="0"/>
        <w:autoSpaceDN w:val="0"/>
        <w:adjustRightInd w:val="0"/>
        <w:ind w:firstLine="708"/>
        <w:jc w:val="both"/>
        <w:rPr>
          <w:rFonts w:ascii="Abadi" w:hAnsi="Abadi" w:cs="*Arial-7423-Identity-H"/>
          <w:color w:val="0D0C0F"/>
          <w:sz w:val="21"/>
          <w:szCs w:val="21"/>
        </w:rPr>
      </w:pPr>
      <w:r w:rsidRPr="003D0AE7">
        <w:rPr>
          <w:rFonts w:ascii="Abadi" w:hAnsi="Abadi" w:cs="*Arial-7423-Identity-H"/>
          <w:color w:val="0D0C0F"/>
          <w:sz w:val="21"/>
          <w:szCs w:val="21"/>
        </w:rPr>
        <w:t>En razón de lo anteriormente señalado, concluimos que el informe de</w:t>
      </w:r>
      <w:r>
        <w:rPr>
          <w:rFonts w:ascii="Abadi" w:hAnsi="Abadi" w:cs="*Arial-7423-Identity-H"/>
          <w:color w:val="0D0C0F"/>
          <w:sz w:val="21"/>
          <w:szCs w:val="21"/>
        </w:rPr>
        <w:t xml:space="preserve"> </w:t>
      </w:r>
      <w:r w:rsidRPr="003D0AE7">
        <w:rPr>
          <w:rFonts w:ascii="Abadi" w:hAnsi="Abadi" w:cs="*Arial-7423-Identity-H"/>
          <w:color w:val="0D0C0F"/>
          <w:sz w:val="21"/>
          <w:szCs w:val="21"/>
        </w:rPr>
        <w:t>resultados de la auditoría de desempeño practicada a la administración municipal</w:t>
      </w:r>
      <w:r>
        <w:rPr>
          <w:rFonts w:ascii="Abadi" w:hAnsi="Abadi" w:cs="*Arial-7423-Identity-H"/>
          <w:color w:val="0D0C0F"/>
          <w:sz w:val="21"/>
          <w:szCs w:val="21"/>
        </w:rPr>
        <w:t xml:space="preserve"> </w:t>
      </w:r>
      <w:r w:rsidRPr="003D0AE7">
        <w:rPr>
          <w:rFonts w:ascii="Abadi" w:hAnsi="Abadi" w:cs="*Arial-7423-Identity-H"/>
          <w:color w:val="0D0C0F"/>
          <w:sz w:val="21"/>
          <w:szCs w:val="21"/>
        </w:rPr>
        <w:t xml:space="preserve">de Purísima del Rincón, </w:t>
      </w:r>
      <w:proofErr w:type="spellStart"/>
      <w:r w:rsidRPr="003D0AE7">
        <w:rPr>
          <w:rFonts w:ascii="Abadi" w:hAnsi="Abadi" w:cs="*Arial-7423-Identity-H"/>
          <w:color w:val="0D0C0F"/>
          <w:sz w:val="21"/>
          <w:szCs w:val="21"/>
        </w:rPr>
        <w:t>Gto</w:t>
      </w:r>
      <w:proofErr w:type="spellEnd"/>
      <w:r w:rsidRPr="003D0AE7">
        <w:rPr>
          <w:rFonts w:ascii="Abadi" w:hAnsi="Abadi" w:cs="*Arial-7423-Identity-H"/>
          <w:color w:val="0D0C0F"/>
          <w:sz w:val="21"/>
          <w:szCs w:val="21"/>
        </w:rPr>
        <w:t>., con enfoque a resultados del servicio de alumbrado</w:t>
      </w:r>
      <w:r>
        <w:rPr>
          <w:rFonts w:ascii="Abadi" w:hAnsi="Abadi" w:cs="*Arial-7423-Identity-H"/>
          <w:color w:val="0D0C0F"/>
          <w:sz w:val="21"/>
          <w:szCs w:val="21"/>
        </w:rPr>
        <w:t xml:space="preserve"> </w:t>
      </w:r>
      <w:r w:rsidRPr="003D0AE7">
        <w:rPr>
          <w:rFonts w:ascii="Abadi" w:hAnsi="Abadi" w:cs="*Arial-7423-Identity-H"/>
          <w:color w:val="0D0C0F"/>
          <w:sz w:val="21"/>
          <w:szCs w:val="21"/>
        </w:rPr>
        <w:t>público, por el ejercicio fiscal del año 2020, debe sancionarse por el Congreso en</w:t>
      </w:r>
      <w:r>
        <w:rPr>
          <w:rFonts w:ascii="Abadi" w:hAnsi="Abadi" w:cs="*Arial-7423-Identity-H"/>
          <w:color w:val="0D0C0F"/>
          <w:sz w:val="21"/>
          <w:szCs w:val="21"/>
        </w:rPr>
        <w:t xml:space="preserve"> </w:t>
      </w:r>
      <w:r w:rsidRPr="003D0AE7">
        <w:rPr>
          <w:rFonts w:ascii="Abadi" w:hAnsi="Abadi" w:cs="*Arial-7423-Identity-H"/>
          <w:color w:val="0D0C0F"/>
          <w:sz w:val="21"/>
          <w:szCs w:val="21"/>
        </w:rPr>
        <w:t>los términos presentados por la Auditoría Superior del Estado y proceder a su</w:t>
      </w:r>
      <w:r>
        <w:rPr>
          <w:rFonts w:ascii="Abadi" w:hAnsi="Abadi" w:cs="*Arial-7423-Identity-H"/>
          <w:color w:val="0D0C0F"/>
          <w:sz w:val="21"/>
          <w:szCs w:val="21"/>
        </w:rPr>
        <w:t xml:space="preserve"> </w:t>
      </w:r>
      <w:r w:rsidRPr="003D0AE7">
        <w:rPr>
          <w:rFonts w:ascii="Abadi" w:hAnsi="Abadi" w:cs="*Arial-7423-Identity-H"/>
          <w:color w:val="0D0C0F"/>
          <w:sz w:val="21"/>
          <w:szCs w:val="21"/>
        </w:rPr>
        <w:t>aprobación, considerando que no se presenta el supuesto contenido en el artículo</w:t>
      </w:r>
      <w:r>
        <w:rPr>
          <w:rFonts w:ascii="Abadi" w:hAnsi="Abadi" w:cs="*Arial-7423-Identity-H"/>
          <w:color w:val="0D0C0F"/>
          <w:sz w:val="21"/>
          <w:szCs w:val="21"/>
        </w:rPr>
        <w:t xml:space="preserve"> </w:t>
      </w:r>
      <w:r w:rsidRPr="003D0AE7">
        <w:rPr>
          <w:rFonts w:ascii="Abadi" w:hAnsi="Abadi" w:cs="*Arial-7423-Identity-H"/>
          <w:color w:val="0D0C0F"/>
          <w:sz w:val="21"/>
          <w:szCs w:val="21"/>
        </w:rPr>
        <w:t>38 de la Ley de Fiscalización Superior del Estado de Guanajuato, razón por la cual</w:t>
      </w:r>
      <w:r>
        <w:rPr>
          <w:rFonts w:ascii="Abadi" w:hAnsi="Abadi" w:cs="*Arial-7423-Identity-H"/>
          <w:color w:val="0D0C0F"/>
          <w:sz w:val="21"/>
          <w:szCs w:val="21"/>
        </w:rPr>
        <w:t xml:space="preserve"> </w:t>
      </w:r>
      <w:r w:rsidRPr="003D0AE7">
        <w:rPr>
          <w:rFonts w:ascii="Abadi" w:hAnsi="Abadi" w:cs="*Arial-7423-Identity-H"/>
          <w:color w:val="0D0C0F"/>
          <w:sz w:val="21"/>
          <w:szCs w:val="21"/>
        </w:rPr>
        <w:t>no podría ser observado por el Pleno del Congreso.</w:t>
      </w:r>
    </w:p>
    <w:p w14:paraId="70EC467A" w14:textId="77777777" w:rsidR="0016773C" w:rsidRPr="003D0AE7" w:rsidRDefault="0016773C" w:rsidP="0016773C">
      <w:pPr>
        <w:autoSpaceDE w:val="0"/>
        <w:autoSpaceDN w:val="0"/>
        <w:adjustRightInd w:val="0"/>
        <w:jc w:val="both"/>
        <w:rPr>
          <w:rFonts w:ascii="Abadi" w:hAnsi="Abadi" w:cs="*Arial-7423-Identity-H"/>
          <w:color w:val="0D0C0F"/>
          <w:sz w:val="21"/>
          <w:szCs w:val="21"/>
        </w:rPr>
      </w:pPr>
    </w:p>
    <w:p w14:paraId="3358B2ED" w14:textId="77777777" w:rsidR="0016773C" w:rsidRPr="003D0AE7" w:rsidRDefault="0016773C" w:rsidP="0016773C">
      <w:pPr>
        <w:autoSpaceDE w:val="0"/>
        <w:autoSpaceDN w:val="0"/>
        <w:adjustRightInd w:val="0"/>
        <w:ind w:firstLine="708"/>
        <w:jc w:val="both"/>
        <w:rPr>
          <w:rFonts w:ascii="Abadi" w:hAnsi="Abadi" w:cs="*Arial-7423-Identity-H"/>
          <w:color w:val="0D0C0F"/>
          <w:sz w:val="21"/>
          <w:szCs w:val="21"/>
        </w:rPr>
      </w:pPr>
      <w:r w:rsidRPr="003D0AE7">
        <w:rPr>
          <w:rFonts w:ascii="Abadi" w:hAnsi="Abadi" w:cs="*Arial-7423-Identity-H"/>
          <w:color w:val="0D0C0F"/>
          <w:sz w:val="21"/>
          <w:szCs w:val="21"/>
        </w:rPr>
        <w:t>Por lo expuesto, con fundamento en el artículo 204 de la Ley Orgánica del</w:t>
      </w:r>
      <w:r>
        <w:rPr>
          <w:rFonts w:ascii="Abadi" w:hAnsi="Abadi" w:cs="*Arial-7423-Identity-H"/>
          <w:color w:val="0D0C0F"/>
          <w:sz w:val="21"/>
          <w:szCs w:val="21"/>
        </w:rPr>
        <w:t xml:space="preserve"> </w:t>
      </w:r>
      <w:r w:rsidRPr="003D0AE7">
        <w:rPr>
          <w:rFonts w:ascii="Abadi" w:hAnsi="Abadi" w:cs="*Arial-7423-Identity-H"/>
          <w:color w:val="0D0C0F"/>
          <w:sz w:val="21"/>
          <w:szCs w:val="21"/>
        </w:rPr>
        <w:t>Poder Legislativo, nos permitimos someter a la consideración de la Asamblea, la</w:t>
      </w:r>
      <w:r>
        <w:rPr>
          <w:rFonts w:ascii="Abadi" w:hAnsi="Abadi" w:cs="*Arial-7423-Identity-H"/>
          <w:color w:val="0D0C0F"/>
          <w:sz w:val="21"/>
          <w:szCs w:val="21"/>
        </w:rPr>
        <w:t xml:space="preserve"> </w:t>
      </w:r>
      <w:r w:rsidRPr="003D0AE7">
        <w:rPr>
          <w:rFonts w:ascii="Abadi" w:hAnsi="Abadi" w:cs="*Arial-7423-Identity-H"/>
          <w:color w:val="0D0C0F"/>
          <w:sz w:val="21"/>
          <w:szCs w:val="21"/>
        </w:rPr>
        <w:t>aprobación del siguiente:</w:t>
      </w:r>
    </w:p>
    <w:p w14:paraId="1DED0406" w14:textId="77777777" w:rsidR="000A25F5" w:rsidRDefault="000A25F5" w:rsidP="0016773C">
      <w:pPr>
        <w:autoSpaceDE w:val="0"/>
        <w:autoSpaceDN w:val="0"/>
        <w:adjustRightInd w:val="0"/>
        <w:jc w:val="center"/>
        <w:rPr>
          <w:rFonts w:ascii="Abadi" w:hAnsi="Abadi" w:cs="*Microsoft Sans Serif-Bold-7425"/>
          <w:b/>
          <w:bCs/>
          <w:color w:val="0C0C10"/>
          <w:sz w:val="21"/>
          <w:szCs w:val="21"/>
        </w:rPr>
      </w:pPr>
    </w:p>
    <w:p w14:paraId="6DA7575F" w14:textId="77777777" w:rsidR="000A25F5" w:rsidRDefault="000A25F5" w:rsidP="0016773C">
      <w:pPr>
        <w:autoSpaceDE w:val="0"/>
        <w:autoSpaceDN w:val="0"/>
        <w:adjustRightInd w:val="0"/>
        <w:jc w:val="center"/>
        <w:rPr>
          <w:rFonts w:ascii="Abadi" w:hAnsi="Abadi" w:cs="*Microsoft Sans Serif-Bold-7425"/>
          <w:b/>
          <w:bCs/>
          <w:color w:val="0C0C10"/>
          <w:sz w:val="21"/>
          <w:szCs w:val="21"/>
        </w:rPr>
      </w:pPr>
    </w:p>
    <w:p w14:paraId="4405CF34" w14:textId="28C02064" w:rsidR="0016773C" w:rsidRDefault="0016773C" w:rsidP="0016773C">
      <w:pPr>
        <w:autoSpaceDE w:val="0"/>
        <w:autoSpaceDN w:val="0"/>
        <w:adjustRightInd w:val="0"/>
        <w:jc w:val="center"/>
        <w:rPr>
          <w:rFonts w:ascii="Abadi" w:hAnsi="Abadi" w:cs="*Microsoft Sans Serif-Bold-7425"/>
          <w:b/>
          <w:bCs/>
          <w:color w:val="0C0C10"/>
          <w:sz w:val="21"/>
          <w:szCs w:val="21"/>
        </w:rPr>
      </w:pPr>
      <w:r w:rsidRPr="003D0AE7">
        <w:rPr>
          <w:rFonts w:ascii="Abadi" w:hAnsi="Abadi" w:cs="*Microsoft Sans Serif-Bold-7425"/>
          <w:b/>
          <w:bCs/>
          <w:color w:val="0C0C10"/>
          <w:sz w:val="21"/>
          <w:szCs w:val="21"/>
        </w:rPr>
        <w:t>ACUERDO</w:t>
      </w:r>
    </w:p>
    <w:p w14:paraId="2DEADC87" w14:textId="77777777" w:rsidR="0016773C" w:rsidRPr="003D0AE7" w:rsidRDefault="0016773C" w:rsidP="0016773C">
      <w:pPr>
        <w:autoSpaceDE w:val="0"/>
        <w:autoSpaceDN w:val="0"/>
        <w:adjustRightInd w:val="0"/>
        <w:jc w:val="both"/>
        <w:rPr>
          <w:rFonts w:ascii="Abadi" w:hAnsi="Abadi" w:cs="*Microsoft Sans Serif-Bold-7425"/>
          <w:b/>
          <w:bCs/>
          <w:color w:val="0C0C10"/>
          <w:sz w:val="21"/>
          <w:szCs w:val="21"/>
        </w:rPr>
      </w:pPr>
    </w:p>
    <w:p w14:paraId="261AEA55" w14:textId="77777777" w:rsidR="0016773C" w:rsidRDefault="0016773C" w:rsidP="0016773C">
      <w:pPr>
        <w:autoSpaceDE w:val="0"/>
        <w:autoSpaceDN w:val="0"/>
        <w:adjustRightInd w:val="0"/>
        <w:ind w:firstLine="708"/>
        <w:jc w:val="both"/>
        <w:rPr>
          <w:rFonts w:ascii="Abadi" w:hAnsi="Abadi" w:cs="*Arial-7423-Identity-H"/>
          <w:color w:val="0D0C0F"/>
          <w:sz w:val="21"/>
          <w:szCs w:val="21"/>
        </w:rPr>
      </w:pPr>
      <w:r w:rsidRPr="003D0AE7">
        <w:rPr>
          <w:rFonts w:ascii="Abadi" w:hAnsi="Abadi" w:cs="*Microsoft Sans Serif-Bold-7425"/>
          <w:b/>
          <w:bCs/>
          <w:color w:val="0D0C0F"/>
          <w:sz w:val="21"/>
          <w:szCs w:val="21"/>
        </w:rPr>
        <w:t xml:space="preserve">Único. </w:t>
      </w:r>
      <w:r w:rsidRPr="003D0AE7">
        <w:rPr>
          <w:rFonts w:ascii="Abadi" w:hAnsi="Abadi" w:cs="*Arial-7423-Identity-H"/>
          <w:color w:val="0D0C0F"/>
          <w:sz w:val="21"/>
          <w:szCs w:val="21"/>
        </w:rPr>
        <w:t>Con fundamento en el artículo 63 fracción XIX de la Constitución</w:t>
      </w:r>
      <w:r>
        <w:rPr>
          <w:rFonts w:ascii="Abadi" w:hAnsi="Abadi" w:cs="*Arial-7423-Identity-H"/>
          <w:color w:val="0D0C0F"/>
          <w:sz w:val="21"/>
          <w:szCs w:val="21"/>
        </w:rPr>
        <w:t xml:space="preserve"> </w:t>
      </w:r>
      <w:r w:rsidRPr="003D0AE7">
        <w:rPr>
          <w:rFonts w:ascii="Abadi" w:hAnsi="Abadi" w:cs="*Arial-7423-Identity-H"/>
          <w:color w:val="0D0C0F"/>
          <w:sz w:val="21"/>
          <w:szCs w:val="21"/>
        </w:rPr>
        <w:t>Política para el Estado, en relación con los artículos 3, fracción V, 5, fracción IV,</w:t>
      </w:r>
      <w:r>
        <w:rPr>
          <w:rFonts w:ascii="Abadi" w:hAnsi="Abadi" w:cs="*Arial-7423-Identity-H"/>
          <w:color w:val="0D0C0F"/>
          <w:sz w:val="21"/>
          <w:szCs w:val="21"/>
        </w:rPr>
        <w:t xml:space="preserve"> </w:t>
      </w:r>
      <w:r w:rsidRPr="003D0AE7">
        <w:rPr>
          <w:rFonts w:ascii="Abadi" w:hAnsi="Abadi" w:cs="*Arial-7423-Identity-H"/>
          <w:color w:val="0D0C0F"/>
          <w:sz w:val="21"/>
          <w:szCs w:val="21"/>
        </w:rPr>
        <w:t>56, 59 y 60 de la Ley de Fiscalización Superior del Estado de Guanajuato y 28 del</w:t>
      </w:r>
      <w:r>
        <w:rPr>
          <w:rFonts w:ascii="Abadi" w:hAnsi="Abadi" w:cs="*Arial-7423-Identity-H"/>
          <w:color w:val="0D0C0F"/>
          <w:sz w:val="21"/>
          <w:szCs w:val="21"/>
        </w:rPr>
        <w:t xml:space="preserve"> </w:t>
      </w:r>
      <w:r w:rsidRPr="003D0AE7">
        <w:rPr>
          <w:rFonts w:ascii="Abadi" w:hAnsi="Abadi" w:cs="*Arial-7423-Identity-H"/>
          <w:color w:val="0D0C0F"/>
          <w:sz w:val="21"/>
          <w:szCs w:val="21"/>
        </w:rPr>
        <w:t>Reglamento de la Ley de Fiscalización Superior del Estado de Guanajuato, se</w:t>
      </w:r>
      <w:r>
        <w:rPr>
          <w:rFonts w:ascii="Abadi" w:hAnsi="Abadi" w:cs="*Arial-7423-Identity-H"/>
          <w:color w:val="0D0C0F"/>
          <w:sz w:val="21"/>
          <w:szCs w:val="21"/>
        </w:rPr>
        <w:t xml:space="preserve"> </w:t>
      </w:r>
      <w:r w:rsidRPr="003D0AE7">
        <w:rPr>
          <w:rFonts w:ascii="Abadi" w:hAnsi="Abadi" w:cs="*Arial-7423-Identity-H"/>
          <w:color w:val="0D0C0F"/>
          <w:sz w:val="21"/>
          <w:szCs w:val="21"/>
        </w:rPr>
        <w:t>aprueba el informe de resultados formulado por la Auditoría Superior del Estado</w:t>
      </w:r>
      <w:r>
        <w:rPr>
          <w:rFonts w:ascii="Abadi" w:hAnsi="Abadi" w:cs="*Arial-7423-Identity-H"/>
          <w:color w:val="0D0C0F"/>
          <w:sz w:val="21"/>
          <w:szCs w:val="21"/>
        </w:rPr>
        <w:t xml:space="preserve"> </w:t>
      </w:r>
      <w:r w:rsidRPr="003D0AE7">
        <w:rPr>
          <w:rFonts w:ascii="Abadi" w:hAnsi="Abadi" w:cs="*Arial-7423-Identity-H"/>
          <w:color w:val="0D0C0F"/>
          <w:sz w:val="21"/>
          <w:szCs w:val="21"/>
        </w:rPr>
        <w:t>de Guanajuato, de la auditoría de desempeño practicada a la administración</w:t>
      </w:r>
      <w:r>
        <w:rPr>
          <w:rFonts w:ascii="Abadi" w:hAnsi="Abadi" w:cs="*Arial-7423-Identity-H"/>
          <w:color w:val="0D0C0F"/>
          <w:sz w:val="21"/>
          <w:szCs w:val="21"/>
        </w:rPr>
        <w:t xml:space="preserve"> </w:t>
      </w:r>
      <w:r w:rsidRPr="003D0AE7">
        <w:rPr>
          <w:rFonts w:ascii="Abadi" w:hAnsi="Abadi" w:cs="*Arial-7423-Identity-H"/>
          <w:color w:val="0D0C0F"/>
          <w:sz w:val="21"/>
          <w:szCs w:val="21"/>
        </w:rPr>
        <w:t xml:space="preserve">municipal de Purísima del Rincón, </w:t>
      </w:r>
      <w:proofErr w:type="spellStart"/>
      <w:r w:rsidRPr="003D0AE7">
        <w:rPr>
          <w:rFonts w:ascii="Abadi" w:hAnsi="Abadi" w:cs="*Arial-7423-Identity-H"/>
          <w:color w:val="0D0C0F"/>
          <w:sz w:val="21"/>
          <w:szCs w:val="21"/>
        </w:rPr>
        <w:t>Gto</w:t>
      </w:r>
      <w:proofErr w:type="spellEnd"/>
      <w:r w:rsidRPr="003D0AE7">
        <w:rPr>
          <w:rFonts w:ascii="Abadi" w:hAnsi="Abadi" w:cs="*Arial-7423-Identity-H"/>
          <w:color w:val="0D0C0F"/>
          <w:sz w:val="21"/>
          <w:szCs w:val="21"/>
        </w:rPr>
        <w:t>., con enfoque a resultados del servicio de</w:t>
      </w:r>
      <w:r>
        <w:rPr>
          <w:rFonts w:ascii="Abadi" w:hAnsi="Abadi" w:cs="*Arial-7423-Identity-H"/>
          <w:color w:val="0D0C0F"/>
          <w:sz w:val="21"/>
          <w:szCs w:val="21"/>
        </w:rPr>
        <w:t xml:space="preserve"> </w:t>
      </w:r>
      <w:r w:rsidRPr="003D0AE7">
        <w:rPr>
          <w:rFonts w:ascii="Abadi" w:hAnsi="Abadi" w:cs="*Arial-7423-Identity-H"/>
          <w:color w:val="0D0C0F"/>
          <w:sz w:val="21"/>
          <w:szCs w:val="21"/>
        </w:rPr>
        <w:t>alumbrado público, por el periodo comprendido del 1 de enero al 31 de diciembre</w:t>
      </w:r>
      <w:r>
        <w:rPr>
          <w:rFonts w:ascii="Abadi" w:hAnsi="Abadi" w:cs="*Arial-7423-Identity-H"/>
          <w:color w:val="0D0C0F"/>
          <w:sz w:val="21"/>
          <w:szCs w:val="21"/>
        </w:rPr>
        <w:t xml:space="preserve"> </w:t>
      </w:r>
      <w:r w:rsidRPr="003D0AE7">
        <w:rPr>
          <w:rFonts w:ascii="Abadi" w:hAnsi="Abadi" w:cs="*Arial-7423-Identity-H"/>
          <w:color w:val="0D0C0F"/>
          <w:sz w:val="21"/>
          <w:szCs w:val="21"/>
        </w:rPr>
        <w:t>del ejercicio fiscal del año 2020.</w:t>
      </w:r>
    </w:p>
    <w:p w14:paraId="719C76B3" w14:textId="77777777" w:rsidR="0016773C" w:rsidRPr="003D0AE7" w:rsidRDefault="0016773C" w:rsidP="0016773C">
      <w:pPr>
        <w:autoSpaceDE w:val="0"/>
        <w:autoSpaceDN w:val="0"/>
        <w:adjustRightInd w:val="0"/>
        <w:jc w:val="both"/>
        <w:rPr>
          <w:rFonts w:ascii="Abadi" w:hAnsi="Abadi" w:cs="*Arial-7423-Identity-H"/>
          <w:color w:val="0D0C0F"/>
          <w:sz w:val="21"/>
          <w:szCs w:val="21"/>
        </w:rPr>
      </w:pPr>
    </w:p>
    <w:p w14:paraId="1A82973B" w14:textId="77777777" w:rsidR="0016773C" w:rsidRDefault="0016773C" w:rsidP="0016773C">
      <w:pPr>
        <w:autoSpaceDE w:val="0"/>
        <w:autoSpaceDN w:val="0"/>
        <w:adjustRightInd w:val="0"/>
        <w:ind w:firstLine="708"/>
        <w:jc w:val="both"/>
        <w:rPr>
          <w:rFonts w:ascii="Abadi" w:hAnsi="Abadi" w:cs="*Arial-7423-Identity-H"/>
          <w:color w:val="0D0C0F"/>
          <w:sz w:val="21"/>
          <w:szCs w:val="21"/>
        </w:rPr>
      </w:pPr>
      <w:r w:rsidRPr="003D0AE7">
        <w:rPr>
          <w:rFonts w:ascii="Abadi" w:hAnsi="Abadi" w:cs="*Arial-7423-Identity-H"/>
          <w:color w:val="0D0C0F"/>
          <w:sz w:val="21"/>
          <w:szCs w:val="21"/>
        </w:rPr>
        <w:t>Se ordena dar vista del informe de resultados al ayuntamiento del municipio</w:t>
      </w:r>
      <w:r>
        <w:rPr>
          <w:rFonts w:ascii="Abadi" w:hAnsi="Abadi" w:cs="*Arial-7423-Identity-H"/>
          <w:color w:val="0D0C0F"/>
          <w:sz w:val="21"/>
          <w:szCs w:val="21"/>
        </w:rPr>
        <w:t xml:space="preserve"> </w:t>
      </w:r>
      <w:r w:rsidRPr="003D0AE7">
        <w:rPr>
          <w:rFonts w:ascii="Abadi" w:hAnsi="Abadi" w:cs="*Arial-7423-Identity-H"/>
          <w:color w:val="0D0C0F"/>
          <w:sz w:val="21"/>
          <w:szCs w:val="21"/>
        </w:rPr>
        <w:t xml:space="preserve">de Purísima del Rincón, </w:t>
      </w:r>
      <w:proofErr w:type="spellStart"/>
      <w:r w:rsidRPr="003D0AE7">
        <w:rPr>
          <w:rFonts w:ascii="Abadi" w:hAnsi="Abadi" w:cs="*Arial-7423-Identity-H"/>
          <w:color w:val="0D0C0F"/>
          <w:sz w:val="21"/>
          <w:szCs w:val="21"/>
        </w:rPr>
        <w:t>Gto</w:t>
      </w:r>
      <w:proofErr w:type="spellEnd"/>
      <w:r w:rsidRPr="003D0AE7">
        <w:rPr>
          <w:rFonts w:ascii="Abadi" w:hAnsi="Abadi" w:cs="*Arial-7423-Identity-H"/>
          <w:color w:val="0D0C0F"/>
          <w:sz w:val="21"/>
          <w:szCs w:val="21"/>
        </w:rPr>
        <w:t>., a efecto de que se atiendan las recomendaciones</w:t>
      </w:r>
      <w:r>
        <w:rPr>
          <w:rFonts w:ascii="Abadi" w:hAnsi="Abadi" w:cs="*Arial-7423-Identity-H"/>
          <w:color w:val="0D0C0F"/>
          <w:sz w:val="21"/>
          <w:szCs w:val="21"/>
        </w:rPr>
        <w:t xml:space="preserve"> </w:t>
      </w:r>
      <w:r w:rsidRPr="003D0AE7">
        <w:rPr>
          <w:rFonts w:ascii="Abadi" w:hAnsi="Abadi" w:cs="*Arial-7423-Identity-H"/>
          <w:color w:val="0D0C0F"/>
          <w:sz w:val="21"/>
          <w:szCs w:val="21"/>
        </w:rPr>
        <w:t>contenidas en el informe de resultados, informando a la Auditoría Superior del</w:t>
      </w:r>
      <w:r>
        <w:rPr>
          <w:rFonts w:ascii="Abadi" w:hAnsi="Abadi" w:cs="*Arial-7423-Identity-H"/>
          <w:color w:val="0D0C0F"/>
          <w:sz w:val="21"/>
          <w:szCs w:val="21"/>
        </w:rPr>
        <w:t xml:space="preserve"> </w:t>
      </w:r>
      <w:r w:rsidRPr="003D0AE7">
        <w:rPr>
          <w:rFonts w:ascii="Abadi" w:hAnsi="Abadi" w:cs="*Arial-7423-Identity-H"/>
          <w:color w:val="0D0C0F"/>
          <w:sz w:val="21"/>
          <w:szCs w:val="21"/>
        </w:rPr>
        <w:t>Estado de las acciones realizadas para ello, con objeto de que esta última realice</w:t>
      </w:r>
      <w:r>
        <w:rPr>
          <w:rFonts w:ascii="Abadi" w:hAnsi="Abadi" w:cs="*Arial-7423-Identity-H"/>
          <w:color w:val="0D0C0F"/>
          <w:sz w:val="21"/>
          <w:szCs w:val="21"/>
        </w:rPr>
        <w:t xml:space="preserve"> </w:t>
      </w:r>
      <w:r w:rsidRPr="003D0AE7">
        <w:rPr>
          <w:rFonts w:ascii="Abadi" w:hAnsi="Abadi" w:cs="*Arial-7423-Identity-H"/>
          <w:color w:val="0D0C0F"/>
          <w:sz w:val="21"/>
          <w:szCs w:val="21"/>
        </w:rPr>
        <w:t>el seguimiento correspondiente, previsto en los artículos 37, fracción VII, 65 y 66</w:t>
      </w:r>
      <w:r>
        <w:rPr>
          <w:rFonts w:ascii="Abadi" w:hAnsi="Abadi" w:cs="*Arial-7423-Identity-H"/>
          <w:color w:val="0D0C0F"/>
          <w:sz w:val="21"/>
          <w:szCs w:val="21"/>
        </w:rPr>
        <w:t xml:space="preserve"> </w:t>
      </w:r>
      <w:r w:rsidRPr="003D0AE7">
        <w:rPr>
          <w:rFonts w:ascii="Abadi" w:hAnsi="Abadi" w:cs="*Arial-7423-Identity-H"/>
          <w:color w:val="0D0C0F"/>
          <w:sz w:val="21"/>
          <w:szCs w:val="21"/>
        </w:rPr>
        <w:t>de la Ley de Fiscalización Superior del Estado de Guanajuato y 77 del Reglamento</w:t>
      </w:r>
      <w:r>
        <w:rPr>
          <w:rFonts w:ascii="Abadi" w:hAnsi="Abadi" w:cs="*Arial-7423-Identity-H"/>
          <w:color w:val="0D0C0F"/>
          <w:sz w:val="21"/>
          <w:szCs w:val="21"/>
        </w:rPr>
        <w:t xml:space="preserve"> </w:t>
      </w:r>
      <w:r w:rsidRPr="003D0AE7">
        <w:rPr>
          <w:rFonts w:ascii="Abadi" w:hAnsi="Abadi" w:cs="*Arial-7423-Identity-H"/>
          <w:color w:val="0D0C0F"/>
          <w:sz w:val="21"/>
          <w:szCs w:val="21"/>
        </w:rPr>
        <w:t>de dicha Ley.</w:t>
      </w:r>
    </w:p>
    <w:p w14:paraId="1EF082FC" w14:textId="77777777" w:rsidR="0016773C" w:rsidRPr="003D0AE7" w:rsidRDefault="0016773C" w:rsidP="0016773C">
      <w:pPr>
        <w:autoSpaceDE w:val="0"/>
        <w:autoSpaceDN w:val="0"/>
        <w:adjustRightInd w:val="0"/>
        <w:jc w:val="both"/>
        <w:rPr>
          <w:rFonts w:ascii="Abadi" w:hAnsi="Abadi" w:cs="*Arial-7423-Identity-H"/>
          <w:color w:val="0D0C0F"/>
          <w:sz w:val="21"/>
          <w:szCs w:val="21"/>
        </w:rPr>
      </w:pPr>
    </w:p>
    <w:p w14:paraId="0BDDBB24" w14:textId="77777777" w:rsidR="0016773C" w:rsidRDefault="0016773C" w:rsidP="0016773C">
      <w:pPr>
        <w:autoSpaceDE w:val="0"/>
        <w:autoSpaceDN w:val="0"/>
        <w:adjustRightInd w:val="0"/>
        <w:ind w:firstLine="708"/>
        <w:jc w:val="both"/>
        <w:rPr>
          <w:rFonts w:ascii="Abadi" w:hAnsi="Abadi" w:cs="*Arial-4783-Identity-H"/>
          <w:color w:val="0E0E10"/>
          <w:sz w:val="21"/>
          <w:szCs w:val="21"/>
        </w:rPr>
      </w:pPr>
      <w:r w:rsidRPr="003D0AE7">
        <w:rPr>
          <w:rFonts w:ascii="Abadi" w:hAnsi="Abadi" w:cs="*Arial-4783-Identity-H"/>
          <w:color w:val="101012"/>
          <w:sz w:val="21"/>
          <w:szCs w:val="21"/>
        </w:rPr>
        <w:t>De conformidad con el artículo 37, fracción VI de la Ley de Fiscalización</w:t>
      </w:r>
      <w:r>
        <w:rPr>
          <w:rFonts w:ascii="Abadi" w:hAnsi="Abadi" w:cs="*Arial-4783-Identity-H"/>
          <w:color w:val="101012"/>
          <w:sz w:val="21"/>
          <w:szCs w:val="21"/>
        </w:rPr>
        <w:t xml:space="preserve"> </w:t>
      </w:r>
      <w:r w:rsidRPr="003D0AE7">
        <w:rPr>
          <w:rFonts w:ascii="Abadi" w:hAnsi="Abadi" w:cs="*Arial-4783-Identity-H"/>
          <w:color w:val="101012"/>
          <w:sz w:val="21"/>
          <w:szCs w:val="21"/>
        </w:rPr>
        <w:t xml:space="preserve">Superior del Estado de Guanajuato, remítase el </w:t>
      </w:r>
      <w:r>
        <w:rPr>
          <w:rFonts w:ascii="Abadi" w:hAnsi="Abadi" w:cs="*Arial-4783-Identity-H"/>
          <w:color w:val="101012"/>
          <w:sz w:val="21"/>
          <w:szCs w:val="21"/>
        </w:rPr>
        <w:t xml:space="preserve">acuerdo </w:t>
      </w:r>
      <w:r w:rsidRPr="003D0AE7">
        <w:rPr>
          <w:rFonts w:ascii="Abadi" w:hAnsi="Abadi" w:cs="*Arial-4783-Identity-H"/>
          <w:color w:val="101012"/>
          <w:sz w:val="21"/>
          <w:szCs w:val="21"/>
        </w:rPr>
        <w:t>junto con su</w:t>
      </w:r>
      <w:r>
        <w:rPr>
          <w:rFonts w:ascii="Abadi" w:hAnsi="Abadi" w:cs="*Arial-4783-Identity-H"/>
          <w:color w:val="101012"/>
          <w:sz w:val="21"/>
          <w:szCs w:val="21"/>
        </w:rPr>
        <w:t xml:space="preserve"> </w:t>
      </w:r>
      <w:r w:rsidRPr="003D0AE7">
        <w:rPr>
          <w:rFonts w:ascii="Abadi" w:hAnsi="Abadi" w:cs="*Arial-4783-Identity-H"/>
          <w:color w:val="101012"/>
          <w:sz w:val="21"/>
          <w:szCs w:val="21"/>
        </w:rPr>
        <w:t>dictamen y el informe de resultados a la A</w:t>
      </w:r>
      <w:r>
        <w:rPr>
          <w:rFonts w:ascii="Abadi" w:hAnsi="Abadi" w:cs="*Arial-4783-Identity-H"/>
          <w:color w:val="101012"/>
          <w:sz w:val="21"/>
          <w:szCs w:val="21"/>
        </w:rPr>
        <w:t>uditoría Superior</w:t>
      </w:r>
      <w:r w:rsidRPr="003D0AE7">
        <w:rPr>
          <w:rFonts w:ascii="Abadi" w:hAnsi="Abadi" w:cs="*Arial-4783-Identity-H"/>
          <w:color w:val="101012"/>
          <w:sz w:val="21"/>
          <w:szCs w:val="21"/>
        </w:rPr>
        <w:t xml:space="preserve"> del Estado, para</w:t>
      </w:r>
      <w:r>
        <w:rPr>
          <w:rFonts w:ascii="Abadi" w:hAnsi="Abadi" w:cs="*Arial-4783-Identity-H"/>
          <w:color w:val="101012"/>
          <w:sz w:val="21"/>
          <w:szCs w:val="21"/>
        </w:rPr>
        <w:t xml:space="preserve"> </w:t>
      </w:r>
      <w:r w:rsidRPr="003D0AE7">
        <w:rPr>
          <w:rFonts w:ascii="Abadi" w:hAnsi="Abadi" w:cs="*Arial-4783-Identity-H"/>
          <w:color w:val="0E0E10"/>
          <w:sz w:val="21"/>
          <w:szCs w:val="21"/>
        </w:rPr>
        <w:t>efectos de su notificación.</w:t>
      </w:r>
    </w:p>
    <w:p w14:paraId="38ADFEB3" w14:textId="77777777" w:rsidR="00AF2A78" w:rsidRDefault="00AF2A78" w:rsidP="0016773C">
      <w:pPr>
        <w:autoSpaceDE w:val="0"/>
        <w:autoSpaceDN w:val="0"/>
        <w:adjustRightInd w:val="0"/>
        <w:ind w:firstLine="708"/>
        <w:jc w:val="both"/>
        <w:rPr>
          <w:rFonts w:ascii="Abadi" w:hAnsi="Abadi" w:cs="*Arial-4783-Identity-H"/>
          <w:color w:val="0E0E10"/>
          <w:sz w:val="21"/>
          <w:szCs w:val="21"/>
        </w:rPr>
      </w:pPr>
    </w:p>
    <w:p w14:paraId="36240F70" w14:textId="77777777" w:rsidR="00AF2A78" w:rsidRPr="009E34BC" w:rsidRDefault="00AF2A78" w:rsidP="00AF2A78">
      <w:pPr>
        <w:autoSpaceDE w:val="0"/>
        <w:autoSpaceDN w:val="0"/>
        <w:adjustRightInd w:val="0"/>
        <w:jc w:val="center"/>
        <w:rPr>
          <w:rFonts w:ascii="Abadi" w:hAnsi="Abadi" w:cs="*Arial-Bold-4914-Identity-H"/>
          <w:b/>
          <w:bCs/>
          <w:color w:val="0E0D12"/>
          <w:sz w:val="21"/>
          <w:szCs w:val="21"/>
        </w:rPr>
      </w:pPr>
      <w:r w:rsidRPr="009E34BC">
        <w:rPr>
          <w:rFonts w:ascii="Abadi" w:hAnsi="Abadi" w:cs="*Arial-Bold-4914-Identity-H"/>
          <w:b/>
          <w:bCs/>
          <w:color w:val="0E0D12"/>
          <w:sz w:val="21"/>
          <w:szCs w:val="21"/>
        </w:rPr>
        <w:t xml:space="preserve">Guanajuato, </w:t>
      </w:r>
      <w:proofErr w:type="spellStart"/>
      <w:r w:rsidRPr="009E34BC">
        <w:rPr>
          <w:rFonts w:ascii="Abadi" w:hAnsi="Abadi" w:cs="*Arial-Bold-4914-Identity-H"/>
          <w:b/>
          <w:bCs/>
          <w:color w:val="0E0D12"/>
          <w:sz w:val="21"/>
          <w:szCs w:val="21"/>
        </w:rPr>
        <w:t>Gto</w:t>
      </w:r>
      <w:proofErr w:type="spellEnd"/>
      <w:r w:rsidRPr="009E34BC">
        <w:rPr>
          <w:rFonts w:ascii="Abadi" w:hAnsi="Abadi" w:cs="*Arial-Bold-4914-Identity-H"/>
          <w:b/>
          <w:bCs/>
          <w:color w:val="0E0D12"/>
          <w:sz w:val="21"/>
          <w:szCs w:val="21"/>
        </w:rPr>
        <w:t>., 19 d</w:t>
      </w:r>
      <w:r>
        <w:rPr>
          <w:rFonts w:ascii="Abadi" w:hAnsi="Abadi" w:cs="*Arial-Bold-4914-Identity-H"/>
          <w:b/>
          <w:bCs/>
          <w:color w:val="0E0D12"/>
          <w:sz w:val="21"/>
          <w:szCs w:val="21"/>
        </w:rPr>
        <w:t>e abril de 2022</w:t>
      </w:r>
    </w:p>
    <w:p w14:paraId="20711814" w14:textId="77777777" w:rsidR="00AF2A78" w:rsidRDefault="00AF2A78" w:rsidP="00AF2A78">
      <w:pPr>
        <w:jc w:val="center"/>
        <w:rPr>
          <w:rFonts w:ascii="Abadi" w:hAnsi="Abadi" w:cs="*Arial-Bold-4914-Identity-H"/>
          <w:b/>
          <w:bCs/>
          <w:color w:val="0C0B10"/>
          <w:sz w:val="21"/>
          <w:szCs w:val="21"/>
        </w:rPr>
      </w:pPr>
      <w:r w:rsidRPr="009E34BC">
        <w:rPr>
          <w:rFonts w:ascii="Abadi" w:hAnsi="Abadi" w:cs="*Arial-Bold-4914-Identity-H"/>
          <w:b/>
          <w:bCs/>
          <w:color w:val="0C0B10"/>
          <w:sz w:val="21"/>
          <w:szCs w:val="21"/>
        </w:rPr>
        <w:t>La Comisión de</w:t>
      </w:r>
      <w:r>
        <w:rPr>
          <w:rFonts w:ascii="Abadi" w:hAnsi="Abadi" w:cs="*Arial-Bold-4914-Identity-H"/>
          <w:b/>
          <w:bCs/>
          <w:color w:val="0C0B10"/>
          <w:sz w:val="21"/>
          <w:szCs w:val="21"/>
        </w:rPr>
        <w:t xml:space="preserve"> Hacienda y Fiscalización</w:t>
      </w:r>
    </w:p>
    <w:p w14:paraId="2DB56952" w14:textId="77777777" w:rsidR="00AF2A78" w:rsidRDefault="00AF2A78" w:rsidP="00AF2A78">
      <w:pPr>
        <w:jc w:val="both"/>
        <w:rPr>
          <w:rFonts w:ascii="Abadi" w:hAnsi="Abadi" w:cs="*Arial-Bold-4914-Identity-H"/>
          <w:b/>
          <w:bCs/>
          <w:color w:val="0C0B10"/>
          <w:sz w:val="21"/>
          <w:szCs w:val="21"/>
        </w:rPr>
      </w:pPr>
    </w:p>
    <w:p w14:paraId="23962F28" w14:textId="77777777" w:rsidR="00AF2A78" w:rsidRDefault="00AF2A78" w:rsidP="00AF2A78">
      <w:pPr>
        <w:jc w:val="center"/>
        <w:rPr>
          <w:rFonts w:ascii="Abadi" w:hAnsi="Abadi" w:cs="*Arial-Bold-4914-Identity-H"/>
          <w:b/>
          <w:bCs/>
          <w:color w:val="0C0B10"/>
          <w:sz w:val="21"/>
          <w:szCs w:val="21"/>
        </w:rPr>
      </w:pPr>
      <w:r>
        <w:rPr>
          <w:rFonts w:ascii="Abadi" w:hAnsi="Abadi" w:cs="*Arial-Bold-4914-Identity-H"/>
          <w:b/>
          <w:bCs/>
          <w:color w:val="0C0B10"/>
          <w:sz w:val="21"/>
          <w:szCs w:val="21"/>
        </w:rPr>
        <w:t>Diputado Víctor Manuel Zanella Huerta</w:t>
      </w:r>
    </w:p>
    <w:p w14:paraId="539BC621" w14:textId="77777777" w:rsidR="00AF2A78" w:rsidRDefault="00AF2A78" w:rsidP="00AF2A78">
      <w:pPr>
        <w:jc w:val="both"/>
        <w:rPr>
          <w:rFonts w:ascii="Abadi" w:hAnsi="Abadi" w:cs="*Arial-Bold-4914-Identity-H"/>
          <w:b/>
          <w:bCs/>
          <w:color w:val="0C0B10"/>
          <w:sz w:val="21"/>
          <w:szCs w:val="21"/>
        </w:rPr>
      </w:pPr>
    </w:p>
    <w:p w14:paraId="1A0CCD76" w14:textId="77777777" w:rsidR="00AF2A78" w:rsidRDefault="00AF2A78" w:rsidP="00AF2A78">
      <w:pPr>
        <w:jc w:val="both"/>
        <w:rPr>
          <w:rFonts w:ascii="Abadi" w:hAnsi="Abadi" w:cs="*Arial-Bold-4914-Identity-H"/>
          <w:b/>
          <w:bCs/>
          <w:color w:val="0C0B10"/>
          <w:sz w:val="21"/>
          <w:szCs w:val="21"/>
        </w:rPr>
      </w:pPr>
      <w:r>
        <w:rPr>
          <w:rFonts w:ascii="Abadi" w:hAnsi="Abadi" w:cs="*Arial-Bold-4914-Identity-H"/>
          <w:b/>
          <w:bCs/>
          <w:color w:val="0C0B10"/>
          <w:sz w:val="21"/>
          <w:szCs w:val="21"/>
        </w:rPr>
        <w:t>Diputada Ruth Noemí Tiscareño Agoitia</w:t>
      </w:r>
    </w:p>
    <w:p w14:paraId="7832E9CD" w14:textId="77777777" w:rsidR="00AF2A78" w:rsidRDefault="00AF2A78" w:rsidP="00AF2A78">
      <w:pPr>
        <w:jc w:val="both"/>
        <w:rPr>
          <w:rFonts w:ascii="Abadi" w:hAnsi="Abadi" w:cs="*Arial-Bold-4914-Identity-H"/>
          <w:b/>
          <w:bCs/>
          <w:color w:val="0C0B10"/>
          <w:sz w:val="21"/>
          <w:szCs w:val="21"/>
        </w:rPr>
      </w:pPr>
      <w:r>
        <w:rPr>
          <w:rFonts w:ascii="Abadi" w:hAnsi="Abadi" w:cs="*Arial-Bold-4914-Identity-H"/>
          <w:b/>
          <w:bCs/>
          <w:color w:val="0C0B10"/>
          <w:sz w:val="21"/>
          <w:szCs w:val="21"/>
        </w:rPr>
        <w:t xml:space="preserve">Diputado Miguel Ángel Salim </w:t>
      </w:r>
      <w:proofErr w:type="spellStart"/>
      <w:r>
        <w:rPr>
          <w:rFonts w:ascii="Abadi" w:hAnsi="Abadi" w:cs="*Arial-Bold-4914-Identity-H"/>
          <w:b/>
          <w:bCs/>
          <w:color w:val="0C0B10"/>
          <w:sz w:val="21"/>
          <w:szCs w:val="21"/>
        </w:rPr>
        <w:t>Alle</w:t>
      </w:r>
      <w:proofErr w:type="spellEnd"/>
    </w:p>
    <w:p w14:paraId="544057AE" w14:textId="77777777" w:rsidR="00AF2A78" w:rsidRDefault="00AF2A78" w:rsidP="00AF2A78">
      <w:pPr>
        <w:jc w:val="both"/>
        <w:rPr>
          <w:rFonts w:ascii="Abadi" w:hAnsi="Abadi" w:cs="*Arial-Bold-4914-Identity-H"/>
          <w:b/>
          <w:bCs/>
          <w:color w:val="0C0B10"/>
          <w:sz w:val="21"/>
          <w:szCs w:val="21"/>
        </w:rPr>
      </w:pPr>
      <w:r>
        <w:rPr>
          <w:rFonts w:ascii="Abadi" w:hAnsi="Abadi" w:cs="*Arial-Bold-4914-Identity-H"/>
          <w:b/>
          <w:bCs/>
          <w:color w:val="0C0B10"/>
          <w:sz w:val="21"/>
          <w:szCs w:val="21"/>
        </w:rPr>
        <w:t>Diputado José Alfonso Borja Pimentel</w:t>
      </w:r>
    </w:p>
    <w:p w14:paraId="437091F1" w14:textId="77777777" w:rsidR="00AF2A78" w:rsidRDefault="00AF2A78" w:rsidP="00AF2A78">
      <w:pPr>
        <w:jc w:val="both"/>
        <w:rPr>
          <w:rFonts w:ascii="Abadi" w:hAnsi="Abadi" w:cs="*Arial-Bold-4914-Identity-H"/>
          <w:b/>
          <w:bCs/>
          <w:color w:val="0C0B10"/>
          <w:sz w:val="21"/>
          <w:szCs w:val="21"/>
        </w:rPr>
      </w:pPr>
      <w:r>
        <w:rPr>
          <w:rFonts w:ascii="Abadi" w:hAnsi="Abadi" w:cs="*Arial-Bold-4914-Identity-H"/>
          <w:b/>
          <w:bCs/>
          <w:color w:val="0C0B10"/>
          <w:sz w:val="21"/>
          <w:szCs w:val="21"/>
        </w:rPr>
        <w:t>Diputada Alma Edwviges Alcaraz Hernández</w:t>
      </w:r>
    </w:p>
    <w:p w14:paraId="509B9B53" w14:textId="77777777" w:rsidR="00AF2A78" w:rsidRPr="00360EC2" w:rsidRDefault="00AF2A78" w:rsidP="00AF2A78">
      <w:pPr>
        <w:autoSpaceDE w:val="0"/>
        <w:autoSpaceDN w:val="0"/>
        <w:adjustRightInd w:val="0"/>
        <w:ind w:firstLine="708"/>
        <w:jc w:val="both"/>
        <w:rPr>
          <w:rFonts w:ascii="Abadi" w:hAnsi="Abadi" w:cs="*Arial-5265-Identity-H"/>
          <w:color w:val="0E0E10"/>
          <w:sz w:val="21"/>
          <w:szCs w:val="21"/>
        </w:rPr>
      </w:pPr>
    </w:p>
    <w:p w14:paraId="5161F5EB" w14:textId="77777777" w:rsidR="00AF2A78" w:rsidRPr="003D0AE7" w:rsidRDefault="00AF2A78" w:rsidP="0016773C">
      <w:pPr>
        <w:autoSpaceDE w:val="0"/>
        <w:autoSpaceDN w:val="0"/>
        <w:adjustRightInd w:val="0"/>
        <w:ind w:firstLine="708"/>
        <w:jc w:val="both"/>
        <w:rPr>
          <w:rFonts w:ascii="Abadi" w:hAnsi="Abadi"/>
          <w:sz w:val="21"/>
          <w:szCs w:val="21"/>
        </w:rPr>
      </w:pPr>
    </w:p>
    <w:p w14:paraId="44CEEC46" w14:textId="77777777" w:rsidR="00021259" w:rsidRPr="001D2CB5" w:rsidRDefault="00021259" w:rsidP="00343CA9">
      <w:pPr>
        <w:pStyle w:val="Prrafodelista"/>
        <w:numPr>
          <w:ilvl w:val="0"/>
          <w:numId w:val="30"/>
        </w:numPr>
        <w:autoSpaceDE w:val="0"/>
        <w:autoSpaceDN w:val="0"/>
        <w:adjustRightInd w:val="0"/>
        <w:ind w:left="426"/>
        <w:jc w:val="both"/>
        <w:rPr>
          <w:rFonts w:ascii="Abadi" w:hAnsi="Abadi" w:cs="ArialMT"/>
          <w:b/>
          <w:bCs/>
          <w:sz w:val="20"/>
          <w:szCs w:val="21"/>
        </w:rPr>
      </w:pPr>
      <w:r w:rsidRPr="001D2CB5">
        <w:rPr>
          <w:rFonts w:ascii="Abadi" w:hAnsi="Abadi" w:cs="ArialMT"/>
          <w:b/>
          <w:bCs/>
          <w:sz w:val="20"/>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ROMITA, GTO., CON ENFOQUE A RESULTADOS DEL SERVICIO DE ALUMBRADO PÚBLICO, POR EL PERIODO COMPRENDIDO DEL 1 DE ENERO AL 31 DE DICIEMBRE DEL EJERCICIO FISCAL DEL AÑO 2020.</w:t>
      </w:r>
    </w:p>
    <w:p w14:paraId="514B100C" w14:textId="77777777" w:rsidR="00021259" w:rsidRDefault="00021259" w:rsidP="00021259">
      <w:pPr>
        <w:autoSpaceDE w:val="0"/>
        <w:autoSpaceDN w:val="0"/>
        <w:adjustRightInd w:val="0"/>
        <w:jc w:val="both"/>
        <w:rPr>
          <w:rFonts w:ascii="Abadi" w:hAnsi="Abadi" w:cs="ArialMT"/>
          <w:sz w:val="20"/>
          <w:szCs w:val="21"/>
        </w:rPr>
      </w:pPr>
    </w:p>
    <w:p w14:paraId="771AA03D" w14:textId="77777777" w:rsidR="00D919C2" w:rsidRDefault="00D919C2" w:rsidP="00021259">
      <w:pPr>
        <w:autoSpaceDE w:val="0"/>
        <w:autoSpaceDN w:val="0"/>
        <w:adjustRightInd w:val="0"/>
        <w:jc w:val="both"/>
        <w:rPr>
          <w:rFonts w:ascii="Abadi" w:hAnsi="Abadi" w:cs="ArialMT"/>
          <w:sz w:val="20"/>
          <w:szCs w:val="21"/>
        </w:rPr>
      </w:pPr>
    </w:p>
    <w:p w14:paraId="47BC5076" w14:textId="47CFB672" w:rsidR="00B314DB" w:rsidRPr="00B314DB" w:rsidRDefault="00B314DB" w:rsidP="00B314DB">
      <w:pPr>
        <w:autoSpaceDE w:val="0"/>
        <w:autoSpaceDN w:val="0"/>
        <w:adjustRightInd w:val="0"/>
        <w:rPr>
          <w:rFonts w:ascii="Abadi" w:eastAsia="Calibri" w:hAnsi="Abadi" w:cs="*Arial-Bold-6714-Identity-H"/>
          <w:b/>
          <w:bCs/>
          <w:color w:val="0C0A0E"/>
          <w:sz w:val="21"/>
          <w:szCs w:val="21"/>
          <w:lang w:val="es-MX" w:eastAsia="en-US"/>
        </w:rPr>
      </w:pPr>
      <w:r w:rsidRPr="00B314DB">
        <w:rPr>
          <w:rFonts w:ascii="Abadi" w:eastAsia="Calibri" w:hAnsi="Abadi" w:cs="*Arial-Bold-6714-Identity-H"/>
          <w:b/>
          <w:bCs/>
          <w:color w:val="0C0A0E"/>
          <w:sz w:val="21"/>
          <w:szCs w:val="21"/>
          <w:lang w:val="es-MX" w:eastAsia="en-US"/>
        </w:rPr>
        <w:t>C. PRESIDENTA DEL CONGRESO DEL ESTADO.</w:t>
      </w:r>
    </w:p>
    <w:p w14:paraId="1E67AC7D" w14:textId="77777777" w:rsidR="00B314DB" w:rsidRPr="00B314DB" w:rsidRDefault="00B314DB" w:rsidP="00B314DB">
      <w:pPr>
        <w:autoSpaceDE w:val="0"/>
        <w:autoSpaceDN w:val="0"/>
        <w:adjustRightInd w:val="0"/>
        <w:rPr>
          <w:rFonts w:ascii="Abadi" w:eastAsia="Calibri" w:hAnsi="Abadi" w:cs="*Arial-Bold-6714-Identity-H"/>
          <w:b/>
          <w:bCs/>
          <w:color w:val="0C0A0E"/>
          <w:sz w:val="21"/>
          <w:szCs w:val="21"/>
          <w:lang w:val="es-MX" w:eastAsia="en-US"/>
        </w:rPr>
      </w:pPr>
      <w:r w:rsidRPr="00B314DB">
        <w:rPr>
          <w:rFonts w:ascii="Abadi" w:eastAsia="Calibri" w:hAnsi="Abadi" w:cs="*Arial-Bold-6714-Identity-H"/>
          <w:b/>
          <w:bCs/>
          <w:color w:val="0C0A0E"/>
          <w:sz w:val="21"/>
          <w:szCs w:val="21"/>
          <w:lang w:val="es-MX" w:eastAsia="en-US"/>
        </w:rPr>
        <w:t>P R E SE NTE.</w:t>
      </w:r>
    </w:p>
    <w:p w14:paraId="0A51074A" w14:textId="77777777" w:rsidR="00B314DB" w:rsidRPr="00B314DB" w:rsidRDefault="00B314DB" w:rsidP="00B314DB">
      <w:pPr>
        <w:autoSpaceDE w:val="0"/>
        <w:autoSpaceDN w:val="0"/>
        <w:adjustRightInd w:val="0"/>
        <w:jc w:val="both"/>
        <w:rPr>
          <w:rFonts w:ascii="Abadi" w:eastAsia="Calibri" w:hAnsi="Abadi" w:cs="*Arial-6712-Identity-H"/>
          <w:color w:val="0C0B0E"/>
          <w:sz w:val="21"/>
          <w:szCs w:val="21"/>
          <w:lang w:val="es-MX" w:eastAsia="en-US"/>
        </w:rPr>
      </w:pPr>
    </w:p>
    <w:p w14:paraId="6191471F" w14:textId="78C778CF" w:rsidR="00B314DB" w:rsidRPr="00B314DB" w:rsidRDefault="00B314DB" w:rsidP="00B314DB">
      <w:pPr>
        <w:autoSpaceDE w:val="0"/>
        <w:autoSpaceDN w:val="0"/>
        <w:adjustRightInd w:val="0"/>
        <w:ind w:firstLine="708"/>
        <w:jc w:val="both"/>
        <w:rPr>
          <w:rFonts w:ascii="Abadi" w:eastAsia="Calibri" w:hAnsi="Abadi" w:cs="*Arial-6712-Identity-H"/>
          <w:color w:val="0C0B0E"/>
          <w:sz w:val="21"/>
          <w:szCs w:val="21"/>
          <w:lang w:val="es-MX" w:eastAsia="en-US"/>
        </w:rPr>
      </w:pPr>
      <w:r w:rsidRPr="00B314DB">
        <w:rPr>
          <w:rFonts w:ascii="Abadi" w:eastAsia="Calibri" w:hAnsi="Abadi" w:cs="*Arial-6712-Identity-H"/>
          <w:color w:val="0C0B0E"/>
          <w:sz w:val="21"/>
          <w:szCs w:val="21"/>
          <w:lang w:val="es-MX" w:eastAsia="en-US"/>
        </w:rPr>
        <w:t>A esta Comisión de Hacienda y Fiscalización le fue turnado para su estudio y dictamen, el informe de resultados de la auditoría de desempeño practicada por la Auditoría Superior del Estado de Guanajuato a la administración municipal de R</w:t>
      </w:r>
      <w:r w:rsidR="0027744D">
        <w:rPr>
          <w:rFonts w:ascii="Abadi" w:eastAsia="Calibri" w:hAnsi="Abadi" w:cs="*Arial-6712-Identity-H"/>
          <w:color w:val="0C0B0E"/>
          <w:sz w:val="21"/>
          <w:szCs w:val="21"/>
          <w:lang w:val="es-MX" w:eastAsia="en-US"/>
        </w:rPr>
        <w:t>o</w:t>
      </w:r>
      <w:r w:rsidRPr="00B314DB">
        <w:rPr>
          <w:rFonts w:ascii="Abadi" w:eastAsia="Calibri" w:hAnsi="Abadi" w:cs="*Arial-6712-Identity-H"/>
          <w:color w:val="0C0B0E"/>
          <w:sz w:val="21"/>
          <w:szCs w:val="21"/>
          <w:lang w:val="es-MX" w:eastAsia="en-US"/>
        </w:rPr>
        <w:t xml:space="preserve">mita, </w:t>
      </w:r>
      <w:proofErr w:type="spellStart"/>
      <w:r w:rsidRPr="00B314DB">
        <w:rPr>
          <w:rFonts w:ascii="Abadi" w:eastAsia="Calibri" w:hAnsi="Abadi" w:cs="*Arial-6712-Identity-H"/>
          <w:color w:val="0C0B0E"/>
          <w:sz w:val="21"/>
          <w:szCs w:val="21"/>
          <w:lang w:val="es-MX" w:eastAsia="en-US"/>
        </w:rPr>
        <w:t>Gto</w:t>
      </w:r>
      <w:proofErr w:type="spellEnd"/>
      <w:r w:rsidRPr="00B314DB">
        <w:rPr>
          <w:rFonts w:ascii="Abadi" w:eastAsia="Calibri" w:hAnsi="Abadi" w:cs="*Arial-6712-Identity-H"/>
          <w:color w:val="0C0B0E"/>
          <w:sz w:val="21"/>
          <w:szCs w:val="21"/>
          <w:lang w:val="es-MX" w:eastAsia="en-US"/>
        </w:rPr>
        <w:t>., con enfoque a resultados del servicio de alumbrado público, por el periodo comprendido del 1 de enero al 31 de diciembre del ejercicio fiscal del año 2020.</w:t>
      </w:r>
    </w:p>
    <w:p w14:paraId="1D6254AB" w14:textId="77777777" w:rsidR="00B314DB" w:rsidRPr="00B314DB" w:rsidRDefault="00B314DB" w:rsidP="00B314DB">
      <w:pPr>
        <w:autoSpaceDE w:val="0"/>
        <w:autoSpaceDN w:val="0"/>
        <w:adjustRightInd w:val="0"/>
        <w:jc w:val="both"/>
        <w:rPr>
          <w:rFonts w:ascii="Abadi" w:eastAsia="Calibri" w:hAnsi="Abadi" w:cs="*Arial-6712-Identity-H"/>
          <w:color w:val="0C0C0F"/>
          <w:sz w:val="21"/>
          <w:szCs w:val="21"/>
          <w:lang w:val="es-MX" w:eastAsia="en-US"/>
        </w:rPr>
      </w:pPr>
    </w:p>
    <w:p w14:paraId="6056E6E1" w14:textId="77777777" w:rsidR="00B314DB" w:rsidRPr="00B314DB" w:rsidRDefault="00B314DB" w:rsidP="00B314DB">
      <w:pPr>
        <w:autoSpaceDE w:val="0"/>
        <w:autoSpaceDN w:val="0"/>
        <w:adjustRightInd w:val="0"/>
        <w:ind w:firstLine="708"/>
        <w:jc w:val="both"/>
        <w:rPr>
          <w:rFonts w:ascii="Abadi" w:eastAsia="Calibri" w:hAnsi="Abadi" w:cs="*Arial-6712-Identity-H"/>
          <w:color w:val="0C0C0F"/>
          <w:sz w:val="21"/>
          <w:szCs w:val="21"/>
          <w:lang w:val="es-MX" w:eastAsia="en-US"/>
        </w:rPr>
      </w:pPr>
      <w:r w:rsidRPr="00B314DB">
        <w:rPr>
          <w:rFonts w:ascii="Abadi" w:eastAsia="Calibri" w:hAnsi="Abadi" w:cs="*Arial-6712-Identity-H"/>
          <w:color w:val="0C0C0F"/>
          <w:sz w:val="21"/>
          <w:szCs w:val="21"/>
          <w:lang w:val="es-MX" w:eastAsia="en-US"/>
        </w:rPr>
        <w:t>Una vez analizado el referido informe de resultados, con fundamento en los artículos 112 fracción XII, primer párrafo y 171 de la Ley Orgánica del Poder Legislativo, nos permitimos rendir el siguiente:</w:t>
      </w:r>
    </w:p>
    <w:p w14:paraId="4F732AB3" w14:textId="77777777" w:rsidR="00B314DB" w:rsidRPr="00B314DB" w:rsidRDefault="00B314DB" w:rsidP="00B314DB">
      <w:pPr>
        <w:autoSpaceDE w:val="0"/>
        <w:autoSpaceDN w:val="0"/>
        <w:adjustRightInd w:val="0"/>
        <w:jc w:val="center"/>
        <w:rPr>
          <w:rFonts w:ascii="Abadi" w:eastAsia="Calibri" w:hAnsi="Abadi" w:cs="*Arial-Bold-6713-Identity-H"/>
          <w:b/>
          <w:bCs/>
          <w:color w:val="0C0C12"/>
          <w:sz w:val="21"/>
          <w:szCs w:val="21"/>
          <w:lang w:val="es-MX" w:eastAsia="en-US"/>
        </w:rPr>
      </w:pPr>
      <w:r w:rsidRPr="00B314DB">
        <w:rPr>
          <w:rFonts w:ascii="Abadi" w:eastAsia="Calibri" w:hAnsi="Abadi" w:cs="*Arial-Bold-6713-Identity-H"/>
          <w:b/>
          <w:bCs/>
          <w:color w:val="0C0C12"/>
          <w:sz w:val="21"/>
          <w:szCs w:val="21"/>
          <w:lang w:val="es-MX" w:eastAsia="en-US"/>
        </w:rPr>
        <w:t>Dictamen</w:t>
      </w:r>
    </w:p>
    <w:p w14:paraId="1039E2F5" w14:textId="77777777" w:rsidR="00B314DB" w:rsidRPr="00B314DB" w:rsidRDefault="00B314DB" w:rsidP="00B314DB">
      <w:pPr>
        <w:autoSpaceDE w:val="0"/>
        <w:autoSpaceDN w:val="0"/>
        <w:adjustRightInd w:val="0"/>
        <w:jc w:val="both"/>
        <w:rPr>
          <w:rFonts w:ascii="Abadi" w:eastAsia="Calibri" w:hAnsi="Abadi" w:cs="*Arial-Bold-6713-Identity-H"/>
          <w:b/>
          <w:bCs/>
          <w:color w:val="0C0C12"/>
          <w:sz w:val="21"/>
          <w:szCs w:val="21"/>
          <w:lang w:val="es-MX" w:eastAsia="en-US"/>
        </w:rPr>
      </w:pPr>
    </w:p>
    <w:p w14:paraId="17C48C5A" w14:textId="77777777" w:rsidR="00B314DB" w:rsidRPr="00B314DB" w:rsidRDefault="00B314DB" w:rsidP="00B314DB">
      <w:pPr>
        <w:autoSpaceDE w:val="0"/>
        <w:autoSpaceDN w:val="0"/>
        <w:adjustRightInd w:val="0"/>
        <w:ind w:firstLine="708"/>
        <w:jc w:val="both"/>
        <w:rPr>
          <w:rFonts w:ascii="Abadi" w:eastAsia="Calibri" w:hAnsi="Abadi" w:cs="*Arial-Bold-6713-Identity-H"/>
          <w:b/>
          <w:bCs/>
          <w:color w:val="0C0C12"/>
          <w:sz w:val="21"/>
          <w:szCs w:val="21"/>
          <w:lang w:val="es-MX" w:eastAsia="en-US"/>
        </w:rPr>
      </w:pPr>
      <w:r w:rsidRPr="00B314DB">
        <w:rPr>
          <w:rFonts w:ascii="Abadi" w:eastAsia="Calibri" w:hAnsi="Abadi" w:cs="*Arial-Bold-6713-Identity-H"/>
          <w:b/>
          <w:bCs/>
          <w:color w:val="0C0C12"/>
          <w:sz w:val="21"/>
          <w:szCs w:val="21"/>
          <w:lang w:val="es-MX" w:eastAsia="en-US"/>
        </w:rPr>
        <w:t>l. Competencia:</w:t>
      </w:r>
    </w:p>
    <w:p w14:paraId="6A4906C6" w14:textId="77777777" w:rsidR="00B314DB" w:rsidRPr="00B314DB" w:rsidRDefault="00B314DB" w:rsidP="00B314DB">
      <w:pPr>
        <w:autoSpaceDE w:val="0"/>
        <w:autoSpaceDN w:val="0"/>
        <w:adjustRightInd w:val="0"/>
        <w:jc w:val="both"/>
        <w:rPr>
          <w:rFonts w:ascii="Abadi" w:eastAsia="Calibri" w:hAnsi="Abadi" w:cs="*Arial-6712-Identity-H"/>
          <w:color w:val="0C0C0F"/>
          <w:sz w:val="21"/>
          <w:szCs w:val="21"/>
          <w:lang w:val="es-MX" w:eastAsia="en-US"/>
        </w:rPr>
      </w:pPr>
    </w:p>
    <w:p w14:paraId="0E95CEF9" w14:textId="77777777" w:rsidR="00B314DB" w:rsidRPr="00B314DB" w:rsidRDefault="00B314DB" w:rsidP="00B314DB">
      <w:pPr>
        <w:autoSpaceDE w:val="0"/>
        <w:autoSpaceDN w:val="0"/>
        <w:adjustRightInd w:val="0"/>
        <w:ind w:firstLine="708"/>
        <w:jc w:val="both"/>
        <w:rPr>
          <w:rFonts w:ascii="Abadi" w:eastAsia="Calibri" w:hAnsi="Abadi" w:cs="*Arial-6712-Identity-H"/>
          <w:color w:val="0C0C0F"/>
          <w:sz w:val="21"/>
          <w:szCs w:val="21"/>
          <w:lang w:val="es-MX" w:eastAsia="en-US"/>
        </w:rPr>
      </w:pPr>
      <w:r w:rsidRPr="00B314DB">
        <w:rPr>
          <w:rFonts w:ascii="Abadi" w:eastAsia="Calibri" w:hAnsi="Abadi" w:cs="*Arial-6712-Identity-H"/>
          <w:color w:val="0C0C0F"/>
          <w:sz w:val="21"/>
          <w:szCs w:val="21"/>
          <w:lang w:val="es-MX" w:eastAsia="en-US"/>
        </w:rPr>
        <w:t xml:space="preserve">Las facultades de la legislatura local en materia de fiscalización de las cuentas públicas tienen su fundamento en lo dispuesto por el artículo 63 fracciones </w:t>
      </w:r>
      <w:r w:rsidRPr="00191ED6">
        <w:rPr>
          <w:rFonts w:ascii="Abadi" w:eastAsia="Calibri" w:hAnsi="Abadi" w:cs="*Microsoft Sans Serif-Bold-6715"/>
          <w:color w:val="0C0C0F"/>
          <w:sz w:val="21"/>
          <w:szCs w:val="21"/>
          <w:lang w:val="es-MX" w:eastAsia="en-US"/>
        </w:rPr>
        <w:t xml:space="preserve">XVIII, XIX </w:t>
      </w:r>
      <w:r w:rsidRPr="00191ED6">
        <w:rPr>
          <w:rFonts w:ascii="Abadi" w:eastAsia="Calibri" w:hAnsi="Abadi" w:cs="*Arial-6712-Identity-H"/>
          <w:color w:val="0C0C0F"/>
          <w:sz w:val="21"/>
          <w:szCs w:val="21"/>
          <w:lang w:val="es-MX" w:eastAsia="en-US"/>
        </w:rPr>
        <w:t xml:space="preserve">y </w:t>
      </w:r>
      <w:r w:rsidRPr="00191ED6">
        <w:rPr>
          <w:rFonts w:ascii="Abadi" w:eastAsia="Calibri" w:hAnsi="Abadi" w:cs="*Microsoft Sans Serif-Bold-6715"/>
          <w:color w:val="0C0C0F"/>
          <w:sz w:val="21"/>
          <w:szCs w:val="21"/>
          <w:lang w:val="es-MX" w:eastAsia="en-US"/>
        </w:rPr>
        <w:t>XXVIII</w:t>
      </w:r>
      <w:r w:rsidRPr="00B314DB">
        <w:rPr>
          <w:rFonts w:ascii="Abadi" w:eastAsia="Calibri" w:hAnsi="Abadi" w:cs="*Microsoft Sans Serif-Bold-6715"/>
          <w:b/>
          <w:bCs/>
          <w:color w:val="0C0C0F"/>
          <w:sz w:val="21"/>
          <w:szCs w:val="21"/>
          <w:lang w:val="es-MX" w:eastAsia="en-US"/>
        </w:rPr>
        <w:t xml:space="preserve"> </w:t>
      </w:r>
      <w:r w:rsidRPr="00B314DB">
        <w:rPr>
          <w:rFonts w:ascii="Abadi" w:eastAsia="Calibri" w:hAnsi="Abadi" w:cs="*Arial-6712-Identity-H"/>
          <w:color w:val="0C0C0F"/>
          <w:sz w:val="21"/>
          <w:szCs w:val="21"/>
          <w:lang w:val="es-MX" w:eastAsia="en-US"/>
        </w:rPr>
        <w:t>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2431CF4C" w14:textId="77777777" w:rsidR="00B314DB" w:rsidRPr="00B314DB" w:rsidRDefault="00B314DB" w:rsidP="00B314DB">
      <w:pPr>
        <w:autoSpaceDE w:val="0"/>
        <w:autoSpaceDN w:val="0"/>
        <w:adjustRightInd w:val="0"/>
        <w:jc w:val="both"/>
        <w:rPr>
          <w:rFonts w:ascii="Abadi" w:eastAsia="Calibri" w:hAnsi="Abadi" w:cs="*Arial-6712-Identity-H"/>
          <w:color w:val="0C0C0F"/>
          <w:sz w:val="21"/>
          <w:szCs w:val="21"/>
          <w:lang w:val="es-MX" w:eastAsia="en-US"/>
        </w:rPr>
      </w:pPr>
    </w:p>
    <w:p w14:paraId="25EA49DD" w14:textId="77777777" w:rsidR="00B314DB" w:rsidRPr="00B314DB" w:rsidRDefault="00B314DB" w:rsidP="00B314DB">
      <w:pPr>
        <w:autoSpaceDE w:val="0"/>
        <w:autoSpaceDN w:val="0"/>
        <w:adjustRightInd w:val="0"/>
        <w:ind w:firstLine="708"/>
        <w:jc w:val="both"/>
        <w:rPr>
          <w:rFonts w:ascii="Abadi" w:eastAsia="Calibri" w:hAnsi="Abadi" w:cs="*Arial-6712-Identity-H"/>
          <w:color w:val="0C0C0F"/>
          <w:sz w:val="21"/>
          <w:szCs w:val="21"/>
          <w:lang w:val="es-MX" w:eastAsia="en-US"/>
        </w:rPr>
      </w:pPr>
      <w:r w:rsidRPr="00B314DB">
        <w:rPr>
          <w:rFonts w:ascii="Abadi" w:eastAsia="Calibri" w:hAnsi="Abadi" w:cs="*Arial-6712-Identity-H"/>
          <w:color w:val="0C0C0F"/>
          <w:sz w:val="21"/>
          <w:szCs w:val="21"/>
          <w:lang w:val="es-MX" w:eastAsia="en-US"/>
        </w:rPr>
        <w:t>Asimismo, el artículo 66 fracción VIII de dicho Ordenamiento Constitucional establece que la Auditoria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820600E" w14:textId="77777777" w:rsidR="00B314DB" w:rsidRPr="00B314DB" w:rsidRDefault="00B314DB" w:rsidP="00B314DB">
      <w:pPr>
        <w:autoSpaceDE w:val="0"/>
        <w:autoSpaceDN w:val="0"/>
        <w:adjustRightInd w:val="0"/>
        <w:jc w:val="both"/>
        <w:rPr>
          <w:rFonts w:ascii="Abadi" w:eastAsia="Calibri" w:hAnsi="Abadi" w:cs="*Microsoft Sans Serif-Bold-6610"/>
          <w:b/>
          <w:bCs/>
          <w:color w:val="23222C"/>
          <w:sz w:val="21"/>
          <w:szCs w:val="21"/>
          <w:lang w:val="es-MX" w:eastAsia="en-US"/>
        </w:rPr>
      </w:pPr>
    </w:p>
    <w:p w14:paraId="7D11B879" w14:textId="77777777" w:rsidR="00B314DB" w:rsidRPr="00B314DB" w:rsidRDefault="00B314DB" w:rsidP="00B314DB">
      <w:pPr>
        <w:autoSpaceDE w:val="0"/>
        <w:autoSpaceDN w:val="0"/>
        <w:adjustRightInd w:val="0"/>
        <w:ind w:firstLine="708"/>
        <w:jc w:val="both"/>
        <w:rPr>
          <w:rFonts w:ascii="Abadi" w:eastAsia="Calibri" w:hAnsi="Abadi" w:cs="*Arial-6607-Identity-H"/>
          <w:color w:val="0C0C0E"/>
          <w:sz w:val="21"/>
          <w:szCs w:val="21"/>
          <w:lang w:val="es-MX" w:eastAsia="en-US"/>
        </w:rPr>
      </w:pPr>
      <w:r w:rsidRPr="00B314DB">
        <w:rPr>
          <w:rFonts w:ascii="Abadi" w:eastAsia="Calibri" w:hAnsi="Abadi" w:cs="*Arial-6607-Identity-H"/>
          <w:color w:val="0C0C0E"/>
          <w:sz w:val="21"/>
          <w:szCs w:val="21"/>
          <w:lang w:val="es-MX" w:eastAsia="en-US"/>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2BDEED6C" w14:textId="77777777" w:rsidR="00B314DB" w:rsidRPr="00B314DB" w:rsidRDefault="00B314DB" w:rsidP="00B314DB">
      <w:pPr>
        <w:autoSpaceDE w:val="0"/>
        <w:autoSpaceDN w:val="0"/>
        <w:adjustRightInd w:val="0"/>
        <w:jc w:val="both"/>
        <w:rPr>
          <w:rFonts w:ascii="Abadi" w:eastAsia="Calibri" w:hAnsi="Abadi" w:cs="*Arial-6607-Identity-H"/>
          <w:color w:val="0D0D10"/>
          <w:sz w:val="21"/>
          <w:szCs w:val="21"/>
          <w:lang w:val="es-MX" w:eastAsia="en-US"/>
        </w:rPr>
      </w:pPr>
    </w:p>
    <w:p w14:paraId="22471EA1" w14:textId="77777777" w:rsidR="00B314DB" w:rsidRPr="00B314DB" w:rsidRDefault="00B314DB" w:rsidP="00B314DB">
      <w:pPr>
        <w:autoSpaceDE w:val="0"/>
        <w:autoSpaceDN w:val="0"/>
        <w:adjustRightInd w:val="0"/>
        <w:ind w:firstLine="708"/>
        <w:jc w:val="both"/>
        <w:rPr>
          <w:rFonts w:ascii="Abadi" w:eastAsia="Calibri" w:hAnsi="Abadi" w:cs="*Arial-6607-Identity-H"/>
          <w:color w:val="0D0D10"/>
          <w:sz w:val="21"/>
          <w:szCs w:val="21"/>
          <w:lang w:val="es-MX" w:eastAsia="en-US"/>
        </w:rPr>
      </w:pPr>
      <w:r w:rsidRPr="00B314DB">
        <w:rPr>
          <w:rFonts w:ascii="Abadi" w:eastAsia="Calibri" w:hAnsi="Abadi" w:cs="*Arial-6607-Identity-H"/>
          <w:color w:val="0D0D10"/>
          <w:sz w:val="21"/>
          <w:szCs w:val="21"/>
          <w:lang w:val="es-MX" w:eastAsia="en-US"/>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D6ECA87" w14:textId="77777777" w:rsidR="00B314DB" w:rsidRPr="00B314DB" w:rsidRDefault="00B314DB" w:rsidP="00B314DB">
      <w:pPr>
        <w:autoSpaceDE w:val="0"/>
        <w:autoSpaceDN w:val="0"/>
        <w:adjustRightInd w:val="0"/>
        <w:jc w:val="both"/>
        <w:rPr>
          <w:rFonts w:ascii="Abadi" w:eastAsia="Calibri" w:hAnsi="Abadi" w:cs="*Arial-6607-Identity-H"/>
          <w:color w:val="0D0D10"/>
          <w:sz w:val="21"/>
          <w:szCs w:val="21"/>
          <w:lang w:val="es-MX" w:eastAsia="en-US"/>
        </w:rPr>
      </w:pPr>
    </w:p>
    <w:p w14:paraId="3E5C4DD2" w14:textId="77777777" w:rsidR="00B314DB" w:rsidRPr="00B314DB" w:rsidRDefault="00B314DB" w:rsidP="00B314DB">
      <w:pPr>
        <w:autoSpaceDE w:val="0"/>
        <w:autoSpaceDN w:val="0"/>
        <w:adjustRightInd w:val="0"/>
        <w:ind w:firstLine="708"/>
        <w:jc w:val="both"/>
        <w:rPr>
          <w:rFonts w:ascii="Abadi" w:eastAsia="Calibri" w:hAnsi="Abadi" w:cs="*Arial-6607-Identity-H"/>
          <w:color w:val="0D0C0F"/>
          <w:sz w:val="21"/>
          <w:szCs w:val="21"/>
          <w:lang w:val="es-MX" w:eastAsia="en-US"/>
        </w:rPr>
      </w:pPr>
      <w:r w:rsidRPr="00B314DB">
        <w:rPr>
          <w:rFonts w:ascii="Abadi" w:eastAsia="Calibri" w:hAnsi="Abadi" w:cs="*Arial-6607-Identity-H"/>
          <w:color w:val="0D0C0F"/>
          <w:sz w:val="21"/>
          <w:szCs w:val="21"/>
          <w:lang w:val="es-MX" w:eastAsia="en-US"/>
        </w:rPr>
        <w:t xml:space="preserve">Con la finalidad de que el Congreso dé cumplimiento a lo señalado en el párrafo anterior, la Ley Orgánica del Poder Legislativo del Estado de Guanajuato establece en su </w:t>
      </w:r>
      <w:proofErr w:type="spellStart"/>
      <w:r w:rsidRPr="00B314DB">
        <w:rPr>
          <w:rFonts w:ascii="Abadi" w:eastAsia="Calibri" w:hAnsi="Abadi" w:cs="*Arial-6607-Identity-H"/>
          <w:color w:val="0D0C0F"/>
          <w:sz w:val="21"/>
          <w:szCs w:val="21"/>
          <w:lang w:val="es-MX" w:eastAsia="en-US"/>
        </w:rPr>
        <w:t>articulo</w:t>
      </w:r>
      <w:proofErr w:type="spellEnd"/>
      <w:r w:rsidRPr="00B314DB">
        <w:rPr>
          <w:rFonts w:ascii="Abadi" w:eastAsia="Calibri" w:hAnsi="Abadi" w:cs="*Arial-6607-Identity-H"/>
          <w:color w:val="0D0C0F"/>
          <w:sz w:val="21"/>
          <w:szCs w:val="21"/>
          <w:lang w:val="es-MX" w:eastAsia="en-US"/>
        </w:rPr>
        <w:t xml:space="preserve"> 112, fracción XII, primer párrafo que, a esta Comisión de Hacienda y Fiscalización, le compete el conocimiento y dictamen de los asuntos relativos a los informes de resultados que emita la Auditoria Superior del Estado.</w:t>
      </w:r>
    </w:p>
    <w:p w14:paraId="762254A4" w14:textId="77777777" w:rsidR="00B314DB" w:rsidRPr="00B314DB" w:rsidRDefault="00B314DB" w:rsidP="00B314DB">
      <w:pPr>
        <w:autoSpaceDE w:val="0"/>
        <w:autoSpaceDN w:val="0"/>
        <w:adjustRightInd w:val="0"/>
        <w:jc w:val="both"/>
        <w:rPr>
          <w:rFonts w:ascii="Abadi" w:eastAsia="Calibri" w:hAnsi="Abadi" w:cs="*Arial-6607-Identity-H"/>
          <w:color w:val="0D0D0F"/>
          <w:sz w:val="21"/>
          <w:szCs w:val="21"/>
          <w:lang w:val="es-MX" w:eastAsia="en-US"/>
        </w:rPr>
      </w:pPr>
    </w:p>
    <w:p w14:paraId="1E16123D" w14:textId="77777777" w:rsidR="00B314DB" w:rsidRPr="00B314DB" w:rsidRDefault="00B314DB" w:rsidP="00B314DB">
      <w:pPr>
        <w:autoSpaceDE w:val="0"/>
        <w:autoSpaceDN w:val="0"/>
        <w:adjustRightInd w:val="0"/>
        <w:ind w:firstLine="708"/>
        <w:jc w:val="both"/>
        <w:rPr>
          <w:rFonts w:ascii="Abadi" w:eastAsia="Calibri" w:hAnsi="Abadi" w:cs="*Arial-6607-Identity-H"/>
          <w:color w:val="0D0D0F"/>
          <w:sz w:val="21"/>
          <w:szCs w:val="21"/>
          <w:lang w:val="es-MX" w:eastAsia="en-US"/>
        </w:rPr>
      </w:pPr>
      <w:r w:rsidRPr="00B314DB">
        <w:rPr>
          <w:rFonts w:ascii="Abadi" w:eastAsia="Calibri" w:hAnsi="Abadi" w:cs="*Arial-6607-Identity-H"/>
          <w:color w:val="0D0D0F"/>
          <w:sz w:val="21"/>
          <w:szCs w:val="21"/>
          <w:lang w:val="es-MX" w:eastAsia="en-US"/>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w:t>
      </w:r>
    </w:p>
    <w:p w14:paraId="4FC66EF9" w14:textId="77777777" w:rsidR="00B314DB" w:rsidRPr="00B314DB" w:rsidRDefault="00B314DB" w:rsidP="00B314DB">
      <w:pPr>
        <w:autoSpaceDE w:val="0"/>
        <w:autoSpaceDN w:val="0"/>
        <w:adjustRightInd w:val="0"/>
        <w:jc w:val="both"/>
        <w:rPr>
          <w:rFonts w:ascii="Abadi" w:eastAsia="Calibri" w:hAnsi="Abadi" w:cs="*Arial-6607-Identity-H"/>
          <w:color w:val="0D0D0F"/>
          <w:sz w:val="21"/>
          <w:szCs w:val="21"/>
          <w:lang w:val="es-MX" w:eastAsia="en-US"/>
        </w:rPr>
      </w:pPr>
      <w:r w:rsidRPr="00B314DB">
        <w:rPr>
          <w:rFonts w:ascii="Abadi" w:eastAsia="Calibri" w:hAnsi="Abadi" w:cs="*Arial-6607-Identity-H"/>
          <w:color w:val="0D0D0F"/>
          <w:sz w:val="21"/>
          <w:szCs w:val="21"/>
          <w:lang w:val="es-MX" w:eastAsia="en-US"/>
        </w:rPr>
        <w:t>resultados.</w:t>
      </w:r>
    </w:p>
    <w:p w14:paraId="0A9C24DF" w14:textId="77777777" w:rsidR="00B314DB" w:rsidRPr="00B314DB" w:rsidRDefault="00B314DB" w:rsidP="00B314DB">
      <w:pPr>
        <w:autoSpaceDE w:val="0"/>
        <w:autoSpaceDN w:val="0"/>
        <w:adjustRightInd w:val="0"/>
        <w:jc w:val="both"/>
        <w:rPr>
          <w:rFonts w:ascii="Abadi" w:eastAsia="Calibri" w:hAnsi="Abadi" w:cs="*Arial-Bold-6608-Identity-H"/>
          <w:b/>
          <w:bCs/>
          <w:color w:val="0C0C11"/>
          <w:sz w:val="21"/>
          <w:szCs w:val="21"/>
          <w:lang w:val="es-MX" w:eastAsia="en-US"/>
        </w:rPr>
      </w:pPr>
    </w:p>
    <w:p w14:paraId="233F2D65" w14:textId="595CF87C" w:rsidR="00B314DB" w:rsidRPr="00B314DB" w:rsidRDefault="0027744D" w:rsidP="00B314DB">
      <w:pPr>
        <w:autoSpaceDE w:val="0"/>
        <w:autoSpaceDN w:val="0"/>
        <w:adjustRightInd w:val="0"/>
        <w:ind w:firstLine="708"/>
        <w:jc w:val="both"/>
        <w:rPr>
          <w:rFonts w:ascii="Abadi" w:eastAsia="Calibri" w:hAnsi="Abadi" w:cs="*Arial-Bold-6608-Identity-H"/>
          <w:b/>
          <w:bCs/>
          <w:color w:val="0C0C11"/>
          <w:sz w:val="21"/>
          <w:szCs w:val="21"/>
          <w:lang w:val="es-MX" w:eastAsia="en-US"/>
        </w:rPr>
      </w:pPr>
      <w:r>
        <w:rPr>
          <w:rFonts w:ascii="Abadi" w:eastAsia="Calibri" w:hAnsi="Abadi" w:cs="*Arial-Bold-6608-Identity-H"/>
          <w:b/>
          <w:bCs/>
          <w:color w:val="0C0C11"/>
          <w:sz w:val="21"/>
          <w:szCs w:val="21"/>
          <w:lang w:val="es-MX" w:eastAsia="en-US"/>
        </w:rPr>
        <w:t>II</w:t>
      </w:r>
      <w:r w:rsidR="00B314DB" w:rsidRPr="00B314DB">
        <w:rPr>
          <w:rFonts w:ascii="Abadi" w:eastAsia="Calibri" w:hAnsi="Abadi" w:cs="*Arial-Bold-6608-Identity-H"/>
          <w:b/>
          <w:bCs/>
          <w:color w:val="0C0C11"/>
          <w:sz w:val="21"/>
          <w:szCs w:val="21"/>
          <w:lang w:val="es-MX" w:eastAsia="en-US"/>
        </w:rPr>
        <w:t>. Antecedentes:</w:t>
      </w:r>
    </w:p>
    <w:p w14:paraId="49BD3FE0" w14:textId="77777777" w:rsidR="00B314DB" w:rsidRPr="00B314DB" w:rsidRDefault="00B314DB" w:rsidP="00B314DB">
      <w:pPr>
        <w:autoSpaceDE w:val="0"/>
        <w:autoSpaceDN w:val="0"/>
        <w:adjustRightInd w:val="0"/>
        <w:jc w:val="both"/>
        <w:rPr>
          <w:rFonts w:ascii="Abadi" w:eastAsia="Calibri" w:hAnsi="Abadi" w:cs="*Arial-6607-Identity-H"/>
          <w:color w:val="0D0C0F"/>
          <w:sz w:val="21"/>
          <w:szCs w:val="21"/>
          <w:lang w:val="es-MX" w:eastAsia="en-US"/>
        </w:rPr>
      </w:pPr>
    </w:p>
    <w:p w14:paraId="7C485973" w14:textId="77777777" w:rsidR="00B314DB" w:rsidRPr="00B314DB" w:rsidRDefault="00B314DB" w:rsidP="00B314DB">
      <w:pPr>
        <w:autoSpaceDE w:val="0"/>
        <w:autoSpaceDN w:val="0"/>
        <w:adjustRightInd w:val="0"/>
        <w:ind w:firstLine="708"/>
        <w:jc w:val="both"/>
        <w:rPr>
          <w:rFonts w:ascii="Abadi" w:eastAsia="Calibri" w:hAnsi="Abadi" w:cs="*Arial-6607-Identity-H"/>
          <w:color w:val="0D0C0F"/>
          <w:sz w:val="21"/>
          <w:szCs w:val="21"/>
          <w:lang w:val="es-MX" w:eastAsia="en-US"/>
        </w:rPr>
      </w:pPr>
      <w:r w:rsidRPr="00B314DB">
        <w:rPr>
          <w:rFonts w:ascii="Abadi" w:eastAsia="Calibri" w:hAnsi="Abadi" w:cs="*Arial-6607-Identity-H"/>
          <w:color w:val="0D0C0F"/>
          <w:sz w:val="21"/>
          <w:szCs w:val="21"/>
          <w:lang w:val="es-MX" w:eastAsia="en-US"/>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7E9C9240" w14:textId="77777777" w:rsidR="00B314DB" w:rsidRPr="00B314DB" w:rsidRDefault="00B314DB" w:rsidP="00B314DB">
      <w:pPr>
        <w:autoSpaceDE w:val="0"/>
        <w:autoSpaceDN w:val="0"/>
        <w:adjustRightInd w:val="0"/>
        <w:jc w:val="both"/>
        <w:rPr>
          <w:rFonts w:ascii="Abadi" w:eastAsia="Calibri" w:hAnsi="Abadi" w:cs="*Arial-6607-Identity-H"/>
          <w:color w:val="0C0C0F"/>
          <w:sz w:val="21"/>
          <w:szCs w:val="21"/>
          <w:lang w:val="es-MX" w:eastAsia="en-US"/>
        </w:rPr>
      </w:pPr>
    </w:p>
    <w:p w14:paraId="57A39CA8" w14:textId="77777777" w:rsidR="00B314DB" w:rsidRPr="00B314DB" w:rsidRDefault="00B314DB" w:rsidP="00B314DB">
      <w:pPr>
        <w:autoSpaceDE w:val="0"/>
        <w:autoSpaceDN w:val="0"/>
        <w:adjustRightInd w:val="0"/>
        <w:ind w:firstLine="708"/>
        <w:jc w:val="both"/>
        <w:rPr>
          <w:rFonts w:ascii="Abadi" w:eastAsia="Calibri" w:hAnsi="Abadi" w:cs="*Arial-6607-Identity-H"/>
          <w:color w:val="0C0C0F"/>
          <w:sz w:val="21"/>
          <w:szCs w:val="21"/>
          <w:lang w:val="es-MX" w:eastAsia="en-US"/>
        </w:rPr>
      </w:pPr>
      <w:r w:rsidRPr="00B314DB">
        <w:rPr>
          <w:rFonts w:ascii="Abadi" w:eastAsia="Calibri" w:hAnsi="Abadi" w:cs="*Arial-6607-Identity-H"/>
          <w:color w:val="0C0C0F"/>
          <w:sz w:val="21"/>
          <w:szCs w:val="21"/>
          <w:lang w:val="es-MX" w:eastAsia="en-US"/>
        </w:rPr>
        <w:t>Por su parte, el artículo 3, fracción V de la Ley de Fiscalización Superior del Estado de Guanajuato señala que la Auditoria Superior del Estado es competente para practicar auditorías de desempeño para verificar el cumplimiento de los objetivos y las metas de los programas estatales y municipales.</w:t>
      </w:r>
    </w:p>
    <w:p w14:paraId="3ABDB92A" w14:textId="77777777" w:rsidR="00B314DB" w:rsidRPr="00B314DB" w:rsidRDefault="00B314DB" w:rsidP="00B314DB">
      <w:pPr>
        <w:autoSpaceDE w:val="0"/>
        <w:autoSpaceDN w:val="0"/>
        <w:adjustRightInd w:val="0"/>
        <w:jc w:val="both"/>
        <w:rPr>
          <w:rFonts w:ascii="Abadi" w:eastAsia="Calibri" w:hAnsi="Abadi" w:cs="*Calibri-Bold-6612-Identity-H"/>
          <w:b/>
          <w:bCs/>
          <w:color w:val="29292E"/>
          <w:sz w:val="21"/>
          <w:szCs w:val="21"/>
          <w:lang w:val="es-MX" w:eastAsia="en-US"/>
        </w:rPr>
      </w:pPr>
    </w:p>
    <w:p w14:paraId="1B755BD3" w14:textId="77777777" w:rsidR="00B314DB" w:rsidRPr="00B314DB" w:rsidRDefault="00B314DB" w:rsidP="00B314DB">
      <w:pPr>
        <w:autoSpaceDE w:val="0"/>
        <w:autoSpaceDN w:val="0"/>
        <w:adjustRightInd w:val="0"/>
        <w:ind w:firstLine="708"/>
        <w:jc w:val="both"/>
        <w:rPr>
          <w:rFonts w:ascii="Abadi" w:eastAsia="Calibri" w:hAnsi="Abadi" w:cs="*Arial-6613-Identity-H"/>
          <w:color w:val="0C0C0F"/>
          <w:sz w:val="21"/>
          <w:szCs w:val="21"/>
          <w:lang w:val="es-MX" w:eastAsia="en-US"/>
        </w:rPr>
      </w:pPr>
      <w:r w:rsidRPr="00B314DB">
        <w:rPr>
          <w:rFonts w:ascii="Abadi" w:eastAsia="Calibri" w:hAnsi="Abadi" w:cs="*Arial-6613-Identity-H"/>
          <w:color w:val="0C0C0F"/>
          <w:sz w:val="21"/>
          <w:szCs w:val="21"/>
          <w:lang w:val="es-MX" w:eastAsia="en-US"/>
        </w:rPr>
        <w:t>De igual forma, el artículo 56 de la Ley de Fiscalización Superior prevé que las auditorias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00505FC9" w14:textId="77777777" w:rsidR="00B314DB" w:rsidRPr="00B314DB" w:rsidRDefault="00B314DB" w:rsidP="00B314DB">
      <w:pPr>
        <w:autoSpaceDE w:val="0"/>
        <w:autoSpaceDN w:val="0"/>
        <w:adjustRightInd w:val="0"/>
        <w:jc w:val="both"/>
        <w:rPr>
          <w:rFonts w:ascii="Abadi" w:eastAsia="Calibri" w:hAnsi="Abadi" w:cs="*Arial-6613-Identity-H"/>
          <w:color w:val="0D0D10"/>
          <w:sz w:val="21"/>
          <w:szCs w:val="21"/>
          <w:lang w:val="es-MX" w:eastAsia="en-US"/>
        </w:rPr>
      </w:pPr>
    </w:p>
    <w:p w14:paraId="267742FD" w14:textId="77777777" w:rsidR="00B314DB" w:rsidRPr="00B314DB" w:rsidRDefault="00B314DB" w:rsidP="00B314DB">
      <w:pPr>
        <w:autoSpaceDE w:val="0"/>
        <w:autoSpaceDN w:val="0"/>
        <w:adjustRightInd w:val="0"/>
        <w:ind w:firstLine="708"/>
        <w:jc w:val="both"/>
        <w:rPr>
          <w:rFonts w:ascii="Abadi" w:eastAsia="Calibri" w:hAnsi="Abadi" w:cs="*Arial-6613-Identity-H"/>
          <w:color w:val="0D0D10"/>
          <w:sz w:val="21"/>
          <w:szCs w:val="21"/>
          <w:lang w:val="es-MX" w:eastAsia="en-US"/>
        </w:rPr>
      </w:pPr>
      <w:r w:rsidRPr="00B314DB">
        <w:rPr>
          <w:rFonts w:ascii="Abadi" w:eastAsia="Calibri" w:hAnsi="Abadi" w:cs="*Arial-6613-Identity-H"/>
          <w:color w:val="0D0D10"/>
          <w:sz w:val="21"/>
          <w:szCs w:val="21"/>
          <w:lang w:val="es-MX" w:eastAsia="en-US"/>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4851BAC1" w14:textId="77777777" w:rsidR="00B314DB" w:rsidRPr="00B314DB" w:rsidRDefault="00B314DB" w:rsidP="00B314DB">
      <w:pPr>
        <w:autoSpaceDE w:val="0"/>
        <w:autoSpaceDN w:val="0"/>
        <w:adjustRightInd w:val="0"/>
        <w:jc w:val="both"/>
        <w:rPr>
          <w:rFonts w:ascii="Abadi" w:eastAsia="Calibri" w:hAnsi="Abadi" w:cs="*Arial-6613-Identity-H"/>
          <w:color w:val="0C0C0E"/>
          <w:sz w:val="21"/>
          <w:szCs w:val="21"/>
          <w:lang w:val="es-MX" w:eastAsia="en-US"/>
        </w:rPr>
      </w:pPr>
    </w:p>
    <w:p w14:paraId="027653FC" w14:textId="77777777" w:rsidR="00B314DB" w:rsidRPr="00B314DB" w:rsidRDefault="00B314DB" w:rsidP="00B314DB">
      <w:pPr>
        <w:autoSpaceDE w:val="0"/>
        <w:autoSpaceDN w:val="0"/>
        <w:adjustRightInd w:val="0"/>
        <w:ind w:firstLine="708"/>
        <w:jc w:val="both"/>
        <w:rPr>
          <w:rFonts w:ascii="Abadi" w:eastAsia="Calibri" w:hAnsi="Abadi" w:cs="*Arial-6613-Identity-H"/>
          <w:color w:val="0C0C0E"/>
          <w:sz w:val="21"/>
          <w:szCs w:val="21"/>
          <w:lang w:val="es-MX" w:eastAsia="en-US"/>
        </w:rPr>
      </w:pPr>
      <w:r w:rsidRPr="00B314DB">
        <w:rPr>
          <w:rFonts w:ascii="Abadi" w:eastAsia="Calibri" w:hAnsi="Abadi" w:cs="*Arial-6613-Identity-H"/>
          <w:color w:val="0C0C0E"/>
          <w:sz w:val="21"/>
          <w:szCs w:val="21"/>
          <w:lang w:val="es-MX" w:eastAsia="en-US"/>
        </w:rPr>
        <w:t xml:space="preserve">De lo anterior podemos desprender que el Órgano Técnico realizará la auditoría de desempeño de manera anual y únicamente formulará recomendaciones que incidan en la mejora del diseño, operación e impacto de </w:t>
      </w:r>
      <w:r w:rsidRPr="00B314DB">
        <w:rPr>
          <w:rFonts w:ascii="Abadi" w:eastAsia="Calibri" w:hAnsi="Abadi" w:cs="*Arial-6613-Identity-H"/>
          <w:color w:val="7C7C7C"/>
          <w:sz w:val="21"/>
          <w:szCs w:val="21"/>
          <w:lang w:val="es-MX" w:eastAsia="en-US"/>
        </w:rPr>
        <w:t xml:space="preserve">– </w:t>
      </w:r>
      <w:r w:rsidRPr="00B314DB">
        <w:rPr>
          <w:rFonts w:ascii="Abadi" w:eastAsia="Calibri" w:hAnsi="Abadi" w:cs="*Arial-6613-Identity-H"/>
          <w:color w:val="0C0C0E"/>
          <w:sz w:val="21"/>
          <w:szCs w:val="21"/>
          <w:lang w:val="es-MX" w:eastAsia="en-US"/>
        </w:rPr>
        <w:t>los presupuestos programáticos y las políticas públicas en su caso.</w:t>
      </w:r>
    </w:p>
    <w:p w14:paraId="1080A42C" w14:textId="77777777" w:rsidR="00B314DB" w:rsidRPr="00B314DB" w:rsidRDefault="00B314DB" w:rsidP="00B314DB">
      <w:pPr>
        <w:autoSpaceDE w:val="0"/>
        <w:autoSpaceDN w:val="0"/>
        <w:adjustRightInd w:val="0"/>
        <w:jc w:val="both"/>
        <w:rPr>
          <w:rFonts w:ascii="Abadi" w:eastAsia="Calibri" w:hAnsi="Abadi" w:cs="*Arial-6613-Identity-H"/>
          <w:color w:val="0D0D10"/>
          <w:sz w:val="21"/>
          <w:szCs w:val="21"/>
          <w:lang w:val="es-MX" w:eastAsia="en-US"/>
        </w:rPr>
      </w:pPr>
    </w:p>
    <w:p w14:paraId="3226D340" w14:textId="77777777" w:rsidR="00B314DB" w:rsidRPr="00B314DB" w:rsidRDefault="00B314DB" w:rsidP="00B314DB">
      <w:pPr>
        <w:autoSpaceDE w:val="0"/>
        <w:autoSpaceDN w:val="0"/>
        <w:adjustRightInd w:val="0"/>
        <w:ind w:firstLine="708"/>
        <w:jc w:val="both"/>
        <w:rPr>
          <w:rFonts w:ascii="Abadi" w:eastAsia="Calibri" w:hAnsi="Abadi" w:cs="*Arial-6613-Identity-H"/>
          <w:color w:val="0D0D10"/>
          <w:sz w:val="21"/>
          <w:szCs w:val="21"/>
          <w:lang w:val="es-MX" w:eastAsia="en-US"/>
        </w:rPr>
      </w:pPr>
      <w:r w:rsidRPr="00B314DB">
        <w:rPr>
          <w:rFonts w:ascii="Abadi" w:eastAsia="Calibri" w:hAnsi="Abadi" w:cs="*Arial-6613-Identity-H"/>
          <w:color w:val="0D0D10"/>
          <w:sz w:val="21"/>
          <w:szCs w:val="21"/>
          <w:lang w:val="es-MX" w:eastAsia="en-US"/>
        </w:rPr>
        <w:t>Finalmente, el artículo 16 de la Ley de Fiscalización Superior del Estado de Guanajuato, consigna que la Auditoria Superior establecerá un Programa General de Fiscalización, señalando los actos y sujetos de fiscalización, los que serán objeto de auditoría o revisión conforme a los criterios y normas que se establezcan en el Reglamento de la Ley.</w:t>
      </w:r>
    </w:p>
    <w:p w14:paraId="16830FA0" w14:textId="77777777" w:rsidR="00B314DB" w:rsidRPr="00B314DB" w:rsidRDefault="00B314DB" w:rsidP="00B314DB">
      <w:pPr>
        <w:autoSpaceDE w:val="0"/>
        <w:autoSpaceDN w:val="0"/>
        <w:adjustRightInd w:val="0"/>
        <w:jc w:val="both"/>
        <w:rPr>
          <w:rFonts w:ascii="Abadi" w:eastAsia="Calibri" w:hAnsi="Abadi" w:cs="*Arial-6613-Identity-H"/>
          <w:color w:val="0C0B0E"/>
          <w:sz w:val="21"/>
          <w:szCs w:val="21"/>
          <w:lang w:val="es-MX" w:eastAsia="en-US"/>
        </w:rPr>
      </w:pPr>
    </w:p>
    <w:p w14:paraId="3CFB2AA4" w14:textId="77777777" w:rsidR="00B314DB" w:rsidRPr="00B314DB" w:rsidRDefault="00B314DB" w:rsidP="00B314DB">
      <w:pPr>
        <w:autoSpaceDE w:val="0"/>
        <w:autoSpaceDN w:val="0"/>
        <w:adjustRightInd w:val="0"/>
        <w:ind w:firstLine="708"/>
        <w:jc w:val="both"/>
        <w:rPr>
          <w:rFonts w:ascii="Abadi" w:eastAsia="Calibri" w:hAnsi="Abadi" w:cs="*Arial-6613-Identity-H"/>
          <w:color w:val="0C0B0E"/>
          <w:sz w:val="21"/>
          <w:szCs w:val="21"/>
          <w:lang w:val="es-MX" w:eastAsia="en-US"/>
        </w:rPr>
      </w:pPr>
      <w:r w:rsidRPr="00B314DB">
        <w:rPr>
          <w:rFonts w:ascii="Abadi" w:eastAsia="Calibri" w:hAnsi="Abadi" w:cs="*Arial-6613-Identity-H"/>
          <w:color w:val="0C0B0E"/>
          <w:sz w:val="21"/>
          <w:szCs w:val="21"/>
          <w:lang w:val="es-MX" w:eastAsia="en-US"/>
        </w:rPr>
        <w:t xml:space="preserve">En ejercicio de esta función, el Auditor Superior del Estado aprobó el Programa General de Fiscalización 2021. En dicho Programa se contempló la práctica de una auditoría de desempeño a la administración municipal de Romita, </w:t>
      </w:r>
      <w:proofErr w:type="spellStart"/>
      <w:r w:rsidRPr="00B314DB">
        <w:rPr>
          <w:rFonts w:ascii="Abadi" w:eastAsia="Calibri" w:hAnsi="Abadi" w:cs="*Arial-6613-Identity-H"/>
          <w:color w:val="0C0B0E"/>
          <w:sz w:val="21"/>
          <w:szCs w:val="21"/>
          <w:lang w:val="es-MX" w:eastAsia="en-US"/>
        </w:rPr>
        <w:t>Gto</w:t>
      </w:r>
      <w:proofErr w:type="spellEnd"/>
      <w:r w:rsidRPr="00B314DB">
        <w:rPr>
          <w:rFonts w:ascii="Abadi" w:eastAsia="Calibri" w:hAnsi="Abadi" w:cs="*Arial-6613-Identity-H"/>
          <w:color w:val="0C0B0E"/>
          <w:sz w:val="21"/>
          <w:szCs w:val="21"/>
          <w:lang w:val="es-MX" w:eastAsia="en-US"/>
        </w:rPr>
        <w:t>., por el periodo comprendido del 1 de enero al 31 de diciembre del ejercicio fiscal del año 2020, la cual se realizó con enfoque a resultados del servicio de alumbrado público.</w:t>
      </w:r>
    </w:p>
    <w:p w14:paraId="0A9FB44B" w14:textId="77777777" w:rsidR="00B314DB" w:rsidRPr="00B314DB" w:rsidRDefault="00B314DB" w:rsidP="00B314DB">
      <w:pPr>
        <w:autoSpaceDE w:val="0"/>
        <w:autoSpaceDN w:val="0"/>
        <w:adjustRightInd w:val="0"/>
        <w:jc w:val="both"/>
        <w:rPr>
          <w:rFonts w:ascii="Abadi" w:eastAsia="Calibri" w:hAnsi="Abadi" w:cs="*Arial-6613-Identity-H"/>
          <w:color w:val="0D0D10"/>
          <w:sz w:val="21"/>
          <w:szCs w:val="21"/>
          <w:lang w:val="es-MX" w:eastAsia="en-US"/>
        </w:rPr>
      </w:pPr>
    </w:p>
    <w:p w14:paraId="2BD44523" w14:textId="77777777" w:rsidR="00B314DB" w:rsidRPr="00B314DB" w:rsidRDefault="00B314DB" w:rsidP="00B314DB">
      <w:pPr>
        <w:autoSpaceDE w:val="0"/>
        <w:autoSpaceDN w:val="0"/>
        <w:adjustRightInd w:val="0"/>
        <w:ind w:firstLine="708"/>
        <w:jc w:val="both"/>
        <w:rPr>
          <w:rFonts w:ascii="Abadi" w:eastAsia="Calibri" w:hAnsi="Abadi" w:cs="*Arial-6613-Identity-H"/>
          <w:color w:val="0D0D10"/>
          <w:sz w:val="21"/>
          <w:szCs w:val="21"/>
          <w:lang w:val="es-MX" w:eastAsia="en-US"/>
        </w:rPr>
      </w:pPr>
      <w:r w:rsidRPr="00B314DB">
        <w:rPr>
          <w:rFonts w:ascii="Abadi" w:eastAsia="Calibri" w:hAnsi="Abadi" w:cs="*Arial-6613-Identity-H"/>
          <w:color w:val="0D0D10"/>
          <w:sz w:val="21"/>
          <w:szCs w:val="21"/>
          <w:lang w:val="es-MX" w:eastAsia="en-US"/>
        </w:rPr>
        <w:t>El 8 de septiembre de 2021 se notificó al sujeto fiscalizado el inicio de la auditoría materia del presente dictamen.</w:t>
      </w:r>
    </w:p>
    <w:p w14:paraId="096D29C8" w14:textId="77777777" w:rsidR="00B314DB" w:rsidRPr="00B314DB" w:rsidRDefault="00B314DB" w:rsidP="00B314DB">
      <w:pPr>
        <w:autoSpaceDE w:val="0"/>
        <w:autoSpaceDN w:val="0"/>
        <w:adjustRightInd w:val="0"/>
        <w:jc w:val="both"/>
        <w:rPr>
          <w:rFonts w:ascii="Abadi" w:eastAsia="Calibri" w:hAnsi="Abadi" w:cs="*Arial-6721-Identity-H"/>
          <w:color w:val="0D0D0F"/>
          <w:sz w:val="21"/>
          <w:szCs w:val="21"/>
          <w:lang w:val="es-MX" w:eastAsia="en-US"/>
        </w:rPr>
      </w:pPr>
    </w:p>
    <w:p w14:paraId="3BE89DDF" w14:textId="77777777" w:rsidR="00B314DB" w:rsidRPr="00B314DB" w:rsidRDefault="00B314DB" w:rsidP="00B314DB">
      <w:pPr>
        <w:autoSpaceDE w:val="0"/>
        <w:autoSpaceDN w:val="0"/>
        <w:adjustRightInd w:val="0"/>
        <w:ind w:firstLine="708"/>
        <w:jc w:val="both"/>
        <w:rPr>
          <w:rFonts w:ascii="Abadi" w:eastAsia="Calibri" w:hAnsi="Abadi" w:cs="*Arial-6721-Identity-H"/>
          <w:color w:val="0D0D0F"/>
          <w:sz w:val="21"/>
          <w:szCs w:val="21"/>
          <w:lang w:val="es-MX" w:eastAsia="en-US"/>
        </w:rPr>
      </w:pPr>
      <w:r w:rsidRPr="00B314DB">
        <w:rPr>
          <w:rFonts w:ascii="Abadi" w:eastAsia="Calibri" w:hAnsi="Abadi" w:cs="*Arial-6721-Identity-H"/>
          <w:color w:val="0D0D0F"/>
          <w:sz w:val="21"/>
          <w:szCs w:val="21"/>
          <w:lang w:val="es-MX" w:eastAsia="en-US"/>
        </w:rPr>
        <w:t>Mediante oficio notificado el 24 de septiembre de 2021, la Auditoría Superior del Estado requirió al sujeto de fiscalización diversa información que se consideró necesaria para llevar a cabo la auditoría, al cual se dio respuesta el 11 de octubre de 2021. Asimismo, el 14 de enero de 2022, el Órgano Técnico realizó entrevistas.</w:t>
      </w:r>
    </w:p>
    <w:p w14:paraId="65FD4109" w14:textId="77777777" w:rsidR="00B314DB" w:rsidRPr="00B314DB" w:rsidRDefault="00B314DB" w:rsidP="00B314DB">
      <w:pPr>
        <w:autoSpaceDE w:val="0"/>
        <w:autoSpaceDN w:val="0"/>
        <w:adjustRightInd w:val="0"/>
        <w:jc w:val="both"/>
        <w:rPr>
          <w:rFonts w:ascii="Abadi" w:eastAsia="Calibri" w:hAnsi="Abadi" w:cs="*Arial-6721-Identity-H"/>
          <w:color w:val="0C0C0F"/>
          <w:sz w:val="21"/>
          <w:szCs w:val="21"/>
          <w:lang w:val="es-MX" w:eastAsia="en-US"/>
        </w:rPr>
      </w:pPr>
    </w:p>
    <w:p w14:paraId="3FB4EBFB" w14:textId="77777777" w:rsidR="00B314DB" w:rsidRPr="00B314DB" w:rsidRDefault="00B314DB" w:rsidP="00B314DB">
      <w:pPr>
        <w:autoSpaceDE w:val="0"/>
        <w:autoSpaceDN w:val="0"/>
        <w:adjustRightInd w:val="0"/>
        <w:ind w:firstLine="708"/>
        <w:jc w:val="both"/>
        <w:rPr>
          <w:rFonts w:ascii="Abadi" w:eastAsia="Calibri" w:hAnsi="Abadi" w:cs="*Arial-6721-Identity-H"/>
          <w:color w:val="0C0C0F"/>
          <w:sz w:val="21"/>
          <w:szCs w:val="21"/>
          <w:lang w:val="es-MX" w:eastAsia="en-US"/>
        </w:rPr>
      </w:pPr>
      <w:r w:rsidRPr="00B314DB">
        <w:rPr>
          <w:rFonts w:ascii="Abadi" w:eastAsia="Calibri" w:hAnsi="Abadi" w:cs="*Arial-6721-Identity-H"/>
          <w:color w:val="0C0C0F"/>
          <w:sz w:val="21"/>
          <w:szCs w:val="21"/>
          <w:lang w:val="es-MX" w:eastAsia="en-US"/>
        </w:rPr>
        <w:t>En fechas 24 de septiembre y 17 de diciembre de 2021 se notificó al sujeto fiscalizado la suspensión del plazo de la auditoría materia del presente dictamen, por los periodos comprendidos del 1 de octubre al 17 de diciembre de 2021; y del 3 de enero al 11 de marzo de 2022.</w:t>
      </w:r>
    </w:p>
    <w:p w14:paraId="1ACDE3BD" w14:textId="77777777" w:rsidR="00B314DB" w:rsidRPr="00B314DB" w:rsidRDefault="00B314DB" w:rsidP="00B314DB">
      <w:pPr>
        <w:autoSpaceDE w:val="0"/>
        <w:autoSpaceDN w:val="0"/>
        <w:adjustRightInd w:val="0"/>
        <w:jc w:val="both"/>
        <w:rPr>
          <w:rFonts w:ascii="Abadi" w:eastAsia="Calibri" w:hAnsi="Abadi" w:cs="*Arial-6721-Identity-H"/>
          <w:color w:val="0D0C0F"/>
          <w:sz w:val="21"/>
          <w:szCs w:val="21"/>
          <w:lang w:val="es-MX" w:eastAsia="en-US"/>
        </w:rPr>
      </w:pPr>
    </w:p>
    <w:p w14:paraId="67A67E2F" w14:textId="77777777" w:rsidR="00B314DB" w:rsidRPr="00B314DB" w:rsidRDefault="00B314DB" w:rsidP="00B314DB">
      <w:pPr>
        <w:autoSpaceDE w:val="0"/>
        <w:autoSpaceDN w:val="0"/>
        <w:adjustRightInd w:val="0"/>
        <w:ind w:firstLine="708"/>
        <w:jc w:val="both"/>
        <w:rPr>
          <w:rFonts w:ascii="Abadi" w:eastAsia="Calibri" w:hAnsi="Abadi" w:cs="*Arial-6721-Identity-H"/>
          <w:color w:val="0D0C0F"/>
          <w:sz w:val="21"/>
          <w:szCs w:val="21"/>
          <w:lang w:val="es-MX" w:eastAsia="en-US"/>
        </w:rPr>
      </w:pPr>
      <w:r w:rsidRPr="00B314DB">
        <w:rPr>
          <w:rFonts w:ascii="Abadi" w:eastAsia="Calibri" w:hAnsi="Abadi" w:cs="*Arial-6721-Identity-H"/>
          <w:color w:val="0D0C0F"/>
          <w:sz w:val="21"/>
          <w:szCs w:val="21"/>
          <w:lang w:val="es-MX" w:eastAsia="en-US"/>
        </w:rPr>
        <w:t>Como parte del proceso de auditoría, el 8 de febrero de 2022 se notificó al sujeto fiscalizado el pliego de recomendaciones derivadas de la auditoría practicada. Lo anterior, para dar cumplimiento a lo preceptuado por el artículo 58 de la Ley de Fiscalización Superior del Estado de Guanajuato.</w:t>
      </w:r>
    </w:p>
    <w:p w14:paraId="7943B793" w14:textId="77777777" w:rsidR="00B314DB" w:rsidRPr="00B314DB" w:rsidRDefault="00B314DB" w:rsidP="00B314DB">
      <w:pPr>
        <w:autoSpaceDE w:val="0"/>
        <w:autoSpaceDN w:val="0"/>
        <w:adjustRightInd w:val="0"/>
        <w:jc w:val="both"/>
        <w:rPr>
          <w:rFonts w:ascii="Abadi" w:eastAsia="Calibri" w:hAnsi="Abadi" w:cs="*Arial-6721-Identity-H"/>
          <w:color w:val="0C0C0E"/>
          <w:sz w:val="21"/>
          <w:szCs w:val="21"/>
          <w:lang w:val="es-MX" w:eastAsia="en-US"/>
        </w:rPr>
      </w:pPr>
    </w:p>
    <w:p w14:paraId="35E66ED3" w14:textId="77777777" w:rsidR="00B314DB" w:rsidRPr="00B314DB" w:rsidRDefault="00B314DB" w:rsidP="00B314DB">
      <w:pPr>
        <w:autoSpaceDE w:val="0"/>
        <w:autoSpaceDN w:val="0"/>
        <w:adjustRightInd w:val="0"/>
        <w:ind w:firstLine="708"/>
        <w:jc w:val="both"/>
        <w:rPr>
          <w:rFonts w:ascii="Abadi" w:eastAsia="Calibri" w:hAnsi="Abadi" w:cs="*Arial-6721-Identity-H"/>
          <w:color w:val="0C0C0E"/>
          <w:sz w:val="21"/>
          <w:szCs w:val="21"/>
          <w:lang w:val="es-MX" w:eastAsia="en-US"/>
        </w:rPr>
      </w:pPr>
      <w:r w:rsidRPr="00B314DB">
        <w:rPr>
          <w:rFonts w:ascii="Abadi" w:eastAsia="Calibri" w:hAnsi="Abadi" w:cs="*Arial-6721-Identity-H"/>
          <w:color w:val="0C0C0E"/>
          <w:sz w:val="21"/>
          <w:szCs w:val="21"/>
          <w:lang w:val="es-MX" w:eastAsia="en-US"/>
        </w:rPr>
        <w:t>El 21 de febrero de 2022,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16483450" w14:textId="77777777" w:rsidR="00B314DB" w:rsidRPr="00B314DB" w:rsidRDefault="00B314DB" w:rsidP="00B314DB">
      <w:pPr>
        <w:autoSpaceDE w:val="0"/>
        <w:autoSpaceDN w:val="0"/>
        <w:adjustRightInd w:val="0"/>
        <w:ind w:firstLine="708"/>
        <w:jc w:val="both"/>
        <w:rPr>
          <w:rFonts w:ascii="Abadi" w:eastAsia="Calibri" w:hAnsi="Abadi" w:cs="*Arial-6721-Identity-H"/>
          <w:color w:val="0C0C0E"/>
          <w:sz w:val="21"/>
          <w:szCs w:val="21"/>
          <w:lang w:val="es-MX" w:eastAsia="en-US"/>
        </w:rPr>
      </w:pPr>
      <w:r w:rsidRPr="00B314DB">
        <w:rPr>
          <w:rFonts w:ascii="Abadi" w:eastAsia="Calibri" w:hAnsi="Abadi" w:cs="*Arial-6721-Identity-H"/>
          <w:color w:val="0C0C0E"/>
          <w:sz w:val="21"/>
          <w:szCs w:val="21"/>
          <w:lang w:val="es-MX" w:eastAsia="en-US"/>
        </w:rPr>
        <w:t xml:space="preserve">El informe de resultados se notificó al presidente municipal de Romita, </w:t>
      </w:r>
      <w:proofErr w:type="spellStart"/>
      <w:r w:rsidRPr="00B314DB">
        <w:rPr>
          <w:rFonts w:ascii="Abadi" w:eastAsia="Calibri" w:hAnsi="Abadi" w:cs="*Arial-6721-Identity-H"/>
          <w:color w:val="0C0C0E"/>
          <w:sz w:val="21"/>
          <w:szCs w:val="21"/>
          <w:lang w:val="es-MX" w:eastAsia="en-US"/>
        </w:rPr>
        <w:t>Gto</w:t>
      </w:r>
      <w:proofErr w:type="spellEnd"/>
      <w:r w:rsidRPr="00B314DB">
        <w:rPr>
          <w:rFonts w:ascii="Abadi" w:eastAsia="Calibri" w:hAnsi="Abadi" w:cs="*Arial-6721-Identity-H"/>
          <w:color w:val="0C0C0E"/>
          <w:sz w:val="21"/>
          <w:szCs w:val="21"/>
          <w:lang w:val="es-MX" w:eastAsia="en-US"/>
        </w:rPr>
        <w:t>., el 25 de febrero de 2022.</w:t>
      </w:r>
    </w:p>
    <w:p w14:paraId="6B0B94FC" w14:textId="77777777" w:rsidR="00B314DB" w:rsidRPr="00B314DB" w:rsidRDefault="00B314DB" w:rsidP="00B314DB">
      <w:pPr>
        <w:autoSpaceDE w:val="0"/>
        <w:autoSpaceDN w:val="0"/>
        <w:adjustRightInd w:val="0"/>
        <w:jc w:val="both"/>
        <w:rPr>
          <w:rFonts w:ascii="Abadi" w:eastAsia="Calibri" w:hAnsi="Abadi" w:cs="*Arial-6721-Identity-H"/>
          <w:color w:val="0D0D10"/>
          <w:sz w:val="21"/>
          <w:szCs w:val="21"/>
          <w:lang w:val="es-MX" w:eastAsia="en-US"/>
        </w:rPr>
      </w:pPr>
    </w:p>
    <w:p w14:paraId="365F8308" w14:textId="77777777" w:rsidR="00B314DB" w:rsidRPr="00B314DB" w:rsidRDefault="00B314DB" w:rsidP="00B314DB">
      <w:pPr>
        <w:autoSpaceDE w:val="0"/>
        <w:autoSpaceDN w:val="0"/>
        <w:adjustRightInd w:val="0"/>
        <w:ind w:firstLine="708"/>
        <w:jc w:val="both"/>
        <w:rPr>
          <w:rFonts w:ascii="Abadi" w:eastAsia="Calibri" w:hAnsi="Abadi" w:cs="*Arial-6721-Identity-H"/>
          <w:color w:val="0D0D10"/>
          <w:sz w:val="21"/>
          <w:szCs w:val="21"/>
          <w:lang w:val="es-MX" w:eastAsia="en-US"/>
        </w:rPr>
      </w:pPr>
      <w:r w:rsidRPr="00B314DB">
        <w:rPr>
          <w:rFonts w:ascii="Abadi" w:eastAsia="Calibri" w:hAnsi="Abadi" w:cs="*Arial-6721-Identity-H"/>
          <w:color w:val="0D0D10"/>
          <w:sz w:val="21"/>
          <w:szCs w:val="21"/>
          <w:lang w:val="es-MX" w:eastAsia="en-US"/>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09328A93" w14:textId="77777777" w:rsidR="00B314DB" w:rsidRPr="00B314DB" w:rsidRDefault="00B314DB" w:rsidP="00B314DB">
      <w:pPr>
        <w:autoSpaceDE w:val="0"/>
        <w:autoSpaceDN w:val="0"/>
        <w:adjustRightInd w:val="0"/>
        <w:jc w:val="both"/>
        <w:rPr>
          <w:rFonts w:ascii="Abadi" w:eastAsia="Calibri" w:hAnsi="Abadi" w:cs="*Arial-6721-Identity-H"/>
          <w:color w:val="0D0D0F"/>
          <w:sz w:val="21"/>
          <w:szCs w:val="21"/>
          <w:lang w:val="es-MX" w:eastAsia="en-US"/>
        </w:rPr>
      </w:pPr>
    </w:p>
    <w:p w14:paraId="72FAD382" w14:textId="77777777" w:rsidR="00B314DB" w:rsidRPr="00B314DB" w:rsidRDefault="00B314DB" w:rsidP="00B314DB">
      <w:pPr>
        <w:autoSpaceDE w:val="0"/>
        <w:autoSpaceDN w:val="0"/>
        <w:adjustRightInd w:val="0"/>
        <w:ind w:firstLine="708"/>
        <w:jc w:val="both"/>
        <w:rPr>
          <w:rFonts w:ascii="Abadi" w:eastAsia="Calibri" w:hAnsi="Abadi" w:cs="*Arial-6721-Identity-H"/>
          <w:color w:val="0D0D0F"/>
          <w:sz w:val="21"/>
          <w:szCs w:val="21"/>
          <w:lang w:val="es-MX" w:eastAsia="en-US"/>
        </w:rPr>
      </w:pPr>
      <w:r w:rsidRPr="00B314DB">
        <w:rPr>
          <w:rFonts w:ascii="Abadi" w:eastAsia="Calibri" w:hAnsi="Abadi" w:cs="*Arial-6721-Identity-H"/>
          <w:color w:val="0D0D0F"/>
          <w:sz w:val="21"/>
          <w:szCs w:val="21"/>
          <w:lang w:val="es-MX" w:eastAsia="en-US"/>
        </w:rPr>
        <w:t>En razón de lo anterior, el Auditor Superior del Estado remitió a este Congreso del Estado, el informe de resultados, el cual se turnó a la Comisión de Hacienda y Fiscalización el 1 O de marzo de 2022 para su estudio y dictamen, siendo radicado el 15 de marzo del año en curso.</w:t>
      </w:r>
    </w:p>
    <w:p w14:paraId="1B912594" w14:textId="77777777" w:rsidR="00B314DB" w:rsidRPr="00B314DB" w:rsidRDefault="00B314DB" w:rsidP="00B314DB">
      <w:pPr>
        <w:autoSpaceDE w:val="0"/>
        <w:autoSpaceDN w:val="0"/>
        <w:adjustRightInd w:val="0"/>
        <w:jc w:val="both"/>
        <w:rPr>
          <w:rFonts w:ascii="Abadi" w:eastAsia="Calibri" w:hAnsi="Abadi" w:cs="*Calibri-Bold-7846-Identity-H"/>
          <w:b/>
          <w:bCs/>
          <w:color w:val="28272E"/>
          <w:sz w:val="21"/>
          <w:szCs w:val="21"/>
          <w:lang w:val="es-MX" w:eastAsia="en-US"/>
        </w:rPr>
      </w:pPr>
    </w:p>
    <w:p w14:paraId="2A5B6247" w14:textId="77777777" w:rsidR="00B314DB" w:rsidRPr="00B314DB" w:rsidRDefault="00B314DB" w:rsidP="00B314DB">
      <w:pPr>
        <w:autoSpaceDE w:val="0"/>
        <w:autoSpaceDN w:val="0"/>
        <w:adjustRightInd w:val="0"/>
        <w:ind w:firstLine="708"/>
        <w:jc w:val="both"/>
        <w:rPr>
          <w:rFonts w:ascii="Abadi" w:eastAsia="Calibri" w:hAnsi="Abadi" w:cs="*Calibri-Bold-7845-Identity-H"/>
          <w:b/>
          <w:bCs/>
          <w:color w:val="0D0C10"/>
          <w:sz w:val="21"/>
          <w:szCs w:val="21"/>
          <w:lang w:val="es-MX" w:eastAsia="en-US"/>
        </w:rPr>
      </w:pPr>
      <w:r w:rsidRPr="00B314DB">
        <w:rPr>
          <w:rFonts w:ascii="Abadi" w:eastAsia="Calibri" w:hAnsi="Abadi" w:cs="*Calibri-Bold-7845-Identity-H"/>
          <w:b/>
          <w:bCs/>
          <w:color w:val="0D0C10"/>
          <w:sz w:val="21"/>
          <w:szCs w:val="21"/>
          <w:lang w:val="es-MX" w:eastAsia="en-US"/>
        </w:rPr>
        <w:t>IV. Contenido del Informe de Resultados:</w:t>
      </w:r>
    </w:p>
    <w:p w14:paraId="0ED60A86" w14:textId="77777777" w:rsidR="00B314DB" w:rsidRPr="00B314DB" w:rsidRDefault="00B314DB" w:rsidP="00B314DB">
      <w:pPr>
        <w:autoSpaceDE w:val="0"/>
        <w:autoSpaceDN w:val="0"/>
        <w:adjustRightInd w:val="0"/>
        <w:jc w:val="both"/>
        <w:rPr>
          <w:rFonts w:ascii="Abadi" w:eastAsia="Calibri" w:hAnsi="Abadi" w:cs="*Arial-7849-Identity-H"/>
          <w:color w:val="191919"/>
          <w:sz w:val="21"/>
          <w:szCs w:val="21"/>
          <w:lang w:val="es-MX" w:eastAsia="en-US"/>
        </w:rPr>
      </w:pPr>
    </w:p>
    <w:p w14:paraId="445E6A28" w14:textId="77777777" w:rsidR="00B314DB" w:rsidRPr="00B314DB" w:rsidRDefault="00B314DB" w:rsidP="00B314DB">
      <w:pPr>
        <w:autoSpaceDE w:val="0"/>
        <w:autoSpaceDN w:val="0"/>
        <w:adjustRightInd w:val="0"/>
        <w:jc w:val="both"/>
        <w:rPr>
          <w:rFonts w:ascii="Abadi" w:eastAsia="Calibri" w:hAnsi="Abadi" w:cs="*Arial-7847-Identity-H"/>
          <w:color w:val="0C0C0F"/>
          <w:sz w:val="21"/>
          <w:szCs w:val="21"/>
          <w:lang w:val="es-MX" w:eastAsia="en-US"/>
        </w:rPr>
      </w:pPr>
      <w:r w:rsidRPr="00B314DB">
        <w:rPr>
          <w:rFonts w:ascii="Abadi" w:eastAsia="Calibri" w:hAnsi="Abadi" w:cs="*Arial-7847-Identity-H"/>
          <w:color w:val="0C0C0F"/>
          <w:sz w:val="21"/>
          <w:szCs w:val="21"/>
          <w:lang w:val="es-MX" w:eastAsia="en-US"/>
        </w:rPr>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751B5233" w14:textId="77777777" w:rsidR="00B314DB" w:rsidRPr="00B314DB" w:rsidRDefault="00B314DB" w:rsidP="00B314DB">
      <w:pPr>
        <w:autoSpaceDE w:val="0"/>
        <w:autoSpaceDN w:val="0"/>
        <w:adjustRightInd w:val="0"/>
        <w:jc w:val="both"/>
        <w:rPr>
          <w:rFonts w:ascii="Abadi" w:eastAsia="Calibri" w:hAnsi="Abadi" w:cs="*Calibri-Bold-7845-Identity-H"/>
          <w:b/>
          <w:bCs/>
          <w:color w:val="0C0A10"/>
          <w:sz w:val="21"/>
          <w:szCs w:val="21"/>
          <w:lang w:val="es-MX" w:eastAsia="en-US"/>
        </w:rPr>
      </w:pPr>
    </w:p>
    <w:p w14:paraId="342D6E48" w14:textId="77777777" w:rsidR="00B314DB" w:rsidRPr="00B314DB" w:rsidRDefault="00B314DB" w:rsidP="00B314DB">
      <w:pPr>
        <w:autoSpaceDE w:val="0"/>
        <w:autoSpaceDN w:val="0"/>
        <w:adjustRightInd w:val="0"/>
        <w:ind w:firstLine="708"/>
        <w:jc w:val="both"/>
        <w:rPr>
          <w:rFonts w:ascii="Abadi" w:eastAsia="Calibri" w:hAnsi="Abadi" w:cs="*Calibri-Bold-7845-Identity-H"/>
          <w:b/>
          <w:bCs/>
          <w:color w:val="0C0A10"/>
          <w:sz w:val="21"/>
          <w:szCs w:val="21"/>
          <w:lang w:val="es-MX" w:eastAsia="en-US"/>
        </w:rPr>
      </w:pPr>
      <w:r w:rsidRPr="00B314DB">
        <w:rPr>
          <w:rFonts w:ascii="Abadi" w:eastAsia="Calibri" w:hAnsi="Abadi" w:cs="*Calibri-Bold-7845-Identity-H"/>
          <w:b/>
          <w:bCs/>
          <w:color w:val="0C0A10"/>
          <w:sz w:val="21"/>
          <w:szCs w:val="21"/>
          <w:lang w:val="es-MX" w:eastAsia="en-US"/>
        </w:rPr>
        <w:t>a) Introducción.</w:t>
      </w:r>
    </w:p>
    <w:p w14:paraId="4DEC8E75" w14:textId="77777777" w:rsidR="00B314DB" w:rsidRPr="00B314DB" w:rsidRDefault="00B314DB" w:rsidP="00B314DB">
      <w:pPr>
        <w:autoSpaceDE w:val="0"/>
        <w:autoSpaceDN w:val="0"/>
        <w:adjustRightInd w:val="0"/>
        <w:jc w:val="both"/>
        <w:rPr>
          <w:rFonts w:ascii="Abadi" w:eastAsia="Calibri" w:hAnsi="Abadi" w:cs="*Arial-7847-Identity-H"/>
          <w:color w:val="0F0E11"/>
          <w:sz w:val="21"/>
          <w:szCs w:val="21"/>
          <w:lang w:val="es-MX" w:eastAsia="en-US"/>
        </w:rPr>
      </w:pPr>
    </w:p>
    <w:p w14:paraId="0721F13B" w14:textId="77777777" w:rsidR="00B314DB" w:rsidRPr="00B314DB" w:rsidRDefault="00B314DB" w:rsidP="00B314DB">
      <w:pPr>
        <w:autoSpaceDE w:val="0"/>
        <w:autoSpaceDN w:val="0"/>
        <w:adjustRightInd w:val="0"/>
        <w:ind w:firstLine="708"/>
        <w:jc w:val="both"/>
        <w:rPr>
          <w:rFonts w:ascii="Abadi" w:eastAsia="Calibri" w:hAnsi="Abadi" w:cs="*Arial-7847-Identity-H"/>
          <w:color w:val="0F0E11"/>
          <w:sz w:val="21"/>
          <w:szCs w:val="21"/>
          <w:lang w:val="es-MX" w:eastAsia="en-US"/>
        </w:rPr>
      </w:pPr>
      <w:r w:rsidRPr="00B314DB">
        <w:rPr>
          <w:rFonts w:ascii="Abadi" w:eastAsia="Calibri" w:hAnsi="Abadi" w:cs="*Arial-7847-Identity-H"/>
          <w:color w:val="0F0E11"/>
          <w:sz w:val="21"/>
          <w:szCs w:val="21"/>
          <w:lang w:val="es-MX" w:eastAsia="en-US"/>
        </w:rPr>
        <w:t>Por lo que se refiere a esta parte, se señala que las auditorias de desempeño son actos de fiscalización, esa es su esencia.</w:t>
      </w:r>
    </w:p>
    <w:p w14:paraId="3C3005ED" w14:textId="77777777" w:rsidR="00B314DB" w:rsidRPr="00B314DB" w:rsidRDefault="00B314DB" w:rsidP="00B314DB">
      <w:pPr>
        <w:autoSpaceDE w:val="0"/>
        <w:autoSpaceDN w:val="0"/>
        <w:adjustRightInd w:val="0"/>
        <w:jc w:val="both"/>
        <w:rPr>
          <w:rFonts w:ascii="Abadi" w:eastAsia="Calibri" w:hAnsi="Abadi" w:cs="*Arial-7847-Identity-H"/>
          <w:color w:val="0D0C0F"/>
          <w:sz w:val="21"/>
          <w:szCs w:val="21"/>
          <w:lang w:val="es-MX" w:eastAsia="en-US"/>
        </w:rPr>
      </w:pPr>
    </w:p>
    <w:p w14:paraId="1960365B" w14:textId="77777777" w:rsidR="00B314DB" w:rsidRPr="00B314DB" w:rsidRDefault="00B314DB" w:rsidP="00B314DB">
      <w:pPr>
        <w:autoSpaceDE w:val="0"/>
        <w:autoSpaceDN w:val="0"/>
        <w:adjustRightInd w:val="0"/>
        <w:ind w:firstLine="708"/>
        <w:jc w:val="both"/>
        <w:rPr>
          <w:rFonts w:ascii="Abadi" w:eastAsia="Calibri" w:hAnsi="Abadi" w:cs="*Arial-7847-Identity-H"/>
          <w:color w:val="0D0C0F"/>
          <w:sz w:val="21"/>
          <w:szCs w:val="21"/>
          <w:lang w:val="es-MX" w:eastAsia="en-US"/>
        </w:rPr>
      </w:pPr>
      <w:r w:rsidRPr="00B314DB">
        <w:rPr>
          <w:rFonts w:ascii="Abadi" w:eastAsia="Calibri" w:hAnsi="Abadi" w:cs="*Arial-7847-Identity-H"/>
          <w:color w:val="0D0C0F"/>
          <w:sz w:val="21"/>
          <w:szCs w:val="21"/>
          <w:lang w:val="es-MX" w:eastAsia="en-US"/>
        </w:rPr>
        <w:t>Es así, que la naturaleza técnico-jurídica de las auditorías de desempeño difiere de otras auditorías, pues el resultado se expresa con la emisión, en su caso, de exclusivamente recomendaciones, distinguiéndose de otros actos de fiscalización o control que pue 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1B12120F" w14:textId="77777777" w:rsidR="00B314DB" w:rsidRPr="00B314DB" w:rsidRDefault="00B314DB" w:rsidP="00B314DB">
      <w:pPr>
        <w:autoSpaceDE w:val="0"/>
        <w:autoSpaceDN w:val="0"/>
        <w:adjustRightInd w:val="0"/>
        <w:jc w:val="both"/>
        <w:rPr>
          <w:rFonts w:ascii="Abadi" w:eastAsia="Calibri" w:hAnsi="Abadi" w:cs="*Arial-7847-Identity-H"/>
          <w:color w:val="0C0D10"/>
          <w:sz w:val="21"/>
          <w:szCs w:val="21"/>
          <w:lang w:val="es-MX" w:eastAsia="en-US"/>
        </w:rPr>
      </w:pPr>
    </w:p>
    <w:p w14:paraId="1F4B8A7D" w14:textId="77777777" w:rsidR="00B314DB" w:rsidRPr="00B314DB" w:rsidRDefault="00B314DB" w:rsidP="00B314DB">
      <w:pPr>
        <w:autoSpaceDE w:val="0"/>
        <w:autoSpaceDN w:val="0"/>
        <w:adjustRightInd w:val="0"/>
        <w:ind w:firstLine="708"/>
        <w:jc w:val="both"/>
        <w:rPr>
          <w:rFonts w:ascii="Abadi" w:eastAsia="Calibri" w:hAnsi="Abadi" w:cs="*Arial-7847-Identity-H"/>
          <w:color w:val="0C0D10"/>
          <w:sz w:val="21"/>
          <w:szCs w:val="21"/>
          <w:lang w:val="es-MX" w:eastAsia="en-US"/>
        </w:rPr>
      </w:pPr>
      <w:r w:rsidRPr="00B314DB">
        <w:rPr>
          <w:rFonts w:ascii="Abadi" w:eastAsia="Calibri" w:hAnsi="Abadi" w:cs="*Arial-7847-Identity-H"/>
          <w:color w:val="0C0D10"/>
          <w:sz w:val="21"/>
          <w:szCs w:val="21"/>
          <w:lang w:val="es-MX" w:eastAsia="en-US"/>
        </w:rPr>
        <w:t>En dichas auditorías, con independencia de su enfoque, se debe planear con toda claridad y con base en la evidencia competente, suficiente, pertinente, relevante y oportuna, las conclusiones del proceso de fiscalización, puntualizándose las recomendaciones formuladas en su caso.</w:t>
      </w:r>
    </w:p>
    <w:p w14:paraId="300CAA5D" w14:textId="77777777" w:rsidR="00B314DB" w:rsidRPr="00B314DB" w:rsidRDefault="00B314DB" w:rsidP="00B314DB">
      <w:pPr>
        <w:autoSpaceDE w:val="0"/>
        <w:autoSpaceDN w:val="0"/>
        <w:adjustRightInd w:val="0"/>
        <w:jc w:val="both"/>
        <w:rPr>
          <w:rFonts w:ascii="Abadi" w:eastAsia="Calibri" w:hAnsi="Abadi" w:cs="*Arial-7847-Identity-H"/>
          <w:color w:val="0C0B0E"/>
          <w:sz w:val="21"/>
          <w:szCs w:val="21"/>
          <w:lang w:val="es-MX" w:eastAsia="en-US"/>
        </w:rPr>
      </w:pPr>
    </w:p>
    <w:p w14:paraId="70F07A2A" w14:textId="060D80FB" w:rsidR="00B314DB" w:rsidRPr="00B314DB" w:rsidRDefault="00B314DB" w:rsidP="00B314DB">
      <w:pPr>
        <w:autoSpaceDE w:val="0"/>
        <w:autoSpaceDN w:val="0"/>
        <w:adjustRightInd w:val="0"/>
        <w:ind w:firstLine="708"/>
        <w:jc w:val="both"/>
        <w:rPr>
          <w:rFonts w:ascii="Abadi" w:eastAsia="Calibri" w:hAnsi="Abadi" w:cs="*Arial-7847-Identity-H"/>
          <w:color w:val="0C0B0E"/>
          <w:sz w:val="21"/>
          <w:szCs w:val="21"/>
          <w:lang w:val="es-MX" w:eastAsia="en-US"/>
        </w:rPr>
      </w:pPr>
      <w:r w:rsidRPr="00B314DB">
        <w:rPr>
          <w:rFonts w:ascii="Abadi" w:eastAsia="Calibri" w:hAnsi="Abadi" w:cs="*Arial-7847-Identity-H"/>
          <w:color w:val="0C0B0E"/>
          <w:sz w:val="21"/>
          <w:szCs w:val="21"/>
          <w:lang w:val="es-MX" w:eastAsia="en-US"/>
        </w:rPr>
        <w:t xml:space="preserve">Respecto al marco competencia!, se precisa la normatividad aplicable a la función de fiscalización a cargo del Poder Legislativo del Estado, siendo esta: artículos 116, fracción </w:t>
      </w:r>
      <w:r w:rsidR="00191ED6">
        <w:rPr>
          <w:rFonts w:ascii="Abadi" w:eastAsia="Calibri" w:hAnsi="Abadi" w:cs="*Arial-7847-Identity-H"/>
          <w:color w:val="0C0B0E"/>
          <w:sz w:val="21"/>
          <w:szCs w:val="21"/>
          <w:lang w:val="es-MX" w:eastAsia="en-US"/>
        </w:rPr>
        <w:t>II</w:t>
      </w:r>
      <w:r w:rsidRPr="00B314DB">
        <w:rPr>
          <w:rFonts w:ascii="Abadi" w:eastAsia="Calibri" w:hAnsi="Abadi" w:cs="*Arial-7847-Identity-H"/>
          <w:color w:val="0C0B0E"/>
          <w:sz w:val="21"/>
          <w:szCs w:val="21"/>
          <w:lang w:val="es-MX" w:eastAsia="en-US"/>
        </w:rPr>
        <w:t xml:space="preserve"> y 134 de la Constitución Política de los Estados Unidos Mexicanos; 2, párrafo primero, 63, fracción XIX y 66, fracciones </w:t>
      </w:r>
      <w:r w:rsidR="00191ED6">
        <w:rPr>
          <w:rFonts w:ascii="Abadi" w:eastAsia="Calibri" w:hAnsi="Abadi" w:cs="*Arial-7847-Identity-H"/>
          <w:color w:val="0C0B0E"/>
          <w:sz w:val="21"/>
          <w:szCs w:val="21"/>
          <w:lang w:val="es-MX" w:eastAsia="en-US"/>
        </w:rPr>
        <w:t>I</w:t>
      </w:r>
      <w:r w:rsidRPr="00B314DB">
        <w:rPr>
          <w:rFonts w:ascii="Abadi" w:eastAsia="Calibri" w:hAnsi="Abadi" w:cs="*Arial-7847-Identity-H"/>
          <w:color w:val="0C0B0E"/>
          <w:sz w:val="21"/>
          <w:szCs w:val="21"/>
          <w:lang w:val="es-MX" w:eastAsia="en-US"/>
        </w:rPr>
        <w:t xml:space="preserve">, </w:t>
      </w:r>
      <w:r w:rsidR="00191ED6">
        <w:rPr>
          <w:rFonts w:ascii="Abadi" w:eastAsia="Calibri" w:hAnsi="Abadi" w:cs="*Arial-7847-Identity-H"/>
          <w:color w:val="0C0B0E"/>
          <w:sz w:val="21"/>
          <w:szCs w:val="21"/>
          <w:lang w:val="es-MX" w:eastAsia="en-US"/>
        </w:rPr>
        <w:t>II</w:t>
      </w:r>
      <w:r w:rsidRPr="00B314DB">
        <w:rPr>
          <w:rFonts w:ascii="Abadi" w:eastAsia="Calibri" w:hAnsi="Abadi" w:cs="*Arial-7847-Identity-H"/>
          <w:color w:val="0C0B0E"/>
          <w:sz w:val="21"/>
          <w:szCs w:val="21"/>
          <w:lang w:val="es-MX" w:eastAsia="en-US"/>
        </w:rPr>
        <w:t xml:space="preserve"> y IV de la Constitución Política para el Estado de Guanajuato; 1, 2, fracciones II y </w:t>
      </w:r>
      <w:r w:rsidR="00191ED6">
        <w:rPr>
          <w:rFonts w:ascii="Abadi" w:eastAsia="Calibri" w:hAnsi="Abadi" w:cs="*Arial-7847-Identity-H"/>
          <w:color w:val="0C0B0E"/>
          <w:sz w:val="21"/>
          <w:szCs w:val="21"/>
          <w:lang w:val="es-MX" w:eastAsia="en-US"/>
        </w:rPr>
        <w:t>III</w:t>
      </w:r>
      <w:r w:rsidRPr="00B314DB">
        <w:rPr>
          <w:rFonts w:ascii="Abadi" w:eastAsia="Calibri" w:hAnsi="Abadi" w:cs="*Arial-7847-Identity-H"/>
          <w:color w:val="0C0B0E"/>
          <w:sz w:val="21"/>
          <w:szCs w:val="21"/>
          <w:lang w:val="es-MX" w:eastAsia="en-US"/>
        </w:rPr>
        <w:t xml:space="preserve">, 3, fracciones </w:t>
      </w:r>
      <w:r w:rsidR="00191ED6">
        <w:rPr>
          <w:rFonts w:ascii="Abadi" w:eastAsia="Calibri" w:hAnsi="Abadi" w:cs="*Arial-7847-Identity-H"/>
          <w:color w:val="0C0B0E"/>
          <w:sz w:val="21"/>
          <w:szCs w:val="21"/>
          <w:lang w:val="es-MX" w:eastAsia="en-US"/>
        </w:rPr>
        <w:t>I</w:t>
      </w:r>
      <w:r w:rsidRPr="00B314DB">
        <w:rPr>
          <w:rFonts w:ascii="Abadi" w:eastAsia="Calibri" w:hAnsi="Abadi" w:cs="*Arial-7847-Identity-H"/>
          <w:color w:val="0C0B0E"/>
          <w:sz w:val="21"/>
          <w:szCs w:val="21"/>
          <w:lang w:val="es-MX" w:eastAsia="en-US"/>
        </w:rPr>
        <w:t xml:space="preserve">, </w:t>
      </w:r>
      <w:r w:rsidR="00191ED6">
        <w:rPr>
          <w:rFonts w:ascii="Abadi" w:eastAsia="Calibri" w:hAnsi="Abadi" w:cs="*Arial-7847-Identity-H"/>
          <w:color w:val="0C0B0E"/>
          <w:sz w:val="21"/>
          <w:szCs w:val="21"/>
          <w:lang w:val="es-MX" w:eastAsia="en-US"/>
        </w:rPr>
        <w:t>II</w:t>
      </w:r>
      <w:r w:rsidRPr="00B314DB">
        <w:rPr>
          <w:rFonts w:ascii="Abadi" w:eastAsia="Calibri" w:hAnsi="Abadi" w:cs="*Arial-7847-Identity-H"/>
          <w:color w:val="0C0B0E"/>
          <w:sz w:val="21"/>
          <w:szCs w:val="21"/>
          <w:lang w:val="es-MX" w:eastAsia="en-US"/>
        </w:rPr>
        <w:t xml:space="preserve">, V y XI, 4, 6, 7, </w:t>
      </w:r>
      <w:r w:rsidR="00191ED6">
        <w:rPr>
          <w:rFonts w:ascii="Abadi" w:eastAsia="Calibri" w:hAnsi="Abadi" w:cs="*Arial-7847-Identity-H"/>
          <w:color w:val="0C0B0E"/>
          <w:sz w:val="21"/>
          <w:szCs w:val="21"/>
          <w:lang w:val="es-MX" w:eastAsia="en-US"/>
        </w:rPr>
        <w:t>II</w:t>
      </w:r>
      <w:r w:rsidRPr="00B314DB">
        <w:rPr>
          <w:rFonts w:ascii="Abadi" w:eastAsia="Calibri" w:hAnsi="Abadi" w:cs="*Arial-7847-Identity-H"/>
          <w:color w:val="0C0B0E"/>
          <w:sz w:val="21"/>
          <w:szCs w:val="21"/>
          <w:lang w:val="es-MX" w:eastAsia="en-US"/>
        </w:rPr>
        <w:t xml:space="preserve">, 14, 16, 24, 25, 26, 30, 31, 37, fracción </w:t>
      </w:r>
      <w:r w:rsidR="00191ED6">
        <w:rPr>
          <w:rFonts w:ascii="Abadi" w:eastAsia="Calibri" w:hAnsi="Abadi" w:cs="*Arial-7847-Identity-H"/>
          <w:color w:val="0C0B0E"/>
          <w:sz w:val="21"/>
          <w:szCs w:val="21"/>
          <w:lang w:val="es-MX" w:eastAsia="en-US"/>
        </w:rPr>
        <w:t>III</w:t>
      </w:r>
      <w:r w:rsidRPr="00B314DB">
        <w:rPr>
          <w:rFonts w:ascii="Abadi" w:eastAsia="Calibri" w:hAnsi="Abadi" w:cs="*Arial-7847-Identity-H"/>
          <w:color w:val="0C0B0E"/>
          <w:sz w:val="21"/>
          <w:szCs w:val="21"/>
          <w:lang w:val="es-MX" w:eastAsia="en-US"/>
        </w:rPr>
        <w:t xml:space="preserve">, 56, 57, 58, 59, 60, 82, fracciones </w:t>
      </w:r>
      <w:r w:rsidR="00191ED6">
        <w:rPr>
          <w:rFonts w:ascii="Abadi" w:eastAsia="Calibri" w:hAnsi="Abadi" w:cs="*Arial-7847-Identity-H"/>
          <w:color w:val="0C0B0E"/>
          <w:sz w:val="21"/>
          <w:szCs w:val="21"/>
          <w:lang w:val="es-MX" w:eastAsia="en-US"/>
        </w:rPr>
        <w:t>III</w:t>
      </w:r>
      <w:r w:rsidRPr="00B314DB">
        <w:rPr>
          <w:rFonts w:ascii="Abadi" w:eastAsia="Calibri" w:hAnsi="Abadi" w:cs="*Arial-7847-Identity-H"/>
          <w:color w:val="0C0B0E"/>
          <w:sz w:val="21"/>
          <w:szCs w:val="21"/>
          <w:lang w:val="es-MX" w:eastAsia="en-US"/>
        </w:rPr>
        <w:t xml:space="preserve">, </w:t>
      </w:r>
      <w:r w:rsidRPr="00191ED6">
        <w:rPr>
          <w:rFonts w:ascii="Abadi" w:eastAsia="Calibri" w:hAnsi="Abadi" w:cs="*Arial-7847-Identity-H"/>
          <w:color w:val="0C0B0E"/>
          <w:sz w:val="21"/>
          <w:szCs w:val="21"/>
          <w:lang w:val="es-MX" w:eastAsia="en-US"/>
        </w:rPr>
        <w:t xml:space="preserve">IV, </w:t>
      </w:r>
      <w:r w:rsidRPr="00191ED6">
        <w:rPr>
          <w:rFonts w:ascii="Abadi" w:eastAsia="Calibri" w:hAnsi="Abadi" w:cs="*Arial-Bold-7848-Identity-H"/>
          <w:color w:val="0C0B0E"/>
          <w:sz w:val="21"/>
          <w:szCs w:val="21"/>
          <w:lang w:val="es-MX" w:eastAsia="en-US"/>
        </w:rPr>
        <w:t xml:space="preserve">XXIX, XXXII </w:t>
      </w:r>
      <w:r w:rsidRPr="00191ED6">
        <w:rPr>
          <w:rFonts w:ascii="Abadi" w:eastAsia="Calibri" w:hAnsi="Abadi" w:cs="*Arial-7847-Identity-H"/>
          <w:color w:val="0C0B0E"/>
          <w:sz w:val="21"/>
          <w:szCs w:val="21"/>
          <w:lang w:val="es-MX" w:eastAsia="en-US"/>
        </w:rPr>
        <w:t xml:space="preserve">y </w:t>
      </w:r>
      <w:r w:rsidRPr="00191ED6">
        <w:rPr>
          <w:rFonts w:ascii="Abadi" w:eastAsia="Calibri" w:hAnsi="Abadi" w:cs="*Arial-Bold-7848-Identity-H"/>
          <w:color w:val="0C0B0E"/>
          <w:sz w:val="21"/>
          <w:szCs w:val="21"/>
          <w:lang w:val="es-MX" w:eastAsia="en-US"/>
        </w:rPr>
        <w:t xml:space="preserve">XXXV </w:t>
      </w:r>
      <w:r w:rsidRPr="00191ED6">
        <w:rPr>
          <w:rFonts w:ascii="Abadi" w:eastAsia="Calibri" w:hAnsi="Abadi" w:cs="*Arial-7847-Identity-H"/>
          <w:color w:val="0C0B0E"/>
          <w:sz w:val="21"/>
          <w:szCs w:val="21"/>
          <w:lang w:val="es-MX" w:eastAsia="en-US"/>
        </w:rPr>
        <w:t>y 87, fracciones V, XII y XXVI</w:t>
      </w:r>
      <w:r w:rsidRPr="00B314DB">
        <w:rPr>
          <w:rFonts w:ascii="Abadi" w:eastAsia="Calibri" w:hAnsi="Abadi" w:cs="*Arial-7847-Identity-H"/>
          <w:color w:val="0C0B0E"/>
          <w:sz w:val="21"/>
          <w:szCs w:val="21"/>
          <w:lang w:val="es-MX" w:eastAsia="en-US"/>
        </w:rPr>
        <w:t xml:space="preserve"> de la Ley de Fiscalización Superior del Estado de Guanajuato; 1, 3, </w:t>
      </w:r>
      <w:r w:rsidR="00191ED6">
        <w:rPr>
          <w:rFonts w:ascii="Abadi" w:eastAsia="Calibri" w:hAnsi="Abadi" w:cs="*Arial-7847-Identity-H"/>
          <w:color w:val="0C0B0E"/>
          <w:sz w:val="21"/>
          <w:szCs w:val="21"/>
          <w:lang w:val="es-MX" w:eastAsia="en-US"/>
        </w:rPr>
        <w:t>10</w:t>
      </w:r>
      <w:r w:rsidRPr="00B314DB">
        <w:rPr>
          <w:rFonts w:ascii="Abadi" w:eastAsia="Calibri" w:hAnsi="Abadi" w:cs="*Arial-7847-Identity-H"/>
          <w:color w:val="0C0B0E"/>
          <w:sz w:val="21"/>
          <w:szCs w:val="21"/>
          <w:lang w:val="es-MX" w:eastAsia="en-US"/>
        </w:rPr>
        <w:t xml:space="preserve">, 13, 18, 20, 27, 43, 44, 45, 46, 47, 48 y 49 del Reglamento de la Ley de Fiscalización Superior del Estado de Guanajuato; 1, 7, segundo párrafo, 8, fracción 1, 9, fracción XVII, 10 fracciones </w:t>
      </w:r>
      <w:r w:rsidR="00191ED6">
        <w:rPr>
          <w:rFonts w:ascii="Abadi" w:eastAsia="Calibri" w:hAnsi="Abadi" w:cs="*Arial-7847-Identity-H"/>
          <w:color w:val="0C0B0E"/>
          <w:sz w:val="21"/>
          <w:szCs w:val="21"/>
          <w:lang w:val="es-MX" w:eastAsia="en-US"/>
        </w:rPr>
        <w:t>III</w:t>
      </w:r>
      <w:r w:rsidRPr="00B314DB">
        <w:rPr>
          <w:rFonts w:ascii="Abadi" w:eastAsia="Calibri" w:hAnsi="Abadi" w:cs="*Arial-7847-Identity-H"/>
          <w:color w:val="0C0B0E"/>
          <w:sz w:val="21"/>
          <w:szCs w:val="21"/>
          <w:lang w:val="es-MX" w:eastAsia="en-US"/>
        </w:rPr>
        <w:t>, XVII, XIX y XX, 14 y 16 del Reglamento Interior de la Auditoría Superior del Estado de Guanajuato; y 42 de la Ley General del Sistema Nacional Anticorrupción.</w:t>
      </w:r>
    </w:p>
    <w:p w14:paraId="548B88EE" w14:textId="77777777" w:rsidR="00B314DB" w:rsidRPr="00B314DB" w:rsidRDefault="00B314DB" w:rsidP="00B314DB">
      <w:pPr>
        <w:autoSpaceDE w:val="0"/>
        <w:autoSpaceDN w:val="0"/>
        <w:adjustRightInd w:val="0"/>
        <w:jc w:val="both"/>
        <w:rPr>
          <w:rFonts w:ascii="Abadi" w:eastAsia="Calibri" w:hAnsi="Abadi" w:cs="*Minion Pro-Bold-7140-Identity-"/>
          <w:b/>
          <w:bCs/>
          <w:color w:val="1A1728"/>
          <w:sz w:val="21"/>
          <w:szCs w:val="21"/>
          <w:lang w:val="es-MX" w:eastAsia="en-US"/>
        </w:rPr>
      </w:pPr>
    </w:p>
    <w:p w14:paraId="0810ED0E" w14:textId="77777777" w:rsidR="00B314DB" w:rsidRPr="00B314DB" w:rsidRDefault="00B314DB" w:rsidP="00B314DB">
      <w:pPr>
        <w:autoSpaceDE w:val="0"/>
        <w:autoSpaceDN w:val="0"/>
        <w:adjustRightInd w:val="0"/>
        <w:ind w:firstLine="708"/>
        <w:jc w:val="both"/>
        <w:rPr>
          <w:rFonts w:ascii="Abadi" w:eastAsia="Calibri" w:hAnsi="Abadi" w:cs="*Arial-7138-Identity-H"/>
          <w:color w:val="0C0C0E"/>
          <w:sz w:val="21"/>
          <w:szCs w:val="21"/>
          <w:lang w:val="es-MX" w:eastAsia="en-US"/>
        </w:rPr>
      </w:pPr>
      <w:r w:rsidRPr="00B314DB">
        <w:rPr>
          <w:rFonts w:ascii="Abadi" w:eastAsia="Calibri" w:hAnsi="Abadi" w:cs="*Arial-7138-Identity-H"/>
          <w:color w:val="0C0C0E"/>
          <w:sz w:val="21"/>
          <w:szCs w:val="21"/>
          <w:lang w:val="es-MX" w:eastAsia="en-US"/>
        </w:rPr>
        <w:t>Con base en lo anterior, la auditoria de desempeño materia del presente dictamen, se ejecutó bajo los principios, conceptos y directrices de las actuales Normas Profesionales de Auditoría del Sistema Nacional de Fiscalización, compiladas y editadas por la Auditoria Superior de la Federación, de manera particular por lo que hace a sus numerales 100 y 300.</w:t>
      </w:r>
    </w:p>
    <w:p w14:paraId="0C62D65B" w14:textId="77777777" w:rsidR="00B314DB" w:rsidRPr="00B314DB" w:rsidRDefault="00B314DB" w:rsidP="00B314DB">
      <w:pPr>
        <w:autoSpaceDE w:val="0"/>
        <w:autoSpaceDN w:val="0"/>
        <w:adjustRightInd w:val="0"/>
        <w:jc w:val="both"/>
        <w:rPr>
          <w:rFonts w:ascii="Abadi" w:eastAsia="Calibri" w:hAnsi="Abadi" w:cs="*Arial-7138-Identity-H"/>
          <w:color w:val="0D0C0F"/>
          <w:sz w:val="21"/>
          <w:szCs w:val="21"/>
          <w:lang w:val="es-MX" w:eastAsia="en-US"/>
        </w:rPr>
      </w:pPr>
    </w:p>
    <w:p w14:paraId="46C6113D" w14:textId="77777777" w:rsidR="00B314DB" w:rsidRPr="00B314DB" w:rsidRDefault="00B314DB" w:rsidP="00B314DB">
      <w:pPr>
        <w:autoSpaceDE w:val="0"/>
        <w:autoSpaceDN w:val="0"/>
        <w:adjustRightInd w:val="0"/>
        <w:ind w:firstLine="708"/>
        <w:jc w:val="both"/>
        <w:rPr>
          <w:rFonts w:ascii="Abadi" w:eastAsia="Calibri" w:hAnsi="Abadi" w:cs="*Arial-7138-Identity-H"/>
          <w:color w:val="0D0C0F"/>
          <w:sz w:val="21"/>
          <w:szCs w:val="21"/>
          <w:lang w:val="es-MX" w:eastAsia="en-US"/>
        </w:rPr>
      </w:pPr>
      <w:r w:rsidRPr="00B314DB">
        <w:rPr>
          <w:rFonts w:ascii="Abadi" w:eastAsia="Calibri" w:hAnsi="Abadi" w:cs="*Arial-7138-Identity-H"/>
          <w:color w:val="0D0C0F"/>
          <w:sz w:val="21"/>
          <w:szCs w:val="21"/>
          <w:lang w:val="es-MX" w:eastAsia="en-US"/>
        </w:rPr>
        <w:t>En esta parte también se puntualiza que las auditorías de desempeño que se practican por la Auditoría Superior del Estado son congruentes con las metodologías señaladas en las Normas Internacionales para Entidades Fiscalizadoras Superiores 100, 300, 3000 y 3200, emitidas por la Organización Internacional de las Entidades Fiscalizadoras Superiores, así como con los lineamientos para la construcción y diseño de indicadores de desempeño mediante la Metodología del Marco Lógico, emitidos por el Consejo Nacional de Armonización Contable, publicados en el Diario Oficial de la Federación el 15 de mayo de 2013, entre otros.</w:t>
      </w:r>
    </w:p>
    <w:p w14:paraId="37902322" w14:textId="77777777" w:rsidR="00B314DB" w:rsidRPr="00B314DB" w:rsidRDefault="00B314DB" w:rsidP="00B314DB">
      <w:pPr>
        <w:autoSpaceDE w:val="0"/>
        <w:autoSpaceDN w:val="0"/>
        <w:adjustRightInd w:val="0"/>
        <w:jc w:val="both"/>
        <w:rPr>
          <w:rFonts w:ascii="Abadi" w:eastAsia="Calibri" w:hAnsi="Abadi" w:cs="*Arial-7138-Identity-H"/>
          <w:color w:val="0E0D10"/>
          <w:sz w:val="21"/>
          <w:szCs w:val="21"/>
          <w:lang w:val="es-MX" w:eastAsia="en-US"/>
        </w:rPr>
      </w:pPr>
    </w:p>
    <w:p w14:paraId="2FA09E41" w14:textId="77777777" w:rsidR="00B314DB" w:rsidRPr="00B314DB" w:rsidRDefault="00B314DB" w:rsidP="00B314DB">
      <w:pPr>
        <w:autoSpaceDE w:val="0"/>
        <w:autoSpaceDN w:val="0"/>
        <w:adjustRightInd w:val="0"/>
        <w:ind w:firstLine="708"/>
        <w:jc w:val="both"/>
        <w:rPr>
          <w:rFonts w:ascii="Abadi" w:eastAsia="Calibri" w:hAnsi="Abadi" w:cs="*Arial-7138-Identity-H"/>
          <w:color w:val="0E0D10"/>
          <w:sz w:val="21"/>
          <w:szCs w:val="21"/>
          <w:lang w:val="es-MX" w:eastAsia="en-US"/>
        </w:rPr>
      </w:pPr>
      <w:r w:rsidRPr="00B314DB">
        <w:rPr>
          <w:rFonts w:ascii="Abadi" w:eastAsia="Calibri" w:hAnsi="Abadi" w:cs="*Arial-7138-Identity-H"/>
          <w:color w:val="0E0D10"/>
          <w:sz w:val="21"/>
          <w:szCs w:val="21"/>
          <w:lang w:val="es-MX" w:eastAsia="en-US"/>
        </w:rPr>
        <w:t xml:space="preserve">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w:t>
      </w:r>
      <w:proofErr w:type="spellStart"/>
      <w:r w:rsidRPr="00B314DB">
        <w:rPr>
          <w:rFonts w:ascii="Abadi" w:eastAsia="Calibri" w:hAnsi="Abadi" w:cs="*Arial-7138-Identity-H"/>
          <w:color w:val="0E0D10"/>
          <w:sz w:val="21"/>
          <w:szCs w:val="21"/>
          <w:lang w:val="es-MX" w:eastAsia="en-US"/>
        </w:rPr>
        <w:t>fiscalizado</w:t>
      </w:r>
      <w:proofErr w:type="spellEnd"/>
      <w:r w:rsidRPr="00B314DB">
        <w:rPr>
          <w:rFonts w:ascii="Abadi" w:eastAsia="Calibri" w:hAnsi="Abadi" w:cs="*Arial-7138-Identity-H"/>
          <w:color w:val="0E0D10"/>
          <w:sz w:val="21"/>
          <w:szCs w:val="21"/>
          <w:lang w:val="es-MX" w:eastAsia="en-US"/>
        </w:rPr>
        <w:t>.</w:t>
      </w:r>
    </w:p>
    <w:p w14:paraId="3FE3E15B" w14:textId="77777777" w:rsidR="00B314DB" w:rsidRPr="00B314DB" w:rsidRDefault="00B314DB" w:rsidP="00B314DB">
      <w:pPr>
        <w:autoSpaceDE w:val="0"/>
        <w:autoSpaceDN w:val="0"/>
        <w:adjustRightInd w:val="0"/>
        <w:jc w:val="both"/>
        <w:rPr>
          <w:rFonts w:ascii="Abadi" w:eastAsia="Calibri" w:hAnsi="Abadi" w:cs="*Arial-7138-Identity-H"/>
          <w:color w:val="0D0D0F"/>
          <w:sz w:val="21"/>
          <w:szCs w:val="21"/>
          <w:lang w:val="es-MX" w:eastAsia="en-US"/>
        </w:rPr>
      </w:pPr>
    </w:p>
    <w:p w14:paraId="24492D50" w14:textId="77777777" w:rsidR="00B314DB" w:rsidRPr="00B314DB" w:rsidRDefault="00B314DB" w:rsidP="00B314DB">
      <w:pPr>
        <w:autoSpaceDE w:val="0"/>
        <w:autoSpaceDN w:val="0"/>
        <w:adjustRightInd w:val="0"/>
        <w:ind w:firstLine="708"/>
        <w:jc w:val="both"/>
        <w:rPr>
          <w:rFonts w:ascii="Abadi" w:eastAsia="Calibri" w:hAnsi="Abadi" w:cs="*Arial-7138-Identity-H"/>
          <w:color w:val="0D0D0F"/>
          <w:sz w:val="21"/>
          <w:szCs w:val="21"/>
          <w:lang w:val="es-MX" w:eastAsia="en-US"/>
        </w:rPr>
      </w:pPr>
      <w:r w:rsidRPr="00B314DB">
        <w:rPr>
          <w:rFonts w:ascii="Abadi" w:eastAsia="Calibri" w:hAnsi="Abadi" w:cs="*Arial-7138-Identity-H"/>
          <w:color w:val="0D0D0F"/>
          <w:sz w:val="21"/>
          <w:szCs w:val="21"/>
          <w:lang w:val="es-MX" w:eastAsia="en-US"/>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265C13F5" w14:textId="77777777" w:rsidR="00B314DB" w:rsidRPr="00B314DB" w:rsidRDefault="00B314DB" w:rsidP="00B314DB">
      <w:pPr>
        <w:autoSpaceDE w:val="0"/>
        <w:autoSpaceDN w:val="0"/>
        <w:adjustRightInd w:val="0"/>
        <w:jc w:val="both"/>
        <w:rPr>
          <w:rFonts w:ascii="Abadi" w:eastAsia="Calibri" w:hAnsi="Abadi" w:cs="*Arial-7138-Identity-H"/>
          <w:color w:val="0C0C0F"/>
          <w:sz w:val="21"/>
          <w:szCs w:val="21"/>
          <w:lang w:val="es-MX" w:eastAsia="en-US"/>
        </w:rPr>
      </w:pPr>
    </w:p>
    <w:p w14:paraId="357652D4" w14:textId="77777777" w:rsidR="00B314DB" w:rsidRPr="00B314DB" w:rsidRDefault="00B314DB" w:rsidP="00B314DB">
      <w:pPr>
        <w:autoSpaceDE w:val="0"/>
        <w:autoSpaceDN w:val="0"/>
        <w:adjustRightInd w:val="0"/>
        <w:ind w:firstLine="708"/>
        <w:jc w:val="both"/>
        <w:rPr>
          <w:rFonts w:ascii="Abadi" w:eastAsia="Calibri" w:hAnsi="Abadi" w:cs="*Arial-7138-Identity-H"/>
          <w:color w:val="0C0C0F"/>
          <w:sz w:val="21"/>
          <w:szCs w:val="21"/>
          <w:lang w:val="es-MX" w:eastAsia="en-US"/>
        </w:rPr>
      </w:pPr>
      <w:r w:rsidRPr="00B314DB">
        <w:rPr>
          <w:rFonts w:ascii="Abadi" w:eastAsia="Calibri" w:hAnsi="Abadi" w:cs="*Arial-7138-Identity-H"/>
          <w:color w:val="0C0C0F"/>
          <w:sz w:val="21"/>
          <w:szCs w:val="21"/>
          <w:lang w:val="es-MX" w:eastAsia="en-US"/>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17546B08" w14:textId="77777777" w:rsidR="00B314DB" w:rsidRPr="00B314DB" w:rsidRDefault="00B314DB" w:rsidP="00B314DB">
      <w:pPr>
        <w:autoSpaceDE w:val="0"/>
        <w:autoSpaceDN w:val="0"/>
        <w:adjustRightInd w:val="0"/>
        <w:jc w:val="both"/>
        <w:rPr>
          <w:rFonts w:ascii="Abadi" w:eastAsia="Calibri" w:hAnsi="Abadi" w:cs="*Calibri-Bold-7175-Identity-H"/>
          <w:b/>
          <w:bCs/>
          <w:color w:val="26262B"/>
          <w:sz w:val="21"/>
          <w:szCs w:val="21"/>
          <w:lang w:val="es-MX" w:eastAsia="en-US"/>
        </w:rPr>
      </w:pPr>
    </w:p>
    <w:p w14:paraId="1C9AC77C" w14:textId="77777777" w:rsidR="00B314DB" w:rsidRPr="00B314DB" w:rsidRDefault="00B314DB" w:rsidP="00B314DB">
      <w:pPr>
        <w:autoSpaceDE w:val="0"/>
        <w:autoSpaceDN w:val="0"/>
        <w:adjustRightInd w:val="0"/>
        <w:ind w:firstLine="708"/>
        <w:jc w:val="both"/>
        <w:rPr>
          <w:rFonts w:ascii="Abadi" w:eastAsia="Calibri" w:hAnsi="Abadi" w:cs="*Arial-7177-Identity-H"/>
          <w:color w:val="0D0C0F"/>
          <w:sz w:val="21"/>
          <w:szCs w:val="21"/>
          <w:lang w:val="es-MX" w:eastAsia="en-US"/>
        </w:rPr>
      </w:pPr>
      <w:r w:rsidRPr="00B314DB">
        <w:rPr>
          <w:rFonts w:ascii="Abadi" w:eastAsia="Calibri" w:hAnsi="Abadi" w:cs="*Arial-7177-Identity-H"/>
          <w:color w:val="0D0C0F"/>
          <w:sz w:val="21"/>
          <w:szCs w:val="21"/>
          <w:lang w:val="es-MX" w:eastAsia="en-US"/>
        </w:rPr>
        <w:t>Es así, que la valoración realizada por la Auditoria Superior del Estado redunda en las manifestaciones, argumentos, acciones y evidencia presentada en la respuesta al pliego de recomendaciones, para lo cual la evidencia aportada por el sujeto fiscalizado debe ser competente, pertinente, suficiente y relevante.</w:t>
      </w:r>
    </w:p>
    <w:p w14:paraId="78E38EA6" w14:textId="77777777" w:rsidR="00B314DB" w:rsidRPr="00B314DB" w:rsidRDefault="00B314DB" w:rsidP="00B314DB">
      <w:pPr>
        <w:autoSpaceDE w:val="0"/>
        <w:autoSpaceDN w:val="0"/>
        <w:adjustRightInd w:val="0"/>
        <w:jc w:val="both"/>
        <w:rPr>
          <w:rFonts w:ascii="Abadi" w:eastAsia="Calibri" w:hAnsi="Abadi" w:cs="*Arial-7177-Identity-H"/>
          <w:color w:val="0C0C0E"/>
          <w:sz w:val="21"/>
          <w:szCs w:val="21"/>
          <w:lang w:val="es-MX" w:eastAsia="en-US"/>
        </w:rPr>
      </w:pPr>
    </w:p>
    <w:p w14:paraId="4CE475C2" w14:textId="77777777" w:rsidR="00B314DB" w:rsidRPr="00B314DB" w:rsidRDefault="00B314DB" w:rsidP="00B314DB">
      <w:pPr>
        <w:autoSpaceDE w:val="0"/>
        <w:autoSpaceDN w:val="0"/>
        <w:adjustRightInd w:val="0"/>
        <w:ind w:firstLine="708"/>
        <w:jc w:val="both"/>
        <w:rPr>
          <w:rFonts w:ascii="Abadi" w:eastAsia="Calibri" w:hAnsi="Abadi" w:cs="*Arial-7177-Identity-H"/>
          <w:color w:val="0C0C0E"/>
          <w:sz w:val="21"/>
          <w:szCs w:val="21"/>
          <w:lang w:val="es-MX" w:eastAsia="en-US"/>
        </w:rPr>
      </w:pPr>
      <w:r w:rsidRPr="00B314DB">
        <w:rPr>
          <w:rFonts w:ascii="Abadi" w:eastAsia="Calibri" w:hAnsi="Abadi" w:cs="*Arial-7177-Identity-H"/>
          <w:color w:val="0C0C0E"/>
          <w:sz w:val="21"/>
          <w:szCs w:val="21"/>
          <w:lang w:val="es-MX" w:eastAsia="en-US"/>
        </w:rPr>
        <w:t>Respecto al objetivo y alcance de la auditoría se señala que de acuerdo a la Organización Internacional de las Entidades Fiscalizadoras Superiores,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w:t>
      </w:r>
    </w:p>
    <w:p w14:paraId="73866C44" w14:textId="77777777" w:rsidR="00B314DB" w:rsidRPr="00B314DB" w:rsidRDefault="00B314DB" w:rsidP="00B314DB">
      <w:pPr>
        <w:autoSpaceDE w:val="0"/>
        <w:autoSpaceDN w:val="0"/>
        <w:adjustRightInd w:val="0"/>
        <w:jc w:val="both"/>
        <w:rPr>
          <w:rFonts w:ascii="Abadi" w:eastAsia="Calibri" w:hAnsi="Abadi" w:cs="*Arial-7177-Identity-H"/>
          <w:color w:val="0C0C0E"/>
          <w:sz w:val="21"/>
          <w:szCs w:val="21"/>
          <w:lang w:val="es-MX" w:eastAsia="en-US"/>
        </w:rPr>
      </w:pPr>
    </w:p>
    <w:p w14:paraId="06F44FE9" w14:textId="77777777" w:rsidR="00B314DB" w:rsidRPr="00B314DB" w:rsidRDefault="00B314DB" w:rsidP="00B314DB">
      <w:pPr>
        <w:autoSpaceDE w:val="0"/>
        <w:autoSpaceDN w:val="0"/>
        <w:adjustRightInd w:val="0"/>
        <w:ind w:firstLine="708"/>
        <w:jc w:val="both"/>
        <w:rPr>
          <w:rFonts w:ascii="Abadi" w:eastAsia="Calibri" w:hAnsi="Abadi" w:cs="*Arial-7177-Identity-H"/>
          <w:color w:val="0C0C0E"/>
          <w:sz w:val="21"/>
          <w:szCs w:val="21"/>
          <w:lang w:val="es-MX" w:eastAsia="en-US"/>
        </w:rPr>
      </w:pPr>
      <w:r w:rsidRPr="00B314DB">
        <w:rPr>
          <w:rFonts w:ascii="Abadi" w:eastAsia="Calibri" w:hAnsi="Abadi" w:cs="*Arial-7177-Identity-H"/>
          <w:color w:val="0C0C0E"/>
          <w:sz w:val="21"/>
          <w:szCs w:val="21"/>
          <w:lang w:val="es-MX" w:eastAsia="en-US"/>
        </w:rPr>
        <w:t>En las auditorias de desempeño practicadas por la Auditoría Superior del Estado se consideran dichos enfoques, mediante las auditorías de cumplimiento de objetivos o resultados, de diseño y de consistencia y resultados.</w:t>
      </w:r>
    </w:p>
    <w:p w14:paraId="65AA6400" w14:textId="77777777" w:rsidR="00B314DB" w:rsidRPr="00B314DB" w:rsidRDefault="00B314DB" w:rsidP="00B314DB">
      <w:pPr>
        <w:autoSpaceDE w:val="0"/>
        <w:autoSpaceDN w:val="0"/>
        <w:adjustRightInd w:val="0"/>
        <w:jc w:val="both"/>
        <w:rPr>
          <w:rFonts w:ascii="Abadi" w:eastAsia="Calibri" w:hAnsi="Abadi" w:cs="*Arial-7177-Identity-H"/>
          <w:color w:val="0D0D0F"/>
          <w:sz w:val="21"/>
          <w:szCs w:val="21"/>
          <w:lang w:val="es-MX" w:eastAsia="en-US"/>
        </w:rPr>
      </w:pPr>
    </w:p>
    <w:p w14:paraId="54CB4358" w14:textId="77777777" w:rsidR="00B314DB" w:rsidRPr="00B314DB" w:rsidRDefault="00B314DB" w:rsidP="00B314DB">
      <w:pPr>
        <w:autoSpaceDE w:val="0"/>
        <w:autoSpaceDN w:val="0"/>
        <w:adjustRightInd w:val="0"/>
        <w:ind w:firstLine="708"/>
        <w:jc w:val="both"/>
        <w:rPr>
          <w:rFonts w:ascii="Abadi" w:eastAsia="Calibri" w:hAnsi="Abadi" w:cs="*Arial-7177-Identity-H"/>
          <w:color w:val="0D0D0F"/>
          <w:sz w:val="21"/>
          <w:szCs w:val="21"/>
          <w:lang w:val="es-MX" w:eastAsia="en-US"/>
        </w:rPr>
      </w:pPr>
      <w:r w:rsidRPr="00B314DB">
        <w:rPr>
          <w:rFonts w:ascii="Abadi" w:eastAsia="Calibri" w:hAnsi="Abadi" w:cs="*Arial-7177-Identity-H"/>
          <w:color w:val="0D0D0F"/>
          <w:sz w:val="21"/>
          <w:szCs w:val="21"/>
          <w:lang w:val="es-MX" w:eastAsia="en-US"/>
        </w:rPr>
        <w:t>En la auditoría que nos ocupa se aplicó un enfoque de resultados y se incluyó en el Programa General de Fiscalización 2021, considerando diversos criterios metodológicos expuestos en dicho Programa.</w:t>
      </w:r>
    </w:p>
    <w:p w14:paraId="14E35DAA" w14:textId="77777777" w:rsidR="00B314DB" w:rsidRPr="00B314DB" w:rsidRDefault="00B314DB" w:rsidP="00B314DB">
      <w:pPr>
        <w:autoSpaceDE w:val="0"/>
        <w:autoSpaceDN w:val="0"/>
        <w:adjustRightInd w:val="0"/>
        <w:jc w:val="both"/>
        <w:rPr>
          <w:rFonts w:ascii="Abadi" w:eastAsia="Calibri" w:hAnsi="Abadi" w:cs="*Arial-7177-Identity-H"/>
          <w:color w:val="0D0D10"/>
          <w:sz w:val="21"/>
          <w:szCs w:val="21"/>
          <w:lang w:val="es-MX" w:eastAsia="en-US"/>
        </w:rPr>
      </w:pPr>
    </w:p>
    <w:p w14:paraId="718CFC4D" w14:textId="77777777" w:rsidR="00B314DB" w:rsidRPr="00B314DB" w:rsidRDefault="00B314DB" w:rsidP="00B314DB">
      <w:pPr>
        <w:autoSpaceDE w:val="0"/>
        <w:autoSpaceDN w:val="0"/>
        <w:adjustRightInd w:val="0"/>
        <w:ind w:firstLine="708"/>
        <w:jc w:val="both"/>
        <w:rPr>
          <w:rFonts w:ascii="Abadi" w:eastAsia="Calibri" w:hAnsi="Abadi" w:cs="*Arial-7177-Identity-H"/>
          <w:color w:val="0D0D10"/>
          <w:sz w:val="21"/>
          <w:szCs w:val="21"/>
          <w:lang w:val="es-MX" w:eastAsia="en-US"/>
        </w:rPr>
      </w:pPr>
      <w:r w:rsidRPr="00B314DB">
        <w:rPr>
          <w:rFonts w:ascii="Abadi" w:eastAsia="Calibri" w:hAnsi="Abadi" w:cs="*Arial-7177-Identity-H"/>
          <w:color w:val="0D0D10"/>
          <w:sz w:val="21"/>
          <w:szCs w:val="21"/>
          <w:lang w:val="es-MX" w:eastAsia="en-US"/>
        </w:rPr>
        <w:t>Dicha auditoría tuvo como objetivo general verificar la capacidad del Municipio para la prestación eficaz del servicio de alumbrado público y la eficiencia en sus funciones de planificación, operación y seguimiento.</w:t>
      </w:r>
    </w:p>
    <w:p w14:paraId="48B802FE" w14:textId="77777777" w:rsidR="00B314DB" w:rsidRPr="00B314DB" w:rsidRDefault="00B314DB" w:rsidP="00B314DB">
      <w:pPr>
        <w:autoSpaceDE w:val="0"/>
        <w:autoSpaceDN w:val="0"/>
        <w:adjustRightInd w:val="0"/>
        <w:jc w:val="both"/>
        <w:rPr>
          <w:rFonts w:ascii="Abadi" w:eastAsia="Calibri" w:hAnsi="Abadi" w:cs="*Arial-7177-Identity-H"/>
          <w:color w:val="0D0C0F"/>
          <w:sz w:val="21"/>
          <w:szCs w:val="21"/>
          <w:lang w:val="es-MX" w:eastAsia="en-US"/>
        </w:rPr>
      </w:pPr>
    </w:p>
    <w:p w14:paraId="5657AF33" w14:textId="77777777" w:rsidR="00B314DB" w:rsidRPr="00B314DB" w:rsidRDefault="00B314DB" w:rsidP="00B314DB">
      <w:pPr>
        <w:autoSpaceDE w:val="0"/>
        <w:autoSpaceDN w:val="0"/>
        <w:adjustRightInd w:val="0"/>
        <w:ind w:firstLine="708"/>
        <w:jc w:val="both"/>
        <w:rPr>
          <w:rFonts w:ascii="Abadi" w:eastAsia="Calibri" w:hAnsi="Abadi" w:cs="*Arial-7177-Identity-H"/>
          <w:color w:val="0D0C0F"/>
          <w:sz w:val="21"/>
          <w:szCs w:val="21"/>
          <w:lang w:val="es-MX" w:eastAsia="en-US"/>
        </w:rPr>
      </w:pPr>
      <w:r w:rsidRPr="00B314DB">
        <w:rPr>
          <w:rFonts w:ascii="Abadi" w:eastAsia="Calibri" w:hAnsi="Abadi" w:cs="*Arial-7177-Identity-H"/>
          <w:color w:val="0D0C0F"/>
          <w:sz w:val="21"/>
          <w:szCs w:val="21"/>
          <w:lang w:val="es-MX" w:eastAsia="en-US"/>
        </w:rPr>
        <w:t xml:space="preserve">En cuanto a la temporalidad, el alcance de la auditoria abarcó el periodo comprendido de enero a diciembre del ejercicio fiscal 2020; asimismo, respecto a la profundidad temática se revisó la eficiencia en la gestión de la información que dispone el Municipio para identificar la estimación tanto de la oferta del servicio de alumbrado público como de los recursos necesarios para su implementación; sobre el estado que guarda la organización del Municipio para brindar el servicio de alumbrado público y la gestión de la calidad sobre sus procesos clave; y el uso de herramientas para la planificación operativa y el seguimiento de las actividades vinculadas a la atención de reportes por fallas en el servicio. Así como, la eficacia en los resultados de la capacidad municipal en la prestación del servicio de alumbrado público en el ejercicio 2020 a partir del grado de funcionamiento de las luminarias que lo conforman, la cobertura lograda y la satisfacción ciudadana </w:t>
      </w:r>
      <w:r w:rsidRPr="00B314DB">
        <w:rPr>
          <w:rFonts w:ascii="Abadi" w:eastAsia="Calibri" w:hAnsi="Abadi" w:cs="*Arial-10075-Identity-H"/>
          <w:color w:val="0D0C0F"/>
          <w:sz w:val="21"/>
          <w:szCs w:val="21"/>
          <w:lang w:val="es-MX" w:eastAsia="en-US"/>
        </w:rPr>
        <w:t>sobre el servicio, y de la relevancia y suficiencia de los mecanismos que permiten</w:t>
      </w:r>
      <w:r w:rsidRPr="00B314DB">
        <w:rPr>
          <w:rFonts w:ascii="Abadi" w:eastAsia="Calibri" w:hAnsi="Abadi" w:cs="*Arial-7177-Identity-H"/>
          <w:color w:val="0D0C0F"/>
          <w:sz w:val="21"/>
          <w:szCs w:val="21"/>
          <w:lang w:val="es-MX" w:eastAsia="en-US"/>
        </w:rPr>
        <w:t xml:space="preserve"> </w:t>
      </w:r>
      <w:r w:rsidRPr="00B314DB">
        <w:rPr>
          <w:rFonts w:ascii="Abadi" w:eastAsia="Calibri" w:hAnsi="Abadi" w:cs="*Arial-10075-Identity-H"/>
          <w:color w:val="0D0C0F"/>
          <w:sz w:val="21"/>
          <w:szCs w:val="21"/>
          <w:lang w:val="es-MX" w:eastAsia="en-US"/>
        </w:rPr>
        <w:t>monitorear el desempeño y los resultados del servicio.</w:t>
      </w:r>
    </w:p>
    <w:p w14:paraId="7CE92B10" w14:textId="77777777" w:rsidR="00B314DB" w:rsidRPr="00B314DB" w:rsidRDefault="00B314DB" w:rsidP="00B314DB">
      <w:pPr>
        <w:autoSpaceDE w:val="0"/>
        <w:autoSpaceDN w:val="0"/>
        <w:adjustRightInd w:val="0"/>
        <w:jc w:val="both"/>
        <w:rPr>
          <w:rFonts w:ascii="Abadi" w:eastAsia="Calibri" w:hAnsi="Abadi" w:cs="*Arial-10075-Identity-H"/>
          <w:color w:val="0D0C10"/>
          <w:sz w:val="21"/>
          <w:szCs w:val="21"/>
          <w:lang w:val="es-MX" w:eastAsia="en-US"/>
        </w:rPr>
      </w:pPr>
    </w:p>
    <w:p w14:paraId="18260877" w14:textId="77777777" w:rsidR="00B314DB" w:rsidRPr="00B314DB" w:rsidRDefault="00B314DB" w:rsidP="00B314DB">
      <w:pPr>
        <w:autoSpaceDE w:val="0"/>
        <w:autoSpaceDN w:val="0"/>
        <w:adjustRightInd w:val="0"/>
        <w:ind w:firstLine="708"/>
        <w:jc w:val="both"/>
        <w:rPr>
          <w:rFonts w:ascii="Abadi" w:eastAsia="Calibri" w:hAnsi="Abadi" w:cs="*Arial-10075-Identity-H"/>
          <w:color w:val="0D0C10"/>
          <w:sz w:val="21"/>
          <w:szCs w:val="21"/>
          <w:lang w:val="es-MX" w:eastAsia="en-US"/>
        </w:rPr>
      </w:pPr>
      <w:r w:rsidRPr="00B314DB">
        <w:rPr>
          <w:rFonts w:ascii="Abadi" w:eastAsia="Calibri" w:hAnsi="Abadi" w:cs="*Arial-10075-Identity-H"/>
          <w:color w:val="0D0C10"/>
          <w:sz w:val="21"/>
          <w:szCs w:val="21"/>
          <w:lang w:val="es-MX" w:eastAsia="en-US"/>
        </w:rPr>
        <w:t>Respecto a los antecedentes del proceso de fiscalización, estos ya se detallaron en el apartado correspondiente.</w:t>
      </w:r>
    </w:p>
    <w:p w14:paraId="061F7641" w14:textId="77777777" w:rsidR="00B314DB" w:rsidRPr="00B314DB" w:rsidRDefault="00B314DB" w:rsidP="00B314DB">
      <w:pPr>
        <w:autoSpaceDE w:val="0"/>
        <w:autoSpaceDN w:val="0"/>
        <w:adjustRightInd w:val="0"/>
        <w:jc w:val="both"/>
        <w:rPr>
          <w:rFonts w:ascii="Abadi" w:eastAsia="Calibri" w:hAnsi="Abadi" w:cs="*Arial-10075-Identity-H"/>
          <w:color w:val="0C0C0F"/>
          <w:sz w:val="21"/>
          <w:szCs w:val="21"/>
          <w:lang w:val="es-MX" w:eastAsia="en-US"/>
        </w:rPr>
      </w:pPr>
    </w:p>
    <w:p w14:paraId="000857DC" w14:textId="77777777" w:rsidR="00B314DB" w:rsidRPr="00B314DB" w:rsidRDefault="00B314DB" w:rsidP="00B314DB">
      <w:pPr>
        <w:autoSpaceDE w:val="0"/>
        <w:autoSpaceDN w:val="0"/>
        <w:adjustRightInd w:val="0"/>
        <w:ind w:firstLine="708"/>
        <w:jc w:val="both"/>
        <w:rPr>
          <w:rFonts w:ascii="Abadi" w:eastAsia="Calibri" w:hAnsi="Abadi" w:cs="*Arial-10075-Identity-H"/>
          <w:color w:val="0C0C0F"/>
          <w:sz w:val="21"/>
          <w:szCs w:val="21"/>
          <w:lang w:val="es-MX" w:eastAsia="en-US"/>
        </w:rPr>
      </w:pPr>
      <w:r w:rsidRPr="00B314DB">
        <w:rPr>
          <w:rFonts w:ascii="Abadi" w:eastAsia="Calibri" w:hAnsi="Abadi" w:cs="*Arial-10075-Identity-H"/>
          <w:color w:val="0C0C0F"/>
          <w:sz w:val="21"/>
          <w:szCs w:val="21"/>
          <w:lang w:val="es-MX" w:eastAsia="en-US"/>
        </w:rPr>
        <w:t>En cuanto al contexto de la política pública de la materia a auditar,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al Municipio.</w:t>
      </w:r>
    </w:p>
    <w:p w14:paraId="5B1F47E5" w14:textId="77777777" w:rsidR="00B314DB" w:rsidRPr="00B314DB" w:rsidRDefault="00B314DB" w:rsidP="00B314DB">
      <w:pPr>
        <w:autoSpaceDE w:val="0"/>
        <w:autoSpaceDN w:val="0"/>
        <w:adjustRightInd w:val="0"/>
        <w:jc w:val="both"/>
        <w:rPr>
          <w:rFonts w:ascii="Abadi" w:eastAsia="Calibri" w:hAnsi="Abadi" w:cs="*Arial-10075-Identity-H"/>
          <w:color w:val="0D0D0F"/>
          <w:sz w:val="21"/>
          <w:szCs w:val="21"/>
          <w:lang w:val="es-MX" w:eastAsia="en-US"/>
        </w:rPr>
      </w:pPr>
    </w:p>
    <w:p w14:paraId="5A160624" w14:textId="2AFBE71A" w:rsidR="00B314DB" w:rsidRPr="00B314DB" w:rsidRDefault="00B314DB" w:rsidP="00B314DB">
      <w:pPr>
        <w:autoSpaceDE w:val="0"/>
        <w:autoSpaceDN w:val="0"/>
        <w:adjustRightInd w:val="0"/>
        <w:ind w:firstLine="708"/>
        <w:jc w:val="both"/>
        <w:rPr>
          <w:rFonts w:ascii="Abadi" w:eastAsia="Calibri" w:hAnsi="Abadi" w:cs="*Arial-Italic-10076-Identity-H"/>
          <w:i/>
          <w:iCs/>
          <w:color w:val="0D0D0F"/>
          <w:sz w:val="21"/>
          <w:szCs w:val="21"/>
          <w:lang w:val="es-MX" w:eastAsia="en-US"/>
        </w:rPr>
      </w:pPr>
      <w:r w:rsidRPr="00B314DB">
        <w:rPr>
          <w:rFonts w:ascii="Abadi" w:eastAsia="Calibri" w:hAnsi="Abadi" w:cs="*Arial-10075-Identity-H"/>
          <w:color w:val="0D0D0F"/>
          <w:sz w:val="21"/>
          <w:szCs w:val="21"/>
          <w:lang w:val="es-MX" w:eastAsia="en-US"/>
        </w:rPr>
        <w:t xml:space="preserve">También se precisa que el servicio público </w:t>
      </w:r>
      <w:r w:rsidRPr="00B314DB">
        <w:rPr>
          <w:rFonts w:ascii="Abadi" w:eastAsia="Calibri" w:hAnsi="Abadi" w:cs="*Arial-Italic-10076-Identity-H"/>
          <w:i/>
          <w:iCs/>
          <w:color w:val="0D0D0F"/>
          <w:sz w:val="21"/>
          <w:szCs w:val="21"/>
          <w:lang w:val="es-MX" w:eastAsia="en-US"/>
        </w:rPr>
        <w:t xml:space="preserve">«es la institución jurídica administrativa en la que el titular es el Estado (municipio) y cuya única finalidad consiste en satisfacer de manera regular, continua y uniforme necesidades públicas de carácter esencial, básico o fundamental; se concreta </w:t>
      </w:r>
      <w:r w:rsidRPr="00B314DB">
        <w:rPr>
          <w:rFonts w:ascii="Abadi" w:eastAsia="Calibri" w:hAnsi="Abadi" w:cs="*Arial-10075-Identity-H"/>
          <w:color w:val="0D0D0F"/>
          <w:sz w:val="21"/>
          <w:szCs w:val="21"/>
          <w:lang w:val="es-MX" w:eastAsia="en-US"/>
        </w:rPr>
        <w:t xml:space="preserve">a </w:t>
      </w:r>
      <w:r w:rsidRPr="00B314DB">
        <w:rPr>
          <w:rFonts w:ascii="Abadi" w:eastAsia="Calibri" w:hAnsi="Abadi" w:cs="*Arial-Italic-10076-Identity-H"/>
          <w:i/>
          <w:iCs/>
          <w:color w:val="0D0D0F"/>
          <w:sz w:val="21"/>
          <w:szCs w:val="21"/>
          <w:lang w:val="es-MX" w:eastAsia="en-US"/>
        </w:rPr>
        <w:t xml:space="preserve">través de las prestaciones individualizadas las cuales podrán ser suministradas directamente por el Estado (municipio) </w:t>
      </w:r>
      <w:r w:rsidRPr="00B314DB">
        <w:rPr>
          <w:rFonts w:ascii="Abadi" w:eastAsia="Calibri" w:hAnsi="Abadi" w:cs="*Arial-10075-Identity-H"/>
          <w:color w:val="0D0D0F"/>
          <w:sz w:val="21"/>
          <w:szCs w:val="21"/>
          <w:lang w:val="es-MX" w:eastAsia="en-US"/>
        </w:rPr>
        <w:t xml:space="preserve">o </w:t>
      </w:r>
      <w:r w:rsidRPr="00B314DB">
        <w:rPr>
          <w:rFonts w:ascii="Abadi" w:eastAsia="Calibri" w:hAnsi="Abadi" w:cs="*Arial-Italic-10076-Identity-H"/>
          <w:i/>
          <w:iCs/>
          <w:color w:val="0D0D0F"/>
          <w:sz w:val="21"/>
          <w:szCs w:val="21"/>
          <w:lang w:val="es-MX" w:eastAsia="en-US"/>
        </w:rPr>
        <w:t xml:space="preserve">por los particulares mediante concesión. Por su naturaleza, estará sujeta </w:t>
      </w:r>
      <w:r w:rsidRPr="00B314DB">
        <w:rPr>
          <w:rFonts w:ascii="Abadi" w:eastAsia="Calibri" w:hAnsi="Abadi" w:cs="*Arial-10075-Identity-H"/>
          <w:color w:val="0D0D0F"/>
          <w:sz w:val="21"/>
          <w:szCs w:val="21"/>
          <w:lang w:val="es-MX" w:eastAsia="en-US"/>
        </w:rPr>
        <w:t xml:space="preserve">a </w:t>
      </w:r>
      <w:r w:rsidRPr="00B314DB">
        <w:rPr>
          <w:rFonts w:ascii="Abadi" w:eastAsia="Calibri" w:hAnsi="Abadi" w:cs="*Arial-Italic-10076-Identity-H"/>
          <w:i/>
          <w:iCs/>
          <w:color w:val="0D0D0F"/>
          <w:sz w:val="21"/>
          <w:szCs w:val="21"/>
          <w:lang w:val="es-MX" w:eastAsia="en-US"/>
        </w:rPr>
        <w:t xml:space="preserve">normas y principios de derecho público». </w:t>
      </w:r>
      <w:r w:rsidR="009D5543">
        <w:rPr>
          <w:rStyle w:val="Refdenotaalpie"/>
          <w:rFonts w:ascii="Abadi" w:eastAsia="Calibri" w:hAnsi="Abadi" w:cs="*Arial-Italic-10076-Identity-H"/>
          <w:i/>
          <w:iCs/>
          <w:color w:val="0D0D0F"/>
          <w:sz w:val="21"/>
          <w:szCs w:val="21"/>
          <w:lang w:val="es-MX" w:eastAsia="en-US"/>
        </w:rPr>
        <w:footnoteReference w:id="47"/>
      </w:r>
    </w:p>
    <w:p w14:paraId="19F6746A" w14:textId="77777777" w:rsidR="00B314DB" w:rsidRPr="00B314DB" w:rsidRDefault="00B314DB" w:rsidP="00B314DB">
      <w:pPr>
        <w:autoSpaceDE w:val="0"/>
        <w:autoSpaceDN w:val="0"/>
        <w:adjustRightInd w:val="0"/>
        <w:jc w:val="both"/>
        <w:rPr>
          <w:rFonts w:ascii="Abadi" w:eastAsia="Calibri" w:hAnsi="Abadi" w:cs="*Arial-10075-Identity-H"/>
          <w:color w:val="0D0C0F"/>
          <w:sz w:val="21"/>
          <w:szCs w:val="21"/>
          <w:lang w:val="es-MX" w:eastAsia="en-US"/>
        </w:rPr>
      </w:pPr>
    </w:p>
    <w:p w14:paraId="1EDCB81D" w14:textId="77777777" w:rsidR="00B314DB" w:rsidRPr="00B314DB" w:rsidRDefault="00B314DB" w:rsidP="00B314DB">
      <w:pPr>
        <w:autoSpaceDE w:val="0"/>
        <w:autoSpaceDN w:val="0"/>
        <w:adjustRightInd w:val="0"/>
        <w:ind w:firstLine="708"/>
        <w:jc w:val="both"/>
        <w:rPr>
          <w:rFonts w:ascii="Abadi" w:eastAsia="Calibri" w:hAnsi="Abadi" w:cs="*Arial-10075-Identity-H"/>
          <w:color w:val="0D0C0F"/>
          <w:sz w:val="21"/>
          <w:szCs w:val="21"/>
          <w:lang w:val="es-MX" w:eastAsia="en-US"/>
        </w:rPr>
      </w:pPr>
      <w:r w:rsidRPr="00B314DB">
        <w:rPr>
          <w:rFonts w:ascii="Abadi" w:eastAsia="Calibri" w:hAnsi="Abadi" w:cs="*Arial-10075-Identity-H"/>
          <w:color w:val="0D0C0F"/>
          <w:sz w:val="21"/>
          <w:szCs w:val="21"/>
          <w:lang w:val="es-MX" w:eastAsia="en-US"/>
        </w:rPr>
        <w:t>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w:t>
      </w:r>
    </w:p>
    <w:p w14:paraId="148FED74" w14:textId="77777777" w:rsidR="00B314DB" w:rsidRPr="00B314DB" w:rsidRDefault="00B314DB" w:rsidP="00B314DB">
      <w:pPr>
        <w:autoSpaceDE w:val="0"/>
        <w:autoSpaceDN w:val="0"/>
        <w:adjustRightInd w:val="0"/>
        <w:jc w:val="both"/>
        <w:rPr>
          <w:rFonts w:ascii="Abadi" w:eastAsia="Calibri" w:hAnsi="Abadi" w:cs="*Arial-10075-Identity-H"/>
          <w:color w:val="0C0B0E"/>
          <w:sz w:val="21"/>
          <w:szCs w:val="21"/>
          <w:lang w:val="es-MX" w:eastAsia="en-US"/>
        </w:rPr>
      </w:pPr>
    </w:p>
    <w:p w14:paraId="70954877" w14:textId="2464552D" w:rsidR="00B314DB" w:rsidRPr="00B314DB" w:rsidRDefault="00B314DB" w:rsidP="00B314DB">
      <w:pPr>
        <w:autoSpaceDE w:val="0"/>
        <w:autoSpaceDN w:val="0"/>
        <w:adjustRightInd w:val="0"/>
        <w:ind w:firstLine="708"/>
        <w:jc w:val="both"/>
        <w:rPr>
          <w:rFonts w:ascii="Abadi" w:eastAsia="Calibri" w:hAnsi="Abadi" w:cs="*Arial-10075-Identity-H"/>
          <w:color w:val="0C0B0E"/>
          <w:sz w:val="21"/>
          <w:szCs w:val="21"/>
          <w:lang w:val="es-MX" w:eastAsia="en-US"/>
        </w:rPr>
      </w:pPr>
      <w:r w:rsidRPr="00B314DB">
        <w:rPr>
          <w:rFonts w:ascii="Abadi" w:eastAsia="Calibri" w:hAnsi="Abadi" w:cs="*Arial-10075-Identity-H"/>
          <w:color w:val="0C0B0E"/>
          <w:sz w:val="21"/>
          <w:szCs w:val="21"/>
          <w:lang w:val="es-MX" w:eastAsia="en-US"/>
        </w:rPr>
        <w:t xml:space="preserve">De manera específica, el artículo 115 de la Constitución Política de los Estados Unidos Mexicanos, en su fracción </w:t>
      </w:r>
      <w:r w:rsidR="00AC55F7">
        <w:rPr>
          <w:rFonts w:ascii="Abadi" w:eastAsia="Calibri" w:hAnsi="Abadi" w:cs="*Arial-10075-Identity-H"/>
          <w:color w:val="0C0B0E"/>
          <w:sz w:val="21"/>
          <w:szCs w:val="21"/>
          <w:lang w:val="es-MX" w:eastAsia="en-US"/>
        </w:rPr>
        <w:t>III</w:t>
      </w:r>
      <w:r w:rsidRPr="00B314DB">
        <w:rPr>
          <w:rFonts w:ascii="Abadi" w:eastAsia="Calibri" w:hAnsi="Abadi" w:cs="*Arial-10075-Identity-H"/>
          <w:color w:val="0C0B0E"/>
          <w:sz w:val="21"/>
          <w:szCs w:val="21"/>
          <w:lang w:val="es-MX" w:eastAsia="en-US"/>
        </w:rPr>
        <w:t xml:space="preserve"> consigna que los municipios tendrán a su cargo las funciones y servicios públicos, entre los que señala en el inciso b, el alumbrado público. Atribución ratificada en la Constitución Política Local en su artículo 117, fracción </w:t>
      </w:r>
      <w:r w:rsidR="00AC55F7">
        <w:rPr>
          <w:rFonts w:ascii="Abadi" w:eastAsia="Calibri" w:hAnsi="Abadi" w:cs="*Arial-10075-Identity-H"/>
          <w:color w:val="0C0B0E"/>
          <w:sz w:val="21"/>
          <w:szCs w:val="21"/>
          <w:lang w:val="es-MX" w:eastAsia="en-US"/>
        </w:rPr>
        <w:t>III</w:t>
      </w:r>
      <w:r w:rsidRPr="00B314DB">
        <w:rPr>
          <w:rFonts w:ascii="Abadi" w:eastAsia="Calibri" w:hAnsi="Abadi" w:cs="*Arial-10075-Identity-H"/>
          <w:color w:val="0C0B0E"/>
          <w:sz w:val="21"/>
          <w:szCs w:val="21"/>
          <w:lang w:val="es-MX" w:eastAsia="en-US"/>
        </w:rPr>
        <w:t>, inciso b.</w:t>
      </w:r>
    </w:p>
    <w:p w14:paraId="2A09E874" w14:textId="77777777" w:rsidR="00B314DB" w:rsidRPr="00B314DB" w:rsidRDefault="00B314DB" w:rsidP="00B314DB">
      <w:pPr>
        <w:autoSpaceDE w:val="0"/>
        <w:autoSpaceDN w:val="0"/>
        <w:adjustRightInd w:val="0"/>
        <w:jc w:val="both"/>
        <w:rPr>
          <w:rFonts w:ascii="Abadi" w:eastAsia="Calibri" w:hAnsi="Abadi" w:cs="*Arial-7664-Identity-H"/>
          <w:color w:val="0C0C0E"/>
          <w:sz w:val="21"/>
          <w:szCs w:val="21"/>
          <w:lang w:val="es-MX" w:eastAsia="en-US"/>
        </w:rPr>
      </w:pPr>
    </w:p>
    <w:p w14:paraId="59278148" w14:textId="77777777" w:rsidR="00B314DB" w:rsidRPr="00B314DB" w:rsidRDefault="00B314DB" w:rsidP="00B314DB">
      <w:pPr>
        <w:autoSpaceDE w:val="0"/>
        <w:autoSpaceDN w:val="0"/>
        <w:adjustRightInd w:val="0"/>
        <w:ind w:firstLine="708"/>
        <w:jc w:val="both"/>
        <w:rPr>
          <w:rFonts w:ascii="Abadi" w:eastAsia="Calibri" w:hAnsi="Abadi" w:cs="*Arial-7664-Identity-H"/>
          <w:color w:val="0C0C0E"/>
          <w:sz w:val="21"/>
          <w:szCs w:val="21"/>
          <w:lang w:val="es-MX" w:eastAsia="en-US"/>
        </w:rPr>
      </w:pPr>
      <w:r w:rsidRPr="00B314DB">
        <w:rPr>
          <w:rFonts w:ascii="Abadi" w:eastAsia="Calibri" w:hAnsi="Abadi" w:cs="*Arial-7664-Identity-H"/>
          <w:color w:val="0C0C0E"/>
          <w:sz w:val="21"/>
          <w:szCs w:val="21"/>
          <w:lang w:val="es-MX" w:eastAsia="en-US"/>
        </w:rPr>
        <w:t>La Ley Orgánica Municipal para el Estado de Guanajuato prevé que el Ayuntamiento deberá otorgar el servicio de alumbrado público a los habitantes del Municipio e instrumentará los mecanismos necesarios para ampliar la cobertura y mejorar la prestación de dicho servicio.</w:t>
      </w:r>
    </w:p>
    <w:p w14:paraId="5B978A83" w14:textId="77777777" w:rsidR="00B314DB" w:rsidRPr="00B314DB" w:rsidRDefault="00B314DB" w:rsidP="00B314DB">
      <w:pPr>
        <w:autoSpaceDE w:val="0"/>
        <w:autoSpaceDN w:val="0"/>
        <w:adjustRightInd w:val="0"/>
        <w:jc w:val="both"/>
        <w:rPr>
          <w:rFonts w:ascii="Abadi" w:eastAsia="Calibri" w:hAnsi="Abadi" w:cs="*Arial-7664-Identity-H"/>
          <w:color w:val="0D0D0F"/>
          <w:sz w:val="21"/>
          <w:szCs w:val="21"/>
          <w:lang w:val="es-MX" w:eastAsia="en-US"/>
        </w:rPr>
      </w:pPr>
    </w:p>
    <w:p w14:paraId="5FA997E2" w14:textId="77777777" w:rsidR="00B314DB" w:rsidRPr="00B314DB" w:rsidRDefault="00B314DB" w:rsidP="00B314DB">
      <w:pPr>
        <w:autoSpaceDE w:val="0"/>
        <w:autoSpaceDN w:val="0"/>
        <w:adjustRightInd w:val="0"/>
        <w:ind w:firstLine="708"/>
        <w:jc w:val="both"/>
        <w:rPr>
          <w:rFonts w:ascii="Abadi" w:eastAsia="Calibri" w:hAnsi="Abadi" w:cs="*Arial-7664-Identity-H"/>
          <w:color w:val="0D0D0F"/>
          <w:sz w:val="21"/>
          <w:szCs w:val="21"/>
          <w:lang w:val="es-MX" w:eastAsia="en-US"/>
        </w:rPr>
      </w:pPr>
      <w:r w:rsidRPr="00B314DB">
        <w:rPr>
          <w:rFonts w:ascii="Abadi" w:eastAsia="Calibri" w:hAnsi="Abadi" w:cs="*Arial-7664-Identity-H"/>
          <w:color w:val="0D0D0F"/>
          <w:sz w:val="21"/>
          <w:szCs w:val="21"/>
          <w:lang w:val="es-MX" w:eastAsia="en-US"/>
        </w:rPr>
        <w:t xml:space="preserve">De igual forma, la referida ley en el artículo 83 establece que el Ayuntamiento contará con una Comisión de Obra y Servicios Públicos, misma que tendrá dentro de sus atribuciones la de promover la prestación puntual, oportuna y eficiente de los servicios públicos municipales, de conformidad </w:t>
      </w:r>
      <w:r w:rsidRPr="00B314DB">
        <w:rPr>
          <w:rFonts w:ascii="Abadi" w:eastAsia="Calibri" w:hAnsi="Abadi" w:cs="*Arial-7664-Identity-H"/>
          <w:color w:val="999D99"/>
          <w:sz w:val="21"/>
          <w:szCs w:val="21"/>
          <w:lang w:val="es-MX" w:eastAsia="en-US"/>
        </w:rPr>
        <w:t xml:space="preserve">· </w:t>
      </w:r>
      <w:r w:rsidRPr="00B314DB">
        <w:rPr>
          <w:rFonts w:ascii="Abadi" w:eastAsia="Calibri" w:hAnsi="Abadi" w:cs="*Arial-7664-Identity-H"/>
          <w:color w:val="0D0D0F"/>
          <w:sz w:val="21"/>
          <w:szCs w:val="21"/>
          <w:lang w:val="es-MX" w:eastAsia="en-US"/>
        </w:rPr>
        <w:t>con las disposiciones aplicables. En este sentido, la dependencia de Servicios Municipales será la encargada de llevar a cabo la prestación del servicio de alumbrado público en el Municipio, de acuerdo a lo establecido en la fracción V del artículo 124 de la citada ley.</w:t>
      </w:r>
    </w:p>
    <w:p w14:paraId="0834A035" w14:textId="77777777" w:rsidR="00B314DB" w:rsidRPr="00B314DB" w:rsidRDefault="00B314DB" w:rsidP="00B314DB">
      <w:pPr>
        <w:autoSpaceDE w:val="0"/>
        <w:autoSpaceDN w:val="0"/>
        <w:adjustRightInd w:val="0"/>
        <w:jc w:val="both"/>
        <w:rPr>
          <w:rFonts w:ascii="Abadi" w:eastAsia="Calibri" w:hAnsi="Abadi" w:cs="*Arial-7664-Identity-H"/>
          <w:color w:val="0C0C0E"/>
          <w:sz w:val="21"/>
          <w:szCs w:val="21"/>
          <w:lang w:val="es-MX" w:eastAsia="en-US"/>
        </w:rPr>
      </w:pPr>
    </w:p>
    <w:p w14:paraId="65F2C254" w14:textId="77777777" w:rsidR="00B314DB" w:rsidRPr="00B314DB" w:rsidRDefault="00B314DB" w:rsidP="00B314DB">
      <w:pPr>
        <w:autoSpaceDE w:val="0"/>
        <w:autoSpaceDN w:val="0"/>
        <w:adjustRightInd w:val="0"/>
        <w:ind w:firstLine="708"/>
        <w:jc w:val="both"/>
        <w:rPr>
          <w:rFonts w:ascii="Abadi" w:eastAsia="Calibri" w:hAnsi="Abadi" w:cs="*Arial-7664-Identity-H"/>
          <w:color w:val="0C0C0E"/>
          <w:sz w:val="21"/>
          <w:szCs w:val="21"/>
          <w:lang w:val="es-MX" w:eastAsia="en-US"/>
        </w:rPr>
      </w:pPr>
      <w:r w:rsidRPr="00B314DB">
        <w:rPr>
          <w:rFonts w:ascii="Abadi" w:eastAsia="Calibri" w:hAnsi="Abadi" w:cs="*Arial-7664-Identity-H"/>
          <w:color w:val="0C0C0E"/>
          <w:sz w:val="21"/>
          <w:szCs w:val="21"/>
          <w:lang w:val="es-MX" w:eastAsia="en-US"/>
        </w:rPr>
        <w:t xml:space="preserve">También el artículo 165 de la referida Ley Orgánica Municipal prevé que: </w:t>
      </w:r>
      <w:r w:rsidRPr="00B314DB">
        <w:rPr>
          <w:rFonts w:ascii="Abadi" w:eastAsia="Calibri" w:hAnsi="Abadi" w:cs="*Arial-Italic-7665-Identity-H"/>
          <w:i/>
          <w:iCs/>
          <w:color w:val="0C0C0E"/>
          <w:sz w:val="21"/>
          <w:szCs w:val="21"/>
          <w:lang w:val="es-MX" w:eastAsia="en-US"/>
        </w:rPr>
        <w:t xml:space="preserve">«Los ayuntamientos prestarán los servicios públicos, en igualdad de condiciones </w:t>
      </w:r>
      <w:r w:rsidRPr="00B314DB">
        <w:rPr>
          <w:rFonts w:ascii="Abadi" w:eastAsia="Calibri" w:hAnsi="Abadi" w:cs="*Arial-7664-Identity-H"/>
          <w:color w:val="0C0C0E"/>
          <w:sz w:val="21"/>
          <w:szCs w:val="21"/>
          <w:lang w:val="es-MX" w:eastAsia="en-US"/>
        </w:rPr>
        <w:t xml:space="preserve">a </w:t>
      </w:r>
      <w:r w:rsidRPr="00B314DB">
        <w:rPr>
          <w:rFonts w:ascii="Abadi" w:eastAsia="Calibri" w:hAnsi="Abadi" w:cs="*Arial-Italic-7665-Identity-H"/>
          <w:i/>
          <w:iCs/>
          <w:color w:val="0C0C0E"/>
          <w:sz w:val="21"/>
          <w:szCs w:val="21"/>
          <w:lang w:val="es-MX" w:eastAsia="en-US"/>
        </w:rPr>
        <w:t>todos los habitantes del municipio, en forma permanente, general, uniforme,</w:t>
      </w:r>
      <w:r w:rsidRPr="00B314DB">
        <w:rPr>
          <w:rFonts w:ascii="Abadi" w:eastAsia="Calibri" w:hAnsi="Abadi" w:cs="*Arial-7664-Identity-H"/>
          <w:color w:val="0C0C0E"/>
          <w:sz w:val="21"/>
          <w:szCs w:val="21"/>
          <w:lang w:val="es-MX" w:eastAsia="en-US"/>
        </w:rPr>
        <w:t xml:space="preserve"> </w:t>
      </w:r>
      <w:r w:rsidRPr="00B314DB">
        <w:rPr>
          <w:rFonts w:ascii="Abadi" w:eastAsia="Calibri" w:hAnsi="Abadi" w:cs="*Arial-Italic-7665-Identity-H"/>
          <w:i/>
          <w:iCs/>
          <w:color w:val="0C0C0E"/>
          <w:sz w:val="21"/>
          <w:szCs w:val="21"/>
          <w:lang w:val="es-MX" w:eastAsia="en-US"/>
        </w:rPr>
        <w:t>continua y de acuerdo con el Programa de Gobierno Municipal».</w:t>
      </w:r>
    </w:p>
    <w:p w14:paraId="2D160FBF" w14:textId="77777777" w:rsidR="00B314DB" w:rsidRPr="00B314DB" w:rsidRDefault="00B314DB" w:rsidP="00B314DB">
      <w:pPr>
        <w:autoSpaceDE w:val="0"/>
        <w:autoSpaceDN w:val="0"/>
        <w:adjustRightInd w:val="0"/>
        <w:jc w:val="both"/>
        <w:rPr>
          <w:rFonts w:ascii="Abadi" w:eastAsia="Calibri" w:hAnsi="Abadi" w:cs="*Arial-7664-Identity-H"/>
          <w:color w:val="0C0C0F"/>
          <w:sz w:val="21"/>
          <w:szCs w:val="21"/>
          <w:lang w:val="es-MX" w:eastAsia="en-US"/>
        </w:rPr>
      </w:pPr>
    </w:p>
    <w:p w14:paraId="4266D632" w14:textId="77777777" w:rsidR="00B314DB" w:rsidRPr="00B314DB" w:rsidRDefault="00B314DB" w:rsidP="00B314DB">
      <w:pPr>
        <w:autoSpaceDE w:val="0"/>
        <w:autoSpaceDN w:val="0"/>
        <w:adjustRightInd w:val="0"/>
        <w:ind w:firstLine="708"/>
        <w:jc w:val="both"/>
        <w:rPr>
          <w:rFonts w:ascii="Abadi" w:eastAsia="Calibri" w:hAnsi="Abadi" w:cs="*Arial-Italic-7665-Identity-H"/>
          <w:i/>
          <w:iCs/>
          <w:color w:val="0C0C0F"/>
          <w:sz w:val="21"/>
          <w:szCs w:val="21"/>
          <w:lang w:val="es-MX" w:eastAsia="en-US"/>
        </w:rPr>
      </w:pPr>
      <w:r w:rsidRPr="00B314DB">
        <w:rPr>
          <w:rFonts w:ascii="Abadi" w:eastAsia="Calibri" w:hAnsi="Abadi" w:cs="*Arial-7664-Identity-H"/>
          <w:color w:val="0C0C0F"/>
          <w:sz w:val="21"/>
          <w:szCs w:val="21"/>
          <w:lang w:val="es-MX" w:eastAsia="en-US"/>
        </w:rPr>
        <w:t xml:space="preserve">Asimismo, en el Capítulo denominado </w:t>
      </w:r>
      <w:r w:rsidRPr="00B314DB">
        <w:rPr>
          <w:rFonts w:ascii="Abadi" w:eastAsia="Calibri" w:hAnsi="Abadi" w:cs="*Arial-Italic-7665-Identity-H"/>
          <w:i/>
          <w:iCs/>
          <w:color w:val="0C0C0F"/>
          <w:sz w:val="21"/>
          <w:szCs w:val="21"/>
          <w:lang w:val="es-MX" w:eastAsia="en-US"/>
        </w:rPr>
        <w:t xml:space="preserve">«De los Servicios Públicos Municipales» </w:t>
      </w:r>
      <w:r w:rsidRPr="00B314DB">
        <w:rPr>
          <w:rFonts w:ascii="Abadi" w:eastAsia="Calibri" w:hAnsi="Abadi" w:cs="*Arial-7664-Identity-H"/>
          <w:color w:val="0C0C0F"/>
          <w:sz w:val="21"/>
          <w:szCs w:val="21"/>
          <w:lang w:val="es-MX" w:eastAsia="en-US"/>
        </w:rPr>
        <w:t>se refiere que en el presupuesto de egresos deben preverse los</w:t>
      </w:r>
      <w:r w:rsidRPr="00B314DB">
        <w:rPr>
          <w:rFonts w:ascii="Abadi" w:eastAsia="Calibri" w:hAnsi="Abadi" w:cs="*Arial-Italic-7665-Identity-H"/>
          <w:i/>
          <w:iCs/>
          <w:color w:val="0C0C0F"/>
          <w:sz w:val="21"/>
          <w:szCs w:val="21"/>
          <w:lang w:val="es-MX" w:eastAsia="en-US"/>
        </w:rPr>
        <w:t xml:space="preserve"> </w:t>
      </w:r>
      <w:r w:rsidRPr="00B314DB">
        <w:rPr>
          <w:rFonts w:ascii="Abadi" w:eastAsia="Calibri" w:hAnsi="Abadi" w:cs="*Arial-7664-Identity-H"/>
          <w:color w:val="0C0C0F"/>
          <w:sz w:val="21"/>
          <w:szCs w:val="21"/>
          <w:lang w:val="es-MX" w:eastAsia="en-US"/>
        </w:rPr>
        <w:t>recursos materiales y humanos, necesarios y suficientes, para la prestación</w:t>
      </w:r>
      <w:r w:rsidRPr="00B314DB">
        <w:rPr>
          <w:rFonts w:ascii="Abadi" w:eastAsia="Calibri" w:hAnsi="Abadi" w:cs="*Arial-Italic-7665-Identity-H"/>
          <w:i/>
          <w:iCs/>
          <w:color w:val="0C0C0F"/>
          <w:sz w:val="21"/>
          <w:szCs w:val="21"/>
          <w:lang w:val="es-MX" w:eastAsia="en-US"/>
        </w:rPr>
        <w:t xml:space="preserve"> </w:t>
      </w:r>
      <w:r w:rsidRPr="00B314DB">
        <w:rPr>
          <w:rFonts w:ascii="Abadi" w:eastAsia="Calibri" w:hAnsi="Abadi" w:cs="*Arial-7664-Identity-H"/>
          <w:color w:val="0C0C0F"/>
          <w:sz w:val="21"/>
          <w:szCs w:val="21"/>
          <w:lang w:val="es-MX" w:eastAsia="en-US"/>
        </w:rPr>
        <w:t>eficiente y oportuna de los servicios públicos.</w:t>
      </w:r>
    </w:p>
    <w:p w14:paraId="7E3424C3" w14:textId="77777777" w:rsidR="00B314DB" w:rsidRPr="00B314DB" w:rsidRDefault="00B314DB" w:rsidP="00B314DB">
      <w:pPr>
        <w:autoSpaceDE w:val="0"/>
        <w:autoSpaceDN w:val="0"/>
        <w:adjustRightInd w:val="0"/>
        <w:jc w:val="both"/>
        <w:rPr>
          <w:rFonts w:ascii="Abadi" w:eastAsia="Calibri" w:hAnsi="Abadi" w:cs="*Arial-7664-Identity-H"/>
          <w:color w:val="0C0C0F"/>
          <w:sz w:val="21"/>
          <w:szCs w:val="21"/>
          <w:lang w:val="es-MX" w:eastAsia="en-US"/>
        </w:rPr>
      </w:pPr>
    </w:p>
    <w:p w14:paraId="31733C8F" w14:textId="77777777" w:rsidR="00B314DB" w:rsidRPr="00B314DB" w:rsidRDefault="00B314DB" w:rsidP="00B314DB">
      <w:pPr>
        <w:autoSpaceDE w:val="0"/>
        <w:autoSpaceDN w:val="0"/>
        <w:adjustRightInd w:val="0"/>
        <w:ind w:firstLine="708"/>
        <w:jc w:val="both"/>
        <w:rPr>
          <w:rFonts w:ascii="Abadi" w:eastAsia="Calibri" w:hAnsi="Abadi" w:cs="*Arial-7664-Identity-H"/>
          <w:color w:val="0C0C0F"/>
          <w:sz w:val="21"/>
          <w:szCs w:val="21"/>
          <w:lang w:val="es-MX" w:eastAsia="en-US"/>
        </w:rPr>
      </w:pPr>
      <w:r w:rsidRPr="00B314DB">
        <w:rPr>
          <w:rFonts w:ascii="Abadi" w:eastAsia="Calibri" w:hAnsi="Abadi" w:cs="*Arial-7664-Identity-H"/>
          <w:color w:val="0C0C0F"/>
          <w:sz w:val="21"/>
          <w:szCs w:val="21"/>
          <w:lang w:val="es-MX" w:eastAsia="en-US"/>
        </w:rPr>
        <w:t>De conformidad con el artículo 169 de la referida Ley Orgánica Municipal, la prestación de los servicios públicos municipales será supervisada por la comisión correspondiente del Ayuntamiento y auditada por la Contraloría Municipal.</w:t>
      </w:r>
    </w:p>
    <w:p w14:paraId="2CE70D32" w14:textId="77777777" w:rsidR="00B314DB" w:rsidRPr="00B314DB" w:rsidRDefault="00B314DB" w:rsidP="00B314DB">
      <w:pPr>
        <w:autoSpaceDE w:val="0"/>
        <w:autoSpaceDN w:val="0"/>
        <w:adjustRightInd w:val="0"/>
        <w:jc w:val="both"/>
        <w:rPr>
          <w:rFonts w:ascii="Abadi" w:eastAsia="Calibri" w:hAnsi="Abadi" w:cs="*Arial-7664-Identity-H"/>
          <w:color w:val="0C0C0F"/>
          <w:sz w:val="21"/>
          <w:szCs w:val="21"/>
          <w:lang w:val="es-MX" w:eastAsia="en-US"/>
        </w:rPr>
      </w:pPr>
    </w:p>
    <w:p w14:paraId="36F20970" w14:textId="77777777" w:rsidR="00B314DB" w:rsidRPr="00B314DB" w:rsidRDefault="00B314DB" w:rsidP="00B314DB">
      <w:pPr>
        <w:autoSpaceDE w:val="0"/>
        <w:autoSpaceDN w:val="0"/>
        <w:adjustRightInd w:val="0"/>
        <w:ind w:firstLine="708"/>
        <w:jc w:val="both"/>
        <w:rPr>
          <w:rFonts w:ascii="Abadi" w:eastAsia="Calibri" w:hAnsi="Abadi" w:cs="*Arial-7664-Identity-H"/>
          <w:color w:val="0C0C0F"/>
          <w:sz w:val="21"/>
          <w:szCs w:val="21"/>
          <w:lang w:val="es-MX" w:eastAsia="en-US"/>
        </w:rPr>
      </w:pPr>
      <w:r w:rsidRPr="00B314DB">
        <w:rPr>
          <w:rFonts w:ascii="Abadi" w:eastAsia="Calibri" w:hAnsi="Abadi" w:cs="*Arial-7664-Identity-H"/>
          <w:color w:val="0C0C0F"/>
          <w:sz w:val="21"/>
          <w:szCs w:val="21"/>
          <w:lang w:val="es-MX" w:eastAsia="en-US"/>
        </w:rPr>
        <w:t>Es así que, se desprende la intervención estratégica del Ayuntamiento y de la Dirección General de Servicios Municipales para otorgar la prestación del servicio de alumbrado público a los habitantes del Municipio, a través del conocimiento de la situación de oferta del servicio, de su presupuestación, de un marco normativo de operación, de una debida planeación a. corto plazo, de la participación ciudadana en el reporte de fallas del servicio, así como de los mecanismos de monitoreo y evaluación para el logro de resultados. Lo anterior, con el objetivo de otorgar un servicio público eficaz en el mantenimiento, cobertura y satisfacción del servicio.</w:t>
      </w:r>
    </w:p>
    <w:p w14:paraId="7E60D218" w14:textId="77777777" w:rsidR="00B314DB" w:rsidRPr="00B314DB" w:rsidRDefault="00B314DB" w:rsidP="00B314DB">
      <w:pPr>
        <w:autoSpaceDE w:val="0"/>
        <w:autoSpaceDN w:val="0"/>
        <w:adjustRightInd w:val="0"/>
        <w:jc w:val="both"/>
        <w:rPr>
          <w:rFonts w:ascii="Abadi" w:eastAsia="Calibri" w:hAnsi="Abadi" w:cs="*Arial-8067-Identity-H"/>
          <w:color w:val="0C0C0F"/>
          <w:sz w:val="21"/>
          <w:szCs w:val="21"/>
          <w:lang w:val="es-MX" w:eastAsia="en-US"/>
        </w:rPr>
      </w:pPr>
    </w:p>
    <w:p w14:paraId="6368DCB3" w14:textId="77777777" w:rsidR="00B314DB" w:rsidRPr="00B314DB" w:rsidRDefault="00B314DB" w:rsidP="00B314DB">
      <w:pPr>
        <w:autoSpaceDE w:val="0"/>
        <w:autoSpaceDN w:val="0"/>
        <w:adjustRightInd w:val="0"/>
        <w:ind w:firstLine="708"/>
        <w:jc w:val="both"/>
        <w:rPr>
          <w:rFonts w:ascii="Abadi" w:eastAsia="Calibri" w:hAnsi="Abadi" w:cs="*Arial-8067-Identity-H"/>
          <w:color w:val="0C0C0F"/>
          <w:sz w:val="21"/>
          <w:szCs w:val="21"/>
          <w:lang w:val="es-MX" w:eastAsia="en-US"/>
        </w:rPr>
      </w:pPr>
      <w:r w:rsidRPr="00B314DB">
        <w:rPr>
          <w:rFonts w:ascii="Abadi" w:eastAsia="Calibri" w:hAnsi="Abadi" w:cs="*Arial-8067-Identity-H"/>
          <w:color w:val="0C0C0F"/>
          <w:sz w:val="21"/>
          <w:szCs w:val="21"/>
          <w:lang w:val="es-MX" w:eastAsia="en-US"/>
        </w:rPr>
        <w:t xml:space="preserve">En este orden de ideas, se identificó en el Programa de Gobierno 2018- 2021 del municipio de Romita, </w:t>
      </w:r>
      <w:proofErr w:type="spellStart"/>
      <w:r w:rsidRPr="00B314DB">
        <w:rPr>
          <w:rFonts w:ascii="Abadi" w:eastAsia="Calibri" w:hAnsi="Abadi" w:cs="*Arial-8067-Identity-H"/>
          <w:color w:val="0C0C0F"/>
          <w:sz w:val="21"/>
          <w:szCs w:val="21"/>
          <w:lang w:val="es-MX" w:eastAsia="en-US"/>
        </w:rPr>
        <w:t>Gto</w:t>
      </w:r>
      <w:proofErr w:type="spellEnd"/>
      <w:r w:rsidRPr="00B314DB">
        <w:rPr>
          <w:rFonts w:ascii="Abadi" w:eastAsia="Calibri" w:hAnsi="Abadi" w:cs="*Arial-8067-Identity-H"/>
          <w:color w:val="0C0C0F"/>
          <w:sz w:val="21"/>
          <w:szCs w:val="21"/>
          <w:lang w:val="es-MX" w:eastAsia="en-US"/>
        </w:rPr>
        <w:t xml:space="preserve">., dentro del apartado de </w:t>
      </w:r>
      <w:r w:rsidRPr="00B314DB">
        <w:rPr>
          <w:rFonts w:ascii="Abadi" w:eastAsia="Calibri" w:hAnsi="Abadi" w:cs="*Arial-Italic-8068-Identity-H"/>
          <w:i/>
          <w:iCs/>
          <w:color w:val="0C0C0F"/>
          <w:sz w:val="21"/>
          <w:szCs w:val="21"/>
          <w:lang w:val="es-MX" w:eastAsia="en-US"/>
        </w:rPr>
        <w:t>«objetivos» Disminuir</w:t>
      </w:r>
      <w:r w:rsidRPr="00B314DB">
        <w:rPr>
          <w:rFonts w:ascii="Abadi" w:eastAsia="Calibri" w:hAnsi="Abadi" w:cs="*Arial-8067-Identity-H"/>
          <w:color w:val="0C0C0F"/>
          <w:sz w:val="21"/>
          <w:szCs w:val="21"/>
          <w:lang w:val="es-MX" w:eastAsia="en-US"/>
        </w:rPr>
        <w:t xml:space="preserve"> </w:t>
      </w:r>
      <w:r w:rsidRPr="00B314DB">
        <w:rPr>
          <w:rFonts w:ascii="Abadi" w:eastAsia="Calibri" w:hAnsi="Abadi" w:cs="*Arial-Italic-8068-Identity-H"/>
          <w:i/>
          <w:iCs/>
          <w:color w:val="0C0C0F"/>
          <w:sz w:val="21"/>
          <w:szCs w:val="21"/>
          <w:lang w:val="es-MX" w:eastAsia="en-US"/>
        </w:rPr>
        <w:t xml:space="preserve">la carencia de acceso al servicio de alumbrado público </w:t>
      </w:r>
      <w:r w:rsidRPr="00B314DB">
        <w:rPr>
          <w:rFonts w:ascii="Abadi" w:eastAsia="Calibri" w:hAnsi="Abadi" w:cs="*Arial-8067-Identity-H"/>
          <w:color w:val="0C0C0F"/>
          <w:sz w:val="21"/>
          <w:szCs w:val="21"/>
          <w:lang w:val="es-MX" w:eastAsia="en-US"/>
        </w:rPr>
        <w:t xml:space="preserve">y </w:t>
      </w:r>
      <w:r w:rsidRPr="00B314DB">
        <w:rPr>
          <w:rFonts w:ascii="Abadi" w:eastAsia="Calibri" w:hAnsi="Abadi" w:cs="*Arial-Italic-8068-Identity-H"/>
          <w:i/>
          <w:iCs/>
          <w:color w:val="0C0C0F"/>
          <w:sz w:val="21"/>
          <w:szCs w:val="21"/>
          <w:lang w:val="es-MX" w:eastAsia="en-US"/>
        </w:rPr>
        <w:t>Mejorar el servicio de</w:t>
      </w:r>
      <w:r w:rsidRPr="00B314DB">
        <w:rPr>
          <w:rFonts w:ascii="Abadi" w:eastAsia="Calibri" w:hAnsi="Abadi" w:cs="*Arial-8067-Identity-H"/>
          <w:color w:val="0C0C0F"/>
          <w:sz w:val="21"/>
          <w:szCs w:val="21"/>
          <w:lang w:val="es-MX" w:eastAsia="en-US"/>
        </w:rPr>
        <w:t xml:space="preserve"> </w:t>
      </w:r>
      <w:r w:rsidRPr="00B314DB">
        <w:rPr>
          <w:rFonts w:ascii="Abadi" w:eastAsia="Calibri" w:hAnsi="Abadi" w:cs="*Arial-Italic-8068-Identity-H"/>
          <w:i/>
          <w:iCs/>
          <w:color w:val="0C0C0F"/>
          <w:sz w:val="21"/>
          <w:szCs w:val="21"/>
          <w:lang w:val="es-MX" w:eastAsia="en-US"/>
        </w:rPr>
        <w:t xml:space="preserve">alumbrado público del Municipio, </w:t>
      </w:r>
      <w:r w:rsidRPr="00B314DB">
        <w:rPr>
          <w:rFonts w:ascii="Abadi" w:eastAsia="Calibri" w:hAnsi="Abadi" w:cs="*Arial-8067-Identity-H"/>
          <w:color w:val="0C0C0F"/>
          <w:sz w:val="21"/>
          <w:szCs w:val="21"/>
          <w:lang w:val="es-MX" w:eastAsia="en-US"/>
        </w:rPr>
        <w:t>estableciendo como metas, iniciar la construcción y/o rehabilitación de infraestructura de alumbrado público, así como la sustitución paulatina de luminarias por tecnología tipo LEO y sustituir lámparas y/o luminarias inservibles en las vialidades del Municipio. De lo anterior podemos desprender que, en dicho instrumento de planeación a corto plazo, el sujeto fiscalizado consideró como un asunto prioritario objetivos, estrategias y metas orientadas a obras de infraestructura de alumbrado público y la sustitución paulatina de luminarias tipo LEO, así como la sustitución de luminarias inservibles en las vialidades del Municipio.</w:t>
      </w:r>
    </w:p>
    <w:p w14:paraId="48E7B424" w14:textId="77777777" w:rsidR="00B314DB" w:rsidRPr="00B314DB" w:rsidRDefault="00B314DB" w:rsidP="00B314DB">
      <w:pPr>
        <w:autoSpaceDE w:val="0"/>
        <w:autoSpaceDN w:val="0"/>
        <w:adjustRightInd w:val="0"/>
        <w:jc w:val="both"/>
        <w:rPr>
          <w:rFonts w:ascii="Abadi" w:eastAsia="Calibri" w:hAnsi="Abadi" w:cs="*Arial-8067-Identity-H"/>
          <w:color w:val="0C0B0E"/>
          <w:sz w:val="21"/>
          <w:szCs w:val="21"/>
          <w:lang w:val="es-MX" w:eastAsia="en-US"/>
        </w:rPr>
      </w:pPr>
    </w:p>
    <w:p w14:paraId="7BF69F3E" w14:textId="2DF4CC92" w:rsidR="00B314DB" w:rsidRPr="00B314DB" w:rsidRDefault="00B314DB" w:rsidP="00B314DB">
      <w:pPr>
        <w:autoSpaceDE w:val="0"/>
        <w:autoSpaceDN w:val="0"/>
        <w:adjustRightInd w:val="0"/>
        <w:ind w:firstLine="708"/>
        <w:jc w:val="both"/>
        <w:rPr>
          <w:rFonts w:ascii="Abadi" w:eastAsia="Calibri" w:hAnsi="Abadi" w:cs="*Arial-Italic-8068-Identity-H"/>
          <w:i/>
          <w:iCs/>
          <w:color w:val="0C0B0E"/>
          <w:sz w:val="21"/>
          <w:szCs w:val="21"/>
          <w:lang w:val="es-MX" w:eastAsia="en-US"/>
        </w:rPr>
      </w:pPr>
      <w:r w:rsidRPr="00B314DB">
        <w:rPr>
          <w:rFonts w:ascii="Abadi" w:eastAsia="Calibri" w:hAnsi="Abadi" w:cs="*Arial-8067-Identity-H"/>
          <w:color w:val="0C0B0E"/>
          <w:sz w:val="21"/>
          <w:szCs w:val="21"/>
          <w:lang w:val="es-MX" w:eastAsia="en-US"/>
        </w:rPr>
        <w:t>En tal sentido, se reconoce para el ejerc</w:t>
      </w:r>
      <w:r w:rsidR="000A25F5">
        <w:rPr>
          <w:rFonts w:ascii="Abadi" w:eastAsia="Calibri" w:hAnsi="Abadi" w:cs="*Arial-8067-Identity-H"/>
          <w:color w:val="0C0B0E"/>
          <w:sz w:val="21"/>
          <w:szCs w:val="21"/>
          <w:lang w:val="es-MX" w:eastAsia="en-US"/>
        </w:rPr>
        <w:t>icio</w:t>
      </w:r>
      <w:r w:rsidRPr="00B314DB">
        <w:rPr>
          <w:rFonts w:ascii="Abadi" w:eastAsia="Calibri" w:hAnsi="Abadi" w:cs="*Arial-8067-Identity-H"/>
          <w:color w:val="0C0B0E"/>
          <w:sz w:val="21"/>
          <w:szCs w:val="21"/>
          <w:lang w:val="es-MX" w:eastAsia="en-US"/>
        </w:rPr>
        <w:t xml:space="preserve"> 2020 el programa </w:t>
      </w:r>
      <w:r w:rsidRPr="00B314DB">
        <w:rPr>
          <w:rFonts w:ascii="Abadi" w:eastAsia="Calibri" w:hAnsi="Abadi" w:cs="*Arial-Italic-8068-Identity-H"/>
          <w:i/>
          <w:iCs/>
          <w:color w:val="0C0B0E"/>
          <w:sz w:val="21"/>
          <w:szCs w:val="21"/>
          <w:lang w:val="es-MX" w:eastAsia="en-US"/>
        </w:rPr>
        <w:t xml:space="preserve">E2320 Alumbrado Público, </w:t>
      </w:r>
      <w:r w:rsidRPr="00B314DB">
        <w:rPr>
          <w:rFonts w:ascii="Abadi" w:eastAsia="Calibri" w:hAnsi="Abadi" w:cs="*Arial-8067-Identity-H"/>
          <w:color w:val="0C0B0E"/>
          <w:sz w:val="21"/>
          <w:szCs w:val="21"/>
          <w:lang w:val="es-MX" w:eastAsia="en-US"/>
        </w:rPr>
        <w:t>a cargo de la Dirección de Servicios Públicos Municipales, sin</w:t>
      </w:r>
      <w:r w:rsidRPr="00B314DB">
        <w:rPr>
          <w:rFonts w:ascii="Abadi" w:eastAsia="Calibri" w:hAnsi="Abadi" w:cs="*Arial-Italic-8068-Identity-H"/>
          <w:i/>
          <w:iCs/>
          <w:color w:val="0C0B0E"/>
          <w:sz w:val="21"/>
          <w:szCs w:val="21"/>
          <w:lang w:val="es-MX" w:eastAsia="en-US"/>
        </w:rPr>
        <w:t xml:space="preserve"> </w:t>
      </w:r>
      <w:r w:rsidRPr="00B314DB">
        <w:rPr>
          <w:rFonts w:ascii="Abadi" w:eastAsia="Calibri" w:hAnsi="Abadi" w:cs="*Arial-8067-Identity-H"/>
          <w:color w:val="0C0B0E"/>
          <w:sz w:val="21"/>
          <w:szCs w:val="21"/>
          <w:lang w:val="es-MX" w:eastAsia="en-US"/>
        </w:rPr>
        <w:t>identificar el objetivo de dicho programa presupuestario. Sin embargo, los</w:t>
      </w:r>
      <w:r w:rsidRPr="00B314DB">
        <w:rPr>
          <w:rFonts w:ascii="Abadi" w:eastAsia="Calibri" w:hAnsi="Abadi" w:cs="*Arial-Italic-8068-Identity-H"/>
          <w:i/>
          <w:iCs/>
          <w:color w:val="0C0B0E"/>
          <w:sz w:val="21"/>
          <w:szCs w:val="21"/>
          <w:lang w:val="es-MX" w:eastAsia="en-US"/>
        </w:rPr>
        <w:t xml:space="preserve"> </w:t>
      </w:r>
      <w:r w:rsidRPr="00B314DB">
        <w:rPr>
          <w:rFonts w:ascii="Abadi" w:eastAsia="Calibri" w:hAnsi="Abadi" w:cs="*Arial-8067-Identity-H"/>
          <w:color w:val="0C0B0E"/>
          <w:sz w:val="21"/>
          <w:szCs w:val="21"/>
          <w:lang w:val="es-MX" w:eastAsia="en-US"/>
        </w:rPr>
        <w:t>componentes que lo integran corresponden a infraestructura, sustitución y</w:t>
      </w:r>
      <w:r w:rsidRPr="00B314DB">
        <w:rPr>
          <w:rFonts w:ascii="Abadi" w:eastAsia="Calibri" w:hAnsi="Abadi" w:cs="*Arial-Italic-8068-Identity-H"/>
          <w:i/>
          <w:iCs/>
          <w:color w:val="0C0B0E"/>
          <w:sz w:val="21"/>
          <w:szCs w:val="21"/>
          <w:lang w:val="es-MX" w:eastAsia="en-US"/>
        </w:rPr>
        <w:t xml:space="preserve"> </w:t>
      </w:r>
      <w:r w:rsidRPr="00B314DB">
        <w:rPr>
          <w:rFonts w:ascii="Abadi" w:eastAsia="Calibri" w:hAnsi="Abadi" w:cs="*Arial-8067-Identity-H"/>
          <w:color w:val="0C0B0E"/>
          <w:sz w:val="21"/>
          <w:szCs w:val="21"/>
          <w:lang w:val="es-MX" w:eastAsia="en-US"/>
        </w:rPr>
        <w:t>mantenimiento de luminarias de alumbrado público.</w:t>
      </w:r>
    </w:p>
    <w:p w14:paraId="3F480961" w14:textId="77777777" w:rsidR="00B314DB" w:rsidRPr="00B314DB" w:rsidRDefault="00B314DB" w:rsidP="00B314DB">
      <w:pPr>
        <w:autoSpaceDE w:val="0"/>
        <w:autoSpaceDN w:val="0"/>
        <w:adjustRightInd w:val="0"/>
        <w:jc w:val="both"/>
        <w:rPr>
          <w:rFonts w:ascii="Abadi" w:eastAsia="Calibri" w:hAnsi="Abadi" w:cs="*Arial-8067-Identity-H"/>
          <w:color w:val="0D0C0F"/>
          <w:sz w:val="21"/>
          <w:szCs w:val="21"/>
          <w:lang w:val="es-MX" w:eastAsia="en-US"/>
        </w:rPr>
      </w:pPr>
    </w:p>
    <w:p w14:paraId="499CB1D1" w14:textId="77777777" w:rsidR="00B314DB" w:rsidRPr="00B314DB" w:rsidRDefault="00B314DB" w:rsidP="00B314DB">
      <w:pPr>
        <w:autoSpaceDE w:val="0"/>
        <w:autoSpaceDN w:val="0"/>
        <w:adjustRightInd w:val="0"/>
        <w:ind w:firstLine="708"/>
        <w:jc w:val="both"/>
        <w:rPr>
          <w:rFonts w:ascii="Abadi" w:eastAsia="Calibri" w:hAnsi="Abadi" w:cs="*Arial-8067-Identity-H"/>
          <w:color w:val="0D0C0F"/>
          <w:sz w:val="21"/>
          <w:szCs w:val="21"/>
          <w:lang w:val="es-MX" w:eastAsia="en-US"/>
        </w:rPr>
      </w:pPr>
      <w:r w:rsidRPr="00B314DB">
        <w:rPr>
          <w:rFonts w:ascii="Abadi" w:eastAsia="Calibri" w:hAnsi="Abadi" w:cs="*Arial-8067-Identity-H"/>
          <w:color w:val="0D0C0F"/>
          <w:sz w:val="21"/>
          <w:szCs w:val="21"/>
          <w:lang w:val="es-MX" w:eastAsia="en-US"/>
        </w:rPr>
        <w:t>En razón de lo anterior, se planteó como objetivo general de la auditoría verificar la capacidad del Municipio para la prestación eficaz del servicio de alumbrado público y la eficiencia en sus funciones de planificación, operación y seguimiento.</w:t>
      </w:r>
    </w:p>
    <w:p w14:paraId="1B5E8821" w14:textId="77777777" w:rsidR="00B314DB" w:rsidRPr="00B314DB" w:rsidRDefault="00B314DB" w:rsidP="00B314DB">
      <w:pPr>
        <w:autoSpaceDE w:val="0"/>
        <w:autoSpaceDN w:val="0"/>
        <w:adjustRightInd w:val="0"/>
        <w:jc w:val="both"/>
        <w:rPr>
          <w:rFonts w:ascii="Abadi" w:eastAsia="Calibri" w:hAnsi="Abadi" w:cs="*Arial-8067-Identity-H"/>
          <w:color w:val="0C0C0F"/>
          <w:sz w:val="21"/>
          <w:szCs w:val="21"/>
          <w:lang w:val="es-MX" w:eastAsia="en-US"/>
        </w:rPr>
      </w:pPr>
    </w:p>
    <w:p w14:paraId="14990E5E" w14:textId="77777777" w:rsidR="00B314DB" w:rsidRPr="00B314DB" w:rsidRDefault="00B314DB" w:rsidP="00B314DB">
      <w:pPr>
        <w:autoSpaceDE w:val="0"/>
        <w:autoSpaceDN w:val="0"/>
        <w:adjustRightInd w:val="0"/>
        <w:ind w:firstLine="708"/>
        <w:jc w:val="both"/>
        <w:rPr>
          <w:rFonts w:ascii="Abadi" w:eastAsia="Calibri" w:hAnsi="Abadi" w:cs="*Arial-8067-Identity-H"/>
          <w:color w:val="0C0C0F"/>
          <w:sz w:val="21"/>
          <w:szCs w:val="21"/>
          <w:lang w:val="es-MX" w:eastAsia="en-US"/>
        </w:rPr>
      </w:pPr>
      <w:r w:rsidRPr="00B314DB">
        <w:rPr>
          <w:rFonts w:ascii="Abadi" w:eastAsia="Calibri" w:hAnsi="Abadi" w:cs="*Arial-8067-Identity-H"/>
          <w:color w:val="0C0C0F"/>
          <w:sz w:val="21"/>
          <w:szCs w:val="21"/>
          <w:lang w:val="es-MX" w:eastAsia="en-US"/>
        </w:rPr>
        <w:t>En el apartado correspondiente a la unidad responsable de la materia por auditar se refiere que el artículo 124 de la Ley Orgánica Municipal para el Estado de Guanajuato prevé que la dependencia de Servicios Municipales será la encargada de llevar a cabo la prestación del servicio de alumbrado público en el Municipio. Asimismo, los artículos 83 y 83-3 de la citada ley establecen que, el Ayuntamiento contará con una Comisión de Obra y Servicios Públicos, la que tendrá dentro de sus atribuciones la de promover la prestación puntual, oportuna y eficiente de los servicios públicos municipales, de conformidad con las disposiciones aplicables.</w:t>
      </w:r>
    </w:p>
    <w:p w14:paraId="4EC8DE5A" w14:textId="77777777" w:rsidR="00B314DB" w:rsidRPr="00B314DB" w:rsidRDefault="00B314DB" w:rsidP="00B314DB">
      <w:pPr>
        <w:autoSpaceDE w:val="0"/>
        <w:autoSpaceDN w:val="0"/>
        <w:adjustRightInd w:val="0"/>
        <w:jc w:val="both"/>
        <w:rPr>
          <w:rFonts w:ascii="Abadi" w:eastAsia="Calibri" w:hAnsi="Abadi" w:cs="*Arial-8067-Identity-H"/>
          <w:color w:val="0C0B0E"/>
          <w:sz w:val="21"/>
          <w:szCs w:val="21"/>
          <w:lang w:val="es-MX" w:eastAsia="en-US"/>
        </w:rPr>
      </w:pPr>
    </w:p>
    <w:p w14:paraId="0B06F100" w14:textId="77777777" w:rsidR="00B314DB" w:rsidRPr="00B314DB" w:rsidRDefault="00B314DB" w:rsidP="00B314DB">
      <w:pPr>
        <w:autoSpaceDE w:val="0"/>
        <w:autoSpaceDN w:val="0"/>
        <w:adjustRightInd w:val="0"/>
        <w:ind w:firstLine="708"/>
        <w:jc w:val="both"/>
        <w:rPr>
          <w:rFonts w:ascii="Abadi" w:eastAsia="Calibri" w:hAnsi="Abadi" w:cs="*Arial-8067-Identity-H"/>
          <w:color w:val="0C0B0E"/>
          <w:sz w:val="21"/>
          <w:szCs w:val="21"/>
          <w:lang w:val="es-MX" w:eastAsia="en-US"/>
        </w:rPr>
      </w:pPr>
      <w:r w:rsidRPr="00B314DB">
        <w:rPr>
          <w:rFonts w:ascii="Abadi" w:eastAsia="Calibri" w:hAnsi="Abadi" w:cs="*Arial-8067-Identity-H"/>
          <w:color w:val="0C0B0E"/>
          <w:sz w:val="21"/>
          <w:szCs w:val="21"/>
          <w:lang w:val="es-MX" w:eastAsia="en-US"/>
        </w:rPr>
        <w:t xml:space="preserve">En virtud de lo anterior, de conformidad con la información presupuestaria y organizacional del municipio de Romita, </w:t>
      </w:r>
      <w:proofErr w:type="spellStart"/>
      <w:r w:rsidRPr="00B314DB">
        <w:rPr>
          <w:rFonts w:ascii="Abadi" w:eastAsia="Calibri" w:hAnsi="Abadi" w:cs="*Arial-8067-Identity-H"/>
          <w:color w:val="0C0B0E"/>
          <w:sz w:val="21"/>
          <w:szCs w:val="21"/>
          <w:lang w:val="es-MX" w:eastAsia="en-US"/>
        </w:rPr>
        <w:t>Gto</w:t>
      </w:r>
      <w:proofErr w:type="spellEnd"/>
      <w:r w:rsidRPr="00B314DB">
        <w:rPr>
          <w:rFonts w:ascii="Abadi" w:eastAsia="Calibri" w:hAnsi="Abadi" w:cs="*Arial-8067-Identity-H"/>
          <w:color w:val="0C0B0E"/>
          <w:sz w:val="21"/>
          <w:szCs w:val="21"/>
          <w:lang w:val="es-MX" w:eastAsia="en-US"/>
        </w:rPr>
        <w:t>., para el ejercicio fiscal 2020, la Jefatura del Departamento de Alumbrado Público, dependiente de la Dirección y Subdirección de Servicios Públicos Municipales tiene a su cargo la operación de la prestación del servicio de alumbrado público.</w:t>
      </w:r>
    </w:p>
    <w:p w14:paraId="2458395C" w14:textId="77777777" w:rsidR="00B314DB" w:rsidRPr="00B314DB" w:rsidRDefault="00B314DB" w:rsidP="00B314DB">
      <w:pPr>
        <w:autoSpaceDE w:val="0"/>
        <w:autoSpaceDN w:val="0"/>
        <w:adjustRightInd w:val="0"/>
        <w:jc w:val="both"/>
        <w:rPr>
          <w:rFonts w:ascii="Abadi" w:eastAsia="Calibri" w:hAnsi="Abadi" w:cs="*Calibri-Bold-5900-Identity-H"/>
          <w:b/>
          <w:bCs/>
          <w:color w:val="25242A"/>
          <w:sz w:val="21"/>
          <w:szCs w:val="21"/>
          <w:lang w:val="es-MX" w:eastAsia="en-US"/>
        </w:rPr>
      </w:pPr>
    </w:p>
    <w:p w14:paraId="679D4647" w14:textId="77777777" w:rsidR="00B314DB" w:rsidRPr="00B314DB" w:rsidRDefault="00B314DB" w:rsidP="00B314DB">
      <w:pPr>
        <w:autoSpaceDE w:val="0"/>
        <w:autoSpaceDN w:val="0"/>
        <w:adjustRightInd w:val="0"/>
        <w:ind w:firstLine="708"/>
        <w:jc w:val="both"/>
        <w:rPr>
          <w:rFonts w:ascii="Abadi" w:eastAsia="Calibri" w:hAnsi="Abadi" w:cs="*Arial-Bold-5902-Identity-H"/>
          <w:b/>
          <w:bCs/>
          <w:color w:val="0E0D12"/>
          <w:sz w:val="21"/>
          <w:szCs w:val="21"/>
          <w:lang w:val="es-MX" w:eastAsia="en-US"/>
        </w:rPr>
      </w:pPr>
      <w:r w:rsidRPr="00B314DB">
        <w:rPr>
          <w:rFonts w:ascii="Abadi" w:eastAsia="Calibri" w:hAnsi="Abadi" w:cs="*Arial-Bold-5902-Identity-H"/>
          <w:b/>
          <w:bCs/>
          <w:color w:val="0E0D12"/>
          <w:sz w:val="21"/>
          <w:szCs w:val="21"/>
          <w:lang w:val="es-MX" w:eastAsia="en-US"/>
        </w:rPr>
        <w:t>b) Resultado del proceso de fiscalización.</w:t>
      </w:r>
    </w:p>
    <w:p w14:paraId="179DF30D" w14:textId="77777777" w:rsidR="00B314DB" w:rsidRPr="00B314DB" w:rsidRDefault="00B314DB" w:rsidP="00B314DB">
      <w:pPr>
        <w:autoSpaceDE w:val="0"/>
        <w:autoSpaceDN w:val="0"/>
        <w:adjustRightInd w:val="0"/>
        <w:jc w:val="both"/>
        <w:rPr>
          <w:rFonts w:ascii="Abadi" w:eastAsia="Calibri" w:hAnsi="Abadi" w:cs="*Arial-Bold-5902-Identity-H"/>
          <w:b/>
          <w:bCs/>
          <w:color w:val="0E0D12"/>
          <w:sz w:val="21"/>
          <w:szCs w:val="21"/>
          <w:lang w:val="es-MX" w:eastAsia="en-US"/>
        </w:rPr>
      </w:pPr>
    </w:p>
    <w:p w14:paraId="21820AB9" w14:textId="77777777" w:rsidR="00B314DB" w:rsidRPr="00B314DB" w:rsidRDefault="00B314DB" w:rsidP="00B314DB">
      <w:pPr>
        <w:autoSpaceDE w:val="0"/>
        <w:autoSpaceDN w:val="0"/>
        <w:adjustRightInd w:val="0"/>
        <w:ind w:firstLine="708"/>
        <w:jc w:val="both"/>
        <w:rPr>
          <w:rFonts w:ascii="Abadi" w:eastAsia="Calibri" w:hAnsi="Abadi" w:cs="*Arial-5901-Identity-H"/>
          <w:color w:val="0D0D0F"/>
          <w:sz w:val="21"/>
          <w:szCs w:val="21"/>
          <w:lang w:val="es-MX" w:eastAsia="en-US"/>
        </w:rPr>
      </w:pPr>
      <w:r w:rsidRPr="00B314DB">
        <w:rPr>
          <w:rFonts w:ascii="Abadi" w:eastAsia="Calibri" w:hAnsi="Abadi" w:cs="*Arial-5901-Identity-H"/>
          <w:color w:val="0D0D0F"/>
          <w:sz w:val="21"/>
          <w:szCs w:val="21"/>
          <w:lang w:val="es-MX" w:eastAsia="en-US"/>
        </w:rPr>
        <w:t>En esta parte se señala que los objetivos específicos se desarrollaron en la auditoría en siete procedimientos, con los siguientes resultados:</w:t>
      </w:r>
    </w:p>
    <w:p w14:paraId="14E21C3F" w14:textId="77777777" w:rsidR="00B314DB" w:rsidRPr="00B314DB" w:rsidRDefault="00B314DB" w:rsidP="00B314DB">
      <w:pPr>
        <w:autoSpaceDE w:val="0"/>
        <w:autoSpaceDN w:val="0"/>
        <w:adjustRightInd w:val="0"/>
        <w:jc w:val="both"/>
        <w:rPr>
          <w:rFonts w:ascii="Abadi" w:eastAsia="Calibri" w:hAnsi="Abadi" w:cs="*Arial-Bold-5902-Identity-H"/>
          <w:b/>
          <w:bCs/>
          <w:color w:val="0C0B0F"/>
          <w:sz w:val="21"/>
          <w:szCs w:val="21"/>
          <w:lang w:val="es-MX" w:eastAsia="en-US"/>
        </w:rPr>
      </w:pPr>
    </w:p>
    <w:p w14:paraId="416269D7" w14:textId="77777777" w:rsidR="00B314DB" w:rsidRPr="00B314DB" w:rsidRDefault="00B314DB" w:rsidP="00B314DB">
      <w:pPr>
        <w:autoSpaceDE w:val="0"/>
        <w:autoSpaceDN w:val="0"/>
        <w:adjustRightInd w:val="0"/>
        <w:ind w:firstLine="360"/>
        <w:jc w:val="both"/>
        <w:rPr>
          <w:rFonts w:ascii="Abadi" w:eastAsia="Calibri" w:hAnsi="Abadi" w:cs="*Arial-Bold-5902-Identity-H"/>
          <w:b/>
          <w:bCs/>
          <w:color w:val="0C0B0F"/>
          <w:sz w:val="21"/>
          <w:szCs w:val="21"/>
          <w:lang w:val="es-MX" w:eastAsia="en-US"/>
        </w:rPr>
      </w:pPr>
      <w:r w:rsidRPr="00B314DB">
        <w:rPr>
          <w:rFonts w:ascii="Abadi" w:eastAsia="Calibri" w:hAnsi="Abadi" w:cs="*Arial-Bold-5902-Identity-H"/>
          <w:b/>
          <w:bCs/>
          <w:color w:val="0C0B0F"/>
          <w:sz w:val="21"/>
          <w:szCs w:val="21"/>
          <w:lang w:val="es-MX" w:eastAsia="en-US"/>
        </w:rPr>
        <w:t>Eficiencia:</w:t>
      </w:r>
    </w:p>
    <w:p w14:paraId="7783257C" w14:textId="77777777" w:rsidR="00B314DB" w:rsidRPr="00B314DB" w:rsidRDefault="00B314DB" w:rsidP="00B314DB">
      <w:pPr>
        <w:autoSpaceDE w:val="0"/>
        <w:autoSpaceDN w:val="0"/>
        <w:adjustRightInd w:val="0"/>
        <w:jc w:val="both"/>
        <w:rPr>
          <w:rFonts w:ascii="Abadi" w:eastAsia="Calibri" w:hAnsi="Abadi" w:cs="*Arial-5901-Identity-H"/>
          <w:color w:val="0B0B0E"/>
          <w:sz w:val="21"/>
          <w:szCs w:val="21"/>
          <w:lang w:val="es-MX" w:eastAsia="en-US"/>
        </w:rPr>
      </w:pPr>
    </w:p>
    <w:p w14:paraId="7D41F1B7" w14:textId="77777777" w:rsidR="00B314DB" w:rsidRPr="00B314DB" w:rsidRDefault="00B314DB" w:rsidP="00B314DB">
      <w:pPr>
        <w:numPr>
          <w:ilvl w:val="0"/>
          <w:numId w:val="72"/>
        </w:numPr>
        <w:autoSpaceDE w:val="0"/>
        <w:autoSpaceDN w:val="0"/>
        <w:adjustRightInd w:val="0"/>
        <w:spacing w:after="160" w:line="259" w:lineRule="auto"/>
        <w:contextualSpacing/>
        <w:jc w:val="both"/>
        <w:rPr>
          <w:rFonts w:ascii="Abadi" w:eastAsia="Calibri" w:hAnsi="Abadi" w:cs="*Arial-5901-Identity-H"/>
          <w:color w:val="0B0B0E"/>
          <w:sz w:val="21"/>
          <w:szCs w:val="21"/>
          <w:lang w:val="es-MX" w:eastAsia="en-US"/>
        </w:rPr>
      </w:pPr>
      <w:r w:rsidRPr="00B314DB">
        <w:rPr>
          <w:rFonts w:ascii="Abadi" w:eastAsia="Calibri" w:hAnsi="Abadi" w:cs="*Arial-5901-Identity-H"/>
          <w:color w:val="0B0B0E"/>
          <w:sz w:val="21"/>
          <w:szCs w:val="21"/>
          <w:lang w:val="es-MX" w:eastAsia="en-US"/>
        </w:rPr>
        <w:t>Oferta del servicio de alumbrado público.</w:t>
      </w:r>
    </w:p>
    <w:p w14:paraId="65E2FA6E" w14:textId="77777777" w:rsidR="00B314DB" w:rsidRPr="00B314DB" w:rsidRDefault="00B314DB" w:rsidP="00B314DB">
      <w:pPr>
        <w:numPr>
          <w:ilvl w:val="0"/>
          <w:numId w:val="72"/>
        </w:numPr>
        <w:autoSpaceDE w:val="0"/>
        <w:autoSpaceDN w:val="0"/>
        <w:adjustRightInd w:val="0"/>
        <w:spacing w:after="160" w:line="259" w:lineRule="auto"/>
        <w:contextualSpacing/>
        <w:jc w:val="both"/>
        <w:rPr>
          <w:rFonts w:ascii="Abadi" w:eastAsia="Calibri" w:hAnsi="Abadi" w:cs="*Arial-5901-Identity-H"/>
          <w:color w:val="0B0B0E"/>
          <w:sz w:val="21"/>
          <w:szCs w:val="21"/>
          <w:lang w:val="es-MX" w:eastAsia="en-US"/>
        </w:rPr>
      </w:pPr>
      <w:r w:rsidRPr="00B314DB">
        <w:rPr>
          <w:rFonts w:ascii="Abadi" w:eastAsia="Calibri" w:hAnsi="Abadi" w:cs="*Arial-5901-Identity-H"/>
          <w:color w:val="0F0E11"/>
          <w:sz w:val="21"/>
          <w:szCs w:val="21"/>
          <w:lang w:val="es-MX" w:eastAsia="en-US"/>
        </w:rPr>
        <w:t>Presupuestación del servicio.</w:t>
      </w:r>
    </w:p>
    <w:p w14:paraId="4FAE3F07" w14:textId="77777777" w:rsidR="00B314DB" w:rsidRPr="00B314DB" w:rsidRDefault="00B314DB" w:rsidP="00B314DB">
      <w:pPr>
        <w:numPr>
          <w:ilvl w:val="0"/>
          <w:numId w:val="72"/>
        </w:numPr>
        <w:autoSpaceDE w:val="0"/>
        <w:autoSpaceDN w:val="0"/>
        <w:adjustRightInd w:val="0"/>
        <w:spacing w:after="160" w:line="259" w:lineRule="auto"/>
        <w:contextualSpacing/>
        <w:jc w:val="both"/>
        <w:rPr>
          <w:rFonts w:ascii="Abadi" w:eastAsia="Calibri" w:hAnsi="Abadi" w:cs="*Arial-5901-Identity-H"/>
          <w:color w:val="0B0B0E"/>
          <w:sz w:val="21"/>
          <w:szCs w:val="21"/>
          <w:lang w:val="es-MX" w:eastAsia="en-US"/>
        </w:rPr>
      </w:pPr>
      <w:r w:rsidRPr="00B314DB">
        <w:rPr>
          <w:rFonts w:ascii="Abadi" w:eastAsia="Calibri" w:hAnsi="Abadi" w:cs="*Arial-5901-Identity-H"/>
          <w:color w:val="0D0C0E"/>
          <w:sz w:val="21"/>
          <w:szCs w:val="21"/>
          <w:lang w:val="es-MX" w:eastAsia="en-US"/>
        </w:rPr>
        <w:t>Marco normativo para la prestación del servicio.</w:t>
      </w:r>
    </w:p>
    <w:p w14:paraId="6AB4CD0D" w14:textId="77777777" w:rsidR="00B314DB" w:rsidRPr="00B314DB" w:rsidRDefault="00B314DB" w:rsidP="00B314DB">
      <w:pPr>
        <w:numPr>
          <w:ilvl w:val="0"/>
          <w:numId w:val="72"/>
        </w:numPr>
        <w:autoSpaceDE w:val="0"/>
        <w:autoSpaceDN w:val="0"/>
        <w:adjustRightInd w:val="0"/>
        <w:spacing w:after="160" w:line="259" w:lineRule="auto"/>
        <w:contextualSpacing/>
        <w:jc w:val="both"/>
        <w:rPr>
          <w:rFonts w:ascii="Abadi" w:eastAsia="Calibri" w:hAnsi="Abadi" w:cs="*Arial-5901-Identity-H"/>
          <w:color w:val="0B0B0E"/>
          <w:sz w:val="21"/>
          <w:szCs w:val="21"/>
          <w:lang w:val="es-MX" w:eastAsia="en-US"/>
        </w:rPr>
      </w:pPr>
      <w:r w:rsidRPr="00B314DB">
        <w:rPr>
          <w:rFonts w:ascii="Abadi" w:eastAsia="Calibri" w:hAnsi="Abadi" w:cs="*Arial-5901-Identity-H"/>
          <w:color w:val="0D0C0F"/>
          <w:sz w:val="21"/>
          <w:szCs w:val="21"/>
          <w:lang w:val="es-MX" w:eastAsia="en-US"/>
        </w:rPr>
        <w:t>Planeación del servicio de alumbrado público en el corto plazo.</w:t>
      </w:r>
    </w:p>
    <w:p w14:paraId="352B5FF0" w14:textId="77777777" w:rsidR="00B314DB" w:rsidRPr="00B314DB" w:rsidRDefault="00B314DB" w:rsidP="00B314DB">
      <w:pPr>
        <w:numPr>
          <w:ilvl w:val="0"/>
          <w:numId w:val="72"/>
        </w:numPr>
        <w:autoSpaceDE w:val="0"/>
        <w:autoSpaceDN w:val="0"/>
        <w:adjustRightInd w:val="0"/>
        <w:spacing w:after="160" w:line="259" w:lineRule="auto"/>
        <w:contextualSpacing/>
        <w:jc w:val="both"/>
        <w:rPr>
          <w:rFonts w:ascii="Abadi" w:eastAsia="Calibri" w:hAnsi="Abadi" w:cs="*Arial-5901-Identity-H"/>
          <w:color w:val="0B0B0E"/>
          <w:sz w:val="21"/>
          <w:szCs w:val="21"/>
          <w:lang w:val="es-MX" w:eastAsia="en-US"/>
        </w:rPr>
      </w:pPr>
      <w:r w:rsidRPr="00B314DB">
        <w:rPr>
          <w:rFonts w:ascii="Abadi" w:eastAsia="Calibri" w:hAnsi="Abadi" w:cs="*Arial-5901-Identity-H"/>
          <w:color w:val="0C0C0F"/>
          <w:sz w:val="21"/>
          <w:szCs w:val="21"/>
          <w:lang w:val="es-MX" w:eastAsia="en-US"/>
        </w:rPr>
        <w:t>Participación ciudadana en el reporte de fallas del servicio.</w:t>
      </w:r>
    </w:p>
    <w:p w14:paraId="5C0C4976" w14:textId="77777777" w:rsidR="00B314DB" w:rsidRPr="00B314DB" w:rsidRDefault="00B314DB" w:rsidP="00B314DB">
      <w:pPr>
        <w:autoSpaceDE w:val="0"/>
        <w:autoSpaceDN w:val="0"/>
        <w:adjustRightInd w:val="0"/>
        <w:jc w:val="both"/>
        <w:rPr>
          <w:rFonts w:ascii="Abadi" w:eastAsia="Calibri" w:hAnsi="Abadi" w:cs="*Arial-Bold-5902-Identity-H"/>
          <w:b/>
          <w:bCs/>
          <w:color w:val="0F0E13"/>
          <w:sz w:val="21"/>
          <w:szCs w:val="21"/>
          <w:lang w:val="es-MX" w:eastAsia="en-US"/>
        </w:rPr>
      </w:pPr>
    </w:p>
    <w:p w14:paraId="5E6B1473" w14:textId="77777777" w:rsidR="00B314DB" w:rsidRPr="00B314DB" w:rsidRDefault="00B314DB" w:rsidP="00B314DB">
      <w:pPr>
        <w:autoSpaceDE w:val="0"/>
        <w:autoSpaceDN w:val="0"/>
        <w:adjustRightInd w:val="0"/>
        <w:ind w:firstLine="360"/>
        <w:jc w:val="both"/>
        <w:rPr>
          <w:rFonts w:ascii="Abadi" w:eastAsia="Calibri" w:hAnsi="Abadi" w:cs="*Arial-Bold-5902-Identity-H"/>
          <w:b/>
          <w:bCs/>
          <w:color w:val="0F0E13"/>
          <w:sz w:val="21"/>
          <w:szCs w:val="21"/>
          <w:lang w:val="es-MX" w:eastAsia="en-US"/>
        </w:rPr>
      </w:pPr>
      <w:r w:rsidRPr="00B314DB">
        <w:rPr>
          <w:rFonts w:ascii="Abadi" w:eastAsia="Calibri" w:hAnsi="Abadi" w:cs="*Arial-Bold-5902-Identity-H"/>
          <w:b/>
          <w:bCs/>
          <w:color w:val="0F0E13"/>
          <w:sz w:val="21"/>
          <w:szCs w:val="21"/>
          <w:lang w:val="es-MX" w:eastAsia="en-US"/>
        </w:rPr>
        <w:t>Eficacia:</w:t>
      </w:r>
    </w:p>
    <w:p w14:paraId="4CFC5EC9" w14:textId="77777777" w:rsidR="00B314DB" w:rsidRPr="00B314DB" w:rsidRDefault="00B314DB" w:rsidP="00B314DB">
      <w:pPr>
        <w:autoSpaceDE w:val="0"/>
        <w:autoSpaceDN w:val="0"/>
        <w:adjustRightInd w:val="0"/>
        <w:jc w:val="both"/>
        <w:rPr>
          <w:rFonts w:ascii="Abadi" w:eastAsia="Calibri" w:hAnsi="Abadi" w:cs="*Arial-5901-Identity-H"/>
          <w:color w:val="0B0B0E"/>
          <w:sz w:val="21"/>
          <w:szCs w:val="21"/>
          <w:lang w:val="es-MX" w:eastAsia="en-US"/>
        </w:rPr>
      </w:pPr>
    </w:p>
    <w:p w14:paraId="08CD2B27" w14:textId="77777777" w:rsidR="00B314DB" w:rsidRPr="00B314DB" w:rsidRDefault="00B314DB" w:rsidP="00B314DB">
      <w:pPr>
        <w:numPr>
          <w:ilvl w:val="0"/>
          <w:numId w:val="72"/>
        </w:numPr>
        <w:autoSpaceDE w:val="0"/>
        <w:autoSpaceDN w:val="0"/>
        <w:adjustRightInd w:val="0"/>
        <w:spacing w:after="160" w:line="259" w:lineRule="auto"/>
        <w:contextualSpacing/>
        <w:jc w:val="both"/>
        <w:rPr>
          <w:rFonts w:ascii="Abadi" w:eastAsia="Calibri" w:hAnsi="Abadi" w:cs="*Arial-5901-Identity-H"/>
          <w:color w:val="0B0B0E"/>
          <w:sz w:val="21"/>
          <w:szCs w:val="21"/>
          <w:lang w:val="es-MX" w:eastAsia="en-US"/>
        </w:rPr>
      </w:pPr>
      <w:r w:rsidRPr="00B314DB">
        <w:rPr>
          <w:rFonts w:ascii="Abadi" w:eastAsia="Calibri" w:hAnsi="Abadi" w:cs="*Arial-5901-Identity-H"/>
          <w:color w:val="0B0B0E"/>
          <w:sz w:val="21"/>
          <w:szCs w:val="21"/>
          <w:lang w:val="es-MX" w:eastAsia="en-US"/>
        </w:rPr>
        <w:t>Eficacia del servicio de alumbrado público.</w:t>
      </w:r>
    </w:p>
    <w:p w14:paraId="41FD1A62" w14:textId="77777777" w:rsidR="00B314DB" w:rsidRPr="00B314DB" w:rsidRDefault="00B314DB" w:rsidP="00B314DB">
      <w:pPr>
        <w:numPr>
          <w:ilvl w:val="0"/>
          <w:numId w:val="72"/>
        </w:numPr>
        <w:autoSpaceDE w:val="0"/>
        <w:autoSpaceDN w:val="0"/>
        <w:adjustRightInd w:val="0"/>
        <w:spacing w:after="160" w:line="259" w:lineRule="auto"/>
        <w:contextualSpacing/>
        <w:jc w:val="both"/>
        <w:rPr>
          <w:rFonts w:ascii="Abadi" w:eastAsia="Calibri" w:hAnsi="Abadi" w:cs="*Arial-5901-Identity-H"/>
          <w:color w:val="0B0B0E"/>
          <w:sz w:val="21"/>
          <w:szCs w:val="21"/>
          <w:lang w:val="es-MX" w:eastAsia="en-US"/>
        </w:rPr>
      </w:pPr>
      <w:r w:rsidRPr="00B314DB">
        <w:rPr>
          <w:rFonts w:ascii="Abadi" w:eastAsia="Calibri" w:hAnsi="Abadi" w:cs="*Arial-5901-Identity-H"/>
          <w:color w:val="0C0B0E"/>
          <w:sz w:val="21"/>
          <w:szCs w:val="21"/>
          <w:lang w:val="es-MX" w:eastAsia="en-US"/>
        </w:rPr>
        <w:t>Monitoreo y evaluación de resultados.</w:t>
      </w:r>
    </w:p>
    <w:p w14:paraId="25EA09AE" w14:textId="77777777" w:rsidR="00B314DB" w:rsidRPr="00B314DB" w:rsidRDefault="00B314DB" w:rsidP="00B314DB">
      <w:pPr>
        <w:autoSpaceDE w:val="0"/>
        <w:autoSpaceDN w:val="0"/>
        <w:adjustRightInd w:val="0"/>
        <w:jc w:val="both"/>
        <w:rPr>
          <w:rFonts w:ascii="Abadi" w:eastAsia="Calibri" w:hAnsi="Abadi" w:cs="*Arial-5901-Identity-H"/>
          <w:color w:val="0D0D10"/>
          <w:sz w:val="21"/>
          <w:szCs w:val="21"/>
          <w:lang w:val="es-MX" w:eastAsia="en-US"/>
        </w:rPr>
      </w:pPr>
    </w:p>
    <w:p w14:paraId="1E821727" w14:textId="77777777" w:rsidR="00B314DB" w:rsidRPr="00B314DB" w:rsidRDefault="00B314DB" w:rsidP="00B314DB">
      <w:pPr>
        <w:autoSpaceDE w:val="0"/>
        <w:autoSpaceDN w:val="0"/>
        <w:adjustRightInd w:val="0"/>
        <w:jc w:val="both"/>
        <w:rPr>
          <w:rFonts w:ascii="Abadi" w:eastAsia="Calibri" w:hAnsi="Abadi" w:cs="*Arial-5901-Identity-H"/>
          <w:color w:val="0D0D10"/>
          <w:sz w:val="21"/>
          <w:szCs w:val="21"/>
          <w:lang w:val="es-MX" w:eastAsia="en-US"/>
        </w:rPr>
      </w:pPr>
      <w:r w:rsidRPr="00B314DB">
        <w:rPr>
          <w:rFonts w:ascii="Abadi" w:eastAsia="Calibri" w:hAnsi="Abadi" w:cs="*Arial-5901-Identity-H"/>
          <w:color w:val="0D0D10"/>
          <w:sz w:val="21"/>
          <w:szCs w:val="21"/>
          <w:lang w:val="es-MX" w:eastAsia="en-US"/>
        </w:rPr>
        <w:t>Es así, que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7FBEFCD2" w14:textId="77777777" w:rsidR="00B314DB" w:rsidRPr="00B314DB" w:rsidRDefault="00B314DB" w:rsidP="00B314DB">
      <w:pPr>
        <w:autoSpaceDE w:val="0"/>
        <w:autoSpaceDN w:val="0"/>
        <w:adjustRightInd w:val="0"/>
        <w:jc w:val="both"/>
        <w:rPr>
          <w:rFonts w:ascii="Abadi" w:eastAsia="Calibri" w:hAnsi="Abadi" w:cs="*Arial-5901-Identity-H"/>
          <w:color w:val="0C0C0F"/>
          <w:sz w:val="21"/>
          <w:szCs w:val="21"/>
          <w:lang w:val="es-MX" w:eastAsia="en-US"/>
        </w:rPr>
      </w:pPr>
    </w:p>
    <w:p w14:paraId="5CF5F355" w14:textId="77777777" w:rsidR="00B314DB" w:rsidRPr="00B314DB" w:rsidRDefault="00B314DB" w:rsidP="00B314DB">
      <w:pPr>
        <w:autoSpaceDE w:val="0"/>
        <w:autoSpaceDN w:val="0"/>
        <w:adjustRightInd w:val="0"/>
        <w:jc w:val="both"/>
        <w:rPr>
          <w:rFonts w:ascii="Abadi" w:eastAsia="Calibri" w:hAnsi="Abadi" w:cs="*Arial-5901-Identity-H"/>
          <w:color w:val="0C0C0F"/>
          <w:sz w:val="21"/>
          <w:szCs w:val="21"/>
          <w:lang w:val="es-MX" w:eastAsia="en-US"/>
        </w:rPr>
      </w:pPr>
      <w:r w:rsidRPr="00B314DB">
        <w:rPr>
          <w:rFonts w:ascii="Abadi" w:eastAsia="Calibri" w:hAnsi="Abadi" w:cs="*Arial-5901-Identity-H"/>
          <w:color w:val="0C0C0F"/>
          <w:sz w:val="21"/>
          <w:szCs w:val="21"/>
          <w:lang w:val="es-MX" w:eastAsia="en-US"/>
        </w:rPr>
        <w:t>Derivado de lo anterior, se formulan los resultados y recomendaciones contenidos en los rubros de Eficiencia y Eficacia.</w:t>
      </w:r>
    </w:p>
    <w:p w14:paraId="6284E535" w14:textId="77777777" w:rsidR="00B314DB" w:rsidRPr="00B314DB" w:rsidRDefault="00B314DB" w:rsidP="00B314DB">
      <w:pPr>
        <w:autoSpaceDE w:val="0"/>
        <w:autoSpaceDN w:val="0"/>
        <w:adjustRightInd w:val="0"/>
        <w:jc w:val="both"/>
        <w:rPr>
          <w:rFonts w:ascii="Abadi" w:eastAsia="Calibri" w:hAnsi="Abadi" w:cs="*Arial-5901-Identity-H"/>
          <w:color w:val="0C0B0E"/>
          <w:sz w:val="21"/>
          <w:szCs w:val="21"/>
          <w:lang w:val="es-MX" w:eastAsia="en-US"/>
        </w:rPr>
      </w:pPr>
    </w:p>
    <w:p w14:paraId="1F5A2096" w14:textId="77777777" w:rsidR="00B314DB" w:rsidRPr="00B314DB" w:rsidRDefault="00B314DB" w:rsidP="00B314DB">
      <w:pPr>
        <w:autoSpaceDE w:val="0"/>
        <w:autoSpaceDN w:val="0"/>
        <w:adjustRightInd w:val="0"/>
        <w:ind w:firstLine="708"/>
        <w:jc w:val="both"/>
        <w:rPr>
          <w:rFonts w:ascii="Abadi" w:eastAsia="Calibri" w:hAnsi="Abadi" w:cs="*Arial-5901-Identity-H"/>
          <w:color w:val="0C0B0E"/>
          <w:sz w:val="21"/>
          <w:szCs w:val="21"/>
          <w:lang w:val="es-MX" w:eastAsia="en-US"/>
        </w:rPr>
      </w:pPr>
      <w:r w:rsidRPr="00B314DB">
        <w:rPr>
          <w:rFonts w:ascii="Abadi" w:eastAsia="Calibri" w:hAnsi="Abadi" w:cs="*Arial-5901-Identity-H"/>
          <w:color w:val="0C0B0E"/>
          <w:sz w:val="21"/>
          <w:szCs w:val="21"/>
          <w:lang w:val="es-MX" w:eastAsia="en-US"/>
        </w:rPr>
        <w:t xml:space="preserve">En tal sentido, en el rubro de Eficiencia, se formularon las recomendaciones plasmadas en los puntos 01 y 02 del resultado número 01, referente a oferta del servicio de alumbrado público; 03 y 04 del resultado número 02, </w:t>
      </w:r>
      <w:r w:rsidRPr="00B314DB">
        <w:rPr>
          <w:rFonts w:ascii="Abadi" w:eastAsia="Calibri" w:hAnsi="Abadi" w:cs="*Arial-5901-Identity-H"/>
          <w:color w:val="A5A5A5"/>
          <w:sz w:val="21"/>
          <w:szCs w:val="21"/>
          <w:lang w:val="es-MX" w:eastAsia="en-US"/>
        </w:rPr>
        <w:t>·</w:t>
      </w:r>
      <w:r w:rsidRPr="00B314DB">
        <w:rPr>
          <w:rFonts w:ascii="Abadi" w:eastAsia="Calibri" w:hAnsi="Abadi" w:cs="*Arial-5901-Identity-H"/>
          <w:color w:val="0C0B0E"/>
          <w:sz w:val="21"/>
          <w:szCs w:val="21"/>
          <w:lang w:val="es-MX" w:eastAsia="en-US"/>
        </w:rPr>
        <w:t xml:space="preserve">correspondiente a presupuestación del servicio; 05 y 06 del resultado número 03, relativo a marco normativo para la prestación del servicio; 07 del resultado número 04, referido a planeación del servicio de alumbrado público en el corto plazo; y 08 del resultado número 05, referente a participación ciudadana en el reporte de fallas del servicio. En el apartado de Eficacia, se formularon las recomendaciones consignadas en los puntos 09 y 1 O del resultado número 06, correspondiente a eficacia del servicio </w:t>
      </w:r>
      <w:r w:rsidRPr="00B314DB">
        <w:rPr>
          <w:rFonts w:ascii="Abadi" w:eastAsia="Calibri" w:hAnsi="Abadi" w:cs="*Arial-7258-Identity-H"/>
          <w:color w:val="0C0B0F"/>
          <w:sz w:val="21"/>
          <w:szCs w:val="21"/>
          <w:lang w:val="es-MX" w:eastAsia="en-US"/>
        </w:rPr>
        <w:t>de alumbrado público; y 11 del resultado número 07, relativo a monitoreo y evaluación de resultados.</w:t>
      </w:r>
    </w:p>
    <w:p w14:paraId="5FA0D768" w14:textId="77777777" w:rsidR="00B314DB" w:rsidRPr="00B314DB" w:rsidRDefault="00B314DB" w:rsidP="00B314DB">
      <w:pPr>
        <w:autoSpaceDE w:val="0"/>
        <w:autoSpaceDN w:val="0"/>
        <w:adjustRightInd w:val="0"/>
        <w:jc w:val="both"/>
        <w:rPr>
          <w:rFonts w:ascii="Abadi" w:eastAsia="Calibri" w:hAnsi="Abadi" w:cs="*Arial-7258-Identity-H"/>
          <w:color w:val="0D0D10"/>
          <w:sz w:val="21"/>
          <w:szCs w:val="21"/>
          <w:lang w:val="es-MX" w:eastAsia="en-US"/>
        </w:rPr>
      </w:pPr>
    </w:p>
    <w:p w14:paraId="3874A479" w14:textId="77777777" w:rsidR="00B314DB" w:rsidRPr="00B314DB" w:rsidRDefault="00B314DB" w:rsidP="00B314DB">
      <w:pPr>
        <w:autoSpaceDE w:val="0"/>
        <w:autoSpaceDN w:val="0"/>
        <w:adjustRightInd w:val="0"/>
        <w:ind w:firstLine="708"/>
        <w:jc w:val="both"/>
        <w:rPr>
          <w:rFonts w:ascii="Abadi" w:eastAsia="Calibri" w:hAnsi="Abadi" w:cs="*Arial-Italic-7259-Identity-H"/>
          <w:i/>
          <w:iCs/>
          <w:color w:val="0D0D10"/>
          <w:sz w:val="21"/>
          <w:szCs w:val="21"/>
          <w:lang w:val="es-MX" w:eastAsia="en-US"/>
        </w:rPr>
      </w:pPr>
      <w:r w:rsidRPr="00B314DB">
        <w:rPr>
          <w:rFonts w:ascii="Abadi" w:eastAsia="Calibri" w:hAnsi="Abadi" w:cs="*Arial-7258-Identity-H"/>
          <w:color w:val="0D0D10"/>
          <w:sz w:val="21"/>
          <w:szCs w:val="21"/>
          <w:lang w:val="es-MX" w:eastAsia="en-US"/>
        </w:rPr>
        <w:t xml:space="preserve">Finalmente, se establece un apartado denominado </w:t>
      </w:r>
      <w:r w:rsidRPr="00B314DB">
        <w:rPr>
          <w:rFonts w:ascii="Abadi" w:eastAsia="Calibri" w:hAnsi="Abadi" w:cs="*Arial-Italic-7259-Identity-H"/>
          <w:i/>
          <w:iCs/>
          <w:color w:val="0D0D10"/>
          <w:sz w:val="21"/>
          <w:szCs w:val="21"/>
          <w:lang w:val="es-MX" w:eastAsia="en-US"/>
        </w:rPr>
        <w:t xml:space="preserve">Cuestiones clave de la auditoría en contexto de la pandemia del virus SARS-CoV2 </w:t>
      </w:r>
      <w:r w:rsidRPr="00B314DB">
        <w:rPr>
          <w:rFonts w:ascii="Abadi" w:eastAsia="Calibri" w:hAnsi="Abadi" w:cs="*Arial-7258-Identity-H"/>
          <w:color w:val="0D0D10"/>
          <w:sz w:val="21"/>
          <w:szCs w:val="21"/>
          <w:lang w:val="es-MX" w:eastAsia="en-US"/>
        </w:rPr>
        <w:t>en el que se señala</w:t>
      </w:r>
      <w:r w:rsidRPr="00B314DB">
        <w:rPr>
          <w:rFonts w:ascii="Abadi" w:eastAsia="Calibri" w:hAnsi="Abadi" w:cs="*Arial-Italic-7259-Identity-H"/>
          <w:i/>
          <w:iCs/>
          <w:color w:val="0D0D10"/>
          <w:sz w:val="21"/>
          <w:szCs w:val="21"/>
          <w:lang w:val="es-MX" w:eastAsia="en-US"/>
        </w:rPr>
        <w:t xml:space="preserve"> </w:t>
      </w:r>
      <w:r w:rsidRPr="00B314DB">
        <w:rPr>
          <w:rFonts w:ascii="Abadi" w:eastAsia="Calibri" w:hAnsi="Abadi" w:cs="*Arial-7258-Identity-H"/>
          <w:color w:val="0D0D10"/>
          <w:sz w:val="21"/>
          <w:szCs w:val="21"/>
          <w:lang w:val="es-MX" w:eastAsia="en-US"/>
        </w:rPr>
        <w:t>que con motivo de la emergencia sanitaria provocada por dicha pandemia y en</w:t>
      </w:r>
      <w:r w:rsidRPr="00B314DB">
        <w:rPr>
          <w:rFonts w:ascii="Abadi" w:eastAsia="Calibri" w:hAnsi="Abadi" w:cs="*Arial-Italic-7259-Identity-H"/>
          <w:i/>
          <w:iCs/>
          <w:color w:val="0D0D10"/>
          <w:sz w:val="21"/>
          <w:szCs w:val="21"/>
          <w:lang w:val="es-MX" w:eastAsia="en-US"/>
        </w:rPr>
        <w:t xml:space="preserve"> </w:t>
      </w:r>
      <w:r w:rsidRPr="00B314DB">
        <w:rPr>
          <w:rFonts w:ascii="Abadi" w:eastAsia="Calibri" w:hAnsi="Abadi" w:cs="*Arial-7258-Identity-H"/>
          <w:color w:val="0D0D10"/>
          <w:sz w:val="21"/>
          <w:szCs w:val="21"/>
          <w:lang w:val="es-MX" w:eastAsia="en-US"/>
        </w:rPr>
        <w:t>atención a diversas disposiciones en salud pública emitidas por las autoridades</w:t>
      </w:r>
      <w:r w:rsidRPr="00B314DB">
        <w:rPr>
          <w:rFonts w:ascii="Abadi" w:eastAsia="Calibri" w:hAnsi="Abadi" w:cs="*Arial-Italic-7259-Identity-H"/>
          <w:i/>
          <w:iCs/>
          <w:color w:val="0D0D10"/>
          <w:sz w:val="21"/>
          <w:szCs w:val="21"/>
          <w:lang w:val="es-MX" w:eastAsia="en-US"/>
        </w:rPr>
        <w:t xml:space="preserve"> </w:t>
      </w:r>
      <w:r w:rsidRPr="00B314DB">
        <w:rPr>
          <w:rFonts w:ascii="Abadi" w:eastAsia="Calibri" w:hAnsi="Abadi" w:cs="*Arial-7258-Identity-H"/>
          <w:color w:val="0D0D10"/>
          <w:sz w:val="21"/>
          <w:szCs w:val="21"/>
          <w:lang w:val="es-MX" w:eastAsia="en-US"/>
        </w:rPr>
        <w:t>federales y estatales competentes en la materia, se generaron cambios en el</w:t>
      </w:r>
      <w:r w:rsidRPr="00B314DB">
        <w:rPr>
          <w:rFonts w:ascii="Abadi" w:eastAsia="Calibri" w:hAnsi="Abadi" w:cs="*Arial-Italic-7259-Identity-H"/>
          <w:i/>
          <w:iCs/>
          <w:color w:val="0D0D10"/>
          <w:sz w:val="21"/>
          <w:szCs w:val="21"/>
          <w:lang w:val="es-MX" w:eastAsia="en-US"/>
        </w:rPr>
        <w:t xml:space="preserve"> </w:t>
      </w:r>
      <w:r w:rsidRPr="00B314DB">
        <w:rPr>
          <w:rFonts w:ascii="Abadi" w:eastAsia="Calibri" w:hAnsi="Abadi" w:cs="*Arial-7258-Identity-H"/>
          <w:color w:val="0D0D10"/>
          <w:sz w:val="21"/>
          <w:szCs w:val="21"/>
          <w:lang w:val="es-MX" w:eastAsia="en-US"/>
        </w:rPr>
        <w:t>desarrollo de los asuntos competencia de la Auditoría Superior del Estado de</w:t>
      </w:r>
      <w:r w:rsidRPr="00B314DB">
        <w:rPr>
          <w:rFonts w:ascii="Abadi" w:eastAsia="Calibri" w:hAnsi="Abadi" w:cs="*Arial-Italic-7259-Identity-H"/>
          <w:i/>
          <w:iCs/>
          <w:color w:val="0D0D10"/>
          <w:sz w:val="21"/>
          <w:szCs w:val="21"/>
          <w:lang w:val="es-MX" w:eastAsia="en-US"/>
        </w:rPr>
        <w:t xml:space="preserve"> </w:t>
      </w:r>
      <w:r w:rsidRPr="00B314DB">
        <w:rPr>
          <w:rFonts w:ascii="Abadi" w:eastAsia="Calibri" w:hAnsi="Abadi" w:cs="*Arial-7258-Identity-H"/>
          <w:color w:val="0D0D10"/>
          <w:sz w:val="21"/>
          <w:szCs w:val="21"/>
          <w:lang w:val="es-MX" w:eastAsia="en-US"/>
        </w:rPr>
        <w:t xml:space="preserve">Guanajuato, atendiendo al </w:t>
      </w:r>
      <w:r w:rsidRPr="00B314DB">
        <w:rPr>
          <w:rFonts w:ascii="Abadi" w:eastAsia="Calibri" w:hAnsi="Abadi" w:cs="*Arial-Italic-7259-Identity-H"/>
          <w:i/>
          <w:iCs/>
          <w:color w:val="0D0D10"/>
          <w:sz w:val="21"/>
          <w:szCs w:val="21"/>
          <w:lang w:val="es-MX" w:eastAsia="en-US"/>
        </w:rPr>
        <w:t xml:space="preserve">Acuerdo relativo al trabajo a distancia </w:t>
      </w:r>
      <w:r w:rsidRPr="00B314DB">
        <w:rPr>
          <w:rFonts w:ascii="Abadi" w:eastAsia="Calibri" w:hAnsi="Abadi" w:cs="*Arial-7258-Identity-H"/>
          <w:color w:val="0D0D10"/>
          <w:sz w:val="21"/>
          <w:szCs w:val="21"/>
          <w:lang w:val="es-MX" w:eastAsia="en-US"/>
        </w:rPr>
        <w:t>de fecha 17 de</w:t>
      </w:r>
      <w:r w:rsidRPr="00B314DB">
        <w:rPr>
          <w:rFonts w:ascii="Abadi" w:eastAsia="Calibri" w:hAnsi="Abadi" w:cs="*Arial-Italic-7259-Identity-H"/>
          <w:i/>
          <w:iCs/>
          <w:color w:val="0D0D10"/>
          <w:sz w:val="21"/>
          <w:szCs w:val="21"/>
          <w:lang w:val="es-MX" w:eastAsia="en-US"/>
        </w:rPr>
        <w:t xml:space="preserve"> </w:t>
      </w:r>
      <w:r w:rsidRPr="00B314DB">
        <w:rPr>
          <w:rFonts w:ascii="Abadi" w:eastAsia="Calibri" w:hAnsi="Abadi" w:cs="*Arial-7258-Identity-H"/>
          <w:color w:val="0D0D10"/>
          <w:sz w:val="21"/>
          <w:szCs w:val="21"/>
          <w:lang w:val="es-MX" w:eastAsia="en-US"/>
        </w:rPr>
        <w:t>marzo de 2020 y su décimo sexto acuerdo modificatorio, aprovechando las</w:t>
      </w:r>
      <w:r w:rsidRPr="00B314DB">
        <w:rPr>
          <w:rFonts w:ascii="Abadi" w:eastAsia="Calibri" w:hAnsi="Abadi" w:cs="*Arial-Italic-7259-Identity-H"/>
          <w:i/>
          <w:iCs/>
          <w:color w:val="0D0D10"/>
          <w:sz w:val="21"/>
          <w:szCs w:val="21"/>
          <w:lang w:val="es-MX" w:eastAsia="en-US"/>
        </w:rPr>
        <w:t xml:space="preserve"> </w:t>
      </w:r>
      <w:r w:rsidRPr="00B314DB">
        <w:rPr>
          <w:rFonts w:ascii="Abadi" w:eastAsia="Calibri" w:hAnsi="Abadi" w:cs="*Arial-7258-Identity-H"/>
          <w:color w:val="0D0D10"/>
          <w:sz w:val="21"/>
          <w:szCs w:val="21"/>
          <w:lang w:val="es-MX" w:eastAsia="en-US"/>
        </w:rPr>
        <w:t>herramientas tecnológicas de que dispone, así como la colaboración de los sujetos</w:t>
      </w:r>
      <w:r w:rsidRPr="00B314DB">
        <w:rPr>
          <w:rFonts w:ascii="Abadi" w:eastAsia="Calibri" w:hAnsi="Abadi" w:cs="*Arial-Italic-7259-Identity-H"/>
          <w:i/>
          <w:iCs/>
          <w:color w:val="0D0D10"/>
          <w:sz w:val="21"/>
          <w:szCs w:val="21"/>
          <w:lang w:val="es-MX" w:eastAsia="en-US"/>
        </w:rPr>
        <w:t xml:space="preserve"> </w:t>
      </w:r>
      <w:r w:rsidRPr="00B314DB">
        <w:rPr>
          <w:rFonts w:ascii="Abadi" w:eastAsia="Calibri" w:hAnsi="Abadi" w:cs="*Arial-7258-Identity-H"/>
          <w:color w:val="0D0D10"/>
          <w:sz w:val="21"/>
          <w:szCs w:val="21"/>
          <w:lang w:val="es-MX" w:eastAsia="en-US"/>
        </w:rPr>
        <w:t>de fiscalización.</w:t>
      </w:r>
    </w:p>
    <w:p w14:paraId="6DD67AD0" w14:textId="77777777" w:rsidR="00B314DB" w:rsidRPr="00B314DB" w:rsidRDefault="00B314DB" w:rsidP="00B314DB">
      <w:pPr>
        <w:autoSpaceDE w:val="0"/>
        <w:autoSpaceDN w:val="0"/>
        <w:adjustRightInd w:val="0"/>
        <w:jc w:val="both"/>
        <w:rPr>
          <w:rFonts w:ascii="Abadi" w:eastAsia="Calibri" w:hAnsi="Abadi" w:cs="*Arial-7258-Identity-H"/>
          <w:color w:val="0D0C0F"/>
          <w:sz w:val="21"/>
          <w:szCs w:val="21"/>
          <w:lang w:val="es-MX" w:eastAsia="en-US"/>
        </w:rPr>
      </w:pPr>
    </w:p>
    <w:p w14:paraId="58327AFE" w14:textId="77777777" w:rsidR="00B314DB" w:rsidRPr="00B314DB" w:rsidRDefault="00B314DB" w:rsidP="00B314DB">
      <w:pPr>
        <w:autoSpaceDE w:val="0"/>
        <w:autoSpaceDN w:val="0"/>
        <w:adjustRightInd w:val="0"/>
        <w:ind w:firstLine="708"/>
        <w:jc w:val="both"/>
        <w:rPr>
          <w:rFonts w:ascii="Abadi" w:eastAsia="Calibri" w:hAnsi="Abadi" w:cs="*Arial-7258-Identity-H"/>
          <w:color w:val="0D0C0F"/>
          <w:sz w:val="21"/>
          <w:szCs w:val="21"/>
          <w:lang w:val="es-MX" w:eastAsia="en-US"/>
        </w:rPr>
      </w:pPr>
      <w:r w:rsidRPr="00B314DB">
        <w:rPr>
          <w:rFonts w:ascii="Abadi" w:eastAsia="Calibri" w:hAnsi="Abadi" w:cs="*Arial-7258-Identity-H"/>
          <w:color w:val="0D0C0F"/>
          <w:sz w:val="21"/>
          <w:szCs w:val="21"/>
          <w:lang w:val="es-MX" w:eastAsia="en-US"/>
        </w:rPr>
        <w:t>Es así, que si bien, el proceso de fiscalización ha continuado observando las medidas de confinamiento que las autoridades de salud han determinado y con el uso de las tecnologías de la información, por la propia naturaleza de la pandemia se generaron limitantes en la aplicación de los procedimientos de auditoría.</w:t>
      </w:r>
    </w:p>
    <w:p w14:paraId="23A53ED0" w14:textId="77777777" w:rsidR="00B314DB" w:rsidRPr="00B314DB" w:rsidRDefault="00B314DB" w:rsidP="00B314DB">
      <w:pPr>
        <w:autoSpaceDE w:val="0"/>
        <w:autoSpaceDN w:val="0"/>
        <w:adjustRightInd w:val="0"/>
        <w:jc w:val="both"/>
        <w:rPr>
          <w:rFonts w:ascii="Abadi" w:eastAsia="Calibri" w:hAnsi="Abadi" w:cs="*Arial-7258-Identity-H"/>
          <w:color w:val="0C0D0F"/>
          <w:sz w:val="21"/>
          <w:szCs w:val="21"/>
          <w:lang w:val="es-MX" w:eastAsia="en-US"/>
        </w:rPr>
      </w:pPr>
    </w:p>
    <w:p w14:paraId="1567718E" w14:textId="77777777" w:rsidR="00B314DB" w:rsidRPr="00B314DB" w:rsidRDefault="00B314DB" w:rsidP="00B314DB">
      <w:pPr>
        <w:autoSpaceDE w:val="0"/>
        <w:autoSpaceDN w:val="0"/>
        <w:adjustRightInd w:val="0"/>
        <w:ind w:firstLine="708"/>
        <w:jc w:val="both"/>
        <w:rPr>
          <w:rFonts w:ascii="Abadi" w:eastAsia="Calibri" w:hAnsi="Abadi" w:cs="*Arial-7258-Identity-H"/>
          <w:color w:val="0C0D0F"/>
          <w:sz w:val="21"/>
          <w:szCs w:val="21"/>
          <w:lang w:val="es-MX" w:eastAsia="en-US"/>
        </w:rPr>
      </w:pPr>
      <w:r w:rsidRPr="00B314DB">
        <w:rPr>
          <w:rFonts w:ascii="Abadi" w:eastAsia="Calibri" w:hAnsi="Abadi" w:cs="*Arial-7258-Identity-H"/>
          <w:color w:val="0C0D0F"/>
          <w:sz w:val="21"/>
          <w:szCs w:val="21"/>
          <w:lang w:val="es-MX" w:eastAsia="en-US"/>
        </w:rPr>
        <w:t>En tal sentido se priorizó el enfoque de derechos humanos, velando por la protección del derecho humano a la salud, respetando las limitaciones y restricciones a los derechos humanos establecidas en la propia Constitución.</w:t>
      </w:r>
    </w:p>
    <w:p w14:paraId="3C7C0CB5" w14:textId="77777777" w:rsidR="00B314DB" w:rsidRPr="00B314DB" w:rsidRDefault="00B314DB" w:rsidP="00B314DB">
      <w:pPr>
        <w:autoSpaceDE w:val="0"/>
        <w:autoSpaceDN w:val="0"/>
        <w:adjustRightInd w:val="0"/>
        <w:jc w:val="both"/>
        <w:rPr>
          <w:rFonts w:ascii="Abadi" w:eastAsia="Calibri" w:hAnsi="Abadi" w:cs="*Microsoft Sans Serif-Bold-7261"/>
          <w:b/>
          <w:bCs/>
          <w:color w:val="0C0C11"/>
          <w:sz w:val="21"/>
          <w:szCs w:val="21"/>
          <w:lang w:val="es-MX" w:eastAsia="en-US"/>
        </w:rPr>
      </w:pPr>
    </w:p>
    <w:p w14:paraId="7E005776" w14:textId="77777777" w:rsidR="00B314DB" w:rsidRPr="00B314DB" w:rsidRDefault="00B314DB" w:rsidP="00B314DB">
      <w:pPr>
        <w:autoSpaceDE w:val="0"/>
        <w:autoSpaceDN w:val="0"/>
        <w:adjustRightInd w:val="0"/>
        <w:ind w:firstLine="708"/>
        <w:jc w:val="both"/>
        <w:rPr>
          <w:rFonts w:ascii="Abadi" w:eastAsia="Calibri" w:hAnsi="Abadi" w:cs="*Microsoft Sans Serif-Bold-7261"/>
          <w:b/>
          <w:bCs/>
          <w:color w:val="0C0C11"/>
          <w:sz w:val="21"/>
          <w:szCs w:val="21"/>
          <w:lang w:val="es-MX" w:eastAsia="en-US"/>
        </w:rPr>
      </w:pPr>
      <w:r w:rsidRPr="00B314DB">
        <w:rPr>
          <w:rFonts w:ascii="Abadi" w:eastAsia="Calibri" w:hAnsi="Abadi" w:cs="*Microsoft Sans Serif-Bold-7261"/>
          <w:b/>
          <w:bCs/>
          <w:color w:val="0C0C11"/>
          <w:sz w:val="21"/>
          <w:szCs w:val="21"/>
          <w:lang w:val="es-MX" w:eastAsia="en-US"/>
        </w:rPr>
        <w:t>e) Resumen de las recomendaciones.</w:t>
      </w:r>
    </w:p>
    <w:p w14:paraId="6E2856A8" w14:textId="77777777" w:rsidR="00B314DB" w:rsidRPr="00B314DB" w:rsidRDefault="00B314DB" w:rsidP="00B314DB">
      <w:pPr>
        <w:autoSpaceDE w:val="0"/>
        <w:autoSpaceDN w:val="0"/>
        <w:adjustRightInd w:val="0"/>
        <w:jc w:val="both"/>
        <w:rPr>
          <w:rFonts w:ascii="Abadi" w:eastAsia="Calibri" w:hAnsi="Abadi" w:cs="*Arial-7258-Identity-H"/>
          <w:color w:val="0D0D0F"/>
          <w:sz w:val="21"/>
          <w:szCs w:val="21"/>
          <w:lang w:val="es-MX" w:eastAsia="en-US"/>
        </w:rPr>
      </w:pPr>
    </w:p>
    <w:p w14:paraId="1C915090" w14:textId="77777777" w:rsidR="00B314DB" w:rsidRPr="00B314DB" w:rsidRDefault="00B314DB" w:rsidP="00B314DB">
      <w:pPr>
        <w:autoSpaceDE w:val="0"/>
        <w:autoSpaceDN w:val="0"/>
        <w:adjustRightInd w:val="0"/>
        <w:ind w:firstLine="708"/>
        <w:jc w:val="both"/>
        <w:rPr>
          <w:rFonts w:ascii="Abadi" w:eastAsia="Calibri" w:hAnsi="Abadi" w:cs="*Arial-7258-Identity-H"/>
          <w:color w:val="0D0D0F"/>
          <w:sz w:val="21"/>
          <w:szCs w:val="21"/>
          <w:lang w:val="es-MX" w:eastAsia="en-US"/>
        </w:rPr>
      </w:pPr>
      <w:r w:rsidRPr="00B314DB">
        <w:rPr>
          <w:rFonts w:ascii="Abadi" w:eastAsia="Calibri" w:hAnsi="Abadi" w:cs="*Arial-7258-Identity-H"/>
          <w:color w:val="0D0D0F"/>
          <w:sz w:val="21"/>
          <w:szCs w:val="21"/>
          <w:lang w:val="es-MX" w:eastAsia="en-US"/>
        </w:rPr>
        <w:t>En este punto se establece un resumen exclusivamente de los resultados que generaron recomendación producto de un área de oportunidad o mejora sugerida por el Órgano Técnico, agrupados bajo su respectiva vertiente, con su síntesis de la valoración efectuada, precisando que del análisis a la respuesta del pliego de recomendaciones se desprende que el sujeto fiscalizado en las 11 recomendaciones formuladas se comprometió a realizar acciones en un plazo futuro para su atención. A dichas recomendaciones dará seguimiento el Órgano Técnico en la etapa correspondiente, de conformidad con el ordenamiento legal respectivo.</w:t>
      </w:r>
    </w:p>
    <w:p w14:paraId="0DCC5C96" w14:textId="77777777" w:rsidR="00B314DB" w:rsidRPr="00B314DB" w:rsidRDefault="00B314DB" w:rsidP="00B314DB">
      <w:pPr>
        <w:autoSpaceDE w:val="0"/>
        <w:autoSpaceDN w:val="0"/>
        <w:adjustRightInd w:val="0"/>
        <w:jc w:val="both"/>
        <w:rPr>
          <w:rFonts w:ascii="Abadi" w:eastAsia="Calibri" w:hAnsi="Abadi" w:cs="*Microsoft Sans Serif-6795-Iden"/>
          <w:color w:val="28282C"/>
          <w:sz w:val="21"/>
          <w:szCs w:val="21"/>
          <w:lang w:val="es-MX" w:eastAsia="en-US"/>
        </w:rPr>
      </w:pPr>
    </w:p>
    <w:p w14:paraId="7408A9C6" w14:textId="77777777" w:rsidR="00B314DB" w:rsidRPr="00B314DB" w:rsidRDefault="00B314DB" w:rsidP="00B314DB">
      <w:pPr>
        <w:autoSpaceDE w:val="0"/>
        <w:autoSpaceDN w:val="0"/>
        <w:adjustRightInd w:val="0"/>
        <w:ind w:firstLine="708"/>
        <w:jc w:val="both"/>
        <w:rPr>
          <w:rFonts w:ascii="Abadi" w:eastAsia="Calibri" w:hAnsi="Abadi" w:cs="*Arial-Bold-6793-Identity-H"/>
          <w:b/>
          <w:bCs/>
          <w:color w:val="0C0B0F"/>
          <w:sz w:val="21"/>
          <w:szCs w:val="21"/>
          <w:lang w:val="es-MX" w:eastAsia="en-US"/>
        </w:rPr>
      </w:pPr>
      <w:r w:rsidRPr="00B314DB">
        <w:rPr>
          <w:rFonts w:ascii="Abadi" w:eastAsia="Calibri" w:hAnsi="Abadi" w:cs="*Arial-Bold-6793-Identity-H"/>
          <w:b/>
          <w:bCs/>
          <w:color w:val="0C0B0F"/>
          <w:sz w:val="21"/>
          <w:szCs w:val="21"/>
          <w:lang w:val="es-MX" w:eastAsia="en-US"/>
        </w:rPr>
        <w:t>d) Conclusión General.</w:t>
      </w:r>
    </w:p>
    <w:p w14:paraId="0B66157B" w14:textId="77777777" w:rsidR="00B314DB" w:rsidRPr="00B314DB" w:rsidRDefault="00B314DB" w:rsidP="00B314DB">
      <w:pPr>
        <w:autoSpaceDE w:val="0"/>
        <w:autoSpaceDN w:val="0"/>
        <w:adjustRightInd w:val="0"/>
        <w:jc w:val="both"/>
        <w:rPr>
          <w:rFonts w:ascii="Abadi" w:eastAsia="Calibri" w:hAnsi="Abadi" w:cs="*Arial-6794-Identity-H"/>
          <w:color w:val="131313"/>
          <w:sz w:val="21"/>
          <w:szCs w:val="21"/>
          <w:lang w:val="es-MX" w:eastAsia="en-US"/>
        </w:rPr>
      </w:pPr>
    </w:p>
    <w:p w14:paraId="6652CF98" w14:textId="77777777" w:rsidR="00B314DB" w:rsidRPr="00B314DB" w:rsidRDefault="00B314DB" w:rsidP="00B314DB">
      <w:pPr>
        <w:autoSpaceDE w:val="0"/>
        <w:autoSpaceDN w:val="0"/>
        <w:adjustRightInd w:val="0"/>
        <w:ind w:firstLine="708"/>
        <w:jc w:val="both"/>
        <w:rPr>
          <w:rFonts w:ascii="Abadi" w:eastAsia="Calibri" w:hAnsi="Abadi" w:cs="*Arial-6792-Identity-H"/>
          <w:color w:val="0E0D10"/>
          <w:sz w:val="21"/>
          <w:szCs w:val="21"/>
          <w:lang w:val="es-MX" w:eastAsia="en-US"/>
        </w:rPr>
      </w:pPr>
      <w:r w:rsidRPr="00B314DB">
        <w:rPr>
          <w:rFonts w:ascii="Abadi" w:eastAsia="Calibri" w:hAnsi="Abadi" w:cs="*Arial-6792-Identity-H"/>
          <w:color w:val="0E0D10"/>
          <w:sz w:val="21"/>
          <w:szCs w:val="21"/>
          <w:lang w:val="es-MX" w:eastAsia="en-US"/>
        </w:rPr>
        <w:t>La Auditoría Superior del Estado concluyó que los servicios públicos se pueden entender como toda prestación concreta que tienda a satisfacer, de manera regular, continua y uniforme, las necesidades sociales de carácter general, básico o fundamental, en beneficio indiscriminado de toda la ciudadanía. De su adecuada prestación depende, en cierta medida, la calidad de vida de las</w:t>
      </w:r>
    </w:p>
    <w:p w14:paraId="11F2F81A" w14:textId="77777777" w:rsidR="00B314DB" w:rsidRPr="00B314DB" w:rsidRDefault="00B314DB" w:rsidP="00B314DB">
      <w:pPr>
        <w:autoSpaceDE w:val="0"/>
        <w:autoSpaceDN w:val="0"/>
        <w:adjustRightInd w:val="0"/>
        <w:jc w:val="both"/>
        <w:rPr>
          <w:rFonts w:ascii="Abadi" w:eastAsia="Calibri" w:hAnsi="Abadi" w:cs="*Arial-6792-Identity-H"/>
          <w:color w:val="0E0D10"/>
          <w:sz w:val="21"/>
          <w:szCs w:val="21"/>
          <w:lang w:val="es-MX" w:eastAsia="en-US"/>
        </w:rPr>
      </w:pPr>
      <w:r w:rsidRPr="00B314DB">
        <w:rPr>
          <w:rFonts w:ascii="Abadi" w:eastAsia="Calibri" w:hAnsi="Abadi" w:cs="*Arial-6792-Identity-H"/>
          <w:color w:val="0E0D10"/>
          <w:sz w:val="21"/>
          <w:szCs w:val="21"/>
          <w:lang w:val="es-MX" w:eastAsia="en-US"/>
        </w:rPr>
        <w:t>personas.</w:t>
      </w:r>
    </w:p>
    <w:p w14:paraId="3124B6EB" w14:textId="77777777" w:rsidR="00B314DB" w:rsidRPr="00B314DB" w:rsidRDefault="00B314DB" w:rsidP="00B314DB">
      <w:pPr>
        <w:autoSpaceDE w:val="0"/>
        <w:autoSpaceDN w:val="0"/>
        <w:adjustRightInd w:val="0"/>
        <w:jc w:val="both"/>
        <w:rPr>
          <w:rFonts w:ascii="Abadi" w:eastAsia="Calibri" w:hAnsi="Abadi" w:cs="*Arial-6792-Identity-H"/>
          <w:color w:val="0B0A0D"/>
          <w:sz w:val="21"/>
          <w:szCs w:val="21"/>
          <w:lang w:val="es-MX" w:eastAsia="en-US"/>
        </w:rPr>
      </w:pPr>
    </w:p>
    <w:p w14:paraId="688A150F" w14:textId="6F5B5E46" w:rsidR="00B314DB" w:rsidRPr="00B314DB" w:rsidRDefault="00B314DB" w:rsidP="00B314DB">
      <w:pPr>
        <w:autoSpaceDE w:val="0"/>
        <w:autoSpaceDN w:val="0"/>
        <w:adjustRightInd w:val="0"/>
        <w:ind w:firstLine="708"/>
        <w:jc w:val="both"/>
        <w:rPr>
          <w:rFonts w:ascii="Abadi" w:eastAsia="Calibri" w:hAnsi="Abadi" w:cs="*Arial-6792-Identity-H"/>
          <w:color w:val="0B0A0D"/>
          <w:sz w:val="21"/>
          <w:szCs w:val="21"/>
          <w:lang w:val="es-MX" w:eastAsia="en-US"/>
        </w:rPr>
      </w:pPr>
      <w:r w:rsidRPr="00B314DB">
        <w:rPr>
          <w:rFonts w:ascii="Abadi" w:eastAsia="Calibri" w:hAnsi="Abadi" w:cs="*Arial-6792-Identity-H"/>
          <w:color w:val="0B0A0D"/>
          <w:sz w:val="21"/>
          <w:szCs w:val="21"/>
          <w:lang w:val="es-MX" w:eastAsia="en-US"/>
        </w:rPr>
        <w:t xml:space="preserve">De igual forma, se refiere que el artículo 115, fracción </w:t>
      </w:r>
      <w:r w:rsidR="00AC55F7">
        <w:rPr>
          <w:rFonts w:ascii="Abadi" w:eastAsia="Calibri" w:hAnsi="Abadi" w:cs="*Arial-6792-Identity-H"/>
          <w:color w:val="0B0A0D"/>
          <w:sz w:val="21"/>
          <w:szCs w:val="21"/>
          <w:lang w:val="es-MX" w:eastAsia="en-US"/>
        </w:rPr>
        <w:t>III</w:t>
      </w:r>
      <w:r w:rsidRPr="00B314DB">
        <w:rPr>
          <w:rFonts w:ascii="Abadi" w:eastAsia="Calibri" w:hAnsi="Abadi" w:cs="*Arial-6792-Identity-H"/>
          <w:color w:val="0B0A0D"/>
          <w:sz w:val="21"/>
          <w:szCs w:val="21"/>
          <w:lang w:val="es-MX" w:eastAsia="en-US"/>
        </w:rPr>
        <w:t>, inciso b, de la Constitución Política de los Estados Unidos Mexicanos establece al alumbrado Público</w:t>
      </w:r>
      <w:r w:rsidRPr="00B314DB">
        <w:rPr>
          <w:rFonts w:ascii="Abadi" w:eastAsia="Calibri" w:hAnsi="Abadi" w:cs="*Arial-6792-Identity-H"/>
          <w:color w:val="888888"/>
          <w:sz w:val="21"/>
          <w:szCs w:val="21"/>
          <w:lang w:val="es-MX" w:eastAsia="en-US"/>
        </w:rPr>
        <w:t>.</w:t>
      </w:r>
      <w:r w:rsidR="00BD43B7">
        <w:rPr>
          <w:rFonts w:ascii="Abadi" w:eastAsia="Calibri" w:hAnsi="Abadi" w:cs="*Arial-6792-Identity-H"/>
          <w:color w:val="888888"/>
          <w:sz w:val="21"/>
          <w:szCs w:val="21"/>
          <w:lang w:val="es-MX" w:eastAsia="en-US"/>
        </w:rPr>
        <w:t xml:space="preserve"> </w:t>
      </w:r>
      <w:r w:rsidRPr="00B314DB">
        <w:rPr>
          <w:rFonts w:ascii="Abadi" w:eastAsia="Calibri" w:hAnsi="Abadi" w:cs="*Arial-6792-Identity-H"/>
          <w:color w:val="0B0A0D"/>
          <w:sz w:val="21"/>
          <w:szCs w:val="21"/>
          <w:lang w:val="es-MX" w:eastAsia="en-US"/>
        </w:rPr>
        <w:t>como uno de los servicios públicos que los municipios tienen a su cargo. Por su parte, a nivel local, en el artículo 117 de la Constitución Política para el Estado de Guanajuato se dispone la misma responsabilidad para este ámbito de gobierno.</w:t>
      </w:r>
    </w:p>
    <w:p w14:paraId="607A206E" w14:textId="77777777" w:rsidR="00B314DB" w:rsidRPr="00B314DB" w:rsidRDefault="00B314DB" w:rsidP="00B314DB">
      <w:pPr>
        <w:autoSpaceDE w:val="0"/>
        <w:autoSpaceDN w:val="0"/>
        <w:adjustRightInd w:val="0"/>
        <w:ind w:firstLine="708"/>
        <w:jc w:val="both"/>
        <w:rPr>
          <w:rFonts w:ascii="Abadi" w:eastAsia="Calibri" w:hAnsi="Abadi" w:cs="*Arial-6792-Identity-H"/>
          <w:color w:val="0C0C0E"/>
          <w:sz w:val="21"/>
          <w:szCs w:val="21"/>
          <w:lang w:val="es-MX" w:eastAsia="en-US"/>
        </w:rPr>
      </w:pPr>
      <w:r w:rsidRPr="00B314DB">
        <w:rPr>
          <w:rFonts w:ascii="Abadi" w:eastAsia="Calibri" w:hAnsi="Abadi" w:cs="*Arial-6792-Identity-H"/>
          <w:color w:val="0C0C0E"/>
          <w:sz w:val="21"/>
          <w:szCs w:val="21"/>
          <w:lang w:val="es-MX" w:eastAsia="en-US"/>
        </w:rPr>
        <w:t>En este sentido, el alumbrado público es un servIcI0 que tiene como objetivo el desarrollo de un entorno cómodo y seguro para facilitar la movilidad de la población, el disfrute de la ciudad, del patrimonio cultural y de los espacios públicos; a su vez, mantiene una estrecha relación con la creación de condiciones de seguridad en la vida cotidiana de la población, esto último por considerase un factor que contribuye a reducir la percepción de inseguridad.</w:t>
      </w:r>
    </w:p>
    <w:p w14:paraId="483B00E4" w14:textId="77777777" w:rsidR="00B314DB" w:rsidRPr="00B314DB" w:rsidRDefault="00B314DB" w:rsidP="00B314DB">
      <w:pPr>
        <w:autoSpaceDE w:val="0"/>
        <w:autoSpaceDN w:val="0"/>
        <w:adjustRightInd w:val="0"/>
        <w:jc w:val="both"/>
        <w:rPr>
          <w:rFonts w:ascii="Abadi" w:eastAsia="Calibri" w:hAnsi="Abadi" w:cs="*Arial-6792-Identity-H"/>
          <w:color w:val="0C0C0F"/>
          <w:sz w:val="21"/>
          <w:szCs w:val="21"/>
          <w:lang w:val="es-MX" w:eastAsia="en-US"/>
        </w:rPr>
      </w:pPr>
    </w:p>
    <w:p w14:paraId="1A9DF802" w14:textId="77777777" w:rsidR="00B314DB" w:rsidRPr="00B314DB" w:rsidRDefault="00B314DB" w:rsidP="00B314DB">
      <w:pPr>
        <w:autoSpaceDE w:val="0"/>
        <w:autoSpaceDN w:val="0"/>
        <w:adjustRightInd w:val="0"/>
        <w:ind w:firstLine="708"/>
        <w:jc w:val="both"/>
        <w:rPr>
          <w:rFonts w:ascii="Abadi" w:eastAsia="Calibri" w:hAnsi="Abadi" w:cs="*Arial-6792-Identity-H"/>
          <w:color w:val="0C0C0F"/>
          <w:sz w:val="21"/>
          <w:szCs w:val="21"/>
          <w:lang w:val="es-MX" w:eastAsia="en-US"/>
        </w:rPr>
      </w:pPr>
      <w:r w:rsidRPr="00B314DB">
        <w:rPr>
          <w:rFonts w:ascii="Abadi" w:eastAsia="Calibri" w:hAnsi="Abadi" w:cs="*Arial-6792-Identity-H"/>
          <w:color w:val="0C0C0F"/>
          <w:sz w:val="21"/>
          <w:szCs w:val="21"/>
          <w:lang w:val="es-MX" w:eastAsia="en-US"/>
        </w:rPr>
        <w:t>Derivado de lo anterior, el adecuado desempeño de los servicios públicos incide en la calidad de vida de los habitantes y, por ello, es conveniente que se administre bajo modelos de gestión orientados a los resultados que garanticen su adecuada operación, permanencia, continuidad, uniformidad e igualdad ante los usuarios, asegurando una cobertura integral y una oferta al alcance de la población municipal que lo requiera.</w:t>
      </w:r>
    </w:p>
    <w:p w14:paraId="39401BA6" w14:textId="77777777" w:rsidR="00B314DB" w:rsidRPr="00B314DB" w:rsidRDefault="00B314DB" w:rsidP="00B314DB">
      <w:pPr>
        <w:autoSpaceDE w:val="0"/>
        <w:autoSpaceDN w:val="0"/>
        <w:adjustRightInd w:val="0"/>
        <w:jc w:val="both"/>
        <w:rPr>
          <w:rFonts w:ascii="Abadi" w:eastAsia="Calibri" w:hAnsi="Abadi" w:cs="*Arial-6792-Identity-H"/>
          <w:color w:val="0C0C0F"/>
          <w:sz w:val="21"/>
          <w:szCs w:val="21"/>
          <w:lang w:val="es-MX" w:eastAsia="en-US"/>
        </w:rPr>
      </w:pPr>
    </w:p>
    <w:p w14:paraId="6B718E9C" w14:textId="77777777" w:rsidR="00B314DB" w:rsidRPr="00B314DB" w:rsidRDefault="00B314DB" w:rsidP="00B314DB">
      <w:pPr>
        <w:autoSpaceDE w:val="0"/>
        <w:autoSpaceDN w:val="0"/>
        <w:adjustRightInd w:val="0"/>
        <w:ind w:firstLine="708"/>
        <w:jc w:val="both"/>
        <w:rPr>
          <w:rFonts w:ascii="Abadi" w:eastAsia="Calibri" w:hAnsi="Abadi" w:cs="*Arial-6792-Identity-H"/>
          <w:color w:val="0C0C0F"/>
          <w:sz w:val="21"/>
          <w:szCs w:val="21"/>
          <w:lang w:val="es-MX" w:eastAsia="en-US"/>
        </w:rPr>
      </w:pPr>
      <w:r w:rsidRPr="00B314DB">
        <w:rPr>
          <w:rFonts w:ascii="Abadi" w:eastAsia="Calibri" w:hAnsi="Abadi" w:cs="*Arial-6792-Identity-H"/>
          <w:color w:val="0C0C0F"/>
          <w:sz w:val="21"/>
          <w:szCs w:val="21"/>
          <w:lang w:val="es-MX" w:eastAsia="en-US"/>
        </w:rPr>
        <w:t xml:space="preserve">Es así que en el caso que nos ocupa, se definió el objetivo general de la auditoría con el propósito de verificar la capacidad del municipio de Romita, </w:t>
      </w:r>
      <w:proofErr w:type="spellStart"/>
      <w:r w:rsidRPr="00B314DB">
        <w:rPr>
          <w:rFonts w:ascii="Abadi" w:eastAsia="Calibri" w:hAnsi="Abadi" w:cs="*Arial-6792-Identity-H"/>
          <w:color w:val="0C0C0F"/>
          <w:sz w:val="21"/>
          <w:szCs w:val="21"/>
          <w:lang w:val="es-MX" w:eastAsia="en-US"/>
        </w:rPr>
        <w:t>Gto</w:t>
      </w:r>
      <w:proofErr w:type="spellEnd"/>
      <w:r w:rsidRPr="00B314DB">
        <w:rPr>
          <w:rFonts w:ascii="Abadi" w:eastAsia="Calibri" w:hAnsi="Abadi" w:cs="*Arial-6792-Identity-H"/>
          <w:color w:val="0C0C0F"/>
          <w:sz w:val="21"/>
          <w:szCs w:val="21"/>
          <w:lang w:val="es-MX" w:eastAsia="en-US"/>
        </w:rPr>
        <w:t>., para lograr una prestación eficaz del servicio de alumbrado público a su población, así como de conocer si las funciones de planificación, operación y seguimiento se desarrollaron bajo el principio de eficiencia, ya que de ello depende el grado de satisfacción de la comunidad.</w:t>
      </w:r>
    </w:p>
    <w:p w14:paraId="7E78F8AB" w14:textId="77777777" w:rsidR="00B314DB" w:rsidRPr="00B314DB" w:rsidRDefault="00B314DB" w:rsidP="00B314DB">
      <w:pPr>
        <w:autoSpaceDE w:val="0"/>
        <w:autoSpaceDN w:val="0"/>
        <w:adjustRightInd w:val="0"/>
        <w:jc w:val="both"/>
        <w:rPr>
          <w:rFonts w:ascii="Abadi" w:eastAsia="Calibri" w:hAnsi="Abadi" w:cs="*Arial-6792-Identity-H"/>
          <w:color w:val="0C0C0F"/>
          <w:sz w:val="21"/>
          <w:szCs w:val="21"/>
          <w:lang w:val="es-MX" w:eastAsia="en-US"/>
        </w:rPr>
      </w:pPr>
    </w:p>
    <w:p w14:paraId="01E8BE06" w14:textId="77777777" w:rsidR="00B314DB" w:rsidRPr="00B314DB" w:rsidRDefault="00B314DB" w:rsidP="00B314DB">
      <w:pPr>
        <w:autoSpaceDE w:val="0"/>
        <w:autoSpaceDN w:val="0"/>
        <w:adjustRightInd w:val="0"/>
        <w:ind w:firstLine="708"/>
        <w:jc w:val="both"/>
        <w:rPr>
          <w:rFonts w:ascii="Abadi" w:eastAsia="Calibri" w:hAnsi="Abadi" w:cs="*Arial-7877-Identity-H"/>
          <w:color w:val="0D0D0F"/>
          <w:sz w:val="21"/>
          <w:szCs w:val="21"/>
          <w:lang w:val="es-MX" w:eastAsia="en-US"/>
        </w:rPr>
      </w:pPr>
      <w:r w:rsidRPr="00B314DB">
        <w:rPr>
          <w:rFonts w:ascii="Abadi" w:eastAsia="Calibri" w:hAnsi="Abadi" w:cs="*Arial-7877-Identity-H"/>
          <w:color w:val="0D0D0F"/>
          <w:sz w:val="21"/>
          <w:szCs w:val="21"/>
          <w:lang w:val="es-MX" w:eastAsia="en-US"/>
        </w:rPr>
        <w:t>Para su consecución, las labores de la Auditoría Superior del Estado consideraron la verificación de la existencia de procesos diagnósticos o de planificación que permitieran a la administración municipal conocer la oferta del servicio y las brechas por cubrir, definir la estimación de recursos para una adecuada operación y la definición de metas y objetivos orientados a la mejora del servicio; respecto de la operación, se consideró la verificación del establecimiento de un marco normativo adecuado y vigente, la programación de actividades y su consecución, los mecanismos de atención ciudadana para el reporte de fallas y los resultados en la cobertura, mantenimiento y satisfacción. También se revisaron los mecanismos de monitoreo y evaluación, con el objetivo de analizar el desempeño del Municipio en el otorgamiento del servicio, y verificar la eficiencia y la eficacia del alumbrado público municipal en beneficio de la ciudadanía.</w:t>
      </w:r>
    </w:p>
    <w:p w14:paraId="58CE9012" w14:textId="77777777" w:rsidR="00B314DB" w:rsidRPr="00B314DB" w:rsidRDefault="00B314DB" w:rsidP="00B314DB">
      <w:pPr>
        <w:autoSpaceDE w:val="0"/>
        <w:autoSpaceDN w:val="0"/>
        <w:adjustRightInd w:val="0"/>
        <w:jc w:val="both"/>
        <w:rPr>
          <w:rFonts w:ascii="Abadi" w:eastAsia="Calibri" w:hAnsi="Abadi" w:cs="*Arial-7877-Identity-H"/>
          <w:color w:val="0C0B0E"/>
          <w:sz w:val="21"/>
          <w:szCs w:val="21"/>
          <w:lang w:val="es-MX" w:eastAsia="en-US"/>
        </w:rPr>
      </w:pPr>
    </w:p>
    <w:p w14:paraId="0779DC9C" w14:textId="77777777" w:rsidR="00B314DB" w:rsidRPr="00B314DB" w:rsidRDefault="00B314DB" w:rsidP="00B314DB">
      <w:pPr>
        <w:autoSpaceDE w:val="0"/>
        <w:autoSpaceDN w:val="0"/>
        <w:adjustRightInd w:val="0"/>
        <w:ind w:firstLine="708"/>
        <w:jc w:val="both"/>
        <w:rPr>
          <w:rFonts w:ascii="Abadi" w:eastAsia="Calibri" w:hAnsi="Abadi" w:cs="*Arial-7877-Identity-H"/>
          <w:color w:val="0C0B0E"/>
          <w:sz w:val="21"/>
          <w:szCs w:val="21"/>
          <w:lang w:val="es-MX" w:eastAsia="en-US"/>
        </w:rPr>
      </w:pPr>
      <w:r w:rsidRPr="00B314DB">
        <w:rPr>
          <w:rFonts w:ascii="Abadi" w:eastAsia="Calibri" w:hAnsi="Abadi" w:cs="*Arial-7877-Identity-H"/>
          <w:color w:val="0C0B0E"/>
          <w:sz w:val="21"/>
          <w:szCs w:val="21"/>
          <w:lang w:val="es-MX" w:eastAsia="en-US"/>
        </w:rPr>
        <w:t xml:space="preserve">Asimismo, se hace constar que la administración pública municipal de Romita, </w:t>
      </w:r>
      <w:proofErr w:type="spellStart"/>
      <w:r w:rsidRPr="00B314DB">
        <w:rPr>
          <w:rFonts w:ascii="Abadi" w:eastAsia="Calibri" w:hAnsi="Abadi" w:cs="*Arial-7877-Identity-H"/>
          <w:color w:val="0C0B0E"/>
          <w:sz w:val="21"/>
          <w:szCs w:val="21"/>
          <w:lang w:val="es-MX" w:eastAsia="en-US"/>
        </w:rPr>
        <w:t>Gto</w:t>
      </w:r>
      <w:proofErr w:type="spellEnd"/>
      <w:r w:rsidRPr="00B314DB">
        <w:rPr>
          <w:rFonts w:ascii="Abadi" w:eastAsia="Calibri" w:hAnsi="Abadi" w:cs="*Arial-7877-Identity-H"/>
          <w:color w:val="0C0B0E"/>
          <w:sz w:val="21"/>
          <w:szCs w:val="21"/>
          <w:lang w:val="es-MX" w:eastAsia="en-US"/>
        </w:rPr>
        <w:t xml:space="preserve">., implementó acciones para otorgar el servicio de alumbrado público a la población, destacando su incorporación como una prioridad definida en sus instrumentos de planeación de corto y mediano plazo, al definir acciones tendientes a renovar su sistema de alumbrado público, implementar sistemas ahorradores de luminarias tipo led y capacitar al personal para brindar un mejor servicio a la ciudadanía. En tal sentido, para el cumplimiento de sus objetivos, el sujeto fiscalizado contó con el programa presupuestario denominado </w:t>
      </w:r>
      <w:r w:rsidRPr="00B314DB">
        <w:rPr>
          <w:rFonts w:ascii="Abadi" w:eastAsia="Calibri" w:hAnsi="Abadi" w:cs="*Arial-Italic-7878-Identity-H"/>
          <w:i/>
          <w:iCs/>
          <w:color w:val="0C0B0E"/>
          <w:sz w:val="21"/>
          <w:szCs w:val="21"/>
          <w:lang w:val="es-MX" w:eastAsia="en-US"/>
        </w:rPr>
        <w:t xml:space="preserve">E2320 Alumbrado Público, </w:t>
      </w:r>
      <w:r w:rsidRPr="00B314DB">
        <w:rPr>
          <w:rFonts w:ascii="Abadi" w:eastAsia="Calibri" w:hAnsi="Abadi" w:cs="*Arial-7877-Identity-H"/>
          <w:color w:val="0C0B0E"/>
          <w:sz w:val="21"/>
          <w:szCs w:val="21"/>
          <w:lang w:val="es-MX" w:eastAsia="en-US"/>
        </w:rPr>
        <w:t>y con una matriz de indicadores asociada a dicho programa, en la que se identificaron actividades relativas a: eficiente mantenimiento cambio de lámparas obsoletas; programa de actualización de lámparas fundidas; mayor implementación de una nueva infraestructura de lámparas obsoletas; mayor gestión de recursos financieros para una rehabilitación de infraestructura de redes eléctricas de cableado, entre otras. No obstante, se señala que la gestión del servicio presentó áreas de oportunidad.</w:t>
      </w:r>
    </w:p>
    <w:p w14:paraId="6910FD86" w14:textId="77777777" w:rsidR="00B314DB" w:rsidRPr="00B314DB" w:rsidRDefault="00B314DB" w:rsidP="00B314DB">
      <w:pPr>
        <w:autoSpaceDE w:val="0"/>
        <w:autoSpaceDN w:val="0"/>
        <w:adjustRightInd w:val="0"/>
        <w:jc w:val="both"/>
        <w:rPr>
          <w:rFonts w:ascii="Abadi" w:eastAsia="Calibri" w:hAnsi="Abadi" w:cs="*Arial-7877-Identity-H"/>
          <w:color w:val="0C0B0E"/>
          <w:sz w:val="21"/>
          <w:szCs w:val="21"/>
          <w:lang w:val="es-MX" w:eastAsia="en-US"/>
        </w:rPr>
      </w:pPr>
    </w:p>
    <w:p w14:paraId="4BDAE801" w14:textId="77777777" w:rsidR="00B314DB" w:rsidRPr="00B314DB" w:rsidRDefault="00B314DB" w:rsidP="00B314DB">
      <w:pPr>
        <w:autoSpaceDE w:val="0"/>
        <w:autoSpaceDN w:val="0"/>
        <w:adjustRightInd w:val="0"/>
        <w:ind w:firstLine="708"/>
        <w:jc w:val="both"/>
        <w:rPr>
          <w:rFonts w:ascii="Abadi" w:eastAsia="Calibri" w:hAnsi="Abadi" w:cs="*Arial-7877-Identity-H"/>
          <w:color w:val="0D0D0F"/>
          <w:sz w:val="21"/>
          <w:szCs w:val="21"/>
          <w:lang w:val="es-MX" w:eastAsia="en-US"/>
        </w:rPr>
      </w:pPr>
      <w:r w:rsidRPr="00B314DB">
        <w:rPr>
          <w:rFonts w:ascii="Abadi" w:eastAsia="Calibri" w:hAnsi="Abadi" w:cs="*Arial-7877-Identity-H"/>
          <w:color w:val="0D0D0F"/>
          <w:sz w:val="21"/>
          <w:szCs w:val="21"/>
          <w:lang w:val="es-MX" w:eastAsia="en-US"/>
        </w:rPr>
        <w:t>En cuanto a la gestión de la planificación se establece que el sujeto fiscalizado para 2020 no contó con la información actualizada respecto a la oferta del servicio de alumbrado público brindado a sus habitantes, lo anterior debido a que el sujeto fiscalizado desconoce con exactitud la cantidad de lámparas o luminarias instaladas tanto en la cabecera municipal como en sus localidades, su ubicación (calle, boulevard, avenida o espacio público) así como, la condición en la que se encuentran (en funcionamiento o no), ya que si bien, se presentó información cartográfica sobre algunas comunidades en las que se han instalado lámparas de tecnología led, no se cuenta con información que le permita al sujeto fiscalizado conocer la suficiencia y calidad de las luminarias con la que se presta el servicio de alumbrado público a sus habitantes.</w:t>
      </w:r>
    </w:p>
    <w:p w14:paraId="28033E8A" w14:textId="77777777" w:rsidR="00B314DB" w:rsidRPr="00B314DB" w:rsidRDefault="00B314DB" w:rsidP="00B314DB">
      <w:pPr>
        <w:autoSpaceDE w:val="0"/>
        <w:autoSpaceDN w:val="0"/>
        <w:adjustRightInd w:val="0"/>
        <w:jc w:val="both"/>
        <w:rPr>
          <w:rFonts w:ascii="Abadi" w:eastAsia="Calibri" w:hAnsi="Abadi" w:cs="*Calibri-Bold-7010-Identity-H"/>
          <w:b/>
          <w:bCs/>
          <w:color w:val="10101E"/>
          <w:sz w:val="21"/>
          <w:szCs w:val="21"/>
          <w:lang w:val="es-MX" w:eastAsia="en-US"/>
        </w:rPr>
      </w:pPr>
    </w:p>
    <w:p w14:paraId="1F82F53F" w14:textId="77777777" w:rsidR="00B314DB" w:rsidRPr="00B314DB" w:rsidRDefault="00B314DB" w:rsidP="00B314DB">
      <w:pPr>
        <w:autoSpaceDE w:val="0"/>
        <w:autoSpaceDN w:val="0"/>
        <w:adjustRightInd w:val="0"/>
        <w:ind w:firstLine="708"/>
        <w:jc w:val="both"/>
        <w:rPr>
          <w:rFonts w:ascii="Abadi" w:eastAsia="Calibri" w:hAnsi="Abadi" w:cs="*Arial-7011-Identity-H"/>
          <w:color w:val="0C0B0E"/>
          <w:sz w:val="21"/>
          <w:szCs w:val="21"/>
          <w:lang w:val="es-MX" w:eastAsia="en-US"/>
        </w:rPr>
      </w:pPr>
      <w:r w:rsidRPr="00B314DB">
        <w:rPr>
          <w:rFonts w:ascii="Abadi" w:eastAsia="Calibri" w:hAnsi="Abadi" w:cs="*Arial-7011-Identity-H"/>
          <w:color w:val="0C0B0E"/>
          <w:sz w:val="21"/>
          <w:szCs w:val="21"/>
          <w:lang w:val="es-MX" w:eastAsia="en-US"/>
        </w:rPr>
        <w:t>De igual forma, se constató que el sujeto fiscalizado no dispuso de un sistema de gestión de información que le permitiera generar información, en tiempo real y de manera digitalizada, sobre el inventario de lámparas o luminarias, su estado de funcionamiento, su ubicación, el tipo de tecnología, la potencia y el mantenimiento que se les ha otorgado, entre otros. Además, se identificó que, el Programa de Gobierno 2018-2021, consideró objetivos, estrategias y metas orientadas a obras de infraestructura de alumbrado público y la sustitución paulatina de luminarias tipo led, así como la sustitución de luminarias inservibles en las vialidades del Municipio; objetivos que determinan la prioridad que tiene el alumbrado público para la administración municipal; no obstante se tiene la oportunidad de que este instrumento guarde vinculación con los demás instrumentos de planeación, respecto a la eficiencia del servicio de alumbrado público, así como establecer los indicadores para evaluar el avance y logro de dichas estrategias.</w:t>
      </w:r>
    </w:p>
    <w:p w14:paraId="7E0745CE" w14:textId="77777777" w:rsidR="00B314DB" w:rsidRPr="00B314DB" w:rsidRDefault="00B314DB" w:rsidP="00B314DB">
      <w:pPr>
        <w:autoSpaceDE w:val="0"/>
        <w:autoSpaceDN w:val="0"/>
        <w:adjustRightInd w:val="0"/>
        <w:jc w:val="both"/>
        <w:rPr>
          <w:rFonts w:ascii="Abadi" w:eastAsia="Calibri" w:hAnsi="Abadi" w:cs="*Arial-7011-Identity-H"/>
          <w:color w:val="0D0C0F"/>
          <w:sz w:val="21"/>
          <w:szCs w:val="21"/>
          <w:lang w:val="es-MX" w:eastAsia="en-US"/>
        </w:rPr>
      </w:pPr>
    </w:p>
    <w:p w14:paraId="780DDA75" w14:textId="77777777" w:rsidR="00B314DB" w:rsidRPr="00B314DB" w:rsidRDefault="00B314DB" w:rsidP="00B314DB">
      <w:pPr>
        <w:autoSpaceDE w:val="0"/>
        <w:autoSpaceDN w:val="0"/>
        <w:adjustRightInd w:val="0"/>
        <w:ind w:firstLine="708"/>
        <w:jc w:val="both"/>
        <w:rPr>
          <w:rFonts w:ascii="Abadi" w:eastAsia="Calibri" w:hAnsi="Abadi" w:cs="*Arial-7011-Identity-H"/>
          <w:color w:val="0D0C0F"/>
          <w:sz w:val="21"/>
          <w:szCs w:val="21"/>
          <w:lang w:val="es-MX" w:eastAsia="en-US"/>
        </w:rPr>
      </w:pPr>
      <w:r w:rsidRPr="00B314DB">
        <w:rPr>
          <w:rFonts w:ascii="Abadi" w:eastAsia="Calibri" w:hAnsi="Abadi" w:cs="*Arial-7011-Identity-H"/>
          <w:color w:val="0D0C0F"/>
          <w:sz w:val="21"/>
          <w:szCs w:val="21"/>
          <w:lang w:val="es-MX" w:eastAsia="en-US"/>
        </w:rPr>
        <w:t xml:space="preserve">Por lo que hace a la función de la operación del servicio de alumbrado público, se reconoce que su finalidad es su eficiente y eficaz funcionamiento, de lo cual depende la definición clara de procesos clave y documentos normativos que garanticen su operatividad; de contar con programas anuales orientados a la mejora y de brindar un servicio y una atención de calidad a la población. En este sentido, de la situación observada en la operación del servicio en el municipio de Romita, </w:t>
      </w:r>
      <w:proofErr w:type="spellStart"/>
      <w:r w:rsidRPr="00B314DB">
        <w:rPr>
          <w:rFonts w:ascii="Abadi" w:eastAsia="Calibri" w:hAnsi="Abadi" w:cs="*Arial-7011-Identity-H"/>
          <w:color w:val="0D0C0F"/>
          <w:sz w:val="21"/>
          <w:szCs w:val="21"/>
          <w:lang w:val="es-MX" w:eastAsia="en-US"/>
        </w:rPr>
        <w:t>Gto</w:t>
      </w:r>
      <w:proofErr w:type="spellEnd"/>
      <w:r w:rsidRPr="00B314DB">
        <w:rPr>
          <w:rFonts w:ascii="Abadi" w:eastAsia="Calibri" w:hAnsi="Abadi" w:cs="*Arial-7011-Identity-H"/>
          <w:color w:val="0D0C0F"/>
          <w:sz w:val="21"/>
          <w:szCs w:val="21"/>
          <w:lang w:val="es-MX" w:eastAsia="en-US"/>
        </w:rPr>
        <w:t>., se constató que este contó con un marco normativo para la prestación del servicio, destacando su Manual de Organización y de Procedimientos de la Dirección de Servicios Municipales en el que se identificaron los procesos relacionados para la prestación del servicio de alumbrado público, así como el organigrama respectivo; sin embargo, cuenta con la oportunidad de actualizarse con todos los procesos del área de Alumbrado Público y definir un reglamento específico o fortalecer su reglamento orgánico para la prestación del servicio.</w:t>
      </w:r>
    </w:p>
    <w:p w14:paraId="4682A6A0" w14:textId="77777777" w:rsidR="00B314DB" w:rsidRPr="00B314DB" w:rsidRDefault="00B314DB" w:rsidP="00B314DB">
      <w:pPr>
        <w:autoSpaceDE w:val="0"/>
        <w:autoSpaceDN w:val="0"/>
        <w:adjustRightInd w:val="0"/>
        <w:jc w:val="both"/>
        <w:rPr>
          <w:rFonts w:ascii="Abadi" w:eastAsia="Calibri" w:hAnsi="Abadi" w:cs="*Arial-7011-Identity-H"/>
          <w:color w:val="0D0C0F"/>
          <w:sz w:val="21"/>
          <w:szCs w:val="21"/>
          <w:lang w:val="es-MX" w:eastAsia="en-US"/>
        </w:rPr>
      </w:pPr>
    </w:p>
    <w:p w14:paraId="1D3F262A" w14:textId="310E1603" w:rsidR="00B314DB" w:rsidRDefault="00B314DB" w:rsidP="00B314DB">
      <w:pPr>
        <w:autoSpaceDE w:val="0"/>
        <w:autoSpaceDN w:val="0"/>
        <w:adjustRightInd w:val="0"/>
        <w:ind w:firstLine="708"/>
        <w:jc w:val="both"/>
        <w:rPr>
          <w:rFonts w:ascii="Abadi" w:eastAsia="Calibri" w:hAnsi="Abadi" w:cs="*Arial-7011-Identity-H"/>
          <w:color w:val="0C0B0E"/>
          <w:sz w:val="21"/>
          <w:szCs w:val="21"/>
          <w:lang w:val="es-MX" w:eastAsia="en-US"/>
        </w:rPr>
      </w:pPr>
      <w:r w:rsidRPr="00B314DB">
        <w:rPr>
          <w:rFonts w:ascii="Abadi" w:eastAsia="Calibri" w:hAnsi="Abadi" w:cs="*Arial-7011-Identity-H"/>
          <w:color w:val="0C0B0E"/>
          <w:sz w:val="21"/>
          <w:szCs w:val="21"/>
          <w:lang w:val="es-MX" w:eastAsia="en-US"/>
        </w:rPr>
        <w:t>Por otra parte, se señala que el sujeto fiscalizado no elaboró un Programa Operativo Anual -POA- en el que se identifiquen los proyectos de inversión, sus actividades, cronograma, presupuesto, indicadores, alineación con los instrumentos de planeación, entre otros; no obstante, dispuso de una Matriz de Indicadores para Resultados en la que se identificaron actividades inherentes a la prestación del servicio de alumbrado público.</w:t>
      </w:r>
    </w:p>
    <w:p w14:paraId="046F3CFF" w14:textId="77777777" w:rsidR="001D332E" w:rsidRPr="00B314DB" w:rsidRDefault="001D332E" w:rsidP="00B314DB">
      <w:pPr>
        <w:autoSpaceDE w:val="0"/>
        <w:autoSpaceDN w:val="0"/>
        <w:adjustRightInd w:val="0"/>
        <w:ind w:firstLine="708"/>
        <w:jc w:val="both"/>
        <w:rPr>
          <w:rFonts w:ascii="Abadi" w:eastAsia="Calibri" w:hAnsi="Abadi" w:cs="*Arial-7011-Identity-H"/>
          <w:color w:val="0C0B0E"/>
          <w:sz w:val="21"/>
          <w:szCs w:val="21"/>
          <w:lang w:val="es-MX" w:eastAsia="en-US"/>
        </w:rPr>
      </w:pPr>
    </w:p>
    <w:p w14:paraId="1AA7CB2A" w14:textId="77777777" w:rsidR="00B314DB" w:rsidRPr="00B314DB" w:rsidRDefault="00B314DB" w:rsidP="00B314DB">
      <w:pPr>
        <w:autoSpaceDE w:val="0"/>
        <w:autoSpaceDN w:val="0"/>
        <w:adjustRightInd w:val="0"/>
        <w:ind w:firstLine="708"/>
        <w:jc w:val="both"/>
        <w:rPr>
          <w:rFonts w:ascii="Abadi" w:eastAsia="Calibri" w:hAnsi="Abadi" w:cs="*Arial-6611-Identity-H"/>
          <w:color w:val="0C0C0F"/>
          <w:sz w:val="21"/>
          <w:szCs w:val="21"/>
          <w:lang w:val="es-MX" w:eastAsia="en-US"/>
        </w:rPr>
      </w:pPr>
      <w:r w:rsidRPr="00B314DB">
        <w:rPr>
          <w:rFonts w:ascii="Abadi" w:eastAsia="Calibri" w:hAnsi="Abadi" w:cs="*Arial-6611-Identity-H"/>
          <w:color w:val="0C0C0F"/>
          <w:sz w:val="21"/>
          <w:szCs w:val="21"/>
          <w:lang w:val="es-MX" w:eastAsia="en-US"/>
        </w:rPr>
        <w:t>En relación a la capacidad del sujeto fiscalizado para garantizar una prestación permanente y efectiva del servicio de alumbrado público, se analizó la calidad de la información relativa a los logros en materia de mantenimiento, así como la correspondiente a la cobertura y satisfacción ciudadana, observándose que el sujeto fiscalizado realizó acciones de mantenimiento correctivo para atender los reportes de fallas, identificando la totalidad de mantenimientos realizados pero teniendo la oportunidad de sistematizarlo de manera que le permita conocer la incidencia según la ubicación de las luminarias; así como de realizar mantenimiento preventivo a fin de disponer de información que le permita prevenir posibles fallas en el servicio de alumbrado público.</w:t>
      </w:r>
    </w:p>
    <w:p w14:paraId="3229BCB0" w14:textId="77777777" w:rsidR="00B314DB" w:rsidRPr="00B314DB" w:rsidRDefault="00B314DB" w:rsidP="00B314DB">
      <w:pPr>
        <w:autoSpaceDE w:val="0"/>
        <w:autoSpaceDN w:val="0"/>
        <w:adjustRightInd w:val="0"/>
        <w:jc w:val="both"/>
        <w:rPr>
          <w:rFonts w:ascii="Abadi" w:eastAsia="Calibri" w:hAnsi="Abadi" w:cs="*Arial-6611-Identity-H"/>
          <w:color w:val="0D0C0F"/>
          <w:sz w:val="21"/>
          <w:szCs w:val="21"/>
          <w:lang w:val="es-MX" w:eastAsia="en-US"/>
        </w:rPr>
      </w:pPr>
    </w:p>
    <w:p w14:paraId="063868C8" w14:textId="3A83B630" w:rsidR="00B314DB" w:rsidRDefault="00B314DB" w:rsidP="00B314DB">
      <w:pPr>
        <w:autoSpaceDE w:val="0"/>
        <w:autoSpaceDN w:val="0"/>
        <w:adjustRightInd w:val="0"/>
        <w:ind w:firstLine="708"/>
        <w:jc w:val="both"/>
        <w:rPr>
          <w:rFonts w:ascii="Abadi" w:eastAsia="Calibri" w:hAnsi="Abadi" w:cs="*Arial-6611-Identity-H"/>
          <w:color w:val="0D0D0E"/>
          <w:sz w:val="21"/>
          <w:szCs w:val="21"/>
          <w:lang w:val="es-MX" w:eastAsia="en-US"/>
        </w:rPr>
      </w:pPr>
      <w:r w:rsidRPr="00B314DB">
        <w:rPr>
          <w:rFonts w:ascii="Abadi" w:eastAsia="Calibri" w:hAnsi="Abadi" w:cs="*Arial-6611-Identity-H"/>
          <w:color w:val="0D0C0F"/>
          <w:sz w:val="21"/>
          <w:szCs w:val="21"/>
          <w:lang w:val="es-MX" w:eastAsia="en-US"/>
        </w:rPr>
        <w:t xml:space="preserve">Respecto a la satisfacción ciudadana, el sujeto fiscalizado acreditó la existencia de un mecanismo (encuesta) a través del cual puede conocer la opinión del ciudadano en términos de la satisfacción de todos los servicios públicos municipales; sin embargo, se tiene la oportunidad de fortalecer dicho instrumento, respecto a la estructuración de las preguntas y la metodología utilizada para la selección de la muestra, que le permitan conocer el grado de satisfacción del usuario respecto del servicio recibido y así incentivar la colaboración conjunta entre ciudadanía y gobierno en la toma de decisiones para la mejora del </w:t>
      </w:r>
      <w:r w:rsidRPr="00B314DB">
        <w:rPr>
          <w:rFonts w:ascii="Abadi" w:eastAsia="Calibri" w:hAnsi="Abadi" w:cs="*Arial-6611-Identity-H"/>
          <w:color w:val="0D0D0E"/>
          <w:sz w:val="21"/>
          <w:szCs w:val="21"/>
          <w:lang w:val="es-MX" w:eastAsia="en-US"/>
        </w:rPr>
        <w:t>desempeño gubernamental.</w:t>
      </w:r>
    </w:p>
    <w:p w14:paraId="69F12813" w14:textId="77777777" w:rsidR="001D332E" w:rsidRPr="00B314DB" w:rsidRDefault="001D332E" w:rsidP="00B314DB">
      <w:pPr>
        <w:autoSpaceDE w:val="0"/>
        <w:autoSpaceDN w:val="0"/>
        <w:adjustRightInd w:val="0"/>
        <w:ind w:firstLine="708"/>
        <w:jc w:val="both"/>
        <w:rPr>
          <w:rFonts w:ascii="Abadi" w:eastAsia="Calibri" w:hAnsi="Abadi" w:cs="*Arial-6611-Identity-H"/>
          <w:color w:val="0D0C0F"/>
          <w:sz w:val="21"/>
          <w:szCs w:val="21"/>
          <w:lang w:val="es-MX" w:eastAsia="en-US"/>
        </w:rPr>
      </w:pPr>
    </w:p>
    <w:p w14:paraId="71006D6E" w14:textId="77777777" w:rsidR="00B314DB" w:rsidRPr="00B314DB" w:rsidRDefault="00B314DB" w:rsidP="00B314DB">
      <w:pPr>
        <w:autoSpaceDE w:val="0"/>
        <w:autoSpaceDN w:val="0"/>
        <w:adjustRightInd w:val="0"/>
        <w:ind w:firstLine="708"/>
        <w:jc w:val="both"/>
        <w:rPr>
          <w:rFonts w:ascii="Abadi" w:eastAsia="Calibri" w:hAnsi="Abadi" w:cs="*Arial-6611-Identity-H"/>
          <w:color w:val="0C0C0F"/>
          <w:sz w:val="21"/>
          <w:szCs w:val="21"/>
          <w:lang w:val="es-MX" w:eastAsia="en-US"/>
        </w:rPr>
      </w:pPr>
      <w:r w:rsidRPr="00B314DB">
        <w:rPr>
          <w:rFonts w:ascii="Abadi" w:eastAsia="Calibri" w:hAnsi="Abadi" w:cs="*Arial-6611-Identity-H"/>
          <w:color w:val="0C0C0F"/>
          <w:sz w:val="21"/>
          <w:szCs w:val="21"/>
          <w:lang w:val="es-MX" w:eastAsia="en-US"/>
        </w:rPr>
        <w:t>En el caso de la función de seguimiento, la revisión se enfocó en constatar si el sujeto fiscalizado contó con mecanismos que permitieran medir el desempeño y los resultados del servicio de alumbrado público, obteniendo como principal hallazgo que la instancia responsable diseñó e implementó una Matriz de Indicadores para Resultados, lo cual representa un avance en la medición de sus objetivos y un compromiso con el impulso de la mejora continua; sin embargo, es necesario que los indicadores cumplan con los criterios establecidos en la normativa aplicable.</w:t>
      </w:r>
    </w:p>
    <w:p w14:paraId="38731204" w14:textId="77777777" w:rsidR="00B314DB" w:rsidRPr="00B314DB" w:rsidRDefault="00B314DB" w:rsidP="00B314DB">
      <w:pPr>
        <w:autoSpaceDE w:val="0"/>
        <w:autoSpaceDN w:val="0"/>
        <w:adjustRightInd w:val="0"/>
        <w:jc w:val="both"/>
        <w:rPr>
          <w:rFonts w:ascii="Abadi" w:eastAsia="Calibri" w:hAnsi="Abadi" w:cs="*Arial-6611-Identity-H"/>
          <w:color w:val="0C0C0E"/>
          <w:sz w:val="21"/>
          <w:szCs w:val="21"/>
          <w:lang w:val="es-MX" w:eastAsia="en-US"/>
        </w:rPr>
      </w:pPr>
    </w:p>
    <w:p w14:paraId="31870370" w14:textId="77777777" w:rsidR="00B314DB" w:rsidRPr="00B314DB" w:rsidRDefault="00B314DB" w:rsidP="00B314DB">
      <w:pPr>
        <w:autoSpaceDE w:val="0"/>
        <w:autoSpaceDN w:val="0"/>
        <w:adjustRightInd w:val="0"/>
        <w:ind w:firstLine="708"/>
        <w:jc w:val="both"/>
        <w:rPr>
          <w:rFonts w:ascii="Abadi" w:eastAsia="Calibri" w:hAnsi="Abadi" w:cs="*Arial-6611-Identity-H"/>
          <w:color w:val="0C0C0E"/>
          <w:sz w:val="21"/>
          <w:szCs w:val="21"/>
          <w:lang w:val="es-MX" w:eastAsia="en-US"/>
        </w:rPr>
      </w:pPr>
      <w:r w:rsidRPr="00B314DB">
        <w:rPr>
          <w:rFonts w:ascii="Abadi" w:eastAsia="Calibri" w:hAnsi="Abadi" w:cs="*Arial-6611-Identity-H"/>
          <w:color w:val="0C0C0E"/>
          <w:sz w:val="21"/>
          <w:szCs w:val="21"/>
          <w:lang w:val="es-MX" w:eastAsia="en-US"/>
        </w:rPr>
        <w:t xml:space="preserve">Derivado de lo anterior, se establece que no fue posible determinar la eficacia en el otorgamiento del servicio de alumbrado público en el municipio de Romita, </w:t>
      </w:r>
      <w:proofErr w:type="spellStart"/>
      <w:r w:rsidRPr="00B314DB">
        <w:rPr>
          <w:rFonts w:ascii="Abadi" w:eastAsia="Calibri" w:hAnsi="Abadi" w:cs="*Arial-6611-Identity-H"/>
          <w:color w:val="0C0C0E"/>
          <w:sz w:val="21"/>
          <w:szCs w:val="21"/>
          <w:lang w:val="es-MX" w:eastAsia="en-US"/>
        </w:rPr>
        <w:t>Gto</w:t>
      </w:r>
      <w:proofErr w:type="spellEnd"/>
      <w:r w:rsidRPr="00B314DB">
        <w:rPr>
          <w:rFonts w:ascii="Abadi" w:eastAsia="Calibri" w:hAnsi="Abadi" w:cs="*Arial-6611-Identity-H"/>
          <w:color w:val="0C0C0E"/>
          <w:sz w:val="21"/>
          <w:szCs w:val="21"/>
          <w:lang w:val="es-MX" w:eastAsia="en-US"/>
        </w:rPr>
        <w:t>. Sin embargo, ante las oportunidades señaladas, se reconoce que el sujeto fiscalizado muestra una postura tendiente a mejorar el entorno de la planificación, operación y control de la prestación del servicio de alumbrado público, al presentar acciones para incidir en la mejora de las brechas identificadas.</w:t>
      </w:r>
    </w:p>
    <w:p w14:paraId="239BAD51" w14:textId="77777777" w:rsidR="00B314DB" w:rsidRPr="00B314DB" w:rsidRDefault="00B314DB" w:rsidP="00B314DB">
      <w:pPr>
        <w:autoSpaceDE w:val="0"/>
        <w:autoSpaceDN w:val="0"/>
        <w:adjustRightInd w:val="0"/>
        <w:jc w:val="both"/>
        <w:rPr>
          <w:rFonts w:ascii="Abadi" w:eastAsia="Calibri" w:hAnsi="Abadi" w:cs="*Arial-5811-Identity-H"/>
          <w:color w:val="0D0C0F"/>
          <w:sz w:val="21"/>
          <w:szCs w:val="21"/>
          <w:lang w:val="es-MX" w:eastAsia="en-US"/>
        </w:rPr>
      </w:pPr>
    </w:p>
    <w:p w14:paraId="2654B6CC" w14:textId="77777777" w:rsidR="00B314DB" w:rsidRPr="00B314DB" w:rsidRDefault="00B314DB" w:rsidP="00B314DB">
      <w:pPr>
        <w:autoSpaceDE w:val="0"/>
        <w:autoSpaceDN w:val="0"/>
        <w:adjustRightInd w:val="0"/>
        <w:ind w:firstLine="708"/>
        <w:jc w:val="both"/>
        <w:rPr>
          <w:rFonts w:ascii="Abadi" w:eastAsia="Calibri" w:hAnsi="Abadi" w:cs="*Arial-5811-Identity-H"/>
          <w:color w:val="0D0C0F"/>
          <w:sz w:val="21"/>
          <w:szCs w:val="21"/>
          <w:lang w:val="es-MX" w:eastAsia="en-US"/>
        </w:rPr>
      </w:pPr>
      <w:r w:rsidRPr="00B314DB">
        <w:rPr>
          <w:rFonts w:ascii="Abadi" w:eastAsia="Calibri" w:hAnsi="Abadi" w:cs="*Arial-5811-Identity-H"/>
          <w:color w:val="0D0C0F"/>
          <w:sz w:val="21"/>
          <w:szCs w:val="21"/>
          <w:lang w:val="es-MX" w:eastAsia="en-US"/>
        </w:rPr>
        <w:t>Dicha Matriz de Indicadores para Resultados, contiene objetivos alineados a la planeación de mediano plazo; sin embargo, presentó la oportunidad de fortalecerla principalmente en su resumen narrativo de los objetivos a nivel de fin y de propósito, así como de los indicadores planteados.</w:t>
      </w:r>
    </w:p>
    <w:p w14:paraId="1AF576B2" w14:textId="77777777" w:rsidR="00B314DB" w:rsidRPr="00B314DB" w:rsidRDefault="00B314DB" w:rsidP="00B314DB">
      <w:pPr>
        <w:autoSpaceDE w:val="0"/>
        <w:autoSpaceDN w:val="0"/>
        <w:adjustRightInd w:val="0"/>
        <w:jc w:val="both"/>
        <w:rPr>
          <w:rFonts w:ascii="Abadi" w:eastAsia="Calibri" w:hAnsi="Abadi" w:cs="*Arial-5811-Identity-H"/>
          <w:color w:val="0C0C0F"/>
          <w:sz w:val="21"/>
          <w:szCs w:val="21"/>
          <w:lang w:val="es-MX" w:eastAsia="en-US"/>
        </w:rPr>
      </w:pPr>
    </w:p>
    <w:p w14:paraId="55D7422F" w14:textId="77777777" w:rsidR="00B314DB" w:rsidRPr="00B314DB" w:rsidRDefault="00B314DB" w:rsidP="00B314DB">
      <w:pPr>
        <w:autoSpaceDE w:val="0"/>
        <w:autoSpaceDN w:val="0"/>
        <w:adjustRightInd w:val="0"/>
        <w:ind w:firstLine="708"/>
        <w:jc w:val="both"/>
        <w:rPr>
          <w:rFonts w:ascii="Abadi" w:eastAsia="Calibri" w:hAnsi="Abadi" w:cs="*Arial-5811-Identity-H"/>
          <w:color w:val="0C0C0F"/>
          <w:sz w:val="21"/>
          <w:szCs w:val="21"/>
          <w:lang w:val="es-MX" w:eastAsia="en-US"/>
        </w:rPr>
      </w:pPr>
      <w:r w:rsidRPr="00B314DB">
        <w:rPr>
          <w:rFonts w:ascii="Abadi" w:eastAsia="Calibri" w:hAnsi="Abadi" w:cs="*Arial-5811-Identity-H"/>
          <w:color w:val="0C0C0F"/>
          <w:sz w:val="21"/>
          <w:szCs w:val="21"/>
          <w:lang w:val="es-MX" w:eastAsia="en-US"/>
        </w:rPr>
        <w:t xml:space="preserve">Derivado de lo anterior, no fue posible determinar la eficacia en el otorgamiento del servicio de alumbrado público en el municipio de Romita, </w:t>
      </w:r>
      <w:proofErr w:type="spellStart"/>
      <w:r w:rsidRPr="00B314DB">
        <w:rPr>
          <w:rFonts w:ascii="Abadi" w:eastAsia="Calibri" w:hAnsi="Abadi" w:cs="*Arial-5811-Identity-H"/>
          <w:color w:val="0C0C0F"/>
          <w:sz w:val="21"/>
          <w:szCs w:val="21"/>
          <w:lang w:val="es-MX" w:eastAsia="en-US"/>
        </w:rPr>
        <w:t>Gto</w:t>
      </w:r>
      <w:proofErr w:type="spellEnd"/>
      <w:r w:rsidRPr="00B314DB">
        <w:rPr>
          <w:rFonts w:ascii="Abadi" w:eastAsia="Calibri" w:hAnsi="Abadi" w:cs="*Arial-5811-Identity-H"/>
          <w:color w:val="0C0C0F"/>
          <w:sz w:val="21"/>
          <w:szCs w:val="21"/>
          <w:lang w:val="es-MX" w:eastAsia="en-US"/>
        </w:rPr>
        <w:t>., toda vez que el mecanismo utilizado por el sujeto fiscalizado para la obtención de información presentó deficiencias en la integración de los datos, así como información insuficiente que diera cuenta del grado del cumplimiento de los objetivos en la prestación del servicio de alumbrado público.</w:t>
      </w:r>
    </w:p>
    <w:p w14:paraId="3E12F5C4" w14:textId="77777777" w:rsidR="00B314DB" w:rsidRPr="00B314DB" w:rsidRDefault="00B314DB" w:rsidP="00B314DB">
      <w:pPr>
        <w:autoSpaceDE w:val="0"/>
        <w:autoSpaceDN w:val="0"/>
        <w:adjustRightInd w:val="0"/>
        <w:jc w:val="both"/>
        <w:rPr>
          <w:rFonts w:ascii="Abadi" w:eastAsia="Calibri" w:hAnsi="Abadi" w:cs="*Arial-5811-Identity-H"/>
          <w:color w:val="0D0C0F"/>
          <w:sz w:val="21"/>
          <w:szCs w:val="21"/>
          <w:lang w:val="es-MX" w:eastAsia="en-US"/>
        </w:rPr>
      </w:pPr>
    </w:p>
    <w:p w14:paraId="5A39C25E" w14:textId="77777777" w:rsidR="001D332E" w:rsidRDefault="001D332E" w:rsidP="00B314DB">
      <w:pPr>
        <w:autoSpaceDE w:val="0"/>
        <w:autoSpaceDN w:val="0"/>
        <w:adjustRightInd w:val="0"/>
        <w:ind w:firstLine="708"/>
        <w:jc w:val="both"/>
        <w:rPr>
          <w:rFonts w:ascii="Abadi" w:eastAsia="Calibri" w:hAnsi="Abadi" w:cs="*Arial-5811-Identity-H"/>
          <w:color w:val="0D0C0F"/>
          <w:sz w:val="21"/>
          <w:szCs w:val="21"/>
          <w:lang w:val="es-MX" w:eastAsia="en-US"/>
        </w:rPr>
      </w:pPr>
    </w:p>
    <w:p w14:paraId="786B413B" w14:textId="639B5C88" w:rsidR="00B314DB" w:rsidRPr="00B314DB" w:rsidRDefault="00B314DB" w:rsidP="00B314DB">
      <w:pPr>
        <w:autoSpaceDE w:val="0"/>
        <w:autoSpaceDN w:val="0"/>
        <w:adjustRightInd w:val="0"/>
        <w:ind w:firstLine="708"/>
        <w:jc w:val="both"/>
        <w:rPr>
          <w:rFonts w:ascii="Abadi" w:eastAsia="Calibri" w:hAnsi="Abadi" w:cs="*Arial-5811-Identity-H"/>
          <w:color w:val="0D0C0F"/>
          <w:sz w:val="21"/>
          <w:szCs w:val="21"/>
          <w:lang w:val="es-MX" w:eastAsia="en-US"/>
        </w:rPr>
      </w:pPr>
      <w:r w:rsidRPr="00B314DB">
        <w:rPr>
          <w:rFonts w:ascii="Abadi" w:eastAsia="Calibri" w:hAnsi="Abadi" w:cs="*Arial-5811-Identity-H"/>
          <w:color w:val="0D0C0F"/>
          <w:sz w:val="21"/>
          <w:szCs w:val="21"/>
          <w:lang w:val="es-MX" w:eastAsia="en-US"/>
        </w:rPr>
        <w:t>Ante las oportunidades señaladas, se reconoce que el sujeto fiscalizado muestra una postura general de aceptación, tendiente a la realización de acciones para fortalecer la gestión del servicio de alumbrado público, principalmente basadas en la definición de compromisos establecidos por la administración municipal.</w:t>
      </w:r>
    </w:p>
    <w:p w14:paraId="45B27D41" w14:textId="77777777" w:rsidR="00B314DB" w:rsidRPr="00B314DB" w:rsidRDefault="00B314DB" w:rsidP="00B314DB">
      <w:pPr>
        <w:autoSpaceDE w:val="0"/>
        <w:autoSpaceDN w:val="0"/>
        <w:adjustRightInd w:val="0"/>
        <w:jc w:val="both"/>
        <w:rPr>
          <w:rFonts w:ascii="Abadi" w:eastAsia="Calibri" w:hAnsi="Abadi" w:cs="*Arial-5811-Identity-H"/>
          <w:color w:val="0D0C0F"/>
          <w:sz w:val="21"/>
          <w:szCs w:val="21"/>
          <w:lang w:val="es-MX" w:eastAsia="en-US"/>
        </w:rPr>
      </w:pPr>
    </w:p>
    <w:p w14:paraId="6B7BF429" w14:textId="77777777" w:rsidR="00B314DB" w:rsidRPr="00B314DB" w:rsidRDefault="00B314DB" w:rsidP="00B314DB">
      <w:pPr>
        <w:autoSpaceDE w:val="0"/>
        <w:autoSpaceDN w:val="0"/>
        <w:adjustRightInd w:val="0"/>
        <w:ind w:firstLine="708"/>
        <w:jc w:val="both"/>
        <w:rPr>
          <w:rFonts w:ascii="Abadi" w:eastAsia="Calibri" w:hAnsi="Abadi" w:cs="*Arial-5811-Identity-H"/>
          <w:color w:val="0C0C0F"/>
          <w:sz w:val="21"/>
          <w:szCs w:val="21"/>
          <w:lang w:val="es-MX" w:eastAsia="en-US"/>
        </w:rPr>
      </w:pPr>
      <w:r w:rsidRPr="00B314DB">
        <w:rPr>
          <w:rFonts w:ascii="Abadi" w:eastAsia="Calibri" w:hAnsi="Abadi" w:cs="*Arial-5811-Identity-H"/>
          <w:color w:val="0C0C0F"/>
          <w:sz w:val="21"/>
          <w:szCs w:val="21"/>
          <w:lang w:val="es-MX" w:eastAsia="en-US"/>
        </w:rPr>
        <w:t>Finalmente, se señala que el seguimiento de dichos compromisos se realizará por la Auditoría Superior del Estado, respecto de las recomendaciones donde se valora que el sujeto fiscalizado realizará acciones de mejora en un plazo determinado hasta su total implementación, acorde a la normativa aplicable.</w:t>
      </w:r>
    </w:p>
    <w:p w14:paraId="0D52C906" w14:textId="77777777" w:rsidR="00B314DB" w:rsidRPr="00B314DB" w:rsidRDefault="00B314DB" w:rsidP="00B314DB">
      <w:pPr>
        <w:autoSpaceDE w:val="0"/>
        <w:autoSpaceDN w:val="0"/>
        <w:adjustRightInd w:val="0"/>
        <w:jc w:val="both"/>
        <w:rPr>
          <w:rFonts w:ascii="Abadi" w:eastAsia="Calibri" w:hAnsi="Abadi" w:cs="*Arial-Bold-5812-Identity-H"/>
          <w:b/>
          <w:bCs/>
          <w:color w:val="0C0A0F"/>
          <w:sz w:val="21"/>
          <w:szCs w:val="21"/>
          <w:lang w:val="es-MX" w:eastAsia="en-US"/>
        </w:rPr>
      </w:pPr>
    </w:p>
    <w:p w14:paraId="3BF6B609" w14:textId="77777777" w:rsidR="00B314DB" w:rsidRPr="00B314DB" w:rsidRDefault="00B314DB" w:rsidP="00B314DB">
      <w:pPr>
        <w:autoSpaceDE w:val="0"/>
        <w:autoSpaceDN w:val="0"/>
        <w:adjustRightInd w:val="0"/>
        <w:ind w:firstLine="708"/>
        <w:jc w:val="both"/>
        <w:rPr>
          <w:rFonts w:ascii="Abadi" w:eastAsia="Calibri" w:hAnsi="Abadi" w:cs="*Arial-Bold-5812-Identity-H"/>
          <w:b/>
          <w:bCs/>
          <w:color w:val="0C0A0F"/>
          <w:sz w:val="21"/>
          <w:szCs w:val="21"/>
          <w:lang w:val="es-MX" w:eastAsia="en-US"/>
        </w:rPr>
      </w:pPr>
      <w:r w:rsidRPr="00B314DB">
        <w:rPr>
          <w:rFonts w:ascii="Abadi" w:eastAsia="Calibri" w:hAnsi="Abadi" w:cs="*Arial-Bold-5812-Identity-H"/>
          <w:b/>
          <w:bCs/>
          <w:color w:val="0C0A0F"/>
          <w:sz w:val="21"/>
          <w:szCs w:val="21"/>
          <w:lang w:val="es-MX" w:eastAsia="en-US"/>
        </w:rPr>
        <w:t>V. Conclusiones:</w:t>
      </w:r>
    </w:p>
    <w:p w14:paraId="02B23C5C" w14:textId="77777777" w:rsidR="00B314DB" w:rsidRPr="00B314DB" w:rsidRDefault="00B314DB" w:rsidP="00B314DB">
      <w:pPr>
        <w:autoSpaceDE w:val="0"/>
        <w:autoSpaceDN w:val="0"/>
        <w:adjustRightInd w:val="0"/>
        <w:jc w:val="both"/>
        <w:rPr>
          <w:rFonts w:ascii="Abadi" w:eastAsia="Calibri" w:hAnsi="Abadi" w:cs="*Arial-5811-Identity-H"/>
          <w:color w:val="0D0D0F"/>
          <w:sz w:val="21"/>
          <w:szCs w:val="21"/>
          <w:lang w:val="es-MX" w:eastAsia="en-US"/>
        </w:rPr>
      </w:pPr>
    </w:p>
    <w:p w14:paraId="0AC234AC" w14:textId="77777777" w:rsidR="00B314DB" w:rsidRPr="00B314DB" w:rsidRDefault="00B314DB" w:rsidP="00B314DB">
      <w:pPr>
        <w:autoSpaceDE w:val="0"/>
        <w:autoSpaceDN w:val="0"/>
        <w:adjustRightInd w:val="0"/>
        <w:ind w:firstLine="708"/>
        <w:jc w:val="both"/>
        <w:rPr>
          <w:rFonts w:ascii="Abadi" w:eastAsia="Calibri" w:hAnsi="Abadi" w:cs="*Arial-5811-Identity-H"/>
          <w:color w:val="0D0D0F"/>
          <w:sz w:val="21"/>
          <w:szCs w:val="21"/>
          <w:lang w:val="es-MX" w:eastAsia="en-US"/>
        </w:rPr>
      </w:pPr>
      <w:r w:rsidRPr="00B314DB">
        <w:rPr>
          <w:rFonts w:ascii="Abadi" w:eastAsia="Calibri" w:hAnsi="Abadi" w:cs="*Arial-5811-Identity-H"/>
          <w:color w:val="0D0D0F"/>
          <w:sz w:val="21"/>
          <w:szCs w:val="21"/>
          <w:lang w:val="es-MX" w:eastAsia="en-US"/>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576B5425" w14:textId="77777777" w:rsidR="00B314DB" w:rsidRPr="00B314DB" w:rsidRDefault="00B314DB" w:rsidP="00B314DB">
      <w:pPr>
        <w:autoSpaceDE w:val="0"/>
        <w:autoSpaceDN w:val="0"/>
        <w:adjustRightInd w:val="0"/>
        <w:jc w:val="both"/>
        <w:rPr>
          <w:rFonts w:ascii="Abadi" w:eastAsia="Calibri" w:hAnsi="Abadi" w:cs="*Arial-5811-Identity-H"/>
          <w:color w:val="0E0E11"/>
          <w:sz w:val="21"/>
          <w:szCs w:val="21"/>
          <w:lang w:val="es-MX" w:eastAsia="en-US"/>
        </w:rPr>
      </w:pPr>
    </w:p>
    <w:p w14:paraId="4B87FFF9" w14:textId="77777777" w:rsidR="00B314DB" w:rsidRPr="00B314DB" w:rsidRDefault="00B314DB" w:rsidP="00B314DB">
      <w:pPr>
        <w:autoSpaceDE w:val="0"/>
        <w:autoSpaceDN w:val="0"/>
        <w:adjustRightInd w:val="0"/>
        <w:ind w:firstLine="708"/>
        <w:jc w:val="both"/>
        <w:rPr>
          <w:rFonts w:ascii="Abadi" w:eastAsia="Calibri" w:hAnsi="Abadi" w:cs="*Arial-5811-Identity-H"/>
          <w:color w:val="0E0E11"/>
          <w:sz w:val="21"/>
          <w:szCs w:val="21"/>
          <w:lang w:val="es-MX" w:eastAsia="en-US"/>
        </w:rPr>
      </w:pPr>
      <w:r w:rsidRPr="00B314DB">
        <w:rPr>
          <w:rFonts w:ascii="Abadi" w:eastAsia="Calibri" w:hAnsi="Abadi" w:cs="*Arial-5811-Identity-H"/>
          <w:color w:val="0E0E11"/>
          <w:sz w:val="21"/>
          <w:szCs w:val="21"/>
          <w:lang w:val="es-MX" w:eastAsia="en-US"/>
        </w:rPr>
        <w:t>En este sentido, quienes integramos esta Comisión analizamos el informe de resultados materia del presente dictamen, considerando la hipótesis referida en el precepto anteriormente señalado.</w:t>
      </w:r>
    </w:p>
    <w:p w14:paraId="3B73DDA2" w14:textId="77777777" w:rsidR="00B314DB" w:rsidRPr="00B314DB" w:rsidRDefault="00B314DB" w:rsidP="00B314DB">
      <w:pPr>
        <w:autoSpaceDE w:val="0"/>
        <w:autoSpaceDN w:val="0"/>
        <w:adjustRightInd w:val="0"/>
        <w:jc w:val="both"/>
        <w:rPr>
          <w:rFonts w:ascii="Abadi" w:eastAsia="Calibri" w:hAnsi="Abadi" w:cs="*Times New Roman-7223-Identity-"/>
          <w:color w:val="171325"/>
          <w:sz w:val="21"/>
          <w:szCs w:val="21"/>
          <w:lang w:val="es-MX" w:eastAsia="en-US"/>
        </w:rPr>
      </w:pPr>
    </w:p>
    <w:p w14:paraId="670A5216" w14:textId="77777777" w:rsidR="00B314DB" w:rsidRPr="00B314DB" w:rsidRDefault="00B314DB" w:rsidP="00B314DB">
      <w:pPr>
        <w:autoSpaceDE w:val="0"/>
        <w:autoSpaceDN w:val="0"/>
        <w:adjustRightInd w:val="0"/>
        <w:ind w:firstLine="708"/>
        <w:jc w:val="both"/>
        <w:rPr>
          <w:rFonts w:ascii="Abadi" w:eastAsia="Calibri" w:hAnsi="Abadi" w:cs="*Arial-7225-Identity-H"/>
          <w:color w:val="0D0D0F"/>
          <w:sz w:val="21"/>
          <w:szCs w:val="21"/>
          <w:lang w:val="es-MX" w:eastAsia="en-US"/>
        </w:rPr>
      </w:pPr>
      <w:r w:rsidRPr="00B314DB">
        <w:rPr>
          <w:rFonts w:ascii="Abadi" w:eastAsia="Calibri" w:hAnsi="Abadi" w:cs="*Arial-7225-Identity-H"/>
          <w:color w:val="0D0D0F"/>
          <w:sz w:val="21"/>
          <w:szCs w:val="21"/>
          <w:lang w:val="es-MX" w:eastAsia="en-US"/>
        </w:rPr>
        <w:t>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w:t>
      </w:r>
    </w:p>
    <w:p w14:paraId="11FC05B7" w14:textId="77777777" w:rsidR="00B314DB" w:rsidRPr="00B314DB" w:rsidRDefault="00B314DB" w:rsidP="00B314DB">
      <w:pPr>
        <w:autoSpaceDE w:val="0"/>
        <w:autoSpaceDN w:val="0"/>
        <w:adjustRightInd w:val="0"/>
        <w:jc w:val="both"/>
        <w:rPr>
          <w:rFonts w:ascii="Abadi" w:eastAsia="Calibri" w:hAnsi="Abadi" w:cs="*Arial-7225-Identity-H"/>
          <w:color w:val="0E0D10"/>
          <w:sz w:val="21"/>
          <w:szCs w:val="21"/>
          <w:lang w:val="es-MX" w:eastAsia="en-US"/>
        </w:rPr>
      </w:pPr>
    </w:p>
    <w:p w14:paraId="0C73EA4B" w14:textId="77777777" w:rsidR="00B314DB" w:rsidRPr="00B314DB" w:rsidRDefault="00B314DB" w:rsidP="00B314DB">
      <w:pPr>
        <w:autoSpaceDE w:val="0"/>
        <w:autoSpaceDN w:val="0"/>
        <w:adjustRightInd w:val="0"/>
        <w:ind w:firstLine="708"/>
        <w:jc w:val="both"/>
        <w:rPr>
          <w:rFonts w:ascii="Abadi" w:eastAsia="Calibri" w:hAnsi="Abadi" w:cs="*Arial-7225-Identity-H"/>
          <w:color w:val="0E0D10"/>
          <w:sz w:val="21"/>
          <w:szCs w:val="21"/>
          <w:lang w:val="es-MX" w:eastAsia="en-US"/>
        </w:rPr>
      </w:pPr>
      <w:r w:rsidRPr="00B314DB">
        <w:rPr>
          <w:rFonts w:ascii="Abadi" w:eastAsia="Calibri" w:hAnsi="Abadi" w:cs="*Arial-7225-Identity-H"/>
          <w:color w:val="0E0D10"/>
          <w:sz w:val="21"/>
          <w:szCs w:val="21"/>
          <w:lang w:val="es-MX" w:eastAsia="en-US"/>
        </w:rPr>
        <w:t>De igual manera, existe en el informe de resultados la constancia de que este se notificó al sujeto fiscalizado. En tal virtud, se considera que fue respetado el derecho de audiencia o defensa por parte del Órgano Técnico.</w:t>
      </w:r>
    </w:p>
    <w:p w14:paraId="55EFE42F" w14:textId="77777777" w:rsidR="00B314DB" w:rsidRPr="00B314DB" w:rsidRDefault="00B314DB" w:rsidP="00B314DB">
      <w:pPr>
        <w:autoSpaceDE w:val="0"/>
        <w:autoSpaceDN w:val="0"/>
        <w:adjustRightInd w:val="0"/>
        <w:jc w:val="both"/>
        <w:rPr>
          <w:rFonts w:ascii="Abadi" w:eastAsia="Calibri" w:hAnsi="Abadi" w:cs="*Arial-7225-Identity-H"/>
          <w:color w:val="0D0C0F"/>
          <w:sz w:val="21"/>
          <w:szCs w:val="21"/>
          <w:lang w:val="es-MX" w:eastAsia="en-US"/>
        </w:rPr>
      </w:pPr>
    </w:p>
    <w:p w14:paraId="6F11CDF7" w14:textId="2E0FB2CA" w:rsidR="00B314DB" w:rsidRPr="00B314DB" w:rsidRDefault="00B314DB" w:rsidP="00B314DB">
      <w:pPr>
        <w:autoSpaceDE w:val="0"/>
        <w:autoSpaceDN w:val="0"/>
        <w:adjustRightInd w:val="0"/>
        <w:ind w:firstLine="708"/>
        <w:jc w:val="both"/>
        <w:rPr>
          <w:rFonts w:ascii="Abadi" w:eastAsia="Calibri" w:hAnsi="Abadi" w:cs="*Arial-7225-Identity-H"/>
          <w:color w:val="0D0C0F"/>
          <w:sz w:val="21"/>
          <w:szCs w:val="21"/>
          <w:lang w:val="es-MX" w:eastAsia="en-US"/>
        </w:rPr>
      </w:pPr>
      <w:r w:rsidRPr="00B314DB">
        <w:rPr>
          <w:rFonts w:ascii="Abadi" w:eastAsia="Calibri" w:hAnsi="Abadi" w:cs="*Arial-7225-Identity-H"/>
          <w:color w:val="0D0C0F"/>
          <w:sz w:val="21"/>
          <w:szCs w:val="21"/>
          <w:lang w:val="es-MX" w:eastAsia="en-US"/>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2021, aprobado por el Auditor Superior del Estado. Asimismo, la auditoría se efectuó atendiendo a lo establecido en la normatividad aplicable en la materia, cumpliendo lo estipulado por el artículo 3 y el Capítulo VI del </w:t>
      </w:r>
      <w:r w:rsidR="00BD43B7" w:rsidRPr="00B314DB">
        <w:rPr>
          <w:rFonts w:ascii="Abadi" w:eastAsia="Calibri" w:hAnsi="Abadi" w:cs="*Arial-7225-Identity-H"/>
          <w:color w:val="0D0C0F"/>
          <w:sz w:val="21"/>
          <w:szCs w:val="21"/>
          <w:lang w:val="es-MX" w:eastAsia="en-US"/>
        </w:rPr>
        <w:t>Título</w:t>
      </w:r>
      <w:r w:rsidRPr="00B314DB">
        <w:rPr>
          <w:rFonts w:ascii="Abadi" w:eastAsia="Calibri" w:hAnsi="Abadi" w:cs="*Arial-7225-Identity-H"/>
          <w:color w:val="0D0C0F"/>
          <w:sz w:val="21"/>
          <w:szCs w:val="21"/>
          <w:lang w:val="es-MX" w:eastAsia="en-US"/>
        </w:rPr>
        <w:t xml:space="preserve"> Segundo de la Ley de Fiscalización Superior del Estado de Guanajuato, así como el </w:t>
      </w:r>
      <w:r w:rsidR="00BD43B7" w:rsidRPr="00B314DB">
        <w:rPr>
          <w:rFonts w:ascii="Abadi" w:eastAsia="Calibri" w:hAnsi="Abadi" w:cs="*Arial-7225-Identity-H"/>
          <w:color w:val="0D0C0F"/>
          <w:sz w:val="21"/>
          <w:szCs w:val="21"/>
          <w:lang w:val="es-MX" w:eastAsia="en-US"/>
        </w:rPr>
        <w:t>artículo</w:t>
      </w:r>
      <w:r w:rsidRPr="00B314DB">
        <w:rPr>
          <w:rFonts w:ascii="Abadi" w:eastAsia="Calibri" w:hAnsi="Abadi" w:cs="*Arial-7225-Identity-H"/>
          <w:color w:val="0D0C0F"/>
          <w:sz w:val="21"/>
          <w:szCs w:val="21"/>
          <w:lang w:val="es-MX" w:eastAsia="en-US"/>
        </w:rPr>
        <w:t xml:space="preserve"> 28 del Reglamento de dicha Ley.</w:t>
      </w:r>
    </w:p>
    <w:p w14:paraId="19177657" w14:textId="77777777" w:rsidR="00B314DB" w:rsidRPr="00B314DB" w:rsidRDefault="00B314DB" w:rsidP="00B314DB">
      <w:pPr>
        <w:autoSpaceDE w:val="0"/>
        <w:autoSpaceDN w:val="0"/>
        <w:adjustRightInd w:val="0"/>
        <w:jc w:val="both"/>
        <w:rPr>
          <w:rFonts w:ascii="Abadi" w:eastAsia="Calibri" w:hAnsi="Abadi" w:cs="*Arial-7225-Identity-H"/>
          <w:color w:val="0D0C0F"/>
          <w:sz w:val="21"/>
          <w:szCs w:val="21"/>
          <w:lang w:val="es-MX" w:eastAsia="en-US"/>
        </w:rPr>
      </w:pPr>
    </w:p>
    <w:p w14:paraId="3423B9F4" w14:textId="77777777" w:rsidR="00B314DB" w:rsidRPr="00B314DB" w:rsidRDefault="00B314DB" w:rsidP="00B314DB">
      <w:pPr>
        <w:autoSpaceDE w:val="0"/>
        <w:autoSpaceDN w:val="0"/>
        <w:adjustRightInd w:val="0"/>
        <w:ind w:firstLine="708"/>
        <w:jc w:val="both"/>
        <w:rPr>
          <w:rFonts w:ascii="Abadi" w:eastAsia="Calibri" w:hAnsi="Abadi" w:cs="*Arial-7225-Identity-H"/>
          <w:color w:val="0D0C0F"/>
          <w:sz w:val="21"/>
          <w:szCs w:val="21"/>
          <w:lang w:val="es-MX" w:eastAsia="en-US"/>
        </w:rPr>
      </w:pPr>
      <w:r w:rsidRPr="00B314DB">
        <w:rPr>
          <w:rFonts w:ascii="Abadi" w:eastAsia="Calibri" w:hAnsi="Abadi" w:cs="*Arial-7225-Identity-H"/>
          <w:color w:val="0D0C0F"/>
          <w:sz w:val="21"/>
          <w:szCs w:val="21"/>
          <w:lang w:val="es-MX" w:eastAsia="en-US"/>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w:t>
      </w:r>
      <w:r w:rsidRPr="00B314DB">
        <w:rPr>
          <w:rFonts w:ascii="Abadi" w:eastAsia="Calibri" w:hAnsi="Abadi" w:cs="*Arial-7225-Identity-H"/>
          <w:color w:val="242024"/>
          <w:sz w:val="21"/>
          <w:szCs w:val="21"/>
          <w:lang w:val="es-MX" w:eastAsia="en-US"/>
        </w:rPr>
        <w:t>e</w:t>
      </w:r>
      <w:r w:rsidRPr="00B314DB">
        <w:rPr>
          <w:rFonts w:ascii="Abadi" w:eastAsia="Calibri" w:hAnsi="Abadi" w:cs="*Arial-7225-Identity-H"/>
          <w:color w:val="0D0C0F"/>
          <w:sz w:val="21"/>
          <w:szCs w:val="21"/>
          <w:lang w:val="es-MX" w:eastAsia="en-US"/>
        </w:rPr>
        <w:t>les</w:t>
      </w:r>
      <w:r w:rsidRPr="00B314DB">
        <w:rPr>
          <w:rFonts w:ascii="Abadi" w:eastAsia="Calibri" w:hAnsi="Abadi" w:cs="*Arial-7225-Identity-H"/>
          <w:color w:val="9D9D9D"/>
          <w:sz w:val="21"/>
          <w:szCs w:val="21"/>
          <w:lang w:val="es-MX" w:eastAsia="en-US"/>
        </w:rPr>
        <w:t xml:space="preserve"> </w:t>
      </w:r>
      <w:r w:rsidRPr="00B314DB">
        <w:rPr>
          <w:rFonts w:ascii="Abadi" w:eastAsia="Calibri" w:hAnsi="Abadi" w:cs="*Arial-7225-Identity-H"/>
          <w:color w:val="0D0C0F"/>
          <w:sz w:val="21"/>
          <w:szCs w:val="21"/>
          <w:lang w:val="es-MX" w:eastAsia="en-US"/>
        </w:rPr>
        <w:t>instituciones eficaces y transparentes, al abonar a la transparencia y rendición de cuentas.</w:t>
      </w:r>
    </w:p>
    <w:p w14:paraId="59A19104" w14:textId="77777777" w:rsidR="00B314DB" w:rsidRPr="00B314DB" w:rsidRDefault="00B314DB" w:rsidP="00B314DB">
      <w:pPr>
        <w:autoSpaceDE w:val="0"/>
        <w:autoSpaceDN w:val="0"/>
        <w:adjustRightInd w:val="0"/>
        <w:jc w:val="both"/>
        <w:rPr>
          <w:rFonts w:ascii="Abadi" w:eastAsia="Calibri" w:hAnsi="Abadi" w:cs="*Arial-7225-Identity-H"/>
          <w:color w:val="0C0C0F"/>
          <w:sz w:val="21"/>
          <w:szCs w:val="21"/>
          <w:lang w:val="es-MX" w:eastAsia="en-US"/>
        </w:rPr>
      </w:pPr>
    </w:p>
    <w:p w14:paraId="26453C51" w14:textId="77777777" w:rsidR="00B314DB" w:rsidRPr="00B314DB" w:rsidRDefault="00B314DB" w:rsidP="00B314DB">
      <w:pPr>
        <w:autoSpaceDE w:val="0"/>
        <w:autoSpaceDN w:val="0"/>
        <w:adjustRightInd w:val="0"/>
        <w:ind w:firstLine="708"/>
        <w:jc w:val="both"/>
        <w:rPr>
          <w:rFonts w:ascii="Abadi" w:eastAsia="Calibri" w:hAnsi="Abadi" w:cs="*Arial-7225-Identity-H"/>
          <w:color w:val="0C0C0F"/>
          <w:sz w:val="21"/>
          <w:szCs w:val="21"/>
          <w:lang w:val="es-MX" w:eastAsia="en-US"/>
        </w:rPr>
      </w:pPr>
      <w:r w:rsidRPr="00B314DB">
        <w:rPr>
          <w:rFonts w:ascii="Abadi" w:eastAsia="Calibri" w:hAnsi="Abadi" w:cs="*Arial-7225-Identity-H"/>
          <w:color w:val="0C0C0F"/>
          <w:sz w:val="21"/>
          <w:szCs w:val="21"/>
          <w:lang w:val="es-MX" w:eastAsia="en-US"/>
        </w:rPr>
        <w:t xml:space="preserve">En razón de lo anteriormente señalado, concluimos que el informe de resultados de la auditoría de desempeño practicada a la administración municipal de Romita, </w:t>
      </w:r>
      <w:proofErr w:type="spellStart"/>
      <w:r w:rsidRPr="00B314DB">
        <w:rPr>
          <w:rFonts w:ascii="Abadi" w:eastAsia="Calibri" w:hAnsi="Abadi" w:cs="*Arial-7225-Identity-H"/>
          <w:color w:val="0C0C0F"/>
          <w:sz w:val="21"/>
          <w:szCs w:val="21"/>
          <w:lang w:val="es-MX" w:eastAsia="en-US"/>
        </w:rPr>
        <w:t>Gto</w:t>
      </w:r>
      <w:proofErr w:type="spellEnd"/>
      <w:r w:rsidRPr="00B314DB">
        <w:rPr>
          <w:rFonts w:ascii="Abadi" w:eastAsia="Calibri" w:hAnsi="Abadi" w:cs="*Arial-7225-Identity-H"/>
          <w:color w:val="0C0C0F"/>
          <w:sz w:val="21"/>
          <w:szCs w:val="21"/>
          <w:lang w:val="es-MX" w:eastAsia="en-US"/>
        </w:rPr>
        <w:t>., con enfoque a resultados del servicio de alumbrado público, por el ejercicio fiscal del año 2020,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927BE8D" w14:textId="77777777" w:rsidR="00B314DB" w:rsidRPr="00B314DB" w:rsidRDefault="00B314DB" w:rsidP="00B314DB">
      <w:pPr>
        <w:autoSpaceDE w:val="0"/>
        <w:autoSpaceDN w:val="0"/>
        <w:adjustRightInd w:val="0"/>
        <w:jc w:val="both"/>
        <w:rPr>
          <w:rFonts w:ascii="Abadi" w:eastAsia="Calibri" w:hAnsi="Abadi" w:cs="*Cambria-Bold-5510-Identity-H"/>
          <w:b/>
          <w:bCs/>
          <w:color w:val="25252B"/>
          <w:sz w:val="21"/>
          <w:szCs w:val="21"/>
          <w:lang w:val="es-MX" w:eastAsia="en-US"/>
        </w:rPr>
      </w:pPr>
    </w:p>
    <w:p w14:paraId="14C5F9DF" w14:textId="77777777" w:rsidR="00B314DB" w:rsidRPr="00B314DB" w:rsidRDefault="00B314DB" w:rsidP="00B314DB">
      <w:pPr>
        <w:autoSpaceDE w:val="0"/>
        <w:autoSpaceDN w:val="0"/>
        <w:adjustRightInd w:val="0"/>
        <w:ind w:firstLine="708"/>
        <w:jc w:val="both"/>
        <w:rPr>
          <w:rFonts w:ascii="Abadi" w:eastAsia="Calibri" w:hAnsi="Abadi" w:cs="*Arial-5507-Identity-H"/>
          <w:color w:val="0D0C0F"/>
          <w:sz w:val="21"/>
          <w:szCs w:val="21"/>
          <w:lang w:val="es-MX" w:eastAsia="en-US"/>
        </w:rPr>
      </w:pPr>
      <w:r w:rsidRPr="00B314DB">
        <w:rPr>
          <w:rFonts w:ascii="Abadi" w:eastAsia="Calibri" w:hAnsi="Abadi" w:cs="*Arial-5507-Identity-H"/>
          <w:color w:val="0D0C0F"/>
          <w:sz w:val="21"/>
          <w:szCs w:val="21"/>
          <w:lang w:val="es-MX" w:eastAsia="en-US"/>
        </w:rPr>
        <w:t>Por lo expuesto, con fundamento en el artículo 204 de la Ley Orgánica del Poder Legislativo, nos permitimos someter a la consideración de la Asamblea, la aprobación del siguiente:</w:t>
      </w:r>
    </w:p>
    <w:p w14:paraId="0A0FA0E7" w14:textId="77777777" w:rsidR="00B314DB" w:rsidRPr="00B314DB" w:rsidRDefault="00B314DB" w:rsidP="00B314DB">
      <w:pPr>
        <w:autoSpaceDE w:val="0"/>
        <w:autoSpaceDN w:val="0"/>
        <w:adjustRightInd w:val="0"/>
        <w:jc w:val="both"/>
        <w:rPr>
          <w:rFonts w:ascii="Abadi" w:eastAsia="Calibri" w:hAnsi="Abadi" w:cs="*Arial-Bold-5508-Identity-H"/>
          <w:b/>
          <w:bCs/>
          <w:color w:val="0B0A10"/>
          <w:sz w:val="21"/>
          <w:szCs w:val="21"/>
          <w:lang w:val="es-MX" w:eastAsia="en-US"/>
        </w:rPr>
      </w:pPr>
    </w:p>
    <w:p w14:paraId="149C7CF0" w14:textId="77777777" w:rsidR="00B314DB" w:rsidRPr="00B314DB" w:rsidRDefault="00B314DB" w:rsidP="00B314DB">
      <w:pPr>
        <w:autoSpaceDE w:val="0"/>
        <w:autoSpaceDN w:val="0"/>
        <w:adjustRightInd w:val="0"/>
        <w:jc w:val="center"/>
        <w:rPr>
          <w:rFonts w:ascii="Abadi" w:eastAsia="Calibri" w:hAnsi="Abadi" w:cs="*Arial-Bold-5508-Identity-H"/>
          <w:b/>
          <w:bCs/>
          <w:color w:val="0B0A10"/>
          <w:sz w:val="21"/>
          <w:szCs w:val="21"/>
          <w:lang w:val="es-MX" w:eastAsia="en-US"/>
        </w:rPr>
      </w:pPr>
      <w:r w:rsidRPr="00B314DB">
        <w:rPr>
          <w:rFonts w:ascii="Abadi" w:eastAsia="Calibri" w:hAnsi="Abadi" w:cs="*Arial-Bold-5508-Identity-H"/>
          <w:b/>
          <w:bCs/>
          <w:color w:val="0B0A10"/>
          <w:sz w:val="21"/>
          <w:szCs w:val="21"/>
          <w:lang w:val="es-MX" w:eastAsia="en-US"/>
        </w:rPr>
        <w:t>ACUERDO</w:t>
      </w:r>
    </w:p>
    <w:p w14:paraId="5271AD72" w14:textId="77777777" w:rsidR="00B314DB" w:rsidRPr="00B314DB" w:rsidRDefault="00B314DB" w:rsidP="00B314DB">
      <w:pPr>
        <w:autoSpaceDE w:val="0"/>
        <w:autoSpaceDN w:val="0"/>
        <w:adjustRightInd w:val="0"/>
        <w:jc w:val="both"/>
        <w:rPr>
          <w:rFonts w:ascii="Abadi" w:eastAsia="Calibri" w:hAnsi="Abadi" w:cs="*Calibri-Bold-5506-Identity-H"/>
          <w:b/>
          <w:bCs/>
          <w:color w:val="0D0C0F"/>
          <w:sz w:val="21"/>
          <w:szCs w:val="21"/>
          <w:lang w:val="es-MX" w:eastAsia="en-US"/>
        </w:rPr>
      </w:pPr>
    </w:p>
    <w:p w14:paraId="6E17D956" w14:textId="77777777" w:rsidR="00B314DB" w:rsidRPr="00B314DB" w:rsidRDefault="00B314DB" w:rsidP="00B314DB">
      <w:pPr>
        <w:autoSpaceDE w:val="0"/>
        <w:autoSpaceDN w:val="0"/>
        <w:adjustRightInd w:val="0"/>
        <w:ind w:firstLine="708"/>
        <w:jc w:val="both"/>
        <w:rPr>
          <w:rFonts w:ascii="Abadi" w:eastAsia="Calibri" w:hAnsi="Abadi" w:cs="*Arial-5507-Identity-H"/>
          <w:color w:val="0D0C0F"/>
          <w:sz w:val="21"/>
          <w:szCs w:val="21"/>
          <w:lang w:val="es-MX" w:eastAsia="en-US"/>
        </w:rPr>
      </w:pPr>
      <w:r w:rsidRPr="00B314DB">
        <w:rPr>
          <w:rFonts w:ascii="Abadi" w:eastAsia="Calibri" w:hAnsi="Abadi" w:cs="*Calibri-Bold-5506-Identity-H"/>
          <w:b/>
          <w:bCs/>
          <w:color w:val="0D0C0F"/>
          <w:sz w:val="21"/>
          <w:szCs w:val="21"/>
          <w:lang w:val="es-MX" w:eastAsia="en-US"/>
        </w:rPr>
        <w:t xml:space="preserve">Único. </w:t>
      </w:r>
      <w:r w:rsidRPr="00B314DB">
        <w:rPr>
          <w:rFonts w:ascii="Abadi" w:eastAsia="Calibri" w:hAnsi="Abadi" w:cs="*Arial-5507-Identity-H"/>
          <w:color w:val="0D0C0F"/>
          <w:sz w:val="21"/>
          <w:szCs w:val="21"/>
          <w:lang w:val="es-MX" w:eastAsia="en-US"/>
        </w:rPr>
        <w:t xml:space="preserve">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Auditoria Superior del Estado de Guanajuato, de la auditoría de desempeño practicada a la administración municipal de Romita, </w:t>
      </w:r>
      <w:proofErr w:type="spellStart"/>
      <w:r w:rsidRPr="00B314DB">
        <w:rPr>
          <w:rFonts w:ascii="Abadi" w:eastAsia="Calibri" w:hAnsi="Abadi" w:cs="*Arial-5507-Identity-H"/>
          <w:color w:val="0D0C0F"/>
          <w:sz w:val="21"/>
          <w:szCs w:val="21"/>
          <w:lang w:val="es-MX" w:eastAsia="en-US"/>
        </w:rPr>
        <w:t>Gto</w:t>
      </w:r>
      <w:proofErr w:type="spellEnd"/>
      <w:r w:rsidRPr="00B314DB">
        <w:rPr>
          <w:rFonts w:ascii="Abadi" w:eastAsia="Calibri" w:hAnsi="Abadi" w:cs="*Arial-5507-Identity-H"/>
          <w:color w:val="0D0C0F"/>
          <w:sz w:val="21"/>
          <w:szCs w:val="21"/>
          <w:lang w:val="es-MX" w:eastAsia="en-US"/>
        </w:rPr>
        <w:t>., con enfoque a resultados del servicio de alumbrado público, por el periodo comprendido del 1 de enero al 31 de diciembre del ejercicio fiscal del año 2020.</w:t>
      </w:r>
    </w:p>
    <w:p w14:paraId="23F999CD" w14:textId="77777777" w:rsidR="00B314DB" w:rsidRPr="00B314DB" w:rsidRDefault="00B314DB" w:rsidP="00B314DB">
      <w:pPr>
        <w:autoSpaceDE w:val="0"/>
        <w:autoSpaceDN w:val="0"/>
        <w:adjustRightInd w:val="0"/>
        <w:jc w:val="both"/>
        <w:rPr>
          <w:rFonts w:ascii="Abadi" w:eastAsia="Calibri" w:hAnsi="Abadi" w:cs="*Arial-5507-Identity-H"/>
          <w:color w:val="0C0C0F"/>
          <w:sz w:val="21"/>
          <w:szCs w:val="21"/>
          <w:lang w:val="es-MX" w:eastAsia="en-US"/>
        </w:rPr>
      </w:pPr>
    </w:p>
    <w:p w14:paraId="398E1421" w14:textId="1C26A42A" w:rsidR="00B314DB" w:rsidRPr="00B314DB" w:rsidRDefault="00B314DB" w:rsidP="00B314DB">
      <w:pPr>
        <w:autoSpaceDE w:val="0"/>
        <w:autoSpaceDN w:val="0"/>
        <w:adjustRightInd w:val="0"/>
        <w:ind w:firstLine="708"/>
        <w:jc w:val="both"/>
        <w:rPr>
          <w:rFonts w:ascii="Abadi" w:eastAsia="Calibri" w:hAnsi="Abadi" w:cs="*Arial-5507-Identity-H"/>
          <w:color w:val="0C0C0F"/>
          <w:sz w:val="21"/>
          <w:szCs w:val="21"/>
          <w:lang w:val="es-MX" w:eastAsia="en-US"/>
        </w:rPr>
      </w:pPr>
      <w:r w:rsidRPr="00B314DB">
        <w:rPr>
          <w:rFonts w:ascii="Abadi" w:eastAsia="Calibri" w:hAnsi="Abadi" w:cs="*Arial-5507-Identity-H"/>
          <w:color w:val="0C0C0F"/>
          <w:sz w:val="21"/>
          <w:szCs w:val="21"/>
          <w:lang w:val="es-MX" w:eastAsia="en-US"/>
        </w:rPr>
        <w:t>Se ordena dar vista del informe de resultados al ayuntamiento del municipio de R</w:t>
      </w:r>
      <w:r w:rsidR="001B03F4">
        <w:rPr>
          <w:rFonts w:ascii="Abadi" w:eastAsia="Calibri" w:hAnsi="Abadi" w:cs="*Arial-5507-Identity-H"/>
          <w:color w:val="0C0C0F"/>
          <w:sz w:val="21"/>
          <w:szCs w:val="21"/>
          <w:lang w:val="es-MX" w:eastAsia="en-US"/>
        </w:rPr>
        <w:t>o</w:t>
      </w:r>
      <w:r w:rsidRPr="00B314DB">
        <w:rPr>
          <w:rFonts w:ascii="Abadi" w:eastAsia="Calibri" w:hAnsi="Abadi" w:cs="*Arial-5507-Identity-H"/>
          <w:color w:val="0C0C0F"/>
          <w:sz w:val="21"/>
          <w:szCs w:val="21"/>
          <w:lang w:val="es-MX" w:eastAsia="en-US"/>
        </w:rPr>
        <w:t xml:space="preserve">mita, </w:t>
      </w:r>
      <w:proofErr w:type="spellStart"/>
      <w:r w:rsidRPr="00B314DB">
        <w:rPr>
          <w:rFonts w:ascii="Abadi" w:eastAsia="Calibri" w:hAnsi="Abadi" w:cs="*Arial-5507-Identity-H"/>
          <w:color w:val="0C0C0F"/>
          <w:sz w:val="21"/>
          <w:szCs w:val="21"/>
          <w:lang w:val="es-MX" w:eastAsia="en-US"/>
        </w:rPr>
        <w:t>Gto</w:t>
      </w:r>
      <w:proofErr w:type="spellEnd"/>
      <w:r w:rsidRPr="00B314DB">
        <w:rPr>
          <w:rFonts w:ascii="Abadi" w:eastAsia="Calibri" w:hAnsi="Abadi" w:cs="*Arial-5507-Identity-H"/>
          <w:color w:val="0C0C0F"/>
          <w:sz w:val="21"/>
          <w:szCs w:val="21"/>
          <w:lang w:val="es-MX" w:eastAsia="en-US"/>
        </w:rPr>
        <w:t>.,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1AA71AD8" w14:textId="77777777" w:rsidR="00B314DB" w:rsidRPr="00B314DB" w:rsidRDefault="00B314DB" w:rsidP="00B314DB">
      <w:pPr>
        <w:autoSpaceDE w:val="0"/>
        <w:autoSpaceDN w:val="0"/>
        <w:adjustRightInd w:val="0"/>
        <w:jc w:val="both"/>
        <w:rPr>
          <w:rFonts w:ascii="Abadi" w:eastAsia="Calibri" w:hAnsi="Abadi" w:cs="*Microsoft Sans Serif-Bold-5317"/>
          <w:b/>
          <w:bCs/>
          <w:color w:val="29292F"/>
          <w:sz w:val="21"/>
          <w:szCs w:val="21"/>
          <w:lang w:val="es-MX" w:eastAsia="en-US"/>
        </w:rPr>
      </w:pPr>
    </w:p>
    <w:p w14:paraId="17BD96AE" w14:textId="77777777" w:rsidR="00B314DB" w:rsidRPr="00B314DB" w:rsidRDefault="00B314DB" w:rsidP="00B314DB">
      <w:pPr>
        <w:autoSpaceDE w:val="0"/>
        <w:autoSpaceDN w:val="0"/>
        <w:adjustRightInd w:val="0"/>
        <w:ind w:firstLine="708"/>
        <w:jc w:val="both"/>
        <w:rPr>
          <w:rFonts w:ascii="Abadi" w:eastAsia="Calibri" w:hAnsi="Abadi" w:cs="*Arial-5316-Identity-H"/>
          <w:color w:val="0F0E15"/>
          <w:sz w:val="21"/>
          <w:szCs w:val="21"/>
          <w:lang w:val="es-MX" w:eastAsia="en-US"/>
        </w:rPr>
      </w:pPr>
      <w:r w:rsidRPr="00B314DB">
        <w:rPr>
          <w:rFonts w:ascii="Abadi" w:eastAsia="Calibri" w:hAnsi="Abadi" w:cs="*Arial-5316-Identity-H"/>
          <w:color w:val="0F0E15"/>
          <w:sz w:val="21"/>
          <w:szCs w:val="21"/>
          <w:lang w:val="es-MX" w:eastAsia="en-US"/>
        </w:rPr>
        <w:t xml:space="preserve">De conformidad con el artículo 37, fracción VI de la Ley de Fiscalización Superior del Estado de Guanajuato, remítase el presente acuerdo junto con su dictamen y el informe de resultados a la Auditoría Superior del Estado, para </w:t>
      </w:r>
      <w:r w:rsidRPr="00B314DB">
        <w:rPr>
          <w:rFonts w:ascii="Abadi" w:eastAsia="Calibri" w:hAnsi="Abadi" w:cs="*Arial-5316-Identity-H"/>
          <w:color w:val="0F0E11"/>
          <w:sz w:val="21"/>
          <w:szCs w:val="21"/>
          <w:lang w:val="es-MX" w:eastAsia="en-US"/>
        </w:rPr>
        <w:t>efectos de su notificación.</w:t>
      </w:r>
    </w:p>
    <w:p w14:paraId="5F4A4C41" w14:textId="77777777" w:rsidR="00B314DB" w:rsidRPr="00B314DB" w:rsidRDefault="00B314DB" w:rsidP="00B314DB">
      <w:pPr>
        <w:autoSpaceDE w:val="0"/>
        <w:autoSpaceDN w:val="0"/>
        <w:adjustRightInd w:val="0"/>
        <w:jc w:val="both"/>
        <w:rPr>
          <w:rFonts w:ascii="Abadi" w:eastAsia="Calibri" w:hAnsi="Abadi" w:cs="*Arial-Bold-5315-Identity-H"/>
          <w:b/>
          <w:bCs/>
          <w:color w:val="0B0A0F"/>
          <w:sz w:val="21"/>
          <w:szCs w:val="21"/>
          <w:lang w:val="es-MX" w:eastAsia="en-US"/>
        </w:rPr>
      </w:pPr>
    </w:p>
    <w:p w14:paraId="405C388C" w14:textId="77777777" w:rsidR="00B314DB" w:rsidRPr="00B314DB" w:rsidRDefault="00B314DB" w:rsidP="00B314DB">
      <w:pPr>
        <w:autoSpaceDE w:val="0"/>
        <w:autoSpaceDN w:val="0"/>
        <w:adjustRightInd w:val="0"/>
        <w:jc w:val="center"/>
        <w:rPr>
          <w:rFonts w:ascii="Abadi" w:eastAsia="Calibri" w:hAnsi="Abadi" w:cs="*Arial-Bold-5315-Identity-H"/>
          <w:b/>
          <w:bCs/>
          <w:color w:val="0B0A0F"/>
          <w:sz w:val="21"/>
          <w:szCs w:val="21"/>
          <w:lang w:val="es-MX" w:eastAsia="en-US"/>
        </w:rPr>
      </w:pPr>
      <w:r w:rsidRPr="00B314DB">
        <w:rPr>
          <w:rFonts w:ascii="Abadi" w:eastAsia="Calibri" w:hAnsi="Abadi" w:cs="*Arial-Bold-5315-Identity-H"/>
          <w:b/>
          <w:bCs/>
          <w:color w:val="0B0A0F"/>
          <w:sz w:val="21"/>
          <w:szCs w:val="21"/>
          <w:lang w:val="es-MX" w:eastAsia="en-US"/>
        </w:rPr>
        <w:t xml:space="preserve">Guanajuato, </w:t>
      </w:r>
      <w:proofErr w:type="spellStart"/>
      <w:r w:rsidRPr="00B314DB">
        <w:rPr>
          <w:rFonts w:ascii="Abadi" w:eastAsia="Calibri" w:hAnsi="Abadi" w:cs="*Arial-Bold-5315-Identity-H"/>
          <w:b/>
          <w:bCs/>
          <w:color w:val="0B0A0F"/>
          <w:sz w:val="21"/>
          <w:szCs w:val="21"/>
          <w:lang w:val="es-MX" w:eastAsia="en-US"/>
        </w:rPr>
        <w:t>Gto</w:t>
      </w:r>
      <w:proofErr w:type="spellEnd"/>
      <w:r w:rsidRPr="00B314DB">
        <w:rPr>
          <w:rFonts w:ascii="Abadi" w:eastAsia="Calibri" w:hAnsi="Abadi" w:cs="*Arial-Bold-5315-Identity-H"/>
          <w:b/>
          <w:bCs/>
          <w:color w:val="0B0A0F"/>
          <w:sz w:val="21"/>
          <w:szCs w:val="21"/>
          <w:lang w:val="es-MX" w:eastAsia="en-US"/>
        </w:rPr>
        <w:t xml:space="preserve">., 19 de abril de 2022 </w:t>
      </w:r>
    </w:p>
    <w:p w14:paraId="2CF23205" w14:textId="77777777" w:rsidR="00B314DB" w:rsidRPr="00B314DB" w:rsidRDefault="00B314DB" w:rsidP="00B314DB">
      <w:pPr>
        <w:autoSpaceDE w:val="0"/>
        <w:autoSpaceDN w:val="0"/>
        <w:adjustRightInd w:val="0"/>
        <w:jc w:val="center"/>
        <w:rPr>
          <w:rFonts w:ascii="Abadi" w:eastAsia="Calibri" w:hAnsi="Abadi" w:cs="*Arial-Bold-5315-Identity-H"/>
          <w:b/>
          <w:bCs/>
          <w:color w:val="0B0A0F"/>
          <w:sz w:val="21"/>
          <w:szCs w:val="21"/>
          <w:lang w:val="es-MX" w:eastAsia="en-US"/>
        </w:rPr>
      </w:pPr>
      <w:r w:rsidRPr="00B314DB">
        <w:rPr>
          <w:rFonts w:ascii="Abadi" w:eastAsia="Calibri" w:hAnsi="Abadi" w:cs="*Arial-Bold-5315-Identity-H"/>
          <w:b/>
          <w:bCs/>
          <w:color w:val="0B0A0F"/>
          <w:sz w:val="21"/>
          <w:szCs w:val="21"/>
          <w:lang w:val="es-MX" w:eastAsia="en-US"/>
        </w:rPr>
        <w:t xml:space="preserve">La Comisión de Hacienda y Fiscalización </w:t>
      </w:r>
    </w:p>
    <w:p w14:paraId="6275B784" w14:textId="77777777" w:rsidR="00B314DB" w:rsidRPr="00B314DB" w:rsidRDefault="00B314DB" w:rsidP="00B314DB">
      <w:pPr>
        <w:autoSpaceDE w:val="0"/>
        <w:autoSpaceDN w:val="0"/>
        <w:adjustRightInd w:val="0"/>
        <w:jc w:val="center"/>
        <w:rPr>
          <w:rFonts w:ascii="Abadi" w:eastAsia="Calibri" w:hAnsi="Abadi" w:cs="*Arial-Bold-5315-Identity-H"/>
          <w:b/>
          <w:bCs/>
          <w:color w:val="0B0A0F"/>
          <w:sz w:val="21"/>
          <w:szCs w:val="21"/>
          <w:lang w:val="es-MX" w:eastAsia="en-US"/>
        </w:rPr>
      </w:pPr>
    </w:p>
    <w:p w14:paraId="590E2AA7" w14:textId="77777777" w:rsidR="00B314DB" w:rsidRPr="00B314DB" w:rsidRDefault="00B314DB" w:rsidP="00B314DB">
      <w:pPr>
        <w:autoSpaceDE w:val="0"/>
        <w:autoSpaceDN w:val="0"/>
        <w:adjustRightInd w:val="0"/>
        <w:jc w:val="center"/>
        <w:rPr>
          <w:rFonts w:ascii="Abadi" w:eastAsia="Calibri" w:hAnsi="Abadi" w:cs="*Arial-Bold-5315-Identity-H"/>
          <w:b/>
          <w:bCs/>
          <w:color w:val="0B0A0F"/>
          <w:sz w:val="21"/>
          <w:szCs w:val="21"/>
          <w:lang w:val="es-MX" w:eastAsia="en-US"/>
        </w:rPr>
      </w:pPr>
    </w:p>
    <w:p w14:paraId="0F87317F" w14:textId="77777777" w:rsidR="00B314DB" w:rsidRPr="00B314DB" w:rsidRDefault="00B314DB" w:rsidP="00B314DB">
      <w:pPr>
        <w:autoSpaceDE w:val="0"/>
        <w:autoSpaceDN w:val="0"/>
        <w:adjustRightInd w:val="0"/>
        <w:jc w:val="center"/>
        <w:rPr>
          <w:rFonts w:ascii="Abadi" w:eastAsia="Calibri" w:hAnsi="Abadi" w:cs="*Arial-Bold-4941-Identity-H"/>
          <w:b/>
          <w:bCs/>
          <w:color w:val="0B0B10"/>
          <w:sz w:val="21"/>
          <w:szCs w:val="21"/>
          <w:lang w:val="es-MX" w:eastAsia="en-US"/>
        </w:rPr>
      </w:pPr>
      <w:r w:rsidRPr="00B314DB">
        <w:rPr>
          <w:rFonts w:ascii="Abadi" w:eastAsia="Calibri" w:hAnsi="Abadi" w:cs="*Arial-Bold-4941-Identity-H"/>
          <w:b/>
          <w:bCs/>
          <w:color w:val="0B0B10"/>
          <w:sz w:val="21"/>
          <w:szCs w:val="21"/>
          <w:lang w:val="es-MX" w:eastAsia="en-US"/>
        </w:rPr>
        <w:t>Diputado Victor Manuel Zanella Huerta</w:t>
      </w:r>
    </w:p>
    <w:p w14:paraId="50828D08" w14:textId="77777777" w:rsidR="00B314DB" w:rsidRPr="00B314DB" w:rsidRDefault="00B314DB" w:rsidP="00B314DB">
      <w:pPr>
        <w:autoSpaceDE w:val="0"/>
        <w:autoSpaceDN w:val="0"/>
        <w:adjustRightInd w:val="0"/>
        <w:jc w:val="center"/>
        <w:rPr>
          <w:rFonts w:ascii="Abadi" w:eastAsia="Calibri" w:hAnsi="Abadi" w:cs="*Arial-Bold-4941-Identity-H"/>
          <w:b/>
          <w:bCs/>
          <w:color w:val="0B0B10"/>
          <w:sz w:val="21"/>
          <w:szCs w:val="21"/>
          <w:lang w:val="es-MX" w:eastAsia="en-US"/>
        </w:rPr>
      </w:pPr>
    </w:p>
    <w:p w14:paraId="3B695914" w14:textId="77777777" w:rsidR="00B314DB" w:rsidRPr="00B314DB" w:rsidRDefault="00B314DB" w:rsidP="00B314DB">
      <w:pPr>
        <w:autoSpaceDE w:val="0"/>
        <w:autoSpaceDN w:val="0"/>
        <w:adjustRightInd w:val="0"/>
        <w:jc w:val="center"/>
        <w:rPr>
          <w:rFonts w:ascii="Abadi" w:eastAsia="Calibri" w:hAnsi="Abadi" w:cs="*Arial-Bold-4941-Identity-H"/>
          <w:b/>
          <w:bCs/>
          <w:color w:val="0B0B10"/>
          <w:sz w:val="21"/>
          <w:szCs w:val="21"/>
          <w:lang w:val="es-MX" w:eastAsia="en-US"/>
        </w:rPr>
      </w:pPr>
      <w:r w:rsidRPr="00B314DB">
        <w:rPr>
          <w:rFonts w:ascii="Abadi" w:eastAsia="Calibri" w:hAnsi="Abadi" w:cs="*Arial-Bold-4941-Identity-H"/>
          <w:b/>
          <w:bCs/>
          <w:color w:val="0B0B10"/>
          <w:sz w:val="21"/>
          <w:szCs w:val="21"/>
          <w:lang w:val="es-MX" w:eastAsia="en-US"/>
        </w:rPr>
        <w:t>Diputada Ruth Noemi Tiscareño Agoitia</w:t>
      </w:r>
    </w:p>
    <w:p w14:paraId="538B20B1" w14:textId="77777777" w:rsidR="00B314DB" w:rsidRPr="00B314DB" w:rsidRDefault="00B314DB" w:rsidP="00B314DB">
      <w:pPr>
        <w:autoSpaceDE w:val="0"/>
        <w:autoSpaceDN w:val="0"/>
        <w:adjustRightInd w:val="0"/>
        <w:jc w:val="center"/>
        <w:rPr>
          <w:rFonts w:ascii="Abadi" w:eastAsia="Calibri" w:hAnsi="Abadi" w:cs="*Arial-Bold-4941-Identity-H"/>
          <w:b/>
          <w:bCs/>
          <w:color w:val="0B0B10"/>
          <w:sz w:val="21"/>
          <w:szCs w:val="21"/>
          <w:lang w:val="es-MX" w:eastAsia="en-US"/>
        </w:rPr>
      </w:pPr>
    </w:p>
    <w:p w14:paraId="1B720AA2" w14:textId="77777777" w:rsidR="00B314DB" w:rsidRPr="00B314DB" w:rsidRDefault="00B314DB" w:rsidP="00B314DB">
      <w:pPr>
        <w:autoSpaceDE w:val="0"/>
        <w:autoSpaceDN w:val="0"/>
        <w:adjustRightInd w:val="0"/>
        <w:jc w:val="center"/>
        <w:rPr>
          <w:rFonts w:ascii="Abadi" w:eastAsia="Calibri" w:hAnsi="Abadi" w:cs="*Arial-Bold-4941-Identity-H"/>
          <w:b/>
          <w:bCs/>
          <w:color w:val="0B0B10"/>
          <w:sz w:val="21"/>
          <w:szCs w:val="21"/>
          <w:lang w:val="es-MX" w:eastAsia="en-US"/>
        </w:rPr>
      </w:pPr>
      <w:r w:rsidRPr="00B314DB">
        <w:rPr>
          <w:rFonts w:ascii="Abadi" w:eastAsia="Calibri" w:hAnsi="Abadi" w:cs="*Arial-Bold-4941-Identity-H"/>
          <w:b/>
          <w:bCs/>
          <w:color w:val="0B0B10"/>
          <w:sz w:val="21"/>
          <w:szCs w:val="21"/>
          <w:lang w:val="es-MX" w:eastAsia="en-US"/>
        </w:rPr>
        <w:t xml:space="preserve">Diputado Miguel Ángel Salim </w:t>
      </w:r>
      <w:proofErr w:type="spellStart"/>
      <w:r w:rsidRPr="00B314DB">
        <w:rPr>
          <w:rFonts w:ascii="Abadi" w:eastAsia="Calibri" w:hAnsi="Abadi" w:cs="*Arial-Bold-4941-Identity-H"/>
          <w:b/>
          <w:bCs/>
          <w:color w:val="0B0B10"/>
          <w:sz w:val="21"/>
          <w:szCs w:val="21"/>
          <w:lang w:val="es-MX" w:eastAsia="en-US"/>
        </w:rPr>
        <w:t>Alle</w:t>
      </w:r>
      <w:proofErr w:type="spellEnd"/>
    </w:p>
    <w:p w14:paraId="010EA4A6" w14:textId="77777777" w:rsidR="00B314DB" w:rsidRPr="00B314DB" w:rsidRDefault="00B314DB" w:rsidP="00B314DB">
      <w:pPr>
        <w:autoSpaceDE w:val="0"/>
        <w:autoSpaceDN w:val="0"/>
        <w:adjustRightInd w:val="0"/>
        <w:jc w:val="center"/>
        <w:rPr>
          <w:rFonts w:ascii="Abadi" w:eastAsia="Calibri" w:hAnsi="Abadi" w:cs="*Arial-Bold-4941-Identity-H"/>
          <w:b/>
          <w:bCs/>
          <w:color w:val="0B0B10"/>
          <w:sz w:val="21"/>
          <w:szCs w:val="21"/>
          <w:lang w:val="es-MX" w:eastAsia="en-US"/>
        </w:rPr>
      </w:pPr>
    </w:p>
    <w:p w14:paraId="29CF25D5" w14:textId="77777777" w:rsidR="00B314DB" w:rsidRPr="00B314DB" w:rsidRDefault="00B314DB" w:rsidP="00B314DB">
      <w:pPr>
        <w:autoSpaceDE w:val="0"/>
        <w:autoSpaceDN w:val="0"/>
        <w:adjustRightInd w:val="0"/>
        <w:jc w:val="center"/>
        <w:rPr>
          <w:rFonts w:ascii="Abadi" w:eastAsia="Calibri" w:hAnsi="Abadi" w:cs="*Arial-Bold-4941-Identity-H"/>
          <w:b/>
          <w:bCs/>
          <w:color w:val="0B0B10"/>
          <w:sz w:val="21"/>
          <w:szCs w:val="21"/>
          <w:lang w:val="es-MX" w:eastAsia="en-US"/>
        </w:rPr>
      </w:pPr>
      <w:r w:rsidRPr="00B314DB">
        <w:rPr>
          <w:rFonts w:ascii="Abadi" w:eastAsia="Calibri" w:hAnsi="Abadi" w:cs="*Arial-Bold-4941-Identity-H"/>
          <w:b/>
          <w:bCs/>
          <w:color w:val="0B0B10"/>
          <w:sz w:val="21"/>
          <w:szCs w:val="21"/>
          <w:lang w:val="es-MX" w:eastAsia="en-US"/>
        </w:rPr>
        <w:t>Diputado José Alfonso Borja Pimentel</w:t>
      </w:r>
    </w:p>
    <w:p w14:paraId="0AEB38B2" w14:textId="77777777" w:rsidR="00B314DB" w:rsidRPr="00B314DB" w:rsidRDefault="00B314DB" w:rsidP="00B314DB">
      <w:pPr>
        <w:autoSpaceDE w:val="0"/>
        <w:autoSpaceDN w:val="0"/>
        <w:adjustRightInd w:val="0"/>
        <w:jc w:val="center"/>
        <w:rPr>
          <w:rFonts w:ascii="Abadi" w:eastAsia="Calibri" w:hAnsi="Abadi" w:cs="*Arial-Bold-4941-Identity-H"/>
          <w:b/>
          <w:bCs/>
          <w:color w:val="0B0B10"/>
          <w:sz w:val="21"/>
          <w:szCs w:val="21"/>
          <w:lang w:val="es-MX" w:eastAsia="en-US"/>
        </w:rPr>
      </w:pPr>
    </w:p>
    <w:p w14:paraId="7CEABB3F" w14:textId="77777777" w:rsidR="00B314DB" w:rsidRPr="00B314DB" w:rsidRDefault="00B314DB" w:rsidP="00B314DB">
      <w:pPr>
        <w:autoSpaceDE w:val="0"/>
        <w:autoSpaceDN w:val="0"/>
        <w:adjustRightInd w:val="0"/>
        <w:jc w:val="center"/>
        <w:rPr>
          <w:rFonts w:ascii="Abadi" w:eastAsia="Calibri" w:hAnsi="Abadi" w:cs="*Arial-Bold-4941-Identity-H"/>
          <w:b/>
          <w:bCs/>
          <w:color w:val="0B0B10"/>
          <w:sz w:val="21"/>
          <w:szCs w:val="21"/>
          <w:lang w:val="es-MX" w:eastAsia="en-US"/>
        </w:rPr>
      </w:pPr>
      <w:r w:rsidRPr="00B314DB">
        <w:rPr>
          <w:rFonts w:ascii="Abadi" w:eastAsia="Calibri" w:hAnsi="Abadi" w:cs="*Arial-Bold-4941-Identity-H"/>
          <w:b/>
          <w:bCs/>
          <w:color w:val="0B0B10"/>
          <w:sz w:val="21"/>
          <w:szCs w:val="21"/>
          <w:lang w:val="es-MX" w:eastAsia="en-US"/>
        </w:rPr>
        <w:t>Diputada Alma Edwviges Alcaraz Hernández</w:t>
      </w:r>
    </w:p>
    <w:p w14:paraId="44C81516" w14:textId="77777777" w:rsidR="00D919C2" w:rsidRDefault="00D919C2" w:rsidP="00021259">
      <w:pPr>
        <w:autoSpaceDE w:val="0"/>
        <w:autoSpaceDN w:val="0"/>
        <w:adjustRightInd w:val="0"/>
        <w:jc w:val="both"/>
        <w:rPr>
          <w:rFonts w:ascii="Abadi" w:hAnsi="Abadi" w:cs="ArialMT"/>
          <w:sz w:val="20"/>
          <w:szCs w:val="21"/>
        </w:rPr>
      </w:pPr>
    </w:p>
    <w:p w14:paraId="3B5231D5" w14:textId="77777777" w:rsidR="00D919C2" w:rsidRPr="00D919C2" w:rsidRDefault="00D919C2" w:rsidP="00021259">
      <w:pPr>
        <w:autoSpaceDE w:val="0"/>
        <w:autoSpaceDN w:val="0"/>
        <w:adjustRightInd w:val="0"/>
        <w:jc w:val="both"/>
        <w:rPr>
          <w:rFonts w:ascii="Abadi" w:hAnsi="Abadi" w:cs="ArialMT"/>
          <w:sz w:val="20"/>
          <w:szCs w:val="21"/>
        </w:rPr>
      </w:pPr>
    </w:p>
    <w:p w14:paraId="47B3754D" w14:textId="77777777" w:rsidR="00021259" w:rsidRPr="001D2CB5" w:rsidRDefault="00021259" w:rsidP="00343CA9">
      <w:pPr>
        <w:pStyle w:val="Prrafodelista"/>
        <w:numPr>
          <w:ilvl w:val="0"/>
          <w:numId w:val="31"/>
        </w:numPr>
        <w:autoSpaceDE w:val="0"/>
        <w:autoSpaceDN w:val="0"/>
        <w:adjustRightInd w:val="0"/>
        <w:ind w:left="426"/>
        <w:jc w:val="both"/>
        <w:rPr>
          <w:rFonts w:ascii="Abadi" w:hAnsi="Abadi" w:cs="ArialMT"/>
          <w:b/>
          <w:bCs/>
          <w:sz w:val="20"/>
          <w:szCs w:val="21"/>
        </w:rPr>
      </w:pPr>
      <w:r w:rsidRPr="001D2CB5">
        <w:rPr>
          <w:rFonts w:ascii="Abadi" w:hAnsi="Abadi" w:cs="ArialMT"/>
          <w:b/>
          <w:bCs/>
          <w:sz w:val="20"/>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SALVATIERRA, GTO., CON ENFOQUE A RESULTADOS DEL SERVICIO DE ALUMBRADO PÚBLICO, POR EL PERIODO COMPRENDIDO DEL 1 DE ENERO AL 31 DE DICIEMBRE DEL EJERCICIO FISCAL DEL AÑO 2020. </w:t>
      </w:r>
    </w:p>
    <w:p w14:paraId="4AA7D5C0" w14:textId="77777777" w:rsidR="00021259" w:rsidRDefault="00021259" w:rsidP="000B3729">
      <w:pPr>
        <w:autoSpaceDE w:val="0"/>
        <w:autoSpaceDN w:val="0"/>
        <w:adjustRightInd w:val="0"/>
        <w:ind w:left="66"/>
        <w:jc w:val="both"/>
        <w:rPr>
          <w:rFonts w:ascii="Abadi" w:hAnsi="Abadi" w:cs="ArialMT"/>
          <w:sz w:val="20"/>
          <w:szCs w:val="21"/>
        </w:rPr>
      </w:pPr>
    </w:p>
    <w:p w14:paraId="6A1CBBC2" w14:textId="77777777" w:rsidR="00F92B47" w:rsidRDefault="00F92B47" w:rsidP="000B3729">
      <w:pPr>
        <w:autoSpaceDE w:val="0"/>
        <w:autoSpaceDN w:val="0"/>
        <w:adjustRightInd w:val="0"/>
        <w:ind w:left="66"/>
        <w:jc w:val="both"/>
        <w:rPr>
          <w:rFonts w:ascii="Abadi" w:hAnsi="Abadi" w:cs="ArialMT"/>
          <w:sz w:val="20"/>
          <w:szCs w:val="21"/>
        </w:rPr>
      </w:pPr>
    </w:p>
    <w:p w14:paraId="09D3C880" w14:textId="77777777" w:rsidR="000B3729" w:rsidRDefault="000B3729" w:rsidP="000B3729">
      <w:pPr>
        <w:autoSpaceDE w:val="0"/>
        <w:autoSpaceDN w:val="0"/>
        <w:adjustRightInd w:val="0"/>
        <w:ind w:left="66"/>
        <w:jc w:val="both"/>
        <w:rPr>
          <w:rFonts w:ascii="Abadi" w:hAnsi="Abadi" w:cs="ArialMT"/>
          <w:sz w:val="20"/>
          <w:szCs w:val="21"/>
        </w:rPr>
      </w:pPr>
    </w:p>
    <w:p w14:paraId="024114AB" w14:textId="77777777" w:rsidR="000B3729" w:rsidRPr="008C078F" w:rsidRDefault="000B3729" w:rsidP="000B3729">
      <w:pPr>
        <w:autoSpaceDE w:val="0"/>
        <w:autoSpaceDN w:val="0"/>
        <w:adjustRightInd w:val="0"/>
        <w:jc w:val="both"/>
        <w:rPr>
          <w:rFonts w:ascii="Abadi" w:eastAsia="Calibri" w:hAnsi="Abadi" w:cs="*Arial-Bold-6873-Identity-H"/>
          <w:b/>
          <w:bCs/>
          <w:color w:val="0D0C10"/>
          <w:sz w:val="21"/>
          <w:szCs w:val="21"/>
          <w:lang w:val="es-MX" w:eastAsia="en-US"/>
        </w:rPr>
      </w:pPr>
      <w:r w:rsidRPr="008C078F">
        <w:rPr>
          <w:rFonts w:ascii="Abadi" w:eastAsia="Calibri" w:hAnsi="Abadi" w:cs="*Arial-Bold-6873-Identity-H"/>
          <w:b/>
          <w:bCs/>
          <w:color w:val="0D0C10"/>
          <w:sz w:val="21"/>
          <w:szCs w:val="21"/>
          <w:lang w:val="es-MX" w:eastAsia="en-US"/>
        </w:rPr>
        <w:t>C. PRESIDENTA DEL CONGRESO DEL ESTADO.</w:t>
      </w:r>
    </w:p>
    <w:p w14:paraId="15C2A77C" w14:textId="77777777" w:rsidR="000B3729" w:rsidRPr="008C078F" w:rsidRDefault="000B3729" w:rsidP="000B3729">
      <w:pPr>
        <w:autoSpaceDE w:val="0"/>
        <w:autoSpaceDN w:val="0"/>
        <w:adjustRightInd w:val="0"/>
        <w:jc w:val="both"/>
        <w:rPr>
          <w:rFonts w:ascii="Abadi" w:eastAsia="Calibri" w:hAnsi="Abadi" w:cs="*Arial-Bold-6873-Identity-H"/>
          <w:b/>
          <w:bCs/>
          <w:color w:val="0D0C10"/>
          <w:sz w:val="21"/>
          <w:szCs w:val="21"/>
          <w:lang w:val="es-MX" w:eastAsia="en-US"/>
        </w:rPr>
      </w:pPr>
      <w:r w:rsidRPr="008C078F">
        <w:rPr>
          <w:rFonts w:ascii="Abadi" w:eastAsia="Calibri" w:hAnsi="Abadi" w:cs="*Arial-Bold-6873-Identity-H"/>
          <w:b/>
          <w:bCs/>
          <w:color w:val="0D0C10"/>
          <w:sz w:val="21"/>
          <w:szCs w:val="21"/>
          <w:lang w:val="es-MX" w:eastAsia="en-US"/>
        </w:rPr>
        <w:t>P R E S E N T E.</w:t>
      </w:r>
    </w:p>
    <w:p w14:paraId="679FFED6" w14:textId="77777777" w:rsidR="000B3729" w:rsidRPr="008C078F" w:rsidRDefault="000B3729" w:rsidP="000B3729">
      <w:pPr>
        <w:autoSpaceDE w:val="0"/>
        <w:autoSpaceDN w:val="0"/>
        <w:adjustRightInd w:val="0"/>
        <w:jc w:val="both"/>
        <w:rPr>
          <w:rFonts w:ascii="Abadi" w:eastAsia="Calibri" w:hAnsi="Abadi" w:cs="*Arial-Bold-6873-Identity-H"/>
          <w:b/>
          <w:bCs/>
          <w:color w:val="0D0C10"/>
          <w:sz w:val="21"/>
          <w:szCs w:val="21"/>
          <w:lang w:val="es-MX" w:eastAsia="en-US"/>
        </w:rPr>
      </w:pPr>
    </w:p>
    <w:p w14:paraId="000050D5" w14:textId="77777777" w:rsidR="000B3729" w:rsidRPr="008C078F" w:rsidRDefault="000B3729" w:rsidP="000B3729">
      <w:pPr>
        <w:autoSpaceDE w:val="0"/>
        <w:autoSpaceDN w:val="0"/>
        <w:adjustRightInd w:val="0"/>
        <w:ind w:firstLine="708"/>
        <w:jc w:val="both"/>
        <w:rPr>
          <w:rFonts w:ascii="Abadi" w:eastAsia="Calibri" w:hAnsi="Abadi" w:cs="*Arial-6871-Identity-H"/>
          <w:color w:val="0D0C0F"/>
          <w:sz w:val="21"/>
          <w:szCs w:val="21"/>
          <w:lang w:val="es-MX" w:eastAsia="en-US"/>
        </w:rPr>
      </w:pPr>
      <w:r w:rsidRPr="008C078F">
        <w:rPr>
          <w:rFonts w:ascii="Abadi" w:eastAsia="Calibri" w:hAnsi="Abadi" w:cs="*Arial-6871-Identity-H"/>
          <w:color w:val="0D0C0F"/>
          <w:sz w:val="21"/>
          <w:szCs w:val="21"/>
          <w:lang w:val="es-MX" w:eastAsia="en-US"/>
        </w:rPr>
        <w:t xml:space="preserve">A esta Comisión de Hacienda y Fiscalización le fue turnado para su estudio y dictamen, el informe de resultados de la auditoría de desempeño practicada por la Auditoría Superior del Estado de Guanajuato a la administración municipal de Salvatierra, </w:t>
      </w:r>
      <w:proofErr w:type="spellStart"/>
      <w:r w:rsidRPr="008C078F">
        <w:rPr>
          <w:rFonts w:ascii="Abadi" w:eastAsia="Calibri" w:hAnsi="Abadi" w:cs="*Arial-6871-Identity-H"/>
          <w:color w:val="0D0C0F"/>
          <w:sz w:val="21"/>
          <w:szCs w:val="21"/>
          <w:lang w:val="es-MX" w:eastAsia="en-US"/>
        </w:rPr>
        <w:t>Gto</w:t>
      </w:r>
      <w:proofErr w:type="spellEnd"/>
      <w:r w:rsidRPr="008C078F">
        <w:rPr>
          <w:rFonts w:ascii="Abadi" w:eastAsia="Calibri" w:hAnsi="Abadi" w:cs="*Arial-6871-Identity-H"/>
          <w:color w:val="0D0C0F"/>
          <w:sz w:val="21"/>
          <w:szCs w:val="21"/>
          <w:lang w:val="es-MX" w:eastAsia="en-US"/>
        </w:rPr>
        <w:t>., con enfoque a resultados del servicio de alumbrado público, por el periodo comprendido del 1 de enero al 31 de diciembre del ejercicio fiscal del año 2020.</w:t>
      </w:r>
    </w:p>
    <w:p w14:paraId="27299CE0" w14:textId="77777777" w:rsidR="000B3729" w:rsidRPr="008C078F" w:rsidRDefault="000B3729" w:rsidP="000B3729">
      <w:pPr>
        <w:autoSpaceDE w:val="0"/>
        <w:autoSpaceDN w:val="0"/>
        <w:adjustRightInd w:val="0"/>
        <w:jc w:val="both"/>
        <w:rPr>
          <w:rFonts w:ascii="Abadi" w:eastAsia="Calibri" w:hAnsi="Abadi" w:cs="*Arial-6871-Identity-H"/>
          <w:color w:val="0D0C0F"/>
          <w:sz w:val="21"/>
          <w:szCs w:val="21"/>
          <w:lang w:val="es-MX" w:eastAsia="en-US"/>
        </w:rPr>
      </w:pPr>
    </w:p>
    <w:p w14:paraId="0273F846" w14:textId="77777777" w:rsidR="000B3729" w:rsidRPr="008C078F" w:rsidRDefault="000B3729" w:rsidP="000B3729">
      <w:pPr>
        <w:autoSpaceDE w:val="0"/>
        <w:autoSpaceDN w:val="0"/>
        <w:adjustRightInd w:val="0"/>
        <w:ind w:firstLine="708"/>
        <w:jc w:val="both"/>
        <w:rPr>
          <w:rFonts w:ascii="Abadi" w:eastAsia="Calibri" w:hAnsi="Abadi" w:cs="*Arial-6871-Identity-H"/>
          <w:color w:val="0D0D0F"/>
          <w:sz w:val="21"/>
          <w:szCs w:val="21"/>
          <w:lang w:val="es-MX" w:eastAsia="en-US"/>
        </w:rPr>
      </w:pPr>
      <w:r w:rsidRPr="008C078F">
        <w:rPr>
          <w:rFonts w:ascii="Abadi" w:eastAsia="Calibri" w:hAnsi="Abadi" w:cs="*Arial-6871-Identity-H"/>
          <w:color w:val="0D0D0F"/>
          <w:sz w:val="21"/>
          <w:szCs w:val="21"/>
          <w:lang w:val="es-MX" w:eastAsia="en-US"/>
        </w:rPr>
        <w:t>Una vez analizado el referido informe de resultados, con fundamento en los artículos 112 fracción XII, primer párrafo y 171 de la Ley Orgánica del Poder Legislativo, nos permitimos rendir el siguiente:</w:t>
      </w:r>
    </w:p>
    <w:p w14:paraId="36084DDA" w14:textId="77777777" w:rsidR="000B3729" w:rsidRPr="008C078F" w:rsidRDefault="000B3729" w:rsidP="000B3729">
      <w:pPr>
        <w:autoSpaceDE w:val="0"/>
        <w:autoSpaceDN w:val="0"/>
        <w:adjustRightInd w:val="0"/>
        <w:jc w:val="both"/>
        <w:rPr>
          <w:rFonts w:ascii="Abadi" w:eastAsia="Calibri" w:hAnsi="Abadi" w:cs="*Arial-Bold-6872-Identity-H"/>
          <w:b/>
          <w:bCs/>
          <w:color w:val="0C0B11"/>
          <w:sz w:val="21"/>
          <w:szCs w:val="21"/>
          <w:lang w:val="es-MX" w:eastAsia="en-US"/>
        </w:rPr>
      </w:pPr>
    </w:p>
    <w:p w14:paraId="779F756B" w14:textId="77777777" w:rsidR="000B3729" w:rsidRPr="008C078F" w:rsidRDefault="000B3729" w:rsidP="000B3729">
      <w:pPr>
        <w:autoSpaceDE w:val="0"/>
        <w:autoSpaceDN w:val="0"/>
        <w:adjustRightInd w:val="0"/>
        <w:jc w:val="center"/>
        <w:rPr>
          <w:rFonts w:ascii="Abadi" w:eastAsia="Calibri" w:hAnsi="Abadi" w:cs="*Arial-Bold-6872-Identity-H"/>
          <w:b/>
          <w:bCs/>
          <w:color w:val="0C0B11"/>
          <w:sz w:val="21"/>
          <w:szCs w:val="21"/>
          <w:lang w:val="es-MX" w:eastAsia="en-US"/>
        </w:rPr>
      </w:pPr>
      <w:r w:rsidRPr="008C078F">
        <w:rPr>
          <w:rFonts w:ascii="Abadi" w:eastAsia="Calibri" w:hAnsi="Abadi" w:cs="*Arial-Bold-6872-Identity-H"/>
          <w:b/>
          <w:bCs/>
          <w:color w:val="0C0B11"/>
          <w:sz w:val="21"/>
          <w:szCs w:val="21"/>
          <w:lang w:val="es-MX" w:eastAsia="en-US"/>
        </w:rPr>
        <w:t>Dictamen</w:t>
      </w:r>
    </w:p>
    <w:p w14:paraId="3B6876D1" w14:textId="77777777" w:rsidR="000B3729" w:rsidRPr="008C078F" w:rsidRDefault="000B3729" w:rsidP="000B3729">
      <w:pPr>
        <w:autoSpaceDE w:val="0"/>
        <w:autoSpaceDN w:val="0"/>
        <w:adjustRightInd w:val="0"/>
        <w:jc w:val="both"/>
        <w:rPr>
          <w:rFonts w:ascii="Abadi" w:eastAsia="Calibri" w:hAnsi="Abadi" w:cs="*Arial-Bold-6872-Identity-H"/>
          <w:b/>
          <w:bCs/>
          <w:color w:val="0C0B11"/>
          <w:sz w:val="21"/>
          <w:szCs w:val="21"/>
          <w:lang w:val="es-MX" w:eastAsia="en-US"/>
        </w:rPr>
      </w:pPr>
    </w:p>
    <w:p w14:paraId="31A30DF6" w14:textId="77777777" w:rsidR="000B3729" w:rsidRPr="008C078F" w:rsidRDefault="000B3729" w:rsidP="000B3729">
      <w:pPr>
        <w:autoSpaceDE w:val="0"/>
        <w:autoSpaceDN w:val="0"/>
        <w:adjustRightInd w:val="0"/>
        <w:ind w:firstLine="708"/>
        <w:jc w:val="both"/>
        <w:rPr>
          <w:rFonts w:ascii="Abadi" w:eastAsia="Calibri" w:hAnsi="Abadi" w:cs="*Arial-Bold-6872-Identity-H"/>
          <w:b/>
          <w:bCs/>
          <w:color w:val="0C0B11"/>
          <w:sz w:val="21"/>
          <w:szCs w:val="21"/>
          <w:lang w:val="es-MX" w:eastAsia="en-US"/>
        </w:rPr>
      </w:pPr>
      <w:r w:rsidRPr="008C078F">
        <w:rPr>
          <w:rFonts w:ascii="Abadi" w:eastAsia="Calibri" w:hAnsi="Abadi" w:cs="*Arial-Bold-6872-Identity-H"/>
          <w:b/>
          <w:bCs/>
          <w:color w:val="0C0B11"/>
          <w:sz w:val="21"/>
          <w:szCs w:val="21"/>
          <w:lang w:val="es-MX" w:eastAsia="en-US"/>
        </w:rPr>
        <w:t>l. Competencia:</w:t>
      </w:r>
    </w:p>
    <w:p w14:paraId="575B6EA2" w14:textId="77777777" w:rsidR="000B3729" w:rsidRPr="008C078F" w:rsidRDefault="000B3729" w:rsidP="000B3729">
      <w:pPr>
        <w:autoSpaceDE w:val="0"/>
        <w:autoSpaceDN w:val="0"/>
        <w:adjustRightInd w:val="0"/>
        <w:jc w:val="both"/>
        <w:rPr>
          <w:rFonts w:ascii="Abadi" w:eastAsia="Calibri" w:hAnsi="Abadi" w:cs="*Arial-6871-Identity-H"/>
          <w:color w:val="0C0C0F"/>
          <w:sz w:val="21"/>
          <w:szCs w:val="21"/>
          <w:lang w:val="es-MX" w:eastAsia="en-US"/>
        </w:rPr>
      </w:pPr>
    </w:p>
    <w:p w14:paraId="233B17C9" w14:textId="51828AE9" w:rsidR="000B3729" w:rsidRPr="008C078F" w:rsidRDefault="000B3729" w:rsidP="00F92B47">
      <w:pPr>
        <w:autoSpaceDE w:val="0"/>
        <w:autoSpaceDN w:val="0"/>
        <w:adjustRightInd w:val="0"/>
        <w:ind w:firstLine="708"/>
        <w:jc w:val="both"/>
        <w:rPr>
          <w:rFonts w:ascii="Abadi" w:eastAsia="Calibri" w:hAnsi="Abadi" w:cs="*Arial-6871-Identity-H"/>
          <w:color w:val="0C0C0F"/>
          <w:sz w:val="21"/>
          <w:szCs w:val="21"/>
          <w:lang w:val="es-MX" w:eastAsia="en-US"/>
        </w:rPr>
      </w:pPr>
      <w:r w:rsidRPr="008C078F">
        <w:rPr>
          <w:rFonts w:ascii="Abadi" w:eastAsia="Calibri" w:hAnsi="Abadi" w:cs="*Arial-6871-Identity-H"/>
          <w:color w:val="0C0C0F"/>
          <w:sz w:val="21"/>
          <w:szCs w:val="21"/>
          <w:lang w:val="es-MX" w:eastAsia="en-US"/>
        </w:rPr>
        <w:t xml:space="preserve">Las facultades de la legislatura local en materia de fiscalización de las cuentas públicas tienen su fundamento en lo dispuesto por el artículo 63 fracciones </w:t>
      </w:r>
      <w:r w:rsidRPr="00F92B47">
        <w:rPr>
          <w:rFonts w:ascii="Abadi" w:eastAsia="Calibri" w:hAnsi="Abadi" w:cs="*Microsoft Sans Serif-Bold-6874"/>
          <w:color w:val="0C0C0F"/>
          <w:sz w:val="21"/>
          <w:szCs w:val="21"/>
          <w:lang w:val="es-MX" w:eastAsia="en-US"/>
        </w:rPr>
        <w:t xml:space="preserve">XVIII, XIX </w:t>
      </w:r>
      <w:r w:rsidRPr="00F92B47">
        <w:rPr>
          <w:rFonts w:ascii="Abadi" w:eastAsia="Calibri" w:hAnsi="Abadi" w:cs="*Arial-6871-Identity-H"/>
          <w:color w:val="0C0C0F"/>
          <w:sz w:val="21"/>
          <w:szCs w:val="21"/>
          <w:lang w:val="es-MX" w:eastAsia="en-US"/>
        </w:rPr>
        <w:t xml:space="preserve">y </w:t>
      </w:r>
      <w:r w:rsidRPr="00F92B47">
        <w:rPr>
          <w:rFonts w:ascii="Abadi" w:eastAsia="Calibri" w:hAnsi="Abadi" w:cs="*Microsoft Sans Serif-Bold-6874"/>
          <w:color w:val="0C0C0F"/>
          <w:sz w:val="21"/>
          <w:szCs w:val="21"/>
          <w:lang w:val="es-MX" w:eastAsia="en-US"/>
        </w:rPr>
        <w:t>XXVIII</w:t>
      </w:r>
      <w:r w:rsidRPr="008C078F">
        <w:rPr>
          <w:rFonts w:ascii="Abadi" w:eastAsia="Calibri" w:hAnsi="Abadi" w:cs="*Microsoft Sans Serif-Bold-6874"/>
          <w:b/>
          <w:bCs/>
          <w:color w:val="0C0C0F"/>
          <w:sz w:val="21"/>
          <w:szCs w:val="21"/>
          <w:lang w:val="es-MX" w:eastAsia="en-US"/>
        </w:rPr>
        <w:t xml:space="preserve"> </w:t>
      </w:r>
      <w:r w:rsidRPr="008C078F">
        <w:rPr>
          <w:rFonts w:ascii="Abadi" w:eastAsia="Calibri" w:hAnsi="Abadi" w:cs="*Arial-6871-Identity-H"/>
          <w:color w:val="0C0C0F"/>
          <w:sz w:val="21"/>
          <w:szCs w:val="21"/>
          <w:lang w:val="es-MX" w:eastAsia="en-US"/>
        </w:rPr>
        <w:t>de la Constitución Política para el Estado de Guanajuato. Estos dispositivos establecen que el Congreso del Estado tiene la</w:t>
      </w:r>
      <w:r w:rsidR="00F92B47">
        <w:rPr>
          <w:rFonts w:ascii="Abadi" w:eastAsia="Calibri" w:hAnsi="Abadi" w:cs="*Arial-6871-Identity-H"/>
          <w:color w:val="0C0C0F"/>
          <w:sz w:val="21"/>
          <w:szCs w:val="21"/>
          <w:lang w:val="es-MX" w:eastAsia="en-US"/>
        </w:rPr>
        <w:t xml:space="preserve"> </w:t>
      </w:r>
      <w:r w:rsidRPr="008C078F">
        <w:rPr>
          <w:rFonts w:ascii="Abadi" w:eastAsia="Calibri" w:hAnsi="Abadi" w:cs="*Arial-6871-Identity-H"/>
          <w:color w:val="0C0C0F"/>
          <w:sz w:val="21"/>
          <w:szCs w:val="21"/>
          <w:lang w:val="es-MX" w:eastAsia="en-US"/>
        </w:rPr>
        <w:t>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w:t>
      </w:r>
      <w:r>
        <w:rPr>
          <w:rFonts w:ascii="Abadi" w:eastAsia="Calibri" w:hAnsi="Abadi" w:cs="*Arial-6871-Identity-H"/>
          <w:color w:val="0C0C0F"/>
          <w:sz w:val="21"/>
          <w:szCs w:val="21"/>
          <w:lang w:val="es-MX" w:eastAsia="en-US"/>
        </w:rPr>
        <w:t xml:space="preserve"> </w:t>
      </w:r>
      <w:r w:rsidRPr="008C078F">
        <w:rPr>
          <w:rFonts w:ascii="Abadi" w:eastAsia="Calibri" w:hAnsi="Abadi" w:cs="*Arial-6871-Identity-H"/>
          <w:color w:val="0C0C0F"/>
          <w:sz w:val="21"/>
          <w:szCs w:val="21"/>
          <w:lang w:val="es-MX" w:eastAsia="en-US"/>
        </w:rPr>
        <w:t>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2D0C4061" w14:textId="77777777" w:rsidR="000B3729" w:rsidRPr="008C078F" w:rsidRDefault="000B3729" w:rsidP="000B3729">
      <w:pPr>
        <w:autoSpaceDE w:val="0"/>
        <w:autoSpaceDN w:val="0"/>
        <w:adjustRightInd w:val="0"/>
        <w:jc w:val="both"/>
        <w:rPr>
          <w:rFonts w:ascii="Abadi" w:eastAsia="Calibri" w:hAnsi="Abadi" w:cs="*Arial-6871-Identity-H"/>
          <w:color w:val="0C0C0F"/>
          <w:sz w:val="21"/>
          <w:szCs w:val="21"/>
          <w:lang w:val="es-MX" w:eastAsia="en-US"/>
        </w:rPr>
      </w:pPr>
    </w:p>
    <w:p w14:paraId="4A0E9238" w14:textId="77777777" w:rsidR="000B3729" w:rsidRPr="008C078F" w:rsidRDefault="000B3729" w:rsidP="000B3729">
      <w:pPr>
        <w:autoSpaceDE w:val="0"/>
        <w:autoSpaceDN w:val="0"/>
        <w:adjustRightInd w:val="0"/>
        <w:ind w:firstLine="708"/>
        <w:jc w:val="both"/>
        <w:rPr>
          <w:rFonts w:ascii="Abadi" w:eastAsia="Calibri" w:hAnsi="Abadi" w:cs="*Arial-6871-Identity-H"/>
          <w:color w:val="0C0C0F"/>
          <w:sz w:val="21"/>
          <w:szCs w:val="21"/>
          <w:lang w:val="es-MX" w:eastAsia="en-US"/>
        </w:rPr>
      </w:pPr>
      <w:r w:rsidRPr="008C078F">
        <w:rPr>
          <w:rFonts w:ascii="Abadi" w:eastAsia="Calibri" w:hAnsi="Abadi" w:cs="*Arial-6871-Identity-H"/>
          <w:color w:val="0C0C0F"/>
          <w:sz w:val="21"/>
          <w:szCs w:val="21"/>
          <w:lang w:val="es-MX" w:eastAsia="en-US"/>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C0C450A" w14:textId="77777777" w:rsidR="000B3729" w:rsidRPr="008C078F" w:rsidRDefault="000B3729" w:rsidP="000B3729">
      <w:pPr>
        <w:autoSpaceDE w:val="0"/>
        <w:autoSpaceDN w:val="0"/>
        <w:adjustRightInd w:val="0"/>
        <w:jc w:val="both"/>
        <w:rPr>
          <w:rFonts w:ascii="Abadi" w:eastAsia="Calibri" w:hAnsi="Abadi" w:cs="*Arial-6953-Identity-H"/>
          <w:color w:val="0D0D10"/>
          <w:sz w:val="21"/>
          <w:szCs w:val="21"/>
          <w:lang w:val="es-MX" w:eastAsia="en-US"/>
        </w:rPr>
      </w:pPr>
    </w:p>
    <w:p w14:paraId="6DC14A2D" w14:textId="77777777" w:rsidR="000B3729" w:rsidRPr="008C078F" w:rsidRDefault="000B3729" w:rsidP="000B3729">
      <w:pPr>
        <w:autoSpaceDE w:val="0"/>
        <w:autoSpaceDN w:val="0"/>
        <w:adjustRightInd w:val="0"/>
        <w:ind w:firstLine="708"/>
        <w:jc w:val="both"/>
        <w:rPr>
          <w:rFonts w:ascii="Abadi" w:eastAsia="Calibri" w:hAnsi="Abadi" w:cs="*Arial-6953-Identity-H"/>
          <w:color w:val="0D0D10"/>
          <w:sz w:val="21"/>
          <w:szCs w:val="21"/>
          <w:lang w:val="es-MX" w:eastAsia="en-US"/>
        </w:rPr>
      </w:pPr>
      <w:r w:rsidRPr="008C078F">
        <w:rPr>
          <w:rFonts w:ascii="Abadi" w:eastAsia="Calibri" w:hAnsi="Abadi" w:cs="*Arial-6953-Identity-H"/>
          <w:color w:val="0D0D10"/>
          <w:sz w:val="21"/>
          <w:szCs w:val="21"/>
          <w:lang w:val="es-MX" w:eastAsia="en-US"/>
        </w:rPr>
        <w:t xml:space="preserve">De igual forma, el artículo 82, fracción </w:t>
      </w:r>
      <w:r w:rsidRPr="00F92B47">
        <w:rPr>
          <w:rFonts w:ascii="Abadi" w:eastAsia="Calibri" w:hAnsi="Abadi" w:cs="*Microsoft Sans Serif-Bold-6955"/>
          <w:color w:val="0D0D10"/>
          <w:sz w:val="21"/>
          <w:szCs w:val="21"/>
          <w:lang w:val="es-MX" w:eastAsia="en-US"/>
        </w:rPr>
        <w:t xml:space="preserve">XXIV </w:t>
      </w:r>
      <w:r w:rsidRPr="00F92B47">
        <w:rPr>
          <w:rFonts w:ascii="Abadi" w:eastAsia="Calibri" w:hAnsi="Abadi" w:cs="*Arial-6953-Identity-H"/>
          <w:color w:val="0D0D10"/>
          <w:sz w:val="21"/>
          <w:szCs w:val="21"/>
          <w:lang w:val="es-MX" w:eastAsia="en-US"/>
        </w:rPr>
        <w:t>de</w:t>
      </w:r>
      <w:r w:rsidRPr="008C078F">
        <w:rPr>
          <w:rFonts w:ascii="Abadi" w:eastAsia="Calibri" w:hAnsi="Abadi" w:cs="*Arial-6953-Identity-H"/>
          <w:color w:val="0D0D10"/>
          <w:sz w:val="21"/>
          <w:szCs w:val="21"/>
          <w:lang w:val="es-MX" w:eastAsia="en-US"/>
        </w:rPr>
        <w:t xml:space="preserve"> la Ley de Fiscalización Superior del Estado de Guanajuato establece como atribución de la Auditoría Superior del Estado, rendir al Congreso, los informes derivados del ejercicio de la función de fiscalización.</w:t>
      </w:r>
    </w:p>
    <w:p w14:paraId="2B478D5F" w14:textId="77777777" w:rsidR="000B3729" w:rsidRPr="008C078F" w:rsidRDefault="000B3729" w:rsidP="000B3729">
      <w:pPr>
        <w:autoSpaceDE w:val="0"/>
        <w:autoSpaceDN w:val="0"/>
        <w:adjustRightInd w:val="0"/>
        <w:jc w:val="both"/>
        <w:rPr>
          <w:rFonts w:ascii="Abadi" w:eastAsia="Calibri" w:hAnsi="Abadi" w:cs="*Arial-6953-Identity-H"/>
          <w:color w:val="0D0C0F"/>
          <w:sz w:val="21"/>
          <w:szCs w:val="21"/>
          <w:lang w:val="es-MX" w:eastAsia="en-US"/>
        </w:rPr>
      </w:pPr>
    </w:p>
    <w:p w14:paraId="73073413" w14:textId="4336250D" w:rsidR="000B3729" w:rsidRPr="008C078F" w:rsidRDefault="000B3729" w:rsidP="000B3729">
      <w:pPr>
        <w:autoSpaceDE w:val="0"/>
        <w:autoSpaceDN w:val="0"/>
        <w:adjustRightInd w:val="0"/>
        <w:ind w:firstLine="708"/>
        <w:jc w:val="both"/>
        <w:rPr>
          <w:rFonts w:ascii="Abadi" w:eastAsia="Calibri" w:hAnsi="Abadi" w:cs="*Arial-6953-Identity-H"/>
          <w:color w:val="0D0C0F"/>
          <w:sz w:val="21"/>
          <w:szCs w:val="21"/>
          <w:lang w:val="es-MX" w:eastAsia="en-US"/>
        </w:rPr>
      </w:pPr>
      <w:r w:rsidRPr="008C078F">
        <w:rPr>
          <w:rFonts w:ascii="Abadi" w:eastAsia="Calibri" w:hAnsi="Abadi" w:cs="*Arial-6953-Identity-H"/>
          <w:color w:val="0D0C0F"/>
          <w:sz w:val="21"/>
          <w:szCs w:val="21"/>
          <w:lang w:val="es-MX" w:eastAsia="en-US"/>
        </w:rPr>
        <w:t xml:space="preserve">En razón de lo cual, la Ley de Fiscalización Superior del Estado de Guanajuato establece que la Auditoría Superior debe remitir los informes de resultados al Congreso del Estado, a efecto de que éste realice la declaratoria correspondiente, señalándose en el </w:t>
      </w:r>
      <w:r w:rsidR="001B03F4" w:rsidRPr="008C078F">
        <w:rPr>
          <w:rFonts w:ascii="Abadi" w:eastAsia="Calibri" w:hAnsi="Abadi" w:cs="*Arial-6953-Identity-H"/>
          <w:color w:val="0D0C0F"/>
          <w:sz w:val="21"/>
          <w:szCs w:val="21"/>
          <w:lang w:val="es-MX" w:eastAsia="en-US"/>
        </w:rPr>
        <w:t>artículo</w:t>
      </w:r>
      <w:r w:rsidRPr="008C078F">
        <w:rPr>
          <w:rFonts w:ascii="Abadi" w:eastAsia="Calibri" w:hAnsi="Abadi" w:cs="*Arial-6953-Identity-H"/>
          <w:color w:val="0D0C0F"/>
          <w:sz w:val="21"/>
          <w:szCs w:val="21"/>
          <w:lang w:val="es-MX" w:eastAsia="en-US"/>
        </w:rPr>
        <w:t xml:space="preserve"> 38 que el informe de resultados únicamente podrá ser observado por las dos terceras partes de los diputados integrantes del Congreso, cuando no se observen las formalidades esenciales del proceso de fiscalización.</w:t>
      </w:r>
    </w:p>
    <w:p w14:paraId="7665B070" w14:textId="77777777" w:rsidR="000B3729" w:rsidRPr="008C078F" w:rsidRDefault="000B3729" w:rsidP="000B3729">
      <w:pPr>
        <w:autoSpaceDE w:val="0"/>
        <w:autoSpaceDN w:val="0"/>
        <w:adjustRightInd w:val="0"/>
        <w:jc w:val="both"/>
        <w:rPr>
          <w:rFonts w:ascii="Abadi" w:eastAsia="Calibri" w:hAnsi="Abadi" w:cs="*Arial-6953-Identity-H"/>
          <w:color w:val="0D0C0F"/>
          <w:sz w:val="21"/>
          <w:szCs w:val="21"/>
          <w:lang w:val="es-MX" w:eastAsia="en-US"/>
        </w:rPr>
      </w:pPr>
    </w:p>
    <w:p w14:paraId="362EBC7D" w14:textId="77777777" w:rsidR="000B3729" w:rsidRPr="008C078F" w:rsidRDefault="000B3729" w:rsidP="000B3729">
      <w:pPr>
        <w:autoSpaceDE w:val="0"/>
        <w:autoSpaceDN w:val="0"/>
        <w:adjustRightInd w:val="0"/>
        <w:ind w:firstLine="708"/>
        <w:jc w:val="both"/>
        <w:rPr>
          <w:rFonts w:ascii="Abadi" w:eastAsia="Calibri" w:hAnsi="Abadi" w:cs="*Arial-6953-Identity-H"/>
          <w:color w:val="0D0C0F"/>
          <w:sz w:val="21"/>
          <w:szCs w:val="21"/>
          <w:lang w:val="es-MX" w:eastAsia="en-US"/>
        </w:rPr>
      </w:pPr>
      <w:r w:rsidRPr="008C078F">
        <w:rPr>
          <w:rFonts w:ascii="Abadi" w:eastAsia="Calibri" w:hAnsi="Abadi" w:cs="*Arial-6953-Identity-H"/>
          <w:color w:val="0D0C0F"/>
          <w:sz w:val="21"/>
          <w:szCs w:val="21"/>
          <w:lang w:val="es-MX" w:eastAsia="en-US"/>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3A01CE5E" w14:textId="77777777" w:rsidR="000B3729" w:rsidRPr="008C078F" w:rsidRDefault="000B3729" w:rsidP="000B3729">
      <w:pPr>
        <w:autoSpaceDE w:val="0"/>
        <w:autoSpaceDN w:val="0"/>
        <w:adjustRightInd w:val="0"/>
        <w:jc w:val="both"/>
        <w:rPr>
          <w:rFonts w:ascii="Abadi" w:eastAsia="Calibri" w:hAnsi="Abadi" w:cs="*Arial-6953-Identity-H"/>
          <w:color w:val="0C0C0E"/>
          <w:sz w:val="21"/>
          <w:szCs w:val="21"/>
          <w:lang w:val="es-MX" w:eastAsia="en-US"/>
        </w:rPr>
      </w:pPr>
    </w:p>
    <w:p w14:paraId="7256C682" w14:textId="77777777" w:rsidR="000B3729" w:rsidRPr="008C078F" w:rsidRDefault="000B3729" w:rsidP="000B3729">
      <w:pPr>
        <w:autoSpaceDE w:val="0"/>
        <w:autoSpaceDN w:val="0"/>
        <w:adjustRightInd w:val="0"/>
        <w:ind w:firstLine="708"/>
        <w:jc w:val="both"/>
        <w:rPr>
          <w:rFonts w:ascii="Abadi" w:eastAsia="Calibri" w:hAnsi="Abadi" w:cs="*Arial-6953-Identity-H"/>
          <w:color w:val="0C0C0E"/>
          <w:sz w:val="21"/>
          <w:szCs w:val="21"/>
          <w:lang w:val="es-MX" w:eastAsia="en-US"/>
        </w:rPr>
      </w:pPr>
      <w:r w:rsidRPr="008C078F">
        <w:rPr>
          <w:rFonts w:ascii="Abadi" w:eastAsia="Calibri" w:hAnsi="Abadi" w:cs="*Arial-6953-Identity-H"/>
          <w:color w:val="0C0C0E"/>
          <w:sz w:val="21"/>
          <w:szCs w:val="21"/>
          <w:lang w:val="es-MX" w:eastAsia="en-US"/>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060A6BAE" w14:textId="77777777" w:rsidR="000B3729" w:rsidRPr="008C078F" w:rsidRDefault="000B3729" w:rsidP="000B3729">
      <w:pPr>
        <w:autoSpaceDE w:val="0"/>
        <w:autoSpaceDN w:val="0"/>
        <w:adjustRightInd w:val="0"/>
        <w:jc w:val="both"/>
        <w:rPr>
          <w:rFonts w:ascii="Abadi" w:eastAsia="Calibri" w:hAnsi="Abadi" w:cs="*Microsoft Sans Serif-Bold-6955"/>
          <w:b/>
          <w:bCs/>
          <w:color w:val="0C0A10"/>
          <w:sz w:val="21"/>
          <w:szCs w:val="21"/>
          <w:lang w:val="es-MX" w:eastAsia="en-US"/>
        </w:rPr>
      </w:pPr>
    </w:p>
    <w:p w14:paraId="58D1AED4" w14:textId="77777777" w:rsidR="000B3729" w:rsidRPr="008C078F" w:rsidRDefault="000B3729" w:rsidP="000B3729">
      <w:pPr>
        <w:autoSpaceDE w:val="0"/>
        <w:autoSpaceDN w:val="0"/>
        <w:adjustRightInd w:val="0"/>
        <w:ind w:firstLine="708"/>
        <w:jc w:val="both"/>
        <w:rPr>
          <w:rFonts w:ascii="Abadi" w:eastAsia="Calibri" w:hAnsi="Abadi" w:cs="*Microsoft Sans Serif-Bold-6955"/>
          <w:b/>
          <w:bCs/>
          <w:color w:val="0C0A10"/>
          <w:sz w:val="21"/>
          <w:szCs w:val="21"/>
          <w:lang w:val="es-MX" w:eastAsia="en-US"/>
        </w:rPr>
      </w:pPr>
      <w:r w:rsidRPr="008C078F">
        <w:rPr>
          <w:rFonts w:ascii="Abadi" w:eastAsia="Calibri" w:hAnsi="Abadi" w:cs="*Microsoft Sans Serif-Bold-6955"/>
          <w:b/>
          <w:bCs/>
          <w:color w:val="0C0A10"/>
          <w:sz w:val="21"/>
          <w:szCs w:val="21"/>
          <w:lang w:val="es-MX" w:eastAsia="en-US"/>
        </w:rPr>
        <w:t>11. Antecedentes:</w:t>
      </w:r>
    </w:p>
    <w:p w14:paraId="7F2CD2D4" w14:textId="77777777" w:rsidR="000B3729" w:rsidRPr="008C078F" w:rsidRDefault="000B3729" w:rsidP="000B3729">
      <w:pPr>
        <w:autoSpaceDE w:val="0"/>
        <w:autoSpaceDN w:val="0"/>
        <w:adjustRightInd w:val="0"/>
        <w:jc w:val="both"/>
        <w:rPr>
          <w:rFonts w:ascii="Abadi" w:eastAsia="Calibri" w:hAnsi="Abadi" w:cs="*Arial-6953-Identity-H"/>
          <w:color w:val="0C0C0F"/>
          <w:sz w:val="21"/>
          <w:szCs w:val="21"/>
          <w:lang w:val="es-MX" w:eastAsia="en-US"/>
        </w:rPr>
      </w:pPr>
    </w:p>
    <w:p w14:paraId="75A10AB8" w14:textId="77777777" w:rsidR="000B3729" w:rsidRPr="008C078F" w:rsidRDefault="000B3729" w:rsidP="000B3729">
      <w:pPr>
        <w:autoSpaceDE w:val="0"/>
        <w:autoSpaceDN w:val="0"/>
        <w:adjustRightInd w:val="0"/>
        <w:ind w:firstLine="708"/>
        <w:jc w:val="both"/>
        <w:rPr>
          <w:rFonts w:ascii="Abadi" w:eastAsia="Calibri" w:hAnsi="Abadi" w:cs="*Arial-6953-Identity-H"/>
          <w:color w:val="0C0C0F"/>
          <w:sz w:val="21"/>
          <w:szCs w:val="21"/>
          <w:lang w:val="es-MX" w:eastAsia="en-US"/>
        </w:rPr>
      </w:pPr>
      <w:r w:rsidRPr="008C078F">
        <w:rPr>
          <w:rFonts w:ascii="Abadi" w:eastAsia="Calibri" w:hAnsi="Abadi" w:cs="*Arial-6953-Identity-H"/>
          <w:color w:val="0C0C0F"/>
          <w:sz w:val="21"/>
          <w:szCs w:val="21"/>
          <w:lang w:val="es-MX" w:eastAsia="en-US"/>
        </w:rPr>
        <w:t>De conformidad con el artículo 66, fracción I de la Constitución Política para el Estado de Guanajuato, es atribución de la Auditoria Superior del Estado realizar auditorías de desempeño en el cumplimiento de objetivos y metas contenidos en los programas, de las cuales sólo podrá emitir las recomendaciones para la mejora en el desempeño, en los términos de la Ley.</w:t>
      </w:r>
    </w:p>
    <w:p w14:paraId="3E2530DA" w14:textId="77777777" w:rsidR="000B3729" w:rsidRPr="008C078F" w:rsidRDefault="000B3729" w:rsidP="000B3729">
      <w:pPr>
        <w:autoSpaceDE w:val="0"/>
        <w:autoSpaceDN w:val="0"/>
        <w:adjustRightInd w:val="0"/>
        <w:jc w:val="both"/>
        <w:rPr>
          <w:rFonts w:ascii="Abadi" w:eastAsia="Calibri" w:hAnsi="Abadi" w:cs="*Arial-6953-Identity-H"/>
          <w:color w:val="0D0C0F"/>
          <w:sz w:val="21"/>
          <w:szCs w:val="21"/>
          <w:lang w:val="es-MX" w:eastAsia="en-US"/>
        </w:rPr>
      </w:pPr>
    </w:p>
    <w:p w14:paraId="33CFE659" w14:textId="77777777" w:rsidR="000B3729" w:rsidRPr="008C078F" w:rsidRDefault="000B3729" w:rsidP="000B3729">
      <w:pPr>
        <w:autoSpaceDE w:val="0"/>
        <w:autoSpaceDN w:val="0"/>
        <w:adjustRightInd w:val="0"/>
        <w:ind w:firstLine="708"/>
        <w:jc w:val="both"/>
        <w:rPr>
          <w:rFonts w:ascii="Abadi" w:eastAsia="Calibri" w:hAnsi="Abadi" w:cs="*Arial-6953-Identity-H"/>
          <w:color w:val="0D0C0F"/>
          <w:sz w:val="21"/>
          <w:szCs w:val="21"/>
          <w:lang w:val="es-MX" w:eastAsia="en-US"/>
        </w:rPr>
      </w:pPr>
      <w:r w:rsidRPr="008C078F">
        <w:rPr>
          <w:rFonts w:ascii="Abadi" w:eastAsia="Calibri" w:hAnsi="Abadi" w:cs="*Arial-6953-Identity-H"/>
          <w:color w:val="0D0C0F"/>
          <w:sz w:val="21"/>
          <w:szCs w:val="21"/>
          <w:lang w:val="es-MX" w:eastAsia="en-US"/>
        </w:rPr>
        <w:t>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w:t>
      </w:r>
    </w:p>
    <w:p w14:paraId="49C4C54A" w14:textId="77777777" w:rsidR="000B3729" w:rsidRPr="008C078F" w:rsidRDefault="000B3729" w:rsidP="000B3729">
      <w:pPr>
        <w:autoSpaceDE w:val="0"/>
        <w:autoSpaceDN w:val="0"/>
        <w:adjustRightInd w:val="0"/>
        <w:jc w:val="both"/>
        <w:rPr>
          <w:rFonts w:ascii="Abadi" w:eastAsia="Calibri" w:hAnsi="Abadi" w:cs="*Microsoft Sans Serif-Bold-6994"/>
          <w:b/>
          <w:bCs/>
          <w:color w:val="24242D"/>
          <w:sz w:val="21"/>
          <w:szCs w:val="21"/>
          <w:lang w:val="es-MX" w:eastAsia="en-US"/>
        </w:rPr>
      </w:pPr>
    </w:p>
    <w:p w14:paraId="1CD1835F" w14:textId="77777777" w:rsidR="000B3729" w:rsidRPr="008C078F" w:rsidRDefault="000B3729" w:rsidP="000B3729">
      <w:pPr>
        <w:autoSpaceDE w:val="0"/>
        <w:autoSpaceDN w:val="0"/>
        <w:adjustRightInd w:val="0"/>
        <w:ind w:firstLine="708"/>
        <w:jc w:val="both"/>
        <w:rPr>
          <w:rFonts w:ascii="Abadi" w:eastAsia="Calibri" w:hAnsi="Abadi" w:cs="*Arial-6993-Identity-H"/>
          <w:color w:val="0D0C0F"/>
          <w:sz w:val="21"/>
          <w:szCs w:val="21"/>
          <w:lang w:val="es-MX" w:eastAsia="en-US"/>
        </w:rPr>
      </w:pPr>
      <w:r w:rsidRPr="008C078F">
        <w:rPr>
          <w:rFonts w:ascii="Abadi" w:eastAsia="Calibri" w:hAnsi="Abadi" w:cs="*Arial-6993-Identity-H"/>
          <w:color w:val="0D0C0F"/>
          <w:sz w:val="21"/>
          <w:szCs w:val="21"/>
          <w:lang w:val="es-MX" w:eastAsia="en-US"/>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auditorias de desempeño de manera anual y únicamente formulará recomendaciones que incidan en mejorar sistemáticamente el diseño, operación e impacto de los presupuestos programáticos y las políticas públicas en su caso.</w:t>
      </w:r>
    </w:p>
    <w:p w14:paraId="2CA9A509" w14:textId="77777777" w:rsidR="000B3729" w:rsidRPr="008C078F" w:rsidRDefault="000B3729" w:rsidP="000B3729">
      <w:pPr>
        <w:autoSpaceDE w:val="0"/>
        <w:autoSpaceDN w:val="0"/>
        <w:adjustRightInd w:val="0"/>
        <w:jc w:val="both"/>
        <w:rPr>
          <w:rFonts w:ascii="Abadi" w:eastAsia="Calibri" w:hAnsi="Abadi" w:cs="*Arial-6993-Identity-H"/>
          <w:color w:val="0E0D10"/>
          <w:sz w:val="21"/>
          <w:szCs w:val="21"/>
          <w:lang w:val="es-MX" w:eastAsia="en-US"/>
        </w:rPr>
      </w:pPr>
    </w:p>
    <w:p w14:paraId="032D15BA" w14:textId="77777777" w:rsidR="000B3729" w:rsidRPr="008C078F" w:rsidRDefault="000B3729" w:rsidP="000B3729">
      <w:pPr>
        <w:autoSpaceDE w:val="0"/>
        <w:autoSpaceDN w:val="0"/>
        <w:adjustRightInd w:val="0"/>
        <w:ind w:firstLine="708"/>
        <w:jc w:val="both"/>
        <w:rPr>
          <w:rFonts w:ascii="Abadi" w:eastAsia="Calibri" w:hAnsi="Abadi" w:cs="*Arial-6993-Identity-H"/>
          <w:color w:val="0E0D10"/>
          <w:sz w:val="21"/>
          <w:szCs w:val="21"/>
          <w:lang w:val="es-MX" w:eastAsia="en-US"/>
        </w:rPr>
      </w:pPr>
      <w:r w:rsidRPr="008C078F">
        <w:rPr>
          <w:rFonts w:ascii="Abadi" w:eastAsia="Calibri" w:hAnsi="Abadi" w:cs="*Arial-6993-Identity-H"/>
          <w:color w:val="0E0D10"/>
          <w:sz w:val="21"/>
          <w:szCs w:val="21"/>
          <w:lang w:val="es-MX" w:eastAsia="en-US"/>
        </w:rPr>
        <w:t>Por su parte, los artículos 59 y 60 de la citada Ley refieren que los informes de resultados de auditorías de desempeño contendrán los requisitos señalados en el Reglamento de la Ley y que la Auditoria Superior del Estado, remitirá dichos informes al Congreso a más tardar el 30 de septiembre del ejercicio fiscal de que se trate.</w:t>
      </w:r>
    </w:p>
    <w:p w14:paraId="73A730AC" w14:textId="77777777" w:rsidR="000B3729" w:rsidRPr="008C078F" w:rsidRDefault="000B3729" w:rsidP="000B3729">
      <w:pPr>
        <w:autoSpaceDE w:val="0"/>
        <w:autoSpaceDN w:val="0"/>
        <w:adjustRightInd w:val="0"/>
        <w:jc w:val="both"/>
        <w:rPr>
          <w:rFonts w:ascii="Abadi" w:eastAsia="Calibri" w:hAnsi="Abadi" w:cs="*Arial-6993-Identity-H"/>
          <w:color w:val="0D0C0F"/>
          <w:sz w:val="21"/>
          <w:szCs w:val="21"/>
          <w:lang w:val="es-MX" w:eastAsia="en-US"/>
        </w:rPr>
      </w:pPr>
    </w:p>
    <w:p w14:paraId="700327DA" w14:textId="77777777" w:rsidR="000B3729" w:rsidRPr="008C078F" w:rsidRDefault="000B3729" w:rsidP="000B3729">
      <w:pPr>
        <w:autoSpaceDE w:val="0"/>
        <w:autoSpaceDN w:val="0"/>
        <w:adjustRightInd w:val="0"/>
        <w:ind w:firstLine="708"/>
        <w:jc w:val="both"/>
        <w:rPr>
          <w:rFonts w:ascii="Abadi" w:eastAsia="Calibri" w:hAnsi="Abadi" w:cs="*Arial-6993-Identity-H"/>
          <w:color w:val="0D0C0F"/>
          <w:sz w:val="21"/>
          <w:szCs w:val="21"/>
          <w:lang w:val="es-MX" w:eastAsia="en-US"/>
        </w:rPr>
      </w:pPr>
      <w:r w:rsidRPr="008C078F">
        <w:rPr>
          <w:rFonts w:ascii="Abadi" w:eastAsia="Calibri" w:hAnsi="Abadi" w:cs="*Arial-6993-Identity-H"/>
          <w:color w:val="0D0C0F"/>
          <w:sz w:val="21"/>
          <w:szCs w:val="21"/>
          <w:lang w:val="es-MX" w:eastAsia="en-US"/>
        </w:rPr>
        <w:t>De lo anterior podemos desprender que el Órgano Técnico realizará la auditoría de desempeño de manera anual y únicamente formulará recomendaciones que incidan en la mejora del diseño, operación e impacto de los presupuestos programáticos y las políticas públicas en su caso.</w:t>
      </w:r>
    </w:p>
    <w:p w14:paraId="441CC038" w14:textId="77777777" w:rsidR="000B3729" w:rsidRPr="008C078F" w:rsidRDefault="000B3729" w:rsidP="000B3729">
      <w:pPr>
        <w:autoSpaceDE w:val="0"/>
        <w:autoSpaceDN w:val="0"/>
        <w:adjustRightInd w:val="0"/>
        <w:jc w:val="both"/>
        <w:rPr>
          <w:rFonts w:ascii="Abadi" w:eastAsia="Calibri" w:hAnsi="Abadi" w:cs="*Arial-6993-Identity-H"/>
          <w:color w:val="0D0D10"/>
          <w:sz w:val="21"/>
          <w:szCs w:val="21"/>
          <w:lang w:val="es-MX" w:eastAsia="en-US"/>
        </w:rPr>
      </w:pPr>
    </w:p>
    <w:p w14:paraId="1E06FF16" w14:textId="77777777" w:rsidR="000B3729" w:rsidRPr="008C078F" w:rsidRDefault="000B3729" w:rsidP="000B3729">
      <w:pPr>
        <w:autoSpaceDE w:val="0"/>
        <w:autoSpaceDN w:val="0"/>
        <w:adjustRightInd w:val="0"/>
        <w:ind w:firstLine="708"/>
        <w:jc w:val="both"/>
        <w:rPr>
          <w:rFonts w:ascii="Abadi" w:eastAsia="Calibri" w:hAnsi="Abadi" w:cs="*Arial-6993-Identity-H"/>
          <w:color w:val="0D0D10"/>
          <w:sz w:val="21"/>
          <w:szCs w:val="21"/>
          <w:lang w:val="es-MX" w:eastAsia="en-US"/>
        </w:rPr>
      </w:pPr>
      <w:r w:rsidRPr="008C078F">
        <w:rPr>
          <w:rFonts w:ascii="Abadi" w:eastAsia="Calibri" w:hAnsi="Abadi" w:cs="*Arial-6993-Identity-H"/>
          <w:color w:val="0D0D10"/>
          <w:sz w:val="21"/>
          <w:szCs w:val="21"/>
          <w:lang w:val="es-MX" w:eastAsia="en-US"/>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0D74A133" w14:textId="77777777" w:rsidR="000B3729" w:rsidRPr="008C078F" w:rsidRDefault="000B3729" w:rsidP="000B3729">
      <w:pPr>
        <w:autoSpaceDE w:val="0"/>
        <w:autoSpaceDN w:val="0"/>
        <w:adjustRightInd w:val="0"/>
        <w:jc w:val="both"/>
        <w:rPr>
          <w:rFonts w:ascii="Abadi" w:eastAsia="Calibri" w:hAnsi="Abadi" w:cs="*Arial-6993-Identity-H"/>
          <w:color w:val="0D0C0F"/>
          <w:sz w:val="21"/>
          <w:szCs w:val="21"/>
          <w:lang w:val="es-MX" w:eastAsia="en-US"/>
        </w:rPr>
      </w:pPr>
    </w:p>
    <w:p w14:paraId="4E58C977" w14:textId="77777777" w:rsidR="000B3729" w:rsidRPr="008C078F" w:rsidRDefault="000B3729" w:rsidP="000B3729">
      <w:pPr>
        <w:autoSpaceDE w:val="0"/>
        <w:autoSpaceDN w:val="0"/>
        <w:adjustRightInd w:val="0"/>
        <w:ind w:firstLine="708"/>
        <w:jc w:val="both"/>
        <w:rPr>
          <w:rFonts w:ascii="Abadi" w:eastAsia="Calibri" w:hAnsi="Abadi" w:cs="*Arial-6993-Identity-H"/>
          <w:color w:val="0D0C0F"/>
          <w:sz w:val="21"/>
          <w:szCs w:val="21"/>
          <w:lang w:val="es-MX" w:eastAsia="en-US"/>
        </w:rPr>
      </w:pPr>
      <w:r w:rsidRPr="008C078F">
        <w:rPr>
          <w:rFonts w:ascii="Abadi" w:eastAsia="Calibri" w:hAnsi="Abadi" w:cs="*Arial-6993-Identity-H"/>
          <w:color w:val="0D0C0F"/>
          <w:sz w:val="21"/>
          <w:szCs w:val="21"/>
          <w:lang w:val="es-MX" w:eastAsia="en-US"/>
        </w:rPr>
        <w:t xml:space="preserve">En ejercicio de esta función, el Auditor Superior del Estado aprobó el Programa General de Fiscalización 2021. En dicho Programa se contempló la práctica de una auditoría de desempeño a la administración municipal de Salvatierra, </w:t>
      </w:r>
      <w:proofErr w:type="spellStart"/>
      <w:r w:rsidRPr="008C078F">
        <w:rPr>
          <w:rFonts w:ascii="Abadi" w:eastAsia="Calibri" w:hAnsi="Abadi" w:cs="*Arial-6993-Identity-H"/>
          <w:color w:val="0D0C0F"/>
          <w:sz w:val="21"/>
          <w:szCs w:val="21"/>
          <w:lang w:val="es-MX" w:eastAsia="en-US"/>
        </w:rPr>
        <w:t>Gto</w:t>
      </w:r>
      <w:proofErr w:type="spellEnd"/>
      <w:r w:rsidRPr="008C078F">
        <w:rPr>
          <w:rFonts w:ascii="Abadi" w:eastAsia="Calibri" w:hAnsi="Abadi" w:cs="*Arial-6993-Identity-H"/>
          <w:color w:val="0D0C0F"/>
          <w:sz w:val="21"/>
          <w:szCs w:val="21"/>
          <w:lang w:val="es-MX" w:eastAsia="en-US"/>
        </w:rPr>
        <w:t>., por el periodo comprendido del 1 de enero al 31 de diciembre del ejercicio fiscal del año 2020, la cual se realizó con enfoque a resultados del</w:t>
      </w:r>
    </w:p>
    <w:p w14:paraId="3F35ACF4" w14:textId="77777777" w:rsidR="000B3729" w:rsidRPr="008C078F" w:rsidRDefault="000B3729" w:rsidP="000B3729">
      <w:pPr>
        <w:autoSpaceDE w:val="0"/>
        <w:autoSpaceDN w:val="0"/>
        <w:adjustRightInd w:val="0"/>
        <w:jc w:val="both"/>
        <w:rPr>
          <w:rFonts w:ascii="Abadi" w:eastAsia="Calibri" w:hAnsi="Abadi" w:cs="*Arial-6993-Identity-H"/>
          <w:color w:val="0D0C0F"/>
          <w:sz w:val="21"/>
          <w:szCs w:val="21"/>
          <w:lang w:val="es-MX" w:eastAsia="en-US"/>
        </w:rPr>
      </w:pPr>
      <w:r w:rsidRPr="008C078F">
        <w:rPr>
          <w:rFonts w:ascii="Abadi" w:eastAsia="Calibri" w:hAnsi="Abadi" w:cs="*Arial-6993-Identity-H"/>
          <w:color w:val="0D0C0F"/>
          <w:sz w:val="21"/>
          <w:szCs w:val="21"/>
          <w:lang w:val="es-MX" w:eastAsia="en-US"/>
        </w:rPr>
        <w:t>servicio de alumbrado público.</w:t>
      </w:r>
    </w:p>
    <w:p w14:paraId="0938D480" w14:textId="77777777" w:rsidR="000B3729" w:rsidRPr="008C078F" w:rsidRDefault="000B3729" w:rsidP="000B3729">
      <w:pPr>
        <w:autoSpaceDE w:val="0"/>
        <w:autoSpaceDN w:val="0"/>
        <w:adjustRightInd w:val="0"/>
        <w:jc w:val="both"/>
        <w:rPr>
          <w:rFonts w:ascii="Abadi" w:eastAsia="Calibri" w:hAnsi="Abadi" w:cs="*Arial-6993-Identity-H"/>
          <w:color w:val="0C0C0F"/>
          <w:sz w:val="21"/>
          <w:szCs w:val="21"/>
          <w:lang w:val="es-MX" w:eastAsia="en-US"/>
        </w:rPr>
      </w:pPr>
    </w:p>
    <w:p w14:paraId="643CED64" w14:textId="77777777" w:rsidR="000B3729" w:rsidRPr="008C078F" w:rsidRDefault="000B3729" w:rsidP="000B3729">
      <w:pPr>
        <w:autoSpaceDE w:val="0"/>
        <w:autoSpaceDN w:val="0"/>
        <w:adjustRightInd w:val="0"/>
        <w:ind w:firstLine="708"/>
        <w:jc w:val="both"/>
        <w:rPr>
          <w:rFonts w:ascii="Abadi" w:eastAsia="Calibri" w:hAnsi="Abadi" w:cs="*Arial-6993-Identity-H"/>
          <w:color w:val="0C0C0F"/>
          <w:sz w:val="21"/>
          <w:szCs w:val="21"/>
          <w:lang w:val="es-MX" w:eastAsia="en-US"/>
        </w:rPr>
      </w:pPr>
      <w:r w:rsidRPr="008C078F">
        <w:rPr>
          <w:rFonts w:ascii="Abadi" w:eastAsia="Calibri" w:hAnsi="Abadi" w:cs="*Arial-6993-Identity-H"/>
          <w:color w:val="0C0C0F"/>
          <w:sz w:val="21"/>
          <w:szCs w:val="21"/>
          <w:lang w:val="es-MX" w:eastAsia="en-US"/>
        </w:rPr>
        <w:t>El 3 de septiembre de 2021 se notificó al sujeto fiscalizado el inicio de la auditoría materia del presente dictamen.</w:t>
      </w:r>
    </w:p>
    <w:p w14:paraId="106C0CB1" w14:textId="77777777" w:rsidR="000B3729" w:rsidRPr="008C078F" w:rsidRDefault="000B3729" w:rsidP="000B3729">
      <w:pPr>
        <w:autoSpaceDE w:val="0"/>
        <w:autoSpaceDN w:val="0"/>
        <w:adjustRightInd w:val="0"/>
        <w:jc w:val="both"/>
        <w:rPr>
          <w:rFonts w:ascii="Abadi" w:eastAsia="Abadi" w:hAnsi="Abadi" w:cs="Abadi"/>
          <w:color w:val="18191C"/>
          <w:sz w:val="21"/>
          <w:szCs w:val="21"/>
          <w:lang w:val="es-MX" w:eastAsia="en-US"/>
        </w:rPr>
      </w:pPr>
    </w:p>
    <w:p w14:paraId="1C2FA357" w14:textId="77777777" w:rsidR="000B3729" w:rsidRPr="008C078F" w:rsidRDefault="000B3729" w:rsidP="000B3729">
      <w:pPr>
        <w:autoSpaceDE w:val="0"/>
        <w:autoSpaceDN w:val="0"/>
        <w:adjustRightInd w:val="0"/>
        <w:ind w:firstLine="708"/>
        <w:jc w:val="both"/>
        <w:rPr>
          <w:rFonts w:ascii="Abadi" w:eastAsia="Calibri" w:hAnsi="Abadi" w:cs="*Arial-7212-Identity-H"/>
          <w:color w:val="0C0C0F"/>
          <w:sz w:val="21"/>
          <w:szCs w:val="21"/>
          <w:lang w:val="es-MX" w:eastAsia="en-US"/>
        </w:rPr>
      </w:pPr>
      <w:r w:rsidRPr="008C078F">
        <w:rPr>
          <w:rFonts w:ascii="Abadi" w:eastAsia="Calibri" w:hAnsi="Abadi" w:cs="*Arial-7212-Identity-H"/>
          <w:color w:val="0C0C0F"/>
          <w:sz w:val="21"/>
          <w:szCs w:val="21"/>
          <w:lang w:val="es-MX" w:eastAsia="en-US"/>
        </w:rPr>
        <w:t>Mediante oficio notificado el 27 de septiembre de 2021, la Auditoría Superior del Estado requirió al sujeto de fiscalización diversa información que se consideró necesaria para llevar a cabo la auditoria, al cual se dio respuesta en fechas 4 y 8 de octubre de 2021 y 11 de enero de 2022. Asimismo, el 14 de enero de 2022, el Órgano Técnico realizó entrevistas.</w:t>
      </w:r>
    </w:p>
    <w:p w14:paraId="6A9A0D8E" w14:textId="77777777" w:rsidR="000B3729" w:rsidRPr="008C078F" w:rsidRDefault="000B3729" w:rsidP="000B3729">
      <w:pPr>
        <w:autoSpaceDE w:val="0"/>
        <w:autoSpaceDN w:val="0"/>
        <w:adjustRightInd w:val="0"/>
        <w:jc w:val="both"/>
        <w:rPr>
          <w:rFonts w:ascii="Abadi" w:eastAsia="Calibri" w:hAnsi="Abadi" w:cs="*Arial-7212-Identity-H"/>
          <w:color w:val="0C0C0F"/>
          <w:sz w:val="21"/>
          <w:szCs w:val="21"/>
          <w:lang w:val="es-MX" w:eastAsia="en-US"/>
        </w:rPr>
      </w:pPr>
    </w:p>
    <w:p w14:paraId="3306EF55" w14:textId="77777777" w:rsidR="000B3729" w:rsidRPr="008C078F" w:rsidRDefault="000B3729" w:rsidP="000B3729">
      <w:pPr>
        <w:autoSpaceDE w:val="0"/>
        <w:autoSpaceDN w:val="0"/>
        <w:adjustRightInd w:val="0"/>
        <w:ind w:firstLine="708"/>
        <w:jc w:val="both"/>
        <w:rPr>
          <w:rFonts w:ascii="Abadi" w:eastAsia="Calibri" w:hAnsi="Abadi" w:cs="*Arial-7212-Identity-H"/>
          <w:color w:val="0C0C0F"/>
          <w:sz w:val="21"/>
          <w:szCs w:val="21"/>
          <w:lang w:val="es-MX" w:eastAsia="en-US"/>
        </w:rPr>
      </w:pPr>
      <w:r w:rsidRPr="008C078F">
        <w:rPr>
          <w:rFonts w:ascii="Abadi" w:eastAsia="Calibri" w:hAnsi="Abadi" w:cs="*Arial-7212-Identity-H"/>
          <w:color w:val="0C0C0F"/>
          <w:sz w:val="21"/>
          <w:szCs w:val="21"/>
          <w:lang w:val="es-MX" w:eastAsia="en-US"/>
        </w:rPr>
        <w:t>En fechas 27 de septiembre y 17 de diciembre de 2021 se notificó al sujeto fiscalizado la suspensión del plazo de la auditoría materia del presente dictamen, por los periodos comprendidos del 1 de octubre al 17 de diciembre de 2021; y del 3 de enero al 11 de marzo de 2022.</w:t>
      </w:r>
    </w:p>
    <w:p w14:paraId="2C185530" w14:textId="77777777" w:rsidR="000B3729" w:rsidRPr="008C078F" w:rsidRDefault="000B3729" w:rsidP="000B3729">
      <w:pPr>
        <w:autoSpaceDE w:val="0"/>
        <w:autoSpaceDN w:val="0"/>
        <w:adjustRightInd w:val="0"/>
        <w:jc w:val="both"/>
        <w:rPr>
          <w:rFonts w:ascii="Abadi" w:eastAsia="Calibri" w:hAnsi="Abadi" w:cs="*Arial-7212-Identity-H"/>
          <w:color w:val="0C0C0F"/>
          <w:sz w:val="21"/>
          <w:szCs w:val="21"/>
          <w:lang w:val="es-MX" w:eastAsia="en-US"/>
        </w:rPr>
      </w:pPr>
    </w:p>
    <w:p w14:paraId="3C88ECF4" w14:textId="77777777" w:rsidR="000B3729" w:rsidRPr="008C078F" w:rsidRDefault="000B3729" w:rsidP="000B3729">
      <w:pPr>
        <w:autoSpaceDE w:val="0"/>
        <w:autoSpaceDN w:val="0"/>
        <w:adjustRightInd w:val="0"/>
        <w:ind w:firstLine="708"/>
        <w:jc w:val="both"/>
        <w:rPr>
          <w:rFonts w:ascii="Abadi" w:eastAsia="Calibri" w:hAnsi="Abadi" w:cs="*Arial-7212-Identity-H"/>
          <w:color w:val="0D0D10"/>
          <w:sz w:val="21"/>
          <w:szCs w:val="21"/>
          <w:lang w:val="es-MX" w:eastAsia="en-US"/>
        </w:rPr>
      </w:pPr>
      <w:r w:rsidRPr="008C078F">
        <w:rPr>
          <w:rFonts w:ascii="Abadi" w:eastAsia="Calibri" w:hAnsi="Abadi" w:cs="*Arial-7212-Identity-H"/>
          <w:color w:val="0D0D10"/>
          <w:sz w:val="21"/>
          <w:szCs w:val="21"/>
          <w:lang w:val="es-MX" w:eastAsia="en-US"/>
        </w:rPr>
        <w:t>Como parte del proceso de auditoría, el 28 de enero de 2022 se notificó al sujeto fiscalizado el pliego de recomendaciones derivadas de la auditoría practicada. Lo anterior, para dar cumplimiento a lo preceptuado por el artículo 58 de la Ley de Fiscalización Superior del Estado de Guanajuato.</w:t>
      </w:r>
    </w:p>
    <w:p w14:paraId="6BF7104C" w14:textId="77777777" w:rsidR="000B3729" w:rsidRPr="008C078F" w:rsidRDefault="000B3729" w:rsidP="000B3729">
      <w:pPr>
        <w:autoSpaceDE w:val="0"/>
        <w:autoSpaceDN w:val="0"/>
        <w:adjustRightInd w:val="0"/>
        <w:jc w:val="both"/>
        <w:rPr>
          <w:rFonts w:ascii="Abadi" w:eastAsia="Calibri" w:hAnsi="Abadi" w:cs="*Arial-7212-Identity-H"/>
          <w:color w:val="0C0C0E"/>
          <w:sz w:val="21"/>
          <w:szCs w:val="21"/>
          <w:lang w:val="es-MX" w:eastAsia="en-US"/>
        </w:rPr>
      </w:pPr>
    </w:p>
    <w:p w14:paraId="003934A4" w14:textId="77777777" w:rsidR="000B3729" w:rsidRPr="008C078F" w:rsidRDefault="000B3729" w:rsidP="000B3729">
      <w:pPr>
        <w:autoSpaceDE w:val="0"/>
        <w:autoSpaceDN w:val="0"/>
        <w:adjustRightInd w:val="0"/>
        <w:ind w:firstLine="708"/>
        <w:jc w:val="both"/>
        <w:rPr>
          <w:rFonts w:ascii="Abadi" w:eastAsia="Calibri" w:hAnsi="Abadi" w:cs="*Arial-7212-Identity-H"/>
          <w:color w:val="0C0C0E"/>
          <w:sz w:val="21"/>
          <w:szCs w:val="21"/>
          <w:lang w:val="es-MX" w:eastAsia="en-US"/>
        </w:rPr>
      </w:pPr>
      <w:r w:rsidRPr="008C078F">
        <w:rPr>
          <w:rFonts w:ascii="Abadi" w:eastAsia="Calibri" w:hAnsi="Abadi" w:cs="*Arial-7212-Identity-H"/>
          <w:color w:val="0C0C0E"/>
          <w:sz w:val="21"/>
          <w:szCs w:val="21"/>
          <w:lang w:val="es-MX" w:eastAsia="en-US"/>
        </w:rPr>
        <w:t>El 15 de febrero de 2022,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w:t>
      </w:r>
    </w:p>
    <w:p w14:paraId="2DA522F7" w14:textId="77777777" w:rsidR="000B3729" w:rsidRPr="008C078F" w:rsidRDefault="000B3729" w:rsidP="000B3729">
      <w:pPr>
        <w:autoSpaceDE w:val="0"/>
        <w:autoSpaceDN w:val="0"/>
        <w:adjustRightInd w:val="0"/>
        <w:jc w:val="both"/>
        <w:rPr>
          <w:rFonts w:ascii="Abadi" w:eastAsia="Calibri" w:hAnsi="Abadi" w:cs="*Arial-7212-Identity-H"/>
          <w:color w:val="0C0C0E"/>
          <w:sz w:val="21"/>
          <w:szCs w:val="21"/>
          <w:lang w:val="es-MX" w:eastAsia="en-US"/>
        </w:rPr>
      </w:pPr>
      <w:r w:rsidRPr="008C078F">
        <w:rPr>
          <w:rFonts w:ascii="Abadi" w:eastAsia="Calibri" w:hAnsi="Abadi" w:cs="*Arial-7212-Identity-H"/>
          <w:color w:val="0C0C0E"/>
          <w:sz w:val="21"/>
          <w:szCs w:val="21"/>
          <w:lang w:val="es-MX" w:eastAsia="en-US"/>
        </w:rPr>
        <w:t>aportada se procedió a la elaboración del informe de resultados materia del presente dictamen.</w:t>
      </w:r>
    </w:p>
    <w:p w14:paraId="333B17BA" w14:textId="77777777" w:rsidR="000B3729" w:rsidRPr="008C078F" w:rsidRDefault="000B3729" w:rsidP="000B3729">
      <w:pPr>
        <w:autoSpaceDE w:val="0"/>
        <w:autoSpaceDN w:val="0"/>
        <w:adjustRightInd w:val="0"/>
        <w:jc w:val="both"/>
        <w:rPr>
          <w:rFonts w:ascii="Abadi" w:eastAsia="Calibri" w:hAnsi="Abadi" w:cs="*Arial-7212-Identity-H"/>
          <w:color w:val="0C0C0F"/>
          <w:sz w:val="21"/>
          <w:szCs w:val="21"/>
          <w:lang w:val="es-MX" w:eastAsia="en-US"/>
        </w:rPr>
      </w:pPr>
    </w:p>
    <w:p w14:paraId="7D0A130F" w14:textId="77777777" w:rsidR="000B3729" w:rsidRPr="008C078F" w:rsidRDefault="000B3729" w:rsidP="000B3729">
      <w:pPr>
        <w:autoSpaceDE w:val="0"/>
        <w:autoSpaceDN w:val="0"/>
        <w:adjustRightInd w:val="0"/>
        <w:ind w:firstLine="708"/>
        <w:jc w:val="both"/>
        <w:rPr>
          <w:rFonts w:ascii="Abadi" w:eastAsia="Calibri" w:hAnsi="Abadi" w:cs="*Arial-7212-Identity-H"/>
          <w:color w:val="0C0C0F"/>
          <w:sz w:val="21"/>
          <w:szCs w:val="21"/>
          <w:lang w:val="es-MX" w:eastAsia="en-US"/>
        </w:rPr>
      </w:pPr>
      <w:r w:rsidRPr="008C078F">
        <w:rPr>
          <w:rFonts w:ascii="Abadi" w:eastAsia="Calibri" w:hAnsi="Abadi" w:cs="*Arial-7212-Identity-H"/>
          <w:color w:val="0C0C0F"/>
          <w:sz w:val="21"/>
          <w:szCs w:val="21"/>
          <w:lang w:val="es-MX" w:eastAsia="en-US"/>
        </w:rPr>
        <w:t xml:space="preserve">El informe de resultados se notificó al presidente municipal de Salvatierra, </w:t>
      </w:r>
      <w:proofErr w:type="spellStart"/>
      <w:r w:rsidRPr="008C078F">
        <w:rPr>
          <w:rFonts w:ascii="Abadi" w:eastAsia="Calibri" w:hAnsi="Abadi" w:cs="*Arial-7212-Identity-H"/>
          <w:color w:val="0C0C0F"/>
          <w:sz w:val="21"/>
          <w:szCs w:val="21"/>
          <w:lang w:val="es-MX" w:eastAsia="en-US"/>
        </w:rPr>
        <w:t>Gto</w:t>
      </w:r>
      <w:proofErr w:type="spellEnd"/>
      <w:r w:rsidRPr="008C078F">
        <w:rPr>
          <w:rFonts w:ascii="Abadi" w:eastAsia="Calibri" w:hAnsi="Abadi" w:cs="*Arial-7212-Identity-H"/>
          <w:color w:val="0C0C0F"/>
          <w:sz w:val="21"/>
          <w:szCs w:val="21"/>
          <w:lang w:val="es-MX" w:eastAsia="en-US"/>
        </w:rPr>
        <w:t>., el 25 de febrero de 2022.</w:t>
      </w:r>
    </w:p>
    <w:p w14:paraId="068A1426" w14:textId="77777777" w:rsidR="000B3729" w:rsidRPr="008C078F" w:rsidRDefault="000B3729" w:rsidP="000B3729">
      <w:pPr>
        <w:autoSpaceDE w:val="0"/>
        <w:autoSpaceDN w:val="0"/>
        <w:adjustRightInd w:val="0"/>
        <w:jc w:val="both"/>
        <w:rPr>
          <w:rFonts w:ascii="Abadi" w:eastAsia="Calibri" w:hAnsi="Abadi" w:cs="*Arial-7212-Identity-H"/>
          <w:color w:val="0D0D10"/>
          <w:sz w:val="21"/>
          <w:szCs w:val="21"/>
          <w:lang w:val="es-MX" w:eastAsia="en-US"/>
        </w:rPr>
      </w:pPr>
    </w:p>
    <w:p w14:paraId="7A33A648" w14:textId="77777777" w:rsidR="000B3729" w:rsidRPr="008C078F" w:rsidRDefault="000B3729" w:rsidP="000B3729">
      <w:pPr>
        <w:autoSpaceDE w:val="0"/>
        <w:autoSpaceDN w:val="0"/>
        <w:adjustRightInd w:val="0"/>
        <w:ind w:firstLine="708"/>
        <w:jc w:val="both"/>
        <w:rPr>
          <w:rFonts w:ascii="Abadi" w:eastAsia="Calibri" w:hAnsi="Abadi" w:cs="*Arial-7212-Identity-H"/>
          <w:color w:val="0D0D10"/>
          <w:sz w:val="21"/>
          <w:szCs w:val="21"/>
          <w:lang w:val="es-MX" w:eastAsia="en-US"/>
        </w:rPr>
      </w:pPr>
      <w:r w:rsidRPr="008C078F">
        <w:rPr>
          <w:rFonts w:ascii="Abadi" w:eastAsia="Calibri" w:hAnsi="Abadi" w:cs="*Arial-7212-Identity-H"/>
          <w:color w:val="0D0D10"/>
          <w:sz w:val="21"/>
          <w:szCs w:val="21"/>
          <w:lang w:val="es-MX" w:eastAsia="en-US"/>
        </w:rPr>
        <w:t>Es importante señalar que de acuerdo a lo previsto en los articulas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2A7F0601" w14:textId="77777777" w:rsidR="000B3729" w:rsidRPr="008C078F" w:rsidRDefault="000B3729" w:rsidP="000B3729">
      <w:pPr>
        <w:autoSpaceDE w:val="0"/>
        <w:autoSpaceDN w:val="0"/>
        <w:adjustRightInd w:val="0"/>
        <w:jc w:val="both"/>
        <w:rPr>
          <w:rFonts w:ascii="Abadi" w:eastAsia="Calibri" w:hAnsi="Abadi" w:cs="*Arial-7212-Identity-H"/>
          <w:color w:val="0D0C0F"/>
          <w:sz w:val="21"/>
          <w:szCs w:val="21"/>
          <w:lang w:val="es-MX" w:eastAsia="en-US"/>
        </w:rPr>
      </w:pPr>
    </w:p>
    <w:p w14:paraId="661612ED" w14:textId="77777777" w:rsidR="000B3729" w:rsidRPr="008C078F" w:rsidRDefault="000B3729" w:rsidP="000B3729">
      <w:pPr>
        <w:autoSpaceDE w:val="0"/>
        <w:autoSpaceDN w:val="0"/>
        <w:adjustRightInd w:val="0"/>
        <w:ind w:firstLine="708"/>
        <w:jc w:val="both"/>
        <w:rPr>
          <w:rFonts w:ascii="Abadi" w:eastAsia="Calibri" w:hAnsi="Abadi" w:cs="*Arial-7212-Identity-H"/>
          <w:color w:val="0D0C0F"/>
          <w:sz w:val="21"/>
          <w:szCs w:val="21"/>
          <w:lang w:val="es-MX" w:eastAsia="en-US"/>
        </w:rPr>
      </w:pPr>
      <w:r w:rsidRPr="008C078F">
        <w:rPr>
          <w:rFonts w:ascii="Abadi" w:eastAsia="Calibri" w:hAnsi="Abadi" w:cs="*Arial-7212-Identity-H"/>
          <w:color w:val="0D0C0F"/>
          <w:sz w:val="21"/>
          <w:szCs w:val="21"/>
          <w:lang w:val="es-MX" w:eastAsia="en-US"/>
        </w:rPr>
        <w:t>En razón de lo anterior, el Auditor Superior del Estado remitió a este Congreso del Estado, el informe de resultados, el cual se turnó a la Comisión de Hacienda y Fiscalización el 1 O de marzo de 2022 para su estudio y dictamen, siendo radicado el 15 de marzo del año en curso.</w:t>
      </w:r>
    </w:p>
    <w:p w14:paraId="77E101A2" w14:textId="77777777" w:rsidR="000B3729" w:rsidRPr="008C078F" w:rsidRDefault="000B3729" w:rsidP="000B3729">
      <w:pPr>
        <w:autoSpaceDE w:val="0"/>
        <w:autoSpaceDN w:val="0"/>
        <w:adjustRightInd w:val="0"/>
        <w:jc w:val="both"/>
        <w:rPr>
          <w:rFonts w:ascii="Abadi" w:eastAsia="Calibri" w:hAnsi="Abadi" w:cs="*Microsoft Sans Serif-Bold-8164"/>
          <w:b/>
          <w:bCs/>
          <w:color w:val="27272B"/>
          <w:sz w:val="21"/>
          <w:szCs w:val="21"/>
          <w:lang w:val="es-MX" w:eastAsia="en-US"/>
        </w:rPr>
      </w:pPr>
    </w:p>
    <w:p w14:paraId="0E08A781" w14:textId="77777777" w:rsidR="000B3729" w:rsidRPr="008C078F" w:rsidRDefault="000B3729" w:rsidP="000B3729">
      <w:pPr>
        <w:autoSpaceDE w:val="0"/>
        <w:autoSpaceDN w:val="0"/>
        <w:adjustRightInd w:val="0"/>
        <w:ind w:firstLine="708"/>
        <w:jc w:val="both"/>
        <w:rPr>
          <w:rFonts w:ascii="Abadi" w:eastAsia="Calibri" w:hAnsi="Abadi" w:cs="*Arial-8160-Identity-H"/>
          <w:color w:val="0D0C0F"/>
          <w:sz w:val="21"/>
          <w:szCs w:val="21"/>
          <w:lang w:val="es-MX" w:eastAsia="en-US"/>
        </w:rPr>
      </w:pPr>
      <w:r w:rsidRPr="008C078F">
        <w:rPr>
          <w:rFonts w:ascii="Abadi" w:eastAsia="Calibri" w:hAnsi="Abadi" w:cs="*Arial-8160-Identity-H"/>
          <w:color w:val="0D0C0F"/>
          <w:sz w:val="21"/>
          <w:szCs w:val="21"/>
          <w:lang w:val="es-MX" w:eastAsia="en-US"/>
        </w:rPr>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7D0EB8E1" w14:textId="77777777" w:rsidR="000B3729" w:rsidRPr="008C078F" w:rsidRDefault="000B3729" w:rsidP="000B3729">
      <w:pPr>
        <w:autoSpaceDE w:val="0"/>
        <w:autoSpaceDN w:val="0"/>
        <w:adjustRightInd w:val="0"/>
        <w:jc w:val="both"/>
        <w:rPr>
          <w:rFonts w:ascii="Abadi" w:eastAsia="Calibri" w:hAnsi="Abadi" w:cs="*Arial-8160-Identity-H"/>
          <w:color w:val="0D0C0F"/>
          <w:sz w:val="21"/>
          <w:szCs w:val="21"/>
          <w:lang w:val="es-MX" w:eastAsia="en-US"/>
        </w:rPr>
      </w:pPr>
    </w:p>
    <w:p w14:paraId="38D798B5" w14:textId="77777777" w:rsidR="000B3729" w:rsidRPr="008C078F" w:rsidRDefault="000B3729" w:rsidP="000B3729">
      <w:pPr>
        <w:autoSpaceDE w:val="0"/>
        <w:autoSpaceDN w:val="0"/>
        <w:adjustRightInd w:val="0"/>
        <w:ind w:firstLine="708"/>
        <w:jc w:val="both"/>
        <w:rPr>
          <w:rFonts w:ascii="Abadi" w:eastAsia="Calibri" w:hAnsi="Abadi" w:cs="*Arial-Bold-8162-Identity-H"/>
          <w:b/>
          <w:bCs/>
          <w:color w:val="0C0B10"/>
          <w:sz w:val="21"/>
          <w:szCs w:val="21"/>
          <w:lang w:val="es-MX" w:eastAsia="en-US"/>
        </w:rPr>
      </w:pPr>
      <w:r w:rsidRPr="008C078F">
        <w:rPr>
          <w:rFonts w:ascii="Abadi" w:eastAsia="Calibri" w:hAnsi="Abadi" w:cs="*Arial-Bold-8162-Identity-H"/>
          <w:b/>
          <w:bCs/>
          <w:color w:val="0C0B10"/>
          <w:sz w:val="21"/>
          <w:szCs w:val="21"/>
          <w:lang w:val="es-MX" w:eastAsia="en-US"/>
        </w:rPr>
        <w:t>a) Introducción.</w:t>
      </w:r>
    </w:p>
    <w:p w14:paraId="420A3317" w14:textId="77777777" w:rsidR="000B3729" w:rsidRPr="008C078F" w:rsidRDefault="000B3729" w:rsidP="000B3729">
      <w:pPr>
        <w:autoSpaceDE w:val="0"/>
        <w:autoSpaceDN w:val="0"/>
        <w:adjustRightInd w:val="0"/>
        <w:jc w:val="both"/>
        <w:rPr>
          <w:rFonts w:ascii="Abadi" w:eastAsia="Calibri" w:hAnsi="Abadi" w:cs="*Arial-8160-Identity-H"/>
          <w:color w:val="100F12"/>
          <w:sz w:val="21"/>
          <w:szCs w:val="21"/>
          <w:lang w:val="es-MX" w:eastAsia="en-US"/>
        </w:rPr>
      </w:pPr>
    </w:p>
    <w:p w14:paraId="1C56E34E" w14:textId="77777777" w:rsidR="000B3729" w:rsidRPr="008C078F" w:rsidRDefault="000B3729" w:rsidP="000B3729">
      <w:pPr>
        <w:autoSpaceDE w:val="0"/>
        <w:autoSpaceDN w:val="0"/>
        <w:adjustRightInd w:val="0"/>
        <w:ind w:firstLine="708"/>
        <w:jc w:val="both"/>
        <w:rPr>
          <w:rFonts w:ascii="Abadi" w:eastAsia="Calibri" w:hAnsi="Abadi" w:cs="*Arial-8160-Identity-H"/>
          <w:color w:val="100F12"/>
          <w:sz w:val="21"/>
          <w:szCs w:val="21"/>
          <w:lang w:val="es-MX" w:eastAsia="en-US"/>
        </w:rPr>
      </w:pPr>
      <w:r w:rsidRPr="008C078F">
        <w:rPr>
          <w:rFonts w:ascii="Abadi" w:eastAsia="Calibri" w:hAnsi="Abadi" w:cs="*Arial-8160-Identity-H"/>
          <w:color w:val="100F12"/>
          <w:sz w:val="21"/>
          <w:szCs w:val="21"/>
          <w:lang w:val="es-MX" w:eastAsia="en-US"/>
        </w:rPr>
        <w:t>Por lo que se refiere a esta parte, se señala que las auditorías de desempeño son actos de fiscalización, esa es su esencia.</w:t>
      </w:r>
    </w:p>
    <w:p w14:paraId="4C5AFB08" w14:textId="77777777" w:rsidR="000B3729" w:rsidRPr="008C078F" w:rsidRDefault="000B3729" w:rsidP="000B3729">
      <w:pPr>
        <w:autoSpaceDE w:val="0"/>
        <w:autoSpaceDN w:val="0"/>
        <w:adjustRightInd w:val="0"/>
        <w:jc w:val="both"/>
        <w:rPr>
          <w:rFonts w:ascii="Abadi" w:eastAsia="Calibri" w:hAnsi="Abadi" w:cs="*Arial-8160-Identity-H"/>
          <w:color w:val="0E0D10"/>
          <w:sz w:val="21"/>
          <w:szCs w:val="21"/>
          <w:lang w:val="es-MX" w:eastAsia="en-US"/>
        </w:rPr>
      </w:pPr>
    </w:p>
    <w:p w14:paraId="595D379F" w14:textId="77777777" w:rsidR="000B3729" w:rsidRPr="008C078F" w:rsidRDefault="000B3729" w:rsidP="000B3729">
      <w:pPr>
        <w:autoSpaceDE w:val="0"/>
        <w:autoSpaceDN w:val="0"/>
        <w:adjustRightInd w:val="0"/>
        <w:ind w:firstLine="708"/>
        <w:jc w:val="both"/>
        <w:rPr>
          <w:rFonts w:ascii="Abadi" w:eastAsia="Calibri" w:hAnsi="Abadi" w:cs="*Arial-8160-Identity-H"/>
          <w:color w:val="0E0D10"/>
          <w:sz w:val="21"/>
          <w:szCs w:val="21"/>
          <w:lang w:val="es-MX" w:eastAsia="en-US"/>
        </w:rPr>
      </w:pPr>
      <w:r w:rsidRPr="008C078F">
        <w:rPr>
          <w:rFonts w:ascii="Abadi" w:eastAsia="Calibri" w:hAnsi="Abadi" w:cs="*Arial-8160-Identity-H"/>
          <w:color w:val="0E0D10"/>
          <w:sz w:val="21"/>
          <w:szCs w:val="21"/>
          <w:lang w:val="es-MX" w:eastAsia="en-US"/>
        </w:rPr>
        <w:t xml:space="preserve">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w:t>
      </w:r>
      <w:r w:rsidRPr="008C078F">
        <w:rPr>
          <w:rFonts w:ascii="Abadi" w:eastAsia="Calibri" w:hAnsi="Abadi" w:cs="*Arial-8160-Identity-H"/>
          <w:color w:val="999999"/>
          <w:sz w:val="21"/>
          <w:szCs w:val="21"/>
          <w:lang w:val="es-MX" w:eastAsia="en-US"/>
        </w:rPr>
        <w:t>·</w:t>
      </w:r>
      <w:r w:rsidRPr="008C078F">
        <w:rPr>
          <w:rFonts w:ascii="Abadi" w:eastAsia="Calibri" w:hAnsi="Abadi" w:cs="*Arial-8160-Identity-H"/>
          <w:color w:val="0E0D10"/>
          <w:sz w:val="21"/>
          <w:szCs w:val="21"/>
          <w:lang w:val="es-MX" w:eastAsia="en-US"/>
        </w:rPr>
        <w:t>concretas que permitan superar o potenciar las mismas, dando adicionalmente seguimiento a su eventual implementación por los sujetos públicos responsables.</w:t>
      </w:r>
    </w:p>
    <w:p w14:paraId="682BC72B" w14:textId="77777777" w:rsidR="000B3729" w:rsidRPr="008C078F" w:rsidRDefault="000B3729" w:rsidP="000B3729">
      <w:pPr>
        <w:autoSpaceDE w:val="0"/>
        <w:autoSpaceDN w:val="0"/>
        <w:adjustRightInd w:val="0"/>
        <w:jc w:val="both"/>
        <w:rPr>
          <w:rFonts w:ascii="Abadi" w:eastAsia="Calibri" w:hAnsi="Abadi" w:cs="*Arial-8160-Identity-H"/>
          <w:color w:val="0C0C0E"/>
          <w:sz w:val="21"/>
          <w:szCs w:val="21"/>
          <w:lang w:val="es-MX" w:eastAsia="en-US"/>
        </w:rPr>
      </w:pPr>
    </w:p>
    <w:p w14:paraId="7284B8D9" w14:textId="77777777" w:rsidR="000B3729" w:rsidRPr="008C078F" w:rsidRDefault="000B3729" w:rsidP="000B3729">
      <w:pPr>
        <w:autoSpaceDE w:val="0"/>
        <w:autoSpaceDN w:val="0"/>
        <w:adjustRightInd w:val="0"/>
        <w:ind w:firstLine="708"/>
        <w:jc w:val="both"/>
        <w:rPr>
          <w:rFonts w:ascii="Abadi" w:eastAsia="Calibri" w:hAnsi="Abadi" w:cs="*Arial-8160-Identity-H"/>
          <w:color w:val="0C0C0E"/>
          <w:sz w:val="21"/>
          <w:szCs w:val="21"/>
          <w:lang w:val="es-MX" w:eastAsia="en-US"/>
        </w:rPr>
      </w:pPr>
      <w:r w:rsidRPr="008C078F">
        <w:rPr>
          <w:rFonts w:ascii="Abadi" w:eastAsia="Calibri" w:hAnsi="Abadi" w:cs="*Arial-8160-Identity-H"/>
          <w:color w:val="0C0C0E"/>
          <w:sz w:val="21"/>
          <w:szCs w:val="21"/>
          <w:lang w:val="es-MX" w:eastAsia="en-US"/>
        </w:rPr>
        <w:t>En dichas auditorías, con independencia de su enfoque, se debe planear con toda claridad y con base en la evidencia competente, suficiente, pertinente, relevante y oportuna, las conclusiones del proceso de fiscalización, puntualizándose las recomendaciones formuladas en su caso.</w:t>
      </w:r>
    </w:p>
    <w:p w14:paraId="68B4632D" w14:textId="77777777" w:rsidR="000B3729" w:rsidRPr="008C078F" w:rsidRDefault="000B3729" w:rsidP="000B3729">
      <w:pPr>
        <w:autoSpaceDE w:val="0"/>
        <w:autoSpaceDN w:val="0"/>
        <w:adjustRightInd w:val="0"/>
        <w:jc w:val="both"/>
        <w:rPr>
          <w:rFonts w:ascii="Abadi" w:eastAsia="Calibri" w:hAnsi="Abadi" w:cs="*Arial-8160-Identity-H"/>
          <w:color w:val="0C0B0E"/>
          <w:sz w:val="21"/>
          <w:szCs w:val="21"/>
          <w:lang w:val="es-MX" w:eastAsia="en-US"/>
        </w:rPr>
      </w:pPr>
    </w:p>
    <w:p w14:paraId="6B4DA969" w14:textId="549705F5" w:rsidR="000B3729" w:rsidRPr="008C078F" w:rsidRDefault="000B3729" w:rsidP="000B3729">
      <w:pPr>
        <w:autoSpaceDE w:val="0"/>
        <w:autoSpaceDN w:val="0"/>
        <w:adjustRightInd w:val="0"/>
        <w:ind w:firstLine="708"/>
        <w:jc w:val="both"/>
        <w:rPr>
          <w:rFonts w:ascii="Abadi" w:eastAsia="Calibri" w:hAnsi="Abadi" w:cs="*Arial-8160-Identity-H"/>
          <w:color w:val="0C0B0E"/>
          <w:sz w:val="21"/>
          <w:szCs w:val="21"/>
          <w:lang w:val="es-MX" w:eastAsia="en-US"/>
        </w:rPr>
      </w:pPr>
      <w:r w:rsidRPr="008C078F">
        <w:rPr>
          <w:rFonts w:ascii="Abadi" w:eastAsia="Calibri" w:hAnsi="Abadi" w:cs="*Arial-8160-Identity-H"/>
          <w:color w:val="0C0B0E"/>
          <w:sz w:val="21"/>
          <w:szCs w:val="21"/>
          <w:lang w:val="es-MX" w:eastAsia="en-US"/>
        </w:rPr>
        <w:t xml:space="preserve">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w:t>
      </w:r>
      <w:r w:rsidR="001B03F4">
        <w:rPr>
          <w:rFonts w:ascii="Abadi" w:eastAsia="Calibri" w:hAnsi="Abadi" w:cs="*Arial-8160-Identity-H"/>
          <w:color w:val="0C0B0E"/>
          <w:sz w:val="21"/>
          <w:szCs w:val="21"/>
          <w:lang w:val="es-MX" w:eastAsia="en-US"/>
        </w:rPr>
        <w:t>I</w:t>
      </w:r>
      <w:r w:rsidRPr="008C078F">
        <w:rPr>
          <w:rFonts w:ascii="Abadi" w:eastAsia="Calibri" w:hAnsi="Abadi" w:cs="*Arial-8160-Identity-H"/>
          <w:color w:val="0C0B0E"/>
          <w:sz w:val="21"/>
          <w:szCs w:val="21"/>
          <w:lang w:val="es-MX" w:eastAsia="en-US"/>
        </w:rPr>
        <w:t xml:space="preserve">, </w:t>
      </w:r>
      <w:r w:rsidR="001B03F4">
        <w:rPr>
          <w:rFonts w:ascii="Abadi" w:eastAsia="Calibri" w:hAnsi="Abadi" w:cs="*Arial-8160-Identity-H"/>
          <w:color w:val="0C0B0E"/>
          <w:sz w:val="21"/>
          <w:szCs w:val="21"/>
          <w:lang w:val="es-MX" w:eastAsia="en-US"/>
        </w:rPr>
        <w:t>II</w:t>
      </w:r>
      <w:r w:rsidRPr="008C078F">
        <w:rPr>
          <w:rFonts w:ascii="Abadi" w:eastAsia="Calibri" w:hAnsi="Abadi" w:cs="*Arial-8160-Identity-H"/>
          <w:color w:val="0C0B0E"/>
          <w:sz w:val="21"/>
          <w:szCs w:val="21"/>
          <w:lang w:val="es-MX" w:eastAsia="en-US"/>
        </w:rPr>
        <w:t xml:space="preserve"> y IV de la Constitución Política para el Estado de Guanajuato; 1, 2, fracciones </w:t>
      </w:r>
      <w:r w:rsidR="00BE5E61">
        <w:rPr>
          <w:rFonts w:ascii="Abadi" w:eastAsia="Calibri" w:hAnsi="Abadi" w:cs="*Arial-8160-Identity-H"/>
          <w:color w:val="0C0B0E"/>
          <w:sz w:val="21"/>
          <w:szCs w:val="21"/>
          <w:lang w:val="es-MX" w:eastAsia="en-US"/>
        </w:rPr>
        <w:t>II</w:t>
      </w:r>
      <w:r w:rsidRPr="008C078F">
        <w:rPr>
          <w:rFonts w:ascii="Abadi" w:eastAsia="Calibri" w:hAnsi="Abadi" w:cs="*Arial-8160-Identity-H"/>
          <w:color w:val="0C0B0E"/>
          <w:sz w:val="21"/>
          <w:szCs w:val="21"/>
          <w:lang w:val="es-MX" w:eastAsia="en-US"/>
        </w:rPr>
        <w:t xml:space="preserve"> y </w:t>
      </w:r>
      <w:r w:rsidR="00BE5E61">
        <w:rPr>
          <w:rFonts w:ascii="Abadi" w:eastAsia="Calibri" w:hAnsi="Abadi" w:cs="*Arial-Bold-8161-Identity-H"/>
          <w:color w:val="0C0B0E"/>
          <w:sz w:val="21"/>
          <w:szCs w:val="21"/>
          <w:lang w:val="es-MX" w:eastAsia="en-US"/>
        </w:rPr>
        <w:t>III</w:t>
      </w:r>
      <w:r w:rsidRPr="008C078F">
        <w:rPr>
          <w:rFonts w:ascii="Abadi" w:eastAsia="Calibri" w:hAnsi="Abadi" w:cs="*Arial-Bold-8161-Identity-H"/>
          <w:b/>
          <w:bCs/>
          <w:color w:val="0C0B0E"/>
          <w:sz w:val="21"/>
          <w:szCs w:val="21"/>
          <w:lang w:val="es-MX" w:eastAsia="en-US"/>
        </w:rPr>
        <w:t xml:space="preserve">, </w:t>
      </w:r>
      <w:r w:rsidRPr="008C078F">
        <w:rPr>
          <w:rFonts w:ascii="Abadi" w:eastAsia="Calibri" w:hAnsi="Abadi" w:cs="*Arial-8160-Identity-H"/>
          <w:color w:val="0C0B0E"/>
          <w:sz w:val="21"/>
          <w:szCs w:val="21"/>
          <w:lang w:val="es-MX" w:eastAsia="en-US"/>
        </w:rPr>
        <w:t xml:space="preserve">3, fracciones </w:t>
      </w:r>
      <w:r w:rsidR="00BE5E61">
        <w:rPr>
          <w:rFonts w:ascii="Abadi" w:eastAsia="Calibri" w:hAnsi="Abadi" w:cs="*Arial-8160-Identity-H"/>
          <w:color w:val="0C0B0E"/>
          <w:sz w:val="21"/>
          <w:szCs w:val="21"/>
          <w:lang w:val="es-MX" w:eastAsia="en-US"/>
        </w:rPr>
        <w:t>I</w:t>
      </w:r>
      <w:r w:rsidRPr="008C078F">
        <w:rPr>
          <w:rFonts w:ascii="Abadi" w:eastAsia="Calibri" w:hAnsi="Abadi" w:cs="*Arial-8160-Identity-H"/>
          <w:color w:val="0C0B0E"/>
          <w:sz w:val="21"/>
          <w:szCs w:val="21"/>
          <w:lang w:val="es-MX" w:eastAsia="en-US"/>
        </w:rPr>
        <w:t xml:space="preserve">, </w:t>
      </w:r>
      <w:r w:rsidR="00BE5E61">
        <w:rPr>
          <w:rFonts w:ascii="Abadi" w:eastAsia="Calibri" w:hAnsi="Abadi" w:cs="*Arial-8160-Identity-H"/>
          <w:color w:val="0C0B0E"/>
          <w:sz w:val="21"/>
          <w:szCs w:val="21"/>
          <w:lang w:val="es-MX" w:eastAsia="en-US"/>
        </w:rPr>
        <w:t>II</w:t>
      </w:r>
      <w:r w:rsidRPr="008C078F">
        <w:rPr>
          <w:rFonts w:ascii="Abadi" w:eastAsia="Calibri" w:hAnsi="Abadi" w:cs="*Arial-8160-Identity-H"/>
          <w:color w:val="0C0B0E"/>
          <w:sz w:val="21"/>
          <w:szCs w:val="21"/>
          <w:lang w:val="es-MX" w:eastAsia="en-US"/>
        </w:rPr>
        <w:t xml:space="preserve">, V y XI, 4, 6, 7, 11, 14, 16, 24, 25, 26, 30, 31, 37, fracción </w:t>
      </w:r>
      <w:r w:rsidR="00BE5E61">
        <w:rPr>
          <w:rFonts w:ascii="Abadi" w:eastAsia="Calibri" w:hAnsi="Abadi" w:cs="*Arial-8160-Identity-H"/>
          <w:color w:val="0C0B0E"/>
          <w:sz w:val="21"/>
          <w:szCs w:val="21"/>
          <w:lang w:val="es-MX" w:eastAsia="en-US"/>
        </w:rPr>
        <w:t>III</w:t>
      </w:r>
      <w:r w:rsidRPr="008C078F">
        <w:rPr>
          <w:rFonts w:ascii="Abadi" w:eastAsia="Calibri" w:hAnsi="Abadi" w:cs="*Arial-8160-Identity-H"/>
          <w:color w:val="0C0B0E"/>
          <w:sz w:val="21"/>
          <w:szCs w:val="21"/>
          <w:lang w:val="es-MX" w:eastAsia="en-US"/>
        </w:rPr>
        <w:t xml:space="preserve">, 56, 57, 58, 59, 60, 82, fracciones </w:t>
      </w:r>
      <w:r w:rsidR="00BE5E61">
        <w:rPr>
          <w:rFonts w:ascii="Abadi" w:eastAsia="Calibri" w:hAnsi="Abadi" w:cs="*Arial-Bold-8161-Identity-H"/>
          <w:color w:val="0C0B0E"/>
          <w:sz w:val="21"/>
          <w:szCs w:val="21"/>
          <w:lang w:val="es-MX" w:eastAsia="en-US"/>
        </w:rPr>
        <w:t>III</w:t>
      </w:r>
      <w:r w:rsidRPr="008C078F">
        <w:rPr>
          <w:rFonts w:ascii="Abadi" w:eastAsia="Calibri" w:hAnsi="Abadi" w:cs="*Arial-Bold-8161-Identity-H"/>
          <w:b/>
          <w:bCs/>
          <w:color w:val="0C0B0E"/>
          <w:sz w:val="21"/>
          <w:szCs w:val="21"/>
          <w:lang w:val="es-MX" w:eastAsia="en-US"/>
        </w:rPr>
        <w:t xml:space="preserve">, </w:t>
      </w:r>
      <w:r w:rsidRPr="008C078F">
        <w:rPr>
          <w:rFonts w:ascii="Abadi" w:eastAsia="Calibri" w:hAnsi="Abadi" w:cs="*Arial-8160-Identity-H"/>
          <w:color w:val="0C0B0E"/>
          <w:sz w:val="21"/>
          <w:szCs w:val="21"/>
          <w:lang w:val="es-MX" w:eastAsia="en-US"/>
        </w:rPr>
        <w:t>IV</w:t>
      </w:r>
      <w:r w:rsidRPr="0066700C">
        <w:rPr>
          <w:rFonts w:ascii="Abadi" w:eastAsia="Calibri" w:hAnsi="Abadi" w:cs="*Arial-8160-Identity-H"/>
          <w:color w:val="0C0B0E"/>
          <w:sz w:val="21"/>
          <w:szCs w:val="21"/>
          <w:lang w:val="es-MX" w:eastAsia="en-US"/>
        </w:rPr>
        <w:t xml:space="preserve">, </w:t>
      </w:r>
      <w:r w:rsidRPr="0066700C">
        <w:rPr>
          <w:rFonts w:ascii="Abadi" w:eastAsia="Calibri" w:hAnsi="Abadi" w:cs="*Arial-Bold-8161-Identity-H"/>
          <w:color w:val="0C0B0E"/>
          <w:sz w:val="21"/>
          <w:szCs w:val="21"/>
          <w:lang w:val="es-MX" w:eastAsia="en-US"/>
        </w:rPr>
        <w:t xml:space="preserve">XXIX, XXXII </w:t>
      </w:r>
      <w:r w:rsidRPr="0066700C">
        <w:rPr>
          <w:rFonts w:ascii="Abadi" w:eastAsia="Calibri" w:hAnsi="Abadi" w:cs="*Arial-8160-Identity-H"/>
          <w:color w:val="0C0B0E"/>
          <w:sz w:val="21"/>
          <w:szCs w:val="21"/>
          <w:lang w:val="es-MX" w:eastAsia="en-US"/>
        </w:rPr>
        <w:t xml:space="preserve">y </w:t>
      </w:r>
      <w:r w:rsidRPr="0066700C">
        <w:rPr>
          <w:rFonts w:ascii="Abadi" w:eastAsia="Calibri" w:hAnsi="Abadi" w:cs="*Arial-Bold-8161-Identity-H"/>
          <w:color w:val="0C0B0E"/>
          <w:sz w:val="21"/>
          <w:szCs w:val="21"/>
          <w:lang w:val="es-MX" w:eastAsia="en-US"/>
        </w:rPr>
        <w:t xml:space="preserve">XXXV </w:t>
      </w:r>
      <w:r w:rsidRPr="0066700C">
        <w:rPr>
          <w:rFonts w:ascii="Abadi" w:eastAsia="Calibri" w:hAnsi="Abadi" w:cs="*Arial-8160-Identity-H"/>
          <w:color w:val="0C0B0E"/>
          <w:sz w:val="21"/>
          <w:szCs w:val="21"/>
          <w:lang w:val="es-MX" w:eastAsia="en-US"/>
        </w:rPr>
        <w:t>y 87, fracciones V, XII y</w:t>
      </w:r>
      <w:r w:rsidRPr="008C078F">
        <w:rPr>
          <w:rFonts w:ascii="Abadi" w:eastAsia="Calibri" w:hAnsi="Abadi" w:cs="*Arial-8160-Identity-H"/>
          <w:color w:val="0C0B0E"/>
          <w:sz w:val="21"/>
          <w:szCs w:val="21"/>
          <w:lang w:val="es-MX" w:eastAsia="en-US"/>
        </w:rPr>
        <w:t xml:space="preserve"> XXVI de la Ley de Fiscalización Superior del Estado de Guanajuato; 1, 3, 1 O, 13, 18, 20, 27, 43, 44, 45, 46, 47, 48 y 49 del Reglamento de la Ley de Fiscalización Superior del Estado de Guanajuato; 1, 7, segundo párrafo, 8, fracción 1, 9, fracción XVII, 10 fracciones </w:t>
      </w:r>
      <w:r w:rsidR="00BE5E61">
        <w:rPr>
          <w:rFonts w:ascii="Abadi" w:eastAsia="Calibri" w:hAnsi="Abadi" w:cs="*Arial-8160-Identity-H"/>
          <w:color w:val="0C0B0E"/>
          <w:sz w:val="21"/>
          <w:szCs w:val="21"/>
          <w:lang w:val="es-MX" w:eastAsia="en-US"/>
        </w:rPr>
        <w:t>III</w:t>
      </w:r>
      <w:r w:rsidRPr="008C078F">
        <w:rPr>
          <w:rFonts w:ascii="Abadi" w:eastAsia="Calibri" w:hAnsi="Abadi" w:cs="*Arial-8160-Identity-H"/>
          <w:color w:val="0C0B0E"/>
          <w:sz w:val="21"/>
          <w:szCs w:val="21"/>
          <w:lang w:val="es-MX" w:eastAsia="en-US"/>
        </w:rPr>
        <w:t>, XVII, XIX y XX, 14 y 16 del Reglamento Interior de la Auditoría Superior del Estado de Guanajuato; y 42 de la Ley General del Sistema Nacional Anticorrupción.</w:t>
      </w:r>
    </w:p>
    <w:p w14:paraId="1D6908D9" w14:textId="77777777" w:rsidR="000B3729" w:rsidRPr="008C078F" w:rsidRDefault="000B3729" w:rsidP="000B3729">
      <w:pPr>
        <w:autoSpaceDE w:val="0"/>
        <w:autoSpaceDN w:val="0"/>
        <w:adjustRightInd w:val="0"/>
        <w:jc w:val="both"/>
        <w:rPr>
          <w:rFonts w:ascii="Abadi" w:eastAsia="Calibri" w:hAnsi="Abadi" w:cs="*Calibri-Bold-7327-Identity-H"/>
          <w:b/>
          <w:bCs/>
          <w:color w:val="22222A"/>
          <w:sz w:val="21"/>
          <w:szCs w:val="21"/>
          <w:lang w:val="es-MX" w:eastAsia="en-US"/>
        </w:rPr>
      </w:pPr>
    </w:p>
    <w:p w14:paraId="61852F4B" w14:textId="40CC5A5A" w:rsidR="000B3729" w:rsidRDefault="000B3729" w:rsidP="000B3729">
      <w:pPr>
        <w:autoSpaceDE w:val="0"/>
        <w:autoSpaceDN w:val="0"/>
        <w:adjustRightInd w:val="0"/>
        <w:ind w:firstLine="708"/>
        <w:jc w:val="both"/>
        <w:rPr>
          <w:rFonts w:ascii="Abadi" w:eastAsia="Calibri" w:hAnsi="Abadi" w:cs="*Arial-7328-Identity-H"/>
          <w:color w:val="0D0C0F"/>
          <w:sz w:val="21"/>
          <w:szCs w:val="21"/>
          <w:lang w:val="es-MX" w:eastAsia="en-US"/>
        </w:rPr>
      </w:pPr>
      <w:r w:rsidRPr="008C078F">
        <w:rPr>
          <w:rFonts w:ascii="Abadi" w:eastAsia="Calibri" w:hAnsi="Abadi" w:cs="*Arial-7328-Identity-H"/>
          <w:color w:val="0D0C0F"/>
          <w:sz w:val="21"/>
          <w:szCs w:val="21"/>
          <w:lang w:val="es-MX" w:eastAsia="en-US"/>
        </w:rPr>
        <w:t>Con base en lo anterior, la auditoría de desempeño materia del presente</w:t>
      </w:r>
      <w:r w:rsidRPr="008C078F">
        <w:rPr>
          <w:rFonts w:ascii="Abadi" w:eastAsia="Calibri" w:hAnsi="Abadi" w:cs="*Calibri-Bold-7327-Identity-H"/>
          <w:b/>
          <w:bCs/>
          <w:color w:val="22222A"/>
          <w:sz w:val="21"/>
          <w:szCs w:val="21"/>
          <w:lang w:val="es-MX" w:eastAsia="en-US"/>
        </w:rPr>
        <w:t xml:space="preserve"> </w:t>
      </w:r>
      <w:r w:rsidRPr="008C078F">
        <w:rPr>
          <w:rFonts w:ascii="Abadi" w:eastAsia="Calibri" w:hAnsi="Abadi" w:cs="*Arial-7328-Identity-H"/>
          <w:color w:val="0D0C0F"/>
          <w:sz w:val="21"/>
          <w:szCs w:val="21"/>
          <w:lang w:val="es-MX" w:eastAsia="en-US"/>
        </w:rPr>
        <w:t>dictamen, se ejecutó bajo los principios, conceptos y directrices de las actuales</w:t>
      </w:r>
      <w:r w:rsidRPr="008C078F">
        <w:rPr>
          <w:rFonts w:ascii="Abadi" w:eastAsia="Calibri" w:hAnsi="Abadi" w:cs="*Calibri-Bold-7327-Identity-H"/>
          <w:b/>
          <w:bCs/>
          <w:color w:val="22222A"/>
          <w:sz w:val="21"/>
          <w:szCs w:val="21"/>
          <w:lang w:val="es-MX" w:eastAsia="en-US"/>
        </w:rPr>
        <w:t xml:space="preserve"> </w:t>
      </w:r>
      <w:r w:rsidRPr="008C078F">
        <w:rPr>
          <w:rFonts w:ascii="Abadi" w:eastAsia="Calibri" w:hAnsi="Abadi" w:cs="*Arial-7328-Identity-H"/>
          <w:color w:val="0D0C0F"/>
          <w:sz w:val="21"/>
          <w:szCs w:val="21"/>
          <w:lang w:val="es-MX" w:eastAsia="en-US"/>
        </w:rPr>
        <w:t>Normas Profesionales de Auditoría del Sistema Nacional de Fiscalización,</w:t>
      </w:r>
      <w:r w:rsidRPr="008C078F">
        <w:rPr>
          <w:rFonts w:ascii="Abadi" w:eastAsia="Calibri" w:hAnsi="Abadi" w:cs="*Calibri-Bold-7327-Identity-H"/>
          <w:b/>
          <w:bCs/>
          <w:color w:val="22222A"/>
          <w:sz w:val="21"/>
          <w:szCs w:val="21"/>
          <w:lang w:val="es-MX" w:eastAsia="en-US"/>
        </w:rPr>
        <w:t xml:space="preserve"> </w:t>
      </w:r>
      <w:r w:rsidRPr="008C078F">
        <w:rPr>
          <w:rFonts w:ascii="Abadi" w:eastAsia="Calibri" w:hAnsi="Abadi" w:cs="*Arial-7328-Identity-H"/>
          <w:color w:val="0D0C0F"/>
          <w:sz w:val="21"/>
          <w:szCs w:val="21"/>
          <w:lang w:val="es-MX" w:eastAsia="en-US"/>
        </w:rPr>
        <w:t>compiladas y editadas por la Auditoría Superior de la Federación, de manera</w:t>
      </w:r>
      <w:r w:rsidRPr="008C078F">
        <w:rPr>
          <w:rFonts w:ascii="Abadi" w:eastAsia="Calibri" w:hAnsi="Abadi" w:cs="*Calibri-Bold-7327-Identity-H"/>
          <w:b/>
          <w:bCs/>
          <w:color w:val="22222A"/>
          <w:sz w:val="21"/>
          <w:szCs w:val="21"/>
          <w:lang w:val="es-MX" w:eastAsia="en-US"/>
        </w:rPr>
        <w:t xml:space="preserve"> </w:t>
      </w:r>
      <w:r w:rsidRPr="008C078F">
        <w:rPr>
          <w:rFonts w:ascii="Abadi" w:eastAsia="Calibri" w:hAnsi="Abadi" w:cs="*Arial-7328-Identity-H"/>
          <w:color w:val="0D0C0F"/>
          <w:sz w:val="21"/>
          <w:szCs w:val="21"/>
          <w:lang w:val="es-MX" w:eastAsia="en-US"/>
        </w:rPr>
        <w:t>particular por lo que hace a sus numerales 100 y 300.</w:t>
      </w:r>
    </w:p>
    <w:p w14:paraId="7AB2FA12" w14:textId="77777777" w:rsidR="001B03F4" w:rsidRPr="008C078F" w:rsidRDefault="001B03F4" w:rsidP="000B3729">
      <w:pPr>
        <w:autoSpaceDE w:val="0"/>
        <w:autoSpaceDN w:val="0"/>
        <w:adjustRightInd w:val="0"/>
        <w:ind w:firstLine="708"/>
        <w:jc w:val="both"/>
        <w:rPr>
          <w:rFonts w:ascii="Abadi" w:eastAsia="Calibri" w:hAnsi="Abadi" w:cs="*Calibri-Bold-7327-Identity-H"/>
          <w:b/>
          <w:bCs/>
          <w:color w:val="22222A"/>
          <w:sz w:val="21"/>
          <w:szCs w:val="21"/>
          <w:lang w:val="es-MX" w:eastAsia="en-US"/>
        </w:rPr>
      </w:pPr>
    </w:p>
    <w:p w14:paraId="7D28F808" w14:textId="77777777" w:rsidR="000B3729" w:rsidRPr="008C078F" w:rsidRDefault="000B3729" w:rsidP="000B3729">
      <w:pPr>
        <w:autoSpaceDE w:val="0"/>
        <w:autoSpaceDN w:val="0"/>
        <w:adjustRightInd w:val="0"/>
        <w:ind w:firstLine="708"/>
        <w:jc w:val="both"/>
        <w:rPr>
          <w:rFonts w:ascii="Abadi" w:eastAsia="Calibri" w:hAnsi="Abadi" w:cs="*Arial-7328-Identity-H"/>
          <w:color w:val="0C0C0E"/>
          <w:sz w:val="21"/>
          <w:szCs w:val="21"/>
          <w:lang w:val="es-MX" w:eastAsia="en-US"/>
        </w:rPr>
      </w:pPr>
      <w:r w:rsidRPr="008C078F">
        <w:rPr>
          <w:rFonts w:ascii="Abadi" w:eastAsia="Calibri" w:hAnsi="Abadi" w:cs="*Arial-7328-Identity-H"/>
          <w:color w:val="0C0C0E"/>
          <w:sz w:val="21"/>
          <w:szCs w:val="21"/>
          <w:lang w:val="es-MX" w:eastAsia="en-US"/>
        </w:rPr>
        <w:t>En esta parte también se puntualiza que las auditorias de desempeño que se practican por la Auditoría Superior del Estado son congruentes con las metodologías señaladas en las Normas Internacionales para Entidades Fiscalizadoras Superiores 100, 300, 3000 y 3200, emitidas por la Organización Internacional de las Entidades Fiscalizadoras Superiores, así como con los lineamientos para la construcción y diseño de indicadores de desempeño mediante la Metodología del Marco Lógico, emitidos por el Consejo Nacional de Armonización Contable, publicados en el Diario Oficial de la Federación el 15 de mayo de 2013, entre otros.</w:t>
      </w:r>
    </w:p>
    <w:p w14:paraId="27C03DB3" w14:textId="77777777" w:rsidR="000B3729" w:rsidRPr="008C078F" w:rsidRDefault="000B3729" w:rsidP="000B3729">
      <w:pPr>
        <w:autoSpaceDE w:val="0"/>
        <w:autoSpaceDN w:val="0"/>
        <w:adjustRightInd w:val="0"/>
        <w:jc w:val="both"/>
        <w:rPr>
          <w:rFonts w:ascii="Abadi" w:eastAsia="Calibri" w:hAnsi="Abadi" w:cs="*Arial-7328-Identity-H"/>
          <w:color w:val="0D0D10"/>
          <w:sz w:val="21"/>
          <w:szCs w:val="21"/>
          <w:lang w:val="es-MX" w:eastAsia="en-US"/>
        </w:rPr>
      </w:pPr>
    </w:p>
    <w:p w14:paraId="150BB9FF" w14:textId="77777777" w:rsidR="000B3729" w:rsidRPr="008C078F" w:rsidRDefault="000B3729" w:rsidP="000B3729">
      <w:pPr>
        <w:autoSpaceDE w:val="0"/>
        <w:autoSpaceDN w:val="0"/>
        <w:adjustRightInd w:val="0"/>
        <w:ind w:firstLine="708"/>
        <w:jc w:val="both"/>
        <w:rPr>
          <w:rFonts w:ascii="Abadi" w:eastAsia="Calibri" w:hAnsi="Abadi" w:cs="*Arial-7328-Identity-H"/>
          <w:color w:val="0D0D10"/>
          <w:sz w:val="21"/>
          <w:szCs w:val="21"/>
          <w:lang w:val="es-MX" w:eastAsia="en-US"/>
        </w:rPr>
      </w:pPr>
      <w:r w:rsidRPr="008C078F">
        <w:rPr>
          <w:rFonts w:ascii="Abadi" w:eastAsia="Calibri" w:hAnsi="Abadi" w:cs="*Arial-7328-Identity-H"/>
          <w:color w:val="0D0D10"/>
          <w:sz w:val="21"/>
          <w:szCs w:val="21"/>
          <w:lang w:val="es-MX" w:eastAsia="en-US"/>
        </w:rPr>
        <w:t xml:space="preserve">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w:t>
      </w:r>
      <w:proofErr w:type="spellStart"/>
      <w:r w:rsidRPr="008C078F">
        <w:rPr>
          <w:rFonts w:ascii="Abadi" w:eastAsia="Calibri" w:hAnsi="Abadi" w:cs="*Arial-7328-Identity-H"/>
          <w:color w:val="0D0D10"/>
          <w:sz w:val="21"/>
          <w:szCs w:val="21"/>
          <w:lang w:val="es-MX" w:eastAsia="en-US"/>
        </w:rPr>
        <w:t>fiscalizado</w:t>
      </w:r>
      <w:proofErr w:type="spellEnd"/>
      <w:r w:rsidRPr="008C078F">
        <w:rPr>
          <w:rFonts w:ascii="Abadi" w:eastAsia="Calibri" w:hAnsi="Abadi" w:cs="*Arial-7328-Identity-H"/>
          <w:color w:val="0D0D10"/>
          <w:sz w:val="21"/>
          <w:szCs w:val="21"/>
          <w:lang w:val="es-MX" w:eastAsia="en-US"/>
        </w:rPr>
        <w:t>.</w:t>
      </w:r>
    </w:p>
    <w:p w14:paraId="7DEB276D" w14:textId="77777777" w:rsidR="000B3729" w:rsidRPr="008C078F" w:rsidRDefault="000B3729" w:rsidP="000B3729">
      <w:pPr>
        <w:autoSpaceDE w:val="0"/>
        <w:autoSpaceDN w:val="0"/>
        <w:adjustRightInd w:val="0"/>
        <w:jc w:val="both"/>
        <w:rPr>
          <w:rFonts w:ascii="Abadi" w:eastAsia="Calibri" w:hAnsi="Abadi" w:cs="*Arial-7328-Identity-H"/>
          <w:color w:val="0D0D0F"/>
          <w:sz w:val="21"/>
          <w:szCs w:val="21"/>
          <w:lang w:val="es-MX" w:eastAsia="en-US"/>
        </w:rPr>
      </w:pPr>
    </w:p>
    <w:p w14:paraId="41547EDA" w14:textId="77777777" w:rsidR="000B3729" w:rsidRPr="008C078F" w:rsidRDefault="000B3729" w:rsidP="000B3729">
      <w:pPr>
        <w:autoSpaceDE w:val="0"/>
        <w:autoSpaceDN w:val="0"/>
        <w:adjustRightInd w:val="0"/>
        <w:ind w:firstLine="708"/>
        <w:jc w:val="both"/>
        <w:rPr>
          <w:rFonts w:ascii="Abadi" w:eastAsia="Calibri" w:hAnsi="Abadi" w:cs="*Arial-7328-Identity-H"/>
          <w:color w:val="0D0D0F"/>
          <w:sz w:val="21"/>
          <w:szCs w:val="21"/>
          <w:lang w:val="es-MX" w:eastAsia="en-US"/>
        </w:rPr>
      </w:pPr>
      <w:r w:rsidRPr="008C078F">
        <w:rPr>
          <w:rFonts w:ascii="Abadi" w:eastAsia="Calibri" w:hAnsi="Abadi" w:cs="*Arial-7328-Identity-H"/>
          <w:color w:val="0D0D0F"/>
          <w:sz w:val="21"/>
          <w:szCs w:val="21"/>
          <w:lang w:val="es-MX" w:eastAsia="en-US"/>
        </w:rPr>
        <w:t>Asimismo, se refiere que el artículo 26 del Reglamento de la Ley de Fiscalización Superior del Estado de Guanajuato establece los requisitos mínimos que deben contener los informes de resultados de las auditorias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61934D95" w14:textId="77777777" w:rsidR="000B3729" w:rsidRPr="008C078F" w:rsidRDefault="000B3729" w:rsidP="000B3729">
      <w:pPr>
        <w:autoSpaceDE w:val="0"/>
        <w:autoSpaceDN w:val="0"/>
        <w:adjustRightInd w:val="0"/>
        <w:jc w:val="both"/>
        <w:rPr>
          <w:rFonts w:ascii="Abadi" w:eastAsia="Calibri" w:hAnsi="Abadi" w:cs="*Arial-7328-Identity-H"/>
          <w:color w:val="0D0D0F"/>
          <w:sz w:val="21"/>
          <w:szCs w:val="21"/>
          <w:lang w:val="es-MX" w:eastAsia="en-US"/>
        </w:rPr>
      </w:pPr>
    </w:p>
    <w:p w14:paraId="6B14258B" w14:textId="77777777" w:rsidR="000B3729" w:rsidRPr="008C078F" w:rsidRDefault="000B3729" w:rsidP="000B3729">
      <w:pPr>
        <w:autoSpaceDE w:val="0"/>
        <w:autoSpaceDN w:val="0"/>
        <w:adjustRightInd w:val="0"/>
        <w:ind w:firstLine="708"/>
        <w:jc w:val="both"/>
        <w:rPr>
          <w:rFonts w:ascii="Abadi" w:eastAsia="Calibri" w:hAnsi="Abadi" w:cs="*Arial-7328-Identity-H"/>
          <w:color w:val="0D0D0F"/>
          <w:sz w:val="21"/>
          <w:szCs w:val="21"/>
          <w:lang w:val="es-MX" w:eastAsia="en-US"/>
        </w:rPr>
      </w:pPr>
      <w:r w:rsidRPr="008C078F">
        <w:rPr>
          <w:rFonts w:ascii="Abadi" w:eastAsia="Calibri" w:hAnsi="Abadi" w:cs="*Arial-7328-Identity-H"/>
          <w:color w:val="0D0D0F"/>
          <w:sz w:val="21"/>
          <w:szCs w:val="21"/>
          <w:lang w:val="es-MX" w:eastAsia="en-US"/>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7EF12C38" w14:textId="77777777" w:rsidR="000B3729" w:rsidRPr="008C078F" w:rsidRDefault="000B3729" w:rsidP="000B3729">
      <w:pPr>
        <w:autoSpaceDE w:val="0"/>
        <w:autoSpaceDN w:val="0"/>
        <w:adjustRightInd w:val="0"/>
        <w:jc w:val="both"/>
        <w:rPr>
          <w:rFonts w:ascii="Abadi" w:eastAsia="Calibri" w:hAnsi="Abadi" w:cs="*Calibri-Bold-7094-Identity-H"/>
          <w:b/>
          <w:bCs/>
          <w:color w:val="292A2F"/>
          <w:sz w:val="21"/>
          <w:szCs w:val="21"/>
          <w:lang w:val="es-MX" w:eastAsia="en-US"/>
        </w:rPr>
      </w:pPr>
    </w:p>
    <w:p w14:paraId="053A61C0" w14:textId="77777777" w:rsidR="000B3729" w:rsidRPr="008C078F" w:rsidRDefault="000B3729" w:rsidP="000B3729">
      <w:pPr>
        <w:autoSpaceDE w:val="0"/>
        <w:autoSpaceDN w:val="0"/>
        <w:adjustRightInd w:val="0"/>
        <w:ind w:firstLine="708"/>
        <w:jc w:val="both"/>
        <w:rPr>
          <w:rFonts w:ascii="Abadi" w:eastAsia="Calibri" w:hAnsi="Abadi" w:cs="*Arial-7095-Identity-H"/>
          <w:color w:val="0D0C0F"/>
          <w:sz w:val="21"/>
          <w:szCs w:val="21"/>
          <w:lang w:val="es-MX" w:eastAsia="en-US"/>
        </w:rPr>
      </w:pPr>
      <w:r w:rsidRPr="008C078F">
        <w:rPr>
          <w:rFonts w:ascii="Abadi" w:eastAsia="Calibri" w:hAnsi="Abadi" w:cs="*Arial-7095-Identity-H"/>
          <w:color w:val="0D0C0F"/>
          <w:sz w:val="21"/>
          <w:szCs w:val="21"/>
          <w:lang w:val="es-MX" w:eastAsia="en-US"/>
        </w:rPr>
        <w:t xml:space="preserve">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 </w:t>
      </w:r>
    </w:p>
    <w:p w14:paraId="2BC4AA8A" w14:textId="77777777" w:rsidR="000B3729" w:rsidRPr="008C078F" w:rsidRDefault="000B3729" w:rsidP="000B3729">
      <w:pPr>
        <w:autoSpaceDE w:val="0"/>
        <w:autoSpaceDN w:val="0"/>
        <w:adjustRightInd w:val="0"/>
        <w:jc w:val="both"/>
        <w:rPr>
          <w:rFonts w:ascii="Abadi" w:eastAsia="Calibri" w:hAnsi="Abadi" w:cs="*Arial-7095-Identity-H"/>
          <w:color w:val="0C0C0F"/>
          <w:sz w:val="21"/>
          <w:szCs w:val="21"/>
          <w:lang w:val="es-MX" w:eastAsia="en-US"/>
        </w:rPr>
      </w:pPr>
    </w:p>
    <w:p w14:paraId="32CF34EB" w14:textId="77777777" w:rsidR="000B3729" w:rsidRPr="008C078F" w:rsidRDefault="000B3729" w:rsidP="000B3729">
      <w:pPr>
        <w:autoSpaceDE w:val="0"/>
        <w:autoSpaceDN w:val="0"/>
        <w:adjustRightInd w:val="0"/>
        <w:ind w:firstLine="708"/>
        <w:jc w:val="both"/>
        <w:rPr>
          <w:rFonts w:ascii="Abadi" w:eastAsia="Calibri" w:hAnsi="Abadi" w:cs="*Arial-7095-Identity-H"/>
          <w:color w:val="0D0C0F"/>
          <w:sz w:val="21"/>
          <w:szCs w:val="21"/>
          <w:lang w:val="es-MX" w:eastAsia="en-US"/>
        </w:rPr>
      </w:pPr>
      <w:r w:rsidRPr="008C078F">
        <w:rPr>
          <w:rFonts w:ascii="Abadi" w:eastAsia="Calibri" w:hAnsi="Abadi" w:cs="*Arial-7095-Identity-H"/>
          <w:color w:val="0C0C0F"/>
          <w:sz w:val="21"/>
          <w:szCs w:val="21"/>
          <w:lang w:val="es-MX" w:eastAsia="en-US"/>
        </w:rPr>
        <w:t>Respecto al objetivo y alcance de la auditoría se señala que de acuerdo a la</w:t>
      </w:r>
      <w:r w:rsidRPr="008C078F">
        <w:rPr>
          <w:rFonts w:ascii="Abadi" w:eastAsia="Calibri" w:hAnsi="Abadi" w:cs="*Arial-7095-Identity-H"/>
          <w:color w:val="0D0C0F"/>
          <w:sz w:val="21"/>
          <w:szCs w:val="21"/>
          <w:lang w:val="es-MX" w:eastAsia="en-US"/>
        </w:rPr>
        <w:t xml:space="preserve"> </w:t>
      </w:r>
      <w:r w:rsidRPr="008C078F">
        <w:rPr>
          <w:rFonts w:ascii="Abadi" w:eastAsia="Calibri" w:hAnsi="Abadi" w:cs="*Arial-7095-Identity-H"/>
          <w:color w:val="0C0C0F"/>
          <w:sz w:val="21"/>
          <w:szCs w:val="21"/>
          <w:lang w:val="es-MX" w:eastAsia="en-US"/>
        </w:rPr>
        <w:t>Organización Internacional de las Entidades Fiscalizadoras Superiores, para las</w:t>
      </w:r>
      <w:r w:rsidRPr="008C078F">
        <w:rPr>
          <w:rFonts w:ascii="Abadi" w:eastAsia="Calibri" w:hAnsi="Abadi" w:cs="*Arial-7095-Identity-H"/>
          <w:color w:val="0D0C0F"/>
          <w:sz w:val="21"/>
          <w:szCs w:val="21"/>
          <w:lang w:val="es-MX" w:eastAsia="en-US"/>
        </w:rPr>
        <w:t xml:space="preserve"> </w:t>
      </w:r>
      <w:r w:rsidRPr="008C078F">
        <w:rPr>
          <w:rFonts w:ascii="Abadi" w:eastAsia="Calibri" w:hAnsi="Abadi" w:cs="*Arial-7095-Identity-H"/>
          <w:color w:val="0C0C0F"/>
          <w:sz w:val="21"/>
          <w:szCs w:val="21"/>
          <w:lang w:val="es-MX" w:eastAsia="en-US"/>
        </w:rPr>
        <w:t>auditorías de desempeño existen tres enfoques que están orientados a los</w:t>
      </w:r>
      <w:r w:rsidRPr="008C078F">
        <w:rPr>
          <w:rFonts w:ascii="Abadi" w:eastAsia="Calibri" w:hAnsi="Abadi" w:cs="*Arial-7095-Identity-H"/>
          <w:color w:val="0D0C0F"/>
          <w:sz w:val="21"/>
          <w:szCs w:val="21"/>
          <w:lang w:val="es-MX" w:eastAsia="en-US"/>
        </w:rPr>
        <w:t xml:space="preserve"> </w:t>
      </w:r>
      <w:r w:rsidRPr="008C078F">
        <w:rPr>
          <w:rFonts w:ascii="Abadi" w:eastAsia="Calibri" w:hAnsi="Abadi" w:cs="*Arial-7095-Identity-H"/>
          <w:color w:val="0C0C0F"/>
          <w:sz w:val="21"/>
          <w:szCs w:val="21"/>
          <w:lang w:val="es-MX" w:eastAsia="en-US"/>
        </w:rPr>
        <w:t>siguientes aspectos: Al sistema, el cual examina el funcionamiento adecuado de</w:t>
      </w:r>
      <w:r w:rsidRPr="008C078F">
        <w:rPr>
          <w:rFonts w:ascii="Abadi" w:eastAsia="Calibri" w:hAnsi="Abadi" w:cs="*Arial-7095-Identity-H"/>
          <w:color w:val="0D0C0F"/>
          <w:sz w:val="21"/>
          <w:szCs w:val="21"/>
          <w:lang w:val="es-MX" w:eastAsia="en-US"/>
        </w:rPr>
        <w:t xml:space="preserve"> </w:t>
      </w:r>
      <w:r w:rsidRPr="008C078F">
        <w:rPr>
          <w:rFonts w:ascii="Abadi" w:eastAsia="Calibri" w:hAnsi="Abadi" w:cs="*Arial-7095-Identity-H"/>
          <w:color w:val="0C0C0F"/>
          <w:sz w:val="21"/>
          <w:szCs w:val="21"/>
          <w:lang w:val="es-MX" w:eastAsia="en-US"/>
        </w:rPr>
        <w:t>los sistemas de gestión; a los resultados, en el que se evalúa si los objetivos en</w:t>
      </w:r>
      <w:r w:rsidRPr="008C078F">
        <w:rPr>
          <w:rFonts w:ascii="Abadi" w:eastAsia="Calibri" w:hAnsi="Abadi" w:cs="*Arial-7095-Identity-H"/>
          <w:color w:val="0D0C0F"/>
          <w:sz w:val="21"/>
          <w:szCs w:val="21"/>
          <w:lang w:val="es-MX" w:eastAsia="en-US"/>
        </w:rPr>
        <w:t xml:space="preserve"> </w:t>
      </w:r>
      <w:r w:rsidRPr="008C078F">
        <w:rPr>
          <w:rFonts w:ascii="Abadi" w:eastAsia="Calibri" w:hAnsi="Abadi" w:cs="*Arial-7095-Identity-H"/>
          <w:color w:val="0C0C0F"/>
          <w:sz w:val="21"/>
          <w:szCs w:val="21"/>
          <w:lang w:val="es-MX" w:eastAsia="en-US"/>
        </w:rPr>
        <w:t>términos de resultados o productos han sido alcanzados como se deseaba, o si</w:t>
      </w:r>
      <w:r w:rsidRPr="008C078F">
        <w:rPr>
          <w:rFonts w:ascii="Abadi" w:eastAsia="Calibri" w:hAnsi="Abadi" w:cs="*Arial-7095-Identity-H"/>
          <w:color w:val="0D0C0F"/>
          <w:sz w:val="21"/>
          <w:szCs w:val="21"/>
          <w:lang w:val="es-MX" w:eastAsia="en-US"/>
        </w:rPr>
        <w:t xml:space="preserve"> </w:t>
      </w:r>
      <w:r w:rsidRPr="008C078F">
        <w:rPr>
          <w:rFonts w:ascii="Abadi" w:eastAsia="Calibri" w:hAnsi="Abadi" w:cs="*Arial-7095-Identity-H"/>
          <w:color w:val="0C0C0F"/>
          <w:sz w:val="21"/>
          <w:szCs w:val="21"/>
          <w:lang w:val="es-MX" w:eastAsia="en-US"/>
        </w:rPr>
        <w:t>los programas y servicios operan como se esperaba; y al problema, el cual</w:t>
      </w:r>
      <w:r w:rsidRPr="008C078F">
        <w:rPr>
          <w:rFonts w:ascii="Abadi" w:eastAsia="Calibri" w:hAnsi="Abadi" w:cs="*Arial-7095-Identity-H"/>
          <w:color w:val="0D0C0F"/>
          <w:sz w:val="21"/>
          <w:szCs w:val="21"/>
          <w:lang w:val="es-MX" w:eastAsia="en-US"/>
        </w:rPr>
        <w:t xml:space="preserve"> </w:t>
      </w:r>
      <w:r w:rsidRPr="008C078F">
        <w:rPr>
          <w:rFonts w:ascii="Abadi" w:eastAsia="Calibri" w:hAnsi="Abadi" w:cs="*Arial-7095-Identity-H"/>
          <w:color w:val="0C0C0F"/>
          <w:sz w:val="21"/>
          <w:szCs w:val="21"/>
          <w:lang w:val="es-MX" w:eastAsia="en-US"/>
        </w:rPr>
        <w:t>examina, verifica y analiza las causas de los problemas particulares o</w:t>
      </w:r>
      <w:r w:rsidRPr="008C078F">
        <w:rPr>
          <w:rFonts w:ascii="Abadi" w:eastAsia="Calibri" w:hAnsi="Abadi" w:cs="*Arial-7095-Identity-H"/>
          <w:color w:val="0D0C0F"/>
          <w:sz w:val="21"/>
          <w:szCs w:val="21"/>
          <w:lang w:val="es-MX" w:eastAsia="en-US"/>
        </w:rPr>
        <w:t xml:space="preserve"> </w:t>
      </w:r>
      <w:r w:rsidRPr="008C078F">
        <w:rPr>
          <w:rFonts w:ascii="Abadi" w:eastAsia="Calibri" w:hAnsi="Abadi" w:cs="*Arial-7095-Identity-H"/>
          <w:color w:val="0C0C0F"/>
          <w:sz w:val="21"/>
          <w:szCs w:val="21"/>
          <w:lang w:val="es-MX" w:eastAsia="en-US"/>
        </w:rPr>
        <w:t>desviaciones de los criterios establecidos.</w:t>
      </w:r>
    </w:p>
    <w:p w14:paraId="522DEB78" w14:textId="77777777" w:rsidR="000B3729" w:rsidRPr="008C078F" w:rsidRDefault="000B3729" w:rsidP="000B3729">
      <w:pPr>
        <w:autoSpaceDE w:val="0"/>
        <w:autoSpaceDN w:val="0"/>
        <w:adjustRightInd w:val="0"/>
        <w:jc w:val="both"/>
        <w:rPr>
          <w:rFonts w:ascii="Abadi" w:eastAsia="Calibri" w:hAnsi="Abadi" w:cs="*Arial-7095-Identity-H"/>
          <w:color w:val="0C0C0E"/>
          <w:sz w:val="21"/>
          <w:szCs w:val="21"/>
          <w:lang w:val="es-MX" w:eastAsia="en-US"/>
        </w:rPr>
      </w:pPr>
    </w:p>
    <w:p w14:paraId="46AF3B1A" w14:textId="77777777" w:rsidR="000B3729" w:rsidRPr="008C078F" w:rsidRDefault="000B3729" w:rsidP="000B3729">
      <w:pPr>
        <w:autoSpaceDE w:val="0"/>
        <w:autoSpaceDN w:val="0"/>
        <w:adjustRightInd w:val="0"/>
        <w:ind w:firstLine="708"/>
        <w:jc w:val="both"/>
        <w:rPr>
          <w:rFonts w:ascii="Abadi" w:eastAsia="Calibri" w:hAnsi="Abadi" w:cs="*Arial-7095-Identity-H"/>
          <w:color w:val="0C0C0E"/>
          <w:sz w:val="21"/>
          <w:szCs w:val="21"/>
          <w:lang w:val="es-MX" w:eastAsia="en-US"/>
        </w:rPr>
      </w:pPr>
      <w:r w:rsidRPr="008C078F">
        <w:rPr>
          <w:rFonts w:ascii="Abadi" w:eastAsia="Calibri" w:hAnsi="Abadi" w:cs="*Arial-7095-Identity-H"/>
          <w:color w:val="0C0C0E"/>
          <w:sz w:val="21"/>
          <w:szCs w:val="21"/>
          <w:lang w:val="es-MX" w:eastAsia="en-US"/>
        </w:rPr>
        <w:t xml:space="preserve">En las auditorías de desempeño practicadas por la Auditoria Superior del Estado se consideran dichos enfoques, mediante las auditorías de cumplimiento de objetivos o resultados, de diseño y de consistencia y resultados. </w:t>
      </w:r>
    </w:p>
    <w:p w14:paraId="4B7B2C7C" w14:textId="77777777" w:rsidR="000B3729" w:rsidRPr="008C078F" w:rsidRDefault="000B3729" w:rsidP="000B3729">
      <w:pPr>
        <w:autoSpaceDE w:val="0"/>
        <w:autoSpaceDN w:val="0"/>
        <w:adjustRightInd w:val="0"/>
        <w:jc w:val="both"/>
        <w:rPr>
          <w:rFonts w:ascii="Abadi" w:eastAsia="Calibri" w:hAnsi="Abadi" w:cs="*Arial-7095-Identity-H"/>
          <w:color w:val="0D0C0F"/>
          <w:sz w:val="21"/>
          <w:szCs w:val="21"/>
          <w:lang w:val="es-MX" w:eastAsia="en-US"/>
        </w:rPr>
      </w:pPr>
    </w:p>
    <w:p w14:paraId="4F667B4B" w14:textId="77777777" w:rsidR="000B3729" w:rsidRPr="008C078F" w:rsidRDefault="000B3729" w:rsidP="000B3729">
      <w:pPr>
        <w:autoSpaceDE w:val="0"/>
        <w:autoSpaceDN w:val="0"/>
        <w:adjustRightInd w:val="0"/>
        <w:ind w:firstLine="708"/>
        <w:jc w:val="both"/>
        <w:rPr>
          <w:rFonts w:ascii="Abadi" w:eastAsia="Calibri" w:hAnsi="Abadi" w:cs="*Arial-7095-Identity-H"/>
          <w:color w:val="0C0C0E"/>
          <w:sz w:val="21"/>
          <w:szCs w:val="21"/>
          <w:lang w:val="es-MX" w:eastAsia="en-US"/>
        </w:rPr>
      </w:pPr>
      <w:r w:rsidRPr="008C078F">
        <w:rPr>
          <w:rFonts w:ascii="Abadi" w:eastAsia="Calibri" w:hAnsi="Abadi" w:cs="*Arial-7095-Identity-H"/>
          <w:color w:val="0D0C0F"/>
          <w:sz w:val="21"/>
          <w:szCs w:val="21"/>
          <w:lang w:val="es-MX" w:eastAsia="en-US"/>
        </w:rPr>
        <w:t>En la auditoría que nos ocupa se aplicó un enfoque de resultados y se</w:t>
      </w:r>
      <w:r w:rsidRPr="008C078F">
        <w:rPr>
          <w:rFonts w:ascii="Abadi" w:eastAsia="Calibri" w:hAnsi="Abadi" w:cs="*Arial-7095-Identity-H"/>
          <w:color w:val="0C0C0E"/>
          <w:sz w:val="21"/>
          <w:szCs w:val="21"/>
          <w:lang w:val="es-MX" w:eastAsia="en-US"/>
        </w:rPr>
        <w:t xml:space="preserve"> </w:t>
      </w:r>
      <w:r w:rsidRPr="008C078F">
        <w:rPr>
          <w:rFonts w:ascii="Abadi" w:eastAsia="Calibri" w:hAnsi="Abadi" w:cs="*Arial-7095-Identity-H"/>
          <w:color w:val="0D0C0F"/>
          <w:sz w:val="21"/>
          <w:szCs w:val="21"/>
          <w:lang w:val="es-MX" w:eastAsia="en-US"/>
        </w:rPr>
        <w:t>incluyó en el Programa General de Fiscalización 2021, considerando diversos</w:t>
      </w:r>
      <w:r w:rsidRPr="008C078F">
        <w:rPr>
          <w:rFonts w:ascii="Abadi" w:eastAsia="Calibri" w:hAnsi="Abadi" w:cs="*Arial-7095-Identity-H"/>
          <w:color w:val="0C0C0E"/>
          <w:sz w:val="21"/>
          <w:szCs w:val="21"/>
          <w:lang w:val="es-MX" w:eastAsia="en-US"/>
        </w:rPr>
        <w:t xml:space="preserve"> </w:t>
      </w:r>
      <w:r w:rsidRPr="008C078F">
        <w:rPr>
          <w:rFonts w:ascii="Abadi" w:eastAsia="Calibri" w:hAnsi="Abadi" w:cs="*Arial-7095-Identity-H"/>
          <w:color w:val="0D0C0F"/>
          <w:sz w:val="21"/>
          <w:szCs w:val="21"/>
          <w:lang w:val="es-MX" w:eastAsia="en-US"/>
        </w:rPr>
        <w:t>criterios metodológicos expuestos en dicho Programa.</w:t>
      </w:r>
      <w:r w:rsidRPr="008C078F">
        <w:rPr>
          <w:rFonts w:ascii="Abadi" w:eastAsia="Calibri" w:hAnsi="Abadi" w:cs="*Arial-7095-Identity-H"/>
          <w:color w:val="0C0C0E"/>
          <w:sz w:val="21"/>
          <w:szCs w:val="21"/>
          <w:lang w:val="es-MX" w:eastAsia="en-US"/>
        </w:rPr>
        <w:t xml:space="preserve"> </w:t>
      </w:r>
    </w:p>
    <w:p w14:paraId="2994DBD1" w14:textId="77777777" w:rsidR="000B3729" w:rsidRPr="008C078F" w:rsidRDefault="000B3729" w:rsidP="000B3729">
      <w:pPr>
        <w:autoSpaceDE w:val="0"/>
        <w:autoSpaceDN w:val="0"/>
        <w:adjustRightInd w:val="0"/>
        <w:jc w:val="both"/>
        <w:rPr>
          <w:rFonts w:ascii="Abadi" w:eastAsia="Calibri" w:hAnsi="Abadi" w:cs="*Arial-7095-Identity-H"/>
          <w:color w:val="0D0C0F"/>
          <w:sz w:val="21"/>
          <w:szCs w:val="21"/>
          <w:lang w:val="es-MX" w:eastAsia="en-US"/>
        </w:rPr>
      </w:pPr>
    </w:p>
    <w:p w14:paraId="4EC1A629" w14:textId="77777777" w:rsidR="000B3729" w:rsidRPr="008C078F" w:rsidRDefault="000B3729" w:rsidP="000B3729">
      <w:pPr>
        <w:autoSpaceDE w:val="0"/>
        <w:autoSpaceDN w:val="0"/>
        <w:adjustRightInd w:val="0"/>
        <w:ind w:firstLine="708"/>
        <w:jc w:val="both"/>
        <w:rPr>
          <w:rFonts w:ascii="Abadi" w:eastAsia="Calibri" w:hAnsi="Abadi" w:cs="*Arial-7095-Identity-H"/>
          <w:color w:val="0C0C0E"/>
          <w:sz w:val="21"/>
          <w:szCs w:val="21"/>
          <w:lang w:val="es-MX" w:eastAsia="en-US"/>
        </w:rPr>
      </w:pPr>
      <w:r w:rsidRPr="008C078F">
        <w:rPr>
          <w:rFonts w:ascii="Abadi" w:eastAsia="Calibri" w:hAnsi="Abadi" w:cs="*Arial-7095-Identity-H"/>
          <w:color w:val="0D0C0F"/>
          <w:sz w:val="21"/>
          <w:szCs w:val="21"/>
          <w:lang w:val="es-MX" w:eastAsia="en-US"/>
        </w:rPr>
        <w:t>Dicha auditoría tuvo como objetivo general verificar la capacidad del</w:t>
      </w:r>
      <w:r w:rsidRPr="008C078F">
        <w:rPr>
          <w:rFonts w:ascii="Abadi" w:eastAsia="Calibri" w:hAnsi="Abadi" w:cs="*Arial-7095-Identity-H"/>
          <w:color w:val="0C0C0E"/>
          <w:sz w:val="21"/>
          <w:szCs w:val="21"/>
          <w:lang w:val="es-MX" w:eastAsia="en-US"/>
        </w:rPr>
        <w:t xml:space="preserve"> </w:t>
      </w:r>
      <w:r w:rsidRPr="008C078F">
        <w:rPr>
          <w:rFonts w:ascii="Abadi" w:eastAsia="Calibri" w:hAnsi="Abadi" w:cs="*Arial-7095-Identity-H"/>
          <w:color w:val="0D0C0F"/>
          <w:sz w:val="21"/>
          <w:szCs w:val="21"/>
          <w:lang w:val="es-MX" w:eastAsia="en-US"/>
        </w:rPr>
        <w:t>Municipio para la prestación eficaz del servicio de alumbrado público y la eficiencia</w:t>
      </w:r>
      <w:r w:rsidRPr="008C078F">
        <w:rPr>
          <w:rFonts w:ascii="Abadi" w:eastAsia="Calibri" w:hAnsi="Abadi" w:cs="*Arial-7095-Identity-H"/>
          <w:color w:val="0C0C0E"/>
          <w:sz w:val="21"/>
          <w:szCs w:val="21"/>
          <w:lang w:val="es-MX" w:eastAsia="en-US"/>
        </w:rPr>
        <w:t xml:space="preserve"> </w:t>
      </w:r>
      <w:r w:rsidRPr="008C078F">
        <w:rPr>
          <w:rFonts w:ascii="Abadi" w:eastAsia="Calibri" w:hAnsi="Abadi" w:cs="*Arial-7095-Identity-H"/>
          <w:color w:val="0D0C0F"/>
          <w:sz w:val="21"/>
          <w:szCs w:val="21"/>
          <w:lang w:val="es-MX" w:eastAsia="en-US"/>
        </w:rPr>
        <w:t>en sus funciones de planificación, operación y seguimiento.</w:t>
      </w:r>
    </w:p>
    <w:p w14:paraId="76104670" w14:textId="77777777" w:rsidR="000B3729" w:rsidRPr="008C078F" w:rsidRDefault="000B3729" w:rsidP="000B3729">
      <w:pPr>
        <w:autoSpaceDE w:val="0"/>
        <w:autoSpaceDN w:val="0"/>
        <w:adjustRightInd w:val="0"/>
        <w:jc w:val="both"/>
        <w:rPr>
          <w:rFonts w:ascii="Abadi" w:eastAsia="Calibri" w:hAnsi="Abadi" w:cs="*Arial-7095-Identity-H"/>
          <w:color w:val="0C0B0F"/>
          <w:sz w:val="21"/>
          <w:szCs w:val="21"/>
          <w:lang w:val="es-MX" w:eastAsia="en-US"/>
        </w:rPr>
      </w:pPr>
    </w:p>
    <w:p w14:paraId="696B24D4" w14:textId="77777777" w:rsidR="000B3729" w:rsidRPr="008C078F" w:rsidRDefault="000B3729" w:rsidP="000B3729">
      <w:pPr>
        <w:autoSpaceDE w:val="0"/>
        <w:autoSpaceDN w:val="0"/>
        <w:adjustRightInd w:val="0"/>
        <w:ind w:firstLine="708"/>
        <w:jc w:val="both"/>
        <w:rPr>
          <w:rFonts w:ascii="Abadi" w:eastAsia="Calibri" w:hAnsi="Abadi" w:cs="*Arial-7095-Identity-H"/>
          <w:color w:val="0C0B0F"/>
          <w:sz w:val="21"/>
          <w:szCs w:val="21"/>
          <w:lang w:val="es-MX" w:eastAsia="en-US"/>
        </w:rPr>
      </w:pPr>
      <w:r w:rsidRPr="008C078F">
        <w:rPr>
          <w:rFonts w:ascii="Abadi" w:eastAsia="Calibri" w:hAnsi="Abadi" w:cs="*Arial-7095-Identity-H"/>
          <w:color w:val="0C0B0F"/>
          <w:sz w:val="21"/>
          <w:szCs w:val="21"/>
          <w:lang w:val="es-MX" w:eastAsia="en-US"/>
        </w:rPr>
        <w:t xml:space="preserve">En cuanto a la temporalidad, el alcance de la auditoría abarcó el periodo comprendido de enero a diciembre del ejercicio fiscal 2020; asimismo, respecto a la profundidad temática se revisó la eficiencia en la gestión de la información que dispone el Municipio para identificar la estimación tanto de la oferta del servicio de alumbrado público como </w:t>
      </w:r>
      <w:r w:rsidRPr="008C078F">
        <w:rPr>
          <w:rFonts w:ascii="Abadi" w:eastAsia="Calibri" w:hAnsi="Abadi" w:cs="*Arial-7095-Identity-H"/>
          <w:color w:val="818181"/>
          <w:sz w:val="21"/>
          <w:szCs w:val="21"/>
          <w:lang w:val="es-MX" w:eastAsia="en-US"/>
        </w:rPr>
        <w:t>·</w:t>
      </w:r>
      <w:r w:rsidRPr="008C078F">
        <w:rPr>
          <w:rFonts w:ascii="Abadi" w:eastAsia="Calibri" w:hAnsi="Abadi" w:cs="*Arial-7095-Identity-H"/>
          <w:color w:val="0C0B0F"/>
          <w:sz w:val="21"/>
          <w:szCs w:val="21"/>
          <w:lang w:val="es-MX" w:eastAsia="en-US"/>
        </w:rPr>
        <w:t xml:space="preserve">de los recursos necesarios para su implementación; sobre el estado que guarda la organización del Municipio para brindar el servicio de alumbrado público y la gestión de la calidad sobre sus procesos clave; y el uso de herramientas para la planificación operativa y el seguimiento de las actividades vinculadas a la atención de reportes por fallas en el servicio. Así como, la eficacia en los resultados de la capacidad municipal en la prestación del servicio de alumbrado público en el ejercicio 2020 a partir del grado de funcionamiento de las luminarias que lo conforman, la cobertura lograda y la satisfacción ciudadana </w:t>
      </w:r>
      <w:r w:rsidRPr="008C078F">
        <w:rPr>
          <w:rFonts w:ascii="Abadi" w:eastAsia="Calibri" w:hAnsi="Abadi" w:cs="*Arial-9712-Identity-H"/>
          <w:color w:val="0E0E10"/>
          <w:sz w:val="21"/>
          <w:szCs w:val="21"/>
          <w:lang w:val="es-MX" w:eastAsia="en-US"/>
        </w:rPr>
        <w:t>sobre el servicio, y de la relevancia y suficiencia de los mecanismos que permiten</w:t>
      </w:r>
      <w:r w:rsidRPr="008C078F">
        <w:rPr>
          <w:rFonts w:ascii="Abadi" w:eastAsia="Calibri" w:hAnsi="Abadi" w:cs="*Arial-7095-Identity-H"/>
          <w:color w:val="0C0B0F"/>
          <w:sz w:val="21"/>
          <w:szCs w:val="21"/>
          <w:lang w:val="es-MX" w:eastAsia="en-US"/>
        </w:rPr>
        <w:t xml:space="preserve"> </w:t>
      </w:r>
      <w:r w:rsidRPr="008C078F">
        <w:rPr>
          <w:rFonts w:ascii="Abadi" w:eastAsia="Calibri" w:hAnsi="Abadi" w:cs="*Arial-9712-Identity-H"/>
          <w:color w:val="0E0E10"/>
          <w:sz w:val="21"/>
          <w:szCs w:val="21"/>
          <w:lang w:val="es-MX" w:eastAsia="en-US"/>
        </w:rPr>
        <w:t>monitorear el desempeño y los resultados del servicio.</w:t>
      </w:r>
    </w:p>
    <w:p w14:paraId="4E70D9D1" w14:textId="77777777" w:rsidR="000B3729" w:rsidRPr="008C078F" w:rsidRDefault="000B3729" w:rsidP="000B3729">
      <w:pPr>
        <w:autoSpaceDE w:val="0"/>
        <w:autoSpaceDN w:val="0"/>
        <w:adjustRightInd w:val="0"/>
        <w:jc w:val="both"/>
        <w:rPr>
          <w:rFonts w:ascii="Abadi" w:eastAsia="Calibri" w:hAnsi="Abadi" w:cs="*Arial-9712-Identity-H"/>
          <w:color w:val="0E0E11"/>
          <w:sz w:val="21"/>
          <w:szCs w:val="21"/>
          <w:lang w:val="es-MX" w:eastAsia="en-US"/>
        </w:rPr>
      </w:pPr>
    </w:p>
    <w:p w14:paraId="5A6109FB" w14:textId="77777777" w:rsidR="000B3729" w:rsidRPr="008C078F" w:rsidRDefault="000B3729" w:rsidP="000B3729">
      <w:pPr>
        <w:autoSpaceDE w:val="0"/>
        <w:autoSpaceDN w:val="0"/>
        <w:adjustRightInd w:val="0"/>
        <w:ind w:firstLine="708"/>
        <w:jc w:val="both"/>
        <w:rPr>
          <w:rFonts w:ascii="Abadi" w:eastAsia="Calibri" w:hAnsi="Abadi" w:cs="*Arial-9712-Identity-H"/>
          <w:color w:val="0E0E11"/>
          <w:sz w:val="21"/>
          <w:szCs w:val="21"/>
          <w:lang w:val="es-MX" w:eastAsia="en-US"/>
        </w:rPr>
      </w:pPr>
      <w:r w:rsidRPr="008C078F">
        <w:rPr>
          <w:rFonts w:ascii="Abadi" w:eastAsia="Calibri" w:hAnsi="Abadi" w:cs="*Arial-9712-Identity-H"/>
          <w:color w:val="0E0E11"/>
          <w:sz w:val="21"/>
          <w:szCs w:val="21"/>
          <w:lang w:val="es-MX" w:eastAsia="en-US"/>
        </w:rPr>
        <w:t>Respecto a los antecedentes del proceso de fiscalización, estos ya se detallaron en el apartado correspondiente.</w:t>
      </w:r>
    </w:p>
    <w:p w14:paraId="57C8C0F7" w14:textId="77777777" w:rsidR="000B3729" w:rsidRPr="008C078F" w:rsidRDefault="000B3729" w:rsidP="000B3729">
      <w:pPr>
        <w:autoSpaceDE w:val="0"/>
        <w:autoSpaceDN w:val="0"/>
        <w:adjustRightInd w:val="0"/>
        <w:jc w:val="both"/>
        <w:rPr>
          <w:rFonts w:ascii="Abadi" w:eastAsia="Calibri" w:hAnsi="Abadi" w:cs="*Arial-9712-Identity-H"/>
          <w:color w:val="0D0C0F"/>
          <w:sz w:val="21"/>
          <w:szCs w:val="21"/>
          <w:lang w:val="es-MX" w:eastAsia="en-US"/>
        </w:rPr>
      </w:pPr>
    </w:p>
    <w:p w14:paraId="4B9FBB51" w14:textId="77777777" w:rsidR="000B3729" w:rsidRPr="008C078F" w:rsidRDefault="000B3729" w:rsidP="000B3729">
      <w:pPr>
        <w:autoSpaceDE w:val="0"/>
        <w:autoSpaceDN w:val="0"/>
        <w:adjustRightInd w:val="0"/>
        <w:ind w:firstLine="708"/>
        <w:jc w:val="both"/>
        <w:rPr>
          <w:rFonts w:ascii="Abadi" w:eastAsia="Calibri" w:hAnsi="Abadi" w:cs="*Arial-9712-Identity-H"/>
          <w:color w:val="0D0C0F"/>
          <w:sz w:val="21"/>
          <w:szCs w:val="21"/>
          <w:lang w:val="es-MX" w:eastAsia="en-US"/>
        </w:rPr>
      </w:pPr>
      <w:r w:rsidRPr="008C078F">
        <w:rPr>
          <w:rFonts w:ascii="Abadi" w:eastAsia="Calibri" w:hAnsi="Abadi" w:cs="*Arial-9712-Identity-H"/>
          <w:color w:val="0D0C0F"/>
          <w:sz w:val="21"/>
          <w:szCs w:val="21"/>
          <w:lang w:val="es-MX" w:eastAsia="en-US"/>
        </w:rPr>
        <w:t>En cuanto al contexto de la política pública de la materia a auditar,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al Municipio.</w:t>
      </w:r>
    </w:p>
    <w:p w14:paraId="49E1E85E" w14:textId="77777777" w:rsidR="000B3729" w:rsidRPr="008C078F" w:rsidRDefault="000B3729" w:rsidP="000B3729">
      <w:pPr>
        <w:autoSpaceDE w:val="0"/>
        <w:autoSpaceDN w:val="0"/>
        <w:adjustRightInd w:val="0"/>
        <w:jc w:val="both"/>
        <w:rPr>
          <w:rFonts w:ascii="Abadi" w:eastAsia="Calibri" w:hAnsi="Abadi" w:cs="*Arial-9712-Identity-H"/>
          <w:color w:val="0D0C0F"/>
          <w:sz w:val="21"/>
          <w:szCs w:val="21"/>
          <w:lang w:val="es-MX" w:eastAsia="en-US"/>
        </w:rPr>
      </w:pPr>
    </w:p>
    <w:p w14:paraId="7A9C4519" w14:textId="59F60E29" w:rsidR="000B3729" w:rsidRPr="008C078F" w:rsidRDefault="000B3729" w:rsidP="000B3729">
      <w:pPr>
        <w:autoSpaceDE w:val="0"/>
        <w:autoSpaceDN w:val="0"/>
        <w:adjustRightInd w:val="0"/>
        <w:ind w:firstLine="708"/>
        <w:jc w:val="both"/>
        <w:rPr>
          <w:rFonts w:ascii="Abadi" w:eastAsia="Calibri" w:hAnsi="Abadi" w:cs="*Arial-Italic-9714-Identity-H"/>
          <w:i/>
          <w:iCs/>
          <w:color w:val="0D0C0F"/>
          <w:sz w:val="21"/>
          <w:szCs w:val="21"/>
          <w:lang w:val="es-MX" w:eastAsia="en-US"/>
        </w:rPr>
      </w:pPr>
      <w:r w:rsidRPr="008C078F">
        <w:rPr>
          <w:rFonts w:ascii="Abadi" w:eastAsia="Calibri" w:hAnsi="Abadi" w:cs="*Arial-9712-Identity-H"/>
          <w:color w:val="0D0C0F"/>
          <w:sz w:val="21"/>
          <w:szCs w:val="21"/>
          <w:lang w:val="es-MX" w:eastAsia="en-US"/>
        </w:rPr>
        <w:t xml:space="preserve">También se precisa que el servicio público </w:t>
      </w:r>
      <w:r w:rsidRPr="008C078F">
        <w:rPr>
          <w:rFonts w:ascii="Abadi" w:eastAsia="Calibri" w:hAnsi="Abadi" w:cs="*Arial-Italic-9714-Identity-H"/>
          <w:i/>
          <w:iCs/>
          <w:color w:val="0D0C0F"/>
          <w:sz w:val="21"/>
          <w:szCs w:val="21"/>
          <w:lang w:val="es-MX" w:eastAsia="en-US"/>
        </w:rPr>
        <w:t xml:space="preserve">«es la institución jurídica administrativa en la que el titular es el Estado (municipio) y cuya única finalidad consiste en satisfacer de manera regular, continua y uniforme necesidades públicas de carácter esencial, básico o fundamental; se concreta </w:t>
      </w:r>
      <w:r w:rsidRPr="008C078F">
        <w:rPr>
          <w:rFonts w:ascii="Abadi" w:eastAsia="Calibri" w:hAnsi="Abadi" w:cs="*Arial-9712-Identity-H"/>
          <w:color w:val="0D0C0F"/>
          <w:sz w:val="21"/>
          <w:szCs w:val="21"/>
          <w:lang w:val="es-MX" w:eastAsia="en-US"/>
        </w:rPr>
        <w:t xml:space="preserve">a </w:t>
      </w:r>
      <w:r w:rsidRPr="008C078F">
        <w:rPr>
          <w:rFonts w:ascii="Abadi" w:eastAsia="Calibri" w:hAnsi="Abadi" w:cs="*Arial-Italic-9714-Identity-H"/>
          <w:i/>
          <w:iCs/>
          <w:color w:val="0D0C0F"/>
          <w:sz w:val="21"/>
          <w:szCs w:val="21"/>
          <w:lang w:val="es-MX" w:eastAsia="en-US"/>
        </w:rPr>
        <w:t>través de las prestaciones individualizadas las cuales podrán ser suministradas directamente por el Estado (municipio) o por los particulares mediante concesión. Por su</w:t>
      </w:r>
      <w:r w:rsidR="0066700C">
        <w:rPr>
          <w:rFonts w:ascii="Abadi" w:eastAsia="Calibri" w:hAnsi="Abadi" w:cs="*Arial-Italic-9714-Identity-H"/>
          <w:i/>
          <w:iCs/>
          <w:color w:val="0D0C0F"/>
          <w:sz w:val="21"/>
          <w:szCs w:val="21"/>
          <w:lang w:val="es-MX" w:eastAsia="en-US"/>
        </w:rPr>
        <w:t xml:space="preserve"> n</w:t>
      </w:r>
      <w:r w:rsidRPr="008C078F">
        <w:rPr>
          <w:rFonts w:ascii="Abadi" w:eastAsia="Calibri" w:hAnsi="Abadi" w:cs="*Arial-Italic-9714-Identity-H"/>
          <w:i/>
          <w:iCs/>
          <w:color w:val="0D0C0F"/>
          <w:sz w:val="21"/>
          <w:szCs w:val="21"/>
          <w:lang w:val="es-MX" w:eastAsia="en-US"/>
        </w:rPr>
        <w:t xml:space="preserve">aturaleza, estará sujeta </w:t>
      </w:r>
      <w:r w:rsidRPr="008C078F">
        <w:rPr>
          <w:rFonts w:ascii="Abadi" w:eastAsia="Calibri" w:hAnsi="Abadi" w:cs="*Arial-9712-Identity-H"/>
          <w:color w:val="0D0C0F"/>
          <w:sz w:val="21"/>
          <w:szCs w:val="21"/>
          <w:lang w:val="es-MX" w:eastAsia="en-US"/>
        </w:rPr>
        <w:t xml:space="preserve">a </w:t>
      </w:r>
      <w:r w:rsidRPr="008C078F">
        <w:rPr>
          <w:rFonts w:ascii="Abadi" w:eastAsia="Calibri" w:hAnsi="Abadi" w:cs="*Arial-Italic-9714-Identity-H"/>
          <w:i/>
          <w:iCs/>
          <w:color w:val="0D0C0F"/>
          <w:sz w:val="21"/>
          <w:szCs w:val="21"/>
          <w:lang w:val="es-MX" w:eastAsia="en-US"/>
        </w:rPr>
        <w:t>normas y principios de derecho público»</w:t>
      </w:r>
      <w:r w:rsidRPr="008C078F">
        <w:rPr>
          <w:rFonts w:ascii="Abadi" w:eastAsia="Calibri" w:hAnsi="Abadi" w:cs="*Arial-9712-Identity-H"/>
          <w:color w:val="0D0C0F"/>
          <w:sz w:val="21"/>
          <w:szCs w:val="21"/>
          <w:lang w:val="es-MX" w:eastAsia="en-US"/>
        </w:rPr>
        <w:t xml:space="preserve">. </w:t>
      </w:r>
      <w:r w:rsidR="00A61D3B">
        <w:rPr>
          <w:rStyle w:val="Refdenotaalpie"/>
          <w:rFonts w:ascii="Abadi" w:eastAsia="Calibri" w:hAnsi="Abadi" w:cs="*Arial-9712-Identity-H"/>
          <w:color w:val="0D0C0F"/>
          <w:sz w:val="21"/>
          <w:szCs w:val="21"/>
          <w:lang w:val="es-MX" w:eastAsia="en-US"/>
        </w:rPr>
        <w:footnoteReference w:id="48"/>
      </w:r>
    </w:p>
    <w:p w14:paraId="5813BFF3" w14:textId="77777777" w:rsidR="000B3729" w:rsidRPr="008C078F" w:rsidRDefault="000B3729" w:rsidP="000B3729">
      <w:pPr>
        <w:autoSpaceDE w:val="0"/>
        <w:autoSpaceDN w:val="0"/>
        <w:adjustRightInd w:val="0"/>
        <w:jc w:val="both"/>
        <w:rPr>
          <w:rFonts w:ascii="Abadi" w:eastAsia="Calibri" w:hAnsi="Abadi" w:cs="*Arial-9712-Identity-H"/>
          <w:color w:val="0C0C0F"/>
          <w:sz w:val="21"/>
          <w:szCs w:val="21"/>
          <w:lang w:val="es-MX" w:eastAsia="en-US"/>
        </w:rPr>
      </w:pPr>
    </w:p>
    <w:p w14:paraId="08B7AE77" w14:textId="77777777" w:rsidR="000B3729" w:rsidRPr="008C078F" w:rsidRDefault="000B3729" w:rsidP="000B3729">
      <w:pPr>
        <w:autoSpaceDE w:val="0"/>
        <w:autoSpaceDN w:val="0"/>
        <w:adjustRightInd w:val="0"/>
        <w:ind w:firstLine="708"/>
        <w:jc w:val="both"/>
        <w:rPr>
          <w:rFonts w:ascii="Abadi" w:eastAsia="Calibri" w:hAnsi="Abadi" w:cs="*Arial-9712-Identity-H"/>
          <w:color w:val="0C0C0F"/>
          <w:sz w:val="21"/>
          <w:szCs w:val="21"/>
          <w:lang w:val="es-MX" w:eastAsia="en-US"/>
        </w:rPr>
      </w:pPr>
      <w:r w:rsidRPr="008C078F">
        <w:rPr>
          <w:rFonts w:ascii="Abadi" w:eastAsia="Calibri" w:hAnsi="Abadi" w:cs="*Arial-9712-Identity-H"/>
          <w:color w:val="0C0C0F"/>
          <w:sz w:val="21"/>
          <w:szCs w:val="21"/>
          <w:lang w:val="es-MX" w:eastAsia="en-US"/>
        </w:rPr>
        <w:t>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w:t>
      </w:r>
    </w:p>
    <w:p w14:paraId="09ACAEE6" w14:textId="77777777" w:rsidR="000B3729" w:rsidRPr="008C078F" w:rsidRDefault="000B3729" w:rsidP="000B3729">
      <w:pPr>
        <w:autoSpaceDE w:val="0"/>
        <w:autoSpaceDN w:val="0"/>
        <w:adjustRightInd w:val="0"/>
        <w:jc w:val="both"/>
        <w:rPr>
          <w:rFonts w:ascii="Abadi" w:eastAsia="Calibri" w:hAnsi="Abadi" w:cs="*Arial-9712-Identity-H"/>
          <w:color w:val="0C0C0F"/>
          <w:sz w:val="21"/>
          <w:szCs w:val="21"/>
          <w:lang w:val="es-MX" w:eastAsia="en-US"/>
        </w:rPr>
      </w:pPr>
    </w:p>
    <w:p w14:paraId="40BE72B7" w14:textId="6A2EEEFF" w:rsidR="000B3729" w:rsidRPr="008C078F" w:rsidRDefault="000B3729" w:rsidP="000B3729">
      <w:pPr>
        <w:autoSpaceDE w:val="0"/>
        <w:autoSpaceDN w:val="0"/>
        <w:adjustRightInd w:val="0"/>
        <w:ind w:firstLine="708"/>
        <w:jc w:val="both"/>
        <w:rPr>
          <w:rFonts w:ascii="Abadi" w:eastAsia="Calibri" w:hAnsi="Abadi" w:cs="*Arial-9712-Identity-H"/>
          <w:color w:val="0D0C0F"/>
          <w:sz w:val="21"/>
          <w:szCs w:val="21"/>
          <w:lang w:val="es-MX" w:eastAsia="en-US"/>
        </w:rPr>
      </w:pPr>
      <w:r w:rsidRPr="008C078F">
        <w:rPr>
          <w:rFonts w:ascii="Abadi" w:eastAsia="Calibri" w:hAnsi="Abadi" w:cs="*Arial-9712-Identity-H"/>
          <w:color w:val="0D0C0F"/>
          <w:sz w:val="21"/>
          <w:szCs w:val="21"/>
          <w:lang w:val="es-MX" w:eastAsia="en-US"/>
        </w:rPr>
        <w:t xml:space="preserve">De manera específica, el artículo 115 de la Constitución Política de los Estados Unidos Mexicanos, en su fracción </w:t>
      </w:r>
      <w:r w:rsidR="00636502">
        <w:rPr>
          <w:rFonts w:ascii="Abadi" w:eastAsia="Calibri" w:hAnsi="Abadi" w:cs="*Arial-9712-Identity-H"/>
          <w:color w:val="0D0C0F"/>
          <w:sz w:val="21"/>
          <w:szCs w:val="21"/>
          <w:lang w:val="es-MX" w:eastAsia="en-US"/>
        </w:rPr>
        <w:t>III</w:t>
      </w:r>
      <w:r w:rsidRPr="008C078F">
        <w:rPr>
          <w:rFonts w:ascii="Abadi" w:eastAsia="Calibri" w:hAnsi="Abadi" w:cs="*Arial-9712-Identity-H"/>
          <w:color w:val="0D0C0F"/>
          <w:sz w:val="21"/>
          <w:szCs w:val="21"/>
          <w:lang w:val="es-MX" w:eastAsia="en-US"/>
        </w:rPr>
        <w:t xml:space="preserve"> consigna que los municipios tendrán a su cargo las funciones y servicios públicos, entre los que señala en el inciso b, el alumbrado público. Atribución ratificada en la Constitución Política Local en su artículo 117, fracción </w:t>
      </w:r>
      <w:r w:rsidR="00636502">
        <w:rPr>
          <w:rFonts w:ascii="Abadi" w:eastAsia="Calibri" w:hAnsi="Abadi" w:cs="*Arial-9712-Identity-H"/>
          <w:color w:val="0D0C0F"/>
          <w:sz w:val="21"/>
          <w:szCs w:val="21"/>
          <w:lang w:val="es-MX" w:eastAsia="en-US"/>
        </w:rPr>
        <w:t>III</w:t>
      </w:r>
      <w:r w:rsidRPr="008C078F">
        <w:rPr>
          <w:rFonts w:ascii="Abadi" w:eastAsia="Calibri" w:hAnsi="Abadi" w:cs="*Arial-9712-Identity-H"/>
          <w:color w:val="0D0C0F"/>
          <w:sz w:val="21"/>
          <w:szCs w:val="21"/>
          <w:lang w:val="es-MX" w:eastAsia="en-US"/>
        </w:rPr>
        <w:t>, inciso b.</w:t>
      </w:r>
    </w:p>
    <w:p w14:paraId="6543A30E" w14:textId="77777777" w:rsidR="000B3729" w:rsidRPr="008C078F" w:rsidRDefault="000B3729" w:rsidP="000B3729">
      <w:pPr>
        <w:autoSpaceDE w:val="0"/>
        <w:autoSpaceDN w:val="0"/>
        <w:adjustRightInd w:val="0"/>
        <w:jc w:val="both"/>
        <w:rPr>
          <w:rFonts w:ascii="Abadi" w:eastAsia="Calibri" w:hAnsi="Abadi" w:cs="*Arial-9711-Identity-H"/>
          <w:color w:val="101011"/>
          <w:sz w:val="21"/>
          <w:szCs w:val="21"/>
          <w:lang w:val="es-MX" w:eastAsia="en-US"/>
        </w:rPr>
      </w:pPr>
    </w:p>
    <w:p w14:paraId="6ED34259" w14:textId="77777777" w:rsidR="000B3729" w:rsidRPr="008C078F" w:rsidRDefault="000B3729" w:rsidP="000B3729">
      <w:pPr>
        <w:autoSpaceDE w:val="0"/>
        <w:autoSpaceDN w:val="0"/>
        <w:adjustRightInd w:val="0"/>
        <w:ind w:firstLine="708"/>
        <w:jc w:val="both"/>
        <w:rPr>
          <w:rFonts w:ascii="Abadi" w:eastAsia="Calibri" w:hAnsi="Abadi" w:cs="*Arial-8436-Identity-H"/>
          <w:color w:val="0D0D10"/>
          <w:sz w:val="21"/>
          <w:szCs w:val="21"/>
          <w:lang w:val="es-MX" w:eastAsia="en-US"/>
        </w:rPr>
      </w:pPr>
      <w:r w:rsidRPr="008C078F">
        <w:rPr>
          <w:rFonts w:ascii="Abadi" w:eastAsia="Calibri" w:hAnsi="Abadi" w:cs="*Arial-8436-Identity-H"/>
          <w:color w:val="0D0D10"/>
          <w:sz w:val="21"/>
          <w:szCs w:val="21"/>
          <w:lang w:val="es-MX" w:eastAsia="en-US"/>
        </w:rPr>
        <w:t>La Ley Orgánica Municipal para el Estado de Guanajuato prevé que el Ayuntamiento deberá otorgar el servicio de alumbrado público a los habitantes del Municipio e instrumentará los mecanismos necesarios para ampliar la cobertura y mejorar la prestación de dicho servicio.</w:t>
      </w:r>
    </w:p>
    <w:p w14:paraId="39A5509C" w14:textId="77777777" w:rsidR="000B3729" w:rsidRPr="008C078F" w:rsidRDefault="000B3729" w:rsidP="000B3729">
      <w:pPr>
        <w:autoSpaceDE w:val="0"/>
        <w:autoSpaceDN w:val="0"/>
        <w:adjustRightInd w:val="0"/>
        <w:jc w:val="both"/>
        <w:rPr>
          <w:rFonts w:ascii="Abadi" w:eastAsia="Calibri" w:hAnsi="Abadi" w:cs="*Arial-8436-Identity-H"/>
          <w:color w:val="0C0C0E"/>
          <w:sz w:val="21"/>
          <w:szCs w:val="21"/>
          <w:lang w:val="es-MX" w:eastAsia="en-US"/>
        </w:rPr>
      </w:pPr>
    </w:p>
    <w:p w14:paraId="16124951" w14:textId="77777777" w:rsidR="000B3729" w:rsidRPr="008C078F" w:rsidRDefault="000B3729" w:rsidP="000B3729">
      <w:pPr>
        <w:autoSpaceDE w:val="0"/>
        <w:autoSpaceDN w:val="0"/>
        <w:adjustRightInd w:val="0"/>
        <w:ind w:firstLine="708"/>
        <w:jc w:val="both"/>
        <w:rPr>
          <w:rFonts w:ascii="Abadi" w:eastAsia="Calibri" w:hAnsi="Abadi" w:cs="*Arial-8436-Identity-H"/>
          <w:color w:val="0C0C0E"/>
          <w:sz w:val="21"/>
          <w:szCs w:val="21"/>
          <w:lang w:val="es-MX" w:eastAsia="en-US"/>
        </w:rPr>
      </w:pPr>
      <w:r w:rsidRPr="008C078F">
        <w:rPr>
          <w:rFonts w:ascii="Abadi" w:eastAsia="Calibri" w:hAnsi="Abadi" w:cs="*Arial-8436-Identity-H"/>
          <w:color w:val="0C0C0E"/>
          <w:sz w:val="21"/>
          <w:szCs w:val="21"/>
          <w:lang w:val="es-MX" w:eastAsia="en-US"/>
        </w:rPr>
        <w:t>De igual forma, la referida ley en el artículo 83 establece que el Ayuntamiento contará con una Comisión de Obra y Servicios Públicos, misma que tendrá dentro de sus atribuciones la de promover la prestación puntual, oportuna y eficiente de los servicios públicos municipales, de conformidad con las disposiciones aplicables. En este sentido, la dependencia de Servicios Municipales será la encargada de llevar a cabo la prestación del servicio de alumbrado público en el Municipio, de acuerdo a lo establecido en la fracción V del artículo 124 de la citada ley.</w:t>
      </w:r>
    </w:p>
    <w:p w14:paraId="56935754" w14:textId="77777777" w:rsidR="000B3729" w:rsidRPr="008C078F" w:rsidRDefault="000B3729" w:rsidP="000B3729">
      <w:pPr>
        <w:autoSpaceDE w:val="0"/>
        <w:autoSpaceDN w:val="0"/>
        <w:adjustRightInd w:val="0"/>
        <w:jc w:val="both"/>
        <w:rPr>
          <w:rFonts w:ascii="Abadi" w:eastAsia="Calibri" w:hAnsi="Abadi" w:cs="*Arial-8436-Identity-H"/>
          <w:color w:val="0C0C0F"/>
          <w:sz w:val="21"/>
          <w:szCs w:val="21"/>
          <w:lang w:val="es-MX" w:eastAsia="en-US"/>
        </w:rPr>
      </w:pPr>
    </w:p>
    <w:p w14:paraId="6D8A267A" w14:textId="77777777" w:rsidR="000B3729" w:rsidRPr="008C078F" w:rsidRDefault="000B3729" w:rsidP="000B3729">
      <w:pPr>
        <w:autoSpaceDE w:val="0"/>
        <w:autoSpaceDN w:val="0"/>
        <w:adjustRightInd w:val="0"/>
        <w:ind w:firstLine="708"/>
        <w:jc w:val="both"/>
        <w:rPr>
          <w:rFonts w:ascii="Abadi" w:eastAsia="Calibri" w:hAnsi="Abadi" w:cs="*Arial-8436-Identity-H"/>
          <w:color w:val="0C0C0F"/>
          <w:sz w:val="21"/>
          <w:szCs w:val="21"/>
          <w:lang w:val="es-MX" w:eastAsia="en-US"/>
        </w:rPr>
      </w:pPr>
      <w:r w:rsidRPr="008C078F">
        <w:rPr>
          <w:rFonts w:ascii="Abadi" w:eastAsia="Calibri" w:hAnsi="Abadi" w:cs="*Arial-8436-Identity-H"/>
          <w:color w:val="0C0C0F"/>
          <w:sz w:val="21"/>
          <w:szCs w:val="21"/>
          <w:lang w:val="es-MX" w:eastAsia="en-US"/>
        </w:rPr>
        <w:t xml:space="preserve">También el artículo 165 de la referida Ley Orgánica Municipal prevé que: </w:t>
      </w:r>
      <w:r w:rsidRPr="008C078F">
        <w:rPr>
          <w:rFonts w:ascii="Abadi" w:eastAsia="Calibri" w:hAnsi="Abadi" w:cs="*Arial-Italic-8437-Identity-H"/>
          <w:i/>
          <w:iCs/>
          <w:color w:val="0C0C0F"/>
          <w:sz w:val="21"/>
          <w:szCs w:val="21"/>
          <w:lang w:val="es-MX" w:eastAsia="en-US"/>
        </w:rPr>
        <w:t xml:space="preserve">«Los ayuntamientos prestarán los servicios públicos, en igualdad de condiciones </w:t>
      </w:r>
      <w:r w:rsidRPr="008C078F">
        <w:rPr>
          <w:rFonts w:ascii="Abadi" w:eastAsia="Calibri" w:hAnsi="Abadi" w:cs="*Arial-8436-Identity-H"/>
          <w:color w:val="0C0C0F"/>
          <w:sz w:val="21"/>
          <w:szCs w:val="21"/>
          <w:lang w:val="es-MX" w:eastAsia="en-US"/>
        </w:rPr>
        <w:t xml:space="preserve">a </w:t>
      </w:r>
      <w:r w:rsidRPr="008C078F">
        <w:rPr>
          <w:rFonts w:ascii="Abadi" w:eastAsia="Calibri" w:hAnsi="Abadi" w:cs="*Arial-Italic-8437-Identity-H"/>
          <w:i/>
          <w:iCs/>
          <w:color w:val="0C0C0F"/>
          <w:sz w:val="21"/>
          <w:szCs w:val="21"/>
          <w:lang w:val="es-MX" w:eastAsia="en-US"/>
        </w:rPr>
        <w:t>todos los habitantes del municipio, en forma permanente, general, uniforme,</w:t>
      </w:r>
      <w:r w:rsidRPr="008C078F">
        <w:rPr>
          <w:rFonts w:ascii="Abadi" w:eastAsia="Calibri" w:hAnsi="Abadi" w:cs="*Arial-8436-Identity-H"/>
          <w:color w:val="0C0C0F"/>
          <w:sz w:val="21"/>
          <w:szCs w:val="21"/>
          <w:lang w:val="es-MX" w:eastAsia="en-US"/>
        </w:rPr>
        <w:t xml:space="preserve"> </w:t>
      </w:r>
      <w:r w:rsidRPr="008C078F">
        <w:rPr>
          <w:rFonts w:ascii="Abadi" w:eastAsia="Calibri" w:hAnsi="Abadi" w:cs="*Arial-Italic-8437-Identity-H"/>
          <w:i/>
          <w:iCs/>
          <w:color w:val="0C0C0F"/>
          <w:sz w:val="21"/>
          <w:szCs w:val="21"/>
          <w:lang w:val="es-MX" w:eastAsia="en-US"/>
        </w:rPr>
        <w:t>continua y de acuerdo con el Programa de Gobierno Municipal».</w:t>
      </w:r>
      <w:r w:rsidRPr="008C078F">
        <w:rPr>
          <w:rFonts w:ascii="Abadi" w:eastAsia="Calibri" w:hAnsi="Abadi" w:cs="*Arial-8436-Identity-H"/>
          <w:color w:val="0C0C0F"/>
          <w:sz w:val="21"/>
          <w:szCs w:val="21"/>
          <w:lang w:val="es-MX" w:eastAsia="en-US"/>
        </w:rPr>
        <w:t xml:space="preserve"> </w:t>
      </w:r>
    </w:p>
    <w:p w14:paraId="67F304EA" w14:textId="77777777" w:rsidR="000B3729" w:rsidRPr="008C078F" w:rsidRDefault="000B3729" w:rsidP="000B3729">
      <w:pPr>
        <w:autoSpaceDE w:val="0"/>
        <w:autoSpaceDN w:val="0"/>
        <w:adjustRightInd w:val="0"/>
        <w:jc w:val="both"/>
        <w:rPr>
          <w:rFonts w:ascii="Abadi" w:eastAsia="Calibri" w:hAnsi="Abadi" w:cs="*Arial-8436-Identity-H"/>
          <w:color w:val="0C0B0E"/>
          <w:sz w:val="21"/>
          <w:szCs w:val="21"/>
          <w:lang w:val="es-MX" w:eastAsia="en-US"/>
        </w:rPr>
      </w:pPr>
    </w:p>
    <w:p w14:paraId="711062BE" w14:textId="77777777" w:rsidR="000B3729" w:rsidRPr="008C078F" w:rsidRDefault="000B3729" w:rsidP="000B3729">
      <w:pPr>
        <w:autoSpaceDE w:val="0"/>
        <w:autoSpaceDN w:val="0"/>
        <w:adjustRightInd w:val="0"/>
        <w:ind w:firstLine="708"/>
        <w:jc w:val="both"/>
        <w:rPr>
          <w:rFonts w:ascii="Abadi" w:eastAsia="Calibri" w:hAnsi="Abadi" w:cs="*Arial-8436-Identity-H"/>
          <w:color w:val="0C0C0F"/>
          <w:sz w:val="21"/>
          <w:szCs w:val="21"/>
          <w:lang w:val="es-MX" w:eastAsia="en-US"/>
        </w:rPr>
      </w:pPr>
      <w:r w:rsidRPr="008C078F">
        <w:rPr>
          <w:rFonts w:ascii="Abadi" w:eastAsia="Calibri" w:hAnsi="Abadi" w:cs="*Arial-8436-Identity-H"/>
          <w:color w:val="0C0B0E"/>
          <w:sz w:val="21"/>
          <w:szCs w:val="21"/>
          <w:lang w:val="es-MX" w:eastAsia="en-US"/>
        </w:rPr>
        <w:t xml:space="preserve">Asimismo, en el Capítulo denominado </w:t>
      </w:r>
      <w:r w:rsidRPr="008C078F">
        <w:rPr>
          <w:rFonts w:ascii="Abadi" w:eastAsia="Calibri" w:hAnsi="Abadi" w:cs="*Arial-Italic-8437-Identity-H"/>
          <w:i/>
          <w:iCs/>
          <w:color w:val="0C0B0E"/>
          <w:sz w:val="21"/>
          <w:szCs w:val="21"/>
          <w:lang w:val="es-MX" w:eastAsia="en-US"/>
        </w:rPr>
        <w:t xml:space="preserve">«De los Servicios Públicos Municipales» </w:t>
      </w:r>
      <w:r w:rsidRPr="008C078F">
        <w:rPr>
          <w:rFonts w:ascii="Abadi" w:eastAsia="Calibri" w:hAnsi="Abadi" w:cs="*Arial-8436-Identity-H"/>
          <w:color w:val="0C0B0E"/>
          <w:sz w:val="21"/>
          <w:szCs w:val="21"/>
          <w:lang w:val="es-MX" w:eastAsia="en-US"/>
        </w:rPr>
        <w:t>se refiere que en el presupuesto de egresos deben preverse los</w:t>
      </w:r>
      <w:r w:rsidRPr="008C078F">
        <w:rPr>
          <w:rFonts w:ascii="Abadi" w:eastAsia="Calibri" w:hAnsi="Abadi" w:cs="*Arial-8436-Identity-H"/>
          <w:color w:val="0C0C0F"/>
          <w:sz w:val="21"/>
          <w:szCs w:val="21"/>
          <w:lang w:val="es-MX" w:eastAsia="en-US"/>
        </w:rPr>
        <w:t xml:space="preserve"> </w:t>
      </w:r>
      <w:r w:rsidRPr="008C078F">
        <w:rPr>
          <w:rFonts w:ascii="Abadi" w:eastAsia="Calibri" w:hAnsi="Abadi" w:cs="*Arial-8436-Identity-H"/>
          <w:color w:val="0C0B0E"/>
          <w:sz w:val="21"/>
          <w:szCs w:val="21"/>
          <w:lang w:val="es-MX" w:eastAsia="en-US"/>
        </w:rPr>
        <w:t>recursos materiales y humanos, necesarios y suficientes, para la prestación</w:t>
      </w:r>
      <w:r w:rsidRPr="008C078F">
        <w:rPr>
          <w:rFonts w:ascii="Abadi" w:eastAsia="Calibri" w:hAnsi="Abadi" w:cs="*Arial-8436-Identity-H"/>
          <w:color w:val="0C0C0F"/>
          <w:sz w:val="21"/>
          <w:szCs w:val="21"/>
          <w:lang w:val="es-MX" w:eastAsia="en-US"/>
        </w:rPr>
        <w:t xml:space="preserve"> </w:t>
      </w:r>
      <w:r w:rsidRPr="008C078F">
        <w:rPr>
          <w:rFonts w:ascii="Abadi" w:eastAsia="Calibri" w:hAnsi="Abadi" w:cs="*Arial-8436-Identity-H"/>
          <w:color w:val="0C0B0E"/>
          <w:sz w:val="21"/>
          <w:szCs w:val="21"/>
          <w:lang w:val="es-MX" w:eastAsia="en-US"/>
        </w:rPr>
        <w:t>eficiente y oportuna de los servicios públicos; asimismo, se consigna la</w:t>
      </w:r>
      <w:r w:rsidRPr="008C078F">
        <w:rPr>
          <w:rFonts w:ascii="Abadi" w:eastAsia="Calibri" w:hAnsi="Abadi" w:cs="*Arial-8436-Identity-H"/>
          <w:color w:val="0C0C0F"/>
          <w:sz w:val="21"/>
          <w:szCs w:val="21"/>
          <w:lang w:val="es-MX" w:eastAsia="en-US"/>
        </w:rPr>
        <w:t xml:space="preserve"> </w:t>
      </w:r>
      <w:r w:rsidRPr="008C078F">
        <w:rPr>
          <w:rFonts w:ascii="Abadi" w:eastAsia="Calibri" w:hAnsi="Abadi" w:cs="*Arial-8436-Identity-H"/>
          <w:color w:val="0C0B0E"/>
          <w:sz w:val="21"/>
          <w:szCs w:val="21"/>
          <w:lang w:val="es-MX" w:eastAsia="en-US"/>
        </w:rPr>
        <w:t>obligatoriedad del Ayuntamiento de otorgar el servicio de alumbrado público,</w:t>
      </w:r>
      <w:r w:rsidRPr="008C078F">
        <w:rPr>
          <w:rFonts w:ascii="Abadi" w:eastAsia="Calibri" w:hAnsi="Abadi" w:cs="*Arial-8436-Identity-H"/>
          <w:color w:val="0C0C0F"/>
          <w:sz w:val="21"/>
          <w:szCs w:val="21"/>
          <w:lang w:val="es-MX" w:eastAsia="en-US"/>
        </w:rPr>
        <w:t xml:space="preserve"> </w:t>
      </w:r>
      <w:r w:rsidRPr="008C078F">
        <w:rPr>
          <w:rFonts w:ascii="Abadi" w:eastAsia="Calibri" w:hAnsi="Abadi" w:cs="*Arial-8436-Identity-H"/>
          <w:color w:val="0C0B0E"/>
          <w:sz w:val="21"/>
          <w:szCs w:val="21"/>
          <w:lang w:val="es-MX" w:eastAsia="en-US"/>
        </w:rPr>
        <w:t>señalando que podrá otorgarlo de manera directa a través de sus propias</w:t>
      </w:r>
      <w:r w:rsidRPr="008C078F">
        <w:rPr>
          <w:rFonts w:ascii="Abadi" w:eastAsia="Calibri" w:hAnsi="Abadi" w:cs="*Arial-8436-Identity-H"/>
          <w:color w:val="0C0C0F"/>
          <w:sz w:val="21"/>
          <w:szCs w:val="21"/>
          <w:lang w:val="es-MX" w:eastAsia="en-US"/>
        </w:rPr>
        <w:t xml:space="preserve"> </w:t>
      </w:r>
      <w:r w:rsidRPr="008C078F">
        <w:rPr>
          <w:rFonts w:ascii="Abadi" w:eastAsia="Calibri" w:hAnsi="Abadi" w:cs="*Arial-8436-Identity-H"/>
          <w:color w:val="0C0B0E"/>
          <w:sz w:val="21"/>
          <w:szCs w:val="21"/>
          <w:lang w:val="es-MX" w:eastAsia="en-US"/>
        </w:rPr>
        <w:t>dependencias, o bien por un medio indirecto.</w:t>
      </w:r>
    </w:p>
    <w:p w14:paraId="1CA8F5C8" w14:textId="77777777" w:rsidR="000B3729" w:rsidRPr="008C078F" w:rsidRDefault="000B3729" w:rsidP="000B3729">
      <w:pPr>
        <w:autoSpaceDE w:val="0"/>
        <w:autoSpaceDN w:val="0"/>
        <w:adjustRightInd w:val="0"/>
        <w:jc w:val="both"/>
        <w:rPr>
          <w:rFonts w:ascii="Abadi" w:eastAsia="Calibri" w:hAnsi="Abadi" w:cs="*Arial-8436-Identity-H"/>
          <w:color w:val="0C0B0E"/>
          <w:sz w:val="21"/>
          <w:szCs w:val="21"/>
          <w:lang w:val="es-MX" w:eastAsia="en-US"/>
        </w:rPr>
      </w:pPr>
    </w:p>
    <w:p w14:paraId="18E9BCB8" w14:textId="77777777" w:rsidR="000B3729" w:rsidRPr="008C078F" w:rsidRDefault="000B3729" w:rsidP="000B3729">
      <w:pPr>
        <w:autoSpaceDE w:val="0"/>
        <w:autoSpaceDN w:val="0"/>
        <w:adjustRightInd w:val="0"/>
        <w:ind w:firstLine="708"/>
        <w:jc w:val="both"/>
        <w:rPr>
          <w:rFonts w:ascii="Abadi" w:eastAsia="Calibri" w:hAnsi="Abadi" w:cs="*Arial-8436-Identity-H"/>
          <w:color w:val="0C0B0E"/>
          <w:sz w:val="21"/>
          <w:szCs w:val="21"/>
          <w:lang w:val="es-MX" w:eastAsia="en-US"/>
        </w:rPr>
      </w:pPr>
      <w:r w:rsidRPr="008C078F">
        <w:rPr>
          <w:rFonts w:ascii="Abadi" w:eastAsia="Calibri" w:hAnsi="Abadi" w:cs="*Arial-8436-Identity-H"/>
          <w:color w:val="0C0B0E"/>
          <w:sz w:val="21"/>
          <w:szCs w:val="21"/>
          <w:lang w:val="es-MX" w:eastAsia="en-US"/>
        </w:rPr>
        <w:t xml:space="preserve">De conformidad con el artículo 169 de la referida Ley Orgánica Municipal, la prestación de los servicios públicos municipales será supervisada por la comisión correspondiente del Ayuntamiento y auditada por la Contraloría Municipal. </w:t>
      </w:r>
    </w:p>
    <w:p w14:paraId="59F9A81F" w14:textId="77777777" w:rsidR="000B3729" w:rsidRPr="008C078F" w:rsidRDefault="000B3729" w:rsidP="000B3729">
      <w:pPr>
        <w:autoSpaceDE w:val="0"/>
        <w:autoSpaceDN w:val="0"/>
        <w:adjustRightInd w:val="0"/>
        <w:jc w:val="both"/>
        <w:rPr>
          <w:rFonts w:ascii="Abadi" w:eastAsia="Calibri" w:hAnsi="Abadi" w:cs="*Arial-8436-Identity-H"/>
          <w:color w:val="0C0B0E"/>
          <w:sz w:val="21"/>
          <w:szCs w:val="21"/>
          <w:lang w:val="es-MX" w:eastAsia="en-US"/>
        </w:rPr>
      </w:pPr>
    </w:p>
    <w:p w14:paraId="59B39FD3" w14:textId="77777777" w:rsidR="000B3729" w:rsidRPr="008C078F" w:rsidRDefault="000B3729" w:rsidP="000B3729">
      <w:pPr>
        <w:autoSpaceDE w:val="0"/>
        <w:autoSpaceDN w:val="0"/>
        <w:adjustRightInd w:val="0"/>
        <w:ind w:firstLine="708"/>
        <w:jc w:val="both"/>
        <w:rPr>
          <w:rFonts w:ascii="Abadi" w:eastAsia="Calibri" w:hAnsi="Abadi" w:cs="*Arial-8436-Identity-H"/>
          <w:color w:val="0C0B0E"/>
          <w:sz w:val="21"/>
          <w:szCs w:val="21"/>
          <w:lang w:val="es-MX" w:eastAsia="en-US"/>
        </w:rPr>
      </w:pPr>
      <w:r w:rsidRPr="008C078F">
        <w:rPr>
          <w:rFonts w:ascii="Abadi" w:eastAsia="Calibri" w:hAnsi="Abadi" w:cs="*Arial-8436-Identity-H"/>
          <w:color w:val="0C0B0E"/>
          <w:sz w:val="21"/>
          <w:szCs w:val="21"/>
          <w:lang w:val="es-MX" w:eastAsia="en-US"/>
        </w:rPr>
        <w:t>Es así que, se desprende la intervención estratégica del Ayuntamiento y de la Dirección de Servicios Públicos Municipales para otorgar la prestación del servicio de alumbrado público a los habitantes del Municipio, a través del conocimiento de la situación de oferta del servicio, de su presupuestación, de un marco normativo de operación, de una debida planeación a corto plazo, de la participación ciudadana en el reporte de fallas del servicio, así como de los mecanismos de monitoreo y evaluación para el logro de resultados. Lo anterior, con el objetivo de otorgar un servicio público eficaz en el mantenimiento, cobertura y satisfacción del servicio.</w:t>
      </w:r>
    </w:p>
    <w:p w14:paraId="5B075770" w14:textId="77777777" w:rsidR="000B3729" w:rsidRPr="008C078F" w:rsidRDefault="000B3729" w:rsidP="000B3729">
      <w:pPr>
        <w:autoSpaceDE w:val="0"/>
        <w:autoSpaceDN w:val="0"/>
        <w:adjustRightInd w:val="0"/>
        <w:jc w:val="both"/>
        <w:rPr>
          <w:rFonts w:ascii="Abadi" w:eastAsia="Abadi" w:hAnsi="Abadi" w:cs="Abadi"/>
          <w:color w:val="1F1F24"/>
          <w:sz w:val="21"/>
          <w:szCs w:val="21"/>
          <w:lang w:val="es-MX" w:eastAsia="en-US"/>
        </w:rPr>
      </w:pPr>
    </w:p>
    <w:p w14:paraId="43B25235" w14:textId="77777777" w:rsidR="000B3729" w:rsidRPr="008C078F" w:rsidRDefault="000B3729" w:rsidP="000B3729">
      <w:pPr>
        <w:autoSpaceDE w:val="0"/>
        <w:autoSpaceDN w:val="0"/>
        <w:adjustRightInd w:val="0"/>
        <w:ind w:firstLine="708"/>
        <w:jc w:val="both"/>
        <w:rPr>
          <w:rFonts w:ascii="Abadi" w:eastAsia="Calibri" w:hAnsi="Abadi" w:cs="*Arial-6290-Identity-H"/>
          <w:color w:val="0C0C0E"/>
          <w:sz w:val="21"/>
          <w:szCs w:val="21"/>
          <w:lang w:val="es-MX" w:eastAsia="en-US"/>
        </w:rPr>
      </w:pPr>
      <w:r w:rsidRPr="008C078F">
        <w:rPr>
          <w:rFonts w:ascii="Abadi" w:eastAsia="Calibri" w:hAnsi="Abadi" w:cs="*Arial-6290-Identity-H"/>
          <w:color w:val="0C0C0E"/>
          <w:sz w:val="21"/>
          <w:szCs w:val="21"/>
          <w:lang w:val="es-MX" w:eastAsia="en-US"/>
        </w:rPr>
        <w:t xml:space="preserve">En razón de lo anterior, se planteó como objetivo general de la auditoría verificar la capacidad del Municipio para la prestación eficaz del servicio de alumbrado público </w:t>
      </w:r>
      <w:r w:rsidRPr="008C078F">
        <w:rPr>
          <w:rFonts w:ascii="Abadi" w:eastAsia="Calibri" w:hAnsi="Abadi" w:cs="*Times New Roman-Italic-6286-Id"/>
          <w:i/>
          <w:iCs/>
          <w:color w:val="0C0C0E"/>
          <w:sz w:val="21"/>
          <w:szCs w:val="21"/>
          <w:lang w:val="es-MX" w:eastAsia="en-US"/>
        </w:rPr>
        <w:t xml:space="preserve">y </w:t>
      </w:r>
      <w:r w:rsidRPr="008C078F">
        <w:rPr>
          <w:rFonts w:ascii="Abadi" w:eastAsia="Calibri" w:hAnsi="Abadi" w:cs="*Arial-6290-Identity-H"/>
          <w:color w:val="0C0C0E"/>
          <w:sz w:val="21"/>
          <w:szCs w:val="21"/>
          <w:lang w:val="es-MX" w:eastAsia="en-US"/>
        </w:rPr>
        <w:t xml:space="preserve">la eficiencia en sus funciones de planificación, operación </w:t>
      </w:r>
      <w:r w:rsidRPr="008C078F">
        <w:rPr>
          <w:rFonts w:ascii="Abadi" w:eastAsia="Calibri" w:hAnsi="Abadi" w:cs="*Times New Roman-Italic-6286-Id"/>
          <w:i/>
          <w:iCs/>
          <w:color w:val="0C0C0E"/>
          <w:sz w:val="21"/>
          <w:szCs w:val="21"/>
          <w:lang w:val="es-MX" w:eastAsia="en-US"/>
        </w:rPr>
        <w:t>y</w:t>
      </w:r>
      <w:r w:rsidRPr="008C078F">
        <w:rPr>
          <w:rFonts w:ascii="Abadi" w:eastAsia="Calibri" w:hAnsi="Abadi" w:cs="*Arial-6290-Identity-H"/>
          <w:color w:val="0C0C0E"/>
          <w:sz w:val="21"/>
          <w:szCs w:val="21"/>
          <w:lang w:val="es-MX" w:eastAsia="en-US"/>
        </w:rPr>
        <w:t xml:space="preserve"> seguimiento, en el ejercicio 2020.</w:t>
      </w:r>
    </w:p>
    <w:p w14:paraId="2B089206" w14:textId="77777777" w:rsidR="000B3729" w:rsidRPr="008C078F" w:rsidRDefault="000B3729" w:rsidP="000B3729">
      <w:pPr>
        <w:autoSpaceDE w:val="0"/>
        <w:autoSpaceDN w:val="0"/>
        <w:adjustRightInd w:val="0"/>
        <w:jc w:val="both"/>
        <w:rPr>
          <w:rFonts w:ascii="Abadi" w:eastAsia="Calibri" w:hAnsi="Abadi" w:cs="*Arial-6290-Identity-H"/>
          <w:color w:val="0C0B0E"/>
          <w:sz w:val="21"/>
          <w:szCs w:val="21"/>
          <w:lang w:val="es-MX" w:eastAsia="en-US"/>
        </w:rPr>
      </w:pPr>
    </w:p>
    <w:p w14:paraId="02D6B0B2" w14:textId="77777777" w:rsidR="000B3729" w:rsidRPr="008C078F" w:rsidRDefault="000B3729" w:rsidP="000B3729">
      <w:pPr>
        <w:autoSpaceDE w:val="0"/>
        <w:autoSpaceDN w:val="0"/>
        <w:adjustRightInd w:val="0"/>
        <w:ind w:firstLine="708"/>
        <w:jc w:val="both"/>
        <w:rPr>
          <w:rFonts w:ascii="Abadi" w:eastAsia="Calibri" w:hAnsi="Abadi" w:cs="*Arial-6290-Identity-H"/>
          <w:color w:val="0C0B0E"/>
          <w:sz w:val="21"/>
          <w:szCs w:val="21"/>
          <w:lang w:val="es-MX" w:eastAsia="en-US"/>
        </w:rPr>
      </w:pPr>
      <w:r w:rsidRPr="008C078F">
        <w:rPr>
          <w:rFonts w:ascii="Abadi" w:eastAsia="Calibri" w:hAnsi="Abadi" w:cs="*Arial-6290-Identity-H"/>
          <w:color w:val="0C0B0E"/>
          <w:sz w:val="21"/>
          <w:szCs w:val="21"/>
          <w:lang w:val="es-MX" w:eastAsia="en-US"/>
        </w:rPr>
        <w:t xml:space="preserve">En el apartado correspondiente a la unidad responsable de la materia por auditar se refiere que el artículo 124 de la Ley Orgánica Municipal para el Estado de Guanajuato prevé que la dependencia de Servidos Municipales será la encargada de llevar a cabo la prestación del servicio de alumbrado público en el Municipio. Asimismo, los artículos 83 </w:t>
      </w:r>
      <w:r w:rsidRPr="008C078F">
        <w:rPr>
          <w:rFonts w:ascii="Abadi" w:eastAsia="Calibri" w:hAnsi="Abadi" w:cs="*Times New Roman-Italic-6285-Id"/>
          <w:i/>
          <w:iCs/>
          <w:color w:val="0C0B0E"/>
          <w:sz w:val="21"/>
          <w:szCs w:val="21"/>
          <w:lang w:val="es-MX" w:eastAsia="en-US"/>
        </w:rPr>
        <w:t xml:space="preserve">y </w:t>
      </w:r>
      <w:r w:rsidRPr="008C078F">
        <w:rPr>
          <w:rFonts w:ascii="Abadi" w:eastAsia="Calibri" w:hAnsi="Abadi" w:cs="*Arial-6290-Identity-H"/>
          <w:color w:val="0C0B0E"/>
          <w:sz w:val="21"/>
          <w:szCs w:val="21"/>
          <w:lang w:val="es-MX" w:eastAsia="en-US"/>
        </w:rPr>
        <w:t>83-3 de la citada ley establecen que, el Ayuntamiento contará con una Comisión de Obra y Servicios Públicos, la que tendrá dentro de sus atribuciones la de promover la pr</w:t>
      </w:r>
      <w:r w:rsidRPr="008C078F">
        <w:rPr>
          <w:rFonts w:ascii="Abadi" w:eastAsia="Abadi" w:hAnsi="Abadi" w:cs="Abadi"/>
          <w:color w:val="0C0B0E"/>
          <w:sz w:val="21"/>
          <w:szCs w:val="21"/>
          <w:lang w:val="es-MX" w:eastAsia="en-US"/>
        </w:rPr>
        <w:t>e</w:t>
      </w:r>
      <w:r w:rsidRPr="008C078F">
        <w:rPr>
          <w:rFonts w:ascii="Abadi" w:eastAsia="Calibri" w:hAnsi="Abadi" w:cs="*Arial-6290-Identity-H"/>
          <w:color w:val="0C0B0E"/>
          <w:sz w:val="21"/>
          <w:szCs w:val="21"/>
          <w:lang w:val="es-MX" w:eastAsia="en-US"/>
        </w:rPr>
        <w:t xml:space="preserve">stación puntual, oportuna </w:t>
      </w:r>
      <w:r w:rsidRPr="008C078F">
        <w:rPr>
          <w:rFonts w:ascii="Abadi" w:eastAsia="Calibri" w:hAnsi="Abadi" w:cs="*Times New Roman-Italic-6285-Id"/>
          <w:i/>
          <w:iCs/>
          <w:color w:val="0C0B0E"/>
          <w:sz w:val="21"/>
          <w:szCs w:val="21"/>
          <w:lang w:val="es-MX" w:eastAsia="en-US"/>
        </w:rPr>
        <w:t>y</w:t>
      </w:r>
      <w:r w:rsidRPr="008C078F">
        <w:rPr>
          <w:rFonts w:ascii="Abadi" w:eastAsia="Calibri" w:hAnsi="Abadi" w:cs="*Arial-6290-Identity-H"/>
          <w:color w:val="0C0B0E"/>
          <w:sz w:val="21"/>
          <w:szCs w:val="21"/>
          <w:lang w:val="es-MX" w:eastAsia="en-US"/>
        </w:rPr>
        <w:t xml:space="preserve"> eficiente de los servicios públicos municipales, de conformidad con las disposiciones aplicables.</w:t>
      </w:r>
    </w:p>
    <w:p w14:paraId="01455F34" w14:textId="77777777" w:rsidR="000B3729" w:rsidRPr="008C078F" w:rsidRDefault="000B3729" w:rsidP="000B3729">
      <w:pPr>
        <w:autoSpaceDE w:val="0"/>
        <w:autoSpaceDN w:val="0"/>
        <w:adjustRightInd w:val="0"/>
        <w:jc w:val="both"/>
        <w:rPr>
          <w:rFonts w:ascii="Abadi" w:eastAsia="Calibri" w:hAnsi="Abadi" w:cs="*Arial-6290-Identity-H"/>
          <w:color w:val="0E0D10"/>
          <w:sz w:val="21"/>
          <w:szCs w:val="21"/>
          <w:lang w:val="es-MX" w:eastAsia="en-US"/>
        </w:rPr>
      </w:pPr>
    </w:p>
    <w:p w14:paraId="5D620CC2" w14:textId="77777777" w:rsidR="000B3729" w:rsidRPr="008C078F" w:rsidRDefault="000B3729" w:rsidP="000B3729">
      <w:pPr>
        <w:autoSpaceDE w:val="0"/>
        <w:autoSpaceDN w:val="0"/>
        <w:adjustRightInd w:val="0"/>
        <w:ind w:firstLine="708"/>
        <w:jc w:val="both"/>
        <w:rPr>
          <w:rFonts w:ascii="Abadi" w:eastAsia="Calibri" w:hAnsi="Abadi" w:cs="*Arial-6290-Identity-H"/>
          <w:color w:val="0E0D10"/>
          <w:sz w:val="21"/>
          <w:szCs w:val="21"/>
          <w:lang w:val="es-MX" w:eastAsia="en-US"/>
        </w:rPr>
      </w:pPr>
      <w:r w:rsidRPr="008C078F">
        <w:rPr>
          <w:rFonts w:ascii="Abadi" w:eastAsia="Calibri" w:hAnsi="Abadi" w:cs="*Arial-6290-Identity-H"/>
          <w:color w:val="0E0D10"/>
          <w:sz w:val="21"/>
          <w:szCs w:val="21"/>
          <w:lang w:val="es-MX" w:eastAsia="en-US"/>
        </w:rPr>
        <w:t xml:space="preserve">En virtud de lo anterior, para el ejercicio 2020, la unidad responsable de otorgar el servicio de alumbrado público en el municipio de Salvatierra, </w:t>
      </w:r>
      <w:proofErr w:type="spellStart"/>
      <w:r w:rsidRPr="008C078F">
        <w:rPr>
          <w:rFonts w:ascii="Abadi" w:eastAsia="Calibri" w:hAnsi="Abadi" w:cs="*Arial-6290-Identity-H"/>
          <w:color w:val="0E0D10"/>
          <w:sz w:val="21"/>
          <w:szCs w:val="21"/>
          <w:lang w:val="es-MX" w:eastAsia="en-US"/>
        </w:rPr>
        <w:t>Gto</w:t>
      </w:r>
      <w:proofErr w:type="spellEnd"/>
      <w:r w:rsidRPr="008C078F">
        <w:rPr>
          <w:rFonts w:ascii="Abadi" w:eastAsia="Calibri" w:hAnsi="Abadi" w:cs="*Arial-6290-Identity-H"/>
          <w:color w:val="0E0D10"/>
          <w:sz w:val="21"/>
          <w:szCs w:val="21"/>
          <w:lang w:val="es-MX" w:eastAsia="en-US"/>
        </w:rPr>
        <w:t>., fue la Dirección de Servicios Públicos Municipales.</w:t>
      </w:r>
    </w:p>
    <w:p w14:paraId="1590482A" w14:textId="77777777" w:rsidR="000B3729" w:rsidRPr="008C078F" w:rsidRDefault="000B3729" w:rsidP="000B3729">
      <w:pPr>
        <w:autoSpaceDE w:val="0"/>
        <w:autoSpaceDN w:val="0"/>
        <w:adjustRightInd w:val="0"/>
        <w:jc w:val="both"/>
        <w:rPr>
          <w:rFonts w:ascii="Abadi" w:eastAsia="Calibri" w:hAnsi="Abadi" w:cs="*Arial-Bold-6291-Identity-H"/>
          <w:b/>
          <w:bCs/>
          <w:color w:val="0D0C13"/>
          <w:sz w:val="21"/>
          <w:szCs w:val="21"/>
          <w:lang w:val="es-MX" w:eastAsia="en-US"/>
        </w:rPr>
      </w:pPr>
    </w:p>
    <w:p w14:paraId="5B2D23E3" w14:textId="77777777" w:rsidR="000B3729" w:rsidRPr="008C078F" w:rsidRDefault="000B3729" w:rsidP="000B3729">
      <w:pPr>
        <w:autoSpaceDE w:val="0"/>
        <w:autoSpaceDN w:val="0"/>
        <w:adjustRightInd w:val="0"/>
        <w:ind w:firstLine="708"/>
        <w:jc w:val="both"/>
        <w:rPr>
          <w:rFonts w:ascii="Abadi" w:eastAsia="Calibri" w:hAnsi="Abadi" w:cs="*Arial-Bold-6291-Identity-H"/>
          <w:b/>
          <w:bCs/>
          <w:color w:val="0D0C13"/>
          <w:sz w:val="21"/>
          <w:szCs w:val="21"/>
          <w:lang w:val="es-MX" w:eastAsia="en-US"/>
        </w:rPr>
      </w:pPr>
      <w:r w:rsidRPr="008C078F">
        <w:rPr>
          <w:rFonts w:ascii="Abadi" w:eastAsia="Calibri" w:hAnsi="Abadi" w:cs="*Arial-Bold-6291-Identity-H"/>
          <w:b/>
          <w:bCs/>
          <w:color w:val="0D0C13"/>
          <w:sz w:val="21"/>
          <w:szCs w:val="21"/>
          <w:lang w:val="es-MX" w:eastAsia="en-US"/>
        </w:rPr>
        <w:t>b) Resultado del proceso de fiscalización.</w:t>
      </w:r>
    </w:p>
    <w:p w14:paraId="6DC690E1" w14:textId="77777777" w:rsidR="000B3729" w:rsidRPr="008C078F" w:rsidRDefault="000B3729" w:rsidP="000B3729">
      <w:pPr>
        <w:autoSpaceDE w:val="0"/>
        <w:autoSpaceDN w:val="0"/>
        <w:adjustRightInd w:val="0"/>
        <w:jc w:val="both"/>
        <w:rPr>
          <w:rFonts w:ascii="Abadi" w:eastAsia="Calibri" w:hAnsi="Abadi" w:cs="*Arial-6290-Identity-H"/>
          <w:color w:val="0E0E10"/>
          <w:sz w:val="21"/>
          <w:szCs w:val="21"/>
          <w:lang w:val="es-MX" w:eastAsia="en-US"/>
        </w:rPr>
      </w:pPr>
    </w:p>
    <w:p w14:paraId="75B10AA3" w14:textId="77777777" w:rsidR="000B3729" w:rsidRPr="008C078F" w:rsidRDefault="000B3729" w:rsidP="000B3729">
      <w:pPr>
        <w:autoSpaceDE w:val="0"/>
        <w:autoSpaceDN w:val="0"/>
        <w:adjustRightInd w:val="0"/>
        <w:ind w:firstLine="708"/>
        <w:jc w:val="both"/>
        <w:rPr>
          <w:rFonts w:ascii="Abadi" w:eastAsia="Calibri" w:hAnsi="Abadi" w:cs="*Arial-6290-Identity-H"/>
          <w:color w:val="0E0E10"/>
          <w:sz w:val="21"/>
          <w:szCs w:val="21"/>
          <w:lang w:val="es-MX" w:eastAsia="en-US"/>
        </w:rPr>
      </w:pPr>
      <w:r w:rsidRPr="008C078F">
        <w:rPr>
          <w:rFonts w:ascii="Abadi" w:eastAsia="Calibri" w:hAnsi="Abadi" w:cs="*Arial-6290-Identity-H"/>
          <w:color w:val="0E0E10"/>
          <w:sz w:val="21"/>
          <w:szCs w:val="21"/>
          <w:lang w:val="es-MX" w:eastAsia="en-US"/>
        </w:rPr>
        <w:t>En esta parte se señala que los objetivos específicos se desarrollaron en la auditoría en siete procedimientos, con los siguientes resultados:</w:t>
      </w:r>
    </w:p>
    <w:p w14:paraId="23F1F5A5" w14:textId="77777777" w:rsidR="000B3729" w:rsidRPr="008C078F" w:rsidRDefault="000B3729" w:rsidP="000B3729">
      <w:pPr>
        <w:autoSpaceDE w:val="0"/>
        <w:autoSpaceDN w:val="0"/>
        <w:adjustRightInd w:val="0"/>
        <w:jc w:val="both"/>
        <w:rPr>
          <w:rFonts w:ascii="Abadi" w:eastAsia="Calibri" w:hAnsi="Abadi" w:cs="*Arial-Bold-6291-Identity-H"/>
          <w:b/>
          <w:bCs/>
          <w:color w:val="0D0C13"/>
          <w:sz w:val="21"/>
          <w:szCs w:val="21"/>
          <w:lang w:val="es-MX" w:eastAsia="en-US"/>
        </w:rPr>
      </w:pPr>
    </w:p>
    <w:p w14:paraId="14697A1C" w14:textId="77777777" w:rsidR="000B3729" w:rsidRPr="008C078F" w:rsidRDefault="000B3729" w:rsidP="000B3729">
      <w:pPr>
        <w:autoSpaceDE w:val="0"/>
        <w:autoSpaceDN w:val="0"/>
        <w:adjustRightInd w:val="0"/>
        <w:ind w:firstLine="360"/>
        <w:jc w:val="both"/>
        <w:rPr>
          <w:rFonts w:ascii="Abadi" w:eastAsia="Calibri" w:hAnsi="Abadi" w:cs="*Arial-Bold-6291-Identity-H"/>
          <w:b/>
          <w:bCs/>
          <w:color w:val="0D0C13"/>
          <w:sz w:val="21"/>
          <w:szCs w:val="21"/>
          <w:lang w:val="es-MX" w:eastAsia="en-US"/>
        </w:rPr>
      </w:pPr>
      <w:r w:rsidRPr="008C078F">
        <w:rPr>
          <w:rFonts w:ascii="Abadi" w:eastAsia="Calibri" w:hAnsi="Abadi" w:cs="*Arial-Bold-6291-Identity-H"/>
          <w:b/>
          <w:bCs/>
          <w:color w:val="0D0C13"/>
          <w:sz w:val="21"/>
          <w:szCs w:val="21"/>
          <w:lang w:val="es-MX" w:eastAsia="en-US"/>
        </w:rPr>
        <w:t>Eficiencia:</w:t>
      </w:r>
    </w:p>
    <w:p w14:paraId="2D7E3C5F" w14:textId="77777777" w:rsidR="000B3729" w:rsidRPr="008C078F" w:rsidRDefault="000B3729" w:rsidP="000B3729">
      <w:pPr>
        <w:autoSpaceDE w:val="0"/>
        <w:autoSpaceDN w:val="0"/>
        <w:adjustRightInd w:val="0"/>
        <w:jc w:val="both"/>
        <w:rPr>
          <w:rFonts w:ascii="Abadi" w:eastAsia="Calibri" w:hAnsi="Abadi" w:cs="*Arial-6290-Identity-H"/>
          <w:color w:val="0C0C0F"/>
          <w:sz w:val="21"/>
          <w:szCs w:val="21"/>
          <w:lang w:val="es-MX" w:eastAsia="en-US"/>
        </w:rPr>
      </w:pPr>
    </w:p>
    <w:p w14:paraId="5EDEC4D4" w14:textId="77777777" w:rsidR="000B3729" w:rsidRPr="008C078F" w:rsidRDefault="000B3729" w:rsidP="000B3729">
      <w:pPr>
        <w:numPr>
          <w:ilvl w:val="0"/>
          <w:numId w:val="71"/>
        </w:numPr>
        <w:autoSpaceDE w:val="0"/>
        <w:autoSpaceDN w:val="0"/>
        <w:adjustRightInd w:val="0"/>
        <w:spacing w:after="160" w:line="259" w:lineRule="auto"/>
        <w:contextualSpacing/>
        <w:jc w:val="both"/>
        <w:rPr>
          <w:rFonts w:ascii="Abadi" w:eastAsia="Calibri" w:hAnsi="Abadi" w:cs="*Arial-6290-Identity-H"/>
          <w:color w:val="0C0C0F"/>
          <w:sz w:val="21"/>
          <w:szCs w:val="21"/>
          <w:lang w:val="es-MX" w:eastAsia="en-US"/>
        </w:rPr>
      </w:pPr>
      <w:r w:rsidRPr="008C078F">
        <w:rPr>
          <w:rFonts w:ascii="Abadi" w:eastAsia="Calibri" w:hAnsi="Abadi" w:cs="*Arial-6290-Identity-H"/>
          <w:color w:val="0C0C0F"/>
          <w:sz w:val="21"/>
          <w:szCs w:val="21"/>
          <w:lang w:val="es-MX" w:eastAsia="en-US"/>
        </w:rPr>
        <w:t>Oferta del servicio de alumbrado público.</w:t>
      </w:r>
    </w:p>
    <w:p w14:paraId="2331DB53" w14:textId="77777777" w:rsidR="000B3729" w:rsidRPr="008C078F" w:rsidRDefault="000B3729" w:rsidP="000B3729">
      <w:pPr>
        <w:numPr>
          <w:ilvl w:val="0"/>
          <w:numId w:val="71"/>
        </w:numPr>
        <w:autoSpaceDE w:val="0"/>
        <w:autoSpaceDN w:val="0"/>
        <w:adjustRightInd w:val="0"/>
        <w:spacing w:after="160" w:line="259" w:lineRule="auto"/>
        <w:contextualSpacing/>
        <w:jc w:val="both"/>
        <w:rPr>
          <w:rFonts w:ascii="Abadi" w:eastAsia="Calibri" w:hAnsi="Abadi" w:cs="*Arial-6290-Identity-H"/>
          <w:color w:val="0C0C0F"/>
          <w:sz w:val="21"/>
          <w:szCs w:val="21"/>
          <w:lang w:val="es-MX" w:eastAsia="en-US"/>
        </w:rPr>
      </w:pPr>
      <w:r w:rsidRPr="008C078F">
        <w:rPr>
          <w:rFonts w:ascii="Abadi" w:eastAsia="Calibri" w:hAnsi="Abadi" w:cs="*Arial-6290-Identity-H"/>
          <w:color w:val="0B0B0F"/>
          <w:sz w:val="21"/>
          <w:szCs w:val="21"/>
          <w:lang w:val="es-MX" w:eastAsia="en-US"/>
        </w:rPr>
        <w:t>Presupuestación del servicio.</w:t>
      </w:r>
    </w:p>
    <w:p w14:paraId="4AB7BE9E" w14:textId="77777777" w:rsidR="000B3729" w:rsidRPr="008C078F" w:rsidRDefault="000B3729" w:rsidP="000B3729">
      <w:pPr>
        <w:numPr>
          <w:ilvl w:val="0"/>
          <w:numId w:val="71"/>
        </w:numPr>
        <w:autoSpaceDE w:val="0"/>
        <w:autoSpaceDN w:val="0"/>
        <w:adjustRightInd w:val="0"/>
        <w:spacing w:after="160" w:line="259" w:lineRule="auto"/>
        <w:contextualSpacing/>
        <w:jc w:val="both"/>
        <w:rPr>
          <w:rFonts w:ascii="Abadi" w:eastAsia="Calibri" w:hAnsi="Abadi" w:cs="*Arial-6290-Identity-H"/>
          <w:color w:val="0C0C0F"/>
          <w:sz w:val="21"/>
          <w:szCs w:val="21"/>
          <w:lang w:val="es-MX" w:eastAsia="en-US"/>
        </w:rPr>
      </w:pPr>
      <w:r w:rsidRPr="008C078F">
        <w:rPr>
          <w:rFonts w:ascii="Abadi" w:eastAsia="Calibri" w:hAnsi="Abadi" w:cs="*Arial-6290-Identity-H"/>
          <w:color w:val="0B0A0D"/>
          <w:sz w:val="21"/>
          <w:szCs w:val="21"/>
          <w:lang w:val="es-MX" w:eastAsia="en-US"/>
        </w:rPr>
        <w:t>Marco normativo para la prestación del servicio.</w:t>
      </w:r>
    </w:p>
    <w:p w14:paraId="06188779" w14:textId="77777777" w:rsidR="000B3729" w:rsidRPr="008C078F" w:rsidRDefault="000B3729" w:rsidP="000B3729">
      <w:pPr>
        <w:numPr>
          <w:ilvl w:val="0"/>
          <w:numId w:val="71"/>
        </w:numPr>
        <w:autoSpaceDE w:val="0"/>
        <w:autoSpaceDN w:val="0"/>
        <w:adjustRightInd w:val="0"/>
        <w:spacing w:after="160" w:line="259" w:lineRule="auto"/>
        <w:contextualSpacing/>
        <w:jc w:val="both"/>
        <w:rPr>
          <w:rFonts w:ascii="Abadi" w:eastAsia="Calibri" w:hAnsi="Abadi" w:cs="*Arial-6290-Identity-H"/>
          <w:color w:val="0C0C0F"/>
          <w:sz w:val="21"/>
          <w:szCs w:val="21"/>
          <w:lang w:val="es-MX" w:eastAsia="en-US"/>
        </w:rPr>
      </w:pPr>
      <w:r w:rsidRPr="008C078F">
        <w:rPr>
          <w:rFonts w:ascii="Abadi" w:eastAsia="Calibri" w:hAnsi="Abadi" w:cs="*Arial-6290-Identity-H"/>
          <w:color w:val="0C0B0E"/>
          <w:sz w:val="21"/>
          <w:szCs w:val="21"/>
          <w:lang w:val="es-MX" w:eastAsia="en-US"/>
        </w:rPr>
        <w:t>Planeación del servicio de alumbrado público en el corto plazo.</w:t>
      </w:r>
    </w:p>
    <w:p w14:paraId="7611D8CA" w14:textId="77777777" w:rsidR="000B3729" w:rsidRPr="008C078F" w:rsidRDefault="000B3729" w:rsidP="000B3729">
      <w:pPr>
        <w:numPr>
          <w:ilvl w:val="0"/>
          <w:numId w:val="71"/>
        </w:numPr>
        <w:autoSpaceDE w:val="0"/>
        <w:autoSpaceDN w:val="0"/>
        <w:adjustRightInd w:val="0"/>
        <w:spacing w:after="160" w:line="259" w:lineRule="auto"/>
        <w:contextualSpacing/>
        <w:jc w:val="both"/>
        <w:rPr>
          <w:rFonts w:ascii="Abadi" w:eastAsia="Calibri" w:hAnsi="Abadi" w:cs="*Arial-6290-Identity-H"/>
          <w:color w:val="0C0C0F"/>
          <w:sz w:val="21"/>
          <w:szCs w:val="21"/>
          <w:lang w:val="es-MX" w:eastAsia="en-US"/>
        </w:rPr>
      </w:pPr>
      <w:r w:rsidRPr="008C078F">
        <w:rPr>
          <w:rFonts w:ascii="Abadi" w:eastAsia="Calibri" w:hAnsi="Abadi" w:cs="*Arial-6290-Identity-H"/>
          <w:color w:val="0D0C0F"/>
          <w:sz w:val="21"/>
          <w:szCs w:val="21"/>
          <w:lang w:val="es-MX" w:eastAsia="en-US"/>
        </w:rPr>
        <w:t>Participación ciudadana en el reporte de fallas del servicio.</w:t>
      </w:r>
    </w:p>
    <w:p w14:paraId="25B6A130" w14:textId="77777777" w:rsidR="000B3729" w:rsidRPr="008C078F" w:rsidRDefault="000B3729" w:rsidP="000B3729">
      <w:pPr>
        <w:autoSpaceDE w:val="0"/>
        <w:autoSpaceDN w:val="0"/>
        <w:adjustRightInd w:val="0"/>
        <w:jc w:val="both"/>
        <w:rPr>
          <w:rFonts w:ascii="Abadi" w:eastAsia="Calibri" w:hAnsi="Abadi" w:cs="*Arial-Bold-6291-Identity-H"/>
          <w:b/>
          <w:bCs/>
          <w:color w:val="0C0A10"/>
          <w:sz w:val="21"/>
          <w:szCs w:val="21"/>
          <w:lang w:val="es-MX" w:eastAsia="en-US"/>
        </w:rPr>
      </w:pPr>
    </w:p>
    <w:p w14:paraId="6A52862D" w14:textId="77777777" w:rsidR="000B3729" w:rsidRPr="008C078F" w:rsidRDefault="000B3729" w:rsidP="000B3729">
      <w:pPr>
        <w:autoSpaceDE w:val="0"/>
        <w:autoSpaceDN w:val="0"/>
        <w:adjustRightInd w:val="0"/>
        <w:ind w:firstLine="360"/>
        <w:jc w:val="both"/>
        <w:rPr>
          <w:rFonts w:ascii="Abadi" w:eastAsia="Calibri" w:hAnsi="Abadi" w:cs="*Arial-Bold-6291-Identity-H"/>
          <w:b/>
          <w:bCs/>
          <w:color w:val="0C0A10"/>
          <w:sz w:val="21"/>
          <w:szCs w:val="21"/>
          <w:lang w:val="es-MX" w:eastAsia="en-US"/>
        </w:rPr>
      </w:pPr>
      <w:r w:rsidRPr="008C078F">
        <w:rPr>
          <w:rFonts w:ascii="Abadi" w:eastAsia="Calibri" w:hAnsi="Abadi" w:cs="*Arial-Bold-6291-Identity-H"/>
          <w:b/>
          <w:bCs/>
          <w:color w:val="0C0A10"/>
          <w:sz w:val="21"/>
          <w:szCs w:val="21"/>
          <w:lang w:val="es-MX" w:eastAsia="en-US"/>
        </w:rPr>
        <w:t>Eficacia:</w:t>
      </w:r>
    </w:p>
    <w:p w14:paraId="7AF26115" w14:textId="77777777" w:rsidR="000B3729" w:rsidRPr="008C078F" w:rsidRDefault="000B3729" w:rsidP="000B3729">
      <w:pPr>
        <w:autoSpaceDE w:val="0"/>
        <w:autoSpaceDN w:val="0"/>
        <w:adjustRightInd w:val="0"/>
        <w:jc w:val="both"/>
        <w:rPr>
          <w:rFonts w:ascii="Abadi" w:eastAsia="Calibri" w:hAnsi="Abadi" w:cs="*Arial-Bold-6291-Identity-H"/>
          <w:b/>
          <w:bCs/>
          <w:color w:val="0C0C0F"/>
          <w:sz w:val="21"/>
          <w:szCs w:val="21"/>
          <w:lang w:val="es-MX" w:eastAsia="en-US"/>
        </w:rPr>
      </w:pPr>
    </w:p>
    <w:p w14:paraId="3F8362AF" w14:textId="77777777" w:rsidR="000B3729" w:rsidRPr="008C078F" w:rsidRDefault="000B3729" w:rsidP="000B3729">
      <w:pPr>
        <w:numPr>
          <w:ilvl w:val="0"/>
          <w:numId w:val="71"/>
        </w:numPr>
        <w:autoSpaceDE w:val="0"/>
        <w:autoSpaceDN w:val="0"/>
        <w:adjustRightInd w:val="0"/>
        <w:spacing w:after="160" w:line="259" w:lineRule="auto"/>
        <w:contextualSpacing/>
        <w:jc w:val="both"/>
        <w:rPr>
          <w:rFonts w:ascii="Abadi" w:eastAsia="Calibri" w:hAnsi="Abadi" w:cs="*Arial-6290-Identity-H"/>
          <w:color w:val="0C0C0F"/>
          <w:sz w:val="21"/>
          <w:szCs w:val="21"/>
          <w:lang w:val="es-MX" w:eastAsia="en-US"/>
        </w:rPr>
      </w:pPr>
      <w:r w:rsidRPr="008C078F">
        <w:rPr>
          <w:rFonts w:ascii="Abadi" w:eastAsia="Calibri" w:hAnsi="Abadi" w:cs="*Arial-6290-Identity-H"/>
          <w:color w:val="0C0C0F"/>
          <w:sz w:val="21"/>
          <w:szCs w:val="21"/>
          <w:lang w:val="es-MX" w:eastAsia="en-US"/>
        </w:rPr>
        <w:t>Eficacia del servicio de alumbrado público.</w:t>
      </w:r>
    </w:p>
    <w:p w14:paraId="2E6D9763" w14:textId="77777777" w:rsidR="000B3729" w:rsidRPr="008C078F" w:rsidRDefault="000B3729" w:rsidP="000B3729">
      <w:pPr>
        <w:numPr>
          <w:ilvl w:val="0"/>
          <w:numId w:val="71"/>
        </w:numPr>
        <w:autoSpaceDE w:val="0"/>
        <w:autoSpaceDN w:val="0"/>
        <w:adjustRightInd w:val="0"/>
        <w:spacing w:after="160" w:line="259" w:lineRule="auto"/>
        <w:contextualSpacing/>
        <w:jc w:val="both"/>
        <w:rPr>
          <w:rFonts w:ascii="Abadi" w:eastAsia="Calibri" w:hAnsi="Abadi" w:cs="*Arial-6290-Identity-H"/>
          <w:color w:val="0C0C0F"/>
          <w:sz w:val="21"/>
          <w:szCs w:val="21"/>
          <w:lang w:val="es-MX" w:eastAsia="en-US"/>
        </w:rPr>
      </w:pPr>
      <w:r w:rsidRPr="008C078F">
        <w:rPr>
          <w:rFonts w:ascii="Abadi" w:eastAsia="Calibri" w:hAnsi="Abadi" w:cs="*Arial-7495-Identity-H"/>
          <w:color w:val="0D0C0E"/>
          <w:sz w:val="21"/>
          <w:szCs w:val="21"/>
          <w:lang w:val="es-MX" w:eastAsia="en-US"/>
        </w:rPr>
        <w:t>Monitoreo y evaluación de resultados.</w:t>
      </w:r>
    </w:p>
    <w:p w14:paraId="3D557334" w14:textId="77777777" w:rsidR="000B3729" w:rsidRPr="008C078F" w:rsidRDefault="000B3729" w:rsidP="000B3729">
      <w:pPr>
        <w:autoSpaceDE w:val="0"/>
        <w:autoSpaceDN w:val="0"/>
        <w:adjustRightInd w:val="0"/>
        <w:jc w:val="both"/>
        <w:rPr>
          <w:rFonts w:ascii="Abadi" w:eastAsia="Calibri" w:hAnsi="Abadi" w:cs="*Arial-7497-Identity-H"/>
          <w:color w:val="090909"/>
          <w:sz w:val="21"/>
          <w:szCs w:val="21"/>
          <w:lang w:val="es-MX" w:eastAsia="en-US"/>
        </w:rPr>
      </w:pPr>
    </w:p>
    <w:p w14:paraId="12315B40" w14:textId="77777777" w:rsidR="000B3729" w:rsidRPr="008C078F" w:rsidRDefault="000B3729" w:rsidP="000B3729">
      <w:pPr>
        <w:autoSpaceDE w:val="0"/>
        <w:autoSpaceDN w:val="0"/>
        <w:adjustRightInd w:val="0"/>
        <w:ind w:firstLine="360"/>
        <w:jc w:val="both"/>
        <w:rPr>
          <w:rFonts w:ascii="Abadi" w:eastAsia="Calibri" w:hAnsi="Abadi" w:cs="*Arial-7495-Identity-H"/>
          <w:color w:val="0D0D10"/>
          <w:sz w:val="21"/>
          <w:szCs w:val="21"/>
          <w:lang w:val="es-MX" w:eastAsia="en-US"/>
        </w:rPr>
      </w:pPr>
      <w:r w:rsidRPr="008C078F">
        <w:rPr>
          <w:rFonts w:ascii="Abadi" w:eastAsia="Calibri" w:hAnsi="Abadi" w:cs="*Arial-7495-Identity-H"/>
          <w:color w:val="0D0D10"/>
          <w:sz w:val="21"/>
          <w:szCs w:val="21"/>
          <w:lang w:val="es-MX" w:eastAsia="en-US"/>
        </w:rPr>
        <w:t>Es así, que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5E2D31C0" w14:textId="77777777" w:rsidR="000B3729" w:rsidRPr="008C078F" w:rsidRDefault="000B3729" w:rsidP="000B3729">
      <w:pPr>
        <w:autoSpaceDE w:val="0"/>
        <w:autoSpaceDN w:val="0"/>
        <w:adjustRightInd w:val="0"/>
        <w:ind w:firstLine="708"/>
        <w:jc w:val="both"/>
        <w:rPr>
          <w:rFonts w:ascii="Abadi" w:eastAsia="Calibri" w:hAnsi="Abadi" w:cs="*Arial-7495-Identity-H"/>
          <w:color w:val="0D0D0F"/>
          <w:sz w:val="21"/>
          <w:szCs w:val="21"/>
          <w:lang w:val="es-MX" w:eastAsia="en-US"/>
        </w:rPr>
      </w:pPr>
      <w:r w:rsidRPr="008C078F">
        <w:rPr>
          <w:rFonts w:ascii="Abadi" w:eastAsia="Calibri" w:hAnsi="Abadi" w:cs="*Arial-7495-Identity-H"/>
          <w:color w:val="0D0D0F"/>
          <w:sz w:val="21"/>
          <w:szCs w:val="21"/>
          <w:lang w:val="es-MX" w:eastAsia="en-US"/>
        </w:rPr>
        <w:t xml:space="preserve">Derivado de lo anterior, se formulan los resultados y recomendaciones contenidos en los rubros de Eficiencia y Eficacia. </w:t>
      </w:r>
    </w:p>
    <w:p w14:paraId="06DA81A6" w14:textId="77777777" w:rsidR="000B3729" w:rsidRPr="008C078F" w:rsidRDefault="000B3729" w:rsidP="000B3729">
      <w:pPr>
        <w:autoSpaceDE w:val="0"/>
        <w:autoSpaceDN w:val="0"/>
        <w:adjustRightInd w:val="0"/>
        <w:jc w:val="both"/>
        <w:rPr>
          <w:rFonts w:ascii="Abadi" w:eastAsia="Calibri" w:hAnsi="Abadi" w:cs="*Arial-7495-Identity-H"/>
          <w:color w:val="0D0D0F"/>
          <w:sz w:val="21"/>
          <w:szCs w:val="21"/>
          <w:lang w:val="es-MX" w:eastAsia="en-US"/>
        </w:rPr>
      </w:pPr>
    </w:p>
    <w:p w14:paraId="07AC6A31" w14:textId="77777777" w:rsidR="000B3729" w:rsidRPr="008C078F" w:rsidRDefault="000B3729" w:rsidP="000B3729">
      <w:pPr>
        <w:autoSpaceDE w:val="0"/>
        <w:autoSpaceDN w:val="0"/>
        <w:adjustRightInd w:val="0"/>
        <w:ind w:firstLine="708"/>
        <w:jc w:val="both"/>
        <w:rPr>
          <w:rFonts w:ascii="Abadi" w:eastAsia="Calibri" w:hAnsi="Abadi" w:cs="*Arial-7495-Identity-H"/>
          <w:color w:val="0D0D0F"/>
          <w:sz w:val="21"/>
          <w:szCs w:val="21"/>
          <w:lang w:val="es-MX" w:eastAsia="en-US"/>
        </w:rPr>
      </w:pPr>
      <w:r w:rsidRPr="008C078F">
        <w:rPr>
          <w:rFonts w:ascii="Abadi" w:eastAsia="Calibri" w:hAnsi="Abadi" w:cs="*Arial-7495-Identity-H"/>
          <w:color w:val="0C0C0F"/>
          <w:sz w:val="21"/>
          <w:szCs w:val="21"/>
          <w:lang w:val="es-MX" w:eastAsia="en-US"/>
        </w:rPr>
        <w:t>En tal sentido, en el rubro de Eficiencia, se formularon las recomendaciones</w:t>
      </w:r>
      <w:r w:rsidRPr="008C078F">
        <w:rPr>
          <w:rFonts w:ascii="Abadi" w:eastAsia="Calibri" w:hAnsi="Abadi" w:cs="*Arial-7495-Identity-H"/>
          <w:color w:val="0D0D0F"/>
          <w:sz w:val="21"/>
          <w:szCs w:val="21"/>
          <w:lang w:val="es-MX" w:eastAsia="en-US"/>
        </w:rPr>
        <w:t xml:space="preserve"> </w:t>
      </w:r>
      <w:r w:rsidRPr="008C078F">
        <w:rPr>
          <w:rFonts w:ascii="Abadi" w:eastAsia="Calibri" w:hAnsi="Abadi" w:cs="*Arial-7495-Identity-H"/>
          <w:color w:val="0C0C0F"/>
          <w:sz w:val="21"/>
          <w:szCs w:val="21"/>
          <w:lang w:val="es-MX" w:eastAsia="en-US"/>
        </w:rPr>
        <w:t>plasmadas en los puntos 01 y 02 del resultado número 1, referente a oferta del</w:t>
      </w:r>
      <w:r w:rsidRPr="008C078F">
        <w:rPr>
          <w:rFonts w:ascii="Abadi" w:eastAsia="Calibri" w:hAnsi="Abadi" w:cs="*Arial-7495-Identity-H"/>
          <w:color w:val="0D0D0F"/>
          <w:sz w:val="21"/>
          <w:szCs w:val="21"/>
          <w:lang w:val="es-MX" w:eastAsia="en-US"/>
        </w:rPr>
        <w:t xml:space="preserve"> </w:t>
      </w:r>
      <w:r w:rsidRPr="008C078F">
        <w:rPr>
          <w:rFonts w:ascii="Abadi" w:eastAsia="Calibri" w:hAnsi="Abadi" w:cs="*Arial-7495-Identity-H"/>
          <w:color w:val="0C0C0F"/>
          <w:sz w:val="21"/>
          <w:szCs w:val="21"/>
          <w:lang w:val="es-MX" w:eastAsia="en-US"/>
        </w:rPr>
        <w:t>servicio de alumbrado público; 03 y 04 del resultado número 2, correspondiente a</w:t>
      </w:r>
      <w:r w:rsidRPr="008C078F">
        <w:rPr>
          <w:rFonts w:ascii="Abadi" w:eastAsia="Calibri" w:hAnsi="Abadi" w:cs="*Arial-7495-Identity-H"/>
          <w:color w:val="0D0D0F"/>
          <w:sz w:val="21"/>
          <w:szCs w:val="21"/>
          <w:lang w:val="es-MX" w:eastAsia="en-US"/>
        </w:rPr>
        <w:t xml:space="preserve"> </w:t>
      </w:r>
      <w:r w:rsidRPr="008C078F">
        <w:rPr>
          <w:rFonts w:ascii="Abadi" w:eastAsia="Calibri" w:hAnsi="Abadi" w:cs="*Arial-7495-Identity-H"/>
          <w:color w:val="0C0C0F"/>
          <w:sz w:val="21"/>
          <w:szCs w:val="21"/>
          <w:lang w:val="es-MX" w:eastAsia="en-US"/>
        </w:rPr>
        <w:t>presupuestación del servicio; 05 y 06 del resultado número 3, relativo a marco</w:t>
      </w:r>
      <w:r w:rsidRPr="008C078F">
        <w:rPr>
          <w:rFonts w:ascii="Abadi" w:eastAsia="Calibri" w:hAnsi="Abadi" w:cs="*Arial-7495-Identity-H"/>
          <w:color w:val="0D0D0F"/>
          <w:sz w:val="21"/>
          <w:szCs w:val="21"/>
          <w:lang w:val="es-MX" w:eastAsia="en-US"/>
        </w:rPr>
        <w:t xml:space="preserve"> </w:t>
      </w:r>
      <w:r w:rsidRPr="008C078F">
        <w:rPr>
          <w:rFonts w:ascii="Abadi" w:eastAsia="Calibri" w:hAnsi="Abadi" w:cs="*Arial-7495-Identity-H"/>
          <w:color w:val="0C0C0F"/>
          <w:sz w:val="21"/>
          <w:szCs w:val="21"/>
          <w:lang w:val="es-MX" w:eastAsia="en-US"/>
        </w:rPr>
        <w:t>normativo para la prestación del servicio; 07 del resultado número 4, referido a</w:t>
      </w:r>
      <w:r w:rsidRPr="008C078F">
        <w:rPr>
          <w:rFonts w:ascii="Abadi" w:eastAsia="Calibri" w:hAnsi="Abadi" w:cs="*Arial-7495-Identity-H"/>
          <w:color w:val="0D0D0F"/>
          <w:sz w:val="21"/>
          <w:szCs w:val="21"/>
          <w:lang w:val="es-MX" w:eastAsia="en-US"/>
        </w:rPr>
        <w:t xml:space="preserve"> </w:t>
      </w:r>
      <w:r w:rsidRPr="008C078F">
        <w:rPr>
          <w:rFonts w:ascii="Abadi" w:eastAsia="Calibri" w:hAnsi="Abadi" w:cs="*Arial-7495-Identity-H"/>
          <w:color w:val="0C0C0F"/>
          <w:sz w:val="21"/>
          <w:szCs w:val="21"/>
          <w:lang w:val="es-MX" w:eastAsia="en-US"/>
        </w:rPr>
        <w:t>planeación del servicio de alumbrado público; y 08 del resultado número 5,</w:t>
      </w:r>
      <w:r w:rsidRPr="008C078F">
        <w:rPr>
          <w:rFonts w:ascii="Abadi" w:eastAsia="Calibri" w:hAnsi="Abadi" w:cs="*Arial-7495-Identity-H"/>
          <w:color w:val="0D0D0F"/>
          <w:sz w:val="21"/>
          <w:szCs w:val="21"/>
          <w:lang w:val="es-MX" w:eastAsia="en-US"/>
        </w:rPr>
        <w:t xml:space="preserve"> </w:t>
      </w:r>
      <w:r w:rsidRPr="008C078F">
        <w:rPr>
          <w:rFonts w:ascii="Abadi" w:eastAsia="Calibri" w:hAnsi="Abadi" w:cs="*Arial-7495-Identity-H"/>
          <w:color w:val="0C0C0F"/>
          <w:sz w:val="21"/>
          <w:szCs w:val="21"/>
          <w:lang w:val="es-MX" w:eastAsia="en-US"/>
        </w:rPr>
        <w:t>referente a participación ciudadana en el reporte de fallas en el servicio. En el</w:t>
      </w:r>
      <w:r w:rsidRPr="008C078F">
        <w:rPr>
          <w:rFonts w:ascii="Abadi" w:eastAsia="Calibri" w:hAnsi="Abadi" w:cs="*Arial-7495-Identity-H"/>
          <w:color w:val="0D0D0F"/>
          <w:sz w:val="21"/>
          <w:szCs w:val="21"/>
          <w:lang w:val="es-MX" w:eastAsia="en-US"/>
        </w:rPr>
        <w:t xml:space="preserve"> </w:t>
      </w:r>
      <w:r w:rsidRPr="008C078F">
        <w:rPr>
          <w:rFonts w:ascii="Abadi" w:eastAsia="Calibri" w:hAnsi="Abadi" w:cs="*Arial-7495-Identity-H"/>
          <w:color w:val="0C0C0F"/>
          <w:sz w:val="21"/>
          <w:szCs w:val="21"/>
          <w:lang w:val="es-MX" w:eastAsia="en-US"/>
        </w:rPr>
        <w:t>apartado de Eficacia, se formularon las recomendaciones consignadas en los</w:t>
      </w:r>
      <w:r w:rsidRPr="008C078F">
        <w:rPr>
          <w:rFonts w:ascii="Abadi" w:eastAsia="Calibri" w:hAnsi="Abadi" w:cs="*Arial-7495-Identity-H"/>
          <w:color w:val="0D0D0F"/>
          <w:sz w:val="21"/>
          <w:szCs w:val="21"/>
          <w:lang w:val="es-MX" w:eastAsia="en-US"/>
        </w:rPr>
        <w:t xml:space="preserve"> </w:t>
      </w:r>
      <w:r w:rsidRPr="008C078F">
        <w:rPr>
          <w:rFonts w:ascii="Abadi" w:eastAsia="Calibri" w:hAnsi="Abadi" w:cs="*Arial-7495-Identity-H"/>
          <w:color w:val="0C0C0F"/>
          <w:sz w:val="21"/>
          <w:szCs w:val="21"/>
          <w:lang w:val="es-MX" w:eastAsia="en-US"/>
        </w:rPr>
        <w:t>puntos 09 y 1 O del resultado número 6, correspondiente a eficacia del servicio de</w:t>
      </w:r>
      <w:r w:rsidRPr="008C078F">
        <w:rPr>
          <w:rFonts w:ascii="Abadi" w:eastAsia="Calibri" w:hAnsi="Abadi" w:cs="*Arial-7495-Identity-H"/>
          <w:color w:val="0D0D0F"/>
          <w:sz w:val="21"/>
          <w:szCs w:val="21"/>
          <w:lang w:val="es-MX" w:eastAsia="en-US"/>
        </w:rPr>
        <w:t xml:space="preserve"> </w:t>
      </w:r>
      <w:r w:rsidRPr="008C078F">
        <w:rPr>
          <w:rFonts w:ascii="Abadi" w:eastAsia="Calibri" w:hAnsi="Abadi" w:cs="*Arial-7495-Identity-H"/>
          <w:color w:val="0C0C0F"/>
          <w:sz w:val="21"/>
          <w:szCs w:val="21"/>
          <w:lang w:val="es-MX" w:eastAsia="en-US"/>
        </w:rPr>
        <w:t>alumbrado público; y 11 del resultado número 7, relativo a monitoreo y evaluación</w:t>
      </w:r>
      <w:r w:rsidRPr="008C078F">
        <w:rPr>
          <w:rFonts w:ascii="Abadi" w:eastAsia="Calibri" w:hAnsi="Abadi" w:cs="*Arial-7495-Identity-H"/>
          <w:color w:val="0D0D0F"/>
          <w:sz w:val="21"/>
          <w:szCs w:val="21"/>
          <w:lang w:val="es-MX" w:eastAsia="en-US"/>
        </w:rPr>
        <w:t xml:space="preserve"> </w:t>
      </w:r>
      <w:r w:rsidRPr="008C078F">
        <w:rPr>
          <w:rFonts w:ascii="Abadi" w:eastAsia="Calibri" w:hAnsi="Abadi" w:cs="*Arial-7495-Identity-H"/>
          <w:color w:val="0C0C0F"/>
          <w:sz w:val="21"/>
          <w:szCs w:val="21"/>
          <w:lang w:val="es-MX" w:eastAsia="en-US"/>
        </w:rPr>
        <w:t>de resultados.</w:t>
      </w:r>
    </w:p>
    <w:p w14:paraId="7C7285B5" w14:textId="77777777" w:rsidR="000B3729" w:rsidRPr="008C078F" w:rsidRDefault="000B3729" w:rsidP="000B3729">
      <w:pPr>
        <w:autoSpaceDE w:val="0"/>
        <w:autoSpaceDN w:val="0"/>
        <w:adjustRightInd w:val="0"/>
        <w:jc w:val="both"/>
        <w:rPr>
          <w:rFonts w:ascii="Abadi" w:eastAsia="Calibri" w:hAnsi="Abadi" w:cs="*Arial-7495-Identity-H"/>
          <w:color w:val="0C0C0E"/>
          <w:sz w:val="21"/>
          <w:szCs w:val="21"/>
          <w:lang w:val="es-MX" w:eastAsia="en-US"/>
        </w:rPr>
      </w:pPr>
    </w:p>
    <w:p w14:paraId="50805B87" w14:textId="77777777" w:rsidR="000B3729" w:rsidRPr="008C078F" w:rsidRDefault="000B3729" w:rsidP="000B3729">
      <w:pPr>
        <w:autoSpaceDE w:val="0"/>
        <w:autoSpaceDN w:val="0"/>
        <w:adjustRightInd w:val="0"/>
        <w:ind w:firstLine="708"/>
        <w:jc w:val="both"/>
        <w:rPr>
          <w:rFonts w:ascii="Abadi" w:eastAsia="Calibri" w:hAnsi="Abadi" w:cs="*Arial-Italic-7496-Identity-H"/>
          <w:i/>
          <w:iCs/>
          <w:color w:val="0C0C0E"/>
          <w:sz w:val="21"/>
          <w:szCs w:val="21"/>
          <w:lang w:val="es-MX" w:eastAsia="en-US"/>
        </w:rPr>
      </w:pPr>
      <w:r w:rsidRPr="008C078F">
        <w:rPr>
          <w:rFonts w:ascii="Abadi" w:eastAsia="Calibri" w:hAnsi="Abadi" w:cs="*Arial-7495-Identity-H"/>
          <w:color w:val="0C0C0E"/>
          <w:sz w:val="21"/>
          <w:szCs w:val="21"/>
          <w:lang w:val="es-MX" w:eastAsia="en-US"/>
        </w:rPr>
        <w:t xml:space="preserve">Finalmente, se establece un apartado denominado </w:t>
      </w:r>
      <w:r w:rsidRPr="008C078F">
        <w:rPr>
          <w:rFonts w:ascii="Abadi" w:eastAsia="Calibri" w:hAnsi="Abadi" w:cs="*Arial-Italic-7496-Identity-H"/>
          <w:i/>
          <w:iCs/>
          <w:color w:val="0C0C0E"/>
          <w:sz w:val="21"/>
          <w:szCs w:val="21"/>
          <w:lang w:val="es-MX" w:eastAsia="en-US"/>
        </w:rPr>
        <w:t xml:space="preserve">Cuestiones clave de la auditoria en contexto de la pandemia del virus SARS-Co V2 </w:t>
      </w:r>
      <w:r w:rsidRPr="008C078F">
        <w:rPr>
          <w:rFonts w:ascii="Abadi" w:eastAsia="Calibri" w:hAnsi="Abadi" w:cs="*Arial-7495-Identity-H"/>
          <w:color w:val="0C0C0E"/>
          <w:sz w:val="21"/>
          <w:szCs w:val="21"/>
          <w:lang w:val="es-MX" w:eastAsia="en-US"/>
        </w:rPr>
        <w:t>en el que se señala</w:t>
      </w:r>
      <w:r w:rsidRPr="008C078F">
        <w:rPr>
          <w:rFonts w:ascii="Abadi" w:eastAsia="Calibri" w:hAnsi="Abadi" w:cs="*Arial-Italic-7496-Identity-H"/>
          <w:i/>
          <w:iCs/>
          <w:color w:val="0C0C0E"/>
          <w:sz w:val="21"/>
          <w:szCs w:val="21"/>
          <w:lang w:val="es-MX" w:eastAsia="en-US"/>
        </w:rPr>
        <w:t xml:space="preserve"> </w:t>
      </w:r>
      <w:r w:rsidRPr="008C078F">
        <w:rPr>
          <w:rFonts w:ascii="Abadi" w:eastAsia="Calibri" w:hAnsi="Abadi" w:cs="*Arial-7495-Identity-H"/>
          <w:color w:val="0C0C0E"/>
          <w:sz w:val="21"/>
          <w:szCs w:val="21"/>
          <w:lang w:val="es-MX" w:eastAsia="en-US"/>
        </w:rPr>
        <w:t>que con motivo de la emergencia sanitaria provocada por dicha pandemia y en</w:t>
      </w:r>
      <w:r w:rsidRPr="008C078F">
        <w:rPr>
          <w:rFonts w:ascii="Abadi" w:eastAsia="Calibri" w:hAnsi="Abadi" w:cs="*Arial-Italic-7496-Identity-H"/>
          <w:i/>
          <w:iCs/>
          <w:color w:val="0C0C0E"/>
          <w:sz w:val="21"/>
          <w:szCs w:val="21"/>
          <w:lang w:val="es-MX" w:eastAsia="en-US"/>
        </w:rPr>
        <w:t xml:space="preserve"> </w:t>
      </w:r>
      <w:r w:rsidRPr="008C078F">
        <w:rPr>
          <w:rFonts w:ascii="Abadi" w:eastAsia="Calibri" w:hAnsi="Abadi" w:cs="*Arial-7495-Identity-H"/>
          <w:color w:val="0C0C0E"/>
          <w:sz w:val="21"/>
          <w:szCs w:val="21"/>
          <w:lang w:val="es-MX" w:eastAsia="en-US"/>
        </w:rPr>
        <w:t>atención a diversas disposiciones en salud pública emitidas por las autoridades</w:t>
      </w:r>
      <w:r w:rsidRPr="008C078F">
        <w:rPr>
          <w:rFonts w:ascii="Abadi" w:eastAsia="Calibri" w:hAnsi="Abadi" w:cs="*Arial-Italic-7496-Identity-H"/>
          <w:i/>
          <w:iCs/>
          <w:color w:val="0C0C0E"/>
          <w:sz w:val="21"/>
          <w:szCs w:val="21"/>
          <w:lang w:val="es-MX" w:eastAsia="en-US"/>
        </w:rPr>
        <w:t xml:space="preserve"> </w:t>
      </w:r>
      <w:r w:rsidRPr="008C078F">
        <w:rPr>
          <w:rFonts w:ascii="Abadi" w:eastAsia="Calibri" w:hAnsi="Abadi" w:cs="*Arial-7495-Identity-H"/>
          <w:color w:val="0C0C0E"/>
          <w:sz w:val="21"/>
          <w:szCs w:val="21"/>
          <w:lang w:val="es-MX" w:eastAsia="en-US"/>
        </w:rPr>
        <w:t>federales y estatales competentes en la materia, se generaron cambios en el</w:t>
      </w:r>
      <w:r w:rsidRPr="008C078F">
        <w:rPr>
          <w:rFonts w:ascii="Abadi" w:eastAsia="Calibri" w:hAnsi="Abadi" w:cs="*Arial-Italic-7496-Identity-H"/>
          <w:i/>
          <w:iCs/>
          <w:color w:val="0C0C0E"/>
          <w:sz w:val="21"/>
          <w:szCs w:val="21"/>
          <w:lang w:val="es-MX" w:eastAsia="en-US"/>
        </w:rPr>
        <w:t xml:space="preserve"> </w:t>
      </w:r>
      <w:r w:rsidRPr="008C078F">
        <w:rPr>
          <w:rFonts w:ascii="Abadi" w:eastAsia="Calibri" w:hAnsi="Abadi" w:cs="*Arial-7495-Identity-H"/>
          <w:color w:val="0C0C0E"/>
          <w:sz w:val="21"/>
          <w:szCs w:val="21"/>
          <w:lang w:val="es-MX" w:eastAsia="en-US"/>
        </w:rPr>
        <w:t>desarrollo de los asuntos competencia de la Auditoría Superior del Estado de</w:t>
      </w:r>
      <w:r w:rsidRPr="008C078F">
        <w:rPr>
          <w:rFonts w:ascii="Abadi" w:eastAsia="Calibri" w:hAnsi="Abadi" w:cs="*Arial-Italic-7496-Identity-H"/>
          <w:i/>
          <w:iCs/>
          <w:color w:val="0C0C0E"/>
          <w:sz w:val="21"/>
          <w:szCs w:val="21"/>
          <w:lang w:val="es-MX" w:eastAsia="en-US"/>
        </w:rPr>
        <w:t xml:space="preserve"> </w:t>
      </w:r>
      <w:r w:rsidRPr="008C078F">
        <w:rPr>
          <w:rFonts w:ascii="Abadi" w:eastAsia="Calibri" w:hAnsi="Abadi" w:cs="*Arial-7495-Identity-H"/>
          <w:color w:val="0C0C0E"/>
          <w:sz w:val="21"/>
          <w:szCs w:val="21"/>
          <w:lang w:val="es-MX" w:eastAsia="en-US"/>
        </w:rPr>
        <w:t xml:space="preserve">Guanajuato, atendiendo al </w:t>
      </w:r>
      <w:r w:rsidRPr="008C078F">
        <w:rPr>
          <w:rFonts w:ascii="Abadi" w:eastAsia="Calibri" w:hAnsi="Abadi" w:cs="*Arial-Italic-7496-Identity-H"/>
          <w:i/>
          <w:iCs/>
          <w:color w:val="0C0C0E"/>
          <w:sz w:val="21"/>
          <w:szCs w:val="21"/>
          <w:lang w:val="es-MX" w:eastAsia="en-US"/>
        </w:rPr>
        <w:t xml:space="preserve">Acuerdo relativo al trabajo </w:t>
      </w:r>
      <w:r w:rsidRPr="008C078F">
        <w:rPr>
          <w:rFonts w:ascii="Abadi" w:eastAsia="Calibri" w:hAnsi="Abadi" w:cs="*Arial-7495-Identity-H"/>
          <w:color w:val="0C0C0E"/>
          <w:sz w:val="21"/>
          <w:szCs w:val="21"/>
          <w:lang w:val="es-MX" w:eastAsia="en-US"/>
        </w:rPr>
        <w:t xml:space="preserve">a </w:t>
      </w:r>
      <w:r w:rsidRPr="008C078F">
        <w:rPr>
          <w:rFonts w:ascii="Abadi" w:eastAsia="Calibri" w:hAnsi="Abadi" w:cs="*Arial-Italic-7496-Identity-H"/>
          <w:i/>
          <w:iCs/>
          <w:color w:val="0C0C0E"/>
          <w:sz w:val="21"/>
          <w:szCs w:val="21"/>
          <w:lang w:val="es-MX" w:eastAsia="en-US"/>
        </w:rPr>
        <w:t xml:space="preserve">distancia </w:t>
      </w:r>
      <w:r w:rsidRPr="008C078F">
        <w:rPr>
          <w:rFonts w:ascii="Abadi" w:eastAsia="Calibri" w:hAnsi="Abadi" w:cs="*Arial-7495-Identity-H"/>
          <w:color w:val="0C0C0E"/>
          <w:sz w:val="21"/>
          <w:szCs w:val="21"/>
          <w:lang w:val="es-MX" w:eastAsia="en-US"/>
        </w:rPr>
        <w:t>de fecha 17 de</w:t>
      </w:r>
      <w:r w:rsidRPr="008C078F">
        <w:rPr>
          <w:rFonts w:ascii="Abadi" w:eastAsia="Calibri" w:hAnsi="Abadi" w:cs="*Arial-Italic-7496-Identity-H"/>
          <w:i/>
          <w:iCs/>
          <w:color w:val="0C0C0E"/>
          <w:sz w:val="21"/>
          <w:szCs w:val="21"/>
          <w:lang w:val="es-MX" w:eastAsia="en-US"/>
        </w:rPr>
        <w:t xml:space="preserve"> </w:t>
      </w:r>
      <w:r w:rsidRPr="008C078F">
        <w:rPr>
          <w:rFonts w:ascii="Abadi" w:eastAsia="Calibri" w:hAnsi="Abadi" w:cs="*Arial-7495-Identity-H"/>
          <w:color w:val="0C0C0E"/>
          <w:sz w:val="21"/>
          <w:szCs w:val="21"/>
          <w:lang w:val="es-MX" w:eastAsia="en-US"/>
        </w:rPr>
        <w:t>marzo de 2020 y su décimo sexto acuerdo modificatorio, aprovechando las</w:t>
      </w:r>
      <w:r w:rsidRPr="008C078F">
        <w:rPr>
          <w:rFonts w:ascii="Abadi" w:eastAsia="Calibri" w:hAnsi="Abadi" w:cs="*Arial-Italic-7496-Identity-H"/>
          <w:i/>
          <w:iCs/>
          <w:color w:val="0C0C0E"/>
          <w:sz w:val="21"/>
          <w:szCs w:val="21"/>
          <w:lang w:val="es-MX" w:eastAsia="en-US"/>
        </w:rPr>
        <w:t xml:space="preserve"> </w:t>
      </w:r>
      <w:r w:rsidRPr="008C078F">
        <w:rPr>
          <w:rFonts w:ascii="Abadi" w:eastAsia="Calibri" w:hAnsi="Abadi" w:cs="*Arial-7495-Identity-H"/>
          <w:color w:val="0C0C0E"/>
          <w:sz w:val="21"/>
          <w:szCs w:val="21"/>
          <w:lang w:val="es-MX" w:eastAsia="en-US"/>
        </w:rPr>
        <w:t>herramientas tecnológicas de que dispone, así como la colaboración de los sujetos</w:t>
      </w:r>
      <w:r w:rsidRPr="008C078F">
        <w:rPr>
          <w:rFonts w:ascii="Abadi" w:eastAsia="Calibri" w:hAnsi="Abadi" w:cs="*Arial-Italic-7496-Identity-H"/>
          <w:i/>
          <w:iCs/>
          <w:color w:val="0C0C0E"/>
          <w:sz w:val="21"/>
          <w:szCs w:val="21"/>
          <w:lang w:val="es-MX" w:eastAsia="en-US"/>
        </w:rPr>
        <w:t xml:space="preserve"> </w:t>
      </w:r>
      <w:r w:rsidRPr="008C078F">
        <w:rPr>
          <w:rFonts w:ascii="Abadi" w:eastAsia="Calibri" w:hAnsi="Abadi" w:cs="*Arial-7495-Identity-H"/>
          <w:color w:val="0C0C0E"/>
          <w:sz w:val="21"/>
          <w:szCs w:val="21"/>
          <w:lang w:val="es-MX" w:eastAsia="en-US"/>
        </w:rPr>
        <w:t>de fiscalización.</w:t>
      </w:r>
    </w:p>
    <w:p w14:paraId="67441DBC" w14:textId="77777777" w:rsidR="000B3729" w:rsidRPr="008C078F" w:rsidRDefault="000B3729" w:rsidP="000B3729">
      <w:pPr>
        <w:autoSpaceDE w:val="0"/>
        <w:autoSpaceDN w:val="0"/>
        <w:adjustRightInd w:val="0"/>
        <w:jc w:val="both"/>
        <w:rPr>
          <w:rFonts w:ascii="Abadi" w:eastAsia="Calibri" w:hAnsi="Abadi" w:cs="*Arial-7495-Identity-H"/>
          <w:color w:val="0C0B0E"/>
          <w:sz w:val="21"/>
          <w:szCs w:val="21"/>
          <w:lang w:val="es-MX" w:eastAsia="en-US"/>
        </w:rPr>
      </w:pPr>
    </w:p>
    <w:p w14:paraId="3B35B161" w14:textId="77777777" w:rsidR="000B3729" w:rsidRPr="008C078F" w:rsidRDefault="000B3729" w:rsidP="000B3729">
      <w:pPr>
        <w:autoSpaceDE w:val="0"/>
        <w:autoSpaceDN w:val="0"/>
        <w:adjustRightInd w:val="0"/>
        <w:ind w:firstLine="708"/>
        <w:jc w:val="both"/>
        <w:rPr>
          <w:rFonts w:ascii="Abadi" w:eastAsia="Calibri" w:hAnsi="Abadi" w:cs="*Arial-7495-Identity-H"/>
          <w:color w:val="0C0B0E"/>
          <w:sz w:val="21"/>
          <w:szCs w:val="21"/>
          <w:lang w:val="es-MX" w:eastAsia="en-US"/>
        </w:rPr>
      </w:pPr>
      <w:r w:rsidRPr="008C078F">
        <w:rPr>
          <w:rFonts w:ascii="Abadi" w:eastAsia="Calibri" w:hAnsi="Abadi" w:cs="*Arial-7495-Identity-H"/>
          <w:color w:val="0C0B0E"/>
          <w:sz w:val="21"/>
          <w:szCs w:val="21"/>
          <w:lang w:val="es-MX" w:eastAsia="en-US"/>
        </w:rPr>
        <w:t>Es así, que si bien, el proceso de fiscalización ha continuado observando las medidas de confinamiento que las autoridades de salud han determinado y con el uso de las tecnologías de la información, por la propia naturaleza de la pandemia se generaron limitantes en la aplicación de los procedimientos de auditoría.</w:t>
      </w:r>
    </w:p>
    <w:p w14:paraId="15E2A84A" w14:textId="77777777" w:rsidR="000B3729" w:rsidRPr="008C078F" w:rsidRDefault="000B3729" w:rsidP="000B3729">
      <w:pPr>
        <w:autoSpaceDE w:val="0"/>
        <w:autoSpaceDN w:val="0"/>
        <w:adjustRightInd w:val="0"/>
        <w:jc w:val="both"/>
        <w:rPr>
          <w:rFonts w:ascii="Abadi" w:eastAsia="Calibri" w:hAnsi="Abadi" w:cs="*Microsoft Sans Serif-Bold-6623"/>
          <w:b/>
          <w:bCs/>
          <w:color w:val="26272C"/>
          <w:sz w:val="21"/>
          <w:szCs w:val="21"/>
          <w:lang w:val="es-MX" w:eastAsia="en-US"/>
        </w:rPr>
      </w:pPr>
    </w:p>
    <w:p w14:paraId="335ECE63" w14:textId="77777777" w:rsidR="000B3729" w:rsidRPr="008C078F" w:rsidRDefault="000B3729" w:rsidP="000B3729">
      <w:pPr>
        <w:autoSpaceDE w:val="0"/>
        <w:autoSpaceDN w:val="0"/>
        <w:adjustRightInd w:val="0"/>
        <w:ind w:firstLine="708"/>
        <w:jc w:val="both"/>
        <w:rPr>
          <w:rFonts w:ascii="Abadi" w:eastAsia="Calibri" w:hAnsi="Abadi" w:cs="*Arial-6620-Identity-H"/>
          <w:color w:val="0E0D10"/>
          <w:sz w:val="21"/>
          <w:szCs w:val="21"/>
          <w:lang w:val="es-MX" w:eastAsia="en-US"/>
        </w:rPr>
      </w:pPr>
      <w:r w:rsidRPr="008C078F">
        <w:rPr>
          <w:rFonts w:ascii="Abadi" w:eastAsia="Calibri" w:hAnsi="Abadi" w:cs="*Arial-6620-Identity-H"/>
          <w:color w:val="0E0D10"/>
          <w:sz w:val="21"/>
          <w:szCs w:val="21"/>
          <w:lang w:val="es-MX" w:eastAsia="en-US"/>
        </w:rPr>
        <w:t>En tal sentido se priorizó el enfoque de derechos humanos, velando por la protección del derecho humano a la salud, respetando las limitaciones y restricciones a los derechos humanos establecidas en la propia Constitución.</w:t>
      </w:r>
    </w:p>
    <w:p w14:paraId="57208BF2" w14:textId="77777777" w:rsidR="000B3729" w:rsidRPr="008C078F" w:rsidRDefault="000B3729" w:rsidP="000B3729">
      <w:pPr>
        <w:autoSpaceDE w:val="0"/>
        <w:autoSpaceDN w:val="0"/>
        <w:adjustRightInd w:val="0"/>
        <w:jc w:val="both"/>
        <w:rPr>
          <w:rFonts w:ascii="Abadi" w:eastAsia="Calibri" w:hAnsi="Abadi" w:cs="*Microsoft Sans Serif-Bold-6622"/>
          <w:b/>
          <w:bCs/>
          <w:color w:val="0E0D12"/>
          <w:sz w:val="21"/>
          <w:szCs w:val="21"/>
          <w:lang w:val="es-MX" w:eastAsia="en-US"/>
        </w:rPr>
      </w:pPr>
    </w:p>
    <w:p w14:paraId="16A5B6E8" w14:textId="77777777" w:rsidR="000B3729" w:rsidRPr="008C078F" w:rsidRDefault="000B3729" w:rsidP="000B3729">
      <w:pPr>
        <w:autoSpaceDE w:val="0"/>
        <w:autoSpaceDN w:val="0"/>
        <w:adjustRightInd w:val="0"/>
        <w:ind w:firstLine="708"/>
        <w:jc w:val="both"/>
        <w:rPr>
          <w:rFonts w:ascii="Abadi" w:eastAsia="Calibri" w:hAnsi="Abadi" w:cs="*Microsoft Sans Serif-Bold-6622"/>
          <w:b/>
          <w:bCs/>
          <w:color w:val="0E0D12"/>
          <w:sz w:val="21"/>
          <w:szCs w:val="21"/>
          <w:lang w:val="es-MX" w:eastAsia="en-US"/>
        </w:rPr>
      </w:pPr>
      <w:r w:rsidRPr="008C078F">
        <w:rPr>
          <w:rFonts w:ascii="Abadi" w:eastAsia="Calibri" w:hAnsi="Abadi" w:cs="*Microsoft Sans Serif-Bold-6622"/>
          <w:b/>
          <w:bCs/>
          <w:color w:val="0E0D12"/>
          <w:sz w:val="21"/>
          <w:szCs w:val="21"/>
          <w:lang w:val="es-MX" w:eastAsia="en-US"/>
        </w:rPr>
        <w:t>c) Resumen de las recomendaciones.</w:t>
      </w:r>
    </w:p>
    <w:p w14:paraId="6E669CA6" w14:textId="77777777" w:rsidR="000B3729" w:rsidRPr="008C078F" w:rsidRDefault="000B3729" w:rsidP="000B3729">
      <w:pPr>
        <w:autoSpaceDE w:val="0"/>
        <w:autoSpaceDN w:val="0"/>
        <w:adjustRightInd w:val="0"/>
        <w:jc w:val="both"/>
        <w:rPr>
          <w:rFonts w:ascii="Abadi" w:eastAsia="Calibri" w:hAnsi="Abadi" w:cs="*Arial-6620-Identity-H"/>
          <w:color w:val="0D0D10"/>
          <w:sz w:val="21"/>
          <w:szCs w:val="21"/>
          <w:lang w:val="es-MX" w:eastAsia="en-US"/>
        </w:rPr>
      </w:pPr>
    </w:p>
    <w:p w14:paraId="7194793F" w14:textId="77777777" w:rsidR="000B3729" w:rsidRPr="008C078F" w:rsidRDefault="000B3729" w:rsidP="000B3729">
      <w:pPr>
        <w:autoSpaceDE w:val="0"/>
        <w:autoSpaceDN w:val="0"/>
        <w:adjustRightInd w:val="0"/>
        <w:ind w:firstLine="708"/>
        <w:jc w:val="both"/>
        <w:rPr>
          <w:rFonts w:ascii="Abadi" w:eastAsia="Calibri" w:hAnsi="Abadi" w:cs="*Arial-6620-Identity-H"/>
          <w:color w:val="0D0D10"/>
          <w:sz w:val="21"/>
          <w:szCs w:val="21"/>
          <w:lang w:val="es-MX" w:eastAsia="en-US"/>
        </w:rPr>
      </w:pPr>
      <w:r w:rsidRPr="008C078F">
        <w:rPr>
          <w:rFonts w:ascii="Abadi" w:eastAsia="Calibri" w:hAnsi="Abadi" w:cs="*Arial-6620-Identity-H"/>
          <w:color w:val="0D0D10"/>
          <w:sz w:val="21"/>
          <w:szCs w:val="21"/>
          <w:lang w:val="es-MX" w:eastAsia="en-US"/>
        </w:rPr>
        <w:t>En este punto se establece un resumen exclusivamente de los resultados que generaron recomendación producto de un área de oportunidad o mejora sugerida por el Órgano Técnico, agrupados bajo su respectiva vertiente, con su síntesis de la valoración efectuada, precisando que del análisis a la respuesta del pliego de recomendaciones se desprende que el sujeto fiscalizado en 1 O recomendaciones se comprometió a realizar acciones en un plazo futuro para su atención; mientras que en 1 recomendación persistió lo recomendado, debido a que la evidencia proporcionada resultó insuficiente para atenderla. A dichas recomendaciones dará seguimiento el Órgano Técnico en la etapa correspondiente, de conformidad con el ordenamiento legal respectivo.</w:t>
      </w:r>
    </w:p>
    <w:p w14:paraId="67FC6A48" w14:textId="77777777" w:rsidR="000B3729" w:rsidRPr="008C078F" w:rsidRDefault="000B3729" w:rsidP="000B3729">
      <w:pPr>
        <w:autoSpaceDE w:val="0"/>
        <w:autoSpaceDN w:val="0"/>
        <w:adjustRightInd w:val="0"/>
        <w:jc w:val="both"/>
        <w:rPr>
          <w:rFonts w:ascii="Abadi" w:eastAsia="Calibri" w:hAnsi="Abadi" w:cs="*Microsoft Sans Serif-Bold-6622"/>
          <w:b/>
          <w:bCs/>
          <w:color w:val="0B0B0F"/>
          <w:sz w:val="21"/>
          <w:szCs w:val="21"/>
          <w:lang w:val="es-MX" w:eastAsia="en-US"/>
        </w:rPr>
      </w:pPr>
    </w:p>
    <w:p w14:paraId="59864ADC" w14:textId="77777777" w:rsidR="000B3729" w:rsidRPr="008C078F" w:rsidRDefault="000B3729" w:rsidP="000B3729">
      <w:pPr>
        <w:autoSpaceDE w:val="0"/>
        <w:autoSpaceDN w:val="0"/>
        <w:adjustRightInd w:val="0"/>
        <w:ind w:firstLine="708"/>
        <w:jc w:val="both"/>
        <w:rPr>
          <w:rFonts w:ascii="Abadi" w:eastAsia="Calibri" w:hAnsi="Abadi" w:cs="*Microsoft Sans Serif-Bold-6622"/>
          <w:b/>
          <w:bCs/>
          <w:color w:val="0B0B0F"/>
          <w:sz w:val="21"/>
          <w:szCs w:val="21"/>
          <w:lang w:val="es-MX" w:eastAsia="en-US"/>
        </w:rPr>
      </w:pPr>
      <w:r w:rsidRPr="008C078F">
        <w:rPr>
          <w:rFonts w:ascii="Abadi" w:eastAsia="Calibri" w:hAnsi="Abadi" w:cs="*Microsoft Sans Serif-Bold-6622"/>
          <w:b/>
          <w:bCs/>
          <w:color w:val="0B0B0F"/>
          <w:sz w:val="21"/>
          <w:szCs w:val="21"/>
          <w:lang w:val="es-MX" w:eastAsia="en-US"/>
        </w:rPr>
        <w:t>d) Conclusión General.</w:t>
      </w:r>
    </w:p>
    <w:p w14:paraId="0FF2B9AF" w14:textId="77777777" w:rsidR="000B3729" w:rsidRPr="008C078F" w:rsidRDefault="000B3729" w:rsidP="000B3729">
      <w:pPr>
        <w:autoSpaceDE w:val="0"/>
        <w:autoSpaceDN w:val="0"/>
        <w:adjustRightInd w:val="0"/>
        <w:jc w:val="both"/>
        <w:rPr>
          <w:rFonts w:ascii="Abadi" w:eastAsia="Calibri" w:hAnsi="Abadi" w:cs="*Arial-6620-Identity-H"/>
          <w:color w:val="0C0B0E"/>
          <w:sz w:val="21"/>
          <w:szCs w:val="21"/>
          <w:lang w:val="es-MX" w:eastAsia="en-US"/>
        </w:rPr>
      </w:pPr>
    </w:p>
    <w:p w14:paraId="6DCA274B" w14:textId="77777777" w:rsidR="000B3729" w:rsidRPr="008C078F" w:rsidRDefault="000B3729" w:rsidP="000B3729">
      <w:pPr>
        <w:autoSpaceDE w:val="0"/>
        <w:autoSpaceDN w:val="0"/>
        <w:adjustRightInd w:val="0"/>
        <w:ind w:firstLine="708"/>
        <w:jc w:val="both"/>
        <w:rPr>
          <w:rFonts w:ascii="Abadi" w:eastAsia="Calibri" w:hAnsi="Abadi" w:cs="*Arial-6620-Identity-H"/>
          <w:color w:val="0C0B0E"/>
          <w:sz w:val="21"/>
          <w:szCs w:val="21"/>
          <w:lang w:val="es-MX" w:eastAsia="en-US"/>
        </w:rPr>
      </w:pPr>
      <w:r w:rsidRPr="008C078F">
        <w:rPr>
          <w:rFonts w:ascii="Abadi" w:eastAsia="Calibri" w:hAnsi="Abadi" w:cs="*Arial-6620-Identity-H"/>
          <w:color w:val="0C0B0E"/>
          <w:sz w:val="21"/>
          <w:szCs w:val="21"/>
          <w:lang w:val="es-MX" w:eastAsia="en-US"/>
        </w:rPr>
        <w:t>La Auditoría Superior del Estado concluyó que los servicios públicos se pueden entender como toda prestación concreta que tienda a satisfacer, de manera regular, continua y uniforme, las necesidades sociales de carácter general, básico o fundamental, en beneficio indiscriminado de toda la ciudadanía. De su adecuada prestación depende, en cierta medida, la calidad de vida de las</w:t>
      </w:r>
    </w:p>
    <w:p w14:paraId="7F525557" w14:textId="77777777" w:rsidR="000B3729" w:rsidRPr="008C078F" w:rsidRDefault="000B3729" w:rsidP="000B3729">
      <w:pPr>
        <w:autoSpaceDE w:val="0"/>
        <w:autoSpaceDN w:val="0"/>
        <w:adjustRightInd w:val="0"/>
        <w:jc w:val="both"/>
        <w:rPr>
          <w:rFonts w:ascii="Abadi" w:eastAsia="Calibri" w:hAnsi="Abadi" w:cs="*Arial-6620-Identity-H"/>
          <w:color w:val="0C0B0E"/>
          <w:sz w:val="21"/>
          <w:szCs w:val="21"/>
          <w:lang w:val="es-MX" w:eastAsia="en-US"/>
        </w:rPr>
      </w:pPr>
      <w:r w:rsidRPr="008C078F">
        <w:rPr>
          <w:rFonts w:ascii="Abadi" w:eastAsia="Calibri" w:hAnsi="Abadi" w:cs="*Arial-6620-Identity-H"/>
          <w:color w:val="0C0B0E"/>
          <w:sz w:val="21"/>
          <w:szCs w:val="21"/>
          <w:lang w:val="es-MX" w:eastAsia="en-US"/>
        </w:rPr>
        <w:t>personas.</w:t>
      </w:r>
    </w:p>
    <w:p w14:paraId="14A0D66E" w14:textId="77777777" w:rsidR="000B3729" w:rsidRPr="008C078F" w:rsidRDefault="000B3729" w:rsidP="000B3729">
      <w:pPr>
        <w:autoSpaceDE w:val="0"/>
        <w:autoSpaceDN w:val="0"/>
        <w:adjustRightInd w:val="0"/>
        <w:jc w:val="both"/>
        <w:rPr>
          <w:rFonts w:ascii="Abadi" w:eastAsia="Calibri" w:hAnsi="Abadi" w:cs="*Arial-6620-Identity-H"/>
          <w:color w:val="0C0B0E"/>
          <w:sz w:val="21"/>
          <w:szCs w:val="21"/>
          <w:lang w:val="es-MX" w:eastAsia="en-US"/>
        </w:rPr>
      </w:pPr>
    </w:p>
    <w:p w14:paraId="794EFC1F" w14:textId="30499F1E" w:rsidR="000B3729" w:rsidRPr="008C078F" w:rsidRDefault="000B3729" w:rsidP="000B3729">
      <w:pPr>
        <w:autoSpaceDE w:val="0"/>
        <w:autoSpaceDN w:val="0"/>
        <w:adjustRightInd w:val="0"/>
        <w:ind w:firstLine="708"/>
        <w:jc w:val="both"/>
        <w:rPr>
          <w:rFonts w:ascii="Abadi" w:eastAsia="Calibri" w:hAnsi="Abadi" w:cs="*Arial-6620-Identity-H"/>
          <w:color w:val="0C0B0E"/>
          <w:sz w:val="21"/>
          <w:szCs w:val="21"/>
          <w:lang w:val="es-MX" w:eastAsia="en-US"/>
        </w:rPr>
      </w:pPr>
      <w:r w:rsidRPr="008C078F">
        <w:rPr>
          <w:rFonts w:ascii="Abadi" w:eastAsia="Calibri" w:hAnsi="Abadi" w:cs="*Arial-6620-Identity-H"/>
          <w:color w:val="0C0B0E"/>
          <w:sz w:val="21"/>
          <w:szCs w:val="21"/>
          <w:lang w:val="es-MX" w:eastAsia="en-US"/>
        </w:rPr>
        <w:t>De igual forma, se refiere que el artículo 115, fracció</w:t>
      </w:r>
      <w:r w:rsidR="007C589A">
        <w:rPr>
          <w:rFonts w:ascii="Abadi" w:eastAsia="Calibri" w:hAnsi="Abadi" w:cs="*Arial-6620-Identity-H"/>
          <w:color w:val="0C0B0E"/>
          <w:sz w:val="21"/>
          <w:szCs w:val="21"/>
          <w:lang w:val="es-MX" w:eastAsia="en-US"/>
        </w:rPr>
        <w:t>n</w:t>
      </w:r>
      <w:r w:rsidRPr="008C078F">
        <w:rPr>
          <w:rFonts w:ascii="Abadi" w:eastAsia="Calibri" w:hAnsi="Abadi" w:cs="*Arial-6620-Identity-H"/>
          <w:color w:val="0C0B0E"/>
          <w:sz w:val="21"/>
          <w:szCs w:val="21"/>
          <w:lang w:val="es-MX" w:eastAsia="en-US"/>
        </w:rPr>
        <w:t>, inciso b, de la Constitución Política de los Estados Unidos Mexicanos establece al alumbrado público como uno de los servicios públicos que los municipios tienen a su cargo. Por su parte, a nivel local, en el artículo 117 de la Constitución Política para el Estado de Guanajuato se dispone la misma responsabilidad para este ámbito de gobierno.</w:t>
      </w:r>
    </w:p>
    <w:p w14:paraId="662B1A02" w14:textId="77777777" w:rsidR="000B3729" w:rsidRPr="008C078F" w:rsidRDefault="000B3729" w:rsidP="000B3729">
      <w:pPr>
        <w:autoSpaceDE w:val="0"/>
        <w:autoSpaceDN w:val="0"/>
        <w:adjustRightInd w:val="0"/>
        <w:jc w:val="both"/>
        <w:rPr>
          <w:rFonts w:ascii="Abadi" w:eastAsia="Calibri" w:hAnsi="Abadi" w:cs="*Arial-6620-Identity-H"/>
          <w:color w:val="0C0B0E"/>
          <w:sz w:val="21"/>
          <w:szCs w:val="21"/>
          <w:lang w:val="es-MX" w:eastAsia="en-US"/>
        </w:rPr>
      </w:pPr>
    </w:p>
    <w:p w14:paraId="1E91BC89" w14:textId="0B0C70C2" w:rsidR="000B3729" w:rsidRPr="008C078F" w:rsidRDefault="000B3729" w:rsidP="000B3729">
      <w:pPr>
        <w:autoSpaceDE w:val="0"/>
        <w:autoSpaceDN w:val="0"/>
        <w:adjustRightInd w:val="0"/>
        <w:ind w:firstLine="708"/>
        <w:jc w:val="both"/>
        <w:rPr>
          <w:rFonts w:ascii="Abadi" w:eastAsia="Calibri" w:hAnsi="Abadi" w:cs="*Arial-6620-Identity-H"/>
          <w:color w:val="0C0B0E"/>
          <w:sz w:val="21"/>
          <w:szCs w:val="21"/>
          <w:lang w:val="es-MX" w:eastAsia="en-US"/>
        </w:rPr>
      </w:pPr>
      <w:r w:rsidRPr="008C078F">
        <w:rPr>
          <w:rFonts w:ascii="Abadi" w:eastAsia="Calibri" w:hAnsi="Abadi" w:cs="*Arial-6620-Identity-H"/>
          <w:color w:val="0D0D10"/>
          <w:sz w:val="21"/>
          <w:szCs w:val="21"/>
          <w:lang w:val="es-MX" w:eastAsia="en-US"/>
        </w:rPr>
        <w:t xml:space="preserve">En este sentido, el alumbrado </w:t>
      </w:r>
      <w:proofErr w:type="gramStart"/>
      <w:r w:rsidRPr="008C078F">
        <w:rPr>
          <w:rFonts w:ascii="Abadi" w:eastAsia="Calibri" w:hAnsi="Abadi" w:cs="*Arial-6620-Identity-H"/>
          <w:color w:val="0D0D10"/>
          <w:sz w:val="21"/>
          <w:szCs w:val="21"/>
          <w:lang w:val="es-MX" w:eastAsia="en-US"/>
        </w:rPr>
        <w:t xml:space="preserve">público </w:t>
      </w:r>
      <w:r w:rsidR="007C589A">
        <w:rPr>
          <w:rFonts w:ascii="Abadi" w:eastAsia="Calibri" w:hAnsi="Abadi" w:cs="*Arial-6620-Identity-H"/>
          <w:color w:val="0D0D10"/>
          <w:sz w:val="21"/>
          <w:szCs w:val="21"/>
          <w:lang w:val="es-MX" w:eastAsia="en-US"/>
        </w:rPr>
        <w:t xml:space="preserve"> </w:t>
      </w:r>
      <w:r w:rsidRPr="008C078F">
        <w:rPr>
          <w:rFonts w:ascii="Abadi" w:eastAsia="Calibri" w:hAnsi="Abadi" w:cs="*Arial-6620-Identity-H"/>
          <w:color w:val="0D0D10"/>
          <w:sz w:val="21"/>
          <w:szCs w:val="21"/>
          <w:lang w:val="es-MX" w:eastAsia="en-US"/>
        </w:rPr>
        <w:t>es</w:t>
      </w:r>
      <w:proofErr w:type="gramEnd"/>
      <w:r w:rsidRPr="008C078F">
        <w:rPr>
          <w:rFonts w:ascii="Abadi" w:eastAsia="Calibri" w:hAnsi="Abadi" w:cs="*Arial-6620-Identity-H"/>
          <w:color w:val="0D0D10"/>
          <w:sz w:val="21"/>
          <w:szCs w:val="21"/>
          <w:lang w:val="es-MX" w:eastAsia="en-US"/>
        </w:rPr>
        <w:t xml:space="preserve"> un serv</w:t>
      </w:r>
      <w:r w:rsidR="007C589A">
        <w:rPr>
          <w:rFonts w:ascii="Abadi" w:eastAsia="Calibri" w:hAnsi="Abadi" w:cs="*Arial-6620-Identity-H"/>
          <w:color w:val="0D0D10"/>
          <w:sz w:val="21"/>
          <w:szCs w:val="21"/>
          <w:lang w:val="es-MX" w:eastAsia="en-US"/>
        </w:rPr>
        <w:t>icio</w:t>
      </w:r>
      <w:r w:rsidRPr="008C078F">
        <w:rPr>
          <w:rFonts w:ascii="Abadi" w:eastAsia="Calibri" w:hAnsi="Abadi" w:cs="*Arial-6620-Identity-H"/>
          <w:color w:val="0D0D10"/>
          <w:sz w:val="21"/>
          <w:szCs w:val="21"/>
          <w:lang w:val="es-MX" w:eastAsia="en-US"/>
        </w:rPr>
        <w:t xml:space="preserve"> que tiene como</w:t>
      </w:r>
      <w:r w:rsidRPr="008C078F">
        <w:rPr>
          <w:rFonts w:ascii="Abadi" w:eastAsia="Calibri" w:hAnsi="Abadi" w:cs="*Arial-6620-Identity-H"/>
          <w:color w:val="0C0B0E"/>
          <w:sz w:val="21"/>
          <w:szCs w:val="21"/>
          <w:lang w:val="es-MX" w:eastAsia="en-US"/>
        </w:rPr>
        <w:t xml:space="preserve"> </w:t>
      </w:r>
      <w:r w:rsidRPr="008C078F">
        <w:rPr>
          <w:rFonts w:ascii="Abadi" w:eastAsia="Calibri" w:hAnsi="Abadi" w:cs="*Arial-6620-Identity-H"/>
          <w:color w:val="0D0D10"/>
          <w:sz w:val="21"/>
          <w:szCs w:val="21"/>
          <w:lang w:val="es-MX" w:eastAsia="en-US"/>
        </w:rPr>
        <w:t>objetivo el desarrollo de un entorno cómodo y seguro para facilitar la movilidad de</w:t>
      </w:r>
      <w:r w:rsidRPr="008C078F">
        <w:rPr>
          <w:rFonts w:ascii="Abadi" w:eastAsia="Calibri" w:hAnsi="Abadi" w:cs="*Arial-6620-Identity-H"/>
          <w:color w:val="0C0B0E"/>
          <w:sz w:val="21"/>
          <w:szCs w:val="21"/>
          <w:lang w:val="es-MX" w:eastAsia="en-US"/>
        </w:rPr>
        <w:t xml:space="preserve"> </w:t>
      </w:r>
      <w:r w:rsidRPr="008C078F">
        <w:rPr>
          <w:rFonts w:ascii="Abadi" w:eastAsia="Calibri" w:hAnsi="Abadi" w:cs="*Arial-6620-Identity-H"/>
          <w:color w:val="0D0D10"/>
          <w:sz w:val="21"/>
          <w:szCs w:val="21"/>
          <w:lang w:val="es-MX" w:eastAsia="en-US"/>
        </w:rPr>
        <w:t>la población, el disfrute de la ciudad, del patrimonio cultural y de los espacios</w:t>
      </w:r>
      <w:r w:rsidRPr="008C078F">
        <w:rPr>
          <w:rFonts w:ascii="Abadi" w:eastAsia="Calibri" w:hAnsi="Abadi" w:cs="*Arial-6620-Identity-H"/>
          <w:color w:val="0C0B0E"/>
          <w:sz w:val="21"/>
          <w:szCs w:val="21"/>
          <w:lang w:val="es-MX" w:eastAsia="en-US"/>
        </w:rPr>
        <w:t xml:space="preserve"> </w:t>
      </w:r>
      <w:r w:rsidRPr="008C078F">
        <w:rPr>
          <w:rFonts w:ascii="Abadi" w:eastAsia="Calibri" w:hAnsi="Abadi" w:cs="*Arial-6620-Identity-H"/>
          <w:color w:val="0D0D10"/>
          <w:sz w:val="21"/>
          <w:szCs w:val="21"/>
          <w:lang w:val="es-MX" w:eastAsia="en-US"/>
        </w:rPr>
        <w:t>públicos; a su vez, mantiene una estrecha relación con la creación de condiciones</w:t>
      </w:r>
      <w:r w:rsidRPr="008C078F">
        <w:rPr>
          <w:rFonts w:ascii="Abadi" w:eastAsia="Calibri" w:hAnsi="Abadi" w:cs="*Arial-6620-Identity-H"/>
          <w:color w:val="0C0B0E"/>
          <w:sz w:val="21"/>
          <w:szCs w:val="21"/>
          <w:lang w:val="es-MX" w:eastAsia="en-US"/>
        </w:rPr>
        <w:t xml:space="preserve"> </w:t>
      </w:r>
      <w:r w:rsidRPr="008C078F">
        <w:rPr>
          <w:rFonts w:ascii="Abadi" w:eastAsia="Calibri" w:hAnsi="Abadi" w:cs="*Arial-6620-Identity-H"/>
          <w:color w:val="0D0D10"/>
          <w:sz w:val="21"/>
          <w:szCs w:val="21"/>
          <w:lang w:val="es-MX" w:eastAsia="en-US"/>
        </w:rPr>
        <w:t>de seguridad en la vida cotidiana de la población, esto último por considerase un</w:t>
      </w:r>
      <w:r w:rsidRPr="008C078F">
        <w:rPr>
          <w:rFonts w:ascii="Abadi" w:eastAsia="Calibri" w:hAnsi="Abadi" w:cs="*Arial-6620-Identity-H"/>
          <w:color w:val="0C0B0E"/>
          <w:sz w:val="21"/>
          <w:szCs w:val="21"/>
          <w:lang w:val="es-MX" w:eastAsia="en-US"/>
        </w:rPr>
        <w:t xml:space="preserve"> </w:t>
      </w:r>
      <w:r w:rsidRPr="008C078F">
        <w:rPr>
          <w:rFonts w:ascii="Abadi" w:eastAsia="Calibri" w:hAnsi="Abadi" w:cs="*Arial-6620-Identity-H"/>
          <w:color w:val="0D0D10"/>
          <w:sz w:val="21"/>
          <w:szCs w:val="21"/>
          <w:lang w:val="es-MX" w:eastAsia="en-US"/>
        </w:rPr>
        <w:t>factor que contribuye a reducir la percepción de inseguridad.</w:t>
      </w:r>
    </w:p>
    <w:p w14:paraId="57FA8645" w14:textId="77777777" w:rsidR="000B3729" w:rsidRPr="008C078F" w:rsidRDefault="000B3729" w:rsidP="000B3729">
      <w:pPr>
        <w:autoSpaceDE w:val="0"/>
        <w:autoSpaceDN w:val="0"/>
        <w:adjustRightInd w:val="0"/>
        <w:jc w:val="both"/>
        <w:rPr>
          <w:rFonts w:ascii="Abadi" w:eastAsia="Calibri" w:hAnsi="Abadi" w:cs="*Microsoft Sans Serif-Bold-6786"/>
          <w:b/>
          <w:bCs/>
          <w:color w:val="232429"/>
          <w:sz w:val="21"/>
          <w:szCs w:val="21"/>
          <w:lang w:val="es-MX" w:eastAsia="en-US"/>
        </w:rPr>
      </w:pPr>
    </w:p>
    <w:p w14:paraId="40FDEF3D" w14:textId="77777777" w:rsidR="000B3729" w:rsidRPr="008C078F" w:rsidRDefault="000B3729" w:rsidP="000B3729">
      <w:pPr>
        <w:autoSpaceDE w:val="0"/>
        <w:autoSpaceDN w:val="0"/>
        <w:adjustRightInd w:val="0"/>
        <w:ind w:firstLine="708"/>
        <w:jc w:val="both"/>
        <w:rPr>
          <w:rFonts w:ascii="Abadi" w:eastAsia="Calibri" w:hAnsi="Abadi" w:cs="*Arial-6784-Identity-H"/>
          <w:color w:val="0C0B0E"/>
          <w:sz w:val="21"/>
          <w:szCs w:val="21"/>
          <w:lang w:val="es-MX" w:eastAsia="en-US"/>
        </w:rPr>
      </w:pPr>
      <w:r w:rsidRPr="008C078F">
        <w:rPr>
          <w:rFonts w:ascii="Abadi" w:eastAsia="Calibri" w:hAnsi="Abadi" w:cs="*Arial-6784-Identity-H"/>
          <w:color w:val="0C0B0E"/>
          <w:sz w:val="21"/>
          <w:szCs w:val="21"/>
          <w:lang w:val="es-MX" w:eastAsia="en-US"/>
        </w:rPr>
        <w:t>Derivado de lo anterior, el adecuado desempeño de los servicios públicos incide en la calidad de vida de los habitantes y, por ello, es conveniente que se administre bajo modelos de gestión orientados a los resultados que garanticen su adecuada operación, permanencia, continuidad, uniformidad e igualdad ante los usuarios, asegurando una cobertura integral y una oferta al alcance de la población municipal que lo requiera.</w:t>
      </w:r>
    </w:p>
    <w:p w14:paraId="68CFDFC2" w14:textId="77777777" w:rsidR="000B3729" w:rsidRPr="008C078F" w:rsidRDefault="000B3729" w:rsidP="000B3729">
      <w:pPr>
        <w:autoSpaceDE w:val="0"/>
        <w:autoSpaceDN w:val="0"/>
        <w:adjustRightInd w:val="0"/>
        <w:jc w:val="both"/>
        <w:rPr>
          <w:rFonts w:ascii="Abadi" w:eastAsia="Calibri" w:hAnsi="Abadi" w:cs="*Arial-6784-Identity-H"/>
          <w:color w:val="0C0C0E"/>
          <w:sz w:val="21"/>
          <w:szCs w:val="21"/>
          <w:lang w:val="es-MX" w:eastAsia="en-US"/>
        </w:rPr>
      </w:pPr>
    </w:p>
    <w:p w14:paraId="09C80533" w14:textId="77777777" w:rsidR="000B3729" w:rsidRPr="008C078F" w:rsidRDefault="000B3729" w:rsidP="000B3729">
      <w:pPr>
        <w:autoSpaceDE w:val="0"/>
        <w:autoSpaceDN w:val="0"/>
        <w:adjustRightInd w:val="0"/>
        <w:ind w:firstLine="708"/>
        <w:jc w:val="both"/>
        <w:rPr>
          <w:rFonts w:ascii="Abadi" w:eastAsia="Calibri" w:hAnsi="Abadi" w:cs="*Arial-6784-Identity-H"/>
          <w:color w:val="0C0C0E"/>
          <w:sz w:val="21"/>
          <w:szCs w:val="21"/>
          <w:lang w:val="es-MX" w:eastAsia="en-US"/>
        </w:rPr>
      </w:pPr>
      <w:r w:rsidRPr="008C078F">
        <w:rPr>
          <w:rFonts w:ascii="Abadi" w:eastAsia="Calibri" w:hAnsi="Abadi" w:cs="*Arial-6784-Identity-H"/>
          <w:color w:val="0C0C0E"/>
          <w:sz w:val="21"/>
          <w:szCs w:val="21"/>
          <w:lang w:val="es-MX" w:eastAsia="en-US"/>
        </w:rPr>
        <w:t xml:space="preserve">Es así que en el caso que nos ocupa, se definió el objetivo general de la auditoria con el propósito de verificar la capacidad del municipio de Salvatierra, </w:t>
      </w:r>
      <w:proofErr w:type="spellStart"/>
      <w:r w:rsidRPr="008C078F">
        <w:rPr>
          <w:rFonts w:ascii="Abadi" w:eastAsia="Calibri" w:hAnsi="Abadi" w:cs="*Arial-6784-Identity-H"/>
          <w:color w:val="0C0C0E"/>
          <w:sz w:val="21"/>
          <w:szCs w:val="21"/>
          <w:lang w:val="es-MX" w:eastAsia="en-US"/>
        </w:rPr>
        <w:t>Gto</w:t>
      </w:r>
      <w:proofErr w:type="spellEnd"/>
      <w:r w:rsidRPr="008C078F">
        <w:rPr>
          <w:rFonts w:ascii="Abadi" w:eastAsia="Calibri" w:hAnsi="Abadi" w:cs="*Arial-6784-Identity-H"/>
          <w:color w:val="0C0C0E"/>
          <w:sz w:val="21"/>
          <w:szCs w:val="21"/>
          <w:lang w:val="es-MX" w:eastAsia="en-US"/>
        </w:rPr>
        <w:t xml:space="preserve">., para lograr una prestación eficaz del servicio de alumbrado público a su población, </w:t>
      </w:r>
      <w:proofErr w:type="spellStart"/>
      <w:r w:rsidRPr="008C078F">
        <w:rPr>
          <w:rFonts w:ascii="Abadi" w:eastAsia="Calibri" w:hAnsi="Abadi" w:cs="*Arial-6784-Identity-H"/>
          <w:color w:val="0C0C0E"/>
          <w:sz w:val="21"/>
          <w:szCs w:val="21"/>
          <w:lang w:val="es-MX" w:eastAsia="en-US"/>
        </w:rPr>
        <w:t>asi</w:t>
      </w:r>
      <w:proofErr w:type="spellEnd"/>
      <w:r w:rsidRPr="008C078F">
        <w:rPr>
          <w:rFonts w:ascii="Abadi" w:eastAsia="Calibri" w:hAnsi="Abadi" w:cs="*Arial-6784-Identity-H"/>
          <w:color w:val="0C0C0E"/>
          <w:sz w:val="21"/>
          <w:szCs w:val="21"/>
          <w:lang w:val="es-MX" w:eastAsia="en-US"/>
        </w:rPr>
        <w:t xml:space="preserve"> como de conocer si las funciones de planificación, operación y seguimiento se desarrollaron bajo el principio de eficiencia, ya que de ello depende el grado de satisfacción de la comunidad.</w:t>
      </w:r>
    </w:p>
    <w:p w14:paraId="597C2255" w14:textId="77777777" w:rsidR="000B3729" w:rsidRPr="008C078F" w:rsidRDefault="000B3729" w:rsidP="000B3729">
      <w:pPr>
        <w:autoSpaceDE w:val="0"/>
        <w:autoSpaceDN w:val="0"/>
        <w:adjustRightInd w:val="0"/>
        <w:jc w:val="both"/>
        <w:rPr>
          <w:rFonts w:ascii="Abadi" w:eastAsia="Calibri" w:hAnsi="Abadi" w:cs="*Arial-6784-Identity-H"/>
          <w:color w:val="0C0C0F"/>
          <w:sz w:val="21"/>
          <w:szCs w:val="21"/>
          <w:lang w:val="es-MX" w:eastAsia="en-US"/>
        </w:rPr>
      </w:pPr>
    </w:p>
    <w:p w14:paraId="0A3E088C" w14:textId="77777777" w:rsidR="000B3729" w:rsidRPr="008C078F" w:rsidRDefault="000B3729" w:rsidP="000B3729">
      <w:pPr>
        <w:autoSpaceDE w:val="0"/>
        <w:autoSpaceDN w:val="0"/>
        <w:adjustRightInd w:val="0"/>
        <w:ind w:firstLine="708"/>
        <w:jc w:val="both"/>
        <w:rPr>
          <w:rFonts w:ascii="Abadi" w:eastAsia="Calibri" w:hAnsi="Abadi" w:cs="*Arial-6784-Identity-H"/>
          <w:color w:val="0C0C0F"/>
          <w:sz w:val="21"/>
          <w:szCs w:val="21"/>
          <w:lang w:val="es-MX" w:eastAsia="en-US"/>
        </w:rPr>
      </w:pPr>
      <w:r w:rsidRPr="008C078F">
        <w:rPr>
          <w:rFonts w:ascii="Abadi" w:eastAsia="Calibri" w:hAnsi="Abadi" w:cs="*Arial-6784-Identity-H"/>
          <w:color w:val="0C0C0F"/>
          <w:sz w:val="21"/>
          <w:szCs w:val="21"/>
          <w:lang w:val="es-MX" w:eastAsia="en-US"/>
        </w:rPr>
        <w:t>Para su consecución, las labores de la Auditoría Superior del Estado consideraron la verificación de la existencia de procesos diagnósticos o de planificación que permitieran a la administración municipal conocer la oferta del servicio y las brechas por cubrir, definir la estimación de recursos para una adecuada operación y la definición de metas y objetivos orientados a la mejora del servicio; respecto de la operación, se consideró la verificación del establecimiento de un marco normativo adecuado y vigente, la programación de actividades y su consecución, los mecanismos de atención ciudadana para el reporte de fallas y los resultados en la cobertura, mantenimiento y satisfacción. También se revisaron los mecanismos de monitoreo y evaluación, con el objetivo de analizar el desempeño del Municipio en el otorgamiento del servicio, y verificar la eficiencia y la eficacia del alumbrado público municipal en beneficio de la ciudadanía.</w:t>
      </w:r>
    </w:p>
    <w:p w14:paraId="08DAAB65" w14:textId="77777777" w:rsidR="000B3729" w:rsidRPr="008C078F" w:rsidRDefault="000B3729" w:rsidP="000B3729">
      <w:pPr>
        <w:autoSpaceDE w:val="0"/>
        <w:autoSpaceDN w:val="0"/>
        <w:adjustRightInd w:val="0"/>
        <w:jc w:val="both"/>
        <w:rPr>
          <w:rFonts w:ascii="Abadi" w:eastAsia="Calibri" w:hAnsi="Abadi" w:cs="*Arial-6784-Identity-H"/>
          <w:color w:val="0D0C0F"/>
          <w:sz w:val="21"/>
          <w:szCs w:val="21"/>
          <w:lang w:val="es-MX" w:eastAsia="en-US"/>
        </w:rPr>
      </w:pPr>
    </w:p>
    <w:p w14:paraId="47EDEE93" w14:textId="77777777" w:rsidR="000B3729" w:rsidRPr="008C078F" w:rsidRDefault="000B3729" w:rsidP="000B3729">
      <w:pPr>
        <w:autoSpaceDE w:val="0"/>
        <w:autoSpaceDN w:val="0"/>
        <w:adjustRightInd w:val="0"/>
        <w:ind w:firstLine="708"/>
        <w:jc w:val="both"/>
        <w:rPr>
          <w:rFonts w:ascii="Abadi" w:eastAsia="Calibri" w:hAnsi="Abadi" w:cs="*Arial-6784-Identity-H"/>
          <w:color w:val="0D0C0F"/>
          <w:sz w:val="21"/>
          <w:szCs w:val="21"/>
          <w:lang w:val="es-MX" w:eastAsia="en-US"/>
        </w:rPr>
      </w:pPr>
      <w:r w:rsidRPr="008C078F">
        <w:rPr>
          <w:rFonts w:ascii="Abadi" w:eastAsia="Calibri" w:hAnsi="Abadi" w:cs="*Arial-6784-Identity-H"/>
          <w:color w:val="0D0C0F"/>
          <w:sz w:val="21"/>
          <w:szCs w:val="21"/>
          <w:lang w:val="es-MX" w:eastAsia="en-US"/>
        </w:rPr>
        <w:t xml:space="preserve">Asimismo, se hace constar que la administración pública municipal de Salvatierra, </w:t>
      </w:r>
      <w:proofErr w:type="spellStart"/>
      <w:r w:rsidRPr="008C078F">
        <w:rPr>
          <w:rFonts w:ascii="Abadi" w:eastAsia="Calibri" w:hAnsi="Abadi" w:cs="*Arial-6784-Identity-H"/>
          <w:color w:val="0D0C0F"/>
          <w:sz w:val="21"/>
          <w:szCs w:val="21"/>
          <w:lang w:val="es-MX" w:eastAsia="en-US"/>
        </w:rPr>
        <w:t>Gto</w:t>
      </w:r>
      <w:proofErr w:type="spellEnd"/>
      <w:r w:rsidRPr="008C078F">
        <w:rPr>
          <w:rFonts w:ascii="Abadi" w:eastAsia="Calibri" w:hAnsi="Abadi" w:cs="*Arial-6784-Identity-H"/>
          <w:color w:val="0D0C0F"/>
          <w:sz w:val="21"/>
          <w:szCs w:val="21"/>
          <w:lang w:val="es-MX" w:eastAsia="en-US"/>
        </w:rPr>
        <w:t>., implementó acciones para otorgar el servicio de alumbrado público a la población, destacando entre sus fortalezas que contó con un programa presupuestario referente al servicio de alumbrado público. Sin embargo, existe evidencia que la gestión en el servicio de alumbrado público presentó áreas de oportunidad.</w:t>
      </w:r>
    </w:p>
    <w:p w14:paraId="0DE64FAD" w14:textId="77777777" w:rsidR="000B3729" w:rsidRPr="008C078F" w:rsidRDefault="000B3729" w:rsidP="000B3729">
      <w:pPr>
        <w:autoSpaceDE w:val="0"/>
        <w:autoSpaceDN w:val="0"/>
        <w:adjustRightInd w:val="0"/>
        <w:jc w:val="both"/>
        <w:rPr>
          <w:rFonts w:ascii="Abadi" w:eastAsia="Calibri" w:hAnsi="Abadi" w:cs="*Arial-6784-Identity-H"/>
          <w:color w:val="0D0D0F"/>
          <w:sz w:val="21"/>
          <w:szCs w:val="21"/>
          <w:lang w:val="es-MX" w:eastAsia="en-US"/>
        </w:rPr>
      </w:pPr>
    </w:p>
    <w:p w14:paraId="578B6442" w14:textId="77777777" w:rsidR="000B3729" w:rsidRPr="008C078F" w:rsidRDefault="000B3729" w:rsidP="000B3729">
      <w:pPr>
        <w:autoSpaceDE w:val="0"/>
        <w:autoSpaceDN w:val="0"/>
        <w:adjustRightInd w:val="0"/>
        <w:ind w:firstLine="708"/>
        <w:jc w:val="both"/>
        <w:rPr>
          <w:rFonts w:ascii="Abadi" w:eastAsia="Calibri" w:hAnsi="Abadi" w:cs="*Arial-6784-Identity-H"/>
          <w:color w:val="0D0D0F"/>
          <w:sz w:val="21"/>
          <w:szCs w:val="21"/>
          <w:lang w:val="es-MX" w:eastAsia="en-US"/>
        </w:rPr>
      </w:pPr>
      <w:r w:rsidRPr="008C078F">
        <w:rPr>
          <w:rFonts w:ascii="Abadi" w:eastAsia="Calibri" w:hAnsi="Abadi" w:cs="*Arial-6784-Identity-H"/>
          <w:color w:val="0D0D0F"/>
          <w:sz w:val="21"/>
          <w:szCs w:val="21"/>
          <w:lang w:val="es-MX" w:eastAsia="en-US"/>
        </w:rPr>
        <w:t>En cuanto a la gestión de la planificación se establece que el sujeto fiscalizado careció de información censal actualizada que le permitiera conocer la cantidad de luminarias con las que contó en el ejercicio 2020, y en consecuencia generar estrategias preventivas para ofertar de manera constante el servicio de alumbrado público.</w:t>
      </w:r>
    </w:p>
    <w:p w14:paraId="19920B99" w14:textId="77777777" w:rsidR="000B3729" w:rsidRPr="008C078F" w:rsidRDefault="000B3729" w:rsidP="000B3729">
      <w:pPr>
        <w:autoSpaceDE w:val="0"/>
        <w:autoSpaceDN w:val="0"/>
        <w:adjustRightInd w:val="0"/>
        <w:jc w:val="both"/>
        <w:rPr>
          <w:rFonts w:ascii="Abadi" w:eastAsia="Calibri" w:hAnsi="Abadi" w:cs="*Times New Roman-Italic-7288-Id"/>
          <w:i/>
          <w:iCs/>
          <w:color w:val="23222B"/>
          <w:sz w:val="21"/>
          <w:szCs w:val="21"/>
          <w:lang w:val="es-MX" w:eastAsia="en-US"/>
        </w:rPr>
      </w:pPr>
    </w:p>
    <w:p w14:paraId="12D3BB56" w14:textId="77777777" w:rsidR="000B3729" w:rsidRPr="008C078F" w:rsidRDefault="000B3729" w:rsidP="000B3729">
      <w:pPr>
        <w:autoSpaceDE w:val="0"/>
        <w:autoSpaceDN w:val="0"/>
        <w:adjustRightInd w:val="0"/>
        <w:ind w:firstLine="708"/>
        <w:jc w:val="both"/>
        <w:rPr>
          <w:rFonts w:ascii="Abadi" w:eastAsia="Calibri" w:hAnsi="Abadi" w:cs="*Arial-7290-Identity-H"/>
          <w:color w:val="0D0C0F"/>
          <w:sz w:val="21"/>
          <w:szCs w:val="21"/>
          <w:lang w:val="es-MX" w:eastAsia="en-US"/>
        </w:rPr>
      </w:pPr>
      <w:r w:rsidRPr="008C078F">
        <w:rPr>
          <w:rFonts w:ascii="Abadi" w:eastAsia="Calibri" w:hAnsi="Abadi" w:cs="*Arial-7290-Identity-H"/>
          <w:color w:val="0D0C0F"/>
          <w:sz w:val="21"/>
          <w:szCs w:val="21"/>
          <w:lang w:val="es-MX" w:eastAsia="en-US"/>
        </w:rPr>
        <w:t>Asimismo, se refiere que en la planeación municipal no se consideró explícitamente como prioritario el tema del servicio de alumbrado público, generando la falta de planteamiento de objetivos, estrategias y líneas de acción para su atención y seguimiento. Por otra parte, sobre la preparación del gobierno municipal para la implementación de la Agenda 2030, se constató un grado nulo de preparación, debido a que no se evidenciaron acciones que favorecieran la adopción de los Objetivos de Desarrollo Sostenible en las políticas locales.</w:t>
      </w:r>
    </w:p>
    <w:p w14:paraId="5FC6820B" w14:textId="77777777" w:rsidR="000B3729" w:rsidRPr="008C078F" w:rsidRDefault="000B3729" w:rsidP="000B3729">
      <w:pPr>
        <w:autoSpaceDE w:val="0"/>
        <w:autoSpaceDN w:val="0"/>
        <w:adjustRightInd w:val="0"/>
        <w:jc w:val="both"/>
        <w:rPr>
          <w:rFonts w:ascii="Abadi" w:eastAsia="Calibri" w:hAnsi="Abadi" w:cs="*Arial-7290-Identity-H"/>
          <w:color w:val="0D0C0F"/>
          <w:sz w:val="21"/>
          <w:szCs w:val="21"/>
          <w:lang w:val="es-MX" w:eastAsia="en-US"/>
        </w:rPr>
      </w:pPr>
    </w:p>
    <w:p w14:paraId="5D77DBDA" w14:textId="77777777" w:rsidR="000B3729" w:rsidRPr="008C078F" w:rsidRDefault="000B3729" w:rsidP="000B3729">
      <w:pPr>
        <w:autoSpaceDE w:val="0"/>
        <w:autoSpaceDN w:val="0"/>
        <w:adjustRightInd w:val="0"/>
        <w:ind w:firstLine="708"/>
        <w:jc w:val="both"/>
        <w:rPr>
          <w:rFonts w:ascii="Abadi" w:eastAsia="Calibri" w:hAnsi="Abadi" w:cs="*Arial-7290-Identity-H"/>
          <w:color w:val="0D0C0F"/>
          <w:sz w:val="21"/>
          <w:szCs w:val="21"/>
          <w:lang w:val="es-MX" w:eastAsia="en-US"/>
        </w:rPr>
      </w:pPr>
      <w:r w:rsidRPr="008C078F">
        <w:rPr>
          <w:rFonts w:ascii="Abadi" w:eastAsia="Calibri" w:hAnsi="Abadi" w:cs="*Arial-7290-Identity-H"/>
          <w:color w:val="0D0C0F"/>
          <w:sz w:val="21"/>
          <w:szCs w:val="21"/>
          <w:lang w:val="es-MX" w:eastAsia="en-US"/>
        </w:rPr>
        <w:t xml:space="preserve">Por lo que hace a la función de la operación del servicio de alumbrado público, se reconoce que su finalidad es su eficiente y eficaz funcionamiento, de lo cual depende la definición clara de procesos clave y documentos normativos que garanticen su operatividad; de contar con programas anuales orientados a la mejora y de brindar un servicio y una atención de calidad a la población. En este sentido, de la situación observada en la operación del servicio en el municipio de Salvatierra, </w:t>
      </w:r>
      <w:proofErr w:type="spellStart"/>
      <w:r w:rsidRPr="008C078F">
        <w:rPr>
          <w:rFonts w:ascii="Abadi" w:eastAsia="Calibri" w:hAnsi="Abadi" w:cs="*Arial-7290-Identity-H"/>
          <w:color w:val="0D0C0F"/>
          <w:sz w:val="21"/>
          <w:szCs w:val="21"/>
          <w:lang w:val="es-MX" w:eastAsia="en-US"/>
        </w:rPr>
        <w:t>Gto</w:t>
      </w:r>
      <w:proofErr w:type="spellEnd"/>
      <w:r w:rsidRPr="008C078F">
        <w:rPr>
          <w:rFonts w:ascii="Abadi" w:eastAsia="Calibri" w:hAnsi="Abadi" w:cs="*Arial-7290-Identity-H"/>
          <w:color w:val="0D0C0F"/>
          <w:sz w:val="21"/>
          <w:szCs w:val="21"/>
          <w:lang w:val="es-MX" w:eastAsia="en-US"/>
        </w:rPr>
        <w:t>., se constató que el sujeto fiscalizado tiene avances en materia normativa al contar con un Reglamento Interno de la Administración Pública Municipal; sin embargo, tiene la oportunidad de mejorar los manuales de operación y de organización, así como de definir los procesos clave en la prestación del servicio, que le permita vigilar el cumplimiento de objetivos y metas en el alumbrado público.</w:t>
      </w:r>
    </w:p>
    <w:p w14:paraId="5A3A1DB3" w14:textId="77777777" w:rsidR="000B3729" w:rsidRPr="008C078F" w:rsidRDefault="000B3729" w:rsidP="000B3729">
      <w:pPr>
        <w:autoSpaceDE w:val="0"/>
        <w:autoSpaceDN w:val="0"/>
        <w:adjustRightInd w:val="0"/>
        <w:jc w:val="both"/>
        <w:rPr>
          <w:rFonts w:ascii="Abadi" w:eastAsia="Calibri" w:hAnsi="Abadi" w:cs="*Arial-7290-Identity-H"/>
          <w:color w:val="0C0C0E"/>
          <w:sz w:val="21"/>
          <w:szCs w:val="21"/>
          <w:lang w:val="es-MX" w:eastAsia="en-US"/>
        </w:rPr>
      </w:pPr>
    </w:p>
    <w:p w14:paraId="02923E43" w14:textId="77777777" w:rsidR="000B3729" w:rsidRPr="008C078F" w:rsidRDefault="000B3729" w:rsidP="000B3729">
      <w:pPr>
        <w:autoSpaceDE w:val="0"/>
        <w:autoSpaceDN w:val="0"/>
        <w:adjustRightInd w:val="0"/>
        <w:ind w:firstLine="708"/>
        <w:jc w:val="both"/>
        <w:rPr>
          <w:rFonts w:ascii="Abadi" w:eastAsia="Calibri" w:hAnsi="Abadi" w:cs="*Arial-7290-Identity-H"/>
          <w:color w:val="0C0C0E"/>
          <w:sz w:val="21"/>
          <w:szCs w:val="21"/>
          <w:lang w:val="es-MX" w:eastAsia="en-US"/>
        </w:rPr>
      </w:pPr>
      <w:r w:rsidRPr="008C078F">
        <w:rPr>
          <w:rFonts w:ascii="Abadi" w:eastAsia="Calibri" w:hAnsi="Abadi" w:cs="*Arial-7290-Identity-H"/>
          <w:color w:val="0C0C0E"/>
          <w:sz w:val="21"/>
          <w:szCs w:val="21"/>
          <w:lang w:val="es-MX" w:eastAsia="en-US"/>
        </w:rPr>
        <w:t>De igual forma, se identificaron áreas de oportunidad al no contar con un Programa Operativo Anual, que le permitiera al sujeto fiscalizado contar con una herramienta sólida de planeación, seguimiento y monitoreo para la gestión del servicio de alumbrado público municipal, que establezca los objetivos estratégicos y específicos del programa; los procesos y las actividades conforme a la normativa de implementación y operativa que regula la prestación de dicho servicio público, así como los indicadores, metas y cronogramas o calendarización de las actividades y procesos sustantivos, a fin de reflejar los resultados y los productos del servicio de alumbrado público en el Municipio y contribuir a elevar el nivel de vida de los habitantes.</w:t>
      </w:r>
    </w:p>
    <w:p w14:paraId="3F6B48D6" w14:textId="77777777" w:rsidR="000B3729" w:rsidRPr="008C078F" w:rsidRDefault="000B3729" w:rsidP="000B3729">
      <w:pPr>
        <w:autoSpaceDE w:val="0"/>
        <w:autoSpaceDN w:val="0"/>
        <w:adjustRightInd w:val="0"/>
        <w:jc w:val="both"/>
        <w:rPr>
          <w:rFonts w:ascii="Abadi" w:eastAsia="Calibri" w:hAnsi="Abadi" w:cs="*Arial-7290-Identity-H"/>
          <w:color w:val="0C0C0F"/>
          <w:sz w:val="21"/>
          <w:szCs w:val="21"/>
          <w:lang w:val="es-MX" w:eastAsia="en-US"/>
        </w:rPr>
      </w:pPr>
    </w:p>
    <w:p w14:paraId="11D611F0" w14:textId="77777777" w:rsidR="000B3729" w:rsidRPr="008C078F" w:rsidRDefault="000B3729" w:rsidP="000B3729">
      <w:pPr>
        <w:autoSpaceDE w:val="0"/>
        <w:autoSpaceDN w:val="0"/>
        <w:adjustRightInd w:val="0"/>
        <w:ind w:firstLine="708"/>
        <w:jc w:val="both"/>
        <w:rPr>
          <w:rFonts w:ascii="Abadi" w:eastAsia="Calibri" w:hAnsi="Abadi" w:cs="*Arial-7290-Identity-H"/>
          <w:color w:val="0C0C0F"/>
          <w:sz w:val="21"/>
          <w:szCs w:val="21"/>
          <w:lang w:val="es-MX" w:eastAsia="en-US"/>
        </w:rPr>
      </w:pPr>
      <w:r w:rsidRPr="008C078F">
        <w:rPr>
          <w:rFonts w:ascii="Abadi" w:eastAsia="Calibri" w:hAnsi="Abadi" w:cs="*Arial-7290-Identity-H"/>
          <w:color w:val="0C0C0F"/>
          <w:sz w:val="21"/>
          <w:szCs w:val="21"/>
          <w:lang w:val="es-MX" w:eastAsia="en-US"/>
        </w:rPr>
        <w:t xml:space="preserve">Es así que si bien, el sujeto fiscalizado contó con un mecanismo para la atención de los reportes ciudadanos en el servicio de alumbrado público, se identificaron deficiencias en los mecanismos de recopilación de la información al no presentarse en su totalidad, así como en la sistematización de la misma, ocasionando que el sujeto fiscalizado no realizara una valoración confiable sobre la efectividad de los servicios de mantenimiento, en la cobertura del servicio y en el nivel de satisfacción ciudadana, lo que limitó conocer la capacidad del sujeto </w:t>
      </w:r>
      <w:r w:rsidRPr="008C078F">
        <w:rPr>
          <w:rFonts w:ascii="Abadi" w:eastAsia="Calibri" w:hAnsi="Abadi" w:cs="*Arial-6730-Identity-H"/>
          <w:color w:val="0C0C0F"/>
          <w:sz w:val="21"/>
          <w:szCs w:val="21"/>
          <w:lang w:val="es-MX" w:eastAsia="en-US"/>
        </w:rPr>
        <w:t>fiscalizado para garantizar una prestación permanente y efectiva del servicio de</w:t>
      </w:r>
      <w:r w:rsidRPr="008C078F">
        <w:rPr>
          <w:rFonts w:ascii="Abadi" w:eastAsia="Calibri" w:hAnsi="Abadi" w:cs="*Arial-7290-Identity-H"/>
          <w:color w:val="0C0C0F"/>
          <w:sz w:val="21"/>
          <w:szCs w:val="21"/>
          <w:lang w:val="es-MX" w:eastAsia="en-US"/>
        </w:rPr>
        <w:t xml:space="preserve"> </w:t>
      </w:r>
      <w:r w:rsidRPr="008C078F">
        <w:rPr>
          <w:rFonts w:ascii="Abadi" w:eastAsia="Calibri" w:hAnsi="Abadi" w:cs="*Arial-6730-Identity-H"/>
          <w:color w:val="0C0C0F"/>
          <w:sz w:val="21"/>
          <w:szCs w:val="21"/>
          <w:lang w:val="es-MX" w:eastAsia="en-US"/>
        </w:rPr>
        <w:t>alumbrado público.</w:t>
      </w:r>
    </w:p>
    <w:p w14:paraId="71EF4C90" w14:textId="774E75A6" w:rsidR="000B3729" w:rsidRPr="008C078F" w:rsidRDefault="000B3729" w:rsidP="000B3729">
      <w:pPr>
        <w:autoSpaceDE w:val="0"/>
        <w:autoSpaceDN w:val="0"/>
        <w:adjustRightInd w:val="0"/>
        <w:ind w:firstLine="708"/>
        <w:jc w:val="both"/>
        <w:rPr>
          <w:rFonts w:ascii="Abadi" w:eastAsia="Calibri" w:hAnsi="Abadi" w:cs="*Arial-6730-Identity-H"/>
          <w:color w:val="0D0D10"/>
          <w:sz w:val="21"/>
          <w:szCs w:val="21"/>
          <w:lang w:val="es-MX" w:eastAsia="en-US"/>
        </w:rPr>
      </w:pPr>
      <w:r w:rsidRPr="008C078F">
        <w:rPr>
          <w:rFonts w:ascii="Abadi" w:eastAsia="Calibri" w:hAnsi="Abadi" w:cs="*Arial-6730-Identity-H"/>
          <w:color w:val="0D0D10"/>
          <w:sz w:val="21"/>
          <w:szCs w:val="21"/>
          <w:lang w:val="es-MX" w:eastAsia="en-US"/>
        </w:rPr>
        <w:t>En el caso de la función de seguimiento, la revisión se enfocó en constatar si el sujeto fiscalizado contó con mecanismos que permitieran medir el desempeño y los resultados del servicio de alumbrado público, obteniendo como principal hallazgo que la instancia responsable no contó con un plan estratégico de mantenimiento e indicadores al respecto. Aunado a que careció de una Matriz de Indicadores para R</w:t>
      </w:r>
      <w:r w:rsidRPr="008C078F">
        <w:rPr>
          <w:rFonts w:ascii="Abadi" w:eastAsia="Abadi" w:hAnsi="Abadi" w:cs="Abadi"/>
          <w:color w:val="0D0D10"/>
          <w:sz w:val="21"/>
          <w:szCs w:val="21"/>
          <w:lang w:val="es-MX" w:eastAsia="en-US"/>
        </w:rPr>
        <w:t>e</w:t>
      </w:r>
      <w:r w:rsidRPr="008C078F">
        <w:rPr>
          <w:rFonts w:ascii="Abadi" w:eastAsia="Calibri" w:hAnsi="Abadi" w:cs="*Arial-6730-Identity-H"/>
          <w:color w:val="0D0D10"/>
          <w:sz w:val="21"/>
          <w:szCs w:val="21"/>
          <w:lang w:val="es-MX" w:eastAsia="en-US"/>
        </w:rPr>
        <w:t>sultados con metas asociadas a los procesos y resultados del sistema de alumbrado público. En razón de lo anterior, se cuenta con un área de oportunidad para diseñar e incorporar mecanismos de monitoreo y evaluación para medir y dar seguimiento a los resultados de las acciones realizadas por la Dirección de Servicios Públicos Municipales.</w:t>
      </w:r>
    </w:p>
    <w:p w14:paraId="04591D7D" w14:textId="77777777" w:rsidR="000B3729" w:rsidRPr="008C078F" w:rsidRDefault="000B3729" w:rsidP="000B3729">
      <w:pPr>
        <w:autoSpaceDE w:val="0"/>
        <w:autoSpaceDN w:val="0"/>
        <w:adjustRightInd w:val="0"/>
        <w:jc w:val="both"/>
        <w:rPr>
          <w:rFonts w:ascii="Abadi" w:eastAsia="Calibri" w:hAnsi="Abadi" w:cs="*Arial-6730-Identity-H"/>
          <w:color w:val="0D0D10"/>
          <w:sz w:val="21"/>
          <w:szCs w:val="21"/>
          <w:lang w:val="es-MX" w:eastAsia="en-US"/>
        </w:rPr>
      </w:pPr>
    </w:p>
    <w:p w14:paraId="69CCEA8C" w14:textId="180463D5" w:rsidR="000B3729" w:rsidRDefault="000B3729" w:rsidP="000B3729">
      <w:pPr>
        <w:autoSpaceDE w:val="0"/>
        <w:autoSpaceDN w:val="0"/>
        <w:adjustRightInd w:val="0"/>
        <w:ind w:firstLine="708"/>
        <w:jc w:val="both"/>
        <w:rPr>
          <w:rFonts w:ascii="Abadi" w:eastAsia="Calibri" w:hAnsi="Abadi" w:cs="*Arial-6730-Identity-H"/>
          <w:color w:val="0C0C0E"/>
          <w:sz w:val="21"/>
          <w:szCs w:val="21"/>
          <w:lang w:val="es-MX" w:eastAsia="en-US"/>
        </w:rPr>
      </w:pPr>
      <w:r w:rsidRPr="008C078F">
        <w:rPr>
          <w:rFonts w:ascii="Abadi" w:eastAsia="Calibri" w:hAnsi="Abadi" w:cs="*Arial-6730-Identity-H"/>
          <w:color w:val="0C0C0E"/>
          <w:sz w:val="21"/>
          <w:szCs w:val="21"/>
          <w:lang w:val="es-MX" w:eastAsia="en-US"/>
        </w:rPr>
        <w:t>Lo antes señalado, limitó conocer la eficacia en el otorgamiento del servicio de alumbrado público, al no contar con información suficiente y pertinente de la totalidad de lámparas, su ubicación y el tipo de espacio, las características físicas y técnicas y de funcionamiento, lo cual, aunado a las carencias de mecanismos de control para asegurar la consecución de los objetivos, impidió conocer los resultados logrados por el sujeto fiscalizado en la materia.</w:t>
      </w:r>
    </w:p>
    <w:p w14:paraId="7B76A609" w14:textId="77777777" w:rsidR="007C589A" w:rsidRPr="008C078F" w:rsidRDefault="007C589A" w:rsidP="000B3729">
      <w:pPr>
        <w:autoSpaceDE w:val="0"/>
        <w:autoSpaceDN w:val="0"/>
        <w:adjustRightInd w:val="0"/>
        <w:ind w:firstLine="708"/>
        <w:jc w:val="both"/>
        <w:rPr>
          <w:rFonts w:ascii="Abadi" w:eastAsia="Calibri" w:hAnsi="Abadi" w:cs="*Arial-6730-Identity-H"/>
          <w:color w:val="0C0C0E"/>
          <w:sz w:val="21"/>
          <w:szCs w:val="21"/>
          <w:lang w:val="es-MX" w:eastAsia="en-US"/>
        </w:rPr>
      </w:pPr>
    </w:p>
    <w:p w14:paraId="6F2D2490" w14:textId="77777777" w:rsidR="000B3729" w:rsidRPr="008C078F" w:rsidRDefault="000B3729" w:rsidP="000B3729">
      <w:pPr>
        <w:autoSpaceDE w:val="0"/>
        <w:autoSpaceDN w:val="0"/>
        <w:adjustRightInd w:val="0"/>
        <w:ind w:firstLine="708"/>
        <w:jc w:val="both"/>
        <w:rPr>
          <w:rFonts w:ascii="Abadi" w:eastAsia="Calibri" w:hAnsi="Abadi" w:cs="*Arial-6730-Identity-H"/>
          <w:color w:val="0D0D0F"/>
          <w:sz w:val="21"/>
          <w:szCs w:val="21"/>
          <w:lang w:val="es-MX" w:eastAsia="en-US"/>
        </w:rPr>
      </w:pPr>
      <w:r w:rsidRPr="008C078F">
        <w:rPr>
          <w:rFonts w:ascii="Abadi" w:eastAsia="Calibri" w:hAnsi="Abadi" w:cs="*Arial-6730-Identity-H"/>
          <w:color w:val="0D0D0F"/>
          <w:sz w:val="21"/>
          <w:szCs w:val="21"/>
          <w:lang w:val="es-MX" w:eastAsia="en-US"/>
        </w:rPr>
        <w:t>Derivado de las oportunidades referidas, se reconoce que el sujeto fiscalizado muestra una postura proactiva en la cual generó compromisos con la finalidad de mejorar la administración y resultados de la prestación del servicio de alumbrado público a la población, al presentarse planes de acción a efecto de mejorar y garantizar la continuidad, permanencia, uniformidad, igualdad y cobertura integral del servicio público.</w:t>
      </w:r>
    </w:p>
    <w:p w14:paraId="31E0A704" w14:textId="77777777" w:rsidR="000B3729" w:rsidRPr="008C078F" w:rsidRDefault="000B3729" w:rsidP="000B3729">
      <w:pPr>
        <w:autoSpaceDE w:val="0"/>
        <w:autoSpaceDN w:val="0"/>
        <w:adjustRightInd w:val="0"/>
        <w:jc w:val="both"/>
        <w:rPr>
          <w:rFonts w:ascii="Abadi" w:eastAsia="Calibri" w:hAnsi="Abadi" w:cs="*Arial-6730-Identity-H"/>
          <w:color w:val="0D0D0F"/>
          <w:sz w:val="21"/>
          <w:szCs w:val="21"/>
          <w:lang w:val="es-MX" w:eastAsia="en-US"/>
        </w:rPr>
      </w:pPr>
    </w:p>
    <w:p w14:paraId="1274244A" w14:textId="77777777" w:rsidR="000B3729" w:rsidRPr="008C078F" w:rsidRDefault="000B3729" w:rsidP="000B3729">
      <w:pPr>
        <w:autoSpaceDE w:val="0"/>
        <w:autoSpaceDN w:val="0"/>
        <w:adjustRightInd w:val="0"/>
        <w:ind w:firstLine="708"/>
        <w:jc w:val="both"/>
        <w:rPr>
          <w:rFonts w:ascii="Abadi" w:eastAsia="Calibri" w:hAnsi="Abadi" w:cs="*Arial-6730-Identity-H"/>
          <w:color w:val="0C0C0F"/>
          <w:sz w:val="21"/>
          <w:szCs w:val="21"/>
          <w:lang w:val="es-MX" w:eastAsia="en-US"/>
        </w:rPr>
      </w:pPr>
      <w:r w:rsidRPr="008C078F">
        <w:rPr>
          <w:rFonts w:ascii="Abadi" w:eastAsia="Calibri" w:hAnsi="Abadi" w:cs="*Arial-6730-Identity-H"/>
          <w:color w:val="0C0C0F"/>
          <w:sz w:val="21"/>
          <w:szCs w:val="21"/>
          <w:lang w:val="es-MX" w:eastAsia="en-US"/>
        </w:rPr>
        <w:t>De atenderse las recomendaciones formuladas, el sujeto fiscalizado estará en condiciones de optimizar la gestión pública para fortalecer la prestación del servicio de alumbrado público con una mayor orientación a los principios de eficacia y eficiencia, incentivando la adecuación y atención de la normativa y el logro de los propósitos, objetivos y metas, mediante la gestión de programas.</w:t>
      </w:r>
    </w:p>
    <w:p w14:paraId="0CA0EA93" w14:textId="77777777" w:rsidR="000B3729" w:rsidRPr="008C078F" w:rsidRDefault="000B3729" w:rsidP="000B3729">
      <w:pPr>
        <w:autoSpaceDE w:val="0"/>
        <w:autoSpaceDN w:val="0"/>
        <w:adjustRightInd w:val="0"/>
        <w:jc w:val="both"/>
        <w:rPr>
          <w:rFonts w:ascii="Abadi" w:eastAsia="Calibri" w:hAnsi="Abadi" w:cs="*Arial-6730-Identity-H"/>
          <w:color w:val="0F0E10"/>
          <w:sz w:val="21"/>
          <w:szCs w:val="21"/>
          <w:lang w:val="es-MX" w:eastAsia="en-US"/>
        </w:rPr>
      </w:pPr>
    </w:p>
    <w:p w14:paraId="1453CC04" w14:textId="77777777" w:rsidR="000B3729" w:rsidRPr="008C078F" w:rsidRDefault="000B3729" w:rsidP="000B3729">
      <w:pPr>
        <w:autoSpaceDE w:val="0"/>
        <w:autoSpaceDN w:val="0"/>
        <w:adjustRightInd w:val="0"/>
        <w:ind w:firstLine="708"/>
        <w:jc w:val="both"/>
        <w:rPr>
          <w:rFonts w:ascii="Abadi" w:eastAsia="Calibri" w:hAnsi="Abadi" w:cs="*Arial-6730-Identity-H"/>
          <w:color w:val="0F0E10"/>
          <w:sz w:val="21"/>
          <w:szCs w:val="21"/>
          <w:lang w:val="es-MX" w:eastAsia="en-US"/>
        </w:rPr>
      </w:pPr>
      <w:r w:rsidRPr="008C078F">
        <w:rPr>
          <w:rFonts w:ascii="Abadi" w:eastAsia="Calibri" w:hAnsi="Abadi" w:cs="*Arial-6730-Identity-H"/>
          <w:color w:val="0F0E10"/>
          <w:sz w:val="21"/>
          <w:szCs w:val="21"/>
          <w:lang w:val="es-MX" w:eastAsia="en-US"/>
        </w:rPr>
        <w:t xml:space="preserve">Finalmente, </w:t>
      </w:r>
      <w:r w:rsidRPr="008C078F">
        <w:rPr>
          <w:rFonts w:ascii="Abadi" w:eastAsia="Calibri" w:hAnsi="Abadi" w:cs="*Arial-6730-Identity-H"/>
          <w:color w:val="787878"/>
          <w:sz w:val="21"/>
          <w:szCs w:val="21"/>
          <w:lang w:val="es-MX" w:eastAsia="en-US"/>
        </w:rPr>
        <w:t>·</w:t>
      </w:r>
      <w:r w:rsidRPr="008C078F">
        <w:rPr>
          <w:rFonts w:ascii="Abadi" w:eastAsia="Calibri" w:hAnsi="Abadi" w:cs="*Arial-6730-Identity-H"/>
          <w:color w:val="0F0E10"/>
          <w:sz w:val="21"/>
          <w:szCs w:val="21"/>
          <w:lang w:val="es-MX" w:eastAsia="en-US"/>
        </w:rPr>
        <w:t>se señala que el seguimiento de dichos compromisos se realizará por la Auditoria Superior del Estado, respecto de las recomendaciones donde se valora que el sujeto fiscalizado realizará acciones de mejora en un plazo determinado hasta su total implementación o en su caso, aquellas valoradas como persiste, acorde a la normativa aplicable.</w:t>
      </w:r>
    </w:p>
    <w:p w14:paraId="6DC67B49" w14:textId="77777777" w:rsidR="000B3729" w:rsidRPr="008C078F" w:rsidRDefault="000B3729" w:rsidP="000B3729">
      <w:pPr>
        <w:autoSpaceDE w:val="0"/>
        <w:autoSpaceDN w:val="0"/>
        <w:adjustRightInd w:val="0"/>
        <w:jc w:val="both"/>
        <w:rPr>
          <w:rFonts w:ascii="Abadi" w:eastAsia="Calibri" w:hAnsi="Abadi" w:cs="*Arial-6634-Identity-H"/>
          <w:color w:val="0E0E11"/>
          <w:sz w:val="21"/>
          <w:szCs w:val="21"/>
          <w:lang w:val="es-MX" w:eastAsia="en-US"/>
        </w:rPr>
      </w:pPr>
    </w:p>
    <w:p w14:paraId="72748472" w14:textId="77777777" w:rsidR="000B3729" w:rsidRPr="008C078F" w:rsidRDefault="000B3729" w:rsidP="000B3729">
      <w:pPr>
        <w:autoSpaceDE w:val="0"/>
        <w:autoSpaceDN w:val="0"/>
        <w:adjustRightInd w:val="0"/>
        <w:ind w:firstLine="708"/>
        <w:jc w:val="both"/>
        <w:rPr>
          <w:rFonts w:ascii="Abadi" w:eastAsia="Calibri" w:hAnsi="Abadi" w:cs="*Arial-6634-Identity-H"/>
          <w:b/>
          <w:bCs/>
          <w:color w:val="0E0E11"/>
          <w:sz w:val="21"/>
          <w:szCs w:val="21"/>
          <w:lang w:val="es-MX" w:eastAsia="en-US"/>
        </w:rPr>
      </w:pPr>
      <w:r w:rsidRPr="008C078F">
        <w:rPr>
          <w:rFonts w:ascii="Abadi" w:eastAsia="Calibri" w:hAnsi="Abadi" w:cs="*Arial-6634-Identity-H"/>
          <w:b/>
          <w:bCs/>
          <w:color w:val="0E0E11"/>
          <w:sz w:val="21"/>
          <w:szCs w:val="21"/>
          <w:lang w:val="es-MX" w:eastAsia="en-US"/>
        </w:rPr>
        <w:t xml:space="preserve">V. Conclusiones: </w:t>
      </w:r>
    </w:p>
    <w:p w14:paraId="7B09FD06" w14:textId="77777777" w:rsidR="000B3729" w:rsidRPr="008C078F" w:rsidRDefault="000B3729" w:rsidP="000B3729">
      <w:pPr>
        <w:autoSpaceDE w:val="0"/>
        <w:autoSpaceDN w:val="0"/>
        <w:adjustRightInd w:val="0"/>
        <w:jc w:val="both"/>
        <w:rPr>
          <w:rFonts w:ascii="Abadi" w:eastAsia="Calibri" w:hAnsi="Abadi" w:cs="*Arial-6634-Identity-H"/>
          <w:color w:val="0E0E11"/>
          <w:sz w:val="21"/>
          <w:szCs w:val="21"/>
          <w:lang w:val="es-MX" w:eastAsia="en-US"/>
        </w:rPr>
      </w:pPr>
    </w:p>
    <w:p w14:paraId="493CD9DF" w14:textId="77777777" w:rsidR="000B3729" w:rsidRPr="008C078F" w:rsidRDefault="000B3729" w:rsidP="000B3729">
      <w:pPr>
        <w:autoSpaceDE w:val="0"/>
        <w:autoSpaceDN w:val="0"/>
        <w:adjustRightInd w:val="0"/>
        <w:ind w:firstLine="708"/>
        <w:jc w:val="both"/>
        <w:rPr>
          <w:rFonts w:ascii="Abadi" w:eastAsia="Calibri" w:hAnsi="Abadi" w:cs="*Arial-6634-Identity-H"/>
          <w:color w:val="0E0E11"/>
          <w:sz w:val="21"/>
          <w:szCs w:val="21"/>
          <w:lang w:val="es-MX" w:eastAsia="en-US"/>
        </w:rPr>
      </w:pPr>
      <w:r w:rsidRPr="008C078F">
        <w:rPr>
          <w:rFonts w:ascii="Abadi" w:eastAsia="Calibri" w:hAnsi="Abadi" w:cs="*Arial-6634-Identity-H"/>
          <w:color w:val="0E0E11"/>
          <w:sz w:val="21"/>
          <w:szCs w:val="21"/>
          <w:lang w:val="es-MX" w:eastAsia="en-US"/>
        </w:rPr>
        <w:t>Como ya lo habíamos señalado en párrafos anteriores, el artículo 38 de la Ley de Fiscalización Superior del</w:t>
      </w:r>
      <w:r w:rsidRPr="008C078F">
        <w:rPr>
          <w:rFonts w:ascii="Abadi" w:eastAsia="Calibri" w:hAnsi="Abadi" w:cs="*Arial-6634-Identity-H"/>
          <w:color w:val="6C6C6C"/>
          <w:sz w:val="21"/>
          <w:szCs w:val="21"/>
          <w:lang w:val="es-MX" w:eastAsia="en-US"/>
        </w:rPr>
        <w:t xml:space="preserve">. </w:t>
      </w:r>
      <w:r w:rsidRPr="008C078F">
        <w:rPr>
          <w:rFonts w:ascii="Abadi" w:eastAsia="Calibri" w:hAnsi="Abadi" w:cs="*Arial-6634-Identity-H"/>
          <w:color w:val="0E0E11"/>
          <w:sz w:val="21"/>
          <w:szCs w:val="21"/>
          <w:lang w:val="es-MX" w:eastAsia="en-US"/>
        </w:rPr>
        <w:t>Estado de Guanajuato establece que los informes de resultados únicamente podrán ser observados por las dos terceras partes de los diputados integrantes del Congreso, cuando no se observen las formalidades esenciales del proceso de fiscalización.</w:t>
      </w:r>
    </w:p>
    <w:p w14:paraId="3E7F223E" w14:textId="77777777" w:rsidR="000B3729" w:rsidRPr="008C078F" w:rsidRDefault="000B3729" w:rsidP="000B3729">
      <w:pPr>
        <w:autoSpaceDE w:val="0"/>
        <w:autoSpaceDN w:val="0"/>
        <w:adjustRightInd w:val="0"/>
        <w:jc w:val="both"/>
        <w:rPr>
          <w:rFonts w:ascii="Abadi" w:eastAsia="Calibri" w:hAnsi="Abadi" w:cs="*Arial-6634-Identity-H"/>
          <w:color w:val="0D0C10"/>
          <w:sz w:val="21"/>
          <w:szCs w:val="21"/>
          <w:lang w:val="es-MX" w:eastAsia="en-US"/>
        </w:rPr>
      </w:pPr>
    </w:p>
    <w:p w14:paraId="2E518362" w14:textId="77777777" w:rsidR="000B3729" w:rsidRPr="008C078F" w:rsidRDefault="000B3729" w:rsidP="000B3729">
      <w:pPr>
        <w:autoSpaceDE w:val="0"/>
        <w:autoSpaceDN w:val="0"/>
        <w:adjustRightInd w:val="0"/>
        <w:ind w:firstLine="708"/>
        <w:jc w:val="both"/>
        <w:rPr>
          <w:rFonts w:ascii="Abadi" w:eastAsia="Calibri" w:hAnsi="Abadi" w:cs="*Arial-6634-Identity-H"/>
          <w:color w:val="0D0C10"/>
          <w:sz w:val="21"/>
          <w:szCs w:val="21"/>
          <w:lang w:val="es-MX" w:eastAsia="en-US"/>
        </w:rPr>
      </w:pPr>
      <w:r w:rsidRPr="008C078F">
        <w:rPr>
          <w:rFonts w:ascii="Abadi" w:eastAsia="Calibri" w:hAnsi="Abadi" w:cs="*Arial-6634-Identity-H"/>
          <w:color w:val="0D0C10"/>
          <w:sz w:val="21"/>
          <w:szCs w:val="21"/>
          <w:lang w:val="es-MX" w:eastAsia="en-US"/>
        </w:rPr>
        <w:t>En este sentido, quienes integramos esta Comisión analizamos el informe de resultados materia del presente dictamen, considerando la hipótesis referida en el precepto anteriormente señalado.</w:t>
      </w:r>
    </w:p>
    <w:p w14:paraId="52EC2391" w14:textId="77777777" w:rsidR="000B3729" w:rsidRPr="008C078F" w:rsidRDefault="000B3729" w:rsidP="000B3729">
      <w:pPr>
        <w:autoSpaceDE w:val="0"/>
        <w:autoSpaceDN w:val="0"/>
        <w:adjustRightInd w:val="0"/>
        <w:ind w:firstLine="708"/>
        <w:jc w:val="both"/>
        <w:rPr>
          <w:rFonts w:ascii="Abadi" w:eastAsia="Calibri" w:hAnsi="Abadi" w:cs="*Arial-6634-Identity-H"/>
          <w:color w:val="0D0D0F"/>
          <w:sz w:val="21"/>
          <w:szCs w:val="21"/>
          <w:lang w:val="es-MX" w:eastAsia="en-US"/>
        </w:rPr>
      </w:pPr>
      <w:r w:rsidRPr="008C078F">
        <w:rPr>
          <w:rFonts w:ascii="Abadi" w:eastAsia="Calibri" w:hAnsi="Abadi" w:cs="*Arial-6634-Identity-H"/>
          <w:color w:val="0D0D0F"/>
          <w:sz w:val="21"/>
          <w:szCs w:val="21"/>
          <w:lang w:val="es-MX" w:eastAsia="en-US"/>
        </w:rPr>
        <w:t>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w:t>
      </w:r>
    </w:p>
    <w:p w14:paraId="481D5900" w14:textId="77777777" w:rsidR="000B3729" w:rsidRPr="008C078F" w:rsidRDefault="000B3729" w:rsidP="000B3729">
      <w:pPr>
        <w:autoSpaceDE w:val="0"/>
        <w:autoSpaceDN w:val="0"/>
        <w:adjustRightInd w:val="0"/>
        <w:jc w:val="both"/>
        <w:rPr>
          <w:rFonts w:ascii="Abadi" w:eastAsia="Calibri" w:hAnsi="Abadi" w:cs="*Arial-6634-Identity-H"/>
          <w:color w:val="0D0D0F"/>
          <w:sz w:val="21"/>
          <w:szCs w:val="21"/>
          <w:lang w:val="es-MX" w:eastAsia="en-US"/>
        </w:rPr>
      </w:pPr>
      <w:r w:rsidRPr="008C078F">
        <w:rPr>
          <w:rFonts w:ascii="Abadi" w:eastAsia="Calibri" w:hAnsi="Abadi" w:cs="*Arial-6634-Identity-H"/>
          <w:color w:val="0D0D0F"/>
          <w:sz w:val="21"/>
          <w:szCs w:val="21"/>
          <w:lang w:val="es-MX" w:eastAsia="en-US"/>
        </w:rPr>
        <w:t>recomendaciones efectuadas.</w:t>
      </w:r>
    </w:p>
    <w:p w14:paraId="28EC4159" w14:textId="77777777" w:rsidR="000B3729" w:rsidRPr="008C078F" w:rsidRDefault="000B3729" w:rsidP="000B3729">
      <w:pPr>
        <w:autoSpaceDE w:val="0"/>
        <w:autoSpaceDN w:val="0"/>
        <w:adjustRightInd w:val="0"/>
        <w:jc w:val="both"/>
        <w:rPr>
          <w:rFonts w:ascii="Abadi" w:eastAsia="Calibri" w:hAnsi="Abadi" w:cs="*Arial-6634-Identity-H"/>
          <w:color w:val="0D0D0F"/>
          <w:sz w:val="21"/>
          <w:szCs w:val="21"/>
          <w:lang w:val="es-MX" w:eastAsia="en-US"/>
        </w:rPr>
      </w:pPr>
    </w:p>
    <w:p w14:paraId="0A93BFD6" w14:textId="77777777" w:rsidR="000B3729" w:rsidRPr="008C078F" w:rsidRDefault="000B3729" w:rsidP="000B3729">
      <w:pPr>
        <w:autoSpaceDE w:val="0"/>
        <w:autoSpaceDN w:val="0"/>
        <w:adjustRightInd w:val="0"/>
        <w:ind w:firstLine="708"/>
        <w:jc w:val="both"/>
        <w:rPr>
          <w:rFonts w:ascii="Abadi" w:eastAsia="Calibri" w:hAnsi="Abadi" w:cs="*Arial-6634-Identity-H"/>
          <w:color w:val="0D0D0F"/>
          <w:sz w:val="21"/>
          <w:szCs w:val="21"/>
          <w:lang w:val="es-MX" w:eastAsia="en-US"/>
        </w:rPr>
      </w:pPr>
      <w:r w:rsidRPr="008C078F">
        <w:rPr>
          <w:rFonts w:ascii="Abadi" w:eastAsia="Calibri" w:hAnsi="Abadi" w:cs="*Arial-6634-Identity-H"/>
          <w:color w:val="0D0D0F"/>
          <w:sz w:val="21"/>
          <w:szCs w:val="21"/>
          <w:lang w:val="es-MX" w:eastAsia="en-US"/>
        </w:rPr>
        <w:t xml:space="preserve">De igual manera, existe en el informe de resultados la constancia de que este se notificó al sujeto fiscalizado. En tal virtud, se considera que fue respetado el derecho de audiencia o defensa por parte del Órgano Técnico. </w:t>
      </w:r>
    </w:p>
    <w:p w14:paraId="613339AD" w14:textId="77777777" w:rsidR="000B3729" w:rsidRPr="008C078F" w:rsidRDefault="000B3729" w:rsidP="000B3729">
      <w:pPr>
        <w:autoSpaceDE w:val="0"/>
        <w:autoSpaceDN w:val="0"/>
        <w:adjustRightInd w:val="0"/>
        <w:jc w:val="both"/>
        <w:rPr>
          <w:rFonts w:ascii="Abadi" w:eastAsia="Calibri" w:hAnsi="Abadi" w:cs="*Arial-6634-Identity-H"/>
          <w:color w:val="0D0D0F"/>
          <w:sz w:val="21"/>
          <w:szCs w:val="21"/>
          <w:lang w:val="es-MX" w:eastAsia="en-US"/>
        </w:rPr>
      </w:pPr>
    </w:p>
    <w:p w14:paraId="638ED95E" w14:textId="11CCA84D" w:rsidR="000B3729" w:rsidRPr="008C078F" w:rsidRDefault="000B3729" w:rsidP="007C589A">
      <w:pPr>
        <w:autoSpaceDE w:val="0"/>
        <w:autoSpaceDN w:val="0"/>
        <w:adjustRightInd w:val="0"/>
        <w:ind w:firstLine="708"/>
        <w:jc w:val="both"/>
        <w:rPr>
          <w:rFonts w:ascii="Abadi" w:eastAsia="Calibri" w:hAnsi="Abadi" w:cs="*Arial-6634-Identity-H"/>
          <w:color w:val="0D0D0F"/>
          <w:sz w:val="21"/>
          <w:szCs w:val="21"/>
          <w:lang w:val="es-MX" w:eastAsia="en-US"/>
        </w:rPr>
      </w:pPr>
      <w:r w:rsidRPr="008C078F">
        <w:rPr>
          <w:rFonts w:ascii="Abadi" w:eastAsia="Calibri" w:hAnsi="Abadi" w:cs="*Arial-6634-Identity-H"/>
          <w:color w:val="0D0C0F"/>
          <w:sz w:val="21"/>
          <w:szCs w:val="21"/>
          <w:lang w:val="es-MX" w:eastAsia="en-US"/>
        </w:rPr>
        <w:t>Asimismo, del informe de resultados podemos inferir que el Órgano Técnico</w:t>
      </w:r>
      <w:r w:rsidRPr="008C078F">
        <w:rPr>
          <w:rFonts w:ascii="Abadi" w:eastAsia="Calibri" w:hAnsi="Abadi" w:cs="*Arial-6634-Identity-H"/>
          <w:color w:val="0D0D0F"/>
          <w:sz w:val="21"/>
          <w:szCs w:val="21"/>
          <w:lang w:val="es-MX" w:eastAsia="en-US"/>
        </w:rPr>
        <w:t xml:space="preserve"> </w:t>
      </w:r>
      <w:r w:rsidRPr="008C078F">
        <w:rPr>
          <w:rFonts w:ascii="Abadi" w:eastAsia="Calibri" w:hAnsi="Abadi" w:cs="*Arial-6634-Identity-H"/>
          <w:color w:val="0D0C0F"/>
          <w:sz w:val="21"/>
          <w:szCs w:val="21"/>
          <w:lang w:val="es-MX" w:eastAsia="en-US"/>
        </w:rPr>
        <w:t>en el desarrollo del procedimiento de auditoría, dio cumplimiento a las</w:t>
      </w:r>
      <w:r w:rsidRPr="008C078F">
        <w:rPr>
          <w:rFonts w:ascii="Abadi" w:eastAsia="Calibri" w:hAnsi="Abadi" w:cs="*Arial-6634-Identity-H"/>
          <w:color w:val="0D0D0F"/>
          <w:sz w:val="21"/>
          <w:szCs w:val="21"/>
          <w:lang w:val="es-MX" w:eastAsia="en-US"/>
        </w:rPr>
        <w:t xml:space="preserve"> </w:t>
      </w:r>
      <w:r w:rsidRPr="008C078F">
        <w:rPr>
          <w:rFonts w:ascii="Abadi" w:eastAsia="Calibri" w:hAnsi="Abadi" w:cs="*Arial-6634-Identity-H"/>
          <w:color w:val="0D0C0F"/>
          <w:sz w:val="21"/>
          <w:szCs w:val="21"/>
          <w:lang w:val="es-MX" w:eastAsia="en-US"/>
        </w:rPr>
        <w:t>formalidades esenciales que la misma Ley establece para el proceso de</w:t>
      </w:r>
      <w:r w:rsidRPr="008C078F">
        <w:rPr>
          <w:rFonts w:ascii="Abadi" w:eastAsia="Calibri" w:hAnsi="Abadi" w:cs="*Arial-6634-Identity-H"/>
          <w:color w:val="0D0D0F"/>
          <w:sz w:val="21"/>
          <w:szCs w:val="21"/>
          <w:lang w:val="es-MX" w:eastAsia="en-US"/>
        </w:rPr>
        <w:t xml:space="preserve"> </w:t>
      </w:r>
      <w:r w:rsidRPr="008C078F">
        <w:rPr>
          <w:rFonts w:ascii="Abadi" w:eastAsia="Calibri" w:hAnsi="Abadi" w:cs="*Arial-6634-Identity-H"/>
          <w:color w:val="0D0C0F"/>
          <w:sz w:val="21"/>
          <w:szCs w:val="21"/>
          <w:lang w:val="es-MX" w:eastAsia="en-US"/>
        </w:rPr>
        <w:t>fiscalización, al haberse practicado la auditoria que estaba contemplada en el</w:t>
      </w:r>
      <w:r w:rsidRPr="008C078F">
        <w:rPr>
          <w:rFonts w:ascii="Abadi" w:eastAsia="Calibri" w:hAnsi="Abadi" w:cs="*Arial-6634-Identity-H"/>
          <w:color w:val="0D0D0F"/>
          <w:sz w:val="21"/>
          <w:szCs w:val="21"/>
          <w:lang w:val="es-MX" w:eastAsia="en-US"/>
        </w:rPr>
        <w:t xml:space="preserve"> </w:t>
      </w:r>
      <w:r w:rsidRPr="008C078F">
        <w:rPr>
          <w:rFonts w:ascii="Abadi" w:eastAsia="Calibri" w:hAnsi="Abadi" w:cs="*Arial-6634-Identity-H"/>
          <w:color w:val="0D0C0F"/>
          <w:sz w:val="21"/>
          <w:szCs w:val="21"/>
          <w:lang w:val="es-MX" w:eastAsia="en-US"/>
        </w:rPr>
        <w:t>Programa General de Fiscalización 2021, aprobado por el Auditor Superior del</w:t>
      </w:r>
      <w:r w:rsidRPr="008C078F">
        <w:rPr>
          <w:rFonts w:ascii="Abadi" w:eastAsia="Calibri" w:hAnsi="Abadi" w:cs="*Arial-6634-Identity-H"/>
          <w:color w:val="0D0D0F"/>
          <w:sz w:val="21"/>
          <w:szCs w:val="21"/>
          <w:lang w:val="es-MX" w:eastAsia="en-US"/>
        </w:rPr>
        <w:t xml:space="preserve"> </w:t>
      </w:r>
      <w:r w:rsidRPr="008C078F">
        <w:rPr>
          <w:rFonts w:ascii="Abadi" w:eastAsia="Calibri" w:hAnsi="Abadi" w:cs="*Arial-6634-Identity-H"/>
          <w:color w:val="0D0C0F"/>
          <w:sz w:val="21"/>
          <w:szCs w:val="21"/>
          <w:lang w:val="es-MX" w:eastAsia="en-US"/>
        </w:rPr>
        <w:t>Estado. Asimismo, la auditoría se efectuó atendiendo a lo establecido en la</w:t>
      </w:r>
      <w:r w:rsidRPr="008C078F">
        <w:rPr>
          <w:rFonts w:ascii="Abadi" w:eastAsia="Calibri" w:hAnsi="Abadi" w:cs="*Arial-6634-Identity-H"/>
          <w:color w:val="0D0D0F"/>
          <w:sz w:val="21"/>
          <w:szCs w:val="21"/>
          <w:lang w:val="es-MX" w:eastAsia="en-US"/>
        </w:rPr>
        <w:t xml:space="preserve"> </w:t>
      </w:r>
      <w:r w:rsidRPr="008C078F">
        <w:rPr>
          <w:rFonts w:ascii="Abadi" w:eastAsia="Calibri" w:hAnsi="Abadi" w:cs="*Arial-6634-Identity-H"/>
          <w:color w:val="0D0C0F"/>
          <w:sz w:val="21"/>
          <w:szCs w:val="21"/>
          <w:lang w:val="es-MX" w:eastAsia="en-US"/>
        </w:rPr>
        <w:t>normatividad aplicable en la materia, cumpliendo lo estipulado por el articulo 3 y el</w:t>
      </w:r>
      <w:r w:rsidRPr="008C078F">
        <w:rPr>
          <w:rFonts w:ascii="Abadi" w:eastAsia="Calibri" w:hAnsi="Abadi" w:cs="*Arial-6634-Identity-H"/>
          <w:color w:val="0D0D0F"/>
          <w:sz w:val="21"/>
          <w:szCs w:val="21"/>
          <w:lang w:val="es-MX" w:eastAsia="en-US"/>
        </w:rPr>
        <w:t xml:space="preserve"> </w:t>
      </w:r>
      <w:r w:rsidRPr="008C078F">
        <w:rPr>
          <w:rFonts w:ascii="Abadi" w:eastAsia="Calibri" w:hAnsi="Abadi" w:cs="*Arial-6634-Identity-H"/>
          <w:color w:val="0D0C0F"/>
          <w:sz w:val="21"/>
          <w:szCs w:val="21"/>
          <w:lang w:val="es-MX" w:eastAsia="en-US"/>
        </w:rPr>
        <w:t>Capítulo VI del Título Segundo de la Ley de Fiscalización Superior del Estado de</w:t>
      </w:r>
      <w:r w:rsidRPr="008C078F">
        <w:rPr>
          <w:rFonts w:ascii="Abadi" w:eastAsia="Calibri" w:hAnsi="Abadi" w:cs="*Arial-6634-Identity-H"/>
          <w:color w:val="0D0D0F"/>
          <w:sz w:val="21"/>
          <w:szCs w:val="21"/>
          <w:lang w:val="es-MX" w:eastAsia="en-US"/>
        </w:rPr>
        <w:t xml:space="preserve"> </w:t>
      </w:r>
      <w:r w:rsidRPr="008C078F">
        <w:rPr>
          <w:rFonts w:ascii="Abadi" w:eastAsia="Calibri" w:hAnsi="Abadi" w:cs="*Arial-6634-Identity-H"/>
          <w:color w:val="0D0C0F"/>
          <w:sz w:val="21"/>
          <w:szCs w:val="21"/>
          <w:lang w:val="es-MX" w:eastAsia="en-US"/>
        </w:rPr>
        <w:t>Guanajuato, así como el artículo 28 del Reglamento de dicha Ley.</w:t>
      </w:r>
    </w:p>
    <w:p w14:paraId="7A35C3EF" w14:textId="77777777" w:rsidR="000B3729" w:rsidRPr="008C078F" w:rsidRDefault="000B3729" w:rsidP="000B3729">
      <w:pPr>
        <w:autoSpaceDE w:val="0"/>
        <w:autoSpaceDN w:val="0"/>
        <w:adjustRightInd w:val="0"/>
        <w:jc w:val="both"/>
        <w:rPr>
          <w:rFonts w:ascii="Abadi" w:eastAsia="Calibri" w:hAnsi="Abadi" w:cs="*Calibri-Bold-6795-Identity-H"/>
          <w:b/>
          <w:bCs/>
          <w:color w:val="27272D"/>
          <w:sz w:val="21"/>
          <w:szCs w:val="21"/>
          <w:lang w:val="es-MX" w:eastAsia="en-US"/>
        </w:rPr>
      </w:pPr>
    </w:p>
    <w:p w14:paraId="7BAAB164" w14:textId="77777777" w:rsidR="000B3729" w:rsidRPr="008C078F" w:rsidRDefault="000B3729" w:rsidP="000B3729">
      <w:pPr>
        <w:autoSpaceDE w:val="0"/>
        <w:autoSpaceDN w:val="0"/>
        <w:adjustRightInd w:val="0"/>
        <w:ind w:firstLine="708"/>
        <w:jc w:val="both"/>
        <w:rPr>
          <w:rFonts w:ascii="Abadi" w:eastAsia="Calibri" w:hAnsi="Abadi" w:cs="*Arial-6796-Identity-H"/>
          <w:color w:val="0C0C0E"/>
          <w:sz w:val="21"/>
          <w:szCs w:val="21"/>
          <w:lang w:val="es-MX" w:eastAsia="en-US"/>
        </w:rPr>
      </w:pPr>
      <w:r w:rsidRPr="008C078F">
        <w:rPr>
          <w:rFonts w:ascii="Abadi" w:eastAsia="Calibri" w:hAnsi="Abadi" w:cs="*Arial-6796-Identity-H"/>
          <w:color w:val="0C0C0E"/>
          <w:sz w:val="21"/>
          <w:szCs w:val="21"/>
          <w:lang w:val="es-MX" w:eastAsia="en-US"/>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w:t>
      </w:r>
      <w:r w:rsidRPr="008C078F">
        <w:rPr>
          <w:rFonts w:ascii="Abadi" w:eastAsia="Calibri" w:hAnsi="Abadi" w:cs="*Arial-6796-Identity-H"/>
          <w:color w:val="A1A1A1"/>
          <w:sz w:val="21"/>
          <w:szCs w:val="21"/>
          <w:lang w:val="es-MX" w:eastAsia="en-US"/>
        </w:rPr>
        <w:t>.</w:t>
      </w:r>
      <w:r w:rsidRPr="008C078F">
        <w:rPr>
          <w:rFonts w:ascii="Abadi" w:eastAsia="Calibri" w:hAnsi="Abadi" w:cs="*Arial-6796-Identity-H"/>
          <w:color w:val="0C0C0E"/>
          <w:sz w:val="21"/>
          <w:szCs w:val="21"/>
          <w:lang w:val="es-MX" w:eastAsia="en-US"/>
        </w:rPr>
        <w:t>la meta 16.6 Crear a todos los niveles instituciones eficaces y transparentes, al abonar a la transparencia y rendición de cuentas.</w:t>
      </w:r>
    </w:p>
    <w:p w14:paraId="5E64360C" w14:textId="77777777" w:rsidR="000B3729" w:rsidRPr="008C078F" w:rsidRDefault="000B3729" w:rsidP="000B3729">
      <w:pPr>
        <w:autoSpaceDE w:val="0"/>
        <w:autoSpaceDN w:val="0"/>
        <w:adjustRightInd w:val="0"/>
        <w:jc w:val="both"/>
        <w:rPr>
          <w:rFonts w:ascii="Abadi" w:eastAsia="Calibri" w:hAnsi="Abadi" w:cs="*Arial-6796-Identity-H"/>
          <w:color w:val="0C0B0E"/>
          <w:sz w:val="21"/>
          <w:szCs w:val="21"/>
          <w:lang w:val="es-MX" w:eastAsia="en-US"/>
        </w:rPr>
      </w:pPr>
    </w:p>
    <w:p w14:paraId="457A59C7" w14:textId="77777777" w:rsidR="000B3729" w:rsidRPr="008C078F" w:rsidRDefault="000B3729" w:rsidP="000B3729">
      <w:pPr>
        <w:autoSpaceDE w:val="0"/>
        <w:autoSpaceDN w:val="0"/>
        <w:adjustRightInd w:val="0"/>
        <w:ind w:firstLine="708"/>
        <w:jc w:val="both"/>
        <w:rPr>
          <w:rFonts w:ascii="Abadi" w:eastAsia="Calibri" w:hAnsi="Abadi" w:cs="*Arial-6796-Identity-H"/>
          <w:color w:val="0C0B0E"/>
          <w:sz w:val="21"/>
          <w:szCs w:val="21"/>
          <w:lang w:val="es-MX" w:eastAsia="en-US"/>
        </w:rPr>
      </w:pPr>
      <w:r w:rsidRPr="008C078F">
        <w:rPr>
          <w:rFonts w:ascii="Abadi" w:eastAsia="Calibri" w:hAnsi="Abadi" w:cs="*Arial-6796-Identity-H"/>
          <w:color w:val="0C0B0E"/>
          <w:sz w:val="21"/>
          <w:szCs w:val="21"/>
          <w:lang w:val="es-MX" w:eastAsia="en-US"/>
        </w:rPr>
        <w:t xml:space="preserve">En razón de lo anteriormente señalado, concluimos que el informe de resultados de la auditoria de desempeño practicada a la administración municipal de Salvatierra, </w:t>
      </w:r>
      <w:proofErr w:type="spellStart"/>
      <w:r w:rsidRPr="008C078F">
        <w:rPr>
          <w:rFonts w:ascii="Abadi" w:eastAsia="Calibri" w:hAnsi="Abadi" w:cs="*Arial-6796-Identity-H"/>
          <w:color w:val="0C0B0E"/>
          <w:sz w:val="21"/>
          <w:szCs w:val="21"/>
          <w:lang w:val="es-MX" w:eastAsia="en-US"/>
        </w:rPr>
        <w:t>Gto</w:t>
      </w:r>
      <w:proofErr w:type="spellEnd"/>
      <w:r w:rsidRPr="008C078F">
        <w:rPr>
          <w:rFonts w:ascii="Abadi" w:eastAsia="Calibri" w:hAnsi="Abadi" w:cs="*Arial-6796-Identity-H"/>
          <w:color w:val="0C0B0E"/>
          <w:sz w:val="21"/>
          <w:szCs w:val="21"/>
          <w:lang w:val="es-MX" w:eastAsia="en-US"/>
        </w:rPr>
        <w:t>., con enfoque a resultados del servicio de alumbrado público, por el ejercicio fiscal del año 2020,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01D304F5" w14:textId="77777777" w:rsidR="000B3729" w:rsidRPr="008C078F" w:rsidRDefault="000B3729" w:rsidP="000B3729">
      <w:pPr>
        <w:autoSpaceDE w:val="0"/>
        <w:autoSpaceDN w:val="0"/>
        <w:adjustRightInd w:val="0"/>
        <w:jc w:val="both"/>
        <w:rPr>
          <w:rFonts w:ascii="Abadi" w:eastAsia="Calibri" w:hAnsi="Abadi" w:cs="*Arial-6796-Identity-H"/>
          <w:color w:val="0D0C0F"/>
          <w:sz w:val="21"/>
          <w:szCs w:val="21"/>
          <w:lang w:val="es-MX" w:eastAsia="en-US"/>
        </w:rPr>
      </w:pPr>
    </w:p>
    <w:p w14:paraId="1771E06E" w14:textId="77777777" w:rsidR="000B3729" w:rsidRPr="008C078F" w:rsidRDefault="000B3729" w:rsidP="000B3729">
      <w:pPr>
        <w:autoSpaceDE w:val="0"/>
        <w:autoSpaceDN w:val="0"/>
        <w:adjustRightInd w:val="0"/>
        <w:ind w:firstLine="708"/>
        <w:jc w:val="both"/>
        <w:rPr>
          <w:rFonts w:ascii="Abadi" w:eastAsia="Calibri" w:hAnsi="Abadi" w:cs="*Arial-6796-Identity-H"/>
          <w:color w:val="0D0C0F"/>
          <w:sz w:val="21"/>
          <w:szCs w:val="21"/>
          <w:lang w:val="es-MX" w:eastAsia="en-US"/>
        </w:rPr>
      </w:pPr>
      <w:r w:rsidRPr="008C078F">
        <w:rPr>
          <w:rFonts w:ascii="Abadi" w:eastAsia="Calibri" w:hAnsi="Abadi" w:cs="*Arial-6796-Identity-H"/>
          <w:color w:val="0D0C0F"/>
          <w:sz w:val="21"/>
          <w:szCs w:val="21"/>
          <w:lang w:val="es-MX" w:eastAsia="en-US"/>
        </w:rPr>
        <w:t>Por lo expuesto, con fundamento en el artículo 204 de la Ley Orgánica del Poder Legislativo, nos permitimos someter a la consideración de la Asamblea, la aprobación del siguiente:</w:t>
      </w:r>
    </w:p>
    <w:p w14:paraId="06BBA300" w14:textId="77777777" w:rsidR="000B3729" w:rsidRPr="008C078F" w:rsidRDefault="000B3729" w:rsidP="000B3729">
      <w:pPr>
        <w:autoSpaceDE w:val="0"/>
        <w:autoSpaceDN w:val="0"/>
        <w:adjustRightInd w:val="0"/>
        <w:jc w:val="both"/>
        <w:rPr>
          <w:rFonts w:ascii="Abadi" w:eastAsia="Calibri" w:hAnsi="Abadi" w:cs="*Arial-Bold-6797-Identity-H"/>
          <w:b/>
          <w:bCs/>
          <w:color w:val="0E0E11"/>
          <w:sz w:val="21"/>
          <w:szCs w:val="21"/>
          <w:lang w:val="es-MX" w:eastAsia="en-US"/>
        </w:rPr>
      </w:pPr>
    </w:p>
    <w:p w14:paraId="747BAC6A" w14:textId="77777777" w:rsidR="007C589A" w:rsidRDefault="007C589A" w:rsidP="000B3729">
      <w:pPr>
        <w:autoSpaceDE w:val="0"/>
        <w:autoSpaceDN w:val="0"/>
        <w:adjustRightInd w:val="0"/>
        <w:jc w:val="center"/>
        <w:rPr>
          <w:rFonts w:ascii="Abadi" w:eastAsia="Calibri" w:hAnsi="Abadi" w:cs="*Arial-Bold-6797-Identity-H"/>
          <w:b/>
          <w:bCs/>
          <w:color w:val="0E0E11"/>
          <w:sz w:val="21"/>
          <w:szCs w:val="21"/>
          <w:lang w:val="es-MX" w:eastAsia="en-US"/>
        </w:rPr>
      </w:pPr>
    </w:p>
    <w:p w14:paraId="52F258C3" w14:textId="77777777" w:rsidR="007C589A" w:rsidRDefault="007C589A" w:rsidP="000B3729">
      <w:pPr>
        <w:autoSpaceDE w:val="0"/>
        <w:autoSpaceDN w:val="0"/>
        <w:adjustRightInd w:val="0"/>
        <w:jc w:val="center"/>
        <w:rPr>
          <w:rFonts w:ascii="Abadi" w:eastAsia="Calibri" w:hAnsi="Abadi" w:cs="*Arial-Bold-6797-Identity-H"/>
          <w:b/>
          <w:bCs/>
          <w:color w:val="0E0E11"/>
          <w:sz w:val="21"/>
          <w:szCs w:val="21"/>
          <w:lang w:val="es-MX" w:eastAsia="en-US"/>
        </w:rPr>
      </w:pPr>
    </w:p>
    <w:p w14:paraId="6768E29B" w14:textId="47924F20" w:rsidR="000B3729" w:rsidRPr="008C078F" w:rsidRDefault="000B3729" w:rsidP="000B3729">
      <w:pPr>
        <w:autoSpaceDE w:val="0"/>
        <w:autoSpaceDN w:val="0"/>
        <w:adjustRightInd w:val="0"/>
        <w:jc w:val="center"/>
        <w:rPr>
          <w:rFonts w:ascii="Abadi" w:eastAsia="Calibri" w:hAnsi="Abadi" w:cs="*Arial-Bold-6797-Identity-H"/>
          <w:b/>
          <w:bCs/>
          <w:color w:val="0E0E11"/>
          <w:sz w:val="21"/>
          <w:szCs w:val="21"/>
          <w:lang w:val="es-MX" w:eastAsia="en-US"/>
        </w:rPr>
      </w:pPr>
      <w:r w:rsidRPr="008C078F">
        <w:rPr>
          <w:rFonts w:ascii="Abadi" w:eastAsia="Calibri" w:hAnsi="Abadi" w:cs="*Arial-Bold-6797-Identity-H"/>
          <w:b/>
          <w:bCs/>
          <w:color w:val="0E0E11"/>
          <w:sz w:val="21"/>
          <w:szCs w:val="21"/>
          <w:lang w:val="es-MX" w:eastAsia="en-US"/>
        </w:rPr>
        <w:t>ACUERDO</w:t>
      </w:r>
    </w:p>
    <w:p w14:paraId="3DCA4992" w14:textId="77777777" w:rsidR="000B3729" w:rsidRPr="008C078F" w:rsidRDefault="000B3729" w:rsidP="000B3729">
      <w:pPr>
        <w:autoSpaceDE w:val="0"/>
        <w:autoSpaceDN w:val="0"/>
        <w:adjustRightInd w:val="0"/>
        <w:jc w:val="both"/>
        <w:rPr>
          <w:rFonts w:ascii="Abadi" w:eastAsia="Calibri" w:hAnsi="Abadi" w:cs="*Arial-Bold-6797-Identity-H"/>
          <w:b/>
          <w:bCs/>
          <w:color w:val="0D0C0F"/>
          <w:sz w:val="21"/>
          <w:szCs w:val="21"/>
          <w:lang w:val="es-MX" w:eastAsia="en-US"/>
        </w:rPr>
      </w:pPr>
    </w:p>
    <w:p w14:paraId="14754A25" w14:textId="77777777" w:rsidR="000B3729" w:rsidRPr="008C078F" w:rsidRDefault="000B3729" w:rsidP="000B3729">
      <w:pPr>
        <w:autoSpaceDE w:val="0"/>
        <w:autoSpaceDN w:val="0"/>
        <w:adjustRightInd w:val="0"/>
        <w:ind w:firstLine="708"/>
        <w:jc w:val="both"/>
        <w:rPr>
          <w:rFonts w:ascii="Abadi" w:eastAsia="Calibri" w:hAnsi="Abadi" w:cs="*Arial-6796-Identity-H"/>
          <w:color w:val="0D0C0F"/>
          <w:sz w:val="21"/>
          <w:szCs w:val="21"/>
          <w:lang w:val="es-MX" w:eastAsia="en-US"/>
        </w:rPr>
      </w:pPr>
      <w:r w:rsidRPr="008C078F">
        <w:rPr>
          <w:rFonts w:ascii="Abadi" w:eastAsia="Calibri" w:hAnsi="Abadi" w:cs="*Arial-Bold-6797-Identity-H"/>
          <w:b/>
          <w:bCs/>
          <w:color w:val="0D0C0F"/>
          <w:sz w:val="21"/>
          <w:szCs w:val="21"/>
          <w:lang w:val="es-MX" w:eastAsia="en-US"/>
        </w:rPr>
        <w:t xml:space="preserve">Único. </w:t>
      </w:r>
      <w:r w:rsidRPr="008C078F">
        <w:rPr>
          <w:rFonts w:ascii="Abadi" w:eastAsia="Calibri" w:hAnsi="Abadi" w:cs="*Arial-6796-Identity-H"/>
          <w:color w:val="0D0C0F"/>
          <w:sz w:val="21"/>
          <w:szCs w:val="21"/>
          <w:lang w:val="es-MX" w:eastAsia="en-US"/>
        </w:rPr>
        <w:t xml:space="preserve">Con fundamento en el artículo 63 fracción XIX de la Constitución Política para el Estado, en relación con los artículos 3, fracción V, 5, fracción IV, 56, 59 y 60 de la Ley de Fiscalización Superior del Estado de Guanajuato </w:t>
      </w:r>
      <w:r w:rsidRPr="008C078F">
        <w:rPr>
          <w:rFonts w:ascii="Abadi" w:eastAsia="Calibri" w:hAnsi="Abadi" w:cs="*Times New Roman-Italic-6794-Id"/>
          <w:i/>
          <w:iCs/>
          <w:color w:val="0D0C0F"/>
          <w:sz w:val="21"/>
          <w:szCs w:val="21"/>
          <w:lang w:val="es-MX" w:eastAsia="en-US"/>
        </w:rPr>
        <w:t xml:space="preserve">y </w:t>
      </w:r>
      <w:r w:rsidRPr="008C078F">
        <w:rPr>
          <w:rFonts w:ascii="Abadi" w:eastAsia="Calibri" w:hAnsi="Abadi" w:cs="*Arial-6796-Identity-H"/>
          <w:color w:val="0D0C0F"/>
          <w:sz w:val="21"/>
          <w:szCs w:val="21"/>
          <w:lang w:val="es-MX" w:eastAsia="en-US"/>
        </w:rPr>
        <w:t xml:space="preserve">28 del Reglamento de la Ley de Fiscalización Superior del Estado de Guanajuato, se aprueba el informe de resultados formulado por la Auditoría Superior del Estado de Guanajuato, de la auditoría de desempeño practicada a la administración municipal de Salvatierra, </w:t>
      </w:r>
      <w:proofErr w:type="spellStart"/>
      <w:r w:rsidRPr="008C078F">
        <w:rPr>
          <w:rFonts w:ascii="Abadi" w:eastAsia="Calibri" w:hAnsi="Abadi" w:cs="*Arial-6796-Identity-H"/>
          <w:color w:val="0D0C0F"/>
          <w:sz w:val="21"/>
          <w:szCs w:val="21"/>
          <w:lang w:val="es-MX" w:eastAsia="en-US"/>
        </w:rPr>
        <w:t>Gto</w:t>
      </w:r>
      <w:proofErr w:type="spellEnd"/>
      <w:r w:rsidRPr="008C078F">
        <w:rPr>
          <w:rFonts w:ascii="Abadi" w:eastAsia="Calibri" w:hAnsi="Abadi" w:cs="*Arial-6796-Identity-H"/>
          <w:color w:val="0D0C0F"/>
          <w:sz w:val="21"/>
          <w:szCs w:val="21"/>
          <w:lang w:val="es-MX" w:eastAsia="en-US"/>
        </w:rPr>
        <w:t>., con enfoque a resultados del servicio de alumbrado público, por el periodo comprendido del 1 de enero al 31 de diciembre del ejercicio fiscal del año 2020.</w:t>
      </w:r>
    </w:p>
    <w:p w14:paraId="72AA3AB1" w14:textId="77777777" w:rsidR="000B3729" w:rsidRPr="008C078F" w:rsidRDefault="000B3729" w:rsidP="000B3729">
      <w:pPr>
        <w:autoSpaceDE w:val="0"/>
        <w:autoSpaceDN w:val="0"/>
        <w:adjustRightInd w:val="0"/>
        <w:jc w:val="both"/>
        <w:rPr>
          <w:rFonts w:ascii="Abadi" w:eastAsia="Calibri" w:hAnsi="Abadi" w:cs="*Arial-6796-Identity-H"/>
          <w:color w:val="0D0C0F"/>
          <w:sz w:val="21"/>
          <w:szCs w:val="21"/>
          <w:lang w:val="es-MX" w:eastAsia="en-US"/>
        </w:rPr>
      </w:pPr>
    </w:p>
    <w:p w14:paraId="079A7C8F" w14:textId="77777777" w:rsidR="000B3729" w:rsidRPr="008C078F" w:rsidRDefault="000B3729" w:rsidP="000B3729">
      <w:pPr>
        <w:autoSpaceDE w:val="0"/>
        <w:autoSpaceDN w:val="0"/>
        <w:adjustRightInd w:val="0"/>
        <w:ind w:firstLine="708"/>
        <w:jc w:val="both"/>
        <w:rPr>
          <w:rFonts w:ascii="Abadi" w:eastAsia="Calibri" w:hAnsi="Abadi" w:cs="*Arial-6796-Identity-H"/>
          <w:color w:val="0D0C0F"/>
          <w:sz w:val="21"/>
          <w:szCs w:val="21"/>
          <w:lang w:val="es-MX" w:eastAsia="en-US"/>
        </w:rPr>
      </w:pPr>
      <w:r w:rsidRPr="008C078F">
        <w:rPr>
          <w:rFonts w:ascii="Abadi" w:eastAsia="Calibri" w:hAnsi="Abadi" w:cs="*Arial-6796-Identity-H"/>
          <w:color w:val="0D0C0F"/>
          <w:sz w:val="21"/>
          <w:szCs w:val="21"/>
          <w:lang w:val="es-MX" w:eastAsia="en-US"/>
        </w:rPr>
        <w:t xml:space="preserve">Se ordena dar vista del informe de resultados al ayuntamiento del municipio de Salvatierra, </w:t>
      </w:r>
      <w:proofErr w:type="spellStart"/>
      <w:r w:rsidRPr="008C078F">
        <w:rPr>
          <w:rFonts w:ascii="Abadi" w:eastAsia="Calibri" w:hAnsi="Abadi" w:cs="*Arial-6796-Identity-H"/>
          <w:color w:val="0D0C0F"/>
          <w:sz w:val="21"/>
          <w:szCs w:val="21"/>
          <w:lang w:val="es-MX" w:eastAsia="en-US"/>
        </w:rPr>
        <w:t>Gto</w:t>
      </w:r>
      <w:proofErr w:type="spellEnd"/>
      <w:r w:rsidRPr="008C078F">
        <w:rPr>
          <w:rFonts w:ascii="Abadi" w:eastAsia="Calibri" w:hAnsi="Abadi" w:cs="*Arial-6796-Identity-H"/>
          <w:color w:val="0D0C0F"/>
          <w:sz w:val="21"/>
          <w:szCs w:val="21"/>
          <w:lang w:val="es-MX" w:eastAsia="en-US"/>
        </w:rPr>
        <w:t xml:space="preserve">.,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w:t>
      </w:r>
      <w:r w:rsidRPr="008C078F">
        <w:rPr>
          <w:rFonts w:ascii="Abadi" w:eastAsia="Calibri" w:hAnsi="Abadi" w:cs="*Times New Roman-Italic-6793-Id"/>
          <w:i/>
          <w:iCs/>
          <w:color w:val="0D0C0F"/>
          <w:sz w:val="21"/>
          <w:szCs w:val="21"/>
          <w:lang w:val="es-MX" w:eastAsia="en-US"/>
        </w:rPr>
        <w:t xml:space="preserve">y </w:t>
      </w:r>
      <w:r w:rsidRPr="008C078F">
        <w:rPr>
          <w:rFonts w:ascii="Abadi" w:eastAsia="Calibri" w:hAnsi="Abadi" w:cs="*Arial-6796-Identity-H"/>
          <w:color w:val="0D0C0F"/>
          <w:sz w:val="21"/>
          <w:szCs w:val="21"/>
          <w:lang w:val="es-MX" w:eastAsia="en-US"/>
        </w:rPr>
        <w:t>66 de la Ley de Fiscalización Superior del Estado de Guanajuato y 77 del Reglamento de dicha Ley.</w:t>
      </w:r>
    </w:p>
    <w:p w14:paraId="1179FDB0" w14:textId="77777777" w:rsidR="000B3729" w:rsidRPr="008C078F" w:rsidRDefault="000B3729" w:rsidP="000B3729">
      <w:pPr>
        <w:autoSpaceDE w:val="0"/>
        <w:autoSpaceDN w:val="0"/>
        <w:adjustRightInd w:val="0"/>
        <w:ind w:firstLine="708"/>
        <w:jc w:val="both"/>
        <w:rPr>
          <w:rFonts w:ascii="Abadi" w:eastAsia="Calibri" w:hAnsi="Abadi" w:cs="*Arial-4705-Identity-H"/>
          <w:color w:val="0F0F13"/>
          <w:sz w:val="21"/>
          <w:szCs w:val="21"/>
          <w:lang w:val="es-MX" w:eastAsia="en-US"/>
        </w:rPr>
      </w:pPr>
      <w:r w:rsidRPr="008C078F">
        <w:rPr>
          <w:rFonts w:ascii="Abadi" w:eastAsia="Calibri" w:hAnsi="Abadi" w:cs="*Arial-4705-Identity-H"/>
          <w:color w:val="0F0F13"/>
          <w:sz w:val="21"/>
          <w:szCs w:val="21"/>
          <w:lang w:val="es-MX" w:eastAsia="en-US"/>
        </w:rPr>
        <w:t xml:space="preserve">De conformidad con el artículo 37, fracción VI de la Ley de Fiscalización Superior del Estado de Guanajuato, remítase el presente acuerdo junto con su dictamen y el informe de resultados a la Auditoria Superior del Estado, para </w:t>
      </w:r>
      <w:r w:rsidRPr="008C078F">
        <w:rPr>
          <w:rFonts w:ascii="Abadi" w:eastAsia="Calibri" w:hAnsi="Abadi" w:cs="*Arial-4705-Identity-H"/>
          <w:color w:val="0C0B0E"/>
          <w:sz w:val="21"/>
          <w:szCs w:val="21"/>
          <w:lang w:val="es-MX" w:eastAsia="en-US"/>
        </w:rPr>
        <w:t>efectos de su notificación.</w:t>
      </w:r>
    </w:p>
    <w:p w14:paraId="1005F646" w14:textId="77777777" w:rsidR="000B3729" w:rsidRPr="008C078F" w:rsidRDefault="000B3729" w:rsidP="000B3729">
      <w:pPr>
        <w:spacing w:after="160" w:line="259" w:lineRule="auto"/>
        <w:jc w:val="both"/>
        <w:rPr>
          <w:rFonts w:ascii="Abadi" w:eastAsia="Calibri" w:hAnsi="Abadi" w:cs="*Arial-Bold-4704-Identity-H"/>
          <w:b/>
          <w:bCs/>
          <w:color w:val="0C0C12"/>
          <w:sz w:val="21"/>
          <w:szCs w:val="21"/>
          <w:lang w:val="es-MX" w:eastAsia="en-US"/>
        </w:rPr>
      </w:pPr>
    </w:p>
    <w:p w14:paraId="4FC58AC9" w14:textId="77777777" w:rsidR="000B3729" w:rsidRPr="008C078F" w:rsidRDefault="000B3729" w:rsidP="002E4786">
      <w:pPr>
        <w:spacing w:after="160" w:line="259" w:lineRule="auto"/>
        <w:jc w:val="center"/>
        <w:rPr>
          <w:rFonts w:ascii="Abadi" w:eastAsia="Calibri" w:hAnsi="Abadi" w:cs="*Arial-Bold-4704-Identity-H"/>
          <w:b/>
          <w:bCs/>
          <w:color w:val="0C0C12"/>
          <w:sz w:val="21"/>
          <w:szCs w:val="21"/>
          <w:lang w:val="es-MX" w:eastAsia="en-US"/>
        </w:rPr>
      </w:pPr>
      <w:r w:rsidRPr="008C078F">
        <w:rPr>
          <w:rFonts w:ascii="Abadi" w:eastAsia="Calibri" w:hAnsi="Abadi" w:cs="*Arial-Bold-4704-Identity-H"/>
          <w:b/>
          <w:bCs/>
          <w:color w:val="0C0C12"/>
          <w:sz w:val="21"/>
          <w:szCs w:val="21"/>
          <w:lang w:val="es-MX" w:eastAsia="en-US"/>
        </w:rPr>
        <w:t xml:space="preserve">Guanajuato, </w:t>
      </w:r>
      <w:proofErr w:type="spellStart"/>
      <w:r w:rsidRPr="008C078F">
        <w:rPr>
          <w:rFonts w:ascii="Abadi" w:eastAsia="Calibri" w:hAnsi="Abadi" w:cs="*Arial-Bold-4704-Identity-H"/>
          <w:b/>
          <w:bCs/>
          <w:color w:val="0C0C12"/>
          <w:sz w:val="21"/>
          <w:szCs w:val="21"/>
          <w:lang w:val="es-MX" w:eastAsia="en-US"/>
        </w:rPr>
        <w:t>Gto</w:t>
      </w:r>
      <w:proofErr w:type="spellEnd"/>
      <w:r w:rsidRPr="008C078F">
        <w:rPr>
          <w:rFonts w:ascii="Abadi" w:eastAsia="Calibri" w:hAnsi="Abadi" w:cs="*Arial-Bold-4704-Identity-H"/>
          <w:b/>
          <w:bCs/>
          <w:color w:val="0C0C12"/>
          <w:sz w:val="21"/>
          <w:szCs w:val="21"/>
          <w:lang w:val="es-MX" w:eastAsia="en-US"/>
        </w:rPr>
        <w:t>., 19 de abril de 2022</w:t>
      </w:r>
    </w:p>
    <w:p w14:paraId="686A1310" w14:textId="3936F169" w:rsidR="000B3729" w:rsidRPr="008C078F" w:rsidRDefault="000B3729" w:rsidP="002E4786">
      <w:pPr>
        <w:spacing w:after="160" w:line="259" w:lineRule="auto"/>
        <w:jc w:val="center"/>
        <w:rPr>
          <w:rFonts w:ascii="Abadi" w:eastAsia="Calibri" w:hAnsi="Abadi" w:cs="*Arial-Bold-4704-Identity-H"/>
          <w:b/>
          <w:bCs/>
          <w:color w:val="0C0C12"/>
          <w:sz w:val="21"/>
          <w:szCs w:val="21"/>
          <w:lang w:val="es-MX" w:eastAsia="en-US"/>
        </w:rPr>
      </w:pPr>
      <w:r w:rsidRPr="008C078F">
        <w:rPr>
          <w:rFonts w:ascii="Abadi" w:eastAsia="Calibri" w:hAnsi="Abadi" w:cs="*Arial-Bold-4704-Identity-H"/>
          <w:b/>
          <w:bCs/>
          <w:color w:val="0C0C12"/>
          <w:sz w:val="21"/>
          <w:szCs w:val="21"/>
          <w:lang w:val="es-MX" w:eastAsia="en-US"/>
        </w:rPr>
        <w:t>La Comisión de Hacienda y Fiscalización</w:t>
      </w:r>
    </w:p>
    <w:p w14:paraId="486A490B" w14:textId="77777777" w:rsidR="000B3729" w:rsidRPr="008C078F" w:rsidRDefault="000B3729" w:rsidP="002E4786">
      <w:pPr>
        <w:spacing w:after="160" w:line="259" w:lineRule="auto"/>
        <w:jc w:val="center"/>
        <w:rPr>
          <w:rFonts w:ascii="Abadi" w:eastAsia="Calibri" w:hAnsi="Abadi" w:cs="*Arial-Bold-4704-Identity-H"/>
          <w:b/>
          <w:bCs/>
          <w:color w:val="0C0C12"/>
          <w:sz w:val="21"/>
          <w:szCs w:val="21"/>
          <w:lang w:val="es-MX" w:eastAsia="en-US"/>
        </w:rPr>
      </w:pPr>
    </w:p>
    <w:p w14:paraId="30810AFB" w14:textId="77777777" w:rsidR="000B3729" w:rsidRPr="008C078F" w:rsidRDefault="000B3729" w:rsidP="002E4786">
      <w:pPr>
        <w:autoSpaceDE w:val="0"/>
        <w:autoSpaceDN w:val="0"/>
        <w:adjustRightInd w:val="0"/>
        <w:jc w:val="center"/>
        <w:rPr>
          <w:rFonts w:ascii="Abadi" w:eastAsia="Calibri" w:hAnsi="Abadi" w:cs="*Arial-Bold-4941-Identity-H"/>
          <w:b/>
          <w:bCs/>
          <w:color w:val="0B0B10"/>
          <w:sz w:val="21"/>
          <w:szCs w:val="21"/>
          <w:lang w:val="es-MX" w:eastAsia="en-US"/>
        </w:rPr>
      </w:pPr>
      <w:r w:rsidRPr="008C078F">
        <w:rPr>
          <w:rFonts w:ascii="Abadi" w:eastAsia="Calibri" w:hAnsi="Abadi" w:cs="*Arial-Bold-4941-Identity-H"/>
          <w:b/>
          <w:bCs/>
          <w:color w:val="0B0B10"/>
          <w:sz w:val="21"/>
          <w:szCs w:val="21"/>
          <w:lang w:val="es-MX" w:eastAsia="en-US"/>
        </w:rPr>
        <w:t>Diputado Victor Manuel Zanella Huerta</w:t>
      </w:r>
    </w:p>
    <w:p w14:paraId="126ECAB3" w14:textId="77777777" w:rsidR="002E4786" w:rsidRDefault="002E4786" w:rsidP="002E4786">
      <w:pPr>
        <w:autoSpaceDE w:val="0"/>
        <w:autoSpaceDN w:val="0"/>
        <w:adjustRightInd w:val="0"/>
        <w:rPr>
          <w:rFonts w:ascii="Abadi" w:eastAsia="Calibri" w:hAnsi="Abadi" w:cs="*Arial-Bold-4941-Identity-H"/>
          <w:b/>
          <w:bCs/>
          <w:color w:val="0B0B10"/>
          <w:sz w:val="21"/>
          <w:szCs w:val="21"/>
          <w:lang w:val="es-MX" w:eastAsia="en-US"/>
        </w:rPr>
      </w:pPr>
    </w:p>
    <w:p w14:paraId="47EB41EE" w14:textId="600A9E7B" w:rsidR="000B3729" w:rsidRPr="008C078F" w:rsidRDefault="000B3729" w:rsidP="002E4786">
      <w:pPr>
        <w:autoSpaceDE w:val="0"/>
        <w:autoSpaceDN w:val="0"/>
        <w:adjustRightInd w:val="0"/>
        <w:rPr>
          <w:rFonts w:ascii="Abadi" w:eastAsia="Calibri" w:hAnsi="Abadi" w:cs="*Arial-Bold-4941-Identity-H"/>
          <w:b/>
          <w:bCs/>
          <w:color w:val="0B0B10"/>
          <w:sz w:val="21"/>
          <w:szCs w:val="21"/>
          <w:lang w:val="es-MX" w:eastAsia="en-US"/>
        </w:rPr>
      </w:pPr>
      <w:r w:rsidRPr="008C078F">
        <w:rPr>
          <w:rFonts w:ascii="Abadi" w:eastAsia="Calibri" w:hAnsi="Abadi" w:cs="*Arial-Bold-4941-Identity-H"/>
          <w:b/>
          <w:bCs/>
          <w:color w:val="0B0B10"/>
          <w:sz w:val="21"/>
          <w:szCs w:val="21"/>
          <w:lang w:val="es-MX" w:eastAsia="en-US"/>
        </w:rPr>
        <w:t>Diputada Ruth Noemi Tiscareño Agoitia</w:t>
      </w:r>
    </w:p>
    <w:p w14:paraId="57E057AA" w14:textId="77777777" w:rsidR="000B3729" w:rsidRPr="008C078F" w:rsidRDefault="000B3729" w:rsidP="002E4786">
      <w:pPr>
        <w:autoSpaceDE w:val="0"/>
        <w:autoSpaceDN w:val="0"/>
        <w:adjustRightInd w:val="0"/>
        <w:rPr>
          <w:rFonts w:ascii="Abadi" w:eastAsia="Calibri" w:hAnsi="Abadi" w:cs="*Arial-Bold-4941-Identity-H"/>
          <w:b/>
          <w:bCs/>
          <w:color w:val="0B0B10"/>
          <w:sz w:val="21"/>
          <w:szCs w:val="21"/>
          <w:lang w:val="es-MX" w:eastAsia="en-US"/>
        </w:rPr>
      </w:pPr>
      <w:r w:rsidRPr="008C078F">
        <w:rPr>
          <w:rFonts w:ascii="Abadi" w:eastAsia="Calibri" w:hAnsi="Abadi" w:cs="*Arial-Bold-4941-Identity-H"/>
          <w:b/>
          <w:bCs/>
          <w:color w:val="0B0B10"/>
          <w:sz w:val="21"/>
          <w:szCs w:val="21"/>
          <w:lang w:val="es-MX" w:eastAsia="en-US"/>
        </w:rPr>
        <w:t xml:space="preserve">Diputado Miguel Ángel Salim </w:t>
      </w:r>
      <w:proofErr w:type="spellStart"/>
      <w:r w:rsidRPr="008C078F">
        <w:rPr>
          <w:rFonts w:ascii="Abadi" w:eastAsia="Calibri" w:hAnsi="Abadi" w:cs="*Arial-Bold-4941-Identity-H"/>
          <w:b/>
          <w:bCs/>
          <w:color w:val="0B0B10"/>
          <w:sz w:val="21"/>
          <w:szCs w:val="21"/>
          <w:lang w:val="es-MX" w:eastAsia="en-US"/>
        </w:rPr>
        <w:t>Alle</w:t>
      </w:r>
      <w:proofErr w:type="spellEnd"/>
    </w:p>
    <w:p w14:paraId="342DEDCF" w14:textId="77777777" w:rsidR="000B3729" w:rsidRPr="008C078F" w:rsidRDefault="000B3729" w:rsidP="002E4786">
      <w:pPr>
        <w:autoSpaceDE w:val="0"/>
        <w:autoSpaceDN w:val="0"/>
        <w:adjustRightInd w:val="0"/>
        <w:rPr>
          <w:rFonts w:ascii="Abadi" w:eastAsia="Calibri" w:hAnsi="Abadi" w:cs="*Arial-Bold-4941-Identity-H"/>
          <w:b/>
          <w:bCs/>
          <w:color w:val="0B0B10"/>
          <w:sz w:val="21"/>
          <w:szCs w:val="21"/>
          <w:lang w:val="es-MX" w:eastAsia="en-US"/>
        </w:rPr>
      </w:pPr>
      <w:r w:rsidRPr="008C078F">
        <w:rPr>
          <w:rFonts w:ascii="Abadi" w:eastAsia="Calibri" w:hAnsi="Abadi" w:cs="*Arial-Bold-4941-Identity-H"/>
          <w:b/>
          <w:bCs/>
          <w:color w:val="0B0B10"/>
          <w:sz w:val="21"/>
          <w:szCs w:val="21"/>
          <w:lang w:val="es-MX" w:eastAsia="en-US"/>
        </w:rPr>
        <w:t>Diputado José Alfonso Borja Pimentel</w:t>
      </w:r>
    </w:p>
    <w:p w14:paraId="316AFA6F" w14:textId="77777777" w:rsidR="000B3729" w:rsidRPr="008C078F" w:rsidRDefault="000B3729" w:rsidP="002E4786">
      <w:pPr>
        <w:autoSpaceDE w:val="0"/>
        <w:autoSpaceDN w:val="0"/>
        <w:adjustRightInd w:val="0"/>
        <w:rPr>
          <w:rFonts w:ascii="Abadi" w:eastAsia="Calibri" w:hAnsi="Abadi" w:cs="*Arial-Bold-4941-Identity-H"/>
          <w:b/>
          <w:bCs/>
          <w:color w:val="0B0B10"/>
          <w:sz w:val="21"/>
          <w:szCs w:val="21"/>
          <w:lang w:val="es-MX" w:eastAsia="en-US"/>
        </w:rPr>
      </w:pPr>
      <w:r w:rsidRPr="008C078F">
        <w:rPr>
          <w:rFonts w:ascii="Abadi" w:eastAsia="Calibri" w:hAnsi="Abadi" w:cs="*Arial-Bold-4941-Identity-H"/>
          <w:b/>
          <w:bCs/>
          <w:color w:val="0B0B10"/>
          <w:sz w:val="21"/>
          <w:szCs w:val="21"/>
          <w:lang w:val="es-MX" w:eastAsia="en-US"/>
        </w:rPr>
        <w:t>Diputada Alma Edwviges Alcaraz Hernández</w:t>
      </w:r>
    </w:p>
    <w:p w14:paraId="7C0E82A0" w14:textId="77777777" w:rsidR="000B3729" w:rsidRDefault="000B3729" w:rsidP="000B3729">
      <w:pPr>
        <w:autoSpaceDE w:val="0"/>
        <w:autoSpaceDN w:val="0"/>
        <w:adjustRightInd w:val="0"/>
        <w:jc w:val="both"/>
        <w:rPr>
          <w:rFonts w:ascii="Abadi" w:hAnsi="Abadi" w:cs="ArialMT"/>
          <w:sz w:val="20"/>
          <w:szCs w:val="21"/>
        </w:rPr>
      </w:pPr>
    </w:p>
    <w:p w14:paraId="0FCE8E98" w14:textId="77777777" w:rsidR="000B3729" w:rsidRPr="000B3729" w:rsidRDefault="000B3729" w:rsidP="000B3729">
      <w:pPr>
        <w:autoSpaceDE w:val="0"/>
        <w:autoSpaceDN w:val="0"/>
        <w:adjustRightInd w:val="0"/>
        <w:ind w:left="66"/>
        <w:jc w:val="both"/>
        <w:rPr>
          <w:rFonts w:ascii="Abadi" w:hAnsi="Abadi" w:cs="ArialMT"/>
          <w:sz w:val="20"/>
          <w:szCs w:val="21"/>
        </w:rPr>
      </w:pPr>
    </w:p>
    <w:p w14:paraId="23C00B3B" w14:textId="77777777" w:rsidR="00021259" w:rsidRPr="001D2CB5" w:rsidRDefault="00021259" w:rsidP="00343CA9">
      <w:pPr>
        <w:pStyle w:val="Prrafodelista"/>
        <w:numPr>
          <w:ilvl w:val="0"/>
          <w:numId w:val="31"/>
        </w:numPr>
        <w:autoSpaceDE w:val="0"/>
        <w:autoSpaceDN w:val="0"/>
        <w:adjustRightInd w:val="0"/>
        <w:ind w:left="426"/>
        <w:jc w:val="both"/>
        <w:rPr>
          <w:rFonts w:ascii="Abadi" w:hAnsi="Abadi" w:cs="ArialMT"/>
          <w:b/>
          <w:bCs/>
          <w:sz w:val="20"/>
          <w:szCs w:val="21"/>
        </w:rPr>
      </w:pPr>
      <w:r w:rsidRPr="001D2CB5">
        <w:rPr>
          <w:rFonts w:ascii="Abadi" w:hAnsi="Abadi" w:cs="ArialMT"/>
          <w:b/>
          <w:bCs/>
          <w:sz w:val="20"/>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SAN DIEGO DE LA UNIÓN, GTO., CON ENFOQUE A RESULTADOS DEL SERVICIO DE ALUMBRADO PÚBLICO, POR EL PERIODO COMPRENDIDO DEL 1 DE ENERO AL 31 DE DICIEMBRE DEL EJERCICIO FISCAL DEL AÑO 2020.</w:t>
      </w:r>
    </w:p>
    <w:p w14:paraId="22F67151" w14:textId="77777777" w:rsidR="00264F2F" w:rsidRDefault="00264F2F" w:rsidP="00021259">
      <w:pPr>
        <w:autoSpaceDE w:val="0"/>
        <w:autoSpaceDN w:val="0"/>
        <w:adjustRightInd w:val="0"/>
        <w:jc w:val="both"/>
        <w:rPr>
          <w:rFonts w:ascii="Abadi" w:hAnsi="Abadi" w:cs="ArialMT"/>
          <w:sz w:val="20"/>
          <w:szCs w:val="21"/>
        </w:rPr>
      </w:pPr>
    </w:p>
    <w:p w14:paraId="440F95DC" w14:textId="77777777" w:rsidR="00264F2F" w:rsidRDefault="00264F2F" w:rsidP="00021259">
      <w:pPr>
        <w:autoSpaceDE w:val="0"/>
        <w:autoSpaceDN w:val="0"/>
        <w:adjustRightInd w:val="0"/>
        <w:jc w:val="both"/>
        <w:rPr>
          <w:rFonts w:ascii="Abadi" w:hAnsi="Abadi" w:cs="ArialMT"/>
          <w:sz w:val="20"/>
          <w:szCs w:val="21"/>
        </w:rPr>
      </w:pPr>
    </w:p>
    <w:p w14:paraId="5DC9BE26" w14:textId="540218E7" w:rsidR="00F51FA1" w:rsidRPr="00F51FA1" w:rsidRDefault="00F51FA1" w:rsidP="00F51FA1">
      <w:pPr>
        <w:autoSpaceDE w:val="0"/>
        <w:autoSpaceDN w:val="0"/>
        <w:adjustRightInd w:val="0"/>
        <w:rPr>
          <w:rFonts w:ascii="Abadi" w:eastAsia="Calibri" w:hAnsi="Abadi" w:cs="*Arial-Bold-6977-Identity-H"/>
          <w:b/>
          <w:bCs/>
          <w:color w:val="0F0F13"/>
          <w:sz w:val="21"/>
          <w:szCs w:val="21"/>
          <w:lang w:val="es-MX" w:eastAsia="en-US"/>
        </w:rPr>
      </w:pPr>
      <w:r w:rsidRPr="00F51FA1">
        <w:rPr>
          <w:rFonts w:ascii="Abadi" w:eastAsia="Calibri" w:hAnsi="Abadi" w:cs="*Arial-Bold-6977-Identity-H"/>
          <w:b/>
          <w:bCs/>
          <w:color w:val="0F0F13"/>
          <w:sz w:val="21"/>
          <w:szCs w:val="21"/>
          <w:lang w:val="es-MX" w:eastAsia="en-US"/>
        </w:rPr>
        <w:t>C. PRESIDENTA DEL CONGRESO DEL ESTADO.</w:t>
      </w:r>
    </w:p>
    <w:p w14:paraId="1F90A235" w14:textId="269B4CB4" w:rsidR="00F51FA1" w:rsidRPr="00F51FA1" w:rsidRDefault="00F51FA1" w:rsidP="00F51FA1">
      <w:pPr>
        <w:autoSpaceDE w:val="0"/>
        <w:autoSpaceDN w:val="0"/>
        <w:adjustRightInd w:val="0"/>
        <w:rPr>
          <w:rFonts w:ascii="Abadi" w:eastAsia="Calibri" w:hAnsi="Abadi" w:cs="*Arial-Bold-6977-Identity-H"/>
          <w:b/>
          <w:bCs/>
          <w:color w:val="0F0F13"/>
          <w:sz w:val="21"/>
          <w:szCs w:val="21"/>
          <w:lang w:val="es-MX" w:eastAsia="en-US"/>
        </w:rPr>
      </w:pPr>
      <w:r w:rsidRPr="00F51FA1">
        <w:rPr>
          <w:rFonts w:ascii="Abadi" w:eastAsia="Calibri" w:hAnsi="Abadi" w:cs="*Arial-Bold-6977-Identity-H"/>
          <w:b/>
          <w:bCs/>
          <w:color w:val="0F0F13"/>
          <w:sz w:val="21"/>
          <w:szCs w:val="21"/>
          <w:lang w:val="es-MX" w:eastAsia="en-US"/>
        </w:rPr>
        <w:t>P R E S</w:t>
      </w:r>
      <w:r w:rsidR="00ED6D08">
        <w:rPr>
          <w:rFonts w:ascii="Abadi" w:eastAsia="Calibri" w:hAnsi="Abadi" w:cs="*Arial-Bold-6977-Identity-H"/>
          <w:b/>
          <w:bCs/>
          <w:color w:val="0F0F13"/>
          <w:sz w:val="21"/>
          <w:szCs w:val="21"/>
          <w:lang w:val="es-MX" w:eastAsia="en-US"/>
        </w:rPr>
        <w:t xml:space="preserve"> </w:t>
      </w:r>
      <w:r w:rsidRPr="00F51FA1">
        <w:rPr>
          <w:rFonts w:ascii="Abadi" w:eastAsia="Calibri" w:hAnsi="Abadi" w:cs="*Arial-Bold-6977-Identity-H"/>
          <w:b/>
          <w:bCs/>
          <w:color w:val="0F0F13"/>
          <w:sz w:val="21"/>
          <w:szCs w:val="21"/>
          <w:lang w:val="es-MX" w:eastAsia="en-US"/>
        </w:rPr>
        <w:t>E N T</w:t>
      </w:r>
      <w:r w:rsidR="00ED6D08">
        <w:rPr>
          <w:rFonts w:ascii="Abadi" w:eastAsia="Calibri" w:hAnsi="Abadi" w:cs="*Arial-Bold-6977-Identity-H"/>
          <w:b/>
          <w:bCs/>
          <w:color w:val="0F0F13"/>
          <w:sz w:val="21"/>
          <w:szCs w:val="21"/>
          <w:lang w:val="es-MX" w:eastAsia="en-US"/>
        </w:rPr>
        <w:t xml:space="preserve"> </w:t>
      </w:r>
      <w:r w:rsidRPr="00F51FA1">
        <w:rPr>
          <w:rFonts w:ascii="Abadi" w:eastAsia="Calibri" w:hAnsi="Abadi" w:cs="*Arial-Bold-6977-Identity-H"/>
          <w:b/>
          <w:bCs/>
          <w:color w:val="0F0F13"/>
          <w:sz w:val="21"/>
          <w:szCs w:val="21"/>
          <w:lang w:val="es-MX" w:eastAsia="en-US"/>
        </w:rPr>
        <w:t>E.</w:t>
      </w:r>
    </w:p>
    <w:p w14:paraId="0AAB7C09" w14:textId="77777777" w:rsidR="00F51FA1" w:rsidRPr="00F51FA1" w:rsidRDefault="00F51FA1" w:rsidP="00F51FA1">
      <w:pPr>
        <w:autoSpaceDE w:val="0"/>
        <w:autoSpaceDN w:val="0"/>
        <w:adjustRightInd w:val="0"/>
        <w:rPr>
          <w:rFonts w:ascii="Abadi" w:eastAsia="Calibri" w:hAnsi="Abadi" w:cs="*Arial-Bold-6977-Identity-H"/>
          <w:b/>
          <w:bCs/>
          <w:color w:val="0F0F13"/>
          <w:sz w:val="21"/>
          <w:szCs w:val="21"/>
          <w:lang w:val="es-MX" w:eastAsia="en-US"/>
        </w:rPr>
      </w:pPr>
    </w:p>
    <w:p w14:paraId="6FC22242" w14:textId="77777777" w:rsidR="00F51FA1" w:rsidRDefault="00F51FA1" w:rsidP="00D42B56">
      <w:pPr>
        <w:autoSpaceDE w:val="0"/>
        <w:autoSpaceDN w:val="0"/>
        <w:adjustRightInd w:val="0"/>
        <w:ind w:firstLine="708"/>
        <w:jc w:val="both"/>
        <w:rPr>
          <w:rFonts w:ascii="Abadi" w:eastAsia="Calibri" w:hAnsi="Abadi" w:cs="*Arial-6975-Identity-H"/>
          <w:color w:val="0C0C0E"/>
          <w:sz w:val="21"/>
          <w:szCs w:val="21"/>
          <w:lang w:val="es-MX" w:eastAsia="en-US"/>
        </w:rPr>
      </w:pPr>
      <w:r w:rsidRPr="00F51FA1">
        <w:rPr>
          <w:rFonts w:ascii="Abadi" w:eastAsia="Calibri" w:hAnsi="Abadi" w:cs="*Arial-6975-Identity-H"/>
          <w:color w:val="0C0C0E"/>
          <w:sz w:val="21"/>
          <w:szCs w:val="21"/>
          <w:lang w:val="es-MX" w:eastAsia="en-US"/>
        </w:rPr>
        <w:t xml:space="preserve">A esta Comisión de Hacienda y Fiscalización le fue turnado para su estudio y dictamen, el informe de resultados de la auditoría de desempeño practicada por la Auditoría Superior del Estado de Guanajuato a la administración municipal de San Diego de la Unión, </w:t>
      </w:r>
      <w:proofErr w:type="spellStart"/>
      <w:r w:rsidRPr="00F51FA1">
        <w:rPr>
          <w:rFonts w:ascii="Abadi" w:eastAsia="Calibri" w:hAnsi="Abadi" w:cs="*Arial-6975-Identity-H"/>
          <w:color w:val="0C0C0E"/>
          <w:sz w:val="21"/>
          <w:szCs w:val="21"/>
          <w:lang w:val="es-MX" w:eastAsia="en-US"/>
        </w:rPr>
        <w:t>Gto</w:t>
      </w:r>
      <w:proofErr w:type="spellEnd"/>
      <w:r w:rsidRPr="00F51FA1">
        <w:rPr>
          <w:rFonts w:ascii="Abadi" w:eastAsia="Calibri" w:hAnsi="Abadi" w:cs="*Arial-6975-Identity-H"/>
          <w:color w:val="0C0C0E"/>
          <w:sz w:val="21"/>
          <w:szCs w:val="21"/>
          <w:lang w:val="es-MX" w:eastAsia="en-US"/>
        </w:rPr>
        <w:t xml:space="preserve">., con enfoque a resultados del servicio de alumbrado público, por el periodo comprendido del 1 de enero al 31 de diciembre del ejercicio fiscal del año 2020. </w:t>
      </w:r>
    </w:p>
    <w:p w14:paraId="50FA08F9" w14:textId="77777777" w:rsidR="002E4786" w:rsidRPr="00F51FA1" w:rsidRDefault="002E4786" w:rsidP="00F51FA1">
      <w:pPr>
        <w:autoSpaceDE w:val="0"/>
        <w:autoSpaceDN w:val="0"/>
        <w:adjustRightInd w:val="0"/>
        <w:jc w:val="both"/>
        <w:rPr>
          <w:rFonts w:ascii="Abadi" w:eastAsia="Calibri" w:hAnsi="Abadi" w:cs="*Arial-6975-Identity-H"/>
          <w:color w:val="0C0C0E"/>
          <w:sz w:val="21"/>
          <w:szCs w:val="21"/>
          <w:lang w:val="es-MX" w:eastAsia="en-US"/>
        </w:rPr>
      </w:pPr>
    </w:p>
    <w:p w14:paraId="05A938A3" w14:textId="77777777" w:rsidR="00F51FA1" w:rsidRPr="00F51FA1" w:rsidRDefault="00F51FA1" w:rsidP="002E4786">
      <w:pPr>
        <w:autoSpaceDE w:val="0"/>
        <w:autoSpaceDN w:val="0"/>
        <w:adjustRightInd w:val="0"/>
        <w:ind w:firstLine="708"/>
        <w:jc w:val="both"/>
        <w:rPr>
          <w:rFonts w:ascii="Abadi" w:eastAsia="Calibri" w:hAnsi="Abadi" w:cs="*Arial-6975-Identity-H"/>
          <w:color w:val="0C0C0E"/>
          <w:sz w:val="21"/>
          <w:szCs w:val="21"/>
          <w:lang w:val="es-MX" w:eastAsia="en-US"/>
        </w:rPr>
      </w:pPr>
      <w:r w:rsidRPr="00F51FA1">
        <w:rPr>
          <w:rFonts w:ascii="Abadi" w:eastAsia="Calibri" w:hAnsi="Abadi" w:cs="*Arial-6975-Identity-H"/>
          <w:color w:val="0B0B0D"/>
          <w:sz w:val="21"/>
          <w:szCs w:val="21"/>
          <w:lang w:val="es-MX" w:eastAsia="en-US"/>
        </w:rPr>
        <w:t>Una vez analizado el referido informe de resultados, con fundamento en los artículos 112 fracción XII, primer párrafo y 171 de la Ley Orgánica del Poder Legislativo, nos permitimos rendir el siguiente:</w:t>
      </w:r>
    </w:p>
    <w:p w14:paraId="47EE8607" w14:textId="77777777" w:rsidR="00F51FA1" w:rsidRPr="00F51FA1" w:rsidRDefault="00F51FA1" w:rsidP="00F51FA1">
      <w:pPr>
        <w:autoSpaceDE w:val="0"/>
        <w:autoSpaceDN w:val="0"/>
        <w:adjustRightInd w:val="0"/>
        <w:rPr>
          <w:rFonts w:ascii="Abadi" w:eastAsia="Calibri" w:hAnsi="Abadi" w:cs="*Arial-Bold-6976-Identity-H"/>
          <w:b/>
          <w:bCs/>
          <w:color w:val="0C0B11"/>
          <w:sz w:val="21"/>
          <w:szCs w:val="21"/>
          <w:lang w:val="es-MX" w:eastAsia="en-US"/>
        </w:rPr>
      </w:pPr>
    </w:p>
    <w:p w14:paraId="249898F4" w14:textId="77777777" w:rsidR="00F51FA1" w:rsidRPr="00F51FA1" w:rsidRDefault="00F51FA1" w:rsidP="00F51FA1">
      <w:pPr>
        <w:autoSpaceDE w:val="0"/>
        <w:autoSpaceDN w:val="0"/>
        <w:adjustRightInd w:val="0"/>
        <w:jc w:val="center"/>
        <w:rPr>
          <w:rFonts w:ascii="Abadi" w:eastAsia="Calibri" w:hAnsi="Abadi" w:cs="*Arial-Bold-6976-Identity-H"/>
          <w:b/>
          <w:bCs/>
          <w:color w:val="0C0B11"/>
          <w:sz w:val="21"/>
          <w:szCs w:val="21"/>
          <w:lang w:val="es-MX" w:eastAsia="en-US"/>
        </w:rPr>
      </w:pPr>
      <w:r w:rsidRPr="00F51FA1">
        <w:rPr>
          <w:rFonts w:ascii="Abadi" w:eastAsia="Calibri" w:hAnsi="Abadi" w:cs="*Arial-Bold-6976-Identity-H"/>
          <w:b/>
          <w:bCs/>
          <w:color w:val="0C0B11"/>
          <w:sz w:val="21"/>
          <w:szCs w:val="21"/>
          <w:lang w:val="es-MX" w:eastAsia="en-US"/>
        </w:rPr>
        <w:t>Dictamen</w:t>
      </w:r>
    </w:p>
    <w:p w14:paraId="72827473" w14:textId="77777777" w:rsidR="000B3729" w:rsidRDefault="000B3729" w:rsidP="00F51FA1">
      <w:pPr>
        <w:autoSpaceDE w:val="0"/>
        <w:autoSpaceDN w:val="0"/>
        <w:adjustRightInd w:val="0"/>
        <w:rPr>
          <w:rFonts w:ascii="Abadi" w:eastAsia="Calibri" w:hAnsi="Abadi" w:cs="*Arial-Bold-6976-Identity-H"/>
          <w:b/>
          <w:bCs/>
          <w:color w:val="0C0B11"/>
          <w:sz w:val="21"/>
          <w:szCs w:val="21"/>
          <w:lang w:val="es-MX" w:eastAsia="en-US"/>
        </w:rPr>
      </w:pPr>
    </w:p>
    <w:p w14:paraId="0D309D63" w14:textId="77777777" w:rsidR="00F51FA1" w:rsidRPr="00F51FA1" w:rsidRDefault="00F51FA1" w:rsidP="00D42B56">
      <w:pPr>
        <w:autoSpaceDE w:val="0"/>
        <w:autoSpaceDN w:val="0"/>
        <w:adjustRightInd w:val="0"/>
        <w:ind w:firstLine="708"/>
        <w:rPr>
          <w:rFonts w:ascii="Abadi" w:eastAsia="Calibri" w:hAnsi="Abadi" w:cs="*Arial-Bold-6976-Identity-H"/>
          <w:b/>
          <w:bCs/>
          <w:color w:val="0C0B11"/>
          <w:sz w:val="21"/>
          <w:szCs w:val="21"/>
          <w:lang w:val="es-MX" w:eastAsia="en-US"/>
        </w:rPr>
      </w:pPr>
      <w:r w:rsidRPr="00F51FA1">
        <w:rPr>
          <w:rFonts w:ascii="Abadi" w:eastAsia="Calibri" w:hAnsi="Abadi" w:cs="*Arial-Bold-6976-Identity-H"/>
          <w:b/>
          <w:bCs/>
          <w:color w:val="0C0B11"/>
          <w:sz w:val="21"/>
          <w:szCs w:val="21"/>
          <w:lang w:val="es-MX" w:eastAsia="en-US"/>
        </w:rPr>
        <w:t>l. Competencia:</w:t>
      </w:r>
    </w:p>
    <w:p w14:paraId="1D12A327" w14:textId="77777777" w:rsidR="00F51FA1" w:rsidRPr="00F51FA1" w:rsidRDefault="00F51FA1" w:rsidP="00F51FA1">
      <w:pPr>
        <w:autoSpaceDE w:val="0"/>
        <w:autoSpaceDN w:val="0"/>
        <w:adjustRightInd w:val="0"/>
        <w:rPr>
          <w:rFonts w:ascii="Abadi" w:eastAsia="Calibri" w:hAnsi="Abadi" w:cs="*Arial-6975-Identity-H"/>
          <w:color w:val="0C0C0F"/>
          <w:sz w:val="21"/>
          <w:szCs w:val="21"/>
          <w:lang w:val="es-MX" w:eastAsia="en-US"/>
        </w:rPr>
      </w:pPr>
    </w:p>
    <w:p w14:paraId="6F09CDE1" w14:textId="0DD3D984" w:rsidR="00F51FA1" w:rsidRPr="00F51FA1" w:rsidRDefault="00F51FA1" w:rsidP="00D42B56">
      <w:pPr>
        <w:autoSpaceDE w:val="0"/>
        <w:autoSpaceDN w:val="0"/>
        <w:adjustRightInd w:val="0"/>
        <w:ind w:firstLine="708"/>
        <w:jc w:val="both"/>
        <w:rPr>
          <w:rFonts w:ascii="Abadi" w:eastAsia="Calibri" w:hAnsi="Abadi" w:cs="*Arial-6975-Identity-H"/>
          <w:color w:val="0C0C0F"/>
          <w:sz w:val="21"/>
          <w:szCs w:val="21"/>
          <w:lang w:val="es-MX" w:eastAsia="en-US"/>
        </w:rPr>
      </w:pPr>
      <w:r w:rsidRPr="00F51FA1">
        <w:rPr>
          <w:rFonts w:ascii="Abadi" w:eastAsia="Calibri" w:hAnsi="Abadi" w:cs="*Arial-6975-Identity-H"/>
          <w:color w:val="0C0C0F"/>
          <w:sz w:val="21"/>
          <w:szCs w:val="21"/>
          <w:lang w:val="es-MX" w:eastAsia="en-US"/>
        </w:rPr>
        <w:t xml:space="preserve">Las facultades de la legislatura local en materia de fiscalización de las cuentas públicas tienen su fundamento en lo dispuesto por el artículo 63 fracciones </w:t>
      </w:r>
      <w:r w:rsidRPr="00ED6D08">
        <w:rPr>
          <w:rFonts w:ascii="Abadi" w:eastAsia="Calibri" w:hAnsi="Abadi" w:cs="*Microsoft Sans Serif-Bold-6978"/>
          <w:color w:val="0C0C0F"/>
          <w:sz w:val="21"/>
          <w:szCs w:val="21"/>
          <w:lang w:val="es-MX" w:eastAsia="en-US"/>
        </w:rPr>
        <w:t xml:space="preserve">XVIII, XIX </w:t>
      </w:r>
      <w:r w:rsidRPr="00ED6D08">
        <w:rPr>
          <w:rFonts w:ascii="Abadi" w:eastAsia="Calibri" w:hAnsi="Abadi" w:cs="*Arial-6975-Identity-H"/>
          <w:color w:val="0C0C0F"/>
          <w:sz w:val="21"/>
          <w:szCs w:val="21"/>
          <w:lang w:val="es-MX" w:eastAsia="en-US"/>
        </w:rPr>
        <w:t xml:space="preserve">y </w:t>
      </w:r>
      <w:r w:rsidRPr="00ED6D08">
        <w:rPr>
          <w:rFonts w:ascii="Abadi" w:eastAsia="Calibri" w:hAnsi="Abadi" w:cs="*Microsoft Sans Serif-Bold-6978"/>
          <w:color w:val="0C0C0F"/>
          <w:sz w:val="21"/>
          <w:szCs w:val="21"/>
          <w:lang w:val="es-MX" w:eastAsia="en-US"/>
        </w:rPr>
        <w:t xml:space="preserve">XXVIII </w:t>
      </w:r>
      <w:r w:rsidRPr="00ED6D08">
        <w:rPr>
          <w:rFonts w:ascii="Abadi" w:eastAsia="Calibri" w:hAnsi="Abadi" w:cs="*Arial-6975-Identity-H"/>
          <w:color w:val="0C0C0F"/>
          <w:sz w:val="21"/>
          <w:szCs w:val="21"/>
          <w:lang w:val="es-MX" w:eastAsia="en-US"/>
        </w:rPr>
        <w:t>de</w:t>
      </w:r>
      <w:r w:rsidRPr="00F51FA1">
        <w:rPr>
          <w:rFonts w:ascii="Abadi" w:eastAsia="Calibri" w:hAnsi="Abadi" w:cs="*Arial-6975-Identity-H"/>
          <w:color w:val="0C0C0F"/>
          <w:sz w:val="21"/>
          <w:szCs w:val="21"/>
          <w:lang w:val="es-MX" w:eastAsia="en-US"/>
        </w:rPr>
        <w:t xml:space="preserve"> la Constitución </w:t>
      </w:r>
      <w:r w:rsidR="000B3729" w:rsidRPr="00F51FA1">
        <w:rPr>
          <w:rFonts w:ascii="Abadi" w:eastAsia="Calibri" w:hAnsi="Abadi" w:cs="*Arial-6975-Identity-H"/>
          <w:color w:val="0C0C0F"/>
          <w:sz w:val="21"/>
          <w:szCs w:val="21"/>
          <w:lang w:val="es-MX" w:eastAsia="en-US"/>
        </w:rPr>
        <w:t>Política</w:t>
      </w:r>
      <w:r w:rsidRPr="00F51FA1">
        <w:rPr>
          <w:rFonts w:ascii="Abadi" w:eastAsia="Calibri" w:hAnsi="Abadi" w:cs="*Arial-6975-Identity-H"/>
          <w:color w:val="0C0C0F"/>
          <w:sz w:val="21"/>
          <w:szCs w:val="21"/>
          <w:lang w:val="es-MX" w:eastAsia="en-US"/>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662C3236" w14:textId="77777777" w:rsidR="00F51FA1" w:rsidRPr="00F51FA1" w:rsidRDefault="00F51FA1" w:rsidP="00F51FA1">
      <w:pPr>
        <w:autoSpaceDE w:val="0"/>
        <w:autoSpaceDN w:val="0"/>
        <w:adjustRightInd w:val="0"/>
        <w:jc w:val="both"/>
        <w:rPr>
          <w:rFonts w:ascii="Abadi" w:eastAsia="Calibri" w:hAnsi="Abadi" w:cs="*Arial-6975-Identity-H"/>
          <w:color w:val="0C0B0E"/>
          <w:sz w:val="21"/>
          <w:szCs w:val="21"/>
          <w:lang w:val="es-MX" w:eastAsia="en-US"/>
        </w:rPr>
      </w:pPr>
    </w:p>
    <w:p w14:paraId="488F3D06" w14:textId="77777777" w:rsidR="00F51FA1" w:rsidRPr="00F51FA1" w:rsidRDefault="00F51FA1" w:rsidP="00D42B56">
      <w:pPr>
        <w:autoSpaceDE w:val="0"/>
        <w:autoSpaceDN w:val="0"/>
        <w:adjustRightInd w:val="0"/>
        <w:ind w:firstLine="708"/>
        <w:jc w:val="both"/>
        <w:rPr>
          <w:rFonts w:ascii="Abadi" w:eastAsia="Calibri" w:hAnsi="Abadi" w:cs="*Arial-6975-Identity-H"/>
          <w:color w:val="0C0B0E"/>
          <w:sz w:val="21"/>
          <w:szCs w:val="21"/>
          <w:lang w:val="es-MX" w:eastAsia="en-US"/>
        </w:rPr>
      </w:pPr>
      <w:r w:rsidRPr="00F51FA1">
        <w:rPr>
          <w:rFonts w:ascii="Abadi" w:eastAsia="Calibri" w:hAnsi="Abadi" w:cs="*Arial-6975-Identity-H"/>
          <w:color w:val="0C0B0E"/>
          <w:sz w:val="21"/>
          <w:szCs w:val="21"/>
          <w:lang w:val="es-MX" w:eastAsia="en-US"/>
        </w:rPr>
        <w:t>Asimismo, el artículo 66 fracción VIII de dicho Ordenamiento Constitucional establece que la Auditoria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A24EF3D" w14:textId="77777777" w:rsidR="00F51FA1" w:rsidRPr="00F51FA1" w:rsidRDefault="00F51FA1" w:rsidP="00F51FA1">
      <w:pPr>
        <w:autoSpaceDE w:val="0"/>
        <w:autoSpaceDN w:val="0"/>
        <w:adjustRightInd w:val="0"/>
        <w:rPr>
          <w:rFonts w:ascii="Abadi" w:eastAsia="Calibri" w:hAnsi="Abadi" w:cs="*Microsoft Sans Serif-Bold-6658"/>
          <w:b/>
          <w:bCs/>
          <w:color w:val="27272C"/>
          <w:sz w:val="21"/>
          <w:szCs w:val="21"/>
          <w:lang w:val="es-MX" w:eastAsia="en-US"/>
        </w:rPr>
      </w:pPr>
    </w:p>
    <w:p w14:paraId="35FACBC1" w14:textId="77777777" w:rsidR="00F51FA1" w:rsidRPr="00F51FA1" w:rsidRDefault="00F51FA1" w:rsidP="00D42B56">
      <w:pPr>
        <w:autoSpaceDE w:val="0"/>
        <w:autoSpaceDN w:val="0"/>
        <w:adjustRightInd w:val="0"/>
        <w:ind w:firstLine="708"/>
        <w:jc w:val="both"/>
        <w:rPr>
          <w:rFonts w:ascii="Abadi" w:eastAsia="Calibri" w:hAnsi="Abadi" w:cs="*Arial-6654-Identity-H"/>
          <w:color w:val="0C0C0E"/>
          <w:sz w:val="21"/>
          <w:szCs w:val="21"/>
          <w:lang w:val="es-MX" w:eastAsia="en-US"/>
        </w:rPr>
      </w:pPr>
      <w:r w:rsidRPr="00F51FA1">
        <w:rPr>
          <w:rFonts w:ascii="Abadi" w:eastAsia="Calibri" w:hAnsi="Abadi" w:cs="*Arial-6654-Identity-H"/>
          <w:color w:val="0C0C0E"/>
          <w:sz w:val="21"/>
          <w:szCs w:val="21"/>
          <w:lang w:val="es-MX" w:eastAsia="en-US"/>
        </w:rPr>
        <w:t xml:space="preserve">De igual forma, el artículo 82, fracción </w:t>
      </w:r>
      <w:r w:rsidRPr="00ED6D08">
        <w:rPr>
          <w:rFonts w:ascii="Abadi" w:eastAsia="Calibri" w:hAnsi="Abadi" w:cs="*Microsoft Sans Serif-Bold-6657"/>
          <w:color w:val="0C0C0E"/>
          <w:sz w:val="21"/>
          <w:szCs w:val="21"/>
          <w:lang w:val="es-MX" w:eastAsia="en-US"/>
        </w:rPr>
        <w:t xml:space="preserve">XXIV </w:t>
      </w:r>
      <w:r w:rsidRPr="00F51FA1">
        <w:rPr>
          <w:rFonts w:ascii="Abadi" w:eastAsia="Calibri" w:hAnsi="Abadi" w:cs="*Arial-6654-Identity-H"/>
          <w:color w:val="0C0C0E"/>
          <w:sz w:val="21"/>
          <w:szCs w:val="21"/>
          <w:lang w:val="es-MX" w:eastAsia="en-US"/>
        </w:rPr>
        <w:t>de la Ley de Fiscalización Superior del Estado de Guanajuato establece como atribución de la Auditoría Superior del Estado, rendir al Congreso, los informes derivados del ejercicio de la función de fiscalización.</w:t>
      </w:r>
    </w:p>
    <w:p w14:paraId="716787B9" w14:textId="77777777" w:rsidR="00F51FA1" w:rsidRPr="00F51FA1" w:rsidRDefault="00F51FA1" w:rsidP="001D5E2A">
      <w:pPr>
        <w:autoSpaceDE w:val="0"/>
        <w:autoSpaceDN w:val="0"/>
        <w:adjustRightInd w:val="0"/>
        <w:jc w:val="both"/>
        <w:rPr>
          <w:rFonts w:ascii="Abadi" w:eastAsia="Calibri" w:hAnsi="Abadi" w:cs="*Arial-6654-Identity-H"/>
          <w:color w:val="0D0C0F"/>
          <w:sz w:val="21"/>
          <w:szCs w:val="21"/>
          <w:lang w:val="es-MX" w:eastAsia="en-US"/>
        </w:rPr>
      </w:pPr>
    </w:p>
    <w:p w14:paraId="337D627C" w14:textId="4F76EB17" w:rsidR="00F51FA1" w:rsidRPr="00F51FA1" w:rsidRDefault="00F51FA1" w:rsidP="00D42B56">
      <w:pPr>
        <w:autoSpaceDE w:val="0"/>
        <w:autoSpaceDN w:val="0"/>
        <w:adjustRightInd w:val="0"/>
        <w:ind w:firstLine="708"/>
        <w:jc w:val="both"/>
        <w:rPr>
          <w:rFonts w:ascii="Abadi" w:eastAsia="Calibri" w:hAnsi="Abadi" w:cs="*Arial-6654-Identity-H"/>
          <w:color w:val="0D0C0F"/>
          <w:sz w:val="21"/>
          <w:szCs w:val="21"/>
          <w:lang w:val="es-MX" w:eastAsia="en-US"/>
        </w:rPr>
      </w:pPr>
      <w:r w:rsidRPr="00F51FA1">
        <w:rPr>
          <w:rFonts w:ascii="Abadi" w:eastAsia="Calibri" w:hAnsi="Abadi" w:cs="*Arial-6654-Identity-H"/>
          <w:color w:val="0D0C0F"/>
          <w:sz w:val="21"/>
          <w:szCs w:val="21"/>
          <w:lang w:val="es-MX" w:eastAsia="en-US"/>
        </w:rPr>
        <w:t xml:space="preserve">En razón de lo cual, la Ley </w:t>
      </w:r>
      <w:r w:rsidR="001D5E2A" w:rsidRPr="00F51FA1">
        <w:rPr>
          <w:rFonts w:ascii="Abadi" w:eastAsia="Calibri" w:hAnsi="Abadi" w:cs="*Arial-6654-Identity-H"/>
          <w:color w:val="0D0C0F"/>
          <w:sz w:val="21"/>
          <w:szCs w:val="21"/>
          <w:lang w:val="es-MX" w:eastAsia="en-US"/>
        </w:rPr>
        <w:t xml:space="preserve">de </w:t>
      </w:r>
      <w:r w:rsidR="001D5E2A">
        <w:rPr>
          <w:rFonts w:ascii="Abadi" w:eastAsia="Calibri" w:hAnsi="Abadi" w:cs="*Arial-6654-Identity-H"/>
          <w:color w:val="0D0C0F"/>
          <w:sz w:val="21"/>
          <w:szCs w:val="21"/>
          <w:lang w:val="es-MX" w:eastAsia="en-US"/>
        </w:rPr>
        <w:t>Fiscalización</w:t>
      </w:r>
      <w:r w:rsidRPr="00F51FA1">
        <w:rPr>
          <w:rFonts w:ascii="Abadi" w:eastAsia="Calibri" w:hAnsi="Abadi" w:cs="*Arial-6654-Identity-H"/>
          <w:color w:val="0D0C0F"/>
          <w:sz w:val="21"/>
          <w:szCs w:val="21"/>
          <w:lang w:val="es-MX" w:eastAsia="en-US"/>
        </w:rPr>
        <w:t xml:space="preserve">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w:t>
      </w:r>
      <w:r w:rsidR="001D5E2A">
        <w:rPr>
          <w:rFonts w:ascii="Abadi" w:eastAsia="Calibri" w:hAnsi="Abadi" w:cs="*Arial-6654-Identity-H"/>
          <w:color w:val="0D0C0F"/>
          <w:sz w:val="21"/>
          <w:szCs w:val="21"/>
          <w:lang w:val="es-MX" w:eastAsia="en-US"/>
        </w:rPr>
        <w:t xml:space="preserve"> </w:t>
      </w:r>
      <w:r w:rsidRPr="00F51FA1">
        <w:rPr>
          <w:rFonts w:ascii="Abadi" w:eastAsia="Calibri" w:hAnsi="Abadi" w:cs="*Arial-6654-Identity-H"/>
          <w:color w:val="0D0C0F"/>
          <w:sz w:val="21"/>
          <w:szCs w:val="21"/>
          <w:lang w:val="es-MX" w:eastAsia="en-US"/>
        </w:rPr>
        <w:t>integrantes del Congreso, cuando no se observen las formalidades esenciales del proceso de fiscalización.</w:t>
      </w:r>
    </w:p>
    <w:p w14:paraId="6C37EBBD" w14:textId="77777777" w:rsidR="00F51FA1" w:rsidRPr="00F51FA1" w:rsidRDefault="00F51FA1" w:rsidP="00F51FA1">
      <w:pPr>
        <w:autoSpaceDE w:val="0"/>
        <w:autoSpaceDN w:val="0"/>
        <w:adjustRightInd w:val="0"/>
        <w:rPr>
          <w:rFonts w:ascii="Abadi" w:eastAsia="Calibri" w:hAnsi="Abadi" w:cs="*Arial-6654-Identity-H"/>
          <w:color w:val="0D0D0F"/>
          <w:sz w:val="21"/>
          <w:szCs w:val="21"/>
          <w:lang w:val="es-MX" w:eastAsia="en-US"/>
        </w:rPr>
      </w:pPr>
    </w:p>
    <w:p w14:paraId="385B9072" w14:textId="77777777" w:rsidR="00F51FA1" w:rsidRPr="00F51FA1" w:rsidRDefault="00F51FA1" w:rsidP="006B4951">
      <w:pPr>
        <w:autoSpaceDE w:val="0"/>
        <w:autoSpaceDN w:val="0"/>
        <w:adjustRightInd w:val="0"/>
        <w:ind w:firstLine="708"/>
        <w:jc w:val="both"/>
        <w:rPr>
          <w:rFonts w:ascii="Abadi" w:eastAsia="Calibri" w:hAnsi="Abadi" w:cs="*Arial-6654-Identity-H"/>
          <w:color w:val="0D0D0F"/>
          <w:sz w:val="21"/>
          <w:szCs w:val="21"/>
          <w:lang w:val="es-MX" w:eastAsia="en-US"/>
        </w:rPr>
      </w:pPr>
      <w:r w:rsidRPr="00F51FA1">
        <w:rPr>
          <w:rFonts w:ascii="Abadi" w:eastAsia="Calibri" w:hAnsi="Abadi" w:cs="*Arial-6654-Identity-H"/>
          <w:color w:val="0D0D0F"/>
          <w:sz w:val="21"/>
          <w:szCs w:val="21"/>
          <w:lang w:val="es-MX" w:eastAsia="en-US"/>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2BC136B6" w14:textId="77777777" w:rsidR="00F51FA1" w:rsidRPr="00F51FA1" w:rsidRDefault="00F51FA1" w:rsidP="00F51FA1">
      <w:pPr>
        <w:autoSpaceDE w:val="0"/>
        <w:autoSpaceDN w:val="0"/>
        <w:adjustRightInd w:val="0"/>
        <w:rPr>
          <w:rFonts w:ascii="Abadi" w:eastAsia="Calibri" w:hAnsi="Abadi" w:cs="*Arial-6654-Identity-H"/>
          <w:color w:val="0D0D10"/>
          <w:sz w:val="21"/>
          <w:szCs w:val="21"/>
          <w:lang w:val="es-MX" w:eastAsia="en-US"/>
        </w:rPr>
      </w:pPr>
    </w:p>
    <w:p w14:paraId="2E5CC108" w14:textId="77777777" w:rsidR="00F51FA1" w:rsidRPr="00F51FA1" w:rsidRDefault="00F51FA1" w:rsidP="00D42B56">
      <w:pPr>
        <w:autoSpaceDE w:val="0"/>
        <w:autoSpaceDN w:val="0"/>
        <w:adjustRightInd w:val="0"/>
        <w:ind w:firstLine="708"/>
        <w:jc w:val="both"/>
        <w:rPr>
          <w:rFonts w:ascii="Abadi" w:eastAsia="Calibri" w:hAnsi="Abadi" w:cs="*Arial-6654-Identity-H"/>
          <w:color w:val="0D0D10"/>
          <w:sz w:val="21"/>
          <w:szCs w:val="21"/>
          <w:lang w:val="es-MX" w:eastAsia="en-US"/>
        </w:rPr>
      </w:pPr>
      <w:r w:rsidRPr="00F51FA1">
        <w:rPr>
          <w:rFonts w:ascii="Abadi" w:eastAsia="Calibri" w:hAnsi="Abadi" w:cs="*Arial-6654-Identity-H"/>
          <w:color w:val="0D0D10"/>
          <w:sz w:val="21"/>
          <w:szCs w:val="21"/>
          <w:lang w:val="es-MX" w:eastAsia="en-US"/>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37660C60" w14:textId="77777777" w:rsidR="00F51FA1" w:rsidRPr="00F51FA1" w:rsidRDefault="00F51FA1" w:rsidP="00F51FA1">
      <w:pPr>
        <w:autoSpaceDE w:val="0"/>
        <w:autoSpaceDN w:val="0"/>
        <w:adjustRightInd w:val="0"/>
        <w:rPr>
          <w:rFonts w:ascii="Abadi" w:eastAsia="Calibri" w:hAnsi="Abadi" w:cs="*Arial-Bold-6655-Identity-H"/>
          <w:b/>
          <w:bCs/>
          <w:color w:val="0E0D12"/>
          <w:sz w:val="21"/>
          <w:szCs w:val="21"/>
          <w:lang w:val="es-MX" w:eastAsia="en-US"/>
        </w:rPr>
      </w:pPr>
    </w:p>
    <w:p w14:paraId="60F588C1" w14:textId="717A59A6" w:rsidR="00F51FA1" w:rsidRPr="00F51FA1" w:rsidRDefault="00ED6D08" w:rsidP="00D42B56">
      <w:pPr>
        <w:autoSpaceDE w:val="0"/>
        <w:autoSpaceDN w:val="0"/>
        <w:adjustRightInd w:val="0"/>
        <w:ind w:firstLine="708"/>
        <w:rPr>
          <w:rFonts w:ascii="Abadi" w:eastAsia="Calibri" w:hAnsi="Abadi" w:cs="*Arial-Bold-6655-Identity-H"/>
          <w:b/>
          <w:bCs/>
          <w:color w:val="0E0D12"/>
          <w:sz w:val="21"/>
          <w:szCs w:val="21"/>
          <w:lang w:val="es-MX" w:eastAsia="en-US"/>
        </w:rPr>
      </w:pPr>
      <w:r>
        <w:rPr>
          <w:rFonts w:ascii="Abadi" w:eastAsia="Calibri" w:hAnsi="Abadi" w:cs="*Arial-Bold-6655-Identity-H"/>
          <w:b/>
          <w:bCs/>
          <w:color w:val="0E0D12"/>
          <w:sz w:val="21"/>
          <w:szCs w:val="21"/>
          <w:lang w:val="es-MX" w:eastAsia="en-US"/>
        </w:rPr>
        <w:t>II</w:t>
      </w:r>
      <w:r w:rsidR="00F51FA1" w:rsidRPr="00F51FA1">
        <w:rPr>
          <w:rFonts w:ascii="Abadi" w:eastAsia="Calibri" w:hAnsi="Abadi" w:cs="*Arial-Bold-6655-Identity-H"/>
          <w:b/>
          <w:bCs/>
          <w:color w:val="0E0D12"/>
          <w:sz w:val="21"/>
          <w:szCs w:val="21"/>
          <w:lang w:val="es-MX" w:eastAsia="en-US"/>
        </w:rPr>
        <w:t>. Antecedentes:</w:t>
      </w:r>
    </w:p>
    <w:p w14:paraId="468C31B3" w14:textId="77777777" w:rsidR="00F51FA1" w:rsidRPr="00F51FA1" w:rsidRDefault="00F51FA1" w:rsidP="00F51FA1">
      <w:pPr>
        <w:autoSpaceDE w:val="0"/>
        <w:autoSpaceDN w:val="0"/>
        <w:adjustRightInd w:val="0"/>
        <w:rPr>
          <w:rFonts w:ascii="Abadi" w:eastAsia="Calibri" w:hAnsi="Abadi" w:cs="*Arial-6654-Identity-H"/>
          <w:color w:val="0C0C0E"/>
          <w:sz w:val="21"/>
          <w:szCs w:val="21"/>
          <w:lang w:val="es-MX" w:eastAsia="en-US"/>
        </w:rPr>
      </w:pPr>
    </w:p>
    <w:p w14:paraId="0B5B74DA" w14:textId="77777777" w:rsidR="00F51FA1" w:rsidRPr="00F51FA1" w:rsidRDefault="00F51FA1" w:rsidP="00D42B56">
      <w:pPr>
        <w:autoSpaceDE w:val="0"/>
        <w:autoSpaceDN w:val="0"/>
        <w:adjustRightInd w:val="0"/>
        <w:ind w:firstLine="708"/>
        <w:jc w:val="both"/>
        <w:rPr>
          <w:rFonts w:ascii="Abadi" w:eastAsia="Calibri" w:hAnsi="Abadi" w:cs="*Arial-6654-Identity-H"/>
          <w:color w:val="0C0C0E"/>
          <w:sz w:val="21"/>
          <w:szCs w:val="21"/>
          <w:lang w:val="es-MX" w:eastAsia="en-US"/>
        </w:rPr>
      </w:pPr>
      <w:r w:rsidRPr="00F51FA1">
        <w:rPr>
          <w:rFonts w:ascii="Abadi" w:eastAsia="Calibri" w:hAnsi="Abadi" w:cs="*Arial-6654-Identity-H"/>
          <w:color w:val="0C0C0E"/>
          <w:sz w:val="21"/>
          <w:szCs w:val="21"/>
          <w:lang w:val="es-MX" w:eastAsia="en-US"/>
        </w:rPr>
        <w:t>De conformidad con el artículo 66, fracción I de la Constitución Política para el Estado de Guanajuato, es atribución de la Auditoria Superior del Estado realizar auditorías de desempeño en el cumplimiento de objetivos y metas contenidos en los programas, de las cuales sólo podrá emitir las recomendaciones para la mejora en el desempeño, en los términos de la Ley.</w:t>
      </w:r>
    </w:p>
    <w:p w14:paraId="4E9E73FC" w14:textId="77777777" w:rsidR="00F51FA1" w:rsidRPr="00F51FA1" w:rsidRDefault="00F51FA1" w:rsidP="00F51FA1">
      <w:pPr>
        <w:autoSpaceDE w:val="0"/>
        <w:autoSpaceDN w:val="0"/>
        <w:adjustRightInd w:val="0"/>
        <w:jc w:val="both"/>
        <w:rPr>
          <w:rFonts w:ascii="Abadi" w:eastAsia="Calibri" w:hAnsi="Abadi" w:cs="*Arial-6654-Identity-H"/>
          <w:color w:val="0D0C0F"/>
          <w:sz w:val="21"/>
          <w:szCs w:val="21"/>
          <w:lang w:val="es-MX" w:eastAsia="en-US"/>
        </w:rPr>
      </w:pPr>
    </w:p>
    <w:p w14:paraId="2FD46B81" w14:textId="77777777" w:rsidR="00F51FA1" w:rsidRPr="00F51FA1" w:rsidRDefault="00F51FA1" w:rsidP="00D42B56">
      <w:pPr>
        <w:autoSpaceDE w:val="0"/>
        <w:autoSpaceDN w:val="0"/>
        <w:adjustRightInd w:val="0"/>
        <w:ind w:firstLine="708"/>
        <w:jc w:val="both"/>
        <w:rPr>
          <w:rFonts w:ascii="Abadi" w:eastAsia="Calibri" w:hAnsi="Abadi" w:cs="*Arial-6654-Identity-H"/>
          <w:color w:val="0D0C0F"/>
          <w:sz w:val="21"/>
          <w:szCs w:val="21"/>
          <w:lang w:val="es-MX" w:eastAsia="en-US"/>
        </w:rPr>
      </w:pPr>
      <w:r w:rsidRPr="00F51FA1">
        <w:rPr>
          <w:rFonts w:ascii="Abadi" w:eastAsia="Calibri" w:hAnsi="Abadi" w:cs="*Arial-6654-Identity-H"/>
          <w:color w:val="0D0C0F"/>
          <w:sz w:val="21"/>
          <w:szCs w:val="21"/>
          <w:lang w:val="es-MX" w:eastAsia="en-US"/>
        </w:rPr>
        <w:t>Por su parte, el artículo 3, fracción V de la Ley de Fiscalización Superior del Estado de Guanajuato señala que la Auditoría Superior del Estado es competente para practicar auditorias de desempeño para verificar el cumplimiento de los objetivos y las metas de los programas estatales y municipales.</w:t>
      </w:r>
    </w:p>
    <w:p w14:paraId="032D0F5B" w14:textId="77777777" w:rsidR="00F51FA1" w:rsidRPr="00F51FA1" w:rsidRDefault="00F51FA1" w:rsidP="00F51FA1">
      <w:pPr>
        <w:autoSpaceDE w:val="0"/>
        <w:autoSpaceDN w:val="0"/>
        <w:adjustRightInd w:val="0"/>
        <w:jc w:val="both"/>
        <w:rPr>
          <w:rFonts w:ascii="Abadi" w:eastAsia="Calibri" w:hAnsi="Abadi" w:cs="*Calibri-Bold-6732-Identity-H"/>
          <w:b/>
          <w:bCs/>
          <w:color w:val="29282E"/>
          <w:sz w:val="21"/>
          <w:szCs w:val="21"/>
          <w:lang w:val="es-MX" w:eastAsia="en-US"/>
        </w:rPr>
      </w:pPr>
    </w:p>
    <w:p w14:paraId="72B2C137" w14:textId="77777777" w:rsidR="00F51FA1" w:rsidRPr="00F51FA1" w:rsidRDefault="00F51FA1" w:rsidP="00D42B56">
      <w:pPr>
        <w:autoSpaceDE w:val="0"/>
        <w:autoSpaceDN w:val="0"/>
        <w:adjustRightInd w:val="0"/>
        <w:ind w:firstLine="708"/>
        <w:jc w:val="both"/>
        <w:rPr>
          <w:rFonts w:ascii="Abadi" w:eastAsia="Calibri" w:hAnsi="Abadi" w:cs="*Arial-6733-Identity-H"/>
          <w:color w:val="0C0C0F"/>
          <w:sz w:val="21"/>
          <w:szCs w:val="21"/>
          <w:lang w:val="es-MX" w:eastAsia="en-US"/>
        </w:rPr>
      </w:pPr>
      <w:r w:rsidRPr="00F51FA1">
        <w:rPr>
          <w:rFonts w:ascii="Abadi" w:eastAsia="Calibri" w:hAnsi="Abadi" w:cs="*Arial-6733-Identity-H"/>
          <w:color w:val="0C0C0F"/>
          <w:sz w:val="21"/>
          <w:szCs w:val="21"/>
          <w:lang w:val="es-MX" w:eastAsia="en-US"/>
        </w:rPr>
        <w:t>De igual forma, el artículo 56 de la Ley de Fiscalización Superior prevé que las auditorias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4EAB4CCC" w14:textId="77777777" w:rsidR="00F51FA1" w:rsidRPr="00F51FA1" w:rsidRDefault="00F51FA1" w:rsidP="00F51FA1">
      <w:pPr>
        <w:autoSpaceDE w:val="0"/>
        <w:autoSpaceDN w:val="0"/>
        <w:adjustRightInd w:val="0"/>
        <w:jc w:val="both"/>
        <w:rPr>
          <w:rFonts w:ascii="Abadi" w:eastAsia="Calibri" w:hAnsi="Abadi" w:cs="*Arial-6733-Identity-H"/>
          <w:color w:val="0E0E11"/>
          <w:sz w:val="21"/>
          <w:szCs w:val="21"/>
          <w:lang w:val="es-MX" w:eastAsia="en-US"/>
        </w:rPr>
      </w:pPr>
    </w:p>
    <w:p w14:paraId="1CAE1B95" w14:textId="77777777" w:rsidR="00F51FA1" w:rsidRPr="00F51FA1" w:rsidRDefault="00F51FA1" w:rsidP="00826B08">
      <w:pPr>
        <w:autoSpaceDE w:val="0"/>
        <w:autoSpaceDN w:val="0"/>
        <w:adjustRightInd w:val="0"/>
        <w:ind w:firstLine="708"/>
        <w:jc w:val="both"/>
        <w:rPr>
          <w:rFonts w:ascii="Abadi" w:eastAsia="Calibri" w:hAnsi="Abadi" w:cs="*Arial-6733-Identity-H"/>
          <w:color w:val="0E0E11"/>
          <w:sz w:val="21"/>
          <w:szCs w:val="21"/>
          <w:lang w:val="es-MX" w:eastAsia="en-US"/>
        </w:rPr>
      </w:pPr>
      <w:r w:rsidRPr="00F51FA1">
        <w:rPr>
          <w:rFonts w:ascii="Abadi" w:eastAsia="Calibri" w:hAnsi="Abadi" w:cs="*Arial-6733-Identity-H"/>
          <w:color w:val="0E0E11"/>
          <w:sz w:val="21"/>
          <w:szCs w:val="21"/>
          <w:lang w:val="es-MX" w:eastAsia="en-US"/>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5E64E510" w14:textId="77777777" w:rsidR="00F51FA1" w:rsidRPr="00F51FA1" w:rsidRDefault="00F51FA1" w:rsidP="00F51FA1">
      <w:pPr>
        <w:autoSpaceDE w:val="0"/>
        <w:autoSpaceDN w:val="0"/>
        <w:adjustRightInd w:val="0"/>
        <w:jc w:val="both"/>
        <w:rPr>
          <w:rFonts w:ascii="Abadi" w:eastAsia="Calibri" w:hAnsi="Abadi" w:cs="*Arial-6733-Identity-H"/>
          <w:color w:val="0D0C0F"/>
          <w:sz w:val="21"/>
          <w:szCs w:val="21"/>
          <w:lang w:val="es-MX" w:eastAsia="en-US"/>
        </w:rPr>
      </w:pPr>
    </w:p>
    <w:p w14:paraId="5FB49105" w14:textId="77777777" w:rsidR="00F51FA1" w:rsidRPr="00F51FA1" w:rsidRDefault="00F51FA1" w:rsidP="00826B08">
      <w:pPr>
        <w:autoSpaceDE w:val="0"/>
        <w:autoSpaceDN w:val="0"/>
        <w:adjustRightInd w:val="0"/>
        <w:ind w:firstLine="708"/>
        <w:jc w:val="both"/>
        <w:rPr>
          <w:rFonts w:ascii="Abadi" w:eastAsia="Calibri" w:hAnsi="Abadi" w:cs="*Arial-6733-Identity-H"/>
          <w:color w:val="0D0C0F"/>
          <w:sz w:val="21"/>
          <w:szCs w:val="21"/>
          <w:lang w:val="es-MX" w:eastAsia="en-US"/>
        </w:rPr>
      </w:pPr>
      <w:r w:rsidRPr="00F51FA1">
        <w:rPr>
          <w:rFonts w:ascii="Abadi" w:eastAsia="Calibri" w:hAnsi="Abadi" w:cs="*Arial-6733-Identity-H"/>
          <w:color w:val="0D0C0F"/>
          <w:sz w:val="21"/>
          <w:szCs w:val="21"/>
          <w:lang w:val="es-MX" w:eastAsia="en-US"/>
        </w:rPr>
        <w:t>De lo anterior podemos desprender que el Órgano Técnico realizará la auditoría de desempeño de manera anual y únicamente formulará recomendaciones que incidan en la mejora del diseño, operación e impacto de los presupuestos programáticos y las políticas públicas en su caso.</w:t>
      </w:r>
    </w:p>
    <w:p w14:paraId="2D2C5079" w14:textId="77777777" w:rsidR="00F51FA1" w:rsidRPr="00F51FA1" w:rsidRDefault="00F51FA1" w:rsidP="00F51FA1">
      <w:pPr>
        <w:autoSpaceDE w:val="0"/>
        <w:autoSpaceDN w:val="0"/>
        <w:adjustRightInd w:val="0"/>
        <w:jc w:val="both"/>
        <w:rPr>
          <w:rFonts w:ascii="Abadi" w:eastAsia="Calibri" w:hAnsi="Abadi" w:cs="*Arial-6733-Identity-H"/>
          <w:color w:val="0E0E10"/>
          <w:sz w:val="21"/>
          <w:szCs w:val="21"/>
          <w:lang w:val="es-MX" w:eastAsia="en-US"/>
        </w:rPr>
      </w:pPr>
    </w:p>
    <w:p w14:paraId="1817FBC4" w14:textId="77777777" w:rsidR="00F51FA1" w:rsidRPr="00F51FA1" w:rsidRDefault="00F51FA1" w:rsidP="00826B08">
      <w:pPr>
        <w:autoSpaceDE w:val="0"/>
        <w:autoSpaceDN w:val="0"/>
        <w:adjustRightInd w:val="0"/>
        <w:ind w:firstLine="708"/>
        <w:jc w:val="both"/>
        <w:rPr>
          <w:rFonts w:ascii="Abadi" w:eastAsia="Calibri" w:hAnsi="Abadi" w:cs="*Arial-6733-Identity-H"/>
          <w:color w:val="0E0E10"/>
          <w:sz w:val="21"/>
          <w:szCs w:val="21"/>
          <w:lang w:val="es-MX" w:eastAsia="en-US"/>
        </w:rPr>
      </w:pPr>
      <w:r w:rsidRPr="00F51FA1">
        <w:rPr>
          <w:rFonts w:ascii="Abadi" w:eastAsia="Calibri" w:hAnsi="Abadi" w:cs="*Arial-6733-Identity-H"/>
          <w:color w:val="0E0E10"/>
          <w:sz w:val="21"/>
          <w:szCs w:val="21"/>
          <w:lang w:val="es-MX" w:eastAsia="en-US"/>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6B223E74" w14:textId="77777777" w:rsidR="00F51FA1" w:rsidRPr="00F51FA1" w:rsidRDefault="00F51FA1" w:rsidP="00F51FA1">
      <w:pPr>
        <w:autoSpaceDE w:val="0"/>
        <w:autoSpaceDN w:val="0"/>
        <w:adjustRightInd w:val="0"/>
        <w:jc w:val="both"/>
        <w:rPr>
          <w:rFonts w:ascii="Abadi" w:eastAsia="Calibri" w:hAnsi="Abadi" w:cs="*Arial-6733-Identity-H"/>
          <w:color w:val="0C0C0F"/>
          <w:sz w:val="21"/>
          <w:szCs w:val="21"/>
          <w:lang w:val="es-MX" w:eastAsia="en-US"/>
        </w:rPr>
      </w:pPr>
    </w:p>
    <w:p w14:paraId="1BC2E772" w14:textId="77777777" w:rsidR="00F51FA1" w:rsidRPr="00F51FA1" w:rsidRDefault="00F51FA1" w:rsidP="00826B08">
      <w:pPr>
        <w:autoSpaceDE w:val="0"/>
        <w:autoSpaceDN w:val="0"/>
        <w:adjustRightInd w:val="0"/>
        <w:ind w:firstLine="708"/>
        <w:jc w:val="both"/>
        <w:rPr>
          <w:rFonts w:ascii="Abadi" w:eastAsia="Calibri" w:hAnsi="Abadi" w:cs="*Arial-6733-Identity-H"/>
          <w:color w:val="0C0C0F"/>
          <w:sz w:val="21"/>
          <w:szCs w:val="21"/>
          <w:lang w:val="es-MX" w:eastAsia="en-US"/>
        </w:rPr>
      </w:pPr>
      <w:r w:rsidRPr="00F51FA1">
        <w:rPr>
          <w:rFonts w:ascii="Abadi" w:eastAsia="Calibri" w:hAnsi="Abadi" w:cs="*Arial-6733-Identity-H"/>
          <w:color w:val="0C0C0F"/>
          <w:sz w:val="21"/>
          <w:szCs w:val="21"/>
          <w:lang w:val="es-MX" w:eastAsia="en-US"/>
        </w:rPr>
        <w:t xml:space="preserve">En ejercicio de esta función, el Auditor Superior del Estado aprobó el Programa General de Fiscalización 2021. En dicho Programa se contempló la práctica de una auditoría de desempeño a la administración municipal de San Diego de la Unión, </w:t>
      </w:r>
      <w:proofErr w:type="spellStart"/>
      <w:r w:rsidRPr="00F51FA1">
        <w:rPr>
          <w:rFonts w:ascii="Abadi" w:eastAsia="Calibri" w:hAnsi="Abadi" w:cs="*Arial-6733-Identity-H"/>
          <w:color w:val="0C0C0F"/>
          <w:sz w:val="21"/>
          <w:szCs w:val="21"/>
          <w:lang w:val="es-MX" w:eastAsia="en-US"/>
        </w:rPr>
        <w:t>Gto</w:t>
      </w:r>
      <w:proofErr w:type="spellEnd"/>
      <w:r w:rsidRPr="00F51FA1">
        <w:rPr>
          <w:rFonts w:ascii="Abadi" w:eastAsia="Calibri" w:hAnsi="Abadi" w:cs="*Arial-6733-Identity-H"/>
          <w:color w:val="0C0C0F"/>
          <w:sz w:val="21"/>
          <w:szCs w:val="21"/>
          <w:lang w:val="es-MX" w:eastAsia="en-US"/>
        </w:rPr>
        <w:t>., por el periodo comprendido del 1 de enero al 31 de diciembre del ejercicio fiscal del año 2020, la cual se realizó con enfoque a</w:t>
      </w:r>
    </w:p>
    <w:p w14:paraId="1F35CB45" w14:textId="77777777" w:rsidR="00F51FA1" w:rsidRPr="00F51FA1" w:rsidRDefault="00F51FA1" w:rsidP="00F51FA1">
      <w:pPr>
        <w:autoSpaceDE w:val="0"/>
        <w:autoSpaceDN w:val="0"/>
        <w:adjustRightInd w:val="0"/>
        <w:jc w:val="both"/>
        <w:rPr>
          <w:rFonts w:ascii="Abadi" w:eastAsia="Calibri" w:hAnsi="Abadi" w:cs="*Arial-6733-Identity-H"/>
          <w:color w:val="0C0C0F"/>
          <w:sz w:val="21"/>
          <w:szCs w:val="21"/>
          <w:lang w:val="es-MX" w:eastAsia="en-US"/>
        </w:rPr>
      </w:pPr>
      <w:r w:rsidRPr="00F51FA1">
        <w:rPr>
          <w:rFonts w:ascii="Abadi" w:eastAsia="Calibri" w:hAnsi="Abadi" w:cs="*Arial-6733-Identity-H"/>
          <w:color w:val="0C0C0F"/>
          <w:sz w:val="21"/>
          <w:szCs w:val="21"/>
          <w:lang w:val="es-MX" w:eastAsia="en-US"/>
        </w:rPr>
        <w:t xml:space="preserve">resultados del servicio de alumbrado público. </w:t>
      </w:r>
    </w:p>
    <w:p w14:paraId="6DC3DB26" w14:textId="77777777" w:rsidR="00F51FA1" w:rsidRPr="00F51FA1" w:rsidRDefault="00F51FA1" w:rsidP="00F51FA1">
      <w:pPr>
        <w:autoSpaceDE w:val="0"/>
        <w:autoSpaceDN w:val="0"/>
        <w:adjustRightInd w:val="0"/>
        <w:jc w:val="both"/>
        <w:rPr>
          <w:rFonts w:ascii="Abadi" w:eastAsia="Calibri" w:hAnsi="Abadi" w:cs="*Arial-6733-Identity-H"/>
          <w:color w:val="0C0C0F"/>
          <w:sz w:val="21"/>
          <w:szCs w:val="21"/>
          <w:lang w:val="es-MX" w:eastAsia="en-US"/>
        </w:rPr>
      </w:pPr>
    </w:p>
    <w:p w14:paraId="0DBB2CC8" w14:textId="77777777" w:rsidR="00F51FA1" w:rsidRPr="00F51FA1" w:rsidRDefault="00F51FA1" w:rsidP="00826B08">
      <w:pPr>
        <w:autoSpaceDE w:val="0"/>
        <w:autoSpaceDN w:val="0"/>
        <w:adjustRightInd w:val="0"/>
        <w:ind w:firstLine="708"/>
        <w:jc w:val="both"/>
        <w:rPr>
          <w:rFonts w:ascii="Abadi" w:eastAsia="Calibri" w:hAnsi="Abadi" w:cs="*Arial-6733-Identity-H"/>
          <w:color w:val="0C0C0F"/>
          <w:sz w:val="21"/>
          <w:szCs w:val="21"/>
          <w:lang w:val="es-MX" w:eastAsia="en-US"/>
        </w:rPr>
      </w:pPr>
      <w:r w:rsidRPr="00F51FA1">
        <w:rPr>
          <w:rFonts w:ascii="Abadi" w:eastAsia="Calibri" w:hAnsi="Abadi" w:cs="*Arial-6733-Identity-H"/>
          <w:color w:val="0E0E11"/>
          <w:sz w:val="21"/>
          <w:szCs w:val="21"/>
          <w:lang w:val="es-MX" w:eastAsia="en-US"/>
        </w:rPr>
        <w:t>El 8 de septiembre de 2021 se notificó al sujeto fiscalizado el inicio de la auditoría materia del presente dictamen.</w:t>
      </w:r>
    </w:p>
    <w:p w14:paraId="60B19E64" w14:textId="77777777" w:rsidR="00F51FA1" w:rsidRPr="00F51FA1" w:rsidRDefault="00F51FA1" w:rsidP="00F51FA1">
      <w:pPr>
        <w:autoSpaceDE w:val="0"/>
        <w:autoSpaceDN w:val="0"/>
        <w:adjustRightInd w:val="0"/>
        <w:jc w:val="both"/>
        <w:rPr>
          <w:rFonts w:ascii="Abadi" w:eastAsia="Abadi" w:hAnsi="Abadi" w:cs="Abadi"/>
          <w:b/>
          <w:bCs/>
          <w:color w:val="121319"/>
          <w:sz w:val="21"/>
          <w:szCs w:val="21"/>
          <w:lang w:val="es-MX" w:eastAsia="en-US"/>
        </w:rPr>
      </w:pPr>
    </w:p>
    <w:p w14:paraId="191642D7" w14:textId="77777777" w:rsidR="00F51FA1" w:rsidRPr="00F51FA1" w:rsidRDefault="00F51FA1" w:rsidP="00826B08">
      <w:pPr>
        <w:autoSpaceDE w:val="0"/>
        <w:autoSpaceDN w:val="0"/>
        <w:adjustRightInd w:val="0"/>
        <w:ind w:firstLine="708"/>
        <w:jc w:val="both"/>
        <w:rPr>
          <w:rFonts w:ascii="Abadi" w:eastAsia="Calibri" w:hAnsi="Abadi" w:cs="*Arial-6743-Identity-H"/>
          <w:color w:val="898989"/>
          <w:sz w:val="21"/>
          <w:szCs w:val="21"/>
          <w:lang w:val="es-MX" w:eastAsia="en-US"/>
        </w:rPr>
      </w:pPr>
      <w:r w:rsidRPr="00F51FA1">
        <w:rPr>
          <w:rFonts w:ascii="Abadi" w:eastAsia="Calibri" w:hAnsi="Abadi" w:cs="*Arial-6743-Identity-H"/>
          <w:color w:val="0C0C0F"/>
          <w:sz w:val="21"/>
          <w:szCs w:val="21"/>
          <w:lang w:val="es-MX" w:eastAsia="en-US"/>
        </w:rPr>
        <w:t xml:space="preserve">Mediante oficio notificado el 27 de septiembre de 2021, la Auditoria Superior del Estado requirió al sujeto de fiscalización diversa información que se consideró necesaria para llevar a cabo la auditoria, al cual se dio respuesta el 22 de octubre de 2021. Asimismo, el 26 de enero de 2022, el Órgano Técnico realizó </w:t>
      </w:r>
      <w:r w:rsidRPr="00F51FA1">
        <w:rPr>
          <w:rFonts w:ascii="Abadi" w:eastAsia="Calibri" w:hAnsi="Abadi" w:cs="*Arial-6743-Identity-H"/>
          <w:color w:val="100F12"/>
          <w:sz w:val="21"/>
          <w:szCs w:val="21"/>
          <w:lang w:val="es-MX" w:eastAsia="en-US"/>
        </w:rPr>
        <w:t xml:space="preserve">entrevistas. </w:t>
      </w:r>
    </w:p>
    <w:p w14:paraId="060EE3C9" w14:textId="77777777" w:rsidR="00F51FA1" w:rsidRPr="00F51FA1" w:rsidRDefault="00F51FA1" w:rsidP="00F51FA1">
      <w:pPr>
        <w:autoSpaceDE w:val="0"/>
        <w:autoSpaceDN w:val="0"/>
        <w:adjustRightInd w:val="0"/>
        <w:jc w:val="both"/>
        <w:rPr>
          <w:rFonts w:ascii="Abadi" w:eastAsia="Calibri" w:hAnsi="Abadi" w:cs="*Arial-6743-Identity-H"/>
          <w:color w:val="0C0C0F"/>
          <w:sz w:val="21"/>
          <w:szCs w:val="21"/>
          <w:lang w:val="es-MX" w:eastAsia="en-US"/>
        </w:rPr>
      </w:pPr>
    </w:p>
    <w:p w14:paraId="044559E9" w14:textId="77777777" w:rsidR="00F51FA1" w:rsidRPr="00F51FA1" w:rsidRDefault="00F51FA1" w:rsidP="00826B08">
      <w:pPr>
        <w:autoSpaceDE w:val="0"/>
        <w:autoSpaceDN w:val="0"/>
        <w:adjustRightInd w:val="0"/>
        <w:ind w:firstLine="708"/>
        <w:jc w:val="both"/>
        <w:rPr>
          <w:rFonts w:ascii="Abadi" w:eastAsia="Calibri" w:hAnsi="Abadi" w:cs="*Arial-6743-Identity-H"/>
          <w:color w:val="0D0C0F"/>
          <w:sz w:val="21"/>
          <w:szCs w:val="21"/>
          <w:lang w:val="es-MX" w:eastAsia="en-US"/>
        </w:rPr>
      </w:pPr>
      <w:r w:rsidRPr="00F51FA1">
        <w:rPr>
          <w:rFonts w:ascii="Abadi" w:eastAsia="Calibri" w:hAnsi="Abadi" w:cs="*Arial-6743-Identity-H"/>
          <w:color w:val="0D0C0F"/>
          <w:sz w:val="21"/>
          <w:szCs w:val="21"/>
          <w:lang w:val="es-MX" w:eastAsia="en-US"/>
        </w:rPr>
        <w:t>En fechas 27 de septiembre y 17 de diciembre de 2021 se notificó al sujeto fiscalizado la suspensión del plazo de la auditoría materia del presente dictamen, por los periodos comprendidos del 1 de octubre al 17 de diciembre de 2021; y del 3 de enero al 11 de marzo de 2022.</w:t>
      </w:r>
    </w:p>
    <w:p w14:paraId="7396E27C" w14:textId="77777777" w:rsidR="00F51FA1" w:rsidRPr="00F51FA1" w:rsidRDefault="00F51FA1" w:rsidP="00F51FA1">
      <w:pPr>
        <w:autoSpaceDE w:val="0"/>
        <w:autoSpaceDN w:val="0"/>
        <w:adjustRightInd w:val="0"/>
        <w:rPr>
          <w:rFonts w:ascii="Abadi" w:eastAsia="Calibri" w:hAnsi="Abadi" w:cs="*Arial-6743-Identity-H"/>
          <w:color w:val="0D0C0F"/>
          <w:sz w:val="21"/>
          <w:szCs w:val="21"/>
          <w:lang w:val="es-MX" w:eastAsia="en-US"/>
        </w:rPr>
      </w:pPr>
    </w:p>
    <w:p w14:paraId="7E7B9AA4" w14:textId="77777777" w:rsidR="00F51FA1" w:rsidRPr="00F51FA1" w:rsidRDefault="00F51FA1" w:rsidP="00826B08">
      <w:pPr>
        <w:autoSpaceDE w:val="0"/>
        <w:autoSpaceDN w:val="0"/>
        <w:adjustRightInd w:val="0"/>
        <w:ind w:firstLine="708"/>
        <w:jc w:val="both"/>
        <w:rPr>
          <w:rFonts w:ascii="Abadi" w:eastAsia="Calibri" w:hAnsi="Abadi" w:cs="*Arial-6743-Identity-H"/>
          <w:color w:val="0D0D0F"/>
          <w:sz w:val="21"/>
          <w:szCs w:val="21"/>
          <w:lang w:val="es-MX" w:eastAsia="en-US"/>
        </w:rPr>
      </w:pPr>
      <w:r w:rsidRPr="00F51FA1">
        <w:rPr>
          <w:rFonts w:ascii="Abadi" w:eastAsia="Calibri" w:hAnsi="Abadi" w:cs="*Arial-6743-Identity-H"/>
          <w:color w:val="0D0D0F"/>
          <w:sz w:val="21"/>
          <w:szCs w:val="21"/>
          <w:lang w:val="es-MX" w:eastAsia="en-US"/>
        </w:rPr>
        <w:t>Como parte del proceso de auditoría, el 4 de febrero de 2022 se notificó al sujeto fiscalizado el pliego de recomendaciones derivadas de la auditoría practicada. Lo anterior, para dar cumplimiento a lo preceptuado por el artículo 58 de la Ley de Fiscalización Superior del Estado de Guanajuato.</w:t>
      </w:r>
    </w:p>
    <w:p w14:paraId="66E87F7C" w14:textId="77777777" w:rsidR="00F51FA1" w:rsidRPr="00F51FA1" w:rsidRDefault="00F51FA1" w:rsidP="00F51FA1">
      <w:pPr>
        <w:autoSpaceDE w:val="0"/>
        <w:autoSpaceDN w:val="0"/>
        <w:adjustRightInd w:val="0"/>
        <w:jc w:val="both"/>
        <w:rPr>
          <w:rFonts w:ascii="Abadi" w:eastAsia="Calibri" w:hAnsi="Abadi" w:cs="*Arial-6743-Identity-H"/>
          <w:color w:val="0C0C0F"/>
          <w:sz w:val="21"/>
          <w:szCs w:val="21"/>
          <w:lang w:val="es-MX" w:eastAsia="en-US"/>
        </w:rPr>
      </w:pPr>
    </w:p>
    <w:p w14:paraId="006FA645" w14:textId="77777777" w:rsidR="00F51FA1" w:rsidRPr="00F51FA1" w:rsidRDefault="00F51FA1" w:rsidP="00826B08">
      <w:pPr>
        <w:autoSpaceDE w:val="0"/>
        <w:autoSpaceDN w:val="0"/>
        <w:adjustRightInd w:val="0"/>
        <w:ind w:firstLine="708"/>
        <w:jc w:val="both"/>
        <w:rPr>
          <w:rFonts w:ascii="Abadi" w:eastAsia="Calibri" w:hAnsi="Abadi" w:cs="*Arial-6743-Identity-H"/>
          <w:color w:val="0C0C0F"/>
          <w:sz w:val="21"/>
          <w:szCs w:val="21"/>
          <w:lang w:val="es-MX" w:eastAsia="en-US"/>
        </w:rPr>
      </w:pPr>
      <w:r w:rsidRPr="00F51FA1">
        <w:rPr>
          <w:rFonts w:ascii="Abadi" w:eastAsia="Calibri" w:hAnsi="Abadi" w:cs="*Arial-6743-Identity-H"/>
          <w:color w:val="0C0C0F"/>
          <w:sz w:val="21"/>
          <w:szCs w:val="21"/>
          <w:lang w:val="es-MX" w:eastAsia="en-US"/>
        </w:rPr>
        <w:t>El 21 de febrero de 2022,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w:t>
      </w:r>
    </w:p>
    <w:p w14:paraId="564A5FF6" w14:textId="77777777" w:rsidR="00F51FA1" w:rsidRPr="00F51FA1" w:rsidRDefault="00F51FA1" w:rsidP="00F51FA1">
      <w:pPr>
        <w:autoSpaceDE w:val="0"/>
        <w:autoSpaceDN w:val="0"/>
        <w:adjustRightInd w:val="0"/>
        <w:jc w:val="both"/>
        <w:rPr>
          <w:rFonts w:ascii="Abadi" w:eastAsia="Calibri" w:hAnsi="Abadi" w:cs="*Arial-6743-Identity-H"/>
          <w:color w:val="0C0C0F"/>
          <w:sz w:val="21"/>
          <w:szCs w:val="21"/>
          <w:lang w:val="es-MX" w:eastAsia="en-US"/>
        </w:rPr>
      </w:pPr>
      <w:r w:rsidRPr="00F51FA1">
        <w:rPr>
          <w:rFonts w:ascii="Abadi" w:eastAsia="Calibri" w:hAnsi="Abadi" w:cs="*Arial-6743-Identity-H"/>
          <w:color w:val="0C0C0F"/>
          <w:sz w:val="21"/>
          <w:szCs w:val="21"/>
          <w:lang w:val="es-MX" w:eastAsia="en-US"/>
        </w:rPr>
        <w:t>presente dictamen.</w:t>
      </w:r>
    </w:p>
    <w:p w14:paraId="7E50315D" w14:textId="77777777" w:rsidR="00F51FA1" w:rsidRPr="00F51FA1" w:rsidRDefault="00F51FA1" w:rsidP="00F51FA1">
      <w:pPr>
        <w:autoSpaceDE w:val="0"/>
        <w:autoSpaceDN w:val="0"/>
        <w:adjustRightInd w:val="0"/>
        <w:jc w:val="both"/>
        <w:rPr>
          <w:rFonts w:ascii="Abadi" w:eastAsia="Calibri" w:hAnsi="Abadi" w:cs="*Arial-6743-Identity-H"/>
          <w:color w:val="0B0B0E"/>
          <w:sz w:val="21"/>
          <w:szCs w:val="21"/>
          <w:lang w:val="es-MX" w:eastAsia="en-US"/>
        </w:rPr>
      </w:pPr>
    </w:p>
    <w:p w14:paraId="6582AFA6" w14:textId="36441E63" w:rsidR="00F51FA1" w:rsidRDefault="00F51FA1" w:rsidP="00826B08">
      <w:pPr>
        <w:autoSpaceDE w:val="0"/>
        <w:autoSpaceDN w:val="0"/>
        <w:adjustRightInd w:val="0"/>
        <w:ind w:firstLine="708"/>
        <w:jc w:val="both"/>
        <w:rPr>
          <w:rFonts w:ascii="Abadi" w:eastAsia="Calibri" w:hAnsi="Abadi" w:cs="*Arial-6743-Identity-H"/>
          <w:color w:val="0B0B0E"/>
          <w:sz w:val="21"/>
          <w:szCs w:val="21"/>
          <w:lang w:val="es-MX" w:eastAsia="en-US"/>
        </w:rPr>
      </w:pPr>
      <w:r w:rsidRPr="00F51FA1">
        <w:rPr>
          <w:rFonts w:ascii="Abadi" w:eastAsia="Calibri" w:hAnsi="Abadi" w:cs="*Arial-6743-Identity-H"/>
          <w:color w:val="0B0B0E"/>
          <w:sz w:val="21"/>
          <w:szCs w:val="21"/>
          <w:lang w:val="es-MX" w:eastAsia="en-US"/>
        </w:rPr>
        <w:t xml:space="preserve">El informe de resultados se notificó al presidente municipal de San Diego de la Unión, </w:t>
      </w:r>
      <w:proofErr w:type="spellStart"/>
      <w:r w:rsidRPr="00F51FA1">
        <w:rPr>
          <w:rFonts w:ascii="Abadi" w:eastAsia="Calibri" w:hAnsi="Abadi" w:cs="*Arial-6743-Identity-H"/>
          <w:color w:val="0B0B0E"/>
          <w:sz w:val="21"/>
          <w:szCs w:val="21"/>
          <w:lang w:val="es-MX" w:eastAsia="en-US"/>
        </w:rPr>
        <w:t>Gto</w:t>
      </w:r>
      <w:proofErr w:type="spellEnd"/>
      <w:r w:rsidRPr="00F51FA1">
        <w:rPr>
          <w:rFonts w:ascii="Abadi" w:eastAsia="Calibri" w:hAnsi="Abadi" w:cs="*Arial-6743-Identity-H"/>
          <w:color w:val="0B0B0E"/>
          <w:sz w:val="21"/>
          <w:szCs w:val="21"/>
          <w:lang w:val="es-MX" w:eastAsia="en-US"/>
        </w:rPr>
        <w:t>., el 25 de febrero de 2022.</w:t>
      </w:r>
    </w:p>
    <w:p w14:paraId="6E4E84DE" w14:textId="77777777" w:rsidR="007C589A" w:rsidRPr="00F51FA1" w:rsidRDefault="007C589A" w:rsidP="00826B08">
      <w:pPr>
        <w:autoSpaceDE w:val="0"/>
        <w:autoSpaceDN w:val="0"/>
        <w:adjustRightInd w:val="0"/>
        <w:ind w:firstLine="708"/>
        <w:jc w:val="both"/>
        <w:rPr>
          <w:rFonts w:ascii="Abadi" w:eastAsia="Calibri" w:hAnsi="Abadi" w:cs="*Arial-6743-Identity-H"/>
          <w:color w:val="0B0B0E"/>
          <w:sz w:val="21"/>
          <w:szCs w:val="21"/>
          <w:lang w:val="es-MX" w:eastAsia="en-US"/>
        </w:rPr>
      </w:pPr>
    </w:p>
    <w:p w14:paraId="53D1F7DA" w14:textId="77777777" w:rsidR="00F51FA1" w:rsidRPr="00F51FA1" w:rsidRDefault="00F51FA1" w:rsidP="00826B08">
      <w:pPr>
        <w:autoSpaceDE w:val="0"/>
        <w:autoSpaceDN w:val="0"/>
        <w:adjustRightInd w:val="0"/>
        <w:ind w:firstLine="708"/>
        <w:jc w:val="both"/>
        <w:rPr>
          <w:rFonts w:ascii="Abadi" w:eastAsia="Calibri" w:hAnsi="Abadi" w:cs="*Arial-6743-Identity-H"/>
          <w:color w:val="0D0D10"/>
          <w:sz w:val="21"/>
          <w:szCs w:val="21"/>
          <w:lang w:val="es-MX" w:eastAsia="en-US"/>
        </w:rPr>
      </w:pPr>
      <w:r w:rsidRPr="00F51FA1">
        <w:rPr>
          <w:rFonts w:ascii="Abadi" w:eastAsia="Calibri" w:hAnsi="Abadi" w:cs="*Arial-6743-Identity-H"/>
          <w:color w:val="0D0D10"/>
          <w:sz w:val="21"/>
          <w:szCs w:val="21"/>
          <w:lang w:val="es-MX" w:eastAsia="en-US"/>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391E3A57" w14:textId="77777777" w:rsidR="00F51FA1" w:rsidRPr="00F51FA1" w:rsidRDefault="00F51FA1" w:rsidP="00F51FA1">
      <w:pPr>
        <w:autoSpaceDE w:val="0"/>
        <w:autoSpaceDN w:val="0"/>
        <w:adjustRightInd w:val="0"/>
        <w:jc w:val="both"/>
        <w:rPr>
          <w:rFonts w:ascii="Abadi" w:eastAsia="Calibri" w:hAnsi="Abadi" w:cs="*Arial-6743-Identity-H"/>
          <w:color w:val="0C0C0F"/>
          <w:sz w:val="21"/>
          <w:szCs w:val="21"/>
          <w:lang w:val="es-MX" w:eastAsia="en-US"/>
        </w:rPr>
      </w:pPr>
    </w:p>
    <w:p w14:paraId="57B0F4C5" w14:textId="72E67C7A" w:rsidR="00F51FA1" w:rsidRPr="00F51FA1" w:rsidRDefault="00F51FA1" w:rsidP="00826B08">
      <w:pPr>
        <w:autoSpaceDE w:val="0"/>
        <w:autoSpaceDN w:val="0"/>
        <w:adjustRightInd w:val="0"/>
        <w:ind w:firstLine="708"/>
        <w:jc w:val="both"/>
        <w:rPr>
          <w:rFonts w:ascii="Abadi" w:eastAsia="Calibri" w:hAnsi="Abadi" w:cs="*Arial-6743-Identity-H"/>
          <w:color w:val="0C0C0F"/>
          <w:sz w:val="21"/>
          <w:szCs w:val="21"/>
          <w:lang w:val="es-MX" w:eastAsia="en-US"/>
        </w:rPr>
      </w:pPr>
      <w:r w:rsidRPr="00F51FA1">
        <w:rPr>
          <w:rFonts w:ascii="Abadi" w:eastAsia="Calibri" w:hAnsi="Abadi" w:cs="*Arial-6743-Identity-H"/>
          <w:color w:val="0C0C0F"/>
          <w:sz w:val="21"/>
          <w:szCs w:val="21"/>
          <w:lang w:val="es-MX" w:eastAsia="en-US"/>
        </w:rPr>
        <w:t xml:space="preserve">En razón de lo anterior, el Auditor Superior del Estado remitió a este Congreso del Estado, el informe de resultados, el cual se turnó a la Comisión de Hacienda y Fiscalización el </w:t>
      </w:r>
      <w:r w:rsidR="001C397A">
        <w:rPr>
          <w:rFonts w:ascii="Abadi" w:eastAsia="Calibri" w:hAnsi="Abadi" w:cs="*Arial-6743-Identity-H"/>
          <w:color w:val="0C0C0F"/>
          <w:sz w:val="21"/>
          <w:szCs w:val="21"/>
          <w:lang w:val="es-MX" w:eastAsia="en-US"/>
        </w:rPr>
        <w:t>10</w:t>
      </w:r>
      <w:r w:rsidRPr="00F51FA1">
        <w:rPr>
          <w:rFonts w:ascii="Abadi" w:eastAsia="Calibri" w:hAnsi="Abadi" w:cs="*Arial-6743-Identity-H"/>
          <w:color w:val="0C0C0F"/>
          <w:sz w:val="21"/>
          <w:szCs w:val="21"/>
          <w:lang w:val="es-MX" w:eastAsia="en-US"/>
        </w:rPr>
        <w:t xml:space="preserve"> de marzo de 2022 para su estudio y dictamen, siendo radicado el 15 de marzo del año en curso.</w:t>
      </w:r>
    </w:p>
    <w:p w14:paraId="3AAB0940" w14:textId="77777777" w:rsidR="00F51FA1" w:rsidRPr="00F51FA1" w:rsidRDefault="00F51FA1" w:rsidP="00F51FA1">
      <w:pPr>
        <w:autoSpaceDE w:val="0"/>
        <w:autoSpaceDN w:val="0"/>
        <w:adjustRightInd w:val="0"/>
        <w:rPr>
          <w:rFonts w:ascii="Abadi" w:eastAsia="Calibri" w:hAnsi="Abadi" w:cs="*Times New Roman-Italic-7687-Id"/>
          <w:i/>
          <w:iCs/>
          <w:color w:val="1C1A1E"/>
          <w:sz w:val="21"/>
          <w:szCs w:val="21"/>
          <w:lang w:val="es-MX" w:eastAsia="en-US"/>
        </w:rPr>
      </w:pPr>
    </w:p>
    <w:p w14:paraId="4E8EB45D" w14:textId="77777777" w:rsidR="00F51FA1" w:rsidRPr="00F51FA1" w:rsidRDefault="00F51FA1" w:rsidP="00826B08">
      <w:pPr>
        <w:autoSpaceDE w:val="0"/>
        <w:autoSpaceDN w:val="0"/>
        <w:adjustRightInd w:val="0"/>
        <w:ind w:firstLine="708"/>
        <w:rPr>
          <w:rFonts w:ascii="Abadi" w:eastAsia="Calibri" w:hAnsi="Abadi" w:cs="*Arial-Bold-7690-Identity-H"/>
          <w:b/>
          <w:bCs/>
          <w:color w:val="0C0B0F"/>
          <w:sz w:val="21"/>
          <w:szCs w:val="21"/>
          <w:lang w:val="es-MX" w:eastAsia="en-US"/>
        </w:rPr>
      </w:pPr>
      <w:r w:rsidRPr="00F51FA1">
        <w:rPr>
          <w:rFonts w:ascii="Abadi" w:eastAsia="Calibri" w:hAnsi="Abadi" w:cs="*Arial-Bold-7690-Identity-H"/>
          <w:b/>
          <w:bCs/>
          <w:color w:val="0C0B0F"/>
          <w:sz w:val="21"/>
          <w:szCs w:val="21"/>
          <w:lang w:val="es-MX" w:eastAsia="en-US"/>
        </w:rPr>
        <w:t>IV. Contenido del Informe de Resultados:</w:t>
      </w:r>
    </w:p>
    <w:p w14:paraId="53AA4500" w14:textId="77777777" w:rsidR="00F51FA1" w:rsidRPr="00F51FA1" w:rsidRDefault="00F51FA1" w:rsidP="00F51FA1">
      <w:pPr>
        <w:autoSpaceDE w:val="0"/>
        <w:autoSpaceDN w:val="0"/>
        <w:adjustRightInd w:val="0"/>
        <w:rPr>
          <w:rFonts w:ascii="Abadi" w:eastAsia="Calibri" w:hAnsi="Abadi" w:cs="*Arial-7691-Identity-H"/>
          <w:color w:val="1C1C1C"/>
          <w:sz w:val="21"/>
          <w:szCs w:val="21"/>
          <w:lang w:val="es-MX" w:eastAsia="en-US"/>
        </w:rPr>
      </w:pPr>
    </w:p>
    <w:p w14:paraId="4625FC72" w14:textId="77777777" w:rsidR="00F51FA1" w:rsidRPr="00F51FA1" w:rsidRDefault="00F51FA1" w:rsidP="00826B08">
      <w:pPr>
        <w:autoSpaceDE w:val="0"/>
        <w:autoSpaceDN w:val="0"/>
        <w:adjustRightInd w:val="0"/>
        <w:ind w:firstLine="708"/>
        <w:jc w:val="both"/>
        <w:rPr>
          <w:rFonts w:ascii="Abadi" w:eastAsia="Calibri" w:hAnsi="Abadi" w:cs="*Arial-7689-Identity-H"/>
          <w:color w:val="0C0C0E"/>
          <w:sz w:val="21"/>
          <w:szCs w:val="21"/>
          <w:lang w:val="es-MX" w:eastAsia="en-US"/>
        </w:rPr>
      </w:pPr>
      <w:r w:rsidRPr="00F51FA1">
        <w:rPr>
          <w:rFonts w:ascii="Abadi" w:eastAsia="Calibri" w:hAnsi="Abadi" w:cs="*Arial-7689-Identity-H"/>
          <w:color w:val="0C0C0E"/>
          <w:sz w:val="21"/>
          <w:szCs w:val="21"/>
          <w:lang w:val="es-MX" w:eastAsia="en-US"/>
        </w:rPr>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3A528D63" w14:textId="77777777" w:rsidR="00F51FA1" w:rsidRPr="00F51FA1" w:rsidRDefault="00F51FA1" w:rsidP="00F51FA1">
      <w:pPr>
        <w:autoSpaceDE w:val="0"/>
        <w:autoSpaceDN w:val="0"/>
        <w:adjustRightInd w:val="0"/>
        <w:rPr>
          <w:rFonts w:ascii="Abadi" w:eastAsia="Calibri" w:hAnsi="Abadi" w:cs="*Arial-Bold-7690-Identity-H"/>
          <w:b/>
          <w:bCs/>
          <w:color w:val="0C0A10"/>
          <w:sz w:val="21"/>
          <w:szCs w:val="21"/>
          <w:lang w:val="es-MX" w:eastAsia="en-US"/>
        </w:rPr>
      </w:pPr>
    </w:p>
    <w:p w14:paraId="0C06DEFE" w14:textId="77777777" w:rsidR="00F51FA1" w:rsidRPr="00F51FA1" w:rsidRDefault="00F51FA1" w:rsidP="00826B08">
      <w:pPr>
        <w:autoSpaceDE w:val="0"/>
        <w:autoSpaceDN w:val="0"/>
        <w:adjustRightInd w:val="0"/>
        <w:ind w:firstLine="708"/>
        <w:rPr>
          <w:rFonts w:ascii="Abadi" w:eastAsia="Calibri" w:hAnsi="Abadi" w:cs="*Arial-Bold-7690-Identity-H"/>
          <w:b/>
          <w:bCs/>
          <w:color w:val="0C0A10"/>
          <w:sz w:val="21"/>
          <w:szCs w:val="21"/>
          <w:lang w:val="es-MX" w:eastAsia="en-US"/>
        </w:rPr>
      </w:pPr>
      <w:r w:rsidRPr="00F51FA1">
        <w:rPr>
          <w:rFonts w:ascii="Abadi" w:eastAsia="Calibri" w:hAnsi="Abadi" w:cs="*Arial-Bold-7690-Identity-H"/>
          <w:b/>
          <w:bCs/>
          <w:color w:val="0C0A10"/>
          <w:sz w:val="21"/>
          <w:szCs w:val="21"/>
          <w:lang w:val="es-MX" w:eastAsia="en-US"/>
        </w:rPr>
        <w:t>a) Introducción.</w:t>
      </w:r>
    </w:p>
    <w:p w14:paraId="7EA56972" w14:textId="77777777" w:rsidR="00F51FA1" w:rsidRPr="00F51FA1" w:rsidRDefault="00F51FA1" w:rsidP="00F51FA1">
      <w:pPr>
        <w:autoSpaceDE w:val="0"/>
        <w:autoSpaceDN w:val="0"/>
        <w:adjustRightInd w:val="0"/>
        <w:rPr>
          <w:rFonts w:ascii="Abadi" w:eastAsia="Calibri" w:hAnsi="Abadi" w:cs="*Arial-7689-Identity-H"/>
          <w:color w:val="0E0D11"/>
          <w:sz w:val="21"/>
          <w:szCs w:val="21"/>
          <w:lang w:val="es-MX" w:eastAsia="en-US"/>
        </w:rPr>
      </w:pPr>
    </w:p>
    <w:p w14:paraId="2ACB3CF1" w14:textId="77777777" w:rsidR="00F51FA1" w:rsidRPr="00F51FA1" w:rsidRDefault="00F51FA1" w:rsidP="00826B08">
      <w:pPr>
        <w:autoSpaceDE w:val="0"/>
        <w:autoSpaceDN w:val="0"/>
        <w:adjustRightInd w:val="0"/>
        <w:ind w:firstLine="708"/>
        <w:jc w:val="both"/>
        <w:rPr>
          <w:rFonts w:ascii="Abadi" w:eastAsia="Calibri" w:hAnsi="Abadi" w:cs="*Arial-7689-Identity-H"/>
          <w:color w:val="0E0D11"/>
          <w:sz w:val="21"/>
          <w:szCs w:val="21"/>
          <w:lang w:val="es-MX" w:eastAsia="en-US"/>
        </w:rPr>
      </w:pPr>
      <w:r w:rsidRPr="00F51FA1">
        <w:rPr>
          <w:rFonts w:ascii="Abadi" w:eastAsia="Calibri" w:hAnsi="Abadi" w:cs="*Arial-7689-Identity-H"/>
          <w:color w:val="0E0D11"/>
          <w:sz w:val="21"/>
          <w:szCs w:val="21"/>
          <w:lang w:val="es-MX" w:eastAsia="en-US"/>
        </w:rPr>
        <w:t>Por lo que se refiere a esta parte, se señala que las auditorías de desempeño son actos de fiscalización, esa es su esencia.</w:t>
      </w:r>
    </w:p>
    <w:p w14:paraId="51EDAD36" w14:textId="77777777" w:rsidR="00F51FA1" w:rsidRPr="00F51FA1" w:rsidRDefault="00F51FA1" w:rsidP="00F51FA1">
      <w:pPr>
        <w:autoSpaceDE w:val="0"/>
        <w:autoSpaceDN w:val="0"/>
        <w:adjustRightInd w:val="0"/>
        <w:jc w:val="both"/>
        <w:rPr>
          <w:rFonts w:ascii="Abadi" w:eastAsia="Calibri" w:hAnsi="Abadi" w:cs="*Arial-7689-Identity-H"/>
          <w:color w:val="0C0C0F"/>
          <w:sz w:val="21"/>
          <w:szCs w:val="21"/>
          <w:lang w:val="es-MX" w:eastAsia="en-US"/>
        </w:rPr>
      </w:pPr>
    </w:p>
    <w:p w14:paraId="261ACB48" w14:textId="77777777" w:rsidR="00F51FA1" w:rsidRPr="00F51FA1" w:rsidRDefault="00F51FA1" w:rsidP="00F51FA1">
      <w:pPr>
        <w:autoSpaceDE w:val="0"/>
        <w:autoSpaceDN w:val="0"/>
        <w:adjustRightInd w:val="0"/>
        <w:jc w:val="both"/>
        <w:rPr>
          <w:rFonts w:ascii="Abadi" w:eastAsia="Calibri" w:hAnsi="Abadi" w:cs="*Arial-7689-Identity-H"/>
          <w:color w:val="0C0C0F"/>
          <w:sz w:val="21"/>
          <w:szCs w:val="21"/>
          <w:lang w:val="es-MX" w:eastAsia="en-US"/>
        </w:rPr>
      </w:pPr>
      <w:r w:rsidRPr="00F51FA1">
        <w:rPr>
          <w:rFonts w:ascii="Abadi" w:eastAsia="Calibri" w:hAnsi="Abadi" w:cs="*Arial-7689-Identity-H"/>
          <w:color w:val="0C0C0F"/>
          <w:sz w:val="21"/>
          <w:szCs w:val="21"/>
          <w:lang w:val="es-MX" w:eastAsia="en-US"/>
        </w:rPr>
        <w:t>Es así, que la naturaleza técnico-jurídica de las auditorías de desempeño difiere de otras auditorias,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6CF55AC0" w14:textId="77777777" w:rsidR="00F51FA1" w:rsidRPr="00F51FA1" w:rsidRDefault="00F51FA1" w:rsidP="00F51FA1">
      <w:pPr>
        <w:autoSpaceDE w:val="0"/>
        <w:autoSpaceDN w:val="0"/>
        <w:adjustRightInd w:val="0"/>
        <w:jc w:val="both"/>
        <w:rPr>
          <w:rFonts w:ascii="Abadi" w:eastAsia="Calibri" w:hAnsi="Abadi" w:cs="*Arial-7689-Identity-H"/>
          <w:color w:val="0E0E10"/>
          <w:sz w:val="21"/>
          <w:szCs w:val="21"/>
          <w:lang w:val="es-MX" w:eastAsia="en-US"/>
        </w:rPr>
      </w:pPr>
    </w:p>
    <w:p w14:paraId="1BA77089" w14:textId="77777777" w:rsidR="00F51FA1" w:rsidRPr="00F51FA1" w:rsidRDefault="00F51FA1" w:rsidP="00826B08">
      <w:pPr>
        <w:autoSpaceDE w:val="0"/>
        <w:autoSpaceDN w:val="0"/>
        <w:adjustRightInd w:val="0"/>
        <w:ind w:firstLine="708"/>
        <w:jc w:val="both"/>
        <w:rPr>
          <w:rFonts w:ascii="Abadi" w:eastAsia="Calibri" w:hAnsi="Abadi" w:cs="*Arial-7689-Identity-H"/>
          <w:color w:val="0E0E10"/>
          <w:sz w:val="21"/>
          <w:szCs w:val="21"/>
          <w:lang w:val="es-MX" w:eastAsia="en-US"/>
        </w:rPr>
      </w:pPr>
      <w:r w:rsidRPr="00F51FA1">
        <w:rPr>
          <w:rFonts w:ascii="Abadi" w:eastAsia="Calibri" w:hAnsi="Abadi" w:cs="*Arial-7689-Identity-H"/>
          <w:color w:val="0E0E10"/>
          <w:sz w:val="21"/>
          <w:szCs w:val="21"/>
          <w:lang w:val="es-MX" w:eastAsia="en-US"/>
        </w:rPr>
        <w:t>En dichas auditorías, con independencia de su enfoque, se debe planear con toda claridad y con base en la evidencia competente, suficiente, pertinente, relevante y oportuna, las conclusiones del proceso de fiscalización, puntualizándose las recomendaciones formuladas en su caso.</w:t>
      </w:r>
    </w:p>
    <w:p w14:paraId="01950A1F" w14:textId="77777777" w:rsidR="00F51FA1" w:rsidRPr="00F51FA1" w:rsidRDefault="00F51FA1" w:rsidP="00F51FA1">
      <w:pPr>
        <w:autoSpaceDE w:val="0"/>
        <w:autoSpaceDN w:val="0"/>
        <w:adjustRightInd w:val="0"/>
        <w:jc w:val="both"/>
        <w:rPr>
          <w:rFonts w:ascii="Abadi" w:eastAsia="Calibri" w:hAnsi="Abadi" w:cs="*Arial-7689-Identity-H"/>
          <w:color w:val="0C0B0E"/>
          <w:sz w:val="21"/>
          <w:szCs w:val="21"/>
          <w:lang w:val="es-MX" w:eastAsia="en-US"/>
        </w:rPr>
      </w:pPr>
    </w:p>
    <w:p w14:paraId="4DB1EC47" w14:textId="5C41FFB7" w:rsidR="00F51FA1" w:rsidRPr="00F51FA1" w:rsidRDefault="00F51FA1" w:rsidP="00826B08">
      <w:pPr>
        <w:autoSpaceDE w:val="0"/>
        <w:autoSpaceDN w:val="0"/>
        <w:adjustRightInd w:val="0"/>
        <w:ind w:firstLine="708"/>
        <w:jc w:val="both"/>
        <w:rPr>
          <w:rFonts w:ascii="Abadi" w:eastAsia="Calibri" w:hAnsi="Abadi" w:cs="*Arial-7689-Identity-H"/>
          <w:color w:val="0C0B0E"/>
          <w:sz w:val="21"/>
          <w:szCs w:val="21"/>
          <w:lang w:val="es-MX" w:eastAsia="en-US"/>
        </w:rPr>
      </w:pPr>
      <w:r w:rsidRPr="00F51FA1">
        <w:rPr>
          <w:rFonts w:ascii="Abadi" w:eastAsia="Calibri" w:hAnsi="Abadi" w:cs="*Arial-7689-Identity-H"/>
          <w:color w:val="0C0B0E"/>
          <w:sz w:val="21"/>
          <w:szCs w:val="21"/>
          <w:lang w:val="es-MX" w:eastAsia="en-US"/>
        </w:rPr>
        <w:t xml:space="preserve">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w:t>
      </w:r>
      <w:r w:rsidR="001C7165">
        <w:rPr>
          <w:rFonts w:ascii="Abadi" w:eastAsia="Calibri" w:hAnsi="Abadi" w:cs="*Arial-7689-Identity-H"/>
          <w:color w:val="0C0B0E"/>
          <w:sz w:val="21"/>
          <w:szCs w:val="21"/>
          <w:lang w:val="es-MX" w:eastAsia="en-US"/>
        </w:rPr>
        <w:t>I</w:t>
      </w:r>
      <w:r w:rsidRPr="00F51FA1">
        <w:rPr>
          <w:rFonts w:ascii="Abadi" w:eastAsia="Calibri" w:hAnsi="Abadi" w:cs="*Arial-7689-Identity-H"/>
          <w:color w:val="0C0B0E"/>
          <w:sz w:val="21"/>
          <w:szCs w:val="21"/>
          <w:lang w:val="es-MX" w:eastAsia="en-US"/>
        </w:rPr>
        <w:t xml:space="preserve">, </w:t>
      </w:r>
      <w:r w:rsidR="001C7165">
        <w:rPr>
          <w:rFonts w:ascii="Abadi" w:eastAsia="Calibri" w:hAnsi="Abadi" w:cs="*Arial-7689-Identity-H"/>
          <w:color w:val="0C0B0E"/>
          <w:sz w:val="21"/>
          <w:szCs w:val="21"/>
          <w:lang w:val="es-MX" w:eastAsia="en-US"/>
        </w:rPr>
        <w:t>II</w:t>
      </w:r>
      <w:r w:rsidRPr="00F51FA1">
        <w:rPr>
          <w:rFonts w:ascii="Abadi" w:eastAsia="Calibri" w:hAnsi="Abadi" w:cs="*Arial-7689-Identity-H"/>
          <w:color w:val="0C0B0E"/>
          <w:sz w:val="21"/>
          <w:szCs w:val="21"/>
          <w:lang w:val="es-MX" w:eastAsia="en-US"/>
        </w:rPr>
        <w:t xml:space="preserve"> y IV de la Constitución Política para el Estado de Guanajuato; 1, 2, fracciones </w:t>
      </w:r>
      <w:r w:rsidR="001C7165">
        <w:rPr>
          <w:rFonts w:ascii="Abadi" w:eastAsia="Calibri" w:hAnsi="Abadi" w:cs="*Arial-7689-Identity-H"/>
          <w:color w:val="0C0B0E"/>
          <w:sz w:val="21"/>
          <w:szCs w:val="21"/>
          <w:lang w:val="es-MX" w:eastAsia="en-US"/>
        </w:rPr>
        <w:t>II</w:t>
      </w:r>
      <w:r w:rsidRPr="00F51FA1">
        <w:rPr>
          <w:rFonts w:ascii="Abadi" w:eastAsia="Calibri" w:hAnsi="Abadi" w:cs="*Arial-7689-Identity-H"/>
          <w:color w:val="0C0B0E"/>
          <w:sz w:val="21"/>
          <w:szCs w:val="21"/>
          <w:lang w:val="es-MX" w:eastAsia="en-US"/>
        </w:rPr>
        <w:t xml:space="preserve"> y </w:t>
      </w:r>
      <w:r w:rsidR="001C7165">
        <w:rPr>
          <w:rFonts w:ascii="Abadi" w:eastAsia="Calibri" w:hAnsi="Abadi" w:cs="*Arial-7689-Identity-H"/>
          <w:color w:val="0C0B0E"/>
          <w:sz w:val="21"/>
          <w:szCs w:val="21"/>
          <w:lang w:val="es-MX" w:eastAsia="en-US"/>
        </w:rPr>
        <w:t>III</w:t>
      </w:r>
      <w:r w:rsidRPr="00F51FA1">
        <w:rPr>
          <w:rFonts w:ascii="Abadi" w:eastAsia="Calibri" w:hAnsi="Abadi" w:cs="*Arial-7689-Identity-H"/>
          <w:color w:val="0C0B0E"/>
          <w:sz w:val="21"/>
          <w:szCs w:val="21"/>
          <w:lang w:val="es-MX" w:eastAsia="en-US"/>
        </w:rPr>
        <w:t xml:space="preserve">, 3, fracciones </w:t>
      </w:r>
      <w:r w:rsidR="001C7165">
        <w:rPr>
          <w:rFonts w:ascii="Abadi" w:eastAsia="Calibri" w:hAnsi="Abadi" w:cs="*Arial-7689-Identity-H"/>
          <w:color w:val="0C0B0E"/>
          <w:sz w:val="21"/>
          <w:szCs w:val="21"/>
          <w:lang w:val="es-MX" w:eastAsia="en-US"/>
        </w:rPr>
        <w:t>I</w:t>
      </w:r>
      <w:r w:rsidRPr="00F51FA1">
        <w:rPr>
          <w:rFonts w:ascii="Abadi" w:eastAsia="Calibri" w:hAnsi="Abadi" w:cs="*Arial-7689-Identity-H"/>
          <w:color w:val="0C0B0E"/>
          <w:sz w:val="21"/>
          <w:szCs w:val="21"/>
          <w:lang w:val="es-MX" w:eastAsia="en-US"/>
        </w:rPr>
        <w:t xml:space="preserve">, </w:t>
      </w:r>
      <w:r w:rsidR="001C7165">
        <w:rPr>
          <w:rFonts w:ascii="Abadi" w:eastAsia="Calibri" w:hAnsi="Abadi" w:cs="*Arial-7689-Identity-H"/>
          <w:color w:val="0C0B0E"/>
          <w:sz w:val="21"/>
          <w:szCs w:val="21"/>
          <w:lang w:val="es-MX" w:eastAsia="en-US"/>
        </w:rPr>
        <w:t>II</w:t>
      </w:r>
      <w:r w:rsidRPr="00F51FA1">
        <w:rPr>
          <w:rFonts w:ascii="Abadi" w:eastAsia="Calibri" w:hAnsi="Abadi" w:cs="*Arial-7689-Identity-H"/>
          <w:color w:val="0C0B0E"/>
          <w:sz w:val="21"/>
          <w:szCs w:val="21"/>
          <w:lang w:val="es-MX" w:eastAsia="en-US"/>
        </w:rPr>
        <w:t xml:space="preserve">, V y XI, 4, 6, 7, 11, 14, 16, 24, 25, 26, 30, 31, 37, fracción </w:t>
      </w:r>
      <w:r w:rsidR="001C7165">
        <w:rPr>
          <w:rFonts w:ascii="Abadi" w:eastAsia="Calibri" w:hAnsi="Abadi" w:cs="*Arial-7689-Identity-H"/>
          <w:color w:val="0C0B0E"/>
          <w:sz w:val="21"/>
          <w:szCs w:val="21"/>
          <w:lang w:val="es-MX" w:eastAsia="en-US"/>
        </w:rPr>
        <w:t>III</w:t>
      </w:r>
      <w:r w:rsidRPr="00F51FA1">
        <w:rPr>
          <w:rFonts w:ascii="Abadi" w:eastAsia="Calibri" w:hAnsi="Abadi" w:cs="*Arial-7689-Identity-H"/>
          <w:color w:val="0C0B0E"/>
          <w:sz w:val="21"/>
          <w:szCs w:val="21"/>
          <w:lang w:val="es-MX" w:eastAsia="en-US"/>
        </w:rPr>
        <w:t xml:space="preserve">, 56, 57, 58, 59, 60, 82, fracciones </w:t>
      </w:r>
      <w:r w:rsidR="001C7165">
        <w:rPr>
          <w:rFonts w:ascii="Abadi" w:eastAsia="Calibri" w:hAnsi="Abadi" w:cs="*Arial-7689-Identity-H"/>
          <w:color w:val="0C0B0E"/>
          <w:sz w:val="21"/>
          <w:szCs w:val="21"/>
          <w:lang w:val="es-MX" w:eastAsia="en-US"/>
        </w:rPr>
        <w:t>III</w:t>
      </w:r>
      <w:r w:rsidRPr="00F51FA1">
        <w:rPr>
          <w:rFonts w:ascii="Abadi" w:eastAsia="Calibri" w:hAnsi="Abadi" w:cs="*Arial-7689-Identity-H"/>
          <w:color w:val="0C0B0E"/>
          <w:sz w:val="21"/>
          <w:szCs w:val="21"/>
          <w:lang w:val="es-MX" w:eastAsia="en-US"/>
        </w:rPr>
        <w:t xml:space="preserve">, IV, </w:t>
      </w:r>
      <w:r w:rsidRPr="001C7165">
        <w:rPr>
          <w:rFonts w:ascii="Abadi" w:eastAsia="Calibri" w:hAnsi="Abadi" w:cs="*Arial-Bold-7690-Identity-H"/>
          <w:color w:val="0C0B0E"/>
          <w:sz w:val="21"/>
          <w:szCs w:val="21"/>
          <w:lang w:val="es-MX" w:eastAsia="en-US"/>
        </w:rPr>
        <w:t xml:space="preserve">XXIX, XXXII </w:t>
      </w:r>
      <w:r w:rsidRPr="001C7165">
        <w:rPr>
          <w:rFonts w:ascii="Abadi" w:eastAsia="Calibri" w:hAnsi="Abadi" w:cs="*Arial-7689-Identity-H"/>
          <w:color w:val="0C0B0E"/>
          <w:sz w:val="21"/>
          <w:szCs w:val="21"/>
          <w:lang w:val="es-MX" w:eastAsia="en-US"/>
        </w:rPr>
        <w:t>y XXXV y 87, fracciones V, XII y XXVI de la Ley de Fiscalización Supe</w:t>
      </w:r>
      <w:r w:rsidRPr="00F51FA1">
        <w:rPr>
          <w:rFonts w:ascii="Abadi" w:eastAsia="Calibri" w:hAnsi="Abadi" w:cs="*Arial-7689-Identity-H"/>
          <w:color w:val="0C0B0E"/>
          <w:sz w:val="21"/>
          <w:szCs w:val="21"/>
          <w:lang w:val="es-MX" w:eastAsia="en-US"/>
        </w:rPr>
        <w:t>rior del Estado de Guanajuato; 1, 3,</w:t>
      </w:r>
      <w:r w:rsidR="001C7165">
        <w:rPr>
          <w:rFonts w:ascii="Abadi" w:eastAsia="Calibri" w:hAnsi="Abadi" w:cs="*Arial-7689-Identity-H"/>
          <w:color w:val="0C0B0E"/>
          <w:sz w:val="21"/>
          <w:szCs w:val="21"/>
          <w:lang w:val="es-MX" w:eastAsia="en-US"/>
        </w:rPr>
        <w:t xml:space="preserve"> 10</w:t>
      </w:r>
      <w:r w:rsidRPr="00F51FA1">
        <w:rPr>
          <w:rFonts w:ascii="Abadi" w:eastAsia="Calibri" w:hAnsi="Abadi" w:cs="*Arial-7689-Identity-H"/>
          <w:color w:val="0C0B0E"/>
          <w:sz w:val="21"/>
          <w:szCs w:val="21"/>
          <w:lang w:val="es-MX" w:eastAsia="en-US"/>
        </w:rPr>
        <w:t xml:space="preserve">, 13, 18, 20, 27, 43, 44, 45, 46, 47, 48 y 49 del Reglamento de la Ley de Fiscalización Superior del Estado de Guanajuato; 1, 7, segundo párrafo, 8, fracción </w:t>
      </w:r>
      <w:r w:rsidR="004818C3">
        <w:rPr>
          <w:rFonts w:ascii="Abadi" w:eastAsia="Calibri" w:hAnsi="Abadi" w:cs="*Arial-7689-Identity-H"/>
          <w:color w:val="0C0B0E"/>
          <w:sz w:val="21"/>
          <w:szCs w:val="21"/>
          <w:lang w:val="es-MX" w:eastAsia="en-US"/>
        </w:rPr>
        <w:t>I</w:t>
      </w:r>
      <w:r w:rsidRPr="00F51FA1">
        <w:rPr>
          <w:rFonts w:ascii="Abadi" w:eastAsia="Calibri" w:hAnsi="Abadi" w:cs="*Arial-7689-Identity-H"/>
          <w:color w:val="0C0B0E"/>
          <w:sz w:val="21"/>
          <w:szCs w:val="21"/>
          <w:lang w:val="es-MX" w:eastAsia="en-US"/>
        </w:rPr>
        <w:t xml:space="preserve">, 9, fracción XVII, 10 fracciones </w:t>
      </w:r>
      <w:r w:rsidR="001C7165">
        <w:rPr>
          <w:rFonts w:ascii="Abadi" w:eastAsia="Calibri" w:hAnsi="Abadi" w:cs="*Arial-7689-Identity-H"/>
          <w:color w:val="0C0B0E"/>
          <w:sz w:val="21"/>
          <w:szCs w:val="21"/>
          <w:lang w:val="es-MX" w:eastAsia="en-US"/>
        </w:rPr>
        <w:t>III</w:t>
      </w:r>
      <w:r w:rsidRPr="00F51FA1">
        <w:rPr>
          <w:rFonts w:ascii="Abadi" w:eastAsia="Calibri" w:hAnsi="Abadi" w:cs="*Arial-7689-Identity-H"/>
          <w:color w:val="0C0B0E"/>
          <w:sz w:val="21"/>
          <w:szCs w:val="21"/>
          <w:lang w:val="es-MX" w:eastAsia="en-US"/>
        </w:rPr>
        <w:t>, XVII, XIX y XX, 14 y 16 del Reglamento Interior de la Auditoría Superior del Estado de Guanajuato; y 42 de la Ley General del Sistema Nacional Anticorrupción.</w:t>
      </w:r>
    </w:p>
    <w:p w14:paraId="3DC22F4B" w14:textId="77777777" w:rsidR="00F51FA1" w:rsidRPr="00F51FA1" w:rsidRDefault="00F51FA1" w:rsidP="00F51FA1">
      <w:pPr>
        <w:autoSpaceDE w:val="0"/>
        <w:autoSpaceDN w:val="0"/>
        <w:adjustRightInd w:val="0"/>
        <w:jc w:val="both"/>
        <w:rPr>
          <w:rFonts w:ascii="Abadi" w:eastAsia="Calibri" w:hAnsi="Abadi" w:cs="*Times New Roman-Bold-7330-Iden"/>
          <w:b/>
          <w:bCs/>
          <w:color w:val="23242B"/>
          <w:sz w:val="21"/>
          <w:szCs w:val="21"/>
          <w:lang w:val="es-MX" w:eastAsia="en-US"/>
        </w:rPr>
      </w:pPr>
    </w:p>
    <w:p w14:paraId="5D9D2AD5" w14:textId="77777777" w:rsidR="00F51FA1" w:rsidRPr="00F51FA1" w:rsidRDefault="00F51FA1" w:rsidP="00826B08">
      <w:pPr>
        <w:autoSpaceDE w:val="0"/>
        <w:autoSpaceDN w:val="0"/>
        <w:adjustRightInd w:val="0"/>
        <w:ind w:firstLine="708"/>
        <w:jc w:val="both"/>
        <w:rPr>
          <w:rFonts w:ascii="Abadi" w:eastAsia="Calibri" w:hAnsi="Abadi" w:cs="*Arial-7331-Identity-H"/>
          <w:color w:val="0D0D10"/>
          <w:sz w:val="21"/>
          <w:szCs w:val="21"/>
          <w:lang w:val="es-MX" w:eastAsia="en-US"/>
        </w:rPr>
      </w:pPr>
      <w:r w:rsidRPr="00F51FA1">
        <w:rPr>
          <w:rFonts w:ascii="Abadi" w:eastAsia="Calibri" w:hAnsi="Abadi" w:cs="*Arial-7331-Identity-H"/>
          <w:color w:val="0D0D10"/>
          <w:sz w:val="21"/>
          <w:szCs w:val="21"/>
          <w:lang w:val="es-MX" w:eastAsia="en-US"/>
        </w:rPr>
        <w:t>Con base en lo anterior, la auditoria de desempeño materia del presente dictamen, se ejecutó bajo los principios, conceptos y directrices de las actuales Normas Profesionales de Auditoria del Sistema Nacional de Fiscalización, compiladas y editadas por la Auditoría Superior de la Federación, de manera particular por lo que hace a sus numerales 100 y 300.</w:t>
      </w:r>
    </w:p>
    <w:p w14:paraId="71811E5E" w14:textId="77777777" w:rsidR="00F51FA1" w:rsidRPr="00F51FA1" w:rsidRDefault="00F51FA1" w:rsidP="00F51FA1">
      <w:pPr>
        <w:autoSpaceDE w:val="0"/>
        <w:autoSpaceDN w:val="0"/>
        <w:adjustRightInd w:val="0"/>
        <w:jc w:val="both"/>
        <w:rPr>
          <w:rFonts w:ascii="Abadi" w:eastAsia="Calibri" w:hAnsi="Abadi" w:cs="*Arial-7331-Identity-H"/>
          <w:color w:val="0C0C0F"/>
          <w:sz w:val="21"/>
          <w:szCs w:val="21"/>
          <w:lang w:val="es-MX" w:eastAsia="en-US"/>
        </w:rPr>
      </w:pPr>
    </w:p>
    <w:p w14:paraId="0176F90F" w14:textId="77777777" w:rsidR="00F51FA1" w:rsidRPr="00F51FA1" w:rsidRDefault="00F51FA1" w:rsidP="00826B08">
      <w:pPr>
        <w:autoSpaceDE w:val="0"/>
        <w:autoSpaceDN w:val="0"/>
        <w:adjustRightInd w:val="0"/>
        <w:ind w:firstLine="708"/>
        <w:jc w:val="both"/>
        <w:rPr>
          <w:rFonts w:ascii="Abadi" w:eastAsia="Calibri" w:hAnsi="Abadi" w:cs="*Arial-7331-Identity-H"/>
          <w:color w:val="0C0C0F"/>
          <w:sz w:val="21"/>
          <w:szCs w:val="21"/>
          <w:lang w:val="es-MX" w:eastAsia="en-US"/>
        </w:rPr>
      </w:pPr>
      <w:r w:rsidRPr="00F51FA1">
        <w:rPr>
          <w:rFonts w:ascii="Abadi" w:eastAsia="Calibri" w:hAnsi="Abadi" w:cs="*Arial-7331-Identity-H"/>
          <w:color w:val="0C0C0F"/>
          <w:sz w:val="21"/>
          <w:szCs w:val="21"/>
          <w:lang w:val="es-MX" w:eastAsia="en-US"/>
        </w:rPr>
        <w:t>En esta parte también se puntualiza que las auditorias de desempeño que se practican por la Auditoría Superior del Estado son congruentes con las metodologías señaladas en las Normas Internacionales para Entidades Fiscalizadoras Superiores 100, 300, 3000 y 3200, emitidas por la Organización Internacional de las Entidades Fiscalizadoras Superiores, así como con los lineamientos para la construcción y diseño de indicadores de desempeño mediante la Metodología del Marco Lógico, emitidos por el Consejo Nacional de Armonización Contable, publicados en el Diario Oficial de la Federación el 15 de mayo de 2013, entre otros.</w:t>
      </w:r>
    </w:p>
    <w:p w14:paraId="4C3D6022" w14:textId="77777777" w:rsidR="00F51FA1" w:rsidRPr="00F51FA1" w:rsidRDefault="00F51FA1" w:rsidP="00F51FA1">
      <w:pPr>
        <w:autoSpaceDE w:val="0"/>
        <w:autoSpaceDN w:val="0"/>
        <w:adjustRightInd w:val="0"/>
        <w:jc w:val="both"/>
        <w:rPr>
          <w:rFonts w:ascii="Abadi" w:eastAsia="Calibri" w:hAnsi="Abadi" w:cs="*Arial-7331-Identity-H"/>
          <w:color w:val="0C0C0F"/>
          <w:sz w:val="21"/>
          <w:szCs w:val="21"/>
          <w:lang w:val="es-MX" w:eastAsia="en-US"/>
        </w:rPr>
      </w:pPr>
    </w:p>
    <w:p w14:paraId="699DCE38" w14:textId="77777777" w:rsidR="00F51FA1" w:rsidRPr="00F51FA1" w:rsidRDefault="00F51FA1" w:rsidP="00826B08">
      <w:pPr>
        <w:autoSpaceDE w:val="0"/>
        <w:autoSpaceDN w:val="0"/>
        <w:adjustRightInd w:val="0"/>
        <w:ind w:firstLine="708"/>
        <w:jc w:val="both"/>
        <w:rPr>
          <w:rFonts w:ascii="Abadi" w:eastAsia="Calibri" w:hAnsi="Abadi" w:cs="*Arial-7331-Identity-H"/>
          <w:color w:val="0C0C0F"/>
          <w:sz w:val="21"/>
          <w:szCs w:val="21"/>
          <w:lang w:val="es-MX" w:eastAsia="en-US"/>
        </w:rPr>
      </w:pPr>
      <w:r w:rsidRPr="00F51FA1">
        <w:rPr>
          <w:rFonts w:ascii="Abadi" w:eastAsia="Calibri" w:hAnsi="Abadi" w:cs="*Arial-7331-Identity-H"/>
          <w:color w:val="0C0C0F"/>
          <w:sz w:val="21"/>
          <w:szCs w:val="21"/>
          <w:lang w:val="es-MX" w:eastAsia="en-US"/>
        </w:rPr>
        <w:t xml:space="preserve">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w:t>
      </w:r>
      <w:proofErr w:type="spellStart"/>
      <w:r w:rsidRPr="00F51FA1">
        <w:rPr>
          <w:rFonts w:ascii="Abadi" w:eastAsia="Calibri" w:hAnsi="Abadi" w:cs="*Arial-7331-Identity-H"/>
          <w:color w:val="0C0C0F"/>
          <w:sz w:val="21"/>
          <w:szCs w:val="21"/>
          <w:lang w:val="es-MX" w:eastAsia="en-US"/>
        </w:rPr>
        <w:t>fiscalizado</w:t>
      </w:r>
      <w:proofErr w:type="spellEnd"/>
      <w:r w:rsidRPr="00F51FA1">
        <w:rPr>
          <w:rFonts w:ascii="Abadi" w:eastAsia="Calibri" w:hAnsi="Abadi" w:cs="*Arial-7331-Identity-H"/>
          <w:color w:val="0C0C0F"/>
          <w:sz w:val="21"/>
          <w:szCs w:val="21"/>
          <w:lang w:val="es-MX" w:eastAsia="en-US"/>
        </w:rPr>
        <w:t>.</w:t>
      </w:r>
    </w:p>
    <w:p w14:paraId="65FD25CA" w14:textId="77777777" w:rsidR="00F51FA1" w:rsidRPr="00F51FA1" w:rsidRDefault="00F51FA1" w:rsidP="00F51FA1">
      <w:pPr>
        <w:autoSpaceDE w:val="0"/>
        <w:autoSpaceDN w:val="0"/>
        <w:adjustRightInd w:val="0"/>
        <w:jc w:val="both"/>
        <w:rPr>
          <w:rFonts w:ascii="Abadi" w:eastAsia="Calibri" w:hAnsi="Abadi" w:cs="*Arial-7331-Identity-H"/>
          <w:color w:val="0D0D0F"/>
          <w:sz w:val="21"/>
          <w:szCs w:val="21"/>
          <w:lang w:val="es-MX" w:eastAsia="en-US"/>
        </w:rPr>
      </w:pPr>
    </w:p>
    <w:p w14:paraId="76244D14" w14:textId="412FF1E6" w:rsidR="00F51FA1" w:rsidRPr="00F51FA1" w:rsidRDefault="00F51FA1" w:rsidP="00826B08">
      <w:pPr>
        <w:autoSpaceDE w:val="0"/>
        <w:autoSpaceDN w:val="0"/>
        <w:adjustRightInd w:val="0"/>
        <w:ind w:firstLine="708"/>
        <w:jc w:val="both"/>
        <w:rPr>
          <w:rFonts w:ascii="Abadi" w:eastAsia="Calibri" w:hAnsi="Abadi" w:cs="*Arial-7331-Identity-H"/>
          <w:color w:val="0D0D0F"/>
          <w:sz w:val="21"/>
          <w:szCs w:val="21"/>
          <w:lang w:val="es-MX" w:eastAsia="en-US"/>
        </w:rPr>
      </w:pPr>
      <w:r w:rsidRPr="00F51FA1">
        <w:rPr>
          <w:rFonts w:ascii="Abadi" w:eastAsia="Calibri" w:hAnsi="Abadi" w:cs="*Arial-7331-Identity-H"/>
          <w:color w:val="0D0D0F"/>
          <w:sz w:val="21"/>
          <w:szCs w:val="21"/>
          <w:lang w:val="es-MX" w:eastAsia="en-US"/>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w:t>
      </w:r>
      <w:r w:rsidR="001C7165">
        <w:rPr>
          <w:rFonts w:ascii="Abadi" w:eastAsia="Calibri" w:hAnsi="Abadi" w:cs="*Arial-7331-Identity-H"/>
          <w:color w:val="0D0D0F"/>
          <w:sz w:val="21"/>
          <w:szCs w:val="21"/>
          <w:lang w:val="es-MX" w:eastAsia="en-US"/>
        </w:rPr>
        <w:t xml:space="preserve"> </w:t>
      </w:r>
      <w:r w:rsidRPr="00F51FA1">
        <w:rPr>
          <w:rFonts w:ascii="Abadi" w:eastAsia="Calibri" w:hAnsi="Abadi" w:cs="*Arial-7331-Identity-H"/>
          <w:color w:val="0D0D0F"/>
          <w:sz w:val="21"/>
          <w:szCs w:val="21"/>
          <w:lang w:val="es-MX" w:eastAsia="en-US"/>
        </w:rPr>
        <w:t>Fiscalización respectivo.</w:t>
      </w:r>
    </w:p>
    <w:p w14:paraId="69ADF82A" w14:textId="77777777" w:rsidR="00F51FA1" w:rsidRPr="00F51FA1" w:rsidRDefault="00F51FA1" w:rsidP="00F51FA1">
      <w:pPr>
        <w:autoSpaceDE w:val="0"/>
        <w:autoSpaceDN w:val="0"/>
        <w:adjustRightInd w:val="0"/>
        <w:jc w:val="both"/>
        <w:rPr>
          <w:rFonts w:ascii="Abadi" w:eastAsia="Calibri" w:hAnsi="Abadi" w:cs="*Arial-7331-Identity-H"/>
          <w:color w:val="0D0C10"/>
          <w:sz w:val="21"/>
          <w:szCs w:val="21"/>
          <w:lang w:val="es-MX" w:eastAsia="en-US"/>
        </w:rPr>
      </w:pPr>
    </w:p>
    <w:p w14:paraId="521665DB" w14:textId="77777777" w:rsidR="00F51FA1" w:rsidRPr="00F51FA1" w:rsidRDefault="00F51FA1" w:rsidP="00826B08">
      <w:pPr>
        <w:autoSpaceDE w:val="0"/>
        <w:autoSpaceDN w:val="0"/>
        <w:adjustRightInd w:val="0"/>
        <w:ind w:firstLine="708"/>
        <w:jc w:val="both"/>
        <w:rPr>
          <w:rFonts w:ascii="Abadi" w:eastAsia="Calibri" w:hAnsi="Abadi" w:cs="*Arial-7331-Identity-H"/>
          <w:color w:val="0D0C10"/>
          <w:sz w:val="21"/>
          <w:szCs w:val="21"/>
          <w:lang w:val="es-MX" w:eastAsia="en-US"/>
        </w:rPr>
      </w:pPr>
      <w:r w:rsidRPr="00F51FA1">
        <w:rPr>
          <w:rFonts w:ascii="Abadi" w:eastAsia="Calibri" w:hAnsi="Abadi" w:cs="*Arial-7331-Identity-H"/>
          <w:color w:val="0D0C10"/>
          <w:sz w:val="21"/>
          <w:szCs w:val="21"/>
          <w:lang w:val="es-MX" w:eastAsia="en-US"/>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404E7367" w14:textId="77777777" w:rsidR="00F51FA1" w:rsidRPr="00F51FA1" w:rsidRDefault="00F51FA1" w:rsidP="00F51FA1">
      <w:pPr>
        <w:autoSpaceDE w:val="0"/>
        <w:autoSpaceDN w:val="0"/>
        <w:adjustRightInd w:val="0"/>
        <w:jc w:val="both"/>
        <w:rPr>
          <w:rFonts w:ascii="Abadi" w:eastAsia="Calibri" w:hAnsi="Abadi" w:cs="*Calibri-Bold-6756-Identity-H"/>
          <w:b/>
          <w:bCs/>
          <w:color w:val="2B2931"/>
          <w:sz w:val="21"/>
          <w:szCs w:val="21"/>
          <w:lang w:val="es-MX" w:eastAsia="en-US"/>
        </w:rPr>
      </w:pPr>
    </w:p>
    <w:p w14:paraId="1CADFF07" w14:textId="77777777" w:rsidR="00F51FA1" w:rsidRPr="00F51FA1" w:rsidRDefault="00F51FA1" w:rsidP="00826B08">
      <w:pPr>
        <w:autoSpaceDE w:val="0"/>
        <w:autoSpaceDN w:val="0"/>
        <w:adjustRightInd w:val="0"/>
        <w:ind w:firstLine="708"/>
        <w:jc w:val="both"/>
        <w:rPr>
          <w:rFonts w:ascii="Abadi" w:eastAsia="Calibri" w:hAnsi="Abadi" w:cs="*Arial-6757-Identity-H"/>
          <w:color w:val="0D0C0F"/>
          <w:sz w:val="21"/>
          <w:szCs w:val="21"/>
          <w:lang w:val="es-MX" w:eastAsia="en-US"/>
        </w:rPr>
      </w:pPr>
      <w:r w:rsidRPr="00F51FA1">
        <w:rPr>
          <w:rFonts w:ascii="Abadi" w:eastAsia="Calibri" w:hAnsi="Abadi" w:cs="*Arial-6757-Identity-H"/>
          <w:color w:val="0D0C0F"/>
          <w:sz w:val="21"/>
          <w:szCs w:val="21"/>
          <w:lang w:val="es-MX" w:eastAsia="en-US"/>
        </w:rPr>
        <w:t>Es así, que la valoración realizada por la Auditoria Superior del Estado redunda en las manifestaciones, argumentos, acciones y evidencia presentada en la respuesta al pliego de recomendaciones, para lo cual la evidencia aportada por el sujeto fiscalizado debe ser competente, pertinente, suficiente y relevante.</w:t>
      </w:r>
    </w:p>
    <w:p w14:paraId="5A1D6364" w14:textId="77777777" w:rsidR="00F51FA1" w:rsidRPr="00F51FA1" w:rsidRDefault="00F51FA1" w:rsidP="00F51FA1">
      <w:pPr>
        <w:autoSpaceDE w:val="0"/>
        <w:autoSpaceDN w:val="0"/>
        <w:adjustRightInd w:val="0"/>
        <w:jc w:val="both"/>
        <w:rPr>
          <w:rFonts w:ascii="Abadi" w:eastAsia="Calibri" w:hAnsi="Abadi" w:cs="*Arial-6757-Identity-H"/>
          <w:color w:val="0D0C10"/>
          <w:sz w:val="21"/>
          <w:szCs w:val="21"/>
          <w:lang w:val="es-MX" w:eastAsia="en-US"/>
        </w:rPr>
      </w:pPr>
    </w:p>
    <w:p w14:paraId="6A1D0E40" w14:textId="5F91452C" w:rsidR="00F51FA1" w:rsidRPr="00F51FA1" w:rsidRDefault="00F51FA1" w:rsidP="004818C3">
      <w:pPr>
        <w:autoSpaceDE w:val="0"/>
        <w:autoSpaceDN w:val="0"/>
        <w:adjustRightInd w:val="0"/>
        <w:ind w:firstLine="708"/>
        <w:jc w:val="both"/>
        <w:rPr>
          <w:rFonts w:ascii="Abadi" w:eastAsia="Calibri" w:hAnsi="Abadi" w:cs="*Arial-6757-Identity-H"/>
          <w:color w:val="0D0C10"/>
          <w:sz w:val="21"/>
          <w:szCs w:val="21"/>
          <w:lang w:val="es-MX" w:eastAsia="en-US"/>
        </w:rPr>
      </w:pPr>
      <w:r w:rsidRPr="00F51FA1">
        <w:rPr>
          <w:rFonts w:ascii="Abadi" w:eastAsia="Calibri" w:hAnsi="Abadi" w:cs="*Arial-6757-Identity-H"/>
          <w:color w:val="0D0C10"/>
          <w:sz w:val="21"/>
          <w:szCs w:val="21"/>
          <w:lang w:val="es-MX" w:eastAsia="en-US"/>
        </w:rPr>
        <w:t>Respecto al objetivo y alcance de la auditoría se señala que de acuerdo a la Organización Internacional de las Entidades Fiscalizadoras Superiores,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w:t>
      </w:r>
      <w:r w:rsidR="004818C3">
        <w:rPr>
          <w:rFonts w:ascii="Abadi" w:eastAsia="Calibri" w:hAnsi="Abadi" w:cs="*Arial-6757-Identity-H"/>
          <w:color w:val="0D0C10"/>
          <w:sz w:val="21"/>
          <w:szCs w:val="21"/>
          <w:lang w:val="es-MX" w:eastAsia="en-US"/>
        </w:rPr>
        <w:t xml:space="preserve"> </w:t>
      </w:r>
      <w:r w:rsidRPr="00F51FA1">
        <w:rPr>
          <w:rFonts w:ascii="Abadi" w:eastAsia="Calibri" w:hAnsi="Abadi" w:cs="*Arial-6757-Identity-H"/>
          <w:color w:val="0D0C10"/>
          <w:sz w:val="21"/>
          <w:szCs w:val="21"/>
          <w:lang w:val="es-MX" w:eastAsia="en-US"/>
        </w:rPr>
        <w:t>los programas y servicios operan como se esperaba; y al problema, el cual examina, verifica y analiza las causas de los problemas particulares o desviaciones de los criterios establecidos.</w:t>
      </w:r>
    </w:p>
    <w:p w14:paraId="77B8A3B5" w14:textId="77777777" w:rsidR="00F51FA1" w:rsidRPr="00F51FA1" w:rsidRDefault="00F51FA1" w:rsidP="00F51FA1">
      <w:pPr>
        <w:autoSpaceDE w:val="0"/>
        <w:autoSpaceDN w:val="0"/>
        <w:adjustRightInd w:val="0"/>
        <w:jc w:val="both"/>
        <w:rPr>
          <w:rFonts w:ascii="Abadi" w:eastAsia="Calibri" w:hAnsi="Abadi" w:cs="*Arial-6757-Identity-H"/>
          <w:color w:val="0C0C0F"/>
          <w:sz w:val="21"/>
          <w:szCs w:val="21"/>
          <w:lang w:val="es-MX" w:eastAsia="en-US"/>
        </w:rPr>
      </w:pPr>
    </w:p>
    <w:p w14:paraId="016D5DA1" w14:textId="77777777" w:rsidR="00F51FA1" w:rsidRPr="00F51FA1" w:rsidRDefault="00F51FA1" w:rsidP="00826B08">
      <w:pPr>
        <w:autoSpaceDE w:val="0"/>
        <w:autoSpaceDN w:val="0"/>
        <w:adjustRightInd w:val="0"/>
        <w:ind w:firstLine="708"/>
        <w:jc w:val="both"/>
        <w:rPr>
          <w:rFonts w:ascii="Abadi" w:eastAsia="Calibri" w:hAnsi="Abadi" w:cs="*Arial-6757-Identity-H"/>
          <w:color w:val="0C0C0F"/>
          <w:sz w:val="21"/>
          <w:szCs w:val="21"/>
          <w:lang w:val="es-MX" w:eastAsia="en-US"/>
        </w:rPr>
      </w:pPr>
      <w:r w:rsidRPr="00F51FA1">
        <w:rPr>
          <w:rFonts w:ascii="Abadi" w:eastAsia="Calibri" w:hAnsi="Abadi" w:cs="*Arial-6757-Identity-H"/>
          <w:color w:val="0C0C0F"/>
          <w:sz w:val="21"/>
          <w:szCs w:val="21"/>
          <w:lang w:val="es-MX" w:eastAsia="en-US"/>
        </w:rPr>
        <w:t>En las auditorias de desempeño practicadas por la Auditoría Superior del Estado se consideran dichos enfoques, mediante las auditorías de cumplimiento de objetivos o resultados, de diseño y de consistencia y resultados.</w:t>
      </w:r>
    </w:p>
    <w:p w14:paraId="5BAD9B2A" w14:textId="77777777" w:rsidR="00F51FA1" w:rsidRPr="00F51FA1" w:rsidRDefault="00F51FA1" w:rsidP="00F51FA1">
      <w:pPr>
        <w:autoSpaceDE w:val="0"/>
        <w:autoSpaceDN w:val="0"/>
        <w:adjustRightInd w:val="0"/>
        <w:jc w:val="both"/>
        <w:rPr>
          <w:rFonts w:ascii="Abadi" w:eastAsia="Calibri" w:hAnsi="Abadi" w:cs="*Arial-6757-Identity-H"/>
          <w:color w:val="0C0B0E"/>
          <w:sz w:val="21"/>
          <w:szCs w:val="21"/>
          <w:lang w:val="es-MX" w:eastAsia="en-US"/>
        </w:rPr>
      </w:pPr>
    </w:p>
    <w:p w14:paraId="2E268482" w14:textId="77777777" w:rsidR="00F51FA1" w:rsidRPr="00F51FA1" w:rsidRDefault="00F51FA1" w:rsidP="00826B08">
      <w:pPr>
        <w:autoSpaceDE w:val="0"/>
        <w:autoSpaceDN w:val="0"/>
        <w:adjustRightInd w:val="0"/>
        <w:ind w:firstLine="708"/>
        <w:jc w:val="both"/>
        <w:rPr>
          <w:rFonts w:ascii="Abadi" w:eastAsia="Calibri" w:hAnsi="Abadi" w:cs="*Arial-6757-Identity-H"/>
          <w:color w:val="0C0B0E"/>
          <w:sz w:val="21"/>
          <w:szCs w:val="21"/>
          <w:lang w:val="es-MX" w:eastAsia="en-US"/>
        </w:rPr>
      </w:pPr>
      <w:r w:rsidRPr="00F51FA1">
        <w:rPr>
          <w:rFonts w:ascii="Abadi" w:eastAsia="Calibri" w:hAnsi="Abadi" w:cs="*Arial-6757-Identity-H"/>
          <w:color w:val="0C0B0E"/>
          <w:sz w:val="21"/>
          <w:szCs w:val="21"/>
          <w:lang w:val="es-MX" w:eastAsia="en-US"/>
        </w:rPr>
        <w:t>En la auditoría que nos ocupa se aplicó un enfoque de resultados y se incluyó en el Programa General de Fiscalización 2021, considerando diversos criterios metodológicos expuestos en dicho Programa.</w:t>
      </w:r>
    </w:p>
    <w:p w14:paraId="16B643E6" w14:textId="77777777" w:rsidR="00F51FA1" w:rsidRPr="00F51FA1" w:rsidRDefault="00F51FA1" w:rsidP="00F51FA1">
      <w:pPr>
        <w:autoSpaceDE w:val="0"/>
        <w:autoSpaceDN w:val="0"/>
        <w:adjustRightInd w:val="0"/>
        <w:jc w:val="both"/>
        <w:rPr>
          <w:rFonts w:ascii="Abadi" w:eastAsia="Calibri" w:hAnsi="Abadi" w:cs="*Arial-6757-Identity-H"/>
          <w:color w:val="0C0C0F"/>
          <w:sz w:val="21"/>
          <w:szCs w:val="21"/>
          <w:lang w:val="es-MX" w:eastAsia="en-US"/>
        </w:rPr>
      </w:pPr>
    </w:p>
    <w:p w14:paraId="69578BC5" w14:textId="77777777" w:rsidR="00F51FA1" w:rsidRPr="00F51FA1" w:rsidRDefault="00F51FA1" w:rsidP="00826B08">
      <w:pPr>
        <w:autoSpaceDE w:val="0"/>
        <w:autoSpaceDN w:val="0"/>
        <w:adjustRightInd w:val="0"/>
        <w:ind w:firstLine="708"/>
        <w:jc w:val="both"/>
        <w:rPr>
          <w:rFonts w:ascii="Abadi" w:eastAsia="Calibri" w:hAnsi="Abadi" w:cs="*Arial-6757-Identity-H"/>
          <w:color w:val="0C0C0F"/>
          <w:sz w:val="21"/>
          <w:szCs w:val="21"/>
          <w:lang w:val="es-MX" w:eastAsia="en-US"/>
        </w:rPr>
      </w:pPr>
      <w:r w:rsidRPr="00F51FA1">
        <w:rPr>
          <w:rFonts w:ascii="Abadi" w:eastAsia="Calibri" w:hAnsi="Abadi" w:cs="*Arial-6757-Identity-H"/>
          <w:color w:val="0C0C0F"/>
          <w:sz w:val="21"/>
          <w:szCs w:val="21"/>
          <w:lang w:val="es-MX" w:eastAsia="en-US"/>
        </w:rPr>
        <w:t>Dicha auditoría tuvo como objetivo general verificar la capacidad del Municipio para la prestación eficaz del servicio de alumbrado público y la eficiencia en sus funciones de planificación, operación y seguimiento.</w:t>
      </w:r>
    </w:p>
    <w:p w14:paraId="5E99EDC4" w14:textId="77777777" w:rsidR="00F51FA1" w:rsidRPr="00F51FA1" w:rsidRDefault="00F51FA1" w:rsidP="00F51FA1">
      <w:pPr>
        <w:autoSpaceDE w:val="0"/>
        <w:autoSpaceDN w:val="0"/>
        <w:adjustRightInd w:val="0"/>
        <w:jc w:val="both"/>
        <w:rPr>
          <w:rFonts w:ascii="Abadi" w:eastAsia="Calibri" w:hAnsi="Abadi" w:cs="*Arial-6757-Identity-H"/>
          <w:color w:val="0D0C0F"/>
          <w:sz w:val="21"/>
          <w:szCs w:val="21"/>
          <w:lang w:val="es-MX" w:eastAsia="en-US"/>
        </w:rPr>
      </w:pPr>
    </w:p>
    <w:p w14:paraId="7BD1C01D" w14:textId="6609743D" w:rsidR="00F51FA1" w:rsidRPr="00F51FA1" w:rsidRDefault="00F51FA1" w:rsidP="00826B08">
      <w:pPr>
        <w:autoSpaceDE w:val="0"/>
        <w:autoSpaceDN w:val="0"/>
        <w:adjustRightInd w:val="0"/>
        <w:ind w:firstLine="708"/>
        <w:jc w:val="both"/>
        <w:rPr>
          <w:rFonts w:ascii="Abadi" w:eastAsia="Calibri" w:hAnsi="Abadi" w:cs="*Arial-6757-Identity-H"/>
          <w:color w:val="0D0C0F"/>
          <w:sz w:val="21"/>
          <w:szCs w:val="21"/>
          <w:lang w:val="es-MX" w:eastAsia="en-US"/>
        </w:rPr>
      </w:pPr>
      <w:r w:rsidRPr="00F51FA1">
        <w:rPr>
          <w:rFonts w:ascii="Abadi" w:eastAsia="Calibri" w:hAnsi="Abadi" w:cs="*Arial-6757-Identity-H"/>
          <w:color w:val="0D0C0F"/>
          <w:sz w:val="21"/>
          <w:szCs w:val="21"/>
          <w:lang w:val="es-MX" w:eastAsia="en-US"/>
        </w:rPr>
        <w:t>En cuanto a la temporalidad, el alcance de la auditoría abarcó el periodo comprendido de enero a diciembre del ejercicio fiscal 2020; asimismo, respecto a la profundidad temática se revisó la eficiencia en la gestión de la información que dispone el Municipio para identificar la estimación tanto de la oferta del servicio de alumbrado público como de los recursos necesarios para su implementación; sobre el estado que guarda la organización del Municipio para brindar el servicio</w:t>
      </w:r>
      <w:r w:rsidR="001C7165">
        <w:rPr>
          <w:rFonts w:ascii="Abadi" w:eastAsia="Calibri" w:hAnsi="Abadi" w:cs="*Arial-6757-Identity-H"/>
          <w:color w:val="0D0C0F"/>
          <w:sz w:val="21"/>
          <w:szCs w:val="21"/>
          <w:lang w:val="es-MX" w:eastAsia="en-US"/>
        </w:rPr>
        <w:t xml:space="preserve"> </w:t>
      </w:r>
      <w:r w:rsidRPr="00F51FA1">
        <w:rPr>
          <w:rFonts w:ascii="Abadi" w:eastAsia="Calibri" w:hAnsi="Abadi" w:cs="*Arial-6757-Identity-H"/>
          <w:color w:val="0D0C0F"/>
          <w:sz w:val="21"/>
          <w:szCs w:val="21"/>
          <w:lang w:val="es-MX" w:eastAsia="en-US"/>
        </w:rPr>
        <w:t xml:space="preserve">de alumbrado público y la gestión de la calidad sobre sus procesos clave; y el uso de herramientas para la planificación operativa y el seguimiento de las actividades vinculadas a la atención de reportes por fallas en el servicio. Así como, la eficacia en los resultados de la capacidad municipal en la prestación del servicio de alumbrado público en el ejercicio 2020 a partir del grado de funcionamiento de las luminarias que lo conforman, la cobertura lograda y la satisfacción ciudadana </w:t>
      </w:r>
      <w:r w:rsidRPr="00F51FA1">
        <w:rPr>
          <w:rFonts w:ascii="Abadi" w:eastAsia="Calibri" w:hAnsi="Abadi" w:cs="*Arial-10222-Identity-H"/>
          <w:color w:val="0C0C0F"/>
          <w:sz w:val="21"/>
          <w:szCs w:val="21"/>
          <w:lang w:val="es-MX" w:eastAsia="en-US"/>
        </w:rPr>
        <w:t>sobre el servicio, y de la relevancia y suficiencia de los mecanismos que permiten</w:t>
      </w:r>
      <w:r w:rsidRPr="00F51FA1">
        <w:rPr>
          <w:rFonts w:ascii="Abadi" w:eastAsia="Calibri" w:hAnsi="Abadi" w:cs="*Arial-6757-Identity-H"/>
          <w:color w:val="0D0C0F"/>
          <w:sz w:val="21"/>
          <w:szCs w:val="21"/>
          <w:lang w:val="es-MX" w:eastAsia="en-US"/>
        </w:rPr>
        <w:t xml:space="preserve"> </w:t>
      </w:r>
      <w:r w:rsidRPr="00F51FA1">
        <w:rPr>
          <w:rFonts w:ascii="Abadi" w:eastAsia="Calibri" w:hAnsi="Abadi" w:cs="*Arial-10222-Identity-H"/>
          <w:color w:val="0C0C0F"/>
          <w:sz w:val="21"/>
          <w:szCs w:val="21"/>
          <w:lang w:val="es-MX" w:eastAsia="en-US"/>
        </w:rPr>
        <w:t>monitorear el desempeño y los resultados del servicio.</w:t>
      </w:r>
    </w:p>
    <w:p w14:paraId="38C40D33" w14:textId="77777777" w:rsidR="00F51FA1" w:rsidRPr="00F51FA1" w:rsidRDefault="00F51FA1" w:rsidP="00F51FA1">
      <w:pPr>
        <w:autoSpaceDE w:val="0"/>
        <w:autoSpaceDN w:val="0"/>
        <w:adjustRightInd w:val="0"/>
        <w:jc w:val="both"/>
        <w:rPr>
          <w:rFonts w:ascii="Abadi" w:eastAsia="Calibri" w:hAnsi="Abadi" w:cs="*Arial-10222-Identity-H"/>
          <w:color w:val="0D0D0F"/>
          <w:sz w:val="21"/>
          <w:szCs w:val="21"/>
          <w:lang w:val="es-MX" w:eastAsia="en-US"/>
        </w:rPr>
      </w:pPr>
    </w:p>
    <w:p w14:paraId="543B3052" w14:textId="77777777" w:rsidR="00F51FA1" w:rsidRPr="00F51FA1" w:rsidRDefault="00F51FA1" w:rsidP="00826B08">
      <w:pPr>
        <w:autoSpaceDE w:val="0"/>
        <w:autoSpaceDN w:val="0"/>
        <w:adjustRightInd w:val="0"/>
        <w:ind w:firstLine="708"/>
        <w:jc w:val="both"/>
        <w:rPr>
          <w:rFonts w:ascii="Abadi" w:eastAsia="Calibri" w:hAnsi="Abadi" w:cs="*Arial-10222-Identity-H"/>
          <w:color w:val="0D0D0F"/>
          <w:sz w:val="21"/>
          <w:szCs w:val="21"/>
          <w:lang w:val="es-MX" w:eastAsia="en-US"/>
        </w:rPr>
      </w:pPr>
      <w:r w:rsidRPr="00F51FA1">
        <w:rPr>
          <w:rFonts w:ascii="Abadi" w:eastAsia="Calibri" w:hAnsi="Abadi" w:cs="*Arial-10222-Identity-H"/>
          <w:color w:val="0D0D0F"/>
          <w:sz w:val="21"/>
          <w:szCs w:val="21"/>
          <w:lang w:val="es-MX" w:eastAsia="en-US"/>
        </w:rPr>
        <w:t>Respecto a los antecedentes del proceso de fiscalización, estos ya se detallaron en el apartado correspondiente.</w:t>
      </w:r>
    </w:p>
    <w:p w14:paraId="7DB9AEF9" w14:textId="77777777" w:rsidR="00F51FA1" w:rsidRPr="00F51FA1" w:rsidRDefault="00F51FA1" w:rsidP="00F51FA1">
      <w:pPr>
        <w:autoSpaceDE w:val="0"/>
        <w:autoSpaceDN w:val="0"/>
        <w:adjustRightInd w:val="0"/>
        <w:jc w:val="both"/>
        <w:rPr>
          <w:rFonts w:ascii="Abadi" w:eastAsia="Calibri" w:hAnsi="Abadi" w:cs="*Arial-10222-Identity-H"/>
          <w:color w:val="0C0C0F"/>
          <w:sz w:val="21"/>
          <w:szCs w:val="21"/>
          <w:lang w:val="es-MX" w:eastAsia="en-US"/>
        </w:rPr>
      </w:pPr>
    </w:p>
    <w:p w14:paraId="577A89F5" w14:textId="77777777" w:rsidR="00F51FA1" w:rsidRPr="00F51FA1" w:rsidRDefault="00F51FA1" w:rsidP="00826B08">
      <w:pPr>
        <w:autoSpaceDE w:val="0"/>
        <w:autoSpaceDN w:val="0"/>
        <w:adjustRightInd w:val="0"/>
        <w:ind w:firstLine="708"/>
        <w:jc w:val="both"/>
        <w:rPr>
          <w:rFonts w:ascii="Abadi" w:eastAsia="Calibri" w:hAnsi="Abadi" w:cs="*Arial-10222-Identity-H"/>
          <w:color w:val="0C0C0F"/>
          <w:sz w:val="21"/>
          <w:szCs w:val="21"/>
          <w:lang w:val="es-MX" w:eastAsia="en-US"/>
        </w:rPr>
      </w:pPr>
      <w:r w:rsidRPr="00F51FA1">
        <w:rPr>
          <w:rFonts w:ascii="Abadi" w:eastAsia="Calibri" w:hAnsi="Abadi" w:cs="*Arial-10222-Identity-H"/>
          <w:color w:val="0C0C0F"/>
          <w:sz w:val="21"/>
          <w:szCs w:val="21"/>
          <w:lang w:val="es-MX" w:eastAsia="en-US"/>
        </w:rPr>
        <w:t>En cuanto al contexto de la política pública de la materia a auditar,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al Municipio.</w:t>
      </w:r>
    </w:p>
    <w:p w14:paraId="130B4D74" w14:textId="77777777" w:rsidR="00F51FA1" w:rsidRPr="00F51FA1" w:rsidRDefault="00F51FA1" w:rsidP="00F51FA1">
      <w:pPr>
        <w:autoSpaceDE w:val="0"/>
        <w:autoSpaceDN w:val="0"/>
        <w:adjustRightInd w:val="0"/>
        <w:jc w:val="both"/>
        <w:rPr>
          <w:rFonts w:ascii="Abadi" w:eastAsia="Calibri" w:hAnsi="Abadi" w:cs="*Arial-10222-Identity-H"/>
          <w:color w:val="0D0D0F"/>
          <w:sz w:val="21"/>
          <w:szCs w:val="21"/>
          <w:lang w:val="es-MX" w:eastAsia="en-US"/>
        </w:rPr>
      </w:pPr>
    </w:p>
    <w:p w14:paraId="2D7517B7" w14:textId="50A15D6C" w:rsidR="00F51FA1" w:rsidRPr="00F51FA1" w:rsidRDefault="00F51FA1" w:rsidP="00F1100A">
      <w:pPr>
        <w:autoSpaceDE w:val="0"/>
        <w:autoSpaceDN w:val="0"/>
        <w:adjustRightInd w:val="0"/>
        <w:ind w:firstLine="708"/>
        <w:jc w:val="both"/>
        <w:rPr>
          <w:rFonts w:ascii="Abadi" w:eastAsia="Calibri" w:hAnsi="Abadi" w:cs="*Arial-Italic-10223-Identity-H"/>
          <w:i/>
          <w:iCs/>
          <w:color w:val="0D0D0F"/>
          <w:sz w:val="21"/>
          <w:szCs w:val="21"/>
          <w:lang w:val="es-MX" w:eastAsia="en-US"/>
        </w:rPr>
      </w:pPr>
      <w:r w:rsidRPr="00F51FA1">
        <w:rPr>
          <w:rFonts w:ascii="Abadi" w:eastAsia="Calibri" w:hAnsi="Abadi" w:cs="*Arial-10222-Identity-H"/>
          <w:color w:val="0D0D0F"/>
          <w:sz w:val="21"/>
          <w:szCs w:val="21"/>
          <w:lang w:val="es-MX" w:eastAsia="en-US"/>
        </w:rPr>
        <w:t xml:space="preserve">También se precisa que el servicio público «es </w:t>
      </w:r>
      <w:r w:rsidRPr="00F51FA1">
        <w:rPr>
          <w:rFonts w:ascii="Abadi" w:eastAsia="Calibri" w:hAnsi="Abadi" w:cs="*Arial-Italic-10223-Identity-H"/>
          <w:i/>
          <w:iCs/>
          <w:color w:val="0D0D0F"/>
          <w:sz w:val="21"/>
          <w:szCs w:val="21"/>
          <w:lang w:val="es-MX" w:eastAsia="en-US"/>
        </w:rPr>
        <w:t xml:space="preserve">la institución Jurídica administrativa en la que el titular es el Estado (municipio) y cuya única finalidad consiste en satisfacer de manera regular, continua y uniforme necesidades públicas de carácter esencial, básico o fundamental; se concreta </w:t>
      </w:r>
      <w:r w:rsidRPr="00F51FA1">
        <w:rPr>
          <w:rFonts w:ascii="Abadi" w:eastAsia="Calibri" w:hAnsi="Abadi" w:cs="*Arial-10222-Identity-H"/>
          <w:color w:val="0D0D0F"/>
          <w:sz w:val="21"/>
          <w:szCs w:val="21"/>
          <w:lang w:val="es-MX" w:eastAsia="en-US"/>
        </w:rPr>
        <w:t xml:space="preserve">a </w:t>
      </w:r>
      <w:r w:rsidRPr="00F51FA1">
        <w:rPr>
          <w:rFonts w:ascii="Abadi" w:eastAsia="Calibri" w:hAnsi="Abadi" w:cs="*Arial-Italic-10223-Identity-H"/>
          <w:i/>
          <w:iCs/>
          <w:color w:val="0D0D0F"/>
          <w:sz w:val="21"/>
          <w:szCs w:val="21"/>
          <w:lang w:val="es-MX" w:eastAsia="en-US"/>
        </w:rPr>
        <w:t>través de las prestaciones individualizadas las cuales podrán ser suministradas directamente</w:t>
      </w:r>
      <w:r w:rsidR="001C7165">
        <w:rPr>
          <w:rFonts w:ascii="Abadi" w:eastAsia="Calibri" w:hAnsi="Abadi" w:cs="*Arial-Italic-10223-Identity-H"/>
          <w:i/>
          <w:iCs/>
          <w:color w:val="0D0D0F"/>
          <w:sz w:val="21"/>
          <w:szCs w:val="21"/>
          <w:lang w:val="es-MX" w:eastAsia="en-US"/>
        </w:rPr>
        <w:t xml:space="preserve"> </w:t>
      </w:r>
      <w:r w:rsidRPr="00F51FA1">
        <w:rPr>
          <w:rFonts w:ascii="Abadi" w:eastAsia="Calibri" w:hAnsi="Abadi" w:cs="*Arial-Italic-10223-Identity-H"/>
          <w:i/>
          <w:iCs/>
          <w:color w:val="0D0D0F"/>
          <w:sz w:val="21"/>
          <w:szCs w:val="21"/>
          <w:lang w:val="es-MX" w:eastAsia="en-US"/>
        </w:rPr>
        <w:t xml:space="preserve">por el Estado (municipio) </w:t>
      </w:r>
      <w:r w:rsidRPr="00F51FA1">
        <w:rPr>
          <w:rFonts w:ascii="Abadi" w:eastAsia="Calibri" w:hAnsi="Abadi" w:cs="*Arial-10222-Identity-H"/>
          <w:color w:val="0D0D0F"/>
          <w:sz w:val="21"/>
          <w:szCs w:val="21"/>
          <w:lang w:val="es-MX" w:eastAsia="en-US"/>
        </w:rPr>
        <w:t xml:space="preserve">o </w:t>
      </w:r>
      <w:r w:rsidRPr="00F51FA1">
        <w:rPr>
          <w:rFonts w:ascii="Abadi" w:eastAsia="Calibri" w:hAnsi="Abadi" w:cs="*Arial-Italic-10223-Identity-H"/>
          <w:i/>
          <w:iCs/>
          <w:color w:val="0D0D0F"/>
          <w:sz w:val="21"/>
          <w:szCs w:val="21"/>
          <w:lang w:val="es-MX" w:eastAsia="en-US"/>
        </w:rPr>
        <w:t xml:space="preserve">por los particulares mediante concesión. Por su naturaleza, estará sujeta </w:t>
      </w:r>
      <w:r w:rsidRPr="00F51FA1">
        <w:rPr>
          <w:rFonts w:ascii="Abadi" w:eastAsia="Calibri" w:hAnsi="Abadi" w:cs="*Arial-10222-Identity-H"/>
          <w:color w:val="0D0D0F"/>
          <w:sz w:val="21"/>
          <w:szCs w:val="21"/>
          <w:lang w:val="es-MX" w:eastAsia="en-US"/>
        </w:rPr>
        <w:t xml:space="preserve">a </w:t>
      </w:r>
      <w:r w:rsidRPr="00F51FA1">
        <w:rPr>
          <w:rFonts w:ascii="Abadi" w:eastAsia="Calibri" w:hAnsi="Abadi" w:cs="*Arial-Italic-10223-Identity-H"/>
          <w:i/>
          <w:iCs/>
          <w:color w:val="0D0D0F"/>
          <w:sz w:val="21"/>
          <w:szCs w:val="21"/>
          <w:lang w:val="es-MX" w:eastAsia="en-US"/>
        </w:rPr>
        <w:t xml:space="preserve">normas y principios de derecho público». </w:t>
      </w:r>
      <w:r w:rsidR="00624FB0">
        <w:rPr>
          <w:rStyle w:val="Refdenotaalpie"/>
          <w:rFonts w:ascii="Abadi" w:eastAsia="Calibri" w:hAnsi="Abadi" w:cs="*Arial-Italic-10223-Identity-H"/>
          <w:i/>
          <w:iCs/>
          <w:color w:val="0D0D0F"/>
          <w:sz w:val="21"/>
          <w:szCs w:val="21"/>
          <w:lang w:val="es-MX" w:eastAsia="en-US"/>
        </w:rPr>
        <w:footnoteReference w:id="49"/>
      </w:r>
    </w:p>
    <w:p w14:paraId="001B921D" w14:textId="77777777" w:rsidR="00F51FA1" w:rsidRPr="00F51FA1" w:rsidRDefault="00F51FA1" w:rsidP="00F51FA1">
      <w:pPr>
        <w:autoSpaceDE w:val="0"/>
        <w:autoSpaceDN w:val="0"/>
        <w:adjustRightInd w:val="0"/>
        <w:jc w:val="both"/>
        <w:rPr>
          <w:rFonts w:ascii="Abadi" w:eastAsia="Calibri" w:hAnsi="Abadi" w:cs="*Arial-10222-Identity-H"/>
          <w:color w:val="0D0D0F"/>
          <w:sz w:val="21"/>
          <w:szCs w:val="21"/>
          <w:lang w:val="es-MX" w:eastAsia="en-US"/>
        </w:rPr>
      </w:pPr>
    </w:p>
    <w:p w14:paraId="3CC112B7" w14:textId="77777777" w:rsidR="00F51FA1" w:rsidRPr="00F51FA1" w:rsidRDefault="00F51FA1" w:rsidP="00F1100A">
      <w:pPr>
        <w:autoSpaceDE w:val="0"/>
        <w:autoSpaceDN w:val="0"/>
        <w:adjustRightInd w:val="0"/>
        <w:ind w:firstLine="708"/>
        <w:jc w:val="both"/>
        <w:rPr>
          <w:rFonts w:ascii="Abadi" w:eastAsia="Calibri" w:hAnsi="Abadi" w:cs="*Arial-10222-Identity-H"/>
          <w:color w:val="0D0D0F"/>
          <w:sz w:val="21"/>
          <w:szCs w:val="21"/>
          <w:lang w:val="es-MX" w:eastAsia="en-US"/>
        </w:rPr>
      </w:pPr>
      <w:r w:rsidRPr="00F51FA1">
        <w:rPr>
          <w:rFonts w:ascii="Abadi" w:eastAsia="Calibri" w:hAnsi="Abadi" w:cs="*Arial-10222-Identity-H"/>
          <w:color w:val="0D0D0F"/>
          <w:sz w:val="21"/>
          <w:szCs w:val="21"/>
          <w:lang w:val="es-MX" w:eastAsia="en-US"/>
        </w:rPr>
        <w:t>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w:t>
      </w:r>
    </w:p>
    <w:p w14:paraId="55F7C874" w14:textId="77777777" w:rsidR="00F51FA1" w:rsidRPr="00F51FA1" w:rsidRDefault="00F51FA1" w:rsidP="00F51FA1">
      <w:pPr>
        <w:autoSpaceDE w:val="0"/>
        <w:autoSpaceDN w:val="0"/>
        <w:adjustRightInd w:val="0"/>
        <w:rPr>
          <w:rFonts w:ascii="Abadi" w:eastAsia="Calibri" w:hAnsi="Abadi" w:cs="*Arial-10222-Identity-H"/>
          <w:color w:val="0C0C0F"/>
          <w:sz w:val="21"/>
          <w:szCs w:val="21"/>
          <w:lang w:val="es-MX" w:eastAsia="en-US"/>
        </w:rPr>
      </w:pPr>
    </w:p>
    <w:p w14:paraId="1DD1E76E" w14:textId="4FC6F24B" w:rsidR="00F51FA1" w:rsidRPr="00F51FA1" w:rsidRDefault="00F51FA1" w:rsidP="00F1100A">
      <w:pPr>
        <w:autoSpaceDE w:val="0"/>
        <w:autoSpaceDN w:val="0"/>
        <w:adjustRightInd w:val="0"/>
        <w:ind w:firstLine="708"/>
        <w:jc w:val="both"/>
        <w:rPr>
          <w:rFonts w:ascii="Abadi" w:eastAsia="Calibri" w:hAnsi="Abadi" w:cs="*Arial-10222-Identity-H"/>
          <w:color w:val="0C0C0F"/>
          <w:sz w:val="21"/>
          <w:szCs w:val="21"/>
          <w:lang w:val="es-MX" w:eastAsia="en-US"/>
        </w:rPr>
      </w:pPr>
      <w:r w:rsidRPr="00F51FA1">
        <w:rPr>
          <w:rFonts w:ascii="Abadi" w:eastAsia="Calibri" w:hAnsi="Abadi" w:cs="*Arial-10222-Identity-H"/>
          <w:color w:val="0C0C0F"/>
          <w:sz w:val="21"/>
          <w:szCs w:val="21"/>
          <w:lang w:val="es-MX" w:eastAsia="en-US"/>
        </w:rPr>
        <w:t xml:space="preserve">De manera específica, el artículo 115 de la Constitución Política de los Estados Unidos Mexicanos, en su fracción </w:t>
      </w:r>
      <w:r w:rsidR="00624FB0">
        <w:rPr>
          <w:rFonts w:ascii="Abadi" w:eastAsia="Calibri" w:hAnsi="Abadi" w:cs="*Arial-10222-Identity-H"/>
          <w:color w:val="0C0C0F"/>
          <w:sz w:val="21"/>
          <w:szCs w:val="21"/>
          <w:lang w:val="es-MX" w:eastAsia="en-US"/>
        </w:rPr>
        <w:t>III</w:t>
      </w:r>
      <w:r w:rsidRPr="00F51FA1">
        <w:rPr>
          <w:rFonts w:ascii="Abadi" w:eastAsia="Calibri" w:hAnsi="Abadi" w:cs="*Arial-10222-Identity-H"/>
          <w:color w:val="0C0C0F"/>
          <w:sz w:val="21"/>
          <w:szCs w:val="21"/>
          <w:lang w:val="es-MX" w:eastAsia="en-US"/>
        </w:rPr>
        <w:t xml:space="preserve"> consigna que los municipios tendrán a su cargo las funciones y servicios públicos, entre los que señala en el inciso b, el alumbrado público. Atribución ratificada en la Constitución Política Local en su artículo 117, fracción </w:t>
      </w:r>
      <w:r w:rsidR="001C7165">
        <w:rPr>
          <w:rFonts w:ascii="Abadi" w:eastAsia="Calibri" w:hAnsi="Abadi" w:cs="*Arial-10222-Identity-H"/>
          <w:color w:val="0C0C0F"/>
          <w:sz w:val="21"/>
          <w:szCs w:val="21"/>
          <w:lang w:val="es-MX" w:eastAsia="en-US"/>
        </w:rPr>
        <w:t>III</w:t>
      </w:r>
      <w:r w:rsidRPr="00F51FA1">
        <w:rPr>
          <w:rFonts w:ascii="Abadi" w:eastAsia="Calibri" w:hAnsi="Abadi" w:cs="*Arial-10222-Identity-H"/>
          <w:color w:val="0C0C0F"/>
          <w:sz w:val="21"/>
          <w:szCs w:val="21"/>
          <w:lang w:val="es-MX" w:eastAsia="en-US"/>
        </w:rPr>
        <w:t>, inciso b.</w:t>
      </w:r>
    </w:p>
    <w:p w14:paraId="18A81FE9" w14:textId="77777777" w:rsidR="00F51FA1" w:rsidRPr="00F51FA1" w:rsidRDefault="00F51FA1" w:rsidP="00F51FA1">
      <w:pPr>
        <w:autoSpaceDE w:val="0"/>
        <w:autoSpaceDN w:val="0"/>
        <w:adjustRightInd w:val="0"/>
        <w:jc w:val="both"/>
        <w:rPr>
          <w:rFonts w:ascii="Abadi" w:eastAsia="Calibri" w:hAnsi="Abadi" w:cs="*Microsoft Sans Serif-Bold-1022"/>
          <w:b/>
          <w:bCs/>
          <w:color w:val="0F0F11"/>
          <w:sz w:val="21"/>
          <w:szCs w:val="21"/>
          <w:lang w:val="es-MX" w:eastAsia="en-US"/>
        </w:rPr>
      </w:pPr>
    </w:p>
    <w:p w14:paraId="04DCE2EC" w14:textId="77777777" w:rsidR="00F51FA1" w:rsidRPr="00F51FA1" w:rsidRDefault="00F51FA1" w:rsidP="00867AD3">
      <w:pPr>
        <w:autoSpaceDE w:val="0"/>
        <w:autoSpaceDN w:val="0"/>
        <w:adjustRightInd w:val="0"/>
        <w:ind w:firstLine="708"/>
        <w:jc w:val="both"/>
        <w:rPr>
          <w:rFonts w:ascii="Abadi" w:eastAsia="Calibri" w:hAnsi="Abadi" w:cs="*Arial-8226-Identity-H"/>
          <w:color w:val="0D0C0F"/>
          <w:sz w:val="21"/>
          <w:szCs w:val="21"/>
          <w:lang w:val="es-MX" w:eastAsia="en-US"/>
        </w:rPr>
      </w:pPr>
      <w:r w:rsidRPr="00F51FA1">
        <w:rPr>
          <w:rFonts w:ascii="Abadi" w:eastAsia="Calibri" w:hAnsi="Abadi" w:cs="*Arial-8226-Identity-H"/>
          <w:color w:val="0D0C0F"/>
          <w:sz w:val="21"/>
          <w:szCs w:val="21"/>
          <w:lang w:val="es-MX" w:eastAsia="en-US"/>
        </w:rPr>
        <w:t>La Ley Orgánica Municipal para el Estado de Guanajuato prevé que el Ayuntamiento deberá otorgar el servicio de alumbrado público a los habitantes del Municipio e instrumentará los mecanismos necesarios para ampliar la cobertura y mejorar la prestación de dicho servicio.</w:t>
      </w:r>
    </w:p>
    <w:p w14:paraId="28FA30D5" w14:textId="77777777" w:rsidR="00F51FA1" w:rsidRPr="00F51FA1" w:rsidRDefault="00F51FA1" w:rsidP="00F51FA1">
      <w:pPr>
        <w:autoSpaceDE w:val="0"/>
        <w:autoSpaceDN w:val="0"/>
        <w:adjustRightInd w:val="0"/>
        <w:jc w:val="both"/>
        <w:rPr>
          <w:rFonts w:ascii="Abadi" w:eastAsia="Calibri" w:hAnsi="Abadi" w:cs="*Arial-8226-Identity-H"/>
          <w:color w:val="0C0B0E"/>
          <w:sz w:val="21"/>
          <w:szCs w:val="21"/>
          <w:lang w:val="es-MX" w:eastAsia="en-US"/>
        </w:rPr>
      </w:pPr>
    </w:p>
    <w:p w14:paraId="4E125E12" w14:textId="55AE88A4" w:rsidR="00F51FA1" w:rsidRPr="00F51FA1" w:rsidRDefault="00F51FA1" w:rsidP="00867AD3">
      <w:pPr>
        <w:autoSpaceDE w:val="0"/>
        <w:autoSpaceDN w:val="0"/>
        <w:adjustRightInd w:val="0"/>
        <w:ind w:firstLine="708"/>
        <w:jc w:val="both"/>
        <w:rPr>
          <w:rFonts w:ascii="Abadi" w:eastAsia="Calibri" w:hAnsi="Abadi" w:cs="*Arial-8226-Identity-H"/>
          <w:color w:val="0C0B0E"/>
          <w:sz w:val="21"/>
          <w:szCs w:val="21"/>
          <w:lang w:val="es-MX" w:eastAsia="en-US"/>
        </w:rPr>
      </w:pPr>
      <w:r w:rsidRPr="00F51FA1">
        <w:rPr>
          <w:rFonts w:ascii="Abadi" w:eastAsia="Calibri" w:hAnsi="Abadi" w:cs="*Arial-8226-Identity-H"/>
          <w:color w:val="0C0B0E"/>
          <w:sz w:val="21"/>
          <w:szCs w:val="21"/>
          <w:lang w:val="es-MX" w:eastAsia="en-US"/>
        </w:rPr>
        <w:t>De igual forma, la referida ley en el artículo 83 establece que el Ayuntamiento contará con una Comisión de Obra y Servicios Públicos, misma que tendrá dentro de sus atribuciones la de promover la prestación puntual, oportuna y eficiente de los servicios públicos municipales, de conformidad con las disposiciones aplicables. En este sentido, la dependencia de Servicios Municipales será la encargada de llevar a cabo la prestación del servicio de alumbrado público</w:t>
      </w:r>
      <w:r w:rsidR="001C7165">
        <w:rPr>
          <w:rFonts w:ascii="Abadi" w:eastAsia="Calibri" w:hAnsi="Abadi" w:cs="*Arial-8226-Identity-H"/>
          <w:color w:val="0C0B0E"/>
          <w:sz w:val="21"/>
          <w:szCs w:val="21"/>
          <w:lang w:val="es-MX" w:eastAsia="en-US"/>
        </w:rPr>
        <w:t xml:space="preserve"> </w:t>
      </w:r>
      <w:r w:rsidRPr="00F51FA1">
        <w:rPr>
          <w:rFonts w:ascii="Abadi" w:eastAsia="Calibri" w:hAnsi="Abadi" w:cs="*Arial-8226-Identity-H"/>
          <w:color w:val="0C0B0E"/>
          <w:sz w:val="21"/>
          <w:szCs w:val="21"/>
          <w:lang w:val="es-MX" w:eastAsia="en-US"/>
        </w:rPr>
        <w:t>en el Municipio, de acuerdo a lo establecido en la fracción V del artículo 124 de la citada ley.</w:t>
      </w:r>
    </w:p>
    <w:p w14:paraId="31AFC2DD" w14:textId="77777777" w:rsidR="00F51FA1" w:rsidRPr="00F51FA1" w:rsidRDefault="00F51FA1" w:rsidP="00F51FA1">
      <w:pPr>
        <w:autoSpaceDE w:val="0"/>
        <w:autoSpaceDN w:val="0"/>
        <w:adjustRightInd w:val="0"/>
        <w:jc w:val="both"/>
        <w:rPr>
          <w:rFonts w:ascii="Abadi" w:eastAsia="Calibri" w:hAnsi="Abadi" w:cs="*Arial-8226-Identity-H"/>
          <w:color w:val="0D0C0F"/>
          <w:sz w:val="21"/>
          <w:szCs w:val="21"/>
          <w:lang w:val="es-MX" w:eastAsia="en-US"/>
        </w:rPr>
      </w:pPr>
    </w:p>
    <w:p w14:paraId="3ED36875" w14:textId="77777777" w:rsidR="00F51FA1" w:rsidRPr="00F51FA1" w:rsidRDefault="00F51FA1" w:rsidP="00867AD3">
      <w:pPr>
        <w:autoSpaceDE w:val="0"/>
        <w:autoSpaceDN w:val="0"/>
        <w:adjustRightInd w:val="0"/>
        <w:ind w:firstLine="708"/>
        <w:jc w:val="both"/>
        <w:rPr>
          <w:rFonts w:ascii="Abadi" w:eastAsia="Calibri" w:hAnsi="Abadi" w:cs="*Arial-8226-Identity-H"/>
          <w:color w:val="0D0C0F"/>
          <w:sz w:val="21"/>
          <w:szCs w:val="21"/>
          <w:lang w:val="es-MX" w:eastAsia="en-US"/>
        </w:rPr>
      </w:pPr>
      <w:r w:rsidRPr="00F51FA1">
        <w:rPr>
          <w:rFonts w:ascii="Abadi" w:eastAsia="Calibri" w:hAnsi="Abadi" w:cs="*Arial-8226-Identity-H"/>
          <w:color w:val="0D0C0F"/>
          <w:sz w:val="21"/>
          <w:szCs w:val="21"/>
          <w:lang w:val="es-MX" w:eastAsia="en-US"/>
        </w:rPr>
        <w:t xml:space="preserve">También el artículo 165 de la referida Ley Orgánica Municipal prevé que: </w:t>
      </w:r>
      <w:r w:rsidRPr="00F51FA1">
        <w:rPr>
          <w:rFonts w:ascii="Abadi" w:eastAsia="Calibri" w:hAnsi="Abadi" w:cs="*Arial-Italic-8227-Identity-H"/>
          <w:i/>
          <w:iCs/>
          <w:color w:val="0D0C0F"/>
          <w:sz w:val="21"/>
          <w:szCs w:val="21"/>
          <w:lang w:val="es-MX" w:eastAsia="en-US"/>
        </w:rPr>
        <w:t xml:space="preserve">«Los ayuntamientos prestarán los servicios públicos, en igualdad de condiciones </w:t>
      </w:r>
      <w:r w:rsidRPr="00F51FA1">
        <w:rPr>
          <w:rFonts w:ascii="Abadi" w:eastAsia="Calibri" w:hAnsi="Abadi" w:cs="*Arial-8226-Identity-H"/>
          <w:color w:val="0D0C0F"/>
          <w:sz w:val="21"/>
          <w:szCs w:val="21"/>
          <w:lang w:val="es-MX" w:eastAsia="en-US"/>
        </w:rPr>
        <w:t xml:space="preserve">a </w:t>
      </w:r>
      <w:r w:rsidRPr="00F51FA1">
        <w:rPr>
          <w:rFonts w:ascii="Abadi" w:eastAsia="Calibri" w:hAnsi="Abadi" w:cs="*Arial-Italic-8227-Identity-H"/>
          <w:i/>
          <w:iCs/>
          <w:color w:val="0D0C0F"/>
          <w:sz w:val="21"/>
          <w:szCs w:val="21"/>
          <w:lang w:val="es-MX" w:eastAsia="en-US"/>
        </w:rPr>
        <w:t>todos los habitantes del municipio, en forma permanente, general, uniforme,</w:t>
      </w:r>
      <w:r w:rsidRPr="00F51FA1">
        <w:rPr>
          <w:rFonts w:ascii="Abadi" w:eastAsia="Calibri" w:hAnsi="Abadi" w:cs="*Arial-8226-Identity-H"/>
          <w:color w:val="0D0C0F"/>
          <w:sz w:val="21"/>
          <w:szCs w:val="21"/>
          <w:lang w:val="es-MX" w:eastAsia="en-US"/>
        </w:rPr>
        <w:t xml:space="preserve"> </w:t>
      </w:r>
      <w:r w:rsidRPr="00F51FA1">
        <w:rPr>
          <w:rFonts w:ascii="Abadi" w:eastAsia="Calibri" w:hAnsi="Abadi" w:cs="*Arial-Italic-8227-Identity-H"/>
          <w:i/>
          <w:iCs/>
          <w:color w:val="0D0C0F"/>
          <w:sz w:val="21"/>
          <w:szCs w:val="21"/>
          <w:lang w:val="es-MX" w:eastAsia="en-US"/>
        </w:rPr>
        <w:t xml:space="preserve">continua </w:t>
      </w:r>
      <w:r w:rsidRPr="00F51FA1">
        <w:rPr>
          <w:rFonts w:ascii="Abadi" w:eastAsia="Calibri" w:hAnsi="Abadi" w:cs="*Microsoft Sans Serif-Italic-82"/>
          <w:i/>
          <w:iCs/>
          <w:color w:val="0D0C0F"/>
          <w:sz w:val="21"/>
          <w:szCs w:val="21"/>
          <w:lang w:val="es-MX" w:eastAsia="en-US"/>
        </w:rPr>
        <w:t xml:space="preserve">y </w:t>
      </w:r>
      <w:r w:rsidRPr="00F51FA1">
        <w:rPr>
          <w:rFonts w:ascii="Abadi" w:eastAsia="Calibri" w:hAnsi="Abadi" w:cs="*Arial-Italic-8227-Identity-H"/>
          <w:i/>
          <w:iCs/>
          <w:color w:val="0D0C0F"/>
          <w:sz w:val="21"/>
          <w:szCs w:val="21"/>
          <w:lang w:val="es-MX" w:eastAsia="en-US"/>
        </w:rPr>
        <w:t>de acuerdo con el Programa de Gobierno Municipal».</w:t>
      </w:r>
      <w:r w:rsidRPr="00F51FA1">
        <w:rPr>
          <w:rFonts w:ascii="Abadi" w:eastAsia="Calibri" w:hAnsi="Abadi" w:cs="*Arial-8226-Identity-H"/>
          <w:color w:val="0D0C0F"/>
          <w:sz w:val="21"/>
          <w:szCs w:val="21"/>
          <w:lang w:val="es-MX" w:eastAsia="en-US"/>
        </w:rPr>
        <w:t xml:space="preserve"> </w:t>
      </w:r>
    </w:p>
    <w:p w14:paraId="4F5B37FB" w14:textId="77777777" w:rsidR="00F51FA1" w:rsidRPr="00F51FA1" w:rsidRDefault="00F51FA1" w:rsidP="00F51FA1">
      <w:pPr>
        <w:autoSpaceDE w:val="0"/>
        <w:autoSpaceDN w:val="0"/>
        <w:adjustRightInd w:val="0"/>
        <w:jc w:val="both"/>
        <w:rPr>
          <w:rFonts w:ascii="Abadi" w:eastAsia="Calibri" w:hAnsi="Abadi" w:cs="*Arial-8226-Identity-H"/>
          <w:color w:val="0D0C0F"/>
          <w:sz w:val="21"/>
          <w:szCs w:val="21"/>
          <w:lang w:val="es-MX" w:eastAsia="en-US"/>
        </w:rPr>
      </w:pPr>
    </w:p>
    <w:p w14:paraId="797F6C1A" w14:textId="77777777" w:rsidR="00F51FA1" w:rsidRPr="00F51FA1" w:rsidRDefault="00F51FA1" w:rsidP="00867AD3">
      <w:pPr>
        <w:autoSpaceDE w:val="0"/>
        <w:autoSpaceDN w:val="0"/>
        <w:adjustRightInd w:val="0"/>
        <w:ind w:firstLine="708"/>
        <w:jc w:val="both"/>
        <w:rPr>
          <w:rFonts w:ascii="Abadi" w:eastAsia="Calibri" w:hAnsi="Abadi" w:cs="*Arial-8226-Identity-H"/>
          <w:color w:val="0D0C0F"/>
          <w:sz w:val="21"/>
          <w:szCs w:val="21"/>
          <w:lang w:val="es-MX" w:eastAsia="en-US"/>
        </w:rPr>
      </w:pPr>
      <w:r w:rsidRPr="00F51FA1">
        <w:rPr>
          <w:rFonts w:ascii="Abadi" w:eastAsia="Calibri" w:hAnsi="Abadi" w:cs="*Arial-8226-Identity-H"/>
          <w:color w:val="0D0C0F"/>
          <w:sz w:val="21"/>
          <w:szCs w:val="21"/>
          <w:lang w:val="es-MX" w:eastAsia="en-US"/>
        </w:rPr>
        <w:t xml:space="preserve">Asimismo, en el Capítulo denominado </w:t>
      </w:r>
      <w:r w:rsidRPr="00F51FA1">
        <w:rPr>
          <w:rFonts w:ascii="Abadi" w:eastAsia="Calibri" w:hAnsi="Abadi" w:cs="*Arial-Italic-8227-Identity-H"/>
          <w:i/>
          <w:iCs/>
          <w:color w:val="0D0C0F"/>
          <w:sz w:val="21"/>
          <w:szCs w:val="21"/>
          <w:lang w:val="es-MX" w:eastAsia="en-US"/>
        </w:rPr>
        <w:t>«De los Servicios Públicos</w:t>
      </w:r>
      <w:r w:rsidRPr="00F51FA1">
        <w:rPr>
          <w:rFonts w:ascii="Abadi" w:eastAsia="Calibri" w:hAnsi="Abadi" w:cs="*Arial-8226-Identity-H"/>
          <w:color w:val="0D0C0F"/>
          <w:sz w:val="21"/>
          <w:szCs w:val="21"/>
          <w:lang w:val="es-MX" w:eastAsia="en-US"/>
        </w:rPr>
        <w:t xml:space="preserve"> </w:t>
      </w:r>
      <w:r w:rsidRPr="00F51FA1">
        <w:rPr>
          <w:rFonts w:ascii="Abadi" w:eastAsia="Calibri" w:hAnsi="Abadi" w:cs="*Arial-Italic-8227-Identity-H"/>
          <w:i/>
          <w:iCs/>
          <w:color w:val="0D0C0F"/>
          <w:sz w:val="21"/>
          <w:szCs w:val="21"/>
          <w:lang w:val="es-MX" w:eastAsia="en-US"/>
        </w:rPr>
        <w:t xml:space="preserve">Municipales» </w:t>
      </w:r>
      <w:r w:rsidRPr="00F51FA1">
        <w:rPr>
          <w:rFonts w:ascii="Abadi" w:eastAsia="Calibri" w:hAnsi="Abadi" w:cs="*Arial-8226-Identity-H"/>
          <w:color w:val="0D0C0F"/>
          <w:sz w:val="21"/>
          <w:szCs w:val="21"/>
          <w:lang w:val="es-MX" w:eastAsia="en-US"/>
        </w:rPr>
        <w:t>se refiere que en el presupuesto de egresos deben preverse los recursos materiales y humanos, necesarios y suficientes, para la prestación eficiente y oportuna de los servicios públicos; asimismo, se consigna la obligatoriedad del Ayuntamiento de otorgar el servicio de alumbrado público, señalando que podrá otorgarlo de manera directa a través de sus propias dependencias, o bien por un medio indirecto.</w:t>
      </w:r>
    </w:p>
    <w:p w14:paraId="28630C12" w14:textId="77777777" w:rsidR="00F51FA1" w:rsidRPr="00F51FA1" w:rsidRDefault="00F51FA1" w:rsidP="00F51FA1">
      <w:pPr>
        <w:autoSpaceDE w:val="0"/>
        <w:autoSpaceDN w:val="0"/>
        <w:adjustRightInd w:val="0"/>
        <w:jc w:val="both"/>
        <w:rPr>
          <w:rFonts w:ascii="Abadi" w:eastAsia="Calibri" w:hAnsi="Abadi" w:cs="*Arial-8226-Identity-H"/>
          <w:color w:val="0C0B0F"/>
          <w:sz w:val="21"/>
          <w:szCs w:val="21"/>
          <w:lang w:val="es-MX" w:eastAsia="en-US"/>
        </w:rPr>
      </w:pPr>
    </w:p>
    <w:p w14:paraId="7AD2D44B" w14:textId="77777777" w:rsidR="00F51FA1" w:rsidRPr="00F51FA1" w:rsidRDefault="00F51FA1" w:rsidP="00867AD3">
      <w:pPr>
        <w:autoSpaceDE w:val="0"/>
        <w:autoSpaceDN w:val="0"/>
        <w:adjustRightInd w:val="0"/>
        <w:ind w:firstLine="708"/>
        <w:jc w:val="both"/>
        <w:rPr>
          <w:rFonts w:ascii="Abadi" w:eastAsia="Calibri" w:hAnsi="Abadi" w:cs="*Arial-8226-Identity-H"/>
          <w:color w:val="0C0B0F"/>
          <w:sz w:val="21"/>
          <w:szCs w:val="21"/>
          <w:lang w:val="es-MX" w:eastAsia="en-US"/>
        </w:rPr>
      </w:pPr>
      <w:r w:rsidRPr="00F51FA1">
        <w:rPr>
          <w:rFonts w:ascii="Abadi" w:eastAsia="Calibri" w:hAnsi="Abadi" w:cs="*Arial-8226-Identity-H"/>
          <w:color w:val="0C0B0F"/>
          <w:sz w:val="21"/>
          <w:szCs w:val="21"/>
          <w:lang w:val="es-MX" w:eastAsia="en-US"/>
        </w:rPr>
        <w:t>De conformidad con el artículo 169 de la referida Ley Orgánica Municipal, la prestación de los servicios públicos municipales será supervisada por la comisión correspondiente del Ayuntamiento y auditada por la Contraloría Municipal.</w:t>
      </w:r>
    </w:p>
    <w:p w14:paraId="05274593" w14:textId="77777777" w:rsidR="00F51FA1" w:rsidRPr="00F51FA1" w:rsidRDefault="00F51FA1" w:rsidP="00F51FA1">
      <w:pPr>
        <w:autoSpaceDE w:val="0"/>
        <w:autoSpaceDN w:val="0"/>
        <w:adjustRightInd w:val="0"/>
        <w:jc w:val="both"/>
        <w:rPr>
          <w:rFonts w:ascii="Abadi" w:eastAsia="Calibri" w:hAnsi="Abadi" w:cs="*Arial-8226-Identity-H"/>
          <w:color w:val="0C0B0E"/>
          <w:sz w:val="21"/>
          <w:szCs w:val="21"/>
          <w:lang w:val="es-MX" w:eastAsia="en-US"/>
        </w:rPr>
      </w:pPr>
    </w:p>
    <w:p w14:paraId="4EA4C37C" w14:textId="77777777" w:rsidR="00F51FA1" w:rsidRPr="00F51FA1" w:rsidRDefault="00F51FA1" w:rsidP="00867AD3">
      <w:pPr>
        <w:autoSpaceDE w:val="0"/>
        <w:autoSpaceDN w:val="0"/>
        <w:adjustRightInd w:val="0"/>
        <w:ind w:firstLine="708"/>
        <w:jc w:val="both"/>
        <w:rPr>
          <w:rFonts w:ascii="Abadi" w:eastAsia="Calibri" w:hAnsi="Abadi" w:cs="*Arial-8226-Identity-H"/>
          <w:color w:val="0C0B0E"/>
          <w:sz w:val="21"/>
          <w:szCs w:val="21"/>
          <w:lang w:val="es-MX" w:eastAsia="en-US"/>
        </w:rPr>
      </w:pPr>
      <w:r w:rsidRPr="00F51FA1">
        <w:rPr>
          <w:rFonts w:ascii="Abadi" w:eastAsia="Calibri" w:hAnsi="Abadi" w:cs="*Arial-8226-Identity-H"/>
          <w:color w:val="0C0B0E"/>
          <w:sz w:val="21"/>
          <w:szCs w:val="21"/>
          <w:lang w:val="es-MX" w:eastAsia="en-US"/>
        </w:rPr>
        <w:t>Es así que, se desprende la intervención estratégica del Ayuntamiento y de la Dirección de Servicios Públicos Municipales para otorgar la prestación del servicio de alumbrado público a los habitantes del Municipio, a través del conocimiento de la situación de oferta del servicio, de su presupuestación, de un marco normativo de operación, de una debida planeación a corto plazo, de la participación ciudadana en el reporte de fallas del servicio, así como de los mecanismos de monitoreo y evaluación para el logro de resultados. Lo anterior, con el objetivo de otorgar un servicio público eficaz en el mantenimiento, cobertura y satisfacción del servicio.</w:t>
      </w:r>
    </w:p>
    <w:p w14:paraId="21EC56E6" w14:textId="77777777" w:rsidR="00F51FA1" w:rsidRPr="00F51FA1" w:rsidRDefault="00F51FA1" w:rsidP="00F51FA1">
      <w:pPr>
        <w:autoSpaceDE w:val="0"/>
        <w:autoSpaceDN w:val="0"/>
        <w:adjustRightInd w:val="0"/>
        <w:jc w:val="both"/>
        <w:rPr>
          <w:rFonts w:ascii="Abadi" w:eastAsia="Calibri" w:hAnsi="Abadi" w:cs="*Calibri-9140-Identity-H"/>
          <w:color w:val="212227"/>
          <w:sz w:val="21"/>
          <w:szCs w:val="21"/>
          <w:lang w:val="es-MX" w:eastAsia="en-US"/>
        </w:rPr>
      </w:pPr>
    </w:p>
    <w:p w14:paraId="02CE69C9" w14:textId="77777777" w:rsidR="00F51FA1" w:rsidRPr="00F51FA1" w:rsidRDefault="00F51FA1" w:rsidP="00867AD3">
      <w:pPr>
        <w:autoSpaceDE w:val="0"/>
        <w:autoSpaceDN w:val="0"/>
        <w:adjustRightInd w:val="0"/>
        <w:ind w:firstLine="708"/>
        <w:jc w:val="both"/>
        <w:rPr>
          <w:rFonts w:ascii="Abadi" w:eastAsia="Calibri" w:hAnsi="Abadi" w:cs="*Arial-9143-Identity-H"/>
          <w:color w:val="0C0C0E"/>
          <w:sz w:val="21"/>
          <w:szCs w:val="21"/>
          <w:lang w:val="es-MX" w:eastAsia="en-US"/>
        </w:rPr>
      </w:pPr>
      <w:r w:rsidRPr="00F51FA1">
        <w:rPr>
          <w:rFonts w:ascii="Abadi" w:eastAsia="Calibri" w:hAnsi="Abadi" w:cs="*Arial-9143-Identity-H"/>
          <w:color w:val="0C0C0E"/>
          <w:sz w:val="21"/>
          <w:szCs w:val="21"/>
          <w:lang w:val="es-MX" w:eastAsia="en-US"/>
        </w:rPr>
        <w:t xml:space="preserve">En este orden de ideas, el Programa de Gobierno Municipal 2018-2021 estableció en el </w:t>
      </w:r>
      <w:r w:rsidRPr="00F51FA1">
        <w:rPr>
          <w:rFonts w:ascii="Abadi" w:eastAsia="Calibri" w:hAnsi="Abadi" w:cs="*Arial-Italic-9144-Identity-H"/>
          <w:i/>
          <w:iCs/>
          <w:color w:val="0C0C0E"/>
          <w:sz w:val="21"/>
          <w:szCs w:val="21"/>
          <w:lang w:val="es-MX" w:eastAsia="en-US"/>
        </w:rPr>
        <w:t xml:space="preserve">Eje 3 Medio Ambiente </w:t>
      </w:r>
      <w:r w:rsidRPr="00F51FA1">
        <w:rPr>
          <w:rFonts w:ascii="Abadi" w:eastAsia="Calibri" w:hAnsi="Abadi" w:cs="*Microsoft Sans Serif-Italic-91"/>
          <w:i/>
          <w:iCs/>
          <w:color w:val="0C0C0E"/>
          <w:sz w:val="21"/>
          <w:szCs w:val="21"/>
          <w:lang w:val="es-MX" w:eastAsia="en-US"/>
        </w:rPr>
        <w:t xml:space="preserve">y </w:t>
      </w:r>
      <w:r w:rsidRPr="00F51FA1">
        <w:rPr>
          <w:rFonts w:ascii="Abadi" w:eastAsia="Calibri" w:hAnsi="Abadi" w:cs="*Arial-Italic-9144-Identity-H"/>
          <w:i/>
          <w:iCs/>
          <w:color w:val="0C0C0E"/>
          <w:sz w:val="21"/>
          <w:szCs w:val="21"/>
          <w:lang w:val="es-MX" w:eastAsia="en-US"/>
        </w:rPr>
        <w:t xml:space="preserve">Territorio Sustentable </w:t>
      </w:r>
      <w:r w:rsidRPr="00F51FA1">
        <w:rPr>
          <w:rFonts w:ascii="Abadi" w:eastAsia="Calibri" w:hAnsi="Abadi" w:cs="*Arial-9143-Identity-H"/>
          <w:color w:val="0C0C0E"/>
          <w:sz w:val="21"/>
          <w:szCs w:val="21"/>
          <w:lang w:val="es-MX" w:eastAsia="en-US"/>
        </w:rPr>
        <w:t xml:space="preserve">el objetivo general </w:t>
      </w:r>
      <w:r w:rsidRPr="00F51FA1">
        <w:rPr>
          <w:rFonts w:ascii="Abadi" w:eastAsia="Calibri" w:hAnsi="Abadi" w:cs="*Arial-Italic-9144-Identity-H"/>
          <w:i/>
          <w:iCs/>
          <w:color w:val="0C0C0E"/>
          <w:sz w:val="21"/>
          <w:szCs w:val="21"/>
          <w:lang w:val="es-MX" w:eastAsia="en-US"/>
        </w:rPr>
        <w:t>3. 1 Contribuir a</w:t>
      </w:r>
      <w:r w:rsidRPr="00F51FA1">
        <w:rPr>
          <w:rFonts w:ascii="Abadi" w:eastAsia="Calibri" w:hAnsi="Abadi" w:cs="*Arial-9143-Identity-H"/>
          <w:color w:val="0C0C0E"/>
          <w:sz w:val="21"/>
          <w:szCs w:val="21"/>
          <w:lang w:val="es-MX" w:eastAsia="en-US"/>
        </w:rPr>
        <w:t xml:space="preserve"> </w:t>
      </w:r>
      <w:r w:rsidRPr="00F51FA1">
        <w:rPr>
          <w:rFonts w:ascii="Abadi" w:eastAsia="Calibri" w:hAnsi="Abadi" w:cs="*Arial-Italic-9144-Identity-H"/>
          <w:i/>
          <w:iCs/>
          <w:color w:val="0C0C0E"/>
          <w:sz w:val="21"/>
          <w:szCs w:val="21"/>
          <w:lang w:val="es-MX" w:eastAsia="en-US"/>
        </w:rPr>
        <w:t>la sustentabilidad del medio ambiente en el municipio de San</w:t>
      </w:r>
      <w:r w:rsidRPr="00F51FA1">
        <w:rPr>
          <w:rFonts w:ascii="Abadi" w:eastAsia="Calibri" w:hAnsi="Abadi" w:cs="*Arial-9143-Identity-H"/>
          <w:color w:val="0C0C0E"/>
          <w:sz w:val="21"/>
          <w:szCs w:val="21"/>
          <w:lang w:val="es-MX" w:eastAsia="en-US"/>
        </w:rPr>
        <w:t xml:space="preserve"> </w:t>
      </w:r>
      <w:r w:rsidRPr="00F51FA1">
        <w:rPr>
          <w:rFonts w:ascii="Abadi" w:eastAsia="Calibri" w:hAnsi="Abadi" w:cs="*Arial-Italic-9144-Identity-H"/>
          <w:i/>
          <w:iCs/>
          <w:color w:val="0C0C0E"/>
          <w:sz w:val="21"/>
          <w:szCs w:val="21"/>
          <w:lang w:val="es-MX" w:eastAsia="en-US"/>
        </w:rPr>
        <w:t xml:space="preserve">Diego de la Unión, </w:t>
      </w:r>
      <w:proofErr w:type="spellStart"/>
      <w:r w:rsidRPr="00F51FA1">
        <w:rPr>
          <w:rFonts w:ascii="Abadi" w:eastAsia="Calibri" w:hAnsi="Abadi" w:cs="*Arial-9143-Identity-H"/>
          <w:color w:val="0C0C0E"/>
          <w:sz w:val="21"/>
          <w:szCs w:val="21"/>
          <w:lang w:val="es-MX" w:eastAsia="en-US"/>
        </w:rPr>
        <w:t>Gto</w:t>
      </w:r>
      <w:proofErr w:type="spellEnd"/>
      <w:r w:rsidRPr="00F51FA1">
        <w:rPr>
          <w:rFonts w:ascii="Abadi" w:eastAsia="Calibri" w:hAnsi="Abadi" w:cs="*Arial-9143-Identity-H"/>
          <w:color w:val="0C0C0E"/>
          <w:sz w:val="21"/>
          <w:szCs w:val="21"/>
          <w:lang w:val="es-MX" w:eastAsia="en-US"/>
        </w:rPr>
        <w:t xml:space="preserve">., el cual en la línea estratégica </w:t>
      </w:r>
      <w:r w:rsidRPr="00F51FA1">
        <w:rPr>
          <w:rFonts w:ascii="Abadi" w:eastAsia="Calibri" w:hAnsi="Abadi" w:cs="*Arial-Italic-9144-Identity-H"/>
          <w:i/>
          <w:iCs/>
          <w:color w:val="0C0C0E"/>
          <w:sz w:val="21"/>
          <w:szCs w:val="21"/>
          <w:lang w:val="es-MX" w:eastAsia="en-US"/>
        </w:rPr>
        <w:t>3.1.3 Infraestructura</w:t>
      </w:r>
      <w:r w:rsidRPr="00F51FA1">
        <w:rPr>
          <w:rFonts w:ascii="Abadi" w:eastAsia="Calibri" w:hAnsi="Abadi" w:cs="*Arial-9143-Identity-H"/>
          <w:color w:val="0C0C0E"/>
          <w:sz w:val="21"/>
          <w:szCs w:val="21"/>
          <w:lang w:val="es-MX" w:eastAsia="en-US"/>
        </w:rPr>
        <w:t xml:space="preserve"> </w:t>
      </w:r>
      <w:r w:rsidRPr="00F51FA1">
        <w:rPr>
          <w:rFonts w:ascii="Abadi" w:eastAsia="Calibri" w:hAnsi="Abadi" w:cs="*Arial-Italic-9144-Identity-H"/>
          <w:i/>
          <w:iCs/>
          <w:color w:val="0C0C0E"/>
          <w:sz w:val="21"/>
          <w:szCs w:val="21"/>
          <w:lang w:val="es-MX" w:eastAsia="en-US"/>
        </w:rPr>
        <w:t xml:space="preserve">Equitativa </w:t>
      </w:r>
      <w:r w:rsidRPr="00F51FA1">
        <w:rPr>
          <w:rFonts w:ascii="Abadi" w:eastAsia="Calibri" w:hAnsi="Abadi" w:cs="*Arial-9143-Identity-H"/>
          <w:color w:val="0C0C0E"/>
          <w:sz w:val="21"/>
          <w:szCs w:val="21"/>
          <w:lang w:val="es-MX" w:eastAsia="en-US"/>
        </w:rPr>
        <w:t xml:space="preserve">tiene como objetivo específico el 3.1.3.1 </w:t>
      </w:r>
      <w:r w:rsidRPr="00F51FA1">
        <w:rPr>
          <w:rFonts w:ascii="Abadi" w:eastAsia="Calibri" w:hAnsi="Abadi" w:cs="*Arial-Italic-9144-Identity-H"/>
          <w:i/>
          <w:iCs/>
          <w:color w:val="0C0C0E"/>
          <w:sz w:val="21"/>
          <w:szCs w:val="21"/>
          <w:lang w:val="es-MX" w:eastAsia="en-US"/>
        </w:rPr>
        <w:t>Incremento de la</w:t>
      </w:r>
      <w:r w:rsidRPr="00F51FA1">
        <w:rPr>
          <w:rFonts w:ascii="Abadi" w:eastAsia="Calibri" w:hAnsi="Abadi" w:cs="*Arial-9143-Identity-H"/>
          <w:color w:val="0C0C0E"/>
          <w:sz w:val="21"/>
          <w:szCs w:val="21"/>
          <w:lang w:val="es-MX" w:eastAsia="en-US"/>
        </w:rPr>
        <w:t xml:space="preserve"> </w:t>
      </w:r>
      <w:r w:rsidRPr="00F51FA1">
        <w:rPr>
          <w:rFonts w:ascii="Abadi" w:eastAsia="Calibri" w:hAnsi="Abadi" w:cs="*Arial-Italic-9144-Identity-H"/>
          <w:i/>
          <w:iCs/>
          <w:color w:val="0C0C0E"/>
          <w:sz w:val="21"/>
          <w:szCs w:val="21"/>
          <w:lang w:val="es-MX" w:eastAsia="en-US"/>
        </w:rPr>
        <w:t xml:space="preserve">infraestructura pública en comunidades, </w:t>
      </w:r>
      <w:r w:rsidRPr="00F51FA1">
        <w:rPr>
          <w:rFonts w:ascii="Abadi" w:eastAsia="Calibri" w:hAnsi="Abadi" w:cs="*Arial-9143-Identity-H"/>
          <w:color w:val="0C0C0E"/>
          <w:sz w:val="21"/>
          <w:szCs w:val="21"/>
          <w:lang w:val="es-MX" w:eastAsia="en-US"/>
        </w:rPr>
        <w:t xml:space="preserve">señalando como estrategia </w:t>
      </w:r>
      <w:r w:rsidRPr="00F51FA1">
        <w:rPr>
          <w:rFonts w:ascii="Abadi" w:eastAsia="Calibri" w:hAnsi="Abadi" w:cs="*Arial-Italic-9144-Identity-H"/>
          <w:i/>
          <w:iCs/>
          <w:color w:val="0C0C0E"/>
          <w:sz w:val="21"/>
          <w:szCs w:val="21"/>
          <w:lang w:val="es-MX" w:eastAsia="en-US"/>
        </w:rPr>
        <w:t xml:space="preserve">3.1.3.1.6 Impulsando la cobertura del alumbrado público, amigable con el medio ambiente, con lámparas ahorradoras </w:t>
      </w:r>
      <w:r w:rsidRPr="00F51FA1">
        <w:rPr>
          <w:rFonts w:ascii="Abadi" w:eastAsia="Calibri" w:hAnsi="Abadi" w:cs="*Microsoft Sans Serif-Italic-91"/>
          <w:i/>
          <w:iCs/>
          <w:color w:val="0C0C0E"/>
          <w:sz w:val="21"/>
          <w:szCs w:val="21"/>
          <w:lang w:val="es-MX" w:eastAsia="en-US"/>
        </w:rPr>
        <w:t xml:space="preserve">y </w:t>
      </w:r>
      <w:r w:rsidRPr="00F51FA1">
        <w:rPr>
          <w:rFonts w:ascii="Abadi" w:eastAsia="Calibri" w:hAnsi="Abadi" w:cs="*Arial-Italic-9144-Identity-H"/>
          <w:i/>
          <w:iCs/>
          <w:color w:val="0C0C0E"/>
          <w:sz w:val="21"/>
          <w:szCs w:val="21"/>
          <w:lang w:val="es-MX" w:eastAsia="en-US"/>
        </w:rPr>
        <w:t xml:space="preserve">de tipo LEO, </w:t>
      </w:r>
      <w:r w:rsidRPr="00F51FA1">
        <w:rPr>
          <w:rFonts w:ascii="Abadi" w:eastAsia="Calibri" w:hAnsi="Abadi" w:cs="*Arial-9143-Identity-H"/>
          <w:color w:val="0C0C0E"/>
          <w:sz w:val="21"/>
          <w:szCs w:val="21"/>
          <w:lang w:val="es-MX" w:eastAsia="en-US"/>
        </w:rPr>
        <w:t xml:space="preserve">e indicador </w:t>
      </w:r>
      <w:r w:rsidRPr="00F51FA1">
        <w:rPr>
          <w:rFonts w:ascii="Abadi" w:eastAsia="Calibri" w:hAnsi="Abadi" w:cs="*Arial-Italic-9144-Identity-H"/>
          <w:i/>
          <w:iCs/>
          <w:color w:val="0C0C0E"/>
          <w:sz w:val="21"/>
          <w:szCs w:val="21"/>
          <w:lang w:val="es-MX" w:eastAsia="en-US"/>
        </w:rPr>
        <w:t xml:space="preserve">IE.3.1.3.1.6.1 Número de obras de alumbrado público, </w:t>
      </w:r>
      <w:r w:rsidRPr="00F51FA1">
        <w:rPr>
          <w:rFonts w:ascii="Abadi" w:eastAsia="Calibri" w:hAnsi="Abadi" w:cs="*Arial-9143-Identity-H"/>
          <w:color w:val="0C0C0E"/>
          <w:sz w:val="21"/>
          <w:szCs w:val="21"/>
          <w:lang w:val="es-MX" w:eastAsia="en-US"/>
        </w:rPr>
        <w:t xml:space="preserve">y como responsable a </w:t>
      </w:r>
      <w:r w:rsidRPr="00F51FA1">
        <w:rPr>
          <w:rFonts w:ascii="Abadi" w:eastAsia="Calibri" w:hAnsi="Abadi" w:cs="*Arial-Italic-9144-Identity-H"/>
          <w:i/>
          <w:iCs/>
          <w:color w:val="0C0C0E"/>
          <w:sz w:val="21"/>
          <w:szCs w:val="21"/>
          <w:lang w:val="es-MX" w:eastAsia="en-US"/>
        </w:rPr>
        <w:t>Servicios Públicos Municipales.</w:t>
      </w:r>
    </w:p>
    <w:p w14:paraId="41280F10" w14:textId="77777777" w:rsidR="00F51FA1" w:rsidRPr="00F51FA1" w:rsidRDefault="00F51FA1" w:rsidP="0023684B">
      <w:pPr>
        <w:autoSpaceDE w:val="0"/>
        <w:autoSpaceDN w:val="0"/>
        <w:adjustRightInd w:val="0"/>
        <w:ind w:firstLine="708"/>
        <w:jc w:val="both"/>
        <w:rPr>
          <w:rFonts w:ascii="Abadi" w:eastAsia="Calibri" w:hAnsi="Abadi" w:cs="*Arial-9143-Identity-H"/>
          <w:color w:val="0C0C0E"/>
          <w:sz w:val="21"/>
          <w:szCs w:val="21"/>
          <w:lang w:val="es-MX" w:eastAsia="en-US"/>
        </w:rPr>
      </w:pPr>
      <w:r w:rsidRPr="00F51FA1">
        <w:rPr>
          <w:rFonts w:ascii="Abadi" w:eastAsia="Calibri" w:hAnsi="Abadi" w:cs="*Arial-9143-Identity-H"/>
          <w:color w:val="0C0C0E"/>
          <w:sz w:val="21"/>
          <w:szCs w:val="21"/>
          <w:lang w:val="es-MX" w:eastAsia="en-US"/>
        </w:rPr>
        <w:t>Sin embargo, se precisa que, en el presupuesto de egresos municipal del ejercicio 2020, no se consideró un programa presupuestario relacionado con la prestación del servicio de alumbrado público, sino que los importes se asignaron por unidad responsable.</w:t>
      </w:r>
    </w:p>
    <w:p w14:paraId="38D6C1CA" w14:textId="77777777" w:rsidR="00F51FA1" w:rsidRPr="00F51FA1" w:rsidRDefault="00F51FA1" w:rsidP="00F51FA1">
      <w:pPr>
        <w:autoSpaceDE w:val="0"/>
        <w:autoSpaceDN w:val="0"/>
        <w:adjustRightInd w:val="0"/>
        <w:rPr>
          <w:rFonts w:ascii="Abadi" w:eastAsia="Calibri" w:hAnsi="Abadi" w:cs="*Arial-9143-Identity-H"/>
          <w:color w:val="0C0B0E"/>
          <w:sz w:val="21"/>
          <w:szCs w:val="21"/>
          <w:lang w:val="es-MX" w:eastAsia="en-US"/>
        </w:rPr>
      </w:pPr>
    </w:p>
    <w:p w14:paraId="21D52838" w14:textId="77777777" w:rsidR="00F51FA1" w:rsidRPr="00F51FA1" w:rsidRDefault="00F51FA1" w:rsidP="0023684B">
      <w:pPr>
        <w:autoSpaceDE w:val="0"/>
        <w:autoSpaceDN w:val="0"/>
        <w:adjustRightInd w:val="0"/>
        <w:ind w:firstLine="708"/>
        <w:jc w:val="both"/>
        <w:rPr>
          <w:rFonts w:ascii="Abadi" w:eastAsia="Calibri" w:hAnsi="Abadi" w:cs="*Arial-9143-Identity-H"/>
          <w:color w:val="0C0B0E"/>
          <w:sz w:val="21"/>
          <w:szCs w:val="21"/>
          <w:lang w:val="es-MX" w:eastAsia="en-US"/>
        </w:rPr>
      </w:pPr>
      <w:r w:rsidRPr="00F51FA1">
        <w:rPr>
          <w:rFonts w:ascii="Abadi" w:eastAsia="Calibri" w:hAnsi="Abadi" w:cs="*Arial-9143-Identity-H"/>
          <w:color w:val="0C0B0E"/>
          <w:sz w:val="21"/>
          <w:szCs w:val="21"/>
          <w:lang w:val="es-MX" w:eastAsia="en-US"/>
        </w:rPr>
        <w:t>En razón de lo anterior, se planteó como objetivo general de la auditoría verificar la capacidad del Municipio para la prestación eficaz del servicio de alumbrado público y la eficiencia en sus funciones de planificación, operación y seguimiento, en el ejercicio 2020.</w:t>
      </w:r>
    </w:p>
    <w:p w14:paraId="0974AAEA" w14:textId="77777777" w:rsidR="00F51FA1" w:rsidRPr="00F51FA1" w:rsidRDefault="00F51FA1" w:rsidP="00F51FA1">
      <w:pPr>
        <w:autoSpaceDE w:val="0"/>
        <w:autoSpaceDN w:val="0"/>
        <w:adjustRightInd w:val="0"/>
        <w:jc w:val="both"/>
        <w:rPr>
          <w:rFonts w:ascii="Abadi" w:eastAsia="Calibri" w:hAnsi="Abadi" w:cs="*Arial-9143-Identity-H"/>
          <w:color w:val="0D0C0F"/>
          <w:sz w:val="21"/>
          <w:szCs w:val="21"/>
          <w:lang w:val="es-MX" w:eastAsia="en-US"/>
        </w:rPr>
      </w:pPr>
    </w:p>
    <w:p w14:paraId="5BCD79D2" w14:textId="77777777" w:rsidR="00F51FA1" w:rsidRPr="00F51FA1" w:rsidRDefault="00F51FA1" w:rsidP="0023684B">
      <w:pPr>
        <w:autoSpaceDE w:val="0"/>
        <w:autoSpaceDN w:val="0"/>
        <w:adjustRightInd w:val="0"/>
        <w:ind w:firstLine="708"/>
        <w:jc w:val="both"/>
        <w:rPr>
          <w:rFonts w:ascii="Abadi" w:eastAsia="Calibri" w:hAnsi="Abadi" w:cs="*Arial-9143-Identity-H"/>
          <w:color w:val="0D0C0F"/>
          <w:sz w:val="21"/>
          <w:szCs w:val="21"/>
          <w:lang w:val="es-MX" w:eastAsia="en-US"/>
        </w:rPr>
      </w:pPr>
      <w:r w:rsidRPr="00F51FA1">
        <w:rPr>
          <w:rFonts w:ascii="Abadi" w:eastAsia="Calibri" w:hAnsi="Abadi" w:cs="*Arial-9143-Identity-H"/>
          <w:color w:val="0D0C0F"/>
          <w:sz w:val="21"/>
          <w:szCs w:val="21"/>
          <w:lang w:val="es-MX" w:eastAsia="en-US"/>
        </w:rPr>
        <w:t>En el apartado correspondiente a la unidad responsable de la materia por auditar se refiere que el artículo 124 de la Ley Orgánica Municipal para el Estado de Guanajuato prevé que la dependencia de Servicios Municipales será la encargada de llevar a cabo la prestación del servicio de alumbrado público en el Municipio. Asimismo, los artículos 83 y 83-3 de la citada ley establecen que, el Ayuntamiento contará con una Comisión de Obra y Servicios Públicos, la que tendrá dentro de sus atribuciones la de promover la prestación puntual, oportuna y eficiente de los servicios públicos municipales, de conformidad con las disposiciones aplicables.</w:t>
      </w:r>
    </w:p>
    <w:p w14:paraId="1C84C8B7" w14:textId="77777777" w:rsidR="00F51FA1" w:rsidRPr="00F51FA1" w:rsidRDefault="00F51FA1" w:rsidP="00867AD3">
      <w:pPr>
        <w:autoSpaceDE w:val="0"/>
        <w:autoSpaceDN w:val="0"/>
        <w:adjustRightInd w:val="0"/>
        <w:ind w:firstLine="708"/>
        <w:jc w:val="both"/>
        <w:rPr>
          <w:rFonts w:ascii="Abadi" w:eastAsia="Calibri" w:hAnsi="Abadi" w:cs="*Arial-9143-Identity-H"/>
          <w:color w:val="0C0C0F"/>
          <w:sz w:val="21"/>
          <w:szCs w:val="21"/>
          <w:lang w:val="es-MX" w:eastAsia="en-US"/>
        </w:rPr>
      </w:pPr>
      <w:r w:rsidRPr="00F51FA1">
        <w:rPr>
          <w:rFonts w:ascii="Abadi" w:eastAsia="Calibri" w:hAnsi="Abadi" w:cs="*Arial-9143-Identity-H"/>
          <w:color w:val="0C0C0F"/>
          <w:sz w:val="21"/>
          <w:szCs w:val="21"/>
          <w:lang w:val="es-MX" w:eastAsia="en-US"/>
        </w:rPr>
        <w:t xml:space="preserve">En virtud de lo anterior, de conformidad con lo establecido en el artículo 75 del Reglamento Orgánico de la Administración Pública de San Diego de la Unión, Guanajuato, la Dirección de Servicios Públicos Municipales es la dependencia encargada de detectar e intervenir en las diferentes necesidades básicas de los servicios públicos municipales, buscando la satisfacción ciudadana en materia de alumbrado público, entre otros servicios. Dicho reglamento establece entre las atribuciones de la citada Dirección, propiciar el mejoramiento de la imagen urbana del Municipio, proponiendo programas de alumbrado público de conformidad con </w:t>
      </w:r>
      <w:r w:rsidRPr="00F51FA1">
        <w:rPr>
          <w:rFonts w:ascii="Abadi" w:eastAsia="Calibri" w:hAnsi="Abadi" w:cs="*Arial-4749-Identity-H"/>
          <w:color w:val="0E0E10"/>
          <w:sz w:val="21"/>
          <w:szCs w:val="21"/>
          <w:lang w:val="es-MX" w:eastAsia="en-US"/>
        </w:rPr>
        <w:t>los reglamentos y disposiciones administrativas correspondientes; así como prever</w:t>
      </w:r>
      <w:r w:rsidRPr="00F51FA1">
        <w:rPr>
          <w:rFonts w:ascii="Abadi" w:eastAsia="Calibri" w:hAnsi="Abadi" w:cs="*Arial-9143-Identity-H"/>
          <w:color w:val="0C0C0F"/>
          <w:sz w:val="21"/>
          <w:szCs w:val="21"/>
          <w:lang w:val="es-MX" w:eastAsia="en-US"/>
        </w:rPr>
        <w:t xml:space="preserve"> </w:t>
      </w:r>
      <w:r w:rsidRPr="00F51FA1">
        <w:rPr>
          <w:rFonts w:ascii="Abadi" w:eastAsia="Calibri" w:hAnsi="Abadi" w:cs="*Arial-4749-Identity-H"/>
          <w:color w:val="0E0E10"/>
          <w:sz w:val="21"/>
          <w:szCs w:val="21"/>
          <w:lang w:val="es-MX" w:eastAsia="en-US"/>
        </w:rPr>
        <w:t>que el servicio municipal se sustente en el respeto al equilibrio ecológico y el</w:t>
      </w:r>
      <w:r w:rsidRPr="00F51FA1">
        <w:rPr>
          <w:rFonts w:ascii="Abadi" w:eastAsia="Calibri" w:hAnsi="Abadi" w:cs="*Arial-9143-Identity-H"/>
          <w:color w:val="0C0C0F"/>
          <w:sz w:val="21"/>
          <w:szCs w:val="21"/>
          <w:lang w:val="es-MX" w:eastAsia="en-US"/>
        </w:rPr>
        <w:t xml:space="preserve"> </w:t>
      </w:r>
      <w:r w:rsidRPr="00F51FA1">
        <w:rPr>
          <w:rFonts w:ascii="Abadi" w:eastAsia="Calibri" w:hAnsi="Abadi" w:cs="*Arial-4749-Identity-H"/>
          <w:color w:val="0E0E10"/>
          <w:sz w:val="21"/>
          <w:szCs w:val="21"/>
          <w:lang w:val="es-MX" w:eastAsia="en-US"/>
        </w:rPr>
        <w:t>medio ambiente.</w:t>
      </w:r>
    </w:p>
    <w:p w14:paraId="118CD093" w14:textId="77777777" w:rsidR="00F51FA1" w:rsidRPr="00F51FA1" w:rsidRDefault="00F51FA1" w:rsidP="0023684B">
      <w:pPr>
        <w:autoSpaceDE w:val="0"/>
        <w:autoSpaceDN w:val="0"/>
        <w:adjustRightInd w:val="0"/>
        <w:ind w:firstLine="708"/>
        <w:rPr>
          <w:rFonts w:ascii="Abadi" w:eastAsia="Calibri" w:hAnsi="Abadi" w:cs="*Arial-Bold-4750-Identity-H"/>
          <w:b/>
          <w:bCs/>
          <w:color w:val="0C0B11"/>
          <w:sz w:val="21"/>
          <w:szCs w:val="21"/>
          <w:lang w:val="es-MX" w:eastAsia="en-US"/>
        </w:rPr>
      </w:pPr>
      <w:r w:rsidRPr="00F51FA1">
        <w:rPr>
          <w:rFonts w:ascii="Abadi" w:eastAsia="Calibri" w:hAnsi="Abadi" w:cs="*Arial-Bold-4750-Identity-H"/>
          <w:b/>
          <w:bCs/>
          <w:color w:val="0C0B11"/>
          <w:sz w:val="21"/>
          <w:szCs w:val="21"/>
          <w:lang w:val="es-MX" w:eastAsia="en-US"/>
        </w:rPr>
        <w:t>b) Resultado del proceso de fiscalización.</w:t>
      </w:r>
    </w:p>
    <w:p w14:paraId="622A5A9C" w14:textId="77777777" w:rsidR="00F51FA1" w:rsidRPr="00F51FA1" w:rsidRDefault="00F51FA1" w:rsidP="00F51FA1">
      <w:pPr>
        <w:autoSpaceDE w:val="0"/>
        <w:autoSpaceDN w:val="0"/>
        <w:adjustRightInd w:val="0"/>
        <w:jc w:val="both"/>
        <w:rPr>
          <w:rFonts w:ascii="Abadi" w:eastAsia="Calibri" w:hAnsi="Abadi" w:cs="*Arial-4749-Identity-H"/>
          <w:color w:val="0D0D0F"/>
          <w:sz w:val="21"/>
          <w:szCs w:val="21"/>
          <w:lang w:val="es-MX" w:eastAsia="en-US"/>
        </w:rPr>
      </w:pPr>
    </w:p>
    <w:p w14:paraId="0DE31041" w14:textId="77777777" w:rsidR="00F51FA1" w:rsidRPr="00F51FA1" w:rsidRDefault="00F51FA1" w:rsidP="0023684B">
      <w:pPr>
        <w:autoSpaceDE w:val="0"/>
        <w:autoSpaceDN w:val="0"/>
        <w:adjustRightInd w:val="0"/>
        <w:ind w:firstLine="708"/>
        <w:jc w:val="both"/>
        <w:rPr>
          <w:rFonts w:ascii="Abadi" w:eastAsia="Calibri" w:hAnsi="Abadi" w:cs="*Arial-4749-Identity-H"/>
          <w:color w:val="0D0D0F"/>
          <w:sz w:val="21"/>
          <w:szCs w:val="21"/>
          <w:lang w:val="es-MX" w:eastAsia="en-US"/>
        </w:rPr>
      </w:pPr>
      <w:r w:rsidRPr="00F51FA1">
        <w:rPr>
          <w:rFonts w:ascii="Abadi" w:eastAsia="Calibri" w:hAnsi="Abadi" w:cs="*Arial-4749-Identity-H"/>
          <w:color w:val="0D0D0F"/>
          <w:sz w:val="21"/>
          <w:szCs w:val="21"/>
          <w:lang w:val="es-MX" w:eastAsia="en-US"/>
        </w:rPr>
        <w:t>En esta parte se señala que los objetivos específicos se desarrollaron en la auditoría en siete procedimientos, con los siguientes resultados:</w:t>
      </w:r>
    </w:p>
    <w:p w14:paraId="5AF35192" w14:textId="77777777" w:rsidR="00F51FA1" w:rsidRPr="00F51FA1" w:rsidRDefault="00F51FA1" w:rsidP="00F51FA1">
      <w:pPr>
        <w:autoSpaceDE w:val="0"/>
        <w:autoSpaceDN w:val="0"/>
        <w:adjustRightInd w:val="0"/>
        <w:rPr>
          <w:rFonts w:ascii="Abadi" w:eastAsia="Calibri" w:hAnsi="Abadi" w:cs="*Arial-Bold-4750-Identity-H"/>
          <w:b/>
          <w:bCs/>
          <w:color w:val="0F0F13"/>
          <w:sz w:val="21"/>
          <w:szCs w:val="21"/>
          <w:lang w:val="es-MX" w:eastAsia="en-US"/>
        </w:rPr>
      </w:pPr>
    </w:p>
    <w:p w14:paraId="438D4493" w14:textId="77777777" w:rsidR="00F51FA1" w:rsidRPr="00F51FA1" w:rsidRDefault="00F51FA1" w:rsidP="0023684B">
      <w:pPr>
        <w:autoSpaceDE w:val="0"/>
        <w:autoSpaceDN w:val="0"/>
        <w:adjustRightInd w:val="0"/>
        <w:rPr>
          <w:rFonts w:ascii="Abadi" w:eastAsia="Calibri" w:hAnsi="Abadi" w:cs="*Arial-Bold-4750-Identity-H"/>
          <w:b/>
          <w:bCs/>
          <w:color w:val="0F0F13"/>
          <w:sz w:val="21"/>
          <w:szCs w:val="21"/>
          <w:lang w:val="es-MX" w:eastAsia="en-US"/>
        </w:rPr>
      </w:pPr>
      <w:r w:rsidRPr="00F51FA1">
        <w:rPr>
          <w:rFonts w:ascii="Abadi" w:eastAsia="Calibri" w:hAnsi="Abadi" w:cs="*Arial-Bold-4750-Identity-H"/>
          <w:b/>
          <w:bCs/>
          <w:color w:val="0F0F13"/>
          <w:sz w:val="21"/>
          <w:szCs w:val="21"/>
          <w:lang w:val="es-MX" w:eastAsia="en-US"/>
        </w:rPr>
        <w:t>Eficiencia:</w:t>
      </w:r>
    </w:p>
    <w:p w14:paraId="1D8CA2E1" w14:textId="77777777" w:rsidR="00F51FA1" w:rsidRPr="00F51FA1" w:rsidRDefault="00F51FA1" w:rsidP="00F51FA1">
      <w:pPr>
        <w:autoSpaceDE w:val="0"/>
        <w:autoSpaceDN w:val="0"/>
        <w:adjustRightInd w:val="0"/>
        <w:rPr>
          <w:rFonts w:ascii="Abadi" w:eastAsia="Calibri" w:hAnsi="Abadi" w:cs="*Arial-Bold-4750-Identity-H"/>
          <w:b/>
          <w:bCs/>
          <w:color w:val="0F0F13"/>
          <w:sz w:val="21"/>
          <w:szCs w:val="21"/>
          <w:lang w:val="es-MX" w:eastAsia="en-US"/>
        </w:rPr>
      </w:pPr>
    </w:p>
    <w:p w14:paraId="375165A9" w14:textId="77777777" w:rsidR="00F51FA1" w:rsidRPr="00F51FA1" w:rsidRDefault="00F51FA1" w:rsidP="00F51FA1">
      <w:pPr>
        <w:numPr>
          <w:ilvl w:val="0"/>
          <w:numId w:val="70"/>
        </w:numPr>
        <w:autoSpaceDE w:val="0"/>
        <w:autoSpaceDN w:val="0"/>
        <w:adjustRightInd w:val="0"/>
        <w:spacing w:after="160" w:line="259" w:lineRule="auto"/>
        <w:contextualSpacing/>
        <w:rPr>
          <w:rFonts w:ascii="Abadi" w:eastAsia="Calibri" w:hAnsi="Abadi" w:cs="*Arial-Bold-4750-Identity-H"/>
          <w:b/>
          <w:bCs/>
          <w:color w:val="0F0F13"/>
          <w:sz w:val="21"/>
          <w:szCs w:val="21"/>
          <w:lang w:val="es-MX" w:eastAsia="en-US"/>
        </w:rPr>
      </w:pPr>
      <w:r w:rsidRPr="00F51FA1">
        <w:rPr>
          <w:rFonts w:ascii="Abadi" w:eastAsia="Calibri" w:hAnsi="Abadi" w:cs="*Arial-4749-Identity-H"/>
          <w:color w:val="0B0B0E"/>
          <w:sz w:val="21"/>
          <w:szCs w:val="21"/>
          <w:lang w:val="es-MX" w:eastAsia="en-US"/>
        </w:rPr>
        <w:t>Oferta del servicio de alumbrado público.</w:t>
      </w:r>
    </w:p>
    <w:p w14:paraId="48B5C8A7" w14:textId="77777777" w:rsidR="00F51FA1" w:rsidRPr="00F51FA1" w:rsidRDefault="00F51FA1" w:rsidP="00F51FA1">
      <w:pPr>
        <w:numPr>
          <w:ilvl w:val="0"/>
          <w:numId w:val="70"/>
        </w:numPr>
        <w:autoSpaceDE w:val="0"/>
        <w:autoSpaceDN w:val="0"/>
        <w:adjustRightInd w:val="0"/>
        <w:spacing w:after="160" w:line="259" w:lineRule="auto"/>
        <w:contextualSpacing/>
        <w:rPr>
          <w:rFonts w:ascii="Abadi" w:eastAsia="Calibri" w:hAnsi="Abadi" w:cs="*Arial-Bold-4750-Identity-H"/>
          <w:b/>
          <w:bCs/>
          <w:color w:val="0F0F13"/>
          <w:sz w:val="21"/>
          <w:szCs w:val="21"/>
          <w:lang w:val="es-MX" w:eastAsia="en-US"/>
        </w:rPr>
      </w:pPr>
      <w:r w:rsidRPr="00F51FA1">
        <w:rPr>
          <w:rFonts w:ascii="Abadi" w:eastAsia="Calibri" w:hAnsi="Abadi" w:cs="*Arial-4749-Identity-H"/>
          <w:color w:val="0B0B0E"/>
          <w:sz w:val="21"/>
          <w:szCs w:val="21"/>
          <w:lang w:val="es-MX" w:eastAsia="en-US"/>
        </w:rPr>
        <w:t>Presupuestación del servicio.</w:t>
      </w:r>
    </w:p>
    <w:p w14:paraId="00DF9AB8" w14:textId="77777777" w:rsidR="00F51FA1" w:rsidRPr="00F51FA1" w:rsidRDefault="00F51FA1" w:rsidP="00F51FA1">
      <w:pPr>
        <w:numPr>
          <w:ilvl w:val="0"/>
          <w:numId w:val="70"/>
        </w:numPr>
        <w:autoSpaceDE w:val="0"/>
        <w:autoSpaceDN w:val="0"/>
        <w:adjustRightInd w:val="0"/>
        <w:spacing w:after="160" w:line="259" w:lineRule="auto"/>
        <w:contextualSpacing/>
        <w:rPr>
          <w:rFonts w:ascii="Abadi" w:eastAsia="Calibri" w:hAnsi="Abadi" w:cs="*Arial-Bold-4750-Identity-H"/>
          <w:b/>
          <w:bCs/>
          <w:color w:val="0F0F13"/>
          <w:sz w:val="21"/>
          <w:szCs w:val="21"/>
          <w:lang w:val="es-MX" w:eastAsia="en-US"/>
        </w:rPr>
      </w:pPr>
      <w:r w:rsidRPr="00F51FA1">
        <w:rPr>
          <w:rFonts w:ascii="Abadi" w:eastAsia="Calibri" w:hAnsi="Abadi" w:cs="*Arial-4749-Identity-H"/>
          <w:color w:val="0B0A0C"/>
          <w:sz w:val="21"/>
          <w:szCs w:val="21"/>
          <w:lang w:val="es-MX" w:eastAsia="en-US"/>
        </w:rPr>
        <w:t>Marco normativo para la prestación del servicio.</w:t>
      </w:r>
    </w:p>
    <w:p w14:paraId="1D3F357A" w14:textId="77777777" w:rsidR="00F51FA1" w:rsidRPr="00F51FA1" w:rsidRDefault="00F51FA1" w:rsidP="00F51FA1">
      <w:pPr>
        <w:numPr>
          <w:ilvl w:val="0"/>
          <w:numId w:val="70"/>
        </w:numPr>
        <w:autoSpaceDE w:val="0"/>
        <w:autoSpaceDN w:val="0"/>
        <w:adjustRightInd w:val="0"/>
        <w:spacing w:after="160" w:line="259" w:lineRule="auto"/>
        <w:contextualSpacing/>
        <w:rPr>
          <w:rFonts w:ascii="Abadi" w:eastAsia="Calibri" w:hAnsi="Abadi" w:cs="*Arial-Bold-4750-Identity-H"/>
          <w:b/>
          <w:bCs/>
          <w:color w:val="0F0F13"/>
          <w:sz w:val="21"/>
          <w:szCs w:val="21"/>
          <w:lang w:val="es-MX" w:eastAsia="en-US"/>
        </w:rPr>
      </w:pPr>
      <w:r w:rsidRPr="00F51FA1">
        <w:rPr>
          <w:rFonts w:ascii="Abadi" w:eastAsia="Calibri" w:hAnsi="Abadi" w:cs="*Arial-4749-Identity-H"/>
          <w:color w:val="0D0C0F"/>
          <w:sz w:val="21"/>
          <w:szCs w:val="21"/>
          <w:lang w:val="es-MX" w:eastAsia="en-US"/>
        </w:rPr>
        <w:t>Planeación del servicio de alumbrado público en el corto plazo.</w:t>
      </w:r>
    </w:p>
    <w:p w14:paraId="1CF33861" w14:textId="77777777" w:rsidR="00F51FA1" w:rsidRPr="00F51FA1" w:rsidRDefault="00F51FA1" w:rsidP="00F51FA1">
      <w:pPr>
        <w:numPr>
          <w:ilvl w:val="0"/>
          <w:numId w:val="70"/>
        </w:numPr>
        <w:autoSpaceDE w:val="0"/>
        <w:autoSpaceDN w:val="0"/>
        <w:adjustRightInd w:val="0"/>
        <w:spacing w:after="160" w:line="259" w:lineRule="auto"/>
        <w:contextualSpacing/>
        <w:rPr>
          <w:rFonts w:ascii="Abadi" w:eastAsia="Calibri" w:hAnsi="Abadi" w:cs="*Arial-Bold-4750-Identity-H"/>
          <w:b/>
          <w:bCs/>
          <w:color w:val="0F0F13"/>
          <w:sz w:val="21"/>
          <w:szCs w:val="21"/>
          <w:lang w:val="es-MX" w:eastAsia="en-US"/>
        </w:rPr>
      </w:pPr>
      <w:r w:rsidRPr="00F51FA1">
        <w:rPr>
          <w:rFonts w:ascii="Abadi" w:eastAsia="Calibri" w:hAnsi="Abadi" w:cs="*Arial-4749-Identity-H"/>
          <w:color w:val="0D0C0F"/>
          <w:sz w:val="21"/>
          <w:szCs w:val="21"/>
          <w:lang w:val="es-MX" w:eastAsia="en-US"/>
        </w:rPr>
        <w:t>Participación ciudadana en el reporte de fallas del servicio.</w:t>
      </w:r>
    </w:p>
    <w:p w14:paraId="39C6A2EA" w14:textId="77777777" w:rsidR="00F51FA1" w:rsidRPr="00F51FA1" w:rsidRDefault="00F51FA1" w:rsidP="00F51FA1">
      <w:pPr>
        <w:autoSpaceDE w:val="0"/>
        <w:autoSpaceDN w:val="0"/>
        <w:adjustRightInd w:val="0"/>
        <w:rPr>
          <w:rFonts w:ascii="Abadi" w:eastAsia="Calibri" w:hAnsi="Abadi" w:cs="*Arial-Bold-4750-Identity-H"/>
          <w:b/>
          <w:bCs/>
          <w:color w:val="0F0C12"/>
          <w:sz w:val="21"/>
          <w:szCs w:val="21"/>
          <w:lang w:val="es-MX" w:eastAsia="en-US"/>
        </w:rPr>
      </w:pPr>
    </w:p>
    <w:p w14:paraId="1464B9A6" w14:textId="77777777" w:rsidR="00F51FA1" w:rsidRPr="00F51FA1" w:rsidRDefault="00F51FA1" w:rsidP="00F51FA1">
      <w:pPr>
        <w:autoSpaceDE w:val="0"/>
        <w:autoSpaceDN w:val="0"/>
        <w:adjustRightInd w:val="0"/>
        <w:rPr>
          <w:rFonts w:ascii="Abadi" w:eastAsia="Calibri" w:hAnsi="Abadi" w:cs="*Arial-Bold-4750-Identity-H"/>
          <w:b/>
          <w:bCs/>
          <w:color w:val="0F0C12"/>
          <w:sz w:val="21"/>
          <w:szCs w:val="21"/>
          <w:lang w:val="es-MX" w:eastAsia="en-US"/>
        </w:rPr>
      </w:pPr>
      <w:r w:rsidRPr="00F51FA1">
        <w:rPr>
          <w:rFonts w:ascii="Abadi" w:eastAsia="Calibri" w:hAnsi="Abadi" w:cs="*Arial-Bold-4750-Identity-H"/>
          <w:b/>
          <w:bCs/>
          <w:color w:val="0F0C12"/>
          <w:sz w:val="21"/>
          <w:szCs w:val="21"/>
          <w:lang w:val="es-MX" w:eastAsia="en-US"/>
        </w:rPr>
        <w:t>Eficacia:</w:t>
      </w:r>
    </w:p>
    <w:p w14:paraId="7732CDCC" w14:textId="77777777" w:rsidR="00F51FA1" w:rsidRPr="00F51FA1" w:rsidRDefault="00F51FA1" w:rsidP="00F51FA1">
      <w:pPr>
        <w:autoSpaceDE w:val="0"/>
        <w:autoSpaceDN w:val="0"/>
        <w:adjustRightInd w:val="0"/>
        <w:rPr>
          <w:rFonts w:ascii="Abadi" w:eastAsia="Calibri" w:hAnsi="Abadi" w:cs="*Arial-Bold-4750-Identity-H"/>
          <w:b/>
          <w:bCs/>
          <w:color w:val="0F0C12"/>
          <w:sz w:val="21"/>
          <w:szCs w:val="21"/>
          <w:lang w:val="es-MX" w:eastAsia="en-US"/>
        </w:rPr>
      </w:pPr>
    </w:p>
    <w:p w14:paraId="730E09A9" w14:textId="77777777" w:rsidR="00F51FA1" w:rsidRPr="00F51FA1" w:rsidRDefault="00F51FA1" w:rsidP="00F51FA1">
      <w:pPr>
        <w:numPr>
          <w:ilvl w:val="0"/>
          <w:numId w:val="70"/>
        </w:numPr>
        <w:autoSpaceDE w:val="0"/>
        <w:autoSpaceDN w:val="0"/>
        <w:adjustRightInd w:val="0"/>
        <w:spacing w:after="160" w:line="259" w:lineRule="auto"/>
        <w:contextualSpacing/>
        <w:rPr>
          <w:rFonts w:ascii="Abadi" w:eastAsia="Calibri" w:hAnsi="Abadi" w:cs="*Arial-4749-Identity-H"/>
          <w:color w:val="0F0E11"/>
          <w:sz w:val="21"/>
          <w:szCs w:val="21"/>
          <w:lang w:val="es-MX" w:eastAsia="en-US"/>
        </w:rPr>
      </w:pPr>
      <w:r w:rsidRPr="00F51FA1">
        <w:rPr>
          <w:rFonts w:ascii="Abadi" w:eastAsia="Calibri" w:hAnsi="Abadi" w:cs="*Arial-4749-Identity-H"/>
          <w:color w:val="0F0E11"/>
          <w:sz w:val="21"/>
          <w:szCs w:val="21"/>
          <w:lang w:val="es-MX" w:eastAsia="en-US"/>
        </w:rPr>
        <w:t>Eficacia del servicio de alumbrado público.</w:t>
      </w:r>
    </w:p>
    <w:p w14:paraId="7C9590A7" w14:textId="77777777" w:rsidR="00F51FA1" w:rsidRPr="00F51FA1" w:rsidRDefault="00F51FA1" w:rsidP="00F51FA1">
      <w:pPr>
        <w:numPr>
          <w:ilvl w:val="0"/>
          <w:numId w:val="70"/>
        </w:numPr>
        <w:autoSpaceDE w:val="0"/>
        <w:autoSpaceDN w:val="0"/>
        <w:adjustRightInd w:val="0"/>
        <w:spacing w:after="160" w:line="259" w:lineRule="auto"/>
        <w:contextualSpacing/>
        <w:rPr>
          <w:rFonts w:ascii="Abadi" w:eastAsia="Calibri" w:hAnsi="Abadi" w:cs="*Arial-4749-Identity-H"/>
          <w:color w:val="0F0E11"/>
          <w:sz w:val="21"/>
          <w:szCs w:val="21"/>
          <w:lang w:val="es-MX" w:eastAsia="en-US"/>
        </w:rPr>
      </w:pPr>
      <w:r w:rsidRPr="00F51FA1">
        <w:rPr>
          <w:rFonts w:ascii="Abadi" w:eastAsia="Calibri" w:hAnsi="Abadi" w:cs="*Arial-4749-Identity-H"/>
          <w:color w:val="0E0D10"/>
          <w:sz w:val="21"/>
          <w:szCs w:val="21"/>
          <w:lang w:val="es-MX" w:eastAsia="en-US"/>
        </w:rPr>
        <w:t>Monitoreo y evaluación de resultados.</w:t>
      </w:r>
    </w:p>
    <w:p w14:paraId="10DB450A" w14:textId="77777777" w:rsidR="00F51FA1" w:rsidRPr="00F51FA1" w:rsidRDefault="00F51FA1" w:rsidP="00F51FA1">
      <w:pPr>
        <w:autoSpaceDE w:val="0"/>
        <w:autoSpaceDN w:val="0"/>
        <w:adjustRightInd w:val="0"/>
        <w:jc w:val="both"/>
        <w:rPr>
          <w:rFonts w:ascii="Abadi" w:eastAsia="Calibri" w:hAnsi="Abadi" w:cs="*Arial-4749-Identity-H"/>
          <w:color w:val="0D0D10"/>
          <w:sz w:val="21"/>
          <w:szCs w:val="21"/>
          <w:lang w:val="es-MX" w:eastAsia="en-US"/>
        </w:rPr>
      </w:pPr>
    </w:p>
    <w:p w14:paraId="46F4598A" w14:textId="77777777" w:rsidR="00F51FA1" w:rsidRPr="00F51FA1" w:rsidRDefault="00F51FA1" w:rsidP="0023684B">
      <w:pPr>
        <w:autoSpaceDE w:val="0"/>
        <w:autoSpaceDN w:val="0"/>
        <w:adjustRightInd w:val="0"/>
        <w:ind w:firstLine="360"/>
        <w:jc w:val="both"/>
        <w:rPr>
          <w:rFonts w:ascii="Abadi" w:eastAsia="Calibri" w:hAnsi="Abadi" w:cs="*Arial-4749-Identity-H"/>
          <w:color w:val="0D0D10"/>
          <w:sz w:val="21"/>
          <w:szCs w:val="21"/>
          <w:lang w:val="es-MX" w:eastAsia="en-US"/>
        </w:rPr>
      </w:pPr>
      <w:r w:rsidRPr="00F51FA1">
        <w:rPr>
          <w:rFonts w:ascii="Abadi" w:eastAsia="Calibri" w:hAnsi="Abadi" w:cs="*Arial-4749-Identity-H"/>
          <w:color w:val="0D0D10"/>
          <w:sz w:val="21"/>
          <w:szCs w:val="21"/>
          <w:lang w:val="es-MX" w:eastAsia="en-US"/>
        </w:rPr>
        <w:t>Es así, que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271BD2DC" w14:textId="77777777" w:rsidR="00F51FA1" w:rsidRPr="00F51FA1" w:rsidRDefault="00F51FA1" w:rsidP="00F51FA1">
      <w:pPr>
        <w:autoSpaceDE w:val="0"/>
        <w:autoSpaceDN w:val="0"/>
        <w:adjustRightInd w:val="0"/>
        <w:jc w:val="both"/>
        <w:rPr>
          <w:rFonts w:ascii="Abadi" w:eastAsia="Calibri" w:hAnsi="Abadi" w:cs="*Arial-4749-Identity-H"/>
          <w:color w:val="0D0D10"/>
          <w:sz w:val="21"/>
          <w:szCs w:val="21"/>
          <w:lang w:val="es-MX" w:eastAsia="en-US"/>
        </w:rPr>
      </w:pPr>
    </w:p>
    <w:p w14:paraId="7174FF96" w14:textId="77777777" w:rsidR="00F51FA1" w:rsidRPr="00F51FA1" w:rsidRDefault="00F51FA1" w:rsidP="0023684B">
      <w:pPr>
        <w:autoSpaceDE w:val="0"/>
        <w:autoSpaceDN w:val="0"/>
        <w:adjustRightInd w:val="0"/>
        <w:ind w:firstLine="360"/>
        <w:jc w:val="both"/>
        <w:rPr>
          <w:rFonts w:ascii="Abadi" w:eastAsia="Calibri" w:hAnsi="Abadi" w:cs="*Arial-4749-Identity-H"/>
          <w:color w:val="0D0D10"/>
          <w:sz w:val="21"/>
          <w:szCs w:val="21"/>
          <w:lang w:val="es-MX" w:eastAsia="en-US"/>
        </w:rPr>
      </w:pPr>
      <w:r w:rsidRPr="00F51FA1">
        <w:rPr>
          <w:rFonts w:ascii="Abadi" w:eastAsia="Calibri" w:hAnsi="Abadi" w:cs="*Arial-4749-Identity-H"/>
          <w:color w:val="0D0D10"/>
          <w:sz w:val="21"/>
          <w:szCs w:val="21"/>
          <w:lang w:val="es-MX" w:eastAsia="en-US"/>
        </w:rPr>
        <w:t>Derivado de lo anterior, se formulan los resultados y recomendaciones contenidos en los rubros de Eficiencia y Eficacia.</w:t>
      </w:r>
    </w:p>
    <w:p w14:paraId="307E0A24" w14:textId="77777777" w:rsidR="00F51FA1" w:rsidRPr="00F51FA1" w:rsidRDefault="00F51FA1" w:rsidP="00F51FA1">
      <w:pPr>
        <w:autoSpaceDE w:val="0"/>
        <w:autoSpaceDN w:val="0"/>
        <w:adjustRightInd w:val="0"/>
        <w:rPr>
          <w:rFonts w:ascii="Abadi" w:eastAsia="Calibri" w:hAnsi="Abadi" w:cs="*Arial-7900-Identity-H"/>
          <w:color w:val="0D0C0F"/>
          <w:sz w:val="21"/>
          <w:szCs w:val="21"/>
          <w:lang w:val="es-MX" w:eastAsia="en-US"/>
        </w:rPr>
      </w:pPr>
    </w:p>
    <w:p w14:paraId="6E57C93D" w14:textId="164A7573" w:rsidR="00F51FA1" w:rsidRPr="00F51FA1" w:rsidRDefault="00F51FA1" w:rsidP="0023684B">
      <w:pPr>
        <w:autoSpaceDE w:val="0"/>
        <w:autoSpaceDN w:val="0"/>
        <w:adjustRightInd w:val="0"/>
        <w:ind w:firstLine="360"/>
        <w:jc w:val="both"/>
        <w:rPr>
          <w:rFonts w:ascii="Abadi" w:eastAsia="Calibri" w:hAnsi="Abadi" w:cs="*Arial-7900-Identity-H"/>
          <w:color w:val="0D0C0F"/>
          <w:sz w:val="21"/>
          <w:szCs w:val="21"/>
          <w:lang w:val="es-MX" w:eastAsia="en-US"/>
        </w:rPr>
      </w:pPr>
      <w:r w:rsidRPr="00F51FA1">
        <w:rPr>
          <w:rFonts w:ascii="Abadi" w:eastAsia="Calibri" w:hAnsi="Abadi" w:cs="*Arial-7900-Identity-H"/>
          <w:color w:val="0D0C0F"/>
          <w:sz w:val="21"/>
          <w:szCs w:val="21"/>
          <w:lang w:val="es-MX" w:eastAsia="en-US"/>
        </w:rPr>
        <w:t xml:space="preserve">En tal sentido, en el rubro de Eficiencia, se formularon las recomendaciones plasmadas en los puntos O 1 y 02 del resultado número 1, referente a oferta del servicio de alumbrado público; 03 y 04 del resultado número 2, correspondiente a presupuestación del servicio; 05 y 06 del resultado número 3, relativo a marco normativo para la prestación del servicio; 07 del resultado número 4, referido a planeación del servicio de alumbrado público en el corto plazo; y 08 del resultado número 5, referente a participación ciudadana en el reporte de fallas del servicio. En el apartado de Eficacia, se formularon las recomendaciones consignadas en los puntos 09 y </w:t>
      </w:r>
      <w:r w:rsidR="001C397A">
        <w:rPr>
          <w:rFonts w:ascii="Abadi" w:eastAsia="Calibri" w:hAnsi="Abadi" w:cs="*Arial-7900-Identity-H"/>
          <w:color w:val="0D0C0F"/>
          <w:sz w:val="21"/>
          <w:szCs w:val="21"/>
          <w:lang w:val="es-MX" w:eastAsia="en-US"/>
        </w:rPr>
        <w:t>10</w:t>
      </w:r>
      <w:r w:rsidRPr="00F51FA1">
        <w:rPr>
          <w:rFonts w:ascii="Abadi" w:eastAsia="Calibri" w:hAnsi="Abadi" w:cs="*Arial-7900-Identity-H"/>
          <w:color w:val="0D0C0F"/>
          <w:sz w:val="21"/>
          <w:szCs w:val="21"/>
          <w:lang w:val="es-MX" w:eastAsia="en-US"/>
        </w:rPr>
        <w:t xml:space="preserve"> del resultado número 6, correspondiente a eficacia del servicio de alumbrado público; y 11 del resultado número 7, relativo a monitoreo y evaluación de resultados.</w:t>
      </w:r>
    </w:p>
    <w:p w14:paraId="38D011E9" w14:textId="77777777" w:rsidR="00F51FA1" w:rsidRPr="00F51FA1" w:rsidRDefault="00F51FA1" w:rsidP="00F51FA1">
      <w:pPr>
        <w:autoSpaceDE w:val="0"/>
        <w:autoSpaceDN w:val="0"/>
        <w:adjustRightInd w:val="0"/>
        <w:rPr>
          <w:rFonts w:ascii="Abadi" w:eastAsia="Calibri" w:hAnsi="Abadi" w:cs="*Arial-7900-Identity-H"/>
          <w:color w:val="0D0C0F"/>
          <w:sz w:val="21"/>
          <w:szCs w:val="21"/>
          <w:lang w:val="es-MX" w:eastAsia="en-US"/>
        </w:rPr>
      </w:pPr>
    </w:p>
    <w:p w14:paraId="214BEF17" w14:textId="77777777" w:rsidR="00F51FA1" w:rsidRPr="00F51FA1" w:rsidRDefault="00F51FA1" w:rsidP="0023684B">
      <w:pPr>
        <w:autoSpaceDE w:val="0"/>
        <w:autoSpaceDN w:val="0"/>
        <w:adjustRightInd w:val="0"/>
        <w:ind w:firstLine="360"/>
        <w:jc w:val="both"/>
        <w:rPr>
          <w:rFonts w:ascii="Abadi" w:eastAsia="Calibri" w:hAnsi="Abadi" w:cs="*Arial-Italic-7902-Identity-H"/>
          <w:i/>
          <w:iCs/>
          <w:color w:val="0D0C0F"/>
          <w:sz w:val="21"/>
          <w:szCs w:val="21"/>
          <w:lang w:val="es-MX" w:eastAsia="en-US"/>
        </w:rPr>
      </w:pPr>
      <w:r w:rsidRPr="00F51FA1">
        <w:rPr>
          <w:rFonts w:ascii="Abadi" w:eastAsia="Calibri" w:hAnsi="Abadi" w:cs="*Arial-7900-Identity-H"/>
          <w:color w:val="0D0C0F"/>
          <w:sz w:val="21"/>
          <w:szCs w:val="21"/>
          <w:lang w:val="es-MX" w:eastAsia="en-US"/>
        </w:rPr>
        <w:t xml:space="preserve">Finalmente, se establece un apartado denominado </w:t>
      </w:r>
      <w:r w:rsidRPr="00F51FA1">
        <w:rPr>
          <w:rFonts w:ascii="Abadi" w:eastAsia="Calibri" w:hAnsi="Abadi" w:cs="*Arial-Italic-7902-Identity-H"/>
          <w:i/>
          <w:iCs/>
          <w:color w:val="0D0C0F"/>
          <w:sz w:val="21"/>
          <w:szCs w:val="21"/>
          <w:lang w:val="es-MX" w:eastAsia="en-US"/>
        </w:rPr>
        <w:t xml:space="preserve">Cuestiones clave de la auditoría en contexto de la pandemia del virus SARS-CoV2 </w:t>
      </w:r>
      <w:r w:rsidRPr="00F51FA1">
        <w:rPr>
          <w:rFonts w:ascii="Abadi" w:eastAsia="Calibri" w:hAnsi="Abadi" w:cs="*Arial-7900-Identity-H"/>
          <w:color w:val="0D0C0F"/>
          <w:sz w:val="21"/>
          <w:szCs w:val="21"/>
          <w:lang w:val="es-MX" w:eastAsia="en-US"/>
        </w:rPr>
        <w:t>en el que se señala</w:t>
      </w:r>
      <w:r w:rsidRPr="00F51FA1">
        <w:rPr>
          <w:rFonts w:ascii="Abadi" w:eastAsia="Calibri" w:hAnsi="Abadi" w:cs="*Arial-Italic-7902-Identity-H"/>
          <w:i/>
          <w:iCs/>
          <w:color w:val="0D0C0F"/>
          <w:sz w:val="21"/>
          <w:szCs w:val="21"/>
          <w:lang w:val="es-MX" w:eastAsia="en-US"/>
        </w:rPr>
        <w:t xml:space="preserve"> </w:t>
      </w:r>
      <w:r w:rsidRPr="00F51FA1">
        <w:rPr>
          <w:rFonts w:ascii="Abadi" w:eastAsia="Calibri" w:hAnsi="Abadi" w:cs="*Arial-7900-Identity-H"/>
          <w:color w:val="0D0C0F"/>
          <w:sz w:val="21"/>
          <w:szCs w:val="21"/>
          <w:lang w:val="es-MX" w:eastAsia="en-US"/>
        </w:rPr>
        <w:t>que con motivo de la emergencia sanitaria provocada por dicha pandemia y en</w:t>
      </w:r>
      <w:r w:rsidRPr="00F51FA1">
        <w:rPr>
          <w:rFonts w:ascii="Abadi" w:eastAsia="Calibri" w:hAnsi="Abadi" w:cs="*Arial-Italic-7902-Identity-H"/>
          <w:i/>
          <w:iCs/>
          <w:color w:val="0D0C0F"/>
          <w:sz w:val="21"/>
          <w:szCs w:val="21"/>
          <w:lang w:val="es-MX" w:eastAsia="en-US"/>
        </w:rPr>
        <w:t xml:space="preserve"> </w:t>
      </w:r>
      <w:r w:rsidRPr="00F51FA1">
        <w:rPr>
          <w:rFonts w:ascii="Abadi" w:eastAsia="Calibri" w:hAnsi="Abadi" w:cs="*Arial-7900-Identity-H"/>
          <w:color w:val="0D0C0F"/>
          <w:sz w:val="21"/>
          <w:szCs w:val="21"/>
          <w:lang w:val="es-MX" w:eastAsia="en-US"/>
        </w:rPr>
        <w:t>atención a diversas disposiciones en salud pública emitidas por las autoridades</w:t>
      </w:r>
      <w:r w:rsidRPr="00F51FA1">
        <w:rPr>
          <w:rFonts w:ascii="Abadi" w:eastAsia="Calibri" w:hAnsi="Abadi" w:cs="*Arial-Italic-7902-Identity-H"/>
          <w:i/>
          <w:iCs/>
          <w:color w:val="0D0C0F"/>
          <w:sz w:val="21"/>
          <w:szCs w:val="21"/>
          <w:lang w:val="es-MX" w:eastAsia="en-US"/>
        </w:rPr>
        <w:t xml:space="preserve"> </w:t>
      </w:r>
      <w:r w:rsidRPr="00F51FA1">
        <w:rPr>
          <w:rFonts w:ascii="Abadi" w:eastAsia="Calibri" w:hAnsi="Abadi" w:cs="*Arial-7900-Identity-H"/>
          <w:color w:val="0D0C0F"/>
          <w:sz w:val="21"/>
          <w:szCs w:val="21"/>
          <w:lang w:val="es-MX" w:eastAsia="en-US"/>
        </w:rPr>
        <w:t>federales y estatales competentes en la materia, se generaron cambios en el</w:t>
      </w:r>
      <w:r w:rsidRPr="00F51FA1">
        <w:rPr>
          <w:rFonts w:ascii="Abadi" w:eastAsia="Calibri" w:hAnsi="Abadi" w:cs="*Arial-Italic-7902-Identity-H"/>
          <w:i/>
          <w:iCs/>
          <w:color w:val="0D0C0F"/>
          <w:sz w:val="21"/>
          <w:szCs w:val="21"/>
          <w:lang w:val="es-MX" w:eastAsia="en-US"/>
        </w:rPr>
        <w:t xml:space="preserve"> </w:t>
      </w:r>
      <w:r w:rsidRPr="00F51FA1">
        <w:rPr>
          <w:rFonts w:ascii="Abadi" w:eastAsia="Calibri" w:hAnsi="Abadi" w:cs="*Arial-7900-Identity-H"/>
          <w:color w:val="0D0C0F"/>
          <w:sz w:val="21"/>
          <w:szCs w:val="21"/>
          <w:lang w:val="es-MX" w:eastAsia="en-US"/>
        </w:rPr>
        <w:t>desarrollo de los asuntos competencia de la Auditoría Superior del Estado de</w:t>
      </w:r>
      <w:r w:rsidRPr="00F51FA1">
        <w:rPr>
          <w:rFonts w:ascii="Abadi" w:eastAsia="Calibri" w:hAnsi="Abadi" w:cs="*Arial-Italic-7902-Identity-H"/>
          <w:i/>
          <w:iCs/>
          <w:color w:val="0D0C0F"/>
          <w:sz w:val="21"/>
          <w:szCs w:val="21"/>
          <w:lang w:val="es-MX" w:eastAsia="en-US"/>
        </w:rPr>
        <w:t xml:space="preserve"> </w:t>
      </w:r>
      <w:r w:rsidRPr="00F51FA1">
        <w:rPr>
          <w:rFonts w:ascii="Abadi" w:eastAsia="Calibri" w:hAnsi="Abadi" w:cs="*Arial-7900-Identity-H"/>
          <w:color w:val="0D0C0F"/>
          <w:sz w:val="21"/>
          <w:szCs w:val="21"/>
          <w:lang w:val="es-MX" w:eastAsia="en-US"/>
        </w:rPr>
        <w:t xml:space="preserve">Guanajuato, atendiendo al </w:t>
      </w:r>
      <w:r w:rsidRPr="00F51FA1">
        <w:rPr>
          <w:rFonts w:ascii="Abadi" w:eastAsia="Calibri" w:hAnsi="Abadi" w:cs="*Arial-Italic-7902-Identity-H"/>
          <w:i/>
          <w:iCs/>
          <w:color w:val="0D0C0F"/>
          <w:sz w:val="21"/>
          <w:szCs w:val="21"/>
          <w:lang w:val="es-MX" w:eastAsia="en-US"/>
        </w:rPr>
        <w:t xml:space="preserve">Acuerdo relativo al trabajo </w:t>
      </w:r>
      <w:r w:rsidRPr="00F51FA1">
        <w:rPr>
          <w:rFonts w:ascii="Abadi" w:eastAsia="Calibri" w:hAnsi="Abadi" w:cs="*Arial-7900-Identity-H"/>
          <w:color w:val="0D0C0F"/>
          <w:sz w:val="21"/>
          <w:szCs w:val="21"/>
          <w:lang w:val="es-MX" w:eastAsia="en-US"/>
        </w:rPr>
        <w:t xml:space="preserve">a </w:t>
      </w:r>
      <w:r w:rsidRPr="00F51FA1">
        <w:rPr>
          <w:rFonts w:ascii="Abadi" w:eastAsia="Calibri" w:hAnsi="Abadi" w:cs="*Arial-Italic-7902-Identity-H"/>
          <w:i/>
          <w:iCs/>
          <w:color w:val="0D0C0F"/>
          <w:sz w:val="21"/>
          <w:szCs w:val="21"/>
          <w:lang w:val="es-MX" w:eastAsia="en-US"/>
        </w:rPr>
        <w:t xml:space="preserve">distancia </w:t>
      </w:r>
      <w:r w:rsidRPr="00F51FA1">
        <w:rPr>
          <w:rFonts w:ascii="Abadi" w:eastAsia="Calibri" w:hAnsi="Abadi" w:cs="*Arial-7900-Identity-H"/>
          <w:color w:val="0D0C0F"/>
          <w:sz w:val="21"/>
          <w:szCs w:val="21"/>
          <w:lang w:val="es-MX" w:eastAsia="en-US"/>
        </w:rPr>
        <w:t>de fecha 17 de</w:t>
      </w:r>
      <w:r w:rsidRPr="00F51FA1">
        <w:rPr>
          <w:rFonts w:ascii="Abadi" w:eastAsia="Calibri" w:hAnsi="Abadi" w:cs="*Arial-Italic-7902-Identity-H"/>
          <w:i/>
          <w:iCs/>
          <w:color w:val="0D0C0F"/>
          <w:sz w:val="21"/>
          <w:szCs w:val="21"/>
          <w:lang w:val="es-MX" w:eastAsia="en-US"/>
        </w:rPr>
        <w:t xml:space="preserve"> </w:t>
      </w:r>
      <w:r w:rsidRPr="00F51FA1">
        <w:rPr>
          <w:rFonts w:ascii="Abadi" w:eastAsia="Calibri" w:hAnsi="Abadi" w:cs="*Arial-7900-Identity-H"/>
          <w:color w:val="0D0C0F"/>
          <w:sz w:val="21"/>
          <w:szCs w:val="21"/>
          <w:lang w:val="es-MX" w:eastAsia="en-US"/>
        </w:rPr>
        <w:t>marzo de 2020 y su décimo sexto acuerdo modificatorio, aprovechando las</w:t>
      </w:r>
      <w:r w:rsidRPr="00F51FA1">
        <w:rPr>
          <w:rFonts w:ascii="Abadi" w:eastAsia="Calibri" w:hAnsi="Abadi" w:cs="*Arial-Italic-7902-Identity-H"/>
          <w:i/>
          <w:iCs/>
          <w:color w:val="0D0C0F"/>
          <w:sz w:val="21"/>
          <w:szCs w:val="21"/>
          <w:lang w:val="es-MX" w:eastAsia="en-US"/>
        </w:rPr>
        <w:t xml:space="preserve"> </w:t>
      </w:r>
      <w:r w:rsidRPr="00F51FA1">
        <w:rPr>
          <w:rFonts w:ascii="Abadi" w:eastAsia="Calibri" w:hAnsi="Abadi" w:cs="*Arial-7900-Identity-H"/>
          <w:color w:val="0D0C0F"/>
          <w:sz w:val="21"/>
          <w:szCs w:val="21"/>
          <w:lang w:val="es-MX" w:eastAsia="en-US"/>
        </w:rPr>
        <w:t>herramientas tecnológicas de que dispone, así como la colaboración de los sujetos</w:t>
      </w:r>
      <w:r w:rsidRPr="00F51FA1">
        <w:rPr>
          <w:rFonts w:ascii="Abadi" w:eastAsia="Calibri" w:hAnsi="Abadi" w:cs="*Arial-Italic-7902-Identity-H"/>
          <w:i/>
          <w:iCs/>
          <w:color w:val="0D0C0F"/>
          <w:sz w:val="21"/>
          <w:szCs w:val="21"/>
          <w:lang w:val="es-MX" w:eastAsia="en-US"/>
        </w:rPr>
        <w:t xml:space="preserve"> </w:t>
      </w:r>
      <w:r w:rsidRPr="00F51FA1">
        <w:rPr>
          <w:rFonts w:ascii="Abadi" w:eastAsia="Calibri" w:hAnsi="Abadi" w:cs="*Arial-7900-Identity-H"/>
          <w:color w:val="0D0C0F"/>
          <w:sz w:val="21"/>
          <w:szCs w:val="21"/>
          <w:lang w:val="es-MX" w:eastAsia="en-US"/>
        </w:rPr>
        <w:t>de fiscalización.</w:t>
      </w:r>
    </w:p>
    <w:p w14:paraId="791FF7DB" w14:textId="77777777" w:rsidR="00F51FA1" w:rsidRPr="00F51FA1" w:rsidRDefault="00F51FA1" w:rsidP="00F51FA1">
      <w:pPr>
        <w:autoSpaceDE w:val="0"/>
        <w:autoSpaceDN w:val="0"/>
        <w:adjustRightInd w:val="0"/>
        <w:jc w:val="both"/>
        <w:rPr>
          <w:rFonts w:ascii="Abadi" w:eastAsia="Calibri" w:hAnsi="Abadi" w:cs="*Arial-7900-Identity-H"/>
          <w:color w:val="0D0D10"/>
          <w:sz w:val="21"/>
          <w:szCs w:val="21"/>
          <w:lang w:val="es-MX" w:eastAsia="en-US"/>
        </w:rPr>
      </w:pPr>
    </w:p>
    <w:p w14:paraId="5A7476BB" w14:textId="77777777" w:rsidR="00F51FA1" w:rsidRPr="00F51FA1" w:rsidRDefault="00F51FA1" w:rsidP="0023684B">
      <w:pPr>
        <w:autoSpaceDE w:val="0"/>
        <w:autoSpaceDN w:val="0"/>
        <w:adjustRightInd w:val="0"/>
        <w:ind w:firstLine="360"/>
        <w:jc w:val="both"/>
        <w:rPr>
          <w:rFonts w:ascii="Abadi" w:eastAsia="Calibri" w:hAnsi="Abadi" w:cs="*Arial-7900-Identity-H"/>
          <w:color w:val="0D0D10"/>
          <w:sz w:val="21"/>
          <w:szCs w:val="21"/>
          <w:lang w:val="es-MX" w:eastAsia="en-US"/>
        </w:rPr>
      </w:pPr>
      <w:r w:rsidRPr="00F51FA1">
        <w:rPr>
          <w:rFonts w:ascii="Abadi" w:eastAsia="Calibri" w:hAnsi="Abadi" w:cs="*Arial-7900-Identity-H"/>
          <w:color w:val="0D0D10"/>
          <w:sz w:val="21"/>
          <w:szCs w:val="21"/>
          <w:lang w:val="es-MX" w:eastAsia="en-US"/>
        </w:rPr>
        <w:t>Es así, que si bien, el proceso de fiscalización ha continuado observando las medidas de confinamiento que las autoridades de salud han determinado y con el uso de las tecnologías de la información, por la propia naturaleza de la pandemia se generaron limitantes en la aplicación de los procedimientos de auditoría.</w:t>
      </w:r>
    </w:p>
    <w:p w14:paraId="40FBCC9C" w14:textId="77777777" w:rsidR="00F51FA1" w:rsidRPr="00F51FA1" w:rsidRDefault="00F51FA1" w:rsidP="00F51FA1">
      <w:pPr>
        <w:autoSpaceDE w:val="0"/>
        <w:autoSpaceDN w:val="0"/>
        <w:adjustRightInd w:val="0"/>
        <w:jc w:val="both"/>
        <w:rPr>
          <w:rFonts w:ascii="Abadi" w:eastAsia="Calibri" w:hAnsi="Abadi" w:cs="*Arial-7900-Identity-H"/>
          <w:color w:val="0D0D0F"/>
          <w:sz w:val="21"/>
          <w:szCs w:val="21"/>
          <w:lang w:val="es-MX" w:eastAsia="en-US"/>
        </w:rPr>
      </w:pPr>
    </w:p>
    <w:p w14:paraId="16E54CFF" w14:textId="77777777" w:rsidR="00F51FA1" w:rsidRPr="00F51FA1" w:rsidRDefault="00F51FA1" w:rsidP="0023684B">
      <w:pPr>
        <w:autoSpaceDE w:val="0"/>
        <w:autoSpaceDN w:val="0"/>
        <w:adjustRightInd w:val="0"/>
        <w:ind w:firstLine="360"/>
        <w:jc w:val="both"/>
        <w:rPr>
          <w:rFonts w:ascii="Abadi" w:eastAsia="Calibri" w:hAnsi="Abadi" w:cs="*Arial-7900-Identity-H"/>
          <w:color w:val="0D0D0F"/>
          <w:sz w:val="21"/>
          <w:szCs w:val="21"/>
          <w:lang w:val="es-MX" w:eastAsia="en-US"/>
        </w:rPr>
      </w:pPr>
      <w:r w:rsidRPr="00F51FA1">
        <w:rPr>
          <w:rFonts w:ascii="Abadi" w:eastAsia="Calibri" w:hAnsi="Abadi" w:cs="*Arial-7900-Identity-H"/>
          <w:color w:val="0D0D0F"/>
          <w:sz w:val="21"/>
          <w:szCs w:val="21"/>
          <w:lang w:val="es-MX" w:eastAsia="en-US"/>
        </w:rPr>
        <w:t>En tal sentido se priorizó el enfoque de derechos humanos, velando por la protección del derecho humano a la salud, respetando las limitaciones y restricciones a los derechos humanos establecidas en la propia Constitución.</w:t>
      </w:r>
    </w:p>
    <w:p w14:paraId="75C7A1AF" w14:textId="77777777" w:rsidR="00F51FA1" w:rsidRPr="00F51FA1" w:rsidRDefault="00F51FA1" w:rsidP="00F51FA1">
      <w:pPr>
        <w:autoSpaceDE w:val="0"/>
        <w:autoSpaceDN w:val="0"/>
        <w:adjustRightInd w:val="0"/>
        <w:rPr>
          <w:rFonts w:ascii="Abadi" w:eastAsia="Calibri" w:hAnsi="Abadi" w:cs="*Arial-Bold-7901-Identity-H"/>
          <w:b/>
          <w:bCs/>
          <w:color w:val="0D0C11"/>
          <w:sz w:val="21"/>
          <w:szCs w:val="21"/>
          <w:lang w:val="es-MX" w:eastAsia="en-US"/>
        </w:rPr>
      </w:pPr>
    </w:p>
    <w:p w14:paraId="0692A89E" w14:textId="77777777" w:rsidR="00F51FA1" w:rsidRPr="00F51FA1" w:rsidRDefault="00F51FA1" w:rsidP="00F51FA1">
      <w:pPr>
        <w:autoSpaceDE w:val="0"/>
        <w:autoSpaceDN w:val="0"/>
        <w:adjustRightInd w:val="0"/>
        <w:rPr>
          <w:rFonts w:ascii="Abadi" w:eastAsia="Calibri" w:hAnsi="Abadi" w:cs="*Arial-Bold-7901-Identity-H"/>
          <w:b/>
          <w:bCs/>
          <w:color w:val="0D0C11"/>
          <w:sz w:val="21"/>
          <w:szCs w:val="21"/>
          <w:lang w:val="es-MX" w:eastAsia="en-US"/>
        </w:rPr>
      </w:pPr>
      <w:r w:rsidRPr="00F51FA1">
        <w:rPr>
          <w:rFonts w:ascii="Abadi" w:eastAsia="Calibri" w:hAnsi="Abadi" w:cs="*Arial-Bold-7901-Identity-H"/>
          <w:b/>
          <w:bCs/>
          <w:color w:val="0D0C11"/>
          <w:sz w:val="21"/>
          <w:szCs w:val="21"/>
          <w:lang w:val="es-MX" w:eastAsia="en-US"/>
        </w:rPr>
        <w:t>c) Resumen de las recomendaciones.</w:t>
      </w:r>
    </w:p>
    <w:p w14:paraId="435B7A8F" w14:textId="77777777" w:rsidR="00F51FA1" w:rsidRPr="00F51FA1" w:rsidRDefault="00F51FA1" w:rsidP="00F51FA1">
      <w:pPr>
        <w:autoSpaceDE w:val="0"/>
        <w:autoSpaceDN w:val="0"/>
        <w:adjustRightInd w:val="0"/>
        <w:rPr>
          <w:rFonts w:ascii="Abadi" w:eastAsia="Calibri" w:hAnsi="Abadi" w:cs="*Arial-7900-Identity-H"/>
          <w:color w:val="0C0C0F"/>
          <w:sz w:val="21"/>
          <w:szCs w:val="21"/>
          <w:lang w:val="es-MX" w:eastAsia="en-US"/>
        </w:rPr>
      </w:pPr>
    </w:p>
    <w:p w14:paraId="27798C87" w14:textId="77777777" w:rsidR="00F51FA1" w:rsidRPr="00F51FA1" w:rsidRDefault="00F51FA1" w:rsidP="0023684B">
      <w:pPr>
        <w:autoSpaceDE w:val="0"/>
        <w:autoSpaceDN w:val="0"/>
        <w:adjustRightInd w:val="0"/>
        <w:ind w:firstLine="708"/>
        <w:jc w:val="both"/>
        <w:rPr>
          <w:rFonts w:ascii="Abadi" w:eastAsia="Calibri" w:hAnsi="Abadi" w:cs="*Arial-6429-Identity-H"/>
          <w:color w:val="0D0C0F"/>
          <w:sz w:val="21"/>
          <w:szCs w:val="21"/>
          <w:lang w:val="es-MX" w:eastAsia="en-US"/>
        </w:rPr>
      </w:pPr>
      <w:r w:rsidRPr="00F51FA1">
        <w:rPr>
          <w:rFonts w:ascii="Abadi" w:eastAsia="Calibri" w:hAnsi="Abadi" w:cs="*Arial-7900-Identity-H"/>
          <w:color w:val="0C0C0F"/>
          <w:sz w:val="21"/>
          <w:szCs w:val="21"/>
          <w:lang w:val="es-MX" w:eastAsia="en-US"/>
        </w:rPr>
        <w:t xml:space="preserve">En este punto se establece un resumen exclusivamente de los resultados que generaron recomendación producto de un área de oportunidad o mejora sugerida por el Órgano Técnico, agrupados bajo su respectiva vertiente, con su síntesis de la valoración efectuada, precisando que del análisis a la respuesta del pliego de recomendaciones se desprende que el sujeto fiscalizado en 7 </w:t>
      </w:r>
      <w:r w:rsidRPr="00F51FA1">
        <w:rPr>
          <w:rFonts w:ascii="Abadi" w:eastAsia="Calibri" w:hAnsi="Abadi" w:cs="*Arial-6429-Identity-H"/>
          <w:color w:val="0D0C0F"/>
          <w:sz w:val="21"/>
          <w:szCs w:val="21"/>
          <w:lang w:val="es-MX" w:eastAsia="en-US"/>
        </w:rPr>
        <w:t>recomendaciones se comprometió a realizar acciones en un plazo futuro para su</w:t>
      </w:r>
      <w:r w:rsidRPr="00F51FA1">
        <w:rPr>
          <w:rFonts w:ascii="Abadi" w:eastAsia="Calibri" w:hAnsi="Abadi" w:cs="*Arial-7900-Identity-H"/>
          <w:color w:val="0C0C0F"/>
          <w:sz w:val="21"/>
          <w:szCs w:val="21"/>
          <w:lang w:val="es-MX" w:eastAsia="en-US"/>
        </w:rPr>
        <w:t xml:space="preserve"> </w:t>
      </w:r>
      <w:r w:rsidRPr="00F51FA1">
        <w:rPr>
          <w:rFonts w:ascii="Abadi" w:eastAsia="Calibri" w:hAnsi="Abadi" w:cs="*Arial-6429-Identity-H"/>
          <w:color w:val="0D0C0F"/>
          <w:sz w:val="21"/>
          <w:szCs w:val="21"/>
          <w:lang w:val="es-MX" w:eastAsia="en-US"/>
        </w:rPr>
        <w:t>atención; mientras que en 4 recomendaciones persistió lo recomendado, debido a</w:t>
      </w:r>
      <w:r w:rsidRPr="00F51FA1">
        <w:rPr>
          <w:rFonts w:ascii="Abadi" w:eastAsia="Calibri" w:hAnsi="Abadi" w:cs="*Arial-7900-Identity-H"/>
          <w:color w:val="0C0C0F"/>
          <w:sz w:val="21"/>
          <w:szCs w:val="21"/>
          <w:lang w:val="es-MX" w:eastAsia="en-US"/>
        </w:rPr>
        <w:t xml:space="preserve"> </w:t>
      </w:r>
      <w:r w:rsidRPr="00F51FA1">
        <w:rPr>
          <w:rFonts w:ascii="Abadi" w:eastAsia="Calibri" w:hAnsi="Abadi" w:cs="*Arial-6429-Identity-H"/>
          <w:color w:val="0D0C0F"/>
          <w:sz w:val="21"/>
          <w:szCs w:val="21"/>
          <w:lang w:val="es-MX" w:eastAsia="en-US"/>
        </w:rPr>
        <w:t>que las evidencias proporcionadas resultaron insuficientes para atenderlas. A</w:t>
      </w:r>
      <w:r w:rsidRPr="00F51FA1">
        <w:rPr>
          <w:rFonts w:ascii="Abadi" w:eastAsia="Calibri" w:hAnsi="Abadi" w:cs="*Arial-7900-Identity-H"/>
          <w:color w:val="0C0C0F"/>
          <w:sz w:val="21"/>
          <w:szCs w:val="21"/>
          <w:lang w:val="es-MX" w:eastAsia="en-US"/>
        </w:rPr>
        <w:t xml:space="preserve"> </w:t>
      </w:r>
      <w:r w:rsidRPr="00F51FA1">
        <w:rPr>
          <w:rFonts w:ascii="Abadi" w:eastAsia="Calibri" w:hAnsi="Abadi" w:cs="*Arial-6429-Identity-H"/>
          <w:color w:val="0D0C0F"/>
          <w:sz w:val="21"/>
          <w:szCs w:val="21"/>
          <w:lang w:val="es-MX" w:eastAsia="en-US"/>
        </w:rPr>
        <w:t>dichas recomendaciones dará seguimiento el Órgano Técnico en la etapa</w:t>
      </w:r>
      <w:r w:rsidRPr="00F51FA1">
        <w:rPr>
          <w:rFonts w:ascii="Abadi" w:eastAsia="Calibri" w:hAnsi="Abadi" w:cs="*Arial-7900-Identity-H"/>
          <w:color w:val="0C0C0F"/>
          <w:sz w:val="21"/>
          <w:szCs w:val="21"/>
          <w:lang w:val="es-MX" w:eastAsia="en-US"/>
        </w:rPr>
        <w:t xml:space="preserve"> </w:t>
      </w:r>
      <w:r w:rsidRPr="00F51FA1">
        <w:rPr>
          <w:rFonts w:ascii="Abadi" w:eastAsia="Calibri" w:hAnsi="Abadi" w:cs="*Arial-6429-Identity-H"/>
          <w:color w:val="0D0C0F"/>
          <w:sz w:val="21"/>
          <w:szCs w:val="21"/>
          <w:lang w:val="es-MX" w:eastAsia="en-US"/>
        </w:rPr>
        <w:t>correspondiente, de conformidad con el ordenamiento legal respectivo.</w:t>
      </w:r>
    </w:p>
    <w:p w14:paraId="7D10E2F1" w14:textId="77777777" w:rsidR="00F51FA1" w:rsidRPr="00F51FA1" w:rsidRDefault="00F51FA1" w:rsidP="00F51FA1">
      <w:pPr>
        <w:autoSpaceDE w:val="0"/>
        <w:autoSpaceDN w:val="0"/>
        <w:adjustRightInd w:val="0"/>
        <w:rPr>
          <w:rFonts w:ascii="Abadi" w:eastAsia="Calibri" w:hAnsi="Abadi" w:cs="*Arial-7900-Identity-H"/>
          <w:color w:val="0C0C0F"/>
          <w:sz w:val="21"/>
          <w:szCs w:val="21"/>
          <w:lang w:val="es-MX" w:eastAsia="en-US"/>
        </w:rPr>
      </w:pPr>
    </w:p>
    <w:p w14:paraId="0BDF37D5" w14:textId="77777777" w:rsidR="00F51FA1" w:rsidRPr="00F51FA1" w:rsidRDefault="00F51FA1" w:rsidP="00F51FA1">
      <w:pPr>
        <w:autoSpaceDE w:val="0"/>
        <w:autoSpaceDN w:val="0"/>
        <w:adjustRightInd w:val="0"/>
        <w:rPr>
          <w:rFonts w:ascii="Abadi" w:eastAsia="Calibri" w:hAnsi="Abadi" w:cs="*Arial-Bold-6430-Identity-H"/>
          <w:b/>
          <w:bCs/>
          <w:color w:val="0C0C10"/>
          <w:sz w:val="21"/>
          <w:szCs w:val="21"/>
          <w:lang w:val="es-MX" w:eastAsia="en-US"/>
        </w:rPr>
      </w:pPr>
      <w:r w:rsidRPr="00F51FA1">
        <w:rPr>
          <w:rFonts w:ascii="Abadi" w:eastAsia="Calibri" w:hAnsi="Abadi" w:cs="*Arial-Bold-6430-Identity-H"/>
          <w:b/>
          <w:bCs/>
          <w:color w:val="0C0C10"/>
          <w:sz w:val="21"/>
          <w:szCs w:val="21"/>
          <w:lang w:val="es-MX" w:eastAsia="en-US"/>
        </w:rPr>
        <w:t>d) Conclusión General.</w:t>
      </w:r>
    </w:p>
    <w:p w14:paraId="0D6D98A9" w14:textId="77777777" w:rsidR="00F51FA1" w:rsidRPr="00F51FA1" w:rsidRDefault="00F51FA1" w:rsidP="00F51FA1">
      <w:pPr>
        <w:autoSpaceDE w:val="0"/>
        <w:autoSpaceDN w:val="0"/>
        <w:adjustRightInd w:val="0"/>
        <w:rPr>
          <w:rFonts w:ascii="Abadi" w:eastAsia="Calibri" w:hAnsi="Abadi" w:cs="*Arial-6429-Identity-H"/>
          <w:color w:val="0D0D0F"/>
          <w:sz w:val="21"/>
          <w:szCs w:val="21"/>
          <w:lang w:val="es-MX" w:eastAsia="en-US"/>
        </w:rPr>
      </w:pPr>
    </w:p>
    <w:p w14:paraId="40863A4D" w14:textId="77777777" w:rsidR="00F51FA1" w:rsidRPr="00F51FA1" w:rsidRDefault="00F51FA1" w:rsidP="0023684B">
      <w:pPr>
        <w:autoSpaceDE w:val="0"/>
        <w:autoSpaceDN w:val="0"/>
        <w:adjustRightInd w:val="0"/>
        <w:ind w:firstLine="708"/>
        <w:jc w:val="both"/>
        <w:rPr>
          <w:rFonts w:ascii="Abadi" w:eastAsia="Calibri" w:hAnsi="Abadi" w:cs="*Arial-6429-Identity-H"/>
          <w:color w:val="0D0D0F"/>
          <w:sz w:val="21"/>
          <w:szCs w:val="21"/>
          <w:lang w:val="es-MX" w:eastAsia="en-US"/>
        </w:rPr>
      </w:pPr>
      <w:r w:rsidRPr="00F51FA1">
        <w:rPr>
          <w:rFonts w:ascii="Abadi" w:eastAsia="Calibri" w:hAnsi="Abadi" w:cs="*Arial-6429-Identity-H"/>
          <w:color w:val="0D0D0F"/>
          <w:sz w:val="21"/>
          <w:szCs w:val="21"/>
          <w:lang w:val="es-MX" w:eastAsia="en-US"/>
        </w:rPr>
        <w:t>La Auditoría Superior del Estado concluyó que los servicios públicos se pueden entender como toda prestación concreta que tienda a satisfacer, de manera regular, continua y uniforme, las necesidades sociales de carácter general, básico o fundamental, en beneficio indiscriminado de toda la ciudadanía. De su adecuada prestación depende, en cierta medida, la calidad de vida de las personas.</w:t>
      </w:r>
    </w:p>
    <w:p w14:paraId="78776A92" w14:textId="77777777" w:rsidR="00F51FA1" w:rsidRPr="00F51FA1" w:rsidRDefault="00F51FA1" w:rsidP="00F51FA1">
      <w:pPr>
        <w:autoSpaceDE w:val="0"/>
        <w:autoSpaceDN w:val="0"/>
        <w:adjustRightInd w:val="0"/>
        <w:jc w:val="both"/>
        <w:rPr>
          <w:rFonts w:ascii="Abadi" w:eastAsia="Calibri" w:hAnsi="Abadi" w:cs="*Arial-6429-Identity-H"/>
          <w:color w:val="0D0C0E"/>
          <w:sz w:val="21"/>
          <w:szCs w:val="21"/>
          <w:lang w:val="es-MX" w:eastAsia="en-US"/>
        </w:rPr>
      </w:pPr>
    </w:p>
    <w:p w14:paraId="184051A3" w14:textId="0B2D90D8" w:rsidR="00F51FA1" w:rsidRPr="00F51FA1" w:rsidRDefault="00F51FA1" w:rsidP="0023684B">
      <w:pPr>
        <w:autoSpaceDE w:val="0"/>
        <w:autoSpaceDN w:val="0"/>
        <w:adjustRightInd w:val="0"/>
        <w:ind w:firstLine="708"/>
        <w:jc w:val="both"/>
        <w:rPr>
          <w:rFonts w:ascii="Abadi" w:eastAsia="Calibri" w:hAnsi="Abadi" w:cs="*Arial-6429-Identity-H"/>
          <w:color w:val="0D0C0E"/>
          <w:sz w:val="21"/>
          <w:szCs w:val="21"/>
          <w:lang w:val="es-MX" w:eastAsia="en-US"/>
        </w:rPr>
      </w:pPr>
      <w:r w:rsidRPr="00F51FA1">
        <w:rPr>
          <w:rFonts w:ascii="Abadi" w:eastAsia="Calibri" w:hAnsi="Abadi" w:cs="*Arial-6429-Identity-H"/>
          <w:color w:val="0D0C0E"/>
          <w:sz w:val="21"/>
          <w:szCs w:val="21"/>
          <w:lang w:val="es-MX" w:eastAsia="en-US"/>
        </w:rPr>
        <w:t>De igual forma, se refiere que el artículo 115, fracción</w:t>
      </w:r>
      <w:r w:rsidR="004818C3">
        <w:rPr>
          <w:rFonts w:ascii="Abadi" w:eastAsia="Calibri" w:hAnsi="Abadi" w:cs="*Arial-6429-Identity-H"/>
          <w:color w:val="0D0C0E"/>
          <w:sz w:val="21"/>
          <w:szCs w:val="21"/>
          <w:lang w:val="es-MX" w:eastAsia="en-US"/>
        </w:rPr>
        <w:t xml:space="preserve"> III</w:t>
      </w:r>
      <w:r w:rsidRPr="00F51FA1">
        <w:rPr>
          <w:rFonts w:ascii="Abadi" w:eastAsia="Calibri" w:hAnsi="Abadi" w:cs="*Arial-6429-Identity-H"/>
          <w:color w:val="0D0C0E"/>
          <w:sz w:val="21"/>
          <w:szCs w:val="21"/>
          <w:lang w:val="es-MX" w:eastAsia="en-US"/>
        </w:rPr>
        <w:t>, inciso b, de la Constitución Política de los Estados Unidos Mexicanos establece al alumbrado público como uno de los servicios públicos que los municipios tienen a su cargo. Por su parte, a nivel local, en el artículo 117 de la Constitución Política para el Estado de Guanajuato se dispone la misma responsabilidad para este ámbito de gobierno.</w:t>
      </w:r>
    </w:p>
    <w:p w14:paraId="76889195" w14:textId="77777777" w:rsidR="00F51FA1" w:rsidRPr="00F51FA1" w:rsidRDefault="00F51FA1" w:rsidP="00F51FA1">
      <w:pPr>
        <w:autoSpaceDE w:val="0"/>
        <w:autoSpaceDN w:val="0"/>
        <w:adjustRightInd w:val="0"/>
        <w:jc w:val="both"/>
        <w:rPr>
          <w:rFonts w:ascii="Abadi" w:eastAsia="Calibri" w:hAnsi="Abadi" w:cs="*Arial-6429-Identity-H"/>
          <w:color w:val="0C0B0E"/>
          <w:sz w:val="21"/>
          <w:szCs w:val="21"/>
          <w:lang w:val="es-MX" w:eastAsia="en-US"/>
        </w:rPr>
      </w:pPr>
    </w:p>
    <w:p w14:paraId="70460A3F" w14:textId="77777777" w:rsidR="00F51FA1" w:rsidRPr="00F51FA1" w:rsidRDefault="00F51FA1" w:rsidP="007772B3">
      <w:pPr>
        <w:autoSpaceDE w:val="0"/>
        <w:autoSpaceDN w:val="0"/>
        <w:adjustRightInd w:val="0"/>
        <w:ind w:firstLine="708"/>
        <w:jc w:val="both"/>
        <w:rPr>
          <w:rFonts w:ascii="Abadi" w:eastAsia="Calibri" w:hAnsi="Abadi" w:cs="*Arial-6429-Identity-H"/>
          <w:color w:val="0C0B0E"/>
          <w:sz w:val="21"/>
          <w:szCs w:val="21"/>
          <w:lang w:val="es-MX" w:eastAsia="en-US"/>
        </w:rPr>
      </w:pPr>
      <w:r w:rsidRPr="00F51FA1">
        <w:rPr>
          <w:rFonts w:ascii="Abadi" w:eastAsia="Calibri" w:hAnsi="Abadi" w:cs="*Arial-6429-Identity-H"/>
          <w:color w:val="0C0B0E"/>
          <w:sz w:val="21"/>
          <w:szCs w:val="21"/>
          <w:lang w:val="es-MX" w:eastAsia="en-US"/>
        </w:rPr>
        <w:t>En este sentido, el alumbrado público es un servicio que tiene como objetivo el desarrollo de un entorno cómodo y seguro para facilitar la movilidad de la población, el disfrute de la ciudad, del patrimonio cultural y de los espacios públicos; a su vez, mantiene una estrecha relación con la creación de condiciones de seguridad en la vida cotidiana de la población, esto último por considerase un factor que contribuye a reducir la percepción de inseguridad.</w:t>
      </w:r>
    </w:p>
    <w:p w14:paraId="4A03FC4F" w14:textId="77777777" w:rsidR="00F51FA1" w:rsidRPr="00F51FA1" w:rsidRDefault="00F51FA1" w:rsidP="00F51FA1">
      <w:pPr>
        <w:autoSpaceDE w:val="0"/>
        <w:autoSpaceDN w:val="0"/>
        <w:adjustRightInd w:val="0"/>
        <w:jc w:val="both"/>
        <w:rPr>
          <w:rFonts w:ascii="Abadi" w:eastAsia="Calibri" w:hAnsi="Abadi" w:cs="*Arial-6429-Identity-H"/>
          <w:color w:val="0C0C0E"/>
          <w:sz w:val="21"/>
          <w:szCs w:val="21"/>
          <w:lang w:val="es-MX" w:eastAsia="en-US"/>
        </w:rPr>
      </w:pPr>
    </w:p>
    <w:p w14:paraId="15F3526C" w14:textId="77777777" w:rsidR="00F51FA1" w:rsidRPr="00F51FA1" w:rsidRDefault="00F51FA1" w:rsidP="007772B3">
      <w:pPr>
        <w:autoSpaceDE w:val="0"/>
        <w:autoSpaceDN w:val="0"/>
        <w:adjustRightInd w:val="0"/>
        <w:ind w:firstLine="708"/>
        <w:jc w:val="both"/>
        <w:rPr>
          <w:rFonts w:ascii="Abadi" w:eastAsia="Calibri" w:hAnsi="Abadi" w:cs="*Arial-6429-Identity-H"/>
          <w:color w:val="0C0C0E"/>
          <w:sz w:val="21"/>
          <w:szCs w:val="21"/>
          <w:lang w:val="es-MX" w:eastAsia="en-US"/>
        </w:rPr>
      </w:pPr>
      <w:r w:rsidRPr="00F51FA1">
        <w:rPr>
          <w:rFonts w:ascii="Abadi" w:eastAsia="Calibri" w:hAnsi="Abadi" w:cs="*Arial-6429-Identity-H"/>
          <w:color w:val="0C0C0E"/>
          <w:sz w:val="21"/>
          <w:szCs w:val="21"/>
          <w:lang w:val="es-MX" w:eastAsia="en-US"/>
        </w:rPr>
        <w:t>Derivado de lo anterior, el adecuado desempeño de los servicios públicos incide en la calidad de vida de los habitantes y, por ello, es conveniente que se administre bajo modelos de gestión orientados a los resultados que garanticen su adecuada operación, permanencia, continuidad, uniformidad e igualdad ante los usuarios, asegurando una cobertura integral y una oferta al alcance de la población municipal que lo requiera.</w:t>
      </w:r>
    </w:p>
    <w:p w14:paraId="32ADA60B" w14:textId="77777777" w:rsidR="00F51FA1" w:rsidRPr="00F51FA1" w:rsidRDefault="00F51FA1" w:rsidP="00F51FA1">
      <w:pPr>
        <w:autoSpaceDE w:val="0"/>
        <w:autoSpaceDN w:val="0"/>
        <w:adjustRightInd w:val="0"/>
        <w:jc w:val="both"/>
        <w:rPr>
          <w:rFonts w:ascii="Abadi" w:eastAsia="Calibri" w:hAnsi="Abadi" w:cs="*Calibri-Bold-7539-Identity-H"/>
          <w:b/>
          <w:bCs/>
          <w:color w:val="27272D"/>
          <w:sz w:val="21"/>
          <w:szCs w:val="21"/>
          <w:lang w:val="es-MX" w:eastAsia="en-US"/>
        </w:rPr>
      </w:pPr>
    </w:p>
    <w:p w14:paraId="4AC7BF4C" w14:textId="77777777" w:rsidR="00F51FA1" w:rsidRPr="00F51FA1" w:rsidRDefault="00F51FA1" w:rsidP="007772B3">
      <w:pPr>
        <w:autoSpaceDE w:val="0"/>
        <w:autoSpaceDN w:val="0"/>
        <w:adjustRightInd w:val="0"/>
        <w:ind w:firstLine="708"/>
        <w:jc w:val="both"/>
        <w:rPr>
          <w:rFonts w:ascii="Abadi" w:eastAsia="Calibri" w:hAnsi="Abadi" w:cs="*Arial-7540-Identity-H"/>
          <w:color w:val="0C0C0F"/>
          <w:sz w:val="21"/>
          <w:szCs w:val="21"/>
          <w:lang w:val="es-MX" w:eastAsia="en-US"/>
        </w:rPr>
      </w:pPr>
      <w:r w:rsidRPr="00F51FA1">
        <w:rPr>
          <w:rFonts w:ascii="Abadi" w:eastAsia="Calibri" w:hAnsi="Abadi" w:cs="*Arial-7540-Identity-H"/>
          <w:color w:val="0C0C0F"/>
          <w:sz w:val="21"/>
          <w:szCs w:val="21"/>
          <w:lang w:val="es-MX" w:eastAsia="en-US"/>
        </w:rPr>
        <w:t xml:space="preserve">Es así que en el caso que nos ocupa, se definió el objetivo general de la auditoria con el propósito de verificar la capacidad del municipio de San Diego de la Unión, </w:t>
      </w:r>
      <w:proofErr w:type="spellStart"/>
      <w:r w:rsidRPr="00F51FA1">
        <w:rPr>
          <w:rFonts w:ascii="Abadi" w:eastAsia="Calibri" w:hAnsi="Abadi" w:cs="*Arial-7540-Identity-H"/>
          <w:color w:val="0C0C0F"/>
          <w:sz w:val="21"/>
          <w:szCs w:val="21"/>
          <w:lang w:val="es-MX" w:eastAsia="en-US"/>
        </w:rPr>
        <w:t>Gto</w:t>
      </w:r>
      <w:proofErr w:type="spellEnd"/>
      <w:r w:rsidRPr="00F51FA1">
        <w:rPr>
          <w:rFonts w:ascii="Abadi" w:eastAsia="Calibri" w:hAnsi="Abadi" w:cs="*Arial-7540-Identity-H"/>
          <w:color w:val="0C0C0F"/>
          <w:sz w:val="21"/>
          <w:szCs w:val="21"/>
          <w:lang w:val="es-MX" w:eastAsia="en-US"/>
        </w:rPr>
        <w:t>., para lograr una prestación eficaz del servicio de alumbrado público a su población, así como de conocer si las funciones de planificación, operación y seguimiento se desarrollaron bajo el principio de eficiencia, ya que de ello depende el grado de satisfacción de la comunidad.</w:t>
      </w:r>
    </w:p>
    <w:p w14:paraId="6C02B580" w14:textId="77777777" w:rsidR="00F51FA1" w:rsidRPr="00F51FA1" w:rsidRDefault="00F51FA1" w:rsidP="00F51FA1">
      <w:pPr>
        <w:autoSpaceDE w:val="0"/>
        <w:autoSpaceDN w:val="0"/>
        <w:adjustRightInd w:val="0"/>
        <w:jc w:val="both"/>
        <w:rPr>
          <w:rFonts w:ascii="Abadi" w:eastAsia="Calibri" w:hAnsi="Abadi" w:cs="*Arial-7540-Identity-H"/>
          <w:color w:val="0C0C0F"/>
          <w:sz w:val="21"/>
          <w:szCs w:val="21"/>
          <w:lang w:val="es-MX" w:eastAsia="en-US"/>
        </w:rPr>
      </w:pPr>
    </w:p>
    <w:p w14:paraId="3EF9E91C" w14:textId="77777777" w:rsidR="00F51FA1" w:rsidRPr="00F51FA1" w:rsidRDefault="00F51FA1" w:rsidP="007772B3">
      <w:pPr>
        <w:autoSpaceDE w:val="0"/>
        <w:autoSpaceDN w:val="0"/>
        <w:adjustRightInd w:val="0"/>
        <w:ind w:firstLine="708"/>
        <w:jc w:val="both"/>
        <w:rPr>
          <w:rFonts w:ascii="Abadi" w:eastAsia="Calibri" w:hAnsi="Abadi" w:cs="*Arial-7540-Identity-H"/>
          <w:color w:val="0C0C0F"/>
          <w:sz w:val="21"/>
          <w:szCs w:val="21"/>
          <w:lang w:val="es-MX" w:eastAsia="en-US"/>
        </w:rPr>
      </w:pPr>
      <w:r w:rsidRPr="00F51FA1">
        <w:rPr>
          <w:rFonts w:ascii="Abadi" w:eastAsia="Calibri" w:hAnsi="Abadi" w:cs="*Arial-7540-Identity-H"/>
          <w:color w:val="0C0C0F"/>
          <w:sz w:val="21"/>
          <w:szCs w:val="21"/>
          <w:lang w:val="es-MX" w:eastAsia="en-US"/>
        </w:rPr>
        <w:t>Para su consecución, las labores de la Auditoría Superior del Estado consideraron la verificación de la existencia de procesos diagnósticos o de planificación que permitieran a la administración municipal conocer la oferta del servicio y las brechas por cubrir, definir la estimación de recursos para una adecuada operación y la definición de metas y objetivos orientados a la mejora del servicio; respecto de la operación, se consideró la verificación del establecimiento de un marco normativo adecuado y vigente, la programación de actividades y su consecución, los mecanismos de atención ciudadana para el reporte de fallas y los resultados en la cobertura, mantenimiento y satisfacción. También se revisaron los mecanismos de monitoreo y evaluación, con el objetivo de analizar el desempeño del Municipio en el otorgamiento del servicio, y verificar la eficiencia y la eficacia del alumbrado público municipal en beneficio de la ciudadanía.</w:t>
      </w:r>
    </w:p>
    <w:p w14:paraId="1470A985" w14:textId="77777777" w:rsidR="00F51FA1" w:rsidRPr="00F51FA1" w:rsidRDefault="00F51FA1" w:rsidP="00F51FA1">
      <w:pPr>
        <w:autoSpaceDE w:val="0"/>
        <w:autoSpaceDN w:val="0"/>
        <w:adjustRightInd w:val="0"/>
        <w:jc w:val="both"/>
        <w:rPr>
          <w:rFonts w:ascii="Abadi" w:eastAsia="Calibri" w:hAnsi="Abadi" w:cs="*Arial-7540-Identity-H"/>
          <w:color w:val="0D0C0F"/>
          <w:sz w:val="21"/>
          <w:szCs w:val="21"/>
          <w:lang w:val="es-MX" w:eastAsia="en-US"/>
        </w:rPr>
      </w:pPr>
    </w:p>
    <w:p w14:paraId="41241EB2" w14:textId="77777777" w:rsidR="00F51FA1" w:rsidRPr="00F51FA1" w:rsidRDefault="00F51FA1" w:rsidP="007772B3">
      <w:pPr>
        <w:autoSpaceDE w:val="0"/>
        <w:autoSpaceDN w:val="0"/>
        <w:adjustRightInd w:val="0"/>
        <w:ind w:firstLine="708"/>
        <w:jc w:val="both"/>
        <w:rPr>
          <w:rFonts w:ascii="Abadi" w:eastAsia="Calibri" w:hAnsi="Abadi" w:cs="*Arial-7540-Identity-H"/>
          <w:color w:val="0D0C0F"/>
          <w:sz w:val="21"/>
          <w:szCs w:val="21"/>
          <w:lang w:val="es-MX" w:eastAsia="en-US"/>
        </w:rPr>
      </w:pPr>
      <w:r w:rsidRPr="00F51FA1">
        <w:rPr>
          <w:rFonts w:ascii="Abadi" w:eastAsia="Calibri" w:hAnsi="Abadi" w:cs="*Arial-7540-Identity-H"/>
          <w:color w:val="0D0C0F"/>
          <w:sz w:val="21"/>
          <w:szCs w:val="21"/>
          <w:lang w:val="es-MX" w:eastAsia="en-US"/>
        </w:rPr>
        <w:t xml:space="preserve">Asimismo, se hace constar que la administración pública municipal de San Diego de la Unión, </w:t>
      </w:r>
      <w:proofErr w:type="spellStart"/>
      <w:r w:rsidRPr="00F51FA1">
        <w:rPr>
          <w:rFonts w:ascii="Abadi" w:eastAsia="Calibri" w:hAnsi="Abadi" w:cs="*Arial-7540-Identity-H"/>
          <w:color w:val="0D0C0F"/>
          <w:sz w:val="21"/>
          <w:szCs w:val="21"/>
          <w:lang w:val="es-MX" w:eastAsia="en-US"/>
        </w:rPr>
        <w:t>Gto</w:t>
      </w:r>
      <w:proofErr w:type="spellEnd"/>
      <w:r w:rsidRPr="00F51FA1">
        <w:rPr>
          <w:rFonts w:ascii="Abadi" w:eastAsia="Calibri" w:hAnsi="Abadi" w:cs="*Arial-7540-Identity-H"/>
          <w:color w:val="0D0C0F"/>
          <w:sz w:val="21"/>
          <w:szCs w:val="21"/>
          <w:lang w:val="es-MX" w:eastAsia="en-US"/>
        </w:rPr>
        <w:t>., en los documentos de planeación de mediano y largo plazo, consideró el tema de alumbrado público como un asunto prioritario y de atención inmediata para el Municipio, al contemplar en sus tópicos el ahorro de energía eléctrica, el incremento de la cobertura de la infraestructura municipal, así como la sustitución de luminarias por tecnología LEO. No obstante, la gestión del servicio presentó áreas de oportunidad.</w:t>
      </w:r>
    </w:p>
    <w:p w14:paraId="21BA622A" w14:textId="77777777" w:rsidR="00F51FA1" w:rsidRPr="00F51FA1" w:rsidRDefault="00F51FA1" w:rsidP="00F51FA1">
      <w:pPr>
        <w:autoSpaceDE w:val="0"/>
        <w:autoSpaceDN w:val="0"/>
        <w:adjustRightInd w:val="0"/>
        <w:jc w:val="both"/>
        <w:rPr>
          <w:rFonts w:ascii="Abadi" w:eastAsia="Calibri" w:hAnsi="Abadi" w:cs="*Arial-7540-Identity-H"/>
          <w:color w:val="0C0B0E"/>
          <w:sz w:val="21"/>
          <w:szCs w:val="21"/>
          <w:lang w:val="es-MX" w:eastAsia="en-US"/>
        </w:rPr>
      </w:pPr>
    </w:p>
    <w:p w14:paraId="0654B463" w14:textId="6E1A65C3" w:rsidR="00F51FA1" w:rsidRDefault="00F51FA1" w:rsidP="007772B3">
      <w:pPr>
        <w:autoSpaceDE w:val="0"/>
        <w:autoSpaceDN w:val="0"/>
        <w:adjustRightInd w:val="0"/>
        <w:ind w:firstLine="708"/>
        <w:jc w:val="both"/>
        <w:rPr>
          <w:rFonts w:ascii="Abadi" w:eastAsia="Calibri" w:hAnsi="Abadi" w:cs="*Arial-7540-Identity-H"/>
          <w:color w:val="0C0B0E"/>
          <w:sz w:val="21"/>
          <w:szCs w:val="21"/>
          <w:lang w:val="es-MX" w:eastAsia="en-US"/>
        </w:rPr>
      </w:pPr>
      <w:r w:rsidRPr="00F51FA1">
        <w:rPr>
          <w:rFonts w:ascii="Abadi" w:eastAsia="Calibri" w:hAnsi="Abadi" w:cs="*Arial-7540-Identity-H"/>
          <w:color w:val="0C0B0E"/>
          <w:sz w:val="21"/>
          <w:szCs w:val="21"/>
          <w:lang w:val="es-MX" w:eastAsia="en-US"/>
        </w:rPr>
        <w:t>En cuanto a la gestión de la planificación se verificó que las actividades llevadas a cabo por el sujeto fiscalizado tuvieron como punto de partida el inventario de luminarias para el ejercicio 2018, el cual permitió identificar 3,517 lámparas, las zonas de su ubicación y el tipo de tecnología, que formaron parte del servicio de alumbrado público brindado, sin embargo, el inventario no se encontraba actualizado y tampoco incluyó información que divulgara el estado de funcionamiento, ni las condiciones físicas y operativas en las que se encontraba cada dispositivo; por lo que se determinó que cuenta con un área de oportunidad para generar datos actualizados que le permitan conocer la situación del Municipio de forma integral, a fin de definir estrategias que le permitan brindar un mejor servicio a la población.</w:t>
      </w:r>
    </w:p>
    <w:p w14:paraId="05BEEBFF" w14:textId="77777777" w:rsidR="004818C3" w:rsidRPr="00F51FA1" w:rsidRDefault="004818C3" w:rsidP="007772B3">
      <w:pPr>
        <w:autoSpaceDE w:val="0"/>
        <w:autoSpaceDN w:val="0"/>
        <w:adjustRightInd w:val="0"/>
        <w:ind w:firstLine="708"/>
        <w:jc w:val="both"/>
        <w:rPr>
          <w:rFonts w:ascii="Abadi" w:eastAsia="Calibri" w:hAnsi="Abadi" w:cs="*Arial-7540-Identity-H"/>
          <w:color w:val="0C0B0E"/>
          <w:sz w:val="21"/>
          <w:szCs w:val="21"/>
          <w:lang w:val="es-MX" w:eastAsia="en-US"/>
        </w:rPr>
      </w:pPr>
    </w:p>
    <w:p w14:paraId="56C5E623" w14:textId="0C04E9E5" w:rsidR="00F51FA1" w:rsidRPr="00F51FA1" w:rsidRDefault="00F51FA1" w:rsidP="007772B3">
      <w:pPr>
        <w:autoSpaceDE w:val="0"/>
        <w:autoSpaceDN w:val="0"/>
        <w:adjustRightInd w:val="0"/>
        <w:ind w:firstLine="708"/>
        <w:jc w:val="both"/>
        <w:rPr>
          <w:rFonts w:ascii="Abadi" w:eastAsia="Calibri" w:hAnsi="Abadi" w:cs="*Arial-8339-Identity-H"/>
          <w:color w:val="0C0C0F"/>
          <w:sz w:val="21"/>
          <w:szCs w:val="21"/>
          <w:lang w:val="es-MX" w:eastAsia="en-US"/>
        </w:rPr>
      </w:pPr>
      <w:r w:rsidRPr="00F51FA1">
        <w:rPr>
          <w:rFonts w:ascii="Abadi" w:eastAsia="Calibri" w:hAnsi="Abadi" w:cs="*Arial-8339-Identity-H"/>
          <w:color w:val="0C0C0F"/>
          <w:sz w:val="21"/>
          <w:szCs w:val="21"/>
          <w:lang w:val="es-MX" w:eastAsia="en-US"/>
        </w:rPr>
        <w:t xml:space="preserve">Por lo que hace a la operación del </w:t>
      </w:r>
      <w:r w:rsidR="003808BB">
        <w:rPr>
          <w:rFonts w:ascii="Abadi" w:eastAsia="Calibri" w:hAnsi="Abadi" w:cs="*Arial-8339-Identity-H"/>
          <w:color w:val="0C0C0F"/>
          <w:sz w:val="21"/>
          <w:szCs w:val="21"/>
          <w:lang w:val="es-MX" w:eastAsia="en-US"/>
        </w:rPr>
        <w:t xml:space="preserve">servicio </w:t>
      </w:r>
      <w:r w:rsidRPr="00F51FA1">
        <w:rPr>
          <w:rFonts w:ascii="Abadi" w:eastAsia="Calibri" w:hAnsi="Abadi" w:cs="*Arial-8339-Identity-H"/>
          <w:color w:val="0C0C0F"/>
          <w:sz w:val="21"/>
          <w:szCs w:val="21"/>
          <w:lang w:val="es-MX" w:eastAsia="en-US"/>
        </w:rPr>
        <w:t>de alumbrado público, se reconoce que su finalidad es su eficiente y eficaz funcionamiento, de lo cual depende la definición clara de procesos clave y documentos normativos que garanticen su operatividad; de contar con programas anuales orientados a la mejora y de brindar un servicio y una atención de calidad a la población. En este sentido, el sujeto fiscalizado en el ejercicio 2020, careció de un marco normativo sólido para regular la prestación del servicio de alumbrado público; sin embargo, para el ejercicio 2021 contó con el Reglamento Orgánico de la Administración Pública Municipal de San Diego de la Unión, en el que se establecen las atribuciones generales de la Dirección de Servicios Públicos Municipales, por lo cual se considera necesario que el sujeto fiscalizado promueva el fortalecimiento de su reglamento orgánico, o bien la elaboración de un reglamento específico del servicio de alumbrado público, a efecto de establecer las bases para su regulación, organización y estructura que garanticen la prestación del servicio, desde su planeación, instalación, monitoreo, mantenimiento y hasta las actividades que se pretenden realizar para su modernización</w:t>
      </w:r>
    </w:p>
    <w:p w14:paraId="011AB23F" w14:textId="77777777" w:rsidR="00F51FA1" w:rsidRPr="00F51FA1" w:rsidRDefault="00F51FA1" w:rsidP="00F51FA1">
      <w:pPr>
        <w:autoSpaceDE w:val="0"/>
        <w:autoSpaceDN w:val="0"/>
        <w:adjustRightInd w:val="0"/>
        <w:rPr>
          <w:rFonts w:ascii="Abadi" w:eastAsia="Calibri" w:hAnsi="Abadi" w:cs="*Arial-8339-Identity-H"/>
          <w:color w:val="0C0C0E"/>
          <w:sz w:val="21"/>
          <w:szCs w:val="21"/>
          <w:lang w:val="es-MX" w:eastAsia="en-US"/>
        </w:rPr>
      </w:pPr>
    </w:p>
    <w:p w14:paraId="7834D314" w14:textId="77777777" w:rsidR="00F51FA1" w:rsidRPr="00F51FA1" w:rsidRDefault="00F51FA1" w:rsidP="007772B3">
      <w:pPr>
        <w:autoSpaceDE w:val="0"/>
        <w:autoSpaceDN w:val="0"/>
        <w:adjustRightInd w:val="0"/>
        <w:ind w:firstLine="708"/>
        <w:jc w:val="both"/>
        <w:rPr>
          <w:rFonts w:ascii="Abadi" w:eastAsia="Calibri" w:hAnsi="Abadi" w:cs="*Arial-Italic-8340-Identity-H"/>
          <w:i/>
          <w:iCs/>
          <w:color w:val="0C0C0E"/>
          <w:sz w:val="21"/>
          <w:szCs w:val="21"/>
          <w:lang w:val="es-MX" w:eastAsia="en-US"/>
        </w:rPr>
      </w:pPr>
      <w:r w:rsidRPr="00F51FA1">
        <w:rPr>
          <w:rFonts w:ascii="Abadi" w:eastAsia="Calibri" w:hAnsi="Abadi" w:cs="*Arial-8339-Identity-H"/>
          <w:color w:val="0C0C0E"/>
          <w:sz w:val="21"/>
          <w:szCs w:val="21"/>
          <w:lang w:val="es-MX" w:eastAsia="en-US"/>
        </w:rPr>
        <w:t xml:space="preserve">De igual forma, acreditó contar con el </w:t>
      </w:r>
      <w:r w:rsidRPr="00F51FA1">
        <w:rPr>
          <w:rFonts w:ascii="Abadi" w:eastAsia="Calibri" w:hAnsi="Abadi" w:cs="*Arial-Italic-8340-Identity-H"/>
          <w:i/>
          <w:iCs/>
          <w:color w:val="0C0C0E"/>
          <w:sz w:val="21"/>
          <w:szCs w:val="21"/>
          <w:lang w:val="es-MX" w:eastAsia="en-US"/>
        </w:rPr>
        <w:t xml:space="preserve">Manual de Organización. Dirección de Servicios Públicos Municipales, </w:t>
      </w:r>
      <w:r w:rsidRPr="00F51FA1">
        <w:rPr>
          <w:rFonts w:ascii="Abadi" w:eastAsia="Calibri" w:hAnsi="Abadi" w:cs="*Arial-8339-Identity-H"/>
          <w:color w:val="0C0C0E"/>
          <w:sz w:val="21"/>
          <w:szCs w:val="21"/>
          <w:lang w:val="es-MX" w:eastAsia="en-US"/>
        </w:rPr>
        <w:t>en el que se describen la unidad responsable, el</w:t>
      </w:r>
      <w:r w:rsidRPr="00F51FA1">
        <w:rPr>
          <w:rFonts w:ascii="Abadi" w:eastAsia="Calibri" w:hAnsi="Abadi" w:cs="*Arial-Italic-8340-Identity-H"/>
          <w:i/>
          <w:iCs/>
          <w:color w:val="0C0C0E"/>
          <w:sz w:val="21"/>
          <w:szCs w:val="21"/>
          <w:lang w:val="es-MX" w:eastAsia="en-US"/>
        </w:rPr>
        <w:t xml:space="preserve"> </w:t>
      </w:r>
      <w:r w:rsidRPr="00F51FA1">
        <w:rPr>
          <w:rFonts w:ascii="Abadi" w:eastAsia="Calibri" w:hAnsi="Abadi" w:cs="*Arial-8339-Identity-H"/>
          <w:color w:val="0C0C0E"/>
          <w:sz w:val="21"/>
          <w:szCs w:val="21"/>
          <w:lang w:val="es-MX" w:eastAsia="en-US"/>
        </w:rPr>
        <w:t>objetivo general, el marco normativo y su estructura orgánica, haciendo un</w:t>
      </w:r>
      <w:r w:rsidRPr="00F51FA1">
        <w:rPr>
          <w:rFonts w:ascii="Abadi" w:eastAsia="Calibri" w:hAnsi="Abadi" w:cs="*Arial-Italic-8340-Identity-H"/>
          <w:i/>
          <w:iCs/>
          <w:color w:val="0C0C0E"/>
          <w:sz w:val="21"/>
          <w:szCs w:val="21"/>
          <w:lang w:val="es-MX" w:eastAsia="en-US"/>
        </w:rPr>
        <w:t xml:space="preserve"> </w:t>
      </w:r>
      <w:r w:rsidRPr="00F51FA1">
        <w:rPr>
          <w:rFonts w:ascii="Abadi" w:eastAsia="Calibri" w:hAnsi="Abadi" w:cs="*Arial-8339-Identity-H"/>
          <w:color w:val="0C0C0E"/>
          <w:sz w:val="21"/>
          <w:szCs w:val="21"/>
          <w:lang w:val="es-MX" w:eastAsia="en-US"/>
        </w:rPr>
        <w:t>señalamiento general de las atribuciones de la dirección; no obstante, cuenta con</w:t>
      </w:r>
      <w:r w:rsidRPr="00F51FA1">
        <w:rPr>
          <w:rFonts w:ascii="Abadi" w:eastAsia="Calibri" w:hAnsi="Abadi" w:cs="*Arial-Italic-8340-Identity-H"/>
          <w:i/>
          <w:iCs/>
          <w:color w:val="0C0C0E"/>
          <w:sz w:val="21"/>
          <w:szCs w:val="21"/>
          <w:lang w:val="es-MX" w:eastAsia="en-US"/>
        </w:rPr>
        <w:t xml:space="preserve"> </w:t>
      </w:r>
      <w:r w:rsidRPr="00F51FA1">
        <w:rPr>
          <w:rFonts w:ascii="Abadi" w:eastAsia="Calibri" w:hAnsi="Abadi" w:cs="*Arial-8339-Identity-H"/>
          <w:color w:val="0C0C0E"/>
          <w:sz w:val="21"/>
          <w:szCs w:val="21"/>
          <w:lang w:val="es-MX" w:eastAsia="en-US"/>
        </w:rPr>
        <w:t>áreas de oportunidad para su fortalecimiento como la inclusión de la fecha de</w:t>
      </w:r>
      <w:r w:rsidRPr="00F51FA1">
        <w:rPr>
          <w:rFonts w:ascii="Abadi" w:eastAsia="Calibri" w:hAnsi="Abadi" w:cs="*Arial-Italic-8340-Identity-H"/>
          <w:i/>
          <w:iCs/>
          <w:color w:val="0C0C0E"/>
          <w:sz w:val="21"/>
          <w:szCs w:val="21"/>
          <w:lang w:val="es-MX" w:eastAsia="en-US"/>
        </w:rPr>
        <w:t xml:space="preserve"> </w:t>
      </w:r>
      <w:r w:rsidRPr="00F51FA1">
        <w:rPr>
          <w:rFonts w:ascii="Abadi" w:eastAsia="Calibri" w:hAnsi="Abadi" w:cs="*Arial-8339-Identity-H"/>
          <w:color w:val="0C0C0E"/>
          <w:sz w:val="21"/>
          <w:szCs w:val="21"/>
          <w:lang w:val="es-MX" w:eastAsia="en-US"/>
        </w:rPr>
        <w:t>elaboración, atribuciones normativas, así como los elementos de los procesos</w:t>
      </w:r>
      <w:r w:rsidRPr="00F51FA1">
        <w:rPr>
          <w:rFonts w:ascii="Abadi" w:eastAsia="Calibri" w:hAnsi="Abadi" w:cs="*Arial-Italic-8340-Identity-H"/>
          <w:i/>
          <w:iCs/>
          <w:color w:val="0C0C0E"/>
          <w:sz w:val="21"/>
          <w:szCs w:val="21"/>
          <w:lang w:val="es-MX" w:eastAsia="en-US"/>
        </w:rPr>
        <w:t xml:space="preserve"> </w:t>
      </w:r>
      <w:r w:rsidRPr="00F51FA1">
        <w:rPr>
          <w:rFonts w:ascii="Abadi" w:eastAsia="Calibri" w:hAnsi="Abadi" w:cs="*Arial-8339-Identity-H"/>
          <w:color w:val="0C0C0E"/>
          <w:sz w:val="21"/>
          <w:szCs w:val="21"/>
          <w:lang w:val="es-MX" w:eastAsia="en-US"/>
        </w:rPr>
        <w:t>como son su objetivo, desarrollo, diagramación, indicadores y los formatos e</w:t>
      </w:r>
      <w:r w:rsidRPr="00F51FA1">
        <w:rPr>
          <w:rFonts w:ascii="Abadi" w:eastAsia="Calibri" w:hAnsi="Abadi" w:cs="*Arial-Italic-8340-Identity-H"/>
          <w:i/>
          <w:iCs/>
          <w:color w:val="0C0C0E"/>
          <w:sz w:val="21"/>
          <w:szCs w:val="21"/>
          <w:lang w:val="es-MX" w:eastAsia="en-US"/>
        </w:rPr>
        <w:t xml:space="preserve"> </w:t>
      </w:r>
      <w:r w:rsidRPr="00F51FA1">
        <w:rPr>
          <w:rFonts w:ascii="Abadi" w:eastAsia="Calibri" w:hAnsi="Abadi" w:cs="*Arial-8339-Identity-H"/>
          <w:color w:val="0C0C0E"/>
          <w:sz w:val="21"/>
          <w:szCs w:val="21"/>
          <w:lang w:val="es-MX" w:eastAsia="en-US"/>
        </w:rPr>
        <w:t>instructivos, de todos los procesos clave para otorgar con eficiencia y eficacia el</w:t>
      </w:r>
      <w:r w:rsidRPr="00F51FA1">
        <w:rPr>
          <w:rFonts w:ascii="Abadi" w:eastAsia="Calibri" w:hAnsi="Abadi" w:cs="*Arial-Italic-8340-Identity-H"/>
          <w:i/>
          <w:iCs/>
          <w:color w:val="0C0C0E"/>
          <w:sz w:val="21"/>
          <w:szCs w:val="21"/>
          <w:lang w:val="es-MX" w:eastAsia="en-US"/>
        </w:rPr>
        <w:t xml:space="preserve"> </w:t>
      </w:r>
      <w:r w:rsidRPr="00F51FA1">
        <w:rPr>
          <w:rFonts w:ascii="Abadi" w:eastAsia="Calibri" w:hAnsi="Abadi" w:cs="*Arial-8339-Identity-H"/>
          <w:color w:val="0C0C0E"/>
          <w:sz w:val="21"/>
          <w:szCs w:val="21"/>
          <w:lang w:val="es-MX" w:eastAsia="en-US"/>
        </w:rPr>
        <w:t>servicio de alumbrado público a la población, considerando en su revisión la</w:t>
      </w:r>
      <w:r w:rsidRPr="00F51FA1">
        <w:rPr>
          <w:rFonts w:ascii="Abadi" w:eastAsia="Calibri" w:hAnsi="Abadi" w:cs="*Arial-Italic-8340-Identity-H"/>
          <w:i/>
          <w:iCs/>
          <w:color w:val="0C0C0E"/>
          <w:sz w:val="21"/>
          <w:szCs w:val="21"/>
          <w:lang w:val="es-MX" w:eastAsia="en-US"/>
        </w:rPr>
        <w:t xml:space="preserve"> </w:t>
      </w:r>
      <w:r w:rsidRPr="00F51FA1">
        <w:rPr>
          <w:rFonts w:ascii="Abadi" w:eastAsia="Calibri" w:hAnsi="Abadi" w:cs="*Arial-8339-Identity-H"/>
          <w:color w:val="0C0C0E"/>
          <w:sz w:val="21"/>
          <w:szCs w:val="21"/>
          <w:lang w:val="es-MX" w:eastAsia="en-US"/>
        </w:rPr>
        <w:t>congruencia con el marco normativo municipal.</w:t>
      </w:r>
    </w:p>
    <w:p w14:paraId="1D92AF50" w14:textId="77777777" w:rsidR="00F51FA1" w:rsidRPr="00F51FA1" w:rsidRDefault="00F51FA1" w:rsidP="00F51FA1">
      <w:pPr>
        <w:autoSpaceDE w:val="0"/>
        <w:autoSpaceDN w:val="0"/>
        <w:adjustRightInd w:val="0"/>
        <w:jc w:val="both"/>
        <w:rPr>
          <w:rFonts w:ascii="Abadi" w:eastAsia="Calibri" w:hAnsi="Abadi" w:cs="*Arial-8339-Identity-H"/>
          <w:color w:val="0B0B0E"/>
          <w:sz w:val="21"/>
          <w:szCs w:val="21"/>
          <w:lang w:val="es-MX" w:eastAsia="en-US"/>
        </w:rPr>
      </w:pPr>
    </w:p>
    <w:p w14:paraId="1F5C579F" w14:textId="7FDE4924" w:rsidR="00F51FA1" w:rsidRPr="00F51FA1" w:rsidRDefault="00F51FA1" w:rsidP="007772B3">
      <w:pPr>
        <w:autoSpaceDE w:val="0"/>
        <w:autoSpaceDN w:val="0"/>
        <w:adjustRightInd w:val="0"/>
        <w:ind w:firstLine="708"/>
        <w:jc w:val="both"/>
        <w:rPr>
          <w:rFonts w:ascii="Abadi" w:eastAsia="Calibri" w:hAnsi="Abadi" w:cs="*Arial-8339-Identity-H"/>
          <w:color w:val="0B0B0E"/>
          <w:sz w:val="21"/>
          <w:szCs w:val="21"/>
          <w:lang w:val="es-MX" w:eastAsia="en-US"/>
        </w:rPr>
      </w:pPr>
      <w:r w:rsidRPr="00F51FA1">
        <w:rPr>
          <w:rFonts w:ascii="Abadi" w:eastAsia="Calibri" w:hAnsi="Abadi" w:cs="*Arial-8339-Identity-H"/>
          <w:color w:val="0B0B0E"/>
          <w:sz w:val="21"/>
          <w:szCs w:val="21"/>
          <w:lang w:val="es-MX" w:eastAsia="en-US"/>
        </w:rPr>
        <w:t xml:space="preserve">Con relación a los recursos para la prestación del servicio, se corroboró que durante el ejercicio 2020 el sujeto fiscalizado no contó con un programa presupuestario </w:t>
      </w:r>
      <w:r w:rsidR="003808BB" w:rsidRPr="00F51FA1">
        <w:rPr>
          <w:rFonts w:ascii="Abadi" w:eastAsia="Calibri" w:hAnsi="Abadi" w:cs="*Arial-8339-Identity-H"/>
          <w:color w:val="0B0B0E"/>
          <w:sz w:val="21"/>
          <w:szCs w:val="21"/>
          <w:lang w:val="es-MX" w:eastAsia="en-US"/>
        </w:rPr>
        <w:t>específico</w:t>
      </w:r>
      <w:r w:rsidRPr="00F51FA1">
        <w:rPr>
          <w:rFonts w:ascii="Abadi" w:eastAsia="Calibri" w:hAnsi="Abadi" w:cs="*Arial-8339-Identity-H"/>
          <w:color w:val="0B0B0E"/>
          <w:sz w:val="21"/>
          <w:szCs w:val="21"/>
          <w:lang w:val="es-MX" w:eastAsia="en-US"/>
        </w:rPr>
        <w:t xml:space="preserve"> para administrar los recursos vinculados a las actividades relacionadas con el servicio de alumbrado público definidas en sus instrumentos de planeación, sino que el recurso se asignó a la unidad responsable </w:t>
      </w:r>
      <w:r w:rsidRPr="00F51FA1">
        <w:rPr>
          <w:rFonts w:ascii="Abadi" w:eastAsia="Calibri" w:hAnsi="Abadi" w:cs="*Arial-Italic-8340-Identity-H"/>
          <w:i/>
          <w:iCs/>
          <w:color w:val="0B0B0E"/>
          <w:sz w:val="21"/>
          <w:szCs w:val="21"/>
          <w:lang w:val="es-MX" w:eastAsia="en-US"/>
        </w:rPr>
        <w:t xml:space="preserve">Alumbrado Público. </w:t>
      </w:r>
      <w:r w:rsidRPr="00F51FA1">
        <w:rPr>
          <w:rFonts w:ascii="Abadi" w:eastAsia="Calibri" w:hAnsi="Abadi" w:cs="*Arial-8339-Identity-H"/>
          <w:color w:val="0B0B0E"/>
          <w:sz w:val="21"/>
          <w:szCs w:val="21"/>
          <w:lang w:val="es-MX" w:eastAsia="en-US"/>
        </w:rPr>
        <w:t xml:space="preserve">Adicionalmente, si bien el sujeto fiscalizado acreditó contar con un Plan de Trabajo 2018-2021 de la Dirección de Servicios Públicos Municipales, en el cual se incluyeron objetivos específicos para la prestación del servicio de alumbrado público; este cuenta con áreas de oportunidad para fungir como un instrumento de planeación de corto plazo; asimismo, conto con un Programa Operativo Anual para la prestación del servicio en el ejercicio 2020, el cual presentó información respecto de las actividades y un cronograma, sin </w:t>
      </w:r>
      <w:r w:rsidRPr="00F51FA1">
        <w:rPr>
          <w:rFonts w:ascii="Abadi" w:eastAsia="Calibri" w:hAnsi="Abadi" w:cs="*Arial-6440-Identity-H"/>
          <w:color w:val="0C0C0E"/>
          <w:sz w:val="21"/>
          <w:szCs w:val="21"/>
          <w:lang w:val="es-MX" w:eastAsia="en-US"/>
        </w:rPr>
        <w:t>embargo cuenta con la oportunidad de reforzarlo al incorporar elementos</w:t>
      </w:r>
      <w:r w:rsidRPr="00F51FA1">
        <w:rPr>
          <w:rFonts w:ascii="Abadi" w:eastAsia="Calibri" w:hAnsi="Abadi" w:cs="*Arial-8339-Identity-H"/>
          <w:color w:val="0B0B0E"/>
          <w:sz w:val="21"/>
          <w:szCs w:val="21"/>
          <w:lang w:val="es-MX" w:eastAsia="en-US"/>
        </w:rPr>
        <w:t xml:space="preserve"> </w:t>
      </w:r>
      <w:r w:rsidRPr="00F51FA1">
        <w:rPr>
          <w:rFonts w:ascii="Abadi" w:eastAsia="Calibri" w:hAnsi="Abadi" w:cs="*Arial-6440-Identity-H"/>
          <w:color w:val="0C0C0E"/>
          <w:sz w:val="21"/>
          <w:szCs w:val="21"/>
          <w:lang w:val="es-MX" w:eastAsia="en-US"/>
        </w:rPr>
        <w:t>esenciales como son la alineación con los instrumentos de planeación municipal,</w:t>
      </w:r>
      <w:r w:rsidRPr="00F51FA1">
        <w:rPr>
          <w:rFonts w:ascii="Abadi" w:eastAsia="Calibri" w:hAnsi="Abadi" w:cs="*Arial-8339-Identity-H"/>
          <w:color w:val="0B0B0E"/>
          <w:sz w:val="21"/>
          <w:szCs w:val="21"/>
          <w:lang w:val="es-MX" w:eastAsia="en-US"/>
        </w:rPr>
        <w:t xml:space="preserve"> </w:t>
      </w:r>
      <w:r w:rsidRPr="00F51FA1">
        <w:rPr>
          <w:rFonts w:ascii="Abadi" w:eastAsia="Calibri" w:hAnsi="Abadi" w:cs="*Arial-6440-Identity-H"/>
          <w:color w:val="0C0C0E"/>
          <w:sz w:val="21"/>
          <w:szCs w:val="21"/>
          <w:lang w:val="es-MX" w:eastAsia="en-US"/>
        </w:rPr>
        <w:t>la unidad administrativa responsable, el eje rector (asociado al Programa de</w:t>
      </w:r>
      <w:r w:rsidRPr="00F51FA1">
        <w:rPr>
          <w:rFonts w:ascii="Abadi" w:eastAsia="Calibri" w:hAnsi="Abadi" w:cs="*Arial-8339-Identity-H"/>
          <w:color w:val="0B0B0E"/>
          <w:sz w:val="21"/>
          <w:szCs w:val="21"/>
          <w:lang w:val="es-MX" w:eastAsia="en-US"/>
        </w:rPr>
        <w:t xml:space="preserve"> </w:t>
      </w:r>
      <w:r w:rsidRPr="00F51FA1">
        <w:rPr>
          <w:rFonts w:ascii="Abadi" w:eastAsia="Calibri" w:hAnsi="Abadi" w:cs="*Arial-6440-Identity-H"/>
          <w:color w:val="0C0C0E"/>
          <w:sz w:val="21"/>
          <w:szCs w:val="21"/>
          <w:lang w:val="es-MX" w:eastAsia="en-US"/>
        </w:rPr>
        <w:t>Gobierno Municipal), el objetivo general, el nombre del programa, las metas</w:t>
      </w:r>
      <w:r w:rsidRPr="00F51FA1">
        <w:rPr>
          <w:rFonts w:ascii="Abadi" w:eastAsia="Calibri" w:hAnsi="Abadi" w:cs="*Arial-8339-Identity-H"/>
          <w:color w:val="0B0B0E"/>
          <w:sz w:val="21"/>
          <w:szCs w:val="21"/>
          <w:lang w:val="es-MX" w:eastAsia="en-US"/>
        </w:rPr>
        <w:t xml:space="preserve"> </w:t>
      </w:r>
      <w:r w:rsidRPr="00F51FA1">
        <w:rPr>
          <w:rFonts w:ascii="Abadi" w:eastAsia="Calibri" w:hAnsi="Abadi" w:cs="*Arial-6440-Identity-H"/>
          <w:color w:val="0C0C0E"/>
          <w:sz w:val="21"/>
          <w:szCs w:val="21"/>
          <w:lang w:val="es-MX" w:eastAsia="en-US"/>
        </w:rPr>
        <w:t>asociadas a cada una de las actividades, la unidad de medida, su medio de</w:t>
      </w:r>
      <w:r w:rsidRPr="00F51FA1">
        <w:rPr>
          <w:rFonts w:ascii="Abadi" w:eastAsia="Calibri" w:hAnsi="Abadi" w:cs="*Arial-8339-Identity-H"/>
          <w:color w:val="0B0B0E"/>
          <w:sz w:val="21"/>
          <w:szCs w:val="21"/>
          <w:lang w:val="es-MX" w:eastAsia="en-US"/>
        </w:rPr>
        <w:t xml:space="preserve"> </w:t>
      </w:r>
      <w:r w:rsidRPr="00F51FA1">
        <w:rPr>
          <w:rFonts w:ascii="Abadi" w:eastAsia="Calibri" w:hAnsi="Abadi" w:cs="*Arial-6440-Identity-H"/>
          <w:color w:val="0C0C0E"/>
          <w:sz w:val="21"/>
          <w:szCs w:val="21"/>
          <w:lang w:val="es-MX" w:eastAsia="en-US"/>
        </w:rPr>
        <w:t>verificación, la asignación presupuesta</w:t>
      </w:r>
      <w:r w:rsidR="0014039C">
        <w:rPr>
          <w:rFonts w:ascii="Abadi" w:eastAsia="Calibri" w:hAnsi="Abadi" w:cs="*Arial-6440-Identity-H"/>
          <w:color w:val="0C0C0E"/>
          <w:sz w:val="21"/>
          <w:szCs w:val="21"/>
          <w:lang w:val="es-MX" w:eastAsia="en-US"/>
        </w:rPr>
        <w:t>l</w:t>
      </w:r>
      <w:r w:rsidRPr="00F51FA1">
        <w:rPr>
          <w:rFonts w:ascii="Abadi" w:eastAsia="Calibri" w:hAnsi="Abadi" w:cs="*Arial-6440-Identity-H"/>
          <w:color w:val="0C0C0E"/>
          <w:sz w:val="21"/>
          <w:szCs w:val="21"/>
          <w:lang w:val="es-MX" w:eastAsia="en-US"/>
        </w:rPr>
        <w:t xml:space="preserve"> y, su autorización y vigencia. Lo anterior,</w:t>
      </w:r>
      <w:r w:rsidRPr="00F51FA1">
        <w:rPr>
          <w:rFonts w:ascii="Abadi" w:eastAsia="Calibri" w:hAnsi="Abadi" w:cs="*Arial-8339-Identity-H"/>
          <w:color w:val="0B0B0E"/>
          <w:sz w:val="21"/>
          <w:szCs w:val="21"/>
          <w:lang w:val="es-MX" w:eastAsia="en-US"/>
        </w:rPr>
        <w:t xml:space="preserve"> </w:t>
      </w:r>
      <w:r w:rsidRPr="00F51FA1">
        <w:rPr>
          <w:rFonts w:ascii="Abadi" w:eastAsia="Calibri" w:hAnsi="Abadi" w:cs="*Arial-6440-Identity-H"/>
          <w:color w:val="0C0C0E"/>
          <w:sz w:val="21"/>
          <w:szCs w:val="21"/>
          <w:lang w:val="es-MX" w:eastAsia="en-US"/>
        </w:rPr>
        <w:t>para que el sujeto fiscalizado cuente con un instrumento de planeación de corto</w:t>
      </w:r>
      <w:r w:rsidRPr="00F51FA1">
        <w:rPr>
          <w:rFonts w:ascii="Abadi" w:eastAsia="Calibri" w:hAnsi="Abadi" w:cs="*Arial-8339-Identity-H"/>
          <w:color w:val="0B0B0E"/>
          <w:sz w:val="21"/>
          <w:szCs w:val="21"/>
          <w:lang w:val="es-MX" w:eastAsia="en-US"/>
        </w:rPr>
        <w:t xml:space="preserve"> </w:t>
      </w:r>
      <w:r w:rsidRPr="00F51FA1">
        <w:rPr>
          <w:rFonts w:ascii="Abadi" w:eastAsia="Calibri" w:hAnsi="Abadi" w:cs="*Arial-6440-Identity-H"/>
          <w:color w:val="0C0C0E"/>
          <w:sz w:val="21"/>
          <w:szCs w:val="21"/>
          <w:lang w:val="es-MX" w:eastAsia="en-US"/>
        </w:rPr>
        <w:t>plazo que le permita otorgar el servicio de alumbrado público de una manera</w:t>
      </w:r>
      <w:r w:rsidRPr="00F51FA1">
        <w:rPr>
          <w:rFonts w:ascii="Abadi" w:eastAsia="Calibri" w:hAnsi="Abadi" w:cs="*Arial-8339-Identity-H"/>
          <w:color w:val="0B0B0E"/>
          <w:sz w:val="21"/>
          <w:szCs w:val="21"/>
          <w:lang w:val="es-MX" w:eastAsia="en-US"/>
        </w:rPr>
        <w:t xml:space="preserve"> </w:t>
      </w:r>
      <w:r w:rsidRPr="00F51FA1">
        <w:rPr>
          <w:rFonts w:ascii="Abadi" w:eastAsia="Calibri" w:hAnsi="Abadi" w:cs="*Arial-6440-Identity-H"/>
          <w:color w:val="0C0C0E"/>
          <w:sz w:val="21"/>
          <w:szCs w:val="21"/>
          <w:lang w:val="es-MX" w:eastAsia="en-US"/>
        </w:rPr>
        <w:t>eficiente.</w:t>
      </w:r>
    </w:p>
    <w:p w14:paraId="349A3425" w14:textId="77777777" w:rsidR="00F51FA1" w:rsidRPr="00F51FA1" w:rsidRDefault="00F51FA1" w:rsidP="00F51FA1">
      <w:pPr>
        <w:autoSpaceDE w:val="0"/>
        <w:autoSpaceDN w:val="0"/>
        <w:adjustRightInd w:val="0"/>
        <w:jc w:val="both"/>
        <w:rPr>
          <w:rFonts w:ascii="Abadi" w:eastAsia="Calibri" w:hAnsi="Abadi" w:cs="*Arial-6440-Identity-H"/>
          <w:color w:val="0C0C0E"/>
          <w:sz w:val="21"/>
          <w:szCs w:val="21"/>
          <w:lang w:val="es-MX" w:eastAsia="en-US"/>
        </w:rPr>
      </w:pPr>
    </w:p>
    <w:p w14:paraId="1ACF50ED" w14:textId="77777777" w:rsidR="00F51FA1" w:rsidRPr="00F51FA1" w:rsidRDefault="00F51FA1" w:rsidP="007772B3">
      <w:pPr>
        <w:autoSpaceDE w:val="0"/>
        <w:autoSpaceDN w:val="0"/>
        <w:adjustRightInd w:val="0"/>
        <w:ind w:firstLine="708"/>
        <w:jc w:val="both"/>
        <w:rPr>
          <w:rFonts w:ascii="Abadi" w:eastAsia="Calibri" w:hAnsi="Abadi" w:cs="*Arial-6440-Identity-H"/>
          <w:color w:val="0C0C0E"/>
          <w:sz w:val="21"/>
          <w:szCs w:val="21"/>
          <w:lang w:val="es-MX" w:eastAsia="en-US"/>
        </w:rPr>
      </w:pPr>
      <w:r w:rsidRPr="00F51FA1">
        <w:rPr>
          <w:rFonts w:ascii="Abadi" w:eastAsia="Calibri" w:hAnsi="Abadi" w:cs="*Arial-6440-Identity-H"/>
          <w:color w:val="0C0C0E"/>
          <w:sz w:val="21"/>
          <w:szCs w:val="21"/>
          <w:lang w:val="es-MX" w:eastAsia="en-US"/>
        </w:rPr>
        <w:t>Respecto a la capacidad del sujeto fiscalizado para garantizar una prestación permanente y efectiva del servicio de alumbrado público, en el ejercicio 2020, se analizó la calidad de la información relativa a los logros en materia de mantenimiento, así como la correspondiente a la cobertura y satisfacción ciudadana.</w:t>
      </w:r>
    </w:p>
    <w:p w14:paraId="1E6053A4" w14:textId="77777777" w:rsidR="00F51FA1" w:rsidRPr="00F51FA1" w:rsidRDefault="00F51FA1" w:rsidP="00F51FA1">
      <w:pPr>
        <w:autoSpaceDE w:val="0"/>
        <w:autoSpaceDN w:val="0"/>
        <w:adjustRightInd w:val="0"/>
        <w:jc w:val="both"/>
        <w:rPr>
          <w:rFonts w:ascii="Abadi" w:eastAsia="Calibri" w:hAnsi="Abadi" w:cs="*Arial-6440-Identity-H"/>
          <w:color w:val="0D0C0F"/>
          <w:sz w:val="21"/>
          <w:szCs w:val="21"/>
          <w:lang w:val="es-MX" w:eastAsia="en-US"/>
        </w:rPr>
      </w:pPr>
    </w:p>
    <w:p w14:paraId="70756F40" w14:textId="77777777" w:rsidR="00F51FA1" w:rsidRPr="00F51FA1" w:rsidRDefault="00F51FA1" w:rsidP="00BE71DA">
      <w:pPr>
        <w:autoSpaceDE w:val="0"/>
        <w:autoSpaceDN w:val="0"/>
        <w:adjustRightInd w:val="0"/>
        <w:ind w:firstLine="708"/>
        <w:jc w:val="both"/>
        <w:rPr>
          <w:rFonts w:ascii="Abadi" w:eastAsia="Calibri" w:hAnsi="Abadi" w:cs="*Arial-6440-Identity-H"/>
          <w:color w:val="0D0C0F"/>
          <w:sz w:val="21"/>
          <w:szCs w:val="21"/>
          <w:lang w:val="es-MX" w:eastAsia="en-US"/>
        </w:rPr>
      </w:pPr>
      <w:r w:rsidRPr="00F51FA1">
        <w:rPr>
          <w:rFonts w:ascii="Abadi" w:eastAsia="Calibri" w:hAnsi="Abadi" w:cs="*Arial-6440-Identity-H"/>
          <w:color w:val="0D0C0F"/>
          <w:sz w:val="21"/>
          <w:szCs w:val="21"/>
          <w:lang w:val="es-MX" w:eastAsia="en-US"/>
        </w:rPr>
        <w:t>Es así que en el caso de las acciones de mantenimiento, se observó que el sujeto fiscalizado realizó acciones para otorgar el servicio de alumbrado público; no obstante, estas no se· derivaron de la implementación de mecanismos preventivos de mantenimiento para asegurar la eficacia del servicio, sino en respuesta a los reportes ciudadanos (mantenimiento correctivo), por lo que no se acreditó que realizara acciones para asegurar la eficacia del servicio de manera anticipada, contando el sujeto fiscalizado con la oportunidad de integrar en su gestión el mantenimiento preventivo, implementando acciones tales como: diagnósticos de las mediciones eléctricas en diferentes puntos de la red, para garantizar un mayor tiempo entre las fallas, la prolongación del tiempo de la vida útil de la infraestructura y la continuidad del servicio. Asimismo, las bases de datos de los reportes de fallas del servicio, en el ejercicio 2020, no permitieron identificar el motivo del reporte, la fecha de la elaboración, el estatus, ni la fecha de atención de la falla, razón por la cual no fue posible conocer con certeza el número de reportes atendidos y el tiempo transcurrido desde el reporte hasta su atención, razón por la cual se reconoce un área de mejora en la recopilación y sistematización de la información a fin de que los mecanismos llevados a cabo generen información útil para el seguimiento oportuno de los reportes ciudadanos y la toma de decisiones.</w:t>
      </w:r>
    </w:p>
    <w:p w14:paraId="6439DEB0" w14:textId="77777777" w:rsidR="00F51FA1" w:rsidRPr="00F51FA1" w:rsidRDefault="00F51FA1" w:rsidP="00F51FA1">
      <w:pPr>
        <w:autoSpaceDE w:val="0"/>
        <w:autoSpaceDN w:val="0"/>
        <w:adjustRightInd w:val="0"/>
        <w:jc w:val="both"/>
        <w:rPr>
          <w:rFonts w:ascii="Abadi" w:eastAsia="Calibri" w:hAnsi="Abadi" w:cs="*Microsoft Sans Serif-Bold-6520"/>
          <w:b/>
          <w:bCs/>
          <w:color w:val="25252B"/>
          <w:sz w:val="21"/>
          <w:szCs w:val="21"/>
          <w:lang w:val="es-MX" w:eastAsia="en-US"/>
        </w:rPr>
      </w:pPr>
    </w:p>
    <w:p w14:paraId="1B20EA45" w14:textId="77777777" w:rsidR="00F51FA1" w:rsidRPr="00F51FA1" w:rsidRDefault="00F51FA1" w:rsidP="00006D9C">
      <w:pPr>
        <w:autoSpaceDE w:val="0"/>
        <w:autoSpaceDN w:val="0"/>
        <w:adjustRightInd w:val="0"/>
        <w:ind w:firstLine="708"/>
        <w:jc w:val="both"/>
        <w:rPr>
          <w:rFonts w:ascii="Abadi" w:eastAsia="Calibri" w:hAnsi="Abadi" w:cs="*Arial-6518-Identity-H"/>
          <w:color w:val="0C0C0E"/>
          <w:sz w:val="21"/>
          <w:szCs w:val="21"/>
          <w:lang w:val="es-MX" w:eastAsia="en-US"/>
        </w:rPr>
      </w:pPr>
      <w:r w:rsidRPr="00F51FA1">
        <w:rPr>
          <w:rFonts w:ascii="Abadi" w:eastAsia="Calibri" w:hAnsi="Abadi" w:cs="*Arial-6518-Identity-H"/>
          <w:color w:val="0C0C0E"/>
          <w:sz w:val="21"/>
          <w:szCs w:val="21"/>
          <w:lang w:val="es-MX" w:eastAsia="en-US"/>
        </w:rPr>
        <w:t>En cuanto a la cobertura, se identificó que el sujeto fiscalizado, si bien, contó con un censo del inventario de luminarias, este no se encuentra actualizado, ya que corresponde al ejercicio 2018, además no contó con un mecanismo o metodología para la determinación de la cobertura del servicio de alumbrado público en su territorio, a fin de garantizar la prestación del servicio a la totalidad de sus habitantes.</w:t>
      </w:r>
    </w:p>
    <w:p w14:paraId="58C814DC" w14:textId="77777777" w:rsidR="00F51FA1" w:rsidRPr="00F51FA1" w:rsidRDefault="00F51FA1" w:rsidP="00F51FA1">
      <w:pPr>
        <w:autoSpaceDE w:val="0"/>
        <w:autoSpaceDN w:val="0"/>
        <w:adjustRightInd w:val="0"/>
        <w:jc w:val="both"/>
        <w:rPr>
          <w:rFonts w:ascii="Abadi" w:eastAsia="Calibri" w:hAnsi="Abadi" w:cs="*Arial-6518-Identity-H"/>
          <w:color w:val="0D0C0F"/>
          <w:sz w:val="21"/>
          <w:szCs w:val="21"/>
          <w:lang w:val="es-MX" w:eastAsia="en-US"/>
        </w:rPr>
      </w:pPr>
    </w:p>
    <w:p w14:paraId="1F65EEE0" w14:textId="0500B666" w:rsidR="00F51FA1" w:rsidRPr="00F51FA1" w:rsidRDefault="00F51FA1" w:rsidP="00BE71DA">
      <w:pPr>
        <w:autoSpaceDE w:val="0"/>
        <w:autoSpaceDN w:val="0"/>
        <w:adjustRightInd w:val="0"/>
        <w:ind w:firstLine="708"/>
        <w:jc w:val="both"/>
        <w:rPr>
          <w:rFonts w:ascii="Abadi" w:eastAsia="Calibri" w:hAnsi="Abadi" w:cs="*Arial-6518-Identity-H"/>
          <w:color w:val="0D0C0F"/>
          <w:sz w:val="21"/>
          <w:szCs w:val="21"/>
          <w:lang w:val="es-MX" w:eastAsia="en-US"/>
        </w:rPr>
      </w:pPr>
      <w:r w:rsidRPr="00F51FA1">
        <w:rPr>
          <w:rFonts w:ascii="Abadi" w:eastAsia="Calibri" w:hAnsi="Abadi" w:cs="*Arial-6518-Identity-H"/>
          <w:color w:val="0D0C0F"/>
          <w:sz w:val="21"/>
          <w:szCs w:val="21"/>
          <w:lang w:val="es-MX" w:eastAsia="en-US"/>
        </w:rPr>
        <w:t>Por lo que hace a la medición de la calidad del servicio el sujeto fiscalizado careció de un mecanismo propio para evaluar el grado de satisfacción de los usuarios del servicio de alumbrado público, a fin de conocer en qué medida contribuyó a mejorar las condiciones de sus habitantes; no obstante, contó con el Sistema de Quejas, Denuncias, Sugerencias y Felicitaciones de la Contraloría Municipal, a través del cual en el ejercicio 2020 se recibieron 5 felicitaciones y 1</w:t>
      </w:r>
      <w:r w:rsidR="00BE71DA">
        <w:rPr>
          <w:rFonts w:ascii="Abadi" w:eastAsia="Calibri" w:hAnsi="Abadi" w:cs="*Arial-6518-Identity-H"/>
          <w:color w:val="0D0C0F"/>
          <w:sz w:val="21"/>
          <w:szCs w:val="21"/>
          <w:lang w:val="es-MX" w:eastAsia="en-US"/>
        </w:rPr>
        <w:t xml:space="preserve"> </w:t>
      </w:r>
      <w:r w:rsidRPr="00F51FA1">
        <w:rPr>
          <w:rFonts w:ascii="Abadi" w:eastAsia="Calibri" w:hAnsi="Abadi" w:cs="*Arial-6518-Identity-H"/>
          <w:color w:val="0D0C0F"/>
          <w:sz w:val="21"/>
          <w:szCs w:val="21"/>
          <w:lang w:val="es-MX" w:eastAsia="en-US"/>
        </w:rPr>
        <w:t>sugerencia.</w:t>
      </w:r>
    </w:p>
    <w:p w14:paraId="2489D8D3" w14:textId="77777777" w:rsidR="00F51FA1" w:rsidRPr="00F51FA1" w:rsidRDefault="00F51FA1" w:rsidP="00F51FA1">
      <w:pPr>
        <w:autoSpaceDE w:val="0"/>
        <w:autoSpaceDN w:val="0"/>
        <w:adjustRightInd w:val="0"/>
        <w:jc w:val="both"/>
        <w:rPr>
          <w:rFonts w:ascii="Abadi" w:eastAsia="Calibri" w:hAnsi="Abadi" w:cs="*Arial-6518-Identity-H"/>
          <w:color w:val="0C0C0F"/>
          <w:sz w:val="21"/>
          <w:szCs w:val="21"/>
          <w:lang w:val="es-MX" w:eastAsia="en-US"/>
        </w:rPr>
      </w:pPr>
    </w:p>
    <w:p w14:paraId="2D96A84E" w14:textId="5E8A382A" w:rsidR="00F51FA1" w:rsidRPr="00F51FA1" w:rsidRDefault="00F51FA1" w:rsidP="00BE71DA">
      <w:pPr>
        <w:autoSpaceDE w:val="0"/>
        <w:autoSpaceDN w:val="0"/>
        <w:adjustRightInd w:val="0"/>
        <w:ind w:firstLine="708"/>
        <w:jc w:val="both"/>
        <w:rPr>
          <w:rFonts w:ascii="Abadi" w:eastAsia="Calibri" w:hAnsi="Abadi" w:cs="*Arial-6518-Identity-H"/>
          <w:color w:val="0C0C0F"/>
          <w:sz w:val="21"/>
          <w:szCs w:val="21"/>
          <w:lang w:val="es-MX" w:eastAsia="en-US"/>
        </w:rPr>
      </w:pPr>
      <w:r w:rsidRPr="00F51FA1">
        <w:rPr>
          <w:rFonts w:ascii="Abadi" w:eastAsia="Calibri" w:hAnsi="Abadi" w:cs="*Arial-6518-Identity-H"/>
          <w:color w:val="0C0C0F"/>
          <w:sz w:val="21"/>
          <w:szCs w:val="21"/>
          <w:lang w:val="es-MX" w:eastAsia="en-US"/>
        </w:rPr>
        <w:t>En el caso de la función de seguimiento, el sujeto fiscalizado no contó con un mecanismo o herramienta de seguimiento, debido a que en el ejercicio 2020 careció de una Matriz de Indicadores par Resultados asociada al servicio de alumbrado público, y como consecuencia tampoco contó con indicadores para medir la prestación del servicio; asimismo se acreditó que no cuenta con reportes fehacientes que den cuenta del avance de las acciones establecidas en sus</w:t>
      </w:r>
      <w:r w:rsidR="00BE71DA">
        <w:rPr>
          <w:rFonts w:ascii="Abadi" w:eastAsia="Calibri" w:hAnsi="Abadi" w:cs="*Arial-6518-Identity-H"/>
          <w:color w:val="0C0C0F"/>
          <w:sz w:val="21"/>
          <w:szCs w:val="21"/>
          <w:lang w:val="es-MX" w:eastAsia="en-US"/>
        </w:rPr>
        <w:t xml:space="preserve"> </w:t>
      </w:r>
      <w:r w:rsidRPr="00F51FA1">
        <w:rPr>
          <w:rFonts w:ascii="Abadi" w:eastAsia="Calibri" w:hAnsi="Abadi" w:cs="*Arial-6518-Identity-H"/>
          <w:color w:val="0C0C0F"/>
          <w:sz w:val="21"/>
          <w:szCs w:val="21"/>
          <w:lang w:val="es-MX" w:eastAsia="en-US"/>
        </w:rPr>
        <w:t>instrumentos de planeación.</w:t>
      </w:r>
    </w:p>
    <w:p w14:paraId="07C382F8" w14:textId="77777777" w:rsidR="00F51FA1" w:rsidRPr="00F51FA1" w:rsidRDefault="00F51FA1" w:rsidP="00F51FA1">
      <w:pPr>
        <w:autoSpaceDE w:val="0"/>
        <w:autoSpaceDN w:val="0"/>
        <w:adjustRightInd w:val="0"/>
        <w:jc w:val="both"/>
        <w:rPr>
          <w:rFonts w:ascii="Abadi" w:eastAsia="Calibri" w:hAnsi="Abadi" w:cs="*Arial-6518-Identity-H"/>
          <w:color w:val="0D0C0F"/>
          <w:sz w:val="21"/>
          <w:szCs w:val="21"/>
          <w:lang w:val="es-MX" w:eastAsia="en-US"/>
        </w:rPr>
      </w:pPr>
    </w:p>
    <w:p w14:paraId="72841445" w14:textId="77777777" w:rsidR="00F51FA1" w:rsidRPr="00F51FA1" w:rsidRDefault="00F51FA1" w:rsidP="00006D9C">
      <w:pPr>
        <w:autoSpaceDE w:val="0"/>
        <w:autoSpaceDN w:val="0"/>
        <w:adjustRightInd w:val="0"/>
        <w:ind w:firstLine="708"/>
        <w:jc w:val="both"/>
        <w:rPr>
          <w:rFonts w:ascii="Abadi" w:eastAsia="Calibri" w:hAnsi="Abadi" w:cs="*Arial-6518-Identity-H"/>
          <w:color w:val="0D0C0F"/>
          <w:sz w:val="21"/>
          <w:szCs w:val="21"/>
          <w:lang w:val="es-MX" w:eastAsia="en-US"/>
        </w:rPr>
      </w:pPr>
      <w:r w:rsidRPr="00F51FA1">
        <w:rPr>
          <w:rFonts w:ascii="Abadi" w:eastAsia="Calibri" w:hAnsi="Abadi" w:cs="*Arial-6518-Identity-H"/>
          <w:color w:val="0D0C0F"/>
          <w:sz w:val="21"/>
          <w:szCs w:val="21"/>
          <w:lang w:val="es-MX" w:eastAsia="en-US"/>
        </w:rPr>
        <w:t xml:space="preserve">Lo antes señalado fue impedimento para lograr conocer la eficacia en el otorgamiento del servicio de alumbrado público en el municipio de San Diego de la Unión, </w:t>
      </w:r>
      <w:proofErr w:type="spellStart"/>
      <w:r w:rsidRPr="00F51FA1">
        <w:rPr>
          <w:rFonts w:ascii="Abadi" w:eastAsia="Calibri" w:hAnsi="Abadi" w:cs="*Arial-6518-Identity-H"/>
          <w:color w:val="0D0C0F"/>
          <w:sz w:val="21"/>
          <w:szCs w:val="21"/>
          <w:lang w:val="es-MX" w:eastAsia="en-US"/>
        </w:rPr>
        <w:t>Gto</w:t>
      </w:r>
      <w:proofErr w:type="spellEnd"/>
      <w:r w:rsidRPr="00F51FA1">
        <w:rPr>
          <w:rFonts w:ascii="Abadi" w:eastAsia="Calibri" w:hAnsi="Abadi" w:cs="*Arial-6518-Identity-H"/>
          <w:color w:val="0D0C0F"/>
          <w:sz w:val="21"/>
          <w:szCs w:val="21"/>
          <w:lang w:val="es-MX" w:eastAsia="en-US"/>
        </w:rPr>
        <w:t>., debido, principalmente, a que se desconoció la suficiencia y el número de lámparas en funcionamiento en todo su territorio; al no contar con un mecanismo o metodología para determinar la cobertura del servicio de alumbrado público a la totalidad de sus habitantes, así como a la oportunidad de contar con un mecanismo propio para conocer el grado de satisfacción de los usuarios del servicio de alumbrado público.</w:t>
      </w:r>
    </w:p>
    <w:p w14:paraId="500A9367" w14:textId="77777777" w:rsidR="00F51FA1" w:rsidRPr="00F51FA1" w:rsidRDefault="00F51FA1" w:rsidP="00F51FA1">
      <w:pPr>
        <w:autoSpaceDE w:val="0"/>
        <w:autoSpaceDN w:val="0"/>
        <w:adjustRightInd w:val="0"/>
        <w:rPr>
          <w:rFonts w:ascii="Abadi" w:eastAsia="Calibri" w:hAnsi="Abadi" w:cs="*Arial-6518-Identity-H"/>
          <w:color w:val="0D0D10"/>
          <w:sz w:val="21"/>
          <w:szCs w:val="21"/>
          <w:lang w:val="es-MX" w:eastAsia="en-US"/>
        </w:rPr>
      </w:pPr>
    </w:p>
    <w:p w14:paraId="40C5A578" w14:textId="77777777" w:rsidR="00F51FA1" w:rsidRPr="00F51FA1" w:rsidRDefault="00F51FA1" w:rsidP="00006D9C">
      <w:pPr>
        <w:autoSpaceDE w:val="0"/>
        <w:autoSpaceDN w:val="0"/>
        <w:adjustRightInd w:val="0"/>
        <w:ind w:firstLine="708"/>
        <w:rPr>
          <w:rFonts w:ascii="Abadi" w:eastAsia="Calibri" w:hAnsi="Abadi" w:cs="*Arial-6518-Identity-H"/>
          <w:b/>
          <w:bCs/>
          <w:color w:val="0D0D10"/>
          <w:sz w:val="21"/>
          <w:szCs w:val="21"/>
          <w:lang w:val="es-MX" w:eastAsia="en-US"/>
        </w:rPr>
      </w:pPr>
      <w:r w:rsidRPr="00F51FA1">
        <w:rPr>
          <w:rFonts w:ascii="Abadi" w:eastAsia="Calibri" w:hAnsi="Abadi" w:cs="*Arial-6518-Identity-H"/>
          <w:b/>
          <w:bCs/>
          <w:color w:val="0D0D10"/>
          <w:sz w:val="21"/>
          <w:szCs w:val="21"/>
          <w:lang w:val="es-MX" w:eastAsia="en-US"/>
        </w:rPr>
        <w:t xml:space="preserve">V. Conclusiones </w:t>
      </w:r>
    </w:p>
    <w:p w14:paraId="7969B845" w14:textId="77777777" w:rsidR="00F51FA1" w:rsidRPr="00F51FA1" w:rsidRDefault="00F51FA1" w:rsidP="00F51FA1">
      <w:pPr>
        <w:autoSpaceDE w:val="0"/>
        <w:autoSpaceDN w:val="0"/>
        <w:adjustRightInd w:val="0"/>
        <w:rPr>
          <w:rFonts w:ascii="Abadi" w:eastAsia="Calibri" w:hAnsi="Abadi" w:cs="*Arial-6518-Identity-H"/>
          <w:color w:val="0D0D10"/>
          <w:sz w:val="21"/>
          <w:szCs w:val="21"/>
          <w:lang w:val="es-MX" w:eastAsia="en-US"/>
        </w:rPr>
      </w:pPr>
    </w:p>
    <w:p w14:paraId="67CF1A70" w14:textId="77777777" w:rsidR="00F51FA1" w:rsidRPr="00F51FA1" w:rsidRDefault="00F51FA1" w:rsidP="00F51FA1">
      <w:pPr>
        <w:autoSpaceDE w:val="0"/>
        <w:autoSpaceDN w:val="0"/>
        <w:adjustRightInd w:val="0"/>
        <w:jc w:val="both"/>
        <w:rPr>
          <w:rFonts w:ascii="Abadi" w:eastAsia="Calibri" w:hAnsi="Abadi" w:cs="*Arial-6518-Identity-H"/>
          <w:color w:val="0D0D10"/>
          <w:sz w:val="21"/>
          <w:szCs w:val="21"/>
          <w:lang w:val="es-MX" w:eastAsia="en-US"/>
        </w:rPr>
      </w:pPr>
      <w:r w:rsidRPr="00F51FA1">
        <w:rPr>
          <w:rFonts w:ascii="Abadi" w:eastAsia="Calibri" w:hAnsi="Abadi" w:cs="*Arial-6518-Identity-H"/>
          <w:color w:val="0D0D10"/>
          <w:sz w:val="21"/>
          <w:szCs w:val="21"/>
          <w:lang w:val="es-MX" w:eastAsia="en-US"/>
        </w:rPr>
        <w:t>Derivado de las oportunidades referidas, se reconoce que el sujeto fiscalizado muestra una postura tendiente a mejorar el entorno de la planificación, operación y control de la prestación del servicio de alumbrado público, al presentar acciones para incidir en la mejora de las brechas identificadas; por lo que de atenderse las recomendaciones formuladas el sujeto fiscalizado estará en condiciones de optimizar la gestión pública del servicio de alumbrado público.</w:t>
      </w:r>
    </w:p>
    <w:p w14:paraId="0F361FC5" w14:textId="77777777" w:rsidR="00F51FA1" w:rsidRPr="00F51FA1" w:rsidRDefault="00F51FA1" w:rsidP="00F51FA1">
      <w:pPr>
        <w:autoSpaceDE w:val="0"/>
        <w:autoSpaceDN w:val="0"/>
        <w:adjustRightInd w:val="0"/>
        <w:jc w:val="both"/>
        <w:rPr>
          <w:rFonts w:ascii="Abadi" w:eastAsia="Calibri" w:hAnsi="Abadi" w:cs="*Calibri-Bold-6159-Identity-H"/>
          <w:b/>
          <w:bCs/>
          <w:color w:val="24212B"/>
          <w:sz w:val="21"/>
          <w:szCs w:val="21"/>
          <w:lang w:val="es-MX" w:eastAsia="en-US"/>
        </w:rPr>
      </w:pPr>
    </w:p>
    <w:p w14:paraId="2A6D7D51" w14:textId="77777777" w:rsidR="00F51FA1" w:rsidRPr="00F51FA1" w:rsidRDefault="00F51FA1" w:rsidP="00006D9C">
      <w:pPr>
        <w:autoSpaceDE w:val="0"/>
        <w:autoSpaceDN w:val="0"/>
        <w:adjustRightInd w:val="0"/>
        <w:ind w:firstLine="708"/>
        <w:jc w:val="both"/>
        <w:rPr>
          <w:rFonts w:ascii="Abadi" w:eastAsia="Calibri" w:hAnsi="Abadi" w:cs="*Arial-6160-Identity-H"/>
          <w:color w:val="0C0B0E"/>
          <w:sz w:val="21"/>
          <w:szCs w:val="21"/>
          <w:lang w:val="es-MX" w:eastAsia="en-US"/>
        </w:rPr>
      </w:pPr>
      <w:r w:rsidRPr="00F51FA1">
        <w:rPr>
          <w:rFonts w:ascii="Abadi" w:eastAsia="Calibri" w:hAnsi="Abadi" w:cs="*Arial-6160-Identity-H"/>
          <w:color w:val="0C0B0E"/>
          <w:sz w:val="21"/>
          <w:szCs w:val="21"/>
          <w:lang w:val="es-MX" w:eastAsia="en-US"/>
        </w:rPr>
        <w:t>Como ya lo hablamos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456D6178" w14:textId="77777777" w:rsidR="00F51FA1" w:rsidRPr="00F51FA1" w:rsidRDefault="00F51FA1" w:rsidP="00F51FA1">
      <w:pPr>
        <w:autoSpaceDE w:val="0"/>
        <w:autoSpaceDN w:val="0"/>
        <w:adjustRightInd w:val="0"/>
        <w:jc w:val="both"/>
        <w:rPr>
          <w:rFonts w:ascii="Abadi" w:eastAsia="Calibri" w:hAnsi="Abadi" w:cs="*Arial-6160-Identity-H"/>
          <w:color w:val="0C0C0F"/>
          <w:sz w:val="21"/>
          <w:szCs w:val="21"/>
          <w:lang w:val="es-MX" w:eastAsia="en-US"/>
        </w:rPr>
      </w:pPr>
    </w:p>
    <w:p w14:paraId="104118A8" w14:textId="77777777" w:rsidR="00F51FA1" w:rsidRPr="00F51FA1" w:rsidRDefault="00F51FA1" w:rsidP="00006D9C">
      <w:pPr>
        <w:autoSpaceDE w:val="0"/>
        <w:autoSpaceDN w:val="0"/>
        <w:adjustRightInd w:val="0"/>
        <w:ind w:firstLine="708"/>
        <w:jc w:val="both"/>
        <w:rPr>
          <w:rFonts w:ascii="Abadi" w:eastAsia="Calibri" w:hAnsi="Abadi" w:cs="*Arial-6160-Identity-H"/>
          <w:color w:val="0C0C0F"/>
          <w:sz w:val="21"/>
          <w:szCs w:val="21"/>
          <w:lang w:val="es-MX" w:eastAsia="en-US"/>
        </w:rPr>
      </w:pPr>
      <w:r w:rsidRPr="00F51FA1">
        <w:rPr>
          <w:rFonts w:ascii="Abadi" w:eastAsia="Calibri" w:hAnsi="Abadi" w:cs="*Arial-6160-Identity-H"/>
          <w:color w:val="0C0C0F"/>
          <w:sz w:val="21"/>
          <w:szCs w:val="21"/>
          <w:lang w:val="es-MX" w:eastAsia="en-US"/>
        </w:rPr>
        <w:t>En este sentido, quienes integramos esta Comisión analizamos el informe de resultados materia del presente dictamen, considerando la hipótesis referida en el precepto anteriormente señalado.</w:t>
      </w:r>
    </w:p>
    <w:p w14:paraId="2C5B9343" w14:textId="77777777" w:rsidR="00F51FA1" w:rsidRPr="00F51FA1" w:rsidRDefault="00F51FA1" w:rsidP="00F51FA1">
      <w:pPr>
        <w:autoSpaceDE w:val="0"/>
        <w:autoSpaceDN w:val="0"/>
        <w:adjustRightInd w:val="0"/>
        <w:jc w:val="both"/>
        <w:rPr>
          <w:rFonts w:ascii="Abadi" w:eastAsia="Calibri" w:hAnsi="Abadi" w:cs="*Arial-6160-Identity-H"/>
          <w:color w:val="0D0C0F"/>
          <w:sz w:val="21"/>
          <w:szCs w:val="21"/>
          <w:lang w:val="es-MX" w:eastAsia="en-US"/>
        </w:rPr>
      </w:pPr>
    </w:p>
    <w:p w14:paraId="502D4DF3" w14:textId="77777777" w:rsidR="00F51FA1" w:rsidRPr="00F51FA1" w:rsidRDefault="00F51FA1" w:rsidP="00006D9C">
      <w:pPr>
        <w:autoSpaceDE w:val="0"/>
        <w:autoSpaceDN w:val="0"/>
        <w:adjustRightInd w:val="0"/>
        <w:ind w:firstLine="708"/>
        <w:jc w:val="both"/>
        <w:rPr>
          <w:rFonts w:ascii="Abadi" w:eastAsia="Calibri" w:hAnsi="Abadi" w:cs="*Arial-6160-Identity-H"/>
          <w:color w:val="0D0C0F"/>
          <w:sz w:val="21"/>
          <w:szCs w:val="21"/>
          <w:lang w:val="es-MX" w:eastAsia="en-US"/>
        </w:rPr>
      </w:pPr>
      <w:r w:rsidRPr="00F51FA1">
        <w:rPr>
          <w:rFonts w:ascii="Abadi" w:eastAsia="Calibri" w:hAnsi="Abadi" w:cs="*Arial-6160-Identity-H"/>
          <w:color w:val="0D0C0F"/>
          <w:sz w:val="21"/>
          <w:szCs w:val="21"/>
          <w:lang w:val="es-MX" w:eastAsia="en-US"/>
        </w:rPr>
        <w:t>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w:t>
      </w:r>
    </w:p>
    <w:p w14:paraId="75145098" w14:textId="77777777" w:rsidR="00F51FA1" w:rsidRPr="00F51FA1" w:rsidRDefault="00F51FA1" w:rsidP="00F51FA1">
      <w:pPr>
        <w:autoSpaceDE w:val="0"/>
        <w:autoSpaceDN w:val="0"/>
        <w:adjustRightInd w:val="0"/>
        <w:jc w:val="both"/>
        <w:rPr>
          <w:rFonts w:ascii="Abadi" w:eastAsia="Calibri" w:hAnsi="Abadi" w:cs="*Arial-6160-Identity-H"/>
          <w:color w:val="0E0D0F"/>
          <w:sz w:val="21"/>
          <w:szCs w:val="21"/>
          <w:lang w:val="es-MX" w:eastAsia="en-US"/>
        </w:rPr>
      </w:pPr>
    </w:p>
    <w:p w14:paraId="2764D7F3" w14:textId="77777777" w:rsidR="00F51FA1" w:rsidRPr="00F51FA1" w:rsidRDefault="00F51FA1" w:rsidP="004849D8">
      <w:pPr>
        <w:autoSpaceDE w:val="0"/>
        <w:autoSpaceDN w:val="0"/>
        <w:adjustRightInd w:val="0"/>
        <w:ind w:firstLine="708"/>
        <w:jc w:val="both"/>
        <w:rPr>
          <w:rFonts w:ascii="Abadi" w:eastAsia="Calibri" w:hAnsi="Abadi" w:cs="*Arial-6160-Identity-H"/>
          <w:color w:val="0E0D0F"/>
          <w:sz w:val="21"/>
          <w:szCs w:val="21"/>
          <w:lang w:val="es-MX" w:eastAsia="en-US"/>
        </w:rPr>
      </w:pPr>
      <w:r w:rsidRPr="00F51FA1">
        <w:rPr>
          <w:rFonts w:ascii="Abadi" w:eastAsia="Calibri" w:hAnsi="Abadi" w:cs="*Arial-6160-Identity-H"/>
          <w:color w:val="0E0D0F"/>
          <w:sz w:val="21"/>
          <w:szCs w:val="21"/>
          <w:lang w:val="es-MX" w:eastAsia="en-US"/>
        </w:rPr>
        <w:t>De igual manera, existe en el informe de resultados la constancia de que este se notificó al sujeto fiscalizado. En tal virtud, se considera que fue respetado el derecho de audiencia o defensa por parte del Órgano Técnico.</w:t>
      </w:r>
    </w:p>
    <w:p w14:paraId="62BD3B26" w14:textId="77777777" w:rsidR="00F51FA1" w:rsidRPr="00F51FA1" w:rsidRDefault="00F51FA1" w:rsidP="00F51FA1">
      <w:pPr>
        <w:autoSpaceDE w:val="0"/>
        <w:autoSpaceDN w:val="0"/>
        <w:adjustRightInd w:val="0"/>
        <w:jc w:val="both"/>
        <w:rPr>
          <w:rFonts w:ascii="Abadi" w:eastAsia="Calibri" w:hAnsi="Abadi" w:cs="*Arial-6160-Identity-H"/>
          <w:color w:val="0C0C0E"/>
          <w:sz w:val="21"/>
          <w:szCs w:val="21"/>
          <w:lang w:val="es-MX" w:eastAsia="en-US"/>
        </w:rPr>
      </w:pPr>
    </w:p>
    <w:p w14:paraId="7518D5E8" w14:textId="704AC4F7" w:rsidR="00F51FA1" w:rsidRPr="00F51FA1" w:rsidRDefault="00F51FA1" w:rsidP="00006D9C">
      <w:pPr>
        <w:autoSpaceDE w:val="0"/>
        <w:autoSpaceDN w:val="0"/>
        <w:adjustRightInd w:val="0"/>
        <w:ind w:firstLine="708"/>
        <w:jc w:val="both"/>
        <w:rPr>
          <w:rFonts w:ascii="Abadi" w:eastAsia="Calibri" w:hAnsi="Abadi" w:cs="*Arial-6160-Identity-H"/>
          <w:color w:val="0C0C0E"/>
          <w:sz w:val="21"/>
          <w:szCs w:val="21"/>
          <w:lang w:val="es-MX" w:eastAsia="en-US"/>
        </w:rPr>
      </w:pPr>
      <w:r w:rsidRPr="00F51FA1">
        <w:rPr>
          <w:rFonts w:ascii="Abadi" w:eastAsia="Calibri" w:hAnsi="Abadi" w:cs="*Arial-6160-Identity-H"/>
          <w:color w:val="0C0C0E"/>
          <w:sz w:val="21"/>
          <w:szCs w:val="21"/>
          <w:lang w:val="es-MX" w:eastAsia="en-US"/>
        </w:rPr>
        <w:t>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2021, aprobado por el Auditor Superior del</w:t>
      </w:r>
      <w:r w:rsidR="00006D9C">
        <w:rPr>
          <w:rFonts w:ascii="Abadi" w:eastAsia="Calibri" w:hAnsi="Abadi" w:cs="*Arial-6160-Identity-H"/>
          <w:color w:val="0C0C0E"/>
          <w:sz w:val="21"/>
          <w:szCs w:val="21"/>
          <w:lang w:val="es-MX" w:eastAsia="en-US"/>
        </w:rPr>
        <w:t xml:space="preserve"> </w:t>
      </w:r>
      <w:r w:rsidRPr="00F51FA1">
        <w:rPr>
          <w:rFonts w:ascii="Abadi" w:eastAsia="Calibri" w:hAnsi="Abadi" w:cs="*Arial-6160-Identity-H"/>
          <w:color w:val="0C0C0E"/>
          <w:sz w:val="21"/>
          <w:szCs w:val="21"/>
          <w:lang w:val="es-MX" w:eastAsia="en-US"/>
        </w:rPr>
        <w:t>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54D325DB" w14:textId="77777777" w:rsidR="00F51FA1" w:rsidRPr="00F51FA1" w:rsidRDefault="00F51FA1" w:rsidP="00F51FA1">
      <w:pPr>
        <w:autoSpaceDE w:val="0"/>
        <w:autoSpaceDN w:val="0"/>
        <w:adjustRightInd w:val="0"/>
        <w:jc w:val="both"/>
        <w:rPr>
          <w:rFonts w:ascii="Abadi" w:eastAsia="Calibri" w:hAnsi="Abadi" w:cs="*Arial-6160-Identity-H"/>
          <w:color w:val="0C0C0E"/>
          <w:sz w:val="21"/>
          <w:szCs w:val="21"/>
          <w:lang w:val="es-MX" w:eastAsia="en-US"/>
        </w:rPr>
      </w:pPr>
    </w:p>
    <w:p w14:paraId="43603712" w14:textId="77777777" w:rsidR="00F51FA1" w:rsidRPr="00F51FA1" w:rsidRDefault="00F51FA1" w:rsidP="00006D9C">
      <w:pPr>
        <w:autoSpaceDE w:val="0"/>
        <w:autoSpaceDN w:val="0"/>
        <w:adjustRightInd w:val="0"/>
        <w:ind w:firstLine="708"/>
        <w:jc w:val="both"/>
        <w:rPr>
          <w:rFonts w:ascii="Abadi" w:eastAsia="Calibri" w:hAnsi="Abadi" w:cs="*Arial-7508-Identity-H"/>
          <w:color w:val="0D0C0F"/>
          <w:sz w:val="21"/>
          <w:szCs w:val="21"/>
          <w:lang w:val="es-MX" w:eastAsia="en-US"/>
        </w:rPr>
      </w:pPr>
      <w:r w:rsidRPr="00F51FA1">
        <w:rPr>
          <w:rFonts w:ascii="Abadi" w:eastAsia="Calibri" w:hAnsi="Abadi" w:cs="*Arial-7508-Identity-H"/>
          <w:color w:val="0D0C0F"/>
          <w:sz w:val="21"/>
          <w:szCs w:val="21"/>
          <w:lang w:val="es-MX" w:eastAsia="en-US"/>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D2D98AF" w14:textId="77777777" w:rsidR="00F51FA1" w:rsidRPr="00F51FA1" w:rsidRDefault="00F51FA1" w:rsidP="00F51FA1">
      <w:pPr>
        <w:autoSpaceDE w:val="0"/>
        <w:autoSpaceDN w:val="0"/>
        <w:adjustRightInd w:val="0"/>
        <w:jc w:val="both"/>
        <w:rPr>
          <w:rFonts w:ascii="Abadi" w:eastAsia="Calibri" w:hAnsi="Abadi" w:cs="*Arial-7508-Identity-H"/>
          <w:color w:val="0D0C0F"/>
          <w:sz w:val="21"/>
          <w:szCs w:val="21"/>
          <w:lang w:val="es-MX" w:eastAsia="en-US"/>
        </w:rPr>
      </w:pPr>
    </w:p>
    <w:p w14:paraId="39476809" w14:textId="77777777" w:rsidR="00F51FA1" w:rsidRPr="00F51FA1" w:rsidRDefault="00F51FA1" w:rsidP="00006D9C">
      <w:pPr>
        <w:autoSpaceDE w:val="0"/>
        <w:autoSpaceDN w:val="0"/>
        <w:adjustRightInd w:val="0"/>
        <w:ind w:firstLine="708"/>
        <w:jc w:val="both"/>
        <w:rPr>
          <w:rFonts w:ascii="Abadi" w:eastAsia="Calibri" w:hAnsi="Abadi" w:cs="*Arial-7508-Identity-H"/>
          <w:color w:val="0D0C0F"/>
          <w:sz w:val="21"/>
          <w:szCs w:val="21"/>
          <w:lang w:val="es-MX" w:eastAsia="en-US"/>
        </w:rPr>
      </w:pPr>
      <w:r w:rsidRPr="00F51FA1">
        <w:rPr>
          <w:rFonts w:ascii="Abadi" w:eastAsia="Calibri" w:hAnsi="Abadi" w:cs="*Arial-7508-Identity-H"/>
          <w:color w:val="0D0C0F"/>
          <w:sz w:val="21"/>
          <w:szCs w:val="21"/>
          <w:lang w:val="es-MX" w:eastAsia="en-US"/>
        </w:rPr>
        <w:t xml:space="preserve">En razón de lo anteriormente señalado, concluimos que el informe de resultados de la auditoría de desempeño practicada a la administración municipal de San Diego de la Unión, </w:t>
      </w:r>
      <w:proofErr w:type="spellStart"/>
      <w:r w:rsidRPr="00F51FA1">
        <w:rPr>
          <w:rFonts w:ascii="Abadi" w:eastAsia="Calibri" w:hAnsi="Abadi" w:cs="*Arial-7508-Identity-H"/>
          <w:color w:val="0D0C0F"/>
          <w:sz w:val="21"/>
          <w:szCs w:val="21"/>
          <w:lang w:val="es-MX" w:eastAsia="en-US"/>
        </w:rPr>
        <w:t>Gto</w:t>
      </w:r>
      <w:proofErr w:type="spellEnd"/>
      <w:r w:rsidRPr="00F51FA1">
        <w:rPr>
          <w:rFonts w:ascii="Abadi" w:eastAsia="Calibri" w:hAnsi="Abadi" w:cs="*Arial-7508-Identity-H"/>
          <w:color w:val="0D0C0F"/>
          <w:sz w:val="21"/>
          <w:szCs w:val="21"/>
          <w:lang w:val="es-MX" w:eastAsia="en-US"/>
        </w:rPr>
        <w:t>., con enfoque a resultados del servicio de alumbrado público, por el ejercicio fiscal del año 2020,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036F01C8" w14:textId="77777777" w:rsidR="00F51FA1" w:rsidRPr="00F51FA1" w:rsidRDefault="00F51FA1" w:rsidP="00F51FA1">
      <w:pPr>
        <w:autoSpaceDE w:val="0"/>
        <w:autoSpaceDN w:val="0"/>
        <w:adjustRightInd w:val="0"/>
        <w:jc w:val="both"/>
        <w:rPr>
          <w:rFonts w:ascii="Abadi" w:eastAsia="Calibri" w:hAnsi="Abadi" w:cs="*Arial-7508-Identity-H"/>
          <w:color w:val="0C0C0E"/>
          <w:sz w:val="21"/>
          <w:szCs w:val="21"/>
          <w:lang w:val="es-MX" w:eastAsia="en-US"/>
        </w:rPr>
      </w:pPr>
    </w:p>
    <w:p w14:paraId="54A40755" w14:textId="77777777" w:rsidR="00F51FA1" w:rsidRPr="00F51FA1" w:rsidRDefault="00F51FA1" w:rsidP="004849D8">
      <w:pPr>
        <w:autoSpaceDE w:val="0"/>
        <w:autoSpaceDN w:val="0"/>
        <w:adjustRightInd w:val="0"/>
        <w:ind w:firstLine="708"/>
        <w:jc w:val="both"/>
        <w:rPr>
          <w:rFonts w:ascii="Abadi" w:eastAsia="Calibri" w:hAnsi="Abadi" w:cs="*Arial-7508-Identity-H"/>
          <w:color w:val="0C0C0E"/>
          <w:sz w:val="21"/>
          <w:szCs w:val="21"/>
          <w:lang w:val="es-MX" w:eastAsia="en-US"/>
        </w:rPr>
      </w:pPr>
      <w:r w:rsidRPr="00F51FA1">
        <w:rPr>
          <w:rFonts w:ascii="Abadi" w:eastAsia="Calibri" w:hAnsi="Abadi" w:cs="*Arial-7508-Identity-H"/>
          <w:color w:val="0C0C0E"/>
          <w:sz w:val="21"/>
          <w:szCs w:val="21"/>
          <w:lang w:val="es-MX" w:eastAsia="en-US"/>
        </w:rPr>
        <w:t>Por lo expuesto, con fundamento en el artículo 204 de la Ley Orgánica del Poder Legislativo, nos permitimos someter a la consideración de la Asamblea, la aprobación del siguiente:</w:t>
      </w:r>
    </w:p>
    <w:p w14:paraId="33BA3221" w14:textId="77777777" w:rsidR="00F51FA1" w:rsidRPr="00F51FA1" w:rsidRDefault="00F51FA1" w:rsidP="00F51FA1">
      <w:pPr>
        <w:autoSpaceDE w:val="0"/>
        <w:autoSpaceDN w:val="0"/>
        <w:adjustRightInd w:val="0"/>
        <w:rPr>
          <w:rFonts w:ascii="Abadi" w:eastAsia="Calibri" w:hAnsi="Abadi" w:cs="*Arial-Bold-7510-Identity-H"/>
          <w:b/>
          <w:bCs/>
          <w:color w:val="0E0D13"/>
          <w:sz w:val="21"/>
          <w:szCs w:val="21"/>
          <w:lang w:val="es-MX" w:eastAsia="en-US"/>
        </w:rPr>
      </w:pPr>
    </w:p>
    <w:p w14:paraId="0921E532" w14:textId="77777777" w:rsidR="00F51FA1" w:rsidRPr="00F51FA1" w:rsidRDefault="00F51FA1" w:rsidP="00F51FA1">
      <w:pPr>
        <w:autoSpaceDE w:val="0"/>
        <w:autoSpaceDN w:val="0"/>
        <w:adjustRightInd w:val="0"/>
        <w:jc w:val="center"/>
        <w:rPr>
          <w:rFonts w:ascii="Abadi" w:eastAsia="Calibri" w:hAnsi="Abadi" w:cs="*Arial-Bold-7510-Identity-H"/>
          <w:b/>
          <w:bCs/>
          <w:color w:val="0E0D13"/>
          <w:sz w:val="21"/>
          <w:szCs w:val="21"/>
          <w:lang w:val="es-MX" w:eastAsia="en-US"/>
        </w:rPr>
      </w:pPr>
      <w:r w:rsidRPr="00F51FA1">
        <w:rPr>
          <w:rFonts w:ascii="Abadi" w:eastAsia="Calibri" w:hAnsi="Abadi" w:cs="*Arial-Bold-7510-Identity-H"/>
          <w:b/>
          <w:bCs/>
          <w:color w:val="0E0D13"/>
          <w:sz w:val="21"/>
          <w:szCs w:val="21"/>
          <w:lang w:val="es-MX" w:eastAsia="en-US"/>
        </w:rPr>
        <w:t>ACUERDO</w:t>
      </w:r>
    </w:p>
    <w:p w14:paraId="74627465" w14:textId="77777777" w:rsidR="00F51FA1" w:rsidRPr="00F51FA1" w:rsidRDefault="00F51FA1" w:rsidP="00F51FA1">
      <w:pPr>
        <w:autoSpaceDE w:val="0"/>
        <w:autoSpaceDN w:val="0"/>
        <w:adjustRightInd w:val="0"/>
        <w:rPr>
          <w:rFonts w:ascii="Abadi" w:eastAsia="Calibri" w:hAnsi="Abadi" w:cs="*Arial-Bold-7509-Identity-H"/>
          <w:b/>
          <w:bCs/>
          <w:color w:val="0D0C0F"/>
          <w:sz w:val="21"/>
          <w:szCs w:val="21"/>
          <w:lang w:val="es-MX" w:eastAsia="en-US"/>
        </w:rPr>
      </w:pPr>
    </w:p>
    <w:p w14:paraId="0018409B" w14:textId="77777777" w:rsidR="00F51FA1" w:rsidRPr="00F51FA1" w:rsidRDefault="00F51FA1" w:rsidP="004849D8">
      <w:pPr>
        <w:autoSpaceDE w:val="0"/>
        <w:autoSpaceDN w:val="0"/>
        <w:adjustRightInd w:val="0"/>
        <w:ind w:firstLine="708"/>
        <w:jc w:val="both"/>
        <w:rPr>
          <w:rFonts w:ascii="Abadi" w:eastAsia="Calibri" w:hAnsi="Abadi" w:cs="*Arial-7508-Identity-H"/>
          <w:color w:val="0D0C0F"/>
          <w:sz w:val="21"/>
          <w:szCs w:val="21"/>
          <w:lang w:val="es-MX" w:eastAsia="en-US"/>
        </w:rPr>
      </w:pPr>
      <w:r w:rsidRPr="00F51FA1">
        <w:rPr>
          <w:rFonts w:ascii="Abadi" w:eastAsia="Calibri" w:hAnsi="Abadi" w:cs="*Arial-Bold-7509-Identity-H"/>
          <w:b/>
          <w:bCs/>
          <w:color w:val="0D0C0F"/>
          <w:sz w:val="21"/>
          <w:szCs w:val="21"/>
          <w:lang w:val="es-MX" w:eastAsia="en-US"/>
        </w:rPr>
        <w:t xml:space="preserve">Único. </w:t>
      </w:r>
      <w:r w:rsidRPr="00F51FA1">
        <w:rPr>
          <w:rFonts w:ascii="Abadi" w:eastAsia="Calibri" w:hAnsi="Abadi" w:cs="*Arial-7508-Identity-H"/>
          <w:color w:val="0D0C0F"/>
          <w:sz w:val="21"/>
          <w:szCs w:val="21"/>
          <w:lang w:val="es-MX" w:eastAsia="en-US"/>
        </w:rPr>
        <w:t xml:space="preserve">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Auditoria Superior del Estado de Guanajuato, de la auditoría de desempeño practicada a la administración municipal de San Diego de la Unión, </w:t>
      </w:r>
      <w:proofErr w:type="spellStart"/>
      <w:r w:rsidRPr="00F51FA1">
        <w:rPr>
          <w:rFonts w:ascii="Abadi" w:eastAsia="Calibri" w:hAnsi="Abadi" w:cs="*Arial-7508-Identity-H"/>
          <w:color w:val="0D0C0F"/>
          <w:sz w:val="21"/>
          <w:szCs w:val="21"/>
          <w:lang w:val="es-MX" w:eastAsia="en-US"/>
        </w:rPr>
        <w:t>Gto</w:t>
      </w:r>
      <w:proofErr w:type="spellEnd"/>
      <w:r w:rsidRPr="00F51FA1">
        <w:rPr>
          <w:rFonts w:ascii="Abadi" w:eastAsia="Calibri" w:hAnsi="Abadi" w:cs="*Arial-7508-Identity-H"/>
          <w:color w:val="0D0C0F"/>
          <w:sz w:val="21"/>
          <w:szCs w:val="21"/>
          <w:lang w:val="es-MX" w:eastAsia="en-US"/>
        </w:rPr>
        <w:t>., con enfoque a resultados del servicio de alumbrado público, por el periodo comprendido del 1 de enero al 31 de diciembre del ejercicio fiscal del año 2020.</w:t>
      </w:r>
    </w:p>
    <w:p w14:paraId="3D731BCD" w14:textId="77777777" w:rsidR="00F51FA1" w:rsidRPr="00F51FA1" w:rsidRDefault="00F51FA1" w:rsidP="00F51FA1">
      <w:pPr>
        <w:autoSpaceDE w:val="0"/>
        <w:autoSpaceDN w:val="0"/>
        <w:adjustRightInd w:val="0"/>
        <w:jc w:val="both"/>
        <w:rPr>
          <w:rFonts w:ascii="Abadi" w:eastAsia="Calibri" w:hAnsi="Abadi" w:cs="*Arial-7508-Identity-H"/>
          <w:color w:val="0D0C0E"/>
          <w:sz w:val="21"/>
          <w:szCs w:val="21"/>
          <w:lang w:val="es-MX" w:eastAsia="en-US"/>
        </w:rPr>
      </w:pPr>
    </w:p>
    <w:p w14:paraId="03FE68BC" w14:textId="77777777" w:rsidR="00F51FA1" w:rsidRPr="00F51FA1" w:rsidRDefault="00F51FA1" w:rsidP="004849D8">
      <w:pPr>
        <w:autoSpaceDE w:val="0"/>
        <w:autoSpaceDN w:val="0"/>
        <w:adjustRightInd w:val="0"/>
        <w:ind w:firstLine="708"/>
        <w:jc w:val="both"/>
        <w:rPr>
          <w:rFonts w:ascii="Abadi" w:eastAsia="Calibri" w:hAnsi="Abadi" w:cs="*Arial-7508-Identity-H"/>
          <w:color w:val="0D0C0E"/>
          <w:sz w:val="21"/>
          <w:szCs w:val="21"/>
          <w:lang w:val="es-MX" w:eastAsia="en-US"/>
        </w:rPr>
      </w:pPr>
      <w:r w:rsidRPr="00F51FA1">
        <w:rPr>
          <w:rFonts w:ascii="Abadi" w:eastAsia="Calibri" w:hAnsi="Abadi" w:cs="*Arial-7508-Identity-H"/>
          <w:color w:val="0D0C0E"/>
          <w:sz w:val="21"/>
          <w:szCs w:val="21"/>
          <w:lang w:val="es-MX" w:eastAsia="en-US"/>
        </w:rPr>
        <w:t xml:space="preserve">Se ordena dar vista del informe de resultados al ayuntamiento del municipio de San Diego de la Unión, </w:t>
      </w:r>
      <w:proofErr w:type="spellStart"/>
      <w:r w:rsidRPr="00F51FA1">
        <w:rPr>
          <w:rFonts w:ascii="Abadi" w:eastAsia="Calibri" w:hAnsi="Abadi" w:cs="*Arial-7508-Identity-H"/>
          <w:color w:val="0D0C0E"/>
          <w:sz w:val="21"/>
          <w:szCs w:val="21"/>
          <w:lang w:val="es-MX" w:eastAsia="en-US"/>
        </w:rPr>
        <w:t>Gto</w:t>
      </w:r>
      <w:proofErr w:type="spellEnd"/>
      <w:r w:rsidRPr="00F51FA1">
        <w:rPr>
          <w:rFonts w:ascii="Abadi" w:eastAsia="Calibri" w:hAnsi="Abadi" w:cs="*Arial-7508-Identity-H"/>
          <w:color w:val="0D0C0E"/>
          <w:sz w:val="21"/>
          <w:szCs w:val="21"/>
          <w:lang w:val="es-MX" w:eastAsia="en-US"/>
        </w:rPr>
        <w:t>., a efecto de que se atiendan las recomendaciones contenidas en el informe de resultados, informando a la Auditoria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5204AC91" w14:textId="77777777" w:rsidR="00F51FA1" w:rsidRPr="00F51FA1" w:rsidRDefault="00F51FA1" w:rsidP="00F51FA1">
      <w:pPr>
        <w:autoSpaceDE w:val="0"/>
        <w:autoSpaceDN w:val="0"/>
        <w:adjustRightInd w:val="0"/>
        <w:jc w:val="both"/>
        <w:rPr>
          <w:rFonts w:ascii="Abadi" w:eastAsia="Calibri" w:hAnsi="Abadi" w:cs="*Calibri-Bold-4939-Identity-H"/>
          <w:b/>
          <w:bCs/>
          <w:color w:val="24232D"/>
          <w:sz w:val="21"/>
          <w:szCs w:val="21"/>
          <w:lang w:val="es-MX" w:eastAsia="en-US"/>
        </w:rPr>
      </w:pPr>
    </w:p>
    <w:p w14:paraId="185D2054" w14:textId="77777777" w:rsidR="00F51FA1" w:rsidRPr="00F51FA1" w:rsidRDefault="00F51FA1" w:rsidP="004849D8">
      <w:pPr>
        <w:autoSpaceDE w:val="0"/>
        <w:autoSpaceDN w:val="0"/>
        <w:adjustRightInd w:val="0"/>
        <w:ind w:firstLine="708"/>
        <w:jc w:val="both"/>
        <w:rPr>
          <w:rFonts w:ascii="Abadi" w:eastAsia="Calibri" w:hAnsi="Abadi" w:cs="*Arial-4942-Identity-H"/>
          <w:color w:val="0D0D0F"/>
          <w:sz w:val="21"/>
          <w:szCs w:val="21"/>
          <w:lang w:val="es-MX" w:eastAsia="en-US"/>
        </w:rPr>
      </w:pPr>
      <w:r w:rsidRPr="00F51FA1">
        <w:rPr>
          <w:rFonts w:ascii="Abadi" w:eastAsia="Calibri" w:hAnsi="Abadi" w:cs="*Arial-4942-Identity-H"/>
          <w:color w:val="0D0D0F"/>
          <w:sz w:val="21"/>
          <w:szCs w:val="21"/>
          <w:lang w:val="es-MX" w:eastAsia="en-US"/>
        </w:rPr>
        <w:t>De conformidad con el artículo 37, fracción VI de la Ley de Fiscalización Superior del Estado de Guanajuato, remítase el presente acuerdo junto con su dictamen y el informe de resultados a la Auditoria Superior del Estado, para efectos de su notificación.</w:t>
      </w:r>
    </w:p>
    <w:p w14:paraId="47ADEE56" w14:textId="77777777" w:rsidR="00F51FA1" w:rsidRPr="00F51FA1" w:rsidRDefault="00F51FA1" w:rsidP="00F51FA1">
      <w:pPr>
        <w:autoSpaceDE w:val="0"/>
        <w:autoSpaceDN w:val="0"/>
        <w:adjustRightInd w:val="0"/>
        <w:rPr>
          <w:rFonts w:ascii="Abadi" w:eastAsia="Calibri" w:hAnsi="Abadi" w:cs="*Arial-Bold-4941-Identity-H"/>
          <w:b/>
          <w:bCs/>
          <w:color w:val="0D0C11"/>
          <w:sz w:val="21"/>
          <w:szCs w:val="21"/>
          <w:lang w:val="es-MX" w:eastAsia="en-US"/>
        </w:rPr>
      </w:pPr>
    </w:p>
    <w:p w14:paraId="769D3F71" w14:textId="77777777" w:rsidR="00F51FA1" w:rsidRPr="00F51FA1" w:rsidRDefault="00F51FA1" w:rsidP="00F51FA1">
      <w:pPr>
        <w:autoSpaceDE w:val="0"/>
        <w:autoSpaceDN w:val="0"/>
        <w:adjustRightInd w:val="0"/>
        <w:rPr>
          <w:rFonts w:ascii="Abadi" w:eastAsia="Calibri" w:hAnsi="Abadi" w:cs="*Arial-Bold-4941-Identity-H"/>
          <w:b/>
          <w:bCs/>
          <w:color w:val="0B0B10"/>
          <w:sz w:val="21"/>
          <w:szCs w:val="21"/>
          <w:lang w:val="es-MX" w:eastAsia="en-US"/>
        </w:rPr>
      </w:pPr>
    </w:p>
    <w:p w14:paraId="1F056966" w14:textId="77777777" w:rsidR="00F51FA1" w:rsidRPr="00F51FA1" w:rsidRDefault="00F51FA1" w:rsidP="00F51FA1">
      <w:pPr>
        <w:autoSpaceDE w:val="0"/>
        <w:autoSpaceDN w:val="0"/>
        <w:adjustRightInd w:val="0"/>
        <w:jc w:val="center"/>
        <w:rPr>
          <w:rFonts w:ascii="Abadi" w:eastAsia="Calibri" w:hAnsi="Abadi" w:cs="*Arial-Bold-4941-Identity-H"/>
          <w:b/>
          <w:bCs/>
          <w:color w:val="0B0B10"/>
          <w:sz w:val="21"/>
          <w:szCs w:val="21"/>
          <w:lang w:val="es-MX" w:eastAsia="en-US"/>
        </w:rPr>
      </w:pPr>
      <w:r w:rsidRPr="00F51FA1">
        <w:rPr>
          <w:rFonts w:ascii="Abadi" w:eastAsia="Calibri" w:hAnsi="Abadi" w:cs="*Arial-Bold-4941-Identity-H"/>
          <w:b/>
          <w:bCs/>
          <w:color w:val="0B0B10"/>
          <w:sz w:val="21"/>
          <w:szCs w:val="21"/>
          <w:lang w:val="es-MX" w:eastAsia="en-US"/>
        </w:rPr>
        <w:t xml:space="preserve">Guanajuato, </w:t>
      </w:r>
      <w:proofErr w:type="spellStart"/>
      <w:r w:rsidRPr="00F51FA1">
        <w:rPr>
          <w:rFonts w:ascii="Abadi" w:eastAsia="Calibri" w:hAnsi="Abadi" w:cs="*Arial-Bold-4941-Identity-H"/>
          <w:b/>
          <w:bCs/>
          <w:color w:val="0B0B10"/>
          <w:sz w:val="21"/>
          <w:szCs w:val="21"/>
          <w:lang w:val="es-MX" w:eastAsia="en-US"/>
        </w:rPr>
        <w:t>Gto</w:t>
      </w:r>
      <w:proofErr w:type="spellEnd"/>
      <w:r w:rsidRPr="00F51FA1">
        <w:rPr>
          <w:rFonts w:ascii="Abadi" w:eastAsia="Calibri" w:hAnsi="Abadi" w:cs="*Arial-Bold-4941-Identity-H"/>
          <w:b/>
          <w:bCs/>
          <w:color w:val="0B0B10"/>
          <w:sz w:val="21"/>
          <w:szCs w:val="21"/>
          <w:lang w:val="es-MX" w:eastAsia="en-US"/>
        </w:rPr>
        <w:t>., 19 de abril de 2022</w:t>
      </w:r>
    </w:p>
    <w:p w14:paraId="2DA93457" w14:textId="77777777" w:rsidR="00F51FA1" w:rsidRPr="00F51FA1" w:rsidRDefault="00F51FA1" w:rsidP="00F51FA1">
      <w:pPr>
        <w:autoSpaceDE w:val="0"/>
        <w:autoSpaceDN w:val="0"/>
        <w:adjustRightInd w:val="0"/>
        <w:jc w:val="center"/>
        <w:rPr>
          <w:rFonts w:ascii="Abadi" w:eastAsia="Calibri" w:hAnsi="Abadi" w:cs="*Arial-Bold-4941-Identity-H"/>
          <w:b/>
          <w:bCs/>
          <w:color w:val="0B0B10"/>
          <w:sz w:val="21"/>
          <w:szCs w:val="21"/>
          <w:lang w:val="es-MX" w:eastAsia="en-US"/>
        </w:rPr>
      </w:pPr>
      <w:r w:rsidRPr="00F51FA1">
        <w:rPr>
          <w:rFonts w:ascii="Abadi" w:eastAsia="Calibri" w:hAnsi="Abadi" w:cs="*Arial-Bold-4941-Identity-H"/>
          <w:b/>
          <w:bCs/>
          <w:color w:val="0B0B10"/>
          <w:sz w:val="21"/>
          <w:szCs w:val="21"/>
          <w:lang w:val="es-MX" w:eastAsia="en-US"/>
        </w:rPr>
        <w:t>La Comisión de Hacienda y Fiscalización</w:t>
      </w:r>
    </w:p>
    <w:p w14:paraId="58E31B36" w14:textId="77777777" w:rsidR="00F51FA1" w:rsidRPr="00F51FA1" w:rsidRDefault="00F51FA1" w:rsidP="001C7165">
      <w:pPr>
        <w:autoSpaceDE w:val="0"/>
        <w:autoSpaceDN w:val="0"/>
        <w:adjustRightInd w:val="0"/>
        <w:jc w:val="center"/>
        <w:rPr>
          <w:rFonts w:ascii="Abadi" w:eastAsia="Calibri" w:hAnsi="Abadi" w:cs="*Arial-Bold-4941-Identity-H"/>
          <w:b/>
          <w:bCs/>
          <w:color w:val="0B0B10"/>
          <w:sz w:val="21"/>
          <w:szCs w:val="21"/>
          <w:lang w:val="es-MX" w:eastAsia="en-US"/>
        </w:rPr>
      </w:pPr>
      <w:r w:rsidRPr="00F51FA1">
        <w:rPr>
          <w:rFonts w:ascii="Abadi" w:eastAsia="Calibri" w:hAnsi="Abadi" w:cs="*Arial-Bold-4941-Identity-H"/>
          <w:b/>
          <w:bCs/>
          <w:color w:val="0B0B10"/>
          <w:sz w:val="21"/>
          <w:szCs w:val="21"/>
          <w:lang w:val="es-MX" w:eastAsia="en-US"/>
        </w:rPr>
        <w:t>Diputado Victor Manuel Zanella Huerta</w:t>
      </w:r>
    </w:p>
    <w:p w14:paraId="1B97C627" w14:textId="77777777" w:rsidR="00F51FA1" w:rsidRPr="00F51FA1" w:rsidRDefault="00F51FA1" w:rsidP="00F51FA1">
      <w:pPr>
        <w:autoSpaceDE w:val="0"/>
        <w:autoSpaceDN w:val="0"/>
        <w:adjustRightInd w:val="0"/>
        <w:jc w:val="center"/>
        <w:rPr>
          <w:rFonts w:ascii="Abadi" w:eastAsia="Calibri" w:hAnsi="Abadi" w:cs="*Arial-Bold-4941-Identity-H"/>
          <w:b/>
          <w:bCs/>
          <w:color w:val="0B0B10"/>
          <w:sz w:val="21"/>
          <w:szCs w:val="21"/>
          <w:lang w:val="es-MX" w:eastAsia="en-US"/>
        </w:rPr>
      </w:pPr>
    </w:p>
    <w:p w14:paraId="28999059" w14:textId="77777777" w:rsidR="00F51FA1" w:rsidRPr="00F51FA1" w:rsidRDefault="00F51FA1" w:rsidP="001C7165">
      <w:pPr>
        <w:autoSpaceDE w:val="0"/>
        <w:autoSpaceDN w:val="0"/>
        <w:adjustRightInd w:val="0"/>
        <w:rPr>
          <w:rFonts w:ascii="Abadi" w:eastAsia="Calibri" w:hAnsi="Abadi" w:cs="*Arial-Bold-4941-Identity-H"/>
          <w:b/>
          <w:bCs/>
          <w:color w:val="0B0B10"/>
          <w:sz w:val="21"/>
          <w:szCs w:val="21"/>
          <w:lang w:val="es-MX" w:eastAsia="en-US"/>
        </w:rPr>
      </w:pPr>
      <w:r w:rsidRPr="00F51FA1">
        <w:rPr>
          <w:rFonts w:ascii="Abadi" w:eastAsia="Calibri" w:hAnsi="Abadi" w:cs="*Arial-Bold-4941-Identity-H"/>
          <w:b/>
          <w:bCs/>
          <w:color w:val="0B0B10"/>
          <w:sz w:val="21"/>
          <w:szCs w:val="21"/>
          <w:lang w:val="es-MX" w:eastAsia="en-US"/>
        </w:rPr>
        <w:t>Diputada Ruth Noemi Tiscareño Agoitia</w:t>
      </w:r>
    </w:p>
    <w:p w14:paraId="0596354D" w14:textId="77777777" w:rsidR="00F51FA1" w:rsidRPr="00F51FA1" w:rsidRDefault="00F51FA1" w:rsidP="001C7165">
      <w:pPr>
        <w:autoSpaceDE w:val="0"/>
        <w:autoSpaceDN w:val="0"/>
        <w:adjustRightInd w:val="0"/>
        <w:rPr>
          <w:rFonts w:ascii="Abadi" w:eastAsia="Calibri" w:hAnsi="Abadi" w:cs="*Arial-Bold-4941-Identity-H"/>
          <w:b/>
          <w:bCs/>
          <w:color w:val="0B0B10"/>
          <w:sz w:val="21"/>
          <w:szCs w:val="21"/>
          <w:lang w:val="es-MX" w:eastAsia="en-US"/>
        </w:rPr>
      </w:pPr>
      <w:r w:rsidRPr="00F51FA1">
        <w:rPr>
          <w:rFonts w:ascii="Abadi" w:eastAsia="Calibri" w:hAnsi="Abadi" w:cs="*Arial-Bold-4941-Identity-H"/>
          <w:b/>
          <w:bCs/>
          <w:color w:val="0B0B10"/>
          <w:sz w:val="21"/>
          <w:szCs w:val="21"/>
          <w:lang w:val="es-MX" w:eastAsia="en-US"/>
        </w:rPr>
        <w:t xml:space="preserve">Diputado Miguel Ángel Salim </w:t>
      </w:r>
      <w:proofErr w:type="spellStart"/>
      <w:r w:rsidRPr="00F51FA1">
        <w:rPr>
          <w:rFonts w:ascii="Abadi" w:eastAsia="Calibri" w:hAnsi="Abadi" w:cs="*Arial-Bold-4941-Identity-H"/>
          <w:b/>
          <w:bCs/>
          <w:color w:val="0B0B10"/>
          <w:sz w:val="21"/>
          <w:szCs w:val="21"/>
          <w:lang w:val="es-MX" w:eastAsia="en-US"/>
        </w:rPr>
        <w:t>Alle</w:t>
      </w:r>
      <w:proofErr w:type="spellEnd"/>
    </w:p>
    <w:p w14:paraId="5D10EA36" w14:textId="77777777" w:rsidR="00F51FA1" w:rsidRPr="00F51FA1" w:rsidRDefault="00F51FA1" w:rsidP="001C7165">
      <w:pPr>
        <w:autoSpaceDE w:val="0"/>
        <w:autoSpaceDN w:val="0"/>
        <w:adjustRightInd w:val="0"/>
        <w:rPr>
          <w:rFonts w:ascii="Abadi" w:eastAsia="Calibri" w:hAnsi="Abadi" w:cs="*Arial-Bold-4941-Identity-H"/>
          <w:b/>
          <w:bCs/>
          <w:color w:val="0B0B10"/>
          <w:sz w:val="21"/>
          <w:szCs w:val="21"/>
          <w:lang w:val="es-MX" w:eastAsia="en-US"/>
        </w:rPr>
      </w:pPr>
      <w:r w:rsidRPr="00F51FA1">
        <w:rPr>
          <w:rFonts w:ascii="Abadi" w:eastAsia="Calibri" w:hAnsi="Abadi" w:cs="*Arial-Bold-4941-Identity-H"/>
          <w:b/>
          <w:bCs/>
          <w:color w:val="0B0B10"/>
          <w:sz w:val="21"/>
          <w:szCs w:val="21"/>
          <w:lang w:val="es-MX" w:eastAsia="en-US"/>
        </w:rPr>
        <w:t>Diputado José Alfonso Borja Pimentel</w:t>
      </w:r>
    </w:p>
    <w:p w14:paraId="31F427E7" w14:textId="77777777" w:rsidR="00F51FA1" w:rsidRPr="00F51FA1" w:rsidRDefault="00F51FA1" w:rsidP="001C7165">
      <w:pPr>
        <w:autoSpaceDE w:val="0"/>
        <w:autoSpaceDN w:val="0"/>
        <w:adjustRightInd w:val="0"/>
        <w:rPr>
          <w:rFonts w:ascii="Abadi" w:eastAsia="Calibri" w:hAnsi="Abadi" w:cs="*Arial-Bold-4941-Identity-H"/>
          <w:b/>
          <w:bCs/>
          <w:color w:val="0B0B10"/>
          <w:sz w:val="21"/>
          <w:szCs w:val="21"/>
          <w:lang w:val="es-MX" w:eastAsia="en-US"/>
        </w:rPr>
      </w:pPr>
      <w:r w:rsidRPr="00F51FA1">
        <w:rPr>
          <w:rFonts w:ascii="Abadi" w:eastAsia="Calibri" w:hAnsi="Abadi" w:cs="*Arial-Bold-4941-Identity-H"/>
          <w:b/>
          <w:bCs/>
          <w:color w:val="0B0B10"/>
          <w:sz w:val="21"/>
          <w:szCs w:val="21"/>
          <w:lang w:val="es-MX" w:eastAsia="en-US"/>
        </w:rPr>
        <w:t>Diputada Alma Edwviges Alcaraz Hernández</w:t>
      </w:r>
    </w:p>
    <w:p w14:paraId="5D5CC478" w14:textId="77777777" w:rsidR="00264F2F" w:rsidRDefault="00264F2F" w:rsidP="00021259">
      <w:pPr>
        <w:autoSpaceDE w:val="0"/>
        <w:autoSpaceDN w:val="0"/>
        <w:adjustRightInd w:val="0"/>
        <w:jc w:val="both"/>
        <w:rPr>
          <w:rFonts w:ascii="Abadi" w:hAnsi="Abadi" w:cs="ArialMT"/>
          <w:sz w:val="20"/>
          <w:szCs w:val="21"/>
        </w:rPr>
      </w:pPr>
    </w:p>
    <w:p w14:paraId="0F7E78BE" w14:textId="77777777" w:rsidR="00264F2F" w:rsidRDefault="00264F2F" w:rsidP="00021259">
      <w:pPr>
        <w:autoSpaceDE w:val="0"/>
        <w:autoSpaceDN w:val="0"/>
        <w:adjustRightInd w:val="0"/>
        <w:jc w:val="both"/>
        <w:rPr>
          <w:rFonts w:ascii="Abadi" w:hAnsi="Abadi" w:cs="ArialMT"/>
          <w:sz w:val="20"/>
          <w:szCs w:val="21"/>
        </w:rPr>
      </w:pPr>
    </w:p>
    <w:p w14:paraId="36BC3AE8" w14:textId="4F4A9448" w:rsidR="00021259" w:rsidRDefault="00021259" w:rsidP="00343CA9">
      <w:pPr>
        <w:pStyle w:val="Prrafodelista"/>
        <w:numPr>
          <w:ilvl w:val="0"/>
          <w:numId w:val="32"/>
        </w:numPr>
        <w:autoSpaceDE w:val="0"/>
        <w:autoSpaceDN w:val="0"/>
        <w:adjustRightInd w:val="0"/>
        <w:ind w:left="426"/>
        <w:jc w:val="both"/>
        <w:rPr>
          <w:rFonts w:ascii="Abadi" w:hAnsi="Abadi" w:cs="ArialMT"/>
          <w:b/>
          <w:bCs/>
          <w:sz w:val="20"/>
          <w:szCs w:val="21"/>
        </w:rPr>
      </w:pPr>
      <w:r w:rsidRPr="001D2CB5">
        <w:rPr>
          <w:rFonts w:ascii="Abadi" w:hAnsi="Abadi" w:cs="ArialMT"/>
          <w:b/>
          <w:bCs/>
          <w:sz w:val="20"/>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SAN FRANCISCO DEL RINCÓN, GTO., CON ENFOQUE A RESULTADOS DEL SERVICIO DE ALUMBRADO PÚBLICO, POR EL PERIODO COMPRENDIDO DEL 1 DE ENERO AL 31 DE DICIEMBRE DEL EJERCICIO FISCAL DEL AÑO 2020.</w:t>
      </w:r>
    </w:p>
    <w:p w14:paraId="7B275D0D" w14:textId="40D0C999" w:rsidR="002F42D9" w:rsidRDefault="002F42D9" w:rsidP="002F42D9">
      <w:pPr>
        <w:autoSpaceDE w:val="0"/>
        <w:autoSpaceDN w:val="0"/>
        <w:adjustRightInd w:val="0"/>
        <w:jc w:val="both"/>
        <w:rPr>
          <w:rFonts w:ascii="Abadi" w:hAnsi="Abadi" w:cs="ArialMT"/>
          <w:b/>
          <w:bCs/>
          <w:sz w:val="20"/>
          <w:szCs w:val="21"/>
        </w:rPr>
      </w:pPr>
    </w:p>
    <w:p w14:paraId="24D2C7A1" w14:textId="4541252F" w:rsidR="002F42D9" w:rsidRDefault="002F42D9" w:rsidP="002F42D9">
      <w:pPr>
        <w:autoSpaceDE w:val="0"/>
        <w:autoSpaceDN w:val="0"/>
        <w:adjustRightInd w:val="0"/>
        <w:jc w:val="both"/>
        <w:rPr>
          <w:rFonts w:ascii="Abadi" w:hAnsi="Abadi" w:cs="ArialMT"/>
          <w:b/>
          <w:bCs/>
          <w:sz w:val="20"/>
          <w:szCs w:val="21"/>
        </w:rPr>
      </w:pPr>
    </w:p>
    <w:p w14:paraId="0679CB0E" w14:textId="77777777" w:rsidR="002F42D9" w:rsidRPr="00494B56" w:rsidRDefault="002F42D9" w:rsidP="002F42D9">
      <w:pPr>
        <w:autoSpaceDE w:val="0"/>
        <w:autoSpaceDN w:val="0"/>
        <w:adjustRightInd w:val="0"/>
        <w:jc w:val="both"/>
        <w:rPr>
          <w:rFonts w:ascii="Abadi" w:hAnsi="Abadi" w:cs="*Arial-Bold-7308-Identity-H"/>
          <w:b/>
          <w:bCs/>
          <w:color w:val="101014"/>
          <w:sz w:val="21"/>
          <w:szCs w:val="21"/>
        </w:rPr>
      </w:pPr>
      <w:r w:rsidRPr="00494B56">
        <w:rPr>
          <w:rFonts w:ascii="Abadi" w:hAnsi="Abadi" w:cs="*Arial-Bold-7308-Identity-H"/>
          <w:b/>
          <w:bCs/>
          <w:color w:val="101014"/>
          <w:sz w:val="21"/>
          <w:szCs w:val="21"/>
        </w:rPr>
        <w:t>C. PRESIDENTA DEL CONGRESO DEL ESTADO.</w:t>
      </w:r>
    </w:p>
    <w:p w14:paraId="096F94C8" w14:textId="77777777" w:rsidR="002F42D9" w:rsidRPr="00494B56" w:rsidRDefault="002F42D9" w:rsidP="002F42D9">
      <w:pPr>
        <w:autoSpaceDE w:val="0"/>
        <w:autoSpaceDN w:val="0"/>
        <w:adjustRightInd w:val="0"/>
        <w:jc w:val="both"/>
        <w:rPr>
          <w:rFonts w:ascii="Abadi" w:hAnsi="Abadi" w:cs="*Arial-Bold-7308-Identity-H"/>
          <w:b/>
          <w:bCs/>
          <w:color w:val="101014"/>
          <w:sz w:val="21"/>
          <w:szCs w:val="21"/>
        </w:rPr>
      </w:pPr>
      <w:r w:rsidRPr="00494B56">
        <w:rPr>
          <w:rFonts w:ascii="Abadi" w:hAnsi="Abadi" w:cs="*Arial-Bold-7308-Identity-H"/>
          <w:b/>
          <w:bCs/>
          <w:color w:val="101014"/>
          <w:sz w:val="21"/>
          <w:szCs w:val="21"/>
        </w:rPr>
        <w:t>P R E S E N T E.</w:t>
      </w:r>
    </w:p>
    <w:p w14:paraId="18AB7514" w14:textId="77777777" w:rsidR="002F42D9" w:rsidRPr="00494B56" w:rsidRDefault="002F42D9" w:rsidP="002F42D9">
      <w:pPr>
        <w:autoSpaceDE w:val="0"/>
        <w:autoSpaceDN w:val="0"/>
        <w:adjustRightInd w:val="0"/>
        <w:jc w:val="both"/>
        <w:rPr>
          <w:rFonts w:ascii="Abadi" w:hAnsi="Abadi" w:cs="*Arial-Bold-7308-Identity-H"/>
          <w:b/>
          <w:bCs/>
          <w:color w:val="101014"/>
          <w:sz w:val="21"/>
          <w:szCs w:val="21"/>
        </w:rPr>
      </w:pPr>
    </w:p>
    <w:p w14:paraId="04B7517E" w14:textId="77777777" w:rsidR="002F42D9" w:rsidRPr="00494B56" w:rsidRDefault="002F42D9" w:rsidP="002F42D9">
      <w:pPr>
        <w:autoSpaceDE w:val="0"/>
        <w:autoSpaceDN w:val="0"/>
        <w:adjustRightInd w:val="0"/>
        <w:ind w:firstLine="708"/>
        <w:jc w:val="both"/>
        <w:rPr>
          <w:rFonts w:ascii="Abadi" w:hAnsi="Abadi" w:cs="*Arial-7306-Identity-H"/>
          <w:color w:val="0C0B0E"/>
          <w:sz w:val="21"/>
          <w:szCs w:val="21"/>
        </w:rPr>
      </w:pPr>
      <w:r w:rsidRPr="00494B56">
        <w:rPr>
          <w:rFonts w:ascii="Abadi" w:hAnsi="Abadi" w:cs="*Arial-7306-Identity-H"/>
          <w:color w:val="0C0B0E"/>
          <w:sz w:val="21"/>
          <w:szCs w:val="21"/>
        </w:rPr>
        <w:t xml:space="preserve">A esta Comisión de Hacienda y Fiscalización le fue turnado para su estudio y dictamen, el informe de resultados de la auditoria de desempeño practicada por la Auditoría Superior del Estado de Guanajuato a la administración municipal de San Francisco del Rincón, </w:t>
      </w:r>
      <w:proofErr w:type="spellStart"/>
      <w:r w:rsidRPr="00494B56">
        <w:rPr>
          <w:rFonts w:ascii="Abadi" w:hAnsi="Abadi" w:cs="*Arial-7306-Identity-H"/>
          <w:color w:val="0C0B0E"/>
          <w:sz w:val="21"/>
          <w:szCs w:val="21"/>
        </w:rPr>
        <w:t>Gto</w:t>
      </w:r>
      <w:proofErr w:type="spellEnd"/>
      <w:r w:rsidRPr="00494B56">
        <w:rPr>
          <w:rFonts w:ascii="Abadi" w:hAnsi="Abadi" w:cs="*Arial-7306-Identity-H"/>
          <w:color w:val="0C0B0E"/>
          <w:sz w:val="21"/>
          <w:szCs w:val="21"/>
        </w:rPr>
        <w:t>., con enfoque a resultados del servicio de alumbrado público, por el periodo comprendido del 1 de enero al 31 de diciembre del ejercicio fiscal del año 2020.</w:t>
      </w:r>
    </w:p>
    <w:p w14:paraId="07BDFE5B" w14:textId="77777777" w:rsidR="002F42D9" w:rsidRPr="00494B56" w:rsidRDefault="002F42D9" w:rsidP="002F42D9">
      <w:pPr>
        <w:autoSpaceDE w:val="0"/>
        <w:autoSpaceDN w:val="0"/>
        <w:adjustRightInd w:val="0"/>
        <w:jc w:val="both"/>
        <w:rPr>
          <w:rFonts w:ascii="Abadi" w:hAnsi="Abadi" w:cs="*Arial-7306-Identity-H"/>
          <w:color w:val="0C0B0E"/>
          <w:sz w:val="21"/>
          <w:szCs w:val="21"/>
        </w:rPr>
      </w:pPr>
    </w:p>
    <w:p w14:paraId="1ED3A9A6" w14:textId="77777777" w:rsidR="002F42D9" w:rsidRPr="00494B56" w:rsidRDefault="002F42D9" w:rsidP="002F42D9">
      <w:pPr>
        <w:autoSpaceDE w:val="0"/>
        <w:autoSpaceDN w:val="0"/>
        <w:adjustRightInd w:val="0"/>
        <w:ind w:firstLine="708"/>
        <w:jc w:val="both"/>
        <w:rPr>
          <w:rFonts w:ascii="Abadi" w:hAnsi="Abadi" w:cs="*Arial-7306-Identity-H"/>
          <w:color w:val="0C0B0E"/>
          <w:sz w:val="21"/>
          <w:szCs w:val="21"/>
        </w:rPr>
      </w:pPr>
      <w:r w:rsidRPr="00494B56">
        <w:rPr>
          <w:rFonts w:ascii="Abadi" w:hAnsi="Abadi" w:cs="*Arial-7306-Identity-H"/>
          <w:color w:val="0C0B0E"/>
          <w:sz w:val="21"/>
          <w:szCs w:val="21"/>
        </w:rPr>
        <w:t>Una vez analiz</w:t>
      </w:r>
      <w:r w:rsidRPr="00494B56">
        <w:rPr>
          <w:rFonts w:ascii="Abadi" w:eastAsia="Abadi" w:hAnsi="Abadi" w:cs="Abadi"/>
          <w:color w:val="0C0B0E"/>
          <w:sz w:val="21"/>
          <w:szCs w:val="21"/>
        </w:rPr>
        <w:t>a</w:t>
      </w:r>
      <w:r w:rsidRPr="00494B56">
        <w:rPr>
          <w:rFonts w:ascii="Abadi" w:hAnsi="Abadi" w:cs="*Arial-7306-Identity-H"/>
          <w:color w:val="0C0B0E"/>
          <w:sz w:val="21"/>
          <w:szCs w:val="21"/>
        </w:rPr>
        <w:t>do el referido informe de resultados, con fundamento en los</w:t>
      </w:r>
      <w:r>
        <w:rPr>
          <w:rFonts w:ascii="Abadi" w:hAnsi="Abadi" w:cs="*Arial-7306-Identity-H"/>
          <w:color w:val="0C0B0E"/>
          <w:sz w:val="21"/>
          <w:szCs w:val="21"/>
        </w:rPr>
        <w:t xml:space="preserve"> </w:t>
      </w:r>
      <w:r w:rsidRPr="00494B56">
        <w:rPr>
          <w:rFonts w:ascii="Abadi" w:hAnsi="Abadi" w:cs="*Arial-7306-Identity-H"/>
          <w:color w:val="0C0B0E"/>
          <w:sz w:val="21"/>
          <w:szCs w:val="21"/>
        </w:rPr>
        <w:t>artículos 112 fracción XII, primer párrafo y 171 de la Ley Orgánica del Poder</w:t>
      </w:r>
      <w:r>
        <w:rPr>
          <w:rFonts w:ascii="Abadi" w:hAnsi="Abadi" w:cs="*Arial-7306-Identity-H"/>
          <w:color w:val="0C0B0E"/>
          <w:sz w:val="21"/>
          <w:szCs w:val="21"/>
        </w:rPr>
        <w:t xml:space="preserve"> </w:t>
      </w:r>
      <w:r w:rsidRPr="00494B56">
        <w:rPr>
          <w:rFonts w:ascii="Abadi" w:hAnsi="Abadi" w:cs="*Arial-7306-Identity-H"/>
          <w:color w:val="0C0B0E"/>
          <w:sz w:val="21"/>
          <w:szCs w:val="21"/>
        </w:rPr>
        <w:t>Legislativo, nos permitimos rendir el siguiente:</w:t>
      </w:r>
    </w:p>
    <w:p w14:paraId="39200ECF" w14:textId="77777777" w:rsidR="002F42D9" w:rsidRPr="00494B56" w:rsidRDefault="002F42D9" w:rsidP="002F42D9">
      <w:pPr>
        <w:autoSpaceDE w:val="0"/>
        <w:autoSpaceDN w:val="0"/>
        <w:adjustRightInd w:val="0"/>
        <w:jc w:val="both"/>
        <w:rPr>
          <w:rFonts w:ascii="Abadi" w:hAnsi="Abadi" w:cs="*Arial-Bold-7307-Identity-H"/>
          <w:b/>
          <w:bCs/>
          <w:color w:val="0E0D12"/>
          <w:sz w:val="21"/>
          <w:szCs w:val="21"/>
        </w:rPr>
      </w:pPr>
    </w:p>
    <w:p w14:paraId="1DE4FC4F" w14:textId="77777777" w:rsidR="002F42D9" w:rsidRPr="00494B56" w:rsidRDefault="002F42D9" w:rsidP="002F42D9">
      <w:pPr>
        <w:autoSpaceDE w:val="0"/>
        <w:autoSpaceDN w:val="0"/>
        <w:adjustRightInd w:val="0"/>
        <w:ind w:left="2832"/>
        <w:jc w:val="both"/>
        <w:rPr>
          <w:rFonts w:ascii="Abadi" w:hAnsi="Abadi" w:cs="*Arial-Bold-7307-Identity-H"/>
          <w:b/>
          <w:bCs/>
          <w:color w:val="0E0D12"/>
          <w:sz w:val="21"/>
          <w:szCs w:val="21"/>
        </w:rPr>
      </w:pPr>
      <w:r w:rsidRPr="00494B56">
        <w:rPr>
          <w:rFonts w:ascii="Abadi" w:hAnsi="Abadi" w:cs="*Arial-Bold-7307-Identity-H"/>
          <w:b/>
          <w:bCs/>
          <w:color w:val="0E0D12"/>
          <w:sz w:val="21"/>
          <w:szCs w:val="21"/>
        </w:rPr>
        <w:t>Dictamen</w:t>
      </w:r>
    </w:p>
    <w:p w14:paraId="74B025C2" w14:textId="77777777" w:rsidR="002F42D9" w:rsidRPr="00494B56" w:rsidRDefault="002F42D9" w:rsidP="002F42D9">
      <w:pPr>
        <w:autoSpaceDE w:val="0"/>
        <w:autoSpaceDN w:val="0"/>
        <w:adjustRightInd w:val="0"/>
        <w:jc w:val="both"/>
        <w:rPr>
          <w:rFonts w:ascii="Abadi" w:hAnsi="Abadi" w:cs="*Arial-Bold-7307-Identity-H"/>
          <w:b/>
          <w:bCs/>
          <w:color w:val="0F0F14"/>
          <w:sz w:val="21"/>
          <w:szCs w:val="21"/>
        </w:rPr>
      </w:pPr>
    </w:p>
    <w:p w14:paraId="24A5731F" w14:textId="77777777" w:rsidR="002F42D9" w:rsidRPr="00494B56" w:rsidRDefault="002F42D9" w:rsidP="002F42D9">
      <w:pPr>
        <w:autoSpaceDE w:val="0"/>
        <w:autoSpaceDN w:val="0"/>
        <w:adjustRightInd w:val="0"/>
        <w:ind w:firstLine="708"/>
        <w:jc w:val="both"/>
        <w:rPr>
          <w:rFonts w:ascii="Abadi" w:hAnsi="Abadi" w:cs="*Arial-Bold-7307-Identity-H"/>
          <w:b/>
          <w:bCs/>
          <w:color w:val="0F0F14"/>
          <w:sz w:val="21"/>
          <w:szCs w:val="21"/>
        </w:rPr>
      </w:pPr>
      <w:r w:rsidRPr="00494B56">
        <w:rPr>
          <w:rFonts w:ascii="Abadi" w:hAnsi="Abadi" w:cs="*Arial-Bold-7307-Identity-H"/>
          <w:b/>
          <w:bCs/>
          <w:color w:val="0F0F14"/>
          <w:sz w:val="21"/>
          <w:szCs w:val="21"/>
        </w:rPr>
        <w:t>l. Competencia:</w:t>
      </w:r>
    </w:p>
    <w:p w14:paraId="7A3E389C" w14:textId="77777777" w:rsidR="002F42D9" w:rsidRPr="00494B56" w:rsidRDefault="002F42D9" w:rsidP="002F42D9">
      <w:pPr>
        <w:autoSpaceDE w:val="0"/>
        <w:autoSpaceDN w:val="0"/>
        <w:adjustRightInd w:val="0"/>
        <w:jc w:val="both"/>
        <w:rPr>
          <w:rFonts w:ascii="Abadi" w:hAnsi="Abadi" w:cs="*Arial-7306-Identity-H"/>
          <w:color w:val="0D0C0F"/>
          <w:sz w:val="21"/>
          <w:szCs w:val="21"/>
        </w:rPr>
      </w:pPr>
    </w:p>
    <w:p w14:paraId="400EBC65" w14:textId="77777777" w:rsidR="002F42D9" w:rsidRPr="00494B56" w:rsidRDefault="002F42D9" w:rsidP="002F42D9">
      <w:pPr>
        <w:autoSpaceDE w:val="0"/>
        <w:autoSpaceDN w:val="0"/>
        <w:adjustRightInd w:val="0"/>
        <w:ind w:firstLine="708"/>
        <w:jc w:val="both"/>
        <w:rPr>
          <w:rFonts w:ascii="Abadi" w:hAnsi="Abadi" w:cs="*Arial-7306-Identity-H"/>
          <w:color w:val="0D0C0F"/>
          <w:sz w:val="21"/>
          <w:szCs w:val="21"/>
        </w:rPr>
      </w:pPr>
      <w:r w:rsidRPr="00494B56">
        <w:rPr>
          <w:rFonts w:ascii="Abadi" w:hAnsi="Abadi" w:cs="*Arial-7306-Identity-H"/>
          <w:color w:val="0D0C0F"/>
          <w:sz w:val="21"/>
          <w:szCs w:val="21"/>
        </w:rPr>
        <w:t>Las facultades de la legislatura local en materia de fiscalización de las</w:t>
      </w:r>
      <w:r>
        <w:rPr>
          <w:rFonts w:ascii="Abadi" w:hAnsi="Abadi" w:cs="*Arial-7306-Identity-H"/>
          <w:color w:val="0D0C0F"/>
          <w:sz w:val="21"/>
          <w:szCs w:val="21"/>
        </w:rPr>
        <w:t xml:space="preserve"> </w:t>
      </w:r>
      <w:r w:rsidRPr="00494B56">
        <w:rPr>
          <w:rFonts w:ascii="Abadi" w:hAnsi="Abadi" w:cs="*Arial-7306-Identity-H"/>
          <w:color w:val="0D0C0F"/>
          <w:sz w:val="21"/>
          <w:szCs w:val="21"/>
        </w:rPr>
        <w:t>cuentas públicas tienen su fundamento en lo dispuesto por el articulo 63</w:t>
      </w:r>
      <w:r>
        <w:rPr>
          <w:rFonts w:ascii="Abadi" w:hAnsi="Abadi" w:cs="*Arial-7306-Identity-H"/>
          <w:color w:val="0D0C0F"/>
          <w:sz w:val="21"/>
          <w:szCs w:val="21"/>
        </w:rPr>
        <w:t xml:space="preserve"> </w:t>
      </w:r>
      <w:r w:rsidRPr="00494B56">
        <w:rPr>
          <w:rFonts w:ascii="Abadi" w:hAnsi="Abadi" w:cs="*Arial-7306-Identity-H"/>
          <w:color w:val="0D0C0F"/>
          <w:sz w:val="21"/>
          <w:szCs w:val="21"/>
        </w:rPr>
        <w:t xml:space="preserve">fracciones </w:t>
      </w:r>
      <w:r w:rsidRPr="00494B56">
        <w:rPr>
          <w:rFonts w:ascii="Abadi" w:hAnsi="Abadi" w:cs="*Microsoft Sans Serif-Bold-7310"/>
          <w:color w:val="0D0C0F"/>
          <w:sz w:val="21"/>
          <w:szCs w:val="21"/>
        </w:rPr>
        <w:t xml:space="preserve">XVIII, XIX </w:t>
      </w:r>
      <w:r w:rsidRPr="00494B56">
        <w:rPr>
          <w:rFonts w:ascii="Abadi" w:hAnsi="Abadi" w:cs="*Arial-7306-Identity-H"/>
          <w:color w:val="0D0C0F"/>
          <w:sz w:val="21"/>
          <w:szCs w:val="21"/>
        </w:rPr>
        <w:t xml:space="preserve">y </w:t>
      </w:r>
      <w:r w:rsidRPr="00494B56">
        <w:rPr>
          <w:rFonts w:ascii="Abadi" w:hAnsi="Abadi" w:cs="*Microsoft Sans Serif-Bold-7310"/>
          <w:color w:val="0D0C0F"/>
          <w:sz w:val="21"/>
          <w:szCs w:val="21"/>
        </w:rPr>
        <w:t>XXVIII</w:t>
      </w:r>
      <w:r w:rsidRPr="00494B56">
        <w:rPr>
          <w:rFonts w:ascii="Abadi" w:hAnsi="Abadi" w:cs="*Microsoft Sans Serif-Bold-7310"/>
          <w:b/>
          <w:bCs/>
          <w:color w:val="0D0C0F"/>
          <w:sz w:val="21"/>
          <w:szCs w:val="21"/>
        </w:rPr>
        <w:t xml:space="preserve"> </w:t>
      </w:r>
      <w:r w:rsidRPr="00494B56">
        <w:rPr>
          <w:rFonts w:ascii="Abadi" w:hAnsi="Abadi" w:cs="*Arial-7306-Identity-H"/>
          <w:color w:val="0D0C0F"/>
          <w:sz w:val="21"/>
          <w:szCs w:val="21"/>
        </w:rPr>
        <w:t>de la Constitución Política para el Estado de</w:t>
      </w:r>
      <w:r>
        <w:rPr>
          <w:rFonts w:ascii="Abadi" w:hAnsi="Abadi" w:cs="*Arial-7306-Identity-H"/>
          <w:color w:val="0D0C0F"/>
          <w:sz w:val="21"/>
          <w:szCs w:val="21"/>
        </w:rPr>
        <w:t xml:space="preserve"> </w:t>
      </w:r>
      <w:r w:rsidRPr="00494B56">
        <w:rPr>
          <w:rFonts w:ascii="Abadi" w:hAnsi="Abadi" w:cs="*Arial-7306-Identity-H"/>
          <w:color w:val="0D0C0F"/>
          <w:sz w:val="21"/>
          <w:szCs w:val="21"/>
        </w:rPr>
        <w:t>Guanajuato. Estos dispositivos establecen que el Congreso del Estado tiene la</w:t>
      </w:r>
      <w:r>
        <w:rPr>
          <w:rFonts w:ascii="Abadi" w:hAnsi="Abadi" w:cs="*Arial-7306-Identity-H"/>
          <w:color w:val="0D0C0F"/>
          <w:sz w:val="21"/>
          <w:szCs w:val="21"/>
        </w:rPr>
        <w:t xml:space="preserve"> </w:t>
      </w:r>
      <w:r w:rsidRPr="00494B56">
        <w:rPr>
          <w:rFonts w:ascii="Abadi" w:hAnsi="Abadi" w:cs="*Arial-7306-Identity-H"/>
          <w:color w:val="0D0C0F"/>
          <w:sz w:val="21"/>
          <w:szCs w:val="21"/>
        </w:rPr>
        <w:t>facultad de fiscalizar la cuenta pública del Poder Ejecutivo, incluyendo las de las</w:t>
      </w:r>
    </w:p>
    <w:p w14:paraId="105E551F" w14:textId="77777777" w:rsidR="002F42D9" w:rsidRPr="00494B56" w:rsidRDefault="002F42D9" w:rsidP="002F42D9">
      <w:pPr>
        <w:autoSpaceDE w:val="0"/>
        <w:autoSpaceDN w:val="0"/>
        <w:adjustRightInd w:val="0"/>
        <w:jc w:val="both"/>
        <w:rPr>
          <w:rFonts w:ascii="Abadi" w:hAnsi="Abadi" w:cs="*Arial-7306-Identity-H"/>
          <w:color w:val="0D0C0F"/>
          <w:sz w:val="21"/>
          <w:szCs w:val="21"/>
        </w:rPr>
      </w:pPr>
      <w:r w:rsidRPr="00494B56">
        <w:rPr>
          <w:rFonts w:ascii="Abadi" w:hAnsi="Abadi" w:cs="*Arial-7306-Identity-H"/>
          <w:color w:val="0D0C0F"/>
          <w:sz w:val="21"/>
          <w:szCs w:val="21"/>
        </w:rPr>
        <w:t>entidades y organismos de la administración pública paraestatal, las del Poder</w:t>
      </w:r>
      <w:r>
        <w:rPr>
          <w:rFonts w:ascii="Abadi" w:hAnsi="Abadi" w:cs="*Arial-7306-Identity-H"/>
          <w:color w:val="0D0C0F"/>
          <w:sz w:val="21"/>
          <w:szCs w:val="21"/>
        </w:rPr>
        <w:t xml:space="preserve"> </w:t>
      </w:r>
      <w:r w:rsidRPr="00494B56">
        <w:rPr>
          <w:rFonts w:ascii="Abadi" w:hAnsi="Abadi" w:cs="*Arial-7306-Identity-H"/>
          <w:color w:val="0D0C0F"/>
          <w:sz w:val="21"/>
          <w:szCs w:val="21"/>
        </w:rPr>
        <w:t>Judicial y de los organismos autónomos; así como las cuentas públicas</w:t>
      </w:r>
      <w:r>
        <w:rPr>
          <w:rFonts w:ascii="Abadi" w:hAnsi="Abadi" w:cs="*Arial-7306-Identity-H"/>
          <w:color w:val="0D0C0F"/>
          <w:sz w:val="21"/>
          <w:szCs w:val="21"/>
        </w:rPr>
        <w:t xml:space="preserve"> </w:t>
      </w:r>
      <w:r w:rsidRPr="00494B56">
        <w:rPr>
          <w:rFonts w:ascii="Abadi" w:hAnsi="Abadi" w:cs="*Arial-7306-Identity-H"/>
          <w:color w:val="0D0C0F"/>
          <w:sz w:val="21"/>
          <w:szCs w:val="21"/>
        </w:rPr>
        <w:t>municipales, incluyendo las de las entidades y organismos de la administración</w:t>
      </w:r>
      <w:r>
        <w:rPr>
          <w:rFonts w:ascii="Abadi" w:hAnsi="Abadi" w:cs="*Arial-7306-Identity-H"/>
          <w:color w:val="0D0C0F"/>
          <w:sz w:val="21"/>
          <w:szCs w:val="21"/>
        </w:rPr>
        <w:t xml:space="preserve"> </w:t>
      </w:r>
      <w:r w:rsidRPr="00494B56">
        <w:rPr>
          <w:rFonts w:ascii="Abadi" w:hAnsi="Abadi" w:cs="*Arial-7306-Identity-H"/>
          <w:color w:val="0D0C0F"/>
          <w:sz w:val="21"/>
          <w:szCs w:val="21"/>
        </w:rPr>
        <w:t>pública paramunicipal; y verificar el desempeño en el cumplimiento de los</w:t>
      </w:r>
      <w:r>
        <w:rPr>
          <w:rFonts w:ascii="Abadi" w:hAnsi="Abadi" w:cs="*Arial-7306-Identity-H"/>
          <w:color w:val="0D0C0F"/>
          <w:sz w:val="21"/>
          <w:szCs w:val="21"/>
        </w:rPr>
        <w:t xml:space="preserve"> </w:t>
      </w:r>
      <w:r w:rsidRPr="00494B56">
        <w:rPr>
          <w:rFonts w:ascii="Abadi" w:hAnsi="Abadi" w:cs="*Arial-7306-Identity-H"/>
          <w:color w:val="0D0C0F"/>
          <w:sz w:val="21"/>
          <w:szCs w:val="21"/>
        </w:rPr>
        <w:t>objetivos de los programas. De igual manera, puede acordar la práctica de</w:t>
      </w:r>
    </w:p>
    <w:p w14:paraId="0DF4455B" w14:textId="77777777" w:rsidR="002F42D9" w:rsidRPr="00494B56" w:rsidRDefault="002F42D9" w:rsidP="002F42D9">
      <w:pPr>
        <w:autoSpaceDE w:val="0"/>
        <w:autoSpaceDN w:val="0"/>
        <w:adjustRightInd w:val="0"/>
        <w:jc w:val="both"/>
        <w:rPr>
          <w:rFonts w:ascii="Abadi" w:hAnsi="Abadi" w:cs="*Arial-7306-Identity-H"/>
          <w:color w:val="0D0C0F"/>
          <w:sz w:val="21"/>
          <w:szCs w:val="21"/>
        </w:rPr>
      </w:pPr>
      <w:r w:rsidRPr="00494B56">
        <w:rPr>
          <w:rFonts w:ascii="Abadi" w:hAnsi="Abadi" w:cs="*Arial-7306-Identity-H"/>
          <w:color w:val="0D0C0F"/>
          <w:sz w:val="21"/>
          <w:szCs w:val="21"/>
        </w:rPr>
        <w:t>auditorías a los sujetos de fiscalización, cuando exista causa justificada para ello,</w:t>
      </w:r>
      <w:r>
        <w:rPr>
          <w:rFonts w:ascii="Abadi" w:hAnsi="Abadi" w:cs="*Arial-7306-Identity-H"/>
          <w:color w:val="0D0C0F"/>
          <w:sz w:val="21"/>
          <w:szCs w:val="21"/>
        </w:rPr>
        <w:t xml:space="preserve"> </w:t>
      </w:r>
      <w:r w:rsidRPr="00494B56">
        <w:rPr>
          <w:rFonts w:ascii="Abadi" w:hAnsi="Abadi" w:cs="*Arial-7306-Identity-H"/>
          <w:color w:val="0D0C0F"/>
          <w:sz w:val="21"/>
          <w:szCs w:val="21"/>
        </w:rPr>
        <w:t>auxiliándose para el cumplimiento de dichas facultades por la Auditor! a Superior</w:t>
      </w:r>
      <w:r>
        <w:rPr>
          <w:rFonts w:ascii="Abadi" w:hAnsi="Abadi" w:cs="*Arial-7306-Identity-H"/>
          <w:color w:val="0D0C0F"/>
          <w:sz w:val="21"/>
          <w:szCs w:val="21"/>
        </w:rPr>
        <w:t xml:space="preserve"> </w:t>
      </w:r>
      <w:r w:rsidRPr="00494B56">
        <w:rPr>
          <w:rFonts w:ascii="Abadi" w:hAnsi="Abadi" w:cs="*Arial-7306-Identity-H"/>
          <w:color w:val="0D0C0F"/>
          <w:sz w:val="21"/>
          <w:szCs w:val="21"/>
        </w:rPr>
        <w:t>del Estado de Guanajuato.</w:t>
      </w:r>
    </w:p>
    <w:p w14:paraId="6F156549" w14:textId="77777777" w:rsidR="002F42D9" w:rsidRPr="00494B56" w:rsidRDefault="002F42D9" w:rsidP="002F42D9">
      <w:pPr>
        <w:autoSpaceDE w:val="0"/>
        <w:autoSpaceDN w:val="0"/>
        <w:adjustRightInd w:val="0"/>
        <w:jc w:val="both"/>
        <w:rPr>
          <w:rFonts w:ascii="Abadi" w:hAnsi="Abadi" w:cs="*Arial-7306-Identity-H"/>
          <w:color w:val="0D0C0F"/>
          <w:sz w:val="21"/>
          <w:szCs w:val="21"/>
        </w:rPr>
      </w:pPr>
    </w:p>
    <w:p w14:paraId="22DB8853" w14:textId="77777777" w:rsidR="002F42D9" w:rsidRPr="00494B56" w:rsidRDefault="002F42D9" w:rsidP="002F42D9">
      <w:pPr>
        <w:autoSpaceDE w:val="0"/>
        <w:autoSpaceDN w:val="0"/>
        <w:adjustRightInd w:val="0"/>
        <w:ind w:firstLine="708"/>
        <w:jc w:val="both"/>
        <w:rPr>
          <w:rFonts w:ascii="Abadi" w:hAnsi="Abadi" w:cs="*Arial-7306-Identity-H"/>
          <w:color w:val="0C0C0E"/>
          <w:sz w:val="21"/>
          <w:szCs w:val="21"/>
        </w:rPr>
      </w:pPr>
      <w:r w:rsidRPr="00494B56">
        <w:rPr>
          <w:rFonts w:ascii="Abadi" w:hAnsi="Abadi" w:cs="*Arial-7306-Identity-H"/>
          <w:color w:val="0C0C0E"/>
          <w:sz w:val="21"/>
          <w:szCs w:val="21"/>
        </w:rPr>
        <w:t>Asimismo, el artículo 66 fracción VIII de dicho Ordenamiento Constitucional</w:t>
      </w:r>
      <w:r>
        <w:rPr>
          <w:rFonts w:ascii="Abadi" w:hAnsi="Abadi" w:cs="*Arial-7306-Identity-H"/>
          <w:color w:val="0C0C0E"/>
          <w:sz w:val="21"/>
          <w:szCs w:val="21"/>
        </w:rPr>
        <w:t xml:space="preserve"> </w:t>
      </w:r>
      <w:r w:rsidRPr="00494B56">
        <w:rPr>
          <w:rFonts w:ascii="Abadi" w:hAnsi="Abadi" w:cs="*Arial-7306-Identity-H"/>
          <w:color w:val="0C0C0E"/>
          <w:sz w:val="21"/>
          <w:szCs w:val="21"/>
        </w:rPr>
        <w:t>establece que la Auditoría Superior del Estado de Guanajuato deberá informar al</w:t>
      </w:r>
      <w:r>
        <w:rPr>
          <w:rFonts w:ascii="Abadi" w:hAnsi="Abadi" w:cs="*Arial-7306-Identity-H"/>
          <w:color w:val="0C0C0E"/>
          <w:sz w:val="21"/>
          <w:szCs w:val="21"/>
        </w:rPr>
        <w:t xml:space="preserve"> </w:t>
      </w:r>
      <w:r w:rsidRPr="00494B56">
        <w:rPr>
          <w:rFonts w:ascii="Abadi" w:hAnsi="Abadi" w:cs="*Arial-7306-Identity-H"/>
          <w:color w:val="0C0C0E"/>
          <w:sz w:val="21"/>
          <w:szCs w:val="21"/>
        </w:rPr>
        <w:t>Congreso del Estado del resultado de la revisión de la cuenta pública y demás</w:t>
      </w:r>
      <w:r>
        <w:rPr>
          <w:rFonts w:ascii="Abadi" w:hAnsi="Abadi" w:cs="*Arial-7306-Identity-H"/>
          <w:color w:val="0C0C0E"/>
          <w:sz w:val="21"/>
          <w:szCs w:val="21"/>
        </w:rPr>
        <w:t xml:space="preserve"> </w:t>
      </w:r>
      <w:r w:rsidRPr="00494B56">
        <w:rPr>
          <w:rFonts w:ascii="Abadi" w:hAnsi="Abadi" w:cs="*Arial-7306-Identity-H"/>
          <w:color w:val="0C0C0E"/>
          <w:sz w:val="21"/>
          <w:szCs w:val="21"/>
        </w:rPr>
        <w:t>asuntos derivados de la fiscalización, incluyendo los dictámenes, informes de</w:t>
      </w:r>
      <w:r>
        <w:rPr>
          <w:rFonts w:ascii="Abadi" w:hAnsi="Abadi" w:cs="*Arial-7306-Identity-H"/>
          <w:color w:val="0C0C0E"/>
          <w:sz w:val="21"/>
          <w:szCs w:val="21"/>
        </w:rPr>
        <w:t xml:space="preserve"> </w:t>
      </w:r>
      <w:r w:rsidRPr="00494B56">
        <w:rPr>
          <w:rFonts w:ascii="Abadi" w:hAnsi="Abadi" w:cs="*Arial-7306-Identity-H"/>
          <w:color w:val="0C0C0E"/>
          <w:sz w:val="21"/>
          <w:szCs w:val="21"/>
        </w:rPr>
        <w:t>resultados, comentarios y observaciones de las auditorías, constituyendo una de</w:t>
      </w:r>
      <w:r>
        <w:rPr>
          <w:rFonts w:ascii="Abadi" w:hAnsi="Abadi" w:cs="*Arial-7306-Identity-H"/>
          <w:color w:val="0C0C0E"/>
          <w:sz w:val="21"/>
          <w:szCs w:val="21"/>
        </w:rPr>
        <w:t xml:space="preserve"> </w:t>
      </w:r>
      <w:r w:rsidRPr="00494B56">
        <w:rPr>
          <w:rFonts w:ascii="Abadi" w:hAnsi="Abadi" w:cs="*Arial-7306-Identity-H"/>
          <w:color w:val="0C0C0E"/>
          <w:sz w:val="21"/>
          <w:szCs w:val="21"/>
        </w:rPr>
        <w:t>las fases del proceso de fiscalización.</w:t>
      </w:r>
    </w:p>
    <w:p w14:paraId="5B0993B8" w14:textId="77777777" w:rsidR="002F42D9" w:rsidRPr="00494B56" w:rsidRDefault="002F42D9" w:rsidP="002F42D9">
      <w:pPr>
        <w:autoSpaceDE w:val="0"/>
        <w:autoSpaceDN w:val="0"/>
        <w:adjustRightInd w:val="0"/>
        <w:jc w:val="both"/>
        <w:rPr>
          <w:rFonts w:ascii="Abadi" w:hAnsi="Abadi" w:cs="*Arial-6320-Identity-H"/>
          <w:color w:val="181818"/>
          <w:sz w:val="21"/>
          <w:szCs w:val="21"/>
        </w:rPr>
      </w:pPr>
    </w:p>
    <w:p w14:paraId="1974E332" w14:textId="77777777" w:rsidR="002F42D9" w:rsidRPr="00494B56" w:rsidRDefault="002F42D9" w:rsidP="002F42D9">
      <w:pPr>
        <w:autoSpaceDE w:val="0"/>
        <w:autoSpaceDN w:val="0"/>
        <w:adjustRightInd w:val="0"/>
        <w:ind w:firstLine="708"/>
        <w:jc w:val="both"/>
        <w:rPr>
          <w:rFonts w:ascii="Abadi" w:hAnsi="Abadi" w:cs="*Arial-6316-Identity-H"/>
          <w:color w:val="0C0C0F"/>
          <w:sz w:val="21"/>
          <w:szCs w:val="21"/>
        </w:rPr>
      </w:pPr>
      <w:r w:rsidRPr="00494B56">
        <w:rPr>
          <w:rFonts w:ascii="Abadi" w:hAnsi="Abadi" w:cs="*Arial-6316-Identity-H"/>
          <w:color w:val="0C0C0F"/>
          <w:sz w:val="21"/>
          <w:szCs w:val="21"/>
        </w:rPr>
        <w:t xml:space="preserve">De igual forma, el artículo 82, fracción </w:t>
      </w:r>
      <w:r w:rsidRPr="00494B56">
        <w:rPr>
          <w:rFonts w:ascii="Abadi" w:hAnsi="Abadi" w:cs="*Arial-Bold-6318-Identity-H"/>
          <w:color w:val="0C0C0F"/>
          <w:sz w:val="21"/>
          <w:szCs w:val="21"/>
        </w:rPr>
        <w:t>XXIV</w:t>
      </w:r>
      <w:r w:rsidRPr="00494B56">
        <w:rPr>
          <w:rFonts w:ascii="Abadi" w:hAnsi="Abadi" w:cs="*Arial-Bold-6318-Identity-H"/>
          <w:b/>
          <w:bCs/>
          <w:color w:val="0C0C0F"/>
          <w:sz w:val="21"/>
          <w:szCs w:val="21"/>
        </w:rPr>
        <w:t xml:space="preserve"> </w:t>
      </w:r>
      <w:r w:rsidRPr="00494B56">
        <w:rPr>
          <w:rFonts w:ascii="Abadi" w:hAnsi="Abadi" w:cs="*Arial-6316-Identity-H"/>
          <w:color w:val="0C0C0F"/>
          <w:sz w:val="21"/>
          <w:szCs w:val="21"/>
        </w:rPr>
        <w:t>de la Ley de Fiscalización</w:t>
      </w:r>
      <w:r>
        <w:rPr>
          <w:rFonts w:ascii="Abadi" w:hAnsi="Abadi" w:cs="*Arial-6316-Identity-H"/>
          <w:color w:val="0C0C0F"/>
          <w:sz w:val="21"/>
          <w:szCs w:val="21"/>
        </w:rPr>
        <w:t xml:space="preserve"> </w:t>
      </w:r>
      <w:r w:rsidRPr="00494B56">
        <w:rPr>
          <w:rFonts w:ascii="Abadi" w:hAnsi="Abadi" w:cs="*Arial-6316-Identity-H"/>
          <w:color w:val="0C0C0F"/>
          <w:sz w:val="21"/>
          <w:szCs w:val="21"/>
        </w:rPr>
        <w:t>Superior del Estado de Guanajuato establece como atribución de la Auditoría</w:t>
      </w:r>
      <w:r>
        <w:rPr>
          <w:rFonts w:ascii="Abadi" w:hAnsi="Abadi" w:cs="*Arial-6316-Identity-H"/>
          <w:color w:val="0C0C0F"/>
          <w:sz w:val="21"/>
          <w:szCs w:val="21"/>
        </w:rPr>
        <w:t xml:space="preserve"> </w:t>
      </w:r>
      <w:r w:rsidRPr="00494B56">
        <w:rPr>
          <w:rFonts w:ascii="Abadi" w:hAnsi="Abadi" w:cs="*Arial-6316-Identity-H"/>
          <w:color w:val="0C0C0F"/>
          <w:sz w:val="21"/>
          <w:szCs w:val="21"/>
        </w:rPr>
        <w:t>Superior del Estado, rendir al Congreso, los informes derivados del ejercicio de la</w:t>
      </w:r>
      <w:r>
        <w:rPr>
          <w:rFonts w:ascii="Abadi" w:hAnsi="Abadi" w:cs="*Arial-6316-Identity-H"/>
          <w:color w:val="0C0C0F"/>
          <w:sz w:val="21"/>
          <w:szCs w:val="21"/>
        </w:rPr>
        <w:t xml:space="preserve"> </w:t>
      </w:r>
      <w:r w:rsidRPr="00494B56">
        <w:rPr>
          <w:rFonts w:ascii="Abadi" w:hAnsi="Abadi" w:cs="*Arial-6316-Identity-H"/>
          <w:color w:val="0C0C0F"/>
          <w:sz w:val="21"/>
          <w:szCs w:val="21"/>
        </w:rPr>
        <w:t>función de fiscalización.</w:t>
      </w:r>
    </w:p>
    <w:p w14:paraId="343CB77A" w14:textId="77777777" w:rsidR="002F42D9" w:rsidRPr="00494B56" w:rsidRDefault="002F42D9" w:rsidP="002F42D9">
      <w:pPr>
        <w:autoSpaceDE w:val="0"/>
        <w:autoSpaceDN w:val="0"/>
        <w:adjustRightInd w:val="0"/>
        <w:jc w:val="both"/>
        <w:rPr>
          <w:rFonts w:ascii="Abadi" w:hAnsi="Abadi" w:cs="*Arial-6316-Identity-H"/>
          <w:color w:val="0C0C0F"/>
          <w:sz w:val="21"/>
          <w:szCs w:val="21"/>
        </w:rPr>
      </w:pPr>
    </w:p>
    <w:p w14:paraId="185793A5" w14:textId="77777777" w:rsidR="002F42D9" w:rsidRPr="00494B56" w:rsidRDefault="002F42D9" w:rsidP="002F42D9">
      <w:pPr>
        <w:autoSpaceDE w:val="0"/>
        <w:autoSpaceDN w:val="0"/>
        <w:adjustRightInd w:val="0"/>
        <w:ind w:firstLine="708"/>
        <w:jc w:val="both"/>
        <w:rPr>
          <w:rFonts w:ascii="Abadi" w:hAnsi="Abadi" w:cs="*Arial-6316-Identity-H"/>
          <w:color w:val="0C0C0F"/>
          <w:sz w:val="21"/>
          <w:szCs w:val="21"/>
        </w:rPr>
      </w:pPr>
      <w:r w:rsidRPr="00494B56">
        <w:rPr>
          <w:rFonts w:ascii="Abadi" w:hAnsi="Abadi" w:cs="*Arial-6316-Identity-H"/>
          <w:color w:val="0C0C0F"/>
          <w:sz w:val="21"/>
          <w:szCs w:val="21"/>
        </w:rPr>
        <w:t>En razón de lo cual, la Ley de Fiscalización Superior del Estado de</w:t>
      </w:r>
      <w:r>
        <w:rPr>
          <w:rFonts w:ascii="Abadi" w:hAnsi="Abadi" w:cs="*Arial-6316-Identity-H"/>
          <w:color w:val="0C0C0F"/>
          <w:sz w:val="21"/>
          <w:szCs w:val="21"/>
        </w:rPr>
        <w:t xml:space="preserve"> </w:t>
      </w:r>
      <w:r w:rsidRPr="00494B56">
        <w:rPr>
          <w:rFonts w:ascii="Abadi" w:hAnsi="Abadi" w:cs="*Arial-6316-Identity-H"/>
          <w:color w:val="0C0C0F"/>
          <w:sz w:val="21"/>
          <w:szCs w:val="21"/>
        </w:rPr>
        <w:t>Guanajuato establece que la Auditoría Superior debe remitir los informes de</w:t>
      </w:r>
      <w:r>
        <w:rPr>
          <w:rFonts w:ascii="Abadi" w:hAnsi="Abadi" w:cs="*Arial-6316-Identity-H"/>
          <w:color w:val="0C0C0F"/>
          <w:sz w:val="21"/>
          <w:szCs w:val="21"/>
        </w:rPr>
        <w:t xml:space="preserve"> </w:t>
      </w:r>
      <w:r w:rsidRPr="00494B56">
        <w:rPr>
          <w:rFonts w:ascii="Abadi" w:hAnsi="Abadi" w:cs="*Arial-6316-Identity-H"/>
          <w:color w:val="0C0C0F"/>
          <w:sz w:val="21"/>
          <w:szCs w:val="21"/>
        </w:rPr>
        <w:t>resultados al Congreso del Estado, a efecto de que éste realice la declaratoria</w:t>
      </w:r>
      <w:r>
        <w:rPr>
          <w:rFonts w:ascii="Abadi" w:hAnsi="Abadi" w:cs="*Arial-6316-Identity-H"/>
          <w:color w:val="0C0C0F"/>
          <w:sz w:val="21"/>
          <w:szCs w:val="21"/>
        </w:rPr>
        <w:t xml:space="preserve"> </w:t>
      </w:r>
      <w:r w:rsidRPr="00494B56">
        <w:rPr>
          <w:rFonts w:ascii="Abadi" w:hAnsi="Abadi" w:cs="*Arial-6316-Identity-H"/>
          <w:color w:val="0C0C0F"/>
          <w:sz w:val="21"/>
          <w:szCs w:val="21"/>
        </w:rPr>
        <w:t>correspondiente, señalándose en el artículo 38 que el informe de resultados</w:t>
      </w:r>
      <w:r>
        <w:rPr>
          <w:rFonts w:ascii="Abadi" w:hAnsi="Abadi" w:cs="*Arial-6316-Identity-H"/>
          <w:color w:val="0C0C0F"/>
          <w:sz w:val="21"/>
          <w:szCs w:val="21"/>
        </w:rPr>
        <w:t xml:space="preserve"> </w:t>
      </w:r>
      <w:r w:rsidRPr="00494B56">
        <w:rPr>
          <w:rFonts w:ascii="Abadi" w:hAnsi="Abadi" w:cs="*Arial-6316-Identity-H"/>
          <w:color w:val="0C0C0F"/>
          <w:sz w:val="21"/>
          <w:szCs w:val="21"/>
        </w:rPr>
        <w:t>únicamente podrá ser observado por las dos terceras partes de los diputados</w:t>
      </w:r>
    </w:p>
    <w:p w14:paraId="72C7EFFD" w14:textId="77777777" w:rsidR="002F42D9" w:rsidRPr="00494B56" w:rsidRDefault="002F42D9" w:rsidP="002F42D9">
      <w:pPr>
        <w:autoSpaceDE w:val="0"/>
        <w:autoSpaceDN w:val="0"/>
        <w:adjustRightInd w:val="0"/>
        <w:jc w:val="both"/>
        <w:rPr>
          <w:rFonts w:ascii="Abadi" w:hAnsi="Abadi" w:cs="*Arial-6316-Identity-H"/>
          <w:color w:val="0C0C0F"/>
          <w:sz w:val="21"/>
          <w:szCs w:val="21"/>
        </w:rPr>
      </w:pPr>
      <w:r w:rsidRPr="00494B56">
        <w:rPr>
          <w:rFonts w:ascii="Abadi" w:hAnsi="Abadi" w:cs="*Arial-6316-Identity-H"/>
          <w:color w:val="0C0C0F"/>
          <w:sz w:val="21"/>
          <w:szCs w:val="21"/>
        </w:rPr>
        <w:t>integrantes del Congreso, cuando no se observen las formalidades esenciales del</w:t>
      </w:r>
      <w:r>
        <w:rPr>
          <w:rFonts w:ascii="Abadi" w:hAnsi="Abadi" w:cs="*Arial-6316-Identity-H"/>
          <w:color w:val="0C0C0F"/>
          <w:sz w:val="21"/>
          <w:szCs w:val="21"/>
        </w:rPr>
        <w:t xml:space="preserve"> </w:t>
      </w:r>
      <w:r w:rsidRPr="00494B56">
        <w:rPr>
          <w:rFonts w:ascii="Abadi" w:hAnsi="Abadi" w:cs="*Arial-6316-Identity-H"/>
          <w:color w:val="0C0C0F"/>
          <w:sz w:val="21"/>
          <w:szCs w:val="21"/>
        </w:rPr>
        <w:t>proceso de fiscalización.</w:t>
      </w:r>
    </w:p>
    <w:p w14:paraId="7B4EAEF3" w14:textId="77777777" w:rsidR="002F42D9" w:rsidRPr="00494B56" w:rsidRDefault="002F42D9" w:rsidP="002F42D9">
      <w:pPr>
        <w:autoSpaceDE w:val="0"/>
        <w:autoSpaceDN w:val="0"/>
        <w:adjustRightInd w:val="0"/>
        <w:jc w:val="both"/>
        <w:rPr>
          <w:rFonts w:ascii="Abadi" w:hAnsi="Abadi" w:cs="*Arial-6316-Identity-H"/>
          <w:color w:val="0C0C0F"/>
          <w:sz w:val="21"/>
          <w:szCs w:val="21"/>
        </w:rPr>
      </w:pPr>
    </w:p>
    <w:p w14:paraId="149A8BCD" w14:textId="77777777" w:rsidR="002F42D9" w:rsidRPr="00494B56" w:rsidRDefault="002F42D9" w:rsidP="002F42D9">
      <w:pPr>
        <w:autoSpaceDE w:val="0"/>
        <w:autoSpaceDN w:val="0"/>
        <w:adjustRightInd w:val="0"/>
        <w:ind w:firstLine="708"/>
        <w:jc w:val="both"/>
        <w:rPr>
          <w:rFonts w:ascii="Abadi" w:hAnsi="Abadi" w:cs="*Arial-6316-Identity-H"/>
          <w:color w:val="0D0D10"/>
          <w:sz w:val="21"/>
          <w:szCs w:val="21"/>
        </w:rPr>
      </w:pPr>
      <w:r w:rsidRPr="00494B56">
        <w:rPr>
          <w:rFonts w:ascii="Abadi" w:hAnsi="Abadi" w:cs="*Arial-6316-Identity-H"/>
          <w:color w:val="0D0D10"/>
          <w:sz w:val="21"/>
          <w:szCs w:val="21"/>
        </w:rPr>
        <w:t>Con la finalidad de que el Congreso dé cumplimiento a lo señalado en el</w:t>
      </w:r>
      <w:r>
        <w:rPr>
          <w:rFonts w:ascii="Abadi" w:hAnsi="Abadi" w:cs="*Arial-6316-Identity-H"/>
          <w:color w:val="0D0D10"/>
          <w:sz w:val="21"/>
          <w:szCs w:val="21"/>
        </w:rPr>
        <w:t xml:space="preserve"> </w:t>
      </w:r>
      <w:r w:rsidRPr="00494B56">
        <w:rPr>
          <w:rFonts w:ascii="Abadi" w:hAnsi="Abadi" w:cs="*Arial-6316-Identity-H"/>
          <w:color w:val="0D0D10"/>
          <w:sz w:val="21"/>
          <w:szCs w:val="21"/>
        </w:rPr>
        <w:t>párrafo anterior, la Ley Orgánica del Poder Legislativo del Estado de Guanajuato</w:t>
      </w:r>
      <w:r>
        <w:rPr>
          <w:rFonts w:ascii="Abadi" w:hAnsi="Abadi" w:cs="*Arial-6316-Identity-H"/>
          <w:color w:val="0D0D10"/>
          <w:sz w:val="21"/>
          <w:szCs w:val="21"/>
        </w:rPr>
        <w:t xml:space="preserve"> </w:t>
      </w:r>
      <w:r w:rsidRPr="00494B56">
        <w:rPr>
          <w:rFonts w:ascii="Abadi" w:hAnsi="Abadi" w:cs="*Arial-6316-Identity-H"/>
          <w:color w:val="0D0D10"/>
          <w:sz w:val="21"/>
          <w:szCs w:val="21"/>
        </w:rPr>
        <w:t>establece en su artículo</w:t>
      </w:r>
      <w:r w:rsidRPr="00494B56">
        <w:rPr>
          <w:rFonts w:ascii="Abadi" w:hAnsi="Abadi" w:cs="*Arial-6316-Identity-H"/>
          <w:color w:val="A9A9A9"/>
          <w:sz w:val="21"/>
          <w:szCs w:val="21"/>
        </w:rPr>
        <w:t xml:space="preserve">· </w:t>
      </w:r>
      <w:r w:rsidRPr="00494B56">
        <w:rPr>
          <w:rFonts w:ascii="Abadi" w:hAnsi="Abadi" w:cs="*Arial-6316-Identity-H"/>
          <w:color w:val="0D0D10"/>
          <w:sz w:val="21"/>
          <w:szCs w:val="21"/>
        </w:rPr>
        <w:t>112, fracción XII, primer párrafo que, a esta Comisión de</w:t>
      </w:r>
      <w:r>
        <w:rPr>
          <w:rFonts w:ascii="Abadi" w:hAnsi="Abadi" w:cs="*Arial-6316-Identity-H"/>
          <w:color w:val="0D0D10"/>
          <w:sz w:val="21"/>
          <w:szCs w:val="21"/>
        </w:rPr>
        <w:t xml:space="preserve"> </w:t>
      </w:r>
      <w:r w:rsidRPr="00494B56">
        <w:rPr>
          <w:rFonts w:ascii="Abadi" w:hAnsi="Abadi" w:cs="*Arial-6316-Identity-H"/>
          <w:color w:val="0D0D10"/>
          <w:sz w:val="21"/>
          <w:szCs w:val="21"/>
        </w:rPr>
        <w:t>Hacienda y Fiscalización, le compete el conocimiento y dictamen de los asuntos</w:t>
      </w:r>
      <w:r>
        <w:rPr>
          <w:rFonts w:ascii="Abadi" w:hAnsi="Abadi" w:cs="*Arial-6316-Identity-H"/>
          <w:color w:val="0D0D10"/>
          <w:sz w:val="21"/>
          <w:szCs w:val="21"/>
        </w:rPr>
        <w:t xml:space="preserve"> </w:t>
      </w:r>
      <w:r w:rsidRPr="00494B56">
        <w:rPr>
          <w:rFonts w:ascii="Abadi" w:hAnsi="Abadi" w:cs="*Arial-6316-Identity-H"/>
          <w:color w:val="0D0D10"/>
          <w:sz w:val="21"/>
          <w:szCs w:val="21"/>
        </w:rPr>
        <w:t>relativos a los informes de resultados que emita la Auditoría Superior del Estado.</w:t>
      </w:r>
    </w:p>
    <w:p w14:paraId="07F20421" w14:textId="77777777" w:rsidR="002F42D9" w:rsidRPr="00494B56" w:rsidRDefault="002F42D9" w:rsidP="002F42D9">
      <w:pPr>
        <w:autoSpaceDE w:val="0"/>
        <w:autoSpaceDN w:val="0"/>
        <w:adjustRightInd w:val="0"/>
        <w:jc w:val="both"/>
        <w:rPr>
          <w:rFonts w:ascii="Abadi" w:hAnsi="Abadi" w:cs="*Arial-6316-Identity-H"/>
          <w:color w:val="0D0D10"/>
          <w:sz w:val="21"/>
          <w:szCs w:val="21"/>
        </w:rPr>
      </w:pPr>
    </w:p>
    <w:p w14:paraId="6A95127E" w14:textId="77777777" w:rsidR="002F42D9" w:rsidRPr="00494B56" w:rsidRDefault="002F42D9" w:rsidP="002F42D9">
      <w:pPr>
        <w:autoSpaceDE w:val="0"/>
        <w:autoSpaceDN w:val="0"/>
        <w:adjustRightInd w:val="0"/>
        <w:ind w:firstLine="708"/>
        <w:jc w:val="both"/>
        <w:rPr>
          <w:rFonts w:ascii="Abadi" w:hAnsi="Abadi" w:cs="*Arial-6316-Identity-H"/>
          <w:color w:val="0D0D10"/>
          <w:sz w:val="21"/>
          <w:szCs w:val="21"/>
        </w:rPr>
      </w:pPr>
      <w:r w:rsidRPr="00494B56">
        <w:rPr>
          <w:rFonts w:ascii="Abadi" w:hAnsi="Abadi" w:cs="*Arial-6316-Identity-H"/>
          <w:color w:val="0D0D10"/>
          <w:sz w:val="21"/>
          <w:szCs w:val="21"/>
        </w:rPr>
        <w:t>A efecto de cumplir con las atribuciones conferidas a esta Comisión, y en</w:t>
      </w:r>
      <w:r>
        <w:rPr>
          <w:rFonts w:ascii="Abadi" w:hAnsi="Abadi" w:cs="*Arial-6316-Identity-H"/>
          <w:color w:val="0D0D10"/>
          <w:sz w:val="21"/>
          <w:szCs w:val="21"/>
        </w:rPr>
        <w:t xml:space="preserve"> </w:t>
      </w:r>
      <w:r w:rsidRPr="00494B56">
        <w:rPr>
          <w:rFonts w:ascii="Abadi" w:hAnsi="Abadi" w:cs="*Arial-6316-Identity-H"/>
          <w:color w:val="0D0D10"/>
          <w:sz w:val="21"/>
          <w:szCs w:val="21"/>
        </w:rPr>
        <w:t>observancia a lo que establece la Ley de Fiscalización Superior del Estado de</w:t>
      </w:r>
      <w:r>
        <w:rPr>
          <w:rFonts w:ascii="Abadi" w:hAnsi="Abadi" w:cs="*Arial-6316-Identity-H"/>
          <w:color w:val="0D0D10"/>
          <w:sz w:val="21"/>
          <w:szCs w:val="21"/>
        </w:rPr>
        <w:t xml:space="preserve"> </w:t>
      </w:r>
      <w:r w:rsidRPr="00494B56">
        <w:rPr>
          <w:rFonts w:ascii="Abadi" w:hAnsi="Abadi" w:cs="*Arial-6316-Identity-H"/>
          <w:color w:val="0D0D10"/>
          <w:sz w:val="21"/>
          <w:szCs w:val="21"/>
        </w:rPr>
        <w:t>Guanajuato, el presente dictamen se ocupará exclusivamente del aspecto que la</w:t>
      </w:r>
      <w:r>
        <w:rPr>
          <w:rFonts w:ascii="Abadi" w:hAnsi="Abadi" w:cs="*Arial-6316-Identity-H"/>
          <w:color w:val="0D0D10"/>
          <w:sz w:val="21"/>
          <w:szCs w:val="21"/>
        </w:rPr>
        <w:t xml:space="preserve"> </w:t>
      </w:r>
      <w:r w:rsidRPr="00494B56">
        <w:rPr>
          <w:rFonts w:ascii="Abadi" w:hAnsi="Abadi" w:cs="*Arial-6316-Identity-H"/>
          <w:color w:val="0D0D10"/>
          <w:sz w:val="21"/>
          <w:szCs w:val="21"/>
        </w:rPr>
        <w:t>propia Ley señala y por el cual podría ser observado o no, el informe de</w:t>
      </w:r>
      <w:r>
        <w:rPr>
          <w:rFonts w:ascii="Abadi" w:hAnsi="Abadi" w:cs="*Arial-6316-Identity-H"/>
          <w:color w:val="0D0D10"/>
          <w:sz w:val="21"/>
          <w:szCs w:val="21"/>
        </w:rPr>
        <w:t xml:space="preserve"> </w:t>
      </w:r>
      <w:r w:rsidRPr="00494B56">
        <w:rPr>
          <w:rFonts w:ascii="Abadi" w:hAnsi="Abadi" w:cs="*Arial-6316-Identity-H"/>
          <w:color w:val="0D0D10"/>
          <w:sz w:val="21"/>
          <w:szCs w:val="21"/>
        </w:rPr>
        <w:t>resultados.</w:t>
      </w:r>
    </w:p>
    <w:p w14:paraId="73F367ED" w14:textId="77777777" w:rsidR="002F42D9" w:rsidRPr="00494B56" w:rsidRDefault="002F42D9" w:rsidP="002F42D9">
      <w:pPr>
        <w:autoSpaceDE w:val="0"/>
        <w:autoSpaceDN w:val="0"/>
        <w:adjustRightInd w:val="0"/>
        <w:jc w:val="both"/>
        <w:rPr>
          <w:rFonts w:ascii="Abadi" w:hAnsi="Abadi" w:cs="*Arial-6316-Identity-H"/>
          <w:color w:val="0D0D10"/>
          <w:sz w:val="21"/>
          <w:szCs w:val="21"/>
        </w:rPr>
      </w:pPr>
    </w:p>
    <w:p w14:paraId="5BE6EE79" w14:textId="77777777" w:rsidR="002F42D9" w:rsidRPr="00494B56" w:rsidRDefault="002F42D9" w:rsidP="002F42D9">
      <w:pPr>
        <w:autoSpaceDE w:val="0"/>
        <w:autoSpaceDN w:val="0"/>
        <w:adjustRightInd w:val="0"/>
        <w:ind w:firstLine="708"/>
        <w:jc w:val="both"/>
        <w:rPr>
          <w:rFonts w:ascii="Abadi" w:hAnsi="Abadi" w:cs="*Arial-Bold-6317-Identity-H"/>
          <w:b/>
          <w:bCs/>
          <w:color w:val="0E0D11"/>
          <w:sz w:val="21"/>
          <w:szCs w:val="21"/>
        </w:rPr>
      </w:pPr>
      <w:r w:rsidRPr="00494B56">
        <w:rPr>
          <w:rFonts w:ascii="Abadi" w:hAnsi="Abadi" w:cs="*Arial-Bold-6317-Identity-H"/>
          <w:b/>
          <w:bCs/>
          <w:color w:val="0E0D11"/>
          <w:sz w:val="21"/>
          <w:szCs w:val="21"/>
        </w:rPr>
        <w:t>II. Antecedentes:</w:t>
      </w:r>
    </w:p>
    <w:p w14:paraId="45579011" w14:textId="77777777" w:rsidR="002F42D9" w:rsidRPr="00494B56" w:rsidRDefault="002F42D9" w:rsidP="002F42D9">
      <w:pPr>
        <w:autoSpaceDE w:val="0"/>
        <w:autoSpaceDN w:val="0"/>
        <w:adjustRightInd w:val="0"/>
        <w:jc w:val="both"/>
        <w:rPr>
          <w:rFonts w:ascii="Abadi" w:hAnsi="Abadi" w:cs="*Arial-Bold-6317-Identity-H"/>
          <w:b/>
          <w:bCs/>
          <w:color w:val="0E0D11"/>
          <w:sz w:val="21"/>
          <w:szCs w:val="21"/>
        </w:rPr>
      </w:pPr>
    </w:p>
    <w:p w14:paraId="4B3EBC89" w14:textId="77777777" w:rsidR="002F42D9" w:rsidRPr="00494B56" w:rsidRDefault="002F42D9" w:rsidP="002F42D9">
      <w:pPr>
        <w:autoSpaceDE w:val="0"/>
        <w:autoSpaceDN w:val="0"/>
        <w:adjustRightInd w:val="0"/>
        <w:ind w:firstLine="708"/>
        <w:jc w:val="both"/>
        <w:rPr>
          <w:rFonts w:ascii="Abadi" w:hAnsi="Abadi" w:cs="*Arial-6316-Identity-H"/>
          <w:color w:val="0B0A0E"/>
          <w:sz w:val="21"/>
          <w:szCs w:val="21"/>
        </w:rPr>
      </w:pPr>
      <w:r w:rsidRPr="00494B56">
        <w:rPr>
          <w:rFonts w:ascii="Abadi" w:hAnsi="Abadi" w:cs="*Arial-6316-Identity-H"/>
          <w:color w:val="0B0A0E"/>
          <w:sz w:val="21"/>
          <w:szCs w:val="21"/>
        </w:rPr>
        <w:t>De conformidad con el artículo 66, fracción I de la Constitución Política para</w:t>
      </w:r>
      <w:r>
        <w:rPr>
          <w:rFonts w:ascii="Abadi" w:hAnsi="Abadi" w:cs="*Arial-6316-Identity-H"/>
          <w:color w:val="0B0A0E"/>
          <w:sz w:val="21"/>
          <w:szCs w:val="21"/>
        </w:rPr>
        <w:t xml:space="preserve"> </w:t>
      </w:r>
      <w:r w:rsidRPr="00494B56">
        <w:rPr>
          <w:rFonts w:ascii="Abadi" w:hAnsi="Abadi" w:cs="*Arial-6316-Identity-H"/>
          <w:color w:val="0B0A0E"/>
          <w:sz w:val="21"/>
          <w:szCs w:val="21"/>
        </w:rPr>
        <w:t>el Estado de Guanajuato, es atribución de la Auditoría Superior del Estado realizar</w:t>
      </w:r>
      <w:r>
        <w:rPr>
          <w:rFonts w:ascii="Abadi" w:hAnsi="Abadi" w:cs="*Arial-6316-Identity-H"/>
          <w:color w:val="0B0A0E"/>
          <w:sz w:val="21"/>
          <w:szCs w:val="21"/>
        </w:rPr>
        <w:t xml:space="preserve"> </w:t>
      </w:r>
      <w:r w:rsidRPr="00494B56">
        <w:rPr>
          <w:rFonts w:ascii="Abadi" w:hAnsi="Abadi" w:cs="*Arial-6316-Identity-H"/>
          <w:color w:val="0B0A0E"/>
          <w:sz w:val="21"/>
          <w:szCs w:val="21"/>
        </w:rPr>
        <w:t>auditorías de desempeño en el cumplimiento de objetivos y metas contenidos en</w:t>
      </w:r>
      <w:r>
        <w:rPr>
          <w:rFonts w:ascii="Abadi" w:hAnsi="Abadi" w:cs="*Arial-6316-Identity-H"/>
          <w:color w:val="0B0A0E"/>
          <w:sz w:val="21"/>
          <w:szCs w:val="21"/>
        </w:rPr>
        <w:t xml:space="preserve"> </w:t>
      </w:r>
      <w:r w:rsidRPr="00494B56">
        <w:rPr>
          <w:rFonts w:ascii="Abadi" w:hAnsi="Abadi" w:cs="*Arial-6316-Identity-H"/>
          <w:color w:val="0B0A0E"/>
          <w:sz w:val="21"/>
          <w:szCs w:val="21"/>
        </w:rPr>
        <w:t>los programas, de las cuales sólo podrá emitir las recomendaciones para la mejora</w:t>
      </w:r>
      <w:r>
        <w:rPr>
          <w:rFonts w:ascii="Abadi" w:hAnsi="Abadi" w:cs="*Arial-6316-Identity-H"/>
          <w:color w:val="0B0A0E"/>
          <w:sz w:val="21"/>
          <w:szCs w:val="21"/>
        </w:rPr>
        <w:t xml:space="preserve"> </w:t>
      </w:r>
      <w:r w:rsidRPr="00494B56">
        <w:rPr>
          <w:rFonts w:ascii="Abadi" w:hAnsi="Abadi" w:cs="*Arial-6316-Identity-H"/>
          <w:color w:val="0B0A0E"/>
          <w:sz w:val="21"/>
          <w:szCs w:val="21"/>
        </w:rPr>
        <w:t>en el desempeño, en los términos de la Ley.</w:t>
      </w:r>
    </w:p>
    <w:p w14:paraId="40D39DE0" w14:textId="77777777" w:rsidR="002F42D9" w:rsidRPr="00494B56" w:rsidRDefault="002F42D9" w:rsidP="002F42D9">
      <w:pPr>
        <w:autoSpaceDE w:val="0"/>
        <w:autoSpaceDN w:val="0"/>
        <w:adjustRightInd w:val="0"/>
        <w:jc w:val="both"/>
        <w:rPr>
          <w:rFonts w:ascii="Abadi" w:hAnsi="Abadi" w:cs="*Arial-6316-Identity-H"/>
          <w:color w:val="0B0A0E"/>
          <w:sz w:val="21"/>
          <w:szCs w:val="21"/>
        </w:rPr>
      </w:pPr>
    </w:p>
    <w:p w14:paraId="115C6681" w14:textId="77777777" w:rsidR="002F42D9" w:rsidRPr="00494B56" w:rsidRDefault="002F42D9" w:rsidP="002F42D9">
      <w:pPr>
        <w:autoSpaceDE w:val="0"/>
        <w:autoSpaceDN w:val="0"/>
        <w:adjustRightInd w:val="0"/>
        <w:ind w:firstLine="708"/>
        <w:jc w:val="both"/>
        <w:rPr>
          <w:rFonts w:ascii="Abadi" w:hAnsi="Abadi" w:cs="*Arial-6316-Identity-H"/>
          <w:color w:val="0C0C0E"/>
          <w:sz w:val="21"/>
          <w:szCs w:val="21"/>
        </w:rPr>
      </w:pPr>
      <w:r w:rsidRPr="00494B56">
        <w:rPr>
          <w:rFonts w:ascii="Abadi" w:hAnsi="Abadi" w:cs="*Arial-6316-Identity-H"/>
          <w:color w:val="0C0C0E"/>
          <w:sz w:val="21"/>
          <w:szCs w:val="21"/>
        </w:rPr>
        <w:t>Por su parte, el artículo 3, fracción V de la Ley de Fiscalización Superior del</w:t>
      </w:r>
      <w:r>
        <w:rPr>
          <w:rFonts w:ascii="Abadi" w:hAnsi="Abadi" w:cs="*Arial-6316-Identity-H"/>
          <w:color w:val="0C0C0E"/>
          <w:sz w:val="21"/>
          <w:szCs w:val="21"/>
        </w:rPr>
        <w:t xml:space="preserve"> </w:t>
      </w:r>
      <w:r w:rsidRPr="00494B56">
        <w:rPr>
          <w:rFonts w:ascii="Abadi" w:hAnsi="Abadi" w:cs="*Arial-6316-Identity-H"/>
          <w:color w:val="0C0C0E"/>
          <w:sz w:val="21"/>
          <w:szCs w:val="21"/>
        </w:rPr>
        <w:t>Estado de Guanajuato señala que la Auditoría Superior del Estado es competente</w:t>
      </w:r>
      <w:r>
        <w:rPr>
          <w:rFonts w:ascii="Abadi" w:hAnsi="Abadi" w:cs="*Arial-6316-Identity-H"/>
          <w:color w:val="0C0C0E"/>
          <w:sz w:val="21"/>
          <w:szCs w:val="21"/>
        </w:rPr>
        <w:t xml:space="preserve"> </w:t>
      </w:r>
      <w:r w:rsidRPr="00494B56">
        <w:rPr>
          <w:rFonts w:ascii="Abadi" w:hAnsi="Abadi" w:cs="*Arial-6316-Identity-H"/>
          <w:color w:val="0C0C0E"/>
          <w:sz w:val="21"/>
          <w:szCs w:val="21"/>
        </w:rPr>
        <w:t>para practicar auditorías de desempeño para verificar el cumplimiento de los</w:t>
      </w:r>
      <w:r>
        <w:rPr>
          <w:rFonts w:ascii="Abadi" w:hAnsi="Abadi" w:cs="*Arial-6316-Identity-H"/>
          <w:color w:val="0C0C0E"/>
          <w:sz w:val="21"/>
          <w:szCs w:val="21"/>
        </w:rPr>
        <w:t xml:space="preserve"> </w:t>
      </w:r>
      <w:r w:rsidRPr="00494B56">
        <w:rPr>
          <w:rFonts w:ascii="Abadi" w:hAnsi="Abadi" w:cs="*Arial-6316-Identity-H"/>
          <w:color w:val="0C0C0E"/>
          <w:sz w:val="21"/>
          <w:szCs w:val="21"/>
        </w:rPr>
        <w:t>objetivos y las metas de los programas estatales y municipales.</w:t>
      </w:r>
    </w:p>
    <w:p w14:paraId="20D52B52" w14:textId="77777777" w:rsidR="002F42D9" w:rsidRPr="00494B56" w:rsidRDefault="002F42D9" w:rsidP="002F42D9">
      <w:pPr>
        <w:autoSpaceDE w:val="0"/>
        <w:autoSpaceDN w:val="0"/>
        <w:adjustRightInd w:val="0"/>
        <w:jc w:val="both"/>
        <w:rPr>
          <w:rFonts w:ascii="Abadi" w:hAnsi="Abadi" w:cs="*Arial-6696-Identity-H"/>
          <w:color w:val="212121"/>
          <w:sz w:val="21"/>
          <w:szCs w:val="21"/>
        </w:rPr>
      </w:pPr>
    </w:p>
    <w:p w14:paraId="2CEBB511" w14:textId="77777777" w:rsidR="002F42D9" w:rsidRPr="00494B56" w:rsidRDefault="002F42D9" w:rsidP="002F42D9">
      <w:pPr>
        <w:autoSpaceDE w:val="0"/>
        <w:autoSpaceDN w:val="0"/>
        <w:adjustRightInd w:val="0"/>
        <w:ind w:firstLine="708"/>
        <w:jc w:val="both"/>
        <w:rPr>
          <w:rFonts w:ascii="Abadi" w:hAnsi="Abadi" w:cs="*Arial-6695-Identity-H"/>
          <w:color w:val="0D0C0F"/>
          <w:sz w:val="21"/>
          <w:szCs w:val="21"/>
        </w:rPr>
      </w:pPr>
      <w:r w:rsidRPr="00494B56">
        <w:rPr>
          <w:rFonts w:ascii="Abadi" w:hAnsi="Abadi" w:cs="*Arial-6695-Identity-H"/>
          <w:color w:val="0D0C0F"/>
          <w:sz w:val="21"/>
          <w:szCs w:val="21"/>
        </w:rPr>
        <w:t>De igual forma, el artículo 56 de la Ley de Fiscalización Superior prevé que</w:t>
      </w:r>
      <w:r>
        <w:rPr>
          <w:rFonts w:ascii="Abadi" w:hAnsi="Abadi" w:cs="*Arial-6695-Identity-H"/>
          <w:color w:val="0D0C0F"/>
          <w:sz w:val="21"/>
          <w:szCs w:val="21"/>
        </w:rPr>
        <w:t xml:space="preserve"> </w:t>
      </w:r>
      <w:r w:rsidRPr="00494B56">
        <w:rPr>
          <w:rFonts w:ascii="Abadi" w:hAnsi="Abadi" w:cs="*Arial-6695-Identity-H"/>
          <w:color w:val="0D0C0F"/>
          <w:sz w:val="21"/>
          <w:szCs w:val="21"/>
        </w:rPr>
        <w:t>las auditorías de desempeño comprenden la revisión del cumplimiento de las</w:t>
      </w:r>
      <w:r>
        <w:rPr>
          <w:rFonts w:ascii="Abadi" w:hAnsi="Abadi" w:cs="*Arial-6695-Identity-H"/>
          <w:color w:val="0D0C0F"/>
          <w:sz w:val="21"/>
          <w:szCs w:val="21"/>
        </w:rPr>
        <w:t xml:space="preserve"> </w:t>
      </w:r>
      <w:r w:rsidRPr="00494B56">
        <w:rPr>
          <w:rFonts w:ascii="Abadi" w:hAnsi="Abadi" w:cs="*Arial-6695-Identity-H"/>
          <w:color w:val="0D0C0F"/>
          <w:sz w:val="21"/>
          <w:szCs w:val="21"/>
        </w:rPr>
        <w:t>metas y objetivos de los planes y programas, conforme a los principios de</w:t>
      </w:r>
      <w:r>
        <w:rPr>
          <w:rFonts w:ascii="Abadi" w:hAnsi="Abadi" w:cs="*Arial-6695-Identity-H"/>
          <w:color w:val="0D0C0F"/>
          <w:sz w:val="21"/>
          <w:szCs w:val="21"/>
        </w:rPr>
        <w:t xml:space="preserve"> </w:t>
      </w:r>
      <w:r w:rsidRPr="00494B56">
        <w:rPr>
          <w:rFonts w:ascii="Abadi" w:hAnsi="Abadi" w:cs="*Arial-6695-Identity-H"/>
          <w:color w:val="0D0C0F"/>
          <w:sz w:val="21"/>
          <w:szCs w:val="21"/>
        </w:rPr>
        <w:t>eficiencia, eficacia y economía; así como la evaluación de las políticas públicas;</w:t>
      </w:r>
      <w:r>
        <w:rPr>
          <w:rFonts w:ascii="Abadi" w:hAnsi="Abadi" w:cs="*Arial-6695-Identity-H"/>
          <w:color w:val="0D0C0F"/>
          <w:sz w:val="21"/>
          <w:szCs w:val="21"/>
        </w:rPr>
        <w:t xml:space="preserve"> </w:t>
      </w:r>
      <w:r w:rsidRPr="00494B56">
        <w:rPr>
          <w:rFonts w:ascii="Abadi" w:hAnsi="Abadi" w:cs="*Arial-6695-Identity-H"/>
          <w:color w:val="0D0C0F"/>
          <w:sz w:val="21"/>
          <w:szCs w:val="21"/>
        </w:rPr>
        <w:t>estableciendo además que la Auditoría Superior del Estado realizará las auditorías</w:t>
      </w:r>
      <w:r>
        <w:rPr>
          <w:rFonts w:ascii="Abadi" w:hAnsi="Abadi" w:cs="*Arial-6695-Identity-H"/>
          <w:color w:val="0D0C0F"/>
          <w:sz w:val="21"/>
          <w:szCs w:val="21"/>
        </w:rPr>
        <w:t xml:space="preserve"> </w:t>
      </w:r>
      <w:r w:rsidRPr="00494B56">
        <w:rPr>
          <w:rFonts w:ascii="Abadi" w:hAnsi="Abadi" w:cs="*Arial-6695-Identity-H"/>
          <w:color w:val="0D0C0F"/>
          <w:sz w:val="21"/>
          <w:szCs w:val="21"/>
        </w:rPr>
        <w:t>de desempeño de manera anual y únicamente formulará recomendaciones que</w:t>
      </w:r>
      <w:r>
        <w:rPr>
          <w:rFonts w:ascii="Abadi" w:hAnsi="Abadi" w:cs="*Arial-6695-Identity-H"/>
          <w:color w:val="0D0C0F"/>
          <w:sz w:val="21"/>
          <w:szCs w:val="21"/>
        </w:rPr>
        <w:t xml:space="preserve"> </w:t>
      </w:r>
      <w:r w:rsidRPr="00494B56">
        <w:rPr>
          <w:rFonts w:ascii="Abadi" w:hAnsi="Abadi" w:cs="*Arial-6695-Identity-H"/>
          <w:color w:val="0D0C0F"/>
          <w:sz w:val="21"/>
          <w:szCs w:val="21"/>
        </w:rPr>
        <w:t>incidan en mejorar sistemáticamente el diseño, operación e impacto de los</w:t>
      </w:r>
      <w:r>
        <w:rPr>
          <w:rFonts w:ascii="Abadi" w:hAnsi="Abadi" w:cs="*Arial-6695-Identity-H"/>
          <w:color w:val="0D0C0F"/>
          <w:sz w:val="21"/>
          <w:szCs w:val="21"/>
        </w:rPr>
        <w:t xml:space="preserve"> </w:t>
      </w:r>
      <w:r w:rsidRPr="00494B56">
        <w:rPr>
          <w:rFonts w:ascii="Abadi" w:hAnsi="Abadi" w:cs="*Arial-6695-Identity-H"/>
          <w:color w:val="0D0C0F"/>
          <w:sz w:val="21"/>
          <w:szCs w:val="21"/>
        </w:rPr>
        <w:t>presupuestos programáticos y las políticas públicas en su caso.</w:t>
      </w:r>
    </w:p>
    <w:p w14:paraId="698E2391" w14:textId="77777777" w:rsidR="002F42D9" w:rsidRPr="00494B56" w:rsidRDefault="002F42D9" w:rsidP="002F42D9">
      <w:pPr>
        <w:autoSpaceDE w:val="0"/>
        <w:autoSpaceDN w:val="0"/>
        <w:adjustRightInd w:val="0"/>
        <w:jc w:val="both"/>
        <w:rPr>
          <w:rFonts w:ascii="Abadi" w:hAnsi="Abadi" w:cs="*Arial-6695-Identity-H"/>
          <w:color w:val="0D0C0F"/>
          <w:sz w:val="21"/>
          <w:szCs w:val="21"/>
        </w:rPr>
      </w:pPr>
    </w:p>
    <w:p w14:paraId="0CF75C14" w14:textId="77777777" w:rsidR="002F42D9" w:rsidRPr="00494B56" w:rsidRDefault="002F42D9" w:rsidP="002F42D9">
      <w:pPr>
        <w:autoSpaceDE w:val="0"/>
        <w:autoSpaceDN w:val="0"/>
        <w:adjustRightInd w:val="0"/>
        <w:ind w:firstLine="708"/>
        <w:jc w:val="both"/>
        <w:rPr>
          <w:rFonts w:ascii="Abadi" w:hAnsi="Abadi" w:cs="*Arial-6695-Identity-H"/>
          <w:color w:val="0D0C0F"/>
          <w:sz w:val="21"/>
          <w:szCs w:val="21"/>
        </w:rPr>
      </w:pPr>
      <w:r w:rsidRPr="00494B56">
        <w:rPr>
          <w:rFonts w:ascii="Abadi" w:hAnsi="Abadi" w:cs="*Arial-6695-Identity-H"/>
          <w:color w:val="0D0C0F"/>
          <w:sz w:val="21"/>
          <w:szCs w:val="21"/>
        </w:rPr>
        <w:t>Por su parte, los artículos 59 y 60 de la citada Ley refieren que los informes</w:t>
      </w:r>
      <w:r>
        <w:rPr>
          <w:rFonts w:ascii="Abadi" w:hAnsi="Abadi" w:cs="*Arial-6695-Identity-H"/>
          <w:color w:val="0D0C0F"/>
          <w:sz w:val="21"/>
          <w:szCs w:val="21"/>
        </w:rPr>
        <w:t xml:space="preserve"> </w:t>
      </w:r>
      <w:r w:rsidRPr="00494B56">
        <w:rPr>
          <w:rFonts w:ascii="Abadi" w:hAnsi="Abadi" w:cs="*Arial-6695-Identity-H"/>
          <w:color w:val="0D0C0F"/>
          <w:sz w:val="21"/>
          <w:szCs w:val="21"/>
        </w:rPr>
        <w:t>de resultados de auditorías de desempeño contendrán los requisitos señalados en</w:t>
      </w:r>
      <w:r>
        <w:rPr>
          <w:rFonts w:ascii="Abadi" w:hAnsi="Abadi" w:cs="*Arial-6695-Identity-H"/>
          <w:color w:val="0D0C0F"/>
          <w:sz w:val="21"/>
          <w:szCs w:val="21"/>
        </w:rPr>
        <w:t xml:space="preserve"> </w:t>
      </w:r>
      <w:r w:rsidRPr="00494B56">
        <w:rPr>
          <w:rFonts w:ascii="Abadi" w:hAnsi="Abadi" w:cs="*Arial-6695-Identity-H"/>
          <w:color w:val="0D0C0F"/>
          <w:sz w:val="21"/>
          <w:szCs w:val="21"/>
        </w:rPr>
        <w:t>el Reglamento de la Ley y que la Auditoría Superior del Estado, remitirá dichos</w:t>
      </w:r>
      <w:r>
        <w:rPr>
          <w:rFonts w:ascii="Abadi" w:hAnsi="Abadi" w:cs="*Arial-6695-Identity-H"/>
          <w:color w:val="0D0C0F"/>
          <w:sz w:val="21"/>
          <w:szCs w:val="21"/>
        </w:rPr>
        <w:t xml:space="preserve"> </w:t>
      </w:r>
      <w:r w:rsidRPr="00494B56">
        <w:rPr>
          <w:rFonts w:ascii="Abadi" w:hAnsi="Abadi" w:cs="*Arial-6695-Identity-H"/>
          <w:color w:val="0D0C0F"/>
          <w:sz w:val="21"/>
          <w:szCs w:val="21"/>
        </w:rPr>
        <w:t>informes al Congreso a más tardar el 30 de septiembre del ejercicio fiscal de que</w:t>
      </w:r>
      <w:r>
        <w:rPr>
          <w:rFonts w:ascii="Abadi" w:hAnsi="Abadi" w:cs="*Arial-6695-Identity-H"/>
          <w:color w:val="0D0C0F"/>
          <w:sz w:val="21"/>
          <w:szCs w:val="21"/>
        </w:rPr>
        <w:t xml:space="preserve"> </w:t>
      </w:r>
      <w:r w:rsidRPr="00494B56">
        <w:rPr>
          <w:rFonts w:ascii="Abadi" w:hAnsi="Abadi" w:cs="*Arial-6695-Identity-H"/>
          <w:color w:val="0D0C0F"/>
          <w:sz w:val="21"/>
          <w:szCs w:val="21"/>
        </w:rPr>
        <w:t>se trate.</w:t>
      </w:r>
    </w:p>
    <w:p w14:paraId="08941C0C" w14:textId="77777777" w:rsidR="002F42D9" w:rsidRPr="00494B56" w:rsidRDefault="002F42D9" w:rsidP="002F42D9">
      <w:pPr>
        <w:autoSpaceDE w:val="0"/>
        <w:autoSpaceDN w:val="0"/>
        <w:adjustRightInd w:val="0"/>
        <w:jc w:val="both"/>
        <w:rPr>
          <w:rFonts w:ascii="Abadi" w:hAnsi="Abadi" w:cs="*Arial-6695-Identity-H"/>
          <w:color w:val="0C0C0F"/>
          <w:sz w:val="21"/>
          <w:szCs w:val="21"/>
        </w:rPr>
      </w:pPr>
    </w:p>
    <w:p w14:paraId="3504B55A" w14:textId="77777777" w:rsidR="002F42D9" w:rsidRPr="00494B56" w:rsidRDefault="002F42D9" w:rsidP="002F42D9">
      <w:pPr>
        <w:autoSpaceDE w:val="0"/>
        <w:autoSpaceDN w:val="0"/>
        <w:adjustRightInd w:val="0"/>
        <w:ind w:firstLine="708"/>
        <w:jc w:val="both"/>
        <w:rPr>
          <w:rFonts w:ascii="Abadi" w:hAnsi="Abadi" w:cs="*Arial-6695-Identity-H"/>
          <w:color w:val="0C0C0F"/>
          <w:sz w:val="21"/>
          <w:szCs w:val="21"/>
        </w:rPr>
      </w:pPr>
      <w:r w:rsidRPr="00494B56">
        <w:rPr>
          <w:rFonts w:ascii="Abadi" w:hAnsi="Abadi" w:cs="*Arial-6695-Identity-H"/>
          <w:color w:val="0C0C0F"/>
          <w:sz w:val="21"/>
          <w:szCs w:val="21"/>
        </w:rPr>
        <w:t>De lo anterior podemos desprender que el Órgano Técnico realizará la</w:t>
      </w:r>
      <w:r>
        <w:rPr>
          <w:rFonts w:ascii="Abadi" w:hAnsi="Abadi" w:cs="*Arial-6695-Identity-H"/>
          <w:color w:val="0C0C0F"/>
          <w:sz w:val="21"/>
          <w:szCs w:val="21"/>
        </w:rPr>
        <w:t xml:space="preserve"> </w:t>
      </w:r>
      <w:r w:rsidRPr="00494B56">
        <w:rPr>
          <w:rFonts w:ascii="Abadi" w:hAnsi="Abadi" w:cs="*Arial-6695-Identity-H"/>
          <w:color w:val="0C0C0F"/>
          <w:sz w:val="21"/>
          <w:szCs w:val="21"/>
        </w:rPr>
        <w:t>auditoría de desempeño de manera anual y únicamente formulará</w:t>
      </w:r>
      <w:r>
        <w:rPr>
          <w:rFonts w:ascii="Abadi" w:hAnsi="Abadi" w:cs="*Arial-6695-Identity-H"/>
          <w:color w:val="0C0C0F"/>
          <w:sz w:val="21"/>
          <w:szCs w:val="21"/>
        </w:rPr>
        <w:t xml:space="preserve"> </w:t>
      </w:r>
      <w:r w:rsidRPr="00494B56">
        <w:rPr>
          <w:rFonts w:ascii="Abadi" w:hAnsi="Abadi" w:cs="*Arial-6695-Identity-H"/>
          <w:color w:val="0C0C0F"/>
          <w:sz w:val="21"/>
          <w:szCs w:val="21"/>
        </w:rPr>
        <w:t>recomendaciones que incidan en la mejora del diseño, operación e impacto de los</w:t>
      </w:r>
      <w:r>
        <w:rPr>
          <w:rFonts w:ascii="Abadi" w:hAnsi="Abadi" w:cs="*Arial-6695-Identity-H"/>
          <w:color w:val="0C0C0F"/>
          <w:sz w:val="21"/>
          <w:szCs w:val="21"/>
        </w:rPr>
        <w:t xml:space="preserve"> </w:t>
      </w:r>
      <w:r w:rsidRPr="00494B56">
        <w:rPr>
          <w:rFonts w:ascii="Abadi" w:hAnsi="Abadi" w:cs="*Arial-6695-Identity-H"/>
          <w:color w:val="0C0C0F"/>
          <w:sz w:val="21"/>
          <w:szCs w:val="21"/>
        </w:rPr>
        <w:t>presupuestos programáticos y las políticas públicas en su caso.</w:t>
      </w:r>
    </w:p>
    <w:p w14:paraId="10AE11FE" w14:textId="77777777" w:rsidR="002F42D9" w:rsidRPr="00494B56" w:rsidRDefault="002F42D9" w:rsidP="002F42D9">
      <w:pPr>
        <w:autoSpaceDE w:val="0"/>
        <w:autoSpaceDN w:val="0"/>
        <w:adjustRightInd w:val="0"/>
        <w:jc w:val="both"/>
        <w:rPr>
          <w:rFonts w:ascii="Abadi" w:hAnsi="Abadi" w:cs="*Arial-6695-Identity-H"/>
          <w:color w:val="0C0C0F"/>
          <w:sz w:val="21"/>
          <w:szCs w:val="21"/>
        </w:rPr>
      </w:pPr>
    </w:p>
    <w:p w14:paraId="00F4FE04" w14:textId="77777777" w:rsidR="002F42D9" w:rsidRPr="00494B56" w:rsidRDefault="002F42D9" w:rsidP="002F42D9">
      <w:pPr>
        <w:autoSpaceDE w:val="0"/>
        <w:autoSpaceDN w:val="0"/>
        <w:adjustRightInd w:val="0"/>
        <w:jc w:val="both"/>
        <w:rPr>
          <w:rFonts w:ascii="Abadi" w:hAnsi="Abadi" w:cs="*Arial-6695-Identity-H"/>
          <w:color w:val="0D0D10"/>
          <w:sz w:val="21"/>
          <w:szCs w:val="21"/>
        </w:rPr>
      </w:pPr>
      <w:r w:rsidRPr="00494B56">
        <w:rPr>
          <w:rFonts w:ascii="Abadi" w:hAnsi="Abadi" w:cs="*Arial-6695-Identity-H"/>
          <w:color w:val="0D0D10"/>
          <w:sz w:val="21"/>
          <w:szCs w:val="21"/>
        </w:rPr>
        <w:t>Finalmente, el artículo 16 de la Ley de Fiscalización Superior del Estado de</w:t>
      </w:r>
      <w:r>
        <w:rPr>
          <w:rFonts w:ascii="Abadi" w:hAnsi="Abadi" w:cs="*Arial-6695-Identity-H"/>
          <w:color w:val="0D0D10"/>
          <w:sz w:val="21"/>
          <w:szCs w:val="21"/>
        </w:rPr>
        <w:t xml:space="preserve"> </w:t>
      </w:r>
      <w:r w:rsidRPr="00494B56">
        <w:rPr>
          <w:rFonts w:ascii="Abadi" w:hAnsi="Abadi" w:cs="*Arial-6695-Identity-H"/>
          <w:color w:val="0D0D10"/>
          <w:sz w:val="21"/>
          <w:szCs w:val="21"/>
        </w:rPr>
        <w:t>Guanajuato, consigna que la Auditoria Superior establecerá un Programa General</w:t>
      </w:r>
      <w:r>
        <w:rPr>
          <w:rFonts w:ascii="Abadi" w:hAnsi="Abadi" w:cs="*Arial-6695-Identity-H"/>
          <w:color w:val="0D0D10"/>
          <w:sz w:val="21"/>
          <w:szCs w:val="21"/>
        </w:rPr>
        <w:t xml:space="preserve"> </w:t>
      </w:r>
      <w:r w:rsidRPr="00494B56">
        <w:rPr>
          <w:rFonts w:ascii="Abadi" w:hAnsi="Abadi" w:cs="*Arial-6695-Identity-H"/>
          <w:color w:val="0D0D10"/>
          <w:sz w:val="21"/>
          <w:szCs w:val="21"/>
        </w:rPr>
        <w:t>de Fiscalización, señalando los actos y</w:t>
      </w:r>
      <w:r>
        <w:rPr>
          <w:rFonts w:ascii="Abadi" w:hAnsi="Abadi" w:cs="*Arial-6695-Identity-H"/>
          <w:color w:val="0D0D10"/>
          <w:sz w:val="21"/>
          <w:szCs w:val="21"/>
        </w:rPr>
        <w:t xml:space="preserve"> </w:t>
      </w:r>
      <w:r w:rsidRPr="00494B56">
        <w:rPr>
          <w:rFonts w:ascii="Abadi" w:hAnsi="Abadi" w:cs="*Arial-6695-Identity-H"/>
          <w:color w:val="0D0D10"/>
          <w:sz w:val="21"/>
          <w:szCs w:val="21"/>
        </w:rPr>
        <w:t>sujetos de fiscalización, los que serán</w:t>
      </w:r>
      <w:r>
        <w:rPr>
          <w:rFonts w:ascii="Abadi" w:hAnsi="Abadi" w:cs="*Arial-6695-Identity-H"/>
          <w:color w:val="0D0D10"/>
          <w:sz w:val="21"/>
          <w:szCs w:val="21"/>
        </w:rPr>
        <w:t xml:space="preserve"> </w:t>
      </w:r>
      <w:r w:rsidRPr="00494B56">
        <w:rPr>
          <w:rFonts w:ascii="Abadi" w:hAnsi="Abadi" w:cs="*Arial-6695-Identity-H"/>
          <w:color w:val="0D0D10"/>
          <w:sz w:val="21"/>
          <w:szCs w:val="21"/>
        </w:rPr>
        <w:t>objeto de auditoría o revisión conforme a los criterios y normas que se establezcan</w:t>
      </w:r>
      <w:r>
        <w:rPr>
          <w:rFonts w:ascii="Abadi" w:hAnsi="Abadi" w:cs="*Arial-6695-Identity-H"/>
          <w:color w:val="0D0D10"/>
          <w:sz w:val="21"/>
          <w:szCs w:val="21"/>
        </w:rPr>
        <w:t xml:space="preserve"> </w:t>
      </w:r>
      <w:r w:rsidRPr="00494B56">
        <w:rPr>
          <w:rFonts w:ascii="Abadi" w:hAnsi="Abadi" w:cs="*Arial-6695-Identity-H"/>
          <w:color w:val="0D0D10"/>
          <w:sz w:val="21"/>
          <w:szCs w:val="21"/>
        </w:rPr>
        <w:t>en el Reglamento de la Ley.</w:t>
      </w:r>
    </w:p>
    <w:p w14:paraId="51C19088" w14:textId="77777777" w:rsidR="002F42D9" w:rsidRPr="00494B56" w:rsidRDefault="002F42D9" w:rsidP="002F42D9">
      <w:pPr>
        <w:autoSpaceDE w:val="0"/>
        <w:autoSpaceDN w:val="0"/>
        <w:adjustRightInd w:val="0"/>
        <w:jc w:val="both"/>
        <w:rPr>
          <w:rFonts w:ascii="Abadi" w:hAnsi="Abadi" w:cs="*Arial-6695-Identity-H"/>
          <w:color w:val="0C0C0F"/>
          <w:sz w:val="21"/>
          <w:szCs w:val="21"/>
        </w:rPr>
      </w:pPr>
    </w:p>
    <w:p w14:paraId="09D28A47" w14:textId="77777777" w:rsidR="002F42D9" w:rsidRPr="00494B56" w:rsidRDefault="002F42D9" w:rsidP="002F42D9">
      <w:pPr>
        <w:autoSpaceDE w:val="0"/>
        <w:autoSpaceDN w:val="0"/>
        <w:adjustRightInd w:val="0"/>
        <w:ind w:firstLine="708"/>
        <w:jc w:val="both"/>
        <w:rPr>
          <w:rFonts w:ascii="Abadi" w:hAnsi="Abadi" w:cs="*Arial-6695-Identity-H"/>
          <w:color w:val="0C0C0F"/>
          <w:sz w:val="21"/>
          <w:szCs w:val="21"/>
        </w:rPr>
      </w:pPr>
      <w:r w:rsidRPr="00494B56">
        <w:rPr>
          <w:rFonts w:ascii="Abadi" w:hAnsi="Abadi" w:cs="*Arial-6695-Identity-H"/>
          <w:color w:val="0C0C0F"/>
          <w:sz w:val="21"/>
          <w:szCs w:val="21"/>
        </w:rPr>
        <w:t>En ejercicio de esta función, el Auditor Superior del Estado aprobó el</w:t>
      </w:r>
      <w:r>
        <w:rPr>
          <w:rFonts w:ascii="Abadi" w:hAnsi="Abadi" w:cs="*Arial-6695-Identity-H"/>
          <w:color w:val="0C0C0F"/>
          <w:sz w:val="21"/>
          <w:szCs w:val="21"/>
        </w:rPr>
        <w:t xml:space="preserve"> </w:t>
      </w:r>
      <w:r w:rsidRPr="00494B56">
        <w:rPr>
          <w:rFonts w:ascii="Abadi" w:hAnsi="Abadi" w:cs="*Arial-6695-Identity-H"/>
          <w:color w:val="0C0C0F"/>
          <w:sz w:val="21"/>
          <w:szCs w:val="21"/>
        </w:rPr>
        <w:t>Programa General de Fiscalización 2021. En dicho Programa se contempló la</w:t>
      </w:r>
      <w:r>
        <w:rPr>
          <w:rFonts w:ascii="Abadi" w:hAnsi="Abadi" w:cs="*Arial-6695-Identity-H"/>
          <w:color w:val="0C0C0F"/>
          <w:sz w:val="21"/>
          <w:szCs w:val="21"/>
        </w:rPr>
        <w:t xml:space="preserve"> </w:t>
      </w:r>
      <w:r w:rsidRPr="00494B56">
        <w:rPr>
          <w:rFonts w:ascii="Abadi" w:hAnsi="Abadi" w:cs="*Arial-6695-Identity-H"/>
          <w:color w:val="0C0C0F"/>
          <w:sz w:val="21"/>
          <w:szCs w:val="21"/>
        </w:rPr>
        <w:t>práctica de una auditoría de desempeño a la administración municipal de San</w:t>
      </w:r>
      <w:r>
        <w:rPr>
          <w:rFonts w:ascii="Abadi" w:hAnsi="Abadi" w:cs="*Arial-6695-Identity-H"/>
          <w:color w:val="0C0C0F"/>
          <w:sz w:val="21"/>
          <w:szCs w:val="21"/>
        </w:rPr>
        <w:t xml:space="preserve"> </w:t>
      </w:r>
      <w:r w:rsidRPr="00494B56">
        <w:rPr>
          <w:rFonts w:ascii="Abadi" w:hAnsi="Abadi" w:cs="*Arial-6695-Identity-H"/>
          <w:color w:val="0C0C0F"/>
          <w:sz w:val="21"/>
          <w:szCs w:val="21"/>
        </w:rPr>
        <w:t xml:space="preserve">Francisco del Rincón, </w:t>
      </w:r>
      <w:proofErr w:type="spellStart"/>
      <w:r w:rsidRPr="00494B56">
        <w:rPr>
          <w:rFonts w:ascii="Abadi" w:hAnsi="Abadi" w:cs="*Arial-6695-Identity-H"/>
          <w:color w:val="0C0C0F"/>
          <w:sz w:val="21"/>
          <w:szCs w:val="21"/>
        </w:rPr>
        <w:t>Gto</w:t>
      </w:r>
      <w:proofErr w:type="spellEnd"/>
      <w:r w:rsidRPr="00494B56">
        <w:rPr>
          <w:rFonts w:ascii="Abadi" w:hAnsi="Abadi" w:cs="*Arial-6695-Identity-H"/>
          <w:color w:val="0C0C0F"/>
          <w:sz w:val="21"/>
          <w:szCs w:val="21"/>
        </w:rPr>
        <w:t>., por el periodo comprendido del 1 de enero al 31 de</w:t>
      </w:r>
      <w:r>
        <w:rPr>
          <w:rFonts w:ascii="Abadi" w:hAnsi="Abadi" w:cs="*Arial-6695-Identity-H"/>
          <w:color w:val="0C0C0F"/>
          <w:sz w:val="21"/>
          <w:szCs w:val="21"/>
        </w:rPr>
        <w:t xml:space="preserve"> </w:t>
      </w:r>
      <w:r w:rsidRPr="00494B56">
        <w:rPr>
          <w:rFonts w:ascii="Abadi" w:hAnsi="Abadi" w:cs="*Arial-6695-Identity-H"/>
          <w:color w:val="0C0C0F"/>
          <w:sz w:val="21"/>
          <w:szCs w:val="21"/>
        </w:rPr>
        <w:t>diciembre del ejercicio fiscal del año 2020, la cual se realizó con enfoque a</w:t>
      </w:r>
    </w:p>
    <w:p w14:paraId="6D0F6EB4" w14:textId="77777777" w:rsidR="002F42D9" w:rsidRPr="00494B56" w:rsidRDefault="002F42D9" w:rsidP="002F42D9">
      <w:pPr>
        <w:autoSpaceDE w:val="0"/>
        <w:autoSpaceDN w:val="0"/>
        <w:adjustRightInd w:val="0"/>
        <w:jc w:val="both"/>
        <w:rPr>
          <w:rFonts w:ascii="Abadi" w:hAnsi="Abadi" w:cs="*Arial-6695-Identity-H"/>
          <w:color w:val="0C0C0F"/>
          <w:sz w:val="21"/>
          <w:szCs w:val="21"/>
        </w:rPr>
      </w:pPr>
      <w:r w:rsidRPr="00494B56">
        <w:rPr>
          <w:rFonts w:ascii="Abadi" w:hAnsi="Abadi" w:cs="*Arial-6695-Identity-H"/>
          <w:color w:val="0C0C0F"/>
          <w:sz w:val="21"/>
          <w:szCs w:val="21"/>
        </w:rPr>
        <w:t>resultados del servicio de alumbrado público.</w:t>
      </w:r>
    </w:p>
    <w:p w14:paraId="0416CFFA" w14:textId="77777777" w:rsidR="002F42D9" w:rsidRPr="00494B56" w:rsidRDefault="002F42D9" w:rsidP="002F42D9">
      <w:pPr>
        <w:autoSpaceDE w:val="0"/>
        <w:autoSpaceDN w:val="0"/>
        <w:adjustRightInd w:val="0"/>
        <w:jc w:val="both"/>
        <w:rPr>
          <w:rFonts w:ascii="Abadi" w:hAnsi="Abadi" w:cs="*Arial-6695-Identity-H"/>
          <w:color w:val="0E0D10"/>
          <w:sz w:val="21"/>
          <w:szCs w:val="21"/>
        </w:rPr>
      </w:pPr>
    </w:p>
    <w:p w14:paraId="7A35628A" w14:textId="77777777" w:rsidR="002F42D9" w:rsidRPr="00494B56" w:rsidRDefault="002F42D9" w:rsidP="002F42D9">
      <w:pPr>
        <w:autoSpaceDE w:val="0"/>
        <w:autoSpaceDN w:val="0"/>
        <w:adjustRightInd w:val="0"/>
        <w:ind w:firstLine="708"/>
        <w:jc w:val="both"/>
        <w:rPr>
          <w:rFonts w:ascii="Abadi" w:hAnsi="Abadi" w:cs="*Arial-6695-Identity-H"/>
          <w:color w:val="0E0D10"/>
          <w:sz w:val="21"/>
          <w:szCs w:val="21"/>
        </w:rPr>
      </w:pPr>
      <w:r w:rsidRPr="00494B56">
        <w:rPr>
          <w:rFonts w:ascii="Abadi" w:hAnsi="Abadi" w:cs="*Arial-6695-Identity-H"/>
          <w:color w:val="0E0D10"/>
          <w:sz w:val="21"/>
          <w:szCs w:val="21"/>
        </w:rPr>
        <w:t>El 8 de septiembre de 2021 se notificó al sujeto fiscalizado el inicio de la</w:t>
      </w:r>
    </w:p>
    <w:p w14:paraId="6D12353A" w14:textId="77777777" w:rsidR="002F42D9" w:rsidRPr="00494B56" w:rsidRDefault="002F42D9" w:rsidP="002F42D9">
      <w:pPr>
        <w:autoSpaceDE w:val="0"/>
        <w:autoSpaceDN w:val="0"/>
        <w:adjustRightInd w:val="0"/>
        <w:jc w:val="both"/>
        <w:rPr>
          <w:rFonts w:ascii="Abadi" w:hAnsi="Abadi" w:cs="*Arial-6695-Identity-H"/>
          <w:color w:val="0E0D10"/>
          <w:sz w:val="21"/>
          <w:szCs w:val="21"/>
        </w:rPr>
      </w:pPr>
      <w:r w:rsidRPr="00494B56">
        <w:rPr>
          <w:rFonts w:ascii="Abadi" w:hAnsi="Abadi" w:cs="*Arial-6695-Identity-H"/>
          <w:color w:val="0E0D10"/>
          <w:sz w:val="21"/>
          <w:szCs w:val="21"/>
        </w:rPr>
        <w:t>auditoría materia del presente dictamen.</w:t>
      </w:r>
    </w:p>
    <w:p w14:paraId="6E90DDE4" w14:textId="77777777" w:rsidR="002F42D9" w:rsidRPr="00494B56" w:rsidRDefault="002F42D9" w:rsidP="002F42D9">
      <w:pPr>
        <w:autoSpaceDE w:val="0"/>
        <w:autoSpaceDN w:val="0"/>
        <w:adjustRightInd w:val="0"/>
        <w:jc w:val="both"/>
        <w:rPr>
          <w:rFonts w:ascii="Abadi" w:hAnsi="Abadi" w:cs="*Microsoft Sans Serif-6560-Iden"/>
          <w:color w:val="0B0B0B"/>
          <w:sz w:val="21"/>
          <w:szCs w:val="21"/>
        </w:rPr>
      </w:pPr>
    </w:p>
    <w:p w14:paraId="469D5C5A" w14:textId="77777777" w:rsidR="002F42D9" w:rsidRPr="00494B56" w:rsidRDefault="002F42D9" w:rsidP="002F42D9">
      <w:pPr>
        <w:autoSpaceDE w:val="0"/>
        <w:autoSpaceDN w:val="0"/>
        <w:adjustRightInd w:val="0"/>
        <w:ind w:firstLine="708"/>
        <w:jc w:val="both"/>
        <w:rPr>
          <w:rFonts w:ascii="Abadi" w:hAnsi="Abadi" w:cs="*Arial-6559-Identity-H"/>
          <w:color w:val="0D0D0F"/>
          <w:sz w:val="21"/>
          <w:szCs w:val="21"/>
        </w:rPr>
      </w:pPr>
      <w:r w:rsidRPr="00494B56">
        <w:rPr>
          <w:rFonts w:ascii="Abadi" w:hAnsi="Abadi" w:cs="*Arial-6559-Identity-H"/>
          <w:color w:val="0D0D0F"/>
          <w:sz w:val="21"/>
          <w:szCs w:val="21"/>
        </w:rPr>
        <w:t xml:space="preserve">Mediante oficio notificado el 24 de septiembre de 2021, la </w:t>
      </w:r>
      <w:r>
        <w:rPr>
          <w:rFonts w:ascii="Abadi" w:hAnsi="Abadi" w:cs="*Arial-6559-Identity-H"/>
          <w:color w:val="0D0D0F"/>
          <w:sz w:val="21"/>
          <w:szCs w:val="21"/>
        </w:rPr>
        <w:t xml:space="preserve"> </w:t>
      </w:r>
      <w:r w:rsidRPr="00494B56">
        <w:rPr>
          <w:rFonts w:ascii="Abadi" w:hAnsi="Abadi" w:cs="*Arial-6559-Identity-H"/>
          <w:color w:val="0D0D0F"/>
          <w:sz w:val="21"/>
          <w:szCs w:val="21"/>
        </w:rPr>
        <w:t xml:space="preserve"> del Estado requirió al sujeto de fiscalización diversa información que se</w:t>
      </w:r>
      <w:r>
        <w:rPr>
          <w:rFonts w:ascii="Abadi" w:hAnsi="Abadi" w:cs="*Arial-6559-Identity-H"/>
          <w:color w:val="0D0D0F"/>
          <w:sz w:val="21"/>
          <w:szCs w:val="21"/>
        </w:rPr>
        <w:t xml:space="preserve"> </w:t>
      </w:r>
      <w:r w:rsidRPr="00494B56">
        <w:rPr>
          <w:rFonts w:ascii="Abadi" w:hAnsi="Abadi" w:cs="*Arial-6559-Identity-H"/>
          <w:color w:val="0D0D0F"/>
          <w:sz w:val="21"/>
          <w:szCs w:val="21"/>
        </w:rPr>
        <w:t>consideró necesaria para llevar a cabo la auditoría, al cual se dio respuesta el 6 de</w:t>
      </w:r>
      <w:r>
        <w:rPr>
          <w:rFonts w:ascii="Abadi" w:hAnsi="Abadi" w:cs="*Arial-6559-Identity-H"/>
          <w:color w:val="0D0D0F"/>
          <w:sz w:val="21"/>
          <w:szCs w:val="21"/>
        </w:rPr>
        <w:t xml:space="preserve"> </w:t>
      </w:r>
      <w:r w:rsidRPr="00494B56">
        <w:rPr>
          <w:rFonts w:ascii="Abadi" w:hAnsi="Abadi" w:cs="*Arial-6559-Identity-H"/>
          <w:color w:val="0D0D0F"/>
          <w:sz w:val="21"/>
          <w:szCs w:val="21"/>
        </w:rPr>
        <w:t>octubre de 2021. Asimismo, el 18 de noviembre de 2021, el Órgano Técnico</w:t>
      </w:r>
      <w:r>
        <w:rPr>
          <w:rFonts w:ascii="Abadi" w:hAnsi="Abadi" w:cs="*Arial-6559-Identity-H"/>
          <w:color w:val="0D0D0F"/>
          <w:sz w:val="21"/>
          <w:szCs w:val="21"/>
        </w:rPr>
        <w:t xml:space="preserve"> </w:t>
      </w:r>
      <w:r w:rsidRPr="00494B56">
        <w:rPr>
          <w:rFonts w:ascii="Abadi" w:hAnsi="Abadi" w:cs="*Arial-6559-Identity-H"/>
          <w:color w:val="0D0D0F"/>
          <w:sz w:val="21"/>
          <w:szCs w:val="21"/>
        </w:rPr>
        <w:t>realizó entrevistas.</w:t>
      </w:r>
    </w:p>
    <w:p w14:paraId="1DECD186" w14:textId="77777777" w:rsidR="002F42D9" w:rsidRPr="00494B56" w:rsidRDefault="002F42D9" w:rsidP="002F42D9">
      <w:pPr>
        <w:autoSpaceDE w:val="0"/>
        <w:autoSpaceDN w:val="0"/>
        <w:adjustRightInd w:val="0"/>
        <w:jc w:val="both"/>
        <w:rPr>
          <w:rFonts w:ascii="Abadi" w:hAnsi="Abadi" w:cs="*Arial-6559-Identity-H"/>
          <w:color w:val="0D0D0F"/>
          <w:sz w:val="21"/>
          <w:szCs w:val="21"/>
        </w:rPr>
      </w:pPr>
    </w:p>
    <w:p w14:paraId="212EB994" w14:textId="77777777" w:rsidR="002F42D9" w:rsidRPr="00494B56" w:rsidRDefault="002F42D9" w:rsidP="002F42D9">
      <w:pPr>
        <w:autoSpaceDE w:val="0"/>
        <w:autoSpaceDN w:val="0"/>
        <w:adjustRightInd w:val="0"/>
        <w:ind w:firstLine="708"/>
        <w:jc w:val="both"/>
        <w:rPr>
          <w:rFonts w:ascii="Abadi" w:hAnsi="Abadi" w:cs="*Arial-6559-Identity-H"/>
          <w:color w:val="0D0C10"/>
          <w:sz w:val="21"/>
          <w:szCs w:val="21"/>
        </w:rPr>
      </w:pPr>
      <w:r w:rsidRPr="00494B56">
        <w:rPr>
          <w:rFonts w:ascii="Abadi" w:hAnsi="Abadi" w:cs="*Arial-6559-Identity-H"/>
          <w:color w:val="0D0C10"/>
          <w:sz w:val="21"/>
          <w:szCs w:val="21"/>
        </w:rPr>
        <w:t>En fechas 24 de septiembre y 17 de diciembre de 2021 se notificó al sujeto</w:t>
      </w:r>
      <w:r>
        <w:rPr>
          <w:rFonts w:ascii="Abadi" w:hAnsi="Abadi" w:cs="*Arial-6559-Identity-H"/>
          <w:color w:val="0D0C10"/>
          <w:sz w:val="21"/>
          <w:szCs w:val="21"/>
        </w:rPr>
        <w:t xml:space="preserve"> </w:t>
      </w:r>
      <w:r w:rsidRPr="00494B56">
        <w:rPr>
          <w:rFonts w:ascii="Abadi" w:hAnsi="Abadi" w:cs="*Arial-6559-Identity-H"/>
          <w:color w:val="0D0C10"/>
          <w:sz w:val="21"/>
          <w:szCs w:val="21"/>
        </w:rPr>
        <w:t>fiscalizado la suspensión del plazo de la auditoría materia del presente dictamen,</w:t>
      </w:r>
      <w:r>
        <w:rPr>
          <w:rFonts w:ascii="Abadi" w:hAnsi="Abadi" w:cs="*Arial-6559-Identity-H"/>
          <w:color w:val="0D0C10"/>
          <w:sz w:val="21"/>
          <w:szCs w:val="21"/>
        </w:rPr>
        <w:t xml:space="preserve"> </w:t>
      </w:r>
      <w:r w:rsidRPr="00494B56">
        <w:rPr>
          <w:rFonts w:ascii="Abadi" w:hAnsi="Abadi" w:cs="*Arial-6559-Identity-H"/>
          <w:color w:val="0D0C10"/>
          <w:sz w:val="21"/>
          <w:szCs w:val="21"/>
        </w:rPr>
        <w:t>por los periodos comprendidos del 1 de octubre al 17 de diciembre de 2021; y del</w:t>
      </w:r>
      <w:r>
        <w:rPr>
          <w:rFonts w:ascii="Abadi" w:hAnsi="Abadi" w:cs="*Arial-6559-Identity-H"/>
          <w:color w:val="0D0C10"/>
          <w:sz w:val="21"/>
          <w:szCs w:val="21"/>
        </w:rPr>
        <w:t xml:space="preserve"> </w:t>
      </w:r>
      <w:r w:rsidRPr="00494B56">
        <w:rPr>
          <w:rFonts w:ascii="Abadi" w:hAnsi="Abadi" w:cs="*Arial-6559-Identity-H"/>
          <w:color w:val="0D0C10"/>
          <w:sz w:val="21"/>
          <w:szCs w:val="21"/>
        </w:rPr>
        <w:t>3 de enero al 11 de marzo de 2022.</w:t>
      </w:r>
    </w:p>
    <w:p w14:paraId="18922993" w14:textId="77777777" w:rsidR="002F42D9" w:rsidRPr="00494B56" w:rsidRDefault="002F42D9" w:rsidP="002F42D9">
      <w:pPr>
        <w:autoSpaceDE w:val="0"/>
        <w:autoSpaceDN w:val="0"/>
        <w:adjustRightInd w:val="0"/>
        <w:jc w:val="both"/>
        <w:rPr>
          <w:rFonts w:ascii="Abadi" w:hAnsi="Abadi" w:cs="*Arial-6559-Identity-H"/>
          <w:color w:val="0D0C10"/>
          <w:sz w:val="21"/>
          <w:szCs w:val="21"/>
        </w:rPr>
      </w:pPr>
    </w:p>
    <w:p w14:paraId="3A51B8D4" w14:textId="77777777" w:rsidR="002F42D9" w:rsidRPr="00494B56" w:rsidRDefault="002F42D9" w:rsidP="002F42D9">
      <w:pPr>
        <w:autoSpaceDE w:val="0"/>
        <w:autoSpaceDN w:val="0"/>
        <w:adjustRightInd w:val="0"/>
        <w:ind w:firstLine="708"/>
        <w:jc w:val="both"/>
        <w:rPr>
          <w:rFonts w:ascii="Abadi" w:hAnsi="Abadi" w:cs="*Arial-6559-Identity-H"/>
          <w:color w:val="0D0D0F"/>
          <w:sz w:val="21"/>
          <w:szCs w:val="21"/>
        </w:rPr>
      </w:pPr>
      <w:r w:rsidRPr="00494B56">
        <w:rPr>
          <w:rFonts w:ascii="Abadi" w:hAnsi="Abadi" w:cs="*Arial-6559-Identity-H"/>
          <w:color w:val="0D0D0F"/>
          <w:sz w:val="21"/>
          <w:szCs w:val="21"/>
        </w:rPr>
        <w:t>Como parte del proceso de auditoría, el 12 de enero de 2022 se notificó al</w:t>
      </w:r>
      <w:r>
        <w:rPr>
          <w:rFonts w:ascii="Abadi" w:hAnsi="Abadi" w:cs="*Arial-6559-Identity-H"/>
          <w:color w:val="0D0D0F"/>
          <w:sz w:val="21"/>
          <w:szCs w:val="21"/>
        </w:rPr>
        <w:t xml:space="preserve"> </w:t>
      </w:r>
      <w:r w:rsidRPr="00494B56">
        <w:rPr>
          <w:rFonts w:ascii="Abadi" w:hAnsi="Abadi" w:cs="*Arial-6559-Identity-H"/>
          <w:color w:val="0D0D0F"/>
          <w:sz w:val="21"/>
          <w:szCs w:val="21"/>
        </w:rPr>
        <w:t>sujeto fiscalizado el pliego de recomendaciones derivadas de la auditoría</w:t>
      </w:r>
      <w:r>
        <w:rPr>
          <w:rFonts w:ascii="Abadi" w:hAnsi="Abadi" w:cs="*Arial-6559-Identity-H"/>
          <w:color w:val="0D0D0F"/>
          <w:sz w:val="21"/>
          <w:szCs w:val="21"/>
        </w:rPr>
        <w:t xml:space="preserve"> </w:t>
      </w:r>
      <w:r w:rsidRPr="00494B56">
        <w:rPr>
          <w:rFonts w:ascii="Abadi" w:hAnsi="Abadi" w:cs="*Arial-6559-Identity-H"/>
          <w:color w:val="0D0D0F"/>
          <w:sz w:val="21"/>
          <w:szCs w:val="21"/>
        </w:rPr>
        <w:t>practicada. Lo anterior, para dar</w:t>
      </w:r>
      <w:r>
        <w:rPr>
          <w:rFonts w:ascii="Abadi" w:hAnsi="Abadi" w:cs="*Arial-6559-Identity-H"/>
          <w:color w:val="0D0D0F"/>
          <w:sz w:val="21"/>
          <w:szCs w:val="21"/>
        </w:rPr>
        <w:t xml:space="preserve"> </w:t>
      </w:r>
      <w:r w:rsidRPr="00494B56">
        <w:rPr>
          <w:rFonts w:ascii="Abadi" w:hAnsi="Abadi" w:cs="*Arial-6559-Identity-H"/>
          <w:color w:val="0D0D0F"/>
          <w:sz w:val="21"/>
          <w:szCs w:val="21"/>
        </w:rPr>
        <w:t>cumplimiento a lo preceptuado por el artículo 58</w:t>
      </w:r>
      <w:r>
        <w:rPr>
          <w:rFonts w:ascii="Abadi" w:hAnsi="Abadi" w:cs="*Arial-6559-Identity-H"/>
          <w:color w:val="0D0D0F"/>
          <w:sz w:val="21"/>
          <w:szCs w:val="21"/>
        </w:rPr>
        <w:t xml:space="preserve"> </w:t>
      </w:r>
      <w:r w:rsidRPr="00494B56">
        <w:rPr>
          <w:rFonts w:ascii="Abadi" w:hAnsi="Abadi" w:cs="*Arial-6559-Identity-H"/>
          <w:color w:val="0D0D0F"/>
          <w:sz w:val="21"/>
          <w:szCs w:val="21"/>
        </w:rPr>
        <w:t>de la Ley de Fiscalización Superior del Estado de Guanajuato.</w:t>
      </w:r>
    </w:p>
    <w:p w14:paraId="6C2C8158" w14:textId="77777777" w:rsidR="002F42D9" w:rsidRPr="00494B56" w:rsidRDefault="002F42D9" w:rsidP="002F42D9">
      <w:pPr>
        <w:autoSpaceDE w:val="0"/>
        <w:autoSpaceDN w:val="0"/>
        <w:adjustRightInd w:val="0"/>
        <w:jc w:val="both"/>
        <w:rPr>
          <w:rFonts w:ascii="Abadi" w:hAnsi="Abadi" w:cs="*Arial-6559-Identity-H"/>
          <w:color w:val="0D0D0F"/>
          <w:sz w:val="21"/>
          <w:szCs w:val="21"/>
        </w:rPr>
      </w:pPr>
    </w:p>
    <w:p w14:paraId="5B6476AA" w14:textId="53E30F8A" w:rsidR="002F42D9" w:rsidRPr="00494B56" w:rsidRDefault="002F42D9" w:rsidP="004818C3">
      <w:pPr>
        <w:autoSpaceDE w:val="0"/>
        <w:autoSpaceDN w:val="0"/>
        <w:adjustRightInd w:val="0"/>
        <w:ind w:firstLine="708"/>
        <w:jc w:val="both"/>
        <w:rPr>
          <w:rFonts w:ascii="Abadi" w:hAnsi="Abadi" w:cs="*Arial-6559-Identity-H"/>
          <w:color w:val="0D0E10"/>
          <w:sz w:val="21"/>
          <w:szCs w:val="21"/>
        </w:rPr>
      </w:pPr>
      <w:r w:rsidRPr="00494B56">
        <w:rPr>
          <w:rFonts w:ascii="Abadi" w:hAnsi="Abadi" w:cs="*Arial-6559-Identity-H"/>
          <w:color w:val="0D0E10"/>
          <w:sz w:val="21"/>
          <w:szCs w:val="21"/>
        </w:rPr>
        <w:t>El 26 de enero de 2022, el sujeto fiscalizado dio respuesta a las recomendaciones derivadas de la auditoría practicada, anexándose la información</w:t>
      </w:r>
      <w:r>
        <w:rPr>
          <w:rFonts w:ascii="Abadi" w:hAnsi="Abadi" w:cs="*Arial-6559-Identity-H"/>
          <w:color w:val="0D0E10"/>
          <w:sz w:val="21"/>
          <w:szCs w:val="21"/>
        </w:rPr>
        <w:t xml:space="preserve"> </w:t>
      </w:r>
      <w:r w:rsidRPr="00494B56">
        <w:rPr>
          <w:rFonts w:ascii="Abadi" w:hAnsi="Abadi" w:cs="*Arial-6559-Identity-H"/>
          <w:color w:val="0D0E10"/>
          <w:sz w:val="21"/>
          <w:szCs w:val="21"/>
        </w:rPr>
        <w:t>y documentación que el mismo</w:t>
      </w:r>
      <w:r>
        <w:rPr>
          <w:rFonts w:ascii="Abadi" w:hAnsi="Abadi" w:cs="*Arial-6559-Identity-H"/>
          <w:color w:val="0D0E10"/>
          <w:sz w:val="21"/>
          <w:szCs w:val="21"/>
        </w:rPr>
        <w:t xml:space="preserve"> </w:t>
      </w:r>
      <w:r w:rsidRPr="00494B56">
        <w:rPr>
          <w:rFonts w:ascii="Abadi" w:hAnsi="Abadi" w:cs="*Arial-6559-Identity-H"/>
          <w:color w:val="0D0E10"/>
          <w:sz w:val="21"/>
          <w:szCs w:val="21"/>
        </w:rPr>
        <w:t>consideró suficiente para precisar las mejoras</w:t>
      </w:r>
      <w:r>
        <w:rPr>
          <w:rFonts w:ascii="Abadi" w:hAnsi="Abadi" w:cs="*Arial-6559-Identity-H"/>
          <w:color w:val="0D0E10"/>
          <w:sz w:val="21"/>
          <w:szCs w:val="21"/>
        </w:rPr>
        <w:t xml:space="preserve"> </w:t>
      </w:r>
      <w:r w:rsidRPr="00494B56">
        <w:rPr>
          <w:rFonts w:ascii="Abadi" w:hAnsi="Abadi" w:cs="*Arial-6559-Identity-H"/>
          <w:color w:val="0D0E10"/>
          <w:sz w:val="21"/>
          <w:szCs w:val="21"/>
        </w:rPr>
        <w:t>efectuadas, las acciones a realizar o en su caso, justificar la improcedencia por la</w:t>
      </w:r>
      <w:r>
        <w:rPr>
          <w:rFonts w:ascii="Abadi" w:hAnsi="Abadi" w:cs="*Arial-6559-Identity-H"/>
          <w:color w:val="0D0E10"/>
          <w:sz w:val="21"/>
          <w:szCs w:val="21"/>
        </w:rPr>
        <w:t xml:space="preserve"> </w:t>
      </w:r>
      <w:r w:rsidRPr="00494B56">
        <w:rPr>
          <w:rFonts w:ascii="Abadi" w:hAnsi="Abadi" w:cs="*Arial-6559-Identity-H"/>
          <w:color w:val="0D0E10"/>
          <w:sz w:val="21"/>
          <w:szCs w:val="21"/>
        </w:rPr>
        <w:t>cual no resulte factible su implementación. Una vez valorada la documentación</w:t>
      </w:r>
      <w:r>
        <w:rPr>
          <w:rFonts w:ascii="Abadi" w:hAnsi="Abadi" w:cs="*Arial-6559-Identity-H"/>
          <w:color w:val="0D0E10"/>
          <w:sz w:val="21"/>
          <w:szCs w:val="21"/>
        </w:rPr>
        <w:t xml:space="preserve"> </w:t>
      </w:r>
      <w:r w:rsidRPr="00494B56">
        <w:rPr>
          <w:rFonts w:ascii="Abadi" w:hAnsi="Abadi" w:cs="*Arial-6559-Identity-H"/>
          <w:color w:val="0D0E10"/>
          <w:sz w:val="21"/>
          <w:szCs w:val="21"/>
        </w:rPr>
        <w:t>aportada se procedió a la elaboración del informe de resultados materia del</w:t>
      </w:r>
      <w:r w:rsidR="004818C3">
        <w:rPr>
          <w:rFonts w:ascii="Abadi" w:hAnsi="Abadi" w:cs="*Arial-6559-Identity-H"/>
          <w:color w:val="0D0E10"/>
          <w:sz w:val="21"/>
          <w:szCs w:val="21"/>
        </w:rPr>
        <w:t xml:space="preserve"> </w:t>
      </w:r>
      <w:r w:rsidRPr="00494B56">
        <w:rPr>
          <w:rFonts w:ascii="Abadi" w:hAnsi="Abadi" w:cs="*Arial-6559-Identity-H"/>
          <w:color w:val="0D0E10"/>
          <w:sz w:val="21"/>
          <w:szCs w:val="21"/>
        </w:rPr>
        <w:t>presente dictamen.</w:t>
      </w:r>
    </w:p>
    <w:p w14:paraId="38294202" w14:textId="77777777" w:rsidR="002F42D9" w:rsidRPr="00494B56" w:rsidRDefault="002F42D9" w:rsidP="002F42D9">
      <w:pPr>
        <w:autoSpaceDE w:val="0"/>
        <w:autoSpaceDN w:val="0"/>
        <w:adjustRightInd w:val="0"/>
        <w:jc w:val="both"/>
        <w:rPr>
          <w:rFonts w:ascii="Abadi" w:hAnsi="Abadi" w:cs="*Arial-6559-Identity-H"/>
          <w:color w:val="0D0E10"/>
          <w:sz w:val="21"/>
          <w:szCs w:val="21"/>
        </w:rPr>
      </w:pPr>
    </w:p>
    <w:p w14:paraId="21D626F0" w14:textId="77777777" w:rsidR="002F42D9" w:rsidRPr="00494B56" w:rsidRDefault="002F42D9" w:rsidP="002F42D9">
      <w:pPr>
        <w:autoSpaceDE w:val="0"/>
        <w:autoSpaceDN w:val="0"/>
        <w:adjustRightInd w:val="0"/>
        <w:ind w:firstLine="708"/>
        <w:jc w:val="both"/>
        <w:rPr>
          <w:rFonts w:ascii="Abadi" w:hAnsi="Abadi" w:cs="*Arial-6559-Identity-H"/>
          <w:color w:val="0C0C0E"/>
          <w:sz w:val="21"/>
          <w:szCs w:val="21"/>
        </w:rPr>
      </w:pPr>
      <w:r w:rsidRPr="00494B56">
        <w:rPr>
          <w:rFonts w:ascii="Abadi" w:hAnsi="Abadi" w:cs="*Arial-6559-Identity-H"/>
          <w:color w:val="0C0C0E"/>
          <w:sz w:val="21"/>
          <w:szCs w:val="21"/>
        </w:rPr>
        <w:t>El informe de resultados se notificó al presidente municipal de San</w:t>
      </w:r>
      <w:r>
        <w:rPr>
          <w:rFonts w:ascii="Abadi" w:hAnsi="Abadi" w:cs="*Arial-6559-Identity-H"/>
          <w:color w:val="0C0C0E"/>
          <w:sz w:val="21"/>
          <w:szCs w:val="21"/>
        </w:rPr>
        <w:t xml:space="preserve"> </w:t>
      </w:r>
      <w:r w:rsidRPr="00494B56">
        <w:rPr>
          <w:rFonts w:ascii="Abadi" w:hAnsi="Abadi" w:cs="*Arial-6559-Identity-H"/>
          <w:color w:val="0C0C0E"/>
          <w:sz w:val="21"/>
          <w:szCs w:val="21"/>
        </w:rPr>
        <w:t xml:space="preserve">Francisco del Rincón, </w:t>
      </w:r>
      <w:proofErr w:type="spellStart"/>
      <w:r w:rsidRPr="00494B56">
        <w:rPr>
          <w:rFonts w:ascii="Abadi" w:hAnsi="Abadi" w:cs="*Arial-6559-Identity-H"/>
          <w:color w:val="0C0C0E"/>
          <w:sz w:val="21"/>
          <w:szCs w:val="21"/>
        </w:rPr>
        <w:t>Gto</w:t>
      </w:r>
      <w:proofErr w:type="spellEnd"/>
      <w:r w:rsidRPr="00494B56">
        <w:rPr>
          <w:rFonts w:ascii="Abadi" w:hAnsi="Abadi" w:cs="*Arial-6559-Identity-H"/>
          <w:color w:val="0C0C0E"/>
          <w:sz w:val="21"/>
          <w:szCs w:val="21"/>
        </w:rPr>
        <w:t>., el 18 de febrero de 2022.</w:t>
      </w:r>
    </w:p>
    <w:p w14:paraId="2FA0815B" w14:textId="77777777" w:rsidR="002F42D9" w:rsidRPr="00494B56" w:rsidRDefault="002F42D9" w:rsidP="002F42D9">
      <w:pPr>
        <w:autoSpaceDE w:val="0"/>
        <w:autoSpaceDN w:val="0"/>
        <w:adjustRightInd w:val="0"/>
        <w:jc w:val="both"/>
        <w:rPr>
          <w:rFonts w:ascii="Abadi" w:hAnsi="Abadi" w:cs="*Arial-6559-Identity-H"/>
          <w:color w:val="0C0C0E"/>
          <w:sz w:val="21"/>
          <w:szCs w:val="21"/>
        </w:rPr>
      </w:pPr>
    </w:p>
    <w:p w14:paraId="3B8F546E" w14:textId="77777777" w:rsidR="002F42D9" w:rsidRPr="00494B56" w:rsidRDefault="002F42D9" w:rsidP="002F42D9">
      <w:pPr>
        <w:autoSpaceDE w:val="0"/>
        <w:autoSpaceDN w:val="0"/>
        <w:adjustRightInd w:val="0"/>
        <w:ind w:firstLine="708"/>
        <w:jc w:val="both"/>
        <w:rPr>
          <w:rFonts w:ascii="Abadi" w:hAnsi="Abadi" w:cs="*Arial-6559-Identity-H"/>
          <w:color w:val="0D0C10"/>
          <w:sz w:val="21"/>
          <w:szCs w:val="21"/>
        </w:rPr>
      </w:pPr>
      <w:r w:rsidRPr="00494B56">
        <w:rPr>
          <w:rFonts w:ascii="Abadi" w:hAnsi="Abadi" w:cs="*Arial-6559-Identity-H"/>
          <w:color w:val="0D0C10"/>
          <w:sz w:val="21"/>
          <w:szCs w:val="21"/>
        </w:rPr>
        <w:t>Es importante señalar que de acuerdo a lo previsto en los artículos 60 de la</w:t>
      </w:r>
      <w:r>
        <w:rPr>
          <w:rFonts w:ascii="Abadi" w:hAnsi="Abadi" w:cs="*Arial-6559-Identity-H"/>
          <w:color w:val="0D0C10"/>
          <w:sz w:val="21"/>
          <w:szCs w:val="21"/>
        </w:rPr>
        <w:t xml:space="preserve"> </w:t>
      </w:r>
      <w:r w:rsidRPr="00494B56">
        <w:rPr>
          <w:rFonts w:ascii="Abadi" w:hAnsi="Abadi" w:cs="*Arial-6559-Identity-H"/>
          <w:color w:val="0D0C10"/>
          <w:sz w:val="21"/>
          <w:szCs w:val="21"/>
        </w:rPr>
        <w:t>Ley de Fiscalización Superior del Estado de Guanajuato; y 60 del Reglamento de</w:t>
      </w:r>
      <w:r>
        <w:rPr>
          <w:rFonts w:ascii="Abadi" w:hAnsi="Abadi" w:cs="*Arial-6559-Identity-H"/>
          <w:color w:val="0D0C10"/>
          <w:sz w:val="21"/>
          <w:szCs w:val="21"/>
        </w:rPr>
        <w:t xml:space="preserve"> </w:t>
      </w:r>
      <w:r w:rsidRPr="00494B56">
        <w:rPr>
          <w:rFonts w:ascii="Abadi" w:hAnsi="Abadi" w:cs="*Arial-6559-Identity-H"/>
          <w:color w:val="0D0C10"/>
          <w:sz w:val="21"/>
          <w:szCs w:val="21"/>
        </w:rPr>
        <w:t>la Ley de Fiscalización Superior del Estado de Guanajuato, tratándose de las</w:t>
      </w:r>
      <w:r>
        <w:rPr>
          <w:rFonts w:ascii="Abadi" w:hAnsi="Abadi" w:cs="*Arial-6559-Identity-H"/>
          <w:color w:val="0D0C10"/>
          <w:sz w:val="21"/>
          <w:szCs w:val="21"/>
        </w:rPr>
        <w:t xml:space="preserve"> </w:t>
      </w:r>
      <w:r w:rsidRPr="00494B56">
        <w:rPr>
          <w:rFonts w:ascii="Abadi" w:hAnsi="Abadi" w:cs="*Arial-6559-Identity-H"/>
          <w:color w:val="0D0C10"/>
          <w:sz w:val="21"/>
          <w:szCs w:val="21"/>
        </w:rPr>
        <w:t>auditorias de desempeño es improcedente el recurso de reconsideración en contra</w:t>
      </w:r>
      <w:r>
        <w:rPr>
          <w:rFonts w:ascii="Abadi" w:hAnsi="Abadi" w:cs="*Arial-6559-Identity-H"/>
          <w:color w:val="0D0C10"/>
          <w:sz w:val="21"/>
          <w:szCs w:val="21"/>
        </w:rPr>
        <w:t xml:space="preserve"> </w:t>
      </w:r>
      <w:r w:rsidRPr="00494B56">
        <w:rPr>
          <w:rFonts w:ascii="Abadi" w:hAnsi="Abadi" w:cs="*Arial-6559-Identity-H"/>
          <w:color w:val="0D0C10"/>
          <w:sz w:val="21"/>
          <w:szCs w:val="21"/>
        </w:rPr>
        <w:t>del informe de resultados, por lo que una vez notificado el mismo al sujeto de</w:t>
      </w:r>
      <w:r>
        <w:rPr>
          <w:rFonts w:ascii="Abadi" w:hAnsi="Abadi" w:cs="*Arial-6559-Identity-H"/>
          <w:color w:val="0D0C10"/>
          <w:sz w:val="21"/>
          <w:szCs w:val="21"/>
        </w:rPr>
        <w:t xml:space="preserve"> </w:t>
      </w:r>
      <w:r w:rsidRPr="00494B56">
        <w:rPr>
          <w:rFonts w:ascii="Abadi" w:hAnsi="Abadi" w:cs="*Arial-6559-Identity-H"/>
          <w:color w:val="0D0C10"/>
          <w:sz w:val="21"/>
          <w:szCs w:val="21"/>
        </w:rPr>
        <w:t>fiscalización, se remite al Congreso para los efectos procedentes.</w:t>
      </w:r>
    </w:p>
    <w:p w14:paraId="04A6C7AC" w14:textId="77777777" w:rsidR="002F42D9" w:rsidRPr="00494B56" w:rsidRDefault="002F42D9" w:rsidP="002F42D9">
      <w:pPr>
        <w:autoSpaceDE w:val="0"/>
        <w:autoSpaceDN w:val="0"/>
        <w:adjustRightInd w:val="0"/>
        <w:jc w:val="both"/>
        <w:rPr>
          <w:rFonts w:ascii="Abadi" w:hAnsi="Abadi" w:cs="*Arial-6559-Identity-H"/>
          <w:color w:val="0D0C10"/>
          <w:sz w:val="21"/>
          <w:szCs w:val="21"/>
        </w:rPr>
      </w:pPr>
    </w:p>
    <w:p w14:paraId="6E04CE4A" w14:textId="44CD5853" w:rsidR="002F42D9" w:rsidRPr="00494B56" w:rsidRDefault="002F42D9" w:rsidP="002F42D9">
      <w:pPr>
        <w:autoSpaceDE w:val="0"/>
        <w:autoSpaceDN w:val="0"/>
        <w:adjustRightInd w:val="0"/>
        <w:ind w:firstLine="708"/>
        <w:jc w:val="both"/>
        <w:rPr>
          <w:rFonts w:ascii="Abadi" w:hAnsi="Abadi" w:cs="*Arial-6559-Identity-H"/>
          <w:color w:val="0C0C0E"/>
          <w:sz w:val="21"/>
          <w:szCs w:val="21"/>
        </w:rPr>
      </w:pPr>
      <w:r w:rsidRPr="00494B56">
        <w:rPr>
          <w:rFonts w:ascii="Abadi" w:hAnsi="Abadi" w:cs="*Arial-6559-Identity-H"/>
          <w:color w:val="0C0C0E"/>
          <w:sz w:val="21"/>
          <w:szCs w:val="21"/>
        </w:rPr>
        <w:t>En razón de lo anterior, el Auditor Superior del Estado remitió a este</w:t>
      </w:r>
      <w:r>
        <w:rPr>
          <w:rFonts w:ascii="Abadi" w:hAnsi="Abadi" w:cs="*Arial-6559-Identity-H"/>
          <w:color w:val="0C0C0E"/>
          <w:sz w:val="21"/>
          <w:szCs w:val="21"/>
        </w:rPr>
        <w:t xml:space="preserve"> </w:t>
      </w:r>
      <w:r w:rsidRPr="00494B56">
        <w:rPr>
          <w:rFonts w:ascii="Abadi" w:hAnsi="Abadi" w:cs="*Arial-6559-Identity-H"/>
          <w:color w:val="0C0C0E"/>
          <w:sz w:val="21"/>
          <w:szCs w:val="21"/>
        </w:rPr>
        <w:t>Congreso del Estado, el informe de resultados, el cual se turnó a la Comisión de</w:t>
      </w:r>
      <w:r>
        <w:rPr>
          <w:rFonts w:ascii="Abadi" w:hAnsi="Abadi" w:cs="*Arial-6559-Identity-H"/>
          <w:color w:val="0C0C0E"/>
          <w:sz w:val="21"/>
          <w:szCs w:val="21"/>
        </w:rPr>
        <w:t xml:space="preserve"> </w:t>
      </w:r>
      <w:r w:rsidRPr="00494B56">
        <w:rPr>
          <w:rFonts w:ascii="Abadi" w:hAnsi="Abadi" w:cs="*Arial-6559-Identity-H"/>
          <w:color w:val="0C0C0E"/>
          <w:sz w:val="21"/>
          <w:szCs w:val="21"/>
        </w:rPr>
        <w:t xml:space="preserve">Hacienda y Fiscalización el </w:t>
      </w:r>
      <w:r w:rsidR="00015D8C">
        <w:rPr>
          <w:rFonts w:ascii="Abadi" w:hAnsi="Abadi" w:cs="*Arial-6559-Identity-H"/>
          <w:color w:val="0C0C0E"/>
          <w:sz w:val="21"/>
          <w:szCs w:val="21"/>
        </w:rPr>
        <w:t>10</w:t>
      </w:r>
      <w:r w:rsidRPr="00494B56">
        <w:rPr>
          <w:rFonts w:ascii="Abadi" w:hAnsi="Abadi" w:cs="*Arial-6559-Identity-H"/>
          <w:color w:val="0C0C0E"/>
          <w:sz w:val="21"/>
          <w:szCs w:val="21"/>
        </w:rPr>
        <w:t xml:space="preserve"> de marzo de 2022 para su estudio y dictamen,</w:t>
      </w:r>
      <w:r>
        <w:rPr>
          <w:rFonts w:ascii="Abadi" w:hAnsi="Abadi" w:cs="*Arial-6559-Identity-H"/>
          <w:color w:val="0C0C0E"/>
          <w:sz w:val="21"/>
          <w:szCs w:val="21"/>
        </w:rPr>
        <w:t xml:space="preserve"> </w:t>
      </w:r>
      <w:r w:rsidRPr="00494B56">
        <w:rPr>
          <w:rFonts w:ascii="Abadi" w:hAnsi="Abadi" w:cs="*Arial-6559-Identity-H"/>
          <w:color w:val="0C0C0E"/>
          <w:sz w:val="21"/>
          <w:szCs w:val="21"/>
        </w:rPr>
        <w:t>siendo radicado el 15 de marzo del año en curso.</w:t>
      </w:r>
    </w:p>
    <w:p w14:paraId="496AD389" w14:textId="77777777" w:rsidR="002F42D9" w:rsidRPr="00494B56" w:rsidRDefault="002F42D9" w:rsidP="002F42D9">
      <w:pPr>
        <w:autoSpaceDE w:val="0"/>
        <w:autoSpaceDN w:val="0"/>
        <w:adjustRightInd w:val="0"/>
        <w:jc w:val="both"/>
        <w:rPr>
          <w:rFonts w:ascii="Abadi" w:hAnsi="Abadi" w:cs="*Arial-7966-Identity-H"/>
          <w:color w:val="0D0C0F"/>
          <w:sz w:val="21"/>
          <w:szCs w:val="21"/>
        </w:rPr>
      </w:pPr>
    </w:p>
    <w:p w14:paraId="224202EB" w14:textId="77777777" w:rsidR="002F42D9" w:rsidRPr="00494B56" w:rsidRDefault="002F42D9" w:rsidP="002F42D9">
      <w:pPr>
        <w:autoSpaceDE w:val="0"/>
        <w:autoSpaceDN w:val="0"/>
        <w:adjustRightInd w:val="0"/>
        <w:ind w:left="708" w:firstLine="708"/>
        <w:jc w:val="both"/>
        <w:rPr>
          <w:rFonts w:ascii="Abadi" w:hAnsi="Abadi" w:cs="*Arial-Bold-7967-Identity-H"/>
          <w:b/>
          <w:bCs/>
          <w:color w:val="0C0C10"/>
          <w:sz w:val="21"/>
          <w:szCs w:val="21"/>
        </w:rPr>
      </w:pPr>
      <w:r w:rsidRPr="00494B56">
        <w:rPr>
          <w:rFonts w:ascii="Abadi" w:hAnsi="Abadi" w:cs="*Arial-Bold-7967-Identity-H"/>
          <w:b/>
          <w:bCs/>
          <w:color w:val="0C0C10"/>
          <w:sz w:val="21"/>
          <w:szCs w:val="21"/>
        </w:rPr>
        <w:t>IV. Contenido del Informe de Resultados</w:t>
      </w:r>
    </w:p>
    <w:p w14:paraId="5976A42C" w14:textId="77777777" w:rsidR="002F42D9" w:rsidRPr="00494B56" w:rsidRDefault="002F42D9" w:rsidP="002F42D9">
      <w:pPr>
        <w:autoSpaceDE w:val="0"/>
        <w:autoSpaceDN w:val="0"/>
        <w:adjustRightInd w:val="0"/>
        <w:ind w:left="708" w:firstLine="708"/>
        <w:jc w:val="both"/>
        <w:rPr>
          <w:rFonts w:ascii="Abadi" w:hAnsi="Abadi" w:cs="*Arial-7966-Identity-H"/>
          <w:color w:val="0D0C0F"/>
          <w:sz w:val="21"/>
          <w:szCs w:val="21"/>
        </w:rPr>
      </w:pPr>
    </w:p>
    <w:p w14:paraId="37850BAB" w14:textId="77777777" w:rsidR="002F42D9" w:rsidRPr="00494B56" w:rsidRDefault="002F42D9" w:rsidP="002F42D9">
      <w:pPr>
        <w:autoSpaceDE w:val="0"/>
        <w:autoSpaceDN w:val="0"/>
        <w:adjustRightInd w:val="0"/>
        <w:ind w:firstLine="708"/>
        <w:jc w:val="both"/>
        <w:rPr>
          <w:rFonts w:ascii="Abadi" w:hAnsi="Abadi" w:cs="*Arial-7966-Identity-H"/>
          <w:color w:val="0D0C0F"/>
          <w:sz w:val="21"/>
          <w:szCs w:val="21"/>
        </w:rPr>
      </w:pPr>
      <w:r w:rsidRPr="00494B56">
        <w:rPr>
          <w:rFonts w:ascii="Abadi" w:hAnsi="Abadi" w:cs="*Arial-7966-Identity-H"/>
          <w:color w:val="0D0C0F"/>
          <w:sz w:val="21"/>
          <w:szCs w:val="21"/>
        </w:rPr>
        <w:t>Con fundamento en los artículos 59 de la Ley de Fiscalización Superior del</w:t>
      </w:r>
      <w:r>
        <w:rPr>
          <w:rFonts w:ascii="Abadi" w:hAnsi="Abadi" w:cs="*Arial-7966-Identity-H"/>
          <w:color w:val="0D0C0F"/>
          <w:sz w:val="21"/>
          <w:szCs w:val="21"/>
        </w:rPr>
        <w:t xml:space="preserve"> </w:t>
      </w:r>
      <w:r w:rsidRPr="00494B56">
        <w:rPr>
          <w:rFonts w:ascii="Abadi" w:hAnsi="Abadi" w:cs="*Arial-7966-Identity-H"/>
          <w:color w:val="0D0C0F"/>
          <w:sz w:val="21"/>
          <w:szCs w:val="21"/>
        </w:rPr>
        <w:t>Estado de Guanajuato y 26 del Reglamento de dicha Ley, el informe de resultados</w:t>
      </w:r>
      <w:r>
        <w:rPr>
          <w:rFonts w:ascii="Abadi" w:hAnsi="Abadi" w:cs="*Arial-7966-Identity-H"/>
          <w:color w:val="0D0C0F"/>
          <w:sz w:val="21"/>
          <w:szCs w:val="21"/>
        </w:rPr>
        <w:t xml:space="preserve"> </w:t>
      </w:r>
      <w:r w:rsidRPr="00494B56">
        <w:rPr>
          <w:rFonts w:ascii="Abadi" w:hAnsi="Abadi" w:cs="*Arial-7966-Identity-H"/>
          <w:color w:val="0D0C0F"/>
          <w:sz w:val="21"/>
          <w:szCs w:val="21"/>
        </w:rPr>
        <w:t>contiene los siguientes</w:t>
      </w:r>
      <w:r>
        <w:rPr>
          <w:rFonts w:ascii="Abadi" w:hAnsi="Abadi" w:cs="*Arial-7966-Identity-H"/>
          <w:color w:val="0D0C0F"/>
          <w:sz w:val="21"/>
          <w:szCs w:val="21"/>
        </w:rPr>
        <w:t xml:space="preserve"> </w:t>
      </w:r>
      <w:r w:rsidRPr="00494B56">
        <w:rPr>
          <w:rFonts w:ascii="Abadi" w:hAnsi="Abadi" w:cs="*Arial-7966-Identity-H"/>
          <w:color w:val="0D0C0F"/>
          <w:sz w:val="21"/>
          <w:szCs w:val="21"/>
        </w:rPr>
        <w:t>apartados: Introducción; Resultado del Proceso de</w:t>
      </w:r>
      <w:r>
        <w:rPr>
          <w:rFonts w:ascii="Abadi" w:hAnsi="Abadi" w:cs="*Arial-7966-Identity-H"/>
          <w:color w:val="0D0C0F"/>
          <w:sz w:val="21"/>
          <w:szCs w:val="21"/>
        </w:rPr>
        <w:t xml:space="preserve"> Fiscalización</w:t>
      </w:r>
      <w:r w:rsidRPr="00494B56">
        <w:rPr>
          <w:rFonts w:ascii="Abadi" w:hAnsi="Abadi" w:cs="*Arial-7966-Identity-H"/>
          <w:color w:val="0D0C0F"/>
          <w:sz w:val="21"/>
          <w:szCs w:val="21"/>
        </w:rPr>
        <w:t>; Resumen de las Recomendaciones; y Conclusión General.</w:t>
      </w:r>
    </w:p>
    <w:p w14:paraId="061D773E" w14:textId="77777777" w:rsidR="002F42D9" w:rsidRPr="00494B56" w:rsidRDefault="002F42D9" w:rsidP="002F42D9">
      <w:pPr>
        <w:autoSpaceDE w:val="0"/>
        <w:autoSpaceDN w:val="0"/>
        <w:adjustRightInd w:val="0"/>
        <w:jc w:val="both"/>
        <w:rPr>
          <w:rFonts w:ascii="Abadi" w:hAnsi="Abadi" w:cs="*Arial-Bold-7967-Identity-H"/>
          <w:b/>
          <w:bCs/>
          <w:color w:val="0C0C10"/>
          <w:sz w:val="21"/>
          <w:szCs w:val="21"/>
        </w:rPr>
      </w:pPr>
    </w:p>
    <w:p w14:paraId="33742A04" w14:textId="77777777" w:rsidR="002F42D9" w:rsidRPr="00494B56" w:rsidRDefault="002F42D9" w:rsidP="002F42D9">
      <w:pPr>
        <w:autoSpaceDE w:val="0"/>
        <w:autoSpaceDN w:val="0"/>
        <w:adjustRightInd w:val="0"/>
        <w:jc w:val="both"/>
        <w:rPr>
          <w:rFonts w:ascii="Abadi" w:hAnsi="Abadi" w:cs="*Arial-Bold-7967-Identity-H"/>
          <w:b/>
          <w:bCs/>
          <w:color w:val="0C0C10"/>
          <w:sz w:val="21"/>
          <w:szCs w:val="21"/>
        </w:rPr>
      </w:pPr>
      <w:r w:rsidRPr="00494B56">
        <w:rPr>
          <w:rFonts w:ascii="Abadi" w:hAnsi="Abadi" w:cs="*Arial-Bold-7967-Identity-H"/>
          <w:b/>
          <w:bCs/>
          <w:color w:val="0C0C10"/>
          <w:sz w:val="21"/>
          <w:szCs w:val="21"/>
        </w:rPr>
        <w:t>a) Introducción.</w:t>
      </w:r>
    </w:p>
    <w:p w14:paraId="0A7CA08A" w14:textId="77777777" w:rsidR="002F42D9" w:rsidRPr="00494B56" w:rsidRDefault="002F42D9" w:rsidP="002F42D9">
      <w:pPr>
        <w:autoSpaceDE w:val="0"/>
        <w:autoSpaceDN w:val="0"/>
        <w:adjustRightInd w:val="0"/>
        <w:jc w:val="both"/>
        <w:rPr>
          <w:rFonts w:ascii="Abadi" w:hAnsi="Abadi" w:cs="*Arial-7966-Identity-H"/>
          <w:color w:val="0D0D10"/>
          <w:sz w:val="21"/>
          <w:szCs w:val="21"/>
        </w:rPr>
      </w:pPr>
    </w:p>
    <w:p w14:paraId="0B5BB00D" w14:textId="6F0663A6" w:rsidR="002F42D9" w:rsidRPr="00494B56" w:rsidRDefault="002F42D9" w:rsidP="00676E19">
      <w:pPr>
        <w:autoSpaceDE w:val="0"/>
        <w:autoSpaceDN w:val="0"/>
        <w:adjustRightInd w:val="0"/>
        <w:ind w:firstLine="708"/>
        <w:jc w:val="both"/>
        <w:rPr>
          <w:rFonts w:ascii="Abadi" w:hAnsi="Abadi" w:cs="*Arial-7966-Identity-H"/>
          <w:color w:val="0D0D10"/>
          <w:sz w:val="21"/>
          <w:szCs w:val="21"/>
        </w:rPr>
      </w:pPr>
      <w:r w:rsidRPr="00494B56">
        <w:rPr>
          <w:rFonts w:ascii="Abadi" w:hAnsi="Abadi" w:cs="*Arial-7966-Identity-H"/>
          <w:color w:val="0D0D10"/>
          <w:sz w:val="21"/>
          <w:szCs w:val="21"/>
        </w:rPr>
        <w:t>Por lo que se refiere a esta parte, se señala que las auditorías de</w:t>
      </w:r>
      <w:r w:rsidR="00676E19">
        <w:rPr>
          <w:rFonts w:ascii="Abadi" w:hAnsi="Abadi" w:cs="*Arial-7966-Identity-H"/>
          <w:color w:val="0D0D10"/>
          <w:sz w:val="21"/>
          <w:szCs w:val="21"/>
        </w:rPr>
        <w:t xml:space="preserve"> </w:t>
      </w:r>
      <w:r w:rsidRPr="00494B56">
        <w:rPr>
          <w:rFonts w:ascii="Abadi" w:hAnsi="Abadi" w:cs="*Arial-7966-Identity-H"/>
          <w:color w:val="0D0D10"/>
          <w:sz w:val="21"/>
          <w:szCs w:val="21"/>
        </w:rPr>
        <w:t>desempeño son actos de fiscalización, esa es su esencia.</w:t>
      </w:r>
    </w:p>
    <w:p w14:paraId="577D95E6" w14:textId="77777777" w:rsidR="002F42D9" w:rsidRPr="00494B56" w:rsidRDefault="002F42D9" w:rsidP="002F42D9">
      <w:pPr>
        <w:autoSpaceDE w:val="0"/>
        <w:autoSpaceDN w:val="0"/>
        <w:adjustRightInd w:val="0"/>
        <w:jc w:val="both"/>
        <w:rPr>
          <w:rFonts w:ascii="Abadi" w:hAnsi="Abadi" w:cs="*Arial-7966-Identity-H"/>
          <w:color w:val="0D0D10"/>
          <w:sz w:val="21"/>
          <w:szCs w:val="21"/>
        </w:rPr>
      </w:pPr>
    </w:p>
    <w:p w14:paraId="07EC74B8" w14:textId="77777777" w:rsidR="002F42D9" w:rsidRPr="00494B56" w:rsidRDefault="002F42D9" w:rsidP="002F42D9">
      <w:pPr>
        <w:autoSpaceDE w:val="0"/>
        <w:autoSpaceDN w:val="0"/>
        <w:adjustRightInd w:val="0"/>
        <w:ind w:firstLine="708"/>
        <w:jc w:val="both"/>
        <w:rPr>
          <w:rFonts w:ascii="Abadi" w:hAnsi="Abadi" w:cs="*Arial-7966-Identity-H"/>
          <w:color w:val="0D0C0F"/>
          <w:sz w:val="21"/>
          <w:szCs w:val="21"/>
        </w:rPr>
      </w:pPr>
      <w:r w:rsidRPr="00494B56">
        <w:rPr>
          <w:rFonts w:ascii="Abadi" w:hAnsi="Abadi" w:cs="*Arial-7966-Identity-H"/>
          <w:color w:val="0D0C0F"/>
          <w:sz w:val="21"/>
          <w:szCs w:val="21"/>
        </w:rPr>
        <w:t>Es así, que la naturaleza técnico-jurídica de las auditorías de desempeño</w:t>
      </w:r>
      <w:r>
        <w:rPr>
          <w:rFonts w:ascii="Abadi" w:hAnsi="Abadi" w:cs="*Arial-7966-Identity-H"/>
          <w:color w:val="0D0C0F"/>
          <w:sz w:val="21"/>
          <w:szCs w:val="21"/>
        </w:rPr>
        <w:t xml:space="preserve"> </w:t>
      </w:r>
      <w:r w:rsidRPr="00494B56">
        <w:rPr>
          <w:rFonts w:ascii="Abadi" w:hAnsi="Abadi" w:cs="*Arial-7966-Identity-H"/>
          <w:color w:val="0D0C0F"/>
          <w:sz w:val="21"/>
          <w:szCs w:val="21"/>
        </w:rPr>
        <w:t>difiere de otras auditorías, pues el resultado se expresa con la emisión, en su</w:t>
      </w:r>
      <w:r>
        <w:rPr>
          <w:rFonts w:ascii="Abadi" w:hAnsi="Abadi" w:cs="*Arial-7966-Identity-H"/>
          <w:color w:val="0D0C0F"/>
          <w:sz w:val="21"/>
          <w:szCs w:val="21"/>
        </w:rPr>
        <w:t xml:space="preserve"> </w:t>
      </w:r>
      <w:r w:rsidRPr="00494B56">
        <w:rPr>
          <w:rFonts w:ascii="Abadi" w:hAnsi="Abadi" w:cs="*Arial-7966-Identity-H"/>
          <w:color w:val="0D0C0F"/>
          <w:sz w:val="21"/>
          <w:szCs w:val="21"/>
        </w:rPr>
        <w:t>caso, de exclusivamente recomendaciones, distinguiéndose de otros actos de</w:t>
      </w:r>
      <w:r>
        <w:rPr>
          <w:rFonts w:ascii="Abadi" w:hAnsi="Abadi" w:cs="*Arial-7966-Identity-H"/>
          <w:color w:val="0D0C0F"/>
          <w:sz w:val="21"/>
          <w:szCs w:val="21"/>
        </w:rPr>
        <w:t xml:space="preserve"> </w:t>
      </w:r>
      <w:r w:rsidRPr="00494B56">
        <w:rPr>
          <w:rFonts w:ascii="Abadi" w:hAnsi="Abadi" w:cs="*Arial-7966-Identity-H"/>
          <w:color w:val="0D0C0F"/>
          <w:sz w:val="21"/>
          <w:szCs w:val="21"/>
        </w:rPr>
        <w:t>fiscalización o control que pueden arrojar observaci</w:t>
      </w:r>
      <w:r>
        <w:rPr>
          <w:rFonts w:ascii="Abadi" w:hAnsi="Abadi" w:cs="*Arial-7966-Identity-H"/>
          <w:color w:val="0D0C0F"/>
          <w:sz w:val="21"/>
          <w:szCs w:val="21"/>
        </w:rPr>
        <w:t>o</w:t>
      </w:r>
      <w:r w:rsidRPr="00494B56">
        <w:rPr>
          <w:rFonts w:ascii="Abadi" w:hAnsi="Abadi" w:cs="*Arial-7966-Identity-H"/>
          <w:color w:val="0D0C0F"/>
          <w:sz w:val="21"/>
          <w:szCs w:val="21"/>
        </w:rPr>
        <w:t>nes. Se trata de una tarea</w:t>
      </w:r>
      <w:r>
        <w:rPr>
          <w:rFonts w:ascii="Abadi" w:hAnsi="Abadi" w:cs="*Arial-7966-Identity-H"/>
          <w:color w:val="0D0C0F"/>
          <w:sz w:val="21"/>
          <w:szCs w:val="21"/>
        </w:rPr>
        <w:t xml:space="preserve"> </w:t>
      </w:r>
      <w:r w:rsidRPr="00494B56">
        <w:rPr>
          <w:rFonts w:ascii="Abadi" w:hAnsi="Abadi" w:cs="*Arial-7966-Identity-H"/>
          <w:color w:val="0D0C0F"/>
          <w:sz w:val="21"/>
          <w:szCs w:val="21"/>
        </w:rPr>
        <w:t>reglada y sistémica de evaluación para la mejora continua, detectando</w:t>
      </w:r>
      <w:r>
        <w:rPr>
          <w:rFonts w:ascii="Abadi" w:hAnsi="Abadi" w:cs="*Arial-7966-Identity-H"/>
          <w:color w:val="0D0C0F"/>
          <w:sz w:val="21"/>
          <w:szCs w:val="21"/>
        </w:rPr>
        <w:t xml:space="preserve"> </w:t>
      </w:r>
      <w:r w:rsidRPr="00494B56">
        <w:rPr>
          <w:rFonts w:ascii="Abadi" w:hAnsi="Abadi" w:cs="*Arial-7966-Identity-H"/>
          <w:color w:val="0D0C0F"/>
          <w:sz w:val="21"/>
          <w:szCs w:val="21"/>
        </w:rPr>
        <w:t>debilidades, áreas de oportunidad, amenazas e incluso fortalezas en el ámbito</w:t>
      </w:r>
      <w:r>
        <w:rPr>
          <w:rFonts w:ascii="Abadi" w:hAnsi="Abadi" w:cs="*Arial-7966-Identity-H"/>
          <w:color w:val="0D0C0F"/>
          <w:sz w:val="21"/>
          <w:szCs w:val="21"/>
        </w:rPr>
        <w:t xml:space="preserve"> </w:t>
      </w:r>
      <w:r w:rsidRPr="00494B56">
        <w:rPr>
          <w:rFonts w:ascii="Abadi" w:hAnsi="Abadi" w:cs="*Arial-7966-Identity-H"/>
          <w:color w:val="0D0C0F"/>
          <w:sz w:val="21"/>
          <w:szCs w:val="21"/>
        </w:rPr>
        <w:t>público, pero promoviendo además acciones concretas que permitan superar o</w:t>
      </w:r>
      <w:r>
        <w:rPr>
          <w:rFonts w:ascii="Abadi" w:hAnsi="Abadi" w:cs="*Arial-7966-Identity-H"/>
          <w:color w:val="0D0C0F"/>
          <w:sz w:val="21"/>
          <w:szCs w:val="21"/>
        </w:rPr>
        <w:t xml:space="preserve"> </w:t>
      </w:r>
      <w:r w:rsidRPr="00494B56">
        <w:rPr>
          <w:rFonts w:ascii="Abadi" w:hAnsi="Abadi" w:cs="*Arial-7966-Identity-H"/>
          <w:color w:val="0D0C0F"/>
          <w:sz w:val="21"/>
          <w:szCs w:val="21"/>
        </w:rPr>
        <w:t>potenciar las mismas, dando adicionalmente seguimiento a su eventual</w:t>
      </w:r>
      <w:r>
        <w:rPr>
          <w:rFonts w:ascii="Abadi" w:hAnsi="Abadi" w:cs="*Arial-7966-Identity-H"/>
          <w:color w:val="0D0C0F"/>
          <w:sz w:val="21"/>
          <w:szCs w:val="21"/>
        </w:rPr>
        <w:t xml:space="preserve"> </w:t>
      </w:r>
      <w:r w:rsidRPr="00494B56">
        <w:rPr>
          <w:rFonts w:ascii="Abadi" w:hAnsi="Abadi" w:cs="*Arial-7966-Identity-H"/>
          <w:color w:val="0D0C0F"/>
          <w:sz w:val="21"/>
          <w:szCs w:val="21"/>
        </w:rPr>
        <w:t>implementación por los sujetos públicos responsables.</w:t>
      </w:r>
    </w:p>
    <w:p w14:paraId="15467A5B" w14:textId="77777777" w:rsidR="002F42D9" w:rsidRPr="00494B56" w:rsidRDefault="002F42D9" w:rsidP="002F42D9">
      <w:pPr>
        <w:autoSpaceDE w:val="0"/>
        <w:autoSpaceDN w:val="0"/>
        <w:adjustRightInd w:val="0"/>
        <w:jc w:val="both"/>
        <w:rPr>
          <w:rFonts w:ascii="Abadi" w:hAnsi="Abadi" w:cs="*Arial-7966-Identity-H"/>
          <w:color w:val="0D0C0F"/>
          <w:sz w:val="21"/>
          <w:szCs w:val="21"/>
        </w:rPr>
      </w:pPr>
    </w:p>
    <w:p w14:paraId="4BD0C1C9" w14:textId="77777777" w:rsidR="002F42D9" w:rsidRPr="00494B56" w:rsidRDefault="002F42D9" w:rsidP="002F42D9">
      <w:pPr>
        <w:autoSpaceDE w:val="0"/>
        <w:autoSpaceDN w:val="0"/>
        <w:adjustRightInd w:val="0"/>
        <w:ind w:firstLine="708"/>
        <w:jc w:val="both"/>
        <w:rPr>
          <w:rFonts w:ascii="Abadi" w:hAnsi="Abadi" w:cs="*Arial-7966-Identity-H"/>
          <w:color w:val="0D0D10"/>
          <w:sz w:val="21"/>
          <w:szCs w:val="21"/>
        </w:rPr>
      </w:pPr>
      <w:r w:rsidRPr="00494B56">
        <w:rPr>
          <w:rFonts w:ascii="Abadi" w:hAnsi="Abadi" w:cs="*Arial-7966-Identity-H"/>
          <w:color w:val="0D0D10"/>
          <w:sz w:val="21"/>
          <w:szCs w:val="21"/>
        </w:rPr>
        <w:t>En dichas auditorías, con independencia de su enfoque, se debe planear</w:t>
      </w:r>
      <w:r>
        <w:rPr>
          <w:rFonts w:ascii="Abadi" w:hAnsi="Abadi" w:cs="*Arial-7966-Identity-H"/>
          <w:color w:val="0D0D10"/>
          <w:sz w:val="21"/>
          <w:szCs w:val="21"/>
        </w:rPr>
        <w:t xml:space="preserve"> </w:t>
      </w:r>
      <w:r w:rsidRPr="00494B56">
        <w:rPr>
          <w:rFonts w:ascii="Abadi" w:hAnsi="Abadi" w:cs="*Arial-7966-Identity-H"/>
          <w:color w:val="0D0D10"/>
          <w:sz w:val="21"/>
          <w:szCs w:val="21"/>
        </w:rPr>
        <w:t>con toda claridad y con base en la evidencia competente, suficiente, pertinente,</w:t>
      </w:r>
      <w:r>
        <w:rPr>
          <w:rFonts w:ascii="Abadi" w:hAnsi="Abadi" w:cs="*Arial-7966-Identity-H"/>
          <w:color w:val="0D0D10"/>
          <w:sz w:val="21"/>
          <w:szCs w:val="21"/>
        </w:rPr>
        <w:t xml:space="preserve"> </w:t>
      </w:r>
      <w:r w:rsidRPr="00494B56">
        <w:rPr>
          <w:rFonts w:ascii="Abadi" w:hAnsi="Abadi" w:cs="*Arial-7966-Identity-H"/>
          <w:color w:val="0D0D10"/>
          <w:sz w:val="21"/>
          <w:szCs w:val="21"/>
        </w:rPr>
        <w:t>relevante y oportuna, las conclusiones del proceso de fiscalización,</w:t>
      </w:r>
      <w:r>
        <w:rPr>
          <w:rFonts w:ascii="Abadi" w:hAnsi="Abadi" w:cs="*Arial-7966-Identity-H"/>
          <w:color w:val="0D0D10"/>
          <w:sz w:val="21"/>
          <w:szCs w:val="21"/>
        </w:rPr>
        <w:t xml:space="preserve"> </w:t>
      </w:r>
      <w:r w:rsidRPr="00494B56">
        <w:rPr>
          <w:rFonts w:ascii="Abadi" w:hAnsi="Abadi" w:cs="*Arial-7966-Identity-H"/>
          <w:color w:val="0D0D10"/>
          <w:sz w:val="21"/>
          <w:szCs w:val="21"/>
        </w:rPr>
        <w:t>puntualizándose las recomendaciones formuladas en su caso.</w:t>
      </w:r>
    </w:p>
    <w:p w14:paraId="22A715DC" w14:textId="77777777" w:rsidR="002F42D9" w:rsidRPr="00494B56" w:rsidRDefault="002F42D9" w:rsidP="002F42D9">
      <w:pPr>
        <w:autoSpaceDE w:val="0"/>
        <w:autoSpaceDN w:val="0"/>
        <w:adjustRightInd w:val="0"/>
        <w:jc w:val="both"/>
        <w:rPr>
          <w:rFonts w:ascii="Abadi" w:hAnsi="Abadi" w:cs="*Arial-7966-Identity-H"/>
          <w:color w:val="0B0B0E"/>
          <w:sz w:val="21"/>
          <w:szCs w:val="21"/>
        </w:rPr>
      </w:pPr>
    </w:p>
    <w:p w14:paraId="7EFE6A97" w14:textId="6986C788" w:rsidR="002F42D9" w:rsidRPr="00494B56" w:rsidRDefault="002F42D9" w:rsidP="002F42D9">
      <w:pPr>
        <w:autoSpaceDE w:val="0"/>
        <w:autoSpaceDN w:val="0"/>
        <w:adjustRightInd w:val="0"/>
        <w:ind w:firstLine="708"/>
        <w:jc w:val="both"/>
        <w:rPr>
          <w:rFonts w:ascii="Abadi" w:hAnsi="Abadi" w:cs="*Arial-7966-Identity-H"/>
          <w:color w:val="0B0B0E"/>
          <w:sz w:val="21"/>
          <w:szCs w:val="21"/>
        </w:rPr>
      </w:pPr>
      <w:r w:rsidRPr="00494B56">
        <w:rPr>
          <w:rFonts w:ascii="Abadi" w:hAnsi="Abadi" w:cs="*Arial-7966-Identity-H"/>
          <w:color w:val="0B0B0E"/>
          <w:sz w:val="21"/>
          <w:szCs w:val="21"/>
        </w:rPr>
        <w:t>Respecto al marco competencia!, se precisa la normatividad aplicable a la</w:t>
      </w:r>
      <w:r>
        <w:rPr>
          <w:rFonts w:ascii="Abadi" w:hAnsi="Abadi" w:cs="*Arial-7966-Identity-H"/>
          <w:color w:val="0B0B0E"/>
          <w:sz w:val="21"/>
          <w:szCs w:val="21"/>
        </w:rPr>
        <w:t xml:space="preserve"> </w:t>
      </w:r>
      <w:r w:rsidRPr="00494B56">
        <w:rPr>
          <w:rFonts w:ascii="Abadi" w:hAnsi="Abadi" w:cs="*Arial-7966-Identity-H"/>
          <w:color w:val="0B0B0E"/>
          <w:sz w:val="21"/>
          <w:szCs w:val="21"/>
        </w:rPr>
        <w:t>función de fiscalización a cargo del Poder Legislativo del Estado, siendo esta:</w:t>
      </w:r>
      <w:r>
        <w:rPr>
          <w:rFonts w:ascii="Abadi" w:hAnsi="Abadi" w:cs="*Arial-7966-Identity-H"/>
          <w:color w:val="0B0B0E"/>
          <w:sz w:val="21"/>
          <w:szCs w:val="21"/>
        </w:rPr>
        <w:t xml:space="preserve"> </w:t>
      </w:r>
      <w:r w:rsidRPr="00494B56">
        <w:rPr>
          <w:rFonts w:ascii="Abadi" w:hAnsi="Abadi" w:cs="*Arial-7966-Identity-H"/>
          <w:color w:val="0B0B0E"/>
          <w:sz w:val="21"/>
          <w:szCs w:val="21"/>
        </w:rPr>
        <w:t xml:space="preserve">artículos 116, fracción </w:t>
      </w:r>
      <w:r w:rsidR="00F617EC">
        <w:rPr>
          <w:rFonts w:ascii="Abadi" w:hAnsi="Abadi" w:cs="*Arial-7966-Identity-H"/>
          <w:color w:val="0B0B0E"/>
          <w:sz w:val="21"/>
          <w:szCs w:val="21"/>
        </w:rPr>
        <w:t>II</w:t>
      </w:r>
      <w:r w:rsidRPr="00494B56">
        <w:rPr>
          <w:rFonts w:ascii="Abadi" w:hAnsi="Abadi" w:cs="*Arial-7966-Identity-H"/>
          <w:color w:val="0B0B0E"/>
          <w:sz w:val="21"/>
          <w:szCs w:val="21"/>
        </w:rPr>
        <w:t xml:space="preserve"> y 134 de la Constitución Política de los Estados Unidos</w:t>
      </w:r>
      <w:r>
        <w:rPr>
          <w:rFonts w:ascii="Abadi" w:hAnsi="Abadi" w:cs="*Arial-7966-Identity-H"/>
          <w:color w:val="0B0B0E"/>
          <w:sz w:val="21"/>
          <w:szCs w:val="21"/>
        </w:rPr>
        <w:t xml:space="preserve"> </w:t>
      </w:r>
      <w:r w:rsidRPr="00494B56">
        <w:rPr>
          <w:rFonts w:ascii="Abadi" w:hAnsi="Abadi" w:cs="*Arial-7966-Identity-H"/>
          <w:color w:val="0B0B0E"/>
          <w:sz w:val="21"/>
          <w:szCs w:val="21"/>
        </w:rPr>
        <w:t xml:space="preserve">Mexicanos; 2, párrafo primero, 63, fracción XIX y 66, fracciones </w:t>
      </w:r>
      <w:r w:rsidR="00F617EC">
        <w:rPr>
          <w:rFonts w:ascii="Abadi" w:hAnsi="Abadi" w:cs="*Arial-7966-Identity-H"/>
          <w:color w:val="0B0B0E"/>
          <w:sz w:val="21"/>
          <w:szCs w:val="21"/>
        </w:rPr>
        <w:t>I</w:t>
      </w:r>
      <w:r w:rsidRPr="00494B56">
        <w:rPr>
          <w:rFonts w:ascii="Abadi" w:hAnsi="Abadi" w:cs="*Arial-7966-Identity-H"/>
          <w:color w:val="0B0B0E"/>
          <w:sz w:val="21"/>
          <w:szCs w:val="21"/>
        </w:rPr>
        <w:t xml:space="preserve">, </w:t>
      </w:r>
      <w:r w:rsidR="00F617EC">
        <w:rPr>
          <w:rFonts w:ascii="Abadi" w:hAnsi="Abadi" w:cs="*Arial-7966-Identity-H"/>
          <w:color w:val="0B0B0E"/>
          <w:sz w:val="21"/>
          <w:szCs w:val="21"/>
        </w:rPr>
        <w:t>II</w:t>
      </w:r>
      <w:r w:rsidRPr="00494B56">
        <w:rPr>
          <w:rFonts w:ascii="Abadi" w:hAnsi="Abadi" w:cs="*Arial-7966-Identity-H"/>
          <w:color w:val="0B0B0E"/>
          <w:sz w:val="21"/>
          <w:szCs w:val="21"/>
        </w:rPr>
        <w:t xml:space="preserve"> y IV de la</w:t>
      </w:r>
      <w:r>
        <w:rPr>
          <w:rFonts w:ascii="Abadi" w:hAnsi="Abadi" w:cs="*Arial-7966-Identity-H"/>
          <w:color w:val="0B0B0E"/>
          <w:sz w:val="21"/>
          <w:szCs w:val="21"/>
        </w:rPr>
        <w:t xml:space="preserve"> </w:t>
      </w:r>
      <w:r w:rsidRPr="00494B56">
        <w:rPr>
          <w:rFonts w:ascii="Abadi" w:hAnsi="Abadi" w:cs="*Arial-7966-Identity-H"/>
          <w:color w:val="0B0B0E"/>
          <w:sz w:val="21"/>
          <w:szCs w:val="21"/>
        </w:rPr>
        <w:t xml:space="preserve">Constitución Política para el Estado de Guanajuato; 1, 2, fracciones II y </w:t>
      </w:r>
      <w:r w:rsidR="00F617EC">
        <w:rPr>
          <w:rFonts w:ascii="Abadi" w:hAnsi="Abadi" w:cs="*Arial-7966-Identity-H"/>
          <w:color w:val="0B0B0E"/>
          <w:sz w:val="21"/>
          <w:szCs w:val="21"/>
        </w:rPr>
        <w:t>II</w:t>
      </w:r>
      <w:r w:rsidRPr="00494B56">
        <w:rPr>
          <w:rFonts w:ascii="Abadi" w:hAnsi="Abadi" w:cs="*Arial-7966-Identity-H"/>
          <w:color w:val="0B0B0E"/>
          <w:sz w:val="21"/>
          <w:szCs w:val="21"/>
        </w:rPr>
        <w:t>, 3,</w:t>
      </w:r>
      <w:r>
        <w:rPr>
          <w:rFonts w:ascii="Abadi" w:hAnsi="Abadi" w:cs="*Arial-7966-Identity-H"/>
          <w:color w:val="0B0B0E"/>
          <w:sz w:val="21"/>
          <w:szCs w:val="21"/>
        </w:rPr>
        <w:t xml:space="preserve"> </w:t>
      </w:r>
      <w:r w:rsidRPr="00494B56">
        <w:rPr>
          <w:rFonts w:ascii="Abadi" w:hAnsi="Abadi" w:cs="*Arial-7966-Identity-H"/>
          <w:color w:val="0B0B0E"/>
          <w:sz w:val="21"/>
          <w:szCs w:val="21"/>
        </w:rPr>
        <w:t xml:space="preserve">fracciones </w:t>
      </w:r>
      <w:r w:rsidR="00F617EC">
        <w:rPr>
          <w:rFonts w:ascii="Abadi" w:hAnsi="Abadi" w:cs="*Arial-7966-Identity-H"/>
          <w:color w:val="0B0B0E"/>
          <w:sz w:val="21"/>
          <w:szCs w:val="21"/>
        </w:rPr>
        <w:t>I</w:t>
      </w:r>
      <w:r w:rsidRPr="00494B56">
        <w:rPr>
          <w:rFonts w:ascii="Abadi" w:hAnsi="Abadi" w:cs="*Arial-7966-Identity-H"/>
          <w:color w:val="0B0B0E"/>
          <w:sz w:val="21"/>
          <w:szCs w:val="21"/>
        </w:rPr>
        <w:t xml:space="preserve">, </w:t>
      </w:r>
      <w:r w:rsidR="00F617EC">
        <w:rPr>
          <w:rFonts w:ascii="Abadi" w:hAnsi="Abadi" w:cs="*Arial-7966-Identity-H"/>
          <w:color w:val="0B0B0E"/>
          <w:sz w:val="21"/>
          <w:szCs w:val="21"/>
        </w:rPr>
        <w:t>II</w:t>
      </w:r>
      <w:r w:rsidRPr="00494B56">
        <w:rPr>
          <w:rFonts w:ascii="Abadi" w:hAnsi="Abadi" w:cs="*Arial-7966-Identity-H"/>
          <w:color w:val="0B0B0E"/>
          <w:sz w:val="21"/>
          <w:szCs w:val="21"/>
        </w:rPr>
        <w:t xml:space="preserve">, V y XI, 4, 6, 7, 11, 14, 16, 24, 25, 26, 30, 31, 37, fracción </w:t>
      </w:r>
      <w:r w:rsidR="00F617EC">
        <w:rPr>
          <w:rFonts w:ascii="Abadi" w:hAnsi="Abadi" w:cs="*Arial-7966-Identity-H"/>
          <w:color w:val="0B0B0E"/>
          <w:sz w:val="21"/>
          <w:szCs w:val="21"/>
        </w:rPr>
        <w:t>III</w:t>
      </w:r>
      <w:r w:rsidRPr="00494B56">
        <w:rPr>
          <w:rFonts w:ascii="Abadi" w:hAnsi="Abadi" w:cs="*Arial-7966-Identity-H"/>
          <w:color w:val="0B0B0E"/>
          <w:sz w:val="21"/>
          <w:szCs w:val="21"/>
        </w:rPr>
        <w:t xml:space="preserve">, 56, 57,58, 59, 60, 82, fracciones </w:t>
      </w:r>
      <w:r w:rsidR="00F617EC">
        <w:rPr>
          <w:rFonts w:ascii="Abadi" w:hAnsi="Abadi" w:cs="*Arial-7966-Identity-H"/>
          <w:color w:val="0B0B0E"/>
          <w:sz w:val="21"/>
          <w:szCs w:val="21"/>
        </w:rPr>
        <w:t>III</w:t>
      </w:r>
      <w:r w:rsidRPr="00494B56">
        <w:rPr>
          <w:rFonts w:ascii="Abadi" w:hAnsi="Abadi" w:cs="*Arial-7966-Identity-H"/>
          <w:color w:val="0B0B0E"/>
          <w:sz w:val="21"/>
          <w:szCs w:val="21"/>
        </w:rPr>
        <w:t xml:space="preserve">, IV, </w:t>
      </w:r>
      <w:r w:rsidRPr="00D76E81">
        <w:rPr>
          <w:rFonts w:ascii="Abadi" w:hAnsi="Abadi" w:cs="*Arial-Bold-7967-Identity-H"/>
          <w:color w:val="0B0B0E"/>
          <w:sz w:val="21"/>
          <w:szCs w:val="21"/>
        </w:rPr>
        <w:t xml:space="preserve">XXIX, XXXII </w:t>
      </w:r>
      <w:r w:rsidRPr="00D76E81">
        <w:rPr>
          <w:rFonts w:ascii="Abadi" w:hAnsi="Abadi" w:cs="*Arial-7966-Identity-H"/>
          <w:color w:val="0B0B0E"/>
          <w:sz w:val="21"/>
          <w:szCs w:val="21"/>
        </w:rPr>
        <w:t xml:space="preserve">y </w:t>
      </w:r>
      <w:r w:rsidRPr="00D76E81">
        <w:rPr>
          <w:rFonts w:ascii="Abadi" w:hAnsi="Abadi" w:cs="*Arial-Bold-7967-Identity-H"/>
          <w:color w:val="0B0B0E"/>
          <w:sz w:val="21"/>
          <w:szCs w:val="21"/>
        </w:rPr>
        <w:t>XXXV</w:t>
      </w:r>
      <w:r w:rsidRPr="00494B56">
        <w:rPr>
          <w:rFonts w:ascii="Abadi" w:hAnsi="Abadi" w:cs="*Arial-Bold-7967-Identity-H"/>
          <w:b/>
          <w:bCs/>
          <w:color w:val="0B0B0E"/>
          <w:sz w:val="21"/>
          <w:szCs w:val="21"/>
        </w:rPr>
        <w:t xml:space="preserve"> </w:t>
      </w:r>
      <w:r w:rsidRPr="00494B56">
        <w:rPr>
          <w:rFonts w:ascii="Abadi" w:hAnsi="Abadi" w:cs="*Arial-7966-Identity-H"/>
          <w:color w:val="0B0B0E"/>
          <w:sz w:val="21"/>
          <w:szCs w:val="21"/>
        </w:rPr>
        <w:t>y 87, fracciones V, XII y</w:t>
      </w:r>
      <w:r>
        <w:rPr>
          <w:rFonts w:ascii="Abadi" w:hAnsi="Abadi" w:cs="*Arial-7966-Identity-H"/>
          <w:color w:val="0B0B0E"/>
          <w:sz w:val="21"/>
          <w:szCs w:val="21"/>
        </w:rPr>
        <w:t xml:space="preserve"> </w:t>
      </w:r>
      <w:r w:rsidRPr="00494B56">
        <w:rPr>
          <w:rFonts w:ascii="Abadi" w:hAnsi="Abadi" w:cs="*Arial-7966-Identity-H"/>
          <w:color w:val="0B0B0E"/>
          <w:sz w:val="21"/>
          <w:szCs w:val="21"/>
        </w:rPr>
        <w:t xml:space="preserve">XXVI de la Ley de Fiscalización Superior del Estado de Guanajuato; 1, 3, </w:t>
      </w:r>
      <w:r w:rsidR="00F617EC">
        <w:rPr>
          <w:rFonts w:ascii="Abadi" w:hAnsi="Abadi" w:cs="*Arial-7966-Identity-H"/>
          <w:color w:val="0B0B0E"/>
          <w:sz w:val="21"/>
          <w:szCs w:val="21"/>
        </w:rPr>
        <w:t>10</w:t>
      </w:r>
      <w:r w:rsidRPr="00494B56">
        <w:rPr>
          <w:rFonts w:ascii="Abadi" w:hAnsi="Abadi" w:cs="*Arial-7966-Identity-H"/>
          <w:color w:val="0B0B0E"/>
          <w:sz w:val="21"/>
          <w:szCs w:val="21"/>
        </w:rPr>
        <w:t>, 13,</w:t>
      </w:r>
      <w:r>
        <w:rPr>
          <w:rFonts w:ascii="Abadi" w:hAnsi="Abadi" w:cs="*Arial-7966-Identity-H"/>
          <w:color w:val="0B0B0E"/>
          <w:sz w:val="21"/>
          <w:szCs w:val="21"/>
        </w:rPr>
        <w:t xml:space="preserve"> </w:t>
      </w:r>
      <w:r w:rsidRPr="00494B56">
        <w:rPr>
          <w:rFonts w:ascii="Abadi" w:hAnsi="Abadi" w:cs="*Arial-7966-Identity-H"/>
          <w:color w:val="0B0B0E"/>
          <w:sz w:val="21"/>
          <w:szCs w:val="21"/>
        </w:rPr>
        <w:t>18, 20, 27, 43, 44, 45, 46, 47, 48 y 49 del Reglamento de la Ley de Fiscalización</w:t>
      </w:r>
      <w:r>
        <w:rPr>
          <w:rFonts w:ascii="Abadi" w:hAnsi="Abadi" w:cs="*Arial-7966-Identity-H"/>
          <w:color w:val="0B0B0E"/>
          <w:sz w:val="21"/>
          <w:szCs w:val="21"/>
        </w:rPr>
        <w:t xml:space="preserve"> </w:t>
      </w:r>
      <w:r w:rsidRPr="00494B56">
        <w:rPr>
          <w:rFonts w:ascii="Abadi" w:hAnsi="Abadi" w:cs="*Arial-7966-Identity-H"/>
          <w:color w:val="0B0B0E"/>
          <w:sz w:val="21"/>
          <w:szCs w:val="21"/>
        </w:rPr>
        <w:t xml:space="preserve">Superior del Estado de Guanajuato; 1, 7, segundo párrafo, 8, fracción </w:t>
      </w:r>
      <w:r w:rsidR="00676E19">
        <w:rPr>
          <w:rFonts w:ascii="Abadi" w:hAnsi="Abadi" w:cs="*Arial-7966-Identity-H"/>
          <w:color w:val="0B0B0E"/>
          <w:sz w:val="21"/>
          <w:szCs w:val="21"/>
        </w:rPr>
        <w:t>I</w:t>
      </w:r>
      <w:r w:rsidRPr="00494B56">
        <w:rPr>
          <w:rFonts w:ascii="Abadi" w:hAnsi="Abadi" w:cs="*Arial-7966-Identity-H"/>
          <w:color w:val="0B0B0E"/>
          <w:sz w:val="21"/>
          <w:szCs w:val="21"/>
        </w:rPr>
        <w:t>, 9, fracción</w:t>
      </w:r>
      <w:r>
        <w:rPr>
          <w:rFonts w:ascii="Abadi" w:hAnsi="Abadi" w:cs="*Arial-7966-Identity-H"/>
          <w:color w:val="0B0B0E"/>
          <w:sz w:val="21"/>
          <w:szCs w:val="21"/>
        </w:rPr>
        <w:t xml:space="preserve"> </w:t>
      </w:r>
      <w:r w:rsidRPr="00494B56">
        <w:rPr>
          <w:rFonts w:ascii="Abadi" w:hAnsi="Abadi" w:cs="*Arial-7966-Identity-H"/>
          <w:color w:val="0B0B0E"/>
          <w:sz w:val="21"/>
          <w:szCs w:val="21"/>
        </w:rPr>
        <w:t xml:space="preserve">XVII, 10 fracciones </w:t>
      </w:r>
      <w:r w:rsidR="00676E19">
        <w:rPr>
          <w:rFonts w:ascii="Abadi" w:hAnsi="Abadi" w:cs="*Arial-7966-Identity-H"/>
          <w:color w:val="0B0B0E"/>
          <w:sz w:val="21"/>
          <w:szCs w:val="21"/>
        </w:rPr>
        <w:t>III</w:t>
      </w:r>
      <w:r w:rsidRPr="00494B56">
        <w:rPr>
          <w:rFonts w:ascii="Abadi" w:hAnsi="Abadi" w:cs="*Arial-7966-Identity-H"/>
          <w:color w:val="0B0B0E"/>
          <w:sz w:val="21"/>
          <w:szCs w:val="21"/>
        </w:rPr>
        <w:t>, XVII, XIX y XX, 14 y 16 del Reglamento Interior de la</w:t>
      </w:r>
      <w:r>
        <w:rPr>
          <w:rFonts w:ascii="Abadi" w:hAnsi="Abadi" w:cs="*Arial-7966-Identity-H"/>
          <w:color w:val="0B0B0E"/>
          <w:sz w:val="21"/>
          <w:szCs w:val="21"/>
        </w:rPr>
        <w:t xml:space="preserve"> </w:t>
      </w:r>
      <w:r w:rsidRPr="00494B56">
        <w:rPr>
          <w:rFonts w:ascii="Abadi" w:hAnsi="Abadi" w:cs="*Arial-7966-Identity-H"/>
          <w:color w:val="0B0B0E"/>
          <w:sz w:val="21"/>
          <w:szCs w:val="21"/>
        </w:rPr>
        <w:t>Auditoria Superior del Estado de Guanajuato; y 42 de la Ley General del Sistema</w:t>
      </w:r>
      <w:r>
        <w:rPr>
          <w:rFonts w:ascii="Abadi" w:hAnsi="Abadi" w:cs="*Arial-7966-Identity-H"/>
          <w:color w:val="0B0B0E"/>
          <w:sz w:val="21"/>
          <w:szCs w:val="21"/>
        </w:rPr>
        <w:t xml:space="preserve"> </w:t>
      </w:r>
      <w:r w:rsidRPr="00494B56">
        <w:rPr>
          <w:rFonts w:ascii="Abadi" w:hAnsi="Abadi" w:cs="*Arial-7966-Identity-H"/>
          <w:color w:val="0B0B0E"/>
          <w:sz w:val="21"/>
          <w:szCs w:val="21"/>
        </w:rPr>
        <w:t>Nacional Anticorrupción.</w:t>
      </w:r>
    </w:p>
    <w:p w14:paraId="014C229D" w14:textId="77777777" w:rsidR="002F42D9" w:rsidRPr="00494B56" w:rsidRDefault="002F42D9" w:rsidP="002F42D9">
      <w:pPr>
        <w:autoSpaceDE w:val="0"/>
        <w:autoSpaceDN w:val="0"/>
        <w:adjustRightInd w:val="0"/>
        <w:jc w:val="both"/>
        <w:rPr>
          <w:rFonts w:ascii="Abadi" w:hAnsi="Abadi" w:cs="*Arial-7408-Identity-H"/>
          <w:color w:val="181818"/>
          <w:sz w:val="21"/>
          <w:szCs w:val="21"/>
        </w:rPr>
      </w:pPr>
    </w:p>
    <w:p w14:paraId="60D888F8" w14:textId="77777777" w:rsidR="002F42D9" w:rsidRPr="00494B56" w:rsidRDefault="002F42D9" w:rsidP="002F42D9">
      <w:pPr>
        <w:autoSpaceDE w:val="0"/>
        <w:autoSpaceDN w:val="0"/>
        <w:adjustRightInd w:val="0"/>
        <w:ind w:firstLine="708"/>
        <w:jc w:val="both"/>
        <w:rPr>
          <w:rFonts w:ascii="Abadi" w:hAnsi="Abadi" w:cs="*Arial-7407-Identity-H"/>
          <w:color w:val="0C0C0F"/>
          <w:sz w:val="21"/>
          <w:szCs w:val="21"/>
        </w:rPr>
      </w:pPr>
      <w:r w:rsidRPr="00494B56">
        <w:rPr>
          <w:rFonts w:ascii="Abadi" w:hAnsi="Abadi" w:cs="*Arial-7407-Identity-H"/>
          <w:color w:val="0C0C0F"/>
          <w:sz w:val="21"/>
          <w:szCs w:val="21"/>
        </w:rPr>
        <w:t>Con base en lo anterior, la auditoria de desempeño materia del presente</w:t>
      </w:r>
      <w:r>
        <w:rPr>
          <w:rFonts w:ascii="Abadi" w:hAnsi="Abadi" w:cs="*Arial-7407-Identity-H"/>
          <w:color w:val="0C0C0F"/>
          <w:sz w:val="21"/>
          <w:szCs w:val="21"/>
        </w:rPr>
        <w:t xml:space="preserve"> </w:t>
      </w:r>
      <w:r w:rsidRPr="00494B56">
        <w:rPr>
          <w:rFonts w:ascii="Abadi" w:hAnsi="Abadi" w:cs="*Arial-7407-Identity-H"/>
          <w:color w:val="0C0C0F"/>
          <w:sz w:val="21"/>
          <w:szCs w:val="21"/>
        </w:rPr>
        <w:t>dictamen, se ejecutó bajo los principios, conceptos y directrices de las actuales</w:t>
      </w:r>
      <w:r>
        <w:rPr>
          <w:rFonts w:ascii="Abadi" w:hAnsi="Abadi" w:cs="*Arial-7407-Identity-H"/>
          <w:color w:val="0C0C0F"/>
          <w:sz w:val="21"/>
          <w:szCs w:val="21"/>
        </w:rPr>
        <w:t xml:space="preserve"> </w:t>
      </w:r>
      <w:r w:rsidRPr="00494B56">
        <w:rPr>
          <w:rFonts w:ascii="Abadi" w:hAnsi="Abadi" w:cs="*Arial-7407-Identity-H"/>
          <w:color w:val="0C0C0F"/>
          <w:sz w:val="21"/>
          <w:szCs w:val="21"/>
        </w:rPr>
        <w:t>Normas Profesionales de Auditoria del Sistema Nacional de Fiscalización,</w:t>
      </w:r>
      <w:r>
        <w:rPr>
          <w:rFonts w:ascii="Abadi" w:hAnsi="Abadi" w:cs="*Arial-7407-Identity-H"/>
          <w:color w:val="0C0C0F"/>
          <w:sz w:val="21"/>
          <w:szCs w:val="21"/>
        </w:rPr>
        <w:t xml:space="preserve"> </w:t>
      </w:r>
      <w:r w:rsidRPr="00494B56">
        <w:rPr>
          <w:rFonts w:ascii="Abadi" w:hAnsi="Abadi" w:cs="*Arial-7407-Identity-H"/>
          <w:color w:val="0C0C0F"/>
          <w:sz w:val="21"/>
          <w:szCs w:val="21"/>
        </w:rPr>
        <w:t>compiladas y editadas por la Auditoría Superior de la Federación, de manera</w:t>
      </w:r>
      <w:r>
        <w:rPr>
          <w:rFonts w:ascii="Abadi" w:hAnsi="Abadi" w:cs="*Arial-7407-Identity-H"/>
          <w:color w:val="0C0C0F"/>
          <w:sz w:val="21"/>
          <w:szCs w:val="21"/>
        </w:rPr>
        <w:t xml:space="preserve"> </w:t>
      </w:r>
      <w:r w:rsidRPr="00494B56">
        <w:rPr>
          <w:rFonts w:ascii="Abadi" w:hAnsi="Abadi" w:cs="*Arial-7407-Identity-H"/>
          <w:color w:val="0C0C0F"/>
          <w:sz w:val="21"/>
          <w:szCs w:val="21"/>
        </w:rPr>
        <w:t>particular por lo que hace a sus numerales 100 y 300.</w:t>
      </w:r>
    </w:p>
    <w:p w14:paraId="6E0B8B2D" w14:textId="77777777" w:rsidR="002F42D9" w:rsidRPr="00494B56" w:rsidRDefault="002F42D9" w:rsidP="002F42D9">
      <w:pPr>
        <w:autoSpaceDE w:val="0"/>
        <w:autoSpaceDN w:val="0"/>
        <w:adjustRightInd w:val="0"/>
        <w:jc w:val="both"/>
        <w:rPr>
          <w:rFonts w:ascii="Abadi" w:hAnsi="Abadi" w:cs="*Arial-7407-Identity-H"/>
          <w:color w:val="0C0C0F"/>
          <w:sz w:val="21"/>
          <w:szCs w:val="21"/>
        </w:rPr>
      </w:pPr>
    </w:p>
    <w:p w14:paraId="00370726" w14:textId="6320D1B2" w:rsidR="002F42D9" w:rsidRPr="00494B56" w:rsidRDefault="002F42D9" w:rsidP="00F617EC">
      <w:pPr>
        <w:autoSpaceDE w:val="0"/>
        <w:autoSpaceDN w:val="0"/>
        <w:adjustRightInd w:val="0"/>
        <w:ind w:firstLine="708"/>
        <w:jc w:val="both"/>
        <w:rPr>
          <w:rFonts w:ascii="Abadi" w:hAnsi="Abadi" w:cs="*Arial-7407-Identity-H"/>
          <w:color w:val="0D0C0F"/>
          <w:sz w:val="21"/>
          <w:szCs w:val="21"/>
        </w:rPr>
      </w:pPr>
      <w:r w:rsidRPr="00494B56">
        <w:rPr>
          <w:rFonts w:ascii="Abadi" w:hAnsi="Abadi" w:cs="*Arial-7407-Identity-H"/>
          <w:color w:val="0D0C0F"/>
          <w:sz w:val="21"/>
          <w:szCs w:val="21"/>
        </w:rPr>
        <w:t>En esta parte también se puntualiza que las auditorías de desempeño que</w:t>
      </w:r>
      <w:r>
        <w:rPr>
          <w:rFonts w:ascii="Abadi" w:hAnsi="Abadi" w:cs="*Arial-7407-Identity-H"/>
          <w:color w:val="0D0C0F"/>
          <w:sz w:val="21"/>
          <w:szCs w:val="21"/>
        </w:rPr>
        <w:t xml:space="preserve"> </w:t>
      </w:r>
      <w:r w:rsidRPr="00494B56">
        <w:rPr>
          <w:rFonts w:ascii="Abadi" w:hAnsi="Abadi" w:cs="*Arial-7407-Identity-H"/>
          <w:color w:val="0D0C0F"/>
          <w:sz w:val="21"/>
          <w:szCs w:val="21"/>
        </w:rPr>
        <w:t>se practican por la Auditoría Superior del Estado son congruentes con las</w:t>
      </w:r>
      <w:r>
        <w:rPr>
          <w:rFonts w:ascii="Abadi" w:hAnsi="Abadi" w:cs="*Arial-7407-Identity-H"/>
          <w:color w:val="0D0C0F"/>
          <w:sz w:val="21"/>
          <w:szCs w:val="21"/>
        </w:rPr>
        <w:t xml:space="preserve"> </w:t>
      </w:r>
      <w:r w:rsidRPr="00494B56">
        <w:rPr>
          <w:rFonts w:ascii="Abadi" w:hAnsi="Abadi" w:cs="*Arial-7407-Identity-H"/>
          <w:color w:val="0D0C0F"/>
          <w:sz w:val="21"/>
          <w:szCs w:val="21"/>
        </w:rPr>
        <w:t>metodologías señaladas en las Normas Internacionales para Entidades</w:t>
      </w:r>
      <w:r>
        <w:rPr>
          <w:rFonts w:ascii="Abadi" w:hAnsi="Abadi" w:cs="*Arial-7407-Identity-H"/>
          <w:color w:val="0D0C0F"/>
          <w:sz w:val="21"/>
          <w:szCs w:val="21"/>
        </w:rPr>
        <w:t xml:space="preserve"> </w:t>
      </w:r>
      <w:r w:rsidRPr="00494B56">
        <w:rPr>
          <w:rFonts w:ascii="Abadi" w:hAnsi="Abadi" w:cs="*Arial-7407-Identity-H"/>
          <w:color w:val="0D0C0F"/>
          <w:sz w:val="21"/>
          <w:szCs w:val="21"/>
        </w:rPr>
        <w:t>Fiscalizadoras Superiores 100, 300, 3000 y 3200, emitidas por la Organización</w:t>
      </w:r>
      <w:r>
        <w:rPr>
          <w:rFonts w:ascii="Abadi" w:hAnsi="Abadi" w:cs="*Arial-7407-Identity-H"/>
          <w:color w:val="0D0C0F"/>
          <w:sz w:val="21"/>
          <w:szCs w:val="21"/>
        </w:rPr>
        <w:t xml:space="preserve"> </w:t>
      </w:r>
      <w:r w:rsidRPr="00494B56">
        <w:rPr>
          <w:rFonts w:ascii="Abadi" w:hAnsi="Abadi" w:cs="*Arial-7407-Identity-H"/>
          <w:color w:val="0D0C0F"/>
          <w:sz w:val="21"/>
          <w:szCs w:val="21"/>
        </w:rPr>
        <w:t>Internacional de las Entidades Fiscalizadoras Superiores, así como con los</w:t>
      </w:r>
      <w:r w:rsidR="00F617EC">
        <w:rPr>
          <w:rFonts w:ascii="Abadi" w:hAnsi="Abadi" w:cs="*Arial-7407-Identity-H"/>
          <w:color w:val="0D0C0F"/>
          <w:sz w:val="21"/>
          <w:szCs w:val="21"/>
        </w:rPr>
        <w:t xml:space="preserve"> </w:t>
      </w:r>
      <w:r w:rsidRPr="00494B56">
        <w:rPr>
          <w:rFonts w:ascii="Abadi" w:hAnsi="Abadi" w:cs="*Arial-7407-Identity-H"/>
          <w:color w:val="0D0C0F"/>
          <w:sz w:val="21"/>
          <w:szCs w:val="21"/>
        </w:rPr>
        <w:t>lineamientos para la construcción y diseño de indicadores de desempeño</w:t>
      </w:r>
      <w:r>
        <w:rPr>
          <w:rFonts w:ascii="Abadi" w:hAnsi="Abadi" w:cs="*Arial-7407-Identity-H"/>
          <w:color w:val="0D0C0F"/>
          <w:sz w:val="21"/>
          <w:szCs w:val="21"/>
        </w:rPr>
        <w:t xml:space="preserve"> </w:t>
      </w:r>
      <w:r w:rsidRPr="00494B56">
        <w:rPr>
          <w:rFonts w:ascii="Abadi" w:hAnsi="Abadi" w:cs="*Arial-7407-Identity-H"/>
          <w:color w:val="0D0C0F"/>
          <w:sz w:val="21"/>
          <w:szCs w:val="21"/>
        </w:rPr>
        <w:t>mediante la Metodología del Marco Lógico, emitidos por el Consejo Nacional de</w:t>
      </w:r>
      <w:r>
        <w:rPr>
          <w:rFonts w:ascii="Abadi" w:hAnsi="Abadi" w:cs="*Arial-7407-Identity-H"/>
          <w:color w:val="0D0C0F"/>
          <w:sz w:val="21"/>
          <w:szCs w:val="21"/>
        </w:rPr>
        <w:t xml:space="preserve"> </w:t>
      </w:r>
      <w:r w:rsidRPr="00494B56">
        <w:rPr>
          <w:rFonts w:ascii="Abadi" w:hAnsi="Abadi" w:cs="*Arial-7407-Identity-H"/>
          <w:color w:val="0D0C0F"/>
          <w:sz w:val="21"/>
          <w:szCs w:val="21"/>
        </w:rPr>
        <w:t>Armonización Contable, publicados en el Diario Oficial de la Federación el 15 de</w:t>
      </w:r>
      <w:r>
        <w:rPr>
          <w:rFonts w:ascii="Abadi" w:hAnsi="Abadi" w:cs="*Arial-7407-Identity-H"/>
          <w:color w:val="0D0C0F"/>
          <w:sz w:val="21"/>
          <w:szCs w:val="21"/>
        </w:rPr>
        <w:t xml:space="preserve"> </w:t>
      </w:r>
      <w:r w:rsidRPr="00494B56">
        <w:rPr>
          <w:rFonts w:ascii="Abadi" w:hAnsi="Abadi" w:cs="*Arial-7407-Identity-H"/>
          <w:color w:val="0D0C0F"/>
          <w:sz w:val="21"/>
          <w:szCs w:val="21"/>
        </w:rPr>
        <w:t>mayo de 2013, entre otros.</w:t>
      </w:r>
    </w:p>
    <w:p w14:paraId="5A19FD18" w14:textId="77777777" w:rsidR="002F42D9" w:rsidRPr="00494B56" w:rsidRDefault="002F42D9" w:rsidP="002F42D9">
      <w:pPr>
        <w:autoSpaceDE w:val="0"/>
        <w:autoSpaceDN w:val="0"/>
        <w:adjustRightInd w:val="0"/>
        <w:jc w:val="both"/>
        <w:rPr>
          <w:rFonts w:ascii="Abadi" w:hAnsi="Abadi" w:cs="*Arial-7407-Identity-H"/>
          <w:color w:val="0D0C0F"/>
          <w:sz w:val="21"/>
          <w:szCs w:val="21"/>
        </w:rPr>
      </w:pPr>
    </w:p>
    <w:p w14:paraId="2E6DB896" w14:textId="341EABD9" w:rsidR="002F42D9" w:rsidRPr="00494B56" w:rsidRDefault="002F42D9" w:rsidP="00015D8C">
      <w:pPr>
        <w:autoSpaceDE w:val="0"/>
        <w:autoSpaceDN w:val="0"/>
        <w:adjustRightInd w:val="0"/>
        <w:ind w:firstLine="708"/>
        <w:jc w:val="both"/>
        <w:rPr>
          <w:rFonts w:ascii="Abadi" w:hAnsi="Abadi" w:cs="*Arial-7407-Identity-H"/>
          <w:color w:val="0C0C0E"/>
          <w:sz w:val="21"/>
          <w:szCs w:val="21"/>
        </w:rPr>
      </w:pPr>
      <w:r w:rsidRPr="00494B56">
        <w:rPr>
          <w:rFonts w:ascii="Abadi" w:hAnsi="Abadi" w:cs="*Arial-7407-Identity-H"/>
          <w:color w:val="0C0C0E"/>
          <w:sz w:val="21"/>
          <w:szCs w:val="21"/>
        </w:rPr>
        <w:t>En el punto correspondiente a estructura del informe y valoración, se señala</w:t>
      </w:r>
      <w:r w:rsidR="00F617EC">
        <w:rPr>
          <w:rFonts w:ascii="Abadi" w:hAnsi="Abadi" w:cs="*Arial-7407-Identity-H"/>
          <w:color w:val="0C0C0E"/>
          <w:sz w:val="21"/>
          <w:szCs w:val="21"/>
        </w:rPr>
        <w:t xml:space="preserve"> </w:t>
      </w:r>
      <w:r w:rsidRPr="00494B56">
        <w:rPr>
          <w:rFonts w:ascii="Abadi" w:hAnsi="Abadi" w:cs="*Arial-7407-Identity-H"/>
          <w:color w:val="0C0C0E"/>
          <w:sz w:val="21"/>
          <w:szCs w:val="21"/>
        </w:rPr>
        <w:t>que el informe de resultados es el documento técnico en el que se presentan los</w:t>
      </w:r>
      <w:r w:rsidR="00F617EC">
        <w:rPr>
          <w:rFonts w:ascii="Abadi" w:hAnsi="Abadi" w:cs="*Arial-7407-Identity-H"/>
          <w:color w:val="0C0C0E"/>
          <w:sz w:val="21"/>
          <w:szCs w:val="21"/>
        </w:rPr>
        <w:t xml:space="preserve"> </w:t>
      </w:r>
      <w:r w:rsidRPr="00494B56">
        <w:rPr>
          <w:rFonts w:ascii="Abadi" w:hAnsi="Abadi" w:cs="*Arial-7407-Identity-H"/>
          <w:color w:val="0C0C0E"/>
          <w:sz w:val="21"/>
          <w:szCs w:val="21"/>
        </w:rPr>
        <w:t>datos e información que identifican una revisión, las conclusiones y las</w:t>
      </w:r>
      <w:r w:rsidR="00015D8C">
        <w:rPr>
          <w:rFonts w:ascii="Abadi" w:hAnsi="Abadi" w:cs="*Arial-7407-Identity-H"/>
          <w:color w:val="0C0C0E"/>
          <w:sz w:val="21"/>
          <w:szCs w:val="21"/>
        </w:rPr>
        <w:t xml:space="preserve"> </w:t>
      </w:r>
      <w:r w:rsidRPr="00494B56">
        <w:rPr>
          <w:rFonts w:ascii="Abadi" w:hAnsi="Abadi" w:cs="*Arial-7407-Identity-H"/>
          <w:color w:val="0C0C0E"/>
          <w:sz w:val="21"/>
          <w:szCs w:val="21"/>
        </w:rPr>
        <w:t xml:space="preserve">recomendaciones al desempeño que se propondrán al ente </w:t>
      </w:r>
      <w:proofErr w:type="spellStart"/>
      <w:r w:rsidRPr="00494B56">
        <w:rPr>
          <w:rFonts w:ascii="Abadi" w:hAnsi="Abadi" w:cs="*Arial-7407-Identity-H"/>
          <w:color w:val="0C0C0E"/>
          <w:sz w:val="21"/>
          <w:szCs w:val="21"/>
        </w:rPr>
        <w:t>fiscalizado</w:t>
      </w:r>
      <w:proofErr w:type="spellEnd"/>
      <w:r w:rsidRPr="00494B56">
        <w:rPr>
          <w:rFonts w:ascii="Abadi" w:hAnsi="Abadi" w:cs="*Arial-7407-Identity-H"/>
          <w:color w:val="0C0C0E"/>
          <w:sz w:val="21"/>
          <w:szCs w:val="21"/>
        </w:rPr>
        <w:t>.</w:t>
      </w:r>
    </w:p>
    <w:p w14:paraId="424F1FBE" w14:textId="77777777" w:rsidR="002F42D9" w:rsidRPr="00494B56" w:rsidRDefault="002F42D9" w:rsidP="002F42D9">
      <w:pPr>
        <w:autoSpaceDE w:val="0"/>
        <w:autoSpaceDN w:val="0"/>
        <w:adjustRightInd w:val="0"/>
        <w:jc w:val="both"/>
        <w:rPr>
          <w:rFonts w:ascii="Abadi" w:hAnsi="Abadi" w:cs="*Arial-7407-Identity-H"/>
          <w:color w:val="0C0C0E"/>
          <w:sz w:val="21"/>
          <w:szCs w:val="21"/>
        </w:rPr>
      </w:pPr>
      <w:r w:rsidRPr="00494B56">
        <w:rPr>
          <w:rFonts w:ascii="Abadi" w:hAnsi="Abadi" w:cs="*Arial-7407-Identity-H"/>
          <w:color w:val="0C0C0E"/>
          <w:sz w:val="21"/>
          <w:szCs w:val="21"/>
        </w:rPr>
        <w:tab/>
      </w:r>
    </w:p>
    <w:p w14:paraId="7081A046" w14:textId="77777777" w:rsidR="002F42D9" w:rsidRPr="00494B56" w:rsidRDefault="002F42D9" w:rsidP="002F42D9">
      <w:pPr>
        <w:autoSpaceDE w:val="0"/>
        <w:autoSpaceDN w:val="0"/>
        <w:adjustRightInd w:val="0"/>
        <w:ind w:firstLine="708"/>
        <w:jc w:val="both"/>
        <w:rPr>
          <w:rFonts w:ascii="Abadi" w:hAnsi="Abadi" w:cs="*Arial-7407-Identity-H"/>
          <w:color w:val="0C0C0E"/>
          <w:sz w:val="21"/>
          <w:szCs w:val="21"/>
        </w:rPr>
      </w:pPr>
      <w:r w:rsidRPr="00494B56">
        <w:rPr>
          <w:rFonts w:ascii="Abadi" w:hAnsi="Abadi" w:cs="*Arial-7407-Identity-H"/>
          <w:color w:val="0C0C0E"/>
          <w:sz w:val="21"/>
          <w:szCs w:val="21"/>
        </w:rPr>
        <w:t>Asimismo, se refiere que el artículo 26 del Reglamento de la Ley de</w:t>
      </w:r>
      <w:r>
        <w:rPr>
          <w:rFonts w:ascii="Abadi" w:hAnsi="Abadi" w:cs="*Arial-7407-Identity-H"/>
          <w:color w:val="0C0C0E"/>
          <w:sz w:val="21"/>
          <w:szCs w:val="21"/>
        </w:rPr>
        <w:t xml:space="preserve"> </w:t>
      </w:r>
      <w:r w:rsidRPr="00494B56">
        <w:rPr>
          <w:rFonts w:ascii="Abadi" w:hAnsi="Abadi" w:cs="*Arial-7407-Identity-H"/>
          <w:color w:val="0C0C0E"/>
          <w:sz w:val="21"/>
          <w:szCs w:val="21"/>
        </w:rPr>
        <w:t>Fiscalización Superior del Estado de Guanajuato establece los requisitos mínimos</w:t>
      </w:r>
      <w:r>
        <w:rPr>
          <w:rFonts w:ascii="Abadi" w:hAnsi="Abadi" w:cs="*Arial-7407-Identity-H"/>
          <w:color w:val="0C0C0E"/>
          <w:sz w:val="21"/>
          <w:szCs w:val="21"/>
        </w:rPr>
        <w:t xml:space="preserve"> </w:t>
      </w:r>
      <w:r w:rsidRPr="00494B56">
        <w:rPr>
          <w:rFonts w:ascii="Abadi" w:hAnsi="Abadi" w:cs="*Arial-7407-Identity-H"/>
          <w:color w:val="0C0C0E"/>
          <w:sz w:val="21"/>
          <w:szCs w:val="21"/>
        </w:rPr>
        <w:t>que deben contener los informes de resultados de las auditorias de desempeño,</w:t>
      </w:r>
      <w:r>
        <w:rPr>
          <w:rFonts w:ascii="Abadi" w:hAnsi="Abadi" w:cs="*Arial-7407-Identity-H"/>
          <w:color w:val="0C0C0E"/>
          <w:sz w:val="21"/>
          <w:szCs w:val="21"/>
        </w:rPr>
        <w:t xml:space="preserve"> </w:t>
      </w:r>
      <w:r w:rsidRPr="00494B56">
        <w:rPr>
          <w:rFonts w:ascii="Abadi" w:hAnsi="Abadi" w:cs="*Arial-7407-Identity-H"/>
          <w:color w:val="0C0C0E"/>
          <w:sz w:val="21"/>
          <w:szCs w:val="21"/>
        </w:rPr>
        <w:t>los cuales se cumplieron en la formulación del informe de resultados. También se</w:t>
      </w:r>
      <w:r>
        <w:rPr>
          <w:rFonts w:ascii="Abadi" w:hAnsi="Abadi" w:cs="*Arial-7407-Identity-H"/>
          <w:color w:val="0C0C0E"/>
          <w:sz w:val="21"/>
          <w:szCs w:val="21"/>
        </w:rPr>
        <w:t xml:space="preserve"> </w:t>
      </w:r>
      <w:r w:rsidRPr="00494B56">
        <w:rPr>
          <w:rFonts w:ascii="Abadi" w:hAnsi="Abadi" w:cs="*Arial-7407-Identity-H"/>
          <w:color w:val="0C0C0E"/>
          <w:sz w:val="21"/>
          <w:szCs w:val="21"/>
        </w:rPr>
        <w:t>precisan los datos de identificación del acto de fiscalización, como son el título o</w:t>
      </w:r>
      <w:r>
        <w:rPr>
          <w:rFonts w:ascii="Abadi" w:hAnsi="Abadi" w:cs="*Arial-7407-Identity-H"/>
          <w:color w:val="0C0C0E"/>
          <w:sz w:val="21"/>
          <w:szCs w:val="21"/>
        </w:rPr>
        <w:t xml:space="preserve"> </w:t>
      </w:r>
      <w:r w:rsidRPr="00494B56">
        <w:rPr>
          <w:rFonts w:ascii="Abadi" w:hAnsi="Abadi" w:cs="*Arial-7407-Identity-H"/>
          <w:color w:val="0C0C0E"/>
          <w:sz w:val="21"/>
          <w:szCs w:val="21"/>
        </w:rPr>
        <w:t>enfoque de la auditoría, el sujeto fiscalizado, el periodo de revisión y el programa</w:t>
      </w:r>
      <w:r>
        <w:rPr>
          <w:rFonts w:ascii="Abadi" w:hAnsi="Abadi" w:cs="*Arial-7407-Identity-H"/>
          <w:color w:val="0C0C0E"/>
          <w:sz w:val="21"/>
          <w:szCs w:val="21"/>
        </w:rPr>
        <w:t xml:space="preserve"> </w:t>
      </w:r>
      <w:r w:rsidRPr="00494B56">
        <w:rPr>
          <w:rFonts w:ascii="Abadi" w:hAnsi="Abadi" w:cs="*Arial-7407-Identity-H"/>
          <w:color w:val="0C0C0E"/>
          <w:sz w:val="21"/>
          <w:szCs w:val="21"/>
        </w:rPr>
        <w:t>que se fiscaliza, en función de lo autorizado en el Programa General de</w:t>
      </w:r>
      <w:r>
        <w:rPr>
          <w:rFonts w:ascii="Abadi" w:hAnsi="Abadi" w:cs="*Arial-7407-Identity-H"/>
          <w:color w:val="0C0C0E"/>
          <w:sz w:val="21"/>
          <w:szCs w:val="21"/>
        </w:rPr>
        <w:t xml:space="preserve"> </w:t>
      </w:r>
      <w:r w:rsidRPr="00494B56">
        <w:rPr>
          <w:rFonts w:ascii="Abadi" w:hAnsi="Abadi" w:cs="*Arial-7407-Identity-H"/>
          <w:color w:val="0C0C0E"/>
          <w:sz w:val="21"/>
          <w:szCs w:val="21"/>
        </w:rPr>
        <w:t>Fiscalización respectivo.</w:t>
      </w:r>
    </w:p>
    <w:p w14:paraId="37EE9EFB" w14:textId="77777777" w:rsidR="002F42D9" w:rsidRPr="00494B56" w:rsidRDefault="002F42D9" w:rsidP="002F42D9">
      <w:pPr>
        <w:autoSpaceDE w:val="0"/>
        <w:autoSpaceDN w:val="0"/>
        <w:adjustRightInd w:val="0"/>
        <w:jc w:val="both"/>
        <w:rPr>
          <w:rFonts w:ascii="Abadi" w:hAnsi="Abadi" w:cs="*Arial-7407-Identity-H"/>
          <w:color w:val="0C0C0E"/>
          <w:sz w:val="21"/>
          <w:szCs w:val="21"/>
        </w:rPr>
      </w:pPr>
    </w:p>
    <w:p w14:paraId="71633CF8" w14:textId="1FDDFE7A" w:rsidR="002F42D9" w:rsidRPr="00494B56" w:rsidRDefault="002F42D9" w:rsidP="004818C3">
      <w:pPr>
        <w:autoSpaceDE w:val="0"/>
        <w:autoSpaceDN w:val="0"/>
        <w:adjustRightInd w:val="0"/>
        <w:ind w:firstLine="708"/>
        <w:jc w:val="both"/>
        <w:rPr>
          <w:rFonts w:ascii="Abadi" w:hAnsi="Abadi" w:cs="*Arial-7407-Identity-H"/>
          <w:color w:val="0D0D10"/>
          <w:sz w:val="21"/>
          <w:szCs w:val="21"/>
        </w:rPr>
      </w:pPr>
      <w:r w:rsidRPr="00494B56">
        <w:rPr>
          <w:rFonts w:ascii="Abadi" w:hAnsi="Abadi" w:cs="*Arial-7407-Identity-H"/>
          <w:color w:val="0D0D10"/>
          <w:sz w:val="21"/>
          <w:szCs w:val="21"/>
        </w:rPr>
        <w:t>Por lo que hace a la valoración de la respuesta del sujeto fiscalizado, el</w:t>
      </w:r>
      <w:r>
        <w:rPr>
          <w:rFonts w:ascii="Abadi" w:hAnsi="Abadi" w:cs="*Arial-7407-Identity-H"/>
          <w:color w:val="0D0D10"/>
          <w:sz w:val="21"/>
          <w:szCs w:val="21"/>
        </w:rPr>
        <w:t xml:space="preserve"> </w:t>
      </w:r>
      <w:r w:rsidRPr="00494B56">
        <w:rPr>
          <w:rFonts w:ascii="Abadi" w:hAnsi="Abadi" w:cs="*Arial-7407-Identity-H"/>
          <w:color w:val="0D0D10"/>
          <w:sz w:val="21"/>
          <w:szCs w:val="21"/>
        </w:rPr>
        <w:t>Órgano Técnico determinó lo conducente respecto a las recomendaciones</w:t>
      </w:r>
      <w:r>
        <w:rPr>
          <w:rFonts w:ascii="Abadi" w:hAnsi="Abadi" w:cs="*Arial-7407-Identity-H"/>
          <w:color w:val="0D0D10"/>
          <w:sz w:val="21"/>
          <w:szCs w:val="21"/>
        </w:rPr>
        <w:t xml:space="preserve"> </w:t>
      </w:r>
      <w:r w:rsidRPr="00494B56">
        <w:rPr>
          <w:rFonts w:ascii="Abadi" w:hAnsi="Abadi" w:cs="*Arial-7407-Identity-H"/>
          <w:color w:val="0D0D10"/>
          <w:sz w:val="21"/>
          <w:szCs w:val="21"/>
        </w:rPr>
        <w:t>emitidas, para lo cual realizó un análisis de la documentación y evidencia</w:t>
      </w:r>
      <w:r>
        <w:rPr>
          <w:rFonts w:ascii="Abadi" w:hAnsi="Abadi" w:cs="*Arial-7407-Identity-H"/>
          <w:color w:val="0D0D10"/>
          <w:sz w:val="21"/>
          <w:szCs w:val="21"/>
        </w:rPr>
        <w:t xml:space="preserve"> </w:t>
      </w:r>
      <w:r w:rsidRPr="00494B56">
        <w:rPr>
          <w:rFonts w:ascii="Abadi" w:hAnsi="Abadi" w:cs="*Arial-7407-Identity-H"/>
          <w:color w:val="0D0D10"/>
          <w:sz w:val="21"/>
          <w:szCs w:val="21"/>
        </w:rPr>
        <w:t>proporcionada por el sujeto fiscalizado, a fin de valorar si este efectuó mejoras, si</w:t>
      </w:r>
      <w:r>
        <w:rPr>
          <w:rFonts w:ascii="Abadi" w:hAnsi="Abadi" w:cs="*Arial-7407-Identity-H"/>
          <w:color w:val="0D0D10"/>
          <w:sz w:val="21"/>
          <w:szCs w:val="21"/>
        </w:rPr>
        <w:t xml:space="preserve"> </w:t>
      </w:r>
      <w:r w:rsidRPr="00494B56">
        <w:rPr>
          <w:rFonts w:ascii="Abadi" w:hAnsi="Abadi" w:cs="*Arial-7407-Identity-H"/>
          <w:color w:val="0D0D10"/>
          <w:sz w:val="21"/>
          <w:szCs w:val="21"/>
        </w:rPr>
        <w:t>realizará alguna acción o emitió la justificación correspondiente sobre la</w:t>
      </w:r>
      <w:r w:rsidR="004818C3">
        <w:rPr>
          <w:rFonts w:ascii="Abadi" w:hAnsi="Abadi" w:cs="*Arial-7407-Identity-H"/>
          <w:color w:val="0D0D10"/>
          <w:sz w:val="21"/>
          <w:szCs w:val="21"/>
        </w:rPr>
        <w:t xml:space="preserve"> </w:t>
      </w:r>
      <w:r w:rsidRPr="00494B56">
        <w:rPr>
          <w:rFonts w:ascii="Abadi" w:hAnsi="Abadi" w:cs="*Arial-7407-Identity-H"/>
          <w:color w:val="0D0D10"/>
          <w:sz w:val="21"/>
          <w:szCs w:val="21"/>
        </w:rPr>
        <w:t>improcedencia por la cual no resulte factible su implementación o bien, la</w:t>
      </w:r>
      <w:r>
        <w:rPr>
          <w:rFonts w:ascii="Abadi" w:hAnsi="Abadi" w:cs="*Arial-7407-Identity-H"/>
          <w:color w:val="0D0D10"/>
          <w:sz w:val="21"/>
          <w:szCs w:val="21"/>
        </w:rPr>
        <w:t xml:space="preserve"> </w:t>
      </w:r>
      <w:r w:rsidRPr="00494B56">
        <w:rPr>
          <w:rFonts w:ascii="Abadi" w:hAnsi="Abadi" w:cs="*Arial-7407-Identity-H"/>
          <w:color w:val="0D0D10"/>
          <w:sz w:val="21"/>
          <w:szCs w:val="21"/>
        </w:rPr>
        <w:t>consideración de medidas alternas que fortalezcan el desempeño de la gestión</w:t>
      </w:r>
      <w:r>
        <w:rPr>
          <w:rFonts w:ascii="Abadi" w:hAnsi="Abadi" w:cs="*Arial-7407-Identity-H"/>
          <w:color w:val="0D0D10"/>
          <w:sz w:val="21"/>
          <w:szCs w:val="21"/>
        </w:rPr>
        <w:t xml:space="preserve"> </w:t>
      </w:r>
      <w:r w:rsidRPr="00494B56">
        <w:rPr>
          <w:rFonts w:ascii="Abadi" w:hAnsi="Abadi" w:cs="*Arial-7407-Identity-H"/>
          <w:color w:val="0D0D10"/>
          <w:sz w:val="21"/>
          <w:szCs w:val="21"/>
        </w:rPr>
        <w:t>pública. Asimismo, se señala que las recomendaciones efectuadas al sujeto</w:t>
      </w:r>
      <w:r>
        <w:rPr>
          <w:rFonts w:ascii="Abadi" w:hAnsi="Abadi" w:cs="*Arial-7407-Identity-H"/>
          <w:color w:val="0D0D10"/>
          <w:sz w:val="21"/>
          <w:szCs w:val="21"/>
        </w:rPr>
        <w:t xml:space="preserve"> </w:t>
      </w:r>
      <w:r w:rsidRPr="00494B56">
        <w:rPr>
          <w:rFonts w:ascii="Abadi" w:hAnsi="Abadi" w:cs="*Arial-7407-Identity-H"/>
          <w:color w:val="0D0D10"/>
          <w:sz w:val="21"/>
          <w:szCs w:val="21"/>
        </w:rPr>
        <w:t>fiscalizado podrían considerarse como persistentes, cuando no sea posible</w:t>
      </w:r>
      <w:r>
        <w:rPr>
          <w:rFonts w:ascii="Abadi" w:hAnsi="Abadi" w:cs="*Arial-7407-Identity-H"/>
          <w:color w:val="0D0D10"/>
          <w:sz w:val="21"/>
          <w:szCs w:val="21"/>
        </w:rPr>
        <w:t xml:space="preserve"> </w:t>
      </w:r>
      <w:r w:rsidRPr="00494B56">
        <w:rPr>
          <w:rFonts w:ascii="Abadi" w:hAnsi="Abadi" w:cs="*Arial-7407-Identity-H"/>
          <w:color w:val="0D0D10"/>
          <w:sz w:val="21"/>
          <w:szCs w:val="21"/>
        </w:rPr>
        <w:t>valorarlas en alguno de los supuestos antes referidos.</w:t>
      </w:r>
    </w:p>
    <w:p w14:paraId="0726ED4F" w14:textId="77777777" w:rsidR="002F42D9" w:rsidRPr="00494B56" w:rsidRDefault="002F42D9" w:rsidP="002F42D9">
      <w:pPr>
        <w:autoSpaceDE w:val="0"/>
        <w:autoSpaceDN w:val="0"/>
        <w:adjustRightInd w:val="0"/>
        <w:jc w:val="both"/>
        <w:rPr>
          <w:rFonts w:ascii="Abadi" w:hAnsi="Abadi" w:cs="*Arial-7035-Identity-H"/>
          <w:color w:val="0D0D10"/>
          <w:sz w:val="21"/>
          <w:szCs w:val="21"/>
        </w:rPr>
      </w:pPr>
    </w:p>
    <w:p w14:paraId="7B6AA2DF" w14:textId="77777777" w:rsidR="002F42D9" w:rsidRPr="00494B56" w:rsidRDefault="002F42D9" w:rsidP="002F42D9">
      <w:pPr>
        <w:autoSpaceDE w:val="0"/>
        <w:autoSpaceDN w:val="0"/>
        <w:adjustRightInd w:val="0"/>
        <w:ind w:firstLine="708"/>
        <w:jc w:val="both"/>
        <w:rPr>
          <w:rFonts w:ascii="Abadi" w:hAnsi="Abadi" w:cs="*Arial-7035-Identity-H"/>
          <w:color w:val="0D0D10"/>
          <w:sz w:val="21"/>
          <w:szCs w:val="21"/>
        </w:rPr>
      </w:pPr>
      <w:r w:rsidRPr="00494B56">
        <w:rPr>
          <w:rFonts w:ascii="Abadi" w:hAnsi="Abadi" w:cs="*Arial-7035-Identity-H"/>
          <w:color w:val="0D0D10"/>
          <w:sz w:val="21"/>
          <w:szCs w:val="21"/>
        </w:rPr>
        <w:t>Es así, que la valoración realizada por la Auditoría Superior del Estado</w:t>
      </w:r>
      <w:r>
        <w:rPr>
          <w:rFonts w:ascii="Abadi" w:hAnsi="Abadi" w:cs="*Arial-7035-Identity-H"/>
          <w:color w:val="0D0D10"/>
          <w:sz w:val="21"/>
          <w:szCs w:val="21"/>
        </w:rPr>
        <w:t xml:space="preserve"> </w:t>
      </w:r>
      <w:r w:rsidRPr="00494B56">
        <w:rPr>
          <w:rFonts w:ascii="Abadi" w:hAnsi="Abadi" w:cs="*Arial-7035-Identity-H"/>
          <w:color w:val="0D0D10"/>
          <w:sz w:val="21"/>
          <w:szCs w:val="21"/>
        </w:rPr>
        <w:t>redunda en las manifestaciones, argumentos, acciones y evidencia presentada en</w:t>
      </w:r>
      <w:r>
        <w:rPr>
          <w:rFonts w:ascii="Abadi" w:hAnsi="Abadi" w:cs="*Arial-7035-Identity-H"/>
          <w:color w:val="0D0D10"/>
          <w:sz w:val="21"/>
          <w:szCs w:val="21"/>
        </w:rPr>
        <w:t xml:space="preserve"> </w:t>
      </w:r>
      <w:r w:rsidRPr="00494B56">
        <w:rPr>
          <w:rFonts w:ascii="Abadi" w:hAnsi="Abadi" w:cs="*Arial-7035-Identity-H"/>
          <w:color w:val="0D0D10"/>
          <w:sz w:val="21"/>
          <w:szCs w:val="21"/>
        </w:rPr>
        <w:t>la respuesta al pliego de recomendaciones, para lo cual la evidencia aportada por</w:t>
      </w:r>
      <w:r>
        <w:rPr>
          <w:rFonts w:ascii="Abadi" w:hAnsi="Abadi" w:cs="*Arial-7035-Identity-H"/>
          <w:color w:val="0D0D10"/>
          <w:sz w:val="21"/>
          <w:szCs w:val="21"/>
        </w:rPr>
        <w:t xml:space="preserve"> </w:t>
      </w:r>
      <w:r w:rsidRPr="00494B56">
        <w:rPr>
          <w:rFonts w:ascii="Abadi" w:hAnsi="Abadi" w:cs="*Arial-7035-Identity-H"/>
          <w:color w:val="0D0D10"/>
          <w:sz w:val="21"/>
          <w:szCs w:val="21"/>
        </w:rPr>
        <w:t>el sujeto fiscalizado debe ser competente, pertinente, suficiente y relevante.</w:t>
      </w:r>
    </w:p>
    <w:p w14:paraId="44F74789" w14:textId="77777777" w:rsidR="002F42D9" w:rsidRPr="00494B56" w:rsidRDefault="002F42D9" w:rsidP="002F42D9">
      <w:pPr>
        <w:autoSpaceDE w:val="0"/>
        <w:autoSpaceDN w:val="0"/>
        <w:adjustRightInd w:val="0"/>
        <w:jc w:val="both"/>
        <w:rPr>
          <w:rFonts w:ascii="Abadi" w:hAnsi="Abadi" w:cs="*Arial-7035-Identity-H"/>
          <w:color w:val="0D0D10"/>
          <w:sz w:val="21"/>
          <w:szCs w:val="21"/>
        </w:rPr>
      </w:pPr>
    </w:p>
    <w:p w14:paraId="5D803CCB" w14:textId="77777777" w:rsidR="002F42D9" w:rsidRPr="00494B56" w:rsidRDefault="002F42D9" w:rsidP="002F42D9">
      <w:pPr>
        <w:autoSpaceDE w:val="0"/>
        <w:autoSpaceDN w:val="0"/>
        <w:adjustRightInd w:val="0"/>
        <w:ind w:firstLine="708"/>
        <w:jc w:val="both"/>
        <w:rPr>
          <w:rFonts w:ascii="Abadi" w:hAnsi="Abadi" w:cs="*Arial-7035-Identity-H"/>
          <w:color w:val="0D0C0F"/>
          <w:sz w:val="21"/>
          <w:szCs w:val="21"/>
        </w:rPr>
      </w:pPr>
      <w:r w:rsidRPr="00494B56">
        <w:rPr>
          <w:rFonts w:ascii="Abadi" w:hAnsi="Abadi" w:cs="*Arial-7035-Identity-H"/>
          <w:color w:val="0D0C0F"/>
          <w:sz w:val="21"/>
          <w:szCs w:val="21"/>
        </w:rPr>
        <w:t>Respecto al objetivo y alcance de la auditoria se señala que de acuerdo a la</w:t>
      </w:r>
      <w:r>
        <w:rPr>
          <w:rFonts w:ascii="Abadi" w:hAnsi="Abadi" w:cs="*Arial-7035-Identity-H"/>
          <w:color w:val="0D0C0F"/>
          <w:sz w:val="21"/>
          <w:szCs w:val="21"/>
        </w:rPr>
        <w:t xml:space="preserve"> </w:t>
      </w:r>
      <w:r w:rsidRPr="00494B56">
        <w:rPr>
          <w:rFonts w:ascii="Abadi" w:hAnsi="Abadi" w:cs="*Arial-7035-Identity-H"/>
          <w:color w:val="0D0C0F"/>
          <w:sz w:val="21"/>
          <w:szCs w:val="21"/>
        </w:rPr>
        <w:t>Organización Internacional de las Entidades Fiscalizadoras Superiores, para las</w:t>
      </w:r>
      <w:r>
        <w:rPr>
          <w:rFonts w:ascii="Abadi" w:hAnsi="Abadi" w:cs="*Arial-7035-Identity-H"/>
          <w:color w:val="0D0C0F"/>
          <w:sz w:val="21"/>
          <w:szCs w:val="21"/>
        </w:rPr>
        <w:t xml:space="preserve"> </w:t>
      </w:r>
      <w:r w:rsidRPr="00494B56">
        <w:rPr>
          <w:rFonts w:ascii="Abadi" w:hAnsi="Abadi" w:cs="*Arial-7035-Identity-H"/>
          <w:color w:val="0D0C0F"/>
          <w:sz w:val="21"/>
          <w:szCs w:val="21"/>
        </w:rPr>
        <w:t>auditorías de desempeño existen tres enfoques que están orientados a los siguientes aspectos: Al sistema, el cual examina el funcionamiento adecuado de</w:t>
      </w:r>
      <w:r>
        <w:rPr>
          <w:rFonts w:ascii="Abadi" w:hAnsi="Abadi" w:cs="*Arial-7035-Identity-H"/>
          <w:color w:val="0D0C0F"/>
          <w:sz w:val="21"/>
          <w:szCs w:val="21"/>
        </w:rPr>
        <w:t xml:space="preserve"> </w:t>
      </w:r>
      <w:r w:rsidRPr="00494B56">
        <w:rPr>
          <w:rFonts w:ascii="Abadi" w:hAnsi="Abadi" w:cs="*Arial-7035-Identity-H"/>
          <w:color w:val="0D0C0F"/>
          <w:sz w:val="21"/>
          <w:szCs w:val="21"/>
        </w:rPr>
        <w:t>los sistemas de gestión; a los resultados, en el que se evalúa si los objetivos en</w:t>
      </w:r>
      <w:r>
        <w:rPr>
          <w:rFonts w:ascii="Abadi" w:hAnsi="Abadi" w:cs="*Arial-7035-Identity-H"/>
          <w:color w:val="0D0C0F"/>
          <w:sz w:val="21"/>
          <w:szCs w:val="21"/>
        </w:rPr>
        <w:t xml:space="preserve"> </w:t>
      </w:r>
      <w:r w:rsidRPr="00494B56">
        <w:rPr>
          <w:rFonts w:ascii="Abadi" w:hAnsi="Abadi" w:cs="*Arial-7035-Identity-H"/>
          <w:color w:val="0D0C0F"/>
          <w:sz w:val="21"/>
          <w:szCs w:val="21"/>
        </w:rPr>
        <w:t>términos de resultados o productos han sido alcanzados como se deseaba, o si</w:t>
      </w:r>
      <w:r>
        <w:rPr>
          <w:rFonts w:ascii="Abadi" w:hAnsi="Abadi" w:cs="*Arial-7035-Identity-H"/>
          <w:color w:val="0D0C0F"/>
          <w:sz w:val="21"/>
          <w:szCs w:val="21"/>
        </w:rPr>
        <w:t xml:space="preserve"> </w:t>
      </w:r>
      <w:r w:rsidRPr="00494B56">
        <w:rPr>
          <w:rFonts w:ascii="Abadi" w:hAnsi="Abadi" w:cs="*Arial-7035-Identity-H"/>
          <w:color w:val="0D0C0F"/>
          <w:sz w:val="21"/>
          <w:szCs w:val="21"/>
        </w:rPr>
        <w:t>los programas y servicios operan como se esperaba; y al problema, el cual</w:t>
      </w:r>
      <w:r>
        <w:rPr>
          <w:rFonts w:ascii="Abadi" w:hAnsi="Abadi" w:cs="*Arial-7035-Identity-H"/>
          <w:color w:val="0D0C0F"/>
          <w:sz w:val="21"/>
          <w:szCs w:val="21"/>
        </w:rPr>
        <w:t xml:space="preserve"> </w:t>
      </w:r>
      <w:r w:rsidRPr="00494B56">
        <w:rPr>
          <w:rFonts w:ascii="Abadi" w:hAnsi="Abadi" w:cs="*Arial-7035-Identity-H"/>
          <w:color w:val="0D0C0F"/>
          <w:sz w:val="21"/>
          <w:szCs w:val="21"/>
        </w:rPr>
        <w:t>examina, verifica y analiza las causas de los problemas particulares o</w:t>
      </w:r>
      <w:r>
        <w:rPr>
          <w:rFonts w:ascii="Abadi" w:hAnsi="Abadi" w:cs="*Arial-7035-Identity-H"/>
          <w:color w:val="0D0C0F"/>
          <w:sz w:val="21"/>
          <w:szCs w:val="21"/>
        </w:rPr>
        <w:t xml:space="preserve"> </w:t>
      </w:r>
      <w:r w:rsidRPr="00494B56">
        <w:rPr>
          <w:rFonts w:ascii="Abadi" w:hAnsi="Abadi" w:cs="*Arial-7035-Identity-H"/>
          <w:color w:val="0D0C0F"/>
          <w:sz w:val="21"/>
          <w:szCs w:val="21"/>
        </w:rPr>
        <w:t>desviaciones de los criterios establecidos.</w:t>
      </w:r>
    </w:p>
    <w:p w14:paraId="1BA91269" w14:textId="77777777" w:rsidR="002F42D9" w:rsidRPr="00494B56" w:rsidRDefault="002F42D9" w:rsidP="002F42D9">
      <w:pPr>
        <w:autoSpaceDE w:val="0"/>
        <w:autoSpaceDN w:val="0"/>
        <w:adjustRightInd w:val="0"/>
        <w:jc w:val="both"/>
        <w:rPr>
          <w:rFonts w:ascii="Abadi" w:hAnsi="Abadi" w:cs="*Arial-7035-Identity-H"/>
          <w:color w:val="0D0C0F"/>
          <w:sz w:val="21"/>
          <w:szCs w:val="21"/>
        </w:rPr>
      </w:pPr>
    </w:p>
    <w:p w14:paraId="403417BE" w14:textId="77777777" w:rsidR="002F42D9" w:rsidRPr="00494B56" w:rsidRDefault="002F42D9" w:rsidP="002F42D9">
      <w:pPr>
        <w:autoSpaceDE w:val="0"/>
        <w:autoSpaceDN w:val="0"/>
        <w:adjustRightInd w:val="0"/>
        <w:ind w:firstLine="708"/>
        <w:jc w:val="both"/>
        <w:rPr>
          <w:rFonts w:ascii="Abadi" w:hAnsi="Abadi" w:cs="*Arial-7035-Identity-H"/>
          <w:color w:val="0D0C10"/>
          <w:sz w:val="21"/>
          <w:szCs w:val="21"/>
        </w:rPr>
      </w:pPr>
      <w:r w:rsidRPr="00494B56">
        <w:rPr>
          <w:rFonts w:ascii="Abadi" w:hAnsi="Abadi" w:cs="*Arial-7035-Identity-H"/>
          <w:color w:val="0D0C10"/>
          <w:sz w:val="21"/>
          <w:szCs w:val="21"/>
        </w:rPr>
        <w:t>En las auditorías de desempeño practicadas por la Auditoría Superior del</w:t>
      </w:r>
      <w:r>
        <w:rPr>
          <w:rFonts w:ascii="Abadi" w:hAnsi="Abadi" w:cs="*Arial-7035-Identity-H"/>
          <w:color w:val="0D0C10"/>
          <w:sz w:val="21"/>
          <w:szCs w:val="21"/>
        </w:rPr>
        <w:t xml:space="preserve"> </w:t>
      </w:r>
      <w:r w:rsidRPr="00494B56">
        <w:rPr>
          <w:rFonts w:ascii="Abadi" w:hAnsi="Abadi" w:cs="*Arial-7035-Identity-H"/>
          <w:color w:val="0D0C10"/>
          <w:sz w:val="21"/>
          <w:szCs w:val="21"/>
        </w:rPr>
        <w:t>Estado se consideran dichos enfoques, mediante las auditorias de cumplimiento</w:t>
      </w:r>
      <w:r>
        <w:rPr>
          <w:rFonts w:ascii="Abadi" w:hAnsi="Abadi" w:cs="*Arial-7035-Identity-H"/>
          <w:color w:val="0D0C10"/>
          <w:sz w:val="21"/>
          <w:szCs w:val="21"/>
        </w:rPr>
        <w:t xml:space="preserve"> de</w:t>
      </w:r>
      <w:r w:rsidRPr="00494B56">
        <w:rPr>
          <w:rFonts w:ascii="Abadi" w:hAnsi="Abadi" w:cs="*Arial-7035-Identity-H"/>
          <w:color w:val="0D0C10"/>
          <w:sz w:val="21"/>
          <w:szCs w:val="21"/>
        </w:rPr>
        <w:t xml:space="preserve"> objetivos o resultados, de diseño y de consistencia y resultados.</w:t>
      </w:r>
    </w:p>
    <w:p w14:paraId="297FA672" w14:textId="77777777" w:rsidR="002F42D9" w:rsidRPr="00494B56" w:rsidRDefault="002F42D9" w:rsidP="002F42D9">
      <w:pPr>
        <w:autoSpaceDE w:val="0"/>
        <w:autoSpaceDN w:val="0"/>
        <w:adjustRightInd w:val="0"/>
        <w:jc w:val="both"/>
        <w:rPr>
          <w:rFonts w:ascii="Abadi" w:hAnsi="Abadi" w:cs="*Arial-7035-Identity-H"/>
          <w:color w:val="0D0C10"/>
          <w:sz w:val="21"/>
          <w:szCs w:val="21"/>
        </w:rPr>
      </w:pPr>
    </w:p>
    <w:p w14:paraId="212135C3" w14:textId="77777777" w:rsidR="002F42D9" w:rsidRPr="00494B56" w:rsidRDefault="002F42D9" w:rsidP="002F42D9">
      <w:pPr>
        <w:autoSpaceDE w:val="0"/>
        <w:autoSpaceDN w:val="0"/>
        <w:adjustRightInd w:val="0"/>
        <w:ind w:firstLine="708"/>
        <w:jc w:val="both"/>
        <w:rPr>
          <w:rFonts w:ascii="Abadi" w:hAnsi="Abadi" w:cs="*Arial-7035-Identity-H"/>
          <w:color w:val="0C0C0E"/>
          <w:sz w:val="21"/>
          <w:szCs w:val="21"/>
        </w:rPr>
      </w:pPr>
      <w:r w:rsidRPr="00494B56">
        <w:rPr>
          <w:rFonts w:ascii="Abadi" w:hAnsi="Abadi" w:cs="*Arial-7035-Identity-H"/>
          <w:color w:val="0C0C0E"/>
          <w:sz w:val="21"/>
          <w:szCs w:val="21"/>
        </w:rPr>
        <w:t>En la auditoría que nos ocupa se aplicó un enfoque de resultados y se</w:t>
      </w:r>
      <w:r>
        <w:rPr>
          <w:rFonts w:ascii="Abadi" w:hAnsi="Abadi" w:cs="*Arial-7035-Identity-H"/>
          <w:color w:val="0C0C0E"/>
          <w:sz w:val="21"/>
          <w:szCs w:val="21"/>
        </w:rPr>
        <w:t xml:space="preserve"> </w:t>
      </w:r>
      <w:r w:rsidRPr="00494B56">
        <w:rPr>
          <w:rFonts w:ascii="Abadi" w:hAnsi="Abadi" w:cs="*Arial-7035-Identity-H"/>
          <w:color w:val="0C0C0E"/>
          <w:sz w:val="21"/>
          <w:szCs w:val="21"/>
        </w:rPr>
        <w:t>incluyó en el Programa General de Fiscalización 2021, considerando diversos</w:t>
      </w:r>
      <w:r>
        <w:rPr>
          <w:rFonts w:ascii="Abadi" w:hAnsi="Abadi" w:cs="*Arial-7035-Identity-H"/>
          <w:color w:val="0C0C0E"/>
          <w:sz w:val="21"/>
          <w:szCs w:val="21"/>
        </w:rPr>
        <w:t xml:space="preserve"> </w:t>
      </w:r>
      <w:r w:rsidRPr="00494B56">
        <w:rPr>
          <w:rFonts w:ascii="Abadi" w:hAnsi="Abadi" w:cs="*Arial-7035-Identity-H"/>
          <w:color w:val="0C0C0E"/>
          <w:sz w:val="21"/>
          <w:szCs w:val="21"/>
        </w:rPr>
        <w:t>criterios metodológicos expuestos en dicho Programa.</w:t>
      </w:r>
    </w:p>
    <w:p w14:paraId="12184539" w14:textId="77777777" w:rsidR="002F42D9" w:rsidRPr="00494B56" w:rsidRDefault="002F42D9" w:rsidP="002F42D9">
      <w:pPr>
        <w:autoSpaceDE w:val="0"/>
        <w:autoSpaceDN w:val="0"/>
        <w:adjustRightInd w:val="0"/>
        <w:jc w:val="both"/>
        <w:rPr>
          <w:rFonts w:ascii="Abadi" w:hAnsi="Abadi" w:cs="*Arial-7035-Identity-H"/>
          <w:color w:val="0C0C0E"/>
          <w:sz w:val="21"/>
          <w:szCs w:val="21"/>
        </w:rPr>
      </w:pPr>
    </w:p>
    <w:p w14:paraId="482444D8" w14:textId="77777777" w:rsidR="002F42D9" w:rsidRPr="00494B56" w:rsidRDefault="002F42D9" w:rsidP="002F42D9">
      <w:pPr>
        <w:autoSpaceDE w:val="0"/>
        <w:autoSpaceDN w:val="0"/>
        <w:adjustRightInd w:val="0"/>
        <w:ind w:firstLine="708"/>
        <w:jc w:val="both"/>
        <w:rPr>
          <w:rFonts w:ascii="Abadi" w:hAnsi="Abadi" w:cs="*Arial-7035-Identity-H"/>
          <w:color w:val="0C0B0E"/>
          <w:sz w:val="21"/>
          <w:szCs w:val="21"/>
        </w:rPr>
      </w:pPr>
      <w:r w:rsidRPr="00494B56">
        <w:rPr>
          <w:rFonts w:ascii="Abadi" w:hAnsi="Abadi" w:cs="*Arial-7035-Identity-H"/>
          <w:color w:val="0C0B0E"/>
          <w:sz w:val="21"/>
          <w:szCs w:val="21"/>
        </w:rPr>
        <w:t>Dicha auditoría tuvo como objetivo general verificar la capacidad del</w:t>
      </w:r>
      <w:r>
        <w:rPr>
          <w:rFonts w:ascii="Abadi" w:hAnsi="Abadi" w:cs="*Arial-7035-Identity-H"/>
          <w:color w:val="0C0B0E"/>
          <w:sz w:val="21"/>
          <w:szCs w:val="21"/>
        </w:rPr>
        <w:t xml:space="preserve"> </w:t>
      </w:r>
      <w:r w:rsidRPr="00494B56">
        <w:rPr>
          <w:rFonts w:ascii="Abadi" w:hAnsi="Abadi" w:cs="*Arial-7035-Identity-H"/>
          <w:color w:val="0C0B0E"/>
          <w:sz w:val="21"/>
          <w:szCs w:val="21"/>
        </w:rPr>
        <w:t>Municipio para la prestación eficaz del servicio de alumbrado público y la eficiencia</w:t>
      </w:r>
      <w:r>
        <w:rPr>
          <w:rFonts w:ascii="Abadi" w:hAnsi="Abadi" w:cs="*Arial-7035-Identity-H"/>
          <w:color w:val="0C0B0E"/>
          <w:sz w:val="21"/>
          <w:szCs w:val="21"/>
        </w:rPr>
        <w:t xml:space="preserve"> </w:t>
      </w:r>
      <w:r w:rsidRPr="00494B56">
        <w:rPr>
          <w:rFonts w:ascii="Abadi" w:hAnsi="Abadi" w:cs="*Arial-7035-Identity-H"/>
          <w:color w:val="0C0B0E"/>
          <w:sz w:val="21"/>
          <w:szCs w:val="21"/>
        </w:rPr>
        <w:t>en sus funciones de planificación, operación y seguimiento.</w:t>
      </w:r>
    </w:p>
    <w:p w14:paraId="3271E198" w14:textId="77777777" w:rsidR="002F42D9" w:rsidRPr="00494B56" w:rsidRDefault="002F42D9" w:rsidP="002F42D9">
      <w:pPr>
        <w:autoSpaceDE w:val="0"/>
        <w:autoSpaceDN w:val="0"/>
        <w:adjustRightInd w:val="0"/>
        <w:jc w:val="both"/>
        <w:rPr>
          <w:rFonts w:ascii="Abadi" w:hAnsi="Abadi" w:cs="*Arial-7035-Identity-H"/>
          <w:color w:val="0C0B0E"/>
          <w:sz w:val="21"/>
          <w:szCs w:val="21"/>
        </w:rPr>
      </w:pPr>
    </w:p>
    <w:p w14:paraId="4D594389" w14:textId="4422E9DC" w:rsidR="002F42D9" w:rsidRPr="00494B56" w:rsidRDefault="002F42D9" w:rsidP="00015D8C">
      <w:pPr>
        <w:autoSpaceDE w:val="0"/>
        <w:autoSpaceDN w:val="0"/>
        <w:adjustRightInd w:val="0"/>
        <w:ind w:firstLine="708"/>
        <w:jc w:val="both"/>
        <w:rPr>
          <w:rFonts w:ascii="Abadi" w:hAnsi="Abadi" w:cs="*Arial-10082-Identity-H"/>
          <w:color w:val="0F0E11"/>
          <w:sz w:val="21"/>
          <w:szCs w:val="21"/>
        </w:rPr>
      </w:pPr>
      <w:r w:rsidRPr="00494B56">
        <w:rPr>
          <w:rFonts w:ascii="Abadi" w:hAnsi="Abadi" w:cs="*Arial-7035-Identity-H"/>
          <w:color w:val="0C0C0F"/>
          <w:sz w:val="21"/>
          <w:szCs w:val="21"/>
        </w:rPr>
        <w:t>En cuanto a la temporalidad, el alcance de la auditoría abarcó el periodo</w:t>
      </w:r>
      <w:r>
        <w:rPr>
          <w:rFonts w:ascii="Abadi" w:hAnsi="Abadi" w:cs="*Arial-7035-Identity-H"/>
          <w:color w:val="0C0C0F"/>
          <w:sz w:val="21"/>
          <w:szCs w:val="21"/>
        </w:rPr>
        <w:t xml:space="preserve"> </w:t>
      </w:r>
      <w:r w:rsidRPr="00494B56">
        <w:rPr>
          <w:rFonts w:ascii="Abadi" w:hAnsi="Abadi" w:cs="*Arial-7035-Identity-H"/>
          <w:color w:val="0C0C0F"/>
          <w:sz w:val="21"/>
          <w:szCs w:val="21"/>
        </w:rPr>
        <w:t>comprendido de enero a diciembre del ejercicio fiscal 2020; asimismo, respecto a</w:t>
      </w:r>
      <w:r>
        <w:rPr>
          <w:rFonts w:ascii="Abadi" w:hAnsi="Abadi" w:cs="*Arial-7035-Identity-H"/>
          <w:color w:val="0C0C0F"/>
          <w:sz w:val="21"/>
          <w:szCs w:val="21"/>
        </w:rPr>
        <w:t xml:space="preserve"> </w:t>
      </w:r>
      <w:r w:rsidRPr="00494B56">
        <w:rPr>
          <w:rFonts w:ascii="Abadi" w:hAnsi="Abadi" w:cs="*Arial-7035-Identity-H"/>
          <w:color w:val="0C0C0F"/>
          <w:sz w:val="21"/>
          <w:szCs w:val="21"/>
        </w:rPr>
        <w:t>la profundidad temática se revisó la eficiencia en la gestión de la información que</w:t>
      </w:r>
      <w:r>
        <w:rPr>
          <w:rFonts w:ascii="Abadi" w:hAnsi="Abadi" w:cs="*Arial-7035-Identity-H"/>
          <w:color w:val="0C0C0F"/>
          <w:sz w:val="21"/>
          <w:szCs w:val="21"/>
        </w:rPr>
        <w:t xml:space="preserve"> </w:t>
      </w:r>
      <w:r w:rsidRPr="00494B56">
        <w:rPr>
          <w:rFonts w:ascii="Abadi" w:hAnsi="Abadi" w:cs="*Arial-7035-Identity-H"/>
          <w:color w:val="0C0C0F"/>
          <w:sz w:val="21"/>
          <w:szCs w:val="21"/>
        </w:rPr>
        <w:t>dispone el Municipio para identificar la estimación tanto de la oferta del servicio de</w:t>
      </w:r>
      <w:r>
        <w:rPr>
          <w:rFonts w:ascii="Abadi" w:hAnsi="Abadi" w:cs="*Arial-7035-Identity-H"/>
          <w:color w:val="0C0C0F"/>
          <w:sz w:val="21"/>
          <w:szCs w:val="21"/>
        </w:rPr>
        <w:t xml:space="preserve"> </w:t>
      </w:r>
      <w:r w:rsidRPr="00494B56">
        <w:rPr>
          <w:rFonts w:ascii="Abadi" w:hAnsi="Abadi" w:cs="*Arial-7035-Identity-H"/>
          <w:color w:val="0C0C0F"/>
          <w:sz w:val="21"/>
          <w:szCs w:val="21"/>
        </w:rPr>
        <w:t>alumbrado público como de los recursos necesarios para su implementación;</w:t>
      </w:r>
      <w:r>
        <w:rPr>
          <w:rFonts w:ascii="Abadi" w:hAnsi="Abadi" w:cs="*Arial-7035-Identity-H"/>
          <w:color w:val="0C0C0F"/>
          <w:sz w:val="21"/>
          <w:szCs w:val="21"/>
        </w:rPr>
        <w:t xml:space="preserve"> </w:t>
      </w:r>
      <w:r w:rsidRPr="00494B56">
        <w:rPr>
          <w:rFonts w:ascii="Abadi" w:hAnsi="Abadi" w:cs="*Arial-7035-Identity-H"/>
          <w:color w:val="0C0C0F"/>
          <w:sz w:val="21"/>
          <w:szCs w:val="21"/>
        </w:rPr>
        <w:t>sobre el estado que guarda la organización del Municipio para brindar el servicio</w:t>
      </w:r>
      <w:r>
        <w:rPr>
          <w:rFonts w:ascii="Abadi" w:hAnsi="Abadi" w:cs="*Arial-7035-Identity-H"/>
          <w:color w:val="0C0C0F"/>
          <w:sz w:val="21"/>
          <w:szCs w:val="21"/>
        </w:rPr>
        <w:t xml:space="preserve"> </w:t>
      </w:r>
      <w:r w:rsidRPr="00494B56">
        <w:rPr>
          <w:rFonts w:ascii="Abadi" w:hAnsi="Abadi" w:cs="*Arial-7035-Identity-H"/>
          <w:color w:val="0C0C0F"/>
          <w:sz w:val="21"/>
          <w:szCs w:val="21"/>
        </w:rPr>
        <w:t>de alumbrado público y la gestión de la calidad sobre sus procesos clave; y el uso</w:t>
      </w:r>
      <w:r>
        <w:rPr>
          <w:rFonts w:ascii="Abadi" w:hAnsi="Abadi" w:cs="*Arial-7035-Identity-H"/>
          <w:color w:val="0C0C0F"/>
          <w:sz w:val="21"/>
          <w:szCs w:val="21"/>
        </w:rPr>
        <w:t xml:space="preserve"> </w:t>
      </w:r>
      <w:r w:rsidRPr="00494B56">
        <w:rPr>
          <w:rFonts w:ascii="Abadi" w:hAnsi="Abadi" w:cs="*Arial-7035-Identity-H"/>
          <w:color w:val="0C0C0F"/>
          <w:sz w:val="21"/>
          <w:szCs w:val="21"/>
        </w:rPr>
        <w:t>de herramientas para la planificación operativa y el seguimiento de las actividades</w:t>
      </w:r>
      <w:r>
        <w:rPr>
          <w:rFonts w:ascii="Abadi" w:hAnsi="Abadi" w:cs="*Arial-7035-Identity-H"/>
          <w:color w:val="0C0C0F"/>
          <w:sz w:val="21"/>
          <w:szCs w:val="21"/>
        </w:rPr>
        <w:t xml:space="preserve"> </w:t>
      </w:r>
      <w:r w:rsidRPr="00494B56">
        <w:rPr>
          <w:rFonts w:ascii="Abadi" w:hAnsi="Abadi" w:cs="*Arial-7035-Identity-H"/>
          <w:color w:val="0C0C0F"/>
          <w:sz w:val="21"/>
          <w:szCs w:val="21"/>
        </w:rPr>
        <w:t>vinculadas a la atención de reportes por fallas en el servicio. Así como, la eficacia</w:t>
      </w:r>
      <w:r>
        <w:rPr>
          <w:rFonts w:ascii="Abadi" w:hAnsi="Abadi" w:cs="*Arial-7035-Identity-H"/>
          <w:color w:val="0C0C0F"/>
          <w:sz w:val="21"/>
          <w:szCs w:val="21"/>
        </w:rPr>
        <w:t xml:space="preserve"> </w:t>
      </w:r>
      <w:r w:rsidRPr="00494B56">
        <w:rPr>
          <w:rFonts w:ascii="Abadi" w:hAnsi="Abadi" w:cs="*Arial-7035-Identity-H"/>
          <w:color w:val="0C0C0F"/>
          <w:sz w:val="21"/>
          <w:szCs w:val="21"/>
        </w:rPr>
        <w:t>en los resultados de la capacidad municipal en la prestación del servicio de</w:t>
      </w:r>
      <w:r>
        <w:rPr>
          <w:rFonts w:ascii="Abadi" w:hAnsi="Abadi" w:cs="*Arial-7035-Identity-H"/>
          <w:color w:val="0C0C0F"/>
          <w:sz w:val="21"/>
          <w:szCs w:val="21"/>
        </w:rPr>
        <w:t xml:space="preserve"> </w:t>
      </w:r>
      <w:r w:rsidRPr="00494B56">
        <w:rPr>
          <w:rFonts w:ascii="Abadi" w:hAnsi="Abadi" w:cs="*Arial-7035-Identity-H"/>
          <w:color w:val="0C0C0F"/>
          <w:sz w:val="21"/>
          <w:szCs w:val="21"/>
        </w:rPr>
        <w:t>alumbrado público en el ejercicio 2020 a partir del grado de funcionamiento de las</w:t>
      </w:r>
      <w:r>
        <w:rPr>
          <w:rFonts w:ascii="Abadi" w:hAnsi="Abadi" w:cs="*Arial-7035-Identity-H"/>
          <w:color w:val="0C0C0F"/>
          <w:sz w:val="21"/>
          <w:szCs w:val="21"/>
        </w:rPr>
        <w:t xml:space="preserve"> </w:t>
      </w:r>
      <w:r w:rsidRPr="00494B56">
        <w:rPr>
          <w:rFonts w:ascii="Abadi" w:hAnsi="Abadi" w:cs="*Arial-7035-Identity-H"/>
          <w:color w:val="0C0C0F"/>
          <w:sz w:val="21"/>
          <w:szCs w:val="21"/>
        </w:rPr>
        <w:t>luminarias que lo conforman, la cobertura lograda y la satisfacción ciudadana</w:t>
      </w:r>
      <w:r w:rsidR="00015D8C">
        <w:rPr>
          <w:rFonts w:ascii="Abadi" w:hAnsi="Abadi" w:cs="*Arial-7035-Identity-H"/>
          <w:color w:val="0C0C0F"/>
          <w:sz w:val="21"/>
          <w:szCs w:val="21"/>
        </w:rPr>
        <w:t xml:space="preserve"> </w:t>
      </w:r>
      <w:r w:rsidRPr="00494B56">
        <w:rPr>
          <w:rFonts w:ascii="Abadi" w:hAnsi="Abadi" w:cs="*Arial-10082-Identity-H"/>
          <w:color w:val="0F0E11"/>
          <w:sz w:val="21"/>
          <w:szCs w:val="21"/>
        </w:rPr>
        <w:t>sobre el servicio, y de la relevancia y suficiencia de los mecanismos que permiten</w:t>
      </w:r>
      <w:r>
        <w:rPr>
          <w:rFonts w:ascii="Abadi" w:hAnsi="Abadi" w:cs="*Arial-10082-Identity-H"/>
          <w:color w:val="0F0E11"/>
          <w:sz w:val="21"/>
          <w:szCs w:val="21"/>
        </w:rPr>
        <w:t xml:space="preserve"> </w:t>
      </w:r>
      <w:r w:rsidRPr="00494B56">
        <w:rPr>
          <w:rFonts w:ascii="Abadi" w:hAnsi="Abadi" w:cs="*Arial-10082-Identity-H"/>
          <w:color w:val="0F0E11"/>
          <w:sz w:val="21"/>
          <w:szCs w:val="21"/>
        </w:rPr>
        <w:t>monitorear el desempeño y los resultados del servicio.</w:t>
      </w:r>
    </w:p>
    <w:p w14:paraId="7480C425" w14:textId="77777777" w:rsidR="002F42D9" w:rsidRPr="00494B56" w:rsidRDefault="002F42D9" w:rsidP="002F42D9">
      <w:pPr>
        <w:autoSpaceDE w:val="0"/>
        <w:autoSpaceDN w:val="0"/>
        <w:adjustRightInd w:val="0"/>
        <w:jc w:val="both"/>
        <w:rPr>
          <w:rFonts w:ascii="Abadi" w:hAnsi="Abadi" w:cs="*Arial-10082-Identity-H"/>
          <w:color w:val="0F0E11"/>
          <w:sz w:val="21"/>
          <w:szCs w:val="21"/>
        </w:rPr>
      </w:pPr>
    </w:p>
    <w:p w14:paraId="0AF1B66E" w14:textId="77777777" w:rsidR="002F42D9" w:rsidRPr="00494B56" w:rsidRDefault="002F42D9" w:rsidP="002F42D9">
      <w:pPr>
        <w:autoSpaceDE w:val="0"/>
        <w:autoSpaceDN w:val="0"/>
        <w:adjustRightInd w:val="0"/>
        <w:ind w:firstLine="708"/>
        <w:jc w:val="both"/>
        <w:rPr>
          <w:rFonts w:ascii="Abadi" w:hAnsi="Abadi" w:cs="*Arial-10082-Identity-H"/>
          <w:color w:val="0F0E12"/>
          <w:sz w:val="21"/>
          <w:szCs w:val="21"/>
        </w:rPr>
      </w:pPr>
      <w:r w:rsidRPr="00494B56">
        <w:rPr>
          <w:rFonts w:ascii="Abadi" w:hAnsi="Abadi" w:cs="*Arial-10082-Identity-H"/>
          <w:color w:val="0F0E12"/>
          <w:sz w:val="21"/>
          <w:szCs w:val="21"/>
        </w:rPr>
        <w:t>Respecto a los antecedentes del proceso de fiscalización, estos ya se</w:t>
      </w:r>
      <w:r>
        <w:rPr>
          <w:rFonts w:ascii="Abadi" w:hAnsi="Abadi" w:cs="*Arial-10082-Identity-H"/>
          <w:color w:val="0F0E12"/>
          <w:sz w:val="21"/>
          <w:szCs w:val="21"/>
        </w:rPr>
        <w:t xml:space="preserve"> </w:t>
      </w:r>
      <w:r w:rsidRPr="00494B56">
        <w:rPr>
          <w:rFonts w:ascii="Abadi" w:hAnsi="Abadi" w:cs="*Arial-10082-Identity-H"/>
          <w:color w:val="0F0E12"/>
          <w:sz w:val="21"/>
          <w:szCs w:val="21"/>
        </w:rPr>
        <w:t>detallaron en el apartado correspondiente.</w:t>
      </w:r>
    </w:p>
    <w:p w14:paraId="75F05E84" w14:textId="77777777" w:rsidR="002F42D9" w:rsidRPr="00494B56" w:rsidRDefault="002F42D9" w:rsidP="002F42D9">
      <w:pPr>
        <w:autoSpaceDE w:val="0"/>
        <w:autoSpaceDN w:val="0"/>
        <w:adjustRightInd w:val="0"/>
        <w:jc w:val="both"/>
        <w:rPr>
          <w:rFonts w:ascii="Abadi" w:hAnsi="Abadi" w:cs="*Arial-10082-Identity-H"/>
          <w:color w:val="0F0E12"/>
          <w:sz w:val="21"/>
          <w:szCs w:val="21"/>
        </w:rPr>
      </w:pPr>
    </w:p>
    <w:p w14:paraId="2166F5E0" w14:textId="794B72FC" w:rsidR="002F42D9" w:rsidRDefault="002F42D9" w:rsidP="002F42D9">
      <w:pPr>
        <w:autoSpaceDE w:val="0"/>
        <w:autoSpaceDN w:val="0"/>
        <w:adjustRightInd w:val="0"/>
        <w:ind w:firstLine="708"/>
        <w:jc w:val="both"/>
        <w:rPr>
          <w:rFonts w:ascii="Abadi" w:hAnsi="Abadi" w:cs="*Arial-10082-Identity-H"/>
          <w:color w:val="0D0D0F"/>
          <w:sz w:val="21"/>
          <w:szCs w:val="21"/>
        </w:rPr>
      </w:pPr>
      <w:r w:rsidRPr="00494B56">
        <w:rPr>
          <w:rFonts w:ascii="Abadi" w:hAnsi="Abadi" w:cs="*Arial-10082-Identity-H"/>
          <w:color w:val="0D0D0F"/>
          <w:sz w:val="21"/>
          <w:szCs w:val="21"/>
        </w:rPr>
        <w:t>En cuanto al contexto de la política pública de la materia a auditar, se</w:t>
      </w:r>
      <w:r>
        <w:rPr>
          <w:rFonts w:ascii="Abadi" w:hAnsi="Abadi" w:cs="*Arial-10082-Identity-H"/>
          <w:color w:val="0D0D0F"/>
          <w:sz w:val="21"/>
          <w:szCs w:val="21"/>
        </w:rPr>
        <w:t xml:space="preserve"> </w:t>
      </w:r>
      <w:r w:rsidRPr="00494B56">
        <w:rPr>
          <w:rFonts w:ascii="Abadi" w:hAnsi="Abadi" w:cs="*Arial-10082-Identity-H"/>
          <w:color w:val="0D0D0F"/>
          <w:sz w:val="21"/>
          <w:szCs w:val="21"/>
        </w:rPr>
        <w:t>refiere que el Municipio libre es la base de la división territorial del Estado, de su</w:t>
      </w:r>
      <w:r>
        <w:rPr>
          <w:rFonts w:ascii="Abadi" w:hAnsi="Abadi" w:cs="*Arial-10082-Identity-H"/>
          <w:color w:val="0D0D0F"/>
          <w:sz w:val="21"/>
          <w:szCs w:val="21"/>
        </w:rPr>
        <w:t xml:space="preserve"> </w:t>
      </w:r>
      <w:r w:rsidRPr="00494B56">
        <w:rPr>
          <w:rFonts w:ascii="Abadi" w:hAnsi="Abadi" w:cs="*Arial-10082-Identity-H"/>
          <w:color w:val="0D0D0F"/>
          <w:sz w:val="21"/>
          <w:szCs w:val="21"/>
        </w:rPr>
        <w:t>organización política y administrativa, y como principio de legalidad la autoridad</w:t>
      </w:r>
      <w:r>
        <w:rPr>
          <w:rFonts w:ascii="Abadi" w:hAnsi="Abadi" w:cs="*Arial-10082-Identity-H"/>
          <w:color w:val="0D0D0F"/>
          <w:sz w:val="21"/>
          <w:szCs w:val="21"/>
        </w:rPr>
        <w:t xml:space="preserve"> </w:t>
      </w:r>
      <w:r w:rsidRPr="00494B56">
        <w:rPr>
          <w:rFonts w:ascii="Abadi" w:hAnsi="Abadi" w:cs="*Arial-10082-Identity-H"/>
          <w:color w:val="0D0D0F"/>
          <w:sz w:val="21"/>
          <w:szCs w:val="21"/>
        </w:rPr>
        <w:t>municipal puede hacer únicamente lo que la ley le concede, encontrándose dentro</w:t>
      </w:r>
      <w:r>
        <w:rPr>
          <w:rFonts w:ascii="Abadi" w:hAnsi="Abadi" w:cs="*Arial-10082-Identity-H"/>
          <w:color w:val="0D0D0F"/>
          <w:sz w:val="21"/>
          <w:szCs w:val="21"/>
        </w:rPr>
        <w:t xml:space="preserve"> </w:t>
      </w:r>
      <w:r w:rsidRPr="00494B56">
        <w:rPr>
          <w:rFonts w:ascii="Abadi" w:hAnsi="Abadi" w:cs="*Arial-10082-Identity-H"/>
          <w:color w:val="0D0D0F"/>
          <w:sz w:val="21"/>
          <w:szCs w:val="21"/>
        </w:rPr>
        <w:t>de sus atribuciones la de otorgar los servicios públicos al Municipio.</w:t>
      </w:r>
    </w:p>
    <w:p w14:paraId="5E87195E" w14:textId="77777777" w:rsidR="00C744CF" w:rsidRPr="00494B56" w:rsidRDefault="00C744CF" w:rsidP="002F42D9">
      <w:pPr>
        <w:autoSpaceDE w:val="0"/>
        <w:autoSpaceDN w:val="0"/>
        <w:adjustRightInd w:val="0"/>
        <w:ind w:firstLine="708"/>
        <w:jc w:val="both"/>
        <w:rPr>
          <w:rFonts w:ascii="Abadi" w:hAnsi="Abadi" w:cs="*Arial-10082-Identity-H"/>
          <w:color w:val="0D0D0F"/>
          <w:sz w:val="21"/>
          <w:szCs w:val="21"/>
        </w:rPr>
      </w:pPr>
    </w:p>
    <w:p w14:paraId="63AB6CC2" w14:textId="50904DCC" w:rsidR="002F42D9" w:rsidRPr="002824D0" w:rsidRDefault="00015D8C" w:rsidP="00015D8C">
      <w:pPr>
        <w:autoSpaceDE w:val="0"/>
        <w:autoSpaceDN w:val="0"/>
        <w:adjustRightInd w:val="0"/>
        <w:jc w:val="both"/>
        <w:rPr>
          <w:rFonts w:ascii="Abadi" w:hAnsi="Abadi" w:cs="*Arial-Italic-10084-Identity-H"/>
          <w:i/>
          <w:iCs/>
          <w:color w:val="0C0C0E"/>
          <w:sz w:val="21"/>
          <w:szCs w:val="21"/>
        </w:rPr>
      </w:pPr>
      <w:r>
        <w:rPr>
          <w:rFonts w:ascii="Abadi" w:hAnsi="Abadi" w:cs="*Arial-10082-Identity-H"/>
          <w:color w:val="0D0D0F"/>
          <w:sz w:val="21"/>
          <w:szCs w:val="21"/>
        </w:rPr>
        <w:t xml:space="preserve"> </w:t>
      </w:r>
      <w:r>
        <w:rPr>
          <w:rFonts w:ascii="Abadi" w:hAnsi="Abadi" w:cs="*Arial-10082-Identity-H"/>
          <w:color w:val="0D0D0F"/>
          <w:sz w:val="21"/>
          <w:szCs w:val="21"/>
        </w:rPr>
        <w:tab/>
      </w:r>
      <w:r w:rsidR="002F42D9" w:rsidRPr="00494B56">
        <w:rPr>
          <w:rFonts w:ascii="Abadi" w:hAnsi="Abadi" w:cs="*Arial-10082-Identity-H"/>
          <w:color w:val="0C0C0E"/>
          <w:sz w:val="21"/>
          <w:szCs w:val="21"/>
        </w:rPr>
        <w:t xml:space="preserve">También se precisa que el servicio público </w:t>
      </w:r>
      <w:r w:rsidR="002F42D9" w:rsidRPr="00494B56">
        <w:rPr>
          <w:rFonts w:ascii="Abadi" w:hAnsi="Abadi" w:cs="*Arial-Italic-10084-Identity-H"/>
          <w:i/>
          <w:iCs/>
          <w:color w:val="0C0C0E"/>
          <w:sz w:val="21"/>
          <w:szCs w:val="21"/>
        </w:rPr>
        <w:t>«es la institución jurídica</w:t>
      </w:r>
      <w:r w:rsidR="002F42D9">
        <w:rPr>
          <w:rFonts w:ascii="Abadi" w:hAnsi="Abadi" w:cs="*Arial-Italic-10084-Identity-H"/>
          <w:i/>
          <w:iCs/>
          <w:color w:val="0C0C0E"/>
          <w:sz w:val="21"/>
          <w:szCs w:val="21"/>
        </w:rPr>
        <w:t xml:space="preserve"> </w:t>
      </w:r>
      <w:r w:rsidR="002F42D9" w:rsidRPr="00494B56">
        <w:rPr>
          <w:rFonts w:ascii="Abadi" w:hAnsi="Abadi" w:cs="*Arial-Italic-10084-Identity-H"/>
          <w:i/>
          <w:iCs/>
          <w:color w:val="0C0C0E"/>
          <w:sz w:val="21"/>
          <w:szCs w:val="21"/>
        </w:rPr>
        <w:t>administrativa en la que el titular es el Estado (municipio) y cuya única finalidad</w:t>
      </w:r>
      <w:r w:rsidR="002F42D9">
        <w:rPr>
          <w:rFonts w:ascii="Abadi" w:hAnsi="Abadi" w:cs="*Arial-Italic-10084-Identity-H"/>
          <w:i/>
          <w:iCs/>
          <w:color w:val="0C0C0E"/>
          <w:sz w:val="21"/>
          <w:szCs w:val="21"/>
        </w:rPr>
        <w:t xml:space="preserve"> </w:t>
      </w:r>
      <w:r w:rsidR="002F42D9" w:rsidRPr="00494B56">
        <w:rPr>
          <w:rFonts w:ascii="Abadi" w:hAnsi="Abadi" w:cs="*Arial-Italic-10084-Identity-H"/>
          <w:i/>
          <w:iCs/>
          <w:color w:val="0C0C0E"/>
          <w:sz w:val="21"/>
          <w:szCs w:val="21"/>
        </w:rPr>
        <w:t>consiste en satisfacer de manera regular, continua y uniforme necesidades</w:t>
      </w:r>
      <w:r w:rsidR="002F42D9">
        <w:rPr>
          <w:rFonts w:ascii="Abadi" w:hAnsi="Abadi" w:cs="*Arial-Italic-10084-Identity-H"/>
          <w:i/>
          <w:iCs/>
          <w:color w:val="0C0C0E"/>
          <w:sz w:val="21"/>
          <w:szCs w:val="21"/>
        </w:rPr>
        <w:t xml:space="preserve"> </w:t>
      </w:r>
      <w:r w:rsidR="002F42D9" w:rsidRPr="00494B56">
        <w:rPr>
          <w:rFonts w:ascii="Abadi" w:hAnsi="Abadi" w:cs="*Arial-Italic-10084-Identity-H"/>
          <w:i/>
          <w:iCs/>
          <w:color w:val="0C0C0E"/>
          <w:sz w:val="21"/>
          <w:szCs w:val="21"/>
        </w:rPr>
        <w:t xml:space="preserve">públicas de carácter esencial, básico </w:t>
      </w:r>
      <w:r w:rsidR="002F42D9" w:rsidRPr="00494B56">
        <w:rPr>
          <w:rFonts w:ascii="Abadi" w:hAnsi="Abadi" w:cs="*Arial-10082-Identity-H"/>
          <w:color w:val="0C0C0E"/>
          <w:sz w:val="21"/>
          <w:szCs w:val="21"/>
        </w:rPr>
        <w:t xml:space="preserve">o </w:t>
      </w:r>
      <w:r w:rsidR="002F42D9" w:rsidRPr="00494B56">
        <w:rPr>
          <w:rFonts w:ascii="Abadi" w:hAnsi="Abadi" w:cs="*Arial-Italic-10084-Identity-H"/>
          <w:i/>
          <w:iCs/>
          <w:color w:val="0C0C0E"/>
          <w:sz w:val="21"/>
          <w:szCs w:val="21"/>
        </w:rPr>
        <w:t xml:space="preserve">fundamental; </w:t>
      </w:r>
      <w:r w:rsidR="002F42D9" w:rsidRPr="00494B56">
        <w:rPr>
          <w:rFonts w:ascii="Abadi" w:hAnsi="Abadi" w:cs="*Arial-10082-Identity-H"/>
          <w:color w:val="0C0C0E"/>
          <w:sz w:val="21"/>
          <w:szCs w:val="21"/>
        </w:rPr>
        <w:t xml:space="preserve">se </w:t>
      </w:r>
      <w:r w:rsidR="002F42D9" w:rsidRPr="00494B56">
        <w:rPr>
          <w:rFonts w:ascii="Abadi" w:hAnsi="Abadi" w:cs="*Arial-Italic-10084-Identity-H"/>
          <w:i/>
          <w:iCs/>
          <w:color w:val="0C0C0E"/>
          <w:sz w:val="21"/>
          <w:szCs w:val="21"/>
        </w:rPr>
        <w:t xml:space="preserve">concreta </w:t>
      </w:r>
      <w:r w:rsidR="002F42D9" w:rsidRPr="00494B56">
        <w:rPr>
          <w:rFonts w:ascii="Abadi" w:hAnsi="Abadi" w:cs="*Arial-10082-Identity-H"/>
          <w:color w:val="0C0C0E"/>
          <w:sz w:val="21"/>
          <w:szCs w:val="21"/>
        </w:rPr>
        <w:t xml:space="preserve">a </w:t>
      </w:r>
      <w:r w:rsidR="002F42D9" w:rsidRPr="00494B56">
        <w:rPr>
          <w:rFonts w:ascii="Abadi" w:hAnsi="Abadi" w:cs="*Arial-Italic-10084-Identity-H"/>
          <w:i/>
          <w:iCs/>
          <w:color w:val="0C0C0E"/>
          <w:sz w:val="21"/>
          <w:szCs w:val="21"/>
        </w:rPr>
        <w:t>través de las</w:t>
      </w:r>
      <w:r w:rsidR="002F42D9">
        <w:rPr>
          <w:rFonts w:ascii="Abadi" w:hAnsi="Abadi" w:cs="*Arial-Italic-10084-Identity-H"/>
          <w:i/>
          <w:iCs/>
          <w:color w:val="0C0C0E"/>
          <w:sz w:val="21"/>
          <w:szCs w:val="21"/>
        </w:rPr>
        <w:t xml:space="preserve"> </w:t>
      </w:r>
      <w:r w:rsidR="002F42D9" w:rsidRPr="00494B56">
        <w:rPr>
          <w:rFonts w:ascii="Abadi" w:hAnsi="Abadi" w:cs="*Arial-Italic-10084-Identity-H"/>
          <w:i/>
          <w:iCs/>
          <w:color w:val="0C0C0E"/>
          <w:sz w:val="21"/>
          <w:szCs w:val="21"/>
        </w:rPr>
        <w:t>prestaciones individualizadas las cuales podrán ser suministradas directamente</w:t>
      </w:r>
      <w:r w:rsidR="002F42D9">
        <w:rPr>
          <w:rFonts w:ascii="Abadi" w:hAnsi="Abadi" w:cs="*Arial-Italic-10084-Identity-H"/>
          <w:i/>
          <w:iCs/>
          <w:color w:val="0C0C0E"/>
          <w:sz w:val="21"/>
          <w:szCs w:val="21"/>
        </w:rPr>
        <w:t xml:space="preserve"> </w:t>
      </w:r>
      <w:r w:rsidR="002F42D9" w:rsidRPr="00494B56">
        <w:rPr>
          <w:rFonts w:ascii="Abadi" w:hAnsi="Abadi" w:cs="*Arial-Italic-10084-Identity-H"/>
          <w:i/>
          <w:iCs/>
          <w:color w:val="0C0C0E"/>
          <w:sz w:val="21"/>
          <w:szCs w:val="21"/>
        </w:rPr>
        <w:t xml:space="preserve">por el Estado (municipio) </w:t>
      </w:r>
      <w:r w:rsidR="002F42D9" w:rsidRPr="00494B56">
        <w:rPr>
          <w:rFonts w:ascii="Abadi" w:hAnsi="Abadi" w:cs="*Arial-10082-Identity-H"/>
          <w:color w:val="0C0C0E"/>
          <w:sz w:val="21"/>
          <w:szCs w:val="21"/>
        </w:rPr>
        <w:t xml:space="preserve">o </w:t>
      </w:r>
      <w:r w:rsidR="002F42D9" w:rsidRPr="00494B56">
        <w:rPr>
          <w:rFonts w:ascii="Abadi" w:hAnsi="Abadi" w:cs="*Arial-Italic-10084-Identity-H"/>
          <w:i/>
          <w:iCs/>
          <w:color w:val="0C0C0E"/>
          <w:sz w:val="21"/>
          <w:szCs w:val="21"/>
        </w:rPr>
        <w:t>por los particulares mediante concesión. Por su</w:t>
      </w:r>
      <w:r w:rsidR="002F42D9">
        <w:rPr>
          <w:rFonts w:ascii="Abadi" w:hAnsi="Abadi" w:cs="*Arial-Italic-10084-Identity-H"/>
          <w:i/>
          <w:iCs/>
          <w:color w:val="0C0C0E"/>
          <w:sz w:val="21"/>
          <w:szCs w:val="21"/>
        </w:rPr>
        <w:t xml:space="preserve"> </w:t>
      </w:r>
      <w:r w:rsidR="002F42D9" w:rsidRPr="00494B56">
        <w:rPr>
          <w:rFonts w:ascii="Abadi" w:hAnsi="Abadi" w:cs="*Arial-Italic-10084-Identity-H"/>
          <w:i/>
          <w:iCs/>
          <w:color w:val="0C0C0E"/>
          <w:sz w:val="21"/>
          <w:szCs w:val="21"/>
        </w:rPr>
        <w:t xml:space="preserve">naturaleza, estará sujeta </w:t>
      </w:r>
      <w:r w:rsidR="002F42D9" w:rsidRPr="00494B56">
        <w:rPr>
          <w:rFonts w:ascii="Abadi" w:hAnsi="Abadi" w:cs="*Arial-10082-Identity-H"/>
          <w:color w:val="0C0C0E"/>
          <w:sz w:val="21"/>
          <w:szCs w:val="21"/>
        </w:rPr>
        <w:t xml:space="preserve">a </w:t>
      </w:r>
      <w:r w:rsidR="002F42D9" w:rsidRPr="00494B56">
        <w:rPr>
          <w:rFonts w:ascii="Abadi" w:hAnsi="Abadi" w:cs="*Arial-Italic-10084-Identity-H"/>
          <w:i/>
          <w:iCs/>
          <w:color w:val="0C0C0E"/>
          <w:sz w:val="21"/>
          <w:szCs w:val="21"/>
        </w:rPr>
        <w:t>normas y principios de derecho público</w:t>
      </w:r>
      <w:proofErr w:type="gramStart"/>
      <w:r w:rsidR="002F42D9" w:rsidRPr="00494B56">
        <w:rPr>
          <w:rFonts w:ascii="Abadi" w:hAnsi="Abadi" w:cs="*Arial-Italic-10084-Identity-H"/>
          <w:i/>
          <w:iCs/>
          <w:color w:val="0C0C0E"/>
          <w:sz w:val="21"/>
          <w:szCs w:val="21"/>
        </w:rPr>
        <w:t xml:space="preserve">» </w:t>
      </w:r>
      <w:r w:rsidR="002F42D9" w:rsidRPr="00494B56">
        <w:rPr>
          <w:rFonts w:ascii="Abadi" w:hAnsi="Abadi" w:cs="*Arial-10082-Identity-H"/>
          <w:color w:val="0C0C0E"/>
          <w:sz w:val="21"/>
          <w:szCs w:val="21"/>
        </w:rPr>
        <w:t>.</w:t>
      </w:r>
      <w:proofErr w:type="gramEnd"/>
      <w:r w:rsidR="002F42D9" w:rsidRPr="00494B56">
        <w:rPr>
          <w:rFonts w:ascii="Abadi" w:hAnsi="Abadi" w:cs="*Arial-10082-Identity-H"/>
          <w:color w:val="0C0C0E"/>
          <w:sz w:val="21"/>
          <w:szCs w:val="21"/>
        </w:rPr>
        <w:t xml:space="preserve"> </w:t>
      </w:r>
      <w:r w:rsidR="00D56EAA">
        <w:rPr>
          <w:rStyle w:val="Refdenotaalpie"/>
          <w:rFonts w:ascii="Abadi" w:hAnsi="Abadi" w:cs="*Arial-10082-Identity-H"/>
          <w:color w:val="0C0C0E"/>
          <w:sz w:val="21"/>
          <w:szCs w:val="21"/>
        </w:rPr>
        <w:footnoteReference w:id="50"/>
      </w:r>
    </w:p>
    <w:p w14:paraId="42783B0C" w14:textId="77777777" w:rsidR="002F42D9" w:rsidRPr="00494B56" w:rsidRDefault="002F42D9" w:rsidP="002F42D9">
      <w:pPr>
        <w:autoSpaceDE w:val="0"/>
        <w:autoSpaceDN w:val="0"/>
        <w:adjustRightInd w:val="0"/>
        <w:jc w:val="both"/>
        <w:rPr>
          <w:rFonts w:ascii="Abadi" w:hAnsi="Abadi" w:cs="*Arial-10083-Identity-H"/>
          <w:color w:val="0C0C0E"/>
          <w:sz w:val="21"/>
          <w:szCs w:val="21"/>
        </w:rPr>
      </w:pPr>
    </w:p>
    <w:p w14:paraId="197E1CC5" w14:textId="77777777" w:rsidR="002F42D9" w:rsidRPr="00494B56" w:rsidRDefault="002F42D9" w:rsidP="002F42D9">
      <w:pPr>
        <w:autoSpaceDE w:val="0"/>
        <w:autoSpaceDN w:val="0"/>
        <w:adjustRightInd w:val="0"/>
        <w:ind w:firstLine="708"/>
        <w:jc w:val="both"/>
        <w:rPr>
          <w:rFonts w:ascii="Abadi" w:hAnsi="Abadi" w:cs="*Arial-10082-Identity-H"/>
          <w:color w:val="0C0C0E"/>
          <w:sz w:val="21"/>
          <w:szCs w:val="21"/>
        </w:rPr>
      </w:pPr>
      <w:r w:rsidRPr="00494B56">
        <w:rPr>
          <w:rFonts w:ascii="Abadi" w:hAnsi="Abadi" w:cs="*Arial-10082-Identity-H"/>
          <w:color w:val="0C0C0E"/>
          <w:sz w:val="21"/>
          <w:szCs w:val="21"/>
        </w:rPr>
        <w:t>Por su parte, la Constitución Política de los Estados Unidos Mexicanos</w:t>
      </w:r>
      <w:r>
        <w:rPr>
          <w:rFonts w:ascii="Abadi" w:hAnsi="Abadi" w:cs="*Arial-10082-Identity-H"/>
          <w:color w:val="0C0C0E"/>
          <w:sz w:val="21"/>
          <w:szCs w:val="21"/>
        </w:rPr>
        <w:t xml:space="preserve"> </w:t>
      </w:r>
      <w:r w:rsidRPr="00494B56">
        <w:rPr>
          <w:rFonts w:ascii="Abadi" w:hAnsi="Abadi" w:cs="*Arial-10082-Identity-H"/>
          <w:color w:val="0C0C0E"/>
          <w:sz w:val="21"/>
          <w:szCs w:val="21"/>
        </w:rPr>
        <w:t>establece en términos generales en su artículo 115 la base del municipio a través</w:t>
      </w:r>
      <w:r>
        <w:rPr>
          <w:rFonts w:ascii="Abadi" w:hAnsi="Abadi" w:cs="*Arial-10082-Identity-H"/>
          <w:color w:val="0C0C0E"/>
          <w:sz w:val="21"/>
          <w:szCs w:val="21"/>
        </w:rPr>
        <w:t xml:space="preserve"> </w:t>
      </w:r>
      <w:r w:rsidRPr="00494B56">
        <w:rPr>
          <w:rFonts w:ascii="Abadi" w:hAnsi="Abadi" w:cs="*Arial-10082-Identity-H"/>
          <w:color w:val="0C0C0E"/>
          <w:sz w:val="21"/>
          <w:szCs w:val="21"/>
        </w:rPr>
        <w:t>de una organización política y administrativa, para lo cual ejercerá funciones</w:t>
      </w:r>
      <w:r>
        <w:rPr>
          <w:rFonts w:ascii="Abadi" w:hAnsi="Abadi" w:cs="*Arial-10082-Identity-H"/>
          <w:color w:val="0C0C0E"/>
          <w:sz w:val="21"/>
          <w:szCs w:val="21"/>
        </w:rPr>
        <w:t xml:space="preserve"> </w:t>
      </w:r>
      <w:r w:rsidRPr="00494B56">
        <w:rPr>
          <w:rFonts w:ascii="Abadi" w:hAnsi="Abadi" w:cs="*Arial-10082-Identity-H"/>
          <w:color w:val="0C0C0E"/>
          <w:sz w:val="21"/>
          <w:szCs w:val="21"/>
        </w:rPr>
        <w:t>jurisdiccionales, legislativas y administrativas, contando con personalidad jurídica y</w:t>
      </w:r>
      <w:r>
        <w:rPr>
          <w:rFonts w:ascii="Abadi" w:hAnsi="Abadi" w:cs="*Arial-10082-Identity-H"/>
          <w:color w:val="0C0C0E"/>
          <w:sz w:val="21"/>
          <w:szCs w:val="21"/>
        </w:rPr>
        <w:t xml:space="preserve"> </w:t>
      </w:r>
      <w:r w:rsidRPr="00494B56">
        <w:rPr>
          <w:rFonts w:ascii="Abadi" w:hAnsi="Abadi" w:cs="*Arial-10082-Identity-H"/>
          <w:color w:val="0C0C0E"/>
          <w:sz w:val="21"/>
          <w:szCs w:val="21"/>
        </w:rPr>
        <w:t>con facultades para manejar su patrimonio conforme a las leyes de la materia. En</w:t>
      </w:r>
      <w:r>
        <w:rPr>
          <w:rFonts w:ascii="Abadi" w:hAnsi="Abadi" w:cs="*Arial-10082-Identity-H"/>
          <w:color w:val="0C0C0E"/>
          <w:sz w:val="21"/>
          <w:szCs w:val="21"/>
        </w:rPr>
        <w:t xml:space="preserve"> </w:t>
      </w:r>
      <w:r w:rsidRPr="00494B56">
        <w:rPr>
          <w:rFonts w:ascii="Abadi" w:hAnsi="Abadi" w:cs="*Arial-10082-Identity-H"/>
          <w:color w:val="0C0C0E"/>
          <w:sz w:val="21"/>
          <w:szCs w:val="21"/>
        </w:rPr>
        <w:t>este sentido, respecto a la prestación de los servicios públicos, el Municipio está</w:t>
      </w:r>
      <w:r>
        <w:rPr>
          <w:rFonts w:ascii="Abadi" w:hAnsi="Abadi" w:cs="*Arial-10082-Identity-H"/>
          <w:color w:val="0C0C0E"/>
          <w:sz w:val="21"/>
          <w:szCs w:val="21"/>
        </w:rPr>
        <w:t xml:space="preserve"> </w:t>
      </w:r>
      <w:r w:rsidRPr="00494B56">
        <w:rPr>
          <w:rFonts w:ascii="Abadi" w:hAnsi="Abadi" w:cs="*Arial-10082-Identity-H"/>
          <w:color w:val="0C0C0E"/>
          <w:sz w:val="21"/>
          <w:szCs w:val="21"/>
        </w:rPr>
        <w:t>facultado para expedir reglamentos, circulares y disposiciones administrativas de</w:t>
      </w:r>
      <w:r>
        <w:rPr>
          <w:rFonts w:ascii="Abadi" w:hAnsi="Abadi" w:cs="*Arial-10082-Identity-H"/>
          <w:color w:val="0C0C0E"/>
          <w:sz w:val="21"/>
          <w:szCs w:val="21"/>
        </w:rPr>
        <w:t xml:space="preserve"> </w:t>
      </w:r>
      <w:r w:rsidRPr="00494B56">
        <w:rPr>
          <w:rFonts w:ascii="Abadi" w:hAnsi="Abadi" w:cs="*Arial-10082-Identity-H"/>
          <w:color w:val="0C0C0E"/>
          <w:sz w:val="21"/>
          <w:szCs w:val="21"/>
        </w:rPr>
        <w:t>observancia general dentro de su jurisdicción, que organicen la administración</w:t>
      </w:r>
      <w:r>
        <w:rPr>
          <w:rFonts w:ascii="Abadi" w:hAnsi="Abadi" w:cs="*Arial-10082-Identity-H"/>
          <w:color w:val="0C0C0E"/>
          <w:sz w:val="21"/>
          <w:szCs w:val="21"/>
        </w:rPr>
        <w:t xml:space="preserve"> </w:t>
      </w:r>
      <w:r w:rsidRPr="00494B56">
        <w:rPr>
          <w:rFonts w:ascii="Abadi" w:hAnsi="Abadi" w:cs="*Arial-10082-Identity-H"/>
          <w:color w:val="0C0C0E"/>
          <w:sz w:val="21"/>
          <w:szCs w:val="21"/>
        </w:rPr>
        <w:t>pública, regulen las materias, procedimiento, funciones y servicios públicos de su</w:t>
      </w:r>
      <w:r>
        <w:rPr>
          <w:rFonts w:ascii="Abadi" w:hAnsi="Abadi" w:cs="*Arial-10082-Identity-H"/>
          <w:color w:val="0C0C0E"/>
          <w:sz w:val="21"/>
          <w:szCs w:val="21"/>
        </w:rPr>
        <w:t xml:space="preserve"> </w:t>
      </w:r>
      <w:r w:rsidRPr="00494B56">
        <w:rPr>
          <w:rFonts w:ascii="Abadi" w:hAnsi="Abadi" w:cs="*Arial-10082-Identity-H"/>
          <w:color w:val="0C0C0E"/>
          <w:sz w:val="21"/>
          <w:szCs w:val="21"/>
        </w:rPr>
        <w:t>competencia.</w:t>
      </w:r>
    </w:p>
    <w:p w14:paraId="16226A24" w14:textId="77777777" w:rsidR="002F42D9" w:rsidRPr="00494B56" w:rsidRDefault="002F42D9" w:rsidP="002F42D9">
      <w:pPr>
        <w:autoSpaceDE w:val="0"/>
        <w:autoSpaceDN w:val="0"/>
        <w:adjustRightInd w:val="0"/>
        <w:jc w:val="both"/>
        <w:rPr>
          <w:rFonts w:ascii="Abadi" w:hAnsi="Abadi" w:cs="*Arial-10082-Identity-H"/>
          <w:color w:val="0C0C0E"/>
          <w:sz w:val="21"/>
          <w:szCs w:val="21"/>
        </w:rPr>
      </w:pPr>
    </w:p>
    <w:p w14:paraId="414E9FE0" w14:textId="22785820" w:rsidR="002F42D9" w:rsidRDefault="002F42D9" w:rsidP="002F42D9">
      <w:pPr>
        <w:autoSpaceDE w:val="0"/>
        <w:autoSpaceDN w:val="0"/>
        <w:adjustRightInd w:val="0"/>
        <w:ind w:firstLine="708"/>
        <w:jc w:val="both"/>
        <w:rPr>
          <w:rFonts w:ascii="Abadi" w:hAnsi="Abadi" w:cs="*Arial-10082-Identity-H"/>
          <w:color w:val="0C0C0F"/>
          <w:sz w:val="21"/>
          <w:szCs w:val="21"/>
        </w:rPr>
      </w:pPr>
      <w:r w:rsidRPr="00494B56">
        <w:rPr>
          <w:rFonts w:ascii="Abadi" w:hAnsi="Abadi" w:cs="*Arial-10082-Identity-H"/>
          <w:color w:val="0C0C0F"/>
          <w:sz w:val="21"/>
          <w:szCs w:val="21"/>
        </w:rPr>
        <w:t>De manera específica, el artículo 115 de la Constitución Política de los</w:t>
      </w:r>
      <w:r>
        <w:rPr>
          <w:rFonts w:ascii="Abadi" w:hAnsi="Abadi" w:cs="*Arial-10082-Identity-H"/>
          <w:color w:val="0C0C0F"/>
          <w:sz w:val="21"/>
          <w:szCs w:val="21"/>
        </w:rPr>
        <w:t xml:space="preserve"> </w:t>
      </w:r>
      <w:r w:rsidRPr="00494B56">
        <w:rPr>
          <w:rFonts w:ascii="Abadi" w:hAnsi="Abadi" w:cs="*Arial-10082-Identity-H"/>
          <w:color w:val="0C0C0F"/>
          <w:sz w:val="21"/>
          <w:szCs w:val="21"/>
        </w:rPr>
        <w:t xml:space="preserve">Estados Unidos Mexicanos, en su fracción </w:t>
      </w:r>
      <w:r w:rsidR="006C2807">
        <w:rPr>
          <w:rFonts w:ascii="Abadi" w:hAnsi="Abadi" w:cs="*Arial-10082-Identity-H"/>
          <w:color w:val="0C0C0F"/>
          <w:sz w:val="21"/>
          <w:szCs w:val="21"/>
        </w:rPr>
        <w:t xml:space="preserve">III </w:t>
      </w:r>
      <w:r w:rsidRPr="00494B56">
        <w:rPr>
          <w:rFonts w:ascii="Abadi" w:hAnsi="Abadi" w:cs="*Arial-10082-Identity-H"/>
          <w:color w:val="0C0C0F"/>
          <w:sz w:val="21"/>
          <w:szCs w:val="21"/>
        </w:rPr>
        <w:t>consigna que los municipios tendrán</w:t>
      </w:r>
      <w:r>
        <w:rPr>
          <w:rFonts w:ascii="Abadi" w:hAnsi="Abadi" w:cs="*Arial-10082-Identity-H"/>
          <w:color w:val="0C0C0F"/>
          <w:sz w:val="21"/>
          <w:szCs w:val="21"/>
        </w:rPr>
        <w:t xml:space="preserve"> </w:t>
      </w:r>
      <w:r w:rsidRPr="00494B56">
        <w:rPr>
          <w:rFonts w:ascii="Abadi" w:hAnsi="Abadi" w:cs="*Arial-10082-Identity-H"/>
          <w:color w:val="0C0C0F"/>
          <w:sz w:val="21"/>
          <w:szCs w:val="21"/>
        </w:rPr>
        <w:t>a su cargo las funciones y servicios públicos, entre los que señala en el inciso b, el</w:t>
      </w:r>
      <w:r>
        <w:rPr>
          <w:rFonts w:ascii="Abadi" w:hAnsi="Abadi" w:cs="*Arial-10082-Identity-H"/>
          <w:color w:val="0C0C0F"/>
          <w:sz w:val="21"/>
          <w:szCs w:val="21"/>
        </w:rPr>
        <w:t xml:space="preserve"> </w:t>
      </w:r>
      <w:r w:rsidRPr="00494B56">
        <w:rPr>
          <w:rFonts w:ascii="Abadi" w:hAnsi="Abadi" w:cs="*Arial-10082-Identity-H"/>
          <w:color w:val="0C0C0F"/>
          <w:sz w:val="21"/>
          <w:szCs w:val="21"/>
        </w:rPr>
        <w:t>alumbrado público. Atribución ratificada en la Constitución Política Local en su</w:t>
      </w:r>
      <w:r>
        <w:rPr>
          <w:rFonts w:ascii="Abadi" w:hAnsi="Abadi" w:cs="*Arial-10082-Identity-H"/>
          <w:color w:val="0C0C0F"/>
          <w:sz w:val="21"/>
          <w:szCs w:val="21"/>
        </w:rPr>
        <w:t xml:space="preserve"> </w:t>
      </w:r>
      <w:r w:rsidRPr="00494B56">
        <w:rPr>
          <w:rFonts w:ascii="Abadi" w:hAnsi="Abadi" w:cs="*Arial-10082-Identity-H"/>
          <w:color w:val="0C0C0F"/>
          <w:sz w:val="21"/>
          <w:szCs w:val="21"/>
        </w:rPr>
        <w:t>artículo 117, fracción III, inciso b.</w:t>
      </w:r>
    </w:p>
    <w:p w14:paraId="7DD99A3D" w14:textId="77777777" w:rsidR="004818C3" w:rsidRPr="00494B56" w:rsidRDefault="004818C3" w:rsidP="002F42D9">
      <w:pPr>
        <w:autoSpaceDE w:val="0"/>
        <w:autoSpaceDN w:val="0"/>
        <w:adjustRightInd w:val="0"/>
        <w:ind w:firstLine="708"/>
        <w:jc w:val="both"/>
        <w:rPr>
          <w:rFonts w:ascii="Abadi" w:hAnsi="Abadi" w:cs="*Arial-10082-Identity-H"/>
          <w:color w:val="0C0C0F"/>
          <w:sz w:val="21"/>
          <w:szCs w:val="21"/>
        </w:rPr>
      </w:pPr>
    </w:p>
    <w:p w14:paraId="50201A9A" w14:textId="77777777" w:rsidR="002F42D9" w:rsidRPr="00494B56" w:rsidRDefault="002F42D9" w:rsidP="002F42D9">
      <w:pPr>
        <w:autoSpaceDE w:val="0"/>
        <w:autoSpaceDN w:val="0"/>
        <w:adjustRightInd w:val="0"/>
        <w:ind w:firstLine="708"/>
        <w:jc w:val="both"/>
        <w:rPr>
          <w:rFonts w:ascii="Abadi" w:hAnsi="Abadi" w:cs="*Arial-8220-Identity-H"/>
          <w:color w:val="0D0C0F"/>
          <w:sz w:val="21"/>
          <w:szCs w:val="21"/>
        </w:rPr>
      </w:pPr>
      <w:r w:rsidRPr="00494B56">
        <w:rPr>
          <w:rFonts w:ascii="Abadi" w:hAnsi="Abadi" w:cs="*Arial-8220-Identity-H"/>
          <w:color w:val="0D0C0F"/>
          <w:sz w:val="21"/>
          <w:szCs w:val="21"/>
        </w:rPr>
        <w:t>La Ley Orgánica Municipal para el Estado de Guanajuato prevé que el</w:t>
      </w:r>
      <w:r>
        <w:rPr>
          <w:rFonts w:ascii="Abadi" w:hAnsi="Abadi" w:cs="*Arial-8220-Identity-H"/>
          <w:color w:val="0D0C0F"/>
          <w:sz w:val="21"/>
          <w:szCs w:val="21"/>
        </w:rPr>
        <w:t xml:space="preserve"> </w:t>
      </w:r>
      <w:r w:rsidRPr="00494B56">
        <w:rPr>
          <w:rFonts w:ascii="Abadi" w:hAnsi="Abadi" w:cs="*Arial-8220-Identity-H"/>
          <w:color w:val="0D0C0F"/>
          <w:sz w:val="21"/>
          <w:szCs w:val="21"/>
        </w:rPr>
        <w:t>Ayuntamiento deberá otorgar el servicio de alumbrado público a los habitantes del</w:t>
      </w:r>
      <w:r>
        <w:rPr>
          <w:rFonts w:ascii="Abadi" w:hAnsi="Abadi" w:cs="*Arial-8220-Identity-H"/>
          <w:color w:val="0D0C0F"/>
          <w:sz w:val="21"/>
          <w:szCs w:val="21"/>
        </w:rPr>
        <w:t xml:space="preserve"> </w:t>
      </w:r>
      <w:r w:rsidRPr="00494B56">
        <w:rPr>
          <w:rFonts w:ascii="Abadi" w:hAnsi="Abadi" w:cs="*Arial-8220-Identity-H"/>
          <w:color w:val="0D0C0F"/>
          <w:sz w:val="21"/>
          <w:szCs w:val="21"/>
        </w:rPr>
        <w:t>Municipio e instrumentará los mecanismos necesarios para ampliar la cobertura y</w:t>
      </w:r>
      <w:r>
        <w:rPr>
          <w:rFonts w:ascii="Abadi" w:hAnsi="Abadi" w:cs="*Arial-8220-Identity-H"/>
          <w:color w:val="0D0C0F"/>
          <w:sz w:val="21"/>
          <w:szCs w:val="21"/>
        </w:rPr>
        <w:t xml:space="preserve"> </w:t>
      </w:r>
      <w:r w:rsidRPr="00494B56">
        <w:rPr>
          <w:rFonts w:ascii="Abadi" w:hAnsi="Abadi" w:cs="*Arial-8220-Identity-H"/>
          <w:color w:val="0D0C0F"/>
          <w:sz w:val="21"/>
          <w:szCs w:val="21"/>
        </w:rPr>
        <w:t>mejorar la prestación de dicho servicio.</w:t>
      </w:r>
    </w:p>
    <w:p w14:paraId="7AA96EC5" w14:textId="77777777" w:rsidR="002F42D9" w:rsidRPr="00494B56" w:rsidRDefault="002F42D9" w:rsidP="002F42D9">
      <w:pPr>
        <w:autoSpaceDE w:val="0"/>
        <w:autoSpaceDN w:val="0"/>
        <w:adjustRightInd w:val="0"/>
        <w:jc w:val="both"/>
        <w:rPr>
          <w:rFonts w:ascii="Abadi" w:hAnsi="Abadi" w:cs="*Arial-8220-Identity-H"/>
          <w:color w:val="0D0C0F"/>
          <w:sz w:val="21"/>
          <w:szCs w:val="21"/>
        </w:rPr>
      </w:pPr>
    </w:p>
    <w:p w14:paraId="3DA9C825" w14:textId="3E090BDA" w:rsidR="002F42D9" w:rsidRPr="00494B56" w:rsidRDefault="002F42D9" w:rsidP="001413AF">
      <w:pPr>
        <w:autoSpaceDE w:val="0"/>
        <w:autoSpaceDN w:val="0"/>
        <w:adjustRightInd w:val="0"/>
        <w:ind w:firstLine="708"/>
        <w:jc w:val="both"/>
        <w:rPr>
          <w:rFonts w:ascii="Abadi" w:hAnsi="Abadi" w:cs="*Arial-8220-Identity-H"/>
          <w:color w:val="0D0C0F"/>
          <w:sz w:val="21"/>
          <w:szCs w:val="21"/>
        </w:rPr>
      </w:pPr>
      <w:r w:rsidRPr="00494B56">
        <w:rPr>
          <w:rFonts w:ascii="Abadi" w:hAnsi="Abadi" w:cs="*Arial-8220-Identity-H"/>
          <w:color w:val="0D0C0F"/>
          <w:sz w:val="21"/>
          <w:szCs w:val="21"/>
        </w:rPr>
        <w:t>De igual forma, la referida ley en el artículo 83 establece que el</w:t>
      </w:r>
      <w:r>
        <w:rPr>
          <w:rFonts w:ascii="Abadi" w:hAnsi="Abadi" w:cs="*Arial-8220-Identity-H"/>
          <w:color w:val="0D0C0F"/>
          <w:sz w:val="21"/>
          <w:szCs w:val="21"/>
        </w:rPr>
        <w:t xml:space="preserve"> </w:t>
      </w:r>
      <w:r w:rsidRPr="00494B56">
        <w:rPr>
          <w:rFonts w:ascii="Abadi" w:hAnsi="Abadi" w:cs="*Arial-8220-Identity-H"/>
          <w:color w:val="0D0C0F"/>
          <w:sz w:val="21"/>
          <w:szCs w:val="21"/>
        </w:rPr>
        <w:t>Ayuntamiento contará con una Comisión de Obra y Servicios Públicos, misma que tendrá dentro de sus atribuciones la de promover la prestación puntual, oportuna y eficiente de los servicios públicos municipales, de conformidad con las</w:t>
      </w:r>
      <w:r>
        <w:rPr>
          <w:rFonts w:ascii="Abadi" w:hAnsi="Abadi" w:cs="*Arial-8220-Identity-H"/>
          <w:color w:val="0D0C0F"/>
          <w:sz w:val="21"/>
          <w:szCs w:val="21"/>
        </w:rPr>
        <w:t xml:space="preserve"> </w:t>
      </w:r>
      <w:r w:rsidRPr="00494B56">
        <w:rPr>
          <w:rFonts w:ascii="Abadi" w:hAnsi="Abadi" w:cs="*Arial-8220-Identity-H"/>
          <w:color w:val="0D0C0F"/>
          <w:sz w:val="21"/>
          <w:szCs w:val="21"/>
        </w:rPr>
        <w:t>disposiciones aplicables. En este sentido, la dependencia de Servicios Municipales</w:t>
      </w:r>
      <w:r>
        <w:rPr>
          <w:rFonts w:ascii="Abadi" w:hAnsi="Abadi" w:cs="*Arial-8220-Identity-H"/>
          <w:color w:val="0D0C0F"/>
          <w:sz w:val="21"/>
          <w:szCs w:val="21"/>
        </w:rPr>
        <w:t xml:space="preserve"> </w:t>
      </w:r>
      <w:r w:rsidRPr="00494B56">
        <w:rPr>
          <w:rFonts w:ascii="Abadi" w:hAnsi="Abadi" w:cs="*Arial-8220-Identity-H"/>
          <w:color w:val="0D0C0F"/>
          <w:sz w:val="21"/>
          <w:szCs w:val="21"/>
        </w:rPr>
        <w:t>será la encargada de llevar a cabo la prestación del servicio de alumbrado público</w:t>
      </w:r>
      <w:r w:rsidR="001413AF">
        <w:rPr>
          <w:rFonts w:ascii="Abadi" w:hAnsi="Abadi" w:cs="*Arial-8220-Identity-H"/>
          <w:color w:val="0D0C0F"/>
          <w:sz w:val="21"/>
          <w:szCs w:val="21"/>
        </w:rPr>
        <w:t xml:space="preserve"> </w:t>
      </w:r>
      <w:r w:rsidRPr="00494B56">
        <w:rPr>
          <w:rFonts w:ascii="Abadi" w:hAnsi="Abadi" w:cs="*Arial-8220-Identity-H"/>
          <w:color w:val="0D0C0F"/>
          <w:sz w:val="21"/>
          <w:szCs w:val="21"/>
        </w:rPr>
        <w:t>en el Municipio, de acuerdo a lo establecido en la fracción V del artículo 124 de la</w:t>
      </w:r>
      <w:r>
        <w:rPr>
          <w:rFonts w:ascii="Abadi" w:hAnsi="Abadi" w:cs="*Arial-8220-Identity-H"/>
          <w:color w:val="0D0C0F"/>
          <w:sz w:val="21"/>
          <w:szCs w:val="21"/>
        </w:rPr>
        <w:t xml:space="preserve"> </w:t>
      </w:r>
      <w:r w:rsidRPr="00494B56">
        <w:rPr>
          <w:rFonts w:ascii="Abadi" w:hAnsi="Abadi" w:cs="*Arial-8220-Identity-H"/>
          <w:color w:val="0D0C0F"/>
          <w:sz w:val="21"/>
          <w:szCs w:val="21"/>
        </w:rPr>
        <w:t>citada ley.</w:t>
      </w:r>
    </w:p>
    <w:p w14:paraId="356FF5D4" w14:textId="77777777" w:rsidR="002F42D9" w:rsidRPr="00494B56" w:rsidRDefault="002F42D9" w:rsidP="002F42D9">
      <w:pPr>
        <w:autoSpaceDE w:val="0"/>
        <w:autoSpaceDN w:val="0"/>
        <w:adjustRightInd w:val="0"/>
        <w:jc w:val="both"/>
        <w:rPr>
          <w:rFonts w:ascii="Abadi" w:hAnsi="Abadi" w:cs="*Arial-8220-Identity-H"/>
          <w:color w:val="0D0C0F"/>
          <w:sz w:val="21"/>
          <w:szCs w:val="21"/>
        </w:rPr>
      </w:pPr>
    </w:p>
    <w:p w14:paraId="23369D4F" w14:textId="77777777" w:rsidR="002F42D9" w:rsidRPr="002824D0" w:rsidRDefault="002F42D9" w:rsidP="002F42D9">
      <w:pPr>
        <w:autoSpaceDE w:val="0"/>
        <w:autoSpaceDN w:val="0"/>
        <w:adjustRightInd w:val="0"/>
        <w:ind w:firstLine="708"/>
        <w:jc w:val="both"/>
        <w:rPr>
          <w:rFonts w:ascii="Abadi" w:hAnsi="Abadi" w:cs="*Arial-8220-Identity-H"/>
          <w:color w:val="0C0C0F"/>
          <w:sz w:val="21"/>
          <w:szCs w:val="21"/>
        </w:rPr>
      </w:pPr>
      <w:r w:rsidRPr="00494B56">
        <w:rPr>
          <w:rFonts w:ascii="Abadi" w:hAnsi="Abadi" w:cs="*Arial-8220-Identity-H"/>
          <w:color w:val="0C0C0F"/>
          <w:sz w:val="21"/>
          <w:szCs w:val="21"/>
        </w:rPr>
        <w:t>También el artículo 165 de la referida Ley Orgánica Municipal prevé que:</w:t>
      </w:r>
      <w:r>
        <w:rPr>
          <w:rFonts w:ascii="Abadi" w:hAnsi="Abadi" w:cs="*Arial-8220-Identity-H"/>
          <w:color w:val="0C0C0F"/>
          <w:sz w:val="21"/>
          <w:szCs w:val="21"/>
        </w:rPr>
        <w:t xml:space="preserve"> </w:t>
      </w:r>
      <w:r w:rsidRPr="00494B56">
        <w:rPr>
          <w:rFonts w:ascii="Abadi" w:hAnsi="Abadi" w:cs="*Arial-Italic-8221-Identity-H"/>
          <w:i/>
          <w:iCs/>
          <w:color w:val="0C0C0F"/>
          <w:sz w:val="21"/>
          <w:szCs w:val="21"/>
        </w:rPr>
        <w:t xml:space="preserve">«Los ayuntamientos prestarán los servicios públicos, en igualdad de condiciones </w:t>
      </w:r>
      <w:r w:rsidRPr="00494B56">
        <w:rPr>
          <w:rFonts w:ascii="Abadi" w:hAnsi="Abadi" w:cs="*Arial-8220-Identity-H"/>
          <w:color w:val="0C0C0F"/>
          <w:sz w:val="21"/>
          <w:szCs w:val="21"/>
        </w:rPr>
        <w:t>a</w:t>
      </w:r>
      <w:r>
        <w:rPr>
          <w:rFonts w:ascii="Abadi" w:hAnsi="Abadi" w:cs="*Arial-8220-Identity-H"/>
          <w:color w:val="0C0C0F"/>
          <w:sz w:val="21"/>
          <w:szCs w:val="21"/>
        </w:rPr>
        <w:t xml:space="preserve"> </w:t>
      </w:r>
      <w:r w:rsidRPr="00494B56">
        <w:rPr>
          <w:rFonts w:ascii="Abadi" w:hAnsi="Abadi" w:cs="*Arial-Italic-8221-Identity-H"/>
          <w:i/>
          <w:iCs/>
          <w:color w:val="0C0C0F"/>
          <w:sz w:val="21"/>
          <w:szCs w:val="21"/>
        </w:rPr>
        <w:t>todos los -habitantes del municipio, en forma permanente, general, uniforme,</w:t>
      </w:r>
      <w:r>
        <w:rPr>
          <w:rFonts w:ascii="Abadi" w:hAnsi="Abadi" w:cs="*Arial-8220-Identity-H"/>
          <w:color w:val="0C0C0F"/>
          <w:sz w:val="21"/>
          <w:szCs w:val="21"/>
        </w:rPr>
        <w:t xml:space="preserve"> </w:t>
      </w:r>
      <w:r w:rsidRPr="00494B56">
        <w:rPr>
          <w:rFonts w:ascii="Abadi" w:hAnsi="Abadi" w:cs="*Arial-Italic-8221-Identity-H"/>
          <w:i/>
          <w:iCs/>
          <w:color w:val="0C0C0F"/>
          <w:sz w:val="21"/>
          <w:szCs w:val="21"/>
        </w:rPr>
        <w:t xml:space="preserve">continua </w:t>
      </w:r>
      <w:r w:rsidRPr="00494B56">
        <w:rPr>
          <w:rFonts w:ascii="Abadi" w:hAnsi="Abadi" w:cs="*Microsoft Sans Serif-Italic-82"/>
          <w:i/>
          <w:iCs/>
          <w:color w:val="0C0C0F"/>
          <w:sz w:val="21"/>
          <w:szCs w:val="21"/>
        </w:rPr>
        <w:t xml:space="preserve">y </w:t>
      </w:r>
      <w:r w:rsidRPr="00494B56">
        <w:rPr>
          <w:rFonts w:ascii="Abadi" w:hAnsi="Abadi" w:cs="*Arial-Italic-8221-Identity-H"/>
          <w:i/>
          <w:iCs/>
          <w:color w:val="0C0C0F"/>
          <w:sz w:val="21"/>
          <w:szCs w:val="21"/>
        </w:rPr>
        <w:t>de acuerdo con el Programa de Gobierno Municipal».</w:t>
      </w:r>
    </w:p>
    <w:p w14:paraId="013DAAA2" w14:textId="77777777" w:rsidR="002F42D9" w:rsidRPr="00494B56" w:rsidRDefault="002F42D9" w:rsidP="002F42D9">
      <w:pPr>
        <w:autoSpaceDE w:val="0"/>
        <w:autoSpaceDN w:val="0"/>
        <w:adjustRightInd w:val="0"/>
        <w:jc w:val="both"/>
        <w:rPr>
          <w:rFonts w:ascii="Abadi" w:hAnsi="Abadi" w:cs="*Arial-Italic-8221-Identity-H"/>
          <w:i/>
          <w:iCs/>
          <w:color w:val="0C0C0F"/>
          <w:sz w:val="21"/>
          <w:szCs w:val="21"/>
        </w:rPr>
      </w:pPr>
    </w:p>
    <w:p w14:paraId="35C7AE8B" w14:textId="77777777" w:rsidR="002F42D9" w:rsidRPr="002824D0" w:rsidRDefault="002F42D9" w:rsidP="002F42D9">
      <w:pPr>
        <w:autoSpaceDE w:val="0"/>
        <w:autoSpaceDN w:val="0"/>
        <w:adjustRightInd w:val="0"/>
        <w:ind w:firstLine="708"/>
        <w:jc w:val="both"/>
        <w:rPr>
          <w:rFonts w:ascii="Abadi" w:hAnsi="Abadi" w:cs="*Arial-Italic-8221-Identity-H"/>
          <w:i/>
          <w:iCs/>
          <w:color w:val="0C0C0E"/>
          <w:sz w:val="21"/>
          <w:szCs w:val="21"/>
        </w:rPr>
      </w:pPr>
      <w:r w:rsidRPr="00494B56">
        <w:rPr>
          <w:rFonts w:ascii="Abadi" w:hAnsi="Abadi" w:cs="*Arial-8220-Identity-H"/>
          <w:color w:val="0C0C0E"/>
          <w:sz w:val="21"/>
          <w:szCs w:val="21"/>
        </w:rPr>
        <w:t xml:space="preserve">Asimismo, en el Capítulo denominado </w:t>
      </w:r>
      <w:r w:rsidRPr="00494B56">
        <w:rPr>
          <w:rFonts w:ascii="Abadi" w:hAnsi="Abadi" w:cs="*Arial-Italic-8221-Identity-H"/>
          <w:i/>
          <w:iCs/>
          <w:color w:val="0C0C0E"/>
          <w:sz w:val="21"/>
          <w:szCs w:val="21"/>
        </w:rPr>
        <w:t>«De los Servicios Públicos</w:t>
      </w:r>
      <w:r>
        <w:rPr>
          <w:rFonts w:ascii="Abadi" w:hAnsi="Abadi" w:cs="*Arial-Italic-8221-Identity-H"/>
          <w:i/>
          <w:iCs/>
          <w:color w:val="0C0C0E"/>
          <w:sz w:val="21"/>
          <w:szCs w:val="21"/>
        </w:rPr>
        <w:t xml:space="preserve"> </w:t>
      </w:r>
      <w:r w:rsidRPr="00494B56">
        <w:rPr>
          <w:rFonts w:ascii="Abadi" w:hAnsi="Abadi" w:cs="*Arial-Italic-8221-Identity-H"/>
          <w:i/>
          <w:iCs/>
          <w:color w:val="0C0C0E"/>
          <w:sz w:val="21"/>
          <w:szCs w:val="21"/>
        </w:rPr>
        <w:t xml:space="preserve">Municipales» </w:t>
      </w:r>
      <w:r w:rsidRPr="00494B56">
        <w:rPr>
          <w:rFonts w:ascii="Abadi" w:hAnsi="Abadi" w:cs="*Arial-8220-Identity-H"/>
          <w:color w:val="0C0C0E"/>
          <w:sz w:val="21"/>
          <w:szCs w:val="21"/>
        </w:rPr>
        <w:t>se refiere que en el presupuesto de egresos deben preverse los</w:t>
      </w:r>
      <w:r>
        <w:rPr>
          <w:rFonts w:ascii="Abadi" w:hAnsi="Abadi" w:cs="*Arial-Italic-8221-Identity-H"/>
          <w:i/>
          <w:iCs/>
          <w:color w:val="0C0C0E"/>
          <w:sz w:val="21"/>
          <w:szCs w:val="21"/>
        </w:rPr>
        <w:t xml:space="preserve"> </w:t>
      </w:r>
      <w:r w:rsidRPr="00494B56">
        <w:rPr>
          <w:rFonts w:ascii="Abadi" w:hAnsi="Abadi" w:cs="*Arial-8220-Identity-H"/>
          <w:color w:val="0C0C0E"/>
          <w:sz w:val="21"/>
          <w:szCs w:val="21"/>
        </w:rPr>
        <w:t>recursos materiales y humanos, necesarios y suficientes, para la prestación</w:t>
      </w:r>
      <w:r>
        <w:rPr>
          <w:rFonts w:ascii="Abadi" w:hAnsi="Abadi" w:cs="*Arial-Italic-8221-Identity-H"/>
          <w:i/>
          <w:iCs/>
          <w:color w:val="0C0C0E"/>
          <w:sz w:val="21"/>
          <w:szCs w:val="21"/>
        </w:rPr>
        <w:t xml:space="preserve"> </w:t>
      </w:r>
      <w:r w:rsidRPr="00494B56">
        <w:rPr>
          <w:rFonts w:ascii="Abadi" w:hAnsi="Abadi" w:cs="*Arial-8220-Identity-H"/>
          <w:color w:val="0C0C0E"/>
          <w:sz w:val="21"/>
          <w:szCs w:val="21"/>
        </w:rPr>
        <w:t>eficiente y oportuna de los servicios públicos; asimismo, se consigna la</w:t>
      </w:r>
      <w:r>
        <w:rPr>
          <w:rFonts w:ascii="Abadi" w:hAnsi="Abadi" w:cs="*Arial-Italic-8221-Identity-H"/>
          <w:i/>
          <w:iCs/>
          <w:color w:val="0C0C0E"/>
          <w:sz w:val="21"/>
          <w:szCs w:val="21"/>
        </w:rPr>
        <w:t xml:space="preserve"> </w:t>
      </w:r>
      <w:r w:rsidRPr="00494B56">
        <w:rPr>
          <w:rFonts w:ascii="Abadi" w:hAnsi="Abadi" w:cs="*Arial-8220-Identity-H"/>
          <w:color w:val="0C0C0E"/>
          <w:sz w:val="21"/>
          <w:szCs w:val="21"/>
        </w:rPr>
        <w:t>obligatoriedad del Ayuntamiento de otorgar el servicio de alumbrado público,</w:t>
      </w:r>
      <w:r>
        <w:rPr>
          <w:rFonts w:ascii="Abadi" w:hAnsi="Abadi" w:cs="*Arial-Italic-8221-Identity-H"/>
          <w:i/>
          <w:iCs/>
          <w:color w:val="0C0C0E"/>
          <w:sz w:val="21"/>
          <w:szCs w:val="21"/>
        </w:rPr>
        <w:t xml:space="preserve"> </w:t>
      </w:r>
      <w:r w:rsidRPr="00494B56">
        <w:rPr>
          <w:rFonts w:ascii="Abadi" w:hAnsi="Abadi" w:cs="*Arial-8220-Identity-H"/>
          <w:color w:val="0C0C0E"/>
          <w:sz w:val="21"/>
          <w:szCs w:val="21"/>
        </w:rPr>
        <w:t>señalando que</w:t>
      </w:r>
      <w:r>
        <w:rPr>
          <w:rFonts w:ascii="Abadi" w:hAnsi="Abadi" w:cs="*Arial-8220-Identity-H"/>
          <w:color w:val="0C0C0E"/>
          <w:sz w:val="21"/>
          <w:szCs w:val="21"/>
        </w:rPr>
        <w:t xml:space="preserve"> </w:t>
      </w:r>
      <w:r w:rsidRPr="00494B56">
        <w:rPr>
          <w:rFonts w:ascii="Abadi" w:hAnsi="Abadi" w:cs="*Arial-8220-Identity-H"/>
          <w:color w:val="0C0C0E"/>
          <w:sz w:val="21"/>
          <w:szCs w:val="21"/>
        </w:rPr>
        <w:t>podrá otorgarlo de manera directa a través de sus propias</w:t>
      </w:r>
      <w:r>
        <w:rPr>
          <w:rFonts w:ascii="Abadi" w:hAnsi="Abadi" w:cs="*Arial-Italic-8221-Identity-H"/>
          <w:i/>
          <w:iCs/>
          <w:color w:val="0C0C0E"/>
          <w:sz w:val="21"/>
          <w:szCs w:val="21"/>
        </w:rPr>
        <w:t xml:space="preserve"> </w:t>
      </w:r>
      <w:r w:rsidRPr="00494B56">
        <w:rPr>
          <w:rFonts w:ascii="Abadi" w:hAnsi="Abadi" w:cs="*Arial-8220-Identity-H"/>
          <w:color w:val="0C0C0E"/>
          <w:sz w:val="21"/>
          <w:szCs w:val="21"/>
        </w:rPr>
        <w:t>dependencias, o bien por un medio indirecto.</w:t>
      </w:r>
    </w:p>
    <w:p w14:paraId="487FCBFC" w14:textId="77777777" w:rsidR="002F42D9" w:rsidRPr="00494B56" w:rsidRDefault="002F42D9" w:rsidP="002F42D9">
      <w:pPr>
        <w:autoSpaceDE w:val="0"/>
        <w:autoSpaceDN w:val="0"/>
        <w:adjustRightInd w:val="0"/>
        <w:jc w:val="both"/>
        <w:rPr>
          <w:rFonts w:ascii="Abadi" w:hAnsi="Abadi" w:cs="*Arial-8220-Identity-H"/>
          <w:color w:val="0C0C0E"/>
          <w:sz w:val="21"/>
          <w:szCs w:val="21"/>
        </w:rPr>
      </w:pPr>
    </w:p>
    <w:p w14:paraId="3A4FB025" w14:textId="6D00533C" w:rsidR="002F42D9" w:rsidRDefault="002F42D9" w:rsidP="001C7165">
      <w:pPr>
        <w:autoSpaceDE w:val="0"/>
        <w:autoSpaceDN w:val="0"/>
        <w:adjustRightInd w:val="0"/>
        <w:ind w:firstLine="708"/>
        <w:jc w:val="both"/>
        <w:rPr>
          <w:rFonts w:ascii="Abadi" w:hAnsi="Abadi" w:cs="*Arial-8220-Identity-H"/>
          <w:color w:val="0C0B0E"/>
          <w:sz w:val="21"/>
          <w:szCs w:val="21"/>
        </w:rPr>
      </w:pPr>
      <w:r w:rsidRPr="00494B56">
        <w:rPr>
          <w:rFonts w:ascii="Abadi" w:hAnsi="Abadi" w:cs="*Arial-8220-Identity-H"/>
          <w:color w:val="0C0B0E"/>
          <w:sz w:val="21"/>
          <w:szCs w:val="21"/>
        </w:rPr>
        <w:t>De conformidad con el artículo 169 de la referida Ley Orgánica Municipal, la</w:t>
      </w:r>
      <w:r>
        <w:rPr>
          <w:rFonts w:ascii="Abadi" w:hAnsi="Abadi" w:cs="*Arial-8220-Identity-H"/>
          <w:color w:val="0C0B0E"/>
          <w:sz w:val="21"/>
          <w:szCs w:val="21"/>
        </w:rPr>
        <w:t xml:space="preserve"> </w:t>
      </w:r>
      <w:r w:rsidRPr="00494B56">
        <w:rPr>
          <w:rFonts w:ascii="Abadi" w:hAnsi="Abadi" w:cs="*Arial-8220-Identity-H"/>
          <w:color w:val="0C0B0E"/>
          <w:sz w:val="21"/>
          <w:szCs w:val="21"/>
        </w:rPr>
        <w:t>prestación de los servicios públicos municipales será supervisada por la comisión</w:t>
      </w:r>
      <w:r>
        <w:rPr>
          <w:rFonts w:ascii="Abadi" w:hAnsi="Abadi" w:cs="*Arial-8220-Identity-H"/>
          <w:color w:val="0C0B0E"/>
          <w:sz w:val="21"/>
          <w:szCs w:val="21"/>
        </w:rPr>
        <w:t xml:space="preserve"> </w:t>
      </w:r>
      <w:r w:rsidRPr="00494B56">
        <w:rPr>
          <w:rFonts w:ascii="Abadi" w:hAnsi="Abadi" w:cs="*Arial-8220-Identity-H"/>
          <w:color w:val="0C0B0E"/>
          <w:sz w:val="21"/>
          <w:szCs w:val="21"/>
        </w:rPr>
        <w:t>correspondiente del Ayuntamiento y auditada por la Contraloría Municipal.</w:t>
      </w:r>
      <w:r>
        <w:rPr>
          <w:rFonts w:ascii="Abadi" w:hAnsi="Abadi" w:cs="*Arial-8220-Identity-H"/>
          <w:color w:val="0C0B0E"/>
          <w:sz w:val="21"/>
          <w:szCs w:val="21"/>
        </w:rPr>
        <w:t xml:space="preserve"> </w:t>
      </w:r>
      <w:r w:rsidRPr="00494B56">
        <w:rPr>
          <w:rFonts w:ascii="Abadi" w:hAnsi="Abadi" w:cs="*Arial-8220-Identity-H"/>
          <w:color w:val="0C0B0E"/>
          <w:sz w:val="21"/>
          <w:szCs w:val="21"/>
        </w:rPr>
        <w:t>Es así que, se desprende la intervención estratégica del Ayuntamiento y de</w:t>
      </w:r>
      <w:r>
        <w:rPr>
          <w:rFonts w:ascii="Abadi" w:hAnsi="Abadi" w:cs="*Arial-8220-Identity-H"/>
          <w:color w:val="0C0B0E"/>
          <w:sz w:val="21"/>
          <w:szCs w:val="21"/>
        </w:rPr>
        <w:t xml:space="preserve"> </w:t>
      </w:r>
      <w:r w:rsidRPr="00494B56">
        <w:rPr>
          <w:rFonts w:ascii="Abadi" w:hAnsi="Abadi" w:cs="*Arial-8220-Identity-H"/>
          <w:color w:val="0C0B0E"/>
          <w:sz w:val="21"/>
          <w:szCs w:val="21"/>
        </w:rPr>
        <w:t>la Dirección de Servicios Municipales para otorgar la prestación del servicio de</w:t>
      </w:r>
      <w:r>
        <w:rPr>
          <w:rFonts w:ascii="Abadi" w:hAnsi="Abadi" w:cs="*Arial-8220-Identity-H"/>
          <w:color w:val="0C0B0E"/>
          <w:sz w:val="21"/>
          <w:szCs w:val="21"/>
        </w:rPr>
        <w:t xml:space="preserve"> </w:t>
      </w:r>
      <w:r w:rsidRPr="00494B56">
        <w:rPr>
          <w:rFonts w:ascii="Abadi" w:hAnsi="Abadi" w:cs="*Arial-8220-Identity-H"/>
          <w:color w:val="0C0B0E"/>
          <w:sz w:val="21"/>
          <w:szCs w:val="21"/>
        </w:rPr>
        <w:t>alumbrado público a los habitantes del Municipio, a través del conocimiento de la</w:t>
      </w:r>
      <w:r w:rsidR="001C7165">
        <w:rPr>
          <w:rFonts w:ascii="Abadi" w:hAnsi="Abadi" w:cs="*Arial-8220-Identity-H"/>
          <w:color w:val="0C0B0E"/>
          <w:sz w:val="21"/>
          <w:szCs w:val="21"/>
        </w:rPr>
        <w:t xml:space="preserve"> </w:t>
      </w:r>
      <w:r w:rsidRPr="00494B56">
        <w:rPr>
          <w:rFonts w:ascii="Abadi" w:hAnsi="Abadi" w:cs="*Arial-8220-Identity-H"/>
          <w:color w:val="0C0B0E"/>
          <w:sz w:val="21"/>
          <w:szCs w:val="21"/>
        </w:rPr>
        <w:t>situación de oferta del servicio, de su presupuestación, de un marco normativo de</w:t>
      </w:r>
      <w:r>
        <w:rPr>
          <w:rFonts w:ascii="Abadi" w:hAnsi="Abadi" w:cs="*Arial-8220-Identity-H"/>
          <w:color w:val="0C0B0E"/>
          <w:sz w:val="21"/>
          <w:szCs w:val="21"/>
        </w:rPr>
        <w:t xml:space="preserve"> </w:t>
      </w:r>
      <w:r w:rsidRPr="00494B56">
        <w:rPr>
          <w:rFonts w:ascii="Abadi" w:hAnsi="Abadi" w:cs="*Arial-8220-Identity-H"/>
          <w:color w:val="0C0B0E"/>
          <w:sz w:val="21"/>
          <w:szCs w:val="21"/>
        </w:rPr>
        <w:t>operación, de una debida planeación a corto plazo, de la participación ciudadana</w:t>
      </w:r>
      <w:r>
        <w:rPr>
          <w:rFonts w:ascii="Abadi" w:hAnsi="Abadi" w:cs="*Arial-8220-Identity-H"/>
          <w:color w:val="0C0B0E"/>
          <w:sz w:val="21"/>
          <w:szCs w:val="21"/>
        </w:rPr>
        <w:t xml:space="preserve"> </w:t>
      </w:r>
      <w:r w:rsidRPr="00494B56">
        <w:rPr>
          <w:rFonts w:ascii="Abadi" w:hAnsi="Abadi" w:cs="*Arial-8220-Identity-H"/>
          <w:color w:val="0C0B0E"/>
          <w:sz w:val="21"/>
          <w:szCs w:val="21"/>
        </w:rPr>
        <w:t>en el reporte de fallas del servicio, así como de los mecanismos de monitoreo y</w:t>
      </w:r>
      <w:r>
        <w:rPr>
          <w:rFonts w:ascii="Abadi" w:hAnsi="Abadi" w:cs="*Arial-8220-Identity-H"/>
          <w:color w:val="0C0B0E"/>
          <w:sz w:val="21"/>
          <w:szCs w:val="21"/>
        </w:rPr>
        <w:t xml:space="preserve"> </w:t>
      </w:r>
      <w:r w:rsidRPr="00494B56">
        <w:rPr>
          <w:rFonts w:ascii="Abadi" w:hAnsi="Abadi" w:cs="*Arial-8220-Identity-H"/>
          <w:color w:val="0C0B0E"/>
          <w:sz w:val="21"/>
          <w:szCs w:val="21"/>
        </w:rPr>
        <w:t>evaluación para el logro de resultados. Lo anterior, con el objetivo de otorgar un</w:t>
      </w:r>
      <w:r>
        <w:rPr>
          <w:rFonts w:ascii="Abadi" w:hAnsi="Abadi" w:cs="*Arial-8220-Identity-H"/>
          <w:color w:val="0C0B0E"/>
          <w:sz w:val="21"/>
          <w:szCs w:val="21"/>
        </w:rPr>
        <w:t xml:space="preserve"> </w:t>
      </w:r>
      <w:r w:rsidRPr="00494B56">
        <w:rPr>
          <w:rFonts w:ascii="Abadi" w:hAnsi="Abadi" w:cs="*Arial-8220-Identity-H"/>
          <w:color w:val="0C0B0E"/>
          <w:sz w:val="21"/>
          <w:szCs w:val="21"/>
        </w:rPr>
        <w:t>servicio público eficaz en el mantenimiento, cobertura y satisfacción del servicio.</w:t>
      </w:r>
    </w:p>
    <w:p w14:paraId="40862407" w14:textId="77777777" w:rsidR="00C744CF" w:rsidRPr="00494B56" w:rsidRDefault="00C744CF" w:rsidP="001C7165">
      <w:pPr>
        <w:autoSpaceDE w:val="0"/>
        <w:autoSpaceDN w:val="0"/>
        <w:adjustRightInd w:val="0"/>
        <w:ind w:firstLine="708"/>
        <w:jc w:val="both"/>
        <w:rPr>
          <w:rFonts w:ascii="Abadi" w:hAnsi="Abadi" w:cs="*Arial-8220-Identity-H"/>
          <w:color w:val="0C0B0E"/>
          <w:sz w:val="21"/>
          <w:szCs w:val="21"/>
        </w:rPr>
      </w:pPr>
    </w:p>
    <w:p w14:paraId="7C33477B" w14:textId="374AAF3B" w:rsidR="002F42D9" w:rsidRPr="0015004B" w:rsidRDefault="002F42D9" w:rsidP="001413AF">
      <w:pPr>
        <w:autoSpaceDE w:val="0"/>
        <w:autoSpaceDN w:val="0"/>
        <w:adjustRightInd w:val="0"/>
        <w:ind w:firstLine="708"/>
        <w:jc w:val="both"/>
        <w:rPr>
          <w:rFonts w:ascii="Abadi" w:hAnsi="Abadi" w:cs="*Arial-Italic-9835-Identity-H"/>
          <w:i/>
          <w:iCs/>
          <w:color w:val="0C0C0F"/>
          <w:sz w:val="21"/>
          <w:szCs w:val="21"/>
        </w:rPr>
      </w:pPr>
      <w:r w:rsidRPr="00494B56">
        <w:rPr>
          <w:rFonts w:ascii="Abadi" w:hAnsi="Abadi" w:cs="*Arial-9834-Identity-H"/>
          <w:color w:val="0C0C0F"/>
          <w:sz w:val="21"/>
          <w:szCs w:val="21"/>
        </w:rPr>
        <w:t>En este orden de ideas, en el Plan Municipal de Desarrollo Visión 2040 del</w:t>
      </w:r>
      <w:r>
        <w:rPr>
          <w:rFonts w:ascii="Abadi" w:hAnsi="Abadi" w:cs="*Arial-9834-Identity-H"/>
          <w:color w:val="0C0C0F"/>
          <w:sz w:val="21"/>
          <w:szCs w:val="21"/>
        </w:rPr>
        <w:t xml:space="preserve"> </w:t>
      </w:r>
      <w:r w:rsidRPr="00494B56">
        <w:rPr>
          <w:rFonts w:ascii="Abadi" w:hAnsi="Abadi" w:cs="*Arial-9834-Identity-H"/>
          <w:color w:val="0C0C0F"/>
          <w:sz w:val="21"/>
          <w:szCs w:val="21"/>
        </w:rPr>
        <w:t xml:space="preserve">municipio de San Francisco del Rir1cón, </w:t>
      </w:r>
      <w:proofErr w:type="spellStart"/>
      <w:r w:rsidRPr="00494B56">
        <w:rPr>
          <w:rFonts w:ascii="Abadi" w:hAnsi="Abadi" w:cs="*Arial-9834-Identity-H"/>
          <w:color w:val="0C0C0F"/>
          <w:sz w:val="21"/>
          <w:szCs w:val="21"/>
        </w:rPr>
        <w:t>Gto</w:t>
      </w:r>
      <w:proofErr w:type="spellEnd"/>
      <w:r w:rsidRPr="00494B56">
        <w:rPr>
          <w:rFonts w:ascii="Abadi" w:hAnsi="Abadi" w:cs="*Arial-9834-Identity-H"/>
          <w:color w:val="0C0C0F"/>
          <w:sz w:val="21"/>
          <w:szCs w:val="21"/>
        </w:rPr>
        <w:t>., se estableció como una prioridad el</w:t>
      </w:r>
      <w:r>
        <w:rPr>
          <w:rFonts w:ascii="Abadi" w:hAnsi="Abadi" w:cs="*Arial-9834-Identity-H"/>
          <w:color w:val="0C0C0F"/>
          <w:sz w:val="21"/>
          <w:szCs w:val="21"/>
        </w:rPr>
        <w:t xml:space="preserve"> </w:t>
      </w:r>
      <w:r w:rsidRPr="00494B56">
        <w:rPr>
          <w:rFonts w:ascii="Abadi" w:hAnsi="Abadi" w:cs="*Arial-9834-Identity-H"/>
          <w:color w:val="0C0C0F"/>
          <w:sz w:val="21"/>
          <w:szCs w:val="21"/>
        </w:rPr>
        <w:t xml:space="preserve">tema del servicio de alumbrado público, en atención a que en su </w:t>
      </w:r>
      <w:r w:rsidRPr="00494B56">
        <w:rPr>
          <w:rFonts w:ascii="Abadi" w:hAnsi="Abadi" w:cs="*Arial-Italic-9835-Identity-H"/>
          <w:i/>
          <w:iCs/>
          <w:color w:val="0C0C0F"/>
          <w:sz w:val="21"/>
          <w:szCs w:val="21"/>
        </w:rPr>
        <w:t>Dimensión 4.</w:t>
      </w:r>
      <w:r>
        <w:rPr>
          <w:rFonts w:ascii="Abadi" w:hAnsi="Abadi" w:cs="*Arial-9834-Identity-H"/>
          <w:color w:val="0C0C0F"/>
          <w:sz w:val="21"/>
          <w:szCs w:val="21"/>
        </w:rPr>
        <w:t xml:space="preserve"> </w:t>
      </w:r>
      <w:r w:rsidRPr="00494B56">
        <w:rPr>
          <w:rFonts w:ascii="Abadi" w:hAnsi="Abadi" w:cs="*Arial-Italic-9835-Identity-H"/>
          <w:i/>
          <w:iCs/>
          <w:color w:val="0C0C0F"/>
          <w:sz w:val="21"/>
          <w:szCs w:val="21"/>
        </w:rPr>
        <w:t xml:space="preserve">Medio Ambiente y Territorio, </w:t>
      </w:r>
      <w:r w:rsidRPr="00494B56">
        <w:rPr>
          <w:rFonts w:ascii="Abadi" w:hAnsi="Abadi" w:cs="*Arial-9834-Identity-H"/>
          <w:color w:val="0C0C0F"/>
          <w:sz w:val="21"/>
          <w:szCs w:val="21"/>
        </w:rPr>
        <w:t xml:space="preserve">línea estratégica </w:t>
      </w:r>
      <w:r w:rsidRPr="00494B56">
        <w:rPr>
          <w:rFonts w:ascii="Abadi" w:hAnsi="Abadi" w:cs="*Arial-Italic-9835-Identity-H"/>
          <w:i/>
          <w:iCs/>
          <w:color w:val="0C0C0F"/>
          <w:sz w:val="21"/>
          <w:szCs w:val="21"/>
        </w:rPr>
        <w:t>3.1. Medio ambiente. Generación de</w:t>
      </w:r>
      <w:r>
        <w:rPr>
          <w:rFonts w:ascii="Abadi" w:hAnsi="Abadi" w:cs="*Arial-9834-Identity-H"/>
          <w:color w:val="0C0C0F"/>
          <w:sz w:val="21"/>
          <w:szCs w:val="21"/>
        </w:rPr>
        <w:t xml:space="preserve"> </w:t>
      </w:r>
      <w:r w:rsidRPr="00494B56">
        <w:rPr>
          <w:rFonts w:ascii="Abadi" w:hAnsi="Abadi" w:cs="*Arial-Italic-9835-Identity-H"/>
          <w:i/>
          <w:iCs/>
          <w:color w:val="0C0C0F"/>
          <w:sz w:val="21"/>
          <w:szCs w:val="21"/>
        </w:rPr>
        <w:t xml:space="preserve">balance hídrico </w:t>
      </w:r>
      <w:r w:rsidRPr="00494B56">
        <w:rPr>
          <w:rFonts w:ascii="Abadi" w:hAnsi="Abadi" w:cs="*Microsoft Sans Serif-Italic-98"/>
          <w:i/>
          <w:iCs/>
          <w:color w:val="0C0C0F"/>
          <w:sz w:val="21"/>
          <w:szCs w:val="21"/>
        </w:rPr>
        <w:t xml:space="preserve">y </w:t>
      </w:r>
      <w:r w:rsidRPr="00494B56">
        <w:rPr>
          <w:rFonts w:ascii="Abadi" w:hAnsi="Abadi" w:cs="*Arial-Italic-9835-Identity-H"/>
          <w:i/>
          <w:iCs/>
          <w:color w:val="0C0C0F"/>
          <w:sz w:val="21"/>
          <w:szCs w:val="21"/>
        </w:rPr>
        <w:t xml:space="preserve">equilibrio ambiental, </w:t>
      </w:r>
      <w:r w:rsidRPr="00494B56">
        <w:rPr>
          <w:rFonts w:ascii="Abadi" w:hAnsi="Abadi" w:cs="*Arial-9834-Identity-H"/>
          <w:color w:val="0C0C0F"/>
          <w:sz w:val="21"/>
          <w:szCs w:val="21"/>
        </w:rPr>
        <w:t xml:space="preserve">objetivo </w:t>
      </w:r>
      <w:r w:rsidRPr="00494B56">
        <w:rPr>
          <w:rFonts w:ascii="Abadi" w:hAnsi="Abadi" w:cs="*Arial-Italic-9835-Identity-H"/>
          <w:i/>
          <w:iCs/>
          <w:color w:val="0C0C0F"/>
          <w:sz w:val="21"/>
          <w:szCs w:val="21"/>
        </w:rPr>
        <w:t>3. 1.3. Desarrollar entre los</w:t>
      </w:r>
      <w:r>
        <w:rPr>
          <w:rFonts w:ascii="Abadi" w:hAnsi="Abadi" w:cs="*Arial-9834-Identity-H"/>
          <w:color w:val="0C0C0F"/>
          <w:sz w:val="21"/>
          <w:szCs w:val="21"/>
        </w:rPr>
        <w:t xml:space="preserve"> </w:t>
      </w:r>
      <w:r w:rsidRPr="00494B56">
        <w:rPr>
          <w:rFonts w:ascii="Abadi" w:hAnsi="Abadi" w:cs="*Arial-Italic-9835-Identity-H"/>
          <w:i/>
          <w:iCs/>
          <w:color w:val="0C0C0F"/>
          <w:sz w:val="21"/>
          <w:szCs w:val="21"/>
        </w:rPr>
        <w:t>diferentes sectores de la sociedad las capacidades para la mitigación y adaptación</w:t>
      </w:r>
      <w:r w:rsidR="001413AF">
        <w:rPr>
          <w:rFonts w:ascii="Abadi" w:hAnsi="Abadi" w:cs="*Arial-Italic-9835-Identity-H"/>
          <w:i/>
          <w:iCs/>
          <w:color w:val="0C0C0F"/>
          <w:sz w:val="21"/>
          <w:szCs w:val="21"/>
        </w:rPr>
        <w:t xml:space="preserve"> </w:t>
      </w:r>
      <w:r w:rsidRPr="00494B56">
        <w:rPr>
          <w:rFonts w:ascii="Abadi" w:hAnsi="Abadi" w:cs="*Arial-Italic-9835-Identity-H"/>
          <w:i/>
          <w:iCs/>
          <w:color w:val="0C0C0F"/>
          <w:sz w:val="21"/>
          <w:szCs w:val="21"/>
        </w:rPr>
        <w:t xml:space="preserve">al cambio climático, </w:t>
      </w:r>
      <w:r w:rsidRPr="00494B56">
        <w:rPr>
          <w:rFonts w:ascii="Abadi" w:hAnsi="Abadi" w:cs="*Arial-9834-Identity-H"/>
          <w:color w:val="0C0C0F"/>
          <w:sz w:val="21"/>
          <w:szCs w:val="21"/>
        </w:rPr>
        <w:t xml:space="preserve">en la estrategia </w:t>
      </w:r>
      <w:r w:rsidRPr="00494B56">
        <w:rPr>
          <w:rFonts w:ascii="Abadi" w:hAnsi="Abadi" w:cs="*Arial-Italic-9835-Identity-H"/>
          <w:i/>
          <w:iCs/>
          <w:color w:val="0C0C0F"/>
          <w:sz w:val="21"/>
          <w:szCs w:val="21"/>
        </w:rPr>
        <w:t xml:space="preserve">3. 1.3.4. Promocionar </w:t>
      </w:r>
      <w:r w:rsidRPr="00494B56">
        <w:rPr>
          <w:rFonts w:ascii="Abadi" w:hAnsi="Abadi" w:cs="*Microsoft Sans Serif-Italic-98"/>
          <w:i/>
          <w:iCs/>
          <w:color w:val="0C0C0F"/>
          <w:sz w:val="21"/>
          <w:szCs w:val="21"/>
        </w:rPr>
        <w:t xml:space="preserve">y </w:t>
      </w:r>
      <w:r w:rsidRPr="00494B56">
        <w:rPr>
          <w:rFonts w:ascii="Abadi" w:hAnsi="Abadi" w:cs="*Arial-Italic-9835-Identity-H"/>
          <w:i/>
          <w:iCs/>
          <w:color w:val="0C0C0F"/>
          <w:sz w:val="21"/>
          <w:szCs w:val="21"/>
        </w:rPr>
        <w:t>desarrollar fuentes de</w:t>
      </w:r>
      <w:r>
        <w:rPr>
          <w:rFonts w:ascii="Abadi" w:hAnsi="Abadi" w:cs="*Arial-Italic-9835-Identity-H"/>
          <w:i/>
          <w:iCs/>
          <w:color w:val="0C0C0F"/>
          <w:sz w:val="21"/>
          <w:szCs w:val="21"/>
        </w:rPr>
        <w:t xml:space="preserve"> </w:t>
      </w:r>
      <w:r w:rsidRPr="00494B56">
        <w:rPr>
          <w:rFonts w:ascii="Abadi" w:hAnsi="Abadi" w:cs="*Arial-Italic-9835-Identity-H"/>
          <w:i/>
          <w:iCs/>
          <w:color w:val="0C0C0F"/>
          <w:sz w:val="21"/>
          <w:szCs w:val="21"/>
        </w:rPr>
        <w:t xml:space="preserve">energía renovables e incrementar la eficiencia energética, </w:t>
      </w:r>
      <w:r w:rsidRPr="00494B56">
        <w:rPr>
          <w:rFonts w:ascii="Abadi" w:hAnsi="Abadi" w:cs="*Arial-9834-Identity-H"/>
          <w:color w:val="0C0C0F"/>
          <w:sz w:val="21"/>
          <w:szCs w:val="21"/>
        </w:rPr>
        <w:t>considera los proyectos:</w:t>
      </w:r>
      <w:r>
        <w:rPr>
          <w:rFonts w:ascii="Abadi" w:hAnsi="Abadi" w:cs="*Arial-Italic-9835-Identity-H"/>
          <w:i/>
          <w:iCs/>
          <w:color w:val="0C0C0F"/>
          <w:sz w:val="21"/>
          <w:szCs w:val="21"/>
        </w:rPr>
        <w:t xml:space="preserve"> </w:t>
      </w:r>
      <w:r w:rsidRPr="00494B56">
        <w:rPr>
          <w:rFonts w:ascii="Abadi" w:hAnsi="Abadi" w:cs="*Arial-Italic-9835-Identity-H"/>
          <w:i/>
          <w:iCs/>
          <w:color w:val="0E0D10"/>
          <w:sz w:val="21"/>
          <w:szCs w:val="21"/>
        </w:rPr>
        <w:t>Fomentar uso de fuentes alternativas generadoras de energía</w:t>
      </w:r>
      <w:r w:rsidRPr="00494B56">
        <w:rPr>
          <w:rFonts w:ascii="Abadi" w:hAnsi="Abadi" w:cs="*Times New Roman-9832-Identity-"/>
          <w:color w:val="0E0D10"/>
          <w:sz w:val="21"/>
          <w:szCs w:val="21"/>
        </w:rPr>
        <w:t xml:space="preserve">; </w:t>
      </w:r>
      <w:r w:rsidRPr="00494B56">
        <w:rPr>
          <w:rFonts w:ascii="Abadi" w:hAnsi="Abadi" w:cs="*Arial-Italic-9835-Identity-H"/>
          <w:i/>
          <w:iCs/>
          <w:color w:val="0E0D10"/>
          <w:sz w:val="21"/>
          <w:szCs w:val="21"/>
        </w:rPr>
        <w:t>Generación de</w:t>
      </w:r>
      <w:r>
        <w:rPr>
          <w:rFonts w:ascii="Abadi" w:hAnsi="Abadi" w:cs="*Arial-Italic-9835-Identity-H"/>
          <w:i/>
          <w:iCs/>
          <w:color w:val="0C0C0F"/>
          <w:sz w:val="21"/>
          <w:szCs w:val="21"/>
        </w:rPr>
        <w:t xml:space="preserve"> </w:t>
      </w:r>
      <w:r w:rsidRPr="00494B56">
        <w:rPr>
          <w:rFonts w:ascii="Abadi" w:hAnsi="Abadi" w:cs="*Arial-Italic-9835-Identity-H"/>
          <w:i/>
          <w:iCs/>
          <w:color w:val="0E0D10"/>
          <w:sz w:val="21"/>
          <w:szCs w:val="21"/>
        </w:rPr>
        <w:t>infraestructura y equipamiento necesarios para crear comunidades humanas, y</w:t>
      </w:r>
      <w:r>
        <w:rPr>
          <w:rFonts w:ascii="Abadi" w:hAnsi="Abadi" w:cs="*Arial-Italic-9835-Identity-H"/>
          <w:i/>
          <w:iCs/>
          <w:color w:val="0C0C0F"/>
          <w:sz w:val="21"/>
          <w:szCs w:val="21"/>
        </w:rPr>
        <w:t xml:space="preserve"> </w:t>
      </w:r>
      <w:r w:rsidRPr="00494B56">
        <w:rPr>
          <w:rFonts w:ascii="Abadi" w:hAnsi="Abadi" w:cs="*Arial-Italic-9835-Identity-H"/>
          <w:i/>
          <w:iCs/>
          <w:color w:val="0E0D10"/>
          <w:sz w:val="21"/>
          <w:szCs w:val="21"/>
        </w:rPr>
        <w:t>Realizar proyectos «Localidad sustentable»</w:t>
      </w:r>
    </w:p>
    <w:p w14:paraId="564A3F21" w14:textId="77777777" w:rsidR="002F42D9" w:rsidRPr="00494B56" w:rsidRDefault="002F42D9" w:rsidP="002F42D9">
      <w:pPr>
        <w:autoSpaceDE w:val="0"/>
        <w:autoSpaceDN w:val="0"/>
        <w:adjustRightInd w:val="0"/>
        <w:jc w:val="both"/>
        <w:rPr>
          <w:rFonts w:ascii="Abadi" w:hAnsi="Abadi" w:cs="*Arial-Italic-9835-Identity-H"/>
          <w:i/>
          <w:iCs/>
          <w:color w:val="0E0D10"/>
          <w:sz w:val="21"/>
          <w:szCs w:val="21"/>
        </w:rPr>
      </w:pPr>
    </w:p>
    <w:p w14:paraId="29796B53" w14:textId="70F1C731" w:rsidR="002F42D9" w:rsidRPr="0015004B" w:rsidRDefault="002F42D9" w:rsidP="001413AF">
      <w:pPr>
        <w:autoSpaceDE w:val="0"/>
        <w:autoSpaceDN w:val="0"/>
        <w:adjustRightInd w:val="0"/>
        <w:ind w:firstLine="708"/>
        <w:jc w:val="both"/>
        <w:rPr>
          <w:rFonts w:ascii="Abadi" w:hAnsi="Abadi" w:cs="*Arial-Italic-9835-Identity-H"/>
          <w:i/>
          <w:iCs/>
          <w:color w:val="0C0C0E"/>
          <w:sz w:val="21"/>
          <w:szCs w:val="21"/>
        </w:rPr>
      </w:pPr>
      <w:r w:rsidRPr="00494B56">
        <w:rPr>
          <w:rFonts w:ascii="Abadi" w:hAnsi="Abadi" w:cs="*Arial-9834-Identity-H"/>
          <w:color w:val="0C0C0E"/>
          <w:sz w:val="21"/>
          <w:szCs w:val="21"/>
        </w:rPr>
        <w:t>De igual forma, en el Programa de Gobierno del Ayuntamiento 2018-2021</w:t>
      </w:r>
      <w:r>
        <w:rPr>
          <w:rFonts w:ascii="Abadi" w:hAnsi="Abadi" w:cs="*Arial-9834-Identity-H"/>
          <w:color w:val="0C0C0E"/>
          <w:sz w:val="21"/>
          <w:szCs w:val="21"/>
        </w:rPr>
        <w:t xml:space="preserve"> </w:t>
      </w:r>
      <w:r w:rsidRPr="00494B56">
        <w:rPr>
          <w:rFonts w:ascii="Abadi" w:hAnsi="Abadi" w:cs="*Arial-9834-Identity-H"/>
          <w:color w:val="0C0C0E"/>
          <w:sz w:val="21"/>
          <w:szCs w:val="21"/>
        </w:rPr>
        <w:t xml:space="preserve">de San Francisco del Rincón, </w:t>
      </w:r>
      <w:proofErr w:type="spellStart"/>
      <w:r w:rsidRPr="00494B56">
        <w:rPr>
          <w:rFonts w:ascii="Abadi" w:hAnsi="Abadi" w:cs="*Arial-9834-Identity-H"/>
          <w:color w:val="0C0C0E"/>
          <w:sz w:val="21"/>
          <w:szCs w:val="21"/>
        </w:rPr>
        <w:t>Gto</w:t>
      </w:r>
      <w:proofErr w:type="spellEnd"/>
      <w:r w:rsidRPr="00494B56">
        <w:rPr>
          <w:rFonts w:ascii="Abadi" w:hAnsi="Abadi" w:cs="*Arial-9834-Identity-H"/>
          <w:color w:val="0C0C0E"/>
          <w:sz w:val="21"/>
          <w:szCs w:val="21"/>
        </w:rPr>
        <w:t xml:space="preserve">., se estableció el </w:t>
      </w:r>
      <w:r w:rsidRPr="00494B56">
        <w:rPr>
          <w:rFonts w:ascii="Abadi" w:hAnsi="Abadi" w:cs="*Arial-Italic-9835-Identity-H"/>
          <w:i/>
          <w:iCs/>
          <w:color w:val="0C0C0E"/>
          <w:sz w:val="21"/>
          <w:szCs w:val="21"/>
        </w:rPr>
        <w:t>Núcleo 1. Un San Francisco</w:t>
      </w:r>
      <w:r>
        <w:rPr>
          <w:rFonts w:ascii="Abadi" w:hAnsi="Abadi" w:cs="*Arial-9834-Identity-H"/>
          <w:color w:val="0C0C0E"/>
          <w:sz w:val="21"/>
          <w:szCs w:val="21"/>
        </w:rPr>
        <w:t xml:space="preserve"> </w:t>
      </w:r>
      <w:r w:rsidRPr="00494B56">
        <w:rPr>
          <w:rFonts w:ascii="Abadi" w:hAnsi="Abadi" w:cs="*Arial-Italic-9835-Identity-H"/>
          <w:i/>
          <w:iCs/>
          <w:color w:val="0C0C0E"/>
          <w:sz w:val="21"/>
          <w:szCs w:val="21"/>
        </w:rPr>
        <w:t xml:space="preserve">del Rincón Seguro y en Paz, </w:t>
      </w:r>
      <w:r w:rsidRPr="00494B56">
        <w:rPr>
          <w:rFonts w:ascii="Abadi" w:hAnsi="Abadi" w:cs="*Arial-9834-Identity-H"/>
          <w:color w:val="0C0C0E"/>
          <w:sz w:val="21"/>
          <w:szCs w:val="21"/>
        </w:rPr>
        <w:t xml:space="preserve">con el </w:t>
      </w:r>
      <w:r w:rsidRPr="00494B56">
        <w:rPr>
          <w:rFonts w:ascii="Abadi" w:hAnsi="Abadi" w:cs="*Arial-Italic-9835-Identity-H"/>
          <w:i/>
          <w:iCs/>
          <w:color w:val="0C0C0E"/>
          <w:sz w:val="21"/>
          <w:szCs w:val="21"/>
        </w:rPr>
        <w:t>Objetivo 1. Lograr que los ciudadanos tengan</w:t>
      </w:r>
      <w:r>
        <w:rPr>
          <w:rFonts w:ascii="Abadi" w:hAnsi="Abadi" w:cs="*Arial-9834-Identity-H"/>
          <w:color w:val="0C0C0E"/>
          <w:sz w:val="21"/>
          <w:szCs w:val="21"/>
        </w:rPr>
        <w:t xml:space="preserve"> </w:t>
      </w:r>
      <w:r w:rsidRPr="00494B56">
        <w:rPr>
          <w:rFonts w:ascii="Abadi" w:hAnsi="Abadi" w:cs="*Arial-Italic-9835-Identity-H"/>
          <w:i/>
          <w:iCs/>
          <w:color w:val="0C0C0E"/>
          <w:sz w:val="21"/>
          <w:szCs w:val="21"/>
        </w:rPr>
        <w:t xml:space="preserve">tranquilidad en sus hogares </w:t>
      </w:r>
      <w:r w:rsidRPr="00494B56">
        <w:rPr>
          <w:rFonts w:ascii="Abadi" w:hAnsi="Abadi" w:cs="*Microsoft Sans Serif-Italic-98"/>
          <w:i/>
          <w:iCs/>
          <w:color w:val="0C0C0E"/>
          <w:sz w:val="21"/>
          <w:szCs w:val="21"/>
        </w:rPr>
        <w:t xml:space="preserve">y </w:t>
      </w:r>
      <w:r w:rsidRPr="00494B56">
        <w:rPr>
          <w:rFonts w:ascii="Abadi" w:hAnsi="Abadi" w:cs="*Arial-Italic-9835-Identity-H"/>
          <w:i/>
          <w:iCs/>
          <w:color w:val="0C0C0E"/>
          <w:sz w:val="21"/>
          <w:szCs w:val="21"/>
        </w:rPr>
        <w:t>que los espacios públicos sean seguros para el libre</w:t>
      </w:r>
      <w:r>
        <w:rPr>
          <w:rFonts w:ascii="Abadi" w:hAnsi="Abadi" w:cs="*Arial-9834-Identity-H"/>
          <w:color w:val="0C0C0E"/>
          <w:sz w:val="21"/>
          <w:szCs w:val="21"/>
        </w:rPr>
        <w:t xml:space="preserve"> </w:t>
      </w:r>
      <w:r w:rsidRPr="00494B56">
        <w:rPr>
          <w:rFonts w:ascii="Abadi" w:hAnsi="Abadi" w:cs="*Arial-Italic-9835-Identity-H"/>
          <w:i/>
          <w:iCs/>
          <w:color w:val="0C0C0E"/>
          <w:sz w:val="21"/>
          <w:szCs w:val="21"/>
        </w:rPr>
        <w:t xml:space="preserve">tránsito de las personas, </w:t>
      </w:r>
      <w:r w:rsidRPr="00494B56">
        <w:rPr>
          <w:rFonts w:ascii="Abadi" w:hAnsi="Abadi" w:cs="*Arial-9834-Identity-H"/>
          <w:color w:val="0C0C0E"/>
          <w:sz w:val="21"/>
          <w:szCs w:val="21"/>
        </w:rPr>
        <w:t>y su línea</w:t>
      </w:r>
      <w:r>
        <w:rPr>
          <w:rFonts w:ascii="Abadi" w:hAnsi="Abadi" w:cs="*Arial-9834-Identity-H"/>
          <w:color w:val="0C0C0E"/>
          <w:sz w:val="21"/>
          <w:szCs w:val="21"/>
        </w:rPr>
        <w:t xml:space="preserve"> </w:t>
      </w:r>
      <w:r w:rsidRPr="00494B56">
        <w:rPr>
          <w:rFonts w:ascii="Abadi" w:hAnsi="Abadi" w:cs="*Arial-9834-Identity-H"/>
          <w:color w:val="0C0C0E"/>
          <w:sz w:val="21"/>
          <w:szCs w:val="21"/>
        </w:rPr>
        <w:t xml:space="preserve">estratégica </w:t>
      </w:r>
      <w:r w:rsidRPr="00494B56">
        <w:rPr>
          <w:rFonts w:ascii="Abadi" w:hAnsi="Abadi" w:cs="*Arial-Italic-9835-Identity-H"/>
          <w:i/>
          <w:iCs/>
          <w:color w:val="0C0C0E"/>
          <w:sz w:val="21"/>
          <w:szCs w:val="21"/>
        </w:rPr>
        <w:t xml:space="preserve">1.4. Vialidades seguras, </w:t>
      </w:r>
      <w:r w:rsidRPr="00494B56">
        <w:rPr>
          <w:rFonts w:ascii="Abadi" w:hAnsi="Abadi" w:cs="*Arial-9834-Identity-H"/>
          <w:color w:val="0C0C0E"/>
          <w:sz w:val="21"/>
          <w:szCs w:val="21"/>
        </w:rPr>
        <w:t>cuyo</w:t>
      </w:r>
      <w:r>
        <w:rPr>
          <w:rFonts w:ascii="Abadi" w:hAnsi="Abadi" w:cs="*Arial-9834-Identity-H"/>
          <w:color w:val="0C0C0E"/>
          <w:sz w:val="21"/>
          <w:szCs w:val="21"/>
        </w:rPr>
        <w:t xml:space="preserve"> </w:t>
      </w:r>
      <w:r w:rsidRPr="00494B56">
        <w:rPr>
          <w:rFonts w:ascii="Abadi" w:hAnsi="Abadi" w:cs="*Arial-9834-Identity-H"/>
          <w:color w:val="0C0C0E"/>
          <w:sz w:val="21"/>
          <w:szCs w:val="21"/>
        </w:rPr>
        <w:t xml:space="preserve">objetivo particular </w:t>
      </w:r>
      <w:r w:rsidRPr="00494B56">
        <w:rPr>
          <w:rFonts w:ascii="Abadi" w:hAnsi="Abadi" w:cs="*Arial-Italic-9835-Identity-H"/>
          <w:i/>
          <w:iCs/>
          <w:color w:val="0C0C0E"/>
          <w:sz w:val="21"/>
          <w:szCs w:val="21"/>
        </w:rPr>
        <w:t>1.4.1. Permitir a la población en general transitar por las calles y</w:t>
      </w:r>
      <w:r w:rsidR="001413AF">
        <w:rPr>
          <w:rFonts w:ascii="Abadi" w:hAnsi="Abadi" w:cs="*Arial-Italic-9835-Identity-H"/>
          <w:i/>
          <w:iCs/>
          <w:color w:val="0C0C0E"/>
          <w:sz w:val="21"/>
          <w:szCs w:val="21"/>
        </w:rPr>
        <w:t xml:space="preserve"> </w:t>
      </w:r>
      <w:r w:rsidRPr="00494B56">
        <w:rPr>
          <w:rFonts w:ascii="Abadi" w:hAnsi="Abadi" w:cs="*Arial-Italic-9835-Identity-H"/>
          <w:i/>
          <w:iCs/>
          <w:color w:val="0C0C0E"/>
          <w:sz w:val="21"/>
          <w:szCs w:val="21"/>
        </w:rPr>
        <w:t xml:space="preserve">espacios públicos del Municipio de manera segura, </w:t>
      </w:r>
      <w:r w:rsidRPr="00494B56">
        <w:rPr>
          <w:rFonts w:ascii="Abadi" w:hAnsi="Abadi" w:cs="*Arial-9834-Identity-H"/>
          <w:color w:val="0C0C0E"/>
          <w:sz w:val="21"/>
          <w:szCs w:val="21"/>
        </w:rPr>
        <w:t xml:space="preserve">en la estrategia </w:t>
      </w:r>
      <w:r w:rsidRPr="00494B56">
        <w:rPr>
          <w:rFonts w:ascii="Abadi" w:hAnsi="Abadi" w:cs="*Arial-Italic-9835-Identity-H"/>
          <w:i/>
          <w:iCs/>
          <w:color w:val="0C0C0E"/>
          <w:sz w:val="21"/>
          <w:szCs w:val="21"/>
        </w:rPr>
        <w:t>1.4.1.2.</w:t>
      </w:r>
      <w:r>
        <w:rPr>
          <w:rFonts w:ascii="Abadi" w:hAnsi="Abadi" w:cs="*Arial-Italic-9835-Identity-H"/>
          <w:i/>
          <w:iCs/>
          <w:color w:val="0C0C0E"/>
          <w:sz w:val="21"/>
          <w:szCs w:val="21"/>
        </w:rPr>
        <w:t xml:space="preserve"> </w:t>
      </w:r>
      <w:r w:rsidRPr="00494B56">
        <w:rPr>
          <w:rFonts w:ascii="Abadi" w:hAnsi="Abadi" w:cs="*Arial-Italic-9835-Identity-H"/>
          <w:i/>
          <w:iCs/>
          <w:color w:val="0C0C0E"/>
          <w:sz w:val="21"/>
          <w:szCs w:val="21"/>
        </w:rPr>
        <w:t>Mejorando niveles de</w:t>
      </w:r>
      <w:r w:rsidRPr="00494B56">
        <w:rPr>
          <w:rFonts w:ascii="Abadi" w:hAnsi="Abadi" w:cs="*Arial-Italic-9835-Identity-H"/>
          <w:i/>
          <w:iCs/>
          <w:color w:val="8D8D8D"/>
          <w:sz w:val="21"/>
          <w:szCs w:val="21"/>
        </w:rPr>
        <w:t xml:space="preserve">' </w:t>
      </w:r>
      <w:r w:rsidRPr="00494B56">
        <w:rPr>
          <w:rFonts w:ascii="Abadi" w:hAnsi="Abadi" w:cs="*Arial-Italic-9835-Identity-H"/>
          <w:i/>
          <w:iCs/>
          <w:color w:val="0C0C0E"/>
          <w:sz w:val="21"/>
          <w:szCs w:val="21"/>
        </w:rPr>
        <w:t>iluminación de las calles, plaza y caminos del Municipio,</w:t>
      </w:r>
      <w:r>
        <w:rPr>
          <w:rFonts w:ascii="Abadi" w:hAnsi="Abadi" w:cs="*Arial-Italic-9835-Identity-H"/>
          <w:i/>
          <w:iCs/>
          <w:color w:val="0C0C0E"/>
          <w:sz w:val="21"/>
          <w:szCs w:val="21"/>
        </w:rPr>
        <w:t xml:space="preserve"> </w:t>
      </w:r>
      <w:r w:rsidRPr="00494B56">
        <w:rPr>
          <w:rFonts w:ascii="Abadi" w:hAnsi="Abadi" w:cs="*Arial-9834-Identity-H"/>
          <w:color w:val="0C0C0E"/>
          <w:sz w:val="21"/>
          <w:szCs w:val="21"/>
        </w:rPr>
        <w:t>cuyas acciones son suministrar y colocar 3,600 luminarios (lámparas) tipo led en</w:t>
      </w:r>
      <w:r>
        <w:rPr>
          <w:rFonts w:ascii="Abadi" w:hAnsi="Abadi" w:cs="*Arial-Italic-9835-Identity-H"/>
          <w:i/>
          <w:iCs/>
          <w:color w:val="0C0C0E"/>
          <w:sz w:val="21"/>
          <w:szCs w:val="21"/>
        </w:rPr>
        <w:t xml:space="preserve"> </w:t>
      </w:r>
      <w:r w:rsidRPr="00494B56">
        <w:rPr>
          <w:rFonts w:ascii="Abadi" w:hAnsi="Abadi" w:cs="*Arial-9834-Identity-H"/>
          <w:color w:val="0C0C0E"/>
          <w:sz w:val="21"/>
          <w:szCs w:val="21"/>
        </w:rPr>
        <w:t>las vialidades faltantes y ampliar su cobertura a plazas y caminos principales y</w:t>
      </w:r>
      <w:r>
        <w:rPr>
          <w:rFonts w:ascii="Abadi" w:hAnsi="Abadi" w:cs="*Arial-Italic-9835-Identity-H"/>
          <w:i/>
          <w:iCs/>
          <w:color w:val="0C0C0E"/>
          <w:sz w:val="21"/>
          <w:szCs w:val="21"/>
        </w:rPr>
        <w:t xml:space="preserve"> </w:t>
      </w:r>
      <w:r w:rsidRPr="00494B56">
        <w:rPr>
          <w:rFonts w:ascii="Abadi" w:hAnsi="Abadi" w:cs="*Arial-9834-Identity-H"/>
          <w:color w:val="0C0C0E"/>
          <w:sz w:val="21"/>
          <w:szCs w:val="21"/>
        </w:rPr>
        <w:t>sustitución de 3,600 (pieza) postes y brazos de alumbrado público. Derivado de lo</w:t>
      </w:r>
      <w:r>
        <w:rPr>
          <w:rFonts w:ascii="Abadi" w:hAnsi="Abadi" w:cs="*Arial-Italic-9835-Identity-H"/>
          <w:i/>
          <w:iCs/>
          <w:color w:val="0C0C0E"/>
          <w:sz w:val="21"/>
          <w:szCs w:val="21"/>
        </w:rPr>
        <w:t xml:space="preserve"> </w:t>
      </w:r>
      <w:r w:rsidRPr="00494B56">
        <w:rPr>
          <w:rFonts w:ascii="Abadi" w:hAnsi="Abadi" w:cs="*Arial-9834-Identity-H"/>
          <w:color w:val="0C0C0E"/>
          <w:sz w:val="21"/>
          <w:szCs w:val="21"/>
        </w:rPr>
        <w:t>anterior queda evidencia de que para el sujeto fiscalizado el servicio de alumbrado</w:t>
      </w:r>
      <w:r>
        <w:rPr>
          <w:rFonts w:ascii="Abadi" w:hAnsi="Abadi" w:cs="*Arial-Italic-9835-Identity-H"/>
          <w:i/>
          <w:iCs/>
          <w:color w:val="0C0C0E"/>
          <w:sz w:val="21"/>
          <w:szCs w:val="21"/>
        </w:rPr>
        <w:t xml:space="preserve"> </w:t>
      </w:r>
      <w:r w:rsidRPr="00494B56">
        <w:rPr>
          <w:rFonts w:ascii="Abadi" w:hAnsi="Abadi" w:cs="*Arial-9834-Identity-H"/>
          <w:color w:val="0C0C0E"/>
          <w:sz w:val="21"/>
          <w:szCs w:val="21"/>
        </w:rPr>
        <w:t>público fue un tema prioritario.</w:t>
      </w:r>
    </w:p>
    <w:p w14:paraId="32170D1F" w14:textId="77777777" w:rsidR="002F42D9" w:rsidRPr="00494B56" w:rsidRDefault="002F42D9" w:rsidP="002F42D9">
      <w:pPr>
        <w:autoSpaceDE w:val="0"/>
        <w:autoSpaceDN w:val="0"/>
        <w:adjustRightInd w:val="0"/>
        <w:jc w:val="both"/>
        <w:rPr>
          <w:rFonts w:ascii="Abadi" w:hAnsi="Abadi" w:cs="*Arial-9834-Identity-H"/>
          <w:color w:val="0C0C0E"/>
          <w:sz w:val="21"/>
          <w:szCs w:val="21"/>
        </w:rPr>
      </w:pPr>
    </w:p>
    <w:p w14:paraId="395F1A0E" w14:textId="77777777" w:rsidR="002F42D9" w:rsidRPr="00803BCF" w:rsidRDefault="002F42D9" w:rsidP="002F42D9">
      <w:pPr>
        <w:autoSpaceDE w:val="0"/>
        <w:autoSpaceDN w:val="0"/>
        <w:adjustRightInd w:val="0"/>
        <w:ind w:firstLine="708"/>
        <w:jc w:val="both"/>
        <w:rPr>
          <w:rFonts w:ascii="Abadi" w:hAnsi="Abadi" w:cs="*Arial-9834-Identity-H"/>
          <w:color w:val="0C0C0E"/>
          <w:sz w:val="21"/>
          <w:szCs w:val="21"/>
        </w:rPr>
      </w:pPr>
      <w:r w:rsidRPr="00494B56">
        <w:rPr>
          <w:rFonts w:ascii="Abadi" w:hAnsi="Abadi" w:cs="*Arial-9834-Identity-H"/>
          <w:color w:val="0C0C0E"/>
          <w:sz w:val="21"/>
          <w:szCs w:val="21"/>
        </w:rPr>
        <w:t>Es así, que el sujeto fiscalizado para contribuir a las metas y objetivos del</w:t>
      </w:r>
      <w:r>
        <w:rPr>
          <w:rFonts w:ascii="Abadi" w:hAnsi="Abadi" w:cs="*Arial-9834-Identity-H"/>
          <w:color w:val="0C0C0E"/>
          <w:sz w:val="21"/>
          <w:szCs w:val="21"/>
        </w:rPr>
        <w:t xml:space="preserve"> </w:t>
      </w:r>
      <w:r w:rsidRPr="00494B56">
        <w:rPr>
          <w:rFonts w:ascii="Abadi" w:hAnsi="Abadi" w:cs="*Arial-9834-Identity-H"/>
          <w:color w:val="0C0C0E"/>
          <w:sz w:val="21"/>
          <w:szCs w:val="21"/>
        </w:rPr>
        <w:t>Programa de Gobierno Municipal incluyó, para el ejercicio 2020, el programa</w:t>
      </w:r>
      <w:r>
        <w:rPr>
          <w:rFonts w:ascii="Abadi" w:hAnsi="Abadi" w:cs="*Arial-9834-Identity-H"/>
          <w:color w:val="0C0C0E"/>
          <w:sz w:val="21"/>
          <w:szCs w:val="21"/>
        </w:rPr>
        <w:t xml:space="preserve"> </w:t>
      </w:r>
      <w:r w:rsidRPr="00494B56">
        <w:rPr>
          <w:rFonts w:ascii="Abadi" w:hAnsi="Abadi" w:cs="*Arial-9834-Identity-H"/>
          <w:color w:val="0C0C0E"/>
          <w:sz w:val="21"/>
          <w:szCs w:val="21"/>
        </w:rPr>
        <w:t xml:space="preserve">presupuestario </w:t>
      </w:r>
      <w:r w:rsidRPr="00494B56">
        <w:rPr>
          <w:rFonts w:ascii="Abadi" w:hAnsi="Abadi" w:cs="*Arial-Italic-9835-Identity-H"/>
          <w:i/>
          <w:iCs/>
          <w:color w:val="0C0C0E"/>
          <w:sz w:val="21"/>
          <w:szCs w:val="21"/>
        </w:rPr>
        <w:t xml:space="preserve">E0037 Alumbrado Público, </w:t>
      </w:r>
      <w:r w:rsidRPr="00494B56">
        <w:rPr>
          <w:rFonts w:ascii="Abadi" w:hAnsi="Abadi" w:cs="*Arial-9834-Identity-H"/>
          <w:color w:val="0C0C0E"/>
          <w:sz w:val="21"/>
          <w:szCs w:val="21"/>
        </w:rPr>
        <w:t>mismo que se identificó en la cuenta</w:t>
      </w:r>
      <w:r>
        <w:rPr>
          <w:rFonts w:ascii="Abadi" w:hAnsi="Abadi" w:cs="*Arial-9834-Identity-H"/>
          <w:color w:val="0C0C0E"/>
          <w:sz w:val="21"/>
          <w:szCs w:val="21"/>
        </w:rPr>
        <w:t xml:space="preserve"> </w:t>
      </w:r>
      <w:r w:rsidRPr="00494B56">
        <w:rPr>
          <w:rFonts w:ascii="Abadi" w:hAnsi="Abadi" w:cs="*Arial-9834-Identity-H"/>
          <w:color w:val="0C0C0E"/>
          <w:sz w:val="21"/>
          <w:szCs w:val="21"/>
        </w:rPr>
        <w:t xml:space="preserve">pública del ejercicio 2020, y el cual establece como Fin </w:t>
      </w:r>
      <w:r w:rsidRPr="00494B56">
        <w:rPr>
          <w:rFonts w:ascii="Abadi" w:hAnsi="Abadi" w:cs="*Arial-Italic-9835-Identity-H"/>
          <w:i/>
          <w:iCs/>
          <w:color w:val="0C0C0E"/>
          <w:sz w:val="21"/>
          <w:szCs w:val="21"/>
        </w:rPr>
        <w:t xml:space="preserve">Contribuir </w:t>
      </w:r>
      <w:r w:rsidRPr="00494B56">
        <w:rPr>
          <w:rFonts w:ascii="Abadi" w:hAnsi="Abadi" w:cs="*Arial-9834-Identity-H"/>
          <w:color w:val="0C0C0E"/>
          <w:sz w:val="21"/>
          <w:szCs w:val="21"/>
        </w:rPr>
        <w:t xml:space="preserve">a </w:t>
      </w:r>
      <w:r w:rsidRPr="00494B56">
        <w:rPr>
          <w:rFonts w:ascii="Abadi" w:hAnsi="Abadi" w:cs="*Arial-Italic-9835-Identity-H"/>
          <w:i/>
          <w:iCs/>
          <w:color w:val="0C0C0E"/>
          <w:sz w:val="21"/>
          <w:szCs w:val="21"/>
        </w:rPr>
        <w:t>un San</w:t>
      </w:r>
      <w:r>
        <w:rPr>
          <w:rFonts w:ascii="Abadi" w:hAnsi="Abadi" w:cs="*Arial-9834-Identity-H"/>
          <w:color w:val="0C0C0E"/>
          <w:sz w:val="21"/>
          <w:szCs w:val="21"/>
        </w:rPr>
        <w:t xml:space="preserve"> </w:t>
      </w:r>
      <w:r w:rsidRPr="00494B56">
        <w:rPr>
          <w:rFonts w:ascii="Abadi" w:hAnsi="Abadi" w:cs="*Arial-Italic-9835-Identity-H"/>
          <w:i/>
          <w:iCs/>
          <w:color w:val="0C0C0E"/>
          <w:sz w:val="21"/>
          <w:szCs w:val="21"/>
        </w:rPr>
        <w:t>Francisco del Rincón seguro y en paz mediante la disminución de la insatisfacción</w:t>
      </w:r>
      <w:r>
        <w:rPr>
          <w:rFonts w:ascii="Abadi" w:hAnsi="Abadi" w:cs="*Arial-9834-Identity-H"/>
          <w:color w:val="0C0C0E"/>
          <w:sz w:val="21"/>
          <w:szCs w:val="21"/>
        </w:rPr>
        <w:t xml:space="preserve"> </w:t>
      </w:r>
      <w:r w:rsidRPr="00494B56">
        <w:rPr>
          <w:rFonts w:ascii="Abadi" w:hAnsi="Abadi" w:cs="*Arial-Italic-9835-Identity-H"/>
          <w:i/>
          <w:iCs/>
          <w:color w:val="0C0C0E"/>
          <w:sz w:val="21"/>
          <w:szCs w:val="21"/>
        </w:rPr>
        <w:t>de los habitantes de las comunidades por el servicio ineficientes de alumbrado</w:t>
      </w:r>
      <w:r>
        <w:rPr>
          <w:rFonts w:ascii="Abadi" w:hAnsi="Abadi" w:cs="*Arial-9834-Identity-H"/>
          <w:color w:val="0C0C0E"/>
          <w:sz w:val="21"/>
          <w:szCs w:val="21"/>
        </w:rPr>
        <w:t xml:space="preserve"> </w:t>
      </w:r>
      <w:r w:rsidRPr="00494B56">
        <w:rPr>
          <w:rFonts w:ascii="Abadi" w:hAnsi="Abadi" w:cs="*Arial-Italic-9835-Identity-H"/>
          <w:i/>
          <w:iCs/>
          <w:color w:val="0C0C0E"/>
          <w:sz w:val="21"/>
          <w:szCs w:val="21"/>
        </w:rPr>
        <w:t xml:space="preserve">público </w:t>
      </w:r>
      <w:r w:rsidRPr="00494B56">
        <w:rPr>
          <w:rFonts w:ascii="Abadi" w:hAnsi="Abadi" w:cs="*Arial-9834-Identity-H"/>
          <w:color w:val="0C0C0E"/>
          <w:sz w:val="21"/>
          <w:szCs w:val="21"/>
        </w:rPr>
        <w:t xml:space="preserve">y como Propósito </w:t>
      </w:r>
      <w:r w:rsidRPr="00494B56">
        <w:rPr>
          <w:rFonts w:ascii="Abadi" w:hAnsi="Abadi" w:cs="*Arial-Italic-9835-Identity-H"/>
          <w:i/>
          <w:iCs/>
          <w:color w:val="0C0C0E"/>
          <w:sz w:val="21"/>
          <w:szCs w:val="21"/>
        </w:rPr>
        <w:t>Comunidades con un servicio de alumbrado público</w:t>
      </w:r>
      <w:r>
        <w:rPr>
          <w:rFonts w:ascii="Abadi" w:hAnsi="Abadi" w:cs="*Arial-9834-Identity-H"/>
          <w:color w:val="0C0C0E"/>
          <w:sz w:val="21"/>
          <w:szCs w:val="21"/>
        </w:rPr>
        <w:t xml:space="preserve"> </w:t>
      </w:r>
      <w:r w:rsidRPr="00494B56">
        <w:rPr>
          <w:rFonts w:ascii="Abadi" w:hAnsi="Abadi" w:cs="*Arial-Italic-9835-Identity-H"/>
          <w:i/>
          <w:iCs/>
          <w:color w:val="0C0C0E"/>
          <w:sz w:val="21"/>
          <w:szCs w:val="21"/>
        </w:rPr>
        <w:t>ineficiente y poco mantenimiento reciben mejora en el servicio.</w:t>
      </w:r>
    </w:p>
    <w:p w14:paraId="107762FB" w14:textId="77777777" w:rsidR="002F42D9" w:rsidRPr="00494B56" w:rsidRDefault="002F42D9" w:rsidP="002F42D9">
      <w:pPr>
        <w:autoSpaceDE w:val="0"/>
        <w:autoSpaceDN w:val="0"/>
        <w:adjustRightInd w:val="0"/>
        <w:jc w:val="both"/>
        <w:rPr>
          <w:rFonts w:ascii="Abadi" w:hAnsi="Abadi" w:cs="*Arial-Italic-9835-Identity-H"/>
          <w:i/>
          <w:iCs/>
          <w:color w:val="0C0C0E"/>
          <w:sz w:val="21"/>
          <w:szCs w:val="21"/>
        </w:rPr>
      </w:pPr>
    </w:p>
    <w:p w14:paraId="4F1CED22" w14:textId="77777777" w:rsidR="002F42D9" w:rsidRPr="00494B56" w:rsidRDefault="002F42D9" w:rsidP="002F42D9">
      <w:pPr>
        <w:autoSpaceDE w:val="0"/>
        <w:autoSpaceDN w:val="0"/>
        <w:adjustRightInd w:val="0"/>
        <w:ind w:firstLine="708"/>
        <w:jc w:val="both"/>
        <w:rPr>
          <w:rFonts w:ascii="Abadi" w:hAnsi="Abadi" w:cs="*Arial-9834-Identity-H"/>
          <w:color w:val="0C0C0E"/>
          <w:sz w:val="21"/>
          <w:szCs w:val="21"/>
        </w:rPr>
      </w:pPr>
      <w:r w:rsidRPr="00494B56">
        <w:rPr>
          <w:rFonts w:ascii="Abadi" w:hAnsi="Abadi" w:cs="*Arial-9834-Identity-H"/>
          <w:color w:val="0C0C0E"/>
          <w:sz w:val="21"/>
          <w:szCs w:val="21"/>
        </w:rPr>
        <w:t>En razón de lo anterior, se planteó como objetivo general de la auditoría</w:t>
      </w:r>
      <w:r>
        <w:rPr>
          <w:rFonts w:ascii="Abadi" w:hAnsi="Abadi" w:cs="*Arial-9834-Identity-H"/>
          <w:color w:val="0C0C0E"/>
          <w:sz w:val="21"/>
          <w:szCs w:val="21"/>
        </w:rPr>
        <w:t xml:space="preserve"> </w:t>
      </w:r>
      <w:r w:rsidRPr="00494B56">
        <w:rPr>
          <w:rFonts w:ascii="Abadi" w:hAnsi="Abadi" w:cs="*Arial-9834-Identity-H"/>
          <w:color w:val="0C0C0E"/>
          <w:sz w:val="21"/>
          <w:szCs w:val="21"/>
        </w:rPr>
        <w:t>verificar la capacidad del Municipio para la prestación eficaz del servicio de</w:t>
      </w:r>
      <w:r>
        <w:rPr>
          <w:rFonts w:ascii="Abadi" w:hAnsi="Abadi" w:cs="*Arial-9834-Identity-H"/>
          <w:color w:val="0C0C0E"/>
          <w:sz w:val="21"/>
          <w:szCs w:val="21"/>
        </w:rPr>
        <w:t xml:space="preserve"> </w:t>
      </w:r>
      <w:r w:rsidRPr="00494B56">
        <w:rPr>
          <w:rFonts w:ascii="Abadi" w:hAnsi="Abadi" w:cs="*Arial-9834-Identity-H"/>
          <w:color w:val="0C0C0E"/>
          <w:sz w:val="21"/>
          <w:szCs w:val="21"/>
        </w:rPr>
        <w:t>alumbrado público y la eficiencia en sus funciones de planificación, operación y</w:t>
      </w:r>
      <w:r>
        <w:rPr>
          <w:rFonts w:ascii="Abadi" w:hAnsi="Abadi" w:cs="*Arial-9834-Identity-H"/>
          <w:color w:val="0C0C0E"/>
          <w:sz w:val="21"/>
          <w:szCs w:val="21"/>
        </w:rPr>
        <w:t xml:space="preserve"> </w:t>
      </w:r>
      <w:r w:rsidRPr="00494B56">
        <w:rPr>
          <w:rFonts w:ascii="Abadi" w:hAnsi="Abadi" w:cs="*Arial-9834-Identity-H"/>
          <w:color w:val="0C0C0E"/>
          <w:sz w:val="21"/>
          <w:szCs w:val="21"/>
        </w:rPr>
        <w:t>seguimiento, en el ejercicio 2020.</w:t>
      </w:r>
    </w:p>
    <w:p w14:paraId="23C202CD" w14:textId="77777777" w:rsidR="002F42D9" w:rsidRPr="00494B56" w:rsidRDefault="002F42D9" w:rsidP="002F42D9">
      <w:pPr>
        <w:autoSpaceDE w:val="0"/>
        <w:autoSpaceDN w:val="0"/>
        <w:adjustRightInd w:val="0"/>
        <w:jc w:val="both"/>
        <w:rPr>
          <w:rFonts w:ascii="Abadi" w:hAnsi="Abadi" w:cs="*Arial-5926-Identity-H"/>
          <w:color w:val="0C0B0E"/>
          <w:sz w:val="21"/>
          <w:szCs w:val="21"/>
        </w:rPr>
      </w:pPr>
    </w:p>
    <w:p w14:paraId="64F236F5" w14:textId="77777777" w:rsidR="002F42D9" w:rsidRPr="00494B56" w:rsidRDefault="002F42D9" w:rsidP="002F42D9">
      <w:pPr>
        <w:autoSpaceDE w:val="0"/>
        <w:autoSpaceDN w:val="0"/>
        <w:adjustRightInd w:val="0"/>
        <w:ind w:firstLine="708"/>
        <w:jc w:val="both"/>
        <w:rPr>
          <w:rFonts w:ascii="Abadi" w:hAnsi="Abadi" w:cs="*Arial-5926-Identity-H"/>
          <w:color w:val="0C0B0E"/>
          <w:sz w:val="21"/>
          <w:szCs w:val="21"/>
        </w:rPr>
      </w:pPr>
      <w:r w:rsidRPr="00494B56">
        <w:rPr>
          <w:rFonts w:ascii="Abadi" w:hAnsi="Abadi" w:cs="*Arial-5926-Identity-H"/>
          <w:color w:val="0C0B0E"/>
          <w:sz w:val="21"/>
          <w:szCs w:val="21"/>
        </w:rPr>
        <w:t>En el apartado correspondiente a la unidad responsable de la materia por</w:t>
      </w:r>
      <w:r>
        <w:rPr>
          <w:rFonts w:ascii="Abadi" w:hAnsi="Abadi" w:cs="*Arial-5926-Identity-H"/>
          <w:color w:val="0C0B0E"/>
          <w:sz w:val="21"/>
          <w:szCs w:val="21"/>
        </w:rPr>
        <w:t xml:space="preserve"> </w:t>
      </w:r>
      <w:r w:rsidRPr="00494B56">
        <w:rPr>
          <w:rFonts w:ascii="Abadi" w:hAnsi="Abadi" w:cs="*Arial-5926-Identity-H"/>
          <w:color w:val="0C0B0E"/>
          <w:sz w:val="21"/>
          <w:szCs w:val="21"/>
        </w:rPr>
        <w:t>auditar se refiere que el artículo 124 de la Ley Orgánica Municipal para el Estado</w:t>
      </w:r>
      <w:r>
        <w:rPr>
          <w:rFonts w:ascii="Abadi" w:hAnsi="Abadi" w:cs="*Arial-5926-Identity-H"/>
          <w:color w:val="0C0B0E"/>
          <w:sz w:val="21"/>
          <w:szCs w:val="21"/>
        </w:rPr>
        <w:t xml:space="preserve"> </w:t>
      </w:r>
      <w:r w:rsidRPr="00494B56">
        <w:rPr>
          <w:rFonts w:ascii="Abadi" w:hAnsi="Abadi" w:cs="*Arial-5926-Identity-H"/>
          <w:color w:val="0C0B0E"/>
          <w:sz w:val="21"/>
          <w:szCs w:val="21"/>
        </w:rPr>
        <w:t>de Guanajuato prevé que la dependencia de Servicios Municipales será la</w:t>
      </w:r>
      <w:r>
        <w:rPr>
          <w:rFonts w:ascii="Abadi" w:hAnsi="Abadi" w:cs="*Arial-5926-Identity-H"/>
          <w:color w:val="0C0B0E"/>
          <w:sz w:val="21"/>
          <w:szCs w:val="21"/>
        </w:rPr>
        <w:t xml:space="preserve"> </w:t>
      </w:r>
      <w:r w:rsidRPr="00494B56">
        <w:rPr>
          <w:rFonts w:ascii="Abadi" w:hAnsi="Abadi" w:cs="*Arial-5926-Identity-H"/>
          <w:color w:val="0C0B0E"/>
          <w:sz w:val="21"/>
          <w:szCs w:val="21"/>
        </w:rPr>
        <w:t>encargada de llevar a cabo la prestación del servicio de alumbrado público en el</w:t>
      </w:r>
      <w:r>
        <w:rPr>
          <w:rFonts w:ascii="Abadi" w:hAnsi="Abadi" w:cs="*Arial-5926-Identity-H"/>
          <w:color w:val="0C0B0E"/>
          <w:sz w:val="21"/>
          <w:szCs w:val="21"/>
        </w:rPr>
        <w:t xml:space="preserve"> </w:t>
      </w:r>
      <w:r w:rsidRPr="00494B56">
        <w:rPr>
          <w:rFonts w:ascii="Abadi" w:hAnsi="Abadi" w:cs="*Arial-5926-Identity-H"/>
          <w:color w:val="0C0B0E"/>
          <w:sz w:val="21"/>
          <w:szCs w:val="21"/>
        </w:rPr>
        <w:t>Municipio. Asimismo, los artículos 83 y 83-3 de la citada ley establecen que, el</w:t>
      </w:r>
      <w:r>
        <w:rPr>
          <w:rFonts w:ascii="Abadi" w:hAnsi="Abadi" w:cs="*Arial-5926-Identity-H"/>
          <w:color w:val="0C0B0E"/>
          <w:sz w:val="21"/>
          <w:szCs w:val="21"/>
        </w:rPr>
        <w:t xml:space="preserve"> </w:t>
      </w:r>
      <w:r w:rsidRPr="00494B56">
        <w:rPr>
          <w:rFonts w:ascii="Abadi" w:hAnsi="Abadi" w:cs="*Arial-5926-Identity-H"/>
          <w:color w:val="0C0B0E"/>
          <w:sz w:val="21"/>
          <w:szCs w:val="21"/>
        </w:rPr>
        <w:t>Ayuntamiento contará con una Comisión de Obra y Servicios Públicos, la que</w:t>
      </w:r>
      <w:r>
        <w:rPr>
          <w:rFonts w:ascii="Abadi" w:hAnsi="Abadi" w:cs="*Arial-5926-Identity-H"/>
          <w:color w:val="0C0B0E"/>
          <w:sz w:val="21"/>
          <w:szCs w:val="21"/>
        </w:rPr>
        <w:t xml:space="preserve"> </w:t>
      </w:r>
      <w:r w:rsidRPr="00494B56">
        <w:rPr>
          <w:rFonts w:ascii="Abadi" w:hAnsi="Abadi" w:cs="*Arial-5926-Identity-H"/>
          <w:color w:val="0C0B0E"/>
          <w:sz w:val="21"/>
          <w:szCs w:val="21"/>
        </w:rPr>
        <w:t>tendrá dentro de sus atribuciones la de promover la prestación puntual, oportuna y</w:t>
      </w:r>
      <w:r>
        <w:rPr>
          <w:rFonts w:ascii="Abadi" w:hAnsi="Abadi" w:cs="*Arial-5926-Identity-H"/>
          <w:color w:val="0C0B0E"/>
          <w:sz w:val="21"/>
          <w:szCs w:val="21"/>
        </w:rPr>
        <w:t xml:space="preserve"> </w:t>
      </w:r>
      <w:r w:rsidRPr="00494B56">
        <w:rPr>
          <w:rFonts w:ascii="Abadi" w:hAnsi="Abadi" w:cs="*Arial-5926-Identity-H"/>
          <w:color w:val="0C0B0E"/>
          <w:sz w:val="21"/>
          <w:szCs w:val="21"/>
        </w:rPr>
        <w:t>eficiente de los servicios públicos municipales, de conformidad con las</w:t>
      </w:r>
      <w:r>
        <w:rPr>
          <w:rFonts w:ascii="Abadi" w:hAnsi="Abadi" w:cs="*Arial-5926-Identity-H"/>
          <w:color w:val="0C0B0E"/>
          <w:sz w:val="21"/>
          <w:szCs w:val="21"/>
        </w:rPr>
        <w:t xml:space="preserve"> </w:t>
      </w:r>
      <w:r w:rsidRPr="00494B56">
        <w:rPr>
          <w:rFonts w:ascii="Abadi" w:hAnsi="Abadi" w:cs="*Arial-5926-Identity-H"/>
          <w:color w:val="0C0B0E"/>
          <w:sz w:val="21"/>
          <w:szCs w:val="21"/>
        </w:rPr>
        <w:t>disposiciones aplicables.</w:t>
      </w:r>
    </w:p>
    <w:p w14:paraId="3B332F98" w14:textId="77777777" w:rsidR="002F42D9" w:rsidRPr="00494B56" w:rsidRDefault="002F42D9" w:rsidP="002F42D9">
      <w:pPr>
        <w:autoSpaceDE w:val="0"/>
        <w:autoSpaceDN w:val="0"/>
        <w:adjustRightInd w:val="0"/>
        <w:jc w:val="both"/>
        <w:rPr>
          <w:rFonts w:ascii="Abadi" w:hAnsi="Abadi" w:cs="*Arial-5926-Identity-H"/>
          <w:color w:val="0C0B0E"/>
          <w:sz w:val="21"/>
          <w:szCs w:val="21"/>
        </w:rPr>
      </w:pPr>
    </w:p>
    <w:p w14:paraId="35B5A4D9" w14:textId="77777777" w:rsidR="002F42D9" w:rsidRPr="00494B56" w:rsidRDefault="002F42D9" w:rsidP="002F42D9">
      <w:pPr>
        <w:autoSpaceDE w:val="0"/>
        <w:autoSpaceDN w:val="0"/>
        <w:adjustRightInd w:val="0"/>
        <w:ind w:firstLine="708"/>
        <w:jc w:val="both"/>
        <w:rPr>
          <w:rFonts w:ascii="Abadi" w:hAnsi="Abadi" w:cs="*Arial-5926-Identity-H"/>
          <w:color w:val="0C0C0E"/>
          <w:sz w:val="21"/>
          <w:szCs w:val="21"/>
        </w:rPr>
      </w:pPr>
      <w:r w:rsidRPr="00494B56">
        <w:rPr>
          <w:rFonts w:ascii="Abadi" w:hAnsi="Abadi" w:cs="*Arial-5926-Identity-H"/>
          <w:color w:val="0C0C0E"/>
          <w:sz w:val="21"/>
          <w:szCs w:val="21"/>
        </w:rPr>
        <w:t>En virtud de lo anterior, si bien, la prestación del servicio, conforme a la</w:t>
      </w:r>
      <w:r>
        <w:rPr>
          <w:rFonts w:ascii="Abadi" w:hAnsi="Abadi" w:cs="*Arial-5926-Identity-H"/>
          <w:color w:val="0C0C0E"/>
          <w:sz w:val="21"/>
          <w:szCs w:val="21"/>
        </w:rPr>
        <w:t xml:space="preserve"> </w:t>
      </w:r>
      <w:r w:rsidRPr="00494B56">
        <w:rPr>
          <w:rFonts w:ascii="Abadi" w:hAnsi="Abadi" w:cs="*Arial-5926-Identity-H"/>
          <w:color w:val="0C0C0E"/>
          <w:sz w:val="21"/>
          <w:szCs w:val="21"/>
        </w:rPr>
        <w:t>normativa aplicable corresponde a la dependencia de Servicios Municipales, en</w:t>
      </w:r>
      <w:r>
        <w:rPr>
          <w:rFonts w:ascii="Abadi" w:hAnsi="Abadi" w:cs="*Arial-5926-Identity-H"/>
          <w:color w:val="0C0C0E"/>
          <w:sz w:val="21"/>
          <w:szCs w:val="21"/>
        </w:rPr>
        <w:t xml:space="preserve"> </w:t>
      </w:r>
      <w:r w:rsidRPr="00494B56">
        <w:rPr>
          <w:rFonts w:ascii="Abadi" w:hAnsi="Abadi" w:cs="*Arial-5926-Identity-H"/>
          <w:color w:val="0C0C0E"/>
          <w:sz w:val="21"/>
          <w:szCs w:val="21"/>
        </w:rPr>
        <w:t>efecto el sujeto fiscalizado contó con la Dirección de Servicios Públicos</w:t>
      </w:r>
      <w:r>
        <w:rPr>
          <w:rFonts w:ascii="Abadi" w:hAnsi="Abadi" w:cs="*Arial-5926-Identity-H"/>
          <w:color w:val="0C0C0E"/>
          <w:sz w:val="21"/>
          <w:szCs w:val="21"/>
        </w:rPr>
        <w:t xml:space="preserve"> </w:t>
      </w:r>
      <w:r w:rsidRPr="00494B56">
        <w:rPr>
          <w:rFonts w:ascii="Abadi" w:hAnsi="Abadi" w:cs="*Arial-5926-Identity-H"/>
          <w:color w:val="0C0C0E"/>
          <w:sz w:val="21"/>
          <w:szCs w:val="21"/>
        </w:rPr>
        <w:t>Municipales que se encargó de prestar el servicio de alumbrado público, acorde a</w:t>
      </w:r>
      <w:r>
        <w:rPr>
          <w:rFonts w:ascii="Abadi" w:hAnsi="Abadi" w:cs="*Arial-5926-Identity-H"/>
          <w:color w:val="0C0C0E"/>
          <w:sz w:val="21"/>
          <w:szCs w:val="21"/>
        </w:rPr>
        <w:t xml:space="preserve"> </w:t>
      </w:r>
      <w:r w:rsidRPr="00494B56">
        <w:rPr>
          <w:rFonts w:ascii="Abadi" w:hAnsi="Abadi" w:cs="*Arial-5926-Identity-H"/>
          <w:color w:val="0C0C0E"/>
          <w:sz w:val="21"/>
          <w:szCs w:val="21"/>
        </w:rPr>
        <w:t>la estructura orgánica incluida en el Manual de Procedimientos de Servicios</w:t>
      </w:r>
      <w:r>
        <w:rPr>
          <w:rFonts w:ascii="Abadi" w:hAnsi="Abadi" w:cs="*Arial-5926-Identity-H"/>
          <w:color w:val="0C0C0E"/>
          <w:sz w:val="21"/>
          <w:szCs w:val="21"/>
        </w:rPr>
        <w:t xml:space="preserve"> </w:t>
      </w:r>
      <w:r w:rsidRPr="00494B56">
        <w:rPr>
          <w:rFonts w:ascii="Abadi" w:hAnsi="Abadi" w:cs="*Arial-5926-Identity-H"/>
          <w:color w:val="0C0C0E"/>
          <w:sz w:val="21"/>
          <w:szCs w:val="21"/>
        </w:rPr>
        <w:t xml:space="preserve">Públicos Municipales del Municipio' de San Francisco del Rincón, </w:t>
      </w:r>
      <w:proofErr w:type="spellStart"/>
      <w:r w:rsidRPr="00494B56">
        <w:rPr>
          <w:rFonts w:ascii="Abadi" w:hAnsi="Abadi" w:cs="*Arial-5926-Identity-H"/>
          <w:color w:val="0C0C0E"/>
          <w:sz w:val="21"/>
          <w:szCs w:val="21"/>
        </w:rPr>
        <w:t>Gto</w:t>
      </w:r>
      <w:proofErr w:type="spellEnd"/>
      <w:r w:rsidRPr="00494B56">
        <w:rPr>
          <w:rFonts w:ascii="Abadi" w:hAnsi="Abadi" w:cs="*Arial-5926-Identity-H"/>
          <w:color w:val="0C0C0E"/>
          <w:sz w:val="21"/>
          <w:szCs w:val="21"/>
        </w:rPr>
        <w:t>.</w:t>
      </w:r>
    </w:p>
    <w:p w14:paraId="1481EF61" w14:textId="77777777" w:rsidR="002F42D9" w:rsidRPr="00494B56" w:rsidRDefault="002F42D9" w:rsidP="002F42D9">
      <w:pPr>
        <w:autoSpaceDE w:val="0"/>
        <w:autoSpaceDN w:val="0"/>
        <w:adjustRightInd w:val="0"/>
        <w:jc w:val="both"/>
        <w:rPr>
          <w:rFonts w:ascii="Abadi" w:hAnsi="Abadi" w:cs="*Arial-5926-Identity-H"/>
          <w:color w:val="0C0C0E"/>
          <w:sz w:val="21"/>
          <w:szCs w:val="21"/>
        </w:rPr>
      </w:pPr>
    </w:p>
    <w:p w14:paraId="57C907D8" w14:textId="77777777" w:rsidR="002F42D9" w:rsidRPr="00494B56" w:rsidRDefault="002F42D9" w:rsidP="002F42D9">
      <w:pPr>
        <w:autoSpaceDE w:val="0"/>
        <w:autoSpaceDN w:val="0"/>
        <w:adjustRightInd w:val="0"/>
        <w:jc w:val="both"/>
        <w:rPr>
          <w:rFonts w:ascii="Abadi" w:hAnsi="Abadi" w:cs="*Arial-Bold-5927-Identity-H"/>
          <w:b/>
          <w:bCs/>
          <w:color w:val="0C0C11"/>
          <w:sz w:val="21"/>
          <w:szCs w:val="21"/>
        </w:rPr>
      </w:pPr>
      <w:r w:rsidRPr="00494B56">
        <w:rPr>
          <w:rFonts w:ascii="Abadi" w:hAnsi="Abadi" w:cs="*Arial-Bold-5927-Identity-H"/>
          <w:b/>
          <w:bCs/>
          <w:color w:val="0C0C11"/>
          <w:sz w:val="21"/>
          <w:szCs w:val="21"/>
        </w:rPr>
        <w:t>b) Resultado del proceso de fiscalización.</w:t>
      </w:r>
    </w:p>
    <w:p w14:paraId="563EDEBB" w14:textId="77777777" w:rsidR="002F42D9" w:rsidRPr="00494B56" w:rsidRDefault="002F42D9" w:rsidP="002F42D9">
      <w:pPr>
        <w:autoSpaceDE w:val="0"/>
        <w:autoSpaceDN w:val="0"/>
        <w:adjustRightInd w:val="0"/>
        <w:jc w:val="both"/>
        <w:rPr>
          <w:rFonts w:ascii="Abadi" w:hAnsi="Abadi" w:cs="*Arial-Bold-5927-Identity-H"/>
          <w:b/>
          <w:bCs/>
          <w:color w:val="0C0C11"/>
          <w:sz w:val="21"/>
          <w:szCs w:val="21"/>
        </w:rPr>
      </w:pPr>
    </w:p>
    <w:p w14:paraId="44F3900A" w14:textId="77777777" w:rsidR="002F42D9" w:rsidRPr="00494B56" w:rsidRDefault="002F42D9" w:rsidP="002F42D9">
      <w:pPr>
        <w:autoSpaceDE w:val="0"/>
        <w:autoSpaceDN w:val="0"/>
        <w:adjustRightInd w:val="0"/>
        <w:jc w:val="both"/>
        <w:rPr>
          <w:rFonts w:ascii="Abadi" w:hAnsi="Abadi" w:cs="*Arial-5926-Identity-H"/>
          <w:color w:val="0E0D0F"/>
          <w:sz w:val="21"/>
          <w:szCs w:val="21"/>
        </w:rPr>
      </w:pPr>
      <w:r w:rsidRPr="00494B56">
        <w:rPr>
          <w:rFonts w:ascii="Abadi" w:hAnsi="Abadi" w:cs="*Arial-5926-Identity-H"/>
          <w:color w:val="0E0D0F"/>
          <w:sz w:val="21"/>
          <w:szCs w:val="21"/>
        </w:rPr>
        <w:t>En esta parte se señala que los objetivos específicos se desarrollaron en la</w:t>
      </w:r>
      <w:r>
        <w:rPr>
          <w:rFonts w:ascii="Abadi" w:hAnsi="Abadi" w:cs="*Arial-5926-Identity-H"/>
          <w:color w:val="0E0D0F"/>
          <w:sz w:val="21"/>
          <w:szCs w:val="21"/>
        </w:rPr>
        <w:t xml:space="preserve"> </w:t>
      </w:r>
      <w:r w:rsidRPr="00494B56">
        <w:rPr>
          <w:rFonts w:ascii="Abadi" w:hAnsi="Abadi" w:cs="*Arial-5926-Identity-H"/>
          <w:color w:val="0E0D0F"/>
          <w:sz w:val="21"/>
          <w:szCs w:val="21"/>
        </w:rPr>
        <w:t>auditoría en siete procedimientos, con los siguientes resultados:</w:t>
      </w:r>
    </w:p>
    <w:p w14:paraId="4EE99CE2" w14:textId="77777777" w:rsidR="002F42D9" w:rsidRPr="00494B56" w:rsidRDefault="002F42D9" w:rsidP="002F42D9">
      <w:pPr>
        <w:autoSpaceDE w:val="0"/>
        <w:autoSpaceDN w:val="0"/>
        <w:adjustRightInd w:val="0"/>
        <w:jc w:val="both"/>
        <w:rPr>
          <w:rFonts w:ascii="Abadi" w:hAnsi="Abadi" w:cs="*Arial-Bold-5927-Identity-H"/>
          <w:b/>
          <w:bCs/>
          <w:color w:val="090C11"/>
          <w:sz w:val="21"/>
          <w:szCs w:val="21"/>
        </w:rPr>
      </w:pPr>
    </w:p>
    <w:p w14:paraId="73346E5A" w14:textId="77777777" w:rsidR="002F42D9" w:rsidRPr="00494B56" w:rsidRDefault="002F42D9" w:rsidP="00B51BD1">
      <w:pPr>
        <w:autoSpaceDE w:val="0"/>
        <w:autoSpaceDN w:val="0"/>
        <w:adjustRightInd w:val="0"/>
        <w:ind w:firstLine="708"/>
        <w:jc w:val="both"/>
        <w:rPr>
          <w:rFonts w:ascii="Abadi" w:hAnsi="Abadi" w:cs="*Arial-Bold-5927-Identity-H"/>
          <w:b/>
          <w:bCs/>
          <w:color w:val="090C11"/>
          <w:sz w:val="21"/>
          <w:szCs w:val="21"/>
        </w:rPr>
      </w:pPr>
      <w:r w:rsidRPr="00494B56">
        <w:rPr>
          <w:rFonts w:ascii="Abadi" w:hAnsi="Abadi" w:cs="*Arial-Bold-5927-Identity-H"/>
          <w:b/>
          <w:bCs/>
          <w:color w:val="090C11"/>
          <w:sz w:val="21"/>
          <w:szCs w:val="21"/>
        </w:rPr>
        <w:t>Eficiencia:</w:t>
      </w:r>
    </w:p>
    <w:p w14:paraId="3D7A743F" w14:textId="77777777" w:rsidR="002F42D9" w:rsidRPr="00494B56" w:rsidRDefault="002F42D9" w:rsidP="002F42D9">
      <w:pPr>
        <w:autoSpaceDE w:val="0"/>
        <w:autoSpaceDN w:val="0"/>
        <w:adjustRightInd w:val="0"/>
        <w:jc w:val="both"/>
        <w:rPr>
          <w:rFonts w:ascii="Abadi" w:hAnsi="Abadi" w:cs="*Arial-Bold-5927-Identity-H"/>
          <w:b/>
          <w:bCs/>
          <w:color w:val="090C11"/>
          <w:sz w:val="21"/>
          <w:szCs w:val="21"/>
        </w:rPr>
      </w:pPr>
    </w:p>
    <w:p w14:paraId="0EB9712D" w14:textId="7B378989" w:rsidR="00B51BD1" w:rsidRPr="00B51BD1" w:rsidRDefault="002F42D9" w:rsidP="00210305">
      <w:pPr>
        <w:pStyle w:val="Prrafodelista"/>
        <w:numPr>
          <w:ilvl w:val="0"/>
          <w:numId w:val="68"/>
        </w:numPr>
        <w:autoSpaceDE w:val="0"/>
        <w:autoSpaceDN w:val="0"/>
        <w:adjustRightInd w:val="0"/>
        <w:jc w:val="both"/>
        <w:rPr>
          <w:rFonts w:ascii="Abadi" w:hAnsi="Abadi" w:cs="*Arial-5926-Identity-H"/>
          <w:color w:val="0C0C0F"/>
          <w:sz w:val="21"/>
          <w:szCs w:val="21"/>
        </w:rPr>
      </w:pPr>
      <w:r w:rsidRPr="00B51BD1">
        <w:rPr>
          <w:rFonts w:ascii="Abadi" w:hAnsi="Abadi" w:cs="*Arial-5926-Identity-H"/>
          <w:color w:val="0C0C0F"/>
          <w:sz w:val="21"/>
          <w:szCs w:val="21"/>
        </w:rPr>
        <w:t>Oferta del servicio de alumbrado público.</w:t>
      </w:r>
    </w:p>
    <w:p w14:paraId="5EF9D5E6" w14:textId="77777777" w:rsidR="00B51BD1" w:rsidRPr="00B51BD1" w:rsidRDefault="002F42D9" w:rsidP="00210305">
      <w:pPr>
        <w:pStyle w:val="Prrafodelista"/>
        <w:numPr>
          <w:ilvl w:val="0"/>
          <w:numId w:val="68"/>
        </w:numPr>
        <w:autoSpaceDE w:val="0"/>
        <w:autoSpaceDN w:val="0"/>
        <w:adjustRightInd w:val="0"/>
        <w:jc w:val="both"/>
        <w:rPr>
          <w:rFonts w:ascii="Abadi" w:hAnsi="Abadi" w:cs="*Arial-5926-Identity-H"/>
          <w:color w:val="0C0C0F"/>
          <w:sz w:val="21"/>
          <w:szCs w:val="21"/>
        </w:rPr>
      </w:pPr>
      <w:r w:rsidRPr="00B51BD1">
        <w:rPr>
          <w:rFonts w:ascii="Abadi" w:hAnsi="Abadi" w:cs="*Arial-5926-Identity-H"/>
          <w:color w:val="0C0B0E"/>
          <w:sz w:val="21"/>
          <w:szCs w:val="21"/>
        </w:rPr>
        <w:t>Presupuestación del servicio.</w:t>
      </w:r>
    </w:p>
    <w:p w14:paraId="6A9A1EC7" w14:textId="77777777" w:rsidR="00B51BD1" w:rsidRPr="00B51BD1" w:rsidRDefault="002F42D9" w:rsidP="00210305">
      <w:pPr>
        <w:pStyle w:val="Prrafodelista"/>
        <w:numPr>
          <w:ilvl w:val="0"/>
          <w:numId w:val="68"/>
        </w:numPr>
        <w:autoSpaceDE w:val="0"/>
        <w:autoSpaceDN w:val="0"/>
        <w:adjustRightInd w:val="0"/>
        <w:jc w:val="both"/>
        <w:rPr>
          <w:rFonts w:ascii="Abadi" w:hAnsi="Abadi" w:cs="*Arial-5926-Identity-H"/>
          <w:color w:val="0C0C0F"/>
          <w:sz w:val="21"/>
          <w:szCs w:val="21"/>
        </w:rPr>
      </w:pPr>
      <w:r w:rsidRPr="00B51BD1">
        <w:rPr>
          <w:rFonts w:ascii="Abadi" w:hAnsi="Abadi" w:cs="*Arial-5926-Identity-H"/>
          <w:color w:val="0C0C0E"/>
          <w:sz w:val="21"/>
          <w:szCs w:val="21"/>
        </w:rPr>
        <w:t>Marco normativo para la prestación del servicio.</w:t>
      </w:r>
    </w:p>
    <w:p w14:paraId="10A396DC" w14:textId="77777777" w:rsidR="00B51BD1" w:rsidRPr="00B51BD1" w:rsidRDefault="002F42D9" w:rsidP="00210305">
      <w:pPr>
        <w:pStyle w:val="Prrafodelista"/>
        <w:numPr>
          <w:ilvl w:val="0"/>
          <w:numId w:val="68"/>
        </w:numPr>
        <w:autoSpaceDE w:val="0"/>
        <w:autoSpaceDN w:val="0"/>
        <w:adjustRightInd w:val="0"/>
        <w:jc w:val="both"/>
        <w:rPr>
          <w:rFonts w:ascii="Abadi" w:hAnsi="Abadi" w:cs="*Arial-5926-Identity-H"/>
          <w:color w:val="0C0C0F"/>
          <w:sz w:val="21"/>
          <w:szCs w:val="21"/>
        </w:rPr>
      </w:pPr>
      <w:r w:rsidRPr="00B51BD1">
        <w:rPr>
          <w:rFonts w:ascii="Abadi" w:hAnsi="Abadi" w:cs="*Arial-5926-Identity-H"/>
          <w:color w:val="0C0B0E"/>
          <w:sz w:val="21"/>
          <w:szCs w:val="21"/>
        </w:rPr>
        <w:t>Planeación del servicio de alumbrado público en el corto plazo.</w:t>
      </w:r>
    </w:p>
    <w:p w14:paraId="5041A77D" w14:textId="5D2FDFA5" w:rsidR="002F42D9" w:rsidRPr="00494B56" w:rsidRDefault="002F42D9" w:rsidP="00210305">
      <w:pPr>
        <w:pStyle w:val="Prrafodelista"/>
        <w:numPr>
          <w:ilvl w:val="0"/>
          <w:numId w:val="68"/>
        </w:numPr>
        <w:autoSpaceDE w:val="0"/>
        <w:autoSpaceDN w:val="0"/>
        <w:adjustRightInd w:val="0"/>
        <w:jc w:val="both"/>
        <w:rPr>
          <w:rFonts w:ascii="Abadi" w:hAnsi="Abadi" w:cs="*Arial-5926-Identity-H"/>
          <w:color w:val="0C0C0F"/>
          <w:sz w:val="21"/>
          <w:szCs w:val="21"/>
        </w:rPr>
      </w:pPr>
      <w:r w:rsidRPr="00494B56">
        <w:rPr>
          <w:rFonts w:ascii="Abadi" w:hAnsi="Abadi" w:cs="*Arial-5926-Identity-H"/>
          <w:color w:val="0C0C0F"/>
          <w:sz w:val="21"/>
          <w:szCs w:val="21"/>
        </w:rPr>
        <w:t>Participación ciudadana en el reporte de fallas del servicio.</w:t>
      </w:r>
    </w:p>
    <w:p w14:paraId="01C35070" w14:textId="77777777" w:rsidR="002F42D9" w:rsidRPr="00494B56" w:rsidRDefault="002F42D9" w:rsidP="002F42D9">
      <w:pPr>
        <w:autoSpaceDE w:val="0"/>
        <w:autoSpaceDN w:val="0"/>
        <w:adjustRightInd w:val="0"/>
        <w:jc w:val="both"/>
        <w:rPr>
          <w:rFonts w:ascii="Abadi" w:hAnsi="Abadi" w:cs="*Arial-Bold-5927-Identity-H"/>
          <w:b/>
          <w:bCs/>
          <w:color w:val="0D0C10"/>
          <w:sz w:val="21"/>
          <w:szCs w:val="21"/>
        </w:rPr>
      </w:pPr>
    </w:p>
    <w:p w14:paraId="3CF18CFD" w14:textId="77777777" w:rsidR="002F42D9" w:rsidRPr="00494B56" w:rsidRDefault="002F42D9" w:rsidP="00B51BD1">
      <w:pPr>
        <w:autoSpaceDE w:val="0"/>
        <w:autoSpaceDN w:val="0"/>
        <w:adjustRightInd w:val="0"/>
        <w:ind w:firstLine="360"/>
        <w:jc w:val="both"/>
        <w:rPr>
          <w:rFonts w:ascii="Abadi" w:hAnsi="Abadi" w:cs="*Arial-Bold-5927-Identity-H"/>
          <w:b/>
          <w:bCs/>
          <w:color w:val="0D0C10"/>
          <w:sz w:val="21"/>
          <w:szCs w:val="21"/>
        </w:rPr>
      </w:pPr>
      <w:r w:rsidRPr="00494B56">
        <w:rPr>
          <w:rFonts w:ascii="Abadi" w:hAnsi="Abadi" w:cs="*Arial-Bold-5927-Identity-H"/>
          <w:b/>
          <w:bCs/>
          <w:color w:val="0D0C10"/>
          <w:sz w:val="21"/>
          <w:szCs w:val="21"/>
        </w:rPr>
        <w:t>Eficacia:</w:t>
      </w:r>
    </w:p>
    <w:p w14:paraId="19BA9783" w14:textId="77777777" w:rsidR="002F42D9" w:rsidRPr="00494B56" w:rsidRDefault="002F42D9" w:rsidP="002F42D9">
      <w:pPr>
        <w:autoSpaceDE w:val="0"/>
        <w:autoSpaceDN w:val="0"/>
        <w:adjustRightInd w:val="0"/>
        <w:jc w:val="both"/>
        <w:rPr>
          <w:rFonts w:ascii="Abadi" w:hAnsi="Abadi" w:cs="*Arial-Bold-5927-Identity-H"/>
          <w:b/>
          <w:bCs/>
          <w:color w:val="0D0C10"/>
          <w:sz w:val="21"/>
          <w:szCs w:val="21"/>
        </w:rPr>
      </w:pPr>
    </w:p>
    <w:p w14:paraId="26533FA7" w14:textId="77777777" w:rsidR="002F42D9" w:rsidRPr="00494B56" w:rsidRDefault="002F42D9" w:rsidP="002F42D9">
      <w:pPr>
        <w:autoSpaceDE w:val="0"/>
        <w:autoSpaceDN w:val="0"/>
        <w:adjustRightInd w:val="0"/>
        <w:ind w:firstLine="708"/>
        <w:jc w:val="both"/>
        <w:rPr>
          <w:rFonts w:ascii="Abadi" w:hAnsi="Abadi" w:cs="*Arial-7854-Identity-H"/>
          <w:color w:val="0E0D10"/>
          <w:sz w:val="21"/>
          <w:szCs w:val="21"/>
        </w:rPr>
      </w:pPr>
      <w:r w:rsidRPr="00494B56">
        <w:rPr>
          <w:rFonts w:ascii="Abadi" w:hAnsi="Abadi" w:cs="*Arial-7854-Identity-H"/>
          <w:color w:val="0E0D10"/>
          <w:sz w:val="21"/>
          <w:szCs w:val="21"/>
        </w:rPr>
        <w:t>Es así, que se presentan los resultados de la auditoría realizada,</w:t>
      </w:r>
      <w:r>
        <w:rPr>
          <w:rFonts w:ascii="Abadi" w:hAnsi="Abadi" w:cs="*Arial-7854-Identity-H"/>
          <w:color w:val="0E0D10"/>
          <w:sz w:val="21"/>
          <w:szCs w:val="21"/>
        </w:rPr>
        <w:t xml:space="preserve"> </w:t>
      </w:r>
      <w:r w:rsidRPr="00494B56">
        <w:rPr>
          <w:rFonts w:ascii="Abadi" w:hAnsi="Abadi" w:cs="*Arial-7854-Identity-H"/>
          <w:color w:val="0E0D10"/>
          <w:sz w:val="21"/>
          <w:szCs w:val="21"/>
        </w:rPr>
        <w:t>estableciendo las recomendaciones formuladas al sujeto fiscalizado, plasmando</w:t>
      </w:r>
      <w:r>
        <w:rPr>
          <w:rFonts w:ascii="Abadi" w:hAnsi="Abadi" w:cs="*Arial-7854-Identity-H"/>
          <w:color w:val="0E0D10"/>
          <w:sz w:val="21"/>
          <w:szCs w:val="21"/>
        </w:rPr>
        <w:t xml:space="preserve"> </w:t>
      </w:r>
      <w:r w:rsidRPr="00494B56">
        <w:rPr>
          <w:rFonts w:ascii="Abadi" w:hAnsi="Abadi" w:cs="*Arial-7854-Identity-H"/>
          <w:color w:val="0E0D10"/>
          <w:sz w:val="21"/>
          <w:szCs w:val="21"/>
        </w:rPr>
        <w:t>en cada una las acciones preventivas y correctivas que se deben llevar a cabo</w:t>
      </w:r>
      <w:r>
        <w:rPr>
          <w:rFonts w:ascii="Abadi" w:hAnsi="Abadi" w:cs="*Arial-7854-Identity-H"/>
          <w:color w:val="0E0D10"/>
          <w:sz w:val="21"/>
          <w:szCs w:val="21"/>
        </w:rPr>
        <w:t xml:space="preserve"> </w:t>
      </w:r>
      <w:r w:rsidRPr="00494B56">
        <w:rPr>
          <w:rFonts w:ascii="Abadi" w:hAnsi="Abadi" w:cs="*Arial-7854-Identity-H"/>
          <w:color w:val="0E0D10"/>
          <w:sz w:val="21"/>
          <w:szCs w:val="21"/>
        </w:rPr>
        <w:t>para subsanar las situaciones detectadas durante el proceso de auditoría.</w:t>
      </w:r>
    </w:p>
    <w:p w14:paraId="62BDB2F2" w14:textId="77777777" w:rsidR="002F42D9" w:rsidRPr="00494B56" w:rsidRDefault="002F42D9" w:rsidP="002F42D9">
      <w:pPr>
        <w:autoSpaceDE w:val="0"/>
        <w:autoSpaceDN w:val="0"/>
        <w:adjustRightInd w:val="0"/>
        <w:ind w:firstLine="708"/>
        <w:jc w:val="both"/>
        <w:rPr>
          <w:rFonts w:ascii="Abadi" w:hAnsi="Abadi" w:cs="*Arial-7854-Identity-H"/>
          <w:color w:val="0B0B0E"/>
          <w:sz w:val="21"/>
          <w:szCs w:val="21"/>
        </w:rPr>
      </w:pPr>
    </w:p>
    <w:p w14:paraId="2286E07B" w14:textId="77777777" w:rsidR="002F42D9" w:rsidRPr="00494B56" w:rsidRDefault="002F42D9" w:rsidP="002F42D9">
      <w:pPr>
        <w:autoSpaceDE w:val="0"/>
        <w:autoSpaceDN w:val="0"/>
        <w:adjustRightInd w:val="0"/>
        <w:ind w:firstLine="708"/>
        <w:jc w:val="both"/>
        <w:rPr>
          <w:rFonts w:ascii="Abadi" w:hAnsi="Abadi" w:cs="*Arial-7854-Identity-H"/>
          <w:color w:val="0B0B0E"/>
          <w:sz w:val="21"/>
          <w:szCs w:val="21"/>
        </w:rPr>
      </w:pPr>
      <w:r w:rsidRPr="00494B56">
        <w:rPr>
          <w:rFonts w:ascii="Abadi" w:hAnsi="Abadi" w:cs="*Arial-7854-Identity-H"/>
          <w:color w:val="0B0B0E"/>
          <w:sz w:val="21"/>
          <w:szCs w:val="21"/>
        </w:rPr>
        <w:t>Derivado de lo anterior, se formulan los resultados y recomendaciones</w:t>
      </w:r>
      <w:r>
        <w:rPr>
          <w:rFonts w:ascii="Abadi" w:hAnsi="Abadi" w:cs="*Arial-7854-Identity-H"/>
          <w:color w:val="0B0B0E"/>
          <w:sz w:val="21"/>
          <w:szCs w:val="21"/>
        </w:rPr>
        <w:t xml:space="preserve"> </w:t>
      </w:r>
      <w:r w:rsidRPr="00494B56">
        <w:rPr>
          <w:rFonts w:ascii="Abadi" w:hAnsi="Abadi" w:cs="*Arial-7854-Identity-H"/>
          <w:color w:val="0B0B0E"/>
          <w:sz w:val="21"/>
          <w:szCs w:val="21"/>
        </w:rPr>
        <w:t>contenidos en los rubros de Eficiencia y Eficacia.</w:t>
      </w:r>
    </w:p>
    <w:p w14:paraId="2B5E9E1C" w14:textId="77777777" w:rsidR="002F42D9" w:rsidRPr="00494B56" w:rsidRDefault="002F42D9" w:rsidP="002F42D9">
      <w:pPr>
        <w:autoSpaceDE w:val="0"/>
        <w:autoSpaceDN w:val="0"/>
        <w:adjustRightInd w:val="0"/>
        <w:ind w:firstLine="708"/>
        <w:jc w:val="both"/>
        <w:rPr>
          <w:rFonts w:ascii="Abadi" w:hAnsi="Abadi" w:cs="*Arial-7854-Identity-H"/>
          <w:color w:val="0D0C0F"/>
          <w:sz w:val="21"/>
          <w:szCs w:val="21"/>
        </w:rPr>
      </w:pPr>
    </w:p>
    <w:p w14:paraId="67E46053" w14:textId="750437D1" w:rsidR="002F42D9" w:rsidRPr="00494B56" w:rsidRDefault="002F42D9" w:rsidP="002F42D9">
      <w:pPr>
        <w:autoSpaceDE w:val="0"/>
        <w:autoSpaceDN w:val="0"/>
        <w:adjustRightInd w:val="0"/>
        <w:ind w:firstLine="708"/>
        <w:jc w:val="both"/>
        <w:rPr>
          <w:rFonts w:ascii="Abadi" w:hAnsi="Abadi" w:cs="*Arial-7854-Identity-H"/>
          <w:color w:val="0D0C0F"/>
          <w:sz w:val="21"/>
          <w:szCs w:val="21"/>
        </w:rPr>
      </w:pPr>
      <w:r w:rsidRPr="00494B56">
        <w:rPr>
          <w:rFonts w:ascii="Abadi" w:hAnsi="Abadi" w:cs="*Arial-7854-Identity-H"/>
          <w:color w:val="0D0C0F"/>
          <w:sz w:val="21"/>
          <w:szCs w:val="21"/>
        </w:rPr>
        <w:t>En tal sentido, en el rubro de Eficiencia, se formularon las recomendaciones</w:t>
      </w:r>
      <w:r>
        <w:rPr>
          <w:rFonts w:ascii="Abadi" w:hAnsi="Abadi" w:cs="*Arial-7854-Identity-H"/>
          <w:color w:val="0D0C0F"/>
          <w:sz w:val="21"/>
          <w:szCs w:val="21"/>
        </w:rPr>
        <w:t xml:space="preserve"> </w:t>
      </w:r>
      <w:r w:rsidRPr="00494B56">
        <w:rPr>
          <w:rFonts w:ascii="Abadi" w:hAnsi="Abadi" w:cs="*Arial-7854-Identity-H"/>
          <w:color w:val="0D0C0F"/>
          <w:sz w:val="21"/>
          <w:szCs w:val="21"/>
        </w:rPr>
        <w:t>plasmadas en los puntos 01 y 02 del resultado número 1, referente a oferta del</w:t>
      </w:r>
      <w:r>
        <w:rPr>
          <w:rFonts w:ascii="Abadi" w:hAnsi="Abadi" w:cs="*Arial-7854-Identity-H"/>
          <w:color w:val="0D0C0F"/>
          <w:sz w:val="21"/>
          <w:szCs w:val="21"/>
        </w:rPr>
        <w:t xml:space="preserve"> </w:t>
      </w:r>
      <w:r w:rsidRPr="00494B56">
        <w:rPr>
          <w:rFonts w:ascii="Abadi" w:hAnsi="Abadi" w:cs="*Arial-7854-Identity-H"/>
          <w:color w:val="0D0C0F"/>
          <w:sz w:val="21"/>
          <w:szCs w:val="21"/>
        </w:rPr>
        <w:t>servicio de alumbrado público; 03 y 04 del resultado número 2, correspondiente a</w:t>
      </w:r>
      <w:r>
        <w:rPr>
          <w:rFonts w:ascii="Abadi" w:hAnsi="Abadi" w:cs="*Arial-7854-Identity-H"/>
          <w:color w:val="0D0C0F"/>
          <w:sz w:val="21"/>
          <w:szCs w:val="21"/>
        </w:rPr>
        <w:t xml:space="preserve"> </w:t>
      </w:r>
      <w:r w:rsidRPr="00494B56">
        <w:rPr>
          <w:rFonts w:ascii="Abadi" w:hAnsi="Abadi" w:cs="*Arial-7854-Identity-H"/>
          <w:color w:val="0D0C0F"/>
          <w:sz w:val="21"/>
          <w:szCs w:val="21"/>
        </w:rPr>
        <w:t>presupuestación del servicio; 05 y 06 del resultado número 3, relativo a marco</w:t>
      </w:r>
      <w:r>
        <w:rPr>
          <w:rFonts w:ascii="Abadi" w:hAnsi="Abadi" w:cs="*Arial-7854-Identity-H"/>
          <w:color w:val="0D0C0F"/>
          <w:sz w:val="21"/>
          <w:szCs w:val="21"/>
        </w:rPr>
        <w:t xml:space="preserve"> </w:t>
      </w:r>
      <w:r w:rsidRPr="00494B56">
        <w:rPr>
          <w:rFonts w:ascii="Abadi" w:hAnsi="Abadi" w:cs="*Arial-7854-Identity-H"/>
          <w:color w:val="0D0C0F"/>
          <w:sz w:val="21"/>
          <w:szCs w:val="21"/>
        </w:rPr>
        <w:t>normativo para la prestación del servicio; 07 del resultado número 4, referido a</w:t>
      </w:r>
      <w:r>
        <w:rPr>
          <w:rFonts w:ascii="Abadi" w:hAnsi="Abadi" w:cs="*Arial-7854-Identity-H"/>
          <w:color w:val="0D0C0F"/>
          <w:sz w:val="21"/>
          <w:szCs w:val="21"/>
        </w:rPr>
        <w:t xml:space="preserve"> </w:t>
      </w:r>
      <w:r w:rsidRPr="00494B56">
        <w:rPr>
          <w:rFonts w:ascii="Abadi" w:hAnsi="Abadi" w:cs="*Arial-7854-Identity-H"/>
          <w:color w:val="0D0C0F"/>
          <w:sz w:val="21"/>
          <w:szCs w:val="21"/>
        </w:rPr>
        <w:t>planeación del servicio de alumbrado público en el corto plazo; y 08 del resultad</w:t>
      </w:r>
      <w:r>
        <w:rPr>
          <w:rFonts w:ascii="Abadi" w:hAnsi="Abadi" w:cs="*Arial-7854-Identity-H"/>
          <w:color w:val="0D0C0F"/>
          <w:sz w:val="21"/>
          <w:szCs w:val="21"/>
        </w:rPr>
        <w:t xml:space="preserve">o </w:t>
      </w:r>
      <w:r w:rsidRPr="00494B56">
        <w:rPr>
          <w:rFonts w:ascii="Abadi" w:hAnsi="Abadi" w:cs="*Arial-7854-Identity-H"/>
          <w:color w:val="0D0C0F"/>
          <w:sz w:val="21"/>
          <w:szCs w:val="21"/>
        </w:rPr>
        <w:t>número 5, referente a participación ciudadana en el reporte de fallas del servicio.</w:t>
      </w:r>
      <w:r>
        <w:rPr>
          <w:rFonts w:ascii="Abadi" w:hAnsi="Abadi" w:cs="*Arial-7854-Identity-H"/>
          <w:color w:val="0D0C0F"/>
          <w:sz w:val="21"/>
          <w:szCs w:val="21"/>
        </w:rPr>
        <w:t xml:space="preserve"> </w:t>
      </w:r>
      <w:r w:rsidRPr="00494B56">
        <w:rPr>
          <w:rFonts w:ascii="Abadi" w:hAnsi="Abadi" w:cs="*Arial-7854-Identity-H"/>
          <w:color w:val="0D0C0F"/>
          <w:sz w:val="21"/>
          <w:szCs w:val="21"/>
        </w:rPr>
        <w:t>En el apartado de Eficacia, se formularon las recomendaciones consignadas en</w:t>
      </w:r>
      <w:r>
        <w:rPr>
          <w:rFonts w:ascii="Abadi" w:hAnsi="Abadi" w:cs="*Arial-7854-Identity-H"/>
          <w:color w:val="0D0C0F"/>
          <w:sz w:val="21"/>
          <w:szCs w:val="21"/>
        </w:rPr>
        <w:t xml:space="preserve"> </w:t>
      </w:r>
      <w:r w:rsidRPr="00494B56">
        <w:rPr>
          <w:rFonts w:ascii="Abadi" w:hAnsi="Abadi" w:cs="*Arial-7854-Identity-H"/>
          <w:color w:val="0D0C0F"/>
          <w:sz w:val="21"/>
          <w:szCs w:val="21"/>
        </w:rPr>
        <w:t>los puntos 09 del resultado número 6, correspondiente a eficacia del servicio de</w:t>
      </w:r>
      <w:r>
        <w:rPr>
          <w:rFonts w:ascii="Abadi" w:hAnsi="Abadi" w:cs="*Arial-7854-Identity-H"/>
          <w:color w:val="0D0C0F"/>
          <w:sz w:val="21"/>
          <w:szCs w:val="21"/>
        </w:rPr>
        <w:t xml:space="preserve"> </w:t>
      </w:r>
      <w:r w:rsidRPr="00494B56">
        <w:rPr>
          <w:rFonts w:ascii="Abadi" w:hAnsi="Abadi" w:cs="*Arial-7854-Identity-H"/>
          <w:color w:val="0D0C0F"/>
          <w:sz w:val="21"/>
          <w:szCs w:val="21"/>
        </w:rPr>
        <w:t xml:space="preserve">alumbrado público; y </w:t>
      </w:r>
      <w:r w:rsidR="00262BF4">
        <w:rPr>
          <w:rFonts w:ascii="Abadi" w:hAnsi="Abadi" w:cs="*Arial-7854-Identity-H"/>
          <w:color w:val="0D0C0F"/>
          <w:sz w:val="21"/>
          <w:szCs w:val="21"/>
        </w:rPr>
        <w:t>10</w:t>
      </w:r>
      <w:r w:rsidRPr="00494B56">
        <w:rPr>
          <w:rFonts w:ascii="Abadi" w:hAnsi="Abadi" w:cs="*Arial-7854-Identity-H"/>
          <w:color w:val="0D0C0F"/>
          <w:sz w:val="21"/>
          <w:szCs w:val="21"/>
        </w:rPr>
        <w:t xml:space="preserve"> del resultado número 7, relativo a monitoreo y evaluación</w:t>
      </w:r>
      <w:r>
        <w:rPr>
          <w:rFonts w:ascii="Abadi" w:hAnsi="Abadi" w:cs="*Arial-7854-Identity-H"/>
          <w:color w:val="0D0C0F"/>
          <w:sz w:val="21"/>
          <w:szCs w:val="21"/>
        </w:rPr>
        <w:t xml:space="preserve"> </w:t>
      </w:r>
      <w:r w:rsidRPr="00494B56">
        <w:rPr>
          <w:rFonts w:ascii="Abadi" w:hAnsi="Abadi" w:cs="*Arial-7854-Identity-H"/>
          <w:color w:val="0D0C0F"/>
          <w:sz w:val="21"/>
          <w:szCs w:val="21"/>
        </w:rPr>
        <w:t>de resultados.</w:t>
      </w:r>
    </w:p>
    <w:p w14:paraId="3F504D48" w14:textId="77777777" w:rsidR="002F42D9" w:rsidRPr="00494B56" w:rsidRDefault="002F42D9" w:rsidP="002F42D9">
      <w:pPr>
        <w:autoSpaceDE w:val="0"/>
        <w:autoSpaceDN w:val="0"/>
        <w:adjustRightInd w:val="0"/>
        <w:jc w:val="both"/>
        <w:rPr>
          <w:rFonts w:ascii="Abadi" w:hAnsi="Abadi" w:cs="*Arial-7854-Identity-H"/>
          <w:color w:val="0D0C0F"/>
          <w:sz w:val="21"/>
          <w:szCs w:val="21"/>
        </w:rPr>
      </w:pPr>
    </w:p>
    <w:p w14:paraId="06B1AA09" w14:textId="77777777" w:rsidR="002F42D9" w:rsidRPr="00595C54" w:rsidRDefault="002F42D9" w:rsidP="002F42D9">
      <w:pPr>
        <w:autoSpaceDE w:val="0"/>
        <w:autoSpaceDN w:val="0"/>
        <w:adjustRightInd w:val="0"/>
        <w:ind w:firstLine="708"/>
        <w:jc w:val="both"/>
        <w:rPr>
          <w:rFonts w:ascii="Abadi" w:hAnsi="Abadi" w:cs="*Arial-Italic-7855-Identity-H"/>
          <w:i/>
          <w:iCs/>
          <w:color w:val="0D0C0F"/>
          <w:sz w:val="21"/>
          <w:szCs w:val="21"/>
        </w:rPr>
      </w:pPr>
      <w:r w:rsidRPr="00494B56">
        <w:rPr>
          <w:rFonts w:ascii="Abadi" w:hAnsi="Abadi" w:cs="*Arial-7854-Identity-H"/>
          <w:color w:val="0D0C0F"/>
          <w:sz w:val="21"/>
          <w:szCs w:val="21"/>
        </w:rPr>
        <w:t xml:space="preserve">Finalmente, se establece un apartado denominado </w:t>
      </w:r>
      <w:r w:rsidRPr="00494B56">
        <w:rPr>
          <w:rFonts w:ascii="Abadi" w:hAnsi="Abadi" w:cs="*Arial-Italic-7855-Identity-H"/>
          <w:i/>
          <w:iCs/>
          <w:color w:val="0D0C0F"/>
          <w:sz w:val="21"/>
          <w:szCs w:val="21"/>
        </w:rPr>
        <w:t>Cuestiones clave de la</w:t>
      </w:r>
      <w:r>
        <w:rPr>
          <w:rFonts w:ascii="Abadi" w:hAnsi="Abadi" w:cs="*Arial-Italic-7855-Identity-H"/>
          <w:i/>
          <w:iCs/>
          <w:color w:val="0D0C0F"/>
          <w:sz w:val="21"/>
          <w:szCs w:val="21"/>
        </w:rPr>
        <w:t xml:space="preserve"> </w:t>
      </w:r>
      <w:r w:rsidRPr="00494B56">
        <w:rPr>
          <w:rFonts w:ascii="Abadi" w:hAnsi="Abadi" w:cs="*Arial-Italic-7855-Identity-H"/>
          <w:i/>
          <w:iCs/>
          <w:color w:val="0D0C0F"/>
          <w:sz w:val="21"/>
          <w:szCs w:val="21"/>
        </w:rPr>
        <w:t xml:space="preserve">auditoría en contexto de la pandemia del virus SARS-CoV2 </w:t>
      </w:r>
      <w:r w:rsidRPr="00494B56">
        <w:rPr>
          <w:rFonts w:ascii="Abadi" w:hAnsi="Abadi" w:cs="*Arial-7854-Identity-H"/>
          <w:color w:val="0D0C0F"/>
          <w:sz w:val="21"/>
          <w:szCs w:val="21"/>
        </w:rPr>
        <w:t>en el que se señala</w:t>
      </w:r>
      <w:r>
        <w:rPr>
          <w:rFonts w:ascii="Abadi" w:hAnsi="Abadi" w:cs="*Arial-Italic-7855-Identity-H"/>
          <w:i/>
          <w:iCs/>
          <w:color w:val="0D0C0F"/>
          <w:sz w:val="21"/>
          <w:szCs w:val="21"/>
        </w:rPr>
        <w:t xml:space="preserve"> </w:t>
      </w:r>
      <w:r w:rsidRPr="00494B56">
        <w:rPr>
          <w:rFonts w:ascii="Abadi" w:hAnsi="Abadi" w:cs="*Arial-7854-Identity-H"/>
          <w:color w:val="0D0C0F"/>
          <w:sz w:val="21"/>
          <w:szCs w:val="21"/>
        </w:rPr>
        <w:t>que con motivo de la emergencia sanitaria provocada por dicha pandemia y en</w:t>
      </w:r>
      <w:r>
        <w:rPr>
          <w:rFonts w:ascii="Abadi" w:hAnsi="Abadi" w:cs="*Arial-Italic-7855-Identity-H"/>
          <w:i/>
          <w:iCs/>
          <w:color w:val="0D0C0F"/>
          <w:sz w:val="21"/>
          <w:szCs w:val="21"/>
        </w:rPr>
        <w:t xml:space="preserve"> </w:t>
      </w:r>
      <w:r w:rsidRPr="00494B56">
        <w:rPr>
          <w:rFonts w:ascii="Abadi" w:hAnsi="Abadi" w:cs="*Arial-7854-Identity-H"/>
          <w:color w:val="0D0C0F"/>
          <w:sz w:val="21"/>
          <w:szCs w:val="21"/>
        </w:rPr>
        <w:t>atención a diversas disposiciones en salud pública emitidas por las autoridades</w:t>
      </w:r>
      <w:r>
        <w:rPr>
          <w:rFonts w:ascii="Abadi" w:hAnsi="Abadi" w:cs="*Arial-Italic-7855-Identity-H"/>
          <w:i/>
          <w:iCs/>
          <w:color w:val="0D0C0F"/>
          <w:sz w:val="21"/>
          <w:szCs w:val="21"/>
        </w:rPr>
        <w:t xml:space="preserve"> </w:t>
      </w:r>
      <w:r w:rsidRPr="00494B56">
        <w:rPr>
          <w:rFonts w:ascii="Abadi" w:hAnsi="Abadi" w:cs="*Arial-7854-Identity-H"/>
          <w:color w:val="0D0C0F"/>
          <w:sz w:val="21"/>
          <w:szCs w:val="21"/>
        </w:rPr>
        <w:t>federales y estatales competentes en la materia, se generaron cambios en el</w:t>
      </w:r>
      <w:r>
        <w:rPr>
          <w:rFonts w:ascii="Abadi" w:hAnsi="Abadi" w:cs="*Arial-Italic-7855-Identity-H"/>
          <w:i/>
          <w:iCs/>
          <w:color w:val="0D0C0F"/>
          <w:sz w:val="21"/>
          <w:szCs w:val="21"/>
        </w:rPr>
        <w:t xml:space="preserve"> </w:t>
      </w:r>
      <w:r w:rsidRPr="00494B56">
        <w:rPr>
          <w:rFonts w:ascii="Abadi" w:hAnsi="Abadi" w:cs="*Arial-7854-Identity-H"/>
          <w:color w:val="0D0C0F"/>
          <w:sz w:val="21"/>
          <w:szCs w:val="21"/>
        </w:rPr>
        <w:t>desarrollo de los asuntos competencia de la Auditoría Superior del Estado de</w:t>
      </w:r>
      <w:r>
        <w:rPr>
          <w:rFonts w:ascii="Abadi" w:hAnsi="Abadi" w:cs="*Arial-Italic-7855-Identity-H"/>
          <w:i/>
          <w:iCs/>
          <w:color w:val="0D0C0F"/>
          <w:sz w:val="21"/>
          <w:szCs w:val="21"/>
        </w:rPr>
        <w:t xml:space="preserve"> </w:t>
      </w:r>
      <w:r w:rsidRPr="00494B56">
        <w:rPr>
          <w:rFonts w:ascii="Abadi" w:hAnsi="Abadi" w:cs="*Arial-7854-Identity-H"/>
          <w:color w:val="0D0C0F"/>
          <w:sz w:val="21"/>
          <w:szCs w:val="21"/>
        </w:rPr>
        <w:t xml:space="preserve">Guanajuato, atendiendo al </w:t>
      </w:r>
      <w:r w:rsidRPr="00494B56">
        <w:rPr>
          <w:rFonts w:ascii="Abadi" w:hAnsi="Abadi" w:cs="*Arial-Italic-7855-Identity-H"/>
          <w:i/>
          <w:iCs/>
          <w:color w:val="0D0C0F"/>
          <w:sz w:val="21"/>
          <w:szCs w:val="21"/>
        </w:rPr>
        <w:t xml:space="preserve">Acuerdo relativo al trabajo </w:t>
      </w:r>
      <w:r w:rsidRPr="00494B56">
        <w:rPr>
          <w:rFonts w:ascii="Abadi" w:hAnsi="Abadi" w:cs="*Arial-7854-Identity-H"/>
          <w:color w:val="0D0C0F"/>
          <w:sz w:val="21"/>
          <w:szCs w:val="21"/>
        </w:rPr>
        <w:t xml:space="preserve">a </w:t>
      </w:r>
      <w:r w:rsidRPr="00494B56">
        <w:rPr>
          <w:rFonts w:ascii="Abadi" w:hAnsi="Abadi" w:cs="*Arial-Italic-7855-Identity-H"/>
          <w:i/>
          <w:iCs/>
          <w:color w:val="0D0C0F"/>
          <w:sz w:val="21"/>
          <w:szCs w:val="21"/>
        </w:rPr>
        <w:t xml:space="preserve">distancia </w:t>
      </w:r>
      <w:r w:rsidRPr="00494B56">
        <w:rPr>
          <w:rFonts w:ascii="Abadi" w:hAnsi="Abadi" w:cs="*Arial-7854-Identity-H"/>
          <w:color w:val="0D0C0F"/>
          <w:sz w:val="21"/>
          <w:szCs w:val="21"/>
        </w:rPr>
        <w:t>de fecha 17 de</w:t>
      </w:r>
      <w:r>
        <w:rPr>
          <w:rFonts w:ascii="Abadi" w:hAnsi="Abadi" w:cs="*Arial-Italic-7855-Identity-H"/>
          <w:i/>
          <w:iCs/>
          <w:color w:val="0D0C0F"/>
          <w:sz w:val="21"/>
          <w:szCs w:val="21"/>
        </w:rPr>
        <w:t xml:space="preserve"> </w:t>
      </w:r>
      <w:r w:rsidRPr="00494B56">
        <w:rPr>
          <w:rFonts w:ascii="Abadi" w:hAnsi="Abadi" w:cs="*Arial-7854-Identity-H"/>
          <w:color w:val="0D0C0F"/>
          <w:sz w:val="21"/>
          <w:szCs w:val="21"/>
        </w:rPr>
        <w:t>marzo de 2020 y su décimo sexto acuerdo modificatorio, aprovechando las</w:t>
      </w:r>
      <w:r>
        <w:rPr>
          <w:rFonts w:ascii="Abadi" w:hAnsi="Abadi" w:cs="*Arial-Italic-7855-Identity-H"/>
          <w:i/>
          <w:iCs/>
          <w:color w:val="0D0C0F"/>
          <w:sz w:val="21"/>
          <w:szCs w:val="21"/>
        </w:rPr>
        <w:t xml:space="preserve"> </w:t>
      </w:r>
      <w:r w:rsidRPr="00494B56">
        <w:rPr>
          <w:rFonts w:ascii="Abadi" w:hAnsi="Abadi" w:cs="*Arial-7854-Identity-H"/>
          <w:color w:val="0D0C0F"/>
          <w:sz w:val="21"/>
          <w:szCs w:val="21"/>
        </w:rPr>
        <w:t>herramientas tecnológicas de que dispone, así como la colaboración de los sujetos</w:t>
      </w:r>
      <w:r>
        <w:rPr>
          <w:rFonts w:ascii="Abadi" w:hAnsi="Abadi" w:cs="*Arial-Italic-7855-Identity-H"/>
          <w:i/>
          <w:iCs/>
          <w:color w:val="0D0C0F"/>
          <w:sz w:val="21"/>
          <w:szCs w:val="21"/>
        </w:rPr>
        <w:t xml:space="preserve"> </w:t>
      </w:r>
      <w:r w:rsidRPr="00494B56">
        <w:rPr>
          <w:rFonts w:ascii="Abadi" w:hAnsi="Abadi" w:cs="*Arial-7854-Identity-H"/>
          <w:color w:val="0D0C0F"/>
          <w:sz w:val="21"/>
          <w:szCs w:val="21"/>
        </w:rPr>
        <w:t>de fiscalización.</w:t>
      </w:r>
    </w:p>
    <w:p w14:paraId="68D4DDCE" w14:textId="77777777" w:rsidR="002F42D9" w:rsidRPr="00494B56" w:rsidRDefault="002F42D9" w:rsidP="002F42D9">
      <w:pPr>
        <w:autoSpaceDE w:val="0"/>
        <w:autoSpaceDN w:val="0"/>
        <w:adjustRightInd w:val="0"/>
        <w:ind w:firstLine="708"/>
        <w:jc w:val="both"/>
        <w:rPr>
          <w:rFonts w:ascii="Abadi" w:hAnsi="Abadi" w:cs="*Arial-7854-Identity-H"/>
          <w:color w:val="0C0C0E"/>
          <w:sz w:val="21"/>
          <w:szCs w:val="21"/>
        </w:rPr>
      </w:pPr>
    </w:p>
    <w:p w14:paraId="494E0D10" w14:textId="77777777" w:rsidR="002F42D9" w:rsidRPr="00494B56" w:rsidRDefault="002F42D9" w:rsidP="002F42D9">
      <w:pPr>
        <w:autoSpaceDE w:val="0"/>
        <w:autoSpaceDN w:val="0"/>
        <w:adjustRightInd w:val="0"/>
        <w:ind w:firstLine="708"/>
        <w:jc w:val="both"/>
        <w:rPr>
          <w:rFonts w:ascii="Abadi" w:hAnsi="Abadi" w:cs="*Arial-7854-Identity-H"/>
          <w:color w:val="0C0C0E"/>
          <w:sz w:val="21"/>
          <w:szCs w:val="21"/>
        </w:rPr>
      </w:pPr>
      <w:r w:rsidRPr="00494B56">
        <w:rPr>
          <w:rFonts w:ascii="Abadi" w:hAnsi="Abadi" w:cs="*Arial-7854-Identity-H"/>
          <w:color w:val="0C0C0E"/>
          <w:sz w:val="21"/>
          <w:szCs w:val="21"/>
        </w:rPr>
        <w:t>Es así, que si bien, el proceso de fiscalización ha continuado observando</w:t>
      </w:r>
      <w:r>
        <w:rPr>
          <w:rFonts w:ascii="Abadi" w:hAnsi="Abadi" w:cs="*Arial-7854-Identity-H"/>
          <w:color w:val="0C0C0E"/>
          <w:sz w:val="21"/>
          <w:szCs w:val="21"/>
        </w:rPr>
        <w:t xml:space="preserve"> </w:t>
      </w:r>
      <w:r w:rsidRPr="00494B56">
        <w:rPr>
          <w:rFonts w:ascii="Abadi" w:hAnsi="Abadi" w:cs="*Arial-7854-Identity-H"/>
          <w:color w:val="0C0C0E"/>
          <w:sz w:val="21"/>
          <w:szCs w:val="21"/>
        </w:rPr>
        <w:t>las medidas de confinamiento que las autoridades de salud han determinado y co</w:t>
      </w:r>
      <w:r>
        <w:rPr>
          <w:rFonts w:ascii="Abadi" w:hAnsi="Abadi" w:cs="*Arial-7854-Identity-H"/>
          <w:color w:val="0C0C0E"/>
          <w:sz w:val="21"/>
          <w:szCs w:val="21"/>
        </w:rPr>
        <w:t xml:space="preserve">n </w:t>
      </w:r>
      <w:r w:rsidRPr="00494B56">
        <w:rPr>
          <w:rFonts w:ascii="Abadi" w:hAnsi="Abadi" w:cs="*Arial-7854-Identity-H"/>
          <w:color w:val="0C0C0E"/>
          <w:sz w:val="21"/>
          <w:szCs w:val="21"/>
        </w:rPr>
        <w:t>el uso de las tecnologías de la información, por la propia naturaleza de la</w:t>
      </w:r>
      <w:r>
        <w:rPr>
          <w:rFonts w:ascii="Abadi" w:hAnsi="Abadi" w:cs="*Arial-7854-Identity-H"/>
          <w:color w:val="0C0C0E"/>
          <w:sz w:val="21"/>
          <w:szCs w:val="21"/>
        </w:rPr>
        <w:t xml:space="preserve"> </w:t>
      </w:r>
      <w:r w:rsidRPr="00494B56">
        <w:rPr>
          <w:rFonts w:ascii="Abadi" w:hAnsi="Abadi" w:cs="*Arial-7854-Identity-H"/>
          <w:color w:val="0C0C0E"/>
          <w:sz w:val="21"/>
          <w:szCs w:val="21"/>
        </w:rPr>
        <w:t>pandemia se generaron limitantes en la aplicación de los procedimientos de</w:t>
      </w:r>
      <w:r>
        <w:rPr>
          <w:rFonts w:ascii="Abadi" w:hAnsi="Abadi" w:cs="*Arial-7854-Identity-H"/>
          <w:color w:val="0C0C0E"/>
          <w:sz w:val="21"/>
          <w:szCs w:val="21"/>
        </w:rPr>
        <w:t xml:space="preserve"> </w:t>
      </w:r>
      <w:r w:rsidRPr="00494B56">
        <w:rPr>
          <w:rFonts w:ascii="Abadi" w:hAnsi="Abadi" w:cs="*Arial-7854-Identity-H"/>
          <w:color w:val="0C0C0E"/>
          <w:sz w:val="21"/>
          <w:szCs w:val="21"/>
        </w:rPr>
        <w:t>auditoría.</w:t>
      </w:r>
    </w:p>
    <w:p w14:paraId="525807DC" w14:textId="77777777" w:rsidR="002F42D9" w:rsidRPr="00494B56" w:rsidRDefault="002F42D9" w:rsidP="002F42D9">
      <w:pPr>
        <w:autoSpaceDE w:val="0"/>
        <w:autoSpaceDN w:val="0"/>
        <w:adjustRightInd w:val="0"/>
        <w:ind w:firstLine="708"/>
        <w:jc w:val="both"/>
        <w:rPr>
          <w:rFonts w:ascii="Abadi" w:hAnsi="Abadi" w:cs="*Arial-7854-Identity-H"/>
          <w:color w:val="0D0C0F"/>
          <w:sz w:val="21"/>
          <w:szCs w:val="21"/>
        </w:rPr>
      </w:pPr>
    </w:p>
    <w:p w14:paraId="16327617" w14:textId="77777777" w:rsidR="002F42D9" w:rsidRPr="00494B56" w:rsidRDefault="002F42D9" w:rsidP="002F42D9">
      <w:pPr>
        <w:autoSpaceDE w:val="0"/>
        <w:autoSpaceDN w:val="0"/>
        <w:adjustRightInd w:val="0"/>
        <w:ind w:firstLine="708"/>
        <w:jc w:val="both"/>
        <w:rPr>
          <w:rFonts w:ascii="Abadi" w:hAnsi="Abadi" w:cs="*Arial-7854-Identity-H"/>
          <w:color w:val="0D0C0F"/>
          <w:sz w:val="21"/>
          <w:szCs w:val="21"/>
        </w:rPr>
      </w:pPr>
      <w:r w:rsidRPr="00494B56">
        <w:rPr>
          <w:rFonts w:ascii="Abadi" w:hAnsi="Abadi" w:cs="*Arial-7854-Identity-H"/>
          <w:color w:val="0D0C0F"/>
          <w:sz w:val="21"/>
          <w:szCs w:val="21"/>
        </w:rPr>
        <w:t>En tal sentido se priorizó el enfoque de derechos humanos, velando por la</w:t>
      </w:r>
      <w:r>
        <w:rPr>
          <w:rFonts w:ascii="Abadi" w:hAnsi="Abadi" w:cs="*Arial-7854-Identity-H"/>
          <w:color w:val="0D0C0F"/>
          <w:sz w:val="21"/>
          <w:szCs w:val="21"/>
        </w:rPr>
        <w:t xml:space="preserve"> </w:t>
      </w:r>
      <w:r w:rsidRPr="00494B56">
        <w:rPr>
          <w:rFonts w:ascii="Abadi" w:hAnsi="Abadi" w:cs="*Arial-7854-Identity-H"/>
          <w:color w:val="0D0C0F"/>
          <w:sz w:val="21"/>
          <w:szCs w:val="21"/>
        </w:rPr>
        <w:t>protección del derecho humano a la salud, respetando las limitaciones y</w:t>
      </w:r>
      <w:r>
        <w:rPr>
          <w:rFonts w:ascii="Abadi" w:hAnsi="Abadi" w:cs="*Arial-7854-Identity-H"/>
          <w:color w:val="0D0C0F"/>
          <w:sz w:val="21"/>
          <w:szCs w:val="21"/>
        </w:rPr>
        <w:t xml:space="preserve"> </w:t>
      </w:r>
      <w:r w:rsidRPr="00494B56">
        <w:rPr>
          <w:rFonts w:ascii="Abadi" w:hAnsi="Abadi" w:cs="*Arial-7854-Identity-H"/>
          <w:color w:val="0D0C0F"/>
          <w:sz w:val="21"/>
          <w:szCs w:val="21"/>
        </w:rPr>
        <w:t>restricciones a los derechos humanos establecidas en la propia Constitución.</w:t>
      </w:r>
    </w:p>
    <w:p w14:paraId="28E90ACD" w14:textId="77777777" w:rsidR="002F42D9" w:rsidRPr="00494B56" w:rsidRDefault="002F42D9" w:rsidP="002F42D9">
      <w:pPr>
        <w:autoSpaceDE w:val="0"/>
        <w:autoSpaceDN w:val="0"/>
        <w:adjustRightInd w:val="0"/>
        <w:jc w:val="both"/>
        <w:rPr>
          <w:rFonts w:ascii="Abadi" w:hAnsi="Abadi" w:cs="*Arial-7854-Identity-H"/>
          <w:color w:val="0D0C0F"/>
          <w:sz w:val="21"/>
          <w:szCs w:val="21"/>
        </w:rPr>
      </w:pPr>
    </w:p>
    <w:p w14:paraId="0F502807" w14:textId="77777777" w:rsidR="002F42D9" w:rsidRPr="00494B56" w:rsidRDefault="002F42D9" w:rsidP="00B51BD1">
      <w:pPr>
        <w:autoSpaceDE w:val="0"/>
        <w:autoSpaceDN w:val="0"/>
        <w:adjustRightInd w:val="0"/>
        <w:ind w:firstLine="708"/>
        <w:jc w:val="both"/>
        <w:rPr>
          <w:rFonts w:ascii="Abadi" w:hAnsi="Abadi" w:cs="*Verdana-Bold-6536-Identity-H"/>
          <w:b/>
          <w:bCs/>
          <w:color w:val="0E0D12"/>
          <w:sz w:val="21"/>
          <w:szCs w:val="21"/>
        </w:rPr>
      </w:pPr>
      <w:r w:rsidRPr="00494B56">
        <w:rPr>
          <w:rFonts w:ascii="Abadi" w:hAnsi="Abadi" w:cs="*Verdana-Bold-6536-Identity-H"/>
          <w:b/>
          <w:bCs/>
          <w:color w:val="0E0D12"/>
          <w:sz w:val="21"/>
          <w:szCs w:val="21"/>
        </w:rPr>
        <w:t>c) Resumen de las recomendaciones.</w:t>
      </w:r>
    </w:p>
    <w:p w14:paraId="111C47F2" w14:textId="77777777" w:rsidR="002F42D9" w:rsidRPr="00494B56" w:rsidRDefault="002F42D9" w:rsidP="002F42D9">
      <w:pPr>
        <w:autoSpaceDE w:val="0"/>
        <w:autoSpaceDN w:val="0"/>
        <w:adjustRightInd w:val="0"/>
        <w:jc w:val="both"/>
        <w:rPr>
          <w:rFonts w:ascii="Abadi" w:hAnsi="Abadi" w:cs="*Arial-6535-Identity-H"/>
          <w:color w:val="191919"/>
          <w:sz w:val="21"/>
          <w:szCs w:val="21"/>
        </w:rPr>
      </w:pPr>
    </w:p>
    <w:p w14:paraId="0500D99F" w14:textId="77777777" w:rsidR="002F42D9" w:rsidRPr="00494B56" w:rsidRDefault="002F42D9" w:rsidP="002F42D9">
      <w:pPr>
        <w:autoSpaceDE w:val="0"/>
        <w:autoSpaceDN w:val="0"/>
        <w:adjustRightInd w:val="0"/>
        <w:ind w:firstLine="708"/>
        <w:jc w:val="both"/>
        <w:rPr>
          <w:rFonts w:ascii="Abadi" w:hAnsi="Abadi" w:cs="*Arial-6534-Identity-H"/>
          <w:color w:val="0C0C0F"/>
          <w:sz w:val="21"/>
          <w:szCs w:val="21"/>
        </w:rPr>
      </w:pPr>
      <w:r w:rsidRPr="00494B56">
        <w:rPr>
          <w:rFonts w:ascii="Abadi" w:hAnsi="Abadi" w:cs="*Arial-6534-Identity-H"/>
          <w:color w:val="0C0C0F"/>
          <w:sz w:val="21"/>
          <w:szCs w:val="21"/>
        </w:rPr>
        <w:t>En este punto se establece un resumen exclusivamente de los resultados</w:t>
      </w:r>
      <w:r>
        <w:rPr>
          <w:rFonts w:ascii="Abadi" w:hAnsi="Abadi" w:cs="*Arial-6534-Identity-H"/>
          <w:color w:val="0C0C0F"/>
          <w:sz w:val="21"/>
          <w:szCs w:val="21"/>
        </w:rPr>
        <w:t xml:space="preserve"> </w:t>
      </w:r>
      <w:r w:rsidRPr="00494B56">
        <w:rPr>
          <w:rFonts w:ascii="Abadi" w:hAnsi="Abadi" w:cs="*Arial-6534-Identity-H"/>
          <w:color w:val="0C0C0F"/>
          <w:sz w:val="21"/>
          <w:szCs w:val="21"/>
        </w:rPr>
        <w:t>que generaron recomendación producto de un área de oportunidad o mejora</w:t>
      </w:r>
      <w:r>
        <w:rPr>
          <w:rFonts w:ascii="Abadi" w:hAnsi="Abadi" w:cs="*Arial-6534-Identity-H"/>
          <w:color w:val="0C0C0F"/>
          <w:sz w:val="21"/>
          <w:szCs w:val="21"/>
        </w:rPr>
        <w:t xml:space="preserve"> </w:t>
      </w:r>
      <w:r w:rsidRPr="00494B56">
        <w:rPr>
          <w:rFonts w:ascii="Abadi" w:hAnsi="Abadi" w:cs="*Arial-6534-Identity-H"/>
          <w:color w:val="0C0C0F"/>
          <w:sz w:val="21"/>
          <w:szCs w:val="21"/>
        </w:rPr>
        <w:t>sugerida por el Órgano Técnico, agrupados bajo su respectiva vertiente, con su</w:t>
      </w:r>
      <w:r>
        <w:rPr>
          <w:rFonts w:ascii="Abadi" w:hAnsi="Abadi" w:cs="*Arial-6534-Identity-H"/>
          <w:color w:val="0C0C0F"/>
          <w:sz w:val="21"/>
          <w:szCs w:val="21"/>
        </w:rPr>
        <w:t xml:space="preserve"> </w:t>
      </w:r>
      <w:r w:rsidRPr="00494B56">
        <w:rPr>
          <w:rFonts w:ascii="Abadi" w:hAnsi="Abadi" w:cs="*Arial-6534-Identity-H"/>
          <w:color w:val="0C0C0F"/>
          <w:sz w:val="21"/>
          <w:szCs w:val="21"/>
        </w:rPr>
        <w:t>síntesis de la valoración efectuada, precisando que del análisis a la respuesta del</w:t>
      </w:r>
      <w:r>
        <w:rPr>
          <w:rFonts w:ascii="Abadi" w:hAnsi="Abadi" w:cs="*Arial-6534-Identity-H"/>
          <w:color w:val="0C0C0F"/>
          <w:sz w:val="21"/>
          <w:szCs w:val="21"/>
        </w:rPr>
        <w:t xml:space="preserve"> </w:t>
      </w:r>
      <w:r w:rsidRPr="00494B56">
        <w:rPr>
          <w:rFonts w:ascii="Abadi" w:hAnsi="Abadi" w:cs="*Arial-6534-Identity-H"/>
          <w:color w:val="0C0C0F"/>
          <w:sz w:val="21"/>
          <w:szCs w:val="21"/>
        </w:rPr>
        <w:t>pliego de recomendaciones se desprende que el sujeto fiscalizado en las 1O</w:t>
      </w:r>
      <w:r>
        <w:rPr>
          <w:rFonts w:ascii="Abadi" w:hAnsi="Abadi" w:cs="*Arial-6534-Identity-H"/>
          <w:color w:val="0C0C0F"/>
          <w:sz w:val="21"/>
          <w:szCs w:val="21"/>
        </w:rPr>
        <w:t xml:space="preserve"> </w:t>
      </w:r>
      <w:r w:rsidRPr="00494B56">
        <w:rPr>
          <w:rFonts w:ascii="Abadi" w:hAnsi="Abadi" w:cs="*Arial-6534-Identity-H"/>
          <w:color w:val="0C0C0F"/>
          <w:sz w:val="21"/>
          <w:szCs w:val="21"/>
        </w:rPr>
        <w:t>recomendaciones formuladas se comprometió a realizar acciones en un plazo</w:t>
      </w:r>
      <w:r>
        <w:rPr>
          <w:rFonts w:ascii="Abadi" w:hAnsi="Abadi" w:cs="*Arial-6534-Identity-H"/>
          <w:color w:val="0C0C0F"/>
          <w:sz w:val="21"/>
          <w:szCs w:val="21"/>
        </w:rPr>
        <w:t xml:space="preserve"> </w:t>
      </w:r>
      <w:r w:rsidRPr="00494B56">
        <w:rPr>
          <w:rFonts w:ascii="Abadi" w:hAnsi="Abadi" w:cs="*Arial-6534-Identity-H"/>
          <w:color w:val="0C0C0F"/>
          <w:sz w:val="21"/>
          <w:szCs w:val="21"/>
        </w:rPr>
        <w:t>futuro para su atención. A dichas recomendaciones dará seguimiento el Órgano</w:t>
      </w:r>
      <w:r>
        <w:rPr>
          <w:rFonts w:ascii="Abadi" w:hAnsi="Abadi" w:cs="*Arial-6534-Identity-H"/>
          <w:color w:val="0C0C0F"/>
          <w:sz w:val="21"/>
          <w:szCs w:val="21"/>
        </w:rPr>
        <w:t xml:space="preserve"> </w:t>
      </w:r>
      <w:r w:rsidRPr="00494B56">
        <w:rPr>
          <w:rFonts w:ascii="Abadi" w:hAnsi="Abadi" w:cs="*Arial-6534-Identity-H"/>
          <w:color w:val="0C0C0F"/>
          <w:sz w:val="21"/>
          <w:szCs w:val="21"/>
        </w:rPr>
        <w:t>Técnico en la etapa correspondiente, de conformidad con el ordenamiento legal</w:t>
      </w:r>
      <w:r>
        <w:rPr>
          <w:rFonts w:ascii="Abadi" w:hAnsi="Abadi" w:cs="*Arial-6534-Identity-H"/>
          <w:color w:val="0C0C0F"/>
          <w:sz w:val="21"/>
          <w:szCs w:val="21"/>
        </w:rPr>
        <w:t xml:space="preserve"> </w:t>
      </w:r>
      <w:r w:rsidRPr="00494B56">
        <w:rPr>
          <w:rFonts w:ascii="Abadi" w:hAnsi="Abadi" w:cs="*Arial-6534-Identity-H"/>
          <w:color w:val="0C0C0F"/>
          <w:sz w:val="21"/>
          <w:szCs w:val="21"/>
        </w:rPr>
        <w:t>respectivo.</w:t>
      </w:r>
    </w:p>
    <w:p w14:paraId="0CA95FEA" w14:textId="77777777" w:rsidR="002F42D9" w:rsidRPr="00494B56" w:rsidRDefault="002F42D9" w:rsidP="002F42D9">
      <w:pPr>
        <w:autoSpaceDE w:val="0"/>
        <w:autoSpaceDN w:val="0"/>
        <w:adjustRightInd w:val="0"/>
        <w:jc w:val="both"/>
        <w:rPr>
          <w:rFonts w:ascii="Abadi" w:hAnsi="Abadi" w:cs="*Arial-6534-Identity-H"/>
          <w:color w:val="0C0C0F"/>
          <w:sz w:val="21"/>
          <w:szCs w:val="21"/>
        </w:rPr>
      </w:pPr>
    </w:p>
    <w:p w14:paraId="58D13B7E" w14:textId="77777777" w:rsidR="002F42D9" w:rsidRPr="00494B56" w:rsidRDefault="002F42D9" w:rsidP="002F42D9">
      <w:pPr>
        <w:autoSpaceDE w:val="0"/>
        <w:autoSpaceDN w:val="0"/>
        <w:adjustRightInd w:val="0"/>
        <w:jc w:val="both"/>
        <w:rPr>
          <w:rFonts w:ascii="Abadi" w:hAnsi="Abadi" w:cs="*Verdana-Bold-6536-Identity-H"/>
          <w:b/>
          <w:bCs/>
          <w:color w:val="0C0C0F"/>
          <w:sz w:val="21"/>
          <w:szCs w:val="21"/>
        </w:rPr>
      </w:pPr>
      <w:r w:rsidRPr="00494B56">
        <w:rPr>
          <w:rFonts w:ascii="Abadi" w:hAnsi="Abadi" w:cs="*Verdana-Bold-6536-Identity-H"/>
          <w:b/>
          <w:bCs/>
          <w:color w:val="0C0C0F"/>
          <w:sz w:val="21"/>
          <w:szCs w:val="21"/>
        </w:rPr>
        <w:t>d) Conclusión General.</w:t>
      </w:r>
    </w:p>
    <w:p w14:paraId="6DE44669" w14:textId="77777777" w:rsidR="002F42D9" w:rsidRPr="00494B56" w:rsidRDefault="002F42D9" w:rsidP="002F42D9">
      <w:pPr>
        <w:autoSpaceDE w:val="0"/>
        <w:autoSpaceDN w:val="0"/>
        <w:adjustRightInd w:val="0"/>
        <w:jc w:val="both"/>
        <w:rPr>
          <w:rFonts w:ascii="Abadi" w:hAnsi="Abadi" w:cs="*Verdana-Bold-6536-Identity-H"/>
          <w:b/>
          <w:bCs/>
          <w:color w:val="0C0C0F"/>
          <w:sz w:val="21"/>
          <w:szCs w:val="21"/>
        </w:rPr>
      </w:pPr>
    </w:p>
    <w:p w14:paraId="3D9E60A8" w14:textId="17E74116" w:rsidR="002F42D9" w:rsidRPr="00494B56" w:rsidRDefault="002F42D9" w:rsidP="004818C3">
      <w:pPr>
        <w:autoSpaceDE w:val="0"/>
        <w:autoSpaceDN w:val="0"/>
        <w:adjustRightInd w:val="0"/>
        <w:ind w:firstLine="708"/>
        <w:jc w:val="both"/>
        <w:rPr>
          <w:rFonts w:ascii="Abadi" w:hAnsi="Abadi" w:cs="*Arial-6534-Identity-H"/>
          <w:color w:val="0D0D0F"/>
          <w:sz w:val="21"/>
          <w:szCs w:val="21"/>
        </w:rPr>
      </w:pPr>
      <w:r w:rsidRPr="00494B56">
        <w:rPr>
          <w:rFonts w:ascii="Abadi" w:hAnsi="Abadi" w:cs="*Arial-6534-Identity-H"/>
          <w:color w:val="0D0D0F"/>
          <w:sz w:val="21"/>
          <w:szCs w:val="21"/>
        </w:rPr>
        <w:t>La Auditoria Superior del Estado concluyó que los servicios públicos se</w:t>
      </w:r>
      <w:r>
        <w:rPr>
          <w:rFonts w:ascii="Abadi" w:hAnsi="Abadi" w:cs="*Arial-6534-Identity-H"/>
          <w:color w:val="0D0D0F"/>
          <w:sz w:val="21"/>
          <w:szCs w:val="21"/>
        </w:rPr>
        <w:t xml:space="preserve"> </w:t>
      </w:r>
      <w:r w:rsidRPr="00494B56">
        <w:rPr>
          <w:rFonts w:ascii="Abadi" w:hAnsi="Abadi" w:cs="*Arial-6534-Identity-H"/>
          <w:color w:val="0D0D0F"/>
          <w:sz w:val="21"/>
          <w:szCs w:val="21"/>
        </w:rPr>
        <w:t>pueden entender como toda prestación concreta que tienda a satisfacer, de</w:t>
      </w:r>
      <w:r>
        <w:rPr>
          <w:rFonts w:ascii="Abadi" w:hAnsi="Abadi" w:cs="*Arial-6534-Identity-H"/>
          <w:color w:val="0D0D0F"/>
          <w:sz w:val="21"/>
          <w:szCs w:val="21"/>
        </w:rPr>
        <w:t xml:space="preserve"> </w:t>
      </w:r>
      <w:r w:rsidRPr="00494B56">
        <w:rPr>
          <w:rFonts w:ascii="Abadi" w:hAnsi="Abadi" w:cs="*Arial-6534-Identity-H"/>
          <w:color w:val="0D0D0F"/>
          <w:sz w:val="21"/>
          <w:szCs w:val="21"/>
        </w:rPr>
        <w:t>manera regular, continua y uniforme, las necesidades sociales de carácter</w:t>
      </w:r>
      <w:r>
        <w:rPr>
          <w:rFonts w:ascii="Abadi" w:hAnsi="Abadi" w:cs="*Arial-6534-Identity-H"/>
          <w:color w:val="0D0D0F"/>
          <w:sz w:val="21"/>
          <w:szCs w:val="21"/>
        </w:rPr>
        <w:t xml:space="preserve"> </w:t>
      </w:r>
      <w:r w:rsidRPr="00494B56">
        <w:rPr>
          <w:rFonts w:ascii="Abadi" w:hAnsi="Abadi" w:cs="*Arial-6534-Identity-H"/>
          <w:color w:val="0D0D0F"/>
          <w:sz w:val="21"/>
          <w:szCs w:val="21"/>
        </w:rPr>
        <w:t>general, básico o fundamental, en beneficio indiscriminado de toda la ciudadanía.</w:t>
      </w:r>
      <w:r>
        <w:rPr>
          <w:rFonts w:ascii="Abadi" w:hAnsi="Abadi" w:cs="*Arial-6534-Identity-H"/>
          <w:color w:val="0D0D0F"/>
          <w:sz w:val="21"/>
          <w:szCs w:val="21"/>
        </w:rPr>
        <w:t xml:space="preserve"> </w:t>
      </w:r>
      <w:r w:rsidRPr="00494B56">
        <w:rPr>
          <w:rFonts w:ascii="Abadi" w:hAnsi="Abadi" w:cs="*Arial-6534-Identity-H"/>
          <w:color w:val="0D0D0F"/>
          <w:sz w:val="21"/>
          <w:szCs w:val="21"/>
        </w:rPr>
        <w:t>De su adecuada prestación depende, en cierta medida, la calidad de vida de las</w:t>
      </w:r>
      <w:r w:rsidR="004818C3">
        <w:rPr>
          <w:rFonts w:ascii="Abadi" w:hAnsi="Abadi" w:cs="*Arial-6534-Identity-H"/>
          <w:color w:val="0D0D0F"/>
          <w:sz w:val="21"/>
          <w:szCs w:val="21"/>
        </w:rPr>
        <w:t xml:space="preserve"> </w:t>
      </w:r>
      <w:r w:rsidRPr="00494B56">
        <w:rPr>
          <w:rFonts w:ascii="Abadi" w:hAnsi="Abadi" w:cs="*Arial-6534-Identity-H"/>
          <w:color w:val="0D0D0F"/>
          <w:sz w:val="21"/>
          <w:szCs w:val="21"/>
        </w:rPr>
        <w:t>personas.</w:t>
      </w:r>
    </w:p>
    <w:p w14:paraId="7FEED3C3" w14:textId="77777777" w:rsidR="002F42D9" w:rsidRPr="00494B56" w:rsidRDefault="002F42D9" w:rsidP="002F42D9">
      <w:pPr>
        <w:autoSpaceDE w:val="0"/>
        <w:autoSpaceDN w:val="0"/>
        <w:adjustRightInd w:val="0"/>
        <w:jc w:val="both"/>
        <w:rPr>
          <w:rFonts w:ascii="Abadi" w:hAnsi="Abadi" w:cs="*Arial-6534-Identity-H"/>
          <w:color w:val="0D0D0F"/>
          <w:sz w:val="21"/>
          <w:szCs w:val="21"/>
        </w:rPr>
      </w:pPr>
    </w:p>
    <w:p w14:paraId="083ECBAA" w14:textId="260F9B7C" w:rsidR="002F42D9" w:rsidRPr="00494B56" w:rsidRDefault="002F42D9" w:rsidP="002F42D9">
      <w:pPr>
        <w:autoSpaceDE w:val="0"/>
        <w:autoSpaceDN w:val="0"/>
        <w:adjustRightInd w:val="0"/>
        <w:ind w:firstLine="708"/>
        <w:jc w:val="both"/>
        <w:rPr>
          <w:rFonts w:ascii="Abadi" w:hAnsi="Abadi" w:cs="*Arial-6534-Identity-H"/>
          <w:color w:val="0C0C0F"/>
          <w:sz w:val="21"/>
          <w:szCs w:val="21"/>
        </w:rPr>
      </w:pPr>
      <w:r w:rsidRPr="00494B56">
        <w:rPr>
          <w:rFonts w:ascii="Abadi" w:hAnsi="Abadi" w:cs="*Arial-6534-Identity-H"/>
          <w:color w:val="0C0C0F"/>
          <w:sz w:val="21"/>
          <w:szCs w:val="21"/>
        </w:rPr>
        <w:t xml:space="preserve">De igual forma, se refiere que el artículo 115, fracción </w:t>
      </w:r>
      <w:r w:rsidR="00015D8C">
        <w:rPr>
          <w:rFonts w:ascii="Abadi" w:hAnsi="Abadi" w:cs="*Arial-6534-Identity-H"/>
          <w:color w:val="0C0C0F"/>
          <w:sz w:val="21"/>
          <w:szCs w:val="21"/>
        </w:rPr>
        <w:t>III</w:t>
      </w:r>
      <w:r w:rsidRPr="00494B56">
        <w:rPr>
          <w:rFonts w:ascii="Abadi" w:hAnsi="Abadi" w:cs="*Arial-6534-Identity-H"/>
          <w:color w:val="0C0C0F"/>
          <w:sz w:val="21"/>
          <w:szCs w:val="21"/>
        </w:rPr>
        <w:t>, inciso b, de la</w:t>
      </w:r>
      <w:r>
        <w:rPr>
          <w:rFonts w:ascii="Abadi" w:hAnsi="Abadi" w:cs="*Arial-6534-Identity-H"/>
          <w:color w:val="0C0C0F"/>
          <w:sz w:val="21"/>
          <w:szCs w:val="21"/>
        </w:rPr>
        <w:t xml:space="preserve"> </w:t>
      </w:r>
      <w:r w:rsidRPr="00494B56">
        <w:rPr>
          <w:rFonts w:ascii="Abadi" w:hAnsi="Abadi" w:cs="*Arial-6534-Identity-H"/>
          <w:color w:val="0C0C0F"/>
          <w:sz w:val="21"/>
          <w:szCs w:val="21"/>
        </w:rPr>
        <w:t>Constitución Política de los Estados Unidos Mexicanos establece al alumbrado</w:t>
      </w:r>
      <w:r>
        <w:rPr>
          <w:rFonts w:ascii="Abadi" w:hAnsi="Abadi" w:cs="*Arial-6534-Identity-H"/>
          <w:color w:val="0C0C0F"/>
          <w:sz w:val="21"/>
          <w:szCs w:val="21"/>
        </w:rPr>
        <w:t xml:space="preserve"> </w:t>
      </w:r>
      <w:r w:rsidRPr="00494B56">
        <w:rPr>
          <w:rFonts w:ascii="Abadi" w:hAnsi="Abadi" w:cs="*Arial-6534-Identity-H"/>
          <w:color w:val="0C0C0F"/>
          <w:sz w:val="21"/>
          <w:szCs w:val="21"/>
        </w:rPr>
        <w:t>público como uno de los servicios públicos que los municipios tienen a su cargo.</w:t>
      </w:r>
      <w:r>
        <w:rPr>
          <w:rFonts w:ascii="Abadi" w:hAnsi="Abadi" w:cs="*Arial-6534-Identity-H"/>
          <w:color w:val="0C0C0F"/>
          <w:sz w:val="21"/>
          <w:szCs w:val="21"/>
        </w:rPr>
        <w:t xml:space="preserve"> </w:t>
      </w:r>
      <w:r w:rsidRPr="00494B56">
        <w:rPr>
          <w:rFonts w:ascii="Abadi" w:hAnsi="Abadi" w:cs="*Arial-6534-Identity-H"/>
          <w:color w:val="0C0C0F"/>
          <w:sz w:val="21"/>
          <w:szCs w:val="21"/>
        </w:rPr>
        <w:t>Por su parte, a nivel local, en el artículo 117 de la Constitución Política para el</w:t>
      </w:r>
      <w:r>
        <w:rPr>
          <w:rFonts w:ascii="Abadi" w:hAnsi="Abadi" w:cs="*Arial-6534-Identity-H"/>
          <w:color w:val="0C0C0F"/>
          <w:sz w:val="21"/>
          <w:szCs w:val="21"/>
        </w:rPr>
        <w:t xml:space="preserve"> </w:t>
      </w:r>
      <w:r w:rsidRPr="00494B56">
        <w:rPr>
          <w:rFonts w:ascii="Abadi" w:hAnsi="Abadi" w:cs="*Arial-6534-Identity-H"/>
          <w:color w:val="0C0C0F"/>
          <w:sz w:val="21"/>
          <w:szCs w:val="21"/>
        </w:rPr>
        <w:t>Estado de Guanajuato se dispone la misma responsabilidad para este ámbito de</w:t>
      </w:r>
    </w:p>
    <w:p w14:paraId="6C17FAEB" w14:textId="77777777" w:rsidR="002F42D9" w:rsidRPr="00494B56" w:rsidRDefault="002F42D9" w:rsidP="002F42D9">
      <w:pPr>
        <w:autoSpaceDE w:val="0"/>
        <w:autoSpaceDN w:val="0"/>
        <w:adjustRightInd w:val="0"/>
        <w:jc w:val="both"/>
        <w:rPr>
          <w:rFonts w:ascii="Abadi" w:hAnsi="Abadi" w:cs="*Arial-6534-Identity-H"/>
          <w:color w:val="0C0C0F"/>
          <w:sz w:val="21"/>
          <w:szCs w:val="21"/>
        </w:rPr>
      </w:pPr>
      <w:r w:rsidRPr="00494B56">
        <w:rPr>
          <w:rFonts w:ascii="Abadi" w:hAnsi="Abadi" w:cs="*Arial-6534-Identity-H"/>
          <w:color w:val="0C0C0F"/>
          <w:sz w:val="21"/>
          <w:szCs w:val="21"/>
        </w:rPr>
        <w:t>gobierno.</w:t>
      </w:r>
    </w:p>
    <w:p w14:paraId="6F01F21E" w14:textId="77777777" w:rsidR="002F42D9" w:rsidRPr="00494B56" w:rsidRDefault="002F42D9" w:rsidP="002F42D9">
      <w:pPr>
        <w:autoSpaceDE w:val="0"/>
        <w:autoSpaceDN w:val="0"/>
        <w:adjustRightInd w:val="0"/>
        <w:jc w:val="both"/>
        <w:rPr>
          <w:rFonts w:ascii="Abadi" w:hAnsi="Abadi" w:cs="*Arial-6534-Identity-H"/>
          <w:color w:val="0C0C0F"/>
          <w:sz w:val="21"/>
          <w:szCs w:val="21"/>
        </w:rPr>
      </w:pPr>
    </w:p>
    <w:p w14:paraId="38B266B4" w14:textId="3E62A6C2" w:rsidR="002F42D9" w:rsidRPr="00494B56" w:rsidRDefault="002F42D9" w:rsidP="002F42D9">
      <w:pPr>
        <w:autoSpaceDE w:val="0"/>
        <w:autoSpaceDN w:val="0"/>
        <w:adjustRightInd w:val="0"/>
        <w:ind w:firstLine="708"/>
        <w:jc w:val="both"/>
        <w:rPr>
          <w:rFonts w:ascii="Abadi" w:hAnsi="Abadi" w:cs="*Arial-6534-Identity-H"/>
          <w:color w:val="0C0C0F"/>
          <w:sz w:val="21"/>
          <w:szCs w:val="21"/>
        </w:rPr>
      </w:pPr>
      <w:r w:rsidRPr="00494B56">
        <w:rPr>
          <w:rFonts w:ascii="Abadi" w:hAnsi="Abadi" w:cs="*Arial-6534-Identity-H"/>
          <w:color w:val="0C0C0F"/>
          <w:sz w:val="21"/>
          <w:szCs w:val="21"/>
        </w:rPr>
        <w:t>En este sentido, el alumbrado público es un serv</w:t>
      </w:r>
      <w:r w:rsidR="0042658F">
        <w:rPr>
          <w:rFonts w:ascii="Abadi" w:hAnsi="Abadi" w:cs="*Arial-6534-Identity-H"/>
          <w:color w:val="0C0C0F"/>
          <w:sz w:val="21"/>
          <w:szCs w:val="21"/>
        </w:rPr>
        <w:t xml:space="preserve">icio </w:t>
      </w:r>
      <w:r w:rsidRPr="00494B56">
        <w:rPr>
          <w:rFonts w:ascii="Abadi" w:hAnsi="Abadi" w:cs="*Arial-6534-Identity-H"/>
          <w:color w:val="0C0C0F"/>
          <w:sz w:val="21"/>
          <w:szCs w:val="21"/>
        </w:rPr>
        <w:t>que tiene como</w:t>
      </w:r>
      <w:r>
        <w:rPr>
          <w:rFonts w:ascii="Abadi" w:hAnsi="Abadi" w:cs="*Arial-6534-Identity-H"/>
          <w:color w:val="0C0C0F"/>
          <w:sz w:val="21"/>
          <w:szCs w:val="21"/>
        </w:rPr>
        <w:t xml:space="preserve"> </w:t>
      </w:r>
      <w:r w:rsidRPr="00494B56">
        <w:rPr>
          <w:rFonts w:ascii="Abadi" w:hAnsi="Abadi" w:cs="*Arial-6534-Identity-H"/>
          <w:color w:val="0C0C0F"/>
          <w:sz w:val="21"/>
          <w:szCs w:val="21"/>
        </w:rPr>
        <w:t>objetivo el desarrollo de un entorno cómodo y seguro para facilitar la movilidad de</w:t>
      </w:r>
      <w:r>
        <w:rPr>
          <w:rFonts w:ascii="Abadi" w:hAnsi="Abadi" w:cs="*Arial-6534-Identity-H"/>
          <w:color w:val="0C0C0F"/>
          <w:sz w:val="21"/>
          <w:szCs w:val="21"/>
        </w:rPr>
        <w:t xml:space="preserve"> </w:t>
      </w:r>
      <w:r w:rsidRPr="00494B56">
        <w:rPr>
          <w:rFonts w:ascii="Abadi" w:hAnsi="Abadi" w:cs="*Arial-6534-Identity-H"/>
          <w:color w:val="0C0C0F"/>
          <w:sz w:val="21"/>
          <w:szCs w:val="21"/>
        </w:rPr>
        <w:t>la población, el disfrute de la ciudad, del patrimonio cultural y de los espacios</w:t>
      </w:r>
      <w:r>
        <w:rPr>
          <w:rFonts w:ascii="Abadi" w:hAnsi="Abadi" w:cs="*Arial-6534-Identity-H"/>
          <w:color w:val="0C0C0F"/>
          <w:sz w:val="21"/>
          <w:szCs w:val="21"/>
        </w:rPr>
        <w:t xml:space="preserve"> </w:t>
      </w:r>
      <w:r w:rsidRPr="00494B56">
        <w:rPr>
          <w:rFonts w:ascii="Abadi" w:hAnsi="Abadi" w:cs="*Arial-6534-Identity-H"/>
          <w:color w:val="0C0C0F"/>
          <w:sz w:val="21"/>
          <w:szCs w:val="21"/>
        </w:rPr>
        <w:t>públicos; a su vez, mantiene una estrecha relación con la creación de condiciones</w:t>
      </w:r>
      <w:r>
        <w:rPr>
          <w:rFonts w:ascii="Abadi" w:hAnsi="Abadi" w:cs="*Arial-6534-Identity-H"/>
          <w:color w:val="0C0C0F"/>
          <w:sz w:val="21"/>
          <w:szCs w:val="21"/>
        </w:rPr>
        <w:t xml:space="preserve"> </w:t>
      </w:r>
      <w:r w:rsidRPr="00494B56">
        <w:rPr>
          <w:rFonts w:ascii="Abadi" w:hAnsi="Abadi" w:cs="*Arial-6534-Identity-H"/>
          <w:color w:val="0C0C0F"/>
          <w:sz w:val="21"/>
          <w:szCs w:val="21"/>
        </w:rPr>
        <w:t>de seguridad en la vida cotidiana de la población, esto último por considerase un</w:t>
      </w:r>
      <w:r>
        <w:rPr>
          <w:rFonts w:ascii="Abadi" w:hAnsi="Abadi" w:cs="*Arial-6534-Identity-H"/>
          <w:color w:val="0C0C0F"/>
          <w:sz w:val="21"/>
          <w:szCs w:val="21"/>
        </w:rPr>
        <w:t xml:space="preserve"> </w:t>
      </w:r>
      <w:r w:rsidRPr="00494B56">
        <w:rPr>
          <w:rFonts w:ascii="Abadi" w:hAnsi="Abadi" w:cs="*Arial-6534-Identity-H"/>
          <w:color w:val="0C0C0F"/>
          <w:sz w:val="21"/>
          <w:szCs w:val="21"/>
        </w:rPr>
        <w:t>factor que contribuye a reducir la percepción de inseguridad.</w:t>
      </w:r>
    </w:p>
    <w:p w14:paraId="2F1AE055" w14:textId="77777777" w:rsidR="002F42D9" w:rsidRPr="00494B56" w:rsidRDefault="002F42D9" w:rsidP="002F42D9">
      <w:pPr>
        <w:autoSpaceDE w:val="0"/>
        <w:autoSpaceDN w:val="0"/>
        <w:adjustRightInd w:val="0"/>
        <w:jc w:val="both"/>
        <w:rPr>
          <w:rFonts w:ascii="Abadi" w:hAnsi="Abadi" w:cs="*Arial-6534-Identity-H"/>
          <w:color w:val="0C0C0F"/>
          <w:sz w:val="21"/>
          <w:szCs w:val="21"/>
        </w:rPr>
      </w:pPr>
    </w:p>
    <w:p w14:paraId="351CE7A9" w14:textId="77777777" w:rsidR="002F42D9" w:rsidRPr="00494B56" w:rsidRDefault="002F42D9" w:rsidP="002F42D9">
      <w:pPr>
        <w:autoSpaceDE w:val="0"/>
        <w:autoSpaceDN w:val="0"/>
        <w:adjustRightInd w:val="0"/>
        <w:ind w:firstLine="708"/>
        <w:jc w:val="both"/>
        <w:rPr>
          <w:rFonts w:ascii="Abadi" w:hAnsi="Abadi" w:cs="*Arial-7823-Identity-H"/>
          <w:color w:val="0C0C0E"/>
          <w:sz w:val="21"/>
          <w:szCs w:val="21"/>
        </w:rPr>
      </w:pPr>
      <w:r w:rsidRPr="00494B56">
        <w:rPr>
          <w:rFonts w:ascii="Abadi" w:hAnsi="Abadi" w:cs="*Arial-7823-Identity-H"/>
          <w:color w:val="0C0C0E"/>
          <w:sz w:val="21"/>
          <w:szCs w:val="21"/>
        </w:rPr>
        <w:t>Derivado de lo anterior, el adecuado desempeño de los servicios públicos</w:t>
      </w:r>
      <w:r>
        <w:rPr>
          <w:rFonts w:ascii="Abadi" w:hAnsi="Abadi" w:cs="*Arial-7823-Identity-H"/>
          <w:color w:val="0C0C0E"/>
          <w:sz w:val="21"/>
          <w:szCs w:val="21"/>
        </w:rPr>
        <w:t xml:space="preserve"> </w:t>
      </w:r>
      <w:r w:rsidRPr="00494B56">
        <w:rPr>
          <w:rFonts w:ascii="Abadi" w:hAnsi="Abadi" w:cs="*Arial-7823-Identity-H"/>
          <w:color w:val="0C0C0E"/>
          <w:sz w:val="21"/>
          <w:szCs w:val="21"/>
        </w:rPr>
        <w:t>incide en la calidad de vida de los habitantes y, por ello, es conveniente que se</w:t>
      </w:r>
      <w:r>
        <w:rPr>
          <w:rFonts w:ascii="Abadi" w:hAnsi="Abadi" w:cs="*Arial-7823-Identity-H"/>
          <w:color w:val="0C0C0E"/>
          <w:sz w:val="21"/>
          <w:szCs w:val="21"/>
        </w:rPr>
        <w:t xml:space="preserve"> </w:t>
      </w:r>
      <w:r w:rsidRPr="00494B56">
        <w:rPr>
          <w:rFonts w:ascii="Abadi" w:hAnsi="Abadi" w:cs="*Arial-7823-Identity-H"/>
          <w:color w:val="0C0C0E"/>
          <w:sz w:val="21"/>
          <w:szCs w:val="21"/>
        </w:rPr>
        <w:t>administre bajo modelos de gestión orientados a los resultados que garanticen su</w:t>
      </w:r>
      <w:r>
        <w:rPr>
          <w:rFonts w:ascii="Abadi" w:hAnsi="Abadi" w:cs="*Arial-7823-Identity-H"/>
          <w:color w:val="0C0C0E"/>
          <w:sz w:val="21"/>
          <w:szCs w:val="21"/>
        </w:rPr>
        <w:t xml:space="preserve"> </w:t>
      </w:r>
      <w:r w:rsidRPr="00494B56">
        <w:rPr>
          <w:rFonts w:ascii="Abadi" w:hAnsi="Abadi" w:cs="*Arial-7823-Identity-H"/>
          <w:color w:val="0C0C0E"/>
          <w:sz w:val="21"/>
          <w:szCs w:val="21"/>
        </w:rPr>
        <w:t>adecuada operación, permanencia, continuidad, uniformidad e igualdad ante los</w:t>
      </w:r>
      <w:r>
        <w:rPr>
          <w:rFonts w:ascii="Abadi" w:hAnsi="Abadi" w:cs="*Arial-7823-Identity-H"/>
          <w:color w:val="0C0C0E"/>
          <w:sz w:val="21"/>
          <w:szCs w:val="21"/>
        </w:rPr>
        <w:t xml:space="preserve"> </w:t>
      </w:r>
      <w:r w:rsidRPr="00494B56">
        <w:rPr>
          <w:rFonts w:ascii="Abadi" w:hAnsi="Abadi" w:cs="*Arial-7823-Identity-H"/>
          <w:color w:val="0C0C0E"/>
          <w:sz w:val="21"/>
          <w:szCs w:val="21"/>
        </w:rPr>
        <w:t>usuarios, asegurando una cobertura integral y una oferta al alcance de la</w:t>
      </w:r>
      <w:r>
        <w:rPr>
          <w:rFonts w:ascii="Abadi" w:hAnsi="Abadi" w:cs="*Arial-7823-Identity-H"/>
          <w:color w:val="0C0C0E"/>
          <w:sz w:val="21"/>
          <w:szCs w:val="21"/>
        </w:rPr>
        <w:t xml:space="preserve"> </w:t>
      </w:r>
      <w:r w:rsidRPr="00494B56">
        <w:rPr>
          <w:rFonts w:ascii="Abadi" w:hAnsi="Abadi" w:cs="*Arial-7823-Identity-H"/>
          <w:color w:val="0C0C0E"/>
          <w:sz w:val="21"/>
          <w:szCs w:val="21"/>
        </w:rPr>
        <w:t>población municipal que lo requiera.</w:t>
      </w:r>
    </w:p>
    <w:p w14:paraId="30EFFC83" w14:textId="77777777" w:rsidR="002F42D9" w:rsidRPr="00494B56" w:rsidRDefault="002F42D9" w:rsidP="002F42D9">
      <w:pPr>
        <w:autoSpaceDE w:val="0"/>
        <w:autoSpaceDN w:val="0"/>
        <w:adjustRightInd w:val="0"/>
        <w:jc w:val="both"/>
        <w:rPr>
          <w:rFonts w:ascii="Abadi" w:hAnsi="Abadi" w:cs="*Arial-7823-Identity-H"/>
          <w:color w:val="0C0C0E"/>
          <w:sz w:val="21"/>
          <w:szCs w:val="21"/>
        </w:rPr>
      </w:pPr>
    </w:p>
    <w:p w14:paraId="01B6F753" w14:textId="77777777" w:rsidR="002F42D9" w:rsidRPr="00494B56" w:rsidRDefault="002F42D9" w:rsidP="002F42D9">
      <w:pPr>
        <w:autoSpaceDE w:val="0"/>
        <w:autoSpaceDN w:val="0"/>
        <w:adjustRightInd w:val="0"/>
        <w:ind w:firstLine="708"/>
        <w:jc w:val="both"/>
        <w:rPr>
          <w:rFonts w:ascii="Abadi" w:hAnsi="Abadi" w:cs="*Arial-7823-Identity-H"/>
          <w:color w:val="0C0B0E"/>
          <w:sz w:val="21"/>
          <w:szCs w:val="21"/>
        </w:rPr>
      </w:pPr>
      <w:r w:rsidRPr="00494B56">
        <w:rPr>
          <w:rFonts w:ascii="Abadi" w:hAnsi="Abadi" w:cs="*Arial-7823-Identity-H"/>
          <w:color w:val="0C0B0E"/>
          <w:sz w:val="21"/>
          <w:szCs w:val="21"/>
        </w:rPr>
        <w:t>Es así que en el caso que nos ocupa, se definió el objetivo general de la</w:t>
      </w:r>
      <w:r>
        <w:rPr>
          <w:rFonts w:ascii="Abadi" w:hAnsi="Abadi" w:cs="*Arial-7823-Identity-H"/>
          <w:color w:val="0C0B0E"/>
          <w:sz w:val="21"/>
          <w:szCs w:val="21"/>
        </w:rPr>
        <w:t xml:space="preserve"> </w:t>
      </w:r>
      <w:r w:rsidRPr="00494B56">
        <w:rPr>
          <w:rFonts w:ascii="Abadi" w:hAnsi="Abadi" w:cs="*Arial-7823-Identity-H"/>
          <w:color w:val="0C0B0E"/>
          <w:sz w:val="21"/>
          <w:szCs w:val="21"/>
        </w:rPr>
        <w:t>auditoria con el propósito de verificar la capacidad del municipio de San Francisco</w:t>
      </w:r>
      <w:r>
        <w:rPr>
          <w:rFonts w:ascii="Abadi" w:hAnsi="Abadi" w:cs="*Arial-7823-Identity-H"/>
          <w:color w:val="0C0B0E"/>
          <w:sz w:val="21"/>
          <w:szCs w:val="21"/>
        </w:rPr>
        <w:t xml:space="preserve"> </w:t>
      </w:r>
      <w:r w:rsidRPr="00494B56">
        <w:rPr>
          <w:rFonts w:ascii="Abadi" w:hAnsi="Abadi" w:cs="*Arial-7823-Identity-H"/>
          <w:color w:val="0C0B0E"/>
          <w:sz w:val="21"/>
          <w:szCs w:val="21"/>
        </w:rPr>
        <w:t xml:space="preserve">del Rincón, </w:t>
      </w:r>
      <w:proofErr w:type="spellStart"/>
      <w:r w:rsidRPr="00494B56">
        <w:rPr>
          <w:rFonts w:ascii="Abadi" w:hAnsi="Abadi" w:cs="*Arial-7823-Identity-H"/>
          <w:color w:val="0C0B0E"/>
          <w:sz w:val="21"/>
          <w:szCs w:val="21"/>
        </w:rPr>
        <w:t>Gto</w:t>
      </w:r>
      <w:proofErr w:type="spellEnd"/>
      <w:r w:rsidRPr="00494B56">
        <w:rPr>
          <w:rFonts w:ascii="Abadi" w:hAnsi="Abadi" w:cs="*Arial-7823-Identity-H"/>
          <w:color w:val="0C0B0E"/>
          <w:sz w:val="21"/>
          <w:szCs w:val="21"/>
        </w:rPr>
        <w:t>., para lograr una prestación eficaz del servicio de alumbrad</w:t>
      </w:r>
      <w:r>
        <w:rPr>
          <w:rFonts w:ascii="Abadi" w:hAnsi="Abadi" w:cs="*Arial-7823-Identity-H"/>
          <w:color w:val="0C0B0E"/>
          <w:sz w:val="21"/>
          <w:szCs w:val="21"/>
        </w:rPr>
        <w:t xml:space="preserve">o </w:t>
      </w:r>
      <w:r w:rsidRPr="00494B56">
        <w:rPr>
          <w:rFonts w:ascii="Abadi" w:hAnsi="Abadi" w:cs="*Arial-7823-Identity-H"/>
          <w:color w:val="0C0B0E"/>
          <w:sz w:val="21"/>
          <w:szCs w:val="21"/>
        </w:rPr>
        <w:t>público a su población, así como de conocer si las funciones de planificación,</w:t>
      </w:r>
      <w:r>
        <w:rPr>
          <w:rFonts w:ascii="Abadi" w:hAnsi="Abadi" w:cs="*Arial-7823-Identity-H"/>
          <w:color w:val="0C0B0E"/>
          <w:sz w:val="21"/>
          <w:szCs w:val="21"/>
        </w:rPr>
        <w:t xml:space="preserve"> </w:t>
      </w:r>
      <w:r w:rsidRPr="00494B56">
        <w:rPr>
          <w:rFonts w:ascii="Abadi" w:hAnsi="Abadi" w:cs="*Arial-7823-Identity-H"/>
          <w:color w:val="0C0B0E"/>
          <w:sz w:val="21"/>
          <w:szCs w:val="21"/>
        </w:rPr>
        <w:t>operación y seguimiento se desarrollaron bajo el principio de eficiencia, ya que de</w:t>
      </w:r>
      <w:r>
        <w:rPr>
          <w:rFonts w:ascii="Abadi" w:hAnsi="Abadi" w:cs="*Arial-7823-Identity-H"/>
          <w:color w:val="0C0B0E"/>
          <w:sz w:val="21"/>
          <w:szCs w:val="21"/>
        </w:rPr>
        <w:t xml:space="preserve"> </w:t>
      </w:r>
      <w:r w:rsidRPr="00494B56">
        <w:rPr>
          <w:rFonts w:ascii="Abadi" w:hAnsi="Abadi" w:cs="*Arial-7823-Identity-H"/>
          <w:color w:val="0C0B0E"/>
          <w:sz w:val="21"/>
          <w:szCs w:val="21"/>
        </w:rPr>
        <w:t>ello depende el grado de satisfacción de la comunidad.</w:t>
      </w:r>
    </w:p>
    <w:p w14:paraId="633AD470" w14:textId="77777777" w:rsidR="002F42D9" w:rsidRPr="00494B56" w:rsidRDefault="002F42D9" w:rsidP="002F42D9">
      <w:pPr>
        <w:autoSpaceDE w:val="0"/>
        <w:autoSpaceDN w:val="0"/>
        <w:adjustRightInd w:val="0"/>
        <w:jc w:val="both"/>
        <w:rPr>
          <w:rFonts w:ascii="Abadi" w:hAnsi="Abadi" w:cs="*Arial-7823-Identity-H"/>
          <w:color w:val="0C0B0E"/>
          <w:sz w:val="21"/>
          <w:szCs w:val="21"/>
        </w:rPr>
      </w:pPr>
    </w:p>
    <w:p w14:paraId="62F4A9C0" w14:textId="77777777" w:rsidR="002F42D9" w:rsidRPr="00494B56" w:rsidRDefault="002F42D9" w:rsidP="002F42D9">
      <w:pPr>
        <w:autoSpaceDE w:val="0"/>
        <w:autoSpaceDN w:val="0"/>
        <w:adjustRightInd w:val="0"/>
        <w:ind w:firstLine="708"/>
        <w:jc w:val="both"/>
        <w:rPr>
          <w:rFonts w:ascii="Abadi" w:hAnsi="Abadi" w:cs="*Arial-7823-Identity-H"/>
          <w:color w:val="0C0C0F"/>
          <w:sz w:val="21"/>
          <w:szCs w:val="21"/>
        </w:rPr>
      </w:pPr>
      <w:r w:rsidRPr="00494B56">
        <w:rPr>
          <w:rFonts w:ascii="Abadi" w:hAnsi="Abadi" w:cs="*Arial-7823-Identity-H"/>
          <w:color w:val="0C0C0F"/>
          <w:sz w:val="21"/>
          <w:szCs w:val="21"/>
        </w:rPr>
        <w:t>Para su consecución, las labores de la Auditoría Superior del Estado</w:t>
      </w:r>
      <w:r>
        <w:rPr>
          <w:rFonts w:ascii="Abadi" w:hAnsi="Abadi" w:cs="*Arial-7823-Identity-H"/>
          <w:color w:val="0C0C0F"/>
          <w:sz w:val="21"/>
          <w:szCs w:val="21"/>
        </w:rPr>
        <w:t xml:space="preserve"> </w:t>
      </w:r>
      <w:r w:rsidRPr="00494B56">
        <w:rPr>
          <w:rFonts w:ascii="Abadi" w:hAnsi="Abadi" w:cs="*Arial-7823-Identity-H"/>
          <w:color w:val="0C0C0F"/>
          <w:sz w:val="21"/>
          <w:szCs w:val="21"/>
        </w:rPr>
        <w:t>consideraron la verificación de la existencia de procesos diagnósticos o de</w:t>
      </w:r>
      <w:r>
        <w:rPr>
          <w:rFonts w:ascii="Abadi" w:hAnsi="Abadi" w:cs="*Arial-7823-Identity-H"/>
          <w:color w:val="0C0C0F"/>
          <w:sz w:val="21"/>
          <w:szCs w:val="21"/>
        </w:rPr>
        <w:t xml:space="preserve"> </w:t>
      </w:r>
      <w:r w:rsidRPr="00494B56">
        <w:rPr>
          <w:rFonts w:ascii="Abadi" w:hAnsi="Abadi" w:cs="*Arial-7823-Identity-H"/>
          <w:color w:val="0C0C0F"/>
          <w:sz w:val="21"/>
          <w:szCs w:val="21"/>
        </w:rPr>
        <w:t>planificación que permitieran a la administración municipal conocer la oferta del</w:t>
      </w:r>
      <w:r>
        <w:rPr>
          <w:rFonts w:ascii="Abadi" w:hAnsi="Abadi" w:cs="*Arial-7823-Identity-H"/>
          <w:color w:val="0C0C0F"/>
          <w:sz w:val="21"/>
          <w:szCs w:val="21"/>
        </w:rPr>
        <w:t xml:space="preserve"> </w:t>
      </w:r>
      <w:r w:rsidRPr="00494B56">
        <w:rPr>
          <w:rFonts w:ascii="Abadi" w:hAnsi="Abadi" w:cs="*Arial-7823-Identity-H"/>
          <w:color w:val="0C0C0F"/>
          <w:sz w:val="21"/>
          <w:szCs w:val="21"/>
        </w:rPr>
        <w:t>servicio y las brechas por cubrir, definir la estimación de recursos para una</w:t>
      </w:r>
      <w:r>
        <w:rPr>
          <w:rFonts w:ascii="Abadi" w:hAnsi="Abadi" w:cs="*Arial-7823-Identity-H"/>
          <w:color w:val="0C0C0F"/>
          <w:sz w:val="21"/>
          <w:szCs w:val="21"/>
        </w:rPr>
        <w:t xml:space="preserve"> </w:t>
      </w:r>
      <w:r w:rsidRPr="00494B56">
        <w:rPr>
          <w:rFonts w:ascii="Abadi" w:hAnsi="Abadi" w:cs="*Arial-7823-Identity-H"/>
          <w:color w:val="0C0C0F"/>
          <w:sz w:val="21"/>
          <w:szCs w:val="21"/>
        </w:rPr>
        <w:t>adecuada operación y la definición de metas y objetivos orientados a la mejora del</w:t>
      </w:r>
      <w:r>
        <w:rPr>
          <w:rFonts w:ascii="Abadi" w:hAnsi="Abadi" w:cs="*Arial-7823-Identity-H"/>
          <w:color w:val="0C0C0F"/>
          <w:sz w:val="21"/>
          <w:szCs w:val="21"/>
        </w:rPr>
        <w:t xml:space="preserve"> </w:t>
      </w:r>
      <w:r w:rsidRPr="00494B56">
        <w:rPr>
          <w:rFonts w:ascii="Abadi" w:hAnsi="Abadi" w:cs="*Arial-7823-Identity-H"/>
          <w:color w:val="0C0C0F"/>
          <w:sz w:val="21"/>
          <w:szCs w:val="21"/>
        </w:rPr>
        <w:t>servicio; respecto de la operación, se consideró la verificación del establecimiento</w:t>
      </w:r>
      <w:r>
        <w:rPr>
          <w:rFonts w:ascii="Abadi" w:hAnsi="Abadi" w:cs="*Arial-7823-Identity-H"/>
          <w:color w:val="0C0C0F"/>
          <w:sz w:val="21"/>
          <w:szCs w:val="21"/>
        </w:rPr>
        <w:t xml:space="preserve"> </w:t>
      </w:r>
      <w:r w:rsidRPr="00494B56">
        <w:rPr>
          <w:rFonts w:ascii="Abadi" w:hAnsi="Abadi" w:cs="*Arial-7823-Identity-H"/>
          <w:color w:val="0C0C0F"/>
          <w:sz w:val="21"/>
          <w:szCs w:val="21"/>
        </w:rPr>
        <w:t>de un marco normativo adecuado y vigente, la programación de actividades y su</w:t>
      </w:r>
      <w:r>
        <w:rPr>
          <w:rFonts w:ascii="Abadi" w:hAnsi="Abadi" w:cs="*Arial-7823-Identity-H"/>
          <w:color w:val="0C0C0F"/>
          <w:sz w:val="21"/>
          <w:szCs w:val="21"/>
        </w:rPr>
        <w:t xml:space="preserve"> </w:t>
      </w:r>
      <w:r w:rsidRPr="00494B56">
        <w:rPr>
          <w:rFonts w:ascii="Abadi" w:hAnsi="Abadi" w:cs="*Arial-7823-Identity-H"/>
          <w:color w:val="0C0C0F"/>
          <w:sz w:val="21"/>
          <w:szCs w:val="21"/>
        </w:rPr>
        <w:t>consecución, los mecanismos de atención ciudadana para el reporte de fallas y los</w:t>
      </w:r>
      <w:r>
        <w:rPr>
          <w:rFonts w:ascii="Abadi" w:hAnsi="Abadi" w:cs="*Arial-7823-Identity-H"/>
          <w:color w:val="0C0C0F"/>
          <w:sz w:val="21"/>
          <w:szCs w:val="21"/>
        </w:rPr>
        <w:t xml:space="preserve"> </w:t>
      </w:r>
      <w:r w:rsidRPr="00494B56">
        <w:rPr>
          <w:rFonts w:ascii="Abadi" w:hAnsi="Abadi" w:cs="*Arial-7823-Identity-H"/>
          <w:color w:val="0C0C0F"/>
          <w:sz w:val="21"/>
          <w:szCs w:val="21"/>
        </w:rPr>
        <w:t>resultados en la cobertura, mantenimiento y satisfacción. También se revisaron los</w:t>
      </w:r>
      <w:r>
        <w:rPr>
          <w:rFonts w:ascii="Abadi" w:hAnsi="Abadi" w:cs="*Arial-7823-Identity-H"/>
          <w:color w:val="0C0C0F"/>
          <w:sz w:val="21"/>
          <w:szCs w:val="21"/>
        </w:rPr>
        <w:t xml:space="preserve"> </w:t>
      </w:r>
      <w:r w:rsidRPr="00494B56">
        <w:rPr>
          <w:rFonts w:ascii="Abadi" w:hAnsi="Abadi" w:cs="*Arial-7823-Identity-H"/>
          <w:color w:val="0C0C0F"/>
          <w:sz w:val="21"/>
          <w:szCs w:val="21"/>
        </w:rPr>
        <w:t>mecanismos de monitoreo y evaluación, con el objetivo de analizar el desempeño</w:t>
      </w:r>
      <w:r>
        <w:rPr>
          <w:rFonts w:ascii="Abadi" w:hAnsi="Abadi" w:cs="*Arial-7823-Identity-H"/>
          <w:color w:val="0C0C0F"/>
          <w:sz w:val="21"/>
          <w:szCs w:val="21"/>
        </w:rPr>
        <w:t xml:space="preserve"> </w:t>
      </w:r>
      <w:r w:rsidRPr="00494B56">
        <w:rPr>
          <w:rFonts w:ascii="Abadi" w:hAnsi="Abadi" w:cs="*Arial-7823-Identity-H"/>
          <w:color w:val="0C0C0F"/>
          <w:sz w:val="21"/>
          <w:szCs w:val="21"/>
        </w:rPr>
        <w:t xml:space="preserve">del Municipio en el otorgamiento del servicio, y verificar la eficiencia </w:t>
      </w:r>
      <w:r w:rsidRPr="00494B56">
        <w:rPr>
          <w:rFonts w:ascii="Abadi" w:hAnsi="Abadi" w:cs="*Times New Roman-Italic-7821-Id"/>
          <w:i/>
          <w:iCs/>
          <w:color w:val="0C0C0F"/>
          <w:sz w:val="21"/>
          <w:szCs w:val="21"/>
        </w:rPr>
        <w:t xml:space="preserve">y </w:t>
      </w:r>
      <w:r w:rsidRPr="00494B56">
        <w:rPr>
          <w:rFonts w:ascii="Abadi" w:hAnsi="Abadi" w:cs="*Arial-7823-Identity-H"/>
          <w:color w:val="0C0C0F"/>
          <w:sz w:val="21"/>
          <w:szCs w:val="21"/>
        </w:rPr>
        <w:t>la eficacia</w:t>
      </w:r>
      <w:r>
        <w:rPr>
          <w:rFonts w:ascii="Abadi" w:hAnsi="Abadi" w:cs="*Arial-7823-Identity-H"/>
          <w:color w:val="0C0C0F"/>
          <w:sz w:val="21"/>
          <w:szCs w:val="21"/>
        </w:rPr>
        <w:t xml:space="preserve"> </w:t>
      </w:r>
      <w:r w:rsidRPr="00494B56">
        <w:rPr>
          <w:rFonts w:ascii="Abadi" w:hAnsi="Abadi" w:cs="*Arial-7823-Identity-H"/>
          <w:color w:val="0C0C0F"/>
          <w:sz w:val="21"/>
          <w:szCs w:val="21"/>
        </w:rPr>
        <w:t>del alumbrado público municipal en beneficio de la ciudadanía.</w:t>
      </w:r>
    </w:p>
    <w:p w14:paraId="5F210C28" w14:textId="77777777" w:rsidR="002F42D9" w:rsidRPr="00494B56" w:rsidRDefault="002F42D9" w:rsidP="002F42D9">
      <w:pPr>
        <w:autoSpaceDE w:val="0"/>
        <w:autoSpaceDN w:val="0"/>
        <w:adjustRightInd w:val="0"/>
        <w:jc w:val="both"/>
        <w:rPr>
          <w:rFonts w:ascii="Abadi" w:hAnsi="Abadi" w:cs="*Arial-7823-Identity-H"/>
          <w:color w:val="0C0C0F"/>
          <w:sz w:val="21"/>
          <w:szCs w:val="21"/>
        </w:rPr>
      </w:pPr>
    </w:p>
    <w:p w14:paraId="11DC3978" w14:textId="77777777" w:rsidR="002F42D9" w:rsidRPr="00494B56" w:rsidRDefault="002F42D9" w:rsidP="002F42D9">
      <w:pPr>
        <w:autoSpaceDE w:val="0"/>
        <w:autoSpaceDN w:val="0"/>
        <w:adjustRightInd w:val="0"/>
        <w:ind w:firstLine="708"/>
        <w:jc w:val="both"/>
        <w:rPr>
          <w:rFonts w:ascii="Abadi" w:hAnsi="Abadi" w:cs="*Arial-7823-Identity-H"/>
          <w:color w:val="0C0C0E"/>
          <w:sz w:val="21"/>
          <w:szCs w:val="21"/>
        </w:rPr>
      </w:pPr>
      <w:r w:rsidRPr="00494B56">
        <w:rPr>
          <w:rFonts w:ascii="Abadi" w:hAnsi="Abadi" w:cs="*Arial-7823-Identity-H"/>
          <w:color w:val="0C0C0E"/>
          <w:sz w:val="21"/>
          <w:szCs w:val="21"/>
        </w:rPr>
        <w:t>Asimismo, se hace constar que la administración pública municipal de San</w:t>
      </w:r>
      <w:r>
        <w:rPr>
          <w:rFonts w:ascii="Abadi" w:hAnsi="Abadi" w:cs="*Arial-7823-Identity-H"/>
          <w:color w:val="0C0C0E"/>
          <w:sz w:val="21"/>
          <w:szCs w:val="21"/>
        </w:rPr>
        <w:t xml:space="preserve"> </w:t>
      </w:r>
      <w:r w:rsidRPr="00494B56">
        <w:rPr>
          <w:rFonts w:ascii="Abadi" w:hAnsi="Abadi" w:cs="*Arial-7823-Identity-H"/>
          <w:color w:val="0C0C0E"/>
          <w:sz w:val="21"/>
          <w:szCs w:val="21"/>
        </w:rPr>
        <w:t xml:space="preserve">Francisco del Rincón, </w:t>
      </w:r>
      <w:proofErr w:type="spellStart"/>
      <w:r w:rsidRPr="00494B56">
        <w:rPr>
          <w:rFonts w:ascii="Abadi" w:hAnsi="Abadi" w:cs="*Arial-7823-Identity-H"/>
          <w:color w:val="0C0C0E"/>
          <w:sz w:val="21"/>
          <w:szCs w:val="21"/>
        </w:rPr>
        <w:t>Gto</w:t>
      </w:r>
      <w:proofErr w:type="spellEnd"/>
      <w:r w:rsidRPr="00494B56">
        <w:rPr>
          <w:rFonts w:ascii="Abadi" w:hAnsi="Abadi" w:cs="*Arial-7823-Identity-H"/>
          <w:color w:val="0C0C0E"/>
          <w:sz w:val="21"/>
          <w:szCs w:val="21"/>
        </w:rPr>
        <w:t>., implementó acciones para otorgar el servicio de</w:t>
      </w:r>
      <w:r>
        <w:rPr>
          <w:rFonts w:ascii="Abadi" w:hAnsi="Abadi" w:cs="*Arial-7823-Identity-H"/>
          <w:color w:val="0C0C0E"/>
          <w:sz w:val="21"/>
          <w:szCs w:val="21"/>
        </w:rPr>
        <w:t xml:space="preserve"> </w:t>
      </w:r>
      <w:r w:rsidRPr="00494B56">
        <w:rPr>
          <w:rFonts w:ascii="Abadi" w:hAnsi="Abadi" w:cs="*Arial-7823-Identity-H"/>
          <w:color w:val="0C0C0E"/>
          <w:sz w:val="21"/>
          <w:szCs w:val="21"/>
        </w:rPr>
        <w:t>alumbrado público a la población, destacando entre sus fortalezas la incorporación</w:t>
      </w:r>
      <w:r>
        <w:rPr>
          <w:rFonts w:ascii="Abadi" w:hAnsi="Abadi" w:cs="*Arial-7823-Identity-H"/>
          <w:color w:val="0C0C0E"/>
          <w:sz w:val="21"/>
          <w:szCs w:val="21"/>
        </w:rPr>
        <w:t xml:space="preserve"> </w:t>
      </w:r>
      <w:r w:rsidRPr="00494B56">
        <w:rPr>
          <w:rFonts w:ascii="Abadi" w:hAnsi="Abadi" w:cs="*Arial-7823-Identity-H"/>
          <w:color w:val="0C0C0E"/>
          <w:sz w:val="21"/>
          <w:szCs w:val="21"/>
        </w:rPr>
        <w:t>como una prioridad en el Plan Municipal de Desarrollo 2040, en el Programa de</w:t>
      </w:r>
      <w:r>
        <w:rPr>
          <w:rFonts w:ascii="Abadi" w:hAnsi="Abadi" w:cs="*Arial-7823-Identity-H"/>
          <w:color w:val="0C0C0E"/>
          <w:sz w:val="21"/>
          <w:szCs w:val="21"/>
        </w:rPr>
        <w:t xml:space="preserve"> </w:t>
      </w:r>
      <w:r w:rsidRPr="00494B56">
        <w:rPr>
          <w:rFonts w:ascii="Abadi" w:hAnsi="Abadi" w:cs="*Arial-7823-Identity-H"/>
          <w:color w:val="0C0C0E"/>
          <w:sz w:val="21"/>
          <w:szCs w:val="21"/>
        </w:rPr>
        <w:t>Gobierno 2018-2021 y en el Programa Municipal de Desarrollo Urbano y</w:t>
      </w:r>
      <w:r>
        <w:rPr>
          <w:rFonts w:ascii="Abadi" w:hAnsi="Abadi" w:cs="*Arial-7823-Identity-H"/>
          <w:color w:val="0C0C0E"/>
          <w:sz w:val="21"/>
          <w:szCs w:val="21"/>
        </w:rPr>
        <w:t xml:space="preserve"> </w:t>
      </w:r>
      <w:r w:rsidRPr="00494B56">
        <w:rPr>
          <w:rFonts w:ascii="Abadi" w:hAnsi="Abadi" w:cs="*Arial-7823-Identity-H"/>
          <w:color w:val="0C0C0E"/>
          <w:sz w:val="21"/>
          <w:szCs w:val="21"/>
        </w:rPr>
        <w:t>Ordenamiento Ecológico Territorial, al definir objetivos, estrategias proyectos y</w:t>
      </w:r>
      <w:r>
        <w:rPr>
          <w:rFonts w:ascii="Abadi" w:hAnsi="Abadi" w:cs="*Arial-7823-Identity-H"/>
          <w:color w:val="0C0C0E"/>
          <w:sz w:val="21"/>
          <w:szCs w:val="21"/>
        </w:rPr>
        <w:t xml:space="preserve"> </w:t>
      </w:r>
      <w:r w:rsidRPr="00494B56">
        <w:rPr>
          <w:rFonts w:ascii="Abadi" w:hAnsi="Abadi" w:cs="*Arial-7823-Identity-H"/>
          <w:color w:val="0C0C0E"/>
          <w:sz w:val="21"/>
          <w:szCs w:val="21"/>
        </w:rPr>
        <w:t>acciones relacionados con el desarrollo de fuentes de energía renovables, el</w:t>
      </w:r>
      <w:r>
        <w:rPr>
          <w:rFonts w:ascii="Abadi" w:hAnsi="Abadi" w:cs="*Arial-7823-Identity-H"/>
          <w:color w:val="0C0C0E"/>
          <w:sz w:val="21"/>
          <w:szCs w:val="21"/>
        </w:rPr>
        <w:t xml:space="preserve"> </w:t>
      </w:r>
      <w:r w:rsidRPr="00494B56">
        <w:rPr>
          <w:rFonts w:ascii="Abadi" w:hAnsi="Abadi" w:cs="*Arial-7823-Identity-H"/>
          <w:color w:val="0C0C0E"/>
          <w:sz w:val="21"/>
          <w:szCs w:val="21"/>
        </w:rPr>
        <w:t>incremento de la eficiencia energética, la mejora de los niveles de iluminación en</w:t>
      </w:r>
      <w:r>
        <w:rPr>
          <w:rFonts w:ascii="Abadi" w:hAnsi="Abadi" w:cs="*Arial-7823-Identity-H"/>
          <w:color w:val="0C0C0E"/>
          <w:sz w:val="21"/>
          <w:szCs w:val="21"/>
        </w:rPr>
        <w:t xml:space="preserve"> </w:t>
      </w:r>
      <w:r w:rsidRPr="00494B56">
        <w:rPr>
          <w:rFonts w:ascii="Abadi" w:hAnsi="Abadi" w:cs="*Arial-7823-Identity-H"/>
          <w:color w:val="0C0C0E"/>
          <w:sz w:val="21"/>
          <w:szCs w:val="21"/>
        </w:rPr>
        <w:t>las calles, el incremento de la cobertura y la disminución del consumo de energía</w:t>
      </w:r>
      <w:r>
        <w:rPr>
          <w:rFonts w:ascii="Abadi" w:hAnsi="Abadi" w:cs="*Arial-7823-Identity-H"/>
          <w:color w:val="0C0C0E"/>
          <w:sz w:val="21"/>
          <w:szCs w:val="21"/>
        </w:rPr>
        <w:t xml:space="preserve"> </w:t>
      </w:r>
      <w:r w:rsidRPr="00494B56">
        <w:rPr>
          <w:rFonts w:ascii="Abadi" w:hAnsi="Abadi" w:cs="*Arial-7823-Identity-H"/>
          <w:color w:val="0C0C0E"/>
          <w:sz w:val="21"/>
          <w:szCs w:val="21"/>
        </w:rPr>
        <w:t>eléctrica; Es así, que para el cumplimiento de sus objetivos, el sujeto fiscalizado</w:t>
      </w:r>
      <w:r>
        <w:rPr>
          <w:rFonts w:ascii="Abadi" w:hAnsi="Abadi" w:cs="*Arial-7823-Identity-H"/>
          <w:color w:val="0C0C0E"/>
          <w:sz w:val="21"/>
          <w:szCs w:val="21"/>
        </w:rPr>
        <w:t xml:space="preserve"> </w:t>
      </w:r>
      <w:r w:rsidRPr="00494B56">
        <w:rPr>
          <w:rFonts w:ascii="Abadi" w:hAnsi="Abadi" w:cs="*Arial-7823-Identity-H"/>
          <w:color w:val="0C0C0E"/>
          <w:sz w:val="21"/>
          <w:szCs w:val="21"/>
        </w:rPr>
        <w:t xml:space="preserve">contó con el programa presupuestario </w:t>
      </w:r>
      <w:r w:rsidRPr="00494B56">
        <w:rPr>
          <w:rFonts w:ascii="Abadi" w:hAnsi="Abadi" w:cs="*Arial-Italic-7824-Identity-H"/>
          <w:i/>
          <w:iCs/>
          <w:color w:val="0C0C0E"/>
          <w:sz w:val="21"/>
          <w:szCs w:val="21"/>
        </w:rPr>
        <w:t xml:space="preserve">E0037 Alumbrado Público. </w:t>
      </w:r>
      <w:r w:rsidRPr="00494B56">
        <w:rPr>
          <w:rFonts w:ascii="Abadi" w:hAnsi="Abadi" w:cs="*Arial-7823-Identity-H"/>
          <w:color w:val="0C0C0E"/>
          <w:sz w:val="21"/>
          <w:szCs w:val="21"/>
        </w:rPr>
        <w:t>No obstante, la</w:t>
      </w:r>
      <w:r>
        <w:rPr>
          <w:rFonts w:ascii="Abadi" w:hAnsi="Abadi" w:cs="*Arial-7823-Identity-H"/>
          <w:color w:val="0C0C0E"/>
          <w:sz w:val="21"/>
          <w:szCs w:val="21"/>
        </w:rPr>
        <w:t xml:space="preserve"> </w:t>
      </w:r>
      <w:r w:rsidRPr="00494B56">
        <w:rPr>
          <w:rFonts w:ascii="Abadi" w:hAnsi="Abadi" w:cs="*Arial-7823-Identity-H"/>
          <w:color w:val="0C0C0E"/>
          <w:sz w:val="21"/>
          <w:szCs w:val="21"/>
        </w:rPr>
        <w:t>gestión del servicio presentó áreas de oportunidad.</w:t>
      </w:r>
    </w:p>
    <w:p w14:paraId="48956964" w14:textId="77777777" w:rsidR="002F42D9" w:rsidRPr="00494B56" w:rsidRDefault="002F42D9" w:rsidP="002F42D9">
      <w:pPr>
        <w:autoSpaceDE w:val="0"/>
        <w:autoSpaceDN w:val="0"/>
        <w:adjustRightInd w:val="0"/>
        <w:jc w:val="both"/>
        <w:rPr>
          <w:rFonts w:ascii="Abadi" w:hAnsi="Abadi" w:cs="*Microsoft Sans Serif-Bold-8221"/>
          <w:b/>
          <w:bCs/>
          <w:color w:val="27272D"/>
          <w:sz w:val="21"/>
          <w:szCs w:val="21"/>
        </w:rPr>
      </w:pPr>
    </w:p>
    <w:p w14:paraId="36F6C73F" w14:textId="0F573AAA" w:rsidR="002F42D9" w:rsidRPr="00494B56" w:rsidRDefault="002F42D9" w:rsidP="00262BF4">
      <w:pPr>
        <w:autoSpaceDE w:val="0"/>
        <w:autoSpaceDN w:val="0"/>
        <w:adjustRightInd w:val="0"/>
        <w:ind w:firstLine="708"/>
        <w:jc w:val="both"/>
        <w:rPr>
          <w:rFonts w:ascii="Abadi" w:hAnsi="Abadi" w:cs="*Arial-8217-Identity-H"/>
          <w:color w:val="0F0F12"/>
          <w:sz w:val="21"/>
          <w:szCs w:val="21"/>
        </w:rPr>
      </w:pPr>
      <w:r w:rsidRPr="00494B56">
        <w:rPr>
          <w:rFonts w:ascii="Abadi" w:hAnsi="Abadi" w:cs="*Arial-8217-Identity-H"/>
          <w:color w:val="0F0F12"/>
          <w:sz w:val="21"/>
          <w:szCs w:val="21"/>
        </w:rPr>
        <w:t>En cuanto a la gestión de la planificación se verificó que el sujeto fiscalizado</w:t>
      </w:r>
      <w:r>
        <w:rPr>
          <w:rFonts w:ascii="Abadi" w:hAnsi="Abadi" w:cs="*Arial-8217-Identity-H"/>
          <w:color w:val="0F0F12"/>
          <w:sz w:val="21"/>
          <w:szCs w:val="21"/>
        </w:rPr>
        <w:t xml:space="preserve"> </w:t>
      </w:r>
      <w:r w:rsidRPr="00494B56">
        <w:rPr>
          <w:rFonts w:ascii="Abadi" w:hAnsi="Abadi" w:cs="*Arial-8217-Identity-H"/>
          <w:color w:val="0F0F12"/>
          <w:sz w:val="21"/>
          <w:szCs w:val="21"/>
        </w:rPr>
        <w:t>no contó con información censal actualizada sobre las luminarias, pues esta</w:t>
      </w:r>
      <w:r>
        <w:rPr>
          <w:rFonts w:ascii="Abadi" w:hAnsi="Abadi" w:cs="*Arial-8217-Identity-H"/>
          <w:color w:val="0F0F12"/>
          <w:sz w:val="21"/>
          <w:szCs w:val="21"/>
        </w:rPr>
        <w:t xml:space="preserve"> </w:t>
      </w:r>
      <w:r w:rsidRPr="00494B56">
        <w:rPr>
          <w:rFonts w:ascii="Abadi" w:hAnsi="Abadi" w:cs="*Arial-8217-Identity-H"/>
          <w:color w:val="0F0F12"/>
          <w:sz w:val="21"/>
          <w:szCs w:val="21"/>
        </w:rPr>
        <w:t>corresponde al ejercicio 2019, aunado a que no permitió identificar cuántas de</w:t>
      </w:r>
      <w:r>
        <w:rPr>
          <w:rFonts w:ascii="Abadi" w:hAnsi="Abadi" w:cs="*Arial-8217-Identity-H"/>
          <w:color w:val="0F0F12"/>
          <w:sz w:val="21"/>
          <w:szCs w:val="21"/>
        </w:rPr>
        <w:t xml:space="preserve"> </w:t>
      </w:r>
      <w:r w:rsidRPr="00494B56">
        <w:rPr>
          <w:rFonts w:ascii="Abadi" w:hAnsi="Abadi" w:cs="*Arial-8217-Identity-H"/>
          <w:color w:val="0F0F12"/>
          <w:sz w:val="21"/>
          <w:szCs w:val="21"/>
        </w:rPr>
        <w:t>ellas se encuentran en funcionamiento. Asimismo, si bien se reconoce que cuenta</w:t>
      </w:r>
      <w:r w:rsidRPr="00494B56">
        <w:rPr>
          <w:rFonts w:ascii="Abadi" w:hAnsi="Abadi" w:cs="*Arial-8217-Identity-H"/>
          <w:color w:val="999999"/>
          <w:sz w:val="21"/>
          <w:szCs w:val="21"/>
        </w:rPr>
        <w:t>·</w:t>
      </w:r>
      <w:r>
        <w:rPr>
          <w:rFonts w:ascii="Abadi" w:hAnsi="Abadi" w:cs="*Arial-8217-Identity-H"/>
          <w:color w:val="0F0F12"/>
          <w:sz w:val="21"/>
          <w:szCs w:val="21"/>
        </w:rPr>
        <w:t xml:space="preserve"> </w:t>
      </w:r>
      <w:r w:rsidRPr="00494B56">
        <w:rPr>
          <w:rFonts w:ascii="Abadi" w:hAnsi="Abadi" w:cs="*Arial-8217-Identity-H"/>
          <w:color w:val="0F0F12"/>
          <w:sz w:val="21"/>
          <w:szCs w:val="21"/>
        </w:rPr>
        <w:t>con un sistema de georreferencia que le permite conocer con exactitud la</w:t>
      </w:r>
      <w:r>
        <w:rPr>
          <w:rFonts w:ascii="Abadi" w:hAnsi="Abadi" w:cs="*Arial-8217-Identity-H"/>
          <w:color w:val="0F0F12"/>
          <w:sz w:val="21"/>
          <w:szCs w:val="21"/>
        </w:rPr>
        <w:t xml:space="preserve"> </w:t>
      </w:r>
      <w:r w:rsidRPr="00494B56">
        <w:rPr>
          <w:rFonts w:ascii="Abadi" w:hAnsi="Abadi" w:cs="*Arial-8217-Identity-H"/>
          <w:color w:val="0F0F12"/>
          <w:sz w:val="21"/>
          <w:szCs w:val="21"/>
        </w:rPr>
        <w:t>ubicación y características de cada una de las lámparas con que cuenta la zona</w:t>
      </w:r>
      <w:r w:rsidR="00262BF4">
        <w:rPr>
          <w:rFonts w:ascii="Abadi" w:hAnsi="Abadi" w:cs="*Arial-8217-Identity-H"/>
          <w:color w:val="0F0F12"/>
          <w:sz w:val="21"/>
          <w:szCs w:val="21"/>
        </w:rPr>
        <w:t xml:space="preserve"> </w:t>
      </w:r>
      <w:r w:rsidRPr="00494B56">
        <w:rPr>
          <w:rFonts w:ascii="Abadi" w:hAnsi="Abadi" w:cs="*Arial-8217-Identity-H"/>
          <w:color w:val="0F0F12"/>
          <w:sz w:val="21"/>
          <w:szCs w:val="21"/>
        </w:rPr>
        <w:t>urbana, presenta la oportunidad de reforzar o implementar un sistema informático</w:t>
      </w:r>
      <w:r>
        <w:rPr>
          <w:rFonts w:ascii="Abadi" w:hAnsi="Abadi" w:cs="*Arial-8217-Identity-H"/>
          <w:color w:val="0F0F12"/>
          <w:sz w:val="21"/>
          <w:szCs w:val="21"/>
        </w:rPr>
        <w:t xml:space="preserve"> </w:t>
      </w:r>
      <w:r w:rsidRPr="00494B56">
        <w:rPr>
          <w:rFonts w:ascii="Abadi" w:hAnsi="Abadi" w:cs="*Arial-8217-Identity-H"/>
          <w:color w:val="0F0F12"/>
          <w:sz w:val="21"/>
          <w:szCs w:val="21"/>
        </w:rPr>
        <w:t>que permita optimizar y agilizar la atención de cualquier asunto relacionado con el</w:t>
      </w:r>
      <w:r>
        <w:rPr>
          <w:rFonts w:ascii="Abadi" w:hAnsi="Abadi" w:cs="*Arial-8217-Identity-H"/>
          <w:color w:val="0F0F12"/>
          <w:sz w:val="21"/>
          <w:szCs w:val="21"/>
        </w:rPr>
        <w:t xml:space="preserve"> </w:t>
      </w:r>
      <w:r w:rsidRPr="00494B56">
        <w:rPr>
          <w:rFonts w:ascii="Abadi" w:hAnsi="Abadi" w:cs="*Arial-8217-Identity-H"/>
          <w:color w:val="0F0F12"/>
          <w:sz w:val="21"/>
          <w:szCs w:val="21"/>
        </w:rPr>
        <w:t>servicio de alumbrado público, así como almacenar, organizar y administrar la</w:t>
      </w:r>
      <w:r>
        <w:rPr>
          <w:rFonts w:ascii="Abadi" w:hAnsi="Abadi" w:cs="*Arial-8217-Identity-H"/>
          <w:color w:val="0F0F12"/>
          <w:sz w:val="21"/>
          <w:szCs w:val="21"/>
        </w:rPr>
        <w:t xml:space="preserve"> </w:t>
      </w:r>
      <w:r w:rsidRPr="00494B56">
        <w:rPr>
          <w:rFonts w:ascii="Abadi" w:hAnsi="Abadi" w:cs="*Arial-8217-Identity-H"/>
          <w:color w:val="0F0F12"/>
          <w:sz w:val="21"/>
          <w:szCs w:val="21"/>
        </w:rPr>
        <w:t>información que se genere, derivado de los procesos de planeación, ejecución,</w:t>
      </w:r>
      <w:r>
        <w:rPr>
          <w:rFonts w:ascii="Abadi" w:hAnsi="Abadi" w:cs="*Arial-8217-Identity-H"/>
          <w:color w:val="0F0F12"/>
          <w:sz w:val="21"/>
          <w:szCs w:val="21"/>
        </w:rPr>
        <w:t xml:space="preserve"> </w:t>
      </w:r>
      <w:r w:rsidRPr="00494B56">
        <w:rPr>
          <w:rFonts w:ascii="Abadi" w:hAnsi="Abadi" w:cs="*Arial-8217-Identity-H"/>
          <w:color w:val="0F0F12"/>
          <w:sz w:val="21"/>
          <w:szCs w:val="21"/>
        </w:rPr>
        <w:t>mantenimiento y supervisión del servicio.</w:t>
      </w:r>
    </w:p>
    <w:p w14:paraId="34467E59" w14:textId="77777777" w:rsidR="002F42D9" w:rsidRPr="00494B56" w:rsidRDefault="002F42D9" w:rsidP="002F42D9">
      <w:pPr>
        <w:autoSpaceDE w:val="0"/>
        <w:autoSpaceDN w:val="0"/>
        <w:adjustRightInd w:val="0"/>
        <w:jc w:val="both"/>
        <w:rPr>
          <w:rFonts w:ascii="Abadi" w:hAnsi="Abadi" w:cs="*Arial-8217-Identity-H"/>
          <w:color w:val="0F0F12"/>
          <w:sz w:val="21"/>
          <w:szCs w:val="21"/>
        </w:rPr>
      </w:pPr>
    </w:p>
    <w:p w14:paraId="0F69FA98" w14:textId="77777777" w:rsidR="002F42D9" w:rsidRPr="00494B56" w:rsidRDefault="002F42D9" w:rsidP="002F42D9">
      <w:pPr>
        <w:autoSpaceDE w:val="0"/>
        <w:autoSpaceDN w:val="0"/>
        <w:adjustRightInd w:val="0"/>
        <w:ind w:firstLine="708"/>
        <w:jc w:val="both"/>
        <w:rPr>
          <w:rFonts w:ascii="Abadi" w:hAnsi="Abadi" w:cs="*Arial-8217-Identity-H"/>
          <w:color w:val="0C0B0E"/>
          <w:sz w:val="21"/>
          <w:szCs w:val="21"/>
        </w:rPr>
      </w:pPr>
      <w:r w:rsidRPr="00494B56">
        <w:rPr>
          <w:rFonts w:ascii="Abadi" w:hAnsi="Abadi" w:cs="*Arial-8217-Identity-H"/>
          <w:color w:val="0C0B0E"/>
          <w:sz w:val="21"/>
          <w:szCs w:val="21"/>
        </w:rPr>
        <w:t>Por lo que hace a la planificación para el desarrollo, el sujeto fiscalizado</w:t>
      </w:r>
      <w:r>
        <w:rPr>
          <w:rFonts w:ascii="Abadi" w:hAnsi="Abadi" w:cs="*Arial-8217-Identity-H"/>
          <w:color w:val="0C0B0E"/>
          <w:sz w:val="21"/>
          <w:szCs w:val="21"/>
        </w:rPr>
        <w:t xml:space="preserve"> </w:t>
      </w:r>
      <w:r w:rsidRPr="00494B56">
        <w:rPr>
          <w:rFonts w:ascii="Abadi" w:hAnsi="Abadi" w:cs="*Arial-8217-Identity-H"/>
          <w:color w:val="0C0B0E"/>
          <w:sz w:val="21"/>
          <w:szCs w:val="21"/>
        </w:rPr>
        <w:t>reconoció como un asunto prioritario el servicio de alumbrado público en sus</w:t>
      </w:r>
      <w:r>
        <w:rPr>
          <w:rFonts w:ascii="Abadi" w:hAnsi="Abadi" w:cs="*Arial-8217-Identity-H"/>
          <w:color w:val="0C0B0E"/>
          <w:sz w:val="21"/>
          <w:szCs w:val="21"/>
        </w:rPr>
        <w:t xml:space="preserve"> </w:t>
      </w:r>
      <w:r w:rsidRPr="00494B56">
        <w:rPr>
          <w:rFonts w:ascii="Abadi" w:hAnsi="Abadi" w:cs="*Arial-8217-Identity-H"/>
          <w:color w:val="0C0B0E"/>
          <w:sz w:val="21"/>
          <w:szCs w:val="21"/>
        </w:rPr>
        <w:t>instrumentos de planeación a mediano y largo plazo, al definir objetivos,</w:t>
      </w:r>
      <w:r>
        <w:rPr>
          <w:rFonts w:ascii="Abadi" w:hAnsi="Abadi" w:cs="*Arial-8217-Identity-H"/>
          <w:color w:val="0C0B0E"/>
          <w:sz w:val="21"/>
          <w:szCs w:val="21"/>
        </w:rPr>
        <w:t xml:space="preserve"> </w:t>
      </w:r>
      <w:r w:rsidRPr="00494B56">
        <w:rPr>
          <w:rFonts w:ascii="Abadi" w:hAnsi="Abadi" w:cs="*Arial-8217-Identity-H"/>
          <w:color w:val="0C0B0E"/>
          <w:sz w:val="21"/>
          <w:szCs w:val="21"/>
        </w:rPr>
        <w:t>estrategias, proyectos y acciones enfocados en el desarrollo de fuentes de energía</w:t>
      </w:r>
      <w:r>
        <w:rPr>
          <w:rFonts w:ascii="Abadi" w:hAnsi="Abadi" w:cs="*Arial-8217-Identity-H"/>
          <w:color w:val="0C0B0E"/>
          <w:sz w:val="21"/>
          <w:szCs w:val="21"/>
        </w:rPr>
        <w:t xml:space="preserve"> </w:t>
      </w:r>
      <w:r w:rsidRPr="00494B56">
        <w:rPr>
          <w:rFonts w:ascii="Abadi" w:hAnsi="Abadi" w:cs="*Arial-8217-Identity-H"/>
          <w:color w:val="0C0B0E"/>
          <w:sz w:val="21"/>
          <w:szCs w:val="21"/>
        </w:rPr>
        <w:t>renovables, el incremento de la eficiencia energética, la mejora de los niveles de</w:t>
      </w:r>
      <w:r>
        <w:rPr>
          <w:rFonts w:ascii="Abadi" w:hAnsi="Abadi" w:cs="*Arial-8217-Identity-H"/>
          <w:color w:val="0C0B0E"/>
          <w:sz w:val="21"/>
          <w:szCs w:val="21"/>
        </w:rPr>
        <w:t xml:space="preserve"> </w:t>
      </w:r>
      <w:r w:rsidRPr="00494B56">
        <w:rPr>
          <w:rFonts w:ascii="Abadi" w:hAnsi="Abadi" w:cs="*Arial-8217-Identity-H"/>
          <w:color w:val="0C0B0E"/>
          <w:sz w:val="21"/>
          <w:szCs w:val="21"/>
        </w:rPr>
        <w:t>iluminación en las calles, el incremento de la cobertura y la disminución del</w:t>
      </w:r>
      <w:r>
        <w:rPr>
          <w:rFonts w:ascii="Abadi" w:hAnsi="Abadi" w:cs="*Arial-8217-Identity-H"/>
          <w:color w:val="0C0B0E"/>
          <w:sz w:val="21"/>
          <w:szCs w:val="21"/>
        </w:rPr>
        <w:t xml:space="preserve"> </w:t>
      </w:r>
      <w:r w:rsidRPr="00494B56">
        <w:rPr>
          <w:rFonts w:ascii="Abadi" w:hAnsi="Abadi" w:cs="*Arial-8217-Identity-H"/>
          <w:color w:val="0C0B0E"/>
          <w:sz w:val="21"/>
          <w:szCs w:val="21"/>
        </w:rPr>
        <w:t>consumo de energía eléctrica. De igual forma, los elementos de dichos</w:t>
      </w:r>
      <w:r>
        <w:rPr>
          <w:rFonts w:ascii="Abadi" w:hAnsi="Abadi" w:cs="*Arial-8217-Identity-H"/>
          <w:color w:val="0C0B0E"/>
          <w:sz w:val="21"/>
          <w:szCs w:val="21"/>
        </w:rPr>
        <w:t xml:space="preserve"> </w:t>
      </w:r>
      <w:r w:rsidRPr="00494B56">
        <w:rPr>
          <w:rFonts w:ascii="Abadi" w:hAnsi="Abadi" w:cs="*Arial-8217-Identity-H"/>
          <w:color w:val="0C0B0E"/>
          <w:sz w:val="21"/>
          <w:szCs w:val="21"/>
        </w:rPr>
        <w:t xml:space="preserve">instrumentos de planeación se encuentran vinculados con el objetivo 7 </w:t>
      </w:r>
      <w:r w:rsidRPr="00494B56">
        <w:rPr>
          <w:rFonts w:ascii="Abadi" w:hAnsi="Abadi" w:cs="*Arial-Italic-8218-Identity-H"/>
          <w:i/>
          <w:iCs/>
          <w:color w:val="0C0B0E"/>
          <w:sz w:val="21"/>
          <w:szCs w:val="21"/>
        </w:rPr>
        <w:t>Energía</w:t>
      </w:r>
      <w:r>
        <w:rPr>
          <w:rFonts w:ascii="Abadi" w:hAnsi="Abadi" w:cs="*Arial-8217-Identity-H"/>
          <w:color w:val="0C0B0E"/>
          <w:sz w:val="21"/>
          <w:szCs w:val="21"/>
        </w:rPr>
        <w:t xml:space="preserve"> </w:t>
      </w:r>
      <w:r w:rsidRPr="00494B56">
        <w:rPr>
          <w:rFonts w:ascii="Abadi" w:hAnsi="Abadi" w:cs="*Arial-Italic-8218-Identity-H"/>
          <w:i/>
          <w:iCs/>
          <w:color w:val="0C0B0E"/>
          <w:sz w:val="21"/>
          <w:szCs w:val="21"/>
        </w:rPr>
        <w:t xml:space="preserve">Asequible </w:t>
      </w:r>
      <w:r w:rsidRPr="00494B56">
        <w:rPr>
          <w:rFonts w:ascii="Abadi" w:hAnsi="Abadi" w:cs="*Microsoft Sans Serif-Italic-82"/>
          <w:i/>
          <w:iCs/>
          <w:color w:val="0C0B0E"/>
          <w:sz w:val="21"/>
          <w:szCs w:val="21"/>
        </w:rPr>
        <w:t xml:space="preserve">y </w:t>
      </w:r>
      <w:r w:rsidRPr="00494B56">
        <w:rPr>
          <w:rFonts w:ascii="Abadi" w:hAnsi="Abadi" w:cs="*Arial-Italic-8218-Identity-H"/>
          <w:i/>
          <w:iCs/>
          <w:color w:val="0C0B0E"/>
          <w:sz w:val="21"/>
          <w:szCs w:val="21"/>
        </w:rPr>
        <w:t xml:space="preserve">no Contaminante, </w:t>
      </w:r>
      <w:r w:rsidRPr="00494B56">
        <w:rPr>
          <w:rFonts w:ascii="Abadi" w:hAnsi="Abadi" w:cs="*Arial-8217-Identity-H"/>
          <w:color w:val="0C0B0E"/>
          <w:sz w:val="21"/>
          <w:szCs w:val="21"/>
        </w:rPr>
        <w:t>específicamente con las metas 7.1, 7.2 y 7n.2, así</w:t>
      </w:r>
      <w:r>
        <w:rPr>
          <w:rFonts w:ascii="Abadi" w:hAnsi="Abadi" w:cs="*Arial-8217-Identity-H"/>
          <w:color w:val="0C0B0E"/>
          <w:sz w:val="21"/>
          <w:szCs w:val="21"/>
        </w:rPr>
        <w:t xml:space="preserve"> </w:t>
      </w:r>
      <w:r w:rsidRPr="00494B56">
        <w:rPr>
          <w:rFonts w:ascii="Abadi" w:hAnsi="Abadi" w:cs="*Arial-8217-Identity-H"/>
          <w:color w:val="0C0B0E"/>
          <w:sz w:val="21"/>
          <w:szCs w:val="21"/>
        </w:rPr>
        <w:t xml:space="preserve">como con la meta 11 .1 del objetivo </w:t>
      </w:r>
      <w:r w:rsidRPr="00494B56">
        <w:rPr>
          <w:rFonts w:ascii="Abadi" w:hAnsi="Abadi" w:cs="*Arial-Italic-8218-Identity-H"/>
          <w:i/>
          <w:iCs/>
          <w:color w:val="0C0B0E"/>
          <w:sz w:val="21"/>
          <w:szCs w:val="21"/>
        </w:rPr>
        <w:t xml:space="preserve">11 Ciudades </w:t>
      </w:r>
      <w:r w:rsidRPr="00494B56">
        <w:rPr>
          <w:rFonts w:ascii="Abadi" w:hAnsi="Abadi" w:cs="*Microsoft Sans Serif-Italic-82"/>
          <w:i/>
          <w:iCs/>
          <w:color w:val="0C0B0E"/>
          <w:sz w:val="21"/>
          <w:szCs w:val="21"/>
        </w:rPr>
        <w:t xml:space="preserve">y </w:t>
      </w:r>
      <w:r w:rsidRPr="00494B56">
        <w:rPr>
          <w:rFonts w:ascii="Abadi" w:hAnsi="Abadi" w:cs="*Arial-Italic-8218-Identity-H"/>
          <w:i/>
          <w:iCs/>
          <w:color w:val="0C0B0E"/>
          <w:sz w:val="21"/>
          <w:szCs w:val="21"/>
        </w:rPr>
        <w:t xml:space="preserve">Comunidades Sostenibles </w:t>
      </w:r>
      <w:r w:rsidRPr="00494B56">
        <w:rPr>
          <w:rFonts w:ascii="Abadi" w:hAnsi="Abadi" w:cs="*Arial-8217-Identity-H"/>
          <w:color w:val="0C0B0E"/>
          <w:sz w:val="21"/>
          <w:szCs w:val="21"/>
        </w:rPr>
        <w:t>de la</w:t>
      </w:r>
      <w:r>
        <w:rPr>
          <w:rFonts w:ascii="Abadi" w:hAnsi="Abadi" w:cs="*Arial-8217-Identity-H"/>
          <w:color w:val="0C0B0E"/>
          <w:sz w:val="21"/>
          <w:szCs w:val="21"/>
        </w:rPr>
        <w:t xml:space="preserve"> </w:t>
      </w:r>
      <w:r w:rsidRPr="00494B56">
        <w:rPr>
          <w:rFonts w:ascii="Abadi" w:hAnsi="Abadi" w:cs="*Arial-8217-Identity-H"/>
          <w:color w:val="0C0B0E"/>
          <w:sz w:val="21"/>
          <w:szCs w:val="21"/>
        </w:rPr>
        <w:t>Agenda 2030, reconocida por el Programa de las Naciones Unidas y la Secretaria</w:t>
      </w:r>
      <w:r>
        <w:rPr>
          <w:rFonts w:ascii="Abadi" w:hAnsi="Abadi" w:cs="*Arial-8217-Identity-H"/>
          <w:color w:val="0C0B0E"/>
          <w:sz w:val="21"/>
          <w:szCs w:val="21"/>
        </w:rPr>
        <w:t xml:space="preserve"> </w:t>
      </w:r>
      <w:r w:rsidRPr="00494B56">
        <w:rPr>
          <w:rFonts w:ascii="Abadi" w:hAnsi="Abadi" w:cs="*Arial-8217-Identity-H"/>
          <w:color w:val="0C0B0E"/>
          <w:sz w:val="21"/>
          <w:szCs w:val="21"/>
        </w:rPr>
        <w:t>de Gobernación; sin embargo, dicha alineación no se incluyó de una manera</w:t>
      </w:r>
      <w:r>
        <w:rPr>
          <w:rFonts w:ascii="Abadi" w:hAnsi="Abadi" w:cs="*Arial-8217-Identity-H"/>
          <w:color w:val="0C0B0E"/>
          <w:sz w:val="21"/>
          <w:szCs w:val="21"/>
        </w:rPr>
        <w:t xml:space="preserve"> </w:t>
      </w:r>
      <w:r w:rsidRPr="00494B56">
        <w:rPr>
          <w:rFonts w:ascii="Abadi" w:hAnsi="Abadi" w:cs="*Arial-8217-Identity-H"/>
          <w:color w:val="0C0B0E"/>
          <w:sz w:val="21"/>
          <w:szCs w:val="21"/>
        </w:rPr>
        <w:t>explícita en alguno de sus instrumentos de planeación, lo que advierte un área de</w:t>
      </w:r>
      <w:r>
        <w:rPr>
          <w:rFonts w:ascii="Abadi" w:hAnsi="Abadi" w:cs="*Arial-8217-Identity-H"/>
          <w:color w:val="0C0B0E"/>
          <w:sz w:val="21"/>
          <w:szCs w:val="21"/>
        </w:rPr>
        <w:t xml:space="preserve"> </w:t>
      </w:r>
      <w:r w:rsidRPr="00494B56">
        <w:rPr>
          <w:rFonts w:ascii="Abadi" w:hAnsi="Abadi" w:cs="*Arial-8217-Identity-H"/>
          <w:color w:val="0C0B0E"/>
          <w:sz w:val="21"/>
          <w:szCs w:val="21"/>
        </w:rPr>
        <w:t>oportunidad por hacer su reconocimiento de manera formal en las futuras</w:t>
      </w:r>
      <w:r>
        <w:rPr>
          <w:rFonts w:ascii="Abadi" w:hAnsi="Abadi" w:cs="*Arial-8217-Identity-H"/>
          <w:color w:val="0C0B0E"/>
          <w:sz w:val="21"/>
          <w:szCs w:val="21"/>
        </w:rPr>
        <w:t xml:space="preserve"> </w:t>
      </w:r>
      <w:r w:rsidRPr="00494B56">
        <w:rPr>
          <w:rFonts w:ascii="Abadi" w:hAnsi="Abadi" w:cs="*Arial-8217-Identity-H"/>
          <w:color w:val="0C0B0E"/>
          <w:sz w:val="21"/>
          <w:szCs w:val="21"/>
        </w:rPr>
        <w:t>versiones de los instrumentos de planeación de la actual administración (2021-</w:t>
      </w:r>
    </w:p>
    <w:p w14:paraId="6FBF6006" w14:textId="17125D43" w:rsidR="002F42D9" w:rsidRPr="00494B56" w:rsidRDefault="002F42D9" w:rsidP="002F42D9">
      <w:pPr>
        <w:autoSpaceDE w:val="0"/>
        <w:autoSpaceDN w:val="0"/>
        <w:adjustRightInd w:val="0"/>
        <w:jc w:val="both"/>
        <w:rPr>
          <w:rFonts w:ascii="Abadi" w:hAnsi="Abadi" w:cs="*Arial-8217-Identity-H"/>
          <w:color w:val="0C0B0E"/>
          <w:sz w:val="21"/>
          <w:szCs w:val="21"/>
        </w:rPr>
      </w:pPr>
      <w:r w:rsidRPr="00494B56">
        <w:rPr>
          <w:rFonts w:ascii="Abadi" w:hAnsi="Abadi" w:cs="*Arial-8217-Identity-H"/>
          <w:color w:val="0C0B0E"/>
          <w:sz w:val="21"/>
          <w:szCs w:val="21"/>
        </w:rPr>
        <w:t>2024).</w:t>
      </w:r>
    </w:p>
    <w:p w14:paraId="1BD3B8F9" w14:textId="77777777" w:rsidR="002F42D9" w:rsidRPr="00494B56" w:rsidRDefault="002F42D9" w:rsidP="002F42D9">
      <w:pPr>
        <w:autoSpaceDE w:val="0"/>
        <w:autoSpaceDN w:val="0"/>
        <w:adjustRightInd w:val="0"/>
        <w:jc w:val="both"/>
        <w:rPr>
          <w:rFonts w:ascii="Abadi" w:hAnsi="Abadi" w:cs="*Arial-8217-Identity-H"/>
          <w:color w:val="0C0B0E"/>
          <w:sz w:val="21"/>
          <w:szCs w:val="21"/>
        </w:rPr>
      </w:pPr>
    </w:p>
    <w:p w14:paraId="246BE66D" w14:textId="6BBDA159" w:rsidR="002F42D9" w:rsidRPr="00B91BFA" w:rsidRDefault="002F42D9" w:rsidP="002F42D9">
      <w:pPr>
        <w:autoSpaceDE w:val="0"/>
        <w:autoSpaceDN w:val="0"/>
        <w:adjustRightInd w:val="0"/>
        <w:ind w:firstLine="708"/>
        <w:jc w:val="both"/>
        <w:rPr>
          <w:rFonts w:ascii="Abadi" w:hAnsi="Abadi" w:cs="*Arial-8217-Identity-H"/>
          <w:color w:val="0C0C0F"/>
          <w:sz w:val="21"/>
          <w:szCs w:val="21"/>
        </w:rPr>
      </w:pPr>
      <w:r w:rsidRPr="00494B56">
        <w:rPr>
          <w:rFonts w:ascii="Abadi" w:hAnsi="Abadi" w:cs="*Arial-8217-Identity-H"/>
          <w:color w:val="0C0C0F"/>
          <w:sz w:val="21"/>
          <w:szCs w:val="21"/>
        </w:rPr>
        <w:t>En lo que corresponde a la operación del serv</w:t>
      </w:r>
      <w:r w:rsidR="0042658F">
        <w:rPr>
          <w:rFonts w:ascii="Abadi" w:hAnsi="Abadi" w:cs="*Arial-8217-Identity-H"/>
          <w:color w:val="0C0C0F"/>
          <w:sz w:val="21"/>
          <w:szCs w:val="21"/>
        </w:rPr>
        <w:t>icio</w:t>
      </w:r>
      <w:r w:rsidRPr="00494B56">
        <w:rPr>
          <w:rFonts w:ascii="Abadi" w:hAnsi="Abadi" w:cs="*Arial-8217-Identity-H"/>
          <w:color w:val="0C0C0F"/>
          <w:sz w:val="21"/>
          <w:szCs w:val="21"/>
        </w:rPr>
        <w:t>, se reconoce que su</w:t>
      </w:r>
      <w:r>
        <w:rPr>
          <w:rFonts w:ascii="Abadi" w:hAnsi="Abadi" w:cs="*Arial-8217-Identity-H"/>
          <w:color w:val="0C0C0F"/>
          <w:sz w:val="21"/>
          <w:szCs w:val="21"/>
        </w:rPr>
        <w:t xml:space="preserve"> </w:t>
      </w:r>
      <w:r w:rsidRPr="00494B56">
        <w:rPr>
          <w:rFonts w:ascii="Abadi" w:hAnsi="Abadi" w:cs="*Arial-8217-Identity-H"/>
          <w:color w:val="0C0C0F"/>
          <w:sz w:val="21"/>
          <w:szCs w:val="21"/>
        </w:rPr>
        <w:t>finalidad es su eficiente y eficaz funcionamiento, de lo cual depende de la</w:t>
      </w:r>
      <w:r>
        <w:rPr>
          <w:rFonts w:ascii="Abadi" w:hAnsi="Abadi" w:cs="*Arial-8217-Identity-H"/>
          <w:color w:val="0C0C0F"/>
          <w:sz w:val="21"/>
          <w:szCs w:val="21"/>
        </w:rPr>
        <w:t xml:space="preserve"> </w:t>
      </w:r>
      <w:r w:rsidRPr="00494B56">
        <w:rPr>
          <w:rFonts w:ascii="Abadi" w:hAnsi="Abadi" w:cs="*Arial-8217-Identity-H"/>
          <w:color w:val="0C0C0F"/>
          <w:sz w:val="21"/>
          <w:szCs w:val="21"/>
        </w:rPr>
        <w:t>definición clara de procesos clave y documentos normativos que garanticen su</w:t>
      </w:r>
      <w:r>
        <w:rPr>
          <w:rFonts w:ascii="Abadi" w:hAnsi="Abadi" w:cs="*Arial-8217-Identity-H"/>
          <w:color w:val="0C0C0F"/>
          <w:sz w:val="21"/>
          <w:szCs w:val="21"/>
        </w:rPr>
        <w:t xml:space="preserve"> </w:t>
      </w:r>
      <w:r w:rsidRPr="00494B56">
        <w:rPr>
          <w:rFonts w:ascii="Abadi" w:hAnsi="Abadi" w:cs="*Arial-8217-Identity-H"/>
          <w:color w:val="0C0C0F"/>
          <w:sz w:val="21"/>
          <w:szCs w:val="21"/>
        </w:rPr>
        <w:t>operatividad; de contar con programas anuales orientados a la mejora, y de</w:t>
      </w:r>
      <w:r>
        <w:rPr>
          <w:rFonts w:ascii="Abadi" w:hAnsi="Abadi" w:cs="*Arial-8217-Identity-H"/>
          <w:color w:val="0C0C0F"/>
          <w:sz w:val="21"/>
          <w:szCs w:val="21"/>
        </w:rPr>
        <w:t xml:space="preserve"> </w:t>
      </w:r>
      <w:r w:rsidRPr="00494B56">
        <w:rPr>
          <w:rFonts w:ascii="Abadi" w:hAnsi="Abadi" w:cs="*Arial-8217-Identity-H"/>
          <w:color w:val="0C0C0F"/>
          <w:sz w:val="21"/>
          <w:szCs w:val="21"/>
        </w:rPr>
        <w:t>brindar un servicio y una atención de calidad a la población. En tal sentido, se</w:t>
      </w:r>
      <w:r>
        <w:rPr>
          <w:rFonts w:ascii="Abadi" w:hAnsi="Abadi" w:cs="*Arial-8217-Identity-H"/>
          <w:color w:val="0C0C0F"/>
          <w:sz w:val="21"/>
          <w:szCs w:val="21"/>
        </w:rPr>
        <w:t xml:space="preserve"> </w:t>
      </w:r>
      <w:r w:rsidRPr="00494B56">
        <w:rPr>
          <w:rFonts w:ascii="Abadi" w:hAnsi="Abadi" w:cs="*Arial-8217-Identity-H"/>
          <w:color w:val="0C0C0F"/>
          <w:sz w:val="21"/>
          <w:szCs w:val="21"/>
        </w:rPr>
        <w:t>constató que el sujeto fiscalizado en el ejercicio 2020, no dispuso de un</w:t>
      </w:r>
      <w:r>
        <w:rPr>
          <w:rFonts w:ascii="Abadi" w:hAnsi="Abadi" w:cs="*Arial-8217-Identity-H"/>
          <w:color w:val="0C0C0F"/>
          <w:sz w:val="21"/>
          <w:szCs w:val="21"/>
        </w:rPr>
        <w:t xml:space="preserve"> </w:t>
      </w:r>
      <w:r w:rsidRPr="00494B56">
        <w:rPr>
          <w:rFonts w:ascii="Abadi" w:hAnsi="Abadi" w:cs="*Arial-8217-Identity-H"/>
          <w:color w:val="0C0C0F"/>
          <w:sz w:val="21"/>
          <w:szCs w:val="21"/>
        </w:rPr>
        <w:t>reglamento a efecto de establecer las bases para la regulación, organización y</w:t>
      </w:r>
      <w:r>
        <w:rPr>
          <w:rFonts w:ascii="Abadi" w:hAnsi="Abadi" w:cs="*Arial-8217-Identity-H"/>
          <w:color w:val="0C0C0F"/>
          <w:sz w:val="21"/>
          <w:szCs w:val="21"/>
        </w:rPr>
        <w:t xml:space="preserve"> </w:t>
      </w:r>
      <w:r w:rsidRPr="00494B56">
        <w:rPr>
          <w:rFonts w:ascii="Abadi" w:hAnsi="Abadi" w:cs="*Arial-8217-Identity-H"/>
          <w:color w:val="0C0C0F"/>
          <w:sz w:val="21"/>
          <w:szCs w:val="21"/>
        </w:rPr>
        <w:t>estructura que garanticen la prestación del servicio de alumbrado público, desde</w:t>
      </w:r>
      <w:r>
        <w:rPr>
          <w:rFonts w:ascii="Abadi" w:hAnsi="Abadi" w:cs="*Arial-8217-Identity-H"/>
          <w:color w:val="0C0C0F"/>
          <w:sz w:val="21"/>
          <w:szCs w:val="21"/>
        </w:rPr>
        <w:t xml:space="preserve"> </w:t>
      </w:r>
      <w:r w:rsidRPr="00494B56">
        <w:rPr>
          <w:rFonts w:ascii="Abadi" w:hAnsi="Abadi" w:cs="*Arial-8217-Identity-H"/>
          <w:color w:val="0C0C0F"/>
          <w:sz w:val="21"/>
          <w:szCs w:val="21"/>
        </w:rPr>
        <w:t>su planeación, instalación, monitoreo, mantenimiento y hasta las actividades que</w:t>
      </w:r>
      <w:r>
        <w:rPr>
          <w:rFonts w:ascii="Abadi" w:hAnsi="Abadi" w:cs="*Arial-8217-Identity-H"/>
          <w:color w:val="0C0C0F"/>
          <w:sz w:val="21"/>
          <w:szCs w:val="21"/>
        </w:rPr>
        <w:t xml:space="preserve"> </w:t>
      </w:r>
      <w:r w:rsidRPr="00494B56">
        <w:rPr>
          <w:rFonts w:ascii="Abadi" w:hAnsi="Abadi" w:cs="*Arial-8217-Identity-H"/>
          <w:color w:val="0C0C0F"/>
          <w:sz w:val="21"/>
          <w:szCs w:val="21"/>
        </w:rPr>
        <w:t>se pretenden realizar para su modernización. De igual forma, el sujeto fiscalizado</w:t>
      </w:r>
      <w:r>
        <w:rPr>
          <w:rFonts w:ascii="Abadi" w:hAnsi="Abadi" w:cs="*Arial-8217-Identity-H"/>
          <w:color w:val="0C0C0F"/>
          <w:sz w:val="21"/>
          <w:szCs w:val="21"/>
        </w:rPr>
        <w:t xml:space="preserve"> </w:t>
      </w:r>
      <w:r w:rsidRPr="00494B56">
        <w:rPr>
          <w:rFonts w:ascii="Abadi" w:hAnsi="Abadi" w:cs="*Arial-8217-Identity-H"/>
          <w:color w:val="0C0C0F"/>
          <w:sz w:val="21"/>
          <w:szCs w:val="21"/>
        </w:rPr>
        <w:t>acreditó contar con el Manual de Procedimientos de la Dirección de Servicios</w:t>
      </w:r>
      <w:r>
        <w:rPr>
          <w:rFonts w:ascii="Abadi" w:hAnsi="Abadi" w:cs="*Arial-8217-Identity-H"/>
          <w:color w:val="0C0C0F"/>
          <w:sz w:val="21"/>
          <w:szCs w:val="21"/>
        </w:rPr>
        <w:t xml:space="preserve"> </w:t>
      </w:r>
      <w:r w:rsidRPr="00494B56">
        <w:rPr>
          <w:rFonts w:ascii="Abadi" w:hAnsi="Abadi" w:cs="*Arial-7320-Identity-H"/>
          <w:color w:val="0C0B0E"/>
          <w:sz w:val="21"/>
          <w:szCs w:val="21"/>
        </w:rPr>
        <w:t>Públicos Municipales, mismo que contiene la estructura orgánica de la Dirección,</w:t>
      </w:r>
      <w:r>
        <w:rPr>
          <w:rFonts w:ascii="Abadi" w:hAnsi="Abadi" w:cs="*Arial-8217-Identity-H"/>
          <w:color w:val="0C0C0F"/>
          <w:sz w:val="21"/>
          <w:szCs w:val="21"/>
        </w:rPr>
        <w:t xml:space="preserve"> </w:t>
      </w:r>
      <w:r w:rsidRPr="00494B56">
        <w:rPr>
          <w:rFonts w:ascii="Abadi" w:hAnsi="Abadi" w:cs="*Arial-7320-Identity-H"/>
          <w:color w:val="0C0B0E"/>
          <w:sz w:val="21"/>
          <w:szCs w:val="21"/>
        </w:rPr>
        <w:t>así como el procedimiento de la Coordinación del Alumbrado Público; sin</w:t>
      </w:r>
      <w:r>
        <w:rPr>
          <w:rFonts w:ascii="Abadi" w:hAnsi="Abadi" w:cs="*Arial-8217-Identity-H"/>
          <w:color w:val="0C0C0F"/>
          <w:sz w:val="21"/>
          <w:szCs w:val="21"/>
        </w:rPr>
        <w:t xml:space="preserve"> </w:t>
      </w:r>
      <w:r w:rsidRPr="00494B56">
        <w:rPr>
          <w:rFonts w:ascii="Abadi" w:hAnsi="Abadi" w:cs="*Arial-7320-Identity-H"/>
          <w:color w:val="0C0B0E"/>
          <w:sz w:val="21"/>
          <w:szCs w:val="21"/>
        </w:rPr>
        <w:t>embargo, este refiere únicamente a la atención de reportes ciudadanos originados</w:t>
      </w:r>
      <w:r>
        <w:rPr>
          <w:rFonts w:ascii="Abadi" w:hAnsi="Abadi" w:cs="*Arial-8217-Identity-H"/>
          <w:color w:val="0C0C0F"/>
          <w:sz w:val="21"/>
          <w:szCs w:val="21"/>
        </w:rPr>
        <w:t xml:space="preserve"> </w:t>
      </w:r>
      <w:r w:rsidRPr="00494B56">
        <w:rPr>
          <w:rFonts w:ascii="Abadi" w:hAnsi="Abadi" w:cs="*Arial-7320-Identity-H"/>
          <w:color w:val="0C0B0E"/>
          <w:sz w:val="21"/>
          <w:szCs w:val="21"/>
        </w:rPr>
        <w:t>por fallas en el servicio de alumbrado público; por lo que se cuenta con la</w:t>
      </w:r>
      <w:r>
        <w:rPr>
          <w:rFonts w:ascii="Abadi" w:hAnsi="Abadi" w:cs="*Arial-8217-Identity-H"/>
          <w:color w:val="0C0C0F"/>
          <w:sz w:val="21"/>
          <w:szCs w:val="21"/>
        </w:rPr>
        <w:t xml:space="preserve"> </w:t>
      </w:r>
      <w:r w:rsidRPr="00494B56">
        <w:rPr>
          <w:rFonts w:ascii="Abadi" w:hAnsi="Abadi" w:cs="*Arial-7320-Identity-H"/>
          <w:color w:val="0C0B0E"/>
          <w:sz w:val="21"/>
          <w:szCs w:val="21"/>
        </w:rPr>
        <w:t>oportunidad de fortalecer dicho documento a efecto de integrar la totalidad de los</w:t>
      </w:r>
      <w:r>
        <w:rPr>
          <w:rFonts w:ascii="Abadi" w:hAnsi="Abadi" w:cs="*Arial-8217-Identity-H"/>
          <w:color w:val="0C0C0F"/>
          <w:sz w:val="21"/>
          <w:szCs w:val="21"/>
        </w:rPr>
        <w:t xml:space="preserve"> </w:t>
      </w:r>
      <w:r w:rsidRPr="00494B56">
        <w:rPr>
          <w:rFonts w:ascii="Abadi" w:hAnsi="Abadi" w:cs="*Arial-7320-Identity-H"/>
          <w:color w:val="0C0B0E"/>
          <w:sz w:val="21"/>
          <w:szCs w:val="21"/>
        </w:rPr>
        <w:t>procesos clave para otorgar con eficiencia y eficacia el servicio de alumbrado</w:t>
      </w:r>
      <w:r>
        <w:rPr>
          <w:rFonts w:ascii="Abadi" w:hAnsi="Abadi" w:cs="*Arial-8217-Identity-H"/>
          <w:color w:val="0C0C0F"/>
          <w:sz w:val="21"/>
          <w:szCs w:val="21"/>
        </w:rPr>
        <w:t xml:space="preserve"> </w:t>
      </w:r>
      <w:r w:rsidRPr="00494B56">
        <w:rPr>
          <w:rFonts w:ascii="Abadi" w:hAnsi="Abadi" w:cs="*Arial-7320-Identity-H"/>
          <w:color w:val="0C0B0E"/>
          <w:sz w:val="21"/>
          <w:szCs w:val="21"/>
        </w:rPr>
        <w:t>público a la población, así como incorporar la relación de los procesos y</w:t>
      </w:r>
      <w:r>
        <w:rPr>
          <w:rFonts w:ascii="Abadi" w:hAnsi="Abadi" w:cs="*Arial-8217-Identity-H"/>
          <w:color w:val="0C0C0F"/>
          <w:sz w:val="21"/>
          <w:szCs w:val="21"/>
        </w:rPr>
        <w:t xml:space="preserve"> </w:t>
      </w:r>
      <w:r w:rsidRPr="00494B56">
        <w:rPr>
          <w:rFonts w:ascii="Abadi" w:hAnsi="Abadi" w:cs="*Arial-7320-Identity-H"/>
          <w:color w:val="0C0B0E"/>
          <w:sz w:val="21"/>
          <w:szCs w:val="21"/>
        </w:rPr>
        <w:t>procedimientos macro y los formatos e instructivos.</w:t>
      </w:r>
    </w:p>
    <w:p w14:paraId="5A739F64" w14:textId="77777777" w:rsidR="002F42D9" w:rsidRPr="00494B56" w:rsidRDefault="002F42D9" w:rsidP="002F42D9">
      <w:pPr>
        <w:autoSpaceDE w:val="0"/>
        <w:autoSpaceDN w:val="0"/>
        <w:adjustRightInd w:val="0"/>
        <w:jc w:val="both"/>
        <w:rPr>
          <w:rFonts w:ascii="Abadi" w:hAnsi="Abadi" w:cs="*Arial-7320-Identity-H"/>
          <w:color w:val="0C0B0E"/>
          <w:sz w:val="21"/>
          <w:szCs w:val="21"/>
        </w:rPr>
      </w:pPr>
    </w:p>
    <w:p w14:paraId="20B69739" w14:textId="77777777" w:rsidR="002F42D9" w:rsidRPr="00494B56" w:rsidRDefault="002F42D9" w:rsidP="002F42D9">
      <w:pPr>
        <w:autoSpaceDE w:val="0"/>
        <w:autoSpaceDN w:val="0"/>
        <w:adjustRightInd w:val="0"/>
        <w:ind w:firstLine="708"/>
        <w:jc w:val="both"/>
        <w:rPr>
          <w:rFonts w:ascii="Abadi" w:hAnsi="Abadi" w:cs="*Arial-7320-Identity-H"/>
          <w:color w:val="0D0C0F"/>
          <w:sz w:val="21"/>
          <w:szCs w:val="21"/>
        </w:rPr>
      </w:pPr>
      <w:r w:rsidRPr="00494B56">
        <w:rPr>
          <w:rFonts w:ascii="Abadi" w:hAnsi="Abadi" w:cs="*Arial-7320-Identity-H"/>
          <w:color w:val="0D0C0F"/>
          <w:sz w:val="21"/>
          <w:szCs w:val="21"/>
        </w:rPr>
        <w:t>Respecto a los recursos para la prestación del servicio, el sujeto fiscalizado</w:t>
      </w:r>
      <w:r>
        <w:rPr>
          <w:rFonts w:ascii="Abadi" w:hAnsi="Abadi" w:cs="*Arial-7320-Identity-H"/>
          <w:color w:val="0D0C0F"/>
          <w:sz w:val="21"/>
          <w:szCs w:val="21"/>
        </w:rPr>
        <w:t xml:space="preserve"> </w:t>
      </w:r>
      <w:r w:rsidRPr="00494B56">
        <w:rPr>
          <w:rFonts w:ascii="Abadi" w:hAnsi="Abadi" w:cs="*Arial-7320-Identity-H"/>
          <w:color w:val="0D0C0F"/>
          <w:sz w:val="21"/>
          <w:szCs w:val="21"/>
        </w:rPr>
        <w:t xml:space="preserve">definió en su presupuesto el programa </w:t>
      </w:r>
      <w:r w:rsidRPr="00494B56">
        <w:rPr>
          <w:rFonts w:ascii="Abadi" w:hAnsi="Abadi" w:cs="*Arial-Italic-7321-Identity-H"/>
          <w:i/>
          <w:iCs/>
          <w:color w:val="0D0C0F"/>
          <w:sz w:val="21"/>
          <w:szCs w:val="21"/>
        </w:rPr>
        <w:t xml:space="preserve">E0037 Alumbrado Público, </w:t>
      </w:r>
      <w:r w:rsidRPr="00494B56">
        <w:rPr>
          <w:rFonts w:ascii="Abadi" w:hAnsi="Abadi" w:cs="*Arial-7320-Identity-H"/>
          <w:color w:val="0D0C0F"/>
          <w:sz w:val="21"/>
          <w:szCs w:val="21"/>
        </w:rPr>
        <w:t>en el cual se</w:t>
      </w:r>
      <w:r>
        <w:rPr>
          <w:rFonts w:ascii="Abadi" w:hAnsi="Abadi" w:cs="*Arial-7320-Identity-H"/>
          <w:color w:val="0D0C0F"/>
          <w:sz w:val="21"/>
          <w:szCs w:val="21"/>
        </w:rPr>
        <w:t xml:space="preserve"> </w:t>
      </w:r>
      <w:r w:rsidRPr="00494B56">
        <w:rPr>
          <w:rFonts w:ascii="Abadi" w:hAnsi="Abadi" w:cs="*Arial-7320-Identity-H"/>
          <w:color w:val="0D0C0F"/>
          <w:sz w:val="21"/>
          <w:szCs w:val="21"/>
        </w:rPr>
        <w:t>administraron los recursos para la ejecución de acciones relacionadas con la</w:t>
      </w:r>
      <w:r>
        <w:rPr>
          <w:rFonts w:ascii="Abadi" w:hAnsi="Abadi" w:cs="*Arial-7320-Identity-H"/>
          <w:color w:val="0D0C0F"/>
          <w:sz w:val="21"/>
          <w:szCs w:val="21"/>
        </w:rPr>
        <w:t xml:space="preserve"> </w:t>
      </w:r>
      <w:r w:rsidRPr="00494B56">
        <w:rPr>
          <w:rFonts w:ascii="Abadi" w:hAnsi="Abadi" w:cs="*Arial-7320-Identity-H"/>
          <w:color w:val="0D0C0F"/>
          <w:sz w:val="21"/>
          <w:szCs w:val="21"/>
        </w:rPr>
        <w:t>eficiencia en la mejora del servicio de alumbrado. No obstante, cuenta con la</w:t>
      </w:r>
      <w:r>
        <w:rPr>
          <w:rFonts w:ascii="Abadi" w:hAnsi="Abadi" w:cs="*Arial-7320-Identity-H"/>
          <w:color w:val="0D0C0F"/>
          <w:sz w:val="21"/>
          <w:szCs w:val="21"/>
        </w:rPr>
        <w:t xml:space="preserve"> </w:t>
      </w:r>
      <w:r w:rsidRPr="00494B56">
        <w:rPr>
          <w:rFonts w:ascii="Abadi" w:hAnsi="Abadi" w:cs="*Arial-7320-Identity-H"/>
          <w:color w:val="0D0C0F"/>
          <w:sz w:val="21"/>
          <w:szCs w:val="21"/>
        </w:rPr>
        <w:t>oportunidad de elaborar un Programa Operativo Anual para la prestación del</w:t>
      </w:r>
      <w:r>
        <w:rPr>
          <w:rFonts w:ascii="Abadi" w:hAnsi="Abadi" w:cs="*Arial-7320-Identity-H"/>
          <w:color w:val="0D0C0F"/>
          <w:sz w:val="21"/>
          <w:szCs w:val="21"/>
        </w:rPr>
        <w:t xml:space="preserve"> </w:t>
      </w:r>
      <w:r w:rsidRPr="00494B56">
        <w:rPr>
          <w:rFonts w:ascii="Abadi" w:hAnsi="Abadi" w:cs="*Arial-7320-Identity-H"/>
          <w:color w:val="0D0C0F"/>
          <w:sz w:val="21"/>
          <w:szCs w:val="21"/>
        </w:rPr>
        <w:t>servicio de alumbrado público como instrumento de planeación de corto plazo y</w:t>
      </w:r>
      <w:r>
        <w:rPr>
          <w:rFonts w:ascii="Abadi" w:hAnsi="Abadi" w:cs="*Arial-7320-Identity-H"/>
          <w:color w:val="0D0C0F"/>
          <w:sz w:val="21"/>
          <w:szCs w:val="21"/>
        </w:rPr>
        <w:t xml:space="preserve"> </w:t>
      </w:r>
      <w:r w:rsidRPr="00494B56">
        <w:rPr>
          <w:rFonts w:ascii="Abadi" w:hAnsi="Abadi" w:cs="*Arial-7320-Identity-H"/>
          <w:color w:val="0D0C0F"/>
          <w:sz w:val="21"/>
          <w:szCs w:val="21"/>
        </w:rPr>
        <w:t>como insumo para la proyección del presupuesto de egresos, en el que se</w:t>
      </w:r>
      <w:r>
        <w:rPr>
          <w:rFonts w:ascii="Abadi" w:hAnsi="Abadi" w:cs="*Arial-7320-Identity-H"/>
          <w:color w:val="0D0C0F"/>
          <w:sz w:val="21"/>
          <w:szCs w:val="21"/>
        </w:rPr>
        <w:t xml:space="preserve"> </w:t>
      </w:r>
      <w:r w:rsidRPr="00494B56">
        <w:rPr>
          <w:rFonts w:ascii="Abadi" w:hAnsi="Abadi" w:cs="*Arial-7320-Identity-H"/>
          <w:color w:val="0D0C0F"/>
          <w:sz w:val="21"/>
          <w:szCs w:val="21"/>
        </w:rPr>
        <w:t>establezcan las acciones clave para la administración, conservación, rehabilitación</w:t>
      </w:r>
      <w:r>
        <w:rPr>
          <w:rFonts w:ascii="Abadi" w:hAnsi="Abadi" w:cs="*Arial-7320-Identity-H"/>
          <w:color w:val="0D0C0F"/>
          <w:sz w:val="21"/>
          <w:szCs w:val="21"/>
        </w:rPr>
        <w:t xml:space="preserve"> </w:t>
      </w:r>
      <w:r w:rsidRPr="00494B56">
        <w:rPr>
          <w:rFonts w:ascii="Abadi" w:hAnsi="Abadi" w:cs="*Arial-7320-Identity-H"/>
          <w:color w:val="0D0C0F"/>
          <w:sz w:val="21"/>
          <w:szCs w:val="21"/>
        </w:rPr>
        <w:t>y mejoramiento del servicio, así como los objetivos, responsables, cronograma de</w:t>
      </w:r>
      <w:r>
        <w:rPr>
          <w:rFonts w:ascii="Abadi" w:hAnsi="Abadi" w:cs="*Arial-7320-Identity-H"/>
          <w:color w:val="0D0C0F"/>
          <w:sz w:val="21"/>
          <w:szCs w:val="21"/>
        </w:rPr>
        <w:t xml:space="preserve"> </w:t>
      </w:r>
      <w:r w:rsidRPr="00494B56">
        <w:rPr>
          <w:rFonts w:ascii="Abadi" w:hAnsi="Abadi" w:cs="*Arial-7320-Identity-H"/>
          <w:color w:val="0D0C0F"/>
          <w:sz w:val="21"/>
          <w:szCs w:val="21"/>
        </w:rPr>
        <w:t>actividades e indicadores.</w:t>
      </w:r>
    </w:p>
    <w:p w14:paraId="17D41BA8" w14:textId="77777777" w:rsidR="002F42D9" w:rsidRPr="00494B56" w:rsidRDefault="002F42D9" w:rsidP="002F42D9">
      <w:pPr>
        <w:autoSpaceDE w:val="0"/>
        <w:autoSpaceDN w:val="0"/>
        <w:adjustRightInd w:val="0"/>
        <w:jc w:val="both"/>
        <w:rPr>
          <w:rFonts w:ascii="Abadi" w:hAnsi="Abadi" w:cs="*Arial-7320-Identity-H"/>
          <w:color w:val="0D0C0F"/>
          <w:sz w:val="21"/>
          <w:szCs w:val="21"/>
        </w:rPr>
      </w:pPr>
    </w:p>
    <w:p w14:paraId="3F35CD7B" w14:textId="77777777" w:rsidR="002F42D9" w:rsidRPr="00494B56" w:rsidRDefault="002F42D9" w:rsidP="002F42D9">
      <w:pPr>
        <w:autoSpaceDE w:val="0"/>
        <w:autoSpaceDN w:val="0"/>
        <w:adjustRightInd w:val="0"/>
        <w:ind w:firstLine="708"/>
        <w:jc w:val="both"/>
        <w:rPr>
          <w:rFonts w:ascii="Abadi" w:hAnsi="Abadi" w:cs="*Arial-7320-Identity-H"/>
          <w:color w:val="0C0C0F"/>
          <w:sz w:val="21"/>
          <w:szCs w:val="21"/>
        </w:rPr>
      </w:pPr>
      <w:r w:rsidRPr="00494B56">
        <w:rPr>
          <w:rFonts w:ascii="Abadi" w:hAnsi="Abadi" w:cs="*Arial-7320-Identity-H"/>
          <w:color w:val="0C0C0F"/>
          <w:sz w:val="21"/>
          <w:szCs w:val="21"/>
        </w:rPr>
        <w:t>Por lo que hace a la capacidad del sujeto fiscalizado para garantizar una</w:t>
      </w:r>
      <w:r>
        <w:rPr>
          <w:rFonts w:ascii="Abadi" w:hAnsi="Abadi" w:cs="*Arial-7320-Identity-H"/>
          <w:color w:val="0C0C0F"/>
          <w:sz w:val="21"/>
          <w:szCs w:val="21"/>
        </w:rPr>
        <w:t xml:space="preserve"> </w:t>
      </w:r>
      <w:r w:rsidRPr="00494B56">
        <w:rPr>
          <w:rFonts w:ascii="Abadi" w:hAnsi="Abadi" w:cs="*Arial-7320-Identity-H"/>
          <w:color w:val="0C0C0F"/>
          <w:sz w:val="21"/>
          <w:szCs w:val="21"/>
        </w:rPr>
        <w:t>prestación permanente y efectiva del servicio de alumbrado público, se analizó la</w:t>
      </w:r>
      <w:r>
        <w:rPr>
          <w:rFonts w:ascii="Abadi" w:hAnsi="Abadi" w:cs="*Arial-7320-Identity-H"/>
          <w:color w:val="0C0C0F"/>
          <w:sz w:val="21"/>
          <w:szCs w:val="21"/>
        </w:rPr>
        <w:t xml:space="preserve"> </w:t>
      </w:r>
      <w:r w:rsidRPr="00494B56">
        <w:rPr>
          <w:rFonts w:ascii="Abadi" w:hAnsi="Abadi" w:cs="*Arial-7320-Identity-H"/>
          <w:color w:val="0C0C0F"/>
          <w:sz w:val="21"/>
          <w:szCs w:val="21"/>
        </w:rPr>
        <w:t>calidad de la información relativa a los logros en materia de mantenimiento, así</w:t>
      </w:r>
      <w:r>
        <w:rPr>
          <w:rFonts w:ascii="Abadi" w:hAnsi="Abadi" w:cs="*Arial-7320-Identity-H"/>
          <w:color w:val="0C0C0F"/>
          <w:sz w:val="21"/>
          <w:szCs w:val="21"/>
        </w:rPr>
        <w:t xml:space="preserve"> </w:t>
      </w:r>
      <w:r w:rsidRPr="00494B56">
        <w:rPr>
          <w:rFonts w:ascii="Abadi" w:hAnsi="Abadi" w:cs="*Arial-7320-Identity-H"/>
          <w:color w:val="0C0C0F"/>
          <w:sz w:val="21"/>
          <w:szCs w:val="21"/>
        </w:rPr>
        <w:t>como la correspondiente a la cobertura y satisfacción ciudadana observándose</w:t>
      </w:r>
      <w:r>
        <w:rPr>
          <w:rFonts w:ascii="Abadi" w:hAnsi="Abadi" w:cs="*Arial-7320-Identity-H"/>
          <w:color w:val="0C0C0F"/>
          <w:sz w:val="21"/>
          <w:szCs w:val="21"/>
        </w:rPr>
        <w:t xml:space="preserve"> </w:t>
      </w:r>
      <w:r w:rsidRPr="00494B56">
        <w:rPr>
          <w:rFonts w:ascii="Abadi" w:hAnsi="Abadi" w:cs="*Arial-7320-Identity-H"/>
          <w:color w:val="0C0C0F"/>
          <w:sz w:val="21"/>
          <w:szCs w:val="21"/>
        </w:rPr>
        <w:t>que las acciones de reparación a lámparas y luminarias no se derivaron de la</w:t>
      </w:r>
      <w:r>
        <w:rPr>
          <w:rFonts w:ascii="Abadi" w:hAnsi="Abadi" w:cs="*Arial-7320-Identity-H"/>
          <w:color w:val="0C0C0F"/>
          <w:sz w:val="21"/>
          <w:szCs w:val="21"/>
        </w:rPr>
        <w:t xml:space="preserve"> </w:t>
      </w:r>
      <w:r w:rsidRPr="00494B56">
        <w:rPr>
          <w:rFonts w:ascii="Abadi" w:hAnsi="Abadi" w:cs="*Arial-7320-Identity-H"/>
          <w:color w:val="0C0C0F"/>
          <w:sz w:val="21"/>
          <w:szCs w:val="21"/>
        </w:rPr>
        <w:t>implementación de mecanismos preventivos para asegurar la eficacia del servicio,</w:t>
      </w:r>
      <w:r>
        <w:rPr>
          <w:rFonts w:ascii="Abadi" w:hAnsi="Abadi" w:cs="*Arial-7320-Identity-H"/>
          <w:color w:val="0C0C0F"/>
          <w:sz w:val="21"/>
          <w:szCs w:val="21"/>
        </w:rPr>
        <w:t xml:space="preserve"> </w:t>
      </w:r>
      <w:r w:rsidRPr="00494B56">
        <w:rPr>
          <w:rFonts w:ascii="Abadi" w:hAnsi="Abadi" w:cs="*Arial-7320-Identity-H"/>
          <w:color w:val="0C0C0F"/>
          <w:sz w:val="21"/>
          <w:szCs w:val="21"/>
        </w:rPr>
        <w:t>sino que, estas acciones se efectuaron en respuesta a los reportes ciudadanos</w:t>
      </w:r>
      <w:r>
        <w:rPr>
          <w:rFonts w:ascii="Abadi" w:hAnsi="Abadi" w:cs="*Arial-7320-Identity-H"/>
          <w:color w:val="0C0C0F"/>
          <w:sz w:val="21"/>
          <w:szCs w:val="21"/>
        </w:rPr>
        <w:t xml:space="preserve"> </w:t>
      </w:r>
      <w:r w:rsidRPr="00494B56">
        <w:rPr>
          <w:rFonts w:ascii="Abadi" w:hAnsi="Abadi" w:cs="*Arial-7320-Identity-H"/>
          <w:color w:val="0C0C0F"/>
          <w:sz w:val="21"/>
          <w:szCs w:val="21"/>
        </w:rPr>
        <w:t>(mantenimiento correctivo). Adicionalmente, la información presentada por el</w:t>
      </w:r>
      <w:r>
        <w:rPr>
          <w:rFonts w:ascii="Abadi" w:hAnsi="Abadi" w:cs="*Arial-7320-Identity-H"/>
          <w:color w:val="0C0C0F"/>
          <w:sz w:val="21"/>
          <w:szCs w:val="21"/>
        </w:rPr>
        <w:t xml:space="preserve"> </w:t>
      </w:r>
      <w:r w:rsidRPr="00494B56">
        <w:rPr>
          <w:rFonts w:ascii="Abadi" w:hAnsi="Abadi" w:cs="*Arial-7320-Identity-H"/>
          <w:color w:val="0C0C0F"/>
          <w:sz w:val="21"/>
          <w:szCs w:val="21"/>
        </w:rPr>
        <w:t>sujeto fiscalizado no permitió constatar la cantidad de reportes que fueron</w:t>
      </w:r>
      <w:r>
        <w:rPr>
          <w:rFonts w:ascii="Abadi" w:hAnsi="Abadi" w:cs="*Arial-7320-Identity-H"/>
          <w:color w:val="0C0C0F"/>
          <w:sz w:val="21"/>
          <w:szCs w:val="21"/>
        </w:rPr>
        <w:t xml:space="preserve"> </w:t>
      </w:r>
      <w:r w:rsidRPr="00494B56">
        <w:rPr>
          <w:rFonts w:ascii="Abadi" w:hAnsi="Abadi" w:cs="*Arial-7320-Identity-H"/>
          <w:color w:val="0C0C0F"/>
          <w:sz w:val="21"/>
          <w:szCs w:val="21"/>
        </w:rPr>
        <w:t>atendidos, así como la oportunidad en que se repararon las fallas en el ejercicio</w:t>
      </w:r>
      <w:r>
        <w:rPr>
          <w:rFonts w:ascii="Abadi" w:hAnsi="Abadi" w:cs="*Arial-7320-Identity-H"/>
          <w:color w:val="0C0C0F"/>
          <w:sz w:val="21"/>
          <w:szCs w:val="21"/>
        </w:rPr>
        <w:t xml:space="preserve"> </w:t>
      </w:r>
      <w:r w:rsidRPr="00494B56">
        <w:rPr>
          <w:rFonts w:ascii="Abadi" w:hAnsi="Abadi" w:cs="*Arial-7320-Identity-H"/>
          <w:color w:val="0C0C0F"/>
          <w:sz w:val="21"/>
          <w:szCs w:val="21"/>
        </w:rPr>
        <w:t>2020.</w:t>
      </w:r>
    </w:p>
    <w:p w14:paraId="0E18AC2C" w14:textId="77777777" w:rsidR="002F42D9" w:rsidRPr="00494B56" w:rsidRDefault="002F42D9" w:rsidP="002F42D9">
      <w:pPr>
        <w:autoSpaceDE w:val="0"/>
        <w:autoSpaceDN w:val="0"/>
        <w:adjustRightInd w:val="0"/>
        <w:jc w:val="both"/>
        <w:rPr>
          <w:rFonts w:ascii="Abadi" w:hAnsi="Abadi" w:cs="*Arial-7320-Identity-H"/>
          <w:color w:val="0C0C0F"/>
          <w:sz w:val="21"/>
          <w:szCs w:val="21"/>
        </w:rPr>
      </w:pPr>
    </w:p>
    <w:p w14:paraId="6391C835" w14:textId="77777777" w:rsidR="002F42D9" w:rsidRPr="00494B56" w:rsidRDefault="002F42D9" w:rsidP="002F42D9">
      <w:pPr>
        <w:autoSpaceDE w:val="0"/>
        <w:autoSpaceDN w:val="0"/>
        <w:adjustRightInd w:val="0"/>
        <w:ind w:firstLine="708"/>
        <w:jc w:val="both"/>
        <w:rPr>
          <w:rFonts w:ascii="Abadi" w:hAnsi="Abadi" w:cs="*Arial-7320-Identity-H"/>
          <w:color w:val="0C0B0E"/>
          <w:sz w:val="21"/>
          <w:szCs w:val="21"/>
        </w:rPr>
      </w:pPr>
      <w:r w:rsidRPr="00494B56">
        <w:rPr>
          <w:rFonts w:ascii="Abadi" w:hAnsi="Abadi" w:cs="*Arial-7320-Identity-H"/>
          <w:color w:val="0C0B0E"/>
          <w:sz w:val="21"/>
          <w:szCs w:val="21"/>
        </w:rPr>
        <w:t>Adicionalmente, a efecto de verificar los mecanismos con los que contó el</w:t>
      </w:r>
      <w:r>
        <w:rPr>
          <w:rFonts w:ascii="Abadi" w:hAnsi="Abadi" w:cs="*Arial-7320-Identity-H"/>
          <w:color w:val="0C0B0E"/>
          <w:sz w:val="21"/>
          <w:szCs w:val="21"/>
        </w:rPr>
        <w:t xml:space="preserve"> </w:t>
      </w:r>
      <w:r w:rsidRPr="00494B56">
        <w:rPr>
          <w:rFonts w:ascii="Abadi" w:hAnsi="Abadi" w:cs="*Arial-7320-Identity-H"/>
          <w:color w:val="0C0B0E"/>
          <w:sz w:val="21"/>
          <w:szCs w:val="21"/>
        </w:rPr>
        <w:t xml:space="preserve">sujeto fiscalizado para </w:t>
      </w:r>
      <w:proofErr w:type="spellStart"/>
      <w:r w:rsidRPr="00494B56">
        <w:rPr>
          <w:rFonts w:ascii="Abadi" w:hAnsi="Abadi" w:cs="*Arial-7320-Identity-H"/>
          <w:color w:val="0C0B0E"/>
          <w:sz w:val="21"/>
          <w:szCs w:val="21"/>
        </w:rPr>
        <w:t>eficientar</w:t>
      </w:r>
      <w:proofErr w:type="spellEnd"/>
      <w:r w:rsidRPr="00494B56">
        <w:rPr>
          <w:rFonts w:ascii="Abadi" w:hAnsi="Abadi" w:cs="*Arial-7320-Identity-H"/>
          <w:color w:val="0C0B0E"/>
          <w:sz w:val="21"/>
          <w:szCs w:val="21"/>
        </w:rPr>
        <w:t xml:space="preserve"> la atención de las quejas ciudadanas, se constató</w:t>
      </w:r>
      <w:r>
        <w:rPr>
          <w:rFonts w:ascii="Abadi" w:hAnsi="Abadi" w:cs="*Arial-7320-Identity-H"/>
          <w:color w:val="0C0B0E"/>
          <w:sz w:val="21"/>
          <w:szCs w:val="21"/>
        </w:rPr>
        <w:t xml:space="preserve"> </w:t>
      </w:r>
      <w:r w:rsidRPr="00494B56">
        <w:rPr>
          <w:rFonts w:ascii="Abadi" w:hAnsi="Abadi" w:cs="*Arial-7320-Identity-H"/>
          <w:color w:val="0C0B0E"/>
          <w:sz w:val="21"/>
          <w:szCs w:val="21"/>
        </w:rPr>
        <w:t>que dispuso de un indicador a nivel Componente, de la Matriz de Indicadores para</w:t>
      </w:r>
      <w:r>
        <w:rPr>
          <w:rFonts w:ascii="Abadi" w:hAnsi="Abadi" w:cs="*Arial-7320-Identity-H"/>
          <w:color w:val="0C0B0E"/>
          <w:sz w:val="21"/>
          <w:szCs w:val="21"/>
        </w:rPr>
        <w:t xml:space="preserve"> </w:t>
      </w:r>
      <w:r w:rsidRPr="00494B56">
        <w:rPr>
          <w:rFonts w:ascii="Abadi" w:hAnsi="Abadi" w:cs="*Arial-7320-Identity-H"/>
          <w:color w:val="0C0B0E"/>
          <w:sz w:val="21"/>
          <w:szCs w:val="21"/>
        </w:rPr>
        <w:t xml:space="preserve">Resultados del programa </w:t>
      </w:r>
      <w:r w:rsidRPr="00494B56">
        <w:rPr>
          <w:rFonts w:ascii="Abadi" w:hAnsi="Abadi" w:cs="*Arial-Italic-7321-Identity-H"/>
          <w:i/>
          <w:iCs/>
          <w:color w:val="0C0B0E"/>
          <w:sz w:val="21"/>
          <w:szCs w:val="21"/>
        </w:rPr>
        <w:t xml:space="preserve">E0037 Alumbrado Público, </w:t>
      </w:r>
      <w:r w:rsidRPr="00494B56">
        <w:rPr>
          <w:rFonts w:ascii="Abadi" w:hAnsi="Abadi" w:cs="*Arial-7320-Identity-H"/>
          <w:color w:val="0C0B0E"/>
          <w:sz w:val="21"/>
          <w:szCs w:val="21"/>
        </w:rPr>
        <w:t xml:space="preserve">denominado </w:t>
      </w:r>
      <w:r w:rsidRPr="00494B56">
        <w:rPr>
          <w:rFonts w:ascii="Abadi" w:hAnsi="Abadi" w:cs="*Arial-Italic-7321-Identity-H"/>
          <w:i/>
          <w:iCs/>
          <w:color w:val="0C0B0E"/>
          <w:sz w:val="21"/>
          <w:szCs w:val="21"/>
        </w:rPr>
        <w:t>variación de</w:t>
      </w:r>
      <w:r>
        <w:rPr>
          <w:rFonts w:ascii="Abadi" w:hAnsi="Abadi" w:cs="*Arial-7320-Identity-H"/>
          <w:color w:val="0C0B0E"/>
          <w:sz w:val="21"/>
          <w:szCs w:val="21"/>
        </w:rPr>
        <w:t xml:space="preserve"> </w:t>
      </w:r>
      <w:r w:rsidRPr="00494B56">
        <w:rPr>
          <w:rFonts w:ascii="Abadi" w:hAnsi="Abadi" w:cs="*Arial-Italic-7321-Identity-H"/>
          <w:i/>
          <w:iCs/>
          <w:color w:val="0C0B0E"/>
          <w:sz w:val="21"/>
          <w:szCs w:val="21"/>
        </w:rPr>
        <w:t xml:space="preserve">reportes atendidos; </w:t>
      </w:r>
      <w:r w:rsidRPr="00494B56">
        <w:rPr>
          <w:rFonts w:ascii="Abadi" w:hAnsi="Abadi" w:cs="*Arial-7320-Identity-H"/>
          <w:color w:val="0C0B0E"/>
          <w:sz w:val="21"/>
          <w:szCs w:val="21"/>
        </w:rPr>
        <w:t>sin embargo, no dispuso de información que diera cuenta de</w:t>
      </w:r>
      <w:r>
        <w:rPr>
          <w:rFonts w:ascii="Abadi" w:hAnsi="Abadi" w:cs="*Arial-7320-Identity-H"/>
          <w:color w:val="0C0B0E"/>
          <w:sz w:val="21"/>
          <w:szCs w:val="21"/>
        </w:rPr>
        <w:t xml:space="preserve"> </w:t>
      </w:r>
      <w:r w:rsidRPr="00494B56">
        <w:rPr>
          <w:rFonts w:ascii="Abadi" w:hAnsi="Abadi" w:cs="*Arial-7320-Identity-H"/>
          <w:color w:val="0C0B0E"/>
          <w:sz w:val="21"/>
          <w:szCs w:val="21"/>
        </w:rPr>
        <w:t>su resultado.</w:t>
      </w:r>
    </w:p>
    <w:p w14:paraId="6ABA8A3E" w14:textId="77777777" w:rsidR="002F42D9" w:rsidRPr="00494B56" w:rsidRDefault="002F42D9" w:rsidP="002F42D9">
      <w:pPr>
        <w:autoSpaceDE w:val="0"/>
        <w:autoSpaceDN w:val="0"/>
        <w:adjustRightInd w:val="0"/>
        <w:jc w:val="both"/>
        <w:rPr>
          <w:rFonts w:ascii="Abadi" w:hAnsi="Abadi" w:cs="*Microsoft Sans Serif-Bold-7428"/>
          <w:b/>
          <w:bCs/>
          <w:color w:val="27262C"/>
          <w:sz w:val="21"/>
          <w:szCs w:val="21"/>
        </w:rPr>
      </w:pPr>
    </w:p>
    <w:p w14:paraId="1156696F" w14:textId="77777777" w:rsidR="002F42D9" w:rsidRPr="00494B56" w:rsidRDefault="002F42D9" w:rsidP="002F42D9">
      <w:pPr>
        <w:autoSpaceDE w:val="0"/>
        <w:autoSpaceDN w:val="0"/>
        <w:adjustRightInd w:val="0"/>
        <w:ind w:firstLine="708"/>
        <w:jc w:val="both"/>
        <w:rPr>
          <w:rFonts w:ascii="Abadi" w:hAnsi="Abadi" w:cs="*Arial-7425-Identity-H"/>
          <w:color w:val="0C0B0F"/>
          <w:sz w:val="21"/>
          <w:szCs w:val="21"/>
        </w:rPr>
      </w:pPr>
      <w:r w:rsidRPr="00494B56">
        <w:rPr>
          <w:rFonts w:ascii="Abadi" w:hAnsi="Abadi" w:cs="*Arial-7425-Identity-H"/>
          <w:color w:val="0C0B0F"/>
          <w:sz w:val="21"/>
          <w:szCs w:val="21"/>
        </w:rPr>
        <w:t>En el caso de la cobertura del servicio de alumbrado público, se refiere que</w:t>
      </w:r>
      <w:r>
        <w:rPr>
          <w:rFonts w:ascii="Abadi" w:hAnsi="Abadi" w:cs="*Arial-7425-Identity-H"/>
          <w:color w:val="0C0B0F"/>
          <w:sz w:val="21"/>
          <w:szCs w:val="21"/>
        </w:rPr>
        <w:t xml:space="preserve"> </w:t>
      </w:r>
      <w:r w:rsidRPr="00494B56">
        <w:rPr>
          <w:rFonts w:ascii="Abadi" w:hAnsi="Abadi" w:cs="*Arial-7425-Identity-H"/>
          <w:color w:val="0C0B0F"/>
          <w:sz w:val="21"/>
          <w:szCs w:val="21"/>
        </w:rPr>
        <w:t>por mandato legal los ayuntamientos deben prestar los servicios en igualdad de</w:t>
      </w:r>
      <w:r>
        <w:rPr>
          <w:rFonts w:ascii="Abadi" w:hAnsi="Abadi" w:cs="*Arial-7425-Identity-H"/>
          <w:color w:val="0C0B0F"/>
          <w:sz w:val="21"/>
          <w:szCs w:val="21"/>
        </w:rPr>
        <w:t xml:space="preserve"> </w:t>
      </w:r>
      <w:r w:rsidRPr="00494B56">
        <w:rPr>
          <w:rFonts w:ascii="Abadi" w:hAnsi="Abadi" w:cs="*Arial-7425-Identity-H"/>
          <w:color w:val="0C0B0F"/>
          <w:sz w:val="21"/>
          <w:szCs w:val="21"/>
        </w:rPr>
        <w:t>condiciones a todos los habitantes del Municipio de manera permanente, general,</w:t>
      </w:r>
      <w:r>
        <w:rPr>
          <w:rFonts w:ascii="Abadi" w:hAnsi="Abadi" w:cs="*Arial-7425-Identity-H"/>
          <w:color w:val="0C0B0F"/>
          <w:sz w:val="21"/>
          <w:szCs w:val="21"/>
        </w:rPr>
        <w:t xml:space="preserve"> </w:t>
      </w:r>
      <w:r w:rsidRPr="00494B56">
        <w:rPr>
          <w:rFonts w:ascii="Abadi" w:hAnsi="Abadi" w:cs="*Arial-7425-Identity-H"/>
          <w:color w:val="0C0B0F"/>
          <w:sz w:val="21"/>
          <w:szCs w:val="21"/>
        </w:rPr>
        <w:t>uniforme y continua. En tal sentido, no determinó para el ejercicio 2020</w:t>
      </w:r>
      <w:r>
        <w:rPr>
          <w:rFonts w:ascii="Abadi" w:hAnsi="Abadi" w:cs="*Arial-7425-Identity-H"/>
          <w:color w:val="0C0B0F"/>
          <w:sz w:val="21"/>
          <w:szCs w:val="21"/>
        </w:rPr>
        <w:t xml:space="preserve"> </w:t>
      </w:r>
      <w:r w:rsidRPr="00494B56">
        <w:rPr>
          <w:rFonts w:ascii="Abadi" w:hAnsi="Abadi" w:cs="*Arial-7425-Identity-H"/>
          <w:color w:val="0C0B0F"/>
          <w:sz w:val="21"/>
          <w:szCs w:val="21"/>
        </w:rPr>
        <w:t xml:space="preserve">indicadores en la Matriz de Indicadores para Resultados del programa </w:t>
      </w:r>
      <w:r w:rsidRPr="00494B56">
        <w:rPr>
          <w:rFonts w:ascii="Abadi" w:hAnsi="Abadi" w:cs="*Arial-Italic-7426-Identity-H"/>
          <w:i/>
          <w:iCs/>
          <w:color w:val="0C0B0F"/>
          <w:sz w:val="21"/>
          <w:szCs w:val="21"/>
        </w:rPr>
        <w:t>E0037</w:t>
      </w:r>
      <w:r>
        <w:rPr>
          <w:rFonts w:ascii="Abadi" w:hAnsi="Abadi" w:cs="*Arial-7425-Identity-H"/>
          <w:color w:val="0C0B0F"/>
          <w:sz w:val="21"/>
          <w:szCs w:val="21"/>
        </w:rPr>
        <w:t xml:space="preserve"> </w:t>
      </w:r>
      <w:r w:rsidRPr="00494B56">
        <w:rPr>
          <w:rFonts w:ascii="Abadi" w:hAnsi="Abadi" w:cs="*Arial-Italic-7426-Identity-H"/>
          <w:i/>
          <w:iCs/>
          <w:color w:val="0C0B0F"/>
          <w:sz w:val="21"/>
          <w:szCs w:val="21"/>
        </w:rPr>
        <w:t xml:space="preserve">Alumbrado Público </w:t>
      </w:r>
      <w:r w:rsidRPr="00494B56">
        <w:rPr>
          <w:rFonts w:ascii="Abadi" w:hAnsi="Abadi" w:cs="*Arial-7425-Identity-H"/>
          <w:color w:val="0C0B0F"/>
          <w:sz w:val="21"/>
          <w:szCs w:val="21"/>
        </w:rPr>
        <w:t>que permitieran conocer la cobertura del servicio de alumbrado</w:t>
      </w:r>
      <w:r>
        <w:rPr>
          <w:rFonts w:ascii="Abadi" w:hAnsi="Abadi" w:cs="*Arial-7425-Identity-H"/>
          <w:color w:val="0C0B0F"/>
          <w:sz w:val="21"/>
          <w:szCs w:val="21"/>
        </w:rPr>
        <w:t xml:space="preserve"> </w:t>
      </w:r>
      <w:r w:rsidRPr="00494B56">
        <w:rPr>
          <w:rFonts w:ascii="Abadi" w:hAnsi="Abadi" w:cs="*Arial-7425-Identity-H"/>
          <w:color w:val="0C0B0F"/>
          <w:sz w:val="21"/>
          <w:szCs w:val="21"/>
        </w:rPr>
        <w:t>público en el Municipio. No obstante, el sujeto fiscalizado tuvo participación en la</w:t>
      </w:r>
      <w:r>
        <w:rPr>
          <w:rFonts w:ascii="Abadi" w:hAnsi="Abadi" w:cs="*Arial-7425-Identity-H"/>
          <w:color w:val="0C0B0F"/>
          <w:sz w:val="21"/>
          <w:szCs w:val="21"/>
        </w:rPr>
        <w:t xml:space="preserve"> </w:t>
      </w:r>
      <w:r w:rsidRPr="00494B56">
        <w:rPr>
          <w:rFonts w:ascii="Abadi" w:hAnsi="Abadi" w:cs="*Arial-7425-Identity-H"/>
          <w:color w:val="0C0B0F"/>
          <w:sz w:val="21"/>
          <w:szCs w:val="21"/>
        </w:rPr>
        <w:t>Guía Consultiva de Desempeño Municipal diseñada por el Instituto Nacional para</w:t>
      </w:r>
      <w:r>
        <w:rPr>
          <w:rFonts w:ascii="Abadi" w:hAnsi="Abadi" w:cs="*Arial-7425-Identity-H"/>
          <w:color w:val="0C0B0F"/>
          <w:sz w:val="21"/>
          <w:szCs w:val="21"/>
        </w:rPr>
        <w:t xml:space="preserve"> </w:t>
      </w:r>
      <w:r w:rsidRPr="00494B56">
        <w:rPr>
          <w:rFonts w:ascii="Abadi" w:hAnsi="Abadi" w:cs="*Arial-7425-Identity-H"/>
          <w:color w:val="0C0B0F"/>
          <w:sz w:val="21"/>
          <w:szCs w:val="21"/>
        </w:rPr>
        <w:t xml:space="preserve">el Federalismo y el Desarrollo Municipal, cuyo resultado del indicador </w:t>
      </w:r>
      <w:r w:rsidRPr="00494B56">
        <w:rPr>
          <w:rFonts w:ascii="Abadi" w:hAnsi="Abadi" w:cs="*Arial-Italic-7426-Identity-H"/>
          <w:i/>
          <w:iCs/>
          <w:color w:val="0C0B0F"/>
          <w:sz w:val="21"/>
          <w:szCs w:val="21"/>
        </w:rPr>
        <w:t>«4.4.9.</w:t>
      </w:r>
      <w:r>
        <w:rPr>
          <w:rFonts w:ascii="Abadi" w:hAnsi="Abadi" w:cs="*Arial-7425-Identity-H"/>
          <w:color w:val="0C0B0F"/>
          <w:sz w:val="21"/>
          <w:szCs w:val="21"/>
        </w:rPr>
        <w:t xml:space="preserve"> </w:t>
      </w:r>
      <w:r w:rsidRPr="00494B56">
        <w:rPr>
          <w:rFonts w:ascii="Abadi" w:hAnsi="Abadi" w:cs="*Arial-Italic-7426-Identity-H"/>
          <w:i/>
          <w:iCs/>
          <w:color w:val="0C0B0F"/>
          <w:sz w:val="21"/>
          <w:szCs w:val="21"/>
        </w:rPr>
        <w:t xml:space="preserve">cobertura en el servicio de alumbrado público», </w:t>
      </w:r>
      <w:r w:rsidRPr="00494B56">
        <w:rPr>
          <w:rFonts w:ascii="Abadi" w:hAnsi="Abadi" w:cs="*Arial-7425-Identity-H"/>
          <w:color w:val="0C0B0F"/>
          <w:sz w:val="21"/>
          <w:szCs w:val="21"/>
        </w:rPr>
        <w:t>se presentó como óptimo; sin</w:t>
      </w:r>
      <w:r>
        <w:rPr>
          <w:rFonts w:ascii="Abadi" w:hAnsi="Abadi" w:cs="*Arial-7425-Identity-H"/>
          <w:color w:val="0C0B0F"/>
          <w:sz w:val="21"/>
          <w:szCs w:val="21"/>
        </w:rPr>
        <w:t xml:space="preserve"> </w:t>
      </w:r>
      <w:r w:rsidRPr="00494B56">
        <w:rPr>
          <w:rFonts w:ascii="Abadi" w:hAnsi="Abadi" w:cs="*Arial-7425-Identity-H"/>
          <w:color w:val="0C0B0F"/>
          <w:sz w:val="21"/>
          <w:szCs w:val="21"/>
        </w:rPr>
        <w:t>embargo, no fue posible validar su cálculo, toda vez que el sujeto fiscalizado no</w:t>
      </w:r>
      <w:r>
        <w:rPr>
          <w:rFonts w:ascii="Abadi" w:hAnsi="Abadi" w:cs="*Arial-7425-Identity-H"/>
          <w:color w:val="0C0B0F"/>
          <w:sz w:val="21"/>
          <w:szCs w:val="21"/>
        </w:rPr>
        <w:t xml:space="preserve"> </w:t>
      </w:r>
      <w:r w:rsidRPr="00494B56">
        <w:rPr>
          <w:rFonts w:ascii="Abadi" w:hAnsi="Abadi" w:cs="*Arial-7425-Identity-H"/>
          <w:color w:val="0C0B0F"/>
          <w:sz w:val="21"/>
          <w:szCs w:val="21"/>
        </w:rPr>
        <w:t>proporcionó las variables utilizadas para su determinación, ni el resultado</w:t>
      </w:r>
    </w:p>
    <w:p w14:paraId="3B1772EF" w14:textId="77777777" w:rsidR="002F42D9" w:rsidRPr="00494B56" w:rsidRDefault="002F42D9" w:rsidP="002F42D9">
      <w:pPr>
        <w:autoSpaceDE w:val="0"/>
        <w:autoSpaceDN w:val="0"/>
        <w:adjustRightInd w:val="0"/>
        <w:jc w:val="both"/>
        <w:rPr>
          <w:rFonts w:ascii="Abadi" w:hAnsi="Abadi" w:cs="*Arial-7425-Identity-H"/>
          <w:color w:val="0C0B0F"/>
          <w:sz w:val="21"/>
          <w:szCs w:val="21"/>
        </w:rPr>
      </w:pPr>
      <w:r w:rsidRPr="00494B56">
        <w:rPr>
          <w:rFonts w:ascii="Abadi" w:hAnsi="Abadi" w:cs="*Arial-7425-Identity-H"/>
          <w:color w:val="0C0B0F"/>
          <w:sz w:val="21"/>
          <w:szCs w:val="21"/>
        </w:rPr>
        <w:t>presentado.</w:t>
      </w:r>
    </w:p>
    <w:p w14:paraId="0DA109BA" w14:textId="77777777" w:rsidR="002F42D9" w:rsidRPr="00494B56" w:rsidRDefault="002F42D9" w:rsidP="002F42D9">
      <w:pPr>
        <w:autoSpaceDE w:val="0"/>
        <w:autoSpaceDN w:val="0"/>
        <w:adjustRightInd w:val="0"/>
        <w:jc w:val="both"/>
        <w:rPr>
          <w:rFonts w:ascii="Abadi" w:hAnsi="Abadi" w:cs="*Arial-7425-Identity-H"/>
          <w:color w:val="0C0B0F"/>
          <w:sz w:val="21"/>
          <w:szCs w:val="21"/>
        </w:rPr>
      </w:pPr>
    </w:p>
    <w:p w14:paraId="75FEE24F" w14:textId="77777777" w:rsidR="002F42D9" w:rsidRPr="00494B56" w:rsidRDefault="002F42D9" w:rsidP="002F42D9">
      <w:pPr>
        <w:autoSpaceDE w:val="0"/>
        <w:autoSpaceDN w:val="0"/>
        <w:adjustRightInd w:val="0"/>
        <w:ind w:firstLine="708"/>
        <w:jc w:val="both"/>
        <w:rPr>
          <w:rFonts w:ascii="Abadi" w:hAnsi="Abadi" w:cs="*Arial-7425-Identity-H"/>
          <w:color w:val="0C0C0F"/>
          <w:sz w:val="21"/>
          <w:szCs w:val="21"/>
        </w:rPr>
      </w:pPr>
      <w:r w:rsidRPr="00494B56">
        <w:rPr>
          <w:rFonts w:ascii="Abadi" w:hAnsi="Abadi" w:cs="*Arial-7425-Identity-H"/>
          <w:color w:val="0C0C0F"/>
          <w:sz w:val="21"/>
          <w:szCs w:val="21"/>
        </w:rPr>
        <w:t>En cuanto a los mecanismos para medir la satisfacción de los usuarios</w:t>
      </w:r>
      <w:r>
        <w:rPr>
          <w:rFonts w:ascii="Abadi" w:hAnsi="Abadi" w:cs="*Arial-7425-Identity-H"/>
          <w:color w:val="0C0C0F"/>
          <w:sz w:val="21"/>
          <w:szCs w:val="21"/>
        </w:rPr>
        <w:t xml:space="preserve"> </w:t>
      </w:r>
      <w:r w:rsidRPr="00494B56">
        <w:rPr>
          <w:rFonts w:ascii="Abadi" w:hAnsi="Abadi" w:cs="*Arial-7425-Identity-H"/>
          <w:color w:val="0C0C0F"/>
          <w:sz w:val="21"/>
          <w:szCs w:val="21"/>
        </w:rPr>
        <w:t>respecto al servicio de alumbrado público, el sujeto fiscalizado no contó con una</w:t>
      </w:r>
      <w:r>
        <w:rPr>
          <w:rFonts w:ascii="Abadi" w:hAnsi="Abadi" w:cs="*Arial-7425-Identity-H"/>
          <w:color w:val="0C0C0F"/>
          <w:sz w:val="21"/>
          <w:szCs w:val="21"/>
        </w:rPr>
        <w:t xml:space="preserve"> </w:t>
      </w:r>
      <w:r w:rsidRPr="00494B56">
        <w:rPr>
          <w:rFonts w:ascii="Abadi" w:hAnsi="Abadi" w:cs="*Arial-7425-Identity-H"/>
          <w:color w:val="0C0C0F"/>
          <w:sz w:val="21"/>
          <w:szCs w:val="21"/>
        </w:rPr>
        <w:t>metodología para evaluarla, lo que no permitió conocer el grado en que el servicio</w:t>
      </w:r>
      <w:r>
        <w:rPr>
          <w:rFonts w:ascii="Abadi" w:hAnsi="Abadi" w:cs="*Arial-7425-Identity-H"/>
          <w:color w:val="0C0C0F"/>
          <w:sz w:val="21"/>
          <w:szCs w:val="21"/>
        </w:rPr>
        <w:t xml:space="preserve"> </w:t>
      </w:r>
      <w:r w:rsidRPr="00494B56">
        <w:rPr>
          <w:rFonts w:ascii="Abadi" w:hAnsi="Abadi" w:cs="*Arial-7425-Identity-H"/>
          <w:color w:val="0C0C0F"/>
          <w:sz w:val="21"/>
          <w:szCs w:val="21"/>
        </w:rPr>
        <w:t>contribuye a mejorar las condiciones de su ciudadanía, ya que el beneficiario es el</w:t>
      </w:r>
      <w:r>
        <w:rPr>
          <w:rFonts w:ascii="Abadi" w:hAnsi="Abadi" w:cs="*Arial-7425-Identity-H"/>
          <w:color w:val="0C0C0F"/>
          <w:sz w:val="21"/>
          <w:szCs w:val="21"/>
        </w:rPr>
        <w:t xml:space="preserve"> </w:t>
      </w:r>
      <w:r w:rsidRPr="00494B56">
        <w:rPr>
          <w:rFonts w:ascii="Abadi" w:hAnsi="Abadi" w:cs="*Arial-7425-Identity-H"/>
          <w:color w:val="0C0C0F"/>
          <w:sz w:val="21"/>
          <w:szCs w:val="21"/>
        </w:rPr>
        <w:t>mejor referente para conocer cómo se otorga el servicio de alumbrado público.</w:t>
      </w:r>
    </w:p>
    <w:p w14:paraId="4E3CE450" w14:textId="77777777" w:rsidR="002F42D9" w:rsidRPr="00494B56" w:rsidRDefault="002F42D9" w:rsidP="002F42D9">
      <w:pPr>
        <w:autoSpaceDE w:val="0"/>
        <w:autoSpaceDN w:val="0"/>
        <w:adjustRightInd w:val="0"/>
        <w:jc w:val="both"/>
        <w:rPr>
          <w:rFonts w:ascii="Abadi" w:hAnsi="Abadi" w:cs="*Arial-7425-Identity-H"/>
          <w:color w:val="0C0C0F"/>
          <w:sz w:val="21"/>
          <w:szCs w:val="21"/>
        </w:rPr>
      </w:pPr>
    </w:p>
    <w:p w14:paraId="110FB565" w14:textId="77777777" w:rsidR="002F42D9" w:rsidRPr="00494B56" w:rsidRDefault="002F42D9" w:rsidP="002F42D9">
      <w:pPr>
        <w:autoSpaceDE w:val="0"/>
        <w:autoSpaceDN w:val="0"/>
        <w:adjustRightInd w:val="0"/>
        <w:ind w:firstLine="708"/>
        <w:jc w:val="both"/>
        <w:rPr>
          <w:rFonts w:ascii="Abadi" w:hAnsi="Abadi" w:cs="*Arial-7425-Identity-H"/>
          <w:color w:val="0C0C0F"/>
          <w:sz w:val="21"/>
          <w:szCs w:val="21"/>
        </w:rPr>
      </w:pPr>
      <w:r w:rsidRPr="00494B56">
        <w:rPr>
          <w:rFonts w:ascii="Abadi" w:hAnsi="Abadi" w:cs="*Arial-7425-Identity-H"/>
          <w:color w:val="0C0C0F"/>
          <w:sz w:val="21"/>
          <w:szCs w:val="21"/>
        </w:rPr>
        <w:t>En el caso de la función de seguimiento, la revisión se enfocó en constatar</w:t>
      </w:r>
      <w:r>
        <w:rPr>
          <w:rFonts w:ascii="Abadi" w:hAnsi="Abadi" w:cs="*Arial-7425-Identity-H"/>
          <w:color w:val="0C0C0F"/>
          <w:sz w:val="21"/>
          <w:szCs w:val="21"/>
        </w:rPr>
        <w:t xml:space="preserve"> </w:t>
      </w:r>
      <w:r w:rsidRPr="00494B56">
        <w:rPr>
          <w:rFonts w:ascii="Abadi" w:hAnsi="Abadi" w:cs="*Arial-7425-Identity-H"/>
          <w:color w:val="0C0C0F"/>
          <w:sz w:val="21"/>
          <w:szCs w:val="21"/>
        </w:rPr>
        <w:t>si el sujeto fiscalizado contó con mecanismos que permitieran medir el desempeño</w:t>
      </w:r>
      <w:r>
        <w:rPr>
          <w:rFonts w:ascii="Abadi" w:hAnsi="Abadi" w:cs="*Arial-7425-Identity-H"/>
          <w:color w:val="0C0C0F"/>
          <w:sz w:val="21"/>
          <w:szCs w:val="21"/>
        </w:rPr>
        <w:t xml:space="preserve"> </w:t>
      </w:r>
      <w:r w:rsidRPr="00494B56">
        <w:rPr>
          <w:rFonts w:ascii="Abadi" w:hAnsi="Abadi" w:cs="*Arial-7425-Identity-H"/>
          <w:color w:val="0C0C0F"/>
          <w:sz w:val="21"/>
          <w:szCs w:val="21"/>
        </w:rPr>
        <w:t>y los resultados del servicio de alumbrado público, obteniendo que diseñó e</w:t>
      </w:r>
      <w:r>
        <w:rPr>
          <w:rFonts w:ascii="Abadi" w:hAnsi="Abadi" w:cs="*Arial-7425-Identity-H"/>
          <w:color w:val="0C0C0F"/>
          <w:sz w:val="21"/>
          <w:szCs w:val="21"/>
        </w:rPr>
        <w:t xml:space="preserve"> </w:t>
      </w:r>
      <w:r w:rsidRPr="00494B56">
        <w:rPr>
          <w:rFonts w:ascii="Abadi" w:hAnsi="Abadi" w:cs="*Arial-7425-Identity-H"/>
          <w:color w:val="0C0C0F"/>
          <w:sz w:val="21"/>
          <w:szCs w:val="21"/>
        </w:rPr>
        <w:t>implemento una Matriz de Indicadores para Resultados para el programa</w:t>
      </w:r>
      <w:r>
        <w:rPr>
          <w:rFonts w:ascii="Abadi" w:hAnsi="Abadi" w:cs="*Arial-7425-Identity-H"/>
          <w:color w:val="0C0C0F"/>
          <w:sz w:val="21"/>
          <w:szCs w:val="21"/>
        </w:rPr>
        <w:t xml:space="preserve"> </w:t>
      </w:r>
      <w:r w:rsidRPr="00494B56">
        <w:rPr>
          <w:rFonts w:ascii="Abadi" w:hAnsi="Abadi" w:cs="*Arial-7425-Identity-H"/>
          <w:color w:val="0C0C0F"/>
          <w:sz w:val="21"/>
          <w:szCs w:val="21"/>
        </w:rPr>
        <w:t xml:space="preserve">presupuestario </w:t>
      </w:r>
      <w:r w:rsidRPr="00494B56">
        <w:rPr>
          <w:rFonts w:ascii="Abadi" w:hAnsi="Abadi" w:cs="*Arial-Italic-7426-Identity-H"/>
          <w:i/>
          <w:iCs/>
          <w:color w:val="0C0C0F"/>
          <w:sz w:val="21"/>
          <w:szCs w:val="21"/>
        </w:rPr>
        <w:t xml:space="preserve">E0037 Alumbrado Público, </w:t>
      </w:r>
      <w:r w:rsidRPr="00494B56">
        <w:rPr>
          <w:rFonts w:ascii="Abadi" w:hAnsi="Abadi" w:cs="*Arial-7425-Identity-H"/>
          <w:color w:val="0C0C0F"/>
          <w:sz w:val="21"/>
          <w:szCs w:val="21"/>
        </w:rPr>
        <w:t>la cual presenta la oportunidad de</w:t>
      </w:r>
      <w:r>
        <w:rPr>
          <w:rFonts w:ascii="Abadi" w:hAnsi="Abadi" w:cs="*Arial-7425-Identity-H"/>
          <w:color w:val="0C0C0F"/>
          <w:sz w:val="21"/>
          <w:szCs w:val="21"/>
        </w:rPr>
        <w:t xml:space="preserve"> </w:t>
      </w:r>
      <w:r w:rsidRPr="00494B56">
        <w:rPr>
          <w:rFonts w:ascii="Abadi" w:hAnsi="Abadi" w:cs="*Arial-7425-Identity-H"/>
          <w:color w:val="0C0C0F"/>
          <w:sz w:val="21"/>
          <w:szCs w:val="21"/>
        </w:rPr>
        <w:t>adecuar los objetivos descritos en el resumen narrativo para cada uno de sus</w:t>
      </w:r>
      <w:r>
        <w:rPr>
          <w:rFonts w:ascii="Abadi" w:hAnsi="Abadi" w:cs="*Arial-7425-Identity-H"/>
          <w:color w:val="0C0C0F"/>
          <w:sz w:val="21"/>
          <w:szCs w:val="21"/>
        </w:rPr>
        <w:t xml:space="preserve"> </w:t>
      </w:r>
      <w:r w:rsidRPr="00494B56">
        <w:rPr>
          <w:rFonts w:ascii="Abadi" w:hAnsi="Abadi" w:cs="*Arial-7425-Identity-H"/>
          <w:color w:val="0C0C0F"/>
          <w:sz w:val="21"/>
          <w:szCs w:val="21"/>
        </w:rPr>
        <w:t>elementos de tal forma que exista una relación de causalidad desde las</w:t>
      </w:r>
      <w:r>
        <w:rPr>
          <w:rFonts w:ascii="Abadi" w:hAnsi="Abadi" w:cs="*Arial-7425-Identity-H"/>
          <w:color w:val="0C0C0F"/>
          <w:sz w:val="21"/>
          <w:szCs w:val="21"/>
        </w:rPr>
        <w:t xml:space="preserve"> </w:t>
      </w:r>
      <w:r w:rsidRPr="00494B56">
        <w:rPr>
          <w:rFonts w:ascii="Abadi" w:hAnsi="Abadi" w:cs="*Arial-7425-Identity-H"/>
          <w:color w:val="0C0C0F"/>
          <w:sz w:val="21"/>
          <w:szCs w:val="21"/>
        </w:rPr>
        <w:t>actividades hasta el Fin, con apego a la Metodología del Marco Lógico. Asimismo,</w:t>
      </w:r>
      <w:r>
        <w:rPr>
          <w:rFonts w:ascii="Abadi" w:hAnsi="Abadi" w:cs="*Arial-7425-Identity-H"/>
          <w:color w:val="0C0C0F"/>
          <w:sz w:val="21"/>
          <w:szCs w:val="21"/>
        </w:rPr>
        <w:t xml:space="preserve"> </w:t>
      </w:r>
      <w:r w:rsidRPr="00494B56">
        <w:rPr>
          <w:rFonts w:ascii="Abadi" w:hAnsi="Abadi" w:cs="*Arial-7425-Identity-H"/>
          <w:color w:val="0C0C0F"/>
          <w:sz w:val="21"/>
          <w:szCs w:val="21"/>
        </w:rPr>
        <w:t>la Matriz de Indicadores para Resultados contó con indicadores para medir el logro</w:t>
      </w:r>
      <w:r>
        <w:rPr>
          <w:rFonts w:ascii="Abadi" w:hAnsi="Abadi" w:cs="*Arial-7425-Identity-H"/>
          <w:color w:val="0C0C0F"/>
          <w:sz w:val="21"/>
          <w:szCs w:val="21"/>
        </w:rPr>
        <w:t xml:space="preserve"> </w:t>
      </w:r>
      <w:r w:rsidRPr="00494B56">
        <w:rPr>
          <w:rFonts w:ascii="Abadi" w:hAnsi="Abadi" w:cs="*Arial-7425-Identity-H"/>
          <w:color w:val="0C0C0F"/>
          <w:sz w:val="21"/>
          <w:szCs w:val="21"/>
        </w:rPr>
        <w:t>de los objetivos, lo cual se reconoce como un avance en la medición de sus</w:t>
      </w:r>
      <w:r>
        <w:rPr>
          <w:rFonts w:ascii="Abadi" w:hAnsi="Abadi" w:cs="*Arial-7425-Identity-H"/>
          <w:color w:val="0C0C0F"/>
          <w:sz w:val="21"/>
          <w:szCs w:val="21"/>
        </w:rPr>
        <w:t xml:space="preserve"> </w:t>
      </w:r>
      <w:r w:rsidRPr="00494B56">
        <w:rPr>
          <w:rFonts w:ascii="Abadi" w:hAnsi="Abadi" w:cs="*Arial-7425-Identity-H"/>
          <w:color w:val="0C0C0F"/>
          <w:sz w:val="21"/>
          <w:szCs w:val="21"/>
        </w:rPr>
        <w:t>resultados; sin embargo, estos no expresaron los conceptos relevantes a medir</w:t>
      </w:r>
      <w:r>
        <w:rPr>
          <w:rFonts w:ascii="Abadi" w:hAnsi="Abadi" w:cs="*Arial-7425-Identity-H"/>
          <w:color w:val="0C0C0F"/>
          <w:sz w:val="21"/>
          <w:szCs w:val="21"/>
        </w:rPr>
        <w:t xml:space="preserve"> </w:t>
      </w:r>
      <w:r w:rsidRPr="00494B56">
        <w:rPr>
          <w:rFonts w:ascii="Abadi" w:hAnsi="Abadi" w:cs="*Arial-7425-Identity-H"/>
          <w:color w:val="0C0C0F"/>
          <w:sz w:val="21"/>
          <w:szCs w:val="21"/>
        </w:rPr>
        <w:t>para cada uno de los cuatro niveles de la referida Matriz, adicionalmente, sus</w:t>
      </w:r>
      <w:r>
        <w:rPr>
          <w:rFonts w:ascii="Abadi" w:hAnsi="Abadi" w:cs="*Arial-7425-Identity-H"/>
          <w:color w:val="0C0C0F"/>
          <w:sz w:val="21"/>
          <w:szCs w:val="21"/>
        </w:rPr>
        <w:t xml:space="preserve"> </w:t>
      </w:r>
      <w:r w:rsidRPr="00494B56">
        <w:rPr>
          <w:rFonts w:ascii="Abadi" w:hAnsi="Abadi" w:cs="*Arial-7425-Identity-H"/>
          <w:color w:val="0C0C0F"/>
          <w:sz w:val="21"/>
          <w:szCs w:val="21"/>
        </w:rPr>
        <w:t>fichas técnicas presentaron deficiencias en algunos de sus elementos. Lo anterior</w:t>
      </w:r>
      <w:r>
        <w:rPr>
          <w:rFonts w:ascii="Abadi" w:hAnsi="Abadi" w:cs="*Arial-7425-Identity-H"/>
          <w:color w:val="0C0C0F"/>
          <w:sz w:val="21"/>
          <w:szCs w:val="21"/>
        </w:rPr>
        <w:t xml:space="preserve"> </w:t>
      </w:r>
      <w:r w:rsidRPr="00494B56">
        <w:rPr>
          <w:rFonts w:ascii="Abadi" w:hAnsi="Abadi" w:cs="*Arial-7425-Identity-H"/>
          <w:color w:val="0C0C0F"/>
          <w:sz w:val="21"/>
          <w:szCs w:val="21"/>
        </w:rPr>
        <w:t>no permitió conocer la eficacia de la prestación del servicio de alumbrado público</w:t>
      </w:r>
      <w:r>
        <w:rPr>
          <w:rFonts w:ascii="Abadi" w:hAnsi="Abadi" w:cs="*Arial-7425-Identity-H"/>
          <w:color w:val="0C0C0F"/>
          <w:sz w:val="21"/>
          <w:szCs w:val="21"/>
        </w:rPr>
        <w:t xml:space="preserve"> </w:t>
      </w:r>
      <w:r w:rsidRPr="00494B56">
        <w:rPr>
          <w:rFonts w:ascii="Abadi" w:hAnsi="Abadi" w:cs="*Arial-7425-Identity-H"/>
          <w:color w:val="0C0C0F"/>
          <w:sz w:val="21"/>
          <w:szCs w:val="21"/>
        </w:rPr>
        <w:t>por parte del sujeto fiscalizado</w:t>
      </w:r>
      <w:r>
        <w:rPr>
          <w:rFonts w:ascii="Abadi" w:hAnsi="Abadi" w:cs="*Arial-7425-Identity-H"/>
          <w:color w:val="0C0C0F"/>
          <w:sz w:val="21"/>
          <w:szCs w:val="21"/>
        </w:rPr>
        <w:t xml:space="preserve"> </w:t>
      </w:r>
    </w:p>
    <w:p w14:paraId="22AE9F7C" w14:textId="77777777" w:rsidR="002F42D9" w:rsidRPr="00494B56" w:rsidRDefault="002F42D9" w:rsidP="002F42D9">
      <w:pPr>
        <w:autoSpaceDE w:val="0"/>
        <w:autoSpaceDN w:val="0"/>
        <w:adjustRightInd w:val="0"/>
        <w:jc w:val="both"/>
        <w:rPr>
          <w:rFonts w:ascii="Abadi" w:hAnsi="Abadi" w:cs="*Calibri-Bold-6567-Identity-H"/>
          <w:b/>
          <w:bCs/>
          <w:color w:val="27272C"/>
          <w:sz w:val="21"/>
          <w:szCs w:val="21"/>
        </w:rPr>
      </w:pPr>
    </w:p>
    <w:p w14:paraId="6720E67F" w14:textId="127F08CC" w:rsidR="002F42D9" w:rsidRPr="00494B56" w:rsidRDefault="002F42D9" w:rsidP="001D0387">
      <w:pPr>
        <w:autoSpaceDE w:val="0"/>
        <w:autoSpaceDN w:val="0"/>
        <w:adjustRightInd w:val="0"/>
        <w:ind w:firstLine="708"/>
        <w:jc w:val="both"/>
        <w:rPr>
          <w:rFonts w:ascii="Abadi" w:hAnsi="Abadi" w:cs="*Arial-6568-Identity-H"/>
          <w:color w:val="0D0C0F"/>
          <w:sz w:val="21"/>
          <w:szCs w:val="21"/>
        </w:rPr>
      </w:pPr>
      <w:r w:rsidRPr="00494B56">
        <w:rPr>
          <w:rFonts w:ascii="Abadi" w:hAnsi="Abadi" w:cs="*Arial-6568-Identity-H"/>
          <w:color w:val="0D0C0F"/>
          <w:sz w:val="21"/>
          <w:szCs w:val="21"/>
        </w:rPr>
        <w:t>Derivado de lo anterior, se establece que ante las oportunidades señaladas,</w:t>
      </w:r>
      <w:r>
        <w:rPr>
          <w:rFonts w:ascii="Abadi" w:hAnsi="Abadi" w:cs="*Arial-6568-Identity-H"/>
          <w:color w:val="0D0C0F"/>
          <w:sz w:val="21"/>
          <w:szCs w:val="21"/>
        </w:rPr>
        <w:t xml:space="preserve"> </w:t>
      </w:r>
      <w:r w:rsidRPr="00494B56">
        <w:rPr>
          <w:rFonts w:ascii="Abadi" w:hAnsi="Abadi" w:cs="*Arial-6568-Identity-H"/>
          <w:color w:val="0D0C0F"/>
          <w:sz w:val="21"/>
          <w:szCs w:val="21"/>
        </w:rPr>
        <w:t>el sujeto fiscalizado muestra una postura de apertura al cambio con la intención de</w:t>
      </w:r>
      <w:r>
        <w:rPr>
          <w:rFonts w:ascii="Abadi" w:hAnsi="Abadi" w:cs="*Arial-6568-Identity-H"/>
          <w:color w:val="0D0C0F"/>
          <w:sz w:val="21"/>
          <w:szCs w:val="21"/>
        </w:rPr>
        <w:t xml:space="preserve"> </w:t>
      </w:r>
      <w:r w:rsidRPr="00494B56">
        <w:rPr>
          <w:rFonts w:ascii="Abadi" w:hAnsi="Abadi" w:cs="*Arial-6568-Identity-H"/>
          <w:color w:val="0D0C0F"/>
          <w:sz w:val="21"/>
          <w:szCs w:val="21"/>
        </w:rPr>
        <w:t>mejorar la planificación, operación y control de la prestación del servicio de</w:t>
      </w:r>
      <w:r>
        <w:rPr>
          <w:rFonts w:ascii="Abadi" w:hAnsi="Abadi" w:cs="*Arial-6568-Identity-H"/>
          <w:color w:val="0D0C0F"/>
          <w:sz w:val="21"/>
          <w:szCs w:val="21"/>
        </w:rPr>
        <w:t xml:space="preserve"> </w:t>
      </w:r>
      <w:r w:rsidRPr="00494B56">
        <w:rPr>
          <w:rFonts w:ascii="Abadi" w:hAnsi="Abadi" w:cs="*Arial-6568-Identity-H"/>
          <w:color w:val="0D0C0F"/>
          <w:sz w:val="21"/>
          <w:szCs w:val="21"/>
        </w:rPr>
        <w:t>alumbrado público, al presentar un plan de acción para incidir en la mejora de las</w:t>
      </w:r>
      <w:r>
        <w:rPr>
          <w:rFonts w:ascii="Abadi" w:hAnsi="Abadi" w:cs="*Arial-6568-Identity-H"/>
          <w:color w:val="0D0C0F"/>
          <w:sz w:val="21"/>
          <w:szCs w:val="21"/>
        </w:rPr>
        <w:t xml:space="preserve"> </w:t>
      </w:r>
      <w:r w:rsidRPr="00494B56">
        <w:rPr>
          <w:rFonts w:ascii="Abadi" w:hAnsi="Abadi" w:cs="*Arial-6568-Identity-H"/>
          <w:color w:val="0D0C0F"/>
          <w:sz w:val="21"/>
          <w:szCs w:val="21"/>
        </w:rPr>
        <w:t>brechas identificadas. Es as</w:t>
      </w:r>
      <w:r w:rsidR="0042658F">
        <w:rPr>
          <w:rFonts w:ascii="Abadi" w:hAnsi="Abadi" w:cs="*Arial-6568-Identity-H"/>
          <w:color w:val="0D0C0F"/>
          <w:sz w:val="21"/>
          <w:szCs w:val="21"/>
        </w:rPr>
        <w:t>í</w:t>
      </w:r>
      <w:r w:rsidRPr="00494B56">
        <w:rPr>
          <w:rFonts w:ascii="Abadi" w:hAnsi="Abadi" w:cs="*Arial-6568-Identity-H"/>
          <w:color w:val="0D0C0F"/>
          <w:sz w:val="21"/>
          <w:szCs w:val="21"/>
        </w:rPr>
        <w:t xml:space="preserve"> que de atenderse las recomendaciones formuladas,</w:t>
      </w:r>
      <w:r>
        <w:rPr>
          <w:rFonts w:ascii="Abadi" w:hAnsi="Abadi" w:cs="*Arial-6568-Identity-H"/>
          <w:color w:val="0D0C0F"/>
          <w:sz w:val="21"/>
          <w:szCs w:val="21"/>
        </w:rPr>
        <w:t xml:space="preserve"> </w:t>
      </w:r>
      <w:r w:rsidRPr="00494B56">
        <w:rPr>
          <w:rFonts w:ascii="Abadi" w:hAnsi="Abadi" w:cs="*Arial-6568-Identity-H"/>
          <w:color w:val="0D0C0F"/>
          <w:sz w:val="21"/>
          <w:szCs w:val="21"/>
        </w:rPr>
        <w:t>el sujeto fiscalizado estará en condiciones de optimizar la gestión pública para</w:t>
      </w:r>
      <w:r>
        <w:rPr>
          <w:rFonts w:ascii="Abadi" w:hAnsi="Abadi" w:cs="*Arial-6568-Identity-H"/>
          <w:color w:val="0D0C0F"/>
          <w:sz w:val="21"/>
          <w:szCs w:val="21"/>
        </w:rPr>
        <w:t xml:space="preserve"> </w:t>
      </w:r>
      <w:r w:rsidRPr="00494B56">
        <w:rPr>
          <w:rFonts w:ascii="Abadi" w:hAnsi="Abadi" w:cs="*Arial-6568-Identity-H"/>
          <w:color w:val="0D0C0F"/>
          <w:sz w:val="21"/>
          <w:szCs w:val="21"/>
        </w:rPr>
        <w:t>fortalecer el otorgamiento del servicio de alumbrado a sus habitantes con una</w:t>
      </w:r>
      <w:r w:rsidR="001D0387">
        <w:rPr>
          <w:rFonts w:ascii="Abadi" w:hAnsi="Abadi" w:cs="*Arial-6568-Identity-H"/>
          <w:color w:val="0D0C0F"/>
          <w:sz w:val="21"/>
          <w:szCs w:val="21"/>
        </w:rPr>
        <w:t xml:space="preserve"> </w:t>
      </w:r>
      <w:r w:rsidRPr="00494B56">
        <w:rPr>
          <w:rFonts w:ascii="Abadi" w:hAnsi="Abadi" w:cs="*Arial-6568-Identity-H"/>
          <w:color w:val="0D0C0F"/>
          <w:sz w:val="21"/>
          <w:szCs w:val="21"/>
        </w:rPr>
        <w:t>mayor orientación a los principios de eficacia y eficiencia.</w:t>
      </w:r>
    </w:p>
    <w:p w14:paraId="74378DF2" w14:textId="77777777" w:rsidR="002F42D9" w:rsidRPr="00494B56" w:rsidRDefault="002F42D9" w:rsidP="002F42D9">
      <w:pPr>
        <w:autoSpaceDE w:val="0"/>
        <w:autoSpaceDN w:val="0"/>
        <w:adjustRightInd w:val="0"/>
        <w:jc w:val="both"/>
        <w:rPr>
          <w:rFonts w:ascii="Abadi" w:hAnsi="Abadi" w:cs="*Arial-6568-Identity-H"/>
          <w:color w:val="0D0C0F"/>
          <w:sz w:val="21"/>
          <w:szCs w:val="21"/>
        </w:rPr>
      </w:pPr>
    </w:p>
    <w:p w14:paraId="124D67C4" w14:textId="77777777" w:rsidR="002F42D9" w:rsidRPr="00494B56" w:rsidRDefault="002F42D9" w:rsidP="002F42D9">
      <w:pPr>
        <w:autoSpaceDE w:val="0"/>
        <w:autoSpaceDN w:val="0"/>
        <w:adjustRightInd w:val="0"/>
        <w:ind w:firstLine="708"/>
        <w:jc w:val="both"/>
        <w:rPr>
          <w:rFonts w:ascii="Abadi" w:hAnsi="Abadi" w:cs="*Arial-6568-Identity-H"/>
          <w:color w:val="0C0C0F"/>
          <w:sz w:val="21"/>
          <w:szCs w:val="21"/>
        </w:rPr>
      </w:pPr>
      <w:r w:rsidRPr="00494B56">
        <w:rPr>
          <w:rFonts w:ascii="Abadi" w:hAnsi="Abadi" w:cs="*Arial-6568-Identity-H"/>
          <w:color w:val="0C0C0F"/>
          <w:sz w:val="21"/>
          <w:szCs w:val="21"/>
        </w:rPr>
        <w:t>Finalmente, se señala que el seguimiento de dichos compromisos se</w:t>
      </w:r>
      <w:r>
        <w:rPr>
          <w:rFonts w:ascii="Abadi" w:hAnsi="Abadi" w:cs="*Arial-6568-Identity-H"/>
          <w:color w:val="0C0C0F"/>
          <w:sz w:val="21"/>
          <w:szCs w:val="21"/>
        </w:rPr>
        <w:t xml:space="preserve"> </w:t>
      </w:r>
      <w:r w:rsidRPr="00494B56">
        <w:rPr>
          <w:rFonts w:ascii="Abadi" w:hAnsi="Abadi" w:cs="*Arial-6568-Identity-H"/>
          <w:color w:val="0C0C0F"/>
          <w:sz w:val="21"/>
          <w:szCs w:val="21"/>
        </w:rPr>
        <w:t>realizará por la Auditoría Superior del Estado, respecto de las recomendaciones</w:t>
      </w:r>
      <w:r>
        <w:rPr>
          <w:rFonts w:ascii="Abadi" w:hAnsi="Abadi" w:cs="*Arial-6568-Identity-H"/>
          <w:color w:val="0C0C0F"/>
          <w:sz w:val="21"/>
          <w:szCs w:val="21"/>
        </w:rPr>
        <w:t xml:space="preserve"> </w:t>
      </w:r>
      <w:r w:rsidRPr="00494B56">
        <w:rPr>
          <w:rFonts w:ascii="Abadi" w:hAnsi="Abadi" w:cs="*Arial-6568-Identity-H"/>
          <w:color w:val="0C0C0F"/>
          <w:sz w:val="21"/>
          <w:szCs w:val="21"/>
        </w:rPr>
        <w:t>donde se valora que el sujeto fiscalizado realizará acciones de mejora en un plazo</w:t>
      </w:r>
      <w:r>
        <w:rPr>
          <w:rFonts w:ascii="Abadi" w:hAnsi="Abadi" w:cs="*Arial-6568-Identity-H"/>
          <w:color w:val="0C0C0F"/>
          <w:sz w:val="21"/>
          <w:szCs w:val="21"/>
        </w:rPr>
        <w:t xml:space="preserve"> </w:t>
      </w:r>
      <w:r w:rsidRPr="00494B56">
        <w:rPr>
          <w:rFonts w:ascii="Abadi" w:hAnsi="Abadi" w:cs="*Arial-6568-Identity-H"/>
          <w:color w:val="0C0C0F"/>
          <w:sz w:val="21"/>
          <w:szCs w:val="21"/>
        </w:rPr>
        <w:t>determinado hasta su total implementación, acorde a la normativa aplicable.</w:t>
      </w:r>
      <w:r w:rsidRPr="00494B56">
        <w:rPr>
          <w:rFonts w:ascii="Abadi" w:hAnsi="Abadi" w:cs="*Arial-6568-Identity-H"/>
          <w:color w:val="0C0C0F"/>
          <w:sz w:val="21"/>
          <w:szCs w:val="21"/>
        </w:rPr>
        <w:tab/>
      </w:r>
      <w:r w:rsidRPr="00494B56">
        <w:rPr>
          <w:rFonts w:ascii="Abadi" w:hAnsi="Abadi" w:cs="*Arial-6568-Identity-H"/>
          <w:color w:val="0C0C0F"/>
          <w:sz w:val="21"/>
          <w:szCs w:val="21"/>
        </w:rPr>
        <w:tab/>
      </w:r>
    </w:p>
    <w:p w14:paraId="3E927E94" w14:textId="77777777" w:rsidR="002F42D9" w:rsidRPr="00494B56" w:rsidRDefault="002F42D9" w:rsidP="002F42D9">
      <w:pPr>
        <w:autoSpaceDE w:val="0"/>
        <w:autoSpaceDN w:val="0"/>
        <w:adjustRightInd w:val="0"/>
        <w:jc w:val="both"/>
        <w:rPr>
          <w:rFonts w:ascii="Abadi" w:hAnsi="Abadi" w:cs="*Arial-6568-Identity-H"/>
          <w:color w:val="0C0C0F"/>
          <w:sz w:val="21"/>
          <w:szCs w:val="21"/>
        </w:rPr>
      </w:pPr>
    </w:p>
    <w:p w14:paraId="150ECC55" w14:textId="77777777" w:rsidR="002F42D9" w:rsidRPr="00494B56" w:rsidRDefault="002F42D9" w:rsidP="002F42D9">
      <w:pPr>
        <w:autoSpaceDE w:val="0"/>
        <w:autoSpaceDN w:val="0"/>
        <w:adjustRightInd w:val="0"/>
        <w:ind w:firstLine="708"/>
        <w:jc w:val="both"/>
        <w:rPr>
          <w:rFonts w:ascii="Abadi" w:hAnsi="Abadi" w:cs="*Arial-Bold-6569-Identity-H"/>
          <w:b/>
          <w:bCs/>
          <w:color w:val="0B0A0E"/>
          <w:sz w:val="21"/>
          <w:szCs w:val="21"/>
        </w:rPr>
      </w:pPr>
      <w:r w:rsidRPr="00494B56">
        <w:rPr>
          <w:rFonts w:ascii="Abadi" w:hAnsi="Abadi" w:cs="*Arial-Bold-6569-Identity-H"/>
          <w:b/>
          <w:bCs/>
          <w:color w:val="0B0A0E"/>
          <w:sz w:val="21"/>
          <w:szCs w:val="21"/>
        </w:rPr>
        <w:t>V. Conclusiones:</w:t>
      </w:r>
    </w:p>
    <w:p w14:paraId="73C1A72D" w14:textId="77777777" w:rsidR="002F42D9" w:rsidRPr="00494B56" w:rsidRDefault="002F42D9" w:rsidP="002F42D9">
      <w:pPr>
        <w:autoSpaceDE w:val="0"/>
        <w:autoSpaceDN w:val="0"/>
        <w:adjustRightInd w:val="0"/>
        <w:ind w:firstLine="708"/>
        <w:jc w:val="both"/>
        <w:rPr>
          <w:rFonts w:ascii="Abadi" w:hAnsi="Abadi" w:cs="*Arial-Bold-6569-Identity-H"/>
          <w:b/>
          <w:bCs/>
          <w:color w:val="0B0A0E"/>
          <w:sz w:val="21"/>
          <w:szCs w:val="21"/>
        </w:rPr>
      </w:pPr>
    </w:p>
    <w:p w14:paraId="6737626E" w14:textId="77777777" w:rsidR="002F42D9" w:rsidRPr="00494B56" w:rsidRDefault="002F42D9" w:rsidP="002F42D9">
      <w:pPr>
        <w:autoSpaceDE w:val="0"/>
        <w:autoSpaceDN w:val="0"/>
        <w:adjustRightInd w:val="0"/>
        <w:ind w:firstLine="708"/>
        <w:jc w:val="both"/>
        <w:rPr>
          <w:rFonts w:ascii="Abadi" w:hAnsi="Abadi" w:cs="*Arial-6568-Identity-H"/>
          <w:color w:val="0D0D10"/>
          <w:sz w:val="21"/>
          <w:szCs w:val="21"/>
        </w:rPr>
      </w:pPr>
      <w:r w:rsidRPr="00494B56">
        <w:rPr>
          <w:rFonts w:ascii="Abadi" w:hAnsi="Abadi" w:cs="*Arial-6568-Identity-H"/>
          <w:color w:val="0D0D10"/>
          <w:sz w:val="21"/>
          <w:szCs w:val="21"/>
        </w:rPr>
        <w:t>Como ya lo habíamos señalado en párrafos anteriores, el artículo 38 de la</w:t>
      </w:r>
      <w:r>
        <w:rPr>
          <w:rFonts w:ascii="Abadi" w:hAnsi="Abadi" w:cs="*Arial-6568-Identity-H"/>
          <w:color w:val="0D0D10"/>
          <w:sz w:val="21"/>
          <w:szCs w:val="21"/>
        </w:rPr>
        <w:t xml:space="preserve"> </w:t>
      </w:r>
      <w:r w:rsidRPr="00494B56">
        <w:rPr>
          <w:rFonts w:ascii="Abadi" w:hAnsi="Abadi" w:cs="*Arial-6568-Identity-H"/>
          <w:color w:val="0D0D10"/>
          <w:sz w:val="21"/>
          <w:szCs w:val="21"/>
        </w:rPr>
        <w:t>Ley de Fiscalización Superior del Estado de Guanajuato establece que los</w:t>
      </w:r>
      <w:r>
        <w:rPr>
          <w:rFonts w:ascii="Abadi" w:hAnsi="Abadi" w:cs="*Arial-6568-Identity-H"/>
          <w:color w:val="0D0D10"/>
          <w:sz w:val="21"/>
          <w:szCs w:val="21"/>
        </w:rPr>
        <w:t xml:space="preserve"> </w:t>
      </w:r>
      <w:r w:rsidRPr="00494B56">
        <w:rPr>
          <w:rFonts w:ascii="Abadi" w:hAnsi="Abadi" w:cs="*Arial-6568-Identity-H"/>
          <w:color w:val="0D0D10"/>
          <w:sz w:val="21"/>
          <w:szCs w:val="21"/>
        </w:rPr>
        <w:t>informes de resultados únicamente podrán ser observados por las dos terceras partes de los diputados integrantes del Congreso, cuando no se observen las</w:t>
      </w:r>
      <w:r>
        <w:rPr>
          <w:rFonts w:ascii="Abadi" w:hAnsi="Abadi" w:cs="*Arial-6568-Identity-H"/>
          <w:color w:val="0D0D10"/>
          <w:sz w:val="21"/>
          <w:szCs w:val="21"/>
        </w:rPr>
        <w:t xml:space="preserve"> </w:t>
      </w:r>
      <w:r w:rsidRPr="00494B56">
        <w:rPr>
          <w:rFonts w:ascii="Abadi" w:hAnsi="Abadi" w:cs="*Arial-6568-Identity-H"/>
          <w:color w:val="0D0D10"/>
          <w:sz w:val="21"/>
          <w:szCs w:val="21"/>
        </w:rPr>
        <w:t>formalidades esenciales del proceso de fiscalización.</w:t>
      </w:r>
    </w:p>
    <w:p w14:paraId="52C8042E" w14:textId="77777777" w:rsidR="002F42D9" w:rsidRPr="00494B56" w:rsidRDefault="002F42D9" w:rsidP="002F42D9">
      <w:pPr>
        <w:autoSpaceDE w:val="0"/>
        <w:autoSpaceDN w:val="0"/>
        <w:adjustRightInd w:val="0"/>
        <w:jc w:val="both"/>
        <w:rPr>
          <w:rFonts w:ascii="Abadi" w:hAnsi="Abadi" w:cs="*Arial-6568-Identity-H"/>
          <w:color w:val="0D0D10"/>
          <w:sz w:val="21"/>
          <w:szCs w:val="21"/>
        </w:rPr>
      </w:pPr>
    </w:p>
    <w:p w14:paraId="5E5539F7" w14:textId="77777777" w:rsidR="002F42D9" w:rsidRPr="00494B56" w:rsidRDefault="002F42D9" w:rsidP="002F42D9">
      <w:pPr>
        <w:autoSpaceDE w:val="0"/>
        <w:autoSpaceDN w:val="0"/>
        <w:adjustRightInd w:val="0"/>
        <w:ind w:firstLine="708"/>
        <w:jc w:val="both"/>
        <w:rPr>
          <w:rFonts w:ascii="Abadi" w:hAnsi="Abadi" w:cs="*Arial-6568-Identity-H"/>
          <w:color w:val="0D0D10"/>
          <w:sz w:val="21"/>
          <w:szCs w:val="21"/>
        </w:rPr>
      </w:pPr>
      <w:r w:rsidRPr="00494B56">
        <w:rPr>
          <w:rFonts w:ascii="Abadi" w:hAnsi="Abadi" w:cs="*Arial-6568-Identity-H"/>
          <w:color w:val="0D0D10"/>
          <w:sz w:val="21"/>
          <w:szCs w:val="21"/>
        </w:rPr>
        <w:t>En este sentido, quienes integramos esta Comisión analizamos el informe</w:t>
      </w:r>
      <w:r>
        <w:rPr>
          <w:rFonts w:ascii="Abadi" w:hAnsi="Abadi" w:cs="*Arial-6568-Identity-H"/>
          <w:color w:val="0D0D10"/>
          <w:sz w:val="21"/>
          <w:szCs w:val="21"/>
        </w:rPr>
        <w:t xml:space="preserve"> </w:t>
      </w:r>
      <w:r w:rsidRPr="00494B56">
        <w:rPr>
          <w:rFonts w:ascii="Abadi" w:hAnsi="Abadi" w:cs="*Arial-6568-Identity-H"/>
          <w:color w:val="0D0D10"/>
          <w:sz w:val="21"/>
          <w:szCs w:val="21"/>
        </w:rPr>
        <w:t>de resultados materia del presente dictamen, considerando la hipótesis referida en</w:t>
      </w:r>
      <w:r>
        <w:rPr>
          <w:rFonts w:ascii="Abadi" w:hAnsi="Abadi" w:cs="*Arial-6568-Identity-H"/>
          <w:color w:val="0D0D10"/>
          <w:sz w:val="21"/>
          <w:szCs w:val="21"/>
        </w:rPr>
        <w:t xml:space="preserve"> </w:t>
      </w:r>
      <w:r w:rsidRPr="00494B56">
        <w:rPr>
          <w:rFonts w:ascii="Abadi" w:hAnsi="Abadi" w:cs="*Arial-6568-Identity-H"/>
          <w:color w:val="0D0D10"/>
          <w:sz w:val="21"/>
          <w:szCs w:val="21"/>
        </w:rPr>
        <w:t>el precepto anteriormente señalado.</w:t>
      </w:r>
    </w:p>
    <w:p w14:paraId="069DB018" w14:textId="77777777" w:rsidR="002F42D9" w:rsidRPr="00494B56" w:rsidRDefault="002F42D9" w:rsidP="002F42D9">
      <w:pPr>
        <w:autoSpaceDE w:val="0"/>
        <w:autoSpaceDN w:val="0"/>
        <w:adjustRightInd w:val="0"/>
        <w:jc w:val="both"/>
        <w:rPr>
          <w:rFonts w:ascii="Abadi" w:hAnsi="Abadi" w:cs="*Arial-6568-Identity-H"/>
          <w:color w:val="0D0D10"/>
          <w:sz w:val="21"/>
          <w:szCs w:val="21"/>
        </w:rPr>
      </w:pPr>
    </w:p>
    <w:p w14:paraId="6A7949C1" w14:textId="77777777" w:rsidR="002F42D9" w:rsidRPr="00494B56" w:rsidRDefault="002F42D9" w:rsidP="002F42D9">
      <w:pPr>
        <w:autoSpaceDE w:val="0"/>
        <w:autoSpaceDN w:val="0"/>
        <w:adjustRightInd w:val="0"/>
        <w:ind w:firstLine="708"/>
        <w:jc w:val="both"/>
        <w:rPr>
          <w:rFonts w:ascii="Abadi" w:hAnsi="Abadi" w:cs="*Arial-6568-Identity-H"/>
          <w:color w:val="0C0C0F"/>
          <w:sz w:val="21"/>
          <w:szCs w:val="21"/>
        </w:rPr>
      </w:pPr>
      <w:r w:rsidRPr="00494B56">
        <w:rPr>
          <w:rFonts w:ascii="Abadi" w:hAnsi="Abadi" w:cs="*Arial-6568-Identity-H"/>
          <w:color w:val="0C0C0F"/>
          <w:sz w:val="21"/>
          <w:szCs w:val="21"/>
        </w:rPr>
        <w:t>Como se desprende del informe de resultados, el Órgano Técnico dio</w:t>
      </w:r>
      <w:r>
        <w:rPr>
          <w:rFonts w:ascii="Abadi" w:hAnsi="Abadi" w:cs="*Arial-6568-Identity-H"/>
          <w:color w:val="0C0C0F"/>
          <w:sz w:val="21"/>
          <w:szCs w:val="21"/>
        </w:rPr>
        <w:t xml:space="preserve"> </w:t>
      </w:r>
      <w:r w:rsidRPr="00494B56">
        <w:rPr>
          <w:rFonts w:ascii="Abadi" w:hAnsi="Abadi" w:cs="*Arial-6568-Identity-H"/>
          <w:color w:val="0C0C0F"/>
          <w:sz w:val="21"/>
          <w:szCs w:val="21"/>
        </w:rPr>
        <w:t>cumplimiento al art</w:t>
      </w:r>
      <w:r>
        <w:rPr>
          <w:rFonts w:ascii="Abadi" w:hAnsi="Abadi" w:cs="*Arial-6568-Identity-H"/>
          <w:color w:val="0C0C0F"/>
          <w:sz w:val="21"/>
          <w:szCs w:val="21"/>
        </w:rPr>
        <w:t>í</w:t>
      </w:r>
      <w:r w:rsidRPr="00494B56">
        <w:rPr>
          <w:rFonts w:ascii="Abadi" w:hAnsi="Abadi" w:cs="*Arial-6568-Identity-H"/>
          <w:color w:val="0C0C0F"/>
          <w:sz w:val="21"/>
          <w:szCs w:val="21"/>
        </w:rPr>
        <w:t>culo 58 de la Ley de Fiscalización Superior del Estado de</w:t>
      </w:r>
      <w:r>
        <w:rPr>
          <w:rFonts w:ascii="Abadi" w:hAnsi="Abadi" w:cs="*Arial-6568-Identity-H"/>
          <w:color w:val="0C0C0F"/>
          <w:sz w:val="21"/>
          <w:szCs w:val="21"/>
        </w:rPr>
        <w:t xml:space="preserve"> </w:t>
      </w:r>
      <w:r w:rsidRPr="00494B56">
        <w:rPr>
          <w:rFonts w:ascii="Abadi" w:hAnsi="Abadi" w:cs="*Arial-6568-Identity-H"/>
          <w:color w:val="0C0C0F"/>
          <w:sz w:val="21"/>
          <w:szCs w:val="21"/>
        </w:rPr>
        <w:t>Guanajuato, al haberse notificado las recomendaciones derivadas de la auditoría</w:t>
      </w:r>
      <w:r>
        <w:rPr>
          <w:rFonts w:ascii="Abadi" w:hAnsi="Abadi" w:cs="*Arial-6568-Identity-H"/>
          <w:color w:val="0C0C0F"/>
          <w:sz w:val="21"/>
          <w:szCs w:val="21"/>
        </w:rPr>
        <w:t xml:space="preserve"> </w:t>
      </w:r>
      <w:r w:rsidRPr="00494B56">
        <w:rPr>
          <w:rFonts w:ascii="Abadi" w:hAnsi="Abadi" w:cs="*Arial-6568-Identity-H"/>
          <w:color w:val="0C0C0F"/>
          <w:sz w:val="21"/>
          <w:szCs w:val="21"/>
        </w:rPr>
        <w:t>al sujeto fiscalizado, concediéndole el plazo que establece la Ley para atender las</w:t>
      </w:r>
      <w:r>
        <w:rPr>
          <w:rFonts w:ascii="Abadi" w:hAnsi="Abadi" w:cs="*Arial-6568-Identity-H"/>
          <w:color w:val="0C0C0F"/>
          <w:sz w:val="21"/>
          <w:szCs w:val="21"/>
        </w:rPr>
        <w:t xml:space="preserve"> </w:t>
      </w:r>
      <w:r w:rsidRPr="00494B56">
        <w:rPr>
          <w:rFonts w:ascii="Abadi" w:hAnsi="Abadi" w:cs="*Arial-6568-Identity-H"/>
          <w:color w:val="0C0C0F"/>
          <w:sz w:val="21"/>
          <w:szCs w:val="21"/>
        </w:rPr>
        <w:t>recomendaciones formuladas por el Órgano Técnico. Al respecto, se presentó la</w:t>
      </w:r>
      <w:r>
        <w:rPr>
          <w:rFonts w:ascii="Abadi" w:hAnsi="Abadi" w:cs="*Arial-6568-Identity-H"/>
          <w:color w:val="0C0C0F"/>
          <w:sz w:val="21"/>
          <w:szCs w:val="21"/>
        </w:rPr>
        <w:t xml:space="preserve"> </w:t>
      </w:r>
      <w:r w:rsidRPr="00494B56">
        <w:rPr>
          <w:rFonts w:ascii="Abadi" w:hAnsi="Abadi" w:cs="*Arial-6568-Identity-H"/>
          <w:color w:val="0C0C0F"/>
          <w:sz w:val="21"/>
          <w:szCs w:val="21"/>
        </w:rPr>
        <w:t>información y documentación que se consideró suficiente para atender las</w:t>
      </w:r>
      <w:r>
        <w:rPr>
          <w:rFonts w:ascii="Abadi" w:hAnsi="Abadi" w:cs="*Arial-6568-Identity-H"/>
          <w:color w:val="0C0C0F"/>
          <w:sz w:val="21"/>
          <w:szCs w:val="21"/>
        </w:rPr>
        <w:t xml:space="preserve"> </w:t>
      </w:r>
      <w:r w:rsidRPr="00494B56">
        <w:rPr>
          <w:rFonts w:ascii="Abadi" w:hAnsi="Abadi" w:cs="*Arial-6568-Identity-H"/>
          <w:color w:val="0C0C0F"/>
          <w:sz w:val="21"/>
          <w:szCs w:val="21"/>
        </w:rPr>
        <w:t>recomendaciones efectuadas.</w:t>
      </w:r>
    </w:p>
    <w:p w14:paraId="4A0F646D" w14:textId="77777777" w:rsidR="002F42D9" w:rsidRPr="00494B56" w:rsidRDefault="002F42D9" w:rsidP="002F42D9">
      <w:pPr>
        <w:autoSpaceDE w:val="0"/>
        <w:autoSpaceDN w:val="0"/>
        <w:adjustRightInd w:val="0"/>
        <w:jc w:val="both"/>
        <w:rPr>
          <w:rFonts w:ascii="Abadi" w:hAnsi="Abadi" w:cs="*Arial-6568-Identity-H"/>
          <w:color w:val="0C0C0F"/>
          <w:sz w:val="21"/>
          <w:szCs w:val="21"/>
        </w:rPr>
      </w:pPr>
    </w:p>
    <w:p w14:paraId="4B8C9857" w14:textId="77777777" w:rsidR="002F42D9" w:rsidRPr="00494B56" w:rsidRDefault="002F42D9" w:rsidP="002F42D9">
      <w:pPr>
        <w:autoSpaceDE w:val="0"/>
        <w:autoSpaceDN w:val="0"/>
        <w:adjustRightInd w:val="0"/>
        <w:ind w:firstLine="708"/>
        <w:jc w:val="both"/>
        <w:rPr>
          <w:rFonts w:ascii="Abadi" w:hAnsi="Abadi" w:cs="*Arial-6568-Identity-H"/>
          <w:color w:val="0D0D10"/>
          <w:sz w:val="21"/>
          <w:szCs w:val="21"/>
        </w:rPr>
      </w:pPr>
      <w:r w:rsidRPr="00494B56">
        <w:rPr>
          <w:rFonts w:ascii="Abadi" w:hAnsi="Abadi" w:cs="*Arial-6568-Identity-H"/>
          <w:color w:val="0D0D10"/>
          <w:sz w:val="21"/>
          <w:szCs w:val="21"/>
        </w:rPr>
        <w:t>De igual manera, existe en el informe de resultados la constancia de que</w:t>
      </w:r>
      <w:r>
        <w:rPr>
          <w:rFonts w:ascii="Abadi" w:hAnsi="Abadi" w:cs="*Arial-6568-Identity-H"/>
          <w:color w:val="0D0D10"/>
          <w:sz w:val="21"/>
          <w:szCs w:val="21"/>
        </w:rPr>
        <w:t xml:space="preserve"> </w:t>
      </w:r>
      <w:r w:rsidRPr="00494B56">
        <w:rPr>
          <w:rFonts w:ascii="Abadi" w:hAnsi="Abadi" w:cs="*Arial-6568-Identity-H"/>
          <w:color w:val="0D0D10"/>
          <w:sz w:val="21"/>
          <w:szCs w:val="21"/>
        </w:rPr>
        <w:t>este se notificó al sujeto fiscalizado. En tal virtud, se considera que fue respetado</w:t>
      </w:r>
      <w:r>
        <w:rPr>
          <w:rFonts w:ascii="Abadi" w:hAnsi="Abadi" w:cs="*Arial-6568-Identity-H"/>
          <w:color w:val="0D0D10"/>
          <w:sz w:val="21"/>
          <w:szCs w:val="21"/>
        </w:rPr>
        <w:t xml:space="preserve"> </w:t>
      </w:r>
      <w:r w:rsidRPr="00494B56">
        <w:rPr>
          <w:rFonts w:ascii="Abadi" w:hAnsi="Abadi" w:cs="*Arial-6568-Identity-H"/>
          <w:color w:val="0D0D10"/>
          <w:sz w:val="21"/>
          <w:szCs w:val="21"/>
        </w:rPr>
        <w:t>el derecho de audiencia o defensa por parte del Órgano Técnico.</w:t>
      </w:r>
    </w:p>
    <w:p w14:paraId="6BBD2D46" w14:textId="77777777" w:rsidR="002F42D9" w:rsidRPr="00494B56" w:rsidRDefault="002F42D9" w:rsidP="002F42D9">
      <w:pPr>
        <w:autoSpaceDE w:val="0"/>
        <w:autoSpaceDN w:val="0"/>
        <w:adjustRightInd w:val="0"/>
        <w:jc w:val="both"/>
        <w:rPr>
          <w:rFonts w:ascii="Abadi" w:hAnsi="Abadi" w:cs="*Calibri-Bold-7544-Identity-H"/>
          <w:b/>
          <w:bCs/>
          <w:color w:val="242428"/>
          <w:sz w:val="21"/>
          <w:szCs w:val="21"/>
        </w:rPr>
      </w:pPr>
    </w:p>
    <w:p w14:paraId="4416B55C" w14:textId="62ADA3A5" w:rsidR="002F42D9" w:rsidRPr="00494B56" w:rsidRDefault="002F42D9" w:rsidP="00175095">
      <w:pPr>
        <w:autoSpaceDE w:val="0"/>
        <w:autoSpaceDN w:val="0"/>
        <w:adjustRightInd w:val="0"/>
        <w:ind w:firstLine="708"/>
        <w:jc w:val="both"/>
        <w:rPr>
          <w:rFonts w:ascii="Abadi" w:hAnsi="Abadi" w:cs="*Arial-7545-Identity-H"/>
          <w:color w:val="0B0B0D"/>
          <w:sz w:val="21"/>
          <w:szCs w:val="21"/>
        </w:rPr>
      </w:pPr>
      <w:r w:rsidRPr="00494B56">
        <w:rPr>
          <w:rFonts w:ascii="Abadi" w:hAnsi="Abadi" w:cs="*Arial-7545-Identity-H"/>
          <w:color w:val="0B0B0D"/>
          <w:sz w:val="21"/>
          <w:szCs w:val="21"/>
        </w:rPr>
        <w:t>Asimismo, del informe de resultados podemos inferir que el Órgano Técnico</w:t>
      </w:r>
      <w:r>
        <w:rPr>
          <w:rFonts w:ascii="Abadi" w:hAnsi="Abadi" w:cs="*Arial-7545-Identity-H"/>
          <w:color w:val="0B0B0D"/>
          <w:sz w:val="21"/>
          <w:szCs w:val="21"/>
        </w:rPr>
        <w:t xml:space="preserve"> </w:t>
      </w:r>
      <w:r w:rsidRPr="00494B56">
        <w:rPr>
          <w:rFonts w:ascii="Abadi" w:hAnsi="Abadi" w:cs="*Arial-7545-Identity-H"/>
          <w:color w:val="0B0B0D"/>
          <w:sz w:val="21"/>
          <w:szCs w:val="21"/>
        </w:rPr>
        <w:t>en el desarrollo del procedimiento de auditoría, dio cumplimiento a las</w:t>
      </w:r>
      <w:r>
        <w:rPr>
          <w:rFonts w:ascii="Abadi" w:hAnsi="Abadi" w:cs="*Arial-7545-Identity-H"/>
          <w:color w:val="0B0B0D"/>
          <w:sz w:val="21"/>
          <w:szCs w:val="21"/>
        </w:rPr>
        <w:t xml:space="preserve"> </w:t>
      </w:r>
      <w:r w:rsidRPr="00494B56">
        <w:rPr>
          <w:rFonts w:ascii="Abadi" w:hAnsi="Abadi" w:cs="*Arial-7545-Identity-H"/>
          <w:color w:val="0B0B0D"/>
          <w:sz w:val="21"/>
          <w:szCs w:val="21"/>
        </w:rPr>
        <w:t>formalidades esenciales que la misma Ley establece para el proceso de</w:t>
      </w:r>
      <w:r>
        <w:rPr>
          <w:rFonts w:ascii="Abadi" w:hAnsi="Abadi" w:cs="*Arial-7545-Identity-H"/>
          <w:color w:val="0B0B0D"/>
          <w:sz w:val="21"/>
          <w:szCs w:val="21"/>
        </w:rPr>
        <w:t xml:space="preserve"> </w:t>
      </w:r>
      <w:r w:rsidRPr="00494B56">
        <w:rPr>
          <w:rFonts w:ascii="Abadi" w:hAnsi="Abadi" w:cs="*Arial-7545-Identity-H"/>
          <w:color w:val="0B0B0D"/>
          <w:sz w:val="21"/>
          <w:szCs w:val="21"/>
        </w:rPr>
        <w:t>fiscalización, al haberse practicado la auditoría que estaba contemplada en el</w:t>
      </w:r>
      <w:r>
        <w:rPr>
          <w:rFonts w:ascii="Abadi" w:hAnsi="Abadi" w:cs="*Arial-7545-Identity-H"/>
          <w:color w:val="0B0B0D"/>
          <w:sz w:val="21"/>
          <w:szCs w:val="21"/>
        </w:rPr>
        <w:t xml:space="preserve"> </w:t>
      </w:r>
      <w:r w:rsidRPr="00494B56">
        <w:rPr>
          <w:rFonts w:ascii="Abadi" w:hAnsi="Abadi" w:cs="*Arial-7545-Identity-H"/>
          <w:color w:val="0B0B0D"/>
          <w:sz w:val="21"/>
          <w:szCs w:val="21"/>
        </w:rPr>
        <w:t>Programa General de Fiscalización 2021, aprobado por el Auditor Superior del</w:t>
      </w:r>
      <w:r w:rsidR="00175095">
        <w:rPr>
          <w:rFonts w:ascii="Abadi" w:hAnsi="Abadi" w:cs="*Arial-7545-Identity-H"/>
          <w:color w:val="0B0B0D"/>
          <w:sz w:val="21"/>
          <w:szCs w:val="21"/>
        </w:rPr>
        <w:t xml:space="preserve"> </w:t>
      </w:r>
      <w:r w:rsidRPr="00494B56">
        <w:rPr>
          <w:rFonts w:ascii="Abadi" w:hAnsi="Abadi" w:cs="*Arial-7545-Identity-H"/>
          <w:color w:val="0B0B0D"/>
          <w:sz w:val="21"/>
          <w:szCs w:val="21"/>
        </w:rPr>
        <w:t>Estado. Asimismo, la auditoria se efectuó atendiendo a lo establecido en la</w:t>
      </w:r>
      <w:r>
        <w:rPr>
          <w:rFonts w:ascii="Abadi" w:hAnsi="Abadi" w:cs="*Arial-7545-Identity-H"/>
          <w:color w:val="0B0B0D"/>
          <w:sz w:val="21"/>
          <w:szCs w:val="21"/>
        </w:rPr>
        <w:t xml:space="preserve"> </w:t>
      </w:r>
      <w:r w:rsidRPr="00494B56">
        <w:rPr>
          <w:rFonts w:ascii="Abadi" w:hAnsi="Abadi" w:cs="*Arial-7545-Identity-H"/>
          <w:color w:val="0B0B0D"/>
          <w:sz w:val="21"/>
          <w:szCs w:val="21"/>
        </w:rPr>
        <w:t>normatividad aplicable en la materia, cumpliendo lo estipulado por el artículo 3 y el</w:t>
      </w:r>
      <w:r>
        <w:rPr>
          <w:rFonts w:ascii="Abadi" w:hAnsi="Abadi" w:cs="*Arial-7545-Identity-H"/>
          <w:color w:val="0B0B0D"/>
          <w:sz w:val="21"/>
          <w:szCs w:val="21"/>
        </w:rPr>
        <w:t xml:space="preserve"> </w:t>
      </w:r>
      <w:r w:rsidRPr="00494B56">
        <w:rPr>
          <w:rFonts w:ascii="Abadi" w:hAnsi="Abadi" w:cs="*Arial-7545-Identity-H"/>
          <w:color w:val="0B0B0D"/>
          <w:sz w:val="21"/>
          <w:szCs w:val="21"/>
        </w:rPr>
        <w:t>Capítulo VI del Título Segundo de la Ley de Fiscalización Superior del Estado de</w:t>
      </w:r>
      <w:r>
        <w:rPr>
          <w:rFonts w:ascii="Abadi" w:hAnsi="Abadi" w:cs="*Arial-7545-Identity-H"/>
          <w:color w:val="0B0B0D"/>
          <w:sz w:val="21"/>
          <w:szCs w:val="21"/>
        </w:rPr>
        <w:t xml:space="preserve"> </w:t>
      </w:r>
      <w:r w:rsidRPr="00494B56">
        <w:rPr>
          <w:rFonts w:ascii="Abadi" w:hAnsi="Abadi" w:cs="*Arial-7545-Identity-H"/>
          <w:color w:val="0B0B0D"/>
          <w:sz w:val="21"/>
          <w:szCs w:val="21"/>
        </w:rPr>
        <w:t>Guanajuato, así como el artículo 28 del Reglamento de dicha Ley.</w:t>
      </w:r>
    </w:p>
    <w:p w14:paraId="36386516" w14:textId="77777777" w:rsidR="002F42D9" w:rsidRPr="00494B56" w:rsidRDefault="002F42D9" w:rsidP="002F42D9">
      <w:pPr>
        <w:autoSpaceDE w:val="0"/>
        <w:autoSpaceDN w:val="0"/>
        <w:adjustRightInd w:val="0"/>
        <w:jc w:val="both"/>
        <w:rPr>
          <w:rFonts w:ascii="Abadi" w:hAnsi="Abadi" w:cs="*Arial-7545-Identity-H"/>
          <w:color w:val="0B0B0D"/>
          <w:sz w:val="21"/>
          <w:szCs w:val="21"/>
        </w:rPr>
      </w:pPr>
    </w:p>
    <w:p w14:paraId="2C8ACE97" w14:textId="77777777" w:rsidR="002F42D9" w:rsidRPr="00494B56" w:rsidRDefault="002F42D9" w:rsidP="002F42D9">
      <w:pPr>
        <w:autoSpaceDE w:val="0"/>
        <w:autoSpaceDN w:val="0"/>
        <w:adjustRightInd w:val="0"/>
        <w:ind w:firstLine="708"/>
        <w:jc w:val="both"/>
        <w:rPr>
          <w:rFonts w:ascii="Abadi" w:hAnsi="Abadi" w:cs="*Arial-7545-Identity-H"/>
          <w:color w:val="0D0C0F"/>
          <w:sz w:val="21"/>
          <w:szCs w:val="21"/>
        </w:rPr>
      </w:pPr>
      <w:r w:rsidRPr="00494B56">
        <w:rPr>
          <w:rFonts w:ascii="Abadi" w:hAnsi="Abadi" w:cs="*Arial-7545-Identity-H"/>
          <w:color w:val="0D0C0F"/>
          <w:sz w:val="21"/>
          <w:szCs w:val="21"/>
        </w:rPr>
        <w:t>Finalmente, es de destacar que el cumplimiento de los Objetivos del</w:t>
      </w:r>
      <w:r>
        <w:rPr>
          <w:rFonts w:ascii="Abadi" w:hAnsi="Abadi" w:cs="*Arial-7545-Identity-H"/>
          <w:color w:val="0D0C0F"/>
          <w:sz w:val="21"/>
          <w:szCs w:val="21"/>
        </w:rPr>
        <w:t xml:space="preserve"> </w:t>
      </w:r>
      <w:r w:rsidRPr="00494B56">
        <w:rPr>
          <w:rFonts w:ascii="Abadi" w:hAnsi="Abadi" w:cs="*Arial-7545-Identity-H"/>
          <w:color w:val="0D0C0F"/>
          <w:sz w:val="21"/>
          <w:szCs w:val="21"/>
        </w:rPr>
        <w:t>Desarrollo Sostenible de la Agenda 2030 está presente en el dictamen puesto a su</w:t>
      </w:r>
      <w:r>
        <w:rPr>
          <w:rFonts w:ascii="Abadi" w:hAnsi="Abadi" w:cs="*Arial-7545-Identity-H"/>
          <w:color w:val="0D0C0F"/>
          <w:sz w:val="21"/>
          <w:szCs w:val="21"/>
        </w:rPr>
        <w:t xml:space="preserve"> </w:t>
      </w:r>
      <w:r w:rsidRPr="00494B56">
        <w:rPr>
          <w:rFonts w:ascii="Abadi" w:hAnsi="Abadi" w:cs="*Arial-7545-Identity-H"/>
          <w:color w:val="0D0C0F"/>
          <w:sz w:val="21"/>
          <w:szCs w:val="21"/>
        </w:rPr>
        <w:t>consideración, pues el mismo incide de manera directa en el Objetivo 16</w:t>
      </w:r>
      <w:r>
        <w:rPr>
          <w:rFonts w:ascii="Abadi" w:hAnsi="Abadi" w:cs="*Arial-7545-Identity-H"/>
          <w:color w:val="0D0C0F"/>
          <w:sz w:val="21"/>
          <w:szCs w:val="21"/>
        </w:rPr>
        <w:t xml:space="preserve"> </w:t>
      </w:r>
      <w:r w:rsidRPr="00494B56">
        <w:rPr>
          <w:rFonts w:ascii="Abadi" w:hAnsi="Abadi" w:cs="*Arial-7545-Identity-H"/>
          <w:color w:val="0D0C0F"/>
          <w:sz w:val="21"/>
          <w:szCs w:val="21"/>
        </w:rPr>
        <w:t>denominado Paz, Justicia e Instituciones Sólidas. Promover sociedades justas,</w:t>
      </w:r>
      <w:r>
        <w:rPr>
          <w:rFonts w:ascii="Abadi" w:hAnsi="Abadi" w:cs="*Arial-7545-Identity-H"/>
          <w:color w:val="0D0C0F"/>
          <w:sz w:val="21"/>
          <w:szCs w:val="21"/>
        </w:rPr>
        <w:t xml:space="preserve"> </w:t>
      </w:r>
      <w:r w:rsidRPr="00494B56">
        <w:rPr>
          <w:rFonts w:ascii="Abadi" w:hAnsi="Abadi" w:cs="*Arial-7545-Identity-H"/>
          <w:color w:val="0D0C0F"/>
          <w:sz w:val="21"/>
          <w:szCs w:val="21"/>
        </w:rPr>
        <w:t>pacíficas e inclusivas, respecto a la meta 16.6 Crear a todos los niveles</w:t>
      </w:r>
      <w:r>
        <w:rPr>
          <w:rFonts w:ascii="Abadi" w:hAnsi="Abadi" w:cs="*Arial-7545-Identity-H"/>
          <w:color w:val="0D0C0F"/>
          <w:sz w:val="21"/>
          <w:szCs w:val="21"/>
        </w:rPr>
        <w:t xml:space="preserve"> </w:t>
      </w:r>
      <w:r w:rsidRPr="00494B56">
        <w:rPr>
          <w:rFonts w:ascii="Abadi" w:hAnsi="Abadi" w:cs="*Arial-7545-Identity-H"/>
          <w:color w:val="0D0C0F"/>
          <w:sz w:val="21"/>
          <w:szCs w:val="21"/>
        </w:rPr>
        <w:t>instituciones eficaces y transparentes, al abonar a la transparencia y rendición de</w:t>
      </w:r>
      <w:r>
        <w:rPr>
          <w:rFonts w:ascii="Abadi" w:hAnsi="Abadi" w:cs="*Arial-7545-Identity-H"/>
          <w:color w:val="0D0C0F"/>
          <w:sz w:val="21"/>
          <w:szCs w:val="21"/>
        </w:rPr>
        <w:t xml:space="preserve"> </w:t>
      </w:r>
      <w:r w:rsidRPr="00494B56">
        <w:rPr>
          <w:rFonts w:ascii="Abadi" w:hAnsi="Abadi" w:cs="*Arial-7545-Identity-H"/>
          <w:color w:val="0D0C0F"/>
          <w:sz w:val="21"/>
          <w:szCs w:val="21"/>
        </w:rPr>
        <w:t>cuentas.</w:t>
      </w:r>
    </w:p>
    <w:p w14:paraId="64244946" w14:textId="77777777" w:rsidR="002F42D9" w:rsidRPr="00494B56" w:rsidRDefault="002F42D9" w:rsidP="002F42D9">
      <w:pPr>
        <w:autoSpaceDE w:val="0"/>
        <w:autoSpaceDN w:val="0"/>
        <w:adjustRightInd w:val="0"/>
        <w:jc w:val="both"/>
        <w:rPr>
          <w:rFonts w:ascii="Abadi" w:hAnsi="Abadi" w:cs="*Arial-7545-Identity-H"/>
          <w:color w:val="0D0C0F"/>
          <w:sz w:val="21"/>
          <w:szCs w:val="21"/>
        </w:rPr>
      </w:pPr>
    </w:p>
    <w:p w14:paraId="5F1BFB23" w14:textId="77777777" w:rsidR="002F42D9" w:rsidRPr="00494B56" w:rsidRDefault="002F42D9" w:rsidP="002F42D9">
      <w:pPr>
        <w:autoSpaceDE w:val="0"/>
        <w:autoSpaceDN w:val="0"/>
        <w:adjustRightInd w:val="0"/>
        <w:ind w:firstLine="708"/>
        <w:jc w:val="both"/>
        <w:rPr>
          <w:rFonts w:ascii="Abadi" w:hAnsi="Abadi" w:cs="*Arial-7545-Identity-H"/>
          <w:color w:val="0D0D10"/>
          <w:sz w:val="21"/>
          <w:szCs w:val="21"/>
        </w:rPr>
      </w:pPr>
      <w:r w:rsidRPr="00494B56">
        <w:rPr>
          <w:rFonts w:ascii="Abadi" w:hAnsi="Abadi" w:cs="*Arial-7545-Identity-H"/>
          <w:color w:val="0D0D10"/>
          <w:sz w:val="21"/>
          <w:szCs w:val="21"/>
        </w:rPr>
        <w:t>En razón de lo anteriormente señalado, concluimos que el informe de</w:t>
      </w:r>
      <w:r>
        <w:rPr>
          <w:rFonts w:ascii="Abadi" w:hAnsi="Abadi" w:cs="*Arial-7545-Identity-H"/>
          <w:color w:val="0D0D10"/>
          <w:sz w:val="21"/>
          <w:szCs w:val="21"/>
        </w:rPr>
        <w:t xml:space="preserve"> </w:t>
      </w:r>
      <w:r w:rsidRPr="00494B56">
        <w:rPr>
          <w:rFonts w:ascii="Abadi" w:hAnsi="Abadi" w:cs="*Arial-7545-Identity-H"/>
          <w:color w:val="0D0D10"/>
          <w:sz w:val="21"/>
          <w:szCs w:val="21"/>
        </w:rPr>
        <w:t>resultados de la auditoria de desempeño practicada a la administración municipal</w:t>
      </w:r>
      <w:r>
        <w:rPr>
          <w:rFonts w:ascii="Abadi" w:hAnsi="Abadi" w:cs="*Arial-7545-Identity-H"/>
          <w:color w:val="0D0D10"/>
          <w:sz w:val="21"/>
          <w:szCs w:val="21"/>
        </w:rPr>
        <w:t xml:space="preserve"> </w:t>
      </w:r>
      <w:r w:rsidRPr="00494B56">
        <w:rPr>
          <w:rFonts w:ascii="Abadi" w:hAnsi="Abadi" w:cs="*Arial-7545-Identity-H"/>
          <w:color w:val="0D0D10"/>
          <w:sz w:val="21"/>
          <w:szCs w:val="21"/>
        </w:rPr>
        <w:t xml:space="preserve">de San Francisco del Rincón, </w:t>
      </w:r>
      <w:proofErr w:type="spellStart"/>
      <w:r w:rsidRPr="00494B56">
        <w:rPr>
          <w:rFonts w:ascii="Abadi" w:hAnsi="Abadi" w:cs="*Arial-7545-Identity-H"/>
          <w:color w:val="0D0D10"/>
          <w:sz w:val="21"/>
          <w:szCs w:val="21"/>
        </w:rPr>
        <w:t>Gto</w:t>
      </w:r>
      <w:proofErr w:type="spellEnd"/>
      <w:r w:rsidRPr="00494B56">
        <w:rPr>
          <w:rFonts w:ascii="Abadi" w:hAnsi="Abadi" w:cs="*Arial-7545-Identity-H"/>
          <w:color w:val="0D0D10"/>
          <w:sz w:val="21"/>
          <w:szCs w:val="21"/>
        </w:rPr>
        <w:t>., con enfoque a resultados del servicio de</w:t>
      </w:r>
      <w:r>
        <w:rPr>
          <w:rFonts w:ascii="Abadi" w:hAnsi="Abadi" w:cs="*Arial-7545-Identity-H"/>
          <w:color w:val="0D0D10"/>
          <w:sz w:val="21"/>
          <w:szCs w:val="21"/>
        </w:rPr>
        <w:t xml:space="preserve"> </w:t>
      </w:r>
      <w:r w:rsidRPr="00494B56">
        <w:rPr>
          <w:rFonts w:ascii="Abadi" w:hAnsi="Abadi" w:cs="*Arial-7545-Identity-H"/>
          <w:color w:val="0D0D10"/>
          <w:sz w:val="21"/>
          <w:szCs w:val="21"/>
        </w:rPr>
        <w:t>alumbrado público, por el ejercicio fiscal del año 2020, debe sancionarse por el</w:t>
      </w:r>
      <w:r>
        <w:rPr>
          <w:rFonts w:ascii="Abadi" w:hAnsi="Abadi" w:cs="*Arial-7545-Identity-H"/>
          <w:color w:val="0D0D10"/>
          <w:sz w:val="21"/>
          <w:szCs w:val="21"/>
        </w:rPr>
        <w:t xml:space="preserve"> </w:t>
      </w:r>
      <w:r w:rsidRPr="00494B56">
        <w:rPr>
          <w:rFonts w:ascii="Abadi" w:hAnsi="Abadi" w:cs="*Arial-7545-Identity-H"/>
          <w:color w:val="0D0D10"/>
          <w:sz w:val="21"/>
          <w:szCs w:val="21"/>
        </w:rPr>
        <w:t>Congreso en los términos presentados por la Auditoría Superior del Estado y</w:t>
      </w:r>
      <w:r>
        <w:rPr>
          <w:rFonts w:ascii="Abadi" w:hAnsi="Abadi" w:cs="*Arial-7545-Identity-H"/>
          <w:color w:val="0D0D10"/>
          <w:sz w:val="21"/>
          <w:szCs w:val="21"/>
        </w:rPr>
        <w:t xml:space="preserve"> </w:t>
      </w:r>
      <w:r w:rsidRPr="00494B56">
        <w:rPr>
          <w:rFonts w:ascii="Abadi" w:hAnsi="Abadi" w:cs="*Arial-7545-Identity-H"/>
          <w:color w:val="0D0D10"/>
          <w:sz w:val="21"/>
          <w:szCs w:val="21"/>
        </w:rPr>
        <w:t>proceder a su aprobación, considerando que no se presenta el supuesto contenido</w:t>
      </w:r>
      <w:r>
        <w:rPr>
          <w:rFonts w:ascii="Abadi" w:hAnsi="Abadi" w:cs="*Arial-7545-Identity-H"/>
          <w:color w:val="0D0D10"/>
          <w:sz w:val="21"/>
          <w:szCs w:val="21"/>
        </w:rPr>
        <w:t xml:space="preserve"> </w:t>
      </w:r>
      <w:r w:rsidRPr="00494B56">
        <w:rPr>
          <w:rFonts w:ascii="Abadi" w:hAnsi="Abadi" w:cs="*Arial-7545-Identity-H"/>
          <w:color w:val="0D0D10"/>
          <w:sz w:val="21"/>
          <w:szCs w:val="21"/>
        </w:rPr>
        <w:t>en el artículo 38 de la Ley de Fiscalización Superior del Estado de Guanajuato,</w:t>
      </w:r>
      <w:r>
        <w:rPr>
          <w:rFonts w:ascii="Abadi" w:hAnsi="Abadi" w:cs="*Arial-7545-Identity-H"/>
          <w:color w:val="0D0D10"/>
          <w:sz w:val="21"/>
          <w:szCs w:val="21"/>
        </w:rPr>
        <w:t xml:space="preserve"> </w:t>
      </w:r>
      <w:r w:rsidRPr="00494B56">
        <w:rPr>
          <w:rFonts w:ascii="Abadi" w:hAnsi="Abadi" w:cs="*Arial-7545-Identity-H"/>
          <w:color w:val="0D0D10"/>
          <w:sz w:val="21"/>
          <w:szCs w:val="21"/>
        </w:rPr>
        <w:t>razón por la cual no podría ser observado por el Pleno del Congreso.</w:t>
      </w:r>
    </w:p>
    <w:p w14:paraId="4F7E5F75" w14:textId="77777777" w:rsidR="002F42D9" w:rsidRPr="00494B56" w:rsidRDefault="002F42D9" w:rsidP="002F42D9">
      <w:pPr>
        <w:autoSpaceDE w:val="0"/>
        <w:autoSpaceDN w:val="0"/>
        <w:adjustRightInd w:val="0"/>
        <w:jc w:val="both"/>
        <w:rPr>
          <w:rFonts w:ascii="Abadi" w:hAnsi="Abadi" w:cs="*Arial-7545-Identity-H"/>
          <w:color w:val="0D0D10"/>
          <w:sz w:val="21"/>
          <w:szCs w:val="21"/>
        </w:rPr>
      </w:pPr>
    </w:p>
    <w:p w14:paraId="3E20DB01" w14:textId="77777777" w:rsidR="002F42D9" w:rsidRPr="00494B56" w:rsidRDefault="002F42D9" w:rsidP="002F42D9">
      <w:pPr>
        <w:autoSpaceDE w:val="0"/>
        <w:autoSpaceDN w:val="0"/>
        <w:adjustRightInd w:val="0"/>
        <w:ind w:firstLine="708"/>
        <w:jc w:val="both"/>
        <w:rPr>
          <w:rFonts w:ascii="Abadi" w:hAnsi="Abadi" w:cs="*Arial-7545-Identity-H"/>
          <w:color w:val="0C0C0F"/>
          <w:sz w:val="21"/>
          <w:szCs w:val="21"/>
        </w:rPr>
      </w:pPr>
      <w:r w:rsidRPr="00494B56">
        <w:rPr>
          <w:rFonts w:ascii="Abadi" w:hAnsi="Abadi" w:cs="*Arial-7545-Identity-H"/>
          <w:color w:val="0C0C0F"/>
          <w:sz w:val="21"/>
          <w:szCs w:val="21"/>
        </w:rPr>
        <w:t>Por lo expuesto, con fundamento en el artículo 204 de la Ley Orgánica del</w:t>
      </w:r>
      <w:r>
        <w:rPr>
          <w:rFonts w:ascii="Abadi" w:hAnsi="Abadi" w:cs="*Arial-7545-Identity-H"/>
          <w:color w:val="0C0C0F"/>
          <w:sz w:val="21"/>
          <w:szCs w:val="21"/>
        </w:rPr>
        <w:t xml:space="preserve"> </w:t>
      </w:r>
      <w:r w:rsidRPr="00494B56">
        <w:rPr>
          <w:rFonts w:ascii="Abadi" w:hAnsi="Abadi" w:cs="*Arial-7545-Identity-H"/>
          <w:color w:val="0C0C0F"/>
          <w:sz w:val="21"/>
          <w:szCs w:val="21"/>
        </w:rPr>
        <w:t>Poder Legislativo, nos permitimos someter a la consideración de la Asamblea, la</w:t>
      </w:r>
      <w:r>
        <w:rPr>
          <w:rFonts w:ascii="Abadi" w:hAnsi="Abadi" w:cs="*Arial-7545-Identity-H"/>
          <w:color w:val="0C0C0F"/>
          <w:sz w:val="21"/>
          <w:szCs w:val="21"/>
        </w:rPr>
        <w:t xml:space="preserve"> </w:t>
      </w:r>
      <w:r w:rsidRPr="00494B56">
        <w:rPr>
          <w:rFonts w:ascii="Abadi" w:hAnsi="Abadi" w:cs="*Arial-7545-Identity-H"/>
          <w:color w:val="0C0C0F"/>
          <w:sz w:val="21"/>
          <w:szCs w:val="21"/>
        </w:rPr>
        <w:t>aprobación del siguiente:</w:t>
      </w:r>
    </w:p>
    <w:p w14:paraId="0D7E847E" w14:textId="77777777" w:rsidR="002F42D9" w:rsidRPr="00494B56" w:rsidRDefault="002F42D9" w:rsidP="002F42D9">
      <w:pPr>
        <w:autoSpaceDE w:val="0"/>
        <w:autoSpaceDN w:val="0"/>
        <w:adjustRightInd w:val="0"/>
        <w:jc w:val="both"/>
        <w:rPr>
          <w:rFonts w:ascii="Abadi" w:hAnsi="Abadi" w:cs="*Arial-7545-Identity-H"/>
          <w:color w:val="0C0C0F"/>
          <w:sz w:val="21"/>
          <w:szCs w:val="21"/>
        </w:rPr>
      </w:pPr>
    </w:p>
    <w:p w14:paraId="49AD820E" w14:textId="3A93E53A" w:rsidR="002F42D9" w:rsidRPr="00494B56" w:rsidRDefault="002F42D9" w:rsidP="001D0387">
      <w:pPr>
        <w:autoSpaceDE w:val="0"/>
        <w:autoSpaceDN w:val="0"/>
        <w:adjustRightInd w:val="0"/>
        <w:jc w:val="center"/>
        <w:rPr>
          <w:rFonts w:ascii="Abadi" w:hAnsi="Abadi" w:cs="*Arial-Bold-7547-Identity-H"/>
          <w:b/>
          <w:bCs/>
          <w:color w:val="0F0E14"/>
          <w:sz w:val="21"/>
          <w:szCs w:val="21"/>
        </w:rPr>
      </w:pPr>
      <w:r w:rsidRPr="00494B56">
        <w:rPr>
          <w:rFonts w:ascii="Abadi" w:hAnsi="Abadi" w:cs="*Arial-Bold-7547-Identity-H"/>
          <w:b/>
          <w:bCs/>
          <w:color w:val="0F0E14"/>
          <w:sz w:val="21"/>
          <w:szCs w:val="21"/>
        </w:rPr>
        <w:t>ACUERDO</w:t>
      </w:r>
    </w:p>
    <w:p w14:paraId="20633A57" w14:textId="77777777" w:rsidR="002F42D9" w:rsidRPr="00494B56" w:rsidRDefault="002F42D9" w:rsidP="002F42D9">
      <w:pPr>
        <w:autoSpaceDE w:val="0"/>
        <w:autoSpaceDN w:val="0"/>
        <w:adjustRightInd w:val="0"/>
        <w:jc w:val="both"/>
        <w:rPr>
          <w:rFonts w:ascii="Abadi" w:hAnsi="Abadi" w:cs="*Arial-Bold-7547-Identity-H"/>
          <w:b/>
          <w:bCs/>
          <w:color w:val="0F0E14"/>
          <w:sz w:val="21"/>
          <w:szCs w:val="21"/>
        </w:rPr>
      </w:pPr>
    </w:p>
    <w:p w14:paraId="19C1DA9F" w14:textId="77777777" w:rsidR="002F42D9" w:rsidRPr="00494B56" w:rsidRDefault="002F42D9" w:rsidP="002F42D9">
      <w:pPr>
        <w:autoSpaceDE w:val="0"/>
        <w:autoSpaceDN w:val="0"/>
        <w:adjustRightInd w:val="0"/>
        <w:ind w:firstLine="708"/>
        <w:jc w:val="both"/>
        <w:rPr>
          <w:rFonts w:ascii="Abadi" w:hAnsi="Abadi" w:cs="*Arial-7545-Identity-H"/>
          <w:color w:val="0B0B0E"/>
          <w:sz w:val="21"/>
          <w:szCs w:val="21"/>
        </w:rPr>
      </w:pPr>
      <w:r w:rsidRPr="00494B56">
        <w:rPr>
          <w:rFonts w:ascii="Abadi" w:hAnsi="Abadi" w:cs="*Arial-Bold-7546-Identity-H"/>
          <w:b/>
          <w:bCs/>
          <w:color w:val="0B0B0E"/>
          <w:sz w:val="21"/>
          <w:szCs w:val="21"/>
        </w:rPr>
        <w:t xml:space="preserve">Único. </w:t>
      </w:r>
      <w:r w:rsidRPr="00494B56">
        <w:rPr>
          <w:rFonts w:ascii="Abadi" w:hAnsi="Abadi" w:cs="*Arial-7545-Identity-H"/>
          <w:color w:val="0B0B0E"/>
          <w:sz w:val="21"/>
          <w:szCs w:val="21"/>
        </w:rPr>
        <w:t>Con fundamento en el artículo 63 fracción XIX de la Constitución</w:t>
      </w:r>
      <w:r>
        <w:rPr>
          <w:rFonts w:ascii="Abadi" w:hAnsi="Abadi" w:cs="*Arial-7545-Identity-H"/>
          <w:color w:val="0B0B0E"/>
          <w:sz w:val="21"/>
          <w:szCs w:val="21"/>
        </w:rPr>
        <w:t xml:space="preserve"> </w:t>
      </w:r>
      <w:r w:rsidRPr="00494B56">
        <w:rPr>
          <w:rFonts w:ascii="Abadi" w:hAnsi="Abadi" w:cs="*Arial-7545-Identity-H"/>
          <w:color w:val="0B0B0E"/>
          <w:sz w:val="21"/>
          <w:szCs w:val="21"/>
        </w:rPr>
        <w:t>Política para el Estado, en relación con los artículos 3, fracción V, 5, fracción IV,</w:t>
      </w:r>
      <w:r>
        <w:rPr>
          <w:rFonts w:ascii="Abadi" w:hAnsi="Abadi" w:cs="*Arial-7545-Identity-H"/>
          <w:color w:val="0B0B0E"/>
          <w:sz w:val="21"/>
          <w:szCs w:val="21"/>
        </w:rPr>
        <w:t xml:space="preserve"> </w:t>
      </w:r>
      <w:r w:rsidRPr="00494B56">
        <w:rPr>
          <w:rFonts w:ascii="Abadi" w:hAnsi="Abadi" w:cs="*Arial-7545-Identity-H"/>
          <w:color w:val="0B0B0E"/>
          <w:sz w:val="21"/>
          <w:szCs w:val="21"/>
        </w:rPr>
        <w:t>56, 59 y 60 de la Ley de Fiscalización Superior del Estado de Guanajuato y 28 del</w:t>
      </w:r>
      <w:r>
        <w:rPr>
          <w:rFonts w:ascii="Abadi" w:hAnsi="Abadi" w:cs="*Arial-7545-Identity-H"/>
          <w:color w:val="0B0B0E"/>
          <w:sz w:val="21"/>
          <w:szCs w:val="21"/>
        </w:rPr>
        <w:t xml:space="preserve"> </w:t>
      </w:r>
      <w:r w:rsidRPr="00494B56">
        <w:rPr>
          <w:rFonts w:ascii="Abadi" w:hAnsi="Abadi" w:cs="*Arial-7545-Identity-H"/>
          <w:color w:val="0B0B0E"/>
          <w:sz w:val="21"/>
          <w:szCs w:val="21"/>
        </w:rPr>
        <w:t>Reglamento de la Ley de Fiscalización Superior del Estado de Guanajuato, se</w:t>
      </w:r>
      <w:r>
        <w:rPr>
          <w:rFonts w:ascii="Abadi" w:hAnsi="Abadi" w:cs="*Arial-7545-Identity-H"/>
          <w:color w:val="0B0B0E"/>
          <w:sz w:val="21"/>
          <w:szCs w:val="21"/>
        </w:rPr>
        <w:t xml:space="preserve"> </w:t>
      </w:r>
      <w:r w:rsidRPr="00494B56">
        <w:rPr>
          <w:rFonts w:ascii="Abadi" w:hAnsi="Abadi" w:cs="*Arial-7545-Identity-H"/>
          <w:color w:val="0B0B0E"/>
          <w:sz w:val="21"/>
          <w:szCs w:val="21"/>
        </w:rPr>
        <w:t>aprueba el informe de resultados formulado por la Auditoría Superior del Estado</w:t>
      </w:r>
      <w:r>
        <w:rPr>
          <w:rFonts w:ascii="Abadi" w:hAnsi="Abadi" w:cs="*Arial-7545-Identity-H"/>
          <w:color w:val="0B0B0E"/>
          <w:sz w:val="21"/>
          <w:szCs w:val="21"/>
        </w:rPr>
        <w:t xml:space="preserve"> </w:t>
      </w:r>
      <w:r w:rsidRPr="00494B56">
        <w:rPr>
          <w:rFonts w:ascii="Abadi" w:hAnsi="Abadi" w:cs="*Arial-7545-Identity-H"/>
          <w:color w:val="0B0B0E"/>
          <w:sz w:val="21"/>
          <w:szCs w:val="21"/>
        </w:rPr>
        <w:t>de Guanajuato, de la auditoria de desempeño practicada a la administración</w:t>
      </w:r>
      <w:r>
        <w:rPr>
          <w:rFonts w:ascii="Abadi" w:hAnsi="Abadi" w:cs="*Arial-7545-Identity-H"/>
          <w:color w:val="0B0B0E"/>
          <w:sz w:val="21"/>
          <w:szCs w:val="21"/>
        </w:rPr>
        <w:t xml:space="preserve"> </w:t>
      </w:r>
      <w:r w:rsidRPr="00494B56">
        <w:rPr>
          <w:rFonts w:ascii="Abadi" w:hAnsi="Abadi" w:cs="*Arial-7545-Identity-H"/>
          <w:color w:val="0B0B0E"/>
          <w:sz w:val="21"/>
          <w:szCs w:val="21"/>
        </w:rPr>
        <w:t xml:space="preserve">municipal de San Francisco del Rincón, </w:t>
      </w:r>
      <w:proofErr w:type="spellStart"/>
      <w:r w:rsidRPr="00494B56">
        <w:rPr>
          <w:rFonts w:ascii="Abadi" w:hAnsi="Abadi" w:cs="*Arial-7545-Identity-H"/>
          <w:color w:val="0B0B0E"/>
          <w:sz w:val="21"/>
          <w:szCs w:val="21"/>
        </w:rPr>
        <w:t>Gto</w:t>
      </w:r>
      <w:proofErr w:type="spellEnd"/>
      <w:r w:rsidRPr="00494B56">
        <w:rPr>
          <w:rFonts w:ascii="Abadi" w:hAnsi="Abadi" w:cs="*Arial-7545-Identity-H"/>
          <w:color w:val="0B0B0E"/>
          <w:sz w:val="21"/>
          <w:szCs w:val="21"/>
        </w:rPr>
        <w:t>., con enfoque a resultados del servicio</w:t>
      </w:r>
    </w:p>
    <w:p w14:paraId="3CECD663" w14:textId="77777777" w:rsidR="002F42D9" w:rsidRPr="00494B56" w:rsidRDefault="002F42D9" w:rsidP="002F42D9">
      <w:pPr>
        <w:autoSpaceDE w:val="0"/>
        <w:autoSpaceDN w:val="0"/>
        <w:adjustRightInd w:val="0"/>
        <w:jc w:val="both"/>
        <w:rPr>
          <w:rFonts w:ascii="Abadi" w:hAnsi="Abadi" w:cs="*Calibri-Bold-6791-Identity-H"/>
          <w:b/>
          <w:bCs/>
          <w:color w:val="24232D"/>
          <w:sz w:val="21"/>
          <w:szCs w:val="21"/>
        </w:rPr>
      </w:pPr>
    </w:p>
    <w:p w14:paraId="64E95886" w14:textId="77777777" w:rsidR="002F42D9" w:rsidRPr="00494B56" w:rsidRDefault="002F42D9" w:rsidP="002F42D9">
      <w:pPr>
        <w:autoSpaceDE w:val="0"/>
        <w:autoSpaceDN w:val="0"/>
        <w:adjustRightInd w:val="0"/>
        <w:jc w:val="both"/>
        <w:rPr>
          <w:rFonts w:ascii="Abadi" w:hAnsi="Abadi" w:cs="*Arial-6794-Identity-H"/>
          <w:color w:val="0D0D0F"/>
          <w:sz w:val="21"/>
          <w:szCs w:val="21"/>
        </w:rPr>
      </w:pPr>
      <w:r w:rsidRPr="00494B56">
        <w:rPr>
          <w:rFonts w:ascii="Abadi" w:hAnsi="Abadi" w:cs="*Arial-6794-Identity-H"/>
          <w:color w:val="0D0D0F"/>
          <w:sz w:val="21"/>
          <w:szCs w:val="21"/>
        </w:rPr>
        <w:t>de alumbrado público, por el periodo comprendido del 1 de enero al 31 de</w:t>
      </w:r>
      <w:r>
        <w:rPr>
          <w:rFonts w:ascii="Abadi" w:hAnsi="Abadi" w:cs="*Arial-6794-Identity-H"/>
          <w:color w:val="0D0D0F"/>
          <w:sz w:val="21"/>
          <w:szCs w:val="21"/>
        </w:rPr>
        <w:t xml:space="preserve"> </w:t>
      </w:r>
      <w:r w:rsidRPr="00494B56">
        <w:rPr>
          <w:rFonts w:ascii="Abadi" w:hAnsi="Abadi" w:cs="*Arial-6794-Identity-H"/>
          <w:color w:val="0D0D0F"/>
          <w:sz w:val="21"/>
          <w:szCs w:val="21"/>
        </w:rPr>
        <w:t>diciembre del ejercicio fiscal del afio 2020.</w:t>
      </w:r>
    </w:p>
    <w:p w14:paraId="66F5EE3C" w14:textId="77777777" w:rsidR="002F42D9" w:rsidRPr="00494B56" w:rsidRDefault="002F42D9" w:rsidP="002F42D9">
      <w:pPr>
        <w:autoSpaceDE w:val="0"/>
        <w:autoSpaceDN w:val="0"/>
        <w:adjustRightInd w:val="0"/>
        <w:jc w:val="both"/>
        <w:rPr>
          <w:rFonts w:ascii="Abadi" w:hAnsi="Abadi" w:cs="*Arial-6794-Identity-H"/>
          <w:color w:val="0D0D0F"/>
          <w:sz w:val="21"/>
          <w:szCs w:val="21"/>
        </w:rPr>
      </w:pPr>
    </w:p>
    <w:p w14:paraId="03C160AC" w14:textId="77777777" w:rsidR="002F42D9" w:rsidRPr="00494B56" w:rsidRDefault="002F42D9" w:rsidP="002F42D9">
      <w:pPr>
        <w:autoSpaceDE w:val="0"/>
        <w:autoSpaceDN w:val="0"/>
        <w:adjustRightInd w:val="0"/>
        <w:ind w:firstLine="708"/>
        <w:jc w:val="both"/>
        <w:rPr>
          <w:rFonts w:ascii="Abadi" w:hAnsi="Abadi" w:cs="*Arial-6794-Identity-H"/>
          <w:color w:val="0C0C0F"/>
          <w:sz w:val="21"/>
          <w:szCs w:val="21"/>
        </w:rPr>
      </w:pPr>
      <w:r w:rsidRPr="00494B56">
        <w:rPr>
          <w:rFonts w:ascii="Abadi" w:hAnsi="Abadi" w:cs="*Arial-6794-Identity-H"/>
          <w:color w:val="0C0C0F"/>
          <w:sz w:val="21"/>
          <w:szCs w:val="21"/>
        </w:rPr>
        <w:t>Se ordena dar vista del informe de resultados al ayuntamiento del municipio</w:t>
      </w:r>
    </w:p>
    <w:p w14:paraId="2CA6570A" w14:textId="77777777" w:rsidR="002F42D9" w:rsidRPr="00494B56" w:rsidRDefault="002F42D9" w:rsidP="002F42D9">
      <w:pPr>
        <w:autoSpaceDE w:val="0"/>
        <w:autoSpaceDN w:val="0"/>
        <w:adjustRightInd w:val="0"/>
        <w:jc w:val="both"/>
        <w:rPr>
          <w:rFonts w:ascii="Abadi" w:hAnsi="Abadi" w:cs="*Arial-6794-Identity-H"/>
          <w:color w:val="0C0C0F"/>
          <w:sz w:val="21"/>
          <w:szCs w:val="21"/>
        </w:rPr>
      </w:pPr>
      <w:r w:rsidRPr="00494B56">
        <w:rPr>
          <w:rFonts w:ascii="Abadi" w:hAnsi="Abadi" w:cs="*Arial-6794-Identity-H"/>
          <w:color w:val="0C0C0F"/>
          <w:sz w:val="21"/>
          <w:szCs w:val="21"/>
        </w:rPr>
        <w:t xml:space="preserve">de San Francisco del Rincón, </w:t>
      </w:r>
      <w:proofErr w:type="spellStart"/>
      <w:r w:rsidRPr="00494B56">
        <w:rPr>
          <w:rFonts w:ascii="Abadi" w:hAnsi="Abadi" w:cs="*Arial-6794-Identity-H"/>
          <w:color w:val="0C0C0F"/>
          <w:sz w:val="21"/>
          <w:szCs w:val="21"/>
        </w:rPr>
        <w:t>Gto</w:t>
      </w:r>
      <w:proofErr w:type="spellEnd"/>
      <w:r w:rsidRPr="00494B56">
        <w:rPr>
          <w:rFonts w:ascii="Abadi" w:hAnsi="Abadi" w:cs="*Arial-6794-Identity-H"/>
          <w:color w:val="0C0C0F"/>
          <w:sz w:val="21"/>
          <w:szCs w:val="21"/>
        </w:rPr>
        <w:t>., a efecto de que se atiendan las</w:t>
      </w:r>
      <w:r>
        <w:rPr>
          <w:rFonts w:ascii="Abadi" w:hAnsi="Abadi" w:cs="*Arial-6794-Identity-H"/>
          <w:color w:val="0C0C0F"/>
          <w:sz w:val="21"/>
          <w:szCs w:val="21"/>
        </w:rPr>
        <w:t xml:space="preserve"> </w:t>
      </w:r>
      <w:r w:rsidRPr="00494B56">
        <w:rPr>
          <w:rFonts w:ascii="Abadi" w:hAnsi="Abadi" w:cs="*Arial-6794-Identity-H"/>
          <w:color w:val="0C0C0F"/>
          <w:sz w:val="21"/>
          <w:szCs w:val="21"/>
        </w:rPr>
        <w:t>recomendaciones contenidas en el informe de resultados, informando a la</w:t>
      </w:r>
      <w:r>
        <w:rPr>
          <w:rFonts w:ascii="Abadi" w:hAnsi="Abadi" w:cs="*Arial-6794-Identity-H"/>
          <w:color w:val="0C0C0F"/>
          <w:sz w:val="21"/>
          <w:szCs w:val="21"/>
        </w:rPr>
        <w:t xml:space="preserve"> </w:t>
      </w:r>
      <w:r w:rsidRPr="00494B56">
        <w:rPr>
          <w:rFonts w:ascii="Abadi" w:hAnsi="Abadi" w:cs="*Arial-6794-Identity-H"/>
          <w:color w:val="0C0C0F"/>
          <w:sz w:val="21"/>
          <w:szCs w:val="21"/>
        </w:rPr>
        <w:t>Auditoría Superior del Estado de las acciones realizadas para ello, con objeto de</w:t>
      </w:r>
      <w:r>
        <w:rPr>
          <w:rFonts w:ascii="Abadi" w:hAnsi="Abadi" w:cs="*Arial-6794-Identity-H"/>
          <w:color w:val="0C0C0F"/>
          <w:sz w:val="21"/>
          <w:szCs w:val="21"/>
        </w:rPr>
        <w:t xml:space="preserve"> </w:t>
      </w:r>
      <w:r w:rsidRPr="00494B56">
        <w:rPr>
          <w:rFonts w:ascii="Abadi" w:hAnsi="Abadi" w:cs="*Arial-6794-Identity-H"/>
          <w:color w:val="0C0C0F"/>
          <w:sz w:val="21"/>
          <w:szCs w:val="21"/>
        </w:rPr>
        <w:t>que esta última realice el seguimiento correspondiente, previsto en los articules</w:t>
      </w:r>
      <w:r>
        <w:rPr>
          <w:rFonts w:ascii="Abadi" w:hAnsi="Abadi" w:cs="*Arial-6794-Identity-H"/>
          <w:color w:val="0C0C0F"/>
          <w:sz w:val="21"/>
          <w:szCs w:val="21"/>
        </w:rPr>
        <w:t xml:space="preserve"> </w:t>
      </w:r>
      <w:r w:rsidRPr="00494B56">
        <w:rPr>
          <w:rFonts w:ascii="Abadi" w:hAnsi="Abadi" w:cs="*Arial-6794-Identity-H"/>
          <w:color w:val="0C0C0F"/>
          <w:sz w:val="21"/>
          <w:szCs w:val="21"/>
        </w:rPr>
        <w:t>37, fracción VII, 65 y 66 de la Ley de Fiscalización Superior del Estado de</w:t>
      </w:r>
      <w:r>
        <w:rPr>
          <w:rFonts w:ascii="Abadi" w:hAnsi="Abadi" w:cs="*Arial-6794-Identity-H"/>
          <w:color w:val="0C0C0F"/>
          <w:sz w:val="21"/>
          <w:szCs w:val="21"/>
        </w:rPr>
        <w:t xml:space="preserve"> </w:t>
      </w:r>
      <w:r w:rsidRPr="00494B56">
        <w:rPr>
          <w:rFonts w:ascii="Abadi" w:hAnsi="Abadi" w:cs="*Arial-6794-Identity-H"/>
          <w:color w:val="0C0C0F"/>
          <w:sz w:val="21"/>
          <w:szCs w:val="21"/>
        </w:rPr>
        <w:t>Guanajuato y 77 del Reglamento de dicha Ley.</w:t>
      </w:r>
    </w:p>
    <w:p w14:paraId="0465E916" w14:textId="77777777" w:rsidR="002F42D9" w:rsidRPr="00494B56" w:rsidRDefault="002F42D9" w:rsidP="002F42D9">
      <w:pPr>
        <w:autoSpaceDE w:val="0"/>
        <w:autoSpaceDN w:val="0"/>
        <w:adjustRightInd w:val="0"/>
        <w:jc w:val="both"/>
        <w:rPr>
          <w:rFonts w:ascii="Abadi" w:hAnsi="Abadi" w:cs="*Arial-6794-Identity-H"/>
          <w:color w:val="0C0C0F"/>
          <w:sz w:val="21"/>
          <w:szCs w:val="21"/>
        </w:rPr>
      </w:pPr>
    </w:p>
    <w:p w14:paraId="54ABAB49" w14:textId="678BA259" w:rsidR="002F42D9" w:rsidRPr="00494B56" w:rsidRDefault="002F42D9" w:rsidP="002F42D9">
      <w:pPr>
        <w:autoSpaceDE w:val="0"/>
        <w:autoSpaceDN w:val="0"/>
        <w:adjustRightInd w:val="0"/>
        <w:ind w:firstLine="708"/>
        <w:jc w:val="both"/>
        <w:rPr>
          <w:rFonts w:ascii="Abadi" w:hAnsi="Abadi" w:cs="*Arial-6794-Identity-H"/>
          <w:color w:val="0C0C0F"/>
          <w:sz w:val="21"/>
          <w:szCs w:val="21"/>
        </w:rPr>
      </w:pPr>
      <w:r w:rsidRPr="00494B56">
        <w:rPr>
          <w:rFonts w:ascii="Abadi" w:hAnsi="Abadi" w:cs="*Arial-6794-Identity-H"/>
          <w:color w:val="0C0C0F"/>
          <w:sz w:val="21"/>
          <w:szCs w:val="21"/>
        </w:rPr>
        <w:t>De conformidad con el artículo 37, fracción VI de la Ley de Fiscalización</w:t>
      </w:r>
      <w:r>
        <w:rPr>
          <w:rFonts w:ascii="Abadi" w:hAnsi="Abadi" w:cs="*Arial-6794-Identity-H"/>
          <w:color w:val="0C0C0F"/>
          <w:sz w:val="21"/>
          <w:szCs w:val="21"/>
        </w:rPr>
        <w:t xml:space="preserve"> </w:t>
      </w:r>
      <w:r w:rsidRPr="00494B56">
        <w:rPr>
          <w:rFonts w:ascii="Abadi" w:hAnsi="Abadi" w:cs="*Arial-6794-Identity-H"/>
          <w:color w:val="0C0C0F"/>
          <w:sz w:val="21"/>
          <w:szCs w:val="21"/>
        </w:rPr>
        <w:t>Superior del Estado de Guanajuato, remítase el p</w:t>
      </w:r>
      <w:r w:rsidR="005141E1">
        <w:rPr>
          <w:rFonts w:ascii="Abadi" w:hAnsi="Abadi" w:cs="*Arial-6794-Identity-H"/>
          <w:color w:val="0C0C0F"/>
          <w:sz w:val="21"/>
          <w:szCs w:val="21"/>
        </w:rPr>
        <w:t>o</w:t>
      </w:r>
      <w:r w:rsidRPr="00494B56">
        <w:rPr>
          <w:rFonts w:ascii="Abadi" w:hAnsi="Abadi" w:cs="*Arial-6794-Identity-H"/>
          <w:color w:val="0C0C0F"/>
          <w:sz w:val="21"/>
          <w:szCs w:val="21"/>
        </w:rPr>
        <w:t>r ente acuerdo junto con su</w:t>
      </w:r>
      <w:r>
        <w:rPr>
          <w:rFonts w:ascii="Abadi" w:hAnsi="Abadi" w:cs="*Arial-6794-Identity-H"/>
          <w:color w:val="0C0C0F"/>
          <w:sz w:val="21"/>
          <w:szCs w:val="21"/>
        </w:rPr>
        <w:t xml:space="preserve"> </w:t>
      </w:r>
      <w:r w:rsidRPr="00494B56">
        <w:rPr>
          <w:rFonts w:ascii="Abadi" w:hAnsi="Abadi" w:cs="*Arial-6794-Identity-H"/>
          <w:color w:val="0C0C0F"/>
          <w:sz w:val="21"/>
          <w:szCs w:val="21"/>
        </w:rPr>
        <w:t>dictamen y el informe de resultados a la Audi ría Superior del Estado, para</w:t>
      </w:r>
      <w:r>
        <w:rPr>
          <w:rFonts w:ascii="Abadi" w:hAnsi="Abadi" w:cs="*Arial-6794-Identity-H"/>
          <w:color w:val="0C0C0F"/>
          <w:sz w:val="21"/>
          <w:szCs w:val="21"/>
        </w:rPr>
        <w:t xml:space="preserve"> </w:t>
      </w:r>
      <w:r w:rsidRPr="00494B56">
        <w:rPr>
          <w:rFonts w:ascii="Abadi" w:hAnsi="Abadi" w:cs="*Arial-6794-Identity-H"/>
          <w:color w:val="0C0C0F"/>
          <w:sz w:val="21"/>
          <w:szCs w:val="21"/>
        </w:rPr>
        <w:t>efectos de su notificación.</w:t>
      </w:r>
    </w:p>
    <w:p w14:paraId="58D6F57F" w14:textId="77777777" w:rsidR="002F42D9" w:rsidRDefault="002F42D9" w:rsidP="002F42D9">
      <w:pPr>
        <w:jc w:val="both"/>
        <w:rPr>
          <w:rFonts w:ascii="Abadi" w:hAnsi="Abadi"/>
          <w:sz w:val="21"/>
          <w:szCs w:val="21"/>
        </w:rPr>
      </w:pPr>
    </w:p>
    <w:p w14:paraId="206D5CE3" w14:textId="77777777" w:rsidR="004020F7" w:rsidRPr="009E34BC" w:rsidRDefault="004020F7" w:rsidP="004020F7">
      <w:pPr>
        <w:autoSpaceDE w:val="0"/>
        <w:autoSpaceDN w:val="0"/>
        <w:adjustRightInd w:val="0"/>
        <w:jc w:val="center"/>
        <w:rPr>
          <w:rFonts w:ascii="Abadi" w:hAnsi="Abadi" w:cs="*Arial-Bold-4914-Identity-H"/>
          <w:b/>
          <w:bCs/>
          <w:color w:val="0E0D12"/>
          <w:sz w:val="21"/>
          <w:szCs w:val="21"/>
        </w:rPr>
      </w:pPr>
      <w:r w:rsidRPr="009E34BC">
        <w:rPr>
          <w:rFonts w:ascii="Abadi" w:hAnsi="Abadi" w:cs="*Arial-Bold-4914-Identity-H"/>
          <w:b/>
          <w:bCs/>
          <w:color w:val="0E0D12"/>
          <w:sz w:val="21"/>
          <w:szCs w:val="21"/>
        </w:rPr>
        <w:t xml:space="preserve">Guanajuato, </w:t>
      </w:r>
      <w:proofErr w:type="spellStart"/>
      <w:r w:rsidRPr="009E34BC">
        <w:rPr>
          <w:rFonts w:ascii="Abadi" w:hAnsi="Abadi" w:cs="*Arial-Bold-4914-Identity-H"/>
          <w:b/>
          <w:bCs/>
          <w:color w:val="0E0D12"/>
          <w:sz w:val="21"/>
          <w:szCs w:val="21"/>
        </w:rPr>
        <w:t>Gto</w:t>
      </w:r>
      <w:proofErr w:type="spellEnd"/>
      <w:r w:rsidRPr="009E34BC">
        <w:rPr>
          <w:rFonts w:ascii="Abadi" w:hAnsi="Abadi" w:cs="*Arial-Bold-4914-Identity-H"/>
          <w:b/>
          <w:bCs/>
          <w:color w:val="0E0D12"/>
          <w:sz w:val="21"/>
          <w:szCs w:val="21"/>
        </w:rPr>
        <w:t>., 19 d</w:t>
      </w:r>
      <w:r>
        <w:rPr>
          <w:rFonts w:ascii="Abadi" w:hAnsi="Abadi" w:cs="*Arial-Bold-4914-Identity-H"/>
          <w:b/>
          <w:bCs/>
          <w:color w:val="0E0D12"/>
          <w:sz w:val="21"/>
          <w:szCs w:val="21"/>
        </w:rPr>
        <w:t>e abril de 2022</w:t>
      </w:r>
    </w:p>
    <w:p w14:paraId="1E91261E" w14:textId="77777777" w:rsidR="004020F7" w:rsidRDefault="004020F7" w:rsidP="004020F7">
      <w:pPr>
        <w:jc w:val="center"/>
        <w:rPr>
          <w:rFonts w:ascii="Abadi" w:hAnsi="Abadi" w:cs="*Arial-Bold-4914-Identity-H"/>
          <w:b/>
          <w:bCs/>
          <w:color w:val="0C0B10"/>
          <w:sz w:val="21"/>
          <w:szCs w:val="21"/>
        </w:rPr>
      </w:pPr>
      <w:r w:rsidRPr="009E34BC">
        <w:rPr>
          <w:rFonts w:ascii="Abadi" w:hAnsi="Abadi" w:cs="*Arial-Bold-4914-Identity-H"/>
          <w:b/>
          <w:bCs/>
          <w:color w:val="0C0B10"/>
          <w:sz w:val="21"/>
          <w:szCs w:val="21"/>
        </w:rPr>
        <w:t>La Comisión de</w:t>
      </w:r>
      <w:r>
        <w:rPr>
          <w:rFonts w:ascii="Abadi" w:hAnsi="Abadi" w:cs="*Arial-Bold-4914-Identity-H"/>
          <w:b/>
          <w:bCs/>
          <w:color w:val="0C0B10"/>
          <w:sz w:val="21"/>
          <w:szCs w:val="21"/>
        </w:rPr>
        <w:t xml:space="preserve"> Hacienda y Fiscalización</w:t>
      </w:r>
    </w:p>
    <w:p w14:paraId="41700279" w14:textId="77777777" w:rsidR="004020F7" w:rsidRDefault="004020F7" w:rsidP="004020F7">
      <w:pPr>
        <w:jc w:val="both"/>
        <w:rPr>
          <w:rFonts w:ascii="Abadi" w:hAnsi="Abadi" w:cs="*Arial-Bold-4914-Identity-H"/>
          <w:b/>
          <w:bCs/>
          <w:color w:val="0C0B10"/>
          <w:sz w:val="21"/>
          <w:szCs w:val="21"/>
        </w:rPr>
      </w:pPr>
    </w:p>
    <w:p w14:paraId="011BB0EE" w14:textId="77777777" w:rsidR="004020F7" w:rsidRDefault="004020F7" w:rsidP="004020F7">
      <w:pPr>
        <w:jc w:val="center"/>
        <w:rPr>
          <w:rFonts w:ascii="Abadi" w:hAnsi="Abadi" w:cs="*Arial-Bold-4914-Identity-H"/>
          <w:b/>
          <w:bCs/>
          <w:color w:val="0C0B10"/>
          <w:sz w:val="21"/>
          <w:szCs w:val="21"/>
        </w:rPr>
      </w:pPr>
      <w:r>
        <w:rPr>
          <w:rFonts w:ascii="Abadi" w:hAnsi="Abadi" w:cs="*Arial-Bold-4914-Identity-H"/>
          <w:b/>
          <w:bCs/>
          <w:color w:val="0C0B10"/>
          <w:sz w:val="21"/>
          <w:szCs w:val="21"/>
        </w:rPr>
        <w:t>Diputado Víctor Manuel Zanella Huerta</w:t>
      </w:r>
    </w:p>
    <w:p w14:paraId="1E5F4D31" w14:textId="77777777" w:rsidR="004020F7" w:rsidRDefault="004020F7" w:rsidP="004020F7">
      <w:pPr>
        <w:jc w:val="both"/>
        <w:rPr>
          <w:rFonts w:ascii="Abadi" w:hAnsi="Abadi" w:cs="*Arial-Bold-4914-Identity-H"/>
          <w:b/>
          <w:bCs/>
          <w:color w:val="0C0B10"/>
          <w:sz w:val="21"/>
          <w:szCs w:val="21"/>
        </w:rPr>
      </w:pPr>
    </w:p>
    <w:p w14:paraId="49210327" w14:textId="77777777" w:rsidR="004020F7" w:rsidRDefault="004020F7" w:rsidP="004020F7">
      <w:pPr>
        <w:jc w:val="both"/>
        <w:rPr>
          <w:rFonts w:ascii="Abadi" w:hAnsi="Abadi" w:cs="*Arial-Bold-4914-Identity-H"/>
          <w:b/>
          <w:bCs/>
          <w:color w:val="0C0B10"/>
          <w:sz w:val="21"/>
          <w:szCs w:val="21"/>
        </w:rPr>
      </w:pPr>
      <w:r>
        <w:rPr>
          <w:rFonts w:ascii="Abadi" w:hAnsi="Abadi" w:cs="*Arial-Bold-4914-Identity-H"/>
          <w:b/>
          <w:bCs/>
          <w:color w:val="0C0B10"/>
          <w:sz w:val="21"/>
          <w:szCs w:val="21"/>
        </w:rPr>
        <w:t>Diputada Ruth Noemí Tiscareño Agoitia</w:t>
      </w:r>
    </w:p>
    <w:p w14:paraId="1282D6E9" w14:textId="77777777" w:rsidR="004020F7" w:rsidRDefault="004020F7" w:rsidP="004020F7">
      <w:pPr>
        <w:jc w:val="both"/>
        <w:rPr>
          <w:rFonts w:ascii="Abadi" w:hAnsi="Abadi" w:cs="*Arial-Bold-4914-Identity-H"/>
          <w:b/>
          <w:bCs/>
          <w:color w:val="0C0B10"/>
          <w:sz w:val="21"/>
          <w:szCs w:val="21"/>
        </w:rPr>
      </w:pPr>
      <w:r>
        <w:rPr>
          <w:rFonts w:ascii="Abadi" w:hAnsi="Abadi" w:cs="*Arial-Bold-4914-Identity-H"/>
          <w:b/>
          <w:bCs/>
          <w:color w:val="0C0B10"/>
          <w:sz w:val="21"/>
          <w:szCs w:val="21"/>
        </w:rPr>
        <w:t xml:space="preserve">Diputado Miguel Ángel Salim </w:t>
      </w:r>
      <w:proofErr w:type="spellStart"/>
      <w:r>
        <w:rPr>
          <w:rFonts w:ascii="Abadi" w:hAnsi="Abadi" w:cs="*Arial-Bold-4914-Identity-H"/>
          <w:b/>
          <w:bCs/>
          <w:color w:val="0C0B10"/>
          <w:sz w:val="21"/>
          <w:szCs w:val="21"/>
        </w:rPr>
        <w:t>Alle</w:t>
      </w:r>
      <w:proofErr w:type="spellEnd"/>
    </w:p>
    <w:p w14:paraId="407B5B72" w14:textId="77777777" w:rsidR="004020F7" w:rsidRDefault="004020F7" w:rsidP="004020F7">
      <w:pPr>
        <w:jc w:val="both"/>
        <w:rPr>
          <w:rFonts w:ascii="Abadi" w:hAnsi="Abadi" w:cs="*Arial-Bold-4914-Identity-H"/>
          <w:b/>
          <w:bCs/>
          <w:color w:val="0C0B10"/>
          <w:sz w:val="21"/>
          <w:szCs w:val="21"/>
        </w:rPr>
      </w:pPr>
      <w:r>
        <w:rPr>
          <w:rFonts w:ascii="Abadi" w:hAnsi="Abadi" w:cs="*Arial-Bold-4914-Identity-H"/>
          <w:b/>
          <w:bCs/>
          <w:color w:val="0C0B10"/>
          <w:sz w:val="21"/>
          <w:szCs w:val="21"/>
        </w:rPr>
        <w:t>Diputado José Alfonso Borja Pimentel</w:t>
      </w:r>
    </w:p>
    <w:p w14:paraId="57700419" w14:textId="77777777" w:rsidR="004020F7" w:rsidRDefault="004020F7" w:rsidP="004020F7">
      <w:pPr>
        <w:jc w:val="both"/>
        <w:rPr>
          <w:rFonts w:ascii="Abadi" w:hAnsi="Abadi" w:cs="*Arial-Bold-4914-Identity-H"/>
          <w:b/>
          <w:bCs/>
          <w:color w:val="0C0B10"/>
          <w:sz w:val="21"/>
          <w:szCs w:val="21"/>
        </w:rPr>
      </w:pPr>
      <w:r>
        <w:rPr>
          <w:rFonts w:ascii="Abadi" w:hAnsi="Abadi" w:cs="*Arial-Bold-4914-Identity-H"/>
          <w:b/>
          <w:bCs/>
          <w:color w:val="0C0B10"/>
          <w:sz w:val="21"/>
          <w:szCs w:val="21"/>
        </w:rPr>
        <w:t>Diputada Alma Edwviges Alcaraz Hernández</w:t>
      </w:r>
    </w:p>
    <w:p w14:paraId="28C4C95A" w14:textId="77777777" w:rsidR="004020F7" w:rsidRPr="00B82996" w:rsidRDefault="004020F7" w:rsidP="002F42D9">
      <w:pPr>
        <w:jc w:val="both"/>
        <w:rPr>
          <w:rFonts w:ascii="Abadi" w:hAnsi="Abadi"/>
          <w:sz w:val="21"/>
          <w:szCs w:val="21"/>
        </w:rPr>
      </w:pPr>
    </w:p>
    <w:p w14:paraId="43E9015F" w14:textId="77777777" w:rsidR="00021259" w:rsidRDefault="00021259" w:rsidP="00343CA9">
      <w:pPr>
        <w:pStyle w:val="Prrafodelista"/>
        <w:numPr>
          <w:ilvl w:val="0"/>
          <w:numId w:val="32"/>
        </w:numPr>
        <w:autoSpaceDE w:val="0"/>
        <w:autoSpaceDN w:val="0"/>
        <w:adjustRightInd w:val="0"/>
        <w:ind w:left="426"/>
        <w:jc w:val="both"/>
        <w:rPr>
          <w:rFonts w:ascii="Abadi" w:hAnsi="Abadi" w:cs="ArialMT"/>
          <w:b/>
          <w:bCs/>
          <w:sz w:val="20"/>
          <w:szCs w:val="21"/>
        </w:rPr>
      </w:pPr>
      <w:r w:rsidRPr="001D2CB5">
        <w:rPr>
          <w:rFonts w:ascii="Abadi" w:hAnsi="Abadi" w:cs="ArialMT"/>
          <w:b/>
          <w:bCs/>
          <w:sz w:val="20"/>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SAN MIGUEL DE ALLENDE, GTO., CON ENFOQUE A RESULTADOS DEL SERVICIO DE ALUMBRADO PÚBLICO, POR EL PERIODO COMPRENDIDO DEL 1 DE ENERO AL 31 DE DICIEMBRE DEL EJERCICIO FISCAL DEL AÑO 2020.</w:t>
      </w:r>
    </w:p>
    <w:p w14:paraId="10987CF4" w14:textId="77777777" w:rsidR="007A32BE" w:rsidRDefault="007A32BE" w:rsidP="007A32BE">
      <w:pPr>
        <w:autoSpaceDE w:val="0"/>
        <w:autoSpaceDN w:val="0"/>
        <w:adjustRightInd w:val="0"/>
        <w:jc w:val="both"/>
        <w:rPr>
          <w:rFonts w:ascii="Abadi" w:hAnsi="Abadi" w:cs="ArialMT"/>
          <w:b/>
          <w:bCs/>
          <w:sz w:val="20"/>
          <w:szCs w:val="21"/>
        </w:rPr>
      </w:pPr>
    </w:p>
    <w:p w14:paraId="77752B62" w14:textId="77777777" w:rsidR="007A32BE" w:rsidRPr="00727023" w:rsidRDefault="007A32BE" w:rsidP="007A32BE">
      <w:pPr>
        <w:autoSpaceDE w:val="0"/>
        <w:autoSpaceDN w:val="0"/>
        <w:adjustRightInd w:val="0"/>
        <w:jc w:val="both"/>
        <w:rPr>
          <w:rFonts w:ascii="Abadi" w:hAnsi="Abadi" w:cs="*Arial-Bold-6466-Identity-H"/>
          <w:b/>
          <w:bCs/>
          <w:color w:val="100F13"/>
          <w:sz w:val="21"/>
          <w:szCs w:val="21"/>
        </w:rPr>
      </w:pPr>
      <w:r w:rsidRPr="00727023">
        <w:rPr>
          <w:rFonts w:ascii="Abadi" w:hAnsi="Abadi" w:cs="*Arial-Bold-6466-Identity-H"/>
          <w:b/>
          <w:bCs/>
          <w:color w:val="100F13"/>
          <w:sz w:val="21"/>
          <w:szCs w:val="21"/>
        </w:rPr>
        <w:t>C. PRESIDENTA DEL CONGRESO DEL ESTAD</w:t>
      </w:r>
      <w:r>
        <w:rPr>
          <w:rFonts w:ascii="Abadi" w:hAnsi="Abadi" w:cs="*Arial-Bold-6466-Identity-H"/>
          <w:b/>
          <w:bCs/>
          <w:color w:val="100F13"/>
          <w:sz w:val="21"/>
          <w:szCs w:val="21"/>
        </w:rPr>
        <w:t>O</w:t>
      </w:r>
      <w:r w:rsidRPr="00727023">
        <w:rPr>
          <w:rFonts w:ascii="Abadi" w:hAnsi="Abadi" w:cs="*Arial-Bold-6466-Identity-H"/>
          <w:b/>
          <w:bCs/>
          <w:color w:val="100F13"/>
          <w:sz w:val="21"/>
          <w:szCs w:val="21"/>
        </w:rPr>
        <w:t>.</w:t>
      </w:r>
    </w:p>
    <w:p w14:paraId="650E382C" w14:textId="77777777" w:rsidR="007A32BE" w:rsidRPr="00727023" w:rsidRDefault="007A32BE" w:rsidP="007A32BE">
      <w:pPr>
        <w:autoSpaceDE w:val="0"/>
        <w:autoSpaceDN w:val="0"/>
        <w:adjustRightInd w:val="0"/>
        <w:jc w:val="both"/>
        <w:rPr>
          <w:rFonts w:ascii="Abadi" w:hAnsi="Abadi" w:cs="*Arial-Bold-6466-Identity-H"/>
          <w:b/>
          <w:bCs/>
          <w:color w:val="100F13"/>
          <w:sz w:val="21"/>
          <w:szCs w:val="21"/>
        </w:rPr>
      </w:pPr>
      <w:r w:rsidRPr="00727023">
        <w:rPr>
          <w:rFonts w:ascii="Abadi" w:hAnsi="Abadi" w:cs="*Arial-Bold-6466-Identity-H"/>
          <w:b/>
          <w:bCs/>
          <w:color w:val="100F13"/>
          <w:sz w:val="21"/>
          <w:szCs w:val="21"/>
        </w:rPr>
        <w:t>P R E S E N T E.</w:t>
      </w:r>
    </w:p>
    <w:p w14:paraId="6D8DEDA3" w14:textId="77777777" w:rsidR="007A32BE" w:rsidRPr="00727023" w:rsidRDefault="007A32BE" w:rsidP="007A32BE">
      <w:pPr>
        <w:autoSpaceDE w:val="0"/>
        <w:autoSpaceDN w:val="0"/>
        <w:adjustRightInd w:val="0"/>
        <w:jc w:val="both"/>
        <w:rPr>
          <w:rFonts w:ascii="Abadi" w:hAnsi="Abadi" w:cs="*Arial-Bold-6466-Identity-H"/>
          <w:b/>
          <w:bCs/>
          <w:color w:val="100F13"/>
          <w:sz w:val="21"/>
          <w:szCs w:val="21"/>
        </w:rPr>
      </w:pPr>
    </w:p>
    <w:p w14:paraId="78E27781" w14:textId="77777777" w:rsidR="007A32BE" w:rsidRPr="00727023" w:rsidRDefault="007A32BE" w:rsidP="007A32BE">
      <w:pPr>
        <w:autoSpaceDE w:val="0"/>
        <w:autoSpaceDN w:val="0"/>
        <w:adjustRightInd w:val="0"/>
        <w:ind w:firstLine="708"/>
        <w:jc w:val="both"/>
        <w:rPr>
          <w:rFonts w:ascii="Abadi" w:hAnsi="Abadi" w:cs="*Arial-6465-Identity-H"/>
          <w:color w:val="0B0B0D"/>
          <w:sz w:val="21"/>
          <w:szCs w:val="21"/>
        </w:rPr>
      </w:pPr>
      <w:r w:rsidRPr="00727023">
        <w:rPr>
          <w:rFonts w:ascii="Abadi" w:hAnsi="Abadi" w:cs="*Arial-6465-Identity-H"/>
          <w:color w:val="0B0B0D"/>
          <w:sz w:val="21"/>
          <w:szCs w:val="21"/>
        </w:rPr>
        <w:t>A esta Comisión de Hacienda y Fiscalización le fue turnado para su estudio</w:t>
      </w:r>
      <w:r>
        <w:rPr>
          <w:rFonts w:ascii="Abadi" w:hAnsi="Abadi" w:cs="*Arial-6465-Identity-H"/>
          <w:color w:val="0B0B0D"/>
          <w:sz w:val="21"/>
          <w:szCs w:val="21"/>
        </w:rPr>
        <w:t xml:space="preserve"> </w:t>
      </w:r>
      <w:r w:rsidRPr="00727023">
        <w:rPr>
          <w:rFonts w:ascii="Abadi" w:hAnsi="Abadi" w:cs="*Arial-6465-Identity-H"/>
          <w:color w:val="0B0B0D"/>
          <w:sz w:val="21"/>
          <w:szCs w:val="21"/>
        </w:rPr>
        <w:t>y dictamen, el informe de resultados de la auditoría de desempeño practica</w:t>
      </w:r>
      <w:r>
        <w:rPr>
          <w:rFonts w:ascii="Abadi" w:hAnsi="Abadi" w:cs="*Arial-6465-Identity-H"/>
          <w:color w:val="0B0B0D"/>
          <w:sz w:val="21"/>
          <w:szCs w:val="21"/>
        </w:rPr>
        <w:t xml:space="preserve"> </w:t>
      </w:r>
      <w:r w:rsidRPr="00727023">
        <w:rPr>
          <w:rFonts w:ascii="Abadi" w:hAnsi="Abadi" w:cs="*Arial-6465-Identity-H"/>
          <w:color w:val="0B0B0D"/>
          <w:sz w:val="21"/>
          <w:szCs w:val="21"/>
        </w:rPr>
        <w:t>da por</w:t>
      </w:r>
      <w:r>
        <w:rPr>
          <w:rFonts w:ascii="Abadi" w:hAnsi="Abadi" w:cs="*Arial-6465-Identity-H"/>
          <w:color w:val="0B0B0D"/>
          <w:sz w:val="21"/>
          <w:szCs w:val="21"/>
        </w:rPr>
        <w:t xml:space="preserve"> </w:t>
      </w:r>
      <w:r w:rsidRPr="00727023">
        <w:rPr>
          <w:rFonts w:ascii="Abadi" w:hAnsi="Abadi" w:cs="*Arial-6465-Identity-H"/>
          <w:color w:val="0B0B0D"/>
          <w:sz w:val="21"/>
          <w:szCs w:val="21"/>
        </w:rPr>
        <w:t>la Auditoría Superior del Estado de Guanajuato a la administración municipal de</w:t>
      </w:r>
      <w:r>
        <w:rPr>
          <w:rFonts w:ascii="Abadi" w:hAnsi="Abadi" w:cs="*Arial-6465-Identity-H"/>
          <w:color w:val="0B0B0D"/>
          <w:sz w:val="21"/>
          <w:szCs w:val="21"/>
        </w:rPr>
        <w:t xml:space="preserve"> </w:t>
      </w:r>
      <w:r w:rsidRPr="00727023">
        <w:rPr>
          <w:rFonts w:ascii="Abadi" w:hAnsi="Abadi" w:cs="*Arial-6465-Identity-H"/>
          <w:color w:val="0B0B0D"/>
          <w:sz w:val="21"/>
          <w:szCs w:val="21"/>
        </w:rPr>
        <w:t xml:space="preserve">San Miguel de Allende, </w:t>
      </w:r>
      <w:proofErr w:type="spellStart"/>
      <w:r w:rsidRPr="00727023">
        <w:rPr>
          <w:rFonts w:ascii="Abadi" w:hAnsi="Abadi" w:cs="*Arial-6465-Identity-H"/>
          <w:color w:val="0B0B0D"/>
          <w:sz w:val="21"/>
          <w:szCs w:val="21"/>
        </w:rPr>
        <w:t>Gto</w:t>
      </w:r>
      <w:proofErr w:type="spellEnd"/>
      <w:r w:rsidRPr="00727023">
        <w:rPr>
          <w:rFonts w:ascii="Abadi" w:hAnsi="Abadi" w:cs="*Arial-6465-Identity-H"/>
          <w:color w:val="0B0B0D"/>
          <w:sz w:val="21"/>
          <w:szCs w:val="21"/>
        </w:rPr>
        <w:t>., con enfoque a resultados del servicio de alumbrado</w:t>
      </w:r>
      <w:r>
        <w:rPr>
          <w:rFonts w:ascii="Abadi" w:hAnsi="Abadi" w:cs="*Arial-6465-Identity-H"/>
          <w:color w:val="0B0B0D"/>
          <w:sz w:val="21"/>
          <w:szCs w:val="21"/>
        </w:rPr>
        <w:t xml:space="preserve"> </w:t>
      </w:r>
      <w:r w:rsidRPr="00727023">
        <w:rPr>
          <w:rFonts w:ascii="Abadi" w:hAnsi="Abadi" w:cs="*Arial-6465-Identity-H"/>
          <w:color w:val="0B0B0D"/>
          <w:sz w:val="21"/>
          <w:szCs w:val="21"/>
        </w:rPr>
        <w:t>público, por el periodo comprendido del 1 de enero al 31 de diciembre del ejercicio</w:t>
      </w:r>
      <w:r>
        <w:rPr>
          <w:rFonts w:ascii="Abadi" w:hAnsi="Abadi" w:cs="*Arial-6465-Identity-H"/>
          <w:color w:val="0B0B0D"/>
          <w:sz w:val="21"/>
          <w:szCs w:val="21"/>
        </w:rPr>
        <w:t xml:space="preserve"> </w:t>
      </w:r>
      <w:r w:rsidRPr="00727023">
        <w:rPr>
          <w:rFonts w:ascii="Abadi" w:hAnsi="Abadi" w:cs="*Arial-6465-Identity-H"/>
          <w:color w:val="0B0B0D"/>
          <w:sz w:val="21"/>
          <w:szCs w:val="21"/>
        </w:rPr>
        <w:t>fiscal del año 2020.</w:t>
      </w:r>
    </w:p>
    <w:p w14:paraId="230F8248" w14:textId="77777777" w:rsidR="007A32BE" w:rsidRPr="00727023" w:rsidRDefault="007A32BE" w:rsidP="007A32BE">
      <w:pPr>
        <w:autoSpaceDE w:val="0"/>
        <w:autoSpaceDN w:val="0"/>
        <w:adjustRightInd w:val="0"/>
        <w:jc w:val="both"/>
        <w:rPr>
          <w:rFonts w:ascii="Abadi" w:hAnsi="Abadi" w:cs="*Arial-6465-Identity-H"/>
          <w:color w:val="0B0B0D"/>
          <w:sz w:val="21"/>
          <w:szCs w:val="21"/>
        </w:rPr>
      </w:pPr>
    </w:p>
    <w:p w14:paraId="2505C5B8" w14:textId="77777777" w:rsidR="007A32BE" w:rsidRPr="00727023" w:rsidRDefault="007A32BE" w:rsidP="007A32BE">
      <w:pPr>
        <w:autoSpaceDE w:val="0"/>
        <w:autoSpaceDN w:val="0"/>
        <w:adjustRightInd w:val="0"/>
        <w:ind w:firstLine="708"/>
        <w:jc w:val="both"/>
        <w:rPr>
          <w:rFonts w:ascii="Abadi" w:hAnsi="Abadi" w:cs="*Arial-6465-Identity-H"/>
          <w:color w:val="0B0B0D"/>
          <w:sz w:val="21"/>
          <w:szCs w:val="21"/>
        </w:rPr>
      </w:pPr>
      <w:r w:rsidRPr="00727023">
        <w:rPr>
          <w:rFonts w:ascii="Abadi" w:hAnsi="Abadi" w:cs="*Arial-6465-Identity-H"/>
          <w:color w:val="0B0B0D"/>
          <w:sz w:val="21"/>
          <w:szCs w:val="21"/>
        </w:rPr>
        <w:t>Una vez analizado el referido informe de resultados, con fundamento en los</w:t>
      </w:r>
      <w:r>
        <w:rPr>
          <w:rFonts w:ascii="Abadi" w:hAnsi="Abadi" w:cs="*Arial-6465-Identity-H"/>
          <w:color w:val="0B0B0D"/>
          <w:sz w:val="21"/>
          <w:szCs w:val="21"/>
        </w:rPr>
        <w:t xml:space="preserve"> </w:t>
      </w:r>
      <w:r w:rsidRPr="00727023">
        <w:rPr>
          <w:rFonts w:ascii="Abadi" w:hAnsi="Abadi" w:cs="*Arial-6465-Identity-H"/>
          <w:color w:val="0B0B0D"/>
          <w:sz w:val="21"/>
          <w:szCs w:val="21"/>
        </w:rPr>
        <w:t xml:space="preserve">artículos 112 fracción </w:t>
      </w:r>
      <w:r w:rsidRPr="007F0313">
        <w:rPr>
          <w:rFonts w:ascii="Abadi" w:hAnsi="Abadi" w:cs="*Microsoft Sans Serif-Bold-6467"/>
          <w:color w:val="0B0B0D"/>
          <w:sz w:val="21"/>
          <w:szCs w:val="21"/>
        </w:rPr>
        <w:t>XII,</w:t>
      </w:r>
      <w:r w:rsidRPr="00727023">
        <w:rPr>
          <w:rFonts w:ascii="Abadi" w:hAnsi="Abadi" w:cs="*Microsoft Sans Serif-Bold-6467"/>
          <w:b/>
          <w:bCs/>
          <w:color w:val="0B0B0D"/>
          <w:sz w:val="21"/>
          <w:szCs w:val="21"/>
        </w:rPr>
        <w:t xml:space="preserve"> </w:t>
      </w:r>
      <w:r w:rsidRPr="00727023">
        <w:rPr>
          <w:rFonts w:ascii="Abadi" w:hAnsi="Abadi" w:cs="*Arial-6465-Identity-H"/>
          <w:color w:val="0B0B0D"/>
          <w:sz w:val="21"/>
          <w:szCs w:val="21"/>
        </w:rPr>
        <w:t>primer párrafo y 171 de la Ley Orgánica del Poder</w:t>
      </w:r>
      <w:r>
        <w:rPr>
          <w:rFonts w:ascii="Abadi" w:hAnsi="Abadi" w:cs="*Arial-6465-Identity-H"/>
          <w:color w:val="0B0B0D"/>
          <w:sz w:val="21"/>
          <w:szCs w:val="21"/>
        </w:rPr>
        <w:t xml:space="preserve"> </w:t>
      </w:r>
      <w:r w:rsidRPr="00727023">
        <w:rPr>
          <w:rFonts w:ascii="Abadi" w:hAnsi="Abadi" w:cs="*Arial-6465-Identity-H"/>
          <w:color w:val="0B0B0D"/>
          <w:sz w:val="21"/>
          <w:szCs w:val="21"/>
        </w:rPr>
        <w:t>Legislativo, nos permitimos rendir el siguiente:</w:t>
      </w:r>
    </w:p>
    <w:p w14:paraId="697EFB35" w14:textId="77777777" w:rsidR="007A32BE" w:rsidRPr="00727023" w:rsidRDefault="007A32BE" w:rsidP="007A32BE">
      <w:pPr>
        <w:autoSpaceDE w:val="0"/>
        <w:autoSpaceDN w:val="0"/>
        <w:adjustRightInd w:val="0"/>
        <w:jc w:val="both"/>
        <w:rPr>
          <w:rFonts w:ascii="Abadi" w:hAnsi="Abadi" w:cs="*Calibri-Bold-6464-Identity-H"/>
          <w:b/>
          <w:bCs/>
          <w:color w:val="0C0B10"/>
          <w:sz w:val="21"/>
          <w:szCs w:val="21"/>
        </w:rPr>
      </w:pPr>
    </w:p>
    <w:p w14:paraId="47781884" w14:textId="77777777" w:rsidR="007A32BE" w:rsidRPr="00727023" w:rsidRDefault="007A32BE" w:rsidP="007A32BE">
      <w:pPr>
        <w:autoSpaceDE w:val="0"/>
        <w:autoSpaceDN w:val="0"/>
        <w:adjustRightInd w:val="0"/>
        <w:jc w:val="center"/>
        <w:rPr>
          <w:rFonts w:ascii="Abadi" w:hAnsi="Abadi" w:cs="*Calibri-Bold-6464-Identity-H"/>
          <w:b/>
          <w:bCs/>
          <w:color w:val="0C0B10"/>
          <w:sz w:val="21"/>
          <w:szCs w:val="21"/>
        </w:rPr>
      </w:pPr>
      <w:r w:rsidRPr="00727023">
        <w:rPr>
          <w:rFonts w:ascii="Abadi" w:hAnsi="Abadi" w:cs="*Calibri-Bold-6464-Identity-H"/>
          <w:b/>
          <w:bCs/>
          <w:color w:val="0C0B10"/>
          <w:sz w:val="21"/>
          <w:szCs w:val="21"/>
        </w:rPr>
        <w:t>Dictamen</w:t>
      </w:r>
    </w:p>
    <w:p w14:paraId="655147E2" w14:textId="77777777" w:rsidR="007A32BE" w:rsidRPr="00727023" w:rsidRDefault="007A32BE" w:rsidP="007A32BE">
      <w:pPr>
        <w:autoSpaceDE w:val="0"/>
        <w:autoSpaceDN w:val="0"/>
        <w:adjustRightInd w:val="0"/>
        <w:jc w:val="both"/>
        <w:rPr>
          <w:rFonts w:ascii="Abadi" w:hAnsi="Abadi" w:cs="*Calibri-Bold-6464-Identity-H"/>
          <w:b/>
          <w:bCs/>
          <w:color w:val="0C0B10"/>
          <w:sz w:val="21"/>
          <w:szCs w:val="21"/>
        </w:rPr>
      </w:pPr>
    </w:p>
    <w:p w14:paraId="7A3F9153" w14:textId="77777777" w:rsidR="007A32BE" w:rsidRDefault="007A32BE" w:rsidP="007A32BE">
      <w:pPr>
        <w:autoSpaceDE w:val="0"/>
        <w:autoSpaceDN w:val="0"/>
        <w:adjustRightInd w:val="0"/>
        <w:ind w:firstLine="708"/>
        <w:jc w:val="both"/>
        <w:rPr>
          <w:rFonts w:ascii="Abadi" w:hAnsi="Abadi" w:cs="*Calibri-Bold-6464-Identity-H"/>
          <w:b/>
          <w:bCs/>
          <w:color w:val="0C0B10"/>
          <w:sz w:val="21"/>
          <w:szCs w:val="21"/>
        </w:rPr>
      </w:pPr>
      <w:r w:rsidRPr="00727023">
        <w:rPr>
          <w:rFonts w:ascii="Abadi" w:hAnsi="Abadi" w:cs="*Calibri-Bold-6464-Identity-H"/>
          <w:b/>
          <w:bCs/>
          <w:color w:val="0C0B10"/>
          <w:sz w:val="21"/>
          <w:szCs w:val="21"/>
        </w:rPr>
        <w:t>l. Competencia:</w:t>
      </w:r>
    </w:p>
    <w:p w14:paraId="73B71064" w14:textId="77777777" w:rsidR="007A32BE" w:rsidRPr="00727023" w:rsidRDefault="007A32BE" w:rsidP="007A32BE">
      <w:pPr>
        <w:autoSpaceDE w:val="0"/>
        <w:autoSpaceDN w:val="0"/>
        <w:adjustRightInd w:val="0"/>
        <w:jc w:val="both"/>
        <w:rPr>
          <w:rFonts w:ascii="Abadi" w:hAnsi="Abadi" w:cs="*Calibri-Bold-6464-Identity-H"/>
          <w:b/>
          <w:bCs/>
          <w:color w:val="0C0B10"/>
          <w:sz w:val="21"/>
          <w:szCs w:val="21"/>
        </w:rPr>
      </w:pPr>
    </w:p>
    <w:p w14:paraId="50FCB441" w14:textId="77777777" w:rsidR="007A32BE" w:rsidRDefault="007A32BE" w:rsidP="007A32BE">
      <w:pPr>
        <w:autoSpaceDE w:val="0"/>
        <w:autoSpaceDN w:val="0"/>
        <w:adjustRightInd w:val="0"/>
        <w:ind w:firstLine="708"/>
        <w:jc w:val="both"/>
        <w:rPr>
          <w:rFonts w:ascii="Abadi" w:hAnsi="Abadi" w:cs="*Arial-6465-Identity-H"/>
          <w:color w:val="0C0C0F"/>
          <w:sz w:val="21"/>
          <w:szCs w:val="21"/>
        </w:rPr>
      </w:pPr>
      <w:r w:rsidRPr="00727023">
        <w:rPr>
          <w:rFonts w:ascii="Abadi" w:hAnsi="Abadi" w:cs="*Arial-6465-Identity-H"/>
          <w:color w:val="0C0C0F"/>
          <w:sz w:val="21"/>
          <w:szCs w:val="21"/>
        </w:rPr>
        <w:t>Las facultades de la legislatura local en materia de fiscalización de las</w:t>
      </w:r>
      <w:r>
        <w:rPr>
          <w:rFonts w:ascii="Abadi" w:hAnsi="Abadi" w:cs="*Arial-6465-Identity-H"/>
          <w:color w:val="0C0C0F"/>
          <w:sz w:val="21"/>
          <w:szCs w:val="21"/>
        </w:rPr>
        <w:t xml:space="preserve"> </w:t>
      </w:r>
      <w:r w:rsidRPr="00727023">
        <w:rPr>
          <w:rFonts w:ascii="Abadi" w:hAnsi="Abadi" w:cs="*Arial-6465-Identity-H"/>
          <w:color w:val="0C0C0F"/>
          <w:sz w:val="21"/>
          <w:szCs w:val="21"/>
        </w:rPr>
        <w:t>cuentas públicas tienen su fundamento en lo dispuesto por el artículo 63</w:t>
      </w:r>
      <w:r>
        <w:rPr>
          <w:rFonts w:ascii="Abadi" w:hAnsi="Abadi" w:cs="*Arial-6465-Identity-H"/>
          <w:color w:val="0C0C0F"/>
          <w:sz w:val="21"/>
          <w:szCs w:val="21"/>
        </w:rPr>
        <w:t xml:space="preserve"> </w:t>
      </w:r>
      <w:r w:rsidRPr="00727023">
        <w:rPr>
          <w:rFonts w:ascii="Abadi" w:hAnsi="Abadi" w:cs="*Arial-6465-Identity-H"/>
          <w:color w:val="0C0C0F"/>
          <w:sz w:val="21"/>
          <w:szCs w:val="21"/>
        </w:rPr>
        <w:t>fracciones XVIII, XIX y XXVIII de la Constitución Política para el Estado de</w:t>
      </w:r>
      <w:r>
        <w:rPr>
          <w:rFonts w:ascii="Abadi" w:hAnsi="Abadi" w:cs="*Arial-6465-Identity-H"/>
          <w:color w:val="0C0C0F"/>
          <w:sz w:val="21"/>
          <w:szCs w:val="21"/>
        </w:rPr>
        <w:t xml:space="preserve"> </w:t>
      </w:r>
      <w:r w:rsidRPr="00727023">
        <w:rPr>
          <w:rFonts w:ascii="Abadi" w:hAnsi="Abadi" w:cs="*Arial-6465-Identity-H"/>
          <w:color w:val="0C0C0F"/>
          <w:sz w:val="21"/>
          <w:szCs w:val="21"/>
        </w:rPr>
        <w:t>Guanajuato. Estos dispositivos establecen que el Congreso del Estado tiene la</w:t>
      </w:r>
      <w:r>
        <w:rPr>
          <w:rFonts w:ascii="Abadi" w:hAnsi="Abadi" w:cs="*Arial-6465-Identity-H"/>
          <w:color w:val="0C0C0F"/>
          <w:sz w:val="21"/>
          <w:szCs w:val="21"/>
        </w:rPr>
        <w:t xml:space="preserve"> </w:t>
      </w:r>
      <w:r w:rsidRPr="00727023">
        <w:rPr>
          <w:rFonts w:ascii="Abadi" w:hAnsi="Abadi" w:cs="*Arial-6465-Identity-H"/>
          <w:color w:val="0C0C0F"/>
          <w:sz w:val="21"/>
          <w:szCs w:val="21"/>
        </w:rPr>
        <w:t>facultad de fiscalizar la cuenta pública del Poder Ejecutivo, incluyendo las de las</w:t>
      </w:r>
      <w:r>
        <w:rPr>
          <w:rFonts w:ascii="Abadi" w:hAnsi="Abadi" w:cs="*Arial-6465-Identity-H"/>
          <w:color w:val="0C0C0F"/>
          <w:sz w:val="21"/>
          <w:szCs w:val="21"/>
        </w:rPr>
        <w:t xml:space="preserve"> </w:t>
      </w:r>
      <w:r w:rsidRPr="00727023">
        <w:rPr>
          <w:rFonts w:ascii="Abadi" w:hAnsi="Abadi" w:cs="*Arial-6465-Identity-H"/>
          <w:color w:val="0C0C0F"/>
          <w:sz w:val="21"/>
          <w:szCs w:val="21"/>
        </w:rPr>
        <w:t>entidades y organismos de la administración pública paraestatal, las del Poder</w:t>
      </w:r>
      <w:r>
        <w:rPr>
          <w:rFonts w:ascii="Abadi" w:hAnsi="Abadi" w:cs="*Arial-6465-Identity-H"/>
          <w:color w:val="0C0C0F"/>
          <w:sz w:val="21"/>
          <w:szCs w:val="21"/>
        </w:rPr>
        <w:t xml:space="preserve"> </w:t>
      </w:r>
      <w:r w:rsidRPr="00727023">
        <w:rPr>
          <w:rFonts w:ascii="Abadi" w:hAnsi="Abadi" w:cs="*Arial-6465-Identity-H"/>
          <w:color w:val="0C0C0F"/>
          <w:sz w:val="21"/>
          <w:szCs w:val="21"/>
        </w:rPr>
        <w:t>Judicial y de los organismos autónomos; así como las cuentas públicas</w:t>
      </w:r>
      <w:r>
        <w:rPr>
          <w:rFonts w:ascii="Abadi" w:hAnsi="Abadi" w:cs="*Arial-6465-Identity-H"/>
          <w:color w:val="0C0C0F"/>
          <w:sz w:val="21"/>
          <w:szCs w:val="21"/>
        </w:rPr>
        <w:t xml:space="preserve"> </w:t>
      </w:r>
      <w:r w:rsidRPr="00727023">
        <w:rPr>
          <w:rFonts w:ascii="Abadi" w:hAnsi="Abadi" w:cs="*Arial-6465-Identity-H"/>
          <w:color w:val="0C0C0F"/>
          <w:sz w:val="21"/>
          <w:szCs w:val="21"/>
        </w:rPr>
        <w:t>municipales, incluyendo las de las entidades y organismos de la administración</w:t>
      </w:r>
      <w:r>
        <w:rPr>
          <w:rFonts w:ascii="Abadi" w:hAnsi="Abadi" w:cs="*Arial-6465-Identity-H"/>
          <w:color w:val="0C0C0F"/>
          <w:sz w:val="21"/>
          <w:szCs w:val="21"/>
        </w:rPr>
        <w:t xml:space="preserve"> </w:t>
      </w:r>
      <w:r w:rsidRPr="00727023">
        <w:rPr>
          <w:rFonts w:ascii="Abadi" w:hAnsi="Abadi" w:cs="*Arial-6465-Identity-H"/>
          <w:color w:val="0C0C0F"/>
          <w:sz w:val="21"/>
          <w:szCs w:val="21"/>
        </w:rPr>
        <w:t>pública paramunicipal; y verificar el desempeño en el cumplimiento de los</w:t>
      </w:r>
      <w:r>
        <w:rPr>
          <w:rFonts w:ascii="Abadi" w:hAnsi="Abadi" w:cs="*Arial-6465-Identity-H"/>
          <w:color w:val="0C0C0F"/>
          <w:sz w:val="21"/>
          <w:szCs w:val="21"/>
        </w:rPr>
        <w:t xml:space="preserve"> </w:t>
      </w:r>
      <w:r w:rsidRPr="00727023">
        <w:rPr>
          <w:rFonts w:ascii="Abadi" w:hAnsi="Abadi" w:cs="*Arial-6465-Identity-H"/>
          <w:color w:val="0C0C0F"/>
          <w:sz w:val="21"/>
          <w:szCs w:val="21"/>
        </w:rPr>
        <w:t>objetivos de los programas. De igual manera, puede acordar la práctica de</w:t>
      </w:r>
      <w:r>
        <w:rPr>
          <w:rFonts w:ascii="Abadi" w:hAnsi="Abadi" w:cs="*Arial-6465-Identity-H"/>
          <w:color w:val="0C0C0F"/>
          <w:sz w:val="21"/>
          <w:szCs w:val="21"/>
        </w:rPr>
        <w:t xml:space="preserve"> auditorías</w:t>
      </w:r>
      <w:r w:rsidRPr="00727023">
        <w:rPr>
          <w:rFonts w:ascii="Abadi" w:hAnsi="Abadi" w:cs="*Arial-6465-Identity-H"/>
          <w:color w:val="0C0C0F"/>
          <w:sz w:val="21"/>
          <w:szCs w:val="21"/>
        </w:rPr>
        <w:t xml:space="preserve"> a los sujetos de fiscalización, cuando exista causa justificada para ello,</w:t>
      </w:r>
      <w:r>
        <w:rPr>
          <w:rFonts w:ascii="Abadi" w:hAnsi="Abadi" w:cs="*Arial-6465-Identity-H"/>
          <w:color w:val="0C0C0F"/>
          <w:sz w:val="21"/>
          <w:szCs w:val="21"/>
        </w:rPr>
        <w:t xml:space="preserve"> </w:t>
      </w:r>
      <w:r w:rsidRPr="00727023">
        <w:rPr>
          <w:rFonts w:ascii="Abadi" w:hAnsi="Abadi" w:cs="*Arial-6465-Identity-H"/>
          <w:color w:val="0C0C0F"/>
          <w:sz w:val="21"/>
          <w:szCs w:val="21"/>
        </w:rPr>
        <w:t>auxiliándose para el cumplimiento de dichas facultades por la Auditoria Superior</w:t>
      </w:r>
      <w:r>
        <w:rPr>
          <w:rFonts w:ascii="Abadi" w:hAnsi="Abadi" w:cs="*Arial-6465-Identity-H"/>
          <w:color w:val="0C0C0F"/>
          <w:sz w:val="21"/>
          <w:szCs w:val="21"/>
        </w:rPr>
        <w:t xml:space="preserve"> </w:t>
      </w:r>
      <w:r w:rsidRPr="00727023">
        <w:rPr>
          <w:rFonts w:ascii="Abadi" w:hAnsi="Abadi" w:cs="*Arial-6465-Identity-H"/>
          <w:color w:val="0C0C0F"/>
          <w:sz w:val="21"/>
          <w:szCs w:val="21"/>
        </w:rPr>
        <w:t>del Estado de Guanajuato.</w:t>
      </w:r>
    </w:p>
    <w:p w14:paraId="099BF90F" w14:textId="77777777" w:rsidR="007A32BE" w:rsidRPr="00727023" w:rsidRDefault="007A32BE" w:rsidP="007A32BE">
      <w:pPr>
        <w:autoSpaceDE w:val="0"/>
        <w:autoSpaceDN w:val="0"/>
        <w:adjustRightInd w:val="0"/>
        <w:jc w:val="both"/>
        <w:rPr>
          <w:rFonts w:ascii="Abadi" w:hAnsi="Abadi" w:cs="*Arial-6465-Identity-H"/>
          <w:color w:val="0C0C0F"/>
          <w:sz w:val="21"/>
          <w:szCs w:val="21"/>
        </w:rPr>
      </w:pPr>
    </w:p>
    <w:p w14:paraId="3FAE66F4" w14:textId="77777777" w:rsidR="007A32BE" w:rsidRDefault="007A32BE" w:rsidP="007A32BE">
      <w:pPr>
        <w:autoSpaceDE w:val="0"/>
        <w:autoSpaceDN w:val="0"/>
        <w:adjustRightInd w:val="0"/>
        <w:ind w:firstLine="708"/>
        <w:jc w:val="both"/>
        <w:rPr>
          <w:rFonts w:ascii="Abadi" w:hAnsi="Abadi" w:cs="*Arial-6465-Identity-H"/>
          <w:color w:val="0C0C0F"/>
          <w:sz w:val="21"/>
          <w:szCs w:val="21"/>
        </w:rPr>
      </w:pPr>
      <w:r w:rsidRPr="00727023">
        <w:rPr>
          <w:rFonts w:ascii="Abadi" w:hAnsi="Abadi" w:cs="*Arial-6465-Identity-H"/>
          <w:color w:val="0C0C0F"/>
          <w:sz w:val="21"/>
          <w:szCs w:val="21"/>
        </w:rPr>
        <w:t>Asimismo, el artículo 66 fracción VIII de dicho Ordenamiento Constitucional</w:t>
      </w:r>
      <w:r>
        <w:rPr>
          <w:rFonts w:ascii="Abadi" w:hAnsi="Abadi" w:cs="*Arial-6465-Identity-H"/>
          <w:color w:val="0C0C0F"/>
          <w:sz w:val="21"/>
          <w:szCs w:val="21"/>
        </w:rPr>
        <w:t xml:space="preserve"> </w:t>
      </w:r>
      <w:r w:rsidRPr="00727023">
        <w:rPr>
          <w:rFonts w:ascii="Abadi" w:hAnsi="Abadi" w:cs="*Arial-6465-Identity-H"/>
          <w:color w:val="0C0C0F"/>
          <w:sz w:val="21"/>
          <w:szCs w:val="21"/>
        </w:rPr>
        <w:t>establece que la Auditoría Superior del Estado de Guanajuato deberá informar al</w:t>
      </w:r>
      <w:r>
        <w:rPr>
          <w:rFonts w:ascii="Abadi" w:hAnsi="Abadi" w:cs="*Arial-6465-Identity-H"/>
          <w:color w:val="0C0C0F"/>
          <w:sz w:val="21"/>
          <w:szCs w:val="21"/>
        </w:rPr>
        <w:t xml:space="preserve"> </w:t>
      </w:r>
      <w:r w:rsidRPr="00727023">
        <w:rPr>
          <w:rFonts w:ascii="Abadi" w:hAnsi="Abadi" w:cs="*Arial-6465-Identity-H"/>
          <w:color w:val="0C0C0F"/>
          <w:sz w:val="21"/>
          <w:szCs w:val="21"/>
        </w:rPr>
        <w:t>Congreso del Estado del resultado de la revisión de la cuenta pública y demás</w:t>
      </w:r>
      <w:r>
        <w:rPr>
          <w:rFonts w:ascii="Abadi" w:hAnsi="Abadi" w:cs="*Arial-6465-Identity-H"/>
          <w:color w:val="0C0C0F"/>
          <w:sz w:val="21"/>
          <w:szCs w:val="21"/>
        </w:rPr>
        <w:t xml:space="preserve"> </w:t>
      </w:r>
      <w:r w:rsidRPr="00727023">
        <w:rPr>
          <w:rFonts w:ascii="Abadi" w:hAnsi="Abadi" w:cs="*Arial-6465-Identity-H"/>
          <w:color w:val="0C0C0F"/>
          <w:sz w:val="21"/>
          <w:szCs w:val="21"/>
        </w:rPr>
        <w:t>asuntos derivados de la fiscalización, incluyendo los dictámenes, informes de</w:t>
      </w:r>
      <w:r>
        <w:rPr>
          <w:rFonts w:ascii="Abadi" w:hAnsi="Abadi" w:cs="*Arial-6465-Identity-H"/>
          <w:color w:val="0C0C0F"/>
          <w:sz w:val="21"/>
          <w:szCs w:val="21"/>
        </w:rPr>
        <w:t xml:space="preserve"> </w:t>
      </w:r>
      <w:r w:rsidRPr="00727023">
        <w:rPr>
          <w:rFonts w:ascii="Abadi" w:hAnsi="Abadi" w:cs="*Arial-6465-Identity-H"/>
          <w:color w:val="0C0C0F"/>
          <w:sz w:val="21"/>
          <w:szCs w:val="21"/>
        </w:rPr>
        <w:t>resultados, comentarios y observaciones de las auditorias, constituyendo una de</w:t>
      </w:r>
      <w:r>
        <w:rPr>
          <w:rFonts w:ascii="Abadi" w:hAnsi="Abadi" w:cs="*Arial-6465-Identity-H"/>
          <w:color w:val="0C0C0F"/>
          <w:sz w:val="21"/>
          <w:szCs w:val="21"/>
        </w:rPr>
        <w:t xml:space="preserve"> </w:t>
      </w:r>
      <w:r w:rsidRPr="00727023">
        <w:rPr>
          <w:rFonts w:ascii="Abadi" w:hAnsi="Abadi" w:cs="*Arial-6465-Identity-H"/>
          <w:color w:val="0C0C0F"/>
          <w:sz w:val="21"/>
          <w:szCs w:val="21"/>
        </w:rPr>
        <w:t>las fases del proceso de fiscalización.</w:t>
      </w:r>
    </w:p>
    <w:p w14:paraId="20B06274" w14:textId="77777777" w:rsidR="007A32BE" w:rsidRPr="00727023" w:rsidRDefault="007A32BE" w:rsidP="007A32BE">
      <w:pPr>
        <w:autoSpaceDE w:val="0"/>
        <w:autoSpaceDN w:val="0"/>
        <w:adjustRightInd w:val="0"/>
        <w:jc w:val="both"/>
        <w:rPr>
          <w:rFonts w:ascii="Abadi" w:hAnsi="Abadi" w:cs="*Arial-6465-Identity-H"/>
          <w:color w:val="0C0C0F"/>
          <w:sz w:val="21"/>
          <w:szCs w:val="21"/>
        </w:rPr>
      </w:pPr>
    </w:p>
    <w:p w14:paraId="29BDBE61" w14:textId="77777777" w:rsidR="007A32BE" w:rsidRDefault="007A32BE" w:rsidP="007A32BE">
      <w:pPr>
        <w:autoSpaceDE w:val="0"/>
        <w:autoSpaceDN w:val="0"/>
        <w:adjustRightInd w:val="0"/>
        <w:ind w:firstLine="708"/>
        <w:jc w:val="both"/>
        <w:rPr>
          <w:rFonts w:ascii="Abadi" w:hAnsi="Abadi" w:cs="*Arial-6665-Identity-H"/>
          <w:color w:val="0C0C0F"/>
          <w:sz w:val="21"/>
          <w:szCs w:val="21"/>
        </w:rPr>
      </w:pPr>
      <w:r w:rsidRPr="00727023">
        <w:rPr>
          <w:rFonts w:ascii="Abadi" w:hAnsi="Abadi" w:cs="*Arial-6665-Identity-H"/>
          <w:color w:val="0C0C0F"/>
          <w:sz w:val="21"/>
          <w:szCs w:val="21"/>
        </w:rPr>
        <w:t xml:space="preserve">De igual forma, el artículo 82, fracción </w:t>
      </w:r>
      <w:r w:rsidRPr="00727023">
        <w:rPr>
          <w:rFonts w:ascii="Abadi" w:hAnsi="Abadi" w:cs="*Arial-Bold-6666-Identity-H"/>
          <w:color w:val="0C0C0F"/>
          <w:sz w:val="21"/>
          <w:szCs w:val="21"/>
        </w:rPr>
        <w:t xml:space="preserve">XXIV </w:t>
      </w:r>
      <w:r w:rsidRPr="00727023">
        <w:rPr>
          <w:rFonts w:ascii="Abadi" w:hAnsi="Abadi" w:cs="*Arial-6665-Identity-H"/>
          <w:color w:val="0C0C0F"/>
          <w:sz w:val="21"/>
          <w:szCs w:val="21"/>
        </w:rPr>
        <w:t>de la Ley de Fiscalización</w:t>
      </w:r>
      <w:r>
        <w:rPr>
          <w:rFonts w:ascii="Abadi" w:hAnsi="Abadi" w:cs="*Arial-6665-Identity-H"/>
          <w:color w:val="0C0C0F"/>
          <w:sz w:val="21"/>
          <w:szCs w:val="21"/>
        </w:rPr>
        <w:t xml:space="preserve"> </w:t>
      </w:r>
      <w:r w:rsidRPr="00727023">
        <w:rPr>
          <w:rFonts w:ascii="Abadi" w:hAnsi="Abadi" w:cs="*Arial-6665-Identity-H"/>
          <w:color w:val="0C0C0F"/>
          <w:sz w:val="21"/>
          <w:szCs w:val="21"/>
        </w:rPr>
        <w:t>Superior del Estado de Guanajuato establece como atribución de la Auditoria</w:t>
      </w:r>
      <w:r>
        <w:rPr>
          <w:rFonts w:ascii="Abadi" w:hAnsi="Abadi" w:cs="*Arial-6665-Identity-H"/>
          <w:color w:val="0C0C0F"/>
          <w:sz w:val="21"/>
          <w:szCs w:val="21"/>
        </w:rPr>
        <w:t xml:space="preserve"> </w:t>
      </w:r>
      <w:r w:rsidRPr="00727023">
        <w:rPr>
          <w:rFonts w:ascii="Abadi" w:hAnsi="Abadi" w:cs="*Arial-6665-Identity-H"/>
          <w:color w:val="0C0C0F"/>
          <w:sz w:val="21"/>
          <w:szCs w:val="21"/>
        </w:rPr>
        <w:t>Superior del Estado, rendir al Congreso, los informes derivados del ejercicio de la</w:t>
      </w:r>
      <w:r>
        <w:rPr>
          <w:rFonts w:ascii="Abadi" w:hAnsi="Abadi" w:cs="*Arial-6665-Identity-H"/>
          <w:color w:val="0C0C0F"/>
          <w:sz w:val="21"/>
          <w:szCs w:val="21"/>
        </w:rPr>
        <w:t xml:space="preserve"> </w:t>
      </w:r>
      <w:r w:rsidRPr="00727023">
        <w:rPr>
          <w:rFonts w:ascii="Abadi" w:hAnsi="Abadi" w:cs="*Arial-6665-Identity-H"/>
          <w:color w:val="0C0C0F"/>
          <w:sz w:val="21"/>
          <w:szCs w:val="21"/>
        </w:rPr>
        <w:t>función de fiscalización.</w:t>
      </w:r>
    </w:p>
    <w:p w14:paraId="6F3D5897" w14:textId="77777777" w:rsidR="007A32BE" w:rsidRPr="00727023" w:rsidRDefault="007A32BE" w:rsidP="007A32BE">
      <w:pPr>
        <w:autoSpaceDE w:val="0"/>
        <w:autoSpaceDN w:val="0"/>
        <w:adjustRightInd w:val="0"/>
        <w:jc w:val="both"/>
        <w:rPr>
          <w:rFonts w:ascii="Abadi" w:hAnsi="Abadi" w:cs="*Arial-6665-Identity-H"/>
          <w:color w:val="0C0C0F"/>
          <w:sz w:val="21"/>
          <w:szCs w:val="21"/>
        </w:rPr>
      </w:pPr>
    </w:p>
    <w:p w14:paraId="1F7C9264" w14:textId="77777777" w:rsidR="007A32BE" w:rsidRDefault="007A32BE" w:rsidP="007A32BE">
      <w:pPr>
        <w:autoSpaceDE w:val="0"/>
        <w:autoSpaceDN w:val="0"/>
        <w:adjustRightInd w:val="0"/>
        <w:ind w:firstLine="708"/>
        <w:jc w:val="both"/>
        <w:rPr>
          <w:rFonts w:ascii="Abadi" w:hAnsi="Abadi" w:cs="*Arial-6665-Identity-H"/>
          <w:color w:val="0C0C0F"/>
          <w:sz w:val="21"/>
          <w:szCs w:val="21"/>
        </w:rPr>
      </w:pPr>
      <w:r w:rsidRPr="00727023">
        <w:rPr>
          <w:rFonts w:ascii="Abadi" w:hAnsi="Abadi" w:cs="*Arial-6665-Identity-H"/>
          <w:color w:val="0C0C0F"/>
          <w:sz w:val="21"/>
          <w:szCs w:val="21"/>
        </w:rPr>
        <w:t>En razón de lo cual, la Ley de Fiscalización Superior del Estado de</w:t>
      </w:r>
      <w:r>
        <w:rPr>
          <w:rFonts w:ascii="Abadi" w:hAnsi="Abadi" w:cs="*Arial-6665-Identity-H"/>
          <w:color w:val="0C0C0F"/>
          <w:sz w:val="21"/>
          <w:szCs w:val="21"/>
        </w:rPr>
        <w:t xml:space="preserve"> </w:t>
      </w:r>
      <w:r w:rsidRPr="00727023">
        <w:rPr>
          <w:rFonts w:ascii="Abadi" w:hAnsi="Abadi" w:cs="*Arial-6665-Identity-H"/>
          <w:color w:val="0C0C0F"/>
          <w:sz w:val="21"/>
          <w:szCs w:val="21"/>
        </w:rPr>
        <w:t>Guanajuato establece que la Auditoría Superior debe remitir los informes de</w:t>
      </w:r>
      <w:r>
        <w:rPr>
          <w:rFonts w:ascii="Abadi" w:hAnsi="Abadi" w:cs="*Arial-6665-Identity-H"/>
          <w:color w:val="0C0C0F"/>
          <w:sz w:val="21"/>
          <w:szCs w:val="21"/>
        </w:rPr>
        <w:t xml:space="preserve"> </w:t>
      </w:r>
      <w:r w:rsidRPr="00727023">
        <w:rPr>
          <w:rFonts w:ascii="Abadi" w:hAnsi="Abadi" w:cs="*Arial-6665-Identity-H"/>
          <w:color w:val="0C0C0F"/>
          <w:sz w:val="21"/>
          <w:szCs w:val="21"/>
        </w:rPr>
        <w:t>resultados al Congreso del Estado, a efecto de que éste realice la declaratoria</w:t>
      </w:r>
      <w:r>
        <w:rPr>
          <w:rFonts w:ascii="Abadi" w:hAnsi="Abadi" w:cs="*Arial-6665-Identity-H"/>
          <w:color w:val="0C0C0F"/>
          <w:sz w:val="21"/>
          <w:szCs w:val="21"/>
        </w:rPr>
        <w:t xml:space="preserve"> </w:t>
      </w:r>
      <w:r w:rsidRPr="00727023">
        <w:rPr>
          <w:rFonts w:ascii="Abadi" w:hAnsi="Abadi" w:cs="*Arial-6665-Identity-H"/>
          <w:color w:val="0C0C0F"/>
          <w:sz w:val="21"/>
          <w:szCs w:val="21"/>
        </w:rPr>
        <w:t>correspondiente, señalándose en el artículo 38 que el informe de resultados</w:t>
      </w:r>
      <w:r>
        <w:rPr>
          <w:rFonts w:ascii="Abadi" w:hAnsi="Abadi" w:cs="*Arial-6665-Identity-H"/>
          <w:color w:val="0C0C0F"/>
          <w:sz w:val="21"/>
          <w:szCs w:val="21"/>
        </w:rPr>
        <w:t xml:space="preserve"> </w:t>
      </w:r>
      <w:r w:rsidRPr="00727023">
        <w:rPr>
          <w:rFonts w:ascii="Abadi" w:hAnsi="Abadi" w:cs="*Arial-6665-Identity-H"/>
          <w:color w:val="0C0C0F"/>
          <w:sz w:val="21"/>
          <w:szCs w:val="21"/>
        </w:rPr>
        <w:t>únicamente podrá ser observado por las dos terceras partes de los diputados</w:t>
      </w:r>
      <w:r>
        <w:rPr>
          <w:rFonts w:ascii="Abadi" w:hAnsi="Abadi" w:cs="*Arial-6665-Identity-H"/>
          <w:color w:val="0C0C0F"/>
          <w:sz w:val="21"/>
          <w:szCs w:val="21"/>
        </w:rPr>
        <w:t xml:space="preserve"> </w:t>
      </w:r>
      <w:r w:rsidRPr="00727023">
        <w:rPr>
          <w:rFonts w:ascii="Abadi" w:hAnsi="Abadi" w:cs="*Arial-6665-Identity-H"/>
          <w:color w:val="0C0C0F"/>
          <w:sz w:val="21"/>
          <w:szCs w:val="21"/>
        </w:rPr>
        <w:t>integrantes del Congreso, cuando no se observen las formalidades esenciales del</w:t>
      </w:r>
      <w:r>
        <w:rPr>
          <w:rFonts w:ascii="Abadi" w:hAnsi="Abadi" w:cs="*Arial-6665-Identity-H"/>
          <w:color w:val="0C0C0F"/>
          <w:sz w:val="21"/>
          <w:szCs w:val="21"/>
        </w:rPr>
        <w:t xml:space="preserve"> </w:t>
      </w:r>
      <w:r w:rsidRPr="00727023">
        <w:rPr>
          <w:rFonts w:ascii="Abadi" w:hAnsi="Abadi" w:cs="*Arial-6665-Identity-H"/>
          <w:color w:val="0C0C0F"/>
          <w:sz w:val="21"/>
          <w:szCs w:val="21"/>
        </w:rPr>
        <w:t>proceso de fiscalización.</w:t>
      </w:r>
    </w:p>
    <w:p w14:paraId="0908D1C9" w14:textId="77777777" w:rsidR="007A32BE" w:rsidRPr="00727023" w:rsidRDefault="007A32BE" w:rsidP="007A32BE">
      <w:pPr>
        <w:autoSpaceDE w:val="0"/>
        <w:autoSpaceDN w:val="0"/>
        <w:adjustRightInd w:val="0"/>
        <w:jc w:val="both"/>
        <w:rPr>
          <w:rFonts w:ascii="Abadi" w:hAnsi="Abadi" w:cs="*Arial-6665-Identity-H"/>
          <w:color w:val="0C0C0F"/>
          <w:sz w:val="21"/>
          <w:szCs w:val="21"/>
        </w:rPr>
      </w:pPr>
    </w:p>
    <w:p w14:paraId="3264BC20" w14:textId="77777777" w:rsidR="007A32BE" w:rsidRDefault="007A32BE" w:rsidP="007A32BE">
      <w:pPr>
        <w:autoSpaceDE w:val="0"/>
        <w:autoSpaceDN w:val="0"/>
        <w:adjustRightInd w:val="0"/>
        <w:ind w:firstLine="708"/>
        <w:jc w:val="both"/>
        <w:rPr>
          <w:rFonts w:ascii="Abadi" w:hAnsi="Abadi" w:cs="*Arial-6665-Identity-H"/>
          <w:color w:val="0C0C0E"/>
          <w:sz w:val="21"/>
          <w:szCs w:val="21"/>
        </w:rPr>
      </w:pPr>
      <w:r w:rsidRPr="00727023">
        <w:rPr>
          <w:rFonts w:ascii="Abadi" w:hAnsi="Abadi" w:cs="*Arial-6665-Identity-H"/>
          <w:color w:val="0C0C0E"/>
          <w:sz w:val="21"/>
          <w:szCs w:val="21"/>
        </w:rPr>
        <w:t>Con la finalidad de que el Congreso dé cumplimiento a lo señalado en el</w:t>
      </w:r>
      <w:r>
        <w:rPr>
          <w:rFonts w:ascii="Abadi" w:hAnsi="Abadi" w:cs="*Arial-6665-Identity-H"/>
          <w:color w:val="0C0C0E"/>
          <w:sz w:val="21"/>
          <w:szCs w:val="21"/>
        </w:rPr>
        <w:t xml:space="preserve"> </w:t>
      </w:r>
      <w:r w:rsidRPr="00727023">
        <w:rPr>
          <w:rFonts w:ascii="Abadi" w:hAnsi="Abadi" w:cs="*Arial-6665-Identity-H"/>
          <w:color w:val="0C0C0E"/>
          <w:sz w:val="21"/>
          <w:szCs w:val="21"/>
        </w:rPr>
        <w:t>párrafo anterior, la Ley Orgánica del Poder Legislativo del Estado de Guanajuato</w:t>
      </w:r>
      <w:r>
        <w:rPr>
          <w:rFonts w:ascii="Abadi" w:hAnsi="Abadi" w:cs="*Arial-6665-Identity-H"/>
          <w:color w:val="0C0C0E"/>
          <w:sz w:val="21"/>
          <w:szCs w:val="21"/>
        </w:rPr>
        <w:t xml:space="preserve"> </w:t>
      </w:r>
      <w:r w:rsidRPr="00727023">
        <w:rPr>
          <w:rFonts w:ascii="Abadi" w:hAnsi="Abadi" w:cs="*Arial-6665-Identity-H"/>
          <w:color w:val="0C0C0E"/>
          <w:sz w:val="21"/>
          <w:szCs w:val="21"/>
        </w:rPr>
        <w:t>establece en su artículo 112, fracción XII, primer párrafo que, a esta Comisión de</w:t>
      </w:r>
      <w:r>
        <w:rPr>
          <w:rFonts w:ascii="Abadi" w:hAnsi="Abadi" w:cs="*Arial-6665-Identity-H"/>
          <w:color w:val="0C0C0E"/>
          <w:sz w:val="21"/>
          <w:szCs w:val="21"/>
        </w:rPr>
        <w:t xml:space="preserve"> </w:t>
      </w:r>
      <w:r w:rsidRPr="00727023">
        <w:rPr>
          <w:rFonts w:ascii="Abadi" w:hAnsi="Abadi" w:cs="*Arial-6665-Identity-H"/>
          <w:color w:val="0C0C0E"/>
          <w:sz w:val="21"/>
          <w:szCs w:val="21"/>
        </w:rPr>
        <w:t>Hacienda y Fiscalización, le compete el conocimiento y dictamen de los asuntos</w:t>
      </w:r>
      <w:r>
        <w:rPr>
          <w:rFonts w:ascii="Abadi" w:hAnsi="Abadi" w:cs="*Arial-6665-Identity-H"/>
          <w:color w:val="0C0C0E"/>
          <w:sz w:val="21"/>
          <w:szCs w:val="21"/>
        </w:rPr>
        <w:t xml:space="preserve"> </w:t>
      </w:r>
      <w:r w:rsidRPr="00727023">
        <w:rPr>
          <w:rFonts w:ascii="Abadi" w:hAnsi="Abadi" w:cs="*Arial-6665-Identity-H"/>
          <w:color w:val="0C0C0E"/>
          <w:sz w:val="21"/>
          <w:szCs w:val="21"/>
        </w:rPr>
        <w:t>relativos a los informes de resultados que emita la Auditoría Superior del Estado.</w:t>
      </w:r>
    </w:p>
    <w:p w14:paraId="5D91E2A0" w14:textId="77777777" w:rsidR="007A32BE" w:rsidRPr="00727023" w:rsidRDefault="007A32BE" w:rsidP="007A32BE">
      <w:pPr>
        <w:autoSpaceDE w:val="0"/>
        <w:autoSpaceDN w:val="0"/>
        <w:adjustRightInd w:val="0"/>
        <w:jc w:val="both"/>
        <w:rPr>
          <w:rFonts w:ascii="Abadi" w:hAnsi="Abadi" w:cs="*Arial-6665-Identity-H"/>
          <w:color w:val="0C0C0E"/>
          <w:sz w:val="21"/>
          <w:szCs w:val="21"/>
        </w:rPr>
      </w:pPr>
    </w:p>
    <w:p w14:paraId="40B00D82" w14:textId="77777777" w:rsidR="007A32BE" w:rsidRDefault="007A32BE" w:rsidP="007A32BE">
      <w:pPr>
        <w:autoSpaceDE w:val="0"/>
        <w:autoSpaceDN w:val="0"/>
        <w:adjustRightInd w:val="0"/>
        <w:ind w:firstLine="708"/>
        <w:jc w:val="both"/>
        <w:rPr>
          <w:rFonts w:ascii="Abadi" w:hAnsi="Abadi" w:cs="*Arial-6665-Identity-H"/>
          <w:color w:val="0E0D10"/>
          <w:sz w:val="21"/>
          <w:szCs w:val="21"/>
        </w:rPr>
      </w:pPr>
      <w:r w:rsidRPr="00727023">
        <w:rPr>
          <w:rFonts w:ascii="Abadi" w:hAnsi="Abadi" w:cs="*Arial-6665-Identity-H"/>
          <w:color w:val="0E0D10"/>
          <w:sz w:val="21"/>
          <w:szCs w:val="21"/>
        </w:rPr>
        <w:t>A efecto de cumplir con las atribuciones conferidas a esta Comisión, y en</w:t>
      </w:r>
      <w:r>
        <w:rPr>
          <w:rFonts w:ascii="Abadi" w:hAnsi="Abadi" w:cs="*Arial-6665-Identity-H"/>
          <w:color w:val="0E0D10"/>
          <w:sz w:val="21"/>
          <w:szCs w:val="21"/>
        </w:rPr>
        <w:t xml:space="preserve"> observancia</w:t>
      </w:r>
      <w:r w:rsidRPr="00727023">
        <w:rPr>
          <w:rFonts w:ascii="Abadi" w:hAnsi="Abadi" w:cs="*Arial-6665-Identity-H"/>
          <w:color w:val="0E0D10"/>
          <w:sz w:val="21"/>
          <w:szCs w:val="21"/>
        </w:rPr>
        <w:t xml:space="preserve"> a lo que establece la Ley de Fiscalización Superior del Estado de</w:t>
      </w:r>
      <w:r>
        <w:rPr>
          <w:rFonts w:ascii="Abadi" w:hAnsi="Abadi" w:cs="*Arial-6665-Identity-H"/>
          <w:color w:val="0E0D10"/>
          <w:sz w:val="21"/>
          <w:szCs w:val="21"/>
        </w:rPr>
        <w:t xml:space="preserve"> </w:t>
      </w:r>
      <w:r w:rsidRPr="00727023">
        <w:rPr>
          <w:rFonts w:ascii="Abadi" w:hAnsi="Abadi" w:cs="*Arial-6665-Identity-H"/>
          <w:color w:val="0E0D10"/>
          <w:sz w:val="21"/>
          <w:szCs w:val="21"/>
        </w:rPr>
        <w:t xml:space="preserve">Guanajuato, el presente dictamen se ocupará exclusivamente del </w:t>
      </w:r>
      <w:r>
        <w:rPr>
          <w:rFonts w:ascii="Abadi" w:eastAsia="Abadi" w:hAnsi="Abadi" w:cs="Abadi"/>
          <w:color w:val="0E0D10"/>
          <w:sz w:val="21"/>
          <w:szCs w:val="21"/>
        </w:rPr>
        <w:t>a</w:t>
      </w:r>
      <w:r w:rsidRPr="00727023">
        <w:rPr>
          <w:rFonts w:ascii="Abadi" w:hAnsi="Abadi" w:cs="*Arial-6665-Identity-H"/>
          <w:color w:val="0E0D10"/>
          <w:sz w:val="21"/>
          <w:szCs w:val="21"/>
        </w:rPr>
        <w:t>specto que la</w:t>
      </w:r>
      <w:r>
        <w:rPr>
          <w:rFonts w:ascii="Abadi" w:hAnsi="Abadi" w:cs="*Arial-6665-Identity-H"/>
          <w:color w:val="0E0D10"/>
          <w:sz w:val="21"/>
          <w:szCs w:val="21"/>
        </w:rPr>
        <w:t xml:space="preserve"> </w:t>
      </w:r>
      <w:r w:rsidRPr="00727023">
        <w:rPr>
          <w:rFonts w:ascii="Abadi" w:hAnsi="Abadi" w:cs="*Arial-6665-Identity-H"/>
          <w:color w:val="0E0D10"/>
          <w:sz w:val="21"/>
          <w:szCs w:val="21"/>
        </w:rPr>
        <w:t>propia Ley señala y por el cual podría ser observado o no, el informe de</w:t>
      </w:r>
      <w:r>
        <w:rPr>
          <w:rFonts w:ascii="Abadi" w:hAnsi="Abadi" w:cs="*Arial-6665-Identity-H"/>
          <w:color w:val="0E0D10"/>
          <w:sz w:val="21"/>
          <w:szCs w:val="21"/>
        </w:rPr>
        <w:t xml:space="preserve"> </w:t>
      </w:r>
      <w:r w:rsidRPr="00727023">
        <w:rPr>
          <w:rFonts w:ascii="Abadi" w:hAnsi="Abadi" w:cs="*Arial-6665-Identity-H"/>
          <w:color w:val="0E0D10"/>
          <w:sz w:val="21"/>
          <w:szCs w:val="21"/>
        </w:rPr>
        <w:t>resultados.</w:t>
      </w:r>
    </w:p>
    <w:p w14:paraId="2B221036" w14:textId="77777777" w:rsidR="00015D8C" w:rsidRPr="00727023" w:rsidRDefault="00015D8C" w:rsidP="007A32BE">
      <w:pPr>
        <w:autoSpaceDE w:val="0"/>
        <w:autoSpaceDN w:val="0"/>
        <w:adjustRightInd w:val="0"/>
        <w:ind w:firstLine="708"/>
        <w:jc w:val="both"/>
        <w:rPr>
          <w:rFonts w:ascii="Abadi" w:hAnsi="Abadi" w:cs="*Arial-6665-Identity-H"/>
          <w:color w:val="0E0D10"/>
          <w:sz w:val="21"/>
          <w:szCs w:val="21"/>
        </w:rPr>
      </w:pPr>
    </w:p>
    <w:p w14:paraId="3D0317F5" w14:textId="77777777" w:rsidR="007A32BE" w:rsidRDefault="007A32BE" w:rsidP="007A32BE">
      <w:pPr>
        <w:autoSpaceDE w:val="0"/>
        <w:autoSpaceDN w:val="0"/>
        <w:adjustRightInd w:val="0"/>
        <w:ind w:firstLine="708"/>
        <w:jc w:val="both"/>
        <w:rPr>
          <w:rFonts w:ascii="Abadi" w:hAnsi="Abadi" w:cs="*Microsoft Sans Serif-Bold-6668"/>
          <w:b/>
          <w:bCs/>
          <w:color w:val="0E0E13"/>
          <w:sz w:val="21"/>
          <w:szCs w:val="21"/>
        </w:rPr>
      </w:pPr>
      <w:r>
        <w:rPr>
          <w:rFonts w:ascii="Abadi" w:hAnsi="Abadi" w:cs="*Microsoft Sans Serif-Bold-6668"/>
          <w:b/>
          <w:bCs/>
          <w:color w:val="0E0E13"/>
          <w:sz w:val="21"/>
          <w:szCs w:val="21"/>
        </w:rPr>
        <w:t>II</w:t>
      </w:r>
      <w:r w:rsidRPr="00727023">
        <w:rPr>
          <w:rFonts w:ascii="Abadi" w:hAnsi="Abadi" w:cs="*Microsoft Sans Serif-Bold-6668"/>
          <w:b/>
          <w:bCs/>
          <w:color w:val="0E0E13"/>
          <w:sz w:val="21"/>
          <w:szCs w:val="21"/>
        </w:rPr>
        <w:t xml:space="preserve">. </w:t>
      </w:r>
      <w:proofErr w:type="gramStart"/>
      <w:r w:rsidRPr="00727023">
        <w:rPr>
          <w:rFonts w:ascii="Abadi" w:hAnsi="Abadi" w:cs="*Microsoft Sans Serif-Bold-6668"/>
          <w:b/>
          <w:bCs/>
          <w:color w:val="0E0E13"/>
          <w:sz w:val="21"/>
          <w:szCs w:val="21"/>
        </w:rPr>
        <w:t>Antecedentes:·</w:t>
      </w:r>
      <w:proofErr w:type="gramEnd"/>
    </w:p>
    <w:p w14:paraId="3ABAE2C7" w14:textId="77777777" w:rsidR="007A32BE" w:rsidRPr="00727023" w:rsidRDefault="007A32BE" w:rsidP="007A32BE">
      <w:pPr>
        <w:autoSpaceDE w:val="0"/>
        <w:autoSpaceDN w:val="0"/>
        <w:adjustRightInd w:val="0"/>
        <w:jc w:val="both"/>
        <w:rPr>
          <w:rFonts w:ascii="Abadi" w:hAnsi="Abadi" w:cs="*Microsoft Sans Serif-Bold-6668"/>
          <w:b/>
          <w:bCs/>
          <w:color w:val="0E0E13"/>
          <w:sz w:val="21"/>
          <w:szCs w:val="21"/>
        </w:rPr>
      </w:pPr>
      <w:r>
        <w:rPr>
          <w:rFonts w:ascii="Abadi" w:hAnsi="Abadi" w:cs="*Microsoft Sans Serif-Bold-6668"/>
          <w:b/>
          <w:bCs/>
          <w:color w:val="0E0E13"/>
          <w:sz w:val="21"/>
          <w:szCs w:val="21"/>
        </w:rPr>
        <w:t xml:space="preserve"> </w:t>
      </w:r>
    </w:p>
    <w:p w14:paraId="2E9ABECA" w14:textId="77777777" w:rsidR="007A32BE" w:rsidRDefault="007A32BE" w:rsidP="007A32BE">
      <w:pPr>
        <w:autoSpaceDE w:val="0"/>
        <w:autoSpaceDN w:val="0"/>
        <w:adjustRightInd w:val="0"/>
        <w:ind w:firstLine="708"/>
        <w:jc w:val="both"/>
        <w:rPr>
          <w:rFonts w:ascii="Abadi" w:hAnsi="Abadi" w:cs="*Arial-6665-Identity-H"/>
          <w:color w:val="0C0C0F"/>
          <w:sz w:val="21"/>
          <w:szCs w:val="21"/>
        </w:rPr>
      </w:pPr>
      <w:r w:rsidRPr="00727023">
        <w:rPr>
          <w:rFonts w:ascii="Abadi" w:hAnsi="Abadi" w:cs="*Arial-6665-Identity-H"/>
          <w:color w:val="0C0C0F"/>
          <w:sz w:val="21"/>
          <w:szCs w:val="21"/>
        </w:rPr>
        <w:t>De conformidad con el artículo 66, fracción I de la Constitución Política para</w:t>
      </w:r>
      <w:r>
        <w:rPr>
          <w:rFonts w:ascii="Abadi" w:hAnsi="Abadi" w:cs="*Arial-6665-Identity-H"/>
          <w:color w:val="0C0C0F"/>
          <w:sz w:val="21"/>
          <w:szCs w:val="21"/>
        </w:rPr>
        <w:t xml:space="preserve"> </w:t>
      </w:r>
      <w:r w:rsidRPr="00727023">
        <w:rPr>
          <w:rFonts w:ascii="Abadi" w:hAnsi="Abadi" w:cs="*Arial-6665-Identity-H"/>
          <w:color w:val="0C0C0F"/>
          <w:sz w:val="21"/>
          <w:szCs w:val="21"/>
        </w:rPr>
        <w:t>el Estado de Guanajuato, es atribución de la Auditoría Superior del Estado realizar</w:t>
      </w:r>
      <w:r>
        <w:rPr>
          <w:rFonts w:ascii="Abadi" w:hAnsi="Abadi" w:cs="*Arial-6665-Identity-H"/>
          <w:color w:val="0C0C0F"/>
          <w:sz w:val="21"/>
          <w:szCs w:val="21"/>
        </w:rPr>
        <w:t xml:space="preserve"> </w:t>
      </w:r>
      <w:r w:rsidRPr="00727023">
        <w:rPr>
          <w:rFonts w:ascii="Abadi" w:hAnsi="Abadi" w:cs="*Arial-6665-Identity-H"/>
          <w:color w:val="0C0C0F"/>
          <w:sz w:val="21"/>
          <w:szCs w:val="21"/>
        </w:rPr>
        <w:t>auditorías de desempeño en el cumplimiento de objetivos y metas contenidos en</w:t>
      </w:r>
      <w:r>
        <w:rPr>
          <w:rFonts w:ascii="Abadi" w:hAnsi="Abadi" w:cs="*Arial-6665-Identity-H"/>
          <w:color w:val="0C0C0F"/>
          <w:sz w:val="21"/>
          <w:szCs w:val="21"/>
        </w:rPr>
        <w:t xml:space="preserve"> </w:t>
      </w:r>
      <w:r w:rsidRPr="00727023">
        <w:rPr>
          <w:rFonts w:ascii="Abadi" w:hAnsi="Abadi" w:cs="*Arial-6665-Identity-H"/>
          <w:color w:val="0C0C0F"/>
          <w:sz w:val="21"/>
          <w:szCs w:val="21"/>
        </w:rPr>
        <w:t>los programas, de las cuales sólo podrá emitir las recomendaciones para la mejora</w:t>
      </w:r>
      <w:r>
        <w:rPr>
          <w:rFonts w:ascii="Abadi" w:hAnsi="Abadi" w:cs="*Arial-6665-Identity-H"/>
          <w:color w:val="0C0C0F"/>
          <w:sz w:val="21"/>
          <w:szCs w:val="21"/>
        </w:rPr>
        <w:t xml:space="preserve"> </w:t>
      </w:r>
      <w:r w:rsidRPr="00727023">
        <w:rPr>
          <w:rFonts w:ascii="Abadi" w:hAnsi="Abadi" w:cs="*Arial-6665-Identity-H"/>
          <w:color w:val="0C0C0F"/>
          <w:sz w:val="21"/>
          <w:szCs w:val="21"/>
        </w:rPr>
        <w:t>en el desempeño, en los términos de la Ley.</w:t>
      </w:r>
    </w:p>
    <w:p w14:paraId="019624B4" w14:textId="77777777" w:rsidR="007A32BE" w:rsidRPr="00727023" w:rsidRDefault="007A32BE" w:rsidP="007A32BE">
      <w:pPr>
        <w:autoSpaceDE w:val="0"/>
        <w:autoSpaceDN w:val="0"/>
        <w:adjustRightInd w:val="0"/>
        <w:jc w:val="both"/>
        <w:rPr>
          <w:rFonts w:ascii="Abadi" w:hAnsi="Abadi" w:cs="*Arial-6665-Identity-H"/>
          <w:color w:val="0C0C0F"/>
          <w:sz w:val="21"/>
          <w:szCs w:val="21"/>
        </w:rPr>
      </w:pPr>
    </w:p>
    <w:p w14:paraId="780AAE48" w14:textId="77777777" w:rsidR="007A32BE" w:rsidRDefault="007A32BE" w:rsidP="007A32BE">
      <w:pPr>
        <w:autoSpaceDE w:val="0"/>
        <w:autoSpaceDN w:val="0"/>
        <w:adjustRightInd w:val="0"/>
        <w:ind w:firstLine="708"/>
        <w:jc w:val="both"/>
        <w:rPr>
          <w:rFonts w:ascii="Abadi" w:hAnsi="Abadi" w:cs="*Arial-6665-Identity-H"/>
          <w:color w:val="0C0C0F"/>
          <w:sz w:val="21"/>
          <w:szCs w:val="21"/>
        </w:rPr>
      </w:pPr>
      <w:r w:rsidRPr="00727023">
        <w:rPr>
          <w:rFonts w:ascii="Abadi" w:hAnsi="Abadi" w:cs="*Arial-6665-Identity-H"/>
          <w:color w:val="0C0C0F"/>
          <w:sz w:val="21"/>
          <w:szCs w:val="21"/>
        </w:rPr>
        <w:t>Por su parte, el artículo 3, fracción V de la Ley de Fiscalización Superior del</w:t>
      </w:r>
      <w:r>
        <w:rPr>
          <w:rFonts w:ascii="Abadi" w:hAnsi="Abadi" w:cs="*Arial-6665-Identity-H"/>
          <w:color w:val="0C0C0F"/>
          <w:sz w:val="21"/>
          <w:szCs w:val="21"/>
        </w:rPr>
        <w:t xml:space="preserve"> </w:t>
      </w:r>
      <w:r w:rsidRPr="00727023">
        <w:rPr>
          <w:rFonts w:ascii="Abadi" w:hAnsi="Abadi" w:cs="*Arial-6665-Identity-H"/>
          <w:color w:val="0C0C0F"/>
          <w:sz w:val="21"/>
          <w:szCs w:val="21"/>
        </w:rPr>
        <w:t>Estado de Guanajuato señala que la Auditoría Superior del Estado es competente</w:t>
      </w:r>
      <w:r>
        <w:rPr>
          <w:rFonts w:ascii="Abadi" w:hAnsi="Abadi" w:cs="*Arial-6665-Identity-H"/>
          <w:color w:val="0C0C0F"/>
          <w:sz w:val="21"/>
          <w:szCs w:val="21"/>
        </w:rPr>
        <w:t xml:space="preserve"> </w:t>
      </w:r>
      <w:r w:rsidRPr="00727023">
        <w:rPr>
          <w:rFonts w:ascii="Abadi" w:hAnsi="Abadi" w:cs="*Arial-6665-Identity-H"/>
          <w:color w:val="0C0C0F"/>
          <w:sz w:val="21"/>
          <w:szCs w:val="21"/>
        </w:rPr>
        <w:t>para practicar auditorías de desempeño para verificar el cumplimiento de los</w:t>
      </w:r>
      <w:r>
        <w:rPr>
          <w:rFonts w:ascii="Abadi" w:hAnsi="Abadi" w:cs="*Arial-6665-Identity-H"/>
          <w:color w:val="0C0C0F"/>
          <w:sz w:val="21"/>
          <w:szCs w:val="21"/>
        </w:rPr>
        <w:t xml:space="preserve"> </w:t>
      </w:r>
      <w:r w:rsidRPr="00727023">
        <w:rPr>
          <w:rFonts w:ascii="Abadi" w:hAnsi="Abadi" w:cs="*Arial-6665-Identity-H"/>
          <w:color w:val="0C0C0F"/>
          <w:sz w:val="21"/>
          <w:szCs w:val="21"/>
        </w:rPr>
        <w:t>objetivos y las metas de los programas estatales y municipales.</w:t>
      </w:r>
    </w:p>
    <w:p w14:paraId="4CCCF665" w14:textId="77777777" w:rsidR="007A32BE" w:rsidRPr="00727023" w:rsidRDefault="007A32BE" w:rsidP="007A32BE">
      <w:pPr>
        <w:autoSpaceDE w:val="0"/>
        <w:autoSpaceDN w:val="0"/>
        <w:adjustRightInd w:val="0"/>
        <w:jc w:val="both"/>
        <w:rPr>
          <w:rFonts w:ascii="Abadi" w:hAnsi="Abadi" w:cs="*Arial-6665-Identity-H"/>
          <w:color w:val="0C0C0F"/>
          <w:sz w:val="21"/>
          <w:szCs w:val="21"/>
        </w:rPr>
      </w:pPr>
    </w:p>
    <w:p w14:paraId="6E1557D5" w14:textId="77777777" w:rsidR="007A32BE" w:rsidRDefault="007A32BE" w:rsidP="007A32BE">
      <w:pPr>
        <w:autoSpaceDE w:val="0"/>
        <w:autoSpaceDN w:val="0"/>
        <w:adjustRightInd w:val="0"/>
        <w:ind w:firstLine="708"/>
        <w:jc w:val="both"/>
        <w:rPr>
          <w:rFonts w:ascii="Abadi" w:hAnsi="Abadi" w:cs="*Arial-6297-Identity-H"/>
          <w:color w:val="0E0D10"/>
          <w:sz w:val="21"/>
          <w:szCs w:val="21"/>
        </w:rPr>
      </w:pPr>
      <w:r w:rsidRPr="00727023">
        <w:rPr>
          <w:rFonts w:ascii="Abadi" w:hAnsi="Abadi" w:cs="*Arial-6297-Identity-H"/>
          <w:color w:val="0E0D10"/>
          <w:sz w:val="21"/>
          <w:szCs w:val="21"/>
        </w:rPr>
        <w:t>De igual forma, el artículo 56 de la Ley de Fiscalización Superior prevé que</w:t>
      </w:r>
      <w:r>
        <w:rPr>
          <w:rFonts w:ascii="Abadi" w:hAnsi="Abadi" w:cs="*Arial-6297-Identity-H"/>
          <w:color w:val="0E0D10"/>
          <w:sz w:val="21"/>
          <w:szCs w:val="21"/>
        </w:rPr>
        <w:t xml:space="preserve"> </w:t>
      </w:r>
      <w:r w:rsidRPr="00727023">
        <w:rPr>
          <w:rFonts w:ascii="Abadi" w:hAnsi="Abadi" w:cs="*Arial-6297-Identity-H"/>
          <w:color w:val="0E0D10"/>
          <w:sz w:val="21"/>
          <w:szCs w:val="21"/>
        </w:rPr>
        <w:t>las auditorías de desempeño comprenden la revisión del cumplimiento de las</w:t>
      </w:r>
      <w:r>
        <w:rPr>
          <w:rFonts w:ascii="Abadi" w:hAnsi="Abadi" w:cs="*Arial-6297-Identity-H"/>
          <w:color w:val="0E0D10"/>
          <w:sz w:val="21"/>
          <w:szCs w:val="21"/>
        </w:rPr>
        <w:t xml:space="preserve"> </w:t>
      </w:r>
      <w:r w:rsidRPr="00727023">
        <w:rPr>
          <w:rFonts w:ascii="Abadi" w:hAnsi="Abadi" w:cs="*Arial-6297-Identity-H"/>
          <w:color w:val="0E0D10"/>
          <w:sz w:val="21"/>
          <w:szCs w:val="21"/>
        </w:rPr>
        <w:t>metas y objetivos de los planes y programas, conforme a los principios de</w:t>
      </w:r>
      <w:r>
        <w:rPr>
          <w:rFonts w:ascii="Abadi" w:hAnsi="Abadi" w:cs="*Arial-6297-Identity-H"/>
          <w:color w:val="0E0D10"/>
          <w:sz w:val="21"/>
          <w:szCs w:val="21"/>
        </w:rPr>
        <w:t xml:space="preserve"> </w:t>
      </w:r>
      <w:r w:rsidRPr="00727023">
        <w:rPr>
          <w:rFonts w:ascii="Abadi" w:hAnsi="Abadi" w:cs="*Arial-6297-Identity-H"/>
          <w:color w:val="0E0D10"/>
          <w:sz w:val="21"/>
          <w:szCs w:val="21"/>
        </w:rPr>
        <w:t>eficiencia, eficacia y economía; así como la evaluación de las políticas públicas;</w:t>
      </w:r>
      <w:r>
        <w:rPr>
          <w:rFonts w:ascii="Abadi" w:hAnsi="Abadi" w:cs="*Arial-6297-Identity-H"/>
          <w:color w:val="0E0D10"/>
          <w:sz w:val="21"/>
          <w:szCs w:val="21"/>
        </w:rPr>
        <w:t xml:space="preserve"> </w:t>
      </w:r>
      <w:r w:rsidRPr="00727023">
        <w:rPr>
          <w:rFonts w:ascii="Abadi" w:hAnsi="Abadi" w:cs="*Arial-6297-Identity-H"/>
          <w:color w:val="0E0D10"/>
          <w:sz w:val="21"/>
          <w:szCs w:val="21"/>
        </w:rPr>
        <w:t>estableciendo además que la Auditoria Superior del Estado realizará las auditorias</w:t>
      </w:r>
      <w:r>
        <w:rPr>
          <w:rFonts w:ascii="Abadi" w:hAnsi="Abadi" w:cs="*Arial-6297-Identity-H"/>
          <w:color w:val="0E0D10"/>
          <w:sz w:val="21"/>
          <w:szCs w:val="21"/>
        </w:rPr>
        <w:t xml:space="preserve"> </w:t>
      </w:r>
      <w:r w:rsidRPr="00727023">
        <w:rPr>
          <w:rFonts w:ascii="Abadi" w:hAnsi="Abadi" w:cs="*Arial-6297-Identity-H"/>
          <w:color w:val="0E0D10"/>
          <w:sz w:val="21"/>
          <w:szCs w:val="21"/>
        </w:rPr>
        <w:t>de desempeño de manera anual y únicamente formulará recomendaciones que</w:t>
      </w:r>
      <w:r>
        <w:rPr>
          <w:rFonts w:ascii="Abadi" w:hAnsi="Abadi" w:cs="*Arial-6297-Identity-H"/>
          <w:color w:val="0E0D10"/>
          <w:sz w:val="21"/>
          <w:szCs w:val="21"/>
        </w:rPr>
        <w:t xml:space="preserve"> </w:t>
      </w:r>
      <w:r w:rsidRPr="00727023">
        <w:rPr>
          <w:rFonts w:ascii="Abadi" w:hAnsi="Abadi" w:cs="*Arial-6297-Identity-H"/>
          <w:color w:val="0E0D10"/>
          <w:sz w:val="21"/>
          <w:szCs w:val="21"/>
        </w:rPr>
        <w:t>incidan en mejorar sistemáticamente el diseño, operación e impacto de los</w:t>
      </w:r>
      <w:r>
        <w:rPr>
          <w:rFonts w:ascii="Abadi" w:hAnsi="Abadi" w:cs="*Arial-6297-Identity-H"/>
          <w:color w:val="0E0D10"/>
          <w:sz w:val="21"/>
          <w:szCs w:val="21"/>
        </w:rPr>
        <w:t xml:space="preserve"> </w:t>
      </w:r>
      <w:r w:rsidRPr="00727023">
        <w:rPr>
          <w:rFonts w:ascii="Abadi" w:hAnsi="Abadi" w:cs="*Arial-6297-Identity-H"/>
          <w:color w:val="0E0D10"/>
          <w:sz w:val="21"/>
          <w:szCs w:val="21"/>
        </w:rPr>
        <w:t>presupuestos programáticos y las políticas públicas en su caso.</w:t>
      </w:r>
    </w:p>
    <w:p w14:paraId="43D769BC" w14:textId="77777777" w:rsidR="007A32BE" w:rsidRPr="00727023" w:rsidRDefault="007A32BE" w:rsidP="007A32BE">
      <w:pPr>
        <w:autoSpaceDE w:val="0"/>
        <w:autoSpaceDN w:val="0"/>
        <w:adjustRightInd w:val="0"/>
        <w:jc w:val="both"/>
        <w:rPr>
          <w:rFonts w:ascii="Abadi" w:hAnsi="Abadi" w:cs="*Arial-6297-Identity-H"/>
          <w:color w:val="0E0D10"/>
          <w:sz w:val="21"/>
          <w:szCs w:val="21"/>
        </w:rPr>
      </w:pPr>
    </w:p>
    <w:p w14:paraId="3A0025BE" w14:textId="77777777" w:rsidR="007A32BE" w:rsidRDefault="007A32BE" w:rsidP="007A32BE">
      <w:pPr>
        <w:autoSpaceDE w:val="0"/>
        <w:autoSpaceDN w:val="0"/>
        <w:adjustRightInd w:val="0"/>
        <w:ind w:firstLine="708"/>
        <w:jc w:val="both"/>
        <w:rPr>
          <w:rFonts w:ascii="Abadi" w:hAnsi="Abadi" w:cs="*Arial-6297-Identity-H"/>
          <w:color w:val="0E0E10"/>
          <w:sz w:val="21"/>
          <w:szCs w:val="21"/>
        </w:rPr>
      </w:pPr>
      <w:r w:rsidRPr="00727023">
        <w:rPr>
          <w:rFonts w:ascii="Abadi" w:hAnsi="Abadi" w:cs="*Arial-6297-Identity-H"/>
          <w:color w:val="0E0E10"/>
          <w:sz w:val="21"/>
          <w:szCs w:val="21"/>
        </w:rPr>
        <w:t>Por su parte, los artículos 59 y 60 de la citada Ley refieren que los informes</w:t>
      </w:r>
      <w:r>
        <w:rPr>
          <w:rFonts w:ascii="Abadi" w:hAnsi="Abadi" w:cs="*Arial-6297-Identity-H"/>
          <w:color w:val="0E0E10"/>
          <w:sz w:val="21"/>
          <w:szCs w:val="21"/>
        </w:rPr>
        <w:t xml:space="preserve"> </w:t>
      </w:r>
      <w:r w:rsidRPr="00727023">
        <w:rPr>
          <w:rFonts w:ascii="Abadi" w:hAnsi="Abadi" w:cs="*Arial-6297-Identity-H"/>
          <w:color w:val="0E0E10"/>
          <w:sz w:val="21"/>
          <w:szCs w:val="21"/>
        </w:rPr>
        <w:t>de resultados de auditorías de desempeño contendrán los requisitos señalados en</w:t>
      </w:r>
      <w:r>
        <w:rPr>
          <w:rFonts w:ascii="Abadi" w:hAnsi="Abadi" w:cs="*Arial-6297-Identity-H"/>
          <w:color w:val="0E0E10"/>
          <w:sz w:val="21"/>
          <w:szCs w:val="21"/>
        </w:rPr>
        <w:t xml:space="preserve"> </w:t>
      </w:r>
      <w:r w:rsidRPr="00727023">
        <w:rPr>
          <w:rFonts w:ascii="Abadi" w:hAnsi="Abadi" w:cs="*Arial-6297-Identity-H"/>
          <w:color w:val="0E0E10"/>
          <w:sz w:val="21"/>
          <w:szCs w:val="21"/>
        </w:rPr>
        <w:t>el Reglamento de la Ley y que la Auditoría Superior del Estado, remitirá dichos</w:t>
      </w:r>
      <w:r>
        <w:rPr>
          <w:rFonts w:ascii="Abadi" w:hAnsi="Abadi" w:cs="*Arial-6297-Identity-H"/>
          <w:color w:val="0E0E10"/>
          <w:sz w:val="21"/>
          <w:szCs w:val="21"/>
        </w:rPr>
        <w:t xml:space="preserve"> </w:t>
      </w:r>
      <w:r w:rsidRPr="00727023">
        <w:rPr>
          <w:rFonts w:ascii="Abadi" w:hAnsi="Abadi" w:cs="*Arial-6297-Identity-H"/>
          <w:color w:val="0E0E10"/>
          <w:sz w:val="21"/>
          <w:szCs w:val="21"/>
        </w:rPr>
        <w:t>informes al Congreso a más tardar el 30 de septiembre del ejercicio fiscal de que</w:t>
      </w:r>
      <w:r>
        <w:rPr>
          <w:rFonts w:ascii="Abadi" w:hAnsi="Abadi" w:cs="*Arial-6297-Identity-H"/>
          <w:color w:val="0E0E10"/>
          <w:sz w:val="21"/>
          <w:szCs w:val="21"/>
        </w:rPr>
        <w:t xml:space="preserve"> </w:t>
      </w:r>
      <w:r w:rsidRPr="00727023">
        <w:rPr>
          <w:rFonts w:ascii="Abadi" w:hAnsi="Abadi" w:cs="*Arial-6297-Identity-H"/>
          <w:color w:val="0E0E10"/>
          <w:sz w:val="21"/>
          <w:szCs w:val="21"/>
        </w:rPr>
        <w:t>se trate.</w:t>
      </w:r>
    </w:p>
    <w:p w14:paraId="32B4B8B3" w14:textId="77777777" w:rsidR="007A32BE" w:rsidRPr="00727023" w:rsidRDefault="007A32BE" w:rsidP="007A32BE">
      <w:pPr>
        <w:autoSpaceDE w:val="0"/>
        <w:autoSpaceDN w:val="0"/>
        <w:adjustRightInd w:val="0"/>
        <w:jc w:val="both"/>
        <w:rPr>
          <w:rFonts w:ascii="Abadi" w:hAnsi="Abadi" w:cs="*Arial-6297-Identity-H"/>
          <w:color w:val="0E0E10"/>
          <w:sz w:val="21"/>
          <w:szCs w:val="21"/>
        </w:rPr>
      </w:pPr>
    </w:p>
    <w:p w14:paraId="5A1E7A3A" w14:textId="77777777" w:rsidR="007A32BE" w:rsidRDefault="007A32BE" w:rsidP="007A32BE">
      <w:pPr>
        <w:autoSpaceDE w:val="0"/>
        <w:autoSpaceDN w:val="0"/>
        <w:adjustRightInd w:val="0"/>
        <w:ind w:firstLine="708"/>
        <w:jc w:val="both"/>
        <w:rPr>
          <w:rFonts w:ascii="Abadi" w:hAnsi="Abadi" w:cs="*Arial-6297-Identity-H"/>
          <w:color w:val="0C0C0E"/>
          <w:sz w:val="21"/>
          <w:szCs w:val="21"/>
        </w:rPr>
      </w:pPr>
      <w:r w:rsidRPr="00727023">
        <w:rPr>
          <w:rFonts w:ascii="Abadi" w:hAnsi="Abadi" w:cs="*Arial-6297-Identity-H"/>
          <w:color w:val="0C0C0E"/>
          <w:sz w:val="21"/>
          <w:szCs w:val="21"/>
        </w:rPr>
        <w:t>De lo anterior podemos desprender que el Órgano Técnico realizará la</w:t>
      </w:r>
      <w:r>
        <w:rPr>
          <w:rFonts w:ascii="Abadi" w:hAnsi="Abadi" w:cs="*Arial-6297-Identity-H"/>
          <w:color w:val="0C0C0E"/>
          <w:sz w:val="21"/>
          <w:szCs w:val="21"/>
        </w:rPr>
        <w:t xml:space="preserve"> </w:t>
      </w:r>
      <w:r w:rsidRPr="00727023">
        <w:rPr>
          <w:rFonts w:ascii="Abadi" w:hAnsi="Abadi" w:cs="*Arial-6297-Identity-H"/>
          <w:color w:val="0C0C0E"/>
          <w:sz w:val="21"/>
          <w:szCs w:val="21"/>
        </w:rPr>
        <w:t>auditoría de desempeño de manera anual y únicamente formulará</w:t>
      </w:r>
      <w:r>
        <w:rPr>
          <w:rFonts w:ascii="Abadi" w:hAnsi="Abadi" w:cs="*Arial-6297-Identity-H"/>
          <w:color w:val="0C0C0E"/>
          <w:sz w:val="21"/>
          <w:szCs w:val="21"/>
        </w:rPr>
        <w:t xml:space="preserve"> </w:t>
      </w:r>
      <w:r w:rsidRPr="00727023">
        <w:rPr>
          <w:rFonts w:ascii="Abadi" w:hAnsi="Abadi" w:cs="*Arial-6297-Identity-H"/>
          <w:color w:val="0C0C0E"/>
          <w:sz w:val="21"/>
          <w:szCs w:val="21"/>
        </w:rPr>
        <w:t>recomendaciones que incidan en la mejora del diseño, operación e impacto de los</w:t>
      </w:r>
      <w:r>
        <w:rPr>
          <w:rFonts w:ascii="Abadi" w:hAnsi="Abadi" w:cs="*Arial-6297-Identity-H"/>
          <w:color w:val="0C0C0E"/>
          <w:sz w:val="21"/>
          <w:szCs w:val="21"/>
        </w:rPr>
        <w:t xml:space="preserve"> </w:t>
      </w:r>
      <w:r w:rsidRPr="00727023">
        <w:rPr>
          <w:rFonts w:ascii="Abadi" w:hAnsi="Abadi" w:cs="*Arial-6297-Identity-H"/>
          <w:color w:val="0C0C0E"/>
          <w:sz w:val="21"/>
          <w:szCs w:val="21"/>
        </w:rPr>
        <w:t>presupuestos programáticos y las políticas públicas en su caso.</w:t>
      </w:r>
    </w:p>
    <w:p w14:paraId="5E43DCAF" w14:textId="77777777" w:rsidR="007A32BE" w:rsidRPr="00727023" w:rsidRDefault="007A32BE" w:rsidP="007A32BE">
      <w:pPr>
        <w:autoSpaceDE w:val="0"/>
        <w:autoSpaceDN w:val="0"/>
        <w:adjustRightInd w:val="0"/>
        <w:ind w:firstLine="708"/>
        <w:jc w:val="both"/>
        <w:rPr>
          <w:rFonts w:ascii="Abadi" w:hAnsi="Abadi" w:cs="*Arial-6297-Identity-H"/>
          <w:color w:val="0C0C0E"/>
          <w:sz w:val="21"/>
          <w:szCs w:val="21"/>
        </w:rPr>
      </w:pPr>
    </w:p>
    <w:p w14:paraId="6C7608B4" w14:textId="77777777" w:rsidR="007A32BE" w:rsidRDefault="007A32BE" w:rsidP="007A32BE">
      <w:pPr>
        <w:autoSpaceDE w:val="0"/>
        <w:autoSpaceDN w:val="0"/>
        <w:adjustRightInd w:val="0"/>
        <w:ind w:firstLine="708"/>
        <w:jc w:val="both"/>
        <w:rPr>
          <w:rFonts w:ascii="Abadi" w:hAnsi="Abadi" w:cs="*Arial-6297-Identity-H"/>
          <w:color w:val="0E0D10"/>
          <w:sz w:val="21"/>
          <w:szCs w:val="21"/>
        </w:rPr>
      </w:pPr>
      <w:r w:rsidRPr="00727023">
        <w:rPr>
          <w:rFonts w:ascii="Abadi" w:hAnsi="Abadi" w:cs="*Arial-6297-Identity-H"/>
          <w:color w:val="0E0D10"/>
          <w:sz w:val="21"/>
          <w:szCs w:val="21"/>
        </w:rPr>
        <w:t>Finalmente, el artículo 16 de la Ley de Fiscalización Superior del Estado de</w:t>
      </w:r>
      <w:r>
        <w:rPr>
          <w:rFonts w:ascii="Abadi" w:hAnsi="Abadi" w:cs="*Arial-6297-Identity-H"/>
          <w:color w:val="0E0D10"/>
          <w:sz w:val="21"/>
          <w:szCs w:val="21"/>
        </w:rPr>
        <w:t xml:space="preserve"> </w:t>
      </w:r>
      <w:r w:rsidRPr="00727023">
        <w:rPr>
          <w:rFonts w:ascii="Abadi" w:hAnsi="Abadi" w:cs="*Arial-6297-Identity-H"/>
          <w:color w:val="0E0D10"/>
          <w:sz w:val="21"/>
          <w:szCs w:val="21"/>
        </w:rPr>
        <w:t>Guanajuato, consigna que la Auditoría Superior establecerá un Programa General</w:t>
      </w:r>
      <w:r>
        <w:rPr>
          <w:rFonts w:ascii="Abadi" w:hAnsi="Abadi" w:cs="*Arial-6297-Identity-H"/>
          <w:color w:val="0E0D10"/>
          <w:sz w:val="21"/>
          <w:szCs w:val="21"/>
        </w:rPr>
        <w:t xml:space="preserve"> </w:t>
      </w:r>
      <w:r w:rsidRPr="00727023">
        <w:rPr>
          <w:rFonts w:ascii="Abadi" w:hAnsi="Abadi" w:cs="*Arial-6297-Identity-H"/>
          <w:color w:val="0E0D10"/>
          <w:sz w:val="21"/>
          <w:szCs w:val="21"/>
        </w:rPr>
        <w:t>de Fiscalización, señalando los actos y sujetos de fiscalización, los que serán</w:t>
      </w:r>
      <w:r>
        <w:rPr>
          <w:rFonts w:ascii="Abadi" w:hAnsi="Abadi" w:cs="*Arial-6297-Identity-H"/>
          <w:color w:val="0E0D10"/>
          <w:sz w:val="21"/>
          <w:szCs w:val="21"/>
        </w:rPr>
        <w:t xml:space="preserve"> </w:t>
      </w:r>
      <w:r w:rsidRPr="00727023">
        <w:rPr>
          <w:rFonts w:ascii="Abadi" w:hAnsi="Abadi" w:cs="*Arial-6297-Identity-H"/>
          <w:color w:val="0E0D10"/>
          <w:sz w:val="21"/>
          <w:szCs w:val="21"/>
        </w:rPr>
        <w:t>objeto de auditoría o revisión conforme a los criterios y normas que se establezcan</w:t>
      </w:r>
      <w:r>
        <w:rPr>
          <w:rFonts w:ascii="Abadi" w:hAnsi="Abadi" w:cs="*Arial-6297-Identity-H"/>
          <w:color w:val="0E0D10"/>
          <w:sz w:val="21"/>
          <w:szCs w:val="21"/>
        </w:rPr>
        <w:t xml:space="preserve"> </w:t>
      </w:r>
      <w:r w:rsidRPr="00727023">
        <w:rPr>
          <w:rFonts w:ascii="Abadi" w:hAnsi="Abadi" w:cs="*Arial-6297-Identity-H"/>
          <w:color w:val="0E0D10"/>
          <w:sz w:val="21"/>
          <w:szCs w:val="21"/>
        </w:rPr>
        <w:t>en el Reglamento de la Ley.</w:t>
      </w:r>
    </w:p>
    <w:p w14:paraId="0738C726" w14:textId="77777777" w:rsidR="007A32BE" w:rsidRPr="00727023" w:rsidRDefault="007A32BE" w:rsidP="007A32BE">
      <w:pPr>
        <w:autoSpaceDE w:val="0"/>
        <w:autoSpaceDN w:val="0"/>
        <w:adjustRightInd w:val="0"/>
        <w:jc w:val="both"/>
        <w:rPr>
          <w:rFonts w:ascii="Abadi" w:hAnsi="Abadi" w:cs="*Arial-6297-Identity-H"/>
          <w:color w:val="0E0D10"/>
          <w:sz w:val="21"/>
          <w:szCs w:val="21"/>
        </w:rPr>
      </w:pPr>
    </w:p>
    <w:p w14:paraId="283CA3B2" w14:textId="77777777" w:rsidR="007A32BE" w:rsidRDefault="007A32BE" w:rsidP="007A32BE">
      <w:pPr>
        <w:autoSpaceDE w:val="0"/>
        <w:autoSpaceDN w:val="0"/>
        <w:adjustRightInd w:val="0"/>
        <w:ind w:firstLine="708"/>
        <w:jc w:val="both"/>
        <w:rPr>
          <w:rFonts w:ascii="Abadi" w:hAnsi="Abadi" w:cs="*Arial-6297-Identity-H"/>
          <w:color w:val="0D0D10"/>
          <w:sz w:val="21"/>
          <w:szCs w:val="21"/>
        </w:rPr>
      </w:pPr>
      <w:r w:rsidRPr="00727023">
        <w:rPr>
          <w:rFonts w:ascii="Abadi" w:hAnsi="Abadi" w:cs="*Arial-6297-Identity-H"/>
          <w:color w:val="0D0D10"/>
          <w:sz w:val="21"/>
          <w:szCs w:val="21"/>
        </w:rPr>
        <w:t>En ejercicio de esta función, el Auditor Superior del Estado aprobó el</w:t>
      </w:r>
      <w:r>
        <w:rPr>
          <w:rFonts w:ascii="Abadi" w:hAnsi="Abadi" w:cs="*Arial-6297-Identity-H"/>
          <w:color w:val="0D0D10"/>
          <w:sz w:val="21"/>
          <w:szCs w:val="21"/>
        </w:rPr>
        <w:t xml:space="preserve"> </w:t>
      </w:r>
      <w:r w:rsidRPr="00727023">
        <w:rPr>
          <w:rFonts w:ascii="Abadi" w:hAnsi="Abadi" w:cs="*Arial-6297-Identity-H"/>
          <w:color w:val="0D0D10"/>
          <w:sz w:val="21"/>
          <w:szCs w:val="21"/>
        </w:rPr>
        <w:t>Programa General de Fiscalización 2021. En dicho Programa se contempló la</w:t>
      </w:r>
      <w:r>
        <w:rPr>
          <w:rFonts w:ascii="Abadi" w:hAnsi="Abadi" w:cs="*Arial-6297-Identity-H"/>
          <w:color w:val="0D0D10"/>
          <w:sz w:val="21"/>
          <w:szCs w:val="21"/>
        </w:rPr>
        <w:t xml:space="preserve"> </w:t>
      </w:r>
      <w:r w:rsidRPr="00727023">
        <w:rPr>
          <w:rFonts w:ascii="Abadi" w:hAnsi="Abadi" w:cs="*Arial-6297-Identity-H"/>
          <w:color w:val="0D0D10"/>
          <w:sz w:val="21"/>
          <w:szCs w:val="21"/>
        </w:rPr>
        <w:t>práctica de una auditoría de desempeño a la administración municipal de San</w:t>
      </w:r>
      <w:r>
        <w:rPr>
          <w:rFonts w:ascii="Abadi" w:hAnsi="Abadi" w:cs="*Arial-6297-Identity-H"/>
          <w:color w:val="0D0D10"/>
          <w:sz w:val="21"/>
          <w:szCs w:val="21"/>
        </w:rPr>
        <w:t xml:space="preserve"> </w:t>
      </w:r>
      <w:r w:rsidRPr="00727023">
        <w:rPr>
          <w:rFonts w:ascii="Abadi" w:hAnsi="Abadi" w:cs="*Arial-6297-Identity-H"/>
          <w:color w:val="0D0D10"/>
          <w:sz w:val="21"/>
          <w:szCs w:val="21"/>
        </w:rPr>
        <w:t xml:space="preserve">Miguel de Allende, </w:t>
      </w:r>
      <w:proofErr w:type="spellStart"/>
      <w:r w:rsidRPr="00727023">
        <w:rPr>
          <w:rFonts w:ascii="Abadi" w:hAnsi="Abadi" w:cs="*Arial-6297-Identity-H"/>
          <w:color w:val="0D0D10"/>
          <w:sz w:val="21"/>
          <w:szCs w:val="21"/>
        </w:rPr>
        <w:t>Gto</w:t>
      </w:r>
      <w:proofErr w:type="spellEnd"/>
      <w:r w:rsidRPr="00727023">
        <w:rPr>
          <w:rFonts w:ascii="Abadi" w:hAnsi="Abadi" w:cs="*Arial-6297-Identity-H"/>
          <w:color w:val="0D0D10"/>
          <w:sz w:val="21"/>
          <w:szCs w:val="21"/>
        </w:rPr>
        <w:t>., por el periodo comprendido del 1 de enero al 31 de</w:t>
      </w:r>
      <w:r>
        <w:rPr>
          <w:rFonts w:ascii="Abadi" w:hAnsi="Abadi" w:cs="*Arial-6297-Identity-H"/>
          <w:color w:val="0D0D10"/>
          <w:sz w:val="21"/>
          <w:szCs w:val="21"/>
        </w:rPr>
        <w:t xml:space="preserve"> </w:t>
      </w:r>
      <w:r w:rsidRPr="00727023">
        <w:rPr>
          <w:rFonts w:ascii="Abadi" w:hAnsi="Abadi" w:cs="*Arial-6297-Identity-H"/>
          <w:color w:val="0D0D10"/>
          <w:sz w:val="21"/>
          <w:szCs w:val="21"/>
        </w:rPr>
        <w:t>diciembre del ejercicio fiscal del año 2020, la cual se realizó con enfoque a</w:t>
      </w:r>
      <w:r>
        <w:rPr>
          <w:rFonts w:ascii="Abadi" w:hAnsi="Abadi" w:cs="*Arial-6297-Identity-H"/>
          <w:color w:val="0D0D10"/>
          <w:sz w:val="21"/>
          <w:szCs w:val="21"/>
        </w:rPr>
        <w:t xml:space="preserve"> </w:t>
      </w:r>
      <w:r w:rsidRPr="00727023">
        <w:rPr>
          <w:rFonts w:ascii="Abadi" w:hAnsi="Abadi" w:cs="*Arial-6297-Identity-H"/>
          <w:color w:val="0D0D10"/>
          <w:sz w:val="21"/>
          <w:szCs w:val="21"/>
        </w:rPr>
        <w:t>resultados del servicio de alumbrado público.</w:t>
      </w:r>
    </w:p>
    <w:p w14:paraId="3960A18E" w14:textId="77777777" w:rsidR="007A32BE" w:rsidRPr="00727023" w:rsidRDefault="007A32BE" w:rsidP="007A32BE">
      <w:pPr>
        <w:autoSpaceDE w:val="0"/>
        <w:autoSpaceDN w:val="0"/>
        <w:adjustRightInd w:val="0"/>
        <w:jc w:val="both"/>
        <w:rPr>
          <w:rFonts w:ascii="Abadi" w:hAnsi="Abadi" w:cs="*Arial-6297-Identity-H"/>
          <w:color w:val="0D0D10"/>
          <w:sz w:val="21"/>
          <w:szCs w:val="21"/>
        </w:rPr>
      </w:pPr>
    </w:p>
    <w:p w14:paraId="4B229FC6" w14:textId="77777777" w:rsidR="007A32BE" w:rsidRPr="00727023" w:rsidRDefault="007A32BE" w:rsidP="007A32BE">
      <w:pPr>
        <w:autoSpaceDE w:val="0"/>
        <w:autoSpaceDN w:val="0"/>
        <w:adjustRightInd w:val="0"/>
        <w:ind w:firstLine="708"/>
        <w:jc w:val="both"/>
        <w:rPr>
          <w:rFonts w:ascii="Abadi" w:hAnsi="Abadi" w:cs="*Arial-6297-Identity-H"/>
          <w:color w:val="0C0C0F"/>
          <w:sz w:val="21"/>
          <w:szCs w:val="21"/>
        </w:rPr>
      </w:pPr>
      <w:r w:rsidRPr="00727023">
        <w:rPr>
          <w:rFonts w:ascii="Abadi" w:hAnsi="Abadi" w:cs="*Arial-6297-Identity-H"/>
          <w:color w:val="0C0C0F"/>
          <w:sz w:val="21"/>
          <w:szCs w:val="21"/>
        </w:rPr>
        <w:t>El 3 de septiembre de 2021 se notificó al sujeto fiscalizado el inicio de la</w:t>
      </w:r>
      <w:r>
        <w:rPr>
          <w:rFonts w:ascii="Abadi" w:hAnsi="Abadi" w:cs="*Arial-6297-Identity-H"/>
          <w:color w:val="0C0C0F"/>
          <w:sz w:val="21"/>
          <w:szCs w:val="21"/>
        </w:rPr>
        <w:t xml:space="preserve"> </w:t>
      </w:r>
      <w:r w:rsidRPr="00727023">
        <w:rPr>
          <w:rFonts w:ascii="Abadi" w:hAnsi="Abadi" w:cs="*Arial-6297-Identity-H"/>
          <w:color w:val="0C0C0F"/>
          <w:sz w:val="21"/>
          <w:szCs w:val="21"/>
        </w:rPr>
        <w:t>auditoría materia del presente dictamen.</w:t>
      </w:r>
    </w:p>
    <w:p w14:paraId="0A584AF2" w14:textId="77777777" w:rsidR="007A32BE" w:rsidRPr="00727023" w:rsidRDefault="007A32BE" w:rsidP="007A32BE">
      <w:pPr>
        <w:autoSpaceDE w:val="0"/>
        <w:autoSpaceDN w:val="0"/>
        <w:adjustRightInd w:val="0"/>
        <w:jc w:val="both"/>
        <w:rPr>
          <w:rFonts w:ascii="Abadi" w:hAnsi="Abadi" w:cs="*Arial-6823-Identity-H"/>
          <w:color w:val="0C0C0C"/>
          <w:sz w:val="21"/>
          <w:szCs w:val="21"/>
        </w:rPr>
      </w:pPr>
    </w:p>
    <w:p w14:paraId="783FDB7C" w14:textId="77777777" w:rsidR="007A32BE" w:rsidRDefault="007A32BE" w:rsidP="007A32BE">
      <w:pPr>
        <w:autoSpaceDE w:val="0"/>
        <w:autoSpaceDN w:val="0"/>
        <w:adjustRightInd w:val="0"/>
        <w:ind w:firstLine="708"/>
        <w:jc w:val="both"/>
        <w:rPr>
          <w:rFonts w:ascii="Abadi" w:hAnsi="Abadi" w:cs="*Arial-6822-Identity-H"/>
          <w:color w:val="0C0B0E"/>
          <w:sz w:val="21"/>
          <w:szCs w:val="21"/>
        </w:rPr>
      </w:pPr>
      <w:r w:rsidRPr="00727023">
        <w:rPr>
          <w:rFonts w:ascii="Abadi" w:hAnsi="Abadi" w:cs="*Arial-6822-Identity-H"/>
          <w:color w:val="0C0B0E"/>
          <w:sz w:val="21"/>
          <w:szCs w:val="21"/>
        </w:rPr>
        <w:t>Mediante oficio notificado el 27 de septiembre de 2021, la Auditoría</w:t>
      </w:r>
      <w:r>
        <w:rPr>
          <w:rFonts w:ascii="Abadi" w:hAnsi="Abadi" w:cs="*Arial-6822-Identity-H"/>
          <w:color w:val="0C0B0E"/>
          <w:sz w:val="21"/>
          <w:szCs w:val="21"/>
        </w:rPr>
        <w:t xml:space="preserve"> </w:t>
      </w:r>
      <w:r w:rsidRPr="00727023">
        <w:rPr>
          <w:rFonts w:ascii="Abadi" w:hAnsi="Abadi" w:cs="*Arial-6822-Identity-H"/>
          <w:color w:val="0C0B0E"/>
          <w:sz w:val="21"/>
          <w:szCs w:val="21"/>
        </w:rPr>
        <w:t>Superior del Estado requirió al sujeto de fiscalización diversa información que se</w:t>
      </w:r>
      <w:r>
        <w:rPr>
          <w:rFonts w:ascii="Abadi" w:hAnsi="Abadi" w:cs="*Arial-6822-Identity-H"/>
          <w:color w:val="0C0B0E"/>
          <w:sz w:val="21"/>
          <w:szCs w:val="21"/>
        </w:rPr>
        <w:t xml:space="preserve"> </w:t>
      </w:r>
      <w:r w:rsidRPr="00727023">
        <w:rPr>
          <w:rFonts w:ascii="Abadi" w:hAnsi="Abadi" w:cs="*Arial-6822-Identity-H"/>
          <w:color w:val="0C0B0E"/>
          <w:sz w:val="21"/>
          <w:szCs w:val="21"/>
        </w:rPr>
        <w:t>consideró necesaria para llevar a cabo la auditoria, al cual se dio respuesta el 7 de</w:t>
      </w:r>
      <w:r>
        <w:rPr>
          <w:rFonts w:ascii="Abadi" w:hAnsi="Abadi" w:cs="*Arial-6822-Identity-H"/>
          <w:color w:val="0C0B0E"/>
          <w:sz w:val="21"/>
          <w:szCs w:val="21"/>
        </w:rPr>
        <w:t xml:space="preserve"> </w:t>
      </w:r>
      <w:r w:rsidRPr="00727023">
        <w:rPr>
          <w:rFonts w:ascii="Abadi" w:hAnsi="Abadi" w:cs="*Arial-6822-Identity-H"/>
          <w:color w:val="0C0B0E"/>
          <w:sz w:val="21"/>
          <w:szCs w:val="21"/>
        </w:rPr>
        <w:t>octubre de 2021. Asimismo, en fechas 16 y 18 de noviembre de 2021, el Órgano</w:t>
      </w:r>
      <w:r>
        <w:rPr>
          <w:rFonts w:ascii="Abadi" w:hAnsi="Abadi" w:cs="*Arial-6822-Identity-H"/>
          <w:color w:val="0C0B0E"/>
          <w:sz w:val="21"/>
          <w:szCs w:val="21"/>
        </w:rPr>
        <w:t xml:space="preserve"> </w:t>
      </w:r>
      <w:r w:rsidRPr="00727023">
        <w:rPr>
          <w:rFonts w:ascii="Abadi" w:hAnsi="Abadi" w:cs="*Arial-6822-Identity-H"/>
          <w:color w:val="0C0B0E"/>
          <w:sz w:val="21"/>
          <w:szCs w:val="21"/>
        </w:rPr>
        <w:t>Técnico realizó entrevistas.</w:t>
      </w:r>
    </w:p>
    <w:p w14:paraId="44D41F61" w14:textId="77777777" w:rsidR="007A32BE" w:rsidRPr="00727023" w:rsidRDefault="007A32BE" w:rsidP="007A32BE">
      <w:pPr>
        <w:autoSpaceDE w:val="0"/>
        <w:autoSpaceDN w:val="0"/>
        <w:adjustRightInd w:val="0"/>
        <w:jc w:val="both"/>
        <w:rPr>
          <w:rFonts w:ascii="Abadi" w:hAnsi="Abadi" w:cs="*Arial-6822-Identity-H"/>
          <w:color w:val="0C0B0E"/>
          <w:sz w:val="21"/>
          <w:szCs w:val="21"/>
        </w:rPr>
      </w:pPr>
    </w:p>
    <w:p w14:paraId="18C4A57B" w14:textId="77777777" w:rsidR="007A32BE" w:rsidRDefault="007A32BE" w:rsidP="007A32BE">
      <w:pPr>
        <w:autoSpaceDE w:val="0"/>
        <w:autoSpaceDN w:val="0"/>
        <w:adjustRightInd w:val="0"/>
        <w:ind w:firstLine="708"/>
        <w:jc w:val="both"/>
        <w:rPr>
          <w:rFonts w:ascii="Abadi" w:hAnsi="Abadi" w:cs="*Arial-6822-Identity-H"/>
          <w:color w:val="0C0B0E"/>
          <w:sz w:val="21"/>
          <w:szCs w:val="21"/>
        </w:rPr>
      </w:pPr>
      <w:r w:rsidRPr="00727023">
        <w:rPr>
          <w:rFonts w:ascii="Abadi" w:hAnsi="Abadi" w:cs="*Arial-6822-Identity-H"/>
          <w:color w:val="0C0B0E"/>
          <w:sz w:val="21"/>
          <w:szCs w:val="21"/>
        </w:rPr>
        <w:t>En fechas 27 de septiembre y 17 de diciembre de 2021 se notificó al sujeto</w:t>
      </w:r>
      <w:r>
        <w:rPr>
          <w:rFonts w:ascii="Abadi" w:hAnsi="Abadi" w:cs="*Arial-6822-Identity-H"/>
          <w:color w:val="0C0B0E"/>
          <w:sz w:val="21"/>
          <w:szCs w:val="21"/>
        </w:rPr>
        <w:t xml:space="preserve"> </w:t>
      </w:r>
      <w:r w:rsidRPr="00727023">
        <w:rPr>
          <w:rFonts w:ascii="Abadi" w:hAnsi="Abadi" w:cs="*Arial-6822-Identity-H"/>
          <w:color w:val="0C0B0E"/>
          <w:sz w:val="21"/>
          <w:szCs w:val="21"/>
        </w:rPr>
        <w:t>fiscalizado la suspensión del plazo de la auditoría materia del presente dictamen,</w:t>
      </w:r>
      <w:r>
        <w:rPr>
          <w:rFonts w:ascii="Abadi" w:hAnsi="Abadi" w:cs="*Arial-6822-Identity-H"/>
          <w:color w:val="0C0B0E"/>
          <w:sz w:val="21"/>
          <w:szCs w:val="21"/>
        </w:rPr>
        <w:t xml:space="preserve"> </w:t>
      </w:r>
      <w:r w:rsidRPr="00727023">
        <w:rPr>
          <w:rFonts w:ascii="Abadi" w:hAnsi="Abadi" w:cs="*Arial-6822-Identity-H"/>
          <w:color w:val="0C0B0E"/>
          <w:sz w:val="21"/>
          <w:szCs w:val="21"/>
        </w:rPr>
        <w:t>por los periodos comprendidos del 1 de octubre al 17 de diciembre de 2021; y del</w:t>
      </w:r>
      <w:r>
        <w:rPr>
          <w:rFonts w:ascii="Abadi" w:hAnsi="Abadi" w:cs="*Arial-6822-Identity-H"/>
          <w:color w:val="0C0B0E"/>
          <w:sz w:val="21"/>
          <w:szCs w:val="21"/>
        </w:rPr>
        <w:t xml:space="preserve"> </w:t>
      </w:r>
      <w:r w:rsidRPr="00727023">
        <w:rPr>
          <w:rFonts w:ascii="Abadi" w:hAnsi="Abadi" w:cs="*Arial-6822-Identity-H"/>
          <w:color w:val="0C0B0E"/>
          <w:sz w:val="21"/>
          <w:szCs w:val="21"/>
        </w:rPr>
        <w:t>3 de enero al 11 de marzo de 2022.</w:t>
      </w:r>
    </w:p>
    <w:p w14:paraId="4B0D1FF9" w14:textId="77777777" w:rsidR="007A32BE" w:rsidRPr="00727023" w:rsidRDefault="007A32BE" w:rsidP="007A32BE">
      <w:pPr>
        <w:autoSpaceDE w:val="0"/>
        <w:autoSpaceDN w:val="0"/>
        <w:adjustRightInd w:val="0"/>
        <w:jc w:val="both"/>
        <w:rPr>
          <w:rFonts w:ascii="Abadi" w:hAnsi="Abadi" w:cs="*Arial-6822-Identity-H"/>
          <w:color w:val="0C0B0E"/>
          <w:sz w:val="21"/>
          <w:szCs w:val="21"/>
        </w:rPr>
      </w:pPr>
    </w:p>
    <w:p w14:paraId="51906773" w14:textId="77777777" w:rsidR="007A32BE" w:rsidRDefault="007A32BE" w:rsidP="007A32BE">
      <w:pPr>
        <w:autoSpaceDE w:val="0"/>
        <w:autoSpaceDN w:val="0"/>
        <w:adjustRightInd w:val="0"/>
        <w:ind w:firstLine="708"/>
        <w:jc w:val="both"/>
        <w:rPr>
          <w:rFonts w:ascii="Abadi" w:hAnsi="Abadi" w:cs="*Arial-6822-Identity-H"/>
          <w:color w:val="0C0C0F"/>
          <w:sz w:val="21"/>
          <w:szCs w:val="21"/>
        </w:rPr>
      </w:pPr>
      <w:r w:rsidRPr="00727023">
        <w:rPr>
          <w:rFonts w:ascii="Abadi" w:hAnsi="Abadi" w:cs="*Arial-6822-Identity-H"/>
          <w:color w:val="0C0C0F"/>
          <w:sz w:val="21"/>
          <w:szCs w:val="21"/>
        </w:rPr>
        <w:t>Como parte del proceso de auditoría, el 12 de enero de 2022 se notificó al</w:t>
      </w:r>
      <w:r>
        <w:rPr>
          <w:rFonts w:ascii="Abadi" w:hAnsi="Abadi" w:cs="*Arial-6822-Identity-H"/>
          <w:color w:val="0C0C0F"/>
          <w:sz w:val="21"/>
          <w:szCs w:val="21"/>
        </w:rPr>
        <w:t xml:space="preserve"> </w:t>
      </w:r>
      <w:r w:rsidRPr="00727023">
        <w:rPr>
          <w:rFonts w:ascii="Abadi" w:hAnsi="Abadi" w:cs="*Arial-6822-Identity-H"/>
          <w:color w:val="0C0C0F"/>
          <w:sz w:val="21"/>
          <w:szCs w:val="21"/>
        </w:rPr>
        <w:t>sujeto fiscalizado el pliego de recomendaciones derivadas de la auditoría</w:t>
      </w:r>
      <w:r>
        <w:rPr>
          <w:rFonts w:ascii="Abadi" w:hAnsi="Abadi" w:cs="*Arial-6822-Identity-H"/>
          <w:color w:val="0C0C0F"/>
          <w:sz w:val="21"/>
          <w:szCs w:val="21"/>
        </w:rPr>
        <w:t xml:space="preserve"> </w:t>
      </w:r>
      <w:r w:rsidRPr="00727023">
        <w:rPr>
          <w:rFonts w:ascii="Abadi" w:hAnsi="Abadi" w:cs="*Arial-6822-Identity-H"/>
          <w:color w:val="0C0C0F"/>
          <w:sz w:val="21"/>
          <w:szCs w:val="21"/>
        </w:rPr>
        <w:t>practicada. Lo anterior, para dar cumplimiento a lo preceptuado por el artículo 58</w:t>
      </w:r>
      <w:r>
        <w:rPr>
          <w:rFonts w:ascii="Abadi" w:hAnsi="Abadi" w:cs="*Arial-6822-Identity-H"/>
          <w:color w:val="0C0C0F"/>
          <w:sz w:val="21"/>
          <w:szCs w:val="21"/>
        </w:rPr>
        <w:t xml:space="preserve"> </w:t>
      </w:r>
      <w:r w:rsidRPr="00727023">
        <w:rPr>
          <w:rFonts w:ascii="Abadi" w:hAnsi="Abadi" w:cs="*Arial-6822-Identity-H"/>
          <w:color w:val="0C0C0F"/>
          <w:sz w:val="21"/>
          <w:szCs w:val="21"/>
        </w:rPr>
        <w:t>de la Ley de Fiscalización Superior del Estado de Guanajuato.</w:t>
      </w:r>
    </w:p>
    <w:p w14:paraId="2BDD985F" w14:textId="77777777" w:rsidR="007A32BE" w:rsidRPr="00727023" w:rsidRDefault="007A32BE" w:rsidP="007A32BE">
      <w:pPr>
        <w:autoSpaceDE w:val="0"/>
        <w:autoSpaceDN w:val="0"/>
        <w:adjustRightInd w:val="0"/>
        <w:ind w:firstLine="708"/>
        <w:jc w:val="both"/>
        <w:rPr>
          <w:rFonts w:ascii="Abadi" w:hAnsi="Abadi" w:cs="*Arial-6822-Identity-H"/>
          <w:color w:val="0C0C0F"/>
          <w:sz w:val="21"/>
          <w:szCs w:val="21"/>
        </w:rPr>
      </w:pPr>
    </w:p>
    <w:p w14:paraId="67C64E44" w14:textId="27E9F495" w:rsidR="007A32BE" w:rsidRDefault="007A32BE" w:rsidP="00015D8C">
      <w:pPr>
        <w:autoSpaceDE w:val="0"/>
        <w:autoSpaceDN w:val="0"/>
        <w:adjustRightInd w:val="0"/>
        <w:ind w:firstLine="708"/>
        <w:jc w:val="both"/>
        <w:rPr>
          <w:rFonts w:ascii="Abadi" w:hAnsi="Abadi" w:cs="*Arial-6822-Identity-H"/>
          <w:color w:val="0E0E10"/>
          <w:sz w:val="21"/>
          <w:szCs w:val="21"/>
        </w:rPr>
      </w:pPr>
      <w:r w:rsidRPr="00727023">
        <w:rPr>
          <w:rFonts w:ascii="Abadi" w:hAnsi="Abadi" w:cs="*Arial-6822-Identity-H"/>
          <w:color w:val="0E0E10"/>
          <w:sz w:val="21"/>
          <w:szCs w:val="21"/>
        </w:rPr>
        <w:t xml:space="preserve">El 26 de enero de 2022, </w:t>
      </w:r>
      <w:r w:rsidRPr="00727023">
        <w:rPr>
          <w:rFonts w:ascii="Abadi" w:hAnsi="Abadi" w:cs="*Arial-6822-Identity-H"/>
          <w:color w:val="707070"/>
          <w:sz w:val="21"/>
          <w:szCs w:val="21"/>
        </w:rPr>
        <w:t xml:space="preserve">· </w:t>
      </w:r>
      <w:r w:rsidRPr="00727023">
        <w:rPr>
          <w:rFonts w:ascii="Abadi" w:hAnsi="Abadi" w:cs="*Arial-6822-Identity-H"/>
          <w:color w:val="0E0E10"/>
          <w:sz w:val="21"/>
          <w:szCs w:val="21"/>
        </w:rPr>
        <w:t>el sujeto fiscalizado dio respuesta a las</w:t>
      </w:r>
      <w:r>
        <w:rPr>
          <w:rFonts w:ascii="Abadi" w:hAnsi="Abadi" w:cs="*Arial-6822-Identity-H"/>
          <w:color w:val="0E0E10"/>
          <w:sz w:val="21"/>
          <w:szCs w:val="21"/>
        </w:rPr>
        <w:t xml:space="preserve"> </w:t>
      </w:r>
      <w:r w:rsidRPr="00727023">
        <w:rPr>
          <w:rFonts w:ascii="Abadi" w:hAnsi="Abadi" w:cs="*Arial-6822-Identity-H"/>
          <w:color w:val="0E0E10"/>
          <w:sz w:val="21"/>
          <w:szCs w:val="21"/>
        </w:rPr>
        <w:t>recomendaciones derivadas de la auditoría practicada, anexándose la información</w:t>
      </w:r>
      <w:r>
        <w:rPr>
          <w:rFonts w:ascii="Abadi" w:hAnsi="Abadi" w:cs="*Arial-6822-Identity-H"/>
          <w:color w:val="0E0E10"/>
          <w:sz w:val="21"/>
          <w:szCs w:val="21"/>
        </w:rPr>
        <w:t xml:space="preserve"> </w:t>
      </w:r>
      <w:r w:rsidRPr="00727023">
        <w:rPr>
          <w:rFonts w:ascii="Abadi" w:hAnsi="Abadi" w:cs="*Arial-6822-Identity-H"/>
          <w:color w:val="0E0E10"/>
          <w:sz w:val="21"/>
          <w:szCs w:val="21"/>
        </w:rPr>
        <w:t>y documentación que el mismo consideró suficiente para precisar las mejoras</w:t>
      </w:r>
      <w:r>
        <w:rPr>
          <w:rFonts w:ascii="Abadi" w:hAnsi="Abadi" w:cs="*Arial-6822-Identity-H"/>
          <w:color w:val="0E0E10"/>
          <w:sz w:val="21"/>
          <w:szCs w:val="21"/>
        </w:rPr>
        <w:t xml:space="preserve"> </w:t>
      </w:r>
      <w:r w:rsidRPr="00727023">
        <w:rPr>
          <w:rFonts w:ascii="Abadi" w:hAnsi="Abadi" w:cs="*Arial-6822-Identity-H"/>
          <w:color w:val="0E0E10"/>
          <w:sz w:val="21"/>
          <w:szCs w:val="21"/>
        </w:rPr>
        <w:t>efectuadas, las acciones a realizar o en su caso, justificar la improcedencia por la</w:t>
      </w:r>
      <w:r>
        <w:rPr>
          <w:rFonts w:ascii="Abadi" w:hAnsi="Abadi" w:cs="*Arial-6822-Identity-H"/>
          <w:color w:val="0E0E10"/>
          <w:sz w:val="21"/>
          <w:szCs w:val="21"/>
        </w:rPr>
        <w:t xml:space="preserve"> </w:t>
      </w:r>
      <w:r w:rsidRPr="00727023">
        <w:rPr>
          <w:rFonts w:ascii="Abadi" w:hAnsi="Abadi" w:cs="*Arial-6822-Identity-H"/>
          <w:color w:val="0E0E10"/>
          <w:sz w:val="21"/>
          <w:szCs w:val="21"/>
        </w:rPr>
        <w:t>cual no resulte factible su implementación. Una vez valorada la documentación</w:t>
      </w:r>
      <w:r w:rsidR="00015D8C">
        <w:rPr>
          <w:rFonts w:ascii="Abadi" w:hAnsi="Abadi" w:cs="*Arial-6822-Identity-H"/>
          <w:color w:val="0E0E10"/>
          <w:sz w:val="21"/>
          <w:szCs w:val="21"/>
        </w:rPr>
        <w:t xml:space="preserve"> </w:t>
      </w:r>
      <w:r w:rsidRPr="00727023">
        <w:rPr>
          <w:rFonts w:ascii="Abadi" w:hAnsi="Abadi" w:cs="*Arial-6822-Identity-H"/>
          <w:color w:val="0E0E10"/>
          <w:sz w:val="21"/>
          <w:szCs w:val="21"/>
        </w:rPr>
        <w:t>aportada se procedió</w:t>
      </w:r>
      <w:r>
        <w:rPr>
          <w:rFonts w:ascii="Abadi" w:hAnsi="Abadi" w:cs="*Arial-6822-Identity-H"/>
          <w:color w:val="0E0E10"/>
          <w:sz w:val="21"/>
          <w:szCs w:val="21"/>
        </w:rPr>
        <w:t xml:space="preserve"> </w:t>
      </w:r>
      <w:r w:rsidRPr="00727023">
        <w:rPr>
          <w:rFonts w:ascii="Abadi" w:hAnsi="Abadi" w:cs="*Arial-6822-Identity-H"/>
          <w:color w:val="0E0E10"/>
          <w:sz w:val="21"/>
          <w:szCs w:val="21"/>
        </w:rPr>
        <w:t>a la elaboración del informe de resultados materia del</w:t>
      </w:r>
      <w:r>
        <w:rPr>
          <w:rFonts w:ascii="Abadi" w:hAnsi="Abadi" w:cs="*Arial-6822-Identity-H"/>
          <w:color w:val="0E0E10"/>
          <w:sz w:val="21"/>
          <w:szCs w:val="21"/>
        </w:rPr>
        <w:t xml:space="preserve"> </w:t>
      </w:r>
      <w:r w:rsidRPr="00727023">
        <w:rPr>
          <w:rFonts w:ascii="Abadi" w:hAnsi="Abadi" w:cs="*Arial-6822-Identity-H"/>
          <w:color w:val="0E0E10"/>
          <w:sz w:val="21"/>
          <w:szCs w:val="21"/>
        </w:rPr>
        <w:t>presente dictamen.</w:t>
      </w:r>
    </w:p>
    <w:p w14:paraId="3DB57F1D" w14:textId="77777777" w:rsidR="007A32BE" w:rsidRPr="00727023" w:rsidRDefault="007A32BE" w:rsidP="007A32BE">
      <w:pPr>
        <w:autoSpaceDE w:val="0"/>
        <w:autoSpaceDN w:val="0"/>
        <w:adjustRightInd w:val="0"/>
        <w:jc w:val="both"/>
        <w:rPr>
          <w:rFonts w:ascii="Abadi" w:hAnsi="Abadi" w:cs="*Arial-6822-Identity-H"/>
          <w:color w:val="0E0E10"/>
          <w:sz w:val="21"/>
          <w:szCs w:val="21"/>
        </w:rPr>
      </w:pPr>
    </w:p>
    <w:p w14:paraId="76DA5166" w14:textId="77777777" w:rsidR="007A32BE" w:rsidRDefault="007A32BE" w:rsidP="007A32BE">
      <w:pPr>
        <w:autoSpaceDE w:val="0"/>
        <w:autoSpaceDN w:val="0"/>
        <w:adjustRightInd w:val="0"/>
        <w:ind w:firstLine="708"/>
        <w:jc w:val="both"/>
        <w:rPr>
          <w:rFonts w:ascii="Abadi" w:hAnsi="Abadi" w:cs="*Arial-6822-Identity-H"/>
          <w:color w:val="0E0D10"/>
          <w:sz w:val="21"/>
          <w:szCs w:val="21"/>
        </w:rPr>
      </w:pPr>
      <w:r w:rsidRPr="00727023">
        <w:rPr>
          <w:rFonts w:ascii="Abadi" w:hAnsi="Abadi" w:cs="*Arial-6822-Identity-H"/>
          <w:color w:val="0E0D10"/>
          <w:sz w:val="21"/>
          <w:szCs w:val="21"/>
        </w:rPr>
        <w:t>El informe de resultados se notificó al presidente municipal de San Miguel</w:t>
      </w:r>
      <w:r>
        <w:rPr>
          <w:rFonts w:ascii="Abadi" w:hAnsi="Abadi" w:cs="*Arial-6822-Identity-H"/>
          <w:color w:val="0E0D10"/>
          <w:sz w:val="21"/>
          <w:szCs w:val="21"/>
        </w:rPr>
        <w:t xml:space="preserve"> </w:t>
      </w:r>
      <w:r w:rsidRPr="00727023">
        <w:rPr>
          <w:rFonts w:ascii="Abadi" w:hAnsi="Abadi" w:cs="*Arial-6822-Identity-H"/>
          <w:color w:val="0E0D10"/>
          <w:sz w:val="21"/>
          <w:szCs w:val="21"/>
        </w:rPr>
        <w:t xml:space="preserve">de Allende, </w:t>
      </w:r>
      <w:proofErr w:type="spellStart"/>
      <w:r w:rsidRPr="00727023">
        <w:rPr>
          <w:rFonts w:ascii="Abadi" w:hAnsi="Abadi" w:cs="*Arial-6822-Identity-H"/>
          <w:color w:val="0E0D10"/>
          <w:sz w:val="21"/>
          <w:szCs w:val="21"/>
        </w:rPr>
        <w:t>Gto</w:t>
      </w:r>
      <w:proofErr w:type="spellEnd"/>
      <w:r w:rsidRPr="00727023">
        <w:rPr>
          <w:rFonts w:ascii="Abadi" w:hAnsi="Abadi" w:cs="*Arial-6822-Identity-H"/>
          <w:color w:val="0E0D10"/>
          <w:sz w:val="21"/>
          <w:szCs w:val="21"/>
        </w:rPr>
        <w:t>., el 18 de febrero de 2022.</w:t>
      </w:r>
    </w:p>
    <w:p w14:paraId="3071BC67" w14:textId="77777777" w:rsidR="007A32BE" w:rsidRPr="00727023" w:rsidRDefault="007A32BE" w:rsidP="007A32BE">
      <w:pPr>
        <w:autoSpaceDE w:val="0"/>
        <w:autoSpaceDN w:val="0"/>
        <w:adjustRightInd w:val="0"/>
        <w:jc w:val="both"/>
        <w:rPr>
          <w:rFonts w:ascii="Abadi" w:hAnsi="Abadi" w:cs="*Arial-6822-Identity-H"/>
          <w:color w:val="0E0D10"/>
          <w:sz w:val="21"/>
          <w:szCs w:val="21"/>
        </w:rPr>
      </w:pPr>
    </w:p>
    <w:p w14:paraId="1655891F" w14:textId="77777777" w:rsidR="007A32BE" w:rsidRDefault="007A32BE" w:rsidP="007A32BE">
      <w:pPr>
        <w:autoSpaceDE w:val="0"/>
        <w:autoSpaceDN w:val="0"/>
        <w:adjustRightInd w:val="0"/>
        <w:ind w:firstLine="708"/>
        <w:jc w:val="both"/>
        <w:rPr>
          <w:rFonts w:ascii="Abadi" w:hAnsi="Abadi" w:cs="*Arial-6822-Identity-H"/>
          <w:color w:val="0D0C0F"/>
          <w:sz w:val="21"/>
          <w:szCs w:val="21"/>
        </w:rPr>
      </w:pPr>
      <w:r w:rsidRPr="00727023">
        <w:rPr>
          <w:rFonts w:ascii="Abadi" w:hAnsi="Abadi" w:cs="*Arial-6822-Identity-H"/>
          <w:color w:val="0D0C0F"/>
          <w:sz w:val="21"/>
          <w:szCs w:val="21"/>
        </w:rPr>
        <w:t>Es importante señalar que de acuerdo a lo previsto en los artículos 60 de la</w:t>
      </w:r>
      <w:r>
        <w:rPr>
          <w:rFonts w:ascii="Abadi" w:hAnsi="Abadi" w:cs="*Arial-6822-Identity-H"/>
          <w:color w:val="0D0C0F"/>
          <w:sz w:val="21"/>
          <w:szCs w:val="21"/>
        </w:rPr>
        <w:t xml:space="preserve"> </w:t>
      </w:r>
      <w:r w:rsidRPr="00727023">
        <w:rPr>
          <w:rFonts w:ascii="Abadi" w:hAnsi="Abadi" w:cs="*Arial-6822-Identity-H"/>
          <w:color w:val="0D0C0F"/>
          <w:sz w:val="21"/>
          <w:szCs w:val="21"/>
        </w:rPr>
        <w:t>Ley de Fiscalización Superior del Estado de Guanajuato; y 60 del Reglamento de</w:t>
      </w:r>
      <w:r>
        <w:rPr>
          <w:rFonts w:ascii="Abadi" w:hAnsi="Abadi" w:cs="*Arial-6822-Identity-H"/>
          <w:color w:val="0D0C0F"/>
          <w:sz w:val="21"/>
          <w:szCs w:val="21"/>
        </w:rPr>
        <w:t xml:space="preserve"> </w:t>
      </w:r>
      <w:r w:rsidRPr="00727023">
        <w:rPr>
          <w:rFonts w:ascii="Abadi" w:hAnsi="Abadi" w:cs="*Arial-6822-Identity-H"/>
          <w:color w:val="0D0C0F"/>
          <w:sz w:val="21"/>
          <w:szCs w:val="21"/>
        </w:rPr>
        <w:t>la Ley de Fiscalización Superior del Estado de Guanajuato, tratándose de las</w:t>
      </w:r>
      <w:r>
        <w:rPr>
          <w:rFonts w:ascii="Abadi" w:hAnsi="Abadi" w:cs="*Arial-6822-Identity-H"/>
          <w:color w:val="0D0C0F"/>
          <w:sz w:val="21"/>
          <w:szCs w:val="21"/>
        </w:rPr>
        <w:t xml:space="preserve"> </w:t>
      </w:r>
      <w:r w:rsidRPr="00727023">
        <w:rPr>
          <w:rFonts w:ascii="Abadi" w:hAnsi="Abadi" w:cs="*Arial-6822-Identity-H"/>
          <w:color w:val="0D0C0F"/>
          <w:sz w:val="21"/>
          <w:szCs w:val="21"/>
        </w:rPr>
        <w:t>auditorías de desempeño es improcedente el recurso de reconsideración en contra</w:t>
      </w:r>
      <w:r>
        <w:rPr>
          <w:rFonts w:ascii="Abadi" w:hAnsi="Abadi" w:cs="*Arial-6822-Identity-H"/>
          <w:color w:val="0D0C0F"/>
          <w:sz w:val="21"/>
          <w:szCs w:val="21"/>
        </w:rPr>
        <w:t xml:space="preserve"> </w:t>
      </w:r>
      <w:r w:rsidRPr="00727023">
        <w:rPr>
          <w:rFonts w:ascii="Abadi" w:hAnsi="Abadi" w:cs="*Arial-6822-Identity-H"/>
          <w:color w:val="0D0C0F"/>
          <w:sz w:val="21"/>
          <w:szCs w:val="21"/>
        </w:rPr>
        <w:t>del informe de resultados, por lo que una vez notificado el mismo al sujeto de</w:t>
      </w:r>
      <w:r>
        <w:rPr>
          <w:rFonts w:ascii="Abadi" w:hAnsi="Abadi" w:cs="*Arial-6822-Identity-H"/>
          <w:color w:val="0D0C0F"/>
          <w:sz w:val="21"/>
          <w:szCs w:val="21"/>
        </w:rPr>
        <w:t xml:space="preserve"> </w:t>
      </w:r>
      <w:r w:rsidRPr="00727023">
        <w:rPr>
          <w:rFonts w:ascii="Abadi" w:hAnsi="Abadi" w:cs="*Arial-6822-Identity-H"/>
          <w:color w:val="0D0C0F"/>
          <w:sz w:val="21"/>
          <w:szCs w:val="21"/>
        </w:rPr>
        <w:t>fis</w:t>
      </w:r>
      <w:r>
        <w:rPr>
          <w:rFonts w:ascii="Abadi" w:hAnsi="Abadi" w:cs="*Arial-6822-Identity-H"/>
          <w:color w:val="0D0C0F"/>
          <w:sz w:val="21"/>
          <w:szCs w:val="21"/>
        </w:rPr>
        <w:t>calización</w:t>
      </w:r>
      <w:r w:rsidRPr="00727023">
        <w:rPr>
          <w:rFonts w:ascii="Abadi" w:hAnsi="Abadi" w:cs="*Arial-6822-Identity-H"/>
          <w:color w:val="0D0C0F"/>
          <w:sz w:val="21"/>
          <w:szCs w:val="21"/>
        </w:rPr>
        <w:t>, se remite al Congreso para los efectos procedentes.</w:t>
      </w:r>
    </w:p>
    <w:p w14:paraId="6A7A2B99" w14:textId="77777777" w:rsidR="007A32BE" w:rsidRPr="00727023" w:rsidRDefault="007A32BE" w:rsidP="007A32BE">
      <w:pPr>
        <w:autoSpaceDE w:val="0"/>
        <w:autoSpaceDN w:val="0"/>
        <w:adjustRightInd w:val="0"/>
        <w:jc w:val="both"/>
        <w:rPr>
          <w:rFonts w:ascii="Abadi" w:hAnsi="Abadi" w:cs="*Arial-6822-Identity-H"/>
          <w:color w:val="0D0C0F"/>
          <w:sz w:val="21"/>
          <w:szCs w:val="21"/>
        </w:rPr>
      </w:pPr>
    </w:p>
    <w:p w14:paraId="6BE77568" w14:textId="77777777" w:rsidR="007A32BE" w:rsidRPr="00727023" w:rsidRDefault="007A32BE" w:rsidP="007A32BE">
      <w:pPr>
        <w:autoSpaceDE w:val="0"/>
        <w:autoSpaceDN w:val="0"/>
        <w:adjustRightInd w:val="0"/>
        <w:ind w:firstLine="708"/>
        <w:jc w:val="both"/>
        <w:rPr>
          <w:rFonts w:ascii="Abadi" w:hAnsi="Abadi" w:cs="*Arial-6822-Identity-H"/>
          <w:color w:val="0C0C0E"/>
          <w:sz w:val="21"/>
          <w:szCs w:val="21"/>
        </w:rPr>
      </w:pPr>
      <w:r w:rsidRPr="00727023">
        <w:rPr>
          <w:rFonts w:ascii="Abadi" w:hAnsi="Abadi" w:cs="*Arial-6822-Identity-H"/>
          <w:color w:val="0C0C0E"/>
          <w:sz w:val="21"/>
          <w:szCs w:val="21"/>
        </w:rPr>
        <w:t>En razón de lo anterior, el Auditor Superior del Estado remitió a este</w:t>
      </w:r>
      <w:r>
        <w:rPr>
          <w:rFonts w:ascii="Abadi" w:hAnsi="Abadi" w:cs="*Arial-6822-Identity-H"/>
          <w:color w:val="0C0C0E"/>
          <w:sz w:val="21"/>
          <w:szCs w:val="21"/>
        </w:rPr>
        <w:t xml:space="preserve"> </w:t>
      </w:r>
      <w:r w:rsidRPr="00727023">
        <w:rPr>
          <w:rFonts w:ascii="Abadi" w:hAnsi="Abadi" w:cs="*Arial-6822-Identity-H"/>
          <w:color w:val="0C0C0E"/>
          <w:sz w:val="21"/>
          <w:szCs w:val="21"/>
        </w:rPr>
        <w:t>Congreso del Estado, el informe de resultados, el cual se turnó a la Comisión de</w:t>
      </w:r>
      <w:r>
        <w:rPr>
          <w:rFonts w:ascii="Abadi" w:hAnsi="Abadi" w:cs="*Arial-6822-Identity-H"/>
          <w:color w:val="0C0C0E"/>
          <w:sz w:val="21"/>
          <w:szCs w:val="21"/>
        </w:rPr>
        <w:t xml:space="preserve"> </w:t>
      </w:r>
      <w:r w:rsidRPr="00727023">
        <w:rPr>
          <w:rFonts w:ascii="Abadi" w:hAnsi="Abadi" w:cs="*Arial-6822-Identity-H"/>
          <w:color w:val="0C0C0E"/>
          <w:sz w:val="21"/>
          <w:szCs w:val="21"/>
        </w:rPr>
        <w:t xml:space="preserve">Hacienda y Fiscalización el </w:t>
      </w:r>
      <w:r>
        <w:rPr>
          <w:rFonts w:ascii="Abadi" w:hAnsi="Abadi" w:cs="*Arial-6822-Identity-H"/>
          <w:color w:val="0C0C0E"/>
          <w:sz w:val="21"/>
          <w:szCs w:val="21"/>
        </w:rPr>
        <w:t>10</w:t>
      </w:r>
      <w:r w:rsidRPr="00727023">
        <w:rPr>
          <w:rFonts w:ascii="Abadi" w:hAnsi="Abadi" w:cs="*Arial-6822-Identity-H"/>
          <w:color w:val="0C0C0E"/>
          <w:sz w:val="21"/>
          <w:szCs w:val="21"/>
        </w:rPr>
        <w:t xml:space="preserve"> de marzo de 2022 para su estudio y dictamen,</w:t>
      </w:r>
      <w:r>
        <w:rPr>
          <w:rFonts w:ascii="Abadi" w:hAnsi="Abadi" w:cs="*Arial-6822-Identity-H"/>
          <w:color w:val="0C0C0E"/>
          <w:sz w:val="21"/>
          <w:szCs w:val="21"/>
        </w:rPr>
        <w:t xml:space="preserve"> </w:t>
      </w:r>
      <w:r w:rsidRPr="00727023">
        <w:rPr>
          <w:rFonts w:ascii="Abadi" w:hAnsi="Abadi" w:cs="*Arial-6822-Identity-H"/>
          <w:color w:val="0C0C0E"/>
          <w:sz w:val="21"/>
          <w:szCs w:val="21"/>
        </w:rPr>
        <w:t>siendo radicado el 15 de marzo del año en curso.</w:t>
      </w:r>
    </w:p>
    <w:p w14:paraId="298FF50B" w14:textId="77777777" w:rsidR="007A32BE" w:rsidRDefault="007A32BE" w:rsidP="007A32BE">
      <w:pPr>
        <w:autoSpaceDE w:val="0"/>
        <w:autoSpaceDN w:val="0"/>
        <w:adjustRightInd w:val="0"/>
        <w:jc w:val="both"/>
        <w:rPr>
          <w:rFonts w:ascii="Abadi" w:hAnsi="Abadi" w:cs="*Arial-7759-Identity-H"/>
          <w:color w:val="0C0C0F"/>
          <w:sz w:val="21"/>
          <w:szCs w:val="21"/>
        </w:rPr>
      </w:pPr>
    </w:p>
    <w:p w14:paraId="12B86DF5" w14:textId="77777777" w:rsidR="007A32BE" w:rsidRPr="00727023" w:rsidRDefault="007A32BE" w:rsidP="007A32BE">
      <w:pPr>
        <w:autoSpaceDE w:val="0"/>
        <w:autoSpaceDN w:val="0"/>
        <w:adjustRightInd w:val="0"/>
        <w:ind w:firstLine="708"/>
        <w:jc w:val="both"/>
        <w:rPr>
          <w:rFonts w:ascii="Abadi" w:hAnsi="Abadi" w:cs="*Arial-7759-Identity-H"/>
          <w:color w:val="0C0C0F"/>
          <w:sz w:val="21"/>
          <w:szCs w:val="21"/>
        </w:rPr>
      </w:pPr>
      <w:r w:rsidRPr="00727023">
        <w:rPr>
          <w:rFonts w:ascii="Abadi" w:hAnsi="Abadi" w:cs="*Arial-7759-Identity-H"/>
          <w:color w:val="0C0C0F"/>
          <w:sz w:val="21"/>
          <w:szCs w:val="21"/>
        </w:rPr>
        <w:t>Con fundamento en los artículos 59 de la Ley de Fiscalización Superior del</w:t>
      </w:r>
      <w:r>
        <w:rPr>
          <w:rFonts w:ascii="Abadi" w:hAnsi="Abadi" w:cs="*Arial-7759-Identity-H"/>
          <w:color w:val="0C0C0F"/>
          <w:sz w:val="21"/>
          <w:szCs w:val="21"/>
        </w:rPr>
        <w:t xml:space="preserve"> </w:t>
      </w:r>
      <w:r w:rsidRPr="00727023">
        <w:rPr>
          <w:rFonts w:ascii="Abadi" w:hAnsi="Abadi" w:cs="*Arial-7759-Identity-H"/>
          <w:color w:val="0C0C0F"/>
          <w:sz w:val="21"/>
          <w:szCs w:val="21"/>
        </w:rPr>
        <w:t>Estado de Guanajuato y 26 del Reglamento de dicha Ley, el informe de resultados</w:t>
      </w:r>
      <w:r>
        <w:rPr>
          <w:rFonts w:ascii="Abadi" w:hAnsi="Abadi" w:cs="*Arial-7759-Identity-H"/>
          <w:color w:val="0C0C0F"/>
          <w:sz w:val="21"/>
          <w:szCs w:val="21"/>
        </w:rPr>
        <w:t xml:space="preserve"> </w:t>
      </w:r>
      <w:r w:rsidRPr="00727023">
        <w:rPr>
          <w:rFonts w:ascii="Abadi" w:hAnsi="Abadi" w:cs="*Arial-7759-Identity-H"/>
          <w:color w:val="0C0C0F"/>
          <w:sz w:val="21"/>
          <w:szCs w:val="21"/>
        </w:rPr>
        <w:t>contiene los siguientes apartados: Introducción; Resultado del Proceso de</w:t>
      </w:r>
      <w:r>
        <w:rPr>
          <w:rFonts w:ascii="Abadi" w:hAnsi="Abadi" w:cs="*Arial-7759-Identity-H"/>
          <w:color w:val="0C0C0F"/>
          <w:sz w:val="21"/>
          <w:szCs w:val="21"/>
        </w:rPr>
        <w:t xml:space="preserve"> </w:t>
      </w:r>
      <w:r w:rsidRPr="00727023">
        <w:rPr>
          <w:rFonts w:ascii="Abadi" w:hAnsi="Abadi" w:cs="*Arial-7759-Identity-H"/>
          <w:color w:val="0C0C0F"/>
          <w:sz w:val="21"/>
          <w:szCs w:val="21"/>
        </w:rPr>
        <w:t>Fiscalización; Resumen de las Recomendaciones; y Conclusión General.</w:t>
      </w:r>
    </w:p>
    <w:p w14:paraId="485F0401" w14:textId="77777777" w:rsidR="007A32BE" w:rsidRDefault="007A32BE" w:rsidP="007A32BE">
      <w:pPr>
        <w:autoSpaceDE w:val="0"/>
        <w:autoSpaceDN w:val="0"/>
        <w:adjustRightInd w:val="0"/>
        <w:jc w:val="both"/>
        <w:rPr>
          <w:rFonts w:ascii="Abadi" w:hAnsi="Abadi" w:cs="*Calibri-Bold-7757-Identity-H"/>
          <w:b/>
          <w:bCs/>
          <w:color w:val="0C0B10"/>
          <w:sz w:val="21"/>
          <w:szCs w:val="21"/>
        </w:rPr>
      </w:pPr>
    </w:p>
    <w:p w14:paraId="00297674" w14:textId="77777777" w:rsidR="007A32BE" w:rsidRDefault="007A32BE" w:rsidP="007A32BE">
      <w:pPr>
        <w:autoSpaceDE w:val="0"/>
        <w:autoSpaceDN w:val="0"/>
        <w:adjustRightInd w:val="0"/>
        <w:ind w:firstLine="708"/>
        <w:jc w:val="both"/>
        <w:rPr>
          <w:rFonts w:ascii="Abadi" w:hAnsi="Abadi" w:cs="*Calibri-Bold-7757-Identity-H"/>
          <w:b/>
          <w:bCs/>
          <w:color w:val="0C0B10"/>
          <w:sz w:val="21"/>
          <w:szCs w:val="21"/>
        </w:rPr>
      </w:pPr>
      <w:r w:rsidRPr="00727023">
        <w:rPr>
          <w:rFonts w:ascii="Abadi" w:hAnsi="Abadi" w:cs="*Calibri-Bold-7757-Identity-H"/>
          <w:b/>
          <w:bCs/>
          <w:color w:val="0C0B10"/>
          <w:sz w:val="21"/>
          <w:szCs w:val="21"/>
        </w:rPr>
        <w:t>a) Introducción.</w:t>
      </w:r>
    </w:p>
    <w:p w14:paraId="51B1FCAF" w14:textId="77777777" w:rsidR="007A32BE" w:rsidRPr="00727023" w:rsidRDefault="007A32BE" w:rsidP="007A32BE">
      <w:pPr>
        <w:autoSpaceDE w:val="0"/>
        <w:autoSpaceDN w:val="0"/>
        <w:adjustRightInd w:val="0"/>
        <w:jc w:val="both"/>
        <w:rPr>
          <w:rFonts w:ascii="Abadi" w:hAnsi="Abadi" w:cs="*Calibri-Bold-7757-Identity-H"/>
          <w:b/>
          <w:bCs/>
          <w:color w:val="0C0B10"/>
          <w:sz w:val="21"/>
          <w:szCs w:val="21"/>
        </w:rPr>
      </w:pPr>
    </w:p>
    <w:p w14:paraId="3437966D" w14:textId="77777777" w:rsidR="007A32BE" w:rsidRDefault="007A32BE" w:rsidP="007A32BE">
      <w:pPr>
        <w:autoSpaceDE w:val="0"/>
        <w:autoSpaceDN w:val="0"/>
        <w:adjustRightInd w:val="0"/>
        <w:ind w:firstLine="708"/>
        <w:jc w:val="both"/>
        <w:rPr>
          <w:rFonts w:ascii="Abadi" w:hAnsi="Abadi" w:cs="*Arial-7759-Identity-H"/>
          <w:color w:val="0C0C0F"/>
          <w:sz w:val="21"/>
          <w:szCs w:val="21"/>
        </w:rPr>
      </w:pPr>
      <w:r w:rsidRPr="00727023">
        <w:rPr>
          <w:rFonts w:ascii="Abadi" w:hAnsi="Abadi" w:cs="*Arial-7759-Identity-H"/>
          <w:color w:val="0C0C0F"/>
          <w:sz w:val="21"/>
          <w:szCs w:val="21"/>
        </w:rPr>
        <w:t>Por lo que se refiere a esta parte, se señala que las auditorías de</w:t>
      </w:r>
      <w:r>
        <w:rPr>
          <w:rFonts w:ascii="Abadi" w:hAnsi="Abadi" w:cs="*Arial-7759-Identity-H"/>
          <w:color w:val="0C0C0F"/>
          <w:sz w:val="21"/>
          <w:szCs w:val="21"/>
        </w:rPr>
        <w:t xml:space="preserve"> </w:t>
      </w:r>
      <w:r w:rsidRPr="00727023">
        <w:rPr>
          <w:rFonts w:ascii="Abadi" w:hAnsi="Abadi" w:cs="*Arial-7759-Identity-H"/>
          <w:color w:val="0C0C0F"/>
          <w:sz w:val="21"/>
          <w:szCs w:val="21"/>
        </w:rPr>
        <w:t>desempeño son actos de fiscalización, esa es su esencia.</w:t>
      </w:r>
      <w:r>
        <w:rPr>
          <w:rFonts w:ascii="Abadi" w:hAnsi="Abadi" w:cs="*Arial-7759-Identity-H"/>
          <w:color w:val="0C0C0F"/>
          <w:sz w:val="21"/>
          <w:szCs w:val="21"/>
        </w:rPr>
        <w:t xml:space="preserve"> </w:t>
      </w:r>
    </w:p>
    <w:p w14:paraId="53929516" w14:textId="77777777" w:rsidR="007A32BE" w:rsidRDefault="007A32BE" w:rsidP="007A32BE">
      <w:pPr>
        <w:autoSpaceDE w:val="0"/>
        <w:autoSpaceDN w:val="0"/>
        <w:adjustRightInd w:val="0"/>
        <w:jc w:val="both"/>
        <w:rPr>
          <w:rFonts w:ascii="Abadi" w:hAnsi="Abadi" w:cs="*Arial-7759-Identity-H"/>
          <w:color w:val="0C0C0F"/>
          <w:sz w:val="21"/>
          <w:szCs w:val="21"/>
        </w:rPr>
      </w:pPr>
    </w:p>
    <w:p w14:paraId="396E3D64" w14:textId="77777777" w:rsidR="007A32BE" w:rsidRDefault="007A32BE" w:rsidP="007A32BE">
      <w:pPr>
        <w:autoSpaceDE w:val="0"/>
        <w:autoSpaceDN w:val="0"/>
        <w:adjustRightInd w:val="0"/>
        <w:ind w:firstLine="708"/>
        <w:jc w:val="both"/>
        <w:rPr>
          <w:rFonts w:ascii="Abadi" w:hAnsi="Abadi" w:cs="*Arial-7759-Identity-H"/>
          <w:color w:val="0C0C0E"/>
          <w:sz w:val="21"/>
          <w:szCs w:val="21"/>
        </w:rPr>
      </w:pPr>
      <w:r w:rsidRPr="00727023">
        <w:rPr>
          <w:rFonts w:ascii="Abadi" w:hAnsi="Abadi" w:cs="*Arial-7759-Identity-H"/>
          <w:color w:val="0C0C0E"/>
          <w:sz w:val="21"/>
          <w:szCs w:val="21"/>
        </w:rPr>
        <w:t>Es así, que la naturaleza técnico-jurídica de las auditorías de desempeño</w:t>
      </w:r>
      <w:r>
        <w:rPr>
          <w:rFonts w:ascii="Abadi" w:hAnsi="Abadi" w:cs="*Arial-7759-Identity-H"/>
          <w:color w:val="0C0C0E"/>
          <w:sz w:val="21"/>
          <w:szCs w:val="21"/>
        </w:rPr>
        <w:t xml:space="preserve"> </w:t>
      </w:r>
      <w:r w:rsidRPr="00727023">
        <w:rPr>
          <w:rFonts w:ascii="Abadi" w:hAnsi="Abadi" w:cs="*Arial-7759-Identity-H"/>
          <w:color w:val="0C0C0E"/>
          <w:sz w:val="21"/>
          <w:szCs w:val="21"/>
        </w:rPr>
        <w:t>difiere de otras auditorías, pues el resultado se expresa con la emisión, en su</w:t>
      </w:r>
      <w:r>
        <w:rPr>
          <w:rFonts w:ascii="Abadi" w:hAnsi="Abadi" w:cs="*Arial-7759-Identity-H"/>
          <w:color w:val="0C0C0E"/>
          <w:sz w:val="21"/>
          <w:szCs w:val="21"/>
        </w:rPr>
        <w:t xml:space="preserve"> </w:t>
      </w:r>
      <w:r w:rsidRPr="00727023">
        <w:rPr>
          <w:rFonts w:ascii="Abadi" w:hAnsi="Abadi" w:cs="*Arial-7759-Identity-H"/>
          <w:color w:val="0C0C0E"/>
          <w:sz w:val="21"/>
          <w:szCs w:val="21"/>
        </w:rPr>
        <w:t>caso, de exclusivamente recomendaciones, distinguiéndose de otros actos de</w:t>
      </w:r>
      <w:r>
        <w:rPr>
          <w:rFonts w:ascii="Abadi" w:hAnsi="Abadi" w:cs="*Arial-7759-Identity-H"/>
          <w:color w:val="0C0C0E"/>
          <w:sz w:val="21"/>
          <w:szCs w:val="21"/>
        </w:rPr>
        <w:t xml:space="preserve"> </w:t>
      </w:r>
      <w:r w:rsidRPr="00727023">
        <w:rPr>
          <w:rFonts w:ascii="Abadi" w:hAnsi="Abadi" w:cs="*Arial-7759-Identity-H"/>
          <w:color w:val="0C0C0E"/>
          <w:sz w:val="21"/>
          <w:szCs w:val="21"/>
        </w:rPr>
        <w:t>fiscalización o control que pueden arrojar observaciones. Se trata de una tarea</w:t>
      </w:r>
      <w:r>
        <w:rPr>
          <w:rFonts w:ascii="Abadi" w:hAnsi="Abadi" w:cs="*Arial-7759-Identity-H"/>
          <w:color w:val="0C0C0E"/>
          <w:sz w:val="21"/>
          <w:szCs w:val="21"/>
        </w:rPr>
        <w:t xml:space="preserve"> </w:t>
      </w:r>
      <w:r w:rsidRPr="00727023">
        <w:rPr>
          <w:rFonts w:ascii="Abadi" w:hAnsi="Abadi" w:cs="*Arial-7759-Identity-H"/>
          <w:color w:val="0C0C0E"/>
          <w:sz w:val="21"/>
          <w:szCs w:val="21"/>
        </w:rPr>
        <w:t>reglada y sistémica de evaluación para la mejora continua, detectando</w:t>
      </w:r>
      <w:r>
        <w:rPr>
          <w:rFonts w:ascii="Abadi" w:hAnsi="Abadi" w:cs="*Arial-7759-Identity-H"/>
          <w:color w:val="0C0C0E"/>
          <w:sz w:val="21"/>
          <w:szCs w:val="21"/>
        </w:rPr>
        <w:t xml:space="preserve"> </w:t>
      </w:r>
      <w:r w:rsidRPr="00727023">
        <w:rPr>
          <w:rFonts w:ascii="Abadi" w:hAnsi="Abadi" w:cs="*Arial-7759-Identity-H"/>
          <w:color w:val="0C0C0E"/>
          <w:sz w:val="21"/>
          <w:szCs w:val="21"/>
        </w:rPr>
        <w:t>debilidades, áreas de oportunidad, amenazas e incluso fortalezas en el ámbito</w:t>
      </w:r>
      <w:r>
        <w:rPr>
          <w:rFonts w:ascii="Abadi" w:hAnsi="Abadi" w:cs="*Arial-7759-Identity-H"/>
          <w:color w:val="0C0C0E"/>
          <w:sz w:val="21"/>
          <w:szCs w:val="21"/>
        </w:rPr>
        <w:t xml:space="preserve"> </w:t>
      </w:r>
      <w:r w:rsidRPr="00727023">
        <w:rPr>
          <w:rFonts w:ascii="Abadi" w:hAnsi="Abadi" w:cs="*Arial-7759-Identity-H"/>
          <w:color w:val="0C0C0E"/>
          <w:sz w:val="21"/>
          <w:szCs w:val="21"/>
        </w:rPr>
        <w:t>público, pero promoviendo además acciones concretas que permitan superar o</w:t>
      </w:r>
      <w:r>
        <w:rPr>
          <w:rFonts w:ascii="Abadi" w:hAnsi="Abadi" w:cs="*Arial-7759-Identity-H"/>
          <w:color w:val="0C0C0E"/>
          <w:sz w:val="21"/>
          <w:szCs w:val="21"/>
        </w:rPr>
        <w:t xml:space="preserve"> </w:t>
      </w:r>
      <w:r w:rsidRPr="00727023">
        <w:rPr>
          <w:rFonts w:ascii="Abadi" w:hAnsi="Abadi" w:cs="*Arial-7759-Identity-H"/>
          <w:color w:val="0C0C0E"/>
          <w:sz w:val="21"/>
          <w:szCs w:val="21"/>
        </w:rPr>
        <w:t>potenciar las mismas, dando adicionalmente seguimiento a su eventual</w:t>
      </w:r>
      <w:r>
        <w:rPr>
          <w:rFonts w:ascii="Abadi" w:hAnsi="Abadi" w:cs="*Arial-7759-Identity-H"/>
          <w:color w:val="0C0C0E"/>
          <w:sz w:val="21"/>
          <w:szCs w:val="21"/>
        </w:rPr>
        <w:t xml:space="preserve"> </w:t>
      </w:r>
      <w:r w:rsidRPr="00727023">
        <w:rPr>
          <w:rFonts w:ascii="Abadi" w:hAnsi="Abadi" w:cs="*Arial-7759-Identity-H"/>
          <w:color w:val="0C0C0E"/>
          <w:sz w:val="21"/>
          <w:szCs w:val="21"/>
        </w:rPr>
        <w:t>implementación por los sujetos públicos responsables.</w:t>
      </w:r>
    </w:p>
    <w:p w14:paraId="5535FB58" w14:textId="77777777" w:rsidR="007A32BE" w:rsidRPr="00727023" w:rsidRDefault="007A32BE" w:rsidP="007A32BE">
      <w:pPr>
        <w:autoSpaceDE w:val="0"/>
        <w:autoSpaceDN w:val="0"/>
        <w:adjustRightInd w:val="0"/>
        <w:jc w:val="both"/>
        <w:rPr>
          <w:rFonts w:ascii="Abadi" w:hAnsi="Abadi" w:cs="*Arial-7759-Identity-H"/>
          <w:color w:val="0C0C0E"/>
          <w:sz w:val="21"/>
          <w:szCs w:val="21"/>
        </w:rPr>
      </w:pPr>
    </w:p>
    <w:p w14:paraId="12F84CE4" w14:textId="77777777" w:rsidR="007A32BE" w:rsidRDefault="007A32BE" w:rsidP="007A32BE">
      <w:pPr>
        <w:autoSpaceDE w:val="0"/>
        <w:autoSpaceDN w:val="0"/>
        <w:adjustRightInd w:val="0"/>
        <w:ind w:firstLine="708"/>
        <w:jc w:val="both"/>
        <w:rPr>
          <w:rFonts w:ascii="Abadi" w:hAnsi="Abadi" w:cs="*Arial-7759-Identity-H"/>
          <w:color w:val="0E0D10"/>
          <w:sz w:val="21"/>
          <w:szCs w:val="21"/>
        </w:rPr>
      </w:pPr>
      <w:r w:rsidRPr="00727023">
        <w:rPr>
          <w:rFonts w:ascii="Abadi" w:hAnsi="Abadi" w:cs="*Arial-7759-Identity-H"/>
          <w:color w:val="0E0D10"/>
          <w:sz w:val="21"/>
          <w:szCs w:val="21"/>
        </w:rPr>
        <w:t>En dichas auditorias, con independencia de su enfoque, se debe planear</w:t>
      </w:r>
      <w:r>
        <w:rPr>
          <w:rFonts w:ascii="Abadi" w:hAnsi="Abadi" w:cs="*Arial-7759-Identity-H"/>
          <w:color w:val="0E0D10"/>
          <w:sz w:val="21"/>
          <w:szCs w:val="21"/>
        </w:rPr>
        <w:t xml:space="preserve"> </w:t>
      </w:r>
      <w:r w:rsidRPr="00727023">
        <w:rPr>
          <w:rFonts w:ascii="Abadi" w:hAnsi="Abadi" w:cs="*Arial-7759-Identity-H"/>
          <w:color w:val="0E0D10"/>
          <w:sz w:val="21"/>
          <w:szCs w:val="21"/>
        </w:rPr>
        <w:t>con toda claridad y con base en la evidencia competente, suficiente, pertinente,</w:t>
      </w:r>
      <w:r>
        <w:rPr>
          <w:rFonts w:ascii="Abadi" w:hAnsi="Abadi" w:cs="*Arial-7759-Identity-H"/>
          <w:color w:val="0E0D10"/>
          <w:sz w:val="21"/>
          <w:szCs w:val="21"/>
        </w:rPr>
        <w:t xml:space="preserve"> </w:t>
      </w:r>
      <w:r w:rsidRPr="00727023">
        <w:rPr>
          <w:rFonts w:ascii="Abadi" w:hAnsi="Abadi" w:cs="*Arial-7759-Identity-H"/>
          <w:color w:val="0E0D10"/>
          <w:sz w:val="21"/>
          <w:szCs w:val="21"/>
        </w:rPr>
        <w:t>relevante y oportuna, las conclusiones del proceso de fiscalización,</w:t>
      </w:r>
      <w:r>
        <w:rPr>
          <w:rFonts w:ascii="Abadi" w:hAnsi="Abadi" w:cs="*Arial-7759-Identity-H"/>
          <w:color w:val="0E0D10"/>
          <w:sz w:val="21"/>
          <w:szCs w:val="21"/>
        </w:rPr>
        <w:t xml:space="preserve"> </w:t>
      </w:r>
      <w:r w:rsidRPr="00727023">
        <w:rPr>
          <w:rFonts w:ascii="Abadi" w:hAnsi="Abadi" w:cs="*Arial-7759-Identity-H"/>
          <w:color w:val="0E0D10"/>
          <w:sz w:val="21"/>
          <w:szCs w:val="21"/>
        </w:rPr>
        <w:t>puntualizándose las recomendaciones formuladas en su caso.</w:t>
      </w:r>
    </w:p>
    <w:p w14:paraId="5AAA8C36" w14:textId="77777777" w:rsidR="007A32BE" w:rsidRPr="00727023" w:rsidRDefault="007A32BE" w:rsidP="007A32BE">
      <w:pPr>
        <w:autoSpaceDE w:val="0"/>
        <w:autoSpaceDN w:val="0"/>
        <w:adjustRightInd w:val="0"/>
        <w:jc w:val="both"/>
        <w:rPr>
          <w:rFonts w:ascii="Abadi" w:hAnsi="Abadi" w:cs="*Arial-7759-Identity-H"/>
          <w:color w:val="0E0D10"/>
          <w:sz w:val="21"/>
          <w:szCs w:val="21"/>
        </w:rPr>
      </w:pPr>
    </w:p>
    <w:p w14:paraId="5BD1D519" w14:textId="2789D682" w:rsidR="007A32BE" w:rsidRDefault="007A32BE" w:rsidP="007A32BE">
      <w:pPr>
        <w:autoSpaceDE w:val="0"/>
        <w:autoSpaceDN w:val="0"/>
        <w:adjustRightInd w:val="0"/>
        <w:ind w:firstLine="708"/>
        <w:jc w:val="both"/>
        <w:rPr>
          <w:rFonts w:ascii="Abadi" w:hAnsi="Abadi" w:cs="*Arial-7759-Identity-H"/>
          <w:color w:val="0B0B0E"/>
          <w:sz w:val="21"/>
          <w:szCs w:val="21"/>
        </w:rPr>
      </w:pPr>
      <w:r w:rsidRPr="00727023">
        <w:rPr>
          <w:rFonts w:ascii="Abadi" w:hAnsi="Abadi" w:cs="*Arial-7759-Identity-H"/>
          <w:color w:val="0B0B0E"/>
          <w:sz w:val="21"/>
          <w:szCs w:val="21"/>
        </w:rPr>
        <w:t>Respecto al marco competencia!, se precisa la normatividad aplicable a la</w:t>
      </w:r>
      <w:r>
        <w:rPr>
          <w:rFonts w:ascii="Abadi" w:hAnsi="Abadi" w:cs="*Arial-7759-Identity-H"/>
          <w:color w:val="0B0B0E"/>
          <w:sz w:val="21"/>
          <w:szCs w:val="21"/>
        </w:rPr>
        <w:t xml:space="preserve"> </w:t>
      </w:r>
      <w:r w:rsidRPr="00727023">
        <w:rPr>
          <w:rFonts w:ascii="Abadi" w:hAnsi="Abadi" w:cs="*Arial-7759-Identity-H"/>
          <w:color w:val="0B0B0E"/>
          <w:sz w:val="21"/>
          <w:szCs w:val="21"/>
        </w:rPr>
        <w:t>función de fiscalización a cargo del Poder Legislativo del Estado, siendo esta:</w:t>
      </w:r>
      <w:r>
        <w:rPr>
          <w:rFonts w:ascii="Abadi" w:hAnsi="Abadi" w:cs="*Arial-7759-Identity-H"/>
          <w:color w:val="0B0B0E"/>
          <w:sz w:val="21"/>
          <w:szCs w:val="21"/>
        </w:rPr>
        <w:t xml:space="preserve"> </w:t>
      </w:r>
      <w:r w:rsidRPr="00727023">
        <w:rPr>
          <w:rFonts w:ascii="Abadi" w:hAnsi="Abadi" w:cs="*Arial-7759-Identity-H"/>
          <w:color w:val="0B0B0E"/>
          <w:sz w:val="21"/>
          <w:szCs w:val="21"/>
        </w:rPr>
        <w:t>artículos 116, fracción II y 134 de la Constitución Política de los Estados Unidos</w:t>
      </w:r>
      <w:r>
        <w:rPr>
          <w:rFonts w:ascii="Abadi" w:hAnsi="Abadi" w:cs="*Arial-7759-Identity-H"/>
          <w:color w:val="0B0B0E"/>
          <w:sz w:val="21"/>
          <w:szCs w:val="21"/>
        </w:rPr>
        <w:t xml:space="preserve"> </w:t>
      </w:r>
      <w:r w:rsidRPr="00727023">
        <w:rPr>
          <w:rFonts w:ascii="Abadi" w:hAnsi="Abadi" w:cs="*Arial-7759-Identity-H"/>
          <w:color w:val="0B0B0E"/>
          <w:sz w:val="21"/>
          <w:szCs w:val="21"/>
        </w:rPr>
        <w:t xml:space="preserve">Mexicanos; 2, párrafo primero, 63, fracción XIX y 66, fracciones </w:t>
      </w:r>
      <w:r>
        <w:rPr>
          <w:rFonts w:ascii="Abadi" w:hAnsi="Abadi" w:cs="*Arial-7759-Identity-H"/>
          <w:color w:val="0B0B0E"/>
          <w:sz w:val="21"/>
          <w:szCs w:val="21"/>
        </w:rPr>
        <w:t>I</w:t>
      </w:r>
      <w:r w:rsidRPr="00727023">
        <w:rPr>
          <w:rFonts w:ascii="Abadi" w:hAnsi="Abadi" w:cs="*Arial-7759-Identity-H"/>
          <w:color w:val="0B0B0E"/>
          <w:sz w:val="21"/>
          <w:szCs w:val="21"/>
        </w:rPr>
        <w:t xml:space="preserve">, </w:t>
      </w:r>
      <w:r>
        <w:rPr>
          <w:rFonts w:ascii="Abadi" w:hAnsi="Abadi" w:cs="*Arial-7759-Identity-H"/>
          <w:color w:val="0B0B0E"/>
          <w:sz w:val="21"/>
          <w:szCs w:val="21"/>
        </w:rPr>
        <w:t>II</w:t>
      </w:r>
      <w:r w:rsidRPr="00727023">
        <w:rPr>
          <w:rFonts w:ascii="Abadi" w:hAnsi="Abadi" w:cs="*Arial-7759-Identity-H"/>
          <w:color w:val="0B0B0E"/>
          <w:sz w:val="21"/>
          <w:szCs w:val="21"/>
        </w:rPr>
        <w:t xml:space="preserve"> y IV de la</w:t>
      </w:r>
      <w:r>
        <w:rPr>
          <w:rFonts w:ascii="Abadi" w:hAnsi="Abadi" w:cs="*Arial-7759-Identity-H"/>
          <w:color w:val="0B0B0E"/>
          <w:sz w:val="21"/>
          <w:szCs w:val="21"/>
        </w:rPr>
        <w:t xml:space="preserve"> </w:t>
      </w:r>
      <w:r w:rsidRPr="00727023">
        <w:rPr>
          <w:rFonts w:ascii="Abadi" w:hAnsi="Abadi" w:cs="*Arial-7759-Identity-H"/>
          <w:color w:val="0B0B0E"/>
          <w:sz w:val="21"/>
          <w:szCs w:val="21"/>
        </w:rPr>
        <w:t xml:space="preserve">Constitución Política para el Estado de Guanajuato; 1, 2, fracciones II y </w:t>
      </w:r>
      <w:r>
        <w:rPr>
          <w:rFonts w:ascii="Abadi" w:hAnsi="Abadi" w:cs="*Arial-7759-Identity-H"/>
          <w:color w:val="0B0B0E"/>
          <w:sz w:val="21"/>
          <w:szCs w:val="21"/>
        </w:rPr>
        <w:t>III</w:t>
      </w:r>
      <w:r w:rsidRPr="00727023">
        <w:rPr>
          <w:rFonts w:ascii="Abadi" w:hAnsi="Abadi" w:cs="*Arial-7759-Identity-H"/>
          <w:color w:val="0B0B0E"/>
          <w:sz w:val="21"/>
          <w:szCs w:val="21"/>
        </w:rPr>
        <w:t>, 3,</w:t>
      </w:r>
      <w:r>
        <w:rPr>
          <w:rFonts w:ascii="Abadi" w:hAnsi="Abadi" w:cs="*Arial-7759-Identity-H"/>
          <w:color w:val="0B0B0E"/>
          <w:sz w:val="21"/>
          <w:szCs w:val="21"/>
        </w:rPr>
        <w:t xml:space="preserve"> </w:t>
      </w:r>
      <w:r w:rsidRPr="00727023">
        <w:rPr>
          <w:rFonts w:ascii="Abadi" w:hAnsi="Abadi" w:cs="*Arial-7759-Identity-H"/>
          <w:color w:val="0B0B0E"/>
          <w:sz w:val="21"/>
          <w:szCs w:val="21"/>
        </w:rPr>
        <w:t xml:space="preserve">fracciones </w:t>
      </w:r>
      <w:r>
        <w:rPr>
          <w:rFonts w:ascii="Abadi" w:hAnsi="Abadi" w:cs="*Arial-7759-Identity-H"/>
          <w:color w:val="0B0B0E"/>
          <w:sz w:val="21"/>
          <w:szCs w:val="21"/>
        </w:rPr>
        <w:t>I</w:t>
      </w:r>
      <w:r w:rsidRPr="00727023">
        <w:rPr>
          <w:rFonts w:ascii="Abadi" w:hAnsi="Abadi" w:cs="*Arial-7759-Identity-H"/>
          <w:color w:val="0B0B0E"/>
          <w:sz w:val="21"/>
          <w:szCs w:val="21"/>
        </w:rPr>
        <w:t xml:space="preserve">, </w:t>
      </w:r>
      <w:r>
        <w:rPr>
          <w:rFonts w:ascii="Abadi" w:hAnsi="Abadi" w:cs="*Arial-7759-Identity-H"/>
          <w:color w:val="0B0B0E"/>
          <w:sz w:val="21"/>
          <w:szCs w:val="21"/>
        </w:rPr>
        <w:t>II</w:t>
      </w:r>
      <w:r w:rsidRPr="00727023">
        <w:rPr>
          <w:rFonts w:ascii="Abadi" w:hAnsi="Abadi" w:cs="*Arial-7759-Identity-H"/>
          <w:color w:val="0B0B0E"/>
          <w:sz w:val="21"/>
          <w:szCs w:val="21"/>
        </w:rPr>
        <w:t xml:space="preserve">, V y XI, 4, 6, 7, 11, 14, 16, 24, 25, 26, 30, 31, 37, fracción </w:t>
      </w:r>
      <w:r>
        <w:rPr>
          <w:rFonts w:ascii="Abadi" w:hAnsi="Abadi" w:cs="*Arial-7759-Identity-H"/>
          <w:color w:val="0B0B0E"/>
          <w:sz w:val="21"/>
          <w:szCs w:val="21"/>
        </w:rPr>
        <w:t>III</w:t>
      </w:r>
      <w:r w:rsidRPr="00727023">
        <w:rPr>
          <w:rFonts w:ascii="Abadi" w:hAnsi="Abadi" w:cs="*Arial-7759-Identity-H"/>
          <w:color w:val="0B0B0E"/>
          <w:sz w:val="21"/>
          <w:szCs w:val="21"/>
        </w:rPr>
        <w:t>, 56, 57,</w:t>
      </w:r>
      <w:r>
        <w:rPr>
          <w:rFonts w:ascii="Abadi" w:hAnsi="Abadi" w:cs="*Arial-7759-Identity-H"/>
          <w:color w:val="0B0B0E"/>
          <w:sz w:val="21"/>
          <w:szCs w:val="21"/>
        </w:rPr>
        <w:t xml:space="preserve"> </w:t>
      </w:r>
      <w:r w:rsidRPr="00727023">
        <w:rPr>
          <w:rFonts w:ascii="Abadi" w:hAnsi="Abadi" w:cs="*Arial-7759-Identity-H"/>
          <w:color w:val="0B0B0E"/>
          <w:sz w:val="21"/>
          <w:szCs w:val="21"/>
        </w:rPr>
        <w:t xml:space="preserve">58, 59, 60, 82, fracciones </w:t>
      </w:r>
      <w:r>
        <w:rPr>
          <w:rFonts w:ascii="Abadi" w:hAnsi="Abadi" w:cs="*Arial-7759-Identity-H"/>
          <w:color w:val="0B0B0E"/>
          <w:sz w:val="21"/>
          <w:szCs w:val="21"/>
        </w:rPr>
        <w:t>III</w:t>
      </w:r>
      <w:r w:rsidRPr="00727023">
        <w:rPr>
          <w:rFonts w:ascii="Abadi" w:hAnsi="Abadi" w:cs="*Arial-7759-Identity-H"/>
          <w:color w:val="0B0B0E"/>
          <w:sz w:val="21"/>
          <w:szCs w:val="21"/>
        </w:rPr>
        <w:t>, IV</w:t>
      </w:r>
      <w:r w:rsidRPr="001C26C3">
        <w:rPr>
          <w:rFonts w:ascii="Abadi" w:hAnsi="Abadi" w:cs="*Arial-7759-Identity-H"/>
          <w:color w:val="0B0B0E"/>
          <w:sz w:val="21"/>
          <w:szCs w:val="21"/>
        </w:rPr>
        <w:t xml:space="preserve">, </w:t>
      </w:r>
      <w:r w:rsidRPr="001C26C3">
        <w:rPr>
          <w:rFonts w:ascii="Abadi" w:hAnsi="Abadi" w:cs="*Arial-Bold-7760-Identity-H"/>
          <w:color w:val="0B0B0E"/>
          <w:sz w:val="21"/>
          <w:szCs w:val="21"/>
        </w:rPr>
        <w:t xml:space="preserve">XXIX, XXXII </w:t>
      </w:r>
      <w:r w:rsidRPr="001C26C3">
        <w:rPr>
          <w:rFonts w:ascii="Abadi" w:hAnsi="Abadi" w:cs="*Arial-7759-Identity-H"/>
          <w:color w:val="0B0B0E"/>
          <w:sz w:val="21"/>
          <w:szCs w:val="21"/>
        </w:rPr>
        <w:t xml:space="preserve">y </w:t>
      </w:r>
      <w:r w:rsidRPr="001C26C3">
        <w:rPr>
          <w:rFonts w:ascii="Abadi" w:hAnsi="Abadi" w:cs="*Arial-Bold-7760-Identity-H"/>
          <w:color w:val="0B0B0E"/>
          <w:sz w:val="21"/>
          <w:szCs w:val="21"/>
        </w:rPr>
        <w:t xml:space="preserve">XXXV </w:t>
      </w:r>
      <w:r w:rsidRPr="001C26C3">
        <w:rPr>
          <w:rFonts w:ascii="Abadi" w:hAnsi="Abadi" w:cs="*Arial-7759-Identity-H"/>
          <w:color w:val="0B0B0E"/>
          <w:sz w:val="21"/>
          <w:szCs w:val="21"/>
        </w:rPr>
        <w:t>y</w:t>
      </w:r>
      <w:r w:rsidRPr="00727023">
        <w:rPr>
          <w:rFonts w:ascii="Abadi" w:hAnsi="Abadi" w:cs="*Arial-7759-Identity-H"/>
          <w:color w:val="0B0B0E"/>
          <w:sz w:val="21"/>
          <w:szCs w:val="21"/>
        </w:rPr>
        <w:t xml:space="preserve"> 87, fracciones V, XII y</w:t>
      </w:r>
      <w:r>
        <w:rPr>
          <w:rFonts w:ascii="Abadi" w:hAnsi="Abadi" w:cs="*Arial-7759-Identity-H"/>
          <w:color w:val="0B0B0E"/>
          <w:sz w:val="21"/>
          <w:szCs w:val="21"/>
        </w:rPr>
        <w:t xml:space="preserve"> </w:t>
      </w:r>
      <w:r w:rsidRPr="00727023">
        <w:rPr>
          <w:rFonts w:ascii="Abadi" w:hAnsi="Abadi" w:cs="*Arial-7759-Identity-H"/>
          <w:color w:val="0B0B0E"/>
          <w:sz w:val="21"/>
          <w:szCs w:val="21"/>
        </w:rPr>
        <w:t>XXVI de la Ley de Fiscalización Superior del Estado de Guanajuato; 1, 3, 10, 13,</w:t>
      </w:r>
      <w:r>
        <w:rPr>
          <w:rFonts w:ascii="Abadi" w:hAnsi="Abadi" w:cs="*Arial-7759-Identity-H"/>
          <w:color w:val="0B0B0E"/>
          <w:sz w:val="21"/>
          <w:szCs w:val="21"/>
        </w:rPr>
        <w:t xml:space="preserve"> </w:t>
      </w:r>
      <w:r w:rsidRPr="00727023">
        <w:rPr>
          <w:rFonts w:ascii="Abadi" w:hAnsi="Abadi" w:cs="*Arial-7759-Identity-H"/>
          <w:color w:val="0B0B0E"/>
          <w:sz w:val="21"/>
          <w:szCs w:val="21"/>
        </w:rPr>
        <w:t>18, 20, 27, 43, 44, 45, 46, 47, 48 y 49 del Reglamento de la Ley de Fiscalización</w:t>
      </w:r>
      <w:r>
        <w:rPr>
          <w:rFonts w:ascii="Abadi" w:hAnsi="Abadi" w:cs="*Arial-7759-Identity-H"/>
          <w:color w:val="0B0B0E"/>
          <w:sz w:val="21"/>
          <w:szCs w:val="21"/>
        </w:rPr>
        <w:t xml:space="preserve"> </w:t>
      </w:r>
      <w:r w:rsidRPr="00727023">
        <w:rPr>
          <w:rFonts w:ascii="Abadi" w:hAnsi="Abadi" w:cs="*Arial-7759-Identity-H"/>
          <w:color w:val="0B0B0E"/>
          <w:sz w:val="21"/>
          <w:szCs w:val="21"/>
        </w:rPr>
        <w:t>Superior del Estado de Guanajuato; 1, 7, segundo párrafo, 8, fracción 1, 9, fracción</w:t>
      </w:r>
      <w:r>
        <w:rPr>
          <w:rFonts w:ascii="Abadi" w:hAnsi="Abadi" w:cs="*Arial-7759-Identity-H"/>
          <w:color w:val="0B0B0E"/>
          <w:sz w:val="21"/>
          <w:szCs w:val="21"/>
        </w:rPr>
        <w:t xml:space="preserve"> </w:t>
      </w:r>
      <w:r w:rsidRPr="00727023">
        <w:rPr>
          <w:rFonts w:ascii="Abadi" w:hAnsi="Abadi" w:cs="*Arial-7759-Identity-H"/>
          <w:color w:val="0B0B0E"/>
          <w:sz w:val="21"/>
          <w:szCs w:val="21"/>
        </w:rPr>
        <w:t xml:space="preserve">XVII, </w:t>
      </w:r>
      <w:r w:rsidR="006D71C7">
        <w:rPr>
          <w:rFonts w:ascii="Abadi" w:hAnsi="Abadi" w:cs="*Arial-7759-Identity-H"/>
          <w:color w:val="0B0B0E"/>
          <w:sz w:val="21"/>
          <w:szCs w:val="21"/>
        </w:rPr>
        <w:t>10</w:t>
      </w:r>
      <w:r w:rsidRPr="00727023">
        <w:rPr>
          <w:rFonts w:ascii="Abadi" w:hAnsi="Abadi" w:cs="*Arial-7759-Identity-H"/>
          <w:color w:val="0B0B0E"/>
          <w:sz w:val="21"/>
          <w:szCs w:val="21"/>
        </w:rPr>
        <w:t xml:space="preserve"> fracciones </w:t>
      </w:r>
      <w:r>
        <w:rPr>
          <w:rFonts w:ascii="Abadi" w:hAnsi="Abadi" w:cs="*Arial-7759-Identity-H"/>
          <w:color w:val="0B0B0E"/>
          <w:sz w:val="21"/>
          <w:szCs w:val="21"/>
        </w:rPr>
        <w:t>II</w:t>
      </w:r>
      <w:r w:rsidRPr="00727023">
        <w:rPr>
          <w:rFonts w:ascii="Abadi" w:hAnsi="Abadi" w:cs="*Arial-7759-Identity-H"/>
          <w:color w:val="0B0B0E"/>
          <w:sz w:val="21"/>
          <w:szCs w:val="21"/>
        </w:rPr>
        <w:t>, XVII, XIX y XX, 14 y 16 del Reglamento Interior de la</w:t>
      </w:r>
      <w:r>
        <w:rPr>
          <w:rFonts w:ascii="Abadi" w:hAnsi="Abadi" w:cs="*Arial-7759-Identity-H"/>
          <w:color w:val="0B0B0E"/>
          <w:sz w:val="21"/>
          <w:szCs w:val="21"/>
        </w:rPr>
        <w:t xml:space="preserve"> </w:t>
      </w:r>
      <w:r w:rsidRPr="00727023">
        <w:rPr>
          <w:rFonts w:ascii="Abadi" w:hAnsi="Abadi" w:cs="*Arial-7759-Identity-H"/>
          <w:color w:val="0B0B0E"/>
          <w:sz w:val="21"/>
          <w:szCs w:val="21"/>
        </w:rPr>
        <w:t>Auditoría Superior del Estado de Guanajuato; y 42 de la Ley General del Sistema</w:t>
      </w:r>
      <w:r>
        <w:rPr>
          <w:rFonts w:ascii="Abadi" w:hAnsi="Abadi" w:cs="*Arial-7759-Identity-H"/>
          <w:color w:val="0B0B0E"/>
          <w:sz w:val="21"/>
          <w:szCs w:val="21"/>
        </w:rPr>
        <w:t xml:space="preserve"> </w:t>
      </w:r>
      <w:r w:rsidRPr="00727023">
        <w:rPr>
          <w:rFonts w:ascii="Abadi" w:hAnsi="Abadi" w:cs="*Arial-7759-Identity-H"/>
          <w:color w:val="0B0B0E"/>
          <w:sz w:val="21"/>
          <w:szCs w:val="21"/>
        </w:rPr>
        <w:t>Nacional Anticorrupción.</w:t>
      </w:r>
    </w:p>
    <w:p w14:paraId="1BE905FD" w14:textId="77777777" w:rsidR="007A32BE" w:rsidRDefault="007A32BE" w:rsidP="007A32BE">
      <w:pPr>
        <w:autoSpaceDE w:val="0"/>
        <w:autoSpaceDN w:val="0"/>
        <w:adjustRightInd w:val="0"/>
        <w:jc w:val="both"/>
        <w:rPr>
          <w:rFonts w:ascii="Abadi" w:hAnsi="Abadi" w:cs="*Arial-7759-Identity-H"/>
          <w:color w:val="0B0B0E"/>
          <w:sz w:val="21"/>
          <w:szCs w:val="21"/>
        </w:rPr>
      </w:pPr>
    </w:p>
    <w:p w14:paraId="55976F95" w14:textId="77777777" w:rsidR="007A32BE" w:rsidRPr="00727023" w:rsidRDefault="007A32BE" w:rsidP="007A32BE">
      <w:pPr>
        <w:autoSpaceDE w:val="0"/>
        <w:autoSpaceDN w:val="0"/>
        <w:adjustRightInd w:val="0"/>
        <w:jc w:val="both"/>
        <w:rPr>
          <w:rFonts w:ascii="Abadi" w:hAnsi="Abadi" w:cs="*Arial-7759-Identity-H"/>
          <w:color w:val="0B0B0E"/>
          <w:sz w:val="21"/>
          <w:szCs w:val="21"/>
        </w:rPr>
      </w:pPr>
    </w:p>
    <w:p w14:paraId="2DA09B92" w14:textId="2E812F4F" w:rsidR="007A32BE" w:rsidRDefault="007A32BE" w:rsidP="007A32BE">
      <w:pPr>
        <w:autoSpaceDE w:val="0"/>
        <w:autoSpaceDN w:val="0"/>
        <w:adjustRightInd w:val="0"/>
        <w:ind w:firstLine="708"/>
        <w:jc w:val="both"/>
        <w:rPr>
          <w:rFonts w:ascii="Abadi" w:hAnsi="Abadi" w:cs="*Arial-7484-Identity-H"/>
          <w:color w:val="0C0C0E"/>
          <w:sz w:val="21"/>
          <w:szCs w:val="21"/>
        </w:rPr>
      </w:pPr>
      <w:r w:rsidRPr="00727023">
        <w:rPr>
          <w:rFonts w:ascii="Abadi" w:hAnsi="Abadi" w:cs="*Arial-7484-Identity-H"/>
          <w:color w:val="0C0C0E"/>
          <w:sz w:val="21"/>
          <w:szCs w:val="21"/>
        </w:rPr>
        <w:t>Con base en lo anterior, la auditoría de desempeño materia del presente</w:t>
      </w:r>
      <w:r>
        <w:rPr>
          <w:rFonts w:ascii="Abadi" w:hAnsi="Abadi" w:cs="*Arial-7484-Identity-H"/>
          <w:color w:val="0C0C0E"/>
          <w:sz w:val="21"/>
          <w:szCs w:val="21"/>
        </w:rPr>
        <w:t xml:space="preserve"> </w:t>
      </w:r>
      <w:r w:rsidRPr="00727023">
        <w:rPr>
          <w:rFonts w:ascii="Abadi" w:hAnsi="Abadi" w:cs="*Arial-7484-Identity-H"/>
          <w:color w:val="0C0C0E"/>
          <w:sz w:val="21"/>
          <w:szCs w:val="21"/>
        </w:rPr>
        <w:t>dictamen, se ejecutó bajo los principios, conceptos y directrices de las actuales</w:t>
      </w:r>
      <w:r>
        <w:rPr>
          <w:rFonts w:ascii="Abadi" w:hAnsi="Abadi" w:cs="*Arial-7484-Identity-H"/>
          <w:color w:val="0C0C0E"/>
          <w:sz w:val="21"/>
          <w:szCs w:val="21"/>
        </w:rPr>
        <w:t xml:space="preserve"> </w:t>
      </w:r>
      <w:r w:rsidRPr="00727023">
        <w:rPr>
          <w:rFonts w:ascii="Abadi" w:hAnsi="Abadi" w:cs="*Arial-7484-Identity-H"/>
          <w:color w:val="0C0C0E"/>
          <w:sz w:val="21"/>
          <w:szCs w:val="21"/>
        </w:rPr>
        <w:t>Normas Profesionales de Auditoría del Sistema Nacional de Fiscalización,</w:t>
      </w:r>
      <w:r>
        <w:rPr>
          <w:rFonts w:ascii="Abadi" w:hAnsi="Abadi" w:cs="*Arial-7484-Identity-H"/>
          <w:color w:val="0C0C0E"/>
          <w:sz w:val="21"/>
          <w:szCs w:val="21"/>
        </w:rPr>
        <w:t xml:space="preserve"> </w:t>
      </w:r>
      <w:r w:rsidRPr="00727023">
        <w:rPr>
          <w:rFonts w:ascii="Abadi" w:hAnsi="Abadi" w:cs="*Arial-7484-Identity-H"/>
          <w:color w:val="0C0C0E"/>
          <w:sz w:val="21"/>
          <w:szCs w:val="21"/>
        </w:rPr>
        <w:t>compiladas y editadas por la Auditoría Superior de la Federación, de manera</w:t>
      </w:r>
      <w:r>
        <w:rPr>
          <w:rFonts w:ascii="Abadi" w:hAnsi="Abadi" w:cs="*Arial-7484-Identity-H"/>
          <w:color w:val="0C0C0E"/>
          <w:sz w:val="21"/>
          <w:szCs w:val="21"/>
        </w:rPr>
        <w:t xml:space="preserve"> </w:t>
      </w:r>
      <w:r w:rsidRPr="00727023">
        <w:rPr>
          <w:rFonts w:ascii="Abadi" w:hAnsi="Abadi" w:cs="*Arial-7484-Identity-H"/>
          <w:color w:val="0C0C0E"/>
          <w:sz w:val="21"/>
          <w:szCs w:val="21"/>
        </w:rPr>
        <w:t>particular por lo que hace a sus numerales 100 y 300.</w:t>
      </w:r>
    </w:p>
    <w:p w14:paraId="2D00C231" w14:textId="77777777" w:rsidR="0042658F" w:rsidRDefault="0042658F" w:rsidP="007A32BE">
      <w:pPr>
        <w:autoSpaceDE w:val="0"/>
        <w:autoSpaceDN w:val="0"/>
        <w:adjustRightInd w:val="0"/>
        <w:ind w:firstLine="708"/>
        <w:jc w:val="both"/>
        <w:rPr>
          <w:rFonts w:ascii="Abadi" w:hAnsi="Abadi" w:cs="*Arial-7484-Identity-H"/>
          <w:color w:val="0C0C0E"/>
          <w:sz w:val="21"/>
          <w:szCs w:val="21"/>
        </w:rPr>
      </w:pPr>
    </w:p>
    <w:p w14:paraId="24BDBEC8" w14:textId="77777777" w:rsidR="007A32BE" w:rsidRDefault="007A32BE" w:rsidP="007A32BE">
      <w:pPr>
        <w:autoSpaceDE w:val="0"/>
        <w:autoSpaceDN w:val="0"/>
        <w:adjustRightInd w:val="0"/>
        <w:ind w:firstLine="708"/>
        <w:jc w:val="both"/>
        <w:rPr>
          <w:rFonts w:ascii="Abadi" w:hAnsi="Abadi" w:cs="*Arial-7484-Identity-H"/>
          <w:color w:val="0C0B0E"/>
          <w:sz w:val="21"/>
          <w:szCs w:val="21"/>
        </w:rPr>
      </w:pPr>
      <w:r w:rsidRPr="00727023">
        <w:rPr>
          <w:rFonts w:ascii="Abadi" w:hAnsi="Abadi" w:cs="*Arial-7484-Identity-H"/>
          <w:color w:val="0C0B0E"/>
          <w:sz w:val="21"/>
          <w:szCs w:val="21"/>
        </w:rPr>
        <w:t>En esta parte -también se puntualiza que las auditorías de desempeño que</w:t>
      </w:r>
      <w:r>
        <w:rPr>
          <w:rFonts w:ascii="Abadi" w:hAnsi="Abadi" w:cs="*Arial-7484-Identity-H"/>
          <w:color w:val="0C0B0E"/>
          <w:sz w:val="21"/>
          <w:szCs w:val="21"/>
        </w:rPr>
        <w:t xml:space="preserve"> </w:t>
      </w:r>
      <w:r w:rsidRPr="00727023">
        <w:rPr>
          <w:rFonts w:ascii="Abadi" w:hAnsi="Abadi" w:cs="*Arial-7484-Identity-H"/>
          <w:color w:val="0C0B0E"/>
          <w:sz w:val="21"/>
          <w:szCs w:val="21"/>
        </w:rPr>
        <w:t>se practican por la Auditoría Superior del Estado son congruentes con las</w:t>
      </w:r>
      <w:r>
        <w:rPr>
          <w:rFonts w:ascii="Abadi" w:hAnsi="Abadi" w:cs="*Arial-7484-Identity-H"/>
          <w:color w:val="0C0B0E"/>
          <w:sz w:val="21"/>
          <w:szCs w:val="21"/>
        </w:rPr>
        <w:t xml:space="preserve"> </w:t>
      </w:r>
      <w:r w:rsidRPr="00727023">
        <w:rPr>
          <w:rFonts w:ascii="Abadi" w:hAnsi="Abadi" w:cs="*Arial-7484-Identity-H"/>
          <w:color w:val="0C0B0E"/>
          <w:sz w:val="21"/>
          <w:szCs w:val="21"/>
        </w:rPr>
        <w:t>metodologías señaladas en las Normas Internacionales para Entidades</w:t>
      </w:r>
      <w:r>
        <w:rPr>
          <w:rFonts w:ascii="Abadi" w:hAnsi="Abadi" w:cs="*Arial-7484-Identity-H"/>
          <w:color w:val="0C0B0E"/>
          <w:sz w:val="21"/>
          <w:szCs w:val="21"/>
        </w:rPr>
        <w:t xml:space="preserve"> </w:t>
      </w:r>
      <w:r w:rsidRPr="00727023">
        <w:rPr>
          <w:rFonts w:ascii="Abadi" w:hAnsi="Abadi" w:cs="*Arial-7484-Identity-H"/>
          <w:color w:val="0C0B0E"/>
          <w:sz w:val="21"/>
          <w:szCs w:val="21"/>
        </w:rPr>
        <w:t>Fiscalizadoras Superiores 100, 300, 3000 y 3200, emitidas por la Organización</w:t>
      </w:r>
      <w:r>
        <w:rPr>
          <w:rFonts w:ascii="Abadi" w:hAnsi="Abadi" w:cs="*Arial-7484-Identity-H"/>
          <w:color w:val="0C0B0E"/>
          <w:sz w:val="21"/>
          <w:szCs w:val="21"/>
        </w:rPr>
        <w:t xml:space="preserve"> </w:t>
      </w:r>
      <w:r w:rsidRPr="00727023">
        <w:rPr>
          <w:rFonts w:ascii="Abadi" w:hAnsi="Abadi" w:cs="*Arial-7484-Identity-H"/>
          <w:color w:val="0C0B0E"/>
          <w:sz w:val="21"/>
          <w:szCs w:val="21"/>
        </w:rPr>
        <w:t>Internacional de las Entidades Fiscalizadoras Superiores, así como con los</w:t>
      </w:r>
      <w:r>
        <w:rPr>
          <w:rFonts w:ascii="Abadi" w:hAnsi="Abadi" w:cs="*Arial-7484-Identity-H"/>
          <w:color w:val="0C0B0E"/>
          <w:sz w:val="21"/>
          <w:szCs w:val="21"/>
        </w:rPr>
        <w:t xml:space="preserve"> </w:t>
      </w:r>
      <w:r w:rsidRPr="00727023">
        <w:rPr>
          <w:rFonts w:ascii="Abadi" w:hAnsi="Abadi" w:cs="*Arial-7484-Identity-H"/>
          <w:color w:val="0C0B0E"/>
          <w:sz w:val="21"/>
          <w:szCs w:val="21"/>
        </w:rPr>
        <w:t>lineamientos para la construcción y diseño de indicadores de desempeño</w:t>
      </w:r>
      <w:r>
        <w:rPr>
          <w:rFonts w:ascii="Abadi" w:hAnsi="Abadi" w:cs="*Arial-7484-Identity-H"/>
          <w:color w:val="0C0B0E"/>
          <w:sz w:val="21"/>
          <w:szCs w:val="21"/>
        </w:rPr>
        <w:t xml:space="preserve"> </w:t>
      </w:r>
      <w:r w:rsidRPr="00727023">
        <w:rPr>
          <w:rFonts w:ascii="Abadi" w:hAnsi="Abadi" w:cs="*Arial-7484-Identity-H"/>
          <w:color w:val="0C0B0E"/>
          <w:sz w:val="21"/>
          <w:szCs w:val="21"/>
        </w:rPr>
        <w:t>mediante la Metodología del Marco Lógico, emitidos por el Consejo Nacional de</w:t>
      </w:r>
      <w:r>
        <w:rPr>
          <w:rFonts w:ascii="Abadi" w:hAnsi="Abadi" w:cs="*Arial-7484-Identity-H"/>
          <w:color w:val="0C0B0E"/>
          <w:sz w:val="21"/>
          <w:szCs w:val="21"/>
        </w:rPr>
        <w:t xml:space="preserve"> </w:t>
      </w:r>
      <w:r w:rsidRPr="00727023">
        <w:rPr>
          <w:rFonts w:ascii="Abadi" w:hAnsi="Abadi" w:cs="*Arial-7484-Identity-H"/>
          <w:color w:val="0C0B0E"/>
          <w:sz w:val="21"/>
          <w:szCs w:val="21"/>
        </w:rPr>
        <w:t>Armonización Contable, publicados en el Diario Oficial de la Federación el 15 de</w:t>
      </w:r>
      <w:r>
        <w:rPr>
          <w:rFonts w:ascii="Abadi" w:hAnsi="Abadi" w:cs="*Arial-7484-Identity-H"/>
          <w:color w:val="0C0B0E"/>
          <w:sz w:val="21"/>
          <w:szCs w:val="21"/>
        </w:rPr>
        <w:t xml:space="preserve"> </w:t>
      </w:r>
      <w:r w:rsidRPr="00727023">
        <w:rPr>
          <w:rFonts w:ascii="Abadi" w:hAnsi="Abadi" w:cs="*Arial-7484-Identity-H"/>
          <w:color w:val="0C0B0E"/>
          <w:sz w:val="21"/>
          <w:szCs w:val="21"/>
        </w:rPr>
        <w:t>mayo de 2013, entre otros.</w:t>
      </w:r>
    </w:p>
    <w:p w14:paraId="1E4CB86E" w14:textId="77777777" w:rsidR="007A32BE" w:rsidRPr="00727023" w:rsidRDefault="007A32BE" w:rsidP="007A32BE">
      <w:pPr>
        <w:autoSpaceDE w:val="0"/>
        <w:autoSpaceDN w:val="0"/>
        <w:adjustRightInd w:val="0"/>
        <w:jc w:val="both"/>
        <w:rPr>
          <w:rFonts w:ascii="Abadi" w:hAnsi="Abadi" w:cs="*Arial-7484-Identity-H"/>
          <w:color w:val="0C0B0E"/>
          <w:sz w:val="21"/>
          <w:szCs w:val="21"/>
        </w:rPr>
      </w:pPr>
    </w:p>
    <w:p w14:paraId="004C092A" w14:textId="77777777" w:rsidR="007A32BE" w:rsidRDefault="007A32BE" w:rsidP="007A32BE">
      <w:pPr>
        <w:autoSpaceDE w:val="0"/>
        <w:autoSpaceDN w:val="0"/>
        <w:adjustRightInd w:val="0"/>
        <w:ind w:firstLine="708"/>
        <w:jc w:val="both"/>
        <w:rPr>
          <w:rFonts w:ascii="Abadi" w:hAnsi="Abadi" w:cs="*Arial-7484-Identity-H"/>
          <w:color w:val="0C0C0F"/>
          <w:sz w:val="21"/>
          <w:szCs w:val="21"/>
        </w:rPr>
      </w:pPr>
      <w:r w:rsidRPr="00727023">
        <w:rPr>
          <w:rFonts w:ascii="Abadi" w:hAnsi="Abadi" w:cs="*Arial-7484-Identity-H"/>
          <w:color w:val="0C0C0F"/>
          <w:sz w:val="21"/>
          <w:szCs w:val="21"/>
        </w:rPr>
        <w:t>En el punto correspondiente a estructura del informe y valoración, se señala</w:t>
      </w:r>
      <w:r>
        <w:rPr>
          <w:rFonts w:ascii="Abadi" w:hAnsi="Abadi" w:cs="*Arial-7484-Identity-H"/>
          <w:color w:val="0C0C0F"/>
          <w:sz w:val="21"/>
          <w:szCs w:val="21"/>
        </w:rPr>
        <w:t xml:space="preserve"> </w:t>
      </w:r>
      <w:r w:rsidRPr="00727023">
        <w:rPr>
          <w:rFonts w:ascii="Abadi" w:hAnsi="Abadi" w:cs="*Arial-7484-Identity-H"/>
          <w:color w:val="0C0C0F"/>
          <w:sz w:val="21"/>
          <w:szCs w:val="21"/>
        </w:rPr>
        <w:t>que el informe de resultados es el documento técnico en el que se presentan los</w:t>
      </w:r>
      <w:r>
        <w:rPr>
          <w:rFonts w:ascii="Abadi" w:hAnsi="Abadi" w:cs="*Arial-7484-Identity-H"/>
          <w:color w:val="0C0C0F"/>
          <w:sz w:val="21"/>
          <w:szCs w:val="21"/>
        </w:rPr>
        <w:t xml:space="preserve"> </w:t>
      </w:r>
      <w:r w:rsidRPr="00727023">
        <w:rPr>
          <w:rFonts w:ascii="Abadi" w:hAnsi="Abadi" w:cs="*Arial-7484-Identity-H"/>
          <w:color w:val="0C0C0F"/>
          <w:sz w:val="21"/>
          <w:szCs w:val="21"/>
        </w:rPr>
        <w:t>datos e información que identifican una revisión, las conclusiones y las</w:t>
      </w:r>
      <w:r>
        <w:rPr>
          <w:rFonts w:ascii="Abadi" w:hAnsi="Abadi" w:cs="*Arial-7484-Identity-H"/>
          <w:color w:val="0C0C0F"/>
          <w:sz w:val="21"/>
          <w:szCs w:val="21"/>
        </w:rPr>
        <w:t xml:space="preserve"> </w:t>
      </w:r>
      <w:r w:rsidRPr="00727023">
        <w:rPr>
          <w:rFonts w:ascii="Abadi" w:hAnsi="Abadi" w:cs="*Arial-7484-Identity-H"/>
          <w:color w:val="0C0C0F"/>
          <w:sz w:val="21"/>
          <w:szCs w:val="21"/>
        </w:rPr>
        <w:t xml:space="preserve">recomendaciones al desempeño que se propondrán al ente </w:t>
      </w:r>
      <w:proofErr w:type="spellStart"/>
      <w:r w:rsidRPr="00727023">
        <w:rPr>
          <w:rFonts w:ascii="Abadi" w:hAnsi="Abadi" w:cs="*Arial-7484-Identity-H"/>
          <w:color w:val="0C0C0F"/>
          <w:sz w:val="21"/>
          <w:szCs w:val="21"/>
        </w:rPr>
        <w:t>fiscalizado</w:t>
      </w:r>
      <w:proofErr w:type="spellEnd"/>
      <w:r w:rsidRPr="00727023">
        <w:rPr>
          <w:rFonts w:ascii="Abadi" w:hAnsi="Abadi" w:cs="*Arial-7484-Identity-H"/>
          <w:color w:val="0C0C0F"/>
          <w:sz w:val="21"/>
          <w:szCs w:val="21"/>
        </w:rPr>
        <w:t>.</w:t>
      </w:r>
      <w:r>
        <w:rPr>
          <w:rFonts w:ascii="Abadi" w:hAnsi="Abadi" w:cs="*Arial-7484-Identity-H"/>
          <w:color w:val="0C0C0F"/>
          <w:sz w:val="21"/>
          <w:szCs w:val="21"/>
        </w:rPr>
        <w:t xml:space="preserve"> </w:t>
      </w:r>
    </w:p>
    <w:p w14:paraId="00084264" w14:textId="77777777" w:rsidR="007A32BE" w:rsidRDefault="007A32BE" w:rsidP="007A32BE">
      <w:pPr>
        <w:autoSpaceDE w:val="0"/>
        <w:autoSpaceDN w:val="0"/>
        <w:adjustRightInd w:val="0"/>
        <w:jc w:val="both"/>
        <w:rPr>
          <w:rFonts w:ascii="Abadi" w:hAnsi="Abadi" w:cs="*Arial-7484-Identity-H"/>
          <w:color w:val="0C0C0F"/>
          <w:sz w:val="21"/>
          <w:szCs w:val="21"/>
        </w:rPr>
      </w:pPr>
    </w:p>
    <w:p w14:paraId="57E7974C" w14:textId="77777777" w:rsidR="007A32BE" w:rsidRDefault="007A32BE" w:rsidP="007A32BE">
      <w:pPr>
        <w:autoSpaceDE w:val="0"/>
        <w:autoSpaceDN w:val="0"/>
        <w:adjustRightInd w:val="0"/>
        <w:ind w:firstLine="708"/>
        <w:jc w:val="both"/>
        <w:rPr>
          <w:rFonts w:ascii="Abadi" w:hAnsi="Abadi" w:cs="*Arial-7484-Identity-H"/>
          <w:color w:val="0D0D10"/>
          <w:sz w:val="21"/>
          <w:szCs w:val="21"/>
        </w:rPr>
      </w:pPr>
      <w:r w:rsidRPr="00727023">
        <w:rPr>
          <w:rFonts w:ascii="Abadi" w:hAnsi="Abadi" w:cs="*Arial-7484-Identity-H"/>
          <w:color w:val="0D0D10"/>
          <w:sz w:val="21"/>
          <w:szCs w:val="21"/>
        </w:rPr>
        <w:t>Asimismo, se refiere que el artículo 26 del Reglamento de la Ley de</w:t>
      </w:r>
      <w:r>
        <w:rPr>
          <w:rFonts w:ascii="Abadi" w:hAnsi="Abadi" w:cs="*Arial-7484-Identity-H"/>
          <w:color w:val="0D0D10"/>
          <w:sz w:val="21"/>
          <w:szCs w:val="21"/>
        </w:rPr>
        <w:t xml:space="preserve"> </w:t>
      </w:r>
      <w:r w:rsidRPr="00727023">
        <w:rPr>
          <w:rFonts w:ascii="Abadi" w:hAnsi="Abadi" w:cs="*Arial-7484-Identity-H"/>
          <w:color w:val="0D0D10"/>
          <w:sz w:val="21"/>
          <w:szCs w:val="21"/>
        </w:rPr>
        <w:t>Fiscalización Superior del Estado de Guanajuato establece los requisitos mínimos</w:t>
      </w:r>
      <w:r>
        <w:rPr>
          <w:rFonts w:ascii="Abadi" w:hAnsi="Abadi" w:cs="*Arial-7484-Identity-H"/>
          <w:color w:val="0D0D10"/>
          <w:sz w:val="21"/>
          <w:szCs w:val="21"/>
        </w:rPr>
        <w:t xml:space="preserve"> </w:t>
      </w:r>
      <w:r w:rsidRPr="00727023">
        <w:rPr>
          <w:rFonts w:ascii="Abadi" w:hAnsi="Abadi" w:cs="*Arial-7484-Identity-H"/>
          <w:color w:val="0D0D10"/>
          <w:sz w:val="21"/>
          <w:szCs w:val="21"/>
        </w:rPr>
        <w:t>que deben contener los informes de resultados de las auditorías de desempeño,</w:t>
      </w:r>
      <w:r>
        <w:rPr>
          <w:rFonts w:ascii="Abadi" w:hAnsi="Abadi" w:cs="*Arial-7484-Identity-H"/>
          <w:color w:val="0D0D10"/>
          <w:sz w:val="21"/>
          <w:szCs w:val="21"/>
        </w:rPr>
        <w:t xml:space="preserve"> </w:t>
      </w:r>
      <w:r w:rsidRPr="00727023">
        <w:rPr>
          <w:rFonts w:ascii="Abadi" w:hAnsi="Abadi" w:cs="*Arial-7484-Identity-H"/>
          <w:color w:val="0D0D10"/>
          <w:sz w:val="21"/>
          <w:szCs w:val="21"/>
        </w:rPr>
        <w:t>los cuales se cumplieron en la formulación del informe de resultados. También se</w:t>
      </w:r>
      <w:r>
        <w:rPr>
          <w:rFonts w:ascii="Abadi" w:hAnsi="Abadi" w:cs="*Arial-7484-Identity-H"/>
          <w:color w:val="0D0D10"/>
          <w:sz w:val="21"/>
          <w:szCs w:val="21"/>
        </w:rPr>
        <w:t xml:space="preserve"> </w:t>
      </w:r>
      <w:r w:rsidRPr="00727023">
        <w:rPr>
          <w:rFonts w:ascii="Abadi" w:hAnsi="Abadi" w:cs="*Arial-7484-Identity-H"/>
          <w:color w:val="0D0D10"/>
          <w:sz w:val="21"/>
          <w:szCs w:val="21"/>
        </w:rPr>
        <w:t>precisan los datos de identificación del acto de fiscalización, como son el titulo o</w:t>
      </w:r>
      <w:r>
        <w:rPr>
          <w:rFonts w:ascii="Abadi" w:hAnsi="Abadi" w:cs="*Arial-7484-Identity-H"/>
          <w:color w:val="0D0D10"/>
          <w:sz w:val="21"/>
          <w:szCs w:val="21"/>
        </w:rPr>
        <w:t xml:space="preserve"> </w:t>
      </w:r>
      <w:r w:rsidRPr="00727023">
        <w:rPr>
          <w:rFonts w:ascii="Abadi" w:hAnsi="Abadi" w:cs="*Arial-7484-Identity-H"/>
          <w:color w:val="0D0D10"/>
          <w:sz w:val="21"/>
          <w:szCs w:val="21"/>
        </w:rPr>
        <w:t>enfoque de la auditoria, el sujeto fiscalizado, el periodo de revisión y el programa</w:t>
      </w:r>
      <w:r>
        <w:rPr>
          <w:rFonts w:ascii="Abadi" w:hAnsi="Abadi" w:cs="*Arial-7484-Identity-H"/>
          <w:color w:val="0D0D10"/>
          <w:sz w:val="21"/>
          <w:szCs w:val="21"/>
        </w:rPr>
        <w:t xml:space="preserve"> </w:t>
      </w:r>
      <w:r w:rsidRPr="00727023">
        <w:rPr>
          <w:rFonts w:ascii="Abadi" w:hAnsi="Abadi" w:cs="*Arial-7484-Identity-H"/>
          <w:color w:val="0D0D10"/>
          <w:sz w:val="21"/>
          <w:szCs w:val="21"/>
        </w:rPr>
        <w:t>que se fiscaliza, en función de lo autorizado en el Programa General de</w:t>
      </w:r>
      <w:r>
        <w:rPr>
          <w:rFonts w:ascii="Abadi" w:hAnsi="Abadi" w:cs="*Arial-7484-Identity-H"/>
          <w:color w:val="0D0D10"/>
          <w:sz w:val="21"/>
          <w:szCs w:val="21"/>
        </w:rPr>
        <w:t xml:space="preserve"> </w:t>
      </w:r>
      <w:r w:rsidRPr="00727023">
        <w:rPr>
          <w:rFonts w:ascii="Abadi" w:hAnsi="Abadi" w:cs="*Arial-7484-Identity-H"/>
          <w:color w:val="0D0D10"/>
          <w:sz w:val="21"/>
          <w:szCs w:val="21"/>
        </w:rPr>
        <w:t>Fiscalización respectivo.</w:t>
      </w:r>
    </w:p>
    <w:p w14:paraId="6AA423D3" w14:textId="77777777" w:rsidR="007A32BE" w:rsidRPr="00727023" w:rsidRDefault="007A32BE" w:rsidP="007A32BE">
      <w:pPr>
        <w:autoSpaceDE w:val="0"/>
        <w:autoSpaceDN w:val="0"/>
        <w:adjustRightInd w:val="0"/>
        <w:jc w:val="both"/>
        <w:rPr>
          <w:rFonts w:ascii="Abadi" w:hAnsi="Abadi" w:cs="*Arial-7484-Identity-H"/>
          <w:color w:val="0D0D10"/>
          <w:sz w:val="21"/>
          <w:szCs w:val="21"/>
        </w:rPr>
      </w:pPr>
    </w:p>
    <w:p w14:paraId="35FF3855" w14:textId="411D4579" w:rsidR="007A32BE" w:rsidRDefault="007A32BE" w:rsidP="007A32BE">
      <w:pPr>
        <w:autoSpaceDE w:val="0"/>
        <w:autoSpaceDN w:val="0"/>
        <w:adjustRightInd w:val="0"/>
        <w:ind w:firstLine="708"/>
        <w:jc w:val="both"/>
        <w:rPr>
          <w:rFonts w:ascii="Abadi" w:hAnsi="Abadi" w:cs="*Arial-7484-Identity-H"/>
          <w:color w:val="0D0C0F"/>
          <w:sz w:val="21"/>
          <w:szCs w:val="21"/>
        </w:rPr>
      </w:pPr>
      <w:r w:rsidRPr="00727023">
        <w:rPr>
          <w:rFonts w:ascii="Abadi" w:hAnsi="Abadi" w:cs="*Arial-7484-Identity-H"/>
          <w:color w:val="0D0C0F"/>
          <w:sz w:val="21"/>
          <w:szCs w:val="21"/>
        </w:rPr>
        <w:t>Por lo que hace a la valoración de la respuesta del sujeto fiscalizado, el</w:t>
      </w:r>
      <w:r>
        <w:rPr>
          <w:rFonts w:ascii="Abadi" w:hAnsi="Abadi" w:cs="*Arial-7484-Identity-H"/>
          <w:color w:val="0D0C0F"/>
          <w:sz w:val="21"/>
          <w:szCs w:val="21"/>
        </w:rPr>
        <w:t xml:space="preserve"> </w:t>
      </w:r>
      <w:r w:rsidRPr="00727023">
        <w:rPr>
          <w:rFonts w:ascii="Abadi" w:hAnsi="Abadi" w:cs="*Arial-7484-Identity-H"/>
          <w:color w:val="0D0C0F"/>
          <w:sz w:val="21"/>
          <w:szCs w:val="21"/>
        </w:rPr>
        <w:t>Órgano Técnico determinó lo conducente respecto a las recomendaciones</w:t>
      </w:r>
      <w:r>
        <w:rPr>
          <w:rFonts w:ascii="Abadi" w:hAnsi="Abadi" w:cs="*Arial-7484-Identity-H"/>
          <w:color w:val="0D0C0F"/>
          <w:sz w:val="21"/>
          <w:szCs w:val="21"/>
        </w:rPr>
        <w:t xml:space="preserve"> </w:t>
      </w:r>
      <w:r w:rsidRPr="00727023">
        <w:rPr>
          <w:rFonts w:ascii="Abadi" w:hAnsi="Abadi" w:cs="*Arial-7484-Identity-H"/>
          <w:color w:val="0D0C0F"/>
          <w:sz w:val="21"/>
          <w:szCs w:val="21"/>
        </w:rPr>
        <w:t>emitidas, para lo cual realizó un análisis de la documentación y evidencia</w:t>
      </w:r>
      <w:r>
        <w:rPr>
          <w:rFonts w:ascii="Abadi" w:hAnsi="Abadi" w:cs="*Arial-7484-Identity-H"/>
          <w:color w:val="0D0C0F"/>
          <w:sz w:val="21"/>
          <w:szCs w:val="21"/>
        </w:rPr>
        <w:t xml:space="preserve"> </w:t>
      </w:r>
      <w:r w:rsidRPr="00727023">
        <w:rPr>
          <w:rFonts w:ascii="Abadi" w:hAnsi="Abadi" w:cs="*Arial-7484-Identity-H"/>
          <w:color w:val="0D0C0F"/>
          <w:sz w:val="21"/>
          <w:szCs w:val="21"/>
        </w:rPr>
        <w:t>proporcionada por el sujeto fiscalizado, a fin de valorar si este efectuó mejoras, si</w:t>
      </w:r>
      <w:r>
        <w:rPr>
          <w:rFonts w:ascii="Abadi" w:hAnsi="Abadi" w:cs="*Arial-7484-Identity-H"/>
          <w:color w:val="0D0C0F"/>
          <w:sz w:val="21"/>
          <w:szCs w:val="21"/>
        </w:rPr>
        <w:t xml:space="preserve"> </w:t>
      </w:r>
      <w:r w:rsidRPr="00727023">
        <w:rPr>
          <w:rFonts w:ascii="Abadi" w:hAnsi="Abadi" w:cs="*Arial-7484-Identity-H"/>
          <w:color w:val="0D0C0F"/>
          <w:sz w:val="21"/>
          <w:szCs w:val="21"/>
        </w:rPr>
        <w:t>realizará alguna acción o emitió la justificación correspondiente sobre la</w:t>
      </w:r>
      <w:r>
        <w:rPr>
          <w:rFonts w:ascii="Abadi" w:hAnsi="Abadi" w:cs="*Arial-7484-Identity-H"/>
          <w:color w:val="0D0C0F"/>
          <w:sz w:val="21"/>
          <w:szCs w:val="21"/>
        </w:rPr>
        <w:t xml:space="preserve"> </w:t>
      </w:r>
      <w:r w:rsidRPr="00727023">
        <w:rPr>
          <w:rFonts w:ascii="Abadi" w:hAnsi="Abadi" w:cs="*Arial-7484-Identity-H"/>
          <w:color w:val="0D0C0F"/>
          <w:sz w:val="21"/>
          <w:szCs w:val="21"/>
        </w:rPr>
        <w:t>improcedencia por la cual no resulte factible su implementación o bien, la</w:t>
      </w:r>
      <w:r>
        <w:rPr>
          <w:rFonts w:ascii="Abadi" w:hAnsi="Abadi" w:cs="*Arial-7484-Identity-H"/>
          <w:color w:val="0D0C0F"/>
          <w:sz w:val="21"/>
          <w:szCs w:val="21"/>
        </w:rPr>
        <w:t xml:space="preserve"> </w:t>
      </w:r>
      <w:r w:rsidRPr="00727023">
        <w:rPr>
          <w:rFonts w:ascii="Abadi" w:hAnsi="Abadi" w:cs="*Arial-7484-Identity-H"/>
          <w:color w:val="0D0C0F"/>
          <w:sz w:val="21"/>
          <w:szCs w:val="21"/>
        </w:rPr>
        <w:t>consideración de medidas alternas que fortalezcan el desempeño de la gestión</w:t>
      </w:r>
      <w:r>
        <w:rPr>
          <w:rFonts w:ascii="Abadi" w:hAnsi="Abadi" w:cs="*Arial-7484-Identity-H"/>
          <w:color w:val="0D0C0F"/>
          <w:sz w:val="21"/>
          <w:szCs w:val="21"/>
        </w:rPr>
        <w:t xml:space="preserve"> </w:t>
      </w:r>
      <w:r w:rsidRPr="00727023">
        <w:rPr>
          <w:rFonts w:ascii="Abadi" w:hAnsi="Abadi" w:cs="*Arial-7484-Identity-H"/>
          <w:color w:val="0D0C0F"/>
          <w:sz w:val="21"/>
          <w:szCs w:val="21"/>
        </w:rPr>
        <w:t>pública. Asimismo, se señala que las recomendaciones efectuadas al sujeto</w:t>
      </w:r>
      <w:r>
        <w:rPr>
          <w:rFonts w:ascii="Abadi" w:hAnsi="Abadi" w:cs="*Arial-7484-Identity-H"/>
          <w:color w:val="0D0C0F"/>
          <w:sz w:val="21"/>
          <w:szCs w:val="21"/>
        </w:rPr>
        <w:t xml:space="preserve"> </w:t>
      </w:r>
      <w:r w:rsidRPr="00727023">
        <w:rPr>
          <w:rFonts w:ascii="Abadi" w:hAnsi="Abadi" w:cs="*Arial-7484-Identity-H"/>
          <w:color w:val="0D0C0F"/>
          <w:sz w:val="21"/>
          <w:szCs w:val="21"/>
        </w:rPr>
        <w:t>fiscalizado podrían considerarse como persistentes, cuando no sea posible</w:t>
      </w:r>
      <w:r>
        <w:rPr>
          <w:rFonts w:ascii="Abadi" w:hAnsi="Abadi" w:cs="*Arial-7484-Identity-H"/>
          <w:color w:val="0D0C0F"/>
          <w:sz w:val="21"/>
          <w:szCs w:val="21"/>
        </w:rPr>
        <w:t xml:space="preserve"> </w:t>
      </w:r>
      <w:r w:rsidRPr="00727023">
        <w:rPr>
          <w:rFonts w:ascii="Abadi" w:hAnsi="Abadi" w:cs="*Arial-7484-Identity-H"/>
          <w:color w:val="0D0C0F"/>
          <w:sz w:val="21"/>
          <w:szCs w:val="21"/>
        </w:rPr>
        <w:t>valorarlas en alguno de los supuestos antes referidos.</w:t>
      </w:r>
    </w:p>
    <w:p w14:paraId="1AFEFC9D" w14:textId="77777777" w:rsidR="004D4959" w:rsidRPr="00727023" w:rsidRDefault="004D4959" w:rsidP="007A32BE">
      <w:pPr>
        <w:autoSpaceDE w:val="0"/>
        <w:autoSpaceDN w:val="0"/>
        <w:adjustRightInd w:val="0"/>
        <w:ind w:firstLine="708"/>
        <w:jc w:val="both"/>
        <w:rPr>
          <w:rFonts w:ascii="Abadi" w:hAnsi="Abadi" w:cs="*Arial-7484-Identity-H"/>
          <w:color w:val="0D0C0F"/>
          <w:sz w:val="21"/>
          <w:szCs w:val="21"/>
        </w:rPr>
      </w:pPr>
    </w:p>
    <w:p w14:paraId="5AB7ABE7" w14:textId="77777777" w:rsidR="007A32BE" w:rsidRDefault="007A32BE" w:rsidP="007A32BE">
      <w:pPr>
        <w:autoSpaceDE w:val="0"/>
        <w:autoSpaceDN w:val="0"/>
        <w:adjustRightInd w:val="0"/>
        <w:ind w:firstLine="708"/>
        <w:jc w:val="both"/>
        <w:rPr>
          <w:rFonts w:ascii="Abadi" w:hAnsi="Abadi" w:cs="*Arial-7189-Identity-H"/>
          <w:color w:val="0D0D0F"/>
          <w:sz w:val="21"/>
          <w:szCs w:val="21"/>
        </w:rPr>
      </w:pPr>
      <w:r w:rsidRPr="00727023">
        <w:rPr>
          <w:rFonts w:ascii="Abadi" w:hAnsi="Abadi" w:cs="*Arial-7189-Identity-H"/>
          <w:color w:val="0D0D0F"/>
          <w:sz w:val="21"/>
          <w:szCs w:val="21"/>
        </w:rPr>
        <w:t>Es así, que la valoración realizada por la Auditoría Superior del Estado</w:t>
      </w:r>
      <w:r>
        <w:rPr>
          <w:rFonts w:ascii="Abadi" w:hAnsi="Abadi" w:cs="*Arial-7189-Identity-H"/>
          <w:color w:val="0D0D0F"/>
          <w:sz w:val="21"/>
          <w:szCs w:val="21"/>
        </w:rPr>
        <w:t xml:space="preserve"> </w:t>
      </w:r>
      <w:r w:rsidRPr="00727023">
        <w:rPr>
          <w:rFonts w:ascii="Abadi" w:hAnsi="Abadi" w:cs="*Arial-7189-Identity-H"/>
          <w:color w:val="0D0D0F"/>
          <w:sz w:val="21"/>
          <w:szCs w:val="21"/>
        </w:rPr>
        <w:t>redunda en las manifestaciones, argumentos, acciones y evidencia presentada en</w:t>
      </w:r>
      <w:r>
        <w:rPr>
          <w:rFonts w:ascii="Abadi" w:hAnsi="Abadi" w:cs="*Arial-7189-Identity-H"/>
          <w:color w:val="0D0D0F"/>
          <w:sz w:val="21"/>
          <w:szCs w:val="21"/>
        </w:rPr>
        <w:t xml:space="preserve"> </w:t>
      </w:r>
      <w:r w:rsidRPr="00727023">
        <w:rPr>
          <w:rFonts w:ascii="Abadi" w:hAnsi="Abadi" w:cs="*Arial-7189-Identity-H"/>
          <w:color w:val="0D0D0F"/>
          <w:sz w:val="21"/>
          <w:szCs w:val="21"/>
        </w:rPr>
        <w:t>la respuesta al pliego de recomendaciones, para lo cual la evidencia aportada por</w:t>
      </w:r>
      <w:r>
        <w:rPr>
          <w:rFonts w:ascii="Abadi" w:hAnsi="Abadi" w:cs="*Arial-7189-Identity-H"/>
          <w:color w:val="0D0D0F"/>
          <w:sz w:val="21"/>
          <w:szCs w:val="21"/>
        </w:rPr>
        <w:t xml:space="preserve"> </w:t>
      </w:r>
      <w:r w:rsidRPr="00727023">
        <w:rPr>
          <w:rFonts w:ascii="Abadi" w:hAnsi="Abadi" w:cs="*Arial-7189-Identity-H"/>
          <w:color w:val="0D0D0F"/>
          <w:sz w:val="21"/>
          <w:szCs w:val="21"/>
        </w:rPr>
        <w:t>el sujeto fiscalizado debe ser competente, pertinente, suficiente y relevante.</w:t>
      </w:r>
      <w:r>
        <w:rPr>
          <w:rFonts w:ascii="Abadi" w:hAnsi="Abadi" w:cs="*Arial-7189-Identity-H"/>
          <w:color w:val="0D0D0F"/>
          <w:sz w:val="21"/>
          <w:szCs w:val="21"/>
        </w:rPr>
        <w:t xml:space="preserve"> </w:t>
      </w:r>
    </w:p>
    <w:p w14:paraId="534A90FD" w14:textId="77777777" w:rsidR="007A32BE" w:rsidRDefault="007A32BE" w:rsidP="007A32BE">
      <w:pPr>
        <w:autoSpaceDE w:val="0"/>
        <w:autoSpaceDN w:val="0"/>
        <w:adjustRightInd w:val="0"/>
        <w:jc w:val="both"/>
        <w:rPr>
          <w:rFonts w:ascii="Abadi" w:hAnsi="Abadi" w:cs="*Arial-7189-Identity-H"/>
          <w:color w:val="0D0D0F"/>
          <w:sz w:val="21"/>
          <w:szCs w:val="21"/>
        </w:rPr>
      </w:pPr>
    </w:p>
    <w:p w14:paraId="6EA90C1B" w14:textId="77777777" w:rsidR="007A32BE" w:rsidRDefault="007A32BE" w:rsidP="007A32BE">
      <w:pPr>
        <w:autoSpaceDE w:val="0"/>
        <w:autoSpaceDN w:val="0"/>
        <w:adjustRightInd w:val="0"/>
        <w:ind w:firstLine="708"/>
        <w:jc w:val="both"/>
        <w:rPr>
          <w:rFonts w:ascii="Abadi" w:hAnsi="Abadi" w:cs="*Arial-7189-Identity-H"/>
          <w:color w:val="0D0D0F"/>
          <w:sz w:val="21"/>
          <w:szCs w:val="21"/>
        </w:rPr>
      </w:pPr>
      <w:r w:rsidRPr="00727023">
        <w:rPr>
          <w:rFonts w:ascii="Abadi" w:hAnsi="Abadi" w:cs="*Arial-7189-Identity-H"/>
          <w:color w:val="0D0D0F"/>
          <w:sz w:val="21"/>
          <w:szCs w:val="21"/>
        </w:rPr>
        <w:t>Respecto al objetivo y alcance de la auditoría se señala que de acuerdo a la</w:t>
      </w:r>
      <w:r>
        <w:rPr>
          <w:rFonts w:ascii="Abadi" w:hAnsi="Abadi" w:cs="*Arial-7189-Identity-H"/>
          <w:color w:val="0D0D0F"/>
          <w:sz w:val="21"/>
          <w:szCs w:val="21"/>
        </w:rPr>
        <w:t xml:space="preserve"> </w:t>
      </w:r>
      <w:r w:rsidRPr="00727023">
        <w:rPr>
          <w:rFonts w:ascii="Abadi" w:hAnsi="Abadi" w:cs="*Arial-7189-Identity-H"/>
          <w:color w:val="0D0D0F"/>
          <w:sz w:val="21"/>
          <w:szCs w:val="21"/>
        </w:rPr>
        <w:t>Organización Internacional de las Entidades Fiscalizadoras Superiores, para las</w:t>
      </w:r>
      <w:r>
        <w:rPr>
          <w:rFonts w:ascii="Abadi" w:hAnsi="Abadi" w:cs="*Arial-7189-Identity-H"/>
          <w:color w:val="0D0D0F"/>
          <w:sz w:val="21"/>
          <w:szCs w:val="21"/>
        </w:rPr>
        <w:t xml:space="preserve"> </w:t>
      </w:r>
      <w:r w:rsidRPr="00727023">
        <w:rPr>
          <w:rFonts w:ascii="Abadi" w:hAnsi="Abadi" w:cs="*Arial-7189-Identity-H"/>
          <w:color w:val="0D0D0F"/>
          <w:sz w:val="21"/>
          <w:szCs w:val="21"/>
        </w:rPr>
        <w:t>auditorías de desempeño existen tres enfoques que están orientados a los</w:t>
      </w:r>
      <w:r>
        <w:rPr>
          <w:rFonts w:ascii="Abadi" w:hAnsi="Abadi" w:cs="*Arial-7189-Identity-H"/>
          <w:color w:val="0D0D0F"/>
          <w:sz w:val="21"/>
          <w:szCs w:val="21"/>
        </w:rPr>
        <w:t xml:space="preserve"> </w:t>
      </w:r>
      <w:r w:rsidRPr="00727023">
        <w:rPr>
          <w:rFonts w:ascii="Abadi" w:hAnsi="Abadi" w:cs="*Arial-7189-Identity-H"/>
          <w:color w:val="0D0D0F"/>
          <w:sz w:val="21"/>
          <w:szCs w:val="21"/>
        </w:rPr>
        <w:t>siguientes aspectos: Al sistema, el cual examina el funcionamiento adecuado de</w:t>
      </w:r>
      <w:r>
        <w:rPr>
          <w:rFonts w:ascii="Abadi" w:hAnsi="Abadi" w:cs="*Arial-7189-Identity-H"/>
          <w:color w:val="0D0D0F"/>
          <w:sz w:val="21"/>
          <w:szCs w:val="21"/>
        </w:rPr>
        <w:t xml:space="preserve"> </w:t>
      </w:r>
      <w:r w:rsidRPr="00727023">
        <w:rPr>
          <w:rFonts w:ascii="Abadi" w:hAnsi="Abadi" w:cs="*Arial-7189-Identity-H"/>
          <w:color w:val="0D0D0F"/>
          <w:sz w:val="21"/>
          <w:szCs w:val="21"/>
        </w:rPr>
        <w:t>los sistemas de gestión; a los resultados, en el que se evalúa si los objetivos en</w:t>
      </w:r>
      <w:r>
        <w:rPr>
          <w:rFonts w:ascii="Abadi" w:hAnsi="Abadi" w:cs="*Arial-7189-Identity-H"/>
          <w:color w:val="0D0D0F"/>
          <w:sz w:val="21"/>
          <w:szCs w:val="21"/>
        </w:rPr>
        <w:t xml:space="preserve"> </w:t>
      </w:r>
      <w:r w:rsidRPr="00727023">
        <w:rPr>
          <w:rFonts w:ascii="Abadi" w:hAnsi="Abadi" w:cs="*Arial-7189-Identity-H"/>
          <w:color w:val="0D0D0F"/>
          <w:sz w:val="21"/>
          <w:szCs w:val="21"/>
        </w:rPr>
        <w:t>términos de resultados o productos han sido alcanzados como se deseaba, o si</w:t>
      </w:r>
      <w:r>
        <w:rPr>
          <w:rFonts w:ascii="Abadi" w:hAnsi="Abadi" w:cs="*Arial-7189-Identity-H"/>
          <w:color w:val="0D0D0F"/>
          <w:sz w:val="21"/>
          <w:szCs w:val="21"/>
        </w:rPr>
        <w:t xml:space="preserve">  </w:t>
      </w:r>
      <w:r w:rsidRPr="00727023">
        <w:rPr>
          <w:rFonts w:ascii="Abadi" w:hAnsi="Abadi" w:cs="*Arial-7189-Identity-H"/>
          <w:color w:val="0D0D0F"/>
          <w:sz w:val="21"/>
          <w:szCs w:val="21"/>
        </w:rPr>
        <w:t>los programas y servicios operan como se esperaba; y al problema, el cual</w:t>
      </w:r>
      <w:r>
        <w:rPr>
          <w:rFonts w:ascii="Abadi" w:hAnsi="Abadi" w:cs="*Arial-7189-Identity-H"/>
          <w:color w:val="0D0D0F"/>
          <w:sz w:val="21"/>
          <w:szCs w:val="21"/>
        </w:rPr>
        <w:t xml:space="preserve"> </w:t>
      </w:r>
      <w:r w:rsidRPr="00727023">
        <w:rPr>
          <w:rFonts w:ascii="Abadi" w:hAnsi="Abadi" w:cs="*Arial-7189-Identity-H"/>
          <w:color w:val="0D0D0F"/>
          <w:sz w:val="21"/>
          <w:szCs w:val="21"/>
        </w:rPr>
        <w:t>examina, verifica y analiza las causas de los problemas particulares o</w:t>
      </w:r>
      <w:r>
        <w:rPr>
          <w:rFonts w:ascii="Abadi" w:hAnsi="Abadi" w:cs="*Arial-7189-Identity-H"/>
          <w:color w:val="0D0D0F"/>
          <w:sz w:val="21"/>
          <w:szCs w:val="21"/>
        </w:rPr>
        <w:t xml:space="preserve"> </w:t>
      </w:r>
      <w:r w:rsidRPr="00727023">
        <w:rPr>
          <w:rFonts w:ascii="Abadi" w:hAnsi="Abadi" w:cs="*Arial-7189-Identity-H"/>
          <w:color w:val="0D0D0F"/>
          <w:sz w:val="21"/>
          <w:szCs w:val="21"/>
        </w:rPr>
        <w:t>desviaciones de los criterios establecidos.</w:t>
      </w:r>
    </w:p>
    <w:p w14:paraId="66424B9C" w14:textId="77777777" w:rsidR="007A32BE" w:rsidRPr="00727023" w:rsidRDefault="007A32BE" w:rsidP="007A32BE">
      <w:pPr>
        <w:autoSpaceDE w:val="0"/>
        <w:autoSpaceDN w:val="0"/>
        <w:adjustRightInd w:val="0"/>
        <w:jc w:val="both"/>
        <w:rPr>
          <w:rFonts w:ascii="Abadi" w:hAnsi="Abadi" w:cs="*Arial-7189-Identity-H"/>
          <w:color w:val="0D0D0F"/>
          <w:sz w:val="21"/>
          <w:szCs w:val="21"/>
        </w:rPr>
      </w:pPr>
    </w:p>
    <w:p w14:paraId="185B9DC7" w14:textId="77777777" w:rsidR="007A32BE" w:rsidRDefault="007A32BE" w:rsidP="007A32BE">
      <w:pPr>
        <w:autoSpaceDE w:val="0"/>
        <w:autoSpaceDN w:val="0"/>
        <w:adjustRightInd w:val="0"/>
        <w:ind w:firstLine="708"/>
        <w:jc w:val="both"/>
        <w:rPr>
          <w:rFonts w:ascii="Abadi" w:hAnsi="Abadi" w:cs="*Arial-7189-Identity-H"/>
          <w:color w:val="0D0D0F"/>
          <w:sz w:val="21"/>
          <w:szCs w:val="21"/>
        </w:rPr>
      </w:pPr>
      <w:r w:rsidRPr="00727023">
        <w:rPr>
          <w:rFonts w:ascii="Abadi" w:hAnsi="Abadi" w:cs="*Arial-7189-Identity-H"/>
          <w:color w:val="0D0D0F"/>
          <w:sz w:val="21"/>
          <w:szCs w:val="21"/>
        </w:rPr>
        <w:t>En las auditorías de desempeño practicadas por la Auditoría Superior del</w:t>
      </w:r>
      <w:r>
        <w:rPr>
          <w:rFonts w:ascii="Abadi" w:hAnsi="Abadi" w:cs="*Arial-7189-Identity-H"/>
          <w:color w:val="0D0D0F"/>
          <w:sz w:val="21"/>
          <w:szCs w:val="21"/>
        </w:rPr>
        <w:t xml:space="preserve"> </w:t>
      </w:r>
      <w:r w:rsidRPr="00727023">
        <w:rPr>
          <w:rFonts w:ascii="Abadi" w:hAnsi="Abadi" w:cs="*Arial-7189-Identity-H"/>
          <w:color w:val="0D0D0F"/>
          <w:sz w:val="21"/>
          <w:szCs w:val="21"/>
        </w:rPr>
        <w:t>Estado se consideran dichos enfoques, mediante las auditorías de cumplimiento</w:t>
      </w:r>
      <w:r>
        <w:rPr>
          <w:rFonts w:ascii="Abadi" w:hAnsi="Abadi" w:cs="*Arial-7189-Identity-H"/>
          <w:color w:val="0D0D0F"/>
          <w:sz w:val="21"/>
          <w:szCs w:val="21"/>
        </w:rPr>
        <w:t xml:space="preserve"> </w:t>
      </w:r>
      <w:r w:rsidRPr="00727023">
        <w:rPr>
          <w:rFonts w:ascii="Abadi" w:hAnsi="Abadi" w:cs="*Arial-7189-Identity-H"/>
          <w:color w:val="0D0D0F"/>
          <w:sz w:val="21"/>
          <w:szCs w:val="21"/>
        </w:rPr>
        <w:t>de objetivos o resultados, de diseño y de consistencia y resultados.</w:t>
      </w:r>
      <w:r>
        <w:rPr>
          <w:rFonts w:ascii="Abadi" w:hAnsi="Abadi" w:cs="*Arial-7189-Identity-H"/>
          <w:color w:val="0D0D0F"/>
          <w:sz w:val="21"/>
          <w:szCs w:val="21"/>
        </w:rPr>
        <w:t xml:space="preserve"> </w:t>
      </w:r>
    </w:p>
    <w:p w14:paraId="0DC0A9AC" w14:textId="77777777" w:rsidR="007A32BE" w:rsidRDefault="007A32BE" w:rsidP="007A32BE">
      <w:pPr>
        <w:autoSpaceDE w:val="0"/>
        <w:autoSpaceDN w:val="0"/>
        <w:adjustRightInd w:val="0"/>
        <w:jc w:val="both"/>
        <w:rPr>
          <w:rFonts w:ascii="Abadi" w:hAnsi="Abadi" w:cs="*Arial-7189-Identity-H"/>
          <w:color w:val="0D0D0F"/>
          <w:sz w:val="21"/>
          <w:szCs w:val="21"/>
        </w:rPr>
      </w:pPr>
    </w:p>
    <w:p w14:paraId="3339DED0" w14:textId="77777777" w:rsidR="007A32BE" w:rsidRDefault="007A32BE" w:rsidP="007A32BE">
      <w:pPr>
        <w:autoSpaceDE w:val="0"/>
        <w:autoSpaceDN w:val="0"/>
        <w:adjustRightInd w:val="0"/>
        <w:ind w:firstLine="708"/>
        <w:jc w:val="both"/>
        <w:rPr>
          <w:rFonts w:ascii="Abadi" w:hAnsi="Abadi" w:cs="*Arial-7189-Identity-H"/>
          <w:color w:val="0C0C0E"/>
          <w:sz w:val="21"/>
          <w:szCs w:val="21"/>
        </w:rPr>
      </w:pPr>
      <w:r w:rsidRPr="00727023">
        <w:rPr>
          <w:rFonts w:ascii="Abadi" w:hAnsi="Abadi" w:cs="*Arial-7189-Identity-H"/>
          <w:color w:val="0C0C0E"/>
          <w:sz w:val="21"/>
          <w:szCs w:val="21"/>
        </w:rPr>
        <w:t>En la auditoría que nos ocupa se aplicó un enfoque de resultados y se</w:t>
      </w:r>
      <w:r>
        <w:rPr>
          <w:rFonts w:ascii="Abadi" w:hAnsi="Abadi" w:cs="*Arial-7189-Identity-H"/>
          <w:color w:val="0C0C0E"/>
          <w:sz w:val="21"/>
          <w:szCs w:val="21"/>
        </w:rPr>
        <w:t xml:space="preserve"> </w:t>
      </w:r>
      <w:r w:rsidRPr="00727023">
        <w:rPr>
          <w:rFonts w:ascii="Abadi" w:hAnsi="Abadi" w:cs="*Arial-7189-Identity-H"/>
          <w:color w:val="0C0C0E"/>
          <w:sz w:val="21"/>
          <w:szCs w:val="21"/>
        </w:rPr>
        <w:t>incluyó en el Programa General de Fiscalización 2021, considerando diversos</w:t>
      </w:r>
      <w:r>
        <w:rPr>
          <w:rFonts w:ascii="Abadi" w:hAnsi="Abadi" w:cs="*Arial-7189-Identity-H"/>
          <w:color w:val="0C0C0E"/>
          <w:sz w:val="21"/>
          <w:szCs w:val="21"/>
        </w:rPr>
        <w:t xml:space="preserve"> </w:t>
      </w:r>
      <w:r w:rsidRPr="00727023">
        <w:rPr>
          <w:rFonts w:ascii="Abadi" w:hAnsi="Abadi" w:cs="*Arial-7189-Identity-H"/>
          <w:color w:val="0C0C0E"/>
          <w:sz w:val="21"/>
          <w:szCs w:val="21"/>
        </w:rPr>
        <w:t>criterios metodológicos expuestos en dicho Programa.</w:t>
      </w:r>
    </w:p>
    <w:p w14:paraId="4E25954C" w14:textId="77777777" w:rsidR="007A32BE" w:rsidRPr="00727023" w:rsidRDefault="007A32BE" w:rsidP="007A32BE">
      <w:pPr>
        <w:autoSpaceDE w:val="0"/>
        <w:autoSpaceDN w:val="0"/>
        <w:adjustRightInd w:val="0"/>
        <w:ind w:firstLine="708"/>
        <w:jc w:val="both"/>
        <w:rPr>
          <w:rFonts w:ascii="Abadi" w:hAnsi="Abadi" w:cs="*Arial-7189-Identity-H"/>
          <w:color w:val="0C0C0E"/>
          <w:sz w:val="21"/>
          <w:szCs w:val="21"/>
        </w:rPr>
      </w:pPr>
    </w:p>
    <w:p w14:paraId="12DD663E" w14:textId="77777777" w:rsidR="007A32BE" w:rsidRDefault="007A32BE" w:rsidP="007A32BE">
      <w:pPr>
        <w:autoSpaceDE w:val="0"/>
        <w:autoSpaceDN w:val="0"/>
        <w:adjustRightInd w:val="0"/>
        <w:ind w:firstLine="708"/>
        <w:jc w:val="both"/>
        <w:rPr>
          <w:rFonts w:ascii="Abadi" w:hAnsi="Abadi" w:cs="*Arial-7189-Identity-H"/>
          <w:color w:val="0D0D10"/>
          <w:sz w:val="21"/>
          <w:szCs w:val="21"/>
        </w:rPr>
      </w:pPr>
      <w:r w:rsidRPr="00727023">
        <w:rPr>
          <w:rFonts w:ascii="Abadi" w:hAnsi="Abadi" w:cs="*Arial-7189-Identity-H"/>
          <w:color w:val="0D0D10"/>
          <w:sz w:val="21"/>
          <w:szCs w:val="21"/>
        </w:rPr>
        <w:t>Dicha auditoría tuvo como objetivo general verificar la capacidad del</w:t>
      </w:r>
      <w:r>
        <w:rPr>
          <w:rFonts w:ascii="Abadi" w:hAnsi="Abadi" w:cs="*Arial-7189-Identity-H"/>
          <w:color w:val="0D0D10"/>
          <w:sz w:val="21"/>
          <w:szCs w:val="21"/>
        </w:rPr>
        <w:t xml:space="preserve"> </w:t>
      </w:r>
      <w:r w:rsidRPr="00727023">
        <w:rPr>
          <w:rFonts w:ascii="Abadi" w:hAnsi="Abadi" w:cs="*Arial-7189-Identity-H"/>
          <w:color w:val="0D0D10"/>
          <w:sz w:val="21"/>
          <w:szCs w:val="21"/>
        </w:rPr>
        <w:t>Municipio para la prestación eficaz del servicio de alumbrado público y la eficiencia</w:t>
      </w:r>
      <w:r>
        <w:rPr>
          <w:rFonts w:ascii="Abadi" w:hAnsi="Abadi" w:cs="*Arial-7189-Identity-H"/>
          <w:color w:val="0D0D10"/>
          <w:sz w:val="21"/>
          <w:szCs w:val="21"/>
        </w:rPr>
        <w:t xml:space="preserve"> </w:t>
      </w:r>
      <w:r w:rsidRPr="00727023">
        <w:rPr>
          <w:rFonts w:ascii="Abadi" w:hAnsi="Abadi" w:cs="*Arial-7189-Identity-H"/>
          <w:color w:val="0D0D10"/>
          <w:sz w:val="21"/>
          <w:szCs w:val="21"/>
        </w:rPr>
        <w:t>en sus funciones de planificación, operación y seguimiento.</w:t>
      </w:r>
    </w:p>
    <w:p w14:paraId="52A82600" w14:textId="77777777" w:rsidR="007A32BE" w:rsidRPr="00727023" w:rsidRDefault="007A32BE" w:rsidP="007A32BE">
      <w:pPr>
        <w:autoSpaceDE w:val="0"/>
        <w:autoSpaceDN w:val="0"/>
        <w:adjustRightInd w:val="0"/>
        <w:jc w:val="both"/>
        <w:rPr>
          <w:rFonts w:ascii="Abadi" w:hAnsi="Abadi" w:cs="*Arial-7189-Identity-H"/>
          <w:color w:val="0D0D10"/>
          <w:sz w:val="21"/>
          <w:szCs w:val="21"/>
        </w:rPr>
      </w:pPr>
    </w:p>
    <w:p w14:paraId="19462DF6" w14:textId="1D6259D9" w:rsidR="007A32BE" w:rsidRDefault="007A32BE" w:rsidP="00015D8C">
      <w:pPr>
        <w:autoSpaceDE w:val="0"/>
        <w:autoSpaceDN w:val="0"/>
        <w:adjustRightInd w:val="0"/>
        <w:ind w:firstLine="708"/>
        <w:jc w:val="both"/>
        <w:rPr>
          <w:rFonts w:ascii="Abadi" w:hAnsi="Abadi" w:cs="*Arial-10102-Identity-H"/>
          <w:color w:val="0D0D0F"/>
          <w:sz w:val="21"/>
          <w:szCs w:val="21"/>
        </w:rPr>
      </w:pPr>
      <w:r w:rsidRPr="00727023">
        <w:rPr>
          <w:rFonts w:ascii="Abadi" w:hAnsi="Abadi" w:cs="*Arial-7189-Identity-H"/>
          <w:color w:val="0C0C0F"/>
          <w:sz w:val="21"/>
          <w:szCs w:val="21"/>
        </w:rPr>
        <w:t>En cuanto a la temporalidad, el alcance de la auditoría abarcó el periodo</w:t>
      </w:r>
      <w:r>
        <w:rPr>
          <w:rFonts w:ascii="Abadi" w:hAnsi="Abadi" w:cs="*Arial-7189-Identity-H"/>
          <w:color w:val="0C0C0F"/>
          <w:sz w:val="21"/>
          <w:szCs w:val="21"/>
        </w:rPr>
        <w:t xml:space="preserve"> </w:t>
      </w:r>
      <w:r w:rsidRPr="00727023">
        <w:rPr>
          <w:rFonts w:ascii="Abadi" w:hAnsi="Abadi" w:cs="*Arial-7189-Identity-H"/>
          <w:color w:val="0C0C0F"/>
          <w:sz w:val="21"/>
          <w:szCs w:val="21"/>
        </w:rPr>
        <w:t>comprendido de enero a diciembre del ejercicio fiscal 2020; asimismo, respecto a</w:t>
      </w:r>
      <w:r>
        <w:rPr>
          <w:rFonts w:ascii="Abadi" w:hAnsi="Abadi" w:cs="*Arial-7189-Identity-H"/>
          <w:color w:val="0C0C0F"/>
          <w:sz w:val="21"/>
          <w:szCs w:val="21"/>
        </w:rPr>
        <w:t xml:space="preserve"> </w:t>
      </w:r>
      <w:r w:rsidRPr="00727023">
        <w:rPr>
          <w:rFonts w:ascii="Abadi" w:hAnsi="Abadi" w:cs="*Arial-7189-Identity-H"/>
          <w:color w:val="0C0C0F"/>
          <w:sz w:val="21"/>
          <w:szCs w:val="21"/>
        </w:rPr>
        <w:t>la profundidad temática se revisó la eficiencia en la gestión de la información que</w:t>
      </w:r>
      <w:r>
        <w:rPr>
          <w:rFonts w:ascii="Abadi" w:hAnsi="Abadi" w:cs="*Arial-7189-Identity-H"/>
          <w:color w:val="0C0C0F"/>
          <w:sz w:val="21"/>
          <w:szCs w:val="21"/>
        </w:rPr>
        <w:t xml:space="preserve"> </w:t>
      </w:r>
      <w:r w:rsidRPr="00727023">
        <w:rPr>
          <w:rFonts w:ascii="Abadi" w:hAnsi="Abadi" w:cs="*Arial-7189-Identity-H"/>
          <w:color w:val="0C0C0F"/>
          <w:sz w:val="21"/>
          <w:szCs w:val="21"/>
        </w:rPr>
        <w:t>dispone el Municipio para identificar la estimación tanto de la oferta del servicio de</w:t>
      </w:r>
      <w:r>
        <w:rPr>
          <w:rFonts w:ascii="Abadi" w:hAnsi="Abadi" w:cs="*Arial-7189-Identity-H"/>
          <w:color w:val="0C0C0F"/>
          <w:sz w:val="21"/>
          <w:szCs w:val="21"/>
        </w:rPr>
        <w:t xml:space="preserve"> </w:t>
      </w:r>
      <w:r w:rsidRPr="00727023">
        <w:rPr>
          <w:rFonts w:ascii="Abadi" w:hAnsi="Abadi" w:cs="*Arial-7189-Identity-H"/>
          <w:color w:val="0C0C0F"/>
          <w:sz w:val="21"/>
          <w:szCs w:val="21"/>
        </w:rPr>
        <w:t>alumbrado público como de los recursos necesarios para su implementación;</w:t>
      </w:r>
      <w:r>
        <w:rPr>
          <w:rFonts w:ascii="Abadi" w:hAnsi="Abadi" w:cs="*Arial-7189-Identity-H"/>
          <w:color w:val="0C0C0F"/>
          <w:sz w:val="21"/>
          <w:szCs w:val="21"/>
        </w:rPr>
        <w:t xml:space="preserve"> </w:t>
      </w:r>
      <w:r w:rsidRPr="00727023">
        <w:rPr>
          <w:rFonts w:ascii="Abadi" w:hAnsi="Abadi" w:cs="*Arial-7189-Identity-H"/>
          <w:color w:val="0C0C0F"/>
          <w:sz w:val="21"/>
          <w:szCs w:val="21"/>
        </w:rPr>
        <w:t>sobre el estado que guarda la organización del Municipio para brindar el servicio</w:t>
      </w:r>
      <w:r w:rsidR="00015D8C">
        <w:rPr>
          <w:rFonts w:ascii="Abadi" w:hAnsi="Abadi" w:cs="*Arial-7189-Identity-H"/>
          <w:color w:val="0C0C0F"/>
          <w:sz w:val="21"/>
          <w:szCs w:val="21"/>
        </w:rPr>
        <w:t xml:space="preserve"> </w:t>
      </w:r>
      <w:r w:rsidRPr="00727023">
        <w:rPr>
          <w:rFonts w:ascii="Abadi" w:hAnsi="Abadi" w:cs="*Arial-7189-Identity-H"/>
          <w:color w:val="0C0C0F"/>
          <w:sz w:val="21"/>
          <w:szCs w:val="21"/>
        </w:rPr>
        <w:t>de alumbrado público y la gestión de la calidad sobre sus procesos clave; y el uso</w:t>
      </w:r>
      <w:r>
        <w:rPr>
          <w:rFonts w:ascii="Abadi" w:hAnsi="Abadi" w:cs="*Arial-7189-Identity-H"/>
          <w:color w:val="0C0C0F"/>
          <w:sz w:val="21"/>
          <w:szCs w:val="21"/>
        </w:rPr>
        <w:t xml:space="preserve"> </w:t>
      </w:r>
      <w:r w:rsidRPr="00727023">
        <w:rPr>
          <w:rFonts w:ascii="Abadi" w:hAnsi="Abadi" w:cs="*Arial-7189-Identity-H"/>
          <w:color w:val="0C0C0F"/>
          <w:sz w:val="21"/>
          <w:szCs w:val="21"/>
        </w:rPr>
        <w:t>de herramientas para la planificación operativa y el seguimiento de las actividades</w:t>
      </w:r>
      <w:r>
        <w:rPr>
          <w:rFonts w:ascii="Abadi" w:hAnsi="Abadi" w:cs="*Arial-7189-Identity-H"/>
          <w:color w:val="0C0C0F"/>
          <w:sz w:val="21"/>
          <w:szCs w:val="21"/>
        </w:rPr>
        <w:t xml:space="preserve"> </w:t>
      </w:r>
      <w:r w:rsidRPr="00727023">
        <w:rPr>
          <w:rFonts w:ascii="Abadi" w:hAnsi="Abadi" w:cs="*Arial-7189-Identity-H"/>
          <w:color w:val="0C0C0F"/>
          <w:sz w:val="21"/>
          <w:szCs w:val="21"/>
        </w:rPr>
        <w:t>vinculadas a la atención de reportes por fallas en el servicio. Así como, la eficacia</w:t>
      </w:r>
      <w:r>
        <w:rPr>
          <w:rFonts w:ascii="Abadi" w:hAnsi="Abadi" w:cs="*Arial-7189-Identity-H"/>
          <w:color w:val="0C0C0F"/>
          <w:sz w:val="21"/>
          <w:szCs w:val="21"/>
        </w:rPr>
        <w:t xml:space="preserve"> </w:t>
      </w:r>
      <w:r w:rsidRPr="00727023">
        <w:rPr>
          <w:rFonts w:ascii="Abadi" w:hAnsi="Abadi" w:cs="*Arial-7189-Identity-H"/>
          <w:color w:val="0C0C0F"/>
          <w:sz w:val="21"/>
          <w:szCs w:val="21"/>
        </w:rPr>
        <w:t>en los resultados de la capacidad municipal en la prestación del servicio de</w:t>
      </w:r>
      <w:r>
        <w:rPr>
          <w:rFonts w:ascii="Abadi" w:hAnsi="Abadi" w:cs="*Arial-7189-Identity-H"/>
          <w:color w:val="0C0C0F"/>
          <w:sz w:val="21"/>
          <w:szCs w:val="21"/>
        </w:rPr>
        <w:t xml:space="preserve"> </w:t>
      </w:r>
      <w:r w:rsidRPr="00727023">
        <w:rPr>
          <w:rFonts w:ascii="Abadi" w:hAnsi="Abadi" w:cs="*Arial-7189-Identity-H"/>
          <w:color w:val="0C0C0F"/>
          <w:sz w:val="21"/>
          <w:szCs w:val="21"/>
        </w:rPr>
        <w:t>alumbrado público en el ejercicio 2020 a partir del grado de funcionamiento de las</w:t>
      </w:r>
      <w:r>
        <w:rPr>
          <w:rFonts w:ascii="Abadi" w:hAnsi="Abadi" w:cs="*Arial-7189-Identity-H"/>
          <w:color w:val="0C0C0F"/>
          <w:sz w:val="21"/>
          <w:szCs w:val="21"/>
        </w:rPr>
        <w:t xml:space="preserve"> </w:t>
      </w:r>
      <w:r w:rsidRPr="00727023">
        <w:rPr>
          <w:rFonts w:ascii="Abadi" w:hAnsi="Abadi" w:cs="*Arial-7189-Identity-H"/>
          <w:color w:val="0C0C0F"/>
          <w:sz w:val="21"/>
          <w:szCs w:val="21"/>
        </w:rPr>
        <w:t>luminarias que lo conforman, la cobertura lograda y la satisfacción ciudadana</w:t>
      </w:r>
      <w:r>
        <w:rPr>
          <w:rFonts w:ascii="Abadi" w:hAnsi="Abadi" w:cs="*Arial-7189-Identity-H"/>
          <w:color w:val="0C0C0F"/>
          <w:sz w:val="21"/>
          <w:szCs w:val="21"/>
        </w:rPr>
        <w:t xml:space="preserve"> </w:t>
      </w:r>
      <w:r w:rsidRPr="00727023">
        <w:rPr>
          <w:rFonts w:ascii="Abadi" w:hAnsi="Abadi" w:cs="*Arial-10102-Identity-H"/>
          <w:color w:val="0D0D0F"/>
          <w:sz w:val="21"/>
          <w:szCs w:val="21"/>
        </w:rPr>
        <w:t>sobre el servicio, y de la relevancia y suficiencia de los mecanismos que permiten</w:t>
      </w:r>
      <w:r>
        <w:rPr>
          <w:rFonts w:ascii="Abadi" w:hAnsi="Abadi" w:cs="*Arial-10102-Identity-H"/>
          <w:color w:val="0D0D0F"/>
          <w:sz w:val="21"/>
          <w:szCs w:val="21"/>
        </w:rPr>
        <w:t xml:space="preserve"> </w:t>
      </w:r>
      <w:r w:rsidRPr="00727023">
        <w:rPr>
          <w:rFonts w:ascii="Abadi" w:hAnsi="Abadi" w:cs="*Arial-10102-Identity-H"/>
          <w:color w:val="0D0D0F"/>
          <w:sz w:val="21"/>
          <w:szCs w:val="21"/>
        </w:rPr>
        <w:t>monitorear el desempeño y los resultados del servicio.</w:t>
      </w:r>
      <w:r>
        <w:rPr>
          <w:rFonts w:ascii="Abadi" w:hAnsi="Abadi" w:cs="*Arial-10102-Identity-H"/>
          <w:color w:val="0D0D0F"/>
          <w:sz w:val="21"/>
          <w:szCs w:val="21"/>
        </w:rPr>
        <w:t xml:space="preserve"> </w:t>
      </w:r>
    </w:p>
    <w:p w14:paraId="345E07BE" w14:textId="77777777" w:rsidR="007A32BE" w:rsidRDefault="007A32BE" w:rsidP="007A32BE">
      <w:pPr>
        <w:autoSpaceDE w:val="0"/>
        <w:autoSpaceDN w:val="0"/>
        <w:adjustRightInd w:val="0"/>
        <w:jc w:val="both"/>
        <w:rPr>
          <w:rFonts w:ascii="Abadi" w:hAnsi="Abadi" w:cs="*Arial-10102-Identity-H"/>
          <w:color w:val="0D0D0F"/>
          <w:sz w:val="21"/>
          <w:szCs w:val="21"/>
        </w:rPr>
      </w:pPr>
    </w:p>
    <w:p w14:paraId="165BC18B" w14:textId="77777777" w:rsidR="007A32BE" w:rsidRDefault="007A32BE" w:rsidP="007A32BE">
      <w:pPr>
        <w:autoSpaceDE w:val="0"/>
        <w:autoSpaceDN w:val="0"/>
        <w:adjustRightInd w:val="0"/>
        <w:ind w:firstLine="708"/>
        <w:jc w:val="both"/>
        <w:rPr>
          <w:rFonts w:ascii="Abadi" w:hAnsi="Abadi" w:cs="*Arial-10102-Identity-H"/>
          <w:color w:val="0D0D10"/>
          <w:sz w:val="21"/>
          <w:szCs w:val="21"/>
        </w:rPr>
      </w:pPr>
      <w:r w:rsidRPr="00727023">
        <w:rPr>
          <w:rFonts w:ascii="Abadi" w:hAnsi="Abadi" w:cs="*Arial-10102-Identity-H"/>
          <w:color w:val="0D0D10"/>
          <w:sz w:val="21"/>
          <w:szCs w:val="21"/>
        </w:rPr>
        <w:t>Respecto a los antecedentes del proceso de fiscalización, estos ya se</w:t>
      </w:r>
      <w:r>
        <w:rPr>
          <w:rFonts w:ascii="Abadi" w:hAnsi="Abadi" w:cs="*Arial-10102-Identity-H"/>
          <w:color w:val="0D0D10"/>
          <w:sz w:val="21"/>
          <w:szCs w:val="21"/>
        </w:rPr>
        <w:t xml:space="preserve"> </w:t>
      </w:r>
      <w:r w:rsidRPr="00727023">
        <w:rPr>
          <w:rFonts w:ascii="Abadi" w:hAnsi="Abadi" w:cs="*Arial-10102-Identity-H"/>
          <w:color w:val="0D0D10"/>
          <w:sz w:val="21"/>
          <w:szCs w:val="21"/>
        </w:rPr>
        <w:t>detallaron en el apartado correspondiente.</w:t>
      </w:r>
    </w:p>
    <w:p w14:paraId="591CA9D7" w14:textId="77777777" w:rsidR="007A32BE" w:rsidRPr="00727023" w:rsidRDefault="007A32BE" w:rsidP="007A32BE">
      <w:pPr>
        <w:autoSpaceDE w:val="0"/>
        <w:autoSpaceDN w:val="0"/>
        <w:adjustRightInd w:val="0"/>
        <w:jc w:val="both"/>
        <w:rPr>
          <w:rFonts w:ascii="Abadi" w:hAnsi="Abadi" w:cs="*Arial-10102-Identity-H"/>
          <w:color w:val="0D0D10"/>
          <w:sz w:val="21"/>
          <w:szCs w:val="21"/>
        </w:rPr>
      </w:pPr>
    </w:p>
    <w:p w14:paraId="3BAC8DB9" w14:textId="77777777" w:rsidR="007A32BE" w:rsidRDefault="007A32BE" w:rsidP="007A32BE">
      <w:pPr>
        <w:autoSpaceDE w:val="0"/>
        <w:autoSpaceDN w:val="0"/>
        <w:adjustRightInd w:val="0"/>
        <w:ind w:firstLine="708"/>
        <w:jc w:val="both"/>
        <w:rPr>
          <w:rFonts w:ascii="Abadi" w:hAnsi="Abadi" w:cs="*Arial-10102-Identity-H"/>
          <w:color w:val="0C0C0E"/>
          <w:sz w:val="21"/>
          <w:szCs w:val="21"/>
        </w:rPr>
      </w:pPr>
      <w:r w:rsidRPr="00727023">
        <w:rPr>
          <w:rFonts w:ascii="Abadi" w:hAnsi="Abadi" w:cs="*Arial-10102-Identity-H"/>
          <w:color w:val="0C0C0E"/>
          <w:sz w:val="21"/>
          <w:szCs w:val="21"/>
        </w:rPr>
        <w:t>En cuanto al contexto de la política pública de la materia a auditar, se</w:t>
      </w:r>
      <w:r>
        <w:rPr>
          <w:rFonts w:ascii="Abadi" w:hAnsi="Abadi" w:cs="*Arial-10102-Identity-H"/>
          <w:color w:val="0C0C0E"/>
          <w:sz w:val="21"/>
          <w:szCs w:val="21"/>
        </w:rPr>
        <w:t xml:space="preserve"> </w:t>
      </w:r>
      <w:r w:rsidRPr="00727023">
        <w:rPr>
          <w:rFonts w:ascii="Abadi" w:hAnsi="Abadi" w:cs="*Arial-10102-Identity-H"/>
          <w:color w:val="0C0C0E"/>
          <w:sz w:val="21"/>
          <w:szCs w:val="21"/>
        </w:rPr>
        <w:t>refiere que la Constitución Política de los Estados Unidos Mexicanos establece en</w:t>
      </w:r>
      <w:r>
        <w:rPr>
          <w:rFonts w:ascii="Abadi" w:hAnsi="Abadi" w:cs="*Arial-10102-Identity-H"/>
          <w:color w:val="0C0C0E"/>
          <w:sz w:val="21"/>
          <w:szCs w:val="21"/>
        </w:rPr>
        <w:t xml:space="preserve"> </w:t>
      </w:r>
      <w:r w:rsidRPr="00727023">
        <w:rPr>
          <w:rFonts w:ascii="Abadi" w:hAnsi="Abadi" w:cs="*Arial-10102-Identity-H"/>
          <w:color w:val="0C0C0E"/>
          <w:sz w:val="21"/>
          <w:szCs w:val="21"/>
        </w:rPr>
        <w:t>términos generales en su artículo 115 la base del municipio a través de una</w:t>
      </w:r>
      <w:r>
        <w:rPr>
          <w:rFonts w:ascii="Abadi" w:hAnsi="Abadi" w:cs="*Arial-10102-Identity-H"/>
          <w:color w:val="0C0C0E"/>
          <w:sz w:val="21"/>
          <w:szCs w:val="21"/>
        </w:rPr>
        <w:t xml:space="preserve"> </w:t>
      </w:r>
      <w:r w:rsidRPr="00727023">
        <w:rPr>
          <w:rFonts w:ascii="Abadi" w:hAnsi="Abadi" w:cs="*Arial-10102-Identity-H"/>
          <w:color w:val="0C0C0E"/>
          <w:sz w:val="21"/>
          <w:szCs w:val="21"/>
        </w:rPr>
        <w:t>organización política y administrativa, para lo cual ejercerá funciones</w:t>
      </w:r>
      <w:r>
        <w:rPr>
          <w:rFonts w:ascii="Abadi" w:hAnsi="Abadi" w:cs="*Arial-10102-Identity-H"/>
          <w:color w:val="0C0C0E"/>
          <w:sz w:val="21"/>
          <w:szCs w:val="21"/>
        </w:rPr>
        <w:t xml:space="preserve"> </w:t>
      </w:r>
      <w:r w:rsidRPr="00727023">
        <w:rPr>
          <w:rFonts w:ascii="Abadi" w:hAnsi="Abadi" w:cs="*Arial-10102-Identity-H"/>
          <w:color w:val="0C0C0E"/>
          <w:sz w:val="21"/>
          <w:szCs w:val="21"/>
        </w:rPr>
        <w:t>jurisdiccionales, legislativas y administrativas, contando con personalidad jurídica y</w:t>
      </w:r>
      <w:r>
        <w:rPr>
          <w:rFonts w:ascii="Abadi" w:hAnsi="Abadi" w:cs="*Arial-10102-Identity-H"/>
          <w:color w:val="0C0C0E"/>
          <w:sz w:val="21"/>
          <w:szCs w:val="21"/>
        </w:rPr>
        <w:t xml:space="preserve"> </w:t>
      </w:r>
      <w:r w:rsidRPr="00727023">
        <w:rPr>
          <w:rFonts w:ascii="Abadi" w:hAnsi="Abadi" w:cs="*Arial-10102-Identity-H"/>
          <w:color w:val="0C0C0E"/>
          <w:sz w:val="21"/>
          <w:szCs w:val="21"/>
        </w:rPr>
        <w:t>con facultades para manejar su patrimonio conforme a las leyes de la materia. En</w:t>
      </w:r>
      <w:r>
        <w:rPr>
          <w:rFonts w:ascii="Abadi" w:hAnsi="Abadi" w:cs="*Arial-10102-Identity-H"/>
          <w:color w:val="0C0C0E"/>
          <w:sz w:val="21"/>
          <w:szCs w:val="21"/>
        </w:rPr>
        <w:t xml:space="preserve"> </w:t>
      </w:r>
      <w:r w:rsidRPr="00727023">
        <w:rPr>
          <w:rFonts w:ascii="Abadi" w:hAnsi="Abadi" w:cs="*Arial-10102-Identity-H"/>
          <w:color w:val="0C0C0E"/>
          <w:sz w:val="21"/>
          <w:szCs w:val="21"/>
        </w:rPr>
        <w:t>este sentido, respecto a la prestación de los servicios públicos, el Municipio está</w:t>
      </w:r>
      <w:r>
        <w:rPr>
          <w:rFonts w:ascii="Abadi" w:hAnsi="Abadi" w:cs="*Arial-10102-Identity-H"/>
          <w:color w:val="0C0C0E"/>
          <w:sz w:val="21"/>
          <w:szCs w:val="21"/>
        </w:rPr>
        <w:t xml:space="preserve"> </w:t>
      </w:r>
      <w:r w:rsidRPr="00727023">
        <w:rPr>
          <w:rFonts w:ascii="Abadi" w:hAnsi="Abadi" w:cs="*Arial-10102-Identity-H"/>
          <w:color w:val="0C0C0E"/>
          <w:sz w:val="21"/>
          <w:szCs w:val="21"/>
        </w:rPr>
        <w:t>facultado para expedir reglamentos, circulares y disposiciones administrativas de</w:t>
      </w:r>
      <w:r>
        <w:rPr>
          <w:rFonts w:ascii="Abadi" w:hAnsi="Abadi" w:cs="*Arial-10102-Identity-H"/>
          <w:color w:val="0C0C0E"/>
          <w:sz w:val="21"/>
          <w:szCs w:val="21"/>
        </w:rPr>
        <w:t xml:space="preserve"> </w:t>
      </w:r>
      <w:r w:rsidRPr="00727023">
        <w:rPr>
          <w:rFonts w:ascii="Abadi" w:hAnsi="Abadi" w:cs="*Arial-10102-Identity-H"/>
          <w:color w:val="0C0C0E"/>
          <w:sz w:val="21"/>
          <w:szCs w:val="21"/>
        </w:rPr>
        <w:t>observancia general dentro de su jurisdicción, que organicen la administración</w:t>
      </w:r>
      <w:r>
        <w:rPr>
          <w:rFonts w:ascii="Abadi" w:hAnsi="Abadi" w:cs="*Arial-10102-Identity-H"/>
          <w:color w:val="0C0C0E"/>
          <w:sz w:val="21"/>
          <w:szCs w:val="21"/>
        </w:rPr>
        <w:t xml:space="preserve"> </w:t>
      </w:r>
      <w:r w:rsidRPr="00727023">
        <w:rPr>
          <w:rFonts w:ascii="Abadi" w:hAnsi="Abadi" w:cs="*Arial-10102-Identity-H"/>
          <w:color w:val="0C0C0E"/>
          <w:sz w:val="21"/>
          <w:szCs w:val="21"/>
        </w:rPr>
        <w:t>pública, regulen las materias, procedimiento, funciones y servicios públicos de su</w:t>
      </w:r>
      <w:r>
        <w:rPr>
          <w:rFonts w:ascii="Abadi" w:hAnsi="Abadi" w:cs="*Arial-10102-Identity-H"/>
          <w:color w:val="0C0C0E"/>
          <w:sz w:val="21"/>
          <w:szCs w:val="21"/>
        </w:rPr>
        <w:t xml:space="preserve"> </w:t>
      </w:r>
      <w:r w:rsidRPr="00727023">
        <w:rPr>
          <w:rFonts w:ascii="Abadi" w:hAnsi="Abadi" w:cs="*Arial-10102-Identity-H"/>
          <w:color w:val="0C0C0E"/>
          <w:sz w:val="21"/>
          <w:szCs w:val="21"/>
        </w:rPr>
        <w:t>competencia.</w:t>
      </w:r>
    </w:p>
    <w:p w14:paraId="65C5CC45" w14:textId="77777777" w:rsidR="007A32BE" w:rsidRPr="00727023" w:rsidRDefault="007A32BE" w:rsidP="007A32BE">
      <w:pPr>
        <w:autoSpaceDE w:val="0"/>
        <w:autoSpaceDN w:val="0"/>
        <w:adjustRightInd w:val="0"/>
        <w:jc w:val="both"/>
        <w:rPr>
          <w:rFonts w:ascii="Abadi" w:hAnsi="Abadi" w:cs="*Arial-10102-Identity-H"/>
          <w:color w:val="0C0C0E"/>
          <w:sz w:val="21"/>
          <w:szCs w:val="21"/>
        </w:rPr>
      </w:pPr>
    </w:p>
    <w:p w14:paraId="703A59A4" w14:textId="77777777" w:rsidR="007A32BE" w:rsidRDefault="007A32BE" w:rsidP="007A32BE">
      <w:pPr>
        <w:autoSpaceDE w:val="0"/>
        <w:autoSpaceDN w:val="0"/>
        <w:adjustRightInd w:val="0"/>
        <w:ind w:firstLine="708"/>
        <w:jc w:val="both"/>
        <w:rPr>
          <w:rFonts w:ascii="Abadi" w:hAnsi="Abadi" w:cs="*Arial-10102-Identity-H"/>
          <w:color w:val="0C0C0E"/>
          <w:sz w:val="21"/>
          <w:szCs w:val="21"/>
        </w:rPr>
      </w:pPr>
      <w:r w:rsidRPr="00727023">
        <w:rPr>
          <w:rFonts w:ascii="Abadi" w:hAnsi="Abadi" w:cs="*Arial-10102-Identity-H"/>
          <w:color w:val="0C0C0E"/>
          <w:sz w:val="21"/>
          <w:szCs w:val="21"/>
        </w:rPr>
        <w:t>De manera específica, el artículo 115 de la Constitución Política de los</w:t>
      </w:r>
      <w:r>
        <w:rPr>
          <w:rFonts w:ascii="Abadi" w:hAnsi="Abadi" w:cs="*Arial-10102-Identity-H"/>
          <w:color w:val="0C0C0E"/>
          <w:sz w:val="21"/>
          <w:szCs w:val="21"/>
        </w:rPr>
        <w:t xml:space="preserve"> </w:t>
      </w:r>
      <w:r w:rsidRPr="00727023">
        <w:rPr>
          <w:rFonts w:ascii="Abadi" w:hAnsi="Abadi" w:cs="*Arial-10102-Identity-H"/>
          <w:color w:val="0C0C0E"/>
          <w:sz w:val="21"/>
          <w:szCs w:val="21"/>
        </w:rPr>
        <w:t xml:space="preserve">Estados Unidos Mexicanos, en su fracción </w:t>
      </w:r>
      <w:r>
        <w:rPr>
          <w:rFonts w:ascii="Abadi" w:hAnsi="Abadi" w:cs="*Arial-10102-Identity-H"/>
          <w:color w:val="0C0C0E"/>
          <w:sz w:val="21"/>
          <w:szCs w:val="21"/>
        </w:rPr>
        <w:t>III</w:t>
      </w:r>
      <w:r w:rsidRPr="00727023">
        <w:rPr>
          <w:rFonts w:ascii="Abadi" w:hAnsi="Abadi" w:cs="*Arial-10102-Identity-H"/>
          <w:color w:val="0C0C0E"/>
          <w:sz w:val="21"/>
          <w:szCs w:val="21"/>
        </w:rPr>
        <w:t xml:space="preserve"> consigna que los municipios tendrán</w:t>
      </w:r>
      <w:r>
        <w:rPr>
          <w:rFonts w:ascii="Abadi" w:hAnsi="Abadi" w:cs="*Arial-10102-Identity-H"/>
          <w:color w:val="0C0C0E"/>
          <w:sz w:val="21"/>
          <w:szCs w:val="21"/>
        </w:rPr>
        <w:t xml:space="preserve"> </w:t>
      </w:r>
      <w:r w:rsidRPr="00727023">
        <w:rPr>
          <w:rFonts w:ascii="Abadi" w:hAnsi="Abadi" w:cs="*Arial-10102-Identity-H"/>
          <w:color w:val="0C0C0E"/>
          <w:sz w:val="21"/>
          <w:szCs w:val="21"/>
        </w:rPr>
        <w:t>a su cargo las funciones y servicios públicos, entre los que señala en el inciso b, el</w:t>
      </w:r>
      <w:r>
        <w:rPr>
          <w:rFonts w:ascii="Abadi" w:hAnsi="Abadi" w:cs="*Arial-10102-Identity-H"/>
          <w:color w:val="0C0C0E"/>
          <w:sz w:val="21"/>
          <w:szCs w:val="21"/>
        </w:rPr>
        <w:t xml:space="preserve"> </w:t>
      </w:r>
      <w:r w:rsidRPr="00727023">
        <w:rPr>
          <w:rFonts w:ascii="Abadi" w:hAnsi="Abadi" w:cs="*Arial-10102-Identity-H"/>
          <w:color w:val="0C0C0E"/>
          <w:sz w:val="21"/>
          <w:szCs w:val="21"/>
        </w:rPr>
        <w:t>alumbrado público. Atribución ratificada en la Constitución Política Local en su</w:t>
      </w:r>
      <w:r>
        <w:rPr>
          <w:rFonts w:ascii="Abadi" w:hAnsi="Abadi" w:cs="*Arial-10102-Identity-H"/>
          <w:color w:val="0C0C0E"/>
          <w:sz w:val="21"/>
          <w:szCs w:val="21"/>
        </w:rPr>
        <w:t xml:space="preserve"> </w:t>
      </w:r>
      <w:r w:rsidRPr="00727023">
        <w:rPr>
          <w:rFonts w:ascii="Abadi" w:hAnsi="Abadi" w:cs="*Arial-10102-Identity-H"/>
          <w:color w:val="0C0C0E"/>
          <w:sz w:val="21"/>
          <w:szCs w:val="21"/>
        </w:rPr>
        <w:t xml:space="preserve">artículo 117, fracción </w:t>
      </w:r>
      <w:r>
        <w:rPr>
          <w:rFonts w:ascii="Abadi" w:hAnsi="Abadi" w:cs="*Arial-10102-Identity-H"/>
          <w:color w:val="0C0C0E"/>
          <w:sz w:val="21"/>
          <w:szCs w:val="21"/>
        </w:rPr>
        <w:t>III</w:t>
      </w:r>
      <w:r w:rsidRPr="00727023">
        <w:rPr>
          <w:rFonts w:ascii="Abadi" w:hAnsi="Abadi" w:cs="*Arial-10102-Identity-H"/>
          <w:color w:val="0C0C0E"/>
          <w:sz w:val="21"/>
          <w:szCs w:val="21"/>
        </w:rPr>
        <w:t>, inciso b.</w:t>
      </w:r>
      <w:r>
        <w:rPr>
          <w:rFonts w:ascii="Abadi" w:hAnsi="Abadi" w:cs="*Arial-10102-Identity-H"/>
          <w:color w:val="0C0C0E"/>
          <w:sz w:val="21"/>
          <w:szCs w:val="21"/>
        </w:rPr>
        <w:t xml:space="preserve"> </w:t>
      </w:r>
    </w:p>
    <w:p w14:paraId="098DDBF9" w14:textId="77777777" w:rsidR="007A32BE" w:rsidRPr="00727023" w:rsidRDefault="007A32BE" w:rsidP="007A32BE">
      <w:pPr>
        <w:autoSpaceDE w:val="0"/>
        <w:autoSpaceDN w:val="0"/>
        <w:adjustRightInd w:val="0"/>
        <w:jc w:val="both"/>
        <w:rPr>
          <w:rFonts w:ascii="Abadi" w:hAnsi="Abadi" w:cs="*Arial-10102-Identity-H"/>
          <w:color w:val="0C0C0E"/>
          <w:sz w:val="21"/>
          <w:szCs w:val="21"/>
        </w:rPr>
      </w:pPr>
    </w:p>
    <w:p w14:paraId="223C8872" w14:textId="77777777" w:rsidR="007A32BE" w:rsidRDefault="007A32BE" w:rsidP="007A32BE">
      <w:pPr>
        <w:autoSpaceDE w:val="0"/>
        <w:autoSpaceDN w:val="0"/>
        <w:adjustRightInd w:val="0"/>
        <w:ind w:firstLine="708"/>
        <w:jc w:val="both"/>
        <w:rPr>
          <w:rFonts w:ascii="Abadi" w:hAnsi="Abadi" w:cs="*Arial-10102-Identity-H"/>
          <w:color w:val="0C0C0F"/>
          <w:sz w:val="21"/>
          <w:szCs w:val="21"/>
        </w:rPr>
      </w:pPr>
      <w:r w:rsidRPr="00727023">
        <w:rPr>
          <w:rFonts w:ascii="Abadi" w:hAnsi="Abadi" w:cs="*Arial-10102-Identity-H"/>
          <w:color w:val="0C0C0F"/>
          <w:sz w:val="21"/>
          <w:szCs w:val="21"/>
        </w:rPr>
        <w:t>Asimismo, se señala que el Municipio libre es la base de la división</w:t>
      </w:r>
      <w:r>
        <w:rPr>
          <w:rFonts w:ascii="Abadi" w:hAnsi="Abadi" w:cs="*Arial-10102-Identity-H"/>
          <w:color w:val="0C0C0F"/>
          <w:sz w:val="21"/>
          <w:szCs w:val="21"/>
        </w:rPr>
        <w:t xml:space="preserve"> </w:t>
      </w:r>
      <w:r w:rsidRPr="00727023">
        <w:rPr>
          <w:rFonts w:ascii="Abadi" w:hAnsi="Abadi" w:cs="*Arial-10102-Identity-H"/>
          <w:color w:val="0C0C0F"/>
          <w:sz w:val="21"/>
          <w:szCs w:val="21"/>
        </w:rPr>
        <w:t>territorial del Estado, de su organización política y administrativa, y como principio</w:t>
      </w:r>
      <w:r>
        <w:rPr>
          <w:rFonts w:ascii="Abadi" w:hAnsi="Abadi" w:cs="*Arial-10102-Identity-H"/>
          <w:color w:val="0C0C0F"/>
          <w:sz w:val="21"/>
          <w:szCs w:val="21"/>
        </w:rPr>
        <w:t xml:space="preserve"> </w:t>
      </w:r>
      <w:r w:rsidRPr="00727023">
        <w:rPr>
          <w:rFonts w:ascii="Abadi" w:hAnsi="Abadi" w:cs="*Arial-10102-Identity-H"/>
          <w:color w:val="0C0C0F"/>
          <w:sz w:val="21"/>
          <w:szCs w:val="21"/>
        </w:rPr>
        <w:t>de legalidad la autoridad municipal puede hacer únicamente lo que la ley le</w:t>
      </w:r>
      <w:r>
        <w:rPr>
          <w:rFonts w:ascii="Abadi" w:hAnsi="Abadi" w:cs="*Arial-10102-Identity-H"/>
          <w:color w:val="0C0C0F"/>
          <w:sz w:val="21"/>
          <w:szCs w:val="21"/>
        </w:rPr>
        <w:t xml:space="preserve"> </w:t>
      </w:r>
      <w:r w:rsidRPr="00727023">
        <w:rPr>
          <w:rFonts w:ascii="Abadi" w:hAnsi="Abadi" w:cs="*Arial-10102-Identity-H"/>
          <w:color w:val="0C0C0F"/>
          <w:sz w:val="21"/>
          <w:szCs w:val="21"/>
        </w:rPr>
        <w:t>concede, encontrándose dentro de sus atribuciones la de otorgar los servicios</w:t>
      </w:r>
      <w:r>
        <w:rPr>
          <w:rFonts w:ascii="Abadi" w:hAnsi="Abadi" w:cs="*Arial-10102-Identity-H"/>
          <w:color w:val="0C0C0F"/>
          <w:sz w:val="21"/>
          <w:szCs w:val="21"/>
        </w:rPr>
        <w:t xml:space="preserve"> </w:t>
      </w:r>
      <w:r w:rsidRPr="00727023">
        <w:rPr>
          <w:rFonts w:ascii="Abadi" w:hAnsi="Abadi" w:cs="*Arial-10102-Identity-H"/>
          <w:color w:val="0C0C0F"/>
          <w:sz w:val="21"/>
          <w:szCs w:val="21"/>
        </w:rPr>
        <w:t>públicos al Municipio.</w:t>
      </w:r>
    </w:p>
    <w:p w14:paraId="074B3E9B" w14:textId="77777777" w:rsidR="007A32BE" w:rsidRPr="00727023" w:rsidRDefault="007A32BE" w:rsidP="007A32BE">
      <w:pPr>
        <w:autoSpaceDE w:val="0"/>
        <w:autoSpaceDN w:val="0"/>
        <w:adjustRightInd w:val="0"/>
        <w:jc w:val="both"/>
        <w:rPr>
          <w:rFonts w:ascii="Abadi" w:hAnsi="Abadi" w:cs="*Arial-10102-Identity-H"/>
          <w:color w:val="0C0C0F"/>
          <w:sz w:val="21"/>
          <w:szCs w:val="21"/>
        </w:rPr>
      </w:pPr>
    </w:p>
    <w:p w14:paraId="6CAD74D5" w14:textId="0D2F8A89" w:rsidR="007A32BE" w:rsidRDefault="007A32BE" w:rsidP="007A32BE">
      <w:pPr>
        <w:autoSpaceDE w:val="0"/>
        <w:autoSpaceDN w:val="0"/>
        <w:adjustRightInd w:val="0"/>
        <w:ind w:firstLine="708"/>
        <w:jc w:val="both"/>
        <w:rPr>
          <w:rFonts w:ascii="Abadi" w:hAnsi="Abadi" w:cs="*Times New Roman-Italic-10093-I"/>
          <w:i/>
          <w:iCs/>
          <w:color w:val="0D0C0F"/>
          <w:sz w:val="21"/>
          <w:szCs w:val="21"/>
        </w:rPr>
      </w:pPr>
      <w:r w:rsidRPr="00727023">
        <w:rPr>
          <w:rFonts w:ascii="Abadi" w:hAnsi="Abadi" w:cs="*Arial-10102-Identity-H"/>
          <w:color w:val="0D0C0F"/>
          <w:sz w:val="21"/>
          <w:szCs w:val="21"/>
        </w:rPr>
        <w:t>También se precisa que el serv</w:t>
      </w:r>
      <w:r w:rsidR="0042658F">
        <w:rPr>
          <w:rFonts w:ascii="Abadi" w:hAnsi="Abadi" w:cs="*Arial-10102-Identity-H"/>
          <w:color w:val="0D0C0F"/>
          <w:sz w:val="21"/>
          <w:szCs w:val="21"/>
        </w:rPr>
        <w:t>icio</w:t>
      </w:r>
      <w:r w:rsidRPr="00727023">
        <w:rPr>
          <w:rFonts w:ascii="Abadi" w:hAnsi="Abadi" w:cs="*Arial-10102-Identity-H"/>
          <w:color w:val="0D0C0F"/>
          <w:sz w:val="21"/>
          <w:szCs w:val="21"/>
        </w:rPr>
        <w:t xml:space="preserve"> público «es </w:t>
      </w:r>
      <w:r w:rsidRPr="00727023">
        <w:rPr>
          <w:rFonts w:ascii="Abadi" w:hAnsi="Abadi" w:cs="*Arial-Italic-10100-Identity-H"/>
          <w:i/>
          <w:iCs/>
          <w:color w:val="0D0C0F"/>
          <w:sz w:val="21"/>
          <w:szCs w:val="21"/>
        </w:rPr>
        <w:t>la institución jurídica</w:t>
      </w:r>
      <w:r>
        <w:rPr>
          <w:rFonts w:ascii="Abadi" w:hAnsi="Abadi" w:cs="*Arial-Italic-10100-Identity-H"/>
          <w:i/>
          <w:iCs/>
          <w:color w:val="0D0C0F"/>
          <w:sz w:val="21"/>
          <w:szCs w:val="21"/>
        </w:rPr>
        <w:t xml:space="preserve"> </w:t>
      </w:r>
      <w:r w:rsidRPr="00727023">
        <w:rPr>
          <w:rFonts w:ascii="Abadi" w:hAnsi="Abadi" w:cs="*Arial-Italic-10100-Identity-H"/>
          <w:i/>
          <w:iCs/>
          <w:color w:val="0D0C0F"/>
          <w:sz w:val="21"/>
          <w:szCs w:val="21"/>
        </w:rPr>
        <w:t xml:space="preserve">administrativa en la que el titular </w:t>
      </w:r>
      <w:r w:rsidRPr="00727023">
        <w:rPr>
          <w:rFonts w:ascii="Abadi" w:hAnsi="Abadi" w:cs="*Arial-10102-Identity-H"/>
          <w:color w:val="0D0C0F"/>
          <w:sz w:val="21"/>
          <w:szCs w:val="21"/>
        </w:rPr>
        <w:t xml:space="preserve">es </w:t>
      </w:r>
      <w:r w:rsidRPr="00727023">
        <w:rPr>
          <w:rFonts w:ascii="Abadi" w:hAnsi="Abadi" w:cs="*Arial-Italic-10100-Identity-H"/>
          <w:i/>
          <w:iCs/>
          <w:color w:val="0D0C0F"/>
          <w:sz w:val="21"/>
          <w:szCs w:val="21"/>
        </w:rPr>
        <w:t>el Estado (municipio) y cuya única finalidad</w:t>
      </w:r>
      <w:r>
        <w:rPr>
          <w:rFonts w:ascii="Abadi" w:hAnsi="Abadi" w:cs="*Arial-Italic-10100-Identity-H"/>
          <w:i/>
          <w:iCs/>
          <w:color w:val="0D0C0F"/>
          <w:sz w:val="21"/>
          <w:szCs w:val="21"/>
        </w:rPr>
        <w:t xml:space="preserve"> </w:t>
      </w:r>
      <w:r w:rsidRPr="00727023">
        <w:rPr>
          <w:rFonts w:ascii="Abadi" w:hAnsi="Abadi" w:cs="*Arial-Italic-10100-Identity-H"/>
          <w:i/>
          <w:iCs/>
          <w:color w:val="0D0C0F"/>
          <w:sz w:val="21"/>
          <w:szCs w:val="21"/>
        </w:rPr>
        <w:t xml:space="preserve">consiste en satisfacer de manera regular, continua </w:t>
      </w:r>
      <w:r w:rsidRPr="00727023">
        <w:rPr>
          <w:rFonts w:ascii="Abadi" w:hAnsi="Abadi" w:cs="*Arial-Italic-10101-Identity-H"/>
          <w:i/>
          <w:iCs/>
          <w:color w:val="0D0C0F"/>
          <w:sz w:val="21"/>
          <w:szCs w:val="21"/>
        </w:rPr>
        <w:t xml:space="preserve">y </w:t>
      </w:r>
      <w:r w:rsidRPr="00727023">
        <w:rPr>
          <w:rFonts w:ascii="Abadi" w:hAnsi="Abadi" w:cs="*Arial-Italic-10100-Identity-H"/>
          <w:i/>
          <w:iCs/>
          <w:color w:val="0D0C0F"/>
          <w:sz w:val="21"/>
          <w:szCs w:val="21"/>
        </w:rPr>
        <w:t>uniforme necesidades</w:t>
      </w:r>
      <w:r>
        <w:rPr>
          <w:rFonts w:ascii="Abadi" w:hAnsi="Abadi" w:cs="*Arial-Italic-10100-Identity-H"/>
          <w:i/>
          <w:iCs/>
          <w:color w:val="0D0C0F"/>
          <w:sz w:val="21"/>
          <w:szCs w:val="21"/>
        </w:rPr>
        <w:t xml:space="preserve"> </w:t>
      </w:r>
      <w:r w:rsidRPr="00727023">
        <w:rPr>
          <w:rFonts w:ascii="Abadi" w:hAnsi="Abadi" w:cs="*Arial-Italic-10100-Identity-H"/>
          <w:i/>
          <w:iCs/>
          <w:color w:val="0D0C0F"/>
          <w:sz w:val="21"/>
          <w:szCs w:val="21"/>
        </w:rPr>
        <w:t xml:space="preserve">públicas de carácter esencial, básico </w:t>
      </w:r>
      <w:r w:rsidRPr="00727023">
        <w:rPr>
          <w:rFonts w:ascii="Abadi" w:hAnsi="Abadi" w:cs="*Arial-10102-Identity-H"/>
          <w:color w:val="0D0C0F"/>
          <w:sz w:val="21"/>
          <w:szCs w:val="21"/>
        </w:rPr>
        <w:t xml:space="preserve">o </w:t>
      </w:r>
      <w:r w:rsidRPr="00727023">
        <w:rPr>
          <w:rFonts w:ascii="Abadi" w:hAnsi="Abadi" w:cs="*Arial-Italic-10100-Identity-H"/>
          <w:i/>
          <w:iCs/>
          <w:color w:val="0D0C0F"/>
          <w:sz w:val="21"/>
          <w:szCs w:val="21"/>
        </w:rPr>
        <w:t xml:space="preserve">fundamental; se concreta </w:t>
      </w:r>
      <w:r w:rsidRPr="00727023">
        <w:rPr>
          <w:rFonts w:ascii="Abadi" w:hAnsi="Abadi" w:cs="*Arial-10102-Identity-H"/>
          <w:color w:val="0D0C0F"/>
          <w:sz w:val="21"/>
          <w:szCs w:val="21"/>
        </w:rPr>
        <w:t xml:space="preserve">a </w:t>
      </w:r>
      <w:r w:rsidRPr="00727023">
        <w:rPr>
          <w:rFonts w:ascii="Abadi" w:hAnsi="Abadi" w:cs="*Arial-Italic-10100-Identity-H"/>
          <w:i/>
          <w:iCs/>
          <w:color w:val="0D0C0F"/>
          <w:sz w:val="21"/>
          <w:szCs w:val="21"/>
        </w:rPr>
        <w:t>través de las</w:t>
      </w:r>
      <w:r>
        <w:rPr>
          <w:rFonts w:ascii="Abadi" w:hAnsi="Abadi" w:cs="*Arial-Italic-10100-Identity-H"/>
          <w:i/>
          <w:iCs/>
          <w:color w:val="0D0C0F"/>
          <w:sz w:val="21"/>
          <w:szCs w:val="21"/>
        </w:rPr>
        <w:t xml:space="preserve"> </w:t>
      </w:r>
      <w:r w:rsidRPr="00727023">
        <w:rPr>
          <w:rFonts w:ascii="Abadi" w:hAnsi="Abadi" w:cs="*Arial-Italic-10100-Identity-H"/>
          <w:i/>
          <w:iCs/>
          <w:color w:val="0D0C0F"/>
          <w:sz w:val="21"/>
          <w:szCs w:val="21"/>
        </w:rPr>
        <w:t>prestaciones individualizadas las cuales podrán ser suministradas directamente</w:t>
      </w:r>
      <w:r>
        <w:rPr>
          <w:rFonts w:ascii="Abadi" w:hAnsi="Abadi" w:cs="*Arial-Italic-10100-Identity-H"/>
          <w:i/>
          <w:iCs/>
          <w:color w:val="0D0C0F"/>
          <w:sz w:val="21"/>
          <w:szCs w:val="21"/>
        </w:rPr>
        <w:t xml:space="preserve"> </w:t>
      </w:r>
      <w:r w:rsidRPr="00727023">
        <w:rPr>
          <w:rFonts w:ascii="Abadi" w:hAnsi="Abadi" w:cs="*Arial-Italic-10100-Identity-H"/>
          <w:i/>
          <w:iCs/>
          <w:color w:val="0D0C0F"/>
          <w:sz w:val="21"/>
          <w:szCs w:val="21"/>
        </w:rPr>
        <w:t xml:space="preserve">por el Estado (municipio) </w:t>
      </w:r>
      <w:r w:rsidRPr="00727023">
        <w:rPr>
          <w:rFonts w:ascii="Abadi" w:hAnsi="Abadi" w:cs="*Arial-10102-Identity-H"/>
          <w:color w:val="0D0C0F"/>
          <w:sz w:val="21"/>
          <w:szCs w:val="21"/>
        </w:rPr>
        <w:t xml:space="preserve">o </w:t>
      </w:r>
      <w:r w:rsidRPr="00727023">
        <w:rPr>
          <w:rFonts w:ascii="Abadi" w:hAnsi="Abadi" w:cs="*Arial-Italic-10100-Identity-H"/>
          <w:i/>
          <w:iCs/>
          <w:color w:val="0D0C0F"/>
          <w:sz w:val="21"/>
          <w:szCs w:val="21"/>
        </w:rPr>
        <w:t>por los particulares mediante concesión. Por su</w:t>
      </w:r>
      <w:r>
        <w:rPr>
          <w:rFonts w:ascii="Abadi" w:hAnsi="Abadi" w:cs="*Arial-Italic-10100-Identity-H"/>
          <w:i/>
          <w:iCs/>
          <w:color w:val="0D0C0F"/>
          <w:sz w:val="21"/>
          <w:szCs w:val="21"/>
        </w:rPr>
        <w:t xml:space="preserve"> </w:t>
      </w:r>
      <w:r w:rsidRPr="00727023">
        <w:rPr>
          <w:rFonts w:ascii="Abadi" w:hAnsi="Abadi" w:cs="*Arial-Italic-10100-Identity-H"/>
          <w:i/>
          <w:iCs/>
          <w:color w:val="0D0C0F"/>
          <w:sz w:val="21"/>
          <w:szCs w:val="21"/>
        </w:rPr>
        <w:t xml:space="preserve">naturaleza, estará sujeta </w:t>
      </w:r>
      <w:r w:rsidRPr="00727023">
        <w:rPr>
          <w:rFonts w:ascii="Abadi" w:hAnsi="Abadi" w:cs="*Arial-10102-Identity-H"/>
          <w:color w:val="0D0C0F"/>
          <w:sz w:val="21"/>
          <w:szCs w:val="21"/>
        </w:rPr>
        <w:t xml:space="preserve">a </w:t>
      </w:r>
      <w:r w:rsidRPr="00727023">
        <w:rPr>
          <w:rFonts w:ascii="Abadi" w:hAnsi="Abadi" w:cs="*Arial-Italic-10100-Identity-H"/>
          <w:i/>
          <w:iCs/>
          <w:color w:val="0D0C0F"/>
          <w:sz w:val="21"/>
          <w:szCs w:val="21"/>
        </w:rPr>
        <w:t xml:space="preserve">normas </w:t>
      </w:r>
      <w:r w:rsidRPr="00727023">
        <w:rPr>
          <w:rFonts w:ascii="Abadi" w:hAnsi="Abadi" w:cs="*Arial-Italic-10101-Identity-H"/>
          <w:i/>
          <w:iCs/>
          <w:color w:val="0D0C0F"/>
          <w:sz w:val="21"/>
          <w:szCs w:val="21"/>
        </w:rPr>
        <w:t xml:space="preserve">y </w:t>
      </w:r>
      <w:r w:rsidRPr="00727023">
        <w:rPr>
          <w:rFonts w:ascii="Abadi" w:hAnsi="Abadi" w:cs="*Arial-Italic-10100-Identity-H"/>
          <w:i/>
          <w:iCs/>
          <w:color w:val="0D0C0F"/>
          <w:sz w:val="21"/>
          <w:szCs w:val="21"/>
        </w:rPr>
        <w:t xml:space="preserve">principios de derecho público». </w:t>
      </w:r>
      <w:r w:rsidR="00C43EEF">
        <w:rPr>
          <w:rStyle w:val="Refdenotaalpie"/>
          <w:rFonts w:ascii="Abadi" w:hAnsi="Abadi" w:cs="*Arial-Italic-10100-Identity-H"/>
          <w:i/>
          <w:iCs/>
          <w:color w:val="0D0C0F"/>
          <w:sz w:val="21"/>
          <w:szCs w:val="21"/>
        </w:rPr>
        <w:footnoteReference w:id="51"/>
      </w:r>
    </w:p>
    <w:p w14:paraId="5567F5E1" w14:textId="77777777" w:rsidR="007A32BE" w:rsidRPr="00727023" w:rsidRDefault="007A32BE" w:rsidP="007A32BE">
      <w:pPr>
        <w:autoSpaceDE w:val="0"/>
        <w:autoSpaceDN w:val="0"/>
        <w:adjustRightInd w:val="0"/>
        <w:jc w:val="both"/>
        <w:rPr>
          <w:rFonts w:ascii="Abadi" w:hAnsi="Abadi" w:cs="*Times New Roman-Italic-10093-I"/>
          <w:i/>
          <w:iCs/>
          <w:color w:val="0D0C0F"/>
          <w:sz w:val="21"/>
          <w:szCs w:val="21"/>
        </w:rPr>
      </w:pPr>
    </w:p>
    <w:p w14:paraId="1050A52A" w14:textId="77777777" w:rsidR="007A32BE" w:rsidRDefault="007A32BE" w:rsidP="007A32BE">
      <w:pPr>
        <w:autoSpaceDE w:val="0"/>
        <w:autoSpaceDN w:val="0"/>
        <w:adjustRightInd w:val="0"/>
        <w:ind w:firstLine="708"/>
        <w:jc w:val="both"/>
        <w:rPr>
          <w:rFonts w:ascii="Abadi" w:hAnsi="Abadi" w:cs="*Arial-7816-Identity-H"/>
          <w:color w:val="0B0B0E"/>
          <w:sz w:val="21"/>
          <w:szCs w:val="21"/>
        </w:rPr>
      </w:pPr>
      <w:r w:rsidRPr="00727023">
        <w:rPr>
          <w:rFonts w:ascii="Abadi" w:hAnsi="Abadi" w:cs="*Arial-7816-Identity-H"/>
          <w:color w:val="0B0B0E"/>
          <w:sz w:val="21"/>
          <w:szCs w:val="21"/>
        </w:rPr>
        <w:t>La Ley Orgánica Municipal para el Estado de Guanajuato prevé que el</w:t>
      </w:r>
      <w:r>
        <w:rPr>
          <w:rFonts w:ascii="Abadi" w:hAnsi="Abadi" w:cs="*Arial-7816-Identity-H"/>
          <w:color w:val="0B0B0E"/>
          <w:sz w:val="21"/>
          <w:szCs w:val="21"/>
        </w:rPr>
        <w:t xml:space="preserve"> </w:t>
      </w:r>
      <w:r w:rsidRPr="00727023">
        <w:rPr>
          <w:rFonts w:ascii="Abadi" w:hAnsi="Abadi" w:cs="*Arial-7816-Identity-H"/>
          <w:color w:val="0B0B0E"/>
          <w:sz w:val="21"/>
          <w:szCs w:val="21"/>
        </w:rPr>
        <w:t>Ayuntamiento deberá otorgar el servicio de alumbrado público a los habitantes del</w:t>
      </w:r>
      <w:r>
        <w:rPr>
          <w:rFonts w:ascii="Abadi" w:hAnsi="Abadi" w:cs="*Arial-7816-Identity-H"/>
          <w:color w:val="0B0B0E"/>
          <w:sz w:val="21"/>
          <w:szCs w:val="21"/>
        </w:rPr>
        <w:t xml:space="preserve"> </w:t>
      </w:r>
      <w:r w:rsidRPr="00727023">
        <w:rPr>
          <w:rFonts w:ascii="Abadi" w:hAnsi="Abadi" w:cs="*Arial-7816-Identity-H"/>
          <w:color w:val="0B0B0E"/>
          <w:sz w:val="21"/>
          <w:szCs w:val="21"/>
        </w:rPr>
        <w:t>Municipio e instrumentará los mecanismos necesarios para ampliar la cobertura y</w:t>
      </w:r>
      <w:r>
        <w:rPr>
          <w:rFonts w:ascii="Abadi" w:hAnsi="Abadi" w:cs="*Arial-7816-Identity-H"/>
          <w:color w:val="0B0B0E"/>
          <w:sz w:val="21"/>
          <w:szCs w:val="21"/>
        </w:rPr>
        <w:t xml:space="preserve"> </w:t>
      </w:r>
      <w:r w:rsidRPr="00727023">
        <w:rPr>
          <w:rFonts w:ascii="Abadi" w:hAnsi="Abadi" w:cs="*Arial-7816-Identity-H"/>
          <w:color w:val="0B0B0E"/>
          <w:sz w:val="21"/>
          <w:szCs w:val="21"/>
        </w:rPr>
        <w:t>mejorar la prestación de dicho servicio.</w:t>
      </w:r>
    </w:p>
    <w:p w14:paraId="00DCE95E" w14:textId="77777777" w:rsidR="007A32BE" w:rsidRPr="00727023" w:rsidRDefault="007A32BE" w:rsidP="007A32BE">
      <w:pPr>
        <w:autoSpaceDE w:val="0"/>
        <w:autoSpaceDN w:val="0"/>
        <w:adjustRightInd w:val="0"/>
        <w:jc w:val="both"/>
        <w:rPr>
          <w:rFonts w:ascii="Abadi" w:hAnsi="Abadi" w:cs="*Arial-7816-Identity-H"/>
          <w:color w:val="0B0B0E"/>
          <w:sz w:val="21"/>
          <w:szCs w:val="21"/>
        </w:rPr>
      </w:pPr>
    </w:p>
    <w:p w14:paraId="35F17BF6" w14:textId="77777777" w:rsidR="007A32BE" w:rsidRDefault="007A32BE" w:rsidP="007A32BE">
      <w:pPr>
        <w:autoSpaceDE w:val="0"/>
        <w:autoSpaceDN w:val="0"/>
        <w:adjustRightInd w:val="0"/>
        <w:ind w:firstLine="708"/>
        <w:jc w:val="both"/>
        <w:rPr>
          <w:rFonts w:ascii="Abadi" w:hAnsi="Abadi" w:cs="*Arial-7816-Identity-H"/>
          <w:color w:val="0C0B0E"/>
          <w:sz w:val="21"/>
          <w:szCs w:val="21"/>
        </w:rPr>
      </w:pPr>
      <w:r w:rsidRPr="00727023">
        <w:rPr>
          <w:rFonts w:ascii="Abadi" w:hAnsi="Abadi" w:cs="*Arial-7816-Identity-H"/>
          <w:color w:val="0C0B0E"/>
          <w:sz w:val="21"/>
          <w:szCs w:val="21"/>
        </w:rPr>
        <w:t>De igual forma, la referida ley en el artículo 83 establece que el</w:t>
      </w:r>
      <w:r>
        <w:rPr>
          <w:rFonts w:ascii="Abadi" w:hAnsi="Abadi" w:cs="*Arial-7816-Identity-H"/>
          <w:color w:val="0C0B0E"/>
          <w:sz w:val="21"/>
          <w:szCs w:val="21"/>
        </w:rPr>
        <w:t xml:space="preserve"> </w:t>
      </w:r>
      <w:r w:rsidRPr="00727023">
        <w:rPr>
          <w:rFonts w:ascii="Abadi" w:hAnsi="Abadi" w:cs="*Arial-7816-Identity-H"/>
          <w:color w:val="0C0B0E"/>
          <w:sz w:val="21"/>
          <w:szCs w:val="21"/>
        </w:rPr>
        <w:t>Ayuntamiento contará con una Comisión de Obra y Servicios Públicos, misma que</w:t>
      </w:r>
      <w:r>
        <w:rPr>
          <w:rFonts w:ascii="Abadi" w:hAnsi="Abadi" w:cs="*Arial-7816-Identity-H"/>
          <w:color w:val="0C0B0E"/>
          <w:sz w:val="21"/>
          <w:szCs w:val="21"/>
        </w:rPr>
        <w:t xml:space="preserve"> </w:t>
      </w:r>
      <w:r w:rsidRPr="00727023">
        <w:rPr>
          <w:rFonts w:ascii="Abadi" w:hAnsi="Abadi" w:cs="*Arial-7816-Identity-H"/>
          <w:color w:val="0C0B0E"/>
          <w:sz w:val="21"/>
          <w:szCs w:val="21"/>
        </w:rPr>
        <w:t>tendrá dentro de sus atribuciones la de promover la prestación puntual, oportuna y</w:t>
      </w:r>
      <w:r>
        <w:rPr>
          <w:rFonts w:ascii="Abadi" w:hAnsi="Abadi" w:cs="*Arial-7816-Identity-H"/>
          <w:color w:val="0C0B0E"/>
          <w:sz w:val="21"/>
          <w:szCs w:val="21"/>
        </w:rPr>
        <w:t xml:space="preserve"> </w:t>
      </w:r>
      <w:r w:rsidRPr="00727023">
        <w:rPr>
          <w:rFonts w:ascii="Abadi" w:hAnsi="Abadi" w:cs="*Arial-7816-Identity-H"/>
          <w:color w:val="0C0B0E"/>
          <w:sz w:val="21"/>
          <w:szCs w:val="21"/>
        </w:rPr>
        <w:t>eficiente de los servicios públicos municipales, de conformidad con las</w:t>
      </w:r>
      <w:r>
        <w:rPr>
          <w:rFonts w:ascii="Abadi" w:hAnsi="Abadi" w:cs="*Arial-7816-Identity-H"/>
          <w:color w:val="0C0B0E"/>
          <w:sz w:val="21"/>
          <w:szCs w:val="21"/>
        </w:rPr>
        <w:t xml:space="preserve"> </w:t>
      </w:r>
      <w:r w:rsidRPr="00727023">
        <w:rPr>
          <w:rFonts w:ascii="Abadi" w:hAnsi="Abadi" w:cs="*Arial-7816-Identity-H"/>
          <w:color w:val="0C0B0E"/>
          <w:sz w:val="21"/>
          <w:szCs w:val="21"/>
        </w:rPr>
        <w:t>disposiciones aplicables. En este sentido, la dependencia de Servicios Municipales</w:t>
      </w:r>
      <w:r>
        <w:rPr>
          <w:rFonts w:ascii="Abadi" w:hAnsi="Abadi" w:cs="*Arial-7816-Identity-H"/>
          <w:color w:val="0C0B0E"/>
          <w:sz w:val="21"/>
          <w:szCs w:val="21"/>
        </w:rPr>
        <w:t xml:space="preserve"> </w:t>
      </w:r>
      <w:r w:rsidRPr="00727023">
        <w:rPr>
          <w:rFonts w:ascii="Abadi" w:hAnsi="Abadi" w:cs="*Arial-7816-Identity-H"/>
          <w:color w:val="0C0B0E"/>
          <w:sz w:val="21"/>
          <w:szCs w:val="21"/>
        </w:rPr>
        <w:t>será la encargada de llevar a cabo la prestación del servicio de alumbrado público</w:t>
      </w:r>
      <w:r>
        <w:rPr>
          <w:rFonts w:ascii="Abadi" w:hAnsi="Abadi" w:cs="*Arial-7816-Identity-H"/>
          <w:color w:val="0C0B0E"/>
          <w:sz w:val="21"/>
          <w:szCs w:val="21"/>
        </w:rPr>
        <w:t xml:space="preserve"> </w:t>
      </w:r>
      <w:r w:rsidRPr="00727023">
        <w:rPr>
          <w:rFonts w:ascii="Abadi" w:hAnsi="Abadi" w:cs="*Arial-7816-Identity-H"/>
          <w:color w:val="0C0B0E"/>
          <w:sz w:val="21"/>
          <w:szCs w:val="21"/>
        </w:rPr>
        <w:t>en el Municipio, de acuerdo a lo establecido en la fracción V del artículo 124 de la</w:t>
      </w:r>
      <w:r>
        <w:rPr>
          <w:rFonts w:ascii="Abadi" w:hAnsi="Abadi" w:cs="*Arial-7816-Identity-H"/>
          <w:color w:val="0C0B0E"/>
          <w:sz w:val="21"/>
          <w:szCs w:val="21"/>
        </w:rPr>
        <w:t xml:space="preserve"> </w:t>
      </w:r>
      <w:r w:rsidRPr="00727023">
        <w:rPr>
          <w:rFonts w:ascii="Abadi" w:hAnsi="Abadi" w:cs="*Arial-7816-Identity-H"/>
          <w:color w:val="0C0B0E"/>
          <w:sz w:val="21"/>
          <w:szCs w:val="21"/>
        </w:rPr>
        <w:t>citada ley.</w:t>
      </w:r>
    </w:p>
    <w:p w14:paraId="0C2D6AC8" w14:textId="77777777" w:rsidR="007A32BE" w:rsidRPr="00727023" w:rsidRDefault="007A32BE" w:rsidP="007A32BE">
      <w:pPr>
        <w:autoSpaceDE w:val="0"/>
        <w:autoSpaceDN w:val="0"/>
        <w:adjustRightInd w:val="0"/>
        <w:jc w:val="both"/>
        <w:rPr>
          <w:rFonts w:ascii="Abadi" w:hAnsi="Abadi" w:cs="*Arial-7816-Identity-H"/>
          <w:color w:val="0C0B0E"/>
          <w:sz w:val="21"/>
          <w:szCs w:val="21"/>
        </w:rPr>
      </w:pPr>
    </w:p>
    <w:p w14:paraId="45663480" w14:textId="77777777" w:rsidR="007A32BE" w:rsidRDefault="007A32BE" w:rsidP="007A32BE">
      <w:pPr>
        <w:autoSpaceDE w:val="0"/>
        <w:autoSpaceDN w:val="0"/>
        <w:adjustRightInd w:val="0"/>
        <w:ind w:firstLine="708"/>
        <w:jc w:val="both"/>
        <w:rPr>
          <w:rFonts w:ascii="Abadi" w:hAnsi="Abadi" w:cs="*Arial-7816-Identity-H"/>
          <w:color w:val="0C0C0F"/>
          <w:sz w:val="21"/>
          <w:szCs w:val="21"/>
        </w:rPr>
      </w:pPr>
      <w:r w:rsidRPr="00727023">
        <w:rPr>
          <w:rFonts w:ascii="Abadi" w:hAnsi="Abadi" w:cs="*Arial-7816-Identity-H"/>
          <w:color w:val="0C0C0F"/>
          <w:sz w:val="21"/>
          <w:szCs w:val="21"/>
        </w:rPr>
        <w:t>También el artículo 165 de la referida Ley Orgánica Municipal prevé que:</w:t>
      </w:r>
    </w:p>
    <w:p w14:paraId="71851CC5" w14:textId="77777777" w:rsidR="00015D8C" w:rsidRPr="00727023" w:rsidRDefault="00015D8C" w:rsidP="007A32BE">
      <w:pPr>
        <w:autoSpaceDE w:val="0"/>
        <w:autoSpaceDN w:val="0"/>
        <w:adjustRightInd w:val="0"/>
        <w:ind w:firstLine="708"/>
        <w:jc w:val="both"/>
        <w:rPr>
          <w:rFonts w:ascii="Abadi" w:hAnsi="Abadi" w:cs="*Arial-7816-Identity-H"/>
          <w:color w:val="0C0C0F"/>
          <w:sz w:val="21"/>
          <w:szCs w:val="21"/>
        </w:rPr>
      </w:pPr>
    </w:p>
    <w:p w14:paraId="7CF8F507" w14:textId="77777777" w:rsidR="007A32BE" w:rsidRDefault="007A32BE" w:rsidP="007A32BE">
      <w:pPr>
        <w:autoSpaceDE w:val="0"/>
        <w:autoSpaceDN w:val="0"/>
        <w:adjustRightInd w:val="0"/>
        <w:jc w:val="both"/>
        <w:rPr>
          <w:rFonts w:ascii="Abadi" w:hAnsi="Abadi" w:cs="*Arial-Italic-7817-Identity-H"/>
          <w:i/>
          <w:iCs/>
          <w:color w:val="0C0C0F"/>
          <w:sz w:val="21"/>
          <w:szCs w:val="21"/>
        </w:rPr>
      </w:pPr>
      <w:r w:rsidRPr="00727023">
        <w:rPr>
          <w:rFonts w:ascii="Abadi" w:hAnsi="Abadi" w:cs="*Arial-Italic-7817-Identity-H"/>
          <w:i/>
          <w:iCs/>
          <w:color w:val="0C0C0F"/>
          <w:sz w:val="21"/>
          <w:szCs w:val="21"/>
        </w:rPr>
        <w:t>«Los ayuntamientos prestarán los servicios públicos, en igualdad de condiciones a</w:t>
      </w:r>
      <w:r>
        <w:rPr>
          <w:rFonts w:ascii="Abadi" w:hAnsi="Abadi" w:cs="*Arial-Italic-7817-Identity-H"/>
          <w:i/>
          <w:iCs/>
          <w:color w:val="0C0C0F"/>
          <w:sz w:val="21"/>
          <w:szCs w:val="21"/>
        </w:rPr>
        <w:t xml:space="preserve"> </w:t>
      </w:r>
      <w:r w:rsidRPr="00727023">
        <w:rPr>
          <w:rFonts w:ascii="Abadi" w:hAnsi="Abadi" w:cs="*Arial-Italic-7817-Identity-H"/>
          <w:i/>
          <w:iCs/>
          <w:color w:val="0C0C0F"/>
          <w:sz w:val="21"/>
          <w:szCs w:val="21"/>
        </w:rPr>
        <w:t>todos los habitantes del municipio, en forma permanente, general, uniforme,</w:t>
      </w:r>
      <w:r>
        <w:rPr>
          <w:rFonts w:ascii="Abadi" w:hAnsi="Abadi" w:cs="*Arial-Italic-7817-Identity-H"/>
          <w:i/>
          <w:iCs/>
          <w:color w:val="0C0C0F"/>
          <w:sz w:val="21"/>
          <w:szCs w:val="21"/>
        </w:rPr>
        <w:t xml:space="preserve"> </w:t>
      </w:r>
      <w:r w:rsidRPr="00727023">
        <w:rPr>
          <w:rFonts w:ascii="Abadi" w:hAnsi="Abadi" w:cs="*Arial-Italic-7817-Identity-H"/>
          <w:i/>
          <w:iCs/>
          <w:color w:val="0C0C0F"/>
          <w:sz w:val="21"/>
          <w:szCs w:val="21"/>
        </w:rPr>
        <w:t>continua y de acuerdo con el Programa de Gobierno Municipal».</w:t>
      </w:r>
    </w:p>
    <w:p w14:paraId="75DD0846" w14:textId="77777777" w:rsidR="007A32BE" w:rsidRPr="00727023" w:rsidRDefault="007A32BE" w:rsidP="007A32BE">
      <w:pPr>
        <w:autoSpaceDE w:val="0"/>
        <w:autoSpaceDN w:val="0"/>
        <w:adjustRightInd w:val="0"/>
        <w:jc w:val="both"/>
        <w:rPr>
          <w:rFonts w:ascii="Abadi" w:hAnsi="Abadi" w:cs="*Arial-Italic-7817-Identity-H"/>
          <w:i/>
          <w:iCs/>
          <w:color w:val="0C0C0F"/>
          <w:sz w:val="21"/>
          <w:szCs w:val="21"/>
        </w:rPr>
      </w:pPr>
    </w:p>
    <w:p w14:paraId="3B9353A6" w14:textId="77777777" w:rsidR="007A32BE" w:rsidRDefault="007A32BE" w:rsidP="007A32BE">
      <w:pPr>
        <w:autoSpaceDE w:val="0"/>
        <w:autoSpaceDN w:val="0"/>
        <w:adjustRightInd w:val="0"/>
        <w:ind w:firstLine="708"/>
        <w:jc w:val="both"/>
        <w:rPr>
          <w:rFonts w:ascii="Abadi" w:hAnsi="Abadi" w:cs="*Arial-Italic-7817-Identity-H"/>
          <w:i/>
          <w:iCs/>
          <w:color w:val="0E0E10"/>
          <w:sz w:val="21"/>
          <w:szCs w:val="21"/>
        </w:rPr>
      </w:pPr>
      <w:r w:rsidRPr="00727023">
        <w:rPr>
          <w:rFonts w:ascii="Abadi" w:hAnsi="Abadi" w:cs="*Arial-7816-Identity-H"/>
          <w:color w:val="0E0E10"/>
          <w:sz w:val="21"/>
          <w:szCs w:val="21"/>
        </w:rPr>
        <w:t xml:space="preserve">Asimismo, en el Capítulo denominado </w:t>
      </w:r>
      <w:r w:rsidRPr="00727023">
        <w:rPr>
          <w:rFonts w:ascii="Abadi" w:hAnsi="Abadi" w:cs="*Arial-Italic-7817-Identity-H"/>
          <w:i/>
          <w:iCs/>
          <w:color w:val="0E0E10"/>
          <w:sz w:val="21"/>
          <w:szCs w:val="21"/>
        </w:rPr>
        <w:t>«De los Servicios Públicos</w:t>
      </w:r>
      <w:r>
        <w:rPr>
          <w:rFonts w:ascii="Abadi" w:hAnsi="Abadi" w:cs="*Arial-Italic-7817-Identity-H"/>
          <w:i/>
          <w:iCs/>
          <w:color w:val="0E0E10"/>
          <w:sz w:val="21"/>
          <w:szCs w:val="21"/>
        </w:rPr>
        <w:t xml:space="preserve"> </w:t>
      </w:r>
    </w:p>
    <w:p w14:paraId="1DFCE8A4" w14:textId="77777777" w:rsidR="007A32BE" w:rsidRPr="00727023" w:rsidRDefault="007A32BE" w:rsidP="007A32BE">
      <w:pPr>
        <w:autoSpaceDE w:val="0"/>
        <w:autoSpaceDN w:val="0"/>
        <w:adjustRightInd w:val="0"/>
        <w:jc w:val="both"/>
        <w:rPr>
          <w:rFonts w:ascii="Abadi" w:hAnsi="Abadi" w:cs="*Arial-Italic-7817-Identity-H"/>
          <w:i/>
          <w:iCs/>
          <w:color w:val="0E0E10"/>
          <w:sz w:val="21"/>
          <w:szCs w:val="21"/>
        </w:rPr>
      </w:pPr>
    </w:p>
    <w:p w14:paraId="0A758D2F" w14:textId="77777777" w:rsidR="007A32BE" w:rsidRDefault="007A32BE" w:rsidP="007A32BE">
      <w:pPr>
        <w:autoSpaceDE w:val="0"/>
        <w:autoSpaceDN w:val="0"/>
        <w:adjustRightInd w:val="0"/>
        <w:ind w:firstLine="708"/>
        <w:jc w:val="both"/>
        <w:rPr>
          <w:rFonts w:ascii="Abadi" w:hAnsi="Abadi" w:cs="*Arial-7816-Identity-H"/>
          <w:color w:val="0E0E10"/>
          <w:sz w:val="21"/>
          <w:szCs w:val="21"/>
        </w:rPr>
      </w:pPr>
      <w:r w:rsidRPr="00727023">
        <w:rPr>
          <w:rFonts w:ascii="Abadi" w:hAnsi="Abadi" w:cs="*Arial-Italic-7817-Identity-H"/>
          <w:i/>
          <w:iCs/>
          <w:color w:val="0E0E10"/>
          <w:sz w:val="21"/>
          <w:szCs w:val="21"/>
        </w:rPr>
        <w:t xml:space="preserve">Municipales» </w:t>
      </w:r>
      <w:r w:rsidRPr="00727023">
        <w:rPr>
          <w:rFonts w:ascii="Abadi" w:hAnsi="Abadi" w:cs="*Arial-7816-Identity-H"/>
          <w:color w:val="0E0E10"/>
          <w:sz w:val="21"/>
          <w:szCs w:val="21"/>
        </w:rPr>
        <w:t>se refiere que en el presupuesto de egresos deben preverse los</w:t>
      </w:r>
      <w:r>
        <w:rPr>
          <w:rFonts w:ascii="Abadi" w:hAnsi="Abadi" w:cs="*Arial-7816-Identity-H"/>
          <w:color w:val="0E0E10"/>
          <w:sz w:val="21"/>
          <w:szCs w:val="21"/>
        </w:rPr>
        <w:t xml:space="preserve"> </w:t>
      </w:r>
      <w:r w:rsidRPr="00727023">
        <w:rPr>
          <w:rFonts w:ascii="Abadi" w:hAnsi="Abadi" w:cs="*Arial-7816-Identity-H"/>
          <w:color w:val="0E0E10"/>
          <w:sz w:val="21"/>
          <w:szCs w:val="21"/>
        </w:rPr>
        <w:t>recursos materiales y humanos, necesarios y suficientes, para la prestación</w:t>
      </w:r>
      <w:r>
        <w:rPr>
          <w:rFonts w:ascii="Abadi" w:hAnsi="Abadi" w:cs="*Arial-7816-Identity-H"/>
          <w:color w:val="0E0E10"/>
          <w:sz w:val="21"/>
          <w:szCs w:val="21"/>
        </w:rPr>
        <w:t xml:space="preserve"> </w:t>
      </w:r>
      <w:r w:rsidRPr="00727023">
        <w:rPr>
          <w:rFonts w:ascii="Abadi" w:hAnsi="Abadi" w:cs="*Arial-7816-Identity-H"/>
          <w:color w:val="0E0E10"/>
          <w:sz w:val="21"/>
          <w:szCs w:val="21"/>
        </w:rPr>
        <w:t>eficiente y oportuna de los servicios públicos; asimismo, se consigna la</w:t>
      </w:r>
      <w:r>
        <w:rPr>
          <w:rFonts w:ascii="Abadi" w:hAnsi="Abadi" w:cs="*Arial-7816-Identity-H"/>
          <w:color w:val="0E0E10"/>
          <w:sz w:val="21"/>
          <w:szCs w:val="21"/>
        </w:rPr>
        <w:t xml:space="preserve"> </w:t>
      </w:r>
      <w:r w:rsidRPr="00727023">
        <w:rPr>
          <w:rFonts w:ascii="Abadi" w:hAnsi="Abadi" w:cs="*Arial-7816-Identity-H"/>
          <w:color w:val="0E0E10"/>
          <w:sz w:val="21"/>
          <w:szCs w:val="21"/>
        </w:rPr>
        <w:t>obligatoriedad del Ayuntamiento de otorgar el servicio de alumbrado público,</w:t>
      </w:r>
      <w:r>
        <w:rPr>
          <w:rFonts w:ascii="Abadi" w:hAnsi="Abadi" w:cs="*Arial-7816-Identity-H"/>
          <w:color w:val="0E0E10"/>
          <w:sz w:val="21"/>
          <w:szCs w:val="21"/>
        </w:rPr>
        <w:t xml:space="preserve"> </w:t>
      </w:r>
      <w:r w:rsidRPr="00727023">
        <w:rPr>
          <w:rFonts w:ascii="Abadi" w:hAnsi="Abadi" w:cs="*Arial-7816-Identity-H"/>
          <w:color w:val="0E0E10"/>
          <w:sz w:val="21"/>
          <w:szCs w:val="21"/>
        </w:rPr>
        <w:t>señalando que podrá otorgarlo de manera directa a través de sus propias</w:t>
      </w:r>
      <w:r>
        <w:rPr>
          <w:rFonts w:ascii="Abadi" w:hAnsi="Abadi" w:cs="*Arial-7816-Identity-H"/>
          <w:color w:val="0E0E10"/>
          <w:sz w:val="21"/>
          <w:szCs w:val="21"/>
        </w:rPr>
        <w:t xml:space="preserve"> </w:t>
      </w:r>
      <w:r w:rsidRPr="00727023">
        <w:rPr>
          <w:rFonts w:ascii="Abadi" w:hAnsi="Abadi" w:cs="*Arial-7816-Identity-H"/>
          <w:color w:val="0E0E10"/>
          <w:sz w:val="21"/>
          <w:szCs w:val="21"/>
        </w:rPr>
        <w:t>dependencias, o bien por un medio indirecto.</w:t>
      </w:r>
    </w:p>
    <w:p w14:paraId="5AB600FD" w14:textId="77777777" w:rsidR="007A32BE" w:rsidRPr="00727023" w:rsidRDefault="007A32BE" w:rsidP="007A32BE">
      <w:pPr>
        <w:autoSpaceDE w:val="0"/>
        <w:autoSpaceDN w:val="0"/>
        <w:adjustRightInd w:val="0"/>
        <w:jc w:val="both"/>
        <w:rPr>
          <w:rFonts w:ascii="Abadi" w:hAnsi="Abadi" w:cs="*Arial-7816-Identity-H"/>
          <w:color w:val="0E0E10"/>
          <w:sz w:val="21"/>
          <w:szCs w:val="21"/>
        </w:rPr>
      </w:pPr>
    </w:p>
    <w:p w14:paraId="1350DD9A" w14:textId="3374A81E" w:rsidR="007A32BE" w:rsidRDefault="007A32BE" w:rsidP="007A32BE">
      <w:pPr>
        <w:autoSpaceDE w:val="0"/>
        <w:autoSpaceDN w:val="0"/>
        <w:adjustRightInd w:val="0"/>
        <w:ind w:firstLine="708"/>
        <w:jc w:val="both"/>
        <w:rPr>
          <w:rFonts w:ascii="Abadi" w:hAnsi="Abadi" w:cs="*Arial-8192-Identity-H"/>
          <w:color w:val="0C0C0E"/>
          <w:sz w:val="21"/>
          <w:szCs w:val="21"/>
        </w:rPr>
      </w:pPr>
      <w:r w:rsidRPr="00727023">
        <w:rPr>
          <w:rFonts w:ascii="Abadi" w:hAnsi="Abadi" w:cs="*Arial-7816-Identity-H"/>
          <w:color w:val="0C0B0F"/>
          <w:sz w:val="21"/>
          <w:szCs w:val="21"/>
        </w:rPr>
        <w:t>De conformidad con el artículo 169 de la referida Ley Orgánica Municipal, la</w:t>
      </w:r>
      <w:r>
        <w:rPr>
          <w:rFonts w:ascii="Abadi" w:hAnsi="Abadi" w:cs="*Arial-7816-Identity-H"/>
          <w:color w:val="0C0B0F"/>
          <w:sz w:val="21"/>
          <w:szCs w:val="21"/>
        </w:rPr>
        <w:t xml:space="preserve"> </w:t>
      </w:r>
      <w:r w:rsidRPr="00727023">
        <w:rPr>
          <w:rFonts w:ascii="Abadi" w:hAnsi="Abadi" w:cs="*Arial-7816-Identity-H"/>
          <w:color w:val="0C0B0F"/>
          <w:sz w:val="21"/>
          <w:szCs w:val="21"/>
        </w:rPr>
        <w:t>prestación de los servicios públicos municipales será supervisada por la comisión</w:t>
      </w:r>
      <w:r>
        <w:rPr>
          <w:rFonts w:ascii="Abadi" w:hAnsi="Abadi" w:cs="*Arial-7816-Identity-H"/>
          <w:color w:val="0C0B0F"/>
          <w:sz w:val="21"/>
          <w:szCs w:val="21"/>
        </w:rPr>
        <w:t xml:space="preserve"> </w:t>
      </w:r>
      <w:r w:rsidRPr="00727023">
        <w:rPr>
          <w:rFonts w:ascii="Abadi" w:hAnsi="Abadi" w:cs="*Arial-7816-Identity-H"/>
          <w:color w:val="0C0B0F"/>
          <w:sz w:val="21"/>
          <w:szCs w:val="21"/>
        </w:rPr>
        <w:t>correspondiente del Ayuntamiento y auditada por la Contralor</w:t>
      </w:r>
      <w:r w:rsidR="00175095">
        <w:rPr>
          <w:rFonts w:ascii="Abadi" w:hAnsi="Abadi" w:cs="*Arial-7816-Identity-H"/>
          <w:color w:val="0C0B0F"/>
          <w:sz w:val="21"/>
          <w:szCs w:val="21"/>
        </w:rPr>
        <w:t>í</w:t>
      </w:r>
      <w:r w:rsidRPr="00727023">
        <w:rPr>
          <w:rFonts w:ascii="Abadi" w:hAnsi="Abadi" w:cs="*Arial-7816-Identity-H"/>
          <w:color w:val="0C0B0F"/>
          <w:sz w:val="21"/>
          <w:szCs w:val="21"/>
        </w:rPr>
        <w:t>a Municipal.</w:t>
      </w:r>
      <w:r>
        <w:rPr>
          <w:rFonts w:ascii="Abadi" w:hAnsi="Abadi" w:cs="*Arial-7816-Identity-H"/>
          <w:color w:val="0C0B0F"/>
          <w:sz w:val="21"/>
          <w:szCs w:val="21"/>
        </w:rPr>
        <w:t xml:space="preserve"> </w:t>
      </w:r>
      <w:r w:rsidRPr="00727023">
        <w:rPr>
          <w:rFonts w:ascii="Abadi" w:hAnsi="Abadi" w:cs="*Arial-7816-Identity-H"/>
          <w:color w:val="0C0C0F"/>
          <w:sz w:val="21"/>
          <w:szCs w:val="21"/>
        </w:rPr>
        <w:t>Es así que, se desprende la intervención estratégica del Ayuntamiento y de</w:t>
      </w:r>
      <w:r>
        <w:rPr>
          <w:rFonts w:ascii="Abadi" w:hAnsi="Abadi" w:cs="*Arial-7816-Identity-H"/>
          <w:color w:val="0C0C0F"/>
          <w:sz w:val="21"/>
          <w:szCs w:val="21"/>
        </w:rPr>
        <w:t xml:space="preserve"> </w:t>
      </w:r>
      <w:r w:rsidRPr="00727023">
        <w:rPr>
          <w:rFonts w:ascii="Abadi" w:hAnsi="Abadi" w:cs="*Arial-7816-Identity-H"/>
          <w:color w:val="0C0C0F"/>
          <w:sz w:val="21"/>
          <w:szCs w:val="21"/>
        </w:rPr>
        <w:t>la Dirección de Servicios Públicos y Calidad de Vida del municipio de San Miguel</w:t>
      </w:r>
      <w:r>
        <w:rPr>
          <w:rFonts w:ascii="Abadi" w:hAnsi="Abadi" w:cs="*Arial-7816-Identity-H"/>
          <w:color w:val="0C0C0F"/>
          <w:sz w:val="21"/>
          <w:szCs w:val="21"/>
        </w:rPr>
        <w:t xml:space="preserve"> </w:t>
      </w:r>
      <w:r w:rsidRPr="00727023">
        <w:rPr>
          <w:rFonts w:ascii="Abadi" w:hAnsi="Abadi" w:cs="*Arial-7816-Identity-H"/>
          <w:color w:val="0C0C0F"/>
          <w:sz w:val="21"/>
          <w:szCs w:val="21"/>
        </w:rPr>
        <w:t xml:space="preserve">de Allende, </w:t>
      </w:r>
      <w:proofErr w:type="spellStart"/>
      <w:r w:rsidRPr="00727023">
        <w:rPr>
          <w:rFonts w:ascii="Abadi" w:hAnsi="Abadi" w:cs="*Arial-7816-Identity-H"/>
          <w:color w:val="0C0C0F"/>
          <w:sz w:val="21"/>
          <w:szCs w:val="21"/>
        </w:rPr>
        <w:t>Gto</w:t>
      </w:r>
      <w:proofErr w:type="spellEnd"/>
      <w:r w:rsidRPr="00727023">
        <w:rPr>
          <w:rFonts w:ascii="Abadi" w:hAnsi="Abadi" w:cs="*Arial-7816-Identity-H"/>
          <w:color w:val="0C0C0F"/>
          <w:sz w:val="21"/>
          <w:szCs w:val="21"/>
        </w:rPr>
        <w:t>., para otorgar la prestación del servicio de alumbrado público a los</w:t>
      </w:r>
      <w:r>
        <w:rPr>
          <w:rFonts w:ascii="Abadi" w:hAnsi="Abadi" w:cs="*Arial-7816-Identity-H"/>
          <w:color w:val="0C0C0F"/>
          <w:sz w:val="21"/>
          <w:szCs w:val="21"/>
        </w:rPr>
        <w:t xml:space="preserve"> </w:t>
      </w:r>
      <w:r w:rsidRPr="00727023">
        <w:rPr>
          <w:rFonts w:ascii="Abadi" w:hAnsi="Abadi" w:cs="*Arial-7816-Identity-H"/>
          <w:color w:val="0C0C0F"/>
          <w:sz w:val="21"/>
          <w:szCs w:val="21"/>
        </w:rPr>
        <w:t>habitantes del Municipio, a través del conocimiento de la situación de oferta del</w:t>
      </w:r>
      <w:r>
        <w:rPr>
          <w:rFonts w:ascii="Abadi" w:hAnsi="Abadi" w:cs="*Arial-7816-Identity-H"/>
          <w:color w:val="0C0C0F"/>
          <w:sz w:val="21"/>
          <w:szCs w:val="21"/>
        </w:rPr>
        <w:t xml:space="preserve"> </w:t>
      </w:r>
      <w:r w:rsidRPr="00727023">
        <w:rPr>
          <w:rFonts w:ascii="Abadi" w:hAnsi="Abadi" w:cs="*Arial-7816-Identity-H"/>
          <w:color w:val="0C0C0F"/>
          <w:sz w:val="21"/>
          <w:szCs w:val="21"/>
        </w:rPr>
        <w:t>servicio, de su presupuestación, de un marco normativo de operación, de una</w:t>
      </w:r>
      <w:r>
        <w:rPr>
          <w:rFonts w:ascii="Abadi" w:hAnsi="Abadi" w:cs="*Arial-7816-Identity-H"/>
          <w:color w:val="0C0C0F"/>
          <w:sz w:val="21"/>
          <w:szCs w:val="21"/>
        </w:rPr>
        <w:t xml:space="preserve"> </w:t>
      </w:r>
      <w:r w:rsidRPr="00727023">
        <w:rPr>
          <w:rFonts w:ascii="Abadi" w:hAnsi="Abadi" w:cs="*Arial-7816-Identity-H"/>
          <w:color w:val="0C0C0F"/>
          <w:sz w:val="21"/>
          <w:szCs w:val="21"/>
        </w:rPr>
        <w:t>debida planeación a corto plazo, de la participación ciudadana en el reporte de</w:t>
      </w:r>
      <w:r>
        <w:rPr>
          <w:rFonts w:ascii="Abadi" w:hAnsi="Abadi" w:cs="*Arial-7816-Identity-H"/>
          <w:color w:val="0C0C0F"/>
          <w:sz w:val="21"/>
          <w:szCs w:val="21"/>
        </w:rPr>
        <w:t xml:space="preserve"> </w:t>
      </w:r>
      <w:r w:rsidRPr="00727023">
        <w:rPr>
          <w:rFonts w:ascii="Abadi" w:hAnsi="Abadi" w:cs="*Arial-7816-Identity-H"/>
          <w:color w:val="0C0C0F"/>
          <w:sz w:val="21"/>
          <w:szCs w:val="21"/>
        </w:rPr>
        <w:t>fallas del servicio, así como de los mecanismos de monitoreo y evaluación para el</w:t>
      </w:r>
      <w:r>
        <w:rPr>
          <w:rFonts w:ascii="Abadi" w:hAnsi="Abadi" w:cs="*Arial-7816-Identity-H"/>
          <w:color w:val="0C0C0F"/>
          <w:sz w:val="21"/>
          <w:szCs w:val="21"/>
        </w:rPr>
        <w:t xml:space="preserve"> </w:t>
      </w:r>
      <w:r w:rsidRPr="00727023">
        <w:rPr>
          <w:rFonts w:ascii="Abadi" w:hAnsi="Abadi" w:cs="*Arial-8192-Identity-H"/>
          <w:color w:val="0C0C0E"/>
          <w:sz w:val="21"/>
          <w:szCs w:val="21"/>
        </w:rPr>
        <w:t>logro de resultados. Lo anterior, con el objetivo de otorgar un servicio público</w:t>
      </w:r>
      <w:r>
        <w:rPr>
          <w:rFonts w:ascii="Abadi" w:hAnsi="Abadi" w:cs="*Arial-8192-Identity-H"/>
          <w:color w:val="0C0C0E"/>
          <w:sz w:val="21"/>
          <w:szCs w:val="21"/>
        </w:rPr>
        <w:t xml:space="preserve"> </w:t>
      </w:r>
      <w:r w:rsidRPr="00727023">
        <w:rPr>
          <w:rFonts w:ascii="Abadi" w:hAnsi="Abadi" w:cs="*Arial-8192-Identity-H"/>
          <w:color w:val="0C0C0E"/>
          <w:sz w:val="21"/>
          <w:szCs w:val="21"/>
        </w:rPr>
        <w:t>eficaz en el mantenimiento, cobertura y satisfacción del servicio.</w:t>
      </w:r>
    </w:p>
    <w:p w14:paraId="205221CF" w14:textId="77777777" w:rsidR="007A32BE" w:rsidRPr="00727023" w:rsidRDefault="007A32BE" w:rsidP="007A32BE">
      <w:pPr>
        <w:autoSpaceDE w:val="0"/>
        <w:autoSpaceDN w:val="0"/>
        <w:adjustRightInd w:val="0"/>
        <w:jc w:val="both"/>
        <w:rPr>
          <w:rFonts w:ascii="Abadi" w:hAnsi="Abadi" w:cs="*Arial-8192-Identity-H"/>
          <w:color w:val="0C0C0E"/>
          <w:sz w:val="21"/>
          <w:szCs w:val="21"/>
        </w:rPr>
      </w:pPr>
    </w:p>
    <w:p w14:paraId="09E7B2E8" w14:textId="4CBB9B98" w:rsidR="007A32BE" w:rsidRDefault="007A32BE" w:rsidP="007A32BE">
      <w:pPr>
        <w:autoSpaceDE w:val="0"/>
        <w:autoSpaceDN w:val="0"/>
        <w:adjustRightInd w:val="0"/>
        <w:ind w:firstLine="708"/>
        <w:jc w:val="both"/>
        <w:rPr>
          <w:rFonts w:ascii="Abadi" w:hAnsi="Abadi" w:cs="*Arial-8192-Identity-H"/>
          <w:color w:val="0C0B0E"/>
          <w:sz w:val="21"/>
          <w:szCs w:val="21"/>
        </w:rPr>
      </w:pPr>
      <w:r w:rsidRPr="00727023">
        <w:rPr>
          <w:rFonts w:ascii="Abadi" w:hAnsi="Abadi" w:cs="*Arial-8192-Identity-H"/>
          <w:color w:val="0C0B0E"/>
          <w:sz w:val="21"/>
          <w:szCs w:val="21"/>
        </w:rPr>
        <w:t>En este orden de ideas, en el Programa de Gobierno Municipal 2018-2021</w:t>
      </w:r>
      <w:r>
        <w:rPr>
          <w:rFonts w:ascii="Abadi" w:hAnsi="Abadi" w:cs="*Arial-8192-Identity-H"/>
          <w:color w:val="0C0B0E"/>
          <w:sz w:val="21"/>
          <w:szCs w:val="21"/>
        </w:rPr>
        <w:t xml:space="preserve"> </w:t>
      </w:r>
      <w:r w:rsidRPr="00727023">
        <w:rPr>
          <w:rFonts w:ascii="Abadi" w:hAnsi="Abadi" w:cs="*Arial-8192-Identity-H"/>
          <w:color w:val="0C0B0E"/>
          <w:sz w:val="21"/>
          <w:szCs w:val="21"/>
        </w:rPr>
        <w:t xml:space="preserve">del municipio de San Miguel de Allende, </w:t>
      </w:r>
      <w:proofErr w:type="spellStart"/>
      <w:r w:rsidRPr="00727023">
        <w:rPr>
          <w:rFonts w:ascii="Abadi" w:hAnsi="Abadi" w:cs="*Arial-8192-Identity-H"/>
          <w:color w:val="0C0B0E"/>
          <w:sz w:val="21"/>
          <w:szCs w:val="21"/>
        </w:rPr>
        <w:t>Gto</w:t>
      </w:r>
      <w:proofErr w:type="spellEnd"/>
      <w:r w:rsidRPr="00727023">
        <w:rPr>
          <w:rFonts w:ascii="Abadi" w:hAnsi="Abadi" w:cs="*Arial-8192-Identity-H"/>
          <w:color w:val="0C0B0E"/>
          <w:sz w:val="21"/>
          <w:szCs w:val="21"/>
        </w:rPr>
        <w:t>., se estableció como una prioridad el</w:t>
      </w:r>
      <w:r>
        <w:rPr>
          <w:rFonts w:ascii="Abadi" w:hAnsi="Abadi" w:cs="*Arial-8192-Identity-H"/>
          <w:color w:val="0C0B0E"/>
          <w:sz w:val="21"/>
          <w:szCs w:val="21"/>
        </w:rPr>
        <w:t xml:space="preserve"> </w:t>
      </w:r>
      <w:r w:rsidRPr="00727023">
        <w:rPr>
          <w:rFonts w:ascii="Abadi" w:hAnsi="Abadi" w:cs="*Arial-8192-Identity-H"/>
          <w:color w:val="0C0B0E"/>
          <w:sz w:val="21"/>
          <w:szCs w:val="21"/>
        </w:rPr>
        <w:t xml:space="preserve">tema del servicio de alumbrado público, toda vez que en el </w:t>
      </w:r>
      <w:r w:rsidRPr="00727023">
        <w:rPr>
          <w:rFonts w:ascii="Abadi" w:hAnsi="Abadi" w:cs="*Arial-Italic-8194-Identity-H"/>
          <w:i/>
          <w:iCs/>
          <w:color w:val="0C0B0E"/>
          <w:sz w:val="21"/>
          <w:szCs w:val="21"/>
        </w:rPr>
        <w:t>Eje 2 Desarrollo</w:t>
      </w:r>
      <w:r>
        <w:rPr>
          <w:rFonts w:ascii="Abadi" w:hAnsi="Abadi" w:cs="*Arial-Italic-8194-Identity-H"/>
          <w:i/>
          <w:iCs/>
          <w:color w:val="0C0B0E"/>
          <w:sz w:val="21"/>
          <w:szCs w:val="21"/>
        </w:rPr>
        <w:t xml:space="preserve"> </w:t>
      </w:r>
      <w:r w:rsidRPr="00727023">
        <w:rPr>
          <w:rFonts w:ascii="Abadi" w:hAnsi="Abadi" w:cs="*Arial-Italic-8194-Identity-H"/>
          <w:i/>
          <w:iCs/>
          <w:color w:val="0C0B0E"/>
          <w:sz w:val="21"/>
          <w:szCs w:val="21"/>
        </w:rPr>
        <w:t xml:space="preserve">Sostenible </w:t>
      </w:r>
      <w:r w:rsidRPr="00727023">
        <w:rPr>
          <w:rFonts w:ascii="Abadi" w:hAnsi="Abadi" w:cs="*Arial-8192-Identity-H"/>
          <w:color w:val="0C0B0E"/>
          <w:sz w:val="21"/>
          <w:szCs w:val="21"/>
        </w:rPr>
        <w:t xml:space="preserve">se estableció la </w:t>
      </w:r>
      <w:r w:rsidRPr="00727023">
        <w:rPr>
          <w:rFonts w:ascii="Abadi" w:hAnsi="Abadi" w:cs="*Arial-Italic-8194-Identity-H"/>
          <w:i/>
          <w:iCs/>
          <w:color w:val="0C0B0E"/>
          <w:sz w:val="21"/>
          <w:szCs w:val="21"/>
        </w:rPr>
        <w:t>Estrategia 2</w:t>
      </w:r>
      <w:r w:rsidR="0042658F">
        <w:rPr>
          <w:rFonts w:ascii="Abadi" w:hAnsi="Abadi" w:cs="*Arial-Italic-8194-Identity-H"/>
          <w:i/>
          <w:iCs/>
          <w:color w:val="0C0B0E"/>
          <w:sz w:val="21"/>
          <w:szCs w:val="21"/>
        </w:rPr>
        <w:t xml:space="preserve"> </w:t>
      </w:r>
      <w:r w:rsidRPr="00727023">
        <w:rPr>
          <w:rFonts w:ascii="Abadi" w:hAnsi="Abadi" w:cs="*Arial-Italic-8194-Identity-H"/>
          <w:i/>
          <w:iCs/>
          <w:color w:val="0C0B0E"/>
          <w:sz w:val="21"/>
          <w:szCs w:val="21"/>
        </w:rPr>
        <w:t>.9 Alumbrado Público: Eficiencia energética</w:t>
      </w:r>
      <w:r>
        <w:rPr>
          <w:rFonts w:ascii="Abadi" w:hAnsi="Abadi" w:cs="*Arial-Italic-8194-Identity-H"/>
          <w:i/>
          <w:iCs/>
          <w:color w:val="0C0B0E"/>
          <w:sz w:val="21"/>
          <w:szCs w:val="21"/>
        </w:rPr>
        <w:t xml:space="preserve"> </w:t>
      </w:r>
      <w:r w:rsidRPr="00727023">
        <w:rPr>
          <w:rFonts w:ascii="Abadi" w:hAnsi="Abadi" w:cs="*Arial-Italic-8194-Identity-H"/>
          <w:i/>
          <w:iCs/>
          <w:color w:val="0C0B0E"/>
          <w:sz w:val="21"/>
          <w:szCs w:val="21"/>
        </w:rPr>
        <w:t xml:space="preserve">en luminarias, </w:t>
      </w:r>
      <w:r w:rsidRPr="00727023">
        <w:rPr>
          <w:rFonts w:ascii="Abadi" w:hAnsi="Abadi" w:cs="*Arial-8192-Identity-H"/>
          <w:color w:val="0C0B0E"/>
          <w:sz w:val="21"/>
          <w:szCs w:val="21"/>
        </w:rPr>
        <w:t>estableciendo diversos programas, acciones y proyectos</w:t>
      </w:r>
      <w:r>
        <w:rPr>
          <w:rFonts w:ascii="Abadi" w:hAnsi="Abadi" w:cs="*Arial-8192-Identity-H"/>
          <w:color w:val="0C0B0E"/>
          <w:sz w:val="21"/>
          <w:szCs w:val="21"/>
        </w:rPr>
        <w:t xml:space="preserve"> </w:t>
      </w:r>
      <w:r w:rsidRPr="00727023">
        <w:rPr>
          <w:rFonts w:ascii="Abadi" w:hAnsi="Abadi" w:cs="*Arial-8192-Identity-H"/>
          <w:color w:val="0C0B0E"/>
          <w:sz w:val="21"/>
          <w:szCs w:val="21"/>
        </w:rPr>
        <w:t>consistentes en: 2.9.1 Instalación de más de 10,000 luminarias ahorradoras de</w:t>
      </w:r>
      <w:r>
        <w:rPr>
          <w:rFonts w:ascii="Abadi" w:hAnsi="Abadi" w:cs="*Arial-8192-Identity-H"/>
          <w:color w:val="0C0B0E"/>
          <w:sz w:val="21"/>
          <w:szCs w:val="21"/>
        </w:rPr>
        <w:t xml:space="preserve"> </w:t>
      </w:r>
      <w:r w:rsidRPr="00727023">
        <w:rPr>
          <w:rFonts w:ascii="Abadi" w:hAnsi="Abadi" w:cs="*Arial-8192-Identity-H"/>
          <w:color w:val="0C0B0E"/>
          <w:sz w:val="21"/>
          <w:szCs w:val="21"/>
        </w:rPr>
        <w:t>energía; 2.9.2 Programa de mantenimiento permanente del alumbrado público y</w:t>
      </w:r>
      <w:r>
        <w:rPr>
          <w:rFonts w:ascii="Abadi" w:hAnsi="Abadi" w:cs="*Arial-8192-Identity-H"/>
          <w:color w:val="0C0B0E"/>
          <w:sz w:val="21"/>
          <w:szCs w:val="21"/>
        </w:rPr>
        <w:t xml:space="preserve"> </w:t>
      </w:r>
      <w:r w:rsidRPr="00727023">
        <w:rPr>
          <w:rFonts w:ascii="Abadi" w:hAnsi="Abadi" w:cs="*Arial-8192-Identity-H"/>
          <w:color w:val="0C0B0E"/>
          <w:sz w:val="21"/>
          <w:szCs w:val="21"/>
        </w:rPr>
        <w:t>2.9.3 Programa de mejoramiento de la tecnología en el sistema de alumbrado</w:t>
      </w:r>
      <w:r>
        <w:rPr>
          <w:rFonts w:ascii="Abadi" w:hAnsi="Abadi" w:cs="*Arial-8192-Identity-H"/>
          <w:color w:val="0C0B0E"/>
          <w:sz w:val="21"/>
          <w:szCs w:val="21"/>
        </w:rPr>
        <w:t xml:space="preserve"> </w:t>
      </w:r>
      <w:r w:rsidRPr="00727023">
        <w:rPr>
          <w:rFonts w:ascii="Abadi" w:hAnsi="Abadi" w:cs="*Arial-8192-Identity-H"/>
          <w:color w:val="0C0B0E"/>
          <w:sz w:val="21"/>
          <w:szCs w:val="21"/>
        </w:rPr>
        <w:t>público.</w:t>
      </w:r>
    </w:p>
    <w:p w14:paraId="2AC89CC1" w14:textId="211BAFA4" w:rsidR="007A32BE" w:rsidRDefault="007A32BE" w:rsidP="007A32BE">
      <w:pPr>
        <w:autoSpaceDE w:val="0"/>
        <w:autoSpaceDN w:val="0"/>
        <w:adjustRightInd w:val="0"/>
        <w:ind w:firstLine="708"/>
        <w:jc w:val="both"/>
        <w:rPr>
          <w:rFonts w:ascii="Abadi" w:hAnsi="Abadi" w:cs="*Arial-Italic-8194-Identity-H"/>
          <w:i/>
          <w:iCs/>
          <w:color w:val="0B0B0D"/>
          <w:sz w:val="21"/>
          <w:szCs w:val="21"/>
        </w:rPr>
      </w:pPr>
      <w:r w:rsidRPr="00727023">
        <w:rPr>
          <w:rFonts w:ascii="Abadi" w:hAnsi="Abadi" w:cs="*Arial-8192-Identity-H"/>
          <w:color w:val="0B0B0D"/>
          <w:sz w:val="21"/>
          <w:szCs w:val="21"/>
        </w:rPr>
        <w:t>Es así, que el sujeto fiscalizado para contribuir a las metas y objetivos del</w:t>
      </w:r>
      <w:r>
        <w:rPr>
          <w:rFonts w:ascii="Abadi" w:hAnsi="Abadi" w:cs="*Arial-8192-Identity-H"/>
          <w:color w:val="0B0B0D"/>
          <w:sz w:val="21"/>
          <w:szCs w:val="21"/>
        </w:rPr>
        <w:t xml:space="preserve"> </w:t>
      </w:r>
      <w:r w:rsidRPr="00727023">
        <w:rPr>
          <w:rFonts w:ascii="Abadi" w:hAnsi="Abadi" w:cs="*Arial-8192-Identity-H"/>
          <w:color w:val="0B0B0D"/>
          <w:sz w:val="21"/>
          <w:szCs w:val="21"/>
        </w:rPr>
        <w:t>Programa de Gobierno Municipal 2018-2021 incluyó, para el ejercicio 2020, el</w:t>
      </w:r>
      <w:r>
        <w:rPr>
          <w:rFonts w:ascii="Abadi" w:hAnsi="Abadi" w:cs="*Arial-8192-Identity-H"/>
          <w:color w:val="0B0B0D"/>
          <w:sz w:val="21"/>
          <w:szCs w:val="21"/>
        </w:rPr>
        <w:t xml:space="preserve"> </w:t>
      </w:r>
      <w:r w:rsidR="005A6FA2" w:rsidRPr="00727023">
        <w:rPr>
          <w:rFonts w:ascii="Abadi" w:hAnsi="Abadi" w:cs="*Arial-8192-Identity-H"/>
          <w:color w:val="0B0B0D"/>
          <w:sz w:val="21"/>
          <w:szCs w:val="21"/>
        </w:rPr>
        <w:t>programa</w:t>
      </w:r>
      <w:r w:rsidRPr="00727023">
        <w:rPr>
          <w:rFonts w:ascii="Abadi" w:hAnsi="Abadi" w:cs="*Arial-8192-Identity-H"/>
          <w:color w:val="0B0B0D"/>
          <w:sz w:val="21"/>
          <w:szCs w:val="21"/>
        </w:rPr>
        <w:t xml:space="preserve"> presupuestario </w:t>
      </w:r>
      <w:r w:rsidRPr="00727023">
        <w:rPr>
          <w:rFonts w:ascii="Abadi" w:hAnsi="Abadi" w:cs="*Arial-Italic-8194-Identity-H"/>
          <w:i/>
          <w:iCs/>
          <w:color w:val="0B0B0D"/>
          <w:sz w:val="21"/>
          <w:szCs w:val="21"/>
        </w:rPr>
        <w:t>E0047 Rehabilitación Integral del Alumbrado Público.</w:t>
      </w:r>
      <w:r>
        <w:rPr>
          <w:rFonts w:ascii="Abadi" w:hAnsi="Abadi" w:cs="*Arial-Italic-8194-Identity-H"/>
          <w:i/>
          <w:iCs/>
          <w:color w:val="0B0B0D"/>
          <w:sz w:val="21"/>
          <w:szCs w:val="21"/>
        </w:rPr>
        <w:t xml:space="preserve"> </w:t>
      </w:r>
    </w:p>
    <w:p w14:paraId="6D325879" w14:textId="77777777" w:rsidR="007A32BE" w:rsidRPr="00727023" w:rsidRDefault="007A32BE" w:rsidP="007A32BE">
      <w:pPr>
        <w:autoSpaceDE w:val="0"/>
        <w:autoSpaceDN w:val="0"/>
        <w:adjustRightInd w:val="0"/>
        <w:jc w:val="both"/>
        <w:rPr>
          <w:rFonts w:ascii="Abadi" w:hAnsi="Abadi" w:cs="*Arial-Italic-8194-Identity-H"/>
          <w:i/>
          <w:iCs/>
          <w:color w:val="0B0B0D"/>
          <w:sz w:val="21"/>
          <w:szCs w:val="21"/>
        </w:rPr>
      </w:pPr>
    </w:p>
    <w:p w14:paraId="3F791B49" w14:textId="77777777" w:rsidR="007A32BE" w:rsidRDefault="007A32BE" w:rsidP="007A32BE">
      <w:pPr>
        <w:autoSpaceDE w:val="0"/>
        <w:autoSpaceDN w:val="0"/>
        <w:adjustRightInd w:val="0"/>
        <w:ind w:firstLine="708"/>
        <w:jc w:val="both"/>
        <w:rPr>
          <w:rFonts w:ascii="Abadi" w:hAnsi="Abadi" w:cs="*Arial-8192-Identity-H"/>
          <w:color w:val="0D0C0F"/>
          <w:sz w:val="21"/>
          <w:szCs w:val="21"/>
        </w:rPr>
      </w:pPr>
      <w:r w:rsidRPr="00727023">
        <w:rPr>
          <w:rFonts w:ascii="Abadi" w:hAnsi="Abadi" w:cs="*Arial-8192-Identity-H"/>
          <w:color w:val="0D0C0F"/>
          <w:sz w:val="21"/>
          <w:szCs w:val="21"/>
        </w:rPr>
        <w:t>En razón de lo anterior, se planteó como objetivo general de la auditoría</w:t>
      </w:r>
      <w:r>
        <w:rPr>
          <w:rFonts w:ascii="Abadi" w:hAnsi="Abadi" w:cs="*Arial-8192-Identity-H"/>
          <w:color w:val="0D0C0F"/>
          <w:sz w:val="21"/>
          <w:szCs w:val="21"/>
        </w:rPr>
        <w:t xml:space="preserve"> </w:t>
      </w:r>
      <w:r w:rsidRPr="00727023">
        <w:rPr>
          <w:rFonts w:ascii="Abadi" w:hAnsi="Abadi" w:cs="*Arial-8192-Identity-H"/>
          <w:color w:val="0D0C0F"/>
          <w:sz w:val="21"/>
          <w:szCs w:val="21"/>
        </w:rPr>
        <w:t>verificar la capacidad del Municipio para la prestación eficaz del servicio de</w:t>
      </w:r>
      <w:r>
        <w:rPr>
          <w:rFonts w:ascii="Abadi" w:hAnsi="Abadi" w:cs="*Arial-8192-Identity-H"/>
          <w:color w:val="0D0C0F"/>
          <w:sz w:val="21"/>
          <w:szCs w:val="21"/>
        </w:rPr>
        <w:t xml:space="preserve"> </w:t>
      </w:r>
      <w:r w:rsidRPr="00727023">
        <w:rPr>
          <w:rFonts w:ascii="Abadi" w:hAnsi="Abadi" w:cs="*Arial-8192-Identity-H"/>
          <w:color w:val="0D0C0F"/>
          <w:sz w:val="21"/>
          <w:szCs w:val="21"/>
        </w:rPr>
        <w:t xml:space="preserve">alumbrado público y la </w:t>
      </w:r>
      <w:r w:rsidRPr="00727023">
        <w:rPr>
          <w:rFonts w:ascii="Abadi" w:hAnsi="Abadi" w:cs="*Arial-8192-Identity-H"/>
          <w:color w:val="7C7C81"/>
          <w:sz w:val="21"/>
          <w:szCs w:val="21"/>
        </w:rPr>
        <w:t>•</w:t>
      </w:r>
      <w:r w:rsidRPr="00727023">
        <w:rPr>
          <w:rFonts w:ascii="Abadi" w:hAnsi="Abadi" w:cs="*Arial-8192-Identity-H"/>
          <w:color w:val="0D0C0F"/>
          <w:sz w:val="21"/>
          <w:szCs w:val="21"/>
        </w:rPr>
        <w:t>eficiencia en sus funciones de planificación, operación y</w:t>
      </w:r>
      <w:r>
        <w:rPr>
          <w:rFonts w:ascii="Abadi" w:hAnsi="Abadi" w:cs="*Arial-8192-Identity-H"/>
          <w:color w:val="0D0C0F"/>
          <w:sz w:val="21"/>
          <w:szCs w:val="21"/>
        </w:rPr>
        <w:t xml:space="preserve"> </w:t>
      </w:r>
      <w:r w:rsidRPr="00727023">
        <w:rPr>
          <w:rFonts w:ascii="Abadi" w:hAnsi="Abadi" w:cs="*Arial-8192-Identity-H"/>
          <w:color w:val="0D0C0F"/>
          <w:sz w:val="21"/>
          <w:szCs w:val="21"/>
        </w:rPr>
        <w:t>seguimiento en 2020.</w:t>
      </w:r>
    </w:p>
    <w:p w14:paraId="241886C7" w14:textId="77777777" w:rsidR="007A32BE" w:rsidRPr="00727023" w:rsidRDefault="007A32BE" w:rsidP="007A32BE">
      <w:pPr>
        <w:autoSpaceDE w:val="0"/>
        <w:autoSpaceDN w:val="0"/>
        <w:adjustRightInd w:val="0"/>
        <w:jc w:val="both"/>
        <w:rPr>
          <w:rFonts w:ascii="Abadi" w:hAnsi="Abadi" w:cs="*Arial-8192-Identity-H"/>
          <w:color w:val="0D0C0F"/>
          <w:sz w:val="21"/>
          <w:szCs w:val="21"/>
        </w:rPr>
      </w:pPr>
    </w:p>
    <w:p w14:paraId="5BF7502A" w14:textId="77777777" w:rsidR="007A32BE" w:rsidRDefault="007A32BE" w:rsidP="007A32BE">
      <w:pPr>
        <w:autoSpaceDE w:val="0"/>
        <w:autoSpaceDN w:val="0"/>
        <w:adjustRightInd w:val="0"/>
        <w:ind w:firstLine="708"/>
        <w:jc w:val="both"/>
        <w:rPr>
          <w:rFonts w:ascii="Abadi" w:hAnsi="Abadi" w:cs="*Arial-8192-Identity-H"/>
          <w:color w:val="0D0C0F"/>
          <w:sz w:val="21"/>
          <w:szCs w:val="21"/>
        </w:rPr>
      </w:pPr>
      <w:r w:rsidRPr="00727023">
        <w:rPr>
          <w:rFonts w:ascii="Abadi" w:hAnsi="Abadi" w:cs="*Arial-8192-Identity-H"/>
          <w:color w:val="0D0C0F"/>
          <w:sz w:val="21"/>
          <w:szCs w:val="21"/>
        </w:rPr>
        <w:t>En el apartado correspondiente a la unidad responsable de la materia por</w:t>
      </w:r>
      <w:r>
        <w:rPr>
          <w:rFonts w:ascii="Abadi" w:hAnsi="Abadi" w:cs="*Arial-8192-Identity-H"/>
          <w:color w:val="0D0C0F"/>
          <w:sz w:val="21"/>
          <w:szCs w:val="21"/>
        </w:rPr>
        <w:t xml:space="preserve"> </w:t>
      </w:r>
      <w:r w:rsidRPr="00727023">
        <w:rPr>
          <w:rFonts w:ascii="Abadi" w:hAnsi="Abadi" w:cs="*Arial-8192-Identity-H"/>
          <w:color w:val="0D0C0F"/>
          <w:sz w:val="21"/>
          <w:szCs w:val="21"/>
        </w:rPr>
        <w:t>auditar se refiere que el artículo 124 de la Ley Orgánica Municipal para el Estado</w:t>
      </w:r>
      <w:r>
        <w:rPr>
          <w:rFonts w:ascii="Abadi" w:hAnsi="Abadi" w:cs="*Arial-8192-Identity-H"/>
          <w:color w:val="0D0C0F"/>
          <w:sz w:val="21"/>
          <w:szCs w:val="21"/>
        </w:rPr>
        <w:t xml:space="preserve"> </w:t>
      </w:r>
      <w:r w:rsidRPr="00727023">
        <w:rPr>
          <w:rFonts w:ascii="Abadi" w:hAnsi="Abadi" w:cs="*Arial-8192-Identity-H"/>
          <w:color w:val="0D0C0F"/>
          <w:sz w:val="21"/>
          <w:szCs w:val="21"/>
        </w:rPr>
        <w:t>de Guanajuato prevé que la dependencia de Servicios Municipales será la</w:t>
      </w:r>
      <w:r>
        <w:rPr>
          <w:rFonts w:ascii="Abadi" w:hAnsi="Abadi" w:cs="*Arial-8192-Identity-H"/>
          <w:color w:val="0D0C0F"/>
          <w:sz w:val="21"/>
          <w:szCs w:val="21"/>
        </w:rPr>
        <w:t xml:space="preserve"> </w:t>
      </w:r>
      <w:r w:rsidRPr="00727023">
        <w:rPr>
          <w:rFonts w:ascii="Abadi" w:hAnsi="Abadi" w:cs="*Arial-8192-Identity-H"/>
          <w:color w:val="0D0C0F"/>
          <w:sz w:val="21"/>
          <w:szCs w:val="21"/>
        </w:rPr>
        <w:t>encargada de llevar a cabo la prestación del servicio de alumbrado público en el</w:t>
      </w:r>
      <w:r>
        <w:rPr>
          <w:rFonts w:ascii="Abadi" w:hAnsi="Abadi" w:cs="*Arial-8192-Identity-H"/>
          <w:color w:val="0D0C0F"/>
          <w:sz w:val="21"/>
          <w:szCs w:val="21"/>
        </w:rPr>
        <w:t xml:space="preserve"> </w:t>
      </w:r>
      <w:r w:rsidRPr="00727023">
        <w:rPr>
          <w:rFonts w:ascii="Abadi" w:hAnsi="Abadi" w:cs="*Arial-8192-Identity-H"/>
          <w:color w:val="0D0C0F"/>
          <w:sz w:val="21"/>
          <w:szCs w:val="21"/>
        </w:rPr>
        <w:t>Municipio. Asimismo, los artículos 83 y 83-3 de la citada ley establecen que, el</w:t>
      </w:r>
      <w:r>
        <w:rPr>
          <w:rFonts w:ascii="Abadi" w:hAnsi="Abadi" w:cs="*Arial-8192-Identity-H"/>
          <w:color w:val="0D0C0F"/>
          <w:sz w:val="21"/>
          <w:szCs w:val="21"/>
        </w:rPr>
        <w:t xml:space="preserve"> </w:t>
      </w:r>
      <w:r w:rsidRPr="00727023">
        <w:rPr>
          <w:rFonts w:ascii="Abadi" w:hAnsi="Abadi" w:cs="*Arial-8192-Identity-H"/>
          <w:color w:val="0D0C0F"/>
          <w:sz w:val="21"/>
          <w:szCs w:val="21"/>
        </w:rPr>
        <w:t>Ayuntamiento contará con una Comisión de Obra y Servicios Públicos, la que</w:t>
      </w:r>
      <w:r>
        <w:rPr>
          <w:rFonts w:ascii="Abadi" w:hAnsi="Abadi" w:cs="*Arial-8192-Identity-H"/>
          <w:color w:val="0D0C0F"/>
          <w:sz w:val="21"/>
          <w:szCs w:val="21"/>
        </w:rPr>
        <w:t xml:space="preserve"> </w:t>
      </w:r>
      <w:r w:rsidRPr="00727023">
        <w:rPr>
          <w:rFonts w:ascii="Abadi" w:hAnsi="Abadi" w:cs="*Arial-8192-Identity-H"/>
          <w:color w:val="0D0C0F"/>
          <w:sz w:val="21"/>
          <w:szCs w:val="21"/>
        </w:rPr>
        <w:t>tendrá dentro de sus atribuciones la de promover la prestación puntual, oportuna y</w:t>
      </w:r>
      <w:r>
        <w:rPr>
          <w:rFonts w:ascii="Abadi" w:hAnsi="Abadi" w:cs="*Arial-8192-Identity-H"/>
          <w:color w:val="0D0C0F"/>
          <w:sz w:val="21"/>
          <w:szCs w:val="21"/>
        </w:rPr>
        <w:t xml:space="preserve"> </w:t>
      </w:r>
      <w:r w:rsidRPr="00727023">
        <w:rPr>
          <w:rFonts w:ascii="Abadi" w:hAnsi="Abadi" w:cs="*Arial-8192-Identity-H"/>
          <w:color w:val="0D0C0F"/>
          <w:sz w:val="21"/>
          <w:szCs w:val="21"/>
        </w:rPr>
        <w:t>eficiente de los servicios públicos municipales, de conformidad con las</w:t>
      </w:r>
      <w:r>
        <w:rPr>
          <w:rFonts w:ascii="Abadi" w:hAnsi="Abadi" w:cs="*Arial-8192-Identity-H"/>
          <w:color w:val="0D0C0F"/>
          <w:sz w:val="21"/>
          <w:szCs w:val="21"/>
        </w:rPr>
        <w:t xml:space="preserve"> </w:t>
      </w:r>
      <w:r w:rsidRPr="00727023">
        <w:rPr>
          <w:rFonts w:ascii="Abadi" w:hAnsi="Abadi" w:cs="*Arial-8192-Identity-H"/>
          <w:color w:val="0D0C0F"/>
          <w:sz w:val="21"/>
          <w:szCs w:val="21"/>
        </w:rPr>
        <w:t>disposiciones aplicables.</w:t>
      </w:r>
    </w:p>
    <w:p w14:paraId="39CB4D39" w14:textId="77777777" w:rsidR="007A32BE" w:rsidRPr="00727023" w:rsidRDefault="007A32BE" w:rsidP="007A32BE">
      <w:pPr>
        <w:autoSpaceDE w:val="0"/>
        <w:autoSpaceDN w:val="0"/>
        <w:adjustRightInd w:val="0"/>
        <w:jc w:val="both"/>
        <w:rPr>
          <w:rFonts w:ascii="Abadi" w:hAnsi="Abadi" w:cs="*Arial-8192-Identity-H"/>
          <w:color w:val="0D0C0F"/>
          <w:sz w:val="21"/>
          <w:szCs w:val="21"/>
        </w:rPr>
      </w:pPr>
    </w:p>
    <w:p w14:paraId="475E681C" w14:textId="77777777" w:rsidR="007A32BE" w:rsidRDefault="007A32BE" w:rsidP="007A32BE">
      <w:pPr>
        <w:autoSpaceDE w:val="0"/>
        <w:autoSpaceDN w:val="0"/>
        <w:adjustRightInd w:val="0"/>
        <w:ind w:firstLine="708"/>
        <w:jc w:val="both"/>
        <w:rPr>
          <w:rFonts w:ascii="Abadi" w:hAnsi="Abadi" w:cs="*Arial-8192-Identity-H"/>
          <w:color w:val="0C0C0F"/>
          <w:sz w:val="21"/>
          <w:szCs w:val="21"/>
        </w:rPr>
      </w:pPr>
      <w:r w:rsidRPr="00727023">
        <w:rPr>
          <w:rFonts w:ascii="Abadi" w:hAnsi="Abadi" w:cs="*Arial-8192-Identity-H"/>
          <w:color w:val="0C0C0F"/>
          <w:sz w:val="21"/>
          <w:szCs w:val="21"/>
        </w:rPr>
        <w:t>En virtud de lo anterior, para el ejercicio 2020, la unidad responsable de</w:t>
      </w:r>
      <w:r>
        <w:rPr>
          <w:rFonts w:ascii="Abadi" w:hAnsi="Abadi" w:cs="*Arial-8192-Identity-H"/>
          <w:color w:val="0C0C0F"/>
          <w:sz w:val="21"/>
          <w:szCs w:val="21"/>
        </w:rPr>
        <w:t xml:space="preserve"> </w:t>
      </w:r>
      <w:r w:rsidRPr="00727023">
        <w:rPr>
          <w:rFonts w:ascii="Abadi" w:hAnsi="Abadi" w:cs="*Arial-8192-Identity-H"/>
          <w:color w:val="0C0C0F"/>
          <w:sz w:val="21"/>
          <w:szCs w:val="21"/>
        </w:rPr>
        <w:t>prestar el servicio de alumbrado público en el municipio de San Miguel de Allende,</w:t>
      </w:r>
      <w:r>
        <w:rPr>
          <w:rFonts w:ascii="Abadi" w:hAnsi="Abadi" w:cs="*Arial-8192-Identity-H"/>
          <w:color w:val="0C0C0F"/>
          <w:sz w:val="21"/>
          <w:szCs w:val="21"/>
        </w:rPr>
        <w:t xml:space="preserve"> </w:t>
      </w:r>
      <w:proofErr w:type="spellStart"/>
      <w:r w:rsidRPr="00727023">
        <w:rPr>
          <w:rFonts w:ascii="Abadi" w:hAnsi="Abadi" w:cs="*Arial-8192-Identity-H"/>
          <w:color w:val="0C0C0F"/>
          <w:sz w:val="21"/>
          <w:szCs w:val="21"/>
        </w:rPr>
        <w:t>Gto</w:t>
      </w:r>
      <w:proofErr w:type="spellEnd"/>
      <w:r w:rsidRPr="00727023">
        <w:rPr>
          <w:rFonts w:ascii="Abadi" w:hAnsi="Abadi" w:cs="*Arial-8192-Identity-H"/>
          <w:color w:val="0C0C0F"/>
          <w:sz w:val="21"/>
          <w:szCs w:val="21"/>
        </w:rPr>
        <w:t>., fue la Dirección de Servicios Públicos y Calidad de Vida.</w:t>
      </w:r>
    </w:p>
    <w:p w14:paraId="0BCCE34D" w14:textId="77777777" w:rsidR="007A32BE" w:rsidRPr="00727023" w:rsidRDefault="007A32BE" w:rsidP="007A32BE">
      <w:pPr>
        <w:autoSpaceDE w:val="0"/>
        <w:autoSpaceDN w:val="0"/>
        <w:adjustRightInd w:val="0"/>
        <w:jc w:val="both"/>
        <w:rPr>
          <w:rFonts w:ascii="Abadi" w:hAnsi="Abadi" w:cs="*Arial-8192-Identity-H"/>
          <w:color w:val="0C0C0F"/>
          <w:sz w:val="21"/>
          <w:szCs w:val="21"/>
        </w:rPr>
      </w:pPr>
    </w:p>
    <w:p w14:paraId="4E38AE61" w14:textId="77777777" w:rsidR="007A32BE" w:rsidRPr="00727023" w:rsidRDefault="007A32BE" w:rsidP="007A32BE">
      <w:pPr>
        <w:autoSpaceDE w:val="0"/>
        <w:autoSpaceDN w:val="0"/>
        <w:adjustRightInd w:val="0"/>
        <w:ind w:firstLine="708"/>
        <w:jc w:val="both"/>
        <w:rPr>
          <w:rFonts w:ascii="Abadi" w:hAnsi="Abadi" w:cs="*Arial-Bold-8193-Identity-H"/>
          <w:b/>
          <w:bCs/>
          <w:color w:val="0D0C12"/>
          <w:sz w:val="21"/>
          <w:szCs w:val="21"/>
        </w:rPr>
      </w:pPr>
      <w:r w:rsidRPr="00727023">
        <w:rPr>
          <w:rFonts w:ascii="Abadi" w:hAnsi="Abadi" w:cs="*Arial-Bold-8193-Identity-H"/>
          <w:b/>
          <w:bCs/>
          <w:color w:val="0D0C12"/>
          <w:sz w:val="21"/>
          <w:szCs w:val="21"/>
        </w:rPr>
        <w:t>b) Resultado del proceso de fiscalización.</w:t>
      </w:r>
    </w:p>
    <w:p w14:paraId="6F869BEC" w14:textId="77777777" w:rsidR="007A32BE" w:rsidRDefault="007A32BE" w:rsidP="007A32BE">
      <w:pPr>
        <w:autoSpaceDE w:val="0"/>
        <w:autoSpaceDN w:val="0"/>
        <w:adjustRightInd w:val="0"/>
        <w:ind w:firstLine="708"/>
        <w:jc w:val="both"/>
        <w:rPr>
          <w:rFonts w:ascii="Abadi" w:hAnsi="Abadi" w:cs="*Arial-8192-Identity-H"/>
          <w:color w:val="0C0C0F"/>
          <w:sz w:val="21"/>
          <w:szCs w:val="21"/>
        </w:rPr>
      </w:pPr>
    </w:p>
    <w:p w14:paraId="1A18A107" w14:textId="77777777" w:rsidR="007A32BE" w:rsidRDefault="007A32BE" w:rsidP="007A32BE">
      <w:pPr>
        <w:autoSpaceDE w:val="0"/>
        <w:autoSpaceDN w:val="0"/>
        <w:adjustRightInd w:val="0"/>
        <w:ind w:firstLine="708"/>
        <w:jc w:val="both"/>
        <w:rPr>
          <w:rFonts w:ascii="Abadi" w:hAnsi="Abadi" w:cs="*Arial-8192-Identity-H"/>
          <w:color w:val="0C0C0F"/>
          <w:sz w:val="21"/>
          <w:szCs w:val="21"/>
        </w:rPr>
      </w:pPr>
    </w:p>
    <w:p w14:paraId="3DE6396C" w14:textId="77777777" w:rsidR="007A32BE" w:rsidRPr="00727023" w:rsidRDefault="007A32BE" w:rsidP="007A32BE">
      <w:pPr>
        <w:autoSpaceDE w:val="0"/>
        <w:autoSpaceDN w:val="0"/>
        <w:adjustRightInd w:val="0"/>
        <w:ind w:firstLine="708"/>
        <w:jc w:val="both"/>
        <w:rPr>
          <w:rFonts w:ascii="Abadi" w:hAnsi="Abadi" w:cs="*Arial-8192-Identity-H"/>
          <w:color w:val="0C0C0F"/>
          <w:sz w:val="21"/>
          <w:szCs w:val="21"/>
        </w:rPr>
      </w:pPr>
      <w:r w:rsidRPr="00727023">
        <w:rPr>
          <w:rFonts w:ascii="Abadi" w:hAnsi="Abadi" w:cs="*Arial-8192-Identity-H"/>
          <w:color w:val="0C0C0F"/>
          <w:sz w:val="21"/>
          <w:szCs w:val="21"/>
        </w:rPr>
        <w:t>En esta parte se señala que los objetivos específicos se desarrollaron en la</w:t>
      </w:r>
      <w:r>
        <w:rPr>
          <w:rFonts w:ascii="Abadi" w:hAnsi="Abadi" w:cs="*Arial-8192-Identity-H"/>
          <w:color w:val="0C0C0F"/>
          <w:sz w:val="21"/>
          <w:szCs w:val="21"/>
        </w:rPr>
        <w:t xml:space="preserve"> </w:t>
      </w:r>
      <w:r w:rsidRPr="00727023">
        <w:rPr>
          <w:rFonts w:ascii="Abadi" w:hAnsi="Abadi" w:cs="*Arial-8192-Identity-H"/>
          <w:color w:val="0C0C0F"/>
          <w:sz w:val="21"/>
          <w:szCs w:val="21"/>
        </w:rPr>
        <w:t>auditoria en siete procedimientos, con los siguientes resultados:</w:t>
      </w:r>
    </w:p>
    <w:p w14:paraId="4435C0B2" w14:textId="77777777" w:rsidR="007A32BE" w:rsidRDefault="007A32BE" w:rsidP="007A32BE">
      <w:pPr>
        <w:autoSpaceDE w:val="0"/>
        <w:autoSpaceDN w:val="0"/>
        <w:adjustRightInd w:val="0"/>
        <w:jc w:val="both"/>
        <w:rPr>
          <w:rFonts w:ascii="Abadi" w:hAnsi="Abadi" w:cs="*Arial-Bold-5228-Identity-H"/>
          <w:b/>
          <w:bCs/>
          <w:color w:val="0D0B10"/>
          <w:sz w:val="21"/>
          <w:szCs w:val="21"/>
        </w:rPr>
      </w:pPr>
    </w:p>
    <w:p w14:paraId="5D2E4C0C" w14:textId="77777777" w:rsidR="007A32BE" w:rsidRDefault="007A32BE" w:rsidP="007A32BE">
      <w:pPr>
        <w:autoSpaceDE w:val="0"/>
        <w:autoSpaceDN w:val="0"/>
        <w:adjustRightInd w:val="0"/>
        <w:jc w:val="both"/>
        <w:rPr>
          <w:rFonts w:ascii="Abadi" w:hAnsi="Abadi" w:cs="*Arial-Bold-5228-Identity-H"/>
          <w:b/>
          <w:bCs/>
          <w:color w:val="0D0B10"/>
          <w:sz w:val="21"/>
          <w:szCs w:val="21"/>
        </w:rPr>
      </w:pPr>
      <w:r w:rsidRPr="00727023">
        <w:rPr>
          <w:rFonts w:ascii="Abadi" w:hAnsi="Abadi" w:cs="*Arial-Bold-5228-Identity-H"/>
          <w:b/>
          <w:bCs/>
          <w:color w:val="0D0B10"/>
          <w:sz w:val="21"/>
          <w:szCs w:val="21"/>
        </w:rPr>
        <w:t>Eficiencia:</w:t>
      </w:r>
    </w:p>
    <w:p w14:paraId="54284AF7" w14:textId="77777777" w:rsidR="007A32BE" w:rsidRPr="00727023" w:rsidRDefault="007A32BE" w:rsidP="007A32BE">
      <w:pPr>
        <w:autoSpaceDE w:val="0"/>
        <w:autoSpaceDN w:val="0"/>
        <w:adjustRightInd w:val="0"/>
        <w:jc w:val="both"/>
        <w:rPr>
          <w:rFonts w:ascii="Abadi" w:hAnsi="Abadi" w:cs="*Arial-Bold-5228-Identity-H"/>
          <w:b/>
          <w:bCs/>
          <w:color w:val="0D0B10"/>
          <w:sz w:val="21"/>
          <w:szCs w:val="21"/>
        </w:rPr>
      </w:pPr>
    </w:p>
    <w:p w14:paraId="28D0C112" w14:textId="77777777" w:rsidR="007A32BE" w:rsidRPr="004B3D84" w:rsidRDefault="007A32BE" w:rsidP="007A32BE">
      <w:pPr>
        <w:pStyle w:val="Prrafodelista"/>
        <w:numPr>
          <w:ilvl w:val="0"/>
          <w:numId w:val="69"/>
        </w:numPr>
        <w:autoSpaceDE w:val="0"/>
        <w:autoSpaceDN w:val="0"/>
        <w:adjustRightInd w:val="0"/>
        <w:contextualSpacing/>
        <w:jc w:val="both"/>
        <w:rPr>
          <w:rFonts w:ascii="Abadi" w:hAnsi="Abadi" w:cs="*Arial-5227-Identity-H"/>
          <w:color w:val="0C0B0E"/>
          <w:sz w:val="21"/>
          <w:szCs w:val="21"/>
        </w:rPr>
      </w:pPr>
      <w:r w:rsidRPr="004B3D84">
        <w:rPr>
          <w:rFonts w:ascii="Abadi" w:hAnsi="Abadi" w:cs="*Arial-5227-Identity-H"/>
          <w:color w:val="0C0B0E"/>
          <w:sz w:val="21"/>
          <w:szCs w:val="21"/>
        </w:rPr>
        <w:t>Oferta del servicio de alumbrado público.</w:t>
      </w:r>
    </w:p>
    <w:p w14:paraId="6B8B931F" w14:textId="77777777" w:rsidR="007A32BE" w:rsidRPr="004B3D84" w:rsidRDefault="007A32BE" w:rsidP="007A32BE">
      <w:pPr>
        <w:pStyle w:val="Prrafodelista"/>
        <w:numPr>
          <w:ilvl w:val="0"/>
          <w:numId w:val="69"/>
        </w:numPr>
        <w:autoSpaceDE w:val="0"/>
        <w:autoSpaceDN w:val="0"/>
        <w:adjustRightInd w:val="0"/>
        <w:contextualSpacing/>
        <w:jc w:val="both"/>
        <w:rPr>
          <w:rFonts w:ascii="Abadi" w:hAnsi="Abadi" w:cs="*Arial-5227-Identity-H"/>
          <w:color w:val="0D0D0F"/>
          <w:sz w:val="21"/>
          <w:szCs w:val="21"/>
        </w:rPr>
      </w:pPr>
      <w:r w:rsidRPr="004B3D84">
        <w:rPr>
          <w:rFonts w:ascii="Abadi" w:hAnsi="Abadi" w:cs="*Arial-5227-Identity-H"/>
          <w:color w:val="0D0D0F"/>
          <w:sz w:val="21"/>
          <w:szCs w:val="21"/>
        </w:rPr>
        <w:t>Presupuestación del servicio.</w:t>
      </w:r>
    </w:p>
    <w:p w14:paraId="64980651" w14:textId="77777777" w:rsidR="007A32BE" w:rsidRPr="004B3D84" w:rsidRDefault="007A32BE" w:rsidP="007A32BE">
      <w:pPr>
        <w:pStyle w:val="Prrafodelista"/>
        <w:numPr>
          <w:ilvl w:val="0"/>
          <w:numId w:val="69"/>
        </w:numPr>
        <w:autoSpaceDE w:val="0"/>
        <w:autoSpaceDN w:val="0"/>
        <w:adjustRightInd w:val="0"/>
        <w:contextualSpacing/>
        <w:jc w:val="both"/>
        <w:rPr>
          <w:rFonts w:ascii="Abadi" w:hAnsi="Abadi" w:cs="*Arial-5227-Identity-H"/>
          <w:color w:val="0B0B0D"/>
          <w:sz w:val="21"/>
          <w:szCs w:val="21"/>
        </w:rPr>
      </w:pPr>
      <w:r w:rsidRPr="004B3D84">
        <w:rPr>
          <w:rFonts w:ascii="Abadi" w:hAnsi="Abadi" w:cs="*Arial-5227-Identity-H"/>
          <w:color w:val="0B0B0D"/>
          <w:sz w:val="21"/>
          <w:szCs w:val="21"/>
        </w:rPr>
        <w:t>Marco normativo para la prestación del servicio.</w:t>
      </w:r>
    </w:p>
    <w:p w14:paraId="37374D95" w14:textId="77777777" w:rsidR="007A32BE" w:rsidRPr="004B3D84" w:rsidRDefault="007A32BE" w:rsidP="007A32BE">
      <w:pPr>
        <w:pStyle w:val="Prrafodelista"/>
        <w:numPr>
          <w:ilvl w:val="0"/>
          <w:numId w:val="69"/>
        </w:numPr>
        <w:autoSpaceDE w:val="0"/>
        <w:autoSpaceDN w:val="0"/>
        <w:adjustRightInd w:val="0"/>
        <w:contextualSpacing/>
        <w:jc w:val="both"/>
        <w:rPr>
          <w:rFonts w:ascii="Abadi" w:hAnsi="Abadi" w:cs="*Arial-5227-Identity-H"/>
          <w:color w:val="0D0C0F"/>
          <w:sz w:val="21"/>
          <w:szCs w:val="21"/>
        </w:rPr>
      </w:pPr>
      <w:r w:rsidRPr="004B3D84">
        <w:rPr>
          <w:rFonts w:ascii="Abadi" w:hAnsi="Abadi" w:cs="*Arial-5227-Identity-H"/>
          <w:color w:val="0D0C0F"/>
          <w:sz w:val="21"/>
          <w:szCs w:val="21"/>
        </w:rPr>
        <w:t>Planeación del servicio de alumbrado público en el corto plazo.</w:t>
      </w:r>
    </w:p>
    <w:p w14:paraId="5FA82624" w14:textId="77777777" w:rsidR="007A32BE" w:rsidRPr="004B3D84" w:rsidRDefault="007A32BE" w:rsidP="007A32BE">
      <w:pPr>
        <w:pStyle w:val="Prrafodelista"/>
        <w:numPr>
          <w:ilvl w:val="0"/>
          <w:numId w:val="69"/>
        </w:numPr>
        <w:autoSpaceDE w:val="0"/>
        <w:autoSpaceDN w:val="0"/>
        <w:adjustRightInd w:val="0"/>
        <w:contextualSpacing/>
        <w:jc w:val="both"/>
        <w:rPr>
          <w:rFonts w:ascii="Abadi" w:hAnsi="Abadi" w:cs="*Arial-5227-Identity-H"/>
          <w:color w:val="0C0B0E"/>
          <w:sz w:val="21"/>
          <w:szCs w:val="21"/>
        </w:rPr>
      </w:pPr>
      <w:r w:rsidRPr="004B3D84">
        <w:rPr>
          <w:rFonts w:ascii="Abadi" w:hAnsi="Abadi" w:cs="*Arial-5227-Identity-H"/>
          <w:color w:val="0C0B0E"/>
          <w:sz w:val="21"/>
          <w:szCs w:val="21"/>
        </w:rPr>
        <w:t>Participación ciudadana en el reporte de fallas del servicio.</w:t>
      </w:r>
    </w:p>
    <w:p w14:paraId="50CC2B30" w14:textId="77777777" w:rsidR="007A32BE" w:rsidRDefault="007A32BE" w:rsidP="007A32BE">
      <w:pPr>
        <w:autoSpaceDE w:val="0"/>
        <w:autoSpaceDN w:val="0"/>
        <w:adjustRightInd w:val="0"/>
        <w:jc w:val="both"/>
        <w:rPr>
          <w:rFonts w:ascii="Abadi" w:hAnsi="Abadi" w:cs="*Arial-Bold-5228-Identity-H"/>
          <w:b/>
          <w:bCs/>
          <w:color w:val="0F0E14"/>
          <w:sz w:val="21"/>
          <w:szCs w:val="21"/>
        </w:rPr>
      </w:pPr>
    </w:p>
    <w:p w14:paraId="43A1B0CC" w14:textId="77777777" w:rsidR="007A32BE" w:rsidRPr="004B3D84" w:rsidRDefault="007A32BE" w:rsidP="007A32BE">
      <w:pPr>
        <w:autoSpaceDE w:val="0"/>
        <w:autoSpaceDN w:val="0"/>
        <w:adjustRightInd w:val="0"/>
        <w:jc w:val="both"/>
        <w:rPr>
          <w:rFonts w:ascii="Abadi" w:hAnsi="Abadi" w:cs="*Arial-Bold-5228-Identity-H"/>
          <w:b/>
          <w:bCs/>
          <w:color w:val="0F0E14"/>
          <w:sz w:val="21"/>
          <w:szCs w:val="21"/>
        </w:rPr>
      </w:pPr>
      <w:r w:rsidRPr="004B3D84">
        <w:rPr>
          <w:rFonts w:ascii="Abadi" w:hAnsi="Abadi" w:cs="*Arial-Bold-5228-Identity-H"/>
          <w:b/>
          <w:bCs/>
          <w:color w:val="0F0E14"/>
          <w:sz w:val="21"/>
          <w:szCs w:val="21"/>
        </w:rPr>
        <w:t>Eficacia:</w:t>
      </w:r>
    </w:p>
    <w:p w14:paraId="2D084C37" w14:textId="77777777" w:rsidR="007A32BE" w:rsidRPr="004B3D84" w:rsidRDefault="007A32BE" w:rsidP="007A32BE">
      <w:pPr>
        <w:pStyle w:val="Prrafodelista"/>
        <w:numPr>
          <w:ilvl w:val="0"/>
          <w:numId w:val="69"/>
        </w:numPr>
        <w:autoSpaceDE w:val="0"/>
        <w:autoSpaceDN w:val="0"/>
        <w:adjustRightInd w:val="0"/>
        <w:contextualSpacing/>
        <w:jc w:val="both"/>
        <w:rPr>
          <w:rFonts w:ascii="Abadi" w:hAnsi="Abadi" w:cs="*Arial-5227-Identity-H"/>
          <w:color w:val="0A090C"/>
          <w:sz w:val="21"/>
          <w:szCs w:val="21"/>
        </w:rPr>
      </w:pPr>
      <w:r w:rsidRPr="004B3D84">
        <w:rPr>
          <w:rFonts w:ascii="Abadi" w:hAnsi="Abadi" w:cs="*Arial-5227-Identity-H"/>
          <w:color w:val="0A090C"/>
          <w:sz w:val="21"/>
          <w:szCs w:val="21"/>
        </w:rPr>
        <w:t>Eficacia del servicio de alumbrado público.</w:t>
      </w:r>
    </w:p>
    <w:p w14:paraId="3260A61C" w14:textId="77777777" w:rsidR="007A32BE" w:rsidRDefault="007A32BE" w:rsidP="007A32BE">
      <w:pPr>
        <w:pStyle w:val="Prrafodelista"/>
        <w:numPr>
          <w:ilvl w:val="0"/>
          <w:numId w:val="69"/>
        </w:numPr>
        <w:autoSpaceDE w:val="0"/>
        <w:autoSpaceDN w:val="0"/>
        <w:adjustRightInd w:val="0"/>
        <w:contextualSpacing/>
        <w:jc w:val="both"/>
        <w:rPr>
          <w:rFonts w:ascii="Abadi" w:hAnsi="Abadi" w:cs="*Arial-5227-Identity-H"/>
          <w:color w:val="0D0D10"/>
          <w:sz w:val="21"/>
          <w:szCs w:val="21"/>
        </w:rPr>
      </w:pPr>
      <w:r w:rsidRPr="004B3D84">
        <w:rPr>
          <w:rFonts w:ascii="Abadi" w:hAnsi="Abadi" w:cs="*Arial-5227-Identity-H"/>
          <w:color w:val="0D0D10"/>
          <w:sz w:val="21"/>
          <w:szCs w:val="21"/>
        </w:rPr>
        <w:t>Monitoreo y evaluación de resultados.</w:t>
      </w:r>
    </w:p>
    <w:p w14:paraId="40D148A1" w14:textId="77777777" w:rsidR="007A32BE" w:rsidRDefault="007A32BE" w:rsidP="007A32BE">
      <w:pPr>
        <w:pStyle w:val="Prrafodelista"/>
        <w:autoSpaceDE w:val="0"/>
        <w:autoSpaceDN w:val="0"/>
        <w:adjustRightInd w:val="0"/>
        <w:jc w:val="both"/>
        <w:rPr>
          <w:rFonts w:ascii="Abadi" w:hAnsi="Abadi" w:cs="*Arial-5227-Identity-H"/>
          <w:color w:val="0D0D10"/>
          <w:sz w:val="21"/>
          <w:szCs w:val="21"/>
        </w:rPr>
      </w:pPr>
    </w:p>
    <w:p w14:paraId="37DC14C4" w14:textId="77777777" w:rsidR="007A32BE" w:rsidRPr="004B3D84" w:rsidRDefault="007A32BE" w:rsidP="007A32BE">
      <w:pPr>
        <w:pStyle w:val="Prrafodelista"/>
        <w:autoSpaceDE w:val="0"/>
        <w:autoSpaceDN w:val="0"/>
        <w:adjustRightInd w:val="0"/>
        <w:jc w:val="both"/>
        <w:rPr>
          <w:rFonts w:ascii="Abadi" w:hAnsi="Abadi" w:cs="*Arial-5227-Identity-H"/>
          <w:color w:val="0D0D10"/>
          <w:sz w:val="21"/>
          <w:szCs w:val="21"/>
        </w:rPr>
      </w:pPr>
    </w:p>
    <w:p w14:paraId="11157999" w14:textId="77777777" w:rsidR="007A32BE" w:rsidRDefault="007A32BE" w:rsidP="007A32BE">
      <w:pPr>
        <w:autoSpaceDE w:val="0"/>
        <w:autoSpaceDN w:val="0"/>
        <w:adjustRightInd w:val="0"/>
        <w:ind w:firstLine="360"/>
        <w:jc w:val="both"/>
        <w:rPr>
          <w:rFonts w:ascii="Abadi" w:hAnsi="Abadi" w:cs="*Arial-5227-Identity-H"/>
          <w:color w:val="0E0D10"/>
          <w:sz w:val="21"/>
          <w:szCs w:val="21"/>
        </w:rPr>
      </w:pPr>
      <w:r w:rsidRPr="00727023">
        <w:rPr>
          <w:rFonts w:ascii="Abadi" w:hAnsi="Abadi" w:cs="*Arial-5227-Identity-H"/>
          <w:color w:val="0E0D10"/>
          <w:sz w:val="21"/>
          <w:szCs w:val="21"/>
        </w:rPr>
        <w:t>Es así, que se presentan los resultados de la auditoría realizada,</w:t>
      </w:r>
      <w:r>
        <w:rPr>
          <w:rFonts w:ascii="Abadi" w:hAnsi="Abadi" w:cs="*Arial-5227-Identity-H"/>
          <w:color w:val="0E0D10"/>
          <w:sz w:val="21"/>
          <w:szCs w:val="21"/>
        </w:rPr>
        <w:t xml:space="preserve"> </w:t>
      </w:r>
      <w:r w:rsidRPr="00727023">
        <w:rPr>
          <w:rFonts w:ascii="Abadi" w:hAnsi="Abadi" w:cs="*Arial-5227-Identity-H"/>
          <w:color w:val="0E0D10"/>
          <w:sz w:val="21"/>
          <w:szCs w:val="21"/>
        </w:rPr>
        <w:t>estableciendo las recomendaciones formuladas al sujeto fiscalizado, plasmando</w:t>
      </w:r>
      <w:r>
        <w:rPr>
          <w:rFonts w:ascii="Abadi" w:hAnsi="Abadi" w:cs="*Arial-5227-Identity-H"/>
          <w:color w:val="0E0D10"/>
          <w:sz w:val="21"/>
          <w:szCs w:val="21"/>
        </w:rPr>
        <w:t xml:space="preserve"> </w:t>
      </w:r>
      <w:r w:rsidRPr="00727023">
        <w:rPr>
          <w:rFonts w:ascii="Abadi" w:hAnsi="Abadi" w:cs="*Arial-5227-Identity-H"/>
          <w:color w:val="0E0D10"/>
          <w:sz w:val="21"/>
          <w:szCs w:val="21"/>
        </w:rPr>
        <w:t>en cada una las acciones preventivas y correctivas que se deben llevar a cabo</w:t>
      </w:r>
      <w:r>
        <w:rPr>
          <w:rFonts w:ascii="Abadi" w:hAnsi="Abadi" w:cs="*Arial-5227-Identity-H"/>
          <w:color w:val="0E0D10"/>
          <w:sz w:val="21"/>
          <w:szCs w:val="21"/>
        </w:rPr>
        <w:t xml:space="preserve"> </w:t>
      </w:r>
      <w:r w:rsidRPr="00727023">
        <w:rPr>
          <w:rFonts w:ascii="Abadi" w:hAnsi="Abadi" w:cs="*Arial-5227-Identity-H"/>
          <w:color w:val="0E0D10"/>
          <w:sz w:val="21"/>
          <w:szCs w:val="21"/>
        </w:rPr>
        <w:t>para subsanar las situaciones detectadas durante el proceso de auditoría.</w:t>
      </w:r>
      <w:r>
        <w:rPr>
          <w:rFonts w:ascii="Abadi" w:hAnsi="Abadi" w:cs="*Arial-5227-Identity-H"/>
          <w:color w:val="0E0D10"/>
          <w:sz w:val="21"/>
          <w:szCs w:val="21"/>
        </w:rPr>
        <w:t xml:space="preserve"> </w:t>
      </w:r>
    </w:p>
    <w:p w14:paraId="7FE6A69D" w14:textId="77777777" w:rsidR="007A32BE" w:rsidRDefault="007A32BE" w:rsidP="007A32BE">
      <w:pPr>
        <w:autoSpaceDE w:val="0"/>
        <w:autoSpaceDN w:val="0"/>
        <w:adjustRightInd w:val="0"/>
        <w:ind w:firstLine="360"/>
        <w:jc w:val="both"/>
        <w:rPr>
          <w:rFonts w:ascii="Abadi" w:hAnsi="Abadi" w:cs="*Arial-5227-Identity-H"/>
          <w:color w:val="0E0D10"/>
          <w:sz w:val="21"/>
          <w:szCs w:val="21"/>
        </w:rPr>
      </w:pPr>
    </w:p>
    <w:p w14:paraId="4E92D28A" w14:textId="77777777" w:rsidR="007A32BE" w:rsidRDefault="007A32BE" w:rsidP="007A32BE">
      <w:pPr>
        <w:autoSpaceDE w:val="0"/>
        <w:autoSpaceDN w:val="0"/>
        <w:adjustRightInd w:val="0"/>
        <w:ind w:firstLine="360"/>
        <w:jc w:val="both"/>
        <w:rPr>
          <w:rFonts w:ascii="Abadi" w:hAnsi="Abadi" w:cs="*Arial-5227-Identity-H"/>
          <w:color w:val="0E0E11"/>
          <w:sz w:val="21"/>
          <w:szCs w:val="21"/>
        </w:rPr>
      </w:pPr>
      <w:r w:rsidRPr="00727023">
        <w:rPr>
          <w:rFonts w:ascii="Abadi" w:hAnsi="Abadi" w:cs="*Arial-5227-Identity-H"/>
          <w:color w:val="0E0E11"/>
          <w:sz w:val="21"/>
          <w:szCs w:val="21"/>
        </w:rPr>
        <w:t>Derivado de lo anterior, se formulan los resultados y recomendaciones</w:t>
      </w:r>
      <w:r>
        <w:rPr>
          <w:rFonts w:ascii="Abadi" w:hAnsi="Abadi" w:cs="*Arial-5227-Identity-H"/>
          <w:color w:val="0E0E11"/>
          <w:sz w:val="21"/>
          <w:szCs w:val="21"/>
        </w:rPr>
        <w:t xml:space="preserve"> </w:t>
      </w:r>
      <w:r w:rsidRPr="00727023">
        <w:rPr>
          <w:rFonts w:ascii="Abadi" w:hAnsi="Abadi" w:cs="*Arial-5227-Identity-H"/>
          <w:color w:val="0E0E11"/>
          <w:sz w:val="21"/>
          <w:szCs w:val="21"/>
        </w:rPr>
        <w:t>contenidos en los rubros de Eficiencia y Eficacia.</w:t>
      </w:r>
    </w:p>
    <w:p w14:paraId="71A3DB8F" w14:textId="77777777" w:rsidR="007A32BE" w:rsidRPr="00727023" w:rsidRDefault="007A32BE" w:rsidP="007A32BE">
      <w:pPr>
        <w:autoSpaceDE w:val="0"/>
        <w:autoSpaceDN w:val="0"/>
        <w:adjustRightInd w:val="0"/>
        <w:jc w:val="both"/>
        <w:rPr>
          <w:rFonts w:ascii="Abadi" w:hAnsi="Abadi" w:cs="*Arial-5227-Identity-H"/>
          <w:color w:val="0E0E11"/>
          <w:sz w:val="21"/>
          <w:szCs w:val="21"/>
        </w:rPr>
      </w:pPr>
    </w:p>
    <w:p w14:paraId="362AFE93" w14:textId="77777777" w:rsidR="007A32BE" w:rsidRDefault="007A32BE" w:rsidP="007A32BE">
      <w:pPr>
        <w:autoSpaceDE w:val="0"/>
        <w:autoSpaceDN w:val="0"/>
        <w:adjustRightInd w:val="0"/>
        <w:ind w:firstLine="708"/>
        <w:jc w:val="both"/>
        <w:rPr>
          <w:rFonts w:ascii="Abadi" w:hAnsi="Abadi" w:cs="*Arial-5227-Identity-H"/>
          <w:color w:val="0D0C0F"/>
          <w:sz w:val="21"/>
          <w:szCs w:val="21"/>
        </w:rPr>
      </w:pPr>
      <w:r w:rsidRPr="00727023">
        <w:rPr>
          <w:rFonts w:ascii="Abadi" w:hAnsi="Abadi" w:cs="*Arial-5227-Identity-H"/>
          <w:color w:val="0D0C0F"/>
          <w:sz w:val="21"/>
          <w:szCs w:val="21"/>
        </w:rPr>
        <w:t>En tal sentido, en el rubro de Eficiencia, se formularon las recomendaciones</w:t>
      </w:r>
      <w:r>
        <w:rPr>
          <w:rFonts w:ascii="Abadi" w:hAnsi="Abadi" w:cs="*Arial-5227-Identity-H"/>
          <w:color w:val="0D0C0F"/>
          <w:sz w:val="21"/>
          <w:szCs w:val="21"/>
        </w:rPr>
        <w:t xml:space="preserve"> </w:t>
      </w:r>
      <w:r w:rsidRPr="00727023">
        <w:rPr>
          <w:rFonts w:ascii="Abadi" w:hAnsi="Abadi" w:cs="*Arial-5227-Identity-H"/>
          <w:color w:val="0D0C0F"/>
          <w:sz w:val="21"/>
          <w:szCs w:val="21"/>
        </w:rPr>
        <w:t>plasmadas en los puntos 01 del resultado número 1, referente a oferta del servicio</w:t>
      </w:r>
      <w:r>
        <w:rPr>
          <w:rFonts w:ascii="Abadi" w:hAnsi="Abadi" w:cs="*Arial-5227-Identity-H"/>
          <w:color w:val="0D0C0F"/>
          <w:sz w:val="21"/>
          <w:szCs w:val="21"/>
        </w:rPr>
        <w:t xml:space="preserve"> </w:t>
      </w:r>
      <w:r w:rsidRPr="00727023">
        <w:rPr>
          <w:rFonts w:ascii="Abadi" w:hAnsi="Abadi" w:cs="*Arial-5227-Identity-H"/>
          <w:color w:val="0D0C0F"/>
          <w:sz w:val="21"/>
          <w:szCs w:val="21"/>
        </w:rPr>
        <w:t>de alumbrado público; 02 del resultado número 3, correspondiente a marco</w:t>
      </w:r>
      <w:r>
        <w:rPr>
          <w:rFonts w:ascii="Abadi" w:hAnsi="Abadi" w:cs="*Arial-5227-Identity-H"/>
          <w:color w:val="0D0C0F"/>
          <w:sz w:val="21"/>
          <w:szCs w:val="21"/>
        </w:rPr>
        <w:t xml:space="preserve"> </w:t>
      </w:r>
      <w:r w:rsidRPr="00727023">
        <w:rPr>
          <w:rFonts w:ascii="Abadi" w:hAnsi="Abadi" w:cs="*Arial-5227-Identity-H"/>
          <w:color w:val="0D0C0F"/>
          <w:sz w:val="21"/>
          <w:szCs w:val="21"/>
        </w:rPr>
        <w:t>normativo para la prestación del servicio; y 03 del resultado número 5, relativo a</w:t>
      </w:r>
      <w:r>
        <w:rPr>
          <w:rFonts w:ascii="Abadi" w:hAnsi="Abadi" w:cs="*Arial-5227-Identity-H"/>
          <w:color w:val="0D0C0F"/>
          <w:sz w:val="21"/>
          <w:szCs w:val="21"/>
        </w:rPr>
        <w:t xml:space="preserve"> </w:t>
      </w:r>
      <w:r w:rsidRPr="00727023">
        <w:rPr>
          <w:rFonts w:ascii="Abadi" w:hAnsi="Abadi" w:cs="*Arial-5227-Identity-H"/>
          <w:color w:val="0D0C0F"/>
          <w:sz w:val="21"/>
          <w:szCs w:val="21"/>
        </w:rPr>
        <w:t>participación ciudadana en el reporte de fallas del servicio. En el apartado de</w:t>
      </w:r>
      <w:r>
        <w:rPr>
          <w:rFonts w:ascii="Abadi" w:hAnsi="Abadi" w:cs="*Arial-5227-Identity-H"/>
          <w:color w:val="0D0C0F"/>
          <w:sz w:val="21"/>
          <w:szCs w:val="21"/>
        </w:rPr>
        <w:t xml:space="preserve"> </w:t>
      </w:r>
      <w:r w:rsidRPr="00727023">
        <w:rPr>
          <w:rFonts w:ascii="Abadi" w:hAnsi="Abadi" w:cs="*Arial-5227-Identity-H"/>
          <w:color w:val="0D0C0F"/>
          <w:sz w:val="21"/>
          <w:szCs w:val="21"/>
        </w:rPr>
        <w:t>Eficacia, se formularon las recomendaciones consignadas en los puntos 04 del</w:t>
      </w:r>
      <w:r>
        <w:rPr>
          <w:rFonts w:ascii="Abadi" w:hAnsi="Abadi" w:cs="*Arial-5227-Identity-H"/>
          <w:color w:val="0D0C0F"/>
          <w:sz w:val="21"/>
          <w:szCs w:val="21"/>
        </w:rPr>
        <w:t xml:space="preserve"> </w:t>
      </w:r>
      <w:r w:rsidRPr="00727023">
        <w:rPr>
          <w:rFonts w:ascii="Abadi" w:hAnsi="Abadi" w:cs="*Arial-5227-Identity-H"/>
          <w:color w:val="0D0C0F"/>
          <w:sz w:val="21"/>
          <w:szCs w:val="21"/>
        </w:rPr>
        <w:t>resultado número 6, referido a eficacia del servicio de alumbrado público; 05 y 06</w:t>
      </w:r>
      <w:r>
        <w:rPr>
          <w:rFonts w:ascii="Abadi" w:hAnsi="Abadi" w:cs="*Arial-5227-Identity-H"/>
          <w:color w:val="0D0C0F"/>
          <w:sz w:val="21"/>
          <w:szCs w:val="21"/>
        </w:rPr>
        <w:t xml:space="preserve"> </w:t>
      </w:r>
      <w:r w:rsidRPr="00727023">
        <w:rPr>
          <w:rFonts w:ascii="Abadi" w:hAnsi="Abadi" w:cs="*Arial-5227-Identity-H"/>
          <w:color w:val="0D0C0F"/>
          <w:sz w:val="21"/>
          <w:szCs w:val="21"/>
        </w:rPr>
        <w:t>del resultado número 7, referente a monitoreo y evaluación de resultados.</w:t>
      </w:r>
      <w:r>
        <w:rPr>
          <w:rFonts w:ascii="Abadi" w:hAnsi="Abadi" w:cs="*Arial-5227-Identity-H"/>
          <w:color w:val="0D0C0F"/>
          <w:sz w:val="21"/>
          <w:szCs w:val="21"/>
        </w:rPr>
        <w:t xml:space="preserve"> </w:t>
      </w:r>
    </w:p>
    <w:p w14:paraId="2A753089" w14:textId="77777777" w:rsidR="007A32BE" w:rsidRDefault="007A32BE" w:rsidP="007A32BE">
      <w:pPr>
        <w:autoSpaceDE w:val="0"/>
        <w:autoSpaceDN w:val="0"/>
        <w:adjustRightInd w:val="0"/>
        <w:jc w:val="both"/>
        <w:rPr>
          <w:rFonts w:ascii="Abadi" w:hAnsi="Abadi" w:cs="*Arial-5227-Identity-H"/>
          <w:color w:val="0D0C0F"/>
          <w:sz w:val="21"/>
          <w:szCs w:val="21"/>
        </w:rPr>
      </w:pPr>
    </w:p>
    <w:p w14:paraId="6CD3B728" w14:textId="77777777" w:rsidR="007A32BE" w:rsidRPr="00727023" w:rsidRDefault="007A32BE" w:rsidP="007A32BE">
      <w:pPr>
        <w:autoSpaceDE w:val="0"/>
        <w:autoSpaceDN w:val="0"/>
        <w:adjustRightInd w:val="0"/>
        <w:ind w:firstLine="708"/>
        <w:jc w:val="both"/>
        <w:rPr>
          <w:rFonts w:ascii="Abadi" w:hAnsi="Abadi" w:cs="*Arial-5227-Identity-H"/>
          <w:color w:val="0C0C0E"/>
          <w:sz w:val="21"/>
          <w:szCs w:val="21"/>
        </w:rPr>
      </w:pPr>
      <w:r w:rsidRPr="00727023">
        <w:rPr>
          <w:rFonts w:ascii="Abadi" w:hAnsi="Abadi" w:cs="*Arial-5227-Identity-H"/>
          <w:color w:val="0C0C0E"/>
          <w:sz w:val="21"/>
          <w:szCs w:val="21"/>
        </w:rPr>
        <w:t>En el caso de los resultados números 2, correspondiente a presupuestación</w:t>
      </w:r>
      <w:r>
        <w:rPr>
          <w:rFonts w:ascii="Abadi" w:hAnsi="Abadi" w:cs="*Arial-5227-Identity-H"/>
          <w:color w:val="0C0C0E"/>
          <w:sz w:val="21"/>
          <w:szCs w:val="21"/>
        </w:rPr>
        <w:t xml:space="preserve"> </w:t>
      </w:r>
      <w:r w:rsidRPr="00727023">
        <w:rPr>
          <w:rFonts w:ascii="Abadi" w:hAnsi="Abadi" w:cs="*Arial-5227-Identity-H"/>
          <w:color w:val="0C0C0E"/>
          <w:sz w:val="21"/>
          <w:szCs w:val="21"/>
        </w:rPr>
        <w:t>del servicio; y 4, relativo a planeación del servicio de alumbrado público en el corto</w:t>
      </w:r>
      <w:r>
        <w:rPr>
          <w:rFonts w:ascii="Abadi" w:hAnsi="Abadi" w:cs="*Arial-5227-Identity-H"/>
          <w:color w:val="0C0C0E"/>
          <w:sz w:val="21"/>
          <w:szCs w:val="21"/>
        </w:rPr>
        <w:t xml:space="preserve"> </w:t>
      </w:r>
      <w:r w:rsidRPr="00727023">
        <w:rPr>
          <w:rFonts w:ascii="Abadi" w:hAnsi="Abadi" w:cs="*Arial-5227-Identity-H"/>
          <w:color w:val="0C0C0E"/>
          <w:sz w:val="21"/>
          <w:szCs w:val="21"/>
        </w:rPr>
        <w:t>plazo, del apartado de Eficiencia, estos no generaron recomendaciones por parte</w:t>
      </w:r>
      <w:r>
        <w:rPr>
          <w:rFonts w:ascii="Abadi" w:hAnsi="Abadi" w:cs="*Arial-5227-Identity-H"/>
          <w:color w:val="0C0C0E"/>
          <w:sz w:val="21"/>
          <w:szCs w:val="21"/>
        </w:rPr>
        <w:t xml:space="preserve"> </w:t>
      </w:r>
      <w:r w:rsidRPr="00727023">
        <w:rPr>
          <w:rFonts w:ascii="Abadi" w:hAnsi="Abadi" w:cs="*Arial-5227-Identity-H"/>
          <w:color w:val="0C0C0E"/>
          <w:sz w:val="21"/>
          <w:szCs w:val="21"/>
        </w:rPr>
        <w:t>de la Auditoría Superior del Estado.</w:t>
      </w:r>
    </w:p>
    <w:p w14:paraId="0A304908" w14:textId="77777777" w:rsidR="007A32BE" w:rsidRDefault="007A32BE" w:rsidP="007A32BE">
      <w:pPr>
        <w:autoSpaceDE w:val="0"/>
        <w:autoSpaceDN w:val="0"/>
        <w:adjustRightInd w:val="0"/>
        <w:ind w:firstLine="708"/>
        <w:jc w:val="both"/>
        <w:rPr>
          <w:rFonts w:ascii="Abadi" w:hAnsi="Abadi" w:cs="*Arial-6643-Identity-H"/>
          <w:color w:val="0D0C0F"/>
          <w:sz w:val="21"/>
          <w:szCs w:val="21"/>
        </w:rPr>
      </w:pPr>
      <w:r w:rsidRPr="00727023">
        <w:rPr>
          <w:rFonts w:ascii="Abadi" w:hAnsi="Abadi" w:cs="*Arial-6643-Identity-H"/>
          <w:color w:val="0D0C0F"/>
          <w:sz w:val="21"/>
          <w:szCs w:val="21"/>
        </w:rPr>
        <w:t xml:space="preserve">Finalmente, se establece un apartado denominado </w:t>
      </w:r>
      <w:r w:rsidRPr="00727023">
        <w:rPr>
          <w:rFonts w:ascii="Abadi" w:hAnsi="Abadi" w:cs="*Arial-Italic-6645-Identity-H"/>
          <w:i/>
          <w:iCs/>
          <w:color w:val="0D0C0F"/>
          <w:sz w:val="21"/>
          <w:szCs w:val="21"/>
        </w:rPr>
        <w:t>Cuestiones clave de la</w:t>
      </w:r>
      <w:r>
        <w:rPr>
          <w:rFonts w:ascii="Abadi" w:hAnsi="Abadi" w:cs="*Arial-Italic-6645-Identity-H"/>
          <w:i/>
          <w:iCs/>
          <w:color w:val="0D0C0F"/>
          <w:sz w:val="21"/>
          <w:szCs w:val="21"/>
        </w:rPr>
        <w:t xml:space="preserve"> </w:t>
      </w:r>
      <w:r w:rsidRPr="00727023">
        <w:rPr>
          <w:rFonts w:ascii="Abadi" w:hAnsi="Abadi" w:cs="*Arial-Italic-6645-Identity-H"/>
          <w:i/>
          <w:iCs/>
          <w:color w:val="0D0C0F"/>
          <w:sz w:val="21"/>
          <w:szCs w:val="21"/>
        </w:rPr>
        <w:t xml:space="preserve">auditoría en contexto de la pandemia del virus SARS-CoV2 </w:t>
      </w:r>
      <w:r w:rsidRPr="00727023">
        <w:rPr>
          <w:rFonts w:ascii="Abadi" w:hAnsi="Abadi" w:cs="*Arial-6643-Identity-H"/>
          <w:color w:val="0D0C0F"/>
          <w:sz w:val="21"/>
          <w:szCs w:val="21"/>
        </w:rPr>
        <w:t>en el que se señala</w:t>
      </w:r>
      <w:r>
        <w:rPr>
          <w:rFonts w:ascii="Abadi" w:hAnsi="Abadi" w:cs="*Arial-6643-Identity-H"/>
          <w:color w:val="0D0C0F"/>
          <w:sz w:val="21"/>
          <w:szCs w:val="21"/>
        </w:rPr>
        <w:t xml:space="preserve"> </w:t>
      </w:r>
      <w:r w:rsidRPr="00727023">
        <w:rPr>
          <w:rFonts w:ascii="Abadi" w:hAnsi="Abadi" w:cs="*Arial-6643-Identity-H"/>
          <w:color w:val="0D0C0F"/>
          <w:sz w:val="21"/>
          <w:szCs w:val="21"/>
        </w:rPr>
        <w:t>que con motivo de la emergencia sanitaria provocada por dicha pandemia y en</w:t>
      </w:r>
      <w:r>
        <w:rPr>
          <w:rFonts w:ascii="Abadi" w:hAnsi="Abadi" w:cs="*Arial-6643-Identity-H"/>
          <w:color w:val="0D0C0F"/>
          <w:sz w:val="21"/>
          <w:szCs w:val="21"/>
        </w:rPr>
        <w:t xml:space="preserve"> </w:t>
      </w:r>
      <w:r w:rsidRPr="00727023">
        <w:rPr>
          <w:rFonts w:ascii="Abadi" w:hAnsi="Abadi" w:cs="*Arial-6643-Identity-H"/>
          <w:color w:val="0D0C0F"/>
          <w:sz w:val="21"/>
          <w:szCs w:val="21"/>
        </w:rPr>
        <w:t>atención a diversas disposiciones en salud pública emitidas por las autoridades</w:t>
      </w:r>
      <w:r>
        <w:rPr>
          <w:rFonts w:ascii="Abadi" w:hAnsi="Abadi" w:cs="*Arial-6643-Identity-H"/>
          <w:color w:val="0D0C0F"/>
          <w:sz w:val="21"/>
          <w:szCs w:val="21"/>
        </w:rPr>
        <w:t xml:space="preserve"> </w:t>
      </w:r>
      <w:r w:rsidRPr="00727023">
        <w:rPr>
          <w:rFonts w:ascii="Abadi" w:hAnsi="Abadi" w:cs="*Arial-6643-Identity-H"/>
          <w:color w:val="0D0C0F"/>
          <w:sz w:val="21"/>
          <w:szCs w:val="21"/>
        </w:rPr>
        <w:t>federales y estatales competentes en la materia, se generaron cambios en el</w:t>
      </w:r>
      <w:r>
        <w:rPr>
          <w:rFonts w:ascii="Abadi" w:hAnsi="Abadi" w:cs="*Arial-6643-Identity-H"/>
          <w:color w:val="0D0C0F"/>
          <w:sz w:val="21"/>
          <w:szCs w:val="21"/>
        </w:rPr>
        <w:t xml:space="preserve"> </w:t>
      </w:r>
      <w:r w:rsidRPr="00727023">
        <w:rPr>
          <w:rFonts w:ascii="Abadi" w:hAnsi="Abadi" w:cs="*Arial-6643-Identity-H"/>
          <w:color w:val="0D0C0F"/>
          <w:sz w:val="21"/>
          <w:szCs w:val="21"/>
        </w:rPr>
        <w:t>desarrollo de los asuntos competencia de la Auditoría Superior del Estado de</w:t>
      </w:r>
      <w:r>
        <w:rPr>
          <w:rFonts w:ascii="Abadi" w:hAnsi="Abadi" w:cs="*Arial-6643-Identity-H"/>
          <w:color w:val="0D0C0F"/>
          <w:sz w:val="21"/>
          <w:szCs w:val="21"/>
        </w:rPr>
        <w:t xml:space="preserve"> </w:t>
      </w:r>
      <w:r w:rsidRPr="00727023">
        <w:rPr>
          <w:rFonts w:ascii="Abadi" w:hAnsi="Abadi" w:cs="*Arial-6643-Identity-H"/>
          <w:color w:val="0D0C0F"/>
          <w:sz w:val="21"/>
          <w:szCs w:val="21"/>
        </w:rPr>
        <w:t xml:space="preserve">Guanajuato, atendiendo al </w:t>
      </w:r>
      <w:r w:rsidRPr="00727023">
        <w:rPr>
          <w:rFonts w:ascii="Abadi" w:hAnsi="Abadi" w:cs="*Arial-Italic-6645-Identity-H"/>
          <w:i/>
          <w:iCs/>
          <w:color w:val="0D0C0F"/>
          <w:sz w:val="21"/>
          <w:szCs w:val="21"/>
        </w:rPr>
        <w:t xml:space="preserve">Acuerdo relativo al trabajo </w:t>
      </w:r>
      <w:r w:rsidRPr="00727023">
        <w:rPr>
          <w:rFonts w:ascii="Abadi" w:hAnsi="Abadi" w:cs="*Arial-6643-Identity-H"/>
          <w:color w:val="0D0C0F"/>
          <w:sz w:val="21"/>
          <w:szCs w:val="21"/>
        </w:rPr>
        <w:t xml:space="preserve">a </w:t>
      </w:r>
      <w:r w:rsidRPr="00727023">
        <w:rPr>
          <w:rFonts w:ascii="Abadi" w:hAnsi="Abadi" w:cs="*Arial-Italic-6645-Identity-H"/>
          <w:i/>
          <w:iCs/>
          <w:color w:val="0D0C0F"/>
          <w:sz w:val="21"/>
          <w:szCs w:val="21"/>
        </w:rPr>
        <w:t xml:space="preserve">distancia </w:t>
      </w:r>
      <w:r w:rsidRPr="00727023">
        <w:rPr>
          <w:rFonts w:ascii="Abadi" w:hAnsi="Abadi" w:cs="*Arial-6643-Identity-H"/>
          <w:color w:val="0D0C0F"/>
          <w:sz w:val="21"/>
          <w:szCs w:val="21"/>
        </w:rPr>
        <w:t>de fecha 17 de</w:t>
      </w:r>
      <w:r>
        <w:rPr>
          <w:rFonts w:ascii="Abadi" w:hAnsi="Abadi" w:cs="*Arial-6643-Identity-H"/>
          <w:color w:val="0D0C0F"/>
          <w:sz w:val="21"/>
          <w:szCs w:val="21"/>
        </w:rPr>
        <w:t xml:space="preserve"> </w:t>
      </w:r>
      <w:r w:rsidRPr="00727023">
        <w:rPr>
          <w:rFonts w:ascii="Abadi" w:hAnsi="Abadi" w:cs="*Arial-6643-Identity-H"/>
          <w:color w:val="0D0C0F"/>
          <w:sz w:val="21"/>
          <w:szCs w:val="21"/>
        </w:rPr>
        <w:t>marzo de 2020 y su décimo sexto acuerdo modificatorio, aprovechando las</w:t>
      </w:r>
      <w:r>
        <w:rPr>
          <w:rFonts w:ascii="Abadi" w:hAnsi="Abadi" w:cs="*Arial-6643-Identity-H"/>
          <w:color w:val="0D0C0F"/>
          <w:sz w:val="21"/>
          <w:szCs w:val="21"/>
        </w:rPr>
        <w:t xml:space="preserve"> </w:t>
      </w:r>
      <w:r w:rsidRPr="00727023">
        <w:rPr>
          <w:rFonts w:ascii="Abadi" w:hAnsi="Abadi" w:cs="*Arial-6643-Identity-H"/>
          <w:color w:val="0D0C0F"/>
          <w:sz w:val="21"/>
          <w:szCs w:val="21"/>
        </w:rPr>
        <w:t>herramientas tecnológicas de que dispone, así como la colaboración de los sujetos</w:t>
      </w:r>
      <w:r>
        <w:rPr>
          <w:rFonts w:ascii="Abadi" w:hAnsi="Abadi" w:cs="*Arial-6643-Identity-H"/>
          <w:color w:val="0D0C0F"/>
          <w:sz w:val="21"/>
          <w:szCs w:val="21"/>
        </w:rPr>
        <w:t xml:space="preserve"> </w:t>
      </w:r>
      <w:r w:rsidRPr="00727023">
        <w:rPr>
          <w:rFonts w:ascii="Abadi" w:hAnsi="Abadi" w:cs="*Arial-6643-Identity-H"/>
          <w:color w:val="0D0C0F"/>
          <w:sz w:val="21"/>
          <w:szCs w:val="21"/>
        </w:rPr>
        <w:t>de fiscalización.</w:t>
      </w:r>
    </w:p>
    <w:p w14:paraId="796E7BF0" w14:textId="77777777" w:rsidR="007A32BE" w:rsidRPr="00727023" w:rsidRDefault="007A32BE" w:rsidP="007A32BE">
      <w:pPr>
        <w:autoSpaceDE w:val="0"/>
        <w:autoSpaceDN w:val="0"/>
        <w:adjustRightInd w:val="0"/>
        <w:jc w:val="both"/>
        <w:rPr>
          <w:rFonts w:ascii="Abadi" w:hAnsi="Abadi" w:cs="*Arial-6643-Identity-H"/>
          <w:color w:val="0D0C0F"/>
          <w:sz w:val="21"/>
          <w:szCs w:val="21"/>
        </w:rPr>
      </w:pPr>
    </w:p>
    <w:p w14:paraId="1E95A3B2" w14:textId="04434C86" w:rsidR="007A32BE" w:rsidRDefault="007A32BE" w:rsidP="007A32BE">
      <w:pPr>
        <w:autoSpaceDE w:val="0"/>
        <w:autoSpaceDN w:val="0"/>
        <w:adjustRightInd w:val="0"/>
        <w:ind w:firstLine="708"/>
        <w:jc w:val="both"/>
        <w:rPr>
          <w:rFonts w:ascii="Abadi" w:hAnsi="Abadi" w:cs="*Arial-6643-Identity-H"/>
          <w:color w:val="0C0C0F"/>
          <w:sz w:val="21"/>
          <w:szCs w:val="21"/>
        </w:rPr>
      </w:pPr>
      <w:r w:rsidRPr="00727023">
        <w:rPr>
          <w:rFonts w:ascii="Abadi" w:hAnsi="Abadi" w:cs="*Arial-6643-Identity-H"/>
          <w:color w:val="0C0C0F"/>
          <w:sz w:val="21"/>
          <w:szCs w:val="21"/>
        </w:rPr>
        <w:t>Es así, que si bien, el proceso de fiscalización ha continuado observando</w:t>
      </w:r>
      <w:r>
        <w:rPr>
          <w:rFonts w:ascii="Abadi" w:hAnsi="Abadi" w:cs="*Arial-6643-Identity-H"/>
          <w:color w:val="0C0C0F"/>
          <w:sz w:val="21"/>
          <w:szCs w:val="21"/>
        </w:rPr>
        <w:t xml:space="preserve"> </w:t>
      </w:r>
      <w:r w:rsidRPr="00727023">
        <w:rPr>
          <w:rFonts w:ascii="Abadi" w:hAnsi="Abadi" w:cs="*Arial-6643-Identity-H"/>
          <w:color w:val="0C0C0F"/>
          <w:sz w:val="21"/>
          <w:szCs w:val="21"/>
        </w:rPr>
        <w:t>las medidas de confinamiento que las autoridades de salud han determinado y con</w:t>
      </w:r>
      <w:r>
        <w:rPr>
          <w:rFonts w:ascii="Abadi" w:hAnsi="Abadi" w:cs="*Arial-6643-Identity-H"/>
          <w:color w:val="0C0C0F"/>
          <w:sz w:val="21"/>
          <w:szCs w:val="21"/>
        </w:rPr>
        <w:t xml:space="preserve"> </w:t>
      </w:r>
      <w:r w:rsidRPr="00727023">
        <w:rPr>
          <w:rFonts w:ascii="Abadi" w:hAnsi="Abadi" w:cs="*Arial-6643-Identity-H"/>
          <w:color w:val="0C0C0F"/>
          <w:sz w:val="21"/>
          <w:szCs w:val="21"/>
        </w:rPr>
        <w:t>el uso de las tecnologías de la información, por la propia naturaleza de la</w:t>
      </w:r>
      <w:r>
        <w:rPr>
          <w:rFonts w:ascii="Abadi" w:hAnsi="Abadi" w:cs="*Arial-6643-Identity-H"/>
          <w:color w:val="0C0C0F"/>
          <w:sz w:val="21"/>
          <w:szCs w:val="21"/>
        </w:rPr>
        <w:t xml:space="preserve"> </w:t>
      </w:r>
      <w:r w:rsidRPr="00727023">
        <w:rPr>
          <w:rFonts w:ascii="Abadi" w:hAnsi="Abadi" w:cs="*Arial-6643-Identity-H"/>
          <w:color w:val="0C0C0F"/>
          <w:sz w:val="21"/>
          <w:szCs w:val="21"/>
        </w:rPr>
        <w:t>pandemia se generaron limitantes en la aplicación de los procedimientos de</w:t>
      </w:r>
      <w:r>
        <w:rPr>
          <w:rFonts w:ascii="Abadi" w:hAnsi="Abadi" w:cs="*Arial-6643-Identity-H"/>
          <w:color w:val="0C0C0F"/>
          <w:sz w:val="21"/>
          <w:szCs w:val="21"/>
        </w:rPr>
        <w:t xml:space="preserve"> </w:t>
      </w:r>
      <w:r w:rsidR="005A6FA2" w:rsidRPr="00727023">
        <w:rPr>
          <w:rFonts w:ascii="Abadi" w:hAnsi="Abadi" w:cs="*Arial-6643-Identity-H"/>
          <w:color w:val="0C0C0F"/>
          <w:sz w:val="21"/>
          <w:szCs w:val="21"/>
        </w:rPr>
        <w:t>auditoría</w:t>
      </w:r>
      <w:r w:rsidRPr="00727023">
        <w:rPr>
          <w:rFonts w:ascii="Abadi" w:hAnsi="Abadi" w:cs="*Arial-6643-Identity-H"/>
          <w:color w:val="0C0C0F"/>
          <w:sz w:val="21"/>
          <w:szCs w:val="21"/>
        </w:rPr>
        <w:t>.</w:t>
      </w:r>
    </w:p>
    <w:p w14:paraId="6DB5A0BA" w14:textId="77777777" w:rsidR="007A32BE" w:rsidRPr="00727023" w:rsidRDefault="007A32BE" w:rsidP="007A32BE">
      <w:pPr>
        <w:autoSpaceDE w:val="0"/>
        <w:autoSpaceDN w:val="0"/>
        <w:adjustRightInd w:val="0"/>
        <w:jc w:val="both"/>
        <w:rPr>
          <w:rFonts w:ascii="Abadi" w:hAnsi="Abadi" w:cs="*Arial-6643-Identity-H"/>
          <w:color w:val="0C0C0F"/>
          <w:sz w:val="21"/>
          <w:szCs w:val="21"/>
        </w:rPr>
      </w:pPr>
    </w:p>
    <w:p w14:paraId="6BE40132" w14:textId="77777777" w:rsidR="007A32BE" w:rsidRDefault="007A32BE" w:rsidP="007A32BE">
      <w:pPr>
        <w:autoSpaceDE w:val="0"/>
        <w:autoSpaceDN w:val="0"/>
        <w:adjustRightInd w:val="0"/>
        <w:ind w:firstLine="708"/>
        <w:jc w:val="both"/>
        <w:rPr>
          <w:rFonts w:ascii="Abadi" w:hAnsi="Abadi" w:cs="*Arial-6643-Identity-H"/>
          <w:color w:val="0D0D10"/>
          <w:sz w:val="21"/>
          <w:szCs w:val="21"/>
        </w:rPr>
      </w:pPr>
      <w:r w:rsidRPr="00727023">
        <w:rPr>
          <w:rFonts w:ascii="Abadi" w:hAnsi="Abadi" w:cs="*Arial-6643-Identity-H"/>
          <w:color w:val="0D0D10"/>
          <w:sz w:val="21"/>
          <w:szCs w:val="21"/>
        </w:rPr>
        <w:t>En tal sentido se priorizó el enfoque de derechos humanos, velando por la</w:t>
      </w:r>
      <w:r>
        <w:rPr>
          <w:rFonts w:ascii="Abadi" w:hAnsi="Abadi" w:cs="*Arial-6643-Identity-H"/>
          <w:color w:val="0D0D10"/>
          <w:sz w:val="21"/>
          <w:szCs w:val="21"/>
        </w:rPr>
        <w:t xml:space="preserve"> </w:t>
      </w:r>
      <w:r w:rsidRPr="00727023">
        <w:rPr>
          <w:rFonts w:ascii="Abadi" w:hAnsi="Abadi" w:cs="*Arial-6643-Identity-H"/>
          <w:color w:val="0D0D10"/>
          <w:sz w:val="21"/>
          <w:szCs w:val="21"/>
        </w:rPr>
        <w:t>protección del derecho humano a la salud, respetando las limitaciones y</w:t>
      </w:r>
      <w:r>
        <w:rPr>
          <w:rFonts w:ascii="Abadi" w:hAnsi="Abadi" w:cs="*Arial-6643-Identity-H"/>
          <w:color w:val="0D0D10"/>
          <w:sz w:val="21"/>
          <w:szCs w:val="21"/>
        </w:rPr>
        <w:t xml:space="preserve"> </w:t>
      </w:r>
      <w:r w:rsidRPr="00727023">
        <w:rPr>
          <w:rFonts w:ascii="Abadi" w:hAnsi="Abadi" w:cs="*Arial-6643-Identity-H"/>
          <w:color w:val="0D0D10"/>
          <w:sz w:val="21"/>
          <w:szCs w:val="21"/>
        </w:rPr>
        <w:t>restricciones a los derechos humanos establecidas en la propia Constitución.</w:t>
      </w:r>
    </w:p>
    <w:p w14:paraId="250EBE4C" w14:textId="77777777" w:rsidR="007A32BE" w:rsidRPr="00727023" w:rsidRDefault="007A32BE" w:rsidP="007A32BE">
      <w:pPr>
        <w:autoSpaceDE w:val="0"/>
        <w:autoSpaceDN w:val="0"/>
        <w:adjustRightInd w:val="0"/>
        <w:jc w:val="both"/>
        <w:rPr>
          <w:rFonts w:ascii="Abadi" w:hAnsi="Abadi" w:cs="*Arial-6643-Identity-H"/>
          <w:color w:val="0D0D10"/>
          <w:sz w:val="21"/>
          <w:szCs w:val="21"/>
        </w:rPr>
      </w:pPr>
    </w:p>
    <w:p w14:paraId="41A72913" w14:textId="77777777" w:rsidR="007A32BE" w:rsidRDefault="007A32BE" w:rsidP="007A32BE">
      <w:pPr>
        <w:autoSpaceDE w:val="0"/>
        <w:autoSpaceDN w:val="0"/>
        <w:adjustRightInd w:val="0"/>
        <w:ind w:firstLine="708"/>
        <w:jc w:val="both"/>
        <w:rPr>
          <w:rFonts w:ascii="Abadi" w:hAnsi="Abadi" w:cs="*Arial-Bold-6644-Identity-H"/>
          <w:b/>
          <w:bCs/>
          <w:color w:val="0B0B0F"/>
          <w:sz w:val="21"/>
          <w:szCs w:val="21"/>
        </w:rPr>
      </w:pPr>
      <w:r w:rsidRPr="00727023">
        <w:rPr>
          <w:rFonts w:ascii="Abadi" w:hAnsi="Abadi" w:cs="*Arial-Bold-6644-Identity-H"/>
          <w:b/>
          <w:bCs/>
          <w:color w:val="0B0B0F"/>
          <w:sz w:val="21"/>
          <w:szCs w:val="21"/>
        </w:rPr>
        <w:t>e) Resumen de las recomendaciones.</w:t>
      </w:r>
    </w:p>
    <w:p w14:paraId="44DF91F9" w14:textId="77777777" w:rsidR="007A32BE" w:rsidRPr="00727023" w:rsidRDefault="007A32BE" w:rsidP="007A32BE">
      <w:pPr>
        <w:autoSpaceDE w:val="0"/>
        <w:autoSpaceDN w:val="0"/>
        <w:adjustRightInd w:val="0"/>
        <w:jc w:val="both"/>
        <w:rPr>
          <w:rFonts w:ascii="Abadi" w:hAnsi="Abadi" w:cs="*Arial-Bold-6644-Identity-H"/>
          <w:b/>
          <w:bCs/>
          <w:color w:val="0B0B0F"/>
          <w:sz w:val="21"/>
          <w:szCs w:val="21"/>
        </w:rPr>
      </w:pPr>
    </w:p>
    <w:p w14:paraId="4FEFCFA7" w14:textId="77777777" w:rsidR="007A32BE" w:rsidRPr="00727023" w:rsidRDefault="007A32BE" w:rsidP="007A32BE">
      <w:pPr>
        <w:autoSpaceDE w:val="0"/>
        <w:autoSpaceDN w:val="0"/>
        <w:adjustRightInd w:val="0"/>
        <w:ind w:firstLine="708"/>
        <w:jc w:val="both"/>
        <w:rPr>
          <w:rFonts w:ascii="Abadi" w:hAnsi="Abadi" w:cs="*Arial-6643-Identity-H"/>
          <w:color w:val="0C0C0F"/>
          <w:sz w:val="21"/>
          <w:szCs w:val="21"/>
        </w:rPr>
      </w:pPr>
      <w:r w:rsidRPr="00727023">
        <w:rPr>
          <w:rFonts w:ascii="Abadi" w:hAnsi="Abadi" w:cs="*Arial-6643-Identity-H"/>
          <w:color w:val="0C0C0F"/>
          <w:sz w:val="21"/>
          <w:szCs w:val="21"/>
        </w:rPr>
        <w:t>En este punto se establece un resumen exclusivamente de los resultados</w:t>
      </w:r>
      <w:r>
        <w:rPr>
          <w:rFonts w:ascii="Abadi" w:hAnsi="Abadi" w:cs="*Arial-6643-Identity-H"/>
          <w:color w:val="0C0C0F"/>
          <w:sz w:val="21"/>
          <w:szCs w:val="21"/>
        </w:rPr>
        <w:t xml:space="preserve"> </w:t>
      </w:r>
      <w:r w:rsidRPr="00727023">
        <w:rPr>
          <w:rFonts w:ascii="Abadi" w:hAnsi="Abadi" w:cs="*Arial-6643-Identity-H"/>
          <w:color w:val="0C0C0F"/>
          <w:sz w:val="21"/>
          <w:szCs w:val="21"/>
        </w:rPr>
        <w:t>que generaron recomendación producto de un área de oportunidad o mejora</w:t>
      </w:r>
      <w:r>
        <w:rPr>
          <w:rFonts w:ascii="Abadi" w:hAnsi="Abadi" w:cs="*Arial-6643-Identity-H"/>
          <w:color w:val="0C0C0F"/>
          <w:sz w:val="21"/>
          <w:szCs w:val="21"/>
        </w:rPr>
        <w:t xml:space="preserve"> </w:t>
      </w:r>
      <w:r w:rsidRPr="00727023">
        <w:rPr>
          <w:rFonts w:ascii="Abadi" w:hAnsi="Abadi" w:cs="*Arial-6643-Identity-H"/>
          <w:color w:val="0C0C0F"/>
          <w:sz w:val="21"/>
          <w:szCs w:val="21"/>
        </w:rPr>
        <w:t>sugerida por el Órgano Técnico, agrupados bajo su respectiva vertiente, con su</w:t>
      </w:r>
      <w:r>
        <w:rPr>
          <w:rFonts w:ascii="Abadi" w:hAnsi="Abadi" w:cs="*Arial-6643-Identity-H"/>
          <w:color w:val="0C0C0F"/>
          <w:sz w:val="21"/>
          <w:szCs w:val="21"/>
        </w:rPr>
        <w:t xml:space="preserve"> </w:t>
      </w:r>
      <w:r w:rsidRPr="00727023">
        <w:rPr>
          <w:rFonts w:ascii="Abadi" w:hAnsi="Abadi" w:cs="*Arial-6643-Identity-H"/>
          <w:color w:val="0C0C0F"/>
          <w:sz w:val="21"/>
          <w:szCs w:val="21"/>
        </w:rPr>
        <w:t>síntesis de la valoración efectuada, precisando que del análisis a la respuesta del</w:t>
      </w:r>
      <w:r>
        <w:rPr>
          <w:rFonts w:ascii="Abadi" w:hAnsi="Abadi" w:cs="*Arial-6643-Identity-H"/>
          <w:color w:val="0C0C0F"/>
          <w:sz w:val="21"/>
          <w:szCs w:val="21"/>
        </w:rPr>
        <w:t xml:space="preserve"> </w:t>
      </w:r>
      <w:r w:rsidRPr="00727023">
        <w:rPr>
          <w:rFonts w:ascii="Abadi" w:hAnsi="Abadi" w:cs="*Arial-6643-Identity-H"/>
          <w:color w:val="0C0C0F"/>
          <w:sz w:val="21"/>
          <w:szCs w:val="21"/>
        </w:rPr>
        <w:t>pliego de recomendaciones se desprende que el sujeto fiscalizado en las 6</w:t>
      </w:r>
      <w:r>
        <w:rPr>
          <w:rFonts w:ascii="Abadi" w:hAnsi="Abadi" w:cs="*Arial-6643-Identity-H"/>
          <w:color w:val="0C0C0F"/>
          <w:sz w:val="21"/>
          <w:szCs w:val="21"/>
        </w:rPr>
        <w:t xml:space="preserve"> </w:t>
      </w:r>
      <w:r w:rsidRPr="00727023">
        <w:rPr>
          <w:rFonts w:ascii="Abadi" w:hAnsi="Abadi" w:cs="*Arial-6643-Identity-H"/>
          <w:color w:val="0C0C0F"/>
          <w:sz w:val="21"/>
          <w:szCs w:val="21"/>
        </w:rPr>
        <w:t>recomendaciones formuladas se comprometió a realizar acciones en un plazo</w:t>
      </w:r>
      <w:r>
        <w:rPr>
          <w:rFonts w:ascii="Abadi" w:hAnsi="Abadi" w:cs="*Arial-6643-Identity-H"/>
          <w:color w:val="0C0C0F"/>
          <w:sz w:val="21"/>
          <w:szCs w:val="21"/>
        </w:rPr>
        <w:t xml:space="preserve"> </w:t>
      </w:r>
      <w:r w:rsidRPr="00727023">
        <w:rPr>
          <w:rFonts w:ascii="Abadi" w:hAnsi="Abadi" w:cs="*Arial-6643-Identity-H"/>
          <w:color w:val="0C0C0F"/>
          <w:sz w:val="21"/>
          <w:szCs w:val="21"/>
        </w:rPr>
        <w:t>futuro para su atención. A dichas recomendaciones dará seguimiento el Órgano</w:t>
      </w:r>
      <w:r>
        <w:rPr>
          <w:rFonts w:ascii="Abadi" w:hAnsi="Abadi" w:cs="*Arial-6643-Identity-H"/>
          <w:color w:val="0C0C0F"/>
          <w:sz w:val="21"/>
          <w:szCs w:val="21"/>
        </w:rPr>
        <w:t xml:space="preserve"> </w:t>
      </w:r>
      <w:r w:rsidRPr="00727023">
        <w:rPr>
          <w:rFonts w:ascii="Abadi" w:hAnsi="Abadi" w:cs="*Arial-6643-Identity-H"/>
          <w:color w:val="0C0C0F"/>
          <w:sz w:val="21"/>
          <w:szCs w:val="21"/>
        </w:rPr>
        <w:t>Técnico en la etapa correspondiente, de conformidad con el ordenamiento legal</w:t>
      </w:r>
      <w:r>
        <w:rPr>
          <w:rFonts w:ascii="Abadi" w:hAnsi="Abadi" w:cs="*Arial-6643-Identity-H"/>
          <w:color w:val="0C0C0F"/>
          <w:sz w:val="21"/>
          <w:szCs w:val="21"/>
        </w:rPr>
        <w:t xml:space="preserve"> </w:t>
      </w:r>
      <w:r w:rsidRPr="00727023">
        <w:rPr>
          <w:rFonts w:ascii="Abadi" w:hAnsi="Abadi" w:cs="*Arial-6643-Identity-H"/>
          <w:color w:val="0C0C0F"/>
          <w:sz w:val="21"/>
          <w:szCs w:val="21"/>
        </w:rPr>
        <w:t>respectivo.</w:t>
      </w:r>
    </w:p>
    <w:p w14:paraId="3DFE1D79" w14:textId="77777777" w:rsidR="007A32BE" w:rsidRPr="00727023" w:rsidRDefault="007A32BE" w:rsidP="007A32BE">
      <w:pPr>
        <w:autoSpaceDE w:val="0"/>
        <w:autoSpaceDN w:val="0"/>
        <w:adjustRightInd w:val="0"/>
        <w:jc w:val="both"/>
        <w:rPr>
          <w:rFonts w:ascii="Abadi" w:hAnsi="Abadi" w:cs="*Arial-6356-Identity-H"/>
          <w:color w:val="1B1B1B"/>
          <w:sz w:val="21"/>
          <w:szCs w:val="21"/>
        </w:rPr>
      </w:pPr>
    </w:p>
    <w:p w14:paraId="58BD82B2" w14:textId="77777777" w:rsidR="007A32BE" w:rsidRDefault="007A32BE" w:rsidP="007A32BE">
      <w:pPr>
        <w:autoSpaceDE w:val="0"/>
        <w:autoSpaceDN w:val="0"/>
        <w:adjustRightInd w:val="0"/>
        <w:ind w:firstLine="708"/>
        <w:jc w:val="both"/>
        <w:rPr>
          <w:rFonts w:ascii="Abadi" w:hAnsi="Abadi" w:cs="*Arial-6354-Identity-H"/>
          <w:color w:val="0D0C0F"/>
          <w:sz w:val="21"/>
          <w:szCs w:val="21"/>
        </w:rPr>
      </w:pPr>
      <w:r w:rsidRPr="00727023">
        <w:rPr>
          <w:rFonts w:ascii="Abadi" w:hAnsi="Abadi" w:cs="*Arial-6354-Identity-H"/>
          <w:color w:val="0D0C0F"/>
          <w:sz w:val="21"/>
          <w:szCs w:val="21"/>
        </w:rPr>
        <w:t>La Auditoría Superior del Estado concluyó que los serv</w:t>
      </w:r>
      <w:r>
        <w:rPr>
          <w:rFonts w:ascii="Abadi" w:hAnsi="Abadi" w:cs="*Arial-6354-Identity-H"/>
          <w:color w:val="0D0C0F"/>
          <w:sz w:val="21"/>
          <w:szCs w:val="21"/>
        </w:rPr>
        <w:t>icios</w:t>
      </w:r>
      <w:r w:rsidRPr="00727023">
        <w:rPr>
          <w:rFonts w:ascii="Abadi" w:hAnsi="Abadi" w:cs="*Arial-6354-Identity-H"/>
          <w:color w:val="0D0C0F"/>
          <w:sz w:val="21"/>
          <w:szCs w:val="21"/>
        </w:rPr>
        <w:t xml:space="preserve"> públicos se</w:t>
      </w:r>
      <w:r>
        <w:rPr>
          <w:rFonts w:ascii="Abadi" w:hAnsi="Abadi" w:cs="*Arial-6354-Identity-H"/>
          <w:color w:val="0D0C0F"/>
          <w:sz w:val="21"/>
          <w:szCs w:val="21"/>
        </w:rPr>
        <w:t xml:space="preserve"> </w:t>
      </w:r>
      <w:r w:rsidRPr="00727023">
        <w:rPr>
          <w:rFonts w:ascii="Abadi" w:hAnsi="Abadi" w:cs="*Arial-6354-Identity-H"/>
          <w:color w:val="0D0C0F"/>
          <w:sz w:val="21"/>
          <w:szCs w:val="21"/>
        </w:rPr>
        <w:t>pueden entender como toda prestación concreta que tienda a satisfacer, de</w:t>
      </w:r>
      <w:r>
        <w:rPr>
          <w:rFonts w:ascii="Abadi" w:hAnsi="Abadi" w:cs="*Arial-6354-Identity-H"/>
          <w:color w:val="0D0C0F"/>
          <w:sz w:val="21"/>
          <w:szCs w:val="21"/>
        </w:rPr>
        <w:t xml:space="preserve"> </w:t>
      </w:r>
      <w:r w:rsidRPr="00727023">
        <w:rPr>
          <w:rFonts w:ascii="Abadi" w:hAnsi="Abadi" w:cs="*Arial-6354-Identity-H"/>
          <w:color w:val="0D0C0F"/>
          <w:sz w:val="21"/>
          <w:szCs w:val="21"/>
        </w:rPr>
        <w:t>manera regular, continua y uniforme, las necesidades sociales de carácter</w:t>
      </w:r>
      <w:r>
        <w:rPr>
          <w:rFonts w:ascii="Abadi" w:hAnsi="Abadi" w:cs="*Arial-6354-Identity-H"/>
          <w:color w:val="0D0C0F"/>
          <w:sz w:val="21"/>
          <w:szCs w:val="21"/>
        </w:rPr>
        <w:t xml:space="preserve"> </w:t>
      </w:r>
      <w:r w:rsidRPr="00727023">
        <w:rPr>
          <w:rFonts w:ascii="Abadi" w:hAnsi="Abadi" w:cs="*Arial-6354-Identity-H"/>
          <w:color w:val="0D0C0F"/>
          <w:sz w:val="21"/>
          <w:szCs w:val="21"/>
        </w:rPr>
        <w:t>general, básico o fundamental, en beneficio indiscriminado de toda la ciudadanía.</w:t>
      </w:r>
    </w:p>
    <w:p w14:paraId="794BDB66" w14:textId="77777777" w:rsidR="007A32BE" w:rsidRDefault="007A32BE" w:rsidP="007A32BE">
      <w:pPr>
        <w:autoSpaceDE w:val="0"/>
        <w:autoSpaceDN w:val="0"/>
        <w:adjustRightInd w:val="0"/>
        <w:jc w:val="both"/>
        <w:rPr>
          <w:rFonts w:ascii="Abadi" w:hAnsi="Abadi" w:cs="*Arial-6354-Identity-H"/>
          <w:color w:val="0D0C0F"/>
          <w:sz w:val="21"/>
          <w:szCs w:val="21"/>
        </w:rPr>
      </w:pPr>
    </w:p>
    <w:p w14:paraId="6E2CD81B" w14:textId="77777777" w:rsidR="007A32BE" w:rsidRDefault="007A32BE" w:rsidP="007A32BE">
      <w:pPr>
        <w:autoSpaceDE w:val="0"/>
        <w:autoSpaceDN w:val="0"/>
        <w:adjustRightInd w:val="0"/>
        <w:ind w:firstLine="708"/>
        <w:jc w:val="both"/>
        <w:rPr>
          <w:rFonts w:ascii="Abadi" w:hAnsi="Abadi" w:cs="*Arial-6354-Identity-H"/>
          <w:color w:val="0D0C0F"/>
          <w:sz w:val="21"/>
          <w:szCs w:val="21"/>
        </w:rPr>
      </w:pPr>
      <w:r w:rsidRPr="00727023">
        <w:rPr>
          <w:rFonts w:ascii="Abadi" w:hAnsi="Abadi" w:cs="*Arial-6354-Identity-H"/>
          <w:color w:val="0D0C0F"/>
          <w:sz w:val="21"/>
          <w:szCs w:val="21"/>
        </w:rPr>
        <w:t>De su adecuada prestación depende, en cierta medida, la calidad de vida de las</w:t>
      </w:r>
      <w:r>
        <w:rPr>
          <w:rFonts w:ascii="Abadi" w:hAnsi="Abadi" w:cs="*Arial-6354-Identity-H"/>
          <w:color w:val="0D0C0F"/>
          <w:sz w:val="21"/>
          <w:szCs w:val="21"/>
        </w:rPr>
        <w:t xml:space="preserve"> </w:t>
      </w:r>
      <w:r w:rsidRPr="00727023">
        <w:rPr>
          <w:rFonts w:ascii="Abadi" w:hAnsi="Abadi" w:cs="*Arial-6354-Identity-H"/>
          <w:color w:val="0D0C0F"/>
          <w:sz w:val="21"/>
          <w:szCs w:val="21"/>
        </w:rPr>
        <w:t>personas.</w:t>
      </w:r>
    </w:p>
    <w:p w14:paraId="496B6DFB" w14:textId="77777777" w:rsidR="007A32BE" w:rsidRPr="00727023" w:rsidRDefault="007A32BE" w:rsidP="007A32BE">
      <w:pPr>
        <w:autoSpaceDE w:val="0"/>
        <w:autoSpaceDN w:val="0"/>
        <w:adjustRightInd w:val="0"/>
        <w:jc w:val="both"/>
        <w:rPr>
          <w:rFonts w:ascii="Abadi" w:hAnsi="Abadi" w:cs="*Arial-6354-Identity-H"/>
          <w:color w:val="0D0C0F"/>
          <w:sz w:val="21"/>
          <w:szCs w:val="21"/>
        </w:rPr>
      </w:pPr>
    </w:p>
    <w:p w14:paraId="39671EDC" w14:textId="77777777" w:rsidR="007A32BE" w:rsidRDefault="007A32BE" w:rsidP="007A32BE">
      <w:pPr>
        <w:autoSpaceDE w:val="0"/>
        <w:autoSpaceDN w:val="0"/>
        <w:adjustRightInd w:val="0"/>
        <w:ind w:firstLine="708"/>
        <w:jc w:val="both"/>
        <w:rPr>
          <w:rFonts w:ascii="Abadi" w:hAnsi="Abadi" w:cs="*Arial-6354-Identity-H"/>
          <w:color w:val="0C0C0F"/>
          <w:sz w:val="21"/>
          <w:szCs w:val="21"/>
        </w:rPr>
      </w:pPr>
      <w:r w:rsidRPr="00727023">
        <w:rPr>
          <w:rFonts w:ascii="Abadi" w:hAnsi="Abadi" w:cs="*Arial-6354-Identity-H"/>
          <w:color w:val="0C0C0F"/>
          <w:sz w:val="21"/>
          <w:szCs w:val="21"/>
        </w:rPr>
        <w:t xml:space="preserve">De igual forma, se refiere que el artículo 115, fracción </w:t>
      </w:r>
      <w:r>
        <w:rPr>
          <w:rFonts w:ascii="Abadi" w:hAnsi="Abadi" w:cs="*Arial-6354-Identity-H"/>
          <w:color w:val="0C0C0F"/>
          <w:sz w:val="21"/>
          <w:szCs w:val="21"/>
        </w:rPr>
        <w:t>III</w:t>
      </w:r>
      <w:r w:rsidRPr="00727023">
        <w:rPr>
          <w:rFonts w:ascii="Abadi" w:hAnsi="Abadi" w:cs="*Arial-6354-Identity-H"/>
          <w:color w:val="0C0C0F"/>
          <w:sz w:val="21"/>
          <w:szCs w:val="21"/>
        </w:rPr>
        <w:t>, inciso b, de la</w:t>
      </w:r>
      <w:r>
        <w:rPr>
          <w:rFonts w:ascii="Abadi" w:hAnsi="Abadi" w:cs="*Arial-6354-Identity-H"/>
          <w:color w:val="0C0C0F"/>
          <w:sz w:val="21"/>
          <w:szCs w:val="21"/>
        </w:rPr>
        <w:t xml:space="preserve"> </w:t>
      </w:r>
      <w:r w:rsidRPr="00727023">
        <w:rPr>
          <w:rFonts w:ascii="Abadi" w:hAnsi="Abadi" w:cs="*Arial-6354-Identity-H"/>
          <w:color w:val="0C0C0F"/>
          <w:sz w:val="21"/>
          <w:szCs w:val="21"/>
        </w:rPr>
        <w:t>Constitución Política de los Estados Unidos Mexicanos establece al alumbrado</w:t>
      </w:r>
      <w:r>
        <w:rPr>
          <w:rFonts w:ascii="Abadi" w:hAnsi="Abadi" w:cs="*Arial-6354-Identity-H"/>
          <w:color w:val="0C0C0F"/>
          <w:sz w:val="21"/>
          <w:szCs w:val="21"/>
        </w:rPr>
        <w:t xml:space="preserve"> </w:t>
      </w:r>
      <w:r w:rsidRPr="00727023">
        <w:rPr>
          <w:rFonts w:ascii="Abadi" w:hAnsi="Abadi" w:cs="*Arial-6354-Identity-H"/>
          <w:color w:val="0C0C0F"/>
          <w:sz w:val="21"/>
          <w:szCs w:val="21"/>
        </w:rPr>
        <w:t>público como uno de los servicios públicos que los municipios tienen a su cargo.</w:t>
      </w:r>
      <w:r>
        <w:rPr>
          <w:rFonts w:ascii="Abadi" w:hAnsi="Abadi" w:cs="*Arial-6354-Identity-H"/>
          <w:color w:val="0C0C0F"/>
          <w:sz w:val="21"/>
          <w:szCs w:val="21"/>
        </w:rPr>
        <w:t xml:space="preserve"> </w:t>
      </w:r>
      <w:r w:rsidRPr="00727023">
        <w:rPr>
          <w:rFonts w:ascii="Abadi" w:hAnsi="Abadi" w:cs="*Arial-6354-Identity-H"/>
          <w:color w:val="0C0C0F"/>
          <w:sz w:val="21"/>
          <w:szCs w:val="21"/>
        </w:rPr>
        <w:t>Por su parte, a nivel local, en el artículo 117 de la Constitución Política para el</w:t>
      </w:r>
      <w:r>
        <w:rPr>
          <w:rFonts w:ascii="Abadi" w:hAnsi="Abadi" w:cs="*Arial-6354-Identity-H"/>
          <w:color w:val="0C0C0F"/>
          <w:sz w:val="21"/>
          <w:szCs w:val="21"/>
        </w:rPr>
        <w:t xml:space="preserve"> </w:t>
      </w:r>
      <w:r w:rsidRPr="00727023">
        <w:rPr>
          <w:rFonts w:ascii="Abadi" w:hAnsi="Abadi" w:cs="*Arial-6354-Identity-H"/>
          <w:color w:val="0C0C0F"/>
          <w:sz w:val="21"/>
          <w:szCs w:val="21"/>
        </w:rPr>
        <w:t>Estado de Guanajuato se dispone la misma responsabilidad para este ámbito de</w:t>
      </w:r>
      <w:r>
        <w:rPr>
          <w:rFonts w:ascii="Abadi" w:hAnsi="Abadi" w:cs="*Arial-6354-Identity-H"/>
          <w:color w:val="0C0C0F"/>
          <w:sz w:val="21"/>
          <w:szCs w:val="21"/>
        </w:rPr>
        <w:t xml:space="preserve"> </w:t>
      </w:r>
      <w:r w:rsidRPr="00727023">
        <w:rPr>
          <w:rFonts w:ascii="Abadi" w:hAnsi="Abadi" w:cs="*Arial-6354-Identity-H"/>
          <w:color w:val="0C0C0F"/>
          <w:sz w:val="21"/>
          <w:szCs w:val="21"/>
        </w:rPr>
        <w:t>gobierno.</w:t>
      </w:r>
    </w:p>
    <w:p w14:paraId="4417AE3F" w14:textId="77777777" w:rsidR="007A32BE" w:rsidRPr="00727023" w:rsidRDefault="007A32BE" w:rsidP="007A32BE">
      <w:pPr>
        <w:autoSpaceDE w:val="0"/>
        <w:autoSpaceDN w:val="0"/>
        <w:adjustRightInd w:val="0"/>
        <w:jc w:val="both"/>
        <w:rPr>
          <w:rFonts w:ascii="Abadi" w:hAnsi="Abadi" w:cs="*Arial-6354-Identity-H"/>
          <w:color w:val="0C0C0F"/>
          <w:sz w:val="21"/>
          <w:szCs w:val="21"/>
        </w:rPr>
      </w:pPr>
    </w:p>
    <w:p w14:paraId="5B8475EF" w14:textId="77777777" w:rsidR="007A32BE" w:rsidRDefault="007A32BE" w:rsidP="007A32BE">
      <w:pPr>
        <w:autoSpaceDE w:val="0"/>
        <w:autoSpaceDN w:val="0"/>
        <w:adjustRightInd w:val="0"/>
        <w:ind w:firstLine="708"/>
        <w:jc w:val="both"/>
        <w:rPr>
          <w:rFonts w:ascii="Abadi" w:hAnsi="Abadi" w:cs="*Arial-6354-Identity-H"/>
          <w:color w:val="0C0C0F"/>
          <w:sz w:val="21"/>
          <w:szCs w:val="21"/>
        </w:rPr>
      </w:pPr>
      <w:r w:rsidRPr="00727023">
        <w:rPr>
          <w:rFonts w:ascii="Abadi" w:hAnsi="Abadi" w:cs="*Arial-6354-Identity-H"/>
          <w:color w:val="0C0C0F"/>
          <w:sz w:val="21"/>
          <w:szCs w:val="21"/>
        </w:rPr>
        <w:t>En este sentido, el alumbrado público es un serv</w:t>
      </w:r>
      <w:r>
        <w:rPr>
          <w:rFonts w:ascii="Abadi" w:hAnsi="Abadi" w:cs="*Arial-6354-Identity-H"/>
          <w:color w:val="0C0C0F"/>
          <w:sz w:val="21"/>
          <w:szCs w:val="21"/>
        </w:rPr>
        <w:t>icio</w:t>
      </w:r>
      <w:r w:rsidRPr="00727023">
        <w:rPr>
          <w:rFonts w:ascii="Abadi" w:hAnsi="Abadi" w:cs="*Arial-6354-Identity-H"/>
          <w:color w:val="0C0C0F"/>
          <w:sz w:val="21"/>
          <w:szCs w:val="21"/>
        </w:rPr>
        <w:t xml:space="preserve"> que tiene como</w:t>
      </w:r>
      <w:r>
        <w:rPr>
          <w:rFonts w:ascii="Abadi" w:hAnsi="Abadi" w:cs="*Arial-6354-Identity-H"/>
          <w:color w:val="0C0C0F"/>
          <w:sz w:val="21"/>
          <w:szCs w:val="21"/>
        </w:rPr>
        <w:t xml:space="preserve"> </w:t>
      </w:r>
      <w:r w:rsidRPr="00727023">
        <w:rPr>
          <w:rFonts w:ascii="Abadi" w:hAnsi="Abadi" w:cs="*Arial-6354-Identity-H"/>
          <w:color w:val="0C0C0F"/>
          <w:sz w:val="21"/>
          <w:szCs w:val="21"/>
        </w:rPr>
        <w:t>objetivo el desarrollo de un entorno cómodo y seguro para facilitar la movilidad de</w:t>
      </w:r>
      <w:r>
        <w:rPr>
          <w:rFonts w:ascii="Abadi" w:hAnsi="Abadi" w:cs="*Arial-6354-Identity-H"/>
          <w:color w:val="0C0C0F"/>
          <w:sz w:val="21"/>
          <w:szCs w:val="21"/>
        </w:rPr>
        <w:t xml:space="preserve"> </w:t>
      </w:r>
      <w:r w:rsidRPr="00727023">
        <w:rPr>
          <w:rFonts w:ascii="Abadi" w:hAnsi="Abadi" w:cs="*Arial-6354-Identity-H"/>
          <w:color w:val="0C0C0F"/>
          <w:sz w:val="21"/>
          <w:szCs w:val="21"/>
        </w:rPr>
        <w:t>la población, el disfrute de la ciudad, del patrimonio cultural y de los espacios</w:t>
      </w:r>
      <w:r>
        <w:rPr>
          <w:rFonts w:ascii="Abadi" w:hAnsi="Abadi" w:cs="*Arial-6354-Identity-H"/>
          <w:color w:val="0C0C0F"/>
          <w:sz w:val="21"/>
          <w:szCs w:val="21"/>
        </w:rPr>
        <w:t xml:space="preserve"> </w:t>
      </w:r>
      <w:r w:rsidRPr="00727023">
        <w:rPr>
          <w:rFonts w:ascii="Abadi" w:hAnsi="Abadi" w:cs="*Arial-6354-Identity-H"/>
          <w:color w:val="0C0C0F"/>
          <w:sz w:val="21"/>
          <w:szCs w:val="21"/>
        </w:rPr>
        <w:t>públicos; a su vez, mantiene una estrecha relación con la creación de condiciones</w:t>
      </w:r>
      <w:r>
        <w:rPr>
          <w:rFonts w:ascii="Abadi" w:hAnsi="Abadi" w:cs="*Arial-6354-Identity-H"/>
          <w:color w:val="0C0C0F"/>
          <w:sz w:val="21"/>
          <w:szCs w:val="21"/>
        </w:rPr>
        <w:t xml:space="preserve"> </w:t>
      </w:r>
      <w:r w:rsidRPr="00727023">
        <w:rPr>
          <w:rFonts w:ascii="Abadi" w:hAnsi="Abadi" w:cs="*Arial-6354-Identity-H"/>
          <w:color w:val="0C0C0F"/>
          <w:sz w:val="21"/>
          <w:szCs w:val="21"/>
        </w:rPr>
        <w:t>de seguridad en la vida cotidiana de la población, esto último por considerase un</w:t>
      </w:r>
      <w:r>
        <w:rPr>
          <w:rFonts w:ascii="Abadi" w:hAnsi="Abadi" w:cs="*Arial-6354-Identity-H"/>
          <w:color w:val="0C0C0F"/>
          <w:sz w:val="21"/>
          <w:szCs w:val="21"/>
        </w:rPr>
        <w:t xml:space="preserve"> </w:t>
      </w:r>
      <w:r w:rsidRPr="00727023">
        <w:rPr>
          <w:rFonts w:ascii="Abadi" w:hAnsi="Abadi" w:cs="*Arial-6354-Identity-H"/>
          <w:color w:val="0C0C0F"/>
          <w:sz w:val="21"/>
          <w:szCs w:val="21"/>
        </w:rPr>
        <w:t>factor que contribuye a reducir la percepción de inseguridad.</w:t>
      </w:r>
    </w:p>
    <w:p w14:paraId="03AD43DE" w14:textId="77777777" w:rsidR="007A32BE" w:rsidRPr="00727023" w:rsidRDefault="007A32BE" w:rsidP="007A32BE">
      <w:pPr>
        <w:autoSpaceDE w:val="0"/>
        <w:autoSpaceDN w:val="0"/>
        <w:adjustRightInd w:val="0"/>
        <w:jc w:val="both"/>
        <w:rPr>
          <w:rFonts w:ascii="Abadi" w:hAnsi="Abadi" w:cs="*Arial-6354-Identity-H"/>
          <w:color w:val="0C0C0F"/>
          <w:sz w:val="21"/>
          <w:szCs w:val="21"/>
        </w:rPr>
      </w:pPr>
    </w:p>
    <w:p w14:paraId="291160A9" w14:textId="77777777" w:rsidR="007A32BE" w:rsidRDefault="007A32BE" w:rsidP="007A32BE">
      <w:pPr>
        <w:autoSpaceDE w:val="0"/>
        <w:autoSpaceDN w:val="0"/>
        <w:adjustRightInd w:val="0"/>
        <w:ind w:firstLine="708"/>
        <w:jc w:val="both"/>
        <w:rPr>
          <w:rFonts w:ascii="Abadi" w:hAnsi="Abadi" w:cs="*Arial-6354-Identity-H"/>
          <w:color w:val="0D0D10"/>
          <w:sz w:val="21"/>
          <w:szCs w:val="21"/>
        </w:rPr>
      </w:pPr>
      <w:r w:rsidRPr="00727023">
        <w:rPr>
          <w:rFonts w:ascii="Abadi" w:hAnsi="Abadi" w:cs="*Arial-6354-Identity-H"/>
          <w:color w:val="0D0D10"/>
          <w:sz w:val="21"/>
          <w:szCs w:val="21"/>
        </w:rPr>
        <w:t>Derivado de lo anterior, el adecuado desempeño de los servicios públicos</w:t>
      </w:r>
      <w:r>
        <w:rPr>
          <w:rFonts w:ascii="Abadi" w:hAnsi="Abadi" w:cs="*Arial-6354-Identity-H"/>
          <w:color w:val="0D0D10"/>
          <w:sz w:val="21"/>
          <w:szCs w:val="21"/>
        </w:rPr>
        <w:t xml:space="preserve"> </w:t>
      </w:r>
      <w:r w:rsidRPr="00727023">
        <w:rPr>
          <w:rFonts w:ascii="Abadi" w:hAnsi="Abadi" w:cs="*Arial-6354-Identity-H"/>
          <w:color w:val="0D0D10"/>
          <w:sz w:val="21"/>
          <w:szCs w:val="21"/>
        </w:rPr>
        <w:t>incide en la calidad de vida de los habitantes y, por ello, es conveniente que se</w:t>
      </w:r>
      <w:r>
        <w:rPr>
          <w:rFonts w:ascii="Abadi" w:hAnsi="Abadi" w:cs="*Arial-6354-Identity-H"/>
          <w:color w:val="0D0D10"/>
          <w:sz w:val="21"/>
          <w:szCs w:val="21"/>
        </w:rPr>
        <w:t xml:space="preserve"> </w:t>
      </w:r>
      <w:r w:rsidRPr="00727023">
        <w:rPr>
          <w:rFonts w:ascii="Abadi" w:hAnsi="Abadi" w:cs="*Arial-6354-Identity-H"/>
          <w:color w:val="0D0D10"/>
          <w:sz w:val="21"/>
          <w:szCs w:val="21"/>
        </w:rPr>
        <w:t>administre bajo modelos de gestión orientados a los resultados que garanticen su</w:t>
      </w:r>
      <w:r>
        <w:rPr>
          <w:rFonts w:ascii="Abadi" w:hAnsi="Abadi" w:cs="*Arial-6354-Identity-H"/>
          <w:color w:val="0D0D10"/>
          <w:sz w:val="21"/>
          <w:szCs w:val="21"/>
        </w:rPr>
        <w:t xml:space="preserve"> </w:t>
      </w:r>
      <w:r w:rsidRPr="00727023">
        <w:rPr>
          <w:rFonts w:ascii="Abadi" w:hAnsi="Abadi" w:cs="*Arial-6354-Identity-H"/>
          <w:color w:val="0D0D10"/>
          <w:sz w:val="21"/>
          <w:szCs w:val="21"/>
        </w:rPr>
        <w:t>adecuada operación, permanencia, continuidad, uniformidad e igualdad ante los</w:t>
      </w:r>
      <w:r>
        <w:rPr>
          <w:rFonts w:ascii="Abadi" w:hAnsi="Abadi" w:cs="*Arial-6354-Identity-H"/>
          <w:color w:val="0D0D10"/>
          <w:sz w:val="21"/>
          <w:szCs w:val="21"/>
        </w:rPr>
        <w:t xml:space="preserve"> </w:t>
      </w:r>
      <w:r w:rsidRPr="00727023">
        <w:rPr>
          <w:rFonts w:ascii="Abadi" w:hAnsi="Abadi" w:cs="*Arial-6354-Identity-H"/>
          <w:color w:val="0D0D10"/>
          <w:sz w:val="21"/>
          <w:szCs w:val="21"/>
        </w:rPr>
        <w:t>usuarios, asegurando una cobertura integral y una oferta al alcance de la</w:t>
      </w:r>
      <w:r>
        <w:rPr>
          <w:rFonts w:ascii="Abadi" w:hAnsi="Abadi" w:cs="*Arial-6354-Identity-H"/>
          <w:color w:val="0D0D10"/>
          <w:sz w:val="21"/>
          <w:szCs w:val="21"/>
        </w:rPr>
        <w:t xml:space="preserve"> </w:t>
      </w:r>
      <w:r w:rsidRPr="00727023">
        <w:rPr>
          <w:rFonts w:ascii="Abadi" w:hAnsi="Abadi" w:cs="*Arial-6354-Identity-H"/>
          <w:color w:val="0D0D10"/>
          <w:sz w:val="21"/>
          <w:szCs w:val="21"/>
        </w:rPr>
        <w:t>población municipal que lo requiera.</w:t>
      </w:r>
    </w:p>
    <w:p w14:paraId="1AB5F20A" w14:textId="77777777" w:rsidR="007A32BE" w:rsidRPr="00727023" w:rsidRDefault="007A32BE" w:rsidP="007A32BE">
      <w:pPr>
        <w:autoSpaceDE w:val="0"/>
        <w:autoSpaceDN w:val="0"/>
        <w:adjustRightInd w:val="0"/>
        <w:jc w:val="both"/>
        <w:rPr>
          <w:rFonts w:ascii="Abadi" w:hAnsi="Abadi" w:cs="*Arial-6354-Identity-H"/>
          <w:color w:val="0D0D10"/>
          <w:sz w:val="21"/>
          <w:szCs w:val="21"/>
        </w:rPr>
      </w:pPr>
    </w:p>
    <w:p w14:paraId="5113176A" w14:textId="439037A3" w:rsidR="007A32BE" w:rsidRPr="00727023" w:rsidRDefault="007A32BE" w:rsidP="007A32BE">
      <w:pPr>
        <w:autoSpaceDE w:val="0"/>
        <w:autoSpaceDN w:val="0"/>
        <w:adjustRightInd w:val="0"/>
        <w:ind w:firstLine="708"/>
        <w:jc w:val="both"/>
        <w:rPr>
          <w:rFonts w:ascii="Abadi" w:hAnsi="Abadi" w:cs="*Arial-6354-Identity-H"/>
          <w:color w:val="0C0C0E"/>
          <w:sz w:val="21"/>
          <w:szCs w:val="21"/>
        </w:rPr>
      </w:pPr>
      <w:r w:rsidRPr="00727023">
        <w:rPr>
          <w:rFonts w:ascii="Abadi" w:hAnsi="Abadi" w:cs="*Arial-6354-Identity-H"/>
          <w:color w:val="0C0C0E"/>
          <w:sz w:val="21"/>
          <w:szCs w:val="21"/>
        </w:rPr>
        <w:t>Es as</w:t>
      </w:r>
      <w:r w:rsidR="0042658F">
        <w:rPr>
          <w:rFonts w:ascii="Abadi" w:hAnsi="Abadi" w:cs="*Arial-6354-Identity-H"/>
          <w:color w:val="0C0C0E"/>
          <w:sz w:val="21"/>
          <w:szCs w:val="21"/>
        </w:rPr>
        <w:t>í</w:t>
      </w:r>
      <w:r w:rsidRPr="00727023">
        <w:rPr>
          <w:rFonts w:ascii="Abadi" w:hAnsi="Abadi" w:cs="*Arial-6354-Identity-H"/>
          <w:color w:val="0C0C0E"/>
          <w:sz w:val="21"/>
          <w:szCs w:val="21"/>
        </w:rPr>
        <w:t xml:space="preserve"> que en el caso que nos ocupa, se definió el objetivo general de la</w:t>
      </w:r>
      <w:r>
        <w:rPr>
          <w:rFonts w:ascii="Abadi" w:hAnsi="Abadi" w:cs="*Arial-6354-Identity-H"/>
          <w:color w:val="0C0C0E"/>
          <w:sz w:val="21"/>
          <w:szCs w:val="21"/>
        </w:rPr>
        <w:t xml:space="preserve"> </w:t>
      </w:r>
      <w:r w:rsidRPr="00727023">
        <w:rPr>
          <w:rFonts w:ascii="Abadi" w:hAnsi="Abadi" w:cs="*Arial-6354-Identity-H"/>
          <w:color w:val="0C0C0E"/>
          <w:sz w:val="21"/>
          <w:szCs w:val="21"/>
        </w:rPr>
        <w:t>auditoria con el propósito de verificar la capacidad del municipio de San Miguel de</w:t>
      </w:r>
      <w:r>
        <w:rPr>
          <w:rFonts w:ascii="Abadi" w:hAnsi="Abadi" w:cs="*Arial-6354-Identity-H"/>
          <w:color w:val="0C0C0E"/>
          <w:sz w:val="21"/>
          <w:szCs w:val="21"/>
        </w:rPr>
        <w:t xml:space="preserve"> </w:t>
      </w:r>
      <w:r w:rsidRPr="00727023">
        <w:rPr>
          <w:rFonts w:ascii="Abadi" w:hAnsi="Abadi" w:cs="*Arial-6354-Identity-H"/>
          <w:color w:val="0C0C0E"/>
          <w:sz w:val="21"/>
          <w:szCs w:val="21"/>
        </w:rPr>
        <w:t xml:space="preserve">Allende, </w:t>
      </w:r>
      <w:proofErr w:type="spellStart"/>
      <w:r w:rsidRPr="00727023">
        <w:rPr>
          <w:rFonts w:ascii="Abadi" w:hAnsi="Abadi" w:cs="*Arial-6354-Identity-H"/>
          <w:color w:val="0C0C0E"/>
          <w:sz w:val="21"/>
          <w:szCs w:val="21"/>
        </w:rPr>
        <w:t>Gto</w:t>
      </w:r>
      <w:proofErr w:type="spellEnd"/>
      <w:r w:rsidRPr="00727023">
        <w:rPr>
          <w:rFonts w:ascii="Abadi" w:hAnsi="Abadi" w:cs="*Arial-6354-Identity-H"/>
          <w:color w:val="0C0C0E"/>
          <w:sz w:val="21"/>
          <w:szCs w:val="21"/>
        </w:rPr>
        <w:t>., para lograr una prestación eficaz del servicio de alumbrado público</w:t>
      </w:r>
      <w:r>
        <w:rPr>
          <w:rFonts w:ascii="Abadi" w:hAnsi="Abadi" w:cs="*Arial-6354-Identity-H"/>
          <w:color w:val="0C0C0E"/>
          <w:sz w:val="21"/>
          <w:szCs w:val="21"/>
        </w:rPr>
        <w:t xml:space="preserve"> </w:t>
      </w:r>
      <w:r w:rsidRPr="00727023">
        <w:rPr>
          <w:rFonts w:ascii="Abadi" w:hAnsi="Abadi" w:cs="*Arial-6354-Identity-H"/>
          <w:color w:val="0C0C0E"/>
          <w:sz w:val="21"/>
          <w:szCs w:val="21"/>
        </w:rPr>
        <w:t>a su población, así como de conocer si las funciones de planificación, operación y</w:t>
      </w:r>
      <w:r>
        <w:rPr>
          <w:rFonts w:ascii="Abadi" w:hAnsi="Abadi" w:cs="*Arial-6354-Identity-H"/>
          <w:color w:val="0C0C0E"/>
          <w:sz w:val="21"/>
          <w:szCs w:val="21"/>
        </w:rPr>
        <w:t xml:space="preserve"> </w:t>
      </w:r>
      <w:r w:rsidRPr="00727023">
        <w:rPr>
          <w:rFonts w:ascii="Abadi" w:hAnsi="Abadi" w:cs="*Arial-6354-Identity-H"/>
          <w:color w:val="0C0C0E"/>
          <w:sz w:val="21"/>
          <w:szCs w:val="21"/>
        </w:rPr>
        <w:t>seguimiento se desarrollaron bajo el principio de eficiencia, ya que de ello</w:t>
      </w:r>
      <w:r>
        <w:rPr>
          <w:rFonts w:ascii="Abadi" w:hAnsi="Abadi" w:cs="*Arial-6354-Identity-H"/>
          <w:color w:val="0C0C0E"/>
          <w:sz w:val="21"/>
          <w:szCs w:val="21"/>
        </w:rPr>
        <w:t xml:space="preserve"> </w:t>
      </w:r>
      <w:r w:rsidRPr="00727023">
        <w:rPr>
          <w:rFonts w:ascii="Abadi" w:hAnsi="Abadi" w:cs="*Arial-6354-Identity-H"/>
          <w:color w:val="0C0C0E"/>
          <w:sz w:val="21"/>
          <w:szCs w:val="21"/>
        </w:rPr>
        <w:t>depende el grado de satisfacción de la comunidad.</w:t>
      </w:r>
    </w:p>
    <w:p w14:paraId="647616AC" w14:textId="77777777" w:rsidR="007A32BE" w:rsidRDefault="007A32BE" w:rsidP="007A32BE">
      <w:pPr>
        <w:autoSpaceDE w:val="0"/>
        <w:autoSpaceDN w:val="0"/>
        <w:adjustRightInd w:val="0"/>
        <w:jc w:val="both"/>
        <w:rPr>
          <w:rFonts w:ascii="Abadi" w:hAnsi="Abadi" w:cs="*Arial-8042-Identity-H"/>
          <w:color w:val="0C0C0E"/>
          <w:sz w:val="21"/>
          <w:szCs w:val="21"/>
        </w:rPr>
      </w:pPr>
    </w:p>
    <w:p w14:paraId="2150A42C" w14:textId="77777777" w:rsidR="007A32BE" w:rsidRDefault="007A32BE" w:rsidP="007A32BE">
      <w:pPr>
        <w:autoSpaceDE w:val="0"/>
        <w:autoSpaceDN w:val="0"/>
        <w:adjustRightInd w:val="0"/>
        <w:jc w:val="both"/>
        <w:rPr>
          <w:rFonts w:ascii="Abadi" w:hAnsi="Abadi" w:cs="*Arial-8042-Identity-H"/>
          <w:color w:val="0C0C0E"/>
          <w:sz w:val="21"/>
          <w:szCs w:val="21"/>
        </w:rPr>
      </w:pPr>
      <w:r w:rsidRPr="00727023">
        <w:rPr>
          <w:rFonts w:ascii="Abadi" w:hAnsi="Abadi" w:cs="*Arial-8042-Identity-H"/>
          <w:color w:val="0C0C0E"/>
          <w:sz w:val="21"/>
          <w:szCs w:val="21"/>
        </w:rPr>
        <w:t>Para su consecución, las labores de la Auditoría Superior del Estado</w:t>
      </w:r>
      <w:r>
        <w:rPr>
          <w:rFonts w:ascii="Abadi" w:hAnsi="Abadi" w:cs="*Arial-8042-Identity-H"/>
          <w:color w:val="0C0C0E"/>
          <w:sz w:val="21"/>
          <w:szCs w:val="21"/>
        </w:rPr>
        <w:t xml:space="preserve"> </w:t>
      </w:r>
      <w:r w:rsidRPr="00727023">
        <w:rPr>
          <w:rFonts w:ascii="Abadi" w:hAnsi="Abadi" w:cs="*Arial-8042-Identity-H"/>
          <w:color w:val="0C0C0E"/>
          <w:sz w:val="21"/>
          <w:szCs w:val="21"/>
        </w:rPr>
        <w:t>consideraron la verificación de la existencia de procesos diagnósticos o de</w:t>
      </w:r>
      <w:r>
        <w:rPr>
          <w:rFonts w:ascii="Abadi" w:hAnsi="Abadi" w:cs="*Arial-8042-Identity-H"/>
          <w:color w:val="0C0C0E"/>
          <w:sz w:val="21"/>
          <w:szCs w:val="21"/>
        </w:rPr>
        <w:t xml:space="preserve"> </w:t>
      </w:r>
      <w:r w:rsidRPr="00727023">
        <w:rPr>
          <w:rFonts w:ascii="Abadi" w:hAnsi="Abadi" w:cs="*Arial-8042-Identity-H"/>
          <w:color w:val="0C0C0E"/>
          <w:sz w:val="21"/>
          <w:szCs w:val="21"/>
        </w:rPr>
        <w:t>planificación que permitieran a la administración municipal conocer la oferta del</w:t>
      </w:r>
      <w:r>
        <w:rPr>
          <w:rFonts w:ascii="Abadi" w:hAnsi="Abadi" w:cs="*Arial-8042-Identity-H"/>
          <w:color w:val="0C0C0E"/>
          <w:sz w:val="21"/>
          <w:szCs w:val="21"/>
        </w:rPr>
        <w:t xml:space="preserve"> </w:t>
      </w:r>
      <w:r w:rsidRPr="00727023">
        <w:rPr>
          <w:rFonts w:ascii="Abadi" w:hAnsi="Abadi" w:cs="*Arial-8042-Identity-H"/>
          <w:color w:val="0C0C0E"/>
          <w:sz w:val="21"/>
          <w:szCs w:val="21"/>
        </w:rPr>
        <w:t>servicio y las brechas por cubrir, definir la estimación de recursos para una</w:t>
      </w:r>
      <w:r>
        <w:rPr>
          <w:rFonts w:ascii="Abadi" w:hAnsi="Abadi" w:cs="*Arial-8042-Identity-H"/>
          <w:color w:val="0C0C0E"/>
          <w:sz w:val="21"/>
          <w:szCs w:val="21"/>
        </w:rPr>
        <w:t xml:space="preserve"> </w:t>
      </w:r>
      <w:r w:rsidRPr="00727023">
        <w:rPr>
          <w:rFonts w:ascii="Abadi" w:hAnsi="Abadi" w:cs="*Arial-8042-Identity-H"/>
          <w:color w:val="0C0C0E"/>
          <w:sz w:val="21"/>
          <w:szCs w:val="21"/>
        </w:rPr>
        <w:t>adecuada operación y la definición de metas y objetivos orientados a la mejora del</w:t>
      </w:r>
      <w:r>
        <w:rPr>
          <w:rFonts w:ascii="Abadi" w:hAnsi="Abadi" w:cs="*Arial-8042-Identity-H"/>
          <w:color w:val="0C0C0E"/>
          <w:sz w:val="21"/>
          <w:szCs w:val="21"/>
        </w:rPr>
        <w:t xml:space="preserve"> </w:t>
      </w:r>
      <w:r w:rsidRPr="00727023">
        <w:rPr>
          <w:rFonts w:ascii="Abadi" w:hAnsi="Abadi" w:cs="*Arial-8042-Identity-H"/>
          <w:color w:val="0C0C0E"/>
          <w:sz w:val="21"/>
          <w:szCs w:val="21"/>
        </w:rPr>
        <w:t>servicio; respecto de la operación, se consideró la verificación del establecimiento</w:t>
      </w:r>
      <w:r>
        <w:rPr>
          <w:rFonts w:ascii="Abadi" w:hAnsi="Abadi" w:cs="*Arial-8042-Identity-H"/>
          <w:color w:val="0C0C0E"/>
          <w:sz w:val="21"/>
          <w:szCs w:val="21"/>
        </w:rPr>
        <w:t xml:space="preserve"> </w:t>
      </w:r>
      <w:r w:rsidRPr="00727023">
        <w:rPr>
          <w:rFonts w:ascii="Abadi" w:hAnsi="Abadi" w:cs="*Arial-8042-Identity-H"/>
          <w:color w:val="0C0C0E"/>
          <w:sz w:val="21"/>
          <w:szCs w:val="21"/>
        </w:rPr>
        <w:t>de un marco normativo adecuado y vigente, la programación de actividades y su</w:t>
      </w:r>
      <w:r>
        <w:rPr>
          <w:rFonts w:ascii="Abadi" w:hAnsi="Abadi" w:cs="*Arial-8042-Identity-H"/>
          <w:color w:val="0C0C0E"/>
          <w:sz w:val="21"/>
          <w:szCs w:val="21"/>
        </w:rPr>
        <w:t xml:space="preserve"> </w:t>
      </w:r>
      <w:r w:rsidRPr="00727023">
        <w:rPr>
          <w:rFonts w:ascii="Abadi" w:hAnsi="Abadi" w:cs="*Arial-8042-Identity-H"/>
          <w:color w:val="0C0C0E"/>
          <w:sz w:val="21"/>
          <w:szCs w:val="21"/>
        </w:rPr>
        <w:t>consecución, los mecanismos de. atención ciudadana para el reporte de fallas y los</w:t>
      </w:r>
      <w:r>
        <w:rPr>
          <w:rFonts w:ascii="Abadi" w:hAnsi="Abadi" w:cs="*Arial-8042-Identity-H"/>
          <w:color w:val="0C0C0E"/>
          <w:sz w:val="21"/>
          <w:szCs w:val="21"/>
        </w:rPr>
        <w:t xml:space="preserve"> </w:t>
      </w:r>
      <w:r w:rsidRPr="00727023">
        <w:rPr>
          <w:rFonts w:ascii="Abadi" w:hAnsi="Abadi" w:cs="*Arial-8042-Identity-H"/>
          <w:color w:val="0C0C0E"/>
          <w:sz w:val="21"/>
          <w:szCs w:val="21"/>
        </w:rPr>
        <w:t>resultados en la cobertura, mantenimiento y satisfacción. También se revisaron los</w:t>
      </w:r>
      <w:r>
        <w:rPr>
          <w:rFonts w:ascii="Abadi" w:hAnsi="Abadi" w:cs="*Arial-8042-Identity-H"/>
          <w:color w:val="0C0C0E"/>
          <w:sz w:val="21"/>
          <w:szCs w:val="21"/>
        </w:rPr>
        <w:t xml:space="preserve"> </w:t>
      </w:r>
      <w:r w:rsidRPr="00727023">
        <w:rPr>
          <w:rFonts w:ascii="Abadi" w:hAnsi="Abadi" w:cs="*Arial-8042-Identity-H"/>
          <w:color w:val="0C0C0E"/>
          <w:sz w:val="21"/>
          <w:szCs w:val="21"/>
        </w:rPr>
        <w:t>mecanismos de monitoreo y evaluación, con el objetivo de analizar el desempeño</w:t>
      </w:r>
      <w:r>
        <w:rPr>
          <w:rFonts w:ascii="Abadi" w:hAnsi="Abadi" w:cs="*Arial-8042-Identity-H"/>
          <w:color w:val="0C0C0E"/>
          <w:sz w:val="21"/>
          <w:szCs w:val="21"/>
        </w:rPr>
        <w:t xml:space="preserve"> </w:t>
      </w:r>
      <w:r w:rsidRPr="00727023">
        <w:rPr>
          <w:rFonts w:ascii="Abadi" w:hAnsi="Abadi" w:cs="*Arial-8042-Identity-H"/>
          <w:color w:val="0C0C0E"/>
          <w:sz w:val="21"/>
          <w:szCs w:val="21"/>
        </w:rPr>
        <w:t>del Municipio en el otorgamiento del servicio, y verificar la eficiencia y la eficacia</w:t>
      </w:r>
      <w:r>
        <w:rPr>
          <w:rFonts w:ascii="Abadi" w:hAnsi="Abadi" w:cs="*Arial-8042-Identity-H"/>
          <w:color w:val="0C0C0E"/>
          <w:sz w:val="21"/>
          <w:szCs w:val="21"/>
        </w:rPr>
        <w:t xml:space="preserve"> </w:t>
      </w:r>
      <w:r w:rsidRPr="00727023">
        <w:rPr>
          <w:rFonts w:ascii="Abadi" w:hAnsi="Abadi" w:cs="*Arial-8042-Identity-H"/>
          <w:color w:val="0C0C0E"/>
          <w:sz w:val="21"/>
          <w:szCs w:val="21"/>
        </w:rPr>
        <w:t>del alumbrado público municipal en beneficio de la ciudadanía.</w:t>
      </w:r>
    </w:p>
    <w:p w14:paraId="2DB6DDBD" w14:textId="77777777" w:rsidR="007A32BE" w:rsidRPr="00727023" w:rsidRDefault="007A32BE" w:rsidP="007A32BE">
      <w:pPr>
        <w:autoSpaceDE w:val="0"/>
        <w:autoSpaceDN w:val="0"/>
        <w:adjustRightInd w:val="0"/>
        <w:jc w:val="both"/>
        <w:rPr>
          <w:rFonts w:ascii="Abadi" w:hAnsi="Abadi" w:cs="*Arial-8042-Identity-H"/>
          <w:color w:val="0C0C0E"/>
          <w:sz w:val="21"/>
          <w:szCs w:val="21"/>
        </w:rPr>
      </w:pPr>
    </w:p>
    <w:p w14:paraId="5B656683" w14:textId="77777777" w:rsidR="007A32BE" w:rsidRDefault="007A32BE" w:rsidP="007A32BE">
      <w:pPr>
        <w:autoSpaceDE w:val="0"/>
        <w:autoSpaceDN w:val="0"/>
        <w:adjustRightInd w:val="0"/>
        <w:ind w:firstLine="708"/>
        <w:jc w:val="both"/>
        <w:rPr>
          <w:rFonts w:ascii="Abadi" w:hAnsi="Abadi" w:cs="*Arial-8042-Identity-H"/>
          <w:color w:val="0C0B0E"/>
          <w:sz w:val="21"/>
          <w:szCs w:val="21"/>
        </w:rPr>
      </w:pPr>
      <w:r w:rsidRPr="00727023">
        <w:rPr>
          <w:rFonts w:ascii="Abadi" w:hAnsi="Abadi" w:cs="*Arial-8042-Identity-H"/>
          <w:color w:val="0C0B0E"/>
          <w:sz w:val="21"/>
          <w:szCs w:val="21"/>
        </w:rPr>
        <w:t>Asimismo, se hace constar que la administración pública municipal de San</w:t>
      </w:r>
      <w:r>
        <w:rPr>
          <w:rFonts w:ascii="Abadi" w:hAnsi="Abadi" w:cs="*Arial-8042-Identity-H"/>
          <w:color w:val="0C0B0E"/>
          <w:sz w:val="21"/>
          <w:szCs w:val="21"/>
        </w:rPr>
        <w:t xml:space="preserve"> </w:t>
      </w:r>
      <w:r w:rsidRPr="00727023">
        <w:rPr>
          <w:rFonts w:ascii="Abadi" w:hAnsi="Abadi" w:cs="*Arial-8042-Identity-H"/>
          <w:color w:val="0C0B0E"/>
          <w:sz w:val="21"/>
          <w:szCs w:val="21"/>
        </w:rPr>
        <w:t xml:space="preserve">Miguel de Allende, </w:t>
      </w:r>
      <w:proofErr w:type="spellStart"/>
      <w:r w:rsidRPr="00727023">
        <w:rPr>
          <w:rFonts w:ascii="Abadi" w:hAnsi="Abadi" w:cs="*Arial-8042-Identity-H"/>
          <w:color w:val="0C0B0E"/>
          <w:sz w:val="21"/>
          <w:szCs w:val="21"/>
        </w:rPr>
        <w:t>Gto</w:t>
      </w:r>
      <w:proofErr w:type="spellEnd"/>
      <w:r w:rsidRPr="00727023">
        <w:rPr>
          <w:rFonts w:ascii="Abadi" w:hAnsi="Abadi" w:cs="*Arial-8042-Identity-H"/>
          <w:color w:val="0C0B0E"/>
          <w:sz w:val="21"/>
          <w:szCs w:val="21"/>
        </w:rPr>
        <w:t>., implementó acciones para otorgar el servicio de</w:t>
      </w:r>
      <w:r>
        <w:rPr>
          <w:rFonts w:ascii="Abadi" w:hAnsi="Abadi" w:cs="*Arial-8042-Identity-H"/>
          <w:color w:val="0C0B0E"/>
          <w:sz w:val="21"/>
          <w:szCs w:val="21"/>
        </w:rPr>
        <w:t xml:space="preserve"> </w:t>
      </w:r>
      <w:r w:rsidRPr="00727023">
        <w:rPr>
          <w:rFonts w:ascii="Abadi" w:hAnsi="Abadi" w:cs="*Arial-8042-Identity-H"/>
          <w:color w:val="0C0B0E"/>
          <w:sz w:val="21"/>
          <w:szCs w:val="21"/>
        </w:rPr>
        <w:t>alumbrado público a la población, destacando su inclusión en su Programa de</w:t>
      </w:r>
      <w:r>
        <w:rPr>
          <w:rFonts w:ascii="Abadi" w:hAnsi="Abadi" w:cs="*Arial-8042-Identity-H"/>
          <w:color w:val="0C0B0E"/>
          <w:sz w:val="21"/>
          <w:szCs w:val="21"/>
        </w:rPr>
        <w:t xml:space="preserve"> </w:t>
      </w:r>
      <w:r w:rsidRPr="00727023">
        <w:rPr>
          <w:rFonts w:ascii="Abadi" w:hAnsi="Abadi" w:cs="*Arial-8042-Identity-H"/>
          <w:color w:val="0C0B0E"/>
          <w:sz w:val="21"/>
          <w:szCs w:val="21"/>
        </w:rPr>
        <w:t>Gobierno 2018-2021, en el que se identificaron metas y acciones enfocadas en la</w:t>
      </w:r>
      <w:r>
        <w:rPr>
          <w:rFonts w:ascii="Abadi" w:hAnsi="Abadi" w:cs="*Arial-8042-Identity-H"/>
          <w:color w:val="0C0B0E"/>
          <w:sz w:val="21"/>
          <w:szCs w:val="21"/>
        </w:rPr>
        <w:t xml:space="preserve"> </w:t>
      </w:r>
      <w:r w:rsidRPr="00727023">
        <w:rPr>
          <w:rFonts w:ascii="Abadi" w:hAnsi="Abadi" w:cs="*Arial-8042-Identity-H"/>
          <w:color w:val="0C0B0E"/>
          <w:sz w:val="21"/>
          <w:szCs w:val="21"/>
        </w:rPr>
        <w:t>instalación de más de 10,000 luminarias ahorradoras de energía, mantenimiento</w:t>
      </w:r>
      <w:r>
        <w:rPr>
          <w:rFonts w:ascii="Abadi" w:hAnsi="Abadi" w:cs="*Arial-8042-Identity-H"/>
          <w:color w:val="0C0B0E"/>
          <w:sz w:val="21"/>
          <w:szCs w:val="21"/>
        </w:rPr>
        <w:t xml:space="preserve"> </w:t>
      </w:r>
      <w:r w:rsidRPr="00727023">
        <w:rPr>
          <w:rFonts w:ascii="Abadi" w:hAnsi="Abadi" w:cs="*Arial-8042-Identity-H"/>
          <w:color w:val="0C0B0E"/>
          <w:sz w:val="21"/>
          <w:szCs w:val="21"/>
        </w:rPr>
        <w:t>permanente de alumbrado público, así como la instrumentación de un Programa</w:t>
      </w:r>
      <w:r>
        <w:rPr>
          <w:rFonts w:ascii="Abadi" w:hAnsi="Abadi" w:cs="*Arial-8042-Identity-H"/>
          <w:color w:val="0C0B0E"/>
          <w:sz w:val="21"/>
          <w:szCs w:val="21"/>
        </w:rPr>
        <w:t xml:space="preserve"> </w:t>
      </w:r>
      <w:r w:rsidRPr="00727023">
        <w:rPr>
          <w:rFonts w:ascii="Abadi" w:hAnsi="Abadi" w:cs="*Arial-8042-Identity-H"/>
          <w:color w:val="0C0B0E"/>
          <w:sz w:val="21"/>
          <w:szCs w:val="21"/>
        </w:rPr>
        <w:t>de Mejoramiento de la tecnología en el sistema de alumbrado público</w:t>
      </w:r>
      <w:r>
        <w:rPr>
          <w:rFonts w:ascii="Abadi" w:hAnsi="Abadi" w:cs="*Arial-8042-Identity-H"/>
          <w:color w:val="0C0B0E"/>
          <w:sz w:val="21"/>
          <w:szCs w:val="21"/>
        </w:rPr>
        <w:t xml:space="preserve">. </w:t>
      </w:r>
    </w:p>
    <w:p w14:paraId="5C1A9B09" w14:textId="77777777" w:rsidR="007A32BE" w:rsidRDefault="007A32BE" w:rsidP="007A32BE">
      <w:pPr>
        <w:autoSpaceDE w:val="0"/>
        <w:autoSpaceDN w:val="0"/>
        <w:adjustRightInd w:val="0"/>
        <w:ind w:firstLine="708"/>
        <w:jc w:val="both"/>
        <w:rPr>
          <w:rFonts w:ascii="Abadi" w:hAnsi="Abadi" w:cs="*Arial-8042-Identity-H"/>
          <w:color w:val="0C0B0E"/>
          <w:sz w:val="21"/>
          <w:szCs w:val="21"/>
        </w:rPr>
      </w:pPr>
    </w:p>
    <w:p w14:paraId="03BA943F" w14:textId="77777777" w:rsidR="007A32BE" w:rsidRDefault="007A32BE" w:rsidP="007A32BE">
      <w:pPr>
        <w:autoSpaceDE w:val="0"/>
        <w:autoSpaceDN w:val="0"/>
        <w:adjustRightInd w:val="0"/>
        <w:ind w:firstLine="708"/>
        <w:jc w:val="both"/>
        <w:rPr>
          <w:rFonts w:ascii="Abadi" w:hAnsi="Abadi" w:cs="*Arial-8042-Identity-H"/>
          <w:color w:val="0C0C0E"/>
          <w:sz w:val="21"/>
          <w:szCs w:val="21"/>
        </w:rPr>
      </w:pPr>
      <w:r w:rsidRPr="00727023">
        <w:rPr>
          <w:rFonts w:ascii="Abadi" w:hAnsi="Abadi" w:cs="*Arial-8042-Identity-H"/>
          <w:color w:val="0C0C0E"/>
          <w:sz w:val="21"/>
          <w:szCs w:val="21"/>
        </w:rPr>
        <w:t>Es así, que para el cumplimiento de sus objetivos en materia de alumbrado</w:t>
      </w:r>
      <w:r>
        <w:rPr>
          <w:rFonts w:ascii="Abadi" w:hAnsi="Abadi" w:cs="*Arial-8042-Identity-H"/>
          <w:color w:val="0C0C0E"/>
          <w:sz w:val="21"/>
          <w:szCs w:val="21"/>
        </w:rPr>
        <w:t xml:space="preserve"> </w:t>
      </w:r>
      <w:r w:rsidRPr="00727023">
        <w:rPr>
          <w:rFonts w:ascii="Abadi" w:hAnsi="Abadi" w:cs="*Arial-8042-Identity-H"/>
          <w:color w:val="0C0C0E"/>
          <w:sz w:val="21"/>
          <w:szCs w:val="21"/>
        </w:rPr>
        <w:t xml:space="preserve">público, el sujeto fiscalizado contó con el programa presupuestario </w:t>
      </w:r>
      <w:r w:rsidRPr="00727023">
        <w:rPr>
          <w:rFonts w:ascii="Abadi" w:hAnsi="Abadi" w:cs="*Arial-Italic-8043-Identity-H"/>
          <w:i/>
          <w:iCs/>
          <w:color w:val="0C0C0E"/>
          <w:sz w:val="21"/>
          <w:szCs w:val="21"/>
        </w:rPr>
        <w:t>E0047</w:t>
      </w:r>
      <w:r>
        <w:rPr>
          <w:rFonts w:ascii="Abadi" w:hAnsi="Abadi" w:cs="*Arial-Italic-8043-Identity-H"/>
          <w:i/>
          <w:iCs/>
          <w:color w:val="0C0C0E"/>
          <w:sz w:val="21"/>
          <w:szCs w:val="21"/>
        </w:rPr>
        <w:t xml:space="preserve"> </w:t>
      </w:r>
      <w:r w:rsidRPr="00727023">
        <w:rPr>
          <w:rFonts w:ascii="Abadi" w:hAnsi="Abadi" w:cs="*Arial-Italic-8043-Identity-H"/>
          <w:i/>
          <w:iCs/>
          <w:color w:val="0C0C0E"/>
          <w:sz w:val="21"/>
          <w:szCs w:val="21"/>
        </w:rPr>
        <w:t xml:space="preserve">Rehabilitación Integral del Alumbrado Público, </w:t>
      </w:r>
      <w:r w:rsidRPr="00727023">
        <w:rPr>
          <w:rFonts w:ascii="Abadi" w:hAnsi="Abadi" w:cs="*Arial-8042-Identity-H"/>
          <w:color w:val="0C0C0E"/>
          <w:sz w:val="21"/>
          <w:szCs w:val="21"/>
        </w:rPr>
        <w:t>el cual conforme a su diagnóstico</w:t>
      </w:r>
      <w:r>
        <w:rPr>
          <w:rFonts w:ascii="Abadi" w:hAnsi="Abadi" w:cs="*Arial-8042-Identity-H"/>
          <w:color w:val="0C0C0E"/>
          <w:sz w:val="21"/>
          <w:szCs w:val="21"/>
        </w:rPr>
        <w:t xml:space="preserve"> </w:t>
      </w:r>
      <w:r w:rsidRPr="00727023">
        <w:rPr>
          <w:rFonts w:ascii="Abadi" w:hAnsi="Abadi" w:cs="*Arial-8042-Identity-H"/>
          <w:color w:val="0C0C0E"/>
          <w:sz w:val="21"/>
          <w:szCs w:val="21"/>
        </w:rPr>
        <w:t>atiende problemas relacionados con equipos altamente contaminantes, cableado</w:t>
      </w:r>
      <w:r>
        <w:rPr>
          <w:rFonts w:ascii="Abadi" w:hAnsi="Abadi" w:cs="*Arial-8042-Identity-H"/>
          <w:color w:val="0C0C0E"/>
          <w:sz w:val="21"/>
          <w:szCs w:val="21"/>
        </w:rPr>
        <w:t xml:space="preserve"> </w:t>
      </w:r>
      <w:r w:rsidRPr="00727023">
        <w:rPr>
          <w:rFonts w:ascii="Abadi" w:hAnsi="Abadi" w:cs="*Arial-8042-Identity-H"/>
          <w:color w:val="0C0C0E"/>
          <w:sz w:val="21"/>
          <w:szCs w:val="21"/>
        </w:rPr>
        <w:t>de baja calidad que causan descargas eléctricas, cortos circuitos y alto consumo</w:t>
      </w:r>
      <w:r>
        <w:rPr>
          <w:rFonts w:ascii="Abadi" w:hAnsi="Abadi" w:cs="*Arial-8042-Identity-H"/>
          <w:color w:val="0C0C0E"/>
          <w:sz w:val="21"/>
          <w:szCs w:val="21"/>
        </w:rPr>
        <w:t xml:space="preserve"> </w:t>
      </w:r>
      <w:r w:rsidRPr="00727023">
        <w:rPr>
          <w:rFonts w:ascii="Abadi" w:hAnsi="Abadi" w:cs="*Arial-8042-Identity-H"/>
          <w:color w:val="0C0C0E"/>
          <w:sz w:val="21"/>
          <w:szCs w:val="21"/>
        </w:rPr>
        <w:t>de energía y falta de planeación de mantenimiento de alumbrado público</w:t>
      </w:r>
      <w:r>
        <w:rPr>
          <w:rFonts w:ascii="Abadi" w:hAnsi="Abadi" w:cs="*Arial-8042-Identity-H"/>
          <w:color w:val="0C0C0E"/>
          <w:sz w:val="21"/>
          <w:szCs w:val="21"/>
        </w:rPr>
        <w:t xml:space="preserve"> </w:t>
      </w:r>
      <w:r w:rsidRPr="00727023">
        <w:rPr>
          <w:rFonts w:ascii="Abadi" w:hAnsi="Abadi" w:cs="*Arial-8042-Identity-H"/>
          <w:color w:val="0C0C0E"/>
          <w:sz w:val="21"/>
          <w:szCs w:val="21"/>
        </w:rPr>
        <w:t>principalmente en vialidades de entradas y salidas de la cabecera municipal. En</w:t>
      </w:r>
      <w:r>
        <w:rPr>
          <w:rFonts w:ascii="Abadi" w:hAnsi="Abadi" w:cs="*Arial-8042-Identity-H"/>
          <w:color w:val="0C0C0E"/>
          <w:sz w:val="21"/>
          <w:szCs w:val="21"/>
        </w:rPr>
        <w:t xml:space="preserve"> </w:t>
      </w:r>
      <w:r w:rsidRPr="00727023">
        <w:rPr>
          <w:rFonts w:ascii="Abadi" w:hAnsi="Abadi" w:cs="*Arial-8042-Identity-H"/>
          <w:color w:val="0C0C0E"/>
          <w:sz w:val="21"/>
          <w:szCs w:val="21"/>
        </w:rPr>
        <w:t>razón de lo anterior, a través de dicho programa se busca otorgar un servicio de</w:t>
      </w:r>
      <w:r>
        <w:rPr>
          <w:rFonts w:ascii="Abadi" w:hAnsi="Abadi" w:cs="*Arial-8042-Identity-H"/>
          <w:color w:val="0C0C0E"/>
          <w:sz w:val="21"/>
          <w:szCs w:val="21"/>
        </w:rPr>
        <w:t xml:space="preserve"> </w:t>
      </w:r>
      <w:r w:rsidRPr="00727023">
        <w:rPr>
          <w:rFonts w:ascii="Abadi" w:hAnsi="Abadi" w:cs="*Arial-8042-Identity-H"/>
          <w:color w:val="0C0C0E"/>
          <w:sz w:val="21"/>
          <w:szCs w:val="21"/>
        </w:rPr>
        <w:t>alumbrado público con eficiencia energética en el municipio de San Miguel de</w:t>
      </w:r>
      <w:r>
        <w:rPr>
          <w:rFonts w:ascii="Abadi" w:hAnsi="Abadi" w:cs="*Arial-8042-Identity-H"/>
          <w:color w:val="0C0C0E"/>
          <w:sz w:val="21"/>
          <w:szCs w:val="21"/>
        </w:rPr>
        <w:t xml:space="preserve"> </w:t>
      </w:r>
      <w:r w:rsidRPr="00727023">
        <w:rPr>
          <w:rFonts w:ascii="Abadi" w:hAnsi="Abadi" w:cs="*Arial-8042-Identity-H"/>
          <w:color w:val="0C0C0E"/>
          <w:sz w:val="21"/>
          <w:szCs w:val="21"/>
        </w:rPr>
        <w:t xml:space="preserve">Allende, </w:t>
      </w:r>
      <w:proofErr w:type="spellStart"/>
      <w:r w:rsidRPr="00727023">
        <w:rPr>
          <w:rFonts w:ascii="Abadi" w:hAnsi="Abadi" w:cs="*Arial-8042-Identity-H"/>
          <w:color w:val="0C0C0E"/>
          <w:sz w:val="21"/>
          <w:szCs w:val="21"/>
        </w:rPr>
        <w:t>Gto</w:t>
      </w:r>
      <w:proofErr w:type="spellEnd"/>
      <w:r w:rsidRPr="00727023">
        <w:rPr>
          <w:rFonts w:ascii="Abadi" w:hAnsi="Abadi" w:cs="*Arial-8042-Identity-H"/>
          <w:color w:val="0C0C0E"/>
          <w:sz w:val="21"/>
          <w:szCs w:val="21"/>
        </w:rPr>
        <w:t>. No obstante, la gestión del servicio presentó áreas de oportunidad.</w:t>
      </w:r>
    </w:p>
    <w:p w14:paraId="27D5DE8C" w14:textId="77777777" w:rsidR="007A32BE" w:rsidRPr="00727023" w:rsidRDefault="007A32BE" w:rsidP="007A32BE">
      <w:pPr>
        <w:autoSpaceDE w:val="0"/>
        <w:autoSpaceDN w:val="0"/>
        <w:adjustRightInd w:val="0"/>
        <w:jc w:val="both"/>
        <w:rPr>
          <w:rFonts w:ascii="Abadi" w:hAnsi="Abadi" w:cs="*Arial-8042-Identity-H"/>
          <w:color w:val="0C0C0E"/>
          <w:sz w:val="21"/>
          <w:szCs w:val="21"/>
        </w:rPr>
      </w:pPr>
    </w:p>
    <w:p w14:paraId="52C77A66" w14:textId="77777777" w:rsidR="007A32BE" w:rsidRDefault="007A32BE" w:rsidP="007A32BE">
      <w:pPr>
        <w:autoSpaceDE w:val="0"/>
        <w:autoSpaceDN w:val="0"/>
        <w:adjustRightInd w:val="0"/>
        <w:ind w:firstLine="708"/>
        <w:jc w:val="both"/>
        <w:rPr>
          <w:rFonts w:ascii="Abadi" w:hAnsi="Abadi" w:cs="*Arial-8042-Identity-H"/>
          <w:color w:val="0C0C0F"/>
          <w:sz w:val="21"/>
          <w:szCs w:val="21"/>
        </w:rPr>
      </w:pPr>
      <w:r w:rsidRPr="00727023">
        <w:rPr>
          <w:rFonts w:ascii="Abadi" w:hAnsi="Abadi" w:cs="*Arial-8042-Identity-H"/>
          <w:color w:val="0C0C0F"/>
          <w:sz w:val="21"/>
          <w:szCs w:val="21"/>
        </w:rPr>
        <w:t>En cuanto a la gestión de la planificación se verificó que el sujeto fiscalizado</w:t>
      </w:r>
      <w:r>
        <w:rPr>
          <w:rFonts w:ascii="Abadi" w:hAnsi="Abadi" w:cs="*Arial-8042-Identity-H"/>
          <w:color w:val="0C0C0F"/>
          <w:sz w:val="21"/>
          <w:szCs w:val="21"/>
        </w:rPr>
        <w:t xml:space="preserve"> </w:t>
      </w:r>
      <w:r w:rsidRPr="00727023">
        <w:rPr>
          <w:rFonts w:ascii="Abadi" w:hAnsi="Abadi" w:cs="*Arial-8042-Identity-H"/>
          <w:color w:val="0C0C0F"/>
          <w:sz w:val="21"/>
          <w:szCs w:val="21"/>
        </w:rPr>
        <w:t>contó con un censo de lámparas y luminarias que permitió conocer la oferta con la</w:t>
      </w:r>
      <w:r>
        <w:rPr>
          <w:rFonts w:ascii="Abadi" w:hAnsi="Abadi" w:cs="*Arial-8042-Identity-H"/>
          <w:color w:val="0C0C0F"/>
          <w:sz w:val="21"/>
          <w:szCs w:val="21"/>
        </w:rPr>
        <w:t xml:space="preserve"> </w:t>
      </w:r>
      <w:r w:rsidRPr="00727023">
        <w:rPr>
          <w:rFonts w:ascii="Abadi" w:hAnsi="Abadi" w:cs="*Arial-8042-Identity-H"/>
          <w:color w:val="0C0C0F"/>
          <w:sz w:val="21"/>
          <w:szCs w:val="21"/>
        </w:rPr>
        <w:t>que contó durante el ejercicio 2020, identificándose que careció de una</w:t>
      </w:r>
      <w:r>
        <w:rPr>
          <w:rFonts w:ascii="Abadi" w:hAnsi="Abadi" w:cs="*Arial-8042-Identity-H"/>
          <w:color w:val="0C0C0F"/>
          <w:sz w:val="21"/>
          <w:szCs w:val="21"/>
        </w:rPr>
        <w:t xml:space="preserve"> </w:t>
      </w:r>
      <w:r w:rsidRPr="00727023">
        <w:rPr>
          <w:rFonts w:ascii="Abadi" w:hAnsi="Abadi" w:cs="*Arial-8042-Identity-H"/>
          <w:color w:val="0C0C0F"/>
          <w:sz w:val="21"/>
          <w:szCs w:val="21"/>
        </w:rPr>
        <w:t xml:space="preserve">desagregación por zona </w:t>
      </w:r>
      <w:r w:rsidRPr="00727023">
        <w:rPr>
          <w:rFonts w:ascii="Abadi" w:hAnsi="Abadi" w:cs="*Arial-Italic-8043-Identity-H"/>
          <w:i/>
          <w:iCs/>
          <w:color w:val="0C0C0F"/>
          <w:sz w:val="21"/>
          <w:szCs w:val="21"/>
        </w:rPr>
        <w:t xml:space="preserve">urbana </w:t>
      </w:r>
      <w:r w:rsidRPr="00727023">
        <w:rPr>
          <w:rFonts w:ascii="Abadi" w:hAnsi="Abadi" w:cs="*Arial-8042-Identity-H"/>
          <w:color w:val="0C0C0F"/>
          <w:sz w:val="21"/>
          <w:szCs w:val="21"/>
        </w:rPr>
        <w:t xml:space="preserve">o </w:t>
      </w:r>
      <w:r w:rsidRPr="00727023">
        <w:rPr>
          <w:rFonts w:ascii="Abadi" w:hAnsi="Abadi" w:cs="*Arial-Italic-8043-Identity-H"/>
          <w:i/>
          <w:iCs/>
          <w:color w:val="0C0C0F"/>
          <w:sz w:val="21"/>
          <w:szCs w:val="21"/>
        </w:rPr>
        <w:t xml:space="preserve">rural. </w:t>
      </w:r>
      <w:r w:rsidRPr="00727023">
        <w:rPr>
          <w:rFonts w:ascii="Abadi" w:hAnsi="Abadi" w:cs="*Arial-8042-Identity-H"/>
          <w:color w:val="0C0C0F"/>
          <w:sz w:val="21"/>
          <w:szCs w:val="21"/>
        </w:rPr>
        <w:t>Asimismo, no acreditó disponer de un</w:t>
      </w:r>
      <w:r>
        <w:rPr>
          <w:rFonts w:ascii="Abadi" w:hAnsi="Abadi" w:cs="*Arial-8042-Identity-H"/>
          <w:color w:val="0C0C0F"/>
          <w:sz w:val="21"/>
          <w:szCs w:val="21"/>
        </w:rPr>
        <w:t xml:space="preserve"> </w:t>
      </w:r>
      <w:r w:rsidRPr="00727023">
        <w:rPr>
          <w:rFonts w:ascii="Abadi" w:hAnsi="Abadi" w:cs="*Arial-8042-Identity-H"/>
          <w:color w:val="0C0C0F"/>
          <w:sz w:val="21"/>
          <w:szCs w:val="21"/>
        </w:rPr>
        <w:t>sistema de gestión de la información que le facilitara la operación del servicio, el</w:t>
      </w:r>
      <w:r>
        <w:rPr>
          <w:rFonts w:ascii="Abadi" w:hAnsi="Abadi" w:cs="*Arial-8042-Identity-H"/>
          <w:color w:val="0C0C0F"/>
          <w:sz w:val="21"/>
          <w:szCs w:val="21"/>
        </w:rPr>
        <w:t xml:space="preserve"> </w:t>
      </w:r>
      <w:r w:rsidRPr="00727023">
        <w:rPr>
          <w:rFonts w:ascii="Abadi" w:hAnsi="Abadi" w:cs="*Arial-8042-Identity-H"/>
          <w:color w:val="0C0C0F"/>
          <w:sz w:val="21"/>
          <w:szCs w:val="21"/>
        </w:rPr>
        <w:t>cual forma parte de los objetivos y metas de la nueva administración.</w:t>
      </w:r>
    </w:p>
    <w:p w14:paraId="49AF7737" w14:textId="77777777" w:rsidR="007A32BE" w:rsidRPr="00727023" w:rsidRDefault="007A32BE" w:rsidP="007A32BE">
      <w:pPr>
        <w:autoSpaceDE w:val="0"/>
        <w:autoSpaceDN w:val="0"/>
        <w:adjustRightInd w:val="0"/>
        <w:jc w:val="both"/>
        <w:rPr>
          <w:rFonts w:ascii="Abadi" w:hAnsi="Abadi" w:cs="*Arial-8042-Identity-H"/>
          <w:color w:val="0C0C0F"/>
          <w:sz w:val="21"/>
          <w:szCs w:val="21"/>
        </w:rPr>
      </w:pPr>
    </w:p>
    <w:p w14:paraId="6B7D62DA" w14:textId="77777777" w:rsidR="007A32BE" w:rsidRDefault="007A32BE" w:rsidP="007A32BE">
      <w:pPr>
        <w:autoSpaceDE w:val="0"/>
        <w:autoSpaceDN w:val="0"/>
        <w:adjustRightInd w:val="0"/>
        <w:ind w:firstLine="708"/>
        <w:jc w:val="both"/>
        <w:rPr>
          <w:rFonts w:ascii="Abadi" w:hAnsi="Abadi" w:cs="*Arial-7923-Identity-H"/>
          <w:color w:val="0C0C0E"/>
          <w:sz w:val="21"/>
          <w:szCs w:val="21"/>
        </w:rPr>
      </w:pPr>
      <w:r w:rsidRPr="00727023">
        <w:rPr>
          <w:rFonts w:ascii="Abadi" w:hAnsi="Abadi" w:cs="*Arial-7923-Identity-H"/>
          <w:color w:val="0C0C0E"/>
          <w:sz w:val="21"/>
          <w:szCs w:val="21"/>
        </w:rPr>
        <w:t>Por lo que hace a la función de operación del servicio, se constató que en</w:t>
      </w:r>
      <w:r>
        <w:rPr>
          <w:rFonts w:ascii="Abadi" w:hAnsi="Abadi" w:cs="*Arial-7923-Identity-H"/>
          <w:color w:val="0C0C0E"/>
          <w:sz w:val="21"/>
          <w:szCs w:val="21"/>
        </w:rPr>
        <w:t xml:space="preserve"> </w:t>
      </w:r>
      <w:r w:rsidRPr="00727023">
        <w:rPr>
          <w:rFonts w:ascii="Abadi" w:hAnsi="Abadi" w:cs="*Arial-7923-Identity-H"/>
          <w:color w:val="0C0C0E"/>
          <w:sz w:val="21"/>
          <w:szCs w:val="21"/>
        </w:rPr>
        <w:t>2020, si bien, se contó con un Manual General de Organización y un Manual de</w:t>
      </w:r>
      <w:r>
        <w:rPr>
          <w:rFonts w:ascii="Abadi" w:hAnsi="Abadi" w:cs="*Arial-7923-Identity-H"/>
          <w:color w:val="0C0C0E"/>
          <w:sz w:val="21"/>
          <w:szCs w:val="21"/>
        </w:rPr>
        <w:t xml:space="preserve"> </w:t>
      </w:r>
      <w:r w:rsidRPr="00727023">
        <w:rPr>
          <w:rFonts w:ascii="Abadi" w:hAnsi="Abadi" w:cs="*Arial-7923-Identity-H"/>
          <w:color w:val="0C0C0E"/>
          <w:sz w:val="21"/>
          <w:szCs w:val="21"/>
        </w:rPr>
        <w:t>Procedimientos en los que se definieron los objetivos, funciones, organigrama del</w:t>
      </w:r>
      <w:r>
        <w:rPr>
          <w:rFonts w:ascii="Abadi" w:hAnsi="Abadi" w:cs="*Arial-7923-Identity-H"/>
          <w:color w:val="0C0C0E"/>
          <w:sz w:val="21"/>
          <w:szCs w:val="21"/>
        </w:rPr>
        <w:t xml:space="preserve"> </w:t>
      </w:r>
      <w:r w:rsidRPr="00727023">
        <w:rPr>
          <w:rFonts w:ascii="Abadi" w:hAnsi="Abadi" w:cs="*Arial-7923-Identity-H"/>
          <w:color w:val="0C0C0E"/>
          <w:sz w:val="21"/>
          <w:szCs w:val="21"/>
        </w:rPr>
        <w:t xml:space="preserve">área </w:t>
      </w:r>
      <w:r w:rsidRPr="00727023">
        <w:rPr>
          <w:rFonts w:ascii="Abadi" w:hAnsi="Abadi" w:cs="*Microsoft Sans Serif-7927-Iden"/>
          <w:color w:val="0C0C0E"/>
          <w:sz w:val="21"/>
          <w:szCs w:val="21"/>
        </w:rPr>
        <w:t xml:space="preserve">y </w:t>
      </w:r>
      <w:r w:rsidRPr="00727023">
        <w:rPr>
          <w:rFonts w:ascii="Abadi" w:hAnsi="Abadi" w:cs="*Arial-7923-Identity-H"/>
          <w:color w:val="0C0C0E"/>
          <w:sz w:val="21"/>
          <w:szCs w:val="21"/>
        </w:rPr>
        <w:t>los procesos para la prestación del servicio, estos no precisaron la totalidad</w:t>
      </w:r>
      <w:r>
        <w:rPr>
          <w:rFonts w:ascii="Abadi" w:hAnsi="Abadi" w:cs="*Arial-7923-Identity-H"/>
          <w:color w:val="0C0C0E"/>
          <w:sz w:val="21"/>
          <w:szCs w:val="21"/>
        </w:rPr>
        <w:t xml:space="preserve"> </w:t>
      </w:r>
      <w:r w:rsidRPr="00727023">
        <w:rPr>
          <w:rFonts w:ascii="Abadi" w:hAnsi="Abadi" w:cs="*Arial-7923-Identity-H"/>
          <w:color w:val="0C0C0E"/>
          <w:sz w:val="21"/>
          <w:szCs w:val="21"/>
        </w:rPr>
        <w:t>de procesos clave que componen el servicio, aunado a que se careció de un</w:t>
      </w:r>
      <w:r>
        <w:rPr>
          <w:rFonts w:ascii="Abadi" w:hAnsi="Abadi" w:cs="*Arial-7923-Identity-H"/>
          <w:color w:val="0C0C0E"/>
          <w:sz w:val="21"/>
          <w:szCs w:val="21"/>
        </w:rPr>
        <w:t xml:space="preserve"> </w:t>
      </w:r>
      <w:r w:rsidRPr="00727023">
        <w:rPr>
          <w:rFonts w:ascii="Abadi" w:hAnsi="Abadi" w:cs="*Arial-7923-Identity-H"/>
          <w:color w:val="0C0C0E"/>
          <w:sz w:val="21"/>
          <w:szCs w:val="21"/>
        </w:rPr>
        <w:t>Reglamento Municipal que estableciera los elementos específicos para otorgarlo.</w:t>
      </w:r>
    </w:p>
    <w:p w14:paraId="44463849" w14:textId="77777777" w:rsidR="007A32BE" w:rsidRPr="00727023" w:rsidRDefault="007A32BE" w:rsidP="007A32BE">
      <w:pPr>
        <w:autoSpaceDE w:val="0"/>
        <w:autoSpaceDN w:val="0"/>
        <w:adjustRightInd w:val="0"/>
        <w:jc w:val="both"/>
        <w:rPr>
          <w:rFonts w:ascii="Abadi" w:hAnsi="Abadi" w:cs="*Arial-7923-Identity-H"/>
          <w:color w:val="0C0C0E"/>
          <w:sz w:val="21"/>
          <w:szCs w:val="21"/>
        </w:rPr>
      </w:pPr>
    </w:p>
    <w:p w14:paraId="54EA225C" w14:textId="77777777" w:rsidR="007A32BE" w:rsidRDefault="007A32BE" w:rsidP="007A32BE">
      <w:pPr>
        <w:autoSpaceDE w:val="0"/>
        <w:autoSpaceDN w:val="0"/>
        <w:adjustRightInd w:val="0"/>
        <w:ind w:firstLine="708"/>
        <w:jc w:val="both"/>
        <w:rPr>
          <w:rFonts w:ascii="Abadi" w:hAnsi="Abadi" w:cs="*Arial-7923-Identity-H"/>
          <w:color w:val="0C0C0E"/>
          <w:sz w:val="21"/>
          <w:szCs w:val="21"/>
        </w:rPr>
      </w:pPr>
      <w:r w:rsidRPr="00727023">
        <w:rPr>
          <w:rFonts w:ascii="Abadi" w:hAnsi="Abadi" w:cs="*Arial-7923-Identity-H"/>
          <w:color w:val="0C0C0E"/>
          <w:sz w:val="21"/>
          <w:szCs w:val="21"/>
        </w:rPr>
        <w:t>Adicionalmente, se constató que el sujeto fiscalizado si bien durante el ejercicio</w:t>
      </w:r>
      <w:r>
        <w:rPr>
          <w:rFonts w:ascii="Abadi" w:hAnsi="Abadi" w:cs="*Arial-7923-Identity-H"/>
          <w:color w:val="0C0C0E"/>
          <w:sz w:val="21"/>
          <w:szCs w:val="21"/>
        </w:rPr>
        <w:t xml:space="preserve"> </w:t>
      </w:r>
      <w:r w:rsidRPr="00727023">
        <w:rPr>
          <w:rFonts w:ascii="Abadi" w:hAnsi="Abadi" w:cs="*Arial-7923-Identity-H"/>
          <w:color w:val="0C0C0E"/>
          <w:sz w:val="21"/>
          <w:szCs w:val="21"/>
        </w:rPr>
        <w:t>fiscal auditado no contó con un Programa Operativo Anual, presentó un proceso</w:t>
      </w:r>
      <w:r>
        <w:rPr>
          <w:rFonts w:ascii="Abadi" w:hAnsi="Abadi" w:cs="*Arial-7923-Identity-H"/>
          <w:color w:val="0C0C0E"/>
          <w:sz w:val="21"/>
          <w:szCs w:val="21"/>
        </w:rPr>
        <w:t xml:space="preserve"> </w:t>
      </w:r>
      <w:r w:rsidRPr="00727023">
        <w:rPr>
          <w:rFonts w:ascii="Abadi" w:hAnsi="Abadi" w:cs="*Arial-7923-Identity-H"/>
          <w:color w:val="0C0C0E"/>
          <w:sz w:val="21"/>
          <w:szCs w:val="21"/>
        </w:rPr>
        <w:t>de planeación y programación a corto plazo con la elaboración del programa</w:t>
      </w:r>
      <w:r>
        <w:rPr>
          <w:rFonts w:ascii="Abadi" w:hAnsi="Abadi" w:cs="*Arial-7923-Identity-H"/>
          <w:color w:val="0C0C0E"/>
          <w:sz w:val="21"/>
          <w:szCs w:val="21"/>
        </w:rPr>
        <w:t xml:space="preserve"> </w:t>
      </w:r>
      <w:r w:rsidRPr="00727023">
        <w:rPr>
          <w:rFonts w:ascii="Abadi" w:hAnsi="Abadi" w:cs="*Arial-Italic-7924-Identity-H"/>
          <w:i/>
          <w:iCs/>
          <w:color w:val="0C0C0E"/>
          <w:sz w:val="21"/>
          <w:szCs w:val="21"/>
        </w:rPr>
        <w:t xml:space="preserve">E0047 Rehabilitación Integral al Alumbrado Público, </w:t>
      </w:r>
      <w:r w:rsidRPr="00727023">
        <w:rPr>
          <w:rFonts w:ascii="Abadi" w:hAnsi="Abadi" w:cs="*Arial-7923-Identity-H"/>
          <w:color w:val="0C0C0E"/>
          <w:sz w:val="21"/>
          <w:szCs w:val="21"/>
        </w:rPr>
        <w:t>en los que se identificó el</w:t>
      </w:r>
      <w:r>
        <w:rPr>
          <w:rFonts w:ascii="Abadi" w:hAnsi="Abadi" w:cs="*Arial-7923-Identity-H"/>
          <w:color w:val="0C0C0E"/>
          <w:sz w:val="21"/>
          <w:szCs w:val="21"/>
        </w:rPr>
        <w:t xml:space="preserve"> </w:t>
      </w:r>
      <w:r w:rsidRPr="00727023">
        <w:rPr>
          <w:rFonts w:ascii="Abadi" w:hAnsi="Abadi" w:cs="*Arial-7923-Identity-H"/>
          <w:color w:val="0C0C0E"/>
          <w:sz w:val="21"/>
          <w:szCs w:val="21"/>
        </w:rPr>
        <w:t>Diagnóstico, la Matriz de Indicadores para Resultados, las fichas técnicas de los</w:t>
      </w:r>
      <w:r>
        <w:rPr>
          <w:rFonts w:ascii="Abadi" w:hAnsi="Abadi" w:cs="*Arial-7923-Identity-H"/>
          <w:color w:val="0C0C0E"/>
          <w:sz w:val="21"/>
          <w:szCs w:val="21"/>
        </w:rPr>
        <w:t xml:space="preserve"> </w:t>
      </w:r>
      <w:r w:rsidRPr="00727023">
        <w:rPr>
          <w:rFonts w:ascii="Abadi" w:hAnsi="Abadi" w:cs="*Arial-7923-Identity-H"/>
          <w:color w:val="0C0C0E"/>
          <w:sz w:val="21"/>
          <w:szCs w:val="21"/>
        </w:rPr>
        <w:t xml:space="preserve">indicadores, </w:t>
      </w:r>
      <w:r w:rsidRPr="00727023">
        <w:rPr>
          <w:rFonts w:ascii="Abadi" w:hAnsi="Abadi" w:cs="*Microsoft Sans Serif-7927-Iden"/>
          <w:color w:val="0C0C0E"/>
          <w:sz w:val="21"/>
          <w:szCs w:val="21"/>
        </w:rPr>
        <w:t xml:space="preserve">y, </w:t>
      </w:r>
      <w:r w:rsidRPr="00727023">
        <w:rPr>
          <w:rFonts w:ascii="Abadi" w:hAnsi="Abadi" w:cs="*Arial-7923-Identity-H"/>
          <w:color w:val="0C0C0E"/>
          <w:sz w:val="21"/>
          <w:szCs w:val="21"/>
        </w:rPr>
        <w:t>un formato para costeo por cada nivel de la referida matriz,</w:t>
      </w:r>
      <w:r>
        <w:rPr>
          <w:rFonts w:ascii="Abadi" w:hAnsi="Abadi" w:cs="*Arial-7923-Identity-H"/>
          <w:color w:val="0C0C0E"/>
          <w:sz w:val="21"/>
          <w:szCs w:val="21"/>
        </w:rPr>
        <w:t xml:space="preserve"> </w:t>
      </w:r>
      <w:r w:rsidRPr="00727023">
        <w:rPr>
          <w:rFonts w:ascii="Abadi" w:hAnsi="Abadi" w:cs="*Arial-7923-Identity-H"/>
          <w:color w:val="0C0C0E"/>
          <w:sz w:val="21"/>
          <w:szCs w:val="21"/>
        </w:rPr>
        <w:t>programa al que se administraron los recursos para la ejecución de las acciones</w:t>
      </w:r>
      <w:r>
        <w:rPr>
          <w:rFonts w:ascii="Abadi" w:hAnsi="Abadi" w:cs="*Arial-7923-Identity-H"/>
          <w:color w:val="0C0C0E"/>
          <w:sz w:val="21"/>
          <w:szCs w:val="21"/>
        </w:rPr>
        <w:t xml:space="preserve"> </w:t>
      </w:r>
      <w:r w:rsidRPr="00727023">
        <w:rPr>
          <w:rFonts w:ascii="Abadi" w:hAnsi="Abadi" w:cs="*Arial-7923-Identity-H"/>
          <w:color w:val="0C0C0E"/>
          <w:sz w:val="21"/>
          <w:szCs w:val="21"/>
        </w:rPr>
        <w:t>para la oferta y mantenimiento de la red de alumbrado.</w:t>
      </w:r>
    </w:p>
    <w:p w14:paraId="3534F518" w14:textId="77777777" w:rsidR="007A32BE" w:rsidRPr="00727023" w:rsidRDefault="007A32BE" w:rsidP="007A32BE">
      <w:pPr>
        <w:autoSpaceDE w:val="0"/>
        <w:autoSpaceDN w:val="0"/>
        <w:adjustRightInd w:val="0"/>
        <w:jc w:val="both"/>
        <w:rPr>
          <w:rFonts w:ascii="Abadi" w:hAnsi="Abadi" w:cs="*Arial-7923-Identity-H"/>
          <w:color w:val="0C0C0E"/>
          <w:sz w:val="21"/>
          <w:szCs w:val="21"/>
        </w:rPr>
      </w:pPr>
    </w:p>
    <w:p w14:paraId="4BAB731C" w14:textId="77777777" w:rsidR="007A32BE" w:rsidRDefault="007A32BE" w:rsidP="007A32BE">
      <w:pPr>
        <w:autoSpaceDE w:val="0"/>
        <w:autoSpaceDN w:val="0"/>
        <w:adjustRightInd w:val="0"/>
        <w:ind w:firstLine="708"/>
        <w:jc w:val="both"/>
        <w:rPr>
          <w:rFonts w:ascii="Abadi" w:hAnsi="Abadi" w:cs="*Arial-7923-Identity-H"/>
          <w:color w:val="0C0C0F"/>
          <w:sz w:val="21"/>
          <w:szCs w:val="21"/>
        </w:rPr>
      </w:pPr>
      <w:r w:rsidRPr="00727023">
        <w:rPr>
          <w:rFonts w:ascii="Abadi" w:hAnsi="Abadi" w:cs="*Arial-7923-Identity-H"/>
          <w:color w:val="0C0C0F"/>
          <w:sz w:val="21"/>
          <w:szCs w:val="21"/>
        </w:rPr>
        <w:t>Respecto a la capacidad del sujeto fiscalizado para garantizar una</w:t>
      </w:r>
      <w:r>
        <w:rPr>
          <w:rFonts w:ascii="Abadi" w:hAnsi="Abadi" w:cs="*Arial-7923-Identity-H"/>
          <w:color w:val="0C0C0F"/>
          <w:sz w:val="21"/>
          <w:szCs w:val="21"/>
        </w:rPr>
        <w:t xml:space="preserve"> </w:t>
      </w:r>
      <w:r w:rsidRPr="00727023">
        <w:rPr>
          <w:rFonts w:ascii="Abadi" w:hAnsi="Abadi" w:cs="*Arial-7923-Identity-H"/>
          <w:color w:val="0C0C0F"/>
          <w:sz w:val="21"/>
          <w:szCs w:val="21"/>
        </w:rPr>
        <w:t>prestación permanente y efectiva del servicio de alumbrado público, se analizó la</w:t>
      </w:r>
      <w:r>
        <w:rPr>
          <w:rFonts w:ascii="Abadi" w:hAnsi="Abadi" w:cs="*Arial-7923-Identity-H"/>
          <w:color w:val="0C0C0F"/>
          <w:sz w:val="21"/>
          <w:szCs w:val="21"/>
        </w:rPr>
        <w:t xml:space="preserve"> </w:t>
      </w:r>
      <w:r w:rsidRPr="00727023">
        <w:rPr>
          <w:rFonts w:ascii="Abadi" w:hAnsi="Abadi" w:cs="*Arial-7923-Identity-H"/>
          <w:color w:val="0C0C0F"/>
          <w:sz w:val="21"/>
          <w:szCs w:val="21"/>
        </w:rPr>
        <w:t>calidad de la información relativa a los logros en materia de mantenimiento, así</w:t>
      </w:r>
      <w:r>
        <w:rPr>
          <w:rFonts w:ascii="Abadi" w:hAnsi="Abadi" w:cs="*Arial-7923-Identity-H"/>
          <w:color w:val="0C0C0F"/>
          <w:sz w:val="21"/>
          <w:szCs w:val="21"/>
        </w:rPr>
        <w:t xml:space="preserve"> </w:t>
      </w:r>
      <w:r w:rsidRPr="00727023">
        <w:rPr>
          <w:rFonts w:ascii="Abadi" w:hAnsi="Abadi" w:cs="*Arial-7923-Identity-H"/>
          <w:color w:val="0C0C0F"/>
          <w:sz w:val="21"/>
          <w:szCs w:val="21"/>
        </w:rPr>
        <w:t>como la correspondiente a la cobertura y satisfacción ciudadana observándose</w:t>
      </w:r>
      <w:r>
        <w:rPr>
          <w:rFonts w:ascii="Abadi" w:hAnsi="Abadi" w:cs="*Arial-7923-Identity-H"/>
          <w:color w:val="0C0C0F"/>
          <w:sz w:val="21"/>
          <w:szCs w:val="21"/>
        </w:rPr>
        <w:t xml:space="preserve"> </w:t>
      </w:r>
      <w:r w:rsidRPr="00727023">
        <w:rPr>
          <w:rFonts w:ascii="Abadi" w:hAnsi="Abadi" w:cs="*Arial-7923-Identity-H"/>
          <w:color w:val="0C0C0F"/>
          <w:sz w:val="21"/>
          <w:szCs w:val="21"/>
        </w:rPr>
        <w:t>que el sujeto fiscalizado durante 2020 contó con una estrategia integral para el</w:t>
      </w:r>
      <w:r>
        <w:rPr>
          <w:rFonts w:ascii="Abadi" w:hAnsi="Abadi" w:cs="*Arial-7923-Identity-H"/>
          <w:color w:val="0C0C0F"/>
          <w:sz w:val="21"/>
          <w:szCs w:val="21"/>
        </w:rPr>
        <w:t xml:space="preserve"> </w:t>
      </w:r>
      <w:r w:rsidRPr="00727023">
        <w:rPr>
          <w:rFonts w:ascii="Abadi" w:hAnsi="Abadi" w:cs="*Arial-7923-Identity-H"/>
          <w:color w:val="0C0C0F"/>
          <w:sz w:val="21"/>
          <w:szCs w:val="21"/>
        </w:rPr>
        <w:t xml:space="preserve">mantenimiento preventivo </w:t>
      </w:r>
      <w:r w:rsidRPr="00727023">
        <w:rPr>
          <w:rFonts w:ascii="Abadi" w:hAnsi="Abadi" w:cs="*Microsoft Sans Serif-7927-Iden"/>
          <w:color w:val="0C0C0F"/>
          <w:sz w:val="21"/>
          <w:szCs w:val="21"/>
        </w:rPr>
        <w:t xml:space="preserve">y </w:t>
      </w:r>
      <w:r w:rsidRPr="00727023">
        <w:rPr>
          <w:rFonts w:ascii="Abadi" w:hAnsi="Abadi" w:cs="*Arial-7923-Identity-H"/>
          <w:color w:val="0C0C0F"/>
          <w:sz w:val="21"/>
          <w:szCs w:val="21"/>
        </w:rPr>
        <w:t xml:space="preserve">correctivo consistente en la planeación, sustitución </w:t>
      </w:r>
      <w:r w:rsidRPr="00727023">
        <w:rPr>
          <w:rFonts w:ascii="Abadi" w:hAnsi="Abadi" w:cs="*Microsoft Sans Serif-7927-Iden"/>
          <w:color w:val="0C0C0F"/>
          <w:sz w:val="21"/>
          <w:szCs w:val="21"/>
        </w:rPr>
        <w:t>y</w:t>
      </w:r>
      <w:r>
        <w:rPr>
          <w:rFonts w:ascii="Abadi" w:hAnsi="Abadi" w:cs="*Microsoft Sans Serif-7927-Iden"/>
          <w:color w:val="0C0C0F"/>
          <w:sz w:val="21"/>
          <w:szCs w:val="21"/>
        </w:rPr>
        <w:t xml:space="preserve"> </w:t>
      </w:r>
      <w:r w:rsidRPr="00727023">
        <w:rPr>
          <w:rFonts w:ascii="Abadi" w:hAnsi="Abadi" w:cs="*Arial-7923-Identity-H"/>
          <w:color w:val="0C0C0F"/>
          <w:sz w:val="21"/>
          <w:szCs w:val="21"/>
        </w:rPr>
        <w:t>reparación de las luminarias. Sin embargo, no acreditó contar con mecanismos de</w:t>
      </w:r>
      <w:r>
        <w:rPr>
          <w:rFonts w:ascii="Abadi" w:hAnsi="Abadi" w:cs="*Arial-7923-Identity-H"/>
          <w:color w:val="0C0C0F"/>
          <w:sz w:val="21"/>
          <w:szCs w:val="21"/>
        </w:rPr>
        <w:t xml:space="preserve"> </w:t>
      </w:r>
      <w:r w:rsidRPr="00727023">
        <w:rPr>
          <w:rFonts w:ascii="Abadi" w:hAnsi="Abadi" w:cs="*Arial-7923-Identity-H"/>
          <w:color w:val="0C0C0F"/>
          <w:sz w:val="21"/>
          <w:szCs w:val="21"/>
        </w:rPr>
        <w:t>control que le permitieran generar información para determinar la cobertura en el</w:t>
      </w:r>
      <w:r>
        <w:rPr>
          <w:rFonts w:ascii="Abadi" w:hAnsi="Abadi" w:cs="*Arial-7923-Identity-H"/>
          <w:color w:val="0C0C0F"/>
          <w:sz w:val="21"/>
          <w:szCs w:val="21"/>
        </w:rPr>
        <w:t xml:space="preserve"> </w:t>
      </w:r>
      <w:r w:rsidRPr="00727023">
        <w:rPr>
          <w:rFonts w:ascii="Abadi" w:hAnsi="Abadi" w:cs="*Arial-7923-Identity-H"/>
          <w:color w:val="0C0C0F"/>
          <w:sz w:val="21"/>
          <w:szCs w:val="21"/>
        </w:rPr>
        <w:t>Municipio, ni conocer la opinión de la población a fin de identificar las deficiencias</w:t>
      </w:r>
      <w:r>
        <w:rPr>
          <w:rFonts w:ascii="Abadi" w:hAnsi="Abadi" w:cs="*Arial-7923-Identity-H"/>
          <w:color w:val="0C0C0F"/>
          <w:sz w:val="21"/>
          <w:szCs w:val="21"/>
        </w:rPr>
        <w:t xml:space="preserve"> </w:t>
      </w:r>
      <w:r w:rsidRPr="00727023">
        <w:rPr>
          <w:rFonts w:ascii="Abadi" w:hAnsi="Abadi" w:cs="*Arial-7923-Identity-H"/>
          <w:color w:val="0C0C0F"/>
          <w:sz w:val="21"/>
          <w:szCs w:val="21"/>
        </w:rPr>
        <w:t>en la prestación del servicio y poder tomar decisiones para mejorar la calidad del</w:t>
      </w:r>
      <w:r>
        <w:rPr>
          <w:rFonts w:ascii="Abadi" w:hAnsi="Abadi" w:cs="*Arial-7923-Identity-H"/>
          <w:color w:val="0C0C0F"/>
          <w:sz w:val="21"/>
          <w:szCs w:val="21"/>
        </w:rPr>
        <w:t xml:space="preserve"> </w:t>
      </w:r>
      <w:r w:rsidRPr="00727023">
        <w:rPr>
          <w:rFonts w:ascii="Abadi" w:hAnsi="Abadi" w:cs="*Arial-7923-Identity-H"/>
          <w:color w:val="0C0C0F"/>
          <w:sz w:val="21"/>
          <w:szCs w:val="21"/>
        </w:rPr>
        <w:t>servicio.</w:t>
      </w:r>
    </w:p>
    <w:p w14:paraId="0B6BC767" w14:textId="77777777" w:rsidR="007A32BE" w:rsidRPr="00727023" w:rsidRDefault="007A32BE" w:rsidP="007A32BE">
      <w:pPr>
        <w:autoSpaceDE w:val="0"/>
        <w:autoSpaceDN w:val="0"/>
        <w:adjustRightInd w:val="0"/>
        <w:jc w:val="both"/>
        <w:rPr>
          <w:rFonts w:ascii="Abadi" w:hAnsi="Abadi" w:cs="*Arial-7923-Identity-H"/>
          <w:color w:val="0C0C0F"/>
          <w:sz w:val="21"/>
          <w:szCs w:val="21"/>
        </w:rPr>
      </w:pPr>
    </w:p>
    <w:p w14:paraId="40CD5FCF" w14:textId="77777777" w:rsidR="007A32BE" w:rsidRDefault="007A32BE" w:rsidP="007A32BE">
      <w:pPr>
        <w:autoSpaceDE w:val="0"/>
        <w:autoSpaceDN w:val="0"/>
        <w:adjustRightInd w:val="0"/>
        <w:ind w:firstLine="708"/>
        <w:jc w:val="both"/>
        <w:rPr>
          <w:rFonts w:ascii="Abadi" w:hAnsi="Abadi" w:cs="*Arial-7923-Identity-H"/>
          <w:color w:val="0C0C0F"/>
          <w:sz w:val="21"/>
          <w:szCs w:val="21"/>
        </w:rPr>
      </w:pPr>
      <w:r w:rsidRPr="00727023">
        <w:rPr>
          <w:rFonts w:ascii="Abadi" w:hAnsi="Abadi" w:cs="*Arial-7923-Identity-H"/>
          <w:color w:val="0C0C0F"/>
          <w:sz w:val="21"/>
          <w:szCs w:val="21"/>
        </w:rPr>
        <w:t>En el caso de la función de seguimiento, se refiere que el sujeto fiscalizado</w:t>
      </w:r>
      <w:r>
        <w:rPr>
          <w:rFonts w:ascii="Abadi" w:hAnsi="Abadi" w:cs="*Arial-7923-Identity-H"/>
          <w:color w:val="0C0C0F"/>
          <w:sz w:val="21"/>
          <w:szCs w:val="21"/>
        </w:rPr>
        <w:t xml:space="preserve"> </w:t>
      </w:r>
      <w:r w:rsidRPr="00727023">
        <w:rPr>
          <w:rFonts w:ascii="Abadi" w:hAnsi="Abadi" w:cs="*Arial-7923-Identity-H"/>
          <w:color w:val="0C0C0F"/>
          <w:sz w:val="21"/>
          <w:szCs w:val="21"/>
        </w:rPr>
        <w:t>dispuso de dos procesos para tal efecto, el primero, una herramienta denominada</w:t>
      </w:r>
      <w:r>
        <w:rPr>
          <w:rFonts w:ascii="Abadi" w:hAnsi="Abadi" w:cs="*Arial-7923-Identity-H"/>
          <w:color w:val="0C0C0F"/>
          <w:sz w:val="21"/>
          <w:szCs w:val="21"/>
        </w:rPr>
        <w:t xml:space="preserve"> </w:t>
      </w:r>
      <w:r w:rsidRPr="00727023">
        <w:rPr>
          <w:rFonts w:ascii="Abadi" w:hAnsi="Abadi" w:cs="*Arial-Italic-7924-Identity-H"/>
          <w:i/>
          <w:iCs/>
          <w:color w:val="0C0C0F"/>
          <w:sz w:val="21"/>
          <w:szCs w:val="21"/>
        </w:rPr>
        <w:t xml:space="preserve">Tablero de Control SIMEGG </w:t>
      </w:r>
      <w:r w:rsidRPr="00727023">
        <w:rPr>
          <w:rFonts w:ascii="Abadi" w:hAnsi="Abadi" w:cs="*Arial-7923-Identity-H"/>
          <w:color w:val="0C0C0F"/>
          <w:sz w:val="21"/>
          <w:szCs w:val="21"/>
        </w:rPr>
        <w:t xml:space="preserve">a cargo del Instituto de Planeación </w:t>
      </w:r>
      <w:r w:rsidRPr="00727023">
        <w:rPr>
          <w:rFonts w:ascii="Abadi" w:hAnsi="Abadi" w:cs="*Microsoft Sans Serif-7927-Iden"/>
          <w:color w:val="0C0C0F"/>
          <w:sz w:val="21"/>
          <w:szCs w:val="21"/>
        </w:rPr>
        <w:t xml:space="preserve">y </w:t>
      </w:r>
      <w:r w:rsidRPr="00727023">
        <w:rPr>
          <w:rFonts w:ascii="Abadi" w:hAnsi="Abadi" w:cs="*Arial-7923-Identity-H"/>
          <w:color w:val="0C0C0F"/>
          <w:sz w:val="21"/>
          <w:szCs w:val="21"/>
        </w:rPr>
        <w:t>el segundo, con</w:t>
      </w:r>
      <w:r>
        <w:rPr>
          <w:rFonts w:ascii="Abadi" w:hAnsi="Abadi" w:cs="*Arial-7923-Identity-H"/>
          <w:color w:val="0C0C0F"/>
          <w:sz w:val="21"/>
          <w:szCs w:val="21"/>
        </w:rPr>
        <w:t xml:space="preserve"> </w:t>
      </w:r>
      <w:r w:rsidRPr="00727023">
        <w:rPr>
          <w:rFonts w:ascii="Abadi" w:hAnsi="Abadi" w:cs="*Arial-7923-Identity-H"/>
          <w:color w:val="0C0C0F"/>
          <w:sz w:val="21"/>
          <w:szCs w:val="21"/>
        </w:rPr>
        <w:t xml:space="preserve">los </w:t>
      </w:r>
      <w:r w:rsidRPr="00727023">
        <w:rPr>
          <w:rFonts w:ascii="Abadi" w:hAnsi="Abadi" w:cs="*Arial-Italic-7924-Identity-H"/>
          <w:i/>
          <w:iCs/>
          <w:color w:val="0C0C0F"/>
          <w:sz w:val="21"/>
          <w:szCs w:val="21"/>
        </w:rPr>
        <w:t xml:space="preserve">reportes trimestrales </w:t>
      </w:r>
      <w:r w:rsidRPr="00727023">
        <w:rPr>
          <w:rFonts w:ascii="Abadi" w:hAnsi="Abadi" w:cs="*Arial-7923-Identity-H"/>
          <w:color w:val="0C0C0F"/>
          <w:sz w:val="21"/>
          <w:szCs w:val="21"/>
        </w:rPr>
        <w:t>de la Tesorería Municipal, con los que se valida la</w:t>
      </w:r>
      <w:r>
        <w:rPr>
          <w:rFonts w:ascii="Abadi" w:hAnsi="Abadi" w:cs="*Arial-7923-Identity-H"/>
          <w:color w:val="0C0C0F"/>
          <w:sz w:val="21"/>
          <w:szCs w:val="21"/>
        </w:rPr>
        <w:t xml:space="preserve"> </w:t>
      </w:r>
      <w:r w:rsidRPr="00727023">
        <w:rPr>
          <w:rFonts w:ascii="Abadi" w:hAnsi="Abadi" w:cs="*Arial-7923-Identity-H"/>
          <w:color w:val="0C0C0F"/>
          <w:sz w:val="21"/>
          <w:szCs w:val="21"/>
        </w:rPr>
        <w:t>congruencia de los indicadores reportados en la Matriz de Indicadores para</w:t>
      </w:r>
      <w:r>
        <w:rPr>
          <w:rFonts w:ascii="Abadi" w:hAnsi="Abadi" w:cs="*Arial-7923-Identity-H"/>
          <w:color w:val="0C0C0F"/>
          <w:sz w:val="21"/>
          <w:szCs w:val="21"/>
        </w:rPr>
        <w:t xml:space="preserve"> </w:t>
      </w:r>
      <w:r w:rsidRPr="00727023">
        <w:rPr>
          <w:rFonts w:ascii="Abadi" w:hAnsi="Abadi" w:cs="*Arial-7923-Identity-H"/>
          <w:color w:val="0C0C0F"/>
          <w:sz w:val="21"/>
          <w:szCs w:val="21"/>
        </w:rPr>
        <w:t xml:space="preserve">Resultados del programa </w:t>
      </w:r>
      <w:r w:rsidRPr="00727023">
        <w:rPr>
          <w:rFonts w:ascii="Abadi" w:hAnsi="Abadi" w:cs="*Arial-Italic-7924-Identity-H"/>
          <w:i/>
          <w:iCs/>
          <w:color w:val="0C0C0F"/>
          <w:sz w:val="21"/>
          <w:szCs w:val="21"/>
        </w:rPr>
        <w:t>E0047 Rehabilitación Integral del Alumbrado Público</w:t>
      </w:r>
      <w:r>
        <w:rPr>
          <w:rFonts w:ascii="Abadi" w:hAnsi="Abadi" w:cs="*Arial-Italic-7924-Identity-H"/>
          <w:i/>
          <w:iCs/>
          <w:color w:val="0C0C0F"/>
          <w:sz w:val="21"/>
          <w:szCs w:val="21"/>
        </w:rPr>
        <w:t xml:space="preserve"> </w:t>
      </w:r>
      <w:r w:rsidRPr="00727023">
        <w:rPr>
          <w:rFonts w:ascii="Abadi" w:hAnsi="Abadi" w:cs="*Arial-7923-Identity-H"/>
          <w:color w:val="0C0C0F"/>
          <w:sz w:val="21"/>
          <w:szCs w:val="21"/>
        </w:rPr>
        <w:t>conformada por 12 objetivos con sus respectivos indicadores, mismos que</w:t>
      </w:r>
      <w:r>
        <w:rPr>
          <w:rFonts w:ascii="Abadi" w:hAnsi="Abadi" w:cs="*Arial-7923-Identity-H"/>
          <w:color w:val="0C0C0F"/>
          <w:sz w:val="21"/>
          <w:szCs w:val="21"/>
        </w:rPr>
        <w:t xml:space="preserve"> </w:t>
      </w:r>
      <w:r w:rsidRPr="00727023">
        <w:rPr>
          <w:rFonts w:ascii="Abadi" w:hAnsi="Abadi" w:cs="*Arial-7923-Identity-H"/>
          <w:color w:val="0C0C0F"/>
          <w:sz w:val="21"/>
          <w:szCs w:val="21"/>
        </w:rPr>
        <w:t>presentaron áreas de oportunidad.</w:t>
      </w:r>
    </w:p>
    <w:p w14:paraId="21E1542E" w14:textId="77777777" w:rsidR="007A32BE" w:rsidRPr="00727023" w:rsidRDefault="007A32BE" w:rsidP="007A32BE">
      <w:pPr>
        <w:autoSpaceDE w:val="0"/>
        <w:autoSpaceDN w:val="0"/>
        <w:adjustRightInd w:val="0"/>
        <w:ind w:firstLine="708"/>
        <w:jc w:val="both"/>
        <w:rPr>
          <w:rFonts w:ascii="Abadi" w:hAnsi="Abadi" w:cs="*Arial-7923-Identity-H"/>
          <w:color w:val="0C0C0F"/>
          <w:sz w:val="21"/>
          <w:szCs w:val="21"/>
        </w:rPr>
      </w:pPr>
    </w:p>
    <w:p w14:paraId="7BBF62F3" w14:textId="34AFA566" w:rsidR="007A32BE" w:rsidRDefault="007A32BE" w:rsidP="00DD2DD1">
      <w:pPr>
        <w:autoSpaceDE w:val="0"/>
        <w:autoSpaceDN w:val="0"/>
        <w:adjustRightInd w:val="0"/>
        <w:ind w:firstLine="708"/>
        <w:jc w:val="both"/>
        <w:rPr>
          <w:rFonts w:ascii="Abadi" w:hAnsi="Abadi" w:cs="*Arial-6885-Identity-H"/>
          <w:color w:val="0D0C0F"/>
          <w:sz w:val="21"/>
          <w:szCs w:val="21"/>
        </w:rPr>
      </w:pPr>
      <w:r w:rsidRPr="00727023">
        <w:rPr>
          <w:rFonts w:ascii="Abadi" w:hAnsi="Abadi" w:cs="*Arial-6885-Identity-H"/>
          <w:color w:val="0D0C0F"/>
          <w:sz w:val="21"/>
          <w:szCs w:val="21"/>
        </w:rPr>
        <w:t>Derivado de lo anterior, no fue posible determinar la eficacia en el</w:t>
      </w:r>
      <w:r>
        <w:rPr>
          <w:rFonts w:ascii="Abadi" w:hAnsi="Abadi" w:cs="*Arial-6885-Identity-H"/>
          <w:color w:val="0D0C0F"/>
          <w:sz w:val="21"/>
          <w:szCs w:val="21"/>
        </w:rPr>
        <w:t xml:space="preserve"> </w:t>
      </w:r>
      <w:r w:rsidRPr="00727023">
        <w:rPr>
          <w:rFonts w:ascii="Abadi" w:hAnsi="Abadi" w:cs="*Arial-6885-Identity-H"/>
          <w:color w:val="0D0C0F"/>
          <w:sz w:val="21"/>
          <w:szCs w:val="21"/>
        </w:rPr>
        <w:t>otorgamiento del servicio de alumbrado público en el municipio de San Miguel de</w:t>
      </w:r>
      <w:r>
        <w:rPr>
          <w:rFonts w:ascii="Abadi" w:hAnsi="Abadi" w:cs="*Arial-6885-Identity-H"/>
          <w:color w:val="0D0C0F"/>
          <w:sz w:val="21"/>
          <w:szCs w:val="21"/>
        </w:rPr>
        <w:t xml:space="preserve"> </w:t>
      </w:r>
      <w:r w:rsidRPr="00727023">
        <w:rPr>
          <w:rFonts w:ascii="Abadi" w:hAnsi="Abadi" w:cs="*Arial-6885-Identity-H"/>
          <w:color w:val="0D0C0F"/>
          <w:sz w:val="21"/>
          <w:szCs w:val="21"/>
        </w:rPr>
        <w:t xml:space="preserve">Allende, </w:t>
      </w:r>
      <w:proofErr w:type="spellStart"/>
      <w:r w:rsidRPr="00727023">
        <w:rPr>
          <w:rFonts w:ascii="Abadi" w:hAnsi="Abadi" w:cs="*Arial-6885-Identity-H"/>
          <w:color w:val="0D0C0F"/>
          <w:sz w:val="21"/>
          <w:szCs w:val="21"/>
        </w:rPr>
        <w:t>Gto</w:t>
      </w:r>
      <w:proofErr w:type="spellEnd"/>
      <w:r w:rsidRPr="00727023">
        <w:rPr>
          <w:rFonts w:ascii="Abadi" w:hAnsi="Abadi" w:cs="*Arial-6885-Identity-H"/>
          <w:color w:val="0D0C0F"/>
          <w:sz w:val="21"/>
          <w:szCs w:val="21"/>
        </w:rPr>
        <w:t>., debido principalmente, a que no se contó con información que</w:t>
      </w:r>
      <w:r>
        <w:rPr>
          <w:rFonts w:ascii="Abadi" w:hAnsi="Abadi" w:cs="*Arial-6885-Identity-H"/>
          <w:color w:val="0D0C0F"/>
          <w:sz w:val="21"/>
          <w:szCs w:val="21"/>
        </w:rPr>
        <w:t xml:space="preserve"> </w:t>
      </w:r>
      <w:r w:rsidRPr="00727023">
        <w:rPr>
          <w:rFonts w:ascii="Abadi" w:hAnsi="Abadi" w:cs="*Arial-6885-Identity-H"/>
          <w:color w:val="0D0C0F"/>
          <w:sz w:val="21"/>
          <w:szCs w:val="21"/>
        </w:rPr>
        <w:t>permitiera determinar y acreditar la cobertura en el Municipio, además de que</w:t>
      </w:r>
      <w:r>
        <w:rPr>
          <w:rFonts w:ascii="Abadi" w:hAnsi="Abadi" w:cs="*Arial-6885-Identity-H"/>
          <w:color w:val="0D0C0F"/>
          <w:sz w:val="21"/>
          <w:szCs w:val="21"/>
        </w:rPr>
        <w:t xml:space="preserve"> </w:t>
      </w:r>
      <w:r w:rsidRPr="00727023">
        <w:rPr>
          <w:rFonts w:ascii="Abadi" w:hAnsi="Abadi" w:cs="*Arial-6885-Identity-H"/>
          <w:color w:val="0D0C0F"/>
          <w:sz w:val="21"/>
          <w:szCs w:val="21"/>
        </w:rPr>
        <w:t>durante 2020 el sujeto fiscalizado no dispuso de algún instrumento que permitiera</w:t>
      </w:r>
      <w:r w:rsidR="00DD2DD1">
        <w:rPr>
          <w:rFonts w:ascii="Abadi" w:hAnsi="Abadi" w:cs="*Arial-6885-Identity-H"/>
          <w:color w:val="0D0C0F"/>
          <w:sz w:val="21"/>
          <w:szCs w:val="21"/>
        </w:rPr>
        <w:t xml:space="preserve"> </w:t>
      </w:r>
      <w:r w:rsidRPr="00727023">
        <w:rPr>
          <w:rFonts w:ascii="Abadi" w:hAnsi="Abadi" w:cs="*Arial-6885-Identity-H"/>
          <w:color w:val="0D0C0F"/>
          <w:sz w:val="21"/>
          <w:szCs w:val="21"/>
        </w:rPr>
        <w:t>evaluar la satisfacción ciudadana en cuanto al servicio de alumbrado público.</w:t>
      </w:r>
    </w:p>
    <w:p w14:paraId="78440048" w14:textId="77777777" w:rsidR="007A32BE" w:rsidRPr="00727023" w:rsidRDefault="007A32BE" w:rsidP="007A32BE">
      <w:pPr>
        <w:autoSpaceDE w:val="0"/>
        <w:autoSpaceDN w:val="0"/>
        <w:adjustRightInd w:val="0"/>
        <w:jc w:val="both"/>
        <w:rPr>
          <w:rFonts w:ascii="Abadi" w:hAnsi="Abadi" w:cs="*Arial-6885-Identity-H"/>
          <w:color w:val="0D0C0F"/>
          <w:sz w:val="21"/>
          <w:szCs w:val="21"/>
        </w:rPr>
      </w:pPr>
    </w:p>
    <w:p w14:paraId="63CBBBAC" w14:textId="77777777" w:rsidR="007A32BE" w:rsidRDefault="007A32BE" w:rsidP="007A32BE">
      <w:pPr>
        <w:autoSpaceDE w:val="0"/>
        <w:autoSpaceDN w:val="0"/>
        <w:adjustRightInd w:val="0"/>
        <w:ind w:firstLine="708"/>
        <w:jc w:val="both"/>
        <w:rPr>
          <w:rFonts w:ascii="Abadi" w:hAnsi="Abadi" w:cs="*Arial-6885-Identity-H"/>
          <w:color w:val="0D0D10"/>
          <w:sz w:val="21"/>
          <w:szCs w:val="21"/>
        </w:rPr>
      </w:pPr>
      <w:r w:rsidRPr="00727023">
        <w:rPr>
          <w:rFonts w:ascii="Abadi" w:hAnsi="Abadi" w:cs="*Arial-6885-Identity-H"/>
          <w:color w:val="0D0D10"/>
          <w:sz w:val="21"/>
          <w:szCs w:val="21"/>
        </w:rPr>
        <w:t>Atendiendo a las oportunidades señaladas, se reconoce que el sujeto</w:t>
      </w:r>
      <w:r>
        <w:rPr>
          <w:rFonts w:ascii="Abadi" w:hAnsi="Abadi" w:cs="*Arial-6885-Identity-H"/>
          <w:color w:val="0D0D10"/>
          <w:sz w:val="21"/>
          <w:szCs w:val="21"/>
        </w:rPr>
        <w:t xml:space="preserve"> </w:t>
      </w:r>
      <w:r w:rsidRPr="00727023">
        <w:rPr>
          <w:rFonts w:ascii="Abadi" w:hAnsi="Abadi" w:cs="*Arial-6885-Identity-H"/>
          <w:color w:val="0D0D10"/>
          <w:sz w:val="21"/>
          <w:szCs w:val="21"/>
        </w:rPr>
        <w:t>fiscalizado muestra una postura tendiente a mejorar el entorno de la planificación,</w:t>
      </w:r>
      <w:r>
        <w:rPr>
          <w:rFonts w:ascii="Abadi" w:hAnsi="Abadi" w:cs="*Arial-6885-Identity-H"/>
          <w:color w:val="0D0D10"/>
          <w:sz w:val="21"/>
          <w:szCs w:val="21"/>
        </w:rPr>
        <w:t xml:space="preserve"> </w:t>
      </w:r>
      <w:r w:rsidRPr="00727023">
        <w:rPr>
          <w:rFonts w:ascii="Abadi" w:hAnsi="Abadi" w:cs="*Arial-6885-Identity-H"/>
          <w:color w:val="0D0D10"/>
          <w:sz w:val="21"/>
          <w:szCs w:val="21"/>
        </w:rPr>
        <w:t>operación y control de la prestación del servicio de alumbrado público, al presentar</w:t>
      </w:r>
      <w:r>
        <w:rPr>
          <w:rFonts w:ascii="Abadi" w:hAnsi="Abadi" w:cs="*Arial-6885-Identity-H"/>
          <w:color w:val="0D0D10"/>
          <w:sz w:val="21"/>
          <w:szCs w:val="21"/>
        </w:rPr>
        <w:t xml:space="preserve"> </w:t>
      </w:r>
      <w:r w:rsidRPr="00727023">
        <w:rPr>
          <w:rFonts w:ascii="Abadi" w:hAnsi="Abadi" w:cs="*Arial-6885-Identity-H"/>
          <w:color w:val="0D0D10"/>
          <w:sz w:val="21"/>
          <w:szCs w:val="21"/>
        </w:rPr>
        <w:t>un plan de acción para incidir en la mejora de las brechas identificadas.</w:t>
      </w:r>
      <w:r>
        <w:rPr>
          <w:rFonts w:ascii="Abadi" w:hAnsi="Abadi" w:cs="*Arial-6885-Identity-H"/>
          <w:color w:val="0D0D10"/>
          <w:sz w:val="21"/>
          <w:szCs w:val="21"/>
        </w:rPr>
        <w:t xml:space="preserve"> </w:t>
      </w:r>
    </w:p>
    <w:p w14:paraId="19EB9685" w14:textId="77777777" w:rsidR="007A32BE" w:rsidRDefault="007A32BE" w:rsidP="007A32BE">
      <w:pPr>
        <w:autoSpaceDE w:val="0"/>
        <w:autoSpaceDN w:val="0"/>
        <w:adjustRightInd w:val="0"/>
        <w:jc w:val="both"/>
        <w:rPr>
          <w:rFonts w:ascii="Abadi" w:hAnsi="Abadi" w:cs="*Arial-6885-Identity-H"/>
          <w:color w:val="0D0D10"/>
          <w:sz w:val="21"/>
          <w:szCs w:val="21"/>
        </w:rPr>
      </w:pPr>
    </w:p>
    <w:p w14:paraId="7DFA2868" w14:textId="77777777" w:rsidR="007A32BE" w:rsidRPr="00727023" w:rsidRDefault="007A32BE" w:rsidP="007A32BE">
      <w:pPr>
        <w:autoSpaceDE w:val="0"/>
        <w:autoSpaceDN w:val="0"/>
        <w:adjustRightInd w:val="0"/>
        <w:ind w:firstLine="708"/>
        <w:jc w:val="both"/>
        <w:rPr>
          <w:rFonts w:ascii="Abadi" w:hAnsi="Abadi" w:cs="*Arial-6885-Identity-H"/>
          <w:color w:val="0E0D10"/>
          <w:sz w:val="21"/>
          <w:szCs w:val="21"/>
        </w:rPr>
      </w:pPr>
      <w:r w:rsidRPr="00727023">
        <w:rPr>
          <w:rFonts w:ascii="Abadi" w:hAnsi="Abadi" w:cs="*Arial-6885-Identity-H"/>
          <w:color w:val="0E0D10"/>
          <w:sz w:val="21"/>
          <w:szCs w:val="21"/>
        </w:rPr>
        <w:t>Finalmente, se señala que el seguimiento de dichos compromisos se</w:t>
      </w:r>
      <w:r>
        <w:rPr>
          <w:rFonts w:ascii="Abadi" w:hAnsi="Abadi" w:cs="*Arial-6885-Identity-H"/>
          <w:color w:val="0E0D10"/>
          <w:sz w:val="21"/>
          <w:szCs w:val="21"/>
        </w:rPr>
        <w:t xml:space="preserve"> </w:t>
      </w:r>
      <w:r w:rsidRPr="00727023">
        <w:rPr>
          <w:rFonts w:ascii="Abadi" w:hAnsi="Abadi" w:cs="*Arial-6885-Identity-H"/>
          <w:color w:val="0E0D10"/>
          <w:sz w:val="21"/>
          <w:szCs w:val="21"/>
        </w:rPr>
        <w:t>realizará por la Auditoria Superior del Estado, respecto de las recomendaciones</w:t>
      </w:r>
      <w:r>
        <w:rPr>
          <w:rFonts w:ascii="Abadi" w:hAnsi="Abadi" w:cs="*Arial-6885-Identity-H"/>
          <w:color w:val="0E0D10"/>
          <w:sz w:val="21"/>
          <w:szCs w:val="21"/>
        </w:rPr>
        <w:t xml:space="preserve"> </w:t>
      </w:r>
      <w:r w:rsidRPr="00727023">
        <w:rPr>
          <w:rFonts w:ascii="Abadi" w:hAnsi="Abadi" w:cs="*Arial-6885-Identity-H"/>
          <w:color w:val="0E0D10"/>
          <w:sz w:val="21"/>
          <w:szCs w:val="21"/>
        </w:rPr>
        <w:t>donde se valora que el sujeto fiscalizado realizará acciones de mejora en un plazo</w:t>
      </w:r>
      <w:r>
        <w:rPr>
          <w:rFonts w:ascii="Abadi" w:hAnsi="Abadi" w:cs="*Arial-6885-Identity-H"/>
          <w:color w:val="0E0D10"/>
          <w:sz w:val="21"/>
          <w:szCs w:val="21"/>
        </w:rPr>
        <w:t xml:space="preserve"> </w:t>
      </w:r>
      <w:r w:rsidRPr="00727023">
        <w:rPr>
          <w:rFonts w:ascii="Abadi" w:hAnsi="Abadi" w:cs="*Arial-6885-Identity-H"/>
          <w:color w:val="0E0D10"/>
          <w:sz w:val="21"/>
          <w:szCs w:val="21"/>
        </w:rPr>
        <w:t>determinado hasta su total implementación, acorde a la normativa aplicable.</w:t>
      </w:r>
    </w:p>
    <w:p w14:paraId="00ED118D" w14:textId="77777777" w:rsidR="007A32BE" w:rsidRDefault="007A32BE" w:rsidP="007A32BE">
      <w:pPr>
        <w:autoSpaceDE w:val="0"/>
        <w:autoSpaceDN w:val="0"/>
        <w:adjustRightInd w:val="0"/>
        <w:jc w:val="both"/>
        <w:rPr>
          <w:rFonts w:ascii="Abadi" w:hAnsi="Abadi" w:cs="*Arial-Bold-6886-Identity-H"/>
          <w:b/>
          <w:bCs/>
          <w:color w:val="0B090D"/>
          <w:sz w:val="21"/>
          <w:szCs w:val="21"/>
        </w:rPr>
      </w:pPr>
    </w:p>
    <w:p w14:paraId="21C6F3C4" w14:textId="77777777" w:rsidR="007A32BE" w:rsidRDefault="007A32BE" w:rsidP="007A32BE">
      <w:pPr>
        <w:autoSpaceDE w:val="0"/>
        <w:autoSpaceDN w:val="0"/>
        <w:adjustRightInd w:val="0"/>
        <w:ind w:firstLine="708"/>
        <w:jc w:val="both"/>
        <w:rPr>
          <w:rFonts w:ascii="Abadi" w:hAnsi="Abadi" w:cs="*Arial-Bold-6886-Identity-H"/>
          <w:b/>
          <w:bCs/>
          <w:color w:val="0B090D"/>
          <w:sz w:val="21"/>
          <w:szCs w:val="21"/>
        </w:rPr>
      </w:pPr>
      <w:r w:rsidRPr="00727023">
        <w:rPr>
          <w:rFonts w:ascii="Abadi" w:hAnsi="Abadi" w:cs="*Arial-Bold-6886-Identity-H"/>
          <w:b/>
          <w:bCs/>
          <w:color w:val="0B090D"/>
          <w:sz w:val="21"/>
          <w:szCs w:val="21"/>
        </w:rPr>
        <w:t>V. Conclusiones:</w:t>
      </w:r>
    </w:p>
    <w:p w14:paraId="688259C1" w14:textId="77777777" w:rsidR="007A32BE" w:rsidRPr="00727023" w:rsidRDefault="007A32BE" w:rsidP="007A32BE">
      <w:pPr>
        <w:autoSpaceDE w:val="0"/>
        <w:autoSpaceDN w:val="0"/>
        <w:adjustRightInd w:val="0"/>
        <w:jc w:val="both"/>
        <w:rPr>
          <w:rFonts w:ascii="Abadi" w:hAnsi="Abadi" w:cs="*Arial-Bold-6886-Identity-H"/>
          <w:b/>
          <w:bCs/>
          <w:color w:val="0B090D"/>
          <w:sz w:val="21"/>
          <w:szCs w:val="21"/>
        </w:rPr>
      </w:pPr>
    </w:p>
    <w:p w14:paraId="6BBA2541" w14:textId="77777777" w:rsidR="007A32BE" w:rsidRDefault="007A32BE" w:rsidP="007A32BE">
      <w:pPr>
        <w:autoSpaceDE w:val="0"/>
        <w:autoSpaceDN w:val="0"/>
        <w:adjustRightInd w:val="0"/>
        <w:ind w:firstLine="708"/>
        <w:jc w:val="both"/>
        <w:rPr>
          <w:rFonts w:ascii="Abadi" w:hAnsi="Abadi" w:cs="*Arial-6885-Identity-H"/>
          <w:color w:val="0D0D10"/>
          <w:sz w:val="21"/>
          <w:szCs w:val="21"/>
        </w:rPr>
      </w:pPr>
      <w:r w:rsidRPr="00727023">
        <w:rPr>
          <w:rFonts w:ascii="Abadi" w:hAnsi="Abadi" w:cs="*Arial-6885-Identity-H"/>
          <w:color w:val="0D0D10"/>
          <w:sz w:val="21"/>
          <w:szCs w:val="21"/>
        </w:rPr>
        <w:t>Como ya lo habíamos señalado en párrafos anteriores, el artículo 38 de la</w:t>
      </w:r>
      <w:r>
        <w:rPr>
          <w:rFonts w:ascii="Abadi" w:hAnsi="Abadi" w:cs="*Arial-6885-Identity-H"/>
          <w:color w:val="0D0D10"/>
          <w:sz w:val="21"/>
          <w:szCs w:val="21"/>
        </w:rPr>
        <w:t xml:space="preserve"> </w:t>
      </w:r>
      <w:r w:rsidRPr="00727023">
        <w:rPr>
          <w:rFonts w:ascii="Abadi" w:hAnsi="Abadi" w:cs="*Arial-6885-Identity-H"/>
          <w:color w:val="0D0D10"/>
          <w:sz w:val="21"/>
          <w:szCs w:val="21"/>
        </w:rPr>
        <w:t>Ley de Fiscalización Superior del Estado de Guanajuato establece que los</w:t>
      </w:r>
      <w:r>
        <w:rPr>
          <w:rFonts w:ascii="Abadi" w:hAnsi="Abadi" w:cs="*Arial-6885-Identity-H"/>
          <w:color w:val="0D0D10"/>
          <w:sz w:val="21"/>
          <w:szCs w:val="21"/>
        </w:rPr>
        <w:t xml:space="preserve"> </w:t>
      </w:r>
      <w:r w:rsidRPr="00727023">
        <w:rPr>
          <w:rFonts w:ascii="Abadi" w:hAnsi="Abadi" w:cs="*Arial-6885-Identity-H"/>
          <w:color w:val="0D0D10"/>
          <w:sz w:val="21"/>
          <w:szCs w:val="21"/>
        </w:rPr>
        <w:t>informes de resultados únicamente podrán ser observados por las dos terceras</w:t>
      </w:r>
      <w:r>
        <w:rPr>
          <w:rFonts w:ascii="Abadi" w:hAnsi="Abadi" w:cs="*Arial-6885-Identity-H"/>
          <w:color w:val="0D0D10"/>
          <w:sz w:val="21"/>
          <w:szCs w:val="21"/>
        </w:rPr>
        <w:t xml:space="preserve"> </w:t>
      </w:r>
      <w:r w:rsidRPr="00727023">
        <w:rPr>
          <w:rFonts w:ascii="Abadi" w:hAnsi="Abadi" w:cs="*Arial-6885-Identity-H"/>
          <w:color w:val="0D0D10"/>
          <w:sz w:val="21"/>
          <w:szCs w:val="21"/>
        </w:rPr>
        <w:t>partes de los diputados integrantes del Congreso, cuando no se observen las</w:t>
      </w:r>
      <w:r>
        <w:rPr>
          <w:rFonts w:ascii="Abadi" w:hAnsi="Abadi" w:cs="*Arial-6885-Identity-H"/>
          <w:color w:val="0D0D10"/>
          <w:sz w:val="21"/>
          <w:szCs w:val="21"/>
        </w:rPr>
        <w:t xml:space="preserve"> </w:t>
      </w:r>
      <w:r w:rsidRPr="00727023">
        <w:rPr>
          <w:rFonts w:ascii="Abadi" w:hAnsi="Abadi" w:cs="*Arial-6885-Identity-H"/>
          <w:color w:val="0D0D10"/>
          <w:sz w:val="21"/>
          <w:szCs w:val="21"/>
        </w:rPr>
        <w:t>formalidades esenciales del proceso de fiscalización.</w:t>
      </w:r>
    </w:p>
    <w:p w14:paraId="5F341291" w14:textId="77777777" w:rsidR="007A32BE" w:rsidRPr="00727023" w:rsidRDefault="007A32BE" w:rsidP="007A32BE">
      <w:pPr>
        <w:autoSpaceDE w:val="0"/>
        <w:autoSpaceDN w:val="0"/>
        <w:adjustRightInd w:val="0"/>
        <w:jc w:val="both"/>
        <w:rPr>
          <w:rFonts w:ascii="Abadi" w:hAnsi="Abadi" w:cs="*Arial-6885-Identity-H"/>
          <w:color w:val="0D0D10"/>
          <w:sz w:val="21"/>
          <w:szCs w:val="21"/>
        </w:rPr>
      </w:pPr>
    </w:p>
    <w:p w14:paraId="6BB92A80" w14:textId="77777777" w:rsidR="007A32BE" w:rsidRDefault="007A32BE" w:rsidP="007A32BE">
      <w:pPr>
        <w:autoSpaceDE w:val="0"/>
        <w:autoSpaceDN w:val="0"/>
        <w:adjustRightInd w:val="0"/>
        <w:ind w:firstLine="708"/>
        <w:jc w:val="both"/>
        <w:rPr>
          <w:rFonts w:ascii="Abadi" w:hAnsi="Abadi" w:cs="*Arial-6885-Identity-H"/>
          <w:color w:val="0D0D0F"/>
          <w:sz w:val="21"/>
          <w:szCs w:val="21"/>
        </w:rPr>
      </w:pPr>
      <w:r w:rsidRPr="00727023">
        <w:rPr>
          <w:rFonts w:ascii="Abadi" w:hAnsi="Abadi" w:cs="*Arial-6885-Identity-H"/>
          <w:color w:val="0D0D0F"/>
          <w:sz w:val="21"/>
          <w:szCs w:val="21"/>
        </w:rPr>
        <w:t>En este sentido, quienes integramos esta Comisión analizamos el informe</w:t>
      </w:r>
      <w:r>
        <w:rPr>
          <w:rFonts w:ascii="Abadi" w:hAnsi="Abadi" w:cs="*Arial-6885-Identity-H"/>
          <w:color w:val="0D0D0F"/>
          <w:sz w:val="21"/>
          <w:szCs w:val="21"/>
        </w:rPr>
        <w:t xml:space="preserve"> </w:t>
      </w:r>
      <w:r w:rsidRPr="00727023">
        <w:rPr>
          <w:rFonts w:ascii="Abadi" w:hAnsi="Abadi" w:cs="*Arial-6885-Identity-H"/>
          <w:color w:val="0D0D0F"/>
          <w:sz w:val="21"/>
          <w:szCs w:val="21"/>
        </w:rPr>
        <w:t>de resultados materia del presente dictamen, considerando la hipótesis referida en</w:t>
      </w:r>
      <w:r>
        <w:rPr>
          <w:rFonts w:ascii="Abadi" w:hAnsi="Abadi" w:cs="*Arial-6885-Identity-H"/>
          <w:color w:val="0D0D0F"/>
          <w:sz w:val="21"/>
          <w:szCs w:val="21"/>
        </w:rPr>
        <w:t xml:space="preserve"> </w:t>
      </w:r>
      <w:r w:rsidRPr="00727023">
        <w:rPr>
          <w:rFonts w:ascii="Abadi" w:hAnsi="Abadi" w:cs="*Arial-6885-Identity-H"/>
          <w:color w:val="0D0D0F"/>
          <w:sz w:val="21"/>
          <w:szCs w:val="21"/>
        </w:rPr>
        <w:t>el precepto anteriormente señalado.</w:t>
      </w:r>
    </w:p>
    <w:p w14:paraId="39A06AEF" w14:textId="77777777" w:rsidR="007A32BE" w:rsidRPr="00727023" w:rsidRDefault="007A32BE" w:rsidP="007A32BE">
      <w:pPr>
        <w:autoSpaceDE w:val="0"/>
        <w:autoSpaceDN w:val="0"/>
        <w:adjustRightInd w:val="0"/>
        <w:jc w:val="both"/>
        <w:rPr>
          <w:rFonts w:ascii="Abadi" w:hAnsi="Abadi" w:cs="*Arial-6885-Identity-H"/>
          <w:color w:val="0D0D0F"/>
          <w:sz w:val="21"/>
          <w:szCs w:val="21"/>
        </w:rPr>
      </w:pPr>
    </w:p>
    <w:p w14:paraId="5A33252B" w14:textId="77777777" w:rsidR="007A32BE" w:rsidRPr="00727023" w:rsidRDefault="007A32BE" w:rsidP="007A32BE">
      <w:pPr>
        <w:autoSpaceDE w:val="0"/>
        <w:autoSpaceDN w:val="0"/>
        <w:adjustRightInd w:val="0"/>
        <w:ind w:firstLine="708"/>
        <w:jc w:val="both"/>
        <w:rPr>
          <w:rFonts w:ascii="Abadi" w:hAnsi="Abadi" w:cs="*Arial-6885-Identity-H"/>
          <w:color w:val="0D0C0F"/>
          <w:sz w:val="21"/>
          <w:szCs w:val="21"/>
        </w:rPr>
      </w:pPr>
      <w:r w:rsidRPr="00727023">
        <w:rPr>
          <w:rFonts w:ascii="Abadi" w:hAnsi="Abadi" w:cs="*Arial-6885-Identity-H"/>
          <w:color w:val="0D0C0F"/>
          <w:sz w:val="21"/>
          <w:szCs w:val="21"/>
        </w:rPr>
        <w:t>Como se desprende del informe de resultados, el Órgano Técnico dio</w:t>
      </w:r>
      <w:r>
        <w:rPr>
          <w:rFonts w:ascii="Abadi" w:hAnsi="Abadi" w:cs="*Arial-6885-Identity-H"/>
          <w:color w:val="0D0C0F"/>
          <w:sz w:val="21"/>
          <w:szCs w:val="21"/>
        </w:rPr>
        <w:t xml:space="preserve"> </w:t>
      </w:r>
      <w:r w:rsidRPr="00727023">
        <w:rPr>
          <w:rFonts w:ascii="Abadi" w:hAnsi="Abadi" w:cs="*Arial-6885-Identity-H"/>
          <w:color w:val="0D0C0F"/>
          <w:sz w:val="21"/>
          <w:szCs w:val="21"/>
        </w:rPr>
        <w:t>cumplimiento al artículo 58 de la Ley de Fiscalización Superior del Estado de</w:t>
      </w:r>
      <w:r>
        <w:rPr>
          <w:rFonts w:ascii="Abadi" w:hAnsi="Abadi" w:cs="*Arial-6885-Identity-H"/>
          <w:color w:val="0D0C0F"/>
          <w:sz w:val="21"/>
          <w:szCs w:val="21"/>
        </w:rPr>
        <w:t xml:space="preserve"> </w:t>
      </w:r>
      <w:r w:rsidRPr="00727023">
        <w:rPr>
          <w:rFonts w:ascii="Abadi" w:hAnsi="Abadi" w:cs="*Arial-6885-Identity-H"/>
          <w:color w:val="0D0C0F"/>
          <w:sz w:val="21"/>
          <w:szCs w:val="21"/>
        </w:rPr>
        <w:t>Guanajuato, al haberse notificado las recomendaciones derivadas de la auditoría</w:t>
      </w:r>
      <w:r>
        <w:rPr>
          <w:rFonts w:ascii="Abadi" w:hAnsi="Abadi" w:cs="*Arial-6885-Identity-H"/>
          <w:color w:val="0D0C0F"/>
          <w:sz w:val="21"/>
          <w:szCs w:val="21"/>
        </w:rPr>
        <w:t xml:space="preserve"> </w:t>
      </w:r>
      <w:r w:rsidRPr="00727023">
        <w:rPr>
          <w:rFonts w:ascii="Abadi" w:hAnsi="Abadi" w:cs="*Arial-6885-Identity-H"/>
          <w:color w:val="0D0C0F"/>
          <w:sz w:val="21"/>
          <w:szCs w:val="21"/>
        </w:rPr>
        <w:t>al sujeto fiscalizado, concediéndole el plazo que establece la Ley para atender las</w:t>
      </w:r>
      <w:r>
        <w:rPr>
          <w:rFonts w:ascii="Abadi" w:hAnsi="Abadi" w:cs="*Arial-6885-Identity-H"/>
          <w:color w:val="0D0C0F"/>
          <w:sz w:val="21"/>
          <w:szCs w:val="21"/>
        </w:rPr>
        <w:t xml:space="preserve"> </w:t>
      </w:r>
      <w:r w:rsidRPr="00727023">
        <w:rPr>
          <w:rFonts w:ascii="Abadi" w:hAnsi="Abadi" w:cs="*Arial-6885-Identity-H"/>
          <w:color w:val="0D0C0F"/>
          <w:sz w:val="21"/>
          <w:szCs w:val="21"/>
        </w:rPr>
        <w:t>recomendaciones formuladas por el Órgano Técnico. Al respecto, se presentó la</w:t>
      </w:r>
      <w:r>
        <w:rPr>
          <w:rFonts w:ascii="Abadi" w:hAnsi="Abadi" w:cs="*Arial-6885-Identity-H"/>
          <w:color w:val="0D0C0F"/>
          <w:sz w:val="21"/>
          <w:szCs w:val="21"/>
        </w:rPr>
        <w:t xml:space="preserve"> </w:t>
      </w:r>
      <w:r w:rsidRPr="00727023">
        <w:rPr>
          <w:rFonts w:ascii="Abadi" w:hAnsi="Abadi" w:cs="*Arial-6885-Identity-H"/>
          <w:color w:val="0D0C0F"/>
          <w:sz w:val="21"/>
          <w:szCs w:val="21"/>
        </w:rPr>
        <w:t>información y documentación que se consideró suficiente para atender las</w:t>
      </w:r>
    </w:p>
    <w:p w14:paraId="7725D45C" w14:textId="77777777" w:rsidR="007A32BE" w:rsidRDefault="007A32BE" w:rsidP="007A32BE">
      <w:pPr>
        <w:autoSpaceDE w:val="0"/>
        <w:autoSpaceDN w:val="0"/>
        <w:adjustRightInd w:val="0"/>
        <w:jc w:val="both"/>
        <w:rPr>
          <w:rFonts w:ascii="Abadi" w:hAnsi="Abadi" w:cs="*Arial-6885-Identity-H"/>
          <w:color w:val="0D0C0F"/>
          <w:sz w:val="21"/>
          <w:szCs w:val="21"/>
        </w:rPr>
      </w:pPr>
      <w:r w:rsidRPr="00727023">
        <w:rPr>
          <w:rFonts w:ascii="Abadi" w:hAnsi="Abadi" w:cs="*Arial-6885-Identity-H"/>
          <w:color w:val="0D0C0F"/>
          <w:sz w:val="21"/>
          <w:szCs w:val="21"/>
        </w:rPr>
        <w:t>recomendaciones efectuadas.</w:t>
      </w:r>
    </w:p>
    <w:p w14:paraId="0150C34A" w14:textId="77777777" w:rsidR="007A32BE" w:rsidRPr="00727023" w:rsidRDefault="007A32BE" w:rsidP="007A32BE">
      <w:pPr>
        <w:autoSpaceDE w:val="0"/>
        <w:autoSpaceDN w:val="0"/>
        <w:adjustRightInd w:val="0"/>
        <w:jc w:val="both"/>
        <w:rPr>
          <w:rFonts w:ascii="Abadi" w:hAnsi="Abadi" w:cs="*Arial-6885-Identity-H"/>
          <w:color w:val="0D0C0F"/>
          <w:sz w:val="21"/>
          <w:szCs w:val="21"/>
        </w:rPr>
      </w:pPr>
    </w:p>
    <w:p w14:paraId="126096B9" w14:textId="77777777" w:rsidR="007A32BE" w:rsidRPr="00727023" w:rsidRDefault="007A32BE" w:rsidP="007A32BE">
      <w:pPr>
        <w:autoSpaceDE w:val="0"/>
        <w:autoSpaceDN w:val="0"/>
        <w:adjustRightInd w:val="0"/>
        <w:ind w:firstLine="708"/>
        <w:jc w:val="both"/>
        <w:rPr>
          <w:rFonts w:ascii="Abadi" w:hAnsi="Abadi" w:cs="*Arial-6885-Identity-H"/>
          <w:color w:val="0D0D10"/>
          <w:sz w:val="21"/>
          <w:szCs w:val="21"/>
        </w:rPr>
      </w:pPr>
      <w:r w:rsidRPr="00727023">
        <w:rPr>
          <w:rFonts w:ascii="Abadi" w:hAnsi="Abadi" w:cs="*Arial-6885-Identity-H"/>
          <w:color w:val="0D0D10"/>
          <w:sz w:val="21"/>
          <w:szCs w:val="21"/>
        </w:rPr>
        <w:t>De igual manera, existe en el informe de resultados la constancia de que</w:t>
      </w:r>
      <w:r>
        <w:rPr>
          <w:rFonts w:ascii="Abadi" w:hAnsi="Abadi" w:cs="*Arial-6885-Identity-H"/>
          <w:color w:val="0D0D10"/>
          <w:sz w:val="21"/>
          <w:szCs w:val="21"/>
        </w:rPr>
        <w:t xml:space="preserve"> </w:t>
      </w:r>
      <w:r w:rsidRPr="00727023">
        <w:rPr>
          <w:rFonts w:ascii="Abadi" w:hAnsi="Abadi" w:cs="*Arial-6885-Identity-H"/>
          <w:color w:val="0D0D10"/>
          <w:sz w:val="21"/>
          <w:szCs w:val="21"/>
        </w:rPr>
        <w:t>este se notificó al sujeto fiscalizado. En tal virtud, se considera que fue respetado</w:t>
      </w:r>
      <w:r>
        <w:rPr>
          <w:rFonts w:ascii="Abadi" w:hAnsi="Abadi" w:cs="*Arial-6885-Identity-H"/>
          <w:color w:val="0D0D10"/>
          <w:sz w:val="21"/>
          <w:szCs w:val="21"/>
        </w:rPr>
        <w:t xml:space="preserve"> </w:t>
      </w:r>
      <w:r w:rsidRPr="00727023">
        <w:rPr>
          <w:rFonts w:ascii="Abadi" w:hAnsi="Abadi" w:cs="*Arial-6885-Identity-H"/>
          <w:color w:val="0D0D10"/>
          <w:sz w:val="21"/>
          <w:szCs w:val="21"/>
        </w:rPr>
        <w:t>el derecho de audiencia o defensa por parte del Órgano Técnico.</w:t>
      </w:r>
    </w:p>
    <w:p w14:paraId="1E82EA76" w14:textId="77777777" w:rsidR="007A32BE" w:rsidRPr="00727023" w:rsidRDefault="007A32BE" w:rsidP="007A32BE">
      <w:pPr>
        <w:autoSpaceDE w:val="0"/>
        <w:autoSpaceDN w:val="0"/>
        <w:adjustRightInd w:val="0"/>
        <w:jc w:val="both"/>
        <w:rPr>
          <w:rFonts w:ascii="Abadi" w:hAnsi="Abadi" w:cs="*Arial-7224-Identity-H"/>
          <w:color w:val="151515"/>
          <w:sz w:val="21"/>
          <w:szCs w:val="21"/>
        </w:rPr>
      </w:pPr>
    </w:p>
    <w:p w14:paraId="2C5901C1" w14:textId="6B464808" w:rsidR="007A32BE" w:rsidRDefault="007A32BE" w:rsidP="003F4D44">
      <w:pPr>
        <w:autoSpaceDE w:val="0"/>
        <w:autoSpaceDN w:val="0"/>
        <w:adjustRightInd w:val="0"/>
        <w:ind w:firstLine="708"/>
        <w:jc w:val="both"/>
        <w:rPr>
          <w:rFonts w:ascii="Abadi" w:hAnsi="Abadi" w:cs="*Arial-7221-Identity-H"/>
          <w:color w:val="0D0C0F"/>
          <w:sz w:val="21"/>
          <w:szCs w:val="21"/>
        </w:rPr>
      </w:pPr>
      <w:r w:rsidRPr="00727023">
        <w:rPr>
          <w:rFonts w:ascii="Abadi" w:hAnsi="Abadi" w:cs="*Arial-7221-Identity-H"/>
          <w:color w:val="0D0C0F"/>
          <w:sz w:val="21"/>
          <w:szCs w:val="21"/>
        </w:rPr>
        <w:t>Asimismo, del informe de resultados podemos inferir que el Órgano Técnico</w:t>
      </w:r>
      <w:r>
        <w:rPr>
          <w:rFonts w:ascii="Abadi" w:hAnsi="Abadi" w:cs="*Arial-7221-Identity-H"/>
          <w:color w:val="0D0C0F"/>
          <w:sz w:val="21"/>
          <w:szCs w:val="21"/>
        </w:rPr>
        <w:t xml:space="preserve"> </w:t>
      </w:r>
      <w:r w:rsidRPr="00727023">
        <w:rPr>
          <w:rFonts w:ascii="Abadi" w:hAnsi="Abadi" w:cs="*Arial-7221-Identity-H"/>
          <w:color w:val="0D0C0F"/>
          <w:sz w:val="21"/>
          <w:szCs w:val="21"/>
        </w:rPr>
        <w:t>en el desarrollo del procedimiento de auditoría, dio cumplimiento a las</w:t>
      </w:r>
      <w:r>
        <w:rPr>
          <w:rFonts w:ascii="Abadi" w:hAnsi="Abadi" w:cs="*Arial-7221-Identity-H"/>
          <w:color w:val="0D0C0F"/>
          <w:sz w:val="21"/>
          <w:szCs w:val="21"/>
        </w:rPr>
        <w:t xml:space="preserve"> </w:t>
      </w:r>
      <w:r w:rsidRPr="00727023">
        <w:rPr>
          <w:rFonts w:ascii="Abadi" w:hAnsi="Abadi" w:cs="*Arial-7221-Identity-H"/>
          <w:color w:val="0D0C0F"/>
          <w:sz w:val="21"/>
          <w:szCs w:val="21"/>
        </w:rPr>
        <w:t>formalidades esenciales que la misma Ley establece para el proceso de</w:t>
      </w:r>
      <w:r>
        <w:rPr>
          <w:rFonts w:ascii="Abadi" w:hAnsi="Abadi" w:cs="*Arial-7221-Identity-H"/>
          <w:color w:val="0D0C0F"/>
          <w:sz w:val="21"/>
          <w:szCs w:val="21"/>
        </w:rPr>
        <w:t xml:space="preserve"> </w:t>
      </w:r>
      <w:r w:rsidRPr="00727023">
        <w:rPr>
          <w:rFonts w:ascii="Abadi" w:hAnsi="Abadi" w:cs="*Arial-7221-Identity-H"/>
          <w:color w:val="0D0C0F"/>
          <w:sz w:val="21"/>
          <w:szCs w:val="21"/>
        </w:rPr>
        <w:t>fiscalización, al haberse practicado la auditoría que estaba contemplada en el</w:t>
      </w:r>
      <w:r>
        <w:rPr>
          <w:rFonts w:ascii="Abadi" w:hAnsi="Abadi" w:cs="*Arial-7221-Identity-H"/>
          <w:color w:val="0D0C0F"/>
          <w:sz w:val="21"/>
          <w:szCs w:val="21"/>
        </w:rPr>
        <w:t xml:space="preserve"> </w:t>
      </w:r>
      <w:r w:rsidRPr="00727023">
        <w:rPr>
          <w:rFonts w:ascii="Abadi" w:hAnsi="Abadi" w:cs="*Arial-7221-Identity-H"/>
          <w:color w:val="0D0C0F"/>
          <w:sz w:val="21"/>
          <w:szCs w:val="21"/>
        </w:rPr>
        <w:t>Programa General de Fiscalización 2021, aprobado por el Auditor Superior del</w:t>
      </w:r>
      <w:r w:rsidR="003F4D44">
        <w:rPr>
          <w:rFonts w:ascii="Abadi" w:hAnsi="Abadi" w:cs="*Arial-7221-Identity-H"/>
          <w:color w:val="0D0C0F"/>
          <w:sz w:val="21"/>
          <w:szCs w:val="21"/>
        </w:rPr>
        <w:t xml:space="preserve"> </w:t>
      </w:r>
      <w:r w:rsidRPr="00727023">
        <w:rPr>
          <w:rFonts w:ascii="Abadi" w:hAnsi="Abadi" w:cs="*Arial-7221-Identity-H"/>
          <w:color w:val="0D0C0F"/>
          <w:sz w:val="21"/>
          <w:szCs w:val="21"/>
        </w:rPr>
        <w:t>Estado. Asimismo, la auditoría se efectuó atendiendo a lo establecido en la</w:t>
      </w:r>
      <w:r>
        <w:rPr>
          <w:rFonts w:ascii="Abadi" w:hAnsi="Abadi" w:cs="*Arial-7221-Identity-H"/>
          <w:color w:val="0D0C0F"/>
          <w:sz w:val="21"/>
          <w:szCs w:val="21"/>
        </w:rPr>
        <w:t xml:space="preserve"> </w:t>
      </w:r>
      <w:r w:rsidRPr="00727023">
        <w:rPr>
          <w:rFonts w:ascii="Abadi" w:hAnsi="Abadi" w:cs="*Arial-7221-Identity-H"/>
          <w:color w:val="0D0C0F"/>
          <w:sz w:val="21"/>
          <w:szCs w:val="21"/>
        </w:rPr>
        <w:t>normatividad aplicable en la materia, cumpliendo lo estipulado por el artículo 3 y el</w:t>
      </w:r>
      <w:r>
        <w:rPr>
          <w:rFonts w:ascii="Abadi" w:hAnsi="Abadi" w:cs="*Arial-7221-Identity-H"/>
          <w:color w:val="0D0C0F"/>
          <w:sz w:val="21"/>
          <w:szCs w:val="21"/>
        </w:rPr>
        <w:t xml:space="preserve"> </w:t>
      </w:r>
      <w:r w:rsidRPr="00727023">
        <w:rPr>
          <w:rFonts w:ascii="Abadi" w:hAnsi="Abadi" w:cs="*Arial-7221-Identity-H"/>
          <w:color w:val="0D0C0F"/>
          <w:sz w:val="21"/>
          <w:szCs w:val="21"/>
        </w:rPr>
        <w:t>Capítulo VI del Título Segundo de la Ley de Fiscalización Superior del Estado de</w:t>
      </w:r>
      <w:r>
        <w:rPr>
          <w:rFonts w:ascii="Abadi" w:hAnsi="Abadi" w:cs="*Arial-7221-Identity-H"/>
          <w:color w:val="0D0C0F"/>
          <w:sz w:val="21"/>
          <w:szCs w:val="21"/>
        </w:rPr>
        <w:t xml:space="preserve"> </w:t>
      </w:r>
      <w:r w:rsidRPr="00727023">
        <w:rPr>
          <w:rFonts w:ascii="Abadi" w:hAnsi="Abadi" w:cs="*Arial-7221-Identity-H"/>
          <w:color w:val="0D0C0F"/>
          <w:sz w:val="21"/>
          <w:szCs w:val="21"/>
        </w:rPr>
        <w:t>Guanajuato, así como el artículo 28 del Reglamento de dicha Ley.</w:t>
      </w:r>
      <w:r>
        <w:rPr>
          <w:rFonts w:ascii="Abadi" w:hAnsi="Abadi" w:cs="*Arial-7221-Identity-H"/>
          <w:color w:val="0D0C0F"/>
          <w:sz w:val="21"/>
          <w:szCs w:val="21"/>
        </w:rPr>
        <w:t xml:space="preserve"> </w:t>
      </w:r>
    </w:p>
    <w:p w14:paraId="6DA516A0" w14:textId="77777777" w:rsidR="007A32BE" w:rsidRDefault="007A32BE" w:rsidP="007A32BE">
      <w:pPr>
        <w:autoSpaceDE w:val="0"/>
        <w:autoSpaceDN w:val="0"/>
        <w:adjustRightInd w:val="0"/>
        <w:jc w:val="both"/>
        <w:rPr>
          <w:rFonts w:ascii="Abadi" w:hAnsi="Abadi" w:cs="*Arial-7221-Identity-H"/>
          <w:color w:val="0D0C0F"/>
          <w:sz w:val="21"/>
          <w:szCs w:val="21"/>
        </w:rPr>
      </w:pPr>
    </w:p>
    <w:p w14:paraId="7161E195" w14:textId="77777777" w:rsidR="007A32BE" w:rsidRDefault="007A32BE" w:rsidP="007A32BE">
      <w:pPr>
        <w:autoSpaceDE w:val="0"/>
        <w:autoSpaceDN w:val="0"/>
        <w:adjustRightInd w:val="0"/>
        <w:ind w:firstLine="708"/>
        <w:jc w:val="both"/>
        <w:rPr>
          <w:rFonts w:ascii="Abadi" w:hAnsi="Abadi" w:cs="*Arial-7221-Identity-H"/>
          <w:color w:val="0E0E10"/>
          <w:sz w:val="21"/>
          <w:szCs w:val="21"/>
        </w:rPr>
      </w:pPr>
      <w:r w:rsidRPr="00727023">
        <w:rPr>
          <w:rFonts w:ascii="Abadi" w:hAnsi="Abadi" w:cs="*Arial-7221-Identity-H"/>
          <w:color w:val="0E0E10"/>
          <w:sz w:val="21"/>
          <w:szCs w:val="21"/>
        </w:rPr>
        <w:t>Finalmente, es de destacar que el cumplimiento de los Objetivos del</w:t>
      </w:r>
      <w:r>
        <w:rPr>
          <w:rFonts w:ascii="Abadi" w:hAnsi="Abadi" w:cs="*Arial-7221-Identity-H"/>
          <w:color w:val="0E0E10"/>
          <w:sz w:val="21"/>
          <w:szCs w:val="21"/>
        </w:rPr>
        <w:t xml:space="preserve"> </w:t>
      </w:r>
      <w:r w:rsidRPr="00727023">
        <w:rPr>
          <w:rFonts w:ascii="Abadi" w:hAnsi="Abadi" w:cs="*Arial-7221-Identity-H"/>
          <w:color w:val="0E0E10"/>
          <w:sz w:val="21"/>
          <w:szCs w:val="21"/>
        </w:rPr>
        <w:t>Desarrollo Sostenible de la Agenda 2030 está presente en el dictamen puesto a su</w:t>
      </w:r>
      <w:r>
        <w:rPr>
          <w:rFonts w:ascii="Abadi" w:hAnsi="Abadi" w:cs="*Arial-7221-Identity-H"/>
          <w:color w:val="0E0E10"/>
          <w:sz w:val="21"/>
          <w:szCs w:val="21"/>
        </w:rPr>
        <w:t xml:space="preserve"> </w:t>
      </w:r>
      <w:r w:rsidRPr="00727023">
        <w:rPr>
          <w:rFonts w:ascii="Abadi" w:hAnsi="Abadi" w:cs="*Arial-7221-Identity-H"/>
          <w:color w:val="0E0E10"/>
          <w:sz w:val="21"/>
          <w:szCs w:val="21"/>
        </w:rPr>
        <w:t>consideración, pues el mismo incide de manera directa en el Objetivo 16</w:t>
      </w:r>
      <w:r>
        <w:rPr>
          <w:rFonts w:ascii="Abadi" w:hAnsi="Abadi" w:cs="*Arial-7221-Identity-H"/>
          <w:color w:val="0E0E10"/>
          <w:sz w:val="21"/>
          <w:szCs w:val="21"/>
        </w:rPr>
        <w:t xml:space="preserve"> </w:t>
      </w:r>
      <w:r w:rsidRPr="00727023">
        <w:rPr>
          <w:rFonts w:ascii="Abadi" w:hAnsi="Abadi" w:cs="*Arial-7221-Identity-H"/>
          <w:color w:val="0E0E10"/>
          <w:sz w:val="21"/>
          <w:szCs w:val="21"/>
        </w:rPr>
        <w:t>denominado Paz, Justicia e Instituciones Sólidas. Promover sociedades justas</w:t>
      </w:r>
      <w:r>
        <w:rPr>
          <w:rFonts w:ascii="Abadi" w:hAnsi="Abadi" w:cs="*Arial-7221-Identity-H"/>
          <w:color w:val="0E0E10"/>
          <w:sz w:val="21"/>
          <w:szCs w:val="21"/>
        </w:rPr>
        <w:t xml:space="preserve">, </w:t>
      </w:r>
      <w:r w:rsidRPr="00727023">
        <w:rPr>
          <w:rFonts w:ascii="Abadi" w:hAnsi="Abadi" w:cs="*Arial-7221-Identity-H"/>
          <w:color w:val="0E0E10"/>
          <w:sz w:val="21"/>
          <w:szCs w:val="21"/>
        </w:rPr>
        <w:t>pacíficas e inclusivas, respecto a la meta 16.6 Crear a todos los niveles</w:t>
      </w:r>
      <w:r>
        <w:rPr>
          <w:rFonts w:ascii="Abadi" w:hAnsi="Abadi" w:cs="*Arial-7221-Identity-H"/>
          <w:color w:val="0E0E10"/>
          <w:sz w:val="21"/>
          <w:szCs w:val="21"/>
        </w:rPr>
        <w:t xml:space="preserve"> </w:t>
      </w:r>
      <w:r w:rsidRPr="00727023">
        <w:rPr>
          <w:rFonts w:ascii="Abadi" w:hAnsi="Abadi" w:cs="*Arial-7221-Identity-H"/>
          <w:color w:val="0E0E10"/>
          <w:sz w:val="21"/>
          <w:szCs w:val="21"/>
        </w:rPr>
        <w:t>instituciones eficaces y transparentes, al abonar a la transparencia y rendición de</w:t>
      </w:r>
      <w:r>
        <w:rPr>
          <w:rFonts w:ascii="Abadi" w:hAnsi="Abadi" w:cs="*Arial-7221-Identity-H"/>
          <w:color w:val="0E0E10"/>
          <w:sz w:val="21"/>
          <w:szCs w:val="21"/>
        </w:rPr>
        <w:t xml:space="preserve"> </w:t>
      </w:r>
      <w:r w:rsidRPr="00727023">
        <w:rPr>
          <w:rFonts w:ascii="Abadi" w:hAnsi="Abadi" w:cs="*Arial-7221-Identity-H"/>
          <w:color w:val="0E0E10"/>
          <w:sz w:val="21"/>
          <w:szCs w:val="21"/>
        </w:rPr>
        <w:t>cuentas.</w:t>
      </w:r>
    </w:p>
    <w:p w14:paraId="53181779" w14:textId="77777777" w:rsidR="007A32BE" w:rsidRPr="00727023" w:rsidRDefault="007A32BE" w:rsidP="007A32BE">
      <w:pPr>
        <w:autoSpaceDE w:val="0"/>
        <w:autoSpaceDN w:val="0"/>
        <w:adjustRightInd w:val="0"/>
        <w:jc w:val="both"/>
        <w:rPr>
          <w:rFonts w:ascii="Abadi" w:hAnsi="Abadi" w:cs="*Arial-7221-Identity-H"/>
          <w:color w:val="0E0E10"/>
          <w:sz w:val="21"/>
          <w:szCs w:val="21"/>
        </w:rPr>
      </w:pPr>
    </w:p>
    <w:p w14:paraId="5E497105" w14:textId="79E69FE5" w:rsidR="007A32BE" w:rsidRDefault="007A32BE" w:rsidP="007A32BE">
      <w:pPr>
        <w:autoSpaceDE w:val="0"/>
        <w:autoSpaceDN w:val="0"/>
        <w:adjustRightInd w:val="0"/>
        <w:ind w:firstLine="708"/>
        <w:jc w:val="both"/>
        <w:rPr>
          <w:rFonts w:ascii="Abadi" w:hAnsi="Abadi" w:cs="*Arial-7221-Identity-H"/>
          <w:color w:val="0D0C0F"/>
          <w:sz w:val="21"/>
          <w:szCs w:val="21"/>
        </w:rPr>
      </w:pPr>
      <w:r w:rsidRPr="00727023">
        <w:rPr>
          <w:rFonts w:ascii="Abadi" w:hAnsi="Abadi" w:cs="*Arial-7221-Identity-H"/>
          <w:color w:val="0D0C0F"/>
          <w:sz w:val="21"/>
          <w:szCs w:val="21"/>
        </w:rPr>
        <w:t>En razón de lo anteriormente se</w:t>
      </w:r>
      <w:r>
        <w:rPr>
          <w:rFonts w:ascii="Abadi" w:hAnsi="Abadi" w:cs="*Arial-7221-Identity-H"/>
          <w:color w:val="0D0C0F"/>
          <w:sz w:val="21"/>
          <w:szCs w:val="21"/>
        </w:rPr>
        <w:t>ñalado</w:t>
      </w:r>
      <w:r w:rsidRPr="00727023">
        <w:rPr>
          <w:rFonts w:ascii="Abadi" w:hAnsi="Abadi" w:cs="*Arial-7221-Identity-H"/>
          <w:color w:val="0D0C0F"/>
          <w:sz w:val="21"/>
          <w:szCs w:val="21"/>
        </w:rPr>
        <w:t>, concluimos que el informe de</w:t>
      </w:r>
      <w:r>
        <w:rPr>
          <w:rFonts w:ascii="Abadi" w:hAnsi="Abadi" w:cs="*Arial-7221-Identity-H"/>
          <w:color w:val="0D0C0F"/>
          <w:sz w:val="21"/>
          <w:szCs w:val="21"/>
        </w:rPr>
        <w:t xml:space="preserve"> </w:t>
      </w:r>
      <w:r w:rsidRPr="00727023">
        <w:rPr>
          <w:rFonts w:ascii="Abadi" w:hAnsi="Abadi" w:cs="*Arial-7221-Identity-H"/>
          <w:color w:val="0D0C0F"/>
          <w:sz w:val="21"/>
          <w:szCs w:val="21"/>
        </w:rPr>
        <w:t>resultados de la auditoría de desempe</w:t>
      </w:r>
      <w:r>
        <w:rPr>
          <w:rFonts w:ascii="Abadi" w:hAnsi="Abadi" w:cs="*Arial-7221-Identity-H"/>
          <w:color w:val="0D0C0F"/>
          <w:sz w:val="21"/>
          <w:szCs w:val="21"/>
        </w:rPr>
        <w:t>ño</w:t>
      </w:r>
      <w:r w:rsidRPr="00727023">
        <w:rPr>
          <w:rFonts w:ascii="Abadi" w:hAnsi="Abadi" w:cs="*Arial-7221-Identity-H"/>
          <w:color w:val="0D0C0F"/>
          <w:sz w:val="21"/>
          <w:szCs w:val="21"/>
        </w:rPr>
        <w:t xml:space="preserve"> practicada a la administración municipal</w:t>
      </w:r>
      <w:r>
        <w:rPr>
          <w:rFonts w:ascii="Abadi" w:hAnsi="Abadi" w:cs="*Arial-7221-Identity-H"/>
          <w:color w:val="0D0C0F"/>
          <w:sz w:val="21"/>
          <w:szCs w:val="21"/>
        </w:rPr>
        <w:t xml:space="preserve"> </w:t>
      </w:r>
      <w:r w:rsidRPr="00727023">
        <w:rPr>
          <w:rFonts w:ascii="Abadi" w:hAnsi="Abadi" w:cs="*Arial-7221-Identity-H"/>
          <w:color w:val="0D0C0F"/>
          <w:sz w:val="21"/>
          <w:szCs w:val="21"/>
        </w:rPr>
        <w:t xml:space="preserve">de San Miguel de Allende, </w:t>
      </w:r>
      <w:proofErr w:type="spellStart"/>
      <w:r w:rsidRPr="00727023">
        <w:rPr>
          <w:rFonts w:ascii="Abadi" w:hAnsi="Abadi" w:cs="*Arial-7221-Identity-H"/>
          <w:color w:val="0D0C0F"/>
          <w:sz w:val="21"/>
          <w:szCs w:val="21"/>
        </w:rPr>
        <w:t>Gto</w:t>
      </w:r>
      <w:proofErr w:type="spellEnd"/>
      <w:r w:rsidRPr="00727023">
        <w:rPr>
          <w:rFonts w:ascii="Abadi" w:hAnsi="Abadi" w:cs="*Arial-7221-Identity-H"/>
          <w:color w:val="0D0C0F"/>
          <w:sz w:val="21"/>
          <w:szCs w:val="21"/>
        </w:rPr>
        <w:t>., con enfoque a resultados del servicio de</w:t>
      </w:r>
      <w:r>
        <w:rPr>
          <w:rFonts w:ascii="Abadi" w:hAnsi="Abadi" w:cs="*Arial-7221-Identity-H"/>
          <w:color w:val="0D0C0F"/>
          <w:sz w:val="21"/>
          <w:szCs w:val="21"/>
        </w:rPr>
        <w:t xml:space="preserve"> </w:t>
      </w:r>
      <w:r w:rsidRPr="00727023">
        <w:rPr>
          <w:rFonts w:ascii="Abadi" w:hAnsi="Abadi" w:cs="*Arial-7221-Identity-H"/>
          <w:color w:val="0D0C0F"/>
          <w:sz w:val="21"/>
          <w:szCs w:val="21"/>
        </w:rPr>
        <w:t>alumbrado público, por el ejercicio fiscal del año 2020, debe sancionarse por el</w:t>
      </w:r>
      <w:r>
        <w:rPr>
          <w:rFonts w:ascii="Abadi" w:hAnsi="Abadi" w:cs="*Arial-7221-Identity-H"/>
          <w:color w:val="0D0C0F"/>
          <w:sz w:val="21"/>
          <w:szCs w:val="21"/>
        </w:rPr>
        <w:t xml:space="preserve"> </w:t>
      </w:r>
      <w:r w:rsidRPr="00727023">
        <w:rPr>
          <w:rFonts w:ascii="Abadi" w:hAnsi="Abadi" w:cs="*Arial-7221-Identity-H"/>
          <w:color w:val="0D0C0F"/>
          <w:sz w:val="21"/>
          <w:szCs w:val="21"/>
        </w:rPr>
        <w:t>Congreso en los términos presentados por la Auditoría Superior del Estado y</w:t>
      </w:r>
      <w:r>
        <w:rPr>
          <w:rFonts w:ascii="Abadi" w:hAnsi="Abadi" w:cs="*Arial-7221-Identity-H"/>
          <w:color w:val="0D0C0F"/>
          <w:sz w:val="21"/>
          <w:szCs w:val="21"/>
        </w:rPr>
        <w:t xml:space="preserve"> </w:t>
      </w:r>
      <w:r w:rsidRPr="00727023">
        <w:rPr>
          <w:rFonts w:ascii="Abadi" w:hAnsi="Abadi" w:cs="*Arial-7221-Identity-H"/>
          <w:color w:val="0D0C0F"/>
          <w:sz w:val="21"/>
          <w:szCs w:val="21"/>
        </w:rPr>
        <w:t>proceder a su aprobación, considerando que no se presenta el supuesto contenido</w:t>
      </w:r>
      <w:r>
        <w:rPr>
          <w:rFonts w:ascii="Abadi" w:hAnsi="Abadi" w:cs="*Arial-7221-Identity-H"/>
          <w:color w:val="0D0C0F"/>
          <w:sz w:val="21"/>
          <w:szCs w:val="21"/>
        </w:rPr>
        <w:t xml:space="preserve"> </w:t>
      </w:r>
      <w:r w:rsidRPr="00727023">
        <w:rPr>
          <w:rFonts w:ascii="Abadi" w:hAnsi="Abadi" w:cs="*Arial-7221-Identity-H"/>
          <w:color w:val="0D0C0F"/>
          <w:sz w:val="21"/>
          <w:szCs w:val="21"/>
        </w:rPr>
        <w:t>en el artículo 38 de la Ley de Fiscalización Superior del Estado de Guanajuato,</w:t>
      </w:r>
      <w:r>
        <w:rPr>
          <w:rFonts w:ascii="Abadi" w:hAnsi="Abadi" w:cs="*Arial-7221-Identity-H"/>
          <w:color w:val="0D0C0F"/>
          <w:sz w:val="21"/>
          <w:szCs w:val="21"/>
        </w:rPr>
        <w:t xml:space="preserve"> </w:t>
      </w:r>
      <w:r w:rsidRPr="00727023">
        <w:rPr>
          <w:rFonts w:ascii="Abadi" w:hAnsi="Abadi" w:cs="*Arial-7221-Identity-H"/>
          <w:color w:val="0D0C0F"/>
          <w:sz w:val="21"/>
          <w:szCs w:val="21"/>
        </w:rPr>
        <w:t>razón por la cual no podría ser observado por el Pleno del Congreso.</w:t>
      </w:r>
    </w:p>
    <w:p w14:paraId="04F714C8" w14:textId="77777777" w:rsidR="007A32BE" w:rsidRPr="00727023" w:rsidRDefault="007A32BE" w:rsidP="007A32BE">
      <w:pPr>
        <w:autoSpaceDE w:val="0"/>
        <w:autoSpaceDN w:val="0"/>
        <w:adjustRightInd w:val="0"/>
        <w:ind w:firstLine="708"/>
        <w:jc w:val="both"/>
        <w:rPr>
          <w:rFonts w:ascii="Abadi" w:hAnsi="Abadi" w:cs="*Arial-7221-Identity-H"/>
          <w:color w:val="0C0C0F"/>
          <w:sz w:val="21"/>
          <w:szCs w:val="21"/>
        </w:rPr>
      </w:pPr>
      <w:r w:rsidRPr="00727023">
        <w:rPr>
          <w:rFonts w:ascii="Abadi" w:hAnsi="Abadi" w:cs="*Arial-7221-Identity-H"/>
          <w:color w:val="0C0C0F"/>
          <w:sz w:val="21"/>
          <w:szCs w:val="21"/>
        </w:rPr>
        <w:t>Por lo expuesto, con fundamento en el art</w:t>
      </w:r>
      <w:r>
        <w:rPr>
          <w:rFonts w:ascii="Abadi" w:hAnsi="Abadi" w:cs="*Arial-7221-Identity-H"/>
          <w:color w:val="0C0C0F"/>
          <w:sz w:val="21"/>
          <w:szCs w:val="21"/>
        </w:rPr>
        <w:t>íc</w:t>
      </w:r>
      <w:r w:rsidRPr="00727023">
        <w:rPr>
          <w:rFonts w:ascii="Abadi" w:hAnsi="Abadi" w:cs="*Arial-7221-Identity-H"/>
          <w:color w:val="0C0C0F"/>
          <w:sz w:val="21"/>
          <w:szCs w:val="21"/>
        </w:rPr>
        <w:t>ulo 204 de la Ley Orgánica del</w:t>
      </w:r>
      <w:r>
        <w:rPr>
          <w:rFonts w:ascii="Abadi" w:hAnsi="Abadi" w:cs="*Arial-7221-Identity-H"/>
          <w:color w:val="0C0C0F"/>
          <w:sz w:val="21"/>
          <w:szCs w:val="21"/>
        </w:rPr>
        <w:t xml:space="preserve"> </w:t>
      </w:r>
      <w:r w:rsidRPr="00727023">
        <w:rPr>
          <w:rFonts w:ascii="Abadi" w:hAnsi="Abadi" w:cs="*Arial-7221-Identity-H"/>
          <w:color w:val="0C0C0F"/>
          <w:sz w:val="21"/>
          <w:szCs w:val="21"/>
        </w:rPr>
        <w:t>Poder Legislativo, nos permitimos someter a la consideración de la Asamblea, la</w:t>
      </w:r>
      <w:r>
        <w:rPr>
          <w:rFonts w:ascii="Abadi" w:hAnsi="Abadi" w:cs="*Arial-7221-Identity-H"/>
          <w:color w:val="0C0C0F"/>
          <w:sz w:val="21"/>
          <w:szCs w:val="21"/>
        </w:rPr>
        <w:t xml:space="preserve"> </w:t>
      </w:r>
      <w:r w:rsidRPr="00727023">
        <w:rPr>
          <w:rFonts w:ascii="Abadi" w:hAnsi="Abadi" w:cs="*Arial-7221-Identity-H"/>
          <w:color w:val="0C0C0F"/>
          <w:sz w:val="21"/>
          <w:szCs w:val="21"/>
        </w:rPr>
        <w:t>aprobación del siguiente:</w:t>
      </w:r>
    </w:p>
    <w:p w14:paraId="15E4F48E" w14:textId="77777777" w:rsidR="007A32BE" w:rsidRDefault="007A32BE" w:rsidP="007A32BE">
      <w:pPr>
        <w:autoSpaceDE w:val="0"/>
        <w:autoSpaceDN w:val="0"/>
        <w:adjustRightInd w:val="0"/>
        <w:jc w:val="both"/>
        <w:rPr>
          <w:rFonts w:ascii="Abadi" w:hAnsi="Abadi" w:cs="*Arial-Bold-7222-Identity-H"/>
          <w:b/>
          <w:bCs/>
          <w:color w:val="0F0E14"/>
          <w:sz w:val="21"/>
          <w:szCs w:val="21"/>
        </w:rPr>
      </w:pPr>
    </w:p>
    <w:p w14:paraId="0B86B266" w14:textId="77777777" w:rsidR="007A32BE" w:rsidRDefault="007A32BE" w:rsidP="007A32BE">
      <w:pPr>
        <w:autoSpaceDE w:val="0"/>
        <w:autoSpaceDN w:val="0"/>
        <w:adjustRightInd w:val="0"/>
        <w:jc w:val="center"/>
        <w:rPr>
          <w:rFonts w:ascii="Abadi" w:hAnsi="Abadi" w:cs="*Arial-Bold-7222-Identity-H"/>
          <w:b/>
          <w:bCs/>
          <w:color w:val="0F0E14"/>
          <w:sz w:val="21"/>
          <w:szCs w:val="21"/>
        </w:rPr>
      </w:pPr>
      <w:r w:rsidRPr="00727023">
        <w:rPr>
          <w:rFonts w:ascii="Abadi" w:hAnsi="Abadi" w:cs="*Arial-Bold-7222-Identity-H"/>
          <w:b/>
          <w:bCs/>
          <w:color w:val="0F0E14"/>
          <w:sz w:val="21"/>
          <w:szCs w:val="21"/>
        </w:rPr>
        <w:t>ACUERDO</w:t>
      </w:r>
    </w:p>
    <w:p w14:paraId="4976991E" w14:textId="77777777" w:rsidR="007A32BE" w:rsidRPr="00727023" w:rsidRDefault="007A32BE" w:rsidP="007A32BE">
      <w:pPr>
        <w:autoSpaceDE w:val="0"/>
        <w:autoSpaceDN w:val="0"/>
        <w:adjustRightInd w:val="0"/>
        <w:jc w:val="both"/>
        <w:rPr>
          <w:rFonts w:ascii="Abadi" w:hAnsi="Abadi" w:cs="*Arial-Bold-7222-Identity-H"/>
          <w:b/>
          <w:bCs/>
          <w:color w:val="0F0E14"/>
          <w:sz w:val="21"/>
          <w:szCs w:val="21"/>
        </w:rPr>
      </w:pPr>
    </w:p>
    <w:p w14:paraId="65DCF83A" w14:textId="77777777" w:rsidR="007A32BE" w:rsidRDefault="007A32BE" w:rsidP="007A32BE">
      <w:pPr>
        <w:autoSpaceDE w:val="0"/>
        <w:autoSpaceDN w:val="0"/>
        <w:adjustRightInd w:val="0"/>
        <w:ind w:firstLine="708"/>
        <w:jc w:val="both"/>
        <w:rPr>
          <w:rFonts w:ascii="Abadi" w:hAnsi="Abadi" w:cs="*Arial-7087-Identity-H"/>
          <w:color w:val="100F13"/>
          <w:sz w:val="21"/>
          <w:szCs w:val="21"/>
        </w:rPr>
      </w:pPr>
      <w:r w:rsidRPr="00727023">
        <w:rPr>
          <w:rFonts w:ascii="Abadi" w:hAnsi="Abadi" w:cs="*Arial-Bold-7222-Identity-H"/>
          <w:b/>
          <w:bCs/>
          <w:color w:val="0C0C0F"/>
          <w:sz w:val="21"/>
          <w:szCs w:val="21"/>
        </w:rPr>
        <w:t xml:space="preserve">Único. </w:t>
      </w:r>
      <w:r w:rsidRPr="00727023">
        <w:rPr>
          <w:rFonts w:ascii="Abadi" w:hAnsi="Abadi" w:cs="*Arial-7221-Identity-H"/>
          <w:color w:val="0C0C0F"/>
          <w:sz w:val="21"/>
          <w:szCs w:val="21"/>
        </w:rPr>
        <w:t>Con fundamento en el artículo 63 fracción XIX de la Constitución</w:t>
      </w:r>
      <w:r>
        <w:rPr>
          <w:rFonts w:ascii="Abadi" w:hAnsi="Abadi" w:cs="*Arial-7221-Identity-H"/>
          <w:color w:val="0C0C0F"/>
          <w:sz w:val="21"/>
          <w:szCs w:val="21"/>
        </w:rPr>
        <w:t xml:space="preserve"> </w:t>
      </w:r>
      <w:r w:rsidRPr="00727023">
        <w:rPr>
          <w:rFonts w:ascii="Abadi" w:hAnsi="Abadi" w:cs="*Arial-7221-Identity-H"/>
          <w:color w:val="0C0C0F"/>
          <w:sz w:val="21"/>
          <w:szCs w:val="21"/>
        </w:rPr>
        <w:t>Política para el Estado, en relación con los artículos 3, fracción V, 5, fracción IV,</w:t>
      </w:r>
      <w:r>
        <w:rPr>
          <w:rFonts w:ascii="Abadi" w:hAnsi="Abadi" w:cs="*Arial-7221-Identity-H"/>
          <w:color w:val="0C0C0F"/>
          <w:sz w:val="21"/>
          <w:szCs w:val="21"/>
        </w:rPr>
        <w:t xml:space="preserve"> </w:t>
      </w:r>
      <w:r w:rsidRPr="00727023">
        <w:rPr>
          <w:rFonts w:ascii="Abadi" w:hAnsi="Abadi" w:cs="*Arial-7221-Identity-H"/>
          <w:color w:val="0C0C0F"/>
          <w:sz w:val="21"/>
          <w:szCs w:val="21"/>
        </w:rPr>
        <w:t>56, 59 y 60 de la Ley de Fiscalización Superior del Estado de Guanajuato y 28 del</w:t>
      </w:r>
      <w:r>
        <w:rPr>
          <w:rFonts w:ascii="Abadi" w:hAnsi="Abadi" w:cs="*Arial-7221-Identity-H"/>
          <w:color w:val="0C0C0F"/>
          <w:sz w:val="21"/>
          <w:szCs w:val="21"/>
        </w:rPr>
        <w:t xml:space="preserve"> </w:t>
      </w:r>
      <w:r w:rsidRPr="00727023">
        <w:rPr>
          <w:rFonts w:ascii="Abadi" w:hAnsi="Abadi" w:cs="*Arial-7221-Identity-H"/>
          <w:color w:val="0C0C0F"/>
          <w:sz w:val="21"/>
          <w:szCs w:val="21"/>
        </w:rPr>
        <w:t>Reglamento de la Ley de Fiscalización Superior del Estado de Guanajuato, se</w:t>
      </w:r>
      <w:r>
        <w:rPr>
          <w:rFonts w:ascii="Abadi" w:hAnsi="Abadi" w:cs="*Arial-7221-Identity-H"/>
          <w:color w:val="0C0C0F"/>
          <w:sz w:val="21"/>
          <w:szCs w:val="21"/>
        </w:rPr>
        <w:t xml:space="preserve"> </w:t>
      </w:r>
      <w:r w:rsidRPr="00727023">
        <w:rPr>
          <w:rFonts w:ascii="Abadi" w:hAnsi="Abadi" w:cs="*Arial-7221-Identity-H"/>
          <w:color w:val="0C0C0F"/>
          <w:sz w:val="21"/>
          <w:szCs w:val="21"/>
        </w:rPr>
        <w:t>aprueba el informe de resultados formulado por la Auditoría Superior del Estado</w:t>
      </w:r>
      <w:r>
        <w:rPr>
          <w:rFonts w:ascii="Abadi" w:hAnsi="Abadi" w:cs="*Arial-7221-Identity-H"/>
          <w:color w:val="0C0C0F"/>
          <w:sz w:val="21"/>
          <w:szCs w:val="21"/>
        </w:rPr>
        <w:t xml:space="preserve"> </w:t>
      </w:r>
      <w:r w:rsidRPr="00727023">
        <w:rPr>
          <w:rFonts w:ascii="Abadi" w:hAnsi="Abadi" w:cs="*Arial-7221-Identity-H"/>
          <w:color w:val="0C0C0F"/>
          <w:sz w:val="21"/>
          <w:szCs w:val="21"/>
        </w:rPr>
        <w:t>de Guanajuato, de la auditoría de desempeño practicada a la administración</w:t>
      </w:r>
      <w:r>
        <w:rPr>
          <w:rFonts w:ascii="Abadi" w:hAnsi="Abadi" w:cs="*Arial-7221-Identity-H"/>
          <w:color w:val="0C0C0F"/>
          <w:sz w:val="21"/>
          <w:szCs w:val="21"/>
        </w:rPr>
        <w:t xml:space="preserve"> </w:t>
      </w:r>
      <w:r w:rsidRPr="00727023">
        <w:rPr>
          <w:rFonts w:ascii="Abadi" w:hAnsi="Abadi" w:cs="*Arial-7221-Identity-H"/>
          <w:color w:val="0C0C0F"/>
          <w:sz w:val="21"/>
          <w:szCs w:val="21"/>
        </w:rPr>
        <w:t xml:space="preserve">municipal de San Miguel de Allende, </w:t>
      </w:r>
      <w:proofErr w:type="spellStart"/>
      <w:r w:rsidRPr="00727023">
        <w:rPr>
          <w:rFonts w:ascii="Abadi" w:hAnsi="Abadi" w:cs="*Arial-7221-Identity-H"/>
          <w:color w:val="0C0C0F"/>
          <w:sz w:val="21"/>
          <w:szCs w:val="21"/>
        </w:rPr>
        <w:t>Gto</w:t>
      </w:r>
      <w:proofErr w:type="spellEnd"/>
      <w:r w:rsidRPr="00727023">
        <w:rPr>
          <w:rFonts w:ascii="Abadi" w:hAnsi="Abadi" w:cs="*Arial-7221-Identity-H"/>
          <w:color w:val="0C0C0F"/>
          <w:sz w:val="21"/>
          <w:szCs w:val="21"/>
        </w:rPr>
        <w:t>., con enfoque a resultados del servicio de</w:t>
      </w:r>
      <w:r>
        <w:rPr>
          <w:rFonts w:ascii="Abadi" w:hAnsi="Abadi" w:cs="*Arial-7221-Identity-H"/>
          <w:color w:val="0C0C0F"/>
          <w:sz w:val="21"/>
          <w:szCs w:val="21"/>
        </w:rPr>
        <w:t xml:space="preserve"> </w:t>
      </w:r>
      <w:r w:rsidRPr="00727023">
        <w:rPr>
          <w:rFonts w:ascii="Abadi" w:hAnsi="Abadi" w:cs="*Arial-7087-Identity-H"/>
          <w:color w:val="100F13"/>
          <w:sz w:val="21"/>
          <w:szCs w:val="21"/>
        </w:rPr>
        <w:t>alumbrado público, por el periodo comprendido del 1 de enero al 31 de diciembre</w:t>
      </w:r>
      <w:r>
        <w:rPr>
          <w:rFonts w:ascii="Abadi" w:hAnsi="Abadi" w:cs="*Arial-7087-Identity-H"/>
          <w:color w:val="100F13"/>
          <w:sz w:val="21"/>
          <w:szCs w:val="21"/>
        </w:rPr>
        <w:t xml:space="preserve"> </w:t>
      </w:r>
      <w:r w:rsidRPr="00727023">
        <w:rPr>
          <w:rFonts w:ascii="Abadi" w:hAnsi="Abadi" w:cs="*Arial-7087-Identity-H"/>
          <w:color w:val="100F13"/>
          <w:sz w:val="21"/>
          <w:szCs w:val="21"/>
        </w:rPr>
        <w:t>del ejercicio fiscal del año 2020.</w:t>
      </w:r>
    </w:p>
    <w:p w14:paraId="692BAB39" w14:textId="77777777" w:rsidR="007A32BE" w:rsidRPr="00727023" w:rsidRDefault="007A32BE" w:rsidP="007A32BE">
      <w:pPr>
        <w:autoSpaceDE w:val="0"/>
        <w:autoSpaceDN w:val="0"/>
        <w:adjustRightInd w:val="0"/>
        <w:jc w:val="both"/>
        <w:rPr>
          <w:rFonts w:ascii="Abadi" w:hAnsi="Abadi" w:cs="*Arial-7087-Identity-H"/>
          <w:color w:val="100F13"/>
          <w:sz w:val="21"/>
          <w:szCs w:val="21"/>
        </w:rPr>
      </w:pPr>
    </w:p>
    <w:p w14:paraId="4B54A7F6" w14:textId="77777777" w:rsidR="007A32BE" w:rsidRDefault="007A32BE" w:rsidP="007A32BE">
      <w:pPr>
        <w:autoSpaceDE w:val="0"/>
        <w:autoSpaceDN w:val="0"/>
        <w:adjustRightInd w:val="0"/>
        <w:ind w:firstLine="708"/>
        <w:jc w:val="both"/>
        <w:rPr>
          <w:rFonts w:ascii="Abadi" w:hAnsi="Abadi" w:cs="*Arial-7087-Identity-H"/>
          <w:color w:val="101013"/>
          <w:sz w:val="21"/>
          <w:szCs w:val="21"/>
        </w:rPr>
      </w:pPr>
      <w:r w:rsidRPr="00727023">
        <w:rPr>
          <w:rFonts w:ascii="Abadi" w:hAnsi="Abadi" w:cs="*Arial-7087-Identity-H"/>
          <w:color w:val="101013"/>
          <w:sz w:val="21"/>
          <w:szCs w:val="21"/>
        </w:rPr>
        <w:t>Se ordena dar vista del informe de resultados al ayuntamiento del municipio</w:t>
      </w:r>
      <w:r>
        <w:rPr>
          <w:rFonts w:ascii="Abadi" w:hAnsi="Abadi" w:cs="*Arial-7087-Identity-H"/>
          <w:color w:val="101013"/>
          <w:sz w:val="21"/>
          <w:szCs w:val="21"/>
        </w:rPr>
        <w:t xml:space="preserve"> </w:t>
      </w:r>
      <w:r w:rsidRPr="00727023">
        <w:rPr>
          <w:rFonts w:ascii="Abadi" w:hAnsi="Abadi" w:cs="*Arial-7087-Identity-H"/>
          <w:color w:val="101013"/>
          <w:sz w:val="21"/>
          <w:szCs w:val="21"/>
        </w:rPr>
        <w:t xml:space="preserve">de San Miguel de Allende, </w:t>
      </w:r>
      <w:proofErr w:type="spellStart"/>
      <w:r w:rsidRPr="00727023">
        <w:rPr>
          <w:rFonts w:ascii="Abadi" w:hAnsi="Abadi" w:cs="*Arial-7087-Identity-H"/>
          <w:color w:val="101013"/>
          <w:sz w:val="21"/>
          <w:szCs w:val="21"/>
        </w:rPr>
        <w:t>Gto</w:t>
      </w:r>
      <w:proofErr w:type="spellEnd"/>
      <w:r w:rsidRPr="00727023">
        <w:rPr>
          <w:rFonts w:ascii="Abadi" w:hAnsi="Abadi" w:cs="*Arial-7087-Identity-H"/>
          <w:color w:val="101013"/>
          <w:sz w:val="21"/>
          <w:szCs w:val="21"/>
        </w:rPr>
        <w:t>., a efecto de que se atiendan las recomendaciones</w:t>
      </w:r>
      <w:r>
        <w:rPr>
          <w:rFonts w:ascii="Abadi" w:hAnsi="Abadi" w:cs="*Arial-7087-Identity-H"/>
          <w:color w:val="101013"/>
          <w:sz w:val="21"/>
          <w:szCs w:val="21"/>
        </w:rPr>
        <w:t xml:space="preserve"> </w:t>
      </w:r>
      <w:r w:rsidRPr="00727023">
        <w:rPr>
          <w:rFonts w:ascii="Abadi" w:hAnsi="Abadi" w:cs="*Arial-7087-Identity-H"/>
          <w:color w:val="101013"/>
          <w:sz w:val="21"/>
          <w:szCs w:val="21"/>
        </w:rPr>
        <w:t>contenidas en el informe de resultados, informando a la Auditoría Superior del</w:t>
      </w:r>
      <w:r>
        <w:rPr>
          <w:rFonts w:ascii="Abadi" w:hAnsi="Abadi" w:cs="*Arial-7087-Identity-H"/>
          <w:color w:val="101013"/>
          <w:sz w:val="21"/>
          <w:szCs w:val="21"/>
        </w:rPr>
        <w:t xml:space="preserve"> </w:t>
      </w:r>
      <w:r w:rsidRPr="00727023">
        <w:rPr>
          <w:rFonts w:ascii="Abadi" w:hAnsi="Abadi" w:cs="*Arial-7087-Identity-H"/>
          <w:color w:val="101013"/>
          <w:sz w:val="21"/>
          <w:szCs w:val="21"/>
        </w:rPr>
        <w:t>Estado de las acciones realizadas para ello, con objeto de que esta última realice</w:t>
      </w:r>
      <w:r>
        <w:rPr>
          <w:rFonts w:ascii="Abadi" w:hAnsi="Abadi" w:cs="*Arial-7087-Identity-H"/>
          <w:color w:val="101013"/>
          <w:sz w:val="21"/>
          <w:szCs w:val="21"/>
        </w:rPr>
        <w:t xml:space="preserve"> </w:t>
      </w:r>
      <w:r w:rsidRPr="00727023">
        <w:rPr>
          <w:rFonts w:ascii="Abadi" w:hAnsi="Abadi" w:cs="*Arial-7087-Identity-H"/>
          <w:color w:val="101013"/>
          <w:sz w:val="21"/>
          <w:szCs w:val="21"/>
        </w:rPr>
        <w:t>el seguimiento correspondiente, previsto en los artículos 37, fracción VII, 65 y 66</w:t>
      </w:r>
      <w:r>
        <w:rPr>
          <w:rFonts w:ascii="Abadi" w:hAnsi="Abadi" w:cs="*Arial-7087-Identity-H"/>
          <w:color w:val="101013"/>
          <w:sz w:val="21"/>
          <w:szCs w:val="21"/>
        </w:rPr>
        <w:t xml:space="preserve"> </w:t>
      </w:r>
      <w:r w:rsidRPr="00727023">
        <w:rPr>
          <w:rFonts w:ascii="Abadi" w:hAnsi="Abadi" w:cs="*Arial-7087-Identity-H"/>
          <w:color w:val="101013"/>
          <w:sz w:val="21"/>
          <w:szCs w:val="21"/>
        </w:rPr>
        <w:t>de la Ley de Fiscalización Superior del Estado de Guanajuato y 77 del Reglamento</w:t>
      </w:r>
      <w:r>
        <w:rPr>
          <w:rFonts w:ascii="Abadi" w:hAnsi="Abadi" w:cs="*Arial-7087-Identity-H"/>
          <w:color w:val="101013"/>
          <w:sz w:val="21"/>
          <w:szCs w:val="21"/>
        </w:rPr>
        <w:t xml:space="preserve"> </w:t>
      </w:r>
      <w:r w:rsidRPr="00727023">
        <w:rPr>
          <w:rFonts w:ascii="Abadi" w:hAnsi="Abadi" w:cs="*Arial-7087-Identity-H"/>
          <w:color w:val="101013"/>
          <w:sz w:val="21"/>
          <w:szCs w:val="21"/>
        </w:rPr>
        <w:t>de dicha Ley.</w:t>
      </w:r>
    </w:p>
    <w:p w14:paraId="09BC64AF" w14:textId="77777777" w:rsidR="007A32BE" w:rsidRPr="00727023" w:rsidRDefault="007A32BE" w:rsidP="007A32BE">
      <w:pPr>
        <w:autoSpaceDE w:val="0"/>
        <w:autoSpaceDN w:val="0"/>
        <w:adjustRightInd w:val="0"/>
        <w:jc w:val="both"/>
        <w:rPr>
          <w:rFonts w:ascii="Abadi" w:hAnsi="Abadi" w:cs="*Arial-7087-Identity-H"/>
          <w:color w:val="101013"/>
          <w:sz w:val="21"/>
          <w:szCs w:val="21"/>
        </w:rPr>
      </w:pPr>
    </w:p>
    <w:p w14:paraId="1B6F38A9" w14:textId="77777777" w:rsidR="007A32BE" w:rsidRPr="00727023" w:rsidRDefault="007A32BE" w:rsidP="007A32BE">
      <w:pPr>
        <w:autoSpaceDE w:val="0"/>
        <w:autoSpaceDN w:val="0"/>
        <w:adjustRightInd w:val="0"/>
        <w:ind w:firstLine="708"/>
        <w:jc w:val="both"/>
        <w:rPr>
          <w:rFonts w:ascii="Abadi" w:hAnsi="Abadi" w:cs="*Arial-7087-Identity-H"/>
          <w:color w:val="111013"/>
          <w:sz w:val="21"/>
          <w:szCs w:val="21"/>
        </w:rPr>
      </w:pPr>
      <w:r w:rsidRPr="00727023">
        <w:rPr>
          <w:rFonts w:ascii="Abadi" w:hAnsi="Abadi" w:cs="*Arial-7087-Identity-H"/>
          <w:color w:val="100F12"/>
          <w:sz w:val="21"/>
          <w:szCs w:val="21"/>
        </w:rPr>
        <w:t>De conformidad con el artículo 37, fracción VI de la Ley de Fiscalización</w:t>
      </w:r>
      <w:r>
        <w:rPr>
          <w:rFonts w:ascii="Abadi" w:hAnsi="Abadi" w:cs="*Arial-7087-Identity-H"/>
          <w:color w:val="100F12"/>
          <w:sz w:val="21"/>
          <w:szCs w:val="21"/>
        </w:rPr>
        <w:t xml:space="preserve"> </w:t>
      </w:r>
      <w:r w:rsidRPr="00727023">
        <w:rPr>
          <w:rFonts w:ascii="Abadi" w:hAnsi="Abadi" w:cs="*Arial-7087-Identity-H"/>
          <w:color w:val="100F12"/>
          <w:sz w:val="21"/>
          <w:szCs w:val="21"/>
        </w:rPr>
        <w:t>Superior del Estado de Guanajuato, remítase el presente acuerdo junto con su</w:t>
      </w:r>
      <w:r>
        <w:rPr>
          <w:rFonts w:ascii="Abadi" w:hAnsi="Abadi" w:cs="*Arial-7087-Identity-H"/>
          <w:color w:val="100F12"/>
          <w:sz w:val="21"/>
          <w:szCs w:val="21"/>
        </w:rPr>
        <w:t xml:space="preserve"> </w:t>
      </w:r>
      <w:r w:rsidRPr="00727023">
        <w:rPr>
          <w:rFonts w:ascii="Abadi" w:hAnsi="Abadi" w:cs="*Arial-7087-Identity-H"/>
          <w:color w:val="100F12"/>
          <w:sz w:val="21"/>
          <w:szCs w:val="21"/>
        </w:rPr>
        <w:t>dictamen y el informe de resultados a la Audit</w:t>
      </w:r>
      <w:r>
        <w:rPr>
          <w:rFonts w:ascii="Abadi" w:hAnsi="Abadi" w:cs="*Arial-7087-Identity-H"/>
          <w:color w:val="100F12"/>
          <w:sz w:val="21"/>
          <w:szCs w:val="21"/>
        </w:rPr>
        <w:t>oria</w:t>
      </w:r>
      <w:r w:rsidRPr="00727023">
        <w:rPr>
          <w:rFonts w:ascii="Abadi" w:hAnsi="Abadi" w:cs="*Arial-7087-Identity-H"/>
          <w:color w:val="100F12"/>
          <w:sz w:val="21"/>
          <w:szCs w:val="21"/>
        </w:rPr>
        <w:t xml:space="preserve"> Superior del Estado, para</w:t>
      </w:r>
      <w:r>
        <w:rPr>
          <w:rFonts w:ascii="Abadi" w:hAnsi="Abadi" w:cs="*Arial-7087-Identity-H"/>
          <w:color w:val="100F12"/>
          <w:sz w:val="21"/>
          <w:szCs w:val="21"/>
        </w:rPr>
        <w:t xml:space="preserve"> </w:t>
      </w:r>
      <w:r w:rsidRPr="00727023">
        <w:rPr>
          <w:rFonts w:ascii="Abadi" w:hAnsi="Abadi" w:cs="*Arial-7087-Identity-H"/>
          <w:color w:val="111013"/>
          <w:sz w:val="21"/>
          <w:szCs w:val="21"/>
        </w:rPr>
        <w:t>efectos de su notificación.</w:t>
      </w:r>
    </w:p>
    <w:p w14:paraId="14DD6FE2" w14:textId="77777777" w:rsidR="007A32BE" w:rsidRDefault="007A32BE" w:rsidP="007A32BE">
      <w:pPr>
        <w:autoSpaceDE w:val="0"/>
        <w:autoSpaceDN w:val="0"/>
        <w:adjustRightInd w:val="0"/>
        <w:jc w:val="both"/>
        <w:rPr>
          <w:rFonts w:ascii="Abadi" w:hAnsi="Abadi" w:cs="*Arial-Bold-7086-Identity-H"/>
          <w:b/>
          <w:bCs/>
          <w:color w:val="0F0E14"/>
          <w:sz w:val="21"/>
          <w:szCs w:val="21"/>
        </w:rPr>
      </w:pPr>
    </w:p>
    <w:p w14:paraId="739E46E8" w14:textId="77777777" w:rsidR="007A32BE" w:rsidRPr="009E34BC" w:rsidRDefault="007A32BE" w:rsidP="007A32BE">
      <w:pPr>
        <w:autoSpaceDE w:val="0"/>
        <w:autoSpaceDN w:val="0"/>
        <w:adjustRightInd w:val="0"/>
        <w:jc w:val="center"/>
        <w:rPr>
          <w:rFonts w:ascii="Abadi" w:hAnsi="Abadi" w:cs="*Arial-Bold-4914-Identity-H"/>
          <w:b/>
          <w:bCs/>
          <w:color w:val="0E0D12"/>
          <w:sz w:val="21"/>
          <w:szCs w:val="21"/>
        </w:rPr>
      </w:pPr>
      <w:r w:rsidRPr="009E34BC">
        <w:rPr>
          <w:rFonts w:ascii="Abadi" w:hAnsi="Abadi" w:cs="*Arial-Bold-4914-Identity-H"/>
          <w:b/>
          <w:bCs/>
          <w:color w:val="0E0D12"/>
          <w:sz w:val="21"/>
          <w:szCs w:val="21"/>
        </w:rPr>
        <w:t xml:space="preserve">Guanajuato, </w:t>
      </w:r>
      <w:proofErr w:type="spellStart"/>
      <w:r w:rsidRPr="009E34BC">
        <w:rPr>
          <w:rFonts w:ascii="Abadi" w:hAnsi="Abadi" w:cs="*Arial-Bold-4914-Identity-H"/>
          <w:b/>
          <w:bCs/>
          <w:color w:val="0E0D12"/>
          <w:sz w:val="21"/>
          <w:szCs w:val="21"/>
        </w:rPr>
        <w:t>Gto</w:t>
      </w:r>
      <w:proofErr w:type="spellEnd"/>
      <w:r w:rsidRPr="009E34BC">
        <w:rPr>
          <w:rFonts w:ascii="Abadi" w:hAnsi="Abadi" w:cs="*Arial-Bold-4914-Identity-H"/>
          <w:b/>
          <w:bCs/>
          <w:color w:val="0E0D12"/>
          <w:sz w:val="21"/>
          <w:szCs w:val="21"/>
        </w:rPr>
        <w:t>., 19 d</w:t>
      </w:r>
      <w:r>
        <w:rPr>
          <w:rFonts w:ascii="Abadi" w:hAnsi="Abadi" w:cs="*Arial-Bold-4914-Identity-H"/>
          <w:b/>
          <w:bCs/>
          <w:color w:val="0E0D12"/>
          <w:sz w:val="21"/>
          <w:szCs w:val="21"/>
        </w:rPr>
        <w:t>e abril de 2022</w:t>
      </w:r>
    </w:p>
    <w:p w14:paraId="1A131DA8" w14:textId="77777777" w:rsidR="007A32BE" w:rsidRDefault="007A32BE" w:rsidP="007A32BE">
      <w:pPr>
        <w:jc w:val="center"/>
        <w:rPr>
          <w:rFonts w:ascii="Abadi" w:hAnsi="Abadi" w:cs="*Arial-Bold-4914-Identity-H"/>
          <w:b/>
          <w:bCs/>
          <w:color w:val="0C0B10"/>
          <w:sz w:val="21"/>
          <w:szCs w:val="21"/>
        </w:rPr>
      </w:pPr>
      <w:r w:rsidRPr="009E34BC">
        <w:rPr>
          <w:rFonts w:ascii="Abadi" w:hAnsi="Abadi" w:cs="*Arial-Bold-4914-Identity-H"/>
          <w:b/>
          <w:bCs/>
          <w:color w:val="0C0B10"/>
          <w:sz w:val="21"/>
          <w:szCs w:val="21"/>
        </w:rPr>
        <w:t>La Comisión de</w:t>
      </w:r>
      <w:r>
        <w:rPr>
          <w:rFonts w:ascii="Abadi" w:hAnsi="Abadi" w:cs="*Arial-Bold-4914-Identity-H"/>
          <w:b/>
          <w:bCs/>
          <w:color w:val="0C0B10"/>
          <w:sz w:val="21"/>
          <w:szCs w:val="21"/>
        </w:rPr>
        <w:t xml:space="preserve"> Hacienda y Fiscalización</w:t>
      </w:r>
    </w:p>
    <w:p w14:paraId="6A6574BE" w14:textId="77777777" w:rsidR="007A32BE" w:rsidRDefault="007A32BE" w:rsidP="007A32BE">
      <w:pPr>
        <w:jc w:val="both"/>
        <w:rPr>
          <w:rFonts w:ascii="Abadi" w:hAnsi="Abadi" w:cs="*Arial-Bold-4914-Identity-H"/>
          <w:b/>
          <w:bCs/>
          <w:color w:val="0C0B10"/>
          <w:sz w:val="21"/>
          <w:szCs w:val="21"/>
        </w:rPr>
      </w:pPr>
    </w:p>
    <w:p w14:paraId="513C9E80" w14:textId="77777777" w:rsidR="007A32BE" w:rsidRDefault="007A32BE" w:rsidP="007A32BE">
      <w:pPr>
        <w:jc w:val="center"/>
        <w:rPr>
          <w:rFonts w:ascii="Abadi" w:hAnsi="Abadi" w:cs="*Arial-Bold-4914-Identity-H"/>
          <w:b/>
          <w:bCs/>
          <w:color w:val="0C0B10"/>
          <w:sz w:val="21"/>
          <w:szCs w:val="21"/>
        </w:rPr>
      </w:pPr>
      <w:r>
        <w:rPr>
          <w:rFonts w:ascii="Abadi" w:hAnsi="Abadi" w:cs="*Arial-Bold-4914-Identity-H"/>
          <w:b/>
          <w:bCs/>
          <w:color w:val="0C0B10"/>
          <w:sz w:val="21"/>
          <w:szCs w:val="21"/>
        </w:rPr>
        <w:t>Diputado Víctor Manuel Zanella Huerta</w:t>
      </w:r>
    </w:p>
    <w:p w14:paraId="1D99698C" w14:textId="77777777" w:rsidR="007A32BE" w:rsidRDefault="007A32BE" w:rsidP="007A32BE">
      <w:pPr>
        <w:jc w:val="both"/>
        <w:rPr>
          <w:rFonts w:ascii="Abadi" w:hAnsi="Abadi" w:cs="*Arial-Bold-4914-Identity-H"/>
          <w:b/>
          <w:bCs/>
          <w:color w:val="0C0B10"/>
          <w:sz w:val="21"/>
          <w:szCs w:val="21"/>
        </w:rPr>
      </w:pPr>
    </w:p>
    <w:p w14:paraId="2172D98E" w14:textId="77777777" w:rsidR="007A32BE" w:rsidRDefault="007A32BE" w:rsidP="007A32BE">
      <w:pPr>
        <w:jc w:val="both"/>
        <w:rPr>
          <w:rFonts w:ascii="Abadi" w:hAnsi="Abadi" w:cs="*Arial-Bold-4914-Identity-H"/>
          <w:b/>
          <w:bCs/>
          <w:color w:val="0C0B10"/>
          <w:sz w:val="21"/>
          <w:szCs w:val="21"/>
        </w:rPr>
      </w:pPr>
      <w:r>
        <w:rPr>
          <w:rFonts w:ascii="Abadi" w:hAnsi="Abadi" w:cs="*Arial-Bold-4914-Identity-H"/>
          <w:b/>
          <w:bCs/>
          <w:color w:val="0C0B10"/>
          <w:sz w:val="21"/>
          <w:szCs w:val="21"/>
        </w:rPr>
        <w:t>Diputada Ruth Noemí Tiscareño Agoitia</w:t>
      </w:r>
    </w:p>
    <w:p w14:paraId="4E10F12E" w14:textId="77777777" w:rsidR="007A32BE" w:rsidRDefault="007A32BE" w:rsidP="007A32BE">
      <w:pPr>
        <w:jc w:val="both"/>
        <w:rPr>
          <w:rFonts w:ascii="Abadi" w:hAnsi="Abadi" w:cs="*Arial-Bold-4914-Identity-H"/>
          <w:b/>
          <w:bCs/>
          <w:color w:val="0C0B10"/>
          <w:sz w:val="21"/>
          <w:szCs w:val="21"/>
        </w:rPr>
      </w:pPr>
      <w:r>
        <w:rPr>
          <w:rFonts w:ascii="Abadi" w:hAnsi="Abadi" w:cs="*Arial-Bold-4914-Identity-H"/>
          <w:b/>
          <w:bCs/>
          <w:color w:val="0C0B10"/>
          <w:sz w:val="21"/>
          <w:szCs w:val="21"/>
        </w:rPr>
        <w:t xml:space="preserve">Diputado Miguel Ángel Salim </w:t>
      </w:r>
      <w:proofErr w:type="spellStart"/>
      <w:r>
        <w:rPr>
          <w:rFonts w:ascii="Abadi" w:hAnsi="Abadi" w:cs="*Arial-Bold-4914-Identity-H"/>
          <w:b/>
          <w:bCs/>
          <w:color w:val="0C0B10"/>
          <w:sz w:val="21"/>
          <w:szCs w:val="21"/>
        </w:rPr>
        <w:t>Alle</w:t>
      </w:r>
      <w:proofErr w:type="spellEnd"/>
    </w:p>
    <w:p w14:paraId="7B014E52" w14:textId="77777777" w:rsidR="007A32BE" w:rsidRDefault="007A32BE" w:rsidP="007A32BE">
      <w:pPr>
        <w:jc w:val="both"/>
        <w:rPr>
          <w:rFonts w:ascii="Abadi" w:hAnsi="Abadi" w:cs="*Arial-Bold-4914-Identity-H"/>
          <w:b/>
          <w:bCs/>
          <w:color w:val="0C0B10"/>
          <w:sz w:val="21"/>
          <w:szCs w:val="21"/>
        </w:rPr>
      </w:pPr>
      <w:r>
        <w:rPr>
          <w:rFonts w:ascii="Abadi" w:hAnsi="Abadi" w:cs="*Arial-Bold-4914-Identity-H"/>
          <w:b/>
          <w:bCs/>
          <w:color w:val="0C0B10"/>
          <w:sz w:val="21"/>
          <w:szCs w:val="21"/>
        </w:rPr>
        <w:t>Diputado José Alfonso Borja Pimentel</w:t>
      </w:r>
    </w:p>
    <w:p w14:paraId="7C268D1B" w14:textId="77777777" w:rsidR="007A32BE" w:rsidRDefault="007A32BE" w:rsidP="007A32BE">
      <w:pPr>
        <w:jc w:val="both"/>
        <w:rPr>
          <w:rFonts w:ascii="Abadi" w:hAnsi="Abadi" w:cs="*Arial-Bold-4914-Identity-H"/>
          <w:b/>
          <w:bCs/>
          <w:color w:val="0C0B10"/>
          <w:sz w:val="21"/>
          <w:szCs w:val="21"/>
        </w:rPr>
      </w:pPr>
      <w:r>
        <w:rPr>
          <w:rFonts w:ascii="Abadi" w:hAnsi="Abadi" w:cs="*Arial-Bold-4914-Identity-H"/>
          <w:b/>
          <w:bCs/>
          <w:color w:val="0C0B10"/>
          <w:sz w:val="21"/>
          <w:szCs w:val="21"/>
        </w:rPr>
        <w:t>Diputada Alma Edwviges Alcaraz Hernández</w:t>
      </w:r>
    </w:p>
    <w:p w14:paraId="5CE68196" w14:textId="77777777" w:rsidR="00021259" w:rsidRPr="00396F30" w:rsidRDefault="00021259" w:rsidP="00021259">
      <w:pPr>
        <w:jc w:val="both"/>
        <w:rPr>
          <w:rFonts w:ascii="Abadi" w:hAnsi="Abadi" w:cs="Arial-BoldMT"/>
          <w:b/>
          <w:bCs/>
          <w:sz w:val="20"/>
          <w:szCs w:val="21"/>
        </w:rPr>
      </w:pPr>
    </w:p>
    <w:p w14:paraId="12063CCC" w14:textId="2542D94A" w:rsidR="00021259" w:rsidRPr="00836FFE" w:rsidRDefault="00021259" w:rsidP="00343CA9">
      <w:pPr>
        <w:pStyle w:val="Prrafodelista"/>
        <w:numPr>
          <w:ilvl w:val="0"/>
          <w:numId w:val="32"/>
        </w:numPr>
        <w:ind w:left="426"/>
        <w:jc w:val="both"/>
        <w:rPr>
          <w:rFonts w:ascii="Abadi" w:hAnsi="Abadi"/>
          <w:b/>
          <w:bCs/>
          <w:sz w:val="20"/>
          <w:szCs w:val="20"/>
        </w:rPr>
      </w:pPr>
      <w:r w:rsidRPr="001D2CB5">
        <w:rPr>
          <w:rFonts w:ascii="Abadi" w:hAnsi="Abadi" w:cs="ArialMT"/>
          <w:b/>
          <w:bCs/>
          <w:sz w:val="20"/>
          <w:szCs w:val="21"/>
        </w:rPr>
        <w:t>ASUNTOS GENERALES.</w:t>
      </w:r>
    </w:p>
    <w:p w14:paraId="012EEA32" w14:textId="77777777" w:rsidR="00BF7E8B" w:rsidRDefault="00BF7E8B" w:rsidP="00BF7E8B">
      <w:pPr>
        <w:pStyle w:val="Prrafodelista"/>
        <w:ind w:left="0"/>
        <w:jc w:val="both"/>
        <w:rPr>
          <w:rFonts w:ascii="Lato" w:hAnsi="Lato"/>
          <w:i/>
          <w:color w:val="212529"/>
          <w:shd w:val="clear" w:color="auto" w:fill="FFFFFF"/>
        </w:rPr>
      </w:pPr>
    </w:p>
    <w:p w14:paraId="33EFF291" w14:textId="5A5FDD36" w:rsidR="002B30C6" w:rsidRDefault="00BF7E8B" w:rsidP="00BF7E8B">
      <w:pPr>
        <w:pStyle w:val="Prrafodelista"/>
        <w:ind w:left="0" w:firstLine="426"/>
        <w:jc w:val="both"/>
        <w:rPr>
          <w:rFonts w:ascii="Abadi" w:hAnsi="Abadi"/>
          <w:sz w:val="21"/>
          <w:szCs w:val="21"/>
        </w:rPr>
      </w:pPr>
      <w:r>
        <w:rPr>
          <w:rFonts w:ascii="Lato" w:hAnsi="Lato"/>
          <w:i/>
          <w:color w:val="212529"/>
          <w:shd w:val="clear" w:color="auto" w:fill="FFFFFF"/>
        </w:rPr>
        <w:t>-</w:t>
      </w:r>
      <w:r w:rsidR="00046716" w:rsidRPr="00535962">
        <w:rPr>
          <w:rFonts w:ascii="Lato" w:hAnsi="Lato"/>
          <w:i/>
          <w:color w:val="212529"/>
          <w:shd w:val="clear" w:color="auto" w:fill="FFFFFF"/>
        </w:rPr>
        <w:t xml:space="preserve"> </w:t>
      </w:r>
      <w:r w:rsidR="002B30C6" w:rsidRPr="00906DBF">
        <w:rPr>
          <w:rFonts w:ascii="Abadi" w:hAnsi="Abadi"/>
          <w:b/>
          <w:bCs/>
          <w:sz w:val="21"/>
          <w:szCs w:val="21"/>
        </w:rPr>
        <w:t xml:space="preserve">La </w:t>
      </w:r>
      <w:proofErr w:type="gramStart"/>
      <w:r w:rsidR="002B30C6" w:rsidRPr="00906DBF">
        <w:rPr>
          <w:rFonts w:ascii="Abadi" w:hAnsi="Abadi"/>
          <w:b/>
          <w:bCs/>
          <w:sz w:val="21"/>
          <w:szCs w:val="21"/>
        </w:rPr>
        <w:t>Presidencia.-</w:t>
      </w:r>
      <w:proofErr w:type="gramEnd"/>
      <w:r w:rsidR="002B30C6" w:rsidRPr="00FB4B4D">
        <w:rPr>
          <w:rFonts w:ascii="Abadi" w:hAnsi="Abadi"/>
          <w:sz w:val="21"/>
          <w:szCs w:val="21"/>
        </w:rPr>
        <w:t xml:space="preserve"> </w:t>
      </w:r>
      <w:r w:rsidR="002B30C6">
        <w:rPr>
          <w:rFonts w:ascii="Abadi" w:hAnsi="Abadi"/>
          <w:sz w:val="21"/>
          <w:szCs w:val="21"/>
        </w:rPr>
        <w:t xml:space="preserve">Corresponde abrir </w:t>
      </w:r>
      <w:r w:rsidR="002B30C6" w:rsidRPr="0021199F">
        <w:rPr>
          <w:rFonts w:ascii="Abadi" w:hAnsi="Abadi"/>
          <w:sz w:val="21"/>
          <w:szCs w:val="21"/>
        </w:rPr>
        <w:t xml:space="preserve">el registro para tratar asuntos de interés general. </w:t>
      </w:r>
    </w:p>
    <w:p w14:paraId="173970BB" w14:textId="7C879CED" w:rsidR="002B30C6" w:rsidRDefault="00BF7E8B" w:rsidP="00BF7E8B">
      <w:pPr>
        <w:pStyle w:val="NormalWeb"/>
        <w:ind w:firstLine="426"/>
        <w:jc w:val="both"/>
        <w:rPr>
          <w:rFonts w:ascii="Abadi" w:hAnsi="Abadi"/>
          <w:sz w:val="21"/>
          <w:szCs w:val="21"/>
        </w:rPr>
      </w:pPr>
      <w:r>
        <w:rPr>
          <w:rFonts w:ascii="Abadi" w:hAnsi="Abadi"/>
          <w:sz w:val="21"/>
          <w:szCs w:val="21"/>
        </w:rPr>
        <w:t xml:space="preserve">- </w:t>
      </w:r>
      <w:r w:rsidR="002B30C6" w:rsidRPr="0021199F">
        <w:rPr>
          <w:rFonts w:ascii="Abadi" w:hAnsi="Abadi"/>
          <w:sz w:val="21"/>
          <w:szCs w:val="21"/>
        </w:rPr>
        <w:t>Me permit</w:t>
      </w:r>
      <w:r w:rsidR="002B30C6">
        <w:rPr>
          <w:rFonts w:ascii="Abadi" w:hAnsi="Abadi"/>
          <w:sz w:val="21"/>
          <w:szCs w:val="21"/>
        </w:rPr>
        <w:t>o</w:t>
      </w:r>
      <w:r w:rsidR="002B30C6" w:rsidRPr="0021199F">
        <w:rPr>
          <w:rFonts w:ascii="Abadi" w:hAnsi="Abadi"/>
          <w:sz w:val="21"/>
          <w:szCs w:val="21"/>
        </w:rPr>
        <w:t xml:space="preserve"> informar que previamente se</w:t>
      </w:r>
      <w:r w:rsidR="002B30C6">
        <w:rPr>
          <w:rFonts w:ascii="Abadi" w:hAnsi="Abadi"/>
          <w:sz w:val="21"/>
          <w:szCs w:val="21"/>
        </w:rPr>
        <w:t xml:space="preserve"> han inscrito</w:t>
      </w:r>
      <w:r w:rsidR="002B30C6" w:rsidRPr="0021199F">
        <w:rPr>
          <w:rFonts w:ascii="Abadi" w:hAnsi="Abadi"/>
          <w:sz w:val="21"/>
          <w:szCs w:val="21"/>
        </w:rPr>
        <w:t xml:space="preserve"> la</w:t>
      </w:r>
      <w:r w:rsidR="002B30C6">
        <w:rPr>
          <w:rFonts w:ascii="Abadi" w:hAnsi="Abadi"/>
          <w:sz w:val="21"/>
          <w:szCs w:val="21"/>
        </w:rPr>
        <w:t>s</w:t>
      </w:r>
      <w:r w:rsidR="002B30C6" w:rsidRPr="0021199F">
        <w:rPr>
          <w:rFonts w:ascii="Abadi" w:hAnsi="Abadi"/>
          <w:sz w:val="21"/>
          <w:szCs w:val="21"/>
        </w:rPr>
        <w:t xml:space="preserve"> diputada</w:t>
      </w:r>
      <w:r w:rsidR="002B30C6">
        <w:rPr>
          <w:rFonts w:ascii="Abadi" w:hAnsi="Abadi"/>
          <w:sz w:val="21"/>
          <w:szCs w:val="21"/>
        </w:rPr>
        <w:t>s</w:t>
      </w:r>
      <w:r w:rsidR="002B30C6" w:rsidRPr="0021199F">
        <w:rPr>
          <w:rFonts w:ascii="Abadi" w:hAnsi="Abadi"/>
          <w:sz w:val="21"/>
          <w:szCs w:val="21"/>
        </w:rPr>
        <w:t xml:space="preserve"> Laura Cristina Márquez Alcalá</w:t>
      </w:r>
      <w:r w:rsidR="002B30C6">
        <w:rPr>
          <w:rFonts w:ascii="Abadi" w:hAnsi="Abadi"/>
          <w:sz w:val="21"/>
          <w:szCs w:val="21"/>
        </w:rPr>
        <w:t>,</w:t>
      </w:r>
      <w:r w:rsidR="002B30C6" w:rsidRPr="0021199F">
        <w:rPr>
          <w:rFonts w:ascii="Abadi" w:hAnsi="Abadi"/>
          <w:sz w:val="21"/>
          <w:szCs w:val="21"/>
        </w:rPr>
        <w:t xml:space="preserve"> con el tema</w:t>
      </w:r>
      <w:r w:rsidR="002B30C6">
        <w:rPr>
          <w:rFonts w:ascii="Abadi" w:hAnsi="Abadi"/>
          <w:sz w:val="21"/>
          <w:szCs w:val="21"/>
        </w:rPr>
        <w:t xml:space="preserve"> «</w:t>
      </w:r>
      <w:r w:rsidR="002B30C6" w:rsidRPr="0021199F">
        <w:rPr>
          <w:rFonts w:ascii="Abadi" w:hAnsi="Abadi"/>
          <w:sz w:val="21"/>
          <w:szCs w:val="21"/>
        </w:rPr>
        <w:t>Tiempo</w:t>
      </w:r>
      <w:r w:rsidR="002B30C6">
        <w:rPr>
          <w:rFonts w:ascii="Abadi" w:hAnsi="Abadi"/>
          <w:sz w:val="21"/>
          <w:szCs w:val="21"/>
        </w:rPr>
        <w:t>»</w:t>
      </w:r>
      <w:r w:rsidR="002B30C6" w:rsidRPr="0021199F">
        <w:rPr>
          <w:rFonts w:ascii="Abadi" w:hAnsi="Abadi"/>
          <w:sz w:val="21"/>
          <w:szCs w:val="21"/>
        </w:rPr>
        <w:t xml:space="preserve"> </w:t>
      </w:r>
      <w:r w:rsidR="002F7300">
        <w:rPr>
          <w:rFonts w:ascii="Abadi" w:hAnsi="Abadi"/>
          <w:sz w:val="21"/>
          <w:szCs w:val="21"/>
        </w:rPr>
        <w:t>la</w:t>
      </w:r>
      <w:r w:rsidR="002B30C6" w:rsidRPr="0021199F">
        <w:rPr>
          <w:rFonts w:ascii="Abadi" w:hAnsi="Abadi"/>
          <w:sz w:val="21"/>
          <w:szCs w:val="21"/>
        </w:rPr>
        <w:t xml:space="preserve"> diputada Susana Bermúdez Cano con el tema </w:t>
      </w:r>
      <w:r w:rsidR="002B30C6">
        <w:rPr>
          <w:rFonts w:ascii="Abadi" w:hAnsi="Abadi"/>
          <w:sz w:val="21"/>
          <w:szCs w:val="21"/>
        </w:rPr>
        <w:t>«</w:t>
      </w:r>
      <w:r w:rsidR="002B30C6" w:rsidRPr="0021199F">
        <w:rPr>
          <w:rFonts w:ascii="Abadi" w:hAnsi="Abadi"/>
          <w:sz w:val="21"/>
          <w:szCs w:val="21"/>
        </w:rPr>
        <w:t>Bienestar</w:t>
      </w:r>
      <w:r w:rsidR="002B30C6">
        <w:rPr>
          <w:rFonts w:ascii="Abadi" w:hAnsi="Abadi"/>
          <w:sz w:val="21"/>
          <w:szCs w:val="21"/>
        </w:rPr>
        <w:t>»</w:t>
      </w:r>
      <w:r w:rsidR="002B30C6" w:rsidRPr="0021199F">
        <w:rPr>
          <w:rFonts w:ascii="Abadi" w:hAnsi="Abadi"/>
          <w:sz w:val="21"/>
          <w:szCs w:val="21"/>
        </w:rPr>
        <w:t xml:space="preserve"> </w:t>
      </w:r>
      <w:r w:rsidR="002F7300">
        <w:rPr>
          <w:rFonts w:ascii="Abadi" w:hAnsi="Abadi"/>
          <w:sz w:val="21"/>
          <w:szCs w:val="21"/>
        </w:rPr>
        <w:t>e</w:t>
      </w:r>
      <w:r w:rsidR="002B30C6" w:rsidRPr="0021199F">
        <w:rPr>
          <w:rFonts w:ascii="Abadi" w:hAnsi="Abadi"/>
          <w:sz w:val="21"/>
          <w:szCs w:val="21"/>
        </w:rPr>
        <w:t xml:space="preserve">l diputado </w:t>
      </w:r>
      <w:r w:rsidR="002B30C6">
        <w:rPr>
          <w:rFonts w:ascii="Abadi" w:hAnsi="Abadi"/>
          <w:sz w:val="21"/>
          <w:szCs w:val="21"/>
        </w:rPr>
        <w:t>Cuauhtémoc</w:t>
      </w:r>
      <w:r w:rsidR="002B30C6" w:rsidRPr="0021199F">
        <w:rPr>
          <w:rFonts w:ascii="Abadi" w:hAnsi="Abadi"/>
          <w:sz w:val="21"/>
          <w:szCs w:val="21"/>
        </w:rPr>
        <w:t xml:space="preserve"> </w:t>
      </w:r>
      <w:r w:rsidR="002B30C6">
        <w:rPr>
          <w:rFonts w:ascii="Abadi" w:hAnsi="Abadi"/>
          <w:sz w:val="21"/>
          <w:szCs w:val="21"/>
        </w:rPr>
        <w:t>Becerra</w:t>
      </w:r>
      <w:r w:rsidR="002B30C6" w:rsidRPr="0021199F">
        <w:rPr>
          <w:rFonts w:ascii="Abadi" w:hAnsi="Abadi"/>
          <w:sz w:val="21"/>
          <w:szCs w:val="21"/>
        </w:rPr>
        <w:t xml:space="preserve"> González con el tema </w:t>
      </w:r>
      <w:r w:rsidR="002B30C6">
        <w:rPr>
          <w:rFonts w:ascii="Abadi" w:hAnsi="Abadi"/>
          <w:sz w:val="21"/>
          <w:szCs w:val="21"/>
        </w:rPr>
        <w:t>«</w:t>
      </w:r>
      <w:r w:rsidR="002B30C6" w:rsidRPr="0021199F">
        <w:rPr>
          <w:rFonts w:ascii="Abadi" w:hAnsi="Abadi"/>
          <w:sz w:val="21"/>
          <w:szCs w:val="21"/>
        </w:rPr>
        <w:t>Tolerancia y respeto</w:t>
      </w:r>
      <w:r w:rsidR="002B30C6">
        <w:rPr>
          <w:rFonts w:ascii="Abadi" w:hAnsi="Abadi"/>
          <w:sz w:val="21"/>
          <w:szCs w:val="21"/>
        </w:rPr>
        <w:t xml:space="preserve">» </w:t>
      </w:r>
      <w:r w:rsidR="002B30C6" w:rsidRPr="0021199F">
        <w:rPr>
          <w:rFonts w:ascii="Abadi" w:hAnsi="Abadi"/>
          <w:sz w:val="21"/>
          <w:szCs w:val="21"/>
        </w:rPr>
        <w:t xml:space="preserve">y la diputada </w:t>
      </w:r>
      <w:r w:rsidR="002B30C6">
        <w:rPr>
          <w:rFonts w:ascii="Abadi" w:hAnsi="Abadi"/>
          <w:sz w:val="21"/>
          <w:szCs w:val="21"/>
        </w:rPr>
        <w:t>Martha Edith</w:t>
      </w:r>
      <w:r w:rsidR="002B30C6" w:rsidRPr="0021199F">
        <w:rPr>
          <w:rFonts w:ascii="Abadi" w:hAnsi="Abadi"/>
          <w:sz w:val="21"/>
          <w:szCs w:val="21"/>
        </w:rPr>
        <w:t xml:space="preserve"> Moreno Valencia, con el tema </w:t>
      </w:r>
      <w:r w:rsidR="002B30C6">
        <w:rPr>
          <w:rFonts w:ascii="Abadi" w:hAnsi="Abadi"/>
          <w:sz w:val="21"/>
          <w:szCs w:val="21"/>
        </w:rPr>
        <w:t>«</w:t>
      </w:r>
      <w:r w:rsidR="002B30C6" w:rsidRPr="0021199F">
        <w:rPr>
          <w:rFonts w:ascii="Abadi" w:hAnsi="Abadi"/>
          <w:sz w:val="21"/>
          <w:szCs w:val="21"/>
        </w:rPr>
        <w:t>Guanajuato</w:t>
      </w:r>
      <w:r w:rsidR="002B30C6">
        <w:rPr>
          <w:rFonts w:ascii="Abadi" w:hAnsi="Abadi"/>
          <w:sz w:val="21"/>
          <w:szCs w:val="21"/>
        </w:rPr>
        <w:t xml:space="preserve"> l</w:t>
      </w:r>
      <w:r w:rsidR="002B30C6" w:rsidRPr="0021199F">
        <w:rPr>
          <w:rFonts w:ascii="Abadi" w:hAnsi="Abadi"/>
          <w:sz w:val="21"/>
          <w:szCs w:val="21"/>
        </w:rPr>
        <w:t xml:space="preserve">a </w:t>
      </w:r>
      <w:r w:rsidR="002B30C6">
        <w:rPr>
          <w:rFonts w:ascii="Abadi" w:hAnsi="Abadi"/>
          <w:sz w:val="21"/>
          <w:szCs w:val="21"/>
        </w:rPr>
        <w:t>G</w:t>
      </w:r>
      <w:r w:rsidR="002B30C6" w:rsidRPr="0021199F">
        <w:rPr>
          <w:rFonts w:ascii="Abadi" w:hAnsi="Abadi"/>
          <w:sz w:val="21"/>
          <w:szCs w:val="21"/>
        </w:rPr>
        <w:t>randeza de México</w:t>
      </w:r>
      <w:r w:rsidR="002B30C6">
        <w:rPr>
          <w:rFonts w:ascii="Abadi" w:hAnsi="Abadi"/>
          <w:sz w:val="21"/>
          <w:szCs w:val="21"/>
        </w:rPr>
        <w:t>»</w:t>
      </w:r>
    </w:p>
    <w:p w14:paraId="11A6776D" w14:textId="7044C58E" w:rsidR="002B30C6" w:rsidRDefault="00BF7E8B" w:rsidP="00BF7E8B">
      <w:pPr>
        <w:pStyle w:val="NormalWeb"/>
        <w:ind w:firstLine="426"/>
        <w:jc w:val="both"/>
        <w:rPr>
          <w:rFonts w:ascii="Abadi" w:hAnsi="Abadi"/>
          <w:sz w:val="21"/>
          <w:szCs w:val="21"/>
        </w:rPr>
      </w:pPr>
      <w:r>
        <w:rPr>
          <w:rFonts w:ascii="Abadi" w:hAnsi="Abadi"/>
          <w:sz w:val="21"/>
          <w:szCs w:val="21"/>
        </w:rPr>
        <w:t xml:space="preserve">- </w:t>
      </w:r>
      <w:r w:rsidR="002B30C6" w:rsidRPr="0021199F">
        <w:rPr>
          <w:rFonts w:ascii="Abadi" w:hAnsi="Abadi"/>
          <w:sz w:val="21"/>
          <w:szCs w:val="21"/>
        </w:rPr>
        <w:t>Si algún otro integrante de la Asamblea, de</w:t>
      </w:r>
      <w:r w:rsidR="002B30C6">
        <w:rPr>
          <w:rFonts w:ascii="Abadi" w:hAnsi="Abadi"/>
          <w:sz w:val="21"/>
          <w:szCs w:val="21"/>
        </w:rPr>
        <w:t>sea inscribir</w:t>
      </w:r>
      <w:r w:rsidR="002B30C6" w:rsidRPr="0021199F">
        <w:rPr>
          <w:rFonts w:ascii="Abadi" w:hAnsi="Abadi"/>
          <w:sz w:val="21"/>
          <w:szCs w:val="21"/>
        </w:rPr>
        <w:t>se manifiéstenlo a es</w:t>
      </w:r>
      <w:r w:rsidR="002B30C6">
        <w:rPr>
          <w:rFonts w:ascii="Abadi" w:hAnsi="Abadi"/>
          <w:sz w:val="21"/>
          <w:szCs w:val="21"/>
        </w:rPr>
        <w:t>t</w:t>
      </w:r>
      <w:r w:rsidR="002B30C6" w:rsidRPr="0021199F">
        <w:rPr>
          <w:rFonts w:ascii="Abadi" w:hAnsi="Abadi"/>
          <w:sz w:val="21"/>
          <w:szCs w:val="21"/>
        </w:rPr>
        <w:t>a presidencia indicando el tema de su participación</w:t>
      </w:r>
      <w:r w:rsidR="002B30C6">
        <w:rPr>
          <w:rFonts w:ascii="Abadi" w:hAnsi="Abadi"/>
          <w:sz w:val="21"/>
          <w:szCs w:val="21"/>
        </w:rPr>
        <w:t>.</w:t>
      </w:r>
      <w:r w:rsidR="002B30C6" w:rsidRPr="0021199F">
        <w:rPr>
          <w:rFonts w:ascii="Abadi" w:hAnsi="Abadi"/>
          <w:sz w:val="21"/>
          <w:szCs w:val="21"/>
        </w:rPr>
        <w:t xml:space="preserve"> </w:t>
      </w:r>
    </w:p>
    <w:p w14:paraId="3A403AA2" w14:textId="02B65C1F" w:rsidR="002B30C6" w:rsidRDefault="00BF7E8B" w:rsidP="00BF7E8B">
      <w:pPr>
        <w:pStyle w:val="NormalWeb"/>
        <w:ind w:firstLine="426"/>
        <w:jc w:val="both"/>
        <w:rPr>
          <w:rFonts w:ascii="Abadi" w:hAnsi="Abadi"/>
          <w:sz w:val="21"/>
          <w:szCs w:val="21"/>
        </w:rPr>
      </w:pPr>
      <w:r>
        <w:rPr>
          <w:rFonts w:ascii="Abadi" w:hAnsi="Abadi"/>
          <w:b/>
          <w:bCs/>
          <w:sz w:val="21"/>
          <w:szCs w:val="21"/>
        </w:rPr>
        <w:t xml:space="preserve">- </w:t>
      </w:r>
      <w:r w:rsidR="002B30C6" w:rsidRPr="008E75BA">
        <w:rPr>
          <w:rFonts w:ascii="Abadi" w:hAnsi="Abadi"/>
          <w:b/>
          <w:bCs/>
          <w:sz w:val="21"/>
          <w:szCs w:val="21"/>
        </w:rPr>
        <w:t xml:space="preserve">La </w:t>
      </w:r>
      <w:proofErr w:type="gramStart"/>
      <w:r w:rsidR="002B30C6" w:rsidRPr="008E75BA">
        <w:rPr>
          <w:rFonts w:ascii="Abadi" w:hAnsi="Abadi"/>
          <w:b/>
          <w:bCs/>
          <w:sz w:val="21"/>
          <w:szCs w:val="21"/>
        </w:rPr>
        <w:t>Presidencia.-</w:t>
      </w:r>
      <w:proofErr w:type="gramEnd"/>
      <w:r w:rsidR="002B30C6">
        <w:rPr>
          <w:rFonts w:ascii="Abadi" w:hAnsi="Abadi"/>
          <w:sz w:val="21"/>
          <w:szCs w:val="21"/>
        </w:rPr>
        <w:t xml:space="preserve"> N</w:t>
      </w:r>
      <w:r w:rsidR="002B30C6" w:rsidRPr="0021199F">
        <w:rPr>
          <w:rFonts w:ascii="Abadi" w:hAnsi="Abadi"/>
          <w:sz w:val="21"/>
          <w:szCs w:val="21"/>
        </w:rPr>
        <w:t xml:space="preserve">o </w:t>
      </w:r>
      <w:r w:rsidR="002B30C6">
        <w:rPr>
          <w:rFonts w:ascii="Abadi" w:hAnsi="Abadi"/>
          <w:sz w:val="21"/>
          <w:szCs w:val="21"/>
        </w:rPr>
        <w:t>habiendo</w:t>
      </w:r>
      <w:r w:rsidR="002B30C6" w:rsidRPr="0021199F">
        <w:rPr>
          <w:rFonts w:ascii="Abadi" w:hAnsi="Abadi"/>
          <w:sz w:val="21"/>
          <w:szCs w:val="21"/>
        </w:rPr>
        <w:t xml:space="preserve"> más participaciones  la lista de participantes ha quedado conformada de la siguiente manera</w:t>
      </w:r>
      <w:r w:rsidR="002B30C6">
        <w:rPr>
          <w:rFonts w:ascii="Abadi" w:hAnsi="Abadi"/>
          <w:sz w:val="21"/>
          <w:szCs w:val="21"/>
        </w:rPr>
        <w:t>: e</w:t>
      </w:r>
      <w:r w:rsidR="002B30C6" w:rsidRPr="0021199F">
        <w:rPr>
          <w:rFonts w:ascii="Abadi" w:hAnsi="Abadi"/>
          <w:sz w:val="21"/>
          <w:szCs w:val="21"/>
        </w:rPr>
        <w:t>n primer lugar, la diputada Laura Cristina Márquez Alcalá</w:t>
      </w:r>
      <w:r w:rsidR="002B30C6">
        <w:rPr>
          <w:rFonts w:ascii="Abadi" w:hAnsi="Abadi"/>
          <w:sz w:val="21"/>
          <w:szCs w:val="21"/>
        </w:rPr>
        <w:t>, e</w:t>
      </w:r>
      <w:r w:rsidR="002B30C6" w:rsidRPr="0021199F">
        <w:rPr>
          <w:rFonts w:ascii="Abadi" w:hAnsi="Abadi"/>
          <w:sz w:val="21"/>
          <w:szCs w:val="21"/>
        </w:rPr>
        <w:t>n segundo lugar, la diputada Susana Bermúdez Cano</w:t>
      </w:r>
      <w:r w:rsidR="002B30C6">
        <w:rPr>
          <w:rFonts w:ascii="Abadi" w:hAnsi="Abadi"/>
          <w:sz w:val="21"/>
          <w:szCs w:val="21"/>
        </w:rPr>
        <w:t xml:space="preserve">, </w:t>
      </w:r>
      <w:r w:rsidR="002F7300">
        <w:rPr>
          <w:rFonts w:ascii="Abadi" w:hAnsi="Abadi"/>
          <w:sz w:val="21"/>
          <w:szCs w:val="21"/>
        </w:rPr>
        <w:t>e</w:t>
      </w:r>
      <w:r w:rsidR="002B30C6">
        <w:rPr>
          <w:rFonts w:ascii="Abadi" w:hAnsi="Abadi"/>
          <w:sz w:val="21"/>
          <w:szCs w:val="21"/>
        </w:rPr>
        <w:t xml:space="preserve">n tercer </w:t>
      </w:r>
      <w:r w:rsidR="002B30C6" w:rsidRPr="0021199F">
        <w:rPr>
          <w:rFonts w:ascii="Abadi" w:hAnsi="Abadi"/>
          <w:sz w:val="21"/>
          <w:szCs w:val="21"/>
        </w:rPr>
        <w:t xml:space="preserve">lugar, el diputado Cuauhtémoc </w:t>
      </w:r>
      <w:r w:rsidR="002B30C6">
        <w:rPr>
          <w:rFonts w:ascii="Abadi" w:hAnsi="Abadi"/>
          <w:sz w:val="21"/>
          <w:szCs w:val="21"/>
        </w:rPr>
        <w:t>Becerra</w:t>
      </w:r>
      <w:r w:rsidR="002B30C6" w:rsidRPr="0021199F">
        <w:rPr>
          <w:rFonts w:ascii="Abadi" w:hAnsi="Abadi"/>
          <w:sz w:val="21"/>
          <w:szCs w:val="21"/>
        </w:rPr>
        <w:t xml:space="preserve"> González y en cuarto lugar, la diputada M</w:t>
      </w:r>
      <w:r w:rsidR="002B30C6">
        <w:rPr>
          <w:rFonts w:ascii="Abadi" w:hAnsi="Abadi"/>
          <w:sz w:val="21"/>
          <w:szCs w:val="21"/>
        </w:rPr>
        <w:t>artha Edith</w:t>
      </w:r>
      <w:r w:rsidR="002B30C6" w:rsidRPr="0021199F">
        <w:rPr>
          <w:rFonts w:ascii="Abadi" w:hAnsi="Abadi"/>
          <w:sz w:val="21"/>
          <w:szCs w:val="21"/>
        </w:rPr>
        <w:t xml:space="preserve"> Moreno Valencia</w:t>
      </w:r>
      <w:r w:rsidR="002B30C6">
        <w:rPr>
          <w:rFonts w:ascii="Abadi" w:hAnsi="Abadi"/>
          <w:sz w:val="21"/>
          <w:szCs w:val="21"/>
        </w:rPr>
        <w:t>.</w:t>
      </w:r>
    </w:p>
    <w:tbl>
      <w:tblPr>
        <w:tblStyle w:val="Tablaconcuadrcula"/>
        <w:tblW w:w="0" w:type="auto"/>
        <w:tblLook w:val="04A0" w:firstRow="1" w:lastRow="0" w:firstColumn="1" w:lastColumn="0" w:noHBand="0" w:noVBand="1"/>
      </w:tblPr>
      <w:tblGrid>
        <w:gridCol w:w="757"/>
        <w:gridCol w:w="1295"/>
        <w:gridCol w:w="1694"/>
      </w:tblGrid>
      <w:tr w:rsidR="002F7300" w14:paraId="4B3E069F" w14:textId="77777777" w:rsidTr="002F7300">
        <w:tc>
          <w:tcPr>
            <w:tcW w:w="757" w:type="dxa"/>
            <w:shd w:val="clear" w:color="auto" w:fill="000000" w:themeFill="text1"/>
          </w:tcPr>
          <w:p w14:paraId="31555015" w14:textId="77777777" w:rsidR="002F7300" w:rsidRPr="00A851B4" w:rsidRDefault="002F7300" w:rsidP="00E61DE3">
            <w:pPr>
              <w:jc w:val="both"/>
              <w:rPr>
                <w:rFonts w:ascii="Abadi" w:hAnsi="Abadi"/>
                <w:b/>
                <w:bCs/>
                <w:sz w:val="21"/>
                <w:szCs w:val="21"/>
              </w:rPr>
            </w:pPr>
            <w:r w:rsidRPr="00A851B4">
              <w:rPr>
                <w:rFonts w:ascii="Abadi" w:hAnsi="Abadi"/>
                <w:b/>
                <w:bCs/>
                <w:sz w:val="21"/>
                <w:szCs w:val="21"/>
              </w:rPr>
              <w:t>Orden</w:t>
            </w:r>
          </w:p>
        </w:tc>
        <w:tc>
          <w:tcPr>
            <w:tcW w:w="1295" w:type="dxa"/>
            <w:shd w:val="clear" w:color="auto" w:fill="000000" w:themeFill="text1"/>
          </w:tcPr>
          <w:p w14:paraId="30EE09A0" w14:textId="77777777" w:rsidR="002F7300" w:rsidRPr="00A851B4" w:rsidRDefault="002F7300" w:rsidP="00E61DE3">
            <w:pPr>
              <w:jc w:val="both"/>
              <w:rPr>
                <w:rFonts w:ascii="Abadi" w:hAnsi="Abadi"/>
                <w:b/>
                <w:bCs/>
                <w:sz w:val="21"/>
                <w:szCs w:val="21"/>
              </w:rPr>
            </w:pPr>
            <w:r w:rsidRPr="00A851B4">
              <w:rPr>
                <w:rFonts w:ascii="Abadi" w:hAnsi="Abadi"/>
                <w:b/>
                <w:bCs/>
                <w:sz w:val="21"/>
                <w:szCs w:val="21"/>
              </w:rPr>
              <w:t>Nombre</w:t>
            </w:r>
            <w:r>
              <w:rPr>
                <w:rFonts w:ascii="Abadi" w:hAnsi="Abadi"/>
                <w:b/>
                <w:bCs/>
                <w:sz w:val="21"/>
                <w:szCs w:val="21"/>
              </w:rPr>
              <w:t>:</w:t>
            </w:r>
          </w:p>
        </w:tc>
        <w:tc>
          <w:tcPr>
            <w:tcW w:w="1694" w:type="dxa"/>
            <w:shd w:val="clear" w:color="auto" w:fill="000000" w:themeFill="text1"/>
          </w:tcPr>
          <w:p w14:paraId="36F40A5B" w14:textId="77777777" w:rsidR="002F7300" w:rsidRPr="00A851B4" w:rsidRDefault="002F7300" w:rsidP="00E61DE3">
            <w:pPr>
              <w:jc w:val="both"/>
              <w:rPr>
                <w:rFonts w:ascii="Abadi" w:hAnsi="Abadi"/>
                <w:b/>
                <w:bCs/>
                <w:sz w:val="21"/>
                <w:szCs w:val="21"/>
              </w:rPr>
            </w:pPr>
            <w:r w:rsidRPr="00A851B4">
              <w:rPr>
                <w:rFonts w:ascii="Abadi" w:hAnsi="Abadi"/>
                <w:b/>
                <w:bCs/>
                <w:sz w:val="21"/>
                <w:szCs w:val="21"/>
              </w:rPr>
              <w:t xml:space="preserve">Tema: </w:t>
            </w:r>
          </w:p>
        </w:tc>
      </w:tr>
      <w:tr w:rsidR="002F7300" w14:paraId="08A97EEC" w14:textId="77777777" w:rsidTr="002F7300">
        <w:tc>
          <w:tcPr>
            <w:tcW w:w="757" w:type="dxa"/>
          </w:tcPr>
          <w:p w14:paraId="2590D921" w14:textId="77777777" w:rsidR="002F7300" w:rsidRDefault="002F7300" w:rsidP="00E61DE3">
            <w:pPr>
              <w:jc w:val="both"/>
              <w:rPr>
                <w:rFonts w:ascii="Abadi" w:hAnsi="Abadi"/>
                <w:sz w:val="21"/>
                <w:szCs w:val="21"/>
              </w:rPr>
            </w:pPr>
            <w:r>
              <w:rPr>
                <w:rFonts w:ascii="Abadi" w:hAnsi="Abadi"/>
                <w:sz w:val="21"/>
                <w:szCs w:val="21"/>
              </w:rPr>
              <w:t>1.-</w:t>
            </w:r>
          </w:p>
        </w:tc>
        <w:tc>
          <w:tcPr>
            <w:tcW w:w="1295" w:type="dxa"/>
          </w:tcPr>
          <w:p w14:paraId="40E698E3" w14:textId="422FA89A" w:rsidR="002F7300" w:rsidRDefault="002F7300" w:rsidP="00E61DE3">
            <w:pPr>
              <w:jc w:val="both"/>
              <w:rPr>
                <w:rFonts w:ascii="Abadi" w:hAnsi="Abadi"/>
                <w:sz w:val="21"/>
                <w:szCs w:val="21"/>
              </w:rPr>
            </w:pPr>
            <w:r w:rsidRPr="0021199F">
              <w:rPr>
                <w:rFonts w:ascii="Abadi" w:hAnsi="Abadi"/>
                <w:sz w:val="21"/>
                <w:szCs w:val="21"/>
              </w:rPr>
              <w:t>Laura Cristina Márquez Alcalá</w:t>
            </w:r>
            <w:r>
              <w:rPr>
                <w:rFonts w:ascii="Abadi" w:hAnsi="Abadi"/>
                <w:sz w:val="21"/>
                <w:szCs w:val="21"/>
              </w:rPr>
              <w:t>,</w:t>
            </w:r>
          </w:p>
        </w:tc>
        <w:tc>
          <w:tcPr>
            <w:tcW w:w="1694" w:type="dxa"/>
          </w:tcPr>
          <w:p w14:paraId="69840465" w14:textId="51D5BA9B" w:rsidR="002F7300" w:rsidRDefault="002F7300" w:rsidP="00E61DE3">
            <w:pPr>
              <w:jc w:val="both"/>
              <w:rPr>
                <w:rFonts w:ascii="Abadi" w:hAnsi="Abadi"/>
                <w:sz w:val="21"/>
                <w:szCs w:val="21"/>
              </w:rPr>
            </w:pPr>
            <w:r>
              <w:rPr>
                <w:rFonts w:ascii="Abadi" w:hAnsi="Abadi"/>
                <w:sz w:val="21"/>
                <w:szCs w:val="21"/>
              </w:rPr>
              <w:t>«</w:t>
            </w:r>
            <w:r w:rsidRPr="0021199F">
              <w:rPr>
                <w:rFonts w:ascii="Abadi" w:hAnsi="Abadi"/>
                <w:sz w:val="21"/>
                <w:szCs w:val="21"/>
              </w:rPr>
              <w:t>Tiempo</w:t>
            </w:r>
            <w:r>
              <w:rPr>
                <w:rFonts w:ascii="Abadi" w:hAnsi="Abadi"/>
                <w:sz w:val="21"/>
                <w:szCs w:val="21"/>
              </w:rPr>
              <w:t>»</w:t>
            </w:r>
          </w:p>
        </w:tc>
      </w:tr>
      <w:tr w:rsidR="002F7300" w14:paraId="6C916C93" w14:textId="77777777" w:rsidTr="002F7300">
        <w:tc>
          <w:tcPr>
            <w:tcW w:w="757" w:type="dxa"/>
          </w:tcPr>
          <w:p w14:paraId="6976CA3F" w14:textId="77777777" w:rsidR="002F7300" w:rsidRDefault="002F7300" w:rsidP="00E61DE3">
            <w:pPr>
              <w:jc w:val="both"/>
              <w:rPr>
                <w:rFonts w:ascii="Abadi" w:hAnsi="Abadi"/>
                <w:sz w:val="21"/>
                <w:szCs w:val="21"/>
              </w:rPr>
            </w:pPr>
            <w:r>
              <w:rPr>
                <w:rFonts w:ascii="Abadi" w:hAnsi="Abadi"/>
                <w:sz w:val="21"/>
                <w:szCs w:val="21"/>
              </w:rPr>
              <w:t>2.-</w:t>
            </w:r>
          </w:p>
        </w:tc>
        <w:tc>
          <w:tcPr>
            <w:tcW w:w="1295" w:type="dxa"/>
          </w:tcPr>
          <w:p w14:paraId="0D39BAAA" w14:textId="10082994" w:rsidR="002F7300" w:rsidRDefault="002F7300" w:rsidP="00E61DE3">
            <w:pPr>
              <w:jc w:val="both"/>
              <w:rPr>
                <w:rFonts w:ascii="Abadi" w:hAnsi="Abadi"/>
                <w:sz w:val="21"/>
                <w:szCs w:val="21"/>
              </w:rPr>
            </w:pPr>
            <w:r w:rsidRPr="0021199F">
              <w:rPr>
                <w:rFonts w:ascii="Abadi" w:hAnsi="Abadi"/>
                <w:sz w:val="21"/>
                <w:szCs w:val="21"/>
              </w:rPr>
              <w:t>Susana Bermúdez Cano</w:t>
            </w:r>
            <w:r>
              <w:rPr>
                <w:rFonts w:ascii="Abadi" w:hAnsi="Abadi"/>
                <w:sz w:val="21"/>
                <w:szCs w:val="21"/>
              </w:rPr>
              <w:t>,</w:t>
            </w:r>
          </w:p>
        </w:tc>
        <w:tc>
          <w:tcPr>
            <w:tcW w:w="1694" w:type="dxa"/>
          </w:tcPr>
          <w:p w14:paraId="7ABAD52F" w14:textId="720AF9E5" w:rsidR="002F7300" w:rsidRDefault="002F7300" w:rsidP="00E61DE3">
            <w:pPr>
              <w:jc w:val="both"/>
              <w:rPr>
                <w:rFonts w:ascii="Abadi" w:hAnsi="Abadi"/>
                <w:sz w:val="21"/>
                <w:szCs w:val="21"/>
              </w:rPr>
            </w:pPr>
            <w:r>
              <w:rPr>
                <w:rFonts w:ascii="Abadi" w:hAnsi="Abadi"/>
                <w:sz w:val="21"/>
                <w:szCs w:val="21"/>
              </w:rPr>
              <w:t>«</w:t>
            </w:r>
            <w:r w:rsidRPr="0021199F">
              <w:rPr>
                <w:rFonts w:ascii="Abadi" w:hAnsi="Abadi"/>
                <w:sz w:val="21"/>
                <w:szCs w:val="21"/>
              </w:rPr>
              <w:t>Bienestar</w:t>
            </w:r>
            <w:r>
              <w:rPr>
                <w:rFonts w:ascii="Abadi" w:hAnsi="Abadi"/>
                <w:sz w:val="21"/>
                <w:szCs w:val="21"/>
              </w:rPr>
              <w:t>»</w:t>
            </w:r>
          </w:p>
        </w:tc>
      </w:tr>
      <w:tr w:rsidR="002F7300" w14:paraId="67EDAC9D" w14:textId="77777777" w:rsidTr="002F7300">
        <w:tc>
          <w:tcPr>
            <w:tcW w:w="757" w:type="dxa"/>
          </w:tcPr>
          <w:p w14:paraId="07E44FBD" w14:textId="47686908" w:rsidR="002F7300" w:rsidRDefault="002F7300" w:rsidP="00E61DE3">
            <w:pPr>
              <w:jc w:val="both"/>
              <w:rPr>
                <w:rFonts w:ascii="Abadi" w:hAnsi="Abadi"/>
                <w:sz w:val="21"/>
                <w:szCs w:val="21"/>
              </w:rPr>
            </w:pPr>
            <w:r>
              <w:rPr>
                <w:rFonts w:ascii="Abadi" w:hAnsi="Abadi"/>
                <w:sz w:val="21"/>
                <w:szCs w:val="21"/>
              </w:rPr>
              <w:t>3.-</w:t>
            </w:r>
          </w:p>
        </w:tc>
        <w:tc>
          <w:tcPr>
            <w:tcW w:w="1295" w:type="dxa"/>
          </w:tcPr>
          <w:p w14:paraId="5CD3AC9F" w14:textId="477F7A2B" w:rsidR="002F7300" w:rsidRPr="0021199F" w:rsidRDefault="002F7300" w:rsidP="00E61DE3">
            <w:pPr>
              <w:jc w:val="both"/>
              <w:rPr>
                <w:rFonts w:ascii="Abadi" w:hAnsi="Abadi"/>
                <w:sz w:val="21"/>
                <w:szCs w:val="21"/>
              </w:rPr>
            </w:pPr>
            <w:r w:rsidRPr="0021199F">
              <w:rPr>
                <w:rFonts w:ascii="Abadi" w:hAnsi="Abadi"/>
                <w:sz w:val="21"/>
                <w:szCs w:val="21"/>
              </w:rPr>
              <w:t xml:space="preserve">Cuauhtémoc </w:t>
            </w:r>
            <w:r>
              <w:rPr>
                <w:rFonts w:ascii="Abadi" w:hAnsi="Abadi"/>
                <w:sz w:val="21"/>
                <w:szCs w:val="21"/>
              </w:rPr>
              <w:t>Becerra</w:t>
            </w:r>
            <w:r w:rsidRPr="0021199F">
              <w:rPr>
                <w:rFonts w:ascii="Abadi" w:hAnsi="Abadi"/>
                <w:sz w:val="21"/>
                <w:szCs w:val="21"/>
              </w:rPr>
              <w:t xml:space="preserve"> González</w:t>
            </w:r>
          </w:p>
        </w:tc>
        <w:tc>
          <w:tcPr>
            <w:tcW w:w="1694" w:type="dxa"/>
          </w:tcPr>
          <w:p w14:paraId="3F923AFC" w14:textId="6E14789A" w:rsidR="002F7300" w:rsidRDefault="002F7300" w:rsidP="00E61DE3">
            <w:pPr>
              <w:jc w:val="both"/>
              <w:rPr>
                <w:rFonts w:ascii="Abadi" w:hAnsi="Abadi"/>
                <w:sz w:val="21"/>
                <w:szCs w:val="21"/>
              </w:rPr>
            </w:pPr>
            <w:r>
              <w:rPr>
                <w:rFonts w:ascii="Abadi" w:hAnsi="Abadi"/>
                <w:sz w:val="21"/>
                <w:szCs w:val="21"/>
              </w:rPr>
              <w:t>«</w:t>
            </w:r>
            <w:r w:rsidRPr="0021199F">
              <w:rPr>
                <w:rFonts w:ascii="Abadi" w:hAnsi="Abadi"/>
                <w:sz w:val="21"/>
                <w:szCs w:val="21"/>
              </w:rPr>
              <w:t>Tolerancia y respeto</w:t>
            </w:r>
            <w:r>
              <w:rPr>
                <w:rFonts w:ascii="Abadi" w:hAnsi="Abadi"/>
                <w:sz w:val="21"/>
                <w:szCs w:val="21"/>
              </w:rPr>
              <w:t>»</w:t>
            </w:r>
          </w:p>
        </w:tc>
      </w:tr>
      <w:tr w:rsidR="002F7300" w14:paraId="361C69E4" w14:textId="77777777" w:rsidTr="002F7300">
        <w:tc>
          <w:tcPr>
            <w:tcW w:w="757" w:type="dxa"/>
          </w:tcPr>
          <w:p w14:paraId="40BD66D9" w14:textId="0E20AE0E" w:rsidR="002F7300" w:rsidRDefault="002F7300" w:rsidP="00E61DE3">
            <w:pPr>
              <w:jc w:val="both"/>
              <w:rPr>
                <w:rFonts w:ascii="Abadi" w:hAnsi="Abadi"/>
                <w:sz w:val="21"/>
                <w:szCs w:val="21"/>
              </w:rPr>
            </w:pPr>
            <w:r>
              <w:rPr>
                <w:rFonts w:ascii="Abadi" w:hAnsi="Abadi"/>
                <w:sz w:val="21"/>
                <w:szCs w:val="21"/>
              </w:rPr>
              <w:t xml:space="preserve">4.- </w:t>
            </w:r>
          </w:p>
        </w:tc>
        <w:tc>
          <w:tcPr>
            <w:tcW w:w="1295" w:type="dxa"/>
          </w:tcPr>
          <w:p w14:paraId="3D1F6B53" w14:textId="7B171762" w:rsidR="002F7300" w:rsidRPr="0021199F" w:rsidRDefault="002F7300" w:rsidP="00E61DE3">
            <w:pPr>
              <w:jc w:val="both"/>
              <w:rPr>
                <w:rFonts w:ascii="Abadi" w:hAnsi="Abadi"/>
                <w:sz w:val="21"/>
                <w:szCs w:val="21"/>
              </w:rPr>
            </w:pPr>
            <w:r w:rsidRPr="0021199F">
              <w:rPr>
                <w:rFonts w:ascii="Abadi" w:hAnsi="Abadi"/>
                <w:sz w:val="21"/>
                <w:szCs w:val="21"/>
              </w:rPr>
              <w:t>M</w:t>
            </w:r>
            <w:r>
              <w:rPr>
                <w:rFonts w:ascii="Abadi" w:hAnsi="Abadi"/>
                <w:sz w:val="21"/>
                <w:szCs w:val="21"/>
              </w:rPr>
              <w:t>artha Edith</w:t>
            </w:r>
            <w:r w:rsidRPr="0021199F">
              <w:rPr>
                <w:rFonts w:ascii="Abadi" w:hAnsi="Abadi"/>
                <w:sz w:val="21"/>
                <w:szCs w:val="21"/>
              </w:rPr>
              <w:t xml:space="preserve"> Moreno Valencia</w:t>
            </w:r>
          </w:p>
        </w:tc>
        <w:tc>
          <w:tcPr>
            <w:tcW w:w="1694" w:type="dxa"/>
          </w:tcPr>
          <w:p w14:paraId="7BA0EF21" w14:textId="77777777" w:rsidR="002F7300" w:rsidRDefault="002F7300" w:rsidP="002F7300">
            <w:pPr>
              <w:pStyle w:val="NormalWeb"/>
              <w:ind w:firstLine="426"/>
              <w:jc w:val="both"/>
              <w:rPr>
                <w:rFonts w:ascii="Abadi" w:hAnsi="Abadi"/>
                <w:sz w:val="21"/>
                <w:szCs w:val="21"/>
              </w:rPr>
            </w:pPr>
            <w:r>
              <w:rPr>
                <w:rFonts w:ascii="Abadi" w:hAnsi="Abadi"/>
                <w:sz w:val="21"/>
                <w:szCs w:val="21"/>
              </w:rPr>
              <w:t>«</w:t>
            </w:r>
            <w:r w:rsidRPr="0021199F">
              <w:rPr>
                <w:rFonts w:ascii="Abadi" w:hAnsi="Abadi"/>
                <w:sz w:val="21"/>
                <w:szCs w:val="21"/>
              </w:rPr>
              <w:t>Guanajuato</w:t>
            </w:r>
            <w:r>
              <w:rPr>
                <w:rFonts w:ascii="Abadi" w:hAnsi="Abadi"/>
                <w:sz w:val="21"/>
                <w:szCs w:val="21"/>
              </w:rPr>
              <w:t xml:space="preserve"> l</w:t>
            </w:r>
            <w:r w:rsidRPr="0021199F">
              <w:rPr>
                <w:rFonts w:ascii="Abadi" w:hAnsi="Abadi"/>
                <w:sz w:val="21"/>
                <w:szCs w:val="21"/>
              </w:rPr>
              <w:t xml:space="preserve">a </w:t>
            </w:r>
            <w:r>
              <w:rPr>
                <w:rFonts w:ascii="Abadi" w:hAnsi="Abadi"/>
                <w:sz w:val="21"/>
                <w:szCs w:val="21"/>
              </w:rPr>
              <w:t>G</w:t>
            </w:r>
            <w:r w:rsidRPr="0021199F">
              <w:rPr>
                <w:rFonts w:ascii="Abadi" w:hAnsi="Abadi"/>
                <w:sz w:val="21"/>
                <w:szCs w:val="21"/>
              </w:rPr>
              <w:t>randeza de México</w:t>
            </w:r>
            <w:r>
              <w:rPr>
                <w:rFonts w:ascii="Abadi" w:hAnsi="Abadi"/>
                <w:sz w:val="21"/>
                <w:szCs w:val="21"/>
              </w:rPr>
              <w:t>»</w:t>
            </w:r>
          </w:p>
          <w:p w14:paraId="7965167B" w14:textId="77777777" w:rsidR="002F7300" w:rsidRDefault="002F7300" w:rsidP="00E61DE3">
            <w:pPr>
              <w:jc w:val="both"/>
              <w:rPr>
                <w:rFonts w:ascii="Abadi" w:hAnsi="Abadi"/>
                <w:sz w:val="21"/>
                <w:szCs w:val="21"/>
              </w:rPr>
            </w:pPr>
          </w:p>
        </w:tc>
      </w:tr>
    </w:tbl>
    <w:p w14:paraId="4D162EDE" w14:textId="69553CEA" w:rsidR="002B30C6" w:rsidRDefault="00BF7E8B" w:rsidP="00BF7E8B">
      <w:pPr>
        <w:pStyle w:val="NormalWeb"/>
        <w:ind w:firstLine="426"/>
        <w:jc w:val="both"/>
        <w:rPr>
          <w:rFonts w:ascii="Abadi" w:hAnsi="Abadi"/>
          <w:sz w:val="21"/>
          <w:szCs w:val="21"/>
        </w:rPr>
      </w:pPr>
      <w:r>
        <w:rPr>
          <w:rFonts w:ascii="Abadi" w:hAnsi="Abadi"/>
          <w:sz w:val="21"/>
          <w:szCs w:val="21"/>
        </w:rPr>
        <w:t xml:space="preserve">- </w:t>
      </w:r>
      <w:r w:rsidR="002B30C6">
        <w:rPr>
          <w:rFonts w:ascii="Abadi" w:hAnsi="Abadi"/>
          <w:sz w:val="21"/>
          <w:szCs w:val="21"/>
        </w:rPr>
        <w:t>S</w:t>
      </w:r>
      <w:r w:rsidR="002B30C6" w:rsidRPr="0021199F">
        <w:rPr>
          <w:rFonts w:ascii="Abadi" w:hAnsi="Abadi"/>
          <w:sz w:val="21"/>
          <w:szCs w:val="21"/>
        </w:rPr>
        <w:t>e concede el uso de la palabra a la diputada Laura Cristina Márquez Alcalá. Hasta por diez minutos adelante, diputada</w:t>
      </w:r>
      <w:r w:rsidR="002B30C6">
        <w:rPr>
          <w:rFonts w:ascii="Abadi" w:hAnsi="Abadi"/>
          <w:sz w:val="21"/>
          <w:szCs w:val="21"/>
        </w:rPr>
        <w:t>.</w:t>
      </w:r>
      <w:r w:rsidR="002B30C6" w:rsidRPr="0021199F">
        <w:rPr>
          <w:rFonts w:ascii="Abadi" w:hAnsi="Abadi"/>
          <w:sz w:val="21"/>
          <w:szCs w:val="21"/>
        </w:rPr>
        <w:t xml:space="preserve"> </w:t>
      </w:r>
    </w:p>
    <w:p w14:paraId="6710E891" w14:textId="77777777" w:rsidR="002B30C6" w:rsidRDefault="002B30C6" w:rsidP="00BF7E8B">
      <w:pPr>
        <w:pStyle w:val="NormalWeb"/>
        <w:jc w:val="both"/>
        <w:rPr>
          <w:rFonts w:ascii="Abadi" w:hAnsi="Abadi"/>
          <w:b/>
          <w:bCs/>
          <w:sz w:val="21"/>
          <w:szCs w:val="21"/>
        </w:rPr>
      </w:pPr>
      <w:r w:rsidRPr="007E2273">
        <w:rPr>
          <w:rFonts w:ascii="Abadi" w:hAnsi="Abadi"/>
          <w:b/>
          <w:bCs/>
          <w:sz w:val="21"/>
          <w:szCs w:val="21"/>
        </w:rPr>
        <w:t xml:space="preserve">(Sube a tribuna </w:t>
      </w:r>
      <w:r>
        <w:rPr>
          <w:rFonts w:ascii="Abadi" w:hAnsi="Abadi"/>
          <w:b/>
          <w:bCs/>
          <w:sz w:val="21"/>
          <w:szCs w:val="21"/>
        </w:rPr>
        <w:t xml:space="preserve">la </w:t>
      </w:r>
      <w:r w:rsidRPr="007E2273">
        <w:rPr>
          <w:rFonts w:ascii="Abadi" w:hAnsi="Abadi"/>
          <w:b/>
          <w:bCs/>
          <w:sz w:val="21"/>
          <w:szCs w:val="21"/>
        </w:rPr>
        <w:t>Diputada</w:t>
      </w:r>
      <w:r>
        <w:rPr>
          <w:rFonts w:ascii="Abadi" w:hAnsi="Abadi"/>
          <w:b/>
          <w:bCs/>
          <w:sz w:val="21"/>
          <w:szCs w:val="21"/>
        </w:rPr>
        <w:t xml:space="preserve"> </w:t>
      </w:r>
      <w:r w:rsidRPr="007E2273">
        <w:rPr>
          <w:rFonts w:ascii="Abadi" w:hAnsi="Abadi"/>
          <w:b/>
          <w:bCs/>
          <w:sz w:val="21"/>
          <w:szCs w:val="21"/>
        </w:rPr>
        <w:t xml:space="preserve">Laura Cristina Márquez Alcalá para hablar del tema </w:t>
      </w:r>
      <w:r>
        <w:rPr>
          <w:rFonts w:ascii="Abadi" w:hAnsi="Abadi"/>
          <w:b/>
          <w:bCs/>
          <w:sz w:val="21"/>
          <w:szCs w:val="21"/>
        </w:rPr>
        <w:t>«</w:t>
      </w:r>
      <w:r w:rsidRPr="007E2273">
        <w:rPr>
          <w:rFonts w:ascii="Abadi" w:hAnsi="Abadi"/>
          <w:b/>
          <w:bCs/>
          <w:sz w:val="21"/>
          <w:szCs w:val="21"/>
        </w:rPr>
        <w:t>Tiempo</w:t>
      </w:r>
      <w:r>
        <w:rPr>
          <w:rFonts w:ascii="Abadi" w:hAnsi="Abadi"/>
          <w:b/>
          <w:bCs/>
          <w:sz w:val="21"/>
          <w:szCs w:val="21"/>
        </w:rPr>
        <w:t>»</w:t>
      </w:r>
      <w:r w:rsidRPr="007E2273">
        <w:rPr>
          <w:rFonts w:ascii="Abadi" w:hAnsi="Abadi"/>
          <w:b/>
          <w:bCs/>
          <w:sz w:val="21"/>
          <w:szCs w:val="21"/>
        </w:rPr>
        <w:t>)</w:t>
      </w:r>
    </w:p>
    <w:p w14:paraId="0EB6EE6D" w14:textId="77777777" w:rsidR="002B30C6" w:rsidRDefault="002B30C6" w:rsidP="002B30C6">
      <w:pPr>
        <w:pStyle w:val="NormalWeb"/>
        <w:jc w:val="both"/>
        <w:rPr>
          <w:rFonts w:ascii="Abadi" w:hAnsi="Abadi"/>
          <w:b/>
          <w:bCs/>
          <w:sz w:val="21"/>
          <w:szCs w:val="21"/>
        </w:rPr>
      </w:pPr>
    </w:p>
    <w:p w14:paraId="1AE586B8" w14:textId="77777777" w:rsidR="002B30C6" w:rsidRPr="007E2273" w:rsidRDefault="002B30C6" w:rsidP="002B30C6">
      <w:pPr>
        <w:pStyle w:val="NormalWeb"/>
        <w:jc w:val="both"/>
        <w:rPr>
          <w:rFonts w:ascii="Abadi" w:hAnsi="Abadi"/>
          <w:b/>
          <w:bCs/>
          <w:sz w:val="21"/>
          <w:szCs w:val="21"/>
        </w:rPr>
      </w:pPr>
      <w:r>
        <w:rPr>
          <w:noProof/>
        </w:rPr>
        <w:drawing>
          <wp:inline distT="0" distB="0" distL="0" distR="0" wp14:anchorId="6ADFFDCB" wp14:editId="2E183987">
            <wp:extent cx="2027583" cy="1089804"/>
            <wp:effectExtent l="19050" t="114300" r="0" b="834390"/>
            <wp:docPr id="42" name="Imagen 4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10;&#10;Descripción generada automáticamente"/>
                    <pic:cNvPicPr/>
                  </pic:nvPicPr>
                  <pic:blipFill rotWithShape="1">
                    <a:blip r:embed="rId71"/>
                    <a:srcRect b="8895"/>
                    <a:stretch/>
                  </pic:blipFill>
                  <pic:spPr bwMode="auto">
                    <a:xfrm>
                      <a:off x="0" y="0"/>
                      <a:ext cx="2052850" cy="110338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726E0061"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A los candidatos se les juzga en el voto con base a sus promesas</w:t>
      </w:r>
      <w:r>
        <w:rPr>
          <w:rFonts w:ascii="Abadi" w:hAnsi="Abadi"/>
          <w:sz w:val="21"/>
          <w:szCs w:val="21"/>
        </w:rPr>
        <w:t xml:space="preserve">, a </w:t>
      </w:r>
      <w:r w:rsidRPr="0021199F">
        <w:rPr>
          <w:rFonts w:ascii="Abadi" w:hAnsi="Abadi"/>
          <w:sz w:val="21"/>
          <w:szCs w:val="21"/>
        </w:rPr>
        <w:t xml:space="preserve">los gobernantes se les juzgan </w:t>
      </w:r>
      <w:r>
        <w:rPr>
          <w:rFonts w:ascii="Abadi" w:hAnsi="Abadi"/>
          <w:sz w:val="21"/>
          <w:szCs w:val="21"/>
        </w:rPr>
        <w:t>en</w:t>
      </w:r>
      <w:r w:rsidRPr="0021199F">
        <w:rPr>
          <w:rFonts w:ascii="Abadi" w:hAnsi="Abadi"/>
          <w:sz w:val="21"/>
          <w:szCs w:val="21"/>
        </w:rPr>
        <w:t xml:space="preserve"> la historia con base en sus resultados y los resultados del </w:t>
      </w:r>
      <w:r>
        <w:rPr>
          <w:rFonts w:ascii="Abadi" w:hAnsi="Abadi"/>
          <w:sz w:val="21"/>
          <w:szCs w:val="21"/>
        </w:rPr>
        <w:t>G</w:t>
      </w:r>
      <w:r w:rsidRPr="0021199F">
        <w:rPr>
          <w:rFonts w:ascii="Abadi" w:hAnsi="Abadi"/>
          <w:sz w:val="21"/>
          <w:szCs w:val="21"/>
        </w:rPr>
        <w:t xml:space="preserve">obierno </w:t>
      </w:r>
      <w:r>
        <w:rPr>
          <w:rFonts w:ascii="Abadi" w:hAnsi="Abadi"/>
          <w:sz w:val="21"/>
          <w:szCs w:val="21"/>
        </w:rPr>
        <w:t>F</w:t>
      </w:r>
      <w:r w:rsidRPr="0021199F">
        <w:rPr>
          <w:rFonts w:ascii="Abadi" w:hAnsi="Abadi"/>
          <w:sz w:val="21"/>
          <w:szCs w:val="21"/>
        </w:rPr>
        <w:t xml:space="preserve">ederal están dibujando con la tinta de sus propios errores un juicio de condena. La legislatura pasada, hace ya tres años, el </w:t>
      </w:r>
      <w:r>
        <w:rPr>
          <w:rFonts w:ascii="Abadi" w:hAnsi="Abadi"/>
          <w:sz w:val="21"/>
          <w:szCs w:val="21"/>
        </w:rPr>
        <w:t>2</w:t>
      </w:r>
      <w:r w:rsidRPr="0021199F">
        <w:rPr>
          <w:rFonts w:ascii="Abadi" w:hAnsi="Abadi"/>
          <w:sz w:val="21"/>
          <w:szCs w:val="21"/>
        </w:rPr>
        <w:t xml:space="preserve"> de mayo de </w:t>
      </w:r>
      <w:r>
        <w:rPr>
          <w:rFonts w:ascii="Abadi" w:hAnsi="Abadi"/>
          <w:sz w:val="21"/>
          <w:szCs w:val="21"/>
        </w:rPr>
        <w:t>2019</w:t>
      </w:r>
      <w:r w:rsidRPr="0021199F">
        <w:rPr>
          <w:rFonts w:ascii="Abadi" w:hAnsi="Abadi"/>
          <w:sz w:val="21"/>
          <w:szCs w:val="21"/>
        </w:rPr>
        <w:t xml:space="preserve">, y a nombre de mis compañeras y compañeros del </w:t>
      </w:r>
      <w:r>
        <w:rPr>
          <w:rFonts w:ascii="Abadi" w:hAnsi="Abadi"/>
          <w:sz w:val="21"/>
          <w:szCs w:val="21"/>
        </w:rPr>
        <w:t>Grup</w:t>
      </w:r>
      <w:r w:rsidRPr="0021199F">
        <w:rPr>
          <w:rFonts w:ascii="Abadi" w:hAnsi="Abadi"/>
          <w:sz w:val="21"/>
          <w:szCs w:val="21"/>
        </w:rPr>
        <w:t xml:space="preserve">o </w:t>
      </w:r>
      <w:r>
        <w:rPr>
          <w:rFonts w:ascii="Abadi" w:hAnsi="Abadi"/>
          <w:sz w:val="21"/>
          <w:szCs w:val="21"/>
        </w:rPr>
        <w:t>P</w:t>
      </w:r>
      <w:r w:rsidRPr="0021199F">
        <w:rPr>
          <w:rFonts w:ascii="Abadi" w:hAnsi="Abadi"/>
          <w:sz w:val="21"/>
          <w:szCs w:val="21"/>
        </w:rPr>
        <w:t>arlamentario del PAN, manifesté nuestra profunda preocupación ante</w:t>
      </w:r>
      <w:r>
        <w:rPr>
          <w:rFonts w:ascii="Abadi" w:hAnsi="Abadi"/>
          <w:sz w:val="21"/>
          <w:szCs w:val="21"/>
        </w:rPr>
        <w:t xml:space="preserve"> la franca ir</w:t>
      </w:r>
      <w:r w:rsidRPr="0021199F">
        <w:rPr>
          <w:rFonts w:ascii="Abadi" w:hAnsi="Abadi"/>
          <w:sz w:val="21"/>
          <w:szCs w:val="21"/>
        </w:rPr>
        <w:t xml:space="preserve">responsabilidad de algunas de las acciones planteadas en el </w:t>
      </w:r>
      <w:r>
        <w:rPr>
          <w:rFonts w:ascii="Abadi" w:hAnsi="Abadi"/>
          <w:sz w:val="21"/>
          <w:szCs w:val="21"/>
        </w:rPr>
        <w:t>“</w:t>
      </w:r>
      <w:r w:rsidRPr="0021199F">
        <w:rPr>
          <w:rFonts w:ascii="Abadi" w:hAnsi="Abadi"/>
          <w:sz w:val="21"/>
          <w:szCs w:val="21"/>
        </w:rPr>
        <w:t>Plan Nacional de Desarrollo</w:t>
      </w:r>
      <w:r>
        <w:rPr>
          <w:rFonts w:ascii="Abadi" w:hAnsi="Abadi"/>
          <w:sz w:val="21"/>
          <w:szCs w:val="21"/>
        </w:rPr>
        <w:t>”</w:t>
      </w:r>
      <w:r w:rsidRPr="0021199F">
        <w:rPr>
          <w:rFonts w:ascii="Abadi" w:hAnsi="Abadi"/>
          <w:sz w:val="21"/>
          <w:szCs w:val="21"/>
        </w:rPr>
        <w:t>. Dicho documento del Gobierno de López Obrador arrancada con una condena el pasado neoliberal y continuaba con propuestas mitad fantasiosas y mitad desastrosas, incluyendo al aeropuerto de Santa Lucía, el Tren Maya, por supuesto, y el Instituto Nacional de Salud para el Bienestar.</w:t>
      </w:r>
    </w:p>
    <w:p w14:paraId="01118AA5"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En aquel momento advertimos que todos esos proyectos resultarían en un costoso </w:t>
      </w:r>
      <w:r>
        <w:rPr>
          <w:rFonts w:ascii="Abadi" w:hAnsi="Abadi"/>
          <w:sz w:val="21"/>
          <w:szCs w:val="21"/>
        </w:rPr>
        <w:t>fra</w:t>
      </w:r>
      <w:r w:rsidRPr="0021199F">
        <w:rPr>
          <w:rFonts w:ascii="Abadi" w:hAnsi="Abadi"/>
          <w:sz w:val="21"/>
          <w:szCs w:val="21"/>
        </w:rPr>
        <w:t>caso para el país y así lo hemos comprobado desde entonces. El tren ma</w:t>
      </w:r>
      <w:r>
        <w:rPr>
          <w:rFonts w:ascii="Abadi" w:hAnsi="Abadi"/>
          <w:sz w:val="21"/>
          <w:szCs w:val="21"/>
        </w:rPr>
        <w:t>y</w:t>
      </w:r>
      <w:r w:rsidRPr="0021199F">
        <w:rPr>
          <w:rFonts w:ascii="Abadi" w:hAnsi="Abadi"/>
          <w:sz w:val="21"/>
          <w:szCs w:val="21"/>
        </w:rPr>
        <w:t xml:space="preserve">a, que originalmente implicaría un gasto de </w:t>
      </w:r>
      <w:r>
        <w:rPr>
          <w:rFonts w:ascii="Abadi" w:hAnsi="Abadi"/>
          <w:sz w:val="21"/>
          <w:szCs w:val="21"/>
        </w:rPr>
        <w:t xml:space="preserve">140 </w:t>
      </w:r>
      <w:r w:rsidRPr="0021199F">
        <w:rPr>
          <w:rFonts w:ascii="Abadi" w:hAnsi="Abadi"/>
          <w:sz w:val="21"/>
          <w:szCs w:val="21"/>
        </w:rPr>
        <w:t>mil millones, ahora se proyecta en doscientos mil millones de pesos</w:t>
      </w:r>
      <w:r>
        <w:rPr>
          <w:rFonts w:ascii="Abadi" w:hAnsi="Abadi"/>
          <w:sz w:val="21"/>
          <w:szCs w:val="21"/>
        </w:rPr>
        <w:t xml:space="preserve">, </w:t>
      </w:r>
      <w:r w:rsidRPr="0021199F">
        <w:rPr>
          <w:rFonts w:ascii="Abadi" w:hAnsi="Abadi"/>
          <w:sz w:val="21"/>
          <w:szCs w:val="21"/>
        </w:rPr>
        <w:t xml:space="preserve">más lo que se acumule y según reza el documento, sería </w:t>
      </w:r>
      <w:r>
        <w:rPr>
          <w:rFonts w:ascii="Abadi" w:hAnsi="Abadi"/>
          <w:sz w:val="21"/>
          <w:szCs w:val="21"/>
        </w:rPr>
        <w:t>a</w:t>
      </w:r>
      <w:r w:rsidRPr="0021199F">
        <w:rPr>
          <w:rFonts w:ascii="Abadi" w:hAnsi="Abadi"/>
          <w:sz w:val="21"/>
          <w:szCs w:val="21"/>
        </w:rPr>
        <w:t>demás para combatir la tala ilegal cuando todo el proceso ha sido incluso sin impactos ambientales. Pues por decir algo de lo tanto que hay que decir</w:t>
      </w:r>
      <w:r>
        <w:rPr>
          <w:rFonts w:ascii="Abadi" w:hAnsi="Abadi"/>
          <w:sz w:val="21"/>
          <w:szCs w:val="21"/>
        </w:rPr>
        <w:t>. El</w:t>
      </w:r>
      <w:r w:rsidRPr="0021199F">
        <w:rPr>
          <w:rFonts w:ascii="Abadi" w:hAnsi="Abadi"/>
          <w:sz w:val="21"/>
          <w:szCs w:val="21"/>
        </w:rPr>
        <w:t xml:space="preserve"> aeropuerto de Santa Lucía, inaugurado entre comillas a las prisas, y</w:t>
      </w:r>
      <w:r>
        <w:rPr>
          <w:rFonts w:ascii="Abadi" w:hAnsi="Abadi"/>
          <w:sz w:val="21"/>
          <w:szCs w:val="21"/>
        </w:rPr>
        <w:t xml:space="preserve"> al ahí se </w:t>
      </w:r>
      <w:r w:rsidRPr="0021199F">
        <w:rPr>
          <w:rFonts w:ascii="Abadi" w:hAnsi="Abadi"/>
          <w:sz w:val="21"/>
          <w:szCs w:val="21"/>
        </w:rPr>
        <w:t>va</w:t>
      </w:r>
      <w:r>
        <w:rPr>
          <w:rFonts w:ascii="Abadi" w:hAnsi="Abadi"/>
          <w:sz w:val="21"/>
          <w:szCs w:val="21"/>
        </w:rPr>
        <w:t>,</w:t>
      </w:r>
      <w:r w:rsidRPr="0021199F">
        <w:rPr>
          <w:rFonts w:ascii="Abadi" w:hAnsi="Abadi"/>
          <w:sz w:val="21"/>
          <w:szCs w:val="21"/>
        </w:rPr>
        <w:t xml:space="preserve"> representa un costo de casi </w:t>
      </w:r>
      <w:r>
        <w:rPr>
          <w:rFonts w:ascii="Abadi" w:hAnsi="Abadi"/>
          <w:sz w:val="21"/>
          <w:szCs w:val="21"/>
        </w:rPr>
        <w:t>80</w:t>
      </w:r>
      <w:r w:rsidRPr="0021199F">
        <w:rPr>
          <w:rFonts w:ascii="Abadi" w:hAnsi="Abadi"/>
          <w:sz w:val="21"/>
          <w:szCs w:val="21"/>
        </w:rPr>
        <w:t xml:space="preserve"> mil millones de pesos, a los que hay que sumar el precio que pagamos los mexicanos y las mexicanas por la cancelación del aeropuerto de Texcoco, que de acuerdo con los cálculos más optimistas de la Auditoría Superior de la Federación, superan los </w:t>
      </w:r>
      <w:r>
        <w:rPr>
          <w:rFonts w:ascii="Abadi" w:hAnsi="Abadi"/>
          <w:sz w:val="21"/>
          <w:szCs w:val="21"/>
        </w:rPr>
        <w:t>113</w:t>
      </w:r>
      <w:r w:rsidRPr="0021199F">
        <w:rPr>
          <w:rFonts w:ascii="Abadi" w:hAnsi="Abadi"/>
          <w:sz w:val="21"/>
          <w:szCs w:val="21"/>
        </w:rPr>
        <w:t xml:space="preserve"> mil millones de pesos, además de entorpecer el tráfico aéreo de la Ciudad de México, poniendo en grave riesgo todos los días a pasajeros, tripulaciones y habitantes de la zona.</w:t>
      </w:r>
    </w:p>
    <w:p w14:paraId="190083BB"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Son cifras y realidades </w:t>
      </w:r>
      <w:r>
        <w:rPr>
          <w:rFonts w:ascii="Abadi" w:hAnsi="Abadi"/>
          <w:sz w:val="21"/>
          <w:szCs w:val="21"/>
        </w:rPr>
        <w:t xml:space="preserve">y realidades </w:t>
      </w:r>
      <w:r w:rsidRPr="0021199F">
        <w:rPr>
          <w:rFonts w:ascii="Abadi" w:hAnsi="Abadi"/>
          <w:sz w:val="21"/>
          <w:szCs w:val="21"/>
        </w:rPr>
        <w:t xml:space="preserve">que insultan al país, especialmente en las turbulencias económicas actuales y porque hoy </w:t>
      </w:r>
      <w:r>
        <w:rPr>
          <w:rFonts w:ascii="Abadi" w:hAnsi="Abadi"/>
          <w:sz w:val="21"/>
          <w:szCs w:val="21"/>
        </w:rPr>
        <w:t>e</w:t>
      </w:r>
      <w:r w:rsidRPr="0021199F">
        <w:rPr>
          <w:rFonts w:ascii="Abadi" w:hAnsi="Abadi"/>
          <w:sz w:val="21"/>
          <w:szCs w:val="21"/>
        </w:rPr>
        <w:t>stá claro, a la vista de todo el que quiera entenderlo, qué tanto el aeropuerto como el tren Maya son elefantes blancos</w:t>
      </w:r>
      <w:r>
        <w:rPr>
          <w:rFonts w:ascii="Abadi" w:hAnsi="Abadi"/>
          <w:sz w:val="21"/>
          <w:szCs w:val="21"/>
        </w:rPr>
        <w:t>, so</w:t>
      </w:r>
      <w:r w:rsidRPr="0021199F">
        <w:rPr>
          <w:rFonts w:ascii="Abadi" w:hAnsi="Abadi"/>
          <w:sz w:val="21"/>
          <w:szCs w:val="21"/>
        </w:rPr>
        <w:t xml:space="preserve">n meros caprichos improvisados que dejan a su paso un legado de derroche </w:t>
      </w:r>
      <w:r>
        <w:rPr>
          <w:rFonts w:ascii="Abadi" w:hAnsi="Abadi"/>
          <w:sz w:val="21"/>
          <w:szCs w:val="21"/>
        </w:rPr>
        <w:t>y</w:t>
      </w:r>
      <w:r w:rsidRPr="0021199F">
        <w:rPr>
          <w:rFonts w:ascii="Abadi" w:hAnsi="Abadi"/>
          <w:sz w:val="21"/>
          <w:szCs w:val="21"/>
        </w:rPr>
        <w:t xml:space="preserve"> de </w:t>
      </w:r>
      <w:r>
        <w:rPr>
          <w:rFonts w:ascii="Abadi" w:hAnsi="Abadi"/>
          <w:sz w:val="21"/>
          <w:szCs w:val="21"/>
        </w:rPr>
        <w:t xml:space="preserve">coccidio </w:t>
      </w:r>
      <w:r w:rsidRPr="0021199F">
        <w:rPr>
          <w:rFonts w:ascii="Abadi" w:hAnsi="Abadi"/>
          <w:sz w:val="21"/>
          <w:szCs w:val="21"/>
        </w:rPr>
        <w:t xml:space="preserve">como el que </w:t>
      </w:r>
      <w:r>
        <w:rPr>
          <w:rFonts w:ascii="Abadi" w:hAnsi="Abadi"/>
          <w:sz w:val="21"/>
          <w:szCs w:val="21"/>
        </w:rPr>
        <w:t xml:space="preserve">hoy </w:t>
      </w:r>
      <w:r w:rsidRPr="0021199F">
        <w:rPr>
          <w:rFonts w:ascii="Abadi" w:hAnsi="Abadi"/>
          <w:sz w:val="21"/>
          <w:szCs w:val="21"/>
        </w:rPr>
        <w:t>se está viendo en la península de Yucatán, donde miles de árboles fueron asesinados para que pasara el tren</w:t>
      </w:r>
      <w:r>
        <w:rPr>
          <w:rFonts w:ascii="Abadi" w:hAnsi="Abadi"/>
          <w:sz w:val="21"/>
          <w:szCs w:val="21"/>
        </w:rPr>
        <w:t>, p</w:t>
      </w:r>
      <w:r w:rsidRPr="0021199F">
        <w:rPr>
          <w:rFonts w:ascii="Abadi" w:hAnsi="Abadi"/>
          <w:sz w:val="21"/>
          <w:szCs w:val="21"/>
        </w:rPr>
        <w:t>ero luego cambió el trazo y no quedaron ni árboles</w:t>
      </w:r>
      <w:r>
        <w:rPr>
          <w:rFonts w:ascii="Abadi" w:hAnsi="Abadi"/>
          <w:sz w:val="21"/>
          <w:szCs w:val="21"/>
        </w:rPr>
        <w:t>, ni</w:t>
      </w:r>
      <w:r w:rsidRPr="0021199F">
        <w:rPr>
          <w:rFonts w:ascii="Abadi" w:hAnsi="Abadi"/>
          <w:sz w:val="21"/>
          <w:szCs w:val="21"/>
        </w:rPr>
        <w:t xml:space="preserve"> tren.</w:t>
      </w:r>
      <w:r>
        <w:rPr>
          <w:rFonts w:ascii="Abadi" w:hAnsi="Abadi"/>
          <w:sz w:val="21"/>
          <w:szCs w:val="21"/>
        </w:rPr>
        <w:t xml:space="preserve"> </w:t>
      </w:r>
      <w:r w:rsidRPr="0021199F">
        <w:rPr>
          <w:rFonts w:ascii="Abadi" w:hAnsi="Abadi"/>
          <w:sz w:val="21"/>
          <w:szCs w:val="21"/>
        </w:rPr>
        <w:t xml:space="preserve">Y un más grave ha sido el fracaso absoluto del </w:t>
      </w:r>
      <w:r>
        <w:rPr>
          <w:rFonts w:ascii="Abadi" w:hAnsi="Abadi"/>
          <w:sz w:val="21"/>
          <w:szCs w:val="21"/>
        </w:rPr>
        <w:t>INSABI</w:t>
      </w:r>
      <w:r w:rsidRPr="0021199F">
        <w:rPr>
          <w:rFonts w:ascii="Abadi" w:hAnsi="Abadi"/>
          <w:sz w:val="21"/>
          <w:szCs w:val="21"/>
        </w:rPr>
        <w:t xml:space="preserve"> y del </w:t>
      </w:r>
      <w:r>
        <w:rPr>
          <w:rFonts w:ascii="Abadi" w:hAnsi="Abadi"/>
          <w:sz w:val="21"/>
          <w:szCs w:val="21"/>
        </w:rPr>
        <w:t>S</w:t>
      </w:r>
      <w:r w:rsidRPr="0021199F">
        <w:rPr>
          <w:rFonts w:ascii="Abadi" w:hAnsi="Abadi"/>
          <w:sz w:val="21"/>
          <w:szCs w:val="21"/>
        </w:rPr>
        <w:t xml:space="preserve">istema </w:t>
      </w:r>
      <w:r>
        <w:rPr>
          <w:rFonts w:ascii="Abadi" w:hAnsi="Abadi"/>
          <w:sz w:val="21"/>
          <w:szCs w:val="21"/>
        </w:rPr>
        <w:t>C</w:t>
      </w:r>
      <w:r w:rsidRPr="0021199F">
        <w:rPr>
          <w:rFonts w:ascii="Abadi" w:hAnsi="Abadi"/>
          <w:sz w:val="21"/>
          <w:szCs w:val="21"/>
        </w:rPr>
        <w:t xml:space="preserve">entralizado de </w:t>
      </w:r>
      <w:r>
        <w:rPr>
          <w:rFonts w:ascii="Abadi" w:hAnsi="Abadi"/>
          <w:sz w:val="21"/>
          <w:szCs w:val="21"/>
        </w:rPr>
        <w:t>S</w:t>
      </w:r>
      <w:r w:rsidRPr="0021199F">
        <w:rPr>
          <w:rFonts w:ascii="Abadi" w:hAnsi="Abadi"/>
          <w:sz w:val="21"/>
          <w:szCs w:val="21"/>
        </w:rPr>
        <w:t xml:space="preserve">alud que incluso ahora, en pleno </w:t>
      </w:r>
      <w:r>
        <w:rPr>
          <w:rFonts w:ascii="Abadi" w:hAnsi="Abadi"/>
          <w:sz w:val="21"/>
          <w:szCs w:val="21"/>
        </w:rPr>
        <w:t>2022</w:t>
      </w:r>
      <w:r w:rsidRPr="0021199F">
        <w:rPr>
          <w:rFonts w:ascii="Abadi" w:hAnsi="Abadi"/>
          <w:sz w:val="21"/>
          <w:szCs w:val="21"/>
        </w:rPr>
        <w:t>, sigue sin cumplir con las promesas de abasto en medicina y casos como el de los niños con cáncer que llevan años recibiendo del Gobierno</w:t>
      </w:r>
      <w:r>
        <w:rPr>
          <w:rFonts w:ascii="Abadi" w:hAnsi="Abadi"/>
          <w:sz w:val="21"/>
          <w:szCs w:val="21"/>
        </w:rPr>
        <w:t xml:space="preserve"> </w:t>
      </w:r>
      <w:proofErr w:type="spellStart"/>
      <w:r>
        <w:rPr>
          <w:rFonts w:ascii="Abadi" w:hAnsi="Abadi"/>
          <w:sz w:val="21"/>
          <w:szCs w:val="21"/>
        </w:rPr>
        <w:t>obradorista</w:t>
      </w:r>
      <w:proofErr w:type="spellEnd"/>
      <w:r>
        <w:rPr>
          <w:rFonts w:ascii="Abadi" w:hAnsi="Abadi"/>
          <w:sz w:val="21"/>
          <w:szCs w:val="21"/>
        </w:rPr>
        <w:t xml:space="preserve"> l</w:t>
      </w:r>
      <w:r w:rsidRPr="0021199F">
        <w:rPr>
          <w:rFonts w:ascii="Abadi" w:hAnsi="Abadi"/>
          <w:sz w:val="21"/>
          <w:szCs w:val="21"/>
        </w:rPr>
        <w:t>as burlas de ofrecerle solo una promesa y un pretexto tras otro</w:t>
      </w:r>
      <w:r>
        <w:rPr>
          <w:rFonts w:ascii="Abadi" w:hAnsi="Abadi"/>
          <w:sz w:val="21"/>
          <w:szCs w:val="21"/>
        </w:rPr>
        <w:t xml:space="preserve">, </w:t>
      </w:r>
      <w:r w:rsidRPr="0021199F">
        <w:rPr>
          <w:rFonts w:ascii="Abadi" w:hAnsi="Abadi"/>
          <w:sz w:val="21"/>
          <w:szCs w:val="21"/>
        </w:rPr>
        <w:t>son humana</w:t>
      </w:r>
      <w:r>
        <w:rPr>
          <w:rFonts w:ascii="Abadi" w:hAnsi="Abadi"/>
          <w:sz w:val="21"/>
          <w:szCs w:val="21"/>
        </w:rPr>
        <w:t xml:space="preserve">, </w:t>
      </w:r>
      <w:r w:rsidRPr="0021199F">
        <w:rPr>
          <w:rFonts w:ascii="Abadi" w:hAnsi="Abadi"/>
          <w:sz w:val="21"/>
          <w:szCs w:val="21"/>
        </w:rPr>
        <w:t>humana y políticamente imperdonable</w:t>
      </w:r>
      <w:r>
        <w:rPr>
          <w:rFonts w:ascii="Abadi" w:hAnsi="Abadi"/>
          <w:sz w:val="21"/>
          <w:szCs w:val="21"/>
        </w:rPr>
        <w:t>s</w:t>
      </w:r>
      <w:r w:rsidRPr="0021199F">
        <w:rPr>
          <w:rFonts w:ascii="Abadi" w:hAnsi="Abadi"/>
          <w:sz w:val="21"/>
          <w:szCs w:val="21"/>
        </w:rPr>
        <w:t>.</w:t>
      </w:r>
    </w:p>
    <w:p w14:paraId="43CA61B8" w14:textId="66ABC14A" w:rsidR="002B30C6" w:rsidRDefault="002B30C6" w:rsidP="002B30C6">
      <w:pPr>
        <w:pStyle w:val="NormalWeb"/>
        <w:jc w:val="both"/>
        <w:rPr>
          <w:rFonts w:ascii="Abadi" w:hAnsi="Abadi"/>
          <w:sz w:val="21"/>
          <w:szCs w:val="21"/>
        </w:rPr>
      </w:pPr>
      <w:r>
        <w:rPr>
          <w:rFonts w:ascii="Abadi" w:hAnsi="Abadi"/>
          <w:sz w:val="21"/>
          <w:szCs w:val="21"/>
        </w:rPr>
        <w:t>- I</w:t>
      </w:r>
      <w:r w:rsidRPr="0021199F">
        <w:rPr>
          <w:rFonts w:ascii="Abadi" w:hAnsi="Abadi"/>
          <w:sz w:val="21"/>
          <w:szCs w:val="21"/>
        </w:rPr>
        <w:t>gualmente escandalosa es la tradición del Gobiern</w:t>
      </w:r>
      <w:r>
        <w:rPr>
          <w:rFonts w:ascii="Abadi" w:hAnsi="Abadi"/>
          <w:sz w:val="21"/>
          <w:szCs w:val="21"/>
        </w:rPr>
        <w:t xml:space="preserve">o </w:t>
      </w:r>
      <w:proofErr w:type="spellStart"/>
      <w:r>
        <w:rPr>
          <w:rFonts w:ascii="Abadi" w:hAnsi="Abadi"/>
          <w:sz w:val="21"/>
          <w:szCs w:val="21"/>
        </w:rPr>
        <w:t>obradori</w:t>
      </w:r>
      <w:r w:rsidRPr="0021199F">
        <w:rPr>
          <w:rFonts w:ascii="Abadi" w:hAnsi="Abadi"/>
          <w:sz w:val="21"/>
          <w:szCs w:val="21"/>
        </w:rPr>
        <w:t>sta</w:t>
      </w:r>
      <w:proofErr w:type="spellEnd"/>
      <w:r w:rsidRPr="0021199F">
        <w:rPr>
          <w:rFonts w:ascii="Abadi" w:hAnsi="Abadi"/>
          <w:sz w:val="21"/>
          <w:szCs w:val="21"/>
        </w:rPr>
        <w:t xml:space="preserve"> a los principios de transparencia y de equidad en el ejercicio, los recursos públicos</w:t>
      </w:r>
      <w:r>
        <w:rPr>
          <w:rFonts w:ascii="Abadi" w:hAnsi="Abadi"/>
          <w:sz w:val="21"/>
          <w:szCs w:val="21"/>
        </w:rPr>
        <w:t xml:space="preserve">, </w:t>
      </w:r>
      <w:r w:rsidRPr="0021199F">
        <w:rPr>
          <w:rFonts w:ascii="Abadi" w:hAnsi="Abadi"/>
          <w:sz w:val="21"/>
          <w:szCs w:val="21"/>
        </w:rPr>
        <w:t>en las palabras el Plan Nacional de desarrollo plante</w:t>
      </w:r>
      <w:r>
        <w:rPr>
          <w:rFonts w:ascii="Abadi" w:hAnsi="Abadi"/>
          <w:sz w:val="21"/>
          <w:szCs w:val="21"/>
        </w:rPr>
        <w:t>aba</w:t>
      </w:r>
      <w:r w:rsidRPr="0021199F">
        <w:rPr>
          <w:rFonts w:ascii="Abadi" w:hAnsi="Abadi"/>
          <w:sz w:val="21"/>
          <w:szCs w:val="21"/>
        </w:rPr>
        <w:t xml:space="preserve"> restringir la adjudicación directa de contrato porque los considera sinónimo de corrupción. En la práctica, el </w:t>
      </w:r>
      <w:r>
        <w:rPr>
          <w:rFonts w:ascii="Abadi" w:hAnsi="Abadi"/>
          <w:sz w:val="21"/>
          <w:szCs w:val="21"/>
        </w:rPr>
        <w:t>80%</w:t>
      </w:r>
      <w:r w:rsidRPr="0021199F">
        <w:rPr>
          <w:rFonts w:ascii="Abadi" w:hAnsi="Abadi"/>
          <w:sz w:val="21"/>
          <w:szCs w:val="21"/>
        </w:rPr>
        <w:t xml:space="preserve"> de los contratos del </w:t>
      </w:r>
      <w:proofErr w:type="spellStart"/>
      <w:r>
        <w:rPr>
          <w:rFonts w:ascii="Abadi" w:hAnsi="Abadi"/>
          <w:sz w:val="21"/>
          <w:szCs w:val="21"/>
        </w:rPr>
        <w:t>obradoris</w:t>
      </w:r>
      <w:r w:rsidRPr="0021199F">
        <w:rPr>
          <w:rFonts w:ascii="Abadi" w:hAnsi="Abadi"/>
          <w:sz w:val="21"/>
          <w:szCs w:val="21"/>
        </w:rPr>
        <w:t>ta</w:t>
      </w:r>
      <w:proofErr w:type="spellEnd"/>
      <w:r w:rsidRPr="0021199F">
        <w:rPr>
          <w:rFonts w:ascii="Abadi" w:hAnsi="Abadi"/>
          <w:sz w:val="21"/>
          <w:szCs w:val="21"/>
        </w:rPr>
        <w:t xml:space="preserve"> se entrega directamente</w:t>
      </w:r>
      <w:r>
        <w:rPr>
          <w:rFonts w:ascii="Abadi" w:hAnsi="Abadi"/>
          <w:sz w:val="21"/>
          <w:szCs w:val="21"/>
        </w:rPr>
        <w:t>, a</w:t>
      </w:r>
      <w:r w:rsidRPr="0021199F">
        <w:rPr>
          <w:rFonts w:ascii="Abadi" w:hAnsi="Abadi"/>
          <w:sz w:val="21"/>
          <w:szCs w:val="21"/>
        </w:rPr>
        <w:t xml:space="preserve">sí nada más sin licitación y sinvergüenza. De acuerdo a los datos de </w:t>
      </w:r>
      <w:proofErr w:type="spellStart"/>
      <w:r w:rsidRPr="0021199F">
        <w:rPr>
          <w:rFonts w:ascii="Abadi" w:hAnsi="Abadi"/>
          <w:sz w:val="21"/>
          <w:szCs w:val="21"/>
        </w:rPr>
        <w:t>co</w:t>
      </w:r>
      <w:r w:rsidR="0025089C">
        <w:rPr>
          <w:rFonts w:ascii="Abadi" w:hAnsi="Abadi"/>
          <w:sz w:val="21"/>
          <w:szCs w:val="21"/>
        </w:rPr>
        <w:t>planet</w:t>
      </w:r>
      <w:proofErr w:type="spellEnd"/>
      <w:r>
        <w:rPr>
          <w:rFonts w:ascii="Abadi" w:hAnsi="Abadi"/>
          <w:sz w:val="21"/>
          <w:szCs w:val="21"/>
        </w:rPr>
        <w:t xml:space="preserve"> en 2021,</w:t>
      </w:r>
      <w:r w:rsidRPr="0021199F">
        <w:rPr>
          <w:rFonts w:ascii="Abadi" w:hAnsi="Abadi"/>
          <w:sz w:val="21"/>
          <w:szCs w:val="21"/>
        </w:rPr>
        <w:t xml:space="preserve"> la Administración Pública </w:t>
      </w:r>
      <w:r>
        <w:rPr>
          <w:rFonts w:ascii="Abadi" w:hAnsi="Abadi"/>
          <w:sz w:val="21"/>
          <w:szCs w:val="21"/>
        </w:rPr>
        <w:t>F</w:t>
      </w:r>
      <w:r w:rsidRPr="0021199F">
        <w:rPr>
          <w:rFonts w:ascii="Abadi" w:hAnsi="Abadi"/>
          <w:sz w:val="21"/>
          <w:szCs w:val="21"/>
        </w:rPr>
        <w:t xml:space="preserve">ederal entregó un total de </w:t>
      </w:r>
      <w:r>
        <w:rPr>
          <w:rFonts w:ascii="Abadi" w:hAnsi="Abadi"/>
          <w:sz w:val="21"/>
          <w:szCs w:val="21"/>
        </w:rPr>
        <w:t>157</w:t>
      </w:r>
      <w:r w:rsidRPr="0021199F">
        <w:rPr>
          <w:rFonts w:ascii="Abadi" w:hAnsi="Abadi"/>
          <w:sz w:val="21"/>
          <w:szCs w:val="21"/>
        </w:rPr>
        <w:t xml:space="preserve"> mil </w:t>
      </w:r>
      <w:r>
        <w:rPr>
          <w:rFonts w:ascii="Abadi" w:hAnsi="Abadi"/>
          <w:sz w:val="21"/>
          <w:szCs w:val="21"/>
        </w:rPr>
        <w:t>796</w:t>
      </w:r>
      <w:r w:rsidRPr="0021199F">
        <w:rPr>
          <w:rFonts w:ascii="Abadi" w:hAnsi="Abadi"/>
          <w:sz w:val="21"/>
          <w:szCs w:val="21"/>
        </w:rPr>
        <w:t xml:space="preserve"> contratos, de los cuales </w:t>
      </w:r>
      <w:r>
        <w:rPr>
          <w:rFonts w:ascii="Abadi" w:hAnsi="Abadi"/>
          <w:sz w:val="21"/>
          <w:szCs w:val="21"/>
        </w:rPr>
        <w:t xml:space="preserve">157 mil, de los cuales 126 mil 766 </w:t>
      </w:r>
      <w:r w:rsidRPr="0021199F">
        <w:rPr>
          <w:rFonts w:ascii="Abadi" w:hAnsi="Abadi"/>
          <w:sz w:val="21"/>
          <w:szCs w:val="21"/>
        </w:rPr>
        <w:t xml:space="preserve">fueron por adjudicación directa, es decir, </w:t>
      </w:r>
      <w:r>
        <w:rPr>
          <w:rFonts w:ascii="Abadi" w:hAnsi="Abadi"/>
          <w:sz w:val="21"/>
          <w:szCs w:val="21"/>
        </w:rPr>
        <w:t xml:space="preserve">126 mil 766 traiciones </w:t>
      </w:r>
      <w:r w:rsidRPr="0021199F">
        <w:rPr>
          <w:rFonts w:ascii="Abadi" w:hAnsi="Abadi"/>
          <w:sz w:val="21"/>
          <w:szCs w:val="21"/>
        </w:rPr>
        <w:t xml:space="preserve">al compromiso de acabar con las viejas prácticas y los viejos caminos de la corrupción que el nuevo régimen de López Obrador ha convertido en auténticas autopistas. Y luego nos llegó la pandemia. </w:t>
      </w:r>
    </w:p>
    <w:p w14:paraId="4613AB72" w14:textId="14679953" w:rsidR="002B30C6" w:rsidRDefault="002B500C" w:rsidP="002B30C6">
      <w:pPr>
        <w:pStyle w:val="NormalWeb"/>
        <w:jc w:val="both"/>
        <w:rPr>
          <w:rFonts w:ascii="Abadi" w:hAnsi="Abadi"/>
          <w:sz w:val="21"/>
          <w:szCs w:val="21"/>
        </w:rPr>
      </w:pPr>
      <w:r>
        <w:rPr>
          <w:rFonts w:ascii="Abadi" w:hAnsi="Abadi"/>
          <w:sz w:val="21"/>
          <w:szCs w:val="21"/>
        </w:rPr>
        <w:t xml:space="preserve">- </w:t>
      </w:r>
      <w:r w:rsidR="002B30C6" w:rsidRPr="0021199F">
        <w:rPr>
          <w:rFonts w:ascii="Abadi" w:hAnsi="Abadi"/>
          <w:sz w:val="21"/>
          <w:szCs w:val="21"/>
        </w:rPr>
        <w:t xml:space="preserve">El origen del </w:t>
      </w:r>
      <w:r w:rsidR="002B30C6">
        <w:rPr>
          <w:rFonts w:ascii="Abadi" w:hAnsi="Abadi"/>
          <w:sz w:val="21"/>
          <w:szCs w:val="21"/>
        </w:rPr>
        <w:t xml:space="preserve">COVID-19 </w:t>
      </w:r>
      <w:r w:rsidR="002B30C6" w:rsidRPr="0021199F">
        <w:rPr>
          <w:rFonts w:ascii="Abadi" w:hAnsi="Abadi"/>
          <w:sz w:val="21"/>
          <w:szCs w:val="21"/>
        </w:rPr>
        <w:t>rebasa la responsabilidad nacional. Sin embargo, lo que sí era responsabilidad directa y en primer plano del gobierno de México era en la gestión de las estrategias para prevenir y atender los contagios. Pero no hoy</w:t>
      </w:r>
      <w:r w:rsidR="002B30C6">
        <w:rPr>
          <w:rFonts w:ascii="Abadi" w:hAnsi="Abadi"/>
          <w:sz w:val="21"/>
          <w:szCs w:val="21"/>
        </w:rPr>
        <w:t xml:space="preserve">, </w:t>
      </w:r>
      <w:r w:rsidR="002B30C6" w:rsidRPr="0021199F">
        <w:rPr>
          <w:rFonts w:ascii="Abadi" w:hAnsi="Abadi"/>
          <w:sz w:val="21"/>
          <w:szCs w:val="21"/>
        </w:rPr>
        <w:t>México es el quinto país con más muertos por</w:t>
      </w:r>
      <w:r w:rsidR="002B30C6">
        <w:rPr>
          <w:rFonts w:ascii="Abadi" w:hAnsi="Abadi"/>
          <w:sz w:val="21"/>
          <w:szCs w:val="21"/>
        </w:rPr>
        <w:t xml:space="preserve"> COVID,</w:t>
      </w:r>
      <w:r w:rsidR="002B30C6" w:rsidRPr="0021199F">
        <w:rPr>
          <w:rFonts w:ascii="Abadi" w:hAnsi="Abadi"/>
          <w:sz w:val="21"/>
          <w:szCs w:val="21"/>
        </w:rPr>
        <w:t xml:space="preserve"> a nivel mundial e</w:t>
      </w:r>
      <w:r w:rsidR="002B30C6">
        <w:rPr>
          <w:rFonts w:ascii="Abadi" w:hAnsi="Abadi"/>
          <w:sz w:val="21"/>
          <w:szCs w:val="21"/>
        </w:rPr>
        <w:t>h,</w:t>
      </w:r>
      <w:r w:rsidR="002B30C6" w:rsidRPr="0021199F">
        <w:rPr>
          <w:rFonts w:ascii="Abadi" w:hAnsi="Abadi"/>
          <w:sz w:val="21"/>
          <w:szCs w:val="21"/>
        </w:rPr>
        <w:t xml:space="preserve"> y las estadísticas oficiales reconocen la muerte de más de </w:t>
      </w:r>
      <w:r w:rsidR="002B30C6">
        <w:rPr>
          <w:rFonts w:ascii="Abadi" w:hAnsi="Abadi"/>
          <w:sz w:val="21"/>
          <w:szCs w:val="21"/>
        </w:rPr>
        <w:t xml:space="preserve">338 </w:t>
      </w:r>
      <w:r w:rsidR="002B30C6" w:rsidRPr="0021199F">
        <w:rPr>
          <w:rFonts w:ascii="Abadi" w:hAnsi="Abadi"/>
          <w:sz w:val="21"/>
          <w:szCs w:val="21"/>
        </w:rPr>
        <w:t xml:space="preserve">mil mexicanos como consecuencia directa de la pandemia, es decir, uno de cada </w:t>
      </w:r>
      <w:r w:rsidR="002B30C6">
        <w:rPr>
          <w:rFonts w:ascii="Abadi" w:hAnsi="Abadi"/>
          <w:sz w:val="21"/>
          <w:szCs w:val="21"/>
        </w:rPr>
        <w:t>20</w:t>
      </w:r>
      <w:r w:rsidR="002B30C6" w:rsidRPr="0021199F">
        <w:rPr>
          <w:rFonts w:ascii="Abadi" w:hAnsi="Abadi"/>
          <w:sz w:val="21"/>
          <w:szCs w:val="21"/>
        </w:rPr>
        <w:t xml:space="preserve"> muertos por </w:t>
      </w:r>
      <w:r w:rsidR="002B30C6">
        <w:rPr>
          <w:rFonts w:ascii="Abadi" w:hAnsi="Abadi"/>
          <w:sz w:val="21"/>
          <w:szCs w:val="21"/>
        </w:rPr>
        <w:t>COVID-19</w:t>
      </w:r>
      <w:r w:rsidR="002B30C6" w:rsidRPr="0021199F">
        <w:rPr>
          <w:rFonts w:ascii="Abadi" w:hAnsi="Abadi"/>
          <w:sz w:val="21"/>
          <w:szCs w:val="21"/>
        </w:rPr>
        <w:t xml:space="preserve"> a nivel mundial</w:t>
      </w:r>
      <w:r w:rsidR="002B30C6">
        <w:rPr>
          <w:rFonts w:ascii="Abadi" w:hAnsi="Abadi"/>
          <w:sz w:val="21"/>
          <w:szCs w:val="21"/>
        </w:rPr>
        <w:t xml:space="preserve"> m</w:t>
      </w:r>
      <w:r w:rsidR="002B30C6" w:rsidRPr="0021199F">
        <w:rPr>
          <w:rFonts w:ascii="Abadi" w:hAnsi="Abadi"/>
          <w:sz w:val="21"/>
          <w:szCs w:val="21"/>
        </w:rPr>
        <w:t>urió aquí en México.</w:t>
      </w:r>
    </w:p>
    <w:p w14:paraId="7BA4FD3E"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Nuestra solidaridad absoluta con todas las familias que están de luto por e</w:t>
      </w:r>
      <w:r>
        <w:rPr>
          <w:rFonts w:ascii="Abadi" w:hAnsi="Abadi"/>
          <w:sz w:val="21"/>
          <w:szCs w:val="21"/>
        </w:rPr>
        <w:t>llo</w:t>
      </w:r>
      <w:r w:rsidRPr="0021199F">
        <w:rPr>
          <w:rFonts w:ascii="Abadi" w:hAnsi="Abadi"/>
          <w:sz w:val="21"/>
          <w:szCs w:val="21"/>
        </w:rPr>
        <w:t xml:space="preserve"> y esta tragedia sin precedentes en la historia nacional, avanzó mientras el gobierno federal politizada la pandemia, afirmando que la crisis le había caído como anillo al dedo. Incluso en algún momento el presidente llegó a afirmar que no mentir, no robar, no traicionar. Eso ayuda mucho para que no d</w:t>
      </w:r>
      <w:r>
        <w:rPr>
          <w:rFonts w:ascii="Abadi" w:hAnsi="Abadi"/>
          <w:sz w:val="21"/>
          <w:szCs w:val="21"/>
        </w:rPr>
        <w:t>é e</w:t>
      </w:r>
      <w:r w:rsidRPr="0021199F">
        <w:rPr>
          <w:rFonts w:ascii="Abadi" w:hAnsi="Abadi"/>
          <w:sz w:val="21"/>
          <w:szCs w:val="21"/>
        </w:rPr>
        <w:t>l coronavirus y luego se enfermó de</w:t>
      </w:r>
      <w:r>
        <w:rPr>
          <w:rFonts w:ascii="Abadi" w:hAnsi="Abadi"/>
          <w:sz w:val="21"/>
          <w:szCs w:val="21"/>
        </w:rPr>
        <w:t xml:space="preserve"> COVID</w:t>
      </w:r>
      <w:r w:rsidRPr="0021199F">
        <w:rPr>
          <w:rFonts w:ascii="Abadi" w:hAnsi="Abadi"/>
          <w:sz w:val="21"/>
          <w:szCs w:val="21"/>
        </w:rPr>
        <w:t xml:space="preserve"> por lo menos dos veces. </w:t>
      </w:r>
    </w:p>
    <w:p w14:paraId="039422A5"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La otra gran tragedia humanitaria de ese gobierno federal es la económica. En </w:t>
      </w:r>
      <w:r>
        <w:rPr>
          <w:rFonts w:ascii="Abadi" w:hAnsi="Abadi"/>
          <w:sz w:val="21"/>
          <w:szCs w:val="21"/>
        </w:rPr>
        <w:t>2020</w:t>
      </w:r>
      <w:r w:rsidRPr="0021199F">
        <w:rPr>
          <w:rFonts w:ascii="Abadi" w:hAnsi="Abadi"/>
          <w:sz w:val="21"/>
          <w:szCs w:val="21"/>
        </w:rPr>
        <w:t xml:space="preserve">, fíjense, tuvimos un desplome de </w:t>
      </w:r>
      <w:r>
        <w:rPr>
          <w:rFonts w:ascii="Abadi" w:hAnsi="Abadi"/>
          <w:sz w:val="21"/>
          <w:szCs w:val="21"/>
        </w:rPr>
        <w:t>8.5%</w:t>
      </w:r>
      <w:r w:rsidRPr="0021199F">
        <w:rPr>
          <w:rFonts w:ascii="Abadi" w:hAnsi="Abadi"/>
          <w:sz w:val="21"/>
          <w:szCs w:val="21"/>
        </w:rPr>
        <w:t xml:space="preserve"> del Producto Interno Bruto, el peor en casi </w:t>
      </w:r>
      <w:r>
        <w:rPr>
          <w:rFonts w:ascii="Abadi" w:hAnsi="Abadi"/>
          <w:sz w:val="21"/>
          <w:szCs w:val="21"/>
        </w:rPr>
        <w:t>100</w:t>
      </w:r>
      <w:r w:rsidRPr="0021199F">
        <w:rPr>
          <w:rFonts w:ascii="Abadi" w:hAnsi="Abadi"/>
          <w:sz w:val="21"/>
          <w:szCs w:val="21"/>
        </w:rPr>
        <w:t xml:space="preserve"> años, y en </w:t>
      </w:r>
      <w:r>
        <w:rPr>
          <w:rFonts w:ascii="Abadi" w:hAnsi="Abadi"/>
          <w:sz w:val="21"/>
          <w:szCs w:val="21"/>
        </w:rPr>
        <w:t>2021</w:t>
      </w:r>
      <w:r w:rsidRPr="0021199F">
        <w:rPr>
          <w:rFonts w:ascii="Abadi" w:hAnsi="Abadi"/>
          <w:sz w:val="21"/>
          <w:szCs w:val="21"/>
        </w:rPr>
        <w:t xml:space="preserve"> tuvimos un tímido rebate del </w:t>
      </w:r>
      <w:r>
        <w:rPr>
          <w:rFonts w:ascii="Abadi" w:hAnsi="Abadi"/>
          <w:sz w:val="21"/>
          <w:szCs w:val="21"/>
        </w:rPr>
        <w:t>5%</w:t>
      </w:r>
      <w:r w:rsidRPr="0021199F">
        <w:rPr>
          <w:rFonts w:ascii="Abadi" w:hAnsi="Abadi"/>
          <w:sz w:val="21"/>
          <w:szCs w:val="21"/>
        </w:rPr>
        <w:t xml:space="preserve">, que no recuperó ni de lejos lo que perdimos en el </w:t>
      </w:r>
      <w:r>
        <w:rPr>
          <w:rFonts w:ascii="Abadi" w:hAnsi="Abadi"/>
          <w:sz w:val="21"/>
          <w:szCs w:val="21"/>
        </w:rPr>
        <w:t>veinte</w:t>
      </w:r>
      <w:r w:rsidRPr="0021199F">
        <w:rPr>
          <w:rFonts w:ascii="Abadi" w:hAnsi="Abadi"/>
          <w:sz w:val="21"/>
          <w:szCs w:val="21"/>
        </w:rPr>
        <w:t>. Ahora, en el veintidós, estamos nuevamente en riesgo de una recesión técnica acompañada de niveles de inflación, los más altos de los últimos veinte años. Es decir, el gobierno de López Obrador ha redescubierto el Santo Grial de los malos resultados económicos de los años setenta</w:t>
      </w:r>
      <w:r>
        <w:rPr>
          <w:rFonts w:ascii="Abadi" w:hAnsi="Abadi"/>
          <w:sz w:val="21"/>
          <w:szCs w:val="21"/>
        </w:rPr>
        <w:t>.</w:t>
      </w:r>
    </w:p>
    <w:p w14:paraId="6501D5CD" w14:textId="77777777" w:rsidR="002B30C6" w:rsidRDefault="002B30C6" w:rsidP="002B30C6">
      <w:pPr>
        <w:pStyle w:val="NormalWeb"/>
        <w:jc w:val="both"/>
        <w:rPr>
          <w:rFonts w:ascii="Abadi" w:hAnsi="Abadi"/>
          <w:sz w:val="21"/>
          <w:szCs w:val="21"/>
        </w:rPr>
      </w:pPr>
      <w:r>
        <w:rPr>
          <w:rFonts w:ascii="Abadi" w:hAnsi="Abadi"/>
          <w:sz w:val="21"/>
          <w:szCs w:val="21"/>
        </w:rPr>
        <w:t>- L</w:t>
      </w:r>
      <w:r w:rsidRPr="0021199F">
        <w:rPr>
          <w:rFonts w:ascii="Abadi" w:hAnsi="Abadi"/>
          <w:sz w:val="21"/>
          <w:szCs w:val="21"/>
        </w:rPr>
        <w:t>a estanflación donde la economía no crece, pero los precios</w:t>
      </w:r>
      <w:r>
        <w:rPr>
          <w:rFonts w:ascii="Abadi" w:hAnsi="Abadi"/>
          <w:sz w:val="21"/>
          <w:szCs w:val="21"/>
        </w:rPr>
        <w:t xml:space="preserve"> sí.</w:t>
      </w:r>
      <w:r w:rsidRPr="0021199F">
        <w:rPr>
          <w:rFonts w:ascii="Abadi" w:hAnsi="Abadi"/>
          <w:sz w:val="21"/>
          <w:szCs w:val="21"/>
        </w:rPr>
        <w:t xml:space="preserve"> </w:t>
      </w:r>
      <w:r>
        <w:rPr>
          <w:rFonts w:ascii="Abadi" w:hAnsi="Abadi"/>
          <w:sz w:val="21"/>
          <w:szCs w:val="21"/>
        </w:rPr>
        <w:t>B</w:t>
      </w:r>
      <w:r w:rsidRPr="0021199F">
        <w:rPr>
          <w:rFonts w:ascii="Abadi" w:hAnsi="Abadi"/>
          <w:sz w:val="21"/>
          <w:szCs w:val="21"/>
        </w:rPr>
        <w:t>ásicamente, tras el triunfo de López Obrador, la economía mexicana se congeló porque un lugar, en lugar de transmitir certeza y sentido el Gobierno mexicano sólo ha proyectado capricho, improvisaci</w:t>
      </w:r>
      <w:r>
        <w:rPr>
          <w:rFonts w:ascii="Abadi" w:hAnsi="Abadi"/>
          <w:sz w:val="21"/>
          <w:szCs w:val="21"/>
        </w:rPr>
        <w:t>ón</w:t>
      </w:r>
      <w:r w:rsidRPr="0021199F">
        <w:rPr>
          <w:rFonts w:ascii="Abadi" w:hAnsi="Abadi"/>
          <w:sz w:val="21"/>
          <w:szCs w:val="21"/>
        </w:rPr>
        <w:t xml:space="preserve"> y quienes pagan las consecuencias, en palabras del propio presidente. Primero los pobres. En lo que va de este Gobierno </w:t>
      </w:r>
      <w:r>
        <w:rPr>
          <w:rFonts w:ascii="Abadi" w:hAnsi="Abadi"/>
          <w:sz w:val="21"/>
          <w:szCs w:val="21"/>
        </w:rPr>
        <w:t>Fe</w:t>
      </w:r>
      <w:r w:rsidRPr="0021199F">
        <w:rPr>
          <w:rFonts w:ascii="Abadi" w:hAnsi="Abadi"/>
          <w:sz w:val="21"/>
          <w:szCs w:val="21"/>
        </w:rPr>
        <w:t xml:space="preserve">deral se han sumado hasta </w:t>
      </w:r>
      <w:r>
        <w:rPr>
          <w:rFonts w:ascii="Abadi" w:hAnsi="Abadi"/>
          <w:sz w:val="21"/>
          <w:szCs w:val="21"/>
        </w:rPr>
        <w:t>9</w:t>
      </w:r>
      <w:r w:rsidRPr="0021199F">
        <w:rPr>
          <w:rFonts w:ascii="Abadi" w:hAnsi="Abadi"/>
          <w:sz w:val="21"/>
          <w:szCs w:val="21"/>
        </w:rPr>
        <w:t xml:space="preserve"> millones de nuevos pobres. A quienes, además, se les perjudica directamente con la cancelación de las estancias infantiles y las escuelas de tiempo completo. A todos estos números es necesario añadirles la marabunta de escándalos, errores y pasos autoritarios que han caracterizado este gobierno. López Obrador y su régimen se equivocan tanto, se corrompen tanto y se encaprichan tanto que a veces resulta difícil seguir el ritmo de </w:t>
      </w:r>
      <w:r>
        <w:rPr>
          <w:rFonts w:ascii="Abadi" w:hAnsi="Abadi"/>
          <w:sz w:val="21"/>
          <w:szCs w:val="21"/>
        </w:rPr>
        <w:t>tanta cosa</w:t>
      </w:r>
      <w:r w:rsidRPr="0021199F">
        <w:rPr>
          <w:rFonts w:ascii="Abadi" w:hAnsi="Abadi"/>
          <w:sz w:val="21"/>
          <w:szCs w:val="21"/>
        </w:rPr>
        <w:t xml:space="preserve"> y de tanto escándalo. No sólo son tan corruptos como </w:t>
      </w:r>
      <w:r>
        <w:rPr>
          <w:rFonts w:ascii="Abadi" w:hAnsi="Abadi"/>
          <w:sz w:val="21"/>
          <w:szCs w:val="21"/>
        </w:rPr>
        <w:t>ese viejo</w:t>
      </w:r>
      <w:r w:rsidRPr="0021199F">
        <w:rPr>
          <w:rFonts w:ascii="Abadi" w:hAnsi="Abadi"/>
          <w:sz w:val="21"/>
          <w:szCs w:val="21"/>
        </w:rPr>
        <w:t xml:space="preserve"> régimen, también se han vuelto místicos del cinismo. Ahí les dan un par de ejemplos</w:t>
      </w:r>
      <w:r>
        <w:rPr>
          <w:rFonts w:ascii="Abadi" w:hAnsi="Abadi"/>
          <w:sz w:val="21"/>
          <w:szCs w:val="21"/>
        </w:rPr>
        <w:t>: 15</w:t>
      </w:r>
      <w:r w:rsidRPr="0021199F">
        <w:rPr>
          <w:rFonts w:ascii="Abadi" w:hAnsi="Abadi"/>
          <w:sz w:val="21"/>
          <w:szCs w:val="21"/>
        </w:rPr>
        <w:t xml:space="preserve"> de febrero</w:t>
      </w:r>
      <w:r>
        <w:rPr>
          <w:rFonts w:ascii="Abadi" w:hAnsi="Abadi"/>
          <w:sz w:val="21"/>
          <w:szCs w:val="21"/>
        </w:rPr>
        <w:t>, l</w:t>
      </w:r>
      <w:r w:rsidRPr="0021199F">
        <w:rPr>
          <w:rFonts w:ascii="Abadi" w:hAnsi="Abadi"/>
          <w:sz w:val="21"/>
          <w:szCs w:val="21"/>
        </w:rPr>
        <w:t>os senadores de Morena llegaron al extremo de calificar al presidente como quien encarna la nación, a la patria y al pueblo, Bueno, y</w:t>
      </w:r>
      <w:r>
        <w:rPr>
          <w:rFonts w:ascii="Abadi" w:hAnsi="Abadi"/>
          <w:sz w:val="21"/>
          <w:szCs w:val="21"/>
        </w:rPr>
        <w:t xml:space="preserve"> </w:t>
      </w:r>
      <w:r w:rsidRPr="0021199F">
        <w:rPr>
          <w:rFonts w:ascii="Abadi" w:hAnsi="Abadi"/>
          <w:sz w:val="21"/>
          <w:szCs w:val="21"/>
        </w:rPr>
        <w:t xml:space="preserve">a los opositores como traidores a la patria. Y en abril, tras el fracaso del capricho </w:t>
      </w:r>
      <w:proofErr w:type="spellStart"/>
      <w:r w:rsidRPr="0021199F">
        <w:rPr>
          <w:rFonts w:ascii="Abadi" w:hAnsi="Abadi"/>
          <w:sz w:val="21"/>
          <w:szCs w:val="21"/>
        </w:rPr>
        <w:t>obradorista</w:t>
      </w:r>
      <w:proofErr w:type="spellEnd"/>
      <w:r w:rsidRPr="0021199F">
        <w:rPr>
          <w:rFonts w:ascii="Abadi" w:hAnsi="Abadi"/>
          <w:sz w:val="21"/>
          <w:szCs w:val="21"/>
        </w:rPr>
        <w:t xml:space="preserve"> para la revocación de mandato y de su reforma para destruir el mercado eléctrico, los oficialistas se han lanzado a una campaña de odio sin precedentes en la política moderna de nuestro país</w:t>
      </w:r>
      <w:r>
        <w:rPr>
          <w:rFonts w:ascii="Abadi" w:hAnsi="Abadi"/>
          <w:sz w:val="21"/>
          <w:szCs w:val="21"/>
        </w:rPr>
        <w:t xml:space="preserve"> n</w:t>
      </w:r>
      <w:r w:rsidRPr="0021199F">
        <w:rPr>
          <w:rFonts w:ascii="Abadi" w:hAnsi="Abadi"/>
          <w:sz w:val="21"/>
          <w:szCs w:val="21"/>
        </w:rPr>
        <w:t>o se había visto esta campaña de odio, de polarización</w:t>
      </w:r>
      <w:r>
        <w:rPr>
          <w:rFonts w:ascii="Abadi" w:hAnsi="Abadi"/>
          <w:sz w:val="21"/>
          <w:szCs w:val="21"/>
        </w:rPr>
        <w:t>. I</w:t>
      </w:r>
      <w:r w:rsidRPr="0021199F">
        <w:rPr>
          <w:rFonts w:ascii="Abadi" w:hAnsi="Abadi"/>
          <w:sz w:val="21"/>
          <w:szCs w:val="21"/>
        </w:rPr>
        <w:t>nsistiendo además en que cada mexicano no nos sometemos al tirano del palacio</w:t>
      </w:r>
      <w:r>
        <w:rPr>
          <w:rFonts w:ascii="Abadi" w:hAnsi="Abadi"/>
          <w:sz w:val="21"/>
          <w:szCs w:val="21"/>
        </w:rPr>
        <w:t>,</w:t>
      </w:r>
      <w:r w:rsidRPr="0021199F">
        <w:rPr>
          <w:rFonts w:ascii="Abadi" w:hAnsi="Abadi"/>
          <w:sz w:val="21"/>
          <w:szCs w:val="21"/>
        </w:rPr>
        <w:t xml:space="preserve"> </w:t>
      </w:r>
      <w:r>
        <w:rPr>
          <w:rFonts w:ascii="Abadi" w:hAnsi="Abadi"/>
          <w:sz w:val="21"/>
          <w:szCs w:val="21"/>
        </w:rPr>
        <w:t>s</w:t>
      </w:r>
      <w:r w:rsidRPr="0021199F">
        <w:rPr>
          <w:rFonts w:ascii="Abadi" w:hAnsi="Abadi"/>
          <w:sz w:val="21"/>
          <w:szCs w:val="21"/>
        </w:rPr>
        <w:t xml:space="preserve">on traidores. No se confundan, no, </w:t>
      </w:r>
      <w:r>
        <w:rPr>
          <w:rFonts w:ascii="Abadi" w:hAnsi="Abadi"/>
          <w:sz w:val="21"/>
          <w:szCs w:val="21"/>
        </w:rPr>
        <w:t>n</w:t>
      </w:r>
      <w:r w:rsidRPr="0021199F">
        <w:rPr>
          <w:rFonts w:ascii="Abadi" w:hAnsi="Abadi"/>
          <w:sz w:val="21"/>
          <w:szCs w:val="21"/>
        </w:rPr>
        <w:t>uestra lealtad no es con López. Nuestra lealtad está en México, es a Guanajuato y a cada hombre y a cada mujer que representamos en nuestros distritos. Nada más</w:t>
      </w:r>
      <w:r>
        <w:rPr>
          <w:rFonts w:ascii="Abadi" w:hAnsi="Abadi"/>
          <w:sz w:val="21"/>
          <w:szCs w:val="21"/>
        </w:rPr>
        <w:t xml:space="preserve"> y</w:t>
      </w:r>
      <w:r w:rsidRPr="0021199F">
        <w:rPr>
          <w:rFonts w:ascii="Abadi" w:hAnsi="Abadi"/>
          <w:sz w:val="21"/>
          <w:szCs w:val="21"/>
        </w:rPr>
        <w:t xml:space="preserve"> nada menos. Y no, señor presidente, usted no es ningún apósto</w:t>
      </w:r>
      <w:r>
        <w:rPr>
          <w:rFonts w:ascii="Abadi" w:hAnsi="Abadi"/>
          <w:sz w:val="21"/>
          <w:szCs w:val="21"/>
        </w:rPr>
        <w:t>l, t</w:t>
      </w:r>
      <w:r w:rsidRPr="0021199F">
        <w:rPr>
          <w:rFonts w:ascii="Abadi" w:hAnsi="Abadi"/>
          <w:sz w:val="21"/>
          <w:szCs w:val="21"/>
        </w:rPr>
        <w:t>ampoco encarna el país, no se enfrenta a los traidores en la oposición.</w:t>
      </w:r>
    </w:p>
    <w:p w14:paraId="12740CB7" w14:textId="77777777" w:rsidR="002B30C6" w:rsidRDefault="002B30C6" w:rsidP="002B30C6">
      <w:pPr>
        <w:pStyle w:val="NormalWeb"/>
        <w:jc w:val="both"/>
        <w:rPr>
          <w:rFonts w:ascii="Abadi" w:hAnsi="Abadi"/>
          <w:sz w:val="21"/>
          <w:szCs w:val="21"/>
        </w:rPr>
      </w:pPr>
      <w:r>
        <w:rPr>
          <w:rFonts w:ascii="Abadi" w:hAnsi="Abadi"/>
          <w:sz w:val="21"/>
          <w:szCs w:val="21"/>
        </w:rPr>
        <w:t>-</w:t>
      </w:r>
      <w:r w:rsidRPr="0021199F">
        <w:rPr>
          <w:rFonts w:ascii="Abadi" w:hAnsi="Abadi"/>
          <w:sz w:val="21"/>
          <w:szCs w:val="21"/>
        </w:rPr>
        <w:t xml:space="preserve"> Usted es un funcionario público, un político que llegó a la presidencia prometiendo mucho, pero ya en la silla, haciendo muy poco. </w:t>
      </w:r>
      <w:r>
        <w:rPr>
          <w:rFonts w:ascii="Abadi" w:hAnsi="Abadi"/>
          <w:sz w:val="21"/>
          <w:szCs w:val="21"/>
        </w:rPr>
        <w:t>Y sí</w:t>
      </w:r>
      <w:r w:rsidRPr="0021199F">
        <w:rPr>
          <w:rFonts w:ascii="Abadi" w:hAnsi="Abadi"/>
          <w:sz w:val="21"/>
          <w:szCs w:val="21"/>
        </w:rPr>
        <w:t xml:space="preserve"> le preocupan los traidores, no los busque entre los periodistas y entre los opositores, busque los adentro de su propio gobierno. Ahí es donde están traicionando la confianza de todas y todos los mexicanos</w:t>
      </w:r>
      <w:r>
        <w:rPr>
          <w:rFonts w:ascii="Abadi" w:hAnsi="Abadi"/>
          <w:sz w:val="21"/>
          <w:szCs w:val="21"/>
        </w:rPr>
        <w:t xml:space="preserve">, ahí </w:t>
      </w:r>
      <w:r w:rsidRPr="0021199F">
        <w:rPr>
          <w:rFonts w:ascii="Abadi" w:hAnsi="Abadi"/>
          <w:sz w:val="21"/>
          <w:szCs w:val="21"/>
        </w:rPr>
        <w:t>están</w:t>
      </w:r>
      <w:r>
        <w:rPr>
          <w:rFonts w:ascii="Abadi" w:hAnsi="Abadi"/>
          <w:sz w:val="21"/>
          <w:szCs w:val="21"/>
        </w:rPr>
        <w:t xml:space="preserve"> </w:t>
      </w:r>
      <w:r w:rsidRPr="0021199F">
        <w:rPr>
          <w:rFonts w:ascii="Abadi" w:hAnsi="Abadi"/>
          <w:sz w:val="21"/>
          <w:szCs w:val="21"/>
        </w:rPr>
        <w:t xml:space="preserve">traicionando la ley y traicionando </w:t>
      </w:r>
      <w:r>
        <w:rPr>
          <w:rFonts w:ascii="Abadi" w:hAnsi="Abadi"/>
          <w:sz w:val="21"/>
          <w:szCs w:val="21"/>
        </w:rPr>
        <w:t>al</w:t>
      </w:r>
      <w:r w:rsidRPr="0021199F">
        <w:rPr>
          <w:rFonts w:ascii="Abadi" w:hAnsi="Abadi"/>
          <w:sz w:val="21"/>
          <w:szCs w:val="21"/>
        </w:rPr>
        <w:t xml:space="preserve"> futuro de México a cambio de caprichos, improvisaciones y fracasos. </w:t>
      </w:r>
    </w:p>
    <w:p w14:paraId="091889E6" w14:textId="585CF7CB" w:rsidR="002B30C6" w:rsidRDefault="002B500C" w:rsidP="002B30C6">
      <w:pPr>
        <w:pStyle w:val="NormalWeb"/>
        <w:jc w:val="both"/>
        <w:rPr>
          <w:rFonts w:ascii="Abadi" w:hAnsi="Abadi"/>
          <w:sz w:val="21"/>
          <w:szCs w:val="21"/>
        </w:rPr>
      </w:pPr>
      <w:r>
        <w:rPr>
          <w:rFonts w:ascii="Abadi" w:hAnsi="Abadi"/>
          <w:sz w:val="21"/>
          <w:szCs w:val="21"/>
        </w:rPr>
        <w:t xml:space="preserve">- </w:t>
      </w:r>
      <w:r w:rsidR="002B30C6" w:rsidRPr="0021199F">
        <w:rPr>
          <w:rFonts w:ascii="Abadi" w:hAnsi="Abadi"/>
          <w:sz w:val="21"/>
          <w:szCs w:val="21"/>
        </w:rPr>
        <w:t>Gracias, pre</w:t>
      </w:r>
      <w:r w:rsidR="002B30C6">
        <w:rPr>
          <w:rFonts w:ascii="Abadi" w:hAnsi="Abadi"/>
          <w:sz w:val="21"/>
          <w:szCs w:val="21"/>
        </w:rPr>
        <w:t>sidenta</w:t>
      </w:r>
      <w:r w:rsidR="002B30C6" w:rsidRPr="0021199F">
        <w:rPr>
          <w:rFonts w:ascii="Abadi" w:hAnsi="Abadi"/>
          <w:sz w:val="21"/>
          <w:szCs w:val="21"/>
        </w:rPr>
        <w:t xml:space="preserve">. </w:t>
      </w:r>
    </w:p>
    <w:p w14:paraId="0D6EDFA0" w14:textId="36AB1B8A" w:rsidR="002B30C6" w:rsidRDefault="002B500C" w:rsidP="002B500C">
      <w:pPr>
        <w:pStyle w:val="NormalWeb"/>
        <w:ind w:firstLine="708"/>
        <w:jc w:val="both"/>
        <w:rPr>
          <w:rFonts w:ascii="Abadi" w:hAnsi="Abadi"/>
          <w:sz w:val="21"/>
          <w:szCs w:val="21"/>
        </w:rPr>
      </w:pPr>
      <w:r>
        <w:rPr>
          <w:rFonts w:ascii="Abadi" w:hAnsi="Abadi"/>
          <w:b/>
          <w:bCs/>
          <w:sz w:val="21"/>
          <w:szCs w:val="21"/>
        </w:rPr>
        <w:t xml:space="preserve">- </w:t>
      </w:r>
      <w:r w:rsidR="002B30C6" w:rsidRPr="008E75BA">
        <w:rPr>
          <w:rFonts w:ascii="Abadi" w:hAnsi="Abadi"/>
          <w:b/>
          <w:bCs/>
          <w:sz w:val="21"/>
          <w:szCs w:val="21"/>
        </w:rPr>
        <w:t xml:space="preserve">La </w:t>
      </w:r>
      <w:proofErr w:type="gramStart"/>
      <w:r w:rsidR="002B30C6" w:rsidRPr="008E75BA">
        <w:rPr>
          <w:rFonts w:ascii="Abadi" w:hAnsi="Abadi"/>
          <w:b/>
          <w:bCs/>
          <w:sz w:val="21"/>
          <w:szCs w:val="21"/>
        </w:rPr>
        <w:t>Presidencia.-</w:t>
      </w:r>
      <w:proofErr w:type="gramEnd"/>
      <w:r w:rsidR="002B30C6">
        <w:rPr>
          <w:rFonts w:ascii="Abadi" w:hAnsi="Abadi"/>
          <w:sz w:val="21"/>
          <w:szCs w:val="21"/>
        </w:rPr>
        <w:t xml:space="preserve"> </w:t>
      </w:r>
      <w:r w:rsidR="002B30C6" w:rsidRPr="0021199F">
        <w:rPr>
          <w:rFonts w:ascii="Abadi" w:hAnsi="Abadi"/>
          <w:sz w:val="21"/>
          <w:szCs w:val="21"/>
        </w:rPr>
        <w:t>E</w:t>
      </w:r>
      <w:r w:rsidR="002B30C6">
        <w:rPr>
          <w:rFonts w:ascii="Abadi" w:hAnsi="Abadi"/>
          <w:sz w:val="21"/>
          <w:szCs w:val="21"/>
        </w:rPr>
        <w:t>s</w:t>
      </w:r>
      <w:r w:rsidR="002B30C6" w:rsidRPr="0021199F">
        <w:rPr>
          <w:rFonts w:ascii="Abadi" w:hAnsi="Abadi"/>
          <w:sz w:val="21"/>
          <w:szCs w:val="21"/>
        </w:rPr>
        <w:t xml:space="preserve"> momento del uso de la voz de la diputada Susana Bermúdez</w:t>
      </w:r>
      <w:r w:rsidR="002B30C6">
        <w:rPr>
          <w:rFonts w:ascii="Abadi" w:hAnsi="Abadi"/>
          <w:sz w:val="21"/>
          <w:szCs w:val="21"/>
        </w:rPr>
        <w:t xml:space="preserve">. </w:t>
      </w:r>
    </w:p>
    <w:p w14:paraId="292D8F81" w14:textId="2062E446" w:rsidR="002B30C6" w:rsidRDefault="002B500C" w:rsidP="00AB40EB">
      <w:pPr>
        <w:pStyle w:val="NormalWeb"/>
        <w:ind w:firstLine="708"/>
        <w:jc w:val="both"/>
        <w:rPr>
          <w:rFonts w:ascii="Abadi" w:hAnsi="Abadi"/>
          <w:sz w:val="21"/>
          <w:szCs w:val="21"/>
        </w:rPr>
      </w:pPr>
      <w:r>
        <w:rPr>
          <w:rFonts w:ascii="Abadi" w:hAnsi="Abadi"/>
          <w:sz w:val="21"/>
          <w:szCs w:val="21"/>
        </w:rPr>
        <w:t xml:space="preserve">- </w:t>
      </w:r>
      <w:r w:rsidR="002B30C6" w:rsidRPr="0021199F">
        <w:rPr>
          <w:rFonts w:ascii="Abadi" w:hAnsi="Abadi"/>
          <w:sz w:val="21"/>
          <w:szCs w:val="21"/>
        </w:rPr>
        <w:t xml:space="preserve">Adelante, diputada, tiene la voz hasta por </w:t>
      </w:r>
      <w:r w:rsidR="002B30C6">
        <w:rPr>
          <w:rFonts w:ascii="Abadi" w:hAnsi="Abadi"/>
          <w:sz w:val="21"/>
          <w:szCs w:val="21"/>
        </w:rPr>
        <w:t xml:space="preserve">10 </w:t>
      </w:r>
      <w:r w:rsidR="002B30C6" w:rsidRPr="0021199F">
        <w:rPr>
          <w:rFonts w:ascii="Abadi" w:hAnsi="Abadi"/>
          <w:sz w:val="21"/>
          <w:szCs w:val="21"/>
        </w:rPr>
        <w:t xml:space="preserve">minutos. </w:t>
      </w:r>
    </w:p>
    <w:p w14:paraId="0CDC14A5" w14:textId="77777777" w:rsidR="00AB40EB" w:rsidRDefault="00AB40EB" w:rsidP="00AB40EB">
      <w:pPr>
        <w:pStyle w:val="NormalWeb"/>
        <w:ind w:firstLine="708"/>
        <w:jc w:val="both"/>
        <w:rPr>
          <w:rFonts w:ascii="Abadi" w:hAnsi="Abadi"/>
          <w:sz w:val="21"/>
          <w:szCs w:val="21"/>
        </w:rPr>
      </w:pPr>
    </w:p>
    <w:p w14:paraId="1F72699F" w14:textId="77777777" w:rsidR="002B30C6" w:rsidRDefault="002B30C6" w:rsidP="002B30C6">
      <w:pPr>
        <w:pStyle w:val="NormalWeb"/>
        <w:jc w:val="both"/>
        <w:rPr>
          <w:rFonts w:ascii="Abadi" w:hAnsi="Abadi"/>
          <w:b/>
          <w:bCs/>
          <w:sz w:val="21"/>
          <w:szCs w:val="21"/>
        </w:rPr>
      </w:pPr>
      <w:r w:rsidRPr="00A5574F">
        <w:rPr>
          <w:rFonts w:ascii="Abadi" w:hAnsi="Abadi"/>
          <w:b/>
          <w:sz w:val="21"/>
          <w:szCs w:val="21"/>
        </w:rPr>
        <w:t xml:space="preserve">(Sube a tribuna </w:t>
      </w:r>
      <w:r w:rsidRPr="00A5574F">
        <w:rPr>
          <w:rFonts w:ascii="Abadi" w:hAnsi="Abadi"/>
          <w:b/>
          <w:bCs/>
          <w:sz w:val="21"/>
          <w:szCs w:val="21"/>
        </w:rPr>
        <w:t>Diputada Susana Bermúdez Cano</w:t>
      </w:r>
      <w:r>
        <w:rPr>
          <w:rFonts w:ascii="Abadi" w:hAnsi="Abadi"/>
          <w:b/>
          <w:bCs/>
          <w:sz w:val="21"/>
          <w:szCs w:val="21"/>
        </w:rPr>
        <w:t>,</w:t>
      </w:r>
      <w:r w:rsidRPr="00A5574F">
        <w:rPr>
          <w:rFonts w:ascii="Abadi" w:hAnsi="Abadi"/>
          <w:b/>
          <w:sz w:val="21"/>
          <w:szCs w:val="21"/>
        </w:rPr>
        <w:t xml:space="preserve"> para hablar de </w:t>
      </w:r>
      <w:r w:rsidRPr="00A5574F">
        <w:rPr>
          <w:rFonts w:ascii="Abadi" w:hAnsi="Abadi"/>
          <w:b/>
          <w:bCs/>
          <w:sz w:val="21"/>
          <w:szCs w:val="21"/>
        </w:rPr>
        <w:t xml:space="preserve">“Bienestar”) </w:t>
      </w:r>
    </w:p>
    <w:p w14:paraId="034ABCA7" w14:textId="77777777" w:rsidR="002B30C6" w:rsidRDefault="002B30C6" w:rsidP="002B30C6">
      <w:pPr>
        <w:pStyle w:val="NormalWeb"/>
        <w:jc w:val="both"/>
        <w:rPr>
          <w:rFonts w:ascii="Abadi" w:hAnsi="Abadi"/>
          <w:b/>
          <w:bCs/>
          <w:sz w:val="21"/>
          <w:szCs w:val="21"/>
        </w:rPr>
      </w:pPr>
      <w:r>
        <w:rPr>
          <w:noProof/>
        </w:rPr>
        <w:drawing>
          <wp:inline distT="0" distB="0" distL="0" distR="0" wp14:anchorId="7263AF5B" wp14:editId="754B228D">
            <wp:extent cx="1745771" cy="895907"/>
            <wp:effectExtent l="57150" t="95250" r="64135" b="647700"/>
            <wp:docPr id="10" name="Imagen 1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10;&#10;Descripción generada automáticamente"/>
                    <pic:cNvPicPr/>
                  </pic:nvPicPr>
                  <pic:blipFill rotWithShape="1">
                    <a:blip r:embed="rId72"/>
                    <a:srcRect t="-1" b="8723"/>
                    <a:stretch/>
                  </pic:blipFill>
                  <pic:spPr bwMode="auto">
                    <a:xfrm>
                      <a:off x="0" y="0"/>
                      <a:ext cx="1764930" cy="905739"/>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extLst>
                      <a:ext uri="{53640926-AAD7-44D8-BBD7-CCE9431645EC}">
                        <a14:shadowObscured xmlns:a14="http://schemas.microsoft.com/office/drawing/2010/main"/>
                      </a:ext>
                    </a:extLst>
                  </pic:spPr>
                </pic:pic>
              </a:graphicData>
            </a:graphic>
          </wp:inline>
        </w:drawing>
      </w:r>
    </w:p>
    <w:p w14:paraId="6533F582"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Pues nos toca decir más verdades</w:t>
      </w:r>
      <w:r>
        <w:rPr>
          <w:rFonts w:ascii="Abadi" w:hAnsi="Abadi"/>
          <w:sz w:val="21"/>
          <w:szCs w:val="21"/>
        </w:rPr>
        <w:t>, s</w:t>
      </w:r>
      <w:r w:rsidRPr="0021199F">
        <w:rPr>
          <w:rFonts w:ascii="Abadi" w:hAnsi="Abadi"/>
          <w:sz w:val="21"/>
          <w:szCs w:val="21"/>
        </w:rPr>
        <w:t>alud</w:t>
      </w:r>
      <w:r>
        <w:rPr>
          <w:rFonts w:ascii="Abadi" w:hAnsi="Abadi"/>
          <w:sz w:val="21"/>
          <w:szCs w:val="21"/>
        </w:rPr>
        <w:t>o</w:t>
      </w:r>
      <w:r w:rsidRPr="0021199F">
        <w:rPr>
          <w:rFonts w:ascii="Abadi" w:hAnsi="Abadi"/>
          <w:sz w:val="21"/>
          <w:szCs w:val="21"/>
        </w:rPr>
        <w:t xml:space="preserve"> a todas y todos los que nos siguen por los medios electrónicos</w:t>
      </w:r>
      <w:r>
        <w:rPr>
          <w:rFonts w:ascii="Abadi" w:hAnsi="Abadi"/>
          <w:sz w:val="21"/>
          <w:szCs w:val="21"/>
        </w:rPr>
        <w:t>, s</w:t>
      </w:r>
      <w:r w:rsidRPr="0021199F">
        <w:rPr>
          <w:rFonts w:ascii="Abadi" w:hAnsi="Abadi"/>
          <w:sz w:val="21"/>
          <w:szCs w:val="21"/>
        </w:rPr>
        <w:t xml:space="preserve">aludo a los representantes de los medios de comunicación y a ustedes, público que nos acompaña. Diputadas y diputados, con el permiso de la </w:t>
      </w:r>
      <w:r>
        <w:rPr>
          <w:rFonts w:ascii="Abadi" w:hAnsi="Abadi"/>
          <w:sz w:val="21"/>
          <w:szCs w:val="21"/>
        </w:rPr>
        <w:t>P</w:t>
      </w:r>
      <w:r w:rsidRPr="0021199F">
        <w:rPr>
          <w:rFonts w:ascii="Abadi" w:hAnsi="Abadi"/>
          <w:sz w:val="21"/>
          <w:szCs w:val="21"/>
        </w:rPr>
        <w:t xml:space="preserve">residenta y de la </w:t>
      </w:r>
      <w:r>
        <w:rPr>
          <w:rFonts w:ascii="Abadi" w:hAnsi="Abadi"/>
          <w:sz w:val="21"/>
          <w:szCs w:val="21"/>
        </w:rPr>
        <w:t>M</w:t>
      </w:r>
      <w:r w:rsidRPr="0021199F">
        <w:rPr>
          <w:rFonts w:ascii="Abadi" w:hAnsi="Abadi"/>
          <w:sz w:val="21"/>
          <w:szCs w:val="21"/>
        </w:rPr>
        <w:t xml:space="preserve">esa </w:t>
      </w:r>
      <w:r>
        <w:rPr>
          <w:rFonts w:ascii="Abadi" w:hAnsi="Abadi"/>
          <w:sz w:val="21"/>
          <w:szCs w:val="21"/>
        </w:rPr>
        <w:t>D</w:t>
      </w:r>
      <w:r w:rsidRPr="0021199F">
        <w:rPr>
          <w:rFonts w:ascii="Abadi" w:hAnsi="Abadi"/>
          <w:sz w:val="21"/>
          <w:szCs w:val="21"/>
        </w:rPr>
        <w:t xml:space="preserve">irectiva. Actualmente vivimos en un país donde la tasa de desempleo está </w:t>
      </w:r>
      <w:r>
        <w:rPr>
          <w:rFonts w:ascii="Abadi" w:hAnsi="Abadi"/>
          <w:sz w:val="21"/>
          <w:szCs w:val="21"/>
        </w:rPr>
        <w:t xml:space="preserve">al alza, </w:t>
      </w:r>
      <w:r w:rsidRPr="0021199F">
        <w:rPr>
          <w:rFonts w:ascii="Abadi" w:hAnsi="Abadi"/>
          <w:sz w:val="21"/>
          <w:szCs w:val="21"/>
        </w:rPr>
        <w:t xml:space="preserve">tan sólo en inicio de este </w:t>
      </w:r>
      <w:r>
        <w:rPr>
          <w:rFonts w:ascii="Abadi" w:hAnsi="Abadi"/>
          <w:sz w:val="21"/>
          <w:szCs w:val="21"/>
        </w:rPr>
        <w:t>2022, s</w:t>
      </w:r>
      <w:r w:rsidRPr="0021199F">
        <w:rPr>
          <w:rFonts w:ascii="Abadi" w:hAnsi="Abadi"/>
          <w:sz w:val="21"/>
          <w:szCs w:val="21"/>
        </w:rPr>
        <w:t xml:space="preserve">egún el diario, </w:t>
      </w:r>
      <w:r>
        <w:rPr>
          <w:rFonts w:ascii="Abadi" w:hAnsi="Abadi"/>
          <w:sz w:val="21"/>
          <w:szCs w:val="21"/>
        </w:rPr>
        <w:t>«</w:t>
      </w:r>
      <w:r w:rsidRPr="0021199F">
        <w:rPr>
          <w:rFonts w:ascii="Abadi" w:hAnsi="Abadi"/>
          <w:sz w:val="21"/>
          <w:szCs w:val="21"/>
        </w:rPr>
        <w:t>El Economista de México</w:t>
      </w:r>
      <w:r>
        <w:rPr>
          <w:rFonts w:ascii="Abadi" w:hAnsi="Abadi"/>
          <w:sz w:val="21"/>
          <w:szCs w:val="21"/>
        </w:rPr>
        <w:t>»</w:t>
      </w:r>
      <w:r w:rsidRPr="0021199F">
        <w:rPr>
          <w:rFonts w:ascii="Abadi" w:hAnsi="Abadi"/>
          <w:sz w:val="21"/>
          <w:szCs w:val="21"/>
        </w:rPr>
        <w:t xml:space="preserve"> se ubicó en su peor inactividad laboral en </w:t>
      </w:r>
      <w:r>
        <w:rPr>
          <w:rFonts w:ascii="Abadi" w:hAnsi="Abadi"/>
          <w:sz w:val="21"/>
          <w:szCs w:val="21"/>
        </w:rPr>
        <w:t>4</w:t>
      </w:r>
      <w:r w:rsidRPr="0021199F">
        <w:rPr>
          <w:rFonts w:ascii="Abadi" w:hAnsi="Abadi"/>
          <w:sz w:val="21"/>
          <w:szCs w:val="21"/>
        </w:rPr>
        <w:t xml:space="preserve"> meses, lo que implica que aumentó el número de personas en situación de desempleo o en situación de inactividad laboral. En el primer mes del dos mil veintidós se registraron </w:t>
      </w:r>
      <w:r>
        <w:rPr>
          <w:rFonts w:ascii="Abadi" w:hAnsi="Abadi"/>
          <w:sz w:val="21"/>
          <w:szCs w:val="21"/>
        </w:rPr>
        <w:t xml:space="preserve">2.1 </w:t>
      </w:r>
      <w:r w:rsidRPr="0021199F">
        <w:rPr>
          <w:rFonts w:ascii="Abadi" w:hAnsi="Abadi"/>
          <w:sz w:val="21"/>
          <w:szCs w:val="21"/>
        </w:rPr>
        <w:t xml:space="preserve">millones de mexicanos y mexicanas en situación de desempleo, que están buscando activamente un empleo sin tener éxito, según cifras de la encuesta en hoy y </w:t>
      </w:r>
      <w:r>
        <w:rPr>
          <w:rFonts w:ascii="Abadi" w:hAnsi="Abadi"/>
          <w:sz w:val="21"/>
          <w:szCs w:val="21"/>
        </w:rPr>
        <w:t>del INEGI</w:t>
      </w:r>
      <w:r w:rsidRPr="0021199F">
        <w:rPr>
          <w:rFonts w:ascii="Abadi" w:hAnsi="Abadi"/>
          <w:sz w:val="21"/>
          <w:szCs w:val="21"/>
        </w:rPr>
        <w:t xml:space="preserve">, y en particular en el caso de los médicos desempleados, que México tiene más de </w:t>
      </w:r>
      <w:r>
        <w:rPr>
          <w:rFonts w:ascii="Abadi" w:hAnsi="Abadi"/>
          <w:sz w:val="21"/>
          <w:szCs w:val="21"/>
        </w:rPr>
        <w:t>50</w:t>
      </w:r>
      <w:r w:rsidRPr="0021199F">
        <w:rPr>
          <w:rFonts w:ascii="Abadi" w:hAnsi="Abadi"/>
          <w:sz w:val="21"/>
          <w:szCs w:val="21"/>
        </w:rPr>
        <w:t xml:space="preserve"> mil</w:t>
      </w:r>
      <w:r>
        <w:rPr>
          <w:rFonts w:ascii="Abadi" w:hAnsi="Abadi"/>
          <w:sz w:val="21"/>
          <w:szCs w:val="21"/>
        </w:rPr>
        <w:t>, o</w:t>
      </w:r>
      <w:r w:rsidRPr="0021199F">
        <w:rPr>
          <w:rFonts w:ascii="Abadi" w:hAnsi="Abadi"/>
          <w:sz w:val="21"/>
          <w:szCs w:val="21"/>
        </w:rPr>
        <w:t xml:space="preserve">tra ocurrencia peso </w:t>
      </w:r>
      <w:r>
        <w:rPr>
          <w:rFonts w:ascii="Abadi" w:hAnsi="Abadi"/>
          <w:sz w:val="21"/>
          <w:szCs w:val="21"/>
        </w:rPr>
        <w:t>a</w:t>
      </w:r>
      <w:r w:rsidRPr="0021199F">
        <w:rPr>
          <w:rFonts w:ascii="Abadi" w:hAnsi="Abadi"/>
          <w:sz w:val="21"/>
          <w:szCs w:val="21"/>
        </w:rPr>
        <w:t xml:space="preserve"> esto,</w:t>
      </w:r>
      <w:r>
        <w:rPr>
          <w:rFonts w:ascii="Abadi" w:hAnsi="Abadi"/>
          <w:sz w:val="21"/>
          <w:szCs w:val="21"/>
        </w:rPr>
        <w:t xml:space="preserve"> ¡</w:t>
      </w:r>
      <w:r w:rsidRPr="0021199F">
        <w:rPr>
          <w:rFonts w:ascii="Abadi" w:hAnsi="Abadi"/>
          <w:sz w:val="21"/>
          <w:szCs w:val="21"/>
        </w:rPr>
        <w:t xml:space="preserve">ya sabes </w:t>
      </w:r>
      <w:r>
        <w:rPr>
          <w:rFonts w:ascii="Abadi" w:hAnsi="Abadi"/>
          <w:sz w:val="21"/>
          <w:szCs w:val="21"/>
        </w:rPr>
        <w:t>quién!</w:t>
      </w:r>
      <w:r w:rsidRPr="0021199F">
        <w:rPr>
          <w:rFonts w:ascii="Abadi" w:hAnsi="Abadi"/>
          <w:sz w:val="21"/>
          <w:szCs w:val="21"/>
        </w:rPr>
        <w:t xml:space="preserve"> ha decretado la contratación de </w:t>
      </w:r>
      <w:r>
        <w:rPr>
          <w:rFonts w:ascii="Abadi" w:hAnsi="Abadi"/>
          <w:sz w:val="21"/>
          <w:szCs w:val="21"/>
        </w:rPr>
        <w:t>500</w:t>
      </w:r>
      <w:r w:rsidRPr="0021199F">
        <w:rPr>
          <w:rFonts w:ascii="Abadi" w:hAnsi="Abadi"/>
          <w:sz w:val="21"/>
          <w:szCs w:val="21"/>
        </w:rPr>
        <w:t xml:space="preserve"> médicos cubanos con el pretexto de que esta decisión la tomamos porque no tenemos los médicos que necesitamos en el país. </w:t>
      </w:r>
    </w:p>
    <w:p w14:paraId="155E67D4" w14:textId="77777777" w:rsidR="002B30C6" w:rsidRDefault="002B30C6" w:rsidP="002B30C6">
      <w:pPr>
        <w:pStyle w:val="NormalWeb"/>
        <w:jc w:val="both"/>
        <w:rPr>
          <w:rFonts w:ascii="Abadi" w:hAnsi="Abadi"/>
          <w:sz w:val="21"/>
          <w:szCs w:val="21"/>
        </w:rPr>
      </w:pPr>
      <w:r>
        <w:rPr>
          <w:rFonts w:ascii="Abadi" w:hAnsi="Abadi"/>
          <w:sz w:val="21"/>
          <w:szCs w:val="21"/>
        </w:rPr>
        <w:t>¡</w:t>
      </w:r>
      <w:r w:rsidRPr="0021199F">
        <w:rPr>
          <w:rFonts w:ascii="Abadi" w:hAnsi="Abadi"/>
          <w:sz w:val="21"/>
          <w:szCs w:val="21"/>
        </w:rPr>
        <w:t>Qué ironía</w:t>
      </w:r>
      <w:r>
        <w:rPr>
          <w:rFonts w:ascii="Abadi" w:hAnsi="Abadi"/>
          <w:sz w:val="21"/>
          <w:szCs w:val="21"/>
        </w:rPr>
        <w:t>!</w:t>
      </w:r>
      <w:r w:rsidRPr="0021199F">
        <w:rPr>
          <w:rFonts w:ascii="Abadi" w:hAnsi="Abadi"/>
          <w:sz w:val="21"/>
          <w:szCs w:val="21"/>
        </w:rPr>
        <w:t xml:space="preserve"> esto no es nuevo</w:t>
      </w:r>
      <w:r>
        <w:rPr>
          <w:rFonts w:ascii="Abadi" w:hAnsi="Abadi"/>
          <w:sz w:val="21"/>
          <w:szCs w:val="21"/>
        </w:rPr>
        <w:t>, c</w:t>
      </w:r>
      <w:r w:rsidRPr="0021199F">
        <w:rPr>
          <w:rFonts w:ascii="Abadi" w:hAnsi="Abadi"/>
          <w:sz w:val="21"/>
          <w:szCs w:val="21"/>
        </w:rPr>
        <w:t>abe mencionar que durante los momentos más álgidos de la pandemia del C</w:t>
      </w:r>
      <w:r>
        <w:rPr>
          <w:rFonts w:ascii="Abadi" w:hAnsi="Abadi"/>
          <w:sz w:val="21"/>
          <w:szCs w:val="21"/>
        </w:rPr>
        <w:t>OVID-19</w:t>
      </w:r>
      <w:r w:rsidRPr="0021199F">
        <w:rPr>
          <w:rFonts w:ascii="Abadi" w:hAnsi="Abadi"/>
          <w:sz w:val="21"/>
          <w:szCs w:val="21"/>
        </w:rPr>
        <w:t xml:space="preserve"> en México, ya sabes qu</w:t>
      </w:r>
      <w:r>
        <w:rPr>
          <w:rFonts w:ascii="Abadi" w:hAnsi="Abadi"/>
          <w:sz w:val="21"/>
          <w:szCs w:val="21"/>
        </w:rPr>
        <w:t>i</w:t>
      </w:r>
      <w:r w:rsidRPr="0021199F">
        <w:rPr>
          <w:rFonts w:ascii="Abadi" w:hAnsi="Abadi"/>
          <w:sz w:val="21"/>
          <w:szCs w:val="21"/>
        </w:rPr>
        <w:t>é</w:t>
      </w:r>
      <w:r>
        <w:rPr>
          <w:rFonts w:ascii="Abadi" w:hAnsi="Abadi"/>
          <w:sz w:val="21"/>
          <w:szCs w:val="21"/>
        </w:rPr>
        <w:t>n,</w:t>
      </w:r>
      <w:r w:rsidRPr="0021199F">
        <w:rPr>
          <w:rFonts w:ascii="Abadi" w:hAnsi="Abadi"/>
          <w:sz w:val="21"/>
          <w:szCs w:val="21"/>
        </w:rPr>
        <w:t xml:space="preserve"> contrató a un contingente de supuestos especialistas y </w:t>
      </w:r>
      <w:r>
        <w:rPr>
          <w:rFonts w:ascii="Abadi" w:hAnsi="Abadi"/>
          <w:sz w:val="21"/>
          <w:szCs w:val="21"/>
        </w:rPr>
        <w:t>¿</w:t>
      </w:r>
      <w:r w:rsidRPr="0021199F">
        <w:rPr>
          <w:rFonts w:ascii="Abadi" w:hAnsi="Abadi"/>
          <w:sz w:val="21"/>
          <w:szCs w:val="21"/>
        </w:rPr>
        <w:t>de dónde creen</w:t>
      </w:r>
      <w:r>
        <w:rPr>
          <w:rFonts w:ascii="Abadi" w:hAnsi="Abadi"/>
          <w:sz w:val="21"/>
          <w:szCs w:val="21"/>
        </w:rPr>
        <w:t>?</w:t>
      </w:r>
      <w:r w:rsidRPr="0021199F">
        <w:rPr>
          <w:rFonts w:ascii="Abadi" w:hAnsi="Abadi"/>
          <w:sz w:val="21"/>
          <w:szCs w:val="21"/>
        </w:rPr>
        <w:t xml:space="preserve"> también de Cuba, qui</w:t>
      </w:r>
      <w:r>
        <w:rPr>
          <w:rFonts w:ascii="Abadi" w:hAnsi="Abadi"/>
          <w:sz w:val="21"/>
          <w:szCs w:val="21"/>
        </w:rPr>
        <w:t>en</w:t>
      </w:r>
      <w:r w:rsidRPr="0021199F">
        <w:rPr>
          <w:rFonts w:ascii="Abadi" w:hAnsi="Abadi"/>
          <w:sz w:val="21"/>
          <w:szCs w:val="21"/>
        </w:rPr>
        <w:t xml:space="preserve">es </w:t>
      </w:r>
      <w:r>
        <w:rPr>
          <w:rFonts w:ascii="Abadi" w:hAnsi="Abadi"/>
          <w:sz w:val="21"/>
          <w:szCs w:val="21"/>
        </w:rPr>
        <w:t>a</w:t>
      </w:r>
      <w:r w:rsidRPr="0021199F">
        <w:rPr>
          <w:rFonts w:ascii="Abadi" w:hAnsi="Abadi"/>
          <w:sz w:val="21"/>
          <w:szCs w:val="21"/>
        </w:rPr>
        <w:t xml:space="preserve">tendieron durante meses a los enfermos de </w:t>
      </w:r>
      <w:r>
        <w:rPr>
          <w:rFonts w:ascii="Abadi" w:hAnsi="Abadi"/>
          <w:sz w:val="21"/>
          <w:szCs w:val="21"/>
        </w:rPr>
        <w:t>la</w:t>
      </w:r>
      <w:r w:rsidRPr="0021199F">
        <w:rPr>
          <w:rFonts w:ascii="Abadi" w:hAnsi="Abadi"/>
          <w:sz w:val="21"/>
          <w:szCs w:val="21"/>
        </w:rPr>
        <w:t xml:space="preserve"> capital mexican</w:t>
      </w:r>
      <w:r>
        <w:rPr>
          <w:rFonts w:ascii="Abadi" w:hAnsi="Abadi"/>
          <w:sz w:val="21"/>
          <w:szCs w:val="21"/>
        </w:rPr>
        <w:t>a</w:t>
      </w:r>
      <w:r w:rsidRPr="0021199F">
        <w:rPr>
          <w:rFonts w:ascii="Abadi" w:hAnsi="Abadi"/>
          <w:sz w:val="21"/>
          <w:szCs w:val="21"/>
        </w:rPr>
        <w:t xml:space="preserve">, a pesar de que en nuestro país </w:t>
      </w:r>
      <w:r>
        <w:rPr>
          <w:rFonts w:ascii="Abadi" w:hAnsi="Abadi"/>
          <w:sz w:val="21"/>
          <w:szCs w:val="21"/>
        </w:rPr>
        <w:t>¡</w:t>
      </w:r>
      <w:r w:rsidRPr="0021199F">
        <w:rPr>
          <w:rFonts w:ascii="Abadi" w:hAnsi="Abadi"/>
          <w:sz w:val="21"/>
          <w:szCs w:val="21"/>
        </w:rPr>
        <w:t>sí</w:t>
      </w:r>
      <w:r>
        <w:rPr>
          <w:rFonts w:ascii="Abadi" w:hAnsi="Abadi"/>
          <w:sz w:val="21"/>
          <w:szCs w:val="21"/>
        </w:rPr>
        <w:t>1</w:t>
      </w:r>
      <w:r w:rsidRPr="0021199F">
        <w:rPr>
          <w:rFonts w:ascii="Abadi" w:hAnsi="Abadi"/>
          <w:sz w:val="21"/>
          <w:szCs w:val="21"/>
        </w:rPr>
        <w:t xml:space="preserve"> hay médicos</w:t>
      </w:r>
      <w:r>
        <w:rPr>
          <w:rFonts w:ascii="Abadi" w:hAnsi="Abadi"/>
          <w:sz w:val="21"/>
          <w:szCs w:val="21"/>
        </w:rPr>
        <w:t>,</w:t>
      </w:r>
      <w:r w:rsidRPr="0021199F">
        <w:rPr>
          <w:rFonts w:ascii="Abadi" w:hAnsi="Abadi"/>
          <w:sz w:val="21"/>
          <w:szCs w:val="21"/>
        </w:rPr>
        <w:t xml:space="preserve"> </w:t>
      </w:r>
      <w:r>
        <w:rPr>
          <w:rFonts w:ascii="Abadi" w:hAnsi="Abadi"/>
          <w:sz w:val="21"/>
          <w:szCs w:val="21"/>
        </w:rPr>
        <w:t>¡</w:t>
      </w:r>
      <w:r w:rsidRPr="0021199F">
        <w:rPr>
          <w:rFonts w:ascii="Abadi" w:hAnsi="Abadi"/>
          <w:sz w:val="21"/>
          <w:szCs w:val="21"/>
        </w:rPr>
        <w:t>sí</w:t>
      </w:r>
      <w:r>
        <w:rPr>
          <w:rFonts w:ascii="Abadi" w:hAnsi="Abadi"/>
          <w:sz w:val="21"/>
          <w:szCs w:val="21"/>
        </w:rPr>
        <w:t>!</w:t>
      </w:r>
      <w:r w:rsidRPr="0021199F">
        <w:rPr>
          <w:rFonts w:ascii="Abadi" w:hAnsi="Abadi"/>
          <w:sz w:val="21"/>
          <w:szCs w:val="21"/>
        </w:rPr>
        <w:t xml:space="preserve"> hay médicos con capacidad avalada por la</w:t>
      </w:r>
      <w:r>
        <w:rPr>
          <w:rFonts w:ascii="Abadi" w:hAnsi="Abadi"/>
          <w:sz w:val="21"/>
          <w:szCs w:val="21"/>
        </w:rPr>
        <w:t>s</w:t>
      </w:r>
      <w:r w:rsidRPr="0021199F">
        <w:rPr>
          <w:rFonts w:ascii="Abadi" w:hAnsi="Abadi"/>
          <w:sz w:val="21"/>
          <w:szCs w:val="21"/>
        </w:rPr>
        <w:t xml:space="preserve"> universidades de la República </w:t>
      </w:r>
      <w:r>
        <w:rPr>
          <w:rFonts w:ascii="Abadi" w:hAnsi="Abadi"/>
          <w:sz w:val="21"/>
          <w:szCs w:val="21"/>
        </w:rPr>
        <w:t>M</w:t>
      </w:r>
      <w:r w:rsidRPr="0021199F">
        <w:rPr>
          <w:rFonts w:ascii="Abadi" w:hAnsi="Abadi"/>
          <w:sz w:val="21"/>
          <w:szCs w:val="21"/>
        </w:rPr>
        <w:t>e</w:t>
      </w:r>
      <w:r>
        <w:rPr>
          <w:rFonts w:ascii="Abadi" w:hAnsi="Abadi"/>
          <w:sz w:val="21"/>
          <w:szCs w:val="21"/>
        </w:rPr>
        <w:t>x</w:t>
      </w:r>
      <w:r w:rsidRPr="0021199F">
        <w:rPr>
          <w:rFonts w:ascii="Abadi" w:hAnsi="Abadi"/>
          <w:sz w:val="21"/>
          <w:szCs w:val="21"/>
        </w:rPr>
        <w:t>icana, algunos de ellos desempleados o empleados, eventualmente con salarios deprimentes o en zonas</w:t>
      </w:r>
      <w:r>
        <w:rPr>
          <w:rFonts w:ascii="Abadi" w:hAnsi="Abadi"/>
          <w:sz w:val="21"/>
          <w:szCs w:val="21"/>
        </w:rPr>
        <w:t xml:space="preserve"> de</w:t>
      </w:r>
      <w:r w:rsidRPr="0021199F">
        <w:rPr>
          <w:rFonts w:ascii="Abadi" w:hAnsi="Abadi"/>
          <w:sz w:val="21"/>
          <w:szCs w:val="21"/>
        </w:rPr>
        <w:t xml:space="preserve"> inseguridad extrema, se pretende contratar médicos cubanos que vienen</w:t>
      </w:r>
      <w:r>
        <w:rPr>
          <w:rFonts w:ascii="Abadi" w:hAnsi="Abadi"/>
          <w:sz w:val="21"/>
          <w:szCs w:val="21"/>
        </w:rPr>
        <w:t xml:space="preserve"> a</w:t>
      </w:r>
      <w:r w:rsidRPr="0021199F">
        <w:rPr>
          <w:rFonts w:ascii="Abadi" w:hAnsi="Abadi"/>
          <w:sz w:val="21"/>
          <w:szCs w:val="21"/>
        </w:rPr>
        <w:t xml:space="preserve"> ocupar plazas que pueden ser para nuestros médicos. Y cabe mencionar</w:t>
      </w:r>
      <w:r>
        <w:rPr>
          <w:rFonts w:ascii="Abadi" w:hAnsi="Abadi"/>
          <w:sz w:val="21"/>
          <w:szCs w:val="21"/>
        </w:rPr>
        <w:t xml:space="preserve">, </w:t>
      </w:r>
      <w:r w:rsidRPr="0021199F">
        <w:rPr>
          <w:rFonts w:ascii="Abadi" w:hAnsi="Abadi"/>
          <w:sz w:val="21"/>
          <w:szCs w:val="21"/>
        </w:rPr>
        <w:t xml:space="preserve">que cada médico cubano que vendrá </w:t>
      </w:r>
      <w:r>
        <w:rPr>
          <w:rFonts w:ascii="Abadi" w:hAnsi="Abadi"/>
          <w:sz w:val="21"/>
          <w:szCs w:val="21"/>
        </w:rPr>
        <w:t>a</w:t>
      </w:r>
      <w:r w:rsidRPr="0021199F">
        <w:rPr>
          <w:rFonts w:ascii="Abadi" w:hAnsi="Abadi"/>
          <w:sz w:val="21"/>
          <w:szCs w:val="21"/>
        </w:rPr>
        <w:t xml:space="preserve"> México </w:t>
      </w:r>
      <w:r>
        <w:rPr>
          <w:rFonts w:ascii="Abadi" w:hAnsi="Abadi"/>
          <w:sz w:val="21"/>
          <w:szCs w:val="21"/>
        </w:rPr>
        <w:t>¿</w:t>
      </w:r>
      <w:r w:rsidRPr="0021199F">
        <w:rPr>
          <w:rFonts w:ascii="Abadi" w:hAnsi="Abadi"/>
          <w:sz w:val="21"/>
          <w:szCs w:val="21"/>
        </w:rPr>
        <w:t>a qué no saben qué</w:t>
      </w:r>
      <w:r>
        <w:rPr>
          <w:rFonts w:ascii="Abadi" w:hAnsi="Abadi"/>
          <w:sz w:val="21"/>
          <w:szCs w:val="21"/>
        </w:rPr>
        <w:t>?,</w:t>
      </w:r>
      <w:r w:rsidRPr="0021199F">
        <w:rPr>
          <w:rFonts w:ascii="Abadi" w:hAnsi="Abadi"/>
          <w:sz w:val="21"/>
          <w:szCs w:val="21"/>
        </w:rPr>
        <w:t xml:space="preserve"> recibirá un salario de </w:t>
      </w:r>
      <w:r>
        <w:rPr>
          <w:rFonts w:ascii="Abadi" w:hAnsi="Abadi"/>
          <w:sz w:val="21"/>
          <w:szCs w:val="21"/>
        </w:rPr>
        <w:t xml:space="preserve">140 </w:t>
      </w:r>
      <w:r w:rsidRPr="0021199F">
        <w:rPr>
          <w:rFonts w:ascii="Abadi" w:hAnsi="Abadi"/>
          <w:sz w:val="21"/>
          <w:szCs w:val="21"/>
        </w:rPr>
        <w:t>mil pesos, siendo que un médico mexicano percib</w:t>
      </w:r>
      <w:r>
        <w:rPr>
          <w:rFonts w:ascii="Abadi" w:hAnsi="Abadi"/>
          <w:sz w:val="21"/>
          <w:szCs w:val="21"/>
        </w:rPr>
        <w:t>e</w:t>
      </w:r>
      <w:r w:rsidRPr="0021199F">
        <w:rPr>
          <w:rFonts w:ascii="Abadi" w:hAnsi="Abadi"/>
          <w:sz w:val="21"/>
          <w:szCs w:val="21"/>
        </w:rPr>
        <w:t xml:space="preserve"> sueldo entre </w:t>
      </w:r>
      <w:r>
        <w:rPr>
          <w:rFonts w:ascii="Abadi" w:hAnsi="Abadi"/>
          <w:sz w:val="21"/>
          <w:szCs w:val="21"/>
        </w:rPr>
        <w:t>16</w:t>
      </w:r>
      <w:r w:rsidRPr="0021199F">
        <w:rPr>
          <w:rFonts w:ascii="Abadi" w:hAnsi="Abadi"/>
          <w:sz w:val="21"/>
          <w:szCs w:val="21"/>
        </w:rPr>
        <w:t xml:space="preserve"> mil pesos y máximo </w:t>
      </w:r>
      <w:r>
        <w:rPr>
          <w:rFonts w:ascii="Abadi" w:hAnsi="Abadi"/>
          <w:sz w:val="21"/>
          <w:szCs w:val="21"/>
        </w:rPr>
        <w:t xml:space="preserve">46 </w:t>
      </w:r>
      <w:r w:rsidRPr="0021199F">
        <w:rPr>
          <w:rFonts w:ascii="Abadi" w:hAnsi="Abadi"/>
          <w:sz w:val="21"/>
          <w:szCs w:val="21"/>
        </w:rPr>
        <w:t>mil y con especialidad.</w:t>
      </w:r>
    </w:p>
    <w:p w14:paraId="61C1F433"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Debido a </w:t>
      </w:r>
      <w:r>
        <w:rPr>
          <w:rFonts w:ascii="Abadi" w:hAnsi="Abadi"/>
          <w:sz w:val="21"/>
          <w:szCs w:val="21"/>
        </w:rPr>
        <w:t>esto</w:t>
      </w:r>
      <w:r w:rsidRPr="0021199F">
        <w:rPr>
          <w:rFonts w:ascii="Abadi" w:hAnsi="Abadi"/>
          <w:sz w:val="21"/>
          <w:szCs w:val="21"/>
        </w:rPr>
        <w:t>, miembros de distintos colegios de especialidades expresaron que sus homólogos cubanos no cuenta</w:t>
      </w:r>
      <w:r>
        <w:rPr>
          <w:rFonts w:ascii="Abadi" w:hAnsi="Abadi"/>
          <w:sz w:val="21"/>
          <w:szCs w:val="21"/>
        </w:rPr>
        <w:t>n</w:t>
      </w:r>
      <w:r w:rsidRPr="0021199F">
        <w:rPr>
          <w:rFonts w:ascii="Abadi" w:hAnsi="Abadi"/>
          <w:sz w:val="21"/>
          <w:szCs w:val="21"/>
        </w:rPr>
        <w:t xml:space="preserve"> con las competencias requeridas necesarias según las leyes vigentes y el aval del Colegio de Profesionista. Pero como es costumbre, ni la ley</w:t>
      </w:r>
      <w:r>
        <w:rPr>
          <w:rFonts w:ascii="Abadi" w:hAnsi="Abadi"/>
          <w:sz w:val="21"/>
          <w:szCs w:val="21"/>
        </w:rPr>
        <w:t xml:space="preserve">, </w:t>
      </w:r>
      <w:r w:rsidRPr="0021199F">
        <w:rPr>
          <w:rFonts w:ascii="Abadi" w:hAnsi="Abadi"/>
          <w:sz w:val="21"/>
          <w:szCs w:val="21"/>
        </w:rPr>
        <w:t xml:space="preserve">ni los ciudadanos ni ciudadanas son considerados por </w:t>
      </w:r>
      <w:r>
        <w:rPr>
          <w:rFonts w:ascii="Abadi" w:hAnsi="Abadi"/>
          <w:sz w:val="21"/>
          <w:szCs w:val="21"/>
        </w:rPr>
        <w:t>¡</w:t>
      </w:r>
      <w:r w:rsidRPr="0021199F">
        <w:rPr>
          <w:rFonts w:ascii="Abadi" w:hAnsi="Abadi"/>
          <w:sz w:val="21"/>
          <w:szCs w:val="21"/>
        </w:rPr>
        <w:t>ya saben</w:t>
      </w:r>
      <w:r>
        <w:rPr>
          <w:rFonts w:ascii="Abadi" w:hAnsi="Abadi"/>
          <w:sz w:val="21"/>
          <w:szCs w:val="21"/>
        </w:rPr>
        <w:t>!</w:t>
      </w:r>
      <w:r w:rsidRPr="0021199F">
        <w:rPr>
          <w:rFonts w:ascii="Abadi" w:hAnsi="Abadi"/>
          <w:sz w:val="21"/>
          <w:szCs w:val="21"/>
        </w:rPr>
        <w:t xml:space="preserve"> quién, pero lo más grave de esto es que el dinero en realidad no lo recibirán</w:t>
      </w:r>
      <w:r>
        <w:rPr>
          <w:rFonts w:ascii="Abadi" w:hAnsi="Abadi"/>
          <w:sz w:val="21"/>
          <w:szCs w:val="21"/>
        </w:rPr>
        <w:t xml:space="preserve"> l</w:t>
      </w:r>
      <w:r w:rsidRPr="0021199F">
        <w:rPr>
          <w:rFonts w:ascii="Abadi" w:hAnsi="Abadi"/>
          <w:sz w:val="21"/>
          <w:szCs w:val="21"/>
        </w:rPr>
        <w:t>as y los especialistas médicos</w:t>
      </w:r>
      <w:r>
        <w:rPr>
          <w:rFonts w:ascii="Abadi" w:hAnsi="Abadi"/>
          <w:sz w:val="21"/>
          <w:szCs w:val="21"/>
        </w:rPr>
        <w:t>,</w:t>
      </w:r>
      <w:r w:rsidRPr="0021199F">
        <w:rPr>
          <w:rFonts w:ascii="Abadi" w:hAnsi="Abadi"/>
          <w:sz w:val="21"/>
          <w:szCs w:val="21"/>
        </w:rPr>
        <w:t xml:space="preserve"> solamente son otra fachada para financiar la dictadura cubana</w:t>
      </w:r>
      <w:r>
        <w:rPr>
          <w:rFonts w:ascii="Abadi" w:hAnsi="Abadi"/>
          <w:sz w:val="21"/>
          <w:szCs w:val="21"/>
        </w:rPr>
        <w:t xml:space="preserve">. </w:t>
      </w:r>
    </w:p>
    <w:p w14:paraId="68C22D9A" w14:textId="77777777" w:rsidR="002B30C6" w:rsidRDefault="002B30C6" w:rsidP="002B30C6">
      <w:pPr>
        <w:pStyle w:val="NormalWeb"/>
        <w:jc w:val="both"/>
        <w:rPr>
          <w:rFonts w:ascii="Abadi" w:hAnsi="Abadi"/>
          <w:sz w:val="21"/>
          <w:szCs w:val="21"/>
        </w:rPr>
      </w:pPr>
      <w:r>
        <w:rPr>
          <w:rFonts w:ascii="Abadi" w:hAnsi="Abadi"/>
          <w:sz w:val="21"/>
          <w:szCs w:val="21"/>
        </w:rPr>
        <w:t>- A</w:t>
      </w:r>
      <w:r w:rsidRPr="0021199F">
        <w:rPr>
          <w:rFonts w:ascii="Abadi" w:hAnsi="Abadi"/>
          <w:sz w:val="21"/>
          <w:szCs w:val="21"/>
        </w:rPr>
        <w:t>demás de que quedan muchas dudas sobre las condiciones en las que serán traídos y puestos</w:t>
      </w:r>
      <w:r>
        <w:rPr>
          <w:rFonts w:ascii="Abadi" w:hAnsi="Abadi"/>
          <w:sz w:val="21"/>
          <w:szCs w:val="21"/>
        </w:rPr>
        <w:t>.</w:t>
      </w:r>
      <w:r w:rsidRPr="0021199F">
        <w:rPr>
          <w:rFonts w:ascii="Abadi" w:hAnsi="Abadi"/>
          <w:sz w:val="21"/>
          <w:szCs w:val="21"/>
        </w:rPr>
        <w:t xml:space="preserve"> </w:t>
      </w:r>
      <w:r>
        <w:rPr>
          <w:rFonts w:ascii="Abadi" w:hAnsi="Abadi"/>
          <w:sz w:val="21"/>
          <w:szCs w:val="21"/>
        </w:rPr>
        <w:t>D</w:t>
      </w:r>
      <w:r w:rsidRPr="0021199F">
        <w:rPr>
          <w:rFonts w:ascii="Abadi" w:hAnsi="Abadi"/>
          <w:sz w:val="21"/>
          <w:szCs w:val="21"/>
        </w:rPr>
        <w:t xml:space="preserve">iversos reportes </w:t>
      </w:r>
      <w:r>
        <w:rPr>
          <w:rFonts w:ascii="Abadi" w:hAnsi="Abadi"/>
          <w:sz w:val="21"/>
          <w:szCs w:val="21"/>
        </w:rPr>
        <w:t xml:space="preserve">de </w:t>
      </w:r>
      <w:r w:rsidRPr="0021199F">
        <w:rPr>
          <w:rFonts w:ascii="Abadi" w:hAnsi="Abadi"/>
          <w:sz w:val="21"/>
          <w:szCs w:val="21"/>
        </w:rPr>
        <w:t xml:space="preserve">instituciones internacionales como la ONU o la </w:t>
      </w:r>
      <w:r>
        <w:rPr>
          <w:rFonts w:ascii="Abadi" w:hAnsi="Abadi"/>
          <w:sz w:val="21"/>
          <w:szCs w:val="21"/>
        </w:rPr>
        <w:t>OEA</w:t>
      </w:r>
      <w:r w:rsidRPr="0021199F">
        <w:rPr>
          <w:rFonts w:ascii="Abadi" w:hAnsi="Abadi"/>
          <w:sz w:val="21"/>
          <w:szCs w:val="21"/>
        </w:rPr>
        <w:t xml:space="preserve">, </w:t>
      </w:r>
      <w:r>
        <w:rPr>
          <w:rFonts w:ascii="Abadi" w:hAnsi="Abadi"/>
          <w:sz w:val="21"/>
          <w:szCs w:val="21"/>
        </w:rPr>
        <w:t xml:space="preserve">e </w:t>
      </w:r>
      <w:r w:rsidRPr="0021199F">
        <w:rPr>
          <w:rFonts w:ascii="Abadi" w:hAnsi="Abadi"/>
          <w:sz w:val="21"/>
          <w:szCs w:val="21"/>
        </w:rPr>
        <w:t>incluso informes de países a los que llegaron</w:t>
      </w:r>
      <w:r>
        <w:rPr>
          <w:rFonts w:ascii="Abadi" w:hAnsi="Abadi"/>
          <w:sz w:val="21"/>
          <w:szCs w:val="21"/>
        </w:rPr>
        <w:t>, e</w:t>
      </w:r>
      <w:r w:rsidRPr="0021199F">
        <w:rPr>
          <w:rFonts w:ascii="Abadi" w:hAnsi="Abadi"/>
          <w:sz w:val="21"/>
          <w:szCs w:val="21"/>
        </w:rPr>
        <w:t xml:space="preserve">stos médicos cubanos han denunciado que las misiones de los cubanos están plagadas de irregularidades. No lo digo yo, </w:t>
      </w:r>
      <w:r>
        <w:rPr>
          <w:rFonts w:ascii="Abadi" w:hAnsi="Abadi"/>
          <w:sz w:val="21"/>
          <w:szCs w:val="21"/>
        </w:rPr>
        <w:t>fíjense</w:t>
      </w:r>
      <w:r w:rsidRPr="0021199F">
        <w:rPr>
          <w:rFonts w:ascii="Abadi" w:hAnsi="Abadi"/>
          <w:sz w:val="21"/>
          <w:szCs w:val="21"/>
        </w:rPr>
        <w:t xml:space="preserve"> </w:t>
      </w:r>
      <w:r>
        <w:rPr>
          <w:rFonts w:ascii="Abadi" w:hAnsi="Abadi"/>
          <w:sz w:val="21"/>
          <w:szCs w:val="21"/>
        </w:rPr>
        <w:t>q</w:t>
      </w:r>
      <w:r w:rsidRPr="0021199F">
        <w:rPr>
          <w:rFonts w:ascii="Abadi" w:hAnsi="Abadi"/>
          <w:sz w:val="21"/>
          <w:szCs w:val="21"/>
        </w:rPr>
        <w:t>ui</w:t>
      </w:r>
      <w:r>
        <w:rPr>
          <w:rFonts w:ascii="Abadi" w:hAnsi="Abadi"/>
          <w:sz w:val="21"/>
          <w:szCs w:val="21"/>
        </w:rPr>
        <w:t>e</w:t>
      </w:r>
      <w:r w:rsidRPr="0021199F">
        <w:rPr>
          <w:rFonts w:ascii="Abadi" w:hAnsi="Abadi"/>
          <w:sz w:val="21"/>
          <w:szCs w:val="21"/>
        </w:rPr>
        <w:t>n lo está diciendo</w:t>
      </w:r>
      <w:r>
        <w:rPr>
          <w:rFonts w:ascii="Abadi" w:hAnsi="Abadi"/>
          <w:sz w:val="21"/>
          <w:szCs w:val="21"/>
        </w:rPr>
        <w:t>.</w:t>
      </w:r>
      <w:r w:rsidRPr="0021199F">
        <w:rPr>
          <w:rFonts w:ascii="Abadi" w:hAnsi="Abadi"/>
          <w:sz w:val="21"/>
          <w:szCs w:val="21"/>
        </w:rPr>
        <w:t xml:space="preserve"> Violaciones a los derechos humanos</w:t>
      </w:r>
      <w:r>
        <w:rPr>
          <w:rFonts w:ascii="Abadi" w:hAnsi="Abadi"/>
          <w:sz w:val="21"/>
          <w:szCs w:val="21"/>
        </w:rPr>
        <w:t>,</w:t>
      </w:r>
      <w:r w:rsidRPr="0021199F">
        <w:rPr>
          <w:rFonts w:ascii="Abadi" w:hAnsi="Abadi"/>
          <w:sz w:val="21"/>
          <w:szCs w:val="21"/>
        </w:rPr>
        <w:t xml:space="preserve"> que no contribuyen al fortalecimiento de los sistemas de salud e incluso son utilizados para labores de carácter político mientras el país se cae a pedazos y los pobres son cada día más pobre</w:t>
      </w:r>
      <w:r>
        <w:rPr>
          <w:rFonts w:ascii="Abadi" w:hAnsi="Abadi"/>
          <w:sz w:val="21"/>
          <w:szCs w:val="21"/>
        </w:rPr>
        <w:t>s,</w:t>
      </w:r>
      <w:r w:rsidRPr="0021199F">
        <w:rPr>
          <w:rFonts w:ascii="Abadi" w:hAnsi="Abadi"/>
          <w:sz w:val="21"/>
          <w:szCs w:val="21"/>
        </w:rPr>
        <w:t xml:space="preserve"> </w:t>
      </w:r>
      <w:r>
        <w:rPr>
          <w:rFonts w:ascii="Abadi" w:hAnsi="Abadi"/>
          <w:sz w:val="21"/>
          <w:szCs w:val="21"/>
        </w:rPr>
        <w:t>¡y</w:t>
      </w:r>
      <w:r w:rsidRPr="0021199F">
        <w:rPr>
          <w:rFonts w:ascii="Abadi" w:hAnsi="Abadi"/>
          <w:sz w:val="21"/>
          <w:szCs w:val="21"/>
        </w:rPr>
        <w:t>a sabes quién</w:t>
      </w:r>
      <w:r>
        <w:rPr>
          <w:rFonts w:ascii="Abadi" w:hAnsi="Abadi"/>
          <w:sz w:val="21"/>
          <w:szCs w:val="21"/>
        </w:rPr>
        <w:t>!</w:t>
      </w:r>
      <w:r w:rsidRPr="0021199F">
        <w:rPr>
          <w:rFonts w:ascii="Abadi" w:hAnsi="Abadi"/>
          <w:sz w:val="21"/>
          <w:szCs w:val="21"/>
        </w:rPr>
        <w:t xml:space="preserve"> est</w:t>
      </w:r>
      <w:r>
        <w:rPr>
          <w:rFonts w:ascii="Abadi" w:hAnsi="Abadi"/>
          <w:sz w:val="21"/>
          <w:szCs w:val="21"/>
        </w:rPr>
        <w:t>á</w:t>
      </w:r>
      <w:r w:rsidRPr="0021199F">
        <w:rPr>
          <w:rFonts w:ascii="Abadi" w:hAnsi="Abadi"/>
          <w:sz w:val="21"/>
          <w:szCs w:val="21"/>
        </w:rPr>
        <w:t xml:space="preserve"> enfocado en apoyar dictaduras, no solo en el tema de los médicos extranjeros, sino también en las becas que</w:t>
      </w:r>
      <w:r>
        <w:rPr>
          <w:rFonts w:ascii="Abadi" w:hAnsi="Abadi"/>
          <w:sz w:val="21"/>
          <w:szCs w:val="21"/>
        </w:rPr>
        <w:t xml:space="preserve"> </w:t>
      </w:r>
      <w:r w:rsidRPr="0021199F">
        <w:rPr>
          <w:rFonts w:ascii="Abadi" w:hAnsi="Abadi"/>
          <w:sz w:val="21"/>
          <w:szCs w:val="21"/>
        </w:rPr>
        <w:t>dará en países como El Salvador</w:t>
      </w:r>
      <w:r>
        <w:rPr>
          <w:rFonts w:ascii="Abadi" w:hAnsi="Abadi"/>
          <w:sz w:val="21"/>
          <w:szCs w:val="21"/>
        </w:rPr>
        <w:t>, r</w:t>
      </w:r>
      <w:r w:rsidRPr="0021199F">
        <w:rPr>
          <w:rFonts w:ascii="Abadi" w:hAnsi="Abadi"/>
          <w:sz w:val="21"/>
          <w:szCs w:val="21"/>
        </w:rPr>
        <w:t xml:space="preserve">eportajes de la agencia de Noticias alemanas </w:t>
      </w:r>
      <w:r>
        <w:rPr>
          <w:rFonts w:ascii="Abadi" w:hAnsi="Abadi"/>
          <w:sz w:val="21"/>
          <w:szCs w:val="21"/>
        </w:rPr>
        <w:t>DW o la</w:t>
      </w:r>
      <w:r w:rsidRPr="0021199F">
        <w:rPr>
          <w:rFonts w:ascii="Abadi" w:hAnsi="Abadi"/>
          <w:sz w:val="21"/>
          <w:szCs w:val="21"/>
        </w:rPr>
        <w:t xml:space="preserve"> inglesa B</w:t>
      </w:r>
      <w:r>
        <w:rPr>
          <w:rFonts w:ascii="Abadi" w:hAnsi="Abadi"/>
          <w:sz w:val="21"/>
          <w:szCs w:val="21"/>
        </w:rPr>
        <w:t>BC</w:t>
      </w:r>
      <w:r w:rsidRPr="0021199F">
        <w:rPr>
          <w:rFonts w:ascii="Abadi" w:hAnsi="Abadi"/>
          <w:sz w:val="21"/>
          <w:szCs w:val="21"/>
        </w:rPr>
        <w:t xml:space="preserve"> de Londres han documentado que los médicos cubanos trabajan en condiciones de esclavismo</w:t>
      </w:r>
      <w:r>
        <w:rPr>
          <w:rFonts w:ascii="Abadi" w:hAnsi="Abadi"/>
          <w:sz w:val="21"/>
          <w:szCs w:val="21"/>
        </w:rPr>
        <w:t>,</w:t>
      </w:r>
      <w:r w:rsidRPr="0021199F">
        <w:rPr>
          <w:rFonts w:ascii="Abadi" w:hAnsi="Abadi"/>
          <w:sz w:val="21"/>
          <w:szCs w:val="21"/>
        </w:rPr>
        <w:t xml:space="preserve"> en sus misiones internacionales, con testimonios que dan cuenta de la cruel realidad que experimentan</w:t>
      </w:r>
      <w:r>
        <w:rPr>
          <w:rFonts w:ascii="Abadi" w:hAnsi="Abadi"/>
          <w:sz w:val="21"/>
          <w:szCs w:val="21"/>
        </w:rPr>
        <w:t>,</w:t>
      </w:r>
      <w:r w:rsidRPr="0021199F">
        <w:rPr>
          <w:rFonts w:ascii="Abadi" w:hAnsi="Abadi"/>
          <w:sz w:val="21"/>
          <w:szCs w:val="21"/>
        </w:rPr>
        <w:t xml:space="preserve"> amenaza</w:t>
      </w:r>
      <w:r>
        <w:rPr>
          <w:rFonts w:ascii="Abadi" w:hAnsi="Abadi"/>
          <w:sz w:val="21"/>
          <w:szCs w:val="21"/>
        </w:rPr>
        <w:t>s,</w:t>
      </w:r>
      <w:r w:rsidRPr="0021199F">
        <w:rPr>
          <w:rFonts w:ascii="Abadi" w:hAnsi="Abadi"/>
          <w:sz w:val="21"/>
          <w:szCs w:val="21"/>
        </w:rPr>
        <w:t xml:space="preserve"> explotación laboral, intimidaciones, bajos salarios, violencia, incluso violaciones sexuales. Pero </w:t>
      </w:r>
      <w:r>
        <w:rPr>
          <w:rFonts w:ascii="Abadi" w:hAnsi="Abadi"/>
          <w:sz w:val="21"/>
          <w:szCs w:val="21"/>
        </w:rPr>
        <w:t>¿</w:t>
      </w:r>
      <w:r w:rsidRPr="0021199F">
        <w:rPr>
          <w:rFonts w:ascii="Abadi" w:hAnsi="Abadi"/>
          <w:sz w:val="21"/>
          <w:szCs w:val="21"/>
        </w:rPr>
        <w:t>qué podemos esperar de un aspirante a dictado</w:t>
      </w:r>
      <w:r>
        <w:rPr>
          <w:rFonts w:ascii="Abadi" w:hAnsi="Abadi"/>
          <w:sz w:val="21"/>
          <w:szCs w:val="21"/>
        </w:rPr>
        <w:t>r</w:t>
      </w:r>
      <w:r w:rsidRPr="0021199F">
        <w:rPr>
          <w:rFonts w:ascii="Abadi" w:hAnsi="Abadi"/>
          <w:sz w:val="21"/>
          <w:szCs w:val="21"/>
        </w:rPr>
        <w:t xml:space="preserve"> que solo </w:t>
      </w:r>
      <w:r>
        <w:rPr>
          <w:rFonts w:ascii="Abadi" w:hAnsi="Abadi"/>
          <w:sz w:val="21"/>
          <w:szCs w:val="21"/>
        </w:rPr>
        <w:t>jugo</w:t>
      </w:r>
      <w:r w:rsidRPr="0021199F">
        <w:rPr>
          <w:rFonts w:ascii="Abadi" w:hAnsi="Abadi"/>
          <w:sz w:val="21"/>
          <w:szCs w:val="21"/>
        </w:rPr>
        <w:t xml:space="preserve"> con el sueño de las y los ciudadanos? Pero como en Cuba ese sueño puede convertirse en una muy mala pesadilla.</w:t>
      </w:r>
    </w:p>
    <w:p w14:paraId="7C5C6E6B"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Tal parece que todos los regímenes autoritarios y dictatoriales siguen el mismo librito. Para esto regresó con Cuba en este país tiene, por ejemplo, sesenta años sin elecciones</w:t>
      </w:r>
      <w:r>
        <w:rPr>
          <w:rFonts w:ascii="Abadi" w:hAnsi="Abadi"/>
          <w:sz w:val="21"/>
          <w:szCs w:val="21"/>
        </w:rPr>
        <w:t>, t</w:t>
      </w:r>
      <w:r w:rsidRPr="0021199F">
        <w:rPr>
          <w:rFonts w:ascii="Abadi" w:hAnsi="Abadi"/>
          <w:sz w:val="21"/>
          <w:szCs w:val="21"/>
        </w:rPr>
        <w:t>ienen prohibido la libertad de prensa</w:t>
      </w:r>
      <w:r>
        <w:rPr>
          <w:rFonts w:ascii="Abadi" w:hAnsi="Abadi"/>
          <w:sz w:val="21"/>
          <w:szCs w:val="21"/>
        </w:rPr>
        <w:t xml:space="preserve">, </w:t>
      </w:r>
      <w:r w:rsidRPr="0021199F">
        <w:rPr>
          <w:rFonts w:ascii="Abadi" w:hAnsi="Abadi"/>
          <w:sz w:val="21"/>
          <w:szCs w:val="21"/>
        </w:rPr>
        <w:t>prohibido</w:t>
      </w:r>
      <w:r>
        <w:rPr>
          <w:rFonts w:ascii="Abadi" w:hAnsi="Abadi"/>
          <w:sz w:val="21"/>
          <w:szCs w:val="21"/>
        </w:rPr>
        <w:t xml:space="preserve"> l</w:t>
      </w:r>
      <w:r w:rsidRPr="0021199F">
        <w:rPr>
          <w:rFonts w:ascii="Abadi" w:hAnsi="Abadi"/>
          <w:sz w:val="21"/>
          <w:szCs w:val="21"/>
        </w:rPr>
        <w:t>a libre expresión, persecución a todos los que están en contra</w:t>
      </w:r>
      <w:r>
        <w:rPr>
          <w:rFonts w:ascii="Abadi" w:hAnsi="Abadi"/>
          <w:sz w:val="21"/>
          <w:szCs w:val="21"/>
        </w:rPr>
        <w:t>, s</w:t>
      </w:r>
      <w:r w:rsidRPr="0021199F">
        <w:rPr>
          <w:rFonts w:ascii="Abadi" w:hAnsi="Abadi"/>
          <w:sz w:val="21"/>
          <w:szCs w:val="21"/>
        </w:rPr>
        <w:t>uena parecido. Cualquier parecido con esta realidad no es mera coincidencia. Pero regresando a los médicos cubanos, su intervención ha representado mi representó beneficio para la atención de nuestra población durante la pandemia</w:t>
      </w:r>
      <w:r>
        <w:rPr>
          <w:rFonts w:ascii="Abadi" w:hAnsi="Abadi"/>
          <w:sz w:val="21"/>
          <w:szCs w:val="21"/>
        </w:rPr>
        <w:t xml:space="preserve">, ya </w:t>
      </w:r>
      <w:r w:rsidRPr="0021199F">
        <w:rPr>
          <w:rFonts w:ascii="Abadi" w:hAnsi="Abadi"/>
          <w:sz w:val="21"/>
          <w:szCs w:val="21"/>
        </w:rPr>
        <w:t>escuchábamos hace rato nuestra compañera</w:t>
      </w:r>
      <w:r>
        <w:rPr>
          <w:rFonts w:ascii="Abadi" w:hAnsi="Abadi"/>
          <w:sz w:val="21"/>
          <w:szCs w:val="21"/>
        </w:rPr>
        <w:t>.</w:t>
      </w:r>
    </w:p>
    <w:p w14:paraId="0104FA48" w14:textId="77777777" w:rsidR="002B30C6" w:rsidRDefault="002B30C6" w:rsidP="002B30C6">
      <w:pPr>
        <w:pStyle w:val="NormalWeb"/>
        <w:jc w:val="both"/>
        <w:rPr>
          <w:rFonts w:ascii="Abadi" w:hAnsi="Abadi"/>
          <w:sz w:val="21"/>
          <w:szCs w:val="21"/>
        </w:rPr>
      </w:pPr>
      <w:r>
        <w:rPr>
          <w:rFonts w:ascii="Abadi" w:hAnsi="Abadi"/>
          <w:sz w:val="21"/>
          <w:szCs w:val="21"/>
        </w:rPr>
        <w:t>- L</w:t>
      </w:r>
      <w:r w:rsidRPr="0021199F">
        <w:rPr>
          <w:rFonts w:ascii="Abadi" w:hAnsi="Abadi"/>
          <w:sz w:val="21"/>
          <w:szCs w:val="21"/>
        </w:rPr>
        <w:t>os diputados del Grupo Parlamentario de Acción Nacional</w:t>
      </w:r>
      <w:r>
        <w:rPr>
          <w:rFonts w:ascii="Abadi" w:hAnsi="Abadi"/>
          <w:sz w:val="21"/>
          <w:szCs w:val="21"/>
        </w:rPr>
        <w:t>, c</w:t>
      </w:r>
      <w:r w:rsidRPr="0021199F">
        <w:rPr>
          <w:rFonts w:ascii="Abadi" w:hAnsi="Abadi"/>
          <w:sz w:val="21"/>
          <w:szCs w:val="21"/>
        </w:rPr>
        <w:t xml:space="preserve">oncordamos con las afirmaciones de los médicos de nuestro país. Nuestros profesionistas cuentan con capacidad y experiencia avaladas por las </w:t>
      </w:r>
      <w:r>
        <w:rPr>
          <w:rFonts w:ascii="Abadi" w:hAnsi="Abadi"/>
          <w:sz w:val="21"/>
          <w:szCs w:val="21"/>
        </w:rPr>
        <w:t>U</w:t>
      </w:r>
      <w:r w:rsidRPr="0021199F">
        <w:rPr>
          <w:rFonts w:ascii="Abadi" w:hAnsi="Abadi"/>
          <w:sz w:val="21"/>
          <w:szCs w:val="21"/>
        </w:rPr>
        <w:t xml:space="preserve">niversidades de la República Mexicana, formados en pleno conocimiento de las necesidades de nuestra población, a los que de manera injusta se ha regalado privilegiado a médicos extranjeros, desconociendo la formación académica de nuestras universidades. Es evidente que estamos ante una violación a la </w:t>
      </w:r>
      <w:r>
        <w:rPr>
          <w:rFonts w:ascii="Abadi" w:hAnsi="Abadi"/>
          <w:sz w:val="21"/>
          <w:szCs w:val="21"/>
        </w:rPr>
        <w:t>L</w:t>
      </w:r>
      <w:r w:rsidRPr="0021199F">
        <w:rPr>
          <w:rFonts w:ascii="Abadi" w:hAnsi="Abadi"/>
          <w:sz w:val="21"/>
          <w:szCs w:val="21"/>
        </w:rPr>
        <w:t>ey que pone en riesgo la salud de la población mexicana</w:t>
      </w:r>
      <w:r>
        <w:rPr>
          <w:rFonts w:ascii="Abadi" w:hAnsi="Abadi"/>
          <w:sz w:val="21"/>
          <w:szCs w:val="21"/>
        </w:rPr>
        <w:t>,</w:t>
      </w:r>
      <w:r w:rsidRPr="0021199F">
        <w:rPr>
          <w:rFonts w:ascii="Abadi" w:hAnsi="Abadi"/>
          <w:sz w:val="21"/>
          <w:szCs w:val="21"/>
        </w:rPr>
        <w:t xml:space="preserve"> en su artículo </w:t>
      </w:r>
      <w:r>
        <w:rPr>
          <w:rFonts w:ascii="Abadi" w:hAnsi="Abadi"/>
          <w:sz w:val="21"/>
          <w:szCs w:val="21"/>
        </w:rPr>
        <w:t>79</w:t>
      </w:r>
      <w:r w:rsidRPr="0021199F">
        <w:rPr>
          <w:rFonts w:ascii="Abadi" w:hAnsi="Abadi"/>
          <w:sz w:val="21"/>
          <w:szCs w:val="21"/>
        </w:rPr>
        <w:t xml:space="preserve"> de la Ley General de Salud, que establece que para el ejercicio de actividades profesionales en el campo de la medicina se requiere que los títulos profesionales o certificados de especialización haya</w:t>
      </w:r>
      <w:r>
        <w:rPr>
          <w:rFonts w:ascii="Abadi" w:hAnsi="Abadi"/>
          <w:sz w:val="21"/>
          <w:szCs w:val="21"/>
        </w:rPr>
        <w:t xml:space="preserve">n </w:t>
      </w:r>
      <w:r w:rsidRPr="0021199F">
        <w:rPr>
          <w:rFonts w:ascii="Abadi" w:hAnsi="Abadi"/>
          <w:sz w:val="21"/>
          <w:szCs w:val="21"/>
        </w:rPr>
        <w:t>sido legalmente expedidos y registrados por las autoridades educativas competentes. Lo que no está del todo claro en el caso de los médicos cubanos</w:t>
      </w:r>
      <w:r>
        <w:rPr>
          <w:rFonts w:ascii="Abadi" w:hAnsi="Abadi"/>
          <w:sz w:val="21"/>
          <w:szCs w:val="21"/>
        </w:rPr>
        <w:t xml:space="preserve">, </w:t>
      </w:r>
      <w:r w:rsidRPr="0021199F">
        <w:rPr>
          <w:rFonts w:ascii="Abadi" w:hAnsi="Abadi"/>
          <w:sz w:val="21"/>
          <w:szCs w:val="21"/>
        </w:rPr>
        <w:t>en manos de quien estaríamos dejando nuestra salud.</w:t>
      </w:r>
    </w:p>
    <w:p w14:paraId="370255ED"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En el mismo sentido, el artículo </w:t>
      </w:r>
      <w:r>
        <w:rPr>
          <w:rFonts w:ascii="Abadi" w:hAnsi="Abadi"/>
          <w:sz w:val="21"/>
          <w:szCs w:val="21"/>
        </w:rPr>
        <w:t>81</w:t>
      </w:r>
      <w:r w:rsidRPr="0021199F">
        <w:rPr>
          <w:rFonts w:ascii="Abadi" w:hAnsi="Abadi"/>
          <w:sz w:val="21"/>
          <w:szCs w:val="21"/>
        </w:rPr>
        <w:t xml:space="preserve"> de la </w:t>
      </w:r>
      <w:r>
        <w:rPr>
          <w:rFonts w:ascii="Abadi" w:hAnsi="Abadi"/>
          <w:sz w:val="21"/>
          <w:szCs w:val="21"/>
        </w:rPr>
        <w:t>L</w:t>
      </w:r>
      <w:r w:rsidRPr="0021199F">
        <w:rPr>
          <w:rFonts w:ascii="Abadi" w:hAnsi="Abadi"/>
          <w:sz w:val="21"/>
          <w:szCs w:val="21"/>
        </w:rPr>
        <w:t>ey citada dispone que la emisión de los diplomas de especialidades médicas corresponde a las instituciones de educación superior y de salud, oficialmente reconocidas antes las autoridades correspondientes. Para la realización de los procedimientos médicos quirúrgicos de especialidad</w:t>
      </w:r>
      <w:r>
        <w:rPr>
          <w:rFonts w:ascii="Abadi" w:hAnsi="Abadi"/>
          <w:sz w:val="21"/>
          <w:szCs w:val="21"/>
        </w:rPr>
        <w:t xml:space="preserve">, </w:t>
      </w:r>
      <w:r w:rsidRPr="0021199F">
        <w:rPr>
          <w:rFonts w:ascii="Abadi" w:hAnsi="Abadi"/>
          <w:sz w:val="21"/>
          <w:szCs w:val="21"/>
        </w:rPr>
        <w:t>se requiere que el especialista haya sido entrenado para la realización de los mismos en instituciones de salud oficialmente reconocidas antes las autoridades correspondientes. Los consejos de especialidades médicas que tengan la declaratoria de idoneidad y que estén reconocidos por el Comité Normativo Nacional de Consejos de Especialidades Médicas, constituido por la Academia Nacional de Medicina de México, la Academia Mexicana de Cirugía y los consejos de ocho especialidades miembros, están facultados para expedir certificados de su respectiva especialidad médica. Todo eso y nada más y nada menos que los médicos cubanos llegan, así como si nada</w:t>
      </w:r>
      <w:r>
        <w:rPr>
          <w:rFonts w:ascii="Abadi" w:hAnsi="Abadi"/>
          <w:sz w:val="21"/>
          <w:szCs w:val="21"/>
        </w:rPr>
        <w:t xml:space="preserve">, hoy, </w:t>
      </w:r>
      <w:r w:rsidRPr="0021199F">
        <w:rPr>
          <w:rFonts w:ascii="Abadi" w:hAnsi="Abadi"/>
          <w:sz w:val="21"/>
          <w:szCs w:val="21"/>
        </w:rPr>
        <w:t>desde esta máxima tribuna, quiero pedir a los legisladores de Morena que aconsejen al presidente López no le tengan miedo. Dígale que en México tenemos médicos</w:t>
      </w:r>
      <w:r>
        <w:rPr>
          <w:rFonts w:ascii="Abadi" w:hAnsi="Abadi"/>
          <w:sz w:val="21"/>
          <w:szCs w:val="21"/>
        </w:rPr>
        <w:t xml:space="preserve">, </w:t>
      </w:r>
      <w:r w:rsidRPr="0021199F">
        <w:rPr>
          <w:rFonts w:ascii="Abadi" w:hAnsi="Abadi"/>
          <w:sz w:val="21"/>
          <w:szCs w:val="21"/>
        </w:rPr>
        <w:t>que tenemos especialistas preparados</w:t>
      </w:r>
      <w:r>
        <w:rPr>
          <w:rFonts w:ascii="Abadi" w:hAnsi="Abadi"/>
          <w:sz w:val="21"/>
          <w:szCs w:val="21"/>
        </w:rPr>
        <w:t>, n</w:t>
      </w:r>
      <w:r w:rsidRPr="0021199F">
        <w:rPr>
          <w:rFonts w:ascii="Abadi" w:hAnsi="Abadi"/>
          <w:sz w:val="21"/>
          <w:szCs w:val="21"/>
        </w:rPr>
        <w:t>o hay necesidad de traer algo que ya se tiene.</w:t>
      </w:r>
    </w:p>
    <w:p w14:paraId="6FA740A9"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Es mejor apoyar </w:t>
      </w:r>
      <w:r>
        <w:rPr>
          <w:rFonts w:ascii="Abadi" w:hAnsi="Abadi"/>
          <w:sz w:val="21"/>
          <w:szCs w:val="21"/>
        </w:rPr>
        <w:t>a las</w:t>
      </w:r>
      <w:r w:rsidRPr="0021199F">
        <w:rPr>
          <w:rFonts w:ascii="Abadi" w:hAnsi="Abadi"/>
          <w:sz w:val="21"/>
          <w:szCs w:val="21"/>
        </w:rPr>
        <w:t xml:space="preserve"> y los médicos de nuestro país, compañeros y compañeras. El presidente debe gobernar para y por la salud de los mexicanos</w:t>
      </w:r>
      <w:r>
        <w:rPr>
          <w:rFonts w:ascii="Abadi" w:hAnsi="Abadi"/>
          <w:sz w:val="21"/>
          <w:szCs w:val="21"/>
        </w:rPr>
        <w:t xml:space="preserve"> y las mexicanas. </w:t>
      </w:r>
    </w:p>
    <w:p w14:paraId="7E687758" w14:textId="3A8F1C0C" w:rsidR="002B30C6" w:rsidRDefault="002B30C6" w:rsidP="002B30C6">
      <w:pPr>
        <w:pStyle w:val="NormalWeb"/>
        <w:jc w:val="both"/>
        <w:rPr>
          <w:rFonts w:ascii="Abadi" w:hAnsi="Abadi"/>
          <w:sz w:val="21"/>
          <w:szCs w:val="21"/>
        </w:rPr>
      </w:pPr>
      <w:r>
        <w:rPr>
          <w:rFonts w:ascii="Abadi" w:hAnsi="Abadi"/>
          <w:sz w:val="21"/>
          <w:szCs w:val="21"/>
        </w:rPr>
        <w:t>(Voz) diputada Presidenta podría concluir por favor, su tiempo ha terminado, (Voz) Diputada Susana, ¡Claro que sí! y</w:t>
      </w:r>
      <w:r w:rsidRPr="0021199F">
        <w:rPr>
          <w:rFonts w:ascii="Abadi" w:hAnsi="Abadi"/>
          <w:sz w:val="21"/>
          <w:szCs w:val="21"/>
        </w:rPr>
        <w:t xml:space="preserve"> no para alimentar la voracidad del Gobierno</w:t>
      </w:r>
      <w:r>
        <w:rPr>
          <w:rFonts w:ascii="Abadi" w:hAnsi="Abadi"/>
          <w:sz w:val="21"/>
          <w:szCs w:val="21"/>
        </w:rPr>
        <w:t xml:space="preserve"> del actor y al cubano, (Voz) diputada Presidenta, su tiempo </w:t>
      </w:r>
      <w:r w:rsidRPr="0021199F">
        <w:rPr>
          <w:rFonts w:ascii="Abadi" w:hAnsi="Abadi"/>
          <w:sz w:val="21"/>
          <w:szCs w:val="21"/>
        </w:rPr>
        <w:t xml:space="preserve">ha terminado por </w:t>
      </w:r>
      <w:r>
        <w:rPr>
          <w:rFonts w:ascii="Abadi" w:hAnsi="Abadi"/>
          <w:sz w:val="21"/>
          <w:szCs w:val="21"/>
        </w:rPr>
        <w:t xml:space="preserve">favor </w:t>
      </w:r>
      <w:r w:rsidRPr="0021199F">
        <w:rPr>
          <w:rFonts w:ascii="Abadi" w:hAnsi="Abadi"/>
          <w:sz w:val="21"/>
          <w:szCs w:val="21"/>
        </w:rPr>
        <w:t>conclu</w:t>
      </w:r>
      <w:r>
        <w:rPr>
          <w:rFonts w:ascii="Abadi" w:hAnsi="Abadi"/>
          <w:sz w:val="21"/>
          <w:szCs w:val="21"/>
        </w:rPr>
        <w:t xml:space="preserve">ya, </w:t>
      </w:r>
      <w:r w:rsidRPr="00332206">
        <w:rPr>
          <w:rFonts w:ascii="Abadi" w:hAnsi="Abadi"/>
          <w:sz w:val="21"/>
          <w:szCs w:val="21"/>
        </w:rPr>
        <w:t>(Voz)</w:t>
      </w:r>
      <w:r>
        <w:rPr>
          <w:rFonts w:ascii="Abadi" w:hAnsi="Abadi"/>
          <w:sz w:val="21"/>
          <w:szCs w:val="21"/>
        </w:rPr>
        <w:t xml:space="preserve"> diputada Susana, y desde</w:t>
      </w:r>
      <w:r w:rsidRPr="0021199F">
        <w:rPr>
          <w:rFonts w:ascii="Abadi" w:hAnsi="Abadi"/>
          <w:sz w:val="21"/>
          <w:szCs w:val="21"/>
        </w:rPr>
        <w:t xml:space="preserve"> Guanajuato</w:t>
      </w:r>
      <w:r>
        <w:rPr>
          <w:rFonts w:ascii="Abadi" w:hAnsi="Abadi"/>
          <w:sz w:val="21"/>
          <w:szCs w:val="21"/>
        </w:rPr>
        <w:t xml:space="preserve"> le </w:t>
      </w:r>
      <w:r w:rsidRPr="0021199F">
        <w:rPr>
          <w:rFonts w:ascii="Abadi" w:hAnsi="Abadi"/>
          <w:sz w:val="21"/>
          <w:szCs w:val="21"/>
        </w:rPr>
        <w:t>decimos</w:t>
      </w:r>
      <w:r>
        <w:rPr>
          <w:rFonts w:ascii="Abadi" w:hAnsi="Abadi"/>
          <w:sz w:val="21"/>
          <w:szCs w:val="21"/>
        </w:rPr>
        <w:t xml:space="preserve"> </w:t>
      </w:r>
      <w:r w:rsidRPr="0021199F">
        <w:rPr>
          <w:rFonts w:ascii="Abadi" w:hAnsi="Abadi"/>
          <w:sz w:val="21"/>
          <w:szCs w:val="21"/>
        </w:rPr>
        <w:t xml:space="preserve">a </w:t>
      </w:r>
      <w:r>
        <w:rPr>
          <w:rFonts w:ascii="Abadi" w:hAnsi="Abadi"/>
          <w:sz w:val="21"/>
          <w:szCs w:val="21"/>
        </w:rPr>
        <w:t>¡</w:t>
      </w:r>
      <w:r w:rsidRPr="0021199F">
        <w:rPr>
          <w:rFonts w:ascii="Abadi" w:hAnsi="Abadi"/>
          <w:sz w:val="21"/>
          <w:szCs w:val="21"/>
        </w:rPr>
        <w:t>ya saben quién</w:t>
      </w:r>
      <w:r>
        <w:rPr>
          <w:rFonts w:ascii="Abadi" w:hAnsi="Abadi"/>
          <w:sz w:val="21"/>
          <w:szCs w:val="21"/>
        </w:rPr>
        <w:t xml:space="preserve">! </w:t>
      </w:r>
      <w:r w:rsidRPr="0021199F">
        <w:rPr>
          <w:rFonts w:ascii="Abadi" w:hAnsi="Abadi"/>
          <w:sz w:val="21"/>
          <w:szCs w:val="21"/>
        </w:rPr>
        <w:t xml:space="preserve">que seguiremos exhibiendo, </w:t>
      </w:r>
      <w:r>
        <w:rPr>
          <w:rFonts w:ascii="Abadi" w:hAnsi="Abadi"/>
          <w:sz w:val="21"/>
          <w:szCs w:val="21"/>
        </w:rPr>
        <w:t>sus discursos autoritarios, por México y por los mexicanos, Acción Nacional los defenderá, (Voz) diputada Presidenta, ¡diputada, sino concluye voy a tener que llamarle la atención!</w:t>
      </w:r>
    </w:p>
    <w:p w14:paraId="08B7772A" w14:textId="57577A71" w:rsidR="002B30C6" w:rsidRDefault="00EF7187" w:rsidP="00EF7187">
      <w:pPr>
        <w:pStyle w:val="NormalWeb"/>
        <w:ind w:firstLine="708"/>
        <w:jc w:val="both"/>
        <w:rPr>
          <w:rFonts w:ascii="Abadi" w:hAnsi="Abadi"/>
          <w:sz w:val="21"/>
          <w:szCs w:val="21"/>
        </w:rPr>
      </w:pPr>
      <w:r>
        <w:rPr>
          <w:rFonts w:ascii="Abadi" w:hAnsi="Abadi"/>
          <w:b/>
          <w:bCs/>
          <w:sz w:val="21"/>
          <w:szCs w:val="21"/>
        </w:rPr>
        <w:t xml:space="preserve">- </w:t>
      </w:r>
      <w:r w:rsidR="002B30C6" w:rsidRPr="00063714">
        <w:rPr>
          <w:rFonts w:ascii="Abadi" w:hAnsi="Abadi"/>
          <w:b/>
          <w:bCs/>
          <w:sz w:val="21"/>
          <w:szCs w:val="21"/>
        </w:rPr>
        <w:t xml:space="preserve">La </w:t>
      </w:r>
      <w:proofErr w:type="gramStart"/>
      <w:r w:rsidR="002B30C6" w:rsidRPr="00063714">
        <w:rPr>
          <w:rFonts w:ascii="Abadi" w:hAnsi="Abadi"/>
          <w:b/>
          <w:bCs/>
          <w:sz w:val="21"/>
          <w:szCs w:val="21"/>
        </w:rPr>
        <w:t>Presidencia.-</w:t>
      </w:r>
      <w:proofErr w:type="gramEnd"/>
      <w:r w:rsidR="002B30C6">
        <w:rPr>
          <w:rFonts w:ascii="Abadi" w:hAnsi="Abadi"/>
          <w:sz w:val="21"/>
          <w:szCs w:val="21"/>
        </w:rPr>
        <w:t xml:space="preserve"> Es momento de darle la vo</w:t>
      </w:r>
      <w:r w:rsidR="0025089C">
        <w:rPr>
          <w:rFonts w:ascii="Abadi" w:hAnsi="Abadi"/>
          <w:sz w:val="21"/>
          <w:szCs w:val="21"/>
        </w:rPr>
        <w:t>z</w:t>
      </w:r>
      <w:r w:rsidR="002B30C6">
        <w:rPr>
          <w:rFonts w:ascii="Abadi" w:hAnsi="Abadi"/>
          <w:sz w:val="21"/>
          <w:szCs w:val="21"/>
        </w:rPr>
        <w:t xml:space="preserve"> al diputado Cuauhtémoc Becerra, hasta por 10 minutos, adelante diputado.</w:t>
      </w:r>
    </w:p>
    <w:p w14:paraId="0163340B" w14:textId="77777777" w:rsidR="002B30C6" w:rsidRDefault="002B30C6" w:rsidP="002B30C6">
      <w:pPr>
        <w:pStyle w:val="NormalWeb"/>
        <w:jc w:val="both"/>
        <w:rPr>
          <w:rFonts w:ascii="Abadi" w:hAnsi="Abadi"/>
          <w:b/>
          <w:bCs/>
          <w:sz w:val="21"/>
          <w:szCs w:val="21"/>
        </w:rPr>
      </w:pPr>
      <w:r w:rsidRPr="00A5574F">
        <w:rPr>
          <w:rFonts w:ascii="Abadi" w:hAnsi="Abadi"/>
          <w:b/>
          <w:sz w:val="21"/>
          <w:szCs w:val="21"/>
        </w:rPr>
        <w:t xml:space="preserve">(Sube a tribuna </w:t>
      </w:r>
      <w:r>
        <w:rPr>
          <w:rFonts w:ascii="Abadi" w:hAnsi="Abadi"/>
          <w:b/>
          <w:sz w:val="21"/>
          <w:szCs w:val="21"/>
        </w:rPr>
        <w:t>el</w:t>
      </w:r>
      <w:r w:rsidRPr="00A5574F">
        <w:rPr>
          <w:rFonts w:ascii="Abadi" w:hAnsi="Abadi"/>
          <w:b/>
          <w:sz w:val="21"/>
          <w:szCs w:val="21"/>
        </w:rPr>
        <w:t xml:space="preserve"> </w:t>
      </w:r>
      <w:r>
        <w:rPr>
          <w:rFonts w:ascii="Abadi" w:hAnsi="Abadi"/>
          <w:b/>
          <w:bCs/>
          <w:sz w:val="21"/>
          <w:szCs w:val="21"/>
        </w:rPr>
        <w:t>Cuauhtémoc Becerra González,</w:t>
      </w:r>
      <w:r w:rsidRPr="00A5574F">
        <w:rPr>
          <w:rFonts w:ascii="Abadi" w:hAnsi="Abadi"/>
          <w:b/>
          <w:sz w:val="21"/>
          <w:szCs w:val="21"/>
        </w:rPr>
        <w:t xml:space="preserve"> para hablar</w:t>
      </w:r>
      <w:r>
        <w:rPr>
          <w:rFonts w:ascii="Abadi" w:hAnsi="Abadi"/>
          <w:b/>
          <w:bCs/>
          <w:sz w:val="21"/>
          <w:szCs w:val="21"/>
        </w:rPr>
        <w:t xml:space="preserve"> </w:t>
      </w:r>
      <w:r w:rsidRPr="00A5574F">
        <w:rPr>
          <w:rFonts w:ascii="Abadi" w:hAnsi="Abadi"/>
          <w:b/>
          <w:sz w:val="21"/>
          <w:szCs w:val="21"/>
        </w:rPr>
        <w:t>de</w:t>
      </w:r>
      <w:r>
        <w:rPr>
          <w:rFonts w:ascii="Abadi" w:hAnsi="Abadi"/>
          <w:b/>
          <w:sz w:val="21"/>
          <w:szCs w:val="21"/>
        </w:rPr>
        <w:t>l «Día Internacional de la homofobia»</w:t>
      </w:r>
      <w:r w:rsidRPr="00A5574F">
        <w:rPr>
          <w:rFonts w:ascii="Abadi" w:hAnsi="Abadi"/>
          <w:b/>
          <w:bCs/>
          <w:sz w:val="21"/>
          <w:szCs w:val="21"/>
        </w:rPr>
        <w:t xml:space="preserve">) </w:t>
      </w:r>
    </w:p>
    <w:p w14:paraId="30B93DCC" w14:textId="77777777" w:rsidR="002B30C6" w:rsidRDefault="002B30C6" w:rsidP="002B30C6">
      <w:pPr>
        <w:pStyle w:val="NormalWeb"/>
        <w:jc w:val="both"/>
        <w:rPr>
          <w:rFonts w:ascii="Abadi" w:hAnsi="Abadi"/>
          <w:b/>
          <w:bCs/>
          <w:sz w:val="21"/>
          <w:szCs w:val="21"/>
        </w:rPr>
      </w:pPr>
      <w:r>
        <w:rPr>
          <w:noProof/>
        </w:rPr>
        <w:drawing>
          <wp:inline distT="0" distB="0" distL="0" distR="0" wp14:anchorId="5E797C06" wp14:editId="7C05F493">
            <wp:extent cx="2035420" cy="1044465"/>
            <wp:effectExtent l="57150" t="95250" r="60325" b="746760"/>
            <wp:docPr id="45" name="Imagen 4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Sitio web&#10;&#10;Descripción generada automáticamente"/>
                    <pic:cNvPicPr/>
                  </pic:nvPicPr>
                  <pic:blipFill rotWithShape="1">
                    <a:blip r:embed="rId73"/>
                    <a:srcRect b="8731"/>
                    <a:stretch/>
                  </pic:blipFill>
                  <pic:spPr bwMode="auto">
                    <a:xfrm>
                      <a:off x="0" y="0"/>
                      <a:ext cx="2052209" cy="105308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extLst>
                      <a:ext uri="{53640926-AAD7-44D8-BBD7-CCE9431645EC}">
                        <a14:shadowObscured xmlns:a14="http://schemas.microsoft.com/office/drawing/2010/main"/>
                      </a:ext>
                    </a:extLst>
                  </pic:spPr>
                </pic:pic>
              </a:graphicData>
            </a:graphic>
          </wp:inline>
        </w:drawing>
      </w:r>
    </w:p>
    <w:p w14:paraId="4D847853" w14:textId="77777777" w:rsidR="002B30C6" w:rsidRDefault="002B30C6" w:rsidP="002B30C6">
      <w:pPr>
        <w:pStyle w:val="NormalWeb"/>
        <w:jc w:val="both"/>
        <w:rPr>
          <w:rFonts w:ascii="Abadi" w:hAnsi="Abadi"/>
          <w:sz w:val="21"/>
          <w:szCs w:val="21"/>
        </w:rPr>
      </w:pPr>
      <w:r>
        <w:rPr>
          <w:rFonts w:ascii="Abadi" w:hAnsi="Abadi"/>
          <w:b/>
          <w:bCs/>
          <w:sz w:val="21"/>
          <w:szCs w:val="21"/>
        </w:rPr>
        <w:t xml:space="preserve">- </w:t>
      </w:r>
      <w:r>
        <w:rPr>
          <w:rFonts w:ascii="Abadi" w:hAnsi="Abadi"/>
          <w:sz w:val="21"/>
          <w:szCs w:val="21"/>
        </w:rPr>
        <w:t>C</w:t>
      </w:r>
      <w:r w:rsidRPr="0021199F">
        <w:rPr>
          <w:rFonts w:ascii="Abadi" w:hAnsi="Abadi"/>
          <w:sz w:val="21"/>
          <w:szCs w:val="21"/>
        </w:rPr>
        <w:t xml:space="preserve">on el permiso de la </w:t>
      </w:r>
      <w:r>
        <w:rPr>
          <w:rFonts w:ascii="Abadi" w:hAnsi="Abadi"/>
          <w:sz w:val="21"/>
          <w:szCs w:val="21"/>
        </w:rPr>
        <w:t>M</w:t>
      </w:r>
      <w:r w:rsidRPr="0021199F">
        <w:rPr>
          <w:rFonts w:ascii="Abadi" w:hAnsi="Abadi"/>
          <w:sz w:val="21"/>
          <w:szCs w:val="21"/>
        </w:rPr>
        <w:t xml:space="preserve">esa </w:t>
      </w:r>
      <w:r>
        <w:rPr>
          <w:rFonts w:ascii="Abadi" w:hAnsi="Abadi"/>
          <w:sz w:val="21"/>
          <w:szCs w:val="21"/>
        </w:rPr>
        <w:t>D</w:t>
      </w:r>
      <w:r w:rsidRPr="0021199F">
        <w:rPr>
          <w:rFonts w:ascii="Abadi" w:hAnsi="Abadi"/>
          <w:sz w:val="21"/>
          <w:szCs w:val="21"/>
        </w:rPr>
        <w:t>irectiva y de quién la preside</w:t>
      </w:r>
      <w:r>
        <w:rPr>
          <w:rFonts w:ascii="Abadi" w:hAnsi="Abadi"/>
          <w:sz w:val="21"/>
          <w:szCs w:val="21"/>
        </w:rPr>
        <w:t>, p</w:t>
      </w:r>
      <w:r w:rsidRPr="0021199F">
        <w:rPr>
          <w:rFonts w:ascii="Abadi" w:hAnsi="Abadi"/>
          <w:sz w:val="21"/>
          <w:szCs w:val="21"/>
        </w:rPr>
        <w:t>or ahí estuve escuchando las intervenciones de</w:t>
      </w:r>
      <w:r>
        <w:rPr>
          <w:rFonts w:ascii="Abadi" w:hAnsi="Abadi"/>
          <w:sz w:val="21"/>
          <w:szCs w:val="21"/>
        </w:rPr>
        <w:t xml:space="preserve"> quienes me</w:t>
      </w:r>
      <w:r w:rsidRPr="0021199F">
        <w:rPr>
          <w:rFonts w:ascii="Abadi" w:hAnsi="Abadi"/>
          <w:sz w:val="21"/>
          <w:szCs w:val="21"/>
        </w:rPr>
        <w:t xml:space="preserve"> antecedieron</w:t>
      </w:r>
      <w:r>
        <w:rPr>
          <w:rFonts w:ascii="Abadi" w:hAnsi="Abadi"/>
          <w:sz w:val="21"/>
          <w:szCs w:val="21"/>
        </w:rPr>
        <w:t xml:space="preserve">, </w:t>
      </w:r>
      <w:r w:rsidRPr="0021199F">
        <w:rPr>
          <w:rFonts w:ascii="Abadi" w:hAnsi="Abadi"/>
          <w:sz w:val="21"/>
          <w:szCs w:val="21"/>
        </w:rPr>
        <w:t>de mis compañeras d</w:t>
      </w:r>
      <w:r>
        <w:rPr>
          <w:rFonts w:ascii="Abadi" w:hAnsi="Abadi"/>
          <w:sz w:val="21"/>
          <w:szCs w:val="21"/>
        </w:rPr>
        <w:t>iputadas</w:t>
      </w:r>
      <w:r w:rsidRPr="0021199F">
        <w:rPr>
          <w:rFonts w:ascii="Abadi" w:hAnsi="Abadi"/>
          <w:sz w:val="21"/>
          <w:szCs w:val="21"/>
        </w:rPr>
        <w:t>. Y por acá dijo Sus</w:t>
      </w:r>
      <w:r>
        <w:rPr>
          <w:rFonts w:ascii="Abadi" w:hAnsi="Abadi"/>
          <w:sz w:val="21"/>
          <w:szCs w:val="21"/>
        </w:rPr>
        <w:t xml:space="preserve">y, </w:t>
      </w:r>
      <w:r w:rsidRPr="0021199F">
        <w:rPr>
          <w:rFonts w:ascii="Abadi" w:hAnsi="Abadi"/>
          <w:sz w:val="21"/>
          <w:szCs w:val="21"/>
        </w:rPr>
        <w:t>que ella iba a decir más verdad</w:t>
      </w:r>
      <w:r>
        <w:rPr>
          <w:rFonts w:ascii="Abadi" w:hAnsi="Abadi"/>
          <w:sz w:val="21"/>
          <w:szCs w:val="21"/>
        </w:rPr>
        <w:t>es. B</w:t>
      </w:r>
      <w:r w:rsidRPr="0021199F">
        <w:rPr>
          <w:rFonts w:ascii="Abadi" w:hAnsi="Abadi"/>
          <w:sz w:val="21"/>
          <w:szCs w:val="21"/>
        </w:rPr>
        <w:t>ueno como dijera Eugenia León, yo no vengo a decir verdades</w:t>
      </w:r>
      <w:r>
        <w:rPr>
          <w:rFonts w:ascii="Abadi" w:hAnsi="Abadi"/>
          <w:sz w:val="21"/>
          <w:szCs w:val="21"/>
        </w:rPr>
        <w:t xml:space="preserve">, yo </w:t>
      </w:r>
      <w:r w:rsidRPr="0021199F">
        <w:rPr>
          <w:rFonts w:ascii="Abadi" w:hAnsi="Abadi"/>
          <w:sz w:val="21"/>
          <w:szCs w:val="21"/>
        </w:rPr>
        <w:t>vengo a ofrecer mi corazón</w:t>
      </w:r>
      <w:r>
        <w:rPr>
          <w:rFonts w:ascii="Abadi" w:hAnsi="Abadi"/>
          <w:sz w:val="21"/>
          <w:szCs w:val="21"/>
        </w:rPr>
        <w:t>, ¡</w:t>
      </w:r>
      <w:proofErr w:type="spellStart"/>
      <w:r>
        <w:rPr>
          <w:rFonts w:ascii="Abadi" w:hAnsi="Abadi"/>
          <w:sz w:val="21"/>
          <w:szCs w:val="21"/>
        </w:rPr>
        <w:t>cab</w:t>
      </w:r>
      <w:proofErr w:type="spellEnd"/>
      <w:r>
        <w:rPr>
          <w:rFonts w:ascii="Abadi" w:hAnsi="Abadi"/>
          <w:sz w:val="21"/>
          <w:szCs w:val="21"/>
        </w:rPr>
        <w:t>! ¡</w:t>
      </w:r>
      <w:proofErr w:type="spellStart"/>
      <w:r>
        <w:rPr>
          <w:rFonts w:ascii="Abadi" w:hAnsi="Abadi"/>
          <w:sz w:val="21"/>
          <w:szCs w:val="21"/>
        </w:rPr>
        <w:t>esoooo</w:t>
      </w:r>
      <w:proofErr w:type="spellEnd"/>
      <w:r>
        <w:rPr>
          <w:rFonts w:ascii="Abadi" w:hAnsi="Abadi"/>
          <w:sz w:val="21"/>
          <w:szCs w:val="21"/>
        </w:rPr>
        <w:t xml:space="preserve">!, </w:t>
      </w:r>
      <w:r w:rsidRPr="0021199F">
        <w:rPr>
          <w:rFonts w:ascii="Abadi" w:hAnsi="Abadi"/>
          <w:sz w:val="21"/>
          <w:szCs w:val="21"/>
        </w:rPr>
        <w:t>y mi intervención, mi participación, que no me gusta a mí hablar en asuntos generales</w:t>
      </w:r>
      <w:r>
        <w:rPr>
          <w:rFonts w:ascii="Abadi" w:hAnsi="Abadi"/>
          <w:sz w:val="21"/>
          <w:szCs w:val="21"/>
        </w:rPr>
        <w:t xml:space="preserve">, </w:t>
      </w:r>
      <w:r w:rsidRPr="0021199F">
        <w:rPr>
          <w:rFonts w:ascii="Abadi" w:hAnsi="Abadi"/>
          <w:sz w:val="21"/>
          <w:szCs w:val="21"/>
        </w:rPr>
        <w:t>porque ya nadie pon</w:t>
      </w:r>
      <w:r>
        <w:rPr>
          <w:rFonts w:ascii="Abadi" w:hAnsi="Abadi"/>
          <w:sz w:val="21"/>
          <w:szCs w:val="21"/>
        </w:rPr>
        <w:t>e</w:t>
      </w:r>
      <w:r w:rsidRPr="0021199F">
        <w:rPr>
          <w:rFonts w:ascii="Abadi" w:hAnsi="Abadi"/>
          <w:sz w:val="21"/>
          <w:szCs w:val="21"/>
        </w:rPr>
        <w:t xml:space="preserve"> atención</w:t>
      </w:r>
      <w:r>
        <w:rPr>
          <w:rFonts w:ascii="Abadi" w:hAnsi="Abadi"/>
          <w:sz w:val="21"/>
          <w:szCs w:val="21"/>
        </w:rPr>
        <w:t>, y</w:t>
      </w:r>
      <w:r w:rsidRPr="0021199F">
        <w:rPr>
          <w:rFonts w:ascii="Abadi" w:hAnsi="Abadi"/>
          <w:sz w:val="21"/>
          <w:szCs w:val="21"/>
        </w:rPr>
        <w:t>a todos se fueron</w:t>
      </w:r>
      <w:r>
        <w:rPr>
          <w:rFonts w:ascii="Abadi" w:hAnsi="Abadi"/>
          <w:sz w:val="21"/>
          <w:szCs w:val="21"/>
        </w:rPr>
        <w:t xml:space="preserve"> </w:t>
      </w:r>
      <w:r w:rsidRPr="0021199F">
        <w:rPr>
          <w:rFonts w:ascii="Abadi" w:hAnsi="Abadi"/>
          <w:sz w:val="21"/>
          <w:szCs w:val="21"/>
        </w:rPr>
        <w:t>y bueno, pero si veo que me están poniendo bueno, por eso dije voy a participar y dicha participaci</w:t>
      </w:r>
      <w:r>
        <w:rPr>
          <w:rFonts w:ascii="Abadi" w:hAnsi="Abadi"/>
          <w:sz w:val="21"/>
          <w:szCs w:val="21"/>
        </w:rPr>
        <w:t xml:space="preserve">ón </w:t>
      </w:r>
      <w:r w:rsidRPr="0021199F">
        <w:rPr>
          <w:rFonts w:ascii="Abadi" w:hAnsi="Abadi"/>
          <w:sz w:val="21"/>
          <w:szCs w:val="21"/>
        </w:rPr>
        <w:t>e</w:t>
      </w:r>
      <w:r>
        <w:rPr>
          <w:rFonts w:ascii="Abadi" w:hAnsi="Abadi"/>
          <w:sz w:val="21"/>
          <w:szCs w:val="21"/>
        </w:rPr>
        <w:t>s en</w:t>
      </w:r>
      <w:r w:rsidRPr="0021199F">
        <w:rPr>
          <w:rFonts w:ascii="Abadi" w:hAnsi="Abadi"/>
          <w:sz w:val="21"/>
          <w:szCs w:val="21"/>
        </w:rPr>
        <w:t xml:space="preserve"> el marco del pasado </w:t>
      </w:r>
      <w:r>
        <w:rPr>
          <w:rFonts w:ascii="Abadi" w:hAnsi="Abadi"/>
          <w:sz w:val="21"/>
          <w:szCs w:val="21"/>
        </w:rPr>
        <w:t>17</w:t>
      </w:r>
      <w:r w:rsidRPr="0021199F">
        <w:rPr>
          <w:rFonts w:ascii="Abadi" w:hAnsi="Abadi"/>
          <w:sz w:val="21"/>
          <w:szCs w:val="21"/>
        </w:rPr>
        <w:t xml:space="preserve"> de mayo, que se conmemora el Día Internacional contra la Homofobia. </w:t>
      </w:r>
    </w:p>
    <w:p w14:paraId="6E08F159"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Y más que eso, vengo a hacer un reconocimiento a todas aquellas personas que ya no están con respeto y reconocimiento a quienes, gracias a ello</w:t>
      </w:r>
      <w:r>
        <w:rPr>
          <w:rFonts w:ascii="Abadi" w:hAnsi="Abadi"/>
          <w:sz w:val="21"/>
          <w:szCs w:val="21"/>
        </w:rPr>
        <w:t xml:space="preserve"> </w:t>
      </w:r>
      <w:r w:rsidRPr="0021199F">
        <w:rPr>
          <w:rFonts w:ascii="Abadi" w:hAnsi="Abadi"/>
          <w:sz w:val="21"/>
          <w:szCs w:val="21"/>
        </w:rPr>
        <w:t>ahora el movimiento está gozando de estos privilegios.</w:t>
      </w:r>
    </w:p>
    <w:p w14:paraId="681FE46E" w14:textId="6A5E399D"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Fueron personas que, siguiendo su esencia, se interpusieron a esos paradigmas establecidos y que lograron o fue compensarla, golpear para poder abrir brecha. Bien, entonces, con ese tenor comienzo</w:t>
      </w:r>
      <w:r>
        <w:rPr>
          <w:rFonts w:ascii="Abadi" w:hAnsi="Abadi"/>
          <w:sz w:val="21"/>
          <w:szCs w:val="21"/>
        </w:rPr>
        <w:t>. E</w:t>
      </w:r>
      <w:r w:rsidRPr="0021199F">
        <w:rPr>
          <w:rFonts w:ascii="Abadi" w:hAnsi="Abadi"/>
          <w:sz w:val="21"/>
          <w:szCs w:val="21"/>
        </w:rPr>
        <w:t xml:space="preserve">stás enfermo, </w:t>
      </w:r>
      <w:r>
        <w:rPr>
          <w:rFonts w:ascii="Abadi" w:hAnsi="Abadi"/>
          <w:sz w:val="21"/>
          <w:szCs w:val="21"/>
        </w:rPr>
        <w:t>la</w:t>
      </w:r>
      <w:r w:rsidRPr="0021199F">
        <w:rPr>
          <w:rFonts w:ascii="Abadi" w:hAnsi="Abadi"/>
          <w:sz w:val="21"/>
          <w:szCs w:val="21"/>
        </w:rPr>
        <w:t xml:space="preserve"> homosexualidad tiene cura, no pasa nada</w:t>
      </w:r>
      <w:r>
        <w:rPr>
          <w:rFonts w:ascii="Abadi" w:hAnsi="Abadi"/>
          <w:sz w:val="21"/>
          <w:szCs w:val="21"/>
        </w:rPr>
        <w:t>, e</w:t>
      </w:r>
      <w:r w:rsidRPr="0021199F">
        <w:rPr>
          <w:rFonts w:ascii="Abadi" w:hAnsi="Abadi"/>
          <w:sz w:val="21"/>
          <w:szCs w:val="21"/>
        </w:rPr>
        <w:t>s un desorden psicológico que se puede curar con terapia</w:t>
      </w:r>
      <w:r>
        <w:rPr>
          <w:rFonts w:ascii="Abadi" w:hAnsi="Abadi"/>
          <w:sz w:val="21"/>
          <w:szCs w:val="21"/>
        </w:rPr>
        <w:t xml:space="preserve">, </w:t>
      </w:r>
      <w:r w:rsidR="00614DED">
        <w:rPr>
          <w:rFonts w:ascii="Abadi" w:hAnsi="Abadi"/>
          <w:sz w:val="21"/>
          <w:szCs w:val="21"/>
        </w:rPr>
        <w:t>¡</w:t>
      </w:r>
      <w:r>
        <w:rPr>
          <w:rFonts w:ascii="Abadi" w:hAnsi="Abadi"/>
          <w:sz w:val="21"/>
          <w:szCs w:val="21"/>
        </w:rPr>
        <w:t>Di</w:t>
      </w:r>
      <w:r w:rsidRPr="0021199F">
        <w:rPr>
          <w:rFonts w:ascii="Abadi" w:hAnsi="Abadi"/>
          <w:sz w:val="21"/>
          <w:szCs w:val="21"/>
        </w:rPr>
        <w:t>os te va a castigar</w:t>
      </w:r>
      <w:r w:rsidR="00614DED">
        <w:rPr>
          <w:rFonts w:ascii="Abadi" w:hAnsi="Abadi"/>
          <w:sz w:val="21"/>
          <w:szCs w:val="21"/>
        </w:rPr>
        <w:t>! ¡</w:t>
      </w:r>
      <w:r>
        <w:rPr>
          <w:rFonts w:ascii="Abadi" w:hAnsi="Abadi"/>
          <w:sz w:val="21"/>
          <w:szCs w:val="21"/>
        </w:rPr>
        <w:t>h</w:t>
      </w:r>
      <w:r w:rsidRPr="0021199F">
        <w:rPr>
          <w:rFonts w:ascii="Abadi" w:hAnsi="Abadi"/>
          <w:sz w:val="21"/>
          <w:szCs w:val="21"/>
        </w:rPr>
        <w:t>ay algo malo en ti</w:t>
      </w:r>
      <w:r w:rsidR="00614DED">
        <w:rPr>
          <w:rFonts w:ascii="Abadi" w:hAnsi="Abadi"/>
          <w:sz w:val="21"/>
          <w:szCs w:val="21"/>
        </w:rPr>
        <w:t>!</w:t>
      </w:r>
      <w:r>
        <w:rPr>
          <w:rFonts w:ascii="Abadi" w:hAnsi="Abadi"/>
          <w:sz w:val="21"/>
          <w:szCs w:val="21"/>
        </w:rPr>
        <w:t xml:space="preserve"> </w:t>
      </w:r>
      <w:r w:rsidR="00646AD3">
        <w:rPr>
          <w:rFonts w:ascii="Abadi" w:hAnsi="Abadi"/>
          <w:sz w:val="21"/>
          <w:szCs w:val="21"/>
        </w:rPr>
        <w:t>¡</w:t>
      </w:r>
      <w:r>
        <w:rPr>
          <w:rFonts w:ascii="Abadi" w:hAnsi="Abadi"/>
          <w:sz w:val="21"/>
          <w:szCs w:val="21"/>
        </w:rPr>
        <w:t>p</w:t>
      </w:r>
      <w:r w:rsidRPr="0021199F">
        <w:rPr>
          <w:rFonts w:ascii="Abadi" w:hAnsi="Abadi"/>
          <w:sz w:val="21"/>
          <w:szCs w:val="21"/>
        </w:rPr>
        <w:t>odrá ser el más inteligente</w:t>
      </w:r>
      <w:r w:rsidR="00646AD3">
        <w:rPr>
          <w:rFonts w:ascii="Abadi" w:hAnsi="Abadi"/>
          <w:sz w:val="21"/>
          <w:szCs w:val="21"/>
        </w:rPr>
        <w:t>!</w:t>
      </w:r>
      <w:r w:rsidRPr="0021199F">
        <w:rPr>
          <w:rFonts w:ascii="Abadi" w:hAnsi="Abadi"/>
          <w:sz w:val="21"/>
          <w:szCs w:val="21"/>
        </w:rPr>
        <w:t xml:space="preserve"> </w:t>
      </w:r>
      <w:r w:rsidR="00646AD3">
        <w:rPr>
          <w:rFonts w:ascii="Abadi" w:hAnsi="Abadi"/>
          <w:sz w:val="21"/>
          <w:szCs w:val="21"/>
        </w:rPr>
        <w:t>¡</w:t>
      </w:r>
      <w:r w:rsidRPr="0021199F">
        <w:rPr>
          <w:rFonts w:ascii="Abadi" w:hAnsi="Abadi"/>
          <w:sz w:val="21"/>
          <w:szCs w:val="21"/>
        </w:rPr>
        <w:t xml:space="preserve">pero </w:t>
      </w:r>
      <w:r w:rsidR="00646AD3">
        <w:rPr>
          <w:rFonts w:ascii="Abadi" w:hAnsi="Abadi"/>
          <w:sz w:val="21"/>
          <w:szCs w:val="21"/>
        </w:rPr>
        <w:t xml:space="preserve">a </w:t>
      </w:r>
      <w:r w:rsidRPr="0021199F">
        <w:rPr>
          <w:rFonts w:ascii="Abadi" w:hAnsi="Abadi"/>
          <w:sz w:val="21"/>
          <w:szCs w:val="21"/>
        </w:rPr>
        <w:t>esta facultad no entras</w:t>
      </w:r>
      <w:r w:rsidR="00646AD3">
        <w:rPr>
          <w:rFonts w:ascii="Abadi" w:hAnsi="Abadi"/>
          <w:sz w:val="21"/>
          <w:szCs w:val="21"/>
        </w:rPr>
        <w:t>!</w:t>
      </w:r>
      <w:r>
        <w:rPr>
          <w:rFonts w:ascii="Abadi" w:hAnsi="Abadi"/>
          <w:sz w:val="21"/>
          <w:szCs w:val="21"/>
        </w:rPr>
        <w:t xml:space="preserve"> </w:t>
      </w:r>
      <w:r w:rsidR="00646AD3">
        <w:rPr>
          <w:rFonts w:ascii="Abadi" w:hAnsi="Abadi"/>
          <w:sz w:val="21"/>
          <w:szCs w:val="21"/>
        </w:rPr>
        <w:t>¡</w:t>
      </w:r>
      <w:r>
        <w:rPr>
          <w:rFonts w:ascii="Abadi" w:hAnsi="Abadi"/>
          <w:sz w:val="21"/>
          <w:szCs w:val="21"/>
        </w:rPr>
        <w:t>e</w:t>
      </w:r>
      <w:r w:rsidRPr="0021199F">
        <w:rPr>
          <w:rFonts w:ascii="Abadi" w:hAnsi="Abadi"/>
          <w:sz w:val="21"/>
          <w:szCs w:val="21"/>
        </w:rPr>
        <w:t>ste es escuela de machos</w:t>
      </w:r>
      <w:r w:rsidR="00646AD3">
        <w:rPr>
          <w:rFonts w:ascii="Abadi" w:hAnsi="Abadi"/>
          <w:sz w:val="21"/>
          <w:szCs w:val="21"/>
        </w:rPr>
        <w:t xml:space="preserve">! </w:t>
      </w:r>
      <w:r w:rsidRPr="0021199F">
        <w:rPr>
          <w:rFonts w:ascii="Abadi" w:hAnsi="Abadi"/>
          <w:sz w:val="21"/>
          <w:szCs w:val="21"/>
        </w:rPr>
        <w:t>Son sólo algunas de las frases que aún persiguen y está estigmatizan a las personas de la diversidad sexual y de género. Frases que con profunda pena dañan la</w:t>
      </w:r>
      <w:r>
        <w:rPr>
          <w:rFonts w:ascii="Abadi" w:hAnsi="Abadi"/>
          <w:sz w:val="21"/>
          <w:szCs w:val="21"/>
        </w:rPr>
        <w:t xml:space="preserve"> psique </w:t>
      </w:r>
      <w:r w:rsidRPr="0021199F">
        <w:rPr>
          <w:rFonts w:ascii="Abadi" w:hAnsi="Abadi"/>
          <w:sz w:val="21"/>
          <w:szCs w:val="21"/>
        </w:rPr>
        <w:t>de cientos de personas todo el tiempo, y no sólo los daña</w:t>
      </w:r>
      <w:r>
        <w:rPr>
          <w:rFonts w:ascii="Abadi" w:hAnsi="Abadi"/>
          <w:sz w:val="21"/>
          <w:szCs w:val="21"/>
        </w:rPr>
        <w:t xml:space="preserve">n, imaginemos a </w:t>
      </w:r>
      <w:r w:rsidRPr="0021199F">
        <w:rPr>
          <w:rFonts w:ascii="Abadi" w:hAnsi="Abadi"/>
          <w:sz w:val="21"/>
          <w:szCs w:val="21"/>
        </w:rPr>
        <w:t xml:space="preserve">esas personitas, a esos candidatos a la vida que de por sí están transitando, padeciendo una lucha interna, sobre todo porque esa esencia y ese sentir no corresponden a lo que nos dicta el </w:t>
      </w:r>
      <w:proofErr w:type="spellStart"/>
      <w:r>
        <w:rPr>
          <w:rFonts w:ascii="Abadi" w:hAnsi="Abadi"/>
          <w:sz w:val="21"/>
          <w:szCs w:val="21"/>
        </w:rPr>
        <w:t>e</w:t>
      </w:r>
      <w:r w:rsidRPr="0021199F">
        <w:rPr>
          <w:rFonts w:ascii="Abadi" w:hAnsi="Abadi"/>
          <w:sz w:val="21"/>
          <w:szCs w:val="21"/>
        </w:rPr>
        <w:t>structo</w:t>
      </w:r>
      <w:proofErr w:type="spellEnd"/>
      <w:r w:rsidRPr="0021199F">
        <w:rPr>
          <w:rFonts w:ascii="Abadi" w:hAnsi="Abadi"/>
          <w:sz w:val="21"/>
          <w:szCs w:val="21"/>
        </w:rPr>
        <w:t xml:space="preserve"> social. Entonces ya es doble problema</w:t>
      </w:r>
      <w:r>
        <w:rPr>
          <w:rFonts w:ascii="Abadi" w:hAnsi="Abadi"/>
          <w:sz w:val="21"/>
          <w:szCs w:val="21"/>
        </w:rPr>
        <w:t xml:space="preserve">, y </w:t>
      </w:r>
      <w:r w:rsidRPr="0021199F">
        <w:rPr>
          <w:rFonts w:ascii="Abadi" w:hAnsi="Abadi"/>
          <w:sz w:val="21"/>
          <w:szCs w:val="21"/>
        </w:rPr>
        <w:t xml:space="preserve">si encima recibimos de este tipo de frases </w:t>
      </w:r>
      <w:r>
        <w:rPr>
          <w:rFonts w:ascii="Abadi" w:hAnsi="Abadi"/>
          <w:sz w:val="21"/>
          <w:szCs w:val="21"/>
        </w:rPr>
        <w:t>¡a</w:t>
      </w:r>
      <w:r w:rsidRPr="0021199F">
        <w:rPr>
          <w:rFonts w:ascii="Abadi" w:hAnsi="Abadi"/>
          <w:sz w:val="21"/>
          <w:szCs w:val="21"/>
        </w:rPr>
        <w:t>y</w:t>
      </w:r>
      <w:r>
        <w:rPr>
          <w:rFonts w:ascii="Abadi" w:hAnsi="Abadi"/>
          <w:sz w:val="21"/>
          <w:szCs w:val="21"/>
        </w:rPr>
        <w:t xml:space="preserve"> nan</w:t>
      </w:r>
      <w:r w:rsidRPr="0021199F">
        <w:rPr>
          <w:rFonts w:ascii="Abadi" w:hAnsi="Abadi"/>
          <w:sz w:val="21"/>
          <w:szCs w:val="21"/>
        </w:rPr>
        <w:t>ita</w:t>
      </w:r>
      <w:r>
        <w:rPr>
          <w:rFonts w:ascii="Abadi" w:hAnsi="Abadi"/>
          <w:sz w:val="21"/>
          <w:szCs w:val="21"/>
        </w:rPr>
        <w:t>!</w:t>
      </w:r>
    </w:p>
    <w:p w14:paraId="2A8B4EF7"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Pues bien, los sentimientos de vergüenza, culpa y miedo</w:t>
      </w:r>
      <w:r>
        <w:rPr>
          <w:rFonts w:ascii="Abadi" w:hAnsi="Abadi"/>
          <w:sz w:val="21"/>
          <w:szCs w:val="21"/>
        </w:rPr>
        <w:t xml:space="preserve">. </w:t>
      </w:r>
      <w:r w:rsidRPr="0021199F">
        <w:rPr>
          <w:rFonts w:ascii="Abadi" w:hAnsi="Abadi"/>
          <w:sz w:val="21"/>
          <w:szCs w:val="21"/>
        </w:rPr>
        <w:t>Permean en la vida social de las personas, de la diversidad sexual y de géner</w:t>
      </w:r>
      <w:r>
        <w:rPr>
          <w:rFonts w:ascii="Abadi" w:hAnsi="Abadi"/>
          <w:sz w:val="21"/>
          <w:szCs w:val="21"/>
        </w:rPr>
        <w:t xml:space="preserve">o. Cincelan </w:t>
      </w:r>
      <w:r w:rsidRPr="0021199F">
        <w:rPr>
          <w:rFonts w:ascii="Abadi" w:hAnsi="Abadi"/>
          <w:sz w:val="21"/>
          <w:szCs w:val="21"/>
        </w:rPr>
        <w:t>poco a poco</w:t>
      </w:r>
      <w:r>
        <w:rPr>
          <w:rFonts w:ascii="Abadi" w:hAnsi="Abadi"/>
          <w:sz w:val="21"/>
          <w:szCs w:val="21"/>
        </w:rPr>
        <w:t xml:space="preserve"> </w:t>
      </w:r>
      <w:r w:rsidRPr="0021199F">
        <w:rPr>
          <w:rFonts w:ascii="Abadi" w:hAnsi="Abadi"/>
          <w:sz w:val="21"/>
          <w:szCs w:val="21"/>
        </w:rPr>
        <w:t xml:space="preserve">la posibilidad de vivir una vida libre, pero también justifican los estereotipos y prejuicios que mantienen a esta sociedad mexicana en el atraso. No podemos tolerar y ser indolentes ante los discursos de odio manifestados mediante la homofobia, bifobia y transfobia. Un </w:t>
      </w:r>
      <w:r>
        <w:rPr>
          <w:rFonts w:ascii="Abadi" w:hAnsi="Abadi"/>
          <w:sz w:val="21"/>
          <w:szCs w:val="21"/>
        </w:rPr>
        <w:t>17</w:t>
      </w:r>
      <w:r w:rsidRPr="0021199F">
        <w:rPr>
          <w:rFonts w:ascii="Abadi" w:hAnsi="Abadi"/>
          <w:sz w:val="21"/>
          <w:szCs w:val="21"/>
        </w:rPr>
        <w:t xml:space="preserve"> de mayo del año</w:t>
      </w:r>
      <w:r>
        <w:rPr>
          <w:rFonts w:ascii="Abadi" w:hAnsi="Abadi"/>
          <w:sz w:val="21"/>
          <w:szCs w:val="21"/>
        </w:rPr>
        <w:t xml:space="preserve"> 1990</w:t>
      </w:r>
      <w:r w:rsidRPr="0021199F">
        <w:rPr>
          <w:rFonts w:ascii="Abadi" w:hAnsi="Abadi"/>
          <w:sz w:val="21"/>
          <w:szCs w:val="21"/>
        </w:rPr>
        <w:t>, tras años de lucha de la comunidad, la Asamblea General de la Organización Mundial de la Salud eliminó a la homosexualidad de la lista de enfermedades mentales. Lo anterior como un esfuerzo importante para dejar de asociar la homosexualidad con un desorden mental y combatir así la discriminación sistemática. Desde ese año de</w:t>
      </w:r>
      <w:r>
        <w:rPr>
          <w:rFonts w:ascii="Abadi" w:hAnsi="Abadi"/>
          <w:sz w:val="21"/>
          <w:szCs w:val="21"/>
        </w:rPr>
        <w:t xml:space="preserve"> 1990, c</w:t>
      </w:r>
      <w:r w:rsidRPr="0021199F">
        <w:rPr>
          <w:rFonts w:ascii="Abadi" w:hAnsi="Abadi"/>
          <w:sz w:val="21"/>
          <w:szCs w:val="21"/>
        </w:rPr>
        <w:t xml:space="preserve">ada </w:t>
      </w:r>
      <w:r>
        <w:rPr>
          <w:rFonts w:ascii="Abadi" w:hAnsi="Abadi"/>
          <w:sz w:val="21"/>
          <w:szCs w:val="21"/>
        </w:rPr>
        <w:t>17</w:t>
      </w:r>
      <w:r w:rsidRPr="0021199F">
        <w:rPr>
          <w:rFonts w:ascii="Abadi" w:hAnsi="Abadi"/>
          <w:sz w:val="21"/>
          <w:szCs w:val="21"/>
        </w:rPr>
        <w:t xml:space="preserve"> de mayo se conmemora el Día Internacional contra la Homofobia, la </w:t>
      </w:r>
      <w:r>
        <w:rPr>
          <w:rFonts w:ascii="Abadi" w:hAnsi="Abadi"/>
          <w:sz w:val="21"/>
          <w:szCs w:val="21"/>
        </w:rPr>
        <w:t>t</w:t>
      </w:r>
      <w:r w:rsidRPr="0021199F">
        <w:rPr>
          <w:rFonts w:ascii="Abadi" w:hAnsi="Abadi"/>
          <w:sz w:val="21"/>
          <w:szCs w:val="21"/>
        </w:rPr>
        <w:t>ransfobia y la</w:t>
      </w:r>
      <w:r>
        <w:rPr>
          <w:rFonts w:ascii="Abadi" w:hAnsi="Abadi"/>
          <w:sz w:val="21"/>
          <w:szCs w:val="21"/>
        </w:rPr>
        <w:t xml:space="preserve"> </w:t>
      </w:r>
      <w:proofErr w:type="spellStart"/>
      <w:r>
        <w:rPr>
          <w:rFonts w:ascii="Abadi" w:hAnsi="Abadi"/>
          <w:sz w:val="21"/>
          <w:szCs w:val="21"/>
        </w:rPr>
        <w:t>bisfobia</w:t>
      </w:r>
      <w:proofErr w:type="spellEnd"/>
      <w:r w:rsidRPr="0021199F">
        <w:rPr>
          <w:rFonts w:ascii="Abadi" w:hAnsi="Abadi"/>
          <w:sz w:val="21"/>
          <w:szCs w:val="21"/>
        </w:rPr>
        <w:t xml:space="preserve">. Este es un día de profunda reflexión en tono a las acciones u omisiones que el Estado mantiene en materia de derechos humanos de la comunidad. </w:t>
      </w:r>
      <w:proofErr w:type="spellStart"/>
      <w:r>
        <w:rPr>
          <w:rFonts w:ascii="Abadi" w:hAnsi="Abadi"/>
          <w:sz w:val="21"/>
          <w:szCs w:val="21"/>
        </w:rPr>
        <w:t>LGBTy</w:t>
      </w:r>
      <w:proofErr w:type="spellEnd"/>
      <w:r>
        <w:rPr>
          <w:rFonts w:ascii="Abadi" w:hAnsi="Abadi"/>
          <w:sz w:val="21"/>
          <w:szCs w:val="21"/>
        </w:rPr>
        <w:t>+</w:t>
      </w:r>
      <w:r w:rsidRPr="0021199F">
        <w:rPr>
          <w:rFonts w:ascii="Abadi" w:hAnsi="Abadi"/>
          <w:sz w:val="21"/>
          <w:szCs w:val="21"/>
        </w:rPr>
        <w:t xml:space="preserve"> </w:t>
      </w:r>
      <w:r>
        <w:rPr>
          <w:rFonts w:ascii="Abadi" w:hAnsi="Abadi"/>
          <w:sz w:val="21"/>
          <w:szCs w:val="21"/>
        </w:rPr>
        <w:t xml:space="preserve">  </w:t>
      </w:r>
      <w:r w:rsidRPr="0021199F">
        <w:rPr>
          <w:rFonts w:ascii="Abadi" w:hAnsi="Abadi"/>
          <w:sz w:val="21"/>
          <w:szCs w:val="21"/>
        </w:rPr>
        <w:t>pues no</w:t>
      </w:r>
      <w:r>
        <w:rPr>
          <w:rFonts w:ascii="Abadi" w:hAnsi="Abadi"/>
          <w:sz w:val="21"/>
          <w:szCs w:val="21"/>
        </w:rPr>
        <w:t xml:space="preserve">s </w:t>
      </w:r>
      <w:r w:rsidRPr="0021199F">
        <w:rPr>
          <w:rFonts w:ascii="Abadi" w:hAnsi="Abadi"/>
          <w:sz w:val="21"/>
          <w:szCs w:val="21"/>
        </w:rPr>
        <w:t>recuerda que debemos seguir luchando por un mundo donde todas</w:t>
      </w:r>
      <w:r>
        <w:rPr>
          <w:rFonts w:ascii="Abadi" w:hAnsi="Abadi"/>
          <w:sz w:val="21"/>
          <w:szCs w:val="21"/>
        </w:rPr>
        <w:t>,</w:t>
      </w:r>
      <w:r w:rsidRPr="0021199F">
        <w:rPr>
          <w:rFonts w:ascii="Abadi" w:hAnsi="Abadi"/>
          <w:sz w:val="21"/>
          <w:szCs w:val="21"/>
        </w:rPr>
        <w:t xml:space="preserve"> todos </w:t>
      </w:r>
      <w:r>
        <w:rPr>
          <w:rFonts w:ascii="Abadi" w:hAnsi="Abadi"/>
          <w:sz w:val="21"/>
          <w:szCs w:val="21"/>
        </w:rPr>
        <w:t xml:space="preserve">y todes </w:t>
      </w:r>
      <w:r w:rsidRPr="0021199F">
        <w:rPr>
          <w:rFonts w:ascii="Abadi" w:hAnsi="Abadi"/>
          <w:sz w:val="21"/>
          <w:szCs w:val="21"/>
        </w:rPr>
        <w:t xml:space="preserve">seamos libres para expresar nuestro amor y nuestra identidad. La voluntad política de quiénes somos representantes populares debe ser aquella que mantenga una apuesta firme y enérgica por garantizar el máximo reconocimiento de las identidades y orientaciones sexuales libres, así como una absoluta disposición </w:t>
      </w:r>
      <w:r>
        <w:rPr>
          <w:rFonts w:ascii="Abadi" w:hAnsi="Abadi"/>
          <w:sz w:val="21"/>
          <w:szCs w:val="21"/>
        </w:rPr>
        <w:t xml:space="preserve">a </w:t>
      </w:r>
      <w:r w:rsidRPr="0021199F">
        <w:rPr>
          <w:rFonts w:ascii="Abadi" w:hAnsi="Abadi"/>
          <w:sz w:val="21"/>
          <w:szCs w:val="21"/>
        </w:rPr>
        <w:t xml:space="preserve">abrazar a la </w:t>
      </w:r>
      <w:r>
        <w:rPr>
          <w:rFonts w:ascii="Abadi" w:hAnsi="Abadi"/>
          <w:sz w:val="21"/>
          <w:szCs w:val="21"/>
        </w:rPr>
        <w:t>diversidad</w:t>
      </w:r>
      <w:r w:rsidRPr="0021199F">
        <w:rPr>
          <w:rFonts w:ascii="Abadi" w:hAnsi="Abadi"/>
          <w:sz w:val="21"/>
          <w:szCs w:val="21"/>
        </w:rPr>
        <w:t xml:space="preserve"> misma como un pilar fundamental para mantener una vida democrática sana.</w:t>
      </w:r>
    </w:p>
    <w:p w14:paraId="3D612F00" w14:textId="77777777" w:rsidR="002B30C6" w:rsidRDefault="002B30C6" w:rsidP="002B30C6">
      <w:pPr>
        <w:pStyle w:val="NormalWeb"/>
        <w:jc w:val="both"/>
        <w:rPr>
          <w:rFonts w:ascii="Abadi" w:hAnsi="Abadi"/>
          <w:sz w:val="21"/>
          <w:szCs w:val="21"/>
        </w:rPr>
      </w:pPr>
      <w:r>
        <w:rPr>
          <w:rFonts w:ascii="Abadi" w:hAnsi="Abadi"/>
          <w:sz w:val="21"/>
          <w:szCs w:val="21"/>
        </w:rPr>
        <w:t>¡</w:t>
      </w:r>
      <w:r w:rsidRPr="0021199F">
        <w:rPr>
          <w:rFonts w:ascii="Abadi" w:hAnsi="Abadi"/>
          <w:sz w:val="21"/>
          <w:szCs w:val="21"/>
        </w:rPr>
        <w:t>Sí</w:t>
      </w:r>
      <w:r>
        <w:rPr>
          <w:rFonts w:ascii="Abadi" w:hAnsi="Abadi"/>
          <w:sz w:val="21"/>
          <w:szCs w:val="21"/>
        </w:rPr>
        <w:t xml:space="preserve">! </w:t>
      </w:r>
      <w:r w:rsidRPr="0021199F">
        <w:rPr>
          <w:rFonts w:ascii="Abadi" w:hAnsi="Abadi"/>
          <w:sz w:val="21"/>
          <w:szCs w:val="21"/>
        </w:rPr>
        <w:t xml:space="preserve">es cierto que en este país las cosas han ido cambiando, pero también se deben de reconocer los </w:t>
      </w:r>
      <w:r>
        <w:rPr>
          <w:rFonts w:ascii="Abadi" w:hAnsi="Abadi"/>
          <w:sz w:val="21"/>
          <w:szCs w:val="21"/>
        </w:rPr>
        <w:t>retos</w:t>
      </w:r>
      <w:r w:rsidRPr="0021199F">
        <w:rPr>
          <w:rFonts w:ascii="Abadi" w:hAnsi="Abadi"/>
          <w:sz w:val="21"/>
          <w:szCs w:val="21"/>
        </w:rPr>
        <w:t xml:space="preserve"> que, como legisladoras y legisladores, aún tenemos pendientes por resolver. Se cometen crímenes de odio </w:t>
      </w:r>
      <w:proofErr w:type="spellStart"/>
      <w:r w:rsidRPr="0021199F">
        <w:rPr>
          <w:rFonts w:ascii="Abadi" w:hAnsi="Abadi"/>
          <w:sz w:val="21"/>
          <w:szCs w:val="21"/>
        </w:rPr>
        <w:t>tra</w:t>
      </w:r>
      <w:r>
        <w:rPr>
          <w:rFonts w:ascii="Abadi" w:hAnsi="Abadi"/>
          <w:sz w:val="21"/>
          <w:szCs w:val="21"/>
        </w:rPr>
        <w:t>n</w:t>
      </w:r>
      <w:r w:rsidRPr="0021199F">
        <w:rPr>
          <w:rFonts w:ascii="Abadi" w:hAnsi="Abadi"/>
          <w:sz w:val="21"/>
          <w:szCs w:val="21"/>
        </w:rPr>
        <w:t>s-feminicidios</w:t>
      </w:r>
      <w:proofErr w:type="spellEnd"/>
      <w:r w:rsidRPr="0021199F">
        <w:rPr>
          <w:rFonts w:ascii="Abadi" w:hAnsi="Abadi"/>
          <w:sz w:val="21"/>
          <w:szCs w:val="21"/>
        </w:rPr>
        <w:t>, terapias de conversión, se impide el cambio de identidad y se limita el acceso a los derechos socioeconómicos a parejas del mismo sexo. Considero que hay mucho por resolver y necesitamos que todas y todos mantengamos una postura de escucha activa a la diversidad sexual y de género. En el marco de esta conmemoración, compañeras y compañeros les invito a que cerremos filas</w:t>
      </w:r>
      <w:r>
        <w:rPr>
          <w:rFonts w:ascii="Abadi" w:hAnsi="Abadi"/>
          <w:sz w:val="21"/>
          <w:szCs w:val="21"/>
        </w:rPr>
        <w:t>, a</w:t>
      </w:r>
      <w:r w:rsidRPr="0021199F">
        <w:rPr>
          <w:rFonts w:ascii="Abadi" w:hAnsi="Abadi"/>
          <w:sz w:val="21"/>
          <w:szCs w:val="21"/>
        </w:rPr>
        <w:t xml:space="preserve">bramos los ojos, </w:t>
      </w:r>
      <w:r>
        <w:rPr>
          <w:rFonts w:ascii="Abadi" w:hAnsi="Abadi"/>
          <w:sz w:val="21"/>
          <w:szCs w:val="21"/>
        </w:rPr>
        <w:t>tendamos</w:t>
      </w:r>
      <w:r w:rsidRPr="0021199F">
        <w:rPr>
          <w:rFonts w:ascii="Abadi" w:hAnsi="Abadi"/>
          <w:sz w:val="21"/>
          <w:szCs w:val="21"/>
        </w:rPr>
        <w:t xml:space="preserve"> puentes y seamos empáticos para entender y abrazar la diversidad</w:t>
      </w:r>
      <w:r>
        <w:rPr>
          <w:rFonts w:ascii="Abadi" w:hAnsi="Abadi"/>
          <w:sz w:val="21"/>
          <w:szCs w:val="21"/>
        </w:rPr>
        <w:t xml:space="preserve">. A la </w:t>
      </w:r>
      <w:r w:rsidRPr="0021199F">
        <w:rPr>
          <w:rFonts w:ascii="Abadi" w:hAnsi="Abadi"/>
          <w:sz w:val="21"/>
          <w:szCs w:val="21"/>
        </w:rPr>
        <w:t>comunidad</w:t>
      </w:r>
      <w:r>
        <w:rPr>
          <w:rFonts w:ascii="Abadi" w:hAnsi="Abadi"/>
          <w:sz w:val="21"/>
          <w:szCs w:val="21"/>
        </w:rPr>
        <w:t xml:space="preserve"> </w:t>
      </w:r>
      <w:proofErr w:type="spellStart"/>
      <w:r>
        <w:rPr>
          <w:rFonts w:ascii="Abadi" w:hAnsi="Abadi"/>
          <w:sz w:val="21"/>
          <w:szCs w:val="21"/>
        </w:rPr>
        <w:t>LGBTy</w:t>
      </w:r>
      <w:proofErr w:type="spellEnd"/>
      <w:r>
        <w:rPr>
          <w:rFonts w:ascii="Abadi" w:hAnsi="Abadi"/>
          <w:sz w:val="21"/>
          <w:szCs w:val="21"/>
        </w:rPr>
        <w:t>+, q</w:t>
      </w:r>
      <w:r w:rsidRPr="0021199F">
        <w:rPr>
          <w:rFonts w:ascii="Abadi" w:hAnsi="Abadi"/>
          <w:sz w:val="21"/>
          <w:szCs w:val="21"/>
        </w:rPr>
        <w:t>uisiera hacerle saber</w:t>
      </w:r>
      <w:r>
        <w:rPr>
          <w:rFonts w:ascii="Abadi" w:hAnsi="Abadi"/>
          <w:sz w:val="21"/>
          <w:szCs w:val="21"/>
        </w:rPr>
        <w:t xml:space="preserve">, </w:t>
      </w:r>
      <w:r w:rsidRPr="0021199F">
        <w:rPr>
          <w:rFonts w:ascii="Abadi" w:hAnsi="Abadi"/>
          <w:sz w:val="21"/>
          <w:szCs w:val="21"/>
        </w:rPr>
        <w:t xml:space="preserve">que desde el </w:t>
      </w:r>
      <w:r>
        <w:rPr>
          <w:rFonts w:ascii="Abadi" w:hAnsi="Abadi"/>
          <w:sz w:val="21"/>
          <w:szCs w:val="21"/>
        </w:rPr>
        <w:t>G</w:t>
      </w:r>
      <w:r w:rsidRPr="0021199F">
        <w:rPr>
          <w:rFonts w:ascii="Abadi" w:hAnsi="Abadi"/>
          <w:sz w:val="21"/>
          <w:szCs w:val="21"/>
        </w:rPr>
        <w:t xml:space="preserve">rupo </w:t>
      </w:r>
      <w:r>
        <w:rPr>
          <w:rFonts w:ascii="Abadi" w:hAnsi="Abadi"/>
          <w:sz w:val="21"/>
          <w:szCs w:val="21"/>
        </w:rPr>
        <w:t>P</w:t>
      </w:r>
      <w:r w:rsidRPr="0021199F">
        <w:rPr>
          <w:rFonts w:ascii="Abadi" w:hAnsi="Abadi"/>
          <w:sz w:val="21"/>
          <w:szCs w:val="21"/>
        </w:rPr>
        <w:t>arlamentario de Morena seguiremos luchando para defenderles</w:t>
      </w:r>
      <w:r>
        <w:rPr>
          <w:rFonts w:ascii="Abadi" w:hAnsi="Abadi"/>
          <w:sz w:val="21"/>
          <w:szCs w:val="21"/>
        </w:rPr>
        <w:t xml:space="preserve">, respaldarles y </w:t>
      </w:r>
      <w:r w:rsidRPr="0021199F">
        <w:rPr>
          <w:rFonts w:ascii="Abadi" w:hAnsi="Abadi"/>
          <w:sz w:val="21"/>
          <w:szCs w:val="21"/>
        </w:rPr>
        <w:t>representarles, que aquí existe un profundo respeto y aceptación a la diversidad. Y como prueba de ellos están los exhorto</w:t>
      </w:r>
      <w:r>
        <w:rPr>
          <w:rFonts w:ascii="Abadi" w:hAnsi="Abadi"/>
          <w:sz w:val="21"/>
          <w:szCs w:val="21"/>
        </w:rPr>
        <w:t>s e i</w:t>
      </w:r>
      <w:r w:rsidRPr="0021199F">
        <w:rPr>
          <w:rFonts w:ascii="Abadi" w:hAnsi="Abadi"/>
          <w:sz w:val="21"/>
          <w:szCs w:val="21"/>
        </w:rPr>
        <w:t xml:space="preserve">niciativas que nosotros, como </w:t>
      </w:r>
      <w:r>
        <w:rPr>
          <w:rFonts w:ascii="Abadi" w:hAnsi="Abadi"/>
          <w:sz w:val="21"/>
          <w:szCs w:val="21"/>
        </w:rPr>
        <w:t>G</w:t>
      </w:r>
      <w:r w:rsidRPr="0021199F">
        <w:rPr>
          <w:rFonts w:ascii="Abadi" w:hAnsi="Abadi"/>
          <w:sz w:val="21"/>
          <w:szCs w:val="21"/>
        </w:rPr>
        <w:t xml:space="preserve">rupo </w:t>
      </w:r>
      <w:r>
        <w:rPr>
          <w:rFonts w:ascii="Abadi" w:hAnsi="Abadi"/>
          <w:sz w:val="21"/>
          <w:szCs w:val="21"/>
        </w:rPr>
        <w:t>P</w:t>
      </w:r>
      <w:r w:rsidRPr="0021199F">
        <w:rPr>
          <w:rFonts w:ascii="Abadi" w:hAnsi="Abadi"/>
          <w:sz w:val="21"/>
          <w:szCs w:val="21"/>
        </w:rPr>
        <w:t>arlamentario de Morena, hemos presentado.</w:t>
      </w:r>
    </w:p>
    <w:p w14:paraId="5454E199"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Y no solo en esta legislatura, sino también el anterior de la </w:t>
      </w:r>
      <w:r>
        <w:rPr>
          <w:rFonts w:ascii="Abadi" w:hAnsi="Abadi"/>
          <w:sz w:val="21"/>
          <w:szCs w:val="21"/>
        </w:rPr>
        <w:t>S</w:t>
      </w:r>
      <w:r w:rsidRPr="0021199F">
        <w:rPr>
          <w:rFonts w:ascii="Abadi" w:hAnsi="Abadi"/>
          <w:sz w:val="21"/>
          <w:szCs w:val="21"/>
        </w:rPr>
        <w:t xml:space="preserve">exagésima </w:t>
      </w:r>
      <w:r>
        <w:rPr>
          <w:rFonts w:ascii="Abadi" w:hAnsi="Abadi"/>
          <w:sz w:val="21"/>
          <w:szCs w:val="21"/>
        </w:rPr>
        <w:t>C</w:t>
      </w:r>
      <w:r w:rsidRPr="0021199F">
        <w:rPr>
          <w:rFonts w:ascii="Abadi" w:hAnsi="Abadi"/>
          <w:sz w:val="21"/>
          <w:szCs w:val="21"/>
        </w:rPr>
        <w:t xml:space="preserve">uarta. No daremos paso atrás en la búsqueda de garantizar el acceso a derechos para los grupos históricamente violentados. </w:t>
      </w:r>
    </w:p>
    <w:p w14:paraId="575F992D" w14:textId="77777777" w:rsidR="002B30C6" w:rsidRDefault="002B30C6" w:rsidP="002B30C6">
      <w:pPr>
        <w:pStyle w:val="NormalWeb"/>
        <w:jc w:val="both"/>
        <w:rPr>
          <w:rFonts w:ascii="Abadi" w:hAnsi="Abadi"/>
          <w:sz w:val="21"/>
          <w:szCs w:val="21"/>
        </w:rPr>
      </w:pPr>
      <w:r>
        <w:rPr>
          <w:rFonts w:ascii="Abadi" w:hAnsi="Abadi"/>
          <w:sz w:val="21"/>
          <w:szCs w:val="21"/>
        </w:rPr>
        <w:t>-</w:t>
      </w:r>
      <w:r w:rsidRPr="0021199F">
        <w:rPr>
          <w:rFonts w:ascii="Abadi" w:hAnsi="Abadi"/>
          <w:sz w:val="21"/>
          <w:szCs w:val="21"/>
        </w:rPr>
        <w:t>La homofobia, bifobia y transfobia son reales, nos cobran vidas, nos roban el privilegio de conoce</w:t>
      </w:r>
      <w:r>
        <w:rPr>
          <w:rFonts w:ascii="Abadi" w:hAnsi="Abadi"/>
          <w:sz w:val="21"/>
          <w:szCs w:val="21"/>
        </w:rPr>
        <w:t xml:space="preserve">r </w:t>
      </w:r>
      <w:r w:rsidRPr="0021199F">
        <w:rPr>
          <w:rFonts w:ascii="Abadi" w:hAnsi="Abadi"/>
          <w:sz w:val="21"/>
          <w:szCs w:val="21"/>
        </w:rPr>
        <w:t>otras</w:t>
      </w:r>
      <w:r>
        <w:rPr>
          <w:rFonts w:ascii="Abadi" w:hAnsi="Abadi"/>
          <w:sz w:val="21"/>
          <w:szCs w:val="21"/>
        </w:rPr>
        <w:t xml:space="preserve">, </w:t>
      </w:r>
      <w:r w:rsidRPr="0021199F">
        <w:rPr>
          <w:rFonts w:ascii="Abadi" w:hAnsi="Abadi"/>
          <w:sz w:val="21"/>
          <w:szCs w:val="21"/>
        </w:rPr>
        <w:t>otros y otres</w:t>
      </w:r>
      <w:r>
        <w:rPr>
          <w:rFonts w:ascii="Abadi" w:hAnsi="Abadi"/>
          <w:sz w:val="21"/>
          <w:szCs w:val="21"/>
        </w:rPr>
        <w:t xml:space="preserve">, </w:t>
      </w:r>
      <w:r w:rsidRPr="0021199F">
        <w:rPr>
          <w:rFonts w:ascii="Abadi" w:hAnsi="Abadi"/>
          <w:sz w:val="21"/>
          <w:szCs w:val="21"/>
        </w:rPr>
        <w:t>sigamos haciendo brecha</w:t>
      </w:r>
      <w:r>
        <w:rPr>
          <w:rFonts w:ascii="Abadi" w:hAnsi="Abadi"/>
          <w:sz w:val="21"/>
          <w:szCs w:val="21"/>
        </w:rPr>
        <w:t>.</w:t>
      </w:r>
    </w:p>
    <w:p w14:paraId="09843116" w14:textId="4A75750A" w:rsidR="002B30C6" w:rsidRDefault="005B4F74" w:rsidP="002B30C6">
      <w:pPr>
        <w:pStyle w:val="NormalWeb"/>
        <w:jc w:val="both"/>
        <w:rPr>
          <w:rFonts w:ascii="Abadi" w:hAnsi="Abadi"/>
          <w:sz w:val="21"/>
          <w:szCs w:val="21"/>
        </w:rPr>
      </w:pPr>
      <w:r>
        <w:rPr>
          <w:rFonts w:ascii="Abadi" w:hAnsi="Abadi"/>
          <w:sz w:val="21"/>
          <w:szCs w:val="21"/>
        </w:rPr>
        <w:t xml:space="preserve">- </w:t>
      </w:r>
      <w:r w:rsidR="002B30C6">
        <w:rPr>
          <w:rFonts w:ascii="Abadi" w:hAnsi="Abadi"/>
          <w:sz w:val="21"/>
          <w:szCs w:val="21"/>
        </w:rPr>
        <w:t>Es cuanto,</w:t>
      </w:r>
      <w:r w:rsidR="002B30C6" w:rsidRPr="0021199F">
        <w:rPr>
          <w:rFonts w:ascii="Abadi" w:hAnsi="Abadi"/>
          <w:sz w:val="21"/>
          <w:szCs w:val="21"/>
        </w:rPr>
        <w:t xml:space="preserve"> compañeros</w:t>
      </w:r>
      <w:r w:rsidR="002B30C6">
        <w:rPr>
          <w:rFonts w:ascii="Abadi" w:hAnsi="Abadi"/>
          <w:sz w:val="21"/>
          <w:szCs w:val="21"/>
        </w:rPr>
        <w:t>.</w:t>
      </w:r>
    </w:p>
    <w:p w14:paraId="2F5BD563" w14:textId="084D8F55" w:rsidR="002B30C6" w:rsidRDefault="005B4F74" w:rsidP="005B4F74">
      <w:pPr>
        <w:pStyle w:val="NormalWeb"/>
        <w:ind w:firstLine="708"/>
        <w:jc w:val="both"/>
        <w:rPr>
          <w:rFonts w:ascii="Abadi" w:hAnsi="Abadi"/>
          <w:sz w:val="21"/>
          <w:szCs w:val="21"/>
        </w:rPr>
      </w:pPr>
      <w:r>
        <w:rPr>
          <w:rFonts w:ascii="Abadi" w:hAnsi="Abadi"/>
          <w:b/>
          <w:bCs/>
          <w:sz w:val="21"/>
          <w:szCs w:val="21"/>
        </w:rPr>
        <w:t xml:space="preserve">- </w:t>
      </w:r>
      <w:r w:rsidR="002B30C6" w:rsidRPr="00A80EFB">
        <w:rPr>
          <w:rFonts w:ascii="Abadi" w:hAnsi="Abadi"/>
          <w:b/>
          <w:bCs/>
          <w:sz w:val="21"/>
          <w:szCs w:val="21"/>
        </w:rPr>
        <w:t xml:space="preserve">La </w:t>
      </w:r>
      <w:r w:rsidR="002B30C6">
        <w:rPr>
          <w:rFonts w:ascii="Abadi" w:hAnsi="Abadi"/>
          <w:b/>
          <w:bCs/>
          <w:sz w:val="21"/>
          <w:szCs w:val="21"/>
        </w:rPr>
        <w:t>P</w:t>
      </w:r>
      <w:r w:rsidR="002B30C6" w:rsidRPr="00A80EFB">
        <w:rPr>
          <w:rFonts w:ascii="Abadi" w:hAnsi="Abadi"/>
          <w:b/>
          <w:bCs/>
          <w:sz w:val="21"/>
          <w:szCs w:val="21"/>
        </w:rPr>
        <w:t>residencia. -</w:t>
      </w:r>
      <w:r w:rsidR="002B30C6">
        <w:rPr>
          <w:rFonts w:ascii="Abadi" w:hAnsi="Abadi"/>
          <w:sz w:val="21"/>
          <w:szCs w:val="21"/>
        </w:rPr>
        <w:t xml:space="preserve"> M</w:t>
      </w:r>
      <w:r w:rsidR="002B30C6" w:rsidRPr="0021199F">
        <w:rPr>
          <w:rFonts w:ascii="Abadi" w:hAnsi="Abadi"/>
          <w:sz w:val="21"/>
          <w:szCs w:val="21"/>
        </w:rPr>
        <w:t xml:space="preserve">uy bien </w:t>
      </w:r>
      <w:r w:rsidR="002B30C6">
        <w:rPr>
          <w:rFonts w:ascii="Abadi" w:hAnsi="Abadi"/>
          <w:sz w:val="21"/>
          <w:szCs w:val="21"/>
        </w:rPr>
        <w:t>m</w:t>
      </w:r>
      <w:r w:rsidR="002B30C6" w:rsidRPr="0021199F">
        <w:rPr>
          <w:rFonts w:ascii="Abadi" w:hAnsi="Abadi"/>
          <w:sz w:val="21"/>
          <w:szCs w:val="21"/>
        </w:rPr>
        <w:t xml:space="preserve">uchas gracias, </w:t>
      </w:r>
      <w:r w:rsidR="002B30C6">
        <w:rPr>
          <w:rFonts w:ascii="Abadi" w:hAnsi="Abadi"/>
          <w:sz w:val="21"/>
          <w:szCs w:val="21"/>
        </w:rPr>
        <w:t>d</w:t>
      </w:r>
      <w:r w:rsidR="002B30C6" w:rsidRPr="0021199F">
        <w:rPr>
          <w:rFonts w:ascii="Abadi" w:hAnsi="Abadi"/>
          <w:sz w:val="21"/>
          <w:szCs w:val="21"/>
        </w:rPr>
        <w:t>iputad</w:t>
      </w:r>
      <w:r w:rsidR="002B30C6">
        <w:rPr>
          <w:rFonts w:ascii="Abadi" w:hAnsi="Abadi"/>
          <w:sz w:val="21"/>
          <w:szCs w:val="21"/>
        </w:rPr>
        <w:t>o Cuauhtémoc</w:t>
      </w:r>
      <w:r w:rsidR="002B30C6" w:rsidRPr="0021199F">
        <w:rPr>
          <w:rFonts w:ascii="Abadi" w:hAnsi="Abadi"/>
          <w:sz w:val="21"/>
          <w:szCs w:val="21"/>
        </w:rPr>
        <w:t>.</w:t>
      </w:r>
    </w:p>
    <w:p w14:paraId="1309451E" w14:textId="77777777" w:rsidR="0025089C" w:rsidRDefault="005B4F74" w:rsidP="007E6754">
      <w:pPr>
        <w:pStyle w:val="NormalWeb"/>
        <w:ind w:firstLine="708"/>
        <w:jc w:val="both"/>
        <w:rPr>
          <w:rFonts w:ascii="Abadi" w:hAnsi="Abadi"/>
          <w:sz w:val="21"/>
          <w:szCs w:val="21"/>
        </w:rPr>
      </w:pPr>
      <w:r>
        <w:rPr>
          <w:rFonts w:ascii="Abadi" w:hAnsi="Abadi"/>
          <w:sz w:val="21"/>
          <w:szCs w:val="21"/>
        </w:rPr>
        <w:t xml:space="preserve">- </w:t>
      </w:r>
      <w:r w:rsidR="002B30C6" w:rsidRPr="0021199F">
        <w:rPr>
          <w:rFonts w:ascii="Abadi" w:hAnsi="Abadi"/>
          <w:sz w:val="21"/>
          <w:szCs w:val="21"/>
        </w:rPr>
        <w:t>Se otorga el uso de la voz a la diputada</w:t>
      </w:r>
      <w:r w:rsidR="002B30C6">
        <w:rPr>
          <w:rFonts w:ascii="Abadi" w:hAnsi="Abadi"/>
          <w:sz w:val="21"/>
          <w:szCs w:val="21"/>
        </w:rPr>
        <w:t xml:space="preserve"> Martha Edith</w:t>
      </w:r>
      <w:r w:rsidR="002B30C6" w:rsidRPr="0021199F">
        <w:rPr>
          <w:rFonts w:ascii="Abadi" w:hAnsi="Abadi"/>
          <w:sz w:val="21"/>
          <w:szCs w:val="21"/>
        </w:rPr>
        <w:t xml:space="preserve"> Moreno Valencia, hasta por </w:t>
      </w:r>
      <w:r w:rsidR="002B30C6">
        <w:rPr>
          <w:rFonts w:ascii="Abadi" w:hAnsi="Abadi"/>
          <w:sz w:val="21"/>
          <w:szCs w:val="21"/>
        </w:rPr>
        <w:t>10</w:t>
      </w:r>
      <w:r w:rsidR="002B30C6" w:rsidRPr="0021199F">
        <w:rPr>
          <w:rFonts w:ascii="Abadi" w:hAnsi="Abadi"/>
          <w:sz w:val="21"/>
          <w:szCs w:val="21"/>
        </w:rPr>
        <w:t xml:space="preserve"> minutos. </w:t>
      </w:r>
    </w:p>
    <w:p w14:paraId="3B38C719" w14:textId="468522F0" w:rsidR="005B4F74" w:rsidRDefault="0025089C" w:rsidP="007E6754">
      <w:pPr>
        <w:pStyle w:val="NormalWeb"/>
        <w:ind w:firstLine="708"/>
        <w:jc w:val="both"/>
        <w:rPr>
          <w:rFonts w:ascii="Abadi" w:hAnsi="Abadi"/>
          <w:sz w:val="21"/>
          <w:szCs w:val="21"/>
        </w:rPr>
      </w:pPr>
      <w:r>
        <w:rPr>
          <w:rFonts w:ascii="Abadi" w:hAnsi="Abadi"/>
          <w:sz w:val="21"/>
          <w:szCs w:val="21"/>
        </w:rPr>
        <w:t xml:space="preserve">- </w:t>
      </w:r>
      <w:r w:rsidR="002B30C6" w:rsidRPr="0021199F">
        <w:rPr>
          <w:rFonts w:ascii="Abadi" w:hAnsi="Abadi"/>
          <w:sz w:val="21"/>
          <w:szCs w:val="21"/>
        </w:rPr>
        <w:t>Adelante</w:t>
      </w:r>
      <w:r w:rsidR="002B30C6">
        <w:rPr>
          <w:rFonts w:ascii="Abadi" w:hAnsi="Abadi"/>
          <w:sz w:val="21"/>
          <w:szCs w:val="21"/>
        </w:rPr>
        <w:t xml:space="preserve"> </w:t>
      </w:r>
      <w:r w:rsidR="002B30C6" w:rsidRPr="0021199F">
        <w:rPr>
          <w:rFonts w:ascii="Abadi" w:hAnsi="Abadi"/>
          <w:sz w:val="21"/>
          <w:szCs w:val="21"/>
        </w:rPr>
        <w:t>diputada.</w:t>
      </w:r>
    </w:p>
    <w:p w14:paraId="4C09F21A" w14:textId="77777777" w:rsidR="005B4F74" w:rsidRDefault="005B4F74" w:rsidP="005B4F74">
      <w:pPr>
        <w:pStyle w:val="NormalWeb"/>
        <w:ind w:firstLine="708"/>
        <w:jc w:val="both"/>
        <w:rPr>
          <w:rFonts w:ascii="Abadi" w:hAnsi="Abadi"/>
          <w:sz w:val="21"/>
          <w:szCs w:val="21"/>
        </w:rPr>
      </w:pPr>
    </w:p>
    <w:p w14:paraId="731FE814" w14:textId="77777777" w:rsidR="002B30C6" w:rsidRDefault="002B30C6" w:rsidP="002B30C6">
      <w:pPr>
        <w:pStyle w:val="NormalWeb"/>
        <w:jc w:val="both"/>
        <w:rPr>
          <w:rFonts w:ascii="Abadi" w:hAnsi="Abadi"/>
          <w:b/>
          <w:bCs/>
          <w:sz w:val="21"/>
          <w:szCs w:val="21"/>
        </w:rPr>
      </w:pPr>
      <w:r w:rsidRPr="00A5574F">
        <w:rPr>
          <w:rFonts w:ascii="Abadi" w:hAnsi="Abadi"/>
          <w:b/>
          <w:sz w:val="21"/>
          <w:szCs w:val="21"/>
        </w:rPr>
        <w:t xml:space="preserve">(Sube a tribuna </w:t>
      </w:r>
      <w:r>
        <w:rPr>
          <w:rFonts w:ascii="Abadi" w:hAnsi="Abadi"/>
          <w:b/>
          <w:sz w:val="21"/>
          <w:szCs w:val="21"/>
        </w:rPr>
        <w:t xml:space="preserve">la diputada </w:t>
      </w:r>
      <w:r>
        <w:rPr>
          <w:rFonts w:ascii="Abadi" w:hAnsi="Abadi"/>
          <w:b/>
          <w:bCs/>
          <w:sz w:val="21"/>
          <w:szCs w:val="21"/>
        </w:rPr>
        <w:t xml:space="preserve">Martha Edith Moreno Valencia, </w:t>
      </w:r>
      <w:r w:rsidRPr="00A5574F">
        <w:rPr>
          <w:rFonts w:ascii="Abadi" w:hAnsi="Abadi"/>
          <w:b/>
          <w:sz w:val="21"/>
          <w:szCs w:val="21"/>
        </w:rPr>
        <w:t>para hablar de</w:t>
      </w:r>
      <w:r>
        <w:rPr>
          <w:rFonts w:ascii="Abadi" w:hAnsi="Abadi"/>
          <w:b/>
          <w:sz w:val="21"/>
          <w:szCs w:val="21"/>
        </w:rPr>
        <w:t xml:space="preserve"> «Guanajuato la grandeza de México»</w:t>
      </w:r>
      <w:r w:rsidRPr="00A5574F">
        <w:rPr>
          <w:rFonts w:ascii="Abadi" w:hAnsi="Abadi"/>
          <w:b/>
          <w:bCs/>
          <w:sz w:val="21"/>
          <w:szCs w:val="21"/>
        </w:rPr>
        <w:t xml:space="preserve">) </w:t>
      </w:r>
    </w:p>
    <w:p w14:paraId="2A89A1F1" w14:textId="5AB38621" w:rsidR="005B4F74" w:rsidRDefault="005B4F74" w:rsidP="002B30C6">
      <w:pPr>
        <w:pStyle w:val="NormalWeb"/>
        <w:jc w:val="both"/>
        <w:rPr>
          <w:rFonts w:ascii="Abadi" w:hAnsi="Abadi"/>
          <w:b/>
          <w:bCs/>
          <w:sz w:val="21"/>
          <w:szCs w:val="21"/>
        </w:rPr>
      </w:pPr>
      <w:r>
        <w:rPr>
          <w:noProof/>
        </w:rPr>
        <w:drawing>
          <wp:anchor distT="0" distB="0" distL="114300" distR="114300" simplePos="0" relativeHeight="251658260" behindDoc="1" locked="0" layoutInCell="1" allowOverlap="1" wp14:anchorId="5CDF1D73" wp14:editId="37F51091">
            <wp:simplePos x="0" y="0"/>
            <wp:positionH relativeFrom="column">
              <wp:posOffset>300843</wp:posOffset>
            </wp:positionH>
            <wp:positionV relativeFrom="paragraph">
              <wp:posOffset>143461</wp:posOffset>
            </wp:positionV>
            <wp:extent cx="1857519" cy="962204"/>
            <wp:effectExtent l="0" t="133350" r="0" b="752475"/>
            <wp:wrapTight wrapText="bothSides">
              <wp:wrapPolygon edited="0">
                <wp:start x="13514" y="-2994"/>
                <wp:lineTo x="0" y="-2139"/>
                <wp:lineTo x="0" y="22669"/>
                <wp:lineTo x="443" y="38067"/>
                <wp:lineTo x="3545" y="38067"/>
                <wp:lineTo x="3766" y="37212"/>
                <wp:lineTo x="19938" y="32079"/>
                <wp:lineTo x="20160" y="4705"/>
                <wp:lineTo x="19717" y="-1711"/>
                <wp:lineTo x="19717" y="-2994"/>
                <wp:lineTo x="13514" y="-2994"/>
              </wp:wrapPolygon>
            </wp:wrapTight>
            <wp:docPr id="12"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10;&#10;Descripción generada automáticamente"/>
                    <pic:cNvPicPr/>
                  </pic:nvPicPr>
                  <pic:blipFill rotWithShape="1">
                    <a:blip r:embed="rId74" cstate="print">
                      <a:extLst>
                        <a:ext uri="{28A0092B-C50C-407E-A947-70E740481C1C}">
                          <a14:useLocalDpi xmlns:a14="http://schemas.microsoft.com/office/drawing/2010/main" val="0"/>
                        </a:ext>
                      </a:extLst>
                    </a:blip>
                    <a:srcRect b="7865"/>
                    <a:stretch/>
                  </pic:blipFill>
                  <pic:spPr bwMode="auto">
                    <a:xfrm>
                      <a:off x="0" y="0"/>
                      <a:ext cx="1857519" cy="962204"/>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5EA79297" w14:textId="7B98E8D8" w:rsidR="005B4F74" w:rsidRDefault="005B4F74" w:rsidP="002B30C6">
      <w:pPr>
        <w:pStyle w:val="NormalWeb"/>
        <w:jc w:val="both"/>
        <w:rPr>
          <w:rFonts w:ascii="Abadi" w:hAnsi="Abadi"/>
          <w:b/>
          <w:bCs/>
          <w:sz w:val="21"/>
          <w:szCs w:val="21"/>
        </w:rPr>
      </w:pPr>
    </w:p>
    <w:p w14:paraId="31DE6E33" w14:textId="6313892F" w:rsidR="005B4F74" w:rsidRDefault="005B4F74" w:rsidP="002B30C6">
      <w:pPr>
        <w:pStyle w:val="NormalWeb"/>
        <w:jc w:val="both"/>
        <w:rPr>
          <w:rFonts w:ascii="Abadi" w:hAnsi="Abadi"/>
          <w:b/>
          <w:bCs/>
          <w:sz w:val="21"/>
          <w:szCs w:val="21"/>
        </w:rPr>
      </w:pPr>
    </w:p>
    <w:p w14:paraId="6A85E990" w14:textId="253D5486" w:rsidR="005B4F74" w:rsidRDefault="005B4F74" w:rsidP="002B30C6">
      <w:pPr>
        <w:pStyle w:val="NormalWeb"/>
        <w:jc w:val="both"/>
        <w:rPr>
          <w:rFonts w:ascii="Abadi" w:hAnsi="Abadi"/>
          <w:b/>
          <w:bCs/>
          <w:sz w:val="21"/>
          <w:szCs w:val="21"/>
        </w:rPr>
      </w:pPr>
    </w:p>
    <w:p w14:paraId="6E10E2CC" w14:textId="77777777" w:rsidR="005B4F74" w:rsidRDefault="005B4F74" w:rsidP="002B30C6">
      <w:pPr>
        <w:pStyle w:val="NormalWeb"/>
        <w:jc w:val="both"/>
        <w:rPr>
          <w:rFonts w:ascii="Abadi" w:hAnsi="Abadi"/>
          <w:b/>
          <w:bCs/>
          <w:sz w:val="21"/>
          <w:szCs w:val="21"/>
        </w:rPr>
      </w:pPr>
    </w:p>
    <w:p w14:paraId="5128BA5B" w14:textId="77777777" w:rsidR="005B4F74" w:rsidRDefault="005B4F74" w:rsidP="002B30C6">
      <w:pPr>
        <w:pStyle w:val="NormalWeb"/>
        <w:jc w:val="both"/>
        <w:rPr>
          <w:rFonts w:ascii="Abadi" w:hAnsi="Abadi"/>
          <w:sz w:val="21"/>
          <w:szCs w:val="21"/>
        </w:rPr>
      </w:pPr>
    </w:p>
    <w:p w14:paraId="389C59D6" w14:textId="342D83DE"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Gracias, señora Presidenta, qué gusto estar de nuevo en esta tribuna. Pues vamos a hablar un poquito de lo que debería de ser</w:t>
      </w:r>
      <w:r>
        <w:rPr>
          <w:rFonts w:ascii="Abadi" w:hAnsi="Abadi"/>
          <w:sz w:val="21"/>
          <w:szCs w:val="21"/>
        </w:rPr>
        <w:t xml:space="preserve"> nuestra </w:t>
      </w:r>
      <w:r w:rsidRPr="0021199F">
        <w:rPr>
          <w:rFonts w:ascii="Abadi" w:hAnsi="Abadi"/>
          <w:sz w:val="21"/>
          <w:szCs w:val="21"/>
        </w:rPr>
        <w:t>prioridad</w:t>
      </w:r>
      <w:r>
        <w:rPr>
          <w:rFonts w:ascii="Abadi" w:hAnsi="Abadi"/>
          <w:sz w:val="21"/>
          <w:szCs w:val="21"/>
        </w:rPr>
        <w:t>, l</w:t>
      </w:r>
      <w:r w:rsidRPr="0021199F">
        <w:rPr>
          <w:rFonts w:ascii="Abadi" w:hAnsi="Abadi"/>
          <w:sz w:val="21"/>
          <w:szCs w:val="21"/>
        </w:rPr>
        <w:t xml:space="preserve">a verdad de Guanajuato. Desde el </w:t>
      </w:r>
      <w:r>
        <w:rPr>
          <w:rFonts w:ascii="Abadi" w:hAnsi="Abadi"/>
          <w:sz w:val="21"/>
          <w:szCs w:val="21"/>
        </w:rPr>
        <w:t>26</w:t>
      </w:r>
      <w:r w:rsidRPr="0021199F">
        <w:rPr>
          <w:rFonts w:ascii="Abadi" w:hAnsi="Abadi"/>
          <w:sz w:val="21"/>
          <w:szCs w:val="21"/>
        </w:rPr>
        <w:t xml:space="preserve"> de septiembre del</w:t>
      </w:r>
      <w:r>
        <w:rPr>
          <w:rFonts w:ascii="Abadi" w:hAnsi="Abadi"/>
          <w:sz w:val="21"/>
          <w:szCs w:val="21"/>
        </w:rPr>
        <w:t xml:space="preserve"> 2018</w:t>
      </w:r>
      <w:r w:rsidRPr="0021199F">
        <w:rPr>
          <w:rFonts w:ascii="Abadi" w:hAnsi="Abadi"/>
          <w:sz w:val="21"/>
          <w:szCs w:val="21"/>
        </w:rPr>
        <w:t xml:space="preserve"> se presentó el gran lema que sería el </w:t>
      </w:r>
      <w:r>
        <w:rPr>
          <w:rFonts w:ascii="Abadi" w:hAnsi="Abadi"/>
          <w:sz w:val="21"/>
          <w:szCs w:val="21"/>
        </w:rPr>
        <w:t>hueco</w:t>
      </w:r>
      <w:r w:rsidRPr="0021199F">
        <w:rPr>
          <w:rFonts w:ascii="Abadi" w:hAnsi="Abadi"/>
          <w:sz w:val="21"/>
          <w:szCs w:val="21"/>
        </w:rPr>
        <w:t xml:space="preserve"> mantra de nuestro gobernador Guanajuato, la grandeza de México. ¿Sin embargo, Guanajuato es la grandeza de México? Es una pregunta que les hago a las y los ciudadanos</w:t>
      </w:r>
      <w:r>
        <w:rPr>
          <w:rFonts w:ascii="Abadi" w:hAnsi="Abadi"/>
          <w:sz w:val="21"/>
          <w:szCs w:val="21"/>
        </w:rPr>
        <w:t xml:space="preserve"> Guanajuatenses, pero </w:t>
      </w:r>
      <w:r w:rsidRPr="0021199F">
        <w:rPr>
          <w:rFonts w:ascii="Abadi" w:hAnsi="Abadi"/>
          <w:sz w:val="21"/>
          <w:szCs w:val="21"/>
        </w:rPr>
        <w:t xml:space="preserve">también es una pregunta que deberíamos hacernos cada uno de nosotros. Hoy les quiero decir algunas cosas que deberíamos de saber. Y una de ellas es que no hay ninguna prueba que apoye la afirmación de que somos la grandeza de México. La realidad es que en </w:t>
      </w:r>
      <w:r>
        <w:rPr>
          <w:rFonts w:ascii="Abadi" w:hAnsi="Abadi"/>
          <w:sz w:val="21"/>
          <w:szCs w:val="21"/>
        </w:rPr>
        <w:t>30</w:t>
      </w:r>
      <w:r w:rsidRPr="0021199F">
        <w:rPr>
          <w:rFonts w:ascii="Abadi" w:hAnsi="Abadi"/>
          <w:sz w:val="21"/>
          <w:szCs w:val="21"/>
        </w:rPr>
        <w:t xml:space="preserve"> años de </w:t>
      </w:r>
      <w:r>
        <w:rPr>
          <w:rFonts w:ascii="Abadi" w:hAnsi="Abadi"/>
          <w:sz w:val="21"/>
          <w:szCs w:val="21"/>
        </w:rPr>
        <w:t>panismo</w:t>
      </w:r>
      <w:r w:rsidRPr="0021199F">
        <w:rPr>
          <w:rFonts w:ascii="Abadi" w:hAnsi="Abadi"/>
          <w:sz w:val="21"/>
          <w:szCs w:val="21"/>
        </w:rPr>
        <w:t xml:space="preserve"> en Guanajuato no estamos ni cerca de </w:t>
      </w:r>
      <w:r>
        <w:rPr>
          <w:rFonts w:ascii="Abadi" w:hAnsi="Abadi"/>
          <w:sz w:val="21"/>
          <w:szCs w:val="21"/>
        </w:rPr>
        <w:t>serlo</w:t>
      </w:r>
      <w:r w:rsidRPr="0021199F">
        <w:rPr>
          <w:rFonts w:ascii="Abadi" w:hAnsi="Abadi"/>
          <w:sz w:val="21"/>
          <w:szCs w:val="21"/>
        </w:rPr>
        <w:t xml:space="preserve">. Somos el séptimo lugar a nivel nacional en extorsiones, con </w:t>
      </w:r>
      <w:r>
        <w:rPr>
          <w:rFonts w:ascii="Abadi" w:hAnsi="Abadi"/>
          <w:sz w:val="21"/>
          <w:szCs w:val="21"/>
        </w:rPr>
        <w:t xml:space="preserve">373 </w:t>
      </w:r>
      <w:r w:rsidRPr="0021199F">
        <w:rPr>
          <w:rFonts w:ascii="Abadi" w:hAnsi="Abadi"/>
          <w:sz w:val="21"/>
          <w:szCs w:val="21"/>
        </w:rPr>
        <w:t xml:space="preserve">carpetas de investigación. </w:t>
      </w:r>
    </w:p>
    <w:p w14:paraId="612F3C3C"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Somos el décimo lugar con más analfabetismo, con una tasa de </w:t>
      </w:r>
      <w:r>
        <w:rPr>
          <w:rFonts w:ascii="Abadi" w:hAnsi="Abadi"/>
          <w:sz w:val="21"/>
          <w:szCs w:val="21"/>
        </w:rPr>
        <w:t>5.4%, y</w:t>
      </w:r>
      <w:r w:rsidRPr="0021199F">
        <w:rPr>
          <w:rFonts w:ascii="Abadi" w:hAnsi="Abadi"/>
          <w:sz w:val="21"/>
          <w:szCs w:val="21"/>
        </w:rPr>
        <w:t xml:space="preserve"> tenemos al municipio con más población analfabeta</w:t>
      </w:r>
      <w:r>
        <w:rPr>
          <w:rFonts w:ascii="Abadi" w:hAnsi="Abadi"/>
          <w:sz w:val="21"/>
          <w:szCs w:val="21"/>
        </w:rPr>
        <w:t xml:space="preserve"> del</w:t>
      </w:r>
      <w:r w:rsidRPr="0021199F">
        <w:rPr>
          <w:rFonts w:ascii="Abadi" w:hAnsi="Abadi"/>
          <w:sz w:val="21"/>
          <w:szCs w:val="21"/>
        </w:rPr>
        <w:t xml:space="preserve"> país</w:t>
      </w:r>
      <w:r>
        <w:rPr>
          <w:rFonts w:ascii="Abadi" w:hAnsi="Abadi"/>
          <w:sz w:val="21"/>
          <w:szCs w:val="21"/>
        </w:rPr>
        <w:t xml:space="preserve">, </w:t>
      </w:r>
      <w:r w:rsidRPr="0021199F">
        <w:rPr>
          <w:rFonts w:ascii="Abadi" w:hAnsi="Abadi"/>
          <w:sz w:val="21"/>
          <w:szCs w:val="21"/>
        </w:rPr>
        <w:t>que es Le</w:t>
      </w:r>
      <w:r>
        <w:rPr>
          <w:rFonts w:ascii="Abadi" w:hAnsi="Abadi"/>
          <w:sz w:val="21"/>
          <w:szCs w:val="21"/>
        </w:rPr>
        <w:t>ón, s</w:t>
      </w:r>
      <w:r w:rsidRPr="0021199F">
        <w:rPr>
          <w:rFonts w:ascii="Abadi" w:hAnsi="Abadi"/>
          <w:sz w:val="21"/>
          <w:szCs w:val="21"/>
        </w:rPr>
        <w:t xml:space="preserve">omos el lugar </w:t>
      </w:r>
      <w:r>
        <w:rPr>
          <w:rFonts w:ascii="Abadi" w:hAnsi="Abadi"/>
          <w:sz w:val="21"/>
          <w:szCs w:val="21"/>
        </w:rPr>
        <w:t>18</w:t>
      </w:r>
      <w:r w:rsidRPr="0021199F">
        <w:rPr>
          <w:rFonts w:ascii="Abadi" w:hAnsi="Abadi"/>
          <w:sz w:val="21"/>
          <w:szCs w:val="21"/>
        </w:rPr>
        <w:t xml:space="preserve"> en esperanza de vida</w:t>
      </w:r>
      <w:r>
        <w:rPr>
          <w:rFonts w:ascii="Abadi" w:hAnsi="Abadi"/>
          <w:sz w:val="21"/>
          <w:szCs w:val="21"/>
        </w:rPr>
        <w:t xml:space="preserve">, somos </w:t>
      </w:r>
      <w:r w:rsidRPr="0021199F">
        <w:rPr>
          <w:rFonts w:ascii="Abadi" w:hAnsi="Abadi"/>
          <w:sz w:val="21"/>
          <w:szCs w:val="21"/>
        </w:rPr>
        <w:t xml:space="preserve">el </w:t>
      </w:r>
      <w:r>
        <w:rPr>
          <w:rFonts w:ascii="Abadi" w:hAnsi="Abadi"/>
          <w:sz w:val="21"/>
          <w:szCs w:val="21"/>
        </w:rPr>
        <w:t>noveno</w:t>
      </w:r>
      <w:r w:rsidRPr="0021199F">
        <w:rPr>
          <w:rFonts w:ascii="Abadi" w:hAnsi="Abadi"/>
          <w:sz w:val="21"/>
          <w:szCs w:val="21"/>
        </w:rPr>
        <w:t xml:space="preserve"> lugar entre los trabajadores que ganan menos de </w:t>
      </w:r>
      <w:r>
        <w:rPr>
          <w:rFonts w:ascii="Abadi" w:hAnsi="Abadi"/>
          <w:sz w:val="21"/>
          <w:szCs w:val="21"/>
        </w:rPr>
        <w:t>5</w:t>
      </w:r>
      <w:r w:rsidRPr="0021199F">
        <w:rPr>
          <w:rFonts w:ascii="Abadi" w:hAnsi="Abadi"/>
          <w:sz w:val="21"/>
          <w:szCs w:val="21"/>
        </w:rPr>
        <w:t xml:space="preserve"> mil pesos al mes</w:t>
      </w:r>
      <w:r>
        <w:rPr>
          <w:rFonts w:ascii="Abadi" w:hAnsi="Abadi"/>
          <w:sz w:val="21"/>
          <w:szCs w:val="21"/>
        </w:rPr>
        <w:t>, s</w:t>
      </w:r>
      <w:r w:rsidRPr="0021199F">
        <w:rPr>
          <w:rFonts w:ascii="Abadi" w:hAnsi="Abadi"/>
          <w:sz w:val="21"/>
          <w:szCs w:val="21"/>
        </w:rPr>
        <w:t xml:space="preserve">omos el lugar </w:t>
      </w:r>
      <w:r>
        <w:rPr>
          <w:rFonts w:ascii="Abadi" w:hAnsi="Abadi"/>
          <w:sz w:val="21"/>
          <w:szCs w:val="21"/>
        </w:rPr>
        <w:t xml:space="preserve">tercero </w:t>
      </w:r>
      <w:r w:rsidRPr="0021199F">
        <w:rPr>
          <w:rFonts w:ascii="Abadi" w:hAnsi="Abadi"/>
          <w:sz w:val="21"/>
          <w:szCs w:val="21"/>
        </w:rPr>
        <w:t>en desempleo</w:t>
      </w:r>
      <w:r>
        <w:rPr>
          <w:rFonts w:ascii="Abadi" w:hAnsi="Abadi"/>
          <w:sz w:val="21"/>
          <w:szCs w:val="21"/>
        </w:rPr>
        <w:t>; s</w:t>
      </w:r>
      <w:r w:rsidRPr="0021199F">
        <w:rPr>
          <w:rFonts w:ascii="Abadi" w:hAnsi="Abadi"/>
          <w:sz w:val="21"/>
          <w:szCs w:val="21"/>
        </w:rPr>
        <w:t xml:space="preserve">iendo los universitarios jóvenes </w:t>
      </w:r>
      <w:r>
        <w:rPr>
          <w:rFonts w:ascii="Abadi" w:hAnsi="Abadi"/>
          <w:sz w:val="21"/>
          <w:szCs w:val="21"/>
        </w:rPr>
        <w:t xml:space="preserve">quienes </w:t>
      </w:r>
      <w:r w:rsidRPr="0021199F">
        <w:rPr>
          <w:rFonts w:ascii="Abadi" w:hAnsi="Abadi"/>
          <w:sz w:val="21"/>
          <w:szCs w:val="21"/>
        </w:rPr>
        <w:t>menos oportunidades de empleo tiene</w:t>
      </w:r>
      <w:r>
        <w:rPr>
          <w:rFonts w:ascii="Abadi" w:hAnsi="Abadi"/>
          <w:sz w:val="21"/>
          <w:szCs w:val="21"/>
        </w:rPr>
        <w:t>n, s</w:t>
      </w:r>
      <w:r w:rsidRPr="0021199F">
        <w:rPr>
          <w:rFonts w:ascii="Abadi" w:hAnsi="Abadi"/>
          <w:sz w:val="21"/>
          <w:szCs w:val="21"/>
        </w:rPr>
        <w:t xml:space="preserve">omos el lugar </w:t>
      </w:r>
      <w:r>
        <w:rPr>
          <w:rFonts w:ascii="Abadi" w:hAnsi="Abadi"/>
          <w:sz w:val="21"/>
          <w:szCs w:val="21"/>
        </w:rPr>
        <w:t>sexto</w:t>
      </w:r>
      <w:r w:rsidRPr="0021199F">
        <w:rPr>
          <w:rFonts w:ascii="Abadi" w:hAnsi="Abadi"/>
          <w:sz w:val="21"/>
          <w:szCs w:val="21"/>
        </w:rPr>
        <w:t xml:space="preserve"> en población penitenciaria</w:t>
      </w:r>
      <w:r>
        <w:rPr>
          <w:rFonts w:ascii="Abadi" w:hAnsi="Abadi"/>
          <w:sz w:val="21"/>
          <w:szCs w:val="21"/>
        </w:rPr>
        <w:t>, s</w:t>
      </w:r>
      <w:r w:rsidRPr="0021199F">
        <w:rPr>
          <w:rFonts w:ascii="Abadi" w:hAnsi="Abadi"/>
          <w:sz w:val="21"/>
          <w:szCs w:val="21"/>
        </w:rPr>
        <w:t xml:space="preserve">omos el séptimo lugar por muertes por </w:t>
      </w:r>
      <w:r>
        <w:rPr>
          <w:rFonts w:ascii="Abadi" w:hAnsi="Abadi"/>
          <w:sz w:val="21"/>
          <w:szCs w:val="21"/>
        </w:rPr>
        <w:t>COVID-19, s</w:t>
      </w:r>
      <w:r w:rsidRPr="0021199F">
        <w:rPr>
          <w:rFonts w:ascii="Abadi" w:hAnsi="Abadi"/>
          <w:sz w:val="21"/>
          <w:szCs w:val="21"/>
        </w:rPr>
        <w:t>omos el lugar decimo en agresiones contra periodistas</w:t>
      </w:r>
      <w:r>
        <w:rPr>
          <w:rFonts w:ascii="Abadi" w:hAnsi="Abadi"/>
          <w:sz w:val="21"/>
          <w:szCs w:val="21"/>
        </w:rPr>
        <w:t>, s</w:t>
      </w:r>
      <w:r w:rsidRPr="0021199F">
        <w:rPr>
          <w:rFonts w:ascii="Abadi" w:hAnsi="Abadi"/>
          <w:sz w:val="21"/>
          <w:szCs w:val="21"/>
        </w:rPr>
        <w:t>omos el cuarto lugar en robos de autos</w:t>
      </w:r>
      <w:r>
        <w:rPr>
          <w:rFonts w:ascii="Abadi" w:hAnsi="Abadi"/>
          <w:sz w:val="21"/>
          <w:szCs w:val="21"/>
        </w:rPr>
        <w:t xml:space="preserve"> asegurados, s</w:t>
      </w:r>
      <w:r w:rsidRPr="0021199F">
        <w:rPr>
          <w:rFonts w:ascii="Abadi" w:hAnsi="Abadi"/>
          <w:sz w:val="21"/>
          <w:szCs w:val="21"/>
        </w:rPr>
        <w:t>omos el lugar tercero en deserción escolar</w:t>
      </w:r>
      <w:r>
        <w:rPr>
          <w:rFonts w:ascii="Abadi" w:hAnsi="Abadi"/>
          <w:sz w:val="21"/>
          <w:szCs w:val="21"/>
        </w:rPr>
        <w:t xml:space="preserve">, somos </w:t>
      </w:r>
      <w:r w:rsidRPr="0021199F">
        <w:rPr>
          <w:rFonts w:ascii="Abadi" w:hAnsi="Abadi"/>
          <w:sz w:val="21"/>
          <w:szCs w:val="21"/>
        </w:rPr>
        <w:t>el octavo lugar en violencia contra la mujer</w:t>
      </w:r>
      <w:r>
        <w:rPr>
          <w:rFonts w:ascii="Abadi" w:hAnsi="Abadi"/>
          <w:sz w:val="21"/>
          <w:szCs w:val="21"/>
        </w:rPr>
        <w:t>, s</w:t>
      </w:r>
      <w:r w:rsidRPr="0021199F">
        <w:rPr>
          <w:rFonts w:ascii="Abadi" w:hAnsi="Abadi"/>
          <w:sz w:val="21"/>
          <w:szCs w:val="21"/>
        </w:rPr>
        <w:t>omos el lugar tercero en hostigamiento sexual</w:t>
      </w:r>
      <w:r>
        <w:rPr>
          <w:rFonts w:ascii="Abadi" w:hAnsi="Abadi"/>
          <w:sz w:val="21"/>
          <w:szCs w:val="21"/>
        </w:rPr>
        <w:t>, s</w:t>
      </w:r>
      <w:r w:rsidRPr="0021199F">
        <w:rPr>
          <w:rFonts w:ascii="Abadi" w:hAnsi="Abadi"/>
          <w:sz w:val="21"/>
          <w:szCs w:val="21"/>
        </w:rPr>
        <w:t>omos el cuarto lugar</w:t>
      </w:r>
      <w:r>
        <w:rPr>
          <w:rFonts w:ascii="Abadi" w:hAnsi="Abadi"/>
          <w:sz w:val="21"/>
          <w:szCs w:val="21"/>
        </w:rPr>
        <w:t xml:space="preserve"> en lesiones </w:t>
      </w:r>
      <w:r w:rsidRPr="0021199F">
        <w:rPr>
          <w:rFonts w:ascii="Abadi" w:hAnsi="Abadi"/>
          <w:sz w:val="21"/>
          <w:szCs w:val="21"/>
        </w:rPr>
        <w:t>con armas de fuego</w:t>
      </w:r>
      <w:r>
        <w:rPr>
          <w:rFonts w:ascii="Abadi" w:hAnsi="Abadi"/>
          <w:sz w:val="21"/>
          <w:szCs w:val="21"/>
        </w:rPr>
        <w:t>, s</w:t>
      </w:r>
      <w:r w:rsidRPr="0021199F">
        <w:rPr>
          <w:rFonts w:ascii="Abadi" w:hAnsi="Abadi"/>
          <w:sz w:val="21"/>
          <w:szCs w:val="21"/>
        </w:rPr>
        <w:t>omos el décimo lugar en personas desaparecidas</w:t>
      </w:r>
      <w:r>
        <w:rPr>
          <w:rFonts w:ascii="Abadi" w:hAnsi="Abadi"/>
          <w:sz w:val="21"/>
          <w:szCs w:val="21"/>
        </w:rPr>
        <w:t>, s</w:t>
      </w:r>
      <w:r w:rsidRPr="0021199F">
        <w:rPr>
          <w:rFonts w:ascii="Abadi" w:hAnsi="Abadi"/>
          <w:sz w:val="21"/>
          <w:szCs w:val="21"/>
        </w:rPr>
        <w:t>omos el lugar tercero en violencia intrafamiliar</w:t>
      </w:r>
      <w:r>
        <w:rPr>
          <w:rFonts w:ascii="Abadi" w:hAnsi="Abadi"/>
          <w:sz w:val="21"/>
          <w:szCs w:val="21"/>
        </w:rPr>
        <w:t>, s</w:t>
      </w:r>
      <w:r w:rsidRPr="0021199F">
        <w:rPr>
          <w:rFonts w:ascii="Abadi" w:hAnsi="Abadi"/>
          <w:sz w:val="21"/>
          <w:szCs w:val="21"/>
        </w:rPr>
        <w:t xml:space="preserve">omos el tercer lugar a nivel nacional con reportes falsos al </w:t>
      </w:r>
      <w:r>
        <w:rPr>
          <w:rFonts w:ascii="Abadi" w:hAnsi="Abadi"/>
          <w:sz w:val="21"/>
          <w:szCs w:val="21"/>
        </w:rPr>
        <w:t>911.</w:t>
      </w:r>
    </w:p>
    <w:p w14:paraId="6C26AD4D" w14:textId="77777777" w:rsidR="002B30C6" w:rsidRDefault="002B30C6" w:rsidP="002B30C6">
      <w:pPr>
        <w:pStyle w:val="NormalWeb"/>
        <w:jc w:val="both"/>
        <w:rPr>
          <w:rFonts w:ascii="Abadi" w:hAnsi="Abadi"/>
          <w:sz w:val="21"/>
          <w:szCs w:val="21"/>
        </w:rPr>
      </w:pPr>
      <w:r>
        <w:rPr>
          <w:rFonts w:ascii="Abadi" w:hAnsi="Abadi"/>
          <w:sz w:val="21"/>
          <w:szCs w:val="21"/>
        </w:rPr>
        <w:t>- P</w:t>
      </w:r>
      <w:r w:rsidRPr="0021199F">
        <w:rPr>
          <w:rFonts w:ascii="Abadi" w:hAnsi="Abadi"/>
          <w:sz w:val="21"/>
          <w:szCs w:val="21"/>
        </w:rPr>
        <w:t xml:space="preserve">ero bueno, </w:t>
      </w:r>
      <w:r>
        <w:rPr>
          <w:rFonts w:ascii="Abadi" w:hAnsi="Abadi"/>
          <w:sz w:val="21"/>
          <w:szCs w:val="21"/>
        </w:rPr>
        <w:t>en los</w:t>
      </w:r>
      <w:r w:rsidRPr="0021199F">
        <w:rPr>
          <w:rFonts w:ascii="Abadi" w:hAnsi="Abadi"/>
          <w:sz w:val="21"/>
          <w:szCs w:val="21"/>
        </w:rPr>
        <w:t xml:space="preserve"> </w:t>
      </w:r>
      <w:r>
        <w:rPr>
          <w:rFonts w:ascii="Abadi" w:hAnsi="Abadi"/>
          <w:sz w:val="21"/>
          <w:szCs w:val="21"/>
        </w:rPr>
        <w:t>únicos rubros</w:t>
      </w:r>
      <w:r w:rsidRPr="0021199F">
        <w:rPr>
          <w:rFonts w:ascii="Abadi" w:hAnsi="Abadi"/>
          <w:sz w:val="21"/>
          <w:szCs w:val="21"/>
        </w:rPr>
        <w:t xml:space="preserve"> donde somos </w:t>
      </w:r>
      <w:r>
        <w:rPr>
          <w:rFonts w:ascii="Abadi" w:hAnsi="Abadi"/>
          <w:sz w:val="21"/>
          <w:szCs w:val="21"/>
        </w:rPr>
        <w:t>l</w:t>
      </w:r>
      <w:r w:rsidRPr="0021199F">
        <w:rPr>
          <w:rFonts w:ascii="Abadi" w:hAnsi="Abadi"/>
          <w:sz w:val="21"/>
          <w:szCs w:val="21"/>
        </w:rPr>
        <w:t>a grandeza de México</w:t>
      </w:r>
      <w:r>
        <w:rPr>
          <w:rFonts w:ascii="Abadi" w:hAnsi="Abadi"/>
          <w:sz w:val="21"/>
          <w:szCs w:val="21"/>
        </w:rPr>
        <w:t xml:space="preserve">, </w:t>
      </w:r>
      <w:r w:rsidRPr="0021199F">
        <w:rPr>
          <w:rFonts w:ascii="Abadi" w:hAnsi="Abadi"/>
          <w:sz w:val="21"/>
          <w:szCs w:val="21"/>
        </w:rPr>
        <w:t>es en homicidios dolosos por cuarto año consecutivo</w:t>
      </w:r>
      <w:r>
        <w:rPr>
          <w:rFonts w:ascii="Abadi" w:hAnsi="Abadi"/>
          <w:sz w:val="21"/>
          <w:szCs w:val="21"/>
        </w:rPr>
        <w:t xml:space="preserve">; </w:t>
      </w:r>
      <w:r w:rsidRPr="0021199F">
        <w:rPr>
          <w:rFonts w:ascii="Abadi" w:hAnsi="Abadi"/>
          <w:sz w:val="21"/>
          <w:szCs w:val="21"/>
        </w:rPr>
        <w:t>en incidencia delictiva en el delito del narcomenudeo</w:t>
      </w:r>
      <w:r>
        <w:rPr>
          <w:rFonts w:ascii="Abadi" w:hAnsi="Abadi"/>
          <w:sz w:val="21"/>
          <w:szCs w:val="21"/>
        </w:rPr>
        <w:t xml:space="preserve"> </w:t>
      </w:r>
      <w:r w:rsidRPr="0021199F">
        <w:rPr>
          <w:rFonts w:ascii="Abadi" w:hAnsi="Abadi"/>
          <w:sz w:val="21"/>
          <w:szCs w:val="21"/>
        </w:rPr>
        <w:t xml:space="preserve">con </w:t>
      </w:r>
      <w:r>
        <w:rPr>
          <w:rFonts w:ascii="Abadi" w:hAnsi="Abadi"/>
          <w:sz w:val="21"/>
          <w:szCs w:val="21"/>
        </w:rPr>
        <w:t>23</w:t>
      </w:r>
      <w:r w:rsidRPr="0021199F">
        <w:rPr>
          <w:rFonts w:ascii="Abadi" w:hAnsi="Abadi"/>
          <w:sz w:val="21"/>
          <w:szCs w:val="21"/>
        </w:rPr>
        <w:t xml:space="preserve"> mil</w:t>
      </w:r>
      <w:r>
        <w:rPr>
          <w:rFonts w:ascii="Abadi" w:hAnsi="Abadi"/>
          <w:sz w:val="21"/>
          <w:szCs w:val="21"/>
        </w:rPr>
        <w:t xml:space="preserve"> 976 </w:t>
      </w:r>
      <w:r w:rsidRPr="0021199F">
        <w:rPr>
          <w:rFonts w:ascii="Abadi" w:hAnsi="Abadi"/>
          <w:sz w:val="21"/>
          <w:szCs w:val="21"/>
        </w:rPr>
        <w:t>carpetas de investigación, el mayor número de homicidios de policías</w:t>
      </w:r>
      <w:r>
        <w:rPr>
          <w:rFonts w:ascii="Abadi" w:hAnsi="Abadi"/>
          <w:sz w:val="21"/>
          <w:szCs w:val="21"/>
        </w:rPr>
        <w:t xml:space="preserve">, </w:t>
      </w:r>
      <w:r w:rsidRPr="0021199F">
        <w:rPr>
          <w:rFonts w:ascii="Abadi" w:hAnsi="Abadi"/>
          <w:sz w:val="21"/>
          <w:szCs w:val="21"/>
        </w:rPr>
        <w:t>en homicidios dolosos en contra de mujer</w:t>
      </w:r>
      <w:r>
        <w:rPr>
          <w:rFonts w:ascii="Abadi" w:hAnsi="Abadi"/>
          <w:sz w:val="21"/>
          <w:szCs w:val="21"/>
        </w:rPr>
        <w:t>es. A</w:t>
      </w:r>
      <w:r w:rsidRPr="0021199F">
        <w:rPr>
          <w:rFonts w:ascii="Abadi" w:hAnsi="Abadi"/>
          <w:sz w:val="21"/>
          <w:szCs w:val="21"/>
        </w:rPr>
        <w:t xml:space="preserve">sesinan en Guanajuato a una mujer cada </w:t>
      </w:r>
      <w:r>
        <w:rPr>
          <w:rFonts w:ascii="Abadi" w:hAnsi="Abadi"/>
          <w:sz w:val="21"/>
          <w:szCs w:val="21"/>
        </w:rPr>
        <w:t>24</w:t>
      </w:r>
      <w:r w:rsidRPr="0021199F">
        <w:rPr>
          <w:rFonts w:ascii="Abadi" w:hAnsi="Abadi"/>
          <w:sz w:val="21"/>
          <w:szCs w:val="21"/>
        </w:rPr>
        <w:t xml:space="preserve"> horas, al menos a una mujer</w:t>
      </w:r>
      <w:r>
        <w:rPr>
          <w:rFonts w:ascii="Abadi" w:hAnsi="Abadi"/>
          <w:sz w:val="21"/>
          <w:szCs w:val="21"/>
        </w:rPr>
        <w:t>. E</w:t>
      </w:r>
      <w:r w:rsidRPr="0021199F">
        <w:rPr>
          <w:rFonts w:ascii="Abadi" w:hAnsi="Abadi"/>
          <w:sz w:val="21"/>
          <w:szCs w:val="21"/>
        </w:rPr>
        <w:t xml:space="preserve">n homicidios dolosos en niños, niñas y adolescentes. La clase política que hoy gobierna </w:t>
      </w:r>
      <w:r>
        <w:rPr>
          <w:rFonts w:ascii="Abadi" w:hAnsi="Abadi"/>
          <w:sz w:val="21"/>
          <w:szCs w:val="21"/>
        </w:rPr>
        <w:t>Guanajuato,</w:t>
      </w:r>
      <w:r w:rsidRPr="0021199F">
        <w:rPr>
          <w:rFonts w:ascii="Abadi" w:hAnsi="Abadi"/>
          <w:sz w:val="21"/>
          <w:szCs w:val="21"/>
        </w:rPr>
        <w:t xml:space="preserve"> sin lugar a duda, son la peor generación en la historia del Estado. Por eso cuando dicen que </w:t>
      </w:r>
      <w:r>
        <w:rPr>
          <w:rFonts w:ascii="Abadi" w:hAnsi="Abadi"/>
          <w:sz w:val="21"/>
          <w:szCs w:val="21"/>
        </w:rPr>
        <w:t>Guanajuato es la Grandeza de México</w:t>
      </w:r>
      <w:r w:rsidRPr="0021199F">
        <w:rPr>
          <w:rFonts w:ascii="Abadi" w:hAnsi="Abadi"/>
          <w:sz w:val="21"/>
          <w:szCs w:val="21"/>
        </w:rPr>
        <w:t>,</w:t>
      </w:r>
      <w:r>
        <w:rPr>
          <w:rFonts w:ascii="Abadi" w:hAnsi="Abadi"/>
          <w:sz w:val="21"/>
          <w:szCs w:val="21"/>
        </w:rPr>
        <w:t xml:space="preserve"> l</w:t>
      </w:r>
      <w:r w:rsidRPr="0021199F">
        <w:rPr>
          <w:rFonts w:ascii="Abadi" w:hAnsi="Abadi"/>
          <w:sz w:val="21"/>
          <w:szCs w:val="21"/>
        </w:rPr>
        <w:t>a verdad es que los ciudadanos no sabemos a qué hacen referencia.</w:t>
      </w:r>
    </w:p>
    <w:p w14:paraId="22D34535"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No somos un Estado seguro, no se ha reducido la pobreza, no se ha reducido la desigualdad. El gobernador concentra la fuerza de los tres poderes</w:t>
      </w:r>
      <w:r>
        <w:rPr>
          <w:rFonts w:ascii="Abadi" w:hAnsi="Abadi"/>
          <w:sz w:val="21"/>
          <w:szCs w:val="21"/>
        </w:rPr>
        <w:t>;</w:t>
      </w:r>
      <w:r w:rsidRPr="0021199F">
        <w:rPr>
          <w:rFonts w:ascii="Abadi" w:hAnsi="Abadi"/>
          <w:sz w:val="21"/>
          <w:szCs w:val="21"/>
        </w:rPr>
        <w:t xml:space="preserve"> ejecutivo, legislativo y judicial. No existe un sistema de pesos y contrapesos</w:t>
      </w:r>
      <w:r>
        <w:rPr>
          <w:rFonts w:ascii="Abadi" w:hAnsi="Abadi"/>
          <w:sz w:val="21"/>
          <w:szCs w:val="21"/>
        </w:rPr>
        <w:t xml:space="preserve">, </w:t>
      </w:r>
      <w:r w:rsidRPr="0021199F">
        <w:rPr>
          <w:rFonts w:ascii="Abadi" w:hAnsi="Abadi"/>
          <w:sz w:val="21"/>
          <w:szCs w:val="21"/>
        </w:rPr>
        <w:t>ni ningún tipo de autonomía. Hoy la ciudadanía pone en duda la autonomía del Congreso porque más que un contrapeso, parece una oficialía de parte</w:t>
      </w:r>
      <w:r>
        <w:rPr>
          <w:rFonts w:ascii="Abadi" w:hAnsi="Abadi"/>
          <w:sz w:val="21"/>
          <w:szCs w:val="21"/>
        </w:rPr>
        <w:t>s</w:t>
      </w:r>
      <w:r w:rsidRPr="0021199F">
        <w:rPr>
          <w:rFonts w:ascii="Abadi" w:hAnsi="Abadi"/>
          <w:sz w:val="21"/>
          <w:szCs w:val="21"/>
        </w:rPr>
        <w:t xml:space="preserve">. Y se confirmó en el tercer informe del </w:t>
      </w:r>
      <w:r>
        <w:rPr>
          <w:rFonts w:ascii="Abadi" w:hAnsi="Abadi"/>
          <w:sz w:val="21"/>
          <w:szCs w:val="21"/>
        </w:rPr>
        <w:t>F</w:t>
      </w:r>
      <w:r w:rsidRPr="0021199F">
        <w:rPr>
          <w:rFonts w:ascii="Abadi" w:hAnsi="Abadi"/>
          <w:sz w:val="21"/>
          <w:szCs w:val="21"/>
        </w:rPr>
        <w:t xml:space="preserve">iscal </w:t>
      </w:r>
      <w:r>
        <w:rPr>
          <w:rFonts w:ascii="Abadi" w:hAnsi="Abadi"/>
          <w:sz w:val="21"/>
          <w:szCs w:val="21"/>
        </w:rPr>
        <w:t>G</w:t>
      </w:r>
      <w:r w:rsidRPr="0021199F">
        <w:rPr>
          <w:rFonts w:ascii="Abadi" w:hAnsi="Abadi"/>
          <w:sz w:val="21"/>
          <w:szCs w:val="21"/>
        </w:rPr>
        <w:t>eneral del</w:t>
      </w:r>
      <w:r>
        <w:rPr>
          <w:rFonts w:ascii="Abadi" w:hAnsi="Abadi"/>
          <w:sz w:val="21"/>
          <w:szCs w:val="21"/>
        </w:rPr>
        <w:t xml:space="preserve"> Estado. El Fiscal General </w:t>
      </w:r>
      <w:r w:rsidRPr="0021199F">
        <w:rPr>
          <w:rFonts w:ascii="Abadi" w:hAnsi="Abadi"/>
          <w:sz w:val="21"/>
          <w:szCs w:val="21"/>
        </w:rPr>
        <w:t xml:space="preserve">Carlos Zamarripa, en su comparecencia el lunes </w:t>
      </w:r>
      <w:r>
        <w:rPr>
          <w:rFonts w:ascii="Abadi" w:hAnsi="Abadi"/>
          <w:sz w:val="21"/>
          <w:szCs w:val="21"/>
        </w:rPr>
        <w:t>9</w:t>
      </w:r>
      <w:r w:rsidRPr="0021199F">
        <w:rPr>
          <w:rFonts w:ascii="Abadi" w:hAnsi="Abadi"/>
          <w:sz w:val="21"/>
          <w:szCs w:val="21"/>
        </w:rPr>
        <w:t xml:space="preserve"> de mayo con evasiones y tecnicismos</w:t>
      </w:r>
      <w:r>
        <w:rPr>
          <w:rFonts w:ascii="Abadi" w:hAnsi="Abadi"/>
          <w:sz w:val="21"/>
          <w:szCs w:val="21"/>
        </w:rPr>
        <w:t>, n</w:t>
      </w:r>
      <w:r w:rsidRPr="0021199F">
        <w:rPr>
          <w:rFonts w:ascii="Abadi" w:hAnsi="Abadi"/>
          <w:sz w:val="21"/>
          <w:szCs w:val="21"/>
        </w:rPr>
        <w:t xml:space="preserve">o contesto prácticamente ninguna pregunta de la oposición. </w:t>
      </w:r>
      <w:r>
        <w:rPr>
          <w:rFonts w:ascii="Abadi" w:hAnsi="Abadi"/>
          <w:sz w:val="21"/>
          <w:szCs w:val="21"/>
        </w:rPr>
        <w:t xml:space="preserve">Se dedico </w:t>
      </w:r>
      <w:r w:rsidRPr="0021199F">
        <w:rPr>
          <w:rFonts w:ascii="Abadi" w:hAnsi="Abadi"/>
          <w:sz w:val="21"/>
          <w:szCs w:val="21"/>
        </w:rPr>
        <w:t xml:space="preserve">solamente </w:t>
      </w:r>
      <w:r>
        <w:rPr>
          <w:rFonts w:ascii="Abadi" w:hAnsi="Abadi"/>
          <w:sz w:val="21"/>
          <w:szCs w:val="21"/>
        </w:rPr>
        <w:t xml:space="preserve">a </w:t>
      </w:r>
      <w:r w:rsidRPr="0021199F">
        <w:rPr>
          <w:rFonts w:ascii="Abadi" w:hAnsi="Abadi"/>
          <w:sz w:val="21"/>
          <w:szCs w:val="21"/>
        </w:rPr>
        <w:t xml:space="preserve">escuchar los aplausos las </w:t>
      </w:r>
      <w:r>
        <w:rPr>
          <w:rFonts w:ascii="Abadi" w:hAnsi="Abadi"/>
          <w:sz w:val="21"/>
          <w:szCs w:val="21"/>
        </w:rPr>
        <w:t>porras</w:t>
      </w:r>
      <w:r w:rsidRPr="0021199F">
        <w:rPr>
          <w:rFonts w:ascii="Abadi" w:hAnsi="Abadi"/>
          <w:sz w:val="21"/>
          <w:szCs w:val="21"/>
        </w:rPr>
        <w:t xml:space="preserve"> y los </w:t>
      </w:r>
      <w:r>
        <w:rPr>
          <w:rFonts w:ascii="Abadi" w:hAnsi="Abadi"/>
          <w:sz w:val="21"/>
          <w:szCs w:val="21"/>
        </w:rPr>
        <w:t>halagos</w:t>
      </w:r>
      <w:r w:rsidRPr="0021199F">
        <w:rPr>
          <w:rFonts w:ascii="Abadi" w:hAnsi="Abadi"/>
          <w:sz w:val="21"/>
          <w:szCs w:val="21"/>
        </w:rPr>
        <w:t xml:space="preserve"> de Acción Nacional. Algo nos queda claro al grupo parlamentario de Moren</w:t>
      </w:r>
      <w:r>
        <w:rPr>
          <w:rFonts w:ascii="Abadi" w:hAnsi="Abadi"/>
          <w:sz w:val="21"/>
          <w:szCs w:val="21"/>
        </w:rPr>
        <w:t xml:space="preserve">a, el </w:t>
      </w:r>
      <w:r w:rsidRPr="0021199F">
        <w:rPr>
          <w:rFonts w:ascii="Abadi" w:hAnsi="Abadi"/>
          <w:sz w:val="21"/>
          <w:szCs w:val="21"/>
        </w:rPr>
        <w:t xml:space="preserve">fiscal no es parte de la solución, es parte del problema que aqueja </w:t>
      </w:r>
      <w:r>
        <w:rPr>
          <w:rFonts w:ascii="Abadi" w:hAnsi="Abadi"/>
          <w:sz w:val="21"/>
          <w:szCs w:val="21"/>
        </w:rPr>
        <w:t xml:space="preserve">Guanajuato; </w:t>
      </w:r>
      <w:r w:rsidRPr="0021199F">
        <w:rPr>
          <w:rFonts w:ascii="Abadi" w:hAnsi="Abadi"/>
          <w:sz w:val="21"/>
          <w:szCs w:val="21"/>
        </w:rPr>
        <w:t xml:space="preserve">llegó al absurdo </w:t>
      </w:r>
      <w:r>
        <w:rPr>
          <w:rFonts w:ascii="Abadi" w:hAnsi="Abadi"/>
          <w:sz w:val="21"/>
          <w:szCs w:val="21"/>
        </w:rPr>
        <w:t xml:space="preserve">de </w:t>
      </w:r>
      <w:r w:rsidRPr="0021199F">
        <w:rPr>
          <w:rFonts w:ascii="Abadi" w:hAnsi="Abadi"/>
          <w:sz w:val="21"/>
          <w:szCs w:val="21"/>
        </w:rPr>
        <w:t>decir que en Guanajuato no existen redes de trata de personas</w:t>
      </w:r>
      <w:r>
        <w:rPr>
          <w:rFonts w:ascii="Abadi" w:hAnsi="Abadi"/>
          <w:sz w:val="21"/>
          <w:szCs w:val="21"/>
        </w:rPr>
        <w:t xml:space="preserve">, </w:t>
      </w:r>
      <w:r w:rsidRPr="0021199F">
        <w:rPr>
          <w:rFonts w:ascii="Abadi" w:hAnsi="Abadi"/>
          <w:sz w:val="21"/>
          <w:szCs w:val="21"/>
        </w:rPr>
        <w:t xml:space="preserve">negó que se estén ocultando los feminicidios. Aunque los datos demuestran que el </w:t>
      </w:r>
      <w:r>
        <w:rPr>
          <w:rFonts w:ascii="Abadi" w:hAnsi="Abadi"/>
          <w:sz w:val="21"/>
          <w:szCs w:val="21"/>
        </w:rPr>
        <w:t>91%</w:t>
      </w:r>
      <w:r w:rsidRPr="0021199F">
        <w:rPr>
          <w:rFonts w:ascii="Abadi" w:hAnsi="Abadi"/>
          <w:sz w:val="21"/>
          <w:szCs w:val="21"/>
        </w:rPr>
        <w:t xml:space="preserve"> de las muertes violentas de mujeres no son clasificadas como feminicidio, no es posible que en el estado de la supuesta grandeza se tenga más de </w:t>
      </w:r>
      <w:r>
        <w:rPr>
          <w:rFonts w:ascii="Abadi" w:hAnsi="Abadi"/>
          <w:sz w:val="21"/>
          <w:szCs w:val="21"/>
        </w:rPr>
        <w:t xml:space="preserve">150 </w:t>
      </w:r>
      <w:r w:rsidRPr="0021199F">
        <w:rPr>
          <w:rFonts w:ascii="Abadi" w:hAnsi="Abadi"/>
          <w:sz w:val="21"/>
          <w:szCs w:val="21"/>
        </w:rPr>
        <w:t xml:space="preserve">denuncias por tortura. Pero la gravedad está realmente en que ninguna de estas </w:t>
      </w:r>
      <w:r>
        <w:rPr>
          <w:rFonts w:ascii="Abadi" w:hAnsi="Abadi"/>
          <w:sz w:val="21"/>
          <w:szCs w:val="21"/>
        </w:rPr>
        <w:t xml:space="preserve">150 </w:t>
      </w:r>
      <w:r w:rsidRPr="0021199F">
        <w:rPr>
          <w:rFonts w:ascii="Abadi" w:hAnsi="Abadi"/>
          <w:sz w:val="21"/>
          <w:szCs w:val="21"/>
        </w:rPr>
        <w:t>denuncias tiene una sentencia condenatoria. Lo mismo pasa con los delitos que se relacionan con la desaparición de personas. Algo les comento, no sé porque no han hablado de que la fiscalía de</w:t>
      </w:r>
      <w:r>
        <w:rPr>
          <w:rFonts w:ascii="Abadi" w:hAnsi="Abadi"/>
          <w:sz w:val="21"/>
          <w:szCs w:val="21"/>
        </w:rPr>
        <w:t xml:space="preserve">stino 33 </w:t>
      </w:r>
      <w:r w:rsidRPr="0021199F">
        <w:rPr>
          <w:rFonts w:ascii="Abadi" w:hAnsi="Abadi"/>
          <w:sz w:val="21"/>
          <w:szCs w:val="21"/>
        </w:rPr>
        <w:t xml:space="preserve">millones de pesos para cajones de estacionamiento y sólo </w:t>
      </w:r>
      <w:r>
        <w:rPr>
          <w:rFonts w:ascii="Abadi" w:hAnsi="Abadi"/>
          <w:sz w:val="21"/>
          <w:szCs w:val="21"/>
        </w:rPr>
        <w:t>5</w:t>
      </w:r>
      <w:r w:rsidRPr="0021199F">
        <w:rPr>
          <w:rFonts w:ascii="Abadi" w:hAnsi="Abadi"/>
          <w:sz w:val="21"/>
          <w:szCs w:val="21"/>
        </w:rPr>
        <w:t xml:space="preserve"> millones para las víctimas de delitos.</w:t>
      </w:r>
    </w:p>
    <w:p w14:paraId="1E12BAD4"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Aquí eso no les parece</w:t>
      </w:r>
      <w:r>
        <w:rPr>
          <w:rFonts w:ascii="Abadi" w:hAnsi="Abadi"/>
          <w:sz w:val="21"/>
          <w:szCs w:val="21"/>
        </w:rPr>
        <w:t xml:space="preserve"> grave.</w:t>
      </w:r>
      <w:r w:rsidRPr="0021199F">
        <w:rPr>
          <w:rFonts w:ascii="Abadi" w:hAnsi="Abadi"/>
          <w:sz w:val="21"/>
          <w:szCs w:val="21"/>
        </w:rPr>
        <w:t xml:space="preserve"> Aquí maquilla</w:t>
      </w:r>
      <w:r>
        <w:rPr>
          <w:rFonts w:ascii="Abadi" w:hAnsi="Abadi"/>
          <w:sz w:val="21"/>
          <w:szCs w:val="21"/>
        </w:rPr>
        <w:t>n</w:t>
      </w:r>
      <w:r w:rsidRPr="0021199F">
        <w:rPr>
          <w:rFonts w:ascii="Abadi" w:hAnsi="Abadi"/>
          <w:sz w:val="21"/>
          <w:szCs w:val="21"/>
        </w:rPr>
        <w:t xml:space="preserve"> las cifras</w:t>
      </w:r>
      <w:r>
        <w:rPr>
          <w:rFonts w:ascii="Abadi" w:hAnsi="Abadi"/>
          <w:sz w:val="21"/>
          <w:szCs w:val="21"/>
        </w:rPr>
        <w:t>, a</w:t>
      </w:r>
      <w:r w:rsidRPr="0021199F">
        <w:rPr>
          <w:rFonts w:ascii="Abadi" w:hAnsi="Abadi"/>
          <w:sz w:val="21"/>
          <w:szCs w:val="21"/>
        </w:rPr>
        <w:t>quí ocultan los de listos</w:t>
      </w:r>
      <w:r>
        <w:rPr>
          <w:rFonts w:ascii="Abadi" w:hAnsi="Abadi"/>
          <w:sz w:val="21"/>
          <w:szCs w:val="21"/>
        </w:rPr>
        <w:t>, a</w:t>
      </w:r>
      <w:r w:rsidRPr="0021199F">
        <w:rPr>
          <w:rFonts w:ascii="Abadi" w:hAnsi="Abadi"/>
          <w:sz w:val="21"/>
          <w:szCs w:val="21"/>
        </w:rPr>
        <w:t xml:space="preserve">quí protegen a quienes nos </w:t>
      </w:r>
      <w:r>
        <w:rPr>
          <w:rFonts w:ascii="Abadi" w:hAnsi="Abadi"/>
          <w:sz w:val="21"/>
          <w:szCs w:val="21"/>
        </w:rPr>
        <w:t xml:space="preserve">violentan </w:t>
      </w:r>
      <w:r w:rsidRPr="0021199F">
        <w:rPr>
          <w:rFonts w:ascii="Abadi" w:hAnsi="Abadi"/>
          <w:sz w:val="21"/>
          <w:szCs w:val="21"/>
        </w:rPr>
        <w:t>para presumir algo que no existe</w:t>
      </w:r>
      <w:r>
        <w:rPr>
          <w:rFonts w:ascii="Abadi" w:hAnsi="Abadi"/>
          <w:sz w:val="21"/>
          <w:szCs w:val="21"/>
        </w:rPr>
        <w:t xml:space="preserve">, algo </w:t>
      </w:r>
      <w:r w:rsidRPr="0021199F">
        <w:rPr>
          <w:rFonts w:ascii="Abadi" w:hAnsi="Abadi"/>
          <w:sz w:val="21"/>
          <w:szCs w:val="21"/>
        </w:rPr>
        <w:t>que la realida</w:t>
      </w:r>
      <w:r>
        <w:rPr>
          <w:rFonts w:ascii="Abadi" w:hAnsi="Abadi"/>
          <w:sz w:val="21"/>
          <w:szCs w:val="21"/>
        </w:rPr>
        <w:t>d nos contradice. Guanajuato no</w:t>
      </w:r>
      <w:r w:rsidRPr="0021199F">
        <w:rPr>
          <w:rFonts w:ascii="Abadi" w:hAnsi="Abadi"/>
          <w:sz w:val="21"/>
          <w:szCs w:val="21"/>
        </w:rPr>
        <w:t xml:space="preserve"> es seguro para </w:t>
      </w:r>
      <w:r>
        <w:rPr>
          <w:rFonts w:ascii="Abadi" w:hAnsi="Abadi"/>
          <w:sz w:val="21"/>
          <w:szCs w:val="21"/>
        </w:rPr>
        <w:t>nadie</w:t>
      </w:r>
      <w:r w:rsidRPr="0021199F">
        <w:rPr>
          <w:rFonts w:ascii="Abadi" w:hAnsi="Abadi"/>
          <w:sz w:val="21"/>
          <w:szCs w:val="21"/>
        </w:rPr>
        <w:t xml:space="preserve">. Es increíble que de los </w:t>
      </w:r>
      <w:r>
        <w:rPr>
          <w:rFonts w:ascii="Abadi" w:hAnsi="Abadi"/>
          <w:sz w:val="21"/>
          <w:szCs w:val="21"/>
        </w:rPr>
        <w:t>30</w:t>
      </w:r>
      <w:r w:rsidRPr="0021199F">
        <w:rPr>
          <w:rFonts w:ascii="Abadi" w:hAnsi="Abadi"/>
          <w:sz w:val="21"/>
          <w:szCs w:val="21"/>
        </w:rPr>
        <w:t xml:space="preserve"> años en que el </w:t>
      </w:r>
      <w:r>
        <w:rPr>
          <w:rFonts w:ascii="Abadi" w:hAnsi="Abadi"/>
          <w:sz w:val="21"/>
          <w:szCs w:val="21"/>
        </w:rPr>
        <w:t>PAN</w:t>
      </w:r>
      <w:r w:rsidRPr="0021199F">
        <w:rPr>
          <w:rFonts w:ascii="Abadi" w:hAnsi="Abadi"/>
          <w:sz w:val="21"/>
          <w:szCs w:val="21"/>
        </w:rPr>
        <w:t xml:space="preserve"> ha gobernado el Estado, </w:t>
      </w:r>
      <w:r>
        <w:rPr>
          <w:rFonts w:ascii="Abadi" w:hAnsi="Abadi"/>
          <w:sz w:val="21"/>
          <w:szCs w:val="21"/>
        </w:rPr>
        <w:t>12</w:t>
      </w:r>
      <w:r w:rsidRPr="0021199F">
        <w:rPr>
          <w:rFonts w:ascii="Abadi" w:hAnsi="Abadi"/>
          <w:sz w:val="21"/>
          <w:szCs w:val="21"/>
        </w:rPr>
        <w:t xml:space="preserve"> puedan ser contados</w:t>
      </w:r>
      <w:r>
        <w:rPr>
          <w:rFonts w:ascii="Abadi" w:hAnsi="Abadi"/>
          <w:sz w:val="21"/>
          <w:szCs w:val="21"/>
        </w:rPr>
        <w:t xml:space="preserve"> como </w:t>
      </w:r>
      <w:r w:rsidRPr="0021199F">
        <w:rPr>
          <w:rFonts w:ascii="Abadi" w:hAnsi="Abadi"/>
          <w:sz w:val="21"/>
          <w:szCs w:val="21"/>
        </w:rPr>
        <w:t xml:space="preserve">la era </w:t>
      </w:r>
      <w:r>
        <w:rPr>
          <w:rFonts w:ascii="Abadi" w:hAnsi="Abadi"/>
          <w:sz w:val="21"/>
          <w:szCs w:val="21"/>
        </w:rPr>
        <w:t>Zamarripa</w:t>
      </w:r>
      <w:r w:rsidRPr="0021199F">
        <w:rPr>
          <w:rFonts w:ascii="Abadi" w:hAnsi="Abadi"/>
          <w:sz w:val="21"/>
          <w:szCs w:val="21"/>
        </w:rPr>
        <w:t xml:space="preserve">, sin contar que al final de su mandato será hasta el </w:t>
      </w:r>
      <w:r>
        <w:rPr>
          <w:rFonts w:ascii="Abadi" w:hAnsi="Abadi"/>
          <w:sz w:val="21"/>
          <w:szCs w:val="21"/>
        </w:rPr>
        <w:t>2028, t</w:t>
      </w:r>
      <w:r w:rsidRPr="0021199F">
        <w:rPr>
          <w:rFonts w:ascii="Abadi" w:hAnsi="Abadi"/>
          <w:sz w:val="21"/>
          <w:szCs w:val="21"/>
        </w:rPr>
        <w:t>odavía nos queda</w:t>
      </w:r>
      <w:r>
        <w:rPr>
          <w:rFonts w:ascii="Abadi" w:hAnsi="Abadi"/>
          <w:sz w:val="21"/>
          <w:szCs w:val="21"/>
        </w:rPr>
        <w:t xml:space="preserve"> tiempo</w:t>
      </w:r>
      <w:r w:rsidRPr="0021199F">
        <w:rPr>
          <w:rFonts w:ascii="Abadi" w:hAnsi="Abadi"/>
          <w:sz w:val="21"/>
          <w:szCs w:val="21"/>
        </w:rPr>
        <w:t>. La Fiscalía está para defende</w:t>
      </w:r>
      <w:r>
        <w:rPr>
          <w:rFonts w:ascii="Abadi" w:hAnsi="Abadi"/>
          <w:sz w:val="21"/>
          <w:szCs w:val="21"/>
        </w:rPr>
        <w:t>rlos,</w:t>
      </w:r>
      <w:r w:rsidRPr="0021199F">
        <w:rPr>
          <w:rFonts w:ascii="Abadi" w:hAnsi="Abadi"/>
          <w:sz w:val="21"/>
          <w:szCs w:val="21"/>
        </w:rPr>
        <w:t xml:space="preserve"> no para seguir violentándo</w:t>
      </w:r>
      <w:r>
        <w:rPr>
          <w:rFonts w:ascii="Abadi" w:hAnsi="Abadi"/>
          <w:sz w:val="21"/>
          <w:szCs w:val="21"/>
        </w:rPr>
        <w:t>nos, ¡ya</w:t>
      </w:r>
      <w:r w:rsidRPr="0021199F">
        <w:rPr>
          <w:rFonts w:ascii="Abadi" w:hAnsi="Abadi"/>
          <w:sz w:val="21"/>
          <w:szCs w:val="21"/>
        </w:rPr>
        <w:t xml:space="preserve"> deberían de ponerse a trabajar</w:t>
      </w:r>
      <w:r>
        <w:rPr>
          <w:rFonts w:ascii="Abadi" w:hAnsi="Abadi"/>
          <w:sz w:val="21"/>
          <w:szCs w:val="21"/>
        </w:rPr>
        <w:t>!</w:t>
      </w:r>
    </w:p>
    <w:p w14:paraId="4F960FD0"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Lo mismo ocurre con la entrega del cuarto informe de Gobierno al </w:t>
      </w:r>
      <w:r>
        <w:rPr>
          <w:rFonts w:ascii="Abadi" w:hAnsi="Abadi"/>
          <w:sz w:val="21"/>
          <w:szCs w:val="21"/>
        </w:rPr>
        <w:t>G</w:t>
      </w:r>
      <w:r w:rsidRPr="0021199F">
        <w:rPr>
          <w:rFonts w:ascii="Abadi" w:hAnsi="Abadi"/>
          <w:sz w:val="21"/>
          <w:szCs w:val="21"/>
        </w:rPr>
        <w:t xml:space="preserve">rupo </w:t>
      </w:r>
      <w:r>
        <w:rPr>
          <w:rFonts w:ascii="Abadi" w:hAnsi="Abadi"/>
          <w:sz w:val="21"/>
          <w:szCs w:val="21"/>
        </w:rPr>
        <w:t>P</w:t>
      </w:r>
      <w:r w:rsidRPr="0021199F">
        <w:rPr>
          <w:rFonts w:ascii="Abadi" w:hAnsi="Abadi"/>
          <w:sz w:val="21"/>
          <w:szCs w:val="21"/>
        </w:rPr>
        <w:t>arlamentario de Morena</w:t>
      </w:r>
      <w:r>
        <w:rPr>
          <w:rFonts w:ascii="Abadi" w:hAnsi="Abadi"/>
          <w:sz w:val="21"/>
          <w:szCs w:val="21"/>
        </w:rPr>
        <w:t xml:space="preserve"> y </w:t>
      </w:r>
      <w:r w:rsidRPr="0021199F">
        <w:rPr>
          <w:rFonts w:ascii="Abadi" w:hAnsi="Abadi"/>
          <w:sz w:val="21"/>
          <w:szCs w:val="21"/>
        </w:rPr>
        <w:t>a los ciudadanos nos deja más preguntas que respuestas. ¿En verdad creen que vamos por buen camino? ¿En verdad se cree que somos la grandeza de México?</w:t>
      </w:r>
      <w:r>
        <w:rPr>
          <w:rFonts w:ascii="Abadi" w:hAnsi="Abadi"/>
          <w:sz w:val="21"/>
          <w:szCs w:val="21"/>
        </w:rPr>
        <w:t xml:space="preserve"> </w:t>
      </w:r>
      <w:r w:rsidRPr="0021199F">
        <w:rPr>
          <w:rFonts w:ascii="Abadi" w:hAnsi="Abadi"/>
          <w:sz w:val="21"/>
          <w:szCs w:val="21"/>
        </w:rPr>
        <w:t>nos aterroriza pensar que los gobernantes panistas piensen que estamos en un estado donde todo está bien</w:t>
      </w:r>
      <w:r>
        <w:rPr>
          <w:rFonts w:ascii="Abadi" w:hAnsi="Abadi"/>
          <w:sz w:val="21"/>
          <w:szCs w:val="21"/>
        </w:rPr>
        <w:t>, d</w:t>
      </w:r>
      <w:r w:rsidRPr="0021199F">
        <w:rPr>
          <w:rFonts w:ascii="Abadi" w:hAnsi="Abadi"/>
          <w:sz w:val="21"/>
          <w:szCs w:val="21"/>
        </w:rPr>
        <w:t>ónde se privilegia el crecimiento económico por encima de desarrollo social</w:t>
      </w:r>
      <w:r>
        <w:rPr>
          <w:rFonts w:ascii="Abadi" w:hAnsi="Abadi"/>
          <w:sz w:val="21"/>
          <w:szCs w:val="21"/>
        </w:rPr>
        <w:t>, donde se</w:t>
      </w:r>
      <w:r w:rsidRPr="0021199F">
        <w:rPr>
          <w:rFonts w:ascii="Abadi" w:hAnsi="Abadi"/>
          <w:sz w:val="21"/>
          <w:szCs w:val="21"/>
        </w:rPr>
        <w:t xml:space="preserve"> escogen las inversiones sobre los salarios</w:t>
      </w:r>
      <w:r>
        <w:rPr>
          <w:rFonts w:ascii="Abadi" w:hAnsi="Abadi"/>
          <w:sz w:val="21"/>
          <w:szCs w:val="21"/>
        </w:rPr>
        <w:t>,</w:t>
      </w:r>
      <w:r w:rsidRPr="0021199F">
        <w:rPr>
          <w:rFonts w:ascii="Abadi" w:hAnsi="Abadi"/>
          <w:sz w:val="21"/>
          <w:szCs w:val="21"/>
        </w:rPr>
        <w:t xml:space="preserve"> </w:t>
      </w:r>
      <w:r>
        <w:rPr>
          <w:rFonts w:ascii="Abadi" w:hAnsi="Abadi"/>
          <w:sz w:val="21"/>
          <w:szCs w:val="21"/>
        </w:rPr>
        <w:t>d</w:t>
      </w:r>
      <w:r w:rsidRPr="0021199F">
        <w:rPr>
          <w:rFonts w:ascii="Abadi" w:hAnsi="Abadi"/>
          <w:sz w:val="21"/>
          <w:szCs w:val="21"/>
        </w:rPr>
        <w:t xml:space="preserve">ónde se </w:t>
      </w:r>
      <w:r>
        <w:rPr>
          <w:rFonts w:ascii="Abadi" w:hAnsi="Abadi"/>
          <w:sz w:val="21"/>
          <w:szCs w:val="21"/>
        </w:rPr>
        <w:t xml:space="preserve">apoya </w:t>
      </w:r>
      <w:r w:rsidRPr="0021199F">
        <w:rPr>
          <w:rFonts w:ascii="Abadi" w:hAnsi="Abadi"/>
          <w:sz w:val="21"/>
          <w:szCs w:val="21"/>
        </w:rPr>
        <w:t>a los amigos por encima de la ciudadanía, donde se privilegia la</w:t>
      </w:r>
      <w:r>
        <w:rPr>
          <w:rFonts w:ascii="Abadi" w:hAnsi="Abadi"/>
          <w:sz w:val="21"/>
          <w:szCs w:val="21"/>
        </w:rPr>
        <w:t xml:space="preserve"> </w:t>
      </w:r>
      <w:r w:rsidRPr="0021199F">
        <w:rPr>
          <w:rFonts w:ascii="Abadi" w:hAnsi="Abadi"/>
          <w:sz w:val="21"/>
          <w:szCs w:val="21"/>
        </w:rPr>
        <w:t>potencia industrial sobre el campo,</w:t>
      </w:r>
      <w:r>
        <w:rPr>
          <w:rFonts w:ascii="Abadi" w:hAnsi="Abadi"/>
          <w:sz w:val="21"/>
          <w:szCs w:val="21"/>
        </w:rPr>
        <w:t xml:space="preserve"> </w:t>
      </w:r>
      <w:r w:rsidRPr="0021199F">
        <w:rPr>
          <w:rFonts w:ascii="Abadi" w:hAnsi="Abadi"/>
          <w:sz w:val="21"/>
          <w:szCs w:val="21"/>
        </w:rPr>
        <w:t>dónde se quiere llegar a ser el primer estado en llegar</w:t>
      </w:r>
      <w:r>
        <w:rPr>
          <w:rFonts w:ascii="Abadi" w:hAnsi="Abadi"/>
          <w:sz w:val="21"/>
          <w:szCs w:val="21"/>
        </w:rPr>
        <w:t xml:space="preserve"> al metaverso, pero</w:t>
      </w:r>
      <w:r w:rsidRPr="0021199F">
        <w:rPr>
          <w:rFonts w:ascii="Abadi" w:hAnsi="Abadi"/>
          <w:sz w:val="21"/>
          <w:szCs w:val="21"/>
        </w:rPr>
        <w:t xml:space="preserve"> no en la procuración de justicia. En su informe presencial, que duró aproximadamente </w:t>
      </w:r>
      <w:r>
        <w:rPr>
          <w:rFonts w:ascii="Abadi" w:hAnsi="Abadi"/>
          <w:sz w:val="21"/>
          <w:szCs w:val="21"/>
        </w:rPr>
        <w:t>3</w:t>
      </w:r>
      <w:r w:rsidRPr="0021199F">
        <w:rPr>
          <w:rFonts w:ascii="Abadi" w:hAnsi="Abadi"/>
          <w:sz w:val="21"/>
          <w:szCs w:val="21"/>
        </w:rPr>
        <w:t xml:space="preserve"> horas, solamente dedicó hablar </w:t>
      </w:r>
      <w:r>
        <w:rPr>
          <w:rFonts w:ascii="Abadi" w:hAnsi="Abadi"/>
          <w:sz w:val="21"/>
          <w:szCs w:val="21"/>
        </w:rPr>
        <w:t>6</w:t>
      </w:r>
      <w:r w:rsidRPr="0021199F">
        <w:rPr>
          <w:rFonts w:ascii="Abadi" w:hAnsi="Abadi"/>
          <w:sz w:val="21"/>
          <w:szCs w:val="21"/>
        </w:rPr>
        <w:t xml:space="preserve"> minutos sobre el desarrollo social. Mencionó grandes logros de empresas y otras personas, pero no del gobierno que encabeza. Es increíble que en el eje desarrollo humano y social, el informe de gobierno solo se menciona una vez la palabra pobreza. Dejemos de hacerlos de la vista gorda, por favor, tenemos que empezar a llamar las cosas por su nombre</w:t>
      </w:r>
      <w:r>
        <w:rPr>
          <w:rFonts w:ascii="Abadi" w:hAnsi="Abadi"/>
          <w:sz w:val="21"/>
          <w:szCs w:val="21"/>
        </w:rPr>
        <w:t>. P</w:t>
      </w:r>
      <w:r w:rsidRPr="0021199F">
        <w:rPr>
          <w:rFonts w:ascii="Abadi" w:hAnsi="Abadi"/>
          <w:sz w:val="21"/>
          <w:szCs w:val="21"/>
        </w:rPr>
        <w:t>obreza, pobreza es la que represent</w:t>
      </w:r>
      <w:r>
        <w:rPr>
          <w:rFonts w:ascii="Abadi" w:hAnsi="Abadi"/>
          <w:sz w:val="21"/>
          <w:szCs w:val="21"/>
        </w:rPr>
        <w:t>a en Guanajuato, casi 3</w:t>
      </w:r>
      <w:r w:rsidRPr="0021199F">
        <w:rPr>
          <w:rFonts w:ascii="Abadi" w:hAnsi="Abadi"/>
          <w:sz w:val="21"/>
          <w:szCs w:val="21"/>
        </w:rPr>
        <w:t xml:space="preserve"> millones de personas, casi la mitad de nuestra población. </w:t>
      </w:r>
    </w:p>
    <w:p w14:paraId="4AE96C43" w14:textId="355D20E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Es inconcebible que en </w:t>
      </w:r>
      <w:r>
        <w:rPr>
          <w:rFonts w:ascii="Abadi" w:hAnsi="Abadi"/>
          <w:sz w:val="21"/>
          <w:szCs w:val="21"/>
        </w:rPr>
        <w:t>P</w:t>
      </w:r>
      <w:r w:rsidRPr="0021199F">
        <w:rPr>
          <w:rFonts w:ascii="Abadi" w:hAnsi="Abadi"/>
          <w:sz w:val="21"/>
          <w:szCs w:val="21"/>
        </w:rPr>
        <w:t xml:space="preserve">leno siglo </w:t>
      </w:r>
      <w:r>
        <w:rPr>
          <w:rFonts w:ascii="Abadi" w:hAnsi="Abadi"/>
          <w:sz w:val="21"/>
          <w:szCs w:val="21"/>
        </w:rPr>
        <w:t>XXI</w:t>
      </w:r>
      <w:r w:rsidRPr="0021199F">
        <w:rPr>
          <w:rFonts w:ascii="Abadi" w:hAnsi="Abadi"/>
          <w:sz w:val="21"/>
          <w:szCs w:val="21"/>
        </w:rPr>
        <w:t xml:space="preserve"> tengamos municipios como </w:t>
      </w:r>
      <w:r>
        <w:rPr>
          <w:rFonts w:ascii="Abadi" w:hAnsi="Abadi"/>
          <w:sz w:val="21"/>
          <w:szCs w:val="21"/>
        </w:rPr>
        <w:t>At</w:t>
      </w:r>
      <w:r w:rsidRPr="0021199F">
        <w:rPr>
          <w:rFonts w:ascii="Abadi" w:hAnsi="Abadi"/>
          <w:sz w:val="21"/>
          <w:szCs w:val="21"/>
        </w:rPr>
        <w:t>arje</w:t>
      </w:r>
      <w:r w:rsidR="0025089C">
        <w:rPr>
          <w:rFonts w:ascii="Abadi" w:hAnsi="Abadi"/>
          <w:sz w:val="21"/>
          <w:szCs w:val="21"/>
        </w:rPr>
        <w:t>a</w:t>
      </w:r>
      <w:r w:rsidRPr="0021199F">
        <w:rPr>
          <w:rFonts w:ascii="Abadi" w:hAnsi="Abadi"/>
          <w:sz w:val="21"/>
          <w:szCs w:val="21"/>
        </w:rPr>
        <w:t xml:space="preserve">, donde prácticamente el </w:t>
      </w:r>
      <w:r>
        <w:rPr>
          <w:rFonts w:ascii="Abadi" w:hAnsi="Abadi"/>
          <w:sz w:val="21"/>
          <w:szCs w:val="21"/>
        </w:rPr>
        <w:t xml:space="preserve">90% </w:t>
      </w:r>
      <w:r w:rsidRPr="0021199F">
        <w:rPr>
          <w:rFonts w:ascii="Abadi" w:hAnsi="Abadi"/>
          <w:sz w:val="21"/>
          <w:szCs w:val="21"/>
        </w:rPr>
        <w:t>de su población está en situación de pobreza. De verdad tenemos que cambiar nuestra política económica</w:t>
      </w:r>
      <w:r>
        <w:rPr>
          <w:rFonts w:ascii="Abadi" w:hAnsi="Abadi"/>
          <w:sz w:val="21"/>
          <w:szCs w:val="21"/>
        </w:rPr>
        <w:t xml:space="preserve"> e ideológica, tenemos</w:t>
      </w:r>
      <w:r w:rsidRPr="0021199F">
        <w:rPr>
          <w:rFonts w:ascii="Abadi" w:hAnsi="Abadi"/>
          <w:sz w:val="21"/>
          <w:szCs w:val="21"/>
        </w:rPr>
        <w:t xml:space="preserve"> </w:t>
      </w:r>
      <w:r>
        <w:rPr>
          <w:rFonts w:ascii="Abadi" w:hAnsi="Abadi"/>
          <w:sz w:val="21"/>
          <w:szCs w:val="21"/>
        </w:rPr>
        <w:t xml:space="preserve">que ser menos arrogantes, </w:t>
      </w:r>
      <w:r w:rsidRPr="0021199F">
        <w:rPr>
          <w:rFonts w:ascii="Abadi" w:hAnsi="Abadi"/>
          <w:sz w:val="21"/>
          <w:szCs w:val="21"/>
        </w:rPr>
        <w:t>tenemos que gastar mejor los recursos porque no es tema de recurso</w:t>
      </w:r>
      <w:r>
        <w:rPr>
          <w:rFonts w:ascii="Abadi" w:hAnsi="Abadi"/>
          <w:sz w:val="21"/>
          <w:szCs w:val="21"/>
        </w:rPr>
        <w:t>, Guanajuato hoy</w:t>
      </w:r>
      <w:r w:rsidRPr="0021199F">
        <w:rPr>
          <w:rFonts w:ascii="Abadi" w:hAnsi="Abadi"/>
          <w:sz w:val="21"/>
          <w:szCs w:val="21"/>
        </w:rPr>
        <w:t xml:space="preserve"> tiene</w:t>
      </w:r>
      <w:r>
        <w:rPr>
          <w:rFonts w:ascii="Abadi" w:hAnsi="Abadi"/>
          <w:sz w:val="21"/>
          <w:szCs w:val="21"/>
        </w:rPr>
        <w:t xml:space="preserve"> 93 </w:t>
      </w:r>
      <w:r w:rsidRPr="0021199F">
        <w:rPr>
          <w:rFonts w:ascii="Abadi" w:hAnsi="Abadi"/>
          <w:sz w:val="21"/>
          <w:szCs w:val="21"/>
        </w:rPr>
        <w:t>mil millones de pesos</w:t>
      </w:r>
      <w:r>
        <w:rPr>
          <w:rFonts w:ascii="Abadi" w:hAnsi="Abadi"/>
          <w:sz w:val="21"/>
          <w:szCs w:val="21"/>
        </w:rPr>
        <w:t xml:space="preserve">. Señalan </w:t>
      </w:r>
      <w:r w:rsidRPr="0021199F">
        <w:rPr>
          <w:rFonts w:ascii="Abadi" w:hAnsi="Abadi"/>
          <w:sz w:val="21"/>
          <w:szCs w:val="21"/>
        </w:rPr>
        <w:t>ustedes datos aislados que carecen de contexto</w:t>
      </w:r>
      <w:r>
        <w:rPr>
          <w:rFonts w:ascii="Abadi" w:hAnsi="Abadi"/>
          <w:sz w:val="21"/>
          <w:szCs w:val="21"/>
        </w:rPr>
        <w:t>, n</w:t>
      </w:r>
      <w:r w:rsidRPr="0021199F">
        <w:rPr>
          <w:rFonts w:ascii="Abadi" w:hAnsi="Abadi"/>
          <w:sz w:val="21"/>
          <w:szCs w:val="21"/>
        </w:rPr>
        <w:t>o hay ningún e</w:t>
      </w:r>
      <w:r>
        <w:rPr>
          <w:rFonts w:ascii="Abadi" w:hAnsi="Abadi"/>
          <w:sz w:val="21"/>
          <w:szCs w:val="21"/>
        </w:rPr>
        <w:t>j</w:t>
      </w:r>
      <w:r w:rsidRPr="0021199F">
        <w:rPr>
          <w:rFonts w:ascii="Abadi" w:hAnsi="Abadi"/>
          <w:sz w:val="21"/>
          <w:szCs w:val="21"/>
        </w:rPr>
        <w:t>e donde se tenga un poquito de autocrítica. El informe no es objetivo,</w:t>
      </w:r>
      <w:r>
        <w:rPr>
          <w:rFonts w:ascii="Abadi" w:hAnsi="Abadi"/>
          <w:sz w:val="21"/>
          <w:szCs w:val="21"/>
        </w:rPr>
        <w:t xml:space="preserve"> e</w:t>
      </w:r>
      <w:r w:rsidRPr="0021199F">
        <w:rPr>
          <w:rFonts w:ascii="Abadi" w:hAnsi="Abadi"/>
          <w:sz w:val="21"/>
          <w:szCs w:val="21"/>
        </w:rPr>
        <w:t xml:space="preserve"> incluso con datos distintos a </w:t>
      </w:r>
      <w:r>
        <w:rPr>
          <w:rFonts w:ascii="Abadi" w:hAnsi="Abadi"/>
          <w:sz w:val="21"/>
          <w:szCs w:val="21"/>
        </w:rPr>
        <w:t>los reales</w:t>
      </w:r>
      <w:r w:rsidRPr="0021199F">
        <w:rPr>
          <w:rFonts w:ascii="Abadi" w:hAnsi="Abadi"/>
          <w:sz w:val="21"/>
          <w:szCs w:val="21"/>
        </w:rPr>
        <w:t xml:space="preserve">, deben de estar muy pendientes de que el progreso vaya acompañado de la justicia, la paz y la tranquilidad. </w:t>
      </w:r>
      <w:r>
        <w:rPr>
          <w:rFonts w:ascii="Abadi" w:hAnsi="Abadi"/>
          <w:sz w:val="21"/>
          <w:szCs w:val="21"/>
        </w:rPr>
        <w:t xml:space="preserve">Guanajuato no soporta </w:t>
      </w:r>
      <w:r w:rsidRPr="0021199F">
        <w:rPr>
          <w:rFonts w:ascii="Abadi" w:hAnsi="Abadi"/>
          <w:sz w:val="21"/>
          <w:szCs w:val="21"/>
        </w:rPr>
        <w:t>más</w:t>
      </w:r>
      <w:r>
        <w:rPr>
          <w:rFonts w:ascii="Abadi" w:hAnsi="Abadi"/>
          <w:sz w:val="21"/>
          <w:szCs w:val="21"/>
        </w:rPr>
        <w:t xml:space="preserve">, Guanajuato necesita un cambio verdadero. </w:t>
      </w:r>
    </w:p>
    <w:p w14:paraId="77EB2E0A" w14:textId="0956FDA5" w:rsidR="002B30C6" w:rsidRDefault="002B30C6" w:rsidP="002B30C6">
      <w:pPr>
        <w:pStyle w:val="NormalWeb"/>
        <w:jc w:val="both"/>
        <w:rPr>
          <w:rFonts w:ascii="Abadi" w:hAnsi="Abadi"/>
          <w:sz w:val="21"/>
          <w:szCs w:val="21"/>
        </w:rPr>
      </w:pPr>
      <w:r>
        <w:rPr>
          <w:rFonts w:ascii="Abadi" w:hAnsi="Abadi"/>
          <w:sz w:val="21"/>
          <w:szCs w:val="21"/>
        </w:rPr>
        <w:t xml:space="preserve">- Yo </w:t>
      </w:r>
      <w:r w:rsidRPr="0021199F">
        <w:rPr>
          <w:rFonts w:ascii="Abadi" w:hAnsi="Abadi"/>
          <w:sz w:val="21"/>
          <w:szCs w:val="21"/>
        </w:rPr>
        <w:t>no los voy a mandar a usted</w:t>
      </w:r>
      <w:r>
        <w:rPr>
          <w:rFonts w:ascii="Abadi" w:hAnsi="Abadi"/>
          <w:sz w:val="21"/>
          <w:szCs w:val="21"/>
        </w:rPr>
        <w:t xml:space="preserve">es </w:t>
      </w:r>
      <w:r w:rsidRPr="0021199F">
        <w:rPr>
          <w:rFonts w:ascii="Abadi" w:hAnsi="Abadi"/>
          <w:sz w:val="21"/>
          <w:szCs w:val="21"/>
        </w:rPr>
        <w:t xml:space="preserve">a preguntarle nada al </w:t>
      </w:r>
      <w:r w:rsidR="00733A90">
        <w:rPr>
          <w:rFonts w:ascii="Abadi" w:hAnsi="Abadi"/>
          <w:sz w:val="21"/>
          <w:szCs w:val="21"/>
        </w:rPr>
        <w:t>G</w:t>
      </w:r>
      <w:r w:rsidRPr="0021199F">
        <w:rPr>
          <w:rFonts w:ascii="Abadi" w:hAnsi="Abadi"/>
          <w:sz w:val="21"/>
          <w:szCs w:val="21"/>
        </w:rPr>
        <w:t>obernador.</w:t>
      </w:r>
      <w:r>
        <w:rPr>
          <w:rFonts w:ascii="Abadi" w:hAnsi="Abadi"/>
          <w:sz w:val="21"/>
          <w:szCs w:val="21"/>
        </w:rPr>
        <w:t xml:space="preserve"> </w:t>
      </w:r>
      <w:r w:rsidRPr="0021199F">
        <w:rPr>
          <w:rFonts w:ascii="Abadi" w:hAnsi="Abadi"/>
          <w:sz w:val="21"/>
          <w:szCs w:val="21"/>
        </w:rPr>
        <w:t xml:space="preserve"> </w:t>
      </w:r>
      <w:r>
        <w:rPr>
          <w:rFonts w:ascii="Abadi" w:hAnsi="Abadi"/>
          <w:sz w:val="21"/>
          <w:szCs w:val="21"/>
        </w:rPr>
        <w:t>¡</w:t>
      </w:r>
      <w:r w:rsidRPr="0021199F">
        <w:rPr>
          <w:rFonts w:ascii="Abadi" w:hAnsi="Abadi"/>
          <w:sz w:val="21"/>
          <w:szCs w:val="21"/>
        </w:rPr>
        <w:t>Yo</w:t>
      </w:r>
      <w:r w:rsidR="00AA3E6B">
        <w:rPr>
          <w:rFonts w:ascii="Abadi" w:hAnsi="Abadi"/>
          <w:sz w:val="21"/>
          <w:szCs w:val="21"/>
        </w:rPr>
        <w:t>,</w:t>
      </w:r>
      <w:r w:rsidRPr="0021199F">
        <w:rPr>
          <w:rFonts w:ascii="Abadi" w:hAnsi="Abadi"/>
          <w:sz w:val="21"/>
          <w:szCs w:val="21"/>
        </w:rPr>
        <w:t xml:space="preserve"> se lo digo</w:t>
      </w:r>
      <w:r>
        <w:rPr>
          <w:rFonts w:ascii="Abadi" w:hAnsi="Abadi"/>
          <w:sz w:val="21"/>
          <w:szCs w:val="21"/>
        </w:rPr>
        <w:t xml:space="preserve"> </w:t>
      </w:r>
      <w:proofErr w:type="gramStart"/>
      <w:r>
        <w:rPr>
          <w:rFonts w:ascii="Abadi" w:hAnsi="Abadi"/>
          <w:sz w:val="21"/>
          <w:szCs w:val="21"/>
        </w:rPr>
        <w:t>directo¡ ¡</w:t>
      </w:r>
      <w:proofErr w:type="gramEnd"/>
      <w:r>
        <w:rPr>
          <w:rFonts w:ascii="Abadi" w:hAnsi="Abadi"/>
          <w:sz w:val="21"/>
          <w:szCs w:val="21"/>
        </w:rPr>
        <w:t>S</w:t>
      </w:r>
      <w:r w:rsidRPr="0021199F">
        <w:rPr>
          <w:rFonts w:ascii="Abadi" w:hAnsi="Abadi"/>
          <w:sz w:val="21"/>
          <w:szCs w:val="21"/>
        </w:rPr>
        <w:t xml:space="preserve">eñor </w:t>
      </w:r>
      <w:r>
        <w:rPr>
          <w:rFonts w:ascii="Abadi" w:hAnsi="Abadi"/>
          <w:sz w:val="21"/>
          <w:szCs w:val="21"/>
        </w:rPr>
        <w:t>G</w:t>
      </w:r>
      <w:r w:rsidRPr="0021199F">
        <w:rPr>
          <w:rFonts w:ascii="Abadi" w:hAnsi="Abadi"/>
          <w:sz w:val="21"/>
          <w:szCs w:val="21"/>
        </w:rPr>
        <w:t>obernador</w:t>
      </w:r>
      <w:r>
        <w:rPr>
          <w:rFonts w:ascii="Abadi" w:hAnsi="Abadi"/>
          <w:sz w:val="21"/>
          <w:szCs w:val="21"/>
        </w:rPr>
        <w:t xml:space="preserve">¡ lo invito a </w:t>
      </w:r>
      <w:r w:rsidRPr="0021199F">
        <w:rPr>
          <w:rFonts w:ascii="Abadi" w:hAnsi="Abadi"/>
          <w:sz w:val="21"/>
          <w:szCs w:val="21"/>
        </w:rPr>
        <w:t xml:space="preserve">que conozca su </w:t>
      </w:r>
      <w:r>
        <w:rPr>
          <w:rFonts w:ascii="Abadi" w:hAnsi="Abadi"/>
          <w:sz w:val="21"/>
          <w:szCs w:val="21"/>
        </w:rPr>
        <w:t>E</w:t>
      </w:r>
      <w:r w:rsidRPr="0021199F">
        <w:rPr>
          <w:rFonts w:ascii="Abadi" w:hAnsi="Abadi"/>
          <w:sz w:val="21"/>
          <w:szCs w:val="21"/>
        </w:rPr>
        <w:t>stado porque así va a tener mejor toma de decisiones en las prioridades que se tiene</w:t>
      </w:r>
      <w:r>
        <w:rPr>
          <w:rFonts w:ascii="Abadi" w:hAnsi="Abadi"/>
          <w:sz w:val="21"/>
          <w:szCs w:val="21"/>
        </w:rPr>
        <w:t xml:space="preserve">n. </w:t>
      </w:r>
      <w:r w:rsidRPr="0021199F">
        <w:rPr>
          <w:rFonts w:ascii="Abadi" w:hAnsi="Abadi"/>
          <w:sz w:val="21"/>
          <w:szCs w:val="21"/>
        </w:rPr>
        <w:t xml:space="preserve">Nos queda claro que su prioridad es gastar en comunicación desde ya lejano </w:t>
      </w:r>
      <w:r>
        <w:rPr>
          <w:rFonts w:ascii="Abadi" w:hAnsi="Abadi"/>
          <w:sz w:val="21"/>
          <w:szCs w:val="21"/>
        </w:rPr>
        <w:t xml:space="preserve">2018 donde </w:t>
      </w:r>
      <w:r w:rsidRPr="0021199F">
        <w:rPr>
          <w:rFonts w:ascii="Abadi" w:hAnsi="Abadi"/>
          <w:sz w:val="21"/>
          <w:szCs w:val="21"/>
        </w:rPr>
        <w:t xml:space="preserve">inició su sesión hasta el </w:t>
      </w:r>
      <w:r w:rsidRPr="00B90D08">
        <w:rPr>
          <w:rFonts w:ascii="Abadi" w:hAnsi="Abadi"/>
          <w:sz w:val="21"/>
          <w:szCs w:val="21"/>
        </w:rPr>
        <w:t>202</w:t>
      </w:r>
      <w:r>
        <w:rPr>
          <w:rFonts w:ascii="Abadi" w:hAnsi="Abadi"/>
          <w:sz w:val="21"/>
          <w:szCs w:val="21"/>
        </w:rPr>
        <w:t>1 el G</w:t>
      </w:r>
      <w:r w:rsidRPr="0021199F">
        <w:rPr>
          <w:rFonts w:ascii="Abadi" w:hAnsi="Abadi"/>
          <w:sz w:val="21"/>
          <w:szCs w:val="21"/>
        </w:rPr>
        <w:t xml:space="preserve">obernador </w:t>
      </w:r>
      <w:r>
        <w:rPr>
          <w:rFonts w:ascii="Abadi" w:hAnsi="Abadi"/>
          <w:sz w:val="21"/>
          <w:szCs w:val="21"/>
        </w:rPr>
        <w:t>Diego Sinuhé</w:t>
      </w:r>
      <w:r w:rsidRPr="0021199F">
        <w:rPr>
          <w:rFonts w:ascii="Abadi" w:hAnsi="Abadi"/>
          <w:sz w:val="21"/>
          <w:szCs w:val="21"/>
        </w:rPr>
        <w:t xml:space="preserve"> se ha gastado más de un millón de pesos diarios en comunicación, manteniendo una imagen artificial de bienestar. No estamos bien, señor Diego</w:t>
      </w:r>
      <w:r>
        <w:rPr>
          <w:rFonts w:ascii="Abadi" w:hAnsi="Abadi"/>
          <w:sz w:val="21"/>
          <w:szCs w:val="21"/>
        </w:rPr>
        <w:t xml:space="preserve"> y e</w:t>
      </w:r>
      <w:r w:rsidRPr="0021199F">
        <w:rPr>
          <w:rFonts w:ascii="Abadi" w:hAnsi="Abadi"/>
          <w:sz w:val="21"/>
          <w:szCs w:val="21"/>
        </w:rPr>
        <w:t>sos millones de pesos que ha gastado en publicidad s</w:t>
      </w:r>
      <w:r>
        <w:rPr>
          <w:rFonts w:ascii="Abadi" w:hAnsi="Abadi"/>
          <w:sz w:val="21"/>
          <w:szCs w:val="21"/>
        </w:rPr>
        <w:t xml:space="preserve">e lo </w:t>
      </w:r>
      <w:r w:rsidRPr="0021199F">
        <w:rPr>
          <w:rFonts w:ascii="Abadi" w:hAnsi="Abadi"/>
          <w:sz w:val="21"/>
          <w:szCs w:val="21"/>
        </w:rPr>
        <w:t xml:space="preserve">vamos a recordar. </w:t>
      </w:r>
    </w:p>
    <w:p w14:paraId="14521E76" w14:textId="539ED969" w:rsidR="002B30C6" w:rsidRPr="00F84EFB" w:rsidRDefault="002B30C6" w:rsidP="002B30C6">
      <w:pPr>
        <w:pStyle w:val="NormalWeb"/>
        <w:jc w:val="both"/>
        <w:rPr>
          <w:rFonts w:ascii="Abadi" w:hAnsi="Abadi"/>
          <w:b/>
          <w:bCs/>
          <w:sz w:val="21"/>
          <w:szCs w:val="21"/>
        </w:rPr>
      </w:pPr>
      <w:r>
        <w:rPr>
          <w:rFonts w:ascii="Abadi" w:hAnsi="Abadi"/>
          <w:sz w:val="21"/>
          <w:szCs w:val="21"/>
        </w:rPr>
        <w:t xml:space="preserve">- </w:t>
      </w:r>
      <w:r w:rsidRPr="0021199F">
        <w:rPr>
          <w:rFonts w:ascii="Abadi" w:hAnsi="Abadi"/>
          <w:sz w:val="21"/>
          <w:szCs w:val="21"/>
        </w:rPr>
        <w:t xml:space="preserve">Tenemos </w:t>
      </w:r>
      <w:r>
        <w:rPr>
          <w:rFonts w:ascii="Abadi" w:hAnsi="Abadi"/>
          <w:sz w:val="21"/>
          <w:szCs w:val="21"/>
        </w:rPr>
        <w:t>que alzar l</w:t>
      </w:r>
      <w:r w:rsidRPr="0021199F">
        <w:rPr>
          <w:rFonts w:ascii="Abadi" w:hAnsi="Abadi"/>
          <w:sz w:val="21"/>
          <w:szCs w:val="21"/>
        </w:rPr>
        <w:t>a voz</w:t>
      </w:r>
      <w:r>
        <w:rPr>
          <w:rFonts w:ascii="Abadi" w:hAnsi="Abadi"/>
          <w:sz w:val="21"/>
          <w:szCs w:val="21"/>
        </w:rPr>
        <w:t xml:space="preserve">, </w:t>
      </w:r>
      <w:r w:rsidRPr="0021199F">
        <w:rPr>
          <w:rFonts w:ascii="Abadi" w:hAnsi="Abadi"/>
          <w:sz w:val="21"/>
          <w:szCs w:val="21"/>
        </w:rPr>
        <w:t>es una barbaridad para las y los guanajuatense</w:t>
      </w:r>
      <w:r>
        <w:rPr>
          <w:rFonts w:ascii="Abadi" w:hAnsi="Abadi"/>
          <w:sz w:val="21"/>
          <w:szCs w:val="21"/>
        </w:rPr>
        <w:t>s, es</w:t>
      </w:r>
      <w:r w:rsidRPr="0021199F">
        <w:rPr>
          <w:rFonts w:ascii="Abadi" w:hAnsi="Abadi"/>
          <w:sz w:val="21"/>
          <w:szCs w:val="21"/>
        </w:rPr>
        <w:t xml:space="preserve"> indignante lo que está pasando en nuestro </w:t>
      </w:r>
      <w:r>
        <w:rPr>
          <w:rFonts w:ascii="Abadi" w:hAnsi="Abadi"/>
          <w:sz w:val="21"/>
          <w:szCs w:val="21"/>
        </w:rPr>
        <w:t>Estado</w:t>
      </w:r>
      <w:r w:rsidRPr="0021199F">
        <w:rPr>
          <w:rFonts w:ascii="Abadi" w:hAnsi="Abadi"/>
          <w:sz w:val="21"/>
          <w:szCs w:val="21"/>
        </w:rPr>
        <w:t>. Sabemos que no se tapa el sol con un dedo y el primer paso para arreglar el problema</w:t>
      </w:r>
      <w:r>
        <w:rPr>
          <w:rFonts w:ascii="Abadi" w:hAnsi="Abadi"/>
          <w:sz w:val="21"/>
          <w:szCs w:val="21"/>
        </w:rPr>
        <w:t xml:space="preserve">, es reconocer </w:t>
      </w:r>
      <w:r w:rsidRPr="0021199F">
        <w:rPr>
          <w:rFonts w:ascii="Abadi" w:hAnsi="Abadi"/>
          <w:sz w:val="21"/>
          <w:szCs w:val="21"/>
        </w:rPr>
        <w:t xml:space="preserve">que hay un problema. Claro que podemos ser la </w:t>
      </w:r>
      <w:r>
        <w:rPr>
          <w:rFonts w:ascii="Abadi" w:hAnsi="Abadi"/>
          <w:sz w:val="21"/>
          <w:szCs w:val="21"/>
        </w:rPr>
        <w:t>G</w:t>
      </w:r>
      <w:r w:rsidRPr="0021199F">
        <w:rPr>
          <w:rFonts w:ascii="Abadi" w:hAnsi="Abadi"/>
          <w:sz w:val="21"/>
          <w:szCs w:val="21"/>
        </w:rPr>
        <w:t>randeza de México</w:t>
      </w:r>
      <w:r>
        <w:rPr>
          <w:rFonts w:ascii="Abadi" w:hAnsi="Abadi"/>
          <w:sz w:val="21"/>
          <w:szCs w:val="21"/>
        </w:rPr>
        <w:t xml:space="preserve">, y </w:t>
      </w:r>
      <w:r w:rsidRPr="0021199F">
        <w:rPr>
          <w:rFonts w:ascii="Abadi" w:hAnsi="Abadi"/>
          <w:sz w:val="21"/>
          <w:szCs w:val="21"/>
        </w:rPr>
        <w:t>lo seremos cuando se defienda lo correcto</w:t>
      </w:r>
      <w:r>
        <w:rPr>
          <w:rFonts w:ascii="Abadi" w:hAnsi="Abadi"/>
          <w:sz w:val="21"/>
          <w:szCs w:val="21"/>
        </w:rPr>
        <w:t>, cu</w:t>
      </w:r>
      <w:r w:rsidRPr="0021199F">
        <w:rPr>
          <w:rFonts w:ascii="Abadi" w:hAnsi="Abadi"/>
          <w:sz w:val="21"/>
          <w:szCs w:val="21"/>
        </w:rPr>
        <w:t>ando no s</w:t>
      </w:r>
      <w:r>
        <w:rPr>
          <w:rFonts w:ascii="Abadi" w:hAnsi="Abadi"/>
          <w:sz w:val="21"/>
          <w:szCs w:val="21"/>
        </w:rPr>
        <w:t xml:space="preserve">e solape a </w:t>
      </w:r>
      <w:r w:rsidRPr="0021199F">
        <w:rPr>
          <w:rFonts w:ascii="Abadi" w:hAnsi="Abadi"/>
          <w:sz w:val="21"/>
          <w:szCs w:val="21"/>
        </w:rPr>
        <w:t>los funcionar</w:t>
      </w:r>
      <w:r>
        <w:rPr>
          <w:rFonts w:ascii="Abadi" w:hAnsi="Abadi"/>
          <w:sz w:val="21"/>
          <w:szCs w:val="21"/>
        </w:rPr>
        <w:t xml:space="preserve">ios, </w:t>
      </w:r>
      <w:r w:rsidRPr="0021199F">
        <w:rPr>
          <w:rFonts w:ascii="Abadi" w:hAnsi="Abadi"/>
          <w:sz w:val="21"/>
          <w:szCs w:val="21"/>
        </w:rPr>
        <w:t xml:space="preserve">cuando </w:t>
      </w:r>
      <w:r>
        <w:rPr>
          <w:rFonts w:ascii="Abadi" w:hAnsi="Abadi"/>
          <w:sz w:val="21"/>
          <w:szCs w:val="21"/>
        </w:rPr>
        <w:t>haya</w:t>
      </w:r>
      <w:r w:rsidRPr="0021199F">
        <w:rPr>
          <w:rFonts w:ascii="Abadi" w:hAnsi="Abadi"/>
          <w:sz w:val="21"/>
          <w:szCs w:val="21"/>
        </w:rPr>
        <w:t xml:space="preserve"> separación de poder</w:t>
      </w:r>
      <w:r>
        <w:rPr>
          <w:rFonts w:ascii="Abadi" w:hAnsi="Abadi"/>
          <w:sz w:val="21"/>
          <w:szCs w:val="21"/>
        </w:rPr>
        <w:t>es,</w:t>
      </w:r>
      <w:r w:rsidRPr="0021199F">
        <w:rPr>
          <w:rFonts w:ascii="Abadi" w:hAnsi="Abadi"/>
          <w:sz w:val="21"/>
          <w:szCs w:val="21"/>
        </w:rPr>
        <w:t xml:space="preserve"> </w:t>
      </w:r>
      <w:r>
        <w:rPr>
          <w:rFonts w:ascii="Abadi" w:hAnsi="Abadi"/>
          <w:sz w:val="21"/>
          <w:szCs w:val="21"/>
        </w:rPr>
        <w:t>c</w:t>
      </w:r>
      <w:r w:rsidRPr="0021199F">
        <w:rPr>
          <w:rFonts w:ascii="Abadi" w:hAnsi="Abadi"/>
          <w:sz w:val="21"/>
          <w:szCs w:val="21"/>
        </w:rPr>
        <w:t xml:space="preserve">uando se lucha por razones </w:t>
      </w:r>
      <w:r>
        <w:rPr>
          <w:rFonts w:ascii="Abadi" w:hAnsi="Abadi"/>
          <w:sz w:val="21"/>
          <w:szCs w:val="21"/>
        </w:rPr>
        <w:t>éticas</w:t>
      </w:r>
      <w:r w:rsidRPr="0021199F">
        <w:rPr>
          <w:rFonts w:ascii="Abadi" w:hAnsi="Abadi"/>
          <w:sz w:val="21"/>
          <w:szCs w:val="21"/>
        </w:rPr>
        <w:t>, cuando se haga la guerra contra la pobreza y no contra la gente que tiene una situación de pobre</w:t>
      </w:r>
      <w:r>
        <w:rPr>
          <w:rFonts w:ascii="Abadi" w:hAnsi="Abadi"/>
          <w:sz w:val="21"/>
          <w:szCs w:val="21"/>
        </w:rPr>
        <w:t>za, c</w:t>
      </w:r>
      <w:r w:rsidRPr="0021199F">
        <w:rPr>
          <w:rFonts w:ascii="Abadi" w:hAnsi="Abadi"/>
          <w:sz w:val="21"/>
          <w:szCs w:val="21"/>
        </w:rPr>
        <w:t xml:space="preserve">uando nos preocupemos por nuestros vecinos, cuándo </w:t>
      </w:r>
      <w:r>
        <w:rPr>
          <w:rFonts w:ascii="Abadi" w:hAnsi="Abadi"/>
          <w:sz w:val="21"/>
          <w:szCs w:val="21"/>
        </w:rPr>
        <w:t>apoyemos</w:t>
      </w:r>
      <w:r w:rsidRPr="0021199F">
        <w:rPr>
          <w:rFonts w:ascii="Abadi" w:hAnsi="Abadi"/>
          <w:sz w:val="21"/>
          <w:szCs w:val="21"/>
        </w:rPr>
        <w:t xml:space="preserve"> </w:t>
      </w:r>
      <w:r>
        <w:rPr>
          <w:rFonts w:ascii="Abadi" w:hAnsi="Abadi"/>
          <w:sz w:val="21"/>
          <w:szCs w:val="21"/>
        </w:rPr>
        <w:t xml:space="preserve">en lo </w:t>
      </w:r>
      <w:r w:rsidRPr="0021199F">
        <w:rPr>
          <w:rFonts w:ascii="Abadi" w:hAnsi="Abadi"/>
          <w:sz w:val="21"/>
          <w:szCs w:val="21"/>
        </w:rPr>
        <w:t>que verdaderamente</w:t>
      </w:r>
      <w:r>
        <w:rPr>
          <w:rFonts w:ascii="Abadi" w:hAnsi="Abadi"/>
          <w:sz w:val="21"/>
          <w:szCs w:val="21"/>
        </w:rPr>
        <w:t xml:space="preserve"> creemos, c</w:t>
      </w:r>
      <w:r w:rsidRPr="0021199F">
        <w:rPr>
          <w:rFonts w:ascii="Abadi" w:hAnsi="Abadi"/>
          <w:sz w:val="21"/>
          <w:szCs w:val="21"/>
        </w:rPr>
        <w:t>uando se hagan verdaderos avances tecnológicos</w:t>
      </w:r>
      <w:r>
        <w:rPr>
          <w:rFonts w:ascii="Abadi" w:hAnsi="Abadi"/>
          <w:sz w:val="21"/>
          <w:szCs w:val="21"/>
        </w:rPr>
        <w:t xml:space="preserve">. Se dio </w:t>
      </w:r>
      <w:r w:rsidRPr="0021199F">
        <w:rPr>
          <w:rFonts w:ascii="Abadi" w:hAnsi="Abadi"/>
          <w:sz w:val="21"/>
          <w:szCs w:val="21"/>
        </w:rPr>
        <w:t>oportunidad al arte, a los jóvenes, a los deportistas</w:t>
      </w:r>
      <w:r>
        <w:rPr>
          <w:rFonts w:ascii="Abadi" w:hAnsi="Abadi"/>
          <w:sz w:val="21"/>
          <w:szCs w:val="21"/>
        </w:rPr>
        <w:t xml:space="preserve">, </w:t>
      </w:r>
      <w:r w:rsidRPr="0021199F">
        <w:rPr>
          <w:rFonts w:ascii="Abadi" w:hAnsi="Abadi"/>
          <w:sz w:val="21"/>
          <w:szCs w:val="21"/>
        </w:rPr>
        <w:t>cuando se cultive la inteligencia y no sé</w:t>
      </w:r>
      <w:r>
        <w:rPr>
          <w:rFonts w:ascii="Abadi" w:hAnsi="Abadi"/>
          <w:sz w:val="21"/>
          <w:szCs w:val="21"/>
        </w:rPr>
        <w:t xml:space="preserve"> </w:t>
      </w:r>
      <w:r w:rsidRPr="0021199F">
        <w:rPr>
          <w:rFonts w:ascii="Abadi" w:hAnsi="Abadi"/>
          <w:sz w:val="21"/>
          <w:szCs w:val="21"/>
        </w:rPr>
        <w:t>menospreci</w:t>
      </w:r>
      <w:r>
        <w:rPr>
          <w:rFonts w:ascii="Abadi" w:hAnsi="Abadi"/>
          <w:sz w:val="21"/>
          <w:szCs w:val="21"/>
        </w:rPr>
        <w:t>e</w:t>
      </w:r>
      <w:r w:rsidRPr="0021199F">
        <w:rPr>
          <w:rFonts w:ascii="Abadi" w:hAnsi="Abadi"/>
          <w:sz w:val="21"/>
          <w:szCs w:val="21"/>
        </w:rPr>
        <w:t>.</w:t>
      </w:r>
    </w:p>
    <w:p w14:paraId="2D674CD7" w14:textId="77777777" w:rsidR="002B30C6" w:rsidRDefault="002B30C6" w:rsidP="002B30C6">
      <w:pPr>
        <w:pStyle w:val="NormalWeb"/>
        <w:jc w:val="both"/>
        <w:rPr>
          <w:rFonts w:ascii="Abadi" w:hAnsi="Abadi"/>
          <w:sz w:val="21"/>
          <w:szCs w:val="21"/>
        </w:rPr>
      </w:pPr>
      <w:r>
        <w:rPr>
          <w:rFonts w:ascii="Abadi" w:hAnsi="Abadi"/>
          <w:sz w:val="21"/>
          <w:szCs w:val="21"/>
        </w:rPr>
        <w:t xml:space="preserve">- Guanajuato no </w:t>
      </w:r>
      <w:r w:rsidRPr="0021199F">
        <w:rPr>
          <w:rFonts w:ascii="Abadi" w:hAnsi="Abadi"/>
          <w:sz w:val="21"/>
          <w:szCs w:val="21"/>
        </w:rPr>
        <w:t xml:space="preserve">es </w:t>
      </w:r>
      <w:proofErr w:type="gramStart"/>
      <w:r w:rsidRPr="0021199F">
        <w:rPr>
          <w:rFonts w:ascii="Abadi" w:hAnsi="Abadi"/>
          <w:sz w:val="21"/>
          <w:szCs w:val="21"/>
        </w:rPr>
        <w:t xml:space="preserve">un modelo </w:t>
      </w:r>
      <w:r>
        <w:rPr>
          <w:rFonts w:ascii="Abadi" w:hAnsi="Abadi"/>
          <w:sz w:val="21"/>
          <w:szCs w:val="21"/>
        </w:rPr>
        <w:t>a</w:t>
      </w:r>
      <w:r w:rsidRPr="0021199F">
        <w:rPr>
          <w:rFonts w:ascii="Abadi" w:hAnsi="Abadi"/>
          <w:sz w:val="21"/>
          <w:szCs w:val="21"/>
        </w:rPr>
        <w:t xml:space="preserve"> seguir</w:t>
      </w:r>
      <w:proofErr w:type="gramEnd"/>
      <w:r w:rsidRPr="0021199F">
        <w:rPr>
          <w:rFonts w:ascii="Abadi" w:hAnsi="Abadi"/>
          <w:sz w:val="21"/>
          <w:szCs w:val="21"/>
        </w:rPr>
        <w:t xml:space="preserve"> en este momento.</w:t>
      </w:r>
      <w:r>
        <w:rPr>
          <w:rFonts w:ascii="Abadi" w:hAnsi="Abadi"/>
          <w:sz w:val="21"/>
          <w:szCs w:val="21"/>
        </w:rPr>
        <w:t xml:space="preserve"> Guanajuato no</w:t>
      </w:r>
      <w:r w:rsidRPr="0021199F">
        <w:rPr>
          <w:rFonts w:ascii="Abadi" w:hAnsi="Abadi"/>
          <w:sz w:val="21"/>
          <w:szCs w:val="21"/>
        </w:rPr>
        <w:t xml:space="preserve"> es la grandeza de México, pero lo ser</w:t>
      </w:r>
      <w:r>
        <w:rPr>
          <w:rFonts w:ascii="Abadi" w:hAnsi="Abadi"/>
          <w:sz w:val="21"/>
          <w:szCs w:val="21"/>
        </w:rPr>
        <w:t>á, l</w:t>
      </w:r>
      <w:r w:rsidRPr="0021199F">
        <w:rPr>
          <w:rFonts w:ascii="Abadi" w:hAnsi="Abadi"/>
          <w:sz w:val="21"/>
          <w:szCs w:val="21"/>
        </w:rPr>
        <w:t>o será el día que se vaya</w:t>
      </w:r>
      <w:r>
        <w:rPr>
          <w:rFonts w:ascii="Abadi" w:hAnsi="Abadi"/>
          <w:sz w:val="21"/>
          <w:szCs w:val="21"/>
        </w:rPr>
        <w:t xml:space="preserve"> A</w:t>
      </w:r>
      <w:r w:rsidRPr="0021199F">
        <w:rPr>
          <w:rFonts w:ascii="Abadi" w:hAnsi="Abadi"/>
          <w:sz w:val="21"/>
          <w:szCs w:val="21"/>
        </w:rPr>
        <w:t xml:space="preserve">cción </w:t>
      </w:r>
      <w:r>
        <w:rPr>
          <w:rFonts w:ascii="Abadi" w:hAnsi="Abadi"/>
          <w:sz w:val="21"/>
          <w:szCs w:val="21"/>
        </w:rPr>
        <w:t>N</w:t>
      </w:r>
      <w:r w:rsidRPr="0021199F">
        <w:rPr>
          <w:rFonts w:ascii="Abadi" w:hAnsi="Abadi"/>
          <w:sz w:val="21"/>
          <w:szCs w:val="21"/>
        </w:rPr>
        <w:t>acional. Viva la cuarta</w:t>
      </w:r>
      <w:r>
        <w:rPr>
          <w:rFonts w:ascii="Abadi" w:hAnsi="Abadi"/>
          <w:sz w:val="21"/>
          <w:szCs w:val="21"/>
        </w:rPr>
        <w:t xml:space="preserve"> T. Es cuanto</w:t>
      </w:r>
    </w:p>
    <w:p w14:paraId="6EFBA1E1" w14:textId="77777777" w:rsidR="002B30C6" w:rsidRDefault="002B30C6" w:rsidP="00AA3E6B">
      <w:pPr>
        <w:pStyle w:val="NormalWeb"/>
        <w:ind w:firstLine="708"/>
        <w:jc w:val="both"/>
        <w:rPr>
          <w:rFonts w:ascii="Abadi" w:hAnsi="Abadi"/>
          <w:sz w:val="21"/>
          <w:szCs w:val="21"/>
        </w:rPr>
      </w:pPr>
      <w:r w:rsidRPr="00BD0AF6">
        <w:rPr>
          <w:rFonts w:ascii="Abadi" w:hAnsi="Abadi"/>
          <w:b/>
          <w:bCs/>
          <w:sz w:val="21"/>
          <w:szCs w:val="21"/>
        </w:rPr>
        <w:t>- La presidencia. -</w:t>
      </w:r>
      <w:r>
        <w:rPr>
          <w:rFonts w:ascii="Abadi" w:hAnsi="Abadi"/>
          <w:sz w:val="21"/>
          <w:szCs w:val="21"/>
        </w:rPr>
        <w:t xml:space="preserve"> </w:t>
      </w:r>
      <w:r w:rsidRPr="0021199F">
        <w:rPr>
          <w:rFonts w:ascii="Abadi" w:hAnsi="Abadi"/>
          <w:sz w:val="21"/>
          <w:szCs w:val="21"/>
        </w:rPr>
        <w:t xml:space="preserve"> Muy bien, </w:t>
      </w:r>
      <w:r>
        <w:rPr>
          <w:rFonts w:ascii="Abadi" w:hAnsi="Abadi"/>
          <w:sz w:val="21"/>
          <w:szCs w:val="21"/>
        </w:rPr>
        <w:t>d</w:t>
      </w:r>
      <w:r w:rsidRPr="0021199F">
        <w:rPr>
          <w:rFonts w:ascii="Abadi" w:hAnsi="Abadi"/>
          <w:sz w:val="21"/>
          <w:szCs w:val="21"/>
        </w:rPr>
        <w:t>iputada</w:t>
      </w:r>
      <w:r>
        <w:rPr>
          <w:rFonts w:ascii="Abadi" w:hAnsi="Abadi"/>
          <w:sz w:val="21"/>
          <w:szCs w:val="21"/>
        </w:rPr>
        <w:t>, m</w:t>
      </w:r>
      <w:r w:rsidRPr="0021199F">
        <w:rPr>
          <w:rFonts w:ascii="Abadi" w:hAnsi="Abadi"/>
          <w:sz w:val="21"/>
          <w:szCs w:val="21"/>
        </w:rPr>
        <w:t xml:space="preserve">uchas gracias. </w:t>
      </w:r>
    </w:p>
    <w:p w14:paraId="467E2368" w14:textId="4F7DEA3C" w:rsidR="002B30C6" w:rsidRDefault="002B30C6" w:rsidP="002B30C6">
      <w:pPr>
        <w:pStyle w:val="NormalWeb"/>
        <w:jc w:val="both"/>
        <w:rPr>
          <w:rFonts w:ascii="Abadi" w:hAnsi="Abadi"/>
          <w:sz w:val="21"/>
          <w:szCs w:val="21"/>
        </w:rPr>
      </w:pPr>
      <w:r w:rsidRPr="00F16F67">
        <w:rPr>
          <w:rFonts w:ascii="Abadi" w:hAnsi="Abadi"/>
          <w:sz w:val="21"/>
          <w:szCs w:val="21"/>
        </w:rPr>
        <w:t>(Voz) Diputada Cristina Márquez,</w:t>
      </w:r>
      <w:r>
        <w:rPr>
          <w:rFonts w:ascii="Abadi" w:hAnsi="Abadi"/>
          <w:b/>
          <w:bCs/>
          <w:sz w:val="21"/>
          <w:szCs w:val="21"/>
        </w:rPr>
        <w:t xml:space="preserve"> </w:t>
      </w:r>
      <w:r>
        <w:rPr>
          <w:rFonts w:ascii="Abadi" w:hAnsi="Abadi"/>
          <w:sz w:val="21"/>
          <w:szCs w:val="21"/>
        </w:rPr>
        <w:t>¿P</w:t>
      </w:r>
      <w:r w:rsidRPr="0021199F">
        <w:rPr>
          <w:rFonts w:ascii="Abadi" w:hAnsi="Abadi"/>
          <w:sz w:val="21"/>
          <w:szCs w:val="21"/>
        </w:rPr>
        <w:t>ara qué efecto</w:t>
      </w:r>
      <w:r>
        <w:rPr>
          <w:rFonts w:ascii="Abadi" w:hAnsi="Abadi"/>
          <w:sz w:val="21"/>
          <w:szCs w:val="21"/>
        </w:rPr>
        <w:t xml:space="preserve">? (Voz) diputada Cristina, para rectificación de </w:t>
      </w:r>
      <w:r w:rsidRPr="00F16F67">
        <w:rPr>
          <w:rFonts w:ascii="Abadi" w:hAnsi="Abadi"/>
          <w:sz w:val="21"/>
          <w:szCs w:val="21"/>
        </w:rPr>
        <w:t>hechos, (Voz) diputada Presidenta ¿Qué hechos</w:t>
      </w:r>
      <w:r w:rsidRPr="0021199F">
        <w:rPr>
          <w:rFonts w:ascii="Abadi" w:hAnsi="Abadi"/>
          <w:sz w:val="21"/>
          <w:szCs w:val="21"/>
        </w:rPr>
        <w:t>?</w:t>
      </w:r>
      <w:r>
        <w:rPr>
          <w:rFonts w:ascii="Abadi" w:hAnsi="Abadi"/>
          <w:sz w:val="21"/>
          <w:szCs w:val="21"/>
        </w:rPr>
        <w:t xml:space="preserve"> (Voz) diputada Cristina, «</w:t>
      </w:r>
      <w:r w:rsidRPr="0021199F">
        <w:rPr>
          <w:rFonts w:ascii="Abadi" w:hAnsi="Abadi"/>
          <w:sz w:val="21"/>
          <w:szCs w:val="21"/>
        </w:rPr>
        <w:t>Cifras y nombres</w:t>
      </w:r>
      <w:r>
        <w:rPr>
          <w:rFonts w:ascii="Abadi" w:hAnsi="Abadi"/>
          <w:sz w:val="21"/>
          <w:szCs w:val="21"/>
        </w:rPr>
        <w:t>»</w:t>
      </w:r>
    </w:p>
    <w:p w14:paraId="7021318F" w14:textId="2C8FCDB9" w:rsidR="002B30C6" w:rsidRDefault="002B30C6" w:rsidP="00AA3E6B">
      <w:pPr>
        <w:pStyle w:val="NormalWeb"/>
        <w:ind w:firstLine="708"/>
        <w:jc w:val="both"/>
        <w:rPr>
          <w:rFonts w:ascii="Abadi" w:hAnsi="Abadi"/>
          <w:sz w:val="21"/>
          <w:szCs w:val="21"/>
        </w:rPr>
      </w:pPr>
      <w:r w:rsidRPr="004B69DA">
        <w:rPr>
          <w:rFonts w:ascii="Abadi" w:hAnsi="Abadi"/>
          <w:b/>
          <w:bCs/>
          <w:sz w:val="21"/>
          <w:szCs w:val="21"/>
        </w:rPr>
        <w:t xml:space="preserve">- La </w:t>
      </w:r>
      <w:proofErr w:type="gramStart"/>
      <w:r w:rsidRPr="00F84EFB">
        <w:rPr>
          <w:rFonts w:ascii="Abadi" w:hAnsi="Abadi"/>
          <w:b/>
          <w:bCs/>
          <w:sz w:val="21"/>
          <w:szCs w:val="21"/>
        </w:rPr>
        <w:t>presidencia.</w:t>
      </w:r>
      <w:r>
        <w:rPr>
          <w:rFonts w:ascii="Abadi" w:hAnsi="Abadi"/>
          <w:b/>
          <w:bCs/>
          <w:sz w:val="21"/>
          <w:szCs w:val="21"/>
        </w:rPr>
        <w:t>-</w:t>
      </w:r>
      <w:proofErr w:type="gramEnd"/>
      <w:r>
        <w:rPr>
          <w:rFonts w:ascii="Abadi" w:hAnsi="Abadi"/>
          <w:sz w:val="21"/>
          <w:szCs w:val="21"/>
        </w:rPr>
        <w:t xml:space="preserve"> </w:t>
      </w:r>
      <w:r w:rsidRPr="0021199F">
        <w:rPr>
          <w:rFonts w:ascii="Abadi" w:hAnsi="Abadi"/>
          <w:sz w:val="21"/>
          <w:szCs w:val="21"/>
        </w:rPr>
        <w:t>Adelante</w:t>
      </w:r>
      <w:r>
        <w:rPr>
          <w:rFonts w:ascii="Abadi" w:hAnsi="Abadi"/>
          <w:sz w:val="21"/>
          <w:szCs w:val="21"/>
        </w:rPr>
        <w:t xml:space="preserve"> d</w:t>
      </w:r>
      <w:r w:rsidRPr="0021199F">
        <w:rPr>
          <w:rFonts w:ascii="Abadi" w:hAnsi="Abadi"/>
          <w:sz w:val="21"/>
          <w:szCs w:val="21"/>
        </w:rPr>
        <w:t>iputada</w:t>
      </w:r>
      <w:r>
        <w:rPr>
          <w:rFonts w:ascii="Abadi" w:hAnsi="Abadi"/>
          <w:sz w:val="21"/>
          <w:szCs w:val="21"/>
        </w:rPr>
        <w:t>, t</w:t>
      </w:r>
      <w:r w:rsidRPr="0021199F">
        <w:rPr>
          <w:rFonts w:ascii="Abadi" w:hAnsi="Abadi"/>
          <w:sz w:val="21"/>
          <w:szCs w:val="21"/>
        </w:rPr>
        <w:t xml:space="preserve">iene la voz hasta por </w:t>
      </w:r>
      <w:r>
        <w:rPr>
          <w:rFonts w:ascii="Abadi" w:hAnsi="Abadi"/>
          <w:sz w:val="21"/>
          <w:szCs w:val="21"/>
        </w:rPr>
        <w:t>5</w:t>
      </w:r>
      <w:r w:rsidRPr="0021199F">
        <w:rPr>
          <w:rFonts w:ascii="Abadi" w:hAnsi="Abadi"/>
          <w:sz w:val="21"/>
          <w:szCs w:val="21"/>
        </w:rPr>
        <w:t xml:space="preserve"> minutos.</w:t>
      </w:r>
    </w:p>
    <w:p w14:paraId="23D40874" w14:textId="77777777" w:rsidR="00AA3E6B" w:rsidRDefault="00AA3E6B" w:rsidP="00AA3E6B">
      <w:pPr>
        <w:pStyle w:val="NormalWeb"/>
        <w:ind w:firstLine="708"/>
        <w:jc w:val="both"/>
        <w:rPr>
          <w:rFonts w:ascii="Abadi" w:hAnsi="Abadi"/>
          <w:sz w:val="21"/>
          <w:szCs w:val="21"/>
        </w:rPr>
      </w:pPr>
    </w:p>
    <w:p w14:paraId="2B49CB87" w14:textId="3AC4CF64" w:rsidR="00AA3E6B" w:rsidRPr="00CD4D36" w:rsidRDefault="002B30C6" w:rsidP="002B30C6">
      <w:pPr>
        <w:pStyle w:val="NormalWeb"/>
        <w:jc w:val="both"/>
        <w:rPr>
          <w:rFonts w:ascii="Abadi" w:hAnsi="Abadi"/>
          <w:b/>
          <w:bCs/>
          <w:sz w:val="21"/>
          <w:szCs w:val="21"/>
        </w:rPr>
      </w:pPr>
      <w:r w:rsidRPr="00A5574F">
        <w:rPr>
          <w:rFonts w:ascii="Abadi" w:hAnsi="Abadi"/>
          <w:b/>
          <w:sz w:val="21"/>
          <w:szCs w:val="21"/>
        </w:rPr>
        <w:t xml:space="preserve">(Sube a tribuna </w:t>
      </w:r>
      <w:r>
        <w:rPr>
          <w:rFonts w:ascii="Abadi" w:hAnsi="Abadi"/>
          <w:b/>
          <w:sz w:val="21"/>
          <w:szCs w:val="21"/>
        </w:rPr>
        <w:t xml:space="preserve">la diputada </w:t>
      </w:r>
      <w:r>
        <w:rPr>
          <w:rFonts w:ascii="Abadi" w:hAnsi="Abadi"/>
          <w:b/>
          <w:bCs/>
          <w:sz w:val="21"/>
          <w:szCs w:val="21"/>
        </w:rPr>
        <w:t xml:space="preserve">Laura Cristina Márquez Alcalá </w:t>
      </w:r>
      <w:r w:rsidRPr="00A5574F">
        <w:rPr>
          <w:rFonts w:ascii="Abadi" w:hAnsi="Abadi"/>
          <w:b/>
          <w:sz w:val="21"/>
          <w:szCs w:val="21"/>
        </w:rPr>
        <w:t>para</w:t>
      </w:r>
      <w:r>
        <w:rPr>
          <w:rFonts w:ascii="Abadi" w:hAnsi="Abadi"/>
          <w:b/>
          <w:sz w:val="21"/>
          <w:szCs w:val="21"/>
        </w:rPr>
        <w:t xml:space="preserve"> rectificación de hechos, referente a </w:t>
      </w:r>
      <w:r w:rsidRPr="00E4430D">
        <w:rPr>
          <w:rFonts w:ascii="Abadi" w:hAnsi="Abadi"/>
          <w:b/>
          <w:bCs/>
          <w:sz w:val="21"/>
          <w:szCs w:val="21"/>
        </w:rPr>
        <w:t>«</w:t>
      </w:r>
      <w:r>
        <w:rPr>
          <w:rFonts w:ascii="Abadi" w:hAnsi="Abadi"/>
          <w:b/>
          <w:bCs/>
          <w:sz w:val="21"/>
          <w:szCs w:val="21"/>
        </w:rPr>
        <w:t>c</w:t>
      </w:r>
      <w:r w:rsidRPr="00E4430D">
        <w:rPr>
          <w:rFonts w:ascii="Abadi" w:hAnsi="Abadi"/>
          <w:b/>
          <w:bCs/>
          <w:sz w:val="21"/>
          <w:szCs w:val="21"/>
        </w:rPr>
        <w:t xml:space="preserve">ifras y nombres» de la diputada que le antecedió) </w:t>
      </w:r>
    </w:p>
    <w:p w14:paraId="4C1155BD" w14:textId="50131272" w:rsidR="00AA3E6B" w:rsidRDefault="00AA3E6B" w:rsidP="002B30C6">
      <w:pPr>
        <w:pStyle w:val="NormalWeb"/>
        <w:jc w:val="both"/>
        <w:rPr>
          <w:rFonts w:ascii="Abadi" w:hAnsi="Abadi"/>
          <w:sz w:val="21"/>
          <w:szCs w:val="21"/>
        </w:rPr>
      </w:pPr>
    </w:p>
    <w:p w14:paraId="0A9AA38E" w14:textId="1007831D" w:rsidR="00AA3E6B" w:rsidRDefault="00AA3E6B" w:rsidP="002B30C6">
      <w:pPr>
        <w:pStyle w:val="NormalWeb"/>
        <w:jc w:val="both"/>
        <w:rPr>
          <w:rFonts w:ascii="Abadi" w:hAnsi="Abadi"/>
          <w:sz w:val="21"/>
          <w:szCs w:val="21"/>
        </w:rPr>
      </w:pPr>
      <w:r>
        <w:rPr>
          <w:noProof/>
        </w:rPr>
        <w:drawing>
          <wp:anchor distT="0" distB="0" distL="114300" distR="114300" simplePos="0" relativeHeight="251658261" behindDoc="1" locked="0" layoutInCell="1" allowOverlap="1" wp14:anchorId="36A3B895" wp14:editId="7DAC405D">
            <wp:simplePos x="0" y="0"/>
            <wp:positionH relativeFrom="column">
              <wp:posOffset>238125</wp:posOffset>
            </wp:positionH>
            <wp:positionV relativeFrom="paragraph">
              <wp:posOffset>122897</wp:posOffset>
            </wp:positionV>
            <wp:extent cx="1880235" cy="1005205"/>
            <wp:effectExtent l="0" t="114300" r="0" b="766445"/>
            <wp:wrapTight wrapText="bothSides">
              <wp:wrapPolygon edited="0">
                <wp:start x="219" y="-2456"/>
                <wp:lineTo x="0" y="24561"/>
                <wp:lineTo x="438" y="37660"/>
                <wp:lineTo x="3939" y="37660"/>
                <wp:lineTo x="4158" y="36841"/>
                <wp:lineTo x="19915" y="31111"/>
                <wp:lineTo x="20134" y="-2456"/>
                <wp:lineTo x="219" y="-2456"/>
              </wp:wrapPolygon>
            </wp:wrapTight>
            <wp:docPr id="13" name="Imagen 1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10;&#10;Descripción generada automáticamente"/>
                    <pic:cNvPicPr/>
                  </pic:nvPicPr>
                  <pic:blipFill rotWithShape="1">
                    <a:blip r:embed="rId75" cstate="print">
                      <a:extLst>
                        <a:ext uri="{28A0092B-C50C-407E-A947-70E740481C1C}">
                          <a14:useLocalDpi xmlns:a14="http://schemas.microsoft.com/office/drawing/2010/main" val="0"/>
                        </a:ext>
                      </a:extLst>
                    </a:blip>
                    <a:srcRect t="-1" b="7967"/>
                    <a:stretch/>
                  </pic:blipFill>
                  <pic:spPr bwMode="auto">
                    <a:xfrm>
                      <a:off x="0" y="0"/>
                      <a:ext cx="1880235" cy="100520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1F83BDCB" w14:textId="77777777" w:rsidR="00AA3E6B" w:rsidRDefault="00AA3E6B" w:rsidP="002B30C6">
      <w:pPr>
        <w:pStyle w:val="NormalWeb"/>
        <w:jc w:val="both"/>
        <w:rPr>
          <w:rFonts w:ascii="Abadi" w:hAnsi="Abadi"/>
          <w:sz w:val="21"/>
          <w:szCs w:val="21"/>
        </w:rPr>
      </w:pPr>
    </w:p>
    <w:p w14:paraId="1791F250" w14:textId="664080AF" w:rsidR="002B30C6" w:rsidRDefault="002B30C6" w:rsidP="002B30C6">
      <w:pPr>
        <w:pStyle w:val="NormalWeb"/>
        <w:jc w:val="both"/>
        <w:rPr>
          <w:rFonts w:ascii="Abadi" w:hAnsi="Abadi"/>
          <w:sz w:val="21"/>
          <w:szCs w:val="21"/>
        </w:rPr>
      </w:pPr>
    </w:p>
    <w:p w14:paraId="5395B9B3" w14:textId="3201F918" w:rsidR="00AA3E6B" w:rsidRDefault="00AA3E6B" w:rsidP="002B30C6">
      <w:pPr>
        <w:pStyle w:val="NormalWeb"/>
        <w:jc w:val="both"/>
        <w:rPr>
          <w:rFonts w:ascii="Abadi" w:hAnsi="Abadi"/>
          <w:sz w:val="21"/>
          <w:szCs w:val="21"/>
        </w:rPr>
      </w:pPr>
    </w:p>
    <w:p w14:paraId="10BDEB3C" w14:textId="60F60448" w:rsidR="00AA3E6B" w:rsidRDefault="00AA3E6B" w:rsidP="002B30C6">
      <w:pPr>
        <w:pStyle w:val="NormalWeb"/>
        <w:jc w:val="both"/>
        <w:rPr>
          <w:rFonts w:ascii="Abadi" w:hAnsi="Abadi"/>
          <w:sz w:val="21"/>
          <w:szCs w:val="21"/>
        </w:rPr>
      </w:pPr>
    </w:p>
    <w:p w14:paraId="590F33CB" w14:textId="3742D354" w:rsidR="00AA3E6B" w:rsidRDefault="00AA3E6B" w:rsidP="002B30C6">
      <w:pPr>
        <w:pStyle w:val="NormalWeb"/>
        <w:jc w:val="both"/>
        <w:rPr>
          <w:rFonts w:ascii="Abadi" w:hAnsi="Abadi"/>
          <w:sz w:val="21"/>
          <w:szCs w:val="21"/>
        </w:rPr>
      </w:pPr>
    </w:p>
    <w:p w14:paraId="5509A361"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Muchas gracias</w:t>
      </w:r>
      <w:r>
        <w:rPr>
          <w:rFonts w:ascii="Abadi" w:hAnsi="Abadi"/>
          <w:sz w:val="21"/>
          <w:szCs w:val="21"/>
        </w:rPr>
        <w:t xml:space="preserve"> d</w:t>
      </w:r>
      <w:r w:rsidRPr="0021199F">
        <w:rPr>
          <w:rFonts w:ascii="Abadi" w:hAnsi="Abadi"/>
          <w:sz w:val="21"/>
          <w:szCs w:val="21"/>
        </w:rPr>
        <w:t>iputada</w:t>
      </w:r>
      <w:r>
        <w:rPr>
          <w:rFonts w:ascii="Abadi" w:hAnsi="Abadi"/>
          <w:sz w:val="21"/>
          <w:szCs w:val="21"/>
        </w:rPr>
        <w:t xml:space="preserve"> P</w:t>
      </w:r>
      <w:r w:rsidRPr="0021199F">
        <w:rPr>
          <w:rFonts w:ascii="Abadi" w:hAnsi="Abadi"/>
          <w:sz w:val="21"/>
          <w:szCs w:val="21"/>
        </w:rPr>
        <w:t>residenta</w:t>
      </w:r>
      <w:r>
        <w:rPr>
          <w:rFonts w:ascii="Abadi" w:hAnsi="Abadi"/>
          <w:sz w:val="21"/>
          <w:szCs w:val="21"/>
        </w:rPr>
        <w:t>, v</w:t>
      </w:r>
      <w:r w:rsidRPr="0021199F">
        <w:rPr>
          <w:rFonts w:ascii="Abadi" w:hAnsi="Abadi"/>
          <w:sz w:val="21"/>
          <w:szCs w:val="21"/>
        </w:rPr>
        <w:t>oy a hacer un par de reflexiones en torno a lo que se comentó hace un momento. Lo primero es que se puede leer de manera integral, pero ya lo he dicho muchas veces. La verdad es que ya no lo pienso</w:t>
      </w:r>
      <w:r>
        <w:rPr>
          <w:rFonts w:ascii="Abadi" w:hAnsi="Abadi"/>
          <w:sz w:val="21"/>
          <w:szCs w:val="21"/>
        </w:rPr>
        <w:t xml:space="preserve"> </w:t>
      </w:r>
      <w:r w:rsidRPr="0021199F">
        <w:rPr>
          <w:rFonts w:ascii="Abadi" w:hAnsi="Abadi"/>
          <w:sz w:val="21"/>
          <w:szCs w:val="21"/>
        </w:rPr>
        <w:t>volver a profundizar en eso, pero también quiero hablar yo de algunas cifras</w:t>
      </w:r>
      <w:r>
        <w:rPr>
          <w:rFonts w:ascii="Abadi" w:hAnsi="Abadi"/>
          <w:sz w:val="21"/>
          <w:szCs w:val="21"/>
        </w:rPr>
        <w:t>, n</w:t>
      </w:r>
      <w:r w:rsidRPr="0021199F">
        <w:rPr>
          <w:rFonts w:ascii="Abadi" w:hAnsi="Abadi"/>
          <w:sz w:val="21"/>
          <w:szCs w:val="21"/>
        </w:rPr>
        <w:t>ueve de cada diez hospitales en México no tienen medicamentos oncológicos</w:t>
      </w:r>
      <w:r>
        <w:rPr>
          <w:rFonts w:ascii="Abadi" w:hAnsi="Abadi"/>
          <w:sz w:val="21"/>
          <w:szCs w:val="21"/>
        </w:rPr>
        <w:t>, s</w:t>
      </w:r>
      <w:r w:rsidRPr="0021199F">
        <w:rPr>
          <w:rFonts w:ascii="Abadi" w:hAnsi="Abadi"/>
          <w:sz w:val="21"/>
          <w:szCs w:val="21"/>
        </w:rPr>
        <w:t xml:space="preserve">e les echaron a perder </w:t>
      </w:r>
      <w:r>
        <w:rPr>
          <w:rFonts w:ascii="Abadi" w:hAnsi="Abadi"/>
          <w:sz w:val="21"/>
          <w:szCs w:val="21"/>
        </w:rPr>
        <w:t>134</w:t>
      </w:r>
      <w:r w:rsidRPr="0021199F">
        <w:rPr>
          <w:rFonts w:ascii="Abadi" w:hAnsi="Abadi"/>
          <w:sz w:val="21"/>
          <w:szCs w:val="21"/>
        </w:rPr>
        <w:t xml:space="preserve"> </w:t>
      </w:r>
      <w:r>
        <w:rPr>
          <w:rFonts w:ascii="Abadi" w:hAnsi="Abadi"/>
          <w:sz w:val="21"/>
          <w:szCs w:val="21"/>
        </w:rPr>
        <w:t xml:space="preserve">millones </w:t>
      </w:r>
      <w:r w:rsidRPr="0021199F">
        <w:rPr>
          <w:rFonts w:ascii="Abadi" w:hAnsi="Abadi"/>
          <w:sz w:val="21"/>
          <w:szCs w:val="21"/>
        </w:rPr>
        <w:t>de medicamentos</w:t>
      </w:r>
      <w:r>
        <w:rPr>
          <w:rFonts w:ascii="Abadi" w:hAnsi="Abadi"/>
          <w:sz w:val="21"/>
          <w:szCs w:val="21"/>
        </w:rPr>
        <w:t xml:space="preserve">, ya </w:t>
      </w:r>
      <w:r w:rsidRPr="0021199F">
        <w:rPr>
          <w:rFonts w:ascii="Abadi" w:hAnsi="Abadi"/>
          <w:sz w:val="21"/>
          <w:szCs w:val="21"/>
        </w:rPr>
        <w:t xml:space="preserve">van más de tres mil feminicidios en todo México y el </w:t>
      </w:r>
      <w:r>
        <w:rPr>
          <w:rFonts w:ascii="Abadi" w:hAnsi="Abadi"/>
          <w:sz w:val="21"/>
          <w:szCs w:val="21"/>
        </w:rPr>
        <w:t xml:space="preserve">96% de los feminicidios </w:t>
      </w:r>
      <w:r w:rsidRPr="0021199F">
        <w:rPr>
          <w:rFonts w:ascii="Abadi" w:hAnsi="Abadi"/>
          <w:sz w:val="21"/>
          <w:szCs w:val="21"/>
        </w:rPr>
        <w:t>quedan impunes</w:t>
      </w:r>
      <w:r>
        <w:rPr>
          <w:rFonts w:ascii="Abadi" w:hAnsi="Abadi"/>
          <w:sz w:val="21"/>
          <w:szCs w:val="21"/>
        </w:rPr>
        <w:t xml:space="preserve">, (Voz) diputada Martha Edith, ¿Señora Presidenta? (Voz) diputada Presidenta, </w:t>
      </w:r>
      <w:r w:rsidRPr="003F3D8C">
        <w:rPr>
          <w:rFonts w:ascii="Abadi" w:hAnsi="Abadi"/>
          <w:sz w:val="21"/>
          <w:szCs w:val="21"/>
        </w:rPr>
        <w:t>¿P</w:t>
      </w:r>
      <w:r w:rsidRPr="00127EA8">
        <w:rPr>
          <w:rFonts w:ascii="Abadi" w:hAnsi="Abadi"/>
          <w:sz w:val="21"/>
          <w:szCs w:val="21"/>
        </w:rPr>
        <w:t>ara</w:t>
      </w:r>
      <w:r w:rsidRPr="0021199F">
        <w:rPr>
          <w:rFonts w:ascii="Abadi" w:hAnsi="Abadi"/>
          <w:sz w:val="21"/>
          <w:szCs w:val="21"/>
        </w:rPr>
        <w:t xml:space="preserve"> qué efecto </w:t>
      </w:r>
      <w:r>
        <w:rPr>
          <w:rFonts w:ascii="Abadi" w:hAnsi="Abadi"/>
          <w:sz w:val="21"/>
          <w:szCs w:val="21"/>
        </w:rPr>
        <w:t>diputada Edith</w:t>
      </w:r>
      <w:r w:rsidRPr="0021199F">
        <w:rPr>
          <w:rFonts w:ascii="Abadi" w:hAnsi="Abadi"/>
          <w:sz w:val="21"/>
          <w:szCs w:val="21"/>
        </w:rPr>
        <w:t>?</w:t>
      </w:r>
      <w:r>
        <w:rPr>
          <w:rFonts w:ascii="Abadi" w:hAnsi="Abadi"/>
          <w:sz w:val="21"/>
          <w:szCs w:val="21"/>
        </w:rPr>
        <w:t xml:space="preserve"> (Voz) </w:t>
      </w:r>
      <w:r w:rsidRPr="003F3D8C">
        <w:rPr>
          <w:rFonts w:ascii="Abadi" w:hAnsi="Abadi"/>
          <w:sz w:val="21"/>
          <w:szCs w:val="21"/>
        </w:rPr>
        <w:t>Diputada Martha Edith,</w:t>
      </w:r>
      <w:r>
        <w:rPr>
          <w:rFonts w:ascii="Abadi" w:hAnsi="Abadi"/>
          <w:sz w:val="21"/>
          <w:szCs w:val="21"/>
        </w:rPr>
        <w:t xml:space="preserve"> una moción de orden, yo no mencione ninguno de esos datos y está rectificando hechos, (Voz) diputada Presidenta, ¿d</w:t>
      </w:r>
      <w:r w:rsidRPr="00584D6A">
        <w:rPr>
          <w:rFonts w:ascii="Abadi" w:hAnsi="Abadi"/>
          <w:sz w:val="21"/>
          <w:szCs w:val="21"/>
        </w:rPr>
        <w:t>iputada se puede concentrar también en la rectificación de hechos por favor</w:t>
      </w:r>
      <w:r>
        <w:rPr>
          <w:rFonts w:ascii="Abadi" w:hAnsi="Abadi"/>
          <w:sz w:val="21"/>
          <w:szCs w:val="21"/>
        </w:rPr>
        <w:t>? (Voz) diputada Laura Cristina, p</w:t>
      </w:r>
      <w:r w:rsidRPr="00696EB5">
        <w:rPr>
          <w:rFonts w:ascii="Abadi" w:hAnsi="Abadi"/>
          <w:sz w:val="21"/>
          <w:szCs w:val="21"/>
        </w:rPr>
        <w:t xml:space="preserve">or supuesto diputada </w:t>
      </w:r>
      <w:r>
        <w:rPr>
          <w:rFonts w:ascii="Abadi" w:hAnsi="Abadi"/>
          <w:sz w:val="21"/>
          <w:szCs w:val="21"/>
        </w:rPr>
        <w:t>P</w:t>
      </w:r>
      <w:r w:rsidRPr="00696EB5">
        <w:rPr>
          <w:rFonts w:ascii="Abadi" w:hAnsi="Abadi"/>
          <w:sz w:val="21"/>
          <w:szCs w:val="21"/>
        </w:rPr>
        <w:t>residenta, le señale que hablaría sobre cifras y nombres</w:t>
      </w:r>
      <w:r w:rsidRPr="00E21F87">
        <w:rPr>
          <w:rFonts w:ascii="Abadi" w:hAnsi="Abadi"/>
          <w:sz w:val="21"/>
          <w:szCs w:val="21"/>
        </w:rPr>
        <w:t>, (Voz) diputada Martha Edith, tendría que rectificar</w:t>
      </w:r>
      <w:r w:rsidRPr="0021199F">
        <w:rPr>
          <w:rFonts w:ascii="Abadi" w:hAnsi="Abadi"/>
          <w:sz w:val="21"/>
          <w:szCs w:val="21"/>
        </w:rPr>
        <w:t xml:space="preserve"> sobre las </w:t>
      </w:r>
      <w:r>
        <w:rPr>
          <w:rFonts w:ascii="Abadi" w:hAnsi="Abadi"/>
          <w:sz w:val="21"/>
          <w:szCs w:val="21"/>
        </w:rPr>
        <w:t>cifras que di, (Voz) diputada Presidenta, n</w:t>
      </w:r>
      <w:r w:rsidRPr="0021199F">
        <w:rPr>
          <w:rFonts w:ascii="Abadi" w:hAnsi="Abadi"/>
          <w:sz w:val="21"/>
          <w:szCs w:val="21"/>
        </w:rPr>
        <w:t>o se permite el d</w:t>
      </w:r>
      <w:r>
        <w:rPr>
          <w:rFonts w:ascii="Abadi" w:hAnsi="Abadi"/>
          <w:sz w:val="21"/>
          <w:szCs w:val="21"/>
        </w:rPr>
        <w:t xml:space="preserve">ialogo </w:t>
      </w:r>
      <w:r w:rsidRPr="0021199F">
        <w:rPr>
          <w:rFonts w:ascii="Abadi" w:hAnsi="Abadi"/>
          <w:sz w:val="21"/>
          <w:szCs w:val="21"/>
        </w:rPr>
        <w:t>diputada</w:t>
      </w:r>
      <w:r>
        <w:rPr>
          <w:rFonts w:ascii="Abadi" w:hAnsi="Abadi"/>
          <w:sz w:val="21"/>
          <w:szCs w:val="21"/>
        </w:rPr>
        <w:t>, n</w:t>
      </w:r>
      <w:r w:rsidRPr="0021199F">
        <w:rPr>
          <w:rFonts w:ascii="Abadi" w:hAnsi="Abadi"/>
          <w:sz w:val="21"/>
          <w:szCs w:val="21"/>
        </w:rPr>
        <w:t xml:space="preserve">ada más </w:t>
      </w:r>
      <w:r>
        <w:rPr>
          <w:rFonts w:ascii="Abadi" w:hAnsi="Abadi"/>
          <w:sz w:val="21"/>
          <w:szCs w:val="21"/>
        </w:rPr>
        <w:t>centrarse en la rectificación de hechos</w:t>
      </w:r>
      <w:r w:rsidRPr="0021199F">
        <w:rPr>
          <w:rFonts w:ascii="Abadi" w:hAnsi="Abadi"/>
          <w:sz w:val="21"/>
          <w:szCs w:val="21"/>
        </w:rPr>
        <w:t>, de acuerdo a la participación de la diputada</w:t>
      </w:r>
      <w:r>
        <w:rPr>
          <w:rFonts w:ascii="Abadi" w:hAnsi="Abadi"/>
          <w:sz w:val="21"/>
          <w:szCs w:val="21"/>
        </w:rPr>
        <w:t xml:space="preserve"> a</w:t>
      </w:r>
      <w:r w:rsidRPr="0021199F">
        <w:rPr>
          <w:rFonts w:ascii="Abadi" w:hAnsi="Abadi"/>
          <w:sz w:val="21"/>
          <w:szCs w:val="21"/>
        </w:rPr>
        <w:t xml:space="preserve"> quién está usted </w:t>
      </w:r>
      <w:r>
        <w:rPr>
          <w:rFonts w:ascii="Abadi" w:hAnsi="Abadi"/>
          <w:sz w:val="21"/>
          <w:szCs w:val="21"/>
        </w:rPr>
        <w:t xml:space="preserve">rectificando. </w:t>
      </w:r>
    </w:p>
    <w:p w14:paraId="6DCDA28B"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Adelante</w:t>
      </w:r>
      <w:r>
        <w:rPr>
          <w:rFonts w:ascii="Abadi" w:hAnsi="Abadi"/>
          <w:sz w:val="21"/>
          <w:szCs w:val="21"/>
        </w:rPr>
        <w:t xml:space="preserve"> d</w:t>
      </w:r>
      <w:r w:rsidRPr="0021199F">
        <w:rPr>
          <w:rFonts w:ascii="Abadi" w:hAnsi="Abadi"/>
          <w:sz w:val="21"/>
          <w:szCs w:val="21"/>
        </w:rPr>
        <w:t>iputad</w:t>
      </w:r>
      <w:r>
        <w:rPr>
          <w:rFonts w:ascii="Abadi" w:hAnsi="Abadi"/>
          <w:sz w:val="21"/>
          <w:szCs w:val="21"/>
        </w:rPr>
        <w:t>a.</w:t>
      </w:r>
    </w:p>
    <w:p w14:paraId="04E19454" w14:textId="77777777" w:rsidR="002B30C6" w:rsidRDefault="002B30C6" w:rsidP="002B30C6">
      <w:pPr>
        <w:pStyle w:val="NormalWeb"/>
        <w:jc w:val="both"/>
        <w:rPr>
          <w:rFonts w:ascii="Abadi" w:hAnsi="Abadi"/>
          <w:sz w:val="21"/>
          <w:szCs w:val="21"/>
        </w:rPr>
      </w:pPr>
      <w:r w:rsidRPr="00487A99">
        <w:rPr>
          <w:rFonts w:ascii="Abadi" w:hAnsi="Abadi"/>
          <w:sz w:val="21"/>
          <w:szCs w:val="21"/>
        </w:rPr>
        <w:t>- Diputada Laura Cristina, mucha</w:t>
      </w:r>
      <w:r w:rsidRPr="0021199F">
        <w:rPr>
          <w:rFonts w:ascii="Abadi" w:hAnsi="Abadi"/>
          <w:sz w:val="21"/>
          <w:szCs w:val="21"/>
        </w:rPr>
        <w:t>s gracias</w:t>
      </w:r>
      <w:r>
        <w:rPr>
          <w:rFonts w:ascii="Abadi" w:hAnsi="Abadi"/>
          <w:sz w:val="21"/>
          <w:szCs w:val="21"/>
        </w:rPr>
        <w:t xml:space="preserve"> diputada, continuo </w:t>
      </w:r>
      <w:r w:rsidRPr="0021199F">
        <w:rPr>
          <w:rFonts w:ascii="Abadi" w:hAnsi="Abadi"/>
          <w:sz w:val="21"/>
          <w:szCs w:val="21"/>
        </w:rPr>
        <w:t xml:space="preserve">más de </w:t>
      </w:r>
      <w:r>
        <w:rPr>
          <w:rFonts w:ascii="Abadi" w:hAnsi="Abadi"/>
          <w:sz w:val="21"/>
          <w:szCs w:val="21"/>
        </w:rPr>
        <w:t>120.000</w:t>
      </w:r>
      <w:r w:rsidRPr="0021199F">
        <w:rPr>
          <w:rFonts w:ascii="Abadi" w:hAnsi="Abadi"/>
          <w:sz w:val="21"/>
          <w:szCs w:val="21"/>
        </w:rPr>
        <w:t xml:space="preserve"> homicidios en los últimos tres años. Van </w:t>
      </w:r>
      <w:r>
        <w:rPr>
          <w:rFonts w:ascii="Abadi" w:hAnsi="Abadi"/>
          <w:sz w:val="21"/>
          <w:szCs w:val="21"/>
        </w:rPr>
        <w:t>36</w:t>
      </w:r>
      <w:r w:rsidRPr="0021199F">
        <w:rPr>
          <w:rFonts w:ascii="Abadi" w:hAnsi="Abadi"/>
          <w:sz w:val="21"/>
          <w:szCs w:val="21"/>
        </w:rPr>
        <w:t xml:space="preserve"> periodistas</w:t>
      </w:r>
      <w:r>
        <w:rPr>
          <w:rFonts w:ascii="Abadi" w:hAnsi="Abadi"/>
          <w:sz w:val="21"/>
          <w:szCs w:val="21"/>
        </w:rPr>
        <w:t xml:space="preserve"> asesinados </w:t>
      </w:r>
      <w:r w:rsidRPr="0021199F">
        <w:rPr>
          <w:rFonts w:ascii="Abadi" w:hAnsi="Abadi"/>
          <w:sz w:val="21"/>
          <w:szCs w:val="21"/>
        </w:rPr>
        <w:t>en el sexenio</w:t>
      </w:r>
      <w:r>
        <w:rPr>
          <w:rFonts w:ascii="Abadi" w:hAnsi="Abadi"/>
          <w:sz w:val="21"/>
          <w:szCs w:val="21"/>
        </w:rPr>
        <w:t>,</w:t>
      </w:r>
      <w:r w:rsidRPr="0021199F">
        <w:rPr>
          <w:rFonts w:ascii="Abadi" w:hAnsi="Abadi"/>
          <w:sz w:val="21"/>
          <w:szCs w:val="21"/>
        </w:rPr>
        <w:t xml:space="preserve"> México registra más de </w:t>
      </w:r>
      <w:r>
        <w:rPr>
          <w:rFonts w:ascii="Abadi" w:hAnsi="Abadi"/>
          <w:sz w:val="21"/>
          <w:szCs w:val="21"/>
        </w:rPr>
        <w:t>4500 secuestros, m</w:t>
      </w:r>
      <w:r w:rsidRPr="0021199F">
        <w:rPr>
          <w:rFonts w:ascii="Abadi" w:hAnsi="Abadi"/>
          <w:sz w:val="21"/>
          <w:szCs w:val="21"/>
        </w:rPr>
        <w:t xml:space="preserve">urieron </w:t>
      </w:r>
      <w:r>
        <w:rPr>
          <w:rFonts w:ascii="Abadi" w:hAnsi="Abadi"/>
          <w:sz w:val="21"/>
          <w:szCs w:val="21"/>
        </w:rPr>
        <w:t>26</w:t>
      </w:r>
      <w:r w:rsidRPr="0021199F">
        <w:rPr>
          <w:rFonts w:ascii="Abadi" w:hAnsi="Abadi"/>
          <w:sz w:val="21"/>
          <w:szCs w:val="21"/>
        </w:rPr>
        <w:t xml:space="preserve"> personas por la caída de la línea </w:t>
      </w:r>
      <w:r>
        <w:rPr>
          <w:rFonts w:ascii="Abadi" w:hAnsi="Abadi"/>
          <w:sz w:val="21"/>
          <w:szCs w:val="21"/>
        </w:rPr>
        <w:t>12</w:t>
      </w:r>
      <w:r w:rsidRPr="0021199F">
        <w:rPr>
          <w:rFonts w:ascii="Abadi" w:hAnsi="Abadi"/>
          <w:sz w:val="21"/>
          <w:szCs w:val="21"/>
        </w:rPr>
        <w:t xml:space="preserve">. La gasolina está </w:t>
      </w:r>
      <w:r>
        <w:rPr>
          <w:rFonts w:ascii="Abadi" w:hAnsi="Abadi"/>
          <w:sz w:val="21"/>
          <w:szCs w:val="21"/>
        </w:rPr>
        <w:t>50%</w:t>
      </w:r>
      <w:r w:rsidRPr="0021199F">
        <w:rPr>
          <w:rFonts w:ascii="Abadi" w:hAnsi="Abadi"/>
          <w:sz w:val="21"/>
          <w:szCs w:val="21"/>
        </w:rPr>
        <w:t xml:space="preserve"> más cara en el </w:t>
      </w:r>
      <w:r>
        <w:rPr>
          <w:rFonts w:ascii="Abadi" w:hAnsi="Abadi"/>
          <w:sz w:val="21"/>
          <w:szCs w:val="21"/>
        </w:rPr>
        <w:t>18</w:t>
      </w:r>
      <w:r w:rsidRPr="0021199F">
        <w:rPr>
          <w:rFonts w:ascii="Abadi" w:hAnsi="Abadi"/>
          <w:sz w:val="21"/>
          <w:szCs w:val="21"/>
        </w:rPr>
        <w:t xml:space="preserve">. México es el país más </w:t>
      </w:r>
      <w:r>
        <w:rPr>
          <w:rFonts w:ascii="Abadi" w:hAnsi="Abadi"/>
          <w:sz w:val="21"/>
          <w:szCs w:val="21"/>
        </w:rPr>
        <w:t>corrupto de la OCDE. 9%</w:t>
      </w:r>
      <w:r w:rsidRPr="0021199F">
        <w:rPr>
          <w:rFonts w:ascii="Abadi" w:hAnsi="Abadi"/>
          <w:sz w:val="21"/>
          <w:szCs w:val="21"/>
        </w:rPr>
        <w:t xml:space="preserve"> de la clase media pasó a la pobrez</w:t>
      </w:r>
      <w:r>
        <w:rPr>
          <w:rFonts w:ascii="Abadi" w:hAnsi="Abadi"/>
          <w:sz w:val="21"/>
          <w:szCs w:val="21"/>
        </w:rPr>
        <w:t>a en 3 años.</w:t>
      </w:r>
    </w:p>
    <w:p w14:paraId="5D04084C" w14:textId="77777777" w:rsidR="002B30C6" w:rsidRDefault="002B30C6" w:rsidP="002B30C6">
      <w:pPr>
        <w:pStyle w:val="NormalWeb"/>
        <w:jc w:val="both"/>
        <w:rPr>
          <w:rFonts w:ascii="Abadi" w:hAnsi="Abadi"/>
          <w:sz w:val="21"/>
          <w:szCs w:val="21"/>
        </w:rPr>
      </w:pPr>
      <w:r>
        <w:rPr>
          <w:rFonts w:ascii="Abadi" w:hAnsi="Abadi"/>
          <w:sz w:val="21"/>
          <w:szCs w:val="21"/>
        </w:rPr>
        <w:t xml:space="preserve">(Voz) </w:t>
      </w:r>
      <w:r w:rsidRPr="00461493">
        <w:rPr>
          <w:rFonts w:ascii="Abadi" w:hAnsi="Abadi"/>
          <w:sz w:val="21"/>
          <w:szCs w:val="21"/>
        </w:rPr>
        <w:t>diputada Martha Edith Moreno, ¿volvería hacer</w:t>
      </w:r>
      <w:r w:rsidRPr="00BD01B5">
        <w:rPr>
          <w:rFonts w:ascii="Abadi" w:hAnsi="Abadi"/>
          <w:sz w:val="21"/>
          <w:szCs w:val="21"/>
        </w:rPr>
        <w:t xml:space="preserve"> una moción de orden</w:t>
      </w:r>
      <w:r>
        <w:rPr>
          <w:rFonts w:ascii="Abadi" w:hAnsi="Abadi"/>
          <w:sz w:val="21"/>
          <w:szCs w:val="21"/>
        </w:rPr>
        <w:t>?</w:t>
      </w:r>
      <w:r w:rsidRPr="00BD01B5">
        <w:rPr>
          <w:rFonts w:ascii="Abadi" w:hAnsi="Abadi"/>
          <w:sz w:val="21"/>
          <w:szCs w:val="21"/>
        </w:rPr>
        <w:t xml:space="preserve"> </w:t>
      </w:r>
      <w:r>
        <w:rPr>
          <w:rFonts w:ascii="Abadi" w:hAnsi="Abadi"/>
          <w:sz w:val="21"/>
          <w:szCs w:val="21"/>
        </w:rPr>
        <w:t>(Voz) diputada Presidenta, ¿me permite tantito por favor?</w:t>
      </w:r>
      <w:r w:rsidRPr="00106A3E">
        <w:rPr>
          <w:rFonts w:ascii="Abadi" w:hAnsi="Abadi"/>
          <w:sz w:val="21"/>
          <w:szCs w:val="21"/>
        </w:rPr>
        <w:t xml:space="preserve"> </w:t>
      </w:r>
      <w:r>
        <w:rPr>
          <w:rFonts w:ascii="Abadi" w:hAnsi="Abadi"/>
          <w:sz w:val="21"/>
          <w:szCs w:val="21"/>
        </w:rPr>
        <w:t xml:space="preserve">¿Diputada Edith? ¿para </w:t>
      </w:r>
      <w:r w:rsidRPr="0021199F">
        <w:rPr>
          <w:rFonts w:ascii="Abadi" w:hAnsi="Abadi"/>
          <w:sz w:val="21"/>
          <w:szCs w:val="21"/>
        </w:rPr>
        <w:t>qué efecto</w:t>
      </w:r>
      <w:r>
        <w:rPr>
          <w:rFonts w:ascii="Abadi" w:hAnsi="Abadi"/>
          <w:sz w:val="21"/>
          <w:szCs w:val="21"/>
        </w:rPr>
        <w:t>? (Voz) diputada Martha Edith, que efectúen nuevamente</w:t>
      </w:r>
      <w:r w:rsidRPr="0021199F">
        <w:rPr>
          <w:rFonts w:ascii="Abadi" w:hAnsi="Abadi"/>
          <w:sz w:val="21"/>
          <w:szCs w:val="21"/>
        </w:rPr>
        <w:t xml:space="preserve"> una moción de orden para que se centre rectificar los hechos que yo mencioné</w:t>
      </w:r>
      <w:r>
        <w:rPr>
          <w:rFonts w:ascii="Abadi" w:hAnsi="Abadi"/>
          <w:sz w:val="21"/>
          <w:szCs w:val="21"/>
        </w:rPr>
        <w:t xml:space="preserve">, (Voz) diputada Presidenta, indica a la diputada oradora, sí se </w:t>
      </w:r>
      <w:proofErr w:type="gramStart"/>
      <w:r>
        <w:rPr>
          <w:rFonts w:ascii="Abadi" w:hAnsi="Abadi"/>
          <w:sz w:val="21"/>
          <w:szCs w:val="21"/>
        </w:rPr>
        <w:t>puede  centrar</w:t>
      </w:r>
      <w:proofErr w:type="gramEnd"/>
      <w:r>
        <w:rPr>
          <w:rFonts w:ascii="Abadi" w:hAnsi="Abadi"/>
          <w:sz w:val="21"/>
          <w:szCs w:val="21"/>
        </w:rPr>
        <w:t xml:space="preserve"> en </w:t>
      </w:r>
      <w:r w:rsidRPr="0021199F">
        <w:rPr>
          <w:rFonts w:ascii="Abadi" w:hAnsi="Abadi"/>
          <w:sz w:val="21"/>
          <w:szCs w:val="21"/>
        </w:rPr>
        <w:t>la rectificación</w:t>
      </w:r>
      <w:r>
        <w:rPr>
          <w:rFonts w:ascii="Abadi" w:hAnsi="Abadi"/>
          <w:sz w:val="21"/>
          <w:szCs w:val="21"/>
        </w:rPr>
        <w:t xml:space="preserve"> d</w:t>
      </w:r>
      <w:r w:rsidRPr="0021199F">
        <w:rPr>
          <w:rFonts w:ascii="Abadi" w:hAnsi="Abadi"/>
          <w:sz w:val="21"/>
          <w:szCs w:val="21"/>
        </w:rPr>
        <w:t>e hecho</w:t>
      </w:r>
      <w:r>
        <w:rPr>
          <w:rFonts w:ascii="Abadi" w:hAnsi="Abadi"/>
          <w:sz w:val="21"/>
          <w:szCs w:val="21"/>
        </w:rPr>
        <w:t xml:space="preserve">s </w:t>
      </w:r>
      <w:r w:rsidRPr="0021199F">
        <w:rPr>
          <w:rFonts w:ascii="Abadi" w:hAnsi="Abadi"/>
          <w:sz w:val="21"/>
          <w:szCs w:val="21"/>
        </w:rPr>
        <w:t>por favor</w:t>
      </w:r>
      <w:r>
        <w:rPr>
          <w:rFonts w:ascii="Abadi" w:hAnsi="Abadi"/>
          <w:sz w:val="21"/>
          <w:szCs w:val="21"/>
        </w:rPr>
        <w:t xml:space="preserve">, y </w:t>
      </w:r>
      <w:r w:rsidRPr="0021199F">
        <w:rPr>
          <w:rFonts w:ascii="Abadi" w:hAnsi="Abadi"/>
          <w:sz w:val="21"/>
          <w:szCs w:val="21"/>
        </w:rPr>
        <w:t xml:space="preserve">sigue adelante, por favor. </w:t>
      </w:r>
    </w:p>
    <w:p w14:paraId="7EBF24C5" w14:textId="063CEF41" w:rsidR="002B30C6" w:rsidRDefault="002B30C6" w:rsidP="002B30C6">
      <w:pPr>
        <w:pStyle w:val="NormalWeb"/>
        <w:jc w:val="both"/>
        <w:rPr>
          <w:rFonts w:ascii="Abadi" w:hAnsi="Abadi"/>
          <w:sz w:val="21"/>
          <w:szCs w:val="21"/>
        </w:rPr>
      </w:pPr>
      <w:r w:rsidRPr="006456AA">
        <w:rPr>
          <w:rFonts w:ascii="Abadi" w:hAnsi="Abadi"/>
          <w:sz w:val="21"/>
          <w:szCs w:val="21"/>
        </w:rPr>
        <w:t>(Voz) diputada Laura Cristina, Gracias</w:t>
      </w:r>
      <w:r>
        <w:rPr>
          <w:rFonts w:ascii="Abadi" w:hAnsi="Abadi"/>
          <w:sz w:val="21"/>
          <w:szCs w:val="21"/>
        </w:rPr>
        <w:t>, muy</w:t>
      </w:r>
      <w:r w:rsidRPr="0021199F">
        <w:rPr>
          <w:rFonts w:ascii="Abadi" w:hAnsi="Abadi"/>
          <w:sz w:val="21"/>
          <w:szCs w:val="21"/>
        </w:rPr>
        <w:t xml:space="preserve"> amable. Ok </w:t>
      </w:r>
      <w:r>
        <w:rPr>
          <w:rFonts w:ascii="Abadi" w:hAnsi="Abadi"/>
          <w:sz w:val="21"/>
          <w:szCs w:val="21"/>
        </w:rPr>
        <w:t>e</w:t>
      </w:r>
      <w:r w:rsidRPr="0021199F">
        <w:rPr>
          <w:rFonts w:ascii="Abadi" w:hAnsi="Abadi"/>
          <w:sz w:val="21"/>
          <w:szCs w:val="21"/>
        </w:rPr>
        <w:t xml:space="preserve">l </w:t>
      </w:r>
      <w:r>
        <w:rPr>
          <w:rFonts w:ascii="Abadi" w:hAnsi="Abadi"/>
          <w:sz w:val="21"/>
          <w:szCs w:val="21"/>
        </w:rPr>
        <w:t xml:space="preserve">9% </w:t>
      </w:r>
      <w:r w:rsidRPr="0021199F">
        <w:rPr>
          <w:rFonts w:ascii="Abadi" w:hAnsi="Abadi"/>
          <w:sz w:val="21"/>
          <w:szCs w:val="21"/>
        </w:rPr>
        <w:t>de la clase media pasó a pobre</w:t>
      </w:r>
      <w:r>
        <w:rPr>
          <w:rFonts w:ascii="Abadi" w:hAnsi="Abadi"/>
          <w:sz w:val="21"/>
          <w:szCs w:val="21"/>
        </w:rPr>
        <w:t xml:space="preserve">za </w:t>
      </w:r>
      <w:r w:rsidRPr="0021199F">
        <w:rPr>
          <w:rFonts w:ascii="Abadi" w:hAnsi="Abadi"/>
          <w:sz w:val="21"/>
          <w:szCs w:val="21"/>
        </w:rPr>
        <w:t xml:space="preserve">en </w:t>
      </w:r>
      <w:r>
        <w:rPr>
          <w:rFonts w:ascii="Abadi" w:hAnsi="Abadi"/>
          <w:sz w:val="21"/>
          <w:szCs w:val="21"/>
        </w:rPr>
        <w:t>3</w:t>
      </w:r>
      <w:r w:rsidRPr="0021199F">
        <w:rPr>
          <w:rFonts w:ascii="Abadi" w:hAnsi="Abadi"/>
          <w:sz w:val="21"/>
          <w:szCs w:val="21"/>
        </w:rPr>
        <w:t xml:space="preserve"> años y México es el cuarto país más peligrosos. Hay </w:t>
      </w:r>
      <w:r>
        <w:rPr>
          <w:rFonts w:ascii="Abadi" w:hAnsi="Abadi"/>
          <w:sz w:val="21"/>
          <w:szCs w:val="21"/>
        </w:rPr>
        <w:t>300</w:t>
      </w:r>
      <w:r w:rsidRPr="0021199F">
        <w:rPr>
          <w:rFonts w:ascii="Abadi" w:hAnsi="Abadi"/>
          <w:sz w:val="21"/>
          <w:szCs w:val="21"/>
        </w:rPr>
        <w:t xml:space="preserve"> mil árboles talados por el </w:t>
      </w:r>
      <w:r>
        <w:rPr>
          <w:rFonts w:ascii="Abadi" w:hAnsi="Abadi"/>
          <w:sz w:val="21"/>
          <w:szCs w:val="21"/>
        </w:rPr>
        <w:t xml:space="preserve">tren maya, </w:t>
      </w:r>
      <w:r w:rsidRPr="0021199F">
        <w:rPr>
          <w:rFonts w:ascii="Abadi" w:hAnsi="Abadi"/>
          <w:sz w:val="21"/>
          <w:szCs w:val="21"/>
        </w:rPr>
        <w:t>la cifra real de muerte</w:t>
      </w:r>
      <w:r>
        <w:rPr>
          <w:rFonts w:ascii="Abadi" w:hAnsi="Abadi"/>
          <w:sz w:val="21"/>
          <w:szCs w:val="21"/>
        </w:rPr>
        <w:t xml:space="preserve"> de COVID es de 626</w:t>
      </w:r>
      <w:r w:rsidRPr="0021199F">
        <w:rPr>
          <w:rFonts w:ascii="Abadi" w:hAnsi="Abadi"/>
          <w:sz w:val="21"/>
          <w:szCs w:val="21"/>
        </w:rPr>
        <w:t xml:space="preserve"> mil personas</w:t>
      </w:r>
      <w:r>
        <w:rPr>
          <w:rFonts w:ascii="Abadi" w:hAnsi="Abadi"/>
          <w:sz w:val="21"/>
          <w:szCs w:val="21"/>
        </w:rPr>
        <w:t xml:space="preserve"> y </w:t>
      </w:r>
      <w:r w:rsidRPr="0021199F">
        <w:rPr>
          <w:rFonts w:ascii="Abadi" w:hAnsi="Abadi"/>
          <w:sz w:val="21"/>
          <w:szCs w:val="21"/>
        </w:rPr>
        <w:t>somos el país en donde más personal médico murió a causa del</w:t>
      </w:r>
      <w:r>
        <w:rPr>
          <w:rFonts w:ascii="Abadi" w:hAnsi="Abadi"/>
          <w:sz w:val="21"/>
          <w:szCs w:val="21"/>
        </w:rPr>
        <w:t xml:space="preserve"> COVID, bien, continuando entonces con mi adaptación, (Voz) diputada </w:t>
      </w:r>
      <w:r w:rsidRPr="00EA6B9A">
        <w:rPr>
          <w:rFonts w:ascii="Abadi" w:hAnsi="Abadi"/>
          <w:sz w:val="21"/>
          <w:szCs w:val="21"/>
        </w:rPr>
        <w:t>Presidencia. ¿Diputada</w:t>
      </w:r>
      <w:r>
        <w:rPr>
          <w:rFonts w:ascii="Abadi" w:hAnsi="Abadi"/>
          <w:sz w:val="21"/>
          <w:szCs w:val="21"/>
        </w:rPr>
        <w:t>, me permite tantito por favor? (Voz) diputada Cristina, ¡Sí! ¡claro! ¿Para qué efecto diputada Edith? (Voz) diputada Martha Edith, v</w:t>
      </w:r>
      <w:r w:rsidRPr="006443AF">
        <w:rPr>
          <w:rFonts w:ascii="Abadi" w:hAnsi="Abadi"/>
          <w:sz w:val="21"/>
          <w:szCs w:val="21"/>
        </w:rPr>
        <w:t>olvería a pedirle una moción de orden, ya que no hable de esos datos</w:t>
      </w:r>
      <w:r>
        <w:rPr>
          <w:rFonts w:ascii="Abadi" w:hAnsi="Abadi"/>
          <w:sz w:val="21"/>
          <w:szCs w:val="21"/>
        </w:rPr>
        <w:t xml:space="preserve"> </w:t>
      </w:r>
      <w:r w:rsidRPr="0021199F">
        <w:rPr>
          <w:rFonts w:ascii="Abadi" w:hAnsi="Abadi"/>
          <w:sz w:val="21"/>
          <w:szCs w:val="21"/>
        </w:rPr>
        <w:t>que se centren rectificar las cifras que yo manej</w:t>
      </w:r>
      <w:r>
        <w:rPr>
          <w:rFonts w:ascii="Abadi" w:hAnsi="Abadi"/>
          <w:sz w:val="21"/>
          <w:szCs w:val="21"/>
        </w:rPr>
        <w:t xml:space="preserve">e, (Voz) diputada Presidenta, está hablando sobre cifras ahorita, (Voz) diputada Martha Edith, pero son </w:t>
      </w:r>
      <w:r w:rsidRPr="0021199F">
        <w:rPr>
          <w:rFonts w:ascii="Abadi" w:hAnsi="Abadi"/>
          <w:sz w:val="21"/>
          <w:szCs w:val="21"/>
        </w:rPr>
        <w:t xml:space="preserve">las cifras que yo maneje. </w:t>
      </w:r>
      <w:r>
        <w:rPr>
          <w:rFonts w:ascii="Abadi" w:hAnsi="Abadi"/>
          <w:sz w:val="21"/>
          <w:szCs w:val="21"/>
        </w:rPr>
        <w:t>n</w:t>
      </w:r>
      <w:r w:rsidRPr="0021199F">
        <w:rPr>
          <w:rFonts w:ascii="Abadi" w:hAnsi="Abadi"/>
          <w:sz w:val="21"/>
          <w:szCs w:val="21"/>
        </w:rPr>
        <w:t>o hable en ningún momento</w:t>
      </w:r>
      <w:r>
        <w:rPr>
          <w:rFonts w:ascii="Abadi" w:hAnsi="Abadi"/>
          <w:sz w:val="21"/>
          <w:szCs w:val="21"/>
        </w:rPr>
        <w:t xml:space="preserve"> de esos datos, (Voz) diputada Laura Cristina, diputada, le pido entonces una moción </w:t>
      </w:r>
      <w:r w:rsidRPr="0021199F">
        <w:rPr>
          <w:rFonts w:ascii="Abadi" w:hAnsi="Abadi"/>
          <w:sz w:val="21"/>
          <w:szCs w:val="21"/>
        </w:rPr>
        <w:t>de orden</w:t>
      </w:r>
      <w:r>
        <w:rPr>
          <w:rFonts w:ascii="Abadi" w:hAnsi="Abadi"/>
          <w:sz w:val="21"/>
          <w:szCs w:val="21"/>
        </w:rPr>
        <w:t xml:space="preserve">, </w:t>
      </w:r>
      <w:r w:rsidRPr="0021199F">
        <w:rPr>
          <w:rFonts w:ascii="Abadi" w:hAnsi="Abadi"/>
          <w:sz w:val="21"/>
          <w:szCs w:val="21"/>
        </w:rPr>
        <w:t xml:space="preserve">porque hablan todos al mismo tiempo, </w:t>
      </w:r>
      <w:r>
        <w:rPr>
          <w:rFonts w:ascii="Abadi" w:hAnsi="Abadi"/>
          <w:sz w:val="21"/>
          <w:szCs w:val="21"/>
        </w:rPr>
        <w:t xml:space="preserve">y </w:t>
      </w:r>
      <w:r w:rsidRPr="0021199F">
        <w:rPr>
          <w:rFonts w:ascii="Abadi" w:hAnsi="Abadi"/>
          <w:sz w:val="21"/>
          <w:szCs w:val="21"/>
        </w:rPr>
        <w:t>no sólo quien le solicitó</w:t>
      </w:r>
      <w:r>
        <w:rPr>
          <w:rFonts w:ascii="Abadi" w:hAnsi="Abadi"/>
          <w:sz w:val="21"/>
          <w:szCs w:val="21"/>
        </w:rPr>
        <w:t xml:space="preserve"> el uso de la voz (Voz) me </w:t>
      </w:r>
      <w:r w:rsidRPr="0021199F">
        <w:rPr>
          <w:rFonts w:ascii="Abadi" w:hAnsi="Abadi"/>
          <w:sz w:val="21"/>
          <w:szCs w:val="21"/>
        </w:rPr>
        <w:t>permite</w:t>
      </w:r>
      <w:r>
        <w:rPr>
          <w:rFonts w:ascii="Abadi" w:hAnsi="Abadi"/>
          <w:sz w:val="21"/>
          <w:szCs w:val="21"/>
        </w:rPr>
        <w:t xml:space="preserve"> el uso de la </w:t>
      </w:r>
      <w:r w:rsidRPr="004508D4">
        <w:rPr>
          <w:rFonts w:ascii="Abadi" w:hAnsi="Abadi"/>
          <w:sz w:val="21"/>
          <w:szCs w:val="21"/>
        </w:rPr>
        <w:t>voz</w:t>
      </w:r>
      <w:r>
        <w:rPr>
          <w:rFonts w:ascii="Abadi" w:hAnsi="Abadi"/>
          <w:sz w:val="21"/>
          <w:szCs w:val="21"/>
        </w:rPr>
        <w:t xml:space="preserve">, </w:t>
      </w:r>
      <w:r w:rsidRPr="0021199F">
        <w:rPr>
          <w:rFonts w:ascii="Abadi" w:hAnsi="Abadi"/>
          <w:sz w:val="21"/>
          <w:szCs w:val="21"/>
        </w:rPr>
        <w:t>ya luego me permite</w:t>
      </w:r>
      <w:r>
        <w:rPr>
          <w:rFonts w:ascii="Abadi" w:hAnsi="Abadi"/>
          <w:sz w:val="21"/>
          <w:szCs w:val="21"/>
        </w:rPr>
        <w:t>, p</w:t>
      </w:r>
      <w:r w:rsidRPr="0021199F">
        <w:rPr>
          <w:rFonts w:ascii="Abadi" w:hAnsi="Abadi"/>
          <w:sz w:val="21"/>
          <w:szCs w:val="21"/>
        </w:rPr>
        <w:t>uede ser continuar haciendo alusión a la rectificación, por favor</w:t>
      </w:r>
      <w:r>
        <w:rPr>
          <w:rFonts w:ascii="Abadi" w:hAnsi="Abadi"/>
          <w:sz w:val="21"/>
          <w:szCs w:val="21"/>
        </w:rPr>
        <w:t>?</w:t>
      </w:r>
    </w:p>
    <w:p w14:paraId="05F29F9E" w14:textId="787EEC96" w:rsidR="002B30C6" w:rsidRDefault="002B30C6" w:rsidP="002B30C6">
      <w:pPr>
        <w:pStyle w:val="NormalWeb"/>
        <w:jc w:val="both"/>
        <w:rPr>
          <w:rFonts w:ascii="Abadi" w:hAnsi="Abadi"/>
          <w:sz w:val="21"/>
          <w:szCs w:val="21"/>
        </w:rPr>
      </w:pPr>
      <w:r w:rsidRPr="00E42CEB">
        <w:rPr>
          <w:rFonts w:ascii="Abadi" w:hAnsi="Abadi"/>
          <w:sz w:val="21"/>
          <w:szCs w:val="21"/>
        </w:rPr>
        <w:t>(Voz) Diputada Laura Cristina Márquez Alcalá</w:t>
      </w:r>
      <w:r>
        <w:rPr>
          <w:rFonts w:ascii="Abadi" w:hAnsi="Abadi"/>
          <w:sz w:val="21"/>
          <w:szCs w:val="21"/>
        </w:rPr>
        <w:t>, ¡c</w:t>
      </w:r>
      <w:r w:rsidRPr="0021199F">
        <w:rPr>
          <w:rFonts w:ascii="Abadi" w:hAnsi="Abadi"/>
          <w:sz w:val="21"/>
          <w:szCs w:val="21"/>
        </w:rPr>
        <w:t>laro</w:t>
      </w:r>
      <w:r>
        <w:rPr>
          <w:rFonts w:ascii="Abadi" w:hAnsi="Abadi"/>
          <w:sz w:val="21"/>
          <w:szCs w:val="21"/>
        </w:rPr>
        <w:t>!</w:t>
      </w:r>
      <w:r w:rsidRPr="0021199F">
        <w:rPr>
          <w:rFonts w:ascii="Abadi" w:hAnsi="Abadi"/>
          <w:sz w:val="21"/>
          <w:szCs w:val="21"/>
        </w:rPr>
        <w:t xml:space="preserve"> </w:t>
      </w:r>
      <w:r>
        <w:rPr>
          <w:rFonts w:ascii="Abadi" w:hAnsi="Abadi"/>
          <w:sz w:val="21"/>
          <w:szCs w:val="21"/>
        </w:rPr>
        <w:t>¡</w:t>
      </w:r>
      <w:r w:rsidRPr="0021199F">
        <w:rPr>
          <w:rFonts w:ascii="Abadi" w:hAnsi="Abadi"/>
          <w:sz w:val="21"/>
          <w:szCs w:val="21"/>
        </w:rPr>
        <w:t>claro</w:t>
      </w:r>
      <w:r>
        <w:rPr>
          <w:rFonts w:ascii="Abadi" w:hAnsi="Abadi"/>
          <w:sz w:val="21"/>
          <w:szCs w:val="21"/>
        </w:rPr>
        <w:t>!</w:t>
      </w:r>
      <w:r w:rsidRPr="0021199F">
        <w:rPr>
          <w:rFonts w:ascii="Abadi" w:hAnsi="Abadi"/>
          <w:sz w:val="21"/>
          <w:szCs w:val="21"/>
        </w:rPr>
        <w:t xml:space="preserve"> </w:t>
      </w:r>
      <w:r>
        <w:rPr>
          <w:rFonts w:ascii="Abadi" w:hAnsi="Abadi"/>
          <w:sz w:val="21"/>
          <w:szCs w:val="21"/>
        </w:rPr>
        <w:t>c</w:t>
      </w:r>
      <w:r w:rsidRPr="0021199F">
        <w:rPr>
          <w:rFonts w:ascii="Abadi" w:hAnsi="Abadi"/>
          <w:sz w:val="21"/>
          <w:szCs w:val="21"/>
        </w:rPr>
        <w:t>on todo gusto</w:t>
      </w:r>
      <w:r>
        <w:rPr>
          <w:rFonts w:ascii="Abadi" w:hAnsi="Abadi"/>
          <w:sz w:val="21"/>
          <w:szCs w:val="21"/>
        </w:rPr>
        <w:t>, b</w:t>
      </w:r>
      <w:r w:rsidRPr="0021199F">
        <w:rPr>
          <w:rFonts w:ascii="Abadi" w:hAnsi="Abadi"/>
          <w:sz w:val="21"/>
          <w:szCs w:val="21"/>
        </w:rPr>
        <w:t xml:space="preserve">ueno, en los últimos </w:t>
      </w:r>
      <w:r>
        <w:rPr>
          <w:rFonts w:ascii="Abadi" w:hAnsi="Abadi"/>
          <w:sz w:val="21"/>
          <w:szCs w:val="21"/>
        </w:rPr>
        <w:t>30 años</w:t>
      </w:r>
      <w:r w:rsidRPr="0021199F">
        <w:rPr>
          <w:rFonts w:ascii="Abadi" w:hAnsi="Abadi"/>
          <w:sz w:val="21"/>
          <w:szCs w:val="21"/>
        </w:rPr>
        <w:t xml:space="preserve"> bueno, el cuarto, por supuesto que avanzado hace </w:t>
      </w:r>
      <w:r>
        <w:rPr>
          <w:rFonts w:ascii="Abadi" w:hAnsi="Abadi"/>
          <w:sz w:val="21"/>
          <w:szCs w:val="21"/>
        </w:rPr>
        <w:t>20, y</w:t>
      </w:r>
      <w:r w:rsidRPr="0021199F">
        <w:rPr>
          <w:rFonts w:ascii="Abadi" w:hAnsi="Abadi"/>
          <w:sz w:val="21"/>
          <w:szCs w:val="21"/>
        </w:rPr>
        <w:t xml:space="preserve">o recuerdo haber visto que estábamos con un </w:t>
      </w:r>
      <w:r>
        <w:rPr>
          <w:rFonts w:ascii="Abadi" w:hAnsi="Abadi"/>
          <w:sz w:val="21"/>
          <w:szCs w:val="21"/>
        </w:rPr>
        <w:t>11%</w:t>
      </w:r>
      <w:r w:rsidRPr="0021199F">
        <w:rPr>
          <w:rFonts w:ascii="Abadi" w:hAnsi="Abadi"/>
          <w:sz w:val="21"/>
          <w:szCs w:val="21"/>
        </w:rPr>
        <w:t xml:space="preserve"> de analfabetismo y es muy lamentable que todavía tengamos el </w:t>
      </w:r>
      <w:r>
        <w:rPr>
          <w:rFonts w:ascii="Abadi" w:hAnsi="Abadi"/>
          <w:sz w:val="21"/>
          <w:szCs w:val="21"/>
        </w:rPr>
        <w:t>5</w:t>
      </w:r>
      <w:r w:rsidRPr="0021199F">
        <w:rPr>
          <w:rFonts w:ascii="Abadi" w:hAnsi="Abadi"/>
          <w:sz w:val="21"/>
          <w:szCs w:val="21"/>
        </w:rPr>
        <w:t xml:space="preserve"> </w:t>
      </w:r>
      <w:r>
        <w:rPr>
          <w:rFonts w:ascii="Abadi" w:hAnsi="Abadi"/>
          <w:sz w:val="21"/>
          <w:szCs w:val="21"/>
        </w:rPr>
        <w:t>¿</w:t>
      </w:r>
      <w:r w:rsidRPr="0021199F">
        <w:rPr>
          <w:rFonts w:ascii="Abadi" w:hAnsi="Abadi"/>
          <w:sz w:val="21"/>
          <w:szCs w:val="21"/>
        </w:rPr>
        <w:t>No</w:t>
      </w:r>
      <w:r>
        <w:rPr>
          <w:rFonts w:ascii="Abadi" w:hAnsi="Abadi"/>
          <w:sz w:val="21"/>
          <w:szCs w:val="21"/>
        </w:rPr>
        <w:t>?</w:t>
      </w:r>
      <w:r w:rsidRPr="0021199F">
        <w:rPr>
          <w:rFonts w:ascii="Abadi" w:hAnsi="Abadi"/>
          <w:sz w:val="21"/>
          <w:szCs w:val="21"/>
        </w:rPr>
        <w:t xml:space="preserve"> Nuestro anhelo es erradicar el analfabetismo </w:t>
      </w:r>
      <w:r>
        <w:rPr>
          <w:rFonts w:ascii="Abadi" w:hAnsi="Abadi"/>
          <w:sz w:val="21"/>
          <w:szCs w:val="21"/>
        </w:rPr>
        <w:t>en</w:t>
      </w:r>
      <w:r w:rsidRPr="0021199F">
        <w:rPr>
          <w:rFonts w:ascii="Abadi" w:hAnsi="Abadi"/>
          <w:sz w:val="21"/>
          <w:szCs w:val="21"/>
        </w:rPr>
        <w:t xml:space="preserve"> nuestro estado y se han dado las acciones y los pasos necesarios</w:t>
      </w:r>
      <w:r>
        <w:rPr>
          <w:rFonts w:ascii="Abadi" w:hAnsi="Abadi"/>
          <w:sz w:val="21"/>
          <w:szCs w:val="21"/>
        </w:rPr>
        <w:t>, e</w:t>
      </w:r>
      <w:r w:rsidRPr="0021199F">
        <w:rPr>
          <w:rFonts w:ascii="Abadi" w:hAnsi="Abadi"/>
          <w:sz w:val="21"/>
          <w:szCs w:val="21"/>
        </w:rPr>
        <w:t>sto nada más es una muestra</w:t>
      </w:r>
      <w:r>
        <w:rPr>
          <w:rFonts w:ascii="Abadi" w:hAnsi="Abadi"/>
          <w:sz w:val="21"/>
          <w:szCs w:val="21"/>
        </w:rPr>
        <w:t>.</w:t>
      </w:r>
      <w:r w:rsidRPr="0021199F">
        <w:rPr>
          <w:rFonts w:ascii="Abadi" w:hAnsi="Abadi"/>
          <w:sz w:val="21"/>
          <w:szCs w:val="21"/>
        </w:rPr>
        <w:t xml:space="preserve"> </w:t>
      </w:r>
      <w:r>
        <w:rPr>
          <w:rFonts w:ascii="Abadi" w:hAnsi="Abadi"/>
          <w:sz w:val="21"/>
          <w:szCs w:val="21"/>
        </w:rPr>
        <w:t>L</w:t>
      </w:r>
      <w:r w:rsidRPr="0021199F">
        <w:rPr>
          <w:rFonts w:ascii="Abadi" w:hAnsi="Abadi"/>
          <w:sz w:val="21"/>
          <w:szCs w:val="21"/>
        </w:rPr>
        <w:t>a otra</w:t>
      </w:r>
      <w:r>
        <w:rPr>
          <w:rFonts w:ascii="Abadi" w:hAnsi="Abadi"/>
          <w:sz w:val="21"/>
          <w:szCs w:val="21"/>
        </w:rPr>
        <w:t>,</w:t>
      </w:r>
      <w:r w:rsidRPr="0021199F">
        <w:rPr>
          <w:rFonts w:ascii="Abadi" w:hAnsi="Abadi"/>
          <w:sz w:val="21"/>
          <w:szCs w:val="21"/>
        </w:rPr>
        <w:t xml:space="preserve"> </w:t>
      </w:r>
      <w:r>
        <w:rPr>
          <w:rFonts w:ascii="Abadi" w:hAnsi="Abadi"/>
          <w:sz w:val="21"/>
          <w:szCs w:val="21"/>
        </w:rPr>
        <w:t>b</w:t>
      </w:r>
      <w:r w:rsidRPr="0021199F">
        <w:rPr>
          <w:rFonts w:ascii="Abadi" w:hAnsi="Abadi"/>
          <w:sz w:val="21"/>
          <w:szCs w:val="21"/>
        </w:rPr>
        <w:t>ueno, Guanajuato es el tercer lugar en producto interno bruto a nivel nacional. Ya se ha dicho en esta tribuna reiteradas veces. Por otro lado, definitivamente tenemos que señalar que el llamarle a las cosas por su nombre implica reconocer lo que hay pendiente, verlo con</w:t>
      </w:r>
      <w:r>
        <w:rPr>
          <w:rFonts w:ascii="Abadi" w:hAnsi="Abadi"/>
          <w:sz w:val="21"/>
          <w:szCs w:val="21"/>
        </w:rPr>
        <w:t xml:space="preserve"> haría</w:t>
      </w:r>
      <w:r w:rsidRPr="0021199F">
        <w:rPr>
          <w:rFonts w:ascii="Abadi" w:hAnsi="Abadi"/>
          <w:sz w:val="21"/>
          <w:szCs w:val="21"/>
        </w:rPr>
        <w:t xml:space="preserve"> de oportunidad y avanzar y no, como también se ha dicho aquí antes </w:t>
      </w:r>
      <w:r>
        <w:rPr>
          <w:rFonts w:ascii="Abadi" w:hAnsi="Abadi"/>
          <w:sz w:val="21"/>
          <w:szCs w:val="21"/>
        </w:rPr>
        <w:t>caer</w:t>
      </w:r>
      <w:r w:rsidRPr="0021199F">
        <w:rPr>
          <w:rFonts w:ascii="Abadi" w:hAnsi="Abadi"/>
          <w:sz w:val="21"/>
          <w:szCs w:val="21"/>
        </w:rPr>
        <w:t xml:space="preserve"> en la politiquería barata, donde sólo hacemos un señalamiento</w:t>
      </w:r>
      <w:r>
        <w:rPr>
          <w:rFonts w:ascii="Abadi" w:hAnsi="Abadi"/>
          <w:sz w:val="21"/>
          <w:szCs w:val="21"/>
        </w:rPr>
        <w:t>, v</w:t>
      </w:r>
      <w:r w:rsidRPr="0021199F">
        <w:rPr>
          <w:rFonts w:ascii="Abadi" w:hAnsi="Abadi"/>
          <w:sz w:val="21"/>
          <w:szCs w:val="21"/>
        </w:rPr>
        <w:t>enimos patal</w:t>
      </w:r>
      <w:r>
        <w:rPr>
          <w:rFonts w:ascii="Abadi" w:hAnsi="Abadi"/>
          <w:sz w:val="21"/>
          <w:szCs w:val="21"/>
        </w:rPr>
        <w:t>e</w:t>
      </w:r>
      <w:r w:rsidRPr="0021199F">
        <w:rPr>
          <w:rFonts w:ascii="Abadi" w:hAnsi="Abadi"/>
          <w:sz w:val="21"/>
          <w:szCs w:val="21"/>
        </w:rPr>
        <w:t>amos y creemos que la forma de operar</w:t>
      </w:r>
      <w:r>
        <w:rPr>
          <w:rFonts w:ascii="Abadi" w:hAnsi="Abadi"/>
          <w:sz w:val="21"/>
          <w:szCs w:val="21"/>
        </w:rPr>
        <w:t xml:space="preserve"> es como en el gobierno federal y la 4T, que es destruyendo instituciones porque todos son nuestros enemigos, pues no, no es así, aquí se rectifica, y por eso ayer estuvimos también en el relanzamiento de la política de desarrollo social de este Estado, porque se ha evaluado estos 3 años cual ha sido el avance, si lo ha habido y se busca que haya un mayor crecimiento. </w:t>
      </w:r>
    </w:p>
    <w:p w14:paraId="47E2223A" w14:textId="77777777" w:rsidR="002B30C6" w:rsidRDefault="002B30C6" w:rsidP="002B30C6">
      <w:pPr>
        <w:pStyle w:val="NormalWeb"/>
        <w:jc w:val="both"/>
        <w:rPr>
          <w:rFonts w:ascii="Abadi" w:hAnsi="Abadi"/>
          <w:sz w:val="21"/>
          <w:szCs w:val="21"/>
        </w:rPr>
      </w:pPr>
      <w:r>
        <w:rPr>
          <w:rFonts w:ascii="Abadi" w:hAnsi="Abadi"/>
          <w:sz w:val="21"/>
          <w:szCs w:val="21"/>
        </w:rPr>
        <w:t xml:space="preserve">(Voz) diputado Ernesto Millán, (Voz) diputada Presidenta, ¿Diputado Ernesto, para que efecto? (Voz) diputado Ernesto Millán, moción de orden, en ningún momento la compañera diputada Edith hablo de programas del gobierno estatal como este de relanzamientos, que se sujete a los temas y cifras que le dio la diputada Edith, por favor, (Voz) diputada Presidenta, Gracias diputado Millán, diputada Cristina pudiera sujetarse por favor a la rectificación de hechos de la diputada Edith, muchas gracias y continué por favor, (Voz) diputada Cristina Márquez, ¡con muchísimo gusto! me refiero, (Voz) diputado Aldo, ¿Presidenta? (Voz) diputada Presidenta, diputado Aldo ¿Para qué efecto? (Voz) diputado Aldo Iván, para ver si por su conducto, la diputada me acepta una pregunta, (Voz) diputada ¿Presidenta, diputada Cristina le concede una pregunta al diputado Aldo? (Voz) diputada Cristina, con mucho gusto diputada Presidenta. (Voz) diputada Presidenta, adelante diputado, le concede la pregunta. </w:t>
      </w:r>
    </w:p>
    <w:p w14:paraId="4947DCE4" w14:textId="77777777" w:rsidR="002B30C6" w:rsidRDefault="002B30C6" w:rsidP="002B30C6">
      <w:pPr>
        <w:pStyle w:val="NormalWeb"/>
        <w:jc w:val="both"/>
        <w:rPr>
          <w:rFonts w:ascii="Abadi" w:hAnsi="Abadi"/>
          <w:sz w:val="21"/>
          <w:szCs w:val="21"/>
        </w:rPr>
      </w:pPr>
      <w:r>
        <w:rPr>
          <w:rFonts w:ascii="Abadi" w:hAnsi="Abadi"/>
          <w:sz w:val="21"/>
          <w:szCs w:val="21"/>
        </w:rPr>
        <w:t xml:space="preserve">(Voz) diputado Aldo Márquez, gracias diputada, quiero contextualizar mi pregunta porque hablaba usted sobre programas y sobre la intervención inicial que era sobre la grandeza que tenemos los guanajuatenses, las y los guanajuatenses que nos sentimos orgullosos, que conocemos nuestro Estado y que conocemos a la gente y sus necesidades, y creo que después de 30 años de gobernar el PAN y de que ha recibido el apoyo de la ciudadanía en las urnas, eso </w:t>
      </w:r>
      <w:proofErr w:type="spellStart"/>
      <w:r>
        <w:rPr>
          <w:rFonts w:ascii="Abadi" w:hAnsi="Abadi"/>
          <w:sz w:val="21"/>
          <w:szCs w:val="21"/>
        </w:rPr>
        <w:t>a</w:t>
      </w:r>
      <w:proofErr w:type="spellEnd"/>
      <w:r>
        <w:rPr>
          <w:rFonts w:ascii="Abadi" w:hAnsi="Abadi"/>
          <w:sz w:val="21"/>
          <w:szCs w:val="21"/>
        </w:rPr>
        <w:t xml:space="preserve"> quedado de manifiesto, después de que hemos visto como ha avanzado en el estado en esos 30 años en tema educativo, en tema de combate a la pobreza, también en tema económico, somos la sexta economía del país ¡Eh! Donde hay una población en las actividades que se hacen ¡Eh! donde se ha generado alianza con la sociedad, donde vemos que ese gobierno panista (Voz) diputada Presidenta, diputado </w:t>
      </w:r>
      <w:proofErr w:type="gramStart"/>
      <w:r>
        <w:rPr>
          <w:rFonts w:ascii="Abadi" w:hAnsi="Abadi"/>
          <w:sz w:val="21"/>
          <w:szCs w:val="21"/>
        </w:rPr>
        <w:t>Aldo,  (</w:t>
      </w:r>
      <w:proofErr w:type="gramEnd"/>
      <w:r>
        <w:rPr>
          <w:rFonts w:ascii="Abadi" w:hAnsi="Abadi"/>
          <w:sz w:val="21"/>
          <w:szCs w:val="21"/>
        </w:rPr>
        <w:t xml:space="preserve">Voz) diputado Aldo, estoy formulando mi pregunta (Voz) diputada Presidenta, ¿me permite por favor? podría concentrarse en la pregunta por favor (Voz) diputado Aldo, la estoy haciendo y la estoy contextualizando (Voz) diputado David Martinez, no está dando una conferencia. (Voz) diputado Aldo, gracias, gracias, en esa gobernar con la sociedad y que ha sido ejemplo a nivel nacional, ¿usted no considera que esos son elementos para que guanajuato y los guanajuatenses seamos grandes? (Voz) diputada Presidenta, ¿diputado Aldo me permite? diputado, gracias, gracias, ¿Diputado Ernesto Millán? ¿para qué efecto? (Voz) diputado Ernesto Millán, no pues ya dio el informe, entonces ya hizo la pregunta, ya, retiro mi participación, gracias (Voz) diputada Presidenta, ¿Diputada Cristina podría contestar la pregunta que le hizo Aldo? </w:t>
      </w:r>
    </w:p>
    <w:p w14:paraId="64F1FE27" w14:textId="77777777" w:rsidR="002B30C6" w:rsidRDefault="002B30C6" w:rsidP="002B30C6">
      <w:pPr>
        <w:pStyle w:val="NormalWeb"/>
        <w:jc w:val="both"/>
        <w:rPr>
          <w:rFonts w:ascii="Abadi" w:hAnsi="Abadi"/>
          <w:sz w:val="21"/>
          <w:szCs w:val="21"/>
        </w:rPr>
      </w:pPr>
      <w:r w:rsidRPr="00572AF0">
        <w:rPr>
          <w:rFonts w:ascii="Abadi" w:hAnsi="Abadi"/>
          <w:sz w:val="21"/>
          <w:szCs w:val="21"/>
        </w:rPr>
        <w:t>- (Voz) diputada Cristina Márquez Alcalá</w:t>
      </w:r>
      <w:r>
        <w:rPr>
          <w:rFonts w:ascii="Abadi" w:hAnsi="Abadi"/>
          <w:sz w:val="21"/>
          <w:szCs w:val="21"/>
        </w:rPr>
        <w:t xml:space="preserve">, con mucho gusto, con el amplio contexto que nos ha hecho el diputado Aldo, me permite orientar precisamente hacia donde está hiendo esta reflexión en la rectificación de hechos a la que me he referido. Por supuesto que ha habido crecimiento con las políticas públicas que se han implementado a través de las acciones emprendidas por el gobierno del Estado y que han sido consecutivas, que ha habido un seguimiento, que se le ha dado la distinción de no destrozar las cosas sino de darles la continuidad y el mejoramiento que ameritan pues para que puedan funcionar, no nos deshacemos de las instituciones, las reforzamos, las reabastecemos, las rediseñamos, evaluamos, y le dio al clavo, la planeación es el éxito de todo eso, aquí no improvisamos, aquí nos preparamos, hacemos diagnósticos, estudios, no nos lanzamos contra nadie, ni consideramos a nadie traidor, enemigo, vamos, hacemos equipo, porque estamos conscientes de que el trabajo conjunto es lo que va a salir adelante, va a sacar adelante a la sociedad y es lo mínimo que nos exige la ciudadanía a quienes representamos todos aquí, los 36 por las diferentes fuerzas políticas. </w:t>
      </w:r>
    </w:p>
    <w:p w14:paraId="32B00A84"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Entonces sí, hay muchísimo trabajo por hacer, pero hemos avanzado muchísimo </w:t>
      </w:r>
      <w:r>
        <w:rPr>
          <w:rFonts w:ascii="Abadi" w:hAnsi="Abadi"/>
          <w:sz w:val="21"/>
          <w:szCs w:val="21"/>
        </w:rPr>
        <w:t>a</w:t>
      </w:r>
      <w:r w:rsidRPr="0021199F">
        <w:rPr>
          <w:rFonts w:ascii="Abadi" w:hAnsi="Abadi"/>
          <w:sz w:val="21"/>
          <w:szCs w:val="21"/>
        </w:rPr>
        <w:t xml:space="preserve"> trav</w:t>
      </w:r>
      <w:r>
        <w:rPr>
          <w:rFonts w:ascii="Abadi" w:hAnsi="Abadi"/>
          <w:sz w:val="21"/>
          <w:szCs w:val="21"/>
        </w:rPr>
        <w:t>és</w:t>
      </w:r>
      <w:r w:rsidRPr="0021199F">
        <w:rPr>
          <w:rFonts w:ascii="Abadi" w:hAnsi="Abadi"/>
          <w:sz w:val="21"/>
          <w:szCs w:val="21"/>
        </w:rPr>
        <w:t xml:space="preserve"> de estas políticas públicas que además se centran en el humanismo. Tenemos a la persona como centro </w:t>
      </w:r>
      <w:r>
        <w:rPr>
          <w:rFonts w:ascii="Abadi" w:hAnsi="Abadi"/>
          <w:sz w:val="21"/>
          <w:szCs w:val="21"/>
        </w:rPr>
        <w:t>y fin.</w:t>
      </w:r>
      <w:r w:rsidRPr="0021199F">
        <w:rPr>
          <w:rFonts w:ascii="Abadi" w:hAnsi="Abadi"/>
          <w:sz w:val="21"/>
          <w:szCs w:val="21"/>
        </w:rPr>
        <w:t xml:space="preserve"> </w:t>
      </w:r>
    </w:p>
    <w:p w14:paraId="26903675" w14:textId="77777777" w:rsidR="002B30C6" w:rsidRDefault="002B30C6" w:rsidP="002B30C6">
      <w:pPr>
        <w:pStyle w:val="NormalWeb"/>
        <w:jc w:val="both"/>
        <w:rPr>
          <w:rFonts w:ascii="Abadi" w:hAnsi="Abadi"/>
          <w:sz w:val="21"/>
          <w:szCs w:val="21"/>
        </w:rPr>
      </w:pPr>
      <w:r>
        <w:rPr>
          <w:rFonts w:ascii="Abadi" w:hAnsi="Abadi"/>
          <w:sz w:val="21"/>
          <w:szCs w:val="21"/>
        </w:rPr>
        <w:t>- E</w:t>
      </w:r>
      <w:r w:rsidRPr="0021199F">
        <w:rPr>
          <w:rFonts w:ascii="Abadi" w:hAnsi="Abadi"/>
          <w:sz w:val="21"/>
          <w:szCs w:val="21"/>
        </w:rPr>
        <w:t>n los gobiernos panistas de los últimos treinta años</w:t>
      </w:r>
      <w:r>
        <w:rPr>
          <w:rFonts w:ascii="Abadi" w:hAnsi="Abadi"/>
          <w:sz w:val="21"/>
          <w:szCs w:val="21"/>
        </w:rPr>
        <w:t>, l</w:t>
      </w:r>
      <w:r w:rsidRPr="0021199F">
        <w:rPr>
          <w:rFonts w:ascii="Abadi" w:hAnsi="Abadi"/>
          <w:sz w:val="21"/>
          <w:szCs w:val="21"/>
        </w:rPr>
        <w:t>as personas son el objetivo final de todo lo que se hace</w:t>
      </w:r>
      <w:r>
        <w:rPr>
          <w:rFonts w:ascii="Abadi" w:hAnsi="Abadi"/>
          <w:sz w:val="21"/>
          <w:szCs w:val="21"/>
        </w:rPr>
        <w:t xml:space="preserve"> a</w:t>
      </w:r>
      <w:r w:rsidRPr="0021199F">
        <w:rPr>
          <w:rFonts w:ascii="Abadi" w:hAnsi="Abadi"/>
          <w:sz w:val="21"/>
          <w:szCs w:val="21"/>
        </w:rPr>
        <w:t>quí</w:t>
      </w:r>
      <w:r>
        <w:rPr>
          <w:rFonts w:ascii="Abadi" w:hAnsi="Abadi"/>
          <w:sz w:val="21"/>
          <w:szCs w:val="21"/>
        </w:rPr>
        <w:t>,</w:t>
      </w:r>
      <w:r w:rsidRPr="0021199F">
        <w:rPr>
          <w:rFonts w:ascii="Abadi" w:hAnsi="Abadi"/>
          <w:sz w:val="21"/>
          <w:szCs w:val="21"/>
        </w:rPr>
        <w:t xml:space="preserve"> habrá </w:t>
      </w:r>
      <w:r>
        <w:rPr>
          <w:rFonts w:ascii="Abadi" w:hAnsi="Abadi"/>
          <w:sz w:val="21"/>
          <w:szCs w:val="21"/>
        </w:rPr>
        <w:t>áreas de</w:t>
      </w:r>
      <w:r w:rsidRPr="0021199F">
        <w:rPr>
          <w:rFonts w:ascii="Abadi" w:hAnsi="Abadi"/>
          <w:sz w:val="21"/>
          <w:szCs w:val="21"/>
        </w:rPr>
        <w:t xml:space="preserve"> oportunidad que cómo lo vuelvo a repetir se tienen que replantear y así se hace. Y eso nos permite avanzar. Gracias, Diputado</w:t>
      </w:r>
      <w:r>
        <w:rPr>
          <w:rFonts w:ascii="Abadi" w:hAnsi="Abadi"/>
          <w:sz w:val="21"/>
          <w:szCs w:val="21"/>
        </w:rPr>
        <w:t>.</w:t>
      </w:r>
      <w:r w:rsidRPr="0021199F">
        <w:rPr>
          <w:rFonts w:ascii="Abadi" w:hAnsi="Abadi"/>
          <w:sz w:val="21"/>
          <w:szCs w:val="21"/>
        </w:rPr>
        <w:t xml:space="preserve"> </w:t>
      </w:r>
    </w:p>
    <w:p w14:paraId="0585EB71" w14:textId="52949C0F" w:rsidR="002B30C6" w:rsidRDefault="002B30C6" w:rsidP="002B30C6">
      <w:pPr>
        <w:pStyle w:val="NormalWeb"/>
        <w:jc w:val="both"/>
        <w:rPr>
          <w:rFonts w:ascii="Abadi" w:hAnsi="Abadi"/>
          <w:sz w:val="21"/>
          <w:szCs w:val="21"/>
        </w:rPr>
      </w:pPr>
      <w:r>
        <w:rPr>
          <w:rFonts w:ascii="Abadi" w:hAnsi="Abadi"/>
          <w:sz w:val="21"/>
          <w:szCs w:val="21"/>
        </w:rPr>
        <w:t>(Voz) diputada Presidenta, ¿</w:t>
      </w:r>
      <w:r w:rsidRPr="0021199F">
        <w:rPr>
          <w:rFonts w:ascii="Abadi" w:hAnsi="Abadi"/>
          <w:sz w:val="21"/>
          <w:szCs w:val="21"/>
        </w:rPr>
        <w:t xml:space="preserve">Diputado </w:t>
      </w:r>
      <w:r>
        <w:rPr>
          <w:rFonts w:ascii="Abadi" w:hAnsi="Abadi"/>
          <w:sz w:val="21"/>
          <w:szCs w:val="21"/>
        </w:rPr>
        <w:t>Aldo est</w:t>
      </w:r>
      <w:r w:rsidRPr="0021199F">
        <w:rPr>
          <w:rFonts w:ascii="Abadi" w:hAnsi="Abadi"/>
          <w:sz w:val="21"/>
          <w:szCs w:val="21"/>
        </w:rPr>
        <w:t>a contestad</w:t>
      </w:r>
      <w:r>
        <w:rPr>
          <w:rFonts w:ascii="Abadi" w:hAnsi="Abadi"/>
          <w:sz w:val="21"/>
          <w:szCs w:val="21"/>
        </w:rPr>
        <w:t>a</w:t>
      </w:r>
      <w:r w:rsidRPr="0021199F">
        <w:rPr>
          <w:rFonts w:ascii="Abadi" w:hAnsi="Abadi"/>
          <w:sz w:val="21"/>
          <w:szCs w:val="21"/>
        </w:rPr>
        <w:t xml:space="preserve"> la pregunta</w:t>
      </w:r>
      <w:r>
        <w:rPr>
          <w:rFonts w:ascii="Abadi" w:hAnsi="Abadi"/>
          <w:sz w:val="21"/>
          <w:szCs w:val="21"/>
        </w:rPr>
        <w:t>?</w:t>
      </w:r>
      <w:r w:rsidRPr="0021199F">
        <w:rPr>
          <w:rFonts w:ascii="Abadi" w:hAnsi="Abadi"/>
          <w:sz w:val="21"/>
          <w:szCs w:val="21"/>
        </w:rPr>
        <w:t xml:space="preserve"> Diputado</w:t>
      </w:r>
      <w:r>
        <w:rPr>
          <w:rFonts w:ascii="Abadi" w:hAnsi="Abadi"/>
          <w:sz w:val="21"/>
          <w:szCs w:val="21"/>
        </w:rPr>
        <w:t>,</w:t>
      </w:r>
      <w:r w:rsidRPr="0021199F">
        <w:rPr>
          <w:rFonts w:ascii="Abadi" w:hAnsi="Abadi"/>
          <w:sz w:val="21"/>
          <w:szCs w:val="21"/>
        </w:rPr>
        <w:t xml:space="preserve"> </w:t>
      </w:r>
      <w:r>
        <w:rPr>
          <w:rFonts w:ascii="Abadi" w:hAnsi="Abadi"/>
          <w:sz w:val="21"/>
          <w:szCs w:val="21"/>
        </w:rPr>
        <w:t>b</w:t>
      </w:r>
      <w:r w:rsidRPr="0021199F">
        <w:rPr>
          <w:rFonts w:ascii="Abadi" w:hAnsi="Abadi"/>
          <w:sz w:val="21"/>
          <w:szCs w:val="21"/>
        </w:rPr>
        <w:t>ueno</w:t>
      </w:r>
      <w:r>
        <w:rPr>
          <w:rFonts w:ascii="Abadi" w:hAnsi="Abadi"/>
          <w:sz w:val="21"/>
          <w:szCs w:val="21"/>
        </w:rPr>
        <w:t>, continue</w:t>
      </w:r>
      <w:r w:rsidRPr="0021199F">
        <w:rPr>
          <w:rFonts w:ascii="Abadi" w:hAnsi="Abadi"/>
          <w:sz w:val="21"/>
          <w:szCs w:val="21"/>
        </w:rPr>
        <w:t xml:space="preserve"> diputada Cristina</w:t>
      </w:r>
      <w:r w:rsidR="00C8037D">
        <w:rPr>
          <w:rFonts w:ascii="Abadi" w:hAnsi="Abadi"/>
          <w:sz w:val="21"/>
          <w:szCs w:val="21"/>
        </w:rPr>
        <w:t>,</w:t>
      </w:r>
      <w:r w:rsidRPr="0021199F">
        <w:rPr>
          <w:rFonts w:ascii="Abadi" w:hAnsi="Abadi"/>
          <w:sz w:val="21"/>
          <w:szCs w:val="21"/>
        </w:rPr>
        <w:t xml:space="preserve"> con su </w:t>
      </w:r>
      <w:r>
        <w:rPr>
          <w:rFonts w:ascii="Abadi" w:hAnsi="Abadi"/>
          <w:sz w:val="21"/>
          <w:szCs w:val="21"/>
        </w:rPr>
        <w:t>intervención</w:t>
      </w:r>
      <w:r w:rsidRPr="0021199F">
        <w:rPr>
          <w:rFonts w:ascii="Abadi" w:hAnsi="Abadi"/>
          <w:sz w:val="21"/>
          <w:szCs w:val="21"/>
        </w:rPr>
        <w:t xml:space="preserve">, por favor. </w:t>
      </w:r>
    </w:p>
    <w:p w14:paraId="7DA605B8" w14:textId="221B576A" w:rsidR="002B30C6" w:rsidRDefault="002B30C6" w:rsidP="002B30C6">
      <w:pPr>
        <w:pStyle w:val="NormalWeb"/>
        <w:jc w:val="both"/>
        <w:rPr>
          <w:rFonts w:ascii="Abadi" w:hAnsi="Abadi"/>
          <w:sz w:val="21"/>
          <w:szCs w:val="21"/>
        </w:rPr>
      </w:pPr>
      <w:r>
        <w:rPr>
          <w:rFonts w:ascii="Abadi" w:hAnsi="Abadi"/>
          <w:sz w:val="21"/>
          <w:szCs w:val="21"/>
        </w:rPr>
        <w:t xml:space="preserve">(Voz) diputada Cristina, </w:t>
      </w:r>
      <w:r w:rsidRPr="0021199F">
        <w:rPr>
          <w:rFonts w:ascii="Abadi" w:hAnsi="Abadi"/>
          <w:sz w:val="21"/>
          <w:szCs w:val="21"/>
        </w:rPr>
        <w:t xml:space="preserve">Gracias, </w:t>
      </w:r>
      <w:r>
        <w:rPr>
          <w:rFonts w:ascii="Abadi" w:hAnsi="Abadi"/>
          <w:sz w:val="21"/>
          <w:szCs w:val="21"/>
        </w:rPr>
        <w:t>d</w:t>
      </w:r>
      <w:r w:rsidRPr="0021199F">
        <w:rPr>
          <w:rFonts w:ascii="Abadi" w:hAnsi="Abadi"/>
          <w:sz w:val="21"/>
          <w:szCs w:val="21"/>
        </w:rPr>
        <w:t>iputada</w:t>
      </w:r>
      <w:r>
        <w:rPr>
          <w:rFonts w:ascii="Abadi" w:hAnsi="Abadi"/>
          <w:sz w:val="21"/>
          <w:szCs w:val="21"/>
        </w:rPr>
        <w:t>,</w:t>
      </w:r>
      <w:r w:rsidRPr="0021199F">
        <w:rPr>
          <w:rFonts w:ascii="Abadi" w:hAnsi="Abadi"/>
          <w:sz w:val="21"/>
          <w:szCs w:val="21"/>
        </w:rPr>
        <w:t xml:space="preserve"> </w:t>
      </w:r>
      <w:r>
        <w:rPr>
          <w:rFonts w:ascii="Abadi" w:hAnsi="Abadi"/>
          <w:sz w:val="21"/>
          <w:szCs w:val="21"/>
        </w:rPr>
        <w:t>p</w:t>
      </w:r>
      <w:r w:rsidRPr="0021199F">
        <w:rPr>
          <w:rFonts w:ascii="Abadi" w:hAnsi="Abadi"/>
          <w:sz w:val="21"/>
          <w:szCs w:val="21"/>
        </w:rPr>
        <w:t xml:space="preserve">ues precisamente se trata de continuar avanzando en lo que le hace bien a este </w:t>
      </w:r>
      <w:r w:rsidR="00C8037D">
        <w:rPr>
          <w:rFonts w:ascii="Abadi" w:hAnsi="Abadi"/>
          <w:sz w:val="21"/>
          <w:szCs w:val="21"/>
        </w:rPr>
        <w:t>E</w:t>
      </w:r>
      <w:r w:rsidRPr="0021199F">
        <w:rPr>
          <w:rFonts w:ascii="Abadi" w:hAnsi="Abadi"/>
          <w:sz w:val="21"/>
          <w:szCs w:val="21"/>
        </w:rPr>
        <w:t>stado</w:t>
      </w:r>
      <w:r>
        <w:rPr>
          <w:rFonts w:ascii="Abadi" w:hAnsi="Abadi"/>
          <w:sz w:val="21"/>
          <w:szCs w:val="21"/>
        </w:rPr>
        <w:t>,</w:t>
      </w:r>
      <w:r w:rsidRPr="0021199F">
        <w:rPr>
          <w:rFonts w:ascii="Abadi" w:hAnsi="Abadi"/>
          <w:sz w:val="21"/>
          <w:szCs w:val="21"/>
        </w:rPr>
        <w:t xml:space="preserve"> en seguir perfeccionando, trabajando, mejorando y fortaleciendo las instituciones del Estado. </w:t>
      </w:r>
    </w:p>
    <w:p w14:paraId="65366278" w14:textId="7647F5B3" w:rsidR="002B30C6" w:rsidRDefault="002B30C6" w:rsidP="002B30C6">
      <w:pPr>
        <w:pStyle w:val="NormalWeb"/>
        <w:jc w:val="both"/>
        <w:rPr>
          <w:rFonts w:ascii="Abadi" w:hAnsi="Abadi"/>
          <w:sz w:val="21"/>
          <w:szCs w:val="21"/>
        </w:rPr>
      </w:pPr>
      <w:r>
        <w:rPr>
          <w:rFonts w:ascii="Abadi" w:hAnsi="Abadi"/>
          <w:sz w:val="21"/>
          <w:szCs w:val="21"/>
        </w:rPr>
        <w:t>(Voz) diputada Presidenta, ¿M</w:t>
      </w:r>
      <w:r w:rsidRPr="0021199F">
        <w:rPr>
          <w:rFonts w:ascii="Abadi" w:hAnsi="Abadi"/>
          <w:sz w:val="21"/>
          <w:szCs w:val="21"/>
        </w:rPr>
        <w:t>e permite</w:t>
      </w:r>
      <w:r>
        <w:rPr>
          <w:rFonts w:ascii="Abadi" w:hAnsi="Abadi"/>
          <w:sz w:val="21"/>
          <w:szCs w:val="21"/>
        </w:rPr>
        <w:t xml:space="preserve"> diputada Cristina por favor? (Voz) diputada Cristina, ¡</w:t>
      </w:r>
      <w:proofErr w:type="gramStart"/>
      <w:r>
        <w:rPr>
          <w:rFonts w:ascii="Abadi" w:hAnsi="Abadi"/>
          <w:sz w:val="21"/>
          <w:szCs w:val="21"/>
        </w:rPr>
        <w:t>sí¡ ¡</w:t>
      </w:r>
      <w:proofErr w:type="gramEnd"/>
      <w:r>
        <w:rPr>
          <w:rFonts w:ascii="Abadi" w:hAnsi="Abadi"/>
          <w:sz w:val="21"/>
          <w:szCs w:val="21"/>
        </w:rPr>
        <w:t>claro¡ (Voz) diputada Presidenta, ¿diputado</w:t>
      </w:r>
      <w:r w:rsidRPr="0021199F">
        <w:rPr>
          <w:rFonts w:ascii="Abadi" w:hAnsi="Abadi"/>
          <w:sz w:val="21"/>
          <w:szCs w:val="21"/>
        </w:rPr>
        <w:t xml:space="preserve"> Ernesto</w:t>
      </w:r>
      <w:r>
        <w:rPr>
          <w:rFonts w:ascii="Abadi" w:hAnsi="Abadi"/>
          <w:sz w:val="21"/>
          <w:szCs w:val="21"/>
        </w:rPr>
        <w:t xml:space="preserve"> Millán?</w:t>
      </w:r>
      <w:r w:rsidRPr="0021199F">
        <w:rPr>
          <w:rFonts w:ascii="Abadi" w:hAnsi="Abadi"/>
          <w:sz w:val="21"/>
          <w:szCs w:val="21"/>
        </w:rPr>
        <w:t xml:space="preserve"> </w:t>
      </w:r>
      <w:r>
        <w:rPr>
          <w:rFonts w:ascii="Abadi" w:hAnsi="Abadi"/>
          <w:sz w:val="21"/>
          <w:szCs w:val="21"/>
        </w:rPr>
        <w:t>¿</w:t>
      </w:r>
      <w:r w:rsidRPr="0021199F">
        <w:rPr>
          <w:rFonts w:ascii="Abadi" w:hAnsi="Abadi"/>
          <w:sz w:val="21"/>
          <w:szCs w:val="21"/>
        </w:rPr>
        <w:t xml:space="preserve">para qué efecto? </w:t>
      </w:r>
      <w:r>
        <w:rPr>
          <w:rFonts w:ascii="Abadi" w:hAnsi="Abadi"/>
          <w:sz w:val="21"/>
          <w:szCs w:val="21"/>
        </w:rPr>
        <w:t>(Voz) diputado Ernesto Millán, p</w:t>
      </w:r>
      <w:r w:rsidRPr="0021199F">
        <w:rPr>
          <w:rFonts w:ascii="Abadi" w:hAnsi="Abadi"/>
          <w:sz w:val="21"/>
          <w:szCs w:val="21"/>
        </w:rPr>
        <w:t>ara ver si por su conducto l</w:t>
      </w:r>
      <w:r>
        <w:rPr>
          <w:rFonts w:ascii="Abadi" w:hAnsi="Abadi"/>
          <w:sz w:val="21"/>
          <w:szCs w:val="21"/>
        </w:rPr>
        <w:t>a diputada m</w:t>
      </w:r>
      <w:r w:rsidRPr="0021199F">
        <w:rPr>
          <w:rFonts w:ascii="Abadi" w:hAnsi="Abadi"/>
          <w:sz w:val="21"/>
          <w:szCs w:val="21"/>
        </w:rPr>
        <w:t>e permite una pregunta</w:t>
      </w:r>
      <w:r>
        <w:rPr>
          <w:rFonts w:ascii="Abadi" w:hAnsi="Abadi"/>
          <w:sz w:val="21"/>
          <w:szCs w:val="21"/>
        </w:rPr>
        <w:t>, (Voz) diputada Presidenta,</w:t>
      </w:r>
      <w:r w:rsidRPr="0021199F">
        <w:rPr>
          <w:rFonts w:ascii="Abadi" w:hAnsi="Abadi"/>
          <w:sz w:val="21"/>
          <w:szCs w:val="21"/>
        </w:rPr>
        <w:t xml:space="preserve"> </w:t>
      </w:r>
      <w:r>
        <w:rPr>
          <w:rFonts w:ascii="Abadi" w:hAnsi="Abadi"/>
          <w:sz w:val="21"/>
          <w:szCs w:val="21"/>
        </w:rPr>
        <w:t>m</w:t>
      </w:r>
      <w:r w:rsidRPr="0021199F">
        <w:rPr>
          <w:rFonts w:ascii="Abadi" w:hAnsi="Abadi"/>
          <w:sz w:val="21"/>
          <w:szCs w:val="21"/>
        </w:rPr>
        <w:t>uchas gracias</w:t>
      </w:r>
      <w:r>
        <w:rPr>
          <w:rFonts w:ascii="Abadi" w:hAnsi="Abadi"/>
          <w:sz w:val="21"/>
          <w:szCs w:val="21"/>
        </w:rPr>
        <w:t>, ¿D</w:t>
      </w:r>
      <w:r w:rsidRPr="0021199F">
        <w:rPr>
          <w:rFonts w:ascii="Abadi" w:hAnsi="Abadi"/>
          <w:sz w:val="21"/>
          <w:szCs w:val="21"/>
        </w:rPr>
        <w:t>iputada Cristina</w:t>
      </w:r>
      <w:r>
        <w:rPr>
          <w:rFonts w:ascii="Abadi" w:hAnsi="Abadi"/>
          <w:sz w:val="21"/>
          <w:szCs w:val="21"/>
        </w:rPr>
        <w:t xml:space="preserve">, </w:t>
      </w:r>
      <w:r w:rsidRPr="0021199F">
        <w:rPr>
          <w:rFonts w:ascii="Abadi" w:hAnsi="Abadi"/>
          <w:sz w:val="21"/>
          <w:szCs w:val="21"/>
        </w:rPr>
        <w:t xml:space="preserve">le permite una pregunta </w:t>
      </w:r>
      <w:r>
        <w:rPr>
          <w:rFonts w:ascii="Abadi" w:hAnsi="Abadi"/>
          <w:sz w:val="21"/>
          <w:szCs w:val="21"/>
        </w:rPr>
        <w:t>al diputado</w:t>
      </w:r>
      <w:r w:rsidRPr="0021199F">
        <w:rPr>
          <w:rFonts w:ascii="Abadi" w:hAnsi="Abadi"/>
          <w:sz w:val="21"/>
          <w:szCs w:val="21"/>
        </w:rPr>
        <w:t xml:space="preserve"> Millán</w:t>
      </w:r>
      <w:r>
        <w:rPr>
          <w:rFonts w:ascii="Abadi" w:hAnsi="Abadi"/>
          <w:sz w:val="21"/>
          <w:szCs w:val="21"/>
        </w:rPr>
        <w:t>?</w:t>
      </w:r>
      <w:r w:rsidRPr="0021199F">
        <w:rPr>
          <w:rFonts w:ascii="Abadi" w:hAnsi="Abadi"/>
          <w:sz w:val="21"/>
          <w:szCs w:val="21"/>
        </w:rPr>
        <w:t xml:space="preserve"> </w:t>
      </w:r>
      <w:r>
        <w:rPr>
          <w:rFonts w:ascii="Abadi" w:hAnsi="Abadi"/>
          <w:sz w:val="21"/>
          <w:szCs w:val="21"/>
        </w:rPr>
        <w:t>(Voz) diputada Cristina, c</w:t>
      </w:r>
      <w:r w:rsidRPr="0021199F">
        <w:rPr>
          <w:rFonts w:ascii="Abadi" w:hAnsi="Abadi"/>
          <w:sz w:val="21"/>
          <w:szCs w:val="21"/>
        </w:rPr>
        <w:t xml:space="preserve">on mucho gusto </w:t>
      </w:r>
      <w:r>
        <w:rPr>
          <w:rFonts w:ascii="Abadi" w:hAnsi="Abadi"/>
          <w:sz w:val="21"/>
          <w:szCs w:val="21"/>
        </w:rPr>
        <w:t>d</w:t>
      </w:r>
      <w:r w:rsidRPr="0021199F">
        <w:rPr>
          <w:rFonts w:ascii="Abadi" w:hAnsi="Abadi"/>
          <w:sz w:val="21"/>
          <w:szCs w:val="21"/>
        </w:rPr>
        <w:t>iputada President</w:t>
      </w:r>
      <w:r>
        <w:rPr>
          <w:rFonts w:ascii="Abadi" w:hAnsi="Abadi"/>
          <w:sz w:val="21"/>
          <w:szCs w:val="21"/>
        </w:rPr>
        <w:t>a.</w:t>
      </w:r>
      <w:r w:rsidRPr="0021199F">
        <w:rPr>
          <w:rFonts w:ascii="Abadi" w:hAnsi="Abadi"/>
          <w:sz w:val="21"/>
          <w:szCs w:val="21"/>
        </w:rPr>
        <w:t xml:space="preserve"> </w:t>
      </w:r>
      <w:r>
        <w:rPr>
          <w:rFonts w:ascii="Abadi" w:hAnsi="Abadi"/>
          <w:sz w:val="21"/>
          <w:szCs w:val="21"/>
        </w:rPr>
        <w:t xml:space="preserve">(Voz) diputada Presidenta, </w:t>
      </w:r>
      <w:r w:rsidRPr="0021199F">
        <w:rPr>
          <w:rFonts w:ascii="Abadi" w:hAnsi="Abadi"/>
          <w:sz w:val="21"/>
          <w:szCs w:val="21"/>
        </w:rPr>
        <w:t xml:space="preserve">si </w:t>
      </w:r>
      <w:r>
        <w:rPr>
          <w:rFonts w:ascii="Abadi" w:hAnsi="Abadi"/>
          <w:sz w:val="21"/>
          <w:szCs w:val="21"/>
        </w:rPr>
        <w:t>l</w:t>
      </w:r>
      <w:r w:rsidRPr="0021199F">
        <w:rPr>
          <w:rFonts w:ascii="Abadi" w:hAnsi="Abadi"/>
          <w:sz w:val="21"/>
          <w:szCs w:val="21"/>
        </w:rPr>
        <w:t xml:space="preserve">e permite la pregunta, </w:t>
      </w:r>
      <w:r>
        <w:rPr>
          <w:rFonts w:ascii="Abadi" w:hAnsi="Abadi"/>
          <w:sz w:val="21"/>
          <w:szCs w:val="21"/>
        </w:rPr>
        <w:t>d</w:t>
      </w:r>
      <w:r w:rsidRPr="0021199F">
        <w:rPr>
          <w:rFonts w:ascii="Abadi" w:hAnsi="Abadi"/>
          <w:sz w:val="21"/>
          <w:szCs w:val="21"/>
        </w:rPr>
        <w:t>iputado</w:t>
      </w:r>
      <w:r>
        <w:rPr>
          <w:rFonts w:ascii="Abadi" w:hAnsi="Abadi"/>
          <w:sz w:val="21"/>
          <w:szCs w:val="21"/>
        </w:rPr>
        <w:t xml:space="preserve"> Millán,</w:t>
      </w:r>
      <w:r w:rsidRPr="0021199F">
        <w:rPr>
          <w:rFonts w:ascii="Abadi" w:hAnsi="Abadi"/>
          <w:sz w:val="21"/>
          <w:szCs w:val="21"/>
        </w:rPr>
        <w:t xml:space="preserve"> </w:t>
      </w:r>
      <w:r>
        <w:rPr>
          <w:rFonts w:ascii="Abadi" w:hAnsi="Abadi"/>
          <w:sz w:val="21"/>
          <w:szCs w:val="21"/>
        </w:rPr>
        <w:t xml:space="preserve">(Voz) diputado Ernesto Millán, </w:t>
      </w:r>
      <w:r w:rsidRPr="0021199F">
        <w:rPr>
          <w:rFonts w:ascii="Abadi" w:hAnsi="Abadi"/>
          <w:sz w:val="21"/>
          <w:szCs w:val="21"/>
        </w:rPr>
        <w:t xml:space="preserve">gracias, </w:t>
      </w:r>
      <w:r>
        <w:rPr>
          <w:rFonts w:ascii="Abadi" w:hAnsi="Abadi"/>
          <w:sz w:val="21"/>
          <w:szCs w:val="21"/>
        </w:rPr>
        <w:t>d</w:t>
      </w:r>
      <w:r w:rsidRPr="0021199F">
        <w:rPr>
          <w:rFonts w:ascii="Abadi" w:hAnsi="Abadi"/>
          <w:sz w:val="21"/>
          <w:szCs w:val="21"/>
        </w:rPr>
        <w:t>iputada</w:t>
      </w:r>
      <w:r>
        <w:rPr>
          <w:rFonts w:ascii="Abadi" w:hAnsi="Abadi"/>
          <w:sz w:val="21"/>
          <w:szCs w:val="21"/>
        </w:rPr>
        <w:t>, l</w:t>
      </w:r>
      <w:r w:rsidRPr="0021199F">
        <w:rPr>
          <w:rFonts w:ascii="Abadi" w:hAnsi="Abadi"/>
          <w:sz w:val="21"/>
          <w:szCs w:val="21"/>
        </w:rPr>
        <w:t xml:space="preserve">e saludó con mucho </w:t>
      </w:r>
      <w:r>
        <w:rPr>
          <w:rFonts w:ascii="Abadi" w:hAnsi="Abadi"/>
          <w:sz w:val="21"/>
          <w:szCs w:val="21"/>
        </w:rPr>
        <w:t>a</w:t>
      </w:r>
      <w:r w:rsidRPr="0021199F">
        <w:rPr>
          <w:rFonts w:ascii="Abadi" w:hAnsi="Abadi"/>
          <w:sz w:val="21"/>
          <w:szCs w:val="21"/>
        </w:rPr>
        <w:t xml:space="preserve">precio. </w:t>
      </w:r>
      <w:r>
        <w:rPr>
          <w:rFonts w:ascii="Abadi" w:hAnsi="Abadi"/>
          <w:sz w:val="21"/>
          <w:szCs w:val="21"/>
        </w:rPr>
        <w:t>¿</w:t>
      </w:r>
      <w:r w:rsidRPr="0021199F">
        <w:rPr>
          <w:rFonts w:ascii="Abadi" w:hAnsi="Abadi"/>
          <w:sz w:val="21"/>
          <w:szCs w:val="21"/>
        </w:rPr>
        <w:t>Qué opina usted</w:t>
      </w:r>
      <w:r>
        <w:rPr>
          <w:rFonts w:ascii="Abadi" w:hAnsi="Abadi"/>
          <w:sz w:val="21"/>
          <w:szCs w:val="21"/>
        </w:rPr>
        <w:t>? q</w:t>
      </w:r>
      <w:r w:rsidRPr="0021199F">
        <w:rPr>
          <w:rFonts w:ascii="Abadi" w:hAnsi="Abadi"/>
          <w:sz w:val="21"/>
          <w:szCs w:val="21"/>
        </w:rPr>
        <w:t xml:space="preserve">ue hace apenas algunos meses, y hablando en relación a lo que </w:t>
      </w:r>
      <w:r>
        <w:rPr>
          <w:rFonts w:ascii="Abadi" w:hAnsi="Abadi"/>
          <w:sz w:val="21"/>
          <w:szCs w:val="21"/>
        </w:rPr>
        <w:t>usted</w:t>
      </w:r>
      <w:r w:rsidRPr="0021199F">
        <w:rPr>
          <w:rFonts w:ascii="Abadi" w:hAnsi="Abadi"/>
          <w:sz w:val="21"/>
          <w:szCs w:val="21"/>
        </w:rPr>
        <w:t xml:space="preserve"> comenta, de no retirar instituciones</w:t>
      </w:r>
      <w:r>
        <w:rPr>
          <w:rFonts w:ascii="Abadi" w:hAnsi="Abadi"/>
          <w:sz w:val="21"/>
          <w:szCs w:val="21"/>
        </w:rPr>
        <w:t>,</w:t>
      </w:r>
      <w:r w:rsidRPr="0021199F">
        <w:rPr>
          <w:rFonts w:ascii="Abadi" w:hAnsi="Abadi"/>
          <w:sz w:val="21"/>
          <w:szCs w:val="21"/>
        </w:rPr>
        <w:t xml:space="preserve"> </w:t>
      </w:r>
      <w:r>
        <w:rPr>
          <w:rFonts w:ascii="Abadi" w:hAnsi="Abadi"/>
          <w:sz w:val="21"/>
          <w:szCs w:val="21"/>
        </w:rPr>
        <w:t>¿</w:t>
      </w:r>
      <w:r w:rsidRPr="0021199F">
        <w:rPr>
          <w:rFonts w:ascii="Abadi" w:hAnsi="Abadi"/>
          <w:sz w:val="21"/>
          <w:szCs w:val="21"/>
        </w:rPr>
        <w:t xml:space="preserve">qué cree? </w:t>
      </w:r>
      <w:r>
        <w:rPr>
          <w:rFonts w:ascii="Abadi" w:hAnsi="Abadi"/>
          <w:sz w:val="21"/>
          <w:szCs w:val="21"/>
        </w:rPr>
        <w:t>¿</w:t>
      </w:r>
      <w:r w:rsidRPr="0021199F">
        <w:rPr>
          <w:rFonts w:ascii="Abadi" w:hAnsi="Abadi"/>
          <w:sz w:val="21"/>
          <w:szCs w:val="21"/>
        </w:rPr>
        <w:t xml:space="preserve">Qué opinión le merece que el gobernador haya propuesto los municipios </w:t>
      </w:r>
      <w:r>
        <w:rPr>
          <w:rFonts w:ascii="Abadi" w:hAnsi="Abadi"/>
          <w:sz w:val="21"/>
          <w:szCs w:val="21"/>
        </w:rPr>
        <w:t>e</w:t>
      </w:r>
      <w:r w:rsidRPr="0021199F">
        <w:rPr>
          <w:rFonts w:ascii="Abadi" w:hAnsi="Abadi"/>
          <w:sz w:val="21"/>
          <w:szCs w:val="21"/>
        </w:rPr>
        <w:t>liminar la</w:t>
      </w:r>
      <w:r>
        <w:rPr>
          <w:rFonts w:ascii="Abadi" w:hAnsi="Abadi"/>
          <w:sz w:val="21"/>
          <w:szCs w:val="21"/>
        </w:rPr>
        <w:t>s</w:t>
      </w:r>
      <w:r w:rsidRPr="0021199F">
        <w:rPr>
          <w:rFonts w:ascii="Abadi" w:hAnsi="Abadi"/>
          <w:sz w:val="21"/>
          <w:szCs w:val="21"/>
        </w:rPr>
        <w:t xml:space="preserve"> direcci</w:t>
      </w:r>
      <w:r>
        <w:rPr>
          <w:rFonts w:ascii="Abadi" w:hAnsi="Abadi"/>
          <w:sz w:val="21"/>
          <w:szCs w:val="21"/>
        </w:rPr>
        <w:t>ones</w:t>
      </w:r>
      <w:r w:rsidRPr="0021199F">
        <w:rPr>
          <w:rFonts w:ascii="Abadi" w:hAnsi="Abadi"/>
          <w:sz w:val="21"/>
          <w:szCs w:val="21"/>
        </w:rPr>
        <w:t xml:space="preserve"> de educación</w:t>
      </w:r>
      <w:r>
        <w:rPr>
          <w:rFonts w:ascii="Abadi" w:hAnsi="Abadi"/>
          <w:sz w:val="21"/>
          <w:szCs w:val="21"/>
        </w:rPr>
        <w:t xml:space="preserve"> y s</w:t>
      </w:r>
      <w:r w:rsidRPr="0021199F">
        <w:rPr>
          <w:rFonts w:ascii="Abadi" w:hAnsi="Abadi"/>
          <w:sz w:val="21"/>
          <w:szCs w:val="21"/>
        </w:rPr>
        <w:t>alud</w:t>
      </w:r>
      <w:r>
        <w:rPr>
          <w:rFonts w:ascii="Abadi" w:hAnsi="Abadi"/>
          <w:sz w:val="21"/>
          <w:szCs w:val="21"/>
        </w:rPr>
        <w:t>?</w:t>
      </w:r>
      <w:r w:rsidRPr="0021199F">
        <w:rPr>
          <w:rFonts w:ascii="Abadi" w:hAnsi="Abadi"/>
          <w:sz w:val="21"/>
          <w:szCs w:val="21"/>
        </w:rPr>
        <w:t xml:space="preserve"> Gracias. </w:t>
      </w:r>
      <w:r>
        <w:rPr>
          <w:rFonts w:ascii="Abadi" w:hAnsi="Abadi"/>
          <w:sz w:val="21"/>
          <w:szCs w:val="21"/>
        </w:rPr>
        <w:t>(Voz) diputada Presidenta, ¿l</w:t>
      </w:r>
      <w:r w:rsidRPr="0021199F">
        <w:rPr>
          <w:rFonts w:ascii="Abadi" w:hAnsi="Abadi"/>
          <w:sz w:val="21"/>
          <w:szCs w:val="21"/>
        </w:rPr>
        <w:t>e puede contestar? Diputada Cristina</w:t>
      </w:r>
      <w:r>
        <w:rPr>
          <w:rFonts w:ascii="Abadi" w:hAnsi="Abadi"/>
          <w:sz w:val="21"/>
          <w:szCs w:val="21"/>
        </w:rPr>
        <w:t xml:space="preserve">, (Voz) diputada Cristina, </w:t>
      </w:r>
      <w:r w:rsidRPr="0021199F">
        <w:rPr>
          <w:rFonts w:ascii="Abadi" w:hAnsi="Abadi"/>
          <w:sz w:val="21"/>
          <w:szCs w:val="21"/>
        </w:rPr>
        <w:t>no, diputada</w:t>
      </w:r>
      <w:r>
        <w:rPr>
          <w:rFonts w:ascii="Abadi" w:hAnsi="Abadi"/>
          <w:sz w:val="21"/>
          <w:szCs w:val="21"/>
        </w:rPr>
        <w:t>, n</w:t>
      </w:r>
      <w:r w:rsidRPr="0021199F">
        <w:rPr>
          <w:rFonts w:ascii="Abadi" w:hAnsi="Abadi"/>
          <w:sz w:val="21"/>
          <w:szCs w:val="21"/>
        </w:rPr>
        <w:t>o es de mi interés contestar eso</w:t>
      </w:r>
      <w:r>
        <w:rPr>
          <w:rFonts w:ascii="Abadi" w:hAnsi="Abadi"/>
          <w:sz w:val="21"/>
          <w:szCs w:val="21"/>
        </w:rPr>
        <w:t>, no se refiere a lo que yo quiero hablar, gracias, continuo, (Voz) diputada Presidenta</w:t>
      </w:r>
      <w:r w:rsidRPr="0021199F">
        <w:rPr>
          <w:rFonts w:ascii="Abadi" w:hAnsi="Abadi"/>
          <w:sz w:val="21"/>
          <w:szCs w:val="21"/>
        </w:rPr>
        <w:t>, continue, por favor</w:t>
      </w:r>
      <w:r>
        <w:rPr>
          <w:rFonts w:ascii="Abadi" w:hAnsi="Abadi"/>
          <w:sz w:val="21"/>
          <w:szCs w:val="21"/>
        </w:rPr>
        <w:t>, ¡b</w:t>
      </w:r>
      <w:r w:rsidRPr="0021199F">
        <w:rPr>
          <w:rFonts w:ascii="Abadi" w:hAnsi="Abadi"/>
          <w:sz w:val="21"/>
          <w:szCs w:val="21"/>
        </w:rPr>
        <w:t>ueno</w:t>
      </w:r>
      <w:r>
        <w:rPr>
          <w:rFonts w:ascii="Abadi" w:hAnsi="Abadi"/>
          <w:sz w:val="21"/>
          <w:szCs w:val="21"/>
        </w:rPr>
        <w:t>¡</w:t>
      </w:r>
      <w:r w:rsidRPr="0021199F">
        <w:rPr>
          <w:rFonts w:ascii="Abadi" w:hAnsi="Abadi"/>
          <w:sz w:val="21"/>
          <w:szCs w:val="21"/>
        </w:rPr>
        <w:t xml:space="preserve"> pues para terminar con esta, con esta disertación y esta breve rectificación</w:t>
      </w:r>
      <w:r>
        <w:rPr>
          <w:rFonts w:ascii="Abadi" w:hAnsi="Abadi"/>
          <w:sz w:val="21"/>
          <w:szCs w:val="21"/>
        </w:rPr>
        <w:t>, s</w:t>
      </w:r>
      <w:r w:rsidRPr="0021199F">
        <w:rPr>
          <w:rFonts w:ascii="Abadi" w:hAnsi="Abadi"/>
          <w:sz w:val="21"/>
          <w:szCs w:val="21"/>
        </w:rPr>
        <w:t>eñalar algo muy importante la grandeza de México no son las cifras que aquí se pued</w:t>
      </w:r>
      <w:r>
        <w:rPr>
          <w:rFonts w:ascii="Abadi" w:hAnsi="Abadi"/>
          <w:sz w:val="21"/>
          <w:szCs w:val="21"/>
        </w:rPr>
        <w:t>a</w:t>
      </w:r>
      <w:r w:rsidRPr="0021199F">
        <w:rPr>
          <w:rFonts w:ascii="Abadi" w:hAnsi="Abadi"/>
          <w:sz w:val="21"/>
          <w:szCs w:val="21"/>
        </w:rPr>
        <w:t>n decir</w:t>
      </w:r>
      <w:r>
        <w:rPr>
          <w:rFonts w:ascii="Abadi" w:hAnsi="Abadi"/>
          <w:sz w:val="21"/>
          <w:szCs w:val="21"/>
        </w:rPr>
        <w:t>, l</w:t>
      </w:r>
      <w:r w:rsidRPr="0021199F">
        <w:rPr>
          <w:rFonts w:ascii="Abadi" w:hAnsi="Abadi"/>
          <w:sz w:val="21"/>
          <w:szCs w:val="21"/>
        </w:rPr>
        <w:t>a grandeza de México está en su gente, están las personas, están cada familia que aquí ahorita y por ellos y por ellas es porque nos vamos a seguir trabajando. Las diputadas y los diputados del P</w:t>
      </w:r>
      <w:r>
        <w:rPr>
          <w:rFonts w:ascii="Abadi" w:hAnsi="Abadi"/>
          <w:sz w:val="21"/>
          <w:szCs w:val="21"/>
        </w:rPr>
        <w:t>AN</w:t>
      </w:r>
      <w:r w:rsidRPr="0021199F">
        <w:rPr>
          <w:rFonts w:ascii="Abadi" w:hAnsi="Abadi"/>
          <w:sz w:val="21"/>
          <w:szCs w:val="21"/>
        </w:rPr>
        <w:t xml:space="preserve">. </w:t>
      </w:r>
    </w:p>
    <w:p w14:paraId="726C94E5" w14:textId="77777777" w:rsidR="002B30C6" w:rsidRDefault="002B30C6" w:rsidP="002B30C6">
      <w:pPr>
        <w:pStyle w:val="NormalWeb"/>
        <w:jc w:val="both"/>
        <w:rPr>
          <w:rFonts w:ascii="Abadi" w:hAnsi="Abadi"/>
          <w:sz w:val="21"/>
          <w:szCs w:val="21"/>
        </w:rPr>
      </w:pPr>
      <w:r>
        <w:rPr>
          <w:rFonts w:ascii="Abadi" w:hAnsi="Abadi"/>
          <w:sz w:val="21"/>
          <w:szCs w:val="21"/>
        </w:rPr>
        <w:t xml:space="preserve">(Voz) diputada Presidenta, </w:t>
      </w:r>
      <w:r w:rsidRPr="0021199F">
        <w:rPr>
          <w:rFonts w:ascii="Abadi" w:hAnsi="Abadi"/>
          <w:sz w:val="21"/>
          <w:szCs w:val="21"/>
        </w:rPr>
        <w:t>Diputado Davi</w:t>
      </w:r>
      <w:r>
        <w:rPr>
          <w:rFonts w:ascii="Abadi" w:hAnsi="Abadi"/>
          <w:sz w:val="21"/>
          <w:szCs w:val="21"/>
        </w:rPr>
        <w:t>d Martinez</w:t>
      </w:r>
      <w:r w:rsidRPr="0021199F">
        <w:rPr>
          <w:rFonts w:ascii="Abadi" w:hAnsi="Abadi"/>
          <w:sz w:val="21"/>
          <w:szCs w:val="21"/>
        </w:rPr>
        <w:t xml:space="preserve"> </w:t>
      </w:r>
      <w:r>
        <w:rPr>
          <w:rFonts w:ascii="Abadi" w:hAnsi="Abadi"/>
          <w:sz w:val="21"/>
          <w:szCs w:val="21"/>
        </w:rPr>
        <w:t>¿</w:t>
      </w:r>
      <w:r w:rsidRPr="0021199F">
        <w:rPr>
          <w:rFonts w:ascii="Abadi" w:hAnsi="Abadi"/>
          <w:sz w:val="21"/>
          <w:szCs w:val="21"/>
        </w:rPr>
        <w:t xml:space="preserve">Para qué efecto? </w:t>
      </w:r>
      <w:r>
        <w:rPr>
          <w:rFonts w:ascii="Abadi" w:hAnsi="Abadi"/>
          <w:sz w:val="21"/>
          <w:szCs w:val="21"/>
        </w:rPr>
        <w:t>(Voz) diputado David, r</w:t>
      </w:r>
      <w:r w:rsidRPr="0021199F">
        <w:rPr>
          <w:rFonts w:ascii="Abadi" w:hAnsi="Abadi"/>
          <w:sz w:val="21"/>
          <w:szCs w:val="21"/>
        </w:rPr>
        <w:t xml:space="preserve">ectificación de </w:t>
      </w:r>
      <w:r>
        <w:rPr>
          <w:rFonts w:ascii="Abadi" w:hAnsi="Abadi"/>
          <w:sz w:val="21"/>
          <w:szCs w:val="21"/>
        </w:rPr>
        <w:t>he</w:t>
      </w:r>
      <w:r w:rsidRPr="0021199F">
        <w:rPr>
          <w:rFonts w:ascii="Abadi" w:hAnsi="Abadi"/>
          <w:sz w:val="21"/>
          <w:szCs w:val="21"/>
        </w:rPr>
        <w:t>cho</w:t>
      </w:r>
      <w:r>
        <w:rPr>
          <w:rFonts w:ascii="Abadi" w:hAnsi="Abadi"/>
          <w:sz w:val="21"/>
          <w:szCs w:val="21"/>
        </w:rPr>
        <w:t xml:space="preserve">s, (Voz) diputada Presidenta, ¿Qué hechos? (Voz) diputado David, </w:t>
      </w:r>
      <w:r w:rsidRPr="0021199F">
        <w:rPr>
          <w:rFonts w:ascii="Abadi" w:hAnsi="Abadi"/>
          <w:sz w:val="21"/>
          <w:szCs w:val="21"/>
        </w:rPr>
        <w:t>Política social</w:t>
      </w:r>
      <w:r>
        <w:rPr>
          <w:rFonts w:ascii="Abadi" w:hAnsi="Abadi"/>
          <w:sz w:val="21"/>
          <w:szCs w:val="21"/>
        </w:rPr>
        <w:t>, (Voz) diputada Presidenta.</w:t>
      </w:r>
    </w:p>
    <w:p w14:paraId="4A990655" w14:textId="57B8218B" w:rsidR="002B30C6" w:rsidRDefault="00593393" w:rsidP="00593393">
      <w:pPr>
        <w:pStyle w:val="NormalWeb"/>
        <w:ind w:firstLine="708"/>
        <w:jc w:val="both"/>
        <w:rPr>
          <w:rFonts w:ascii="Abadi" w:hAnsi="Abadi"/>
          <w:sz w:val="21"/>
          <w:szCs w:val="21"/>
        </w:rPr>
      </w:pPr>
      <w:r>
        <w:rPr>
          <w:rFonts w:ascii="Abadi" w:hAnsi="Abadi"/>
          <w:sz w:val="21"/>
          <w:szCs w:val="21"/>
        </w:rPr>
        <w:t xml:space="preserve">- </w:t>
      </w:r>
      <w:r w:rsidR="002B30C6">
        <w:rPr>
          <w:rFonts w:ascii="Abadi" w:hAnsi="Abadi"/>
          <w:sz w:val="21"/>
          <w:szCs w:val="21"/>
        </w:rPr>
        <w:t>A</w:t>
      </w:r>
      <w:r w:rsidR="002B30C6" w:rsidRPr="0021199F">
        <w:rPr>
          <w:rFonts w:ascii="Abadi" w:hAnsi="Abadi"/>
          <w:sz w:val="21"/>
          <w:szCs w:val="21"/>
        </w:rPr>
        <w:t xml:space="preserve">delante, </w:t>
      </w:r>
      <w:r w:rsidR="002B30C6">
        <w:rPr>
          <w:rFonts w:ascii="Abadi" w:hAnsi="Abadi"/>
          <w:sz w:val="21"/>
          <w:szCs w:val="21"/>
        </w:rPr>
        <w:t>d</w:t>
      </w:r>
      <w:r w:rsidR="002B30C6" w:rsidRPr="0021199F">
        <w:rPr>
          <w:rFonts w:ascii="Abadi" w:hAnsi="Abadi"/>
          <w:sz w:val="21"/>
          <w:szCs w:val="21"/>
        </w:rPr>
        <w:t>iputado</w:t>
      </w:r>
      <w:r w:rsidR="002B30C6">
        <w:rPr>
          <w:rFonts w:ascii="Abadi" w:hAnsi="Abadi"/>
          <w:sz w:val="21"/>
          <w:szCs w:val="21"/>
        </w:rPr>
        <w:t>, t</w:t>
      </w:r>
      <w:r w:rsidR="002B30C6" w:rsidRPr="0021199F">
        <w:rPr>
          <w:rFonts w:ascii="Abadi" w:hAnsi="Abadi"/>
          <w:sz w:val="21"/>
          <w:szCs w:val="21"/>
        </w:rPr>
        <w:t xml:space="preserve">iene la voz hasta por </w:t>
      </w:r>
      <w:r w:rsidR="00733A90">
        <w:rPr>
          <w:rFonts w:ascii="Abadi" w:hAnsi="Abadi"/>
          <w:sz w:val="21"/>
          <w:szCs w:val="21"/>
        </w:rPr>
        <w:t xml:space="preserve">5 </w:t>
      </w:r>
      <w:r w:rsidR="002B30C6" w:rsidRPr="0021199F">
        <w:rPr>
          <w:rFonts w:ascii="Abadi" w:hAnsi="Abadi"/>
          <w:sz w:val="21"/>
          <w:szCs w:val="21"/>
        </w:rPr>
        <w:t>minutos</w:t>
      </w:r>
      <w:r w:rsidR="002B30C6">
        <w:rPr>
          <w:rFonts w:ascii="Abadi" w:hAnsi="Abadi"/>
          <w:sz w:val="21"/>
          <w:szCs w:val="21"/>
        </w:rPr>
        <w:t>.</w:t>
      </w:r>
      <w:r w:rsidR="002B30C6" w:rsidRPr="0021199F">
        <w:rPr>
          <w:rFonts w:ascii="Abadi" w:hAnsi="Abadi"/>
          <w:sz w:val="21"/>
          <w:szCs w:val="21"/>
        </w:rPr>
        <w:t xml:space="preserve"> </w:t>
      </w:r>
    </w:p>
    <w:p w14:paraId="6B94CF81" w14:textId="17A6CCF9" w:rsidR="002B30C6" w:rsidRDefault="00593393" w:rsidP="00593393">
      <w:pPr>
        <w:pStyle w:val="NormalWeb"/>
        <w:ind w:firstLine="708"/>
        <w:jc w:val="both"/>
        <w:rPr>
          <w:rFonts w:ascii="Abadi" w:hAnsi="Abadi"/>
          <w:sz w:val="21"/>
          <w:szCs w:val="21"/>
        </w:rPr>
      </w:pPr>
      <w:r>
        <w:rPr>
          <w:rFonts w:ascii="Abadi" w:hAnsi="Abadi"/>
          <w:sz w:val="21"/>
          <w:szCs w:val="21"/>
        </w:rPr>
        <w:t xml:space="preserve">- </w:t>
      </w:r>
      <w:r w:rsidR="002B30C6">
        <w:rPr>
          <w:rFonts w:ascii="Abadi" w:hAnsi="Abadi"/>
          <w:sz w:val="21"/>
          <w:szCs w:val="21"/>
        </w:rPr>
        <w:t>P</w:t>
      </w:r>
      <w:r w:rsidR="002B30C6" w:rsidRPr="0021199F">
        <w:rPr>
          <w:rFonts w:ascii="Abadi" w:hAnsi="Abadi"/>
          <w:sz w:val="21"/>
          <w:szCs w:val="21"/>
        </w:rPr>
        <w:t>or favor</w:t>
      </w:r>
      <w:r w:rsidR="002B30C6">
        <w:rPr>
          <w:rFonts w:ascii="Abadi" w:hAnsi="Abadi"/>
          <w:sz w:val="21"/>
          <w:szCs w:val="21"/>
        </w:rPr>
        <w:t xml:space="preserve"> ¿</w:t>
      </w:r>
      <w:r w:rsidR="002B30C6" w:rsidRPr="0021199F">
        <w:rPr>
          <w:rFonts w:ascii="Abadi" w:hAnsi="Abadi"/>
          <w:sz w:val="21"/>
          <w:szCs w:val="21"/>
        </w:rPr>
        <w:t>Pueden guardar orden?</w:t>
      </w:r>
      <w:r w:rsidR="002B30C6">
        <w:rPr>
          <w:rFonts w:ascii="Abadi" w:hAnsi="Abadi"/>
          <w:sz w:val="21"/>
          <w:szCs w:val="21"/>
        </w:rPr>
        <w:t>, e</w:t>
      </w:r>
      <w:r w:rsidR="002B30C6" w:rsidRPr="0021199F">
        <w:rPr>
          <w:rFonts w:ascii="Abadi" w:hAnsi="Abadi"/>
          <w:sz w:val="21"/>
          <w:szCs w:val="21"/>
        </w:rPr>
        <w:t>s una moción de orden, por favor</w:t>
      </w:r>
      <w:r w:rsidR="002B30C6">
        <w:rPr>
          <w:rFonts w:ascii="Abadi" w:hAnsi="Abadi"/>
          <w:sz w:val="21"/>
          <w:szCs w:val="21"/>
        </w:rPr>
        <w:t>, v</w:t>
      </w:r>
      <w:r w:rsidR="002B30C6" w:rsidRPr="0021199F">
        <w:rPr>
          <w:rFonts w:ascii="Abadi" w:hAnsi="Abadi"/>
          <w:sz w:val="21"/>
          <w:szCs w:val="21"/>
        </w:rPr>
        <w:t>amos a continuar escuchando los oradores</w:t>
      </w:r>
      <w:r w:rsidR="002B30C6">
        <w:rPr>
          <w:rFonts w:ascii="Abadi" w:hAnsi="Abadi"/>
          <w:sz w:val="21"/>
          <w:szCs w:val="21"/>
        </w:rPr>
        <w:t>.</w:t>
      </w:r>
      <w:r w:rsidR="002B30C6" w:rsidRPr="0021199F">
        <w:rPr>
          <w:rFonts w:ascii="Abadi" w:hAnsi="Abadi"/>
          <w:sz w:val="21"/>
          <w:szCs w:val="21"/>
        </w:rPr>
        <w:t xml:space="preserve"> </w:t>
      </w:r>
    </w:p>
    <w:p w14:paraId="46E985E5" w14:textId="41A9C2D9" w:rsidR="002B30C6" w:rsidRDefault="00C75EBC" w:rsidP="002B30C6">
      <w:pPr>
        <w:pStyle w:val="NormalWeb"/>
        <w:jc w:val="both"/>
        <w:rPr>
          <w:rFonts w:ascii="Abadi" w:hAnsi="Abadi"/>
          <w:b/>
          <w:bCs/>
          <w:sz w:val="21"/>
          <w:szCs w:val="21"/>
        </w:rPr>
      </w:pPr>
      <w:r>
        <w:rPr>
          <w:noProof/>
        </w:rPr>
        <w:drawing>
          <wp:anchor distT="0" distB="0" distL="114300" distR="114300" simplePos="0" relativeHeight="251658262" behindDoc="1" locked="0" layoutInCell="1" allowOverlap="1" wp14:anchorId="3D444A2E" wp14:editId="0D91092F">
            <wp:simplePos x="0" y="0"/>
            <wp:positionH relativeFrom="column">
              <wp:posOffset>195580</wp:posOffset>
            </wp:positionH>
            <wp:positionV relativeFrom="paragraph">
              <wp:posOffset>739391</wp:posOffset>
            </wp:positionV>
            <wp:extent cx="2004647" cy="1064926"/>
            <wp:effectExtent l="19050" t="114300" r="0" b="821055"/>
            <wp:wrapTight wrapText="bothSides">
              <wp:wrapPolygon edited="0">
                <wp:start x="205" y="-2318"/>
                <wp:lineTo x="-205" y="-1546"/>
                <wp:lineTo x="-205" y="23184"/>
                <wp:lineTo x="411" y="37868"/>
                <wp:lineTo x="2053" y="37868"/>
                <wp:lineTo x="2259" y="37095"/>
                <wp:lineTo x="12525" y="35549"/>
                <wp:lineTo x="14373" y="35549"/>
                <wp:lineTo x="20122" y="30912"/>
                <wp:lineTo x="20122" y="-2318"/>
                <wp:lineTo x="205" y="-2318"/>
              </wp:wrapPolygon>
            </wp:wrapTight>
            <wp:docPr id="14784" name="Imagen 1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b="5552"/>
                    <a:stretch/>
                  </pic:blipFill>
                  <pic:spPr bwMode="auto">
                    <a:xfrm>
                      <a:off x="0" y="0"/>
                      <a:ext cx="2004647" cy="1064926"/>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r w:rsidR="002B30C6" w:rsidRPr="00333F22">
        <w:rPr>
          <w:rFonts w:ascii="Abadi" w:hAnsi="Abadi"/>
          <w:b/>
          <w:bCs/>
          <w:sz w:val="21"/>
          <w:szCs w:val="21"/>
        </w:rPr>
        <w:t xml:space="preserve">(Sube a tribuna diputado David Martinez para rectificación de hechos sobre política social) </w:t>
      </w:r>
    </w:p>
    <w:p w14:paraId="0BA0E3AC" w14:textId="77777777" w:rsidR="00593393" w:rsidRDefault="00593393" w:rsidP="002B30C6">
      <w:pPr>
        <w:pStyle w:val="NormalWeb"/>
        <w:jc w:val="both"/>
        <w:rPr>
          <w:rFonts w:ascii="Abadi" w:hAnsi="Abadi"/>
          <w:sz w:val="21"/>
          <w:szCs w:val="21"/>
        </w:rPr>
      </w:pPr>
    </w:p>
    <w:p w14:paraId="379EC311" w14:textId="77777777" w:rsidR="00733A90" w:rsidRDefault="002B30C6" w:rsidP="002B30C6">
      <w:pPr>
        <w:pStyle w:val="NormalWeb"/>
        <w:jc w:val="both"/>
        <w:rPr>
          <w:rFonts w:ascii="Abadi" w:hAnsi="Abadi"/>
          <w:sz w:val="21"/>
          <w:szCs w:val="21"/>
        </w:rPr>
      </w:pPr>
      <w:r>
        <w:rPr>
          <w:rFonts w:ascii="Abadi" w:hAnsi="Abadi"/>
          <w:sz w:val="21"/>
          <w:szCs w:val="21"/>
        </w:rPr>
        <w:t>¡Bueno! yo</w:t>
      </w:r>
      <w:r w:rsidRPr="0021199F">
        <w:rPr>
          <w:rFonts w:ascii="Abadi" w:hAnsi="Abadi"/>
          <w:sz w:val="21"/>
          <w:szCs w:val="21"/>
        </w:rPr>
        <w:t xml:space="preserve"> no </w:t>
      </w:r>
      <w:r>
        <w:rPr>
          <w:rFonts w:ascii="Abadi" w:hAnsi="Abadi"/>
          <w:sz w:val="21"/>
          <w:szCs w:val="21"/>
        </w:rPr>
        <w:t>quise</w:t>
      </w:r>
      <w:r w:rsidRPr="0021199F">
        <w:rPr>
          <w:rFonts w:ascii="Abadi" w:hAnsi="Abadi"/>
          <w:sz w:val="21"/>
          <w:szCs w:val="21"/>
        </w:rPr>
        <w:t xml:space="preserve"> rectificar hechos de las dos primeras, pero creo que es fundamental precisar lo siguiente</w:t>
      </w:r>
      <w:r w:rsidR="00733A90">
        <w:rPr>
          <w:rFonts w:ascii="Abadi" w:hAnsi="Abadi"/>
          <w:sz w:val="21"/>
          <w:szCs w:val="21"/>
        </w:rPr>
        <w:t>:</w:t>
      </w:r>
    </w:p>
    <w:p w14:paraId="63BB7648" w14:textId="60AE464E" w:rsidR="002B30C6" w:rsidRDefault="00733A90" w:rsidP="002B30C6">
      <w:pPr>
        <w:pStyle w:val="NormalWeb"/>
        <w:jc w:val="both"/>
        <w:rPr>
          <w:rFonts w:ascii="Abadi" w:hAnsi="Abadi"/>
          <w:sz w:val="21"/>
          <w:szCs w:val="21"/>
        </w:rPr>
      </w:pPr>
      <w:r>
        <w:rPr>
          <w:rFonts w:ascii="Abadi" w:hAnsi="Abadi"/>
          <w:sz w:val="21"/>
          <w:szCs w:val="21"/>
        </w:rPr>
        <w:t>-</w:t>
      </w:r>
      <w:r w:rsidR="002B30C6" w:rsidRPr="0021199F">
        <w:rPr>
          <w:rFonts w:ascii="Abadi" w:hAnsi="Abadi"/>
          <w:sz w:val="21"/>
          <w:szCs w:val="21"/>
        </w:rPr>
        <w:t>Mire</w:t>
      </w:r>
      <w:r w:rsidR="002B30C6">
        <w:rPr>
          <w:rFonts w:ascii="Abadi" w:hAnsi="Abadi"/>
          <w:sz w:val="21"/>
          <w:szCs w:val="21"/>
        </w:rPr>
        <w:t>n</w:t>
      </w:r>
      <w:r w:rsidR="002B30C6" w:rsidRPr="0021199F">
        <w:rPr>
          <w:rFonts w:ascii="Abadi" w:hAnsi="Abadi"/>
          <w:sz w:val="21"/>
          <w:szCs w:val="21"/>
        </w:rPr>
        <w:t xml:space="preserve"> de cifras matan discurso</w:t>
      </w:r>
      <w:r w:rsidR="002B30C6">
        <w:rPr>
          <w:rFonts w:ascii="Abadi" w:hAnsi="Abadi"/>
          <w:sz w:val="21"/>
          <w:szCs w:val="21"/>
        </w:rPr>
        <w:t>,</w:t>
      </w:r>
      <w:r w:rsidR="002B30C6" w:rsidRPr="0021199F">
        <w:rPr>
          <w:rFonts w:ascii="Abadi" w:hAnsi="Abadi"/>
          <w:sz w:val="21"/>
          <w:szCs w:val="21"/>
        </w:rPr>
        <w:t xml:space="preserve"> del </w:t>
      </w:r>
      <w:r w:rsidR="002B30C6">
        <w:rPr>
          <w:rFonts w:ascii="Abadi" w:hAnsi="Abadi"/>
          <w:sz w:val="21"/>
          <w:szCs w:val="21"/>
        </w:rPr>
        <w:t>2008</w:t>
      </w:r>
      <w:r w:rsidR="002B30C6" w:rsidRPr="0021199F">
        <w:rPr>
          <w:rFonts w:ascii="Abadi" w:hAnsi="Abadi"/>
          <w:sz w:val="21"/>
          <w:szCs w:val="21"/>
        </w:rPr>
        <w:t xml:space="preserve"> </w:t>
      </w:r>
      <w:r w:rsidR="002B30C6">
        <w:rPr>
          <w:rFonts w:ascii="Abadi" w:hAnsi="Abadi"/>
          <w:sz w:val="21"/>
          <w:szCs w:val="21"/>
        </w:rPr>
        <w:t>al 2020, s</w:t>
      </w:r>
      <w:r w:rsidR="002B30C6" w:rsidRPr="0021199F">
        <w:rPr>
          <w:rFonts w:ascii="Abadi" w:hAnsi="Abadi"/>
          <w:sz w:val="21"/>
          <w:szCs w:val="21"/>
        </w:rPr>
        <w:t xml:space="preserve">egún </w:t>
      </w:r>
      <w:r w:rsidR="002B30C6">
        <w:rPr>
          <w:rFonts w:ascii="Abadi" w:hAnsi="Abadi"/>
          <w:sz w:val="21"/>
          <w:szCs w:val="21"/>
        </w:rPr>
        <w:t xml:space="preserve">CONEVAL </w:t>
      </w:r>
      <w:r w:rsidR="002B30C6" w:rsidRPr="0021199F">
        <w:rPr>
          <w:rFonts w:ascii="Abadi" w:hAnsi="Abadi"/>
          <w:sz w:val="21"/>
          <w:szCs w:val="21"/>
        </w:rPr>
        <w:t>hay doscientos cuarenta y seis mil personas</w:t>
      </w:r>
      <w:r w:rsidR="002B30C6">
        <w:rPr>
          <w:rFonts w:ascii="Abadi" w:hAnsi="Abadi"/>
          <w:sz w:val="21"/>
          <w:szCs w:val="21"/>
        </w:rPr>
        <w:t xml:space="preserve"> pobres</w:t>
      </w:r>
      <w:r w:rsidR="002B30C6" w:rsidRPr="0021199F">
        <w:rPr>
          <w:rFonts w:ascii="Abadi" w:hAnsi="Abadi"/>
          <w:sz w:val="21"/>
          <w:szCs w:val="21"/>
        </w:rPr>
        <w:t xml:space="preserve"> </w:t>
      </w:r>
      <w:r w:rsidR="002B30C6">
        <w:rPr>
          <w:rFonts w:ascii="Abadi" w:hAnsi="Abadi"/>
          <w:sz w:val="21"/>
          <w:szCs w:val="21"/>
        </w:rPr>
        <w:t>q</w:t>
      </w:r>
      <w:r w:rsidR="002B30C6" w:rsidRPr="0021199F">
        <w:rPr>
          <w:rFonts w:ascii="Abadi" w:hAnsi="Abadi"/>
          <w:sz w:val="21"/>
          <w:szCs w:val="21"/>
        </w:rPr>
        <w:t>u</w:t>
      </w:r>
      <w:r w:rsidR="002B30C6">
        <w:rPr>
          <w:rFonts w:ascii="Abadi" w:hAnsi="Abadi"/>
          <w:sz w:val="21"/>
          <w:szCs w:val="21"/>
        </w:rPr>
        <w:t>e</w:t>
      </w:r>
      <w:r w:rsidR="002B30C6" w:rsidRPr="0021199F">
        <w:rPr>
          <w:rFonts w:ascii="Abadi" w:hAnsi="Abadi"/>
          <w:sz w:val="21"/>
          <w:szCs w:val="21"/>
        </w:rPr>
        <w:t xml:space="preserve"> se sumaron a las cifras de desigualdad </w:t>
      </w:r>
      <w:r w:rsidR="002B30C6">
        <w:rPr>
          <w:rFonts w:ascii="Abadi" w:hAnsi="Abadi"/>
          <w:sz w:val="21"/>
          <w:szCs w:val="21"/>
        </w:rPr>
        <w:t>y de pobreza en Guanajuato</w:t>
      </w:r>
      <w:r w:rsidR="002B30C6" w:rsidRPr="0021199F">
        <w:rPr>
          <w:rFonts w:ascii="Abadi" w:hAnsi="Abadi"/>
          <w:sz w:val="21"/>
          <w:szCs w:val="21"/>
        </w:rPr>
        <w:t xml:space="preserve">, doscientos cuarenta y seis mil del </w:t>
      </w:r>
      <w:r w:rsidR="002B30C6">
        <w:rPr>
          <w:rFonts w:ascii="Abadi" w:hAnsi="Abadi"/>
          <w:sz w:val="21"/>
          <w:szCs w:val="21"/>
        </w:rPr>
        <w:t>2008 al 2020, con</w:t>
      </w:r>
      <w:r w:rsidR="002B30C6" w:rsidRPr="0021199F">
        <w:rPr>
          <w:rFonts w:ascii="Abadi" w:hAnsi="Abadi"/>
          <w:sz w:val="21"/>
          <w:szCs w:val="21"/>
        </w:rPr>
        <w:t xml:space="preserve"> ocho cientos, dieciséis mil doscientos treinta y cuatro personas en situación de pobreza. León es el municipio con el mayor número de personas en esa condición en todo el país. En cinco años pasó de cuarto lugar a primer lugar en pobreza en el país. Creo que no se ha entendido bien</w:t>
      </w:r>
      <w:r w:rsidR="002B30C6">
        <w:rPr>
          <w:rFonts w:ascii="Abadi" w:hAnsi="Abadi"/>
          <w:sz w:val="21"/>
          <w:szCs w:val="21"/>
        </w:rPr>
        <w:t>,</w:t>
      </w:r>
      <w:r w:rsidR="002B30C6" w:rsidRPr="0021199F">
        <w:rPr>
          <w:rFonts w:ascii="Abadi" w:hAnsi="Abadi"/>
          <w:sz w:val="21"/>
          <w:szCs w:val="21"/>
        </w:rPr>
        <w:t xml:space="preserve"> </w:t>
      </w:r>
      <w:r w:rsidR="002B30C6">
        <w:rPr>
          <w:rFonts w:ascii="Abadi" w:hAnsi="Abadi"/>
          <w:sz w:val="21"/>
          <w:szCs w:val="21"/>
        </w:rPr>
        <w:t>q</w:t>
      </w:r>
      <w:r w:rsidR="002B30C6" w:rsidRPr="0021199F">
        <w:rPr>
          <w:rFonts w:ascii="Abadi" w:hAnsi="Abadi"/>
          <w:sz w:val="21"/>
          <w:szCs w:val="21"/>
        </w:rPr>
        <w:t>uienes hablaron antes de economía</w:t>
      </w:r>
      <w:r w:rsidR="002B30C6">
        <w:rPr>
          <w:rFonts w:ascii="Abadi" w:hAnsi="Abadi"/>
          <w:sz w:val="21"/>
          <w:szCs w:val="21"/>
        </w:rPr>
        <w:t>,</w:t>
      </w:r>
      <w:r w:rsidR="002B30C6" w:rsidRPr="0021199F">
        <w:rPr>
          <w:rFonts w:ascii="Abadi" w:hAnsi="Abadi"/>
          <w:sz w:val="21"/>
          <w:szCs w:val="21"/>
        </w:rPr>
        <w:t xml:space="preserve"> me parece que no sabía lo que estaban diciendo. Una cosa es en la devolución del Producto Interno Bruto que es la generación de riqueza en un año en productos y servicios y otra es la repartición</w:t>
      </w:r>
      <w:r w:rsidR="002B30C6">
        <w:rPr>
          <w:rFonts w:ascii="Abadi" w:hAnsi="Abadi"/>
          <w:sz w:val="21"/>
          <w:szCs w:val="21"/>
        </w:rPr>
        <w:t>. No es lo mismo producir que repartir.</w:t>
      </w:r>
      <w:r w:rsidR="002B30C6" w:rsidRPr="0021199F">
        <w:rPr>
          <w:rFonts w:ascii="Abadi" w:hAnsi="Abadi"/>
          <w:sz w:val="21"/>
          <w:szCs w:val="21"/>
        </w:rPr>
        <w:t xml:space="preserve"> </w:t>
      </w:r>
      <w:r w:rsidR="002B30C6">
        <w:rPr>
          <w:rFonts w:ascii="Abadi" w:hAnsi="Abadi"/>
          <w:sz w:val="21"/>
          <w:szCs w:val="21"/>
        </w:rPr>
        <w:t>E</w:t>
      </w:r>
      <w:r w:rsidR="002B30C6" w:rsidRPr="0021199F">
        <w:rPr>
          <w:rFonts w:ascii="Abadi" w:hAnsi="Abadi"/>
          <w:sz w:val="21"/>
          <w:szCs w:val="21"/>
        </w:rPr>
        <w:t>l producto</w:t>
      </w:r>
      <w:r w:rsidR="002B30C6">
        <w:rPr>
          <w:rFonts w:ascii="Abadi" w:hAnsi="Abadi"/>
          <w:sz w:val="21"/>
          <w:szCs w:val="21"/>
        </w:rPr>
        <w:t xml:space="preserve"> interno bruto</w:t>
      </w:r>
      <w:r w:rsidR="002B30C6" w:rsidRPr="0021199F">
        <w:rPr>
          <w:rFonts w:ascii="Abadi" w:hAnsi="Abadi"/>
          <w:sz w:val="21"/>
          <w:szCs w:val="21"/>
        </w:rPr>
        <w:t xml:space="preserve"> ya no es considerado</w:t>
      </w:r>
      <w:r w:rsidR="002B30C6">
        <w:rPr>
          <w:rFonts w:ascii="Abadi" w:hAnsi="Abadi"/>
          <w:sz w:val="21"/>
          <w:szCs w:val="21"/>
        </w:rPr>
        <w:t>, y</w:t>
      </w:r>
      <w:r w:rsidR="002B30C6" w:rsidRPr="0021199F">
        <w:rPr>
          <w:rFonts w:ascii="Abadi" w:hAnsi="Abadi"/>
          <w:sz w:val="21"/>
          <w:szCs w:val="21"/>
        </w:rPr>
        <w:t xml:space="preserve"> lo y lo voy a relacionar con política social, que es el tema el cual yo vine a</w:t>
      </w:r>
      <w:r w:rsidR="002B30C6">
        <w:rPr>
          <w:rFonts w:ascii="Abadi" w:hAnsi="Abadi"/>
          <w:sz w:val="21"/>
          <w:szCs w:val="21"/>
        </w:rPr>
        <w:t xml:space="preserve"> hablar, e</w:t>
      </w:r>
      <w:r w:rsidR="002B30C6" w:rsidRPr="0021199F">
        <w:rPr>
          <w:rFonts w:ascii="Abadi" w:hAnsi="Abadi"/>
          <w:sz w:val="21"/>
          <w:szCs w:val="21"/>
        </w:rPr>
        <w:t xml:space="preserve">l producto </w:t>
      </w:r>
      <w:r w:rsidR="002B30C6">
        <w:rPr>
          <w:rFonts w:ascii="Abadi" w:hAnsi="Abadi"/>
          <w:sz w:val="21"/>
          <w:szCs w:val="21"/>
        </w:rPr>
        <w:t>interno</w:t>
      </w:r>
      <w:r w:rsidR="002B30C6" w:rsidRPr="0021199F">
        <w:rPr>
          <w:rFonts w:ascii="Abadi" w:hAnsi="Abadi"/>
          <w:sz w:val="21"/>
          <w:szCs w:val="21"/>
        </w:rPr>
        <w:t xml:space="preserve"> bruto ha sido abandonado desde hace bastante tiempo para medir la desigualdad de un país</w:t>
      </w:r>
      <w:r w:rsidR="002B30C6">
        <w:rPr>
          <w:rFonts w:ascii="Abadi" w:hAnsi="Abadi"/>
          <w:sz w:val="21"/>
          <w:szCs w:val="21"/>
        </w:rPr>
        <w:t>, í</w:t>
      </w:r>
      <w:r w:rsidR="002B30C6" w:rsidRPr="0021199F">
        <w:rPr>
          <w:rFonts w:ascii="Abadi" w:hAnsi="Abadi"/>
          <w:sz w:val="21"/>
          <w:szCs w:val="21"/>
        </w:rPr>
        <w:t>ndice de Gini es uno que sea que ha mencionado aquí</w:t>
      </w:r>
      <w:r w:rsidR="002B30C6">
        <w:rPr>
          <w:rFonts w:ascii="Abadi" w:hAnsi="Abadi"/>
          <w:sz w:val="21"/>
          <w:szCs w:val="21"/>
        </w:rPr>
        <w:t>,</w:t>
      </w:r>
      <w:r w:rsidR="002B30C6" w:rsidRPr="0021199F">
        <w:rPr>
          <w:rFonts w:ascii="Abadi" w:hAnsi="Abadi"/>
          <w:sz w:val="21"/>
          <w:szCs w:val="21"/>
        </w:rPr>
        <w:t xml:space="preserve"> incompleto el índice de </w:t>
      </w:r>
      <w:r w:rsidR="002B30C6">
        <w:rPr>
          <w:rFonts w:ascii="Abadi" w:hAnsi="Abadi"/>
          <w:sz w:val="21"/>
          <w:szCs w:val="21"/>
        </w:rPr>
        <w:t>Gini, n</w:t>
      </w:r>
      <w:r w:rsidR="002B30C6" w:rsidRPr="0021199F">
        <w:rPr>
          <w:rFonts w:ascii="Abadi" w:hAnsi="Abadi"/>
          <w:sz w:val="21"/>
          <w:szCs w:val="21"/>
        </w:rPr>
        <w:t>o tengo tiempo para discutir técnicamente por qu</w:t>
      </w:r>
      <w:r w:rsidR="002B30C6">
        <w:rPr>
          <w:rFonts w:ascii="Abadi" w:hAnsi="Abadi"/>
          <w:sz w:val="21"/>
          <w:szCs w:val="21"/>
        </w:rPr>
        <w:t xml:space="preserve">é, el índice de </w:t>
      </w:r>
      <w:proofErr w:type="spellStart"/>
      <w:r w:rsidR="002B30C6">
        <w:rPr>
          <w:rFonts w:ascii="Abadi" w:hAnsi="Abadi"/>
          <w:sz w:val="21"/>
          <w:szCs w:val="21"/>
        </w:rPr>
        <w:t>Theil</w:t>
      </w:r>
      <w:proofErr w:type="spellEnd"/>
      <w:r w:rsidR="002B30C6">
        <w:rPr>
          <w:rFonts w:ascii="Abadi" w:hAnsi="Abadi"/>
          <w:sz w:val="21"/>
          <w:szCs w:val="21"/>
        </w:rPr>
        <w:t xml:space="preserve"> e</w:t>
      </w:r>
      <w:r w:rsidR="002B30C6" w:rsidRPr="0021199F">
        <w:rPr>
          <w:rFonts w:ascii="Abadi" w:hAnsi="Abadi"/>
          <w:sz w:val="21"/>
          <w:szCs w:val="21"/>
        </w:rPr>
        <w:t xml:space="preserve">s el mejor para discutir y allí estamos peor en </w:t>
      </w:r>
      <w:r w:rsidR="002B30C6">
        <w:rPr>
          <w:rFonts w:ascii="Abadi" w:hAnsi="Abadi"/>
          <w:sz w:val="21"/>
          <w:szCs w:val="21"/>
        </w:rPr>
        <w:t>Guanajuato.</w:t>
      </w:r>
      <w:r w:rsidR="002B30C6" w:rsidRPr="0021199F">
        <w:rPr>
          <w:rFonts w:ascii="Abadi" w:hAnsi="Abadi"/>
          <w:sz w:val="21"/>
          <w:szCs w:val="21"/>
        </w:rPr>
        <w:t xml:space="preserve"> </w:t>
      </w:r>
    </w:p>
    <w:p w14:paraId="29B58332" w14:textId="77777777" w:rsidR="002B30C6" w:rsidRDefault="002B30C6" w:rsidP="002B30C6">
      <w:pPr>
        <w:pStyle w:val="NormalWeb"/>
        <w:jc w:val="both"/>
        <w:rPr>
          <w:rFonts w:ascii="Abadi" w:hAnsi="Abadi"/>
          <w:sz w:val="21"/>
          <w:szCs w:val="21"/>
        </w:rPr>
      </w:pPr>
      <w:r>
        <w:rPr>
          <w:rFonts w:ascii="Abadi" w:hAnsi="Abadi"/>
          <w:sz w:val="21"/>
          <w:szCs w:val="21"/>
        </w:rPr>
        <w:t xml:space="preserve">- </w:t>
      </w:r>
      <w:r w:rsidRPr="0021199F">
        <w:rPr>
          <w:rFonts w:ascii="Abadi" w:hAnsi="Abadi"/>
          <w:sz w:val="21"/>
          <w:szCs w:val="21"/>
        </w:rPr>
        <w:t>Entonces el relanzamiento</w:t>
      </w:r>
      <w:r>
        <w:rPr>
          <w:rFonts w:ascii="Abadi" w:hAnsi="Abadi"/>
          <w:sz w:val="21"/>
          <w:szCs w:val="21"/>
        </w:rPr>
        <w:t>, y</w:t>
      </w:r>
      <w:r w:rsidRPr="0021199F">
        <w:rPr>
          <w:rFonts w:ascii="Abadi" w:hAnsi="Abadi"/>
          <w:sz w:val="21"/>
          <w:szCs w:val="21"/>
        </w:rPr>
        <w:t xml:space="preserve"> esto lo vamos a decir en la comparecencia de los secretarios</w:t>
      </w:r>
      <w:r>
        <w:rPr>
          <w:rFonts w:ascii="Abadi" w:hAnsi="Abadi"/>
          <w:sz w:val="21"/>
          <w:szCs w:val="21"/>
        </w:rPr>
        <w:t>,</w:t>
      </w:r>
      <w:r w:rsidRPr="0021199F">
        <w:rPr>
          <w:rFonts w:ascii="Abadi" w:hAnsi="Abadi"/>
          <w:sz w:val="21"/>
          <w:szCs w:val="21"/>
        </w:rPr>
        <w:t xml:space="preserve"> </w:t>
      </w:r>
      <w:r>
        <w:rPr>
          <w:rFonts w:ascii="Abadi" w:hAnsi="Abadi"/>
          <w:sz w:val="21"/>
          <w:szCs w:val="21"/>
        </w:rPr>
        <w:t>c</w:t>
      </w:r>
      <w:r w:rsidRPr="0021199F">
        <w:rPr>
          <w:rFonts w:ascii="Abadi" w:hAnsi="Abadi"/>
          <w:sz w:val="21"/>
          <w:szCs w:val="21"/>
        </w:rPr>
        <w:t xml:space="preserve">uando venga el sectario desarrollo social, </w:t>
      </w:r>
      <w:r>
        <w:rPr>
          <w:rFonts w:ascii="Abadi" w:hAnsi="Abadi"/>
          <w:sz w:val="21"/>
          <w:szCs w:val="21"/>
        </w:rPr>
        <w:t xml:space="preserve">lo </w:t>
      </w:r>
      <w:r w:rsidRPr="0021199F">
        <w:rPr>
          <w:rFonts w:ascii="Abadi" w:hAnsi="Abadi"/>
          <w:sz w:val="21"/>
          <w:szCs w:val="21"/>
        </w:rPr>
        <w:t xml:space="preserve">voy a fundamentar y lo voy a confirmar. La política social en Guanajuato ha dado tumbos y ha sido un fracaso, porque el fundamento de la política social es la creación de </w:t>
      </w:r>
      <w:r>
        <w:rPr>
          <w:rFonts w:ascii="Abadi" w:hAnsi="Abadi"/>
          <w:sz w:val="21"/>
          <w:szCs w:val="21"/>
        </w:rPr>
        <w:t>ciudadanos y ciudadanas</w:t>
      </w:r>
      <w:r w:rsidRPr="0021199F">
        <w:rPr>
          <w:rFonts w:ascii="Abadi" w:hAnsi="Abadi"/>
          <w:sz w:val="21"/>
          <w:szCs w:val="21"/>
        </w:rPr>
        <w:t xml:space="preserve"> conscientes y la disminución de la pobreza. </w:t>
      </w:r>
      <w:r>
        <w:rPr>
          <w:rFonts w:ascii="Abadi" w:hAnsi="Abadi"/>
          <w:sz w:val="21"/>
          <w:szCs w:val="21"/>
        </w:rPr>
        <w:t>Si en 12 años se</w:t>
      </w:r>
      <w:r w:rsidRPr="0021199F">
        <w:rPr>
          <w:rFonts w:ascii="Abadi" w:hAnsi="Abadi"/>
          <w:sz w:val="21"/>
          <w:szCs w:val="21"/>
        </w:rPr>
        <w:t xml:space="preserve"> ha aumentado la pobreza en Guanajuato. Si en </w:t>
      </w:r>
      <w:r>
        <w:rPr>
          <w:rFonts w:ascii="Abadi" w:hAnsi="Abadi"/>
          <w:sz w:val="21"/>
          <w:szCs w:val="21"/>
        </w:rPr>
        <w:t>5</w:t>
      </w:r>
      <w:r w:rsidRPr="0021199F">
        <w:rPr>
          <w:rFonts w:ascii="Abadi" w:hAnsi="Abadi"/>
          <w:sz w:val="21"/>
          <w:szCs w:val="21"/>
        </w:rPr>
        <w:t xml:space="preserve"> años le un paso de la ciudad de cuarto del cuarto lugar en pobreza</w:t>
      </w:r>
      <w:r>
        <w:rPr>
          <w:rFonts w:ascii="Abadi" w:hAnsi="Abadi"/>
          <w:sz w:val="21"/>
          <w:szCs w:val="21"/>
        </w:rPr>
        <w:t xml:space="preserve"> al p</w:t>
      </w:r>
      <w:r w:rsidRPr="0021199F">
        <w:rPr>
          <w:rFonts w:ascii="Abadi" w:hAnsi="Abadi"/>
          <w:sz w:val="21"/>
          <w:szCs w:val="21"/>
        </w:rPr>
        <w:t>rimero</w:t>
      </w:r>
      <w:r>
        <w:rPr>
          <w:rFonts w:ascii="Abadi" w:hAnsi="Abadi"/>
          <w:sz w:val="21"/>
          <w:szCs w:val="21"/>
        </w:rPr>
        <w:t>, l</w:t>
      </w:r>
      <w:r w:rsidRPr="0021199F">
        <w:rPr>
          <w:rFonts w:ascii="Abadi" w:hAnsi="Abadi"/>
          <w:sz w:val="21"/>
          <w:szCs w:val="21"/>
        </w:rPr>
        <w:t>a política social ha sido un fracaso, no han evaluado el impulso. Uno, dos, tres, cuatro, cinco, seis, siete, ocho, nueve. Mente factura</w:t>
      </w:r>
      <w:r>
        <w:rPr>
          <w:rFonts w:ascii="Abadi" w:hAnsi="Abadi"/>
          <w:sz w:val="21"/>
          <w:szCs w:val="21"/>
        </w:rPr>
        <w:t>, h</w:t>
      </w:r>
      <w:r w:rsidRPr="0021199F">
        <w:rPr>
          <w:rFonts w:ascii="Abadi" w:hAnsi="Abadi"/>
          <w:sz w:val="21"/>
          <w:szCs w:val="21"/>
        </w:rPr>
        <w:t xml:space="preserve">a sido un fracaso. </w:t>
      </w:r>
      <w:r>
        <w:rPr>
          <w:rFonts w:ascii="Abadi" w:hAnsi="Abadi"/>
          <w:sz w:val="21"/>
          <w:szCs w:val="21"/>
        </w:rPr>
        <w:t>¿</w:t>
      </w:r>
      <w:r w:rsidRPr="0021199F">
        <w:rPr>
          <w:rFonts w:ascii="Abadi" w:hAnsi="Abadi"/>
          <w:sz w:val="21"/>
          <w:szCs w:val="21"/>
        </w:rPr>
        <w:t>Han abierto la página de desarrollo social y Humano</w:t>
      </w:r>
      <w:r>
        <w:rPr>
          <w:rFonts w:ascii="Abadi" w:hAnsi="Abadi"/>
          <w:sz w:val="21"/>
          <w:szCs w:val="21"/>
        </w:rPr>
        <w:t>?</w:t>
      </w:r>
      <w:r w:rsidRPr="0021199F">
        <w:rPr>
          <w:rFonts w:ascii="Abadi" w:hAnsi="Abadi"/>
          <w:sz w:val="21"/>
          <w:szCs w:val="21"/>
        </w:rPr>
        <w:t xml:space="preserve"> </w:t>
      </w:r>
      <w:r>
        <w:rPr>
          <w:rFonts w:ascii="Abadi" w:hAnsi="Abadi"/>
          <w:sz w:val="21"/>
          <w:szCs w:val="21"/>
        </w:rPr>
        <w:t>¿</w:t>
      </w:r>
      <w:r w:rsidRPr="0021199F">
        <w:rPr>
          <w:rFonts w:ascii="Abadi" w:hAnsi="Abadi"/>
          <w:sz w:val="21"/>
          <w:szCs w:val="21"/>
        </w:rPr>
        <w:t>Han visto alguna evaluación</w:t>
      </w:r>
      <w:r>
        <w:rPr>
          <w:rFonts w:ascii="Abadi" w:hAnsi="Abadi"/>
          <w:sz w:val="21"/>
          <w:szCs w:val="21"/>
        </w:rPr>
        <w:t xml:space="preserve"> de i</w:t>
      </w:r>
      <w:r w:rsidRPr="0021199F">
        <w:rPr>
          <w:rFonts w:ascii="Abadi" w:hAnsi="Abadi"/>
          <w:sz w:val="21"/>
          <w:szCs w:val="21"/>
        </w:rPr>
        <w:t>mpulso? Ninguna. Yo sí</w:t>
      </w:r>
      <w:r>
        <w:rPr>
          <w:rFonts w:ascii="Abadi" w:hAnsi="Abadi"/>
          <w:sz w:val="21"/>
          <w:szCs w:val="21"/>
        </w:rPr>
        <w:t>,</w:t>
      </w:r>
      <w:r w:rsidRPr="0021199F">
        <w:rPr>
          <w:rFonts w:ascii="Abadi" w:hAnsi="Abadi"/>
          <w:sz w:val="21"/>
          <w:szCs w:val="21"/>
        </w:rPr>
        <w:t xml:space="preserve"> la pedí a través de transparencia. Y es vergonzoso lo que están haciendo con respecto a la política</w:t>
      </w:r>
      <w:r>
        <w:rPr>
          <w:rFonts w:ascii="Abadi" w:hAnsi="Abadi"/>
          <w:sz w:val="21"/>
          <w:szCs w:val="21"/>
        </w:rPr>
        <w:t xml:space="preserve"> social en Guanajuato, que no se evalúa, pero aquí</w:t>
      </w:r>
      <w:r w:rsidRPr="0021199F">
        <w:rPr>
          <w:rFonts w:ascii="Abadi" w:hAnsi="Abadi"/>
          <w:sz w:val="21"/>
          <w:szCs w:val="21"/>
        </w:rPr>
        <w:t xml:space="preserve"> si vienen a decir que se </w:t>
      </w:r>
      <w:r>
        <w:rPr>
          <w:rFonts w:ascii="Abadi" w:hAnsi="Abadi"/>
          <w:sz w:val="21"/>
          <w:szCs w:val="21"/>
        </w:rPr>
        <w:t>e</w:t>
      </w:r>
      <w:r w:rsidRPr="0021199F">
        <w:rPr>
          <w:rFonts w:ascii="Abadi" w:hAnsi="Abadi"/>
          <w:sz w:val="21"/>
          <w:szCs w:val="21"/>
        </w:rPr>
        <w:t>leva la riqueza</w:t>
      </w:r>
      <w:r>
        <w:rPr>
          <w:rFonts w:ascii="Abadi" w:hAnsi="Abadi"/>
          <w:sz w:val="21"/>
          <w:szCs w:val="21"/>
        </w:rPr>
        <w:t>,</w:t>
      </w:r>
      <w:r w:rsidRPr="0021199F">
        <w:rPr>
          <w:rFonts w:ascii="Abadi" w:hAnsi="Abadi"/>
          <w:sz w:val="21"/>
          <w:szCs w:val="21"/>
        </w:rPr>
        <w:t xml:space="preserve"> que se produce, que la</w:t>
      </w:r>
      <w:r>
        <w:rPr>
          <w:rFonts w:ascii="Abadi" w:hAnsi="Abadi"/>
          <w:sz w:val="21"/>
          <w:szCs w:val="21"/>
        </w:rPr>
        <w:t xml:space="preserve"> </w:t>
      </w:r>
      <w:r w:rsidRPr="0021199F">
        <w:rPr>
          <w:rFonts w:ascii="Abadi" w:hAnsi="Abadi"/>
          <w:sz w:val="21"/>
          <w:szCs w:val="21"/>
        </w:rPr>
        <w:t>mente</w:t>
      </w:r>
      <w:r>
        <w:rPr>
          <w:rFonts w:ascii="Abadi" w:hAnsi="Abadi"/>
          <w:sz w:val="21"/>
          <w:szCs w:val="21"/>
        </w:rPr>
        <w:t xml:space="preserve"> </w:t>
      </w:r>
      <w:r w:rsidRPr="0021199F">
        <w:rPr>
          <w:rFonts w:ascii="Abadi" w:hAnsi="Abadi"/>
          <w:sz w:val="21"/>
          <w:szCs w:val="21"/>
        </w:rPr>
        <w:t>factura</w:t>
      </w:r>
      <w:r>
        <w:rPr>
          <w:rFonts w:ascii="Abadi" w:hAnsi="Abadi"/>
          <w:sz w:val="21"/>
          <w:szCs w:val="21"/>
        </w:rPr>
        <w:t>.</w:t>
      </w:r>
      <w:r w:rsidRPr="0021199F">
        <w:rPr>
          <w:rFonts w:ascii="Abadi" w:hAnsi="Abadi"/>
          <w:sz w:val="21"/>
          <w:szCs w:val="21"/>
        </w:rPr>
        <w:t xml:space="preserve"> </w:t>
      </w:r>
    </w:p>
    <w:p w14:paraId="3376E33E" w14:textId="77777777" w:rsidR="002B30C6" w:rsidRDefault="002B30C6" w:rsidP="002B30C6">
      <w:pPr>
        <w:pStyle w:val="NormalWeb"/>
        <w:jc w:val="both"/>
        <w:rPr>
          <w:rFonts w:ascii="Abadi" w:hAnsi="Abadi"/>
          <w:sz w:val="21"/>
          <w:szCs w:val="21"/>
        </w:rPr>
      </w:pPr>
      <w:r>
        <w:rPr>
          <w:rFonts w:ascii="Abadi" w:hAnsi="Abadi"/>
          <w:sz w:val="21"/>
          <w:szCs w:val="21"/>
        </w:rPr>
        <w:t>-Q</w:t>
      </w:r>
      <w:r w:rsidRPr="0021199F">
        <w:rPr>
          <w:rFonts w:ascii="Abadi" w:hAnsi="Abadi"/>
          <w:sz w:val="21"/>
          <w:szCs w:val="21"/>
        </w:rPr>
        <w:t>ue le reclam</w:t>
      </w:r>
      <w:r>
        <w:rPr>
          <w:rFonts w:ascii="Abadi" w:hAnsi="Abadi"/>
          <w:sz w:val="21"/>
          <w:szCs w:val="21"/>
        </w:rPr>
        <w:t>e</w:t>
      </w:r>
      <w:r w:rsidRPr="0021199F">
        <w:rPr>
          <w:rFonts w:ascii="Abadi" w:hAnsi="Abadi"/>
          <w:sz w:val="21"/>
          <w:szCs w:val="21"/>
        </w:rPr>
        <w:t xml:space="preserve"> </w:t>
      </w:r>
      <w:r>
        <w:rPr>
          <w:rFonts w:ascii="Abadi" w:hAnsi="Abadi"/>
          <w:sz w:val="21"/>
          <w:szCs w:val="21"/>
        </w:rPr>
        <w:t xml:space="preserve">a </w:t>
      </w:r>
      <w:r w:rsidRPr="0021199F">
        <w:rPr>
          <w:rFonts w:ascii="Abadi" w:hAnsi="Abadi"/>
          <w:sz w:val="21"/>
          <w:szCs w:val="21"/>
        </w:rPr>
        <w:t>la gente pobre</w:t>
      </w:r>
      <w:r>
        <w:rPr>
          <w:rFonts w:ascii="Abadi" w:hAnsi="Abadi"/>
          <w:sz w:val="21"/>
          <w:szCs w:val="21"/>
        </w:rPr>
        <w:t>,</w:t>
      </w:r>
      <w:r w:rsidRPr="0021199F">
        <w:rPr>
          <w:rFonts w:ascii="Abadi" w:hAnsi="Abadi"/>
          <w:sz w:val="21"/>
          <w:szCs w:val="21"/>
        </w:rPr>
        <w:t xml:space="preserve"> ahí es el principal indicador de desarrollo de un país</w:t>
      </w:r>
      <w:r>
        <w:rPr>
          <w:rFonts w:ascii="Abadi" w:hAnsi="Abadi"/>
          <w:sz w:val="21"/>
          <w:szCs w:val="21"/>
        </w:rPr>
        <w:t>,</w:t>
      </w:r>
      <w:r w:rsidRPr="0021199F">
        <w:rPr>
          <w:rFonts w:ascii="Abadi" w:hAnsi="Abadi"/>
          <w:sz w:val="21"/>
          <w:szCs w:val="21"/>
        </w:rPr>
        <w:t xml:space="preserve"> </w:t>
      </w:r>
      <w:r>
        <w:rPr>
          <w:rFonts w:ascii="Abadi" w:hAnsi="Abadi"/>
          <w:sz w:val="21"/>
          <w:szCs w:val="21"/>
        </w:rPr>
        <w:t>c</w:t>
      </w:r>
      <w:r w:rsidRPr="0021199F">
        <w:rPr>
          <w:rFonts w:ascii="Abadi" w:hAnsi="Abadi"/>
          <w:sz w:val="21"/>
          <w:szCs w:val="21"/>
        </w:rPr>
        <w:t>u</w:t>
      </w:r>
      <w:r>
        <w:rPr>
          <w:rFonts w:ascii="Abadi" w:hAnsi="Abadi"/>
          <w:sz w:val="21"/>
          <w:szCs w:val="21"/>
        </w:rPr>
        <w:t>á</w:t>
      </w:r>
      <w:r w:rsidRPr="0021199F">
        <w:rPr>
          <w:rFonts w:ascii="Abadi" w:hAnsi="Abadi"/>
          <w:sz w:val="21"/>
          <w:szCs w:val="21"/>
        </w:rPr>
        <w:t xml:space="preserve">nta gente pobre </w:t>
      </w:r>
      <w:r>
        <w:rPr>
          <w:rFonts w:ascii="Abadi" w:hAnsi="Abadi"/>
          <w:sz w:val="21"/>
          <w:szCs w:val="21"/>
        </w:rPr>
        <w:t>tiene y hoy</w:t>
      </w:r>
      <w:r w:rsidRPr="0021199F">
        <w:rPr>
          <w:rFonts w:ascii="Abadi" w:hAnsi="Abadi"/>
          <w:sz w:val="21"/>
          <w:szCs w:val="21"/>
        </w:rPr>
        <w:t xml:space="preserve"> Guanajuato está peor que hace </w:t>
      </w:r>
      <w:r>
        <w:rPr>
          <w:rFonts w:ascii="Abadi" w:hAnsi="Abadi"/>
          <w:sz w:val="21"/>
          <w:szCs w:val="21"/>
        </w:rPr>
        <w:t>diez a</w:t>
      </w:r>
      <w:r w:rsidRPr="0021199F">
        <w:rPr>
          <w:rFonts w:ascii="Abadi" w:hAnsi="Abadi"/>
          <w:sz w:val="21"/>
          <w:szCs w:val="21"/>
        </w:rPr>
        <w:t>ños</w:t>
      </w:r>
      <w:r>
        <w:rPr>
          <w:rFonts w:ascii="Abadi" w:hAnsi="Abadi"/>
          <w:sz w:val="21"/>
          <w:szCs w:val="21"/>
        </w:rPr>
        <w:t>,</w:t>
      </w:r>
      <w:r w:rsidRPr="0021199F">
        <w:rPr>
          <w:rFonts w:ascii="Abadi" w:hAnsi="Abadi"/>
          <w:sz w:val="21"/>
          <w:szCs w:val="21"/>
        </w:rPr>
        <w:t xml:space="preserve"> León está peor que hace </w:t>
      </w:r>
      <w:r>
        <w:rPr>
          <w:rFonts w:ascii="Abadi" w:hAnsi="Abadi"/>
          <w:sz w:val="21"/>
          <w:szCs w:val="21"/>
        </w:rPr>
        <w:t>cinco</w:t>
      </w:r>
      <w:r w:rsidRPr="0021199F">
        <w:rPr>
          <w:rFonts w:ascii="Abadi" w:hAnsi="Abadi"/>
          <w:sz w:val="21"/>
          <w:szCs w:val="21"/>
        </w:rPr>
        <w:t xml:space="preserve"> años y va a seguir peor si no lo consideran usted</w:t>
      </w:r>
      <w:r>
        <w:rPr>
          <w:rFonts w:ascii="Abadi" w:hAnsi="Abadi"/>
          <w:sz w:val="21"/>
          <w:szCs w:val="21"/>
        </w:rPr>
        <w:t>es</w:t>
      </w:r>
      <w:r w:rsidRPr="0021199F">
        <w:rPr>
          <w:rFonts w:ascii="Abadi" w:hAnsi="Abadi"/>
          <w:sz w:val="21"/>
          <w:szCs w:val="21"/>
        </w:rPr>
        <w:t>. Gracias</w:t>
      </w:r>
      <w:r>
        <w:rPr>
          <w:rFonts w:ascii="Abadi" w:hAnsi="Abadi"/>
          <w:sz w:val="21"/>
          <w:szCs w:val="21"/>
        </w:rPr>
        <w:t>.</w:t>
      </w:r>
      <w:r w:rsidRPr="0021199F">
        <w:rPr>
          <w:rFonts w:ascii="Abadi" w:hAnsi="Abadi"/>
          <w:sz w:val="21"/>
          <w:szCs w:val="21"/>
        </w:rPr>
        <w:t xml:space="preserve"> </w:t>
      </w:r>
    </w:p>
    <w:p w14:paraId="72F87F56" w14:textId="71CBF8E7" w:rsidR="002B30C6" w:rsidRDefault="00593393" w:rsidP="00593393">
      <w:pPr>
        <w:pStyle w:val="NormalWeb"/>
        <w:ind w:firstLine="708"/>
        <w:jc w:val="both"/>
        <w:rPr>
          <w:rFonts w:ascii="Abadi" w:hAnsi="Abadi"/>
          <w:sz w:val="21"/>
          <w:szCs w:val="21"/>
        </w:rPr>
      </w:pPr>
      <w:r>
        <w:rPr>
          <w:rFonts w:ascii="Abadi" w:hAnsi="Abadi"/>
          <w:b/>
          <w:bCs/>
          <w:sz w:val="21"/>
          <w:szCs w:val="21"/>
        </w:rPr>
        <w:t xml:space="preserve">- </w:t>
      </w:r>
      <w:r w:rsidR="002B30C6" w:rsidRPr="00A1196D">
        <w:rPr>
          <w:rFonts w:ascii="Abadi" w:hAnsi="Abadi"/>
          <w:b/>
          <w:bCs/>
          <w:sz w:val="21"/>
          <w:szCs w:val="21"/>
        </w:rPr>
        <w:t xml:space="preserve">La </w:t>
      </w:r>
      <w:proofErr w:type="gramStart"/>
      <w:r w:rsidR="002B30C6" w:rsidRPr="00A1196D">
        <w:rPr>
          <w:rFonts w:ascii="Abadi" w:hAnsi="Abadi"/>
          <w:b/>
          <w:bCs/>
          <w:sz w:val="21"/>
          <w:szCs w:val="21"/>
        </w:rPr>
        <w:t>Presidencia.-</w:t>
      </w:r>
      <w:proofErr w:type="gramEnd"/>
      <w:r w:rsidR="002B30C6">
        <w:rPr>
          <w:rFonts w:ascii="Abadi" w:hAnsi="Abadi"/>
          <w:sz w:val="21"/>
          <w:szCs w:val="21"/>
        </w:rPr>
        <w:t xml:space="preserve"> M</w:t>
      </w:r>
      <w:r w:rsidR="002B30C6" w:rsidRPr="0021199F">
        <w:rPr>
          <w:rFonts w:ascii="Abadi" w:hAnsi="Abadi"/>
          <w:sz w:val="21"/>
          <w:szCs w:val="21"/>
        </w:rPr>
        <w:t xml:space="preserve">uchas gracias, Diputado. </w:t>
      </w:r>
    </w:p>
    <w:p w14:paraId="20FCE348" w14:textId="77777777" w:rsidR="00792281" w:rsidRDefault="00593393" w:rsidP="00593393">
      <w:pPr>
        <w:pStyle w:val="NormalWeb"/>
        <w:ind w:firstLine="708"/>
        <w:jc w:val="both"/>
        <w:rPr>
          <w:rFonts w:ascii="Abadi" w:hAnsi="Abadi"/>
          <w:sz w:val="21"/>
          <w:szCs w:val="21"/>
        </w:rPr>
      </w:pPr>
      <w:r>
        <w:rPr>
          <w:rFonts w:ascii="Abadi" w:hAnsi="Abadi"/>
          <w:b/>
          <w:bCs/>
          <w:sz w:val="21"/>
          <w:szCs w:val="21"/>
        </w:rPr>
        <w:t xml:space="preserve">- </w:t>
      </w:r>
      <w:r w:rsidR="002B30C6" w:rsidRPr="00827296">
        <w:rPr>
          <w:rFonts w:ascii="Abadi" w:hAnsi="Abadi"/>
          <w:b/>
          <w:bCs/>
          <w:sz w:val="21"/>
          <w:szCs w:val="21"/>
        </w:rPr>
        <w:t xml:space="preserve">La </w:t>
      </w:r>
      <w:proofErr w:type="gramStart"/>
      <w:r w:rsidR="002B30C6" w:rsidRPr="00827296">
        <w:rPr>
          <w:rFonts w:ascii="Abadi" w:hAnsi="Abadi"/>
          <w:b/>
          <w:bCs/>
          <w:sz w:val="21"/>
          <w:szCs w:val="21"/>
        </w:rPr>
        <w:t>Secretaria.-</w:t>
      </w:r>
      <w:proofErr w:type="gramEnd"/>
      <w:r w:rsidR="002B30C6">
        <w:rPr>
          <w:rFonts w:ascii="Abadi" w:hAnsi="Abadi"/>
          <w:sz w:val="21"/>
          <w:szCs w:val="21"/>
        </w:rPr>
        <w:t xml:space="preserve"> </w:t>
      </w:r>
      <w:r w:rsidR="002B30C6" w:rsidRPr="0021199F">
        <w:rPr>
          <w:rFonts w:ascii="Abadi" w:hAnsi="Abadi"/>
          <w:sz w:val="21"/>
          <w:szCs w:val="21"/>
        </w:rPr>
        <w:t xml:space="preserve">Señora Presidenta, me permito informarle que se han agotado todos los asuntos listados en el orden del día. </w:t>
      </w:r>
    </w:p>
    <w:p w14:paraId="423A00D3" w14:textId="68F5DEC7" w:rsidR="002B30C6" w:rsidRDefault="00792281" w:rsidP="00593393">
      <w:pPr>
        <w:pStyle w:val="NormalWeb"/>
        <w:ind w:firstLine="708"/>
        <w:jc w:val="both"/>
        <w:rPr>
          <w:rFonts w:ascii="Abadi" w:hAnsi="Abadi"/>
          <w:sz w:val="21"/>
          <w:szCs w:val="21"/>
        </w:rPr>
      </w:pPr>
      <w:r>
        <w:rPr>
          <w:rFonts w:ascii="Abadi" w:hAnsi="Abadi"/>
          <w:sz w:val="21"/>
          <w:szCs w:val="21"/>
        </w:rPr>
        <w:t xml:space="preserve">- </w:t>
      </w:r>
      <w:r w:rsidR="002B30C6" w:rsidRPr="0021199F">
        <w:rPr>
          <w:rFonts w:ascii="Abadi" w:hAnsi="Abadi"/>
          <w:sz w:val="21"/>
          <w:szCs w:val="21"/>
        </w:rPr>
        <w:t xml:space="preserve">Así mismo, le informo que la asistencia a la presente sesión fue de </w:t>
      </w:r>
      <w:r w:rsidR="002B30C6">
        <w:rPr>
          <w:rFonts w:ascii="Abadi" w:hAnsi="Abadi"/>
          <w:sz w:val="21"/>
          <w:szCs w:val="21"/>
        </w:rPr>
        <w:t>36</w:t>
      </w:r>
      <w:r w:rsidR="002B30C6" w:rsidRPr="0021199F">
        <w:rPr>
          <w:rFonts w:ascii="Abadi" w:hAnsi="Abadi"/>
          <w:sz w:val="21"/>
          <w:szCs w:val="21"/>
        </w:rPr>
        <w:t xml:space="preserve"> diputadas y diputados. </w:t>
      </w:r>
    </w:p>
    <w:p w14:paraId="463E7EC9" w14:textId="4547D55A" w:rsidR="002B30C6" w:rsidRDefault="00593393" w:rsidP="00593393">
      <w:pPr>
        <w:pStyle w:val="NormalWeb"/>
        <w:ind w:firstLine="708"/>
        <w:jc w:val="both"/>
        <w:rPr>
          <w:rFonts w:ascii="Abadi" w:hAnsi="Abadi"/>
          <w:sz w:val="21"/>
          <w:szCs w:val="21"/>
        </w:rPr>
      </w:pPr>
      <w:r>
        <w:rPr>
          <w:rFonts w:ascii="Abadi" w:hAnsi="Abadi"/>
          <w:sz w:val="21"/>
          <w:szCs w:val="21"/>
        </w:rPr>
        <w:t xml:space="preserve">- </w:t>
      </w:r>
      <w:r w:rsidR="002B30C6" w:rsidRPr="0021199F">
        <w:rPr>
          <w:rFonts w:ascii="Abadi" w:hAnsi="Abadi"/>
          <w:sz w:val="21"/>
          <w:szCs w:val="21"/>
        </w:rPr>
        <w:t>Así, también le informo que se retiraron, con permiso de la Presidencia la diputada De</w:t>
      </w:r>
      <w:r w:rsidR="002B30C6">
        <w:rPr>
          <w:rFonts w:ascii="Abadi" w:hAnsi="Abadi"/>
          <w:sz w:val="21"/>
          <w:szCs w:val="21"/>
        </w:rPr>
        <w:t>s</w:t>
      </w:r>
      <w:r w:rsidR="002B30C6" w:rsidRPr="0021199F">
        <w:rPr>
          <w:rFonts w:ascii="Abadi" w:hAnsi="Abadi"/>
          <w:sz w:val="21"/>
          <w:szCs w:val="21"/>
        </w:rPr>
        <w:t xml:space="preserve">sire </w:t>
      </w:r>
      <w:proofErr w:type="spellStart"/>
      <w:r w:rsidR="002B30C6">
        <w:rPr>
          <w:rFonts w:ascii="Abadi" w:hAnsi="Abadi"/>
          <w:sz w:val="21"/>
          <w:szCs w:val="21"/>
        </w:rPr>
        <w:t>A</w:t>
      </w:r>
      <w:r w:rsidR="002B30C6" w:rsidRPr="0021199F">
        <w:rPr>
          <w:rFonts w:ascii="Abadi" w:hAnsi="Abadi"/>
          <w:sz w:val="21"/>
          <w:szCs w:val="21"/>
        </w:rPr>
        <w:t>ngel</w:t>
      </w:r>
      <w:proofErr w:type="spellEnd"/>
      <w:r w:rsidR="002B30C6" w:rsidRPr="0021199F">
        <w:rPr>
          <w:rFonts w:ascii="Abadi" w:hAnsi="Abadi"/>
          <w:sz w:val="21"/>
          <w:szCs w:val="21"/>
        </w:rPr>
        <w:t xml:space="preserve"> Rocha y el diputado Miguel Ángel Salim </w:t>
      </w:r>
      <w:proofErr w:type="spellStart"/>
      <w:r w:rsidR="002B30C6" w:rsidRPr="0021199F">
        <w:rPr>
          <w:rFonts w:ascii="Abadi" w:hAnsi="Abadi"/>
          <w:sz w:val="21"/>
          <w:szCs w:val="21"/>
        </w:rPr>
        <w:t>Al</w:t>
      </w:r>
      <w:r w:rsidR="002B30C6">
        <w:rPr>
          <w:rFonts w:ascii="Abadi" w:hAnsi="Abadi"/>
          <w:sz w:val="21"/>
          <w:szCs w:val="21"/>
        </w:rPr>
        <w:t>l</w:t>
      </w:r>
      <w:r w:rsidR="002B30C6" w:rsidRPr="0021199F">
        <w:rPr>
          <w:rFonts w:ascii="Abadi" w:hAnsi="Abadi"/>
          <w:sz w:val="21"/>
          <w:szCs w:val="21"/>
        </w:rPr>
        <w:t>e</w:t>
      </w:r>
      <w:proofErr w:type="spellEnd"/>
      <w:r w:rsidR="002B30C6">
        <w:rPr>
          <w:rFonts w:ascii="Abadi" w:hAnsi="Abadi"/>
          <w:sz w:val="21"/>
          <w:szCs w:val="21"/>
        </w:rPr>
        <w:t>.</w:t>
      </w:r>
    </w:p>
    <w:p w14:paraId="6692C094" w14:textId="5670B9FB" w:rsidR="002B30C6" w:rsidRDefault="00593393" w:rsidP="00593393">
      <w:pPr>
        <w:pStyle w:val="NormalWeb"/>
        <w:ind w:firstLine="708"/>
        <w:jc w:val="both"/>
        <w:rPr>
          <w:rFonts w:ascii="Abadi" w:hAnsi="Abadi"/>
          <w:sz w:val="21"/>
          <w:szCs w:val="21"/>
        </w:rPr>
      </w:pPr>
      <w:r>
        <w:rPr>
          <w:rFonts w:ascii="Abadi" w:hAnsi="Abadi"/>
          <w:b/>
          <w:bCs/>
          <w:sz w:val="21"/>
          <w:szCs w:val="21"/>
        </w:rPr>
        <w:t xml:space="preserve">- </w:t>
      </w:r>
      <w:r w:rsidR="002B30C6" w:rsidRPr="00A1196D">
        <w:rPr>
          <w:rFonts w:ascii="Abadi" w:hAnsi="Abadi"/>
          <w:b/>
          <w:bCs/>
          <w:sz w:val="21"/>
          <w:szCs w:val="21"/>
        </w:rPr>
        <w:t xml:space="preserve">La </w:t>
      </w:r>
      <w:proofErr w:type="gramStart"/>
      <w:r w:rsidR="002B30C6" w:rsidRPr="00A1196D">
        <w:rPr>
          <w:rFonts w:ascii="Abadi" w:hAnsi="Abadi"/>
          <w:b/>
          <w:bCs/>
          <w:sz w:val="21"/>
          <w:szCs w:val="21"/>
        </w:rPr>
        <w:t>Presidencia.-</w:t>
      </w:r>
      <w:proofErr w:type="gramEnd"/>
      <w:r w:rsidR="002B30C6">
        <w:rPr>
          <w:rFonts w:ascii="Abadi" w:hAnsi="Abadi"/>
          <w:sz w:val="21"/>
          <w:szCs w:val="21"/>
        </w:rPr>
        <w:t xml:space="preserve"> E</w:t>
      </w:r>
      <w:r w:rsidR="002B30C6" w:rsidRPr="0021199F">
        <w:rPr>
          <w:rFonts w:ascii="Abadi" w:hAnsi="Abadi"/>
          <w:sz w:val="21"/>
          <w:szCs w:val="21"/>
        </w:rPr>
        <w:t xml:space="preserve">n virtud de que el quórum de asistencia la presente sesión se ha mantenido hasta el momento, no procede instruir a un nuevo pase de lista. Se levanta la sesión siendo las </w:t>
      </w:r>
      <w:r w:rsidR="002B30C6">
        <w:rPr>
          <w:rFonts w:ascii="Abadi" w:hAnsi="Abadi"/>
          <w:sz w:val="21"/>
          <w:szCs w:val="21"/>
        </w:rPr>
        <w:t>15:22 (</w:t>
      </w:r>
      <w:r w:rsidR="002B30C6" w:rsidRPr="0021199F">
        <w:rPr>
          <w:rFonts w:ascii="Abadi" w:hAnsi="Abadi"/>
          <w:sz w:val="21"/>
          <w:szCs w:val="21"/>
        </w:rPr>
        <w:t>tre</w:t>
      </w:r>
      <w:r w:rsidR="002B30C6">
        <w:rPr>
          <w:rFonts w:ascii="Abadi" w:hAnsi="Abadi"/>
          <w:sz w:val="21"/>
          <w:szCs w:val="21"/>
        </w:rPr>
        <w:t xml:space="preserve">ce con </w:t>
      </w:r>
      <w:r w:rsidR="002B30C6" w:rsidRPr="0021199F">
        <w:rPr>
          <w:rFonts w:ascii="Abadi" w:hAnsi="Abadi"/>
          <w:sz w:val="21"/>
          <w:szCs w:val="21"/>
        </w:rPr>
        <w:t>horas con veintidós minutos</w:t>
      </w:r>
      <w:r w:rsidR="002B30C6">
        <w:rPr>
          <w:rFonts w:ascii="Abadi" w:hAnsi="Abadi"/>
          <w:sz w:val="21"/>
          <w:szCs w:val="21"/>
        </w:rPr>
        <w:t>)</w:t>
      </w:r>
      <w:r w:rsidR="002B30C6" w:rsidRPr="0021199F">
        <w:rPr>
          <w:rFonts w:ascii="Abadi" w:hAnsi="Abadi"/>
          <w:sz w:val="21"/>
          <w:szCs w:val="21"/>
        </w:rPr>
        <w:t xml:space="preserve"> y se comunica </w:t>
      </w:r>
      <w:r w:rsidR="002B30C6">
        <w:rPr>
          <w:rFonts w:ascii="Abadi" w:hAnsi="Abadi"/>
          <w:sz w:val="21"/>
          <w:szCs w:val="21"/>
        </w:rPr>
        <w:t xml:space="preserve">a </w:t>
      </w:r>
      <w:r w:rsidR="002B30C6" w:rsidRPr="0021199F">
        <w:rPr>
          <w:rFonts w:ascii="Abadi" w:hAnsi="Abadi"/>
          <w:sz w:val="21"/>
          <w:szCs w:val="21"/>
        </w:rPr>
        <w:t>la</w:t>
      </w:r>
      <w:r w:rsidR="002B30C6">
        <w:rPr>
          <w:rFonts w:ascii="Abadi" w:hAnsi="Abadi"/>
          <w:sz w:val="21"/>
          <w:szCs w:val="21"/>
        </w:rPr>
        <w:t>s</w:t>
      </w:r>
      <w:r w:rsidR="002B30C6" w:rsidRPr="0021199F">
        <w:rPr>
          <w:rFonts w:ascii="Abadi" w:hAnsi="Abadi"/>
          <w:sz w:val="21"/>
          <w:szCs w:val="21"/>
        </w:rPr>
        <w:t xml:space="preserve"> diputada</w:t>
      </w:r>
      <w:r w:rsidR="002B30C6">
        <w:rPr>
          <w:rFonts w:ascii="Abadi" w:hAnsi="Abadi"/>
          <w:sz w:val="21"/>
          <w:szCs w:val="21"/>
        </w:rPr>
        <w:t>s</w:t>
      </w:r>
      <w:r w:rsidR="002B30C6" w:rsidRPr="0021199F">
        <w:rPr>
          <w:rFonts w:ascii="Abadi" w:hAnsi="Abadi"/>
          <w:sz w:val="21"/>
          <w:szCs w:val="21"/>
        </w:rPr>
        <w:t xml:space="preserve"> y</w:t>
      </w:r>
      <w:r w:rsidR="002B30C6">
        <w:rPr>
          <w:rFonts w:ascii="Abadi" w:hAnsi="Abadi"/>
          <w:sz w:val="21"/>
          <w:szCs w:val="21"/>
        </w:rPr>
        <w:t xml:space="preserve"> </w:t>
      </w:r>
      <w:r w:rsidR="002B30C6" w:rsidRPr="0021199F">
        <w:rPr>
          <w:rFonts w:ascii="Abadi" w:hAnsi="Abadi"/>
          <w:sz w:val="21"/>
          <w:szCs w:val="21"/>
        </w:rPr>
        <w:t>a los diputados, que se l</w:t>
      </w:r>
      <w:r w:rsidR="002B30C6">
        <w:rPr>
          <w:rFonts w:ascii="Abadi" w:hAnsi="Abadi"/>
          <w:sz w:val="21"/>
          <w:szCs w:val="21"/>
        </w:rPr>
        <w:t xml:space="preserve">es </w:t>
      </w:r>
      <w:r w:rsidR="002B30C6" w:rsidRPr="0021199F">
        <w:rPr>
          <w:rFonts w:ascii="Abadi" w:hAnsi="Abadi"/>
          <w:sz w:val="21"/>
          <w:szCs w:val="21"/>
        </w:rPr>
        <w:t xml:space="preserve">citará para la siguiente por conducto de la Secretaría General. </w:t>
      </w:r>
    </w:p>
    <w:p w14:paraId="26F2EC9F" w14:textId="2AC223DC" w:rsidR="002B30C6" w:rsidRDefault="002B30C6" w:rsidP="00593393">
      <w:pPr>
        <w:pStyle w:val="NormalWeb"/>
        <w:ind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Que tengan un excelente </w:t>
      </w:r>
      <w:r w:rsidR="00454F93" w:rsidRPr="0021199F">
        <w:rPr>
          <w:rFonts w:ascii="Abadi" w:hAnsi="Abadi"/>
          <w:sz w:val="21"/>
          <w:szCs w:val="21"/>
        </w:rPr>
        <w:t>f</w:t>
      </w:r>
      <w:r w:rsidR="00454F93">
        <w:rPr>
          <w:rFonts w:ascii="Abadi" w:hAnsi="Abadi"/>
          <w:sz w:val="21"/>
          <w:szCs w:val="21"/>
        </w:rPr>
        <w:t>i</w:t>
      </w:r>
      <w:r w:rsidR="00454F93" w:rsidRPr="0021199F">
        <w:rPr>
          <w:rFonts w:ascii="Abadi" w:hAnsi="Abadi"/>
          <w:sz w:val="21"/>
          <w:szCs w:val="21"/>
        </w:rPr>
        <w:t>n</w:t>
      </w:r>
      <w:r w:rsidRPr="0021199F">
        <w:rPr>
          <w:rFonts w:ascii="Abadi" w:hAnsi="Abadi"/>
          <w:sz w:val="21"/>
          <w:szCs w:val="21"/>
        </w:rPr>
        <w:t xml:space="preserve"> de semana. Y nada más decirles qu</w:t>
      </w:r>
      <w:r>
        <w:rPr>
          <w:rFonts w:ascii="Abadi" w:hAnsi="Abadi"/>
          <w:sz w:val="21"/>
          <w:szCs w:val="21"/>
        </w:rPr>
        <w:t>e</w:t>
      </w:r>
      <w:r w:rsidRPr="0021199F">
        <w:rPr>
          <w:rFonts w:ascii="Abadi" w:hAnsi="Abadi"/>
          <w:sz w:val="21"/>
          <w:szCs w:val="21"/>
        </w:rPr>
        <w:t xml:space="preserve"> un día como hoy hace </w:t>
      </w:r>
      <w:r w:rsidR="00454F93">
        <w:rPr>
          <w:rFonts w:ascii="Abadi" w:hAnsi="Abadi"/>
          <w:sz w:val="21"/>
          <w:szCs w:val="21"/>
        </w:rPr>
        <w:t>17</w:t>
      </w:r>
      <w:r w:rsidRPr="0021199F">
        <w:rPr>
          <w:rFonts w:ascii="Abadi" w:hAnsi="Abadi"/>
          <w:sz w:val="21"/>
          <w:szCs w:val="21"/>
        </w:rPr>
        <w:t xml:space="preserve"> años se aprueba la Ley de </w:t>
      </w:r>
      <w:r>
        <w:rPr>
          <w:rFonts w:ascii="Abadi" w:hAnsi="Abadi"/>
          <w:sz w:val="21"/>
          <w:szCs w:val="21"/>
        </w:rPr>
        <w:t>E</w:t>
      </w:r>
      <w:r w:rsidRPr="0021199F">
        <w:rPr>
          <w:rFonts w:ascii="Abadi" w:hAnsi="Abadi"/>
          <w:sz w:val="21"/>
          <w:szCs w:val="21"/>
        </w:rPr>
        <w:t xml:space="preserve">lecciones de </w:t>
      </w:r>
      <w:r>
        <w:rPr>
          <w:rFonts w:ascii="Abadi" w:hAnsi="Abadi"/>
          <w:sz w:val="21"/>
          <w:szCs w:val="21"/>
        </w:rPr>
        <w:t>A</w:t>
      </w:r>
      <w:r w:rsidRPr="0021199F">
        <w:rPr>
          <w:rFonts w:ascii="Abadi" w:hAnsi="Abadi"/>
          <w:sz w:val="21"/>
          <w:szCs w:val="21"/>
        </w:rPr>
        <w:t>yuntamientos. Nada más</w:t>
      </w:r>
      <w:r>
        <w:rPr>
          <w:rFonts w:ascii="Abadi" w:hAnsi="Abadi"/>
          <w:sz w:val="21"/>
          <w:szCs w:val="21"/>
        </w:rPr>
        <w:t xml:space="preserve"> por c</w:t>
      </w:r>
      <w:r w:rsidRPr="0021199F">
        <w:rPr>
          <w:rFonts w:ascii="Abadi" w:hAnsi="Abadi"/>
          <w:sz w:val="21"/>
          <w:szCs w:val="21"/>
        </w:rPr>
        <w:t>ultura general</w:t>
      </w:r>
      <w:r>
        <w:rPr>
          <w:rFonts w:ascii="Abadi" w:hAnsi="Abadi"/>
          <w:sz w:val="21"/>
          <w:szCs w:val="21"/>
        </w:rPr>
        <w:t>.</w:t>
      </w:r>
      <w:r w:rsidRPr="0021199F">
        <w:rPr>
          <w:rFonts w:ascii="Abadi" w:hAnsi="Abadi"/>
          <w:sz w:val="21"/>
          <w:szCs w:val="21"/>
        </w:rPr>
        <w:t xml:space="preserve"> </w:t>
      </w:r>
    </w:p>
    <w:p w14:paraId="506C5718" w14:textId="5BCF6DD9" w:rsidR="002B30C6" w:rsidRDefault="002B30C6" w:rsidP="00593393">
      <w:pPr>
        <w:pStyle w:val="NormalWeb"/>
        <w:ind w:firstLine="708"/>
        <w:jc w:val="both"/>
        <w:rPr>
          <w:rFonts w:ascii="Abadi" w:hAnsi="Abadi"/>
          <w:sz w:val="21"/>
          <w:szCs w:val="21"/>
        </w:rPr>
      </w:pPr>
      <w:r>
        <w:rPr>
          <w:rFonts w:ascii="Abadi" w:hAnsi="Abadi"/>
          <w:sz w:val="21"/>
          <w:szCs w:val="21"/>
        </w:rPr>
        <w:t>- M</w:t>
      </w:r>
      <w:r w:rsidRPr="0021199F">
        <w:rPr>
          <w:rFonts w:ascii="Abadi" w:hAnsi="Abadi"/>
          <w:sz w:val="21"/>
          <w:szCs w:val="21"/>
        </w:rPr>
        <w:t xml:space="preserve">uy buenas tardes. </w:t>
      </w:r>
    </w:p>
    <w:p w14:paraId="6D8F1E7B" w14:textId="2BBA0B22" w:rsidR="0063247A" w:rsidRPr="00FB0D27" w:rsidRDefault="002B30C6" w:rsidP="00593393">
      <w:pPr>
        <w:pStyle w:val="NormalWeb"/>
        <w:ind w:firstLine="708"/>
        <w:jc w:val="both"/>
        <w:rPr>
          <w:rFonts w:ascii="Abadi" w:hAnsi="Abadi"/>
          <w:sz w:val="21"/>
          <w:szCs w:val="21"/>
        </w:rPr>
      </w:pPr>
      <w:r>
        <w:rPr>
          <w:rFonts w:ascii="Abadi" w:hAnsi="Abadi"/>
          <w:sz w:val="21"/>
          <w:szCs w:val="21"/>
        </w:rPr>
        <w:t xml:space="preserve">- </w:t>
      </w:r>
      <w:r w:rsidRPr="0021199F">
        <w:rPr>
          <w:rFonts w:ascii="Abadi" w:hAnsi="Abadi"/>
          <w:sz w:val="21"/>
          <w:szCs w:val="21"/>
        </w:rPr>
        <w:t xml:space="preserve">Que tenga un excelente día. </w:t>
      </w:r>
      <w:r w:rsidR="001D7BC1" w:rsidRPr="00593393">
        <w:rPr>
          <w:rFonts w:ascii="Abadi" w:hAnsi="Abadi"/>
          <w:sz w:val="12"/>
          <w:szCs w:val="12"/>
        </w:rPr>
        <w:footnoteReference w:id="52"/>
      </w:r>
    </w:p>
    <w:p w14:paraId="0921B404" w14:textId="36478850" w:rsidR="00951F6D" w:rsidRPr="00FB0D27" w:rsidRDefault="00951F6D" w:rsidP="0024733C">
      <w:pPr>
        <w:ind w:firstLine="720"/>
        <w:jc w:val="both"/>
        <w:rPr>
          <w:rFonts w:ascii="Abadi" w:hAnsi="Abadi"/>
          <w:sz w:val="21"/>
          <w:szCs w:val="21"/>
        </w:rPr>
      </w:pPr>
    </w:p>
    <w:p w14:paraId="221C5D9D" w14:textId="285D9296" w:rsidR="00663304" w:rsidRDefault="00663304" w:rsidP="00014EE5">
      <w:pPr>
        <w:ind w:firstLine="720"/>
        <w:jc w:val="both"/>
        <w:rPr>
          <w:rFonts w:ascii="Abadi" w:hAnsi="Abadi"/>
          <w:b/>
          <w:sz w:val="21"/>
          <w:szCs w:val="21"/>
        </w:rPr>
      </w:pPr>
    </w:p>
    <w:p w14:paraId="34B7F2DB" w14:textId="451B1852" w:rsidR="00F211BF" w:rsidRDefault="00F211BF" w:rsidP="00014EE5">
      <w:pPr>
        <w:ind w:firstLine="720"/>
        <w:jc w:val="both"/>
        <w:rPr>
          <w:rFonts w:ascii="Abadi" w:hAnsi="Abadi"/>
          <w:b/>
          <w:sz w:val="21"/>
          <w:szCs w:val="21"/>
        </w:rPr>
      </w:pPr>
    </w:p>
    <w:p w14:paraId="2AD87490" w14:textId="4FE9DDA0" w:rsidR="00781E4F" w:rsidRDefault="00781E4F" w:rsidP="00014EE5">
      <w:pPr>
        <w:ind w:firstLine="720"/>
        <w:jc w:val="both"/>
        <w:rPr>
          <w:rFonts w:ascii="Abadi" w:hAnsi="Abadi"/>
          <w:b/>
          <w:sz w:val="21"/>
          <w:szCs w:val="21"/>
        </w:rPr>
      </w:pPr>
    </w:p>
    <w:p w14:paraId="0BF0A85A" w14:textId="40F58843" w:rsidR="00781E4F" w:rsidRDefault="00781E4F" w:rsidP="00014EE5">
      <w:pPr>
        <w:ind w:firstLine="720"/>
        <w:jc w:val="both"/>
        <w:rPr>
          <w:rFonts w:ascii="Abadi" w:hAnsi="Abadi"/>
          <w:b/>
          <w:sz w:val="21"/>
          <w:szCs w:val="21"/>
        </w:rPr>
      </w:pPr>
    </w:p>
    <w:p w14:paraId="267947AF" w14:textId="0616DC56" w:rsidR="00CF7187" w:rsidRDefault="00CF7187" w:rsidP="00014EE5">
      <w:pPr>
        <w:ind w:firstLine="720"/>
        <w:jc w:val="both"/>
        <w:rPr>
          <w:rFonts w:ascii="Abadi" w:hAnsi="Abadi"/>
          <w:b/>
          <w:sz w:val="21"/>
          <w:szCs w:val="21"/>
        </w:rPr>
      </w:pPr>
    </w:p>
    <w:p w14:paraId="360F881D" w14:textId="0CE59535" w:rsidR="00CF7187" w:rsidRDefault="00CF7187" w:rsidP="00014EE5">
      <w:pPr>
        <w:ind w:firstLine="720"/>
        <w:jc w:val="both"/>
        <w:rPr>
          <w:rFonts w:ascii="Abadi" w:hAnsi="Abadi"/>
          <w:b/>
          <w:sz w:val="21"/>
          <w:szCs w:val="21"/>
        </w:rPr>
      </w:pPr>
    </w:p>
    <w:p w14:paraId="5E99CF78" w14:textId="4DB917CB" w:rsidR="00CF7187" w:rsidRDefault="00CF7187" w:rsidP="00014EE5">
      <w:pPr>
        <w:ind w:firstLine="720"/>
        <w:jc w:val="both"/>
        <w:rPr>
          <w:rFonts w:ascii="Abadi" w:hAnsi="Abadi"/>
          <w:b/>
          <w:sz w:val="21"/>
          <w:szCs w:val="21"/>
        </w:rPr>
      </w:pPr>
    </w:p>
    <w:p w14:paraId="50D2A17C" w14:textId="3B89EA9D" w:rsidR="00CF7187" w:rsidRDefault="00CF7187" w:rsidP="00014EE5">
      <w:pPr>
        <w:ind w:firstLine="720"/>
        <w:jc w:val="both"/>
        <w:rPr>
          <w:rFonts w:ascii="Abadi" w:hAnsi="Abadi"/>
          <w:b/>
          <w:sz w:val="21"/>
          <w:szCs w:val="21"/>
        </w:rPr>
      </w:pPr>
    </w:p>
    <w:p w14:paraId="34FA5756" w14:textId="02F550F8" w:rsidR="00CF7187" w:rsidRDefault="00CF7187" w:rsidP="00014EE5">
      <w:pPr>
        <w:ind w:firstLine="720"/>
        <w:jc w:val="both"/>
        <w:rPr>
          <w:rFonts w:ascii="Abadi" w:hAnsi="Abadi"/>
          <w:b/>
          <w:sz w:val="21"/>
          <w:szCs w:val="21"/>
        </w:rPr>
      </w:pPr>
    </w:p>
    <w:p w14:paraId="182FDB97" w14:textId="7F07EABF" w:rsidR="00CF7187" w:rsidRDefault="00CF7187" w:rsidP="00014EE5">
      <w:pPr>
        <w:ind w:firstLine="720"/>
        <w:jc w:val="both"/>
        <w:rPr>
          <w:rFonts w:ascii="Abadi" w:hAnsi="Abadi"/>
          <w:b/>
          <w:sz w:val="21"/>
          <w:szCs w:val="21"/>
        </w:rPr>
      </w:pPr>
    </w:p>
    <w:p w14:paraId="6DC5AFBF" w14:textId="36B8DBBD" w:rsidR="00CF7187" w:rsidRDefault="00CF7187" w:rsidP="00014EE5">
      <w:pPr>
        <w:ind w:firstLine="720"/>
        <w:jc w:val="both"/>
        <w:rPr>
          <w:rFonts w:ascii="Abadi" w:hAnsi="Abadi"/>
          <w:b/>
          <w:sz w:val="21"/>
          <w:szCs w:val="21"/>
        </w:rPr>
      </w:pPr>
    </w:p>
    <w:p w14:paraId="6CD2BBDF" w14:textId="6B7E4E86" w:rsidR="00CF7187" w:rsidRDefault="00CF7187" w:rsidP="00014EE5">
      <w:pPr>
        <w:ind w:firstLine="720"/>
        <w:jc w:val="both"/>
        <w:rPr>
          <w:rFonts w:ascii="Abadi" w:hAnsi="Abadi"/>
          <w:b/>
          <w:sz w:val="21"/>
          <w:szCs w:val="21"/>
        </w:rPr>
      </w:pPr>
    </w:p>
    <w:p w14:paraId="679755E6" w14:textId="33C75610" w:rsidR="00CF7187" w:rsidRDefault="00CF7187" w:rsidP="00014EE5">
      <w:pPr>
        <w:ind w:firstLine="720"/>
        <w:jc w:val="both"/>
        <w:rPr>
          <w:rFonts w:ascii="Abadi" w:hAnsi="Abadi"/>
          <w:b/>
          <w:sz w:val="21"/>
          <w:szCs w:val="21"/>
        </w:rPr>
      </w:pPr>
    </w:p>
    <w:p w14:paraId="013D60CF" w14:textId="2AB79322" w:rsidR="00CF7187" w:rsidRDefault="00CF7187" w:rsidP="00014EE5">
      <w:pPr>
        <w:ind w:firstLine="720"/>
        <w:jc w:val="both"/>
        <w:rPr>
          <w:rFonts w:ascii="Abadi" w:hAnsi="Abadi"/>
          <w:b/>
          <w:sz w:val="21"/>
          <w:szCs w:val="21"/>
        </w:rPr>
      </w:pPr>
    </w:p>
    <w:p w14:paraId="5F944017" w14:textId="556B954C" w:rsidR="00CF7187" w:rsidRDefault="00CF7187" w:rsidP="00014EE5">
      <w:pPr>
        <w:ind w:firstLine="720"/>
        <w:jc w:val="both"/>
        <w:rPr>
          <w:rFonts w:ascii="Abadi" w:hAnsi="Abadi"/>
          <w:b/>
          <w:sz w:val="21"/>
          <w:szCs w:val="21"/>
        </w:rPr>
      </w:pPr>
    </w:p>
    <w:p w14:paraId="1B4B6C2A" w14:textId="37813BC9" w:rsidR="00CF7187" w:rsidRDefault="00CF7187" w:rsidP="00014EE5">
      <w:pPr>
        <w:ind w:firstLine="720"/>
        <w:jc w:val="both"/>
        <w:rPr>
          <w:rFonts w:ascii="Abadi" w:hAnsi="Abadi"/>
          <w:b/>
          <w:sz w:val="21"/>
          <w:szCs w:val="21"/>
        </w:rPr>
      </w:pPr>
    </w:p>
    <w:p w14:paraId="73DF4E28" w14:textId="58C640F4" w:rsidR="00CF7187" w:rsidRDefault="00CF7187" w:rsidP="00014EE5">
      <w:pPr>
        <w:ind w:firstLine="720"/>
        <w:jc w:val="both"/>
        <w:rPr>
          <w:rFonts w:ascii="Abadi" w:hAnsi="Abadi"/>
          <w:b/>
          <w:sz w:val="21"/>
          <w:szCs w:val="21"/>
        </w:rPr>
      </w:pPr>
    </w:p>
    <w:p w14:paraId="48B6A42F" w14:textId="21C58D39" w:rsidR="00CF7187" w:rsidRDefault="00CF7187" w:rsidP="00014EE5">
      <w:pPr>
        <w:ind w:firstLine="720"/>
        <w:jc w:val="both"/>
        <w:rPr>
          <w:rFonts w:ascii="Abadi" w:hAnsi="Abadi"/>
          <w:b/>
          <w:sz w:val="21"/>
          <w:szCs w:val="21"/>
        </w:rPr>
      </w:pPr>
    </w:p>
    <w:p w14:paraId="32C777A2" w14:textId="294556F9" w:rsidR="00CF7187" w:rsidRDefault="00CF7187" w:rsidP="00014EE5">
      <w:pPr>
        <w:ind w:firstLine="720"/>
        <w:jc w:val="both"/>
        <w:rPr>
          <w:rFonts w:ascii="Abadi" w:hAnsi="Abadi"/>
          <w:b/>
          <w:sz w:val="21"/>
          <w:szCs w:val="21"/>
        </w:rPr>
      </w:pPr>
    </w:p>
    <w:p w14:paraId="64264F1E" w14:textId="2CB628BC" w:rsidR="00CF7187" w:rsidRDefault="00CF7187" w:rsidP="00014EE5">
      <w:pPr>
        <w:ind w:firstLine="720"/>
        <w:jc w:val="both"/>
        <w:rPr>
          <w:rFonts w:ascii="Abadi" w:hAnsi="Abadi"/>
          <w:b/>
          <w:sz w:val="21"/>
          <w:szCs w:val="21"/>
        </w:rPr>
      </w:pPr>
    </w:p>
    <w:p w14:paraId="63459148" w14:textId="7EE360F4" w:rsidR="00CF7187" w:rsidRDefault="00CF7187" w:rsidP="00014EE5">
      <w:pPr>
        <w:ind w:firstLine="720"/>
        <w:jc w:val="both"/>
        <w:rPr>
          <w:rFonts w:ascii="Abadi" w:hAnsi="Abadi"/>
          <w:b/>
          <w:sz w:val="21"/>
          <w:szCs w:val="21"/>
        </w:rPr>
      </w:pPr>
    </w:p>
    <w:p w14:paraId="740B5CC2" w14:textId="2F172AE7" w:rsidR="00CF7187" w:rsidRDefault="00CF7187" w:rsidP="00014EE5">
      <w:pPr>
        <w:ind w:firstLine="720"/>
        <w:jc w:val="both"/>
        <w:rPr>
          <w:rFonts w:ascii="Abadi" w:hAnsi="Abadi"/>
          <w:b/>
          <w:sz w:val="21"/>
          <w:szCs w:val="21"/>
        </w:rPr>
      </w:pPr>
    </w:p>
    <w:p w14:paraId="26D59A4A" w14:textId="6B8CCF77" w:rsidR="00CF7187" w:rsidRDefault="00CF7187" w:rsidP="00014EE5">
      <w:pPr>
        <w:ind w:firstLine="720"/>
        <w:jc w:val="both"/>
        <w:rPr>
          <w:rFonts w:ascii="Abadi" w:hAnsi="Abadi"/>
          <w:b/>
          <w:sz w:val="21"/>
          <w:szCs w:val="21"/>
        </w:rPr>
      </w:pPr>
    </w:p>
    <w:p w14:paraId="13FFE61E" w14:textId="5B2BD74D" w:rsidR="00CF7187" w:rsidRDefault="00CF7187" w:rsidP="00014EE5">
      <w:pPr>
        <w:ind w:firstLine="720"/>
        <w:jc w:val="both"/>
        <w:rPr>
          <w:rFonts w:ascii="Abadi" w:hAnsi="Abadi"/>
          <w:b/>
          <w:sz w:val="21"/>
          <w:szCs w:val="21"/>
        </w:rPr>
      </w:pPr>
    </w:p>
    <w:p w14:paraId="3BEF8CF9" w14:textId="70000ACA" w:rsidR="00CF7187" w:rsidRDefault="00CF7187" w:rsidP="00014EE5">
      <w:pPr>
        <w:ind w:firstLine="720"/>
        <w:jc w:val="both"/>
        <w:rPr>
          <w:rFonts w:ascii="Abadi" w:hAnsi="Abadi"/>
          <w:b/>
          <w:sz w:val="21"/>
          <w:szCs w:val="21"/>
        </w:rPr>
      </w:pPr>
    </w:p>
    <w:p w14:paraId="4CAADB85" w14:textId="51B46C22" w:rsidR="00CF7187" w:rsidRDefault="00CF7187" w:rsidP="00014EE5">
      <w:pPr>
        <w:ind w:firstLine="720"/>
        <w:jc w:val="both"/>
        <w:rPr>
          <w:rFonts w:ascii="Abadi" w:hAnsi="Abadi"/>
          <w:b/>
          <w:sz w:val="21"/>
          <w:szCs w:val="21"/>
        </w:rPr>
      </w:pPr>
    </w:p>
    <w:p w14:paraId="11A546FF" w14:textId="0CA154AB" w:rsidR="00CF7187" w:rsidRDefault="00CF7187" w:rsidP="00014EE5">
      <w:pPr>
        <w:ind w:firstLine="720"/>
        <w:jc w:val="both"/>
        <w:rPr>
          <w:rFonts w:ascii="Abadi" w:hAnsi="Abadi"/>
          <w:b/>
          <w:sz w:val="21"/>
          <w:szCs w:val="21"/>
        </w:rPr>
      </w:pPr>
    </w:p>
    <w:p w14:paraId="2439E828" w14:textId="5C8C1DAC" w:rsidR="00CF7187" w:rsidRDefault="00CF7187" w:rsidP="00014EE5">
      <w:pPr>
        <w:ind w:firstLine="720"/>
        <w:jc w:val="both"/>
        <w:rPr>
          <w:rFonts w:ascii="Abadi" w:hAnsi="Abadi"/>
          <w:b/>
          <w:sz w:val="21"/>
          <w:szCs w:val="21"/>
        </w:rPr>
      </w:pPr>
    </w:p>
    <w:p w14:paraId="065B32D8" w14:textId="73BA3666" w:rsidR="00CF7187" w:rsidRDefault="00CF7187" w:rsidP="00014EE5">
      <w:pPr>
        <w:ind w:firstLine="720"/>
        <w:jc w:val="both"/>
        <w:rPr>
          <w:rFonts w:ascii="Abadi" w:hAnsi="Abadi"/>
          <w:b/>
          <w:sz w:val="21"/>
          <w:szCs w:val="21"/>
        </w:rPr>
      </w:pPr>
    </w:p>
    <w:p w14:paraId="49C5CE28" w14:textId="77777777" w:rsidR="00CF7187" w:rsidRDefault="00CF7187" w:rsidP="00014EE5">
      <w:pPr>
        <w:ind w:firstLine="720"/>
        <w:jc w:val="both"/>
        <w:rPr>
          <w:rFonts w:ascii="Abadi" w:hAnsi="Abadi"/>
          <w:b/>
          <w:sz w:val="21"/>
          <w:szCs w:val="21"/>
        </w:rPr>
      </w:pPr>
    </w:p>
    <w:p w14:paraId="38685C0A" w14:textId="75260844" w:rsidR="00781E4F" w:rsidRDefault="00781E4F" w:rsidP="00014EE5">
      <w:pPr>
        <w:ind w:firstLine="720"/>
        <w:jc w:val="both"/>
        <w:rPr>
          <w:rFonts w:ascii="Abadi" w:hAnsi="Abadi"/>
          <w:b/>
          <w:sz w:val="21"/>
          <w:szCs w:val="21"/>
        </w:rPr>
      </w:pPr>
    </w:p>
    <w:p w14:paraId="76ED770E" w14:textId="621497B4" w:rsidR="00E73ECD" w:rsidRDefault="00E73ECD" w:rsidP="00014EE5">
      <w:pPr>
        <w:ind w:firstLine="720"/>
        <w:jc w:val="both"/>
        <w:rPr>
          <w:rFonts w:ascii="Abadi" w:hAnsi="Abadi"/>
          <w:b/>
          <w:sz w:val="21"/>
          <w:szCs w:val="21"/>
        </w:rPr>
      </w:pPr>
    </w:p>
    <w:p w14:paraId="2760CF03" w14:textId="312B4997" w:rsidR="00E73ECD" w:rsidRDefault="00E73ECD" w:rsidP="00014EE5">
      <w:pPr>
        <w:ind w:firstLine="720"/>
        <w:jc w:val="both"/>
        <w:rPr>
          <w:rFonts w:ascii="Abadi" w:hAnsi="Abadi"/>
          <w:b/>
          <w:sz w:val="21"/>
          <w:szCs w:val="21"/>
        </w:rPr>
      </w:pPr>
    </w:p>
    <w:p w14:paraId="3D4DBD32" w14:textId="74E67FB1" w:rsidR="00E73ECD" w:rsidRDefault="00CF7187" w:rsidP="00014EE5">
      <w:pPr>
        <w:ind w:firstLine="720"/>
        <w:jc w:val="both"/>
        <w:rPr>
          <w:rFonts w:ascii="Abadi" w:hAnsi="Abadi"/>
          <w:b/>
          <w:sz w:val="21"/>
          <w:szCs w:val="21"/>
        </w:rPr>
      </w:pPr>
      <w:r>
        <w:rPr>
          <w:rFonts w:ascii="Abadi" w:hAnsi="Abadi"/>
          <w:noProof/>
          <w:sz w:val="21"/>
          <w:szCs w:val="21"/>
        </w:rPr>
        <mc:AlternateContent>
          <mc:Choice Requires="wpg">
            <w:drawing>
              <wp:anchor distT="0" distB="0" distL="114300" distR="114300" simplePos="0" relativeHeight="251658258" behindDoc="0" locked="0" layoutInCell="1" allowOverlap="1" wp14:anchorId="30FF13C4" wp14:editId="1EDC3760">
                <wp:simplePos x="0" y="0"/>
                <wp:positionH relativeFrom="margin">
                  <wp:posOffset>3123321</wp:posOffset>
                </wp:positionH>
                <wp:positionV relativeFrom="paragraph">
                  <wp:posOffset>148541</wp:posOffset>
                </wp:positionV>
                <wp:extent cx="2778369" cy="3314700"/>
                <wp:effectExtent l="0" t="0" r="22225" b="19050"/>
                <wp:wrapNone/>
                <wp:docPr id="61" name="Grupo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8369" cy="3314700"/>
                          <a:chOff x="0" y="0"/>
                          <a:chExt cx="2696210" cy="3597275"/>
                        </a:xfrm>
                      </wpg:grpSpPr>
                      <wps:wsp>
                        <wps:cNvPr id="62" name="Diagrama de flujo: multidocumento 45"/>
                        <wps:cNvSpPr/>
                        <wps:spPr>
                          <a:xfrm>
                            <a:off x="0" y="0"/>
                            <a:ext cx="2696210" cy="3597275"/>
                          </a:xfrm>
                          <a:prstGeom prst="flowChartMultidocument">
                            <a:avLst/>
                          </a:prstGeom>
                          <a:noFill/>
                          <a:ln w="12700" cap="flat" cmpd="sng" algn="ctr">
                            <a:solidFill>
                              <a:sysClr val="windowText" lastClr="000000"/>
                            </a:solidFill>
                            <a:prstDash val="solid"/>
                          </a:ln>
                          <a:effectLst/>
                        </wps:spPr>
                        <wps:txbx>
                          <w:txbxContent>
                            <w:p w14:paraId="22685474" w14:textId="77777777" w:rsidR="000179E4" w:rsidRPr="001040DC" w:rsidRDefault="000179E4" w:rsidP="000179E4">
                              <w:pPr>
                                <w:suppressOverlap/>
                                <w:jc w:val="center"/>
                                <w:rPr>
                                  <w:rFonts w:ascii="Abadi" w:hAnsi="Abadi" w:cs="Arial"/>
                                  <w:b/>
                                  <w:sz w:val="18"/>
                                  <w:szCs w:val="18"/>
                                  <w:lang w:val="pt-PT"/>
                                </w:rPr>
                              </w:pPr>
                            </w:p>
                            <w:p w14:paraId="177CA1C9" w14:textId="77777777" w:rsidR="000179E4" w:rsidRPr="001040DC" w:rsidRDefault="000179E4" w:rsidP="000179E4">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235765FA"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6AEFE602"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057D1CA"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1417FDFD" w14:textId="41DFB459" w:rsidR="000179E4" w:rsidRPr="001040DC" w:rsidRDefault="000179E4" w:rsidP="000179E4">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sidR="00454F93">
                                <w:rPr>
                                  <w:rFonts w:ascii="Abadi" w:hAnsi="Abadi" w:cs="Arial"/>
                                  <w:b/>
                                  <w:sz w:val="18"/>
                                  <w:szCs w:val="18"/>
                                  <w:lang w:val="pt-PT"/>
                                </w:rPr>
                                <w:t>e</w:t>
                              </w:r>
                              <w:r w:rsidRPr="001040DC">
                                <w:rPr>
                                  <w:rFonts w:ascii="Abadi" w:hAnsi="Abadi" w:cs="Arial"/>
                                  <w:b/>
                                  <w:sz w:val="18"/>
                                  <w:szCs w:val="18"/>
                                  <w:lang w:val="pt-PT"/>
                                </w:rPr>
                                <w:t xml:space="preserve"> </w:t>
                              </w:r>
                              <w:r w:rsidR="00454F93">
                                <w:rPr>
                                  <w:rFonts w:ascii="Abadi" w:hAnsi="Abadi" w:cs="Arial"/>
                                  <w:b/>
                                  <w:sz w:val="18"/>
                                  <w:szCs w:val="18"/>
                                  <w:lang w:val="pt-PT"/>
                                </w:rPr>
                                <w:t>A</w:t>
                              </w:r>
                              <w:r w:rsidRPr="001040DC">
                                <w:rPr>
                                  <w:rFonts w:ascii="Abadi" w:hAnsi="Abadi" w:cs="Arial"/>
                                  <w:b/>
                                  <w:sz w:val="18"/>
                                  <w:szCs w:val="18"/>
                                  <w:lang w:val="pt-PT"/>
                                </w:rPr>
                                <w:t xml:space="preserve">ngel Rocha </w:t>
                              </w:r>
                            </w:p>
                            <w:p w14:paraId="777790F3" w14:textId="77777777" w:rsidR="000179E4" w:rsidRPr="001040DC" w:rsidRDefault="000179E4" w:rsidP="000179E4">
                              <w:pPr>
                                <w:suppressOverlap/>
                                <w:jc w:val="center"/>
                                <w:rPr>
                                  <w:rFonts w:ascii="Abadi" w:hAnsi="Abadi" w:cs="Arial"/>
                                  <w:b/>
                                  <w:sz w:val="18"/>
                                  <w:szCs w:val="18"/>
                                  <w:lang w:val="pt-PT"/>
                                </w:rPr>
                              </w:pPr>
                            </w:p>
                            <w:p w14:paraId="4100A367"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50897A43"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45243FFF"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1AB7E372" w14:textId="77777777" w:rsidR="000179E4" w:rsidRPr="001040DC" w:rsidRDefault="000179E4" w:rsidP="000179E4">
                              <w:pPr>
                                <w:suppressOverlap/>
                                <w:jc w:val="center"/>
                                <w:rPr>
                                  <w:rFonts w:ascii="Abadi" w:hAnsi="Abadi" w:cs="Arial"/>
                                  <w:b/>
                                  <w:sz w:val="18"/>
                                  <w:szCs w:val="18"/>
                                  <w:lang w:val="pt-PT"/>
                                </w:rPr>
                              </w:pPr>
                            </w:p>
                            <w:p w14:paraId="1B9D3CAC"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7A2D450F"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35BF4198"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0544227D" w14:textId="77777777" w:rsidR="000179E4" w:rsidRPr="001040DC" w:rsidRDefault="000179E4" w:rsidP="000179E4">
                              <w:pPr>
                                <w:suppressOverlap/>
                                <w:jc w:val="center"/>
                                <w:rPr>
                                  <w:rFonts w:ascii="Abadi" w:hAnsi="Abadi" w:cs="Arial"/>
                                  <w:b/>
                                  <w:sz w:val="18"/>
                                  <w:szCs w:val="18"/>
                                  <w:lang w:val="pt-PT"/>
                                </w:rPr>
                              </w:pPr>
                            </w:p>
                            <w:p w14:paraId="21EBC6B7"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6D3321E2"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5DA7DF46" w14:textId="77777777" w:rsidR="000179E4" w:rsidRPr="001040DC" w:rsidRDefault="000179E4" w:rsidP="000179E4">
                              <w:pPr>
                                <w:jc w:val="center"/>
                              </w:pPr>
                            </w:p>
                            <w:p w14:paraId="0C2D6A28" w14:textId="77777777" w:rsidR="000179E4" w:rsidRPr="00495760" w:rsidRDefault="000179E4" w:rsidP="000179E4">
                              <w:pPr>
                                <w:pStyle w:val="Prrafodelista"/>
                                <w:numPr>
                                  <w:ilvl w:val="0"/>
                                  <w:numId w:val="80"/>
                                </w:numPr>
                                <w:tabs>
                                  <w:tab w:val="num" w:pos="360"/>
                                </w:tabs>
                                <w:spacing w:after="160" w:line="259" w:lineRule="auto"/>
                                <w:ind w:left="0" w:firstLine="0"/>
                                <w:suppressOverlap/>
                                <w:jc w:val="center"/>
                                <w:rPr>
                                  <w:rFonts w:ascii="Abadi" w:hAnsi="Abadi" w:cs="Arial"/>
                                  <w:b/>
                                  <w:sz w:val="18"/>
                                  <w:szCs w:val="18"/>
                                  <w:lang w:val="pt-PT"/>
                                </w:rPr>
                              </w:pPr>
                            </w:p>
                            <w:p w14:paraId="454E3F52" w14:textId="77777777" w:rsidR="000179E4" w:rsidRPr="001040DC" w:rsidRDefault="000179E4" w:rsidP="000179E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 name="Imagen 46" descr="Interfaz de usuario gráfica&#10;&#10;Descripción generada automáticamente con confianza media"/>
                          <pic:cNvPicPr>
                            <a:picLocks noChangeAspect="1"/>
                          </pic:cNvPicPr>
                        </pic:nvPicPr>
                        <pic:blipFill>
                          <a:blip r:embed="rId77" cstate="print"/>
                          <a:stretch>
                            <a:fillRect/>
                          </a:stretch>
                        </pic:blipFill>
                        <pic:spPr>
                          <a:xfrm>
                            <a:off x="1047750" y="0"/>
                            <a:ext cx="662940" cy="276225"/>
                          </a:xfrm>
                          <a:prstGeom prst="rect">
                            <a:avLst/>
                          </a:prstGeom>
                        </pic:spPr>
                      </pic:pic>
                      <wps:wsp>
                        <wps:cNvPr id="22848" name="Cuadro de texto 2"/>
                        <wps:cNvSpPr txBox="1">
                          <a:spLocks noChangeArrowheads="1"/>
                        </wps:cNvSpPr>
                        <wps:spPr bwMode="auto">
                          <a:xfrm>
                            <a:off x="257068" y="295246"/>
                            <a:ext cx="2095500" cy="427494"/>
                          </a:xfrm>
                          <a:prstGeom prst="rect">
                            <a:avLst/>
                          </a:prstGeom>
                          <a:noFill/>
                          <a:ln w="9525">
                            <a:noFill/>
                            <a:miter lim="800000"/>
                            <a:headEnd/>
                            <a:tailEnd/>
                          </a:ln>
                        </wps:spPr>
                        <wps:txbx>
                          <w:txbxContent>
                            <w:p w14:paraId="5FA751EF" w14:textId="77777777" w:rsidR="000179E4" w:rsidRPr="00544C73" w:rsidRDefault="000179E4" w:rsidP="000179E4">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30FF1E42" w14:textId="77777777" w:rsidR="000179E4" w:rsidRPr="00EE0581" w:rsidRDefault="000179E4" w:rsidP="000179E4">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30FF13C4" id="Grupo 61" o:spid="_x0000_s1026" style="position:absolute;left:0;text-align:left;margin-left:245.95pt;margin-top:11.7pt;width:218.75pt;height:261pt;z-index:251658258;mso-position-horizontal-relative:margin;mso-width-relative:margin" coordsize="26962,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width:26962;height:35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" filled="f" strokecolor="windowText" strokeweight="1pt">
                  <v:textbox>
                    <w:txbxContent>
                      <w:p w14:paraId="22685474" w14:textId="77777777" w:rsidR="000179E4" w:rsidRPr="001040DC" w:rsidRDefault="000179E4" w:rsidP="000179E4">
                        <w:pPr>
                          <w:suppressOverlap/>
                          <w:jc w:val="center"/>
                          <w:rPr>
                            <w:rFonts w:ascii="Abadi" w:hAnsi="Abadi" w:cs="Arial"/>
                            <w:b/>
                            <w:sz w:val="18"/>
                            <w:szCs w:val="18"/>
                            <w:lang w:val="pt-PT"/>
                          </w:rPr>
                        </w:pPr>
                      </w:p>
                      <w:p w14:paraId="177CA1C9" w14:textId="77777777" w:rsidR="000179E4" w:rsidRPr="001040DC" w:rsidRDefault="000179E4" w:rsidP="000179E4">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235765FA"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6AEFE602"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057D1CA"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1417FDFD" w14:textId="41DFB459" w:rsidR="000179E4" w:rsidRPr="001040DC" w:rsidRDefault="000179E4" w:rsidP="000179E4">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sidR="00454F93">
                          <w:rPr>
                            <w:rFonts w:ascii="Abadi" w:hAnsi="Abadi" w:cs="Arial"/>
                            <w:b/>
                            <w:sz w:val="18"/>
                            <w:szCs w:val="18"/>
                            <w:lang w:val="pt-PT"/>
                          </w:rPr>
                          <w:t>e</w:t>
                        </w:r>
                        <w:r w:rsidRPr="001040DC">
                          <w:rPr>
                            <w:rFonts w:ascii="Abadi" w:hAnsi="Abadi" w:cs="Arial"/>
                            <w:b/>
                            <w:sz w:val="18"/>
                            <w:szCs w:val="18"/>
                            <w:lang w:val="pt-PT"/>
                          </w:rPr>
                          <w:t xml:space="preserve"> </w:t>
                        </w:r>
                        <w:r w:rsidR="00454F93">
                          <w:rPr>
                            <w:rFonts w:ascii="Abadi" w:hAnsi="Abadi" w:cs="Arial"/>
                            <w:b/>
                            <w:sz w:val="18"/>
                            <w:szCs w:val="18"/>
                            <w:lang w:val="pt-PT"/>
                          </w:rPr>
                          <w:t>A</w:t>
                        </w:r>
                        <w:r w:rsidRPr="001040DC">
                          <w:rPr>
                            <w:rFonts w:ascii="Abadi" w:hAnsi="Abadi" w:cs="Arial"/>
                            <w:b/>
                            <w:sz w:val="18"/>
                            <w:szCs w:val="18"/>
                            <w:lang w:val="pt-PT"/>
                          </w:rPr>
                          <w:t xml:space="preserve">ngel Rocha </w:t>
                        </w:r>
                      </w:p>
                      <w:p w14:paraId="777790F3" w14:textId="77777777" w:rsidR="000179E4" w:rsidRPr="001040DC" w:rsidRDefault="000179E4" w:rsidP="000179E4">
                        <w:pPr>
                          <w:suppressOverlap/>
                          <w:jc w:val="center"/>
                          <w:rPr>
                            <w:rFonts w:ascii="Abadi" w:hAnsi="Abadi" w:cs="Arial"/>
                            <w:b/>
                            <w:sz w:val="18"/>
                            <w:szCs w:val="18"/>
                            <w:lang w:val="pt-PT"/>
                          </w:rPr>
                        </w:pPr>
                      </w:p>
                      <w:p w14:paraId="4100A367"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50897A43"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45243FFF"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1AB7E372" w14:textId="77777777" w:rsidR="000179E4" w:rsidRPr="001040DC" w:rsidRDefault="000179E4" w:rsidP="000179E4">
                        <w:pPr>
                          <w:suppressOverlap/>
                          <w:jc w:val="center"/>
                          <w:rPr>
                            <w:rFonts w:ascii="Abadi" w:hAnsi="Abadi" w:cs="Arial"/>
                            <w:b/>
                            <w:sz w:val="18"/>
                            <w:szCs w:val="18"/>
                            <w:lang w:val="pt-PT"/>
                          </w:rPr>
                        </w:pPr>
                      </w:p>
                      <w:p w14:paraId="1B9D3CAC"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7A2D450F"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35BF4198"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0544227D" w14:textId="77777777" w:rsidR="000179E4" w:rsidRPr="001040DC" w:rsidRDefault="000179E4" w:rsidP="000179E4">
                        <w:pPr>
                          <w:suppressOverlap/>
                          <w:jc w:val="center"/>
                          <w:rPr>
                            <w:rFonts w:ascii="Abadi" w:hAnsi="Abadi" w:cs="Arial"/>
                            <w:b/>
                            <w:sz w:val="18"/>
                            <w:szCs w:val="18"/>
                            <w:lang w:val="pt-PT"/>
                          </w:rPr>
                        </w:pPr>
                      </w:p>
                      <w:p w14:paraId="21EBC6B7"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6D3321E2" w14:textId="77777777" w:rsidR="000179E4" w:rsidRPr="001040DC" w:rsidRDefault="000179E4" w:rsidP="000179E4">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5DA7DF46" w14:textId="77777777" w:rsidR="000179E4" w:rsidRPr="001040DC" w:rsidRDefault="000179E4" w:rsidP="000179E4">
                        <w:pPr>
                          <w:jc w:val="center"/>
                        </w:pPr>
                      </w:p>
                      <w:p w14:paraId="0C2D6A28" w14:textId="77777777" w:rsidR="000179E4" w:rsidRPr="00495760" w:rsidRDefault="000179E4" w:rsidP="000179E4">
                        <w:pPr>
                          <w:pStyle w:val="Prrafodelista"/>
                          <w:numPr>
                            <w:ilvl w:val="0"/>
                            <w:numId w:val="80"/>
                          </w:numPr>
                          <w:tabs>
                            <w:tab w:val="num" w:pos="360"/>
                          </w:tabs>
                          <w:spacing w:after="160" w:line="259" w:lineRule="auto"/>
                          <w:ind w:left="0" w:firstLine="0"/>
                          <w:suppressOverlap/>
                          <w:jc w:val="center"/>
                          <w:rPr>
                            <w:rFonts w:ascii="Abadi" w:hAnsi="Abadi" w:cs="Arial"/>
                            <w:b/>
                            <w:sz w:val="18"/>
                            <w:szCs w:val="18"/>
                            <w:lang w:val="pt-PT"/>
                          </w:rPr>
                        </w:pPr>
                      </w:p>
                      <w:p w14:paraId="454E3F52" w14:textId="77777777" w:rsidR="000179E4" w:rsidRPr="001040DC" w:rsidRDefault="000179E4" w:rsidP="000179E4"/>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10477;width:6629;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">
                  <v:imagedata r:id="rId79"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570;top:2952;width:20955;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" filled="f" stroked="f">
                  <v:textbox>
                    <w:txbxContent>
                      <w:p w14:paraId="5FA751EF" w14:textId="77777777" w:rsidR="000179E4" w:rsidRPr="00544C73" w:rsidRDefault="000179E4" w:rsidP="000179E4">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30FF1E42" w14:textId="77777777" w:rsidR="000179E4" w:rsidRPr="00EE0581" w:rsidRDefault="000179E4" w:rsidP="000179E4">
                        <w:pPr>
                          <w:rPr>
                            <w:sz w:val="16"/>
                            <w:szCs w:val="16"/>
                          </w:rPr>
                        </w:pPr>
                      </w:p>
                    </w:txbxContent>
                  </v:textbox>
                </v:shape>
                <w10:wrap anchorx="margin"/>
              </v:group>
            </w:pict>
          </mc:Fallback>
        </mc:AlternateContent>
      </w:r>
    </w:p>
    <w:sectPr w:rsidR="00E73ECD" w:rsidSect="00332634">
      <w:footnotePr>
        <w:pos w:val="beneathText"/>
        <w:numStart w:val="2"/>
      </w:footnotePr>
      <w:type w:val="continuous"/>
      <w:pgSz w:w="12240" w:h="15840" w:code="1"/>
      <w:pgMar w:top="709" w:right="2034" w:bottom="425" w:left="993" w:header="714" w:footer="1196"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1701"/>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3E863" w14:textId="77777777" w:rsidR="005336EA" w:rsidRDefault="005336EA">
      <w:r>
        <w:separator/>
      </w:r>
    </w:p>
  </w:endnote>
  <w:endnote w:type="continuationSeparator" w:id="0">
    <w:p w14:paraId="68331671" w14:textId="77777777" w:rsidR="005336EA" w:rsidRDefault="005336EA">
      <w:r>
        <w:continuationSeparator/>
      </w:r>
    </w:p>
  </w:endnote>
  <w:endnote w:type="continuationNotice" w:id="1">
    <w:p w14:paraId="55CAFF4E" w14:textId="77777777" w:rsidR="005336EA" w:rsidRDefault="005336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altName w:val="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Verdana-Bold-11353-Identity-H">
    <w:altName w:val="Calibri"/>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Verdana-6617-Identity-H">
    <w:altName w:val="Calibri"/>
    <w:panose1 w:val="00000000000000000000"/>
    <w:charset w:val="00"/>
    <w:family w:val="auto"/>
    <w:notTrueType/>
    <w:pitch w:val="default"/>
    <w:sig w:usb0="00000003" w:usb1="00000000" w:usb2="00000000" w:usb3="00000000" w:csb0="00000001" w:csb1="00000000"/>
  </w:font>
  <w:font w:name="*Microsoft Sans Serif-Bold-5986">
    <w:altName w:val="Calibri"/>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MT">
    <w:altName w:val="Arial"/>
    <w:panose1 w:val="00000000000000000000"/>
    <w:charset w:val="00"/>
    <w:family w:val="auto"/>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9187-Identity-H">
    <w:altName w:val="Calibri"/>
    <w:panose1 w:val="00000000000000000000"/>
    <w:charset w:val="00"/>
    <w:family w:val="auto"/>
    <w:notTrueType/>
    <w:pitch w:val="default"/>
    <w:sig w:usb0="00000003" w:usb1="00000000" w:usb2="00000000" w:usb3="00000000" w:csb0="00000001" w:csb1="00000000"/>
  </w:font>
  <w:font w:name="*Calibri-9285-Identity-H">
    <w:altName w:val="Calibri"/>
    <w:panose1 w:val="00000000000000000000"/>
    <w:charset w:val="00"/>
    <w:family w:val="auto"/>
    <w:notTrueType/>
    <w:pitch w:val="default"/>
    <w:sig w:usb0="00000003" w:usb1="00000000" w:usb2="00000000" w:usb3="00000000" w:csb0="00000001" w:csb1="00000000"/>
  </w:font>
  <w:font w:name="*Calibri-Bold-4923-Identity-H">
    <w:altName w:val="Calibri"/>
    <w:panose1 w:val="00000000000000000000"/>
    <w:charset w:val="00"/>
    <w:family w:val="auto"/>
    <w:notTrueType/>
    <w:pitch w:val="default"/>
    <w:sig w:usb0="00000003" w:usb1="00000000" w:usb2="00000000" w:usb3="00000000" w:csb0="00000001" w:csb1="00000000"/>
  </w:font>
  <w:font w:name="*Calibri-17660-Identity-H">
    <w:altName w:val="Calibri"/>
    <w:panose1 w:val="00000000000000000000"/>
    <w:charset w:val="00"/>
    <w:family w:val="auto"/>
    <w:notTrueType/>
    <w:pitch w:val="default"/>
    <w:sig w:usb0="00000003" w:usb1="00000000" w:usb2="00000000" w:usb3="00000000" w:csb0="00000001" w:csb1="00000000"/>
  </w:font>
  <w:font w:name="*Calibri-16667-Identity-H">
    <w:altName w:val="Calibri"/>
    <w:panose1 w:val="00000000000000000000"/>
    <w:charset w:val="00"/>
    <w:family w:val="auto"/>
    <w:notTrueType/>
    <w:pitch w:val="default"/>
    <w:sig w:usb0="00000003" w:usb1="00000000" w:usb2="00000000" w:usb3="00000000" w:csb0="00000001" w:csb1="00000000"/>
  </w:font>
  <w:font w:name="*Calibri-17702-Identity-H">
    <w:altName w:val="Calibri"/>
    <w:panose1 w:val="00000000000000000000"/>
    <w:charset w:val="00"/>
    <w:family w:val="auto"/>
    <w:notTrueType/>
    <w:pitch w:val="default"/>
    <w:sig w:usb0="00000003" w:usb1="00000000" w:usb2="00000000" w:usb3="00000000" w:csb0="00000001" w:csb1="00000000"/>
  </w:font>
  <w:font w:name="*Calibri-16495-Identity-H">
    <w:altName w:val="Calibri"/>
    <w:panose1 w:val="00000000000000000000"/>
    <w:charset w:val="00"/>
    <w:family w:val="auto"/>
    <w:notTrueType/>
    <w:pitch w:val="default"/>
    <w:sig w:usb0="00000003" w:usb1="00000000" w:usb2="00000000" w:usb3="00000000" w:csb0="00000001" w:csb1="00000000"/>
  </w:font>
  <w:font w:name="*Times New Roman-Italic-16490-I">
    <w:altName w:val="Calibri"/>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Calibri-Bold-3385-Identity-H">
    <w:altName w:val="Calibri"/>
    <w:panose1 w:val="00000000000000000000"/>
    <w:charset w:val="00"/>
    <w:family w:val="auto"/>
    <w:notTrueType/>
    <w:pitch w:val="default"/>
    <w:sig w:usb0="00000003" w:usb1="00000000" w:usb2="00000000" w:usb3="00000000" w:csb0="00000001" w:csb1="00000000"/>
  </w:font>
  <w:font w:name="*Calibri-3384-Identity-H">
    <w:altName w:val="Calibri"/>
    <w:panose1 w:val="00000000000000000000"/>
    <w:charset w:val="00"/>
    <w:family w:val="auto"/>
    <w:notTrueType/>
    <w:pitch w:val="default"/>
    <w:sig w:usb0="00000003" w:usb1="00000000" w:usb2="00000000" w:usb3="00000000" w:csb0="00000001" w:csb1="00000000"/>
  </w:font>
  <w:font w:name="*Times New Roman-3383-Identity-">
    <w:altName w:val="Calibri"/>
    <w:panose1 w:val="00000000000000000000"/>
    <w:charset w:val="00"/>
    <w:family w:val="auto"/>
    <w:notTrueType/>
    <w:pitch w:val="default"/>
    <w:sig w:usb0="00000003" w:usb1="00000000" w:usb2="00000000" w:usb3="00000000" w:csb0="00000001" w:csb1="00000000"/>
  </w:font>
  <w:font w:name="*Courier New-4520-Identity-H">
    <w:altName w:val="Calibri"/>
    <w:panose1 w:val="00000000000000000000"/>
    <w:charset w:val="00"/>
    <w:family w:val="auto"/>
    <w:notTrueType/>
    <w:pitch w:val="default"/>
    <w:sig w:usb0="00000003" w:usb1="00000000" w:usb2="00000000" w:usb3="00000000" w:csb0="00000001" w:csb1="00000000"/>
  </w:font>
  <w:font w:name="*Times New Roman-4518-Identity-">
    <w:altName w:val="Calibri"/>
    <w:panose1 w:val="00000000000000000000"/>
    <w:charset w:val="00"/>
    <w:family w:val="auto"/>
    <w:notTrueType/>
    <w:pitch w:val="default"/>
    <w:sig w:usb0="00000003" w:usb1="00000000" w:usb2="00000000" w:usb3="00000000" w:csb0="00000001" w:csb1="00000000"/>
  </w:font>
  <w:font w:name="*Calibri-6756-Identity-H">
    <w:altName w:val="Calibri"/>
    <w:panose1 w:val="00000000000000000000"/>
    <w:charset w:val="00"/>
    <w:family w:val="auto"/>
    <w:notTrueType/>
    <w:pitch w:val="default"/>
    <w:sig w:usb0="00000003" w:usb1="00000000" w:usb2="00000000" w:usb3="00000000" w:csb0="00000001" w:csb1="00000000"/>
  </w:font>
  <w:font w:name="*Microsoft Sans Serif-6759-Iden">
    <w:altName w:val="Calibri"/>
    <w:panose1 w:val="00000000000000000000"/>
    <w:charset w:val="00"/>
    <w:family w:val="auto"/>
    <w:notTrueType/>
    <w:pitch w:val="default"/>
    <w:sig w:usb0="00000003" w:usb1="00000000" w:usb2="00000000" w:usb3="00000000" w:csb0="00000001" w:csb1="00000000"/>
  </w:font>
  <w:font w:name="*Calibri-7506-Identity-H">
    <w:altName w:val="Calibri"/>
    <w:panose1 w:val="00000000000000000000"/>
    <w:charset w:val="00"/>
    <w:family w:val="auto"/>
    <w:notTrueType/>
    <w:pitch w:val="default"/>
    <w:sig w:usb0="00000003" w:usb1="00000000" w:usb2="00000000" w:usb3="00000000" w:csb0="00000001" w:csb1="00000000"/>
  </w:font>
  <w:font w:name="*Verdana-Italic-7510-Identity-H">
    <w:altName w:val="Calibri"/>
    <w:panose1 w:val="00000000000000000000"/>
    <w:charset w:val="00"/>
    <w:family w:val="auto"/>
    <w:notTrueType/>
    <w:pitch w:val="default"/>
    <w:sig w:usb0="00000003" w:usb1="00000000" w:usb2="00000000" w:usb3="00000000" w:csb0="00000001" w:csb1="00000000"/>
  </w:font>
  <w:font w:name="*Calibri-Bold-7505-Identity-H">
    <w:altName w:val="Calibri"/>
    <w:panose1 w:val="00000000000000000000"/>
    <w:charset w:val="00"/>
    <w:family w:val="auto"/>
    <w:notTrueType/>
    <w:pitch w:val="default"/>
    <w:sig w:usb0="00000003" w:usb1="00000000" w:usb2="00000000" w:usb3="00000000" w:csb0="00000001" w:csb1="00000000"/>
  </w:font>
  <w:font w:name="*Courier New-7508-Identity-H">
    <w:altName w:val="Calibri"/>
    <w:panose1 w:val="00000000000000000000"/>
    <w:charset w:val="00"/>
    <w:family w:val="auto"/>
    <w:notTrueType/>
    <w:pitch w:val="default"/>
    <w:sig w:usb0="00000003" w:usb1="00000000" w:usb2="00000000" w:usb3="00000000" w:csb0="00000001" w:csb1="00000000"/>
  </w:font>
  <w:font w:name="*Verdana-6329-Identity-H">
    <w:altName w:val="Calibri"/>
    <w:panose1 w:val="00000000000000000000"/>
    <w:charset w:val="00"/>
    <w:family w:val="auto"/>
    <w:notTrueType/>
    <w:pitch w:val="default"/>
    <w:sig w:usb0="00000003" w:usb1="00000000" w:usb2="00000000" w:usb3="00000000" w:csb0="00000001" w:csb1="00000000"/>
  </w:font>
  <w:font w:name="*Calibri-Italic-6324-Identity-H">
    <w:altName w:val="Calibri"/>
    <w:panose1 w:val="00000000000000000000"/>
    <w:charset w:val="00"/>
    <w:family w:val="auto"/>
    <w:notTrueType/>
    <w:pitch w:val="default"/>
    <w:sig w:usb0="00000003" w:usb1="00000000" w:usb2="00000000" w:usb3="00000000" w:csb0="00000001" w:csb1="00000000"/>
  </w:font>
  <w:font w:name="*Verdana-Italic-6328-Identity-H">
    <w:altName w:val="Calibri"/>
    <w:panose1 w:val="00000000000000000000"/>
    <w:charset w:val="00"/>
    <w:family w:val="auto"/>
    <w:notTrueType/>
    <w:pitch w:val="default"/>
    <w:sig w:usb0="00000003" w:usb1="00000000" w:usb2="00000000" w:usb3="00000000" w:csb0="00000001" w:csb1="00000000"/>
  </w:font>
  <w:font w:name="*Courier New-6326-Identity-H">
    <w:altName w:val="Calibri"/>
    <w:panose1 w:val="00000000000000000000"/>
    <w:charset w:val="00"/>
    <w:family w:val="auto"/>
    <w:notTrueType/>
    <w:pitch w:val="default"/>
    <w:sig w:usb0="00000003" w:usb1="00000000" w:usb2="00000000" w:usb3="00000000" w:csb0="00000001" w:csb1="00000000"/>
  </w:font>
  <w:font w:name="*Microsoft Sans Serif-6330-Iden">
    <w:altName w:val="Calibri"/>
    <w:panose1 w:val="00000000000000000000"/>
    <w:charset w:val="00"/>
    <w:family w:val="auto"/>
    <w:notTrueType/>
    <w:pitch w:val="default"/>
    <w:sig w:usb0="00000003" w:usb1="00000000" w:usb2="00000000" w:usb3="00000000" w:csb0="00000001" w:csb1="00000000"/>
  </w:font>
  <w:font w:name="*Calibri-6323-Identity-H">
    <w:altName w:val="Calibri"/>
    <w:panose1 w:val="00000000000000000000"/>
    <w:charset w:val="00"/>
    <w:family w:val="auto"/>
    <w:notTrueType/>
    <w:pitch w:val="default"/>
    <w:sig w:usb0="00000003" w:usb1="00000000" w:usb2="00000000" w:usb3="00000000" w:csb0="00000001" w:csb1="00000000"/>
  </w:font>
  <w:font w:name="*Tahoma-Italic-5942-Identity-H">
    <w:altName w:val="Calibri"/>
    <w:panose1 w:val="00000000000000000000"/>
    <w:charset w:val="00"/>
    <w:family w:val="auto"/>
    <w:notTrueType/>
    <w:pitch w:val="default"/>
    <w:sig w:usb0="00000003" w:usb1="00000000" w:usb2="00000000" w:usb3="00000000" w:csb0="00000001" w:csb1="00000000"/>
  </w:font>
  <w:font w:name="*Arial-5938-Identity-H">
    <w:altName w:val="Calibri"/>
    <w:panose1 w:val="00000000000000000000"/>
    <w:charset w:val="00"/>
    <w:family w:val="auto"/>
    <w:notTrueType/>
    <w:pitch w:val="default"/>
    <w:sig w:usb0="00000003" w:usb1="00000000" w:usb2="00000000" w:usb3="00000000" w:csb0="00000001" w:csb1="00000000"/>
  </w:font>
  <w:font w:name="*Times New Roman-5936-Identity-">
    <w:altName w:val="Calibri"/>
    <w:panose1 w:val="00000000000000000000"/>
    <w:charset w:val="00"/>
    <w:family w:val="auto"/>
    <w:notTrueType/>
    <w:pitch w:val="default"/>
    <w:sig w:usb0="00000003" w:usb1="00000000" w:usb2="00000000" w:usb3="00000000" w:csb0="00000001" w:csb1="00000000"/>
  </w:font>
  <w:font w:name="*Courier New-5939-Identity-H">
    <w:altName w:val="Calibri"/>
    <w:panose1 w:val="00000000000000000000"/>
    <w:charset w:val="00"/>
    <w:family w:val="auto"/>
    <w:notTrueType/>
    <w:pitch w:val="default"/>
    <w:sig w:usb0="00000003" w:usb1="00000000" w:usb2="00000000" w:usb3="00000000" w:csb0="00000001" w:csb1="00000000"/>
  </w:font>
  <w:font w:name="*Microsoft Sans Serif-Italic-64">
    <w:altName w:val="Calibri"/>
    <w:panose1 w:val="00000000000000000000"/>
    <w:charset w:val="00"/>
    <w:family w:val="auto"/>
    <w:notTrueType/>
    <w:pitch w:val="default"/>
    <w:sig w:usb0="00000003" w:usb1="00000000" w:usb2="00000000" w:usb3="00000000" w:csb0="00000001" w:csb1="00000000"/>
  </w:font>
  <w:font w:name="*Times New Roman-6471-Identity-">
    <w:altName w:val="Calibri"/>
    <w:panose1 w:val="00000000000000000000"/>
    <w:charset w:val="00"/>
    <w:family w:val="auto"/>
    <w:notTrueType/>
    <w:pitch w:val="default"/>
    <w:sig w:usb0="00000003" w:usb1="00000000" w:usb2="00000000" w:usb3="00000000" w:csb0="00000001" w:csb1="00000000"/>
  </w:font>
  <w:font w:name="*Verdana-6474-Identity-H">
    <w:altName w:val="Calibri"/>
    <w:panose1 w:val="00000000000000000000"/>
    <w:charset w:val="00"/>
    <w:family w:val="auto"/>
    <w:notTrueType/>
    <w:pitch w:val="default"/>
    <w:sig w:usb0="00000003" w:usb1="00000000" w:usb2="00000000" w:usb3="00000000" w:csb0="00000001" w:csb1="00000000"/>
  </w:font>
  <w:font w:name="*Calibri-6567-Identity-H">
    <w:altName w:val="Calibri"/>
    <w:panose1 w:val="00000000000000000000"/>
    <w:charset w:val="00"/>
    <w:family w:val="auto"/>
    <w:notTrueType/>
    <w:pitch w:val="default"/>
    <w:sig w:usb0="00000003" w:usb1="00000000" w:usb2="00000000" w:usb3="00000000" w:csb0="00000001" w:csb1="00000000"/>
  </w:font>
  <w:font w:name="*Calibri-Bold-6568-Identity-H">
    <w:altName w:val="Calibri"/>
    <w:panose1 w:val="00000000000000000000"/>
    <w:charset w:val="00"/>
    <w:family w:val="auto"/>
    <w:notTrueType/>
    <w:pitch w:val="default"/>
    <w:sig w:usb0="00000003" w:usb1="00000000" w:usb2="00000000" w:usb3="00000000" w:csb0="00000001" w:csb1="00000000"/>
  </w:font>
  <w:font w:name="*Courier New-6570-Identity-H">
    <w:altName w:val="Calibri"/>
    <w:panose1 w:val="00000000000000000000"/>
    <w:charset w:val="00"/>
    <w:family w:val="auto"/>
    <w:notTrueType/>
    <w:pitch w:val="default"/>
    <w:sig w:usb0="00000003" w:usb1="00000000" w:usb2="00000000" w:usb3="00000000" w:csb0="00000001" w:csb1="00000000"/>
  </w:font>
  <w:font w:name="*Microsoft Sans Serif-7201-Iden">
    <w:altName w:val="Calibri"/>
    <w:panose1 w:val="00000000000000000000"/>
    <w:charset w:val="00"/>
    <w:family w:val="auto"/>
    <w:notTrueType/>
    <w:pitch w:val="default"/>
    <w:sig w:usb0="00000003" w:usb1="00000000" w:usb2="00000000" w:usb3="00000000" w:csb0="00000001" w:csb1="00000000"/>
  </w:font>
  <w:font w:name="*Courier New-7198-Identity-H">
    <w:altName w:val="Calibri"/>
    <w:panose1 w:val="00000000000000000000"/>
    <w:charset w:val="00"/>
    <w:family w:val="auto"/>
    <w:notTrueType/>
    <w:pitch w:val="default"/>
    <w:sig w:usb0="00000003" w:usb1="00000000" w:usb2="00000000" w:usb3="00000000" w:csb0="00000001" w:csb1="00000000"/>
  </w:font>
  <w:font w:name="*Arial-Bold-7197-Identity-H">
    <w:altName w:val="Calibri"/>
    <w:panose1 w:val="00000000000000000000"/>
    <w:charset w:val="00"/>
    <w:family w:val="auto"/>
    <w:notTrueType/>
    <w:pitch w:val="default"/>
    <w:sig w:usb0="00000003" w:usb1="00000000" w:usb2="00000000" w:usb3="00000000" w:csb0="00000001" w:csb1="00000000"/>
  </w:font>
  <w:font w:name="*Microsoft Sans Serif-3985-Iden">
    <w:altName w:val="Calibri"/>
    <w:panose1 w:val="00000000000000000000"/>
    <w:charset w:val="00"/>
    <w:family w:val="auto"/>
    <w:notTrueType/>
    <w:pitch w:val="default"/>
    <w:sig w:usb0="00000003" w:usb1="00000000" w:usb2="00000000" w:usb3="00000000" w:csb0="00000001" w:csb1="00000000"/>
  </w:font>
  <w:font w:name="*Calibri-Bold-3982-Identity-H">
    <w:altName w:val="Calibri"/>
    <w:panose1 w:val="00000000000000000000"/>
    <w:charset w:val="00"/>
    <w:family w:val="auto"/>
    <w:notTrueType/>
    <w:pitch w:val="default"/>
    <w:sig w:usb0="00000003" w:usb1="00000000" w:usb2="00000000" w:usb3="00000000" w:csb0="00000001" w:csb1="00000000"/>
  </w:font>
  <w:font w:name="*Calibri-Bold-3934-Identity-H">
    <w:altName w:val="Calibri"/>
    <w:panose1 w:val="00000000000000000000"/>
    <w:charset w:val="00"/>
    <w:family w:val="auto"/>
    <w:notTrueType/>
    <w:pitch w:val="default"/>
    <w:sig w:usb0="00000003" w:usb1="00000000" w:usb2="00000000" w:usb3="00000000" w:csb0="00000001" w:csb1="00000000"/>
  </w:font>
  <w:font w:name="*Microsoft Sans Serif-3936-Iden">
    <w:altName w:val="Calibri"/>
    <w:panose1 w:val="00000000000000000000"/>
    <w:charset w:val="00"/>
    <w:family w:val="auto"/>
    <w:notTrueType/>
    <w:pitch w:val="default"/>
    <w:sig w:usb0="00000003" w:usb1="00000000" w:usb2="00000000" w:usb3="00000000" w:csb0="00000001" w:csb1="00000000"/>
  </w:font>
  <w:font w:name="*Calibri-Bold-3933-Identity-H">
    <w:altName w:val="Calibri"/>
    <w:panose1 w:val="00000000000000000000"/>
    <w:charset w:val="00"/>
    <w:family w:val="auto"/>
    <w:notTrueType/>
    <w:pitch w:val="default"/>
    <w:sig w:usb0="00000003" w:usb1="00000000" w:usb2="00000000" w:usb3="00000000" w:csb0="00000001" w:csb1="00000000"/>
  </w:font>
  <w:font w:name="*Courier New-5550-Identity-H">
    <w:altName w:val="Calibri"/>
    <w:panose1 w:val="00000000000000000000"/>
    <w:charset w:val="00"/>
    <w:family w:val="auto"/>
    <w:notTrueType/>
    <w:pitch w:val="default"/>
    <w:sig w:usb0="00000003" w:usb1="00000000" w:usb2="00000000" w:usb3="00000000" w:csb0="00000001" w:csb1="00000000"/>
  </w:font>
  <w:font w:name="*Courier New-6615-Identity-H">
    <w:altName w:val="Calibri"/>
    <w:panose1 w:val="00000000000000000000"/>
    <w:charset w:val="00"/>
    <w:family w:val="auto"/>
    <w:notTrueType/>
    <w:pitch w:val="default"/>
    <w:sig w:usb0="00000003" w:usb1="00000000" w:usb2="00000000" w:usb3="00000000" w:csb0="00000001" w:csb1="00000000"/>
  </w:font>
  <w:font w:name="*Courier New-6940-Identity-H">
    <w:altName w:val="Calibri"/>
    <w:panose1 w:val="00000000000000000000"/>
    <w:charset w:val="00"/>
    <w:family w:val="auto"/>
    <w:notTrueType/>
    <w:pitch w:val="default"/>
    <w:sig w:usb0="00000003" w:usb1="00000000" w:usb2="00000000" w:usb3="00000000" w:csb0="00000001" w:csb1="00000000"/>
  </w:font>
  <w:font w:name="*Calibri-6939-Identity-H">
    <w:altName w:val="Calibri"/>
    <w:panose1 w:val="00000000000000000000"/>
    <w:charset w:val="00"/>
    <w:family w:val="auto"/>
    <w:notTrueType/>
    <w:pitch w:val="default"/>
    <w:sig w:usb0="00000003" w:usb1="00000000" w:usb2="00000000" w:usb3="00000000" w:csb0="00000001" w:csb1="00000000"/>
  </w:font>
  <w:font w:name="*Verdana-7391-Identity-H">
    <w:altName w:val="Calibri"/>
    <w:panose1 w:val="00000000000000000000"/>
    <w:charset w:val="00"/>
    <w:family w:val="auto"/>
    <w:notTrueType/>
    <w:pitch w:val="default"/>
    <w:sig w:usb0="00000003" w:usb1="00000000" w:usb2="00000000" w:usb3="00000000" w:csb0="00000001" w:csb1="00000000"/>
  </w:font>
  <w:font w:name="*Tahoma-7392-Identity-H">
    <w:altName w:val="Calibri"/>
    <w:panose1 w:val="00000000000000000000"/>
    <w:charset w:val="00"/>
    <w:family w:val="auto"/>
    <w:notTrueType/>
    <w:pitch w:val="default"/>
    <w:sig w:usb0="00000003" w:usb1="00000000" w:usb2="00000000" w:usb3="00000000" w:csb0="00000001" w:csb1="00000000"/>
  </w:font>
  <w:font w:name="*Calibri-7388-Identity-H">
    <w:altName w:val="Calibri"/>
    <w:panose1 w:val="00000000000000000000"/>
    <w:charset w:val="00"/>
    <w:family w:val="auto"/>
    <w:notTrueType/>
    <w:pitch w:val="default"/>
    <w:sig w:usb0="00000003" w:usb1="00000000" w:usb2="00000000" w:usb3="00000000" w:csb0="00000001" w:csb1="00000000"/>
  </w:font>
  <w:font w:name="*Courier New-5393-Identity-H">
    <w:altName w:val="Calibri"/>
    <w:panose1 w:val="00000000000000000000"/>
    <w:charset w:val="00"/>
    <w:family w:val="auto"/>
    <w:notTrueType/>
    <w:pitch w:val="default"/>
    <w:sig w:usb0="00000003" w:usb1="00000000" w:usb2="00000000" w:usb3="00000000" w:csb0="00000001" w:csb1="00000000"/>
  </w:font>
  <w:font w:name="*Verdana-Italic-5280-Identity-H">
    <w:altName w:val="Calibri"/>
    <w:panose1 w:val="00000000000000000000"/>
    <w:charset w:val="00"/>
    <w:family w:val="auto"/>
    <w:notTrueType/>
    <w:pitch w:val="default"/>
    <w:sig w:usb0="00000003" w:usb1="00000000" w:usb2="00000000" w:usb3="00000000" w:csb0="00000001" w:csb1="00000000"/>
  </w:font>
  <w:font w:name="*Calibri-5277-Identity-H">
    <w:altName w:val="Calibri"/>
    <w:panose1 w:val="00000000000000000000"/>
    <w:charset w:val="00"/>
    <w:family w:val="auto"/>
    <w:notTrueType/>
    <w:pitch w:val="default"/>
    <w:sig w:usb0="00000003" w:usb1="00000000" w:usb2="00000000" w:usb3="00000000" w:csb0="00000001" w:csb1="00000000"/>
  </w:font>
  <w:font w:name="*Times New Roman-5276-Identity-">
    <w:altName w:val="Calibri"/>
    <w:panose1 w:val="00000000000000000000"/>
    <w:charset w:val="00"/>
    <w:family w:val="auto"/>
    <w:notTrueType/>
    <w:pitch w:val="default"/>
    <w:sig w:usb0="00000003" w:usb1="00000000" w:usb2="00000000" w:usb3="00000000" w:csb0="00000001" w:csb1="00000000"/>
  </w:font>
  <w:font w:name="*Microsoft Sans Serif-Bold-5395">
    <w:altName w:val="Calibri"/>
    <w:panose1 w:val="00000000000000000000"/>
    <w:charset w:val="00"/>
    <w:family w:val="auto"/>
    <w:notTrueType/>
    <w:pitch w:val="default"/>
    <w:sig w:usb0="00000003" w:usb1="00000000" w:usb2="00000000" w:usb3="00000000" w:csb0="00000001" w:csb1="00000000"/>
  </w:font>
  <w:font w:name="*Calibri-Bold-7937-Identity-H">
    <w:altName w:val="Calibri"/>
    <w:panose1 w:val="00000000000000000000"/>
    <w:charset w:val="00"/>
    <w:family w:val="auto"/>
    <w:notTrueType/>
    <w:pitch w:val="default"/>
    <w:sig w:usb0="00000003" w:usb1="00000000" w:usb2="00000000" w:usb3="00000000" w:csb0="00000001" w:csb1="00000000"/>
  </w:font>
  <w:font w:name="*Courier New-7940-Identity-H">
    <w:altName w:val="Calibri"/>
    <w:panose1 w:val="00000000000000000000"/>
    <w:charset w:val="00"/>
    <w:family w:val="auto"/>
    <w:notTrueType/>
    <w:pitch w:val="default"/>
    <w:sig w:usb0="00000003" w:usb1="00000000" w:usb2="00000000" w:usb3="00000000" w:csb0="00000001" w:csb1="00000000"/>
  </w:font>
  <w:font w:name="*Verdana-7945-Identity-H">
    <w:altName w:val="Calibri"/>
    <w:panose1 w:val="00000000000000000000"/>
    <w:charset w:val="00"/>
    <w:family w:val="auto"/>
    <w:notTrueType/>
    <w:pitch w:val="default"/>
    <w:sig w:usb0="00000003" w:usb1="00000000" w:usb2="00000000" w:usb3="00000000" w:csb0="00000001" w:csb1="00000000"/>
  </w:font>
  <w:font w:name="*Verdana-7944-Identity-H">
    <w:altName w:val="Calibri"/>
    <w:panose1 w:val="00000000000000000000"/>
    <w:charset w:val="00"/>
    <w:family w:val="auto"/>
    <w:notTrueType/>
    <w:pitch w:val="default"/>
    <w:sig w:usb0="00000003" w:usb1="00000000" w:usb2="00000000" w:usb3="00000000" w:csb0="00000001" w:csb1="00000000"/>
  </w:font>
  <w:font w:name="*Calibri-5835-Identity-H">
    <w:altName w:val="Calibri"/>
    <w:panose1 w:val="00000000000000000000"/>
    <w:charset w:val="00"/>
    <w:family w:val="auto"/>
    <w:notTrueType/>
    <w:pitch w:val="default"/>
    <w:sig w:usb0="00000003" w:usb1="00000000" w:usb2="00000000" w:usb3="00000000" w:csb0="00000001" w:csb1="00000000"/>
  </w:font>
  <w:font w:name="*Calibri-Bold-5836-Identity-H">
    <w:altName w:val="Calibri"/>
    <w:panose1 w:val="00000000000000000000"/>
    <w:charset w:val="00"/>
    <w:family w:val="auto"/>
    <w:notTrueType/>
    <w:pitch w:val="default"/>
    <w:sig w:usb0="00000003" w:usb1="00000000" w:usb2="00000000" w:usb3="00000000" w:csb0="00000001" w:csb1="00000000"/>
  </w:font>
  <w:font w:name="*Arial-Bold-5838-Identity-H">
    <w:altName w:val="Calibri"/>
    <w:panose1 w:val="00000000000000000000"/>
    <w:charset w:val="00"/>
    <w:family w:val="auto"/>
    <w:notTrueType/>
    <w:pitch w:val="default"/>
    <w:sig w:usb0="00000003" w:usb1="00000000" w:usb2="00000000" w:usb3="00000000" w:csb0="00000001" w:csb1="00000000"/>
  </w:font>
  <w:font w:name="*Calibri-5982-Identity-H">
    <w:altName w:val="Calibri"/>
    <w:panose1 w:val="00000000000000000000"/>
    <w:charset w:val="00"/>
    <w:family w:val="auto"/>
    <w:notTrueType/>
    <w:pitch w:val="default"/>
    <w:sig w:usb0="00000003" w:usb1="00000000" w:usb2="00000000" w:usb3="00000000" w:csb0="00000001" w:csb1="00000000"/>
  </w:font>
  <w:font w:name="*Arial-Bold-5984-Identity-H">
    <w:altName w:val="Calibri"/>
    <w:panose1 w:val="00000000000000000000"/>
    <w:charset w:val="00"/>
    <w:family w:val="auto"/>
    <w:notTrueType/>
    <w:pitch w:val="default"/>
    <w:sig w:usb0="00000003" w:usb1="00000000" w:usb2="00000000" w:usb3="00000000" w:csb0="00000001" w:csb1="00000000"/>
  </w:font>
  <w:font w:name="*Arial-Bold-5983-Identity-H">
    <w:altName w:val="Calibri"/>
    <w:panose1 w:val="00000000000000000000"/>
    <w:charset w:val="00"/>
    <w:family w:val="auto"/>
    <w:notTrueType/>
    <w:pitch w:val="default"/>
    <w:sig w:usb0="00000003" w:usb1="00000000" w:usb2="00000000" w:usb3="00000000" w:csb0="00000001" w:csb1="00000000"/>
  </w:font>
  <w:font w:name="*Calibri-Bold-2866-Identity-H">
    <w:altName w:val="Calibri"/>
    <w:panose1 w:val="00000000000000000000"/>
    <w:charset w:val="00"/>
    <w:family w:val="auto"/>
    <w:notTrueType/>
    <w:pitch w:val="default"/>
    <w:sig w:usb0="00000003" w:usb1="00000000" w:usb2="00000000" w:usb3="00000000" w:csb0="00000001" w:csb1="00000000"/>
  </w:font>
  <w:font w:name="*Calibri-Bold-2865-Identity-H">
    <w:altName w:val="Calibri"/>
    <w:panose1 w:val="00000000000000000000"/>
    <w:charset w:val="00"/>
    <w:family w:val="auto"/>
    <w:notTrueType/>
    <w:pitch w:val="default"/>
    <w:sig w:usb0="00000003" w:usb1="00000000" w:usb2="00000000" w:usb3="00000000" w:csb0="00000001" w:csb1="00000000"/>
  </w:font>
  <w:font w:name="*Verdana-Bold-8736-Identity-H">
    <w:altName w:val="Calibri"/>
    <w:panose1 w:val="00000000000000000000"/>
    <w:charset w:val="00"/>
    <w:family w:val="auto"/>
    <w:notTrueType/>
    <w:pitch w:val="default"/>
    <w:sig w:usb0="00000003" w:usb1="00000000" w:usb2="00000000" w:usb3="00000000" w:csb0="00000001" w:csb1="00000000"/>
  </w:font>
  <w:font w:name="*Verdana-8734-Identity-H">
    <w:altName w:val="Calibri"/>
    <w:panose1 w:val="00000000000000000000"/>
    <w:charset w:val="00"/>
    <w:family w:val="auto"/>
    <w:notTrueType/>
    <w:pitch w:val="default"/>
    <w:sig w:usb0="00000003" w:usb1="00000000" w:usb2="00000000" w:usb3="00000000" w:csb0="00000001" w:csb1="00000000"/>
  </w:font>
  <w:font w:name="*Times New Roman-Italic-8733-Id">
    <w:altName w:val="Calibri"/>
    <w:panose1 w:val="00000000000000000000"/>
    <w:charset w:val="00"/>
    <w:family w:val="auto"/>
    <w:notTrueType/>
    <w:pitch w:val="default"/>
    <w:sig w:usb0="00000003" w:usb1="00000000" w:usb2="00000000" w:usb3="00000000" w:csb0="00000001" w:csb1="00000000"/>
  </w:font>
  <w:font w:name="*Verdana-Bold-8735-Identity-H">
    <w:altName w:val="Calibri"/>
    <w:panose1 w:val="00000000000000000000"/>
    <w:charset w:val="00"/>
    <w:family w:val="auto"/>
    <w:notTrueType/>
    <w:pitch w:val="default"/>
    <w:sig w:usb0="00000003" w:usb1="00000000" w:usb2="00000000" w:usb3="00000000" w:csb0="00000001" w:csb1="00000000"/>
  </w:font>
  <w:font w:name="*Verdana-14220-Identity-H">
    <w:altName w:val="Calibri"/>
    <w:panose1 w:val="00000000000000000000"/>
    <w:charset w:val="00"/>
    <w:family w:val="auto"/>
    <w:notTrueType/>
    <w:pitch w:val="default"/>
    <w:sig w:usb0="00000003" w:usb1="00000000" w:usb2="00000000" w:usb3="00000000" w:csb0="00000001" w:csb1="00000000"/>
  </w:font>
  <w:font w:name="*Verdana-Bold-14221-Identity-H">
    <w:altName w:val="Calibri"/>
    <w:panose1 w:val="00000000000000000000"/>
    <w:charset w:val="00"/>
    <w:family w:val="auto"/>
    <w:notTrueType/>
    <w:pitch w:val="default"/>
    <w:sig w:usb0="00000003" w:usb1="00000000" w:usb2="00000000" w:usb3="00000000" w:csb0="00000001" w:csb1="00000000"/>
  </w:font>
  <w:font w:name="*Verdana-Italic-14219-Identity-">
    <w:altName w:val="Calibri"/>
    <w:panose1 w:val="00000000000000000000"/>
    <w:charset w:val="00"/>
    <w:family w:val="auto"/>
    <w:notTrueType/>
    <w:pitch w:val="default"/>
    <w:sig w:usb0="00000003" w:usb1="00000000" w:usb2="00000000" w:usb3="00000000" w:csb0="00000001" w:csb1="00000000"/>
  </w:font>
  <w:font w:name="*Verdana-Italic-12076-Identity-">
    <w:altName w:val="Calibri"/>
    <w:panose1 w:val="00000000000000000000"/>
    <w:charset w:val="00"/>
    <w:family w:val="auto"/>
    <w:notTrueType/>
    <w:pitch w:val="default"/>
    <w:sig w:usb0="00000003" w:usb1="00000000" w:usb2="00000000" w:usb3="00000000" w:csb0="00000001" w:csb1="00000000"/>
  </w:font>
  <w:font w:name="*Times New Roman-12069-Identity">
    <w:altName w:val="Calibri"/>
    <w:panose1 w:val="00000000000000000000"/>
    <w:charset w:val="00"/>
    <w:family w:val="auto"/>
    <w:notTrueType/>
    <w:pitch w:val="default"/>
    <w:sig w:usb0="00000003" w:usb1="00000000" w:usb2="00000000" w:usb3="00000000" w:csb0="00000001" w:csb1="00000000"/>
  </w:font>
  <w:font w:name="*Calibri-12075-Identity-H">
    <w:altName w:val="Calibri"/>
    <w:panose1 w:val="00000000000000000000"/>
    <w:charset w:val="00"/>
    <w:family w:val="auto"/>
    <w:notTrueType/>
    <w:pitch w:val="default"/>
    <w:sig w:usb0="00000003" w:usb1="00000000" w:usb2="00000000" w:usb3="00000000" w:csb0="00000001" w:csb1="00000000"/>
  </w:font>
  <w:font w:name="*Verdana-Italic-13496-Identity-">
    <w:altName w:val="Calibri"/>
    <w:panose1 w:val="00000000000000000000"/>
    <w:charset w:val="00"/>
    <w:family w:val="auto"/>
    <w:notTrueType/>
    <w:pitch w:val="default"/>
    <w:sig w:usb0="00000003" w:usb1="00000000" w:usb2="00000000" w:usb3="00000000" w:csb0="00000001" w:csb1="00000000"/>
  </w:font>
  <w:font w:name="*Verdana-13497-Identity-H">
    <w:altName w:val="Calibri"/>
    <w:panose1 w:val="00000000000000000000"/>
    <w:charset w:val="00"/>
    <w:family w:val="auto"/>
    <w:notTrueType/>
    <w:pitch w:val="default"/>
    <w:sig w:usb0="00000003" w:usb1="00000000" w:usb2="00000000" w:usb3="00000000" w:csb0="00000001" w:csb1="00000000"/>
  </w:font>
  <w:font w:name="*Tahoma-11354-Identity-H">
    <w:altName w:val="Calibri"/>
    <w:panose1 w:val="00000000000000000000"/>
    <w:charset w:val="00"/>
    <w:family w:val="auto"/>
    <w:notTrueType/>
    <w:pitch w:val="default"/>
    <w:sig w:usb0="00000003" w:usb1="00000000" w:usb2="00000000" w:usb3="00000000" w:csb0="00000001" w:csb1="00000000"/>
  </w:font>
  <w:font w:name="*Verdana-17541-Identity-H">
    <w:altName w:val="Calibri"/>
    <w:panose1 w:val="00000000000000000000"/>
    <w:charset w:val="00"/>
    <w:family w:val="auto"/>
    <w:notTrueType/>
    <w:pitch w:val="default"/>
    <w:sig w:usb0="00000003" w:usb1="00000000" w:usb2="00000000" w:usb3="00000000" w:csb0="00000001" w:csb1="00000000"/>
  </w:font>
  <w:font w:name="*Calibri-Bold-17537-Identity-H">
    <w:altName w:val="Calibri"/>
    <w:panose1 w:val="00000000000000000000"/>
    <w:charset w:val="00"/>
    <w:family w:val="auto"/>
    <w:notTrueType/>
    <w:pitch w:val="default"/>
    <w:sig w:usb0="00000003" w:usb1="00000000" w:usb2="00000000" w:usb3="00000000" w:csb0="00000001" w:csb1="00000000"/>
  </w:font>
  <w:font w:name="*Microsoft Sans Serif-Italic-17">
    <w:altName w:val="Calibri"/>
    <w:panose1 w:val="00000000000000000000"/>
    <w:charset w:val="00"/>
    <w:family w:val="auto"/>
    <w:notTrueType/>
    <w:pitch w:val="default"/>
    <w:sig w:usb0="00000003" w:usb1="00000000" w:usb2="00000000" w:usb3="00000000" w:csb0="00000001" w:csb1="00000000"/>
  </w:font>
  <w:font w:name="*Verdana-BoldItalic-17540-Ident">
    <w:altName w:val="Calibri"/>
    <w:panose1 w:val="00000000000000000000"/>
    <w:charset w:val="00"/>
    <w:family w:val="auto"/>
    <w:notTrueType/>
    <w:pitch w:val="default"/>
    <w:sig w:usb0="00000003" w:usb1="00000000" w:usb2="00000000" w:usb3="00000000" w:csb0="00000001" w:csb1="00000000"/>
  </w:font>
  <w:font w:name="*Verdana-Italic-17539-Identity-">
    <w:altName w:val="Calibri"/>
    <w:panose1 w:val="00000000000000000000"/>
    <w:charset w:val="00"/>
    <w:family w:val="auto"/>
    <w:notTrueType/>
    <w:pitch w:val="default"/>
    <w:sig w:usb0="00000003" w:usb1="00000000" w:usb2="00000000" w:usb3="00000000" w:csb0="00000001" w:csb1="00000000"/>
  </w:font>
  <w:font w:name="*Verdana-Italic-12769-Identity-">
    <w:altName w:val="Calibri"/>
    <w:panose1 w:val="00000000000000000000"/>
    <w:charset w:val="00"/>
    <w:family w:val="auto"/>
    <w:notTrueType/>
    <w:pitch w:val="default"/>
    <w:sig w:usb0="00000003" w:usb1="00000000" w:usb2="00000000" w:usb3="00000000" w:csb0="00000001" w:csb1="00000000"/>
  </w:font>
  <w:font w:name="*Verdana-Italic-12770-Identity-">
    <w:altName w:val="Calibri"/>
    <w:panose1 w:val="00000000000000000000"/>
    <w:charset w:val="00"/>
    <w:family w:val="auto"/>
    <w:notTrueType/>
    <w:pitch w:val="default"/>
    <w:sig w:usb0="00000003" w:usb1="00000000" w:usb2="00000000" w:usb3="00000000" w:csb0="00000001" w:csb1="00000000"/>
  </w:font>
  <w:font w:name="*Verdana-12771-Identity-H">
    <w:altName w:val="Calibri"/>
    <w:panose1 w:val="00000000000000000000"/>
    <w:charset w:val="00"/>
    <w:family w:val="auto"/>
    <w:notTrueType/>
    <w:pitch w:val="default"/>
    <w:sig w:usb0="00000003" w:usb1="00000000" w:usb2="00000000" w:usb3="00000000" w:csb0="00000001" w:csb1="00000000"/>
  </w:font>
  <w:font w:name="*Calibri-Bold-12766-Identity-H">
    <w:altName w:val="Calibri"/>
    <w:panose1 w:val="00000000000000000000"/>
    <w:charset w:val="00"/>
    <w:family w:val="auto"/>
    <w:notTrueType/>
    <w:pitch w:val="default"/>
    <w:sig w:usb0="00000003" w:usb1="00000000" w:usb2="00000000" w:usb3="00000000" w:csb0="00000001" w:csb1="00000000"/>
  </w:font>
  <w:font w:name="*Verdana-11896-Identity-H">
    <w:altName w:val="Calibri"/>
    <w:panose1 w:val="00000000000000000000"/>
    <w:charset w:val="00"/>
    <w:family w:val="auto"/>
    <w:notTrueType/>
    <w:pitch w:val="default"/>
    <w:sig w:usb0="00000003" w:usb1="00000000" w:usb2="00000000" w:usb3="00000000" w:csb0="00000001" w:csb1="00000000"/>
  </w:font>
  <w:font w:name="*Verdana-Bold-11897-Identity-H">
    <w:altName w:val="Calibri"/>
    <w:panose1 w:val="00000000000000000000"/>
    <w:charset w:val="00"/>
    <w:family w:val="auto"/>
    <w:notTrueType/>
    <w:pitch w:val="default"/>
    <w:sig w:usb0="00000003" w:usb1="00000000" w:usb2="00000000" w:usb3="00000000" w:csb0="00000001" w:csb1="00000000"/>
  </w:font>
  <w:font w:name="*Verdana-6654-Identity-H">
    <w:altName w:val="Calibri"/>
    <w:panose1 w:val="00000000000000000000"/>
    <w:charset w:val="00"/>
    <w:family w:val="auto"/>
    <w:notTrueType/>
    <w:pitch w:val="default"/>
    <w:sig w:usb0="00000003" w:usb1="00000000" w:usb2="00000000" w:usb3="00000000" w:csb0="00000001" w:csb1="00000000"/>
  </w:font>
  <w:font w:name="*Verdana-Bold-6653-Identity-H">
    <w:altName w:val="Calibri"/>
    <w:panose1 w:val="00000000000000000000"/>
    <w:charset w:val="00"/>
    <w:family w:val="auto"/>
    <w:notTrueType/>
    <w:pitch w:val="default"/>
    <w:sig w:usb0="00000003" w:usb1="00000000" w:usb2="00000000" w:usb3="00000000" w:csb0="00000001" w:csb1="00000000"/>
  </w:font>
  <w:font w:name="*Arial-Bold-4914-Identity-H">
    <w:altName w:val="Calibri"/>
    <w:panose1 w:val="00000000000000000000"/>
    <w:charset w:val="00"/>
    <w:family w:val="auto"/>
    <w:notTrueType/>
    <w:pitch w:val="default"/>
    <w:sig w:usb0="00000003" w:usb1="00000000" w:usb2="00000000" w:usb3="00000000" w:csb0="00000001" w:csb1="00000000"/>
  </w:font>
  <w:font w:name="*Verdana-Bold-9087-Identity-H">
    <w:altName w:val="Calibri"/>
    <w:panose1 w:val="00000000000000000000"/>
    <w:charset w:val="00"/>
    <w:family w:val="auto"/>
    <w:notTrueType/>
    <w:pitch w:val="default"/>
    <w:sig w:usb0="00000003" w:usb1="00000000" w:usb2="00000000" w:usb3="00000000" w:csb0="00000001" w:csb1="00000000"/>
  </w:font>
  <w:font w:name="*Verdana-9085-Identity-H">
    <w:altName w:val="Calibri"/>
    <w:panose1 w:val="00000000000000000000"/>
    <w:charset w:val="00"/>
    <w:family w:val="auto"/>
    <w:notTrueType/>
    <w:pitch w:val="default"/>
    <w:sig w:usb0="00000003" w:usb1="00000000" w:usb2="00000000" w:usb3="00000000" w:csb0="00000001" w:csb1="00000000"/>
  </w:font>
  <w:font w:name="*Verdana-Bold-9086-Identity-H">
    <w:altName w:val="Calibri"/>
    <w:panose1 w:val="00000000000000000000"/>
    <w:charset w:val="00"/>
    <w:family w:val="auto"/>
    <w:notTrueType/>
    <w:pitch w:val="default"/>
    <w:sig w:usb0="00000003" w:usb1="00000000" w:usb2="00000000" w:usb3="00000000" w:csb0="00000001" w:csb1="00000000"/>
  </w:font>
  <w:font w:name="*Verdana-13030-Identity-H">
    <w:altName w:val="Calibri"/>
    <w:panose1 w:val="00000000000000000000"/>
    <w:charset w:val="00"/>
    <w:family w:val="auto"/>
    <w:notTrueType/>
    <w:pitch w:val="default"/>
    <w:sig w:usb0="00000003" w:usb1="00000000" w:usb2="00000000" w:usb3="00000000" w:csb0="00000001" w:csb1="00000000"/>
  </w:font>
  <w:font w:name="*Verdana-15238-Identity-H">
    <w:altName w:val="Calibri"/>
    <w:panose1 w:val="00000000000000000000"/>
    <w:charset w:val="00"/>
    <w:family w:val="auto"/>
    <w:notTrueType/>
    <w:pitch w:val="default"/>
    <w:sig w:usb0="00000003" w:usb1="00000000" w:usb2="00000000" w:usb3="00000000" w:csb0="00000001" w:csb1="00000000"/>
  </w:font>
  <w:font w:name="*Tahoma-Bold-15240-Identity-H">
    <w:altName w:val="Calibri"/>
    <w:panose1 w:val="00000000000000000000"/>
    <w:charset w:val="00"/>
    <w:family w:val="auto"/>
    <w:notTrueType/>
    <w:pitch w:val="default"/>
    <w:sig w:usb0="00000003" w:usb1="00000000" w:usb2="00000000" w:usb3="00000000" w:csb0="00000001" w:csb1="00000000"/>
  </w:font>
  <w:font w:name="*Verdana-Italic-15237-Identity-">
    <w:altName w:val="Calibri"/>
    <w:panose1 w:val="00000000000000000000"/>
    <w:charset w:val="00"/>
    <w:family w:val="auto"/>
    <w:notTrueType/>
    <w:pitch w:val="default"/>
    <w:sig w:usb0="00000003" w:usb1="00000000" w:usb2="00000000" w:usb3="00000000" w:csb0="00000001" w:csb1="00000000"/>
  </w:font>
  <w:font w:name="*Tahoma-BoldItalic-15239-Identi">
    <w:altName w:val="Calibri"/>
    <w:panose1 w:val="00000000000000000000"/>
    <w:charset w:val="00"/>
    <w:family w:val="auto"/>
    <w:notTrueType/>
    <w:pitch w:val="default"/>
    <w:sig w:usb0="00000003" w:usb1="00000000" w:usb2="00000000" w:usb3="00000000" w:csb0="00000001" w:csb1="00000000"/>
  </w:font>
  <w:font w:name="*Calibri-15233-Identity-H">
    <w:altName w:val="Calibri"/>
    <w:panose1 w:val="00000000000000000000"/>
    <w:charset w:val="00"/>
    <w:family w:val="auto"/>
    <w:notTrueType/>
    <w:pitch w:val="default"/>
    <w:sig w:usb0="00000003" w:usb1="00000000" w:usb2="00000000" w:usb3="00000000" w:csb0="00000001" w:csb1="00000000"/>
  </w:font>
  <w:font w:name="*Times New Roman-15231-Identity">
    <w:altName w:val="Calibri"/>
    <w:panose1 w:val="00000000000000000000"/>
    <w:charset w:val="00"/>
    <w:family w:val="auto"/>
    <w:notTrueType/>
    <w:pitch w:val="default"/>
    <w:sig w:usb0="00000003" w:usb1="00000000" w:usb2="00000000" w:usb3="00000000" w:csb0="00000001" w:csb1="00000000"/>
  </w:font>
  <w:font w:name="*Times New Roman-12907-Identity">
    <w:altName w:val="Calibri"/>
    <w:panose1 w:val="00000000000000000000"/>
    <w:charset w:val="00"/>
    <w:family w:val="auto"/>
    <w:notTrueType/>
    <w:pitch w:val="default"/>
    <w:sig w:usb0="00000003" w:usb1="00000000" w:usb2="00000000" w:usb3="00000000" w:csb0="00000001" w:csb1="00000000"/>
  </w:font>
  <w:font w:name="*Verdana-Italic-12911-Identity-">
    <w:altName w:val="Calibri"/>
    <w:panose1 w:val="00000000000000000000"/>
    <w:charset w:val="00"/>
    <w:family w:val="auto"/>
    <w:notTrueType/>
    <w:pitch w:val="default"/>
    <w:sig w:usb0="00000003" w:usb1="00000000" w:usb2="00000000" w:usb3="00000000" w:csb0="00000001" w:csb1="00000000"/>
  </w:font>
  <w:font w:name="*Comic Sans MS-Bold-12910-Ident">
    <w:altName w:val="Calibri"/>
    <w:panose1 w:val="00000000000000000000"/>
    <w:charset w:val="00"/>
    <w:family w:val="auto"/>
    <w:notTrueType/>
    <w:pitch w:val="default"/>
    <w:sig w:usb0="00000003" w:usb1="00000000" w:usb2="00000000" w:usb3="00000000" w:csb0="00000001" w:csb1="00000000"/>
  </w:font>
  <w:font w:name="*Verdana-Italic-12292-Identity-">
    <w:altName w:val="Calibri"/>
    <w:panose1 w:val="00000000000000000000"/>
    <w:charset w:val="00"/>
    <w:family w:val="auto"/>
    <w:notTrueType/>
    <w:pitch w:val="default"/>
    <w:sig w:usb0="00000003" w:usb1="00000000" w:usb2="00000000" w:usb3="00000000" w:csb0="00000001" w:csb1="00000000"/>
  </w:font>
  <w:font w:name="*Times New Roman-12288-Identity">
    <w:altName w:val="Calibri"/>
    <w:panose1 w:val="00000000000000000000"/>
    <w:charset w:val="00"/>
    <w:family w:val="auto"/>
    <w:notTrueType/>
    <w:pitch w:val="default"/>
    <w:sig w:usb0="00000003" w:usb1="00000000" w:usb2="00000000" w:usb3="00000000" w:csb0="00000001" w:csb1="00000000"/>
  </w:font>
  <w:font w:name="*Verdana-12293-Identity-H">
    <w:altName w:val="Calibri"/>
    <w:panose1 w:val="00000000000000000000"/>
    <w:charset w:val="00"/>
    <w:family w:val="auto"/>
    <w:notTrueType/>
    <w:pitch w:val="default"/>
    <w:sig w:usb0="00000003" w:usb1="00000000" w:usb2="00000000" w:usb3="00000000" w:csb0="00000001" w:csb1="00000000"/>
  </w:font>
  <w:font w:name="*Verdana-Italic-14418-Identity-">
    <w:altName w:val="Calibri"/>
    <w:panose1 w:val="00000000000000000000"/>
    <w:charset w:val="00"/>
    <w:family w:val="auto"/>
    <w:notTrueType/>
    <w:pitch w:val="default"/>
    <w:sig w:usb0="00000003" w:usb1="00000000" w:usb2="00000000" w:usb3="00000000" w:csb0="00000001" w:csb1="00000000"/>
  </w:font>
  <w:font w:name="*Minion Pro-Bold-14422-Identity">
    <w:altName w:val="Calibri"/>
    <w:panose1 w:val="00000000000000000000"/>
    <w:charset w:val="00"/>
    <w:family w:val="auto"/>
    <w:notTrueType/>
    <w:pitch w:val="default"/>
    <w:sig w:usb0="00000003" w:usb1="00000000" w:usb2="00000000" w:usb3="00000000" w:csb0="00000001" w:csb1="00000000"/>
  </w:font>
  <w:font w:name="*Times New Roman-14415-Identity">
    <w:altName w:val="Calibri"/>
    <w:panose1 w:val="00000000000000000000"/>
    <w:charset w:val="00"/>
    <w:family w:val="auto"/>
    <w:notTrueType/>
    <w:pitch w:val="default"/>
    <w:sig w:usb0="00000003" w:usb1="00000000" w:usb2="00000000" w:usb3="00000000" w:csb0="00000001" w:csb1="00000000"/>
  </w:font>
  <w:font w:name="*Verdana-BoldItalic-14419-Ident">
    <w:altName w:val="Calibri"/>
    <w:panose1 w:val="00000000000000000000"/>
    <w:charset w:val="00"/>
    <w:family w:val="auto"/>
    <w:notTrueType/>
    <w:pitch w:val="default"/>
    <w:sig w:usb0="00000003" w:usb1="00000000" w:usb2="00000000" w:usb3="00000000" w:csb0="00000001" w:csb1="00000000"/>
  </w:font>
  <w:font w:name="*Verdana-Italic-15059-Identity-">
    <w:altName w:val="Calibri"/>
    <w:panose1 w:val="00000000000000000000"/>
    <w:charset w:val="00"/>
    <w:family w:val="auto"/>
    <w:notTrueType/>
    <w:pitch w:val="default"/>
    <w:sig w:usb0="00000003" w:usb1="00000000" w:usb2="00000000" w:usb3="00000000" w:csb0="00000001" w:csb1="00000000"/>
  </w:font>
  <w:font w:name="*Verdana-Bold-15058-Identity-H">
    <w:altName w:val="Calibri"/>
    <w:panose1 w:val="00000000000000000000"/>
    <w:charset w:val="00"/>
    <w:family w:val="auto"/>
    <w:notTrueType/>
    <w:pitch w:val="default"/>
    <w:sig w:usb0="00000003" w:usb1="00000000" w:usb2="00000000" w:usb3="00000000" w:csb0="00000001" w:csb1="00000000"/>
  </w:font>
  <w:font w:name="*Verdana-15057-Identity-H">
    <w:altName w:val="Calibri"/>
    <w:panose1 w:val="00000000000000000000"/>
    <w:charset w:val="00"/>
    <w:family w:val="auto"/>
    <w:notTrueType/>
    <w:pitch w:val="default"/>
    <w:sig w:usb0="00000003" w:usb1="00000000" w:usb2="00000000" w:usb3="00000000" w:csb0="00000001" w:csb1="00000000"/>
  </w:font>
  <w:font w:name="*Verdana-14132-Identity-H">
    <w:altName w:val="Calibri"/>
    <w:panose1 w:val="00000000000000000000"/>
    <w:charset w:val="00"/>
    <w:family w:val="auto"/>
    <w:notTrueType/>
    <w:pitch w:val="default"/>
    <w:sig w:usb0="00000003" w:usb1="00000000" w:usb2="00000000" w:usb3="00000000" w:csb0="00000001" w:csb1="00000000"/>
  </w:font>
  <w:font w:name="*Verdana-Italic-14131-Identity-">
    <w:altName w:val="Calibri"/>
    <w:panose1 w:val="00000000000000000000"/>
    <w:charset w:val="00"/>
    <w:family w:val="auto"/>
    <w:notTrueType/>
    <w:pitch w:val="default"/>
    <w:sig w:usb0="00000003" w:usb1="00000000" w:usb2="00000000" w:usb3="00000000" w:csb0="00000001" w:csb1="00000000"/>
  </w:font>
  <w:font w:name="*Times New Roman-Italic-14128-I">
    <w:altName w:val="Calibri"/>
    <w:panose1 w:val="00000000000000000000"/>
    <w:charset w:val="00"/>
    <w:family w:val="auto"/>
    <w:notTrueType/>
    <w:pitch w:val="default"/>
    <w:sig w:usb0="00000003" w:usb1="00000000" w:usb2="00000000" w:usb3="00000000" w:csb0="00000001" w:csb1="00000000"/>
  </w:font>
  <w:font w:name="*Verdana-12849-Identity-H">
    <w:altName w:val="Calibri"/>
    <w:panose1 w:val="00000000000000000000"/>
    <w:charset w:val="00"/>
    <w:family w:val="auto"/>
    <w:notTrueType/>
    <w:pitch w:val="default"/>
    <w:sig w:usb0="00000003" w:usb1="00000000" w:usb2="00000000" w:usb3="00000000" w:csb0="00000001" w:csb1="00000000"/>
  </w:font>
  <w:font w:name="*Verdana-Italic-12850-Identity-">
    <w:altName w:val="Calibri"/>
    <w:panose1 w:val="00000000000000000000"/>
    <w:charset w:val="00"/>
    <w:family w:val="auto"/>
    <w:notTrueType/>
    <w:pitch w:val="default"/>
    <w:sig w:usb0="00000003" w:usb1="00000000" w:usb2="00000000" w:usb3="00000000" w:csb0="00000001" w:csb1="00000000"/>
  </w:font>
  <w:font w:name="*Calibri-12844-Identity-H">
    <w:altName w:val="Calibri"/>
    <w:panose1 w:val="00000000000000000000"/>
    <w:charset w:val="00"/>
    <w:family w:val="auto"/>
    <w:notTrueType/>
    <w:pitch w:val="default"/>
    <w:sig w:usb0="00000003" w:usb1="00000000" w:usb2="00000000" w:usb3="00000000" w:csb0="00000001" w:csb1="00000000"/>
  </w:font>
  <w:font w:name="*Verdana-14073-Identity-H">
    <w:altName w:val="Calibri"/>
    <w:panose1 w:val="00000000000000000000"/>
    <w:charset w:val="00"/>
    <w:family w:val="auto"/>
    <w:notTrueType/>
    <w:pitch w:val="default"/>
    <w:sig w:usb0="00000003" w:usb1="00000000" w:usb2="00000000" w:usb3="00000000" w:csb0="00000001" w:csb1="00000000"/>
  </w:font>
  <w:font w:name="*Verdana-Italic-14074-Identity-">
    <w:altName w:val="Calibri"/>
    <w:panose1 w:val="00000000000000000000"/>
    <w:charset w:val="00"/>
    <w:family w:val="auto"/>
    <w:notTrueType/>
    <w:pitch w:val="default"/>
    <w:sig w:usb0="00000003" w:usb1="00000000" w:usb2="00000000" w:usb3="00000000" w:csb0="00000001" w:csb1="00000000"/>
  </w:font>
  <w:font w:name="*Verdana-Bold-9814-Identity-H">
    <w:altName w:val="Calibri"/>
    <w:panose1 w:val="00000000000000000000"/>
    <w:charset w:val="00"/>
    <w:family w:val="auto"/>
    <w:notTrueType/>
    <w:pitch w:val="default"/>
    <w:sig w:usb0="00000003" w:usb1="00000000" w:usb2="00000000" w:usb3="00000000" w:csb0="00000001" w:csb1="00000000"/>
  </w:font>
  <w:font w:name="*Verdana-9815-Identity-H">
    <w:altName w:val="Calibri"/>
    <w:panose1 w:val="00000000000000000000"/>
    <w:charset w:val="00"/>
    <w:family w:val="auto"/>
    <w:notTrueType/>
    <w:pitch w:val="default"/>
    <w:sig w:usb0="00000003" w:usb1="00000000" w:usb2="00000000" w:usb3="00000000" w:csb0="00000001" w:csb1="00000000"/>
  </w:font>
  <w:font w:name="*Arial-Bold-6967-Identity-H">
    <w:altName w:val="Calibri"/>
    <w:panose1 w:val="00000000000000000000"/>
    <w:charset w:val="00"/>
    <w:family w:val="auto"/>
    <w:notTrueType/>
    <w:pitch w:val="default"/>
    <w:sig w:usb0="00000003" w:usb1="00000000" w:usb2="00000000" w:usb3="00000000" w:csb0="00000001" w:csb1="00000000"/>
  </w:font>
  <w:font w:name="*Arial-6965-Identity-H">
    <w:altName w:val="Calibri"/>
    <w:panose1 w:val="00000000000000000000"/>
    <w:charset w:val="00"/>
    <w:family w:val="auto"/>
    <w:notTrueType/>
    <w:pitch w:val="default"/>
    <w:sig w:usb0="00000003" w:usb1="00000000" w:usb2="00000000" w:usb3="00000000" w:csb0="00000001" w:csb1="00000000"/>
  </w:font>
  <w:font w:name="*Arial-Bold-6966-Identity-H">
    <w:altName w:val="Calibri"/>
    <w:panose1 w:val="00000000000000000000"/>
    <w:charset w:val="00"/>
    <w:family w:val="auto"/>
    <w:notTrueType/>
    <w:pitch w:val="default"/>
    <w:sig w:usb0="00000003" w:usb1="00000000" w:usb2="00000000" w:usb3="00000000" w:csb0="00000001" w:csb1="00000000"/>
  </w:font>
  <w:font w:name="*Microsoft Sans Serif-Bold-6968">
    <w:altName w:val="Calibri"/>
    <w:panose1 w:val="00000000000000000000"/>
    <w:charset w:val="00"/>
    <w:family w:val="auto"/>
    <w:notTrueType/>
    <w:pitch w:val="default"/>
    <w:sig w:usb0="00000003" w:usb1="00000000" w:usb2="00000000" w:usb3="00000000" w:csb0="00000001" w:csb1="00000000"/>
  </w:font>
  <w:font w:name="*Arial-6971-Identity-H">
    <w:altName w:val="Calibri"/>
    <w:panose1 w:val="00000000000000000000"/>
    <w:charset w:val="00"/>
    <w:family w:val="auto"/>
    <w:notTrueType/>
    <w:pitch w:val="default"/>
    <w:sig w:usb0="00000003" w:usb1="00000000" w:usb2="00000000" w:usb3="00000000" w:csb0="00000001" w:csb1="00000000"/>
  </w:font>
  <w:font w:name="*Arial-Bold-6972-Identity-H">
    <w:altName w:val="Calibri"/>
    <w:panose1 w:val="00000000000000000000"/>
    <w:charset w:val="00"/>
    <w:family w:val="auto"/>
    <w:notTrueType/>
    <w:pitch w:val="default"/>
    <w:sig w:usb0="00000003" w:usb1="00000000" w:usb2="00000000" w:usb3="00000000" w:csb0="00000001" w:csb1="00000000"/>
  </w:font>
  <w:font w:name="*Arial-6673-Identity-H">
    <w:altName w:val="Calibri"/>
    <w:panose1 w:val="00000000000000000000"/>
    <w:charset w:val="00"/>
    <w:family w:val="auto"/>
    <w:notTrueType/>
    <w:pitch w:val="default"/>
    <w:sig w:usb0="00000003" w:usb1="00000000" w:usb2="00000000" w:usb3="00000000" w:csb0="00000001" w:csb1="00000000"/>
  </w:font>
  <w:font w:name="*Arial-7090-Identity-H">
    <w:altName w:val="Calibri"/>
    <w:panose1 w:val="00000000000000000000"/>
    <w:charset w:val="00"/>
    <w:family w:val="auto"/>
    <w:notTrueType/>
    <w:pitch w:val="default"/>
    <w:sig w:usb0="00000003" w:usb1="00000000" w:usb2="00000000" w:usb3="00000000" w:csb0="00000001" w:csb1="00000000"/>
  </w:font>
  <w:font w:name="*Arial-Bold-7938-Identity-H">
    <w:altName w:val="Calibri"/>
    <w:panose1 w:val="00000000000000000000"/>
    <w:charset w:val="00"/>
    <w:family w:val="auto"/>
    <w:notTrueType/>
    <w:pitch w:val="default"/>
    <w:sig w:usb0="00000003" w:usb1="00000000" w:usb2="00000000" w:usb3="00000000" w:csb0="00000001" w:csb1="00000000"/>
  </w:font>
  <w:font w:name="*Arial-7939-Identity-H">
    <w:altName w:val="Calibri"/>
    <w:panose1 w:val="00000000000000000000"/>
    <w:charset w:val="00"/>
    <w:family w:val="auto"/>
    <w:notTrueType/>
    <w:pitch w:val="default"/>
    <w:sig w:usb0="00000003" w:usb1="00000000" w:usb2="00000000" w:usb3="00000000" w:csb0="00000001" w:csb1="00000000"/>
  </w:font>
  <w:font w:name="*Arial-7937-Identity-H">
    <w:altName w:val="Calibri"/>
    <w:panose1 w:val="00000000000000000000"/>
    <w:charset w:val="00"/>
    <w:family w:val="auto"/>
    <w:notTrueType/>
    <w:pitch w:val="default"/>
    <w:sig w:usb0="00000003" w:usb1="00000000" w:usb2="00000000" w:usb3="00000000" w:csb0="00000001" w:csb1="00000000"/>
  </w:font>
  <w:font w:name="*Arial-7445-Identity-H">
    <w:altName w:val="Calibri"/>
    <w:panose1 w:val="00000000000000000000"/>
    <w:charset w:val="00"/>
    <w:family w:val="auto"/>
    <w:notTrueType/>
    <w:pitch w:val="default"/>
    <w:sig w:usb0="00000003" w:usb1="00000000" w:usb2="00000000" w:usb3="00000000" w:csb0="00000001" w:csb1="00000000"/>
  </w:font>
  <w:font w:name="*Arial-7030-Identity-H">
    <w:altName w:val="Calibri"/>
    <w:panose1 w:val="00000000000000000000"/>
    <w:charset w:val="00"/>
    <w:family w:val="auto"/>
    <w:notTrueType/>
    <w:pitch w:val="default"/>
    <w:sig w:usb0="00000003" w:usb1="00000000" w:usb2="00000000" w:usb3="00000000" w:csb0="00000001" w:csb1="00000000"/>
  </w:font>
  <w:font w:name="*Arial-9979-Identity-H">
    <w:altName w:val="Calibri"/>
    <w:panose1 w:val="00000000000000000000"/>
    <w:charset w:val="00"/>
    <w:family w:val="auto"/>
    <w:notTrueType/>
    <w:pitch w:val="default"/>
    <w:sig w:usb0="00000003" w:usb1="00000000" w:usb2="00000000" w:usb3="00000000" w:csb0="00000001" w:csb1="00000000"/>
  </w:font>
  <w:font w:name="*Arial-9980-Identity-H">
    <w:altName w:val="Calibri"/>
    <w:panose1 w:val="00000000000000000000"/>
    <w:charset w:val="00"/>
    <w:family w:val="auto"/>
    <w:notTrueType/>
    <w:pitch w:val="default"/>
    <w:sig w:usb0="00000003" w:usb1="00000000" w:usb2="00000000" w:usb3="00000000" w:csb0="00000001" w:csb1="00000000"/>
  </w:font>
  <w:font w:name="*Arial-Italic-9981-Identity-H">
    <w:altName w:val="Calibri"/>
    <w:panose1 w:val="00000000000000000000"/>
    <w:charset w:val="00"/>
    <w:family w:val="auto"/>
    <w:notTrueType/>
    <w:pitch w:val="default"/>
    <w:sig w:usb0="00000003" w:usb1="00000000" w:usb2="00000000" w:usb3="00000000" w:csb0="00000001" w:csb1="00000000"/>
  </w:font>
  <w:font w:name="*Arial-9977-Identity-H">
    <w:altName w:val="Calibri"/>
    <w:panose1 w:val="00000000000000000000"/>
    <w:charset w:val="00"/>
    <w:family w:val="auto"/>
    <w:notTrueType/>
    <w:pitch w:val="default"/>
    <w:sig w:usb0="00000003" w:usb1="00000000" w:usb2="00000000" w:usb3="00000000" w:csb0="00000001" w:csb1="00000000"/>
  </w:font>
  <w:font w:name="*Arial-6926-Identity-H">
    <w:altName w:val="Calibri"/>
    <w:panose1 w:val="00000000000000000000"/>
    <w:charset w:val="00"/>
    <w:family w:val="auto"/>
    <w:notTrueType/>
    <w:pitch w:val="default"/>
    <w:sig w:usb0="00000003" w:usb1="00000000" w:usb2="00000000" w:usb3="00000000" w:csb0="00000001" w:csb1="00000000"/>
  </w:font>
  <w:font w:name="*Arial-Italic-6927-Identity-H">
    <w:altName w:val="Calibri"/>
    <w:panose1 w:val="00000000000000000000"/>
    <w:charset w:val="00"/>
    <w:family w:val="auto"/>
    <w:notTrueType/>
    <w:pitch w:val="default"/>
    <w:sig w:usb0="00000003" w:usb1="00000000" w:usb2="00000000" w:usb3="00000000" w:csb0="00000001" w:csb1="00000000"/>
  </w:font>
  <w:font w:name="*Arial-6838-Identity-H">
    <w:altName w:val="Calibri"/>
    <w:panose1 w:val="00000000000000000000"/>
    <w:charset w:val="00"/>
    <w:family w:val="auto"/>
    <w:notTrueType/>
    <w:pitch w:val="default"/>
    <w:sig w:usb0="00000003" w:usb1="00000000" w:usb2="00000000" w:usb3="00000000" w:csb0="00000001" w:csb1="00000000"/>
  </w:font>
  <w:font w:name="*Arial-Bold-6839-Identity-H">
    <w:altName w:val="Calibri"/>
    <w:panose1 w:val="00000000000000000000"/>
    <w:charset w:val="00"/>
    <w:family w:val="auto"/>
    <w:notTrueType/>
    <w:pitch w:val="default"/>
    <w:sig w:usb0="00000003" w:usb1="00000000" w:usb2="00000000" w:usb3="00000000" w:csb0="00000001" w:csb1="00000000"/>
  </w:font>
  <w:font w:name="*Arial-Bold-7131-Identity-H">
    <w:altName w:val="Calibri"/>
    <w:panose1 w:val="00000000000000000000"/>
    <w:charset w:val="00"/>
    <w:family w:val="auto"/>
    <w:notTrueType/>
    <w:pitch w:val="default"/>
    <w:sig w:usb0="00000003" w:usb1="00000000" w:usb2="00000000" w:usb3="00000000" w:csb0="00000001" w:csb1="00000000"/>
  </w:font>
  <w:font w:name="*Arial-7129-Identity-H">
    <w:altName w:val="Calibri"/>
    <w:panose1 w:val="00000000000000000000"/>
    <w:charset w:val="00"/>
    <w:family w:val="auto"/>
    <w:notTrueType/>
    <w:pitch w:val="default"/>
    <w:sig w:usb0="00000003" w:usb1="00000000" w:usb2="00000000" w:usb3="00000000" w:csb0="00000001" w:csb1="00000000"/>
  </w:font>
  <w:font w:name="*Arial-5891-Identity-H">
    <w:altName w:val="Calibri"/>
    <w:panose1 w:val="00000000000000000000"/>
    <w:charset w:val="00"/>
    <w:family w:val="auto"/>
    <w:notTrueType/>
    <w:pitch w:val="default"/>
    <w:sig w:usb0="00000003" w:usb1="00000000" w:usb2="00000000" w:usb3="00000000" w:csb0="00000001" w:csb1="00000000"/>
  </w:font>
  <w:font w:name="*Arial-Italic-7130-Identity-H">
    <w:altName w:val="Calibri"/>
    <w:panose1 w:val="00000000000000000000"/>
    <w:charset w:val="00"/>
    <w:family w:val="auto"/>
    <w:notTrueType/>
    <w:pitch w:val="default"/>
    <w:sig w:usb0="00000003" w:usb1="00000000" w:usb2="00000000" w:usb3="00000000" w:csb0="00000001" w:csb1="00000000"/>
  </w:font>
  <w:font w:name="*Arial-Bold-5892-Identity-H">
    <w:altName w:val="Calibri"/>
    <w:panose1 w:val="00000000000000000000"/>
    <w:charset w:val="00"/>
    <w:family w:val="auto"/>
    <w:notTrueType/>
    <w:pitch w:val="default"/>
    <w:sig w:usb0="00000003" w:usb1="00000000" w:usb2="00000000" w:usb3="00000000" w:csb0="00000001" w:csb1="00000000"/>
  </w:font>
  <w:font w:name="*Arial-7230-Identity-H">
    <w:altName w:val="Calibri"/>
    <w:panose1 w:val="00000000000000000000"/>
    <w:charset w:val="00"/>
    <w:family w:val="auto"/>
    <w:notTrueType/>
    <w:pitch w:val="default"/>
    <w:sig w:usb0="00000003" w:usb1="00000000" w:usb2="00000000" w:usb3="00000000" w:csb0="00000001" w:csb1="00000000"/>
  </w:font>
  <w:font w:name="*Arial-7199-Identity-H">
    <w:altName w:val="Calibri"/>
    <w:panose1 w:val="00000000000000000000"/>
    <w:charset w:val="00"/>
    <w:family w:val="auto"/>
    <w:notTrueType/>
    <w:pitch w:val="default"/>
    <w:sig w:usb0="00000003" w:usb1="00000000" w:usb2="00000000" w:usb3="00000000" w:csb0="00000001" w:csb1="00000000"/>
  </w:font>
  <w:font w:name="*Arial-6474-Identity-H">
    <w:altName w:val="Calibri"/>
    <w:panose1 w:val="00000000000000000000"/>
    <w:charset w:val="00"/>
    <w:family w:val="auto"/>
    <w:notTrueType/>
    <w:pitch w:val="default"/>
    <w:sig w:usb0="00000003" w:usb1="00000000" w:usb2="00000000" w:usb3="00000000" w:csb0="00000001" w:csb1="00000000"/>
  </w:font>
  <w:font w:name="*Arial-Bold-6489-Identity-H">
    <w:altName w:val="Calibri"/>
    <w:panose1 w:val="00000000000000000000"/>
    <w:charset w:val="00"/>
    <w:family w:val="auto"/>
    <w:notTrueType/>
    <w:pitch w:val="default"/>
    <w:sig w:usb0="00000003" w:usb1="00000000" w:usb2="00000000" w:usb3="00000000" w:csb0="00000001" w:csb1="00000000"/>
  </w:font>
  <w:font w:name="*Arial-6490-Identity-H">
    <w:altName w:val="Calibri"/>
    <w:panose1 w:val="00000000000000000000"/>
    <w:charset w:val="00"/>
    <w:family w:val="auto"/>
    <w:notTrueType/>
    <w:pitch w:val="default"/>
    <w:sig w:usb0="00000003" w:usb1="00000000" w:usb2="00000000" w:usb3="00000000" w:csb0="00000001" w:csb1="00000000"/>
  </w:font>
  <w:font w:name="*Arial-6488-Identity-H">
    <w:altName w:val="Calibri"/>
    <w:panose1 w:val="00000000000000000000"/>
    <w:charset w:val="00"/>
    <w:family w:val="auto"/>
    <w:notTrueType/>
    <w:pitch w:val="default"/>
    <w:sig w:usb0="00000003" w:usb1="00000000" w:usb2="00000000" w:usb3="00000000" w:csb0="00000001" w:csb1="00000000"/>
  </w:font>
  <w:font w:name="*Arial-7534-Identity-H">
    <w:altName w:val="Calibri"/>
    <w:panose1 w:val="00000000000000000000"/>
    <w:charset w:val="00"/>
    <w:family w:val="auto"/>
    <w:notTrueType/>
    <w:pitch w:val="default"/>
    <w:sig w:usb0="00000003" w:usb1="00000000" w:usb2="00000000" w:usb3="00000000" w:csb0="00000001" w:csb1="00000000"/>
  </w:font>
  <w:font w:name="*Arial-Bold-7535-Identity-H">
    <w:altName w:val="Calibri"/>
    <w:panose1 w:val="00000000000000000000"/>
    <w:charset w:val="00"/>
    <w:family w:val="auto"/>
    <w:notTrueType/>
    <w:pitch w:val="default"/>
    <w:sig w:usb0="00000003" w:usb1="00000000" w:usb2="00000000" w:usb3="00000000" w:csb0="00000001" w:csb1="00000000"/>
  </w:font>
  <w:font w:name="*Arial-4915-Identity-H">
    <w:altName w:val="Calibri"/>
    <w:panose1 w:val="00000000000000000000"/>
    <w:charset w:val="00"/>
    <w:family w:val="auto"/>
    <w:notTrueType/>
    <w:pitch w:val="default"/>
    <w:sig w:usb0="00000003" w:usb1="00000000" w:usb2="00000000" w:usb3="00000000" w:csb0="00000001" w:csb1="00000000"/>
  </w:font>
  <w:font w:name="*Arial-Bold-7070-Identity-H">
    <w:altName w:val="Calibri"/>
    <w:panose1 w:val="00000000000000000000"/>
    <w:charset w:val="00"/>
    <w:family w:val="auto"/>
    <w:notTrueType/>
    <w:pitch w:val="default"/>
    <w:sig w:usb0="00000003" w:usb1="00000000" w:usb2="00000000" w:usb3="00000000" w:csb0="00000001" w:csb1="00000000"/>
  </w:font>
  <w:font w:name="*Arial-7068-Identity-H">
    <w:altName w:val="Calibri"/>
    <w:panose1 w:val="00000000000000000000"/>
    <w:charset w:val="00"/>
    <w:family w:val="auto"/>
    <w:notTrueType/>
    <w:pitch w:val="default"/>
    <w:sig w:usb0="00000003" w:usb1="00000000" w:usb2="00000000" w:usb3="00000000" w:csb0="00000001" w:csb1="00000000"/>
  </w:font>
  <w:font w:name="*Arial-Bold-7069-Identity-H">
    <w:altName w:val="Calibri"/>
    <w:panose1 w:val="00000000000000000000"/>
    <w:charset w:val="00"/>
    <w:family w:val="auto"/>
    <w:notTrueType/>
    <w:pitch w:val="default"/>
    <w:sig w:usb0="00000003" w:usb1="00000000" w:usb2="00000000" w:usb3="00000000" w:csb0="00000001" w:csb1="00000000"/>
  </w:font>
  <w:font w:name="*Times New Roman-Bold-6357-Iden">
    <w:altName w:val="Calibri"/>
    <w:panose1 w:val="00000000000000000000"/>
    <w:charset w:val="00"/>
    <w:family w:val="auto"/>
    <w:notTrueType/>
    <w:pitch w:val="default"/>
    <w:sig w:usb0="00000003" w:usb1="00000000" w:usb2="00000000" w:usb3="00000000" w:csb0="00000001" w:csb1="00000000"/>
  </w:font>
  <w:font w:name="*Arial-6358-Identity-H">
    <w:altName w:val="Calibri"/>
    <w:panose1 w:val="00000000000000000000"/>
    <w:charset w:val="00"/>
    <w:family w:val="auto"/>
    <w:notTrueType/>
    <w:pitch w:val="default"/>
    <w:sig w:usb0="00000003" w:usb1="00000000" w:usb2="00000000" w:usb3="00000000" w:csb0="00000001" w:csb1="00000000"/>
  </w:font>
  <w:font w:name="*Arial-Bold-6359-Identity-H">
    <w:altName w:val="Calibri"/>
    <w:panose1 w:val="00000000000000000000"/>
    <w:charset w:val="00"/>
    <w:family w:val="auto"/>
    <w:notTrueType/>
    <w:pitch w:val="default"/>
    <w:sig w:usb0="00000003" w:usb1="00000000" w:usb2="00000000" w:usb3="00000000" w:csb0="00000001" w:csb1="00000000"/>
  </w:font>
  <w:font w:name="*Arial-6616-Identity-H">
    <w:altName w:val="Calibri"/>
    <w:panose1 w:val="00000000000000000000"/>
    <w:charset w:val="00"/>
    <w:family w:val="auto"/>
    <w:notTrueType/>
    <w:pitch w:val="default"/>
    <w:sig w:usb0="00000003" w:usb1="00000000" w:usb2="00000000" w:usb3="00000000" w:csb0="00000001" w:csb1="00000000"/>
  </w:font>
  <w:font w:name="*Microsoft Sans Serif-Bold-6207">
    <w:altName w:val="Calibri"/>
    <w:panose1 w:val="00000000000000000000"/>
    <w:charset w:val="00"/>
    <w:family w:val="auto"/>
    <w:notTrueType/>
    <w:pitch w:val="default"/>
    <w:sig w:usb0="00000003" w:usb1="00000000" w:usb2="00000000" w:usb3="00000000" w:csb0="00000001" w:csb1="00000000"/>
  </w:font>
  <w:font w:name="*Arial-6206-Identity-H">
    <w:altName w:val="Calibri"/>
    <w:panose1 w:val="00000000000000000000"/>
    <w:charset w:val="00"/>
    <w:family w:val="auto"/>
    <w:notTrueType/>
    <w:pitch w:val="default"/>
    <w:sig w:usb0="00000003" w:usb1="00000000" w:usb2="00000000" w:usb3="00000000" w:csb0="00000001" w:csb1="00000000"/>
  </w:font>
  <w:font w:name="*Arial-7951-Identity-H">
    <w:altName w:val="Calibri"/>
    <w:panose1 w:val="00000000000000000000"/>
    <w:charset w:val="00"/>
    <w:family w:val="auto"/>
    <w:notTrueType/>
    <w:pitch w:val="default"/>
    <w:sig w:usb0="00000003" w:usb1="00000000" w:usb2="00000000" w:usb3="00000000" w:csb0="00000001" w:csb1="00000000"/>
  </w:font>
  <w:font w:name="*Arial-Bold-7952-Identity-H">
    <w:altName w:val="Calibri"/>
    <w:panose1 w:val="00000000000000000000"/>
    <w:charset w:val="00"/>
    <w:family w:val="auto"/>
    <w:notTrueType/>
    <w:pitch w:val="default"/>
    <w:sig w:usb0="00000003" w:usb1="00000000" w:usb2="00000000" w:usb3="00000000" w:csb0="00000001" w:csb1="00000000"/>
  </w:font>
  <w:font w:name="*Microsoft Sans Serif-Bold-7954">
    <w:altName w:val="Calibri"/>
    <w:panose1 w:val="00000000000000000000"/>
    <w:charset w:val="00"/>
    <w:family w:val="auto"/>
    <w:notTrueType/>
    <w:pitch w:val="default"/>
    <w:sig w:usb0="00000003" w:usb1="00000000" w:usb2="00000000" w:usb3="00000000" w:csb0="00000001" w:csb1="00000000"/>
  </w:font>
  <w:font w:name="*Arial-7305-Identity-H">
    <w:altName w:val="Calibri"/>
    <w:panose1 w:val="00000000000000000000"/>
    <w:charset w:val="00"/>
    <w:family w:val="auto"/>
    <w:notTrueType/>
    <w:pitch w:val="default"/>
    <w:sig w:usb0="00000003" w:usb1="00000000" w:usb2="00000000" w:usb3="00000000" w:csb0="00000001" w:csb1="00000000"/>
  </w:font>
  <w:font w:name="*Arial-7091-Identity-H">
    <w:altName w:val="Calibri"/>
    <w:panose1 w:val="00000000000000000000"/>
    <w:charset w:val="00"/>
    <w:family w:val="auto"/>
    <w:notTrueType/>
    <w:pitch w:val="default"/>
    <w:sig w:usb0="00000003" w:usb1="00000000" w:usb2="00000000" w:usb3="00000000" w:csb0="00000001" w:csb1="00000000"/>
  </w:font>
  <w:font w:name="*Arial-10133-Identity-H">
    <w:altName w:val="Calibri"/>
    <w:panose1 w:val="00000000000000000000"/>
    <w:charset w:val="00"/>
    <w:family w:val="auto"/>
    <w:notTrueType/>
    <w:pitch w:val="default"/>
    <w:sig w:usb0="00000003" w:usb1="00000000" w:usb2="00000000" w:usb3="00000000" w:csb0="00000001" w:csb1="00000000"/>
  </w:font>
  <w:font w:name="*Microsoft Sans Serif-Bold-1013">
    <w:altName w:val="Calibri"/>
    <w:panose1 w:val="00000000000000000000"/>
    <w:charset w:val="00"/>
    <w:family w:val="auto"/>
    <w:notTrueType/>
    <w:pitch w:val="default"/>
    <w:sig w:usb0="00000003" w:usb1="00000000" w:usb2="00000000" w:usb3="00000000" w:csb0="00000001" w:csb1="00000000"/>
  </w:font>
  <w:font w:name="*Arial-Italic-10134-Identity-H">
    <w:altName w:val="Calibri"/>
    <w:panose1 w:val="00000000000000000000"/>
    <w:charset w:val="00"/>
    <w:family w:val="auto"/>
    <w:notTrueType/>
    <w:pitch w:val="default"/>
    <w:sig w:usb0="00000003" w:usb1="00000000" w:usb2="00000000" w:usb3="00000000" w:csb0="00000001" w:csb1="00000000"/>
  </w:font>
  <w:font w:name="*Arial-Italic-10135-Identity-H">
    <w:altName w:val="Calibri"/>
    <w:panose1 w:val="00000000000000000000"/>
    <w:charset w:val="00"/>
    <w:family w:val="auto"/>
    <w:notTrueType/>
    <w:pitch w:val="default"/>
    <w:sig w:usb0="00000003" w:usb1="00000000" w:usb2="00000000" w:usb3="00000000" w:csb0="00000001" w:csb1="00000000"/>
  </w:font>
  <w:font w:name="*Arial-8284-Identity-H">
    <w:altName w:val="Calibri"/>
    <w:panose1 w:val="00000000000000000000"/>
    <w:charset w:val="00"/>
    <w:family w:val="auto"/>
    <w:notTrueType/>
    <w:pitch w:val="default"/>
    <w:sig w:usb0="00000003" w:usb1="00000000" w:usb2="00000000" w:usb3="00000000" w:csb0="00000001" w:csb1="00000000"/>
  </w:font>
  <w:font w:name="*Arial-10132-Identity-H">
    <w:altName w:val="Calibri"/>
    <w:panose1 w:val="00000000000000000000"/>
    <w:charset w:val="00"/>
    <w:family w:val="auto"/>
    <w:notTrueType/>
    <w:pitch w:val="default"/>
    <w:sig w:usb0="00000003" w:usb1="00000000" w:usb2="00000000" w:usb3="00000000" w:csb0="00000001" w:csb1="00000000"/>
  </w:font>
  <w:font w:name="*Arial-8282-Identity-H">
    <w:altName w:val="Calibri"/>
    <w:panose1 w:val="00000000000000000000"/>
    <w:charset w:val="00"/>
    <w:family w:val="auto"/>
    <w:notTrueType/>
    <w:pitch w:val="default"/>
    <w:sig w:usb0="00000003" w:usb1="00000000" w:usb2="00000000" w:usb3="00000000" w:csb0="00000001" w:csb1="00000000"/>
  </w:font>
  <w:font w:name="*Arial-Italic-8283-Identity-H">
    <w:altName w:val="Calibri"/>
    <w:panose1 w:val="00000000000000000000"/>
    <w:charset w:val="00"/>
    <w:family w:val="auto"/>
    <w:notTrueType/>
    <w:pitch w:val="default"/>
    <w:sig w:usb0="00000003" w:usb1="00000000" w:usb2="00000000" w:usb3="00000000" w:csb0="00000001" w:csb1="00000000"/>
  </w:font>
  <w:font w:name="*Arial-7932-Identity-H">
    <w:altName w:val="Calibri"/>
    <w:panose1 w:val="00000000000000000000"/>
    <w:charset w:val="00"/>
    <w:family w:val="auto"/>
    <w:notTrueType/>
    <w:pitch w:val="default"/>
    <w:sig w:usb0="00000003" w:usb1="00000000" w:usb2="00000000" w:usb3="00000000" w:csb0="00000001" w:csb1="00000000"/>
  </w:font>
  <w:font w:name="*Arial-Italic-7934-Identity-H">
    <w:altName w:val="Calibri"/>
    <w:panose1 w:val="00000000000000000000"/>
    <w:charset w:val="00"/>
    <w:family w:val="auto"/>
    <w:notTrueType/>
    <w:pitch w:val="default"/>
    <w:sig w:usb0="00000003" w:usb1="00000000" w:usb2="00000000" w:usb3="00000000" w:csb0="00000001" w:csb1="00000000"/>
  </w:font>
  <w:font w:name="*Arial-Bold-7933-Identity-H">
    <w:altName w:val="Calibri"/>
    <w:panose1 w:val="00000000000000000000"/>
    <w:charset w:val="00"/>
    <w:family w:val="auto"/>
    <w:notTrueType/>
    <w:pitch w:val="default"/>
    <w:sig w:usb0="00000003" w:usb1="00000000" w:usb2="00000000" w:usb3="00000000" w:csb0="00000001" w:csb1="00000000"/>
  </w:font>
  <w:font w:name="*Arial-5567-Identity-H">
    <w:altName w:val="Calibri"/>
    <w:panose1 w:val="00000000000000000000"/>
    <w:charset w:val="00"/>
    <w:family w:val="auto"/>
    <w:notTrueType/>
    <w:pitch w:val="default"/>
    <w:sig w:usb0="00000003" w:usb1="00000000" w:usb2="00000000" w:usb3="00000000" w:csb0="00000001" w:csb1="00000000"/>
  </w:font>
  <w:font w:name="*Arial-Bold-5568-Identity-H">
    <w:altName w:val="Calibri"/>
    <w:panose1 w:val="00000000000000000000"/>
    <w:charset w:val="00"/>
    <w:family w:val="auto"/>
    <w:notTrueType/>
    <w:pitch w:val="default"/>
    <w:sig w:usb0="00000003" w:usb1="00000000" w:usb2="00000000" w:usb3="00000000" w:csb0="00000001" w:csb1="00000000"/>
  </w:font>
  <w:font w:name="*Arial-7646-Identity-H">
    <w:altName w:val="Calibri"/>
    <w:panose1 w:val="00000000000000000000"/>
    <w:charset w:val="00"/>
    <w:family w:val="auto"/>
    <w:notTrueType/>
    <w:pitch w:val="default"/>
    <w:sig w:usb0="00000003" w:usb1="00000000" w:usb2="00000000" w:usb3="00000000" w:csb0="00000001" w:csb1="00000000"/>
  </w:font>
  <w:font w:name="*Arial-7644-Identity-H">
    <w:altName w:val="Calibri"/>
    <w:panose1 w:val="00000000000000000000"/>
    <w:charset w:val="00"/>
    <w:family w:val="auto"/>
    <w:notTrueType/>
    <w:pitch w:val="default"/>
    <w:sig w:usb0="00000003" w:usb1="00000000" w:usb2="00000000" w:usb3="00000000" w:csb0="00000001" w:csb1="00000000"/>
  </w:font>
  <w:font w:name="*Arial-Italic-7645-Identity-H">
    <w:altName w:val="Calibri"/>
    <w:panose1 w:val="00000000000000000000"/>
    <w:charset w:val="00"/>
    <w:family w:val="auto"/>
    <w:notTrueType/>
    <w:pitch w:val="default"/>
    <w:sig w:usb0="00000003" w:usb1="00000000" w:usb2="00000000" w:usb3="00000000" w:csb0="00000001" w:csb1="00000000"/>
  </w:font>
  <w:font w:name="*Microsoft Sans Serif-Bold-7647">
    <w:altName w:val="Calibri"/>
    <w:panose1 w:val="00000000000000000000"/>
    <w:charset w:val="00"/>
    <w:family w:val="auto"/>
    <w:notTrueType/>
    <w:pitch w:val="default"/>
    <w:sig w:usb0="00000003" w:usb1="00000000" w:usb2="00000000" w:usb3="00000000" w:csb0="00000001" w:csb1="00000000"/>
  </w:font>
  <w:font w:name="*Arial-7432-Identity-H">
    <w:altName w:val="Calibri"/>
    <w:panose1 w:val="00000000000000000000"/>
    <w:charset w:val="00"/>
    <w:family w:val="auto"/>
    <w:notTrueType/>
    <w:pitch w:val="default"/>
    <w:sig w:usb0="00000003" w:usb1="00000000" w:usb2="00000000" w:usb3="00000000" w:csb0="00000001" w:csb1="00000000"/>
  </w:font>
  <w:font w:name="*Arial-7359-Identity-H">
    <w:altName w:val="Calibri"/>
    <w:panose1 w:val="00000000000000000000"/>
    <w:charset w:val="00"/>
    <w:family w:val="auto"/>
    <w:notTrueType/>
    <w:pitch w:val="default"/>
    <w:sig w:usb0="00000003" w:usb1="00000000" w:usb2="00000000" w:usb3="00000000" w:csb0="00000001" w:csb1="00000000"/>
  </w:font>
  <w:font w:name="*Arial-7409-Identity-H">
    <w:altName w:val="Calibri"/>
    <w:panose1 w:val="00000000000000000000"/>
    <w:charset w:val="00"/>
    <w:family w:val="auto"/>
    <w:notTrueType/>
    <w:pitch w:val="default"/>
    <w:sig w:usb0="00000003" w:usb1="00000000" w:usb2="00000000" w:usb3="00000000" w:csb0="00000001" w:csb1="00000000"/>
  </w:font>
  <w:font w:name="*Arial-Italic-7410-Identity-H">
    <w:altName w:val="Calibri"/>
    <w:panose1 w:val="00000000000000000000"/>
    <w:charset w:val="00"/>
    <w:family w:val="auto"/>
    <w:notTrueType/>
    <w:pitch w:val="default"/>
    <w:sig w:usb0="00000003" w:usb1="00000000" w:usb2="00000000" w:usb3="00000000" w:csb0="00000001" w:csb1="00000000"/>
  </w:font>
  <w:font w:name="*Arial-7224-Identity-H">
    <w:altName w:val="Calibri"/>
    <w:panose1 w:val="00000000000000000000"/>
    <w:charset w:val="00"/>
    <w:family w:val="auto"/>
    <w:notTrueType/>
    <w:pitch w:val="default"/>
    <w:sig w:usb0="00000003" w:usb1="00000000" w:usb2="00000000" w:usb3="00000000" w:csb0="00000001" w:csb1="00000000"/>
  </w:font>
  <w:font w:name="*Arial-Italic-7225-Identity-H">
    <w:altName w:val="Calibri"/>
    <w:panose1 w:val="00000000000000000000"/>
    <w:charset w:val="00"/>
    <w:family w:val="auto"/>
    <w:notTrueType/>
    <w:pitch w:val="default"/>
    <w:sig w:usb0="00000003" w:usb1="00000000" w:usb2="00000000" w:usb3="00000000" w:csb0="00000001" w:csb1="00000000"/>
  </w:font>
  <w:font w:name="*Arial-6238-Identity-H">
    <w:altName w:val="Calibri"/>
    <w:panose1 w:val="00000000000000000000"/>
    <w:charset w:val="00"/>
    <w:family w:val="auto"/>
    <w:notTrueType/>
    <w:pitch w:val="default"/>
    <w:sig w:usb0="00000003" w:usb1="00000000" w:usb2="00000000" w:usb3="00000000" w:csb0="00000001" w:csb1="00000000"/>
  </w:font>
  <w:font w:name="*Calibri-Bold-6237-Identity-H">
    <w:altName w:val="Calibri"/>
    <w:panose1 w:val="00000000000000000000"/>
    <w:charset w:val="00"/>
    <w:family w:val="auto"/>
    <w:notTrueType/>
    <w:pitch w:val="default"/>
    <w:sig w:usb0="00000003" w:usb1="00000000" w:usb2="00000000" w:usb3="00000000" w:csb0="00000001" w:csb1="00000000"/>
  </w:font>
  <w:font w:name="*Arial-6322-Identity-H">
    <w:altName w:val="Calibri"/>
    <w:panose1 w:val="00000000000000000000"/>
    <w:charset w:val="00"/>
    <w:family w:val="auto"/>
    <w:notTrueType/>
    <w:pitch w:val="default"/>
    <w:sig w:usb0="00000003" w:usb1="00000000" w:usb2="00000000" w:usb3="00000000" w:csb0="00000001" w:csb1="00000000"/>
  </w:font>
  <w:font w:name="*Arial-5325-Identity-H">
    <w:altName w:val="Calibri"/>
    <w:panose1 w:val="00000000000000000000"/>
    <w:charset w:val="00"/>
    <w:family w:val="auto"/>
    <w:notTrueType/>
    <w:pitch w:val="default"/>
    <w:sig w:usb0="00000003" w:usb1="00000000" w:usb2="00000000" w:usb3="00000000" w:csb0="00000001" w:csb1="00000000"/>
  </w:font>
  <w:font w:name="*Arial-5323-Identity-H">
    <w:altName w:val="Calibri"/>
    <w:panose1 w:val="00000000000000000000"/>
    <w:charset w:val="00"/>
    <w:family w:val="auto"/>
    <w:notTrueType/>
    <w:pitch w:val="default"/>
    <w:sig w:usb0="00000003" w:usb1="00000000" w:usb2="00000000" w:usb3="00000000" w:csb0="00000001" w:csb1="00000000"/>
  </w:font>
  <w:font w:name="*Arial-Bold-5324-Identity-H">
    <w:altName w:val="Calibri"/>
    <w:panose1 w:val="00000000000000000000"/>
    <w:charset w:val="00"/>
    <w:family w:val="auto"/>
    <w:notTrueType/>
    <w:pitch w:val="default"/>
    <w:sig w:usb0="00000003" w:usb1="00000000" w:usb2="00000000" w:usb3="00000000" w:csb0="00000001" w:csb1="00000000"/>
  </w:font>
  <w:font w:name="*Arial-5265-Identity-H">
    <w:altName w:val="Calibri"/>
    <w:panose1 w:val="00000000000000000000"/>
    <w:charset w:val="00"/>
    <w:family w:val="auto"/>
    <w:notTrueType/>
    <w:pitch w:val="default"/>
    <w:sig w:usb0="00000003" w:usb1="00000000" w:usb2="00000000" w:usb3="00000000" w:csb0="00000001" w:csb1="00000000"/>
  </w:font>
  <w:font w:name="*Arial-Bold-5263-Identity-H">
    <w:altName w:val="Calibri"/>
    <w:panose1 w:val="00000000000000000000"/>
    <w:charset w:val="00"/>
    <w:family w:val="auto"/>
    <w:notTrueType/>
    <w:pitch w:val="default"/>
    <w:sig w:usb0="00000003" w:usb1="00000000" w:usb2="00000000" w:usb3="00000000" w:csb0="00000001" w:csb1="00000000"/>
  </w:font>
  <w:font w:name="*Arial-Bold-7048-Identity-H">
    <w:altName w:val="Calibri"/>
    <w:panose1 w:val="00000000000000000000"/>
    <w:charset w:val="00"/>
    <w:family w:val="auto"/>
    <w:notTrueType/>
    <w:pitch w:val="default"/>
    <w:sig w:usb0="00000003" w:usb1="00000000" w:usb2="00000000" w:usb3="00000000" w:csb0="00000001" w:csb1="00000000"/>
  </w:font>
  <w:font w:name="*Arial-7046-Identity-H">
    <w:altName w:val="Calibri"/>
    <w:panose1 w:val="00000000000000000000"/>
    <w:charset w:val="00"/>
    <w:family w:val="auto"/>
    <w:notTrueType/>
    <w:pitch w:val="default"/>
    <w:sig w:usb0="00000003" w:usb1="00000000" w:usb2="00000000" w:usb3="00000000" w:csb0="00000001" w:csb1="00000000"/>
  </w:font>
  <w:font w:name="*Microsoft Sans Serif-Bold-7049">
    <w:altName w:val="Calibri"/>
    <w:panose1 w:val="00000000000000000000"/>
    <w:charset w:val="00"/>
    <w:family w:val="auto"/>
    <w:notTrueType/>
    <w:pitch w:val="default"/>
    <w:sig w:usb0="00000003" w:usb1="00000000" w:usb2="00000000" w:usb3="00000000" w:csb0="00000001" w:csb1="00000000"/>
  </w:font>
  <w:font w:name="*Arial-Bold-7047-Identity-H">
    <w:altName w:val="Calibri"/>
    <w:panose1 w:val="00000000000000000000"/>
    <w:charset w:val="00"/>
    <w:family w:val="auto"/>
    <w:notTrueType/>
    <w:pitch w:val="default"/>
    <w:sig w:usb0="00000003" w:usb1="00000000" w:usb2="00000000" w:usb3="00000000" w:csb0="00000001" w:csb1="00000000"/>
  </w:font>
  <w:font w:name="*Arial-6711-Identity-H">
    <w:altName w:val="Calibri"/>
    <w:panose1 w:val="00000000000000000000"/>
    <w:charset w:val="00"/>
    <w:family w:val="auto"/>
    <w:notTrueType/>
    <w:pitch w:val="default"/>
    <w:sig w:usb0="00000003" w:usb1="00000000" w:usb2="00000000" w:usb3="00000000" w:csb0="00000001" w:csb1="00000000"/>
  </w:font>
  <w:font w:name="*Arial-6709-Identity-H">
    <w:altName w:val="Calibri"/>
    <w:panose1 w:val="00000000000000000000"/>
    <w:charset w:val="00"/>
    <w:family w:val="auto"/>
    <w:notTrueType/>
    <w:pitch w:val="default"/>
    <w:sig w:usb0="00000003" w:usb1="00000000" w:usb2="00000000" w:usb3="00000000" w:csb0="00000001" w:csb1="00000000"/>
  </w:font>
  <w:font w:name="*Arial-Bold-6710-Identity-H">
    <w:altName w:val="Calibri"/>
    <w:panose1 w:val="00000000000000000000"/>
    <w:charset w:val="00"/>
    <w:family w:val="auto"/>
    <w:notTrueType/>
    <w:pitch w:val="default"/>
    <w:sig w:usb0="00000003" w:usb1="00000000" w:usb2="00000000" w:usb3="00000000" w:csb0="00000001" w:csb1="00000000"/>
  </w:font>
  <w:font w:name="*Arial-6889-Identity-H">
    <w:altName w:val="Calibri"/>
    <w:panose1 w:val="00000000000000000000"/>
    <w:charset w:val="00"/>
    <w:family w:val="auto"/>
    <w:notTrueType/>
    <w:pitch w:val="default"/>
    <w:sig w:usb0="00000003" w:usb1="00000000" w:usb2="00000000" w:usb3="00000000" w:csb0="00000001" w:csb1="00000000"/>
  </w:font>
  <w:font w:name="*Arial-6888-Identity-H">
    <w:altName w:val="Calibri"/>
    <w:panose1 w:val="00000000000000000000"/>
    <w:charset w:val="00"/>
    <w:family w:val="auto"/>
    <w:notTrueType/>
    <w:pitch w:val="default"/>
    <w:sig w:usb0="00000003" w:usb1="00000000" w:usb2="00000000" w:usb3="00000000" w:csb0="00000001" w:csb1="00000000"/>
  </w:font>
  <w:font w:name="*Arial-6666-Identity-H">
    <w:altName w:val="Calibri"/>
    <w:panose1 w:val="00000000000000000000"/>
    <w:charset w:val="00"/>
    <w:family w:val="auto"/>
    <w:notTrueType/>
    <w:pitch w:val="default"/>
    <w:sig w:usb0="00000003" w:usb1="00000000" w:usb2="00000000" w:usb3="00000000" w:csb0="00000001" w:csb1="00000000"/>
  </w:font>
  <w:font w:name="*Arial-6664-Identity-H">
    <w:altName w:val="Calibri"/>
    <w:panose1 w:val="00000000000000000000"/>
    <w:charset w:val="00"/>
    <w:family w:val="auto"/>
    <w:notTrueType/>
    <w:pitch w:val="default"/>
    <w:sig w:usb0="00000003" w:usb1="00000000" w:usb2="00000000" w:usb3="00000000" w:csb0="00000001" w:csb1="00000000"/>
  </w:font>
  <w:font w:name="*Arial-6665-Identity-H">
    <w:altName w:val="Calibri"/>
    <w:panose1 w:val="00000000000000000000"/>
    <w:charset w:val="00"/>
    <w:family w:val="auto"/>
    <w:notTrueType/>
    <w:pitch w:val="default"/>
    <w:sig w:usb0="00000003" w:usb1="00000000" w:usb2="00000000" w:usb3="00000000" w:csb0="00000001" w:csb1="00000000"/>
  </w:font>
  <w:font w:name="*Arial-7755-Identity-H">
    <w:altName w:val="Calibri"/>
    <w:panose1 w:val="00000000000000000000"/>
    <w:charset w:val="00"/>
    <w:family w:val="auto"/>
    <w:notTrueType/>
    <w:pitch w:val="default"/>
    <w:sig w:usb0="00000003" w:usb1="00000000" w:usb2="00000000" w:usb3="00000000" w:csb0="00000001" w:csb1="00000000"/>
  </w:font>
  <w:font w:name="*Arial-7752-Identity-H">
    <w:altName w:val="Calibri"/>
    <w:panose1 w:val="00000000000000000000"/>
    <w:charset w:val="00"/>
    <w:family w:val="auto"/>
    <w:notTrueType/>
    <w:pitch w:val="default"/>
    <w:sig w:usb0="00000003" w:usb1="00000000" w:usb2="00000000" w:usb3="00000000" w:csb0="00000001" w:csb1="00000000"/>
  </w:font>
  <w:font w:name="*Arial-Bold-7754-Identity-H">
    <w:altName w:val="Calibri"/>
    <w:panose1 w:val="00000000000000000000"/>
    <w:charset w:val="00"/>
    <w:family w:val="auto"/>
    <w:notTrueType/>
    <w:pitch w:val="default"/>
    <w:sig w:usb0="00000003" w:usb1="00000000" w:usb2="00000000" w:usb3="00000000" w:csb0="00000001" w:csb1="00000000"/>
  </w:font>
  <w:font w:name="*Arial-Bold-7753-Identity-H">
    <w:altName w:val="Calibri"/>
    <w:panose1 w:val="00000000000000000000"/>
    <w:charset w:val="00"/>
    <w:family w:val="auto"/>
    <w:notTrueType/>
    <w:pitch w:val="default"/>
    <w:sig w:usb0="00000003" w:usb1="00000000" w:usb2="00000000" w:usb3="00000000" w:csb0="00000001" w:csb1="00000000"/>
  </w:font>
  <w:font w:name="*Arial-7264-Identity-H">
    <w:altName w:val="Calibri"/>
    <w:panose1 w:val="00000000000000000000"/>
    <w:charset w:val="00"/>
    <w:family w:val="auto"/>
    <w:notTrueType/>
    <w:pitch w:val="default"/>
    <w:sig w:usb0="00000003" w:usb1="00000000" w:usb2="00000000" w:usb3="00000000" w:csb0="00000001" w:csb1="00000000"/>
  </w:font>
  <w:font w:name="*Calibri-Bold-7122-Identity-H">
    <w:altName w:val="Calibri"/>
    <w:panose1 w:val="00000000000000000000"/>
    <w:charset w:val="00"/>
    <w:family w:val="auto"/>
    <w:notTrueType/>
    <w:pitch w:val="default"/>
    <w:sig w:usb0="00000003" w:usb1="00000000" w:usb2="00000000" w:usb3="00000000" w:csb0="00000001" w:csb1="00000000"/>
  </w:font>
  <w:font w:name="*Arial-7123-Identity-H">
    <w:altName w:val="Calibri"/>
    <w:panose1 w:val="00000000000000000000"/>
    <w:charset w:val="00"/>
    <w:family w:val="auto"/>
    <w:notTrueType/>
    <w:pitch w:val="default"/>
    <w:sig w:usb0="00000003" w:usb1="00000000" w:usb2="00000000" w:usb3="00000000" w:csb0="00000001" w:csb1="00000000"/>
  </w:font>
  <w:font w:name="*Arial-10456-Identity-H">
    <w:altName w:val="Calibri"/>
    <w:panose1 w:val="00000000000000000000"/>
    <w:charset w:val="00"/>
    <w:family w:val="auto"/>
    <w:notTrueType/>
    <w:pitch w:val="default"/>
    <w:sig w:usb0="00000003" w:usb1="00000000" w:usb2="00000000" w:usb3="00000000" w:csb0="00000001" w:csb1="00000000"/>
  </w:font>
  <w:font w:name="*Times New Roman-Italic-10454-I">
    <w:altName w:val="Calibri"/>
    <w:panose1 w:val="00000000000000000000"/>
    <w:charset w:val="00"/>
    <w:family w:val="auto"/>
    <w:notTrueType/>
    <w:pitch w:val="default"/>
    <w:sig w:usb0="00000003" w:usb1="00000000" w:usb2="00000000" w:usb3="00000000" w:csb0="00000001" w:csb1="00000000"/>
  </w:font>
  <w:font w:name="*Arial-Italic-10457-Identity-H">
    <w:altName w:val="Calibri"/>
    <w:panose1 w:val="00000000000000000000"/>
    <w:charset w:val="00"/>
    <w:family w:val="auto"/>
    <w:notTrueType/>
    <w:pitch w:val="default"/>
    <w:sig w:usb0="00000003" w:usb1="00000000" w:usb2="00000000" w:usb3="00000000" w:csb0="00000001" w:csb1="00000000"/>
  </w:font>
  <w:font w:name="*Arial-Italic-10458-Identity-H">
    <w:altName w:val="Calibri"/>
    <w:panose1 w:val="00000000000000000000"/>
    <w:charset w:val="00"/>
    <w:family w:val="auto"/>
    <w:notTrueType/>
    <w:pitch w:val="default"/>
    <w:sig w:usb0="00000003" w:usb1="00000000" w:usb2="00000000" w:usb3="00000000" w:csb0="00000001" w:csb1="00000000"/>
  </w:font>
  <w:font w:name="*Arial-10455-Identity-H">
    <w:altName w:val="Calibri"/>
    <w:panose1 w:val="00000000000000000000"/>
    <w:charset w:val="00"/>
    <w:family w:val="auto"/>
    <w:notTrueType/>
    <w:pitch w:val="default"/>
    <w:sig w:usb0="00000003" w:usb1="00000000" w:usb2="00000000" w:usb3="00000000" w:csb0="00000001" w:csb1="00000000"/>
  </w:font>
  <w:font w:name="*Arial-8863-Identity-H">
    <w:altName w:val="Calibri"/>
    <w:panose1 w:val="00000000000000000000"/>
    <w:charset w:val="00"/>
    <w:family w:val="auto"/>
    <w:notTrueType/>
    <w:pitch w:val="default"/>
    <w:sig w:usb0="00000003" w:usb1="00000000" w:usb2="00000000" w:usb3="00000000" w:csb0="00000001" w:csb1="00000000"/>
  </w:font>
  <w:font w:name="*Arial-8861-Identity-H">
    <w:altName w:val="Calibri"/>
    <w:panose1 w:val="00000000000000000000"/>
    <w:charset w:val="00"/>
    <w:family w:val="auto"/>
    <w:notTrueType/>
    <w:pitch w:val="default"/>
    <w:sig w:usb0="00000003" w:usb1="00000000" w:usb2="00000000" w:usb3="00000000" w:csb0="00000001" w:csb1="00000000"/>
  </w:font>
  <w:font w:name="*Arial-Italic-8862-Identity-H">
    <w:altName w:val="Calibri"/>
    <w:panose1 w:val="00000000000000000000"/>
    <w:charset w:val="00"/>
    <w:family w:val="auto"/>
    <w:notTrueType/>
    <w:pitch w:val="default"/>
    <w:sig w:usb0="00000003" w:usb1="00000000" w:usb2="00000000" w:usb3="00000000" w:csb0="00000001" w:csb1="00000000"/>
  </w:font>
  <w:font w:name="*Calibri-9440-Identity-H">
    <w:altName w:val="Calibri"/>
    <w:panose1 w:val="00000000000000000000"/>
    <w:charset w:val="00"/>
    <w:family w:val="auto"/>
    <w:notTrueType/>
    <w:pitch w:val="default"/>
    <w:sig w:usb0="00000003" w:usb1="00000000" w:usb2="00000000" w:usb3="00000000" w:csb0="00000001" w:csb1="00000000"/>
  </w:font>
  <w:font w:name="*Arial-9441-Identity-H">
    <w:altName w:val="Calibri"/>
    <w:panose1 w:val="00000000000000000000"/>
    <w:charset w:val="00"/>
    <w:family w:val="auto"/>
    <w:notTrueType/>
    <w:pitch w:val="default"/>
    <w:sig w:usb0="00000003" w:usb1="00000000" w:usb2="00000000" w:usb3="00000000" w:csb0="00000001" w:csb1="00000000"/>
  </w:font>
  <w:font w:name="*Arial-Italic-9442-Identity-H">
    <w:altName w:val="Calibri"/>
    <w:panose1 w:val="00000000000000000000"/>
    <w:charset w:val="00"/>
    <w:family w:val="auto"/>
    <w:notTrueType/>
    <w:pitch w:val="default"/>
    <w:sig w:usb0="00000003" w:usb1="00000000" w:usb2="00000000" w:usb3="00000000" w:csb0="00000001" w:csb1="00000000"/>
  </w:font>
  <w:font w:name="*Arial-5621-Identity-H">
    <w:altName w:val="Calibri"/>
    <w:panose1 w:val="00000000000000000000"/>
    <w:charset w:val="00"/>
    <w:family w:val="auto"/>
    <w:notTrueType/>
    <w:pitch w:val="default"/>
    <w:sig w:usb0="00000003" w:usb1="00000000" w:usb2="00000000" w:usb3="00000000" w:csb0="00000001" w:csb1="00000000"/>
  </w:font>
  <w:font w:name="*Arial-Bold-5622-Identity-H">
    <w:altName w:val="Calibri"/>
    <w:panose1 w:val="00000000000000000000"/>
    <w:charset w:val="00"/>
    <w:family w:val="auto"/>
    <w:notTrueType/>
    <w:pitch w:val="default"/>
    <w:sig w:usb0="00000003" w:usb1="00000000" w:usb2="00000000" w:usb3="00000000" w:csb0="00000001" w:csb1="00000000"/>
  </w:font>
  <w:font w:name="*Arial-7820-Identity-H">
    <w:altName w:val="Calibri"/>
    <w:panose1 w:val="00000000000000000000"/>
    <w:charset w:val="00"/>
    <w:family w:val="auto"/>
    <w:notTrueType/>
    <w:pitch w:val="default"/>
    <w:sig w:usb0="00000003" w:usb1="00000000" w:usb2="00000000" w:usb3="00000000" w:csb0="00000001" w:csb1="00000000"/>
  </w:font>
  <w:font w:name="*Arial-7818-Identity-H">
    <w:altName w:val="Calibri"/>
    <w:panose1 w:val="00000000000000000000"/>
    <w:charset w:val="00"/>
    <w:family w:val="auto"/>
    <w:notTrueType/>
    <w:pitch w:val="default"/>
    <w:sig w:usb0="00000003" w:usb1="00000000" w:usb2="00000000" w:usb3="00000000" w:csb0="00000001" w:csb1="00000000"/>
  </w:font>
  <w:font w:name="*Microsoft Sans Serif-Italic-78">
    <w:altName w:val="Calibri"/>
    <w:panose1 w:val="00000000000000000000"/>
    <w:charset w:val="00"/>
    <w:family w:val="auto"/>
    <w:notTrueType/>
    <w:pitch w:val="default"/>
    <w:sig w:usb0="00000003" w:usb1="00000000" w:usb2="00000000" w:usb3="00000000" w:csb0="00000001" w:csb1="00000000"/>
  </w:font>
  <w:font w:name="*Arial-Bold-7819-Identity-H">
    <w:altName w:val="Calibri"/>
    <w:panose1 w:val="00000000000000000000"/>
    <w:charset w:val="00"/>
    <w:family w:val="auto"/>
    <w:notTrueType/>
    <w:pitch w:val="default"/>
    <w:sig w:usb0="00000003" w:usb1="00000000" w:usb2="00000000" w:usb3="00000000" w:csb0="00000001" w:csb1="00000000"/>
  </w:font>
  <w:font w:name="*Arial-6631-Identity-H">
    <w:altName w:val="Calibri"/>
    <w:panose1 w:val="00000000000000000000"/>
    <w:charset w:val="00"/>
    <w:family w:val="auto"/>
    <w:notTrueType/>
    <w:pitch w:val="default"/>
    <w:sig w:usb0="00000003" w:usb1="00000000" w:usb2="00000000" w:usb3="00000000" w:csb0="00000001" w:csb1="00000000"/>
  </w:font>
  <w:font w:name="*Arial-Bold-6632-Identity-H">
    <w:altName w:val="Calibri"/>
    <w:panose1 w:val="00000000000000000000"/>
    <w:charset w:val="00"/>
    <w:family w:val="auto"/>
    <w:notTrueType/>
    <w:pitch w:val="default"/>
    <w:sig w:usb0="00000003" w:usb1="00000000" w:usb2="00000000" w:usb3="00000000" w:csb0="00000001" w:csb1="00000000"/>
  </w:font>
  <w:font w:name="*Arial-7775-Identity-H">
    <w:altName w:val="Calibri"/>
    <w:panose1 w:val="00000000000000000000"/>
    <w:charset w:val="00"/>
    <w:family w:val="auto"/>
    <w:notTrueType/>
    <w:pitch w:val="default"/>
    <w:sig w:usb0="00000003" w:usb1="00000000" w:usb2="00000000" w:usb3="00000000" w:csb0="00000001" w:csb1="00000000"/>
  </w:font>
  <w:font w:name="*Arial-7773-Identity-H">
    <w:altName w:val="Calibri"/>
    <w:panose1 w:val="00000000000000000000"/>
    <w:charset w:val="00"/>
    <w:family w:val="auto"/>
    <w:notTrueType/>
    <w:pitch w:val="default"/>
    <w:sig w:usb0="00000003" w:usb1="00000000" w:usb2="00000000" w:usb3="00000000" w:csb0="00000001" w:csb1="00000000"/>
  </w:font>
  <w:font w:name="*Arial-Italic-7774-Identity-H">
    <w:altName w:val="Calibri"/>
    <w:panose1 w:val="00000000000000000000"/>
    <w:charset w:val="00"/>
    <w:family w:val="auto"/>
    <w:notTrueType/>
    <w:pitch w:val="default"/>
    <w:sig w:usb0="00000003" w:usb1="00000000" w:usb2="00000000" w:usb3="00000000" w:csb0="00000001" w:csb1="00000000"/>
  </w:font>
  <w:font w:name="*Arial-8255-Identity-H">
    <w:altName w:val="Calibri"/>
    <w:panose1 w:val="00000000000000000000"/>
    <w:charset w:val="00"/>
    <w:family w:val="auto"/>
    <w:notTrueType/>
    <w:pitch w:val="default"/>
    <w:sig w:usb0="00000003" w:usb1="00000000" w:usb2="00000000" w:usb3="00000000" w:csb0="00000001" w:csb1="00000000"/>
  </w:font>
  <w:font w:name="*Arial-8253-Identity-H">
    <w:altName w:val="Calibri"/>
    <w:panose1 w:val="00000000000000000000"/>
    <w:charset w:val="00"/>
    <w:family w:val="auto"/>
    <w:notTrueType/>
    <w:pitch w:val="default"/>
    <w:sig w:usb0="00000003" w:usb1="00000000" w:usb2="00000000" w:usb3="00000000" w:csb0="00000001" w:csb1="00000000"/>
  </w:font>
  <w:font w:name="*Arial-Italic-8254-Identity-H">
    <w:altName w:val="Calibri"/>
    <w:panose1 w:val="00000000000000000000"/>
    <w:charset w:val="00"/>
    <w:family w:val="auto"/>
    <w:notTrueType/>
    <w:pitch w:val="default"/>
    <w:sig w:usb0="00000003" w:usb1="00000000" w:usb2="00000000" w:usb3="00000000" w:csb0="00000001" w:csb1="00000000"/>
  </w:font>
  <w:font w:name="*Arial-8178-Identity-H">
    <w:altName w:val="Calibri"/>
    <w:panose1 w:val="00000000000000000000"/>
    <w:charset w:val="00"/>
    <w:family w:val="auto"/>
    <w:notTrueType/>
    <w:pitch w:val="default"/>
    <w:sig w:usb0="00000003" w:usb1="00000000" w:usb2="00000000" w:usb3="00000000" w:csb0="00000001" w:csb1="00000000"/>
  </w:font>
  <w:font w:name="*Microsoft Sans Serif-Italic-81">
    <w:altName w:val="Calibri"/>
    <w:panose1 w:val="00000000000000000000"/>
    <w:charset w:val="00"/>
    <w:family w:val="auto"/>
    <w:notTrueType/>
    <w:pitch w:val="default"/>
    <w:sig w:usb0="00000003" w:usb1="00000000" w:usb2="00000000" w:usb3="00000000" w:csb0="00000001" w:csb1="00000000"/>
  </w:font>
  <w:font w:name="*Arial-7680-Identity-H">
    <w:altName w:val="Calibri"/>
    <w:panose1 w:val="00000000000000000000"/>
    <w:charset w:val="00"/>
    <w:family w:val="auto"/>
    <w:notTrueType/>
    <w:pitch w:val="default"/>
    <w:sig w:usb0="00000003" w:usb1="00000000" w:usb2="00000000" w:usb3="00000000" w:csb0="00000001" w:csb1="00000000"/>
  </w:font>
  <w:font w:name="*Arial-Italic-7681-Identity-H">
    <w:altName w:val="Calibri"/>
    <w:panose1 w:val="00000000000000000000"/>
    <w:charset w:val="00"/>
    <w:family w:val="auto"/>
    <w:notTrueType/>
    <w:pitch w:val="default"/>
    <w:sig w:usb0="00000003" w:usb1="00000000" w:usb2="00000000" w:usb3="00000000" w:csb0="00000001" w:csb1="00000000"/>
  </w:font>
  <w:font w:name="*Arial-6339-Identity-H">
    <w:altName w:val="Calibri"/>
    <w:panose1 w:val="00000000000000000000"/>
    <w:charset w:val="00"/>
    <w:family w:val="auto"/>
    <w:notTrueType/>
    <w:pitch w:val="default"/>
    <w:sig w:usb0="00000003" w:usb1="00000000" w:usb2="00000000" w:usb3="00000000" w:csb0="00000001" w:csb1="00000000"/>
  </w:font>
  <w:font w:name="*Arial-7423-Identity-H">
    <w:altName w:val="Calibri"/>
    <w:panose1 w:val="00000000000000000000"/>
    <w:charset w:val="00"/>
    <w:family w:val="auto"/>
    <w:notTrueType/>
    <w:pitch w:val="default"/>
    <w:sig w:usb0="00000003" w:usb1="00000000" w:usb2="00000000" w:usb3="00000000" w:csb0="00000001" w:csb1="00000000"/>
  </w:font>
  <w:font w:name="*Microsoft Sans Serif-Bold-7425">
    <w:altName w:val="Calibri"/>
    <w:panose1 w:val="00000000000000000000"/>
    <w:charset w:val="00"/>
    <w:family w:val="auto"/>
    <w:notTrueType/>
    <w:pitch w:val="default"/>
    <w:sig w:usb0="00000003" w:usb1="00000000" w:usb2="00000000" w:usb3="00000000" w:csb0="00000001" w:csb1="00000000"/>
  </w:font>
  <w:font w:name="*Arial-4783-Identity-H">
    <w:altName w:val="Calibri"/>
    <w:panose1 w:val="00000000000000000000"/>
    <w:charset w:val="00"/>
    <w:family w:val="auto"/>
    <w:notTrueType/>
    <w:pitch w:val="default"/>
    <w:sig w:usb0="00000003" w:usb1="00000000" w:usb2="00000000" w:usb3="00000000" w:csb0="00000001" w:csb1="00000000"/>
  </w:font>
  <w:font w:name="*Arial-Bold-6714-Identity-H">
    <w:altName w:val="Calibri"/>
    <w:panose1 w:val="00000000000000000000"/>
    <w:charset w:val="00"/>
    <w:family w:val="auto"/>
    <w:notTrueType/>
    <w:pitch w:val="default"/>
    <w:sig w:usb0="00000003" w:usb1="00000000" w:usb2="00000000" w:usb3="00000000" w:csb0="00000001" w:csb1="00000000"/>
  </w:font>
  <w:font w:name="*Arial-6712-Identity-H">
    <w:altName w:val="Calibri"/>
    <w:panose1 w:val="00000000000000000000"/>
    <w:charset w:val="00"/>
    <w:family w:val="auto"/>
    <w:notTrueType/>
    <w:pitch w:val="default"/>
    <w:sig w:usb0="00000003" w:usb1="00000000" w:usb2="00000000" w:usb3="00000000" w:csb0="00000001" w:csb1="00000000"/>
  </w:font>
  <w:font w:name="*Arial-Bold-6713-Identity-H">
    <w:altName w:val="Calibri"/>
    <w:panose1 w:val="00000000000000000000"/>
    <w:charset w:val="00"/>
    <w:family w:val="auto"/>
    <w:notTrueType/>
    <w:pitch w:val="default"/>
    <w:sig w:usb0="00000003" w:usb1="00000000" w:usb2="00000000" w:usb3="00000000" w:csb0="00000001" w:csb1="00000000"/>
  </w:font>
  <w:font w:name="*Microsoft Sans Serif-Bold-6715">
    <w:altName w:val="Calibri"/>
    <w:panose1 w:val="00000000000000000000"/>
    <w:charset w:val="00"/>
    <w:family w:val="auto"/>
    <w:notTrueType/>
    <w:pitch w:val="default"/>
    <w:sig w:usb0="00000003" w:usb1="00000000" w:usb2="00000000" w:usb3="00000000" w:csb0="00000001" w:csb1="00000000"/>
  </w:font>
  <w:font w:name="*Microsoft Sans Serif-Bold-6610">
    <w:altName w:val="Calibri"/>
    <w:panose1 w:val="00000000000000000000"/>
    <w:charset w:val="00"/>
    <w:family w:val="auto"/>
    <w:notTrueType/>
    <w:pitch w:val="default"/>
    <w:sig w:usb0="00000003" w:usb1="00000000" w:usb2="00000000" w:usb3="00000000" w:csb0="00000001" w:csb1="00000000"/>
  </w:font>
  <w:font w:name="*Arial-6607-Identity-H">
    <w:altName w:val="Calibri"/>
    <w:panose1 w:val="00000000000000000000"/>
    <w:charset w:val="00"/>
    <w:family w:val="auto"/>
    <w:notTrueType/>
    <w:pitch w:val="default"/>
    <w:sig w:usb0="00000003" w:usb1="00000000" w:usb2="00000000" w:usb3="00000000" w:csb0="00000001" w:csb1="00000000"/>
  </w:font>
  <w:font w:name="*Arial-Bold-6608-Identity-H">
    <w:altName w:val="Calibri"/>
    <w:panose1 w:val="00000000000000000000"/>
    <w:charset w:val="00"/>
    <w:family w:val="auto"/>
    <w:notTrueType/>
    <w:pitch w:val="default"/>
    <w:sig w:usb0="00000003" w:usb1="00000000" w:usb2="00000000" w:usb3="00000000" w:csb0="00000001" w:csb1="00000000"/>
  </w:font>
  <w:font w:name="*Calibri-Bold-6612-Identity-H">
    <w:altName w:val="Calibri"/>
    <w:panose1 w:val="00000000000000000000"/>
    <w:charset w:val="00"/>
    <w:family w:val="auto"/>
    <w:notTrueType/>
    <w:pitch w:val="default"/>
    <w:sig w:usb0="00000003" w:usb1="00000000" w:usb2="00000000" w:usb3="00000000" w:csb0="00000001" w:csb1="00000000"/>
  </w:font>
  <w:font w:name="*Arial-6613-Identity-H">
    <w:altName w:val="Calibri"/>
    <w:panose1 w:val="00000000000000000000"/>
    <w:charset w:val="00"/>
    <w:family w:val="auto"/>
    <w:notTrueType/>
    <w:pitch w:val="default"/>
    <w:sig w:usb0="00000003" w:usb1="00000000" w:usb2="00000000" w:usb3="00000000" w:csb0="00000001" w:csb1="00000000"/>
  </w:font>
  <w:font w:name="*Arial-6721-Identity-H">
    <w:altName w:val="Calibri"/>
    <w:panose1 w:val="00000000000000000000"/>
    <w:charset w:val="00"/>
    <w:family w:val="auto"/>
    <w:notTrueType/>
    <w:pitch w:val="default"/>
    <w:sig w:usb0="00000003" w:usb1="00000000" w:usb2="00000000" w:usb3="00000000" w:csb0="00000001" w:csb1="00000000"/>
  </w:font>
  <w:font w:name="*Calibri-Bold-7846-Identity-H">
    <w:altName w:val="Calibri"/>
    <w:panose1 w:val="00000000000000000000"/>
    <w:charset w:val="00"/>
    <w:family w:val="auto"/>
    <w:notTrueType/>
    <w:pitch w:val="default"/>
    <w:sig w:usb0="00000003" w:usb1="00000000" w:usb2="00000000" w:usb3="00000000" w:csb0="00000001" w:csb1="00000000"/>
  </w:font>
  <w:font w:name="*Calibri-Bold-7845-Identity-H">
    <w:altName w:val="Calibri"/>
    <w:panose1 w:val="00000000000000000000"/>
    <w:charset w:val="00"/>
    <w:family w:val="auto"/>
    <w:notTrueType/>
    <w:pitch w:val="default"/>
    <w:sig w:usb0="00000003" w:usb1="00000000" w:usb2="00000000" w:usb3="00000000" w:csb0="00000001" w:csb1="00000000"/>
  </w:font>
  <w:font w:name="*Arial-7849-Identity-H">
    <w:altName w:val="Calibri"/>
    <w:panose1 w:val="00000000000000000000"/>
    <w:charset w:val="00"/>
    <w:family w:val="auto"/>
    <w:notTrueType/>
    <w:pitch w:val="default"/>
    <w:sig w:usb0="00000003" w:usb1="00000000" w:usb2="00000000" w:usb3="00000000" w:csb0="00000001" w:csb1="00000000"/>
  </w:font>
  <w:font w:name="*Arial-7847-Identity-H">
    <w:altName w:val="Calibri"/>
    <w:panose1 w:val="00000000000000000000"/>
    <w:charset w:val="00"/>
    <w:family w:val="auto"/>
    <w:notTrueType/>
    <w:pitch w:val="default"/>
    <w:sig w:usb0="00000003" w:usb1="00000000" w:usb2="00000000" w:usb3="00000000" w:csb0="00000001" w:csb1="00000000"/>
  </w:font>
  <w:font w:name="*Arial-Bold-7848-Identity-H">
    <w:altName w:val="Calibri"/>
    <w:panose1 w:val="00000000000000000000"/>
    <w:charset w:val="00"/>
    <w:family w:val="auto"/>
    <w:notTrueType/>
    <w:pitch w:val="default"/>
    <w:sig w:usb0="00000003" w:usb1="00000000" w:usb2="00000000" w:usb3="00000000" w:csb0="00000001" w:csb1="00000000"/>
  </w:font>
  <w:font w:name="*Minion Pro-Bold-7140-Identity-">
    <w:altName w:val="Calibri"/>
    <w:panose1 w:val="00000000000000000000"/>
    <w:charset w:val="00"/>
    <w:family w:val="auto"/>
    <w:notTrueType/>
    <w:pitch w:val="default"/>
    <w:sig w:usb0="00000003" w:usb1="00000000" w:usb2="00000000" w:usb3="00000000" w:csb0="00000001" w:csb1="00000000"/>
  </w:font>
  <w:font w:name="*Arial-7138-Identity-H">
    <w:altName w:val="Calibri"/>
    <w:panose1 w:val="00000000000000000000"/>
    <w:charset w:val="00"/>
    <w:family w:val="auto"/>
    <w:notTrueType/>
    <w:pitch w:val="default"/>
    <w:sig w:usb0="00000003" w:usb1="00000000" w:usb2="00000000" w:usb3="00000000" w:csb0="00000001" w:csb1="00000000"/>
  </w:font>
  <w:font w:name="*Calibri-Bold-7175-Identity-H">
    <w:altName w:val="Calibri"/>
    <w:panose1 w:val="00000000000000000000"/>
    <w:charset w:val="00"/>
    <w:family w:val="auto"/>
    <w:notTrueType/>
    <w:pitch w:val="default"/>
    <w:sig w:usb0="00000003" w:usb1="00000000" w:usb2="00000000" w:usb3="00000000" w:csb0="00000001" w:csb1="00000000"/>
  </w:font>
  <w:font w:name="*Arial-7177-Identity-H">
    <w:altName w:val="Calibri"/>
    <w:panose1 w:val="00000000000000000000"/>
    <w:charset w:val="00"/>
    <w:family w:val="auto"/>
    <w:notTrueType/>
    <w:pitch w:val="default"/>
    <w:sig w:usb0="00000003" w:usb1="00000000" w:usb2="00000000" w:usb3="00000000" w:csb0="00000001" w:csb1="00000000"/>
  </w:font>
  <w:font w:name="*Arial-10075-Identity-H">
    <w:altName w:val="Calibri"/>
    <w:panose1 w:val="00000000000000000000"/>
    <w:charset w:val="00"/>
    <w:family w:val="auto"/>
    <w:notTrueType/>
    <w:pitch w:val="default"/>
    <w:sig w:usb0="00000003" w:usb1="00000000" w:usb2="00000000" w:usb3="00000000" w:csb0="00000001" w:csb1="00000000"/>
  </w:font>
  <w:font w:name="*Arial-Italic-10076-Identity-H">
    <w:altName w:val="Calibri"/>
    <w:panose1 w:val="00000000000000000000"/>
    <w:charset w:val="00"/>
    <w:family w:val="auto"/>
    <w:notTrueType/>
    <w:pitch w:val="default"/>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Arial-7664-Identity-H">
    <w:altName w:val="Calibri"/>
    <w:panose1 w:val="00000000000000000000"/>
    <w:charset w:val="00"/>
    <w:family w:val="auto"/>
    <w:notTrueType/>
    <w:pitch w:val="default"/>
    <w:sig w:usb0="00000003" w:usb1="00000000" w:usb2="00000000" w:usb3="00000000" w:csb0="00000001" w:csb1="00000000"/>
  </w:font>
  <w:font w:name="*Arial-Italic-7665-Identity-H">
    <w:altName w:val="Calibri"/>
    <w:panose1 w:val="00000000000000000000"/>
    <w:charset w:val="00"/>
    <w:family w:val="auto"/>
    <w:notTrueType/>
    <w:pitch w:val="default"/>
    <w:sig w:usb0="00000003" w:usb1="00000000" w:usb2="00000000" w:usb3="00000000" w:csb0="00000001" w:csb1="00000000"/>
  </w:font>
  <w:font w:name="*Arial-8067-Identity-H">
    <w:altName w:val="Calibri"/>
    <w:panose1 w:val="00000000000000000000"/>
    <w:charset w:val="00"/>
    <w:family w:val="auto"/>
    <w:notTrueType/>
    <w:pitch w:val="default"/>
    <w:sig w:usb0="00000003" w:usb1="00000000" w:usb2="00000000" w:usb3="00000000" w:csb0="00000001" w:csb1="00000000"/>
  </w:font>
  <w:font w:name="*Arial-Italic-8068-Identity-H">
    <w:altName w:val="Calibri"/>
    <w:panose1 w:val="00000000000000000000"/>
    <w:charset w:val="00"/>
    <w:family w:val="auto"/>
    <w:notTrueType/>
    <w:pitch w:val="default"/>
    <w:sig w:usb0="00000003" w:usb1="00000000" w:usb2="00000000" w:usb3="00000000" w:csb0="00000001" w:csb1="00000000"/>
  </w:font>
  <w:font w:name="*Calibri-Bold-5900-Identity-H">
    <w:altName w:val="Calibri"/>
    <w:panose1 w:val="00000000000000000000"/>
    <w:charset w:val="00"/>
    <w:family w:val="auto"/>
    <w:notTrueType/>
    <w:pitch w:val="default"/>
    <w:sig w:usb0="00000003" w:usb1="00000000" w:usb2="00000000" w:usb3="00000000" w:csb0="00000001" w:csb1="00000000"/>
  </w:font>
  <w:font w:name="*Arial-Bold-5902-Identity-H">
    <w:altName w:val="Calibri"/>
    <w:panose1 w:val="00000000000000000000"/>
    <w:charset w:val="00"/>
    <w:family w:val="auto"/>
    <w:notTrueType/>
    <w:pitch w:val="default"/>
    <w:sig w:usb0="00000003" w:usb1="00000000" w:usb2="00000000" w:usb3="00000000" w:csb0="00000001" w:csb1="00000000"/>
  </w:font>
  <w:font w:name="*Arial-5901-Identity-H">
    <w:altName w:val="Calibri"/>
    <w:panose1 w:val="00000000000000000000"/>
    <w:charset w:val="00"/>
    <w:family w:val="auto"/>
    <w:notTrueType/>
    <w:pitch w:val="default"/>
    <w:sig w:usb0="00000003" w:usb1="00000000" w:usb2="00000000" w:usb3="00000000" w:csb0="00000001" w:csb1="00000000"/>
  </w:font>
  <w:font w:name="*Arial-7258-Identity-H">
    <w:altName w:val="Calibri"/>
    <w:panose1 w:val="00000000000000000000"/>
    <w:charset w:val="00"/>
    <w:family w:val="auto"/>
    <w:notTrueType/>
    <w:pitch w:val="default"/>
    <w:sig w:usb0="00000003" w:usb1="00000000" w:usb2="00000000" w:usb3="00000000" w:csb0="00000001" w:csb1="00000000"/>
  </w:font>
  <w:font w:name="*Arial-Italic-7259-Identity-H">
    <w:altName w:val="Calibri"/>
    <w:panose1 w:val="00000000000000000000"/>
    <w:charset w:val="00"/>
    <w:family w:val="auto"/>
    <w:notTrueType/>
    <w:pitch w:val="default"/>
    <w:sig w:usb0="00000003" w:usb1="00000000" w:usb2="00000000" w:usb3="00000000" w:csb0="00000001" w:csb1="00000000"/>
  </w:font>
  <w:font w:name="*Microsoft Sans Serif-Bold-7261">
    <w:altName w:val="Calibri"/>
    <w:panose1 w:val="00000000000000000000"/>
    <w:charset w:val="00"/>
    <w:family w:val="auto"/>
    <w:notTrueType/>
    <w:pitch w:val="default"/>
    <w:sig w:usb0="00000003" w:usb1="00000000" w:usb2="00000000" w:usb3="00000000" w:csb0="00000001" w:csb1="00000000"/>
  </w:font>
  <w:font w:name="*Microsoft Sans Serif-6795-Iden">
    <w:altName w:val="Calibri"/>
    <w:panose1 w:val="00000000000000000000"/>
    <w:charset w:val="00"/>
    <w:family w:val="auto"/>
    <w:notTrueType/>
    <w:pitch w:val="default"/>
    <w:sig w:usb0="00000003" w:usb1="00000000" w:usb2="00000000" w:usb3="00000000" w:csb0="00000001" w:csb1="00000000"/>
  </w:font>
  <w:font w:name="*Arial-Bold-6793-Identity-H">
    <w:altName w:val="Calibri"/>
    <w:panose1 w:val="00000000000000000000"/>
    <w:charset w:val="00"/>
    <w:family w:val="auto"/>
    <w:notTrueType/>
    <w:pitch w:val="default"/>
    <w:sig w:usb0="00000003" w:usb1="00000000" w:usb2="00000000" w:usb3="00000000" w:csb0="00000001" w:csb1="00000000"/>
  </w:font>
  <w:font w:name="*Arial-6794-Identity-H">
    <w:altName w:val="Calibri"/>
    <w:panose1 w:val="00000000000000000000"/>
    <w:charset w:val="00"/>
    <w:family w:val="auto"/>
    <w:notTrueType/>
    <w:pitch w:val="default"/>
    <w:sig w:usb0="00000003" w:usb1="00000000" w:usb2="00000000" w:usb3="00000000" w:csb0="00000001" w:csb1="00000000"/>
  </w:font>
  <w:font w:name="*Arial-6792-Identity-H">
    <w:altName w:val="Calibri"/>
    <w:panose1 w:val="00000000000000000000"/>
    <w:charset w:val="00"/>
    <w:family w:val="auto"/>
    <w:notTrueType/>
    <w:pitch w:val="default"/>
    <w:sig w:usb0="00000003" w:usb1="00000000" w:usb2="00000000" w:usb3="00000000" w:csb0="00000001" w:csb1="00000000"/>
  </w:font>
  <w:font w:name="*Arial-7877-Identity-H">
    <w:altName w:val="Calibri"/>
    <w:panose1 w:val="00000000000000000000"/>
    <w:charset w:val="00"/>
    <w:family w:val="auto"/>
    <w:notTrueType/>
    <w:pitch w:val="default"/>
    <w:sig w:usb0="00000003" w:usb1="00000000" w:usb2="00000000" w:usb3="00000000" w:csb0="00000001" w:csb1="00000000"/>
  </w:font>
  <w:font w:name="*Arial-Italic-7878-Identity-H">
    <w:altName w:val="Calibri"/>
    <w:panose1 w:val="00000000000000000000"/>
    <w:charset w:val="00"/>
    <w:family w:val="auto"/>
    <w:notTrueType/>
    <w:pitch w:val="default"/>
    <w:sig w:usb0="00000003" w:usb1="00000000" w:usb2="00000000" w:usb3="00000000" w:csb0="00000001" w:csb1="00000000"/>
  </w:font>
  <w:font w:name="*Calibri-Bold-7010-Identity-H">
    <w:altName w:val="Calibri"/>
    <w:panose1 w:val="00000000000000000000"/>
    <w:charset w:val="00"/>
    <w:family w:val="auto"/>
    <w:notTrueType/>
    <w:pitch w:val="default"/>
    <w:sig w:usb0="00000003" w:usb1="00000000" w:usb2="00000000" w:usb3="00000000" w:csb0="00000001" w:csb1="00000000"/>
  </w:font>
  <w:font w:name="*Arial-7011-Identity-H">
    <w:altName w:val="Calibri"/>
    <w:panose1 w:val="00000000000000000000"/>
    <w:charset w:val="00"/>
    <w:family w:val="auto"/>
    <w:notTrueType/>
    <w:pitch w:val="default"/>
    <w:sig w:usb0="00000003" w:usb1="00000000" w:usb2="00000000" w:usb3="00000000" w:csb0="00000001" w:csb1="00000000"/>
  </w:font>
  <w:font w:name="*Arial-6611-Identity-H">
    <w:altName w:val="Calibri"/>
    <w:panose1 w:val="00000000000000000000"/>
    <w:charset w:val="00"/>
    <w:family w:val="auto"/>
    <w:notTrueType/>
    <w:pitch w:val="default"/>
    <w:sig w:usb0="00000003" w:usb1="00000000" w:usb2="00000000" w:usb3="00000000" w:csb0="00000001" w:csb1="00000000"/>
  </w:font>
  <w:font w:name="*Arial-5811-Identity-H">
    <w:altName w:val="Calibri"/>
    <w:panose1 w:val="00000000000000000000"/>
    <w:charset w:val="00"/>
    <w:family w:val="auto"/>
    <w:notTrueType/>
    <w:pitch w:val="default"/>
    <w:sig w:usb0="00000003" w:usb1="00000000" w:usb2="00000000" w:usb3="00000000" w:csb0="00000001" w:csb1="00000000"/>
  </w:font>
  <w:font w:name="*Arial-Bold-5812-Identity-H">
    <w:altName w:val="Calibri"/>
    <w:panose1 w:val="00000000000000000000"/>
    <w:charset w:val="00"/>
    <w:family w:val="auto"/>
    <w:notTrueType/>
    <w:pitch w:val="default"/>
    <w:sig w:usb0="00000003" w:usb1="00000000" w:usb2="00000000" w:usb3="00000000" w:csb0="00000001" w:csb1="00000000"/>
  </w:font>
  <w:font w:name="*Times New Roman-7223-Identity-">
    <w:altName w:val="Calibri"/>
    <w:panose1 w:val="00000000000000000000"/>
    <w:charset w:val="00"/>
    <w:family w:val="auto"/>
    <w:notTrueType/>
    <w:pitch w:val="default"/>
    <w:sig w:usb0="00000003" w:usb1="00000000" w:usb2="00000000" w:usb3="00000000" w:csb0="00000001" w:csb1="00000000"/>
  </w:font>
  <w:font w:name="*Arial-7225-Identity-H">
    <w:altName w:val="Calibri"/>
    <w:panose1 w:val="00000000000000000000"/>
    <w:charset w:val="00"/>
    <w:family w:val="auto"/>
    <w:notTrueType/>
    <w:pitch w:val="default"/>
    <w:sig w:usb0="00000003" w:usb1="00000000" w:usb2="00000000" w:usb3="00000000" w:csb0="00000001" w:csb1="00000000"/>
  </w:font>
  <w:font w:name="*Cambria-Bold-5510-Identity-H">
    <w:altName w:val="Calibri"/>
    <w:panose1 w:val="00000000000000000000"/>
    <w:charset w:val="00"/>
    <w:family w:val="auto"/>
    <w:notTrueType/>
    <w:pitch w:val="default"/>
    <w:sig w:usb0="00000003" w:usb1="00000000" w:usb2="00000000" w:usb3="00000000" w:csb0="00000001" w:csb1="00000000"/>
  </w:font>
  <w:font w:name="*Arial-5507-Identity-H">
    <w:altName w:val="Calibri"/>
    <w:panose1 w:val="00000000000000000000"/>
    <w:charset w:val="00"/>
    <w:family w:val="auto"/>
    <w:notTrueType/>
    <w:pitch w:val="default"/>
    <w:sig w:usb0="00000003" w:usb1="00000000" w:usb2="00000000" w:usb3="00000000" w:csb0="00000001" w:csb1="00000000"/>
  </w:font>
  <w:font w:name="*Arial-Bold-5508-Identity-H">
    <w:altName w:val="Calibri"/>
    <w:panose1 w:val="00000000000000000000"/>
    <w:charset w:val="00"/>
    <w:family w:val="auto"/>
    <w:notTrueType/>
    <w:pitch w:val="default"/>
    <w:sig w:usb0="00000003" w:usb1="00000000" w:usb2="00000000" w:usb3="00000000" w:csb0="00000001" w:csb1="00000000"/>
  </w:font>
  <w:font w:name="*Calibri-Bold-5506-Identity-H">
    <w:altName w:val="Calibri"/>
    <w:panose1 w:val="00000000000000000000"/>
    <w:charset w:val="00"/>
    <w:family w:val="auto"/>
    <w:notTrueType/>
    <w:pitch w:val="default"/>
    <w:sig w:usb0="00000003" w:usb1="00000000" w:usb2="00000000" w:usb3="00000000" w:csb0="00000001" w:csb1="00000000"/>
  </w:font>
  <w:font w:name="*Microsoft Sans Serif-Bold-5317">
    <w:altName w:val="Calibri"/>
    <w:panose1 w:val="00000000000000000000"/>
    <w:charset w:val="00"/>
    <w:family w:val="auto"/>
    <w:notTrueType/>
    <w:pitch w:val="default"/>
    <w:sig w:usb0="00000003" w:usb1="00000000" w:usb2="00000000" w:usb3="00000000" w:csb0="00000001" w:csb1="00000000"/>
  </w:font>
  <w:font w:name="*Arial-5316-Identity-H">
    <w:altName w:val="Calibri"/>
    <w:panose1 w:val="00000000000000000000"/>
    <w:charset w:val="00"/>
    <w:family w:val="auto"/>
    <w:notTrueType/>
    <w:pitch w:val="default"/>
    <w:sig w:usb0="00000003" w:usb1="00000000" w:usb2="00000000" w:usb3="00000000" w:csb0="00000001" w:csb1="00000000"/>
  </w:font>
  <w:font w:name="*Arial-Bold-5315-Identity-H">
    <w:altName w:val="Calibri"/>
    <w:panose1 w:val="00000000000000000000"/>
    <w:charset w:val="00"/>
    <w:family w:val="auto"/>
    <w:notTrueType/>
    <w:pitch w:val="default"/>
    <w:sig w:usb0="00000003" w:usb1="00000000" w:usb2="00000000" w:usb3="00000000" w:csb0="00000001" w:csb1="00000000"/>
  </w:font>
  <w:font w:name="*Arial-Bold-4941-Identity-H">
    <w:altName w:val="Calibri"/>
    <w:panose1 w:val="00000000000000000000"/>
    <w:charset w:val="00"/>
    <w:family w:val="auto"/>
    <w:notTrueType/>
    <w:pitch w:val="default"/>
    <w:sig w:usb0="00000003" w:usb1="00000000" w:usb2="00000000" w:usb3="00000000" w:csb0="00000001" w:csb1="00000000"/>
  </w:font>
  <w:font w:name="*Arial-Bold-6873-Identity-H">
    <w:altName w:val="Calibri"/>
    <w:panose1 w:val="00000000000000000000"/>
    <w:charset w:val="00"/>
    <w:family w:val="auto"/>
    <w:notTrueType/>
    <w:pitch w:val="default"/>
    <w:sig w:usb0="00000003" w:usb1="00000000" w:usb2="00000000" w:usb3="00000000" w:csb0="00000001" w:csb1="00000000"/>
  </w:font>
  <w:font w:name="*Arial-6871-Identity-H">
    <w:altName w:val="Calibri"/>
    <w:panose1 w:val="00000000000000000000"/>
    <w:charset w:val="00"/>
    <w:family w:val="auto"/>
    <w:notTrueType/>
    <w:pitch w:val="default"/>
    <w:sig w:usb0="00000003" w:usb1="00000000" w:usb2="00000000" w:usb3="00000000" w:csb0="00000001" w:csb1="00000000"/>
  </w:font>
  <w:font w:name="*Arial-Bold-6872-Identity-H">
    <w:altName w:val="Calibri"/>
    <w:panose1 w:val="00000000000000000000"/>
    <w:charset w:val="00"/>
    <w:family w:val="auto"/>
    <w:notTrueType/>
    <w:pitch w:val="default"/>
    <w:sig w:usb0="00000003" w:usb1="00000000" w:usb2="00000000" w:usb3="00000000" w:csb0="00000001" w:csb1="00000000"/>
  </w:font>
  <w:font w:name="*Microsoft Sans Serif-Bold-6874">
    <w:altName w:val="Calibri"/>
    <w:panose1 w:val="00000000000000000000"/>
    <w:charset w:val="00"/>
    <w:family w:val="auto"/>
    <w:notTrueType/>
    <w:pitch w:val="default"/>
    <w:sig w:usb0="00000003" w:usb1="00000000" w:usb2="00000000" w:usb3="00000000" w:csb0="00000001" w:csb1="00000000"/>
  </w:font>
  <w:font w:name="*Arial-6953-Identity-H">
    <w:altName w:val="Calibri"/>
    <w:panose1 w:val="00000000000000000000"/>
    <w:charset w:val="00"/>
    <w:family w:val="auto"/>
    <w:notTrueType/>
    <w:pitch w:val="default"/>
    <w:sig w:usb0="00000003" w:usb1="00000000" w:usb2="00000000" w:usb3="00000000" w:csb0="00000001" w:csb1="00000000"/>
  </w:font>
  <w:font w:name="*Microsoft Sans Serif-Bold-6955">
    <w:altName w:val="Calibri"/>
    <w:panose1 w:val="00000000000000000000"/>
    <w:charset w:val="00"/>
    <w:family w:val="auto"/>
    <w:notTrueType/>
    <w:pitch w:val="default"/>
    <w:sig w:usb0="00000003" w:usb1="00000000" w:usb2="00000000" w:usb3="00000000" w:csb0="00000001" w:csb1="00000000"/>
  </w:font>
  <w:font w:name="*Microsoft Sans Serif-Bold-6994">
    <w:altName w:val="Calibri"/>
    <w:panose1 w:val="00000000000000000000"/>
    <w:charset w:val="00"/>
    <w:family w:val="auto"/>
    <w:notTrueType/>
    <w:pitch w:val="default"/>
    <w:sig w:usb0="00000003" w:usb1="00000000" w:usb2="00000000" w:usb3="00000000" w:csb0="00000001" w:csb1="00000000"/>
  </w:font>
  <w:font w:name="*Arial-6993-Identity-H">
    <w:altName w:val="Calibri"/>
    <w:panose1 w:val="00000000000000000000"/>
    <w:charset w:val="00"/>
    <w:family w:val="auto"/>
    <w:notTrueType/>
    <w:pitch w:val="default"/>
    <w:sig w:usb0="00000003" w:usb1="00000000" w:usb2="00000000" w:usb3="00000000" w:csb0="00000001" w:csb1="00000000"/>
  </w:font>
  <w:font w:name="*Arial-7212-Identity-H">
    <w:altName w:val="Calibri"/>
    <w:panose1 w:val="00000000000000000000"/>
    <w:charset w:val="00"/>
    <w:family w:val="auto"/>
    <w:notTrueType/>
    <w:pitch w:val="default"/>
    <w:sig w:usb0="00000003" w:usb1="00000000" w:usb2="00000000" w:usb3="00000000" w:csb0="00000001" w:csb1="00000000"/>
  </w:font>
  <w:font w:name="*Microsoft Sans Serif-Bold-8164">
    <w:altName w:val="Calibri"/>
    <w:panose1 w:val="00000000000000000000"/>
    <w:charset w:val="00"/>
    <w:family w:val="auto"/>
    <w:notTrueType/>
    <w:pitch w:val="default"/>
    <w:sig w:usb0="00000003" w:usb1="00000000" w:usb2="00000000" w:usb3="00000000" w:csb0="00000001" w:csb1="00000000"/>
  </w:font>
  <w:font w:name="*Arial-8160-Identity-H">
    <w:altName w:val="Calibri"/>
    <w:panose1 w:val="00000000000000000000"/>
    <w:charset w:val="00"/>
    <w:family w:val="auto"/>
    <w:notTrueType/>
    <w:pitch w:val="default"/>
    <w:sig w:usb0="00000003" w:usb1="00000000" w:usb2="00000000" w:usb3="00000000" w:csb0="00000001" w:csb1="00000000"/>
  </w:font>
  <w:font w:name="*Arial-Bold-8162-Identity-H">
    <w:altName w:val="Calibri"/>
    <w:panose1 w:val="00000000000000000000"/>
    <w:charset w:val="00"/>
    <w:family w:val="auto"/>
    <w:notTrueType/>
    <w:pitch w:val="default"/>
    <w:sig w:usb0="00000003" w:usb1="00000000" w:usb2="00000000" w:usb3="00000000" w:csb0="00000001" w:csb1="00000000"/>
  </w:font>
  <w:font w:name="*Arial-Bold-8161-Identity-H">
    <w:altName w:val="Calibri"/>
    <w:panose1 w:val="00000000000000000000"/>
    <w:charset w:val="00"/>
    <w:family w:val="auto"/>
    <w:notTrueType/>
    <w:pitch w:val="default"/>
    <w:sig w:usb0="00000003" w:usb1="00000000" w:usb2="00000000" w:usb3="00000000" w:csb0="00000001" w:csb1="00000000"/>
  </w:font>
  <w:font w:name="*Calibri-Bold-7327-Identity-H">
    <w:altName w:val="Calibri"/>
    <w:panose1 w:val="00000000000000000000"/>
    <w:charset w:val="00"/>
    <w:family w:val="auto"/>
    <w:notTrueType/>
    <w:pitch w:val="default"/>
    <w:sig w:usb0="00000003" w:usb1="00000000" w:usb2="00000000" w:usb3="00000000" w:csb0="00000001" w:csb1="00000000"/>
  </w:font>
  <w:font w:name="*Arial-7328-Identity-H">
    <w:altName w:val="Calibri"/>
    <w:panose1 w:val="00000000000000000000"/>
    <w:charset w:val="00"/>
    <w:family w:val="auto"/>
    <w:notTrueType/>
    <w:pitch w:val="default"/>
    <w:sig w:usb0="00000003" w:usb1="00000000" w:usb2="00000000" w:usb3="00000000" w:csb0="00000001" w:csb1="00000000"/>
  </w:font>
  <w:font w:name="*Calibri-Bold-7094-Identity-H">
    <w:altName w:val="Calibri"/>
    <w:panose1 w:val="00000000000000000000"/>
    <w:charset w:val="00"/>
    <w:family w:val="auto"/>
    <w:notTrueType/>
    <w:pitch w:val="default"/>
    <w:sig w:usb0="00000003" w:usb1="00000000" w:usb2="00000000" w:usb3="00000000" w:csb0="00000001" w:csb1="00000000"/>
  </w:font>
  <w:font w:name="*Arial-7095-Identity-H">
    <w:altName w:val="Calibri"/>
    <w:panose1 w:val="00000000000000000000"/>
    <w:charset w:val="00"/>
    <w:family w:val="auto"/>
    <w:notTrueType/>
    <w:pitch w:val="default"/>
    <w:sig w:usb0="00000003" w:usb1="00000000" w:usb2="00000000" w:usb3="00000000" w:csb0="00000001" w:csb1="00000000"/>
  </w:font>
  <w:font w:name="*Arial-9712-Identity-H">
    <w:altName w:val="Calibri"/>
    <w:panose1 w:val="00000000000000000000"/>
    <w:charset w:val="00"/>
    <w:family w:val="auto"/>
    <w:notTrueType/>
    <w:pitch w:val="default"/>
    <w:sig w:usb0="00000003" w:usb1="00000000" w:usb2="00000000" w:usb3="00000000" w:csb0="00000001" w:csb1="00000000"/>
  </w:font>
  <w:font w:name="*Arial-Italic-9714-Identity-H">
    <w:altName w:val="Calibri"/>
    <w:panose1 w:val="00000000000000000000"/>
    <w:charset w:val="00"/>
    <w:family w:val="auto"/>
    <w:notTrueType/>
    <w:pitch w:val="default"/>
    <w:sig w:usb0="00000003" w:usb1="00000000" w:usb2="00000000" w:usb3="00000000" w:csb0="00000001" w:csb1="00000000"/>
  </w:font>
  <w:font w:name="*Arial-9711-Identity-H">
    <w:altName w:val="Calibri"/>
    <w:panose1 w:val="00000000000000000000"/>
    <w:charset w:val="00"/>
    <w:family w:val="auto"/>
    <w:notTrueType/>
    <w:pitch w:val="default"/>
    <w:sig w:usb0="00000003" w:usb1="00000000" w:usb2="00000000" w:usb3="00000000" w:csb0="00000001" w:csb1="00000000"/>
  </w:font>
  <w:font w:name="*Arial-8436-Identity-H">
    <w:altName w:val="Calibri"/>
    <w:panose1 w:val="00000000000000000000"/>
    <w:charset w:val="00"/>
    <w:family w:val="auto"/>
    <w:notTrueType/>
    <w:pitch w:val="default"/>
    <w:sig w:usb0="00000003" w:usb1="00000000" w:usb2="00000000" w:usb3="00000000" w:csb0="00000001" w:csb1="00000000"/>
  </w:font>
  <w:font w:name="*Arial-Italic-8437-Identity-H">
    <w:altName w:val="Calibri"/>
    <w:panose1 w:val="00000000000000000000"/>
    <w:charset w:val="00"/>
    <w:family w:val="auto"/>
    <w:notTrueType/>
    <w:pitch w:val="default"/>
    <w:sig w:usb0="00000003" w:usb1="00000000" w:usb2="00000000" w:usb3="00000000" w:csb0="00000001" w:csb1="00000000"/>
  </w:font>
  <w:font w:name="*Arial-6290-Identity-H">
    <w:altName w:val="Calibri"/>
    <w:panose1 w:val="00000000000000000000"/>
    <w:charset w:val="00"/>
    <w:family w:val="auto"/>
    <w:notTrueType/>
    <w:pitch w:val="default"/>
    <w:sig w:usb0="00000003" w:usb1="00000000" w:usb2="00000000" w:usb3="00000000" w:csb0="00000001" w:csb1="00000000"/>
  </w:font>
  <w:font w:name="*Times New Roman-Italic-6286-Id">
    <w:altName w:val="Calibri"/>
    <w:panose1 w:val="00000000000000000000"/>
    <w:charset w:val="00"/>
    <w:family w:val="auto"/>
    <w:notTrueType/>
    <w:pitch w:val="default"/>
    <w:sig w:usb0="00000003" w:usb1="00000000" w:usb2="00000000" w:usb3="00000000" w:csb0="00000001" w:csb1="00000000"/>
  </w:font>
  <w:font w:name="*Times New Roman-Italic-6285-Id">
    <w:altName w:val="Calibri"/>
    <w:panose1 w:val="00000000000000000000"/>
    <w:charset w:val="00"/>
    <w:family w:val="auto"/>
    <w:notTrueType/>
    <w:pitch w:val="default"/>
    <w:sig w:usb0="00000003" w:usb1="00000000" w:usb2="00000000" w:usb3="00000000" w:csb0="00000001" w:csb1="00000000"/>
  </w:font>
  <w:font w:name="*Arial-Bold-6291-Identity-H">
    <w:altName w:val="Calibri"/>
    <w:panose1 w:val="00000000000000000000"/>
    <w:charset w:val="00"/>
    <w:family w:val="auto"/>
    <w:notTrueType/>
    <w:pitch w:val="default"/>
    <w:sig w:usb0="00000003" w:usb1="00000000" w:usb2="00000000" w:usb3="00000000" w:csb0="00000001" w:csb1="00000000"/>
  </w:font>
  <w:font w:name="*Arial-7495-Identity-H">
    <w:altName w:val="Calibri"/>
    <w:panose1 w:val="00000000000000000000"/>
    <w:charset w:val="00"/>
    <w:family w:val="auto"/>
    <w:notTrueType/>
    <w:pitch w:val="default"/>
    <w:sig w:usb0="00000003" w:usb1="00000000" w:usb2="00000000" w:usb3="00000000" w:csb0="00000001" w:csb1="00000000"/>
  </w:font>
  <w:font w:name="*Arial-7497-Identity-H">
    <w:altName w:val="Calibri"/>
    <w:panose1 w:val="00000000000000000000"/>
    <w:charset w:val="00"/>
    <w:family w:val="auto"/>
    <w:notTrueType/>
    <w:pitch w:val="default"/>
    <w:sig w:usb0="00000003" w:usb1="00000000" w:usb2="00000000" w:usb3="00000000" w:csb0="00000001" w:csb1="00000000"/>
  </w:font>
  <w:font w:name="*Arial-Italic-7496-Identity-H">
    <w:altName w:val="Calibri"/>
    <w:panose1 w:val="00000000000000000000"/>
    <w:charset w:val="00"/>
    <w:family w:val="auto"/>
    <w:notTrueType/>
    <w:pitch w:val="default"/>
    <w:sig w:usb0="00000003" w:usb1="00000000" w:usb2="00000000" w:usb3="00000000" w:csb0="00000001" w:csb1="00000000"/>
  </w:font>
  <w:font w:name="*Microsoft Sans Serif-Bold-6623">
    <w:altName w:val="Calibri"/>
    <w:panose1 w:val="00000000000000000000"/>
    <w:charset w:val="00"/>
    <w:family w:val="auto"/>
    <w:notTrueType/>
    <w:pitch w:val="default"/>
    <w:sig w:usb0="00000003" w:usb1="00000000" w:usb2="00000000" w:usb3="00000000" w:csb0="00000001" w:csb1="00000000"/>
  </w:font>
  <w:font w:name="*Arial-6620-Identity-H">
    <w:altName w:val="Calibri"/>
    <w:panose1 w:val="00000000000000000000"/>
    <w:charset w:val="00"/>
    <w:family w:val="auto"/>
    <w:notTrueType/>
    <w:pitch w:val="default"/>
    <w:sig w:usb0="00000003" w:usb1="00000000" w:usb2="00000000" w:usb3="00000000" w:csb0="00000001" w:csb1="00000000"/>
  </w:font>
  <w:font w:name="*Microsoft Sans Serif-Bold-6622">
    <w:altName w:val="Calibri"/>
    <w:panose1 w:val="00000000000000000000"/>
    <w:charset w:val="00"/>
    <w:family w:val="auto"/>
    <w:notTrueType/>
    <w:pitch w:val="default"/>
    <w:sig w:usb0="00000003" w:usb1="00000000" w:usb2="00000000" w:usb3="00000000" w:csb0="00000001" w:csb1="00000000"/>
  </w:font>
  <w:font w:name="*Microsoft Sans Serif-Bold-6786">
    <w:altName w:val="Calibri"/>
    <w:panose1 w:val="00000000000000000000"/>
    <w:charset w:val="00"/>
    <w:family w:val="auto"/>
    <w:notTrueType/>
    <w:pitch w:val="default"/>
    <w:sig w:usb0="00000003" w:usb1="00000000" w:usb2="00000000" w:usb3="00000000" w:csb0="00000001" w:csb1="00000000"/>
  </w:font>
  <w:font w:name="*Arial-6784-Identity-H">
    <w:altName w:val="Calibri"/>
    <w:panose1 w:val="00000000000000000000"/>
    <w:charset w:val="00"/>
    <w:family w:val="auto"/>
    <w:notTrueType/>
    <w:pitch w:val="default"/>
    <w:sig w:usb0="00000003" w:usb1="00000000" w:usb2="00000000" w:usb3="00000000" w:csb0="00000001" w:csb1="00000000"/>
  </w:font>
  <w:font w:name="*Times New Roman-Italic-7288-Id">
    <w:altName w:val="Calibri"/>
    <w:panose1 w:val="00000000000000000000"/>
    <w:charset w:val="00"/>
    <w:family w:val="auto"/>
    <w:notTrueType/>
    <w:pitch w:val="default"/>
    <w:sig w:usb0="00000003" w:usb1="00000000" w:usb2="00000000" w:usb3="00000000" w:csb0="00000001" w:csb1="00000000"/>
  </w:font>
  <w:font w:name="*Arial-7290-Identity-H">
    <w:altName w:val="Calibri"/>
    <w:panose1 w:val="00000000000000000000"/>
    <w:charset w:val="00"/>
    <w:family w:val="auto"/>
    <w:notTrueType/>
    <w:pitch w:val="default"/>
    <w:sig w:usb0="00000003" w:usb1="00000000" w:usb2="00000000" w:usb3="00000000" w:csb0="00000001" w:csb1="00000000"/>
  </w:font>
  <w:font w:name="*Arial-6730-Identity-H">
    <w:altName w:val="Calibri"/>
    <w:panose1 w:val="00000000000000000000"/>
    <w:charset w:val="00"/>
    <w:family w:val="auto"/>
    <w:notTrueType/>
    <w:pitch w:val="default"/>
    <w:sig w:usb0="00000003" w:usb1="00000000" w:usb2="00000000" w:usb3="00000000" w:csb0="00000001" w:csb1="00000000"/>
  </w:font>
  <w:font w:name="*Arial-6634-Identity-H">
    <w:altName w:val="Calibri"/>
    <w:panose1 w:val="00000000000000000000"/>
    <w:charset w:val="00"/>
    <w:family w:val="auto"/>
    <w:notTrueType/>
    <w:pitch w:val="default"/>
    <w:sig w:usb0="00000003" w:usb1="00000000" w:usb2="00000000" w:usb3="00000000" w:csb0="00000001" w:csb1="00000000"/>
  </w:font>
  <w:font w:name="*Calibri-Bold-6795-Identity-H">
    <w:altName w:val="Calibri"/>
    <w:panose1 w:val="00000000000000000000"/>
    <w:charset w:val="00"/>
    <w:family w:val="auto"/>
    <w:notTrueType/>
    <w:pitch w:val="default"/>
    <w:sig w:usb0="00000003" w:usb1="00000000" w:usb2="00000000" w:usb3="00000000" w:csb0="00000001" w:csb1="00000000"/>
  </w:font>
  <w:font w:name="*Arial-6796-Identity-H">
    <w:altName w:val="Calibri"/>
    <w:panose1 w:val="00000000000000000000"/>
    <w:charset w:val="00"/>
    <w:family w:val="auto"/>
    <w:notTrueType/>
    <w:pitch w:val="default"/>
    <w:sig w:usb0="00000003" w:usb1="00000000" w:usb2="00000000" w:usb3="00000000" w:csb0="00000001" w:csb1="00000000"/>
  </w:font>
  <w:font w:name="*Arial-Bold-6797-Identity-H">
    <w:altName w:val="Calibri"/>
    <w:panose1 w:val="00000000000000000000"/>
    <w:charset w:val="00"/>
    <w:family w:val="auto"/>
    <w:notTrueType/>
    <w:pitch w:val="default"/>
    <w:sig w:usb0="00000003" w:usb1="00000000" w:usb2="00000000" w:usb3="00000000" w:csb0="00000001" w:csb1="00000000"/>
  </w:font>
  <w:font w:name="*Times New Roman-Italic-6794-Id">
    <w:altName w:val="Calibri"/>
    <w:panose1 w:val="00000000000000000000"/>
    <w:charset w:val="00"/>
    <w:family w:val="auto"/>
    <w:notTrueType/>
    <w:pitch w:val="default"/>
    <w:sig w:usb0="00000003" w:usb1="00000000" w:usb2="00000000" w:usb3="00000000" w:csb0="00000001" w:csb1="00000000"/>
  </w:font>
  <w:font w:name="*Times New Roman-Italic-6793-Id">
    <w:altName w:val="Calibri"/>
    <w:panose1 w:val="00000000000000000000"/>
    <w:charset w:val="00"/>
    <w:family w:val="auto"/>
    <w:notTrueType/>
    <w:pitch w:val="default"/>
    <w:sig w:usb0="00000003" w:usb1="00000000" w:usb2="00000000" w:usb3="00000000" w:csb0="00000001" w:csb1="00000000"/>
  </w:font>
  <w:font w:name="*Arial-4705-Identity-H">
    <w:altName w:val="Calibri"/>
    <w:panose1 w:val="00000000000000000000"/>
    <w:charset w:val="00"/>
    <w:family w:val="auto"/>
    <w:notTrueType/>
    <w:pitch w:val="default"/>
    <w:sig w:usb0="00000003" w:usb1="00000000" w:usb2="00000000" w:usb3="00000000" w:csb0="00000001" w:csb1="00000000"/>
  </w:font>
  <w:font w:name="*Arial-Bold-4704-Identity-H">
    <w:altName w:val="Calibri"/>
    <w:panose1 w:val="00000000000000000000"/>
    <w:charset w:val="00"/>
    <w:family w:val="auto"/>
    <w:notTrueType/>
    <w:pitch w:val="default"/>
    <w:sig w:usb0="00000003" w:usb1="00000000" w:usb2="00000000" w:usb3="00000000" w:csb0="00000001" w:csb1="00000000"/>
  </w:font>
  <w:font w:name="*Arial-Bold-6977-Identity-H">
    <w:altName w:val="Calibri"/>
    <w:panose1 w:val="00000000000000000000"/>
    <w:charset w:val="00"/>
    <w:family w:val="auto"/>
    <w:notTrueType/>
    <w:pitch w:val="default"/>
    <w:sig w:usb0="00000003" w:usb1="00000000" w:usb2="00000000" w:usb3="00000000" w:csb0="00000001" w:csb1="00000000"/>
  </w:font>
  <w:font w:name="*Arial-6975-Identity-H">
    <w:altName w:val="Calibri"/>
    <w:panose1 w:val="00000000000000000000"/>
    <w:charset w:val="00"/>
    <w:family w:val="auto"/>
    <w:notTrueType/>
    <w:pitch w:val="default"/>
    <w:sig w:usb0="00000003" w:usb1="00000000" w:usb2="00000000" w:usb3="00000000" w:csb0="00000001" w:csb1="00000000"/>
  </w:font>
  <w:font w:name="*Arial-Bold-6976-Identity-H">
    <w:altName w:val="Calibri"/>
    <w:panose1 w:val="00000000000000000000"/>
    <w:charset w:val="00"/>
    <w:family w:val="auto"/>
    <w:notTrueType/>
    <w:pitch w:val="default"/>
    <w:sig w:usb0="00000003" w:usb1="00000000" w:usb2="00000000" w:usb3="00000000" w:csb0="00000001" w:csb1="00000000"/>
  </w:font>
  <w:font w:name="*Microsoft Sans Serif-Bold-6978">
    <w:altName w:val="Calibri"/>
    <w:panose1 w:val="00000000000000000000"/>
    <w:charset w:val="00"/>
    <w:family w:val="auto"/>
    <w:notTrueType/>
    <w:pitch w:val="default"/>
    <w:sig w:usb0="00000003" w:usb1="00000000" w:usb2="00000000" w:usb3="00000000" w:csb0="00000001" w:csb1="00000000"/>
  </w:font>
  <w:font w:name="*Microsoft Sans Serif-Bold-6658">
    <w:altName w:val="Calibri"/>
    <w:panose1 w:val="00000000000000000000"/>
    <w:charset w:val="00"/>
    <w:family w:val="auto"/>
    <w:notTrueType/>
    <w:pitch w:val="default"/>
    <w:sig w:usb0="00000003" w:usb1="00000000" w:usb2="00000000" w:usb3="00000000" w:csb0="00000001" w:csb1="00000000"/>
  </w:font>
  <w:font w:name="*Arial-6654-Identity-H">
    <w:altName w:val="Calibri"/>
    <w:panose1 w:val="00000000000000000000"/>
    <w:charset w:val="00"/>
    <w:family w:val="auto"/>
    <w:notTrueType/>
    <w:pitch w:val="default"/>
    <w:sig w:usb0="00000003" w:usb1="00000000" w:usb2="00000000" w:usb3="00000000" w:csb0="00000001" w:csb1="00000000"/>
  </w:font>
  <w:font w:name="*Microsoft Sans Serif-Bold-6657">
    <w:altName w:val="Calibri"/>
    <w:panose1 w:val="00000000000000000000"/>
    <w:charset w:val="00"/>
    <w:family w:val="auto"/>
    <w:notTrueType/>
    <w:pitch w:val="default"/>
    <w:sig w:usb0="00000003" w:usb1="00000000" w:usb2="00000000" w:usb3="00000000" w:csb0="00000001" w:csb1="00000000"/>
  </w:font>
  <w:font w:name="*Arial-Bold-6655-Identity-H">
    <w:altName w:val="Calibri"/>
    <w:panose1 w:val="00000000000000000000"/>
    <w:charset w:val="00"/>
    <w:family w:val="auto"/>
    <w:notTrueType/>
    <w:pitch w:val="default"/>
    <w:sig w:usb0="00000003" w:usb1="00000000" w:usb2="00000000" w:usb3="00000000" w:csb0="00000001" w:csb1="00000000"/>
  </w:font>
  <w:font w:name="*Calibri-Bold-6732-Identity-H">
    <w:altName w:val="Calibri"/>
    <w:panose1 w:val="00000000000000000000"/>
    <w:charset w:val="00"/>
    <w:family w:val="auto"/>
    <w:notTrueType/>
    <w:pitch w:val="default"/>
    <w:sig w:usb0="00000003" w:usb1="00000000" w:usb2="00000000" w:usb3="00000000" w:csb0="00000001" w:csb1="00000000"/>
  </w:font>
  <w:font w:name="*Arial-6733-Identity-H">
    <w:altName w:val="Calibri"/>
    <w:panose1 w:val="00000000000000000000"/>
    <w:charset w:val="00"/>
    <w:family w:val="auto"/>
    <w:notTrueType/>
    <w:pitch w:val="default"/>
    <w:sig w:usb0="00000003" w:usb1="00000000" w:usb2="00000000" w:usb3="00000000" w:csb0="00000001" w:csb1="00000000"/>
  </w:font>
  <w:font w:name="*Arial-6743-Identity-H">
    <w:altName w:val="Calibri"/>
    <w:panose1 w:val="00000000000000000000"/>
    <w:charset w:val="00"/>
    <w:family w:val="auto"/>
    <w:notTrueType/>
    <w:pitch w:val="default"/>
    <w:sig w:usb0="00000003" w:usb1="00000000" w:usb2="00000000" w:usb3="00000000" w:csb0="00000001" w:csb1="00000000"/>
  </w:font>
  <w:font w:name="*Times New Roman-Italic-7687-Id">
    <w:altName w:val="Calibri"/>
    <w:panose1 w:val="00000000000000000000"/>
    <w:charset w:val="00"/>
    <w:family w:val="auto"/>
    <w:notTrueType/>
    <w:pitch w:val="default"/>
    <w:sig w:usb0="00000003" w:usb1="00000000" w:usb2="00000000" w:usb3="00000000" w:csb0="00000001" w:csb1="00000000"/>
  </w:font>
  <w:font w:name="*Arial-Bold-7690-Identity-H">
    <w:altName w:val="Calibri"/>
    <w:panose1 w:val="00000000000000000000"/>
    <w:charset w:val="00"/>
    <w:family w:val="auto"/>
    <w:notTrueType/>
    <w:pitch w:val="default"/>
    <w:sig w:usb0="00000003" w:usb1="00000000" w:usb2="00000000" w:usb3="00000000" w:csb0="00000001" w:csb1="00000000"/>
  </w:font>
  <w:font w:name="*Arial-7691-Identity-H">
    <w:altName w:val="Calibri"/>
    <w:panose1 w:val="00000000000000000000"/>
    <w:charset w:val="00"/>
    <w:family w:val="auto"/>
    <w:notTrueType/>
    <w:pitch w:val="default"/>
    <w:sig w:usb0="00000003" w:usb1="00000000" w:usb2="00000000" w:usb3="00000000" w:csb0="00000001" w:csb1="00000000"/>
  </w:font>
  <w:font w:name="*Arial-7689-Identity-H">
    <w:altName w:val="Calibri"/>
    <w:panose1 w:val="00000000000000000000"/>
    <w:charset w:val="00"/>
    <w:family w:val="auto"/>
    <w:notTrueType/>
    <w:pitch w:val="default"/>
    <w:sig w:usb0="00000003" w:usb1="00000000" w:usb2="00000000" w:usb3="00000000" w:csb0="00000001" w:csb1="00000000"/>
  </w:font>
  <w:font w:name="*Times New Roman-Bold-7330-Iden">
    <w:altName w:val="Calibri"/>
    <w:panose1 w:val="00000000000000000000"/>
    <w:charset w:val="00"/>
    <w:family w:val="auto"/>
    <w:notTrueType/>
    <w:pitch w:val="default"/>
    <w:sig w:usb0="00000003" w:usb1="00000000" w:usb2="00000000" w:usb3="00000000" w:csb0="00000001" w:csb1="00000000"/>
  </w:font>
  <w:font w:name="*Arial-7331-Identity-H">
    <w:altName w:val="Calibri"/>
    <w:panose1 w:val="00000000000000000000"/>
    <w:charset w:val="00"/>
    <w:family w:val="auto"/>
    <w:notTrueType/>
    <w:pitch w:val="default"/>
    <w:sig w:usb0="00000003" w:usb1="00000000" w:usb2="00000000" w:usb3="00000000" w:csb0="00000001" w:csb1="00000000"/>
  </w:font>
  <w:font w:name="*Calibri-Bold-6756-Identity-H">
    <w:altName w:val="Calibri"/>
    <w:panose1 w:val="00000000000000000000"/>
    <w:charset w:val="00"/>
    <w:family w:val="auto"/>
    <w:notTrueType/>
    <w:pitch w:val="default"/>
    <w:sig w:usb0="00000003" w:usb1="00000000" w:usb2="00000000" w:usb3="00000000" w:csb0="00000001" w:csb1="00000000"/>
  </w:font>
  <w:font w:name="*Arial-6757-Identity-H">
    <w:altName w:val="Calibri"/>
    <w:panose1 w:val="00000000000000000000"/>
    <w:charset w:val="00"/>
    <w:family w:val="auto"/>
    <w:notTrueType/>
    <w:pitch w:val="default"/>
    <w:sig w:usb0="00000003" w:usb1="00000000" w:usb2="00000000" w:usb3="00000000" w:csb0="00000001" w:csb1="00000000"/>
  </w:font>
  <w:font w:name="*Arial-10222-Identity-H">
    <w:altName w:val="Calibri"/>
    <w:panose1 w:val="00000000000000000000"/>
    <w:charset w:val="00"/>
    <w:family w:val="auto"/>
    <w:notTrueType/>
    <w:pitch w:val="default"/>
    <w:sig w:usb0="00000003" w:usb1="00000000" w:usb2="00000000" w:usb3="00000000" w:csb0="00000001" w:csb1="00000000"/>
  </w:font>
  <w:font w:name="*Arial-Italic-10223-Identity-H">
    <w:altName w:val="Calibri"/>
    <w:panose1 w:val="00000000000000000000"/>
    <w:charset w:val="00"/>
    <w:family w:val="auto"/>
    <w:notTrueType/>
    <w:pitch w:val="default"/>
    <w:sig w:usb0="00000003" w:usb1="00000000" w:usb2="00000000" w:usb3="00000000" w:csb0="00000001" w:csb1="00000000"/>
  </w:font>
  <w:font w:name="*Microsoft Sans Serif-Bold-1022">
    <w:altName w:val="Calibri"/>
    <w:panose1 w:val="00000000000000000000"/>
    <w:charset w:val="00"/>
    <w:family w:val="auto"/>
    <w:notTrueType/>
    <w:pitch w:val="default"/>
    <w:sig w:usb0="00000003" w:usb1="00000000" w:usb2="00000000" w:usb3="00000000" w:csb0="00000001" w:csb1="00000000"/>
  </w:font>
  <w:font w:name="*Arial-8226-Identity-H">
    <w:altName w:val="Calibri"/>
    <w:panose1 w:val="00000000000000000000"/>
    <w:charset w:val="00"/>
    <w:family w:val="auto"/>
    <w:notTrueType/>
    <w:pitch w:val="default"/>
    <w:sig w:usb0="00000003" w:usb1="00000000" w:usb2="00000000" w:usb3="00000000" w:csb0="00000001" w:csb1="00000000"/>
  </w:font>
  <w:font w:name="*Arial-Italic-8227-Identity-H">
    <w:altName w:val="Calibri"/>
    <w:panose1 w:val="00000000000000000000"/>
    <w:charset w:val="00"/>
    <w:family w:val="auto"/>
    <w:notTrueType/>
    <w:pitch w:val="default"/>
    <w:sig w:usb0="00000003" w:usb1="00000000" w:usb2="00000000" w:usb3="00000000" w:csb0="00000001" w:csb1="00000000"/>
  </w:font>
  <w:font w:name="*Microsoft Sans Serif-Italic-82">
    <w:altName w:val="Calibri"/>
    <w:panose1 w:val="00000000000000000000"/>
    <w:charset w:val="00"/>
    <w:family w:val="auto"/>
    <w:notTrueType/>
    <w:pitch w:val="default"/>
    <w:sig w:usb0="00000003" w:usb1="00000000" w:usb2="00000000" w:usb3="00000000" w:csb0="00000001" w:csb1="00000000"/>
  </w:font>
  <w:font w:name="*Calibri-9140-Identity-H">
    <w:altName w:val="Calibri"/>
    <w:panose1 w:val="00000000000000000000"/>
    <w:charset w:val="00"/>
    <w:family w:val="auto"/>
    <w:notTrueType/>
    <w:pitch w:val="default"/>
    <w:sig w:usb0="00000003" w:usb1="00000000" w:usb2="00000000" w:usb3="00000000" w:csb0="00000001" w:csb1="00000000"/>
  </w:font>
  <w:font w:name="*Arial-9143-Identity-H">
    <w:altName w:val="Calibri"/>
    <w:panose1 w:val="00000000000000000000"/>
    <w:charset w:val="00"/>
    <w:family w:val="auto"/>
    <w:notTrueType/>
    <w:pitch w:val="default"/>
    <w:sig w:usb0="00000003" w:usb1="00000000" w:usb2="00000000" w:usb3="00000000" w:csb0="00000001" w:csb1="00000000"/>
  </w:font>
  <w:font w:name="*Arial-Italic-9144-Identity-H">
    <w:altName w:val="Calibri"/>
    <w:panose1 w:val="00000000000000000000"/>
    <w:charset w:val="00"/>
    <w:family w:val="auto"/>
    <w:notTrueType/>
    <w:pitch w:val="default"/>
    <w:sig w:usb0="00000003" w:usb1="00000000" w:usb2="00000000" w:usb3="00000000" w:csb0="00000001" w:csb1="00000000"/>
  </w:font>
  <w:font w:name="*Microsoft Sans Serif-Italic-91">
    <w:altName w:val="Calibri"/>
    <w:panose1 w:val="00000000000000000000"/>
    <w:charset w:val="00"/>
    <w:family w:val="auto"/>
    <w:notTrueType/>
    <w:pitch w:val="default"/>
    <w:sig w:usb0="00000003" w:usb1="00000000" w:usb2="00000000" w:usb3="00000000" w:csb0="00000001" w:csb1="00000000"/>
  </w:font>
  <w:font w:name="*Arial-4749-Identity-H">
    <w:altName w:val="Calibri"/>
    <w:panose1 w:val="00000000000000000000"/>
    <w:charset w:val="00"/>
    <w:family w:val="auto"/>
    <w:notTrueType/>
    <w:pitch w:val="default"/>
    <w:sig w:usb0="00000003" w:usb1="00000000" w:usb2="00000000" w:usb3="00000000" w:csb0="00000001" w:csb1="00000000"/>
  </w:font>
  <w:font w:name="*Arial-Bold-4750-Identity-H">
    <w:altName w:val="Calibri"/>
    <w:panose1 w:val="00000000000000000000"/>
    <w:charset w:val="00"/>
    <w:family w:val="auto"/>
    <w:notTrueType/>
    <w:pitch w:val="default"/>
    <w:sig w:usb0="00000003" w:usb1="00000000" w:usb2="00000000" w:usb3="00000000" w:csb0="00000001" w:csb1="00000000"/>
  </w:font>
  <w:font w:name="*Arial-7900-Identity-H">
    <w:altName w:val="Calibri"/>
    <w:panose1 w:val="00000000000000000000"/>
    <w:charset w:val="00"/>
    <w:family w:val="auto"/>
    <w:notTrueType/>
    <w:pitch w:val="default"/>
    <w:sig w:usb0="00000003" w:usb1="00000000" w:usb2="00000000" w:usb3="00000000" w:csb0="00000001" w:csb1="00000000"/>
  </w:font>
  <w:font w:name="*Arial-Italic-7902-Identity-H">
    <w:altName w:val="Calibri"/>
    <w:panose1 w:val="00000000000000000000"/>
    <w:charset w:val="00"/>
    <w:family w:val="auto"/>
    <w:notTrueType/>
    <w:pitch w:val="default"/>
    <w:sig w:usb0="00000003" w:usb1="00000000" w:usb2="00000000" w:usb3="00000000" w:csb0="00000001" w:csb1="00000000"/>
  </w:font>
  <w:font w:name="*Arial-Bold-7901-Identity-H">
    <w:altName w:val="Calibri"/>
    <w:panose1 w:val="00000000000000000000"/>
    <w:charset w:val="00"/>
    <w:family w:val="auto"/>
    <w:notTrueType/>
    <w:pitch w:val="default"/>
    <w:sig w:usb0="00000003" w:usb1="00000000" w:usb2="00000000" w:usb3="00000000" w:csb0="00000001" w:csb1="00000000"/>
  </w:font>
  <w:font w:name="*Arial-6429-Identity-H">
    <w:altName w:val="Calibri"/>
    <w:panose1 w:val="00000000000000000000"/>
    <w:charset w:val="00"/>
    <w:family w:val="auto"/>
    <w:notTrueType/>
    <w:pitch w:val="default"/>
    <w:sig w:usb0="00000003" w:usb1="00000000" w:usb2="00000000" w:usb3="00000000" w:csb0="00000001" w:csb1="00000000"/>
  </w:font>
  <w:font w:name="*Arial-Bold-6430-Identity-H">
    <w:altName w:val="Calibri"/>
    <w:panose1 w:val="00000000000000000000"/>
    <w:charset w:val="00"/>
    <w:family w:val="auto"/>
    <w:notTrueType/>
    <w:pitch w:val="default"/>
    <w:sig w:usb0="00000003" w:usb1="00000000" w:usb2="00000000" w:usb3="00000000" w:csb0="00000001" w:csb1="00000000"/>
  </w:font>
  <w:font w:name="*Calibri-Bold-7539-Identity-H">
    <w:altName w:val="Calibri"/>
    <w:panose1 w:val="00000000000000000000"/>
    <w:charset w:val="00"/>
    <w:family w:val="auto"/>
    <w:notTrueType/>
    <w:pitch w:val="default"/>
    <w:sig w:usb0="00000003" w:usb1="00000000" w:usb2="00000000" w:usb3="00000000" w:csb0="00000001" w:csb1="00000000"/>
  </w:font>
  <w:font w:name="*Arial-7540-Identity-H">
    <w:altName w:val="Calibri"/>
    <w:panose1 w:val="00000000000000000000"/>
    <w:charset w:val="00"/>
    <w:family w:val="auto"/>
    <w:notTrueType/>
    <w:pitch w:val="default"/>
    <w:sig w:usb0="00000003" w:usb1="00000000" w:usb2="00000000" w:usb3="00000000" w:csb0="00000001" w:csb1="00000000"/>
  </w:font>
  <w:font w:name="*Arial-8339-Identity-H">
    <w:altName w:val="Calibri"/>
    <w:panose1 w:val="00000000000000000000"/>
    <w:charset w:val="00"/>
    <w:family w:val="auto"/>
    <w:notTrueType/>
    <w:pitch w:val="default"/>
    <w:sig w:usb0="00000003" w:usb1="00000000" w:usb2="00000000" w:usb3="00000000" w:csb0="00000001" w:csb1="00000000"/>
  </w:font>
  <w:font w:name="*Arial-Italic-8340-Identity-H">
    <w:altName w:val="Calibri"/>
    <w:panose1 w:val="00000000000000000000"/>
    <w:charset w:val="00"/>
    <w:family w:val="auto"/>
    <w:notTrueType/>
    <w:pitch w:val="default"/>
    <w:sig w:usb0="00000003" w:usb1="00000000" w:usb2="00000000" w:usb3="00000000" w:csb0="00000001" w:csb1="00000000"/>
  </w:font>
  <w:font w:name="*Arial-6440-Identity-H">
    <w:altName w:val="Calibri"/>
    <w:panose1 w:val="00000000000000000000"/>
    <w:charset w:val="00"/>
    <w:family w:val="auto"/>
    <w:notTrueType/>
    <w:pitch w:val="default"/>
    <w:sig w:usb0="00000003" w:usb1="00000000" w:usb2="00000000" w:usb3="00000000" w:csb0="00000001" w:csb1="00000000"/>
  </w:font>
  <w:font w:name="*Microsoft Sans Serif-Bold-6520">
    <w:altName w:val="Calibri"/>
    <w:panose1 w:val="00000000000000000000"/>
    <w:charset w:val="00"/>
    <w:family w:val="auto"/>
    <w:notTrueType/>
    <w:pitch w:val="default"/>
    <w:sig w:usb0="00000003" w:usb1="00000000" w:usb2="00000000" w:usb3="00000000" w:csb0="00000001" w:csb1="00000000"/>
  </w:font>
  <w:font w:name="*Arial-6518-Identity-H">
    <w:altName w:val="Calibri"/>
    <w:panose1 w:val="00000000000000000000"/>
    <w:charset w:val="00"/>
    <w:family w:val="auto"/>
    <w:notTrueType/>
    <w:pitch w:val="default"/>
    <w:sig w:usb0="00000003" w:usb1="00000000" w:usb2="00000000" w:usb3="00000000" w:csb0="00000001" w:csb1="00000000"/>
  </w:font>
  <w:font w:name="*Calibri-Bold-6159-Identity-H">
    <w:altName w:val="Calibri"/>
    <w:panose1 w:val="00000000000000000000"/>
    <w:charset w:val="00"/>
    <w:family w:val="auto"/>
    <w:notTrueType/>
    <w:pitch w:val="default"/>
    <w:sig w:usb0="00000003" w:usb1="00000000" w:usb2="00000000" w:usb3="00000000" w:csb0="00000001" w:csb1="00000000"/>
  </w:font>
  <w:font w:name="*Arial-6160-Identity-H">
    <w:altName w:val="Calibri"/>
    <w:panose1 w:val="00000000000000000000"/>
    <w:charset w:val="00"/>
    <w:family w:val="auto"/>
    <w:notTrueType/>
    <w:pitch w:val="default"/>
    <w:sig w:usb0="00000003" w:usb1="00000000" w:usb2="00000000" w:usb3="00000000" w:csb0="00000001" w:csb1="00000000"/>
  </w:font>
  <w:font w:name="*Arial-7508-Identity-H">
    <w:altName w:val="Calibri"/>
    <w:panose1 w:val="00000000000000000000"/>
    <w:charset w:val="00"/>
    <w:family w:val="auto"/>
    <w:notTrueType/>
    <w:pitch w:val="default"/>
    <w:sig w:usb0="00000003" w:usb1="00000000" w:usb2="00000000" w:usb3="00000000" w:csb0="00000001" w:csb1="00000000"/>
  </w:font>
  <w:font w:name="*Arial-Bold-7510-Identity-H">
    <w:altName w:val="Calibri"/>
    <w:panose1 w:val="00000000000000000000"/>
    <w:charset w:val="00"/>
    <w:family w:val="auto"/>
    <w:notTrueType/>
    <w:pitch w:val="default"/>
    <w:sig w:usb0="00000003" w:usb1="00000000" w:usb2="00000000" w:usb3="00000000" w:csb0="00000001" w:csb1="00000000"/>
  </w:font>
  <w:font w:name="*Arial-Bold-7509-Identity-H">
    <w:altName w:val="Calibri"/>
    <w:panose1 w:val="00000000000000000000"/>
    <w:charset w:val="00"/>
    <w:family w:val="auto"/>
    <w:notTrueType/>
    <w:pitch w:val="default"/>
    <w:sig w:usb0="00000003" w:usb1="00000000" w:usb2="00000000" w:usb3="00000000" w:csb0="00000001" w:csb1="00000000"/>
  </w:font>
  <w:font w:name="*Calibri-Bold-4939-Identity-H">
    <w:altName w:val="Calibri"/>
    <w:panose1 w:val="00000000000000000000"/>
    <w:charset w:val="00"/>
    <w:family w:val="auto"/>
    <w:notTrueType/>
    <w:pitch w:val="default"/>
    <w:sig w:usb0="00000003" w:usb1="00000000" w:usb2="00000000" w:usb3="00000000" w:csb0="00000001" w:csb1="00000000"/>
  </w:font>
  <w:font w:name="*Arial-4942-Identity-H">
    <w:altName w:val="Calibri"/>
    <w:panose1 w:val="00000000000000000000"/>
    <w:charset w:val="00"/>
    <w:family w:val="auto"/>
    <w:notTrueType/>
    <w:pitch w:val="default"/>
    <w:sig w:usb0="00000003" w:usb1="00000000" w:usb2="00000000" w:usb3="00000000" w:csb0="00000001" w:csb1="00000000"/>
  </w:font>
  <w:font w:name="*Arial-Bold-7308-Identity-H">
    <w:altName w:val="Calibri"/>
    <w:panose1 w:val="00000000000000000000"/>
    <w:charset w:val="00"/>
    <w:family w:val="auto"/>
    <w:notTrueType/>
    <w:pitch w:val="default"/>
    <w:sig w:usb0="00000003" w:usb1="00000000" w:usb2="00000000" w:usb3="00000000" w:csb0="00000001" w:csb1="00000000"/>
  </w:font>
  <w:font w:name="*Arial-7306-Identity-H">
    <w:altName w:val="Calibri"/>
    <w:panose1 w:val="00000000000000000000"/>
    <w:charset w:val="00"/>
    <w:family w:val="auto"/>
    <w:notTrueType/>
    <w:pitch w:val="default"/>
    <w:sig w:usb0="00000003" w:usb1="00000000" w:usb2="00000000" w:usb3="00000000" w:csb0="00000001" w:csb1="00000000"/>
  </w:font>
  <w:font w:name="*Arial-Bold-7307-Identity-H">
    <w:altName w:val="Calibri"/>
    <w:panose1 w:val="00000000000000000000"/>
    <w:charset w:val="00"/>
    <w:family w:val="auto"/>
    <w:notTrueType/>
    <w:pitch w:val="default"/>
    <w:sig w:usb0="00000003" w:usb1="00000000" w:usb2="00000000" w:usb3="00000000" w:csb0="00000001" w:csb1="00000000"/>
  </w:font>
  <w:font w:name="*Microsoft Sans Serif-Bold-7310">
    <w:altName w:val="Calibri"/>
    <w:panose1 w:val="00000000000000000000"/>
    <w:charset w:val="00"/>
    <w:family w:val="auto"/>
    <w:notTrueType/>
    <w:pitch w:val="default"/>
    <w:sig w:usb0="00000003" w:usb1="00000000" w:usb2="00000000" w:usb3="00000000" w:csb0="00000001" w:csb1="00000000"/>
  </w:font>
  <w:font w:name="*Arial-6320-Identity-H">
    <w:altName w:val="Calibri"/>
    <w:panose1 w:val="00000000000000000000"/>
    <w:charset w:val="00"/>
    <w:family w:val="auto"/>
    <w:notTrueType/>
    <w:pitch w:val="default"/>
    <w:sig w:usb0="00000003" w:usb1="00000000" w:usb2="00000000" w:usb3="00000000" w:csb0="00000001" w:csb1="00000000"/>
  </w:font>
  <w:font w:name="*Arial-6316-Identity-H">
    <w:altName w:val="Calibri"/>
    <w:panose1 w:val="00000000000000000000"/>
    <w:charset w:val="00"/>
    <w:family w:val="auto"/>
    <w:notTrueType/>
    <w:pitch w:val="default"/>
    <w:sig w:usb0="00000003" w:usb1="00000000" w:usb2="00000000" w:usb3="00000000" w:csb0="00000001" w:csb1="00000000"/>
  </w:font>
  <w:font w:name="*Arial-Bold-6318-Identity-H">
    <w:altName w:val="Calibri"/>
    <w:panose1 w:val="00000000000000000000"/>
    <w:charset w:val="00"/>
    <w:family w:val="auto"/>
    <w:notTrueType/>
    <w:pitch w:val="default"/>
    <w:sig w:usb0="00000003" w:usb1="00000000" w:usb2="00000000" w:usb3="00000000" w:csb0="00000001" w:csb1="00000000"/>
  </w:font>
  <w:font w:name="*Arial-Bold-6317-Identity-H">
    <w:altName w:val="Calibri"/>
    <w:panose1 w:val="00000000000000000000"/>
    <w:charset w:val="00"/>
    <w:family w:val="auto"/>
    <w:notTrueType/>
    <w:pitch w:val="default"/>
    <w:sig w:usb0="00000003" w:usb1="00000000" w:usb2="00000000" w:usb3="00000000" w:csb0="00000001" w:csb1="00000000"/>
  </w:font>
  <w:font w:name="*Arial-6696-Identity-H">
    <w:altName w:val="Calibri"/>
    <w:panose1 w:val="00000000000000000000"/>
    <w:charset w:val="00"/>
    <w:family w:val="auto"/>
    <w:notTrueType/>
    <w:pitch w:val="default"/>
    <w:sig w:usb0="00000003" w:usb1="00000000" w:usb2="00000000" w:usb3="00000000" w:csb0="00000001" w:csb1="00000000"/>
  </w:font>
  <w:font w:name="*Arial-6695-Identity-H">
    <w:altName w:val="Calibri"/>
    <w:panose1 w:val="00000000000000000000"/>
    <w:charset w:val="00"/>
    <w:family w:val="auto"/>
    <w:notTrueType/>
    <w:pitch w:val="default"/>
    <w:sig w:usb0="00000003" w:usb1="00000000" w:usb2="00000000" w:usb3="00000000" w:csb0="00000001" w:csb1="00000000"/>
  </w:font>
  <w:font w:name="*Microsoft Sans Serif-6560-Iden">
    <w:altName w:val="Calibri"/>
    <w:panose1 w:val="00000000000000000000"/>
    <w:charset w:val="00"/>
    <w:family w:val="auto"/>
    <w:notTrueType/>
    <w:pitch w:val="default"/>
    <w:sig w:usb0="00000003" w:usb1="00000000" w:usb2="00000000" w:usb3="00000000" w:csb0="00000001" w:csb1="00000000"/>
  </w:font>
  <w:font w:name="*Arial-6559-Identity-H">
    <w:altName w:val="Calibri"/>
    <w:panose1 w:val="00000000000000000000"/>
    <w:charset w:val="00"/>
    <w:family w:val="auto"/>
    <w:notTrueType/>
    <w:pitch w:val="default"/>
    <w:sig w:usb0="00000003" w:usb1="00000000" w:usb2="00000000" w:usb3="00000000" w:csb0="00000001" w:csb1="00000000"/>
  </w:font>
  <w:font w:name="*Arial-7966-Identity-H">
    <w:altName w:val="Calibri"/>
    <w:panose1 w:val="00000000000000000000"/>
    <w:charset w:val="00"/>
    <w:family w:val="auto"/>
    <w:notTrueType/>
    <w:pitch w:val="default"/>
    <w:sig w:usb0="00000003" w:usb1="00000000" w:usb2="00000000" w:usb3="00000000" w:csb0="00000001" w:csb1="00000000"/>
  </w:font>
  <w:font w:name="*Arial-Bold-7967-Identity-H">
    <w:altName w:val="Calibri"/>
    <w:panose1 w:val="00000000000000000000"/>
    <w:charset w:val="00"/>
    <w:family w:val="auto"/>
    <w:notTrueType/>
    <w:pitch w:val="default"/>
    <w:sig w:usb0="00000003" w:usb1="00000000" w:usb2="00000000" w:usb3="00000000" w:csb0="00000001" w:csb1="00000000"/>
  </w:font>
  <w:font w:name="*Arial-7408-Identity-H">
    <w:altName w:val="Calibri"/>
    <w:panose1 w:val="00000000000000000000"/>
    <w:charset w:val="00"/>
    <w:family w:val="auto"/>
    <w:notTrueType/>
    <w:pitch w:val="default"/>
    <w:sig w:usb0="00000003" w:usb1="00000000" w:usb2="00000000" w:usb3="00000000" w:csb0="00000001" w:csb1="00000000"/>
  </w:font>
  <w:font w:name="*Arial-7407-Identity-H">
    <w:altName w:val="Calibri"/>
    <w:panose1 w:val="00000000000000000000"/>
    <w:charset w:val="00"/>
    <w:family w:val="auto"/>
    <w:notTrueType/>
    <w:pitch w:val="default"/>
    <w:sig w:usb0="00000003" w:usb1="00000000" w:usb2="00000000" w:usb3="00000000" w:csb0="00000001" w:csb1="00000000"/>
  </w:font>
  <w:font w:name="*Arial-7035-Identity-H">
    <w:altName w:val="Calibri"/>
    <w:panose1 w:val="00000000000000000000"/>
    <w:charset w:val="00"/>
    <w:family w:val="auto"/>
    <w:notTrueType/>
    <w:pitch w:val="default"/>
    <w:sig w:usb0="00000003" w:usb1="00000000" w:usb2="00000000" w:usb3="00000000" w:csb0="00000001" w:csb1="00000000"/>
  </w:font>
  <w:font w:name="*Arial-10082-Identity-H">
    <w:altName w:val="Calibri"/>
    <w:panose1 w:val="00000000000000000000"/>
    <w:charset w:val="00"/>
    <w:family w:val="auto"/>
    <w:notTrueType/>
    <w:pitch w:val="default"/>
    <w:sig w:usb0="00000003" w:usb1="00000000" w:usb2="00000000" w:usb3="00000000" w:csb0="00000001" w:csb1="00000000"/>
  </w:font>
  <w:font w:name="*Arial-Italic-10084-Identity-H">
    <w:altName w:val="Calibri"/>
    <w:panose1 w:val="00000000000000000000"/>
    <w:charset w:val="00"/>
    <w:family w:val="auto"/>
    <w:notTrueType/>
    <w:pitch w:val="default"/>
    <w:sig w:usb0="00000003" w:usb1="00000000" w:usb2="00000000" w:usb3="00000000" w:csb0="00000001" w:csb1="00000000"/>
  </w:font>
  <w:font w:name="*Arial-10083-Identity-H">
    <w:altName w:val="Calibri"/>
    <w:panose1 w:val="00000000000000000000"/>
    <w:charset w:val="00"/>
    <w:family w:val="auto"/>
    <w:notTrueType/>
    <w:pitch w:val="default"/>
    <w:sig w:usb0="00000003" w:usb1="00000000" w:usb2="00000000" w:usb3="00000000" w:csb0="00000001" w:csb1="00000000"/>
  </w:font>
  <w:font w:name="*Arial-8220-Identity-H">
    <w:altName w:val="Calibri"/>
    <w:panose1 w:val="00000000000000000000"/>
    <w:charset w:val="00"/>
    <w:family w:val="auto"/>
    <w:notTrueType/>
    <w:pitch w:val="default"/>
    <w:sig w:usb0="00000003" w:usb1="00000000" w:usb2="00000000" w:usb3="00000000" w:csb0="00000001" w:csb1="00000000"/>
  </w:font>
  <w:font w:name="*Arial-Italic-8221-Identity-H">
    <w:altName w:val="Calibri"/>
    <w:panose1 w:val="00000000000000000000"/>
    <w:charset w:val="00"/>
    <w:family w:val="auto"/>
    <w:notTrueType/>
    <w:pitch w:val="default"/>
    <w:sig w:usb0="00000003" w:usb1="00000000" w:usb2="00000000" w:usb3="00000000" w:csb0="00000001" w:csb1="00000000"/>
  </w:font>
  <w:font w:name="*Arial-9834-Identity-H">
    <w:altName w:val="Calibri"/>
    <w:panose1 w:val="00000000000000000000"/>
    <w:charset w:val="00"/>
    <w:family w:val="auto"/>
    <w:notTrueType/>
    <w:pitch w:val="default"/>
    <w:sig w:usb0="00000003" w:usb1="00000000" w:usb2="00000000" w:usb3="00000000" w:csb0="00000001" w:csb1="00000000"/>
  </w:font>
  <w:font w:name="*Arial-Italic-9835-Identity-H">
    <w:altName w:val="Calibri"/>
    <w:panose1 w:val="00000000000000000000"/>
    <w:charset w:val="00"/>
    <w:family w:val="auto"/>
    <w:notTrueType/>
    <w:pitch w:val="default"/>
    <w:sig w:usb0="00000003" w:usb1="00000000" w:usb2="00000000" w:usb3="00000000" w:csb0="00000001" w:csb1="00000000"/>
  </w:font>
  <w:font w:name="*Microsoft Sans Serif-Italic-98">
    <w:altName w:val="Calibri"/>
    <w:panose1 w:val="00000000000000000000"/>
    <w:charset w:val="00"/>
    <w:family w:val="auto"/>
    <w:notTrueType/>
    <w:pitch w:val="default"/>
    <w:sig w:usb0="00000003" w:usb1="00000000" w:usb2="00000000" w:usb3="00000000" w:csb0="00000001" w:csb1="00000000"/>
  </w:font>
  <w:font w:name="*Times New Roman-9832-Identity-">
    <w:altName w:val="Calibri"/>
    <w:panose1 w:val="00000000000000000000"/>
    <w:charset w:val="00"/>
    <w:family w:val="auto"/>
    <w:notTrueType/>
    <w:pitch w:val="default"/>
    <w:sig w:usb0="00000003" w:usb1="00000000" w:usb2="00000000" w:usb3="00000000" w:csb0="00000001" w:csb1="00000000"/>
  </w:font>
  <w:font w:name="*Arial-5926-Identity-H">
    <w:altName w:val="Calibri"/>
    <w:panose1 w:val="00000000000000000000"/>
    <w:charset w:val="00"/>
    <w:family w:val="auto"/>
    <w:notTrueType/>
    <w:pitch w:val="default"/>
    <w:sig w:usb0="00000003" w:usb1="00000000" w:usb2="00000000" w:usb3="00000000" w:csb0="00000001" w:csb1="00000000"/>
  </w:font>
  <w:font w:name="*Arial-Bold-5927-Identity-H">
    <w:altName w:val="Calibri"/>
    <w:panose1 w:val="00000000000000000000"/>
    <w:charset w:val="00"/>
    <w:family w:val="auto"/>
    <w:notTrueType/>
    <w:pitch w:val="default"/>
    <w:sig w:usb0="00000003" w:usb1="00000000" w:usb2="00000000" w:usb3="00000000" w:csb0="00000001" w:csb1="00000000"/>
  </w:font>
  <w:font w:name="*Arial-7854-Identity-H">
    <w:altName w:val="Calibri"/>
    <w:panose1 w:val="00000000000000000000"/>
    <w:charset w:val="00"/>
    <w:family w:val="auto"/>
    <w:notTrueType/>
    <w:pitch w:val="default"/>
    <w:sig w:usb0="00000003" w:usb1="00000000" w:usb2="00000000" w:usb3="00000000" w:csb0="00000001" w:csb1="00000000"/>
  </w:font>
  <w:font w:name="*Arial-Italic-7855-Identity-H">
    <w:altName w:val="Calibri"/>
    <w:panose1 w:val="00000000000000000000"/>
    <w:charset w:val="00"/>
    <w:family w:val="auto"/>
    <w:notTrueType/>
    <w:pitch w:val="default"/>
    <w:sig w:usb0="00000003" w:usb1="00000000" w:usb2="00000000" w:usb3="00000000" w:csb0="00000001" w:csb1="00000000"/>
  </w:font>
  <w:font w:name="*Verdana-Bold-6536-Identity-H">
    <w:altName w:val="Calibri"/>
    <w:panose1 w:val="00000000000000000000"/>
    <w:charset w:val="00"/>
    <w:family w:val="auto"/>
    <w:notTrueType/>
    <w:pitch w:val="default"/>
    <w:sig w:usb0="00000003" w:usb1="00000000" w:usb2="00000000" w:usb3="00000000" w:csb0="00000001" w:csb1="00000000"/>
  </w:font>
  <w:font w:name="*Arial-6535-Identity-H">
    <w:altName w:val="Calibri"/>
    <w:panose1 w:val="00000000000000000000"/>
    <w:charset w:val="00"/>
    <w:family w:val="auto"/>
    <w:notTrueType/>
    <w:pitch w:val="default"/>
    <w:sig w:usb0="00000003" w:usb1="00000000" w:usb2="00000000" w:usb3="00000000" w:csb0="00000001" w:csb1="00000000"/>
  </w:font>
  <w:font w:name="*Arial-6534-Identity-H">
    <w:altName w:val="Calibri"/>
    <w:panose1 w:val="00000000000000000000"/>
    <w:charset w:val="00"/>
    <w:family w:val="auto"/>
    <w:notTrueType/>
    <w:pitch w:val="default"/>
    <w:sig w:usb0="00000003" w:usb1="00000000" w:usb2="00000000" w:usb3="00000000" w:csb0="00000001" w:csb1="00000000"/>
  </w:font>
  <w:font w:name="*Arial-7823-Identity-H">
    <w:altName w:val="Calibri"/>
    <w:panose1 w:val="00000000000000000000"/>
    <w:charset w:val="00"/>
    <w:family w:val="auto"/>
    <w:notTrueType/>
    <w:pitch w:val="default"/>
    <w:sig w:usb0="00000003" w:usb1="00000000" w:usb2="00000000" w:usb3="00000000" w:csb0="00000001" w:csb1="00000000"/>
  </w:font>
  <w:font w:name="*Times New Roman-Italic-7821-Id">
    <w:altName w:val="Calibri"/>
    <w:panose1 w:val="00000000000000000000"/>
    <w:charset w:val="00"/>
    <w:family w:val="auto"/>
    <w:notTrueType/>
    <w:pitch w:val="default"/>
    <w:sig w:usb0="00000003" w:usb1="00000000" w:usb2="00000000" w:usb3="00000000" w:csb0="00000001" w:csb1="00000000"/>
  </w:font>
  <w:font w:name="*Arial-Italic-7824-Identity-H">
    <w:altName w:val="Calibri"/>
    <w:panose1 w:val="00000000000000000000"/>
    <w:charset w:val="00"/>
    <w:family w:val="auto"/>
    <w:notTrueType/>
    <w:pitch w:val="default"/>
    <w:sig w:usb0="00000003" w:usb1="00000000" w:usb2="00000000" w:usb3="00000000" w:csb0="00000001" w:csb1="00000000"/>
  </w:font>
  <w:font w:name="*Microsoft Sans Serif-Bold-8221">
    <w:altName w:val="Calibri"/>
    <w:panose1 w:val="00000000000000000000"/>
    <w:charset w:val="00"/>
    <w:family w:val="auto"/>
    <w:notTrueType/>
    <w:pitch w:val="default"/>
    <w:sig w:usb0="00000003" w:usb1="00000000" w:usb2="00000000" w:usb3="00000000" w:csb0="00000001" w:csb1="00000000"/>
  </w:font>
  <w:font w:name="*Arial-8217-Identity-H">
    <w:altName w:val="Calibri"/>
    <w:panose1 w:val="00000000000000000000"/>
    <w:charset w:val="00"/>
    <w:family w:val="auto"/>
    <w:notTrueType/>
    <w:pitch w:val="default"/>
    <w:sig w:usb0="00000003" w:usb1="00000000" w:usb2="00000000" w:usb3="00000000" w:csb0="00000001" w:csb1="00000000"/>
  </w:font>
  <w:font w:name="*Arial-Italic-8218-Identity-H">
    <w:altName w:val="Calibri"/>
    <w:panose1 w:val="00000000000000000000"/>
    <w:charset w:val="00"/>
    <w:family w:val="auto"/>
    <w:notTrueType/>
    <w:pitch w:val="default"/>
    <w:sig w:usb0="00000003" w:usb1="00000000" w:usb2="00000000" w:usb3="00000000" w:csb0="00000001" w:csb1="00000000"/>
  </w:font>
  <w:font w:name="*Arial-7320-Identity-H">
    <w:altName w:val="Calibri"/>
    <w:panose1 w:val="00000000000000000000"/>
    <w:charset w:val="00"/>
    <w:family w:val="auto"/>
    <w:notTrueType/>
    <w:pitch w:val="default"/>
    <w:sig w:usb0="00000003" w:usb1="00000000" w:usb2="00000000" w:usb3="00000000" w:csb0="00000001" w:csb1="00000000"/>
  </w:font>
  <w:font w:name="*Arial-Italic-7321-Identity-H">
    <w:altName w:val="Calibri"/>
    <w:panose1 w:val="00000000000000000000"/>
    <w:charset w:val="00"/>
    <w:family w:val="auto"/>
    <w:notTrueType/>
    <w:pitch w:val="default"/>
    <w:sig w:usb0="00000003" w:usb1="00000000" w:usb2="00000000" w:usb3="00000000" w:csb0="00000001" w:csb1="00000000"/>
  </w:font>
  <w:font w:name="*Microsoft Sans Serif-Bold-7428">
    <w:altName w:val="Calibri"/>
    <w:panose1 w:val="00000000000000000000"/>
    <w:charset w:val="00"/>
    <w:family w:val="auto"/>
    <w:notTrueType/>
    <w:pitch w:val="default"/>
    <w:sig w:usb0="00000003" w:usb1="00000000" w:usb2="00000000" w:usb3="00000000" w:csb0="00000001" w:csb1="00000000"/>
  </w:font>
  <w:font w:name="*Arial-7425-Identity-H">
    <w:altName w:val="Calibri"/>
    <w:panose1 w:val="00000000000000000000"/>
    <w:charset w:val="00"/>
    <w:family w:val="auto"/>
    <w:notTrueType/>
    <w:pitch w:val="default"/>
    <w:sig w:usb0="00000003" w:usb1="00000000" w:usb2="00000000" w:usb3="00000000" w:csb0="00000001" w:csb1="00000000"/>
  </w:font>
  <w:font w:name="*Arial-Italic-7426-Identity-H">
    <w:altName w:val="Calibri"/>
    <w:panose1 w:val="00000000000000000000"/>
    <w:charset w:val="00"/>
    <w:family w:val="auto"/>
    <w:notTrueType/>
    <w:pitch w:val="default"/>
    <w:sig w:usb0="00000003" w:usb1="00000000" w:usb2="00000000" w:usb3="00000000" w:csb0="00000001" w:csb1="00000000"/>
  </w:font>
  <w:font w:name="*Calibri-Bold-6567-Identity-H">
    <w:altName w:val="Calibri"/>
    <w:panose1 w:val="00000000000000000000"/>
    <w:charset w:val="00"/>
    <w:family w:val="auto"/>
    <w:notTrueType/>
    <w:pitch w:val="default"/>
    <w:sig w:usb0="00000003" w:usb1="00000000" w:usb2="00000000" w:usb3="00000000" w:csb0="00000001" w:csb1="00000000"/>
  </w:font>
  <w:font w:name="*Arial-6568-Identity-H">
    <w:altName w:val="Calibri"/>
    <w:panose1 w:val="00000000000000000000"/>
    <w:charset w:val="00"/>
    <w:family w:val="auto"/>
    <w:notTrueType/>
    <w:pitch w:val="default"/>
    <w:sig w:usb0="00000003" w:usb1="00000000" w:usb2="00000000" w:usb3="00000000" w:csb0="00000001" w:csb1="00000000"/>
  </w:font>
  <w:font w:name="*Arial-Bold-6569-Identity-H">
    <w:altName w:val="Calibri"/>
    <w:panose1 w:val="00000000000000000000"/>
    <w:charset w:val="00"/>
    <w:family w:val="auto"/>
    <w:notTrueType/>
    <w:pitch w:val="default"/>
    <w:sig w:usb0="00000003" w:usb1="00000000" w:usb2="00000000" w:usb3="00000000" w:csb0="00000001" w:csb1="00000000"/>
  </w:font>
  <w:font w:name="*Calibri-Bold-7544-Identity-H">
    <w:altName w:val="Calibri"/>
    <w:panose1 w:val="00000000000000000000"/>
    <w:charset w:val="00"/>
    <w:family w:val="auto"/>
    <w:notTrueType/>
    <w:pitch w:val="default"/>
    <w:sig w:usb0="00000003" w:usb1="00000000" w:usb2="00000000" w:usb3="00000000" w:csb0="00000001" w:csb1="00000000"/>
  </w:font>
  <w:font w:name="*Arial-7545-Identity-H">
    <w:altName w:val="Calibri"/>
    <w:panose1 w:val="00000000000000000000"/>
    <w:charset w:val="00"/>
    <w:family w:val="auto"/>
    <w:notTrueType/>
    <w:pitch w:val="default"/>
    <w:sig w:usb0="00000003" w:usb1="00000000" w:usb2="00000000" w:usb3="00000000" w:csb0="00000001" w:csb1="00000000"/>
  </w:font>
  <w:font w:name="*Arial-Bold-7547-Identity-H">
    <w:altName w:val="Calibri"/>
    <w:panose1 w:val="00000000000000000000"/>
    <w:charset w:val="00"/>
    <w:family w:val="auto"/>
    <w:notTrueType/>
    <w:pitch w:val="default"/>
    <w:sig w:usb0="00000003" w:usb1="00000000" w:usb2="00000000" w:usb3="00000000" w:csb0="00000001" w:csb1="00000000"/>
  </w:font>
  <w:font w:name="*Arial-Bold-7546-Identity-H">
    <w:altName w:val="Calibri"/>
    <w:panose1 w:val="00000000000000000000"/>
    <w:charset w:val="00"/>
    <w:family w:val="auto"/>
    <w:notTrueType/>
    <w:pitch w:val="default"/>
    <w:sig w:usb0="00000003" w:usb1="00000000" w:usb2="00000000" w:usb3="00000000" w:csb0="00000001" w:csb1="00000000"/>
  </w:font>
  <w:font w:name="*Calibri-Bold-6791-Identity-H">
    <w:altName w:val="Calibri"/>
    <w:panose1 w:val="00000000000000000000"/>
    <w:charset w:val="00"/>
    <w:family w:val="auto"/>
    <w:notTrueType/>
    <w:pitch w:val="default"/>
    <w:sig w:usb0="00000003" w:usb1="00000000" w:usb2="00000000" w:usb3="00000000" w:csb0="00000001" w:csb1="00000000"/>
  </w:font>
  <w:font w:name="*Arial-Bold-6466-Identity-H">
    <w:altName w:val="Calibri"/>
    <w:panose1 w:val="00000000000000000000"/>
    <w:charset w:val="00"/>
    <w:family w:val="auto"/>
    <w:notTrueType/>
    <w:pitch w:val="default"/>
    <w:sig w:usb0="00000003" w:usb1="00000000" w:usb2="00000000" w:usb3="00000000" w:csb0="00000001" w:csb1="00000000"/>
  </w:font>
  <w:font w:name="*Arial-6465-Identity-H">
    <w:altName w:val="Calibri"/>
    <w:panose1 w:val="00000000000000000000"/>
    <w:charset w:val="00"/>
    <w:family w:val="auto"/>
    <w:notTrueType/>
    <w:pitch w:val="default"/>
    <w:sig w:usb0="00000003" w:usb1="00000000" w:usb2="00000000" w:usb3="00000000" w:csb0="00000001" w:csb1="00000000"/>
  </w:font>
  <w:font w:name="*Microsoft Sans Serif-Bold-6467">
    <w:altName w:val="Calibri"/>
    <w:panose1 w:val="00000000000000000000"/>
    <w:charset w:val="00"/>
    <w:family w:val="auto"/>
    <w:notTrueType/>
    <w:pitch w:val="default"/>
    <w:sig w:usb0="00000003" w:usb1="00000000" w:usb2="00000000" w:usb3="00000000" w:csb0="00000001" w:csb1="00000000"/>
  </w:font>
  <w:font w:name="*Calibri-Bold-6464-Identity-H">
    <w:altName w:val="Calibri"/>
    <w:panose1 w:val="00000000000000000000"/>
    <w:charset w:val="00"/>
    <w:family w:val="auto"/>
    <w:notTrueType/>
    <w:pitch w:val="default"/>
    <w:sig w:usb0="00000003" w:usb1="00000000" w:usb2="00000000" w:usb3="00000000" w:csb0="00000001" w:csb1="00000000"/>
  </w:font>
  <w:font w:name="*Arial-Bold-6666-Identity-H">
    <w:altName w:val="Calibri"/>
    <w:panose1 w:val="00000000000000000000"/>
    <w:charset w:val="00"/>
    <w:family w:val="auto"/>
    <w:notTrueType/>
    <w:pitch w:val="default"/>
    <w:sig w:usb0="00000003" w:usb1="00000000" w:usb2="00000000" w:usb3="00000000" w:csb0="00000001" w:csb1="00000000"/>
  </w:font>
  <w:font w:name="*Microsoft Sans Serif-Bold-6668">
    <w:altName w:val="Calibri"/>
    <w:panose1 w:val="00000000000000000000"/>
    <w:charset w:val="00"/>
    <w:family w:val="auto"/>
    <w:notTrueType/>
    <w:pitch w:val="default"/>
    <w:sig w:usb0="00000003" w:usb1="00000000" w:usb2="00000000" w:usb3="00000000" w:csb0="00000001" w:csb1="00000000"/>
  </w:font>
  <w:font w:name="*Arial-6297-Identity-H">
    <w:altName w:val="Calibri"/>
    <w:panose1 w:val="00000000000000000000"/>
    <w:charset w:val="00"/>
    <w:family w:val="auto"/>
    <w:notTrueType/>
    <w:pitch w:val="default"/>
    <w:sig w:usb0="00000003" w:usb1="00000000" w:usb2="00000000" w:usb3="00000000" w:csb0="00000001" w:csb1="00000000"/>
  </w:font>
  <w:font w:name="*Arial-6823-Identity-H">
    <w:altName w:val="Calibri"/>
    <w:panose1 w:val="00000000000000000000"/>
    <w:charset w:val="00"/>
    <w:family w:val="auto"/>
    <w:notTrueType/>
    <w:pitch w:val="default"/>
    <w:sig w:usb0="00000003" w:usb1="00000000" w:usb2="00000000" w:usb3="00000000" w:csb0="00000001" w:csb1="00000000"/>
  </w:font>
  <w:font w:name="*Arial-6822-Identity-H">
    <w:altName w:val="Calibri"/>
    <w:panose1 w:val="00000000000000000000"/>
    <w:charset w:val="00"/>
    <w:family w:val="auto"/>
    <w:notTrueType/>
    <w:pitch w:val="default"/>
    <w:sig w:usb0="00000003" w:usb1="00000000" w:usb2="00000000" w:usb3="00000000" w:csb0="00000001" w:csb1="00000000"/>
  </w:font>
  <w:font w:name="*Arial-7759-Identity-H">
    <w:altName w:val="Calibri"/>
    <w:panose1 w:val="00000000000000000000"/>
    <w:charset w:val="00"/>
    <w:family w:val="auto"/>
    <w:notTrueType/>
    <w:pitch w:val="default"/>
    <w:sig w:usb0="00000003" w:usb1="00000000" w:usb2="00000000" w:usb3="00000000" w:csb0="00000001" w:csb1="00000000"/>
  </w:font>
  <w:font w:name="*Calibri-Bold-7757-Identity-H">
    <w:altName w:val="Calibri"/>
    <w:panose1 w:val="00000000000000000000"/>
    <w:charset w:val="00"/>
    <w:family w:val="auto"/>
    <w:notTrueType/>
    <w:pitch w:val="default"/>
    <w:sig w:usb0="00000003" w:usb1="00000000" w:usb2="00000000" w:usb3="00000000" w:csb0="00000001" w:csb1="00000000"/>
  </w:font>
  <w:font w:name="*Arial-Bold-7760-Identity-H">
    <w:altName w:val="Calibri"/>
    <w:panose1 w:val="00000000000000000000"/>
    <w:charset w:val="00"/>
    <w:family w:val="auto"/>
    <w:notTrueType/>
    <w:pitch w:val="default"/>
    <w:sig w:usb0="00000003" w:usb1="00000000" w:usb2="00000000" w:usb3="00000000" w:csb0="00000001" w:csb1="00000000"/>
  </w:font>
  <w:font w:name="*Arial-7484-Identity-H">
    <w:altName w:val="Calibri"/>
    <w:panose1 w:val="00000000000000000000"/>
    <w:charset w:val="00"/>
    <w:family w:val="auto"/>
    <w:notTrueType/>
    <w:pitch w:val="default"/>
    <w:sig w:usb0="00000003" w:usb1="00000000" w:usb2="00000000" w:usb3="00000000" w:csb0="00000001" w:csb1="00000000"/>
  </w:font>
  <w:font w:name="*Arial-7189-Identity-H">
    <w:altName w:val="Calibri"/>
    <w:panose1 w:val="00000000000000000000"/>
    <w:charset w:val="00"/>
    <w:family w:val="auto"/>
    <w:notTrueType/>
    <w:pitch w:val="default"/>
    <w:sig w:usb0="00000003" w:usb1="00000000" w:usb2="00000000" w:usb3="00000000" w:csb0="00000001" w:csb1="00000000"/>
  </w:font>
  <w:font w:name="*Arial-10102-Identity-H">
    <w:altName w:val="Calibri"/>
    <w:panose1 w:val="00000000000000000000"/>
    <w:charset w:val="00"/>
    <w:family w:val="auto"/>
    <w:notTrueType/>
    <w:pitch w:val="default"/>
    <w:sig w:usb0="00000003" w:usb1="00000000" w:usb2="00000000" w:usb3="00000000" w:csb0="00000001" w:csb1="00000000"/>
  </w:font>
  <w:font w:name="*Times New Roman-Italic-10093-I">
    <w:altName w:val="Calibri"/>
    <w:panose1 w:val="00000000000000000000"/>
    <w:charset w:val="00"/>
    <w:family w:val="auto"/>
    <w:notTrueType/>
    <w:pitch w:val="default"/>
    <w:sig w:usb0="00000003" w:usb1="00000000" w:usb2="00000000" w:usb3="00000000" w:csb0="00000001" w:csb1="00000000"/>
  </w:font>
  <w:font w:name="*Arial-Italic-10100-Identity-H">
    <w:altName w:val="Calibri"/>
    <w:panose1 w:val="00000000000000000000"/>
    <w:charset w:val="00"/>
    <w:family w:val="auto"/>
    <w:notTrueType/>
    <w:pitch w:val="default"/>
    <w:sig w:usb0="00000003" w:usb1="00000000" w:usb2="00000000" w:usb3="00000000" w:csb0="00000001" w:csb1="00000000"/>
  </w:font>
  <w:font w:name="*Arial-Italic-10101-Identity-H">
    <w:altName w:val="Calibri"/>
    <w:panose1 w:val="00000000000000000000"/>
    <w:charset w:val="00"/>
    <w:family w:val="auto"/>
    <w:notTrueType/>
    <w:pitch w:val="default"/>
    <w:sig w:usb0="00000003" w:usb1="00000000" w:usb2="00000000" w:usb3="00000000" w:csb0="00000001" w:csb1="00000000"/>
  </w:font>
  <w:font w:name="*Arial-7816-Identity-H">
    <w:altName w:val="Calibri"/>
    <w:panose1 w:val="00000000000000000000"/>
    <w:charset w:val="00"/>
    <w:family w:val="auto"/>
    <w:notTrueType/>
    <w:pitch w:val="default"/>
    <w:sig w:usb0="00000003" w:usb1="00000000" w:usb2="00000000" w:usb3="00000000" w:csb0="00000001" w:csb1="00000000"/>
  </w:font>
  <w:font w:name="*Arial-Italic-7817-Identity-H">
    <w:altName w:val="Calibri"/>
    <w:panose1 w:val="00000000000000000000"/>
    <w:charset w:val="00"/>
    <w:family w:val="auto"/>
    <w:notTrueType/>
    <w:pitch w:val="default"/>
    <w:sig w:usb0="00000003" w:usb1="00000000" w:usb2="00000000" w:usb3="00000000" w:csb0="00000001" w:csb1="00000000"/>
  </w:font>
  <w:font w:name="*Arial-8192-Identity-H">
    <w:altName w:val="Calibri"/>
    <w:panose1 w:val="00000000000000000000"/>
    <w:charset w:val="00"/>
    <w:family w:val="auto"/>
    <w:notTrueType/>
    <w:pitch w:val="default"/>
    <w:sig w:usb0="00000003" w:usb1="00000000" w:usb2="00000000" w:usb3="00000000" w:csb0="00000001" w:csb1="00000000"/>
  </w:font>
  <w:font w:name="*Arial-Italic-8194-Identity-H">
    <w:altName w:val="Calibri"/>
    <w:panose1 w:val="00000000000000000000"/>
    <w:charset w:val="00"/>
    <w:family w:val="auto"/>
    <w:notTrueType/>
    <w:pitch w:val="default"/>
    <w:sig w:usb0="00000003" w:usb1="00000000" w:usb2="00000000" w:usb3="00000000" w:csb0="00000001" w:csb1="00000000"/>
  </w:font>
  <w:font w:name="*Arial-Bold-8193-Identity-H">
    <w:altName w:val="Calibri"/>
    <w:panose1 w:val="00000000000000000000"/>
    <w:charset w:val="00"/>
    <w:family w:val="auto"/>
    <w:notTrueType/>
    <w:pitch w:val="default"/>
    <w:sig w:usb0="00000003" w:usb1="00000000" w:usb2="00000000" w:usb3="00000000" w:csb0="00000001" w:csb1="00000000"/>
  </w:font>
  <w:font w:name="*Arial-Bold-5228-Identity-H">
    <w:altName w:val="Calibri"/>
    <w:panose1 w:val="00000000000000000000"/>
    <w:charset w:val="00"/>
    <w:family w:val="auto"/>
    <w:notTrueType/>
    <w:pitch w:val="default"/>
    <w:sig w:usb0="00000003" w:usb1="00000000" w:usb2="00000000" w:usb3="00000000" w:csb0="00000001" w:csb1="00000000"/>
  </w:font>
  <w:font w:name="*Arial-5227-Identity-H">
    <w:altName w:val="Calibri"/>
    <w:panose1 w:val="00000000000000000000"/>
    <w:charset w:val="00"/>
    <w:family w:val="auto"/>
    <w:notTrueType/>
    <w:pitch w:val="default"/>
    <w:sig w:usb0="00000003" w:usb1="00000000" w:usb2="00000000" w:usb3="00000000" w:csb0="00000001" w:csb1="00000000"/>
  </w:font>
  <w:font w:name="*Arial-6643-Identity-H">
    <w:altName w:val="Calibri"/>
    <w:panose1 w:val="00000000000000000000"/>
    <w:charset w:val="00"/>
    <w:family w:val="auto"/>
    <w:notTrueType/>
    <w:pitch w:val="default"/>
    <w:sig w:usb0="00000003" w:usb1="00000000" w:usb2="00000000" w:usb3="00000000" w:csb0="00000001" w:csb1="00000000"/>
  </w:font>
  <w:font w:name="*Arial-Italic-6645-Identity-H">
    <w:altName w:val="Calibri"/>
    <w:panose1 w:val="00000000000000000000"/>
    <w:charset w:val="00"/>
    <w:family w:val="auto"/>
    <w:notTrueType/>
    <w:pitch w:val="default"/>
    <w:sig w:usb0="00000003" w:usb1="00000000" w:usb2="00000000" w:usb3="00000000" w:csb0="00000001" w:csb1="00000000"/>
  </w:font>
  <w:font w:name="*Arial-Bold-6644-Identity-H">
    <w:altName w:val="Calibri"/>
    <w:panose1 w:val="00000000000000000000"/>
    <w:charset w:val="00"/>
    <w:family w:val="auto"/>
    <w:notTrueType/>
    <w:pitch w:val="default"/>
    <w:sig w:usb0="00000003" w:usb1="00000000" w:usb2="00000000" w:usb3="00000000" w:csb0="00000001" w:csb1="00000000"/>
  </w:font>
  <w:font w:name="*Arial-6356-Identity-H">
    <w:altName w:val="Calibri"/>
    <w:panose1 w:val="00000000000000000000"/>
    <w:charset w:val="00"/>
    <w:family w:val="auto"/>
    <w:notTrueType/>
    <w:pitch w:val="default"/>
    <w:sig w:usb0="00000003" w:usb1="00000000" w:usb2="00000000" w:usb3="00000000" w:csb0="00000001" w:csb1="00000000"/>
  </w:font>
  <w:font w:name="*Arial-6354-Identity-H">
    <w:altName w:val="Calibri"/>
    <w:panose1 w:val="00000000000000000000"/>
    <w:charset w:val="00"/>
    <w:family w:val="auto"/>
    <w:notTrueType/>
    <w:pitch w:val="default"/>
    <w:sig w:usb0="00000003" w:usb1="00000000" w:usb2="00000000" w:usb3="00000000" w:csb0="00000001" w:csb1="00000000"/>
  </w:font>
  <w:font w:name="*Arial-8042-Identity-H">
    <w:altName w:val="Calibri"/>
    <w:panose1 w:val="00000000000000000000"/>
    <w:charset w:val="00"/>
    <w:family w:val="auto"/>
    <w:notTrueType/>
    <w:pitch w:val="default"/>
    <w:sig w:usb0="00000003" w:usb1="00000000" w:usb2="00000000" w:usb3="00000000" w:csb0="00000001" w:csb1="00000000"/>
  </w:font>
  <w:font w:name="*Arial-Italic-8043-Identity-H">
    <w:altName w:val="Calibri"/>
    <w:panose1 w:val="00000000000000000000"/>
    <w:charset w:val="00"/>
    <w:family w:val="auto"/>
    <w:notTrueType/>
    <w:pitch w:val="default"/>
    <w:sig w:usb0="00000003" w:usb1="00000000" w:usb2="00000000" w:usb3="00000000" w:csb0="00000001" w:csb1="00000000"/>
  </w:font>
  <w:font w:name="*Arial-7923-Identity-H">
    <w:altName w:val="Calibri"/>
    <w:panose1 w:val="00000000000000000000"/>
    <w:charset w:val="00"/>
    <w:family w:val="auto"/>
    <w:notTrueType/>
    <w:pitch w:val="default"/>
    <w:sig w:usb0="00000003" w:usb1="00000000" w:usb2="00000000" w:usb3="00000000" w:csb0="00000001" w:csb1="00000000"/>
  </w:font>
  <w:font w:name="*Microsoft Sans Serif-7927-Iden">
    <w:altName w:val="Calibri"/>
    <w:panose1 w:val="00000000000000000000"/>
    <w:charset w:val="00"/>
    <w:family w:val="auto"/>
    <w:notTrueType/>
    <w:pitch w:val="default"/>
    <w:sig w:usb0="00000003" w:usb1="00000000" w:usb2="00000000" w:usb3="00000000" w:csb0="00000001" w:csb1="00000000"/>
  </w:font>
  <w:font w:name="*Arial-Italic-7924-Identity-H">
    <w:altName w:val="Calibri"/>
    <w:panose1 w:val="00000000000000000000"/>
    <w:charset w:val="00"/>
    <w:family w:val="auto"/>
    <w:notTrueType/>
    <w:pitch w:val="default"/>
    <w:sig w:usb0="00000003" w:usb1="00000000" w:usb2="00000000" w:usb3="00000000" w:csb0="00000001" w:csb1="00000000"/>
  </w:font>
  <w:font w:name="*Arial-6885-Identity-H">
    <w:altName w:val="Calibri"/>
    <w:panose1 w:val="00000000000000000000"/>
    <w:charset w:val="00"/>
    <w:family w:val="auto"/>
    <w:notTrueType/>
    <w:pitch w:val="default"/>
    <w:sig w:usb0="00000003" w:usb1="00000000" w:usb2="00000000" w:usb3="00000000" w:csb0="00000001" w:csb1="00000000"/>
  </w:font>
  <w:font w:name="*Arial-Bold-6886-Identity-H">
    <w:altName w:val="Calibri"/>
    <w:panose1 w:val="00000000000000000000"/>
    <w:charset w:val="00"/>
    <w:family w:val="auto"/>
    <w:notTrueType/>
    <w:pitch w:val="default"/>
    <w:sig w:usb0="00000003" w:usb1="00000000" w:usb2="00000000" w:usb3="00000000" w:csb0="00000001" w:csb1="00000000"/>
  </w:font>
  <w:font w:name="*Arial-7221-Identity-H">
    <w:altName w:val="Calibri"/>
    <w:panose1 w:val="00000000000000000000"/>
    <w:charset w:val="00"/>
    <w:family w:val="auto"/>
    <w:notTrueType/>
    <w:pitch w:val="default"/>
    <w:sig w:usb0="00000003" w:usb1="00000000" w:usb2="00000000" w:usb3="00000000" w:csb0="00000001" w:csb1="00000000"/>
  </w:font>
  <w:font w:name="*Arial-Bold-7222-Identity-H">
    <w:altName w:val="Calibri"/>
    <w:panose1 w:val="00000000000000000000"/>
    <w:charset w:val="00"/>
    <w:family w:val="auto"/>
    <w:notTrueType/>
    <w:pitch w:val="default"/>
    <w:sig w:usb0="00000003" w:usb1="00000000" w:usb2="00000000" w:usb3="00000000" w:csb0="00000001" w:csb1="00000000"/>
  </w:font>
  <w:font w:name="*Arial-7087-Identity-H">
    <w:altName w:val="Calibri"/>
    <w:panose1 w:val="00000000000000000000"/>
    <w:charset w:val="00"/>
    <w:family w:val="auto"/>
    <w:notTrueType/>
    <w:pitch w:val="default"/>
    <w:sig w:usb0="00000003" w:usb1="00000000" w:usb2="00000000" w:usb3="00000000" w:csb0="00000001" w:csb1="00000000"/>
  </w:font>
  <w:font w:name="*Arial-Bold-7086-Identity-H">
    <w:altName w:val="Calibri"/>
    <w:panose1 w:val="00000000000000000000"/>
    <w:charset w:val="00"/>
    <w:family w:val="auto"/>
    <w:notTrueType/>
    <w:pitch w:val="default"/>
    <w:sig w:usb0="00000003" w:usb1="00000000" w:usb2="00000000" w:usb3="00000000" w:csb0="00000001" w:csb1="00000000"/>
  </w:font>
  <w:font w:name="Lato">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08608CCC16BE48ACB753AD3BCC13F4BB"/>
      </w:placeholder>
      <w:temporary/>
      <w:showingPlcHdr/>
      <w15:appearance w15:val="hidden"/>
    </w:sdtPr>
    <w:sdtEnd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77EDCDD2">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32"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n9S+g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C5A51" w14:textId="41E21089" w:rsidR="007D2245" w:rsidRPr="002A15D3" w:rsidRDefault="007D2245" w:rsidP="00C46148">
    <w:pPr>
      <w:widowControl w:val="0"/>
      <w:autoSpaceDE w:val="0"/>
      <w:autoSpaceDN w:val="0"/>
      <w:adjustRightInd w:val="0"/>
      <w:ind w:left="-284" w:right="5436"/>
      <w:jc w:val="both"/>
      <w:rPr>
        <w:rFonts w:ascii="Maiandra GD" w:hAnsi="Maiandra GD"/>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w:t>
    </w:r>
    <w:r>
      <w:rPr>
        <w:rFonts w:ascii="Abadi" w:hAnsi="Abadi"/>
        <w:sz w:val="12"/>
        <w:szCs w:val="12"/>
      </w:rPr>
      <w:t xml:space="preserve"> </w:t>
    </w:r>
    <w:r w:rsidRPr="002A15D3">
      <w:rPr>
        <w:rFonts w:ascii="Abadi" w:hAnsi="Abadi"/>
        <w:sz w:val="12"/>
        <w:szCs w:val="12"/>
      </w:rPr>
      <w:t xml:space="preserve">los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«asuntos con que se dé cuenta, lo anterior en un plazo de veinticuatro </w:t>
    </w:r>
  </w:p>
  <w:p w14:paraId="2C53A501" w14:textId="0226794A" w:rsidR="009E4F11" w:rsidRDefault="009E4F11" w:rsidP="007D2245">
    <w:pPr>
      <w:pStyle w:val="Piedepgina"/>
      <w:ind w:right="333"/>
    </w:pPr>
    <w:r>
      <w:rPr>
        <w:noProof/>
      </w:rPr>
      <mc:AlternateContent>
        <mc:Choice Requires="wpg">
          <w:drawing>
            <wp:anchor distT="0" distB="0" distL="114300" distR="114300" simplePos="0" relativeHeight="251658245" behindDoc="0" locked="0" layoutInCell="1" allowOverlap="1" wp14:anchorId="1907B10D" wp14:editId="1A875CBE">
              <wp:simplePos x="0" y="0"/>
              <wp:positionH relativeFrom="page">
                <wp:align>right</wp:align>
              </wp:positionH>
              <wp:positionV relativeFrom="bottomMargin">
                <wp:align>center</wp:align>
              </wp:positionV>
              <wp:extent cx="6172200" cy="282575"/>
              <wp:effectExtent l="0" t="0" r="0" b="3175"/>
              <wp:wrapNone/>
              <wp:docPr id="164" name="Grupo 164"/>
              <wp:cNvGraphicFramePr/>
              <a:graphic xmlns:a="http://schemas.openxmlformats.org/drawingml/2006/main">
                <a:graphicData uri="http://schemas.microsoft.com/office/word/2010/wordprocessingGroup">
                  <wpg:wgp>
                    <wpg:cNvGrpSpPr/>
                    <wpg:grpSpPr>
                      <a:xfrm>
                        <a:off x="0" y="0"/>
                        <a:ext cx="6172200" cy="282575"/>
                        <a:chOff x="0" y="0"/>
                        <a:chExt cx="6172200" cy="282575"/>
                      </a:xfrm>
                    </wpg:grpSpPr>
                    <wps:wsp>
                      <wps:cNvPr id="165" name="Rectángulo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Cuadro de texto 166"/>
                      <wps:cNvSpPr txBox="1"/>
                      <wps:spPr>
                        <a:xfrm>
                          <a:off x="0" y="9525"/>
                          <a:ext cx="59436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DD58E" w14:textId="78693992" w:rsidR="009E4F11" w:rsidRDefault="009E4F11">
                            <w:pPr>
                              <w:pStyle w:val="Piedepgina"/>
                              <w:jc w:val="right"/>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1907B10D" id="Grupo 164" o:spid="_x0000_s1034" style="position:absolute;margin-left:434.8pt;margin-top:0;width:486pt;height:22.25pt;z-index:251658246;mso-position-horizontal:right;mso-position-horizontal-relative:page;mso-position-vertical:center;mso-position-vertical-relative:bottom-margin-area" coordsize="61722,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">
              <v:rect id="Rectángulo 165" o:spid="_x0000_s1035"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Cuadro de texto 166" o:spid="_x0000_s1036" type="#_x0000_t202" style="position:absolute;top:95;width:59436;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" filled="f" stroked="f" strokeweight=".5pt">
                <v:textbox style="mso-fit-shape-to-text:t" inset="0,,0">
                  <w:txbxContent>
                    <w:p w14:paraId="1FEDD58E" w14:textId="78693992" w:rsidR="009E4F11" w:rsidRDefault="009E4F11">
                      <w:pPr>
                        <w:pStyle w:val="Piedepgina"/>
                        <w:jc w:val="right"/>
                      </w:pPr>
                    </w:p>
                  </w:txbxContent>
                </v:textbox>
              </v:shape>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E955EB" w14:textId="77777777" w:rsidR="005336EA" w:rsidRDefault="005336EA">
      <w:r>
        <w:separator/>
      </w:r>
    </w:p>
  </w:footnote>
  <w:footnote w:type="continuationSeparator" w:id="0">
    <w:p w14:paraId="2CE2A6E1" w14:textId="77777777" w:rsidR="005336EA" w:rsidRDefault="005336EA">
      <w:r>
        <w:continuationSeparator/>
      </w:r>
    </w:p>
  </w:footnote>
  <w:footnote w:type="continuationNotice" w:id="1">
    <w:p w14:paraId="4C98362B" w14:textId="77777777" w:rsidR="005336EA" w:rsidRDefault="005336EA"/>
  </w:footnote>
  <w:footnote w:id="2">
    <w:p w14:paraId="6FCE59BA" w14:textId="32F64095" w:rsidR="00D36B8F" w:rsidRPr="00D36B8F" w:rsidRDefault="00D36B8F">
      <w:pPr>
        <w:pStyle w:val="Textonotapie"/>
        <w:rPr>
          <w:rFonts w:ascii="Abadi" w:hAnsi="Abadi"/>
          <w:sz w:val="12"/>
          <w:szCs w:val="12"/>
        </w:rPr>
      </w:pPr>
      <w:r>
        <w:rPr>
          <w:rStyle w:val="Refdenotaalpie"/>
        </w:rPr>
        <w:footnoteRef/>
      </w:r>
      <w:r>
        <w:t xml:space="preserve"> </w:t>
      </w:r>
      <w:r w:rsidRPr="00D36B8F">
        <w:rPr>
          <w:rFonts w:ascii="Abadi" w:hAnsi="Abadi"/>
          <w:sz w:val="12"/>
          <w:szCs w:val="12"/>
        </w:rPr>
        <w:t>https://congresogto.s3.amazonaws.com/uploads/orden_archivo/archivo/24979/02_Acta_nu_mero_29_sesio_n_ordinaria_del_12_mayo_2022.pdf</w:t>
      </w:r>
    </w:p>
  </w:footnote>
  <w:footnote w:id="3">
    <w:p w14:paraId="25017352" w14:textId="67FF66EB" w:rsidR="00D36B8F" w:rsidRPr="00D36B8F" w:rsidRDefault="00D36B8F">
      <w:pPr>
        <w:pStyle w:val="Textonotapie"/>
        <w:rPr>
          <w:rFonts w:ascii="Abadi" w:hAnsi="Abadi"/>
          <w:sz w:val="12"/>
          <w:szCs w:val="12"/>
        </w:rPr>
      </w:pPr>
      <w:r>
        <w:rPr>
          <w:rStyle w:val="Refdenotaalpie"/>
        </w:rPr>
        <w:footnoteRef/>
      </w:r>
      <w:r>
        <w:t xml:space="preserve"> </w:t>
      </w:r>
      <w:hyperlink r:id="rId1" w:history="1">
        <w:r w:rsidRPr="00D36B8F">
          <w:rPr>
            <w:rStyle w:val="Hipervnculo"/>
            <w:rFonts w:ascii="Abadi" w:hAnsi="Abadi"/>
            <w:sz w:val="12"/>
            <w:szCs w:val="12"/>
          </w:rPr>
          <w:t>https://congresogto.s3.amazonaws.com/uploads/orden_archivo/archivo/24980/03_Extracto__19__mayo_2022_versio_n_3.pdf</w:t>
        </w:r>
      </w:hyperlink>
    </w:p>
    <w:p w14:paraId="5BABEF47" w14:textId="77777777" w:rsidR="00D36B8F" w:rsidRDefault="00D36B8F">
      <w:pPr>
        <w:pStyle w:val="Textonotapie"/>
      </w:pPr>
    </w:p>
  </w:footnote>
  <w:footnote w:id="4">
    <w:p w14:paraId="58E2F8DB" w14:textId="5FE203C3" w:rsidR="00C32904" w:rsidRPr="00C32904" w:rsidRDefault="00C32904">
      <w:pPr>
        <w:pStyle w:val="Textonotapie"/>
        <w:rPr>
          <w:rFonts w:ascii="Abadi" w:hAnsi="Abadi"/>
          <w:sz w:val="12"/>
          <w:szCs w:val="12"/>
        </w:rPr>
      </w:pPr>
      <w:r>
        <w:rPr>
          <w:rStyle w:val="Refdenotaalpie"/>
        </w:rPr>
        <w:footnoteRef/>
      </w:r>
      <w:r>
        <w:t xml:space="preserve"> </w:t>
      </w:r>
      <w:r w:rsidRPr="00C32904">
        <w:rPr>
          <w:rFonts w:ascii="Abadi" w:hAnsi="Abadi"/>
          <w:sz w:val="12"/>
          <w:szCs w:val="12"/>
        </w:rPr>
        <w:t>https://congresogto.s3.amazonaws.com/uploads/orden_archivo/archivo/24981/04_Oficio_Terna_OIC_IACIP.pdf</w:t>
      </w:r>
    </w:p>
  </w:footnote>
  <w:footnote w:id="5">
    <w:p w14:paraId="29A98128" w14:textId="390FB425" w:rsidR="003F1AB5" w:rsidRPr="00BB36BD" w:rsidRDefault="003F1AB5" w:rsidP="00BB36BD">
      <w:pPr>
        <w:pStyle w:val="Textonotapie"/>
        <w:rPr>
          <w:rFonts w:ascii="Abadi" w:hAnsi="Abadi"/>
          <w:sz w:val="12"/>
          <w:szCs w:val="12"/>
        </w:rPr>
      </w:pPr>
      <w:r>
        <w:rPr>
          <w:rStyle w:val="Refdenotaalpie"/>
        </w:rPr>
        <w:footnoteRef/>
      </w:r>
      <w:r>
        <w:t xml:space="preserve"> </w:t>
      </w:r>
      <w:r w:rsidR="00BB36BD" w:rsidRPr="00BB36BD">
        <w:rPr>
          <w:rFonts w:ascii="Abadi" w:hAnsi="Abadi"/>
          <w:sz w:val="12"/>
          <w:szCs w:val="12"/>
        </w:rPr>
        <w:t>Secretariado Ejecutivo del Sistema Nacional de Seguridad Pública y la Secretaria de seguridad y Protección Ciudadana, “Información sobre violencia contra las mujeres”.  Fecha de consulta: 15 de mayo de 2022</w:t>
      </w:r>
      <w:r w:rsidR="00BB36BD">
        <w:rPr>
          <w:rFonts w:ascii="Abadi" w:hAnsi="Abadi"/>
          <w:sz w:val="12"/>
          <w:szCs w:val="12"/>
        </w:rPr>
        <w:t xml:space="preserve"> </w:t>
      </w:r>
      <w:r w:rsidR="00BB36BD" w:rsidRPr="00BB36BD">
        <w:rPr>
          <w:rFonts w:ascii="Abadi" w:hAnsi="Abadi"/>
          <w:sz w:val="12"/>
          <w:szCs w:val="12"/>
        </w:rPr>
        <w:t>en</w:t>
      </w:r>
      <w:r w:rsidR="00BB36BD">
        <w:rPr>
          <w:rFonts w:ascii="Abadi" w:hAnsi="Abadi"/>
          <w:sz w:val="12"/>
          <w:szCs w:val="12"/>
        </w:rPr>
        <w:t xml:space="preserve"> </w:t>
      </w:r>
      <w:r w:rsidR="00BB36BD" w:rsidRPr="00BB36BD">
        <w:rPr>
          <w:rFonts w:ascii="Abadi" w:hAnsi="Abadi"/>
          <w:sz w:val="12"/>
          <w:szCs w:val="12"/>
        </w:rPr>
        <w:t>https://drive.google.com/file/d/1wTFCGwemy37XQCMbOzDMP0xjcBjqnKla/view</w:t>
      </w:r>
    </w:p>
  </w:footnote>
  <w:footnote w:id="6">
    <w:p w14:paraId="5F2E6B5F" w14:textId="689EEA2B" w:rsidR="00A95F52" w:rsidRDefault="00A95F52">
      <w:pPr>
        <w:pStyle w:val="Textonotapie"/>
        <w:rPr>
          <w:rFonts w:ascii="Abadi" w:hAnsi="Abadi"/>
          <w:sz w:val="12"/>
          <w:szCs w:val="12"/>
        </w:rPr>
      </w:pPr>
      <w:r w:rsidRPr="00A95F52">
        <w:rPr>
          <w:rStyle w:val="Refdenotaalpie"/>
          <w:rFonts w:ascii="Abadi" w:hAnsi="Abadi"/>
          <w:sz w:val="12"/>
          <w:szCs w:val="12"/>
        </w:rPr>
        <w:footnoteRef/>
      </w:r>
      <w:r w:rsidRPr="00A95F52">
        <w:rPr>
          <w:rFonts w:ascii="Abadi" w:hAnsi="Abadi"/>
          <w:sz w:val="12"/>
          <w:szCs w:val="12"/>
        </w:rPr>
        <w:t xml:space="preserve"> Diario Oficial de la Federación, 18 de marzo de 2021.</w:t>
      </w:r>
    </w:p>
    <w:p w14:paraId="338A660A" w14:textId="77777777" w:rsidR="00A95F52" w:rsidRPr="00A95F52" w:rsidRDefault="00A95F52">
      <w:pPr>
        <w:pStyle w:val="Textonotapie"/>
        <w:rPr>
          <w:rFonts w:ascii="Abadi" w:hAnsi="Abadi"/>
          <w:sz w:val="12"/>
          <w:szCs w:val="12"/>
        </w:rPr>
      </w:pPr>
    </w:p>
  </w:footnote>
  <w:footnote w:id="7">
    <w:p w14:paraId="4AC0C4EB" w14:textId="3A44FB4F" w:rsidR="00A95F52" w:rsidRPr="00A95F52" w:rsidRDefault="00A95F52" w:rsidP="00A95F52">
      <w:pPr>
        <w:pStyle w:val="Textonotapie"/>
        <w:jc w:val="both"/>
        <w:rPr>
          <w:rFonts w:ascii="Abadi" w:hAnsi="Abadi"/>
          <w:sz w:val="12"/>
          <w:szCs w:val="12"/>
        </w:rPr>
      </w:pPr>
      <w:r>
        <w:rPr>
          <w:rStyle w:val="Refdenotaalpie"/>
        </w:rPr>
        <w:footnoteRef/>
      </w:r>
      <w:r>
        <w:t xml:space="preserve"> </w:t>
      </w:r>
      <w:r w:rsidRPr="00A95F52">
        <w:rPr>
          <w:rFonts w:ascii="Abadi" w:hAnsi="Abadi"/>
          <w:sz w:val="12"/>
          <w:szCs w:val="12"/>
        </w:rPr>
        <w:t>Información disponible en: https://banavim.segob.gob.mx/Banavim/Informacion_Publica/Informacion_Publica.aspx Fecha de consulta: 13 de mayo de 2022.</w:t>
      </w:r>
    </w:p>
  </w:footnote>
  <w:footnote w:id="8">
    <w:p w14:paraId="51AB763C" w14:textId="2EE0B5A3" w:rsidR="00A95F52" w:rsidRPr="00A95F52" w:rsidRDefault="00A95F52" w:rsidP="00A95F52">
      <w:pPr>
        <w:pStyle w:val="Textonotapie"/>
        <w:jc w:val="both"/>
        <w:rPr>
          <w:rFonts w:ascii="Abadi" w:hAnsi="Abadi"/>
          <w:sz w:val="12"/>
          <w:szCs w:val="12"/>
        </w:rPr>
      </w:pPr>
      <w:r>
        <w:rPr>
          <w:rStyle w:val="Refdenotaalpie"/>
        </w:rPr>
        <w:footnoteRef/>
      </w:r>
      <w:r>
        <w:t xml:space="preserve"> </w:t>
      </w:r>
      <w:r w:rsidRPr="00A95F52">
        <w:rPr>
          <w:rFonts w:ascii="Abadi" w:hAnsi="Abadi"/>
          <w:sz w:val="12"/>
          <w:szCs w:val="12"/>
        </w:rPr>
        <w:t>Comisión Nacional de Derechos Humanos, 2020 “Rutas para que las mujeres accedan a las órdenes de protección”</w:t>
      </w:r>
    </w:p>
  </w:footnote>
  <w:footnote w:id="9">
    <w:p w14:paraId="5CF9D307" w14:textId="4C077436" w:rsidR="00A95F52" w:rsidRPr="00A95F52" w:rsidRDefault="00A95F52" w:rsidP="00A95F52">
      <w:pPr>
        <w:pStyle w:val="Textonotapie"/>
        <w:jc w:val="both"/>
        <w:rPr>
          <w:rFonts w:ascii="Abadi" w:hAnsi="Abadi"/>
          <w:sz w:val="12"/>
          <w:szCs w:val="12"/>
        </w:rPr>
      </w:pPr>
      <w:r>
        <w:rPr>
          <w:rStyle w:val="Refdenotaalpie"/>
        </w:rPr>
        <w:footnoteRef/>
      </w:r>
      <w:r>
        <w:t xml:space="preserve"> </w:t>
      </w:r>
      <w:r w:rsidRPr="00A95F52">
        <w:rPr>
          <w:rFonts w:ascii="Abadi" w:hAnsi="Abadi"/>
          <w:sz w:val="12"/>
          <w:szCs w:val="12"/>
        </w:rPr>
        <w:t>Comisión Nacional de Derechos Humanos, Las órdenes de protección y el derecho de las mujeres a una vida libre de violencia 202, pág: 139</w:t>
      </w:r>
    </w:p>
  </w:footnote>
  <w:footnote w:id="10">
    <w:p w14:paraId="0DECDF77" w14:textId="20E0BC20" w:rsidR="00BC7F30" w:rsidRDefault="00BC7F30">
      <w:pPr>
        <w:pStyle w:val="Textonotapie"/>
      </w:pPr>
      <w:r w:rsidRPr="00BC7F30">
        <w:rPr>
          <w:rFonts w:ascii="Abadi" w:hAnsi="Abadi"/>
          <w:sz w:val="12"/>
          <w:szCs w:val="12"/>
        </w:rPr>
        <w:footnoteRef/>
      </w:r>
      <w:r>
        <w:t xml:space="preserve"> </w:t>
      </w:r>
      <w:r w:rsidR="00020F9C" w:rsidRPr="00020F9C">
        <w:rPr>
          <w:rFonts w:ascii="Abadi" w:hAnsi="Abadi"/>
          <w:sz w:val="12"/>
          <w:szCs w:val="12"/>
        </w:rPr>
        <w:t>Instituto Nacional de Estadística y Geografía, 2016.</w:t>
      </w:r>
    </w:p>
  </w:footnote>
  <w:footnote w:id="11">
    <w:p w14:paraId="3D929C1C" w14:textId="25DA8F19" w:rsidR="00BC7F30" w:rsidRPr="00BC7F30" w:rsidRDefault="00BC7F30" w:rsidP="00BC7F30">
      <w:pPr>
        <w:pStyle w:val="Textonotapie"/>
        <w:jc w:val="both"/>
        <w:rPr>
          <w:rFonts w:ascii="Abadi" w:hAnsi="Abadi"/>
          <w:sz w:val="12"/>
          <w:szCs w:val="12"/>
        </w:rPr>
      </w:pPr>
      <w:r w:rsidRPr="00BC7F30">
        <w:rPr>
          <w:rFonts w:ascii="Abadi" w:hAnsi="Abadi"/>
          <w:sz w:val="12"/>
          <w:szCs w:val="12"/>
        </w:rPr>
        <w:footnoteRef/>
      </w:r>
      <w:r w:rsidRPr="00BC7F30">
        <w:rPr>
          <w:rFonts w:ascii="Abadi" w:hAnsi="Abadi"/>
          <w:sz w:val="12"/>
          <w:szCs w:val="12"/>
        </w:rPr>
        <w:t xml:space="preserve"> Convención sobre la Eliminación de todas las formas de Discriminación contra la Mujer, 2018 “Observaciones finales sobre el noveno informe periódico de México” Pág: 5.</w:t>
      </w:r>
    </w:p>
  </w:footnote>
  <w:footnote w:id="12">
    <w:p w14:paraId="6B9374A0" w14:textId="6A16709A" w:rsidR="00BC7F30" w:rsidRPr="00BC7F30" w:rsidRDefault="00BC7F30">
      <w:pPr>
        <w:pStyle w:val="Textonotapie"/>
        <w:rPr>
          <w:rFonts w:ascii="Abadi" w:hAnsi="Abadi"/>
          <w:sz w:val="12"/>
          <w:szCs w:val="12"/>
        </w:rPr>
      </w:pPr>
      <w:r w:rsidRPr="00BC7F30">
        <w:rPr>
          <w:rStyle w:val="Refdenotaalpie"/>
          <w:rFonts w:ascii="Abadi" w:hAnsi="Abadi"/>
          <w:sz w:val="12"/>
          <w:szCs w:val="12"/>
        </w:rPr>
        <w:footnoteRef/>
      </w:r>
      <w:r w:rsidRPr="00BC7F30">
        <w:rPr>
          <w:rFonts w:ascii="Abadi" w:hAnsi="Abadi"/>
          <w:sz w:val="12"/>
          <w:szCs w:val="12"/>
        </w:rPr>
        <w:t xml:space="preserve"> Comisión Nacional de Derechos Humanos, Las órdenes de protección y el derecho de las mujeres a una vida libre de violencia 2021, pág: 55.</w:t>
      </w:r>
    </w:p>
  </w:footnote>
  <w:footnote w:id="13">
    <w:p w14:paraId="5AD98C61" w14:textId="415FCE42" w:rsidR="00BC7F30" w:rsidRPr="00BC7F30" w:rsidRDefault="00BC7F30">
      <w:pPr>
        <w:pStyle w:val="Textonotapie"/>
        <w:rPr>
          <w:rFonts w:ascii="Abadi" w:hAnsi="Abadi"/>
          <w:sz w:val="12"/>
          <w:szCs w:val="12"/>
        </w:rPr>
      </w:pPr>
      <w:r w:rsidRPr="00BC7F30">
        <w:rPr>
          <w:rFonts w:ascii="Abadi" w:hAnsi="Abadi"/>
          <w:sz w:val="12"/>
          <w:szCs w:val="12"/>
        </w:rPr>
        <w:footnoteRef/>
      </w:r>
      <w:r w:rsidRPr="00BC7F30">
        <w:rPr>
          <w:rFonts w:ascii="Abadi" w:hAnsi="Abadi"/>
          <w:sz w:val="12"/>
          <w:szCs w:val="12"/>
        </w:rPr>
        <w:t xml:space="preserve">  Ibídem, pág: 36</w:t>
      </w:r>
    </w:p>
  </w:footnote>
  <w:footnote w:id="14">
    <w:p w14:paraId="26E350EF" w14:textId="09E966E2" w:rsidR="00BC7F30" w:rsidRPr="00BC7F30" w:rsidRDefault="00BC7F30">
      <w:pPr>
        <w:pStyle w:val="Textonotapie"/>
        <w:rPr>
          <w:rFonts w:ascii="Abadi" w:hAnsi="Abadi"/>
          <w:sz w:val="12"/>
          <w:szCs w:val="12"/>
        </w:rPr>
      </w:pPr>
      <w:r>
        <w:rPr>
          <w:rStyle w:val="Refdenotaalpie"/>
        </w:rPr>
        <w:footnoteRef/>
      </w:r>
      <w:r>
        <w:t xml:space="preserve"> </w:t>
      </w:r>
      <w:r w:rsidRPr="00BC7F30">
        <w:rPr>
          <w:rFonts w:ascii="Abadi" w:hAnsi="Abadi"/>
          <w:sz w:val="12"/>
          <w:szCs w:val="12"/>
        </w:rPr>
        <w:t>Artículo 1° de la Constitución Política del estado de Guanajuato</w:t>
      </w:r>
    </w:p>
  </w:footnote>
  <w:footnote w:id="15">
    <w:p w14:paraId="746D76DD" w14:textId="7DE19044" w:rsidR="004E3B17" w:rsidRDefault="004E3B17">
      <w:pPr>
        <w:pStyle w:val="Textonotapie"/>
        <w:rPr>
          <w:rFonts w:ascii="Abadi" w:hAnsi="Abadi"/>
          <w:sz w:val="12"/>
          <w:szCs w:val="12"/>
        </w:rPr>
      </w:pPr>
      <w:r>
        <w:rPr>
          <w:rStyle w:val="Refdenotaalpie"/>
        </w:rPr>
        <w:footnoteRef/>
      </w:r>
      <w:r>
        <w:t xml:space="preserve"> </w:t>
      </w:r>
      <w:r w:rsidRPr="004E3B17">
        <w:rPr>
          <w:rFonts w:ascii="Abadi" w:hAnsi="Abadi"/>
          <w:sz w:val="12"/>
          <w:szCs w:val="12"/>
        </w:rPr>
        <w:t>OMS (2022). Constitución de la Organización Mundial de la Salud. Consultada en:</w:t>
      </w:r>
    </w:p>
    <w:p w14:paraId="7C9369C6" w14:textId="77777777" w:rsidR="004E3B17" w:rsidRPr="004E3B17" w:rsidRDefault="004E3B17" w:rsidP="004E3B17">
      <w:pPr>
        <w:pStyle w:val="Textonotapie"/>
        <w:rPr>
          <w:rFonts w:ascii="Abadi" w:hAnsi="Abadi"/>
          <w:sz w:val="12"/>
          <w:szCs w:val="12"/>
        </w:rPr>
      </w:pPr>
      <w:r w:rsidRPr="004E3B17">
        <w:rPr>
          <w:rFonts w:ascii="Abadi" w:hAnsi="Abadi"/>
          <w:sz w:val="12"/>
          <w:szCs w:val="12"/>
        </w:rPr>
        <w:t>https://www.who.int/es/about/governance/constitution#:~:text=La%20salud%20es%20un%20estado,o%20condici%C3%B3n%20</w:t>
      </w:r>
    </w:p>
    <w:p w14:paraId="6215A59C" w14:textId="7912E34B" w:rsidR="004E3B17" w:rsidRDefault="004E3B17" w:rsidP="004E3B17">
      <w:pPr>
        <w:pStyle w:val="Textonotapie"/>
      </w:pPr>
      <w:r w:rsidRPr="004E3B17">
        <w:rPr>
          <w:rFonts w:ascii="Abadi" w:hAnsi="Abadi"/>
          <w:sz w:val="12"/>
          <w:szCs w:val="12"/>
        </w:rPr>
        <w:t>econ%C3%B3mica%20o%20social</w:t>
      </w:r>
      <w:r>
        <w:t>.</w:t>
      </w:r>
    </w:p>
  </w:footnote>
  <w:footnote w:id="16">
    <w:p w14:paraId="62F37D16" w14:textId="0443C549" w:rsidR="00707C2E" w:rsidRPr="00707C2E" w:rsidRDefault="005C4B9B" w:rsidP="00707C2E">
      <w:pPr>
        <w:pStyle w:val="Textoindependiente"/>
        <w:kinsoku w:val="0"/>
        <w:overflowPunct w:val="0"/>
        <w:ind w:left="40"/>
        <w:rPr>
          <w:rFonts w:ascii="Abadi" w:hAnsi="Abadi" w:cs="Arial Narrow"/>
          <w:sz w:val="12"/>
          <w:szCs w:val="12"/>
          <w:lang w:val="es-MX" w:eastAsia="es-MX"/>
        </w:rPr>
      </w:pPr>
      <w:r>
        <w:rPr>
          <w:rStyle w:val="Refdenotaalpie"/>
        </w:rPr>
        <w:footnoteRef/>
      </w:r>
      <w:r>
        <w:t xml:space="preserve"> </w:t>
      </w:r>
      <w:r w:rsidR="00707C2E" w:rsidRPr="00707C2E">
        <w:rPr>
          <w:rFonts w:ascii="Abadi" w:hAnsi="Abadi" w:cs="Arial Narrow"/>
          <w:color w:val="000000"/>
          <w:sz w:val="12"/>
          <w:szCs w:val="12"/>
          <w:lang w:val="es-MX" w:eastAsia="es-MX"/>
        </w:rPr>
        <w:t>CNDH (2022). Derecho a la salud. Consultado en:</w:t>
      </w:r>
    </w:p>
    <w:p w14:paraId="513AAFC0" w14:textId="32129786" w:rsidR="005B2A94" w:rsidRPr="005B2A94" w:rsidRDefault="00707C2E" w:rsidP="00707C2E">
      <w:pPr>
        <w:kinsoku w:val="0"/>
        <w:overflowPunct w:val="0"/>
        <w:autoSpaceDE w:val="0"/>
        <w:autoSpaceDN w:val="0"/>
        <w:adjustRightInd w:val="0"/>
        <w:spacing w:line="227" w:lineRule="exact"/>
        <w:ind w:left="39"/>
        <w:rPr>
          <w:rFonts w:ascii="Abadi" w:hAnsi="Abadi" w:cs="Arial Narrow"/>
          <w:color w:val="000000"/>
          <w:sz w:val="12"/>
          <w:szCs w:val="12"/>
          <w:lang w:val="es-MX" w:eastAsia="es-MX"/>
        </w:rPr>
      </w:pPr>
      <w:r w:rsidRPr="00707C2E">
        <w:rPr>
          <w:rFonts w:ascii="Abadi" w:hAnsi="Abadi" w:cs="Arial Narrow"/>
          <w:color w:val="000000"/>
          <w:sz w:val="12"/>
          <w:szCs w:val="12"/>
          <w:lang w:val="es-MX" w:eastAsia="es-MX"/>
        </w:rPr>
        <w:t>https://www.cndh.org.mx/derechos-humanos/derecho-la-salud-0</w:t>
      </w:r>
    </w:p>
    <w:p w14:paraId="2897F779" w14:textId="5375318A" w:rsidR="005C4B9B" w:rsidRPr="00570502" w:rsidRDefault="005C4B9B">
      <w:pPr>
        <w:pStyle w:val="Textonotapie"/>
        <w:rPr>
          <w:rFonts w:ascii="Abadi" w:hAnsi="Abadi"/>
          <w:sz w:val="12"/>
          <w:szCs w:val="12"/>
        </w:rPr>
      </w:pPr>
    </w:p>
  </w:footnote>
  <w:footnote w:id="17">
    <w:p w14:paraId="70C4ACFA" w14:textId="77777777" w:rsidR="00C2187A" w:rsidRPr="00C2187A" w:rsidRDefault="005B2A94" w:rsidP="00C2187A">
      <w:pPr>
        <w:pStyle w:val="Textonotapie"/>
        <w:rPr>
          <w:rFonts w:ascii="Abadi" w:hAnsi="Abadi"/>
          <w:sz w:val="12"/>
          <w:szCs w:val="12"/>
        </w:rPr>
      </w:pPr>
      <w:r w:rsidRPr="00570502">
        <w:rPr>
          <w:rStyle w:val="Refdenotaalpie"/>
          <w:rFonts w:ascii="Abadi" w:hAnsi="Abadi"/>
          <w:sz w:val="12"/>
          <w:szCs w:val="12"/>
        </w:rPr>
        <w:footnoteRef/>
      </w:r>
      <w:r w:rsidRPr="00570502">
        <w:rPr>
          <w:rFonts w:ascii="Abadi" w:hAnsi="Abadi"/>
          <w:sz w:val="12"/>
          <w:szCs w:val="12"/>
        </w:rPr>
        <w:t xml:space="preserve"> </w:t>
      </w:r>
      <w:r w:rsidR="00C2187A" w:rsidRPr="00C2187A">
        <w:rPr>
          <w:rFonts w:ascii="Abadi" w:hAnsi="Abadi"/>
          <w:sz w:val="12"/>
          <w:szCs w:val="12"/>
        </w:rPr>
        <w:t>OPS y OMS (2022). Iniciativa Global para el Cáncer Infantil. Consultada en:</w:t>
      </w:r>
    </w:p>
    <w:p w14:paraId="61989100" w14:textId="442CD48C" w:rsidR="005B2A94" w:rsidRPr="00570502" w:rsidRDefault="00C2187A" w:rsidP="00C2187A">
      <w:pPr>
        <w:pStyle w:val="Textonotapie"/>
        <w:rPr>
          <w:rFonts w:ascii="Abadi" w:hAnsi="Abadi"/>
          <w:sz w:val="12"/>
          <w:szCs w:val="12"/>
        </w:rPr>
      </w:pPr>
      <w:r w:rsidRPr="00C2187A">
        <w:rPr>
          <w:rFonts w:ascii="Abadi" w:hAnsi="Abadi"/>
          <w:sz w:val="12"/>
          <w:szCs w:val="12"/>
        </w:rPr>
        <w:t>https://iris.paho.org/bitstream/handle/10665.2/53921/OPSNMHMH210006_spa.pdf?sequence=1&amp;isAllowed=y</w:t>
      </w:r>
    </w:p>
  </w:footnote>
  <w:footnote w:id="18">
    <w:p w14:paraId="1387B44E" w14:textId="5DCE58E3" w:rsidR="00C2187A" w:rsidRDefault="00570502" w:rsidP="00C2187A">
      <w:pPr>
        <w:pStyle w:val="Textonotapie"/>
        <w:rPr>
          <w:rFonts w:ascii="Abadi" w:hAnsi="Abadi"/>
          <w:sz w:val="12"/>
          <w:szCs w:val="12"/>
        </w:rPr>
      </w:pPr>
      <w:r>
        <w:rPr>
          <w:rStyle w:val="Refdenotaalpie"/>
        </w:rPr>
        <w:footnoteRef/>
      </w:r>
      <w:r>
        <w:t xml:space="preserve"> </w:t>
      </w:r>
      <w:r w:rsidR="00C2187A" w:rsidRPr="00C2187A">
        <w:rPr>
          <w:rFonts w:ascii="Abadi" w:hAnsi="Abadi"/>
          <w:sz w:val="12"/>
          <w:szCs w:val="12"/>
        </w:rPr>
        <w:t>AMANC (2022). Acompañamiento integral a niñas, niños y adolescentes con cáncer. Consultado en:</w:t>
      </w:r>
    </w:p>
    <w:p w14:paraId="65287BE6" w14:textId="2EB01FEC" w:rsidR="00161176" w:rsidRPr="00347A2E" w:rsidRDefault="00161176" w:rsidP="00C2187A">
      <w:pPr>
        <w:pStyle w:val="Textonotapie"/>
        <w:rPr>
          <w:rFonts w:ascii="Abadi" w:hAnsi="Abadi"/>
          <w:sz w:val="12"/>
          <w:szCs w:val="12"/>
        </w:rPr>
      </w:pPr>
      <w:r w:rsidRPr="00161176">
        <w:rPr>
          <w:rFonts w:ascii="Abadi" w:hAnsi="Abadi"/>
          <w:sz w:val="12"/>
          <w:szCs w:val="12"/>
        </w:rPr>
        <w:t>https://www.amanc.org/#:~:text=Cada%2090%20minutos%20se%20registra,se%20detectan%20en%20etapas%20avanzadas</w:t>
      </w:r>
    </w:p>
    <w:p w14:paraId="073F5F79" w14:textId="14110BAA" w:rsidR="00570502" w:rsidRPr="00347A2E" w:rsidRDefault="00570502" w:rsidP="00347A2E">
      <w:pPr>
        <w:pStyle w:val="Textonotapie"/>
        <w:rPr>
          <w:rFonts w:ascii="Abadi" w:hAnsi="Abadi"/>
          <w:sz w:val="12"/>
          <w:szCs w:val="12"/>
        </w:rPr>
      </w:pPr>
    </w:p>
  </w:footnote>
  <w:footnote w:id="19">
    <w:p w14:paraId="05DEC64B" w14:textId="77777777" w:rsidR="0017430E" w:rsidRPr="0017430E" w:rsidRDefault="007169B5" w:rsidP="0017430E">
      <w:pPr>
        <w:pStyle w:val="Textonotapie"/>
        <w:rPr>
          <w:rFonts w:ascii="Abadi" w:hAnsi="Abadi"/>
          <w:sz w:val="12"/>
          <w:szCs w:val="12"/>
        </w:rPr>
      </w:pPr>
      <w:r>
        <w:rPr>
          <w:rStyle w:val="Refdenotaalpie"/>
        </w:rPr>
        <w:footnoteRef/>
      </w:r>
      <w:r>
        <w:t xml:space="preserve"> </w:t>
      </w:r>
      <w:r w:rsidR="0017430E" w:rsidRPr="0017430E">
        <w:rPr>
          <w:rFonts w:ascii="Abadi" w:hAnsi="Abadi"/>
          <w:sz w:val="12"/>
          <w:szCs w:val="12"/>
        </w:rPr>
        <w:t>https://www.eleconomista.corn.mx/politica/Mexico-es-un-calvario-de-los-defensores-del-medioambiente-</w:t>
      </w:r>
    </w:p>
    <w:p w14:paraId="3858C6A2" w14:textId="4E69EBAF" w:rsidR="007169B5" w:rsidRDefault="0017430E" w:rsidP="0017430E">
      <w:pPr>
        <w:pStyle w:val="Textonotapie"/>
      </w:pPr>
      <w:r w:rsidRPr="0017430E">
        <w:rPr>
          <w:rFonts w:ascii="Abadi" w:hAnsi="Abadi"/>
          <w:sz w:val="12"/>
          <w:szCs w:val="12"/>
        </w:rPr>
        <w:t>20220511-0015.html.</w:t>
      </w:r>
    </w:p>
  </w:footnote>
  <w:footnote w:id="20">
    <w:p w14:paraId="690C1B99" w14:textId="1A23E63F" w:rsidR="0017430E" w:rsidRDefault="0017430E">
      <w:pPr>
        <w:pStyle w:val="Textonotapie"/>
      </w:pPr>
      <w:r>
        <w:rPr>
          <w:rStyle w:val="Refdenotaalpie"/>
        </w:rPr>
        <w:footnoteRef/>
      </w:r>
      <w:r>
        <w:t xml:space="preserve"> </w:t>
      </w:r>
      <w:r w:rsidR="005F55FD" w:rsidRPr="005F55FD">
        <w:rPr>
          <w:rFonts w:ascii="Abadi" w:hAnsi="Abadi"/>
          <w:sz w:val="12"/>
          <w:szCs w:val="12"/>
        </w:rPr>
        <w:t>https://www.milenio.comlpoliticalamlo-critica-campana-actores-ambientalistas-tren-maya.</w:t>
      </w:r>
    </w:p>
  </w:footnote>
  <w:footnote w:id="21">
    <w:p w14:paraId="02F18BAB" w14:textId="77777777" w:rsidR="00520626" w:rsidRPr="00520626" w:rsidRDefault="005F55FD" w:rsidP="00520626">
      <w:pPr>
        <w:pStyle w:val="Textonotapie"/>
        <w:rPr>
          <w:rFonts w:ascii="Abadi" w:hAnsi="Abadi"/>
          <w:sz w:val="12"/>
          <w:szCs w:val="12"/>
        </w:rPr>
      </w:pPr>
      <w:r>
        <w:rPr>
          <w:rStyle w:val="Refdenotaalpie"/>
        </w:rPr>
        <w:footnoteRef/>
      </w:r>
      <w:r>
        <w:t xml:space="preserve"> </w:t>
      </w:r>
      <w:r w:rsidR="00520626" w:rsidRPr="00520626">
        <w:rPr>
          <w:rFonts w:ascii="Abadi" w:hAnsi="Abadi"/>
          <w:sz w:val="12"/>
          <w:szCs w:val="12"/>
        </w:rPr>
        <w:t>https:l/www.elsoldemexico.eom.mx/mexico/sociedad/semarnat-tacha-de-pseudoambientalistas-aquienes-</w:t>
      </w:r>
    </w:p>
    <w:p w14:paraId="2A9E33A6" w14:textId="0787DC6B" w:rsidR="005F55FD" w:rsidRDefault="00520626" w:rsidP="00520626">
      <w:pPr>
        <w:pStyle w:val="Textonotapie"/>
      </w:pPr>
      <w:r w:rsidRPr="00520626">
        <w:rPr>
          <w:rFonts w:ascii="Abadi" w:hAnsi="Abadi"/>
          <w:sz w:val="12"/>
          <w:szCs w:val="12"/>
        </w:rPr>
        <w:t>se-oponen-al-tren-maya-8045371.html.</w:t>
      </w:r>
    </w:p>
  </w:footnote>
  <w:footnote w:id="22">
    <w:p w14:paraId="16A4B1B3" w14:textId="77777777" w:rsidR="008F40ED" w:rsidRPr="008F40ED" w:rsidRDefault="008F40ED" w:rsidP="008F40ED">
      <w:pPr>
        <w:pStyle w:val="Textonotapie"/>
        <w:rPr>
          <w:rFonts w:ascii="Abadi" w:hAnsi="Abadi"/>
          <w:sz w:val="12"/>
          <w:szCs w:val="12"/>
        </w:rPr>
      </w:pPr>
      <w:r>
        <w:rPr>
          <w:rStyle w:val="Refdenotaalpie"/>
        </w:rPr>
        <w:footnoteRef/>
      </w:r>
      <w:r>
        <w:t xml:space="preserve"> </w:t>
      </w:r>
      <w:r w:rsidRPr="008F40ED">
        <w:rPr>
          <w:rFonts w:ascii="Abadi" w:hAnsi="Abadi"/>
          <w:sz w:val="12"/>
          <w:szCs w:val="12"/>
        </w:rPr>
        <w:t>https://www.forbes.com.mxlgreenpeace-suma-44-mil-firmas-para-exigir-estudios-ambienta/es-deltren-</w:t>
      </w:r>
    </w:p>
    <w:p w14:paraId="3F7542BC" w14:textId="4741DC6B" w:rsidR="008F40ED" w:rsidRDefault="008F40ED" w:rsidP="008F40ED">
      <w:pPr>
        <w:pStyle w:val="Textonotapie"/>
      </w:pPr>
      <w:r w:rsidRPr="008F40ED">
        <w:rPr>
          <w:rFonts w:ascii="Abadi" w:hAnsi="Abadi"/>
          <w:sz w:val="12"/>
          <w:szCs w:val="12"/>
        </w:rPr>
        <w:t>mayal.</w:t>
      </w:r>
    </w:p>
  </w:footnote>
  <w:footnote w:id="23">
    <w:p w14:paraId="3CDEBD22" w14:textId="77777777" w:rsidR="00FA5A3C" w:rsidRPr="00B205C6" w:rsidRDefault="001F77BE" w:rsidP="00FA5A3C">
      <w:pPr>
        <w:pStyle w:val="Textonotapie"/>
        <w:rPr>
          <w:rFonts w:ascii="Abadi" w:hAnsi="Abadi"/>
          <w:sz w:val="12"/>
          <w:szCs w:val="12"/>
        </w:rPr>
      </w:pPr>
      <w:r>
        <w:rPr>
          <w:rStyle w:val="Refdenotaalpie"/>
        </w:rPr>
        <w:footnoteRef/>
      </w:r>
      <w:r>
        <w:t xml:space="preserve"> </w:t>
      </w:r>
      <w:r w:rsidR="00FA5A3C" w:rsidRPr="00B205C6">
        <w:rPr>
          <w:rFonts w:ascii="Abadi" w:hAnsi="Abadi"/>
          <w:sz w:val="12"/>
          <w:szCs w:val="12"/>
        </w:rPr>
        <w:t>Sobre este problema ver por favor el esclarecedor artículo de Lorusso, Fabrizio (2021). Una</w:t>
      </w:r>
    </w:p>
    <w:p w14:paraId="480AA010" w14:textId="77777777" w:rsidR="00FA5A3C" w:rsidRPr="00B205C6" w:rsidRDefault="00FA5A3C" w:rsidP="00FA5A3C">
      <w:pPr>
        <w:pStyle w:val="Textonotapie"/>
        <w:rPr>
          <w:rFonts w:ascii="Abadi" w:hAnsi="Abadi"/>
          <w:sz w:val="12"/>
          <w:szCs w:val="12"/>
        </w:rPr>
      </w:pPr>
      <w:r w:rsidRPr="00B205C6">
        <w:rPr>
          <w:rFonts w:ascii="Abadi" w:hAnsi="Abadi"/>
          <w:sz w:val="12"/>
          <w:szCs w:val="12"/>
        </w:rPr>
        <w:t>discusión sobre el concepto de fosa clandestina y el contexto mexicano: el caso de Guanajuato.</w:t>
      </w:r>
    </w:p>
    <w:p w14:paraId="678CE96A" w14:textId="5AAB5011" w:rsidR="001F77BE" w:rsidRDefault="00FA5A3C" w:rsidP="00FA5A3C">
      <w:pPr>
        <w:pStyle w:val="Textonotapie"/>
      </w:pPr>
      <w:r w:rsidRPr="00B205C6">
        <w:rPr>
          <w:rFonts w:ascii="Abadi" w:hAnsi="Abadi"/>
          <w:sz w:val="12"/>
          <w:szCs w:val="12"/>
        </w:rPr>
        <w:t>Revista Historiografía. Núm. 56 (2021): La fisura y la ausencia. Ibero Cd. De México – Conacyt.</w:t>
      </w:r>
    </w:p>
  </w:footnote>
  <w:footnote w:id="24">
    <w:p w14:paraId="7F0DC407" w14:textId="77777777" w:rsidR="00002DE5" w:rsidRPr="00002DE5" w:rsidRDefault="00C91349" w:rsidP="00002DE5">
      <w:pPr>
        <w:pStyle w:val="Textonotapie"/>
        <w:rPr>
          <w:rFonts w:ascii="Abadi" w:hAnsi="Abadi"/>
          <w:sz w:val="12"/>
          <w:szCs w:val="12"/>
        </w:rPr>
      </w:pPr>
      <w:r>
        <w:rPr>
          <w:rStyle w:val="Refdenotaalpie"/>
        </w:rPr>
        <w:footnoteRef/>
      </w:r>
      <w:r>
        <w:t xml:space="preserve"> </w:t>
      </w:r>
      <w:r w:rsidR="00002DE5" w:rsidRPr="00002DE5">
        <w:rPr>
          <w:rFonts w:ascii="Abadi" w:hAnsi="Abadi"/>
          <w:sz w:val="12"/>
          <w:szCs w:val="12"/>
        </w:rPr>
        <w:t>Informe sobre la situación de fosas clandestinas en el estado de Guanajuato (enero de 2009 a</w:t>
      </w:r>
    </w:p>
    <w:p w14:paraId="0A00E5D2" w14:textId="4E2645C4" w:rsidR="00C91349" w:rsidRDefault="00002DE5" w:rsidP="00002DE5">
      <w:pPr>
        <w:pStyle w:val="Textonotapie"/>
      </w:pPr>
      <w:r w:rsidRPr="00002DE5">
        <w:rPr>
          <w:rFonts w:ascii="Abadi" w:hAnsi="Abadi"/>
          <w:sz w:val="12"/>
          <w:szCs w:val="12"/>
        </w:rPr>
        <w:t>julio de 2020). https://fosas-guanajuato.datacivica.org/</w:t>
      </w:r>
    </w:p>
  </w:footnote>
  <w:footnote w:id="25">
    <w:p w14:paraId="294F5705" w14:textId="0880DBB1" w:rsidR="00002DE5" w:rsidRDefault="00002DE5">
      <w:pPr>
        <w:pStyle w:val="Textonotapie"/>
      </w:pPr>
      <w:r>
        <w:rPr>
          <w:rStyle w:val="Refdenotaalpie"/>
        </w:rPr>
        <w:footnoteRef/>
      </w:r>
      <w:r>
        <w:t xml:space="preserve"> </w:t>
      </w:r>
      <w:r w:rsidR="00D572B0" w:rsidRPr="00D572B0">
        <w:rPr>
          <w:rFonts w:ascii="Abadi" w:hAnsi="Abadi"/>
          <w:sz w:val="12"/>
          <w:szCs w:val="12"/>
        </w:rPr>
        <w:t>Similar respuesta se había dado el 11 de febrero de 2019, en respuesta a la solicitud 35477.</w:t>
      </w:r>
    </w:p>
  </w:footnote>
  <w:footnote w:id="26">
    <w:p w14:paraId="153A342D" w14:textId="576B799C" w:rsidR="00D572B0" w:rsidRDefault="00D572B0">
      <w:pPr>
        <w:pStyle w:val="Textonotapie"/>
      </w:pPr>
      <w:r>
        <w:rPr>
          <w:rStyle w:val="Refdenotaalpie"/>
        </w:rPr>
        <w:footnoteRef/>
      </w:r>
      <w:r>
        <w:t xml:space="preserve"> </w:t>
      </w:r>
      <w:r w:rsidR="00754BA7" w:rsidRPr="00754BA7">
        <w:rPr>
          <w:rFonts w:ascii="Abadi" w:hAnsi="Abadi"/>
          <w:sz w:val="12"/>
          <w:szCs w:val="12"/>
        </w:rPr>
        <w:t>Análisis completo en la organización Poplab.</w:t>
      </w:r>
    </w:p>
  </w:footnote>
  <w:footnote w:id="27">
    <w:p w14:paraId="4AB7528A" w14:textId="77777777" w:rsidR="00013A20" w:rsidRPr="00013A20" w:rsidRDefault="00754BA7" w:rsidP="00013A20">
      <w:pPr>
        <w:pStyle w:val="Textonotapie"/>
        <w:rPr>
          <w:rFonts w:ascii="Abadi" w:hAnsi="Abadi"/>
          <w:sz w:val="12"/>
          <w:szCs w:val="12"/>
        </w:rPr>
      </w:pPr>
      <w:r>
        <w:rPr>
          <w:rStyle w:val="Refdenotaalpie"/>
        </w:rPr>
        <w:footnoteRef/>
      </w:r>
      <w:r>
        <w:t xml:space="preserve"> </w:t>
      </w:r>
      <w:r w:rsidR="00013A20" w:rsidRPr="00013A20">
        <w:rPr>
          <w:rFonts w:ascii="Abadi" w:hAnsi="Abadi"/>
          <w:sz w:val="12"/>
          <w:szCs w:val="12"/>
        </w:rPr>
        <w:t>http://portal.fgeguanajuato.gob.mx/PortalWebEstatal/PersonasDesaparecidas/Hallazgos/in</w:t>
      </w:r>
    </w:p>
    <w:p w14:paraId="185FD53D" w14:textId="75E65411" w:rsidR="00754BA7" w:rsidRDefault="00013A20" w:rsidP="00013A20">
      <w:pPr>
        <w:pStyle w:val="Textonotapie"/>
      </w:pPr>
      <w:r w:rsidRPr="00013A20">
        <w:rPr>
          <w:rFonts w:ascii="Abadi" w:hAnsi="Abadi"/>
          <w:sz w:val="12"/>
          <w:szCs w:val="12"/>
        </w:rPr>
        <w:t>dex.aspx</w:t>
      </w:r>
    </w:p>
  </w:footnote>
  <w:footnote w:id="28">
    <w:p w14:paraId="303835A9" w14:textId="40E8CE56" w:rsidR="00C748F2" w:rsidRDefault="00C748F2">
      <w:pPr>
        <w:pStyle w:val="Textonotapie"/>
      </w:pPr>
      <w:r>
        <w:rPr>
          <w:rStyle w:val="Refdenotaalpie"/>
        </w:rPr>
        <w:footnoteRef/>
      </w:r>
      <w:r>
        <w:t xml:space="preserve"> </w:t>
      </w:r>
      <w:r w:rsidR="00D93F75" w:rsidRPr="00A35BC9">
        <w:rPr>
          <w:rFonts w:ascii="Abadi" w:hAnsi="Abadi" w:cs="*Calibri-9187-Identity-H"/>
          <w:color w:val="285C92"/>
          <w:sz w:val="12"/>
          <w:szCs w:val="12"/>
          <w:lang w:eastAsia="es-MX"/>
        </w:rPr>
        <w:t xml:space="preserve">https </w:t>
      </w:r>
      <w:r w:rsidR="00D93F75" w:rsidRPr="00A35BC9">
        <w:rPr>
          <w:rFonts w:ascii="Abadi" w:hAnsi="Abadi" w:cs="*Calibri-9187-Identity-H"/>
          <w:color w:val="313151"/>
          <w:sz w:val="12"/>
          <w:szCs w:val="12"/>
          <w:lang w:eastAsia="es-MX"/>
        </w:rPr>
        <w:t>:</w:t>
      </w:r>
      <w:r w:rsidR="00D93F75" w:rsidRPr="00A35BC9">
        <w:rPr>
          <w:rFonts w:ascii="Abadi" w:hAnsi="Abadi" w:cs="*Calibri-9187-Identity-H"/>
          <w:color w:val="285C92"/>
          <w:sz w:val="12"/>
          <w:szCs w:val="12"/>
          <w:lang w:eastAsia="es-MX"/>
        </w:rPr>
        <w:t>//www</w:t>
      </w:r>
      <w:r w:rsidR="00D93F75" w:rsidRPr="00A35BC9">
        <w:rPr>
          <w:rFonts w:ascii="Abadi" w:hAnsi="Abadi" w:cs="*Calibri-9187-Identity-H"/>
          <w:color w:val="313151"/>
          <w:sz w:val="12"/>
          <w:szCs w:val="12"/>
          <w:lang w:eastAsia="es-MX"/>
        </w:rPr>
        <w:t>.</w:t>
      </w:r>
      <w:r w:rsidR="00D93F75" w:rsidRPr="00A35BC9">
        <w:rPr>
          <w:rFonts w:ascii="Abadi" w:hAnsi="Abadi" w:cs="*Calibri-9187-Identity-H"/>
          <w:color w:val="285C92"/>
          <w:sz w:val="12"/>
          <w:szCs w:val="12"/>
          <w:lang w:eastAsia="es-MX"/>
        </w:rPr>
        <w:t>gob</w:t>
      </w:r>
      <w:r w:rsidR="00D93F75" w:rsidRPr="00A35BC9">
        <w:rPr>
          <w:rFonts w:ascii="Abadi" w:hAnsi="Abadi" w:cs="*Calibri-9187-Identity-H"/>
          <w:color w:val="313151"/>
          <w:sz w:val="12"/>
          <w:szCs w:val="12"/>
          <w:lang w:eastAsia="es-MX"/>
        </w:rPr>
        <w:t>.</w:t>
      </w:r>
      <w:r w:rsidR="00D93F75" w:rsidRPr="00A35BC9">
        <w:rPr>
          <w:rFonts w:ascii="Abadi" w:hAnsi="Abadi" w:cs="*Calibri-9187-Identity-H"/>
          <w:color w:val="285C92"/>
          <w:sz w:val="12"/>
          <w:szCs w:val="12"/>
          <w:lang w:eastAsia="es-MX"/>
        </w:rPr>
        <w:t>mx/s</w:t>
      </w:r>
      <w:r w:rsidR="00D93F75" w:rsidRPr="00A35BC9">
        <w:rPr>
          <w:rFonts w:ascii="Abadi" w:hAnsi="Abadi" w:cs="*Calibri-9187-Identity-H"/>
          <w:color w:val="2970A2"/>
          <w:sz w:val="12"/>
          <w:szCs w:val="12"/>
          <w:lang w:eastAsia="es-MX"/>
        </w:rPr>
        <w:t>e</w:t>
      </w:r>
      <w:r w:rsidR="00D93F75" w:rsidRPr="00A35BC9">
        <w:rPr>
          <w:rFonts w:ascii="Abadi" w:hAnsi="Abadi" w:cs="*Calibri-9187-Identity-H"/>
          <w:color w:val="285C92"/>
          <w:sz w:val="12"/>
          <w:szCs w:val="12"/>
          <w:lang w:eastAsia="es-MX"/>
        </w:rPr>
        <w:t>snsp/acc</w:t>
      </w:r>
      <w:r w:rsidR="00D93F75" w:rsidRPr="00A35BC9">
        <w:rPr>
          <w:rFonts w:ascii="Abadi" w:hAnsi="Abadi" w:cs="*Calibri-9187-Identity-H"/>
          <w:color w:val="294981"/>
          <w:sz w:val="12"/>
          <w:szCs w:val="12"/>
          <w:lang w:eastAsia="es-MX"/>
        </w:rPr>
        <w:t>i</w:t>
      </w:r>
      <w:r w:rsidR="00D93F75" w:rsidRPr="00A35BC9">
        <w:rPr>
          <w:rFonts w:ascii="Abadi" w:hAnsi="Abadi" w:cs="*Calibri-9187-Identity-H"/>
          <w:color w:val="285C92"/>
          <w:sz w:val="12"/>
          <w:szCs w:val="12"/>
          <w:lang w:eastAsia="es-MX"/>
        </w:rPr>
        <w:t>ones-y</w:t>
      </w:r>
      <w:r w:rsidR="00A35BC9" w:rsidRPr="00A35BC9">
        <w:rPr>
          <w:rFonts w:ascii="Abadi" w:hAnsi="Abadi" w:cs="*Calibri-9187-Identity-H"/>
          <w:color w:val="306881"/>
          <w:sz w:val="12"/>
          <w:szCs w:val="12"/>
          <w:lang w:eastAsia="es-MX"/>
        </w:rPr>
        <w:t>-</w:t>
      </w:r>
      <w:r w:rsidR="00D93F75" w:rsidRPr="00A35BC9">
        <w:rPr>
          <w:rFonts w:ascii="Abadi" w:hAnsi="Abadi" w:cs="*Calibri-9187-Identity-H"/>
          <w:color w:val="285C92"/>
          <w:sz w:val="12"/>
          <w:szCs w:val="12"/>
          <w:lang w:eastAsia="es-MX"/>
        </w:rPr>
        <w:t>programas/victim</w:t>
      </w:r>
      <w:r w:rsidR="00D93F75" w:rsidRPr="00A35BC9">
        <w:rPr>
          <w:rFonts w:ascii="Abadi" w:hAnsi="Abadi" w:cs="*Calibri-9187-Identity-H"/>
          <w:color w:val="2970A2"/>
          <w:sz w:val="12"/>
          <w:szCs w:val="12"/>
          <w:lang w:eastAsia="es-MX"/>
        </w:rPr>
        <w:t>a</w:t>
      </w:r>
      <w:r w:rsidR="00D93F75" w:rsidRPr="00A35BC9">
        <w:rPr>
          <w:rFonts w:ascii="Abadi" w:hAnsi="Abadi" w:cs="*Calibri-9187-Identity-H"/>
          <w:color w:val="285C92"/>
          <w:sz w:val="12"/>
          <w:szCs w:val="12"/>
          <w:lang w:eastAsia="es-MX"/>
        </w:rPr>
        <w:t>s</w:t>
      </w:r>
      <w:r w:rsidR="00D93F75" w:rsidRPr="00A35BC9">
        <w:rPr>
          <w:rFonts w:ascii="Abadi" w:hAnsi="Abadi" w:cs="*Calibri-9187-Identity-H"/>
          <w:color w:val="294981"/>
          <w:sz w:val="12"/>
          <w:szCs w:val="12"/>
          <w:lang w:eastAsia="es-MX"/>
        </w:rPr>
        <w:t>-</w:t>
      </w:r>
      <w:r w:rsidR="00D93F75" w:rsidRPr="00A35BC9">
        <w:rPr>
          <w:rFonts w:ascii="Abadi" w:hAnsi="Abadi" w:cs="*Calibri-9187-Identity-H"/>
          <w:color w:val="285C92"/>
          <w:sz w:val="12"/>
          <w:szCs w:val="12"/>
          <w:lang w:eastAsia="es-MX"/>
        </w:rPr>
        <w:t>nueva-metodologia ?s</w:t>
      </w:r>
      <w:r w:rsidR="00D93F75" w:rsidRPr="00A35BC9">
        <w:rPr>
          <w:rFonts w:ascii="Abadi" w:hAnsi="Abadi" w:cs="*Calibri-9187-Identity-H"/>
          <w:color w:val="2970A2"/>
          <w:sz w:val="12"/>
          <w:szCs w:val="12"/>
          <w:lang w:eastAsia="es-MX"/>
        </w:rPr>
        <w:t>ta</w:t>
      </w:r>
      <w:r w:rsidR="00D93F75" w:rsidRPr="00A35BC9">
        <w:rPr>
          <w:rFonts w:ascii="Abadi" w:hAnsi="Abadi" w:cs="*Calibri-9187-Identity-H"/>
          <w:color w:val="285C92"/>
          <w:sz w:val="12"/>
          <w:szCs w:val="12"/>
          <w:lang w:eastAsia="es-MX"/>
        </w:rPr>
        <w:t>te</w:t>
      </w:r>
      <w:r w:rsidR="00A35BC9" w:rsidRPr="00A35BC9">
        <w:rPr>
          <w:rFonts w:ascii="Abadi" w:hAnsi="Abadi" w:cs="*Calibri-9187-Identity-H"/>
          <w:color w:val="294981"/>
          <w:sz w:val="12"/>
          <w:szCs w:val="12"/>
          <w:lang w:eastAsia="es-MX"/>
        </w:rPr>
        <w:t>=</w:t>
      </w:r>
      <w:r w:rsidR="00D93F75" w:rsidRPr="00A35BC9">
        <w:rPr>
          <w:rFonts w:ascii="Abadi" w:hAnsi="Abadi" w:cs="*Calibri-9187-Identity-H"/>
          <w:color w:val="285C92"/>
          <w:sz w:val="12"/>
          <w:szCs w:val="12"/>
          <w:lang w:eastAsia="es-MX"/>
        </w:rPr>
        <w:t>p</w:t>
      </w:r>
      <w:r w:rsidR="00D93F75" w:rsidRPr="00A35BC9">
        <w:rPr>
          <w:rFonts w:ascii="Abadi" w:hAnsi="Abadi" w:cs="*Calibri-9187-Identity-H"/>
          <w:color w:val="2970A2"/>
          <w:sz w:val="12"/>
          <w:szCs w:val="12"/>
          <w:lang w:eastAsia="es-MX"/>
        </w:rPr>
        <w:t>u</w:t>
      </w:r>
      <w:r w:rsidR="00D93F75" w:rsidRPr="00A35BC9">
        <w:rPr>
          <w:rFonts w:ascii="Abadi" w:hAnsi="Abadi" w:cs="*Calibri-9187-Identity-H"/>
          <w:color w:val="285C92"/>
          <w:sz w:val="12"/>
          <w:szCs w:val="12"/>
          <w:lang w:eastAsia="es-MX"/>
        </w:rPr>
        <w:t>bI</w:t>
      </w:r>
      <w:r w:rsidR="00D93F75" w:rsidRPr="00A35BC9">
        <w:rPr>
          <w:rFonts w:ascii="Abadi" w:hAnsi="Abadi" w:cs="*Calibri-9187-Identity-H"/>
          <w:color w:val="3858A5"/>
          <w:sz w:val="12"/>
          <w:szCs w:val="12"/>
          <w:lang w:eastAsia="es-MX"/>
        </w:rPr>
        <w:t>i</w:t>
      </w:r>
      <w:r w:rsidR="00D93F75" w:rsidRPr="00A35BC9">
        <w:rPr>
          <w:rFonts w:ascii="Abadi" w:hAnsi="Abadi" w:cs="*Calibri-9187-Identity-H"/>
          <w:color w:val="285C92"/>
          <w:sz w:val="12"/>
          <w:szCs w:val="12"/>
          <w:lang w:eastAsia="es-MX"/>
        </w:rPr>
        <w:t>shed</w:t>
      </w:r>
    </w:p>
  </w:footnote>
  <w:footnote w:id="29">
    <w:p w14:paraId="671C4DF9" w14:textId="26F677F8" w:rsidR="00D93F75" w:rsidRDefault="00D93F75">
      <w:pPr>
        <w:pStyle w:val="Textonotapie"/>
      </w:pPr>
      <w:r>
        <w:rPr>
          <w:rStyle w:val="Refdenotaalpie"/>
        </w:rPr>
        <w:footnoteRef/>
      </w:r>
      <w:r>
        <w:t xml:space="preserve"> </w:t>
      </w:r>
      <w:r w:rsidR="0000419F" w:rsidRPr="00D33BD7">
        <w:rPr>
          <w:rFonts w:ascii="Abadi" w:hAnsi="Abadi" w:cs="*Calibri-9187-Identity-H"/>
          <w:color w:val="245E90"/>
          <w:sz w:val="12"/>
          <w:szCs w:val="12"/>
          <w:lang w:eastAsia="es-MX"/>
        </w:rPr>
        <w:t xml:space="preserve">https </w:t>
      </w:r>
      <w:r w:rsidR="0000419F" w:rsidRPr="00D33BD7">
        <w:rPr>
          <w:rFonts w:ascii="Abadi" w:hAnsi="Abadi" w:cs="*Calibri-9187-Identity-H"/>
          <w:color w:val="1D3866"/>
          <w:sz w:val="12"/>
          <w:szCs w:val="12"/>
          <w:lang w:eastAsia="es-MX"/>
        </w:rPr>
        <w:t>:</w:t>
      </w:r>
      <w:r w:rsidR="0000419F" w:rsidRPr="00D33BD7">
        <w:rPr>
          <w:rFonts w:ascii="Abadi" w:hAnsi="Abadi" w:cs="*Calibri-9187-Identity-H"/>
          <w:color w:val="23497F"/>
          <w:sz w:val="12"/>
          <w:szCs w:val="12"/>
          <w:lang w:eastAsia="es-MX"/>
        </w:rPr>
        <w:t>//</w:t>
      </w:r>
      <w:r w:rsidR="0000419F" w:rsidRPr="00D33BD7">
        <w:rPr>
          <w:rFonts w:ascii="Abadi" w:hAnsi="Abadi" w:cs="*Calibri-9187-Identity-H"/>
          <w:color w:val="245E90"/>
          <w:sz w:val="12"/>
          <w:szCs w:val="12"/>
          <w:lang w:eastAsia="es-MX"/>
        </w:rPr>
        <w:t>p</w:t>
      </w:r>
      <w:r w:rsidR="0000419F" w:rsidRPr="00D33BD7">
        <w:rPr>
          <w:rFonts w:ascii="Abadi" w:hAnsi="Abadi" w:cs="*Calibri-9187-Identity-H"/>
          <w:color w:val="23497F"/>
          <w:sz w:val="12"/>
          <w:szCs w:val="12"/>
          <w:lang w:eastAsia="es-MX"/>
        </w:rPr>
        <w:t>o</w:t>
      </w:r>
      <w:r w:rsidR="0000419F" w:rsidRPr="00D33BD7">
        <w:rPr>
          <w:rFonts w:ascii="Abadi" w:hAnsi="Abadi" w:cs="*Calibri-9187-Identity-H"/>
          <w:color w:val="234998"/>
          <w:sz w:val="12"/>
          <w:szCs w:val="12"/>
          <w:lang w:eastAsia="es-MX"/>
        </w:rPr>
        <w:t>I</w:t>
      </w:r>
      <w:r w:rsidR="0000419F" w:rsidRPr="00D33BD7">
        <w:rPr>
          <w:rFonts w:ascii="Abadi" w:hAnsi="Abadi" w:cs="*Calibri-9187-Identity-H"/>
          <w:color w:val="23497F"/>
          <w:sz w:val="12"/>
          <w:szCs w:val="12"/>
          <w:lang w:eastAsia="es-MX"/>
        </w:rPr>
        <w:t>i</w:t>
      </w:r>
      <w:r w:rsidR="0000419F" w:rsidRPr="00D33BD7">
        <w:rPr>
          <w:rFonts w:ascii="Abadi" w:hAnsi="Abadi" w:cs="*Calibri-9187-Identity-H"/>
          <w:color w:val="245E90"/>
          <w:sz w:val="12"/>
          <w:szCs w:val="12"/>
          <w:lang w:eastAsia="es-MX"/>
        </w:rPr>
        <w:t>t</w:t>
      </w:r>
      <w:r w:rsidR="0000419F" w:rsidRPr="00D33BD7">
        <w:rPr>
          <w:rFonts w:ascii="Abadi" w:hAnsi="Abadi" w:cs="*Calibri-9187-Identity-H"/>
          <w:color w:val="1D3866"/>
          <w:sz w:val="12"/>
          <w:szCs w:val="12"/>
          <w:lang w:eastAsia="es-MX"/>
        </w:rPr>
        <w:t>i</w:t>
      </w:r>
      <w:r w:rsidR="0000419F" w:rsidRPr="00D33BD7">
        <w:rPr>
          <w:rFonts w:ascii="Abadi" w:hAnsi="Abadi" w:cs="*Calibri-9187-Identity-H"/>
          <w:color w:val="23497F"/>
          <w:sz w:val="12"/>
          <w:szCs w:val="12"/>
          <w:lang w:eastAsia="es-MX"/>
        </w:rPr>
        <w:t>c</w:t>
      </w:r>
      <w:r w:rsidR="0000419F" w:rsidRPr="00D33BD7">
        <w:rPr>
          <w:rFonts w:ascii="Abadi" w:hAnsi="Abadi" w:cs="*Calibri-9187-Identity-H"/>
          <w:color w:val="245E90"/>
          <w:sz w:val="12"/>
          <w:szCs w:val="12"/>
          <w:lang w:eastAsia="es-MX"/>
        </w:rPr>
        <w:t>a</w:t>
      </w:r>
      <w:r w:rsidR="0000419F" w:rsidRPr="00D33BD7">
        <w:rPr>
          <w:rFonts w:ascii="Abadi" w:hAnsi="Abadi" w:cs="*Calibri-9187-Identity-H"/>
          <w:color w:val="1D3866"/>
          <w:sz w:val="12"/>
          <w:szCs w:val="12"/>
          <w:lang w:eastAsia="es-MX"/>
        </w:rPr>
        <w:t>.</w:t>
      </w:r>
      <w:r w:rsidR="0000419F" w:rsidRPr="00D33BD7">
        <w:rPr>
          <w:rFonts w:ascii="Abadi" w:hAnsi="Abadi" w:cs="*Calibri-9187-Identity-H"/>
          <w:color w:val="245E90"/>
          <w:sz w:val="12"/>
          <w:szCs w:val="12"/>
          <w:lang w:eastAsia="es-MX"/>
        </w:rPr>
        <w:t>expans</w:t>
      </w:r>
      <w:r w:rsidR="0000419F" w:rsidRPr="00D33BD7">
        <w:rPr>
          <w:rFonts w:ascii="Abadi" w:hAnsi="Abadi" w:cs="*Calibri-9187-Identity-H"/>
          <w:color w:val="23497F"/>
          <w:sz w:val="12"/>
          <w:szCs w:val="12"/>
          <w:lang w:eastAsia="es-MX"/>
        </w:rPr>
        <w:t>i</w:t>
      </w:r>
      <w:r w:rsidR="0000419F" w:rsidRPr="00D33BD7">
        <w:rPr>
          <w:rFonts w:ascii="Abadi" w:hAnsi="Abadi" w:cs="*Calibri-9187-Identity-H"/>
          <w:color w:val="245E90"/>
          <w:sz w:val="12"/>
          <w:szCs w:val="12"/>
          <w:lang w:eastAsia="es-MX"/>
        </w:rPr>
        <w:t>on</w:t>
      </w:r>
      <w:r w:rsidR="0000419F" w:rsidRPr="00D33BD7">
        <w:rPr>
          <w:rFonts w:ascii="Abadi" w:hAnsi="Abadi" w:cs="*Calibri-9187-Identity-H"/>
          <w:color w:val="302C4C"/>
          <w:sz w:val="12"/>
          <w:szCs w:val="12"/>
          <w:lang w:eastAsia="es-MX"/>
        </w:rPr>
        <w:t>.</w:t>
      </w:r>
      <w:r w:rsidR="0000419F" w:rsidRPr="00D33BD7">
        <w:rPr>
          <w:rFonts w:ascii="Abadi" w:hAnsi="Abadi" w:cs="*Calibri-9187-Identity-H"/>
          <w:color w:val="245E90"/>
          <w:sz w:val="12"/>
          <w:szCs w:val="12"/>
          <w:lang w:eastAsia="es-MX"/>
        </w:rPr>
        <w:t>mx/m</w:t>
      </w:r>
      <w:r w:rsidR="0000419F" w:rsidRPr="00D33BD7">
        <w:rPr>
          <w:rFonts w:ascii="Abadi" w:hAnsi="Abadi" w:cs="*Calibri-9187-Identity-H"/>
          <w:color w:val="2A6CA1"/>
          <w:sz w:val="12"/>
          <w:szCs w:val="12"/>
          <w:lang w:eastAsia="es-MX"/>
        </w:rPr>
        <w:t>e</w:t>
      </w:r>
      <w:r w:rsidR="0000419F" w:rsidRPr="00D33BD7">
        <w:rPr>
          <w:rFonts w:ascii="Abadi" w:hAnsi="Abadi" w:cs="*Calibri-9187-Identity-H"/>
          <w:color w:val="245E90"/>
          <w:sz w:val="12"/>
          <w:szCs w:val="12"/>
          <w:lang w:eastAsia="es-MX"/>
        </w:rPr>
        <w:t>xico</w:t>
      </w:r>
      <w:r w:rsidR="0000419F" w:rsidRPr="00D33BD7">
        <w:rPr>
          <w:rFonts w:ascii="Abadi" w:hAnsi="Abadi" w:cs="*Calibri-9187-Identity-H"/>
          <w:color w:val="23497F"/>
          <w:sz w:val="12"/>
          <w:szCs w:val="12"/>
          <w:lang w:eastAsia="es-MX"/>
        </w:rPr>
        <w:t>/</w:t>
      </w:r>
      <w:r w:rsidR="0000419F" w:rsidRPr="00D33BD7">
        <w:rPr>
          <w:rFonts w:ascii="Abadi" w:hAnsi="Abadi" w:cs="*Calibri-9187-Identity-H"/>
          <w:color w:val="245E90"/>
          <w:sz w:val="12"/>
          <w:szCs w:val="12"/>
          <w:lang w:eastAsia="es-MX"/>
        </w:rPr>
        <w:t>2022</w:t>
      </w:r>
      <w:r w:rsidR="0000419F" w:rsidRPr="00D33BD7">
        <w:rPr>
          <w:rFonts w:ascii="Abadi" w:hAnsi="Abadi" w:cs="*Calibri-9187-Identity-H"/>
          <w:color w:val="23497F"/>
          <w:sz w:val="12"/>
          <w:szCs w:val="12"/>
          <w:lang w:eastAsia="es-MX"/>
        </w:rPr>
        <w:t>/0</w:t>
      </w:r>
      <w:r w:rsidR="0000419F" w:rsidRPr="00D33BD7">
        <w:rPr>
          <w:rFonts w:ascii="Abadi" w:hAnsi="Abadi" w:cs="*Calibri-9187-Identity-H"/>
          <w:color w:val="245E90"/>
          <w:sz w:val="12"/>
          <w:szCs w:val="12"/>
          <w:lang w:eastAsia="es-MX"/>
        </w:rPr>
        <w:t>2 /14/per</w:t>
      </w:r>
      <w:r w:rsidR="0000419F" w:rsidRPr="00D33BD7">
        <w:rPr>
          <w:rFonts w:ascii="Abadi" w:hAnsi="Abadi" w:cs="*Calibri-9187-Identity-H"/>
          <w:color w:val="23497F"/>
          <w:sz w:val="12"/>
          <w:szCs w:val="12"/>
          <w:lang w:eastAsia="es-MX"/>
        </w:rPr>
        <w:t>i</w:t>
      </w:r>
      <w:r w:rsidR="0000419F" w:rsidRPr="00D33BD7">
        <w:rPr>
          <w:rFonts w:ascii="Abadi" w:hAnsi="Abadi" w:cs="*Calibri-9187-Identity-H"/>
          <w:color w:val="245E90"/>
          <w:sz w:val="12"/>
          <w:szCs w:val="12"/>
          <w:lang w:eastAsia="es-MX"/>
        </w:rPr>
        <w:t>odista</w:t>
      </w:r>
      <w:r w:rsidR="0000419F" w:rsidRPr="00D33BD7">
        <w:rPr>
          <w:rFonts w:ascii="Abadi" w:hAnsi="Abadi" w:cs="*Calibri-9187-Identity-H"/>
          <w:color w:val="23497F"/>
          <w:sz w:val="12"/>
          <w:szCs w:val="12"/>
          <w:lang w:eastAsia="es-MX"/>
        </w:rPr>
        <w:t>s-</w:t>
      </w:r>
      <w:r w:rsidR="0000419F" w:rsidRPr="00D33BD7">
        <w:rPr>
          <w:rFonts w:ascii="Abadi" w:hAnsi="Abadi" w:cs="*Calibri-9187-Identity-H"/>
          <w:color w:val="245E90"/>
          <w:sz w:val="12"/>
          <w:szCs w:val="12"/>
          <w:lang w:eastAsia="es-MX"/>
        </w:rPr>
        <w:t>y</w:t>
      </w:r>
      <w:r w:rsidR="0000419F" w:rsidRPr="00D33BD7">
        <w:rPr>
          <w:rFonts w:ascii="Abadi" w:hAnsi="Abadi" w:cs="*Calibri-9187-Identity-H"/>
          <w:color w:val="3E6A89"/>
          <w:sz w:val="12"/>
          <w:szCs w:val="12"/>
          <w:lang w:eastAsia="es-MX"/>
        </w:rPr>
        <w:t>-</w:t>
      </w:r>
      <w:r w:rsidR="0000419F" w:rsidRPr="00D33BD7">
        <w:rPr>
          <w:rFonts w:ascii="Abadi" w:hAnsi="Abadi" w:cs="*Calibri-9187-Identity-H"/>
          <w:color w:val="245E90"/>
          <w:sz w:val="12"/>
          <w:szCs w:val="12"/>
          <w:lang w:eastAsia="es-MX"/>
        </w:rPr>
        <w:t>act</w:t>
      </w:r>
      <w:r w:rsidR="0000419F" w:rsidRPr="00D33BD7">
        <w:rPr>
          <w:rFonts w:ascii="Abadi" w:hAnsi="Abadi" w:cs="*Calibri-9187-Identity-H"/>
          <w:color w:val="1D3866"/>
          <w:sz w:val="12"/>
          <w:szCs w:val="12"/>
          <w:lang w:eastAsia="es-MX"/>
        </w:rPr>
        <w:t>i</w:t>
      </w:r>
      <w:r w:rsidR="0000419F" w:rsidRPr="00D33BD7">
        <w:rPr>
          <w:rFonts w:ascii="Abadi" w:hAnsi="Abadi" w:cs="*Calibri-9187-Identity-H"/>
          <w:color w:val="245E90"/>
          <w:sz w:val="12"/>
          <w:szCs w:val="12"/>
          <w:lang w:eastAsia="es-MX"/>
        </w:rPr>
        <w:t>v</w:t>
      </w:r>
      <w:r w:rsidR="0000419F" w:rsidRPr="00D33BD7">
        <w:rPr>
          <w:rFonts w:ascii="Abadi" w:hAnsi="Abadi" w:cs="*Calibri-9187-Identity-H"/>
          <w:color w:val="23497F"/>
          <w:sz w:val="12"/>
          <w:szCs w:val="12"/>
          <w:lang w:eastAsia="es-MX"/>
        </w:rPr>
        <w:t>i</w:t>
      </w:r>
      <w:r w:rsidR="0000419F" w:rsidRPr="00D33BD7">
        <w:rPr>
          <w:rFonts w:ascii="Abadi" w:hAnsi="Abadi" w:cs="*Calibri-9187-Identity-H"/>
          <w:color w:val="245E90"/>
          <w:sz w:val="12"/>
          <w:szCs w:val="12"/>
          <w:lang w:eastAsia="es-MX"/>
        </w:rPr>
        <w:t>stas-asesinados-en</w:t>
      </w:r>
      <w:r w:rsidR="0000419F" w:rsidRPr="00D33BD7">
        <w:rPr>
          <w:rFonts w:ascii="Abadi" w:hAnsi="Abadi" w:cs="*Calibri-9187-Identity-H"/>
          <w:color w:val="3E6A89"/>
          <w:sz w:val="12"/>
          <w:szCs w:val="12"/>
          <w:lang w:eastAsia="es-MX"/>
        </w:rPr>
        <w:t>-</w:t>
      </w:r>
      <w:r w:rsidR="0000419F" w:rsidRPr="00D33BD7">
        <w:rPr>
          <w:rFonts w:ascii="Abadi" w:hAnsi="Abadi" w:cs="*Calibri-9187-Identity-H"/>
          <w:color w:val="245E90"/>
          <w:sz w:val="12"/>
          <w:szCs w:val="12"/>
          <w:lang w:eastAsia="es-MX"/>
        </w:rPr>
        <w:t>s</w:t>
      </w:r>
      <w:r w:rsidR="0000419F" w:rsidRPr="00D33BD7">
        <w:rPr>
          <w:rFonts w:ascii="Abadi" w:hAnsi="Abadi" w:cs="*Calibri-9187-Identity-H"/>
          <w:color w:val="2A6CA1"/>
          <w:sz w:val="12"/>
          <w:szCs w:val="12"/>
          <w:lang w:eastAsia="es-MX"/>
        </w:rPr>
        <w:t>ex</w:t>
      </w:r>
      <w:r w:rsidR="0000419F" w:rsidRPr="00D33BD7">
        <w:rPr>
          <w:rFonts w:ascii="Abadi" w:hAnsi="Abadi" w:cs="*Calibri-9187-Identity-H"/>
          <w:color w:val="245E90"/>
          <w:sz w:val="12"/>
          <w:szCs w:val="12"/>
          <w:lang w:eastAsia="es-MX"/>
        </w:rPr>
        <w:t>enio-d</w:t>
      </w:r>
      <w:r w:rsidR="0000419F" w:rsidRPr="00D33BD7">
        <w:rPr>
          <w:rFonts w:ascii="Abadi" w:hAnsi="Abadi" w:cs="*Calibri-9187-Identity-H"/>
          <w:color w:val="2A6CA1"/>
          <w:sz w:val="12"/>
          <w:szCs w:val="12"/>
          <w:lang w:eastAsia="es-MX"/>
        </w:rPr>
        <w:t>e</w:t>
      </w:r>
      <w:r w:rsidR="0000419F" w:rsidRPr="00D33BD7">
        <w:rPr>
          <w:rFonts w:ascii="Abadi" w:hAnsi="Abadi" w:cs="*Calibri-9187-Identity-H"/>
          <w:color w:val="245E90"/>
          <w:sz w:val="12"/>
          <w:szCs w:val="12"/>
          <w:lang w:eastAsia="es-MX"/>
        </w:rPr>
        <w:t>-am</w:t>
      </w:r>
      <w:r w:rsidR="0000419F" w:rsidRPr="00D33BD7">
        <w:rPr>
          <w:rFonts w:ascii="Abadi" w:hAnsi="Abadi" w:cs="*Calibri-9187-Identity-H"/>
          <w:color w:val="175FAC"/>
          <w:sz w:val="12"/>
          <w:szCs w:val="12"/>
          <w:lang w:eastAsia="es-MX"/>
        </w:rPr>
        <w:t>l</w:t>
      </w:r>
      <w:r w:rsidR="0000419F" w:rsidRPr="00D33BD7">
        <w:rPr>
          <w:rFonts w:ascii="Abadi" w:hAnsi="Abadi" w:cs="*Calibri-9187-Identity-H"/>
          <w:color w:val="245E90"/>
          <w:sz w:val="12"/>
          <w:szCs w:val="12"/>
          <w:lang w:eastAsia="es-MX"/>
        </w:rPr>
        <w:t>o</w:t>
      </w:r>
      <w:r w:rsidR="0000419F" w:rsidRPr="00D33BD7">
        <w:rPr>
          <w:rFonts w:ascii="Abadi" w:hAnsi="Abadi" w:cs="*Calibri-9187-Identity-H"/>
          <w:color w:val="2A2929"/>
          <w:sz w:val="12"/>
          <w:szCs w:val="12"/>
          <w:lang w:eastAsia="es-MX"/>
        </w:rPr>
        <w:t>.</w:t>
      </w:r>
    </w:p>
  </w:footnote>
  <w:footnote w:id="30">
    <w:p w14:paraId="408C739E" w14:textId="37AE71A3" w:rsidR="00A35BC9" w:rsidRPr="00F90DAF" w:rsidRDefault="00A35BC9" w:rsidP="00F90DAF">
      <w:pPr>
        <w:autoSpaceDE w:val="0"/>
        <w:autoSpaceDN w:val="0"/>
        <w:adjustRightInd w:val="0"/>
        <w:rPr>
          <w:rFonts w:ascii="Abadi" w:hAnsi="Abadi" w:cs="*Calibri-9187-Identity-H"/>
          <w:color w:val="245E90"/>
          <w:sz w:val="12"/>
          <w:szCs w:val="12"/>
          <w:lang w:val="es-MX" w:eastAsia="es-MX"/>
        </w:rPr>
      </w:pPr>
      <w:r>
        <w:rPr>
          <w:rStyle w:val="Refdenotaalpie"/>
        </w:rPr>
        <w:footnoteRef/>
      </w:r>
      <w:hyperlink r:id="rId2" w:history="1">
        <w:r w:rsidR="00F90DAF" w:rsidRPr="00C973E4">
          <w:rPr>
            <w:rStyle w:val="Hipervnculo"/>
            <w:rFonts w:ascii="Abadi" w:hAnsi="Abadi" w:cs="*Calibri-9187-Identity-H"/>
            <w:sz w:val="12"/>
            <w:szCs w:val="12"/>
            <w:lang w:val="es-MX" w:eastAsia="es-MX"/>
          </w:rPr>
          <w:t>https://www.excelsior.eom.mx/nacional/suman-71-soldados-muertos</w:t>
        </w:r>
      </w:hyperlink>
      <w:r w:rsidR="00740711">
        <w:rPr>
          <w:rFonts w:ascii="Abadi" w:hAnsi="Abadi" w:cs="*Calibri-9187-Identity-H"/>
          <w:color w:val="245E90"/>
          <w:sz w:val="12"/>
          <w:szCs w:val="12"/>
          <w:lang w:val="es-MX" w:eastAsia="es-MX"/>
        </w:rPr>
        <w:t>-</w:t>
      </w:r>
      <w:r w:rsidR="00F90DAF" w:rsidRPr="00F90DAF">
        <w:rPr>
          <w:rFonts w:ascii="Abadi" w:hAnsi="Abadi" w:cs="*Calibri-9187-Identity-H"/>
          <w:color w:val="245E90"/>
          <w:sz w:val="12"/>
          <w:szCs w:val="12"/>
          <w:lang w:val="es-MX" w:eastAsia="es-MX"/>
        </w:rPr>
        <w:t>en</w:t>
      </w:r>
      <w:r w:rsidR="00F90DAF" w:rsidRPr="00F90DAF">
        <w:rPr>
          <w:rFonts w:ascii="Abadi" w:hAnsi="Abadi" w:cs="*Calibri-9187-Identity-H"/>
          <w:color w:val="2A6CA1"/>
          <w:sz w:val="12"/>
          <w:szCs w:val="12"/>
          <w:lang w:val="es-MX" w:eastAsia="es-MX"/>
        </w:rPr>
        <w:t>-</w:t>
      </w:r>
      <w:r w:rsidR="00F90DAF" w:rsidRPr="00F90DAF">
        <w:rPr>
          <w:rFonts w:ascii="Abadi" w:hAnsi="Abadi" w:cs="*Calibri-9187-Identity-H"/>
          <w:color w:val="245E90"/>
          <w:sz w:val="12"/>
          <w:szCs w:val="12"/>
          <w:lang w:val="es-MX" w:eastAsia="es-MX"/>
        </w:rPr>
        <w:t>a</w:t>
      </w:r>
      <w:r w:rsidR="00F90DAF" w:rsidRPr="00F90DAF">
        <w:rPr>
          <w:rFonts w:ascii="Abadi" w:hAnsi="Abadi" w:cs="*Calibri-9187-Identity-H"/>
          <w:color w:val="2A6CA1"/>
          <w:sz w:val="12"/>
          <w:szCs w:val="12"/>
          <w:lang w:val="es-MX" w:eastAsia="es-MX"/>
        </w:rPr>
        <w:t>tag</w:t>
      </w:r>
      <w:r w:rsidR="00F90DAF" w:rsidRPr="00F90DAF">
        <w:rPr>
          <w:rFonts w:ascii="Abadi" w:hAnsi="Abadi" w:cs="*Calibri-9187-Identity-H"/>
          <w:color w:val="245E90"/>
          <w:sz w:val="12"/>
          <w:szCs w:val="12"/>
          <w:lang w:val="es-MX" w:eastAsia="es-MX"/>
        </w:rPr>
        <w:t>u</w:t>
      </w:r>
      <w:r w:rsidR="00F90DAF" w:rsidRPr="00F90DAF">
        <w:rPr>
          <w:rFonts w:ascii="Abadi" w:hAnsi="Abadi" w:cs="*Calibri-9187-Identity-H"/>
          <w:color w:val="2A6CA1"/>
          <w:sz w:val="12"/>
          <w:szCs w:val="12"/>
          <w:lang w:val="es-MX" w:eastAsia="es-MX"/>
        </w:rPr>
        <w:t>e</w:t>
      </w:r>
      <w:r w:rsidR="00F90DAF" w:rsidRPr="00F90DAF">
        <w:rPr>
          <w:rFonts w:ascii="Abadi" w:hAnsi="Abadi" w:cs="*Calibri-9187-Identity-H"/>
          <w:color w:val="245E90"/>
          <w:sz w:val="12"/>
          <w:szCs w:val="12"/>
          <w:lang w:val="es-MX" w:eastAsia="es-MX"/>
        </w:rPr>
        <w:t>s</w:t>
      </w:r>
      <w:r w:rsidR="00F90DAF" w:rsidRPr="00F90DAF">
        <w:rPr>
          <w:rFonts w:ascii="Abadi" w:hAnsi="Abadi" w:cs="*Calibri-9187-Identity-H"/>
          <w:color w:val="1C85A5"/>
          <w:sz w:val="12"/>
          <w:szCs w:val="12"/>
          <w:lang w:val="es-MX" w:eastAsia="es-MX"/>
        </w:rPr>
        <w:t>-</w:t>
      </w:r>
      <w:r w:rsidR="00F90DAF" w:rsidRPr="00F90DAF">
        <w:rPr>
          <w:rFonts w:ascii="Abadi" w:hAnsi="Abadi" w:cs="*Calibri-9187-Identity-H"/>
          <w:color w:val="245E90"/>
          <w:sz w:val="12"/>
          <w:szCs w:val="12"/>
          <w:lang w:val="es-MX" w:eastAsia="es-MX"/>
        </w:rPr>
        <w:t>re</w:t>
      </w:r>
      <w:r w:rsidR="00F90DAF" w:rsidRPr="00F90DAF">
        <w:rPr>
          <w:rFonts w:ascii="Abadi" w:hAnsi="Abadi" w:cs="*Calibri-9187-Identity-H"/>
          <w:color w:val="2A6CA1"/>
          <w:sz w:val="12"/>
          <w:szCs w:val="12"/>
          <w:lang w:val="es-MX" w:eastAsia="es-MX"/>
        </w:rPr>
        <w:t>p</w:t>
      </w:r>
      <w:r w:rsidR="00F90DAF" w:rsidRPr="00F90DAF">
        <w:rPr>
          <w:rFonts w:ascii="Abadi" w:hAnsi="Abadi" w:cs="*Calibri-9187-Identity-H"/>
          <w:color w:val="245E90"/>
          <w:sz w:val="12"/>
          <w:szCs w:val="12"/>
          <w:lang w:val="es-MX" w:eastAsia="es-MX"/>
        </w:rPr>
        <w:t>orte</w:t>
      </w:r>
      <w:r w:rsidR="00F90DAF" w:rsidRPr="00F90DAF">
        <w:rPr>
          <w:rFonts w:ascii="Abadi" w:hAnsi="Abadi" w:cs="*Calibri-9187-Identity-H"/>
          <w:color w:val="3E6A89"/>
          <w:sz w:val="12"/>
          <w:szCs w:val="12"/>
          <w:lang w:val="es-MX" w:eastAsia="es-MX"/>
        </w:rPr>
        <w:t>-</w:t>
      </w:r>
      <w:r w:rsidR="00F90DAF" w:rsidRPr="00F90DAF">
        <w:rPr>
          <w:rFonts w:ascii="Abadi" w:hAnsi="Abadi" w:cs="*Calibri-9187-Identity-H"/>
          <w:color w:val="245E90"/>
          <w:sz w:val="12"/>
          <w:szCs w:val="12"/>
          <w:lang w:val="es-MX" w:eastAsia="es-MX"/>
        </w:rPr>
        <w:t>d</w:t>
      </w:r>
      <w:r w:rsidR="00F90DAF" w:rsidRPr="00F90DAF">
        <w:rPr>
          <w:rFonts w:ascii="Abadi" w:hAnsi="Abadi" w:cs="*Calibri-9187-Identity-H"/>
          <w:color w:val="2A6CA1"/>
          <w:sz w:val="12"/>
          <w:szCs w:val="12"/>
          <w:lang w:val="es-MX" w:eastAsia="es-MX"/>
        </w:rPr>
        <w:t>e</w:t>
      </w:r>
      <w:r w:rsidR="00F90DAF" w:rsidRPr="00F90DAF">
        <w:rPr>
          <w:rFonts w:ascii="Abadi" w:hAnsi="Abadi" w:cs="*Calibri-9187-Identity-H"/>
          <w:color w:val="245E90"/>
          <w:sz w:val="12"/>
          <w:szCs w:val="12"/>
          <w:lang w:val="es-MX" w:eastAsia="es-MX"/>
        </w:rPr>
        <w:t>lsexenio/1514928</w:t>
      </w:r>
    </w:p>
  </w:footnote>
  <w:footnote w:id="31">
    <w:p w14:paraId="1BEBD50B" w14:textId="37D7B26D" w:rsidR="00740711" w:rsidRPr="00A01DC9" w:rsidRDefault="00740711" w:rsidP="00A01DC9">
      <w:pPr>
        <w:autoSpaceDE w:val="0"/>
        <w:autoSpaceDN w:val="0"/>
        <w:adjustRightInd w:val="0"/>
        <w:rPr>
          <w:rFonts w:ascii="Abadi" w:hAnsi="Abadi" w:cs="*Calibri-9285-Identity-H"/>
          <w:color w:val="222222"/>
          <w:sz w:val="12"/>
          <w:szCs w:val="11"/>
          <w:lang w:val="es-MX" w:eastAsia="es-MX"/>
        </w:rPr>
      </w:pPr>
      <w:r>
        <w:rPr>
          <w:rStyle w:val="Refdenotaalpie"/>
        </w:rPr>
        <w:footnoteRef/>
      </w:r>
      <w:r>
        <w:t xml:space="preserve"> </w:t>
      </w:r>
      <w:r w:rsidR="00A01DC9" w:rsidRPr="00A01DC9">
        <w:rPr>
          <w:rFonts w:ascii="Abadi" w:hAnsi="Abadi" w:cs="*Calibri-9285-Identity-H"/>
          <w:color w:val="222222"/>
          <w:sz w:val="12"/>
          <w:szCs w:val="11"/>
          <w:lang w:val="es-MX" w:eastAsia="es-MX"/>
        </w:rPr>
        <w:t>Para efectos del estudio de la organización Causa en común, se</w:t>
      </w:r>
      <w:r w:rsidR="00A01DC9">
        <w:rPr>
          <w:rFonts w:ascii="Abadi" w:hAnsi="Abadi" w:cs="*Calibri-9285-Identity-H"/>
          <w:color w:val="222222"/>
          <w:sz w:val="12"/>
          <w:szCs w:val="11"/>
          <w:lang w:val="es-MX" w:eastAsia="es-MX"/>
        </w:rPr>
        <w:t xml:space="preserve"> </w:t>
      </w:r>
      <w:r w:rsidR="00A01DC9" w:rsidRPr="00A01DC9">
        <w:rPr>
          <w:rFonts w:ascii="Abadi" w:hAnsi="Abadi" w:cs="*Calibri-9285-Identity-H"/>
          <w:color w:val="222222"/>
          <w:sz w:val="12"/>
          <w:szCs w:val="11"/>
          <w:lang w:val="es-MX" w:eastAsia="es-MX"/>
        </w:rPr>
        <w:t>define "atrocidad" como el uso intencional</w:t>
      </w:r>
      <w:r w:rsidR="00A01DC9">
        <w:rPr>
          <w:rFonts w:ascii="Abadi" w:hAnsi="Abadi" w:cs="*Calibri-9285-Identity-H"/>
          <w:color w:val="222222"/>
          <w:sz w:val="12"/>
          <w:szCs w:val="11"/>
          <w:lang w:val="es-MX" w:eastAsia="es-MX"/>
        </w:rPr>
        <w:t xml:space="preserve"> </w:t>
      </w:r>
      <w:r w:rsidR="00A01DC9" w:rsidRPr="00A01DC9">
        <w:rPr>
          <w:rFonts w:ascii="Abadi" w:hAnsi="Abadi" w:cs="*Calibri-9285-Identity-H"/>
          <w:color w:val="222222"/>
          <w:sz w:val="12"/>
          <w:szCs w:val="11"/>
          <w:lang w:val="es-MX" w:eastAsia="es-MX"/>
        </w:rPr>
        <w:t>de la fuerza física para causar muerte, laceración o maltrato extremo; violencia para causar la muerte de un</w:t>
      </w:r>
      <w:r w:rsidR="00A01DC9">
        <w:rPr>
          <w:rFonts w:ascii="Abadi" w:hAnsi="Abadi" w:cs="*Calibri-9285-Identity-H"/>
          <w:color w:val="222222"/>
          <w:sz w:val="12"/>
          <w:szCs w:val="11"/>
          <w:lang w:val="es-MX" w:eastAsia="es-MX"/>
        </w:rPr>
        <w:t xml:space="preserve"> </w:t>
      </w:r>
      <w:r w:rsidR="00A01DC9" w:rsidRPr="00A01DC9">
        <w:rPr>
          <w:rFonts w:ascii="Abadi" w:hAnsi="Abadi" w:cs="*Calibri-9285-Identity-H"/>
          <w:color w:val="222222"/>
          <w:sz w:val="12"/>
          <w:szCs w:val="11"/>
          <w:lang w:val="es-MX" w:eastAsia="es-MX"/>
        </w:rPr>
        <w:t>alto número de personas; violencia para causar la muerte de personas</w:t>
      </w:r>
      <w:r w:rsidR="00A01DC9">
        <w:rPr>
          <w:rFonts w:ascii="Abadi" w:hAnsi="Abadi" w:cs="*Calibri-9285-Identity-H"/>
          <w:color w:val="222222"/>
          <w:sz w:val="12"/>
          <w:szCs w:val="11"/>
          <w:lang w:val="es-MX" w:eastAsia="es-MX"/>
        </w:rPr>
        <w:t xml:space="preserve"> </w:t>
      </w:r>
      <w:r w:rsidR="00A01DC9" w:rsidRPr="00A01DC9">
        <w:rPr>
          <w:rFonts w:ascii="Abadi" w:hAnsi="Abadi" w:cs="*Calibri-9285-Identity-H"/>
          <w:color w:val="222222"/>
          <w:sz w:val="12"/>
          <w:szCs w:val="11"/>
          <w:lang w:val="es-MX" w:eastAsia="es-MX"/>
        </w:rPr>
        <w:t>vulnerables o de interés político, y/o</w:t>
      </w:r>
      <w:r w:rsidR="00A01DC9">
        <w:rPr>
          <w:rFonts w:ascii="Abadi" w:hAnsi="Abadi" w:cs="*Calibri-9285-Identity-H"/>
          <w:color w:val="222222"/>
          <w:sz w:val="12"/>
          <w:szCs w:val="11"/>
          <w:lang w:val="es-MX" w:eastAsia="es-MX"/>
        </w:rPr>
        <w:t xml:space="preserve"> </w:t>
      </w:r>
      <w:r w:rsidR="00A01DC9" w:rsidRPr="00A01DC9">
        <w:rPr>
          <w:rFonts w:ascii="Abadi" w:hAnsi="Abadi" w:cs="*Calibri-9285-Identity-H"/>
          <w:color w:val="222222"/>
          <w:sz w:val="12"/>
          <w:szCs w:val="11"/>
          <w:lang w:val="es-MX" w:eastAsia="es-MX"/>
        </w:rPr>
        <w:t>para provocar terror.</w:t>
      </w:r>
    </w:p>
  </w:footnote>
  <w:footnote w:id="32">
    <w:p w14:paraId="0437EDF1" w14:textId="13CBC39A" w:rsidR="00AB15E5" w:rsidRPr="00AB15E5" w:rsidRDefault="00AB15E5" w:rsidP="00AB15E5">
      <w:pPr>
        <w:pStyle w:val="Textonotapie"/>
        <w:jc w:val="both"/>
        <w:rPr>
          <w:rFonts w:ascii="Abadi" w:hAnsi="Abadi"/>
          <w:sz w:val="12"/>
          <w:szCs w:val="12"/>
        </w:rPr>
      </w:pPr>
      <w:r w:rsidRPr="00AB15E5">
        <w:rPr>
          <w:rStyle w:val="Refdenotaalpie"/>
          <w:sz w:val="12"/>
          <w:szCs w:val="12"/>
        </w:rPr>
        <w:footnoteRef/>
      </w:r>
      <w:r w:rsidRPr="00AB15E5">
        <w:rPr>
          <w:sz w:val="12"/>
          <w:szCs w:val="12"/>
        </w:rPr>
        <w:t xml:space="preserve"> </w:t>
      </w:r>
      <w:r w:rsidRPr="00AB15E5">
        <w:rPr>
          <w:rFonts w:ascii="Abadi" w:hAnsi="Abadi"/>
          <w:sz w:val="12"/>
          <w:szCs w:val="12"/>
        </w:rPr>
        <w:t>https://congresogto.s3.amazonaws.com/uploads/orden_archivo/archivo/24991/14_Propuesta_Pto_Acuerdo_Dip_Alma_Alcararaz-remocio_n_FGEG__19_MAYO_2022_.pdf</w:t>
      </w:r>
    </w:p>
  </w:footnote>
  <w:footnote w:id="33">
    <w:p w14:paraId="22D2C118" w14:textId="6DDD9037" w:rsidR="00905217" w:rsidRDefault="00905217">
      <w:pPr>
        <w:pStyle w:val="Textonotapie"/>
      </w:pPr>
      <w:r>
        <w:rPr>
          <w:rStyle w:val="Refdenotaalpie"/>
        </w:rPr>
        <w:footnoteRef/>
      </w:r>
      <w:r>
        <w:t xml:space="preserve"> </w:t>
      </w:r>
      <w:r w:rsidR="00FB74B4" w:rsidRPr="00FB74B4">
        <w:rPr>
          <w:rFonts w:ascii="Abadi" w:hAnsi="Abadi"/>
          <w:sz w:val="12"/>
          <w:szCs w:val="12"/>
        </w:rPr>
        <w:t>Datos obtenidos del Informe de Gestión 2021, Auditoría Superior del Estado de Guanajuato. Pág. 118.</w:t>
      </w:r>
    </w:p>
  </w:footnote>
  <w:footnote w:id="34">
    <w:p w14:paraId="2ECE4C33" w14:textId="77777777" w:rsidR="00761E22" w:rsidRPr="00761E22" w:rsidRDefault="00761E22" w:rsidP="00761E22">
      <w:pPr>
        <w:pStyle w:val="Textonotapie"/>
        <w:rPr>
          <w:rFonts w:ascii="Abadi" w:hAnsi="Abadi"/>
          <w:sz w:val="12"/>
          <w:szCs w:val="12"/>
        </w:rPr>
      </w:pPr>
      <w:r>
        <w:rPr>
          <w:rStyle w:val="Refdenotaalpie"/>
        </w:rPr>
        <w:footnoteRef/>
      </w:r>
      <w:r>
        <w:t xml:space="preserve"> </w:t>
      </w:r>
      <w:r w:rsidRPr="00761E22">
        <w:rPr>
          <w:rFonts w:ascii="Abadi" w:hAnsi="Abadi"/>
          <w:sz w:val="12"/>
          <w:szCs w:val="12"/>
        </w:rPr>
        <w:t>Datos al 17 de mayo de 2022, Comisión Nacional de Búsqueda, en:</w:t>
      </w:r>
    </w:p>
    <w:p w14:paraId="3D65F44E" w14:textId="3B4E1426" w:rsidR="00761E22" w:rsidRDefault="00761E22" w:rsidP="00761E22">
      <w:pPr>
        <w:pStyle w:val="Textonotapie"/>
      </w:pPr>
      <w:r w:rsidRPr="00761E22">
        <w:rPr>
          <w:rFonts w:ascii="Abadi" w:hAnsi="Abadi"/>
          <w:sz w:val="12"/>
          <w:szCs w:val="12"/>
        </w:rPr>
        <w:t>https://versionpublicarnpdno.segob.gob.mx/Dashboard/ContextoGeneral</w:t>
      </w:r>
    </w:p>
  </w:footnote>
  <w:footnote w:id="35">
    <w:p w14:paraId="51D3DAB2" w14:textId="00FC3FA0" w:rsidR="007D14C9" w:rsidRPr="0014142C" w:rsidRDefault="007D14C9" w:rsidP="0014142C">
      <w:pPr>
        <w:autoSpaceDE w:val="0"/>
        <w:autoSpaceDN w:val="0"/>
        <w:adjustRightInd w:val="0"/>
        <w:rPr>
          <w:rFonts w:ascii="Abadi" w:hAnsi="Abadi" w:cs="*Calibri-17660-Identity-H"/>
          <w:color w:val="262628"/>
          <w:sz w:val="12"/>
          <w:szCs w:val="12"/>
          <w:lang w:val="es-MX" w:eastAsia="es-MX"/>
        </w:rPr>
      </w:pPr>
      <w:r>
        <w:rPr>
          <w:rStyle w:val="Refdenotaalpie"/>
        </w:rPr>
        <w:footnoteRef/>
      </w:r>
      <w:r>
        <w:t xml:space="preserve"> </w:t>
      </w:r>
      <w:r w:rsidR="0014142C" w:rsidRPr="0014142C">
        <w:rPr>
          <w:rFonts w:ascii="Abadi" w:hAnsi="Abadi" w:cs="*Calibri-17660-Identity-H"/>
          <w:color w:val="262628"/>
          <w:sz w:val="12"/>
          <w:szCs w:val="12"/>
          <w:lang w:val="es-MX" w:eastAsia="es-MX"/>
        </w:rPr>
        <w:t>Documento de trabajo de la Comisión para la Igualdad de Género de la Sexagésima Quinta</w:t>
      </w:r>
      <w:r w:rsidR="0014142C">
        <w:rPr>
          <w:rFonts w:ascii="Abadi" w:hAnsi="Abadi" w:cs="*Calibri-17660-Identity-H"/>
          <w:color w:val="262628"/>
          <w:sz w:val="12"/>
          <w:szCs w:val="12"/>
          <w:lang w:val="es-MX" w:eastAsia="es-MX"/>
        </w:rPr>
        <w:t xml:space="preserve"> </w:t>
      </w:r>
      <w:r w:rsidR="0014142C" w:rsidRPr="0014142C">
        <w:rPr>
          <w:rFonts w:ascii="Abadi" w:hAnsi="Abadi" w:cs="*Calibri-17660-Identity-H"/>
          <w:color w:val="262628"/>
          <w:sz w:val="12"/>
          <w:szCs w:val="12"/>
          <w:lang w:val="es-MX" w:eastAsia="es-MX"/>
        </w:rPr>
        <w:t>Legislatura.</w:t>
      </w:r>
    </w:p>
  </w:footnote>
  <w:footnote w:id="36">
    <w:p w14:paraId="0BDEB96A" w14:textId="24FB4B8C" w:rsidR="00E13D74" w:rsidRPr="0035162C" w:rsidRDefault="00E13D74" w:rsidP="0035162C">
      <w:pPr>
        <w:autoSpaceDE w:val="0"/>
        <w:autoSpaceDN w:val="0"/>
        <w:adjustRightInd w:val="0"/>
        <w:rPr>
          <w:rFonts w:ascii="Abadi" w:hAnsi="Abadi" w:cs="*Calibri-16667-Identity-H"/>
          <w:color w:val="252526"/>
          <w:sz w:val="12"/>
          <w:szCs w:val="12"/>
          <w:lang w:val="es-MX" w:eastAsia="es-MX"/>
        </w:rPr>
      </w:pPr>
      <w:r>
        <w:rPr>
          <w:rStyle w:val="Refdenotaalpie"/>
        </w:rPr>
        <w:footnoteRef/>
      </w:r>
      <w:r>
        <w:t xml:space="preserve"> </w:t>
      </w:r>
      <w:r w:rsidR="0035162C" w:rsidRPr="0035162C">
        <w:rPr>
          <w:rFonts w:ascii="Abadi" w:hAnsi="Abadi" w:cs="*Calibri-16667-Identity-H"/>
          <w:color w:val="252526"/>
          <w:sz w:val="12"/>
          <w:szCs w:val="12"/>
          <w:lang w:val="es-MX" w:eastAsia="es-MX"/>
        </w:rPr>
        <w:t>Documento de trabajo de la Comisión para la Igualdad de Género de la Sexagésima Quinta</w:t>
      </w:r>
      <w:r w:rsidR="0035162C">
        <w:rPr>
          <w:rFonts w:ascii="Abadi" w:hAnsi="Abadi" w:cs="*Calibri-16667-Identity-H"/>
          <w:color w:val="252526"/>
          <w:sz w:val="12"/>
          <w:szCs w:val="12"/>
          <w:lang w:val="es-MX" w:eastAsia="es-MX"/>
        </w:rPr>
        <w:t xml:space="preserve"> </w:t>
      </w:r>
      <w:r w:rsidR="0035162C" w:rsidRPr="0035162C">
        <w:rPr>
          <w:rFonts w:ascii="Abadi" w:hAnsi="Abadi" w:cs="*Calibri-16667-Identity-H"/>
          <w:color w:val="252526"/>
          <w:sz w:val="12"/>
          <w:szCs w:val="12"/>
          <w:lang w:val="es-MX" w:eastAsia="es-MX"/>
        </w:rPr>
        <w:t>Legislatura.</w:t>
      </w:r>
    </w:p>
  </w:footnote>
  <w:footnote w:id="37">
    <w:p w14:paraId="18BF25C4" w14:textId="02098C67" w:rsidR="00E34D66" w:rsidRPr="00E34D66" w:rsidRDefault="00E34D66" w:rsidP="00E34D66">
      <w:pPr>
        <w:autoSpaceDE w:val="0"/>
        <w:autoSpaceDN w:val="0"/>
        <w:adjustRightInd w:val="0"/>
        <w:rPr>
          <w:rFonts w:ascii="Abadi" w:hAnsi="Abadi" w:cs="*Calibri-17702-Identity-H"/>
          <w:color w:val="262526"/>
          <w:sz w:val="12"/>
          <w:szCs w:val="12"/>
          <w:lang w:val="es-MX" w:eastAsia="es-MX"/>
        </w:rPr>
      </w:pPr>
      <w:r>
        <w:rPr>
          <w:rStyle w:val="Refdenotaalpie"/>
        </w:rPr>
        <w:footnoteRef/>
      </w:r>
      <w:r>
        <w:t xml:space="preserve"> </w:t>
      </w:r>
      <w:r w:rsidRPr="00E34D66">
        <w:rPr>
          <w:rFonts w:ascii="Abadi" w:hAnsi="Abadi" w:cs="*Calibri-17702-Identity-H"/>
          <w:color w:val="262526"/>
          <w:sz w:val="12"/>
          <w:szCs w:val="12"/>
          <w:lang w:val="es-MX" w:eastAsia="es-MX"/>
        </w:rPr>
        <w:t>Documento de trabajo de la Comisión para la Igualdad de Género de la Sexagésima Quinta</w:t>
      </w:r>
      <w:r>
        <w:rPr>
          <w:rFonts w:ascii="Abadi" w:hAnsi="Abadi" w:cs="*Calibri-17702-Identity-H"/>
          <w:color w:val="262526"/>
          <w:sz w:val="12"/>
          <w:szCs w:val="12"/>
          <w:lang w:val="es-MX" w:eastAsia="es-MX"/>
        </w:rPr>
        <w:t xml:space="preserve"> </w:t>
      </w:r>
      <w:r w:rsidRPr="00E34D66">
        <w:rPr>
          <w:rFonts w:ascii="Abadi" w:hAnsi="Abadi" w:cs="*Calibri-17702-Identity-H"/>
          <w:color w:val="262526"/>
          <w:sz w:val="12"/>
          <w:szCs w:val="12"/>
          <w:lang w:val="es-MX" w:eastAsia="es-MX"/>
        </w:rPr>
        <w:t>Legislatura</w:t>
      </w:r>
    </w:p>
  </w:footnote>
  <w:footnote w:id="38">
    <w:p w14:paraId="3BF3736C" w14:textId="0332DB73" w:rsidR="00BE56FB" w:rsidRPr="00062570" w:rsidRDefault="00BE56FB" w:rsidP="00062570">
      <w:pPr>
        <w:autoSpaceDE w:val="0"/>
        <w:autoSpaceDN w:val="0"/>
        <w:adjustRightInd w:val="0"/>
        <w:rPr>
          <w:rFonts w:ascii="Abadi" w:hAnsi="Abadi" w:cs="*Calibri-16495-Identity-H"/>
          <w:color w:val="272728"/>
          <w:sz w:val="12"/>
          <w:szCs w:val="12"/>
          <w:lang w:val="es-MX" w:eastAsia="es-MX"/>
        </w:rPr>
      </w:pPr>
      <w:r w:rsidRPr="00062570">
        <w:rPr>
          <w:rStyle w:val="Refdenotaalpie"/>
          <w:rFonts w:ascii="Abadi" w:hAnsi="Abadi"/>
          <w:sz w:val="12"/>
          <w:szCs w:val="12"/>
        </w:rPr>
        <w:footnoteRef/>
      </w:r>
      <w:r w:rsidRPr="00062570">
        <w:rPr>
          <w:rFonts w:ascii="Abadi" w:hAnsi="Abadi"/>
          <w:sz w:val="12"/>
          <w:szCs w:val="12"/>
        </w:rPr>
        <w:t xml:space="preserve"> </w:t>
      </w:r>
      <w:r w:rsidRPr="00062570">
        <w:rPr>
          <w:rFonts w:ascii="Abadi" w:hAnsi="Abadi" w:cs="*Calibri-16495-Identity-H"/>
          <w:color w:val="272728"/>
          <w:sz w:val="12"/>
          <w:szCs w:val="12"/>
          <w:lang w:val="es-MX" w:eastAsia="es-MX"/>
        </w:rPr>
        <w:t>Para identificar l</w:t>
      </w:r>
      <w:r w:rsidR="00062570" w:rsidRPr="00062570">
        <w:rPr>
          <w:rFonts w:ascii="Abadi" w:hAnsi="Abadi" w:cs="*Calibri-16495-Identity-H"/>
          <w:color w:val="272728"/>
          <w:sz w:val="12"/>
          <w:szCs w:val="12"/>
          <w:lang w:val="es-MX" w:eastAsia="es-MX"/>
        </w:rPr>
        <w:t>a</w:t>
      </w:r>
      <w:r w:rsidRPr="00062570">
        <w:rPr>
          <w:rFonts w:ascii="Abadi" w:hAnsi="Abadi" w:cs="*Calibri-16495-Identity-H"/>
          <w:color w:val="272728"/>
          <w:sz w:val="12"/>
          <w:szCs w:val="12"/>
          <w:lang w:val="es-MX" w:eastAsia="es-MX"/>
        </w:rPr>
        <w:t>s brechas de género en l</w:t>
      </w:r>
      <w:r w:rsidR="00062570" w:rsidRPr="00062570">
        <w:rPr>
          <w:rFonts w:ascii="Abadi" w:hAnsi="Abadi" w:cs="*Calibri-16495-Identity-H"/>
          <w:color w:val="272728"/>
          <w:sz w:val="12"/>
          <w:szCs w:val="12"/>
          <w:lang w:val="es-MX" w:eastAsia="es-MX"/>
        </w:rPr>
        <w:t>o</w:t>
      </w:r>
      <w:r w:rsidRPr="00062570">
        <w:rPr>
          <w:rFonts w:ascii="Abadi" w:hAnsi="Abadi" w:cs="*Calibri-16495-Identity-H"/>
          <w:color w:val="272728"/>
          <w:sz w:val="12"/>
          <w:szCs w:val="12"/>
          <w:lang w:val="es-MX" w:eastAsia="es-MX"/>
        </w:rPr>
        <w:t>s secretarios de Estado, el IMCO utilizó la información</w:t>
      </w:r>
      <w:r w:rsidR="00062570" w:rsidRPr="00062570">
        <w:rPr>
          <w:rFonts w:ascii="Abadi" w:hAnsi="Abadi" w:cs="*Calibri-16495-Identity-H"/>
          <w:color w:val="272728"/>
          <w:sz w:val="12"/>
          <w:szCs w:val="12"/>
          <w:lang w:val="es-MX" w:eastAsia="es-MX"/>
        </w:rPr>
        <w:t xml:space="preserve"> </w:t>
      </w:r>
      <w:r w:rsidRPr="00062570">
        <w:rPr>
          <w:rFonts w:ascii="Abadi" w:hAnsi="Abadi" w:cs="*Calibri-16495-Identity-H"/>
          <w:color w:val="272728"/>
          <w:sz w:val="12"/>
          <w:szCs w:val="12"/>
          <w:lang w:val="es-MX" w:eastAsia="es-MX"/>
        </w:rPr>
        <w:t xml:space="preserve">disponible en Nómino Transparente con información del 16 al 31 de marzo de 2021 </w:t>
      </w:r>
      <w:r w:rsidRPr="00062570">
        <w:rPr>
          <w:rFonts w:ascii="Abadi" w:hAnsi="Abadi" w:cs="*Times New Roman-Italic-16490-I"/>
          <w:i/>
          <w:iCs/>
          <w:color w:val="272728"/>
          <w:sz w:val="12"/>
          <w:szCs w:val="12"/>
          <w:lang w:val="es-MX" w:eastAsia="es-MX"/>
        </w:rPr>
        <w:t xml:space="preserve">y </w:t>
      </w:r>
      <w:r w:rsidRPr="00062570">
        <w:rPr>
          <w:rFonts w:ascii="Abadi" w:hAnsi="Abadi" w:cs="*Calibri-16495-Identity-H"/>
          <w:color w:val="272728"/>
          <w:sz w:val="12"/>
          <w:szCs w:val="12"/>
          <w:lang w:val="es-MX" w:eastAsia="es-MX"/>
        </w:rPr>
        <w:t>construyó una base</w:t>
      </w:r>
      <w:r w:rsidR="00062570" w:rsidRPr="00062570">
        <w:rPr>
          <w:rFonts w:ascii="Abadi" w:hAnsi="Abadi" w:cs="*Calibri-16495-Identity-H"/>
          <w:color w:val="272728"/>
          <w:sz w:val="12"/>
          <w:szCs w:val="12"/>
          <w:lang w:val="es-MX" w:eastAsia="es-MX"/>
        </w:rPr>
        <w:t xml:space="preserve"> </w:t>
      </w:r>
      <w:r w:rsidRPr="00062570">
        <w:rPr>
          <w:rFonts w:ascii="Abadi" w:hAnsi="Abadi" w:cs="*Calibri-16495-Identity-H"/>
          <w:color w:val="272728"/>
          <w:sz w:val="12"/>
          <w:szCs w:val="12"/>
          <w:lang w:val="es-MX" w:eastAsia="es-MX"/>
        </w:rPr>
        <w:t xml:space="preserve">de dotas que incluye la institución, puesto </w:t>
      </w:r>
      <w:r w:rsidRPr="00062570">
        <w:rPr>
          <w:rFonts w:ascii="Abadi" w:hAnsi="Abadi" w:cs="*Times New Roman-Italic-16490-I"/>
          <w:i/>
          <w:iCs/>
          <w:color w:val="272728"/>
          <w:sz w:val="12"/>
          <w:szCs w:val="12"/>
          <w:lang w:val="es-MX" w:eastAsia="es-MX"/>
        </w:rPr>
        <w:t xml:space="preserve">y </w:t>
      </w:r>
      <w:r w:rsidRPr="00062570">
        <w:rPr>
          <w:rFonts w:ascii="Abadi" w:hAnsi="Abadi" w:cs="*Calibri-16495-Identity-H"/>
          <w:color w:val="272728"/>
          <w:sz w:val="12"/>
          <w:szCs w:val="12"/>
          <w:lang w:val="es-MX" w:eastAsia="es-MX"/>
        </w:rPr>
        <w:t>nivel de ingresos por sexo de más de 168 mil personas que</w:t>
      </w:r>
      <w:r w:rsidR="00062570" w:rsidRPr="00062570">
        <w:rPr>
          <w:rFonts w:ascii="Abadi" w:hAnsi="Abadi" w:cs="*Calibri-16495-Identity-H"/>
          <w:color w:val="272728"/>
          <w:sz w:val="12"/>
          <w:szCs w:val="12"/>
          <w:lang w:val="es-MX" w:eastAsia="es-MX"/>
        </w:rPr>
        <w:t xml:space="preserve"> </w:t>
      </w:r>
      <w:r w:rsidRPr="00062570">
        <w:rPr>
          <w:rFonts w:ascii="Abadi" w:hAnsi="Abadi" w:cs="*Calibri-16495-Identity-H"/>
          <w:color w:val="272728"/>
          <w:sz w:val="12"/>
          <w:szCs w:val="12"/>
          <w:lang w:val="es-MX" w:eastAsia="es-MX"/>
        </w:rPr>
        <w:t>trabajan en l</w:t>
      </w:r>
      <w:r w:rsidR="00062570" w:rsidRPr="00062570">
        <w:rPr>
          <w:rFonts w:ascii="Abadi" w:hAnsi="Abadi" w:cs="*Calibri-16495-Identity-H"/>
          <w:color w:val="272728"/>
          <w:sz w:val="12"/>
          <w:szCs w:val="12"/>
          <w:lang w:eastAsia="es-MX"/>
        </w:rPr>
        <w:t>a</w:t>
      </w:r>
      <w:r w:rsidRPr="00062570">
        <w:rPr>
          <w:rFonts w:ascii="Abadi" w:hAnsi="Abadi" w:cs="*Calibri-16495-Identity-H"/>
          <w:color w:val="272728"/>
          <w:sz w:val="12"/>
          <w:szCs w:val="12"/>
          <w:lang w:val="es-MX" w:eastAsia="es-MX"/>
        </w:rPr>
        <w:t>s 16 secretarías que reportan información en el sitio.</w:t>
      </w:r>
    </w:p>
  </w:footnote>
  <w:footnote w:id="39">
    <w:p w14:paraId="0091D524" w14:textId="46DA115C" w:rsidR="00062570" w:rsidRPr="00A95334" w:rsidRDefault="00062570" w:rsidP="00A95334">
      <w:pPr>
        <w:autoSpaceDE w:val="0"/>
        <w:autoSpaceDN w:val="0"/>
        <w:adjustRightInd w:val="0"/>
        <w:rPr>
          <w:rFonts w:ascii="Abadi" w:hAnsi="Abadi" w:cs="*Calibri-16495-Identity-H"/>
          <w:color w:val="272628"/>
          <w:sz w:val="12"/>
          <w:szCs w:val="12"/>
          <w:lang w:val="es-MX" w:eastAsia="es-MX"/>
        </w:rPr>
      </w:pPr>
      <w:r w:rsidRPr="00A95334">
        <w:rPr>
          <w:rStyle w:val="Refdenotaalpie"/>
          <w:rFonts w:ascii="Abadi" w:hAnsi="Abadi"/>
          <w:sz w:val="12"/>
          <w:szCs w:val="12"/>
        </w:rPr>
        <w:footnoteRef/>
      </w:r>
      <w:r w:rsidRPr="00A95334">
        <w:rPr>
          <w:rFonts w:ascii="Abadi" w:hAnsi="Abadi"/>
          <w:sz w:val="12"/>
          <w:szCs w:val="12"/>
        </w:rPr>
        <w:t xml:space="preserve"> </w:t>
      </w:r>
      <w:r w:rsidR="00A95334" w:rsidRPr="00A95334">
        <w:rPr>
          <w:rFonts w:ascii="Abadi" w:hAnsi="Abadi" w:cs="*Calibri-16495-Identity-H"/>
          <w:color w:val="272628"/>
          <w:sz w:val="12"/>
          <w:szCs w:val="12"/>
          <w:lang w:val="es-MX" w:eastAsia="es-MX"/>
        </w:rPr>
        <w:t>Dictamen de la Comisión para la Igualdad de Género de fecha 20 de enero de 2022. de la Sexagésima Quinto Legislatura.</w:t>
      </w:r>
    </w:p>
  </w:footnote>
  <w:footnote w:id="40">
    <w:p w14:paraId="57709F6D" w14:textId="77A43A30" w:rsidR="00213D98" w:rsidRDefault="00213D98">
      <w:pPr>
        <w:pStyle w:val="Textonotapie"/>
      </w:pPr>
      <w:r>
        <w:rPr>
          <w:rStyle w:val="Refdenotaalpie"/>
        </w:rPr>
        <w:footnoteRef/>
      </w:r>
      <w:r>
        <w:t xml:space="preserve"> </w:t>
      </w:r>
      <w:r w:rsidR="007D5A9F" w:rsidRPr="007D5A9F">
        <w:rPr>
          <w:rFonts w:ascii="Abadi" w:hAnsi="Abadi"/>
          <w:sz w:val="12"/>
          <w:szCs w:val="12"/>
        </w:rPr>
        <w:t>https://normatividadestatalymunicipal.guanajuato.gob.mx/reglamentacion.php</w:t>
      </w:r>
    </w:p>
  </w:footnote>
  <w:footnote w:id="41">
    <w:p w14:paraId="076BCEF4" w14:textId="017CA9C3" w:rsidR="00167D3A" w:rsidRPr="00C11B53" w:rsidRDefault="00167D3A">
      <w:pPr>
        <w:pStyle w:val="Textonotapie"/>
        <w:rPr>
          <w:rFonts w:ascii="Abadi" w:hAnsi="Abadi"/>
          <w:sz w:val="12"/>
          <w:szCs w:val="12"/>
        </w:rPr>
      </w:pPr>
      <w:r w:rsidRPr="00C11B53">
        <w:rPr>
          <w:rStyle w:val="Refdenotaalpie"/>
          <w:rFonts w:ascii="Abadi" w:hAnsi="Abadi"/>
          <w:sz w:val="12"/>
          <w:szCs w:val="12"/>
        </w:rPr>
        <w:footnoteRef/>
      </w:r>
      <w:r w:rsidRPr="00C11B53">
        <w:rPr>
          <w:rFonts w:ascii="Abadi" w:hAnsi="Abadi"/>
          <w:sz w:val="12"/>
          <w:szCs w:val="12"/>
        </w:rPr>
        <w:t xml:space="preserve"> </w:t>
      </w:r>
      <w:r w:rsidR="00C11B53" w:rsidRPr="00C11B53">
        <w:rPr>
          <w:rFonts w:ascii="Abadi" w:hAnsi="Abadi" w:cs="Calibri-Italic"/>
          <w:i/>
          <w:iCs/>
          <w:color w:val="282828"/>
          <w:sz w:val="12"/>
          <w:szCs w:val="12"/>
          <w:lang w:eastAsia="es-MX"/>
        </w:rPr>
        <w:t>SAPAL Comunicado de prensa 059/2020 del día 23 de septiembre de 2020</w:t>
      </w:r>
    </w:p>
  </w:footnote>
  <w:footnote w:id="42">
    <w:p w14:paraId="6E43A10A" w14:textId="77777777" w:rsidR="00BC329D" w:rsidRPr="00D13CA0" w:rsidRDefault="0083733C" w:rsidP="00D13CA0">
      <w:pPr>
        <w:autoSpaceDE w:val="0"/>
        <w:autoSpaceDN w:val="0"/>
        <w:adjustRightInd w:val="0"/>
        <w:jc w:val="both"/>
        <w:rPr>
          <w:rFonts w:ascii="Abadi" w:hAnsi="Abadi" w:cs="*Calibri-Bold-17537-Identity-H"/>
          <w:b/>
          <w:bCs/>
          <w:color w:val="2F2E30"/>
          <w:sz w:val="12"/>
          <w:szCs w:val="12"/>
          <w:lang w:val="es-MX" w:eastAsia="es-MX"/>
        </w:rPr>
      </w:pPr>
      <w:r w:rsidRPr="00D13CA0">
        <w:rPr>
          <w:rStyle w:val="Refdenotaalpie"/>
          <w:rFonts w:ascii="Abadi" w:hAnsi="Abadi"/>
          <w:sz w:val="12"/>
          <w:szCs w:val="12"/>
        </w:rPr>
        <w:footnoteRef/>
      </w:r>
      <w:r w:rsidRPr="00D13CA0">
        <w:rPr>
          <w:rFonts w:ascii="Abadi" w:hAnsi="Abadi"/>
          <w:sz w:val="12"/>
          <w:szCs w:val="12"/>
        </w:rPr>
        <w:t xml:space="preserve"> </w:t>
      </w:r>
      <w:r w:rsidR="00BC329D" w:rsidRPr="00D13CA0">
        <w:rPr>
          <w:rFonts w:ascii="Abadi" w:hAnsi="Abadi" w:cs="*Calibri-Bold-17537-Identity-H"/>
          <w:b/>
          <w:bCs/>
          <w:color w:val="2F2E30"/>
          <w:sz w:val="12"/>
          <w:szCs w:val="12"/>
          <w:lang w:val="es-MX" w:eastAsia="es-MX"/>
        </w:rPr>
        <w:t>CONCESIÓN ADMINISTRATIVA. NOCIÓN Y ELEMENTOS REGLAMENTARIOS Y CONTRACTUALES QUE LA INTEGRAN. Gaceta del Semanario Judicial de la</w:t>
      </w:r>
    </w:p>
    <w:p w14:paraId="3385EB4E" w14:textId="77777777" w:rsidR="00BC329D" w:rsidRPr="00D13CA0" w:rsidRDefault="00BC329D" w:rsidP="00D13CA0">
      <w:pPr>
        <w:autoSpaceDE w:val="0"/>
        <w:autoSpaceDN w:val="0"/>
        <w:adjustRightInd w:val="0"/>
        <w:jc w:val="both"/>
        <w:rPr>
          <w:rFonts w:ascii="Abadi" w:hAnsi="Abadi" w:cs="*Calibri-Bold-17537-Identity-H"/>
          <w:b/>
          <w:bCs/>
          <w:color w:val="2F2E30"/>
          <w:sz w:val="12"/>
          <w:szCs w:val="12"/>
          <w:lang w:val="es-MX" w:eastAsia="es-MX"/>
        </w:rPr>
      </w:pPr>
      <w:r w:rsidRPr="00D13CA0">
        <w:rPr>
          <w:rFonts w:ascii="Abadi" w:hAnsi="Abadi" w:cs="*Calibri-Bold-17537-Identity-H"/>
          <w:b/>
          <w:bCs/>
          <w:color w:val="2F2E30"/>
          <w:sz w:val="12"/>
          <w:szCs w:val="12"/>
          <w:lang w:val="es-MX" w:eastAsia="es-MX"/>
        </w:rPr>
        <w:t xml:space="preserve">Federación. Libro 26, Enero d@ 2016, Tomo IV Pág. 3178. Décima </w:t>
      </w:r>
      <w:r w:rsidRPr="00D13CA0">
        <w:rPr>
          <w:rFonts w:ascii="Abadi" w:eastAsia="Abadi" w:hAnsi="Abadi" w:cs="Abadi" w:hint="eastAsia"/>
          <w:b/>
          <w:bCs/>
          <w:color w:val="2F2E30"/>
          <w:sz w:val="12"/>
          <w:szCs w:val="12"/>
          <w:lang w:val="es-MX" w:eastAsia="es-MX"/>
        </w:rPr>
        <w:t>􀁬</w:t>
      </w:r>
      <w:r w:rsidRPr="00D13CA0">
        <w:rPr>
          <w:rFonts w:ascii="Abadi" w:hAnsi="Abadi" w:cs="*Calibri-Bold-17537-Identity-H"/>
          <w:b/>
          <w:bCs/>
          <w:color w:val="2F2E30"/>
          <w:sz w:val="12"/>
          <w:szCs w:val="12"/>
          <w:lang w:val="es-MX" w:eastAsia="es-MX"/>
        </w:rPr>
        <w:t>poca. Tribunales Colegiados de Circuito. Tesis aislada.</w:t>
      </w:r>
    </w:p>
    <w:p w14:paraId="00D3EB8E" w14:textId="33A0CDC1" w:rsidR="0083733C" w:rsidRPr="00D13CA0" w:rsidRDefault="00BC329D" w:rsidP="00D13CA0">
      <w:pPr>
        <w:pStyle w:val="Textonotapie"/>
        <w:jc w:val="both"/>
        <w:rPr>
          <w:rFonts w:ascii="Abadi" w:hAnsi="Abadi"/>
          <w:sz w:val="12"/>
          <w:szCs w:val="12"/>
        </w:rPr>
      </w:pPr>
      <w:r w:rsidRPr="00D13CA0">
        <w:rPr>
          <w:rFonts w:ascii="Abadi" w:hAnsi="Abadi" w:cs="*Microsoft Sans Serif-Italic-17"/>
          <w:i/>
          <w:iCs/>
          <w:color w:val="2F2E30"/>
          <w:sz w:val="12"/>
          <w:szCs w:val="12"/>
          <w:lang w:eastAsia="es-MX"/>
        </w:rPr>
        <w:t>ht</w:t>
      </w:r>
      <w:r w:rsidRPr="00D13CA0">
        <w:rPr>
          <w:rFonts w:ascii="Abadi" w:hAnsi="Abadi" w:cs="*Microsoft Sans Serif-Italic-17"/>
          <w:i/>
          <w:iCs/>
          <w:color w:val="1C1B1D"/>
          <w:sz w:val="12"/>
          <w:szCs w:val="12"/>
          <w:lang w:eastAsia="es-MX"/>
        </w:rPr>
        <w:t>t</w:t>
      </w:r>
      <w:r w:rsidRPr="00D13CA0">
        <w:rPr>
          <w:rFonts w:ascii="Abadi" w:hAnsi="Abadi" w:cs="*Microsoft Sans Serif-Italic-17"/>
          <w:i/>
          <w:iCs/>
          <w:color w:val="2F2E30"/>
          <w:sz w:val="12"/>
          <w:szCs w:val="12"/>
          <w:lang w:eastAsia="es-MX"/>
        </w:rPr>
        <w:t>p</w:t>
      </w:r>
      <w:r w:rsidRPr="00D13CA0">
        <w:rPr>
          <w:rFonts w:ascii="Abadi" w:hAnsi="Abadi" w:cs="*Microsoft Sans Serif-Italic-17"/>
          <w:i/>
          <w:iCs/>
          <w:color w:val="424244"/>
          <w:sz w:val="12"/>
          <w:szCs w:val="12"/>
          <w:lang w:eastAsia="es-MX"/>
        </w:rPr>
        <w:t>s:</w:t>
      </w:r>
      <w:r w:rsidRPr="00D13CA0">
        <w:rPr>
          <w:rFonts w:ascii="Abadi" w:hAnsi="Abadi" w:cs="*Microsoft Sans Serif-Italic-17"/>
          <w:i/>
          <w:iCs/>
          <w:color w:val="2F2E30"/>
          <w:sz w:val="12"/>
          <w:szCs w:val="12"/>
          <w:lang w:eastAsia="es-MX"/>
        </w:rPr>
        <w:t>//</w:t>
      </w:r>
      <w:r w:rsidRPr="00D13CA0">
        <w:rPr>
          <w:rFonts w:ascii="Abadi" w:hAnsi="Abadi" w:cs="*Microsoft Sans Serif-Italic-17"/>
          <w:i/>
          <w:iCs/>
          <w:color w:val="424244"/>
          <w:sz w:val="12"/>
          <w:szCs w:val="12"/>
          <w:lang w:eastAsia="es-MX"/>
        </w:rPr>
        <w:t>s</w:t>
      </w:r>
      <w:r w:rsidRPr="00D13CA0">
        <w:rPr>
          <w:rFonts w:ascii="Abadi" w:hAnsi="Abadi" w:cs="*Microsoft Sans Serif-Italic-17"/>
          <w:i/>
          <w:iCs/>
          <w:color w:val="2F2E30"/>
          <w:sz w:val="12"/>
          <w:szCs w:val="12"/>
          <w:lang w:eastAsia="es-MX"/>
        </w:rPr>
        <w:t>JJ</w:t>
      </w:r>
      <w:r w:rsidRPr="00D13CA0">
        <w:rPr>
          <w:rFonts w:ascii="Abadi" w:hAnsi="Abadi" w:cs="*Microsoft Sans Serif-Italic-17"/>
          <w:i/>
          <w:iCs/>
          <w:color w:val="585658"/>
          <w:sz w:val="12"/>
          <w:szCs w:val="12"/>
          <w:lang w:eastAsia="es-MX"/>
        </w:rPr>
        <w:t>.</w:t>
      </w:r>
      <w:r w:rsidRPr="00D13CA0">
        <w:rPr>
          <w:rFonts w:ascii="Abadi" w:hAnsi="Abadi" w:cs="*Microsoft Sans Serif-Italic-17"/>
          <w:i/>
          <w:iCs/>
          <w:color w:val="424244"/>
          <w:sz w:val="12"/>
          <w:szCs w:val="12"/>
          <w:lang w:eastAsia="es-MX"/>
        </w:rPr>
        <w:t>s</w:t>
      </w:r>
      <w:r w:rsidRPr="00D13CA0">
        <w:rPr>
          <w:rFonts w:ascii="Abadi" w:hAnsi="Abadi" w:cs="*Microsoft Sans Serif-Italic-17"/>
          <w:i/>
          <w:iCs/>
          <w:color w:val="2F2E30"/>
          <w:sz w:val="12"/>
          <w:szCs w:val="12"/>
          <w:lang w:eastAsia="es-MX"/>
        </w:rPr>
        <w:t>cJn</w:t>
      </w:r>
      <w:r w:rsidRPr="00D13CA0">
        <w:rPr>
          <w:rFonts w:ascii="Abadi" w:hAnsi="Abadi" w:cs="*Microsoft Sans Serif-Italic-17"/>
          <w:i/>
          <w:iCs/>
          <w:color w:val="424244"/>
          <w:sz w:val="12"/>
          <w:szCs w:val="12"/>
          <w:lang w:eastAsia="es-MX"/>
        </w:rPr>
        <w:t>,</w:t>
      </w:r>
      <w:r w:rsidRPr="00D13CA0">
        <w:rPr>
          <w:rFonts w:ascii="Abadi" w:hAnsi="Abadi" w:cs="*Microsoft Sans Serif-Italic-17"/>
          <w:i/>
          <w:iCs/>
          <w:color w:val="2F2E30"/>
          <w:sz w:val="12"/>
          <w:szCs w:val="12"/>
          <w:lang w:eastAsia="es-MX"/>
        </w:rPr>
        <w:t>gob</w:t>
      </w:r>
      <w:r w:rsidRPr="00D13CA0">
        <w:rPr>
          <w:rFonts w:ascii="Abadi" w:hAnsi="Abadi" w:cs="*Microsoft Sans Serif-Italic-17"/>
          <w:i/>
          <w:iCs/>
          <w:color w:val="585658"/>
          <w:sz w:val="12"/>
          <w:szCs w:val="12"/>
          <w:lang w:eastAsia="es-MX"/>
        </w:rPr>
        <w:t>.</w:t>
      </w:r>
      <w:r w:rsidRPr="00D13CA0">
        <w:rPr>
          <w:rFonts w:ascii="Abadi" w:hAnsi="Abadi" w:cs="*Microsoft Sans Serif-Italic-17"/>
          <w:i/>
          <w:iCs/>
          <w:color w:val="2F2E30"/>
          <w:sz w:val="12"/>
          <w:szCs w:val="12"/>
          <w:lang w:eastAsia="es-MX"/>
        </w:rPr>
        <w:t>mx/</w:t>
      </w:r>
      <w:r w:rsidRPr="00D13CA0">
        <w:rPr>
          <w:rFonts w:ascii="Abadi" w:hAnsi="Abadi" w:cs="*Microsoft Sans Serif-Italic-17"/>
          <w:i/>
          <w:iCs/>
          <w:color w:val="424244"/>
          <w:sz w:val="12"/>
          <w:szCs w:val="12"/>
          <w:lang w:eastAsia="es-MX"/>
        </w:rPr>
        <w:t>s</w:t>
      </w:r>
      <w:r w:rsidRPr="00D13CA0">
        <w:rPr>
          <w:rFonts w:ascii="Abadi" w:hAnsi="Abadi" w:cs="*Microsoft Sans Serif-Italic-17"/>
          <w:i/>
          <w:iCs/>
          <w:color w:val="2F2E30"/>
          <w:sz w:val="12"/>
          <w:szCs w:val="12"/>
          <w:lang w:eastAsia="es-MX"/>
        </w:rPr>
        <w:t>J/sls</w:t>
      </w:r>
      <w:r w:rsidRPr="00D13CA0">
        <w:rPr>
          <w:rFonts w:ascii="Abadi" w:hAnsi="Abadi" w:cs="*Microsoft Sans Serif-Italic-17"/>
          <w:i/>
          <w:iCs/>
          <w:color w:val="1C1B1D"/>
          <w:sz w:val="12"/>
          <w:szCs w:val="12"/>
          <w:lang w:eastAsia="es-MX"/>
        </w:rPr>
        <w:t>t/</w:t>
      </w:r>
      <w:r w:rsidRPr="00D13CA0">
        <w:rPr>
          <w:rFonts w:ascii="Abadi" w:hAnsi="Abadi" w:cs="*Microsoft Sans Serif-Italic-17"/>
          <w:i/>
          <w:iCs/>
          <w:color w:val="2F2E30"/>
          <w:sz w:val="12"/>
          <w:szCs w:val="12"/>
          <w:lang w:eastAsia="es-MX"/>
        </w:rPr>
        <w:t>Paglno</w:t>
      </w:r>
      <w:r w:rsidRPr="00D13CA0">
        <w:rPr>
          <w:rFonts w:ascii="Abadi" w:hAnsi="Abadi" w:cs="*Microsoft Sans Serif-Italic-17"/>
          <w:i/>
          <w:iCs/>
          <w:color w:val="424244"/>
          <w:sz w:val="12"/>
          <w:szCs w:val="12"/>
          <w:lang w:eastAsia="es-MX"/>
        </w:rPr>
        <w:t>s</w:t>
      </w:r>
      <w:r w:rsidRPr="00D13CA0">
        <w:rPr>
          <w:rFonts w:ascii="Abadi" w:hAnsi="Abadi" w:cs="*Microsoft Sans Serif-Italic-17"/>
          <w:i/>
          <w:iCs/>
          <w:color w:val="2F2E30"/>
          <w:sz w:val="12"/>
          <w:szCs w:val="12"/>
          <w:lang w:eastAsia="es-MX"/>
        </w:rPr>
        <w:t>/w/D</w:t>
      </w:r>
      <w:r w:rsidRPr="00D13CA0">
        <w:rPr>
          <w:rFonts w:ascii="Abadi" w:hAnsi="Abadi" w:cs="*Microsoft Sans Serif-Italic-17"/>
          <w:i/>
          <w:iCs/>
          <w:color w:val="424244"/>
          <w:sz w:val="12"/>
          <w:szCs w:val="12"/>
          <w:lang w:eastAsia="es-MX"/>
        </w:rPr>
        <w:t>e</w:t>
      </w:r>
      <w:r w:rsidRPr="00D13CA0">
        <w:rPr>
          <w:rFonts w:ascii="Abadi" w:hAnsi="Abadi" w:cs="*Microsoft Sans Serif-Italic-17"/>
          <w:i/>
          <w:iCs/>
          <w:color w:val="2F2E30"/>
          <w:sz w:val="12"/>
          <w:szCs w:val="12"/>
          <w:lang w:eastAsia="es-MX"/>
        </w:rPr>
        <w:t>talleTesls.ospx?S</w:t>
      </w:r>
      <w:r w:rsidRPr="00D13CA0">
        <w:rPr>
          <w:rFonts w:ascii="Abadi" w:hAnsi="Abadi" w:cs="*Microsoft Sans Serif-Italic-17"/>
          <w:i/>
          <w:iCs/>
          <w:color w:val="1C1B1D"/>
          <w:sz w:val="12"/>
          <w:szCs w:val="12"/>
          <w:lang w:eastAsia="es-MX"/>
        </w:rPr>
        <w:t>N</w:t>
      </w:r>
      <w:r w:rsidRPr="00D13CA0">
        <w:rPr>
          <w:rFonts w:ascii="Abadi" w:hAnsi="Abadi" w:cs="*Microsoft Sans Serif-Italic-17"/>
          <w:i/>
          <w:iCs/>
          <w:color w:val="585658"/>
          <w:sz w:val="12"/>
          <w:szCs w:val="12"/>
          <w:lang w:eastAsia="es-MX"/>
        </w:rPr>
        <w:t>•</w:t>
      </w:r>
      <w:r w:rsidRPr="00D13CA0">
        <w:rPr>
          <w:rFonts w:ascii="Abadi" w:hAnsi="Abadi" w:cs="*Microsoft Sans Serif-Italic-17"/>
          <w:i/>
          <w:iCs/>
          <w:color w:val="2F2E30"/>
          <w:sz w:val="12"/>
          <w:szCs w:val="12"/>
          <w:lang w:eastAsia="es-MX"/>
        </w:rPr>
        <w:t>l&amp;Close</w:t>
      </w:r>
      <w:r w:rsidRPr="00D13CA0">
        <w:rPr>
          <w:rFonts w:ascii="Abadi" w:eastAsia="Abadi" w:hAnsi="Abadi" w:cs="Abadi" w:hint="eastAsia"/>
          <w:i/>
          <w:iCs/>
          <w:color w:val="666666"/>
          <w:sz w:val="12"/>
          <w:szCs w:val="12"/>
          <w:lang w:eastAsia="es-MX"/>
        </w:rPr>
        <w:t>􀃐</w:t>
      </w:r>
      <w:r w:rsidRPr="00D13CA0">
        <w:rPr>
          <w:rFonts w:ascii="Abadi" w:hAnsi="Abadi" w:cs="*Microsoft Sans Serif-Italic-17"/>
          <w:i/>
          <w:iCs/>
          <w:color w:val="2F2E30"/>
          <w:sz w:val="12"/>
          <w:szCs w:val="12"/>
          <w:lang w:eastAsia="es-MX"/>
        </w:rPr>
        <w:t>oe</w:t>
      </w:r>
      <w:r w:rsidRPr="00D13CA0">
        <w:rPr>
          <w:rFonts w:ascii="Abadi" w:hAnsi="Abadi" w:cs="*Microsoft Sans Serif-Italic-17"/>
          <w:i/>
          <w:iCs/>
          <w:color w:val="1C1B1D"/>
          <w:sz w:val="12"/>
          <w:szCs w:val="12"/>
          <w:lang w:eastAsia="es-MX"/>
        </w:rPr>
        <w:t>t</w:t>
      </w:r>
      <w:r w:rsidRPr="00D13CA0">
        <w:rPr>
          <w:rFonts w:ascii="Abadi" w:hAnsi="Abadi" w:cs="*Microsoft Sans Serif-Italic-17"/>
          <w:i/>
          <w:iCs/>
          <w:color w:val="2F2E30"/>
          <w:sz w:val="12"/>
          <w:szCs w:val="12"/>
          <w:lang w:eastAsia="es-MX"/>
        </w:rPr>
        <w:t>olleTesl</w:t>
      </w:r>
      <w:r w:rsidRPr="00D13CA0">
        <w:rPr>
          <w:rFonts w:ascii="Abadi" w:hAnsi="Abadi" w:cs="*Microsoft Sans Serif-Italic-17"/>
          <w:i/>
          <w:iCs/>
          <w:color w:val="424244"/>
          <w:sz w:val="12"/>
          <w:szCs w:val="12"/>
          <w:lang w:eastAsia="es-MX"/>
        </w:rPr>
        <w:t>s</w:t>
      </w:r>
      <w:r w:rsidRPr="00D13CA0">
        <w:rPr>
          <w:rFonts w:ascii="Abadi" w:hAnsi="Abadi" w:cs="*Microsoft Sans Serif-Italic-17"/>
          <w:i/>
          <w:iCs/>
          <w:color w:val="2F2E30"/>
          <w:sz w:val="12"/>
          <w:szCs w:val="12"/>
          <w:lang w:eastAsia="es-MX"/>
        </w:rPr>
        <w:t>BL&amp;ID</w:t>
      </w:r>
      <w:r w:rsidRPr="00D13CA0">
        <w:rPr>
          <w:rFonts w:ascii="Abadi" w:hAnsi="Abadi" w:cs="*Microsoft Sans Serif-Italic-17"/>
          <w:i/>
          <w:iCs/>
          <w:color w:val="7D7D83"/>
          <w:sz w:val="12"/>
          <w:szCs w:val="12"/>
          <w:lang w:eastAsia="es-MX"/>
        </w:rPr>
        <w:t>•</w:t>
      </w:r>
      <w:r w:rsidRPr="00D13CA0">
        <w:rPr>
          <w:rFonts w:ascii="Abadi" w:hAnsi="Abadi" w:cs="*Microsoft Sans Serif-Italic-17"/>
          <w:i/>
          <w:iCs/>
          <w:color w:val="2F2E30"/>
          <w:sz w:val="12"/>
          <w:szCs w:val="12"/>
          <w:lang w:eastAsia="es-MX"/>
        </w:rPr>
        <w:t>20</w:t>
      </w:r>
      <w:r w:rsidRPr="00D13CA0">
        <w:rPr>
          <w:rFonts w:ascii="Abadi" w:hAnsi="Abadi" w:cs="*Microsoft Sans Serif-Italic-17"/>
          <w:i/>
          <w:iCs/>
          <w:color w:val="424244"/>
          <w:sz w:val="12"/>
          <w:szCs w:val="12"/>
          <w:lang w:eastAsia="es-MX"/>
        </w:rPr>
        <w:t>1</w:t>
      </w:r>
      <w:r w:rsidRPr="00D13CA0">
        <w:rPr>
          <w:rFonts w:ascii="Abadi" w:hAnsi="Abadi" w:cs="*Microsoft Sans Serif-Italic-17"/>
          <w:i/>
          <w:iCs/>
          <w:color w:val="2F2E30"/>
          <w:sz w:val="12"/>
          <w:szCs w:val="12"/>
          <w:lang w:eastAsia="es-MX"/>
        </w:rPr>
        <w:t>0834&amp;Expre</w:t>
      </w:r>
      <w:r w:rsidRPr="00D13CA0">
        <w:rPr>
          <w:rFonts w:ascii="Abadi" w:hAnsi="Abadi" w:cs="*Microsoft Sans Serif-Italic-17"/>
          <w:i/>
          <w:iCs/>
          <w:color w:val="424244"/>
          <w:sz w:val="12"/>
          <w:szCs w:val="12"/>
          <w:lang w:eastAsia="es-MX"/>
        </w:rPr>
        <w:t>s</w:t>
      </w:r>
      <w:r w:rsidRPr="00D13CA0">
        <w:rPr>
          <w:rFonts w:ascii="Abadi" w:hAnsi="Abadi" w:cs="*Microsoft Sans Serif-Italic-17"/>
          <w:i/>
          <w:iCs/>
          <w:color w:val="2F2E30"/>
          <w:sz w:val="12"/>
          <w:szCs w:val="12"/>
          <w:lang w:eastAsia="es-MX"/>
        </w:rPr>
        <w:t>lon</w:t>
      </w:r>
      <w:r w:rsidRPr="00D13CA0">
        <w:rPr>
          <w:rFonts w:ascii="Abadi" w:hAnsi="Abadi" w:cs="*Microsoft Sans Serif-Italic-17"/>
          <w:i/>
          <w:iCs/>
          <w:color w:val="7D7D83"/>
          <w:sz w:val="12"/>
          <w:szCs w:val="12"/>
          <w:lang w:eastAsia="es-MX"/>
        </w:rPr>
        <w:t>1r</w:t>
      </w:r>
      <w:r w:rsidRPr="00D13CA0">
        <w:rPr>
          <w:rFonts w:ascii="Abadi" w:hAnsi="Abadi" w:cs="*Microsoft Sans Serif-Italic-17"/>
          <w:i/>
          <w:iCs/>
          <w:color w:val="424244"/>
          <w:sz w:val="12"/>
          <w:szCs w:val="12"/>
          <w:lang w:eastAsia="es-MX"/>
        </w:rPr>
        <w:t>c</w:t>
      </w:r>
      <w:r w:rsidRPr="00D13CA0">
        <w:rPr>
          <w:rFonts w:ascii="Abadi" w:hAnsi="Abadi" w:cs="*Microsoft Sans Serif-Italic-17"/>
          <w:i/>
          <w:iCs/>
          <w:color w:val="2F2E30"/>
          <w:sz w:val="12"/>
          <w:szCs w:val="12"/>
          <w:lang w:eastAsia="es-MX"/>
        </w:rPr>
        <w:t>oncesl6n</w:t>
      </w:r>
      <w:r w:rsidRPr="00D13CA0">
        <w:rPr>
          <w:rFonts w:ascii="Abadi" w:hAnsi="Abadi" w:cs="*Microsoft Sans Serif-Italic-17"/>
          <w:i/>
          <w:iCs/>
          <w:color w:val="424244"/>
          <w:sz w:val="12"/>
          <w:szCs w:val="12"/>
          <w:lang w:eastAsia="es-MX"/>
        </w:rPr>
        <w:t>"</w:t>
      </w:r>
      <w:r w:rsidRPr="00D13CA0">
        <w:rPr>
          <w:rFonts w:ascii="Abadi" w:hAnsi="Abadi" w:cs="*Microsoft Sans Serif-Italic-17"/>
          <w:i/>
          <w:iCs/>
          <w:color w:val="2F2E30"/>
          <w:sz w:val="12"/>
          <w:szCs w:val="12"/>
          <w:lang w:eastAsia="es-MX"/>
        </w:rPr>
        <w:t>20admlnlstra</w:t>
      </w:r>
      <w:r w:rsidRPr="00D13CA0">
        <w:rPr>
          <w:rFonts w:ascii="Abadi" w:hAnsi="Abadi" w:cs="*Microsoft Sans Serif-Italic-17"/>
          <w:i/>
          <w:iCs/>
          <w:color w:val="1C1B1D"/>
          <w:sz w:val="12"/>
          <w:szCs w:val="12"/>
          <w:lang w:eastAsia="es-MX"/>
        </w:rPr>
        <w:t>t</w:t>
      </w:r>
      <w:r w:rsidRPr="00D13CA0">
        <w:rPr>
          <w:rFonts w:ascii="Abadi" w:hAnsi="Abadi" w:cs="*Microsoft Sans Serif-Italic-17"/>
          <w:i/>
          <w:iCs/>
          <w:color w:val="2F2E30"/>
          <w:sz w:val="12"/>
          <w:szCs w:val="12"/>
          <w:lang w:eastAsia="es-MX"/>
        </w:rPr>
        <w:t>lva</w:t>
      </w:r>
    </w:p>
  </w:footnote>
  <w:footnote w:id="43">
    <w:p w14:paraId="593620C0" w14:textId="4EBE5BBE" w:rsidR="003F74F2" w:rsidRPr="003F74F2" w:rsidRDefault="003F74F2">
      <w:pPr>
        <w:pStyle w:val="Textonotapie"/>
        <w:rPr>
          <w:rFonts w:ascii="Abadi" w:hAnsi="Abadi"/>
          <w:sz w:val="12"/>
          <w:szCs w:val="12"/>
        </w:rPr>
      </w:pPr>
      <w:r w:rsidRPr="003F74F2">
        <w:rPr>
          <w:rStyle w:val="Refdenotaalpie"/>
          <w:rFonts w:ascii="Abadi" w:hAnsi="Abadi"/>
          <w:sz w:val="12"/>
          <w:szCs w:val="12"/>
        </w:rPr>
        <w:footnoteRef/>
      </w:r>
      <w:r w:rsidRPr="003F74F2">
        <w:rPr>
          <w:rFonts w:ascii="Abadi" w:hAnsi="Abadi"/>
          <w:sz w:val="12"/>
          <w:szCs w:val="12"/>
        </w:rPr>
        <w:t xml:space="preserve"> </w:t>
      </w:r>
      <w:r w:rsidRPr="003F74F2">
        <w:rPr>
          <w:rFonts w:ascii="Abadi" w:hAnsi="Abadi" w:cs="*Calibri-15233-Identity-H"/>
          <w:color w:val="1A1A1B"/>
          <w:sz w:val="12"/>
          <w:szCs w:val="12"/>
          <w:lang w:eastAsia="es-MX"/>
        </w:rPr>
        <w:t>Principales Indicadores Salariales de México, Banco de México. 2009.</w:t>
      </w:r>
    </w:p>
  </w:footnote>
  <w:footnote w:id="44">
    <w:p w14:paraId="6C8C5838" w14:textId="77777777" w:rsidR="00FB4929" w:rsidRPr="00FB4929" w:rsidRDefault="00BF1EC4" w:rsidP="00FB4929">
      <w:pPr>
        <w:autoSpaceDE w:val="0"/>
        <w:autoSpaceDN w:val="0"/>
        <w:adjustRightInd w:val="0"/>
        <w:rPr>
          <w:rFonts w:ascii="Abadi" w:hAnsi="Abadi" w:cs="*Arial-9977-Identity-H"/>
          <w:color w:val="080819"/>
          <w:sz w:val="12"/>
          <w:szCs w:val="12"/>
          <w:lang w:val="es-MX" w:eastAsia="es-MX"/>
        </w:rPr>
      </w:pPr>
      <w:r w:rsidRPr="00FB4929">
        <w:rPr>
          <w:rStyle w:val="Refdenotaalpie"/>
          <w:rFonts w:ascii="Abadi" w:hAnsi="Abadi"/>
          <w:sz w:val="12"/>
          <w:szCs w:val="12"/>
        </w:rPr>
        <w:footnoteRef/>
      </w:r>
      <w:r w:rsidRPr="00FB4929">
        <w:rPr>
          <w:rFonts w:ascii="Abadi" w:hAnsi="Abadi"/>
          <w:sz w:val="12"/>
          <w:szCs w:val="12"/>
        </w:rPr>
        <w:t xml:space="preserve"> </w:t>
      </w:r>
      <w:r w:rsidR="00FB4929" w:rsidRPr="00FB4929">
        <w:rPr>
          <w:rFonts w:ascii="Abadi" w:hAnsi="Abadi" w:cs="*Arial-9977-Identity-H"/>
          <w:color w:val="080819"/>
          <w:sz w:val="12"/>
          <w:szCs w:val="12"/>
          <w:lang w:val="es-MX" w:eastAsia="es-MX"/>
        </w:rPr>
        <w:t>Diccionario Jurídico Mexicano, Instituto de Investigaciones Jurídicas de la UNAM, disponible en:</w:t>
      </w:r>
    </w:p>
    <w:p w14:paraId="6630A7B6" w14:textId="5F2140AC" w:rsidR="00BF1EC4" w:rsidRPr="00FB4929" w:rsidRDefault="00FB4929" w:rsidP="00FB4929">
      <w:pPr>
        <w:pStyle w:val="Textonotapie"/>
        <w:rPr>
          <w:rFonts w:ascii="Abadi" w:hAnsi="Abadi"/>
          <w:sz w:val="12"/>
          <w:szCs w:val="12"/>
        </w:rPr>
      </w:pPr>
      <w:r w:rsidRPr="00FB4929">
        <w:rPr>
          <w:rFonts w:ascii="Abadi" w:hAnsi="Abadi" w:cs="*Arial-9977-Identity-H"/>
          <w:color w:val="192A55"/>
          <w:sz w:val="12"/>
          <w:szCs w:val="12"/>
          <w:lang w:eastAsia="es-MX"/>
        </w:rPr>
        <w:t>https</w:t>
      </w:r>
      <w:r w:rsidRPr="00FB4929">
        <w:rPr>
          <w:rFonts w:ascii="Abadi" w:hAnsi="Abadi" w:cs="*Arial-9977-Identity-H"/>
          <w:color w:val="445054"/>
          <w:sz w:val="12"/>
          <w:szCs w:val="12"/>
          <w:lang w:eastAsia="es-MX"/>
        </w:rPr>
        <w:t>:</w:t>
      </w:r>
      <w:r w:rsidRPr="00FB4929">
        <w:rPr>
          <w:rFonts w:ascii="Abadi" w:hAnsi="Abadi" w:cs="*Arial-9977-Identity-H"/>
          <w:color w:val="192A55"/>
          <w:sz w:val="12"/>
          <w:szCs w:val="12"/>
          <w:lang w:eastAsia="es-MX"/>
        </w:rPr>
        <w:t>//arch</w:t>
      </w:r>
      <w:r w:rsidRPr="00FB4929">
        <w:rPr>
          <w:rFonts w:ascii="Abadi" w:hAnsi="Abadi" w:cs="*Arial-9977-Identity-H"/>
          <w:color w:val="263C6F"/>
          <w:sz w:val="12"/>
          <w:szCs w:val="12"/>
          <w:lang w:eastAsia="es-MX"/>
        </w:rPr>
        <w:t>i</w:t>
      </w:r>
      <w:r w:rsidRPr="00FB4929">
        <w:rPr>
          <w:rFonts w:ascii="Abadi" w:hAnsi="Abadi" w:cs="*Arial-9977-Identity-H"/>
          <w:color w:val="192A55"/>
          <w:sz w:val="12"/>
          <w:szCs w:val="12"/>
          <w:lang w:eastAsia="es-MX"/>
        </w:rPr>
        <w:t>vo</w:t>
      </w:r>
      <w:r w:rsidRPr="00FB4929">
        <w:rPr>
          <w:rFonts w:ascii="Abadi" w:hAnsi="Abadi" w:cs="*Arial-9977-Identity-H"/>
          <w:color w:val="263C6F"/>
          <w:sz w:val="12"/>
          <w:szCs w:val="12"/>
          <w:lang w:eastAsia="es-MX"/>
        </w:rPr>
        <w:t>s</w:t>
      </w:r>
      <w:r w:rsidRPr="00FB4929">
        <w:rPr>
          <w:rFonts w:ascii="Abadi" w:hAnsi="Abadi" w:cs="*Arial-9977-Identity-H"/>
          <w:color w:val="54646C"/>
          <w:sz w:val="12"/>
          <w:szCs w:val="12"/>
          <w:lang w:eastAsia="es-MX"/>
        </w:rPr>
        <w:t>.</w:t>
      </w:r>
      <w:r w:rsidRPr="00FB4929">
        <w:rPr>
          <w:rFonts w:ascii="Abadi" w:hAnsi="Abadi" w:cs="*Arial-9977-Identity-H"/>
          <w:color w:val="192A55"/>
          <w:sz w:val="12"/>
          <w:szCs w:val="12"/>
          <w:lang w:eastAsia="es-MX"/>
        </w:rPr>
        <w:t>jur</w:t>
      </w:r>
      <w:r w:rsidRPr="00FB4929">
        <w:rPr>
          <w:rFonts w:ascii="Abadi" w:hAnsi="Abadi" w:cs="*Arial-9977-Identity-H"/>
          <w:color w:val="182069"/>
          <w:sz w:val="12"/>
          <w:szCs w:val="12"/>
          <w:lang w:eastAsia="es-MX"/>
        </w:rPr>
        <w:t>i</w:t>
      </w:r>
      <w:r w:rsidRPr="00FB4929">
        <w:rPr>
          <w:rFonts w:ascii="Abadi" w:hAnsi="Abadi" w:cs="*Arial-9977-Identity-H"/>
          <w:color w:val="192A55"/>
          <w:sz w:val="12"/>
          <w:szCs w:val="12"/>
          <w:lang w:eastAsia="es-MX"/>
        </w:rPr>
        <w:t>dicas</w:t>
      </w:r>
      <w:r w:rsidRPr="00FB4929">
        <w:rPr>
          <w:rFonts w:ascii="Abadi" w:hAnsi="Abadi" w:cs="*Arial-9977-Identity-H"/>
          <w:color w:val="606085"/>
          <w:sz w:val="12"/>
          <w:szCs w:val="12"/>
          <w:lang w:eastAsia="es-MX"/>
        </w:rPr>
        <w:t>.</w:t>
      </w:r>
      <w:r w:rsidRPr="00FB4929">
        <w:rPr>
          <w:rFonts w:ascii="Abadi" w:hAnsi="Abadi" w:cs="*Arial-9977-Identity-H"/>
          <w:color w:val="192A55"/>
          <w:sz w:val="12"/>
          <w:szCs w:val="12"/>
          <w:lang w:eastAsia="es-MX"/>
        </w:rPr>
        <w:t>unam</w:t>
      </w:r>
      <w:r w:rsidRPr="00FB4929">
        <w:rPr>
          <w:rFonts w:ascii="Abadi" w:hAnsi="Abadi" w:cs="*Arial-9977-Identity-H"/>
          <w:color w:val="302838"/>
          <w:sz w:val="12"/>
          <w:szCs w:val="12"/>
          <w:lang w:eastAsia="es-MX"/>
        </w:rPr>
        <w:t>.</w:t>
      </w:r>
      <w:r w:rsidRPr="00FB4929">
        <w:rPr>
          <w:rFonts w:ascii="Abadi" w:hAnsi="Abadi" w:cs="*Arial-9977-Identity-H"/>
          <w:color w:val="192A55"/>
          <w:sz w:val="12"/>
          <w:szCs w:val="12"/>
          <w:lang w:eastAsia="es-MX"/>
        </w:rPr>
        <w:t>mx/www/bjv/</w:t>
      </w:r>
      <w:r w:rsidRPr="00FB4929">
        <w:rPr>
          <w:rFonts w:ascii="Abadi" w:hAnsi="Abadi" w:cs="*Arial-9977-Identity-H"/>
          <w:color w:val="080819"/>
          <w:sz w:val="12"/>
          <w:szCs w:val="12"/>
          <w:lang w:eastAsia="es-MX"/>
        </w:rPr>
        <w:t>l</w:t>
      </w:r>
      <w:r w:rsidRPr="00FB4929">
        <w:rPr>
          <w:rFonts w:ascii="Abadi" w:hAnsi="Abadi" w:cs="*Arial-9977-Identity-H"/>
          <w:color w:val="192A55"/>
          <w:sz w:val="12"/>
          <w:szCs w:val="12"/>
          <w:lang w:eastAsia="es-MX"/>
        </w:rPr>
        <w:t>ibro</w:t>
      </w:r>
      <w:r w:rsidRPr="00FB4929">
        <w:rPr>
          <w:rFonts w:ascii="Abadi" w:hAnsi="Abadi" w:cs="*Arial-9977-Identity-H"/>
          <w:color w:val="263C6F"/>
          <w:sz w:val="12"/>
          <w:szCs w:val="12"/>
          <w:lang w:eastAsia="es-MX"/>
        </w:rPr>
        <w:t>s</w:t>
      </w:r>
      <w:r w:rsidRPr="00FB4929">
        <w:rPr>
          <w:rFonts w:ascii="Abadi" w:hAnsi="Abadi" w:cs="*Arial-9977-Identity-H"/>
          <w:color w:val="192A55"/>
          <w:sz w:val="12"/>
          <w:szCs w:val="12"/>
          <w:lang w:eastAsia="es-MX"/>
        </w:rPr>
        <w:t>/3/1175/6</w:t>
      </w:r>
      <w:r w:rsidRPr="00FB4929">
        <w:rPr>
          <w:rFonts w:ascii="Abadi" w:hAnsi="Abadi" w:cs="*Arial-9977-Identity-H"/>
          <w:color w:val="243C40"/>
          <w:sz w:val="12"/>
          <w:szCs w:val="12"/>
          <w:lang w:eastAsia="es-MX"/>
        </w:rPr>
        <w:t xml:space="preserve">. </w:t>
      </w:r>
      <w:r w:rsidRPr="00FB4929">
        <w:rPr>
          <w:rFonts w:ascii="Abadi" w:hAnsi="Abadi" w:cs="*Arial-9977-Identity-H"/>
          <w:color w:val="192A55"/>
          <w:sz w:val="12"/>
          <w:szCs w:val="12"/>
          <w:lang w:eastAsia="es-MX"/>
        </w:rPr>
        <w:t>pdf</w:t>
      </w:r>
    </w:p>
  </w:footnote>
  <w:footnote w:id="45">
    <w:p w14:paraId="44A4B01C" w14:textId="77777777" w:rsidR="00D5231D" w:rsidRPr="00D5231D" w:rsidRDefault="00812A75" w:rsidP="00D5231D">
      <w:pPr>
        <w:pStyle w:val="Textoindependiente"/>
        <w:kinsoku w:val="0"/>
        <w:overflowPunct w:val="0"/>
        <w:spacing w:before="3"/>
        <w:rPr>
          <w:rFonts w:ascii="Abadi" w:hAnsi="Abadi"/>
          <w:color w:val="111112"/>
          <w:spacing w:val="-2"/>
          <w:sz w:val="12"/>
          <w:szCs w:val="12"/>
        </w:rPr>
      </w:pPr>
      <w:r w:rsidRPr="00D5231D">
        <w:rPr>
          <w:rStyle w:val="Refdenotaalpie"/>
          <w:rFonts w:ascii="Abadi" w:hAnsi="Abadi"/>
          <w:sz w:val="12"/>
          <w:szCs w:val="12"/>
        </w:rPr>
        <w:footnoteRef/>
      </w:r>
      <w:r w:rsidRPr="00D5231D">
        <w:rPr>
          <w:rFonts w:ascii="Abadi" w:hAnsi="Abadi"/>
          <w:sz w:val="12"/>
          <w:szCs w:val="12"/>
        </w:rPr>
        <w:t xml:space="preserve"> </w:t>
      </w:r>
      <w:r w:rsidR="00D5231D" w:rsidRPr="00D5231D">
        <w:rPr>
          <w:rFonts w:ascii="Abadi" w:hAnsi="Abadi"/>
          <w:color w:val="111112"/>
          <w:spacing w:val="-2"/>
          <w:sz w:val="12"/>
          <w:szCs w:val="12"/>
        </w:rPr>
        <w:t>Diccionario Jurídico</w:t>
      </w:r>
      <w:r w:rsidR="00D5231D" w:rsidRPr="00D5231D">
        <w:rPr>
          <w:rFonts w:ascii="Abadi" w:hAnsi="Abadi"/>
          <w:color w:val="111112"/>
          <w:spacing w:val="-5"/>
          <w:sz w:val="12"/>
          <w:szCs w:val="12"/>
        </w:rPr>
        <w:t xml:space="preserve"> </w:t>
      </w:r>
      <w:r w:rsidR="00D5231D" w:rsidRPr="00D5231D">
        <w:rPr>
          <w:rFonts w:ascii="Abadi" w:hAnsi="Abadi"/>
          <w:color w:val="111112"/>
          <w:spacing w:val="-2"/>
          <w:sz w:val="12"/>
          <w:szCs w:val="12"/>
        </w:rPr>
        <w:t>Mexicano,</w:t>
      </w:r>
      <w:r w:rsidR="00D5231D" w:rsidRPr="00D5231D">
        <w:rPr>
          <w:rFonts w:ascii="Abadi" w:hAnsi="Abadi"/>
          <w:color w:val="111112"/>
          <w:spacing w:val="15"/>
          <w:sz w:val="12"/>
          <w:szCs w:val="12"/>
        </w:rPr>
        <w:t xml:space="preserve"> </w:t>
      </w:r>
      <w:r w:rsidR="00D5231D" w:rsidRPr="00D5231D">
        <w:rPr>
          <w:rFonts w:ascii="Abadi" w:hAnsi="Abadi"/>
          <w:color w:val="111112"/>
          <w:spacing w:val="-2"/>
          <w:sz w:val="12"/>
          <w:szCs w:val="12"/>
        </w:rPr>
        <w:t>Instituto</w:t>
      </w:r>
      <w:r w:rsidR="00D5231D" w:rsidRPr="00D5231D">
        <w:rPr>
          <w:rFonts w:ascii="Abadi" w:hAnsi="Abadi"/>
          <w:color w:val="111112"/>
          <w:spacing w:val="-5"/>
          <w:sz w:val="12"/>
          <w:szCs w:val="12"/>
        </w:rPr>
        <w:t xml:space="preserve"> </w:t>
      </w:r>
      <w:r w:rsidR="00D5231D" w:rsidRPr="00D5231D">
        <w:rPr>
          <w:rFonts w:ascii="Abadi" w:hAnsi="Abadi"/>
          <w:color w:val="111112"/>
          <w:spacing w:val="-2"/>
          <w:sz w:val="12"/>
          <w:szCs w:val="12"/>
        </w:rPr>
        <w:t>de Investigaciones</w:t>
      </w:r>
      <w:r w:rsidR="00D5231D" w:rsidRPr="00D5231D">
        <w:rPr>
          <w:rFonts w:ascii="Abadi" w:hAnsi="Abadi"/>
          <w:color w:val="111112"/>
          <w:spacing w:val="-5"/>
          <w:sz w:val="12"/>
          <w:szCs w:val="12"/>
        </w:rPr>
        <w:t xml:space="preserve"> </w:t>
      </w:r>
      <w:r w:rsidR="00D5231D" w:rsidRPr="00D5231D">
        <w:rPr>
          <w:rFonts w:ascii="Abadi" w:hAnsi="Abadi"/>
          <w:color w:val="111112"/>
          <w:spacing w:val="-2"/>
          <w:sz w:val="12"/>
          <w:szCs w:val="12"/>
        </w:rPr>
        <w:t>Jurídicas</w:t>
      </w:r>
      <w:r w:rsidR="00D5231D" w:rsidRPr="00D5231D">
        <w:rPr>
          <w:rFonts w:ascii="Abadi" w:hAnsi="Abadi"/>
          <w:color w:val="111112"/>
          <w:spacing w:val="-5"/>
          <w:sz w:val="12"/>
          <w:szCs w:val="12"/>
        </w:rPr>
        <w:t xml:space="preserve"> </w:t>
      </w:r>
      <w:r w:rsidR="00D5231D" w:rsidRPr="00D5231D">
        <w:rPr>
          <w:rFonts w:ascii="Abadi" w:hAnsi="Abadi"/>
          <w:color w:val="111112"/>
          <w:spacing w:val="-2"/>
          <w:sz w:val="12"/>
          <w:szCs w:val="12"/>
        </w:rPr>
        <w:t>de</w:t>
      </w:r>
      <w:r w:rsidR="00D5231D" w:rsidRPr="00D5231D">
        <w:rPr>
          <w:rFonts w:ascii="Abadi" w:hAnsi="Abadi"/>
          <w:color w:val="111112"/>
          <w:spacing w:val="-5"/>
          <w:sz w:val="12"/>
          <w:szCs w:val="12"/>
        </w:rPr>
        <w:t xml:space="preserve"> </w:t>
      </w:r>
      <w:r w:rsidR="00D5231D" w:rsidRPr="00D5231D">
        <w:rPr>
          <w:rFonts w:ascii="Abadi" w:hAnsi="Abadi"/>
          <w:color w:val="111112"/>
          <w:spacing w:val="-2"/>
          <w:sz w:val="12"/>
          <w:szCs w:val="12"/>
        </w:rPr>
        <w:t>la</w:t>
      </w:r>
      <w:r w:rsidR="00D5231D" w:rsidRPr="00D5231D">
        <w:rPr>
          <w:rFonts w:ascii="Abadi" w:hAnsi="Abadi"/>
          <w:color w:val="111112"/>
          <w:spacing w:val="13"/>
          <w:sz w:val="12"/>
          <w:szCs w:val="12"/>
        </w:rPr>
        <w:t xml:space="preserve"> </w:t>
      </w:r>
      <w:r w:rsidR="00D5231D" w:rsidRPr="00D5231D">
        <w:rPr>
          <w:rFonts w:ascii="Abadi" w:hAnsi="Abadi"/>
          <w:color w:val="111112"/>
          <w:spacing w:val="-2"/>
          <w:sz w:val="12"/>
          <w:szCs w:val="12"/>
        </w:rPr>
        <w:t>UNAM,</w:t>
      </w:r>
      <w:r w:rsidR="00D5231D" w:rsidRPr="00D5231D">
        <w:rPr>
          <w:rFonts w:ascii="Abadi" w:hAnsi="Abadi"/>
          <w:color w:val="111112"/>
          <w:spacing w:val="14"/>
          <w:sz w:val="12"/>
          <w:szCs w:val="12"/>
        </w:rPr>
        <w:t xml:space="preserve"> </w:t>
      </w:r>
      <w:r w:rsidR="00D5231D" w:rsidRPr="00D5231D">
        <w:rPr>
          <w:rFonts w:ascii="Abadi" w:hAnsi="Abadi"/>
          <w:color w:val="111112"/>
          <w:spacing w:val="-2"/>
          <w:sz w:val="12"/>
          <w:szCs w:val="12"/>
        </w:rPr>
        <w:t>disponible en:</w:t>
      </w:r>
    </w:p>
    <w:p w14:paraId="7D05096B" w14:textId="77777777" w:rsidR="00D5231D" w:rsidRPr="00D5231D" w:rsidRDefault="00D5231D" w:rsidP="00D5231D">
      <w:pPr>
        <w:pStyle w:val="Textoindependiente"/>
        <w:kinsoku w:val="0"/>
        <w:overflowPunct w:val="0"/>
        <w:rPr>
          <w:rFonts w:ascii="Abadi" w:hAnsi="Abadi"/>
          <w:color w:val="182C5E"/>
          <w:w w:val="95"/>
          <w:sz w:val="12"/>
          <w:szCs w:val="12"/>
        </w:rPr>
      </w:pPr>
      <w:r w:rsidRPr="00D5231D">
        <w:rPr>
          <w:rFonts w:ascii="Abadi" w:hAnsi="Abadi"/>
          <w:color w:val="182C5E"/>
          <w:w w:val="95"/>
          <w:sz w:val="12"/>
          <w:szCs w:val="12"/>
          <w:u w:val="single" w:color="535F80"/>
        </w:rPr>
        <w:t>https</w:t>
      </w:r>
      <w:r w:rsidRPr="00D5231D">
        <w:rPr>
          <w:rFonts w:ascii="Abadi" w:hAnsi="Abadi"/>
          <w:color w:val="4B5363"/>
          <w:w w:val="95"/>
          <w:sz w:val="12"/>
          <w:szCs w:val="12"/>
          <w:u w:val="single" w:color="535F80"/>
        </w:rPr>
        <w:t>:</w:t>
      </w:r>
      <w:r w:rsidRPr="00D5231D">
        <w:rPr>
          <w:rFonts w:ascii="Abadi" w:hAnsi="Abadi"/>
          <w:color w:val="182C5E"/>
          <w:w w:val="95"/>
          <w:sz w:val="12"/>
          <w:szCs w:val="12"/>
          <w:u w:val="single" w:color="535F80"/>
        </w:rPr>
        <w:t>//arch</w:t>
      </w:r>
      <w:r w:rsidRPr="00D5231D">
        <w:rPr>
          <w:rFonts w:ascii="Abadi" w:hAnsi="Abadi"/>
          <w:color w:val="182C5E"/>
          <w:spacing w:val="-32"/>
          <w:w w:val="95"/>
          <w:sz w:val="12"/>
          <w:szCs w:val="12"/>
          <w:u w:val="single" w:color="535F80"/>
        </w:rPr>
        <w:t xml:space="preserve"> </w:t>
      </w:r>
      <w:r w:rsidRPr="00D5231D">
        <w:rPr>
          <w:rFonts w:ascii="Abadi" w:hAnsi="Abadi"/>
          <w:color w:val="182C5E"/>
          <w:w w:val="95"/>
          <w:sz w:val="12"/>
          <w:szCs w:val="12"/>
          <w:u w:val="single" w:color="535F80"/>
        </w:rPr>
        <w:t>ivos</w:t>
      </w:r>
      <w:r w:rsidRPr="00D5231D">
        <w:rPr>
          <w:rFonts w:ascii="Abadi" w:hAnsi="Abadi"/>
          <w:color w:val="5C5C74"/>
          <w:w w:val="95"/>
          <w:sz w:val="12"/>
          <w:szCs w:val="12"/>
          <w:u w:val="single" w:color="535F80"/>
        </w:rPr>
        <w:t>.</w:t>
      </w:r>
      <w:r w:rsidRPr="00D5231D">
        <w:rPr>
          <w:rFonts w:ascii="Abadi" w:hAnsi="Abadi"/>
          <w:color w:val="182C5E"/>
          <w:w w:val="95"/>
          <w:sz w:val="12"/>
          <w:szCs w:val="12"/>
          <w:u w:val="single" w:color="535F80"/>
        </w:rPr>
        <w:t>ju</w:t>
      </w:r>
      <w:r w:rsidRPr="00D5231D">
        <w:rPr>
          <w:rFonts w:ascii="Abadi" w:hAnsi="Abadi"/>
          <w:color w:val="102F9C"/>
          <w:w w:val="95"/>
          <w:sz w:val="12"/>
          <w:szCs w:val="12"/>
          <w:u w:val="single" w:color="535F80"/>
        </w:rPr>
        <w:t>r</w:t>
      </w:r>
      <w:r w:rsidRPr="00D5231D">
        <w:rPr>
          <w:rFonts w:ascii="Abadi" w:hAnsi="Abadi"/>
          <w:color w:val="2E3362"/>
          <w:w w:val="95"/>
          <w:sz w:val="12"/>
          <w:szCs w:val="12"/>
          <w:u w:val="single" w:color="535F80"/>
        </w:rPr>
        <w:t>í</w:t>
      </w:r>
      <w:r w:rsidRPr="00D5231D">
        <w:rPr>
          <w:rFonts w:ascii="Abadi" w:hAnsi="Abadi"/>
          <w:color w:val="081648"/>
          <w:w w:val="95"/>
          <w:sz w:val="12"/>
          <w:szCs w:val="12"/>
          <w:u w:val="single" w:color="535F80"/>
        </w:rPr>
        <w:t>d</w:t>
      </w:r>
      <w:r w:rsidRPr="00D5231D">
        <w:rPr>
          <w:rFonts w:ascii="Abadi" w:hAnsi="Abadi"/>
          <w:color w:val="0F307C"/>
          <w:w w:val="95"/>
          <w:sz w:val="12"/>
          <w:szCs w:val="12"/>
          <w:u w:val="single" w:color="535F80"/>
        </w:rPr>
        <w:t>i</w:t>
      </w:r>
      <w:r w:rsidRPr="00D5231D">
        <w:rPr>
          <w:rFonts w:ascii="Abadi" w:hAnsi="Abadi"/>
          <w:color w:val="182C5E"/>
          <w:w w:val="95"/>
          <w:sz w:val="12"/>
          <w:szCs w:val="12"/>
          <w:u w:val="single" w:color="535F80"/>
        </w:rPr>
        <w:t>cas</w:t>
      </w:r>
      <w:r w:rsidRPr="00D5231D">
        <w:rPr>
          <w:rFonts w:ascii="Abadi" w:hAnsi="Abadi"/>
          <w:color w:val="2F5057"/>
          <w:w w:val="95"/>
          <w:sz w:val="12"/>
          <w:szCs w:val="12"/>
          <w:u w:val="single" w:color="535F80"/>
        </w:rPr>
        <w:t>.</w:t>
      </w:r>
      <w:r w:rsidRPr="00D5231D">
        <w:rPr>
          <w:rFonts w:ascii="Abadi" w:hAnsi="Abadi"/>
          <w:color w:val="182C5E"/>
          <w:w w:val="95"/>
          <w:sz w:val="12"/>
          <w:szCs w:val="12"/>
          <w:u w:val="single" w:color="535F80"/>
        </w:rPr>
        <w:t>u</w:t>
      </w:r>
      <w:r w:rsidRPr="00D5231D">
        <w:rPr>
          <w:rFonts w:ascii="Abadi" w:hAnsi="Abadi"/>
          <w:color w:val="081648"/>
          <w:w w:val="95"/>
          <w:sz w:val="12"/>
          <w:szCs w:val="12"/>
          <w:u w:val="single" w:color="535F80"/>
        </w:rPr>
        <w:t>n</w:t>
      </w:r>
      <w:r w:rsidRPr="00D5231D">
        <w:rPr>
          <w:rFonts w:ascii="Abadi" w:hAnsi="Abadi"/>
          <w:color w:val="182C5E"/>
          <w:w w:val="95"/>
          <w:sz w:val="12"/>
          <w:szCs w:val="12"/>
          <w:u w:val="single" w:color="535F80"/>
        </w:rPr>
        <w:t>am</w:t>
      </w:r>
      <w:r w:rsidRPr="00D5231D">
        <w:rPr>
          <w:rFonts w:ascii="Abadi" w:hAnsi="Abadi"/>
          <w:color w:val="386874"/>
          <w:w w:val="95"/>
          <w:sz w:val="12"/>
          <w:szCs w:val="12"/>
          <w:u w:val="single" w:color="535F80"/>
        </w:rPr>
        <w:t>.</w:t>
      </w:r>
      <w:r w:rsidRPr="00D5231D">
        <w:rPr>
          <w:rFonts w:ascii="Abadi" w:hAnsi="Abadi"/>
          <w:color w:val="182C5E"/>
          <w:w w:val="95"/>
          <w:sz w:val="12"/>
          <w:szCs w:val="12"/>
          <w:u w:val="single" w:color="535F80"/>
        </w:rPr>
        <w:t>mx</w:t>
      </w:r>
      <w:r w:rsidRPr="00D5231D">
        <w:rPr>
          <w:rFonts w:ascii="Abadi" w:hAnsi="Abadi"/>
          <w:color w:val="223346"/>
          <w:w w:val="95"/>
          <w:sz w:val="12"/>
          <w:szCs w:val="12"/>
          <w:u w:val="single" w:color="535F80"/>
        </w:rPr>
        <w:t>/</w:t>
      </w:r>
      <w:r w:rsidRPr="00D5231D">
        <w:rPr>
          <w:rFonts w:ascii="Abadi" w:hAnsi="Abadi"/>
          <w:color w:val="182C5E"/>
          <w:w w:val="95"/>
          <w:sz w:val="12"/>
          <w:szCs w:val="12"/>
          <w:u w:val="single" w:color="535F80"/>
        </w:rPr>
        <w:t>www/b</w:t>
      </w:r>
      <w:r w:rsidRPr="00D5231D">
        <w:rPr>
          <w:rFonts w:ascii="Abadi" w:hAnsi="Abadi"/>
          <w:color w:val="0F307C"/>
          <w:w w:val="95"/>
          <w:sz w:val="12"/>
          <w:szCs w:val="12"/>
          <w:u w:val="single" w:color="535F80"/>
        </w:rPr>
        <w:t>j</w:t>
      </w:r>
      <w:r w:rsidRPr="00D5231D">
        <w:rPr>
          <w:rFonts w:ascii="Abadi" w:hAnsi="Abadi"/>
          <w:color w:val="182C5E"/>
          <w:w w:val="95"/>
          <w:sz w:val="12"/>
          <w:szCs w:val="12"/>
          <w:u w:val="single" w:color="535F80"/>
        </w:rPr>
        <w:t>v/</w:t>
      </w:r>
      <w:r w:rsidRPr="00D5231D">
        <w:rPr>
          <w:rFonts w:ascii="Abadi" w:hAnsi="Abadi"/>
          <w:color w:val="0F307C"/>
          <w:w w:val="95"/>
          <w:sz w:val="12"/>
          <w:szCs w:val="12"/>
          <w:u w:val="single" w:color="535F80"/>
        </w:rPr>
        <w:t>l</w:t>
      </w:r>
      <w:r w:rsidRPr="00D5231D">
        <w:rPr>
          <w:rFonts w:ascii="Abadi" w:hAnsi="Abadi"/>
          <w:color w:val="182C5E"/>
          <w:w w:val="95"/>
          <w:sz w:val="12"/>
          <w:szCs w:val="12"/>
          <w:u w:val="single" w:color="535F80"/>
        </w:rPr>
        <w:t>ibros/3/117</w:t>
      </w:r>
      <w:r w:rsidRPr="00D5231D">
        <w:rPr>
          <w:rFonts w:ascii="Abadi" w:hAnsi="Abadi"/>
          <w:color w:val="182C5E"/>
          <w:spacing w:val="-34"/>
          <w:w w:val="95"/>
          <w:sz w:val="12"/>
          <w:szCs w:val="12"/>
        </w:rPr>
        <w:t xml:space="preserve"> </w:t>
      </w:r>
      <w:r w:rsidRPr="00D5231D">
        <w:rPr>
          <w:rFonts w:ascii="Abadi" w:hAnsi="Abadi"/>
          <w:color w:val="182C5E"/>
          <w:w w:val="95"/>
          <w:sz w:val="12"/>
          <w:szCs w:val="12"/>
          <w:u w:val="single" w:color="535F80"/>
        </w:rPr>
        <w:t>5/6</w:t>
      </w:r>
      <w:r w:rsidRPr="00D5231D">
        <w:rPr>
          <w:rFonts w:ascii="Abadi" w:hAnsi="Abadi"/>
          <w:color w:val="2C4738"/>
          <w:w w:val="95"/>
          <w:sz w:val="12"/>
          <w:szCs w:val="12"/>
          <w:u w:val="single" w:color="535F80"/>
        </w:rPr>
        <w:t>.</w:t>
      </w:r>
      <w:r w:rsidRPr="00D5231D">
        <w:rPr>
          <w:rFonts w:ascii="Abadi" w:hAnsi="Abadi"/>
          <w:color w:val="2C4738"/>
          <w:spacing w:val="-36"/>
          <w:w w:val="95"/>
          <w:sz w:val="12"/>
          <w:szCs w:val="12"/>
        </w:rPr>
        <w:t xml:space="preserve"> </w:t>
      </w:r>
      <w:r w:rsidRPr="00D5231D">
        <w:rPr>
          <w:rFonts w:ascii="Abadi" w:hAnsi="Abadi"/>
          <w:color w:val="182C5E"/>
          <w:w w:val="95"/>
          <w:sz w:val="12"/>
          <w:szCs w:val="12"/>
          <w:u w:val="single" w:color="535F80"/>
        </w:rPr>
        <w:t>pdf</w:t>
      </w:r>
    </w:p>
    <w:p w14:paraId="7AC52D32" w14:textId="4547599D" w:rsidR="00812A75" w:rsidRDefault="00812A75">
      <w:pPr>
        <w:pStyle w:val="Textonotapie"/>
      </w:pPr>
    </w:p>
  </w:footnote>
  <w:footnote w:id="46">
    <w:p w14:paraId="1FD82A0A" w14:textId="77777777" w:rsidR="00DD078E" w:rsidRPr="000E55C0" w:rsidRDefault="00DD078E" w:rsidP="00DD078E">
      <w:pPr>
        <w:autoSpaceDE w:val="0"/>
        <w:autoSpaceDN w:val="0"/>
        <w:adjustRightInd w:val="0"/>
        <w:rPr>
          <w:rFonts w:ascii="Abadi" w:hAnsi="Abadi" w:cs="*Arial-10455-Identity-H"/>
          <w:color w:val="111212"/>
          <w:sz w:val="12"/>
          <w:szCs w:val="12"/>
          <w:lang w:val="es-MX" w:eastAsia="es-MX"/>
        </w:rPr>
      </w:pPr>
      <w:r w:rsidRPr="000E55C0">
        <w:rPr>
          <w:rStyle w:val="Refdenotaalpie"/>
          <w:rFonts w:ascii="Abadi" w:hAnsi="Abadi"/>
          <w:sz w:val="12"/>
          <w:szCs w:val="12"/>
        </w:rPr>
        <w:footnoteRef/>
      </w:r>
      <w:r w:rsidRPr="000E55C0">
        <w:rPr>
          <w:rFonts w:ascii="Abadi" w:hAnsi="Abadi"/>
          <w:sz w:val="12"/>
          <w:szCs w:val="12"/>
        </w:rPr>
        <w:t xml:space="preserve"> </w:t>
      </w:r>
      <w:r w:rsidRPr="000E55C0">
        <w:rPr>
          <w:rFonts w:ascii="Abadi" w:hAnsi="Abadi" w:cs="*Arial-10455-Identity-H"/>
          <w:color w:val="111212"/>
          <w:sz w:val="12"/>
          <w:szCs w:val="12"/>
          <w:lang w:val="es-MX" w:eastAsia="es-MX"/>
        </w:rPr>
        <w:t>Diccionario Jurídico Mexicano, Instituto de Investigaciones Juridicas de la UNAM, disponible en:</w:t>
      </w:r>
    </w:p>
    <w:p w14:paraId="66CDFD62" w14:textId="42D19328" w:rsidR="00DD078E" w:rsidRPr="000E55C0" w:rsidRDefault="00DD078E" w:rsidP="00DD078E">
      <w:pPr>
        <w:pStyle w:val="Textonotapie"/>
        <w:rPr>
          <w:rFonts w:ascii="Abadi" w:hAnsi="Abadi"/>
          <w:sz w:val="12"/>
          <w:szCs w:val="12"/>
        </w:rPr>
      </w:pPr>
      <w:r w:rsidRPr="000E55C0">
        <w:rPr>
          <w:rFonts w:ascii="Abadi" w:hAnsi="Abadi" w:cs="*Arial-10455-Identity-H"/>
          <w:color w:val="192C56"/>
          <w:sz w:val="12"/>
          <w:szCs w:val="12"/>
          <w:lang w:eastAsia="es-MX"/>
        </w:rPr>
        <w:t>htt</w:t>
      </w:r>
      <w:r w:rsidRPr="000E55C0">
        <w:rPr>
          <w:rFonts w:ascii="Abadi" w:hAnsi="Abadi" w:cs="*Arial-10455-Identity-H"/>
          <w:color w:val="1D386C"/>
          <w:sz w:val="12"/>
          <w:szCs w:val="12"/>
          <w:lang w:eastAsia="es-MX"/>
        </w:rPr>
        <w:t>p</w:t>
      </w:r>
      <w:r w:rsidRPr="000E55C0">
        <w:rPr>
          <w:rFonts w:ascii="Abadi" w:hAnsi="Abadi" w:cs="*Arial-10455-Identity-H"/>
          <w:color w:val="192C56"/>
          <w:sz w:val="12"/>
          <w:szCs w:val="12"/>
          <w:lang w:eastAsia="es-MX"/>
        </w:rPr>
        <w:t>s://archivos</w:t>
      </w:r>
      <w:r w:rsidRPr="000E55C0">
        <w:rPr>
          <w:rFonts w:ascii="Abadi" w:hAnsi="Abadi" w:cs="*Arial-10455-Identity-H"/>
          <w:color w:val="586464"/>
          <w:sz w:val="12"/>
          <w:szCs w:val="12"/>
          <w:lang w:eastAsia="es-MX"/>
        </w:rPr>
        <w:t>.</w:t>
      </w:r>
      <w:r w:rsidRPr="000E55C0">
        <w:rPr>
          <w:rFonts w:ascii="Abadi" w:hAnsi="Abadi" w:cs="*Arial-10455-Identity-H"/>
          <w:color w:val="192C56"/>
          <w:sz w:val="12"/>
          <w:szCs w:val="12"/>
          <w:lang w:eastAsia="es-MX"/>
        </w:rPr>
        <w:t>ju</w:t>
      </w:r>
      <w:r w:rsidRPr="000E55C0">
        <w:rPr>
          <w:rFonts w:ascii="Abadi" w:hAnsi="Abadi" w:cs="*Arial-10455-Identity-H"/>
          <w:color w:val="1D386C"/>
          <w:sz w:val="12"/>
          <w:szCs w:val="12"/>
          <w:lang w:eastAsia="es-MX"/>
        </w:rPr>
        <w:t>r</w:t>
      </w:r>
      <w:r w:rsidRPr="000E55C0">
        <w:rPr>
          <w:rFonts w:ascii="Abadi" w:hAnsi="Abadi" w:cs="*Arial-10455-Identity-H"/>
          <w:color w:val="192C56"/>
          <w:sz w:val="12"/>
          <w:szCs w:val="12"/>
          <w:lang w:eastAsia="es-MX"/>
        </w:rPr>
        <w:t>idicas</w:t>
      </w:r>
      <w:r w:rsidRPr="000E55C0">
        <w:rPr>
          <w:rFonts w:ascii="Abadi" w:hAnsi="Abadi" w:cs="*Arial-10455-Identity-H"/>
          <w:color w:val="3A524A"/>
          <w:sz w:val="12"/>
          <w:szCs w:val="12"/>
          <w:lang w:eastAsia="es-MX"/>
        </w:rPr>
        <w:t>.</w:t>
      </w:r>
      <w:r w:rsidRPr="000E55C0">
        <w:rPr>
          <w:rFonts w:ascii="Abadi" w:hAnsi="Abadi" w:cs="*Arial-10455-Identity-H"/>
          <w:color w:val="192C56"/>
          <w:sz w:val="12"/>
          <w:szCs w:val="12"/>
          <w:lang w:eastAsia="es-MX"/>
        </w:rPr>
        <w:t>unam</w:t>
      </w:r>
      <w:r w:rsidRPr="000E55C0">
        <w:rPr>
          <w:rFonts w:ascii="Abadi" w:hAnsi="Abadi" w:cs="*Arial-10455-Identity-H"/>
          <w:color w:val="3A524A"/>
          <w:sz w:val="12"/>
          <w:szCs w:val="12"/>
          <w:lang w:eastAsia="es-MX"/>
        </w:rPr>
        <w:t>.</w:t>
      </w:r>
      <w:r w:rsidRPr="000E55C0">
        <w:rPr>
          <w:rFonts w:ascii="Abadi" w:hAnsi="Abadi" w:cs="*Arial-10455-Identity-H"/>
          <w:color w:val="192C56"/>
          <w:sz w:val="12"/>
          <w:szCs w:val="12"/>
          <w:lang w:eastAsia="es-MX"/>
        </w:rPr>
        <w:t>m</w:t>
      </w:r>
      <w:r w:rsidRPr="000E55C0">
        <w:rPr>
          <w:rFonts w:ascii="Abadi" w:hAnsi="Abadi" w:cs="*Arial-10455-Identity-H"/>
          <w:color w:val="1D386C"/>
          <w:sz w:val="12"/>
          <w:szCs w:val="12"/>
          <w:lang w:eastAsia="es-MX"/>
        </w:rPr>
        <w:t>x/</w:t>
      </w:r>
      <w:r w:rsidRPr="000E55C0">
        <w:rPr>
          <w:rFonts w:ascii="Abadi" w:hAnsi="Abadi" w:cs="*Arial-10455-Identity-H"/>
          <w:color w:val="192C56"/>
          <w:sz w:val="12"/>
          <w:szCs w:val="12"/>
          <w:lang w:eastAsia="es-MX"/>
        </w:rPr>
        <w:t>www/b</w:t>
      </w:r>
      <w:r w:rsidRPr="000E55C0">
        <w:rPr>
          <w:rFonts w:ascii="Abadi" w:hAnsi="Abadi" w:cs="*Arial-10455-Identity-H"/>
          <w:color w:val="1D386C"/>
          <w:sz w:val="12"/>
          <w:szCs w:val="12"/>
          <w:lang w:eastAsia="es-MX"/>
        </w:rPr>
        <w:t>j</w:t>
      </w:r>
      <w:r w:rsidRPr="000E55C0">
        <w:rPr>
          <w:rFonts w:ascii="Abadi" w:hAnsi="Abadi" w:cs="*Arial-10455-Identity-H"/>
          <w:color w:val="192C56"/>
          <w:sz w:val="12"/>
          <w:szCs w:val="12"/>
          <w:lang w:eastAsia="es-MX"/>
        </w:rPr>
        <w:t>v/li</w:t>
      </w:r>
      <w:r w:rsidRPr="000E55C0">
        <w:rPr>
          <w:rFonts w:ascii="Abadi" w:hAnsi="Abadi" w:cs="*Arial-10455-Identity-H"/>
          <w:color w:val="17253F"/>
          <w:sz w:val="12"/>
          <w:szCs w:val="12"/>
          <w:lang w:eastAsia="es-MX"/>
        </w:rPr>
        <w:t>b</w:t>
      </w:r>
      <w:r w:rsidRPr="000E55C0">
        <w:rPr>
          <w:rFonts w:ascii="Abadi" w:hAnsi="Abadi" w:cs="*Arial-10455-Identity-H"/>
          <w:color w:val="192C56"/>
          <w:sz w:val="12"/>
          <w:szCs w:val="12"/>
          <w:lang w:eastAsia="es-MX"/>
        </w:rPr>
        <w:t>ros/3/1175/6</w:t>
      </w:r>
      <w:r w:rsidRPr="000E55C0">
        <w:rPr>
          <w:rFonts w:ascii="Abadi" w:hAnsi="Abadi" w:cs="*Arial-10455-Identity-H"/>
          <w:color w:val="17253F"/>
          <w:sz w:val="12"/>
          <w:szCs w:val="12"/>
          <w:lang w:eastAsia="es-MX"/>
        </w:rPr>
        <w:t>.</w:t>
      </w:r>
      <w:r w:rsidRPr="000E55C0">
        <w:rPr>
          <w:rFonts w:ascii="Abadi" w:hAnsi="Abadi" w:cs="*Arial-10455-Identity-H"/>
          <w:color w:val="192C56"/>
          <w:sz w:val="12"/>
          <w:szCs w:val="12"/>
          <w:lang w:eastAsia="es-MX"/>
        </w:rPr>
        <w:t>pdf</w:t>
      </w:r>
    </w:p>
  </w:footnote>
  <w:footnote w:id="47">
    <w:p w14:paraId="02170326" w14:textId="36DE65BC" w:rsidR="009D5543" w:rsidRPr="009D5543" w:rsidRDefault="009D5543" w:rsidP="009D5543">
      <w:pPr>
        <w:pStyle w:val="Textoindependiente"/>
        <w:kinsoku w:val="0"/>
        <w:overflowPunct w:val="0"/>
        <w:rPr>
          <w:rFonts w:ascii="Abadi" w:hAnsi="Abadi" w:cs="Constantia"/>
          <w:b w:val="0"/>
          <w:bCs w:val="0"/>
          <w:color w:val="121213"/>
          <w:w w:val="101"/>
          <w:sz w:val="12"/>
          <w:szCs w:val="12"/>
        </w:rPr>
      </w:pPr>
      <w:r w:rsidRPr="009D5543">
        <w:rPr>
          <w:rStyle w:val="Refdenotaalpie"/>
          <w:rFonts w:ascii="Abadi" w:hAnsi="Abadi"/>
          <w:sz w:val="12"/>
          <w:szCs w:val="12"/>
        </w:rPr>
        <w:footnoteRef/>
      </w:r>
      <w:r w:rsidRPr="009D5543">
        <w:rPr>
          <w:rFonts w:ascii="Abadi" w:hAnsi="Abadi"/>
          <w:sz w:val="12"/>
          <w:szCs w:val="12"/>
        </w:rPr>
        <w:t xml:space="preserve"> </w:t>
      </w:r>
    </w:p>
    <w:p w14:paraId="47E07ED4" w14:textId="77777777" w:rsidR="009D5543" w:rsidRPr="009D5543" w:rsidRDefault="009D5543" w:rsidP="009D5543">
      <w:pPr>
        <w:pStyle w:val="Textoindependiente"/>
        <w:kinsoku w:val="0"/>
        <w:overflowPunct w:val="0"/>
        <w:rPr>
          <w:rFonts w:ascii="Abadi" w:hAnsi="Abadi"/>
          <w:color w:val="121213"/>
          <w:spacing w:val="-2"/>
          <w:sz w:val="12"/>
          <w:szCs w:val="12"/>
        </w:rPr>
      </w:pPr>
      <w:r w:rsidRPr="009D5543">
        <w:rPr>
          <w:rFonts w:ascii="Abadi" w:hAnsi="Abadi"/>
          <w:color w:val="121213"/>
          <w:spacing w:val="-2"/>
          <w:sz w:val="12"/>
          <w:szCs w:val="12"/>
        </w:rPr>
        <w:t>Diccionario</w:t>
      </w:r>
      <w:r w:rsidRPr="009D5543">
        <w:rPr>
          <w:rFonts w:ascii="Abadi" w:hAnsi="Abadi"/>
          <w:color w:val="121213"/>
          <w:sz w:val="12"/>
          <w:szCs w:val="12"/>
        </w:rPr>
        <w:t xml:space="preserve"> </w:t>
      </w:r>
      <w:r w:rsidRPr="009D5543">
        <w:rPr>
          <w:rFonts w:ascii="Abadi" w:hAnsi="Abadi"/>
          <w:color w:val="121213"/>
          <w:spacing w:val="-2"/>
          <w:sz w:val="12"/>
          <w:szCs w:val="12"/>
        </w:rPr>
        <w:t>Jurídico</w:t>
      </w:r>
      <w:r w:rsidRPr="009D5543">
        <w:rPr>
          <w:rFonts w:ascii="Abadi" w:hAnsi="Abadi"/>
          <w:color w:val="121213"/>
          <w:sz w:val="12"/>
          <w:szCs w:val="12"/>
        </w:rPr>
        <w:t xml:space="preserve"> </w:t>
      </w:r>
      <w:r w:rsidRPr="009D5543">
        <w:rPr>
          <w:rFonts w:ascii="Abadi" w:hAnsi="Abadi"/>
          <w:color w:val="121213"/>
          <w:spacing w:val="-2"/>
          <w:sz w:val="12"/>
          <w:szCs w:val="12"/>
        </w:rPr>
        <w:t>Mexicano,</w:t>
      </w:r>
      <w:r w:rsidRPr="009D5543">
        <w:rPr>
          <w:rFonts w:ascii="Abadi" w:hAnsi="Abadi"/>
          <w:color w:val="121213"/>
          <w:spacing w:val="17"/>
          <w:sz w:val="12"/>
          <w:szCs w:val="12"/>
        </w:rPr>
        <w:t xml:space="preserve"> </w:t>
      </w:r>
      <w:r w:rsidRPr="009D5543">
        <w:rPr>
          <w:rFonts w:ascii="Abadi" w:hAnsi="Abadi"/>
          <w:color w:val="121213"/>
          <w:spacing w:val="-2"/>
          <w:sz w:val="12"/>
          <w:szCs w:val="12"/>
        </w:rPr>
        <w:t>Instituto</w:t>
      </w:r>
      <w:r w:rsidRPr="009D5543">
        <w:rPr>
          <w:rFonts w:ascii="Abadi" w:hAnsi="Abadi"/>
          <w:color w:val="121213"/>
          <w:spacing w:val="-7"/>
          <w:sz w:val="12"/>
          <w:szCs w:val="12"/>
        </w:rPr>
        <w:t xml:space="preserve"> </w:t>
      </w:r>
      <w:r w:rsidRPr="009D5543">
        <w:rPr>
          <w:rFonts w:ascii="Abadi" w:hAnsi="Abadi"/>
          <w:color w:val="121213"/>
          <w:spacing w:val="-2"/>
          <w:sz w:val="12"/>
          <w:szCs w:val="12"/>
        </w:rPr>
        <w:t>de Investigaciones Jurídicas</w:t>
      </w:r>
      <w:r w:rsidRPr="009D5543">
        <w:rPr>
          <w:rFonts w:ascii="Abadi" w:hAnsi="Abadi"/>
          <w:color w:val="121213"/>
          <w:spacing w:val="-9"/>
          <w:sz w:val="12"/>
          <w:szCs w:val="12"/>
        </w:rPr>
        <w:t xml:space="preserve"> </w:t>
      </w:r>
      <w:r w:rsidRPr="009D5543">
        <w:rPr>
          <w:rFonts w:ascii="Abadi" w:hAnsi="Abadi"/>
          <w:color w:val="121213"/>
          <w:spacing w:val="-2"/>
          <w:sz w:val="12"/>
          <w:szCs w:val="12"/>
        </w:rPr>
        <w:t>de</w:t>
      </w:r>
      <w:r w:rsidRPr="009D5543">
        <w:rPr>
          <w:rFonts w:ascii="Abadi" w:hAnsi="Abadi"/>
          <w:color w:val="121213"/>
          <w:spacing w:val="-8"/>
          <w:sz w:val="12"/>
          <w:szCs w:val="12"/>
        </w:rPr>
        <w:t xml:space="preserve"> </w:t>
      </w:r>
      <w:r w:rsidRPr="009D5543">
        <w:rPr>
          <w:rFonts w:ascii="Abadi" w:hAnsi="Abadi"/>
          <w:color w:val="121213"/>
          <w:spacing w:val="-2"/>
          <w:sz w:val="12"/>
          <w:szCs w:val="12"/>
        </w:rPr>
        <w:t>la</w:t>
      </w:r>
      <w:r w:rsidRPr="009D5543">
        <w:rPr>
          <w:rFonts w:ascii="Abadi" w:hAnsi="Abadi"/>
          <w:color w:val="121213"/>
          <w:sz w:val="12"/>
          <w:szCs w:val="12"/>
        </w:rPr>
        <w:t xml:space="preserve"> </w:t>
      </w:r>
      <w:r w:rsidRPr="009D5543">
        <w:rPr>
          <w:rFonts w:ascii="Abadi" w:hAnsi="Abadi"/>
          <w:color w:val="121213"/>
          <w:spacing w:val="-2"/>
          <w:sz w:val="12"/>
          <w:szCs w:val="12"/>
        </w:rPr>
        <w:t>UNAM,</w:t>
      </w:r>
      <w:r w:rsidRPr="009D5543">
        <w:rPr>
          <w:rFonts w:ascii="Abadi" w:hAnsi="Abadi"/>
          <w:color w:val="121213"/>
          <w:spacing w:val="10"/>
          <w:sz w:val="12"/>
          <w:szCs w:val="12"/>
        </w:rPr>
        <w:t xml:space="preserve"> </w:t>
      </w:r>
      <w:r w:rsidRPr="009D5543">
        <w:rPr>
          <w:rFonts w:ascii="Abadi" w:hAnsi="Abadi"/>
          <w:color w:val="121213"/>
          <w:spacing w:val="-2"/>
          <w:sz w:val="12"/>
          <w:szCs w:val="12"/>
        </w:rPr>
        <w:t>disponible</w:t>
      </w:r>
      <w:r w:rsidRPr="009D5543">
        <w:rPr>
          <w:rFonts w:ascii="Abadi" w:hAnsi="Abadi"/>
          <w:color w:val="121213"/>
          <w:spacing w:val="-4"/>
          <w:sz w:val="12"/>
          <w:szCs w:val="12"/>
        </w:rPr>
        <w:t xml:space="preserve"> </w:t>
      </w:r>
      <w:r w:rsidRPr="009D5543">
        <w:rPr>
          <w:rFonts w:ascii="Abadi" w:hAnsi="Abadi"/>
          <w:color w:val="121213"/>
          <w:spacing w:val="-2"/>
          <w:sz w:val="12"/>
          <w:szCs w:val="12"/>
        </w:rPr>
        <w:t>en:</w:t>
      </w:r>
    </w:p>
    <w:p w14:paraId="0A6E6370" w14:textId="77777777" w:rsidR="009D5543" w:rsidRPr="009D5543" w:rsidRDefault="009D5543" w:rsidP="009D5543">
      <w:pPr>
        <w:pStyle w:val="Textoindependiente"/>
        <w:kinsoku w:val="0"/>
        <w:overflowPunct w:val="0"/>
        <w:rPr>
          <w:rFonts w:ascii="Abadi" w:hAnsi="Abadi"/>
          <w:color w:val="182956"/>
          <w:spacing w:val="-2"/>
          <w:w w:val="95"/>
          <w:sz w:val="12"/>
          <w:szCs w:val="12"/>
        </w:rPr>
      </w:pPr>
      <w:r w:rsidRPr="009D5543">
        <w:rPr>
          <w:rFonts w:ascii="Abadi" w:hAnsi="Abadi"/>
          <w:color w:val="182956"/>
          <w:spacing w:val="-2"/>
          <w:w w:val="95"/>
          <w:sz w:val="12"/>
          <w:szCs w:val="12"/>
          <w:u w:val="single" w:color="535C9C"/>
        </w:rPr>
        <w:t>htt</w:t>
      </w:r>
      <w:r w:rsidRPr="009D5543">
        <w:rPr>
          <w:rFonts w:ascii="Abadi" w:hAnsi="Abadi"/>
          <w:color w:val="2C3D6B"/>
          <w:spacing w:val="-2"/>
          <w:w w:val="95"/>
          <w:sz w:val="12"/>
          <w:szCs w:val="12"/>
          <w:u w:val="single" w:color="535C9C"/>
        </w:rPr>
        <w:t>p</w:t>
      </w:r>
      <w:r w:rsidRPr="009D5543">
        <w:rPr>
          <w:rFonts w:ascii="Abadi" w:hAnsi="Abadi"/>
          <w:color w:val="182956"/>
          <w:spacing w:val="-2"/>
          <w:w w:val="95"/>
          <w:sz w:val="12"/>
          <w:szCs w:val="12"/>
          <w:u w:val="single" w:color="535C9C"/>
        </w:rPr>
        <w:t>s</w:t>
      </w:r>
      <w:r w:rsidRPr="009D5543">
        <w:rPr>
          <w:rFonts w:ascii="Abadi" w:hAnsi="Abadi"/>
          <w:color w:val="384048"/>
          <w:spacing w:val="-2"/>
          <w:w w:val="95"/>
          <w:sz w:val="12"/>
          <w:szCs w:val="12"/>
          <w:u w:val="single" w:color="535C9C"/>
        </w:rPr>
        <w:t>:</w:t>
      </w:r>
      <w:r w:rsidRPr="009D5543">
        <w:rPr>
          <w:rFonts w:ascii="Abadi" w:hAnsi="Abadi"/>
          <w:color w:val="182956"/>
          <w:spacing w:val="-2"/>
          <w:w w:val="95"/>
          <w:sz w:val="12"/>
          <w:szCs w:val="12"/>
          <w:u w:val="single" w:color="535C9C"/>
        </w:rPr>
        <w:t>//arch</w:t>
      </w:r>
      <w:r w:rsidRPr="009D5543">
        <w:rPr>
          <w:rFonts w:ascii="Abadi" w:hAnsi="Abadi"/>
          <w:color w:val="0B1445"/>
          <w:spacing w:val="-2"/>
          <w:w w:val="95"/>
          <w:sz w:val="12"/>
          <w:szCs w:val="12"/>
          <w:u w:val="single" w:color="535C9C"/>
        </w:rPr>
        <w:t>i</w:t>
      </w:r>
      <w:r w:rsidRPr="009D5543">
        <w:rPr>
          <w:rFonts w:ascii="Abadi" w:hAnsi="Abadi"/>
          <w:color w:val="182956"/>
          <w:spacing w:val="-2"/>
          <w:w w:val="95"/>
          <w:sz w:val="12"/>
          <w:szCs w:val="12"/>
          <w:u w:val="single" w:color="535C9C"/>
        </w:rPr>
        <w:t>vos</w:t>
      </w:r>
      <w:r w:rsidRPr="009D5543">
        <w:rPr>
          <w:rFonts w:ascii="Abadi" w:hAnsi="Abadi"/>
          <w:color w:val="57635F"/>
          <w:spacing w:val="-2"/>
          <w:w w:val="95"/>
          <w:sz w:val="12"/>
          <w:szCs w:val="12"/>
          <w:u w:val="single" w:color="535C9C"/>
        </w:rPr>
        <w:t>.</w:t>
      </w:r>
      <w:r w:rsidRPr="009D5543">
        <w:rPr>
          <w:rFonts w:ascii="Abadi" w:hAnsi="Abadi"/>
          <w:color w:val="182956"/>
          <w:spacing w:val="-2"/>
          <w:w w:val="95"/>
          <w:sz w:val="12"/>
          <w:szCs w:val="12"/>
          <w:u w:val="single" w:color="535C9C"/>
        </w:rPr>
        <w:t>juridica</w:t>
      </w:r>
      <w:r w:rsidRPr="009D5543">
        <w:rPr>
          <w:rFonts w:ascii="Abadi" w:hAnsi="Abadi"/>
          <w:color w:val="2C3D6B"/>
          <w:spacing w:val="-2"/>
          <w:w w:val="95"/>
          <w:sz w:val="12"/>
          <w:szCs w:val="12"/>
          <w:u w:val="single" w:color="535C9C"/>
        </w:rPr>
        <w:t>s</w:t>
      </w:r>
      <w:r w:rsidRPr="009D5543">
        <w:rPr>
          <w:rFonts w:ascii="Abadi" w:hAnsi="Abadi"/>
          <w:color w:val="384048"/>
          <w:spacing w:val="-2"/>
          <w:w w:val="95"/>
          <w:sz w:val="12"/>
          <w:szCs w:val="12"/>
          <w:u w:val="single" w:color="535C9C"/>
        </w:rPr>
        <w:t>.</w:t>
      </w:r>
      <w:r w:rsidRPr="009D5543">
        <w:rPr>
          <w:rFonts w:ascii="Abadi" w:hAnsi="Abadi"/>
          <w:color w:val="0B1445"/>
          <w:spacing w:val="-2"/>
          <w:w w:val="95"/>
          <w:sz w:val="12"/>
          <w:szCs w:val="12"/>
          <w:u w:val="single" w:color="535C9C"/>
        </w:rPr>
        <w:t>un</w:t>
      </w:r>
      <w:r w:rsidRPr="009D5543">
        <w:rPr>
          <w:rFonts w:ascii="Abadi" w:hAnsi="Abadi"/>
          <w:color w:val="182956"/>
          <w:spacing w:val="-2"/>
          <w:w w:val="95"/>
          <w:sz w:val="12"/>
          <w:szCs w:val="12"/>
          <w:u w:val="single" w:color="535C9C"/>
        </w:rPr>
        <w:t>am</w:t>
      </w:r>
      <w:r w:rsidRPr="009D5543">
        <w:rPr>
          <w:rFonts w:ascii="Abadi" w:hAnsi="Abadi"/>
          <w:color w:val="384048"/>
          <w:spacing w:val="-2"/>
          <w:w w:val="95"/>
          <w:sz w:val="12"/>
          <w:szCs w:val="12"/>
          <w:u w:val="single" w:color="535C9C"/>
        </w:rPr>
        <w:t>.</w:t>
      </w:r>
      <w:r w:rsidRPr="009D5543">
        <w:rPr>
          <w:rFonts w:ascii="Abadi" w:hAnsi="Abadi"/>
          <w:color w:val="182956"/>
          <w:spacing w:val="-2"/>
          <w:w w:val="95"/>
          <w:sz w:val="12"/>
          <w:szCs w:val="12"/>
          <w:u w:val="single" w:color="535C9C"/>
        </w:rPr>
        <w:t>mx/www/bj</w:t>
      </w:r>
      <w:r w:rsidRPr="009D5543">
        <w:rPr>
          <w:rFonts w:ascii="Abadi" w:hAnsi="Abadi"/>
          <w:color w:val="0B1445"/>
          <w:spacing w:val="-2"/>
          <w:w w:val="95"/>
          <w:sz w:val="12"/>
          <w:szCs w:val="12"/>
          <w:u w:val="single" w:color="535C9C"/>
        </w:rPr>
        <w:t>v</w:t>
      </w:r>
      <w:r w:rsidRPr="009D5543">
        <w:rPr>
          <w:rFonts w:ascii="Abadi" w:hAnsi="Abadi"/>
          <w:color w:val="182956"/>
          <w:spacing w:val="-2"/>
          <w:w w:val="95"/>
          <w:sz w:val="12"/>
          <w:szCs w:val="12"/>
          <w:u w:val="single" w:color="535C9C"/>
        </w:rPr>
        <w:t>/</w:t>
      </w:r>
      <w:r w:rsidRPr="009D5543">
        <w:rPr>
          <w:rFonts w:ascii="Abadi" w:hAnsi="Abadi"/>
          <w:color w:val="0B1445"/>
          <w:spacing w:val="-2"/>
          <w:w w:val="95"/>
          <w:sz w:val="12"/>
          <w:szCs w:val="12"/>
          <w:u w:val="single" w:color="535C9C"/>
        </w:rPr>
        <w:t>libr</w:t>
      </w:r>
      <w:r w:rsidRPr="009D5543">
        <w:rPr>
          <w:rFonts w:ascii="Abadi" w:hAnsi="Abadi"/>
          <w:color w:val="182956"/>
          <w:spacing w:val="-2"/>
          <w:w w:val="95"/>
          <w:sz w:val="12"/>
          <w:szCs w:val="12"/>
          <w:u w:val="single" w:color="535C9C"/>
        </w:rPr>
        <w:t>os/3/11</w:t>
      </w:r>
      <w:r w:rsidRPr="009D5543">
        <w:rPr>
          <w:rFonts w:ascii="Abadi" w:hAnsi="Abadi"/>
          <w:color w:val="384048"/>
          <w:spacing w:val="-2"/>
          <w:w w:val="95"/>
          <w:sz w:val="12"/>
          <w:szCs w:val="12"/>
          <w:u w:val="single" w:color="535C9C"/>
        </w:rPr>
        <w:t>7</w:t>
      </w:r>
      <w:r w:rsidRPr="009D5543">
        <w:rPr>
          <w:rFonts w:ascii="Abadi" w:hAnsi="Abadi"/>
          <w:color w:val="182956"/>
          <w:spacing w:val="-2"/>
          <w:w w:val="95"/>
          <w:sz w:val="12"/>
          <w:szCs w:val="12"/>
          <w:u w:val="single" w:color="535C9C"/>
        </w:rPr>
        <w:t>5/6</w:t>
      </w:r>
      <w:r w:rsidRPr="009D5543">
        <w:rPr>
          <w:rFonts w:ascii="Abadi" w:hAnsi="Abadi"/>
          <w:color w:val="384048"/>
          <w:spacing w:val="-2"/>
          <w:w w:val="95"/>
          <w:sz w:val="12"/>
          <w:szCs w:val="12"/>
          <w:u w:val="single" w:color="535C9C"/>
        </w:rPr>
        <w:t>.</w:t>
      </w:r>
      <w:r w:rsidRPr="009D5543">
        <w:rPr>
          <w:rFonts w:ascii="Abadi" w:hAnsi="Abadi"/>
          <w:color w:val="182956"/>
          <w:spacing w:val="-2"/>
          <w:w w:val="95"/>
          <w:sz w:val="12"/>
          <w:szCs w:val="12"/>
          <w:u w:val="single" w:color="535C9C"/>
        </w:rPr>
        <w:t>pdf</w:t>
      </w:r>
    </w:p>
    <w:p w14:paraId="1CDD881F" w14:textId="47E970B1" w:rsidR="009D5543" w:rsidRPr="009D5543" w:rsidRDefault="009D5543">
      <w:pPr>
        <w:pStyle w:val="Textonotapie"/>
        <w:rPr>
          <w:rFonts w:ascii="Abadi" w:hAnsi="Abadi"/>
          <w:sz w:val="12"/>
          <w:szCs w:val="12"/>
        </w:rPr>
      </w:pPr>
    </w:p>
  </w:footnote>
  <w:footnote w:id="48">
    <w:p w14:paraId="5E0A15EE" w14:textId="2EDB1532" w:rsidR="003C48D5" w:rsidRPr="003C48D5" w:rsidRDefault="00A61D3B" w:rsidP="003C48D5">
      <w:pPr>
        <w:pStyle w:val="Textoindependiente"/>
        <w:kinsoku w:val="0"/>
        <w:overflowPunct w:val="0"/>
        <w:rPr>
          <w:rFonts w:ascii="Abadi" w:hAnsi="Abadi"/>
          <w:color w:val="101011"/>
          <w:w w:val="41"/>
          <w:sz w:val="12"/>
          <w:szCs w:val="12"/>
        </w:rPr>
      </w:pPr>
      <w:r w:rsidRPr="003C48D5">
        <w:rPr>
          <w:rStyle w:val="Refdenotaalpie"/>
          <w:rFonts w:ascii="Abadi" w:hAnsi="Abadi"/>
          <w:sz w:val="12"/>
          <w:szCs w:val="12"/>
        </w:rPr>
        <w:footnoteRef/>
      </w:r>
    </w:p>
    <w:p w14:paraId="43F828BF" w14:textId="77777777" w:rsidR="003C48D5" w:rsidRPr="003C48D5" w:rsidRDefault="003C48D5" w:rsidP="003C48D5">
      <w:pPr>
        <w:pStyle w:val="Textoindependiente"/>
        <w:kinsoku w:val="0"/>
        <w:overflowPunct w:val="0"/>
        <w:rPr>
          <w:rFonts w:ascii="Abadi" w:hAnsi="Abadi"/>
          <w:color w:val="101011"/>
          <w:spacing w:val="-2"/>
          <w:sz w:val="12"/>
          <w:szCs w:val="12"/>
        </w:rPr>
      </w:pPr>
      <w:r w:rsidRPr="003C48D5">
        <w:rPr>
          <w:rFonts w:ascii="Abadi" w:hAnsi="Abadi"/>
          <w:color w:val="101011"/>
          <w:spacing w:val="-2"/>
          <w:sz w:val="12"/>
          <w:szCs w:val="12"/>
        </w:rPr>
        <w:t>Diccionario</w:t>
      </w:r>
      <w:r w:rsidRPr="003C48D5">
        <w:rPr>
          <w:rFonts w:ascii="Abadi" w:hAnsi="Abadi"/>
          <w:color w:val="101011"/>
          <w:spacing w:val="-7"/>
          <w:sz w:val="12"/>
          <w:szCs w:val="12"/>
        </w:rPr>
        <w:t xml:space="preserve"> </w:t>
      </w:r>
      <w:r w:rsidRPr="003C48D5">
        <w:rPr>
          <w:rFonts w:ascii="Abadi" w:hAnsi="Abadi"/>
          <w:color w:val="101011"/>
          <w:spacing w:val="-2"/>
          <w:sz w:val="12"/>
          <w:szCs w:val="12"/>
        </w:rPr>
        <w:t>Jurídico</w:t>
      </w:r>
      <w:r w:rsidRPr="003C48D5">
        <w:rPr>
          <w:rFonts w:ascii="Abadi" w:hAnsi="Abadi"/>
          <w:color w:val="101011"/>
          <w:spacing w:val="-8"/>
          <w:sz w:val="12"/>
          <w:szCs w:val="12"/>
        </w:rPr>
        <w:t xml:space="preserve"> </w:t>
      </w:r>
      <w:r w:rsidRPr="003C48D5">
        <w:rPr>
          <w:rFonts w:ascii="Abadi" w:hAnsi="Abadi"/>
          <w:color w:val="101011"/>
          <w:spacing w:val="-2"/>
          <w:sz w:val="12"/>
          <w:szCs w:val="12"/>
        </w:rPr>
        <w:t>Mexicano,</w:t>
      </w:r>
      <w:r w:rsidRPr="003C48D5">
        <w:rPr>
          <w:rFonts w:ascii="Abadi" w:hAnsi="Abadi"/>
          <w:color w:val="101011"/>
          <w:spacing w:val="12"/>
          <w:sz w:val="12"/>
          <w:szCs w:val="12"/>
        </w:rPr>
        <w:t xml:space="preserve"> </w:t>
      </w:r>
      <w:r w:rsidRPr="003C48D5">
        <w:rPr>
          <w:rFonts w:ascii="Abadi" w:hAnsi="Abadi"/>
          <w:color w:val="101011"/>
          <w:spacing w:val="-2"/>
          <w:sz w:val="12"/>
          <w:szCs w:val="12"/>
        </w:rPr>
        <w:t>Instituto</w:t>
      </w:r>
      <w:r w:rsidRPr="003C48D5">
        <w:rPr>
          <w:rFonts w:ascii="Abadi" w:hAnsi="Abadi"/>
          <w:color w:val="101011"/>
          <w:spacing w:val="-8"/>
          <w:sz w:val="12"/>
          <w:szCs w:val="12"/>
        </w:rPr>
        <w:t xml:space="preserve"> </w:t>
      </w:r>
      <w:r w:rsidRPr="003C48D5">
        <w:rPr>
          <w:rFonts w:ascii="Abadi" w:hAnsi="Abadi"/>
          <w:color w:val="101011"/>
          <w:spacing w:val="-2"/>
          <w:sz w:val="12"/>
          <w:szCs w:val="12"/>
        </w:rPr>
        <w:t>de Investigaciones</w:t>
      </w:r>
      <w:r w:rsidRPr="003C48D5">
        <w:rPr>
          <w:rFonts w:ascii="Abadi" w:hAnsi="Abadi"/>
          <w:color w:val="101011"/>
          <w:spacing w:val="-5"/>
          <w:sz w:val="12"/>
          <w:szCs w:val="12"/>
        </w:rPr>
        <w:t xml:space="preserve"> </w:t>
      </w:r>
      <w:r w:rsidRPr="003C48D5">
        <w:rPr>
          <w:rFonts w:ascii="Abadi" w:hAnsi="Abadi"/>
          <w:color w:val="101011"/>
          <w:spacing w:val="-2"/>
          <w:sz w:val="12"/>
          <w:szCs w:val="12"/>
        </w:rPr>
        <w:t>Jurídicas</w:t>
      </w:r>
      <w:r w:rsidRPr="003C48D5">
        <w:rPr>
          <w:rFonts w:ascii="Abadi" w:hAnsi="Abadi"/>
          <w:color w:val="101011"/>
          <w:spacing w:val="-5"/>
          <w:sz w:val="12"/>
          <w:szCs w:val="12"/>
        </w:rPr>
        <w:t xml:space="preserve"> </w:t>
      </w:r>
      <w:r w:rsidRPr="003C48D5">
        <w:rPr>
          <w:rFonts w:ascii="Abadi" w:hAnsi="Abadi"/>
          <w:color w:val="101011"/>
          <w:spacing w:val="-2"/>
          <w:sz w:val="12"/>
          <w:szCs w:val="12"/>
        </w:rPr>
        <w:t>de</w:t>
      </w:r>
      <w:r w:rsidRPr="003C48D5">
        <w:rPr>
          <w:rFonts w:ascii="Abadi" w:hAnsi="Abadi"/>
          <w:color w:val="101011"/>
          <w:sz w:val="12"/>
          <w:szCs w:val="12"/>
        </w:rPr>
        <w:t xml:space="preserve"> </w:t>
      </w:r>
      <w:r w:rsidRPr="003C48D5">
        <w:rPr>
          <w:rFonts w:ascii="Abadi" w:hAnsi="Abadi"/>
          <w:color w:val="101011"/>
          <w:spacing w:val="-2"/>
          <w:sz w:val="12"/>
          <w:szCs w:val="12"/>
        </w:rPr>
        <w:t>la</w:t>
      </w:r>
      <w:r w:rsidRPr="003C48D5">
        <w:rPr>
          <w:rFonts w:ascii="Abadi" w:hAnsi="Abadi"/>
          <w:color w:val="101011"/>
          <w:sz w:val="12"/>
          <w:szCs w:val="12"/>
        </w:rPr>
        <w:t xml:space="preserve"> </w:t>
      </w:r>
      <w:r w:rsidRPr="003C48D5">
        <w:rPr>
          <w:rFonts w:ascii="Abadi" w:hAnsi="Abadi"/>
          <w:color w:val="101011"/>
          <w:spacing w:val="-2"/>
          <w:sz w:val="12"/>
          <w:szCs w:val="12"/>
        </w:rPr>
        <w:t>UNAM,</w:t>
      </w:r>
      <w:r w:rsidRPr="003C48D5">
        <w:rPr>
          <w:rFonts w:ascii="Abadi" w:hAnsi="Abadi"/>
          <w:color w:val="101011"/>
          <w:sz w:val="12"/>
          <w:szCs w:val="12"/>
        </w:rPr>
        <w:t xml:space="preserve"> </w:t>
      </w:r>
      <w:r w:rsidRPr="003C48D5">
        <w:rPr>
          <w:rFonts w:ascii="Abadi" w:hAnsi="Abadi"/>
          <w:color w:val="101011"/>
          <w:spacing w:val="-2"/>
          <w:sz w:val="12"/>
          <w:szCs w:val="12"/>
        </w:rPr>
        <w:t>disponible en:</w:t>
      </w:r>
    </w:p>
    <w:p w14:paraId="224006B3" w14:textId="77777777" w:rsidR="003C48D5" w:rsidRPr="003C48D5" w:rsidRDefault="003C48D5" w:rsidP="003C48D5">
      <w:pPr>
        <w:pStyle w:val="Textoindependiente"/>
        <w:kinsoku w:val="0"/>
        <w:overflowPunct w:val="0"/>
        <w:rPr>
          <w:rFonts w:ascii="Abadi" w:hAnsi="Abadi"/>
          <w:color w:val="162753"/>
          <w:w w:val="95"/>
          <w:sz w:val="12"/>
          <w:szCs w:val="12"/>
        </w:rPr>
      </w:pPr>
      <w:r w:rsidRPr="003C48D5">
        <w:rPr>
          <w:rFonts w:ascii="Abadi" w:hAnsi="Abadi"/>
          <w:color w:val="162753"/>
          <w:w w:val="95"/>
          <w:sz w:val="12"/>
          <w:szCs w:val="12"/>
          <w:u w:val="single" w:color="5F63A3"/>
        </w:rPr>
        <w:t>htt</w:t>
      </w:r>
      <w:r w:rsidRPr="003C48D5">
        <w:rPr>
          <w:rFonts w:ascii="Abadi" w:hAnsi="Abadi"/>
          <w:color w:val="273B6A"/>
          <w:w w:val="95"/>
          <w:sz w:val="12"/>
          <w:szCs w:val="12"/>
          <w:u w:val="single" w:color="5F63A3"/>
        </w:rPr>
        <w:t>ps</w:t>
      </w:r>
      <w:r w:rsidRPr="003C48D5">
        <w:rPr>
          <w:rFonts w:ascii="Abadi" w:hAnsi="Abadi"/>
          <w:color w:val="415257"/>
          <w:w w:val="95"/>
          <w:sz w:val="12"/>
          <w:szCs w:val="12"/>
          <w:u w:val="single" w:color="5F63A3"/>
        </w:rPr>
        <w:t>:</w:t>
      </w:r>
      <w:r w:rsidRPr="003C48D5">
        <w:rPr>
          <w:rFonts w:ascii="Abadi" w:hAnsi="Abadi"/>
          <w:color w:val="162753"/>
          <w:w w:val="95"/>
          <w:sz w:val="12"/>
          <w:szCs w:val="12"/>
          <w:u w:val="single" w:color="5F63A3"/>
        </w:rPr>
        <w:t>//archivos</w:t>
      </w:r>
      <w:r w:rsidRPr="003C48D5">
        <w:rPr>
          <w:rFonts w:ascii="Abadi" w:hAnsi="Abadi"/>
          <w:color w:val="577884"/>
          <w:w w:val="95"/>
          <w:sz w:val="12"/>
          <w:szCs w:val="12"/>
          <w:u w:val="single" w:color="5F63A3"/>
        </w:rPr>
        <w:t>.</w:t>
      </w:r>
      <w:r w:rsidRPr="003C48D5">
        <w:rPr>
          <w:rFonts w:ascii="Abadi" w:hAnsi="Abadi"/>
          <w:color w:val="577884"/>
          <w:spacing w:val="-28"/>
          <w:w w:val="95"/>
          <w:sz w:val="12"/>
          <w:szCs w:val="12"/>
          <w:u w:val="single" w:color="5F63A3"/>
        </w:rPr>
        <w:t xml:space="preserve"> </w:t>
      </w:r>
      <w:r w:rsidRPr="003C48D5">
        <w:rPr>
          <w:rFonts w:ascii="Abadi" w:hAnsi="Abadi"/>
          <w:color w:val="162753"/>
          <w:w w:val="95"/>
          <w:sz w:val="12"/>
          <w:szCs w:val="12"/>
          <w:u w:val="single" w:color="5F63A3"/>
        </w:rPr>
        <w:t>íuridica</w:t>
      </w:r>
      <w:r w:rsidRPr="003C48D5">
        <w:rPr>
          <w:rFonts w:ascii="Abadi" w:hAnsi="Abadi"/>
          <w:color w:val="273B6A"/>
          <w:w w:val="95"/>
          <w:sz w:val="12"/>
          <w:szCs w:val="12"/>
          <w:u w:val="single" w:color="5F63A3"/>
        </w:rPr>
        <w:t>s</w:t>
      </w:r>
      <w:r w:rsidRPr="003C48D5">
        <w:rPr>
          <w:rFonts w:ascii="Abadi" w:hAnsi="Abadi"/>
          <w:color w:val="415257"/>
          <w:w w:val="95"/>
          <w:sz w:val="12"/>
          <w:szCs w:val="12"/>
          <w:u w:val="single" w:color="5F63A3"/>
        </w:rPr>
        <w:t>.</w:t>
      </w:r>
      <w:r w:rsidRPr="003C48D5">
        <w:rPr>
          <w:rFonts w:ascii="Abadi" w:hAnsi="Abadi"/>
          <w:color w:val="162753"/>
          <w:w w:val="95"/>
          <w:sz w:val="12"/>
          <w:szCs w:val="12"/>
          <w:u w:val="single" w:color="5F63A3"/>
        </w:rPr>
        <w:t>unam</w:t>
      </w:r>
      <w:r w:rsidRPr="003C48D5">
        <w:rPr>
          <w:rFonts w:ascii="Abadi" w:hAnsi="Abadi"/>
          <w:color w:val="5C5F63"/>
          <w:w w:val="95"/>
          <w:sz w:val="12"/>
          <w:szCs w:val="12"/>
          <w:u w:val="single" w:color="5F63A3"/>
        </w:rPr>
        <w:t>.</w:t>
      </w:r>
      <w:r w:rsidRPr="003C48D5">
        <w:rPr>
          <w:rFonts w:ascii="Abadi" w:hAnsi="Abadi"/>
          <w:color w:val="162753"/>
          <w:w w:val="95"/>
          <w:sz w:val="12"/>
          <w:szCs w:val="12"/>
          <w:u w:val="single" w:color="5F63A3"/>
        </w:rPr>
        <w:t>mx/www/bív/libros/3/117</w:t>
      </w:r>
      <w:r w:rsidRPr="003C48D5">
        <w:rPr>
          <w:rFonts w:ascii="Abadi" w:hAnsi="Abadi"/>
          <w:color w:val="162753"/>
          <w:spacing w:val="-33"/>
          <w:w w:val="95"/>
          <w:sz w:val="12"/>
          <w:szCs w:val="12"/>
          <w:u w:val="single" w:color="5F63A3"/>
        </w:rPr>
        <w:t xml:space="preserve"> </w:t>
      </w:r>
      <w:r w:rsidRPr="003C48D5">
        <w:rPr>
          <w:rFonts w:ascii="Abadi" w:hAnsi="Abadi"/>
          <w:color w:val="162753"/>
          <w:w w:val="95"/>
          <w:sz w:val="12"/>
          <w:szCs w:val="12"/>
          <w:u w:val="single" w:color="5F63A3"/>
        </w:rPr>
        <w:t>5/6</w:t>
      </w:r>
      <w:r w:rsidRPr="003C48D5">
        <w:rPr>
          <w:rFonts w:ascii="Abadi" w:hAnsi="Abadi"/>
          <w:color w:val="415257"/>
          <w:w w:val="95"/>
          <w:sz w:val="12"/>
          <w:szCs w:val="12"/>
          <w:u w:val="single" w:color="5F63A3"/>
        </w:rPr>
        <w:t>.</w:t>
      </w:r>
      <w:r w:rsidRPr="003C48D5">
        <w:rPr>
          <w:rFonts w:ascii="Abadi" w:hAnsi="Abadi"/>
          <w:color w:val="415257"/>
          <w:spacing w:val="-28"/>
          <w:w w:val="95"/>
          <w:sz w:val="12"/>
          <w:szCs w:val="12"/>
          <w:u w:val="single" w:color="5F63A3"/>
        </w:rPr>
        <w:t xml:space="preserve"> </w:t>
      </w:r>
      <w:r w:rsidRPr="003C48D5">
        <w:rPr>
          <w:rFonts w:ascii="Abadi" w:hAnsi="Abadi"/>
          <w:color w:val="162753"/>
          <w:w w:val="95"/>
          <w:sz w:val="12"/>
          <w:szCs w:val="12"/>
          <w:u w:val="single" w:color="5F63A3"/>
        </w:rPr>
        <w:t>pdf</w:t>
      </w:r>
    </w:p>
    <w:p w14:paraId="064B69A5" w14:textId="0D4DB64E" w:rsidR="00A61D3B" w:rsidRPr="003C48D5" w:rsidRDefault="00A61D3B">
      <w:pPr>
        <w:pStyle w:val="Textonotapie"/>
        <w:rPr>
          <w:sz w:val="12"/>
          <w:szCs w:val="12"/>
        </w:rPr>
      </w:pPr>
    </w:p>
  </w:footnote>
  <w:footnote w:id="49">
    <w:p w14:paraId="5D4869F5" w14:textId="77777777" w:rsidR="00624FB0" w:rsidRPr="00624FB0" w:rsidRDefault="00624FB0" w:rsidP="00624FB0">
      <w:pPr>
        <w:pStyle w:val="Textoindependiente"/>
        <w:kinsoku w:val="0"/>
        <w:overflowPunct w:val="0"/>
        <w:rPr>
          <w:rFonts w:ascii="Abadi" w:hAnsi="Abadi"/>
          <w:color w:val="0F0F11"/>
          <w:spacing w:val="-2"/>
          <w:sz w:val="12"/>
          <w:szCs w:val="12"/>
        </w:rPr>
      </w:pPr>
      <w:r w:rsidRPr="00624FB0">
        <w:rPr>
          <w:rStyle w:val="Refdenotaalpie"/>
          <w:rFonts w:ascii="Abadi" w:hAnsi="Abadi"/>
          <w:sz w:val="12"/>
          <w:szCs w:val="12"/>
        </w:rPr>
        <w:footnoteRef/>
      </w:r>
      <w:r w:rsidRPr="00624FB0">
        <w:rPr>
          <w:rFonts w:ascii="Abadi" w:hAnsi="Abadi"/>
          <w:sz w:val="12"/>
          <w:szCs w:val="12"/>
        </w:rPr>
        <w:t xml:space="preserve"> </w:t>
      </w:r>
      <w:r w:rsidRPr="00624FB0">
        <w:rPr>
          <w:rFonts w:ascii="Abadi" w:hAnsi="Abadi"/>
          <w:color w:val="0F0F11"/>
          <w:spacing w:val="-2"/>
          <w:sz w:val="12"/>
          <w:szCs w:val="12"/>
        </w:rPr>
        <w:t>Diccionario Jurídico Mexicano,</w:t>
      </w:r>
      <w:r w:rsidRPr="00624FB0">
        <w:rPr>
          <w:rFonts w:ascii="Abadi" w:hAnsi="Abadi"/>
          <w:color w:val="0F0F11"/>
          <w:spacing w:val="13"/>
          <w:sz w:val="12"/>
          <w:szCs w:val="12"/>
        </w:rPr>
        <w:t xml:space="preserve"> </w:t>
      </w:r>
      <w:r w:rsidRPr="00624FB0">
        <w:rPr>
          <w:rFonts w:ascii="Abadi" w:hAnsi="Abadi"/>
          <w:color w:val="0F0F11"/>
          <w:spacing w:val="-2"/>
          <w:sz w:val="12"/>
          <w:szCs w:val="12"/>
        </w:rPr>
        <w:t>Instituto</w:t>
      </w:r>
      <w:r w:rsidRPr="00624FB0">
        <w:rPr>
          <w:rFonts w:ascii="Abadi" w:hAnsi="Abadi"/>
          <w:color w:val="0F0F11"/>
          <w:spacing w:val="-8"/>
          <w:sz w:val="12"/>
          <w:szCs w:val="12"/>
        </w:rPr>
        <w:t xml:space="preserve"> </w:t>
      </w:r>
      <w:r w:rsidRPr="00624FB0">
        <w:rPr>
          <w:rFonts w:ascii="Abadi" w:hAnsi="Abadi"/>
          <w:color w:val="0F0F11"/>
          <w:spacing w:val="-2"/>
          <w:sz w:val="12"/>
          <w:szCs w:val="12"/>
        </w:rPr>
        <w:t>de Investigaciones</w:t>
      </w:r>
      <w:r w:rsidRPr="00624FB0">
        <w:rPr>
          <w:rFonts w:ascii="Abadi" w:hAnsi="Abadi"/>
          <w:color w:val="0F0F11"/>
          <w:spacing w:val="-4"/>
          <w:sz w:val="12"/>
          <w:szCs w:val="12"/>
        </w:rPr>
        <w:t xml:space="preserve"> </w:t>
      </w:r>
      <w:r w:rsidRPr="00624FB0">
        <w:rPr>
          <w:rFonts w:ascii="Abadi" w:hAnsi="Abadi"/>
          <w:color w:val="0F0F11"/>
          <w:spacing w:val="-2"/>
          <w:sz w:val="12"/>
          <w:szCs w:val="12"/>
        </w:rPr>
        <w:t>Jurídicas</w:t>
      </w:r>
      <w:r w:rsidRPr="00624FB0">
        <w:rPr>
          <w:rFonts w:ascii="Abadi" w:hAnsi="Abadi"/>
          <w:color w:val="0F0F11"/>
          <w:spacing w:val="-4"/>
          <w:sz w:val="12"/>
          <w:szCs w:val="12"/>
        </w:rPr>
        <w:t xml:space="preserve"> </w:t>
      </w:r>
      <w:r w:rsidRPr="00624FB0">
        <w:rPr>
          <w:rFonts w:ascii="Abadi" w:hAnsi="Abadi"/>
          <w:color w:val="0F0F11"/>
          <w:spacing w:val="-2"/>
          <w:sz w:val="12"/>
          <w:szCs w:val="12"/>
        </w:rPr>
        <w:t>de la</w:t>
      </w:r>
      <w:r w:rsidRPr="00624FB0">
        <w:rPr>
          <w:rFonts w:ascii="Abadi" w:hAnsi="Abadi"/>
          <w:color w:val="0F0F11"/>
          <w:sz w:val="12"/>
          <w:szCs w:val="12"/>
        </w:rPr>
        <w:t xml:space="preserve"> </w:t>
      </w:r>
      <w:r w:rsidRPr="00624FB0">
        <w:rPr>
          <w:rFonts w:ascii="Abadi" w:hAnsi="Abadi"/>
          <w:color w:val="0F0F11"/>
          <w:spacing w:val="-2"/>
          <w:sz w:val="12"/>
          <w:szCs w:val="12"/>
        </w:rPr>
        <w:t>UNAM,</w:t>
      </w:r>
      <w:r w:rsidRPr="00624FB0">
        <w:rPr>
          <w:rFonts w:ascii="Abadi" w:hAnsi="Abadi"/>
          <w:color w:val="0F0F11"/>
          <w:sz w:val="12"/>
          <w:szCs w:val="12"/>
        </w:rPr>
        <w:t xml:space="preserve"> </w:t>
      </w:r>
      <w:r w:rsidRPr="00624FB0">
        <w:rPr>
          <w:rFonts w:ascii="Abadi" w:hAnsi="Abadi"/>
          <w:color w:val="0F0F11"/>
          <w:spacing w:val="-2"/>
          <w:sz w:val="12"/>
          <w:szCs w:val="12"/>
        </w:rPr>
        <w:t>disponible</w:t>
      </w:r>
      <w:r w:rsidRPr="00624FB0">
        <w:rPr>
          <w:rFonts w:ascii="Abadi" w:hAnsi="Abadi"/>
          <w:color w:val="0F0F11"/>
          <w:spacing w:val="-6"/>
          <w:sz w:val="12"/>
          <w:szCs w:val="12"/>
        </w:rPr>
        <w:t xml:space="preserve"> </w:t>
      </w:r>
      <w:r w:rsidRPr="00624FB0">
        <w:rPr>
          <w:rFonts w:ascii="Abadi" w:hAnsi="Abadi"/>
          <w:color w:val="0F0F11"/>
          <w:spacing w:val="-2"/>
          <w:sz w:val="12"/>
          <w:szCs w:val="12"/>
        </w:rPr>
        <w:t>en:</w:t>
      </w:r>
    </w:p>
    <w:p w14:paraId="3E15B924" w14:textId="77777777" w:rsidR="00624FB0" w:rsidRPr="00624FB0" w:rsidRDefault="00624FB0" w:rsidP="00624FB0">
      <w:pPr>
        <w:pStyle w:val="Textoindependiente"/>
        <w:kinsoku w:val="0"/>
        <w:overflowPunct w:val="0"/>
        <w:rPr>
          <w:rFonts w:ascii="Abadi" w:hAnsi="Abadi"/>
          <w:color w:val="182A57"/>
          <w:w w:val="95"/>
          <w:sz w:val="12"/>
          <w:szCs w:val="12"/>
        </w:rPr>
      </w:pPr>
      <w:r w:rsidRPr="00624FB0">
        <w:rPr>
          <w:rFonts w:ascii="Abadi" w:hAnsi="Abadi"/>
          <w:color w:val="0E3371"/>
          <w:w w:val="91"/>
          <w:sz w:val="12"/>
          <w:szCs w:val="12"/>
          <w:u w:val="single" w:color="5368A3"/>
        </w:rPr>
        <w:t>h</w:t>
      </w:r>
      <w:r w:rsidRPr="00624FB0">
        <w:rPr>
          <w:rFonts w:ascii="Abadi" w:hAnsi="Abadi"/>
          <w:color w:val="182A57"/>
          <w:w w:val="95"/>
          <w:sz w:val="12"/>
          <w:szCs w:val="12"/>
          <w:u w:val="single" w:color="5368A3"/>
        </w:rPr>
        <w:t>ttp</w:t>
      </w:r>
      <w:r w:rsidRPr="00624FB0">
        <w:rPr>
          <w:rFonts w:ascii="Abadi" w:hAnsi="Abadi"/>
          <w:color w:val="182A57"/>
          <w:spacing w:val="-2"/>
          <w:w w:val="95"/>
          <w:sz w:val="12"/>
          <w:szCs w:val="12"/>
          <w:u w:val="single" w:color="5368A3"/>
        </w:rPr>
        <w:t>s</w:t>
      </w:r>
      <w:r w:rsidRPr="00624FB0">
        <w:rPr>
          <w:rFonts w:ascii="Abadi" w:hAnsi="Abadi"/>
          <w:color w:val="47405A"/>
          <w:spacing w:val="-8"/>
          <w:w w:val="92"/>
          <w:sz w:val="12"/>
          <w:szCs w:val="12"/>
          <w:u w:val="single" w:color="5368A3"/>
        </w:rPr>
        <w:t>:</w:t>
      </w:r>
      <w:r w:rsidRPr="00624FB0">
        <w:rPr>
          <w:rFonts w:ascii="Abadi" w:hAnsi="Abadi"/>
          <w:color w:val="182A57"/>
          <w:spacing w:val="1"/>
          <w:w w:val="93"/>
          <w:sz w:val="12"/>
          <w:szCs w:val="12"/>
          <w:u w:val="single" w:color="5368A3"/>
        </w:rPr>
        <w:t>//</w:t>
      </w:r>
      <w:r w:rsidRPr="00624FB0">
        <w:rPr>
          <w:rFonts w:ascii="Abadi" w:hAnsi="Abadi"/>
          <w:color w:val="182A57"/>
          <w:spacing w:val="3"/>
          <w:w w:val="93"/>
          <w:sz w:val="12"/>
          <w:szCs w:val="12"/>
          <w:u w:val="single" w:color="5368A3"/>
        </w:rPr>
        <w:t>a</w:t>
      </w:r>
      <w:r w:rsidRPr="00624FB0">
        <w:rPr>
          <w:rFonts w:ascii="Abadi" w:hAnsi="Abadi"/>
          <w:color w:val="182A57"/>
          <w:spacing w:val="-6"/>
          <w:w w:val="96"/>
          <w:sz w:val="12"/>
          <w:szCs w:val="12"/>
          <w:u w:val="single" w:color="5368A3"/>
        </w:rPr>
        <w:t>r</w:t>
      </w:r>
      <w:r w:rsidRPr="00624FB0">
        <w:rPr>
          <w:rFonts w:ascii="Abadi" w:hAnsi="Abadi"/>
          <w:color w:val="182A57"/>
          <w:spacing w:val="1"/>
          <w:w w:val="96"/>
          <w:sz w:val="12"/>
          <w:szCs w:val="12"/>
          <w:u w:val="single" w:color="5368A3"/>
        </w:rPr>
        <w:t>c</w:t>
      </w:r>
      <w:r w:rsidRPr="00624FB0">
        <w:rPr>
          <w:rFonts w:ascii="Abadi" w:hAnsi="Abadi"/>
          <w:color w:val="071137"/>
          <w:spacing w:val="4"/>
          <w:w w:val="96"/>
          <w:sz w:val="12"/>
          <w:szCs w:val="12"/>
          <w:u w:val="single" w:color="5368A3"/>
        </w:rPr>
        <w:t>h</w:t>
      </w:r>
      <w:r w:rsidRPr="00624FB0">
        <w:rPr>
          <w:rFonts w:ascii="Abadi" w:hAnsi="Abadi"/>
          <w:color w:val="182A57"/>
          <w:spacing w:val="1"/>
          <w:w w:val="96"/>
          <w:sz w:val="12"/>
          <w:szCs w:val="12"/>
          <w:u w:val="single" w:color="5368A3"/>
        </w:rPr>
        <w:t>ivo</w:t>
      </w:r>
      <w:r w:rsidRPr="00624FB0">
        <w:rPr>
          <w:rFonts w:ascii="Abadi" w:hAnsi="Abadi"/>
          <w:color w:val="182A57"/>
          <w:spacing w:val="-1"/>
          <w:w w:val="96"/>
          <w:sz w:val="12"/>
          <w:szCs w:val="12"/>
          <w:u w:val="single" w:color="5368A3"/>
        </w:rPr>
        <w:t>s</w:t>
      </w:r>
      <w:r w:rsidRPr="00624FB0">
        <w:rPr>
          <w:rFonts w:ascii="Abadi" w:hAnsi="Abadi"/>
          <w:color w:val="635C7B"/>
          <w:spacing w:val="-1"/>
          <w:w w:val="66"/>
          <w:sz w:val="12"/>
          <w:szCs w:val="12"/>
          <w:u w:val="single" w:color="5368A3"/>
        </w:rPr>
        <w:t>.</w:t>
      </w:r>
      <w:r w:rsidRPr="00624FB0">
        <w:rPr>
          <w:rFonts w:ascii="Abadi" w:hAnsi="Abadi"/>
          <w:color w:val="071137"/>
          <w:w w:val="154"/>
          <w:sz w:val="12"/>
          <w:szCs w:val="12"/>
          <w:u w:val="single" w:color="5368A3"/>
        </w:rPr>
        <w:t>j</w:t>
      </w:r>
      <w:r w:rsidRPr="00624FB0">
        <w:rPr>
          <w:rFonts w:ascii="Abadi" w:hAnsi="Abadi"/>
          <w:color w:val="182A57"/>
          <w:spacing w:val="-5"/>
          <w:w w:val="83"/>
          <w:sz w:val="12"/>
          <w:szCs w:val="12"/>
          <w:u w:val="single" w:color="5368A3"/>
        </w:rPr>
        <w:t>u</w:t>
      </w:r>
      <w:r w:rsidRPr="00624FB0">
        <w:rPr>
          <w:rFonts w:ascii="Abadi" w:hAnsi="Abadi"/>
          <w:color w:val="0E3371"/>
          <w:spacing w:val="4"/>
          <w:w w:val="116"/>
          <w:sz w:val="12"/>
          <w:szCs w:val="12"/>
          <w:u w:val="single" w:color="5368A3"/>
        </w:rPr>
        <w:t>r</w:t>
      </w:r>
      <w:r w:rsidRPr="00624FB0">
        <w:rPr>
          <w:rFonts w:ascii="Abadi" w:hAnsi="Abadi"/>
          <w:color w:val="182A57"/>
          <w:w w:val="81"/>
          <w:sz w:val="12"/>
          <w:szCs w:val="12"/>
          <w:u w:val="single" w:color="5368A3"/>
        </w:rPr>
        <w:t>í</w:t>
      </w:r>
      <w:r w:rsidRPr="00624FB0">
        <w:rPr>
          <w:rFonts w:ascii="Abadi" w:hAnsi="Abadi"/>
          <w:color w:val="182A57"/>
          <w:spacing w:val="-2"/>
          <w:w w:val="81"/>
          <w:sz w:val="12"/>
          <w:szCs w:val="12"/>
          <w:u w:val="single" w:color="5368A3"/>
        </w:rPr>
        <w:t>d</w:t>
      </w:r>
      <w:r w:rsidRPr="00624FB0">
        <w:rPr>
          <w:rFonts w:ascii="Abadi" w:hAnsi="Abadi"/>
          <w:color w:val="182A57"/>
          <w:spacing w:val="3"/>
          <w:w w:val="95"/>
          <w:sz w:val="12"/>
          <w:szCs w:val="12"/>
          <w:u w:val="single" w:color="5368A3"/>
        </w:rPr>
        <w:t>ica</w:t>
      </w:r>
      <w:r w:rsidRPr="00624FB0">
        <w:rPr>
          <w:rFonts w:ascii="Abadi" w:hAnsi="Abadi"/>
          <w:color w:val="182A57"/>
          <w:spacing w:val="-1"/>
          <w:w w:val="95"/>
          <w:sz w:val="12"/>
          <w:szCs w:val="12"/>
          <w:u w:val="single" w:color="5368A3"/>
        </w:rPr>
        <w:t>s</w:t>
      </w:r>
      <w:r w:rsidRPr="00624FB0">
        <w:rPr>
          <w:rFonts w:ascii="Abadi" w:hAnsi="Abadi"/>
          <w:color w:val="47405A"/>
          <w:w w:val="66"/>
          <w:sz w:val="12"/>
          <w:szCs w:val="12"/>
          <w:u w:val="single" w:color="5368A3"/>
        </w:rPr>
        <w:t>.</w:t>
      </w:r>
      <w:r w:rsidRPr="00624FB0">
        <w:rPr>
          <w:rFonts w:ascii="Abadi" w:hAnsi="Abadi"/>
          <w:color w:val="47405A"/>
          <w:spacing w:val="-38"/>
          <w:w w:val="94"/>
          <w:sz w:val="12"/>
          <w:szCs w:val="12"/>
        </w:rPr>
        <w:t xml:space="preserve"> </w:t>
      </w:r>
      <w:r w:rsidRPr="00624FB0">
        <w:rPr>
          <w:rFonts w:ascii="Abadi" w:hAnsi="Abadi"/>
          <w:color w:val="182A57"/>
          <w:w w:val="95"/>
          <w:sz w:val="12"/>
          <w:szCs w:val="12"/>
          <w:u w:val="single" w:color="5368A3"/>
        </w:rPr>
        <w:t>unam</w:t>
      </w:r>
      <w:r w:rsidRPr="00624FB0">
        <w:rPr>
          <w:rFonts w:ascii="Abadi" w:hAnsi="Abadi"/>
          <w:color w:val="4B5F63"/>
          <w:w w:val="95"/>
          <w:sz w:val="12"/>
          <w:szCs w:val="12"/>
          <w:u w:val="single" w:color="5368A3"/>
        </w:rPr>
        <w:t>.</w:t>
      </w:r>
      <w:r w:rsidRPr="00624FB0">
        <w:rPr>
          <w:rFonts w:ascii="Abadi" w:hAnsi="Abadi"/>
          <w:color w:val="182A57"/>
          <w:w w:val="95"/>
          <w:sz w:val="12"/>
          <w:szCs w:val="12"/>
          <w:u w:val="single" w:color="5368A3"/>
        </w:rPr>
        <w:t>mx/www/b</w:t>
      </w:r>
      <w:r w:rsidRPr="00624FB0">
        <w:rPr>
          <w:rFonts w:ascii="Abadi" w:hAnsi="Abadi"/>
          <w:color w:val="0E3371"/>
          <w:w w:val="95"/>
          <w:sz w:val="12"/>
          <w:szCs w:val="12"/>
          <w:u w:val="single" w:color="5368A3"/>
        </w:rPr>
        <w:t>j</w:t>
      </w:r>
      <w:r w:rsidRPr="00624FB0">
        <w:rPr>
          <w:rFonts w:ascii="Abadi" w:hAnsi="Abadi"/>
          <w:color w:val="182A57"/>
          <w:w w:val="95"/>
          <w:sz w:val="12"/>
          <w:szCs w:val="12"/>
          <w:u w:val="single" w:color="5368A3"/>
        </w:rPr>
        <w:t>v/</w:t>
      </w:r>
      <w:r w:rsidRPr="00624FB0">
        <w:rPr>
          <w:rFonts w:ascii="Abadi" w:hAnsi="Abadi"/>
          <w:color w:val="071137"/>
          <w:w w:val="95"/>
          <w:sz w:val="12"/>
          <w:szCs w:val="12"/>
          <w:u w:val="single" w:color="5368A3"/>
        </w:rPr>
        <w:t>l</w:t>
      </w:r>
      <w:r w:rsidRPr="00624FB0">
        <w:rPr>
          <w:rFonts w:ascii="Abadi" w:hAnsi="Abadi"/>
          <w:color w:val="182A57"/>
          <w:w w:val="95"/>
          <w:sz w:val="12"/>
          <w:szCs w:val="12"/>
          <w:u w:val="single" w:color="5368A3"/>
        </w:rPr>
        <w:t>ib</w:t>
      </w:r>
      <w:r w:rsidRPr="00624FB0">
        <w:rPr>
          <w:rFonts w:ascii="Abadi" w:hAnsi="Abadi"/>
          <w:color w:val="0E3371"/>
          <w:w w:val="95"/>
          <w:sz w:val="12"/>
          <w:szCs w:val="12"/>
          <w:u w:val="single" w:color="5368A3"/>
        </w:rPr>
        <w:t>r</w:t>
      </w:r>
      <w:r w:rsidRPr="00624FB0">
        <w:rPr>
          <w:rFonts w:ascii="Abadi" w:hAnsi="Abadi"/>
          <w:color w:val="182A57"/>
          <w:w w:val="95"/>
          <w:sz w:val="12"/>
          <w:szCs w:val="12"/>
          <w:u w:val="single" w:color="5368A3"/>
        </w:rPr>
        <w:t>os/3/11</w:t>
      </w:r>
      <w:r w:rsidRPr="00624FB0">
        <w:rPr>
          <w:rFonts w:ascii="Abadi" w:hAnsi="Abadi"/>
          <w:color w:val="2A3646"/>
          <w:w w:val="95"/>
          <w:sz w:val="12"/>
          <w:szCs w:val="12"/>
          <w:u w:val="single" w:color="5368A3"/>
        </w:rPr>
        <w:t>7</w:t>
      </w:r>
      <w:r w:rsidRPr="00624FB0">
        <w:rPr>
          <w:rFonts w:ascii="Abadi" w:hAnsi="Abadi"/>
          <w:color w:val="182A57"/>
          <w:w w:val="95"/>
          <w:sz w:val="12"/>
          <w:szCs w:val="12"/>
          <w:u w:val="single" w:color="5368A3"/>
        </w:rPr>
        <w:t>5/6</w:t>
      </w:r>
      <w:r w:rsidRPr="00624FB0">
        <w:rPr>
          <w:rFonts w:ascii="Abadi" w:hAnsi="Abadi"/>
          <w:color w:val="5F5768"/>
          <w:w w:val="95"/>
          <w:sz w:val="12"/>
          <w:szCs w:val="12"/>
          <w:u w:val="single" w:color="5368A3"/>
        </w:rPr>
        <w:t>.</w:t>
      </w:r>
      <w:r w:rsidRPr="00624FB0">
        <w:rPr>
          <w:rFonts w:ascii="Abadi" w:hAnsi="Abadi"/>
          <w:color w:val="5F5768"/>
          <w:spacing w:val="-38"/>
          <w:w w:val="95"/>
          <w:sz w:val="12"/>
          <w:szCs w:val="12"/>
        </w:rPr>
        <w:t xml:space="preserve"> </w:t>
      </w:r>
      <w:r w:rsidRPr="00624FB0">
        <w:rPr>
          <w:rFonts w:ascii="Abadi" w:hAnsi="Abadi"/>
          <w:color w:val="182A57"/>
          <w:w w:val="95"/>
          <w:sz w:val="12"/>
          <w:szCs w:val="12"/>
          <w:u w:val="single" w:color="5368A3"/>
        </w:rPr>
        <w:t>pdf</w:t>
      </w:r>
    </w:p>
    <w:p w14:paraId="5989DB4A" w14:textId="626C6B73" w:rsidR="00624FB0" w:rsidRPr="00624FB0" w:rsidRDefault="00624FB0">
      <w:pPr>
        <w:pStyle w:val="Textonotapie"/>
        <w:rPr>
          <w:rFonts w:ascii="Abadi" w:hAnsi="Abadi"/>
          <w:sz w:val="12"/>
          <w:szCs w:val="12"/>
        </w:rPr>
      </w:pPr>
    </w:p>
  </w:footnote>
  <w:footnote w:id="50">
    <w:p w14:paraId="5AAC9748" w14:textId="7A78A5DB" w:rsidR="00D56EAA" w:rsidRPr="00D56EAA" w:rsidRDefault="00D56EAA" w:rsidP="00D56EAA">
      <w:pPr>
        <w:pStyle w:val="Textoindependiente"/>
        <w:kinsoku w:val="0"/>
        <w:overflowPunct w:val="0"/>
        <w:spacing w:line="299" w:lineRule="exact"/>
        <w:rPr>
          <w:rFonts w:ascii="Abadi" w:hAnsi="Abadi"/>
          <w:color w:val="101012"/>
          <w:w w:val="95"/>
          <w:sz w:val="12"/>
          <w:szCs w:val="12"/>
        </w:rPr>
      </w:pPr>
      <w:r w:rsidRPr="00D56EAA">
        <w:rPr>
          <w:rStyle w:val="Refdenotaalpie"/>
          <w:rFonts w:ascii="Abadi" w:hAnsi="Abadi"/>
          <w:sz w:val="12"/>
          <w:szCs w:val="12"/>
        </w:rPr>
        <w:footnoteRef/>
      </w:r>
      <w:r w:rsidRPr="00D56EAA">
        <w:rPr>
          <w:rFonts w:ascii="Abadi" w:hAnsi="Abadi"/>
          <w:sz w:val="12"/>
          <w:szCs w:val="12"/>
        </w:rPr>
        <w:t xml:space="preserve"> </w:t>
      </w:r>
      <w:r w:rsidRPr="00D56EAA">
        <w:rPr>
          <w:rFonts w:ascii="Abadi" w:hAnsi="Abadi"/>
          <w:color w:val="101012"/>
          <w:spacing w:val="40"/>
          <w:position w:val="6"/>
          <w:sz w:val="12"/>
          <w:szCs w:val="12"/>
        </w:rPr>
        <w:t xml:space="preserve"> </w:t>
      </w:r>
      <w:r w:rsidRPr="00D56EAA">
        <w:rPr>
          <w:rFonts w:ascii="Abadi" w:hAnsi="Abadi"/>
          <w:color w:val="101012"/>
          <w:w w:val="95"/>
          <w:sz w:val="12"/>
          <w:szCs w:val="12"/>
        </w:rPr>
        <w:t>Diccionario Jurídico Mexicano,</w:t>
      </w:r>
      <w:r w:rsidRPr="00D56EAA">
        <w:rPr>
          <w:rFonts w:ascii="Abadi" w:hAnsi="Abadi"/>
          <w:color w:val="101012"/>
          <w:spacing w:val="40"/>
          <w:sz w:val="12"/>
          <w:szCs w:val="12"/>
        </w:rPr>
        <w:t xml:space="preserve"> </w:t>
      </w:r>
      <w:r w:rsidRPr="00D56EAA">
        <w:rPr>
          <w:rFonts w:ascii="Abadi" w:hAnsi="Abadi"/>
          <w:color w:val="101012"/>
          <w:w w:val="95"/>
          <w:sz w:val="12"/>
          <w:szCs w:val="12"/>
        </w:rPr>
        <w:t>Instituto de Investigaciones Jurídicas de la UNAM, disponible en:</w:t>
      </w:r>
    </w:p>
    <w:p w14:paraId="2A3486A4" w14:textId="77777777" w:rsidR="00D56EAA" w:rsidRPr="00D56EAA" w:rsidRDefault="00D56EAA" w:rsidP="00D56EAA">
      <w:pPr>
        <w:pStyle w:val="Textoindependiente"/>
        <w:kinsoku w:val="0"/>
        <w:overflowPunct w:val="0"/>
        <w:ind w:left="40"/>
        <w:rPr>
          <w:rFonts w:ascii="Abadi" w:hAnsi="Abadi"/>
          <w:color w:val="172553"/>
          <w:spacing w:val="1"/>
          <w:w w:val="93"/>
          <w:sz w:val="12"/>
          <w:szCs w:val="12"/>
        </w:rPr>
      </w:pPr>
      <w:r w:rsidRPr="00D56EAA">
        <w:rPr>
          <w:rFonts w:ascii="Abadi" w:hAnsi="Abadi"/>
          <w:color w:val="172553"/>
          <w:spacing w:val="1"/>
          <w:w w:val="93"/>
          <w:sz w:val="12"/>
          <w:szCs w:val="12"/>
          <w:u w:val="single" w:color="575CA0"/>
        </w:rPr>
        <w:t>http</w:t>
      </w:r>
      <w:r w:rsidRPr="00D56EAA">
        <w:rPr>
          <w:rFonts w:ascii="Abadi" w:hAnsi="Abadi"/>
          <w:color w:val="172553"/>
          <w:spacing w:val="5"/>
          <w:w w:val="93"/>
          <w:sz w:val="12"/>
          <w:szCs w:val="12"/>
          <w:u w:val="single" w:color="575CA0"/>
        </w:rPr>
        <w:t>s</w:t>
      </w:r>
      <w:r w:rsidRPr="00D56EAA">
        <w:rPr>
          <w:rFonts w:ascii="Abadi" w:hAnsi="Abadi"/>
          <w:color w:val="40474B"/>
          <w:spacing w:val="-5"/>
          <w:w w:val="98"/>
          <w:sz w:val="12"/>
          <w:szCs w:val="12"/>
          <w:u w:val="single" w:color="575CA0"/>
        </w:rPr>
        <w:t>:</w:t>
      </w:r>
      <w:r w:rsidRPr="00D56EAA">
        <w:rPr>
          <w:rFonts w:ascii="Abadi" w:hAnsi="Abadi"/>
          <w:color w:val="172553"/>
          <w:spacing w:val="1"/>
          <w:w w:val="93"/>
          <w:sz w:val="12"/>
          <w:szCs w:val="12"/>
          <w:u w:val="single" w:color="575CA0"/>
        </w:rPr>
        <w:t>//archivo</w:t>
      </w:r>
      <w:r w:rsidRPr="00D56EAA">
        <w:rPr>
          <w:rFonts w:ascii="Abadi" w:hAnsi="Abadi"/>
          <w:color w:val="172553"/>
          <w:spacing w:val="-2"/>
          <w:w w:val="93"/>
          <w:sz w:val="12"/>
          <w:szCs w:val="12"/>
          <w:u w:val="single" w:color="575CA0"/>
        </w:rPr>
        <w:t>s</w:t>
      </w:r>
      <w:r w:rsidRPr="00D56EAA">
        <w:rPr>
          <w:rFonts w:ascii="Abadi" w:hAnsi="Abadi"/>
          <w:color w:val="4E5E5F"/>
          <w:spacing w:val="-5"/>
          <w:w w:val="72"/>
          <w:sz w:val="12"/>
          <w:szCs w:val="12"/>
          <w:u w:val="single" w:color="575CA0"/>
        </w:rPr>
        <w:t>.</w:t>
      </w:r>
      <w:r w:rsidRPr="00D56EAA">
        <w:rPr>
          <w:rFonts w:ascii="Abadi" w:hAnsi="Abadi"/>
          <w:color w:val="172553"/>
          <w:spacing w:val="-18"/>
          <w:w w:val="186"/>
          <w:sz w:val="12"/>
          <w:szCs w:val="12"/>
          <w:u w:val="single" w:color="575CA0"/>
        </w:rPr>
        <w:t>j</w:t>
      </w:r>
      <w:r w:rsidRPr="00D56EAA">
        <w:rPr>
          <w:rFonts w:ascii="Abadi" w:hAnsi="Abadi"/>
          <w:color w:val="172553"/>
          <w:w w:val="93"/>
          <w:sz w:val="12"/>
          <w:szCs w:val="12"/>
          <w:u w:val="single" w:color="575CA0"/>
        </w:rPr>
        <w:t>uri</w:t>
      </w:r>
      <w:r w:rsidRPr="00D56EAA">
        <w:rPr>
          <w:rFonts w:ascii="Abadi" w:hAnsi="Abadi"/>
          <w:color w:val="172553"/>
          <w:spacing w:val="-3"/>
          <w:w w:val="93"/>
          <w:sz w:val="12"/>
          <w:szCs w:val="12"/>
          <w:u w:val="single" w:color="575CA0"/>
        </w:rPr>
        <w:t>d</w:t>
      </w:r>
      <w:r w:rsidRPr="00D56EAA">
        <w:rPr>
          <w:rFonts w:ascii="Abadi" w:hAnsi="Abadi"/>
          <w:color w:val="141D38"/>
          <w:spacing w:val="4"/>
          <w:w w:val="83"/>
          <w:sz w:val="12"/>
          <w:szCs w:val="12"/>
          <w:u w:val="single" w:color="575CA0"/>
        </w:rPr>
        <w:t>i</w:t>
      </w:r>
      <w:r w:rsidRPr="00D56EAA">
        <w:rPr>
          <w:rFonts w:ascii="Abadi" w:hAnsi="Abadi"/>
          <w:color w:val="172553"/>
          <w:spacing w:val="-1"/>
          <w:w w:val="93"/>
          <w:sz w:val="12"/>
          <w:szCs w:val="12"/>
          <w:u w:val="single" w:color="575CA0"/>
        </w:rPr>
        <w:t>ca</w:t>
      </w:r>
      <w:r w:rsidRPr="00D56EAA">
        <w:rPr>
          <w:rFonts w:ascii="Abadi" w:hAnsi="Abadi"/>
          <w:color w:val="172553"/>
          <w:spacing w:val="1"/>
          <w:w w:val="93"/>
          <w:sz w:val="12"/>
          <w:szCs w:val="12"/>
          <w:u w:val="single" w:color="575CA0"/>
        </w:rPr>
        <w:t>s</w:t>
      </w:r>
      <w:r w:rsidRPr="00D56EAA">
        <w:rPr>
          <w:rFonts w:ascii="Abadi" w:hAnsi="Abadi"/>
          <w:color w:val="4E5E5F"/>
          <w:w w:val="66"/>
          <w:sz w:val="12"/>
          <w:szCs w:val="12"/>
          <w:u w:val="single" w:color="575CA0"/>
        </w:rPr>
        <w:t>.</w:t>
      </w:r>
      <w:r w:rsidRPr="00D56EAA">
        <w:rPr>
          <w:rFonts w:ascii="Abadi" w:hAnsi="Abadi"/>
          <w:color w:val="4E5E5F"/>
          <w:spacing w:val="-34"/>
          <w:w w:val="94"/>
          <w:sz w:val="12"/>
          <w:szCs w:val="12"/>
          <w:u w:val="single" w:color="575CA0"/>
        </w:rPr>
        <w:t xml:space="preserve"> </w:t>
      </w:r>
      <w:r w:rsidRPr="00D56EAA">
        <w:rPr>
          <w:rFonts w:ascii="Abadi" w:hAnsi="Abadi"/>
          <w:color w:val="172553"/>
          <w:w w:val="95"/>
          <w:sz w:val="12"/>
          <w:szCs w:val="12"/>
          <w:u w:val="single" w:color="575CA0"/>
        </w:rPr>
        <w:t>unam</w:t>
      </w:r>
      <w:r w:rsidRPr="00D56EAA">
        <w:rPr>
          <w:rFonts w:ascii="Abadi" w:hAnsi="Abadi"/>
          <w:color w:val="4E5E5F"/>
          <w:w w:val="95"/>
          <w:sz w:val="12"/>
          <w:szCs w:val="12"/>
          <w:u w:val="single" w:color="575CA0"/>
        </w:rPr>
        <w:t>.</w:t>
      </w:r>
      <w:r w:rsidRPr="00D56EAA">
        <w:rPr>
          <w:rFonts w:ascii="Abadi" w:hAnsi="Abadi"/>
          <w:color w:val="4E5E5F"/>
          <w:spacing w:val="-33"/>
          <w:w w:val="95"/>
          <w:sz w:val="12"/>
          <w:szCs w:val="12"/>
          <w:u w:val="single" w:color="575CA0"/>
        </w:rPr>
        <w:t xml:space="preserve"> </w:t>
      </w:r>
      <w:r w:rsidRPr="00D56EAA">
        <w:rPr>
          <w:rFonts w:ascii="Abadi" w:hAnsi="Abadi"/>
          <w:color w:val="172553"/>
          <w:w w:val="95"/>
          <w:sz w:val="12"/>
          <w:szCs w:val="12"/>
          <w:u w:val="single" w:color="575CA0"/>
        </w:rPr>
        <w:t>mx/www/bjv/libros/3/1175/6</w:t>
      </w:r>
      <w:r w:rsidRPr="00D56EAA">
        <w:rPr>
          <w:rFonts w:ascii="Abadi" w:hAnsi="Abadi"/>
          <w:color w:val="4E5E5F"/>
          <w:w w:val="95"/>
          <w:sz w:val="12"/>
          <w:szCs w:val="12"/>
          <w:u w:val="single" w:color="575CA0"/>
        </w:rPr>
        <w:t>.</w:t>
      </w:r>
      <w:r w:rsidRPr="00D56EAA">
        <w:rPr>
          <w:rFonts w:ascii="Abadi" w:hAnsi="Abadi"/>
          <w:color w:val="4E5E5F"/>
          <w:spacing w:val="-32"/>
          <w:w w:val="95"/>
          <w:sz w:val="12"/>
          <w:szCs w:val="12"/>
          <w:u w:val="single" w:color="575CA0"/>
        </w:rPr>
        <w:t xml:space="preserve"> </w:t>
      </w:r>
      <w:r w:rsidRPr="00D56EAA">
        <w:rPr>
          <w:rFonts w:ascii="Abadi" w:hAnsi="Abadi"/>
          <w:color w:val="172553"/>
          <w:w w:val="95"/>
          <w:sz w:val="12"/>
          <w:szCs w:val="12"/>
          <w:u w:val="single" w:color="575CA0"/>
        </w:rPr>
        <w:t>pdf</w:t>
      </w:r>
    </w:p>
    <w:p w14:paraId="4B057D86" w14:textId="3C1E011E" w:rsidR="00D56EAA" w:rsidRPr="00D56EAA" w:rsidRDefault="00D56EAA">
      <w:pPr>
        <w:pStyle w:val="Textonotapie"/>
        <w:rPr>
          <w:rFonts w:ascii="Abadi" w:hAnsi="Abadi"/>
          <w:sz w:val="12"/>
          <w:szCs w:val="12"/>
        </w:rPr>
      </w:pPr>
    </w:p>
  </w:footnote>
  <w:footnote w:id="51">
    <w:p w14:paraId="70F27C6D" w14:textId="77777777" w:rsidR="00C43EEF" w:rsidRPr="00C43EEF" w:rsidRDefault="00C43EEF" w:rsidP="00C43EEF">
      <w:pPr>
        <w:pStyle w:val="Textoindependiente"/>
        <w:kinsoku w:val="0"/>
        <w:overflowPunct w:val="0"/>
        <w:rPr>
          <w:rFonts w:ascii="Abadi" w:hAnsi="Abadi"/>
          <w:color w:val="121213"/>
          <w:spacing w:val="-2"/>
          <w:sz w:val="12"/>
          <w:szCs w:val="12"/>
        </w:rPr>
      </w:pPr>
      <w:r w:rsidRPr="00C43EEF">
        <w:rPr>
          <w:rStyle w:val="Refdenotaalpie"/>
          <w:rFonts w:ascii="Abadi" w:hAnsi="Abadi"/>
          <w:sz w:val="12"/>
          <w:szCs w:val="12"/>
        </w:rPr>
        <w:footnoteRef/>
      </w:r>
      <w:r w:rsidRPr="00C43EEF">
        <w:rPr>
          <w:rFonts w:ascii="Abadi" w:hAnsi="Abadi"/>
          <w:sz w:val="12"/>
          <w:szCs w:val="12"/>
        </w:rPr>
        <w:t xml:space="preserve"> </w:t>
      </w:r>
      <w:r w:rsidRPr="00C43EEF">
        <w:rPr>
          <w:rFonts w:ascii="Abadi" w:hAnsi="Abadi"/>
          <w:color w:val="121213"/>
          <w:spacing w:val="-2"/>
          <w:sz w:val="12"/>
          <w:szCs w:val="12"/>
        </w:rPr>
        <w:t>Diccionario</w:t>
      </w:r>
      <w:r w:rsidRPr="00C43EEF">
        <w:rPr>
          <w:rFonts w:ascii="Abadi" w:hAnsi="Abadi"/>
          <w:color w:val="121213"/>
          <w:sz w:val="12"/>
          <w:szCs w:val="12"/>
        </w:rPr>
        <w:t xml:space="preserve"> </w:t>
      </w:r>
      <w:r w:rsidRPr="00C43EEF">
        <w:rPr>
          <w:rFonts w:ascii="Abadi" w:hAnsi="Abadi"/>
          <w:color w:val="121213"/>
          <w:spacing w:val="-2"/>
          <w:sz w:val="12"/>
          <w:szCs w:val="12"/>
        </w:rPr>
        <w:t>Jurldico Mexicano,</w:t>
      </w:r>
      <w:r w:rsidRPr="00C43EEF">
        <w:rPr>
          <w:rFonts w:ascii="Abadi" w:hAnsi="Abadi"/>
          <w:color w:val="121213"/>
          <w:spacing w:val="22"/>
          <w:sz w:val="12"/>
          <w:szCs w:val="12"/>
        </w:rPr>
        <w:t xml:space="preserve"> </w:t>
      </w:r>
      <w:r w:rsidRPr="00C43EEF">
        <w:rPr>
          <w:rFonts w:ascii="Abadi" w:hAnsi="Abadi"/>
          <w:color w:val="121213"/>
          <w:spacing w:val="-2"/>
          <w:sz w:val="12"/>
          <w:szCs w:val="12"/>
        </w:rPr>
        <w:t>Instituto de Investigaciones</w:t>
      </w:r>
      <w:r w:rsidRPr="00C43EEF">
        <w:rPr>
          <w:rFonts w:ascii="Abadi" w:hAnsi="Abadi"/>
          <w:color w:val="121213"/>
          <w:spacing w:val="-3"/>
          <w:sz w:val="12"/>
          <w:szCs w:val="12"/>
        </w:rPr>
        <w:t xml:space="preserve"> </w:t>
      </w:r>
      <w:r w:rsidRPr="00C43EEF">
        <w:rPr>
          <w:rFonts w:ascii="Abadi" w:hAnsi="Abadi"/>
          <w:color w:val="121213"/>
          <w:spacing w:val="-2"/>
          <w:sz w:val="12"/>
          <w:szCs w:val="12"/>
        </w:rPr>
        <w:t>Jurldicas</w:t>
      </w:r>
      <w:r w:rsidRPr="00C43EEF">
        <w:rPr>
          <w:rFonts w:ascii="Abadi" w:hAnsi="Abadi"/>
          <w:color w:val="121213"/>
          <w:spacing w:val="-7"/>
          <w:sz w:val="12"/>
          <w:szCs w:val="12"/>
        </w:rPr>
        <w:t xml:space="preserve"> </w:t>
      </w:r>
      <w:r w:rsidRPr="00C43EEF">
        <w:rPr>
          <w:rFonts w:ascii="Abadi" w:hAnsi="Abadi"/>
          <w:color w:val="121213"/>
          <w:spacing w:val="-2"/>
          <w:sz w:val="12"/>
          <w:szCs w:val="12"/>
        </w:rPr>
        <w:t>de la UNAM,</w:t>
      </w:r>
      <w:r w:rsidRPr="00C43EEF">
        <w:rPr>
          <w:rFonts w:ascii="Abadi" w:hAnsi="Abadi"/>
          <w:color w:val="121213"/>
          <w:sz w:val="12"/>
          <w:szCs w:val="12"/>
        </w:rPr>
        <w:t xml:space="preserve"> </w:t>
      </w:r>
      <w:r w:rsidRPr="00C43EEF">
        <w:rPr>
          <w:rFonts w:ascii="Abadi" w:hAnsi="Abadi"/>
          <w:color w:val="121213"/>
          <w:spacing w:val="-2"/>
          <w:sz w:val="12"/>
          <w:szCs w:val="12"/>
        </w:rPr>
        <w:t>disponible en:</w:t>
      </w:r>
    </w:p>
    <w:p w14:paraId="219C53F1" w14:textId="77777777" w:rsidR="00C43EEF" w:rsidRPr="00C43EEF" w:rsidRDefault="00C43EEF" w:rsidP="00C43EEF">
      <w:pPr>
        <w:pStyle w:val="Textoindependiente"/>
        <w:kinsoku w:val="0"/>
        <w:overflowPunct w:val="0"/>
        <w:rPr>
          <w:rFonts w:ascii="Abadi" w:hAnsi="Abadi"/>
          <w:color w:val="040B5F"/>
          <w:spacing w:val="-2"/>
          <w:w w:val="95"/>
          <w:sz w:val="12"/>
          <w:szCs w:val="12"/>
        </w:rPr>
      </w:pPr>
      <w:r w:rsidRPr="00C43EEF">
        <w:rPr>
          <w:rFonts w:ascii="Abadi" w:hAnsi="Abadi"/>
          <w:color w:val="040B5F"/>
          <w:spacing w:val="-2"/>
          <w:w w:val="95"/>
          <w:sz w:val="12"/>
          <w:szCs w:val="12"/>
          <w:u w:val="single" w:color="4B5078"/>
        </w:rPr>
        <w:t>h</w:t>
      </w:r>
      <w:r w:rsidRPr="00C43EEF">
        <w:rPr>
          <w:rFonts w:ascii="Abadi" w:hAnsi="Abadi"/>
          <w:color w:val="152358"/>
          <w:spacing w:val="-2"/>
          <w:w w:val="95"/>
          <w:sz w:val="12"/>
          <w:szCs w:val="12"/>
          <w:u w:val="single" w:color="4B5078"/>
        </w:rPr>
        <w:t>ttps</w:t>
      </w:r>
      <w:r w:rsidRPr="00C43EEF">
        <w:rPr>
          <w:rFonts w:ascii="Abadi" w:hAnsi="Abadi"/>
          <w:color w:val="404A5B"/>
          <w:spacing w:val="-2"/>
          <w:w w:val="95"/>
          <w:sz w:val="12"/>
          <w:szCs w:val="12"/>
          <w:u w:val="single" w:color="4B5078"/>
        </w:rPr>
        <w:t>:</w:t>
      </w:r>
      <w:r w:rsidRPr="00C43EEF">
        <w:rPr>
          <w:rFonts w:ascii="Abadi" w:hAnsi="Abadi"/>
          <w:color w:val="152358"/>
          <w:spacing w:val="-2"/>
          <w:w w:val="95"/>
          <w:sz w:val="12"/>
          <w:szCs w:val="12"/>
          <w:u w:val="single" w:color="4B5078"/>
        </w:rPr>
        <w:t>//</w:t>
      </w:r>
      <w:r w:rsidRPr="00C43EEF">
        <w:rPr>
          <w:rFonts w:ascii="Abadi" w:hAnsi="Abadi"/>
          <w:color w:val="202B6F"/>
          <w:spacing w:val="-2"/>
          <w:w w:val="95"/>
          <w:sz w:val="12"/>
          <w:szCs w:val="12"/>
          <w:u w:val="single" w:color="4B5078"/>
        </w:rPr>
        <w:t>a</w:t>
      </w:r>
      <w:r w:rsidRPr="00C43EEF">
        <w:rPr>
          <w:rFonts w:ascii="Abadi" w:hAnsi="Abadi"/>
          <w:color w:val="152358"/>
          <w:spacing w:val="-2"/>
          <w:w w:val="95"/>
          <w:sz w:val="12"/>
          <w:szCs w:val="12"/>
          <w:u w:val="single" w:color="4B5078"/>
        </w:rPr>
        <w:t>rchivos</w:t>
      </w:r>
      <w:r w:rsidRPr="00C43EEF">
        <w:rPr>
          <w:rFonts w:ascii="Abadi" w:hAnsi="Abadi"/>
          <w:color w:val="404A5B"/>
          <w:spacing w:val="-2"/>
          <w:w w:val="95"/>
          <w:sz w:val="12"/>
          <w:szCs w:val="12"/>
          <w:u w:val="single" w:color="4B5078"/>
        </w:rPr>
        <w:t>.</w:t>
      </w:r>
      <w:r w:rsidRPr="00C43EEF">
        <w:rPr>
          <w:rFonts w:ascii="Abadi" w:hAnsi="Abadi"/>
          <w:color w:val="152358"/>
          <w:spacing w:val="-2"/>
          <w:w w:val="95"/>
          <w:sz w:val="12"/>
          <w:szCs w:val="12"/>
          <w:u w:val="single" w:color="4B5078"/>
        </w:rPr>
        <w:t>jur</w:t>
      </w:r>
      <w:r w:rsidRPr="00C43EEF">
        <w:rPr>
          <w:rFonts w:ascii="Abadi" w:hAnsi="Abadi"/>
          <w:color w:val="0F163C"/>
          <w:spacing w:val="-2"/>
          <w:w w:val="95"/>
          <w:sz w:val="12"/>
          <w:szCs w:val="12"/>
          <w:u w:val="single" w:color="4B5078"/>
        </w:rPr>
        <w:t>i</w:t>
      </w:r>
      <w:r w:rsidRPr="00C43EEF">
        <w:rPr>
          <w:rFonts w:ascii="Abadi" w:hAnsi="Abadi"/>
          <w:color w:val="152358"/>
          <w:spacing w:val="-2"/>
          <w:w w:val="95"/>
          <w:sz w:val="12"/>
          <w:szCs w:val="12"/>
          <w:u w:val="single" w:color="4B5078"/>
        </w:rPr>
        <w:t>dicas</w:t>
      </w:r>
      <w:r w:rsidRPr="00C43EEF">
        <w:rPr>
          <w:rFonts w:ascii="Abadi" w:hAnsi="Abadi"/>
          <w:color w:val="404A5B"/>
          <w:spacing w:val="-2"/>
          <w:w w:val="95"/>
          <w:sz w:val="12"/>
          <w:szCs w:val="12"/>
          <w:u w:val="single" w:color="4B5078"/>
        </w:rPr>
        <w:t>.</w:t>
      </w:r>
      <w:r w:rsidRPr="00C43EEF">
        <w:rPr>
          <w:rFonts w:ascii="Abadi" w:hAnsi="Abadi"/>
          <w:color w:val="152358"/>
          <w:spacing w:val="-2"/>
          <w:w w:val="95"/>
          <w:sz w:val="12"/>
          <w:szCs w:val="12"/>
          <w:u w:val="single" w:color="4B5078"/>
        </w:rPr>
        <w:t>un</w:t>
      </w:r>
      <w:r w:rsidRPr="00C43EEF">
        <w:rPr>
          <w:rFonts w:ascii="Abadi" w:hAnsi="Abadi"/>
          <w:color w:val="202B6F"/>
          <w:spacing w:val="-2"/>
          <w:w w:val="95"/>
          <w:sz w:val="12"/>
          <w:szCs w:val="12"/>
          <w:u w:val="single" w:color="4B5078"/>
        </w:rPr>
        <w:t>a</w:t>
      </w:r>
      <w:r w:rsidRPr="00C43EEF">
        <w:rPr>
          <w:rFonts w:ascii="Abadi" w:hAnsi="Abadi"/>
          <w:color w:val="0F163C"/>
          <w:spacing w:val="-2"/>
          <w:w w:val="95"/>
          <w:sz w:val="12"/>
          <w:szCs w:val="12"/>
          <w:u w:val="single" w:color="4B5078"/>
        </w:rPr>
        <w:t>m</w:t>
      </w:r>
      <w:r w:rsidRPr="00C43EEF">
        <w:rPr>
          <w:rFonts w:ascii="Abadi" w:hAnsi="Abadi"/>
          <w:color w:val="404A5B"/>
          <w:spacing w:val="-2"/>
          <w:w w:val="95"/>
          <w:sz w:val="12"/>
          <w:szCs w:val="12"/>
          <w:u w:val="single" w:color="4B5078"/>
        </w:rPr>
        <w:t>.</w:t>
      </w:r>
      <w:r w:rsidRPr="00C43EEF">
        <w:rPr>
          <w:rFonts w:ascii="Abadi" w:hAnsi="Abadi"/>
          <w:color w:val="152358"/>
          <w:spacing w:val="-2"/>
          <w:w w:val="95"/>
          <w:sz w:val="12"/>
          <w:szCs w:val="12"/>
          <w:u w:val="single" w:color="4B5078"/>
        </w:rPr>
        <w:t>mx/www</w:t>
      </w:r>
      <w:r w:rsidRPr="00C43EEF">
        <w:rPr>
          <w:rFonts w:ascii="Abadi" w:hAnsi="Abadi"/>
          <w:color w:val="202B6F"/>
          <w:spacing w:val="-2"/>
          <w:w w:val="95"/>
          <w:sz w:val="12"/>
          <w:szCs w:val="12"/>
          <w:u w:val="single" w:color="4B5078"/>
        </w:rPr>
        <w:t>/</w:t>
      </w:r>
      <w:r w:rsidRPr="00C43EEF">
        <w:rPr>
          <w:rFonts w:ascii="Abadi" w:hAnsi="Abadi"/>
          <w:color w:val="152358"/>
          <w:spacing w:val="-2"/>
          <w:w w:val="95"/>
          <w:sz w:val="12"/>
          <w:szCs w:val="12"/>
          <w:u w:val="single" w:color="4B5078"/>
        </w:rPr>
        <w:t>b</w:t>
      </w:r>
      <w:r w:rsidRPr="00C43EEF">
        <w:rPr>
          <w:rFonts w:ascii="Abadi" w:hAnsi="Abadi"/>
          <w:color w:val="202B6F"/>
          <w:spacing w:val="-2"/>
          <w:w w:val="95"/>
          <w:sz w:val="12"/>
          <w:szCs w:val="12"/>
          <w:u w:val="single" w:color="4B5078"/>
        </w:rPr>
        <w:t>j</w:t>
      </w:r>
      <w:r w:rsidRPr="00C43EEF">
        <w:rPr>
          <w:rFonts w:ascii="Abadi" w:hAnsi="Abadi"/>
          <w:color w:val="152358"/>
          <w:spacing w:val="-2"/>
          <w:w w:val="95"/>
          <w:sz w:val="12"/>
          <w:szCs w:val="12"/>
          <w:u w:val="single" w:color="4B5078"/>
        </w:rPr>
        <w:t>v/libros/</w:t>
      </w:r>
      <w:r w:rsidRPr="00C43EEF">
        <w:rPr>
          <w:rFonts w:ascii="Abadi" w:hAnsi="Abadi"/>
          <w:color w:val="202B6F"/>
          <w:spacing w:val="-2"/>
          <w:w w:val="95"/>
          <w:sz w:val="12"/>
          <w:szCs w:val="12"/>
          <w:u w:val="single" w:color="4B5078"/>
        </w:rPr>
        <w:t>3</w:t>
      </w:r>
      <w:r w:rsidRPr="00C43EEF">
        <w:rPr>
          <w:rFonts w:ascii="Abadi" w:hAnsi="Abadi"/>
          <w:color w:val="152358"/>
          <w:spacing w:val="-2"/>
          <w:w w:val="95"/>
          <w:sz w:val="12"/>
          <w:szCs w:val="12"/>
          <w:u w:val="single" w:color="4B5078"/>
        </w:rPr>
        <w:t>/11</w:t>
      </w:r>
      <w:r w:rsidRPr="00C43EEF">
        <w:rPr>
          <w:rFonts w:ascii="Abadi" w:hAnsi="Abadi"/>
          <w:color w:val="202B6F"/>
          <w:spacing w:val="-2"/>
          <w:w w:val="95"/>
          <w:sz w:val="12"/>
          <w:szCs w:val="12"/>
          <w:u w:val="single" w:color="4B5078"/>
        </w:rPr>
        <w:t>7</w:t>
      </w:r>
      <w:r w:rsidRPr="00C43EEF">
        <w:rPr>
          <w:rFonts w:ascii="Abadi" w:hAnsi="Abadi"/>
          <w:color w:val="152358"/>
          <w:spacing w:val="-2"/>
          <w:w w:val="95"/>
          <w:sz w:val="12"/>
          <w:szCs w:val="12"/>
          <w:u w:val="single" w:color="4B5078"/>
        </w:rPr>
        <w:t>5/6</w:t>
      </w:r>
      <w:r w:rsidRPr="00C43EEF">
        <w:rPr>
          <w:rFonts w:ascii="Abadi" w:hAnsi="Abadi"/>
          <w:color w:val="404A5B"/>
          <w:spacing w:val="-2"/>
          <w:w w:val="95"/>
          <w:sz w:val="12"/>
          <w:szCs w:val="12"/>
          <w:u w:val="single" w:color="4B5078"/>
        </w:rPr>
        <w:t>.</w:t>
      </w:r>
      <w:r w:rsidRPr="00C43EEF">
        <w:rPr>
          <w:rFonts w:ascii="Abadi" w:hAnsi="Abadi"/>
          <w:color w:val="152358"/>
          <w:spacing w:val="-2"/>
          <w:w w:val="95"/>
          <w:sz w:val="12"/>
          <w:szCs w:val="12"/>
          <w:u w:val="single" w:color="4B5078"/>
        </w:rPr>
        <w:t>pdf</w:t>
      </w:r>
    </w:p>
    <w:p w14:paraId="2AD9593D" w14:textId="054CFF39" w:rsidR="00C43EEF" w:rsidRPr="00C43EEF" w:rsidRDefault="00C43EEF">
      <w:pPr>
        <w:pStyle w:val="Textonotapie"/>
        <w:rPr>
          <w:rFonts w:ascii="Abadi" w:hAnsi="Abadi"/>
          <w:sz w:val="12"/>
          <w:szCs w:val="12"/>
        </w:rPr>
      </w:pPr>
    </w:p>
  </w:footnote>
  <w:footnote w:id="52">
    <w:p w14:paraId="40E414A6" w14:textId="3FE551A7" w:rsidR="001D7BC1" w:rsidRPr="002B20F5" w:rsidRDefault="001D7BC1">
      <w:pPr>
        <w:pStyle w:val="Textonotapie"/>
        <w:rPr>
          <w:sz w:val="12"/>
          <w:szCs w:val="12"/>
        </w:rPr>
      </w:pPr>
      <w:r w:rsidRPr="002B20F5">
        <w:rPr>
          <w:rStyle w:val="Refdenotaalpie"/>
          <w:sz w:val="12"/>
          <w:szCs w:val="12"/>
        </w:rPr>
        <w:footnoteRef/>
      </w:r>
      <w:r w:rsidRPr="002B20F5">
        <w:rPr>
          <w:sz w:val="12"/>
          <w:szCs w:val="12"/>
        </w:rPr>
        <w:t xml:space="preserve"> </w:t>
      </w:r>
      <w:r w:rsidR="00BF26BA" w:rsidRPr="002B20F5">
        <w:rPr>
          <w:sz w:val="12"/>
          <w:szCs w:val="12"/>
        </w:rPr>
        <w:t>(Duración</w:t>
      </w:r>
      <w:r w:rsidR="00813E15">
        <w:rPr>
          <w:sz w:val="12"/>
          <w:szCs w:val="12"/>
        </w:rPr>
        <w:t xml:space="preserve"> de </w:t>
      </w:r>
      <w:r w:rsidR="00141553">
        <w:rPr>
          <w:sz w:val="12"/>
          <w:szCs w:val="12"/>
        </w:rPr>
        <w:t>l</w:t>
      </w:r>
      <w:r w:rsidR="00813E15">
        <w:rPr>
          <w:sz w:val="12"/>
          <w:szCs w:val="12"/>
        </w:rPr>
        <w:t>a sesión</w:t>
      </w:r>
      <w:r w:rsidR="006969A8" w:rsidRPr="002B20F5">
        <w:rPr>
          <w:sz w:val="12"/>
          <w:szCs w:val="12"/>
        </w:rPr>
        <w:t xml:space="preserve">) </w:t>
      </w:r>
      <w:r w:rsidR="005662CD">
        <w:rPr>
          <w:sz w:val="12"/>
          <w:szCs w:val="12"/>
        </w:rPr>
        <w:t xml:space="preserve">cuatro horas </w:t>
      </w:r>
      <w:r w:rsidR="006F1D89">
        <w:rPr>
          <w:sz w:val="12"/>
          <w:szCs w:val="12"/>
        </w:rPr>
        <w:t xml:space="preserve">con cincuenta </w:t>
      </w:r>
      <w:r w:rsidR="002966F9">
        <w:rPr>
          <w:sz w:val="12"/>
          <w:szCs w:val="12"/>
        </w:rPr>
        <w:t>minutos</w:t>
      </w:r>
      <w:r w:rsidR="002B20F5" w:rsidRPr="002B20F5">
        <w:rPr>
          <w:sz w:val="12"/>
          <w:szCs w:val="12"/>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7BA8BFB9">
          <wp:simplePos x="0" y="0"/>
          <wp:positionH relativeFrom="column">
            <wp:posOffset>2482215</wp:posOffset>
          </wp:positionH>
          <wp:positionV relativeFrom="paragraph">
            <wp:posOffset>-134620</wp:posOffset>
          </wp:positionV>
          <wp:extent cx="638175" cy="266615"/>
          <wp:effectExtent l="0" t="0" r="0" b="0"/>
          <wp:wrapNone/>
          <wp:docPr id="22850" name="Imagen 22850"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0" behindDoc="1" locked="0" layoutInCell="0" allowOverlap="1" wp14:anchorId="5668BDCF" wp14:editId="13D00D6D">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30" type="#_x0000_t202" style="position:absolute;left:0;text-align:left;margin-left:-16.4pt;margin-top:316.05pt;width:498.75pt;height:54.75pt;rotation:-45;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10A1" w14:textId="733C246D" w:rsidR="004F5E0C" w:rsidRDefault="00AB0DB4" w:rsidP="000100EA">
    <w:pPr>
      <w:pStyle w:val="Encabezado"/>
      <w:pBdr>
        <w:bottom w:val="single" w:sz="4" w:space="1" w:color="auto"/>
      </w:pBdr>
      <w:tabs>
        <w:tab w:val="clear" w:pos="4419"/>
        <w:tab w:val="clear" w:pos="8838"/>
        <w:tab w:val="left" w:pos="4111"/>
        <w:tab w:val="left" w:pos="5775"/>
        <w:tab w:val="right" w:pos="8789"/>
      </w:tabs>
      <w:jc w:val="center"/>
      <w:rPr>
        <w:rFonts w:ascii="Trebuchet MS" w:hAnsi="Trebuchet MS"/>
        <w:sz w:val="19"/>
      </w:rPr>
    </w:pPr>
    <w:r w:rsidRPr="00CF28D9">
      <w:rPr>
        <w:noProof/>
        <w:lang w:val="es-MX" w:eastAsia="es-MX"/>
      </w:rPr>
      <w:drawing>
        <wp:anchor distT="0" distB="0" distL="114300" distR="114300" simplePos="0" relativeHeight="251666439" behindDoc="1" locked="0" layoutInCell="1" allowOverlap="1" wp14:anchorId="654E630E" wp14:editId="73682801">
          <wp:simplePos x="0" y="0"/>
          <wp:positionH relativeFrom="page">
            <wp:posOffset>1198880</wp:posOffset>
          </wp:positionH>
          <wp:positionV relativeFrom="paragraph">
            <wp:posOffset>1705794</wp:posOffset>
          </wp:positionV>
          <wp:extent cx="4800600" cy="4307840"/>
          <wp:effectExtent l="0" t="0" r="0" b="0"/>
          <wp:wrapNone/>
          <wp:docPr id="60" name="Imagen 60"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27AD9" w:rsidRPr="00410AA5">
      <w:rPr>
        <w:noProof/>
        <w:sz w:val="19"/>
        <w:shd w:val="clear" w:color="auto" w:fill="D9D9D9" w:themeFill="background1" w:themeFillShade="D9"/>
      </w:rPr>
      <w:drawing>
        <wp:anchor distT="0" distB="0" distL="114300" distR="114300" simplePos="0" relativeHeight="251658247" behindDoc="0" locked="0" layoutInCell="1" allowOverlap="1" wp14:anchorId="10EB3789" wp14:editId="3DCD0243">
          <wp:simplePos x="0" y="0"/>
          <wp:positionH relativeFrom="column">
            <wp:posOffset>2759710</wp:posOffset>
          </wp:positionH>
          <wp:positionV relativeFrom="paragraph">
            <wp:posOffset>-167640</wp:posOffset>
          </wp:positionV>
          <wp:extent cx="729575" cy="304800"/>
          <wp:effectExtent l="0" t="0" r="0" b="0"/>
          <wp:wrapNone/>
          <wp:docPr id="22852" name="Imagen 2285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729575" cy="304800"/>
                  </a:xfrm>
                  <a:prstGeom prst="rect">
                    <a:avLst/>
                  </a:prstGeom>
                </pic:spPr>
              </pic:pic>
            </a:graphicData>
          </a:graphic>
          <wp14:sizeRelH relativeFrom="margin">
            <wp14:pctWidth>0</wp14:pctWidth>
          </wp14:sizeRelH>
          <wp14:sizeRelV relativeFrom="margin">
            <wp14:pctHeight>0</wp14:pctHeight>
          </wp14:sizeRelV>
        </wp:anchor>
      </w:drawing>
    </w:r>
    <w:r w:rsidR="003E547F" w:rsidRPr="00410AA5">
      <w:rPr>
        <w:noProof/>
        <w:sz w:val="19"/>
        <w:shd w:val="clear" w:color="auto" w:fill="D9D9D9" w:themeFill="background1" w:themeFillShade="D9"/>
      </w:rPr>
      <mc:AlternateContent>
        <mc:Choice Requires="wps">
          <w:drawing>
            <wp:anchor distT="0" distB="0" distL="114300" distR="114300" simplePos="0" relativeHeight="251658241" behindDoc="1" locked="0" layoutInCell="0" allowOverlap="1" wp14:anchorId="5668BDCF" wp14:editId="17538E93">
              <wp:simplePos x="0" y="0"/>
              <wp:positionH relativeFrom="margin">
                <wp:posOffset>-737870</wp:posOffset>
              </wp:positionH>
              <wp:positionV relativeFrom="page">
                <wp:align>top</wp:align>
              </wp:positionV>
              <wp:extent cx="6334125" cy="695325"/>
              <wp:effectExtent l="0" t="0" r="0" b="0"/>
              <wp:wrapNone/>
              <wp:docPr id="1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7B3DC54" w14:textId="31EF0D1D" w:rsidR="003E547F" w:rsidRDefault="003E547F" w:rsidP="003E547F">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8" o:spid="_x0000_s1031" type="#_x0000_t202" style="position:absolute;left:0;text-align:left;margin-left:-58.1pt;margin-top:0;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" o:allowincell="f" filled="f" stroked="f">
              <v:stroke joinstyle="round"/>
              <o:lock v:ext="edit" shapetype="t"/>
              <v:textbox style="mso-fit-shape-to-text:t">
                <w:txbxContent>
                  <w:p w14:paraId="27B3DC54" w14:textId="31EF0D1D" w:rsidR="003E547F" w:rsidRDefault="003E547F" w:rsidP="003E547F">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page"/>
            </v:shape>
          </w:pict>
        </mc:Fallback>
      </mc:AlternateContent>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6200E0">
      <w:rPr>
        <w:rFonts w:ascii="Maiandra GD" w:hAnsi="Maiandra GD"/>
        <w:i/>
        <w:iCs/>
        <w:sz w:val="16"/>
        <w:szCs w:val="16"/>
        <w:shd w:val="clear" w:color="auto" w:fill="D9D9D9" w:themeFill="background1" w:themeFillShade="D9"/>
      </w:rPr>
      <w:t>Ordinaria</w:t>
    </w:r>
    <w:r w:rsidR="00361B7B">
      <w:rPr>
        <w:rFonts w:ascii="Maiandra GD" w:hAnsi="Maiandra GD"/>
        <w:i/>
        <w:iCs/>
        <w:sz w:val="16"/>
        <w:szCs w:val="16"/>
        <w:shd w:val="clear" w:color="auto" w:fill="D9D9D9" w:themeFill="background1" w:themeFillShade="D9"/>
      </w:rPr>
      <w:t xml:space="preserve"> </w:t>
    </w:r>
    <w:r w:rsidR="009235BD">
      <w:rPr>
        <w:rFonts w:ascii="Maiandra GD" w:hAnsi="Maiandra GD"/>
        <w:i/>
        <w:iCs/>
        <w:sz w:val="16"/>
        <w:szCs w:val="16"/>
        <w:shd w:val="clear" w:color="auto" w:fill="D9D9D9" w:themeFill="background1" w:themeFillShade="D9"/>
      </w:rPr>
      <w:t>1</w:t>
    </w:r>
    <w:r w:rsidR="00682A47">
      <w:rPr>
        <w:rFonts w:ascii="Maiandra GD" w:hAnsi="Maiandra GD"/>
        <w:i/>
        <w:iCs/>
        <w:sz w:val="16"/>
        <w:szCs w:val="16"/>
        <w:shd w:val="clear" w:color="auto" w:fill="D9D9D9" w:themeFill="background1" w:themeFillShade="D9"/>
      </w:rPr>
      <w:t>9</w:t>
    </w:r>
    <w:r w:rsidR="00B27AD9">
      <w:rPr>
        <w:rFonts w:ascii="Maiandra GD" w:hAnsi="Maiandra GD"/>
        <w:i/>
        <w:iCs/>
        <w:sz w:val="16"/>
        <w:szCs w:val="16"/>
        <w:shd w:val="clear" w:color="auto" w:fill="D9D9D9" w:themeFill="background1" w:themeFillShade="D9"/>
      </w:rPr>
      <w:t xml:space="preserve"> </w:t>
    </w:r>
    <w:r w:rsidR="00726605">
      <w:rPr>
        <w:rFonts w:ascii="Maiandra GD" w:hAnsi="Maiandra GD"/>
        <w:i/>
        <w:iCs/>
        <w:sz w:val="16"/>
        <w:szCs w:val="16"/>
        <w:shd w:val="clear" w:color="auto" w:fill="D9D9D9" w:themeFill="background1" w:themeFillShade="D9"/>
      </w:rPr>
      <w:t>de</w:t>
    </w:r>
    <w:r w:rsidR="00F90542">
      <w:rPr>
        <w:rFonts w:ascii="Maiandra GD" w:hAnsi="Maiandra GD"/>
        <w:i/>
        <w:iCs/>
        <w:sz w:val="16"/>
        <w:szCs w:val="16"/>
        <w:shd w:val="clear" w:color="auto" w:fill="D9D9D9" w:themeFill="background1" w:themeFillShade="D9"/>
      </w:rPr>
      <w:t xml:space="preserve"> </w:t>
    </w:r>
    <w:r w:rsidR="009235BD">
      <w:rPr>
        <w:rFonts w:ascii="Maiandra GD" w:hAnsi="Maiandra GD"/>
        <w:i/>
        <w:iCs/>
        <w:sz w:val="16"/>
        <w:szCs w:val="16"/>
        <w:shd w:val="clear" w:color="auto" w:fill="D9D9D9" w:themeFill="background1" w:themeFillShade="D9"/>
      </w:rPr>
      <w:t xml:space="preserve">mayo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22</w:t>
    </w:r>
    <w:r w:rsidR="004F5E0C">
      <w:rPr>
        <w:rFonts w:ascii="Maiandra GD" w:hAnsi="Maiandra GD"/>
        <w:i/>
        <w:iCs/>
        <w:sz w:val="16"/>
        <w:szCs w:val="16"/>
      </w:rPr>
      <w:tab/>
    </w:r>
    <w:r w:rsidR="004F5E0C">
      <w:rPr>
        <w:sz w:val="19"/>
      </w:rPr>
      <w:tab/>
    </w:r>
    <w:r w:rsidR="000100EA">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1013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390"/>
      <w:gridCol w:w="7748"/>
    </w:tblGrid>
    <w:tr w:rsidR="004F5E0C" w14:paraId="05C301D3" w14:textId="77777777" w:rsidTr="00F805A1">
      <w:trPr>
        <w:trHeight w:val="1787"/>
      </w:trPr>
      <w:tc>
        <w:tcPr>
          <w:tcW w:w="2390" w:type="dxa"/>
          <w:shd w:val="clear" w:color="auto" w:fill="FFFFFF"/>
        </w:tcPr>
        <w:p w14:paraId="01CF98B8" w14:textId="7FDFB5DC" w:rsidR="004F5E0C" w:rsidRPr="006F4511" w:rsidRDefault="00765AF6" w:rsidP="00AA08D1">
          <w:pPr>
            <w:pStyle w:val="Encabezado"/>
            <w:rPr>
              <w:b/>
              <w:u w:val="single"/>
            </w:rPr>
          </w:pPr>
          <w:r>
            <w:rPr>
              <w:noProof/>
            </w:rPr>
            <w:drawing>
              <wp:anchor distT="0" distB="0" distL="114300" distR="114300" simplePos="0" relativeHeight="251658246" behindDoc="1" locked="0" layoutInCell="1" allowOverlap="1" wp14:anchorId="6307C06D" wp14:editId="1D14A627">
                <wp:simplePos x="0" y="0"/>
                <wp:positionH relativeFrom="margin">
                  <wp:posOffset>-41275</wp:posOffset>
                </wp:positionH>
                <wp:positionV relativeFrom="paragraph">
                  <wp:posOffset>271780</wp:posOffset>
                </wp:positionV>
                <wp:extent cx="1421429" cy="590550"/>
                <wp:effectExtent l="0" t="0" r="7620" b="0"/>
                <wp:wrapTight wrapText="bothSides">
                  <wp:wrapPolygon edited="0">
                    <wp:start x="0" y="0"/>
                    <wp:lineTo x="0" y="20903"/>
                    <wp:lineTo x="21426" y="20903"/>
                    <wp:lineTo x="21426" y="0"/>
                    <wp:lineTo x="0" y="0"/>
                  </wp:wrapPolygon>
                </wp:wrapTight>
                <wp:docPr id="22853" name="Imagen 2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1728" cy="5906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227EC6" w14:textId="282A26FF" w:rsidR="004F5E0C" w:rsidRDefault="004F5E0C" w:rsidP="00AA08D1">
          <w:pPr>
            <w:pStyle w:val="Encabezado"/>
            <w:tabs>
              <w:tab w:val="clear" w:pos="4419"/>
            </w:tabs>
            <w:jc w:val="center"/>
            <w:rPr>
              <w:sz w:val="19"/>
            </w:rPr>
          </w:pPr>
        </w:p>
        <w:p w14:paraId="0A6620B1" w14:textId="0EA36F99" w:rsidR="004F5E0C" w:rsidRPr="006D45D3" w:rsidRDefault="004F5E0C" w:rsidP="00AA08D1">
          <w:pPr>
            <w:pStyle w:val="Encabezado"/>
            <w:tabs>
              <w:tab w:val="clear" w:pos="4419"/>
            </w:tabs>
            <w:jc w:val="center"/>
            <w:rPr>
              <w:sz w:val="19"/>
            </w:rPr>
          </w:pPr>
        </w:p>
      </w:tc>
      <w:tc>
        <w:tcPr>
          <w:tcW w:w="7748" w:type="dxa"/>
          <w:shd w:val="clear" w:color="auto" w:fill="FFFFFF"/>
          <w:vAlign w:val="center"/>
        </w:tcPr>
        <w:p w14:paraId="394742E4" w14:textId="7700AB2B" w:rsidR="00964E3C"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4" behindDoc="0" locked="0" layoutInCell="1" allowOverlap="1" wp14:anchorId="0D3CB943" wp14:editId="40F84E21">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3" type="#_x0000_t202" style="position:absolute;left:0;text-align:left;margin-left:.35pt;margin-top:-43.75pt;width:378.9pt;height:4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jl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k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Ec0I5W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D20971">
            <w:rPr>
              <w:rFonts w:ascii="Maiandra GD" w:hAnsi="Maiandra GD"/>
              <w:b/>
              <w:i/>
              <w:sz w:val="16"/>
              <w:szCs w:val="16"/>
            </w:rPr>
            <w:t xml:space="preserve">CÁMARA DE DIPUTADOS </w:t>
          </w:r>
          <w:r w:rsidR="00964E3C">
            <w:rPr>
              <w:rFonts w:ascii="Maiandra GD" w:hAnsi="Maiandra GD"/>
              <w:b/>
              <w:i/>
              <w:sz w:val="16"/>
              <w:szCs w:val="16"/>
            </w:rPr>
            <w:t xml:space="preserve">DEL </w:t>
          </w:r>
          <w:r w:rsidR="00964E3C" w:rsidRPr="008217CF">
            <w:rPr>
              <w:rFonts w:ascii="Maiandra GD" w:hAnsi="Maiandra GD"/>
              <w:b/>
              <w:i/>
              <w:sz w:val="16"/>
              <w:szCs w:val="16"/>
            </w:rPr>
            <w:t>CONGRESO DEL ESTADO DE GUANAJUATO</w:t>
          </w:r>
          <w:r w:rsidR="00964E3C">
            <w:rPr>
              <w:rFonts w:ascii="Maiandra GD" w:hAnsi="Maiandra GD"/>
              <w:b/>
              <w:i/>
              <w:sz w:val="16"/>
              <w:szCs w:val="16"/>
            </w:rPr>
            <w:t xml:space="preserve"> </w:t>
          </w:r>
        </w:p>
        <w:p w14:paraId="3A5C1CB7" w14:textId="0B9ACAF2" w:rsidR="004F5E0C" w:rsidRDefault="00964E3C"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 xml:space="preserve">DE LA </w:t>
          </w:r>
          <w:r w:rsidR="00294491">
            <w:rPr>
              <w:rFonts w:ascii="Maiandra GD" w:hAnsi="Maiandra GD"/>
              <w:b/>
              <w:i/>
              <w:sz w:val="16"/>
              <w:szCs w:val="16"/>
            </w:rPr>
            <w:t>SEXAGÉSIMA QUINTA LEGISLATURA</w:t>
          </w:r>
          <w:r w:rsidR="00521F34">
            <w:rPr>
              <w:rFonts w:ascii="Maiandra GD" w:hAnsi="Maiandra GD"/>
              <w:b/>
              <w:i/>
              <w:sz w:val="16"/>
              <w:szCs w:val="16"/>
            </w:rPr>
            <w:t xml:space="preserve"> </w:t>
          </w:r>
        </w:p>
        <w:p w14:paraId="1F87C0B4" w14:textId="77777777" w:rsidR="00064037" w:rsidRPr="00064037" w:rsidRDefault="00064037" w:rsidP="00BB6CF0">
          <w:pPr>
            <w:pStyle w:val="Encabezado"/>
            <w:tabs>
              <w:tab w:val="clear" w:pos="4419"/>
            </w:tabs>
            <w:spacing w:before="40"/>
            <w:jc w:val="center"/>
            <w:rPr>
              <w:rFonts w:ascii="Maiandra GD" w:hAnsi="Maiandra GD"/>
              <w:b/>
              <w:i/>
              <w:sz w:val="2"/>
              <w:szCs w:val="2"/>
            </w:rPr>
          </w:pPr>
        </w:p>
        <w:p w14:paraId="0974B764" w14:textId="77777777" w:rsidR="00064037" w:rsidRPr="00DB6DE2" w:rsidRDefault="00064037" w:rsidP="00BB6CF0">
          <w:pPr>
            <w:pStyle w:val="Encabezado"/>
            <w:tabs>
              <w:tab w:val="clear" w:pos="4419"/>
            </w:tabs>
            <w:spacing w:before="40"/>
            <w:jc w:val="center"/>
            <w:rPr>
              <w:rFonts w:ascii="Maiandra GD" w:hAnsi="Maiandra GD"/>
              <w:b/>
              <w:i/>
              <w:sz w:val="4"/>
              <w:szCs w:val="4"/>
            </w:rPr>
          </w:pPr>
        </w:p>
        <w:p w14:paraId="6BB3FB15" w14:textId="0CCF42E1" w:rsidR="00294491" w:rsidRPr="008008F6" w:rsidRDefault="00294491" w:rsidP="00294491">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ORDINARIA</w:t>
          </w:r>
          <w:r w:rsidR="00064037">
            <w:rPr>
              <w:rFonts w:ascii="Maiandra GD" w:hAnsi="Maiandra GD"/>
              <w:b/>
              <w:i/>
              <w:sz w:val="16"/>
              <w:szCs w:val="16"/>
            </w:rPr>
            <w:t xml:space="preserve"> -</w:t>
          </w:r>
          <w:r w:rsidRPr="008008F6">
            <w:rPr>
              <w:rFonts w:ascii="Maiandra GD" w:hAnsi="Maiandra GD"/>
              <w:b/>
              <w:i/>
              <w:sz w:val="16"/>
              <w:szCs w:val="16"/>
            </w:rPr>
            <w:t>PRIMER AÑO DE EJERCICIO CONSTITUCIONAL</w:t>
          </w:r>
          <w:r w:rsidR="00064037">
            <w:rPr>
              <w:rFonts w:ascii="Maiandra GD" w:hAnsi="Maiandra GD"/>
              <w:b/>
              <w:i/>
              <w:sz w:val="16"/>
              <w:szCs w:val="16"/>
            </w:rPr>
            <w:t>-</w:t>
          </w:r>
          <w:r>
            <w:rPr>
              <w:rFonts w:ascii="Maiandra GD" w:hAnsi="Maiandra GD"/>
              <w:b/>
              <w:i/>
              <w:sz w:val="16"/>
              <w:szCs w:val="16"/>
            </w:rPr>
            <w:t>SEGUNDO PERIODO ORDINARIO</w:t>
          </w:r>
        </w:p>
        <w:p w14:paraId="68A5B38E" w14:textId="77777777" w:rsidR="00064037" w:rsidRPr="00064037" w:rsidRDefault="00064037" w:rsidP="00AC738C">
          <w:pPr>
            <w:pStyle w:val="Encabezado"/>
            <w:tabs>
              <w:tab w:val="clear" w:pos="4419"/>
            </w:tabs>
            <w:spacing w:before="40"/>
            <w:jc w:val="center"/>
            <w:rPr>
              <w:rFonts w:ascii="Maiandra GD" w:hAnsi="Maiandra GD"/>
              <w:b/>
              <w:i/>
              <w:sz w:val="2"/>
              <w:szCs w:val="2"/>
            </w:rPr>
          </w:pPr>
        </w:p>
        <w:p w14:paraId="77CCC589" w14:textId="6584BADD" w:rsidR="004F5E0C" w:rsidRPr="00064037" w:rsidRDefault="004F5E0C" w:rsidP="00294491">
          <w:pPr>
            <w:pStyle w:val="Encabezado"/>
            <w:tabs>
              <w:tab w:val="clear" w:pos="4419"/>
            </w:tabs>
            <w:spacing w:before="40"/>
            <w:rPr>
              <w:rFonts w:ascii="Trebuchet MS" w:hAnsi="Trebuchet MS"/>
              <w:b/>
              <w:bCs/>
              <w:i/>
              <w:iCs/>
              <w:color w:val="FFFFFF"/>
              <w:sz w:val="14"/>
              <w:szCs w:val="14"/>
            </w:rPr>
          </w:pPr>
          <w:r w:rsidRPr="00064037">
            <w:rPr>
              <w:rFonts w:ascii="Maiandra GD" w:hAnsi="Maiandra GD"/>
              <w:b/>
              <w:i/>
              <w:sz w:val="14"/>
              <w:szCs w:val="14"/>
              <w:shd w:val="clear" w:color="auto" w:fill="D9D9D9" w:themeFill="background1" w:themeFillShade="D9"/>
            </w:rPr>
            <w:t>GUANAJUATO, GTO.,</w:t>
          </w:r>
          <w:r w:rsidR="0008481B" w:rsidRPr="00064037">
            <w:rPr>
              <w:rFonts w:ascii="Maiandra GD" w:hAnsi="Maiandra GD"/>
              <w:b/>
              <w:i/>
              <w:sz w:val="14"/>
              <w:szCs w:val="14"/>
              <w:shd w:val="clear" w:color="auto" w:fill="D9D9D9" w:themeFill="background1" w:themeFillShade="D9"/>
            </w:rPr>
            <w:t xml:space="preserve"> </w:t>
          </w:r>
          <w:r w:rsidR="00732C07">
            <w:rPr>
              <w:rFonts w:ascii="Maiandra GD" w:hAnsi="Maiandra GD"/>
              <w:b/>
              <w:i/>
              <w:sz w:val="14"/>
              <w:szCs w:val="14"/>
              <w:shd w:val="clear" w:color="auto" w:fill="D9D9D9" w:themeFill="background1" w:themeFillShade="D9"/>
            </w:rPr>
            <w:t>1</w:t>
          </w:r>
          <w:r w:rsidR="00682A47">
            <w:rPr>
              <w:rFonts w:ascii="Maiandra GD" w:hAnsi="Maiandra GD"/>
              <w:b/>
              <w:i/>
              <w:sz w:val="14"/>
              <w:szCs w:val="14"/>
              <w:shd w:val="clear" w:color="auto" w:fill="D9D9D9" w:themeFill="background1" w:themeFillShade="D9"/>
            </w:rPr>
            <w:t xml:space="preserve"> 9 </w:t>
          </w:r>
          <w:r w:rsidR="00736CD3" w:rsidRPr="00064037">
            <w:rPr>
              <w:rFonts w:ascii="Maiandra GD" w:hAnsi="Maiandra GD"/>
              <w:b/>
              <w:i/>
              <w:sz w:val="14"/>
              <w:szCs w:val="14"/>
              <w:shd w:val="clear" w:color="auto" w:fill="D9D9D9" w:themeFill="background1" w:themeFillShade="D9"/>
            </w:rPr>
            <w:t xml:space="preserve">DE </w:t>
          </w:r>
          <w:r w:rsidR="00732C07">
            <w:rPr>
              <w:rFonts w:ascii="Maiandra GD" w:hAnsi="Maiandra GD"/>
              <w:b/>
              <w:i/>
              <w:sz w:val="14"/>
              <w:szCs w:val="14"/>
              <w:shd w:val="clear" w:color="auto" w:fill="D9D9D9" w:themeFill="background1" w:themeFillShade="D9"/>
            </w:rPr>
            <w:t>MAYO</w:t>
          </w:r>
          <w:r w:rsidR="00D20971">
            <w:rPr>
              <w:rFonts w:ascii="Maiandra GD" w:hAnsi="Maiandra GD"/>
              <w:b/>
              <w:i/>
              <w:sz w:val="14"/>
              <w:szCs w:val="14"/>
              <w:shd w:val="clear" w:color="auto" w:fill="D9D9D9" w:themeFill="background1" w:themeFillShade="D9"/>
            </w:rPr>
            <w:t xml:space="preserve"> </w:t>
          </w:r>
          <w:r w:rsidRPr="00064037">
            <w:rPr>
              <w:rFonts w:ascii="Maiandra GD" w:hAnsi="Maiandra GD"/>
              <w:b/>
              <w:i/>
              <w:sz w:val="14"/>
              <w:szCs w:val="14"/>
              <w:shd w:val="clear" w:color="auto" w:fill="D9D9D9" w:themeFill="background1" w:themeFillShade="D9"/>
            </w:rPr>
            <w:t>DE 20</w:t>
          </w:r>
          <w:r w:rsidR="00BE665D" w:rsidRPr="00064037">
            <w:rPr>
              <w:rFonts w:ascii="Maiandra GD" w:hAnsi="Maiandra GD"/>
              <w:b/>
              <w:i/>
              <w:sz w:val="14"/>
              <w:szCs w:val="14"/>
              <w:shd w:val="clear" w:color="auto" w:fill="D9D9D9" w:themeFill="background1" w:themeFillShade="D9"/>
            </w:rPr>
            <w:t>2</w:t>
          </w:r>
          <w:r w:rsidR="009930B9" w:rsidRPr="00064037">
            <w:rPr>
              <w:rFonts w:ascii="Maiandra GD" w:hAnsi="Maiandra GD"/>
              <w:b/>
              <w:i/>
              <w:sz w:val="14"/>
              <w:szCs w:val="14"/>
              <w:shd w:val="clear" w:color="auto" w:fill="D9D9D9" w:themeFill="background1" w:themeFillShade="D9"/>
            </w:rPr>
            <w:t>2</w:t>
          </w:r>
          <w:r w:rsidR="00294491" w:rsidRPr="00064037">
            <w:rPr>
              <w:rFonts w:ascii="Maiandra GD" w:hAnsi="Maiandra GD"/>
              <w:b/>
              <w:i/>
              <w:sz w:val="14"/>
              <w:szCs w:val="14"/>
              <w:shd w:val="clear" w:color="auto" w:fill="D9D9D9" w:themeFill="background1" w:themeFillShade="D9"/>
            </w:rPr>
            <w:t xml:space="preserve">                   </w:t>
          </w:r>
          <w:r w:rsidR="00064037" w:rsidRP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w:t>
          </w:r>
          <w:r w:rsid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w:t>
          </w:r>
          <w:r w:rsidR="00064037" w:rsidRP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SESIÓN NÚMERO (</w:t>
          </w:r>
          <w:r w:rsidR="000B1FB3">
            <w:rPr>
              <w:rFonts w:ascii="Maiandra GD" w:hAnsi="Maiandra GD"/>
              <w:b/>
              <w:i/>
              <w:sz w:val="14"/>
              <w:szCs w:val="14"/>
              <w:shd w:val="clear" w:color="auto" w:fill="D9D9D9" w:themeFill="background1" w:themeFillShade="D9"/>
            </w:rPr>
            <w:t>3</w:t>
          </w:r>
          <w:r w:rsidR="004919AA">
            <w:rPr>
              <w:rFonts w:ascii="Maiandra GD" w:hAnsi="Maiandra GD"/>
              <w:b/>
              <w:i/>
              <w:sz w:val="14"/>
              <w:szCs w:val="14"/>
              <w:shd w:val="clear" w:color="auto" w:fill="D9D9D9" w:themeFill="background1" w:themeFillShade="D9"/>
            </w:rPr>
            <w:t>0</w:t>
          </w:r>
          <w:r w:rsidR="00294491" w:rsidRPr="00064037">
            <w:rPr>
              <w:rFonts w:ascii="Maiandra GD" w:hAnsi="Maiandra GD"/>
              <w:b/>
              <w:i/>
              <w:sz w:val="14"/>
              <w:szCs w:val="14"/>
              <w:shd w:val="clear" w:color="auto" w:fill="D9D9D9" w:themeFill="background1" w:themeFillShade="D9"/>
            </w:rPr>
            <w:t>)</w:t>
          </w:r>
        </w:p>
      </w:tc>
    </w:tr>
  </w:tbl>
  <w:p w14:paraId="2529A23E" w14:textId="6E7E05DB" w:rsidR="004F5E0C" w:rsidRPr="006416C3" w:rsidRDefault="00AB0DB4" w:rsidP="006328F9">
    <w:pPr>
      <w:pStyle w:val="Encabezado"/>
    </w:pPr>
    <w:r w:rsidRPr="00CF28D9">
      <w:rPr>
        <w:noProof/>
        <w:lang w:val="es-MX" w:eastAsia="es-MX"/>
      </w:rPr>
      <w:drawing>
        <wp:anchor distT="0" distB="0" distL="114300" distR="114300" simplePos="0" relativeHeight="251664391" behindDoc="1" locked="0" layoutInCell="1" allowOverlap="1" wp14:anchorId="73B3A36F" wp14:editId="10CAE718">
          <wp:simplePos x="0" y="0"/>
          <wp:positionH relativeFrom="margin">
            <wp:align>left</wp:align>
          </wp:positionH>
          <wp:positionV relativeFrom="paragraph">
            <wp:posOffset>2939484</wp:posOffset>
          </wp:positionV>
          <wp:extent cx="4800600" cy="4307840"/>
          <wp:effectExtent l="0" t="0" r="0" b="0"/>
          <wp:wrapNone/>
          <wp:docPr id="129" name="Imagen 129"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4819"/>
        </w:tabs>
        <w:ind w:left="4819"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FFFFFFFF"/>
    <w:lvl w:ilvl="0">
      <w:numFmt w:val="bullet"/>
      <w:lvlText w:val=""/>
      <w:lvlJc w:val="left"/>
      <w:pPr>
        <w:ind w:left="459" w:hanging="341"/>
      </w:pPr>
      <w:rPr>
        <w:rFonts w:ascii="Wingdings" w:hAnsi="Wingdings" w:cs="Wingdings"/>
        <w:b w:val="0"/>
        <w:bCs w:val="0"/>
        <w:i w:val="0"/>
        <w:iCs w:val="0"/>
        <w:w w:val="100"/>
        <w:sz w:val="16"/>
        <w:szCs w:val="16"/>
      </w:rPr>
    </w:lvl>
    <w:lvl w:ilvl="1">
      <w:numFmt w:val="bullet"/>
      <w:lvlText w:val="•"/>
      <w:lvlJc w:val="left"/>
      <w:pPr>
        <w:ind w:left="1378" w:hanging="341"/>
      </w:pPr>
    </w:lvl>
    <w:lvl w:ilvl="2">
      <w:numFmt w:val="bullet"/>
      <w:lvlText w:val="•"/>
      <w:lvlJc w:val="left"/>
      <w:pPr>
        <w:ind w:left="2296" w:hanging="341"/>
      </w:pPr>
    </w:lvl>
    <w:lvl w:ilvl="3">
      <w:numFmt w:val="bullet"/>
      <w:lvlText w:val="•"/>
      <w:lvlJc w:val="left"/>
      <w:pPr>
        <w:ind w:left="3214" w:hanging="341"/>
      </w:pPr>
    </w:lvl>
    <w:lvl w:ilvl="4">
      <w:numFmt w:val="bullet"/>
      <w:lvlText w:val="•"/>
      <w:lvlJc w:val="left"/>
      <w:pPr>
        <w:ind w:left="4132" w:hanging="341"/>
      </w:pPr>
    </w:lvl>
    <w:lvl w:ilvl="5">
      <w:numFmt w:val="bullet"/>
      <w:lvlText w:val="•"/>
      <w:lvlJc w:val="left"/>
      <w:pPr>
        <w:ind w:left="5050" w:hanging="341"/>
      </w:pPr>
    </w:lvl>
    <w:lvl w:ilvl="6">
      <w:numFmt w:val="bullet"/>
      <w:lvlText w:val="•"/>
      <w:lvlJc w:val="left"/>
      <w:pPr>
        <w:ind w:left="5968" w:hanging="341"/>
      </w:pPr>
    </w:lvl>
    <w:lvl w:ilvl="7">
      <w:numFmt w:val="bullet"/>
      <w:lvlText w:val="•"/>
      <w:lvlJc w:val="left"/>
      <w:pPr>
        <w:ind w:left="6886" w:hanging="341"/>
      </w:pPr>
    </w:lvl>
    <w:lvl w:ilvl="8">
      <w:numFmt w:val="bullet"/>
      <w:lvlText w:val="•"/>
      <w:lvlJc w:val="left"/>
      <w:pPr>
        <w:ind w:left="7804" w:hanging="341"/>
      </w:pPr>
    </w:lvl>
  </w:abstractNum>
  <w:abstractNum w:abstractNumId="3" w15:restartNumberingAfterBreak="0">
    <w:nsid w:val="00000403"/>
    <w:multiLevelType w:val="multilevel"/>
    <w:tmpl w:val="FFFFFFFF"/>
    <w:lvl w:ilvl="0">
      <w:start w:val="1"/>
      <w:numFmt w:val="decimal"/>
      <w:lvlText w:val="%1."/>
      <w:lvlJc w:val="left"/>
      <w:pPr>
        <w:ind w:left="481" w:hanging="351"/>
      </w:pPr>
      <w:rPr>
        <w:spacing w:val="-5"/>
        <w:w w:val="86"/>
      </w:rPr>
    </w:lvl>
    <w:lvl w:ilvl="1">
      <w:numFmt w:val="bullet"/>
      <w:lvlText w:val="•"/>
      <w:lvlJc w:val="left"/>
      <w:pPr>
        <w:ind w:left="1360" w:hanging="351"/>
      </w:pPr>
    </w:lvl>
    <w:lvl w:ilvl="2">
      <w:numFmt w:val="bullet"/>
      <w:lvlText w:val="•"/>
      <w:lvlJc w:val="left"/>
      <w:pPr>
        <w:ind w:left="2240" w:hanging="351"/>
      </w:pPr>
    </w:lvl>
    <w:lvl w:ilvl="3">
      <w:numFmt w:val="bullet"/>
      <w:lvlText w:val="•"/>
      <w:lvlJc w:val="left"/>
      <w:pPr>
        <w:ind w:left="3120" w:hanging="351"/>
      </w:pPr>
    </w:lvl>
    <w:lvl w:ilvl="4">
      <w:numFmt w:val="bullet"/>
      <w:lvlText w:val="•"/>
      <w:lvlJc w:val="left"/>
      <w:pPr>
        <w:ind w:left="4000" w:hanging="351"/>
      </w:pPr>
    </w:lvl>
    <w:lvl w:ilvl="5">
      <w:numFmt w:val="bullet"/>
      <w:lvlText w:val="•"/>
      <w:lvlJc w:val="left"/>
      <w:pPr>
        <w:ind w:left="4880" w:hanging="351"/>
      </w:pPr>
    </w:lvl>
    <w:lvl w:ilvl="6">
      <w:numFmt w:val="bullet"/>
      <w:lvlText w:val="•"/>
      <w:lvlJc w:val="left"/>
      <w:pPr>
        <w:ind w:left="5760" w:hanging="351"/>
      </w:pPr>
    </w:lvl>
    <w:lvl w:ilvl="7">
      <w:numFmt w:val="bullet"/>
      <w:lvlText w:val="•"/>
      <w:lvlJc w:val="left"/>
      <w:pPr>
        <w:ind w:left="6640" w:hanging="351"/>
      </w:pPr>
    </w:lvl>
    <w:lvl w:ilvl="8">
      <w:numFmt w:val="bullet"/>
      <w:lvlText w:val="•"/>
      <w:lvlJc w:val="left"/>
      <w:pPr>
        <w:ind w:left="7520" w:hanging="351"/>
      </w:pPr>
    </w:lvl>
  </w:abstractNum>
  <w:abstractNum w:abstractNumId="4" w15:restartNumberingAfterBreak="0">
    <w:nsid w:val="00B430DA"/>
    <w:multiLevelType w:val="multilevel"/>
    <w:tmpl w:val="D61A5BD2"/>
    <w:lvl w:ilvl="0">
      <w:start w:val="3"/>
      <w:numFmt w:val="bullet"/>
      <w:pStyle w:val="Estilo1"/>
      <w:lvlText w:val="-"/>
      <w:lvlJc w:val="left"/>
      <w:pPr>
        <w:ind w:left="2848" w:hanging="579"/>
      </w:pPr>
      <w:rPr>
        <w:rFonts w:ascii="Times New Roman" w:hAnsi="Times New Roman" w:cs="Times New Roman" w:hint="default"/>
        <w:b/>
        <w:bCs w:val="0"/>
        <w:i/>
        <w:iCs w:val="0"/>
        <w:spacing w:val="0"/>
        <w:w w:val="100"/>
        <w:sz w:val="28"/>
        <w:szCs w:val="28"/>
      </w:rPr>
    </w:lvl>
    <w:lvl w:ilvl="1">
      <w:numFmt w:val="bullet"/>
      <w:lvlText w:val="•"/>
      <w:lvlJc w:val="left"/>
      <w:pPr>
        <w:ind w:left="3742" w:hanging="579"/>
      </w:pPr>
    </w:lvl>
    <w:lvl w:ilvl="2">
      <w:numFmt w:val="bullet"/>
      <w:lvlText w:val="•"/>
      <w:lvlJc w:val="left"/>
      <w:pPr>
        <w:ind w:left="4630" w:hanging="579"/>
      </w:pPr>
    </w:lvl>
    <w:lvl w:ilvl="3">
      <w:numFmt w:val="bullet"/>
      <w:lvlText w:val="•"/>
      <w:lvlJc w:val="left"/>
      <w:pPr>
        <w:ind w:left="5518" w:hanging="579"/>
      </w:pPr>
    </w:lvl>
    <w:lvl w:ilvl="4">
      <w:numFmt w:val="bullet"/>
      <w:lvlText w:val="•"/>
      <w:lvlJc w:val="left"/>
      <w:pPr>
        <w:ind w:left="6406" w:hanging="579"/>
      </w:pPr>
    </w:lvl>
    <w:lvl w:ilvl="5">
      <w:numFmt w:val="bullet"/>
      <w:lvlText w:val="•"/>
      <w:lvlJc w:val="left"/>
      <w:pPr>
        <w:ind w:left="7294" w:hanging="579"/>
      </w:pPr>
    </w:lvl>
    <w:lvl w:ilvl="6">
      <w:numFmt w:val="bullet"/>
      <w:lvlText w:val="•"/>
      <w:lvlJc w:val="left"/>
      <w:pPr>
        <w:ind w:left="8182" w:hanging="579"/>
      </w:pPr>
    </w:lvl>
    <w:lvl w:ilvl="7">
      <w:numFmt w:val="bullet"/>
      <w:lvlText w:val="•"/>
      <w:lvlJc w:val="left"/>
      <w:pPr>
        <w:ind w:left="9070" w:hanging="579"/>
      </w:pPr>
    </w:lvl>
    <w:lvl w:ilvl="8">
      <w:numFmt w:val="bullet"/>
      <w:lvlText w:val="•"/>
      <w:lvlJc w:val="left"/>
      <w:pPr>
        <w:ind w:left="9958" w:hanging="579"/>
      </w:pPr>
    </w:lvl>
  </w:abstractNum>
  <w:abstractNum w:abstractNumId="5" w15:restartNumberingAfterBreak="0">
    <w:nsid w:val="048D3DAD"/>
    <w:multiLevelType w:val="hybridMultilevel"/>
    <w:tmpl w:val="9F40E40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5816121"/>
    <w:multiLevelType w:val="hybridMultilevel"/>
    <w:tmpl w:val="13DC571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84B564A"/>
    <w:multiLevelType w:val="hybridMultilevel"/>
    <w:tmpl w:val="2A50BC36"/>
    <w:lvl w:ilvl="0" w:tplc="7840C83C">
      <w:start w:val="1"/>
      <w:numFmt w:val="upperRoman"/>
      <w:lvlText w:val="%1."/>
      <w:lvlJc w:val="left"/>
      <w:pPr>
        <w:ind w:left="720" w:hanging="72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098B44E0"/>
    <w:multiLevelType w:val="hybridMultilevel"/>
    <w:tmpl w:val="5D24946A"/>
    <w:lvl w:ilvl="0" w:tplc="F0B88B4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A8E1A1E"/>
    <w:multiLevelType w:val="hybridMultilevel"/>
    <w:tmpl w:val="D9123018"/>
    <w:lvl w:ilvl="0" w:tplc="2ECE0EC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EE47DAD"/>
    <w:multiLevelType w:val="hybridMultilevel"/>
    <w:tmpl w:val="04D83EEC"/>
    <w:lvl w:ilvl="0" w:tplc="394C65A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EEA5C7A"/>
    <w:multiLevelType w:val="hybridMultilevel"/>
    <w:tmpl w:val="DBDC1CBC"/>
    <w:lvl w:ilvl="0" w:tplc="BF3E430E">
      <w:start w:val="2020"/>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0EF04D69"/>
    <w:multiLevelType w:val="hybridMultilevel"/>
    <w:tmpl w:val="DA7202A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FCF33C2"/>
    <w:multiLevelType w:val="hybridMultilevel"/>
    <w:tmpl w:val="CAC46EB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5341C6B"/>
    <w:multiLevelType w:val="hybridMultilevel"/>
    <w:tmpl w:val="CC648EC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8426115"/>
    <w:multiLevelType w:val="hybridMultilevel"/>
    <w:tmpl w:val="531A6E8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9545070"/>
    <w:multiLevelType w:val="hybridMultilevel"/>
    <w:tmpl w:val="508EEDC2"/>
    <w:lvl w:ilvl="0" w:tplc="3840381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1AE14D0F"/>
    <w:multiLevelType w:val="hybridMultilevel"/>
    <w:tmpl w:val="D2FA70A2"/>
    <w:lvl w:ilvl="0" w:tplc="75FE2C28">
      <w:start w:val="1"/>
      <w:numFmt w:val="lowerLetter"/>
      <w:lvlText w:val="%1)"/>
      <w:lvlJc w:val="left"/>
      <w:pPr>
        <w:ind w:left="360" w:hanging="360"/>
      </w:pPr>
      <w:rPr>
        <w:rFonts w:ascii="Abadi" w:eastAsia="Times New Roman" w:hAnsi="Abadi" w:cs="ArialMT"/>
        <w:b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1B1D5D5C"/>
    <w:multiLevelType w:val="hybridMultilevel"/>
    <w:tmpl w:val="C29EB8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B2639E0"/>
    <w:multiLevelType w:val="hybridMultilevel"/>
    <w:tmpl w:val="A2925968"/>
    <w:lvl w:ilvl="0" w:tplc="EF7634D8">
      <w:numFmt w:val="bullet"/>
      <w:lvlText w:val=""/>
      <w:lvlJc w:val="left"/>
      <w:pPr>
        <w:ind w:left="720" w:hanging="360"/>
      </w:pPr>
      <w:rPr>
        <w:rFonts w:ascii="Symbol" w:eastAsiaTheme="minorHAnsi" w:hAnsi="Symbol"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C965200"/>
    <w:multiLevelType w:val="hybridMultilevel"/>
    <w:tmpl w:val="40486BEA"/>
    <w:lvl w:ilvl="0" w:tplc="77567F7C">
      <w:start w:val="2020"/>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1FD02BEA"/>
    <w:multiLevelType w:val="hybridMultilevel"/>
    <w:tmpl w:val="74F8EB68"/>
    <w:lvl w:ilvl="0" w:tplc="AD40E42E">
      <w:start w:val="1"/>
      <w:numFmt w:val="decimal"/>
      <w:lvlText w:val="%1."/>
      <w:lvlJc w:val="left"/>
      <w:pPr>
        <w:ind w:left="720" w:hanging="360"/>
      </w:pPr>
      <w:rPr>
        <w:rFonts w:hint="default"/>
        <w:b/>
        <w:bCs/>
        <w:color w:val="0B0B0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1FDB4AF9"/>
    <w:multiLevelType w:val="hybridMultilevel"/>
    <w:tmpl w:val="FAD0927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202263B4"/>
    <w:multiLevelType w:val="hybridMultilevel"/>
    <w:tmpl w:val="D30C2542"/>
    <w:lvl w:ilvl="0" w:tplc="F5AE9536">
      <w:start w:val="2020"/>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0324724"/>
    <w:multiLevelType w:val="hybridMultilevel"/>
    <w:tmpl w:val="9F5647B2"/>
    <w:lvl w:ilvl="0" w:tplc="43905BB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20743743"/>
    <w:multiLevelType w:val="hybridMultilevel"/>
    <w:tmpl w:val="64A23B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232E53D7"/>
    <w:multiLevelType w:val="hybridMultilevel"/>
    <w:tmpl w:val="24ECDE90"/>
    <w:lvl w:ilvl="0" w:tplc="D9CE53C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28D34E87"/>
    <w:multiLevelType w:val="hybridMultilevel"/>
    <w:tmpl w:val="3A123510"/>
    <w:lvl w:ilvl="0" w:tplc="D8C221F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30086DF8"/>
    <w:multiLevelType w:val="hybridMultilevel"/>
    <w:tmpl w:val="3B34C07E"/>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30114189"/>
    <w:multiLevelType w:val="hybridMultilevel"/>
    <w:tmpl w:val="FE7ED6E0"/>
    <w:lvl w:ilvl="0" w:tplc="080A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353D1ABB"/>
    <w:multiLevelType w:val="hybridMultilevel"/>
    <w:tmpl w:val="C71E4258"/>
    <w:lvl w:ilvl="0" w:tplc="5CA8F90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35885FED"/>
    <w:multiLevelType w:val="hybridMultilevel"/>
    <w:tmpl w:val="A0FED722"/>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5F2349D"/>
    <w:multiLevelType w:val="hybridMultilevel"/>
    <w:tmpl w:val="E4A4FBD0"/>
    <w:lvl w:ilvl="0" w:tplc="F77AAA4E">
      <w:numFmt w:val="bullet"/>
      <w:lvlText w:val="-"/>
      <w:lvlJc w:val="left"/>
      <w:pPr>
        <w:ind w:left="720" w:hanging="360"/>
      </w:pPr>
      <w:rPr>
        <w:rFonts w:ascii="Abadi" w:eastAsia="Times New Roman" w:hAnsi="Abadi" w:cs="Times New Roman"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396F0DA0"/>
    <w:multiLevelType w:val="hybridMultilevel"/>
    <w:tmpl w:val="D9D8C49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3CCF0E76"/>
    <w:multiLevelType w:val="hybridMultilevel"/>
    <w:tmpl w:val="0A6645F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3DE65560"/>
    <w:multiLevelType w:val="hybridMultilevel"/>
    <w:tmpl w:val="32BEE9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409717F9"/>
    <w:multiLevelType w:val="hybridMultilevel"/>
    <w:tmpl w:val="8DCE7C92"/>
    <w:lvl w:ilvl="0" w:tplc="2592D7F0">
      <w:start w:val="1"/>
      <w:numFmt w:val="upperRoman"/>
      <w:lvlText w:val="%1."/>
      <w:lvlJc w:val="left"/>
      <w:pPr>
        <w:ind w:left="720" w:hanging="72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8" w15:restartNumberingAfterBreak="0">
    <w:nsid w:val="41F63732"/>
    <w:multiLevelType w:val="hybridMultilevel"/>
    <w:tmpl w:val="4AA2B81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429E583F"/>
    <w:multiLevelType w:val="hybridMultilevel"/>
    <w:tmpl w:val="70085FCA"/>
    <w:lvl w:ilvl="0" w:tplc="E30C059C">
      <w:start w:val="1"/>
      <w:numFmt w:val="upperRoman"/>
      <w:lvlText w:val="%1."/>
      <w:lvlJc w:val="left"/>
      <w:pPr>
        <w:ind w:left="720" w:hanging="72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0" w15:restartNumberingAfterBreak="0">
    <w:nsid w:val="43A84C59"/>
    <w:multiLevelType w:val="hybridMultilevel"/>
    <w:tmpl w:val="51B02CBE"/>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44C16D5C"/>
    <w:multiLevelType w:val="hybridMultilevel"/>
    <w:tmpl w:val="7864F0D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46062796"/>
    <w:multiLevelType w:val="hybridMultilevel"/>
    <w:tmpl w:val="40BAA97A"/>
    <w:lvl w:ilvl="0" w:tplc="ACE0ACA8">
      <w:start w:val="2020"/>
      <w:numFmt w:val="bullet"/>
      <w:lvlText w:val="-"/>
      <w:lvlJc w:val="left"/>
      <w:pPr>
        <w:ind w:left="720" w:hanging="360"/>
      </w:pPr>
      <w:rPr>
        <w:rFonts w:ascii="Abadi" w:eastAsiaTheme="minorHAnsi" w:hAnsi="Abadi" w:cs="ArialMT"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48B054FA"/>
    <w:multiLevelType w:val="hybridMultilevel"/>
    <w:tmpl w:val="AB520300"/>
    <w:lvl w:ilvl="0" w:tplc="03C269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4A1D709B"/>
    <w:multiLevelType w:val="hybridMultilevel"/>
    <w:tmpl w:val="565436E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4ACC2DF9"/>
    <w:multiLevelType w:val="hybridMultilevel"/>
    <w:tmpl w:val="8C10B022"/>
    <w:lvl w:ilvl="0" w:tplc="49C68D6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4B3B51E8"/>
    <w:multiLevelType w:val="hybridMultilevel"/>
    <w:tmpl w:val="ED8E22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4B9554EF"/>
    <w:multiLevelType w:val="hybridMultilevel"/>
    <w:tmpl w:val="4E069B2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4C784B07"/>
    <w:multiLevelType w:val="hybridMultilevel"/>
    <w:tmpl w:val="9DAAF576"/>
    <w:lvl w:ilvl="0" w:tplc="9D2E7AD4">
      <w:start w:val="1"/>
      <w:numFmt w:val="decimal"/>
      <w:lvlText w:val="%1."/>
      <w:lvlJc w:val="left"/>
      <w:pPr>
        <w:ind w:left="720" w:hanging="360"/>
      </w:pPr>
      <w:rPr>
        <w:rFonts w:cs="*Verdana-Bold-11353-Identity-H"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4C9C3067"/>
    <w:multiLevelType w:val="hybridMultilevel"/>
    <w:tmpl w:val="43DCC812"/>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4CF5113D"/>
    <w:multiLevelType w:val="hybridMultilevel"/>
    <w:tmpl w:val="33BE764E"/>
    <w:lvl w:ilvl="0" w:tplc="FC2004A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15:restartNumberingAfterBreak="0">
    <w:nsid w:val="4DCD739A"/>
    <w:multiLevelType w:val="hybridMultilevel"/>
    <w:tmpl w:val="98B83368"/>
    <w:lvl w:ilvl="0" w:tplc="89CE2A60">
      <w:start w:val="1"/>
      <w:numFmt w:val="lowerLetter"/>
      <w:lvlText w:val="%1)"/>
      <w:lvlJc w:val="left"/>
      <w:pPr>
        <w:ind w:left="360" w:hanging="360"/>
      </w:pPr>
      <w:rPr>
        <w:rFonts w:ascii="Abadi" w:eastAsia="Times New Roman" w:hAnsi="Abadi" w:cs="Verdana"/>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2" w15:restartNumberingAfterBreak="0">
    <w:nsid w:val="4DD81BCA"/>
    <w:multiLevelType w:val="hybridMultilevel"/>
    <w:tmpl w:val="C282B1A2"/>
    <w:lvl w:ilvl="0" w:tplc="EECEDCF8">
      <w:start w:val="3"/>
      <w:numFmt w:val="bullet"/>
      <w:lvlText w:val=""/>
      <w:lvlJc w:val="left"/>
      <w:pPr>
        <w:ind w:left="720" w:hanging="360"/>
      </w:pPr>
      <w:rPr>
        <w:rFonts w:ascii="Wingdings" w:eastAsia="Times New Roman" w:hAnsi="Wingdings" w:cs="Times New Roman"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4F890616"/>
    <w:multiLevelType w:val="hybridMultilevel"/>
    <w:tmpl w:val="E35245D4"/>
    <w:lvl w:ilvl="0" w:tplc="BBB25374">
      <w:start w:val="2020"/>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4FD86688"/>
    <w:multiLevelType w:val="multilevel"/>
    <w:tmpl w:val="5458389C"/>
    <w:lvl w:ilvl="0">
      <w:start w:val="1"/>
      <w:numFmt w:val="upperRoman"/>
      <w:lvlText w:val="%1."/>
      <w:lvlJc w:val="left"/>
      <w:pPr>
        <w:ind w:left="1080" w:hanging="720"/>
      </w:pPr>
      <w:rPr>
        <w:rFonts w:hint="default"/>
        <w:b/>
        <w:bCs/>
      </w:rPr>
    </w:lvl>
    <w:lvl w:ilvl="1">
      <w:start w:val="1"/>
      <w:numFmt w:val="decimal"/>
      <w:isLgl/>
      <w:lvlText w:val="%1.%2"/>
      <w:lvlJc w:val="left"/>
      <w:pPr>
        <w:ind w:left="720" w:hanging="360"/>
      </w:pPr>
      <w:rPr>
        <w:rFonts w:hint="default"/>
        <w:b/>
        <w:bCs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55" w15:restartNumberingAfterBreak="0">
    <w:nsid w:val="529D1D6B"/>
    <w:multiLevelType w:val="hybridMultilevel"/>
    <w:tmpl w:val="D3B2D32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52A24CF5"/>
    <w:multiLevelType w:val="hybridMultilevel"/>
    <w:tmpl w:val="91D408A2"/>
    <w:lvl w:ilvl="0" w:tplc="AC943B26">
      <w:start w:val="1"/>
      <w:numFmt w:val="bullet"/>
      <w:lvlText w:val=""/>
      <w:lvlJc w:val="left"/>
      <w:pPr>
        <w:ind w:left="720" w:hanging="360"/>
      </w:pPr>
      <w:rPr>
        <w:rFonts w:ascii="Symbol" w:eastAsiaTheme="minorHAnsi" w:hAnsi="Symbol" w:cs="*Verdana-6617-Identity-H"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55CA742A"/>
    <w:multiLevelType w:val="hybridMultilevel"/>
    <w:tmpl w:val="CEDA2B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57470B54"/>
    <w:multiLevelType w:val="hybridMultilevel"/>
    <w:tmpl w:val="7CFC3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5A7C0221"/>
    <w:multiLevelType w:val="hybridMultilevel"/>
    <w:tmpl w:val="AE6C15F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5B231C3F"/>
    <w:multiLevelType w:val="hybridMultilevel"/>
    <w:tmpl w:val="E9FAB3A6"/>
    <w:lvl w:ilvl="0" w:tplc="DECA6DF6">
      <w:start w:val="2020"/>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60AD1AF9"/>
    <w:multiLevelType w:val="hybridMultilevel"/>
    <w:tmpl w:val="AD1C755A"/>
    <w:lvl w:ilvl="0" w:tplc="39BEA1B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6159677C"/>
    <w:multiLevelType w:val="hybridMultilevel"/>
    <w:tmpl w:val="94284B24"/>
    <w:lvl w:ilvl="0" w:tplc="59B8503C">
      <w:start w:val="1"/>
      <w:numFmt w:val="decimal"/>
      <w:lvlText w:val="%1."/>
      <w:lvlJc w:val="left"/>
      <w:pPr>
        <w:ind w:left="720" w:hanging="360"/>
      </w:pPr>
      <w:rPr>
        <w:rFonts w:hint="default"/>
        <w:b/>
        <w:color w:val="11111C"/>
        <w:w w:val="11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636D1C6E"/>
    <w:multiLevelType w:val="hybridMultilevel"/>
    <w:tmpl w:val="BAA6010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646842ED"/>
    <w:multiLevelType w:val="hybridMultilevel"/>
    <w:tmpl w:val="F24C0BCA"/>
    <w:lvl w:ilvl="0" w:tplc="15522EA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64944D1D"/>
    <w:multiLevelType w:val="hybridMultilevel"/>
    <w:tmpl w:val="AA2CED9E"/>
    <w:lvl w:ilvl="0" w:tplc="488C9DA6">
      <w:start w:val="1"/>
      <w:numFmt w:val="upperRoman"/>
      <w:lvlText w:val="%1."/>
      <w:lvlJc w:val="left"/>
      <w:pPr>
        <w:ind w:left="720" w:hanging="360"/>
      </w:pPr>
      <w:rPr>
        <w:rFonts w:hint="default"/>
        <w:b/>
        <w:i w:val="0"/>
      </w:rPr>
    </w:lvl>
    <w:lvl w:ilvl="1" w:tplc="488C9DA6">
      <w:start w:val="1"/>
      <w:numFmt w:val="upperRoman"/>
      <w:lvlText w:val="%2."/>
      <w:lvlJc w:val="left"/>
      <w:pPr>
        <w:ind w:left="1440" w:hanging="360"/>
      </w:pPr>
      <w:rPr>
        <w:rFonts w:hint="default"/>
        <w:b/>
        <w:i w:val="0"/>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65E4379C"/>
    <w:multiLevelType w:val="hybridMultilevel"/>
    <w:tmpl w:val="3C2270B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679C2361"/>
    <w:multiLevelType w:val="hybridMultilevel"/>
    <w:tmpl w:val="DF5C710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67CE2862"/>
    <w:multiLevelType w:val="hybridMultilevel"/>
    <w:tmpl w:val="08B44D8E"/>
    <w:lvl w:ilvl="0" w:tplc="AA0E7E9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71633C41"/>
    <w:multiLevelType w:val="hybridMultilevel"/>
    <w:tmpl w:val="B46659C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71C573D7"/>
    <w:multiLevelType w:val="hybridMultilevel"/>
    <w:tmpl w:val="C1B84CB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73875D77"/>
    <w:multiLevelType w:val="hybridMultilevel"/>
    <w:tmpl w:val="3EDC03AA"/>
    <w:lvl w:ilvl="0" w:tplc="080A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742F7440"/>
    <w:multiLevelType w:val="hybridMultilevel"/>
    <w:tmpl w:val="232E11D6"/>
    <w:lvl w:ilvl="0" w:tplc="FFFFFFFF">
      <w:start w:val="1"/>
      <w:numFmt w:val="upperLetter"/>
      <w:lvlText w:val="%1."/>
      <w:lvlJc w:val="left"/>
      <w:pPr>
        <w:ind w:left="720" w:hanging="360"/>
      </w:pPr>
    </w:lvl>
    <w:lvl w:ilvl="1" w:tplc="080A0015">
      <w:start w:val="1"/>
      <w:numFmt w:val="upp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79A1710B"/>
    <w:multiLevelType w:val="hybridMultilevel"/>
    <w:tmpl w:val="EF180916"/>
    <w:lvl w:ilvl="0" w:tplc="5FA0F798">
      <w:start w:val="1"/>
      <w:numFmt w:val="lowerLetter"/>
      <w:lvlText w:val="%1)"/>
      <w:lvlJc w:val="left"/>
      <w:pPr>
        <w:ind w:left="1069" w:hanging="360"/>
      </w:pPr>
      <w:rPr>
        <w:rFonts w:hint="default"/>
      </w:rPr>
    </w:lvl>
    <w:lvl w:ilvl="1" w:tplc="DEFCFF18">
      <w:start w:val="1"/>
      <w:numFmt w:val="upperLetter"/>
      <w:lvlText w:val="%2."/>
      <w:lvlJc w:val="left"/>
      <w:pPr>
        <w:ind w:left="1789" w:hanging="360"/>
      </w:pPr>
      <w:rPr>
        <w:rFonts w:hint="default"/>
      </w:r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74" w15:restartNumberingAfterBreak="0">
    <w:nsid w:val="7BD901D1"/>
    <w:multiLevelType w:val="hybridMultilevel"/>
    <w:tmpl w:val="D896A0BE"/>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7BE25FE2"/>
    <w:multiLevelType w:val="hybridMultilevel"/>
    <w:tmpl w:val="6EA8A9B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15:restartNumberingAfterBreak="0">
    <w:nsid w:val="7CBA3EE8"/>
    <w:multiLevelType w:val="hybridMultilevel"/>
    <w:tmpl w:val="ECD2C8E6"/>
    <w:lvl w:ilvl="0" w:tplc="2ED405FC">
      <w:start w:val="1"/>
      <w:numFmt w:val="upperRoman"/>
      <w:lvlText w:val="%1."/>
      <w:lvlJc w:val="left"/>
      <w:pPr>
        <w:ind w:left="720" w:hanging="72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7" w15:restartNumberingAfterBreak="0">
    <w:nsid w:val="7D341A84"/>
    <w:multiLevelType w:val="hybridMultilevel"/>
    <w:tmpl w:val="15D2620E"/>
    <w:lvl w:ilvl="0" w:tplc="6C5A4A12">
      <w:start w:val="1"/>
      <w:numFmt w:val="lowerLetter"/>
      <w:lvlText w:val="%1)"/>
      <w:lvlJc w:val="left"/>
      <w:pPr>
        <w:ind w:left="720" w:hanging="360"/>
      </w:pPr>
      <w:rPr>
        <w:rFonts w:cs="*Microsoft Sans Serif-Bold-5986"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15:restartNumberingAfterBreak="0">
    <w:nsid w:val="7DE468E4"/>
    <w:multiLevelType w:val="hybridMultilevel"/>
    <w:tmpl w:val="D6E6C826"/>
    <w:lvl w:ilvl="0" w:tplc="C27A77C2">
      <w:start w:val="5"/>
      <w:numFmt w:val="bullet"/>
      <w:lvlText w:val=""/>
      <w:lvlJc w:val="left"/>
      <w:pPr>
        <w:ind w:left="1068" w:hanging="360"/>
      </w:pPr>
      <w:rPr>
        <w:rFonts w:ascii="Symbol" w:eastAsiaTheme="minorHAnsi" w:hAnsi="Symbol" w:cs="Verdana" w:hint="default"/>
      </w:rPr>
    </w:lvl>
    <w:lvl w:ilvl="1" w:tplc="080A0003">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79" w15:restartNumberingAfterBreak="0">
    <w:nsid w:val="7EDF72B9"/>
    <w:multiLevelType w:val="hybridMultilevel"/>
    <w:tmpl w:val="8738F56E"/>
    <w:lvl w:ilvl="0" w:tplc="2E98FAC2">
      <w:start w:val="1"/>
      <w:numFmt w:val="upperRoman"/>
      <w:lvlText w:val="%1."/>
      <w:lvlJc w:val="left"/>
      <w:pPr>
        <w:ind w:left="720" w:hanging="72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16cid:durableId="189804017">
    <w:abstractNumId w:val="1"/>
  </w:num>
  <w:num w:numId="2" w16cid:durableId="1807234975">
    <w:abstractNumId w:val="0"/>
  </w:num>
  <w:num w:numId="3" w16cid:durableId="1351178851">
    <w:abstractNumId w:val="4"/>
  </w:num>
  <w:num w:numId="4" w16cid:durableId="667368188">
    <w:abstractNumId w:val="28"/>
  </w:num>
  <w:num w:numId="5" w16cid:durableId="515312414">
    <w:abstractNumId w:val="75"/>
  </w:num>
  <w:num w:numId="6" w16cid:durableId="462969932">
    <w:abstractNumId w:val="42"/>
  </w:num>
  <w:num w:numId="7" w16cid:durableId="795680896">
    <w:abstractNumId w:val="53"/>
  </w:num>
  <w:num w:numId="8" w16cid:durableId="1327202110">
    <w:abstractNumId w:val="20"/>
  </w:num>
  <w:num w:numId="9" w16cid:durableId="716007023">
    <w:abstractNumId w:val="23"/>
  </w:num>
  <w:num w:numId="10" w16cid:durableId="2027630993">
    <w:abstractNumId w:val="11"/>
  </w:num>
  <w:num w:numId="11" w16cid:durableId="1784112321">
    <w:abstractNumId w:val="60"/>
  </w:num>
  <w:num w:numId="12" w16cid:durableId="2012875649">
    <w:abstractNumId w:val="12"/>
  </w:num>
  <w:num w:numId="13" w16cid:durableId="1520972699">
    <w:abstractNumId w:val="70"/>
  </w:num>
  <w:num w:numId="14" w16cid:durableId="631525095">
    <w:abstractNumId w:val="14"/>
  </w:num>
  <w:num w:numId="15" w16cid:durableId="266885834">
    <w:abstractNumId w:val="15"/>
  </w:num>
  <w:num w:numId="16" w16cid:durableId="1229002473">
    <w:abstractNumId w:val="41"/>
  </w:num>
  <w:num w:numId="17" w16cid:durableId="1099717040">
    <w:abstractNumId w:val="63"/>
  </w:num>
  <w:num w:numId="18" w16cid:durableId="1687633626">
    <w:abstractNumId w:val="5"/>
  </w:num>
  <w:num w:numId="19" w16cid:durableId="851069973">
    <w:abstractNumId w:val="69"/>
  </w:num>
  <w:num w:numId="20" w16cid:durableId="1016998231">
    <w:abstractNumId w:val="47"/>
  </w:num>
  <w:num w:numId="21" w16cid:durableId="1590892807">
    <w:abstractNumId w:val="67"/>
  </w:num>
  <w:num w:numId="22" w16cid:durableId="688533044">
    <w:abstractNumId w:val="38"/>
  </w:num>
  <w:num w:numId="23" w16cid:durableId="1280337196">
    <w:abstractNumId w:val="34"/>
  </w:num>
  <w:num w:numId="24" w16cid:durableId="377126681">
    <w:abstractNumId w:val="32"/>
  </w:num>
  <w:num w:numId="25" w16cid:durableId="761222077">
    <w:abstractNumId w:val="49"/>
  </w:num>
  <w:num w:numId="26" w16cid:durableId="468397694">
    <w:abstractNumId w:val="74"/>
  </w:num>
  <w:num w:numId="27" w16cid:durableId="360862325">
    <w:abstractNumId w:val="59"/>
  </w:num>
  <w:num w:numId="28" w16cid:durableId="1580872008">
    <w:abstractNumId w:val="13"/>
  </w:num>
  <w:num w:numId="29" w16cid:durableId="410542984">
    <w:abstractNumId w:val="40"/>
  </w:num>
  <w:num w:numId="30" w16cid:durableId="167527746">
    <w:abstractNumId w:val="44"/>
  </w:num>
  <w:num w:numId="31" w16cid:durableId="1853952518">
    <w:abstractNumId w:val="66"/>
  </w:num>
  <w:num w:numId="32" w16cid:durableId="2129934796">
    <w:abstractNumId w:val="55"/>
  </w:num>
  <w:num w:numId="33" w16cid:durableId="1956400616">
    <w:abstractNumId w:val="6"/>
  </w:num>
  <w:num w:numId="34" w16cid:durableId="1754744378">
    <w:abstractNumId w:val="16"/>
  </w:num>
  <w:num w:numId="35" w16cid:durableId="2000766076">
    <w:abstractNumId w:val="71"/>
  </w:num>
  <w:num w:numId="36" w16cid:durableId="950286602">
    <w:abstractNumId w:val="31"/>
  </w:num>
  <w:num w:numId="37" w16cid:durableId="306934174">
    <w:abstractNumId w:val="73"/>
  </w:num>
  <w:num w:numId="38" w16cid:durableId="305865372">
    <w:abstractNumId w:val="72"/>
  </w:num>
  <w:num w:numId="39" w16cid:durableId="326717346">
    <w:abstractNumId w:val="65"/>
  </w:num>
  <w:num w:numId="40" w16cid:durableId="62875545">
    <w:abstractNumId w:val="76"/>
  </w:num>
  <w:num w:numId="41" w16cid:durableId="1042512913">
    <w:abstractNumId w:val="43"/>
  </w:num>
  <w:num w:numId="42" w16cid:durableId="563301608">
    <w:abstractNumId w:val="79"/>
  </w:num>
  <w:num w:numId="43" w16cid:durableId="809252433">
    <w:abstractNumId w:val="61"/>
  </w:num>
  <w:num w:numId="44" w16cid:durableId="2091655248">
    <w:abstractNumId w:val="45"/>
  </w:num>
  <w:num w:numId="45" w16cid:durableId="1006861165">
    <w:abstractNumId w:val="39"/>
  </w:num>
  <w:num w:numId="46" w16cid:durableId="1564293516">
    <w:abstractNumId w:val="37"/>
  </w:num>
  <w:num w:numId="47" w16cid:durableId="1477601431">
    <w:abstractNumId w:val="26"/>
  </w:num>
  <w:num w:numId="48" w16cid:durableId="579952325">
    <w:abstractNumId w:val="8"/>
  </w:num>
  <w:num w:numId="49" w16cid:durableId="1134450758">
    <w:abstractNumId w:val="7"/>
  </w:num>
  <w:num w:numId="50" w16cid:durableId="119346366">
    <w:abstractNumId w:val="2"/>
  </w:num>
  <w:num w:numId="51" w16cid:durableId="1833444575">
    <w:abstractNumId w:val="3"/>
  </w:num>
  <w:num w:numId="52" w16cid:durableId="1909001652">
    <w:abstractNumId w:val="51"/>
  </w:num>
  <w:num w:numId="53" w16cid:durableId="1236940395">
    <w:abstractNumId w:val="19"/>
  </w:num>
  <w:num w:numId="54" w16cid:durableId="1555041604">
    <w:abstractNumId w:val="78"/>
  </w:num>
  <w:num w:numId="55" w16cid:durableId="1069117081">
    <w:abstractNumId w:val="17"/>
  </w:num>
  <w:num w:numId="56" w16cid:durableId="1352684922">
    <w:abstractNumId w:val="54"/>
  </w:num>
  <w:num w:numId="57" w16cid:durableId="993294460">
    <w:abstractNumId w:val="62"/>
  </w:num>
  <w:num w:numId="58" w16cid:durableId="1285117911">
    <w:abstractNumId w:val="35"/>
  </w:num>
  <w:num w:numId="59" w16cid:durableId="975335071">
    <w:abstractNumId w:val="9"/>
  </w:num>
  <w:num w:numId="60" w16cid:durableId="1976329009">
    <w:abstractNumId w:val="48"/>
  </w:num>
  <w:num w:numId="61" w16cid:durableId="985473858">
    <w:abstractNumId w:val="64"/>
  </w:num>
  <w:num w:numId="62" w16cid:durableId="1360661917">
    <w:abstractNumId w:val="46"/>
  </w:num>
  <w:num w:numId="63" w16cid:durableId="2119716874">
    <w:abstractNumId w:val="57"/>
  </w:num>
  <w:num w:numId="64" w16cid:durableId="1564756153">
    <w:abstractNumId w:val="58"/>
  </w:num>
  <w:num w:numId="65" w16cid:durableId="813259990">
    <w:abstractNumId w:val="25"/>
  </w:num>
  <w:num w:numId="66" w16cid:durableId="951126842">
    <w:abstractNumId w:val="18"/>
  </w:num>
  <w:num w:numId="67" w16cid:durableId="1794978573">
    <w:abstractNumId w:val="36"/>
  </w:num>
  <w:num w:numId="68" w16cid:durableId="1273171343">
    <w:abstractNumId w:val="27"/>
  </w:num>
  <w:num w:numId="69" w16cid:durableId="2143647649">
    <w:abstractNumId w:val="22"/>
  </w:num>
  <w:num w:numId="70" w16cid:durableId="333807405">
    <w:abstractNumId w:val="21"/>
  </w:num>
  <w:num w:numId="71" w16cid:durableId="2109155559">
    <w:abstractNumId w:val="10"/>
  </w:num>
  <w:num w:numId="72" w16cid:durableId="947081630">
    <w:abstractNumId w:val="24"/>
  </w:num>
  <w:num w:numId="73" w16cid:durableId="2048724454">
    <w:abstractNumId w:val="50"/>
  </w:num>
  <w:num w:numId="74" w16cid:durableId="1696418206">
    <w:abstractNumId w:val="56"/>
  </w:num>
  <w:num w:numId="75" w16cid:durableId="2069842215">
    <w:abstractNumId w:val="68"/>
  </w:num>
  <w:num w:numId="76" w16cid:durableId="877164774">
    <w:abstractNumId w:val="77"/>
  </w:num>
  <w:num w:numId="77" w16cid:durableId="1410736757">
    <w:abstractNumId w:val="33"/>
  </w:num>
  <w:num w:numId="78" w16cid:durableId="1743411058">
    <w:abstractNumId w:val="29"/>
  </w:num>
  <w:num w:numId="79" w16cid:durableId="449785948">
    <w:abstractNumId w:val="52"/>
  </w:num>
  <w:num w:numId="80" w16cid:durableId="945963661">
    <w:abstractNumId w:val="30"/>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pos w:val="beneathText"/>
    <w:numStart w:val="2"/>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2E"/>
    <w:rsid w:val="00000586"/>
    <w:rsid w:val="000009FA"/>
    <w:rsid w:val="00000DE3"/>
    <w:rsid w:val="000010EF"/>
    <w:rsid w:val="0000112F"/>
    <w:rsid w:val="0000120D"/>
    <w:rsid w:val="000018C3"/>
    <w:rsid w:val="00001912"/>
    <w:rsid w:val="00001BF8"/>
    <w:rsid w:val="00002075"/>
    <w:rsid w:val="000023F3"/>
    <w:rsid w:val="00002972"/>
    <w:rsid w:val="00002BD8"/>
    <w:rsid w:val="00002DE5"/>
    <w:rsid w:val="00003161"/>
    <w:rsid w:val="00004026"/>
    <w:rsid w:val="00004089"/>
    <w:rsid w:val="0000408F"/>
    <w:rsid w:val="00004140"/>
    <w:rsid w:val="0000419F"/>
    <w:rsid w:val="00004748"/>
    <w:rsid w:val="00004757"/>
    <w:rsid w:val="0000527F"/>
    <w:rsid w:val="00005727"/>
    <w:rsid w:val="00005A03"/>
    <w:rsid w:val="000061BF"/>
    <w:rsid w:val="000061DD"/>
    <w:rsid w:val="000063A4"/>
    <w:rsid w:val="00006600"/>
    <w:rsid w:val="00006750"/>
    <w:rsid w:val="000069C8"/>
    <w:rsid w:val="00006D9C"/>
    <w:rsid w:val="00007255"/>
    <w:rsid w:val="000079E9"/>
    <w:rsid w:val="00007C41"/>
    <w:rsid w:val="00007DD2"/>
    <w:rsid w:val="000100EA"/>
    <w:rsid w:val="00010693"/>
    <w:rsid w:val="000111CC"/>
    <w:rsid w:val="00011764"/>
    <w:rsid w:val="0001233C"/>
    <w:rsid w:val="0001299F"/>
    <w:rsid w:val="00012DBE"/>
    <w:rsid w:val="00012E15"/>
    <w:rsid w:val="00013190"/>
    <w:rsid w:val="00013277"/>
    <w:rsid w:val="00013387"/>
    <w:rsid w:val="0001369A"/>
    <w:rsid w:val="000138A6"/>
    <w:rsid w:val="00013A20"/>
    <w:rsid w:val="00013A30"/>
    <w:rsid w:val="00013D2B"/>
    <w:rsid w:val="00013E53"/>
    <w:rsid w:val="00014895"/>
    <w:rsid w:val="00014989"/>
    <w:rsid w:val="00014EE5"/>
    <w:rsid w:val="000154FF"/>
    <w:rsid w:val="0001554C"/>
    <w:rsid w:val="00015D8C"/>
    <w:rsid w:val="000163F4"/>
    <w:rsid w:val="00016BD0"/>
    <w:rsid w:val="00016CEF"/>
    <w:rsid w:val="00016EAE"/>
    <w:rsid w:val="00017010"/>
    <w:rsid w:val="0001709A"/>
    <w:rsid w:val="000170EA"/>
    <w:rsid w:val="0001720F"/>
    <w:rsid w:val="00017588"/>
    <w:rsid w:val="000179E4"/>
    <w:rsid w:val="000203DA"/>
    <w:rsid w:val="0002051A"/>
    <w:rsid w:val="00020655"/>
    <w:rsid w:val="00020878"/>
    <w:rsid w:val="00020B80"/>
    <w:rsid w:val="00020CA4"/>
    <w:rsid w:val="00020F9C"/>
    <w:rsid w:val="00021259"/>
    <w:rsid w:val="00021360"/>
    <w:rsid w:val="00021919"/>
    <w:rsid w:val="00022BCC"/>
    <w:rsid w:val="00022BD7"/>
    <w:rsid w:val="0002303B"/>
    <w:rsid w:val="000235E3"/>
    <w:rsid w:val="00023733"/>
    <w:rsid w:val="00023B8F"/>
    <w:rsid w:val="00023CE0"/>
    <w:rsid w:val="000245C6"/>
    <w:rsid w:val="000246AD"/>
    <w:rsid w:val="00025069"/>
    <w:rsid w:val="000253F4"/>
    <w:rsid w:val="00025580"/>
    <w:rsid w:val="00026D98"/>
    <w:rsid w:val="00027E37"/>
    <w:rsid w:val="0003082D"/>
    <w:rsid w:val="00030A87"/>
    <w:rsid w:val="00030B29"/>
    <w:rsid w:val="00031106"/>
    <w:rsid w:val="00031112"/>
    <w:rsid w:val="000312B8"/>
    <w:rsid w:val="0003132E"/>
    <w:rsid w:val="0003175C"/>
    <w:rsid w:val="000318C7"/>
    <w:rsid w:val="00031DD9"/>
    <w:rsid w:val="00031ECE"/>
    <w:rsid w:val="00032C32"/>
    <w:rsid w:val="00032E93"/>
    <w:rsid w:val="00032EEE"/>
    <w:rsid w:val="000330C5"/>
    <w:rsid w:val="00033718"/>
    <w:rsid w:val="00033AA5"/>
    <w:rsid w:val="00033BF5"/>
    <w:rsid w:val="00033C18"/>
    <w:rsid w:val="00033F83"/>
    <w:rsid w:val="00034515"/>
    <w:rsid w:val="000350B8"/>
    <w:rsid w:val="000354CB"/>
    <w:rsid w:val="000357E7"/>
    <w:rsid w:val="00035855"/>
    <w:rsid w:val="00035A74"/>
    <w:rsid w:val="00035AB1"/>
    <w:rsid w:val="00036257"/>
    <w:rsid w:val="000369E6"/>
    <w:rsid w:val="00036D0E"/>
    <w:rsid w:val="00036F03"/>
    <w:rsid w:val="00037026"/>
    <w:rsid w:val="00037084"/>
    <w:rsid w:val="00037172"/>
    <w:rsid w:val="000378C9"/>
    <w:rsid w:val="00037D52"/>
    <w:rsid w:val="0004003B"/>
    <w:rsid w:val="00040606"/>
    <w:rsid w:val="00041958"/>
    <w:rsid w:val="0004195B"/>
    <w:rsid w:val="00041FB3"/>
    <w:rsid w:val="0004223C"/>
    <w:rsid w:val="00042990"/>
    <w:rsid w:val="00042B38"/>
    <w:rsid w:val="00042C3F"/>
    <w:rsid w:val="000435E9"/>
    <w:rsid w:val="0004396B"/>
    <w:rsid w:val="00045220"/>
    <w:rsid w:val="00045711"/>
    <w:rsid w:val="000457C0"/>
    <w:rsid w:val="00045BDD"/>
    <w:rsid w:val="000464E9"/>
    <w:rsid w:val="00046716"/>
    <w:rsid w:val="00046E77"/>
    <w:rsid w:val="00046ED3"/>
    <w:rsid w:val="000470CD"/>
    <w:rsid w:val="0004721A"/>
    <w:rsid w:val="00050267"/>
    <w:rsid w:val="0005034A"/>
    <w:rsid w:val="0005035E"/>
    <w:rsid w:val="00050744"/>
    <w:rsid w:val="0005076C"/>
    <w:rsid w:val="00050B0F"/>
    <w:rsid w:val="00050CD6"/>
    <w:rsid w:val="000510E2"/>
    <w:rsid w:val="00051177"/>
    <w:rsid w:val="00052157"/>
    <w:rsid w:val="000521BE"/>
    <w:rsid w:val="00052224"/>
    <w:rsid w:val="00052891"/>
    <w:rsid w:val="000528FE"/>
    <w:rsid w:val="000530C4"/>
    <w:rsid w:val="0005386D"/>
    <w:rsid w:val="00054000"/>
    <w:rsid w:val="00054773"/>
    <w:rsid w:val="0005522E"/>
    <w:rsid w:val="00055513"/>
    <w:rsid w:val="00055DAF"/>
    <w:rsid w:val="00055EB0"/>
    <w:rsid w:val="0005635F"/>
    <w:rsid w:val="00056932"/>
    <w:rsid w:val="00056BB2"/>
    <w:rsid w:val="0005720C"/>
    <w:rsid w:val="00060548"/>
    <w:rsid w:val="00060684"/>
    <w:rsid w:val="00061223"/>
    <w:rsid w:val="000618D6"/>
    <w:rsid w:val="00062570"/>
    <w:rsid w:val="0006290A"/>
    <w:rsid w:val="00062A07"/>
    <w:rsid w:val="00063620"/>
    <w:rsid w:val="00063C26"/>
    <w:rsid w:val="00063CD9"/>
    <w:rsid w:val="00064037"/>
    <w:rsid w:val="0006442B"/>
    <w:rsid w:val="000646AE"/>
    <w:rsid w:val="00064C68"/>
    <w:rsid w:val="00064D13"/>
    <w:rsid w:val="00065B35"/>
    <w:rsid w:val="00065CAB"/>
    <w:rsid w:val="00065D3E"/>
    <w:rsid w:val="0006615F"/>
    <w:rsid w:val="0006627E"/>
    <w:rsid w:val="00066309"/>
    <w:rsid w:val="00066A85"/>
    <w:rsid w:val="00066C69"/>
    <w:rsid w:val="00067505"/>
    <w:rsid w:val="0006764A"/>
    <w:rsid w:val="00067B5B"/>
    <w:rsid w:val="00067B91"/>
    <w:rsid w:val="0007142D"/>
    <w:rsid w:val="0007176D"/>
    <w:rsid w:val="000717BC"/>
    <w:rsid w:val="00071DA9"/>
    <w:rsid w:val="00072253"/>
    <w:rsid w:val="00072834"/>
    <w:rsid w:val="000728B5"/>
    <w:rsid w:val="0007291B"/>
    <w:rsid w:val="00072DC6"/>
    <w:rsid w:val="00073545"/>
    <w:rsid w:val="00073CE1"/>
    <w:rsid w:val="00074402"/>
    <w:rsid w:val="00074774"/>
    <w:rsid w:val="000751C6"/>
    <w:rsid w:val="00075690"/>
    <w:rsid w:val="00076ACC"/>
    <w:rsid w:val="00076ACE"/>
    <w:rsid w:val="0007702A"/>
    <w:rsid w:val="00077039"/>
    <w:rsid w:val="000771F5"/>
    <w:rsid w:val="000778D6"/>
    <w:rsid w:val="0007796D"/>
    <w:rsid w:val="00077D3D"/>
    <w:rsid w:val="00077F7E"/>
    <w:rsid w:val="000801EE"/>
    <w:rsid w:val="000803DC"/>
    <w:rsid w:val="000819DE"/>
    <w:rsid w:val="00081FFF"/>
    <w:rsid w:val="000820AB"/>
    <w:rsid w:val="000822B4"/>
    <w:rsid w:val="00082D95"/>
    <w:rsid w:val="000835A7"/>
    <w:rsid w:val="00083693"/>
    <w:rsid w:val="00083BAB"/>
    <w:rsid w:val="00084029"/>
    <w:rsid w:val="00084181"/>
    <w:rsid w:val="0008481B"/>
    <w:rsid w:val="00084968"/>
    <w:rsid w:val="00084B0D"/>
    <w:rsid w:val="00084E2A"/>
    <w:rsid w:val="00084E8B"/>
    <w:rsid w:val="000854A2"/>
    <w:rsid w:val="00085EE6"/>
    <w:rsid w:val="000863BC"/>
    <w:rsid w:val="00086A4F"/>
    <w:rsid w:val="00086C4A"/>
    <w:rsid w:val="00086CE0"/>
    <w:rsid w:val="00086DC3"/>
    <w:rsid w:val="00086E37"/>
    <w:rsid w:val="0008711C"/>
    <w:rsid w:val="000901E8"/>
    <w:rsid w:val="0009033B"/>
    <w:rsid w:val="000907C5"/>
    <w:rsid w:val="00090B60"/>
    <w:rsid w:val="00090DD0"/>
    <w:rsid w:val="00090F68"/>
    <w:rsid w:val="0009114F"/>
    <w:rsid w:val="0009127F"/>
    <w:rsid w:val="000914B5"/>
    <w:rsid w:val="00091BB2"/>
    <w:rsid w:val="00091CED"/>
    <w:rsid w:val="00091D53"/>
    <w:rsid w:val="00091F01"/>
    <w:rsid w:val="00092151"/>
    <w:rsid w:val="00092A21"/>
    <w:rsid w:val="00092C7D"/>
    <w:rsid w:val="00093297"/>
    <w:rsid w:val="000933F1"/>
    <w:rsid w:val="0009349F"/>
    <w:rsid w:val="00093696"/>
    <w:rsid w:val="0009387D"/>
    <w:rsid w:val="000938F4"/>
    <w:rsid w:val="000939C4"/>
    <w:rsid w:val="00093CBC"/>
    <w:rsid w:val="0009409D"/>
    <w:rsid w:val="00094102"/>
    <w:rsid w:val="0009496F"/>
    <w:rsid w:val="000949F0"/>
    <w:rsid w:val="000949FA"/>
    <w:rsid w:val="0009562F"/>
    <w:rsid w:val="000957CB"/>
    <w:rsid w:val="000959BB"/>
    <w:rsid w:val="00095AC4"/>
    <w:rsid w:val="00095BAD"/>
    <w:rsid w:val="00095CFA"/>
    <w:rsid w:val="00095E06"/>
    <w:rsid w:val="00095E21"/>
    <w:rsid w:val="00095E56"/>
    <w:rsid w:val="0009633F"/>
    <w:rsid w:val="000963B8"/>
    <w:rsid w:val="000964D9"/>
    <w:rsid w:val="00096649"/>
    <w:rsid w:val="00096829"/>
    <w:rsid w:val="00097391"/>
    <w:rsid w:val="00097DF8"/>
    <w:rsid w:val="000A0157"/>
    <w:rsid w:val="000A02A7"/>
    <w:rsid w:val="000A031A"/>
    <w:rsid w:val="000A038D"/>
    <w:rsid w:val="000A0845"/>
    <w:rsid w:val="000A08B2"/>
    <w:rsid w:val="000A0B61"/>
    <w:rsid w:val="000A255E"/>
    <w:rsid w:val="000A25F5"/>
    <w:rsid w:val="000A274F"/>
    <w:rsid w:val="000A341A"/>
    <w:rsid w:val="000A3ACD"/>
    <w:rsid w:val="000A403D"/>
    <w:rsid w:val="000A45D9"/>
    <w:rsid w:val="000A4FA2"/>
    <w:rsid w:val="000A54C5"/>
    <w:rsid w:val="000A5518"/>
    <w:rsid w:val="000A5527"/>
    <w:rsid w:val="000A59C8"/>
    <w:rsid w:val="000A5C63"/>
    <w:rsid w:val="000A5C65"/>
    <w:rsid w:val="000A71D7"/>
    <w:rsid w:val="000A71DA"/>
    <w:rsid w:val="000A7498"/>
    <w:rsid w:val="000A7908"/>
    <w:rsid w:val="000B0813"/>
    <w:rsid w:val="000B0A11"/>
    <w:rsid w:val="000B0CCE"/>
    <w:rsid w:val="000B1160"/>
    <w:rsid w:val="000B1232"/>
    <w:rsid w:val="000B13DD"/>
    <w:rsid w:val="000B1622"/>
    <w:rsid w:val="000B1B93"/>
    <w:rsid w:val="000B1EE4"/>
    <w:rsid w:val="000B1F09"/>
    <w:rsid w:val="000B1FB3"/>
    <w:rsid w:val="000B2360"/>
    <w:rsid w:val="000B32C8"/>
    <w:rsid w:val="000B3729"/>
    <w:rsid w:val="000B38C7"/>
    <w:rsid w:val="000B3957"/>
    <w:rsid w:val="000B3D97"/>
    <w:rsid w:val="000B41F6"/>
    <w:rsid w:val="000B4474"/>
    <w:rsid w:val="000B45CB"/>
    <w:rsid w:val="000B4668"/>
    <w:rsid w:val="000B4EED"/>
    <w:rsid w:val="000B5568"/>
    <w:rsid w:val="000B599F"/>
    <w:rsid w:val="000B5E7F"/>
    <w:rsid w:val="000B65CD"/>
    <w:rsid w:val="000B702F"/>
    <w:rsid w:val="000B70BB"/>
    <w:rsid w:val="000B76A1"/>
    <w:rsid w:val="000B77D6"/>
    <w:rsid w:val="000B7AD2"/>
    <w:rsid w:val="000C05D4"/>
    <w:rsid w:val="000C08EF"/>
    <w:rsid w:val="000C09CD"/>
    <w:rsid w:val="000C0B30"/>
    <w:rsid w:val="000C117B"/>
    <w:rsid w:val="000C12F2"/>
    <w:rsid w:val="000C1823"/>
    <w:rsid w:val="000C19E0"/>
    <w:rsid w:val="000C1BE1"/>
    <w:rsid w:val="000C1EA0"/>
    <w:rsid w:val="000C20B3"/>
    <w:rsid w:val="000C24E3"/>
    <w:rsid w:val="000C33B7"/>
    <w:rsid w:val="000C3B63"/>
    <w:rsid w:val="000C40AB"/>
    <w:rsid w:val="000C47FA"/>
    <w:rsid w:val="000C5012"/>
    <w:rsid w:val="000C5236"/>
    <w:rsid w:val="000C529E"/>
    <w:rsid w:val="000C5370"/>
    <w:rsid w:val="000C59BC"/>
    <w:rsid w:val="000C5AFF"/>
    <w:rsid w:val="000C5C10"/>
    <w:rsid w:val="000C6AA9"/>
    <w:rsid w:val="000C6D9E"/>
    <w:rsid w:val="000C6EF7"/>
    <w:rsid w:val="000C7E2D"/>
    <w:rsid w:val="000C7EB6"/>
    <w:rsid w:val="000D016F"/>
    <w:rsid w:val="000D0552"/>
    <w:rsid w:val="000D06C9"/>
    <w:rsid w:val="000D06CD"/>
    <w:rsid w:val="000D0DA2"/>
    <w:rsid w:val="000D0E98"/>
    <w:rsid w:val="000D0EAE"/>
    <w:rsid w:val="000D1160"/>
    <w:rsid w:val="000D11AE"/>
    <w:rsid w:val="000D11FF"/>
    <w:rsid w:val="000D148D"/>
    <w:rsid w:val="000D1744"/>
    <w:rsid w:val="000D1AEC"/>
    <w:rsid w:val="000D20B3"/>
    <w:rsid w:val="000D24C8"/>
    <w:rsid w:val="000D2925"/>
    <w:rsid w:val="000D2F4D"/>
    <w:rsid w:val="000D3958"/>
    <w:rsid w:val="000D42E3"/>
    <w:rsid w:val="000D436C"/>
    <w:rsid w:val="000D451A"/>
    <w:rsid w:val="000D47ED"/>
    <w:rsid w:val="000D4890"/>
    <w:rsid w:val="000D4B5E"/>
    <w:rsid w:val="000D5224"/>
    <w:rsid w:val="000D56D8"/>
    <w:rsid w:val="000D587B"/>
    <w:rsid w:val="000D5FAC"/>
    <w:rsid w:val="000D62E7"/>
    <w:rsid w:val="000D67C6"/>
    <w:rsid w:val="000D67C8"/>
    <w:rsid w:val="000D6B03"/>
    <w:rsid w:val="000D6C19"/>
    <w:rsid w:val="000D7347"/>
    <w:rsid w:val="000D7872"/>
    <w:rsid w:val="000D7879"/>
    <w:rsid w:val="000D79AD"/>
    <w:rsid w:val="000D7E11"/>
    <w:rsid w:val="000E0C29"/>
    <w:rsid w:val="000E0C42"/>
    <w:rsid w:val="000E1219"/>
    <w:rsid w:val="000E299F"/>
    <w:rsid w:val="000E2CF7"/>
    <w:rsid w:val="000E2F6A"/>
    <w:rsid w:val="000E2FB8"/>
    <w:rsid w:val="000E3375"/>
    <w:rsid w:val="000E3444"/>
    <w:rsid w:val="000E368C"/>
    <w:rsid w:val="000E3736"/>
    <w:rsid w:val="000E3FBD"/>
    <w:rsid w:val="000E424F"/>
    <w:rsid w:val="000E43CA"/>
    <w:rsid w:val="000E4D60"/>
    <w:rsid w:val="000E4D9F"/>
    <w:rsid w:val="000E5098"/>
    <w:rsid w:val="000E55C0"/>
    <w:rsid w:val="000E5CA9"/>
    <w:rsid w:val="000E65E0"/>
    <w:rsid w:val="000E6687"/>
    <w:rsid w:val="000E6B15"/>
    <w:rsid w:val="000E6BA2"/>
    <w:rsid w:val="000E6C12"/>
    <w:rsid w:val="000E7B4A"/>
    <w:rsid w:val="000E7EE1"/>
    <w:rsid w:val="000F0371"/>
    <w:rsid w:val="000F0B89"/>
    <w:rsid w:val="000F0C86"/>
    <w:rsid w:val="000F1974"/>
    <w:rsid w:val="000F19CD"/>
    <w:rsid w:val="000F1D9B"/>
    <w:rsid w:val="000F2403"/>
    <w:rsid w:val="000F2476"/>
    <w:rsid w:val="000F2934"/>
    <w:rsid w:val="000F29AC"/>
    <w:rsid w:val="000F2BE5"/>
    <w:rsid w:val="000F2D6C"/>
    <w:rsid w:val="000F2F7F"/>
    <w:rsid w:val="000F3114"/>
    <w:rsid w:val="000F3192"/>
    <w:rsid w:val="000F337D"/>
    <w:rsid w:val="000F3765"/>
    <w:rsid w:val="000F3DCE"/>
    <w:rsid w:val="000F4035"/>
    <w:rsid w:val="000F41A0"/>
    <w:rsid w:val="000F4B2B"/>
    <w:rsid w:val="000F5219"/>
    <w:rsid w:val="000F54D6"/>
    <w:rsid w:val="000F569E"/>
    <w:rsid w:val="000F604D"/>
    <w:rsid w:val="000F6A7A"/>
    <w:rsid w:val="000F6C23"/>
    <w:rsid w:val="000F6D56"/>
    <w:rsid w:val="000F7938"/>
    <w:rsid w:val="00100A80"/>
    <w:rsid w:val="00100A99"/>
    <w:rsid w:val="00100B5A"/>
    <w:rsid w:val="00100D50"/>
    <w:rsid w:val="00100EA2"/>
    <w:rsid w:val="0010140E"/>
    <w:rsid w:val="0010167C"/>
    <w:rsid w:val="0010178D"/>
    <w:rsid w:val="00101A6C"/>
    <w:rsid w:val="00101B20"/>
    <w:rsid w:val="00101CC8"/>
    <w:rsid w:val="00101DCC"/>
    <w:rsid w:val="00101DD0"/>
    <w:rsid w:val="0010387D"/>
    <w:rsid w:val="00103BA3"/>
    <w:rsid w:val="00103C2B"/>
    <w:rsid w:val="0010408D"/>
    <w:rsid w:val="001040DC"/>
    <w:rsid w:val="00104189"/>
    <w:rsid w:val="00104202"/>
    <w:rsid w:val="001043A1"/>
    <w:rsid w:val="001045B0"/>
    <w:rsid w:val="00104E76"/>
    <w:rsid w:val="00104E8E"/>
    <w:rsid w:val="001051E9"/>
    <w:rsid w:val="00105243"/>
    <w:rsid w:val="00105572"/>
    <w:rsid w:val="001055E5"/>
    <w:rsid w:val="00105654"/>
    <w:rsid w:val="001058C4"/>
    <w:rsid w:val="00105B1F"/>
    <w:rsid w:val="00106197"/>
    <w:rsid w:val="00106F77"/>
    <w:rsid w:val="00106FFD"/>
    <w:rsid w:val="0010703F"/>
    <w:rsid w:val="00107545"/>
    <w:rsid w:val="00107908"/>
    <w:rsid w:val="001079D5"/>
    <w:rsid w:val="00107C1C"/>
    <w:rsid w:val="00107F57"/>
    <w:rsid w:val="001101EA"/>
    <w:rsid w:val="001107A2"/>
    <w:rsid w:val="001108E4"/>
    <w:rsid w:val="00110FBC"/>
    <w:rsid w:val="00111459"/>
    <w:rsid w:val="001118CC"/>
    <w:rsid w:val="00111940"/>
    <w:rsid w:val="00111E96"/>
    <w:rsid w:val="00111ED1"/>
    <w:rsid w:val="00112338"/>
    <w:rsid w:val="00113124"/>
    <w:rsid w:val="00113D9C"/>
    <w:rsid w:val="00113E81"/>
    <w:rsid w:val="00113FC9"/>
    <w:rsid w:val="0011453E"/>
    <w:rsid w:val="001148A9"/>
    <w:rsid w:val="00114A9E"/>
    <w:rsid w:val="0011503D"/>
    <w:rsid w:val="001151CE"/>
    <w:rsid w:val="00115487"/>
    <w:rsid w:val="00115D6B"/>
    <w:rsid w:val="00115F57"/>
    <w:rsid w:val="00115F88"/>
    <w:rsid w:val="001163DE"/>
    <w:rsid w:val="00116AB3"/>
    <w:rsid w:val="00116D91"/>
    <w:rsid w:val="00117276"/>
    <w:rsid w:val="00117BC9"/>
    <w:rsid w:val="00117EB2"/>
    <w:rsid w:val="0012024E"/>
    <w:rsid w:val="0012046E"/>
    <w:rsid w:val="001208C5"/>
    <w:rsid w:val="00121931"/>
    <w:rsid w:val="001221E2"/>
    <w:rsid w:val="0012242F"/>
    <w:rsid w:val="00122DAD"/>
    <w:rsid w:val="00122F73"/>
    <w:rsid w:val="0012318A"/>
    <w:rsid w:val="00123A3D"/>
    <w:rsid w:val="00124298"/>
    <w:rsid w:val="001243F6"/>
    <w:rsid w:val="00124536"/>
    <w:rsid w:val="00125650"/>
    <w:rsid w:val="00125A89"/>
    <w:rsid w:val="00125AEC"/>
    <w:rsid w:val="00126030"/>
    <w:rsid w:val="001267D6"/>
    <w:rsid w:val="00126BD5"/>
    <w:rsid w:val="00126DE8"/>
    <w:rsid w:val="00126DFE"/>
    <w:rsid w:val="00127016"/>
    <w:rsid w:val="001270AF"/>
    <w:rsid w:val="001273CD"/>
    <w:rsid w:val="00127545"/>
    <w:rsid w:val="0013080F"/>
    <w:rsid w:val="001317DB"/>
    <w:rsid w:val="00131B7D"/>
    <w:rsid w:val="001322D6"/>
    <w:rsid w:val="001326D7"/>
    <w:rsid w:val="001326DD"/>
    <w:rsid w:val="001328A5"/>
    <w:rsid w:val="00132991"/>
    <w:rsid w:val="00132ED1"/>
    <w:rsid w:val="00132FAE"/>
    <w:rsid w:val="00132FC8"/>
    <w:rsid w:val="001335ED"/>
    <w:rsid w:val="001339D7"/>
    <w:rsid w:val="00133B77"/>
    <w:rsid w:val="00133E37"/>
    <w:rsid w:val="00135054"/>
    <w:rsid w:val="00135490"/>
    <w:rsid w:val="0013564D"/>
    <w:rsid w:val="00135A3A"/>
    <w:rsid w:val="00135DFD"/>
    <w:rsid w:val="00135E64"/>
    <w:rsid w:val="00136653"/>
    <w:rsid w:val="00136A14"/>
    <w:rsid w:val="00137A66"/>
    <w:rsid w:val="00137F22"/>
    <w:rsid w:val="00137F83"/>
    <w:rsid w:val="00140251"/>
    <w:rsid w:val="0014039C"/>
    <w:rsid w:val="001403B3"/>
    <w:rsid w:val="00140474"/>
    <w:rsid w:val="00140569"/>
    <w:rsid w:val="001407CA"/>
    <w:rsid w:val="00140964"/>
    <w:rsid w:val="00141051"/>
    <w:rsid w:val="001413AF"/>
    <w:rsid w:val="0014142C"/>
    <w:rsid w:val="00141553"/>
    <w:rsid w:val="00141B42"/>
    <w:rsid w:val="00141BD1"/>
    <w:rsid w:val="00141D15"/>
    <w:rsid w:val="00142969"/>
    <w:rsid w:val="00142FA3"/>
    <w:rsid w:val="00143233"/>
    <w:rsid w:val="0014373A"/>
    <w:rsid w:val="00143CA6"/>
    <w:rsid w:val="00143DC0"/>
    <w:rsid w:val="00143EE3"/>
    <w:rsid w:val="00144145"/>
    <w:rsid w:val="001441CF"/>
    <w:rsid w:val="0014433E"/>
    <w:rsid w:val="00144531"/>
    <w:rsid w:val="00144545"/>
    <w:rsid w:val="001450AD"/>
    <w:rsid w:val="001458B9"/>
    <w:rsid w:val="00146BC7"/>
    <w:rsid w:val="001470B0"/>
    <w:rsid w:val="0014779C"/>
    <w:rsid w:val="0014797E"/>
    <w:rsid w:val="00147D56"/>
    <w:rsid w:val="00147EAA"/>
    <w:rsid w:val="00147F6B"/>
    <w:rsid w:val="00150135"/>
    <w:rsid w:val="00150142"/>
    <w:rsid w:val="00150228"/>
    <w:rsid w:val="00150443"/>
    <w:rsid w:val="00150CF0"/>
    <w:rsid w:val="001518F4"/>
    <w:rsid w:val="00151969"/>
    <w:rsid w:val="00151B79"/>
    <w:rsid w:val="001520A5"/>
    <w:rsid w:val="0015217B"/>
    <w:rsid w:val="001521C5"/>
    <w:rsid w:val="00152457"/>
    <w:rsid w:val="0015272D"/>
    <w:rsid w:val="00152795"/>
    <w:rsid w:val="00152B59"/>
    <w:rsid w:val="00152BB6"/>
    <w:rsid w:val="00152BE9"/>
    <w:rsid w:val="00152D1A"/>
    <w:rsid w:val="00152D7D"/>
    <w:rsid w:val="00152F98"/>
    <w:rsid w:val="001530F6"/>
    <w:rsid w:val="001531D6"/>
    <w:rsid w:val="0015381E"/>
    <w:rsid w:val="00153C4D"/>
    <w:rsid w:val="00153FBE"/>
    <w:rsid w:val="0015418E"/>
    <w:rsid w:val="001541DE"/>
    <w:rsid w:val="00154F0A"/>
    <w:rsid w:val="00155159"/>
    <w:rsid w:val="00155337"/>
    <w:rsid w:val="001554CF"/>
    <w:rsid w:val="001555A1"/>
    <w:rsid w:val="00155833"/>
    <w:rsid w:val="001559FD"/>
    <w:rsid w:val="00155BB5"/>
    <w:rsid w:val="00155C58"/>
    <w:rsid w:val="001563A4"/>
    <w:rsid w:val="00156A09"/>
    <w:rsid w:val="00156A10"/>
    <w:rsid w:val="00156A8A"/>
    <w:rsid w:val="00157976"/>
    <w:rsid w:val="00160819"/>
    <w:rsid w:val="00160F93"/>
    <w:rsid w:val="00161176"/>
    <w:rsid w:val="0016192A"/>
    <w:rsid w:val="00161F13"/>
    <w:rsid w:val="0016290C"/>
    <w:rsid w:val="00162CE6"/>
    <w:rsid w:val="00162E7A"/>
    <w:rsid w:val="001632D9"/>
    <w:rsid w:val="00163703"/>
    <w:rsid w:val="001637E3"/>
    <w:rsid w:val="00163C6B"/>
    <w:rsid w:val="0016400F"/>
    <w:rsid w:val="001642F6"/>
    <w:rsid w:val="001646DF"/>
    <w:rsid w:val="0016480B"/>
    <w:rsid w:val="00164BEA"/>
    <w:rsid w:val="001653BF"/>
    <w:rsid w:val="001653E1"/>
    <w:rsid w:val="001654E3"/>
    <w:rsid w:val="00165910"/>
    <w:rsid w:val="00165B2A"/>
    <w:rsid w:val="00165CF8"/>
    <w:rsid w:val="00165FFB"/>
    <w:rsid w:val="001666F2"/>
    <w:rsid w:val="001673FC"/>
    <w:rsid w:val="0016754D"/>
    <w:rsid w:val="0016773C"/>
    <w:rsid w:val="00167D3A"/>
    <w:rsid w:val="00167E31"/>
    <w:rsid w:val="00167E7B"/>
    <w:rsid w:val="00170279"/>
    <w:rsid w:val="0017072F"/>
    <w:rsid w:val="00170953"/>
    <w:rsid w:val="00170AE4"/>
    <w:rsid w:val="00171006"/>
    <w:rsid w:val="00171BBE"/>
    <w:rsid w:val="00171EE9"/>
    <w:rsid w:val="00172802"/>
    <w:rsid w:val="00172C20"/>
    <w:rsid w:val="0017303B"/>
    <w:rsid w:val="001738BF"/>
    <w:rsid w:val="00173948"/>
    <w:rsid w:val="00173C8D"/>
    <w:rsid w:val="00173D40"/>
    <w:rsid w:val="0017430E"/>
    <w:rsid w:val="001743F5"/>
    <w:rsid w:val="00174DB9"/>
    <w:rsid w:val="00174EDE"/>
    <w:rsid w:val="00175095"/>
    <w:rsid w:val="001753D3"/>
    <w:rsid w:val="00175984"/>
    <w:rsid w:val="00175ACE"/>
    <w:rsid w:val="001761F5"/>
    <w:rsid w:val="00176A55"/>
    <w:rsid w:val="001773E8"/>
    <w:rsid w:val="001774FD"/>
    <w:rsid w:val="00177565"/>
    <w:rsid w:val="0017768D"/>
    <w:rsid w:val="00177851"/>
    <w:rsid w:val="00177898"/>
    <w:rsid w:val="001779A0"/>
    <w:rsid w:val="0018021F"/>
    <w:rsid w:val="00180C76"/>
    <w:rsid w:val="001813C6"/>
    <w:rsid w:val="00181439"/>
    <w:rsid w:val="00181582"/>
    <w:rsid w:val="001816CA"/>
    <w:rsid w:val="00181A95"/>
    <w:rsid w:val="001821C5"/>
    <w:rsid w:val="001821FD"/>
    <w:rsid w:val="00182269"/>
    <w:rsid w:val="00182498"/>
    <w:rsid w:val="00182545"/>
    <w:rsid w:val="001832DB"/>
    <w:rsid w:val="00183430"/>
    <w:rsid w:val="001839E1"/>
    <w:rsid w:val="00183AB2"/>
    <w:rsid w:val="00183D21"/>
    <w:rsid w:val="00184027"/>
    <w:rsid w:val="0018414D"/>
    <w:rsid w:val="00184442"/>
    <w:rsid w:val="00184959"/>
    <w:rsid w:val="00184BAD"/>
    <w:rsid w:val="00185322"/>
    <w:rsid w:val="0018553B"/>
    <w:rsid w:val="00186133"/>
    <w:rsid w:val="0018689F"/>
    <w:rsid w:val="0018695B"/>
    <w:rsid w:val="00186C18"/>
    <w:rsid w:val="00187810"/>
    <w:rsid w:val="00187897"/>
    <w:rsid w:val="00187FCE"/>
    <w:rsid w:val="001919F5"/>
    <w:rsid w:val="00191CB4"/>
    <w:rsid w:val="00191ED6"/>
    <w:rsid w:val="00192AC5"/>
    <w:rsid w:val="00192BDC"/>
    <w:rsid w:val="00192E95"/>
    <w:rsid w:val="00192ECD"/>
    <w:rsid w:val="00193093"/>
    <w:rsid w:val="00193138"/>
    <w:rsid w:val="001931EB"/>
    <w:rsid w:val="00193363"/>
    <w:rsid w:val="0019343A"/>
    <w:rsid w:val="00193DD4"/>
    <w:rsid w:val="00194543"/>
    <w:rsid w:val="00194809"/>
    <w:rsid w:val="0019494C"/>
    <w:rsid w:val="00194C97"/>
    <w:rsid w:val="00194CA3"/>
    <w:rsid w:val="0019588E"/>
    <w:rsid w:val="00195AB6"/>
    <w:rsid w:val="00195CC0"/>
    <w:rsid w:val="00196483"/>
    <w:rsid w:val="001965BD"/>
    <w:rsid w:val="001969F5"/>
    <w:rsid w:val="00197DE6"/>
    <w:rsid w:val="00197F3C"/>
    <w:rsid w:val="001A0DF7"/>
    <w:rsid w:val="001A1791"/>
    <w:rsid w:val="001A1B08"/>
    <w:rsid w:val="001A1BF9"/>
    <w:rsid w:val="001A1E1A"/>
    <w:rsid w:val="001A1EE6"/>
    <w:rsid w:val="001A22A8"/>
    <w:rsid w:val="001A234C"/>
    <w:rsid w:val="001A25DB"/>
    <w:rsid w:val="001A27F9"/>
    <w:rsid w:val="001A291A"/>
    <w:rsid w:val="001A2C88"/>
    <w:rsid w:val="001A2F41"/>
    <w:rsid w:val="001A316B"/>
    <w:rsid w:val="001A3611"/>
    <w:rsid w:val="001A377B"/>
    <w:rsid w:val="001A391F"/>
    <w:rsid w:val="001A3E40"/>
    <w:rsid w:val="001A42ED"/>
    <w:rsid w:val="001A467D"/>
    <w:rsid w:val="001A4ADF"/>
    <w:rsid w:val="001A4B67"/>
    <w:rsid w:val="001A5A56"/>
    <w:rsid w:val="001A5AE6"/>
    <w:rsid w:val="001A5B28"/>
    <w:rsid w:val="001A5D13"/>
    <w:rsid w:val="001A5E0A"/>
    <w:rsid w:val="001A615D"/>
    <w:rsid w:val="001A6D46"/>
    <w:rsid w:val="001A6EFF"/>
    <w:rsid w:val="001A724D"/>
    <w:rsid w:val="001A745E"/>
    <w:rsid w:val="001A7650"/>
    <w:rsid w:val="001A77A8"/>
    <w:rsid w:val="001A77D2"/>
    <w:rsid w:val="001A791D"/>
    <w:rsid w:val="001A7B66"/>
    <w:rsid w:val="001A7FDD"/>
    <w:rsid w:val="001B03F4"/>
    <w:rsid w:val="001B12EC"/>
    <w:rsid w:val="001B1904"/>
    <w:rsid w:val="001B1F19"/>
    <w:rsid w:val="001B2700"/>
    <w:rsid w:val="001B2892"/>
    <w:rsid w:val="001B2A18"/>
    <w:rsid w:val="001B2F4A"/>
    <w:rsid w:val="001B313A"/>
    <w:rsid w:val="001B32FC"/>
    <w:rsid w:val="001B368B"/>
    <w:rsid w:val="001B39D7"/>
    <w:rsid w:val="001B3A4D"/>
    <w:rsid w:val="001B455F"/>
    <w:rsid w:val="001B4967"/>
    <w:rsid w:val="001B4E86"/>
    <w:rsid w:val="001B50E9"/>
    <w:rsid w:val="001B5132"/>
    <w:rsid w:val="001B526D"/>
    <w:rsid w:val="001B53C9"/>
    <w:rsid w:val="001B5422"/>
    <w:rsid w:val="001B59D9"/>
    <w:rsid w:val="001B5E77"/>
    <w:rsid w:val="001B5FF2"/>
    <w:rsid w:val="001B6840"/>
    <w:rsid w:val="001B6D45"/>
    <w:rsid w:val="001B70B5"/>
    <w:rsid w:val="001B725D"/>
    <w:rsid w:val="001B7C0D"/>
    <w:rsid w:val="001C02DF"/>
    <w:rsid w:val="001C0EE5"/>
    <w:rsid w:val="001C1193"/>
    <w:rsid w:val="001C1682"/>
    <w:rsid w:val="001C1815"/>
    <w:rsid w:val="001C1F8F"/>
    <w:rsid w:val="001C2B39"/>
    <w:rsid w:val="001C2CBE"/>
    <w:rsid w:val="001C2ECC"/>
    <w:rsid w:val="001C397A"/>
    <w:rsid w:val="001C3CEF"/>
    <w:rsid w:val="001C3CF8"/>
    <w:rsid w:val="001C401C"/>
    <w:rsid w:val="001C4C12"/>
    <w:rsid w:val="001C4E23"/>
    <w:rsid w:val="001C514D"/>
    <w:rsid w:val="001C56B5"/>
    <w:rsid w:val="001C56ED"/>
    <w:rsid w:val="001C5AAE"/>
    <w:rsid w:val="001C6241"/>
    <w:rsid w:val="001C7126"/>
    <w:rsid w:val="001C7165"/>
    <w:rsid w:val="001C7580"/>
    <w:rsid w:val="001C79D1"/>
    <w:rsid w:val="001C7A6A"/>
    <w:rsid w:val="001D01DC"/>
    <w:rsid w:val="001D0387"/>
    <w:rsid w:val="001D0D95"/>
    <w:rsid w:val="001D12A6"/>
    <w:rsid w:val="001D1637"/>
    <w:rsid w:val="001D16A8"/>
    <w:rsid w:val="001D2609"/>
    <w:rsid w:val="001D26CF"/>
    <w:rsid w:val="001D26FF"/>
    <w:rsid w:val="001D2921"/>
    <w:rsid w:val="001D2A5D"/>
    <w:rsid w:val="001D2CB5"/>
    <w:rsid w:val="001D332E"/>
    <w:rsid w:val="001D3336"/>
    <w:rsid w:val="001D3805"/>
    <w:rsid w:val="001D3847"/>
    <w:rsid w:val="001D3A0A"/>
    <w:rsid w:val="001D4715"/>
    <w:rsid w:val="001D4973"/>
    <w:rsid w:val="001D4EDC"/>
    <w:rsid w:val="001D4F2D"/>
    <w:rsid w:val="001D4F5E"/>
    <w:rsid w:val="001D5609"/>
    <w:rsid w:val="001D58C2"/>
    <w:rsid w:val="001D5AF5"/>
    <w:rsid w:val="001D5E2A"/>
    <w:rsid w:val="001D65BD"/>
    <w:rsid w:val="001D6B7D"/>
    <w:rsid w:val="001D6C47"/>
    <w:rsid w:val="001D7086"/>
    <w:rsid w:val="001D7556"/>
    <w:rsid w:val="001D7767"/>
    <w:rsid w:val="001D7901"/>
    <w:rsid w:val="001D7A45"/>
    <w:rsid w:val="001D7BBF"/>
    <w:rsid w:val="001D7BC1"/>
    <w:rsid w:val="001D7CF5"/>
    <w:rsid w:val="001D7EF0"/>
    <w:rsid w:val="001E0691"/>
    <w:rsid w:val="001E08E0"/>
    <w:rsid w:val="001E0ECC"/>
    <w:rsid w:val="001E110D"/>
    <w:rsid w:val="001E12BB"/>
    <w:rsid w:val="001E161D"/>
    <w:rsid w:val="001E21E5"/>
    <w:rsid w:val="001E2E72"/>
    <w:rsid w:val="001E321F"/>
    <w:rsid w:val="001E44D3"/>
    <w:rsid w:val="001E46BB"/>
    <w:rsid w:val="001E48C7"/>
    <w:rsid w:val="001E4FA8"/>
    <w:rsid w:val="001E5849"/>
    <w:rsid w:val="001E649A"/>
    <w:rsid w:val="001E6AFB"/>
    <w:rsid w:val="001E731A"/>
    <w:rsid w:val="001E776D"/>
    <w:rsid w:val="001E77B0"/>
    <w:rsid w:val="001E78B8"/>
    <w:rsid w:val="001E7A2D"/>
    <w:rsid w:val="001E7B30"/>
    <w:rsid w:val="001E7C02"/>
    <w:rsid w:val="001E7DF3"/>
    <w:rsid w:val="001E7EAA"/>
    <w:rsid w:val="001E7FD8"/>
    <w:rsid w:val="001F08F9"/>
    <w:rsid w:val="001F0B93"/>
    <w:rsid w:val="001F1079"/>
    <w:rsid w:val="001F1722"/>
    <w:rsid w:val="001F1A1F"/>
    <w:rsid w:val="001F1D99"/>
    <w:rsid w:val="001F2620"/>
    <w:rsid w:val="001F290C"/>
    <w:rsid w:val="001F2B97"/>
    <w:rsid w:val="001F2BC3"/>
    <w:rsid w:val="001F2DF3"/>
    <w:rsid w:val="001F3AEC"/>
    <w:rsid w:val="001F3BB8"/>
    <w:rsid w:val="001F403B"/>
    <w:rsid w:val="001F4177"/>
    <w:rsid w:val="001F42A2"/>
    <w:rsid w:val="001F4342"/>
    <w:rsid w:val="001F441A"/>
    <w:rsid w:val="001F463B"/>
    <w:rsid w:val="001F4650"/>
    <w:rsid w:val="001F49E2"/>
    <w:rsid w:val="001F4E75"/>
    <w:rsid w:val="001F553E"/>
    <w:rsid w:val="001F5617"/>
    <w:rsid w:val="001F56AC"/>
    <w:rsid w:val="001F5733"/>
    <w:rsid w:val="001F5B84"/>
    <w:rsid w:val="001F5C14"/>
    <w:rsid w:val="001F5DFF"/>
    <w:rsid w:val="001F5F58"/>
    <w:rsid w:val="001F606A"/>
    <w:rsid w:val="001F68B4"/>
    <w:rsid w:val="001F694F"/>
    <w:rsid w:val="001F6F71"/>
    <w:rsid w:val="001F6FD3"/>
    <w:rsid w:val="001F7140"/>
    <w:rsid w:val="001F77BE"/>
    <w:rsid w:val="001F7CB5"/>
    <w:rsid w:val="0020023E"/>
    <w:rsid w:val="00200542"/>
    <w:rsid w:val="00200D26"/>
    <w:rsid w:val="00200F4E"/>
    <w:rsid w:val="00201064"/>
    <w:rsid w:val="0020124B"/>
    <w:rsid w:val="0020135B"/>
    <w:rsid w:val="002018ED"/>
    <w:rsid w:val="00201948"/>
    <w:rsid w:val="00201A46"/>
    <w:rsid w:val="002020D0"/>
    <w:rsid w:val="00202259"/>
    <w:rsid w:val="002025AB"/>
    <w:rsid w:val="002029A4"/>
    <w:rsid w:val="00202B13"/>
    <w:rsid w:val="002032B1"/>
    <w:rsid w:val="0020378E"/>
    <w:rsid w:val="00203FF4"/>
    <w:rsid w:val="00204399"/>
    <w:rsid w:val="002043CE"/>
    <w:rsid w:val="002047ED"/>
    <w:rsid w:val="0020499A"/>
    <w:rsid w:val="00205ABC"/>
    <w:rsid w:val="00205E43"/>
    <w:rsid w:val="00205F3B"/>
    <w:rsid w:val="002062CE"/>
    <w:rsid w:val="0020668A"/>
    <w:rsid w:val="0020687A"/>
    <w:rsid w:val="00206A09"/>
    <w:rsid w:val="00206F2E"/>
    <w:rsid w:val="0020765E"/>
    <w:rsid w:val="00207781"/>
    <w:rsid w:val="002077B9"/>
    <w:rsid w:val="00207EAB"/>
    <w:rsid w:val="00207F3D"/>
    <w:rsid w:val="00210305"/>
    <w:rsid w:val="00210C68"/>
    <w:rsid w:val="00210CBF"/>
    <w:rsid w:val="00210D49"/>
    <w:rsid w:val="00210E2A"/>
    <w:rsid w:val="00211279"/>
    <w:rsid w:val="00211F75"/>
    <w:rsid w:val="002120E0"/>
    <w:rsid w:val="0021218A"/>
    <w:rsid w:val="0021218E"/>
    <w:rsid w:val="002122C6"/>
    <w:rsid w:val="0021270C"/>
    <w:rsid w:val="00212C9C"/>
    <w:rsid w:val="00212E22"/>
    <w:rsid w:val="00212F90"/>
    <w:rsid w:val="002135BF"/>
    <w:rsid w:val="00213626"/>
    <w:rsid w:val="00213C33"/>
    <w:rsid w:val="00213C8D"/>
    <w:rsid w:val="00213D98"/>
    <w:rsid w:val="00213E39"/>
    <w:rsid w:val="0021424D"/>
    <w:rsid w:val="002143C1"/>
    <w:rsid w:val="00214A29"/>
    <w:rsid w:val="00214D8D"/>
    <w:rsid w:val="00214F4E"/>
    <w:rsid w:val="0021563C"/>
    <w:rsid w:val="0021600B"/>
    <w:rsid w:val="00216944"/>
    <w:rsid w:val="00216FAA"/>
    <w:rsid w:val="00217180"/>
    <w:rsid w:val="002171CF"/>
    <w:rsid w:val="00217FC2"/>
    <w:rsid w:val="00220805"/>
    <w:rsid w:val="00220FA5"/>
    <w:rsid w:val="00221650"/>
    <w:rsid w:val="00221BB3"/>
    <w:rsid w:val="00221DCA"/>
    <w:rsid w:val="00222E15"/>
    <w:rsid w:val="00223907"/>
    <w:rsid w:val="0022398B"/>
    <w:rsid w:val="00223AAB"/>
    <w:rsid w:val="00223B11"/>
    <w:rsid w:val="00223FD1"/>
    <w:rsid w:val="002243D0"/>
    <w:rsid w:val="00224A41"/>
    <w:rsid w:val="0022514A"/>
    <w:rsid w:val="002252DB"/>
    <w:rsid w:val="00225BD3"/>
    <w:rsid w:val="00225C26"/>
    <w:rsid w:val="00225FC2"/>
    <w:rsid w:val="00227081"/>
    <w:rsid w:val="00227475"/>
    <w:rsid w:val="002279DF"/>
    <w:rsid w:val="00227CDC"/>
    <w:rsid w:val="00230615"/>
    <w:rsid w:val="00230C39"/>
    <w:rsid w:val="0023170A"/>
    <w:rsid w:val="00231AF7"/>
    <w:rsid w:val="0023230F"/>
    <w:rsid w:val="002324A2"/>
    <w:rsid w:val="00232516"/>
    <w:rsid w:val="002327CB"/>
    <w:rsid w:val="002329FC"/>
    <w:rsid w:val="002339B6"/>
    <w:rsid w:val="00234279"/>
    <w:rsid w:val="0023479F"/>
    <w:rsid w:val="00234A29"/>
    <w:rsid w:val="00234A76"/>
    <w:rsid w:val="00235527"/>
    <w:rsid w:val="0023562B"/>
    <w:rsid w:val="00235CFC"/>
    <w:rsid w:val="00235D99"/>
    <w:rsid w:val="00235F90"/>
    <w:rsid w:val="002362A9"/>
    <w:rsid w:val="0023636E"/>
    <w:rsid w:val="002363F7"/>
    <w:rsid w:val="00236711"/>
    <w:rsid w:val="0023684B"/>
    <w:rsid w:val="0023694A"/>
    <w:rsid w:val="002369DD"/>
    <w:rsid w:val="00236D38"/>
    <w:rsid w:val="00236DC7"/>
    <w:rsid w:val="00237480"/>
    <w:rsid w:val="0023750C"/>
    <w:rsid w:val="00237AAB"/>
    <w:rsid w:val="00237B89"/>
    <w:rsid w:val="00237F75"/>
    <w:rsid w:val="00240643"/>
    <w:rsid w:val="002412E3"/>
    <w:rsid w:val="0024136F"/>
    <w:rsid w:val="002417AE"/>
    <w:rsid w:val="00242C15"/>
    <w:rsid w:val="0024435A"/>
    <w:rsid w:val="00244690"/>
    <w:rsid w:val="0024470E"/>
    <w:rsid w:val="00244FBC"/>
    <w:rsid w:val="00245547"/>
    <w:rsid w:val="0024555C"/>
    <w:rsid w:val="002461FB"/>
    <w:rsid w:val="002462CC"/>
    <w:rsid w:val="0024639D"/>
    <w:rsid w:val="002463F1"/>
    <w:rsid w:val="002467BB"/>
    <w:rsid w:val="002470A8"/>
    <w:rsid w:val="0024726D"/>
    <w:rsid w:val="002472D6"/>
    <w:rsid w:val="0024733C"/>
    <w:rsid w:val="0024756A"/>
    <w:rsid w:val="0025003A"/>
    <w:rsid w:val="002501A6"/>
    <w:rsid w:val="0025089C"/>
    <w:rsid w:val="00250CEC"/>
    <w:rsid w:val="00250FF5"/>
    <w:rsid w:val="002514CB"/>
    <w:rsid w:val="0025200D"/>
    <w:rsid w:val="0025218F"/>
    <w:rsid w:val="0025236C"/>
    <w:rsid w:val="002523DC"/>
    <w:rsid w:val="0025293D"/>
    <w:rsid w:val="00252A2C"/>
    <w:rsid w:val="00253021"/>
    <w:rsid w:val="0025315E"/>
    <w:rsid w:val="00253336"/>
    <w:rsid w:val="002537A5"/>
    <w:rsid w:val="002541FC"/>
    <w:rsid w:val="002542B5"/>
    <w:rsid w:val="00254A4C"/>
    <w:rsid w:val="0025512D"/>
    <w:rsid w:val="0025525F"/>
    <w:rsid w:val="00255D7F"/>
    <w:rsid w:val="00256060"/>
    <w:rsid w:val="00256362"/>
    <w:rsid w:val="00256463"/>
    <w:rsid w:val="0025647C"/>
    <w:rsid w:val="0025648C"/>
    <w:rsid w:val="002566FC"/>
    <w:rsid w:val="00256BA7"/>
    <w:rsid w:val="00256EB0"/>
    <w:rsid w:val="00256F05"/>
    <w:rsid w:val="00256F39"/>
    <w:rsid w:val="00257080"/>
    <w:rsid w:val="0025711E"/>
    <w:rsid w:val="0025758C"/>
    <w:rsid w:val="00260577"/>
    <w:rsid w:val="00260633"/>
    <w:rsid w:val="00261082"/>
    <w:rsid w:val="002613D4"/>
    <w:rsid w:val="00261EA1"/>
    <w:rsid w:val="0026282B"/>
    <w:rsid w:val="00262B81"/>
    <w:rsid w:val="00262BF4"/>
    <w:rsid w:val="00262CBA"/>
    <w:rsid w:val="0026363A"/>
    <w:rsid w:val="00263FA3"/>
    <w:rsid w:val="00263FD0"/>
    <w:rsid w:val="00264496"/>
    <w:rsid w:val="00264640"/>
    <w:rsid w:val="002646DE"/>
    <w:rsid w:val="002647A1"/>
    <w:rsid w:val="00264C9B"/>
    <w:rsid w:val="00264E83"/>
    <w:rsid w:val="00264F2F"/>
    <w:rsid w:val="00265498"/>
    <w:rsid w:val="00266965"/>
    <w:rsid w:val="002670D1"/>
    <w:rsid w:val="00267521"/>
    <w:rsid w:val="00267BC9"/>
    <w:rsid w:val="002702E3"/>
    <w:rsid w:val="002702E7"/>
    <w:rsid w:val="00270427"/>
    <w:rsid w:val="0027072C"/>
    <w:rsid w:val="00270915"/>
    <w:rsid w:val="00270D94"/>
    <w:rsid w:val="002714B2"/>
    <w:rsid w:val="00271A54"/>
    <w:rsid w:val="00272002"/>
    <w:rsid w:val="0027220C"/>
    <w:rsid w:val="0027226F"/>
    <w:rsid w:val="0027259D"/>
    <w:rsid w:val="00272F9E"/>
    <w:rsid w:val="0027314E"/>
    <w:rsid w:val="002735F6"/>
    <w:rsid w:val="00274391"/>
    <w:rsid w:val="00274562"/>
    <w:rsid w:val="00274695"/>
    <w:rsid w:val="00274B7E"/>
    <w:rsid w:val="00274E61"/>
    <w:rsid w:val="00275472"/>
    <w:rsid w:val="00276527"/>
    <w:rsid w:val="002765A9"/>
    <w:rsid w:val="0027663F"/>
    <w:rsid w:val="002768E9"/>
    <w:rsid w:val="00276B0A"/>
    <w:rsid w:val="0027738B"/>
    <w:rsid w:val="0027744D"/>
    <w:rsid w:val="0027745B"/>
    <w:rsid w:val="00277B01"/>
    <w:rsid w:val="00277C93"/>
    <w:rsid w:val="00277E1B"/>
    <w:rsid w:val="002802F4"/>
    <w:rsid w:val="00280AE5"/>
    <w:rsid w:val="00281C99"/>
    <w:rsid w:val="00282826"/>
    <w:rsid w:val="0028294A"/>
    <w:rsid w:val="00282D27"/>
    <w:rsid w:val="002835DD"/>
    <w:rsid w:val="00283B2C"/>
    <w:rsid w:val="00283E92"/>
    <w:rsid w:val="00284206"/>
    <w:rsid w:val="00284C3A"/>
    <w:rsid w:val="00285358"/>
    <w:rsid w:val="0028535D"/>
    <w:rsid w:val="0028536F"/>
    <w:rsid w:val="00285534"/>
    <w:rsid w:val="00285A05"/>
    <w:rsid w:val="002861C5"/>
    <w:rsid w:val="00286491"/>
    <w:rsid w:val="00286826"/>
    <w:rsid w:val="00286B0A"/>
    <w:rsid w:val="002873B1"/>
    <w:rsid w:val="002874BE"/>
    <w:rsid w:val="002874DB"/>
    <w:rsid w:val="00287583"/>
    <w:rsid w:val="00287896"/>
    <w:rsid w:val="00287A48"/>
    <w:rsid w:val="00287DCF"/>
    <w:rsid w:val="00287DD8"/>
    <w:rsid w:val="00287F6C"/>
    <w:rsid w:val="0029065A"/>
    <w:rsid w:val="00291151"/>
    <w:rsid w:val="0029140F"/>
    <w:rsid w:val="00291754"/>
    <w:rsid w:val="00291920"/>
    <w:rsid w:val="00291D59"/>
    <w:rsid w:val="00291F89"/>
    <w:rsid w:val="002923A8"/>
    <w:rsid w:val="002924EB"/>
    <w:rsid w:val="002927DC"/>
    <w:rsid w:val="00292876"/>
    <w:rsid w:val="00292B44"/>
    <w:rsid w:val="00292B6B"/>
    <w:rsid w:val="00293591"/>
    <w:rsid w:val="0029365B"/>
    <w:rsid w:val="002936A7"/>
    <w:rsid w:val="0029371D"/>
    <w:rsid w:val="00293879"/>
    <w:rsid w:val="00293893"/>
    <w:rsid w:val="00293DD9"/>
    <w:rsid w:val="00293E3B"/>
    <w:rsid w:val="00293FE0"/>
    <w:rsid w:val="00294343"/>
    <w:rsid w:val="00294491"/>
    <w:rsid w:val="0029457C"/>
    <w:rsid w:val="00294B07"/>
    <w:rsid w:val="00294DDA"/>
    <w:rsid w:val="002953BD"/>
    <w:rsid w:val="00295650"/>
    <w:rsid w:val="00295916"/>
    <w:rsid w:val="002960F2"/>
    <w:rsid w:val="002966E9"/>
    <w:rsid w:val="002966F9"/>
    <w:rsid w:val="00296B17"/>
    <w:rsid w:val="0029757D"/>
    <w:rsid w:val="002A0167"/>
    <w:rsid w:val="002A084A"/>
    <w:rsid w:val="002A0F10"/>
    <w:rsid w:val="002A15D3"/>
    <w:rsid w:val="002A1950"/>
    <w:rsid w:val="002A1EC9"/>
    <w:rsid w:val="002A2E3E"/>
    <w:rsid w:val="002A2E76"/>
    <w:rsid w:val="002A393B"/>
    <w:rsid w:val="002A397F"/>
    <w:rsid w:val="002A3BC6"/>
    <w:rsid w:val="002A403A"/>
    <w:rsid w:val="002A425E"/>
    <w:rsid w:val="002A4304"/>
    <w:rsid w:val="002A4735"/>
    <w:rsid w:val="002A4CD5"/>
    <w:rsid w:val="002A4F9F"/>
    <w:rsid w:val="002A50B9"/>
    <w:rsid w:val="002A5307"/>
    <w:rsid w:val="002A56E9"/>
    <w:rsid w:val="002A5C96"/>
    <w:rsid w:val="002A5E81"/>
    <w:rsid w:val="002A61AB"/>
    <w:rsid w:val="002A7563"/>
    <w:rsid w:val="002A7BCB"/>
    <w:rsid w:val="002B0388"/>
    <w:rsid w:val="002B0E38"/>
    <w:rsid w:val="002B1381"/>
    <w:rsid w:val="002B148D"/>
    <w:rsid w:val="002B1538"/>
    <w:rsid w:val="002B16AE"/>
    <w:rsid w:val="002B2057"/>
    <w:rsid w:val="002B20F5"/>
    <w:rsid w:val="002B298E"/>
    <w:rsid w:val="002B2FDF"/>
    <w:rsid w:val="002B30C6"/>
    <w:rsid w:val="002B353A"/>
    <w:rsid w:val="002B364E"/>
    <w:rsid w:val="002B3688"/>
    <w:rsid w:val="002B3855"/>
    <w:rsid w:val="002B3906"/>
    <w:rsid w:val="002B4018"/>
    <w:rsid w:val="002B43CA"/>
    <w:rsid w:val="002B4436"/>
    <w:rsid w:val="002B4515"/>
    <w:rsid w:val="002B4BA8"/>
    <w:rsid w:val="002B4DB4"/>
    <w:rsid w:val="002B4E05"/>
    <w:rsid w:val="002B500C"/>
    <w:rsid w:val="002B5132"/>
    <w:rsid w:val="002B5A0F"/>
    <w:rsid w:val="002B6195"/>
    <w:rsid w:val="002B626D"/>
    <w:rsid w:val="002B62E8"/>
    <w:rsid w:val="002B6734"/>
    <w:rsid w:val="002B6A1B"/>
    <w:rsid w:val="002B6E9F"/>
    <w:rsid w:val="002B70CD"/>
    <w:rsid w:val="002B7145"/>
    <w:rsid w:val="002B7212"/>
    <w:rsid w:val="002B766F"/>
    <w:rsid w:val="002B78FC"/>
    <w:rsid w:val="002B790B"/>
    <w:rsid w:val="002B7A32"/>
    <w:rsid w:val="002B7AAC"/>
    <w:rsid w:val="002C0169"/>
    <w:rsid w:val="002C06D5"/>
    <w:rsid w:val="002C084E"/>
    <w:rsid w:val="002C0A60"/>
    <w:rsid w:val="002C0DC4"/>
    <w:rsid w:val="002C1DA1"/>
    <w:rsid w:val="002C2225"/>
    <w:rsid w:val="002C2D80"/>
    <w:rsid w:val="002C2DDC"/>
    <w:rsid w:val="002C3016"/>
    <w:rsid w:val="002C32A4"/>
    <w:rsid w:val="002C330B"/>
    <w:rsid w:val="002C39A9"/>
    <w:rsid w:val="002C3D07"/>
    <w:rsid w:val="002C4E06"/>
    <w:rsid w:val="002C4E9E"/>
    <w:rsid w:val="002C4F2E"/>
    <w:rsid w:val="002C5331"/>
    <w:rsid w:val="002C55E8"/>
    <w:rsid w:val="002C5989"/>
    <w:rsid w:val="002C5A2E"/>
    <w:rsid w:val="002C5A39"/>
    <w:rsid w:val="002C5C55"/>
    <w:rsid w:val="002C5CB5"/>
    <w:rsid w:val="002C5FE0"/>
    <w:rsid w:val="002C62F7"/>
    <w:rsid w:val="002C6DD5"/>
    <w:rsid w:val="002C7017"/>
    <w:rsid w:val="002C71F7"/>
    <w:rsid w:val="002C7882"/>
    <w:rsid w:val="002C7FBA"/>
    <w:rsid w:val="002C7FEB"/>
    <w:rsid w:val="002D018E"/>
    <w:rsid w:val="002D03CD"/>
    <w:rsid w:val="002D0536"/>
    <w:rsid w:val="002D06EC"/>
    <w:rsid w:val="002D0BF9"/>
    <w:rsid w:val="002D1176"/>
    <w:rsid w:val="002D1626"/>
    <w:rsid w:val="002D1767"/>
    <w:rsid w:val="002D18FC"/>
    <w:rsid w:val="002D1C8F"/>
    <w:rsid w:val="002D1E9D"/>
    <w:rsid w:val="002D2057"/>
    <w:rsid w:val="002D2A55"/>
    <w:rsid w:val="002D2A62"/>
    <w:rsid w:val="002D2D0C"/>
    <w:rsid w:val="002D3146"/>
    <w:rsid w:val="002D3C86"/>
    <w:rsid w:val="002D3EF7"/>
    <w:rsid w:val="002D40C5"/>
    <w:rsid w:val="002D4249"/>
    <w:rsid w:val="002D4987"/>
    <w:rsid w:val="002D4DEE"/>
    <w:rsid w:val="002D56B3"/>
    <w:rsid w:val="002D5BA6"/>
    <w:rsid w:val="002D6281"/>
    <w:rsid w:val="002D633A"/>
    <w:rsid w:val="002D64D8"/>
    <w:rsid w:val="002D65EA"/>
    <w:rsid w:val="002D693C"/>
    <w:rsid w:val="002D69E0"/>
    <w:rsid w:val="002D6A77"/>
    <w:rsid w:val="002D6A8A"/>
    <w:rsid w:val="002D6C0F"/>
    <w:rsid w:val="002D7884"/>
    <w:rsid w:val="002E0A3F"/>
    <w:rsid w:val="002E108D"/>
    <w:rsid w:val="002E1736"/>
    <w:rsid w:val="002E197E"/>
    <w:rsid w:val="002E1A3C"/>
    <w:rsid w:val="002E1B27"/>
    <w:rsid w:val="002E20C6"/>
    <w:rsid w:val="002E261F"/>
    <w:rsid w:val="002E274E"/>
    <w:rsid w:val="002E3207"/>
    <w:rsid w:val="002E36C7"/>
    <w:rsid w:val="002E37D7"/>
    <w:rsid w:val="002E3A48"/>
    <w:rsid w:val="002E3AB7"/>
    <w:rsid w:val="002E3CA5"/>
    <w:rsid w:val="002E3CFB"/>
    <w:rsid w:val="002E4786"/>
    <w:rsid w:val="002E4C82"/>
    <w:rsid w:val="002E4EC1"/>
    <w:rsid w:val="002E5314"/>
    <w:rsid w:val="002E562F"/>
    <w:rsid w:val="002E5DA9"/>
    <w:rsid w:val="002E6197"/>
    <w:rsid w:val="002E6281"/>
    <w:rsid w:val="002E6733"/>
    <w:rsid w:val="002E6B2E"/>
    <w:rsid w:val="002E6EAB"/>
    <w:rsid w:val="002E6F44"/>
    <w:rsid w:val="002E6FC1"/>
    <w:rsid w:val="002E7015"/>
    <w:rsid w:val="002E742D"/>
    <w:rsid w:val="002E781E"/>
    <w:rsid w:val="002E7E82"/>
    <w:rsid w:val="002F14AC"/>
    <w:rsid w:val="002F18F3"/>
    <w:rsid w:val="002F197B"/>
    <w:rsid w:val="002F1CEE"/>
    <w:rsid w:val="002F260D"/>
    <w:rsid w:val="002F3250"/>
    <w:rsid w:val="002F35D9"/>
    <w:rsid w:val="002F38DF"/>
    <w:rsid w:val="002F39C3"/>
    <w:rsid w:val="002F3B9C"/>
    <w:rsid w:val="002F3E07"/>
    <w:rsid w:val="002F42D9"/>
    <w:rsid w:val="002F51C6"/>
    <w:rsid w:val="002F52F3"/>
    <w:rsid w:val="002F5F14"/>
    <w:rsid w:val="002F6389"/>
    <w:rsid w:val="002F64F7"/>
    <w:rsid w:val="002F66C0"/>
    <w:rsid w:val="002F6AFF"/>
    <w:rsid w:val="002F6C15"/>
    <w:rsid w:val="002F6E4D"/>
    <w:rsid w:val="002F6FD0"/>
    <w:rsid w:val="002F7300"/>
    <w:rsid w:val="002F7A82"/>
    <w:rsid w:val="00300270"/>
    <w:rsid w:val="00300604"/>
    <w:rsid w:val="00300619"/>
    <w:rsid w:val="00300721"/>
    <w:rsid w:val="00300E56"/>
    <w:rsid w:val="00300EED"/>
    <w:rsid w:val="0030146A"/>
    <w:rsid w:val="003024F8"/>
    <w:rsid w:val="00302957"/>
    <w:rsid w:val="00302BE7"/>
    <w:rsid w:val="00302FD2"/>
    <w:rsid w:val="00303909"/>
    <w:rsid w:val="00303F43"/>
    <w:rsid w:val="003048AC"/>
    <w:rsid w:val="00305075"/>
    <w:rsid w:val="00305411"/>
    <w:rsid w:val="0030568E"/>
    <w:rsid w:val="00305B48"/>
    <w:rsid w:val="00306BE8"/>
    <w:rsid w:val="00306C38"/>
    <w:rsid w:val="00306CFC"/>
    <w:rsid w:val="00306D71"/>
    <w:rsid w:val="00306EB8"/>
    <w:rsid w:val="00307482"/>
    <w:rsid w:val="00307AA2"/>
    <w:rsid w:val="00307B03"/>
    <w:rsid w:val="00307B42"/>
    <w:rsid w:val="00307D50"/>
    <w:rsid w:val="00310095"/>
    <w:rsid w:val="003100D9"/>
    <w:rsid w:val="00310AC2"/>
    <w:rsid w:val="00311079"/>
    <w:rsid w:val="00311152"/>
    <w:rsid w:val="00311275"/>
    <w:rsid w:val="00311370"/>
    <w:rsid w:val="00311644"/>
    <w:rsid w:val="0031169D"/>
    <w:rsid w:val="00311C54"/>
    <w:rsid w:val="003120FC"/>
    <w:rsid w:val="0031367B"/>
    <w:rsid w:val="003137CD"/>
    <w:rsid w:val="00313B1E"/>
    <w:rsid w:val="00313E40"/>
    <w:rsid w:val="00314586"/>
    <w:rsid w:val="003148BD"/>
    <w:rsid w:val="00314D2D"/>
    <w:rsid w:val="00314F43"/>
    <w:rsid w:val="00315205"/>
    <w:rsid w:val="003161DF"/>
    <w:rsid w:val="003163C1"/>
    <w:rsid w:val="00316885"/>
    <w:rsid w:val="00316932"/>
    <w:rsid w:val="00317054"/>
    <w:rsid w:val="003171DA"/>
    <w:rsid w:val="00317449"/>
    <w:rsid w:val="003174EA"/>
    <w:rsid w:val="003175DB"/>
    <w:rsid w:val="00317959"/>
    <w:rsid w:val="00317B38"/>
    <w:rsid w:val="003200D3"/>
    <w:rsid w:val="00320372"/>
    <w:rsid w:val="00320A82"/>
    <w:rsid w:val="00321177"/>
    <w:rsid w:val="00321666"/>
    <w:rsid w:val="00321C91"/>
    <w:rsid w:val="00322266"/>
    <w:rsid w:val="00322E3F"/>
    <w:rsid w:val="00323D21"/>
    <w:rsid w:val="00323F10"/>
    <w:rsid w:val="00324778"/>
    <w:rsid w:val="0032492E"/>
    <w:rsid w:val="00324B5A"/>
    <w:rsid w:val="003250BF"/>
    <w:rsid w:val="00325397"/>
    <w:rsid w:val="003253A6"/>
    <w:rsid w:val="003255FE"/>
    <w:rsid w:val="00325839"/>
    <w:rsid w:val="0032620A"/>
    <w:rsid w:val="00326735"/>
    <w:rsid w:val="00326BFE"/>
    <w:rsid w:val="00326C43"/>
    <w:rsid w:val="00326E9E"/>
    <w:rsid w:val="00327964"/>
    <w:rsid w:val="00327B02"/>
    <w:rsid w:val="003300D2"/>
    <w:rsid w:val="003302A3"/>
    <w:rsid w:val="003306A2"/>
    <w:rsid w:val="003307FF"/>
    <w:rsid w:val="0033089A"/>
    <w:rsid w:val="00330C91"/>
    <w:rsid w:val="00331262"/>
    <w:rsid w:val="003313ED"/>
    <w:rsid w:val="003314F2"/>
    <w:rsid w:val="00331570"/>
    <w:rsid w:val="00331AE3"/>
    <w:rsid w:val="00331EBB"/>
    <w:rsid w:val="00331F3D"/>
    <w:rsid w:val="00332634"/>
    <w:rsid w:val="00332882"/>
    <w:rsid w:val="003328A8"/>
    <w:rsid w:val="00332C35"/>
    <w:rsid w:val="00332F31"/>
    <w:rsid w:val="00332FA0"/>
    <w:rsid w:val="00333236"/>
    <w:rsid w:val="003341AF"/>
    <w:rsid w:val="00334502"/>
    <w:rsid w:val="00334692"/>
    <w:rsid w:val="00334941"/>
    <w:rsid w:val="00334ACE"/>
    <w:rsid w:val="00335273"/>
    <w:rsid w:val="003354DE"/>
    <w:rsid w:val="00335F23"/>
    <w:rsid w:val="003360B9"/>
    <w:rsid w:val="003364C0"/>
    <w:rsid w:val="00336780"/>
    <w:rsid w:val="003367F1"/>
    <w:rsid w:val="00337A20"/>
    <w:rsid w:val="00337B85"/>
    <w:rsid w:val="00337E48"/>
    <w:rsid w:val="00340061"/>
    <w:rsid w:val="0034032E"/>
    <w:rsid w:val="0034075A"/>
    <w:rsid w:val="003407AD"/>
    <w:rsid w:val="00340865"/>
    <w:rsid w:val="00340DD8"/>
    <w:rsid w:val="00341265"/>
    <w:rsid w:val="00341317"/>
    <w:rsid w:val="003416D6"/>
    <w:rsid w:val="00342234"/>
    <w:rsid w:val="003423A6"/>
    <w:rsid w:val="003425F1"/>
    <w:rsid w:val="00342751"/>
    <w:rsid w:val="00342801"/>
    <w:rsid w:val="00342A64"/>
    <w:rsid w:val="00342E32"/>
    <w:rsid w:val="00342F30"/>
    <w:rsid w:val="0034327B"/>
    <w:rsid w:val="0034340C"/>
    <w:rsid w:val="003436F6"/>
    <w:rsid w:val="003439F5"/>
    <w:rsid w:val="00343AF2"/>
    <w:rsid w:val="00343CA9"/>
    <w:rsid w:val="00343DB4"/>
    <w:rsid w:val="003444D7"/>
    <w:rsid w:val="003448E2"/>
    <w:rsid w:val="003452E2"/>
    <w:rsid w:val="003456C5"/>
    <w:rsid w:val="0034574E"/>
    <w:rsid w:val="00345762"/>
    <w:rsid w:val="0034620C"/>
    <w:rsid w:val="0034666F"/>
    <w:rsid w:val="00346C36"/>
    <w:rsid w:val="00346DCE"/>
    <w:rsid w:val="00347305"/>
    <w:rsid w:val="00347670"/>
    <w:rsid w:val="00347A2E"/>
    <w:rsid w:val="00347ED0"/>
    <w:rsid w:val="00347FE4"/>
    <w:rsid w:val="00350C4B"/>
    <w:rsid w:val="00350E63"/>
    <w:rsid w:val="00350ED0"/>
    <w:rsid w:val="00351159"/>
    <w:rsid w:val="003515A7"/>
    <w:rsid w:val="003515CD"/>
    <w:rsid w:val="0035162C"/>
    <w:rsid w:val="00351DBA"/>
    <w:rsid w:val="00352192"/>
    <w:rsid w:val="003522CE"/>
    <w:rsid w:val="003523B9"/>
    <w:rsid w:val="0035263B"/>
    <w:rsid w:val="00352C44"/>
    <w:rsid w:val="00352E67"/>
    <w:rsid w:val="0035324F"/>
    <w:rsid w:val="003535F6"/>
    <w:rsid w:val="00353C71"/>
    <w:rsid w:val="00353F4D"/>
    <w:rsid w:val="0035437F"/>
    <w:rsid w:val="003549C6"/>
    <w:rsid w:val="00354AF2"/>
    <w:rsid w:val="00354B5D"/>
    <w:rsid w:val="0035583E"/>
    <w:rsid w:val="003558B0"/>
    <w:rsid w:val="00355D3C"/>
    <w:rsid w:val="00355EF1"/>
    <w:rsid w:val="0035662B"/>
    <w:rsid w:val="00356A67"/>
    <w:rsid w:val="00356DB7"/>
    <w:rsid w:val="00356DDB"/>
    <w:rsid w:val="00356E88"/>
    <w:rsid w:val="0035710D"/>
    <w:rsid w:val="0035778E"/>
    <w:rsid w:val="00357AF7"/>
    <w:rsid w:val="00357C29"/>
    <w:rsid w:val="00357F46"/>
    <w:rsid w:val="003600D1"/>
    <w:rsid w:val="00360158"/>
    <w:rsid w:val="0036031B"/>
    <w:rsid w:val="00360622"/>
    <w:rsid w:val="0036070C"/>
    <w:rsid w:val="00360B43"/>
    <w:rsid w:val="00360F46"/>
    <w:rsid w:val="003616E4"/>
    <w:rsid w:val="00361A6E"/>
    <w:rsid w:val="00361B4E"/>
    <w:rsid w:val="00361B7B"/>
    <w:rsid w:val="00362052"/>
    <w:rsid w:val="003620E5"/>
    <w:rsid w:val="00362155"/>
    <w:rsid w:val="003621CF"/>
    <w:rsid w:val="0036230B"/>
    <w:rsid w:val="00363703"/>
    <w:rsid w:val="003637D6"/>
    <w:rsid w:val="00363B73"/>
    <w:rsid w:val="00364279"/>
    <w:rsid w:val="00365222"/>
    <w:rsid w:val="00365A11"/>
    <w:rsid w:val="003661D5"/>
    <w:rsid w:val="003662E7"/>
    <w:rsid w:val="00366322"/>
    <w:rsid w:val="00366883"/>
    <w:rsid w:val="0036699F"/>
    <w:rsid w:val="00367365"/>
    <w:rsid w:val="003673F4"/>
    <w:rsid w:val="00367987"/>
    <w:rsid w:val="00367D06"/>
    <w:rsid w:val="00367F3E"/>
    <w:rsid w:val="00370774"/>
    <w:rsid w:val="0037087E"/>
    <w:rsid w:val="00370AA0"/>
    <w:rsid w:val="00370AF3"/>
    <w:rsid w:val="00370D7F"/>
    <w:rsid w:val="0037103E"/>
    <w:rsid w:val="003717B1"/>
    <w:rsid w:val="003719AB"/>
    <w:rsid w:val="00371BA5"/>
    <w:rsid w:val="00371DB7"/>
    <w:rsid w:val="00372181"/>
    <w:rsid w:val="0037264F"/>
    <w:rsid w:val="00373852"/>
    <w:rsid w:val="0037389E"/>
    <w:rsid w:val="00373EEC"/>
    <w:rsid w:val="003743F9"/>
    <w:rsid w:val="00374593"/>
    <w:rsid w:val="003746E1"/>
    <w:rsid w:val="0037493D"/>
    <w:rsid w:val="00374A1E"/>
    <w:rsid w:val="00374C1A"/>
    <w:rsid w:val="00374E55"/>
    <w:rsid w:val="00374F45"/>
    <w:rsid w:val="00375036"/>
    <w:rsid w:val="003750ED"/>
    <w:rsid w:val="003754F2"/>
    <w:rsid w:val="00375805"/>
    <w:rsid w:val="003759DA"/>
    <w:rsid w:val="00375BCF"/>
    <w:rsid w:val="00375DF9"/>
    <w:rsid w:val="00375F4E"/>
    <w:rsid w:val="00375FC9"/>
    <w:rsid w:val="0037605B"/>
    <w:rsid w:val="00376692"/>
    <w:rsid w:val="00376725"/>
    <w:rsid w:val="00376889"/>
    <w:rsid w:val="00377665"/>
    <w:rsid w:val="003802E0"/>
    <w:rsid w:val="0038057E"/>
    <w:rsid w:val="003808BB"/>
    <w:rsid w:val="00380BB2"/>
    <w:rsid w:val="00381247"/>
    <w:rsid w:val="00381F3E"/>
    <w:rsid w:val="00381F70"/>
    <w:rsid w:val="003823AB"/>
    <w:rsid w:val="00382AF8"/>
    <w:rsid w:val="00382B5E"/>
    <w:rsid w:val="003830F2"/>
    <w:rsid w:val="00383147"/>
    <w:rsid w:val="00383E46"/>
    <w:rsid w:val="00383F39"/>
    <w:rsid w:val="00384002"/>
    <w:rsid w:val="003841CD"/>
    <w:rsid w:val="0038472F"/>
    <w:rsid w:val="003851CF"/>
    <w:rsid w:val="00385384"/>
    <w:rsid w:val="003854C1"/>
    <w:rsid w:val="003860EF"/>
    <w:rsid w:val="003865F3"/>
    <w:rsid w:val="00386AF2"/>
    <w:rsid w:val="00386E66"/>
    <w:rsid w:val="00387083"/>
    <w:rsid w:val="0038730F"/>
    <w:rsid w:val="0038735E"/>
    <w:rsid w:val="0038752E"/>
    <w:rsid w:val="0038793F"/>
    <w:rsid w:val="00387F82"/>
    <w:rsid w:val="00387FCA"/>
    <w:rsid w:val="00387FE6"/>
    <w:rsid w:val="003906E9"/>
    <w:rsid w:val="00390734"/>
    <w:rsid w:val="00391184"/>
    <w:rsid w:val="00391454"/>
    <w:rsid w:val="00391521"/>
    <w:rsid w:val="00391770"/>
    <w:rsid w:val="00392283"/>
    <w:rsid w:val="0039284B"/>
    <w:rsid w:val="0039350F"/>
    <w:rsid w:val="00393B0F"/>
    <w:rsid w:val="00394BBE"/>
    <w:rsid w:val="00394F2D"/>
    <w:rsid w:val="0039535A"/>
    <w:rsid w:val="00395B5D"/>
    <w:rsid w:val="00395DD6"/>
    <w:rsid w:val="003961A2"/>
    <w:rsid w:val="00396B2C"/>
    <w:rsid w:val="00396CE0"/>
    <w:rsid w:val="00397100"/>
    <w:rsid w:val="003977A6"/>
    <w:rsid w:val="003977EA"/>
    <w:rsid w:val="00397A67"/>
    <w:rsid w:val="00397F05"/>
    <w:rsid w:val="003A0901"/>
    <w:rsid w:val="003A0B92"/>
    <w:rsid w:val="003A0CA4"/>
    <w:rsid w:val="003A1253"/>
    <w:rsid w:val="003A17EB"/>
    <w:rsid w:val="003A1876"/>
    <w:rsid w:val="003A2091"/>
    <w:rsid w:val="003A20BF"/>
    <w:rsid w:val="003A2776"/>
    <w:rsid w:val="003A2CD4"/>
    <w:rsid w:val="003A31E7"/>
    <w:rsid w:val="003A35C0"/>
    <w:rsid w:val="003A3AD3"/>
    <w:rsid w:val="003A45B6"/>
    <w:rsid w:val="003A4707"/>
    <w:rsid w:val="003A48DB"/>
    <w:rsid w:val="003A48F8"/>
    <w:rsid w:val="003A4BE9"/>
    <w:rsid w:val="003A4C11"/>
    <w:rsid w:val="003A4F0F"/>
    <w:rsid w:val="003A504F"/>
    <w:rsid w:val="003A58F3"/>
    <w:rsid w:val="003A5E63"/>
    <w:rsid w:val="003A5F44"/>
    <w:rsid w:val="003A67BF"/>
    <w:rsid w:val="003A67E6"/>
    <w:rsid w:val="003A683C"/>
    <w:rsid w:val="003A6A6C"/>
    <w:rsid w:val="003A6BE2"/>
    <w:rsid w:val="003A6E26"/>
    <w:rsid w:val="003A70D0"/>
    <w:rsid w:val="003A70DA"/>
    <w:rsid w:val="003A7A11"/>
    <w:rsid w:val="003B03B6"/>
    <w:rsid w:val="003B09C4"/>
    <w:rsid w:val="003B0A8C"/>
    <w:rsid w:val="003B0AFE"/>
    <w:rsid w:val="003B0C0D"/>
    <w:rsid w:val="003B0F58"/>
    <w:rsid w:val="003B169C"/>
    <w:rsid w:val="003B1975"/>
    <w:rsid w:val="003B1DE0"/>
    <w:rsid w:val="003B2164"/>
    <w:rsid w:val="003B227F"/>
    <w:rsid w:val="003B24F3"/>
    <w:rsid w:val="003B30EF"/>
    <w:rsid w:val="003B3240"/>
    <w:rsid w:val="003B394A"/>
    <w:rsid w:val="003B3C94"/>
    <w:rsid w:val="003B3E72"/>
    <w:rsid w:val="003B3F78"/>
    <w:rsid w:val="003B42BB"/>
    <w:rsid w:val="003B479B"/>
    <w:rsid w:val="003B4B11"/>
    <w:rsid w:val="003B51D0"/>
    <w:rsid w:val="003B5379"/>
    <w:rsid w:val="003B5552"/>
    <w:rsid w:val="003B56BD"/>
    <w:rsid w:val="003B59BA"/>
    <w:rsid w:val="003B5BFF"/>
    <w:rsid w:val="003B5E9B"/>
    <w:rsid w:val="003B60BC"/>
    <w:rsid w:val="003B673C"/>
    <w:rsid w:val="003B6BE6"/>
    <w:rsid w:val="003B6C2D"/>
    <w:rsid w:val="003B6EAB"/>
    <w:rsid w:val="003B73FF"/>
    <w:rsid w:val="003B779E"/>
    <w:rsid w:val="003B7C84"/>
    <w:rsid w:val="003C0B40"/>
    <w:rsid w:val="003C0ECE"/>
    <w:rsid w:val="003C1141"/>
    <w:rsid w:val="003C15E5"/>
    <w:rsid w:val="003C15EA"/>
    <w:rsid w:val="003C1A3E"/>
    <w:rsid w:val="003C2358"/>
    <w:rsid w:val="003C2626"/>
    <w:rsid w:val="003C2867"/>
    <w:rsid w:val="003C382A"/>
    <w:rsid w:val="003C3AA3"/>
    <w:rsid w:val="003C3E20"/>
    <w:rsid w:val="003C48D5"/>
    <w:rsid w:val="003C4A58"/>
    <w:rsid w:val="003C4A7C"/>
    <w:rsid w:val="003C4D9A"/>
    <w:rsid w:val="003C5176"/>
    <w:rsid w:val="003C518B"/>
    <w:rsid w:val="003C552F"/>
    <w:rsid w:val="003C5FC0"/>
    <w:rsid w:val="003C6397"/>
    <w:rsid w:val="003C656F"/>
    <w:rsid w:val="003C657E"/>
    <w:rsid w:val="003C6843"/>
    <w:rsid w:val="003C685F"/>
    <w:rsid w:val="003C6D61"/>
    <w:rsid w:val="003C6F1F"/>
    <w:rsid w:val="003C766F"/>
    <w:rsid w:val="003C7A10"/>
    <w:rsid w:val="003C7FD1"/>
    <w:rsid w:val="003D0974"/>
    <w:rsid w:val="003D0E2A"/>
    <w:rsid w:val="003D10A7"/>
    <w:rsid w:val="003D179D"/>
    <w:rsid w:val="003D20B7"/>
    <w:rsid w:val="003D2979"/>
    <w:rsid w:val="003D3593"/>
    <w:rsid w:val="003D3B08"/>
    <w:rsid w:val="003D3D74"/>
    <w:rsid w:val="003D4340"/>
    <w:rsid w:val="003D4C19"/>
    <w:rsid w:val="003D4CEE"/>
    <w:rsid w:val="003D515A"/>
    <w:rsid w:val="003D5DB8"/>
    <w:rsid w:val="003D601F"/>
    <w:rsid w:val="003D61F4"/>
    <w:rsid w:val="003D63C1"/>
    <w:rsid w:val="003D6980"/>
    <w:rsid w:val="003D7662"/>
    <w:rsid w:val="003D76F0"/>
    <w:rsid w:val="003D77E7"/>
    <w:rsid w:val="003D7CF9"/>
    <w:rsid w:val="003E02D6"/>
    <w:rsid w:val="003E0743"/>
    <w:rsid w:val="003E086F"/>
    <w:rsid w:val="003E0AC7"/>
    <w:rsid w:val="003E0C75"/>
    <w:rsid w:val="003E1029"/>
    <w:rsid w:val="003E104B"/>
    <w:rsid w:val="003E11EA"/>
    <w:rsid w:val="003E194D"/>
    <w:rsid w:val="003E2161"/>
    <w:rsid w:val="003E21A7"/>
    <w:rsid w:val="003E225D"/>
    <w:rsid w:val="003E2349"/>
    <w:rsid w:val="003E2418"/>
    <w:rsid w:val="003E242C"/>
    <w:rsid w:val="003E2564"/>
    <w:rsid w:val="003E2DD2"/>
    <w:rsid w:val="003E34AC"/>
    <w:rsid w:val="003E3D5B"/>
    <w:rsid w:val="003E424A"/>
    <w:rsid w:val="003E466D"/>
    <w:rsid w:val="003E4C45"/>
    <w:rsid w:val="003E4DCA"/>
    <w:rsid w:val="003E5108"/>
    <w:rsid w:val="003E5142"/>
    <w:rsid w:val="003E547F"/>
    <w:rsid w:val="003E561E"/>
    <w:rsid w:val="003E581D"/>
    <w:rsid w:val="003E5D50"/>
    <w:rsid w:val="003E60B2"/>
    <w:rsid w:val="003E68E0"/>
    <w:rsid w:val="003E74D8"/>
    <w:rsid w:val="003F010D"/>
    <w:rsid w:val="003F06D7"/>
    <w:rsid w:val="003F0FF4"/>
    <w:rsid w:val="003F1AB5"/>
    <w:rsid w:val="003F20EB"/>
    <w:rsid w:val="003F218A"/>
    <w:rsid w:val="003F221A"/>
    <w:rsid w:val="003F23D1"/>
    <w:rsid w:val="003F270A"/>
    <w:rsid w:val="003F3014"/>
    <w:rsid w:val="003F3316"/>
    <w:rsid w:val="003F371E"/>
    <w:rsid w:val="003F3E0C"/>
    <w:rsid w:val="003F429A"/>
    <w:rsid w:val="003F4752"/>
    <w:rsid w:val="003F477D"/>
    <w:rsid w:val="003F48A1"/>
    <w:rsid w:val="003F4D44"/>
    <w:rsid w:val="003F4E9D"/>
    <w:rsid w:val="003F4F0B"/>
    <w:rsid w:val="003F4F1F"/>
    <w:rsid w:val="003F508C"/>
    <w:rsid w:val="003F5143"/>
    <w:rsid w:val="003F538E"/>
    <w:rsid w:val="003F5638"/>
    <w:rsid w:val="003F573F"/>
    <w:rsid w:val="003F5810"/>
    <w:rsid w:val="003F586F"/>
    <w:rsid w:val="003F59BF"/>
    <w:rsid w:val="003F5D8D"/>
    <w:rsid w:val="003F6352"/>
    <w:rsid w:val="003F6641"/>
    <w:rsid w:val="003F67A0"/>
    <w:rsid w:val="003F70B7"/>
    <w:rsid w:val="003F7132"/>
    <w:rsid w:val="003F74CB"/>
    <w:rsid w:val="003F74F2"/>
    <w:rsid w:val="003F7603"/>
    <w:rsid w:val="003F7C70"/>
    <w:rsid w:val="00400020"/>
    <w:rsid w:val="004001A8"/>
    <w:rsid w:val="0040066F"/>
    <w:rsid w:val="004008E0"/>
    <w:rsid w:val="00400E13"/>
    <w:rsid w:val="00400F2C"/>
    <w:rsid w:val="0040149C"/>
    <w:rsid w:val="004020F7"/>
    <w:rsid w:val="004021D9"/>
    <w:rsid w:val="004022DF"/>
    <w:rsid w:val="0040243B"/>
    <w:rsid w:val="0040309C"/>
    <w:rsid w:val="00403965"/>
    <w:rsid w:val="00403CDD"/>
    <w:rsid w:val="00403ED0"/>
    <w:rsid w:val="0040403B"/>
    <w:rsid w:val="00404044"/>
    <w:rsid w:val="00404684"/>
    <w:rsid w:val="00404A6F"/>
    <w:rsid w:val="00404C1C"/>
    <w:rsid w:val="00404C3C"/>
    <w:rsid w:val="00404CB0"/>
    <w:rsid w:val="004055CA"/>
    <w:rsid w:val="0040578D"/>
    <w:rsid w:val="00405883"/>
    <w:rsid w:val="004059CD"/>
    <w:rsid w:val="004062CF"/>
    <w:rsid w:val="0040635F"/>
    <w:rsid w:val="00406BF5"/>
    <w:rsid w:val="0040706D"/>
    <w:rsid w:val="0040711A"/>
    <w:rsid w:val="00407B68"/>
    <w:rsid w:val="004100B5"/>
    <w:rsid w:val="00410481"/>
    <w:rsid w:val="004105EE"/>
    <w:rsid w:val="004106E8"/>
    <w:rsid w:val="00410AA5"/>
    <w:rsid w:val="00410D52"/>
    <w:rsid w:val="004117B0"/>
    <w:rsid w:val="004117D7"/>
    <w:rsid w:val="00411981"/>
    <w:rsid w:val="004119B8"/>
    <w:rsid w:val="00412045"/>
    <w:rsid w:val="00412E9C"/>
    <w:rsid w:val="00414291"/>
    <w:rsid w:val="00414340"/>
    <w:rsid w:val="00414702"/>
    <w:rsid w:val="0041473F"/>
    <w:rsid w:val="00414EA5"/>
    <w:rsid w:val="0041560B"/>
    <w:rsid w:val="0041596E"/>
    <w:rsid w:val="00415A38"/>
    <w:rsid w:val="00416242"/>
    <w:rsid w:val="0041662A"/>
    <w:rsid w:val="004167F1"/>
    <w:rsid w:val="00416CC6"/>
    <w:rsid w:val="004171E4"/>
    <w:rsid w:val="004178AB"/>
    <w:rsid w:val="00417BBC"/>
    <w:rsid w:val="00417F27"/>
    <w:rsid w:val="004203C6"/>
    <w:rsid w:val="0042096B"/>
    <w:rsid w:val="00420A38"/>
    <w:rsid w:val="00420FAD"/>
    <w:rsid w:val="004212FB"/>
    <w:rsid w:val="004216F7"/>
    <w:rsid w:val="00421FAB"/>
    <w:rsid w:val="004222B5"/>
    <w:rsid w:val="004225F5"/>
    <w:rsid w:val="004227E4"/>
    <w:rsid w:val="00422CEE"/>
    <w:rsid w:val="004231A4"/>
    <w:rsid w:val="004233AB"/>
    <w:rsid w:val="00423AA9"/>
    <w:rsid w:val="00423FDF"/>
    <w:rsid w:val="004241A6"/>
    <w:rsid w:val="00424382"/>
    <w:rsid w:val="004244B5"/>
    <w:rsid w:val="004248FA"/>
    <w:rsid w:val="0042497A"/>
    <w:rsid w:val="004251B3"/>
    <w:rsid w:val="0042546A"/>
    <w:rsid w:val="00425565"/>
    <w:rsid w:val="004261AC"/>
    <w:rsid w:val="004262A4"/>
    <w:rsid w:val="00426315"/>
    <w:rsid w:val="00426496"/>
    <w:rsid w:val="0042658F"/>
    <w:rsid w:val="004266C4"/>
    <w:rsid w:val="00426919"/>
    <w:rsid w:val="00426C8D"/>
    <w:rsid w:val="00426ED5"/>
    <w:rsid w:val="00426F89"/>
    <w:rsid w:val="00427187"/>
    <w:rsid w:val="004274F0"/>
    <w:rsid w:val="004275DB"/>
    <w:rsid w:val="004277E2"/>
    <w:rsid w:val="00427897"/>
    <w:rsid w:val="00427C15"/>
    <w:rsid w:val="00430250"/>
    <w:rsid w:val="00430267"/>
    <w:rsid w:val="0043036F"/>
    <w:rsid w:val="00430665"/>
    <w:rsid w:val="004307D8"/>
    <w:rsid w:val="004307F3"/>
    <w:rsid w:val="00430D0F"/>
    <w:rsid w:val="00430DBA"/>
    <w:rsid w:val="00430DC4"/>
    <w:rsid w:val="00431E31"/>
    <w:rsid w:val="004321D9"/>
    <w:rsid w:val="00432317"/>
    <w:rsid w:val="004337E2"/>
    <w:rsid w:val="00433B54"/>
    <w:rsid w:val="00434C40"/>
    <w:rsid w:val="00434F41"/>
    <w:rsid w:val="0043505A"/>
    <w:rsid w:val="0043515D"/>
    <w:rsid w:val="0043533A"/>
    <w:rsid w:val="00435C00"/>
    <w:rsid w:val="00435ECA"/>
    <w:rsid w:val="00436744"/>
    <w:rsid w:val="00437217"/>
    <w:rsid w:val="004373F1"/>
    <w:rsid w:val="004379CF"/>
    <w:rsid w:val="00437A40"/>
    <w:rsid w:val="00437E7B"/>
    <w:rsid w:val="00440A9E"/>
    <w:rsid w:val="00440F55"/>
    <w:rsid w:val="0044103D"/>
    <w:rsid w:val="004410D1"/>
    <w:rsid w:val="004412E4"/>
    <w:rsid w:val="004415C4"/>
    <w:rsid w:val="00441A68"/>
    <w:rsid w:val="00441D70"/>
    <w:rsid w:val="00441E2C"/>
    <w:rsid w:val="00442004"/>
    <w:rsid w:val="00442882"/>
    <w:rsid w:val="00442CB0"/>
    <w:rsid w:val="00442DAB"/>
    <w:rsid w:val="0044370B"/>
    <w:rsid w:val="00443882"/>
    <w:rsid w:val="004438F4"/>
    <w:rsid w:val="00443B1E"/>
    <w:rsid w:val="00443B7E"/>
    <w:rsid w:val="00443F7D"/>
    <w:rsid w:val="00444230"/>
    <w:rsid w:val="004442E9"/>
    <w:rsid w:val="00444A1B"/>
    <w:rsid w:val="00444DEA"/>
    <w:rsid w:val="00445BDD"/>
    <w:rsid w:val="0044640D"/>
    <w:rsid w:val="00446AF5"/>
    <w:rsid w:val="00446BC7"/>
    <w:rsid w:val="004470AB"/>
    <w:rsid w:val="004474FB"/>
    <w:rsid w:val="0044791F"/>
    <w:rsid w:val="00447955"/>
    <w:rsid w:val="00447AC8"/>
    <w:rsid w:val="00447BE7"/>
    <w:rsid w:val="00447CEE"/>
    <w:rsid w:val="00447DB7"/>
    <w:rsid w:val="00447F26"/>
    <w:rsid w:val="00450904"/>
    <w:rsid w:val="00450959"/>
    <w:rsid w:val="00450DAC"/>
    <w:rsid w:val="004514D6"/>
    <w:rsid w:val="00451BCC"/>
    <w:rsid w:val="0045202C"/>
    <w:rsid w:val="00452192"/>
    <w:rsid w:val="00452581"/>
    <w:rsid w:val="004525F7"/>
    <w:rsid w:val="004529CA"/>
    <w:rsid w:val="00452ACD"/>
    <w:rsid w:val="00452FCF"/>
    <w:rsid w:val="00453620"/>
    <w:rsid w:val="004537BB"/>
    <w:rsid w:val="00453DBF"/>
    <w:rsid w:val="00453DF2"/>
    <w:rsid w:val="00453F9D"/>
    <w:rsid w:val="00454264"/>
    <w:rsid w:val="00454854"/>
    <w:rsid w:val="00454C4A"/>
    <w:rsid w:val="00454D44"/>
    <w:rsid w:val="00454F93"/>
    <w:rsid w:val="0045515F"/>
    <w:rsid w:val="004553D4"/>
    <w:rsid w:val="004554E6"/>
    <w:rsid w:val="004556DC"/>
    <w:rsid w:val="00455806"/>
    <w:rsid w:val="00455C14"/>
    <w:rsid w:val="00456009"/>
    <w:rsid w:val="0045606B"/>
    <w:rsid w:val="00456247"/>
    <w:rsid w:val="0045676B"/>
    <w:rsid w:val="00456902"/>
    <w:rsid w:val="0045691F"/>
    <w:rsid w:val="00456970"/>
    <w:rsid w:val="00456A6A"/>
    <w:rsid w:val="00456D8E"/>
    <w:rsid w:val="00456DCB"/>
    <w:rsid w:val="00456DCE"/>
    <w:rsid w:val="00457726"/>
    <w:rsid w:val="00460C81"/>
    <w:rsid w:val="00461080"/>
    <w:rsid w:val="004610E4"/>
    <w:rsid w:val="0046155D"/>
    <w:rsid w:val="00461733"/>
    <w:rsid w:val="00461B69"/>
    <w:rsid w:val="00461C3D"/>
    <w:rsid w:val="004620E3"/>
    <w:rsid w:val="00462497"/>
    <w:rsid w:val="0046251E"/>
    <w:rsid w:val="0046288F"/>
    <w:rsid w:val="00463627"/>
    <w:rsid w:val="0046430D"/>
    <w:rsid w:val="00464403"/>
    <w:rsid w:val="00464A34"/>
    <w:rsid w:val="00464D40"/>
    <w:rsid w:val="0046537B"/>
    <w:rsid w:val="004659F9"/>
    <w:rsid w:val="00465BFA"/>
    <w:rsid w:val="00466112"/>
    <w:rsid w:val="00466780"/>
    <w:rsid w:val="0046689F"/>
    <w:rsid w:val="00467168"/>
    <w:rsid w:val="004672C5"/>
    <w:rsid w:val="004674BD"/>
    <w:rsid w:val="00467BF7"/>
    <w:rsid w:val="00467EDB"/>
    <w:rsid w:val="0047048E"/>
    <w:rsid w:val="00470FFD"/>
    <w:rsid w:val="0047162A"/>
    <w:rsid w:val="004719BB"/>
    <w:rsid w:val="00471C5A"/>
    <w:rsid w:val="00471CF0"/>
    <w:rsid w:val="0047219F"/>
    <w:rsid w:val="004724C2"/>
    <w:rsid w:val="00472540"/>
    <w:rsid w:val="00472669"/>
    <w:rsid w:val="0047282E"/>
    <w:rsid w:val="00472A95"/>
    <w:rsid w:val="00472E65"/>
    <w:rsid w:val="00472E89"/>
    <w:rsid w:val="004731AF"/>
    <w:rsid w:val="004734F6"/>
    <w:rsid w:val="00473AF7"/>
    <w:rsid w:val="00473CC9"/>
    <w:rsid w:val="00474471"/>
    <w:rsid w:val="00474953"/>
    <w:rsid w:val="00474C54"/>
    <w:rsid w:val="00474ED1"/>
    <w:rsid w:val="00475428"/>
    <w:rsid w:val="00475B99"/>
    <w:rsid w:val="00475E02"/>
    <w:rsid w:val="00475E8E"/>
    <w:rsid w:val="00475F00"/>
    <w:rsid w:val="00475F0F"/>
    <w:rsid w:val="00476558"/>
    <w:rsid w:val="0047691D"/>
    <w:rsid w:val="0047698E"/>
    <w:rsid w:val="0047760E"/>
    <w:rsid w:val="004777C4"/>
    <w:rsid w:val="00477C09"/>
    <w:rsid w:val="00480404"/>
    <w:rsid w:val="00480609"/>
    <w:rsid w:val="0048060B"/>
    <w:rsid w:val="00480655"/>
    <w:rsid w:val="00480696"/>
    <w:rsid w:val="00480B1E"/>
    <w:rsid w:val="00481409"/>
    <w:rsid w:val="004818C3"/>
    <w:rsid w:val="00481B51"/>
    <w:rsid w:val="00481F8E"/>
    <w:rsid w:val="004824E8"/>
    <w:rsid w:val="00482BD4"/>
    <w:rsid w:val="00482D77"/>
    <w:rsid w:val="0048365F"/>
    <w:rsid w:val="0048400F"/>
    <w:rsid w:val="00484336"/>
    <w:rsid w:val="00484771"/>
    <w:rsid w:val="0048493D"/>
    <w:rsid w:val="004849D8"/>
    <w:rsid w:val="00484B95"/>
    <w:rsid w:val="00484F5C"/>
    <w:rsid w:val="00485AA2"/>
    <w:rsid w:val="00485FCA"/>
    <w:rsid w:val="004862DE"/>
    <w:rsid w:val="0048679C"/>
    <w:rsid w:val="00486859"/>
    <w:rsid w:val="0048733C"/>
    <w:rsid w:val="004873E7"/>
    <w:rsid w:val="004874EA"/>
    <w:rsid w:val="004878F4"/>
    <w:rsid w:val="00487BEB"/>
    <w:rsid w:val="00487ECA"/>
    <w:rsid w:val="004900E4"/>
    <w:rsid w:val="004905F8"/>
    <w:rsid w:val="00491282"/>
    <w:rsid w:val="00491437"/>
    <w:rsid w:val="00491627"/>
    <w:rsid w:val="004919AA"/>
    <w:rsid w:val="00491C30"/>
    <w:rsid w:val="00491CB5"/>
    <w:rsid w:val="00491FCE"/>
    <w:rsid w:val="004920D0"/>
    <w:rsid w:val="004929B5"/>
    <w:rsid w:val="00492C0A"/>
    <w:rsid w:val="00492C25"/>
    <w:rsid w:val="00492E07"/>
    <w:rsid w:val="00493140"/>
    <w:rsid w:val="004932FD"/>
    <w:rsid w:val="004934E9"/>
    <w:rsid w:val="004934F6"/>
    <w:rsid w:val="00493C89"/>
    <w:rsid w:val="004943DE"/>
    <w:rsid w:val="00494B09"/>
    <w:rsid w:val="00494E9B"/>
    <w:rsid w:val="00495587"/>
    <w:rsid w:val="00495760"/>
    <w:rsid w:val="00495C0E"/>
    <w:rsid w:val="0049650A"/>
    <w:rsid w:val="00496910"/>
    <w:rsid w:val="0049698C"/>
    <w:rsid w:val="004970B7"/>
    <w:rsid w:val="0049717A"/>
    <w:rsid w:val="00497640"/>
    <w:rsid w:val="004A00E1"/>
    <w:rsid w:val="004A00E7"/>
    <w:rsid w:val="004A05FD"/>
    <w:rsid w:val="004A12DF"/>
    <w:rsid w:val="004A165C"/>
    <w:rsid w:val="004A19F3"/>
    <w:rsid w:val="004A1D01"/>
    <w:rsid w:val="004A1F9C"/>
    <w:rsid w:val="004A2081"/>
    <w:rsid w:val="004A2879"/>
    <w:rsid w:val="004A28CA"/>
    <w:rsid w:val="004A2FAC"/>
    <w:rsid w:val="004A304C"/>
    <w:rsid w:val="004A35B7"/>
    <w:rsid w:val="004A4281"/>
    <w:rsid w:val="004A44AA"/>
    <w:rsid w:val="004A499E"/>
    <w:rsid w:val="004A4BAD"/>
    <w:rsid w:val="004A4BD1"/>
    <w:rsid w:val="004A4E1E"/>
    <w:rsid w:val="004A5025"/>
    <w:rsid w:val="004A5330"/>
    <w:rsid w:val="004A5ACE"/>
    <w:rsid w:val="004A63C7"/>
    <w:rsid w:val="004A6831"/>
    <w:rsid w:val="004A6934"/>
    <w:rsid w:val="004A695B"/>
    <w:rsid w:val="004A6EF7"/>
    <w:rsid w:val="004A6F8D"/>
    <w:rsid w:val="004A7FE3"/>
    <w:rsid w:val="004B0159"/>
    <w:rsid w:val="004B0A22"/>
    <w:rsid w:val="004B0C34"/>
    <w:rsid w:val="004B12AF"/>
    <w:rsid w:val="004B1329"/>
    <w:rsid w:val="004B1467"/>
    <w:rsid w:val="004B1822"/>
    <w:rsid w:val="004B1A60"/>
    <w:rsid w:val="004B2111"/>
    <w:rsid w:val="004B266A"/>
    <w:rsid w:val="004B2843"/>
    <w:rsid w:val="004B290A"/>
    <w:rsid w:val="004B296E"/>
    <w:rsid w:val="004B35F0"/>
    <w:rsid w:val="004B36BC"/>
    <w:rsid w:val="004B3729"/>
    <w:rsid w:val="004B4110"/>
    <w:rsid w:val="004B43F1"/>
    <w:rsid w:val="004B4720"/>
    <w:rsid w:val="004B496F"/>
    <w:rsid w:val="004B4A44"/>
    <w:rsid w:val="004B53AB"/>
    <w:rsid w:val="004B62AD"/>
    <w:rsid w:val="004B64C0"/>
    <w:rsid w:val="004B6924"/>
    <w:rsid w:val="004B6999"/>
    <w:rsid w:val="004B6D8D"/>
    <w:rsid w:val="004B6E28"/>
    <w:rsid w:val="004B7734"/>
    <w:rsid w:val="004B7B4F"/>
    <w:rsid w:val="004C0129"/>
    <w:rsid w:val="004C0433"/>
    <w:rsid w:val="004C04C6"/>
    <w:rsid w:val="004C07C2"/>
    <w:rsid w:val="004C0BD0"/>
    <w:rsid w:val="004C0F3B"/>
    <w:rsid w:val="004C1025"/>
    <w:rsid w:val="004C10B7"/>
    <w:rsid w:val="004C13DD"/>
    <w:rsid w:val="004C180E"/>
    <w:rsid w:val="004C1F09"/>
    <w:rsid w:val="004C28CC"/>
    <w:rsid w:val="004C298C"/>
    <w:rsid w:val="004C2B5E"/>
    <w:rsid w:val="004C2E64"/>
    <w:rsid w:val="004C31E5"/>
    <w:rsid w:val="004C34F9"/>
    <w:rsid w:val="004C3A23"/>
    <w:rsid w:val="004C3B7E"/>
    <w:rsid w:val="004C3D27"/>
    <w:rsid w:val="004C423D"/>
    <w:rsid w:val="004C4314"/>
    <w:rsid w:val="004C43C2"/>
    <w:rsid w:val="004C4D3F"/>
    <w:rsid w:val="004C50EB"/>
    <w:rsid w:val="004C587D"/>
    <w:rsid w:val="004C5B5D"/>
    <w:rsid w:val="004C6A66"/>
    <w:rsid w:val="004C6B9D"/>
    <w:rsid w:val="004C7561"/>
    <w:rsid w:val="004C79F9"/>
    <w:rsid w:val="004C7A60"/>
    <w:rsid w:val="004C7E55"/>
    <w:rsid w:val="004C7E62"/>
    <w:rsid w:val="004D0C50"/>
    <w:rsid w:val="004D1144"/>
    <w:rsid w:val="004D14DD"/>
    <w:rsid w:val="004D192E"/>
    <w:rsid w:val="004D1AA5"/>
    <w:rsid w:val="004D2542"/>
    <w:rsid w:val="004D273B"/>
    <w:rsid w:val="004D303B"/>
    <w:rsid w:val="004D3295"/>
    <w:rsid w:val="004D33DC"/>
    <w:rsid w:val="004D3800"/>
    <w:rsid w:val="004D3CBE"/>
    <w:rsid w:val="004D4408"/>
    <w:rsid w:val="004D4959"/>
    <w:rsid w:val="004D49A7"/>
    <w:rsid w:val="004D4B61"/>
    <w:rsid w:val="004D4CDC"/>
    <w:rsid w:val="004D54BC"/>
    <w:rsid w:val="004D5AC4"/>
    <w:rsid w:val="004D5C1A"/>
    <w:rsid w:val="004D5E5D"/>
    <w:rsid w:val="004D658D"/>
    <w:rsid w:val="004D6C18"/>
    <w:rsid w:val="004D6D6D"/>
    <w:rsid w:val="004D6FDF"/>
    <w:rsid w:val="004D722C"/>
    <w:rsid w:val="004D755B"/>
    <w:rsid w:val="004D7D6F"/>
    <w:rsid w:val="004D7EA8"/>
    <w:rsid w:val="004E053A"/>
    <w:rsid w:val="004E0567"/>
    <w:rsid w:val="004E0B32"/>
    <w:rsid w:val="004E0DAF"/>
    <w:rsid w:val="004E14EB"/>
    <w:rsid w:val="004E16B1"/>
    <w:rsid w:val="004E2063"/>
    <w:rsid w:val="004E20C8"/>
    <w:rsid w:val="004E2240"/>
    <w:rsid w:val="004E228F"/>
    <w:rsid w:val="004E24F3"/>
    <w:rsid w:val="004E2548"/>
    <w:rsid w:val="004E2706"/>
    <w:rsid w:val="004E282D"/>
    <w:rsid w:val="004E2B7B"/>
    <w:rsid w:val="004E2DE5"/>
    <w:rsid w:val="004E2EF5"/>
    <w:rsid w:val="004E341B"/>
    <w:rsid w:val="004E34B3"/>
    <w:rsid w:val="004E37BC"/>
    <w:rsid w:val="004E3B17"/>
    <w:rsid w:val="004E4569"/>
    <w:rsid w:val="004E46BB"/>
    <w:rsid w:val="004E4872"/>
    <w:rsid w:val="004E4F30"/>
    <w:rsid w:val="004E53F9"/>
    <w:rsid w:val="004E5445"/>
    <w:rsid w:val="004E5507"/>
    <w:rsid w:val="004E580A"/>
    <w:rsid w:val="004E587F"/>
    <w:rsid w:val="004E5D12"/>
    <w:rsid w:val="004E67EB"/>
    <w:rsid w:val="004E6ACE"/>
    <w:rsid w:val="004E6B3F"/>
    <w:rsid w:val="004E6B6F"/>
    <w:rsid w:val="004E6C29"/>
    <w:rsid w:val="004F011D"/>
    <w:rsid w:val="004F04E0"/>
    <w:rsid w:val="004F081F"/>
    <w:rsid w:val="004F0985"/>
    <w:rsid w:val="004F0F2E"/>
    <w:rsid w:val="004F14BA"/>
    <w:rsid w:val="004F14F4"/>
    <w:rsid w:val="004F18C0"/>
    <w:rsid w:val="004F1A6C"/>
    <w:rsid w:val="004F2110"/>
    <w:rsid w:val="004F23A7"/>
    <w:rsid w:val="004F246E"/>
    <w:rsid w:val="004F27BA"/>
    <w:rsid w:val="004F2904"/>
    <w:rsid w:val="004F2A7A"/>
    <w:rsid w:val="004F2D84"/>
    <w:rsid w:val="004F2DB6"/>
    <w:rsid w:val="004F3213"/>
    <w:rsid w:val="004F329A"/>
    <w:rsid w:val="004F331B"/>
    <w:rsid w:val="004F362D"/>
    <w:rsid w:val="004F37B4"/>
    <w:rsid w:val="004F3F9D"/>
    <w:rsid w:val="004F4008"/>
    <w:rsid w:val="004F48DD"/>
    <w:rsid w:val="004F4CDF"/>
    <w:rsid w:val="004F4E2A"/>
    <w:rsid w:val="004F4FCA"/>
    <w:rsid w:val="004F5271"/>
    <w:rsid w:val="004F56C2"/>
    <w:rsid w:val="004F5E0C"/>
    <w:rsid w:val="004F66CD"/>
    <w:rsid w:val="004F679C"/>
    <w:rsid w:val="004F67AA"/>
    <w:rsid w:val="004F6C52"/>
    <w:rsid w:val="004F6F49"/>
    <w:rsid w:val="004F7042"/>
    <w:rsid w:val="004F7286"/>
    <w:rsid w:val="004F761F"/>
    <w:rsid w:val="004F77B6"/>
    <w:rsid w:val="00500766"/>
    <w:rsid w:val="0050077D"/>
    <w:rsid w:val="005011DA"/>
    <w:rsid w:val="0050125A"/>
    <w:rsid w:val="005014ED"/>
    <w:rsid w:val="0050195B"/>
    <w:rsid w:val="00501B23"/>
    <w:rsid w:val="00501F98"/>
    <w:rsid w:val="00502BC8"/>
    <w:rsid w:val="00502E9F"/>
    <w:rsid w:val="00502FFF"/>
    <w:rsid w:val="00503B61"/>
    <w:rsid w:val="00503BFB"/>
    <w:rsid w:val="00505092"/>
    <w:rsid w:val="00505500"/>
    <w:rsid w:val="00506320"/>
    <w:rsid w:val="005065A4"/>
    <w:rsid w:val="00506FD9"/>
    <w:rsid w:val="00507DDF"/>
    <w:rsid w:val="00510138"/>
    <w:rsid w:val="005101A7"/>
    <w:rsid w:val="00510266"/>
    <w:rsid w:val="00510F69"/>
    <w:rsid w:val="00510FA9"/>
    <w:rsid w:val="0051265A"/>
    <w:rsid w:val="00512C00"/>
    <w:rsid w:val="00513156"/>
    <w:rsid w:val="00513475"/>
    <w:rsid w:val="005138EF"/>
    <w:rsid w:val="005140D3"/>
    <w:rsid w:val="005141E1"/>
    <w:rsid w:val="00514440"/>
    <w:rsid w:val="005144E6"/>
    <w:rsid w:val="00514614"/>
    <w:rsid w:val="00514BC1"/>
    <w:rsid w:val="005152E9"/>
    <w:rsid w:val="0051591C"/>
    <w:rsid w:val="005159BB"/>
    <w:rsid w:val="00515C3A"/>
    <w:rsid w:val="0051651B"/>
    <w:rsid w:val="00516CB3"/>
    <w:rsid w:val="00517019"/>
    <w:rsid w:val="0051763B"/>
    <w:rsid w:val="00517F9E"/>
    <w:rsid w:val="00517FC9"/>
    <w:rsid w:val="00520626"/>
    <w:rsid w:val="005209A4"/>
    <w:rsid w:val="00520A65"/>
    <w:rsid w:val="00520F5A"/>
    <w:rsid w:val="005212B2"/>
    <w:rsid w:val="00521480"/>
    <w:rsid w:val="005214EE"/>
    <w:rsid w:val="0052185F"/>
    <w:rsid w:val="00521F34"/>
    <w:rsid w:val="0052200C"/>
    <w:rsid w:val="0052205A"/>
    <w:rsid w:val="005225DF"/>
    <w:rsid w:val="0052281D"/>
    <w:rsid w:val="005232B3"/>
    <w:rsid w:val="00523F90"/>
    <w:rsid w:val="00524241"/>
    <w:rsid w:val="005248DA"/>
    <w:rsid w:val="00524AB4"/>
    <w:rsid w:val="00524BC7"/>
    <w:rsid w:val="00524C70"/>
    <w:rsid w:val="00524DFA"/>
    <w:rsid w:val="0052531F"/>
    <w:rsid w:val="005255E6"/>
    <w:rsid w:val="00525751"/>
    <w:rsid w:val="005257CA"/>
    <w:rsid w:val="005258E9"/>
    <w:rsid w:val="0052598F"/>
    <w:rsid w:val="00525E12"/>
    <w:rsid w:val="005266F3"/>
    <w:rsid w:val="005268AC"/>
    <w:rsid w:val="00526B6B"/>
    <w:rsid w:val="00526D16"/>
    <w:rsid w:val="005271C4"/>
    <w:rsid w:val="0052723A"/>
    <w:rsid w:val="00527269"/>
    <w:rsid w:val="00527A8F"/>
    <w:rsid w:val="005302D6"/>
    <w:rsid w:val="00530F5D"/>
    <w:rsid w:val="005310AF"/>
    <w:rsid w:val="0053123F"/>
    <w:rsid w:val="00531267"/>
    <w:rsid w:val="005314A8"/>
    <w:rsid w:val="00531773"/>
    <w:rsid w:val="00531958"/>
    <w:rsid w:val="00531E91"/>
    <w:rsid w:val="00531E9C"/>
    <w:rsid w:val="00532355"/>
    <w:rsid w:val="0053246A"/>
    <w:rsid w:val="005326F2"/>
    <w:rsid w:val="00532716"/>
    <w:rsid w:val="00532AC1"/>
    <w:rsid w:val="00532B7B"/>
    <w:rsid w:val="00532DAC"/>
    <w:rsid w:val="00532FCF"/>
    <w:rsid w:val="0053333C"/>
    <w:rsid w:val="005336EA"/>
    <w:rsid w:val="00533759"/>
    <w:rsid w:val="005337AC"/>
    <w:rsid w:val="005337D3"/>
    <w:rsid w:val="00533CCC"/>
    <w:rsid w:val="00533D22"/>
    <w:rsid w:val="0053447C"/>
    <w:rsid w:val="00534E8B"/>
    <w:rsid w:val="00534F24"/>
    <w:rsid w:val="00535419"/>
    <w:rsid w:val="0053561D"/>
    <w:rsid w:val="005356E2"/>
    <w:rsid w:val="00535962"/>
    <w:rsid w:val="005359B8"/>
    <w:rsid w:val="00535B2F"/>
    <w:rsid w:val="00535E85"/>
    <w:rsid w:val="00535F9E"/>
    <w:rsid w:val="005360F1"/>
    <w:rsid w:val="00536332"/>
    <w:rsid w:val="0053663D"/>
    <w:rsid w:val="005367C2"/>
    <w:rsid w:val="00536A1F"/>
    <w:rsid w:val="00537082"/>
    <w:rsid w:val="0053728C"/>
    <w:rsid w:val="00537350"/>
    <w:rsid w:val="0053776E"/>
    <w:rsid w:val="0053778B"/>
    <w:rsid w:val="0053790B"/>
    <w:rsid w:val="005401BB"/>
    <w:rsid w:val="00540645"/>
    <w:rsid w:val="00540DC4"/>
    <w:rsid w:val="00540FEA"/>
    <w:rsid w:val="00542CE4"/>
    <w:rsid w:val="005439F0"/>
    <w:rsid w:val="00544381"/>
    <w:rsid w:val="00544C73"/>
    <w:rsid w:val="005452D7"/>
    <w:rsid w:val="005453C7"/>
    <w:rsid w:val="00545535"/>
    <w:rsid w:val="00545576"/>
    <w:rsid w:val="0054596E"/>
    <w:rsid w:val="00545B0C"/>
    <w:rsid w:val="00545DA0"/>
    <w:rsid w:val="005466DE"/>
    <w:rsid w:val="00546E8C"/>
    <w:rsid w:val="0054784E"/>
    <w:rsid w:val="005504D2"/>
    <w:rsid w:val="00550624"/>
    <w:rsid w:val="005507F5"/>
    <w:rsid w:val="00550C8A"/>
    <w:rsid w:val="00551354"/>
    <w:rsid w:val="005513AE"/>
    <w:rsid w:val="005514C4"/>
    <w:rsid w:val="005515B3"/>
    <w:rsid w:val="00551897"/>
    <w:rsid w:val="005521F4"/>
    <w:rsid w:val="00552308"/>
    <w:rsid w:val="0055248F"/>
    <w:rsid w:val="00552A3C"/>
    <w:rsid w:val="0055338F"/>
    <w:rsid w:val="00553633"/>
    <w:rsid w:val="005539A3"/>
    <w:rsid w:val="00553C9E"/>
    <w:rsid w:val="00553D89"/>
    <w:rsid w:val="00554022"/>
    <w:rsid w:val="00554037"/>
    <w:rsid w:val="0055474A"/>
    <w:rsid w:val="0055486C"/>
    <w:rsid w:val="00554E14"/>
    <w:rsid w:val="00555164"/>
    <w:rsid w:val="00555194"/>
    <w:rsid w:val="00555359"/>
    <w:rsid w:val="0055567C"/>
    <w:rsid w:val="00555970"/>
    <w:rsid w:val="00555C92"/>
    <w:rsid w:val="00555D6C"/>
    <w:rsid w:val="005563DF"/>
    <w:rsid w:val="005576B3"/>
    <w:rsid w:val="0055793E"/>
    <w:rsid w:val="00557AD3"/>
    <w:rsid w:val="00560055"/>
    <w:rsid w:val="00561481"/>
    <w:rsid w:val="00561521"/>
    <w:rsid w:val="00561CA2"/>
    <w:rsid w:val="00561E18"/>
    <w:rsid w:val="00561EA1"/>
    <w:rsid w:val="00562484"/>
    <w:rsid w:val="00562855"/>
    <w:rsid w:val="00562AC4"/>
    <w:rsid w:val="00562CE2"/>
    <w:rsid w:val="005630F2"/>
    <w:rsid w:val="00563911"/>
    <w:rsid w:val="0056426E"/>
    <w:rsid w:val="00564300"/>
    <w:rsid w:val="00564990"/>
    <w:rsid w:val="00564C4D"/>
    <w:rsid w:val="00564D04"/>
    <w:rsid w:val="00564E3E"/>
    <w:rsid w:val="00564F5E"/>
    <w:rsid w:val="005651B2"/>
    <w:rsid w:val="0056537E"/>
    <w:rsid w:val="0056575E"/>
    <w:rsid w:val="00565A66"/>
    <w:rsid w:val="00565CAB"/>
    <w:rsid w:val="005662CD"/>
    <w:rsid w:val="0056673C"/>
    <w:rsid w:val="00566939"/>
    <w:rsid w:val="00566C44"/>
    <w:rsid w:val="00566E50"/>
    <w:rsid w:val="00567048"/>
    <w:rsid w:val="00567193"/>
    <w:rsid w:val="0056780D"/>
    <w:rsid w:val="005678ED"/>
    <w:rsid w:val="00570367"/>
    <w:rsid w:val="00570502"/>
    <w:rsid w:val="00570948"/>
    <w:rsid w:val="0057155D"/>
    <w:rsid w:val="005725AA"/>
    <w:rsid w:val="00572638"/>
    <w:rsid w:val="00572F2A"/>
    <w:rsid w:val="0057320C"/>
    <w:rsid w:val="005738FF"/>
    <w:rsid w:val="005739F3"/>
    <w:rsid w:val="00573A53"/>
    <w:rsid w:val="0057417F"/>
    <w:rsid w:val="005743CD"/>
    <w:rsid w:val="00574416"/>
    <w:rsid w:val="00574A06"/>
    <w:rsid w:val="00574B96"/>
    <w:rsid w:val="0057523B"/>
    <w:rsid w:val="00575916"/>
    <w:rsid w:val="00575D7E"/>
    <w:rsid w:val="005766C8"/>
    <w:rsid w:val="005768E8"/>
    <w:rsid w:val="005769F0"/>
    <w:rsid w:val="00576B99"/>
    <w:rsid w:val="00577B30"/>
    <w:rsid w:val="00577C2B"/>
    <w:rsid w:val="005805AA"/>
    <w:rsid w:val="00581975"/>
    <w:rsid w:val="00581A27"/>
    <w:rsid w:val="005823E7"/>
    <w:rsid w:val="00582555"/>
    <w:rsid w:val="00582868"/>
    <w:rsid w:val="005839A6"/>
    <w:rsid w:val="00583F9F"/>
    <w:rsid w:val="00584007"/>
    <w:rsid w:val="005847FA"/>
    <w:rsid w:val="00584D92"/>
    <w:rsid w:val="00585705"/>
    <w:rsid w:val="0058586F"/>
    <w:rsid w:val="00585D4F"/>
    <w:rsid w:val="00586DDE"/>
    <w:rsid w:val="00586FA9"/>
    <w:rsid w:val="0058709A"/>
    <w:rsid w:val="00587595"/>
    <w:rsid w:val="005904BC"/>
    <w:rsid w:val="005904C1"/>
    <w:rsid w:val="00590731"/>
    <w:rsid w:val="00590A24"/>
    <w:rsid w:val="00590C9F"/>
    <w:rsid w:val="005912A7"/>
    <w:rsid w:val="00591340"/>
    <w:rsid w:val="0059158F"/>
    <w:rsid w:val="00591768"/>
    <w:rsid w:val="00591819"/>
    <w:rsid w:val="005918EC"/>
    <w:rsid w:val="00591B8E"/>
    <w:rsid w:val="00592756"/>
    <w:rsid w:val="0059325E"/>
    <w:rsid w:val="00593393"/>
    <w:rsid w:val="00593784"/>
    <w:rsid w:val="0059476F"/>
    <w:rsid w:val="005947D9"/>
    <w:rsid w:val="0059494C"/>
    <w:rsid w:val="00594A4F"/>
    <w:rsid w:val="00594CA4"/>
    <w:rsid w:val="00594F14"/>
    <w:rsid w:val="00595357"/>
    <w:rsid w:val="005954FC"/>
    <w:rsid w:val="005956EF"/>
    <w:rsid w:val="00595872"/>
    <w:rsid w:val="00595AA4"/>
    <w:rsid w:val="00595C6F"/>
    <w:rsid w:val="005960A5"/>
    <w:rsid w:val="005960F3"/>
    <w:rsid w:val="00596261"/>
    <w:rsid w:val="00596766"/>
    <w:rsid w:val="00596AF6"/>
    <w:rsid w:val="00596FDE"/>
    <w:rsid w:val="00597120"/>
    <w:rsid w:val="0059776E"/>
    <w:rsid w:val="00597AC2"/>
    <w:rsid w:val="00597C1A"/>
    <w:rsid w:val="005A012C"/>
    <w:rsid w:val="005A01AA"/>
    <w:rsid w:val="005A05DA"/>
    <w:rsid w:val="005A08C8"/>
    <w:rsid w:val="005A1C9F"/>
    <w:rsid w:val="005A2126"/>
    <w:rsid w:val="005A222D"/>
    <w:rsid w:val="005A2789"/>
    <w:rsid w:val="005A2A32"/>
    <w:rsid w:val="005A2E9F"/>
    <w:rsid w:val="005A3260"/>
    <w:rsid w:val="005A3373"/>
    <w:rsid w:val="005A36C5"/>
    <w:rsid w:val="005A3BD1"/>
    <w:rsid w:val="005A3FA2"/>
    <w:rsid w:val="005A4186"/>
    <w:rsid w:val="005A473C"/>
    <w:rsid w:val="005A4AA0"/>
    <w:rsid w:val="005A5052"/>
    <w:rsid w:val="005A54A4"/>
    <w:rsid w:val="005A578D"/>
    <w:rsid w:val="005A5857"/>
    <w:rsid w:val="005A5E5A"/>
    <w:rsid w:val="005A676B"/>
    <w:rsid w:val="005A68C9"/>
    <w:rsid w:val="005A6E33"/>
    <w:rsid w:val="005A6FA2"/>
    <w:rsid w:val="005A7E2B"/>
    <w:rsid w:val="005B0D35"/>
    <w:rsid w:val="005B115B"/>
    <w:rsid w:val="005B1208"/>
    <w:rsid w:val="005B16F3"/>
    <w:rsid w:val="005B171A"/>
    <w:rsid w:val="005B1C6B"/>
    <w:rsid w:val="005B1C76"/>
    <w:rsid w:val="005B2472"/>
    <w:rsid w:val="005B2A94"/>
    <w:rsid w:val="005B2B02"/>
    <w:rsid w:val="005B2D4E"/>
    <w:rsid w:val="005B344D"/>
    <w:rsid w:val="005B385B"/>
    <w:rsid w:val="005B4261"/>
    <w:rsid w:val="005B4F74"/>
    <w:rsid w:val="005B4FA2"/>
    <w:rsid w:val="005B55BD"/>
    <w:rsid w:val="005B5897"/>
    <w:rsid w:val="005B5C63"/>
    <w:rsid w:val="005B6600"/>
    <w:rsid w:val="005B7182"/>
    <w:rsid w:val="005B7457"/>
    <w:rsid w:val="005B747D"/>
    <w:rsid w:val="005B7864"/>
    <w:rsid w:val="005B78A6"/>
    <w:rsid w:val="005B7A4A"/>
    <w:rsid w:val="005B7B35"/>
    <w:rsid w:val="005B7C13"/>
    <w:rsid w:val="005C03AE"/>
    <w:rsid w:val="005C0758"/>
    <w:rsid w:val="005C0973"/>
    <w:rsid w:val="005C09CB"/>
    <w:rsid w:val="005C0B24"/>
    <w:rsid w:val="005C11E4"/>
    <w:rsid w:val="005C1368"/>
    <w:rsid w:val="005C178E"/>
    <w:rsid w:val="005C19A6"/>
    <w:rsid w:val="005C1A7E"/>
    <w:rsid w:val="005C1AC2"/>
    <w:rsid w:val="005C1C6D"/>
    <w:rsid w:val="005C1DA2"/>
    <w:rsid w:val="005C2088"/>
    <w:rsid w:val="005C2BF5"/>
    <w:rsid w:val="005C2F73"/>
    <w:rsid w:val="005C3167"/>
    <w:rsid w:val="005C35F6"/>
    <w:rsid w:val="005C3EF1"/>
    <w:rsid w:val="005C45A2"/>
    <w:rsid w:val="005C4690"/>
    <w:rsid w:val="005C4B0B"/>
    <w:rsid w:val="005C4B9B"/>
    <w:rsid w:val="005C50EF"/>
    <w:rsid w:val="005C5E73"/>
    <w:rsid w:val="005C6814"/>
    <w:rsid w:val="005C6BCC"/>
    <w:rsid w:val="005C6D39"/>
    <w:rsid w:val="005C7687"/>
    <w:rsid w:val="005C7922"/>
    <w:rsid w:val="005C79C0"/>
    <w:rsid w:val="005D0008"/>
    <w:rsid w:val="005D0060"/>
    <w:rsid w:val="005D02A1"/>
    <w:rsid w:val="005D0781"/>
    <w:rsid w:val="005D08A4"/>
    <w:rsid w:val="005D1265"/>
    <w:rsid w:val="005D1399"/>
    <w:rsid w:val="005D170B"/>
    <w:rsid w:val="005D178B"/>
    <w:rsid w:val="005D1982"/>
    <w:rsid w:val="005D1D8E"/>
    <w:rsid w:val="005D2598"/>
    <w:rsid w:val="005D2D6D"/>
    <w:rsid w:val="005D2EB0"/>
    <w:rsid w:val="005D302E"/>
    <w:rsid w:val="005D320F"/>
    <w:rsid w:val="005D33DC"/>
    <w:rsid w:val="005D3462"/>
    <w:rsid w:val="005D3609"/>
    <w:rsid w:val="005D3A68"/>
    <w:rsid w:val="005D3E0A"/>
    <w:rsid w:val="005D43B8"/>
    <w:rsid w:val="005D52F6"/>
    <w:rsid w:val="005D565A"/>
    <w:rsid w:val="005D61E4"/>
    <w:rsid w:val="005D6261"/>
    <w:rsid w:val="005D648C"/>
    <w:rsid w:val="005D651B"/>
    <w:rsid w:val="005D6B3C"/>
    <w:rsid w:val="005D6EC2"/>
    <w:rsid w:val="005D7331"/>
    <w:rsid w:val="005D7374"/>
    <w:rsid w:val="005D741B"/>
    <w:rsid w:val="005D75F9"/>
    <w:rsid w:val="005D774D"/>
    <w:rsid w:val="005E008A"/>
    <w:rsid w:val="005E01E3"/>
    <w:rsid w:val="005E0CD1"/>
    <w:rsid w:val="005E0F0E"/>
    <w:rsid w:val="005E122E"/>
    <w:rsid w:val="005E2251"/>
    <w:rsid w:val="005E25DF"/>
    <w:rsid w:val="005E2755"/>
    <w:rsid w:val="005E28C5"/>
    <w:rsid w:val="005E2977"/>
    <w:rsid w:val="005E2A6A"/>
    <w:rsid w:val="005E3370"/>
    <w:rsid w:val="005E39D3"/>
    <w:rsid w:val="005E3A46"/>
    <w:rsid w:val="005E4289"/>
    <w:rsid w:val="005E443A"/>
    <w:rsid w:val="005E467D"/>
    <w:rsid w:val="005E50E7"/>
    <w:rsid w:val="005E523F"/>
    <w:rsid w:val="005E52C8"/>
    <w:rsid w:val="005E5D6E"/>
    <w:rsid w:val="005E5F18"/>
    <w:rsid w:val="005E5FA8"/>
    <w:rsid w:val="005E602A"/>
    <w:rsid w:val="005E6879"/>
    <w:rsid w:val="005E6D6A"/>
    <w:rsid w:val="005E78E0"/>
    <w:rsid w:val="005E7BDD"/>
    <w:rsid w:val="005F0032"/>
    <w:rsid w:val="005F04F3"/>
    <w:rsid w:val="005F089C"/>
    <w:rsid w:val="005F08A3"/>
    <w:rsid w:val="005F11ED"/>
    <w:rsid w:val="005F1E92"/>
    <w:rsid w:val="005F1EC9"/>
    <w:rsid w:val="005F219D"/>
    <w:rsid w:val="005F21F2"/>
    <w:rsid w:val="005F23D2"/>
    <w:rsid w:val="005F350F"/>
    <w:rsid w:val="005F36D2"/>
    <w:rsid w:val="005F3700"/>
    <w:rsid w:val="005F3EC8"/>
    <w:rsid w:val="005F44CB"/>
    <w:rsid w:val="005F4A23"/>
    <w:rsid w:val="005F4EF2"/>
    <w:rsid w:val="005F4F8A"/>
    <w:rsid w:val="005F55FD"/>
    <w:rsid w:val="005F57D0"/>
    <w:rsid w:val="005F5C67"/>
    <w:rsid w:val="005F61FE"/>
    <w:rsid w:val="005F65A4"/>
    <w:rsid w:val="005F732A"/>
    <w:rsid w:val="005F735C"/>
    <w:rsid w:val="005F74AF"/>
    <w:rsid w:val="00600779"/>
    <w:rsid w:val="006009E8"/>
    <w:rsid w:val="00601063"/>
    <w:rsid w:val="006011E6"/>
    <w:rsid w:val="00601D7D"/>
    <w:rsid w:val="00602189"/>
    <w:rsid w:val="00602FF5"/>
    <w:rsid w:val="00603005"/>
    <w:rsid w:val="006032E5"/>
    <w:rsid w:val="006033AC"/>
    <w:rsid w:val="00603944"/>
    <w:rsid w:val="00604044"/>
    <w:rsid w:val="00604C4B"/>
    <w:rsid w:val="006053A4"/>
    <w:rsid w:val="006054C0"/>
    <w:rsid w:val="006055FE"/>
    <w:rsid w:val="0060564C"/>
    <w:rsid w:val="0060608A"/>
    <w:rsid w:val="00606117"/>
    <w:rsid w:val="00606134"/>
    <w:rsid w:val="00606470"/>
    <w:rsid w:val="0060679C"/>
    <w:rsid w:val="00606994"/>
    <w:rsid w:val="00606D6D"/>
    <w:rsid w:val="00606F50"/>
    <w:rsid w:val="0060705B"/>
    <w:rsid w:val="00607641"/>
    <w:rsid w:val="00607A05"/>
    <w:rsid w:val="00607A55"/>
    <w:rsid w:val="00607AA9"/>
    <w:rsid w:val="00607C7D"/>
    <w:rsid w:val="00607ED9"/>
    <w:rsid w:val="0061014B"/>
    <w:rsid w:val="006103C3"/>
    <w:rsid w:val="00611036"/>
    <w:rsid w:val="0061173F"/>
    <w:rsid w:val="00611C8B"/>
    <w:rsid w:val="00611E68"/>
    <w:rsid w:val="00612460"/>
    <w:rsid w:val="00612737"/>
    <w:rsid w:val="00612A42"/>
    <w:rsid w:val="00612C06"/>
    <w:rsid w:val="00613615"/>
    <w:rsid w:val="006139E1"/>
    <w:rsid w:val="00613F5A"/>
    <w:rsid w:val="0061420E"/>
    <w:rsid w:val="006145CD"/>
    <w:rsid w:val="006146ED"/>
    <w:rsid w:val="00614DED"/>
    <w:rsid w:val="006151C0"/>
    <w:rsid w:val="00615EB6"/>
    <w:rsid w:val="00616111"/>
    <w:rsid w:val="00616D41"/>
    <w:rsid w:val="00616E8F"/>
    <w:rsid w:val="00617196"/>
    <w:rsid w:val="00617482"/>
    <w:rsid w:val="006174AC"/>
    <w:rsid w:val="006175B3"/>
    <w:rsid w:val="0061772A"/>
    <w:rsid w:val="0061773F"/>
    <w:rsid w:val="00617856"/>
    <w:rsid w:val="00617AEB"/>
    <w:rsid w:val="00617CFA"/>
    <w:rsid w:val="006200E0"/>
    <w:rsid w:val="0062018D"/>
    <w:rsid w:val="006203B9"/>
    <w:rsid w:val="00620443"/>
    <w:rsid w:val="006204D7"/>
    <w:rsid w:val="006205AD"/>
    <w:rsid w:val="006205C2"/>
    <w:rsid w:val="006206B9"/>
    <w:rsid w:val="006209F1"/>
    <w:rsid w:val="00621252"/>
    <w:rsid w:val="0062162A"/>
    <w:rsid w:val="0062178B"/>
    <w:rsid w:val="00621A00"/>
    <w:rsid w:val="00621BFC"/>
    <w:rsid w:val="00621E24"/>
    <w:rsid w:val="00622587"/>
    <w:rsid w:val="00622763"/>
    <w:rsid w:val="00622C3A"/>
    <w:rsid w:val="00623468"/>
    <w:rsid w:val="006234DC"/>
    <w:rsid w:val="006244DC"/>
    <w:rsid w:val="0062489C"/>
    <w:rsid w:val="006248B0"/>
    <w:rsid w:val="00624EF2"/>
    <w:rsid w:val="00624FB0"/>
    <w:rsid w:val="00625184"/>
    <w:rsid w:val="00625421"/>
    <w:rsid w:val="00626299"/>
    <w:rsid w:val="006263D9"/>
    <w:rsid w:val="006264CA"/>
    <w:rsid w:val="00627504"/>
    <w:rsid w:val="0062752A"/>
    <w:rsid w:val="006279D2"/>
    <w:rsid w:val="00627BAB"/>
    <w:rsid w:val="00627C8F"/>
    <w:rsid w:val="00630DAD"/>
    <w:rsid w:val="00630F59"/>
    <w:rsid w:val="0063133F"/>
    <w:rsid w:val="006316C3"/>
    <w:rsid w:val="00631997"/>
    <w:rsid w:val="006319D9"/>
    <w:rsid w:val="0063247A"/>
    <w:rsid w:val="006328F9"/>
    <w:rsid w:val="00632DBF"/>
    <w:rsid w:val="00632ECB"/>
    <w:rsid w:val="00632F0D"/>
    <w:rsid w:val="006334E0"/>
    <w:rsid w:val="00633E12"/>
    <w:rsid w:val="00633F66"/>
    <w:rsid w:val="0063465A"/>
    <w:rsid w:val="00634740"/>
    <w:rsid w:val="006349AC"/>
    <w:rsid w:val="00634DDB"/>
    <w:rsid w:val="00634F1D"/>
    <w:rsid w:val="006357B2"/>
    <w:rsid w:val="00635B58"/>
    <w:rsid w:val="00636502"/>
    <w:rsid w:val="0063653F"/>
    <w:rsid w:val="00636999"/>
    <w:rsid w:val="00636D6C"/>
    <w:rsid w:val="00637016"/>
    <w:rsid w:val="0063739B"/>
    <w:rsid w:val="0063770F"/>
    <w:rsid w:val="00637845"/>
    <w:rsid w:val="006378C7"/>
    <w:rsid w:val="00637F4C"/>
    <w:rsid w:val="00640A0F"/>
    <w:rsid w:val="00640CB4"/>
    <w:rsid w:val="006414CB"/>
    <w:rsid w:val="0064157F"/>
    <w:rsid w:val="006416C3"/>
    <w:rsid w:val="006423FF"/>
    <w:rsid w:val="00642743"/>
    <w:rsid w:val="006428FE"/>
    <w:rsid w:val="00642993"/>
    <w:rsid w:val="00642EED"/>
    <w:rsid w:val="0064347E"/>
    <w:rsid w:val="006435B5"/>
    <w:rsid w:val="00643AEF"/>
    <w:rsid w:val="0064432B"/>
    <w:rsid w:val="00644346"/>
    <w:rsid w:val="00644522"/>
    <w:rsid w:val="00644681"/>
    <w:rsid w:val="00644947"/>
    <w:rsid w:val="00644964"/>
    <w:rsid w:val="00644CDE"/>
    <w:rsid w:val="00644FE2"/>
    <w:rsid w:val="006451AF"/>
    <w:rsid w:val="006454C1"/>
    <w:rsid w:val="00645939"/>
    <w:rsid w:val="00645C7A"/>
    <w:rsid w:val="00645D10"/>
    <w:rsid w:val="006461D6"/>
    <w:rsid w:val="0064648F"/>
    <w:rsid w:val="0064692B"/>
    <w:rsid w:val="00646AD3"/>
    <w:rsid w:val="00646D51"/>
    <w:rsid w:val="00647027"/>
    <w:rsid w:val="00647074"/>
    <w:rsid w:val="006470DE"/>
    <w:rsid w:val="0064780B"/>
    <w:rsid w:val="00647B7F"/>
    <w:rsid w:val="00650238"/>
    <w:rsid w:val="00650F27"/>
    <w:rsid w:val="0065142A"/>
    <w:rsid w:val="00651CA2"/>
    <w:rsid w:val="00651D2D"/>
    <w:rsid w:val="00651E75"/>
    <w:rsid w:val="00651EDB"/>
    <w:rsid w:val="00651F76"/>
    <w:rsid w:val="00652287"/>
    <w:rsid w:val="00652966"/>
    <w:rsid w:val="00652DE3"/>
    <w:rsid w:val="0065327C"/>
    <w:rsid w:val="00654214"/>
    <w:rsid w:val="006543FC"/>
    <w:rsid w:val="006546B7"/>
    <w:rsid w:val="0065485A"/>
    <w:rsid w:val="00654F37"/>
    <w:rsid w:val="00654FAA"/>
    <w:rsid w:val="0065522D"/>
    <w:rsid w:val="006557B0"/>
    <w:rsid w:val="00655A96"/>
    <w:rsid w:val="00655B0E"/>
    <w:rsid w:val="00655D96"/>
    <w:rsid w:val="0065631A"/>
    <w:rsid w:val="00656EE0"/>
    <w:rsid w:val="00657D6C"/>
    <w:rsid w:val="0066004B"/>
    <w:rsid w:val="006600EF"/>
    <w:rsid w:val="00660223"/>
    <w:rsid w:val="00660279"/>
    <w:rsid w:val="00660F84"/>
    <w:rsid w:val="006611BD"/>
    <w:rsid w:val="0066125B"/>
    <w:rsid w:val="006615A5"/>
    <w:rsid w:val="00661E55"/>
    <w:rsid w:val="0066249B"/>
    <w:rsid w:val="0066269B"/>
    <w:rsid w:val="006630AD"/>
    <w:rsid w:val="0066313B"/>
    <w:rsid w:val="00663304"/>
    <w:rsid w:val="0066330F"/>
    <w:rsid w:val="00663345"/>
    <w:rsid w:val="00663B11"/>
    <w:rsid w:val="00663E0E"/>
    <w:rsid w:val="0066418E"/>
    <w:rsid w:val="0066481F"/>
    <w:rsid w:val="00665189"/>
    <w:rsid w:val="00665524"/>
    <w:rsid w:val="0066598F"/>
    <w:rsid w:val="006659C2"/>
    <w:rsid w:val="00666025"/>
    <w:rsid w:val="0066620A"/>
    <w:rsid w:val="0066686A"/>
    <w:rsid w:val="00666C6D"/>
    <w:rsid w:val="0066700C"/>
    <w:rsid w:val="006670AD"/>
    <w:rsid w:val="00667334"/>
    <w:rsid w:val="006677B1"/>
    <w:rsid w:val="00667CA7"/>
    <w:rsid w:val="00667CF7"/>
    <w:rsid w:val="00670240"/>
    <w:rsid w:val="00670544"/>
    <w:rsid w:val="006709A8"/>
    <w:rsid w:val="00670A2F"/>
    <w:rsid w:val="006716A4"/>
    <w:rsid w:val="00671849"/>
    <w:rsid w:val="00671FEF"/>
    <w:rsid w:val="0067206C"/>
    <w:rsid w:val="006723CF"/>
    <w:rsid w:val="00672421"/>
    <w:rsid w:val="00672779"/>
    <w:rsid w:val="00672F99"/>
    <w:rsid w:val="00673009"/>
    <w:rsid w:val="006730A6"/>
    <w:rsid w:val="006731AD"/>
    <w:rsid w:val="006731BF"/>
    <w:rsid w:val="006742E0"/>
    <w:rsid w:val="006744A6"/>
    <w:rsid w:val="00675277"/>
    <w:rsid w:val="006752B9"/>
    <w:rsid w:val="006754E1"/>
    <w:rsid w:val="006756F3"/>
    <w:rsid w:val="006758C9"/>
    <w:rsid w:val="00675939"/>
    <w:rsid w:val="00675B11"/>
    <w:rsid w:val="00675F2E"/>
    <w:rsid w:val="00676CA0"/>
    <w:rsid w:val="00676D8C"/>
    <w:rsid w:val="00676E19"/>
    <w:rsid w:val="00676E41"/>
    <w:rsid w:val="00676ED6"/>
    <w:rsid w:val="006771B6"/>
    <w:rsid w:val="00677A1B"/>
    <w:rsid w:val="00677AB8"/>
    <w:rsid w:val="00677C88"/>
    <w:rsid w:val="00677EB3"/>
    <w:rsid w:val="006801B7"/>
    <w:rsid w:val="0068063A"/>
    <w:rsid w:val="006807BE"/>
    <w:rsid w:val="00680EB2"/>
    <w:rsid w:val="00680F24"/>
    <w:rsid w:val="00680F7F"/>
    <w:rsid w:val="0068103B"/>
    <w:rsid w:val="00681550"/>
    <w:rsid w:val="0068163F"/>
    <w:rsid w:val="00681892"/>
    <w:rsid w:val="00681D11"/>
    <w:rsid w:val="0068222F"/>
    <w:rsid w:val="00682558"/>
    <w:rsid w:val="006825E2"/>
    <w:rsid w:val="006827A1"/>
    <w:rsid w:val="006828DB"/>
    <w:rsid w:val="006829BD"/>
    <w:rsid w:val="00682A47"/>
    <w:rsid w:val="0068360E"/>
    <w:rsid w:val="006837E5"/>
    <w:rsid w:val="00683970"/>
    <w:rsid w:val="00683AA4"/>
    <w:rsid w:val="00683D6B"/>
    <w:rsid w:val="006845DC"/>
    <w:rsid w:val="006849E3"/>
    <w:rsid w:val="00684C5F"/>
    <w:rsid w:val="006855CC"/>
    <w:rsid w:val="00685CC1"/>
    <w:rsid w:val="00685F1F"/>
    <w:rsid w:val="00686008"/>
    <w:rsid w:val="0068606C"/>
    <w:rsid w:val="00686574"/>
    <w:rsid w:val="00686741"/>
    <w:rsid w:val="006867C5"/>
    <w:rsid w:val="0068680C"/>
    <w:rsid w:val="006868AE"/>
    <w:rsid w:val="00686DEB"/>
    <w:rsid w:val="00686F34"/>
    <w:rsid w:val="0069030A"/>
    <w:rsid w:val="00690840"/>
    <w:rsid w:val="00690A6F"/>
    <w:rsid w:val="006912F4"/>
    <w:rsid w:val="00692372"/>
    <w:rsid w:val="00693982"/>
    <w:rsid w:val="006946E5"/>
    <w:rsid w:val="0069475F"/>
    <w:rsid w:val="006949ED"/>
    <w:rsid w:val="00694B1B"/>
    <w:rsid w:val="00694B63"/>
    <w:rsid w:val="00694C82"/>
    <w:rsid w:val="00694CEB"/>
    <w:rsid w:val="00694E0F"/>
    <w:rsid w:val="00694EDC"/>
    <w:rsid w:val="006958AB"/>
    <w:rsid w:val="00695A92"/>
    <w:rsid w:val="00695C02"/>
    <w:rsid w:val="00695D43"/>
    <w:rsid w:val="00696073"/>
    <w:rsid w:val="006961FA"/>
    <w:rsid w:val="0069640E"/>
    <w:rsid w:val="0069689F"/>
    <w:rsid w:val="006969A8"/>
    <w:rsid w:val="00696ECB"/>
    <w:rsid w:val="0069730F"/>
    <w:rsid w:val="00697EBC"/>
    <w:rsid w:val="006A010C"/>
    <w:rsid w:val="006A094F"/>
    <w:rsid w:val="006A0C95"/>
    <w:rsid w:val="006A0DCF"/>
    <w:rsid w:val="006A0EDD"/>
    <w:rsid w:val="006A1601"/>
    <w:rsid w:val="006A17F7"/>
    <w:rsid w:val="006A1845"/>
    <w:rsid w:val="006A1938"/>
    <w:rsid w:val="006A1CA5"/>
    <w:rsid w:val="006A208F"/>
    <w:rsid w:val="006A272F"/>
    <w:rsid w:val="006A284C"/>
    <w:rsid w:val="006A285B"/>
    <w:rsid w:val="006A2AE1"/>
    <w:rsid w:val="006A3466"/>
    <w:rsid w:val="006A3AC0"/>
    <w:rsid w:val="006A3D5B"/>
    <w:rsid w:val="006A41A7"/>
    <w:rsid w:val="006A4285"/>
    <w:rsid w:val="006A441E"/>
    <w:rsid w:val="006A4B0D"/>
    <w:rsid w:val="006A4ECC"/>
    <w:rsid w:val="006A4F41"/>
    <w:rsid w:val="006A5414"/>
    <w:rsid w:val="006A5467"/>
    <w:rsid w:val="006A57B1"/>
    <w:rsid w:val="006A587D"/>
    <w:rsid w:val="006A5A9D"/>
    <w:rsid w:val="006A5E0A"/>
    <w:rsid w:val="006A6AB8"/>
    <w:rsid w:val="006A6ABE"/>
    <w:rsid w:val="006A7E56"/>
    <w:rsid w:val="006B04E2"/>
    <w:rsid w:val="006B04F7"/>
    <w:rsid w:val="006B0676"/>
    <w:rsid w:val="006B0942"/>
    <w:rsid w:val="006B0C9B"/>
    <w:rsid w:val="006B0E64"/>
    <w:rsid w:val="006B0FE4"/>
    <w:rsid w:val="006B1043"/>
    <w:rsid w:val="006B113F"/>
    <w:rsid w:val="006B1C28"/>
    <w:rsid w:val="006B1C45"/>
    <w:rsid w:val="006B1CC5"/>
    <w:rsid w:val="006B1D27"/>
    <w:rsid w:val="006B1DF4"/>
    <w:rsid w:val="006B2106"/>
    <w:rsid w:val="006B21DB"/>
    <w:rsid w:val="006B223B"/>
    <w:rsid w:val="006B2A48"/>
    <w:rsid w:val="006B2A7C"/>
    <w:rsid w:val="006B2AE9"/>
    <w:rsid w:val="006B2D82"/>
    <w:rsid w:val="006B2E66"/>
    <w:rsid w:val="006B346D"/>
    <w:rsid w:val="006B3471"/>
    <w:rsid w:val="006B3AE9"/>
    <w:rsid w:val="006B3B5D"/>
    <w:rsid w:val="006B3FD1"/>
    <w:rsid w:val="006B4465"/>
    <w:rsid w:val="006B4951"/>
    <w:rsid w:val="006B4D43"/>
    <w:rsid w:val="006B54CA"/>
    <w:rsid w:val="006B5884"/>
    <w:rsid w:val="006B5B4E"/>
    <w:rsid w:val="006B5E23"/>
    <w:rsid w:val="006B5F71"/>
    <w:rsid w:val="006B661F"/>
    <w:rsid w:val="006B66A2"/>
    <w:rsid w:val="006B66E0"/>
    <w:rsid w:val="006B6F59"/>
    <w:rsid w:val="006B71B0"/>
    <w:rsid w:val="006B7D15"/>
    <w:rsid w:val="006B7E91"/>
    <w:rsid w:val="006B7FC5"/>
    <w:rsid w:val="006B7FED"/>
    <w:rsid w:val="006C0189"/>
    <w:rsid w:val="006C05A6"/>
    <w:rsid w:val="006C0788"/>
    <w:rsid w:val="006C0A0E"/>
    <w:rsid w:val="006C0B06"/>
    <w:rsid w:val="006C0CAA"/>
    <w:rsid w:val="006C175C"/>
    <w:rsid w:val="006C2174"/>
    <w:rsid w:val="006C2233"/>
    <w:rsid w:val="006C2474"/>
    <w:rsid w:val="006C24E5"/>
    <w:rsid w:val="006C26DF"/>
    <w:rsid w:val="006C2807"/>
    <w:rsid w:val="006C29BF"/>
    <w:rsid w:val="006C2B5B"/>
    <w:rsid w:val="006C2C71"/>
    <w:rsid w:val="006C2C97"/>
    <w:rsid w:val="006C2D94"/>
    <w:rsid w:val="006C3A03"/>
    <w:rsid w:val="006C3FB5"/>
    <w:rsid w:val="006C41C6"/>
    <w:rsid w:val="006C440D"/>
    <w:rsid w:val="006C4737"/>
    <w:rsid w:val="006C491F"/>
    <w:rsid w:val="006C4A12"/>
    <w:rsid w:val="006C5438"/>
    <w:rsid w:val="006C5478"/>
    <w:rsid w:val="006C5E04"/>
    <w:rsid w:val="006C60B5"/>
    <w:rsid w:val="006C652C"/>
    <w:rsid w:val="006C683F"/>
    <w:rsid w:val="006C6904"/>
    <w:rsid w:val="006C6C5D"/>
    <w:rsid w:val="006C6EB4"/>
    <w:rsid w:val="006C728A"/>
    <w:rsid w:val="006C72DE"/>
    <w:rsid w:val="006C7B34"/>
    <w:rsid w:val="006D0286"/>
    <w:rsid w:val="006D058C"/>
    <w:rsid w:val="006D0828"/>
    <w:rsid w:val="006D0B64"/>
    <w:rsid w:val="006D0F8F"/>
    <w:rsid w:val="006D0F9C"/>
    <w:rsid w:val="006D1062"/>
    <w:rsid w:val="006D13BA"/>
    <w:rsid w:val="006D2644"/>
    <w:rsid w:val="006D2716"/>
    <w:rsid w:val="006D2962"/>
    <w:rsid w:val="006D2989"/>
    <w:rsid w:val="006D2AEF"/>
    <w:rsid w:val="006D3176"/>
    <w:rsid w:val="006D329E"/>
    <w:rsid w:val="006D3593"/>
    <w:rsid w:val="006D3E26"/>
    <w:rsid w:val="006D442B"/>
    <w:rsid w:val="006D4598"/>
    <w:rsid w:val="006D45D3"/>
    <w:rsid w:val="006D4EF1"/>
    <w:rsid w:val="006D509D"/>
    <w:rsid w:val="006D52CC"/>
    <w:rsid w:val="006D5400"/>
    <w:rsid w:val="006D5C91"/>
    <w:rsid w:val="006D6099"/>
    <w:rsid w:val="006D60CB"/>
    <w:rsid w:val="006D6DA1"/>
    <w:rsid w:val="006D71C7"/>
    <w:rsid w:val="006D7460"/>
    <w:rsid w:val="006D7483"/>
    <w:rsid w:val="006D7AC5"/>
    <w:rsid w:val="006D7BF9"/>
    <w:rsid w:val="006D7BFE"/>
    <w:rsid w:val="006D7FB1"/>
    <w:rsid w:val="006E05D7"/>
    <w:rsid w:val="006E0A76"/>
    <w:rsid w:val="006E0DF6"/>
    <w:rsid w:val="006E10F9"/>
    <w:rsid w:val="006E186F"/>
    <w:rsid w:val="006E1C84"/>
    <w:rsid w:val="006E1F5D"/>
    <w:rsid w:val="006E23A2"/>
    <w:rsid w:val="006E255A"/>
    <w:rsid w:val="006E28CD"/>
    <w:rsid w:val="006E2A1A"/>
    <w:rsid w:val="006E2BCA"/>
    <w:rsid w:val="006E3093"/>
    <w:rsid w:val="006E33F3"/>
    <w:rsid w:val="006E3A2F"/>
    <w:rsid w:val="006E53A3"/>
    <w:rsid w:val="006E5C44"/>
    <w:rsid w:val="006E6AF4"/>
    <w:rsid w:val="006E6F30"/>
    <w:rsid w:val="006E7B7A"/>
    <w:rsid w:val="006E7FD7"/>
    <w:rsid w:val="006F0364"/>
    <w:rsid w:val="006F0406"/>
    <w:rsid w:val="006F041B"/>
    <w:rsid w:val="006F0F65"/>
    <w:rsid w:val="006F1451"/>
    <w:rsid w:val="006F17BE"/>
    <w:rsid w:val="006F1CCA"/>
    <w:rsid w:val="006F1D89"/>
    <w:rsid w:val="006F201B"/>
    <w:rsid w:val="006F2715"/>
    <w:rsid w:val="006F2A81"/>
    <w:rsid w:val="006F2CB2"/>
    <w:rsid w:val="006F2E46"/>
    <w:rsid w:val="006F3002"/>
    <w:rsid w:val="006F3124"/>
    <w:rsid w:val="006F351C"/>
    <w:rsid w:val="006F3961"/>
    <w:rsid w:val="006F39C1"/>
    <w:rsid w:val="006F3D32"/>
    <w:rsid w:val="006F444C"/>
    <w:rsid w:val="006F4EE5"/>
    <w:rsid w:val="006F509F"/>
    <w:rsid w:val="006F5B9D"/>
    <w:rsid w:val="006F5D6A"/>
    <w:rsid w:val="006F606E"/>
    <w:rsid w:val="006F60EA"/>
    <w:rsid w:val="006F6AE6"/>
    <w:rsid w:val="006F6B9B"/>
    <w:rsid w:val="006F6E7E"/>
    <w:rsid w:val="006F6F1C"/>
    <w:rsid w:val="006F77C5"/>
    <w:rsid w:val="006F7D9A"/>
    <w:rsid w:val="006F7E94"/>
    <w:rsid w:val="007003DB"/>
    <w:rsid w:val="0070070F"/>
    <w:rsid w:val="00700B49"/>
    <w:rsid w:val="00700BC7"/>
    <w:rsid w:val="00700FDB"/>
    <w:rsid w:val="00701700"/>
    <w:rsid w:val="00701E57"/>
    <w:rsid w:val="00702601"/>
    <w:rsid w:val="007027F5"/>
    <w:rsid w:val="00702C11"/>
    <w:rsid w:val="007033A7"/>
    <w:rsid w:val="0070430E"/>
    <w:rsid w:val="00704632"/>
    <w:rsid w:val="00704B6B"/>
    <w:rsid w:val="00704C27"/>
    <w:rsid w:val="00705180"/>
    <w:rsid w:val="00705B65"/>
    <w:rsid w:val="007060EE"/>
    <w:rsid w:val="00706958"/>
    <w:rsid w:val="00706AD5"/>
    <w:rsid w:val="00706E7A"/>
    <w:rsid w:val="007072F6"/>
    <w:rsid w:val="00707704"/>
    <w:rsid w:val="0070773B"/>
    <w:rsid w:val="00707BBE"/>
    <w:rsid w:val="00707C2E"/>
    <w:rsid w:val="0071033D"/>
    <w:rsid w:val="00711102"/>
    <w:rsid w:val="007112C2"/>
    <w:rsid w:val="00711CB3"/>
    <w:rsid w:val="007121F9"/>
    <w:rsid w:val="00712329"/>
    <w:rsid w:val="007124BB"/>
    <w:rsid w:val="00712A05"/>
    <w:rsid w:val="00712BA1"/>
    <w:rsid w:val="0071346A"/>
    <w:rsid w:val="007141DD"/>
    <w:rsid w:val="00714786"/>
    <w:rsid w:val="00714D8C"/>
    <w:rsid w:val="0071514C"/>
    <w:rsid w:val="00715341"/>
    <w:rsid w:val="0071543D"/>
    <w:rsid w:val="00715463"/>
    <w:rsid w:val="00715A17"/>
    <w:rsid w:val="00715C40"/>
    <w:rsid w:val="00715E52"/>
    <w:rsid w:val="00715F00"/>
    <w:rsid w:val="00716002"/>
    <w:rsid w:val="00716159"/>
    <w:rsid w:val="0071647A"/>
    <w:rsid w:val="007166BA"/>
    <w:rsid w:val="0071691D"/>
    <w:rsid w:val="0071699A"/>
    <w:rsid w:val="007169B5"/>
    <w:rsid w:val="00716D2A"/>
    <w:rsid w:val="00716D39"/>
    <w:rsid w:val="00716E78"/>
    <w:rsid w:val="00717120"/>
    <w:rsid w:val="007174C1"/>
    <w:rsid w:val="007178CD"/>
    <w:rsid w:val="0071797D"/>
    <w:rsid w:val="0071798E"/>
    <w:rsid w:val="0072026E"/>
    <w:rsid w:val="00720296"/>
    <w:rsid w:val="0072062D"/>
    <w:rsid w:val="007206C0"/>
    <w:rsid w:val="00720D65"/>
    <w:rsid w:val="00720F7F"/>
    <w:rsid w:val="00721100"/>
    <w:rsid w:val="007213AF"/>
    <w:rsid w:val="00721527"/>
    <w:rsid w:val="00721551"/>
    <w:rsid w:val="00721B9C"/>
    <w:rsid w:val="00721D32"/>
    <w:rsid w:val="007228B0"/>
    <w:rsid w:val="007229DD"/>
    <w:rsid w:val="00722EF1"/>
    <w:rsid w:val="0072314E"/>
    <w:rsid w:val="00723BBB"/>
    <w:rsid w:val="00724831"/>
    <w:rsid w:val="00724EA0"/>
    <w:rsid w:val="007256AE"/>
    <w:rsid w:val="00725BD3"/>
    <w:rsid w:val="00725C65"/>
    <w:rsid w:val="00726605"/>
    <w:rsid w:val="007271E8"/>
    <w:rsid w:val="0072737B"/>
    <w:rsid w:val="00727697"/>
    <w:rsid w:val="007276DB"/>
    <w:rsid w:val="007277A6"/>
    <w:rsid w:val="00727831"/>
    <w:rsid w:val="00727A81"/>
    <w:rsid w:val="00730149"/>
    <w:rsid w:val="00730BA9"/>
    <w:rsid w:val="00731465"/>
    <w:rsid w:val="00731769"/>
    <w:rsid w:val="00732C07"/>
    <w:rsid w:val="00732C31"/>
    <w:rsid w:val="00732DEE"/>
    <w:rsid w:val="00732E52"/>
    <w:rsid w:val="00732F3C"/>
    <w:rsid w:val="0073355B"/>
    <w:rsid w:val="00733560"/>
    <w:rsid w:val="00733720"/>
    <w:rsid w:val="00733875"/>
    <w:rsid w:val="00733A90"/>
    <w:rsid w:val="00734115"/>
    <w:rsid w:val="007342A9"/>
    <w:rsid w:val="0073454F"/>
    <w:rsid w:val="00734886"/>
    <w:rsid w:val="00734A1A"/>
    <w:rsid w:val="00734C51"/>
    <w:rsid w:val="007355CE"/>
    <w:rsid w:val="0073564B"/>
    <w:rsid w:val="007356D4"/>
    <w:rsid w:val="007359A2"/>
    <w:rsid w:val="00735FB5"/>
    <w:rsid w:val="00736650"/>
    <w:rsid w:val="00736961"/>
    <w:rsid w:val="00736B83"/>
    <w:rsid w:val="00736CD3"/>
    <w:rsid w:val="00736D2D"/>
    <w:rsid w:val="00736F5D"/>
    <w:rsid w:val="007374D0"/>
    <w:rsid w:val="00737953"/>
    <w:rsid w:val="0074043A"/>
    <w:rsid w:val="00740711"/>
    <w:rsid w:val="00740EB7"/>
    <w:rsid w:val="00741051"/>
    <w:rsid w:val="00741097"/>
    <w:rsid w:val="0074186A"/>
    <w:rsid w:val="00742768"/>
    <w:rsid w:val="0074295A"/>
    <w:rsid w:val="00742A35"/>
    <w:rsid w:val="00742E0F"/>
    <w:rsid w:val="00743304"/>
    <w:rsid w:val="00743449"/>
    <w:rsid w:val="0074364E"/>
    <w:rsid w:val="0074370E"/>
    <w:rsid w:val="0074379E"/>
    <w:rsid w:val="00744254"/>
    <w:rsid w:val="0074453E"/>
    <w:rsid w:val="00744804"/>
    <w:rsid w:val="007449E6"/>
    <w:rsid w:val="00744A69"/>
    <w:rsid w:val="00744CFB"/>
    <w:rsid w:val="00744FCA"/>
    <w:rsid w:val="00745707"/>
    <w:rsid w:val="00745A37"/>
    <w:rsid w:val="00745A61"/>
    <w:rsid w:val="00745E1B"/>
    <w:rsid w:val="00745E50"/>
    <w:rsid w:val="00745FAB"/>
    <w:rsid w:val="0074609C"/>
    <w:rsid w:val="00746268"/>
    <w:rsid w:val="00746763"/>
    <w:rsid w:val="00746765"/>
    <w:rsid w:val="00746D74"/>
    <w:rsid w:val="007470B8"/>
    <w:rsid w:val="00747533"/>
    <w:rsid w:val="00747A0A"/>
    <w:rsid w:val="00747C01"/>
    <w:rsid w:val="00747E77"/>
    <w:rsid w:val="0075033C"/>
    <w:rsid w:val="007505B0"/>
    <w:rsid w:val="007508E3"/>
    <w:rsid w:val="007509AA"/>
    <w:rsid w:val="00750F69"/>
    <w:rsid w:val="00751719"/>
    <w:rsid w:val="0075189C"/>
    <w:rsid w:val="0075223D"/>
    <w:rsid w:val="0075241D"/>
    <w:rsid w:val="00752519"/>
    <w:rsid w:val="007526F5"/>
    <w:rsid w:val="00752D32"/>
    <w:rsid w:val="00752FA2"/>
    <w:rsid w:val="00752FB0"/>
    <w:rsid w:val="007543FA"/>
    <w:rsid w:val="007545E8"/>
    <w:rsid w:val="00754BA7"/>
    <w:rsid w:val="00754E98"/>
    <w:rsid w:val="00755325"/>
    <w:rsid w:val="007553CF"/>
    <w:rsid w:val="0075570F"/>
    <w:rsid w:val="00755AE2"/>
    <w:rsid w:val="00755D0B"/>
    <w:rsid w:val="0075636F"/>
    <w:rsid w:val="007567CB"/>
    <w:rsid w:val="00757AB7"/>
    <w:rsid w:val="00760003"/>
    <w:rsid w:val="00760465"/>
    <w:rsid w:val="007611EE"/>
    <w:rsid w:val="0076135E"/>
    <w:rsid w:val="007615C1"/>
    <w:rsid w:val="00761BAD"/>
    <w:rsid w:val="00761DAF"/>
    <w:rsid w:val="00761E22"/>
    <w:rsid w:val="0076268E"/>
    <w:rsid w:val="00763024"/>
    <w:rsid w:val="00763A2D"/>
    <w:rsid w:val="00763E5B"/>
    <w:rsid w:val="00764714"/>
    <w:rsid w:val="007648CF"/>
    <w:rsid w:val="00764A43"/>
    <w:rsid w:val="007652BD"/>
    <w:rsid w:val="00765AF6"/>
    <w:rsid w:val="0076657E"/>
    <w:rsid w:val="0076680E"/>
    <w:rsid w:val="00766C6C"/>
    <w:rsid w:val="007670CE"/>
    <w:rsid w:val="00770411"/>
    <w:rsid w:val="00770516"/>
    <w:rsid w:val="0077128C"/>
    <w:rsid w:val="00771333"/>
    <w:rsid w:val="0077162F"/>
    <w:rsid w:val="00771C8D"/>
    <w:rsid w:val="007722E2"/>
    <w:rsid w:val="007725AD"/>
    <w:rsid w:val="007728C4"/>
    <w:rsid w:val="00772CB2"/>
    <w:rsid w:val="00772E50"/>
    <w:rsid w:val="00772EA9"/>
    <w:rsid w:val="0077300D"/>
    <w:rsid w:val="00773060"/>
    <w:rsid w:val="0077365C"/>
    <w:rsid w:val="00773745"/>
    <w:rsid w:val="00773ED5"/>
    <w:rsid w:val="007744CE"/>
    <w:rsid w:val="00774E10"/>
    <w:rsid w:val="00774F6D"/>
    <w:rsid w:val="007751B5"/>
    <w:rsid w:val="007752D4"/>
    <w:rsid w:val="007753CC"/>
    <w:rsid w:val="007755A0"/>
    <w:rsid w:val="00775742"/>
    <w:rsid w:val="00775AAB"/>
    <w:rsid w:val="00775D77"/>
    <w:rsid w:val="00776825"/>
    <w:rsid w:val="007770C9"/>
    <w:rsid w:val="007772B3"/>
    <w:rsid w:val="00777F35"/>
    <w:rsid w:val="00780077"/>
    <w:rsid w:val="00780419"/>
    <w:rsid w:val="007805F2"/>
    <w:rsid w:val="00780DAB"/>
    <w:rsid w:val="00781202"/>
    <w:rsid w:val="007815F2"/>
    <w:rsid w:val="00781E4F"/>
    <w:rsid w:val="007825FC"/>
    <w:rsid w:val="00782B58"/>
    <w:rsid w:val="0078309E"/>
    <w:rsid w:val="00783676"/>
    <w:rsid w:val="0078382E"/>
    <w:rsid w:val="007839DE"/>
    <w:rsid w:val="00783B09"/>
    <w:rsid w:val="00783F0A"/>
    <w:rsid w:val="00784B12"/>
    <w:rsid w:val="00784C64"/>
    <w:rsid w:val="00784FF2"/>
    <w:rsid w:val="00785082"/>
    <w:rsid w:val="007857FB"/>
    <w:rsid w:val="00785806"/>
    <w:rsid w:val="00785A39"/>
    <w:rsid w:val="00786128"/>
    <w:rsid w:val="0078623A"/>
    <w:rsid w:val="00786D12"/>
    <w:rsid w:val="00787413"/>
    <w:rsid w:val="007877B8"/>
    <w:rsid w:val="00787D3A"/>
    <w:rsid w:val="00787D55"/>
    <w:rsid w:val="00787E7B"/>
    <w:rsid w:val="00787EC8"/>
    <w:rsid w:val="00790081"/>
    <w:rsid w:val="00790083"/>
    <w:rsid w:val="007900AF"/>
    <w:rsid w:val="00790269"/>
    <w:rsid w:val="007905EE"/>
    <w:rsid w:val="00790AC0"/>
    <w:rsid w:val="00790B29"/>
    <w:rsid w:val="00790CE6"/>
    <w:rsid w:val="00790F9C"/>
    <w:rsid w:val="00790FB5"/>
    <w:rsid w:val="00791264"/>
    <w:rsid w:val="00791738"/>
    <w:rsid w:val="00791C0A"/>
    <w:rsid w:val="00791CD5"/>
    <w:rsid w:val="00792281"/>
    <w:rsid w:val="00792351"/>
    <w:rsid w:val="00792C1A"/>
    <w:rsid w:val="00792D68"/>
    <w:rsid w:val="00792FEA"/>
    <w:rsid w:val="00793011"/>
    <w:rsid w:val="0079352D"/>
    <w:rsid w:val="007936F2"/>
    <w:rsid w:val="00793A34"/>
    <w:rsid w:val="00793E24"/>
    <w:rsid w:val="00793E99"/>
    <w:rsid w:val="00793ECE"/>
    <w:rsid w:val="00794221"/>
    <w:rsid w:val="007942AE"/>
    <w:rsid w:val="00794440"/>
    <w:rsid w:val="007946FB"/>
    <w:rsid w:val="0079493A"/>
    <w:rsid w:val="00795357"/>
    <w:rsid w:val="00795546"/>
    <w:rsid w:val="00795C0D"/>
    <w:rsid w:val="0079612D"/>
    <w:rsid w:val="00796336"/>
    <w:rsid w:val="007964EC"/>
    <w:rsid w:val="00796E08"/>
    <w:rsid w:val="00796E96"/>
    <w:rsid w:val="00797141"/>
    <w:rsid w:val="00797342"/>
    <w:rsid w:val="0079745C"/>
    <w:rsid w:val="00797913"/>
    <w:rsid w:val="007979B0"/>
    <w:rsid w:val="00797AF1"/>
    <w:rsid w:val="00797DC4"/>
    <w:rsid w:val="007A048C"/>
    <w:rsid w:val="007A087B"/>
    <w:rsid w:val="007A08A0"/>
    <w:rsid w:val="007A0EB8"/>
    <w:rsid w:val="007A0FE5"/>
    <w:rsid w:val="007A154A"/>
    <w:rsid w:val="007A1707"/>
    <w:rsid w:val="007A1EF6"/>
    <w:rsid w:val="007A216D"/>
    <w:rsid w:val="007A232A"/>
    <w:rsid w:val="007A264D"/>
    <w:rsid w:val="007A32BE"/>
    <w:rsid w:val="007A4583"/>
    <w:rsid w:val="007A4CC0"/>
    <w:rsid w:val="007A56CB"/>
    <w:rsid w:val="007A5AA0"/>
    <w:rsid w:val="007A5D5F"/>
    <w:rsid w:val="007A5FC2"/>
    <w:rsid w:val="007A6236"/>
    <w:rsid w:val="007A7441"/>
    <w:rsid w:val="007B0718"/>
    <w:rsid w:val="007B07F7"/>
    <w:rsid w:val="007B0AA6"/>
    <w:rsid w:val="007B0BF7"/>
    <w:rsid w:val="007B0BFC"/>
    <w:rsid w:val="007B0D3A"/>
    <w:rsid w:val="007B0DB2"/>
    <w:rsid w:val="007B1583"/>
    <w:rsid w:val="007B19DB"/>
    <w:rsid w:val="007B1D72"/>
    <w:rsid w:val="007B2170"/>
    <w:rsid w:val="007B2794"/>
    <w:rsid w:val="007B33B8"/>
    <w:rsid w:val="007B35C2"/>
    <w:rsid w:val="007B42E6"/>
    <w:rsid w:val="007B44EB"/>
    <w:rsid w:val="007B4AB4"/>
    <w:rsid w:val="007B5436"/>
    <w:rsid w:val="007B54E6"/>
    <w:rsid w:val="007B5525"/>
    <w:rsid w:val="007B56F8"/>
    <w:rsid w:val="007B58DC"/>
    <w:rsid w:val="007B5B2B"/>
    <w:rsid w:val="007B5C8F"/>
    <w:rsid w:val="007B62A3"/>
    <w:rsid w:val="007B6438"/>
    <w:rsid w:val="007B6898"/>
    <w:rsid w:val="007B6FEA"/>
    <w:rsid w:val="007B7AFE"/>
    <w:rsid w:val="007B7DB9"/>
    <w:rsid w:val="007B7E06"/>
    <w:rsid w:val="007C00F4"/>
    <w:rsid w:val="007C0568"/>
    <w:rsid w:val="007C088D"/>
    <w:rsid w:val="007C0A28"/>
    <w:rsid w:val="007C134F"/>
    <w:rsid w:val="007C1D2C"/>
    <w:rsid w:val="007C1F10"/>
    <w:rsid w:val="007C238E"/>
    <w:rsid w:val="007C2445"/>
    <w:rsid w:val="007C2763"/>
    <w:rsid w:val="007C3452"/>
    <w:rsid w:val="007C3BC4"/>
    <w:rsid w:val="007C3EA8"/>
    <w:rsid w:val="007C43F4"/>
    <w:rsid w:val="007C450B"/>
    <w:rsid w:val="007C45BC"/>
    <w:rsid w:val="007C48F4"/>
    <w:rsid w:val="007C4C6F"/>
    <w:rsid w:val="007C508E"/>
    <w:rsid w:val="007C54BD"/>
    <w:rsid w:val="007C589A"/>
    <w:rsid w:val="007C5A2F"/>
    <w:rsid w:val="007C657F"/>
    <w:rsid w:val="007C6680"/>
    <w:rsid w:val="007C6747"/>
    <w:rsid w:val="007C6BD1"/>
    <w:rsid w:val="007C6CC4"/>
    <w:rsid w:val="007C6D18"/>
    <w:rsid w:val="007C70DA"/>
    <w:rsid w:val="007C70F4"/>
    <w:rsid w:val="007C71BF"/>
    <w:rsid w:val="007C7304"/>
    <w:rsid w:val="007C78CC"/>
    <w:rsid w:val="007D0075"/>
    <w:rsid w:val="007D0138"/>
    <w:rsid w:val="007D123E"/>
    <w:rsid w:val="007D14C9"/>
    <w:rsid w:val="007D16EB"/>
    <w:rsid w:val="007D1C02"/>
    <w:rsid w:val="007D1DD2"/>
    <w:rsid w:val="007D2245"/>
    <w:rsid w:val="007D26A0"/>
    <w:rsid w:val="007D27D6"/>
    <w:rsid w:val="007D299B"/>
    <w:rsid w:val="007D2D02"/>
    <w:rsid w:val="007D313D"/>
    <w:rsid w:val="007D325C"/>
    <w:rsid w:val="007D33EE"/>
    <w:rsid w:val="007D3524"/>
    <w:rsid w:val="007D423C"/>
    <w:rsid w:val="007D4C54"/>
    <w:rsid w:val="007D4C6F"/>
    <w:rsid w:val="007D4EA6"/>
    <w:rsid w:val="007D5890"/>
    <w:rsid w:val="007D5A9F"/>
    <w:rsid w:val="007D6025"/>
    <w:rsid w:val="007D6205"/>
    <w:rsid w:val="007D71F3"/>
    <w:rsid w:val="007D7CF2"/>
    <w:rsid w:val="007D7D9B"/>
    <w:rsid w:val="007E0066"/>
    <w:rsid w:val="007E0D6A"/>
    <w:rsid w:val="007E13CC"/>
    <w:rsid w:val="007E17F6"/>
    <w:rsid w:val="007E1C9B"/>
    <w:rsid w:val="007E220E"/>
    <w:rsid w:val="007E23A7"/>
    <w:rsid w:val="007E2738"/>
    <w:rsid w:val="007E2828"/>
    <w:rsid w:val="007E2DFF"/>
    <w:rsid w:val="007E2FBA"/>
    <w:rsid w:val="007E30D6"/>
    <w:rsid w:val="007E3716"/>
    <w:rsid w:val="007E375B"/>
    <w:rsid w:val="007E37D0"/>
    <w:rsid w:val="007E39EB"/>
    <w:rsid w:val="007E3BAF"/>
    <w:rsid w:val="007E3D20"/>
    <w:rsid w:val="007E44BA"/>
    <w:rsid w:val="007E44BD"/>
    <w:rsid w:val="007E471A"/>
    <w:rsid w:val="007E4DD3"/>
    <w:rsid w:val="007E4F49"/>
    <w:rsid w:val="007E59A3"/>
    <w:rsid w:val="007E5AFA"/>
    <w:rsid w:val="007E61CA"/>
    <w:rsid w:val="007E66E6"/>
    <w:rsid w:val="007E6754"/>
    <w:rsid w:val="007E6873"/>
    <w:rsid w:val="007E6996"/>
    <w:rsid w:val="007E6E6D"/>
    <w:rsid w:val="007E73B7"/>
    <w:rsid w:val="007E73FA"/>
    <w:rsid w:val="007E762A"/>
    <w:rsid w:val="007E7B06"/>
    <w:rsid w:val="007F0175"/>
    <w:rsid w:val="007F042B"/>
    <w:rsid w:val="007F0609"/>
    <w:rsid w:val="007F0F76"/>
    <w:rsid w:val="007F13AB"/>
    <w:rsid w:val="007F16C6"/>
    <w:rsid w:val="007F1CF4"/>
    <w:rsid w:val="007F1D57"/>
    <w:rsid w:val="007F1DB8"/>
    <w:rsid w:val="007F2188"/>
    <w:rsid w:val="007F236C"/>
    <w:rsid w:val="007F293F"/>
    <w:rsid w:val="007F33E0"/>
    <w:rsid w:val="007F33E9"/>
    <w:rsid w:val="007F38F5"/>
    <w:rsid w:val="007F3AAF"/>
    <w:rsid w:val="007F3AD5"/>
    <w:rsid w:val="007F4966"/>
    <w:rsid w:val="007F498A"/>
    <w:rsid w:val="007F5312"/>
    <w:rsid w:val="007F54E1"/>
    <w:rsid w:val="007F5CEB"/>
    <w:rsid w:val="007F64CE"/>
    <w:rsid w:val="007F6541"/>
    <w:rsid w:val="007F6A4D"/>
    <w:rsid w:val="007F6E49"/>
    <w:rsid w:val="007F7F2D"/>
    <w:rsid w:val="007F7F91"/>
    <w:rsid w:val="00800288"/>
    <w:rsid w:val="00801858"/>
    <w:rsid w:val="008018D9"/>
    <w:rsid w:val="00801C18"/>
    <w:rsid w:val="00801EBE"/>
    <w:rsid w:val="00802472"/>
    <w:rsid w:val="00802C4F"/>
    <w:rsid w:val="008033FE"/>
    <w:rsid w:val="00803707"/>
    <w:rsid w:val="00804172"/>
    <w:rsid w:val="008043EC"/>
    <w:rsid w:val="008045E4"/>
    <w:rsid w:val="008048FE"/>
    <w:rsid w:val="00804F49"/>
    <w:rsid w:val="0080525C"/>
    <w:rsid w:val="008060CC"/>
    <w:rsid w:val="00806127"/>
    <w:rsid w:val="008062A1"/>
    <w:rsid w:val="00806918"/>
    <w:rsid w:val="00806B04"/>
    <w:rsid w:val="00806B63"/>
    <w:rsid w:val="00807D4C"/>
    <w:rsid w:val="0081016A"/>
    <w:rsid w:val="0081018F"/>
    <w:rsid w:val="008108DD"/>
    <w:rsid w:val="00811C3F"/>
    <w:rsid w:val="00811C61"/>
    <w:rsid w:val="00811DB7"/>
    <w:rsid w:val="00812201"/>
    <w:rsid w:val="0081260F"/>
    <w:rsid w:val="00812A75"/>
    <w:rsid w:val="008132FB"/>
    <w:rsid w:val="00813554"/>
    <w:rsid w:val="008136F3"/>
    <w:rsid w:val="00813CAD"/>
    <w:rsid w:val="00813E15"/>
    <w:rsid w:val="00814CE9"/>
    <w:rsid w:val="00814D83"/>
    <w:rsid w:val="00815858"/>
    <w:rsid w:val="00815BB8"/>
    <w:rsid w:val="00815CAC"/>
    <w:rsid w:val="00815E26"/>
    <w:rsid w:val="00816489"/>
    <w:rsid w:val="008165F9"/>
    <w:rsid w:val="0081681C"/>
    <w:rsid w:val="00816998"/>
    <w:rsid w:val="00816E21"/>
    <w:rsid w:val="00820049"/>
    <w:rsid w:val="00820174"/>
    <w:rsid w:val="00820F46"/>
    <w:rsid w:val="0082102F"/>
    <w:rsid w:val="00821640"/>
    <w:rsid w:val="008217CF"/>
    <w:rsid w:val="00821A5C"/>
    <w:rsid w:val="00821D2F"/>
    <w:rsid w:val="00821E4A"/>
    <w:rsid w:val="00822158"/>
    <w:rsid w:val="008222C0"/>
    <w:rsid w:val="00822527"/>
    <w:rsid w:val="00822991"/>
    <w:rsid w:val="00822FDF"/>
    <w:rsid w:val="00822FFE"/>
    <w:rsid w:val="00823477"/>
    <w:rsid w:val="00823579"/>
    <w:rsid w:val="008238A6"/>
    <w:rsid w:val="00823DD1"/>
    <w:rsid w:val="00824BD9"/>
    <w:rsid w:val="0082634B"/>
    <w:rsid w:val="008269C4"/>
    <w:rsid w:val="00826B08"/>
    <w:rsid w:val="00826E71"/>
    <w:rsid w:val="008272AA"/>
    <w:rsid w:val="00827443"/>
    <w:rsid w:val="00827AF6"/>
    <w:rsid w:val="00827D37"/>
    <w:rsid w:val="00827DC4"/>
    <w:rsid w:val="00827ECD"/>
    <w:rsid w:val="00827F83"/>
    <w:rsid w:val="008306A7"/>
    <w:rsid w:val="0083101B"/>
    <w:rsid w:val="0083141D"/>
    <w:rsid w:val="00831639"/>
    <w:rsid w:val="00831692"/>
    <w:rsid w:val="00831A43"/>
    <w:rsid w:val="00831C9D"/>
    <w:rsid w:val="00831D6D"/>
    <w:rsid w:val="00832023"/>
    <w:rsid w:val="0083202D"/>
    <w:rsid w:val="00832C5B"/>
    <w:rsid w:val="0083333A"/>
    <w:rsid w:val="00833488"/>
    <w:rsid w:val="008336F9"/>
    <w:rsid w:val="00833A67"/>
    <w:rsid w:val="00833F43"/>
    <w:rsid w:val="00834942"/>
    <w:rsid w:val="00834AA9"/>
    <w:rsid w:val="0083505C"/>
    <w:rsid w:val="0083517F"/>
    <w:rsid w:val="0083565F"/>
    <w:rsid w:val="008356F0"/>
    <w:rsid w:val="00835EAE"/>
    <w:rsid w:val="008360DD"/>
    <w:rsid w:val="00836611"/>
    <w:rsid w:val="00836980"/>
    <w:rsid w:val="00836D10"/>
    <w:rsid w:val="00836DFB"/>
    <w:rsid w:val="00836FFE"/>
    <w:rsid w:val="0083733C"/>
    <w:rsid w:val="008374D7"/>
    <w:rsid w:val="008374F8"/>
    <w:rsid w:val="00837709"/>
    <w:rsid w:val="00837C19"/>
    <w:rsid w:val="008400BF"/>
    <w:rsid w:val="00840514"/>
    <w:rsid w:val="008409D0"/>
    <w:rsid w:val="00840B47"/>
    <w:rsid w:val="00840D4B"/>
    <w:rsid w:val="00841462"/>
    <w:rsid w:val="008414B6"/>
    <w:rsid w:val="008425B9"/>
    <w:rsid w:val="008429AF"/>
    <w:rsid w:val="00842F53"/>
    <w:rsid w:val="008432D3"/>
    <w:rsid w:val="00843756"/>
    <w:rsid w:val="00843DFC"/>
    <w:rsid w:val="00844061"/>
    <w:rsid w:val="00844161"/>
    <w:rsid w:val="008443A4"/>
    <w:rsid w:val="0084481A"/>
    <w:rsid w:val="00844FDB"/>
    <w:rsid w:val="00845532"/>
    <w:rsid w:val="00845DFE"/>
    <w:rsid w:val="00846352"/>
    <w:rsid w:val="0084692A"/>
    <w:rsid w:val="00846A33"/>
    <w:rsid w:val="00846AE3"/>
    <w:rsid w:val="00847333"/>
    <w:rsid w:val="00847EB6"/>
    <w:rsid w:val="00850E0E"/>
    <w:rsid w:val="008512F4"/>
    <w:rsid w:val="00851A93"/>
    <w:rsid w:val="00851C7B"/>
    <w:rsid w:val="00853CB7"/>
    <w:rsid w:val="00854016"/>
    <w:rsid w:val="00854315"/>
    <w:rsid w:val="00854555"/>
    <w:rsid w:val="00854622"/>
    <w:rsid w:val="0085470E"/>
    <w:rsid w:val="00854A60"/>
    <w:rsid w:val="00854E0A"/>
    <w:rsid w:val="008556A7"/>
    <w:rsid w:val="00855739"/>
    <w:rsid w:val="00855B84"/>
    <w:rsid w:val="00856268"/>
    <w:rsid w:val="0085669E"/>
    <w:rsid w:val="008568E5"/>
    <w:rsid w:val="00856B03"/>
    <w:rsid w:val="00856BCF"/>
    <w:rsid w:val="00856DA4"/>
    <w:rsid w:val="008570DB"/>
    <w:rsid w:val="0085757D"/>
    <w:rsid w:val="00860160"/>
    <w:rsid w:val="00860BE1"/>
    <w:rsid w:val="00861457"/>
    <w:rsid w:val="008614B6"/>
    <w:rsid w:val="008615FF"/>
    <w:rsid w:val="008619DF"/>
    <w:rsid w:val="00861CE4"/>
    <w:rsid w:val="00861FE9"/>
    <w:rsid w:val="0086252E"/>
    <w:rsid w:val="00863801"/>
    <w:rsid w:val="00863B52"/>
    <w:rsid w:val="008644B4"/>
    <w:rsid w:val="008644FE"/>
    <w:rsid w:val="008646B5"/>
    <w:rsid w:val="008648A0"/>
    <w:rsid w:val="0086492B"/>
    <w:rsid w:val="00864BA7"/>
    <w:rsid w:val="00864BED"/>
    <w:rsid w:val="00864CB4"/>
    <w:rsid w:val="00865BE4"/>
    <w:rsid w:val="00865D3E"/>
    <w:rsid w:val="0086668C"/>
    <w:rsid w:val="008666A0"/>
    <w:rsid w:val="00866934"/>
    <w:rsid w:val="00867AD3"/>
    <w:rsid w:val="00867B86"/>
    <w:rsid w:val="00867D54"/>
    <w:rsid w:val="008700DB"/>
    <w:rsid w:val="008702F8"/>
    <w:rsid w:val="008707C1"/>
    <w:rsid w:val="00870D3D"/>
    <w:rsid w:val="00870FD3"/>
    <w:rsid w:val="008711EC"/>
    <w:rsid w:val="008717BC"/>
    <w:rsid w:val="0087188F"/>
    <w:rsid w:val="00871898"/>
    <w:rsid w:val="00871B71"/>
    <w:rsid w:val="00871C6B"/>
    <w:rsid w:val="00872483"/>
    <w:rsid w:val="00872807"/>
    <w:rsid w:val="00872D65"/>
    <w:rsid w:val="008735C9"/>
    <w:rsid w:val="008737ED"/>
    <w:rsid w:val="0087391A"/>
    <w:rsid w:val="00873ADD"/>
    <w:rsid w:val="00873CDD"/>
    <w:rsid w:val="008744C4"/>
    <w:rsid w:val="00874D11"/>
    <w:rsid w:val="00875161"/>
    <w:rsid w:val="00875380"/>
    <w:rsid w:val="00875569"/>
    <w:rsid w:val="00875934"/>
    <w:rsid w:val="00875AA3"/>
    <w:rsid w:val="00875C51"/>
    <w:rsid w:val="0087633C"/>
    <w:rsid w:val="00877713"/>
    <w:rsid w:val="00877FBA"/>
    <w:rsid w:val="0088039F"/>
    <w:rsid w:val="00880651"/>
    <w:rsid w:val="008808D4"/>
    <w:rsid w:val="00880AFE"/>
    <w:rsid w:val="00880B81"/>
    <w:rsid w:val="00881344"/>
    <w:rsid w:val="00881431"/>
    <w:rsid w:val="00881DED"/>
    <w:rsid w:val="008820DB"/>
    <w:rsid w:val="0088254F"/>
    <w:rsid w:val="00882AE2"/>
    <w:rsid w:val="00882DD6"/>
    <w:rsid w:val="0088317A"/>
    <w:rsid w:val="0088339A"/>
    <w:rsid w:val="008836DA"/>
    <w:rsid w:val="008838F3"/>
    <w:rsid w:val="00884150"/>
    <w:rsid w:val="008841A9"/>
    <w:rsid w:val="008841B7"/>
    <w:rsid w:val="00884491"/>
    <w:rsid w:val="008845CA"/>
    <w:rsid w:val="00884EB2"/>
    <w:rsid w:val="008852AD"/>
    <w:rsid w:val="008853D9"/>
    <w:rsid w:val="00885999"/>
    <w:rsid w:val="00885C2F"/>
    <w:rsid w:val="00886BA8"/>
    <w:rsid w:val="00886DDE"/>
    <w:rsid w:val="00886F4D"/>
    <w:rsid w:val="008874E5"/>
    <w:rsid w:val="0088759F"/>
    <w:rsid w:val="008877A1"/>
    <w:rsid w:val="00887EFA"/>
    <w:rsid w:val="0089087A"/>
    <w:rsid w:val="00890C25"/>
    <w:rsid w:val="00890D36"/>
    <w:rsid w:val="00891A8E"/>
    <w:rsid w:val="008921C2"/>
    <w:rsid w:val="008926AE"/>
    <w:rsid w:val="0089271C"/>
    <w:rsid w:val="00892B30"/>
    <w:rsid w:val="00892EBB"/>
    <w:rsid w:val="00893E4E"/>
    <w:rsid w:val="00893ECF"/>
    <w:rsid w:val="00893FB1"/>
    <w:rsid w:val="0089422F"/>
    <w:rsid w:val="00894350"/>
    <w:rsid w:val="00894658"/>
    <w:rsid w:val="00894DDF"/>
    <w:rsid w:val="0089557A"/>
    <w:rsid w:val="00895ABE"/>
    <w:rsid w:val="00895F06"/>
    <w:rsid w:val="008965CF"/>
    <w:rsid w:val="00896824"/>
    <w:rsid w:val="00896C2E"/>
    <w:rsid w:val="0089719D"/>
    <w:rsid w:val="00897263"/>
    <w:rsid w:val="00897752"/>
    <w:rsid w:val="00897FD8"/>
    <w:rsid w:val="008A0395"/>
    <w:rsid w:val="008A05BD"/>
    <w:rsid w:val="008A0619"/>
    <w:rsid w:val="008A0948"/>
    <w:rsid w:val="008A0FAD"/>
    <w:rsid w:val="008A11A0"/>
    <w:rsid w:val="008A16EB"/>
    <w:rsid w:val="008A187F"/>
    <w:rsid w:val="008A1E15"/>
    <w:rsid w:val="008A29C7"/>
    <w:rsid w:val="008A3087"/>
    <w:rsid w:val="008A3D18"/>
    <w:rsid w:val="008A442C"/>
    <w:rsid w:val="008A4508"/>
    <w:rsid w:val="008A47BD"/>
    <w:rsid w:val="008A4BFA"/>
    <w:rsid w:val="008A4C31"/>
    <w:rsid w:val="008A50B7"/>
    <w:rsid w:val="008A5268"/>
    <w:rsid w:val="008A551F"/>
    <w:rsid w:val="008A571D"/>
    <w:rsid w:val="008A6121"/>
    <w:rsid w:val="008A6303"/>
    <w:rsid w:val="008A66D7"/>
    <w:rsid w:val="008A6B3E"/>
    <w:rsid w:val="008A6B82"/>
    <w:rsid w:val="008A6BBD"/>
    <w:rsid w:val="008A6ED3"/>
    <w:rsid w:val="008A7800"/>
    <w:rsid w:val="008B03F9"/>
    <w:rsid w:val="008B059B"/>
    <w:rsid w:val="008B0633"/>
    <w:rsid w:val="008B186C"/>
    <w:rsid w:val="008B21D5"/>
    <w:rsid w:val="008B254F"/>
    <w:rsid w:val="008B277B"/>
    <w:rsid w:val="008B283C"/>
    <w:rsid w:val="008B3450"/>
    <w:rsid w:val="008B3557"/>
    <w:rsid w:val="008B3987"/>
    <w:rsid w:val="008B3DB3"/>
    <w:rsid w:val="008B3E38"/>
    <w:rsid w:val="008B3F68"/>
    <w:rsid w:val="008B451C"/>
    <w:rsid w:val="008B4C35"/>
    <w:rsid w:val="008B54B6"/>
    <w:rsid w:val="008B56B9"/>
    <w:rsid w:val="008B58F0"/>
    <w:rsid w:val="008B62C4"/>
    <w:rsid w:val="008B6A4B"/>
    <w:rsid w:val="008B6D3D"/>
    <w:rsid w:val="008B6D50"/>
    <w:rsid w:val="008B761E"/>
    <w:rsid w:val="008C0599"/>
    <w:rsid w:val="008C078F"/>
    <w:rsid w:val="008C0D20"/>
    <w:rsid w:val="008C1061"/>
    <w:rsid w:val="008C171A"/>
    <w:rsid w:val="008C180C"/>
    <w:rsid w:val="008C1C25"/>
    <w:rsid w:val="008C1CB2"/>
    <w:rsid w:val="008C2127"/>
    <w:rsid w:val="008C2CA5"/>
    <w:rsid w:val="008C2E3D"/>
    <w:rsid w:val="008C2F6F"/>
    <w:rsid w:val="008C3544"/>
    <w:rsid w:val="008C374C"/>
    <w:rsid w:val="008C3B7F"/>
    <w:rsid w:val="008C3F35"/>
    <w:rsid w:val="008C44C2"/>
    <w:rsid w:val="008C4B00"/>
    <w:rsid w:val="008C4C4E"/>
    <w:rsid w:val="008C4CB0"/>
    <w:rsid w:val="008C4FCD"/>
    <w:rsid w:val="008C5827"/>
    <w:rsid w:val="008C5865"/>
    <w:rsid w:val="008C5FE0"/>
    <w:rsid w:val="008C6981"/>
    <w:rsid w:val="008C6D8D"/>
    <w:rsid w:val="008C73EB"/>
    <w:rsid w:val="008C7641"/>
    <w:rsid w:val="008C769F"/>
    <w:rsid w:val="008C7C53"/>
    <w:rsid w:val="008D02B5"/>
    <w:rsid w:val="008D0373"/>
    <w:rsid w:val="008D0C16"/>
    <w:rsid w:val="008D10E1"/>
    <w:rsid w:val="008D257E"/>
    <w:rsid w:val="008D2B91"/>
    <w:rsid w:val="008D2F2C"/>
    <w:rsid w:val="008D300B"/>
    <w:rsid w:val="008D3083"/>
    <w:rsid w:val="008D3561"/>
    <w:rsid w:val="008D382A"/>
    <w:rsid w:val="008D39E9"/>
    <w:rsid w:val="008D3F4E"/>
    <w:rsid w:val="008D42C5"/>
    <w:rsid w:val="008D4552"/>
    <w:rsid w:val="008D504D"/>
    <w:rsid w:val="008D515E"/>
    <w:rsid w:val="008D5236"/>
    <w:rsid w:val="008D52BE"/>
    <w:rsid w:val="008D531D"/>
    <w:rsid w:val="008D5628"/>
    <w:rsid w:val="008D5A9D"/>
    <w:rsid w:val="008D5E12"/>
    <w:rsid w:val="008D65B2"/>
    <w:rsid w:val="008D67C2"/>
    <w:rsid w:val="008D6A8B"/>
    <w:rsid w:val="008D6B07"/>
    <w:rsid w:val="008D7034"/>
    <w:rsid w:val="008D76DB"/>
    <w:rsid w:val="008D77EB"/>
    <w:rsid w:val="008D7EBF"/>
    <w:rsid w:val="008D7F2A"/>
    <w:rsid w:val="008E0BEB"/>
    <w:rsid w:val="008E1C25"/>
    <w:rsid w:val="008E2120"/>
    <w:rsid w:val="008E2292"/>
    <w:rsid w:val="008E327C"/>
    <w:rsid w:val="008E3AF9"/>
    <w:rsid w:val="008E3D0A"/>
    <w:rsid w:val="008E4155"/>
    <w:rsid w:val="008E418D"/>
    <w:rsid w:val="008E43F8"/>
    <w:rsid w:val="008E4B88"/>
    <w:rsid w:val="008E4D18"/>
    <w:rsid w:val="008E502F"/>
    <w:rsid w:val="008E55DB"/>
    <w:rsid w:val="008E5767"/>
    <w:rsid w:val="008E586F"/>
    <w:rsid w:val="008E59C1"/>
    <w:rsid w:val="008E5ED0"/>
    <w:rsid w:val="008E6041"/>
    <w:rsid w:val="008E6214"/>
    <w:rsid w:val="008E6475"/>
    <w:rsid w:val="008E6DD9"/>
    <w:rsid w:val="008E7615"/>
    <w:rsid w:val="008E773A"/>
    <w:rsid w:val="008E7E14"/>
    <w:rsid w:val="008F035F"/>
    <w:rsid w:val="008F07E1"/>
    <w:rsid w:val="008F0857"/>
    <w:rsid w:val="008F0C47"/>
    <w:rsid w:val="008F116A"/>
    <w:rsid w:val="008F1250"/>
    <w:rsid w:val="008F1298"/>
    <w:rsid w:val="008F1F1B"/>
    <w:rsid w:val="008F215E"/>
    <w:rsid w:val="008F24A9"/>
    <w:rsid w:val="008F26E9"/>
    <w:rsid w:val="008F2AD0"/>
    <w:rsid w:val="008F3E99"/>
    <w:rsid w:val="008F40ED"/>
    <w:rsid w:val="008F4E07"/>
    <w:rsid w:val="008F5179"/>
    <w:rsid w:val="008F564E"/>
    <w:rsid w:val="008F5926"/>
    <w:rsid w:val="008F5955"/>
    <w:rsid w:val="008F5A13"/>
    <w:rsid w:val="008F6491"/>
    <w:rsid w:val="008F6511"/>
    <w:rsid w:val="008F676E"/>
    <w:rsid w:val="008F6F11"/>
    <w:rsid w:val="008F713E"/>
    <w:rsid w:val="008F78A1"/>
    <w:rsid w:val="009001E3"/>
    <w:rsid w:val="00900978"/>
    <w:rsid w:val="009009B5"/>
    <w:rsid w:val="00900BF5"/>
    <w:rsid w:val="00900C4C"/>
    <w:rsid w:val="00900EBE"/>
    <w:rsid w:val="00900EF9"/>
    <w:rsid w:val="0090131E"/>
    <w:rsid w:val="00901400"/>
    <w:rsid w:val="009018FC"/>
    <w:rsid w:val="00901C39"/>
    <w:rsid w:val="00901C50"/>
    <w:rsid w:val="00901FD4"/>
    <w:rsid w:val="00901FF8"/>
    <w:rsid w:val="009021AE"/>
    <w:rsid w:val="009027C8"/>
    <w:rsid w:val="00903D7F"/>
    <w:rsid w:val="00903DFD"/>
    <w:rsid w:val="009041A6"/>
    <w:rsid w:val="00904EBD"/>
    <w:rsid w:val="00905217"/>
    <w:rsid w:val="009054F6"/>
    <w:rsid w:val="00905B60"/>
    <w:rsid w:val="00906CEF"/>
    <w:rsid w:val="0091012E"/>
    <w:rsid w:val="009105BC"/>
    <w:rsid w:val="0091063D"/>
    <w:rsid w:val="009108F4"/>
    <w:rsid w:val="00910C9D"/>
    <w:rsid w:val="009119AF"/>
    <w:rsid w:val="00912A97"/>
    <w:rsid w:val="00912BFA"/>
    <w:rsid w:val="009132B9"/>
    <w:rsid w:val="00913B6B"/>
    <w:rsid w:val="00913E4F"/>
    <w:rsid w:val="00913F78"/>
    <w:rsid w:val="009145B0"/>
    <w:rsid w:val="00914E2F"/>
    <w:rsid w:val="00914ED5"/>
    <w:rsid w:val="009152C3"/>
    <w:rsid w:val="0091582A"/>
    <w:rsid w:val="00915F8C"/>
    <w:rsid w:val="00916466"/>
    <w:rsid w:val="009165D2"/>
    <w:rsid w:val="009168C3"/>
    <w:rsid w:val="00917298"/>
    <w:rsid w:val="00917DD1"/>
    <w:rsid w:val="00920BB1"/>
    <w:rsid w:val="00920CA9"/>
    <w:rsid w:val="00920D0D"/>
    <w:rsid w:val="0092121F"/>
    <w:rsid w:val="00921243"/>
    <w:rsid w:val="009216A1"/>
    <w:rsid w:val="0092171C"/>
    <w:rsid w:val="00921D67"/>
    <w:rsid w:val="00922C51"/>
    <w:rsid w:val="00922D45"/>
    <w:rsid w:val="00923159"/>
    <w:rsid w:val="00923365"/>
    <w:rsid w:val="00923415"/>
    <w:rsid w:val="009235BD"/>
    <w:rsid w:val="00924492"/>
    <w:rsid w:val="00924C5F"/>
    <w:rsid w:val="0092519D"/>
    <w:rsid w:val="00925A79"/>
    <w:rsid w:val="00925C04"/>
    <w:rsid w:val="00925E69"/>
    <w:rsid w:val="00926176"/>
    <w:rsid w:val="0092621F"/>
    <w:rsid w:val="00926550"/>
    <w:rsid w:val="00926554"/>
    <w:rsid w:val="00926771"/>
    <w:rsid w:val="00927A7C"/>
    <w:rsid w:val="00927AD1"/>
    <w:rsid w:val="00927BF3"/>
    <w:rsid w:val="00927ED1"/>
    <w:rsid w:val="00927FAE"/>
    <w:rsid w:val="00930620"/>
    <w:rsid w:val="009307F2"/>
    <w:rsid w:val="00930C58"/>
    <w:rsid w:val="00931F59"/>
    <w:rsid w:val="009329E7"/>
    <w:rsid w:val="00933054"/>
    <w:rsid w:val="00933149"/>
    <w:rsid w:val="0093393C"/>
    <w:rsid w:val="00933BCA"/>
    <w:rsid w:val="00934376"/>
    <w:rsid w:val="00934674"/>
    <w:rsid w:val="009349F7"/>
    <w:rsid w:val="009355A8"/>
    <w:rsid w:val="009356AD"/>
    <w:rsid w:val="00935EFA"/>
    <w:rsid w:val="009364DD"/>
    <w:rsid w:val="00936C7C"/>
    <w:rsid w:val="009373EB"/>
    <w:rsid w:val="00937B29"/>
    <w:rsid w:val="00937B3A"/>
    <w:rsid w:val="00937DB9"/>
    <w:rsid w:val="00937DDE"/>
    <w:rsid w:val="00940434"/>
    <w:rsid w:val="0094085C"/>
    <w:rsid w:val="00940D82"/>
    <w:rsid w:val="00940F0E"/>
    <w:rsid w:val="00941132"/>
    <w:rsid w:val="00941202"/>
    <w:rsid w:val="00941329"/>
    <w:rsid w:val="0094182E"/>
    <w:rsid w:val="00942502"/>
    <w:rsid w:val="00942589"/>
    <w:rsid w:val="0094282C"/>
    <w:rsid w:val="009429F0"/>
    <w:rsid w:val="00942C54"/>
    <w:rsid w:val="009430D8"/>
    <w:rsid w:val="009430E6"/>
    <w:rsid w:val="0094339D"/>
    <w:rsid w:val="00943D90"/>
    <w:rsid w:val="00943F52"/>
    <w:rsid w:val="00944EBA"/>
    <w:rsid w:val="009452C0"/>
    <w:rsid w:val="00945438"/>
    <w:rsid w:val="009455EB"/>
    <w:rsid w:val="00945756"/>
    <w:rsid w:val="00945A90"/>
    <w:rsid w:val="009461B7"/>
    <w:rsid w:val="009468D8"/>
    <w:rsid w:val="00946C8A"/>
    <w:rsid w:val="00946EF8"/>
    <w:rsid w:val="0094719C"/>
    <w:rsid w:val="0094753A"/>
    <w:rsid w:val="0095017A"/>
    <w:rsid w:val="00950514"/>
    <w:rsid w:val="00950714"/>
    <w:rsid w:val="00950BAA"/>
    <w:rsid w:val="009511F9"/>
    <w:rsid w:val="0095197D"/>
    <w:rsid w:val="00951E8F"/>
    <w:rsid w:val="00951EC3"/>
    <w:rsid w:val="00951F6D"/>
    <w:rsid w:val="00952201"/>
    <w:rsid w:val="00952E8E"/>
    <w:rsid w:val="009537D3"/>
    <w:rsid w:val="0095412C"/>
    <w:rsid w:val="0095461A"/>
    <w:rsid w:val="0095464D"/>
    <w:rsid w:val="0095477A"/>
    <w:rsid w:val="00954872"/>
    <w:rsid w:val="00954B4A"/>
    <w:rsid w:val="00954BAC"/>
    <w:rsid w:val="00954EBA"/>
    <w:rsid w:val="00955461"/>
    <w:rsid w:val="00955647"/>
    <w:rsid w:val="00955831"/>
    <w:rsid w:val="00956198"/>
    <w:rsid w:val="00956611"/>
    <w:rsid w:val="009566FF"/>
    <w:rsid w:val="00956776"/>
    <w:rsid w:val="009567C9"/>
    <w:rsid w:val="00956AAB"/>
    <w:rsid w:val="009571EE"/>
    <w:rsid w:val="00957953"/>
    <w:rsid w:val="00957DA4"/>
    <w:rsid w:val="009604F9"/>
    <w:rsid w:val="00960C16"/>
    <w:rsid w:val="009610F0"/>
    <w:rsid w:val="00961ADB"/>
    <w:rsid w:val="00961F24"/>
    <w:rsid w:val="00962E89"/>
    <w:rsid w:val="00962FAC"/>
    <w:rsid w:val="00963106"/>
    <w:rsid w:val="0096391E"/>
    <w:rsid w:val="00963B1D"/>
    <w:rsid w:val="00963C11"/>
    <w:rsid w:val="00963E70"/>
    <w:rsid w:val="009644FD"/>
    <w:rsid w:val="00964DB7"/>
    <w:rsid w:val="00964E0E"/>
    <w:rsid w:val="00964E3C"/>
    <w:rsid w:val="00964FAE"/>
    <w:rsid w:val="00964FEF"/>
    <w:rsid w:val="00965370"/>
    <w:rsid w:val="009662C2"/>
    <w:rsid w:val="00966C30"/>
    <w:rsid w:val="00966FB6"/>
    <w:rsid w:val="0096719B"/>
    <w:rsid w:val="00967618"/>
    <w:rsid w:val="00967EE0"/>
    <w:rsid w:val="00970655"/>
    <w:rsid w:val="009709B7"/>
    <w:rsid w:val="00970CF9"/>
    <w:rsid w:val="009717C1"/>
    <w:rsid w:val="00971BB4"/>
    <w:rsid w:val="00971CCD"/>
    <w:rsid w:val="00971F11"/>
    <w:rsid w:val="009720BA"/>
    <w:rsid w:val="0097273D"/>
    <w:rsid w:val="00972748"/>
    <w:rsid w:val="009728DC"/>
    <w:rsid w:val="00972E33"/>
    <w:rsid w:val="0097339C"/>
    <w:rsid w:val="0097363C"/>
    <w:rsid w:val="00973A30"/>
    <w:rsid w:val="00973AE6"/>
    <w:rsid w:val="00973E73"/>
    <w:rsid w:val="00974300"/>
    <w:rsid w:val="0097494C"/>
    <w:rsid w:val="00974B85"/>
    <w:rsid w:val="00974BD7"/>
    <w:rsid w:val="00975782"/>
    <w:rsid w:val="00975F8B"/>
    <w:rsid w:val="009765C9"/>
    <w:rsid w:val="0097668E"/>
    <w:rsid w:val="0097692E"/>
    <w:rsid w:val="00976AC1"/>
    <w:rsid w:val="00976C90"/>
    <w:rsid w:val="009772FA"/>
    <w:rsid w:val="00977BA4"/>
    <w:rsid w:val="00982677"/>
    <w:rsid w:val="0098275E"/>
    <w:rsid w:val="00982E60"/>
    <w:rsid w:val="00982EF6"/>
    <w:rsid w:val="00983B74"/>
    <w:rsid w:val="00983ED8"/>
    <w:rsid w:val="009842EE"/>
    <w:rsid w:val="0098453E"/>
    <w:rsid w:val="00984C5E"/>
    <w:rsid w:val="009858A8"/>
    <w:rsid w:val="00985D83"/>
    <w:rsid w:val="00985D8D"/>
    <w:rsid w:val="0098607B"/>
    <w:rsid w:val="009865B5"/>
    <w:rsid w:val="00986E10"/>
    <w:rsid w:val="00986F8C"/>
    <w:rsid w:val="00987314"/>
    <w:rsid w:val="00987780"/>
    <w:rsid w:val="00987C56"/>
    <w:rsid w:val="00987D0F"/>
    <w:rsid w:val="00990127"/>
    <w:rsid w:val="00990420"/>
    <w:rsid w:val="009906D5"/>
    <w:rsid w:val="009906FB"/>
    <w:rsid w:val="00990878"/>
    <w:rsid w:val="00990925"/>
    <w:rsid w:val="00990C9F"/>
    <w:rsid w:val="00990DEE"/>
    <w:rsid w:val="00990E6F"/>
    <w:rsid w:val="0099132B"/>
    <w:rsid w:val="0099142D"/>
    <w:rsid w:val="009915D2"/>
    <w:rsid w:val="009916F5"/>
    <w:rsid w:val="00991CA8"/>
    <w:rsid w:val="0099206D"/>
    <w:rsid w:val="009921AC"/>
    <w:rsid w:val="0099285B"/>
    <w:rsid w:val="00992CE5"/>
    <w:rsid w:val="00992EA7"/>
    <w:rsid w:val="00992F8E"/>
    <w:rsid w:val="009930B9"/>
    <w:rsid w:val="00993328"/>
    <w:rsid w:val="00993C8B"/>
    <w:rsid w:val="00993E31"/>
    <w:rsid w:val="00993E61"/>
    <w:rsid w:val="00994516"/>
    <w:rsid w:val="00994A68"/>
    <w:rsid w:val="00994D17"/>
    <w:rsid w:val="00994E34"/>
    <w:rsid w:val="00994FA8"/>
    <w:rsid w:val="0099508F"/>
    <w:rsid w:val="00995278"/>
    <w:rsid w:val="00995360"/>
    <w:rsid w:val="00995408"/>
    <w:rsid w:val="00995525"/>
    <w:rsid w:val="00995F39"/>
    <w:rsid w:val="00996239"/>
    <w:rsid w:val="00996295"/>
    <w:rsid w:val="0099641E"/>
    <w:rsid w:val="00996D57"/>
    <w:rsid w:val="00996F96"/>
    <w:rsid w:val="00997415"/>
    <w:rsid w:val="009975CC"/>
    <w:rsid w:val="009977F2"/>
    <w:rsid w:val="00997837"/>
    <w:rsid w:val="00997ACA"/>
    <w:rsid w:val="00997FA5"/>
    <w:rsid w:val="009A0D75"/>
    <w:rsid w:val="009A0DF2"/>
    <w:rsid w:val="009A1F1C"/>
    <w:rsid w:val="009A1FC7"/>
    <w:rsid w:val="009A2433"/>
    <w:rsid w:val="009A2457"/>
    <w:rsid w:val="009A2621"/>
    <w:rsid w:val="009A2AF8"/>
    <w:rsid w:val="009A347E"/>
    <w:rsid w:val="009A3951"/>
    <w:rsid w:val="009A3E55"/>
    <w:rsid w:val="009A4379"/>
    <w:rsid w:val="009A44F9"/>
    <w:rsid w:val="009A4BAE"/>
    <w:rsid w:val="009A4E1C"/>
    <w:rsid w:val="009A4F10"/>
    <w:rsid w:val="009A5735"/>
    <w:rsid w:val="009A5E03"/>
    <w:rsid w:val="009A6119"/>
    <w:rsid w:val="009A6693"/>
    <w:rsid w:val="009A6BD8"/>
    <w:rsid w:val="009A7307"/>
    <w:rsid w:val="009B04EE"/>
    <w:rsid w:val="009B0728"/>
    <w:rsid w:val="009B0A91"/>
    <w:rsid w:val="009B0E23"/>
    <w:rsid w:val="009B0E7A"/>
    <w:rsid w:val="009B16EC"/>
    <w:rsid w:val="009B17EE"/>
    <w:rsid w:val="009B194B"/>
    <w:rsid w:val="009B1A21"/>
    <w:rsid w:val="009B1BF6"/>
    <w:rsid w:val="009B1C98"/>
    <w:rsid w:val="009B1E4C"/>
    <w:rsid w:val="009B2270"/>
    <w:rsid w:val="009B23C6"/>
    <w:rsid w:val="009B23D3"/>
    <w:rsid w:val="009B2CD2"/>
    <w:rsid w:val="009B2E77"/>
    <w:rsid w:val="009B327C"/>
    <w:rsid w:val="009B328D"/>
    <w:rsid w:val="009B372F"/>
    <w:rsid w:val="009B3740"/>
    <w:rsid w:val="009B44C3"/>
    <w:rsid w:val="009B4840"/>
    <w:rsid w:val="009B4888"/>
    <w:rsid w:val="009B5106"/>
    <w:rsid w:val="009B53F5"/>
    <w:rsid w:val="009B54EB"/>
    <w:rsid w:val="009B5910"/>
    <w:rsid w:val="009B5C50"/>
    <w:rsid w:val="009B628D"/>
    <w:rsid w:val="009B679C"/>
    <w:rsid w:val="009B73B2"/>
    <w:rsid w:val="009B79B7"/>
    <w:rsid w:val="009C0845"/>
    <w:rsid w:val="009C0C7B"/>
    <w:rsid w:val="009C0E17"/>
    <w:rsid w:val="009C1174"/>
    <w:rsid w:val="009C21C6"/>
    <w:rsid w:val="009C25AE"/>
    <w:rsid w:val="009C2C86"/>
    <w:rsid w:val="009C2D3E"/>
    <w:rsid w:val="009C2E8F"/>
    <w:rsid w:val="009C300B"/>
    <w:rsid w:val="009C31F1"/>
    <w:rsid w:val="009C3379"/>
    <w:rsid w:val="009C36A7"/>
    <w:rsid w:val="009C3B73"/>
    <w:rsid w:val="009C4506"/>
    <w:rsid w:val="009C4508"/>
    <w:rsid w:val="009C4630"/>
    <w:rsid w:val="009C4670"/>
    <w:rsid w:val="009C538E"/>
    <w:rsid w:val="009C5783"/>
    <w:rsid w:val="009C5796"/>
    <w:rsid w:val="009C59F7"/>
    <w:rsid w:val="009C67EF"/>
    <w:rsid w:val="009C7571"/>
    <w:rsid w:val="009C7845"/>
    <w:rsid w:val="009D06D3"/>
    <w:rsid w:val="009D0758"/>
    <w:rsid w:val="009D0DBD"/>
    <w:rsid w:val="009D0DD3"/>
    <w:rsid w:val="009D1108"/>
    <w:rsid w:val="009D1580"/>
    <w:rsid w:val="009D1682"/>
    <w:rsid w:val="009D1766"/>
    <w:rsid w:val="009D1831"/>
    <w:rsid w:val="009D1838"/>
    <w:rsid w:val="009D21DE"/>
    <w:rsid w:val="009D25B1"/>
    <w:rsid w:val="009D2A44"/>
    <w:rsid w:val="009D3489"/>
    <w:rsid w:val="009D3AFC"/>
    <w:rsid w:val="009D42CE"/>
    <w:rsid w:val="009D435D"/>
    <w:rsid w:val="009D45B4"/>
    <w:rsid w:val="009D48CA"/>
    <w:rsid w:val="009D4DD7"/>
    <w:rsid w:val="009D4F64"/>
    <w:rsid w:val="009D536D"/>
    <w:rsid w:val="009D544C"/>
    <w:rsid w:val="009D5543"/>
    <w:rsid w:val="009D6E6D"/>
    <w:rsid w:val="009D76A0"/>
    <w:rsid w:val="009D7A07"/>
    <w:rsid w:val="009E00A1"/>
    <w:rsid w:val="009E10E7"/>
    <w:rsid w:val="009E10FC"/>
    <w:rsid w:val="009E1849"/>
    <w:rsid w:val="009E25CE"/>
    <w:rsid w:val="009E27D3"/>
    <w:rsid w:val="009E29AD"/>
    <w:rsid w:val="009E2A44"/>
    <w:rsid w:val="009E2D2E"/>
    <w:rsid w:val="009E304E"/>
    <w:rsid w:val="009E3429"/>
    <w:rsid w:val="009E3788"/>
    <w:rsid w:val="009E3C47"/>
    <w:rsid w:val="009E3EDC"/>
    <w:rsid w:val="009E406D"/>
    <w:rsid w:val="009E45FF"/>
    <w:rsid w:val="009E4F11"/>
    <w:rsid w:val="009E5D79"/>
    <w:rsid w:val="009E61F5"/>
    <w:rsid w:val="009E6CF2"/>
    <w:rsid w:val="009E70B4"/>
    <w:rsid w:val="009E70BF"/>
    <w:rsid w:val="009E7267"/>
    <w:rsid w:val="009E7CF6"/>
    <w:rsid w:val="009E7FEC"/>
    <w:rsid w:val="009F054C"/>
    <w:rsid w:val="009F15D4"/>
    <w:rsid w:val="009F1F3A"/>
    <w:rsid w:val="009F22BF"/>
    <w:rsid w:val="009F2C5D"/>
    <w:rsid w:val="009F2D46"/>
    <w:rsid w:val="009F37F9"/>
    <w:rsid w:val="009F395C"/>
    <w:rsid w:val="009F3F7C"/>
    <w:rsid w:val="009F433C"/>
    <w:rsid w:val="009F43EC"/>
    <w:rsid w:val="009F44EA"/>
    <w:rsid w:val="009F4A94"/>
    <w:rsid w:val="009F4D34"/>
    <w:rsid w:val="009F4FF5"/>
    <w:rsid w:val="009F52AD"/>
    <w:rsid w:val="009F56C3"/>
    <w:rsid w:val="009F5DC3"/>
    <w:rsid w:val="009F6474"/>
    <w:rsid w:val="009F648A"/>
    <w:rsid w:val="009F670F"/>
    <w:rsid w:val="009F70C9"/>
    <w:rsid w:val="009F758E"/>
    <w:rsid w:val="009F75AD"/>
    <w:rsid w:val="009F768D"/>
    <w:rsid w:val="009F7768"/>
    <w:rsid w:val="009F786F"/>
    <w:rsid w:val="009F7ACD"/>
    <w:rsid w:val="009F7FE2"/>
    <w:rsid w:val="00A0085C"/>
    <w:rsid w:val="00A0087E"/>
    <w:rsid w:val="00A00C9D"/>
    <w:rsid w:val="00A00CDB"/>
    <w:rsid w:val="00A00DF8"/>
    <w:rsid w:val="00A0104B"/>
    <w:rsid w:val="00A012E9"/>
    <w:rsid w:val="00A01DC9"/>
    <w:rsid w:val="00A01ED5"/>
    <w:rsid w:val="00A0235B"/>
    <w:rsid w:val="00A0278B"/>
    <w:rsid w:val="00A02AFB"/>
    <w:rsid w:val="00A02E14"/>
    <w:rsid w:val="00A02F77"/>
    <w:rsid w:val="00A02FB2"/>
    <w:rsid w:val="00A03203"/>
    <w:rsid w:val="00A03871"/>
    <w:rsid w:val="00A040A8"/>
    <w:rsid w:val="00A043B9"/>
    <w:rsid w:val="00A046CE"/>
    <w:rsid w:val="00A04B53"/>
    <w:rsid w:val="00A057BB"/>
    <w:rsid w:val="00A07207"/>
    <w:rsid w:val="00A077A4"/>
    <w:rsid w:val="00A07CF2"/>
    <w:rsid w:val="00A07F96"/>
    <w:rsid w:val="00A10797"/>
    <w:rsid w:val="00A10A96"/>
    <w:rsid w:val="00A10F43"/>
    <w:rsid w:val="00A11000"/>
    <w:rsid w:val="00A1116A"/>
    <w:rsid w:val="00A11215"/>
    <w:rsid w:val="00A113FD"/>
    <w:rsid w:val="00A11BE2"/>
    <w:rsid w:val="00A11D16"/>
    <w:rsid w:val="00A11E83"/>
    <w:rsid w:val="00A11EA1"/>
    <w:rsid w:val="00A12915"/>
    <w:rsid w:val="00A12C75"/>
    <w:rsid w:val="00A133D2"/>
    <w:rsid w:val="00A137EC"/>
    <w:rsid w:val="00A137ED"/>
    <w:rsid w:val="00A13A2E"/>
    <w:rsid w:val="00A13BD8"/>
    <w:rsid w:val="00A13BE8"/>
    <w:rsid w:val="00A143E5"/>
    <w:rsid w:val="00A14405"/>
    <w:rsid w:val="00A14895"/>
    <w:rsid w:val="00A14B2F"/>
    <w:rsid w:val="00A15242"/>
    <w:rsid w:val="00A15A4B"/>
    <w:rsid w:val="00A15CC7"/>
    <w:rsid w:val="00A15E5F"/>
    <w:rsid w:val="00A16263"/>
    <w:rsid w:val="00A16747"/>
    <w:rsid w:val="00A16B69"/>
    <w:rsid w:val="00A16E2F"/>
    <w:rsid w:val="00A17214"/>
    <w:rsid w:val="00A1752D"/>
    <w:rsid w:val="00A1791A"/>
    <w:rsid w:val="00A17C20"/>
    <w:rsid w:val="00A20900"/>
    <w:rsid w:val="00A20BC0"/>
    <w:rsid w:val="00A22093"/>
    <w:rsid w:val="00A2312C"/>
    <w:rsid w:val="00A2335B"/>
    <w:rsid w:val="00A234B3"/>
    <w:rsid w:val="00A23517"/>
    <w:rsid w:val="00A245B3"/>
    <w:rsid w:val="00A24CFF"/>
    <w:rsid w:val="00A25390"/>
    <w:rsid w:val="00A25CCD"/>
    <w:rsid w:val="00A26868"/>
    <w:rsid w:val="00A26871"/>
    <w:rsid w:val="00A26F6C"/>
    <w:rsid w:val="00A27C09"/>
    <w:rsid w:val="00A27F29"/>
    <w:rsid w:val="00A3006B"/>
    <w:rsid w:val="00A3055A"/>
    <w:rsid w:val="00A30589"/>
    <w:rsid w:val="00A3091A"/>
    <w:rsid w:val="00A31511"/>
    <w:rsid w:val="00A31C63"/>
    <w:rsid w:val="00A324EC"/>
    <w:rsid w:val="00A32864"/>
    <w:rsid w:val="00A33203"/>
    <w:rsid w:val="00A33512"/>
    <w:rsid w:val="00A3374D"/>
    <w:rsid w:val="00A33CD7"/>
    <w:rsid w:val="00A33E12"/>
    <w:rsid w:val="00A33E18"/>
    <w:rsid w:val="00A3400E"/>
    <w:rsid w:val="00A343DE"/>
    <w:rsid w:val="00A34494"/>
    <w:rsid w:val="00A348D2"/>
    <w:rsid w:val="00A354D5"/>
    <w:rsid w:val="00A35A72"/>
    <w:rsid w:val="00A35BC9"/>
    <w:rsid w:val="00A35D1E"/>
    <w:rsid w:val="00A35F2A"/>
    <w:rsid w:val="00A36212"/>
    <w:rsid w:val="00A3628C"/>
    <w:rsid w:val="00A363D4"/>
    <w:rsid w:val="00A36602"/>
    <w:rsid w:val="00A36EB1"/>
    <w:rsid w:val="00A372B4"/>
    <w:rsid w:val="00A373E7"/>
    <w:rsid w:val="00A37493"/>
    <w:rsid w:val="00A37599"/>
    <w:rsid w:val="00A3791E"/>
    <w:rsid w:val="00A40002"/>
    <w:rsid w:val="00A40160"/>
    <w:rsid w:val="00A401C3"/>
    <w:rsid w:val="00A4034A"/>
    <w:rsid w:val="00A40582"/>
    <w:rsid w:val="00A4058B"/>
    <w:rsid w:val="00A40734"/>
    <w:rsid w:val="00A40FA4"/>
    <w:rsid w:val="00A4107D"/>
    <w:rsid w:val="00A41AD4"/>
    <w:rsid w:val="00A41D80"/>
    <w:rsid w:val="00A42C90"/>
    <w:rsid w:val="00A42E4E"/>
    <w:rsid w:val="00A4341A"/>
    <w:rsid w:val="00A43460"/>
    <w:rsid w:val="00A4359B"/>
    <w:rsid w:val="00A4369D"/>
    <w:rsid w:val="00A439E2"/>
    <w:rsid w:val="00A43E96"/>
    <w:rsid w:val="00A43FBA"/>
    <w:rsid w:val="00A447F8"/>
    <w:rsid w:val="00A44D8F"/>
    <w:rsid w:val="00A457AC"/>
    <w:rsid w:val="00A457DD"/>
    <w:rsid w:val="00A46418"/>
    <w:rsid w:val="00A465F9"/>
    <w:rsid w:val="00A466F3"/>
    <w:rsid w:val="00A46CC4"/>
    <w:rsid w:val="00A46EB5"/>
    <w:rsid w:val="00A4706E"/>
    <w:rsid w:val="00A471ED"/>
    <w:rsid w:val="00A47F23"/>
    <w:rsid w:val="00A504CB"/>
    <w:rsid w:val="00A5099F"/>
    <w:rsid w:val="00A50A6A"/>
    <w:rsid w:val="00A51885"/>
    <w:rsid w:val="00A528F1"/>
    <w:rsid w:val="00A5306B"/>
    <w:rsid w:val="00A53598"/>
    <w:rsid w:val="00A536C0"/>
    <w:rsid w:val="00A53A6A"/>
    <w:rsid w:val="00A53B33"/>
    <w:rsid w:val="00A53D80"/>
    <w:rsid w:val="00A54219"/>
    <w:rsid w:val="00A54979"/>
    <w:rsid w:val="00A5515B"/>
    <w:rsid w:val="00A555ED"/>
    <w:rsid w:val="00A5593A"/>
    <w:rsid w:val="00A55BE9"/>
    <w:rsid w:val="00A55C69"/>
    <w:rsid w:val="00A55E44"/>
    <w:rsid w:val="00A56270"/>
    <w:rsid w:val="00A56930"/>
    <w:rsid w:val="00A56A7A"/>
    <w:rsid w:val="00A56D6F"/>
    <w:rsid w:val="00A5761E"/>
    <w:rsid w:val="00A57D6F"/>
    <w:rsid w:val="00A60347"/>
    <w:rsid w:val="00A6057A"/>
    <w:rsid w:val="00A60753"/>
    <w:rsid w:val="00A60C25"/>
    <w:rsid w:val="00A60E7A"/>
    <w:rsid w:val="00A61194"/>
    <w:rsid w:val="00A61719"/>
    <w:rsid w:val="00A61CAD"/>
    <w:rsid w:val="00A61D3B"/>
    <w:rsid w:val="00A61FD0"/>
    <w:rsid w:val="00A620DB"/>
    <w:rsid w:val="00A62CA9"/>
    <w:rsid w:val="00A630B5"/>
    <w:rsid w:val="00A63174"/>
    <w:rsid w:val="00A638AA"/>
    <w:rsid w:val="00A63A0B"/>
    <w:rsid w:val="00A63C8E"/>
    <w:rsid w:val="00A63CF8"/>
    <w:rsid w:val="00A647AC"/>
    <w:rsid w:val="00A64EF5"/>
    <w:rsid w:val="00A650F5"/>
    <w:rsid w:val="00A6519E"/>
    <w:rsid w:val="00A65574"/>
    <w:rsid w:val="00A65622"/>
    <w:rsid w:val="00A65858"/>
    <w:rsid w:val="00A65890"/>
    <w:rsid w:val="00A65928"/>
    <w:rsid w:val="00A65ABB"/>
    <w:rsid w:val="00A65BBC"/>
    <w:rsid w:val="00A660C6"/>
    <w:rsid w:val="00A6621F"/>
    <w:rsid w:val="00A6680F"/>
    <w:rsid w:val="00A668AB"/>
    <w:rsid w:val="00A668BC"/>
    <w:rsid w:val="00A66BA4"/>
    <w:rsid w:val="00A66DBF"/>
    <w:rsid w:val="00A67D86"/>
    <w:rsid w:val="00A7012C"/>
    <w:rsid w:val="00A7016E"/>
    <w:rsid w:val="00A701AF"/>
    <w:rsid w:val="00A701CE"/>
    <w:rsid w:val="00A70205"/>
    <w:rsid w:val="00A7083C"/>
    <w:rsid w:val="00A70E4A"/>
    <w:rsid w:val="00A714B9"/>
    <w:rsid w:val="00A71624"/>
    <w:rsid w:val="00A717F5"/>
    <w:rsid w:val="00A71BFE"/>
    <w:rsid w:val="00A71CFB"/>
    <w:rsid w:val="00A720CD"/>
    <w:rsid w:val="00A7278A"/>
    <w:rsid w:val="00A731FB"/>
    <w:rsid w:val="00A73B9E"/>
    <w:rsid w:val="00A73C2B"/>
    <w:rsid w:val="00A73C56"/>
    <w:rsid w:val="00A7403F"/>
    <w:rsid w:val="00A742DD"/>
    <w:rsid w:val="00A7471E"/>
    <w:rsid w:val="00A7489A"/>
    <w:rsid w:val="00A750ED"/>
    <w:rsid w:val="00A75F5E"/>
    <w:rsid w:val="00A75F7E"/>
    <w:rsid w:val="00A75FF7"/>
    <w:rsid w:val="00A7698E"/>
    <w:rsid w:val="00A76B4D"/>
    <w:rsid w:val="00A76D03"/>
    <w:rsid w:val="00A771FC"/>
    <w:rsid w:val="00A778B1"/>
    <w:rsid w:val="00A778B5"/>
    <w:rsid w:val="00A802FE"/>
    <w:rsid w:val="00A803F1"/>
    <w:rsid w:val="00A8040A"/>
    <w:rsid w:val="00A80D39"/>
    <w:rsid w:val="00A81109"/>
    <w:rsid w:val="00A81207"/>
    <w:rsid w:val="00A81746"/>
    <w:rsid w:val="00A81CF1"/>
    <w:rsid w:val="00A82283"/>
    <w:rsid w:val="00A82AFE"/>
    <w:rsid w:val="00A831DE"/>
    <w:rsid w:val="00A834A0"/>
    <w:rsid w:val="00A83589"/>
    <w:rsid w:val="00A83B90"/>
    <w:rsid w:val="00A83E57"/>
    <w:rsid w:val="00A840FE"/>
    <w:rsid w:val="00A84232"/>
    <w:rsid w:val="00A85585"/>
    <w:rsid w:val="00A8561E"/>
    <w:rsid w:val="00A85770"/>
    <w:rsid w:val="00A85D48"/>
    <w:rsid w:val="00A85D75"/>
    <w:rsid w:val="00A85E34"/>
    <w:rsid w:val="00A85E6D"/>
    <w:rsid w:val="00A86046"/>
    <w:rsid w:val="00A86104"/>
    <w:rsid w:val="00A86A05"/>
    <w:rsid w:val="00A86A0E"/>
    <w:rsid w:val="00A86D5D"/>
    <w:rsid w:val="00A86E23"/>
    <w:rsid w:val="00A86FEA"/>
    <w:rsid w:val="00A870D9"/>
    <w:rsid w:val="00A87329"/>
    <w:rsid w:val="00A873C4"/>
    <w:rsid w:val="00A87DFB"/>
    <w:rsid w:val="00A90860"/>
    <w:rsid w:val="00A909F7"/>
    <w:rsid w:val="00A90B78"/>
    <w:rsid w:val="00A914E2"/>
    <w:rsid w:val="00A916F3"/>
    <w:rsid w:val="00A91D1E"/>
    <w:rsid w:val="00A91E27"/>
    <w:rsid w:val="00A91F96"/>
    <w:rsid w:val="00A92103"/>
    <w:rsid w:val="00A925F9"/>
    <w:rsid w:val="00A926C4"/>
    <w:rsid w:val="00A92A7E"/>
    <w:rsid w:val="00A930D7"/>
    <w:rsid w:val="00A93B5B"/>
    <w:rsid w:val="00A93B81"/>
    <w:rsid w:val="00A9443C"/>
    <w:rsid w:val="00A9464E"/>
    <w:rsid w:val="00A95334"/>
    <w:rsid w:val="00A95356"/>
    <w:rsid w:val="00A95397"/>
    <w:rsid w:val="00A9596E"/>
    <w:rsid w:val="00A95A85"/>
    <w:rsid w:val="00A95C00"/>
    <w:rsid w:val="00A95CB3"/>
    <w:rsid w:val="00A95E30"/>
    <w:rsid w:val="00A95F29"/>
    <w:rsid w:val="00A95F52"/>
    <w:rsid w:val="00A96F34"/>
    <w:rsid w:val="00A973C9"/>
    <w:rsid w:val="00A97487"/>
    <w:rsid w:val="00A974E1"/>
    <w:rsid w:val="00A974FA"/>
    <w:rsid w:val="00AA032A"/>
    <w:rsid w:val="00AA08D1"/>
    <w:rsid w:val="00AA0920"/>
    <w:rsid w:val="00AA0A06"/>
    <w:rsid w:val="00AA0B99"/>
    <w:rsid w:val="00AA10A1"/>
    <w:rsid w:val="00AA117F"/>
    <w:rsid w:val="00AA1716"/>
    <w:rsid w:val="00AA247E"/>
    <w:rsid w:val="00AA29E3"/>
    <w:rsid w:val="00AA2D13"/>
    <w:rsid w:val="00AA3404"/>
    <w:rsid w:val="00AA38DD"/>
    <w:rsid w:val="00AA3A03"/>
    <w:rsid w:val="00AA3B76"/>
    <w:rsid w:val="00AA3E6B"/>
    <w:rsid w:val="00AA4005"/>
    <w:rsid w:val="00AA41BC"/>
    <w:rsid w:val="00AA46AD"/>
    <w:rsid w:val="00AA478F"/>
    <w:rsid w:val="00AA4AFB"/>
    <w:rsid w:val="00AA4F71"/>
    <w:rsid w:val="00AA5339"/>
    <w:rsid w:val="00AA5467"/>
    <w:rsid w:val="00AA591E"/>
    <w:rsid w:val="00AA65D3"/>
    <w:rsid w:val="00AA6850"/>
    <w:rsid w:val="00AA7747"/>
    <w:rsid w:val="00AA7A4D"/>
    <w:rsid w:val="00AA7BDF"/>
    <w:rsid w:val="00AB03EC"/>
    <w:rsid w:val="00AB07FC"/>
    <w:rsid w:val="00AB0DB4"/>
    <w:rsid w:val="00AB15E5"/>
    <w:rsid w:val="00AB1831"/>
    <w:rsid w:val="00AB29CD"/>
    <w:rsid w:val="00AB2A15"/>
    <w:rsid w:val="00AB2E1F"/>
    <w:rsid w:val="00AB2E6C"/>
    <w:rsid w:val="00AB31A4"/>
    <w:rsid w:val="00AB3A54"/>
    <w:rsid w:val="00AB3C9B"/>
    <w:rsid w:val="00AB40EB"/>
    <w:rsid w:val="00AB416A"/>
    <w:rsid w:val="00AB479D"/>
    <w:rsid w:val="00AB4AB2"/>
    <w:rsid w:val="00AB5340"/>
    <w:rsid w:val="00AB5418"/>
    <w:rsid w:val="00AB5FC6"/>
    <w:rsid w:val="00AB6185"/>
    <w:rsid w:val="00AB6262"/>
    <w:rsid w:val="00AB65A6"/>
    <w:rsid w:val="00AB665A"/>
    <w:rsid w:val="00AB6B2C"/>
    <w:rsid w:val="00AB6CF2"/>
    <w:rsid w:val="00AB6F03"/>
    <w:rsid w:val="00AB7A18"/>
    <w:rsid w:val="00AB7E01"/>
    <w:rsid w:val="00AC0661"/>
    <w:rsid w:val="00AC07D7"/>
    <w:rsid w:val="00AC145E"/>
    <w:rsid w:val="00AC15DD"/>
    <w:rsid w:val="00AC18E9"/>
    <w:rsid w:val="00AC1EE8"/>
    <w:rsid w:val="00AC1EFF"/>
    <w:rsid w:val="00AC1F41"/>
    <w:rsid w:val="00AC22C4"/>
    <w:rsid w:val="00AC28A3"/>
    <w:rsid w:val="00AC29DE"/>
    <w:rsid w:val="00AC2FC0"/>
    <w:rsid w:val="00AC3409"/>
    <w:rsid w:val="00AC36B5"/>
    <w:rsid w:val="00AC392A"/>
    <w:rsid w:val="00AC4DAA"/>
    <w:rsid w:val="00AC55F7"/>
    <w:rsid w:val="00AC5679"/>
    <w:rsid w:val="00AC5AA0"/>
    <w:rsid w:val="00AC5E3A"/>
    <w:rsid w:val="00AC6125"/>
    <w:rsid w:val="00AC62ED"/>
    <w:rsid w:val="00AC6CE0"/>
    <w:rsid w:val="00AC6DE3"/>
    <w:rsid w:val="00AC711A"/>
    <w:rsid w:val="00AC7234"/>
    <w:rsid w:val="00AC738C"/>
    <w:rsid w:val="00AC78D1"/>
    <w:rsid w:val="00AC79B6"/>
    <w:rsid w:val="00AC7E94"/>
    <w:rsid w:val="00AD0220"/>
    <w:rsid w:val="00AD03D7"/>
    <w:rsid w:val="00AD05EA"/>
    <w:rsid w:val="00AD0DAD"/>
    <w:rsid w:val="00AD0F51"/>
    <w:rsid w:val="00AD1010"/>
    <w:rsid w:val="00AD11B1"/>
    <w:rsid w:val="00AD17AD"/>
    <w:rsid w:val="00AD1E6D"/>
    <w:rsid w:val="00AD1F76"/>
    <w:rsid w:val="00AD2752"/>
    <w:rsid w:val="00AD29F1"/>
    <w:rsid w:val="00AD2E61"/>
    <w:rsid w:val="00AD2F8C"/>
    <w:rsid w:val="00AD31FC"/>
    <w:rsid w:val="00AD3540"/>
    <w:rsid w:val="00AD374D"/>
    <w:rsid w:val="00AD3A0D"/>
    <w:rsid w:val="00AD452E"/>
    <w:rsid w:val="00AD4A23"/>
    <w:rsid w:val="00AD5477"/>
    <w:rsid w:val="00AD5A11"/>
    <w:rsid w:val="00AD62D5"/>
    <w:rsid w:val="00AD66B8"/>
    <w:rsid w:val="00AD6959"/>
    <w:rsid w:val="00AD6C23"/>
    <w:rsid w:val="00AD6F50"/>
    <w:rsid w:val="00AD6F82"/>
    <w:rsid w:val="00AD7E6D"/>
    <w:rsid w:val="00AE0535"/>
    <w:rsid w:val="00AE0BC5"/>
    <w:rsid w:val="00AE14E9"/>
    <w:rsid w:val="00AE196A"/>
    <w:rsid w:val="00AE1B0C"/>
    <w:rsid w:val="00AE1CDD"/>
    <w:rsid w:val="00AE25A9"/>
    <w:rsid w:val="00AE39A7"/>
    <w:rsid w:val="00AE3C04"/>
    <w:rsid w:val="00AE4310"/>
    <w:rsid w:val="00AE4517"/>
    <w:rsid w:val="00AE4D20"/>
    <w:rsid w:val="00AE4D4D"/>
    <w:rsid w:val="00AE5035"/>
    <w:rsid w:val="00AE5380"/>
    <w:rsid w:val="00AE565B"/>
    <w:rsid w:val="00AE56F7"/>
    <w:rsid w:val="00AE5855"/>
    <w:rsid w:val="00AE5B1D"/>
    <w:rsid w:val="00AE5B23"/>
    <w:rsid w:val="00AE6369"/>
    <w:rsid w:val="00AE6DBE"/>
    <w:rsid w:val="00AE70E5"/>
    <w:rsid w:val="00AE7314"/>
    <w:rsid w:val="00AE7B1E"/>
    <w:rsid w:val="00AE7E39"/>
    <w:rsid w:val="00AF00B9"/>
    <w:rsid w:val="00AF089B"/>
    <w:rsid w:val="00AF0959"/>
    <w:rsid w:val="00AF14E4"/>
    <w:rsid w:val="00AF155C"/>
    <w:rsid w:val="00AF1605"/>
    <w:rsid w:val="00AF17C3"/>
    <w:rsid w:val="00AF18F6"/>
    <w:rsid w:val="00AF19C5"/>
    <w:rsid w:val="00AF1D11"/>
    <w:rsid w:val="00AF231C"/>
    <w:rsid w:val="00AF25B0"/>
    <w:rsid w:val="00AF26C8"/>
    <w:rsid w:val="00AF273E"/>
    <w:rsid w:val="00AF27F8"/>
    <w:rsid w:val="00AF2A78"/>
    <w:rsid w:val="00AF2B67"/>
    <w:rsid w:val="00AF2B75"/>
    <w:rsid w:val="00AF2F11"/>
    <w:rsid w:val="00AF305A"/>
    <w:rsid w:val="00AF37E0"/>
    <w:rsid w:val="00AF4232"/>
    <w:rsid w:val="00AF462C"/>
    <w:rsid w:val="00AF468E"/>
    <w:rsid w:val="00AF47DC"/>
    <w:rsid w:val="00AF4EB6"/>
    <w:rsid w:val="00AF4FAE"/>
    <w:rsid w:val="00AF537E"/>
    <w:rsid w:val="00AF556B"/>
    <w:rsid w:val="00AF5602"/>
    <w:rsid w:val="00AF56EC"/>
    <w:rsid w:val="00AF5702"/>
    <w:rsid w:val="00AF58AF"/>
    <w:rsid w:val="00AF598A"/>
    <w:rsid w:val="00AF6079"/>
    <w:rsid w:val="00AF6195"/>
    <w:rsid w:val="00AF69F8"/>
    <w:rsid w:val="00AF6FE0"/>
    <w:rsid w:val="00AF7A74"/>
    <w:rsid w:val="00AF7DA9"/>
    <w:rsid w:val="00AF7DC1"/>
    <w:rsid w:val="00AF7EB8"/>
    <w:rsid w:val="00B000F3"/>
    <w:rsid w:val="00B004CE"/>
    <w:rsid w:val="00B005A2"/>
    <w:rsid w:val="00B00A03"/>
    <w:rsid w:val="00B00D5A"/>
    <w:rsid w:val="00B01013"/>
    <w:rsid w:val="00B01B4F"/>
    <w:rsid w:val="00B01DAB"/>
    <w:rsid w:val="00B02600"/>
    <w:rsid w:val="00B02D19"/>
    <w:rsid w:val="00B02D6C"/>
    <w:rsid w:val="00B02DA3"/>
    <w:rsid w:val="00B02EC9"/>
    <w:rsid w:val="00B02EF5"/>
    <w:rsid w:val="00B03713"/>
    <w:rsid w:val="00B0382D"/>
    <w:rsid w:val="00B03B23"/>
    <w:rsid w:val="00B03D24"/>
    <w:rsid w:val="00B041B0"/>
    <w:rsid w:val="00B04A31"/>
    <w:rsid w:val="00B04AFD"/>
    <w:rsid w:val="00B04D0C"/>
    <w:rsid w:val="00B04ECD"/>
    <w:rsid w:val="00B0502B"/>
    <w:rsid w:val="00B05116"/>
    <w:rsid w:val="00B05248"/>
    <w:rsid w:val="00B060F0"/>
    <w:rsid w:val="00B0621C"/>
    <w:rsid w:val="00B06234"/>
    <w:rsid w:val="00B06418"/>
    <w:rsid w:val="00B07C0B"/>
    <w:rsid w:val="00B101B0"/>
    <w:rsid w:val="00B1047B"/>
    <w:rsid w:val="00B1084A"/>
    <w:rsid w:val="00B10942"/>
    <w:rsid w:val="00B113D2"/>
    <w:rsid w:val="00B11774"/>
    <w:rsid w:val="00B11C1B"/>
    <w:rsid w:val="00B11D50"/>
    <w:rsid w:val="00B12736"/>
    <w:rsid w:val="00B12CC6"/>
    <w:rsid w:val="00B13043"/>
    <w:rsid w:val="00B13912"/>
    <w:rsid w:val="00B13BBE"/>
    <w:rsid w:val="00B140E9"/>
    <w:rsid w:val="00B141B7"/>
    <w:rsid w:val="00B14FA5"/>
    <w:rsid w:val="00B150AD"/>
    <w:rsid w:val="00B151EF"/>
    <w:rsid w:val="00B15228"/>
    <w:rsid w:val="00B157B2"/>
    <w:rsid w:val="00B15957"/>
    <w:rsid w:val="00B15B63"/>
    <w:rsid w:val="00B15E64"/>
    <w:rsid w:val="00B160D7"/>
    <w:rsid w:val="00B16294"/>
    <w:rsid w:val="00B16431"/>
    <w:rsid w:val="00B16457"/>
    <w:rsid w:val="00B16CBE"/>
    <w:rsid w:val="00B17B88"/>
    <w:rsid w:val="00B17E55"/>
    <w:rsid w:val="00B17EFD"/>
    <w:rsid w:val="00B205C6"/>
    <w:rsid w:val="00B205D1"/>
    <w:rsid w:val="00B206C6"/>
    <w:rsid w:val="00B20EB3"/>
    <w:rsid w:val="00B20ECE"/>
    <w:rsid w:val="00B20F52"/>
    <w:rsid w:val="00B21272"/>
    <w:rsid w:val="00B2182D"/>
    <w:rsid w:val="00B21C78"/>
    <w:rsid w:val="00B21ECE"/>
    <w:rsid w:val="00B220C7"/>
    <w:rsid w:val="00B22469"/>
    <w:rsid w:val="00B22AD4"/>
    <w:rsid w:val="00B22E80"/>
    <w:rsid w:val="00B230BC"/>
    <w:rsid w:val="00B2405E"/>
    <w:rsid w:val="00B243E4"/>
    <w:rsid w:val="00B244F8"/>
    <w:rsid w:val="00B24CC8"/>
    <w:rsid w:val="00B25871"/>
    <w:rsid w:val="00B259E0"/>
    <w:rsid w:val="00B25EE2"/>
    <w:rsid w:val="00B268BB"/>
    <w:rsid w:val="00B26C21"/>
    <w:rsid w:val="00B26D25"/>
    <w:rsid w:val="00B272C0"/>
    <w:rsid w:val="00B27A69"/>
    <w:rsid w:val="00B27AD9"/>
    <w:rsid w:val="00B30AA8"/>
    <w:rsid w:val="00B30D12"/>
    <w:rsid w:val="00B31366"/>
    <w:rsid w:val="00B314DB"/>
    <w:rsid w:val="00B31EE9"/>
    <w:rsid w:val="00B31F9A"/>
    <w:rsid w:val="00B32C52"/>
    <w:rsid w:val="00B32D4D"/>
    <w:rsid w:val="00B33174"/>
    <w:rsid w:val="00B332BD"/>
    <w:rsid w:val="00B339DE"/>
    <w:rsid w:val="00B33EC2"/>
    <w:rsid w:val="00B33F0D"/>
    <w:rsid w:val="00B33F6F"/>
    <w:rsid w:val="00B34267"/>
    <w:rsid w:val="00B346A3"/>
    <w:rsid w:val="00B34880"/>
    <w:rsid w:val="00B34ED2"/>
    <w:rsid w:val="00B34F8B"/>
    <w:rsid w:val="00B35035"/>
    <w:rsid w:val="00B3514F"/>
    <w:rsid w:val="00B35198"/>
    <w:rsid w:val="00B352E4"/>
    <w:rsid w:val="00B357C8"/>
    <w:rsid w:val="00B35BFB"/>
    <w:rsid w:val="00B36267"/>
    <w:rsid w:val="00B3658F"/>
    <w:rsid w:val="00B37C9D"/>
    <w:rsid w:val="00B37CED"/>
    <w:rsid w:val="00B406C8"/>
    <w:rsid w:val="00B40D5F"/>
    <w:rsid w:val="00B41516"/>
    <w:rsid w:val="00B41A97"/>
    <w:rsid w:val="00B41B11"/>
    <w:rsid w:val="00B41E8E"/>
    <w:rsid w:val="00B4207E"/>
    <w:rsid w:val="00B421B8"/>
    <w:rsid w:val="00B4227C"/>
    <w:rsid w:val="00B42D1F"/>
    <w:rsid w:val="00B4349D"/>
    <w:rsid w:val="00B43F92"/>
    <w:rsid w:val="00B4498A"/>
    <w:rsid w:val="00B46162"/>
    <w:rsid w:val="00B4664F"/>
    <w:rsid w:val="00B46CC6"/>
    <w:rsid w:val="00B47597"/>
    <w:rsid w:val="00B509D2"/>
    <w:rsid w:val="00B50D3D"/>
    <w:rsid w:val="00B50E12"/>
    <w:rsid w:val="00B51BD1"/>
    <w:rsid w:val="00B51CF7"/>
    <w:rsid w:val="00B52137"/>
    <w:rsid w:val="00B521B3"/>
    <w:rsid w:val="00B523AF"/>
    <w:rsid w:val="00B52704"/>
    <w:rsid w:val="00B53016"/>
    <w:rsid w:val="00B530CB"/>
    <w:rsid w:val="00B53155"/>
    <w:rsid w:val="00B53731"/>
    <w:rsid w:val="00B53D19"/>
    <w:rsid w:val="00B547BC"/>
    <w:rsid w:val="00B54886"/>
    <w:rsid w:val="00B54ACD"/>
    <w:rsid w:val="00B54CA7"/>
    <w:rsid w:val="00B56339"/>
    <w:rsid w:val="00B567BB"/>
    <w:rsid w:val="00B56A75"/>
    <w:rsid w:val="00B56AA0"/>
    <w:rsid w:val="00B56AD9"/>
    <w:rsid w:val="00B57195"/>
    <w:rsid w:val="00B57272"/>
    <w:rsid w:val="00B5744F"/>
    <w:rsid w:val="00B57641"/>
    <w:rsid w:val="00B57725"/>
    <w:rsid w:val="00B57E41"/>
    <w:rsid w:val="00B60165"/>
    <w:rsid w:val="00B60377"/>
    <w:rsid w:val="00B6065A"/>
    <w:rsid w:val="00B60F2C"/>
    <w:rsid w:val="00B61090"/>
    <w:rsid w:val="00B6178F"/>
    <w:rsid w:val="00B61C48"/>
    <w:rsid w:val="00B624BB"/>
    <w:rsid w:val="00B6262E"/>
    <w:rsid w:val="00B628C7"/>
    <w:rsid w:val="00B62FAC"/>
    <w:rsid w:val="00B62FDF"/>
    <w:rsid w:val="00B6355D"/>
    <w:rsid w:val="00B64216"/>
    <w:rsid w:val="00B64647"/>
    <w:rsid w:val="00B65391"/>
    <w:rsid w:val="00B65680"/>
    <w:rsid w:val="00B65F7D"/>
    <w:rsid w:val="00B6606C"/>
    <w:rsid w:val="00B66BC4"/>
    <w:rsid w:val="00B67413"/>
    <w:rsid w:val="00B676FA"/>
    <w:rsid w:val="00B677AA"/>
    <w:rsid w:val="00B67C75"/>
    <w:rsid w:val="00B67E56"/>
    <w:rsid w:val="00B67FA0"/>
    <w:rsid w:val="00B70BFA"/>
    <w:rsid w:val="00B70F4D"/>
    <w:rsid w:val="00B70FF4"/>
    <w:rsid w:val="00B711A7"/>
    <w:rsid w:val="00B712D7"/>
    <w:rsid w:val="00B71300"/>
    <w:rsid w:val="00B71687"/>
    <w:rsid w:val="00B71698"/>
    <w:rsid w:val="00B7175A"/>
    <w:rsid w:val="00B719C6"/>
    <w:rsid w:val="00B71A0D"/>
    <w:rsid w:val="00B71EF4"/>
    <w:rsid w:val="00B722FF"/>
    <w:rsid w:val="00B7240F"/>
    <w:rsid w:val="00B726A5"/>
    <w:rsid w:val="00B73011"/>
    <w:rsid w:val="00B73096"/>
    <w:rsid w:val="00B731B7"/>
    <w:rsid w:val="00B73A60"/>
    <w:rsid w:val="00B73C10"/>
    <w:rsid w:val="00B73D82"/>
    <w:rsid w:val="00B73F7C"/>
    <w:rsid w:val="00B74A31"/>
    <w:rsid w:val="00B74F7A"/>
    <w:rsid w:val="00B7511A"/>
    <w:rsid w:val="00B764A8"/>
    <w:rsid w:val="00B76659"/>
    <w:rsid w:val="00B76885"/>
    <w:rsid w:val="00B77225"/>
    <w:rsid w:val="00B7726B"/>
    <w:rsid w:val="00B77EEE"/>
    <w:rsid w:val="00B80B6A"/>
    <w:rsid w:val="00B80CD7"/>
    <w:rsid w:val="00B80F7E"/>
    <w:rsid w:val="00B8106A"/>
    <w:rsid w:val="00B81777"/>
    <w:rsid w:val="00B81A31"/>
    <w:rsid w:val="00B81D0F"/>
    <w:rsid w:val="00B81F8F"/>
    <w:rsid w:val="00B8209A"/>
    <w:rsid w:val="00B822CE"/>
    <w:rsid w:val="00B828E4"/>
    <w:rsid w:val="00B82D1B"/>
    <w:rsid w:val="00B82FB1"/>
    <w:rsid w:val="00B8309A"/>
    <w:rsid w:val="00B83300"/>
    <w:rsid w:val="00B83585"/>
    <w:rsid w:val="00B83B2E"/>
    <w:rsid w:val="00B83CBD"/>
    <w:rsid w:val="00B83E72"/>
    <w:rsid w:val="00B844C4"/>
    <w:rsid w:val="00B848F7"/>
    <w:rsid w:val="00B84F76"/>
    <w:rsid w:val="00B8554E"/>
    <w:rsid w:val="00B85568"/>
    <w:rsid w:val="00B855A4"/>
    <w:rsid w:val="00B85D7C"/>
    <w:rsid w:val="00B868D2"/>
    <w:rsid w:val="00B86B5B"/>
    <w:rsid w:val="00B86E53"/>
    <w:rsid w:val="00B87609"/>
    <w:rsid w:val="00B87A74"/>
    <w:rsid w:val="00B87CD6"/>
    <w:rsid w:val="00B90534"/>
    <w:rsid w:val="00B9107B"/>
    <w:rsid w:val="00B91A6F"/>
    <w:rsid w:val="00B91B41"/>
    <w:rsid w:val="00B91E51"/>
    <w:rsid w:val="00B922DB"/>
    <w:rsid w:val="00B926AC"/>
    <w:rsid w:val="00B928A6"/>
    <w:rsid w:val="00B93354"/>
    <w:rsid w:val="00B93357"/>
    <w:rsid w:val="00B939F6"/>
    <w:rsid w:val="00B93C38"/>
    <w:rsid w:val="00B93D44"/>
    <w:rsid w:val="00B93E02"/>
    <w:rsid w:val="00B940AC"/>
    <w:rsid w:val="00B943B3"/>
    <w:rsid w:val="00B94768"/>
    <w:rsid w:val="00B94A50"/>
    <w:rsid w:val="00B94D60"/>
    <w:rsid w:val="00B94E95"/>
    <w:rsid w:val="00B95029"/>
    <w:rsid w:val="00B9506A"/>
    <w:rsid w:val="00B95300"/>
    <w:rsid w:val="00B95879"/>
    <w:rsid w:val="00B95920"/>
    <w:rsid w:val="00B95E76"/>
    <w:rsid w:val="00B96388"/>
    <w:rsid w:val="00B96707"/>
    <w:rsid w:val="00B97BBB"/>
    <w:rsid w:val="00B97C12"/>
    <w:rsid w:val="00BA017E"/>
    <w:rsid w:val="00BA0B1D"/>
    <w:rsid w:val="00BA14ED"/>
    <w:rsid w:val="00BA1D51"/>
    <w:rsid w:val="00BA1FF9"/>
    <w:rsid w:val="00BA21CA"/>
    <w:rsid w:val="00BA2A6D"/>
    <w:rsid w:val="00BA2CA3"/>
    <w:rsid w:val="00BA2E4D"/>
    <w:rsid w:val="00BA2F9C"/>
    <w:rsid w:val="00BA3282"/>
    <w:rsid w:val="00BA36CE"/>
    <w:rsid w:val="00BA36E4"/>
    <w:rsid w:val="00BA3D6B"/>
    <w:rsid w:val="00BA3ECC"/>
    <w:rsid w:val="00BA3F50"/>
    <w:rsid w:val="00BA42AB"/>
    <w:rsid w:val="00BA4369"/>
    <w:rsid w:val="00BA4476"/>
    <w:rsid w:val="00BA49C1"/>
    <w:rsid w:val="00BA4A9E"/>
    <w:rsid w:val="00BA50F2"/>
    <w:rsid w:val="00BA5246"/>
    <w:rsid w:val="00BA538A"/>
    <w:rsid w:val="00BA593C"/>
    <w:rsid w:val="00BA5958"/>
    <w:rsid w:val="00BA6795"/>
    <w:rsid w:val="00BA688A"/>
    <w:rsid w:val="00BA7677"/>
    <w:rsid w:val="00BA779D"/>
    <w:rsid w:val="00BB001C"/>
    <w:rsid w:val="00BB00DB"/>
    <w:rsid w:val="00BB0409"/>
    <w:rsid w:val="00BB045D"/>
    <w:rsid w:val="00BB09A5"/>
    <w:rsid w:val="00BB0E88"/>
    <w:rsid w:val="00BB1505"/>
    <w:rsid w:val="00BB19D1"/>
    <w:rsid w:val="00BB20D7"/>
    <w:rsid w:val="00BB23FF"/>
    <w:rsid w:val="00BB2BD7"/>
    <w:rsid w:val="00BB36BD"/>
    <w:rsid w:val="00BB4131"/>
    <w:rsid w:val="00BB4687"/>
    <w:rsid w:val="00BB5076"/>
    <w:rsid w:val="00BB51A0"/>
    <w:rsid w:val="00BB5525"/>
    <w:rsid w:val="00BB5920"/>
    <w:rsid w:val="00BB65A4"/>
    <w:rsid w:val="00BB66BD"/>
    <w:rsid w:val="00BB6801"/>
    <w:rsid w:val="00BB69A7"/>
    <w:rsid w:val="00BB6C70"/>
    <w:rsid w:val="00BB6CF0"/>
    <w:rsid w:val="00BB6FA1"/>
    <w:rsid w:val="00BB71B2"/>
    <w:rsid w:val="00BB78A5"/>
    <w:rsid w:val="00BC03B0"/>
    <w:rsid w:val="00BC0E8F"/>
    <w:rsid w:val="00BC1A7D"/>
    <w:rsid w:val="00BC1AE7"/>
    <w:rsid w:val="00BC1BEA"/>
    <w:rsid w:val="00BC21AA"/>
    <w:rsid w:val="00BC242E"/>
    <w:rsid w:val="00BC25B9"/>
    <w:rsid w:val="00BC267F"/>
    <w:rsid w:val="00BC3091"/>
    <w:rsid w:val="00BC329D"/>
    <w:rsid w:val="00BC3F48"/>
    <w:rsid w:val="00BC4038"/>
    <w:rsid w:val="00BC440B"/>
    <w:rsid w:val="00BC460E"/>
    <w:rsid w:val="00BC57FC"/>
    <w:rsid w:val="00BC59CB"/>
    <w:rsid w:val="00BC6383"/>
    <w:rsid w:val="00BC642C"/>
    <w:rsid w:val="00BC6894"/>
    <w:rsid w:val="00BC69AC"/>
    <w:rsid w:val="00BC6B8E"/>
    <w:rsid w:val="00BC7A6F"/>
    <w:rsid w:val="00BC7DCD"/>
    <w:rsid w:val="00BC7F30"/>
    <w:rsid w:val="00BD056D"/>
    <w:rsid w:val="00BD1098"/>
    <w:rsid w:val="00BD12B3"/>
    <w:rsid w:val="00BD13AB"/>
    <w:rsid w:val="00BD16D0"/>
    <w:rsid w:val="00BD1BF8"/>
    <w:rsid w:val="00BD1E02"/>
    <w:rsid w:val="00BD20BF"/>
    <w:rsid w:val="00BD29A3"/>
    <w:rsid w:val="00BD30C3"/>
    <w:rsid w:val="00BD328F"/>
    <w:rsid w:val="00BD3828"/>
    <w:rsid w:val="00BD3D35"/>
    <w:rsid w:val="00BD42FF"/>
    <w:rsid w:val="00BD43B7"/>
    <w:rsid w:val="00BD489C"/>
    <w:rsid w:val="00BD4A6A"/>
    <w:rsid w:val="00BD4C73"/>
    <w:rsid w:val="00BD5220"/>
    <w:rsid w:val="00BD547D"/>
    <w:rsid w:val="00BD5940"/>
    <w:rsid w:val="00BD598F"/>
    <w:rsid w:val="00BD5B28"/>
    <w:rsid w:val="00BD5E78"/>
    <w:rsid w:val="00BD66A1"/>
    <w:rsid w:val="00BD693F"/>
    <w:rsid w:val="00BD6E18"/>
    <w:rsid w:val="00BD7913"/>
    <w:rsid w:val="00BE0350"/>
    <w:rsid w:val="00BE042E"/>
    <w:rsid w:val="00BE0B77"/>
    <w:rsid w:val="00BE0FF7"/>
    <w:rsid w:val="00BE115D"/>
    <w:rsid w:val="00BE126C"/>
    <w:rsid w:val="00BE193A"/>
    <w:rsid w:val="00BE1D29"/>
    <w:rsid w:val="00BE1D6F"/>
    <w:rsid w:val="00BE1EBA"/>
    <w:rsid w:val="00BE2794"/>
    <w:rsid w:val="00BE2AA5"/>
    <w:rsid w:val="00BE3F9B"/>
    <w:rsid w:val="00BE4253"/>
    <w:rsid w:val="00BE4771"/>
    <w:rsid w:val="00BE4A90"/>
    <w:rsid w:val="00BE4EC6"/>
    <w:rsid w:val="00BE52F3"/>
    <w:rsid w:val="00BE56FB"/>
    <w:rsid w:val="00BE598E"/>
    <w:rsid w:val="00BE5A77"/>
    <w:rsid w:val="00BE5BA6"/>
    <w:rsid w:val="00BE5E61"/>
    <w:rsid w:val="00BE5F79"/>
    <w:rsid w:val="00BE665D"/>
    <w:rsid w:val="00BE677E"/>
    <w:rsid w:val="00BE690C"/>
    <w:rsid w:val="00BE6CE3"/>
    <w:rsid w:val="00BE6D89"/>
    <w:rsid w:val="00BE71DA"/>
    <w:rsid w:val="00BE7982"/>
    <w:rsid w:val="00BE7A47"/>
    <w:rsid w:val="00BE7DCB"/>
    <w:rsid w:val="00BF02AC"/>
    <w:rsid w:val="00BF0323"/>
    <w:rsid w:val="00BF0461"/>
    <w:rsid w:val="00BF0CD0"/>
    <w:rsid w:val="00BF11E3"/>
    <w:rsid w:val="00BF16FA"/>
    <w:rsid w:val="00BF1EC4"/>
    <w:rsid w:val="00BF1FDD"/>
    <w:rsid w:val="00BF263B"/>
    <w:rsid w:val="00BF26BA"/>
    <w:rsid w:val="00BF2771"/>
    <w:rsid w:val="00BF33A3"/>
    <w:rsid w:val="00BF34B5"/>
    <w:rsid w:val="00BF35FB"/>
    <w:rsid w:val="00BF3647"/>
    <w:rsid w:val="00BF3BE9"/>
    <w:rsid w:val="00BF3C7B"/>
    <w:rsid w:val="00BF441D"/>
    <w:rsid w:val="00BF4561"/>
    <w:rsid w:val="00BF45AD"/>
    <w:rsid w:val="00BF4775"/>
    <w:rsid w:val="00BF50B5"/>
    <w:rsid w:val="00BF5B89"/>
    <w:rsid w:val="00BF6077"/>
    <w:rsid w:val="00BF7DE4"/>
    <w:rsid w:val="00BF7E8B"/>
    <w:rsid w:val="00BF7EE3"/>
    <w:rsid w:val="00C0023F"/>
    <w:rsid w:val="00C004C4"/>
    <w:rsid w:val="00C0060B"/>
    <w:rsid w:val="00C0080C"/>
    <w:rsid w:val="00C00E56"/>
    <w:rsid w:val="00C0132B"/>
    <w:rsid w:val="00C0132D"/>
    <w:rsid w:val="00C0174F"/>
    <w:rsid w:val="00C01F39"/>
    <w:rsid w:val="00C0213F"/>
    <w:rsid w:val="00C02389"/>
    <w:rsid w:val="00C027C5"/>
    <w:rsid w:val="00C02B19"/>
    <w:rsid w:val="00C0307E"/>
    <w:rsid w:val="00C034CB"/>
    <w:rsid w:val="00C03E8A"/>
    <w:rsid w:val="00C03EDC"/>
    <w:rsid w:val="00C0425F"/>
    <w:rsid w:val="00C04468"/>
    <w:rsid w:val="00C054AC"/>
    <w:rsid w:val="00C05562"/>
    <w:rsid w:val="00C06173"/>
    <w:rsid w:val="00C063E7"/>
    <w:rsid w:val="00C06638"/>
    <w:rsid w:val="00C066C6"/>
    <w:rsid w:val="00C06B9C"/>
    <w:rsid w:val="00C073AE"/>
    <w:rsid w:val="00C074CF"/>
    <w:rsid w:val="00C076B5"/>
    <w:rsid w:val="00C07A74"/>
    <w:rsid w:val="00C07C01"/>
    <w:rsid w:val="00C07E7F"/>
    <w:rsid w:val="00C07EC1"/>
    <w:rsid w:val="00C07FCB"/>
    <w:rsid w:val="00C100D7"/>
    <w:rsid w:val="00C10207"/>
    <w:rsid w:val="00C1118B"/>
    <w:rsid w:val="00C113F6"/>
    <w:rsid w:val="00C117A0"/>
    <w:rsid w:val="00C11897"/>
    <w:rsid w:val="00C11A46"/>
    <w:rsid w:val="00C11B53"/>
    <w:rsid w:val="00C11BB8"/>
    <w:rsid w:val="00C11E05"/>
    <w:rsid w:val="00C11F5D"/>
    <w:rsid w:val="00C12CE5"/>
    <w:rsid w:val="00C13BE6"/>
    <w:rsid w:val="00C14CD0"/>
    <w:rsid w:val="00C153BC"/>
    <w:rsid w:val="00C155E7"/>
    <w:rsid w:val="00C156FA"/>
    <w:rsid w:val="00C15A7C"/>
    <w:rsid w:val="00C15B16"/>
    <w:rsid w:val="00C15B28"/>
    <w:rsid w:val="00C16209"/>
    <w:rsid w:val="00C170D1"/>
    <w:rsid w:val="00C17405"/>
    <w:rsid w:val="00C17EB0"/>
    <w:rsid w:val="00C20291"/>
    <w:rsid w:val="00C205B4"/>
    <w:rsid w:val="00C20DAF"/>
    <w:rsid w:val="00C21421"/>
    <w:rsid w:val="00C2149D"/>
    <w:rsid w:val="00C216CA"/>
    <w:rsid w:val="00C21763"/>
    <w:rsid w:val="00C2187A"/>
    <w:rsid w:val="00C221C7"/>
    <w:rsid w:val="00C228CA"/>
    <w:rsid w:val="00C2295F"/>
    <w:rsid w:val="00C229F6"/>
    <w:rsid w:val="00C22D1E"/>
    <w:rsid w:val="00C23341"/>
    <w:rsid w:val="00C23970"/>
    <w:rsid w:val="00C23979"/>
    <w:rsid w:val="00C23BD7"/>
    <w:rsid w:val="00C240BE"/>
    <w:rsid w:val="00C24575"/>
    <w:rsid w:val="00C2473D"/>
    <w:rsid w:val="00C24AB8"/>
    <w:rsid w:val="00C24BFC"/>
    <w:rsid w:val="00C251D5"/>
    <w:rsid w:val="00C26140"/>
    <w:rsid w:val="00C266EE"/>
    <w:rsid w:val="00C26B6A"/>
    <w:rsid w:val="00C26B98"/>
    <w:rsid w:val="00C26CBF"/>
    <w:rsid w:val="00C26CCA"/>
    <w:rsid w:val="00C27168"/>
    <w:rsid w:val="00C273F9"/>
    <w:rsid w:val="00C27F1F"/>
    <w:rsid w:val="00C3088B"/>
    <w:rsid w:val="00C3089C"/>
    <w:rsid w:val="00C30B27"/>
    <w:rsid w:val="00C30E4F"/>
    <w:rsid w:val="00C30E9B"/>
    <w:rsid w:val="00C31458"/>
    <w:rsid w:val="00C318BD"/>
    <w:rsid w:val="00C3191C"/>
    <w:rsid w:val="00C31BB0"/>
    <w:rsid w:val="00C31E82"/>
    <w:rsid w:val="00C31FDE"/>
    <w:rsid w:val="00C32780"/>
    <w:rsid w:val="00C32904"/>
    <w:rsid w:val="00C32916"/>
    <w:rsid w:val="00C32A58"/>
    <w:rsid w:val="00C32B18"/>
    <w:rsid w:val="00C331A8"/>
    <w:rsid w:val="00C33496"/>
    <w:rsid w:val="00C33AA7"/>
    <w:rsid w:val="00C33BF6"/>
    <w:rsid w:val="00C33DBE"/>
    <w:rsid w:val="00C34228"/>
    <w:rsid w:val="00C348A2"/>
    <w:rsid w:val="00C34ABA"/>
    <w:rsid w:val="00C34E2D"/>
    <w:rsid w:val="00C351C4"/>
    <w:rsid w:val="00C35B7F"/>
    <w:rsid w:val="00C35B83"/>
    <w:rsid w:val="00C35BE1"/>
    <w:rsid w:val="00C35C74"/>
    <w:rsid w:val="00C35FAD"/>
    <w:rsid w:val="00C36101"/>
    <w:rsid w:val="00C36142"/>
    <w:rsid w:val="00C3616C"/>
    <w:rsid w:val="00C36410"/>
    <w:rsid w:val="00C36420"/>
    <w:rsid w:val="00C36A22"/>
    <w:rsid w:val="00C36CC4"/>
    <w:rsid w:val="00C36E1F"/>
    <w:rsid w:val="00C371D8"/>
    <w:rsid w:val="00C37775"/>
    <w:rsid w:val="00C37835"/>
    <w:rsid w:val="00C37D05"/>
    <w:rsid w:val="00C402B4"/>
    <w:rsid w:val="00C40F2A"/>
    <w:rsid w:val="00C411A8"/>
    <w:rsid w:val="00C4123F"/>
    <w:rsid w:val="00C41473"/>
    <w:rsid w:val="00C414F7"/>
    <w:rsid w:val="00C41E19"/>
    <w:rsid w:val="00C41F57"/>
    <w:rsid w:val="00C42551"/>
    <w:rsid w:val="00C429BE"/>
    <w:rsid w:val="00C43498"/>
    <w:rsid w:val="00C43A17"/>
    <w:rsid w:val="00C43D09"/>
    <w:rsid w:val="00C43D3D"/>
    <w:rsid w:val="00C43E7B"/>
    <w:rsid w:val="00C43EEF"/>
    <w:rsid w:val="00C44BBB"/>
    <w:rsid w:val="00C44BC2"/>
    <w:rsid w:val="00C45078"/>
    <w:rsid w:val="00C450B4"/>
    <w:rsid w:val="00C450B5"/>
    <w:rsid w:val="00C451BB"/>
    <w:rsid w:val="00C451C7"/>
    <w:rsid w:val="00C45556"/>
    <w:rsid w:val="00C46148"/>
    <w:rsid w:val="00C462FD"/>
    <w:rsid w:val="00C46560"/>
    <w:rsid w:val="00C46BE5"/>
    <w:rsid w:val="00C46CCA"/>
    <w:rsid w:val="00C470D3"/>
    <w:rsid w:val="00C47459"/>
    <w:rsid w:val="00C47FF2"/>
    <w:rsid w:val="00C5015C"/>
    <w:rsid w:val="00C50727"/>
    <w:rsid w:val="00C50AD5"/>
    <w:rsid w:val="00C50C29"/>
    <w:rsid w:val="00C51369"/>
    <w:rsid w:val="00C5158D"/>
    <w:rsid w:val="00C51757"/>
    <w:rsid w:val="00C5186A"/>
    <w:rsid w:val="00C51DDA"/>
    <w:rsid w:val="00C51F43"/>
    <w:rsid w:val="00C5227B"/>
    <w:rsid w:val="00C525B3"/>
    <w:rsid w:val="00C5266A"/>
    <w:rsid w:val="00C52735"/>
    <w:rsid w:val="00C529C5"/>
    <w:rsid w:val="00C52E2B"/>
    <w:rsid w:val="00C52FDA"/>
    <w:rsid w:val="00C53B57"/>
    <w:rsid w:val="00C53C05"/>
    <w:rsid w:val="00C545B9"/>
    <w:rsid w:val="00C5507D"/>
    <w:rsid w:val="00C552B0"/>
    <w:rsid w:val="00C5534E"/>
    <w:rsid w:val="00C556C0"/>
    <w:rsid w:val="00C55851"/>
    <w:rsid w:val="00C558F8"/>
    <w:rsid w:val="00C55CB0"/>
    <w:rsid w:val="00C55D94"/>
    <w:rsid w:val="00C55E0D"/>
    <w:rsid w:val="00C56080"/>
    <w:rsid w:val="00C5643F"/>
    <w:rsid w:val="00C565B0"/>
    <w:rsid w:val="00C56B70"/>
    <w:rsid w:val="00C5754F"/>
    <w:rsid w:val="00C6026B"/>
    <w:rsid w:val="00C60462"/>
    <w:rsid w:val="00C6070D"/>
    <w:rsid w:val="00C60ACB"/>
    <w:rsid w:val="00C610AA"/>
    <w:rsid w:val="00C61233"/>
    <w:rsid w:val="00C63007"/>
    <w:rsid w:val="00C634A3"/>
    <w:rsid w:val="00C635D7"/>
    <w:rsid w:val="00C6368A"/>
    <w:rsid w:val="00C63903"/>
    <w:rsid w:val="00C63EE8"/>
    <w:rsid w:val="00C641F0"/>
    <w:rsid w:val="00C6465A"/>
    <w:rsid w:val="00C6491C"/>
    <w:rsid w:val="00C64B15"/>
    <w:rsid w:val="00C64E3A"/>
    <w:rsid w:val="00C6504E"/>
    <w:rsid w:val="00C65588"/>
    <w:rsid w:val="00C65780"/>
    <w:rsid w:val="00C65BC8"/>
    <w:rsid w:val="00C65BD1"/>
    <w:rsid w:val="00C65C16"/>
    <w:rsid w:val="00C65DFC"/>
    <w:rsid w:val="00C65F20"/>
    <w:rsid w:val="00C66461"/>
    <w:rsid w:val="00C66477"/>
    <w:rsid w:val="00C67924"/>
    <w:rsid w:val="00C6797B"/>
    <w:rsid w:val="00C67A1B"/>
    <w:rsid w:val="00C67B6D"/>
    <w:rsid w:val="00C7005B"/>
    <w:rsid w:val="00C700B7"/>
    <w:rsid w:val="00C700D4"/>
    <w:rsid w:val="00C70EF3"/>
    <w:rsid w:val="00C710B0"/>
    <w:rsid w:val="00C719F5"/>
    <w:rsid w:val="00C71DF7"/>
    <w:rsid w:val="00C735CC"/>
    <w:rsid w:val="00C73B13"/>
    <w:rsid w:val="00C73D07"/>
    <w:rsid w:val="00C73DB9"/>
    <w:rsid w:val="00C74069"/>
    <w:rsid w:val="00C744CF"/>
    <w:rsid w:val="00C7452A"/>
    <w:rsid w:val="00C74614"/>
    <w:rsid w:val="00C7464C"/>
    <w:rsid w:val="00C746BC"/>
    <w:rsid w:val="00C746E9"/>
    <w:rsid w:val="00C7476C"/>
    <w:rsid w:val="00C748F2"/>
    <w:rsid w:val="00C74A9D"/>
    <w:rsid w:val="00C751AF"/>
    <w:rsid w:val="00C75EBC"/>
    <w:rsid w:val="00C76354"/>
    <w:rsid w:val="00C76434"/>
    <w:rsid w:val="00C76BBE"/>
    <w:rsid w:val="00C770FB"/>
    <w:rsid w:val="00C77200"/>
    <w:rsid w:val="00C7735C"/>
    <w:rsid w:val="00C7763A"/>
    <w:rsid w:val="00C77D88"/>
    <w:rsid w:val="00C77FB3"/>
    <w:rsid w:val="00C8016A"/>
    <w:rsid w:val="00C8037D"/>
    <w:rsid w:val="00C80AAF"/>
    <w:rsid w:val="00C80C24"/>
    <w:rsid w:val="00C80D80"/>
    <w:rsid w:val="00C81307"/>
    <w:rsid w:val="00C81BEC"/>
    <w:rsid w:val="00C81F3A"/>
    <w:rsid w:val="00C824E7"/>
    <w:rsid w:val="00C82776"/>
    <w:rsid w:val="00C82ABE"/>
    <w:rsid w:val="00C82AE0"/>
    <w:rsid w:val="00C82D25"/>
    <w:rsid w:val="00C835D9"/>
    <w:rsid w:val="00C8378F"/>
    <w:rsid w:val="00C83863"/>
    <w:rsid w:val="00C838F3"/>
    <w:rsid w:val="00C84090"/>
    <w:rsid w:val="00C84243"/>
    <w:rsid w:val="00C84832"/>
    <w:rsid w:val="00C85270"/>
    <w:rsid w:val="00C852C5"/>
    <w:rsid w:val="00C8567B"/>
    <w:rsid w:val="00C8591D"/>
    <w:rsid w:val="00C862CB"/>
    <w:rsid w:val="00C86566"/>
    <w:rsid w:val="00C86B0C"/>
    <w:rsid w:val="00C86F92"/>
    <w:rsid w:val="00C87556"/>
    <w:rsid w:val="00C87878"/>
    <w:rsid w:val="00C87948"/>
    <w:rsid w:val="00C87A9A"/>
    <w:rsid w:val="00C90057"/>
    <w:rsid w:val="00C9027C"/>
    <w:rsid w:val="00C905EF"/>
    <w:rsid w:val="00C90CD0"/>
    <w:rsid w:val="00C90D1C"/>
    <w:rsid w:val="00C90DC3"/>
    <w:rsid w:val="00C90DD1"/>
    <w:rsid w:val="00C91349"/>
    <w:rsid w:val="00C914B0"/>
    <w:rsid w:val="00C9153C"/>
    <w:rsid w:val="00C91BCF"/>
    <w:rsid w:val="00C91BF9"/>
    <w:rsid w:val="00C91FB0"/>
    <w:rsid w:val="00C92142"/>
    <w:rsid w:val="00C924B9"/>
    <w:rsid w:val="00C92A1F"/>
    <w:rsid w:val="00C92C1E"/>
    <w:rsid w:val="00C92E2F"/>
    <w:rsid w:val="00C92E4A"/>
    <w:rsid w:val="00C92F14"/>
    <w:rsid w:val="00C92F62"/>
    <w:rsid w:val="00C93448"/>
    <w:rsid w:val="00C9375B"/>
    <w:rsid w:val="00C93F20"/>
    <w:rsid w:val="00C93F74"/>
    <w:rsid w:val="00C94241"/>
    <w:rsid w:val="00C94A6D"/>
    <w:rsid w:val="00C94B0A"/>
    <w:rsid w:val="00C94FA6"/>
    <w:rsid w:val="00C9524D"/>
    <w:rsid w:val="00C95336"/>
    <w:rsid w:val="00C96133"/>
    <w:rsid w:val="00C962AC"/>
    <w:rsid w:val="00C967A0"/>
    <w:rsid w:val="00C975F1"/>
    <w:rsid w:val="00C976C7"/>
    <w:rsid w:val="00C97705"/>
    <w:rsid w:val="00C97DC2"/>
    <w:rsid w:val="00CA021C"/>
    <w:rsid w:val="00CA060B"/>
    <w:rsid w:val="00CA0A34"/>
    <w:rsid w:val="00CA10A7"/>
    <w:rsid w:val="00CA1189"/>
    <w:rsid w:val="00CA122B"/>
    <w:rsid w:val="00CA1515"/>
    <w:rsid w:val="00CA1677"/>
    <w:rsid w:val="00CA1909"/>
    <w:rsid w:val="00CA1F0A"/>
    <w:rsid w:val="00CA2B3C"/>
    <w:rsid w:val="00CA2CCE"/>
    <w:rsid w:val="00CA3559"/>
    <w:rsid w:val="00CA3AD2"/>
    <w:rsid w:val="00CA3D8C"/>
    <w:rsid w:val="00CA4985"/>
    <w:rsid w:val="00CA508D"/>
    <w:rsid w:val="00CA53CF"/>
    <w:rsid w:val="00CA5422"/>
    <w:rsid w:val="00CA5486"/>
    <w:rsid w:val="00CA569F"/>
    <w:rsid w:val="00CA572B"/>
    <w:rsid w:val="00CA5D8F"/>
    <w:rsid w:val="00CA66C2"/>
    <w:rsid w:val="00CA6895"/>
    <w:rsid w:val="00CA6FF7"/>
    <w:rsid w:val="00CA7AF7"/>
    <w:rsid w:val="00CA7B22"/>
    <w:rsid w:val="00CA7D02"/>
    <w:rsid w:val="00CA7D99"/>
    <w:rsid w:val="00CB01A9"/>
    <w:rsid w:val="00CB01C5"/>
    <w:rsid w:val="00CB0445"/>
    <w:rsid w:val="00CB064D"/>
    <w:rsid w:val="00CB0670"/>
    <w:rsid w:val="00CB0DFB"/>
    <w:rsid w:val="00CB0E9A"/>
    <w:rsid w:val="00CB1019"/>
    <w:rsid w:val="00CB1339"/>
    <w:rsid w:val="00CB19CF"/>
    <w:rsid w:val="00CB1D50"/>
    <w:rsid w:val="00CB2E53"/>
    <w:rsid w:val="00CB379E"/>
    <w:rsid w:val="00CB3ABC"/>
    <w:rsid w:val="00CB42F6"/>
    <w:rsid w:val="00CB48E6"/>
    <w:rsid w:val="00CB55BE"/>
    <w:rsid w:val="00CB56FA"/>
    <w:rsid w:val="00CB5B91"/>
    <w:rsid w:val="00CB6658"/>
    <w:rsid w:val="00CB6F35"/>
    <w:rsid w:val="00CB7444"/>
    <w:rsid w:val="00CB790A"/>
    <w:rsid w:val="00CB7C44"/>
    <w:rsid w:val="00CB7D4F"/>
    <w:rsid w:val="00CC04CF"/>
    <w:rsid w:val="00CC0A4D"/>
    <w:rsid w:val="00CC15A7"/>
    <w:rsid w:val="00CC193A"/>
    <w:rsid w:val="00CC1B50"/>
    <w:rsid w:val="00CC29D2"/>
    <w:rsid w:val="00CC2B1A"/>
    <w:rsid w:val="00CC2FD4"/>
    <w:rsid w:val="00CC34F3"/>
    <w:rsid w:val="00CC35A2"/>
    <w:rsid w:val="00CC387C"/>
    <w:rsid w:val="00CC3CC7"/>
    <w:rsid w:val="00CC4170"/>
    <w:rsid w:val="00CC4261"/>
    <w:rsid w:val="00CC42FB"/>
    <w:rsid w:val="00CC4B5C"/>
    <w:rsid w:val="00CC4B80"/>
    <w:rsid w:val="00CC4CA7"/>
    <w:rsid w:val="00CC4DE1"/>
    <w:rsid w:val="00CC57CD"/>
    <w:rsid w:val="00CC58AF"/>
    <w:rsid w:val="00CC6316"/>
    <w:rsid w:val="00CC6717"/>
    <w:rsid w:val="00CC6E6B"/>
    <w:rsid w:val="00CC7612"/>
    <w:rsid w:val="00CC7D59"/>
    <w:rsid w:val="00CC7EE6"/>
    <w:rsid w:val="00CD0258"/>
    <w:rsid w:val="00CD0B44"/>
    <w:rsid w:val="00CD0CB0"/>
    <w:rsid w:val="00CD18A1"/>
    <w:rsid w:val="00CD1A11"/>
    <w:rsid w:val="00CD1AFD"/>
    <w:rsid w:val="00CD1DC4"/>
    <w:rsid w:val="00CD2109"/>
    <w:rsid w:val="00CD2EEB"/>
    <w:rsid w:val="00CD2FFB"/>
    <w:rsid w:val="00CD32A0"/>
    <w:rsid w:val="00CD3588"/>
    <w:rsid w:val="00CD3D5D"/>
    <w:rsid w:val="00CD3D98"/>
    <w:rsid w:val="00CD3EFE"/>
    <w:rsid w:val="00CD41E9"/>
    <w:rsid w:val="00CD4932"/>
    <w:rsid w:val="00CD4D36"/>
    <w:rsid w:val="00CD560F"/>
    <w:rsid w:val="00CD5910"/>
    <w:rsid w:val="00CD5A96"/>
    <w:rsid w:val="00CD5C6D"/>
    <w:rsid w:val="00CD5D98"/>
    <w:rsid w:val="00CD5E95"/>
    <w:rsid w:val="00CD6CD8"/>
    <w:rsid w:val="00CD72CF"/>
    <w:rsid w:val="00CD75BB"/>
    <w:rsid w:val="00CD7757"/>
    <w:rsid w:val="00CD77B0"/>
    <w:rsid w:val="00CD7C1D"/>
    <w:rsid w:val="00CE0387"/>
    <w:rsid w:val="00CE08A2"/>
    <w:rsid w:val="00CE0BC2"/>
    <w:rsid w:val="00CE158D"/>
    <w:rsid w:val="00CE1E37"/>
    <w:rsid w:val="00CE23D4"/>
    <w:rsid w:val="00CE26F8"/>
    <w:rsid w:val="00CE28C2"/>
    <w:rsid w:val="00CE2B29"/>
    <w:rsid w:val="00CE2C61"/>
    <w:rsid w:val="00CE2E73"/>
    <w:rsid w:val="00CE2FE1"/>
    <w:rsid w:val="00CE325A"/>
    <w:rsid w:val="00CE3679"/>
    <w:rsid w:val="00CE388D"/>
    <w:rsid w:val="00CE3959"/>
    <w:rsid w:val="00CE3AD5"/>
    <w:rsid w:val="00CE4077"/>
    <w:rsid w:val="00CE4147"/>
    <w:rsid w:val="00CE4257"/>
    <w:rsid w:val="00CE43D2"/>
    <w:rsid w:val="00CE45BB"/>
    <w:rsid w:val="00CE47DF"/>
    <w:rsid w:val="00CE49E9"/>
    <w:rsid w:val="00CE4BFD"/>
    <w:rsid w:val="00CE4C9A"/>
    <w:rsid w:val="00CE525E"/>
    <w:rsid w:val="00CE53C4"/>
    <w:rsid w:val="00CE56A1"/>
    <w:rsid w:val="00CE5D86"/>
    <w:rsid w:val="00CE6D35"/>
    <w:rsid w:val="00CE7254"/>
    <w:rsid w:val="00CE7773"/>
    <w:rsid w:val="00CE791F"/>
    <w:rsid w:val="00CE7F55"/>
    <w:rsid w:val="00CF015B"/>
    <w:rsid w:val="00CF0794"/>
    <w:rsid w:val="00CF081D"/>
    <w:rsid w:val="00CF08D7"/>
    <w:rsid w:val="00CF12FD"/>
    <w:rsid w:val="00CF1729"/>
    <w:rsid w:val="00CF194C"/>
    <w:rsid w:val="00CF1ADF"/>
    <w:rsid w:val="00CF1DBF"/>
    <w:rsid w:val="00CF2B01"/>
    <w:rsid w:val="00CF2B49"/>
    <w:rsid w:val="00CF2CFF"/>
    <w:rsid w:val="00CF3148"/>
    <w:rsid w:val="00CF3374"/>
    <w:rsid w:val="00CF3925"/>
    <w:rsid w:val="00CF438C"/>
    <w:rsid w:val="00CF4BE8"/>
    <w:rsid w:val="00CF4C6C"/>
    <w:rsid w:val="00CF4F71"/>
    <w:rsid w:val="00CF5044"/>
    <w:rsid w:val="00CF594E"/>
    <w:rsid w:val="00CF638C"/>
    <w:rsid w:val="00CF66BA"/>
    <w:rsid w:val="00CF6C36"/>
    <w:rsid w:val="00CF7187"/>
    <w:rsid w:val="00CF77FB"/>
    <w:rsid w:val="00CF7FCB"/>
    <w:rsid w:val="00D00602"/>
    <w:rsid w:val="00D007E1"/>
    <w:rsid w:val="00D00B33"/>
    <w:rsid w:val="00D00B38"/>
    <w:rsid w:val="00D00D2E"/>
    <w:rsid w:val="00D01004"/>
    <w:rsid w:val="00D01031"/>
    <w:rsid w:val="00D0103F"/>
    <w:rsid w:val="00D0181D"/>
    <w:rsid w:val="00D026B2"/>
    <w:rsid w:val="00D027A5"/>
    <w:rsid w:val="00D02BC1"/>
    <w:rsid w:val="00D02BD8"/>
    <w:rsid w:val="00D02FF8"/>
    <w:rsid w:val="00D030E4"/>
    <w:rsid w:val="00D034BA"/>
    <w:rsid w:val="00D037F3"/>
    <w:rsid w:val="00D03A00"/>
    <w:rsid w:val="00D04C25"/>
    <w:rsid w:val="00D05C63"/>
    <w:rsid w:val="00D0659F"/>
    <w:rsid w:val="00D069EB"/>
    <w:rsid w:val="00D06B6C"/>
    <w:rsid w:val="00D06FAB"/>
    <w:rsid w:val="00D07145"/>
    <w:rsid w:val="00D071E5"/>
    <w:rsid w:val="00D07255"/>
    <w:rsid w:val="00D07A4D"/>
    <w:rsid w:val="00D07DF5"/>
    <w:rsid w:val="00D102CB"/>
    <w:rsid w:val="00D10583"/>
    <w:rsid w:val="00D1076E"/>
    <w:rsid w:val="00D10F8F"/>
    <w:rsid w:val="00D11081"/>
    <w:rsid w:val="00D112BF"/>
    <w:rsid w:val="00D1144F"/>
    <w:rsid w:val="00D1148B"/>
    <w:rsid w:val="00D115AD"/>
    <w:rsid w:val="00D11627"/>
    <w:rsid w:val="00D118F1"/>
    <w:rsid w:val="00D11FD5"/>
    <w:rsid w:val="00D12534"/>
    <w:rsid w:val="00D12709"/>
    <w:rsid w:val="00D1300D"/>
    <w:rsid w:val="00D13050"/>
    <w:rsid w:val="00D1333E"/>
    <w:rsid w:val="00D13605"/>
    <w:rsid w:val="00D137D3"/>
    <w:rsid w:val="00D13CA0"/>
    <w:rsid w:val="00D13FBE"/>
    <w:rsid w:val="00D14029"/>
    <w:rsid w:val="00D14401"/>
    <w:rsid w:val="00D14B7F"/>
    <w:rsid w:val="00D15079"/>
    <w:rsid w:val="00D15203"/>
    <w:rsid w:val="00D1598B"/>
    <w:rsid w:val="00D15E2F"/>
    <w:rsid w:val="00D15E81"/>
    <w:rsid w:val="00D16435"/>
    <w:rsid w:val="00D166A0"/>
    <w:rsid w:val="00D16AC6"/>
    <w:rsid w:val="00D16D2B"/>
    <w:rsid w:val="00D16DAD"/>
    <w:rsid w:val="00D17167"/>
    <w:rsid w:val="00D17591"/>
    <w:rsid w:val="00D17842"/>
    <w:rsid w:val="00D17A54"/>
    <w:rsid w:val="00D17B83"/>
    <w:rsid w:val="00D17C88"/>
    <w:rsid w:val="00D201D9"/>
    <w:rsid w:val="00D2023A"/>
    <w:rsid w:val="00D20342"/>
    <w:rsid w:val="00D20971"/>
    <w:rsid w:val="00D20A6D"/>
    <w:rsid w:val="00D20AB1"/>
    <w:rsid w:val="00D20DE2"/>
    <w:rsid w:val="00D20E7E"/>
    <w:rsid w:val="00D21082"/>
    <w:rsid w:val="00D215B5"/>
    <w:rsid w:val="00D21866"/>
    <w:rsid w:val="00D21AAE"/>
    <w:rsid w:val="00D2221C"/>
    <w:rsid w:val="00D226C1"/>
    <w:rsid w:val="00D2282F"/>
    <w:rsid w:val="00D2286B"/>
    <w:rsid w:val="00D228BB"/>
    <w:rsid w:val="00D234F9"/>
    <w:rsid w:val="00D23E7F"/>
    <w:rsid w:val="00D23FED"/>
    <w:rsid w:val="00D24129"/>
    <w:rsid w:val="00D2450E"/>
    <w:rsid w:val="00D24655"/>
    <w:rsid w:val="00D24BD4"/>
    <w:rsid w:val="00D24F11"/>
    <w:rsid w:val="00D25033"/>
    <w:rsid w:val="00D252DB"/>
    <w:rsid w:val="00D25530"/>
    <w:rsid w:val="00D25D0F"/>
    <w:rsid w:val="00D26093"/>
    <w:rsid w:val="00D26209"/>
    <w:rsid w:val="00D26364"/>
    <w:rsid w:val="00D26603"/>
    <w:rsid w:val="00D2734B"/>
    <w:rsid w:val="00D27BDA"/>
    <w:rsid w:val="00D301B0"/>
    <w:rsid w:val="00D3043B"/>
    <w:rsid w:val="00D30930"/>
    <w:rsid w:val="00D30B38"/>
    <w:rsid w:val="00D31600"/>
    <w:rsid w:val="00D3210A"/>
    <w:rsid w:val="00D32197"/>
    <w:rsid w:val="00D323DA"/>
    <w:rsid w:val="00D328FE"/>
    <w:rsid w:val="00D331E1"/>
    <w:rsid w:val="00D335D1"/>
    <w:rsid w:val="00D33BD7"/>
    <w:rsid w:val="00D3478C"/>
    <w:rsid w:val="00D34DC7"/>
    <w:rsid w:val="00D34E57"/>
    <w:rsid w:val="00D34EF8"/>
    <w:rsid w:val="00D352A8"/>
    <w:rsid w:val="00D35796"/>
    <w:rsid w:val="00D362F3"/>
    <w:rsid w:val="00D364B7"/>
    <w:rsid w:val="00D36A25"/>
    <w:rsid w:val="00D36B8F"/>
    <w:rsid w:val="00D37117"/>
    <w:rsid w:val="00D373EF"/>
    <w:rsid w:val="00D37842"/>
    <w:rsid w:val="00D37A69"/>
    <w:rsid w:val="00D40A42"/>
    <w:rsid w:val="00D41457"/>
    <w:rsid w:val="00D416FC"/>
    <w:rsid w:val="00D429F3"/>
    <w:rsid w:val="00D42B56"/>
    <w:rsid w:val="00D42EF5"/>
    <w:rsid w:val="00D43D0C"/>
    <w:rsid w:val="00D43E26"/>
    <w:rsid w:val="00D441F2"/>
    <w:rsid w:val="00D44637"/>
    <w:rsid w:val="00D4476B"/>
    <w:rsid w:val="00D44D41"/>
    <w:rsid w:val="00D45016"/>
    <w:rsid w:val="00D4569A"/>
    <w:rsid w:val="00D45B4A"/>
    <w:rsid w:val="00D45D6F"/>
    <w:rsid w:val="00D45E8F"/>
    <w:rsid w:val="00D464BE"/>
    <w:rsid w:val="00D46A43"/>
    <w:rsid w:val="00D46EAE"/>
    <w:rsid w:val="00D4707E"/>
    <w:rsid w:val="00D47C86"/>
    <w:rsid w:val="00D47D97"/>
    <w:rsid w:val="00D501AF"/>
    <w:rsid w:val="00D5026A"/>
    <w:rsid w:val="00D506B8"/>
    <w:rsid w:val="00D50818"/>
    <w:rsid w:val="00D509FF"/>
    <w:rsid w:val="00D51011"/>
    <w:rsid w:val="00D51B6B"/>
    <w:rsid w:val="00D522A6"/>
    <w:rsid w:val="00D5231D"/>
    <w:rsid w:val="00D525CF"/>
    <w:rsid w:val="00D52619"/>
    <w:rsid w:val="00D526BB"/>
    <w:rsid w:val="00D528CC"/>
    <w:rsid w:val="00D52C2C"/>
    <w:rsid w:val="00D53351"/>
    <w:rsid w:val="00D5360D"/>
    <w:rsid w:val="00D53957"/>
    <w:rsid w:val="00D53B60"/>
    <w:rsid w:val="00D54007"/>
    <w:rsid w:val="00D54412"/>
    <w:rsid w:val="00D54614"/>
    <w:rsid w:val="00D549C4"/>
    <w:rsid w:val="00D54CAC"/>
    <w:rsid w:val="00D54CD0"/>
    <w:rsid w:val="00D54DC3"/>
    <w:rsid w:val="00D554DF"/>
    <w:rsid w:val="00D55701"/>
    <w:rsid w:val="00D55B71"/>
    <w:rsid w:val="00D55B7F"/>
    <w:rsid w:val="00D563C2"/>
    <w:rsid w:val="00D5678F"/>
    <w:rsid w:val="00D56E11"/>
    <w:rsid w:val="00D56EAA"/>
    <w:rsid w:val="00D56EDF"/>
    <w:rsid w:val="00D57136"/>
    <w:rsid w:val="00D57263"/>
    <w:rsid w:val="00D572B0"/>
    <w:rsid w:val="00D57353"/>
    <w:rsid w:val="00D578E5"/>
    <w:rsid w:val="00D57A71"/>
    <w:rsid w:val="00D57AFA"/>
    <w:rsid w:val="00D57C80"/>
    <w:rsid w:val="00D60EAB"/>
    <w:rsid w:val="00D6143C"/>
    <w:rsid w:val="00D616E6"/>
    <w:rsid w:val="00D61704"/>
    <w:rsid w:val="00D618ED"/>
    <w:rsid w:val="00D61AF2"/>
    <w:rsid w:val="00D62740"/>
    <w:rsid w:val="00D62A96"/>
    <w:rsid w:val="00D63144"/>
    <w:rsid w:val="00D6337B"/>
    <w:rsid w:val="00D636A1"/>
    <w:rsid w:val="00D63AEB"/>
    <w:rsid w:val="00D6476D"/>
    <w:rsid w:val="00D6579A"/>
    <w:rsid w:val="00D658A4"/>
    <w:rsid w:val="00D6662D"/>
    <w:rsid w:val="00D6689E"/>
    <w:rsid w:val="00D66E99"/>
    <w:rsid w:val="00D6790C"/>
    <w:rsid w:val="00D6796C"/>
    <w:rsid w:val="00D67E00"/>
    <w:rsid w:val="00D67E6E"/>
    <w:rsid w:val="00D703F8"/>
    <w:rsid w:val="00D70B24"/>
    <w:rsid w:val="00D70D7F"/>
    <w:rsid w:val="00D718BE"/>
    <w:rsid w:val="00D719A6"/>
    <w:rsid w:val="00D71C4B"/>
    <w:rsid w:val="00D721BD"/>
    <w:rsid w:val="00D723EE"/>
    <w:rsid w:val="00D72DD7"/>
    <w:rsid w:val="00D7328E"/>
    <w:rsid w:val="00D732CD"/>
    <w:rsid w:val="00D73760"/>
    <w:rsid w:val="00D73850"/>
    <w:rsid w:val="00D73A3E"/>
    <w:rsid w:val="00D73A76"/>
    <w:rsid w:val="00D73DF0"/>
    <w:rsid w:val="00D7400C"/>
    <w:rsid w:val="00D7422C"/>
    <w:rsid w:val="00D7442D"/>
    <w:rsid w:val="00D74BC2"/>
    <w:rsid w:val="00D75153"/>
    <w:rsid w:val="00D75F5F"/>
    <w:rsid w:val="00D76324"/>
    <w:rsid w:val="00D76421"/>
    <w:rsid w:val="00D76758"/>
    <w:rsid w:val="00D76D63"/>
    <w:rsid w:val="00D774B1"/>
    <w:rsid w:val="00D7761A"/>
    <w:rsid w:val="00D779E1"/>
    <w:rsid w:val="00D77A0A"/>
    <w:rsid w:val="00D77AB8"/>
    <w:rsid w:val="00D77BD8"/>
    <w:rsid w:val="00D77C74"/>
    <w:rsid w:val="00D77C84"/>
    <w:rsid w:val="00D800B2"/>
    <w:rsid w:val="00D800C2"/>
    <w:rsid w:val="00D800E6"/>
    <w:rsid w:val="00D8084E"/>
    <w:rsid w:val="00D8097C"/>
    <w:rsid w:val="00D80A90"/>
    <w:rsid w:val="00D80B27"/>
    <w:rsid w:val="00D80C2F"/>
    <w:rsid w:val="00D80D93"/>
    <w:rsid w:val="00D81BEA"/>
    <w:rsid w:val="00D822D2"/>
    <w:rsid w:val="00D8307B"/>
    <w:rsid w:val="00D83787"/>
    <w:rsid w:val="00D837CD"/>
    <w:rsid w:val="00D8460C"/>
    <w:rsid w:val="00D84671"/>
    <w:rsid w:val="00D84DC4"/>
    <w:rsid w:val="00D85035"/>
    <w:rsid w:val="00D853E4"/>
    <w:rsid w:val="00D855CC"/>
    <w:rsid w:val="00D859EF"/>
    <w:rsid w:val="00D85E88"/>
    <w:rsid w:val="00D85EC0"/>
    <w:rsid w:val="00D8618E"/>
    <w:rsid w:val="00D8692A"/>
    <w:rsid w:val="00D869EC"/>
    <w:rsid w:val="00D86AF2"/>
    <w:rsid w:val="00D86FA4"/>
    <w:rsid w:val="00D870A0"/>
    <w:rsid w:val="00D87212"/>
    <w:rsid w:val="00D873E8"/>
    <w:rsid w:val="00D87B15"/>
    <w:rsid w:val="00D87C27"/>
    <w:rsid w:val="00D87EE5"/>
    <w:rsid w:val="00D902F4"/>
    <w:rsid w:val="00D90370"/>
    <w:rsid w:val="00D903DE"/>
    <w:rsid w:val="00D9044B"/>
    <w:rsid w:val="00D9066A"/>
    <w:rsid w:val="00D90774"/>
    <w:rsid w:val="00D90A09"/>
    <w:rsid w:val="00D90B32"/>
    <w:rsid w:val="00D90C1D"/>
    <w:rsid w:val="00D90C65"/>
    <w:rsid w:val="00D90F98"/>
    <w:rsid w:val="00D9140A"/>
    <w:rsid w:val="00D91600"/>
    <w:rsid w:val="00D918BD"/>
    <w:rsid w:val="00D919C2"/>
    <w:rsid w:val="00D91EB4"/>
    <w:rsid w:val="00D92C68"/>
    <w:rsid w:val="00D92D8B"/>
    <w:rsid w:val="00D93081"/>
    <w:rsid w:val="00D93951"/>
    <w:rsid w:val="00D93EB8"/>
    <w:rsid w:val="00D93F75"/>
    <w:rsid w:val="00D94711"/>
    <w:rsid w:val="00D94ED8"/>
    <w:rsid w:val="00D95070"/>
    <w:rsid w:val="00D95472"/>
    <w:rsid w:val="00D956D0"/>
    <w:rsid w:val="00D957D0"/>
    <w:rsid w:val="00D95D60"/>
    <w:rsid w:val="00D95D92"/>
    <w:rsid w:val="00D95FE6"/>
    <w:rsid w:val="00D962AF"/>
    <w:rsid w:val="00D96585"/>
    <w:rsid w:val="00D9686F"/>
    <w:rsid w:val="00D96B45"/>
    <w:rsid w:val="00D96D4A"/>
    <w:rsid w:val="00D976F8"/>
    <w:rsid w:val="00D97C71"/>
    <w:rsid w:val="00DA0BB2"/>
    <w:rsid w:val="00DA18D9"/>
    <w:rsid w:val="00DA1C24"/>
    <w:rsid w:val="00DA1CE6"/>
    <w:rsid w:val="00DA24E5"/>
    <w:rsid w:val="00DA25E2"/>
    <w:rsid w:val="00DA2D30"/>
    <w:rsid w:val="00DA311D"/>
    <w:rsid w:val="00DA3182"/>
    <w:rsid w:val="00DA3693"/>
    <w:rsid w:val="00DA39B5"/>
    <w:rsid w:val="00DA3F77"/>
    <w:rsid w:val="00DA4251"/>
    <w:rsid w:val="00DA4A84"/>
    <w:rsid w:val="00DA4B17"/>
    <w:rsid w:val="00DA4BFD"/>
    <w:rsid w:val="00DA4F79"/>
    <w:rsid w:val="00DA5383"/>
    <w:rsid w:val="00DA5C8F"/>
    <w:rsid w:val="00DA67F1"/>
    <w:rsid w:val="00DA74CE"/>
    <w:rsid w:val="00DA7515"/>
    <w:rsid w:val="00DA7A39"/>
    <w:rsid w:val="00DA7B09"/>
    <w:rsid w:val="00DA7CA5"/>
    <w:rsid w:val="00DB021F"/>
    <w:rsid w:val="00DB0854"/>
    <w:rsid w:val="00DB171B"/>
    <w:rsid w:val="00DB1769"/>
    <w:rsid w:val="00DB1A62"/>
    <w:rsid w:val="00DB23FD"/>
    <w:rsid w:val="00DB274F"/>
    <w:rsid w:val="00DB281A"/>
    <w:rsid w:val="00DB2A61"/>
    <w:rsid w:val="00DB2C0E"/>
    <w:rsid w:val="00DB2EB5"/>
    <w:rsid w:val="00DB3D55"/>
    <w:rsid w:val="00DB3E32"/>
    <w:rsid w:val="00DB4217"/>
    <w:rsid w:val="00DB451E"/>
    <w:rsid w:val="00DB4960"/>
    <w:rsid w:val="00DB4D4E"/>
    <w:rsid w:val="00DB4E0E"/>
    <w:rsid w:val="00DB5367"/>
    <w:rsid w:val="00DB55DC"/>
    <w:rsid w:val="00DB5968"/>
    <w:rsid w:val="00DB6069"/>
    <w:rsid w:val="00DB63D8"/>
    <w:rsid w:val="00DB6C1D"/>
    <w:rsid w:val="00DB6DE2"/>
    <w:rsid w:val="00DB7407"/>
    <w:rsid w:val="00DB7558"/>
    <w:rsid w:val="00DB76FE"/>
    <w:rsid w:val="00DB7895"/>
    <w:rsid w:val="00DC0126"/>
    <w:rsid w:val="00DC0381"/>
    <w:rsid w:val="00DC0521"/>
    <w:rsid w:val="00DC056B"/>
    <w:rsid w:val="00DC079D"/>
    <w:rsid w:val="00DC0828"/>
    <w:rsid w:val="00DC1D38"/>
    <w:rsid w:val="00DC1EBF"/>
    <w:rsid w:val="00DC1F5E"/>
    <w:rsid w:val="00DC2084"/>
    <w:rsid w:val="00DC2124"/>
    <w:rsid w:val="00DC232D"/>
    <w:rsid w:val="00DC27F7"/>
    <w:rsid w:val="00DC28B2"/>
    <w:rsid w:val="00DC35C6"/>
    <w:rsid w:val="00DC39E8"/>
    <w:rsid w:val="00DC3F71"/>
    <w:rsid w:val="00DC46CF"/>
    <w:rsid w:val="00DC46FC"/>
    <w:rsid w:val="00DC4844"/>
    <w:rsid w:val="00DC4C08"/>
    <w:rsid w:val="00DC4F16"/>
    <w:rsid w:val="00DC5166"/>
    <w:rsid w:val="00DC56E1"/>
    <w:rsid w:val="00DC651B"/>
    <w:rsid w:val="00DC678A"/>
    <w:rsid w:val="00DC6BA4"/>
    <w:rsid w:val="00DC6C14"/>
    <w:rsid w:val="00DC6EDB"/>
    <w:rsid w:val="00DC71D4"/>
    <w:rsid w:val="00DC7419"/>
    <w:rsid w:val="00DC78A3"/>
    <w:rsid w:val="00DC7D6A"/>
    <w:rsid w:val="00DC7FAA"/>
    <w:rsid w:val="00DC7FCD"/>
    <w:rsid w:val="00DD0042"/>
    <w:rsid w:val="00DD049E"/>
    <w:rsid w:val="00DD078E"/>
    <w:rsid w:val="00DD0889"/>
    <w:rsid w:val="00DD0C86"/>
    <w:rsid w:val="00DD0CE5"/>
    <w:rsid w:val="00DD102A"/>
    <w:rsid w:val="00DD10AD"/>
    <w:rsid w:val="00DD1173"/>
    <w:rsid w:val="00DD1299"/>
    <w:rsid w:val="00DD12B9"/>
    <w:rsid w:val="00DD1DF7"/>
    <w:rsid w:val="00DD1FF8"/>
    <w:rsid w:val="00DD20A4"/>
    <w:rsid w:val="00DD22B2"/>
    <w:rsid w:val="00DD25D2"/>
    <w:rsid w:val="00DD2747"/>
    <w:rsid w:val="00DD2826"/>
    <w:rsid w:val="00DD2DD1"/>
    <w:rsid w:val="00DD2EAD"/>
    <w:rsid w:val="00DD3236"/>
    <w:rsid w:val="00DD3289"/>
    <w:rsid w:val="00DD33D6"/>
    <w:rsid w:val="00DD3591"/>
    <w:rsid w:val="00DD37C9"/>
    <w:rsid w:val="00DD37D7"/>
    <w:rsid w:val="00DD42DD"/>
    <w:rsid w:val="00DD491C"/>
    <w:rsid w:val="00DD4F20"/>
    <w:rsid w:val="00DD5066"/>
    <w:rsid w:val="00DD55BF"/>
    <w:rsid w:val="00DD5966"/>
    <w:rsid w:val="00DD5AFA"/>
    <w:rsid w:val="00DD6094"/>
    <w:rsid w:val="00DD6802"/>
    <w:rsid w:val="00DD6BC5"/>
    <w:rsid w:val="00DD6BE7"/>
    <w:rsid w:val="00DD736F"/>
    <w:rsid w:val="00DE03C7"/>
    <w:rsid w:val="00DE04F4"/>
    <w:rsid w:val="00DE0563"/>
    <w:rsid w:val="00DE095D"/>
    <w:rsid w:val="00DE0A29"/>
    <w:rsid w:val="00DE0B43"/>
    <w:rsid w:val="00DE0E16"/>
    <w:rsid w:val="00DE0E4E"/>
    <w:rsid w:val="00DE1015"/>
    <w:rsid w:val="00DE10A7"/>
    <w:rsid w:val="00DE142D"/>
    <w:rsid w:val="00DE1515"/>
    <w:rsid w:val="00DE1643"/>
    <w:rsid w:val="00DE1656"/>
    <w:rsid w:val="00DE185A"/>
    <w:rsid w:val="00DE1CFF"/>
    <w:rsid w:val="00DE23C8"/>
    <w:rsid w:val="00DE2426"/>
    <w:rsid w:val="00DE280E"/>
    <w:rsid w:val="00DE2A20"/>
    <w:rsid w:val="00DE3B94"/>
    <w:rsid w:val="00DE411C"/>
    <w:rsid w:val="00DE5355"/>
    <w:rsid w:val="00DE5376"/>
    <w:rsid w:val="00DE5AFC"/>
    <w:rsid w:val="00DE5E0E"/>
    <w:rsid w:val="00DE6461"/>
    <w:rsid w:val="00DE7F2E"/>
    <w:rsid w:val="00DF0151"/>
    <w:rsid w:val="00DF080A"/>
    <w:rsid w:val="00DF0D66"/>
    <w:rsid w:val="00DF1053"/>
    <w:rsid w:val="00DF1CF7"/>
    <w:rsid w:val="00DF1D55"/>
    <w:rsid w:val="00DF1FB0"/>
    <w:rsid w:val="00DF2665"/>
    <w:rsid w:val="00DF31DF"/>
    <w:rsid w:val="00DF39F3"/>
    <w:rsid w:val="00DF3B61"/>
    <w:rsid w:val="00DF3BF0"/>
    <w:rsid w:val="00DF3D84"/>
    <w:rsid w:val="00DF4526"/>
    <w:rsid w:val="00DF4D38"/>
    <w:rsid w:val="00DF4FC1"/>
    <w:rsid w:val="00DF5401"/>
    <w:rsid w:val="00DF629E"/>
    <w:rsid w:val="00DF7064"/>
    <w:rsid w:val="00DF710A"/>
    <w:rsid w:val="00DF77CB"/>
    <w:rsid w:val="00DF7B4D"/>
    <w:rsid w:val="00DF7E46"/>
    <w:rsid w:val="00E000F7"/>
    <w:rsid w:val="00E0031E"/>
    <w:rsid w:val="00E012D2"/>
    <w:rsid w:val="00E0134A"/>
    <w:rsid w:val="00E0164C"/>
    <w:rsid w:val="00E0194C"/>
    <w:rsid w:val="00E0199C"/>
    <w:rsid w:val="00E01FBB"/>
    <w:rsid w:val="00E0208E"/>
    <w:rsid w:val="00E025E1"/>
    <w:rsid w:val="00E02BB9"/>
    <w:rsid w:val="00E0313B"/>
    <w:rsid w:val="00E03320"/>
    <w:rsid w:val="00E036D2"/>
    <w:rsid w:val="00E03F23"/>
    <w:rsid w:val="00E043E5"/>
    <w:rsid w:val="00E0448A"/>
    <w:rsid w:val="00E04ABF"/>
    <w:rsid w:val="00E0546C"/>
    <w:rsid w:val="00E05699"/>
    <w:rsid w:val="00E057A8"/>
    <w:rsid w:val="00E06123"/>
    <w:rsid w:val="00E06891"/>
    <w:rsid w:val="00E06907"/>
    <w:rsid w:val="00E06AE1"/>
    <w:rsid w:val="00E07339"/>
    <w:rsid w:val="00E07372"/>
    <w:rsid w:val="00E07E9B"/>
    <w:rsid w:val="00E101CF"/>
    <w:rsid w:val="00E10383"/>
    <w:rsid w:val="00E10B76"/>
    <w:rsid w:val="00E10C45"/>
    <w:rsid w:val="00E10EF4"/>
    <w:rsid w:val="00E11038"/>
    <w:rsid w:val="00E115AF"/>
    <w:rsid w:val="00E11770"/>
    <w:rsid w:val="00E118DB"/>
    <w:rsid w:val="00E1199D"/>
    <w:rsid w:val="00E11B57"/>
    <w:rsid w:val="00E11B60"/>
    <w:rsid w:val="00E11B62"/>
    <w:rsid w:val="00E11DA1"/>
    <w:rsid w:val="00E11DF1"/>
    <w:rsid w:val="00E11FBE"/>
    <w:rsid w:val="00E120B5"/>
    <w:rsid w:val="00E120C6"/>
    <w:rsid w:val="00E126BA"/>
    <w:rsid w:val="00E12977"/>
    <w:rsid w:val="00E12ABA"/>
    <w:rsid w:val="00E12F2B"/>
    <w:rsid w:val="00E1330A"/>
    <w:rsid w:val="00E13806"/>
    <w:rsid w:val="00E13D1D"/>
    <w:rsid w:val="00E13D74"/>
    <w:rsid w:val="00E144DD"/>
    <w:rsid w:val="00E14975"/>
    <w:rsid w:val="00E14DDD"/>
    <w:rsid w:val="00E14FD7"/>
    <w:rsid w:val="00E1540A"/>
    <w:rsid w:val="00E154EE"/>
    <w:rsid w:val="00E15BFB"/>
    <w:rsid w:val="00E15D0B"/>
    <w:rsid w:val="00E15F86"/>
    <w:rsid w:val="00E16029"/>
    <w:rsid w:val="00E161F1"/>
    <w:rsid w:val="00E1630F"/>
    <w:rsid w:val="00E166A0"/>
    <w:rsid w:val="00E1671B"/>
    <w:rsid w:val="00E1697B"/>
    <w:rsid w:val="00E16D75"/>
    <w:rsid w:val="00E174D6"/>
    <w:rsid w:val="00E175B9"/>
    <w:rsid w:val="00E17CA6"/>
    <w:rsid w:val="00E20024"/>
    <w:rsid w:val="00E201E2"/>
    <w:rsid w:val="00E20629"/>
    <w:rsid w:val="00E20BC9"/>
    <w:rsid w:val="00E21565"/>
    <w:rsid w:val="00E215D8"/>
    <w:rsid w:val="00E21A3B"/>
    <w:rsid w:val="00E22047"/>
    <w:rsid w:val="00E22A22"/>
    <w:rsid w:val="00E23765"/>
    <w:rsid w:val="00E2392A"/>
    <w:rsid w:val="00E23BC6"/>
    <w:rsid w:val="00E2414D"/>
    <w:rsid w:val="00E24210"/>
    <w:rsid w:val="00E242DB"/>
    <w:rsid w:val="00E243CB"/>
    <w:rsid w:val="00E24894"/>
    <w:rsid w:val="00E25028"/>
    <w:rsid w:val="00E25051"/>
    <w:rsid w:val="00E25244"/>
    <w:rsid w:val="00E25988"/>
    <w:rsid w:val="00E2646D"/>
    <w:rsid w:val="00E26678"/>
    <w:rsid w:val="00E26A60"/>
    <w:rsid w:val="00E26B1E"/>
    <w:rsid w:val="00E27443"/>
    <w:rsid w:val="00E27671"/>
    <w:rsid w:val="00E27AD4"/>
    <w:rsid w:val="00E27CD3"/>
    <w:rsid w:val="00E27FB4"/>
    <w:rsid w:val="00E308F8"/>
    <w:rsid w:val="00E3141A"/>
    <w:rsid w:val="00E31D3D"/>
    <w:rsid w:val="00E3239E"/>
    <w:rsid w:val="00E32587"/>
    <w:rsid w:val="00E32A79"/>
    <w:rsid w:val="00E32B8F"/>
    <w:rsid w:val="00E32CA2"/>
    <w:rsid w:val="00E32DFC"/>
    <w:rsid w:val="00E330F6"/>
    <w:rsid w:val="00E33235"/>
    <w:rsid w:val="00E33882"/>
    <w:rsid w:val="00E3475C"/>
    <w:rsid w:val="00E34970"/>
    <w:rsid w:val="00E34A5F"/>
    <w:rsid w:val="00E34D66"/>
    <w:rsid w:val="00E34DCD"/>
    <w:rsid w:val="00E359BC"/>
    <w:rsid w:val="00E35B24"/>
    <w:rsid w:val="00E35D03"/>
    <w:rsid w:val="00E35D3B"/>
    <w:rsid w:val="00E36065"/>
    <w:rsid w:val="00E36796"/>
    <w:rsid w:val="00E367CA"/>
    <w:rsid w:val="00E3691F"/>
    <w:rsid w:val="00E36BB5"/>
    <w:rsid w:val="00E3708D"/>
    <w:rsid w:val="00E37576"/>
    <w:rsid w:val="00E3794A"/>
    <w:rsid w:val="00E4015E"/>
    <w:rsid w:val="00E403A4"/>
    <w:rsid w:val="00E409AA"/>
    <w:rsid w:val="00E40D4D"/>
    <w:rsid w:val="00E40D9E"/>
    <w:rsid w:val="00E40FF4"/>
    <w:rsid w:val="00E416E5"/>
    <w:rsid w:val="00E41F00"/>
    <w:rsid w:val="00E4201A"/>
    <w:rsid w:val="00E4201B"/>
    <w:rsid w:val="00E42C61"/>
    <w:rsid w:val="00E43C4B"/>
    <w:rsid w:val="00E43C63"/>
    <w:rsid w:val="00E441D9"/>
    <w:rsid w:val="00E44421"/>
    <w:rsid w:val="00E4512E"/>
    <w:rsid w:val="00E4524D"/>
    <w:rsid w:val="00E45322"/>
    <w:rsid w:val="00E45802"/>
    <w:rsid w:val="00E45C15"/>
    <w:rsid w:val="00E45F67"/>
    <w:rsid w:val="00E45FC1"/>
    <w:rsid w:val="00E46051"/>
    <w:rsid w:val="00E460E1"/>
    <w:rsid w:val="00E4620C"/>
    <w:rsid w:val="00E462AA"/>
    <w:rsid w:val="00E466AE"/>
    <w:rsid w:val="00E46DA6"/>
    <w:rsid w:val="00E471D6"/>
    <w:rsid w:val="00E4796C"/>
    <w:rsid w:val="00E5007D"/>
    <w:rsid w:val="00E506E1"/>
    <w:rsid w:val="00E50F74"/>
    <w:rsid w:val="00E51138"/>
    <w:rsid w:val="00E51919"/>
    <w:rsid w:val="00E51DA5"/>
    <w:rsid w:val="00E52439"/>
    <w:rsid w:val="00E528AB"/>
    <w:rsid w:val="00E52C18"/>
    <w:rsid w:val="00E53545"/>
    <w:rsid w:val="00E5366B"/>
    <w:rsid w:val="00E53B6C"/>
    <w:rsid w:val="00E53F90"/>
    <w:rsid w:val="00E5432F"/>
    <w:rsid w:val="00E54370"/>
    <w:rsid w:val="00E548FD"/>
    <w:rsid w:val="00E54E90"/>
    <w:rsid w:val="00E55684"/>
    <w:rsid w:val="00E55805"/>
    <w:rsid w:val="00E55B69"/>
    <w:rsid w:val="00E5678E"/>
    <w:rsid w:val="00E5692A"/>
    <w:rsid w:val="00E56BCE"/>
    <w:rsid w:val="00E56C9A"/>
    <w:rsid w:val="00E56D9A"/>
    <w:rsid w:val="00E56FFE"/>
    <w:rsid w:val="00E60769"/>
    <w:rsid w:val="00E608B4"/>
    <w:rsid w:val="00E61235"/>
    <w:rsid w:val="00E61448"/>
    <w:rsid w:val="00E616C9"/>
    <w:rsid w:val="00E618B3"/>
    <w:rsid w:val="00E61CDC"/>
    <w:rsid w:val="00E61F75"/>
    <w:rsid w:val="00E625B6"/>
    <w:rsid w:val="00E6269B"/>
    <w:rsid w:val="00E6299D"/>
    <w:rsid w:val="00E62E58"/>
    <w:rsid w:val="00E63089"/>
    <w:rsid w:val="00E6311A"/>
    <w:rsid w:val="00E63CAC"/>
    <w:rsid w:val="00E645AF"/>
    <w:rsid w:val="00E64A61"/>
    <w:rsid w:val="00E6592B"/>
    <w:rsid w:val="00E659CD"/>
    <w:rsid w:val="00E65B6D"/>
    <w:rsid w:val="00E67202"/>
    <w:rsid w:val="00E674F9"/>
    <w:rsid w:val="00E675BC"/>
    <w:rsid w:val="00E7021D"/>
    <w:rsid w:val="00E70798"/>
    <w:rsid w:val="00E708A7"/>
    <w:rsid w:val="00E71509"/>
    <w:rsid w:val="00E716CD"/>
    <w:rsid w:val="00E72A81"/>
    <w:rsid w:val="00E72AF5"/>
    <w:rsid w:val="00E72E73"/>
    <w:rsid w:val="00E72FF3"/>
    <w:rsid w:val="00E733F8"/>
    <w:rsid w:val="00E7391E"/>
    <w:rsid w:val="00E73ECD"/>
    <w:rsid w:val="00E740CB"/>
    <w:rsid w:val="00E744BC"/>
    <w:rsid w:val="00E745B7"/>
    <w:rsid w:val="00E745D2"/>
    <w:rsid w:val="00E74783"/>
    <w:rsid w:val="00E74B50"/>
    <w:rsid w:val="00E74ED1"/>
    <w:rsid w:val="00E7548B"/>
    <w:rsid w:val="00E758E9"/>
    <w:rsid w:val="00E75DBE"/>
    <w:rsid w:val="00E7612A"/>
    <w:rsid w:val="00E76486"/>
    <w:rsid w:val="00E76625"/>
    <w:rsid w:val="00E76CF8"/>
    <w:rsid w:val="00E77341"/>
    <w:rsid w:val="00E7767F"/>
    <w:rsid w:val="00E777B2"/>
    <w:rsid w:val="00E77DD9"/>
    <w:rsid w:val="00E8028C"/>
    <w:rsid w:val="00E8033C"/>
    <w:rsid w:val="00E80B1D"/>
    <w:rsid w:val="00E80DFE"/>
    <w:rsid w:val="00E8142D"/>
    <w:rsid w:val="00E8154A"/>
    <w:rsid w:val="00E81CDF"/>
    <w:rsid w:val="00E8215F"/>
    <w:rsid w:val="00E8265F"/>
    <w:rsid w:val="00E82B2A"/>
    <w:rsid w:val="00E82DF9"/>
    <w:rsid w:val="00E8375C"/>
    <w:rsid w:val="00E83C92"/>
    <w:rsid w:val="00E84B5F"/>
    <w:rsid w:val="00E84B8F"/>
    <w:rsid w:val="00E84BF3"/>
    <w:rsid w:val="00E84C4F"/>
    <w:rsid w:val="00E84EB0"/>
    <w:rsid w:val="00E851B2"/>
    <w:rsid w:val="00E853C9"/>
    <w:rsid w:val="00E8553B"/>
    <w:rsid w:val="00E85D74"/>
    <w:rsid w:val="00E85EAB"/>
    <w:rsid w:val="00E8642B"/>
    <w:rsid w:val="00E86715"/>
    <w:rsid w:val="00E86AD2"/>
    <w:rsid w:val="00E86CC0"/>
    <w:rsid w:val="00E8717D"/>
    <w:rsid w:val="00E871B3"/>
    <w:rsid w:val="00E8750E"/>
    <w:rsid w:val="00E878B5"/>
    <w:rsid w:val="00E879FE"/>
    <w:rsid w:val="00E87A55"/>
    <w:rsid w:val="00E87A79"/>
    <w:rsid w:val="00E87D63"/>
    <w:rsid w:val="00E90072"/>
    <w:rsid w:val="00E9051D"/>
    <w:rsid w:val="00E908E2"/>
    <w:rsid w:val="00E90939"/>
    <w:rsid w:val="00E9194E"/>
    <w:rsid w:val="00E920C4"/>
    <w:rsid w:val="00E921D5"/>
    <w:rsid w:val="00E921F8"/>
    <w:rsid w:val="00E92514"/>
    <w:rsid w:val="00E92D48"/>
    <w:rsid w:val="00E92DA2"/>
    <w:rsid w:val="00E931E7"/>
    <w:rsid w:val="00E9321E"/>
    <w:rsid w:val="00E93438"/>
    <w:rsid w:val="00E934A0"/>
    <w:rsid w:val="00E9360D"/>
    <w:rsid w:val="00E938BD"/>
    <w:rsid w:val="00E93C63"/>
    <w:rsid w:val="00E93C76"/>
    <w:rsid w:val="00E9412C"/>
    <w:rsid w:val="00E9419A"/>
    <w:rsid w:val="00E94B1C"/>
    <w:rsid w:val="00E94BCD"/>
    <w:rsid w:val="00E95366"/>
    <w:rsid w:val="00E95645"/>
    <w:rsid w:val="00E95683"/>
    <w:rsid w:val="00E958B5"/>
    <w:rsid w:val="00E95AA4"/>
    <w:rsid w:val="00E96611"/>
    <w:rsid w:val="00E9682E"/>
    <w:rsid w:val="00E96F83"/>
    <w:rsid w:val="00E974BF"/>
    <w:rsid w:val="00E977F4"/>
    <w:rsid w:val="00E97889"/>
    <w:rsid w:val="00E97A5E"/>
    <w:rsid w:val="00E97C90"/>
    <w:rsid w:val="00E97DE6"/>
    <w:rsid w:val="00EA0012"/>
    <w:rsid w:val="00EA0041"/>
    <w:rsid w:val="00EA004D"/>
    <w:rsid w:val="00EA0051"/>
    <w:rsid w:val="00EA066B"/>
    <w:rsid w:val="00EA0FD7"/>
    <w:rsid w:val="00EA180A"/>
    <w:rsid w:val="00EA1850"/>
    <w:rsid w:val="00EA2ECF"/>
    <w:rsid w:val="00EA31C6"/>
    <w:rsid w:val="00EA35B4"/>
    <w:rsid w:val="00EA3AEE"/>
    <w:rsid w:val="00EA3B68"/>
    <w:rsid w:val="00EA3D1F"/>
    <w:rsid w:val="00EA4277"/>
    <w:rsid w:val="00EA45C4"/>
    <w:rsid w:val="00EA46CA"/>
    <w:rsid w:val="00EA4CC0"/>
    <w:rsid w:val="00EA4ED4"/>
    <w:rsid w:val="00EA587F"/>
    <w:rsid w:val="00EA6008"/>
    <w:rsid w:val="00EA64A8"/>
    <w:rsid w:val="00EA66A2"/>
    <w:rsid w:val="00EA6731"/>
    <w:rsid w:val="00EA6DE4"/>
    <w:rsid w:val="00EA7B89"/>
    <w:rsid w:val="00EB05BF"/>
    <w:rsid w:val="00EB0848"/>
    <w:rsid w:val="00EB0925"/>
    <w:rsid w:val="00EB0C9C"/>
    <w:rsid w:val="00EB120C"/>
    <w:rsid w:val="00EB15E8"/>
    <w:rsid w:val="00EB1817"/>
    <w:rsid w:val="00EB1AF6"/>
    <w:rsid w:val="00EB1E0B"/>
    <w:rsid w:val="00EB1F07"/>
    <w:rsid w:val="00EB2094"/>
    <w:rsid w:val="00EB2168"/>
    <w:rsid w:val="00EB23D2"/>
    <w:rsid w:val="00EB24D5"/>
    <w:rsid w:val="00EB27C8"/>
    <w:rsid w:val="00EB31A7"/>
    <w:rsid w:val="00EB31AE"/>
    <w:rsid w:val="00EB3502"/>
    <w:rsid w:val="00EB3551"/>
    <w:rsid w:val="00EB3EE6"/>
    <w:rsid w:val="00EB403E"/>
    <w:rsid w:val="00EB4B3B"/>
    <w:rsid w:val="00EB4B4E"/>
    <w:rsid w:val="00EB4D50"/>
    <w:rsid w:val="00EB55CD"/>
    <w:rsid w:val="00EB585D"/>
    <w:rsid w:val="00EB5869"/>
    <w:rsid w:val="00EB5A49"/>
    <w:rsid w:val="00EB5CAD"/>
    <w:rsid w:val="00EB6085"/>
    <w:rsid w:val="00EB61F0"/>
    <w:rsid w:val="00EB62F1"/>
    <w:rsid w:val="00EB6300"/>
    <w:rsid w:val="00EB6345"/>
    <w:rsid w:val="00EB6777"/>
    <w:rsid w:val="00EB6C90"/>
    <w:rsid w:val="00EB6D47"/>
    <w:rsid w:val="00EB6E78"/>
    <w:rsid w:val="00EB7007"/>
    <w:rsid w:val="00EB740B"/>
    <w:rsid w:val="00EB7753"/>
    <w:rsid w:val="00EC1960"/>
    <w:rsid w:val="00EC1CF3"/>
    <w:rsid w:val="00EC1D33"/>
    <w:rsid w:val="00EC2473"/>
    <w:rsid w:val="00EC2665"/>
    <w:rsid w:val="00EC2827"/>
    <w:rsid w:val="00EC29B1"/>
    <w:rsid w:val="00EC2C64"/>
    <w:rsid w:val="00EC2EA9"/>
    <w:rsid w:val="00EC308C"/>
    <w:rsid w:val="00EC33B1"/>
    <w:rsid w:val="00EC3486"/>
    <w:rsid w:val="00EC37B3"/>
    <w:rsid w:val="00EC3C3A"/>
    <w:rsid w:val="00EC43BB"/>
    <w:rsid w:val="00EC45CA"/>
    <w:rsid w:val="00EC48B9"/>
    <w:rsid w:val="00EC4CC6"/>
    <w:rsid w:val="00EC4ED3"/>
    <w:rsid w:val="00EC4FAF"/>
    <w:rsid w:val="00EC5087"/>
    <w:rsid w:val="00EC51CE"/>
    <w:rsid w:val="00EC5834"/>
    <w:rsid w:val="00EC6509"/>
    <w:rsid w:val="00EC65E5"/>
    <w:rsid w:val="00EC69DF"/>
    <w:rsid w:val="00EC6B7C"/>
    <w:rsid w:val="00EC6C7D"/>
    <w:rsid w:val="00EC6E9E"/>
    <w:rsid w:val="00EC720F"/>
    <w:rsid w:val="00EC72EE"/>
    <w:rsid w:val="00EC74CF"/>
    <w:rsid w:val="00ED083B"/>
    <w:rsid w:val="00ED08E8"/>
    <w:rsid w:val="00ED0E38"/>
    <w:rsid w:val="00ED1177"/>
    <w:rsid w:val="00ED1A68"/>
    <w:rsid w:val="00ED1DE5"/>
    <w:rsid w:val="00ED1FFF"/>
    <w:rsid w:val="00ED2747"/>
    <w:rsid w:val="00ED2811"/>
    <w:rsid w:val="00ED283F"/>
    <w:rsid w:val="00ED285D"/>
    <w:rsid w:val="00ED294D"/>
    <w:rsid w:val="00ED2A10"/>
    <w:rsid w:val="00ED325B"/>
    <w:rsid w:val="00ED3505"/>
    <w:rsid w:val="00ED38FA"/>
    <w:rsid w:val="00ED3937"/>
    <w:rsid w:val="00ED3B09"/>
    <w:rsid w:val="00ED3DF2"/>
    <w:rsid w:val="00ED3F2E"/>
    <w:rsid w:val="00ED446F"/>
    <w:rsid w:val="00ED49A1"/>
    <w:rsid w:val="00ED4ACB"/>
    <w:rsid w:val="00ED4DF5"/>
    <w:rsid w:val="00ED5556"/>
    <w:rsid w:val="00ED5941"/>
    <w:rsid w:val="00ED623D"/>
    <w:rsid w:val="00ED6257"/>
    <w:rsid w:val="00ED63F2"/>
    <w:rsid w:val="00ED6878"/>
    <w:rsid w:val="00ED6D08"/>
    <w:rsid w:val="00ED70A9"/>
    <w:rsid w:val="00ED75E4"/>
    <w:rsid w:val="00ED75FD"/>
    <w:rsid w:val="00ED7C1A"/>
    <w:rsid w:val="00EE020C"/>
    <w:rsid w:val="00EE0553"/>
    <w:rsid w:val="00EE055C"/>
    <w:rsid w:val="00EE0581"/>
    <w:rsid w:val="00EE07FC"/>
    <w:rsid w:val="00EE0D06"/>
    <w:rsid w:val="00EE117B"/>
    <w:rsid w:val="00EE144E"/>
    <w:rsid w:val="00EE14D2"/>
    <w:rsid w:val="00EE2730"/>
    <w:rsid w:val="00EE27E7"/>
    <w:rsid w:val="00EE2994"/>
    <w:rsid w:val="00EE29AA"/>
    <w:rsid w:val="00EE2CEF"/>
    <w:rsid w:val="00EE2F14"/>
    <w:rsid w:val="00EE304D"/>
    <w:rsid w:val="00EE31DD"/>
    <w:rsid w:val="00EE336B"/>
    <w:rsid w:val="00EE343C"/>
    <w:rsid w:val="00EE4301"/>
    <w:rsid w:val="00EE4399"/>
    <w:rsid w:val="00EE4A48"/>
    <w:rsid w:val="00EE4F60"/>
    <w:rsid w:val="00EE57C5"/>
    <w:rsid w:val="00EE63A5"/>
    <w:rsid w:val="00EE6582"/>
    <w:rsid w:val="00EE67C7"/>
    <w:rsid w:val="00EE6A90"/>
    <w:rsid w:val="00EE6AAA"/>
    <w:rsid w:val="00EE70C4"/>
    <w:rsid w:val="00EE72F1"/>
    <w:rsid w:val="00EE7973"/>
    <w:rsid w:val="00EF0586"/>
    <w:rsid w:val="00EF0B60"/>
    <w:rsid w:val="00EF0D67"/>
    <w:rsid w:val="00EF0EB2"/>
    <w:rsid w:val="00EF1BBE"/>
    <w:rsid w:val="00EF1E98"/>
    <w:rsid w:val="00EF2128"/>
    <w:rsid w:val="00EF215C"/>
    <w:rsid w:val="00EF2AD8"/>
    <w:rsid w:val="00EF2B03"/>
    <w:rsid w:val="00EF2B3D"/>
    <w:rsid w:val="00EF2EA5"/>
    <w:rsid w:val="00EF4107"/>
    <w:rsid w:val="00EF44DE"/>
    <w:rsid w:val="00EF46BE"/>
    <w:rsid w:val="00EF4C1A"/>
    <w:rsid w:val="00EF505D"/>
    <w:rsid w:val="00EF55C3"/>
    <w:rsid w:val="00EF59FC"/>
    <w:rsid w:val="00EF5C9B"/>
    <w:rsid w:val="00EF693F"/>
    <w:rsid w:val="00EF6F07"/>
    <w:rsid w:val="00EF7187"/>
    <w:rsid w:val="00EF7348"/>
    <w:rsid w:val="00EF763A"/>
    <w:rsid w:val="00EF7B4E"/>
    <w:rsid w:val="00EF7D10"/>
    <w:rsid w:val="00EF7D5C"/>
    <w:rsid w:val="00EF7EC1"/>
    <w:rsid w:val="00F000D4"/>
    <w:rsid w:val="00F000DF"/>
    <w:rsid w:val="00F00130"/>
    <w:rsid w:val="00F00312"/>
    <w:rsid w:val="00F00680"/>
    <w:rsid w:val="00F009E8"/>
    <w:rsid w:val="00F00AF6"/>
    <w:rsid w:val="00F0120B"/>
    <w:rsid w:val="00F01A68"/>
    <w:rsid w:val="00F01C4B"/>
    <w:rsid w:val="00F01C5B"/>
    <w:rsid w:val="00F01E62"/>
    <w:rsid w:val="00F01FFA"/>
    <w:rsid w:val="00F02AB4"/>
    <w:rsid w:val="00F035BF"/>
    <w:rsid w:val="00F037C4"/>
    <w:rsid w:val="00F03954"/>
    <w:rsid w:val="00F03F06"/>
    <w:rsid w:val="00F03F2B"/>
    <w:rsid w:val="00F0413A"/>
    <w:rsid w:val="00F0428A"/>
    <w:rsid w:val="00F0476E"/>
    <w:rsid w:val="00F04E79"/>
    <w:rsid w:val="00F04E9C"/>
    <w:rsid w:val="00F05145"/>
    <w:rsid w:val="00F05478"/>
    <w:rsid w:val="00F05514"/>
    <w:rsid w:val="00F05789"/>
    <w:rsid w:val="00F06607"/>
    <w:rsid w:val="00F06B13"/>
    <w:rsid w:val="00F06BCF"/>
    <w:rsid w:val="00F075EA"/>
    <w:rsid w:val="00F0791B"/>
    <w:rsid w:val="00F07BC0"/>
    <w:rsid w:val="00F07C38"/>
    <w:rsid w:val="00F07D89"/>
    <w:rsid w:val="00F10192"/>
    <w:rsid w:val="00F1100A"/>
    <w:rsid w:val="00F1144A"/>
    <w:rsid w:val="00F1169F"/>
    <w:rsid w:val="00F11AB4"/>
    <w:rsid w:val="00F123B7"/>
    <w:rsid w:val="00F12B4C"/>
    <w:rsid w:val="00F12B7C"/>
    <w:rsid w:val="00F12D85"/>
    <w:rsid w:val="00F12EFB"/>
    <w:rsid w:val="00F13ABC"/>
    <w:rsid w:val="00F13C12"/>
    <w:rsid w:val="00F13C56"/>
    <w:rsid w:val="00F13D01"/>
    <w:rsid w:val="00F14117"/>
    <w:rsid w:val="00F151F0"/>
    <w:rsid w:val="00F152F7"/>
    <w:rsid w:val="00F15977"/>
    <w:rsid w:val="00F15A4B"/>
    <w:rsid w:val="00F15C6E"/>
    <w:rsid w:val="00F15DA0"/>
    <w:rsid w:val="00F16031"/>
    <w:rsid w:val="00F168D9"/>
    <w:rsid w:val="00F16C91"/>
    <w:rsid w:val="00F16D8F"/>
    <w:rsid w:val="00F16DB9"/>
    <w:rsid w:val="00F16E17"/>
    <w:rsid w:val="00F179C2"/>
    <w:rsid w:val="00F17B62"/>
    <w:rsid w:val="00F17E2F"/>
    <w:rsid w:val="00F203C6"/>
    <w:rsid w:val="00F2066F"/>
    <w:rsid w:val="00F20FE0"/>
    <w:rsid w:val="00F211BF"/>
    <w:rsid w:val="00F214D3"/>
    <w:rsid w:val="00F217DC"/>
    <w:rsid w:val="00F21ADF"/>
    <w:rsid w:val="00F2222D"/>
    <w:rsid w:val="00F222FF"/>
    <w:rsid w:val="00F2246E"/>
    <w:rsid w:val="00F2291A"/>
    <w:rsid w:val="00F22EA3"/>
    <w:rsid w:val="00F235C1"/>
    <w:rsid w:val="00F23A8A"/>
    <w:rsid w:val="00F23B1B"/>
    <w:rsid w:val="00F2506B"/>
    <w:rsid w:val="00F251DD"/>
    <w:rsid w:val="00F252A5"/>
    <w:rsid w:val="00F25444"/>
    <w:rsid w:val="00F26016"/>
    <w:rsid w:val="00F26869"/>
    <w:rsid w:val="00F26980"/>
    <w:rsid w:val="00F2786B"/>
    <w:rsid w:val="00F2797E"/>
    <w:rsid w:val="00F27A78"/>
    <w:rsid w:val="00F30089"/>
    <w:rsid w:val="00F30206"/>
    <w:rsid w:val="00F30222"/>
    <w:rsid w:val="00F315E2"/>
    <w:rsid w:val="00F316C8"/>
    <w:rsid w:val="00F318FB"/>
    <w:rsid w:val="00F32017"/>
    <w:rsid w:val="00F32228"/>
    <w:rsid w:val="00F32804"/>
    <w:rsid w:val="00F32DBD"/>
    <w:rsid w:val="00F334EA"/>
    <w:rsid w:val="00F334EE"/>
    <w:rsid w:val="00F3358E"/>
    <w:rsid w:val="00F33A81"/>
    <w:rsid w:val="00F33B16"/>
    <w:rsid w:val="00F33B5B"/>
    <w:rsid w:val="00F34269"/>
    <w:rsid w:val="00F34866"/>
    <w:rsid w:val="00F34AC4"/>
    <w:rsid w:val="00F350A3"/>
    <w:rsid w:val="00F3553F"/>
    <w:rsid w:val="00F355B6"/>
    <w:rsid w:val="00F35A20"/>
    <w:rsid w:val="00F35F42"/>
    <w:rsid w:val="00F36030"/>
    <w:rsid w:val="00F360DD"/>
    <w:rsid w:val="00F366E6"/>
    <w:rsid w:val="00F3673F"/>
    <w:rsid w:val="00F36A5D"/>
    <w:rsid w:val="00F375F9"/>
    <w:rsid w:val="00F37E54"/>
    <w:rsid w:val="00F405F0"/>
    <w:rsid w:val="00F40E63"/>
    <w:rsid w:val="00F40EE0"/>
    <w:rsid w:val="00F41195"/>
    <w:rsid w:val="00F41979"/>
    <w:rsid w:val="00F419AD"/>
    <w:rsid w:val="00F422EB"/>
    <w:rsid w:val="00F42B5F"/>
    <w:rsid w:val="00F42BF6"/>
    <w:rsid w:val="00F42E1E"/>
    <w:rsid w:val="00F43155"/>
    <w:rsid w:val="00F439F6"/>
    <w:rsid w:val="00F44613"/>
    <w:rsid w:val="00F446D4"/>
    <w:rsid w:val="00F44870"/>
    <w:rsid w:val="00F448CD"/>
    <w:rsid w:val="00F4498C"/>
    <w:rsid w:val="00F452E7"/>
    <w:rsid w:val="00F45AD1"/>
    <w:rsid w:val="00F45AE3"/>
    <w:rsid w:val="00F45E45"/>
    <w:rsid w:val="00F46FC3"/>
    <w:rsid w:val="00F479A3"/>
    <w:rsid w:val="00F5067B"/>
    <w:rsid w:val="00F516CC"/>
    <w:rsid w:val="00F5187A"/>
    <w:rsid w:val="00F51B33"/>
    <w:rsid w:val="00F51F35"/>
    <w:rsid w:val="00F51FA1"/>
    <w:rsid w:val="00F51FF8"/>
    <w:rsid w:val="00F523E6"/>
    <w:rsid w:val="00F52A3D"/>
    <w:rsid w:val="00F52BA8"/>
    <w:rsid w:val="00F52C40"/>
    <w:rsid w:val="00F52FA8"/>
    <w:rsid w:val="00F533FB"/>
    <w:rsid w:val="00F534B1"/>
    <w:rsid w:val="00F538A0"/>
    <w:rsid w:val="00F53982"/>
    <w:rsid w:val="00F5432D"/>
    <w:rsid w:val="00F54AA7"/>
    <w:rsid w:val="00F54B08"/>
    <w:rsid w:val="00F54BC8"/>
    <w:rsid w:val="00F550CD"/>
    <w:rsid w:val="00F5533E"/>
    <w:rsid w:val="00F55CDD"/>
    <w:rsid w:val="00F561E6"/>
    <w:rsid w:val="00F562C4"/>
    <w:rsid w:val="00F6061C"/>
    <w:rsid w:val="00F616A3"/>
    <w:rsid w:val="00F617EC"/>
    <w:rsid w:val="00F61C3C"/>
    <w:rsid w:val="00F61DE9"/>
    <w:rsid w:val="00F6254E"/>
    <w:rsid w:val="00F6266A"/>
    <w:rsid w:val="00F62730"/>
    <w:rsid w:val="00F62C44"/>
    <w:rsid w:val="00F62E07"/>
    <w:rsid w:val="00F62F29"/>
    <w:rsid w:val="00F644E5"/>
    <w:rsid w:val="00F64A91"/>
    <w:rsid w:val="00F65336"/>
    <w:rsid w:val="00F658C7"/>
    <w:rsid w:val="00F66A0D"/>
    <w:rsid w:val="00F66C73"/>
    <w:rsid w:val="00F66F16"/>
    <w:rsid w:val="00F66F6D"/>
    <w:rsid w:val="00F67610"/>
    <w:rsid w:val="00F67B5A"/>
    <w:rsid w:val="00F67F4A"/>
    <w:rsid w:val="00F70108"/>
    <w:rsid w:val="00F70373"/>
    <w:rsid w:val="00F708C5"/>
    <w:rsid w:val="00F70BF8"/>
    <w:rsid w:val="00F71E85"/>
    <w:rsid w:val="00F72240"/>
    <w:rsid w:val="00F724B1"/>
    <w:rsid w:val="00F724B2"/>
    <w:rsid w:val="00F72DF3"/>
    <w:rsid w:val="00F72FEB"/>
    <w:rsid w:val="00F7303F"/>
    <w:rsid w:val="00F73438"/>
    <w:rsid w:val="00F73768"/>
    <w:rsid w:val="00F73B06"/>
    <w:rsid w:val="00F74724"/>
    <w:rsid w:val="00F74869"/>
    <w:rsid w:val="00F7532F"/>
    <w:rsid w:val="00F754CC"/>
    <w:rsid w:val="00F755EB"/>
    <w:rsid w:val="00F75FE7"/>
    <w:rsid w:val="00F76020"/>
    <w:rsid w:val="00F7616C"/>
    <w:rsid w:val="00F76328"/>
    <w:rsid w:val="00F765B7"/>
    <w:rsid w:val="00F772E7"/>
    <w:rsid w:val="00F77E00"/>
    <w:rsid w:val="00F77E8C"/>
    <w:rsid w:val="00F77FC7"/>
    <w:rsid w:val="00F805A1"/>
    <w:rsid w:val="00F806A3"/>
    <w:rsid w:val="00F80AE0"/>
    <w:rsid w:val="00F80AE3"/>
    <w:rsid w:val="00F80B53"/>
    <w:rsid w:val="00F80F5B"/>
    <w:rsid w:val="00F81677"/>
    <w:rsid w:val="00F818D6"/>
    <w:rsid w:val="00F81915"/>
    <w:rsid w:val="00F820BB"/>
    <w:rsid w:val="00F8253C"/>
    <w:rsid w:val="00F826FF"/>
    <w:rsid w:val="00F82717"/>
    <w:rsid w:val="00F8282F"/>
    <w:rsid w:val="00F83266"/>
    <w:rsid w:val="00F83486"/>
    <w:rsid w:val="00F83B3A"/>
    <w:rsid w:val="00F83DFF"/>
    <w:rsid w:val="00F84145"/>
    <w:rsid w:val="00F84363"/>
    <w:rsid w:val="00F84402"/>
    <w:rsid w:val="00F845B4"/>
    <w:rsid w:val="00F84826"/>
    <w:rsid w:val="00F849A4"/>
    <w:rsid w:val="00F84EF5"/>
    <w:rsid w:val="00F8566B"/>
    <w:rsid w:val="00F85D6D"/>
    <w:rsid w:val="00F85DAB"/>
    <w:rsid w:val="00F862B6"/>
    <w:rsid w:val="00F87167"/>
    <w:rsid w:val="00F87364"/>
    <w:rsid w:val="00F90542"/>
    <w:rsid w:val="00F90ACC"/>
    <w:rsid w:val="00F90AED"/>
    <w:rsid w:val="00F90B78"/>
    <w:rsid w:val="00F90DAF"/>
    <w:rsid w:val="00F91385"/>
    <w:rsid w:val="00F91515"/>
    <w:rsid w:val="00F91692"/>
    <w:rsid w:val="00F91FAE"/>
    <w:rsid w:val="00F91FB5"/>
    <w:rsid w:val="00F92259"/>
    <w:rsid w:val="00F923A4"/>
    <w:rsid w:val="00F92B47"/>
    <w:rsid w:val="00F93065"/>
    <w:rsid w:val="00F933C7"/>
    <w:rsid w:val="00F9396F"/>
    <w:rsid w:val="00F93B28"/>
    <w:rsid w:val="00F93C54"/>
    <w:rsid w:val="00F94067"/>
    <w:rsid w:val="00F94C9F"/>
    <w:rsid w:val="00F94FE7"/>
    <w:rsid w:val="00F95833"/>
    <w:rsid w:val="00F95906"/>
    <w:rsid w:val="00F95AF2"/>
    <w:rsid w:val="00F95D92"/>
    <w:rsid w:val="00F966A9"/>
    <w:rsid w:val="00F96894"/>
    <w:rsid w:val="00F96953"/>
    <w:rsid w:val="00F96C87"/>
    <w:rsid w:val="00F96C8C"/>
    <w:rsid w:val="00F96CD4"/>
    <w:rsid w:val="00F96D76"/>
    <w:rsid w:val="00F973D5"/>
    <w:rsid w:val="00F9794F"/>
    <w:rsid w:val="00FA01A6"/>
    <w:rsid w:val="00FA0CB1"/>
    <w:rsid w:val="00FA1003"/>
    <w:rsid w:val="00FA1421"/>
    <w:rsid w:val="00FA146D"/>
    <w:rsid w:val="00FA1924"/>
    <w:rsid w:val="00FA1B14"/>
    <w:rsid w:val="00FA1DDA"/>
    <w:rsid w:val="00FA1F79"/>
    <w:rsid w:val="00FA228F"/>
    <w:rsid w:val="00FA232D"/>
    <w:rsid w:val="00FA2446"/>
    <w:rsid w:val="00FA268C"/>
    <w:rsid w:val="00FA280D"/>
    <w:rsid w:val="00FA2A22"/>
    <w:rsid w:val="00FA2AC3"/>
    <w:rsid w:val="00FA2BEE"/>
    <w:rsid w:val="00FA2D61"/>
    <w:rsid w:val="00FA2E69"/>
    <w:rsid w:val="00FA2EFB"/>
    <w:rsid w:val="00FA307F"/>
    <w:rsid w:val="00FA322C"/>
    <w:rsid w:val="00FA3746"/>
    <w:rsid w:val="00FA38D1"/>
    <w:rsid w:val="00FA3B0B"/>
    <w:rsid w:val="00FA3CB4"/>
    <w:rsid w:val="00FA3EB6"/>
    <w:rsid w:val="00FA40B3"/>
    <w:rsid w:val="00FA41F6"/>
    <w:rsid w:val="00FA4555"/>
    <w:rsid w:val="00FA4891"/>
    <w:rsid w:val="00FA4BEC"/>
    <w:rsid w:val="00FA4D64"/>
    <w:rsid w:val="00FA4EC4"/>
    <w:rsid w:val="00FA4F12"/>
    <w:rsid w:val="00FA5134"/>
    <w:rsid w:val="00FA51B2"/>
    <w:rsid w:val="00FA525D"/>
    <w:rsid w:val="00FA594F"/>
    <w:rsid w:val="00FA5A3C"/>
    <w:rsid w:val="00FA5C75"/>
    <w:rsid w:val="00FA5D95"/>
    <w:rsid w:val="00FA63DB"/>
    <w:rsid w:val="00FA6445"/>
    <w:rsid w:val="00FA64D1"/>
    <w:rsid w:val="00FA660C"/>
    <w:rsid w:val="00FA7274"/>
    <w:rsid w:val="00FA72B0"/>
    <w:rsid w:val="00FA75AF"/>
    <w:rsid w:val="00FA76AF"/>
    <w:rsid w:val="00FA7D5A"/>
    <w:rsid w:val="00FB0265"/>
    <w:rsid w:val="00FB0A38"/>
    <w:rsid w:val="00FB0D27"/>
    <w:rsid w:val="00FB0F95"/>
    <w:rsid w:val="00FB1106"/>
    <w:rsid w:val="00FB1817"/>
    <w:rsid w:val="00FB1959"/>
    <w:rsid w:val="00FB1B85"/>
    <w:rsid w:val="00FB1D0A"/>
    <w:rsid w:val="00FB1FDF"/>
    <w:rsid w:val="00FB2350"/>
    <w:rsid w:val="00FB2637"/>
    <w:rsid w:val="00FB28FA"/>
    <w:rsid w:val="00FB3194"/>
    <w:rsid w:val="00FB3884"/>
    <w:rsid w:val="00FB3B27"/>
    <w:rsid w:val="00FB436E"/>
    <w:rsid w:val="00FB47BA"/>
    <w:rsid w:val="00FB4929"/>
    <w:rsid w:val="00FB51BD"/>
    <w:rsid w:val="00FB5EAB"/>
    <w:rsid w:val="00FB60CC"/>
    <w:rsid w:val="00FB630E"/>
    <w:rsid w:val="00FB6535"/>
    <w:rsid w:val="00FB6DB5"/>
    <w:rsid w:val="00FB7282"/>
    <w:rsid w:val="00FB74B4"/>
    <w:rsid w:val="00FB75E4"/>
    <w:rsid w:val="00FB7EBF"/>
    <w:rsid w:val="00FC02F4"/>
    <w:rsid w:val="00FC08CA"/>
    <w:rsid w:val="00FC0A57"/>
    <w:rsid w:val="00FC1257"/>
    <w:rsid w:val="00FC14E5"/>
    <w:rsid w:val="00FC1758"/>
    <w:rsid w:val="00FC18FE"/>
    <w:rsid w:val="00FC20C6"/>
    <w:rsid w:val="00FC2405"/>
    <w:rsid w:val="00FC277A"/>
    <w:rsid w:val="00FC3146"/>
    <w:rsid w:val="00FC31A1"/>
    <w:rsid w:val="00FC34CE"/>
    <w:rsid w:val="00FC3509"/>
    <w:rsid w:val="00FC3BC2"/>
    <w:rsid w:val="00FC3D2D"/>
    <w:rsid w:val="00FC3F39"/>
    <w:rsid w:val="00FC492F"/>
    <w:rsid w:val="00FC4BDD"/>
    <w:rsid w:val="00FC4CBE"/>
    <w:rsid w:val="00FC5621"/>
    <w:rsid w:val="00FC57B6"/>
    <w:rsid w:val="00FC5910"/>
    <w:rsid w:val="00FC60EC"/>
    <w:rsid w:val="00FC6377"/>
    <w:rsid w:val="00FC663E"/>
    <w:rsid w:val="00FC69DE"/>
    <w:rsid w:val="00FC7120"/>
    <w:rsid w:val="00FC7DE1"/>
    <w:rsid w:val="00FC7EBB"/>
    <w:rsid w:val="00FD01B5"/>
    <w:rsid w:val="00FD0966"/>
    <w:rsid w:val="00FD0CC7"/>
    <w:rsid w:val="00FD1609"/>
    <w:rsid w:val="00FD1A3E"/>
    <w:rsid w:val="00FD1AE7"/>
    <w:rsid w:val="00FD1C78"/>
    <w:rsid w:val="00FD1F1A"/>
    <w:rsid w:val="00FD22C4"/>
    <w:rsid w:val="00FD25F0"/>
    <w:rsid w:val="00FD2C75"/>
    <w:rsid w:val="00FD314F"/>
    <w:rsid w:val="00FD31B1"/>
    <w:rsid w:val="00FD3C49"/>
    <w:rsid w:val="00FD3D48"/>
    <w:rsid w:val="00FD3F98"/>
    <w:rsid w:val="00FD3FA0"/>
    <w:rsid w:val="00FD43E2"/>
    <w:rsid w:val="00FD445D"/>
    <w:rsid w:val="00FD513B"/>
    <w:rsid w:val="00FD529A"/>
    <w:rsid w:val="00FD5355"/>
    <w:rsid w:val="00FD5465"/>
    <w:rsid w:val="00FD5649"/>
    <w:rsid w:val="00FD5BA6"/>
    <w:rsid w:val="00FD5ECF"/>
    <w:rsid w:val="00FD633F"/>
    <w:rsid w:val="00FD722E"/>
    <w:rsid w:val="00FD763C"/>
    <w:rsid w:val="00FD7BCB"/>
    <w:rsid w:val="00FD7D14"/>
    <w:rsid w:val="00FE01E6"/>
    <w:rsid w:val="00FE0250"/>
    <w:rsid w:val="00FE03F9"/>
    <w:rsid w:val="00FE24C9"/>
    <w:rsid w:val="00FE2518"/>
    <w:rsid w:val="00FE2A84"/>
    <w:rsid w:val="00FE2AA1"/>
    <w:rsid w:val="00FE2AA7"/>
    <w:rsid w:val="00FE2D33"/>
    <w:rsid w:val="00FE34A2"/>
    <w:rsid w:val="00FE3B1D"/>
    <w:rsid w:val="00FE492D"/>
    <w:rsid w:val="00FE496A"/>
    <w:rsid w:val="00FE4AD4"/>
    <w:rsid w:val="00FE4B45"/>
    <w:rsid w:val="00FE4BEB"/>
    <w:rsid w:val="00FE4DB6"/>
    <w:rsid w:val="00FE4F55"/>
    <w:rsid w:val="00FE510D"/>
    <w:rsid w:val="00FE55EA"/>
    <w:rsid w:val="00FE5A4E"/>
    <w:rsid w:val="00FE5C19"/>
    <w:rsid w:val="00FE5CD1"/>
    <w:rsid w:val="00FE5E5E"/>
    <w:rsid w:val="00FE5EAF"/>
    <w:rsid w:val="00FE638E"/>
    <w:rsid w:val="00FE65D9"/>
    <w:rsid w:val="00FE6948"/>
    <w:rsid w:val="00FE6D1C"/>
    <w:rsid w:val="00FE6FE8"/>
    <w:rsid w:val="00FE71D5"/>
    <w:rsid w:val="00FE74DA"/>
    <w:rsid w:val="00FE7DB8"/>
    <w:rsid w:val="00FF02A1"/>
    <w:rsid w:val="00FF0429"/>
    <w:rsid w:val="00FF04C2"/>
    <w:rsid w:val="00FF0952"/>
    <w:rsid w:val="00FF0D2D"/>
    <w:rsid w:val="00FF0E16"/>
    <w:rsid w:val="00FF1076"/>
    <w:rsid w:val="00FF160E"/>
    <w:rsid w:val="00FF17D0"/>
    <w:rsid w:val="00FF1A1B"/>
    <w:rsid w:val="00FF1D96"/>
    <w:rsid w:val="00FF21F8"/>
    <w:rsid w:val="00FF2667"/>
    <w:rsid w:val="00FF2A98"/>
    <w:rsid w:val="00FF324E"/>
    <w:rsid w:val="00FF35A5"/>
    <w:rsid w:val="00FF3DA9"/>
    <w:rsid w:val="00FF3E7D"/>
    <w:rsid w:val="00FF4013"/>
    <w:rsid w:val="00FF5265"/>
    <w:rsid w:val="00FF5549"/>
    <w:rsid w:val="00FF5797"/>
    <w:rsid w:val="00FF5C36"/>
    <w:rsid w:val="00FF6002"/>
    <w:rsid w:val="00FF6281"/>
    <w:rsid w:val="00FF6910"/>
    <w:rsid w:val="00FF6978"/>
    <w:rsid w:val="00FF70B9"/>
    <w:rsid w:val="00FF7363"/>
    <w:rsid w:val="00FF73E1"/>
    <w:rsid w:val="00FF74F6"/>
    <w:rsid w:val="00FF75DA"/>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D479D026-472C-4E83-BF81-41DC54D40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1"/>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semiHidden/>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semiHidden/>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semiHidden/>
    <w:rsid w:val="002E36C7"/>
    <w:pPr>
      <w:autoSpaceDE w:val="0"/>
      <w:autoSpaceDN w:val="0"/>
    </w:pPr>
    <w:rPr>
      <w:rFonts w:ascii="Tahoma" w:hAnsi="Tahoma" w:cs="Tahoma"/>
      <w:sz w:val="16"/>
      <w:szCs w:val="16"/>
    </w:rPr>
  </w:style>
  <w:style w:type="paragraph" w:styleId="Textocomentario">
    <w:name w:val="annotation text"/>
    <w:basedOn w:val="Normal"/>
    <w:semiHidden/>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table" w:styleId="Tablanormal1">
    <w:name w:val="Plain Table 1"/>
    <w:basedOn w:val="Tablanormal"/>
    <w:uiPriority w:val="41"/>
    <w:rsid w:val="00D1108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330C9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Car">
    <w:name w:val="Título Car"/>
    <w:basedOn w:val="Fuentedeprrafopredeter"/>
    <w:link w:val="Ttulo"/>
    <w:uiPriority w:val="1"/>
    <w:rsid w:val="00EF1BBE"/>
    <w:rPr>
      <w:b/>
      <w:bCs/>
      <w:sz w:val="24"/>
      <w:szCs w:val="24"/>
      <w:lang w:eastAsia="es-ES"/>
    </w:rPr>
  </w:style>
  <w:style w:type="character" w:styleId="Refdecomentario">
    <w:name w:val="annotation reference"/>
    <w:basedOn w:val="Fuentedeprrafopredeter"/>
    <w:semiHidden/>
    <w:unhideWhenUsed/>
    <w:rsid w:val="002B4515"/>
    <w:rPr>
      <w:sz w:val="16"/>
      <w:szCs w:val="16"/>
    </w:rPr>
  </w:style>
  <w:style w:type="table" w:customStyle="1" w:styleId="TableNormal1">
    <w:name w:val="Table Normal1"/>
    <w:uiPriority w:val="2"/>
    <w:semiHidden/>
    <w:unhideWhenUsed/>
    <w:qFormat/>
    <w:rsid w:val="0004571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jpeg"/><Relationship Id="rId79" Type="http://schemas.openxmlformats.org/officeDocument/2006/relationships/image" Target="media/image65.png"/><Relationship Id="rId5" Type="http://schemas.openxmlformats.org/officeDocument/2006/relationships/numbering" Target="numbering.xml"/><Relationship Id="rId61" Type="http://schemas.openxmlformats.org/officeDocument/2006/relationships/image" Target="media/image48.jpeg"/><Relationship Id="rId82"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jp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10.jp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8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jpeg"/><Relationship Id="rId7" Type="http://schemas.openxmlformats.org/officeDocument/2006/relationships/settings" Target="settings.xml"/><Relationship Id="rId71"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jpeg"/></Relationships>
</file>

<file path=word/_rels/footnotes.xml.rels><?xml version="1.0" encoding="UTF-8" standalone="yes"?>
<Relationships xmlns="http://schemas.openxmlformats.org/package/2006/relationships"><Relationship Id="rId2" Type="http://schemas.openxmlformats.org/officeDocument/2006/relationships/hyperlink" Target="https://www.excelsior.eom.mx/nacional/suman-71-soldados-muertos" TargetMode="External"/><Relationship Id="rId1" Type="http://schemas.openxmlformats.org/officeDocument/2006/relationships/hyperlink" Target="https://congresogto.s3.amazonaws.com/uploads/orden_archivo/archivo/24980/03_Extracto__19__mayo_2022_versio_n_3.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altName w:val="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Verdana-Bold-11353-Identity-H">
    <w:altName w:val="Calibri"/>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Verdana-6617-Identity-H">
    <w:altName w:val="Calibri"/>
    <w:panose1 w:val="00000000000000000000"/>
    <w:charset w:val="00"/>
    <w:family w:val="auto"/>
    <w:notTrueType/>
    <w:pitch w:val="default"/>
    <w:sig w:usb0="00000003" w:usb1="00000000" w:usb2="00000000" w:usb3="00000000" w:csb0="00000001" w:csb1="00000000"/>
  </w:font>
  <w:font w:name="*Microsoft Sans Serif-Bold-5986">
    <w:altName w:val="Calibri"/>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MT">
    <w:altName w:val="Arial"/>
    <w:panose1 w:val="00000000000000000000"/>
    <w:charset w:val="00"/>
    <w:family w:val="auto"/>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9187-Identity-H">
    <w:altName w:val="Calibri"/>
    <w:panose1 w:val="00000000000000000000"/>
    <w:charset w:val="00"/>
    <w:family w:val="auto"/>
    <w:notTrueType/>
    <w:pitch w:val="default"/>
    <w:sig w:usb0="00000003" w:usb1="00000000" w:usb2="00000000" w:usb3="00000000" w:csb0="00000001" w:csb1="00000000"/>
  </w:font>
  <w:font w:name="*Calibri-9285-Identity-H">
    <w:altName w:val="Calibri"/>
    <w:panose1 w:val="00000000000000000000"/>
    <w:charset w:val="00"/>
    <w:family w:val="auto"/>
    <w:notTrueType/>
    <w:pitch w:val="default"/>
    <w:sig w:usb0="00000003" w:usb1="00000000" w:usb2="00000000" w:usb3="00000000" w:csb0="00000001" w:csb1="00000000"/>
  </w:font>
  <w:font w:name="*Calibri-Bold-4923-Identity-H">
    <w:altName w:val="Calibri"/>
    <w:panose1 w:val="00000000000000000000"/>
    <w:charset w:val="00"/>
    <w:family w:val="auto"/>
    <w:notTrueType/>
    <w:pitch w:val="default"/>
    <w:sig w:usb0="00000003" w:usb1="00000000" w:usb2="00000000" w:usb3="00000000" w:csb0="00000001" w:csb1="00000000"/>
  </w:font>
  <w:font w:name="*Calibri-17660-Identity-H">
    <w:altName w:val="Calibri"/>
    <w:panose1 w:val="00000000000000000000"/>
    <w:charset w:val="00"/>
    <w:family w:val="auto"/>
    <w:notTrueType/>
    <w:pitch w:val="default"/>
    <w:sig w:usb0="00000003" w:usb1="00000000" w:usb2="00000000" w:usb3="00000000" w:csb0="00000001" w:csb1="00000000"/>
  </w:font>
  <w:font w:name="*Calibri-16667-Identity-H">
    <w:altName w:val="Calibri"/>
    <w:panose1 w:val="00000000000000000000"/>
    <w:charset w:val="00"/>
    <w:family w:val="auto"/>
    <w:notTrueType/>
    <w:pitch w:val="default"/>
    <w:sig w:usb0="00000003" w:usb1="00000000" w:usb2="00000000" w:usb3="00000000" w:csb0="00000001" w:csb1="00000000"/>
  </w:font>
  <w:font w:name="*Calibri-17702-Identity-H">
    <w:altName w:val="Calibri"/>
    <w:panose1 w:val="00000000000000000000"/>
    <w:charset w:val="00"/>
    <w:family w:val="auto"/>
    <w:notTrueType/>
    <w:pitch w:val="default"/>
    <w:sig w:usb0="00000003" w:usb1="00000000" w:usb2="00000000" w:usb3="00000000" w:csb0="00000001" w:csb1="00000000"/>
  </w:font>
  <w:font w:name="*Calibri-16495-Identity-H">
    <w:altName w:val="Calibri"/>
    <w:panose1 w:val="00000000000000000000"/>
    <w:charset w:val="00"/>
    <w:family w:val="auto"/>
    <w:notTrueType/>
    <w:pitch w:val="default"/>
    <w:sig w:usb0="00000003" w:usb1="00000000" w:usb2="00000000" w:usb3="00000000" w:csb0="00000001" w:csb1="00000000"/>
  </w:font>
  <w:font w:name="*Times New Roman-Italic-16490-I">
    <w:altName w:val="Calibri"/>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Calibri-Bold-3385-Identity-H">
    <w:altName w:val="Calibri"/>
    <w:panose1 w:val="00000000000000000000"/>
    <w:charset w:val="00"/>
    <w:family w:val="auto"/>
    <w:notTrueType/>
    <w:pitch w:val="default"/>
    <w:sig w:usb0="00000003" w:usb1="00000000" w:usb2="00000000" w:usb3="00000000" w:csb0="00000001" w:csb1="00000000"/>
  </w:font>
  <w:font w:name="*Calibri-3384-Identity-H">
    <w:altName w:val="Calibri"/>
    <w:panose1 w:val="00000000000000000000"/>
    <w:charset w:val="00"/>
    <w:family w:val="auto"/>
    <w:notTrueType/>
    <w:pitch w:val="default"/>
    <w:sig w:usb0="00000003" w:usb1="00000000" w:usb2="00000000" w:usb3="00000000" w:csb0="00000001" w:csb1="00000000"/>
  </w:font>
  <w:font w:name="*Times New Roman-3383-Identity-">
    <w:altName w:val="Calibri"/>
    <w:panose1 w:val="00000000000000000000"/>
    <w:charset w:val="00"/>
    <w:family w:val="auto"/>
    <w:notTrueType/>
    <w:pitch w:val="default"/>
    <w:sig w:usb0="00000003" w:usb1="00000000" w:usb2="00000000" w:usb3="00000000" w:csb0="00000001" w:csb1="00000000"/>
  </w:font>
  <w:font w:name="*Courier New-4520-Identity-H">
    <w:altName w:val="Calibri"/>
    <w:panose1 w:val="00000000000000000000"/>
    <w:charset w:val="00"/>
    <w:family w:val="auto"/>
    <w:notTrueType/>
    <w:pitch w:val="default"/>
    <w:sig w:usb0="00000003" w:usb1="00000000" w:usb2="00000000" w:usb3="00000000" w:csb0="00000001" w:csb1="00000000"/>
  </w:font>
  <w:font w:name="*Times New Roman-4518-Identity-">
    <w:altName w:val="Calibri"/>
    <w:panose1 w:val="00000000000000000000"/>
    <w:charset w:val="00"/>
    <w:family w:val="auto"/>
    <w:notTrueType/>
    <w:pitch w:val="default"/>
    <w:sig w:usb0="00000003" w:usb1="00000000" w:usb2="00000000" w:usb3="00000000" w:csb0="00000001" w:csb1="00000000"/>
  </w:font>
  <w:font w:name="*Calibri-6756-Identity-H">
    <w:altName w:val="Calibri"/>
    <w:panose1 w:val="00000000000000000000"/>
    <w:charset w:val="00"/>
    <w:family w:val="auto"/>
    <w:notTrueType/>
    <w:pitch w:val="default"/>
    <w:sig w:usb0="00000003" w:usb1="00000000" w:usb2="00000000" w:usb3="00000000" w:csb0="00000001" w:csb1="00000000"/>
  </w:font>
  <w:font w:name="*Microsoft Sans Serif-6759-Iden">
    <w:altName w:val="Calibri"/>
    <w:panose1 w:val="00000000000000000000"/>
    <w:charset w:val="00"/>
    <w:family w:val="auto"/>
    <w:notTrueType/>
    <w:pitch w:val="default"/>
    <w:sig w:usb0="00000003" w:usb1="00000000" w:usb2="00000000" w:usb3="00000000" w:csb0="00000001" w:csb1="00000000"/>
  </w:font>
  <w:font w:name="*Calibri-7506-Identity-H">
    <w:altName w:val="Calibri"/>
    <w:panose1 w:val="00000000000000000000"/>
    <w:charset w:val="00"/>
    <w:family w:val="auto"/>
    <w:notTrueType/>
    <w:pitch w:val="default"/>
    <w:sig w:usb0="00000003" w:usb1="00000000" w:usb2="00000000" w:usb3="00000000" w:csb0="00000001" w:csb1="00000000"/>
  </w:font>
  <w:font w:name="*Verdana-Italic-7510-Identity-H">
    <w:altName w:val="Calibri"/>
    <w:panose1 w:val="00000000000000000000"/>
    <w:charset w:val="00"/>
    <w:family w:val="auto"/>
    <w:notTrueType/>
    <w:pitch w:val="default"/>
    <w:sig w:usb0="00000003" w:usb1="00000000" w:usb2="00000000" w:usb3="00000000" w:csb0="00000001" w:csb1="00000000"/>
  </w:font>
  <w:font w:name="*Calibri-Bold-7505-Identity-H">
    <w:altName w:val="Calibri"/>
    <w:panose1 w:val="00000000000000000000"/>
    <w:charset w:val="00"/>
    <w:family w:val="auto"/>
    <w:notTrueType/>
    <w:pitch w:val="default"/>
    <w:sig w:usb0="00000003" w:usb1="00000000" w:usb2="00000000" w:usb3="00000000" w:csb0="00000001" w:csb1="00000000"/>
  </w:font>
  <w:font w:name="*Courier New-7508-Identity-H">
    <w:altName w:val="Calibri"/>
    <w:panose1 w:val="00000000000000000000"/>
    <w:charset w:val="00"/>
    <w:family w:val="auto"/>
    <w:notTrueType/>
    <w:pitch w:val="default"/>
    <w:sig w:usb0="00000003" w:usb1="00000000" w:usb2="00000000" w:usb3="00000000" w:csb0="00000001" w:csb1="00000000"/>
  </w:font>
  <w:font w:name="*Verdana-6329-Identity-H">
    <w:altName w:val="Calibri"/>
    <w:panose1 w:val="00000000000000000000"/>
    <w:charset w:val="00"/>
    <w:family w:val="auto"/>
    <w:notTrueType/>
    <w:pitch w:val="default"/>
    <w:sig w:usb0="00000003" w:usb1="00000000" w:usb2="00000000" w:usb3="00000000" w:csb0="00000001" w:csb1="00000000"/>
  </w:font>
  <w:font w:name="*Calibri-Italic-6324-Identity-H">
    <w:altName w:val="Calibri"/>
    <w:panose1 w:val="00000000000000000000"/>
    <w:charset w:val="00"/>
    <w:family w:val="auto"/>
    <w:notTrueType/>
    <w:pitch w:val="default"/>
    <w:sig w:usb0="00000003" w:usb1="00000000" w:usb2="00000000" w:usb3="00000000" w:csb0="00000001" w:csb1="00000000"/>
  </w:font>
  <w:font w:name="*Verdana-Italic-6328-Identity-H">
    <w:altName w:val="Calibri"/>
    <w:panose1 w:val="00000000000000000000"/>
    <w:charset w:val="00"/>
    <w:family w:val="auto"/>
    <w:notTrueType/>
    <w:pitch w:val="default"/>
    <w:sig w:usb0="00000003" w:usb1="00000000" w:usb2="00000000" w:usb3="00000000" w:csb0="00000001" w:csb1="00000000"/>
  </w:font>
  <w:font w:name="*Courier New-6326-Identity-H">
    <w:altName w:val="Calibri"/>
    <w:panose1 w:val="00000000000000000000"/>
    <w:charset w:val="00"/>
    <w:family w:val="auto"/>
    <w:notTrueType/>
    <w:pitch w:val="default"/>
    <w:sig w:usb0="00000003" w:usb1="00000000" w:usb2="00000000" w:usb3="00000000" w:csb0="00000001" w:csb1="00000000"/>
  </w:font>
  <w:font w:name="*Microsoft Sans Serif-6330-Iden">
    <w:altName w:val="Calibri"/>
    <w:panose1 w:val="00000000000000000000"/>
    <w:charset w:val="00"/>
    <w:family w:val="auto"/>
    <w:notTrueType/>
    <w:pitch w:val="default"/>
    <w:sig w:usb0="00000003" w:usb1="00000000" w:usb2="00000000" w:usb3="00000000" w:csb0="00000001" w:csb1="00000000"/>
  </w:font>
  <w:font w:name="*Calibri-6323-Identity-H">
    <w:altName w:val="Calibri"/>
    <w:panose1 w:val="00000000000000000000"/>
    <w:charset w:val="00"/>
    <w:family w:val="auto"/>
    <w:notTrueType/>
    <w:pitch w:val="default"/>
    <w:sig w:usb0="00000003" w:usb1="00000000" w:usb2="00000000" w:usb3="00000000" w:csb0="00000001" w:csb1="00000000"/>
  </w:font>
  <w:font w:name="*Tahoma-Italic-5942-Identity-H">
    <w:altName w:val="Calibri"/>
    <w:panose1 w:val="00000000000000000000"/>
    <w:charset w:val="00"/>
    <w:family w:val="auto"/>
    <w:notTrueType/>
    <w:pitch w:val="default"/>
    <w:sig w:usb0="00000003" w:usb1="00000000" w:usb2="00000000" w:usb3="00000000" w:csb0="00000001" w:csb1="00000000"/>
  </w:font>
  <w:font w:name="*Arial-5938-Identity-H">
    <w:altName w:val="Calibri"/>
    <w:panose1 w:val="00000000000000000000"/>
    <w:charset w:val="00"/>
    <w:family w:val="auto"/>
    <w:notTrueType/>
    <w:pitch w:val="default"/>
    <w:sig w:usb0="00000003" w:usb1="00000000" w:usb2="00000000" w:usb3="00000000" w:csb0="00000001" w:csb1="00000000"/>
  </w:font>
  <w:font w:name="*Times New Roman-5936-Identity-">
    <w:altName w:val="Calibri"/>
    <w:panose1 w:val="00000000000000000000"/>
    <w:charset w:val="00"/>
    <w:family w:val="auto"/>
    <w:notTrueType/>
    <w:pitch w:val="default"/>
    <w:sig w:usb0="00000003" w:usb1="00000000" w:usb2="00000000" w:usb3="00000000" w:csb0="00000001" w:csb1="00000000"/>
  </w:font>
  <w:font w:name="*Courier New-5939-Identity-H">
    <w:altName w:val="Calibri"/>
    <w:panose1 w:val="00000000000000000000"/>
    <w:charset w:val="00"/>
    <w:family w:val="auto"/>
    <w:notTrueType/>
    <w:pitch w:val="default"/>
    <w:sig w:usb0="00000003" w:usb1="00000000" w:usb2="00000000" w:usb3="00000000" w:csb0="00000001" w:csb1="00000000"/>
  </w:font>
  <w:font w:name="*Microsoft Sans Serif-Italic-64">
    <w:altName w:val="Calibri"/>
    <w:panose1 w:val="00000000000000000000"/>
    <w:charset w:val="00"/>
    <w:family w:val="auto"/>
    <w:notTrueType/>
    <w:pitch w:val="default"/>
    <w:sig w:usb0="00000003" w:usb1="00000000" w:usb2="00000000" w:usb3="00000000" w:csb0="00000001" w:csb1="00000000"/>
  </w:font>
  <w:font w:name="*Times New Roman-6471-Identity-">
    <w:altName w:val="Calibri"/>
    <w:panose1 w:val="00000000000000000000"/>
    <w:charset w:val="00"/>
    <w:family w:val="auto"/>
    <w:notTrueType/>
    <w:pitch w:val="default"/>
    <w:sig w:usb0="00000003" w:usb1="00000000" w:usb2="00000000" w:usb3="00000000" w:csb0="00000001" w:csb1="00000000"/>
  </w:font>
  <w:font w:name="*Verdana-6474-Identity-H">
    <w:altName w:val="Calibri"/>
    <w:panose1 w:val="00000000000000000000"/>
    <w:charset w:val="00"/>
    <w:family w:val="auto"/>
    <w:notTrueType/>
    <w:pitch w:val="default"/>
    <w:sig w:usb0="00000003" w:usb1="00000000" w:usb2="00000000" w:usb3="00000000" w:csb0="00000001" w:csb1="00000000"/>
  </w:font>
  <w:font w:name="*Calibri-6567-Identity-H">
    <w:altName w:val="Calibri"/>
    <w:panose1 w:val="00000000000000000000"/>
    <w:charset w:val="00"/>
    <w:family w:val="auto"/>
    <w:notTrueType/>
    <w:pitch w:val="default"/>
    <w:sig w:usb0="00000003" w:usb1="00000000" w:usb2="00000000" w:usb3="00000000" w:csb0="00000001" w:csb1="00000000"/>
  </w:font>
  <w:font w:name="*Calibri-Bold-6568-Identity-H">
    <w:altName w:val="Calibri"/>
    <w:panose1 w:val="00000000000000000000"/>
    <w:charset w:val="00"/>
    <w:family w:val="auto"/>
    <w:notTrueType/>
    <w:pitch w:val="default"/>
    <w:sig w:usb0="00000003" w:usb1="00000000" w:usb2="00000000" w:usb3="00000000" w:csb0="00000001" w:csb1="00000000"/>
  </w:font>
  <w:font w:name="*Courier New-6570-Identity-H">
    <w:altName w:val="Calibri"/>
    <w:panose1 w:val="00000000000000000000"/>
    <w:charset w:val="00"/>
    <w:family w:val="auto"/>
    <w:notTrueType/>
    <w:pitch w:val="default"/>
    <w:sig w:usb0="00000003" w:usb1="00000000" w:usb2="00000000" w:usb3="00000000" w:csb0="00000001" w:csb1="00000000"/>
  </w:font>
  <w:font w:name="*Microsoft Sans Serif-7201-Iden">
    <w:altName w:val="Calibri"/>
    <w:panose1 w:val="00000000000000000000"/>
    <w:charset w:val="00"/>
    <w:family w:val="auto"/>
    <w:notTrueType/>
    <w:pitch w:val="default"/>
    <w:sig w:usb0="00000003" w:usb1="00000000" w:usb2="00000000" w:usb3="00000000" w:csb0="00000001" w:csb1="00000000"/>
  </w:font>
  <w:font w:name="*Courier New-7198-Identity-H">
    <w:altName w:val="Calibri"/>
    <w:panose1 w:val="00000000000000000000"/>
    <w:charset w:val="00"/>
    <w:family w:val="auto"/>
    <w:notTrueType/>
    <w:pitch w:val="default"/>
    <w:sig w:usb0="00000003" w:usb1="00000000" w:usb2="00000000" w:usb3="00000000" w:csb0="00000001" w:csb1="00000000"/>
  </w:font>
  <w:font w:name="*Arial-Bold-7197-Identity-H">
    <w:altName w:val="Calibri"/>
    <w:panose1 w:val="00000000000000000000"/>
    <w:charset w:val="00"/>
    <w:family w:val="auto"/>
    <w:notTrueType/>
    <w:pitch w:val="default"/>
    <w:sig w:usb0="00000003" w:usb1="00000000" w:usb2="00000000" w:usb3="00000000" w:csb0="00000001" w:csb1="00000000"/>
  </w:font>
  <w:font w:name="*Microsoft Sans Serif-3985-Iden">
    <w:altName w:val="Calibri"/>
    <w:panose1 w:val="00000000000000000000"/>
    <w:charset w:val="00"/>
    <w:family w:val="auto"/>
    <w:notTrueType/>
    <w:pitch w:val="default"/>
    <w:sig w:usb0="00000003" w:usb1="00000000" w:usb2="00000000" w:usb3="00000000" w:csb0="00000001" w:csb1="00000000"/>
  </w:font>
  <w:font w:name="*Calibri-Bold-3982-Identity-H">
    <w:altName w:val="Calibri"/>
    <w:panose1 w:val="00000000000000000000"/>
    <w:charset w:val="00"/>
    <w:family w:val="auto"/>
    <w:notTrueType/>
    <w:pitch w:val="default"/>
    <w:sig w:usb0="00000003" w:usb1="00000000" w:usb2="00000000" w:usb3="00000000" w:csb0="00000001" w:csb1="00000000"/>
  </w:font>
  <w:font w:name="*Calibri-Bold-3934-Identity-H">
    <w:altName w:val="Calibri"/>
    <w:panose1 w:val="00000000000000000000"/>
    <w:charset w:val="00"/>
    <w:family w:val="auto"/>
    <w:notTrueType/>
    <w:pitch w:val="default"/>
    <w:sig w:usb0="00000003" w:usb1="00000000" w:usb2="00000000" w:usb3="00000000" w:csb0="00000001" w:csb1="00000000"/>
  </w:font>
  <w:font w:name="*Microsoft Sans Serif-3936-Iden">
    <w:altName w:val="Calibri"/>
    <w:panose1 w:val="00000000000000000000"/>
    <w:charset w:val="00"/>
    <w:family w:val="auto"/>
    <w:notTrueType/>
    <w:pitch w:val="default"/>
    <w:sig w:usb0="00000003" w:usb1="00000000" w:usb2="00000000" w:usb3="00000000" w:csb0="00000001" w:csb1="00000000"/>
  </w:font>
  <w:font w:name="*Calibri-Bold-3933-Identity-H">
    <w:altName w:val="Calibri"/>
    <w:panose1 w:val="00000000000000000000"/>
    <w:charset w:val="00"/>
    <w:family w:val="auto"/>
    <w:notTrueType/>
    <w:pitch w:val="default"/>
    <w:sig w:usb0="00000003" w:usb1="00000000" w:usb2="00000000" w:usb3="00000000" w:csb0="00000001" w:csb1="00000000"/>
  </w:font>
  <w:font w:name="*Courier New-5550-Identity-H">
    <w:altName w:val="Calibri"/>
    <w:panose1 w:val="00000000000000000000"/>
    <w:charset w:val="00"/>
    <w:family w:val="auto"/>
    <w:notTrueType/>
    <w:pitch w:val="default"/>
    <w:sig w:usb0="00000003" w:usb1="00000000" w:usb2="00000000" w:usb3="00000000" w:csb0="00000001" w:csb1="00000000"/>
  </w:font>
  <w:font w:name="*Courier New-6615-Identity-H">
    <w:altName w:val="Calibri"/>
    <w:panose1 w:val="00000000000000000000"/>
    <w:charset w:val="00"/>
    <w:family w:val="auto"/>
    <w:notTrueType/>
    <w:pitch w:val="default"/>
    <w:sig w:usb0="00000003" w:usb1="00000000" w:usb2="00000000" w:usb3="00000000" w:csb0="00000001" w:csb1="00000000"/>
  </w:font>
  <w:font w:name="*Courier New-6940-Identity-H">
    <w:altName w:val="Calibri"/>
    <w:panose1 w:val="00000000000000000000"/>
    <w:charset w:val="00"/>
    <w:family w:val="auto"/>
    <w:notTrueType/>
    <w:pitch w:val="default"/>
    <w:sig w:usb0="00000003" w:usb1="00000000" w:usb2="00000000" w:usb3="00000000" w:csb0="00000001" w:csb1="00000000"/>
  </w:font>
  <w:font w:name="*Calibri-6939-Identity-H">
    <w:altName w:val="Calibri"/>
    <w:panose1 w:val="00000000000000000000"/>
    <w:charset w:val="00"/>
    <w:family w:val="auto"/>
    <w:notTrueType/>
    <w:pitch w:val="default"/>
    <w:sig w:usb0="00000003" w:usb1="00000000" w:usb2="00000000" w:usb3="00000000" w:csb0="00000001" w:csb1="00000000"/>
  </w:font>
  <w:font w:name="*Verdana-7391-Identity-H">
    <w:altName w:val="Calibri"/>
    <w:panose1 w:val="00000000000000000000"/>
    <w:charset w:val="00"/>
    <w:family w:val="auto"/>
    <w:notTrueType/>
    <w:pitch w:val="default"/>
    <w:sig w:usb0="00000003" w:usb1="00000000" w:usb2="00000000" w:usb3="00000000" w:csb0="00000001" w:csb1="00000000"/>
  </w:font>
  <w:font w:name="*Tahoma-7392-Identity-H">
    <w:altName w:val="Calibri"/>
    <w:panose1 w:val="00000000000000000000"/>
    <w:charset w:val="00"/>
    <w:family w:val="auto"/>
    <w:notTrueType/>
    <w:pitch w:val="default"/>
    <w:sig w:usb0="00000003" w:usb1="00000000" w:usb2="00000000" w:usb3="00000000" w:csb0="00000001" w:csb1="00000000"/>
  </w:font>
  <w:font w:name="*Calibri-7388-Identity-H">
    <w:altName w:val="Calibri"/>
    <w:panose1 w:val="00000000000000000000"/>
    <w:charset w:val="00"/>
    <w:family w:val="auto"/>
    <w:notTrueType/>
    <w:pitch w:val="default"/>
    <w:sig w:usb0="00000003" w:usb1="00000000" w:usb2="00000000" w:usb3="00000000" w:csb0="00000001" w:csb1="00000000"/>
  </w:font>
  <w:font w:name="*Courier New-5393-Identity-H">
    <w:altName w:val="Calibri"/>
    <w:panose1 w:val="00000000000000000000"/>
    <w:charset w:val="00"/>
    <w:family w:val="auto"/>
    <w:notTrueType/>
    <w:pitch w:val="default"/>
    <w:sig w:usb0="00000003" w:usb1="00000000" w:usb2="00000000" w:usb3="00000000" w:csb0="00000001" w:csb1="00000000"/>
  </w:font>
  <w:font w:name="*Verdana-Italic-5280-Identity-H">
    <w:altName w:val="Calibri"/>
    <w:panose1 w:val="00000000000000000000"/>
    <w:charset w:val="00"/>
    <w:family w:val="auto"/>
    <w:notTrueType/>
    <w:pitch w:val="default"/>
    <w:sig w:usb0="00000003" w:usb1="00000000" w:usb2="00000000" w:usb3="00000000" w:csb0="00000001" w:csb1="00000000"/>
  </w:font>
  <w:font w:name="*Calibri-5277-Identity-H">
    <w:altName w:val="Calibri"/>
    <w:panose1 w:val="00000000000000000000"/>
    <w:charset w:val="00"/>
    <w:family w:val="auto"/>
    <w:notTrueType/>
    <w:pitch w:val="default"/>
    <w:sig w:usb0="00000003" w:usb1="00000000" w:usb2="00000000" w:usb3="00000000" w:csb0="00000001" w:csb1="00000000"/>
  </w:font>
  <w:font w:name="*Times New Roman-5276-Identity-">
    <w:altName w:val="Calibri"/>
    <w:panose1 w:val="00000000000000000000"/>
    <w:charset w:val="00"/>
    <w:family w:val="auto"/>
    <w:notTrueType/>
    <w:pitch w:val="default"/>
    <w:sig w:usb0="00000003" w:usb1="00000000" w:usb2="00000000" w:usb3="00000000" w:csb0="00000001" w:csb1="00000000"/>
  </w:font>
  <w:font w:name="*Microsoft Sans Serif-Bold-5395">
    <w:altName w:val="Calibri"/>
    <w:panose1 w:val="00000000000000000000"/>
    <w:charset w:val="00"/>
    <w:family w:val="auto"/>
    <w:notTrueType/>
    <w:pitch w:val="default"/>
    <w:sig w:usb0="00000003" w:usb1="00000000" w:usb2="00000000" w:usb3="00000000" w:csb0="00000001" w:csb1="00000000"/>
  </w:font>
  <w:font w:name="*Calibri-Bold-7937-Identity-H">
    <w:altName w:val="Calibri"/>
    <w:panose1 w:val="00000000000000000000"/>
    <w:charset w:val="00"/>
    <w:family w:val="auto"/>
    <w:notTrueType/>
    <w:pitch w:val="default"/>
    <w:sig w:usb0="00000003" w:usb1="00000000" w:usb2="00000000" w:usb3="00000000" w:csb0="00000001" w:csb1="00000000"/>
  </w:font>
  <w:font w:name="*Courier New-7940-Identity-H">
    <w:altName w:val="Calibri"/>
    <w:panose1 w:val="00000000000000000000"/>
    <w:charset w:val="00"/>
    <w:family w:val="auto"/>
    <w:notTrueType/>
    <w:pitch w:val="default"/>
    <w:sig w:usb0="00000003" w:usb1="00000000" w:usb2="00000000" w:usb3="00000000" w:csb0="00000001" w:csb1="00000000"/>
  </w:font>
  <w:font w:name="*Verdana-7945-Identity-H">
    <w:altName w:val="Calibri"/>
    <w:panose1 w:val="00000000000000000000"/>
    <w:charset w:val="00"/>
    <w:family w:val="auto"/>
    <w:notTrueType/>
    <w:pitch w:val="default"/>
    <w:sig w:usb0="00000003" w:usb1="00000000" w:usb2="00000000" w:usb3="00000000" w:csb0="00000001" w:csb1="00000000"/>
  </w:font>
  <w:font w:name="*Verdana-7944-Identity-H">
    <w:altName w:val="Calibri"/>
    <w:panose1 w:val="00000000000000000000"/>
    <w:charset w:val="00"/>
    <w:family w:val="auto"/>
    <w:notTrueType/>
    <w:pitch w:val="default"/>
    <w:sig w:usb0="00000003" w:usb1="00000000" w:usb2="00000000" w:usb3="00000000" w:csb0="00000001" w:csb1="00000000"/>
  </w:font>
  <w:font w:name="*Calibri-5835-Identity-H">
    <w:altName w:val="Calibri"/>
    <w:panose1 w:val="00000000000000000000"/>
    <w:charset w:val="00"/>
    <w:family w:val="auto"/>
    <w:notTrueType/>
    <w:pitch w:val="default"/>
    <w:sig w:usb0="00000003" w:usb1="00000000" w:usb2="00000000" w:usb3="00000000" w:csb0="00000001" w:csb1="00000000"/>
  </w:font>
  <w:font w:name="*Calibri-Bold-5836-Identity-H">
    <w:altName w:val="Calibri"/>
    <w:panose1 w:val="00000000000000000000"/>
    <w:charset w:val="00"/>
    <w:family w:val="auto"/>
    <w:notTrueType/>
    <w:pitch w:val="default"/>
    <w:sig w:usb0="00000003" w:usb1="00000000" w:usb2="00000000" w:usb3="00000000" w:csb0="00000001" w:csb1="00000000"/>
  </w:font>
  <w:font w:name="*Arial-Bold-5838-Identity-H">
    <w:altName w:val="Calibri"/>
    <w:panose1 w:val="00000000000000000000"/>
    <w:charset w:val="00"/>
    <w:family w:val="auto"/>
    <w:notTrueType/>
    <w:pitch w:val="default"/>
    <w:sig w:usb0="00000003" w:usb1="00000000" w:usb2="00000000" w:usb3="00000000" w:csb0="00000001" w:csb1="00000000"/>
  </w:font>
  <w:font w:name="*Calibri-5982-Identity-H">
    <w:altName w:val="Calibri"/>
    <w:panose1 w:val="00000000000000000000"/>
    <w:charset w:val="00"/>
    <w:family w:val="auto"/>
    <w:notTrueType/>
    <w:pitch w:val="default"/>
    <w:sig w:usb0="00000003" w:usb1="00000000" w:usb2="00000000" w:usb3="00000000" w:csb0="00000001" w:csb1="00000000"/>
  </w:font>
  <w:font w:name="*Arial-Bold-5984-Identity-H">
    <w:altName w:val="Calibri"/>
    <w:panose1 w:val="00000000000000000000"/>
    <w:charset w:val="00"/>
    <w:family w:val="auto"/>
    <w:notTrueType/>
    <w:pitch w:val="default"/>
    <w:sig w:usb0="00000003" w:usb1="00000000" w:usb2="00000000" w:usb3="00000000" w:csb0="00000001" w:csb1="00000000"/>
  </w:font>
  <w:font w:name="*Arial-Bold-5983-Identity-H">
    <w:altName w:val="Calibri"/>
    <w:panose1 w:val="00000000000000000000"/>
    <w:charset w:val="00"/>
    <w:family w:val="auto"/>
    <w:notTrueType/>
    <w:pitch w:val="default"/>
    <w:sig w:usb0="00000003" w:usb1="00000000" w:usb2="00000000" w:usb3="00000000" w:csb0="00000001" w:csb1="00000000"/>
  </w:font>
  <w:font w:name="*Calibri-Bold-2866-Identity-H">
    <w:altName w:val="Calibri"/>
    <w:panose1 w:val="00000000000000000000"/>
    <w:charset w:val="00"/>
    <w:family w:val="auto"/>
    <w:notTrueType/>
    <w:pitch w:val="default"/>
    <w:sig w:usb0="00000003" w:usb1="00000000" w:usb2="00000000" w:usb3="00000000" w:csb0="00000001" w:csb1="00000000"/>
  </w:font>
  <w:font w:name="*Calibri-Bold-2865-Identity-H">
    <w:altName w:val="Calibri"/>
    <w:panose1 w:val="00000000000000000000"/>
    <w:charset w:val="00"/>
    <w:family w:val="auto"/>
    <w:notTrueType/>
    <w:pitch w:val="default"/>
    <w:sig w:usb0="00000003" w:usb1="00000000" w:usb2="00000000" w:usb3="00000000" w:csb0="00000001" w:csb1="00000000"/>
  </w:font>
  <w:font w:name="*Verdana-Bold-8736-Identity-H">
    <w:altName w:val="Calibri"/>
    <w:panose1 w:val="00000000000000000000"/>
    <w:charset w:val="00"/>
    <w:family w:val="auto"/>
    <w:notTrueType/>
    <w:pitch w:val="default"/>
    <w:sig w:usb0="00000003" w:usb1="00000000" w:usb2="00000000" w:usb3="00000000" w:csb0="00000001" w:csb1="00000000"/>
  </w:font>
  <w:font w:name="*Verdana-8734-Identity-H">
    <w:altName w:val="Calibri"/>
    <w:panose1 w:val="00000000000000000000"/>
    <w:charset w:val="00"/>
    <w:family w:val="auto"/>
    <w:notTrueType/>
    <w:pitch w:val="default"/>
    <w:sig w:usb0="00000003" w:usb1="00000000" w:usb2="00000000" w:usb3="00000000" w:csb0="00000001" w:csb1="00000000"/>
  </w:font>
  <w:font w:name="*Times New Roman-Italic-8733-Id">
    <w:altName w:val="Calibri"/>
    <w:panose1 w:val="00000000000000000000"/>
    <w:charset w:val="00"/>
    <w:family w:val="auto"/>
    <w:notTrueType/>
    <w:pitch w:val="default"/>
    <w:sig w:usb0="00000003" w:usb1="00000000" w:usb2="00000000" w:usb3="00000000" w:csb0="00000001" w:csb1="00000000"/>
  </w:font>
  <w:font w:name="*Verdana-Bold-8735-Identity-H">
    <w:altName w:val="Calibri"/>
    <w:panose1 w:val="00000000000000000000"/>
    <w:charset w:val="00"/>
    <w:family w:val="auto"/>
    <w:notTrueType/>
    <w:pitch w:val="default"/>
    <w:sig w:usb0="00000003" w:usb1="00000000" w:usb2="00000000" w:usb3="00000000" w:csb0="00000001" w:csb1="00000000"/>
  </w:font>
  <w:font w:name="*Verdana-14220-Identity-H">
    <w:altName w:val="Calibri"/>
    <w:panose1 w:val="00000000000000000000"/>
    <w:charset w:val="00"/>
    <w:family w:val="auto"/>
    <w:notTrueType/>
    <w:pitch w:val="default"/>
    <w:sig w:usb0="00000003" w:usb1="00000000" w:usb2="00000000" w:usb3="00000000" w:csb0="00000001" w:csb1="00000000"/>
  </w:font>
  <w:font w:name="*Verdana-Bold-14221-Identity-H">
    <w:altName w:val="Calibri"/>
    <w:panose1 w:val="00000000000000000000"/>
    <w:charset w:val="00"/>
    <w:family w:val="auto"/>
    <w:notTrueType/>
    <w:pitch w:val="default"/>
    <w:sig w:usb0="00000003" w:usb1="00000000" w:usb2="00000000" w:usb3="00000000" w:csb0="00000001" w:csb1="00000000"/>
  </w:font>
  <w:font w:name="*Verdana-Italic-14219-Identity-">
    <w:altName w:val="Calibri"/>
    <w:panose1 w:val="00000000000000000000"/>
    <w:charset w:val="00"/>
    <w:family w:val="auto"/>
    <w:notTrueType/>
    <w:pitch w:val="default"/>
    <w:sig w:usb0="00000003" w:usb1="00000000" w:usb2="00000000" w:usb3="00000000" w:csb0="00000001" w:csb1="00000000"/>
  </w:font>
  <w:font w:name="*Verdana-Italic-12076-Identity-">
    <w:altName w:val="Calibri"/>
    <w:panose1 w:val="00000000000000000000"/>
    <w:charset w:val="00"/>
    <w:family w:val="auto"/>
    <w:notTrueType/>
    <w:pitch w:val="default"/>
    <w:sig w:usb0="00000003" w:usb1="00000000" w:usb2="00000000" w:usb3="00000000" w:csb0="00000001" w:csb1="00000000"/>
  </w:font>
  <w:font w:name="*Times New Roman-12069-Identity">
    <w:altName w:val="Calibri"/>
    <w:panose1 w:val="00000000000000000000"/>
    <w:charset w:val="00"/>
    <w:family w:val="auto"/>
    <w:notTrueType/>
    <w:pitch w:val="default"/>
    <w:sig w:usb0="00000003" w:usb1="00000000" w:usb2="00000000" w:usb3="00000000" w:csb0="00000001" w:csb1="00000000"/>
  </w:font>
  <w:font w:name="*Calibri-12075-Identity-H">
    <w:altName w:val="Calibri"/>
    <w:panose1 w:val="00000000000000000000"/>
    <w:charset w:val="00"/>
    <w:family w:val="auto"/>
    <w:notTrueType/>
    <w:pitch w:val="default"/>
    <w:sig w:usb0="00000003" w:usb1="00000000" w:usb2="00000000" w:usb3="00000000" w:csb0="00000001" w:csb1="00000000"/>
  </w:font>
  <w:font w:name="*Verdana-Italic-13496-Identity-">
    <w:altName w:val="Calibri"/>
    <w:panose1 w:val="00000000000000000000"/>
    <w:charset w:val="00"/>
    <w:family w:val="auto"/>
    <w:notTrueType/>
    <w:pitch w:val="default"/>
    <w:sig w:usb0="00000003" w:usb1="00000000" w:usb2="00000000" w:usb3="00000000" w:csb0="00000001" w:csb1="00000000"/>
  </w:font>
  <w:font w:name="*Verdana-13497-Identity-H">
    <w:altName w:val="Calibri"/>
    <w:panose1 w:val="00000000000000000000"/>
    <w:charset w:val="00"/>
    <w:family w:val="auto"/>
    <w:notTrueType/>
    <w:pitch w:val="default"/>
    <w:sig w:usb0="00000003" w:usb1="00000000" w:usb2="00000000" w:usb3="00000000" w:csb0="00000001" w:csb1="00000000"/>
  </w:font>
  <w:font w:name="*Tahoma-11354-Identity-H">
    <w:altName w:val="Calibri"/>
    <w:panose1 w:val="00000000000000000000"/>
    <w:charset w:val="00"/>
    <w:family w:val="auto"/>
    <w:notTrueType/>
    <w:pitch w:val="default"/>
    <w:sig w:usb0="00000003" w:usb1="00000000" w:usb2="00000000" w:usb3="00000000" w:csb0="00000001" w:csb1="00000000"/>
  </w:font>
  <w:font w:name="*Verdana-17541-Identity-H">
    <w:altName w:val="Calibri"/>
    <w:panose1 w:val="00000000000000000000"/>
    <w:charset w:val="00"/>
    <w:family w:val="auto"/>
    <w:notTrueType/>
    <w:pitch w:val="default"/>
    <w:sig w:usb0="00000003" w:usb1="00000000" w:usb2="00000000" w:usb3="00000000" w:csb0="00000001" w:csb1="00000000"/>
  </w:font>
  <w:font w:name="*Calibri-Bold-17537-Identity-H">
    <w:altName w:val="Calibri"/>
    <w:panose1 w:val="00000000000000000000"/>
    <w:charset w:val="00"/>
    <w:family w:val="auto"/>
    <w:notTrueType/>
    <w:pitch w:val="default"/>
    <w:sig w:usb0="00000003" w:usb1="00000000" w:usb2="00000000" w:usb3="00000000" w:csb0="00000001" w:csb1="00000000"/>
  </w:font>
  <w:font w:name="*Microsoft Sans Serif-Italic-17">
    <w:altName w:val="Calibri"/>
    <w:panose1 w:val="00000000000000000000"/>
    <w:charset w:val="00"/>
    <w:family w:val="auto"/>
    <w:notTrueType/>
    <w:pitch w:val="default"/>
    <w:sig w:usb0="00000003" w:usb1="00000000" w:usb2="00000000" w:usb3="00000000" w:csb0="00000001" w:csb1="00000000"/>
  </w:font>
  <w:font w:name="*Verdana-BoldItalic-17540-Ident">
    <w:altName w:val="Calibri"/>
    <w:panose1 w:val="00000000000000000000"/>
    <w:charset w:val="00"/>
    <w:family w:val="auto"/>
    <w:notTrueType/>
    <w:pitch w:val="default"/>
    <w:sig w:usb0="00000003" w:usb1="00000000" w:usb2="00000000" w:usb3="00000000" w:csb0="00000001" w:csb1="00000000"/>
  </w:font>
  <w:font w:name="*Verdana-Italic-17539-Identity-">
    <w:altName w:val="Calibri"/>
    <w:panose1 w:val="00000000000000000000"/>
    <w:charset w:val="00"/>
    <w:family w:val="auto"/>
    <w:notTrueType/>
    <w:pitch w:val="default"/>
    <w:sig w:usb0="00000003" w:usb1="00000000" w:usb2="00000000" w:usb3="00000000" w:csb0="00000001" w:csb1="00000000"/>
  </w:font>
  <w:font w:name="*Verdana-Italic-12769-Identity-">
    <w:altName w:val="Calibri"/>
    <w:panose1 w:val="00000000000000000000"/>
    <w:charset w:val="00"/>
    <w:family w:val="auto"/>
    <w:notTrueType/>
    <w:pitch w:val="default"/>
    <w:sig w:usb0="00000003" w:usb1="00000000" w:usb2="00000000" w:usb3="00000000" w:csb0="00000001" w:csb1="00000000"/>
  </w:font>
  <w:font w:name="*Verdana-Italic-12770-Identity-">
    <w:altName w:val="Calibri"/>
    <w:panose1 w:val="00000000000000000000"/>
    <w:charset w:val="00"/>
    <w:family w:val="auto"/>
    <w:notTrueType/>
    <w:pitch w:val="default"/>
    <w:sig w:usb0="00000003" w:usb1="00000000" w:usb2="00000000" w:usb3="00000000" w:csb0="00000001" w:csb1="00000000"/>
  </w:font>
  <w:font w:name="*Verdana-12771-Identity-H">
    <w:altName w:val="Calibri"/>
    <w:panose1 w:val="00000000000000000000"/>
    <w:charset w:val="00"/>
    <w:family w:val="auto"/>
    <w:notTrueType/>
    <w:pitch w:val="default"/>
    <w:sig w:usb0="00000003" w:usb1="00000000" w:usb2="00000000" w:usb3="00000000" w:csb0="00000001" w:csb1="00000000"/>
  </w:font>
  <w:font w:name="*Calibri-Bold-12766-Identity-H">
    <w:altName w:val="Calibri"/>
    <w:panose1 w:val="00000000000000000000"/>
    <w:charset w:val="00"/>
    <w:family w:val="auto"/>
    <w:notTrueType/>
    <w:pitch w:val="default"/>
    <w:sig w:usb0="00000003" w:usb1="00000000" w:usb2="00000000" w:usb3="00000000" w:csb0="00000001" w:csb1="00000000"/>
  </w:font>
  <w:font w:name="*Verdana-11896-Identity-H">
    <w:altName w:val="Calibri"/>
    <w:panose1 w:val="00000000000000000000"/>
    <w:charset w:val="00"/>
    <w:family w:val="auto"/>
    <w:notTrueType/>
    <w:pitch w:val="default"/>
    <w:sig w:usb0="00000003" w:usb1="00000000" w:usb2="00000000" w:usb3="00000000" w:csb0="00000001" w:csb1="00000000"/>
  </w:font>
  <w:font w:name="*Verdana-Bold-11897-Identity-H">
    <w:altName w:val="Calibri"/>
    <w:panose1 w:val="00000000000000000000"/>
    <w:charset w:val="00"/>
    <w:family w:val="auto"/>
    <w:notTrueType/>
    <w:pitch w:val="default"/>
    <w:sig w:usb0="00000003" w:usb1="00000000" w:usb2="00000000" w:usb3="00000000" w:csb0="00000001" w:csb1="00000000"/>
  </w:font>
  <w:font w:name="*Verdana-6654-Identity-H">
    <w:altName w:val="Calibri"/>
    <w:panose1 w:val="00000000000000000000"/>
    <w:charset w:val="00"/>
    <w:family w:val="auto"/>
    <w:notTrueType/>
    <w:pitch w:val="default"/>
    <w:sig w:usb0="00000003" w:usb1="00000000" w:usb2="00000000" w:usb3="00000000" w:csb0="00000001" w:csb1="00000000"/>
  </w:font>
  <w:font w:name="*Verdana-Bold-6653-Identity-H">
    <w:altName w:val="Calibri"/>
    <w:panose1 w:val="00000000000000000000"/>
    <w:charset w:val="00"/>
    <w:family w:val="auto"/>
    <w:notTrueType/>
    <w:pitch w:val="default"/>
    <w:sig w:usb0="00000003" w:usb1="00000000" w:usb2="00000000" w:usb3="00000000" w:csb0="00000001" w:csb1="00000000"/>
  </w:font>
  <w:font w:name="*Arial-Bold-4914-Identity-H">
    <w:altName w:val="Calibri"/>
    <w:panose1 w:val="00000000000000000000"/>
    <w:charset w:val="00"/>
    <w:family w:val="auto"/>
    <w:notTrueType/>
    <w:pitch w:val="default"/>
    <w:sig w:usb0="00000003" w:usb1="00000000" w:usb2="00000000" w:usb3="00000000" w:csb0="00000001" w:csb1="00000000"/>
  </w:font>
  <w:font w:name="*Verdana-Bold-9087-Identity-H">
    <w:altName w:val="Calibri"/>
    <w:panose1 w:val="00000000000000000000"/>
    <w:charset w:val="00"/>
    <w:family w:val="auto"/>
    <w:notTrueType/>
    <w:pitch w:val="default"/>
    <w:sig w:usb0="00000003" w:usb1="00000000" w:usb2="00000000" w:usb3="00000000" w:csb0="00000001" w:csb1="00000000"/>
  </w:font>
  <w:font w:name="*Verdana-9085-Identity-H">
    <w:altName w:val="Calibri"/>
    <w:panose1 w:val="00000000000000000000"/>
    <w:charset w:val="00"/>
    <w:family w:val="auto"/>
    <w:notTrueType/>
    <w:pitch w:val="default"/>
    <w:sig w:usb0="00000003" w:usb1="00000000" w:usb2="00000000" w:usb3="00000000" w:csb0="00000001" w:csb1="00000000"/>
  </w:font>
  <w:font w:name="*Verdana-Bold-9086-Identity-H">
    <w:altName w:val="Calibri"/>
    <w:panose1 w:val="00000000000000000000"/>
    <w:charset w:val="00"/>
    <w:family w:val="auto"/>
    <w:notTrueType/>
    <w:pitch w:val="default"/>
    <w:sig w:usb0="00000003" w:usb1="00000000" w:usb2="00000000" w:usb3="00000000" w:csb0="00000001" w:csb1="00000000"/>
  </w:font>
  <w:font w:name="*Verdana-13030-Identity-H">
    <w:altName w:val="Calibri"/>
    <w:panose1 w:val="00000000000000000000"/>
    <w:charset w:val="00"/>
    <w:family w:val="auto"/>
    <w:notTrueType/>
    <w:pitch w:val="default"/>
    <w:sig w:usb0="00000003" w:usb1="00000000" w:usb2="00000000" w:usb3="00000000" w:csb0="00000001" w:csb1="00000000"/>
  </w:font>
  <w:font w:name="*Verdana-15238-Identity-H">
    <w:altName w:val="Calibri"/>
    <w:panose1 w:val="00000000000000000000"/>
    <w:charset w:val="00"/>
    <w:family w:val="auto"/>
    <w:notTrueType/>
    <w:pitch w:val="default"/>
    <w:sig w:usb0="00000003" w:usb1="00000000" w:usb2="00000000" w:usb3="00000000" w:csb0="00000001" w:csb1="00000000"/>
  </w:font>
  <w:font w:name="*Tahoma-Bold-15240-Identity-H">
    <w:altName w:val="Calibri"/>
    <w:panose1 w:val="00000000000000000000"/>
    <w:charset w:val="00"/>
    <w:family w:val="auto"/>
    <w:notTrueType/>
    <w:pitch w:val="default"/>
    <w:sig w:usb0="00000003" w:usb1="00000000" w:usb2="00000000" w:usb3="00000000" w:csb0="00000001" w:csb1="00000000"/>
  </w:font>
  <w:font w:name="*Verdana-Italic-15237-Identity-">
    <w:altName w:val="Calibri"/>
    <w:panose1 w:val="00000000000000000000"/>
    <w:charset w:val="00"/>
    <w:family w:val="auto"/>
    <w:notTrueType/>
    <w:pitch w:val="default"/>
    <w:sig w:usb0="00000003" w:usb1="00000000" w:usb2="00000000" w:usb3="00000000" w:csb0="00000001" w:csb1="00000000"/>
  </w:font>
  <w:font w:name="*Tahoma-BoldItalic-15239-Identi">
    <w:altName w:val="Calibri"/>
    <w:panose1 w:val="00000000000000000000"/>
    <w:charset w:val="00"/>
    <w:family w:val="auto"/>
    <w:notTrueType/>
    <w:pitch w:val="default"/>
    <w:sig w:usb0="00000003" w:usb1="00000000" w:usb2="00000000" w:usb3="00000000" w:csb0="00000001" w:csb1="00000000"/>
  </w:font>
  <w:font w:name="*Calibri-15233-Identity-H">
    <w:altName w:val="Calibri"/>
    <w:panose1 w:val="00000000000000000000"/>
    <w:charset w:val="00"/>
    <w:family w:val="auto"/>
    <w:notTrueType/>
    <w:pitch w:val="default"/>
    <w:sig w:usb0="00000003" w:usb1="00000000" w:usb2="00000000" w:usb3="00000000" w:csb0="00000001" w:csb1="00000000"/>
  </w:font>
  <w:font w:name="*Times New Roman-15231-Identity">
    <w:altName w:val="Calibri"/>
    <w:panose1 w:val="00000000000000000000"/>
    <w:charset w:val="00"/>
    <w:family w:val="auto"/>
    <w:notTrueType/>
    <w:pitch w:val="default"/>
    <w:sig w:usb0="00000003" w:usb1="00000000" w:usb2="00000000" w:usb3="00000000" w:csb0="00000001" w:csb1="00000000"/>
  </w:font>
  <w:font w:name="*Times New Roman-12907-Identity">
    <w:altName w:val="Calibri"/>
    <w:panose1 w:val="00000000000000000000"/>
    <w:charset w:val="00"/>
    <w:family w:val="auto"/>
    <w:notTrueType/>
    <w:pitch w:val="default"/>
    <w:sig w:usb0="00000003" w:usb1="00000000" w:usb2="00000000" w:usb3="00000000" w:csb0="00000001" w:csb1="00000000"/>
  </w:font>
  <w:font w:name="*Verdana-Italic-12911-Identity-">
    <w:altName w:val="Calibri"/>
    <w:panose1 w:val="00000000000000000000"/>
    <w:charset w:val="00"/>
    <w:family w:val="auto"/>
    <w:notTrueType/>
    <w:pitch w:val="default"/>
    <w:sig w:usb0="00000003" w:usb1="00000000" w:usb2="00000000" w:usb3="00000000" w:csb0="00000001" w:csb1="00000000"/>
  </w:font>
  <w:font w:name="*Comic Sans MS-Bold-12910-Ident">
    <w:altName w:val="Calibri"/>
    <w:panose1 w:val="00000000000000000000"/>
    <w:charset w:val="00"/>
    <w:family w:val="auto"/>
    <w:notTrueType/>
    <w:pitch w:val="default"/>
    <w:sig w:usb0="00000003" w:usb1="00000000" w:usb2="00000000" w:usb3="00000000" w:csb0="00000001" w:csb1="00000000"/>
  </w:font>
  <w:font w:name="*Verdana-Italic-12292-Identity-">
    <w:altName w:val="Calibri"/>
    <w:panose1 w:val="00000000000000000000"/>
    <w:charset w:val="00"/>
    <w:family w:val="auto"/>
    <w:notTrueType/>
    <w:pitch w:val="default"/>
    <w:sig w:usb0="00000003" w:usb1="00000000" w:usb2="00000000" w:usb3="00000000" w:csb0="00000001" w:csb1="00000000"/>
  </w:font>
  <w:font w:name="*Times New Roman-12288-Identity">
    <w:altName w:val="Calibri"/>
    <w:panose1 w:val="00000000000000000000"/>
    <w:charset w:val="00"/>
    <w:family w:val="auto"/>
    <w:notTrueType/>
    <w:pitch w:val="default"/>
    <w:sig w:usb0="00000003" w:usb1="00000000" w:usb2="00000000" w:usb3="00000000" w:csb0="00000001" w:csb1="00000000"/>
  </w:font>
  <w:font w:name="*Verdana-12293-Identity-H">
    <w:altName w:val="Calibri"/>
    <w:panose1 w:val="00000000000000000000"/>
    <w:charset w:val="00"/>
    <w:family w:val="auto"/>
    <w:notTrueType/>
    <w:pitch w:val="default"/>
    <w:sig w:usb0="00000003" w:usb1="00000000" w:usb2="00000000" w:usb3="00000000" w:csb0="00000001" w:csb1="00000000"/>
  </w:font>
  <w:font w:name="*Verdana-Italic-14418-Identity-">
    <w:altName w:val="Calibri"/>
    <w:panose1 w:val="00000000000000000000"/>
    <w:charset w:val="00"/>
    <w:family w:val="auto"/>
    <w:notTrueType/>
    <w:pitch w:val="default"/>
    <w:sig w:usb0="00000003" w:usb1="00000000" w:usb2="00000000" w:usb3="00000000" w:csb0="00000001" w:csb1="00000000"/>
  </w:font>
  <w:font w:name="*Minion Pro-Bold-14422-Identity">
    <w:altName w:val="Calibri"/>
    <w:panose1 w:val="00000000000000000000"/>
    <w:charset w:val="00"/>
    <w:family w:val="auto"/>
    <w:notTrueType/>
    <w:pitch w:val="default"/>
    <w:sig w:usb0="00000003" w:usb1="00000000" w:usb2="00000000" w:usb3="00000000" w:csb0="00000001" w:csb1="00000000"/>
  </w:font>
  <w:font w:name="*Times New Roman-14415-Identity">
    <w:altName w:val="Calibri"/>
    <w:panose1 w:val="00000000000000000000"/>
    <w:charset w:val="00"/>
    <w:family w:val="auto"/>
    <w:notTrueType/>
    <w:pitch w:val="default"/>
    <w:sig w:usb0="00000003" w:usb1="00000000" w:usb2="00000000" w:usb3="00000000" w:csb0="00000001" w:csb1="00000000"/>
  </w:font>
  <w:font w:name="*Verdana-BoldItalic-14419-Ident">
    <w:altName w:val="Calibri"/>
    <w:panose1 w:val="00000000000000000000"/>
    <w:charset w:val="00"/>
    <w:family w:val="auto"/>
    <w:notTrueType/>
    <w:pitch w:val="default"/>
    <w:sig w:usb0="00000003" w:usb1="00000000" w:usb2="00000000" w:usb3="00000000" w:csb0="00000001" w:csb1="00000000"/>
  </w:font>
  <w:font w:name="*Verdana-Italic-15059-Identity-">
    <w:altName w:val="Calibri"/>
    <w:panose1 w:val="00000000000000000000"/>
    <w:charset w:val="00"/>
    <w:family w:val="auto"/>
    <w:notTrueType/>
    <w:pitch w:val="default"/>
    <w:sig w:usb0="00000003" w:usb1="00000000" w:usb2="00000000" w:usb3="00000000" w:csb0="00000001" w:csb1="00000000"/>
  </w:font>
  <w:font w:name="*Verdana-Bold-15058-Identity-H">
    <w:altName w:val="Calibri"/>
    <w:panose1 w:val="00000000000000000000"/>
    <w:charset w:val="00"/>
    <w:family w:val="auto"/>
    <w:notTrueType/>
    <w:pitch w:val="default"/>
    <w:sig w:usb0="00000003" w:usb1="00000000" w:usb2="00000000" w:usb3="00000000" w:csb0="00000001" w:csb1="00000000"/>
  </w:font>
  <w:font w:name="*Verdana-15057-Identity-H">
    <w:altName w:val="Calibri"/>
    <w:panose1 w:val="00000000000000000000"/>
    <w:charset w:val="00"/>
    <w:family w:val="auto"/>
    <w:notTrueType/>
    <w:pitch w:val="default"/>
    <w:sig w:usb0="00000003" w:usb1="00000000" w:usb2="00000000" w:usb3="00000000" w:csb0="00000001" w:csb1="00000000"/>
  </w:font>
  <w:font w:name="*Verdana-14132-Identity-H">
    <w:altName w:val="Calibri"/>
    <w:panose1 w:val="00000000000000000000"/>
    <w:charset w:val="00"/>
    <w:family w:val="auto"/>
    <w:notTrueType/>
    <w:pitch w:val="default"/>
    <w:sig w:usb0="00000003" w:usb1="00000000" w:usb2="00000000" w:usb3="00000000" w:csb0="00000001" w:csb1="00000000"/>
  </w:font>
  <w:font w:name="*Verdana-Italic-14131-Identity-">
    <w:altName w:val="Calibri"/>
    <w:panose1 w:val="00000000000000000000"/>
    <w:charset w:val="00"/>
    <w:family w:val="auto"/>
    <w:notTrueType/>
    <w:pitch w:val="default"/>
    <w:sig w:usb0="00000003" w:usb1="00000000" w:usb2="00000000" w:usb3="00000000" w:csb0="00000001" w:csb1="00000000"/>
  </w:font>
  <w:font w:name="*Times New Roman-Italic-14128-I">
    <w:altName w:val="Calibri"/>
    <w:panose1 w:val="00000000000000000000"/>
    <w:charset w:val="00"/>
    <w:family w:val="auto"/>
    <w:notTrueType/>
    <w:pitch w:val="default"/>
    <w:sig w:usb0="00000003" w:usb1="00000000" w:usb2="00000000" w:usb3="00000000" w:csb0="00000001" w:csb1="00000000"/>
  </w:font>
  <w:font w:name="*Verdana-12849-Identity-H">
    <w:altName w:val="Calibri"/>
    <w:panose1 w:val="00000000000000000000"/>
    <w:charset w:val="00"/>
    <w:family w:val="auto"/>
    <w:notTrueType/>
    <w:pitch w:val="default"/>
    <w:sig w:usb0="00000003" w:usb1="00000000" w:usb2="00000000" w:usb3="00000000" w:csb0="00000001" w:csb1="00000000"/>
  </w:font>
  <w:font w:name="*Verdana-Italic-12850-Identity-">
    <w:altName w:val="Calibri"/>
    <w:panose1 w:val="00000000000000000000"/>
    <w:charset w:val="00"/>
    <w:family w:val="auto"/>
    <w:notTrueType/>
    <w:pitch w:val="default"/>
    <w:sig w:usb0="00000003" w:usb1="00000000" w:usb2="00000000" w:usb3="00000000" w:csb0="00000001" w:csb1="00000000"/>
  </w:font>
  <w:font w:name="*Calibri-12844-Identity-H">
    <w:altName w:val="Calibri"/>
    <w:panose1 w:val="00000000000000000000"/>
    <w:charset w:val="00"/>
    <w:family w:val="auto"/>
    <w:notTrueType/>
    <w:pitch w:val="default"/>
    <w:sig w:usb0="00000003" w:usb1="00000000" w:usb2="00000000" w:usb3="00000000" w:csb0="00000001" w:csb1="00000000"/>
  </w:font>
  <w:font w:name="*Verdana-14073-Identity-H">
    <w:altName w:val="Calibri"/>
    <w:panose1 w:val="00000000000000000000"/>
    <w:charset w:val="00"/>
    <w:family w:val="auto"/>
    <w:notTrueType/>
    <w:pitch w:val="default"/>
    <w:sig w:usb0="00000003" w:usb1="00000000" w:usb2="00000000" w:usb3="00000000" w:csb0="00000001" w:csb1="00000000"/>
  </w:font>
  <w:font w:name="*Verdana-Italic-14074-Identity-">
    <w:altName w:val="Calibri"/>
    <w:panose1 w:val="00000000000000000000"/>
    <w:charset w:val="00"/>
    <w:family w:val="auto"/>
    <w:notTrueType/>
    <w:pitch w:val="default"/>
    <w:sig w:usb0="00000003" w:usb1="00000000" w:usb2="00000000" w:usb3="00000000" w:csb0="00000001" w:csb1="00000000"/>
  </w:font>
  <w:font w:name="*Verdana-Bold-9814-Identity-H">
    <w:altName w:val="Calibri"/>
    <w:panose1 w:val="00000000000000000000"/>
    <w:charset w:val="00"/>
    <w:family w:val="auto"/>
    <w:notTrueType/>
    <w:pitch w:val="default"/>
    <w:sig w:usb0="00000003" w:usb1="00000000" w:usb2="00000000" w:usb3="00000000" w:csb0="00000001" w:csb1="00000000"/>
  </w:font>
  <w:font w:name="*Verdana-9815-Identity-H">
    <w:altName w:val="Calibri"/>
    <w:panose1 w:val="00000000000000000000"/>
    <w:charset w:val="00"/>
    <w:family w:val="auto"/>
    <w:notTrueType/>
    <w:pitch w:val="default"/>
    <w:sig w:usb0="00000003" w:usb1="00000000" w:usb2="00000000" w:usb3="00000000" w:csb0="00000001" w:csb1="00000000"/>
  </w:font>
  <w:font w:name="*Arial-Bold-6967-Identity-H">
    <w:altName w:val="Calibri"/>
    <w:panose1 w:val="00000000000000000000"/>
    <w:charset w:val="00"/>
    <w:family w:val="auto"/>
    <w:notTrueType/>
    <w:pitch w:val="default"/>
    <w:sig w:usb0="00000003" w:usb1="00000000" w:usb2="00000000" w:usb3="00000000" w:csb0="00000001" w:csb1="00000000"/>
  </w:font>
  <w:font w:name="*Arial-6965-Identity-H">
    <w:altName w:val="Calibri"/>
    <w:panose1 w:val="00000000000000000000"/>
    <w:charset w:val="00"/>
    <w:family w:val="auto"/>
    <w:notTrueType/>
    <w:pitch w:val="default"/>
    <w:sig w:usb0="00000003" w:usb1="00000000" w:usb2="00000000" w:usb3="00000000" w:csb0="00000001" w:csb1="00000000"/>
  </w:font>
  <w:font w:name="*Arial-Bold-6966-Identity-H">
    <w:altName w:val="Calibri"/>
    <w:panose1 w:val="00000000000000000000"/>
    <w:charset w:val="00"/>
    <w:family w:val="auto"/>
    <w:notTrueType/>
    <w:pitch w:val="default"/>
    <w:sig w:usb0="00000003" w:usb1="00000000" w:usb2="00000000" w:usb3="00000000" w:csb0="00000001" w:csb1="00000000"/>
  </w:font>
  <w:font w:name="*Microsoft Sans Serif-Bold-6968">
    <w:altName w:val="Calibri"/>
    <w:panose1 w:val="00000000000000000000"/>
    <w:charset w:val="00"/>
    <w:family w:val="auto"/>
    <w:notTrueType/>
    <w:pitch w:val="default"/>
    <w:sig w:usb0="00000003" w:usb1="00000000" w:usb2="00000000" w:usb3="00000000" w:csb0="00000001" w:csb1="00000000"/>
  </w:font>
  <w:font w:name="*Arial-6971-Identity-H">
    <w:altName w:val="Calibri"/>
    <w:panose1 w:val="00000000000000000000"/>
    <w:charset w:val="00"/>
    <w:family w:val="auto"/>
    <w:notTrueType/>
    <w:pitch w:val="default"/>
    <w:sig w:usb0="00000003" w:usb1="00000000" w:usb2="00000000" w:usb3="00000000" w:csb0="00000001" w:csb1="00000000"/>
  </w:font>
  <w:font w:name="*Arial-Bold-6972-Identity-H">
    <w:altName w:val="Calibri"/>
    <w:panose1 w:val="00000000000000000000"/>
    <w:charset w:val="00"/>
    <w:family w:val="auto"/>
    <w:notTrueType/>
    <w:pitch w:val="default"/>
    <w:sig w:usb0="00000003" w:usb1="00000000" w:usb2="00000000" w:usb3="00000000" w:csb0="00000001" w:csb1="00000000"/>
  </w:font>
  <w:font w:name="*Arial-6673-Identity-H">
    <w:altName w:val="Calibri"/>
    <w:panose1 w:val="00000000000000000000"/>
    <w:charset w:val="00"/>
    <w:family w:val="auto"/>
    <w:notTrueType/>
    <w:pitch w:val="default"/>
    <w:sig w:usb0="00000003" w:usb1="00000000" w:usb2="00000000" w:usb3="00000000" w:csb0="00000001" w:csb1="00000000"/>
  </w:font>
  <w:font w:name="*Arial-7090-Identity-H">
    <w:altName w:val="Calibri"/>
    <w:panose1 w:val="00000000000000000000"/>
    <w:charset w:val="00"/>
    <w:family w:val="auto"/>
    <w:notTrueType/>
    <w:pitch w:val="default"/>
    <w:sig w:usb0="00000003" w:usb1="00000000" w:usb2="00000000" w:usb3="00000000" w:csb0="00000001" w:csb1="00000000"/>
  </w:font>
  <w:font w:name="*Arial-Bold-7938-Identity-H">
    <w:altName w:val="Calibri"/>
    <w:panose1 w:val="00000000000000000000"/>
    <w:charset w:val="00"/>
    <w:family w:val="auto"/>
    <w:notTrueType/>
    <w:pitch w:val="default"/>
    <w:sig w:usb0="00000003" w:usb1="00000000" w:usb2="00000000" w:usb3="00000000" w:csb0="00000001" w:csb1="00000000"/>
  </w:font>
  <w:font w:name="*Arial-7939-Identity-H">
    <w:altName w:val="Calibri"/>
    <w:panose1 w:val="00000000000000000000"/>
    <w:charset w:val="00"/>
    <w:family w:val="auto"/>
    <w:notTrueType/>
    <w:pitch w:val="default"/>
    <w:sig w:usb0="00000003" w:usb1="00000000" w:usb2="00000000" w:usb3="00000000" w:csb0="00000001" w:csb1="00000000"/>
  </w:font>
  <w:font w:name="*Arial-7937-Identity-H">
    <w:altName w:val="Calibri"/>
    <w:panose1 w:val="00000000000000000000"/>
    <w:charset w:val="00"/>
    <w:family w:val="auto"/>
    <w:notTrueType/>
    <w:pitch w:val="default"/>
    <w:sig w:usb0="00000003" w:usb1="00000000" w:usb2="00000000" w:usb3="00000000" w:csb0="00000001" w:csb1="00000000"/>
  </w:font>
  <w:font w:name="*Arial-7445-Identity-H">
    <w:altName w:val="Calibri"/>
    <w:panose1 w:val="00000000000000000000"/>
    <w:charset w:val="00"/>
    <w:family w:val="auto"/>
    <w:notTrueType/>
    <w:pitch w:val="default"/>
    <w:sig w:usb0="00000003" w:usb1="00000000" w:usb2="00000000" w:usb3="00000000" w:csb0="00000001" w:csb1="00000000"/>
  </w:font>
  <w:font w:name="*Arial-7030-Identity-H">
    <w:altName w:val="Calibri"/>
    <w:panose1 w:val="00000000000000000000"/>
    <w:charset w:val="00"/>
    <w:family w:val="auto"/>
    <w:notTrueType/>
    <w:pitch w:val="default"/>
    <w:sig w:usb0="00000003" w:usb1="00000000" w:usb2="00000000" w:usb3="00000000" w:csb0="00000001" w:csb1="00000000"/>
  </w:font>
  <w:font w:name="*Arial-9979-Identity-H">
    <w:altName w:val="Calibri"/>
    <w:panose1 w:val="00000000000000000000"/>
    <w:charset w:val="00"/>
    <w:family w:val="auto"/>
    <w:notTrueType/>
    <w:pitch w:val="default"/>
    <w:sig w:usb0="00000003" w:usb1="00000000" w:usb2="00000000" w:usb3="00000000" w:csb0="00000001" w:csb1="00000000"/>
  </w:font>
  <w:font w:name="*Arial-9980-Identity-H">
    <w:altName w:val="Calibri"/>
    <w:panose1 w:val="00000000000000000000"/>
    <w:charset w:val="00"/>
    <w:family w:val="auto"/>
    <w:notTrueType/>
    <w:pitch w:val="default"/>
    <w:sig w:usb0="00000003" w:usb1="00000000" w:usb2="00000000" w:usb3="00000000" w:csb0="00000001" w:csb1="00000000"/>
  </w:font>
  <w:font w:name="*Arial-Italic-9981-Identity-H">
    <w:altName w:val="Calibri"/>
    <w:panose1 w:val="00000000000000000000"/>
    <w:charset w:val="00"/>
    <w:family w:val="auto"/>
    <w:notTrueType/>
    <w:pitch w:val="default"/>
    <w:sig w:usb0="00000003" w:usb1="00000000" w:usb2="00000000" w:usb3="00000000" w:csb0="00000001" w:csb1="00000000"/>
  </w:font>
  <w:font w:name="*Arial-9977-Identity-H">
    <w:altName w:val="Calibri"/>
    <w:panose1 w:val="00000000000000000000"/>
    <w:charset w:val="00"/>
    <w:family w:val="auto"/>
    <w:notTrueType/>
    <w:pitch w:val="default"/>
    <w:sig w:usb0="00000003" w:usb1="00000000" w:usb2="00000000" w:usb3="00000000" w:csb0="00000001" w:csb1="00000000"/>
  </w:font>
  <w:font w:name="*Arial-6926-Identity-H">
    <w:altName w:val="Calibri"/>
    <w:panose1 w:val="00000000000000000000"/>
    <w:charset w:val="00"/>
    <w:family w:val="auto"/>
    <w:notTrueType/>
    <w:pitch w:val="default"/>
    <w:sig w:usb0="00000003" w:usb1="00000000" w:usb2="00000000" w:usb3="00000000" w:csb0="00000001" w:csb1="00000000"/>
  </w:font>
  <w:font w:name="*Arial-Italic-6927-Identity-H">
    <w:altName w:val="Calibri"/>
    <w:panose1 w:val="00000000000000000000"/>
    <w:charset w:val="00"/>
    <w:family w:val="auto"/>
    <w:notTrueType/>
    <w:pitch w:val="default"/>
    <w:sig w:usb0="00000003" w:usb1="00000000" w:usb2="00000000" w:usb3="00000000" w:csb0="00000001" w:csb1="00000000"/>
  </w:font>
  <w:font w:name="*Arial-6838-Identity-H">
    <w:altName w:val="Calibri"/>
    <w:panose1 w:val="00000000000000000000"/>
    <w:charset w:val="00"/>
    <w:family w:val="auto"/>
    <w:notTrueType/>
    <w:pitch w:val="default"/>
    <w:sig w:usb0="00000003" w:usb1="00000000" w:usb2="00000000" w:usb3="00000000" w:csb0="00000001" w:csb1="00000000"/>
  </w:font>
  <w:font w:name="*Arial-Bold-6839-Identity-H">
    <w:altName w:val="Calibri"/>
    <w:panose1 w:val="00000000000000000000"/>
    <w:charset w:val="00"/>
    <w:family w:val="auto"/>
    <w:notTrueType/>
    <w:pitch w:val="default"/>
    <w:sig w:usb0="00000003" w:usb1="00000000" w:usb2="00000000" w:usb3="00000000" w:csb0="00000001" w:csb1="00000000"/>
  </w:font>
  <w:font w:name="*Arial-Bold-7131-Identity-H">
    <w:altName w:val="Calibri"/>
    <w:panose1 w:val="00000000000000000000"/>
    <w:charset w:val="00"/>
    <w:family w:val="auto"/>
    <w:notTrueType/>
    <w:pitch w:val="default"/>
    <w:sig w:usb0="00000003" w:usb1="00000000" w:usb2="00000000" w:usb3="00000000" w:csb0="00000001" w:csb1="00000000"/>
  </w:font>
  <w:font w:name="*Arial-7129-Identity-H">
    <w:altName w:val="Calibri"/>
    <w:panose1 w:val="00000000000000000000"/>
    <w:charset w:val="00"/>
    <w:family w:val="auto"/>
    <w:notTrueType/>
    <w:pitch w:val="default"/>
    <w:sig w:usb0="00000003" w:usb1="00000000" w:usb2="00000000" w:usb3="00000000" w:csb0="00000001" w:csb1="00000000"/>
  </w:font>
  <w:font w:name="*Arial-5891-Identity-H">
    <w:altName w:val="Calibri"/>
    <w:panose1 w:val="00000000000000000000"/>
    <w:charset w:val="00"/>
    <w:family w:val="auto"/>
    <w:notTrueType/>
    <w:pitch w:val="default"/>
    <w:sig w:usb0="00000003" w:usb1="00000000" w:usb2="00000000" w:usb3="00000000" w:csb0="00000001" w:csb1="00000000"/>
  </w:font>
  <w:font w:name="*Arial-Italic-7130-Identity-H">
    <w:altName w:val="Calibri"/>
    <w:panose1 w:val="00000000000000000000"/>
    <w:charset w:val="00"/>
    <w:family w:val="auto"/>
    <w:notTrueType/>
    <w:pitch w:val="default"/>
    <w:sig w:usb0="00000003" w:usb1="00000000" w:usb2="00000000" w:usb3="00000000" w:csb0="00000001" w:csb1="00000000"/>
  </w:font>
  <w:font w:name="*Arial-Bold-5892-Identity-H">
    <w:altName w:val="Calibri"/>
    <w:panose1 w:val="00000000000000000000"/>
    <w:charset w:val="00"/>
    <w:family w:val="auto"/>
    <w:notTrueType/>
    <w:pitch w:val="default"/>
    <w:sig w:usb0="00000003" w:usb1="00000000" w:usb2="00000000" w:usb3="00000000" w:csb0="00000001" w:csb1="00000000"/>
  </w:font>
  <w:font w:name="*Arial-7230-Identity-H">
    <w:altName w:val="Calibri"/>
    <w:panose1 w:val="00000000000000000000"/>
    <w:charset w:val="00"/>
    <w:family w:val="auto"/>
    <w:notTrueType/>
    <w:pitch w:val="default"/>
    <w:sig w:usb0="00000003" w:usb1="00000000" w:usb2="00000000" w:usb3="00000000" w:csb0="00000001" w:csb1="00000000"/>
  </w:font>
  <w:font w:name="*Arial-7199-Identity-H">
    <w:altName w:val="Calibri"/>
    <w:panose1 w:val="00000000000000000000"/>
    <w:charset w:val="00"/>
    <w:family w:val="auto"/>
    <w:notTrueType/>
    <w:pitch w:val="default"/>
    <w:sig w:usb0="00000003" w:usb1="00000000" w:usb2="00000000" w:usb3="00000000" w:csb0="00000001" w:csb1="00000000"/>
  </w:font>
  <w:font w:name="*Arial-6474-Identity-H">
    <w:altName w:val="Calibri"/>
    <w:panose1 w:val="00000000000000000000"/>
    <w:charset w:val="00"/>
    <w:family w:val="auto"/>
    <w:notTrueType/>
    <w:pitch w:val="default"/>
    <w:sig w:usb0="00000003" w:usb1="00000000" w:usb2="00000000" w:usb3="00000000" w:csb0="00000001" w:csb1="00000000"/>
  </w:font>
  <w:font w:name="*Arial-Bold-6489-Identity-H">
    <w:altName w:val="Calibri"/>
    <w:panose1 w:val="00000000000000000000"/>
    <w:charset w:val="00"/>
    <w:family w:val="auto"/>
    <w:notTrueType/>
    <w:pitch w:val="default"/>
    <w:sig w:usb0="00000003" w:usb1="00000000" w:usb2="00000000" w:usb3="00000000" w:csb0="00000001" w:csb1="00000000"/>
  </w:font>
  <w:font w:name="*Arial-6490-Identity-H">
    <w:altName w:val="Calibri"/>
    <w:panose1 w:val="00000000000000000000"/>
    <w:charset w:val="00"/>
    <w:family w:val="auto"/>
    <w:notTrueType/>
    <w:pitch w:val="default"/>
    <w:sig w:usb0="00000003" w:usb1="00000000" w:usb2="00000000" w:usb3="00000000" w:csb0="00000001" w:csb1="00000000"/>
  </w:font>
  <w:font w:name="*Arial-6488-Identity-H">
    <w:altName w:val="Calibri"/>
    <w:panose1 w:val="00000000000000000000"/>
    <w:charset w:val="00"/>
    <w:family w:val="auto"/>
    <w:notTrueType/>
    <w:pitch w:val="default"/>
    <w:sig w:usb0="00000003" w:usb1="00000000" w:usb2="00000000" w:usb3="00000000" w:csb0="00000001" w:csb1="00000000"/>
  </w:font>
  <w:font w:name="*Arial-7534-Identity-H">
    <w:altName w:val="Calibri"/>
    <w:panose1 w:val="00000000000000000000"/>
    <w:charset w:val="00"/>
    <w:family w:val="auto"/>
    <w:notTrueType/>
    <w:pitch w:val="default"/>
    <w:sig w:usb0="00000003" w:usb1="00000000" w:usb2="00000000" w:usb3="00000000" w:csb0="00000001" w:csb1="00000000"/>
  </w:font>
  <w:font w:name="*Arial-Bold-7535-Identity-H">
    <w:altName w:val="Calibri"/>
    <w:panose1 w:val="00000000000000000000"/>
    <w:charset w:val="00"/>
    <w:family w:val="auto"/>
    <w:notTrueType/>
    <w:pitch w:val="default"/>
    <w:sig w:usb0="00000003" w:usb1="00000000" w:usb2="00000000" w:usb3="00000000" w:csb0="00000001" w:csb1="00000000"/>
  </w:font>
  <w:font w:name="*Arial-4915-Identity-H">
    <w:altName w:val="Calibri"/>
    <w:panose1 w:val="00000000000000000000"/>
    <w:charset w:val="00"/>
    <w:family w:val="auto"/>
    <w:notTrueType/>
    <w:pitch w:val="default"/>
    <w:sig w:usb0="00000003" w:usb1="00000000" w:usb2="00000000" w:usb3="00000000" w:csb0="00000001" w:csb1="00000000"/>
  </w:font>
  <w:font w:name="*Arial-Bold-7070-Identity-H">
    <w:altName w:val="Calibri"/>
    <w:panose1 w:val="00000000000000000000"/>
    <w:charset w:val="00"/>
    <w:family w:val="auto"/>
    <w:notTrueType/>
    <w:pitch w:val="default"/>
    <w:sig w:usb0="00000003" w:usb1="00000000" w:usb2="00000000" w:usb3="00000000" w:csb0="00000001" w:csb1="00000000"/>
  </w:font>
  <w:font w:name="*Arial-7068-Identity-H">
    <w:altName w:val="Calibri"/>
    <w:panose1 w:val="00000000000000000000"/>
    <w:charset w:val="00"/>
    <w:family w:val="auto"/>
    <w:notTrueType/>
    <w:pitch w:val="default"/>
    <w:sig w:usb0="00000003" w:usb1="00000000" w:usb2="00000000" w:usb3="00000000" w:csb0="00000001" w:csb1="00000000"/>
  </w:font>
  <w:font w:name="*Arial-Bold-7069-Identity-H">
    <w:altName w:val="Calibri"/>
    <w:panose1 w:val="00000000000000000000"/>
    <w:charset w:val="00"/>
    <w:family w:val="auto"/>
    <w:notTrueType/>
    <w:pitch w:val="default"/>
    <w:sig w:usb0="00000003" w:usb1="00000000" w:usb2="00000000" w:usb3="00000000" w:csb0="00000001" w:csb1="00000000"/>
  </w:font>
  <w:font w:name="*Times New Roman-Bold-6357-Iden">
    <w:altName w:val="Calibri"/>
    <w:panose1 w:val="00000000000000000000"/>
    <w:charset w:val="00"/>
    <w:family w:val="auto"/>
    <w:notTrueType/>
    <w:pitch w:val="default"/>
    <w:sig w:usb0="00000003" w:usb1="00000000" w:usb2="00000000" w:usb3="00000000" w:csb0="00000001" w:csb1="00000000"/>
  </w:font>
  <w:font w:name="*Arial-6358-Identity-H">
    <w:altName w:val="Calibri"/>
    <w:panose1 w:val="00000000000000000000"/>
    <w:charset w:val="00"/>
    <w:family w:val="auto"/>
    <w:notTrueType/>
    <w:pitch w:val="default"/>
    <w:sig w:usb0="00000003" w:usb1="00000000" w:usb2="00000000" w:usb3="00000000" w:csb0="00000001" w:csb1="00000000"/>
  </w:font>
  <w:font w:name="*Arial-Bold-6359-Identity-H">
    <w:altName w:val="Calibri"/>
    <w:panose1 w:val="00000000000000000000"/>
    <w:charset w:val="00"/>
    <w:family w:val="auto"/>
    <w:notTrueType/>
    <w:pitch w:val="default"/>
    <w:sig w:usb0="00000003" w:usb1="00000000" w:usb2="00000000" w:usb3="00000000" w:csb0="00000001" w:csb1="00000000"/>
  </w:font>
  <w:font w:name="*Arial-6616-Identity-H">
    <w:altName w:val="Calibri"/>
    <w:panose1 w:val="00000000000000000000"/>
    <w:charset w:val="00"/>
    <w:family w:val="auto"/>
    <w:notTrueType/>
    <w:pitch w:val="default"/>
    <w:sig w:usb0="00000003" w:usb1="00000000" w:usb2="00000000" w:usb3="00000000" w:csb0="00000001" w:csb1="00000000"/>
  </w:font>
  <w:font w:name="*Microsoft Sans Serif-Bold-6207">
    <w:altName w:val="Calibri"/>
    <w:panose1 w:val="00000000000000000000"/>
    <w:charset w:val="00"/>
    <w:family w:val="auto"/>
    <w:notTrueType/>
    <w:pitch w:val="default"/>
    <w:sig w:usb0="00000003" w:usb1="00000000" w:usb2="00000000" w:usb3="00000000" w:csb0="00000001" w:csb1="00000000"/>
  </w:font>
  <w:font w:name="*Arial-6206-Identity-H">
    <w:altName w:val="Calibri"/>
    <w:panose1 w:val="00000000000000000000"/>
    <w:charset w:val="00"/>
    <w:family w:val="auto"/>
    <w:notTrueType/>
    <w:pitch w:val="default"/>
    <w:sig w:usb0="00000003" w:usb1="00000000" w:usb2="00000000" w:usb3="00000000" w:csb0="00000001" w:csb1="00000000"/>
  </w:font>
  <w:font w:name="*Arial-7951-Identity-H">
    <w:altName w:val="Calibri"/>
    <w:panose1 w:val="00000000000000000000"/>
    <w:charset w:val="00"/>
    <w:family w:val="auto"/>
    <w:notTrueType/>
    <w:pitch w:val="default"/>
    <w:sig w:usb0="00000003" w:usb1="00000000" w:usb2="00000000" w:usb3="00000000" w:csb0="00000001" w:csb1="00000000"/>
  </w:font>
  <w:font w:name="*Arial-Bold-7952-Identity-H">
    <w:altName w:val="Calibri"/>
    <w:panose1 w:val="00000000000000000000"/>
    <w:charset w:val="00"/>
    <w:family w:val="auto"/>
    <w:notTrueType/>
    <w:pitch w:val="default"/>
    <w:sig w:usb0="00000003" w:usb1="00000000" w:usb2="00000000" w:usb3="00000000" w:csb0="00000001" w:csb1="00000000"/>
  </w:font>
  <w:font w:name="*Microsoft Sans Serif-Bold-7954">
    <w:altName w:val="Calibri"/>
    <w:panose1 w:val="00000000000000000000"/>
    <w:charset w:val="00"/>
    <w:family w:val="auto"/>
    <w:notTrueType/>
    <w:pitch w:val="default"/>
    <w:sig w:usb0="00000003" w:usb1="00000000" w:usb2="00000000" w:usb3="00000000" w:csb0="00000001" w:csb1="00000000"/>
  </w:font>
  <w:font w:name="*Arial-7305-Identity-H">
    <w:altName w:val="Calibri"/>
    <w:panose1 w:val="00000000000000000000"/>
    <w:charset w:val="00"/>
    <w:family w:val="auto"/>
    <w:notTrueType/>
    <w:pitch w:val="default"/>
    <w:sig w:usb0="00000003" w:usb1="00000000" w:usb2="00000000" w:usb3="00000000" w:csb0="00000001" w:csb1="00000000"/>
  </w:font>
  <w:font w:name="*Arial-7091-Identity-H">
    <w:altName w:val="Calibri"/>
    <w:panose1 w:val="00000000000000000000"/>
    <w:charset w:val="00"/>
    <w:family w:val="auto"/>
    <w:notTrueType/>
    <w:pitch w:val="default"/>
    <w:sig w:usb0="00000003" w:usb1="00000000" w:usb2="00000000" w:usb3="00000000" w:csb0="00000001" w:csb1="00000000"/>
  </w:font>
  <w:font w:name="*Arial-10133-Identity-H">
    <w:altName w:val="Calibri"/>
    <w:panose1 w:val="00000000000000000000"/>
    <w:charset w:val="00"/>
    <w:family w:val="auto"/>
    <w:notTrueType/>
    <w:pitch w:val="default"/>
    <w:sig w:usb0="00000003" w:usb1="00000000" w:usb2="00000000" w:usb3="00000000" w:csb0="00000001" w:csb1="00000000"/>
  </w:font>
  <w:font w:name="*Microsoft Sans Serif-Bold-1013">
    <w:altName w:val="Calibri"/>
    <w:panose1 w:val="00000000000000000000"/>
    <w:charset w:val="00"/>
    <w:family w:val="auto"/>
    <w:notTrueType/>
    <w:pitch w:val="default"/>
    <w:sig w:usb0="00000003" w:usb1="00000000" w:usb2="00000000" w:usb3="00000000" w:csb0="00000001" w:csb1="00000000"/>
  </w:font>
  <w:font w:name="*Arial-Italic-10134-Identity-H">
    <w:altName w:val="Calibri"/>
    <w:panose1 w:val="00000000000000000000"/>
    <w:charset w:val="00"/>
    <w:family w:val="auto"/>
    <w:notTrueType/>
    <w:pitch w:val="default"/>
    <w:sig w:usb0="00000003" w:usb1="00000000" w:usb2="00000000" w:usb3="00000000" w:csb0="00000001" w:csb1="00000000"/>
  </w:font>
  <w:font w:name="*Arial-Italic-10135-Identity-H">
    <w:altName w:val="Calibri"/>
    <w:panose1 w:val="00000000000000000000"/>
    <w:charset w:val="00"/>
    <w:family w:val="auto"/>
    <w:notTrueType/>
    <w:pitch w:val="default"/>
    <w:sig w:usb0="00000003" w:usb1="00000000" w:usb2="00000000" w:usb3="00000000" w:csb0="00000001" w:csb1="00000000"/>
  </w:font>
  <w:font w:name="*Arial-8284-Identity-H">
    <w:altName w:val="Calibri"/>
    <w:panose1 w:val="00000000000000000000"/>
    <w:charset w:val="00"/>
    <w:family w:val="auto"/>
    <w:notTrueType/>
    <w:pitch w:val="default"/>
    <w:sig w:usb0="00000003" w:usb1="00000000" w:usb2="00000000" w:usb3="00000000" w:csb0="00000001" w:csb1="00000000"/>
  </w:font>
  <w:font w:name="*Arial-10132-Identity-H">
    <w:altName w:val="Calibri"/>
    <w:panose1 w:val="00000000000000000000"/>
    <w:charset w:val="00"/>
    <w:family w:val="auto"/>
    <w:notTrueType/>
    <w:pitch w:val="default"/>
    <w:sig w:usb0="00000003" w:usb1="00000000" w:usb2="00000000" w:usb3="00000000" w:csb0="00000001" w:csb1="00000000"/>
  </w:font>
  <w:font w:name="*Arial-8282-Identity-H">
    <w:altName w:val="Calibri"/>
    <w:panose1 w:val="00000000000000000000"/>
    <w:charset w:val="00"/>
    <w:family w:val="auto"/>
    <w:notTrueType/>
    <w:pitch w:val="default"/>
    <w:sig w:usb0="00000003" w:usb1="00000000" w:usb2="00000000" w:usb3="00000000" w:csb0="00000001" w:csb1="00000000"/>
  </w:font>
  <w:font w:name="*Arial-Italic-8283-Identity-H">
    <w:altName w:val="Calibri"/>
    <w:panose1 w:val="00000000000000000000"/>
    <w:charset w:val="00"/>
    <w:family w:val="auto"/>
    <w:notTrueType/>
    <w:pitch w:val="default"/>
    <w:sig w:usb0="00000003" w:usb1="00000000" w:usb2="00000000" w:usb3="00000000" w:csb0="00000001" w:csb1="00000000"/>
  </w:font>
  <w:font w:name="*Arial-7932-Identity-H">
    <w:altName w:val="Calibri"/>
    <w:panose1 w:val="00000000000000000000"/>
    <w:charset w:val="00"/>
    <w:family w:val="auto"/>
    <w:notTrueType/>
    <w:pitch w:val="default"/>
    <w:sig w:usb0="00000003" w:usb1="00000000" w:usb2="00000000" w:usb3="00000000" w:csb0="00000001" w:csb1="00000000"/>
  </w:font>
  <w:font w:name="*Arial-Italic-7934-Identity-H">
    <w:altName w:val="Calibri"/>
    <w:panose1 w:val="00000000000000000000"/>
    <w:charset w:val="00"/>
    <w:family w:val="auto"/>
    <w:notTrueType/>
    <w:pitch w:val="default"/>
    <w:sig w:usb0="00000003" w:usb1="00000000" w:usb2="00000000" w:usb3="00000000" w:csb0="00000001" w:csb1="00000000"/>
  </w:font>
  <w:font w:name="*Arial-Bold-7933-Identity-H">
    <w:altName w:val="Calibri"/>
    <w:panose1 w:val="00000000000000000000"/>
    <w:charset w:val="00"/>
    <w:family w:val="auto"/>
    <w:notTrueType/>
    <w:pitch w:val="default"/>
    <w:sig w:usb0="00000003" w:usb1="00000000" w:usb2="00000000" w:usb3="00000000" w:csb0="00000001" w:csb1="00000000"/>
  </w:font>
  <w:font w:name="*Arial-5567-Identity-H">
    <w:altName w:val="Calibri"/>
    <w:panose1 w:val="00000000000000000000"/>
    <w:charset w:val="00"/>
    <w:family w:val="auto"/>
    <w:notTrueType/>
    <w:pitch w:val="default"/>
    <w:sig w:usb0="00000003" w:usb1="00000000" w:usb2="00000000" w:usb3="00000000" w:csb0="00000001" w:csb1="00000000"/>
  </w:font>
  <w:font w:name="*Arial-Bold-5568-Identity-H">
    <w:altName w:val="Calibri"/>
    <w:panose1 w:val="00000000000000000000"/>
    <w:charset w:val="00"/>
    <w:family w:val="auto"/>
    <w:notTrueType/>
    <w:pitch w:val="default"/>
    <w:sig w:usb0="00000003" w:usb1="00000000" w:usb2="00000000" w:usb3="00000000" w:csb0="00000001" w:csb1="00000000"/>
  </w:font>
  <w:font w:name="*Arial-7646-Identity-H">
    <w:altName w:val="Calibri"/>
    <w:panose1 w:val="00000000000000000000"/>
    <w:charset w:val="00"/>
    <w:family w:val="auto"/>
    <w:notTrueType/>
    <w:pitch w:val="default"/>
    <w:sig w:usb0="00000003" w:usb1="00000000" w:usb2="00000000" w:usb3="00000000" w:csb0="00000001" w:csb1="00000000"/>
  </w:font>
  <w:font w:name="*Arial-7644-Identity-H">
    <w:altName w:val="Calibri"/>
    <w:panose1 w:val="00000000000000000000"/>
    <w:charset w:val="00"/>
    <w:family w:val="auto"/>
    <w:notTrueType/>
    <w:pitch w:val="default"/>
    <w:sig w:usb0="00000003" w:usb1="00000000" w:usb2="00000000" w:usb3="00000000" w:csb0="00000001" w:csb1="00000000"/>
  </w:font>
  <w:font w:name="*Arial-Italic-7645-Identity-H">
    <w:altName w:val="Calibri"/>
    <w:panose1 w:val="00000000000000000000"/>
    <w:charset w:val="00"/>
    <w:family w:val="auto"/>
    <w:notTrueType/>
    <w:pitch w:val="default"/>
    <w:sig w:usb0="00000003" w:usb1="00000000" w:usb2="00000000" w:usb3="00000000" w:csb0="00000001" w:csb1="00000000"/>
  </w:font>
  <w:font w:name="*Microsoft Sans Serif-Bold-7647">
    <w:altName w:val="Calibri"/>
    <w:panose1 w:val="00000000000000000000"/>
    <w:charset w:val="00"/>
    <w:family w:val="auto"/>
    <w:notTrueType/>
    <w:pitch w:val="default"/>
    <w:sig w:usb0="00000003" w:usb1="00000000" w:usb2="00000000" w:usb3="00000000" w:csb0="00000001" w:csb1="00000000"/>
  </w:font>
  <w:font w:name="*Arial-7432-Identity-H">
    <w:altName w:val="Calibri"/>
    <w:panose1 w:val="00000000000000000000"/>
    <w:charset w:val="00"/>
    <w:family w:val="auto"/>
    <w:notTrueType/>
    <w:pitch w:val="default"/>
    <w:sig w:usb0="00000003" w:usb1="00000000" w:usb2="00000000" w:usb3="00000000" w:csb0="00000001" w:csb1="00000000"/>
  </w:font>
  <w:font w:name="*Arial-7359-Identity-H">
    <w:altName w:val="Calibri"/>
    <w:panose1 w:val="00000000000000000000"/>
    <w:charset w:val="00"/>
    <w:family w:val="auto"/>
    <w:notTrueType/>
    <w:pitch w:val="default"/>
    <w:sig w:usb0="00000003" w:usb1="00000000" w:usb2="00000000" w:usb3="00000000" w:csb0="00000001" w:csb1="00000000"/>
  </w:font>
  <w:font w:name="*Arial-7409-Identity-H">
    <w:altName w:val="Calibri"/>
    <w:panose1 w:val="00000000000000000000"/>
    <w:charset w:val="00"/>
    <w:family w:val="auto"/>
    <w:notTrueType/>
    <w:pitch w:val="default"/>
    <w:sig w:usb0="00000003" w:usb1="00000000" w:usb2="00000000" w:usb3="00000000" w:csb0="00000001" w:csb1="00000000"/>
  </w:font>
  <w:font w:name="*Arial-Italic-7410-Identity-H">
    <w:altName w:val="Calibri"/>
    <w:panose1 w:val="00000000000000000000"/>
    <w:charset w:val="00"/>
    <w:family w:val="auto"/>
    <w:notTrueType/>
    <w:pitch w:val="default"/>
    <w:sig w:usb0="00000003" w:usb1="00000000" w:usb2="00000000" w:usb3="00000000" w:csb0="00000001" w:csb1="00000000"/>
  </w:font>
  <w:font w:name="*Arial-7224-Identity-H">
    <w:altName w:val="Calibri"/>
    <w:panose1 w:val="00000000000000000000"/>
    <w:charset w:val="00"/>
    <w:family w:val="auto"/>
    <w:notTrueType/>
    <w:pitch w:val="default"/>
    <w:sig w:usb0="00000003" w:usb1="00000000" w:usb2="00000000" w:usb3="00000000" w:csb0="00000001" w:csb1="00000000"/>
  </w:font>
  <w:font w:name="*Arial-Italic-7225-Identity-H">
    <w:altName w:val="Calibri"/>
    <w:panose1 w:val="00000000000000000000"/>
    <w:charset w:val="00"/>
    <w:family w:val="auto"/>
    <w:notTrueType/>
    <w:pitch w:val="default"/>
    <w:sig w:usb0="00000003" w:usb1="00000000" w:usb2="00000000" w:usb3="00000000" w:csb0="00000001" w:csb1="00000000"/>
  </w:font>
  <w:font w:name="*Arial-6238-Identity-H">
    <w:altName w:val="Calibri"/>
    <w:panose1 w:val="00000000000000000000"/>
    <w:charset w:val="00"/>
    <w:family w:val="auto"/>
    <w:notTrueType/>
    <w:pitch w:val="default"/>
    <w:sig w:usb0="00000003" w:usb1="00000000" w:usb2="00000000" w:usb3="00000000" w:csb0="00000001" w:csb1="00000000"/>
  </w:font>
  <w:font w:name="*Calibri-Bold-6237-Identity-H">
    <w:altName w:val="Calibri"/>
    <w:panose1 w:val="00000000000000000000"/>
    <w:charset w:val="00"/>
    <w:family w:val="auto"/>
    <w:notTrueType/>
    <w:pitch w:val="default"/>
    <w:sig w:usb0="00000003" w:usb1="00000000" w:usb2="00000000" w:usb3="00000000" w:csb0="00000001" w:csb1="00000000"/>
  </w:font>
  <w:font w:name="*Arial-6322-Identity-H">
    <w:altName w:val="Calibri"/>
    <w:panose1 w:val="00000000000000000000"/>
    <w:charset w:val="00"/>
    <w:family w:val="auto"/>
    <w:notTrueType/>
    <w:pitch w:val="default"/>
    <w:sig w:usb0="00000003" w:usb1="00000000" w:usb2="00000000" w:usb3="00000000" w:csb0="00000001" w:csb1="00000000"/>
  </w:font>
  <w:font w:name="*Arial-5325-Identity-H">
    <w:altName w:val="Calibri"/>
    <w:panose1 w:val="00000000000000000000"/>
    <w:charset w:val="00"/>
    <w:family w:val="auto"/>
    <w:notTrueType/>
    <w:pitch w:val="default"/>
    <w:sig w:usb0="00000003" w:usb1="00000000" w:usb2="00000000" w:usb3="00000000" w:csb0="00000001" w:csb1="00000000"/>
  </w:font>
  <w:font w:name="*Arial-5323-Identity-H">
    <w:altName w:val="Calibri"/>
    <w:panose1 w:val="00000000000000000000"/>
    <w:charset w:val="00"/>
    <w:family w:val="auto"/>
    <w:notTrueType/>
    <w:pitch w:val="default"/>
    <w:sig w:usb0="00000003" w:usb1="00000000" w:usb2="00000000" w:usb3="00000000" w:csb0="00000001" w:csb1="00000000"/>
  </w:font>
  <w:font w:name="*Arial-Bold-5324-Identity-H">
    <w:altName w:val="Calibri"/>
    <w:panose1 w:val="00000000000000000000"/>
    <w:charset w:val="00"/>
    <w:family w:val="auto"/>
    <w:notTrueType/>
    <w:pitch w:val="default"/>
    <w:sig w:usb0="00000003" w:usb1="00000000" w:usb2="00000000" w:usb3="00000000" w:csb0="00000001" w:csb1="00000000"/>
  </w:font>
  <w:font w:name="*Arial-5265-Identity-H">
    <w:altName w:val="Calibri"/>
    <w:panose1 w:val="00000000000000000000"/>
    <w:charset w:val="00"/>
    <w:family w:val="auto"/>
    <w:notTrueType/>
    <w:pitch w:val="default"/>
    <w:sig w:usb0="00000003" w:usb1="00000000" w:usb2="00000000" w:usb3="00000000" w:csb0="00000001" w:csb1="00000000"/>
  </w:font>
  <w:font w:name="*Arial-Bold-5263-Identity-H">
    <w:altName w:val="Calibri"/>
    <w:panose1 w:val="00000000000000000000"/>
    <w:charset w:val="00"/>
    <w:family w:val="auto"/>
    <w:notTrueType/>
    <w:pitch w:val="default"/>
    <w:sig w:usb0="00000003" w:usb1="00000000" w:usb2="00000000" w:usb3="00000000" w:csb0="00000001" w:csb1="00000000"/>
  </w:font>
  <w:font w:name="*Arial-Bold-7048-Identity-H">
    <w:altName w:val="Calibri"/>
    <w:panose1 w:val="00000000000000000000"/>
    <w:charset w:val="00"/>
    <w:family w:val="auto"/>
    <w:notTrueType/>
    <w:pitch w:val="default"/>
    <w:sig w:usb0="00000003" w:usb1="00000000" w:usb2="00000000" w:usb3="00000000" w:csb0="00000001" w:csb1="00000000"/>
  </w:font>
  <w:font w:name="*Arial-7046-Identity-H">
    <w:altName w:val="Calibri"/>
    <w:panose1 w:val="00000000000000000000"/>
    <w:charset w:val="00"/>
    <w:family w:val="auto"/>
    <w:notTrueType/>
    <w:pitch w:val="default"/>
    <w:sig w:usb0="00000003" w:usb1="00000000" w:usb2="00000000" w:usb3="00000000" w:csb0="00000001" w:csb1="00000000"/>
  </w:font>
  <w:font w:name="*Microsoft Sans Serif-Bold-7049">
    <w:altName w:val="Calibri"/>
    <w:panose1 w:val="00000000000000000000"/>
    <w:charset w:val="00"/>
    <w:family w:val="auto"/>
    <w:notTrueType/>
    <w:pitch w:val="default"/>
    <w:sig w:usb0="00000003" w:usb1="00000000" w:usb2="00000000" w:usb3="00000000" w:csb0="00000001" w:csb1="00000000"/>
  </w:font>
  <w:font w:name="*Arial-Bold-7047-Identity-H">
    <w:altName w:val="Calibri"/>
    <w:panose1 w:val="00000000000000000000"/>
    <w:charset w:val="00"/>
    <w:family w:val="auto"/>
    <w:notTrueType/>
    <w:pitch w:val="default"/>
    <w:sig w:usb0="00000003" w:usb1="00000000" w:usb2="00000000" w:usb3="00000000" w:csb0="00000001" w:csb1="00000000"/>
  </w:font>
  <w:font w:name="*Arial-6711-Identity-H">
    <w:altName w:val="Calibri"/>
    <w:panose1 w:val="00000000000000000000"/>
    <w:charset w:val="00"/>
    <w:family w:val="auto"/>
    <w:notTrueType/>
    <w:pitch w:val="default"/>
    <w:sig w:usb0="00000003" w:usb1="00000000" w:usb2="00000000" w:usb3="00000000" w:csb0="00000001" w:csb1="00000000"/>
  </w:font>
  <w:font w:name="*Arial-6709-Identity-H">
    <w:altName w:val="Calibri"/>
    <w:panose1 w:val="00000000000000000000"/>
    <w:charset w:val="00"/>
    <w:family w:val="auto"/>
    <w:notTrueType/>
    <w:pitch w:val="default"/>
    <w:sig w:usb0="00000003" w:usb1="00000000" w:usb2="00000000" w:usb3="00000000" w:csb0="00000001" w:csb1="00000000"/>
  </w:font>
  <w:font w:name="*Arial-Bold-6710-Identity-H">
    <w:altName w:val="Calibri"/>
    <w:panose1 w:val="00000000000000000000"/>
    <w:charset w:val="00"/>
    <w:family w:val="auto"/>
    <w:notTrueType/>
    <w:pitch w:val="default"/>
    <w:sig w:usb0="00000003" w:usb1="00000000" w:usb2="00000000" w:usb3="00000000" w:csb0="00000001" w:csb1="00000000"/>
  </w:font>
  <w:font w:name="*Arial-6889-Identity-H">
    <w:altName w:val="Calibri"/>
    <w:panose1 w:val="00000000000000000000"/>
    <w:charset w:val="00"/>
    <w:family w:val="auto"/>
    <w:notTrueType/>
    <w:pitch w:val="default"/>
    <w:sig w:usb0="00000003" w:usb1="00000000" w:usb2="00000000" w:usb3="00000000" w:csb0="00000001" w:csb1="00000000"/>
  </w:font>
  <w:font w:name="*Arial-6888-Identity-H">
    <w:altName w:val="Calibri"/>
    <w:panose1 w:val="00000000000000000000"/>
    <w:charset w:val="00"/>
    <w:family w:val="auto"/>
    <w:notTrueType/>
    <w:pitch w:val="default"/>
    <w:sig w:usb0="00000003" w:usb1="00000000" w:usb2="00000000" w:usb3="00000000" w:csb0="00000001" w:csb1="00000000"/>
  </w:font>
  <w:font w:name="*Arial-6666-Identity-H">
    <w:altName w:val="Calibri"/>
    <w:panose1 w:val="00000000000000000000"/>
    <w:charset w:val="00"/>
    <w:family w:val="auto"/>
    <w:notTrueType/>
    <w:pitch w:val="default"/>
    <w:sig w:usb0="00000003" w:usb1="00000000" w:usb2="00000000" w:usb3="00000000" w:csb0="00000001" w:csb1="00000000"/>
  </w:font>
  <w:font w:name="*Arial-6664-Identity-H">
    <w:altName w:val="Calibri"/>
    <w:panose1 w:val="00000000000000000000"/>
    <w:charset w:val="00"/>
    <w:family w:val="auto"/>
    <w:notTrueType/>
    <w:pitch w:val="default"/>
    <w:sig w:usb0="00000003" w:usb1="00000000" w:usb2="00000000" w:usb3="00000000" w:csb0="00000001" w:csb1="00000000"/>
  </w:font>
  <w:font w:name="*Arial-6665-Identity-H">
    <w:altName w:val="Calibri"/>
    <w:panose1 w:val="00000000000000000000"/>
    <w:charset w:val="00"/>
    <w:family w:val="auto"/>
    <w:notTrueType/>
    <w:pitch w:val="default"/>
    <w:sig w:usb0="00000003" w:usb1="00000000" w:usb2="00000000" w:usb3="00000000" w:csb0="00000001" w:csb1="00000000"/>
  </w:font>
  <w:font w:name="*Arial-7755-Identity-H">
    <w:altName w:val="Calibri"/>
    <w:panose1 w:val="00000000000000000000"/>
    <w:charset w:val="00"/>
    <w:family w:val="auto"/>
    <w:notTrueType/>
    <w:pitch w:val="default"/>
    <w:sig w:usb0="00000003" w:usb1="00000000" w:usb2="00000000" w:usb3="00000000" w:csb0="00000001" w:csb1="00000000"/>
  </w:font>
  <w:font w:name="*Arial-7752-Identity-H">
    <w:altName w:val="Calibri"/>
    <w:panose1 w:val="00000000000000000000"/>
    <w:charset w:val="00"/>
    <w:family w:val="auto"/>
    <w:notTrueType/>
    <w:pitch w:val="default"/>
    <w:sig w:usb0="00000003" w:usb1="00000000" w:usb2="00000000" w:usb3="00000000" w:csb0="00000001" w:csb1="00000000"/>
  </w:font>
  <w:font w:name="*Arial-Bold-7754-Identity-H">
    <w:altName w:val="Calibri"/>
    <w:panose1 w:val="00000000000000000000"/>
    <w:charset w:val="00"/>
    <w:family w:val="auto"/>
    <w:notTrueType/>
    <w:pitch w:val="default"/>
    <w:sig w:usb0="00000003" w:usb1="00000000" w:usb2="00000000" w:usb3="00000000" w:csb0="00000001" w:csb1="00000000"/>
  </w:font>
  <w:font w:name="*Arial-Bold-7753-Identity-H">
    <w:altName w:val="Calibri"/>
    <w:panose1 w:val="00000000000000000000"/>
    <w:charset w:val="00"/>
    <w:family w:val="auto"/>
    <w:notTrueType/>
    <w:pitch w:val="default"/>
    <w:sig w:usb0="00000003" w:usb1="00000000" w:usb2="00000000" w:usb3="00000000" w:csb0="00000001" w:csb1="00000000"/>
  </w:font>
  <w:font w:name="*Arial-7264-Identity-H">
    <w:altName w:val="Calibri"/>
    <w:panose1 w:val="00000000000000000000"/>
    <w:charset w:val="00"/>
    <w:family w:val="auto"/>
    <w:notTrueType/>
    <w:pitch w:val="default"/>
    <w:sig w:usb0="00000003" w:usb1="00000000" w:usb2="00000000" w:usb3="00000000" w:csb0="00000001" w:csb1="00000000"/>
  </w:font>
  <w:font w:name="*Calibri-Bold-7122-Identity-H">
    <w:altName w:val="Calibri"/>
    <w:panose1 w:val="00000000000000000000"/>
    <w:charset w:val="00"/>
    <w:family w:val="auto"/>
    <w:notTrueType/>
    <w:pitch w:val="default"/>
    <w:sig w:usb0="00000003" w:usb1="00000000" w:usb2="00000000" w:usb3="00000000" w:csb0="00000001" w:csb1="00000000"/>
  </w:font>
  <w:font w:name="*Arial-7123-Identity-H">
    <w:altName w:val="Calibri"/>
    <w:panose1 w:val="00000000000000000000"/>
    <w:charset w:val="00"/>
    <w:family w:val="auto"/>
    <w:notTrueType/>
    <w:pitch w:val="default"/>
    <w:sig w:usb0="00000003" w:usb1="00000000" w:usb2="00000000" w:usb3="00000000" w:csb0="00000001" w:csb1="00000000"/>
  </w:font>
  <w:font w:name="*Arial-10456-Identity-H">
    <w:altName w:val="Calibri"/>
    <w:panose1 w:val="00000000000000000000"/>
    <w:charset w:val="00"/>
    <w:family w:val="auto"/>
    <w:notTrueType/>
    <w:pitch w:val="default"/>
    <w:sig w:usb0="00000003" w:usb1="00000000" w:usb2="00000000" w:usb3="00000000" w:csb0="00000001" w:csb1="00000000"/>
  </w:font>
  <w:font w:name="*Times New Roman-Italic-10454-I">
    <w:altName w:val="Calibri"/>
    <w:panose1 w:val="00000000000000000000"/>
    <w:charset w:val="00"/>
    <w:family w:val="auto"/>
    <w:notTrueType/>
    <w:pitch w:val="default"/>
    <w:sig w:usb0="00000003" w:usb1="00000000" w:usb2="00000000" w:usb3="00000000" w:csb0="00000001" w:csb1="00000000"/>
  </w:font>
  <w:font w:name="*Arial-Italic-10457-Identity-H">
    <w:altName w:val="Calibri"/>
    <w:panose1 w:val="00000000000000000000"/>
    <w:charset w:val="00"/>
    <w:family w:val="auto"/>
    <w:notTrueType/>
    <w:pitch w:val="default"/>
    <w:sig w:usb0="00000003" w:usb1="00000000" w:usb2="00000000" w:usb3="00000000" w:csb0="00000001" w:csb1="00000000"/>
  </w:font>
  <w:font w:name="*Arial-Italic-10458-Identity-H">
    <w:altName w:val="Calibri"/>
    <w:panose1 w:val="00000000000000000000"/>
    <w:charset w:val="00"/>
    <w:family w:val="auto"/>
    <w:notTrueType/>
    <w:pitch w:val="default"/>
    <w:sig w:usb0="00000003" w:usb1="00000000" w:usb2="00000000" w:usb3="00000000" w:csb0="00000001" w:csb1="00000000"/>
  </w:font>
  <w:font w:name="*Arial-10455-Identity-H">
    <w:altName w:val="Calibri"/>
    <w:panose1 w:val="00000000000000000000"/>
    <w:charset w:val="00"/>
    <w:family w:val="auto"/>
    <w:notTrueType/>
    <w:pitch w:val="default"/>
    <w:sig w:usb0="00000003" w:usb1="00000000" w:usb2="00000000" w:usb3="00000000" w:csb0="00000001" w:csb1="00000000"/>
  </w:font>
  <w:font w:name="*Arial-8863-Identity-H">
    <w:altName w:val="Calibri"/>
    <w:panose1 w:val="00000000000000000000"/>
    <w:charset w:val="00"/>
    <w:family w:val="auto"/>
    <w:notTrueType/>
    <w:pitch w:val="default"/>
    <w:sig w:usb0="00000003" w:usb1="00000000" w:usb2="00000000" w:usb3="00000000" w:csb0="00000001" w:csb1="00000000"/>
  </w:font>
  <w:font w:name="*Arial-8861-Identity-H">
    <w:altName w:val="Calibri"/>
    <w:panose1 w:val="00000000000000000000"/>
    <w:charset w:val="00"/>
    <w:family w:val="auto"/>
    <w:notTrueType/>
    <w:pitch w:val="default"/>
    <w:sig w:usb0="00000003" w:usb1="00000000" w:usb2="00000000" w:usb3="00000000" w:csb0="00000001" w:csb1="00000000"/>
  </w:font>
  <w:font w:name="*Arial-Italic-8862-Identity-H">
    <w:altName w:val="Calibri"/>
    <w:panose1 w:val="00000000000000000000"/>
    <w:charset w:val="00"/>
    <w:family w:val="auto"/>
    <w:notTrueType/>
    <w:pitch w:val="default"/>
    <w:sig w:usb0="00000003" w:usb1="00000000" w:usb2="00000000" w:usb3="00000000" w:csb0="00000001" w:csb1="00000000"/>
  </w:font>
  <w:font w:name="*Calibri-9440-Identity-H">
    <w:altName w:val="Calibri"/>
    <w:panose1 w:val="00000000000000000000"/>
    <w:charset w:val="00"/>
    <w:family w:val="auto"/>
    <w:notTrueType/>
    <w:pitch w:val="default"/>
    <w:sig w:usb0="00000003" w:usb1="00000000" w:usb2="00000000" w:usb3="00000000" w:csb0="00000001" w:csb1="00000000"/>
  </w:font>
  <w:font w:name="*Arial-9441-Identity-H">
    <w:altName w:val="Calibri"/>
    <w:panose1 w:val="00000000000000000000"/>
    <w:charset w:val="00"/>
    <w:family w:val="auto"/>
    <w:notTrueType/>
    <w:pitch w:val="default"/>
    <w:sig w:usb0="00000003" w:usb1="00000000" w:usb2="00000000" w:usb3="00000000" w:csb0="00000001" w:csb1="00000000"/>
  </w:font>
  <w:font w:name="*Arial-Italic-9442-Identity-H">
    <w:altName w:val="Calibri"/>
    <w:panose1 w:val="00000000000000000000"/>
    <w:charset w:val="00"/>
    <w:family w:val="auto"/>
    <w:notTrueType/>
    <w:pitch w:val="default"/>
    <w:sig w:usb0="00000003" w:usb1="00000000" w:usb2="00000000" w:usb3="00000000" w:csb0="00000001" w:csb1="00000000"/>
  </w:font>
  <w:font w:name="*Arial-5621-Identity-H">
    <w:altName w:val="Calibri"/>
    <w:panose1 w:val="00000000000000000000"/>
    <w:charset w:val="00"/>
    <w:family w:val="auto"/>
    <w:notTrueType/>
    <w:pitch w:val="default"/>
    <w:sig w:usb0="00000003" w:usb1="00000000" w:usb2="00000000" w:usb3="00000000" w:csb0="00000001" w:csb1="00000000"/>
  </w:font>
  <w:font w:name="*Arial-Bold-5622-Identity-H">
    <w:altName w:val="Calibri"/>
    <w:panose1 w:val="00000000000000000000"/>
    <w:charset w:val="00"/>
    <w:family w:val="auto"/>
    <w:notTrueType/>
    <w:pitch w:val="default"/>
    <w:sig w:usb0="00000003" w:usb1="00000000" w:usb2="00000000" w:usb3="00000000" w:csb0="00000001" w:csb1="00000000"/>
  </w:font>
  <w:font w:name="*Arial-7820-Identity-H">
    <w:altName w:val="Calibri"/>
    <w:panose1 w:val="00000000000000000000"/>
    <w:charset w:val="00"/>
    <w:family w:val="auto"/>
    <w:notTrueType/>
    <w:pitch w:val="default"/>
    <w:sig w:usb0="00000003" w:usb1="00000000" w:usb2="00000000" w:usb3="00000000" w:csb0="00000001" w:csb1="00000000"/>
  </w:font>
  <w:font w:name="*Arial-7818-Identity-H">
    <w:altName w:val="Calibri"/>
    <w:panose1 w:val="00000000000000000000"/>
    <w:charset w:val="00"/>
    <w:family w:val="auto"/>
    <w:notTrueType/>
    <w:pitch w:val="default"/>
    <w:sig w:usb0="00000003" w:usb1="00000000" w:usb2="00000000" w:usb3="00000000" w:csb0="00000001" w:csb1="00000000"/>
  </w:font>
  <w:font w:name="*Microsoft Sans Serif-Italic-78">
    <w:altName w:val="Calibri"/>
    <w:panose1 w:val="00000000000000000000"/>
    <w:charset w:val="00"/>
    <w:family w:val="auto"/>
    <w:notTrueType/>
    <w:pitch w:val="default"/>
    <w:sig w:usb0="00000003" w:usb1="00000000" w:usb2="00000000" w:usb3="00000000" w:csb0="00000001" w:csb1="00000000"/>
  </w:font>
  <w:font w:name="*Arial-Bold-7819-Identity-H">
    <w:altName w:val="Calibri"/>
    <w:panose1 w:val="00000000000000000000"/>
    <w:charset w:val="00"/>
    <w:family w:val="auto"/>
    <w:notTrueType/>
    <w:pitch w:val="default"/>
    <w:sig w:usb0="00000003" w:usb1="00000000" w:usb2="00000000" w:usb3="00000000" w:csb0="00000001" w:csb1="00000000"/>
  </w:font>
  <w:font w:name="*Arial-6631-Identity-H">
    <w:altName w:val="Calibri"/>
    <w:panose1 w:val="00000000000000000000"/>
    <w:charset w:val="00"/>
    <w:family w:val="auto"/>
    <w:notTrueType/>
    <w:pitch w:val="default"/>
    <w:sig w:usb0="00000003" w:usb1="00000000" w:usb2="00000000" w:usb3="00000000" w:csb0="00000001" w:csb1="00000000"/>
  </w:font>
  <w:font w:name="*Arial-Bold-6632-Identity-H">
    <w:altName w:val="Calibri"/>
    <w:panose1 w:val="00000000000000000000"/>
    <w:charset w:val="00"/>
    <w:family w:val="auto"/>
    <w:notTrueType/>
    <w:pitch w:val="default"/>
    <w:sig w:usb0="00000003" w:usb1="00000000" w:usb2="00000000" w:usb3="00000000" w:csb0="00000001" w:csb1="00000000"/>
  </w:font>
  <w:font w:name="*Arial-7775-Identity-H">
    <w:altName w:val="Calibri"/>
    <w:panose1 w:val="00000000000000000000"/>
    <w:charset w:val="00"/>
    <w:family w:val="auto"/>
    <w:notTrueType/>
    <w:pitch w:val="default"/>
    <w:sig w:usb0="00000003" w:usb1="00000000" w:usb2="00000000" w:usb3="00000000" w:csb0="00000001" w:csb1="00000000"/>
  </w:font>
  <w:font w:name="*Arial-7773-Identity-H">
    <w:altName w:val="Calibri"/>
    <w:panose1 w:val="00000000000000000000"/>
    <w:charset w:val="00"/>
    <w:family w:val="auto"/>
    <w:notTrueType/>
    <w:pitch w:val="default"/>
    <w:sig w:usb0="00000003" w:usb1="00000000" w:usb2="00000000" w:usb3="00000000" w:csb0="00000001" w:csb1="00000000"/>
  </w:font>
  <w:font w:name="*Arial-Italic-7774-Identity-H">
    <w:altName w:val="Calibri"/>
    <w:panose1 w:val="00000000000000000000"/>
    <w:charset w:val="00"/>
    <w:family w:val="auto"/>
    <w:notTrueType/>
    <w:pitch w:val="default"/>
    <w:sig w:usb0="00000003" w:usb1="00000000" w:usb2="00000000" w:usb3="00000000" w:csb0="00000001" w:csb1="00000000"/>
  </w:font>
  <w:font w:name="*Arial-8255-Identity-H">
    <w:altName w:val="Calibri"/>
    <w:panose1 w:val="00000000000000000000"/>
    <w:charset w:val="00"/>
    <w:family w:val="auto"/>
    <w:notTrueType/>
    <w:pitch w:val="default"/>
    <w:sig w:usb0="00000003" w:usb1="00000000" w:usb2="00000000" w:usb3="00000000" w:csb0="00000001" w:csb1="00000000"/>
  </w:font>
  <w:font w:name="*Arial-8253-Identity-H">
    <w:altName w:val="Calibri"/>
    <w:panose1 w:val="00000000000000000000"/>
    <w:charset w:val="00"/>
    <w:family w:val="auto"/>
    <w:notTrueType/>
    <w:pitch w:val="default"/>
    <w:sig w:usb0="00000003" w:usb1="00000000" w:usb2="00000000" w:usb3="00000000" w:csb0="00000001" w:csb1="00000000"/>
  </w:font>
  <w:font w:name="*Arial-Italic-8254-Identity-H">
    <w:altName w:val="Calibri"/>
    <w:panose1 w:val="00000000000000000000"/>
    <w:charset w:val="00"/>
    <w:family w:val="auto"/>
    <w:notTrueType/>
    <w:pitch w:val="default"/>
    <w:sig w:usb0="00000003" w:usb1="00000000" w:usb2="00000000" w:usb3="00000000" w:csb0="00000001" w:csb1="00000000"/>
  </w:font>
  <w:font w:name="*Arial-8178-Identity-H">
    <w:altName w:val="Calibri"/>
    <w:panose1 w:val="00000000000000000000"/>
    <w:charset w:val="00"/>
    <w:family w:val="auto"/>
    <w:notTrueType/>
    <w:pitch w:val="default"/>
    <w:sig w:usb0="00000003" w:usb1="00000000" w:usb2="00000000" w:usb3="00000000" w:csb0="00000001" w:csb1="00000000"/>
  </w:font>
  <w:font w:name="*Microsoft Sans Serif-Italic-81">
    <w:altName w:val="Calibri"/>
    <w:panose1 w:val="00000000000000000000"/>
    <w:charset w:val="00"/>
    <w:family w:val="auto"/>
    <w:notTrueType/>
    <w:pitch w:val="default"/>
    <w:sig w:usb0="00000003" w:usb1="00000000" w:usb2="00000000" w:usb3="00000000" w:csb0="00000001" w:csb1="00000000"/>
  </w:font>
  <w:font w:name="*Arial-7680-Identity-H">
    <w:altName w:val="Calibri"/>
    <w:panose1 w:val="00000000000000000000"/>
    <w:charset w:val="00"/>
    <w:family w:val="auto"/>
    <w:notTrueType/>
    <w:pitch w:val="default"/>
    <w:sig w:usb0="00000003" w:usb1="00000000" w:usb2="00000000" w:usb3="00000000" w:csb0="00000001" w:csb1="00000000"/>
  </w:font>
  <w:font w:name="*Arial-Italic-7681-Identity-H">
    <w:altName w:val="Calibri"/>
    <w:panose1 w:val="00000000000000000000"/>
    <w:charset w:val="00"/>
    <w:family w:val="auto"/>
    <w:notTrueType/>
    <w:pitch w:val="default"/>
    <w:sig w:usb0="00000003" w:usb1="00000000" w:usb2="00000000" w:usb3="00000000" w:csb0="00000001" w:csb1="00000000"/>
  </w:font>
  <w:font w:name="*Arial-6339-Identity-H">
    <w:altName w:val="Calibri"/>
    <w:panose1 w:val="00000000000000000000"/>
    <w:charset w:val="00"/>
    <w:family w:val="auto"/>
    <w:notTrueType/>
    <w:pitch w:val="default"/>
    <w:sig w:usb0="00000003" w:usb1="00000000" w:usb2="00000000" w:usb3="00000000" w:csb0="00000001" w:csb1="00000000"/>
  </w:font>
  <w:font w:name="*Arial-7423-Identity-H">
    <w:altName w:val="Calibri"/>
    <w:panose1 w:val="00000000000000000000"/>
    <w:charset w:val="00"/>
    <w:family w:val="auto"/>
    <w:notTrueType/>
    <w:pitch w:val="default"/>
    <w:sig w:usb0="00000003" w:usb1="00000000" w:usb2="00000000" w:usb3="00000000" w:csb0="00000001" w:csb1="00000000"/>
  </w:font>
  <w:font w:name="*Microsoft Sans Serif-Bold-7425">
    <w:altName w:val="Calibri"/>
    <w:panose1 w:val="00000000000000000000"/>
    <w:charset w:val="00"/>
    <w:family w:val="auto"/>
    <w:notTrueType/>
    <w:pitch w:val="default"/>
    <w:sig w:usb0="00000003" w:usb1="00000000" w:usb2="00000000" w:usb3="00000000" w:csb0="00000001" w:csb1="00000000"/>
  </w:font>
  <w:font w:name="*Arial-4783-Identity-H">
    <w:altName w:val="Calibri"/>
    <w:panose1 w:val="00000000000000000000"/>
    <w:charset w:val="00"/>
    <w:family w:val="auto"/>
    <w:notTrueType/>
    <w:pitch w:val="default"/>
    <w:sig w:usb0="00000003" w:usb1="00000000" w:usb2="00000000" w:usb3="00000000" w:csb0="00000001" w:csb1="00000000"/>
  </w:font>
  <w:font w:name="*Arial-Bold-6714-Identity-H">
    <w:altName w:val="Calibri"/>
    <w:panose1 w:val="00000000000000000000"/>
    <w:charset w:val="00"/>
    <w:family w:val="auto"/>
    <w:notTrueType/>
    <w:pitch w:val="default"/>
    <w:sig w:usb0="00000003" w:usb1="00000000" w:usb2="00000000" w:usb3="00000000" w:csb0="00000001" w:csb1="00000000"/>
  </w:font>
  <w:font w:name="*Arial-6712-Identity-H">
    <w:altName w:val="Calibri"/>
    <w:panose1 w:val="00000000000000000000"/>
    <w:charset w:val="00"/>
    <w:family w:val="auto"/>
    <w:notTrueType/>
    <w:pitch w:val="default"/>
    <w:sig w:usb0="00000003" w:usb1="00000000" w:usb2="00000000" w:usb3="00000000" w:csb0="00000001" w:csb1="00000000"/>
  </w:font>
  <w:font w:name="*Arial-Bold-6713-Identity-H">
    <w:altName w:val="Calibri"/>
    <w:panose1 w:val="00000000000000000000"/>
    <w:charset w:val="00"/>
    <w:family w:val="auto"/>
    <w:notTrueType/>
    <w:pitch w:val="default"/>
    <w:sig w:usb0="00000003" w:usb1="00000000" w:usb2="00000000" w:usb3="00000000" w:csb0="00000001" w:csb1="00000000"/>
  </w:font>
  <w:font w:name="*Microsoft Sans Serif-Bold-6715">
    <w:altName w:val="Calibri"/>
    <w:panose1 w:val="00000000000000000000"/>
    <w:charset w:val="00"/>
    <w:family w:val="auto"/>
    <w:notTrueType/>
    <w:pitch w:val="default"/>
    <w:sig w:usb0="00000003" w:usb1="00000000" w:usb2="00000000" w:usb3="00000000" w:csb0="00000001" w:csb1="00000000"/>
  </w:font>
  <w:font w:name="*Microsoft Sans Serif-Bold-6610">
    <w:altName w:val="Calibri"/>
    <w:panose1 w:val="00000000000000000000"/>
    <w:charset w:val="00"/>
    <w:family w:val="auto"/>
    <w:notTrueType/>
    <w:pitch w:val="default"/>
    <w:sig w:usb0="00000003" w:usb1="00000000" w:usb2="00000000" w:usb3="00000000" w:csb0="00000001" w:csb1="00000000"/>
  </w:font>
  <w:font w:name="*Arial-6607-Identity-H">
    <w:altName w:val="Calibri"/>
    <w:panose1 w:val="00000000000000000000"/>
    <w:charset w:val="00"/>
    <w:family w:val="auto"/>
    <w:notTrueType/>
    <w:pitch w:val="default"/>
    <w:sig w:usb0="00000003" w:usb1="00000000" w:usb2="00000000" w:usb3="00000000" w:csb0="00000001" w:csb1="00000000"/>
  </w:font>
  <w:font w:name="*Arial-Bold-6608-Identity-H">
    <w:altName w:val="Calibri"/>
    <w:panose1 w:val="00000000000000000000"/>
    <w:charset w:val="00"/>
    <w:family w:val="auto"/>
    <w:notTrueType/>
    <w:pitch w:val="default"/>
    <w:sig w:usb0="00000003" w:usb1="00000000" w:usb2="00000000" w:usb3="00000000" w:csb0="00000001" w:csb1="00000000"/>
  </w:font>
  <w:font w:name="*Calibri-Bold-6612-Identity-H">
    <w:altName w:val="Calibri"/>
    <w:panose1 w:val="00000000000000000000"/>
    <w:charset w:val="00"/>
    <w:family w:val="auto"/>
    <w:notTrueType/>
    <w:pitch w:val="default"/>
    <w:sig w:usb0="00000003" w:usb1="00000000" w:usb2="00000000" w:usb3="00000000" w:csb0="00000001" w:csb1="00000000"/>
  </w:font>
  <w:font w:name="*Arial-6613-Identity-H">
    <w:altName w:val="Calibri"/>
    <w:panose1 w:val="00000000000000000000"/>
    <w:charset w:val="00"/>
    <w:family w:val="auto"/>
    <w:notTrueType/>
    <w:pitch w:val="default"/>
    <w:sig w:usb0="00000003" w:usb1="00000000" w:usb2="00000000" w:usb3="00000000" w:csb0="00000001" w:csb1="00000000"/>
  </w:font>
  <w:font w:name="*Arial-6721-Identity-H">
    <w:altName w:val="Calibri"/>
    <w:panose1 w:val="00000000000000000000"/>
    <w:charset w:val="00"/>
    <w:family w:val="auto"/>
    <w:notTrueType/>
    <w:pitch w:val="default"/>
    <w:sig w:usb0="00000003" w:usb1="00000000" w:usb2="00000000" w:usb3="00000000" w:csb0="00000001" w:csb1="00000000"/>
  </w:font>
  <w:font w:name="*Calibri-Bold-7846-Identity-H">
    <w:altName w:val="Calibri"/>
    <w:panose1 w:val="00000000000000000000"/>
    <w:charset w:val="00"/>
    <w:family w:val="auto"/>
    <w:notTrueType/>
    <w:pitch w:val="default"/>
    <w:sig w:usb0="00000003" w:usb1="00000000" w:usb2="00000000" w:usb3="00000000" w:csb0="00000001" w:csb1="00000000"/>
  </w:font>
  <w:font w:name="*Calibri-Bold-7845-Identity-H">
    <w:altName w:val="Calibri"/>
    <w:panose1 w:val="00000000000000000000"/>
    <w:charset w:val="00"/>
    <w:family w:val="auto"/>
    <w:notTrueType/>
    <w:pitch w:val="default"/>
    <w:sig w:usb0="00000003" w:usb1="00000000" w:usb2="00000000" w:usb3="00000000" w:csb0="00000001" w:csb1="00000000"/>
  </w:font>
  <w:font w:name="*Arial-7849-Identity-H">
    <w:altName w:val="Calibri"/>
    <w:panose1 w:val="00000000000000000000"/>
    <w:charset w:val="00"/>
    <w:family w:val="auto"/>
    <w:notTrueType/>
    <w:pitch w:val="default"/>
    <w:sig w:usb0="00000003" w:usb1="00000000" w:usb2="00000000" w:usb3="00000000" w:csb0="00000001" w:csb1="00000000"/>
  </w:font>
  <w:font w:name="*Arial-7847-Identity-H">
    <w:altName w:val="Calibri"/>
    <w:panose1 w:val="00000000000000000000"/>
    <w:charset w:val="00"/>
    <w:family w:val="auto"/>
    <w:notTrueType/>
    <w:pitch w:val="default"/>
    <w:sig w:usb0="00000003" w:usb1="00000000" w:usb2="00000000" w:usb3="00000000" w:csb0="00000001" w:csb1="00000000"/>
  </w:font>
  <w:font w:name="*Arial-Bold-7848-Identity-H">
    <w:altName w:val="Calibri"/>
    <w:panose1 w:val="00000000000000000000"/>
    <w:charset w:val="00"/>
    <w:family w:val="auto"/>
    <w:notTrueType/>
    <w:pitch w:val="default"/>
    <w:sig w:usb0="00000003" w:usb1="00000000" w:usb2="00000000" w:usb3="00000000" w:csb0="00000001" w:csb1="00000000"/>
  </w:font>
  <w:font w:name="*Minion Pro-Bold-7140-Identity-">
    <w:altName w:val="Calibri"/>
    <w:panose1 w:val="00000000000000000000"/>
    <w:charset w:val="00"/>
    <w:family w:val="auto"/>
    <w:notTrueType/>
    <w:pitch w:val="default"/>
    <w:sig w:usb0="00000003" w:usb1="00000000" w:usb2="00000000" w:usb3="00000000" w:csb0="00000001" w:csb1="00000000"/>
  </w:font>
  <w:font w:name="*Arial-7138-Identity-H">
    <w:altName w:val="Calibri"/>
    <w:panose1 w:val="00000000000000000000"/>
    <w:charset w:val="00"/>
    <w:family w:val="auto"/>
    <w:notTrueType/>
    <w:pitch w:val="default"/>
    <w:sig w:usb0="00000003" w:usb1="00000000" w:usb2="00000000" w:usb3="00000000" w:csb0="00000001" w:csb1="00000000"/>
  </w:font>
  <w:font w:name="*Calibri-Bold-7175-Identity-H">
    <w:altName w:val="Calibri"/>
    <w:panose1 w:val="00000000000000000000"/>
    <w:charset w:val="00"/>
    <w:family w:val="auto"/>
    <w:notTrueType/>
    <w:pitch w:val="default"/>
    <w:sig w:usb0="00000003" w:usb1="00000000" w:usb2="00000000" w:usb3="00000000" w:csb0="00000001" w:csb1="00000000"/>
  </w:font>
  <w:font w:name="*Arial-7177-Identity-H">
    <w:altName w:val="Calibri"/>
    <w:panose1 w:val="00000000000000000000"/>
    <w:charset w:val="00"/>
    <w:family w:val="auto"/>
    <w:notTrueType/>
    <w:pitch w:val="default"/>
    <w:sig w:usb0="00000003" w:usb1="00000000" w:usb2="00000000" w:usb3="00000000" w:csb0="00000001" w:csb1="00000000"/>
  </w:font>
  <w:font w:name="*Arial-10075-Identity-H">
    <w:altName w:val="Calibri"/>
    <w:panose1 w:val="00000000000000000000"/>
    <w:charset w:val="00"/>
    <w:family w:val="auto"/>
    <w:notTrueType/>
    <w:pitch w:val="default"/>
    <w:sig w:usb0="00000003" w:usb1="00000000" w:usb2="00000000" w:usb3="00000000" w:csb0="00000001" w:csb1="00000000"/>
  </w:font>
  <w:font w:name="*Arial-Italic-10076-Identity-H">
    <w:altName w:val="Calibri"/>
    <w:panose1 w:val="00000000000000000000"/>
    <w:charset w:val="00"/>
    <w:family w:val="auto"/>
    <w:notTrueType/>
    <w:pitch w:val="default"/>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Arial-7664-Identity-H">
    <w:altName w:val="Calibri"/>
    <w:panose1 w:val="00000000000000000000"/>
    <w:charset w:val="00"/>
    <w:family w:val="auto"/>
    <w:notTrueType/>
    <w:pitch w:val="default"/>
    <w:sig w:usb0="00000003" w:usb1="00000000" w:usb2="00000000" w:usb3="00000000" w:csb0="00000001" w:csb1="00000000"/>
  </w:font>
  <w:font w:name="*Arial-Italic-7665-Identity-H">
    <w:altName w:val="Calibri"/>
    <w:panose1 w:val="00000000000000000000"/>
    <w:charset w:val="00"/>
    <w:family w:val="auto"/>
    <w:notTrueType/>
    <w:pitch w:val="default"/>
    <w:sig w:usb0="00000003" w:usb1="00000000" w:usb2="00000000" w:usb3="00000000" w:csb0="00000001" w:csb1="00000000"/>
  </w:font>
  <w:font w:name="*Arial-8067-Identity-H">
    <w:altName w:val="Calibri"/>
    <w:panose1 w:val="00000000000000000000"/>
    <w:charset w:val="00"/>
    <w:family w:val="auto"/>
    <w:notTrueType/>
    <w:pitch w:val="default"/>
    <w:sig w:usb0="00000003" w:usb1="00000000" w:usb2="00000000" w:usb3="00000000" w:csb0="00000001" w:csb1="00000000"/>
  </w:font>
  <w:font w:name="*Arial-Italic-8068-Identity-H">
    <w:altName w:val="Calibri"/>
    <w:panose1 w:val="00000000000000000000"/>
    <w:charset w:val="00"/>
    <w:family w:val="auto"/>
    <w:notTrueType/>
    <w:pitch w:val="default"/>
    <w:sig w:usb0="00000003" w:usb1="00000000" w:usb2="00000000" w:usb3="00000000" w:csb0="00000001" w:csb1="00000000"/>
  </w:font>
  <w:font w:name="*Calibri-Bold-5900-Identity-H">
    <w:altName w:val="Calibri"/>
    <w:panose1 w:val="00000000000000000000"/>
    <w:charset w:val="00"/>
    <w:family w:val="auto"/>
    <w:notTrueType/>
    <w:pitch w:val="default"/>
    <w:sig w:usb0="00000003" w:usb1="00000000" w:usb2="00000000" w:usb3="00000000" w:csb0="00000001" w:csb1="00000000"/>
  </w:font>
  <w:font w:name="*Arial-Bold-5902-Identity-H">
    <w:altName w:val="Calibri"/>
    <w:panose1 w:val="00000000000000000000"/>
    <w:charset w:val="00"/>
    <w:family w:val="auto"/>
    <w:notTrueType/>
    <w:pitch w:val="default"/>
    <w:sig w:usb0="00000003" w:usb1="00000000" w:usb2="00000000" w:usb3="00000000" w:csb0="00000001" w:csb1="00000000"/>
  </w:font>
  <w:font w:name="*Arial-5901-Identity-H">
    <w:altName w:val="Calibri"/>
    <w:panose1 w:val="00000000000000000000"/>
    <w:charset w:val="00"/>
    <w:family w:val="auto"/>
    <w:notTrueType/>
    <w:pitch w:val="default"/>
    <w:sig w:usb0="00000003" w:usb1="00000000" w:usb2="00000000" w:usb3="00000000" w:csb0="00000001" w:csb1="00000000"/>
  </w:font>
  <w:font w:name="*Arial-7258-Identity-H">
    <w:altName w:val="Calibri"/>
    <w:panose1 w:val="00000000000000000000"/>
    <w:charset w:val="00"/>
    <w:family w:val="auto"/>
    <w:notTrueType/>
    <w:pitch w:val="default"/>
    <w:sig w:usb0="00000003" w:usb1="00000000" w:usb2="00000000" w:usb3="00000000" w:csb0="00000001" w:csb1="00000000"/>
  </w:font>
  <w:font w:name="*Arial-Italic-7259-Identity-H">
    <w:altName w:val="Calibri"/>
    <w:panose1 w:val="00000000000000000000"/>
    <w:charset w:val="00"/>
    <w:family w:val="auto"/>
    <w:notTrueType/>
    <w:pitch w:val="default"/>
    <w:sig w:usb0="00000003" w:usb1="00000000" w:usb2="00000000" w:usb3="00000000" w:csb0="00000001" w:csb1="00000000"/>
  </w:font>
  <w:font w:name="*Microsoft Sans Serif-Bold-7261">
    <w:altName w:val="Calibri"/>
    <w:panose1 w:val="00000000000000000000"/>
    <w:charset w:val="00"/>
    <w:family w:val="auto"/>
    <w:notTrueType/>
    <w:pitch w:val="default"/>
    <w:sig w:usb0="00000003" w:usb1="00000000" w:usb2="00000000" w:usb3="00000000" w:csb0="00000001" w:csb1="00000000"/>
  </w:font>
  <w:font w:name="*Microsoft Sans Serif-6795-Iden">
    <w:altName w:val="Calibri"/>
    <w:panose1 w:val="00000000000000000000"/>
    <w:charset w:val="00"/>
    <w:family w:val="auto"/>
    <w:notTrueType/>
    <w:pitch w:val="default"/>
    <w:sig w:usb0="00000003" w:usb1="00000000" w:usb2="00000000" w:usb3="00000000" w:csb0="00000001" w:csb1="00000000"/>
  </w:font>
  <w:font w:name="*Arial-Bold-6793-Identity-H">
    <w:altName w:val="Calibri"/>
    <w:panose1 w:val="00000000000000000000"/>
    <w:charset w:val="00"/>
    <w:family w:val="auto"/>
    <w:notTrueType/>
    <w:pitch w:val="default"/>
    <w:sig w:usb0="00000003" w:usb1="00000000" w:usb2="00000000" w:usb3="00000000" w:csb0="00000001" w:csb1="00000000"/>
  </w:font>
  <w:font w:name="*Arial-6794-Identity-H">
    <w:altName w:val="Calibri"/>
    <w:panose1 w:val="00000000000000000000"/>
    <w:charset w:val="00"/>
    <w:family w:val="auto"/>
    <w:notTrueType/>
    <w:pitch w:val="default"/>
    <w:sig w:usb0="00000003" w:usb1="00000000" w:usb2="00000000" w:usb3="00000000" w:csb0="00000001" w:csb1="00000000"/>
  </w:font>
  <w:font w:name="*Arial-6792-Identity-H">
    <w:altName w:val="Calibri"/>
    <w:panose1 w:val="00000000000000000000"/>
    <w:charset w:val="00"/>
    <w:family w:val="auto"/>
    <w:notTrueType/>
    <w:pitch w:val="default"/>
    <w:sig w:usb0="00000003" w:usb1="00000000" w:usb2="00000000" w:usb3="00000000" w:csb0="00000001" w:csb1="00000000"/>
  </w:font>
  <w:font w:name="*Arial-7877-Identity-H">
    <w:altName w:val="Calibri"/>
    <w:panose1 w:val="00000000000000000000"/>
    <w:charset w:val="00"/>
    <w:family w:val="auto"/>
    <w:notTrueType/>
    <w:pitch w:val="default"/>
    <w:sig w:usb0="00000003" w:usb1="00000000" w:usb2="00000000" w:usb3="00000000" w:csb0="00000001" w:csb1="00000000"/>
  </w:font>
  <w:font w:name="*Arial-Italic-7878-Identity-H">
    <w:altName w:val="Calibri"/>
    <w:panose1 w:val="00000000000000000000"/>
    <w:charset w:val="00"/>
    <w:family w:val="auto"/>
    <w:notTrueType/>
    <w:pitch w:val="default"/>
    <w:sig w:usb0="00000003" w:usb1="00000000" w:usb2="00000000" w:usb3="00000000" w:csb0="00000001" w:csb1="00000000"/>
  </w:font>
  <w:font w:name="*Calibri-Bold-7010-Identity-H">
    <w:altName w:val="Calibri"/>
    <w:panose1 w:val="00000000000000000000"/>
    <w:charset w:val="00"/>
    <w:family w:val="auto"/>
    <w:notTrueType/>
    <w:pitch w:val="default"/>
    <w:sig w:usb0="00000003" w:usb1="00000000" w:usb2="00000000" w:usb3="00000000" w:csb0="00000001" w:csb1="00000000"/>
  </w:font>
  <w:font w:name="*Arial-7011-Identity-H">
    <w:altName w:val="Calibri"/>
    <w:panose1 w:val="00000000000000000000"/>
    <w:charset w:val="00"/>
    <w:family w:val="auto"/>
    <w:notTrueType/>
    <w:pitch w:val="default"/>
    <w:sig w:usb0="00000003" w:usb1="00000000" w:usb2="00000000" w:usb3="00000000" w:csb0="00000001" w:csb1="00000000"/>
  </w:font>
  <w:font w:name="*Arial-6611-Identity-H">
    <w:altName w:val="Calibri"/>
    <w:panose1 w:val="00000000000000000000"/>
    <w:charset w:val="00"/>
    <w:family w:val="auto"/>
    <w:notTrueType/>
    <w:pitch w:val="default"/>
    <w:sig w:usb0="00000003" w:usb1="00000000" w:usb2="00000000" w:usb3="00000000" w:csb0="00000001" w:csb1="00000000"/>
  </w:font>
  <w:font w:name="*Arial-5811-Identity-H">
    <w:altName w:val="Calibri"/>
    <w:panose1 w:val="00000000000000000000"/>
    <w:charset w:val="00"/>
    <w:family w:val="auto"/>
    <w:notTrueType/>
    <w:pitch w:val="default"/>
    <w:sig w:usb0="00000003" w:usb1="00000000" w:usb2="00000000" w:usb3="00000000" w:csb0="00000001" w:csb1="00000000"/>
  </w:font>
  <w:font w:name="*Arial-Bold-5812-Identity-H">
    <w:altName w:val="Calibri"/>
    <w:panose1 w:val="00000000000000000000"/>
    <w:charset w:val="00"/>
    <w:family w:val="auto"/>
    <w:notTrueType/>
    <w:pitch w:val="default"/>
    <w:sig w:usb0="00000003" w:usb1="00000000" w:usb2="00000000" w:usb3="00000000" w:csb0="00000001" w:csb1="00000000"/>
  </w:font>
  <w:font w:name="*Times New Roman-7223-Identity-">
    <w:altName w:val="Calibri"/>
    <w:panose1 w:val="00000000000000000000"/>
    <w:charset w:val="00"/>
    <w:family w:val="auto"/>
    <w:notTrueType/>
    <w:pitch w:val="default"/>
    <w:sig w:usb0="00000003" w:usb1="00000000" w:usb2="00000000" w:usb3="00000000" w:csb0="00000001" w:csb1="00000000"/>
  </w:font>
  <w:font w:name="*Arial-7225-Identity-H">
    <w:altName w:val="Calibri"/>
    <w:panose1 w:val="00000000000000000000"/>
    <w:charset w:val="00"/>
    <w:family w:val="auto"/>
    <w:notTrueType/>
    <w:pitch w:val="default"/>
    <w:sig w:usb0="00000003" w:usb1="00000000" w:usb2="00000000" w:usb3="00000000" w:csb0="00000001" w:csb1="00000000"/>
  </w:font>
  <w:font w:name="*Cambria-Bold-5510-Identity-H">
    <w:altName w:val="Calibri"/>
    <w:panose1 w:val="00000000000000000000"/>
    <w:charset w:val="00"/>
    <w:family w:val="auto"/>
    <w:notTrueType/>
    <w:pitch w:val="default"/>
    <w:sig w:usb0="00000003" w:usb1="00000000" w:usb2="00000000" w:usb3="00000000" w:csb0="00000001" w:csb1="00000000"/>
  </w:font>
  <w:font w:name="*Arial-5507-Identity-H">
    <w:altName w:val="Calibri"/>
    <w:panose1 w:val="00000000000000000000"/>
    <w:charset w:val="00"/>
    <w:family w:val="auto"/>
    <w:notTrueType/>
    <w:pitch w:val="default"/>
    <w:sig w:usb0="00000003" w:usb1="00000000" w:usb2="00000000" w:usb3="00000000" w:csb0="00000001" w:csb1="00000000"/>
  </w:font>
  <w:font w:name="*Arial-Bold-5508-Identity-H">
    <w:altName w:val="Calibri"/>
    <w:panose1 w:val="00000000000000000000"/>
    <w:charset w:val="00"/>
    <w:family w:val="auto"/>
    <w:notTrueType/>
    <w:pitch w:val="default"/>
    <w:sig w:usb0="00000003" w:usb1="00000000" w:usb2="00000000" w:usb3="00000000" w:csb0="00000001" w:csb1="00000000"/>
  </w:font>
  <w:font w:name="*Calibri-Bold-5506-Identity-H">
    <w:altName w:val="Calibri"/>
    <w:panose1 w:val="00000000000000000000"/>
    <w:charset w:val="00"/>
    <w:family w:val="auto"/>
    <w:notTrueType/>
    <w:pitch w:val="default"/>
    <w:sig w:usb0="00000003" w:usb1="00000000" w:usb2="00000000" w:usb3="00000000" w:csb0="00000001" w:csb1="00000000"/>
  </w:font>
  <w:font w:name="*Microsoft Sans Serif-Bold-5317">
    <w:altName w:val="Calibri"/>
    <w:panose1 w:val="00000000000000000000"/>
    <w:charset w:val="00"/>
    <w:family w:val="auto"/>
    <w:notTrueType/>
    <w:pitch w:val="default"/>
    <w:sig w:usb0="00000003" w:usb1="00000000" w:usb2="00000000" w:usb3="00000000" w:csb0="00000001" w:csb1="00000000"/>
  </w:font>
  <w:font w:name="*Arial-5316-Identity-H">
    <w:altName w:val="Calibri"/>
    <w:panose1 w:val="00000000000000000000"/>
    <w:charset w:val="00"/>
    <w:family w:val="auto"/>
    <w:notTrueType/>
    <w:pitch w:val="default"/>
    <w:sig w:usb0="00000003" w:usb1="00000000" w:usb2="00000000" w:usb3="00000000" w:csb0="00000001" w:csb1="00000000"/>
  </w:font>
  <w:font w:name="*Arial-Bold-5315-Identity-H">
    <w:altName w:val="Calibri"/>
    <w:panose1 w:val="00000000000000000000"/>
    <w:charset w:val="00"/>
    <w:family w:val="auto"/>
    <w:notTrueType/>
    <w:pitch w:val="default"/>
    <w:sig w:usb0="00000003" w:usb1="00000000" w:usb2="00000000" w:usb3="00000000" w:csb0="00000001" w:csb1="00000000"/>
  </w:font>
  <w:font w:name="*Arial-Bold-4941-Identity-H">
    <w:altName w:val="Calibri"/>
    <w:panose1 w:val="00000000000000000000"/>
    <w:charset w:val="00"/>
    <w:family w:val="auto"/>
    <w:notTrueType/>
    <w:pitch w:val="default"/>
    <w:sig w:usb0="00000003" w:usb1="00000000" w:usb2="00000000" w:usb3="00000000" w:csb0="00000001" w:csb1="00000000"/>
  </w:font>
  <w:font w:name="*Arial-Bold-6873-Identity-H">
    <w:altName w:val="Calibri"/>
    <w:panose1 w:val="00000000000000000000"/>
    <w:charset w:val="00"/>
    <w:family w:val="auto"/>
    <w:notTrueType/>
    <w:pitch w:val="default"/>
    <w:sig w:usb0="00000003" w:usb1="00000000" w:usb2="00000000" w:usb3="00000000" w:csb0="00000001" w:csb1="00000000"/>
  </w:font>
  <w:font w:name="*Arial-6871-Identity-H">
    <w:altName w:val="Calibri"/>
    <w:panose1 w:val="00000000000000000000"/>
    <w:charset w:val="00"/>
    <w:family w:val="auto"/>
    <w:notTrueType/>
    <w:pitch w:val="default"/>
    <w:sig w:usb0="00000003" w:usb1="00000000" w:usb2="00000000" w:usb3="00000000" w:csb0="00000001" w:csb1="00000000"/>
  </w:font>
  <w:font w:name="*Arial-Bold-6872-Identity-H">
    <w:altName w:val="Calibri"/>
    <w:panose1 w:val="00000000000000000000"/>
    <w:charset w:val="00"/>
    <w:family w:val="auto"/>
    <w:notTrueType/>
    <w:pitch w:val="default"/>
    <w:sig w:usb0="00000003" w:usb1="00000000" w:usb2="00000000" w:usb3="00000000" w:csb0="00000001" w:csb1="00000000"/>
  </w:font>
  <w:font w:name="*Microsoft Sans Serif-Bold-6874">
    <w:altName w:val="Calibri"/>
    <w:panose1 w:val="00000000000000000000"/>
    <w:charset w:val="00"/>
    <w:family w:val="auto"/>
    <w:notTrueType/>
    <w:pitch w:val="default"/>
    <w:sig w:usb0="00000003" w:usb1="00000000" w:usb2="00000000" w:usb3="00000000" w:csb0="00000001" w:csb1="00000000"/>
  </w:font>
  <w:font w:name="*Arial-6953-Identity-H">
    <w:altName w:val="Calibri"/>
    <w:panose1 w:val="00000000000000000000"/>
    <w:charset w:val="00"/>
    <w:family w:val="auto"/>
    <w:notTrueType/>
    <w:pitch w:val="default"/>
    <w:sig w:usb0="00000003" w:usb1="00000000" w:usb2="00000000" w:usb3="00000000" w:csb0="00000001" w:csb1="00000000"/>
  </w:font>
  <w:font w:name="*Microsoft Sans Serif-Bold-6955">
    <w:altName w:val="Calibri"/>
    <w:panose1 w:val="00000000000000000000"/>
    <w:charset w:val="00"/>
    <w:family w:val="auto"/>
    <w:notTrueType/>
    <w:pitch w:val="default"/>
    <w:sig w:usb0="00000003" w:usb1="00000000" w:usb2="00000000" w:usb3="00000000" w:csb0="00000001" w:csb1="00000000"/>
  </w:font>
  <w:font w:name="*Microsoft Sans Serif-Bold-6994">
    <w:altName w:val="Calibri"/>
    <w:panose1 w:val="00000000000000000000"/>
    <w:charset w:val="00"/>
    <w:family w:val="auto"/>
    <w:notTrueType/>
    <w:pitch w:val="default"/>
    <w:sig w:usb0="00000003" w:usb1="00000000" w:usb2="00000000" w:usb3="00000000" w:csb0="00000001" w:csb1="00000000"/>
  </w:font>
  <w:font w:name="*Arial-6993-Identity-H">
    <w:altName w:val="Calibri"/>
    <w:panose1 w:val="00000000000000000000"/>
    <w:charset w:val="00"/>
    <w:family w:val="auto"/>
    <w:notTrueType/>
    <w:pitch w:val="default"/>
    <w:sig w:usb0="00000003" w:usb1="00000000" w:usb2="00000000" w:usb3="00000000" w:csb0="00000001" w:csb1="00000000"/>
  </w:font>
  <w:font w:name="*Arial-7212-Identity-H">
    <w:altName w:val="Calibri"/>
    <w:panose1 w:val="00000000000000000000"/>
    <w:charset w:val="00"/>
    <w:family w:val="auto"/>
    <w:notTrueType/>
    <w:pitch w:val="default"/>
    <w:sig w:usb0="00000003" w:usb1="00000000" w:usb2="00000000" w:usb3="00000000" w:csb0="00000001" w:csb1="00000000"/>
  </w:font>
  <w:font w:name="*Microsoft Sans Serif-Bold-8164">
    <w:altName w:val="Calibri"/>
    <w:panose1 w:val="00000000000000000000"/>
    <w:charset w:val="00"/>
    <w:family w:val="auto"/>
    <w:notTrueType/>
    <w:pitch w:val="default"/>
    <w:sig w:usb0="00000003" w:usb1="00000000" w:usb2="00000000" w:usb3="00000000" w:csb0="00000001" w:csb1="00000000"/>
  </w:font>
  <w:font w:name="*Arial-8160-Identity-H">
    <w:altName w:val="Calibri"/>
    <w:panose1 w:val="00000000000000000000"/>
    <w:charset w:val="00"/>
    <w:family w:val="auto"/>
    <w:notTrueType/>
    <w:pitch w:val="default"/>
    <w:sig w:usb0="00000003" w:usb1="00000000" w:usb2="00000000" w:usb3="00000000" w:csb0="00000001" w:csb1="00000000"/>
  </w:font>
  <w:font w:name="*Arial-Bold-8162-Identity-H">
    <w:altName w:val="Calibri"/>
    <w:panose1 w:val="00000000000000000000"/>
    <w:charset w:val="00"/>
    <w:family w:val="auto"/>
    <w:notTrueType/>
    <w:pitch w:val="default"/>
    <w:sig w:usb0="00000003" w:usb1="00000000" w:usb2="00000000" w:usb3="00000000" w:csb0="00000001" w:csb1="00000000"/>
  </w:font>
  <w:font w:name="*Arial-Bold-8161-Identity-H">
    <w:altName w:val="Calibri"/>
    <w:panose1 w:val="00000000000000000000"/>
    <w:charset w:val="00"/>
    <w:family w:val="auto"/>
    <w:notTrueType/>
    <w:pitch w:val="default"/>
    <w:sig w:usb0="00000003" w:usb1="00000000" w:usb2="00000000" w:usb3="00000000" w:csb0="00000001" w:csb1="00000000"/>
  </w:font>
  <w:font w:name="*Calibri-Bold-7327-Identity-H">
    <w:altName w:val="Calibri"/>
    <w:panose1 w:val="00000000000000000000"/>
    <w:charset w:val="00"/>
    <w:family w:val="auto"/>
    <w:notTrueType/>
    <w:pitch w:val="default"/>
    <w:sig w:usb0="00000003" w:usb1="00000000" w:usb2="00000000" w:usb3="00000000" w:csb0="00000001" w:csb1="00000000"/>
  </w:font>
  <w:font w:name="*Arial-7328-Identity-H">
    <w:altName w:val="Calibri"/>
    <w:panose1 w:val="00000000000000000000"/>
    <w:charset w:val="00"/>
    <w:family w:val="auto"/>
    <w:notTrueType/>
    <w:pitch w:val="default"/>
    <w:sig w:usb0="00000003" w:usb1="00000000" w:usb2="00000000" w:usb3="00000000" w:csb0="00000001" w:csb1="00000000"/>
  </w:font>
  <w:font w:name="*Calibri-Bold-7094-Identity-H">
    <w:altName w:val="Calibri"/>
    <w:panose1 w:val="00000000000000000000"/>
    <w:charset w:val="00"/>
    <w:family w:val="auto"/>
    <w:notTrueType/>
    <w:pitch w:val="default"/>
    <w:sig w:usb0="00000003" w:usb1="00000000" w:usb2="00000000" w:usb3="00000000" w:csb0="00000001" w:csb1="00000000"/>
  </w:font>
  <w:font w:name="*Arial-7095-Identity-H">
    <w:altName w:val="Calibri"/>
    <w:panose1 w:val="00000000000000000000"/>
    <w:charset w:val="00"/>
    <w:family w:val="auto"/>
    <w:notTrueType/>
    <w:pitch w:val="default"/>
    <w:sig w:usb0="00000003" w:usb1="00000000" w:usb2="00000000" w:usb3="00000000" w:csb0="00000001" w:csb1="00000000"/>
  </w:font>
  <w:font w:name="*Arial-9712-Identity-H">
    <w:altName w:val="Calibri"/>
    <w:panose1 w:val="00000000000000000000"/>
    <w:charset w:val="00"/>
    <w:family w:val="auto"/>
    <w:notTrueType/>
    <w:pitch w:val="default"/>
    <w:sig w:usb0="00000003" w:usb1="00000000" w:usb2="00000000" w:usb3="00000000" w:csb0="00000001" w:csb1="00000000"/>
  </w:font>
  <w:font w:name="*Arial-Italic-9714-Identity-H">
    <w:altName w:val="Calibri"/>
    <w:panose1 w:val="00000000000000000000"/>
    <w:charset w:val="00"/>
    <w:family w:val="auto"/>
    <w:notTrueType/>
    <w:pitch w:val="default"/>
    <w:sig w:usb0="00000003" w:usb1="00000000" w:usb2="00000000" w:usb3="00000000" w:csb0="00000001" w:csb1="00000000"/>
  </w:font>
  <w:font w:name="*Arial-9711-Identity-H">
    <w:altName w:val="Calibri"/>
    <w:panose1 w:val="00000000000000000000"/>
    <w:charset w:val="00"/>
    <w:family w:val="auto"/>
    <w:notTrueType/>
    <w:pitch w:val="default"/>
    <w:sig w:usb0="00000003" w:usb1="00000000" w:usb2="00000000" w:usb3="00000000" w:csb0="00000001" w:csb1="00000000"/>
  </w:font>
  <w:font w:name="*Arial-8436-Identity-H">
    <w:altName w:val="Calibri"/>
    <w:panose1 w:val="00000000000000000000"/>
    <w:charset w:val="00"/>
    <w:family w:val="auto"/>
    <w:notTrueType/>
    <w:pitch w:val="default"/>
    <w:sig w:usb0="00000003" w:usb1="00000000" w:usb2="00000000" w:usb3="00000000" w:csb0="00000001" w:csb1="00000000"/>
  </w:font>
  <w:font w:name="*Arial-Italic-8437-Identity-H">
    <w:altName w:val="Calibri"/>
    <w:panose1 w:val="00000000000000000000"/>
    <w:charset w:val="00"/>
    <w:family w:val="auto"/>
    <w:notTrueType/>
    <w:pitch w:val="default"/>
    <w:sig w:usb0="00000003" w:usb1="00000000" w:usb2="00000000" w:usb3="00000000" w:csb0="00000001" w:csb1="00000000"/>
  </w:font>
  <w:font w:name="*Arial-6290-Identity-H">
    <w:altName w:val="Calibri"/>
    <w:panose1 w:val="00000000000000000000"/>
    <w:charset w:val="00"/>
    <w:family w:val="auto"/>
    <w:notTrueType/>
    <w:pitch w:val="default"/>
    <w:sig w:usb0="00000003" w:usb1="00000000" w:usb2="00000000" w:usb3="00000000" w:csb0="00000001" w:csb1="00000000"/>
  </w:font>
  <w:font w:name="*Times New Roman-Italic-6286-Id">
    <w:altName w:val="Calibri"/>
    <w:panose1 w:val="00000000000000000000"/>
    <w:charset w:val="00"/>
    <w:family w:val="auto"/>
    <w:notTrueType/>
    <w:pitch w:val="default"/>
    <w:sig w:usb0="00000003" w:usb1="00000000" w:usb2="00000000" w:usb3="00000000" w:csb0="00000001" w:csb1="00000000"/>
  </w:font>
  <w:font w:name="*Times New Roman-Italic-6285-Id">
    <w:altName w:val="Calibri"/>
    <w:panose1 w:val="00000000000000000000"/>
    <w:charset w:val="00"/>
    <w:family w:val="auto"/>
    <w:notTrueType/>
    <w:pitch w:val="default"/>
    <w:sig w:usb0="00000003" w:usb1="00000000" w:usb2="00000000" w:usb3="00000000" w:csb0="00000001" w:csb1="00000000"/>
  </w:font>
  <w:font w:name="*Arial-Bold-6291-Identity-H">
    <w:altName w:val="Calibri"/>
    <w:panose1 w:val="00000000000000000000"/>
    <w:charset w:val="00"/>
    <w:family w:val="auto"/>
    <w:notTrueType/>
    <w:pitch w:val="default"/>
    <w:sig w:usb0="00000003" w:usb1="00000000" w:usb2="00000000" w:usb3="00000000" w:csb0="00000001" w:csb1="00000000"/>
  </w:font>
  <w:font w:name="*Arial-7495-Identity-H">
    <w:altName w:val="Calibri"/>
    <w:panose1 w:val="00000000000000000000"/>
    <w:charset w:val="00"/>
    <w:family w:val="auto"/>
    <w:notTrueType/>
    <w:pitch w:val="default"/>
    <w:sig w:usb0="00000003" w:usb1="00000000" w:usb2="00000000" w:usb3="00000000" w:csb0="00000001" w:csb1="00000000"/>
  </w:font>
  <w:font w:name="*Arial-7497-Identity-H">
    <w:altName w:val="Calibri"/>
    <w:panose1 w:val="00000000000000000000"/>
    <w:charset w:val="00"/>
    <w:family w:val="auto"/>
    <w:notTrueType/>
    <w:pitch w:val="default"/>
    <w:sig w:usb0="00000003" w:usb1="00000000" w:usb2="00000000" w:usb3="00000000" w:csb0="00000001" w:csb1="00000000"/>
  </w:font>
  <w:font w:name="*Arial-Italic-7496-Identity-H">
    <w:altName w:val="Calibri"/>
    <w:panose1 w:val="00000000000000000000"/>
    <w:charset w:val="00"/>
    <w:family w:val="auto"/>
    <w:notTrueType/>
    <w:pitch w:val="default"/>
    <w:sig w:usb0="00000003" w:usb1="00000000" w:usb2="00000000" w:usb3="00000000" w:csb0="00000001" w:csb1="00000000"/>
  </w:font>
  <w:font w:name="*Microsoft Sans Serif-Bold-6623">
    <w:altName w:val="Calibri"/>
    <w:panose1 w:val="00000000000000000000"/>
    <w:charset w:val="00"/>
    <w:family w:val="auto"/>
    <w:notTrueType/>
    <w:pitch w:val="default"/>
    <w:sig w:usb0="00000003" w:usb1="00000000" w:usb2="00000000" w:usb3="00000000" w:csb0="00000001" w:csb1="00000000"/>
  </w:font>
  <w:font w:name="*Arial-6620-Identity-H">
    <w:altName w:val="Calibri"/>
    <w:panose1 w:val="00000000000000000000"/>
    <w:charset w:val="00"/>
    <w:family w:val="auto"/>
    <w:notTrueType/>
    <w:pitch w:val="default"/>
    <w:sig w:usb0="00000003" w:usb1="00000000" w:usb2="00000000" w:usb3="00000000" w:csb0="00000001" w:csb1="00000000"/>
  </w:font>
  <w:font w:name="*Microsoft Sans Serif-Bold-6622">
    <w:altName w:val="Calibri"/>
    <w:panose1 w:val="00000000000000000000"/>
    <w:charset w:val="00"/>
    <w:family w:val="auto"/>
    <w:notTrueType/>
    <w:pitch w:val="default"/>
    <w:sig w:usb0="00000003" w:usb1="00000000" w:usb2="00000000" w:usb3="00000000" w:csb0="00000001" w:csb1="00000000"/>
  </w:font>
  <w:font w:name="*Microsoft Sans Serif-Bold-6786">
    <w:altName w:val="Calibri"/>
    <w:panose1 w:val="00000000000000000000"/>
    <w:charset w:val="00"/>
    <w:family w:val="auto"/>
    <w:notTrueType/>
    <w:pitch w:val="default"/>
    <w:sig w:usb0="00000003" w:usb1="00000000" w:usb2="00000000" w:usb3="00000000" w:csb0="00000001" w:csb1="00000000"/>
  </w:font>
  <w:font w:name="*Arial-6784-Identity-H">
    <w:altName w:val="Calibri"/>
    <w:panose1 w:val="00000000000000000000"/>
    <w:charset w:val="00"/>
    <w:family w:val="auto"/>
    <w:notTrueType/>
    <w:pitch w:val="default"/>
    <w:sig w:usb0="00000003" w:usb1="00000000" w:usb2="00000000" w:usb3="00000000" w:csb0="00000001" w:csb1="00000000"/>
  </w:font>
  <w:font w:name="*Times New Roman-Italic-7288-Id">
    <w:altName w:val="Calibri"/>
    <w:panose1 w:val="00000000000000000000"/>
    <w:charset w:val="00"/>
    <w:family w:val="auto"/>
    <w:notTrueType/>
    <w:pitch w:val="default"/>
    <w:sig w:usb0="00000003" w:usb1="00000000" w:usb2="00000000" w:usb3="00000000" w:csb0="00000001" w:csb1="00000000"/>
  </w:font>
  <w:font w:name="*Arial-7290-Identity-H">
    <w:altName w:val="Calibri"/>
    <w:panose1 w:val="00000000000000000000"/>
    <w:charset w:val="00"/>
    <w:family w:val="auto"/>
    <w:notTrueType/>
    <w:pitch w:val="default"/>
    <w:sig w:usb0="00000003" w:usb1="00000000" w:usb2="00000000" w:usb3="00000000" w:csb0="00000001" w:csb1="00000000"/>
  </w:font>
  <w:font w:name="*Arial-6730-Identity-H">
    <w:altName w:val="Calibri"/>
    <w:panose1 w:val="00000000000000000000"/>
    <w:charset w:val="00"/>
    <w:family w:val="auto"/>
    <w:notTrueType/>
    <w:pitch w:val="default"/>
    <w:sig w:usb0="00000003" w:usb1="00000000" w:usb2="00000000" w:usb3="00000000" w:csb0="00000001" w:csb1="00000000"/>
  </w:font>
  <w:font w:name="*Arial-6634-Identity-H">
    <w:altName w:val="Calibri"/>
    <w:panose1 w:val="00000000000000000000"/>
    <w:charset w:val="00"/>
    <w:family w:val="auto"/>
    <w:notTrueType/>
    <w:pitch w:val="default"/>
    <w:sig w:usb0="00000003" w:usb1="00000000" w:usb2="00000000" w:usb3="00000000" w:csb0="00000001" w:csb1="00000000"/>
  </w:font>
  <w:font w:name="*Calibri-Bold-6795-Identity-H">
    <w:altName w:val="Calibri"/>
    <w:panose1 w:val="00000000000000000000"/>
    <w:charset w:val="00"/>
    <w:family w:val="auto"/>
    <w:notTrueType/>
    <w:pitch w:val="default"/>
    <w:sig w:usb0="00000003" w:usb1="00000000" w:usb2="00000000" w:usb3="00000000" w:csb0="00000001" w:csb1="00000000"/>
  </w:font>
  <w:font w:name="*Arial-6796-Identity-H">
    <w:altName w:val="Calibri"/>
    <w:panose1 w:val="00000000000000000000"/>
    <w:charset w:val="00"/>
    <w:family w:val="auto"/>
    <w:notTrueType/>
    <w:pitch w:val="default"/>
    <w:sig w:usb0="00000003" w:usb1="00000000" w:usb2="00000000" w:usb3="00000000" w:csb0="00000001" w:csb1="00000000"/>
  </w:font>
  <w:font w:name="*Arial-Bold-6797-Identity-H">
    <w:altName w:val="Calibri"/>
    <w:panose1 w:val="00000000000000000000"/>
    <w:charset w:val="00"/>
    <w:family w:val="auto"/>
    <w:notTrueType/>
    <w:pitch w:val="default"/>
    <w:sig w:usb0="00000003" w:usb1="00000000" w:usb2="00000000" w:usb3="00000000" w:csb0="00000001" w:csb1="00000000"/>
  </w:font>
  <w:font w:name="*Times New Roman-Italic-6794-Id">
    <w:altName w:val="Calibri"/>
    <w:panose1 w:val="00000000000000000000"/>
    <w:charset w:val="00"/>
    <w:family w:val="auto"/>
    <w:notTrueType/>
    <w:pitch w:val="default"/>
    <w:sig w:usb0="00000003" w:usb1="00000000" w:usb2="00000000" w:usb3="00000000" w:csb0="00000001" w:csb1="00000000"/>
  </w:font>
  <w:font w:name="*Times New Roman-Italic-6793-Id">
    <w:altName w:val="Calibri"/>
    <w:panose1 w:val="00000000000000000000"/>
    <w:charset w:val="00"/>
    <w:family w:val="auto"/>
    <w:notTrueType/>
    <w:pitch w:val="default"/>
    <w:sig w:usb0="00000003" w:usb1="00000000" w:usb2="00000000" w:usb3="00000000" w:csb0="00000001" w:csb1="00000000"/>
  </w:font>
  <w:font w:name="*Arial-4705-Identity-H">
    <w:altName w:val="Calibri"/>
    <w:panose1 w:val="00000000000000000000"/>
    <w:charset w:val="00"/>
    <w:family w:val="auto"/>
    <w:notTrueType/>
    <w:pitch w:val="default"/>
    <w:sig w:usb0="00000003" w:usb1="00000000" w:usb2="00000000" w:usb3="00000000" w:csb0="00000001" w:csb1="00000000"/>
  </w:font>
  <w:font w:name="*Arial-Bold-4704-Identity-H">
    <w:altName w:val="Calibri"/>
    <w:panose1 w:val="00000000000000000000"/>
    <w:charset w:val="00"/>
    <w:family w:val="auto"/>
    <w:notTrueType/>
    <w:pitch w:val="default"/>
    <w:sig w:usb0="00000003" w:usb1="00000000" w:usb2="00000000" w:usb3="00000000" w:csb0="00000001" w:csb1="00000000"/>
  </w:font>
  <w:font w:name="*Arial-Bold-6977-Identity-H">
    <w:altName w:val="Calibri"/>
    <w:panose1 w:val="00000000000000000000"/>
    <w:charset w:val="00"/>
    <w:family w:val="auto"/>
    <w:notTrueType/>
    <w:pitch w:val="default"/>
    <w:sig w:usb0="00000003" w:usb1="00000000" w:usb2="00000000" w:usb3="00000000" w:csb0="00000001" w:csb1="00000000"/>
  </w:font>
  <w:font w:name="*Arial-6975-Identity-H">
    <w:altName w:val="Calibri"/>
    <w:panose1 w:val="00000000000000000000"/>
    <w:charset w:val="00"/>
    <w:family w:val="auto"/>
    <w:notTrueType/>
    <w:pitch w:val="default"/>
    <w:sig w:usb0="00000003" w:usb1="00000000" w:usb2="00000000" w:usb3="00000000" w:csb0="00000001" w:csb1="00000000"/>
  </w:font>
  <w:font w:name="*Arial-Bold-6976-Identity-H">
    <w:altName w:val="Calibri"/>
    <w:panose1 w:val="00000000000000000000"/>
    <w:charset w:val="00"/>
    <w:family w:val="auto"/>
    <w:notTrueType/>
    <w:pitch w:val="default"/>
    <w:sig w:usb0="00000003" w:usb1="00000000" w:usb2="00000000" w:usb3="00000000" w:csb0="00000001" w:csb1="00000000"/>
  </w:font>
  <w:font w:name="*Microsoft Sans Serif-Bold-6978">
    <w:altName w:val="Calibri"/>
    <w:panose1 w:val="00000000000000000000"/>
    <w:charset w:val="00"/>
    <w:family w:val="auto"/>
    <w:notTrueType/>
    <w:pitch w:val="default"/>
    <w:sig w:usb0="00000003" w:usb1="00000000" w:usb2="00000000" w:usb3="00000000" w:csb0="00000001" w:csb1="00000000"/>
  </w:font>
  <w:font w:name="*Microsoft Sans Serif-Bold-6658">
    <w:altName w:val="Calibri"/>
    <w:panose1 w:val="00000000000000000000"/>
    <w:charset w:val="00"/>
    <w:family w:val="auto"/>
    <w:notTrueType/>
    <w:pitch w:val="default"/>
    <w:sig w:usb0="00000003" w:usb1="00000000" w:usb2="00000000" w:usb3="00000000" w:csb0="00000001" w:csb1="00000000"/>
  </w:font>
  <w:font w:name="*Arial-6654-Identity-H">
    <w:altName w:val="Calibri"/>
    <w:panose1 w:val="00000000000000000000"/>
    <w:charset w:val="00"/>
    <w:family w:val="auto"/>
    <w:notTrueType/>
    <w:pitch w:val="default"/>
    <w:sig w:usb0="00000003" w:usb1="00000000" w:usb2="00000000" w:usb3="00000000" w:csb0="00000001" w:csb1="00000000"/>
  </w:font>
  <w:font w:name="*Microsoft Sans Serif-Bold-6657">
    <w:altName w:val="Calibri"/>
    <w:panose1 w:val="00000000000000000000"/>
    <w:charset w:val="00"/>
    <w:family w:val="auto"/>
    <w:notTrueType/>
    <w:pitch w:val="default"/>
    <w:sig w:usb0="00000003" w:usb1="00000000" w:usb2="00000000" w:usb3="00000000" w:csb0="00000001" w:csb1="00000000"/>
  </w:font>
  <w:font w:name="*Arial-Bold-6655-Identity-H">
    <w:altName w:val="Calibri"/>
    <w:panose1 w:val="00000000000000000000"/>
    <w:charset w:val="00"/>
    <w:family w:val="auto"/>
    <w:notTrueType/>
    <w:pitch w:val="default"/>
    <w:sig w:usb0="00000003" w:usb1="00000000" w:usb2="00000000" w:usb3="00000000" w:csb0="00000001" w:csb1="00000000"/>
  </w:font>
  <w:font w:name="*Calibri-Bold-6732-Identity-H">
    <w:altName w:val="Calibri"/>
    <w:panose1 w:val="00000000000000000000"/>
    <w:charset w:val="00"/>
    <w:family w:val="auto"/>
    <w:notTrueType/>
    <w:pitch w:val="default"/>
    <w:sig w:usb0="00000003" w:usb1="00000000" w:usb2="00000000" w:usb3="00000000" w:csb0="00000001" w:csb1="00000000"/>
  </w:font>
  <w:font w:name="*Arial-6733-Identity-H">
    <w:altName w:val="Calibri"/>
    <w:panose1 w:val="00000000000000000000"/>
    <w:charset w:val="00"/>
    <w:family w:val="auto"/>
    <w:notTrueType/>
    <w:pitch w:val="default"/>
    <w:sig w:usb0="00000003" w:usb1="00000000" w:usb2="00000000" w:usb3="00000000" w:csb0="00000001" w:csb1="00000000"/>
  </w:font>
  <w:font w:name="*Arial-6743-Identity-H">
    <w:altName w:val="Calibri"/>
    <w:panose1 w:val="00000000000000000000"/>
    <w:charset w:val="00"/>
    <w:family w:val="auto"/>
    <w:notTrueType/>
    <w:pitch w:val="default"/>
    <w:sig w:usb0="00000003" w:usb1="00000000" w:usb2="00000000" w:usb3="00000000" w:csb0="00000001" w:csb1="00000000"/>
  </w:font>
  <w:font w:name="*Times New Roman-Italic-7687-Id">
    <w:altName w:val="Calibri"/>
    <w:panose1 w:val="00000000000000000000"/>
    <w:charset w:val="00"/>
    <w:family w:val="auto"/>
    <w:notTrueType/>
    <w:pitch w:val="default"/>
    <w:sig w:usb0="00000003" w:usb1="00000000" w:usb2="00000000" w:usb3="00000000" w:csb0="00000001" w:csb1="00000000"/>
  </w:font>
  <w:font w:name="*Arial-Bold-7690-Identity-H">
    <w:altName w:val="Calibri"/>
    <w:panose1 w:val="00000000000000000000"/>
    <w:charset w:val="00"/>
    <w:family w:val="auto"/>
    <w:notTrueType/>
    <w:pitch w:val="default"/>
    <w:sig w:usb0="00000003" w:usb1="00000000" w:usb2="00000000" w:usb3="00000000" w:csb0="00000001" w:csb1="00000000"/>
  </w:font>
  <w:font w:name="*Arial-7691-Identity-H">
    <w:altName w:val="Calibri"/>
    <w:panose1 w:val="00000000000000000000"/>
    <w:charset w:val="00"/>
    <w:family w:val="auto"/>
    <w:notTrueType/>
    <w:pitch w:val="default"/>
    <w:sig w:usb0="00000003" w:usb1="00000000" w:usb2="00000000" w:usb3="00000000" w:csb0="00000001" w:csb1="00000000"/>
  </w:font>
  <w:font w:name="*Arial-7689-Identity-H">
    <w:altName w:val="Calibri"/>
    <w:panose1 w:val="00000000000000000000"/>
    <w:charset w:val="00"/>
    <w:family w:val="auto"/>
    <w:notTrueType/>
    <w:pitch w:val="default"/>
    <w:sig w:usb0="00000003" w:usb1="00000000" w:usb2="00000000" w:usb3="00000000" w:csb0="00000001" w:csb1="00000000"/>
  </w:font>
  <w:font w:name="*Times New Roman-Bold-7330-Iden">
    <w:altName w:val="Calibri"/>
    <w:panose1 w:val="00000000000000000000"/>
    <w:charset w:val="00"/>
    <w:family w:val="auto"/>
    <w:notTrueType/>
    <w:pitch w:val="default"/>
    <w:sig w:usb0="00000003" w:usb1="00000000" w:usb2="00000000" w:usb3="00000000" w:csb0="00000001" w:csb1="00000000"/>
  </w:font>
  <w:font w:name="*Arial-7331-Identity-H">
    <w:altName w:val="Calibri"/>
    <w:panose1 w:val="00000000000000000000"/>
    <w:charset w:val="00"/>
    <w:family w:val="auto"/>
    <w:notTrueType/>
    <w:pitch w:val="default"/>
    <w:sig w:usb0="00000003" w:usb1="00000000" w:usb2="00000000" w:usb3="00000000" w:csb0="00000001" w:csb1="00000000"/>
  </w:font>
  <w:font w:name="*Calibri-Bold-6756-Identity-H">
    <w:altName w:val="Calibri"/>
    <w:panose1 w:val="00000000000000000000"/>
    <w:charset w:val="00"/>
    <w:family w:val="auto"/>
    <w:notTrueType/>
    <w:pitch w:val="default"/>
    <w:sig w:usb0="00000003" w:usb1="00000000" w:usb2="00000000" w:usb3="00000000" w:csb0="00000001" w:csb1="00000000"/>
  </w:font>
  <w:font w:name="*Arial-6757-Identity-H">
    <w:altName w:val="Calibri"/>
    <w:panose1 w:val="00000000000000000000"/>
    <w:charset w:val="00"/>
    <w:family w:val="auto"/>
    <w:notTrueType/>
    <w:pitch w:val="default"/>
    <w:sig w:usb0="00000003" w:usb1="00000000" w:usb2="00000000" w:usb3="00000000" w:csb0="00000001" w:csb1="00000000"/>
  </w:font>
  <w:font w:name="*Arial-10222-Identity-H">
    <w:altName w:val="Calibri"/>
    <w:panose1 w:val="00000000000000000000"/>
    <w:charset w:val="00"/>
    <w:family w:val="auto"/>
    <w:notTrueType/>
    <w:pitch w:val="default"/>
    <w:sig w:usb0="00000003" w:usb1="00000000" w:usb2="00000000" w:usb3="00000000" w:csb0="00000001" w:csb1="00000000"/>
  </w:font>
  <w:font w:name="*Arial-Italic-10223-Identity-H">
    <w:altName w:val="Calibri"/>
    <w:panose1 w:val="00000000000000000000"/>
    <w:charset w:val="00"/>
    <w:family w:val="auto"/>
    <w:notTrueType/>
    <w:pitch w:val="default"/>
    <w:sig w:usb0="00000003" w:usb1="00000000" w:usb2="00000000" w:usb3="00000000" w:csb0="00000001" w:csb1="00000000"/>
  </w:font>
  <w:font w:name="*Microsoft Sans Serif-Bold-1022">
    <w:altName w:val="Calibri"/>
    <w:panose1 w:val="00000000000000000000"/>
    <w:charset w:val="00"/>
    <w:family w:val="auto"/>
    <w:notTrueType/>
    <w:pitch w:val="default"/>
    <w:sig w:usb0="00000003" w:usb1="00000000" w:usb2="00000000" w:usb3="00000000" w:csb0="00000001" w:csb1="00000000"/>
  </w:font>
  <w:font w:name="*Arial-8226-Identity-H">
    <w:altName w:val="Calibri"/>
    <w:panose1 w:val="00000000000000000000"/>
    <w:charset w:val="00"/>
    <w:family w:val="auto"/>
    <w:notTrueType/>
    <w:pitch w:val="default"/>
    <w:sig w:usb0="00000003" w:usb1="00000000" w:usb2="00000000" w:usb3="00000000" w:csb0="00000001" w:csb1="00000000"/>
  </w:font>
  <w:font w:name="*Arial-Italic-8227-Identity-H">
    <w:altName w:val="Calibri"/>
    <w:panose1 w:val="00000000000000000000"/>
    <w:charset w:val="00"/>
    <w:family w:val="auto"/>
    <w:notTrueType/>
    <w:pitch w:val="default"/>
    <w:sig w:usb0="00000003" w:usb1="00000000" w:usb2="00000000" w:usb3="00000000" w:csb0="00000001" w:csb1="00000000"/>
  </w:font>
  <w:font w:name="*Microsoft Sans Serif-Italic-82">
    <w:altName w:val="Calibri"/>
    <w:panose1 w:val="00000000000000000000"/>
    <w:charset w:val="00"/>
    <w:family w:val="auto"/>
    <w:notTrueType/>
    <w:pitch w:val="default"/>
    <w:sig w:usb0="00000003" w:usb1="00000000" w:usb2="00000000" w:usb3="00000000" w:csb0="00000001" w:csb1="00000000"/>
  </w:font>
  <w:font w:name="*Calibri-9140-Identity-H">
    <w:altName w:val="Calibri"/>
    <w:panose1 w:val="00000000000000000000"/>
    <w:charset w:val="00"/>
    <w:family w:val="auto"/>
    <w:notTrueType/>
    <w:pitch w:val="default"/>
    <w:sig w:usb0="00000003" w:usb1="00000000" w:usb2="00000000" w:usb3="00000000" w:csb0="00000001" w:csb1="00000000"/>
  </w:font>
  <w:font w:name="*Arial-9143-Identity-H">
    <w:altName w:val="Calibri"/>
    <w:panose1 w:val="00000000000000000000"/>
    <w:charset w:val="00"/>
    <w:family w:val="auto"/>
    <w:notTrueType/>
    <w:pitch w:val="default"/>
    <w:sig w:usb0="00000003" w:usb1="00000000" w:usb2="00000000" w:usb3="00000000" w:csb0="00000001" w:csb1="00000000"/>
  </w:font>
  <w:font w:name="*Arial-Italic-9144-Identity-H">
    <w:altName w:val="Calibri"/>
    <w:panose1 w:val="00000000000000000000"/>
    <w:charset w:val="00"/>
    <w:family w:val="auto"/>
    <w:notTrueType/>
    <w:pitch w:val="default"/>
    <w:sig w:usb0="00000003" w:usb1="00000000" w:usb2="00000000" w:usb3="00000000" w:csb0="00000001" w:csb1="00000000"/>
  </w:font>
  <w:font w:name="*Microsoft Sans Serif-Italic-91">
    <w:altName w:val="Calibri"/>
    <w:panose1 w:val="00000000000000000000"/>
    <w:charset w:val="00"/>
    <w:family w:val="auto"/>
    <w:notTrueType/>
    <w:pitch w:val="default"/>
    <w:sig w:usb0="00000003" w:usb1="00000000" w:usb2="00000000" w:usb3="00000000" w:csb0="00000001" w:csb1="00000000"/>
  </w:font>
  <w:font w:name="*Arial-4749-Identity-H">
    <w:altName w:val="Calibri"/>
    <w:panose1 w:val="00000000000000000000"/>
    <w:charset w:val="00"/>
    <w:family w:val="auto"/>
    <w:notTrueType/>
    <w:pitch w:val="default"/>
    <w:sig w:usb0="00000003" w:usb1="00000000" w:usb2="00000000" w:usb3="00000000" w:csb0="00000001" w:csb1="00000000"/>
  </w:font>
  <w:font w:name="*Arial-Bold-4750-Identity-H">
    <w:altName w:val="Calibri"/>
    <w:panose1 w:val="00000000000000000000"/>
    <w:charset w:val="00"/>
    <w:family w:val="auto"/>
    <w:notTrueType/>
    <w:pitch w:val="default"/>
    <w:sig w:usb0="00000003" w:usb1="00000000" w:usb2="00000000" w:usb3="00000000" w:csb0="00000001" w:csb1="00000000"/>
  </w:font>
  <w:font w:name="*Arial-7900-Identity-H">
    <w:altName w:val="Calibri"/>
    <w:panose1 w:val="00000000000000000000"/>
    <w:charset w:val="00"/>
    <w:family w:val="auto"/>
    <w:notTrueType/>
    <w:pitch w:val="default"/>
    <w:sig w:usb0="00000003" w:usb1="00000000" w:usb2="00000000" w:usb3="00000000" w:csb0="00000001" w:csb1="00000000"/>
  </w:font>
  <w:font w:name="*Arial-Italic-7902-Identity-H">
    <w:altName w:val="Calibri"/>
    <w:panose1 w:val="00000000000000000000"/>
    <w:charset w:val="00"/>
    <w:family w:val="auto"/>
    <w:notTrueType/>
    <w:pitch w:val="default"/>
    <w:sig w:usb0="00000003" w:usb1="00000000" w:usb2="00000000" w:usb3="00000000" w:csb0="00000001" w:csb1="00000000"/>
  </w:font>
  <w:font w:name="*Arial-Bold-7901-Identity-H">
    <w:altName w:val="Calibri"/>
    <w:panose1 w:val="00000000000000000000"/>
    <w:charset w:val="00"/>
    <w:family w:val="auto"/>
    <w:notTrueType/>
    <w:pitch w:val="default"/>
    <w:sig w:usb0="00000003" w:usb1="00000000" w:usb2="00000000" w:usb3="00000000" w:csb0="00000001" w:csb1="00000000"/>
  </w:font>
  <w:font w:name="*Arial-6429-Identity-H">
    <w:altName w:val="Calibri"/>
    <w:panose1 w:val="00000000000000000000"/>
    <w:charset w:val="00"/>
    <w:family w:val="auto"/>
    <w:notTrueType/>
    <w:pitch w:val="default"/>
    <w:sig w:usb0="00000003" w:usb1="00000000" w:usb2="00000000" w:usb3="00000000" w:csb0="00000001" w:csb1="00000000"/>
  </w:font>
  <w:font w:name="*Arial-Bold-6430-Identity-H">
    <w:altName w:val="Calibri"/>
    <w:panose1 w:val="00000000000000000000"/>
    <w:charset w:val="00"/>
    <w:family w:val="auto"/>
    <w:notTrueType/>
    <w:pitch w:val="default"/>
    <w:sig w:usb0="00000003" w:usb1="00000000" w:usb2="00000000" w:usb3="00000000" w:csb0="00000001" w:csb1="00000000"/>
  </w:font>
  <w:font w:name="*Calibri-Bold-7539-Identity-H">
    <w:altName w:val="Calibri"/>
    <w:panose1 w:val="00000000000000000000"/>
    <w:charset w:val="00"/>
    <w:family w:val="auto"/>
    <w:notTrueType/>
    <w:pitch w:val="default"/>
    <w:sig w:usb0="00000003" w:usb1="00000000" w:usb2="00000000" w:usb3="00000000" w:csb0="00000001" w:csb1="00000000"/>
  </w:font>
  <w:font w:name="*Arial-7540-Identity-H">
    <w:altName w:val="Calibri"/>
    <w:panose1 w:val="00000000000000000000"/>
    <w:charset w:val="00"/>
    <w:family w:val="auto"/>
    <w:notTrueType/>
    <w:pitch w:val="default"/>
    <w:sig w:usb0="00000003" w:usb1="00000000" w:usb2="00000000" w:usb3="00000000" w:csb0="00000001" w:csb1="00000000"/>
  </w:font>
  <w:font w:name="*Arial-8339-Identity-H">
    <w:altName w:val="Calibri"/>
    <w:panose1 w:val="00000000000000000000"/>
    <w:charset w:val="00"/>
    <w:family w:val="auto"/>
    <w:notTrueType/>
    <w:pitch w:val="default"/>
    <w:sig w:usb0="00000003" w:usb1="00000000" w:usb2="00000000" w:usb3="00000000" w:csb0="00000001" w:csb1="00000000"/>
  </w:font>
  <w:font w:name="*Arial-Italic-8340-Identity-H">
    <w:altName w:val="Calibri"/>
    <w:panose1 w:val="00000000000000000000"/>
    <w:charset w:val="00"/>
    <w:family w:val="auto"/>
    <w:notTrueType/>
    <w:pitch w:val="default"/>
    <w:sig w:usb0="00000003" w:usb1="00000000" w:usb2="00000000" w:usb3="00000000" w:csb0="00000001" w:csb1="00000000"/>
  </w:font>
  <w:font w:name="*Arial-6440-Identity-H">
    <w:altName w:val="Calibri"/>
    <w:panose1 w:val="00000000000000000000"/>
    <w:charset w:val="00"/>
    <w:family w:val="auto"/>
    <w:notTrueType/>
    <w:pitch w:val="default"/>
    <w:sig w:usb0="00000003" w:usb1="00000000" w:usb2="00000000" w:usb3="00000000" w:csb0="00000001" w:csb1="00000000"/>
  </w:font>
  <w:font w:name="*Microsoft Sans Serif-Bold-6520">
    <w:altName w:val="Calibri"/>
    <w:panose1 w:val="00000000000000000000"/>
    <w:charset w:val="00"/>
    <w:family w:val="auto"/>
    <w:notTrueType/>
    <w:pitch w:val="default"/>
    <w:sig w:usb0="00000003" w:usb1="00000000" w:usb2="00000000" w:usb3="00000000" w:csb0="00000001" w:csb1="00000000"/>
  </w:font>
  <w:font w:name="*Arial-6518-Identity-H">
    <w:altName w:val="Calibri"/>
    <w:panose1 w:val="00000000000000000000"/>
    <w:charset w:val="00"/>
    <w:family w:val="auto"/>
    <w:notTrueType/>
    <w:pitch w:val="default"/>
    <w:sig w:usb0="00000003" w:usb1="00000000" w:usb2="00000000" w:usb3="00000000" w:csb0="00000001" w:csb1="00000000"/>
  </w:font>
  <w:font w:name="*Calibri-Bold-6159-Identity-H">
    <w:altName w:val="Calibri"/>
    <w:panose1 w:val="00000000000000000000"/>
    <w:charset w:val="00"/>
    <w:family w:val="auto"/>
    <w:notTrueType/>
    <w:pitch w:val="default"/>
    <w:sig w:usb0="00000003" w:usb1="00000000" w:usb2="00000000" w:usb3="00000000" w:csb0="00000001" w:csb1="00000000"/>
  </w:font>
  <w:font w:name="*Arial-6160-Identity-H">
    <w:altName w:val="Calibri"/>
    <w:panose1 w:val="00000000000000000000"/>
    <w:charset w:val="00"/>
    <w:family w:val="auto"/>
    <w:notTrueType/>
    <w:pitch w:val="default"/>
    <w:sig w:usb0="00000003" w:usb1="00000000" w:usb2="00000000" w:usb3="00000000" w:csb0="00000001" w:csb1="00000000"/>
  </w:font>
  <w:font w:name="*Arial-7508-Identity-H">
    <w:altName w:val="Calibri"/>
    <w:panose1 w:val="00000000000000000000"/>
    <w:charset w:val="00"/>
    <w:family w:val="auto"/>
    <w:notTrueType/>
    <w:pitch w:val="default"/>
    <w:sig w:usb0="00000003" w:usb1="00000000" w:usb2="00000000" w:usb3="00000000" w:csb0="00000001" w:csb1="00000000"/>
  </w:font>
  <w:font w:name="*Arial-Bold-7510-Identity-H">
    <w:altName w:val="Calibri"/>
    <w:panose1 w:val="00000000000000000000"/>
    <w:charset w:val="00"/>
    <w:family w:val="auto"/>
    <w:notTrueType/>
    <w:pitch w:val="default"/>
    <w:sig w:usb0="00000003" w:usb1="00000000" w:usb2="00000000" w:usb3="00000000" w:csb0="00000001" w:csb1="00000000"/>
  </w:font>
  <w:font w:name="*Arial-Bold-7509-Identity-H">
    <w:altName w:val="Calibri"/>
    <w:panose1 w:val="00000000000000000000"/>
    <w:charset w:val="00"/>
    <w:family w:val="auto"/>
    <w:notTrueType/>
    <w:pitch w:val="default"/>
    <w:sig w:usb0="00000003" w:usb1="00000000" w:usb2="00000000" w:usb3="00000000" w:csb0="00000001" w:csb1="00000000"/>
  </w:font>
  <w:font w:name="*Calibri-Bold-4939-Identity-H">
    <w:altName w:val="Calibri"/>
    <w:panose1 w:val="00000000000000000000"/>
    <w:charset w:val="00"/>
    <w:family w:val="auto"/>
    <w:notTrueType/>
    <w:pitch w:val="default"/>
    <w:sig w:usb0="00000003" w:usb1="00000000" w:usb2="00000000" w:usb3="00000000" w:csb0="00000001" w:csb1="00000000"/>
  </w:font>
  <w:font w:name="*Arial-4942-Identity-H">
    <w:altName w:val="Calibri"/>
    <w:panose1 w:val="00000000000000000000"/>
    <w:charset w:val="00"/>
    <w:family w:val="auto"/>
    <w:notTrueType/>
    <w:pitch w:val="default"/>
    <w:sig w:usb0="00000003" w:usb1="00000000" w:usb2="00000000" w:usb3="00000000" w:csb0="00000001" w:csb1="00000000"/>
  </w:font>
  <w:font w:name="*Arial-Bold-7308-Identity-H">
    <w:altName w:val="Calibri"/>
    <w:panose1 w:val="00000000000000000000"/>
    <w:charset w:val="00"/>
    <w:family w:val="auto"/>
    <w:notTrueType/>
    <w:pitch w:val="default"/>
    <w:sig w:usb0="00000003" w:usb1="00000000" w:usb2="00000000" w:usb3="00000000" w:csb0="00000001" w:csb1="00000000"/>
  </w:font>
  <w:font w:name="*Arial-7306-Identity-H">
    <w:altName w:val="Calibri"/>
    <w:panose1 w:val="00000000000000000000"/>
    <w:charset w:val="00"/>
    <w:family w:val="auto"/>
    <w:notTrueType/>
    <w:pitch w:val="default"/>
    <w:sig w:usb0="00000003" w:usb1="00000000" w:usb2="00000000" w:usb3="00000000" w:csb0="00000001" w:csb1="00000000"/>
  </w:font>
  <w:font w:name="*Arial-Bold-7307-Identity-H">
    <w:altName w:val="Calibri"/>
    <w:panose1 w:val="00000000000000000000"/>
    <w:charset w:val="00"/>
    <w:family w:val="auto"/>
    <w:notTrueType/>
    <w:pitch w:val="default"/>
    <w:sig w:usb0="00000003" w:usb1="00000000" w:usb2="00000000" w:usb3="00000000" w:csb0="00000001" w:csb1="00000000"/>
  </w:font>
  <w:font w:name="*Microsoft Sans Serif-Bold-7310">
    <w:altName w:val="Calibri"/>
    <w:panose1 w:val="00000000000000000000"/>
    <w:charset w:val="00"/>
    <w:family w:val="auto"/>
    <w:notTrueType/>
    <w:pitch w:val="default"/>
    <w:sig w:usb0="00000003" w:usb1="00000000" w:usb2="00000000" w:usb3="00000000" w:csb0="00000001" w:csb1="00000000"/>
  </w:font>
  <w:font w:name="*Arial-6320-Identity-H">
    <w:altName w:val="Calibri"/>
    <w:panose1 w:val="00000000000000000000"/>
    <w:charset w:val="00"/>
    <w:family w:val="auto"/>
    <w:notTrueType/>
    <w:pitch w:val="default"/>
    <w:sig w:usb0="00000003" w:usb1="00000000" w:usb2="00000000" w:usb3="00000000" w:csb0="00000001" w:csb1="00000000"/>
  </w:font>
  <w:font w:name="*Arial-6316-Identity-H">
    <w:altName w:val="Calibri"/>
    <w:panose1 w:val="00000000000000000000"/>
    <w:charset w:val="00"/>
    <w:family w:val="auto"/>
    <w:notTrueType/>
    <w:pitch w:val="default"/>
    <w:sig w:usb0="00000003" w:usb1="00000000" w:usb2="00000000" w:usb3="00000000" w:csb0="00000001" w:csb1="00000000"/>
  </w:font>
  <w:font w:name="*Arial-Bold-6318-Identity-H">
    <w:altName w:val="Calibri"/>
    <w:panose1 w:val="00000000000000000000"/>
    <w:charset w:val="00"/>
    <w:family w:val="auto"/>
    <w:notTrueType/>
    <w:pitch w:val="default"/>
    <w:sig w:usb0="00000003" w:usb1="00000000" w:usb2="00000000" w:usb3="00000000" w:csb0="00000001" w:csb1="00000000"/>
  </w:font>
  <w:font w:name="*Arial-Bold-6317-Identity-H">
    <w:altName w:val="Calibri"/>
    <w:panose1 w:val="00000000000000000000"/>
    <w:charset w:val="00"/>
    <w:family w:val="auto"/>
    <w:notTrueType/>
    <w:pitch w:val="default"/>
    <w:sig w:usb0="00000003" w:usb1="00000000" w:usb2="00000000" w:usb3="00000000" w:csb0="00000001" w:csb1="00000000"/>
  </w:font>
  <w:font w:name="*Arial-6696-Identity-H">
    <w:altName w:val="Calibri"/>
    <w:panose1 w:val="00000000000000000000"/>
    <w:charset w:val="00"/>
    <w:family w:val="auto"/>
    <w:notTrueType/>
    <w:pitch w:val="default"/>
    <w:sig w:usb0="00000003" w:usb1="00000000" w:usb2="00000000" w:usb3="00000000" w:csb0="00000001" w:csb1="00000000"/>
  </w:font>
  <w:font w:name="*Arial-6695-Identity-H">
    <w:altName w:val="Calibri"/>
    <w:panose1 w:val="00000000000000000000"/>
    <w:charset w:val="00"/>
    <w:family w:val="auto"/>
    <w:notTrueType/>
    <w:pitch w:val="default"/>
    <w:sig w:usb0="00000003" w:usb1="00000000" w:usb2="00000000" w:usb3="00000000" w:csb0="00000001" w:csb1="00000000"/>
  </w:font>
  <w:font w:name="*Microsoft Sans Serif-6560-Iden">
    <w:altName w:val="Calibri"/>
    <w:panose1 w:val="00000000000000000000"/>
    <w:charset w:val="00"/>
    <w:family w:val="auto"/>
    <w:notTrueType/>
    <w:pitch w:val="default"/>
    <w:sig w:usb0="00000003" w:usb1="00000000" w:usb2="00000000" w:usb3="00000000" w:csb0="00000001" w:csb1="00000000"/>
  </w:font>
  <w:font w:name="*Arial-6559-Identity-H">
    <w:altName w:val="Calibri"/>
    <w:panose1 w:val="00000000000000000000"/>
    <w:charset w:val="00"/>
    <w:family w:val="auto"/>
    <w:notTrueType/>
    <w:pitch w:val="default"/>
    <w:sig w:usb0="00000003" w:usb1="00000000" w:usb2="00000000" w:usb3="00000000" w:csb0="00000001" w:csb1="00000000"/>
  </w:font>
  <w:font w:name="*Arial-7966-Identity-H">
    <w:altName w:val="Calibri"/>
    <w:panose1 w:val="00000000000000000000"/>
    <w:charset w:val="00"/>
    <w:family w:val="auto"/>
    <w:notTrueType/>
    <w:pitch w:val="default"/>
    <w:sig w:usb0="00000003" w:usb1="00000000" w:usb2="00000000" w:usb3="00000000" w:csb0="00000001" w:csb1="00000000"/>
  </w:font>
  <w:font w:name="*Arial-Bold-7967-Identity-H">
    <w:altName w:val="Calibri"/>
    <w:panose1 w:val="00000000000000000000"/>
    <w:charset w:val="00"/>
    <w:family w:val="auto"/>
    <w:notTrueType/>
    <w:pitch w:val="default"/>
    <w:sig w:usb0="00000003" w:usb1="00000000" w:usb2="00000000" w:usb3="00000000" w:csb0="00000001" w:csb1="00000000"/>
  </w:font>
  <w:font w:name="*Arial-7408-Identity-H">
    <w:altName w:val="Calibri"/>
    <w:panose1 w:val="00000000000000000000"/>
    <w:charset w:val="00"/>
    <w:family w:val="auto"/>
    <w:notTrueType/>
    <w:pitch w:val="default"/>
    <w:sig w:usb0="00000003" w:usb1="00000000" w:usb2="00000000" w:usb3="00000000" w:csb0="00000001" w:csb1="00000000"/>
  </w:font>
  <w:font w:name="*Arial-7407-Identity-H">
    <w:altName w:val="Calibri"/>
    <w:panose1 w:val="00000000000000000000"/>
    <w:charset w:val="00"/>
    <w:family w:val="auto"/>
    <w:notTrueType/>
    <w:pitch w:val="default"/>
    <w:sig w:usb0="00000003" w:usb1="00000000" w:usb2="00000000" w:usb3="00000000" w:csb0="00000001" w:csb1="00000000"/>
  </w:font>
  <w:font w:name="*Arial-7035-Identity-H">
    <w:altName w:val="Calibri"/>
    <w:panose1 w:val="00000000000000000000"/>
    <w:charset w:val="00"/>
    <w:family w:val="auto"/>
    <w:notTrueType/>
    <w:pitch w:val="default"/>
    <w:sig w:usb0="00000003" w:usb1="00000000" w:usb2="00000000" w:usb3="00000000" w:csb0="00000001" w:csb1="00000000"/>
  </w:font>
  <w:font w:name="*Arial-10082-Identity-H">
    <w:altName w:val="Calibri"/>
    <w:panose1 w:val="00000000000000000000"/>
    <w:charset w:val="00"/>
    <w:family w:val="auto"/>
    <w:notTrueType/>
    <w:pitch w:val="default"/>
    <w:sig w:usb0="00000003" w:usb1="00000000" w:usb2="00000000" w:usb3="00000000" w:csb0="00000001" w:csb1="00000000"/>
  </w:font>
  <w:font w:name="*Arial-Italic-10084-Identity-H">
    <w:altName w:val="Calibri"/>
    <w:panose1 w:val="00000000000000000000"/>
    <w:charset w:val="00"/>
    <w:family w:val="auto"/>
    <w:notTrueType/>
    <w:pitch w:val="default"/>
    <w:sig w:usb0="00000003" w:usb1="00000000" w:usb2="00000000" w:usb3="00000000" w:csb0="00000001" w:csb1="00000000"/>
  </w:font>
  <w:font w:name="*Arial-10083-Identity-H">
    <w:altName w:val="Calibri"/>
    <w:panose1 w:val="00000000000000000000"/>
    <w:charset w:val="00"/>
    <w:family w:val="auto"/>
    <w:notTrueType/>
    <w:pitch w:val="default"/>
    <w:sig w:usb0="00000003" w:usb1="00000000" w:usb2="00000000" w:usb3="00000000" w:csb0="00000001" w:csb1="00000000"/>
  </w:font>
  <w:font w:name="*Arial-8220-Identity-H">
    <w:altName w:val="Calibri"/>
    <w:panose1 w:val="00000000000000000000"/>
    <w:charset w:val="00"/>
    <w:family w:val="auto"/>
    <w:notTrueType/>
    <w:pitch w:val="default"/>
    <w:sig w:usb0="00000003" w:usb1="00000000" w:usb2="00000000" w:usb3="00000000" w:csb0="00000001" w:csb1="00000000"/>
  </w:font>
  <w:font w:name="*Arial-Italic-8221-Identity-H">
    <w:altName w:val="Calibri"/>
    <w:panose1 w:val="00000000000000000000"/>
    <w:charset w:val="00"/>
    <w:family w:val="auto"/>
    <w:notTrueType/>
    <w:pitch w:val="default"/>
    <w:sig w:usb0="00000003" w:usb1="00000000" w:usb2="00000000" w:usb3="00000000" w:csb0="00000001" w:csb1="00000000"/>
  </w:font>
  <w:font w:name="*Arial-9834-Identity-H">
    <w:altName w:val="Calibri"/>
    <w:panose1 w:val="00000000000000000000"/>
    <w:charset w:val="00"/>
    <w:family w:val="auto"/>
    <w:notTrueType/>
    <w:pitch w:val="default"/>
    <w:sig w:usb0="00000003" w:usb1="00000000" w:usb2="00000000" w:usb3="00000000" w:csb0="00000001" w:csb1="00000000"/>
  </w:font>
  <w:font w:name="*Arial-Italic-9835-Identity-H">
    <w:altName w:val="Calibri"/>
    <w:panose1 w:val="00000000000000000000"/>
    <w:charset w:val="00"/>
    <w:family w:val="auto"/>
    <w:notTrueType/>
    <w:pitch w:val="default"/>
    <w:sig w:usb0="00000003" w:usb1="00000000" w:usb2="00000000" w:usb3="00000000" w:csb0="00000001" w:csb1="00000000"/>
  </w:font>
  <w:font w:name="*Microsoft Sans Serif-Italic-98">
    <w:altName w:val="Calibri"/>
    <w:panose1 w:val="00000000000000000000"/>
    <w:charset w:val="00"/>
    <w:family w:val="auto"/>
    <w:notTrueType/>
    <w:pitch w:val="default"/>
    <w:sig w:usb0="00000003" w:usb1="00000000" w:usb2="00000000" w:usb3="00000000" w:csb0="00000001" w:csb1="00000000"/>
  </w:font>
  <w:font w:name="*Times New Roman-9832-Identity-">
    <w:altName w:val="Calibri"/>
    <w:panose1 w:val="00000000000000000000"/>
    <w:charset w:val="00"/>
    <w:family w:val="auto"/>
    <w:notTrueType/>
    <w:pitch w:val="default"/>
    <w:sig w:usb0="00000003" w:usb1="00000000" w:usb2="00000000" w:usb3="00000000" w:csb0="00000001" w:csb1="00000000"/>
  </w:font>
  <w:font w:name="*Arial-5926-Identity-H">
    <w:altName w:val="Calibri"/>
    <w:panose1 w:val="00000000000000000000"/>
    <w:charset w:val="00"/>
    <w:family w:val="auto"/>
    <w:notTrueType/>
    <w:pitch w:val="default"/>
    <w:sig w:usb0="00000003" w:usb1="00000000" w:usb2="00000000" w:usb3="00000000" w:csb0="00000001" w:csb1="00000000"/>
  </w:font>
  <w:font w:name="*Arial-Bold-5927-Identity-H">
    <w:altName w:val="Calibri"/>
    <w:panose1 w:val="00000000000000000000"/>
    <w:charset w:val="00"/>
    <w:family w:val="auto"/>
    <w:notTrueType/>
    <w:pitch w:val="default"/>
    <w:sig w:usb0="00000003" w:usb1="00000000" w:usb2="00000000" w:usb3="00000000" w:csb0="00000001" w:csb1="00000000"/>
  </w:font>
  <w:font w:name="*Arial-7854-Identity-H">
    <w:altName w:val="Calibri"/>
    <w:panose1 w:val="00000000000000000000"/>
    <w:charset w:val="00"/>
    <w:family w:val="auto"/>
    <w:notTrueType/>
    <w:pitch w:val="default"/>
    <w:sig w:usb0="00000003" w:usb1="00000000" w:usb2="00000000" w:usb3="00000000" w:csb0="00000001" w:csb1="00000000"/>
  </w:font>
  <w:font w:name="*Arial-Italic-7855-Identity-H">
    <w:altName w:val="Calibri"/>
    <w:panose1 w:val="00000000000000000000"/>
    <w:charset w:val="00"/>
    <w:family w:val="auto"/>
    <w:notTrueType/>
    <w:pitch w:val="default"/>
    <w:sig w:usb0="00000003" w:usb1="00000000" w:usb2="00000000" w:usb3="00000000" w:csb0="00000001" w:csb1="00000000"/>
  </w:font>
  <w:font w:name="*Verdana-Bold-6536-Identity-H">
    <w:altName w:val="Calibri"/>
    <w:panose1 w:val="00000000000000000000"/>
    <w:charset w:val="00"/>
    <w:family w:val="auto"/>
    <w:notTrueType/>
    <w:pitch w:val="default"/>
    <w:sig w:usb0="00000003" w:usb1="00000000" w:usb2="00000000" w:usb3="00000000" w:csb0="00000001" w:csb1="00000000"/>
  </w:font>
  <w:font w:name="*Arial-6535-Identity-H">
    <w:altName w:val="Calibri"/>
    <w:panose1 w:val="00000000000000000000"/>
    <w:charset w:val="00"/>
    <w:family w:val="auto"/>
    <w:notTrueType/>
    <w:pitch w:val="default"/>
    <w:sig w:usb0="00000003" w:usb1="00000000" w:usb2="00000000" w:usb3="00000000" w:csb0="00000001" w:csb1="00000000"/>
  </w:font>
  <w:font w:name="*Arial-6534-Identity-H">
    <w:altName w:val="Calibri"/>
    <w:panose1 w:val="00000000000000000000"/>
    <w:charset w:val="00"/>
    <w:family w:val="auto"/>
    <w:notTrueType/>
    <w:pitch w:val="default"/>
    <w:sig w:usb0="00000003" w:usb1="00000000" w:usb2="00000000" w:usb3="00000000" w:csb0="00000001" w:csb1="00000000"/>
  </w:font>
  <w:font w:name="*Arial-7823-Identity-H">
    <w:altName w:val="Calibri"/>
    <w:panose1 w:val="00000000000000000000"/>
    <w:charset w:val="00"/>
    <w:family w:val="auto"/>
    <w:notTrueType/>
    <w:pitch w:val="default"/>
    <w:sig w:usb0="00000003" w:usb1="00000000" w:usb2="00000000" w:usb3="00000000" w:csb0="00000001" w:csb1="00000000"/>
  </w:font>
  <w:font w:name="*Times New Roman-Italic-7821-Id">
    <w:altName w:val="Calibri"/>
    <w:panose1 w:val="00000000000000000000"/>
    <w:charset w:val="00"/>
    <w:family w:val="auto"/>
    <w:notTrueType/>
    <w:pitch w:val="default"/>
    <w:sig w:usb0="00000003" w:usb1="00000000" w:usb2="00000000" w:usb3="00000000" w:csb0="00000001" w:csb1="00000000"/>
  </w:font>
  <w:font w:name="*Arial-Italic-7824-Identity-H">
    <w:altName w:val="Calibri"/>
    <w:panose1 w:val="00000000000000000000"/>
    <w:charset w:val="00"/>
    <w:family w:val="auto"/>
    <w:notTrueType/>
    <w:pitch w:val="default"/>
    <w:sig w:usb0="00000003" w:usb1="00000000" w:usb2="00000000" w:usb3="00000000" w:csb0="00000001" w:csb1="00000000"/>
  </w:font>
  <w:font w:name="*Microsoft Sans Serif-Bold-8221">
    <w:altName w:val="Calibri"/>
    <w:panose1 w:val="00000000000000000000"/>
    <w:charset w:val="00"/>
    <w:family w:val="auto"/>
    <w:notTrueType/>
    <w:pitch w:val="default"/>
    <w:sig w:usb0="00000003" w:usb1="00000000" w:usb2="00000000" w:usb3="00000000" w:csb0="00000001" w:csb1="00000000"/>
  </w:font>
  <w:font w:name="*Arial-8217-Identity-H">
    <w:altName w:val="Calibri"/>
    <w:panose1 w:val="00000000000000000000"/>
    <w:charset w:val="00"/>
    <w:family w:val="auto"/>
    <w:notTrueType/>
    <w:pitch w:val="default"/>
    <w:sig w:usb0="00000003" w:usb1="00000000" w:usb2="00000000" w:usb3="00000000" w:csb0="00000001" w:csb1="00000000"/>
  </w:font>
  <w:font w:name="*Arial-Italic-8218-Identity-H">
    <w:altName w:val="Calibri"/>
    <w:panose1 w:val="00000000000000000000"/>
    <w:charset w:val="00"/>
    <w:family w:val="auto"/>
    <w:notTrueType/>
    <w:pitch w:val="default"/>
    <w:sig w:usb0="00000003" w:usb1="00000000" w:usb2="00000000" w:usb3="00000000" w:csb0="00000001" w:csb1="00000000"/>
  </w:font>
  <w:font w:name="*Arial-7320-Identity-H">
    <w:altName w:val="Calibri"/>
    <w:panose1 w:val="00000000000000000000"/>
    <w:charset w:val="00"/>
    <w:family w:val="auto"/>
    <w:notTrueType/>
    <w:pitch w:val="default"/>
    <w:sig w:usb0="00000003" w:usb1="00000000" w:usb2="00000000" w:usb3="00000000" w:csb0="00000001" w:csb1="00000000"/>
  </w:font>
  <w:font w:name="*Arial-Italic-7321-Identity-H">
    <w:altName w:val="Calibri"/>
    <w:panose1 w:val="00000000000000000000"/>
    <w:charset w:val="00"/>
    <w:family w:val="auto"/>
    <w:notTrueType/>
    <w:pitch w:val="default"/>
    <w:sig w:usb0="00000003" w:usb1="00000000" w:usb2="00000000" w:usb3="00000000" w:csb0="00000001" w:csb1="00000000"/>
  </w:font>
  <w:font w:name="*Microsoft Sans Serif-Bold-7428">
    <w:altName w:val="Calibri"/>
    <w:panose1 w:val="00000000000000000000"/>
    <w:charset w:val="00"/>
    <w:family w:val="auto"/>
    <w:notTrueType/>
    <w:pitch w:val="default"/>
    <w:sig w:usb0="00000003" w:usb1="00000000" w:usb2="00000000" w:usb3="00000000" w:csb0="00000001" w:csb1="00000000"/>
  </w:font>
  <w:font w:name="*Arial-7425-Identity-H">
    <w:altName w:val="Calibri"/>
    <w:panose1 w:val="00000000000000000000"/>
    <w:charset w:val="00"/>
    <w:family w:val="auto"/>
    <w:notTrueType/>
    <w:pitch w:val="default"/>
    <w:sig w:usb0="00000003" w:usb1="00000000" w:usb2="00000000" w:usb3="00000000" w:csb0="00000001" w:csb1="00000000"/>
  </w:font>
  <w:font w:name="*Arial-Italic-7426-Identity-H">
    <w:altName w:val="Calibri"/>
    <w:panose1 w:val="00000000000000000000"/>
    <w:charset w:val="00"/>
    <w:family w:val="auto"/>
    <w:notTrueType/>
    <w:pitch w:val="default"/>
    <w:sig w:usb0="00000003" w:usb1="00000000" w:usb2="00000000" w:usb3="00000000" w:csb0="00000001" w:csb1="00000000"/>
  </w:font>
  <w:font w:name="*Calibri-Bold-6567-Identity-H">
    <w:altName w:val="Calibri"/>
    <w:panose1 w:val="00000000000000000000"/>
    <w:charset w:val="00"/>
    <w:family w:val="auto"/>
    <w:notTrueType/>
    <w:pitch w:val="default"/>
    <w:sig w:usb0="00000003" w:usb1="00000000" w:usb2="00000000" w:usb3="00000000" w:csb0="00000001" w:csb1="00000000"/>
  </w:font>
  <w:font w:name="*Arial-6568-Identity-H">
    <w:altName w:val="Calibri"/>
    <w:panose1 w:val="00000000000000000000"/>
    <w:charset w:val="00"/>
    <w:family w:val="auto"/>
    <w:notTrueType/>
    <w:pitch w:val="default"/>
    <w:sig w:usb0="00000003" w:usb1="00000000" w:usb2="00000000" w:usb3="00000000" w:csb0="00000001" w:csb1="00000000"/>
  </w:font>
  <w:font w:name="*Arial-Bold-6569-Identity-H">
    <w:altName w:val="Calibri"/>
    <w:panose1 w:val="00000000000000000000"/>
    <w:charset w:val="00"/>
    <w:family w:val="auto"/>
    <w:notTrueType/>
    <w:pitch w:val="default"/>
    <w:sig w:usb0="00000003" w:usb1="00000000" w:usb2="00000000" w:usb3="00000000" w:csb0="00000001" w:csb1="00000000"/>
  </w:font>
  <w:font w:name="*Calibri-Bold-7544-Identity-H">
    <w:altName w:val="Calibri"/>
    <w:panose1 w:val="00000000000000000000"/>
    <w:charset w:val="00"/>
    <w:family w:val="auto"/>
    <w:notTrueType/>
    <w:pitch w:val="default"/>
    <w:sig w:usb0="00000003" w:usb1="00000000" w:usb2="00000000" w:usb3="00000000" w:csb0="00000001" w:csb1="00000000"/>
  </w:font>
  <w:font w:name="*Arial-7545-Identity-H">
    <w:altName w:val="Calibri"/>
    <w:panose1 w:val="00000000000000000000"/>
    <w:charset w:val="00"/>
    <w:family w:val="auto"/>
    <w:notTrueType/>
    <w:pitch w:val="default"/>
    <w:sig w:usb0="00000003" w:usb1="00000000" w:usb2="00000000" w:usb3="00000000" w:csb0="00000001" w:csb1="00000000"/>
  </w:font>
  <w:font w:name="*Arial-Bold-7547-Identity-H">
    <w:altName w:val="Calibri"/>
    <w:panose1 w:val="00000000000000000000"/>
    <w:charset w:val="00"/>
    <w:family w:val="auto"/>
    <w:notTrueType/>
    <w:pitch w:val="default"/>
    <w:sig w:usb0="00000003" w:usb1="00000000" w:usb2="00000000" w:usb3="00000000" w:csb0="00000001" w:csb1="00000000"/>
  </w:font>
  <w:font w:name="*Arial-Bold-7546-Identity-H">
    <w:altName w:val="Calibri"/>
    <w:panose1 w:val="00000000000000000000"/>
    <w:charset w:val="00"/>
    <w:family w:val="auto"/>
    <w:notTrueType/>
    <w:pitch w:val="default"/>
    <w:sig w:usb0="00000003" w:usb1="00000000" w:usb2="00000000" w:usb3="00000000" w:csb0="00000001" w:csb1="00000000"/>
  </w:font>
  <w:font w:name="*Calibri-Bold-6791-Identity-H">
    <w:altName w:val="Calibri"/>
    <w:panose1 w:val="00000000000000000000"/>
    <w:charset w:val="00"/>
    <w:family w:val="auto"/>
    <w:notTrueType/>
    <w:pitch w:val="default"/>
    <w:sig w:usb0="00000003" w:usb1="00000000" w:usb2="00000000" w:usb3="00000000" w:csb0="00000001" w:csb1="00000000"/>
  </w:font>
  <w:font w:name="*Arial-Bold-6466-Identity-H">
    <w:altName w:val="Calibri"/>
    <w:panose1 w:val="00000000000000000000"/>
    <w:charset w:val="00"/>
    <w:family w:val="auto"/>
    <w:notTrueType/>
    <w:pitch w:val="default"/>
    <w:sig w:usb0="00000003" w:usb1="00000000" w:usb2="00000000" w:usb3="00000000" w:csb0="00000001" w:csb1="00000000"/>
  </w:font>
  <w:font w:name="*Arial-6465-Identity-H">
    <w:altName w:val="Calibri"/>
    <w:panose1 w:val="00000000000000000000"/>
    <w:charset w:val="00"/>
    <w:family w:val="auto"/>
    <w:notTrueType/>
    <w:pitch w:val="default"/>
    <w:sig w:usb0="00000003" w:usb1="00000000" w:usb2="00000000" w:usb3="00000000" w:csb0="00000001" w:csb1="00000000"/>
  </w:font>
  <w:font w:name="*Microsoft Sans Serif-Bold-6467">
    <w:altName w:val="Calibri"/>
    <w:panose1 w:val="00000000000000000000"/>
    <w:charset w:val="00"/>
    <w:family w:val="auto"/>
    <w:notTrueType/>
    <w:pitch w:val="default"/>
    <w:sig w:usb0="00000003" w:usb1="00000000" w:usb2="00000000" w:usb3="00000000" w:csb0="00000001" w:csb1="00000000"/>
  </w:font>
  <w:font w:name="*Calibri-Bold-6464-Identity-H">
    <w:altName w:val="Calibri"/>
    <w:panose1 w:val="00000000000000000000"/>
    <w:charset w:val="00"/>
    <w:family w:val="auto"/>
    <w:notTrueType/>
    <w:pitch w:val="default"/>
    <w:sig w:usb0="00000003" w:usb1="00000000" w:usb2="00000000" w:usb3="00000000" w:csb0="00000001" w:csb1="00000000"/>
  </w:font>
  <w:font w:name="*Arial-Bold-6666-Identity-H">
    <w:altName w:val="Calibri"/>
    <w:panose1 w:val="00000000000000000000"/>
    <w:charset w:val="00"/>
    <w:family w:val="auto"/>
    <w:notTrueType/>
    <w:pitch w:val="default"/>
    <w:sig w:usb0="00000003" w:usb1="00000000" w:usb2="00000000" w:usb3="00000000" w:csb0="00000001" w:csb1="00000000"/>
  </w:font>
  <w:font w:name="*Microsoft Sans Serif-Bold-6668">
    <w:altName w:val="Calibri"/>
    <w:panose1 w:val="00000000000000000000"/>
    <w:charset w:val="00"/>
    <w:family w:val="auto"/>
    <w:notTrueType/>
    <w:pitch w:val="default"/>
    <w:sig w:usb0="00000003" w:usb1="00000000" w:usb2="00000000" w:usb3="00000000" w:csb0="00000001" w:csb1="00000000"/>
  </w:font>
  <w:font w:name="*Arial-6297-Identity-H">
    <w:altName w:val="Calibri"/>
    <w:panose1 w:val="00000000000000000000"/>
    <w:charset w:val="00"/>
    <w:family w:val="auto"/>
    <w:notTrueType/>
    <w:pitch w:val="default"/>
    <w:sig w:usb0="00000003" w:usb1="00000000" w:usb2="00000000" w:usb3="00000000" w:csb0="00000001" w:csb1="00000000"/>
  </w:font>
  <w:font w:name="*Arial-6823-Identity-H">
    <w:altName w:val="Calibri"/>
    <w:panose1 w:val="00000000000000000000"/>
    <w:charset w:val="00"/>
    <w:family w:val="auto"/>
    <w:notTrueType/>
    <w:pitch w:val="default"/>
    <w:sig w:usb0="00000003" w:usb1="00000000" w:usb2="00000000" w:usb3="00000000" w:csb0="00000001" w:csb1="00000000"/>
  </w:font>
  <w:font w:name="*Arial-6822-Identity-H">
    <w:altName w:val="Calibri"/>
    <w:panose1 w:val="00000000000000000000"/>
    <w:charset w:val="00"/>
    <w:family w:val="auto"/>
    <w:notTrueType/>
    <w:pitch w:val="default"/>
    <w:sig w:usb0="00000003" w:usb1="00000000" w:usb2="00000000" w:usb3="00000000" w:csb0="00000001" w:csb1="00000000"/>
  </w:font>
  <w:font w:name="*Arial-7759-Identity-H">
    <w:altName w:val="Calibri"/>
    <w:panose1 w:val="00000000000000000000"/>
    <w:charset w:val="00"/>
    <w:family w:val="auto"/>
    <w:notTrueType/>
    <w:pitch w:val="default"/>
    <w:sig w:usb0="00000003" w:usb1="00000000" w:usb2="00000000" w:usb3="00000000" w:csb0="00000001" w:csb1="00000000"/>
  </w:font>
  <w:font w:name="*Calibri-Bold-7757-Identity-H">
    <w:altName w:val="Calibri"/>
    <w:panose1 w:val="00000000000000000000"/>
    <w:charset w:val="00"/>
    <w:family w:val="auto"/>
    <w:notTrueType/>
    <w:pitch w:val="default"/>
    <w:sig w:usb0="00000003" w:usb1="00000000" w:usb2="00000000" w:usb3="00000000" w:csb0="00000001" w:csb1="00000000"/>
  </w:font>
  <w:font w:name="*Arial-Bold-7760-Identity-H">
    <w:altName w:val="Calibri"/>
    <w:panose1 w:val="00000000000000000000"/>
    <w:charset w:val="00"/>
    <w:family w:val="auto"/>
    <w:notTrueType/>
    <w:pitch w:val="default"/>
    <w:sig w:usb0="00000003" w:usb1="00000000" w:usb2="00000000" w:usb3="00000000" w:csb0="00000001" w:csb1="00000000"/>
  </w:font>
  <w:font w:name="*Arial-7484-Identity-H">
    <w:altName w:val="Calibri"/>
    <w:panose1 w:val="00000000000000000000"/>
    <w:charset w:val="00"/>
    <w:family w:val="auto"/>
    <w:notTrueType/>
    <w:pitch w:val="default"/>
    <w:sig w:usb0="00000003" w:usb1="00000000" w:usb2="00000000" w:usb3="00000000" w:csb0="00000001" w:csb1="00000000"/>
  </w:font>
  <w:font w:name="*Arial-7189-Identity-H">
    <w:altName w:val="Calibri"/>
    <w:panose1 w:val="00000000000000000000"/>
    <w:charset w:val="00"/>
    <w:family w:val="auto"/>
    <w:notTrueType/>
    <w:pitch w:val="default"/>
    <w:sig w:usb0="00000003" w:usb1="00000000" w:usb2="00000000" w:usb3="00000000" w:csb0="00000001" w:csb1="00000000"/>
  </w:font>
  <w:font w:name="*Arial-10102-Identity-H">
    <w:altName w:val="Calibri"/>
    <w:panose1 w:val="00000000000000000000"/>
    <w:charset w:val="00"/>
    <w:family w:val="auto"/>
    <w:notTrueType/>
    <w:pitch w:val="default"/>
    <w:sig w:usb0="00000003" w:usb1="00000000" w:usb2="00000000" w:usb3="00000000" w:csb0="00000001" w:csb1="00000000"/>
  </w:font>
  <w:font w:name="*Times New Roman-Italic-10093-I">
    <w:altName w:val="Calibri"/>
    <w:panose1 w:val="00000000000000000000"/>
    <w:charset w:val="00"/>
    <w:family w:val="auto"/>
    <w:notTrueType/>
    <w:pitch w:val="default"/>
    <w:sig w:usb0="00000003" w:usb1="00000000" w:usb2="00000000" w:usb3="00000000" w:csb0="00000001" w:csb1="00000000"/>
  </w:font>
  <w:font w:name="*Arial-Italic-10100-Identity-H">
    <w:altName w:val="Calibri"/>
    <w:panose1 w:val="00000000000000000000"/>
    <w:charset w:val="00"/>
    <w:family w:val="auto"/>
    <w:notTrueType/>
    <w:pitch w:val="default"/>
    <w:sig w:usb0="00000003" w:usb1="00000000" w:usb2="00000000" w:usb3="00000000" w:csb0="00000001" w:csb1="00000000"/>
  </w:font>
  <w:font w:name="*Arial-Italic-10101-Identity-H">
    <w:altName w:val="Calibri"/>
    <w:panose1 w:val="00000000000000000000"/>
    <w:charset w:val="00"/>
    <w:family w:val="auto"/>
    <w:notTrueType/>
    <w:pitch w:val="default"/>
    <w:sig w:usb0="00000003" w:usb1="00000000" w:usb2="00000000" w:usb3="00000000" w:csb0="00000001" w:csb1="00000000"/>
  </w:font>
  <w:font w:name="*Arial-7816-Identity-H">
    <w:altName w:val="Calibri"/>
    <w:panose1 w:val="00000000000000000000"/>
    <w:charset w:val="00"/>
    <w:family w:val="auto"/>
    <w:notTrueType/>
    <w:pitch w:val="default"/>
    <w:sig w:usb0="00000003" w:usb1="00000000" w:usb2="00000000" w:usb3="00000000" w:csb0="00000001" w:csb1="00000000"/>
  </w:font>
  <w:font w:name="*Arial-Italic-7817-Identity-H">
    <w:altName w:val="Calibri"/>
    <w:panose1 w:val="00000000000000000000"/>
    <w:charset w:val="00"/>
    <w:family w:val="auto"/>
    <w:notTrueType/>
    <w:pitch w:val="default"/>
    <w:sig w:usb0="00000003" w:usb1="00000000" w:usb2="00000000" w:usb3="00000000" w:csb0="00000001" w:csb1="00000000"/>
  </w:font>
  <w:font w:name="*Arial-8192-Identity-H">
    <w:altName w:val="Calibri"/>
    <w:panose1 w:val="00000000000000000000"/>
    <w:charset w:val="00"/>
    <w:family w:val="auto"/>
    <w:notTrueType/>
    <w:pitch w:val="default"/>
    <w:sig w:usb0="00000003" w:usb1="00000000" w:usb2="00000000" w:usb3="00000000" w:csb0="00000001" w:csb1="00000000"/>
  </w:font>
  <w:font w:name="*Arial-Italic-8194-Identity-H">
    <w:altName w:val="Calibri"/>
    <w:panose1 w:val="00000000000000000000"/>
    <w:charset w:val="00"/>
    <w:family w:val="auto"/>
    <w:notTrueType/>
    <w:pitch w:val="default"/>
    <w:sig w:usb0="00000003" w:usb1="00000000" w:usb2="00000000" w:usb3="00000000" w:csb0="00000001" w:csb1="00000000"/>
  </w:font>
  <w:font w:name="*Arial-Bold-8193-Identity-H">
    <w:altName w:val="Calibri"/>
    <w:panose1 w:val="00000000000000000000"/>
    <w:charset w:val="00"/>
    <w:family w:val="auto"/>
    <w:notTrueType/>
    <w:pitch w:val="default"/>
    <w:sig w:usb0="00000003" w:usb1="00000000" w:usb2="00000000" w:usb3="00000000" w:csb0="00000001" w:csb1="00000000"/>
  </w:font>
  <w:font w:name="*Arial-Bold-5228-Identity-H">
    <w:altName w:val="Calibri"/>
    <w:panose1 w:val="00000000000000000000"/>
    <w:charset w:val="00"/>
    <w:family w:val="auto"/>
    <w:notTrueType/>
    <w:pitch w:val="default"/>
    <w:sig w:usb0="00000003" w:usb1="00000000" w:usb2="00000000" w:usb3="00000000" w:csb0="00000001" w:csb1="00000000"/>
  </w:font>
  <w:font w:name="*Arial-5227-Identity-H">
    <w:altName w:val="Calibri"/>
    <w:panose1 w:val="00000000000000000000"/>
    <w:charset w:val="00"/>
    <w:family w:val="auto"/>
    <w:notTrueType/>
    <w:pitch w:val="default"/>
    <w:sig w:usb0="00000003" w:usb1="00000000" w:usb2="00000000" w:usb3="00000000" w:csb0="00000001" w:csb1="00000000"/>
  </w:font>
  <w:font w:name="*Arial-6643-Identity-H">
    <w:altName w:val="Calibri"/>
    <w:panose1 w:val="00000000000000000000"/>
    <w:charset w:val="00"/>
    <w:family w:val="auto"/>
    <w:notTrueType/>
    <w:pitch w:val="default"/>
    <w:sig w:usb0="00000003" w:usb1="00000000" w:usb2="00000000" w:usb3="00000000" w:csb0="00000001" w:csb1="00000000"/>
  </w:font>
  <w:font w:name="*Arial-Italic-6645-Identity-H">
    <w:altName w:val="Calibri"/>
    <w:panose1 w:val="00000000000000000000"/>
    <w:charset w:val="00"/>
    <w:family w:val="auto"/>
    <w:notTrueType/>
    <w:pitch w:val="default"/>
    <w:sig w:usb0="00000003" w:usb1="00000000" w:usb2="00000000" w:usb3="00000000" w:csb0="00000001" w:csb1="00000000"/>
  </w:font>
  <w:font w:name="*Arial-Bold-6644-Identity-H">
    <w:altName w:val="Calibri"/>
    <w:panose1 w:val="00000000000000000000"/>
    <w:charset w:val="00"/>
    <w:family w:val="auto"/>
    <w:notTrueType/>
    <w:pitch w:val="default"/>
    <w:sig w:usb0="00000003" w:usb1="00000000" w:usb2="00000000" w:usb3="00000000" w:csb0="00000001" w:csb1="00000000"/>
  </w:font>
  <w:font w:name="*Arial-6356-Identity-H">
    <w:altName w:val="Calibri"/>
    <w:panose1 w:val="00000000000000000000"/>
    <w:charset w:val="00"/>
    <w:family w:val="auto"/>
    <w:notTrueType/>
    <w:pitch w:val="default"/>
    <w:sig w:usb0="00000003" w:usb1="00000000" w:usb2="00000000" w:usb3="00000000" w:csb0="00000001" w:csb1="00000000"/>
  </w:font>
  <w:font w:name="*Arial-6354-Identity-H">
    <w:altName w:val="Calibri"/>
    <w:panose1 w:val="00000000000000000000"/>
    <w:charset w:val="00"/>
    <w:family w:val="auto"/>
    <w:notTrueType/>
    <w:pitch w:val="default"/>
    <w:sig w:usb0="00000003" w:usb1="00000000" w:usb2="00000000" w:usb3="00000000" w:csb0="00000001" w:csb1="00000000"/>
  </w:font>
  <w:font w:name="*Arial-8042-Identity-H">
    <w:altName w:val="Calibri"/>
    <w:panose1 w:val="00000000000000000000"/>
    <w:charset w:val="00"/>
    <w:family w:val="auto"/>
    <w:notTrueType/>
    <w:pitch w:val="default"/>
    <w:sig w:usb0="00000003" w:usb1="00000000" w:usb2="00000000" w:usb3="00000000" w:csb0="00000001" w:csb1="00000000"/>
  </w:font>
  <w:font w:name="*Arial-Italic-8043-Identity-H">
    <w:altName w:val="Calibri"/>
    <w:panose1 w:val="00000000000000000000"/>
    <w:charset w:val="00"/>
    <w:family w:val="auto"/>
    <w:notTrueType/>
    <w:pitch w:val="default"/>
    <w:sig w:usb0="00000003" w:usb1="00000000" w:usb2="00000000" w:usb3="00000000" w:csb0="00000001" w:csb1="00000000"/>
  </w:font>
  <w:font w:name="*Arial-7923-Identity-H">
    <w:altName w:val="Calibri"/>
    <w:panose1 w:val="00000000000000000000"/>
    <w:charset w:val="00"/>
    <w:family w:val="auto"/>
    <w:notTrueType/>
    <w:pitch w:val="default"/>
    <w:sig w:usb0="00000003" w:usb1="00000000" w:usb2="00000000" w:usb3="00000000" w:csb0="00000001" w:csb1="00000000"/>
  </w:font>
  <w:font w:name="*Microsoft Sans Serif-7927-Iden">
    <w:altName w:val="Calibri"/>
    <w:panose1 w:val="00000000000000000000"/>
    <w:charset w:val="00"/>
    <w:family w:val="auto"/>
    <w:notTrueType/>
    <w:pitch w:val="default"/>
    <w:sig w:usb0="00000003" w:usb1="00000000" w:usb2="00000000" w:usb3="00000000" w:csb0="00000001" w:csb1="00000000"/>
  </w:font>
  <w:font w:name="*Arial-Italic-7924-Identity-H">
    <w:altName w:val="Calibri"/>
    <w:panose1 w:val="00000000000000000000"/>
    <w:charset w:val="00"/>
    <w:family w:val="auto"/>
    <w:notTrueType/>
    <w:pitch w:val="default"/>
    <w:sig w:usb0="00000003" w:usb1="00000000" w:usb2="00000000" w:usb3="00000000" w:csb0="00000001" w:csb1="00000000"/>
  </w:font>
  <w:font w:name="*Arial-6885-Identity-H">
    <w:altName w:val="Calibri"/>
    <w:panose1 w:val="00000000000000000000"/>
    <w:charset w:val="00"/>
    <w:family w:val="auto"/>
    <w:notTrueType/>
    <w:pitch w:val="default"/>
    <w:sig w:usb0="00000003" w:usb1="00000000" w:usb2="00000000" w:usb3="00000000" w:csb0="00000001" w:csb1="00000000"/>
  </w:font>
  <w:font w:name="*Arial-Bold-6886-Identity-H">
    <w:altName w:val="Calibri"/>
    <w:panose1 w:val="00000000000000000000"/>
    <w:charset w:val="00"/>
    <w:family w:val="auto"/>
    <w:notTrueType/>
    <w:pitch w:val="default"/>
    <w:sig w:usb0="00000003" w:usb1="00000000" w:usb2="00000000" w:usb3="00000000" w:csb0="00000001" w:csb1="00000000"/>
  </w:font>
  <w:font w:name="*Arial-7221-Identity-H">
    <w:altName w:val="Calibri"/>
    <w:panose1 w:val="00000000000000000000"/>
    <w:charset w:val="00"/>
    <w:family w:val="auto"/>
    <w:notTrueType/>
    <w:pitch w:val="default"/>
    <w:sig w:usb0="00000003" w:usb1="00000000" w:usb2="00000000" w:usb3="00000000" w:csb0="00000001" w:csb1="00000000"/>
  </w:font>
  <w:font w:name="*Arial-Bold-7222-Identity-H">
    <w:altName w:val="Calibri"/>
    <w:panose1 w:val="00000000000000000000"/>
    <w:charset w:val="00"/>
    <w:family w:val="auto"/>
    <w:notTrueType/>
    <w:pitch w:val="default"/>
    <w:sig w:usb0="00000003" w:usb1="00000000" w:usb2="00000000" w:usb3="00000000" w:csb0="00000001" w:csb1="00000000"/>
  </w:font>
  <w:font w:name="*Arial-7087-Identity-H">
    <w:altName w:val="Calibri"/>
    <w:panose1 w:val="00000000000000000000"/>
    <w:charset w:val="00"/>
    <w:family w:val="auto"/>
    <w:notTrueType/>
    <w:pitch w:val="default"/>
    <w:sig w:usb0="00000003" w:usb1="00000000" w:usb2="00000000" w:usb3="00000000" w:csb0="00000001" w:csb1="00000000"/>
  </w:font>
  <w:font w:name="*Arial-Bold-7086-Identity-H">
    <w:altName w:val="Calibri"/>
    <w:panose1 w:val="00000000000000000000"/>
    <w:charset w:val="00"/>
    <w:family w:val="auto"/>
    <w:notTrueType/>
    <w:pitch w:val="default"/>
    <w:sig w:usb0="00000003" w:usb1="00000000" w:usb2="00000000" w:usb3="00000000" w:csb0="00000001" w:csb1="00000000"/>
  </w:font>
  <w:font w:name="Lato">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D6363"/>
    <w:rsid w:val="00140319"/>
    <w:rsid w:val="00141328"/>
    <w:rsid w:val="00186280"/>
    <w:rsid w:val="001A500B"/>
    <w:rsid w:val="001B1350"/>
    <w:rsid w:val="001F00F7"/>
    <w:rsid w:val="00206EF9"/>
    <w:rsid w:val="002A0763"/>
    <w:rsid w:val="0034760A"/>
    <w:rsid w:val="00377DC6"/>
    <w:rsid w:val="003C492F"/>
    <w:rsid w:val="003C6D8F"/>
    <w:rsid w:val="003F724D"/>
    <w:rsid w:val="00431337"/>
    <w:rsid w:val="004A3489"/>
    <w:rsid w:val="004C4E7F"/>
    <w:rsid w:val="004D7E23"/>
    <w:rsid w:val="0053705C"/>
    <w:rsid w:val="005A137A"/>
    <w:rsid w:val="00650F4F"/>
    <w:rsid w:val="00664844"/>
    <w:rsid w:val="00677132"/>
    <w:rsid w:val="006815AA"/>
    <w:rsid w:val="006920A6"/>
    <w:rsid w:val="006C62A2"/>
    <w:rsid w:val="006D4305"/>
    <w:rsid w:val="006E0508"/>
    <w:rsid w:val="00701706"/>
    <w:rsid w:val="00721D1D"/>
    <w:rsid w:val="00783E95"/>
    <w:rsid w:val="00810CC8"/>
    <w:rsid w:val="008158BE"/>
    <w:rsid w:val="00816CDC"/>
    <w:rsid w:val="008360D4"/>
    <w:rsid w:val="008501E8"/>
    <w:rsid w:val="008A23FF"/>
    <w:rsid w:val="008B080C"/>
    <w:rsid w:val="008B54DA"/>
    <w:rsid w:val="008D4924"/>
    <w:rsid w:val="008E74AB"/>
    <w:rsid w:val="00983AC1"/>
    <w:rsid w:val="009E353E"/>
    <w:rsid w:val="00A52A93"/>
    <w:rsid w:val="00AA468D"/>
    <w:rsid w:val="00AD3760"/>
    <w:rsid w:val="00B67875"/>
    <w:rsid w:val="00B6798B"/>
    <w:rsid w:val="00B74A1A"/>
    <w:rsid w:val="00BD60DF"/>
    <w:rsid w:val="00BE7105"/>
    <w:rsid w:val="00C24FB6"/>
    <w:rsid w:val="00C63DD8"/>
    <w:rsid w:val="00C81A41"/>
    <w:rsid w:val="00CF3271"/>
    <w:rsid w:val="00D0533C"/>
    <w:rsid w:val="00D058A6"/>
    <w:rsid w:val="00D10F71"/>
    <w:rsid w:val="00D4602E"/>
    <w:rsid w:val="00DA6C87"/>
    <w:rsid w:val="00DB6674"/>
    <w:rsid w:val="00E33FCD"/>
    <w:rsid w:val="00E405EA"/>
    <w:rsid w:val="00E50304"/>
    <w:rsid w:val="00E6566D"/>
    <w:rsid w:val="00EA50CC"/>
    <w:rsid w:val="00EC156F"/>
    <w:rsid w:val="00EE2B29"/>
    <w:rsid w:val="00EF4ACF"/>
    <w:rsid w:val="00F3459E"/>
    <w:rsid w:val="00F43827"/>
    <w:rsid w:val="00F502B0"/>
    <w:rsid w:val="00FA6CAD"/>
    <w:rsid w:val="00FC69FF"/>
    <w:rsid w:val="00FC7A72"/>
    <w:rsid w:val="00FD59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E2F546EF7DAC34DB691300278981828" ma:contentTypeVersion="13" ma:contentTypeDescription="Create a new document." ma:contentTypeScope="" ma:versionID="f757bdf2f6724d000e08da4adcdd20b4">
  <xsd:schema xmlns:xsd="http://www.w3.org/2001/XMLSchema" xmlns:xs="http://www.w3.org/2001/XMLSchema" xmlns:p="http://schemas.microsoft.com/office/2006/metadata/properties" xmlns:ns3="e4cbaefe-6814-4875-8675-15c5825136e7" xmlns:ns4="81e10172-0d17-40c7-a1cb-6ddad6d2522d" targetNamespace="http://schemas.microsoft.com/office/2006/metadata/properties" ma:root="true" ma:fieldsID="03cbad9b5e1586441730cdaba2bdf3c9" ns3:_="" ns4:_="">
    <xsd:import namespace="e4cbaefe-6814-4875-8675-15c5825136e7"/>
    <xsd:import namespace="81e10172-0d17-40c7-a1cb-6ddad6d2522d"/>
    <xsd:element name="properties">
      <xsd:complexType>
        <xsd:sequence>
          <xsd:element name="documentManagement">
            <xsd:complexType>
              <xsd:all>
                <xsd:element ref="ns3:MediaServiceMetadata" minOccurs="0"/>
                <xsd:element ref="ns3:MediaServiceFastMetadata"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cbaefe-6814-4875-8675-15c5825136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Length (seconds)" ma:internalName="MediaLengthInSeconds" ma:readOnly="true">
      <xsd:simpleType>
        <xsd:restriction base="dms:Unknown"/>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e10172-0d17-40c7-a1cb-6ddad6d2522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02AD662-DD31-46AA-87A8-7D5F07B639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cbaefe-6814-4875-8675-15c5825136e7"/>
    <ds:schemaRef ds:uri="81e10172-0d17-40c7-a1cb-6ddad6d252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A238442-0884-4235-869E-9027AAAB779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customXml/itemProps4.xml><?xml version="1.0" encoding="utf-8"?>
<ds:datastoreItem xmlns:ds="http://schemas.openxmlformats.org/officeDocument/2006/customXml" ds:itemID="{85A3B6B5-B80A-455F-B6FE-BB63C51D6F9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1777</TotalTime>
  <Pages>23</Pages>
  <Words>164738</Words>
  <Characters>906059</Characters>
  <Application>Microsoft Office Word</Application>
  <DocSecurity>0</DocSecurity>
  <Lines>7550</Lines>
  <Paragraphs>2137</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1068660</CharactersWithSpaces>
  <SharedDoc>false</SharedDoc>
  <HLinks>
    <vt:vector size="18" baseType="variant">
      <vt:variant>
        <vt:i4>2228348</vt:i4>
      </vt:variant>
      <vt:variant>
        <vt:i4>0</vt:i4>
      </vt:variant>
      <vt:variant>
        <vt:i4>0</vt:i4>
      </vt:variant>
      <vt:variant>
        <vt:i4>5</vt:i4>
      </vt:variant>
      <vt:variant>
        <vt:lpwstr>https://congresogto.s3.amazonaws.com/uploads/orden_archivo/archivo/24991/14_Propuesta_Pto_Acuerdo_Dip_Alma_Alcararaz-remocio_n_FGEG__19_MAYO_2022_.pdf</vt:lpwstr>
      </vt:variant>
      <vt:variant>
        <vt:lpwstr/>
      </vt:variant>
      <vt:variant>
        <vt:i4>3014779</vt:i4>
      </vt:variant>
      <vt:variant>
        <vt:i4>3</vt:i4>
      </vt:variant>
      <vt:variant>
        <vt:i4>0</vt:i4>
      </vt:variant>
      <vt:variant>
        <vt:i4>5</vt:i4>
      </vt:variant>
      <vt:variant>
        <vt:lpwstr>https://www.excelsior.eom.mx/nacional/suman-71-soldados-muertos</vt:lpwstr>
      </vt:variant>
      <vt:variant>
        <vt:lpwstr/>
      </vt:variant>
      <vt:variant>
        <vt:i4>7274542</vt:i4>
      </vt:variant>
      <vt:variant>
        <vt:i4>0</vt:i4>
      </vt:variant>
      <vt:variant>
        <vt:i4>0</vt:i4>
      </vt:variant>
      <vt:variant>
        <vt:i4>5</vt:i4>
      </vt:variant>
      <vt:variant>
        <vt:lpwstr>https://congresogto.s3.amazonaws.com/uploads/orden_archivo/archivo/24980/03_Extracto__19__mayo_2022_versio_n_3.pdf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911</cp:revision>
  <cp:lastPrinted>2022-07-19T20:12:00Z</cp:lastPrinted>
  <dcterms:created xsi:type="dcterms:W3CDTF">2022-06-08T18:17:00Z</dcterms:created>
  <dcterms:modified xsi:type="dcterms:W3CDTF">2022-07-24T01:33:00Z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0x0101009E2F546EF7DAC34DB691300278981828</vt:lpwstr>
  </property>
</Properties>
</file>